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D15F5" w14:textId="2BD5B511" w:rsidR="00522083" w:rsidRDefault="00253107" w:rsidP="00253107">
      <w:pPr>
        <w:pStyle w:val="Pagedecouverture"/>
        <w:rPr>
          <w:noProof/>
        </w:rPr>
      </w:pPr>
      <w:bookmarkStart w:id="0" w:name="_DMBM_36709"/>
      <w:bookmarkStart w:id="1" w:name="_CSF_TOC_1"/>
      <w:bookmarkStart w:id="2" w:name="LW_BM_COVERPAGE"/>
      <w:r>
        <w:rPr>
          <w:noProof/>
        </w:rPr>
        <w:pict w14:anchorId="016EBC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5CAC64B-C492-4350-B531-CEE29461DAE2" style="width:455.25pt;height:300pt">
            <v:imagedata r:id="rId11" o:title=""/>
          </v:shape>
        </w:pict>
      </w:r>
    </w:p>
    <w:bookmarkEnd w:id="2"/>
    <w:p w14:paraId="0B02B1AC" w14:textId="77777777" w:rsidR="00BF2400" w:rsidRDefault="00BF2400" w:rsidP="00BF2400">
      <w:pPr>
        <w:rPr>
          <w:noProof/>
        </w:rPr>
        <w:sectPr w:rsidR="00BF2400" w:rsidSect="0025310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F3D7F57" w14:textId="77777777" w:rsidR="00207986" w:rsidRDefault="00023E71" w:rsidP="00207986">
      <w:pPr>
        <w:pStyle w:val="HEADERTABLE"/>
        <w:rPr>
          <w:noProof/>
        </w:rPr>
      </w:pPr>
      <w:bookmarkStart w:id="3" w:name="_DMBM_36714"/>
      <w:bookmarkStart w:id="4" w:name="_GoBack"/>
      <w:bookmarkEnd w:id="0"/>
      <w:bookmarkEnd w:id="4"/>
      <w:r w:rsidRPr="00E33112">
        <w:rPr>
          <w:noProof/>
        </w:rPr>
        <w:lastRenderedPageBreak/>
        <w:t>CONTENTS</w:t>
      </w:r>
    </w:p>
    <w:p w14:paraId="454AE686" w14:textId="77777777" w:rsidR="00207986" w:rsidRDefault="00207986" w:rsidP="00207986">
      <w:pPr>
        <w:pStyle w:val="HEADERTABLE"/>
        <w:rPr>
          <w:noProof/>
        </w:rPr>
      </w:pPr>
    </w:p>
    <w:p w14:paraId="28CA1291" w14:textId="2ED2044B" w:rsidR="00EC36D2" w:rsidRDefault="00023E71">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r>
        <w:rPr>
          <w:noProof/>
          <w:color w:val="auto"/>
          <w:sz w:val="18"/>
          <w:szCs w:val="18"/>
          <w:lang w:eastAsia="en-US"/>
        </w:rPr>
        <w:fldChar w:fldCharType="begin"/>
      </w:r>
      <w:r>
        <w:rPr>
          <w:noProof/>
        </w:rPr>
        <w:instrText xml:space="preserve"> TOC \h \z \t "FIRST_CHAPTER_PAGE;1;HEADER_TITLE_1;2" </w:instrText>
      </w:r>
      <w:r>
        <w:rPr>
          <w:noProof/>
          <w:color w:val="auto"/>
          <w:sz w:val="18"/>
          <w:szCs w:val="18"/>
          <w:lang w:eastAsia="en-US"/>
        </w:rPr>
        <w:fldChar w:fldCharType="separate"/>
      </w:r>
      <w:hyperlink w:anchor="_Toc232674970" w:history="1">
        <w:r w:rsidR="00EC36D2" w:rsidRPr="0042428F">
          <w:rPr>
            <w:rStyle w:val="Hyperlink"/>
            <w:noProof/>
          </w:rPr>
          <w:t>FINANCIAL HIGHLIGHTS OF THE YEAR</w:t>
        </w:r>
        <w:r w:rsidR="00EC36D2">
          <w:rPr>
            <w:noProof/>
            <w:webHidden/>
          </w:rPr>
          <w:tab/>
        </w:r>
        <w:r w:rsidR="00EC36D2">
          <w:rPr>
            <w:noProof/>
            <w:webHidden/>
          </w:rPr>
          <w:fldChar w:fldCharType="begin"/>
        </w:r>
        <w:r w:rsidR="00EC36D2">
          <w:rPr>
            <w:noProof/>
            <w:webHidden/>
          </w:rPr>
          <w:instrText xml:space="preserve"> PAGEREF _Toc232674970 \h </w:instrText>
        </w:r>
        <w:r w:rsidR="00EC36D2">
          <w:rPr>
            <w:noProof/>
            <w:webHidden/>
          </w:rPr>
        </w:r>
        <w:r w:rsidR="00EC36D2">
          <w:rPr>
            <w:noProof/>
            <w:webHidden/>
          </w:rPr>
          <w:fldChar w:fldCharType="separate"/>
        </w:r>
        <w:r w:rsidR="00BF2400">
          <w:rPr>
            <w:noProof/>
            <w:webHidden/>
          </w:rPr>
          <w:t>2</w:t>
        </w:r>
        <w:r w:rsidR="00EC36D2">
          <w:rPr>
            <w:noProof/>
            <w:webHidden/>
          </w:rPr>
          <w:fldChar w:fldCharType="end"/>
        </w:r>
      </w:hyperlink>
    </w:p>
    <w:p w14:paraId="6B370D6E" w14:textId="23626D93" w:rsidR="00EC36D2" w:rsidRDefault="00253107">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1" w:history="1">
        <w:r w:rsidR="00EC36D2" w:rsidRPr="0042428F">
          <w:rPr>
            <w:rStyle w:val="Hyperlink"/>
            <w:noProof/>
          </w:rPr>
          <w:t>NOTE ACCOMPANYING THE CONSOLIDATED ACCOUNTS</w:t>
        </w:r>
        <w:r w:rsidR="00EC36D2">
          <w:rPr>
            <w:noProof/>
            <w:webHidden/>
          </w:rPr>
          <w:tab/>
        </w:r>
        <w:r w:rsidR="00EC36D2">
          <w:rPr>
            <w:noProof/>
            <w:webHidden/>
          </w:rPr>
          <w:fldChar w:fldCharType="begin"/>
        </w:r>
        <w:r w:rsidR="00EC36D2">
          <w:rPr>
            <w:noProof/>
            <w:webHidden/>
          </w:rPr>
          <w:instrText xml:space="preserve"> PAGEREF _Toc232674971 \h </w:instrText>
        </w:r>
        <w:r w:rsidR="00EC36D2">
          <w:rPr>
            <w:noProof/>
            <w:webHidden/>
          </w:rPr>
        </w:r>
        <w:r w:rsidR="00EC36D2">
          <w:rPr>
            <w:noProof/>
            <w:webHidden/>
          </w:rPr>
          <w:fldChar w:fldCharType="separate"/>
        </w:r>
        <w:r w:rsidR="00BF2400">
          <w:rPr>
            <w:noProof/>
            <w:webHidden/>
          </w:rPr>
          <w:t>33</w:t>
        </w:r>
        <w:r w:rsidR="00EC36D2">
          <w:rPr>
            <w:noProof/>
            <w:webHidden/>
          </w:rPr>
          <w:fldChar w:fldCharType="end"/>
        </w:r>
      </w:hyperlink>
    </w:p>
    <w:p w14:paraId="3A0B1D1D" w14:textId="5BAD8036" w:rsidR="00EC36D2" w:rsidRDefault="00253107">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2" w:history="1">
        <w:r w:rsidR="00EC36D2" w:rsidRPr="0042428F">
          <w:rPr>
            <w:rStyle w:val="Hyperlink"/>
            <w:noProof/>
          </w:rPr>
          <w:t>CONSOLIDATED FINANCIAL STATEMENTS AND EXPLANATORY NOTES</w:t>
        </w:r>
        <w:r w:rsidR="00EC36D2">
          <w:rPr>
            <w:noProof/>
            <w:webHidden/>
          </w:rPr>
          <w:tab/>
        </w:r>
        <w:r w:rsidR="00EC36D2">
          <w:rPr>
            <w:noProof/>
            <w:webHidden/>
          </w:rPr>
          <w:fldChar w:fldCharType="begin"/>
        </w:r>
        <w:r w:rsidR="00EC36D2">
          <w:rPr>
            <w:noProof/>
            <w:webHidden/>
          </w:rPr>
          <w:instrText xml:space="preserve"> PAGEREF _Toc232674972 \h </w:instrText>
        </w:r>
        <w:r w:rsidR="00EC36D2">
          <w:rPr>
            <w:noProof/>
            <w:webHidden/>
          </w:rPr>
        </w:r>
        <w:r w:rsidR="00EC36D2">
          <w:rPr>
            <w:noProof/>
            <w:webHidden/>
          </w:rPr>
          <w:fldChar w:fldCharType="separate"/>
        </w:r>
        <w:r w:rsidR="00BF2400">
          <w:rPr>
            <w:noProof/>
            <w:webHidden/>
          </w:rPr>
          <w:t>34</w:t>
        </w:r>
        <w:r w:rsidR="00EC36D2">
          <w:rPr>
            <w:noProof/>
            <w:webHidden/>
          </w:rPr>
          <w:fldChar w:fldCharType="end"/>
        </w:r>
      </w:hyperlink>
    </w:p>
    <w:p w14:paraId="5768A798" w14:textId="79C4B406" w:rsidR="00EC36D2" w:rsidRDefault="00253107">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3" w:history="1">
        <w:r w:rsidR="00EC36D2" w:rsidRPr="0042428F">
          <w:rPr>
            <w:rStyle w:val="Hyperlink"/>
            <w:noProof/>
            <w:lang w:val="fr-BE"/>
          </w:rPr>
          <w:t>BALANCE SHEET</w:t>
        </w:r>
        <w:r w:rsidR="00EC36D2">
          <w:rPr>
            <w:noProof/>
            <w:webHidden/>
          </w:rPr>
          <w:tab/>
        </w:r>
        <w:r w:rsidR="00EC36D2">
          <w:rPr>
            <w:noProof/>
            <w:webHidden/>
          </w:rPr>
          <w:fldChar w:fldCharType="begin"/>
        </w:r>
        <w:r w:rsidR="00EC36D2">
          <w:rPr>
            <w:noProof/>
            <w:webHidden/>
          </w:rPr>
          <w:instrText xml:space="preserve"> PAGEREF _Toc232674973 \h </w:instrText>
        </w:r>
        <w:r w:rsidR="00EC36D2">
          <w:rPr>
            <w:noProof/>
            <w:webHidden/>
          </w:rPr>
        </w:r>
        <w:r w:rsidR="00EC36D2">
          <w:rPr>
            <w:noProof/>
            <w:webHidden/>
          </w:rPr>
          <w:fldChar w:fldCharType="separate"/>
        </w:r>
        <w:r w:rsidR="00BF2400">
          <w:rPr>
            <w:noProof/>
            <w:webHidden/>
          </w:rPr>
          <w:t>36</w:t>
        </w:r>
        <w:r w:rsidR="00EC36D2">
          <w:rPr>
            <w:noProof/>
            <w:webHidden/>
          </w:rPr>
          <w:fldChar w:fldCharType="end"/>
        </w:r>
      </w:hyperlink>
    </w:p>
    <w:p w14:paraId="64F245B0" w14:textId="56A6C35C" w:rsidR="00EC36D2" w:rsidRDefault="00253107">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4" w:history="1">
        <w:r w:rsidR="00EC36D2" w:rsidRPr="0042428F">
          <w:rPr>
            <w:rStyle w:val="Hyperlink"/>
            <w:noProof/>
            <w:lang w:val="fr-BE"/>
          </w:rPr>
          <w:t>STATEMENT OF FINANCIAL PERFORMANCE</w:t>
        </w:r>
        <w:r w:rsidR="00EC36D2">
          <w:rPr>
            <w:noProof/>
            <w:webHidden/>
          </w:rPr>
          <w:tab/>
        </w:r>
        <w:r w:rsidR="00EC36D2">
          <w:rPr>
            <w:noProof/>
            <w:webHidden/>
          </w:rPr>
          <w:fldChar w:fldCharType="begin"/>
        </w:r>
        <w:r w:rsidR="00EC36D2">
          <w:rPr>
            <w:noProof/>
            <w:webHidden/>
          </w:rPr>
          <w:instrText xml:space="preserve"> PAGEREF _Toc232674974 \h </w:instrText>
        </w:r>
        <w:r w:rsidR="00EC36D2">
          <w:rPr>
            <w:noProof/>
            <w:webHidden/>
          </w:rPr>
        </w:r>
        <w:r w:rsidR="00EC36D2">
          <w:rPr>
            <w:noProof/>
            <w:webHidden/>
          </w:rPr>
          <w:fldChar w:fldCharType="separate"/>
        </w:r>
        <w:r w:rsidR="00BF2400">
          <w:rPr>
            <w:noProof/>
            <w:webHidden/>
          </w:rPr>
          <w:t>37</w:t>
        </w:r>
        <w:r w:rsidR="00EC36D2">
          <w:rPr>
            <w:noProof/>
            <w:webHidden/>
          </w:rPr>
          <w:fldChar w:fldCharType="end"/>
        </w:r>
      </w:hyperlink>
    </w:p>
    <w:p w14:paraId="3D68581D" w14:textId="62ACBBC1" w:rsidR="00EC36D2" w:rsidRDefault="00253107">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5" w:history="1">
        <w:r w:rsidR="00EC36D2" w:rsidRPr="0042428F">
          <w:rPr>
            <w:rStyle w:val="Hyperlink"/>
            <w:noProof/>
            <w:lang w:val="fr-BE"/>
          </w:rPr>
          <w:t>CASHFLOW STATEMENT</w:t>
        </w:r>
        <w:r w:rsidR="00EC36D2">
          <w:rPr>
            <w:noProof/>
            <w:webHidden/>
          </w:rPr>
          <w:tab/>
        </w:r>
        <w:r w:rsidR="00EC36D2">
          <w:rPr>
            <w:noProof/>
            <w:webHidden/>
          </w:rPr>
          <w:fldChar w:fldCharType="begin"/>
        </w:r>
        <w:r w:rsidR="00EC36D2">
          <w:rPr>
            <w:noProof/>
            <w:webHidden/>
          </w:rPr>
          <w:instrText xml:space="preserve"> PAGEREF _Toc232674975 \h </w:instrText>
        </w:r>
        <w:r w:rsidR="00EC36D2">
          <w:rPr>
            <w:noProof/>
            <w:webHidden/>
          </w:rPr>
        </w:r>
        <w:r w:rsidR="00EC36D2">
          <w:rPr>
            <w:noProof/>
            <w:webHidden/>
          </w:rPr>
          <w:fldChar w:fldCharType="separate"/>
        </w:r>
        <w:r w:rsidR="00BF2400">
          <w:rPr>
            <w:noProof/>
            <w:webHidden/>
          </w:rPr>
          <w:t>38</w:t>
        </w:r>
        <w:r w:rsidR="00EC36D2">
          <w:rPr>
            <w:noProof/>
            <w:webHidden/>
          </w:rPr>
          <w:fldChar w:fldCharType="end"/>
        </w:r>
      </w:hyperlink>
    </w:p>
    <w:p w14:paraId="67092EF1" w14:textId="060BBB23" w:rsidR="00EC36D2" w:rsidRDefault="00253107">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6" w:history="1">
        <w:r w:rsidR="00EC36D2" w:rsidRPr="0042428F">
          <w:rPr>
            <w:rStyle w:val="Hyperlink"/>
            <w:noProof/>
          </w:rPr>
          <w:t>STATEMENT OF CHANGES IN NET ASSETS</w:t>
        </w:r>
        <w:r w:rsidR="00EC36D2">
          <w:rPr>
            <w:noProof/>
            <w:webHidden/>
          </w:rPr>
          <w:tab/>
        </w:r>
        <w:r w:rsidR="00EC36D2">
          <w:rPr>
            <w:noProof/>
            <w:webHidden/>
          </w:rPr>
          <w:fldChar w:fldCharType="begin"/>
        </w:r>
        <w:r w:rsidR="00EC36D2">
          <w:rPr>
            <w:noProof/>
            <w:webHidden/>
          </w:rPr>
          <w:instrText xml:space="preserve"> PAGEREF _Toc232674976 \h </w:instrText>
        </w:r>
        <w:r w:rsidR="00EC36D2">
          <w:rPr>
            <w:noProof/>
            <w:webHidden/>
          </w:rPr>
        </w:r>
        <w:r w:rsidR="00EC36D2">
          <w:rPr>
            <w:noProof/>
            <w:webHidden/>
          </w:rPr>
          <w:fldChar w:fldCharType="separate"/>
        </w:r>
        <w:r w:rsidR="00BF2400">
          <w:rPr>
            <w:noProof/>
            <w:webHidden/>
          </w:rPr>
          <w:t>39</w:t>
        </w:r>
        <w:r w:rsidR="00EC36D2">
          <w:rPr>
            <w:noProof/>
            <w:webHidden/>
          </w:rPr>
          <w:fldChar w:fldCharType="end"/>
        </w:r>
      </w:hyperlink>
    </w:p>
    <w:p w14:paraId="665ACEA8" w14:textId="2A3C0F96" w:rsidR="00EC36D2" w:rsidRDefault="00253107">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7" w:history="1">
        <w:r w:rsidR="00EC36D2" w:rsidRPr="0042428F">
          <w:rPr>
            <w:rStyle w:val="Hyperlink"/>
            <w:rFonts w:eastAsia="Calibri"/>
            <w:noProof/>
            <w:lang w:val="en-IE"/>
          </w:rPr>
          <w:t>NOTES TO THE FINANCIAL STATEMENTS</w:t>
        </w:r>
        <w:r w:rsidR="00EC36D2">
          <w:rPr>
            <w:noProof/>
            <w:webHidden/>
          </w:rPr>
          <w:tab/>
        </w:r>
        <w:r w:rsidR="00EC36D2">
          <w:rPr>
            <w:noProof/>
            <w:webHidden/>
          </w:rPr>
          <w:fldChar w:fldCharType="begin"/>
        </w:r>
        <w:r w:rsidR="00EC36D2">
          <w:rPr>
            <w:noProof/>
            <w:webHidden/>
          </w:rPr>
          <w:instrText xml:space="preserve"> PAGEREF _Toc232674977 \h </w:instrText>
        </w:r>
        <w:r w:rsidR="00EC36D2">
          <w:rPr>
            <w:noProof/>
            <w:webHidden/>
          </w:rPr>
        </w:r>
        <w:r w:rsidR="00EC36D2">
          <w:rPr>
            <w:noProof/>
            <w:webHidden/>
          </w:rPr>
          <w:fldChar w:fldCharType="separate"/>
        </w:r>
        <w:r w:rsidR="00BF2400">
          <w:rPr>
            <w:noProof/>
            <w:webHidden/>
          </w:rPr>
          <w:t>40</w:t>
        </w:r>
        <w:r w:rsidR="00EC36D2">
          <w:rPr>
            <w:noProof/>
            <w:webHidden/>
          </w:rPr>
          <w:fldChar w:fldCharType="end"/>
        </w:r>
      </w:hyperlink>
    </w:p>
    <w:p w14:paraId="44B6ED94" w14:textId="1221F259" w:rsidR="00EC36D2" w:rsidRDefault="00253107">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8" w:history="1">
        <w:r w:rsidR="00EC36D2" w:rsidRPr="0042428F">
          <w:rPr>
            <w:rStyle w:val="Hyperlink"/>
            <w:noProof/>
          </w:rPr>
          <w:t>BUDGETARY IMPLEMENTATION REPORTS AND EXPLANATORY NOTES</w:t>
        </w:r>
        <w:r w:rsidR="00EC36D2">
          <w:rPr>
            <w:noProof/>
            <w:webHidden/>
          </w:rPr>
          <w:tab/>
        </w:r>
        <w:r w:rsidR="00EC36D2">
          <w:rPr>
            <w:noProof/>
            <w:webHidden/>
          </w:rPr>
          <w:fldChar w:fldCharType="begin"/>
        </w:r>
        <w:r w:rsidR="00EC36D2">
          <w:rPr>
            <w:noProof/>
            <w:webHidden/>
          </w:rPr>
          <w:instrText xml:space="preserve"> PAGEREF _Toc232674978 \h </w:instrText>
        </w:r>
        <w:r w:rsidR="00EC36D2">
          <w:rPr>
            <w:noProof/>
            <w:webHidden/>
          </w:rPr>
        </w:r>
        <w:r w:rsidR="00EC36D2">
          <w:rPr>
            <w:noProof/>
            <w:webHidden/>
          </w:rPr>
          <w:fldChar w:fldCharType="separate"/>
        </w:r>
        <w:r w:rsidR="00BF2400">
          <w:rPr>
            <w:noProof/>
            <w:webHidden/>
          </w:rPr>
          <w:t>140</w:t>
        </w:r>
        <w:r w:rsidR="00EC36D2">
          <w:rPr>
            <w:noProof/>
            <w:webHidden/>
          </w:rPr>
          <w:fldChar w:fldCharType="end"/>
        </w:r>
      </w:hyperlink>
    </w:p>
    <w:p w14:paraId="38C52BD8" w14:textId="615671C2" w:rsidR="00EC36D2" w:rsidRDefault="00253107">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79" w:history="1">
        <w:r w:rsidR="00EC36D2" w:rsidRPr="0042428F">
          <w:rPr>
            <w:rStyle w:val="Hyperlink"/>
            <w:noProof/>
          </w:rPr>
          <w:t>GLOSSARY</w:t>
        </w:r>
        <w:r w:rsidR="00EC36D2">
          <w:rPr>
            <w:noProof/>
            <w:webHidden/>
          </w:rPr>
          <w:tab/>
        </w:r>
        <w:r w:rsidR="00EC36D2">
          <w:rPr>
            <w:noProof/>
            <w:webHidden/>
          </w:rPr>
          <w:fldChar w:fldCharType="begin"/>
        </w:r>
        <w:r w:rsidR="00EC36D2">
          <w:rPr>
            <w:noProof/>
            <w:webHidden/>
          </w:rPr>
          <w:instrText xml:space="preserve"> PAGEREF _Toc232674979 \h </w:instrText>
        </w:r>
        <w:r w:rsidR="00EC36D2">
          <w:rPr>
            <w:noProof/>
            <w:webHidden/>
          </w:rPr>
        </w:r>
        <w:r w:rsidR="00EC36D2">
          <w:rPr>
            <w:noProof/>
            <w:webHidden/>
          </w:rPr>
          <w:fldChar w:fldCharType="separate"/>
        </w:r>
        <w:r w:rsidR="00BF2400">
          <w:rPr>
            <w:noProof/>
            <w:webHidden/>
          </w:rPr>
          <w:t>204</w:t>
        </w:r>
        <w:r w:rsidR="00EC36D2">
          <w:rPr>
            <w:noProof/>
            <w:webHidden/>
          </w:rPr>
          <w:fldChar w:fldCharType="end"/>
        </w:r>
      </w:hyperlink>
    </w:p>
    <w:p w14:paraId="7F2FD894" w14:textId="24D47B4F" w:rsidR="00EC36D2" w:rsidRDefault="00253107">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2674980" w:history="1">
        <w:r w:rsidR="00EC36D2" w:rsidRPr="0042428F">
          <w:rPr>
            <w:rStyle w:val="Hyperlink"/>
            <w:noProof/>
          </w:rPr>
          <w:t>LIST OF ABBREVIATIONS</w:t>
        </w:r>
        <w:r w:rsidR="00EC36D2">
          <w:rPr>
            <w:noProof/>
            <w:webHidden/>
          </w:rPr>
          <w:tab/>
        </w:r>
        <w:r w:rsidR="00EC36D2">
          <w:rPr>
            <w:noProof/>
            <w:webHidden/>
          </w:rPr>
          <w:fldChar w:fldCharType="begin"/>
        </w:r>
        <w:r w:rsidR="00EC36D2">
          <w:rPr>
            <w:noProof/>
            <w:webHidden/>
          </w:rPr>
          <w:instrText xml:space="preserve"> PAGEREF _Toc232674980 \h </w:instrText>
        </w:r>
        <w:r w:rsidR="00EC36D2">
          <w:rPr>
            <w:noProof/>
            <w:webHidden/>
          </w:rPr>
        </w:r>
        <w:r w:rsidR="00EC36D2">
          <w:rPr>
            <w:noProof/>
            <w:webHidden/>
          </w:rPr>
          <w:fldChar w:fldCharType="separate"/>
        </w:r>
        <w:r w:rsidR="00BF2400">
          <w:rPr>
            <w:noProof/>
            <w:webHidden/>
          </w:rPr>
          <w:t>208</w:t>
        </w:r>
        <w:r w:rsidR="00EC36D2">
          <w:rPr>
            <w:noProof/>
            <w:webHidden/>
          </w:rPr>
          <w:fldChar w:fldCharType="end"/>
        </w:r>
      </w:hyperlink>
    </w:p>
    <w:p w14:paraId="296090F6" w14:textId="6994A12C" w:rsidR="00207986" w:rsidRDefault="00023E71" w:rsidP="00207986">
      <w:pPr>
        <w:pStyle w:val="Textstand-alone"/>
        <w:sectPr w:rsidR="00207986">
          <w:headerReference w:type="even" r:id="rId18"/>
          <w:headerReference w:type="default" r:id="rId19"/>
          <w:footerReference w:type="even" r:id="rId20"/>
          <w:footerReference w:type="default" r:id="rId21"/>
          <w:headerReference w:type="first" r:id="rId22"/>
          <w:footerReference w:type="first" r:id="rId23"/>
          <w:pgSz w:w="11907" w:h="16840"/>
          <w:pgMar w:top="1440" w:right="1440" w:bottom="1440" w:left="1440" w:header="708" w:footer="708" w:gutter="0"/>
          <w:cols w:space="708"/>
          <w:docGrid w:linePitch="360"/>
        </w:sectPr>
      </w:pPr>
      <w:r>
        <w:rPr>
          <w:caps/>
          <w:color w:val="016894"/>
          <w:sz w:val="20"/>
          <w:szCs w:val="24"/>
          <w:lang w:eastAsia="en-GB"/>
        </w:rPr>
        <w:fldChar w:fldCharType="end"/>
      </w:r>
      <w:r>
        <w:rPr>
          <w:caps/>
          <w:color w:val="016894"/>
          <w:sz w:val="20"/>
          <w:szCs w:val="24"/>
          <w:lang w:eastAsia="en-GB"/>
        </w:rPr>
        <w:t xml:space="preserve"> </w:t>
      </w:r>
      <w:bookmarkEnd w:id="3"/>
    </w:p>
    <w:p w14:paraId="78A5F572" w14:textId="77777777" w:rsidR="00FA37FA" w:rsidRPr="0043794F" w:rsidRDefault="00FA37FA" w:rsidP="00FA37FA">
      <w:pPr>
        <w:pStyle w:val="Textstand-alone"/>
        <w:rPr>
          <w:lang w:val="el-GR"/>
        </w:rPr>
      </w:pPr>
      <w:bookmarkStart w:id="5" w:name="_DMBM_36670"/>
    </w:p>
    <w:p w14:paraId="11C60C94" w14:textId="77777777" w:rsidR="00FA37FA" w:rsidRDefault="00FA37FA" w:rsidP="00FA37FA">
      <w:pPr>
        <w:pStyle w:val="Textstand-alone"/>
      </w:pPr>
    </w:p>
    <w:p w14:paraId="75DD4E79" w14:textId="77777777" w:rsidR="00FA37FA" w:rsidRDefault="00FA37FA" w:rsidP="00FA37FA">
      <w:pPr>
        <w:pStyle w:val="Textstand-alone"/>
      </w:pPr>
    </w:p>
    <w:p w14:paraId="46186773" w14:textId="77777777" w:rsidR="00FA37FA" w:rsidRDefault="00FA37FA" w:rsidP="00FA37FA">
      <w:pPr>
        <w:pStyle w:val="Textstand-alone"/>
      </w:pPr>
    </w:p>
    <w:p w14:paraId="31458B68" w14:textId="77777777" w:rsidR="00FA37FA" w:rsidRDefault="00FA37FA" w:rsidP="00FA37FA">
      <w:pPr>
        <w:pStyle w:val="FIRSTCHAPTERPAGE"/>
        <w:rPr>
          <w:noProof/>
        </w:rPr>
      </w:pPr>
    </w:p>
    <w:p w14:paraId="5401EC72" w14:textId="77777777" w:rsidR="00FA37FA" w:rsidRDefault="00FA37FA" w:rsidP="00FA37FA">
      <w:pPr>
        <w:pStyle w:val="FIRSTCHAPTERPAGE"/>
        <w:rPr>
          <w:noProof/>
        </w:rPr>
      </w:pPr>
    </w:p>
    <w:p w14:paraId="68D8BF2F" w14:textId="77777777" w:rsidR="00FA37FA" w:rsidRDefault="00FA37FA" w:rsidP="00FA37FA">
      <w:pPr>
        <w:pStyle w:val="FIRSTCHAPTERPAGE"/>
        <w:rPr>
          <w:noProof/>
        </w:rPr>
      </w:pPr>
    </w:p>
    <w:p w14:paraId="5E2B4BE2" w14:textId="77777777" w:rsidR="00FA37FA" w:rsidRDefault="00023E71" w:rsidP="00FA37FA">
      <w:pPr>
        <w:pStyle w:val="FIRSTCHAPTERPAGE"/>
        <w:rPr>
          <w:noProof/>
        </w:rPr>
      </w:pPr>
      <w:bookmarkStart w:id="6" w:name="_Toc232674970"/>
      <w:r>
        <w:rPr>
          <w:noProof/>
        </w:rPr>
        <w:t>FINANCIAL HIGHLIGHTS OF THE YEAR</w:t>
      </w:r>
      <w:bookmarkEnd w:id="6"/>
    </w:p>
    <w:p w14:paraId="3E0B06D3" w14:textId="77777777" w:rsidR="00FA37FA" w:rsidRDefault="00FA37FA" w:rsidP="00FA37FA">
      <w:pPr>
        <w:pStyle w:val="DGTextstand-alone"/>
      </w:pPr>
    </w:p>
    <w:p w14:paraId="4811B1CE" w14:textId="77777777" w:rsidR="00FA37FA" w:rsidRDefault="00FA37FA" w:rsidP="00FA37FA">
      <w:pPr>
        <w:pStyle w:val="DGTextstand-alone"/>
        <w:rPr>
          <w:i/>
        </w:rPr>
      </w:pPr>
    </w:p>
    <w:p w14:paraId="69DF0DEA" w14:textId="77777777" w:rsidR="00FA37FA" w:rsidRDefault="00FA37FA" w:rsidP="00FA37FA">
      <w:pPr>
        <w:pStyle w:val="DGTextstand-alone"/>
        <w:rPr>
          <w:i/>
        </w:rPr>
      </w:pPr>
    </w:p>
    <w:p w14:paraId="2D25C14C" w14:textId="77777777" w:rsidR="00FA37FA" w:rsidRDefault="00FA37FA" w:rsidP="00FA37FA">
      <w:pPr>
        <w:pStyle w:val="DGTextstand-alone"/>
        <w:rPr>
          <w:i/>
        </w:rPr>
      </w:pPr>
    </w:p>
    <w:p w14:paraId="1C753AAE" w14:textId="77777777" w:rsidR="00FA37FA" w:rsidRDefault="00FA37FA" w:rsidP="00FA37FA">
      <w:pPr>
        <w:pStyle w:val="DGTextstand-alone"/>
        <w:rPr>
          <w:i/>
        </w:rPr>
      </w:pPr>
    </w:p>
    <w:p w14:paraId="5858F648" w14:textId="77777777" w:rsidR="00FA37FA" w:rsidRDefault="00FA37FA" w:rsidP="00FA37FA">
      <w:pPr>
        <w:pStyle w:val="DGTextstand-alone"/>
        <w:rPr>
          <w:i/>
        </w:rPr>
      </w:pPr>
    </w:p>
    <w:p w14:paraId="67ED1686" w14:textId="77777777" w:rsidR="00FA37FA" w:rsidRDefault="00FA37FA" w:rsidP="00FA37FA">
      <w:pPr>
        <w:pStyle w:val="DGTextstand-alone"/>
        <w:rPr>
          <w:i/>
        </w:rPr>
      </w:pPr>
    </w:p>
    <w:p w14:paraId="0D8601E0" w14:textId="77777777" w:rsidR="00FA37FA" w:rsidRDefault="00FA37FA" w:rsidP="00FA37FA">
      <w:pPr>
        <w:pStyle w:val="DGTextstand-alone"/>
        <w:rPr>
          <w:i/>
        </w:rPr>
      </w:pPr>
    </w:p>
    <w:p w14:paraId="6902B721" w14:textId="77777777" w:rsidR="00FA37FA" w:rsidRDefault="00FA37FA" w:rsidP="00FA37FA">
      <w:pPr>
        <w:pStyle w:val="DGTextstand-alone"/>
        <w:rPr>
          <w:i/>
        </w:rPr>
      </w:pPr>
    </w:p>
    <w:p w14:paraId="28385524" w14:textId="77777777" w:rsidR="00AC0B32" w:rsidRDefault="00AC0B32" w:rsidP="00FA37FA">
      <w:pPr>
        <w:pStyle w:val="DGTextstand-alone"/>
        <w:rPr>
          <w:i/>
        </w:rPr>
      </w:pPr>
    </w:p>
    <w:p w14:paraId="14270BFD" w14:textId="77777777" w:rsidR="00C56697" w:rsidRDefault="00C56697" w:rsidP="00FA37FA">
      <w:pPr>
        <w:pStyle w:val="DGTextstand-alone"/>
        <w:rPr>
          <w:i/>
        </w:rPr>
      </w:pPr>
    </w:p>
    <w:p w14:paraId="3903AE72" w14:textId="77777777" w:rsidR="00C56697" w:rsidRDefault="00C56697" w:rsidP="00FA37FA">
      <w:pPr>
        <w:pStyle w:val="DGTextstand-alone"/>
        <w:rPr>
          <w:i/>
        </w:rPr>
      </w:pPr>
    </w:p>
    <w:p w14:paraId="5D481478" w14:textId="77777777" w:rsidR="004444A9" w:rsidRPr="00C56697" w:rsidRDefault="00023E71" w:rsidP="00C56697">
      <w:pPr>
        <w:jc w:val="both"/>
        <w:rPr>
          <w:rFonts w:ascii="Verdana" w:hAnsi="Verdana"/>
          <w:i/>
          <w:noProof/>
          <w:color w:val="016794"/>
          <w:sz w:val="18"/>
        </w:rPr>
      </w:pPr>
      <w:r w:rsidRPr="00C56697">
        <w:rPr>
          <w:rFonts w:ascii="Verdana" w:hAnsi="Verdana"/>
          <w:i/>
          <w:noProof/>
          <w:color w:val="016794"/>
          <w:sz w:val="18"/>
        </w:rPr>
        <w:t xml:space="preserve">The objective of </w:t>
      </w:r>
      <w:r w:rsidRPr="001A46F0">
        <w:rPr>
          <w:rFonts w:ascii="Verdana" w:hAnsi="Verdana"/>
          <w:i/>
          <w:noProof/>
          <w:color w:val="016794"/>
          <w:sz w:val="18"/>
        </w:rPr>
        <w:t>this section</w:t>
      </w:r>
      <w:r w:rsidR="00EA67AF">
        <w:rPr>
          <w:rFonts w:ascii="Verdana" w:hAnsi="Verdana"/>
          <w:i/>
          <w:noProof/>
          <w:color w:val="016794"/>
          <w:sz w:val="18"/>
        </w:rPr>
        <w:t xml:space="preserve"> on financial highlights</w:t>
      </w:r>
      <w:r w:rsidRPr="00C56697">
        <w:rPr>
          <w:rFonts w:ascii="Verdana" w:hAnsi="Verdana"/>
          <w:i/>
          <w:noProof/>
          <w:color w:val="016794"/>
          <w:sz w:val="18"/>
        </w:rPr>
        <w:t xml:space="preserve">, which has been prepared on the basis of the principles outlined in the IPSASB Recommended Practice Guideline (RPG) 2 ‘Financial Statement Discussion and Analysis’ is to assist readers </w:t>
      </w:r>
      <w:r w:rsidR="00EA67AF">
        <w:rPr>
          <w:rFonts w:ascii="Verdana" w:hAnsi="Verdana"/>
          <w:i/>
          <w:noProof/>
          <w:color w:val="016794"/>
          <w:sz w:val="18"/>
        </w:rPr>
        <w:t>in</w:t>
      </w:r>
      <w:r w:rsidRPr="00C56697">
        <w:rPr>
          <w:rFonts w:ascii="Verdana" w:hAnsi="Verdana"/>
          <w:i/>
          <w:noProof/>
          <w:color w:val="016794"/>
          <w:sz w:val="18"/>
        </w:rPr>
        <w:t xml:space="preserve"> understand</w:t>
      </w:r>
      <w:r w:rsidR="00EA67AF">
        <w:rPr>
          <w:rFonts w:ascii="Verdana" w:hAnsi="Verdana"/>
          <w:i/>
          <w:noProof/>
          <w:color w:val="016794"/>
          <w:sz w:val="18"/>
        </w:rPr>
        <w:t>ing</w:t>
      </w:r>
      <w:r w:rsidRPr="00C56697">
        <w:rPr>
          <w:rFonts w:ascii="Verdana" w:hAnsi="Verdana"/>
          <w:i/>
          <w:noProof/>
          <w:color w:val="016794"/>
          <w:sz w:val="18"/>
        </w:rPr>
        <w:t xml:space="preserve"> how the operational, financial and investment activities of the EU are reflected in the different elements of the consolidated financial statements of the EU. The information presented in this section has not been audited</w:t>
      </w:r>
      <w:r>
        <w:rPr>
          <w:rFonts w:ascii="Verdana" w:hAnsi="Verdana"/>
          <w:i/>
          <w:noProof/>
          <w:color w:val="016794"/>
          <w:sz w:val="18"/>
        </w:rPr>
        <w:t>.</w:t>
      </w:r>
    </w:p>
    <w:p w14:paraId="31461D41" w14:textId="77777777" w:rsidR="00C56697" w:rsidRDefault="00C56697" w:rsidP="00C56697">
      <w:pPr>
        <w:jc w:val="both"/>
        <w:rPr>
          <w:rFonts w:ascii="Verdana" w:hAnsi="Verdana"/>
          <w:i/>
          <w:noProof/>
          <w:color w:val="016794"/>
          <w:sz w:val="18"/>
        </w:rPr>
      </w:pPr>
    </w:p>
    <w:p w14:paraId="69DD2266" w14:textId="77777777" w:rsidR="00FA37FA" w:rsidRPr="00067EEA" w:rsidRDefault="00023E71" w:rsidP="00C56697">
      <w:pPr>
        <w:jc w:val="both"/>
        <w:rPr>
          <w:rFonts w:ascii="Verdana" w:hAnsi="Verdana"/>
          <w:i/>
          <w:noProof/>
          <w:sz w:val="18"/>
          <w:szCs w:val="18"/>
        </w:rPr>
      </w:pPr>
      <w:r>
        <w:rPr>
          <w:rFonts w:ascii="Verdana" w:hAnsi="Verdana"/>
          <w:i/>
          <w:noProof/>
          <w:color w:val="016794"/>
          <w:sz w:val="18"/>
        </w:rPr>
        <w:t>Please</w:t>
      </w:r>
      <w:r w:rsidR="00A964CF" w:rsidRPr="00283A39">
        <w:rPr>
          <w:rFonts w:ascii="Verdana" w:hAnsi="Verdana"/>
          <w:i/>
          <w:noProof/>
          <w:color w:val="016794"/>
          <w:sz w:val="18"/>
        </w:rPr>
        <w:t xml:space="preserve"> not</w:t>
      </w:r>
      <w:r>
        <w:rPr>
          <w:rFonts w:ascii="Verdana" w:hAnsi="Verdana"/>
          <w:i/>
          <w:noProof/>
          <w:color w:val="016794"/>
          <w:sz w:val="18"/>
        </w:rPr>
        <w:t>e</w:t>
      </w:r>
      <w:r w:rsidR="00A964CF" w:rsidRPr="00283A39">
        <w:rPr>
          <w:rFonts w:ascii="Verdana" w:hAnsi="Verdana"/>
          <w:i/>
          <w:noProof/>
          <w:color w:val="016794"/>
          <w:sz w:val="18"/>
        </w:rPr>
        <w:t xml:space="preserve"> that due to the rounding of figures into millions of euro, some financial data in the ta</w:t>
      </w:r>
      <w:r w:rsidR="00A964CF">
        <w:rPr>
          <w:rFonts w:ascii="Verdana" w:hAnsi="Verdana"/>
          <w:i/>
          <w:noProof/>
          <w:color w:val="016794"/>
          <w:sz w:val="18"/>
        </w:rPr>
        <w:t>b</w:t>
      </w:r>
      <w:r w:rsidR="00A964CF" w:rsidRPr="00283A39">
        <w:rPr>
          <w:rFonts w:ascii="Verdana" w:hAnsi="Verdana"/>
          <w:i/>
          <w:noProof/>
          <w:color w:val="016794"/>
          <w:sz w:val="18"/>
        </w:rPr>
        <w:t>les below may appear not to add up.</w:t>
      </w:r>
      <w:r w:rsidR="00A964CF" w:rsidRPr="00067EEA">
        <w:rPr>
          <w:i/>
          <w:noProof/>
        </w:rPr>
        <w:br w:type="page"/>
      </w:r>
    </w:p>
    <w:p w14:paraId="637D9073" w14:textId="77777777" w:rsidR="00FA37FA" w:rsidRDefault="00023E71" w:rsidP="00FA37FA">
      <w:pPr>
        <w:pStyle w:val="HEADERTABLE"/>
        <w:rPr>
          <w:noProof/>
        </w:rPr>
      </w:pPr>
      <w:r w:rsidRPr="00E33112">
        <w:rPr>
          <w:noProof/>
        </w:rPr>
        <w:t>CONTENTS</w:t>
      </w:r>
    </w:p>
    <w:sdt>
      <w:sdtPr>
        <w:rPr>
          <w:rFonts w:ascii="Times New Roman" w:eastAsia="Times New Roman" w:hAnsi="Times New Roman" w:cs="Times New Roman"/>
          <w:b w:val="0"/>
          <w:bCs w:val="0"/>
          <w:noProof/>
          <w:color w:val="auto"/>
          <w:sz w:val="24"/>
          <w:szCs w:val="24"/>
          <w:lang w:val="en-GB" w:eastAsia="en-GB"/>
        </w:rPr>
        <w:id w:val="-428046295"/>
        <w:docPartObj>
          <w:docPartGallery w:val="Table of Contents"/>
          <w:docPartUnique/>
        </w:docPartObj>
      </w:sdtPr>
      <w:sdtEndPr/>
      <w:sdtContent>
        <w:p w14:paraId="631B6D1B" w14:textId="77777777" w:rsidR="00FA37FA" w:rsidRDefault="00FA37FA">
          <w:pPr>
            <w:pStyle w:val="TOCHeading"/>
            <w:rPr>
              <w:noProof/>
            </w:rPr>
          </w:pPr>
        </w:p>
        <w:p w14:paraId="08EFAAA2" w14:textId="6A422A15" w:rsidR="00AF4FED" w:rsidRDefault="00023E71">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r>
            <w:rPr>
              <w:noProof/>
            </w:rPr>
            <w:fldChar w:fldCharType="begin"/>
          </w:r>
          <w:r>
            <w:rPr>
              <w:noProof/>
            </w:rPr>
            <w:instrText xml:space="preserve"> TOC \o "1-3" \h \z \t "HEADER 1_Part 4;1;HEADER 2_Part 4;2" </w:instrText>
          </w:r>
          <w:r>
            <w:rPr>
              <w:noProof/>
            </w:rPr>
            <w:fldChar w:fldCharType="separate"/>
          </w:r>
          <w:hyperlink w:anchor="_Toc232671717" w:history="1">
            <w:r w:rsidR="00AF4FED" w:rsidRPr="008F1F99">
              <w:rPr>
                <w:rStyle w:val="Hyperlink"/>
                <w:noProof/>
              </w:rPr>
              <w:t>1.</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KEY FIGURES AND HIGHLIGHTS OF THE YEAR</w:t>
            </w:r>
            <w:r w:rsidR="00AF4FED">
              <w:rPr>
                <w:noProof/>
                <w:webHidden/>
              </w:rPr>
              <w:tab/>
            </w:r>
            <w:r w:rsidR="00AF4FED">
              <w:rPr>
                <w:noProof/>
                <w:webHidden/>
              </w:rPr>
              <w:fldChar w:fldCharType="begin"/>
            </w:r>
            <w:r w:rsidR="00AF4FED">
              <w:rPr>
                <w:noProof/>
                <w:webHidden/>
              </w:rPr>
              <w:instrText xml:space="preserve"> PAGEREF _Toc232671717 \h </w:instrText>
            </w:r>
            <w:r w:rsidR="00AF4FED">
              <w:rPr>
                <w:noProof/>
                <w:webHidden/>
              </w:rPr>
            </w:r>
            <w:r w:rsidR="00AF4FED">
              <w:rPr>
                <w:noProof/>
                <w:webHidden/>
              </w:rPr>
              <w:fldChar w:fldCharType="separate"/>
            </w:r>
            <w:r w:rsidR="00BF2400">
              <w:rPr>
                <w:noProof/>
                <w:webHidden/>
              </w:rPr>
              <w:t>4</w:t>
            </w:r>
            <w:r w:rsidR="00AF4FED">
              <w:rPr>
                <w:noProof/>
                <w:webHidden/>
              </w:rPr>
              <w:fldChar w:fldCharType="end"/>
            </w:r>
          </w:hyperlink>
        </w:p>
        <w:p w14:paraId="6D71AC54" w14:textId="3367E1EA" w:rsidR="00AF4FE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18" w:history="1">
            <w:r w:rsidR="00AF4FED" w:rsidRPr="008F1F99">
              <w:rPr>
                <w:rStyle w:val="Hyperlink"/>
                <w:noProof/>
              </w:rPr>
              <w:t>2.</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SUMMARY OF BUDGET IMPLEMENTATION</w:t>
            </w:r>
            <w:r w:rsidR="00AF4FED">
              <w:rPr>
                <w:noProof/>
                <w:webHidden/>
              </w:rPr>
              <w:tab/>
            </w:r>
            <w:r w:rsidR="00AF4FED">
              <w:rPr>
                <w:noProof/>
                <w:webHidden/>
              </w:rPr>
              <w:fldChar w:fldCharType="begin"/>
            </w:r>
            <w:r w:rsidR="00AF4FED">
              <w:rPr>
                <w:noProof/>
                <w:webHidden/>
              </w:rPr>
              <w:instrText xml:space="preserve"> PAGEREF _Toc232671718 \h </w:instrText>
            </w:r>
            <w:r w:rsidR="00AF4FED">
              <w:rPr>
                <w:noProof/>
                <w:webHidden/>
              </w:rPr>
            </w:r>
            <w:r w:rsidR="00AF4FED">
              <w:rPr>
                <w:noProof/>
                <w:webHidden/>
              </w:rPr>
              <w:fldChar w:fldCharType="separate"/>
            </w:r>
            <w:r w:rsidR="00BF2400">
              <w:rPr>
                <w:noProof/>
                <w:webHidden/>
              </w:rPr>
              <w:t>8</w:t>
            </w:r>
            <w:r w:rsidR="00AF4FED">
              <w:rPr>
                <w:noProof/>
                <w:webHidden/>
              </w:rPr>
              <w:fldChar w:fldCharType="end"/>
            </w:r>
          </w:hyperlink>
        </w:p>
        <w:p w14:paraId="3CECFFCD" w14:textId="766B8BA1"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19" w:history="1">
            <w:r w:rsidR="00AF4FED" w:rsidRPr="008F1F99">
              <w:rPr>
                <w:rStyle w:val="Hyperlink"/>
                <w:noProof/>
              </w:rPr>
              <w:t>2.1.</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Revenue</w:t>
            </w:r>
            <w:r w:rsidR="00AF4FED">
              <w:rPr>
                <w:noProof/>
                <w:webHidden/>
              </w:rPr>
              <w:tab/>
            </w:r>
            <w:r w:rsidR="00AF4FED">
              <w:rPr>
                <w:noProof/>
                <w:webHidden/>
              </w:rPr>
              <w:fldChar w:fldCharType="begin"/>
            </w:r>
            <w:r w:rsidR="00AF4FED">
              <w:rPr>
                <w:noProof/>
                <w:webHidden/>
              </w:rPr>
              <w:instrText xml:space="preserve"> PAGEREF _Toc232671719 \h </w:instrText>
            </w:r>
            <w:r w:rsidR="00AF4FED">
              <w:rPr>
                <w:noProof/>
                <w:webHidden/>
              </w:rPr>
            </w:r>
            <w:r w:rsidR="00AF4FED">
              <w:rPr>
                <w:noProof/>
                <w:webHidden/>
              </w:rPr>
              <w:fldChar w:fldCharType="separate"/>
            </w:r>
            <w:r w:rsidR="00BF2400">
              <w:rPr>
                <w:noProof/>
                <w:webHidden/>
              </w:rPr>
              <w:t>8</w:t>
            </w:r>
            <w:r w:rsidR="00AF4FED">
              <w:rPr>
                <w:noProof/>
                <w:webHidden/>
              </w:rPr>
              <w:fldChar w:fldCharType="end"/>
            </w:r>
          </w:hyperlink>
        </w:p>
        <w:p w14:paraId="6B1E1F48" w14:textId="416C3FF9"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0" w:history="1">
            <w:r w:rsidR="00AF4FED" w:rsidRPr="008F1F99">
              <w:rPr>
                <w:rStyle w:val="Hyperlink"/>
                <w:noProof/>
              </w:rPr>
              <w:t>2.2.</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Expenditure</w:t>
            </w:r>
            <w:r w:rsidR="00AF4FED">
              <w:rPr>
                <w:noProof/>
                <w:webHidden/>
              </w:rPr>
              <w:tab/>
            </w:r>
            <w:r w:rsidR="00AF4FED">
              <w:rPr>
                <w:noProof/>
                <w:webHidden/>
              </w:rPr>
              <w:fldChar w:fldCharType="begin"/>
            </w:r>
            <w:r w:rsidR="00AF4FED">
              <w:rPr>
                <w:noProof/>
                <w:webHidden/>
              </w:rPr>
              <w:instrText xml:space="preserve"> PAGEREF _Toc232671720 \h </w:instrText>
            </w:r>
            <w:r w:rsidR="00AF4FED">
              <w:rPr>
                <w:noProof/>
                <w:webHidden/>
              </w:rPr>
            </w:r>
            <w:r w:rsidR="00AF4FED">
              <w:rPr>
                <w:noProof/>
                <w:webHidden/>
              </w:rPr>
              <w:fldChar w:fldCharType="separate"/>
            </w:r>
            <w:r w:rsidR="00BF2400">
              <w:rPr>
                <w:noProof/>
                <w:webHidden/>
              </w:rPr>
              <w:t>9</w:t>
            </w:r>
            <w:r w:rsidR="00AF4FED">
              <w:rPr>
                <w:noProof/>
                <w:webHidden/>
              </w:rPr>
              <w:fldChar w:fldCharType="end"/>
            </w:r>
          </w:hyperlink>
        </w:p>
        <w:p w14:paraId="7DA2F5C1" w14:textId="585FEDCA" w:rsidR="00AF4FE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1" w:history="1">
            <w:r w:rsidR="00AF4FED" w:rsidRPr="008F1F99">
              <w:rPr>
                <w:rStyle w:val="Hyperlink"/>
                <w:noProof/>
              </w:rPr>
              <w:t>3.</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NGEU IMPLEMENTATION</w:t>
            </w:r>
            <w:r w:rsidR="00AF4FED">
              <w:rPr>
                <w:noProof/>
                <w:webHidden/>
              </w:rPr>
              <w:tab/>
            </w:r>
            <w:r w:rsidR="00AF4FED">
              <w:rPr>
                <w:noProof/>
                <w:webHidden/>
              </w:rPr>
              <w:fldChar w:fldCharType="begin"/>
            </w:r>
            <w:r w:rsidR="00AF4FED">
              <w:rPr>
                <w:noProof/>
                <w:webHidden/>
              </w:rPr>
              <w:instrText xml:space="preserve"> PAGEREF _Toc232671721 \h </w:instrText>
            </w:r>
            <w:r w:rsidR="00AF4FED">
              <w:rPr>
                <w:noProof/>
                <w:webHidden/>
              </w:rPr>
            </w:r>
            <w:r w:rsidR="00AF4FED">
              <w:rPr>
                <w:noProof/>
                <w:webHidden/>
              </w:rPr>
              <w:fldChar w:fldCharType="separate"/>
            </w:r>
            <w:r w:rsidR="00BF2400">
              <w:rPr>
                <w:noProof/>
                <w:webHidden/>
              </w:rPr>
              <w:t>12</w:t>
            </w:r>
            <w:r w:rsidR="00AF4FED">
              <w:rPr>
                <w:noProof/>
                <w:webHidden/>
              </w:rPr>
              <w:fldChar w:fldCharType="end"/>
            </w:r>
          </w:hyperlink>
        </w:p>
        <w:p w14:paraId="6FBADCD4" w14:textId="145A087A"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2" w:history="1">
            <w:r w:rsidR="00AF4FED" w:rsidRPr="008F1F99">
              <w:rPr>
                <w:rStyle w:val="Hyperlink"/>
                <w:noProof/>
              </w:rPr>
              <w:t>3.1.</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Overview</w:t>
            </w:r>
            <w:r w:rsidR="00AF4FED">
              <w:rPr>
                <w:noProof/>
                <w:webHidden/>
              </w:rPr>
              <w:tab/>
            </w:r>
            <w:r w:rsidR="00AF4FED">
              <w:rPr>
                <w:noProof/>
                <w:webHidden/>
              </w:rPr>
              <w:fldChar w:fldCharType="begin"/>
            </w:r>
            <w:r w:rsidR="00AF4FED">
              <w:rPr>
                <w:noProof/>
                <w:webHidden/>
              </w:rPr>
              <w:instrText xml:space="preserve"> PAGEREF _Toc232671722 \h </w:instrText>
            </w:r>
            <w:r w:rsidR="00AF4FED">
              <w:rPr>
                <w:noProof/>
                <w:webHidden/>
              </w:rPr>
            </w:r>
            <w:r w:rsidR="00AF4FED">
              <w:rPr>
                <w:noProof/>
                <w:webHidden/>
              </w:rPr>
              <w:fldChar w:fldCharType="separate"/>
            </w:r>
            <w:r w:rsidR="00BF2400">
              <w:rPr>
                <w:noProof/>
                <w:webHidden/>
              </w:rPr>
              <w:t>12</w:t>
            </w:r>
            <w:r w:rsidR="00AF4FED">
              <w:rPr>
                <w:noProof/>
                <w:webHidden/>
              </w:rPr>
              <w:fldChar w:fldCharType="end"/>
            </w:r>
          </w:hyperlink>
        </w:p>
        <w:p w14:paraId="6EB6AA9F" w14:textId="0B758EB3"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3" w:history="1">
            <w:r w:rsidR="00AF4FED" w:rsidRPr="008F1F99">
              <w:rPr>
                <w:rStyle w:val="Hyperlink"/>
                <w:noProof/>
              </w:rPr>
              <w:t>3.2.</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Disbursements of non-repayable support to Member States</w:t>
            </w:r>
            <w:r w:rsidR="00F13B9D">
              <w:rPr>
                <w:rStyle w:val="Hyperlink"/>
                <w:noProof/>
              </w:rPr>
              <w:br/>
            </w:r>
            <w:r w:rsidR="00F13B9D">
              <w:rPr>
                <w:rStyle w:val="Hyperlink"/>
                <w:noProof/>
              </w:rPr>
              <w:tab/>
            </w:r>
            <w:r w:rsidR="00AF4FED" w:rsidRPr="008F1F99">
              <w:rPr>
                <w:rStyle w:val="Hyperlink"/>
                <w:noProof/>
              </w:rPr>
              <w:t>under the RRF</w:t>
            </w:r>
            <w:r w:rsidR="00F13B9D">
              <w:rPr>
                <w:rStyle w:val="Hyperlink"/>
                <w:noProof/>
              </w:rPr>
              <w:t xml:space="preserve"> </w:t>
            </w:r>
            <w:r w:rsidR="00AF4FED" w:rsidRPr="008F1F99">
              <w:rPr>
                <w:rStyle w:val="Hyperlink"/>
                <w:noProof/>
              </w:rPr>
              <w:t>(including REPowerEU)</w:t>
            </w:r>
            <w:r w:rsidR="00AF4FED">
              <w:rPr>
                <w:noProof/>
                <w:webHidden/>
              </w:rPr>
              <w:tab/>
            </w:r>
            <w:r w:rsidR="00AF4FED">
              <w:rPr>
                <w:noProof/>
                <w:webHidden/>
              </w:rPr>
              <w:fldChar w:fldCharType="begin"/>
            </w:r>
            <w:r w:rsidR="00AF4FED">
              <w:rPr>
                <w:noProof/>
                <w:webHidden/>
              </w:rPr>
              <w:instrText xml:space="preserve"> PAGEREF _Toc232671723 \h </w:instrText>
            </w:r>
            <w:r w:rsidR="00AF4FED">
              <w:rPr>
                <w:noProof/>
                <w:webHidden/>
              </w:rPr>
            </w:r>
            <w:r w:rsidR="00AF4FED">
              <w:rPr>
                <w:noProof/>
                <w:webHidden/>
              </w:rPr>
              <w:fldChar w:fldCharType="separate"/>
            </w:r>
            <w:r w:rsidR="00BF2400">
              <w:rPr>
                <w:noProof/>
                <w:webHidden/>
              </w:rPr>
              <w:t>12</w:t>
            </w:r>
            <w:r w:rsidR="00AF4FED">
              <w:rPr>
                <w:noProof/>
                <w:webHidden/>
              </w:rPr>
              <w:fldChar w:fldCharType="end"/>
            </w:r>
          </w:hyperlink>
        </w:p>
        <w:p w14:paraId="70BC8E78" w14:textId="1ADB625D"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4" w:history="1">
            <w:r w:rsidR="00AF4FED" w:rsidRPr="008F1F99">
              <w:rPr>
                <w:rStyle w:val="Hyperlink"/>
                <w:noProof/>
              </w:rPr>
              <w:t>3.3.</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Disbursements of loans under the RRF (including REPowerEU)</w:t>
            </w:r>
            <w:r w:rsidR="00AF4FED">
              <w:rPr>
                <w:noProof/>
                <w:webHidden/>
              </w:rPr>
              <w:tab/>
            </w:r>
            <w:r w:rsidR="00AF4FED">
              <w:rPr>
                <w:noProof/>
                <w:webHidden/>
              </w:rPr>
              <w:fldChar w:fldCharType="begin"/>
            </w:r>
            <w:r w:rsidR="00AF4FED">
              <w:rPr>
                <w:noProof/>
                <w:webHidden/>
              </w:rPr>
              <w:instrText xml:space="preserve"> PAGEREF _Toc232671724 \h </w:instrText>
            </w:r>
            <w:r w:rsidR="00AF4FED">
              <w:rPr>
                <w:noProof/>
                <w:webHidden/>
              </w:rPr>
            </w:r>
            <w:r w:rsidR="00AF4FED">
              <w:rPr>
                <w:noProof/>
                <w:webHidden/>
              </w:rPr>
              <w:fldChar w:fldCharType="separate"/>
            </w:r>
            <w:r w:rsidR="00BF2400">
              <w:rPr>
                <w:noProof/>
                <w:webHidden/>
              </w:rPr>
              <w:t>13</w:t>
            </w:r>
            <w:r w:rsidR="00AF4FED">
              <w:rPr>
                <w:noProof/>
                <w:webHidden/>
              </w:rPr>
              <w:fldChar w:fldCharType="end"/>
            </w:r>
          </w:hyperlink>
        </w:p>
        <w:p w14:paraId="0CB2836A" w14:textId="11AD99A3"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5" w:history="1">
            <w:r w:rsidR="00AF4FED" w:rsidRPr="008F1F99">
              <w:rPr>
                <w:rStyle w:val="Hyperlink"/>
                <w:noProof/>
              </w:rPr>
              <w:t>3.4.</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Disbursements of non-repayable support to programmes</w:t>
            </w:r>
            <w:r w:rsidR="00F13B9D">
              <w:rPr>
                <w:rStyle w:val="Hyperlink"/>
                <w:noProof/>
              </w:rPr>
              <w:br/>
            </w:r>
            <w:r w:rsidR="00F13B9D">
              <w:rPr>
                <w:rStyle w:val="Hyperlink"/>
                <w:noProof/>
              </w:rPr>
              <w:tab/>
            </w:r>
            <w:r w:rsidR="00AF4FED" w:rsidRPr="008F1F99">
              <w:rPr>
                <w:rStyle w:val="Hyperlink"/>
                <w:noProof/>
              </w:rPr>
              <w:t>under the EU budget</w:t>
            </w:r>
            <w:r w:rsidR="00AF4FED">
              <w:rPr>
                <w:noProof/>
                <w:webHidden/>
              </w:rPr>
              <w:tab/>
            </w:r>
            <w:r w:rsidR="00AF4FED">
              <w:rPr>
                <w:noProof/>
                <w:webHidden/>
              </w:rPr>
              <w:fldChar w:fldCharType="begin"/>
            </w:r>
            <w:r w:rsidR="00AF4FED">
              <w:rPr>
                <w:noProof/>
                <w:webHidden/>
              </w:rPr>
              <w:instrText xml:space="preserve"> PAGEREF _Toc232671725 \h </w:instrText>
            </w:r>
            <w:r w:rsidR="00AF4FED">
              <w:rPr>
                <w:noProof/>
                <w:webHidden/>
              </w:rPr>
            </w:r>
            <w:r w:rsidR="00AF4FED">
              <w:rPr>
                <w:noProof/>
                <w:webHidden/>
              </w:rPr>
              <w:fldChar w:fldCharType="separate"/>
            </w:r>
            <w:r w:rsidR="00BF2400">
              <w:rPr>
                <w:noProof/>
                <w:webHidden/>
              </w:rPr>
              <w:t>13</w:t>
            </w:r>
            <w:r w:rsidR="00AF4FED">
              <w:rPr>
                <w:noProof/>
                <w:webHidden/>
              </w:rPr>
              <w:fldChar w:fldCharType="end"/>
            </w:r>
          </w:hyperlink>
        </w:p>
        <w:p w14:paraId="376829B0" w14:textId="1339F95A" w:rsidR="00AF4FE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6" w:history="1">
            <w:r w:rsidR="00AF4FED" w:rsidRPr="008F1F99">
              <w:rPr>
                <w:rStyle w:val="Hyperlink"/>
                <w:noProof/>
              </w:rPr>
              <w:t>4.</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FINANCIAL STATEMENTS ANALYSIS</w:t>
            </w:r>
            <w:r w:rsidR="00AF4FED">
              <w:rPr>
                <w:noProof/>
                <w:webHidden/>
              </w:rPr>
              <w:tab/>
            </w:r>
            <w:r w:rsidR="00AF4FED">
              <w:rPr>
                <w:noProof/>
                <w:webHidden/>
              </w:rPr>
              <w:fldChar w:fldCharType="begin"/>
            </w:r>
            <w:r w:rsidR="00AF4FED">
              <w:rPr>
                <w:noProof/>
                <w:webHidden/>
              </w:rPr>
              <w:instrText xml:space="preserve"> PAGEREF _Toc232671726 \h </w:instrText>
            </w:r>
            <w:r w:rsidR="00AF4FED">
              <w:rPr>
                <w:noProof/>
                <w:webHidden/>
              </w:rPr>
            </w:r>
            <w:r w:rsidR="00AF4FED">
              <w:rPr>
                <w:noProof/>
                <w:webHidden/>
              </w:rPr>
              <w:fldChar w:fldCharType="separate"/>
            </w:r>
            <w:r w:rsidR="00BF2400">
              <w:rPr>
                <w:noProof/>
                <w:webHidden/>
              </w:rPr>
              <w:t>14</w:t>
            </w:r>
            <w:r w:rsidR="00AF4FED">
              <w:rPr>
                <w:noProof/>
                <w:webHidden/>
              </w:rPr>
              <w:fldChar w:fldCharType="end"/>
            </w:r>
          </w:hyperlink>
        </w:p>
        <w:p w14:paraId="321416E9" w14:textId="2BFC0C8B"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7" w:history="1">
            <w:r w:rsidR="00AF4FED" w:rsidRPr="008F1F99">
              <w:rPr>
                <w:rStyle w:val="Hyperlink"/>
                <w:noProof/>
              </w:rPr>
              <w:t>4.1.</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Revenue</w:t>
            </w:r>
            <w:r w:rsidR="00AF4FED">
              <w:rPr>
                <w:noProof/>
                <w:webHidden/>
              </w:rPr>
              <w:tab/>
            </w:r>
            <w:r w:rsidR="00AF4FED">
              <w:rPr>
                <w:noProof/>
                <w:webHidden/>
              </w:rPr>
              <w:fldChar w:fldCharType="begin"/>
            </w:r>
            <w:r w:rsidR="00AF4FED">
              <w:rPr>
                <w:noProof/>
                <w:webHidden/>
              </w:rPr>
              <w:instrText xml:space="preserve"> PAGEREF _Toc232671727 \h </w:instrText>
            </w:r>
            <w:r w:rsidR="00AF4FED">
              <w:rPr>
                <w:noProof/>
                <w:webHidden/>
              </w:rPr>
            </w:r>
            <w:r w:rsidR="00AF4FED">
              <w:rPr>
                <w:noProof/>
                <w:webHidden/>
              </w:rPr>
              <w:fldChar w:fldCharType="separate"/>
            </w:r>
            <w:r w:rsidR="00BF2400">
              <w:rPr>
                <w:noProof/>
                <w:webHidden/>
              </w:rPr>
              <w:t>14</w:t>
            </w:r>
            <w:r w:rsidR="00AF4FED">
              <w:rPr>
                <w:noProof/>
                <w:webHidden/>
              </w:rPr>
              <w:fldChar w:fldCharType="end"/>
            </w:r>
          </w:hyperlink>
        </w:p>
        <w:p w14:paraId="47BFB78B" w14:textId="6A56A384"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8" w:history="1">
            <w:r w:rsidR="00AF4FED" w:rsidRPr="008F1F99">
              <w:rPr>
                <w:rStyle w:val="Hyperlink"/>
                <w:noProof/>
              </w:rPr>
              <w:t>4.2.</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Expenses</w:t>
            </w:r>
            <w:r w:rsidR="00AF4FED">
              <w:rPr>
                <w:noProof/>
                <w:webHidden/>
              </w:rPr>
              <w:tab/>
            </w:r>
            <w:r w:rsidR="00AF4FED">
              <w:rPr>
                <w:noProof/>
                <w:webHidden/>
              </w:rPr>
              <w:fldChar w:fldCharType="begin"/>
            </w:r>
            <w:r w:rsidR="00AF4FED">
              <w:rPr>
                <w:noProof/>
                <w:webHidden/>
              </w:rPr>
              <w:instrText xml:space="preserve"> PAGEREF _Toc232671728 \h </w:instrText>
            </w:r>
            <w:r w:rsidR="00AF4FED">
              <w:rPr>
                <w:noProof/>
                <w:webHidden/>
              </w:rPr>
            </w:r>
            <w:r w:rsidR="00AF4FED">
              <w:rPr>
                <w:noProof/>
                <w:webHidden/>
              </w:rPr>
              <w:fldChar w:fldCharType="separate"/>
            </w:r>
            <w:r w:rsidR="00BF2400">
              <w:rPr>
                <w:noProof/>
                <w:webHidden/>
              </w:rPr>
              <w:t>15</w:t>
            </w:r>
            <w:r w:rsidR="00AF4FED">
              <w:rPr>
                <w:noProof/>
                <w:webHidden/>
              </w:rPr>
              <w:fldChar w:fldCharType="end"/>
            </w:r>
          </w:hyperlink>
        </w:p>
        <w:p w14:paraId="20F1339A" w14:textId="53B2DF0C"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29" w:history="1">
            <w:r w:rsidR="00AF4FED" w:rsidRPr="008F1F99">
              <w:rPr>
                <w:rStyle w:val="Hyperlink"/>
                <w:noProof/>
              </w:rPr>
              <w:t>4.3.</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Assets</w:t>
            </w:r>
            <w:r w:rsidR="00AF4FED">
              <w:rPr>
                <w:noProof/>
                <w:webHidden/>
              </w:rPr>
              <w:tab/>
            </w:r>
            <w:r w:rsidR="00AF4FED">
              <w:rPr>
                <w:noProof/>
                <w:webHidden/>
              </w:rPr>
              <w:fldChar w:fldCharType="begin"/>
            </w:r>
            <w:r w:rsidR="00AF4FED">
              <w:rPr>
                <w:noProof/>
                <w:webHidden/>
              </w:rPr>
              <w:instrText xml:space="preserve"> PAGEREF _Toc232671729 \h </w:instrText>
            </w:r>
            <w:r w:rsidR="00AF4FED">
              <w:rPr>
                <w:noProof/>
                <w:webHidden/>
              </w:rPr>
            </w:r>
            <w:r w:rsidR="00AF4FED">
              <w:rPr>
                <w:noProof/>
                <w:webHidden/>
              </w:rPr>
              <w:fldChar w:fldCharType="separate"/>
            </w:r>
            <w:r w:rsidR="00BF2400">
              <w:rPr>
                <w:noProof/>
                <w:webHidden/>
              </w:rPr>
              <w:t>15</w:t>
            </w:r>
            <w:r w:rsidR="00AF4FED">
              <w:rPr>
                <w:noProof/>
                <w:webHidden/>
              </w:rPr>
              <w:fldChar w:fldCharType="end"/>
            </w:r>
          </w:hyperlink>
        </w:p>
        <w:p w14:paraId="60556832" w14:textId="231064EB"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0" w:history="1">
            <w:r w:rsidR="00AF4FED" w:rsidRPr="008F1F99">
              <w:rPr>
                <w:rStyle w:val="Hyperlink"/>
                <w:noProof/>
              </w:rPr>
              <w:t>4.4.</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Liabilities</w:t>
            </w:r>
            <w:r w:rsidR="00AF4FED">
              <w:rPr>
                <w:noProof/>
                <w:webHidden/>
              </w:rPr>
              <w:tab/>
            </w:r>
            <w:r w:rsidR="00AF4FED">
              <w:rPr>
                <w:noProof/>
                <w:webHidden/>
              </w:rPr>
              <w:fldChar w:fldCharType="begin"/>
            </w:r>
            <w:r w:rsidR="00AF4FED">
              <w:rPr>
                <w:noProof/>
                <w:webHidden/>
              </w:rPr>
              <w:instrText xml:space="preserve"> PAGEREF _Toc232671730 \h </w:instrText>
            </w:r>
            <w:r w:rsidR="00AF4FED">
              <w:rPr>
                <w:noProof/>
                <w:webHidden/>
              </w:rPr>
            </w:r>
            <w:r w:rsidR="00AF4FED">
              <w:rPr>
                <w:noProof/>
                <w:webHidden/>
              </w:rPr>
              <w:fldChar w:fldCharType="separate"/>
            </w:r>
            <w:r w:rsidR="00BF2400">
              <w:rPr>
                <w:noProof/>
                <w:webHidden/>
              </w:rPr>
              <w:t>17</w:t>
            </w:r>
            <w:r w:rsidR="00AF4FED">
              <w:rPr>
                <w:noProof/>
                <w:webHidden/>
              </w:rPr>
              <w:fldChar w:fldCharType="end"/>
            </w:r>
          </w:hyperlink>
        </w:p>
        <w:p w14:paraId="478B2A6B" w14:textId="4AE80E0F"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1" w:history="1">
            <w:r w:rsidR="00AF4FED" w:rsidRPr="008F1F99">
              <w:rPr>
                <w:rStyle w:val="Hyperlink"/>
                <w:noProof/>
              </w:rPr>
              <w:t>4.5.</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Net assets</w:t>
            </w:r>
            <w:r w:rsidR="00AF4FED">
              <w:rPr>
                <w:noProof/>
                <w:webHidden/>
              </w:rPr>
              <w:tab/>
            </w:r>
            <w:r w:rsidR="00AF4FED">
              <w:rPr>
                <w:noProof/>
                <w:webHidden/>
              </w:rPr>
              <w:fldChar w:fldCharType="begin"/>
            </w:r>
            <w:r w:rsidR="00AF4FED">
              <w:rPr>
                <w:noProof/>
                <w:webHidden/>
              </w:rPr>
              <w:instrText xml:space="preserve"> PAGEREF _Toc232671731 \h </w:instrText>
            </w:r>
            <w:r w:rsidR="00AF4FED">
              <w:rPr>
                <w:noProof/>
                <w:webHidden/>
              </w:rPr>
            </w:r>
            <w:r w:rsidR="00AF4FED">
              <w:rPr>
                <w:noProof/>
                <w:webHidden/>
              </w:rPr>
              <w:fldChar w:fldCharType="separate"/>
            </w:r>
            <w:r w:rsidR="00BF2400">
              <w:rPr>
                <w:noProof/>
                <w:webHidden/>
              </w:rPr>
              <w:t>18</w:t>
            </w:r>
            <w:r w:rsidR="00AF4FED">
              <w:rPr>
                <w:noProof/>
                <w:webHidden/>
              </w:rPr>
              <w:fldChar w:fldCharType="end"/>
            </w:r>
          </w:hyperlink>
        </w:p>
        <w:p w14:paraId="40E7260F" w14:textId="266C560F"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2" w:history="1">
            <w:r w:rsidR="00AF4FED" w:rsidRPr="008F1F99">
              <w:rPr>
                <w:rStyle w:val="Hyperlink"/>
                <w:noProof/>
              </w:rPr>
              <w:t>4.6.</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UK withdrawal from the EU</w:t>
            </w:r>
            <w:r w:rsidR="00AF4FED">
              <w:rPr>
                <w:noProof/>
                <w:webHidden/>
              </w:rPr>
              <w:tab/>
            </w:r>
            <w:r w:rsidR="00AF4FED">
              <w:rPr>
                <w:noProof/>
                <w:webHidden/>
              </w:rPr>
              <w:fldChar w:fldCharType="begin"/>
            </w:r>
            <w:r w:rsidR="00AF4FED">
              <w:rPr>
                <w:noProof/>
                <w:webHidden/>
              </w:rPr>
              <w:instrText xml:space="preserve"> PAGEREF _Toc232671732 \h </w:instrText>
            </w:r>
            <w:r w:rsidR="00AF4FED">
              <w:rPr>
                <w:noProof/>
                <w:webHidden/>
              </w:rPr>
            </w:r>
            <w:r w:rsidR="00AF4FED">
              <w:rPr>
                <w:noProof/>
                <w:webHidden/>
              </w:rPr>
              <w:fldChar w:fldCharType="separate"/>
            </w:r>
            <w:r w:rsidR="00BF2400">
              <w:rPr>
                <w:noProof/>
                <w:webHidden/>
              </w:rPr>
              <w:t>18</w:t>
            </w:r>
            <w:r w:rsidR="00AF4FED">
              <w:rPr>
                <w:noProof/>
                <w:webHidden/>
              </w:rPr>
              <w:fldChar w:fldCharType="end"/>
            </w:r>
          </w:hyperlink>
        </w:p>
        <w:p w14:paraId="7EABE975" w14:textId="64CBDD2B" w:rsidR="00AF4FE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3" w:history="1">
            <w:r w:rsidR="00AF4FED" w:rsidRPr="008F1F99">
              <w:rPr>
                <w:rStyle w:val="Hyperlink"/>
                <w:noProof/>
              </w:rPr>
              <w:t>5.</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BUDGETARY CONTINGENT LIABILITIES</w:t>
            </w:r>
            <w:r w:rsidR="00AF4FED">
              <w:rPr>
                <w:noProof/>
                <w:webHidden/>
              </w:rPr>
              <w:tab/>
            </w:r>
            <w:r w:rsidR="00AF4FED">
              <w:rPr>
                <w:noProof/>
                <w:webHidden/>
              </w:rPr>
              <w:fldChar w:fldCharType="begin"/>
            </w:r>
            <w:r w:rsidR="00AF4FED">
              <w:rPr>
                <w:noProof/>
                <w:webHidden/>
              </w:rPr>
              <w:instrText xml:space="preserve"> PAGEREF _Toc232671733 \h </w:instrText>
            </w:r>
            <w:r w:rsidR="00AF4FED">
              <w:rPr>
                <w:noProof/>
                <w:webHidden/>
              </w:rPr>
            </w:r>
            <w:r w:rsidR="00AF4FED">
              <w:rPr>
                <w:noProof/>
                <w:webHidden/>
              </w:rPr>
              <w:fldChar w:fldCharType="separate"/>
            </w:r>
            <w:r w:rsidR="00BF2400">
              <w:rPr>
                <w:noProof/>
                <w:webHidden/>
              </w:rPr>
              <w:t>20</w:t>
            </w:r>
            <w:r w:rsidR="00AF4FED">
              <w:rPr>
                <w:noProof/>
                <w:webHidden/>
              </w:rPr>
              <w:fldChar w:fldCharType="end"/>
            </w:r>
          </w:hyperlink>
        </w:p>
        <w:p w14:paraId="24282FCE" w14:textId="236F413E"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4" w:history="1">
            <w:r w:rsidR="00AF4FED" w:rsidRPr="008F1F99">
              <w:rPr>
                <w:rStyle w:val="Hyperlink"/>
                <w:noProof/>
              </w:rPr>
              <w:t>5.1.</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Borrowing and lending activities</w:t>
            </w:r>
            <w:r w:rsidR="00AF4FED">
              <w:rPr>
                <w:noProof/>
                <w:webHidden/>
              </w:rPr>
              <w:tab/>
            </w:r>
            <w:r w:rsidR="00AF4FED">
              <w:rPr>
                <w:noProof/>
                <w:webHidden/>
              </w:rPr>
              <w:fldChar w:fldCharType="begin"/>
            </w:r>
            <w:r w:rsidR="00AF4FED">
              <w:rPr>
                <w:noProof/>
                <w:webHidden/>
              </w:rPr>
              <w:instrText xml:space="preserve"> PAGEREF _Toc232671734 \h </w:instrText>
            </w:r>
            <w:r w:rsidR="00AF4FED">
              <w:rPr>
                <w:noProof/>
                <w:webHidden/>
              </w:rPr>
            </w:r>
            <w:r w:rsidR="00AF4FED">
              <w:rPr>
                <w:noProof/>
                <w:webHidden/>
              </w:rPr>
              <w:fldChar w:fldCharType="separate"/>
            </w:r>
            <w:r w:rsidR="00BF2400">
              <w:rPr>
                <w:noProof/>
                <w:webHidden/>
              </w:rPr>
              <w:t>20</w:t>
            </w:r>
            <w:r w:rsidR="00AF4FED">
              <w:rPr>
                <w:noProof/>
                <w:webHidden/>
              </w:rPr>
              <w:fldChar w:fldCharType="end"/>
            </w:r>
          </w:hyperlink>
        </w:p>
        <w:p w14:paraId="34BEC6E1" w14:textId="720D74EC"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5" w:history="1">
            <w:r w:rsidR="00AF4FED" w:rsidRPr="008F1F99">
              <w:rPr>
                <w:rStyle w:val="Hyperlink"/>
                <w:noProof/>
              </w:rPr>
              <w:t>5.2.</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Budgetary guarantees</w:t>
            </w:r>
            <w:r w:rsidR="00AF4FED">
              <w:rPr>
                <w:noProof/>
                <w:webHidden/>
              </w:rPr>
              <w:tab/>
            </w:r>
            <w:r w:rsidR="00AF4FED">
              <w:rPr>
                <w:noProof/>
                <w:webHidden/>
              </w:rPr>
              <w:fldChar w:fldCharType="begin"/>
            </w:r>
            <w:r w:rsidR="00AF4FED">
              <w:rPr>
                <w:noProof/>
                <w:webHidden/>
              </w:rPr>
              <w:instrText xml:space="preserve"> PAGEREF _Toc232671735 \h </w:instrText>
            </w:r>
            <w:r w:rsidR="00AF4FED">
              <w:rPr>
                <w:noProof/>
                <w:webHidden/>
              </w:rPr>
            </w:r>
            <w:r w:rsidR="00AF4FED">
              <w:rPr>
                <w:noProof/>
                <w:webHidden/>
              </w:rPr>
              <w:fldChar w:fldCharType="separate"/>
            </w:r>
            <w:r w:rsidR="00BF2400">
              <w:rPr>
                <w:noProof/>
                <w:webHidden/>
              </w:rPr>
              <w:t>26</w:t>
            </w:r>
            <w:r w:rsidR="00AF4FED">
              <w:rPr>
                <w:noProof/>
                <w:webHidden/>
              </w:rPr>
              <w:fldChar w:fldCharType="end"/>
            </w:r>
          </w:hyperlink>
        </w:p>
        <w:p w14:paraId="15E085CD" w14:textId="1CAB2D7C"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6" w:history="1">
            <w:r w:rsidR="00AF4FED" w:rsidRPr="008F1F99">
              <w:rPr>
                <w:rStyle w:val="Hyperlink"/>
                <w:noProof/>
              </w:rPr>
              <w:t>5.3.</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Common Provisioning Fund</w:t>
            </w:r>
            <w:r w:rsidR="00AF4FED">
              <w:rPr>
                <w:noProof/>
                <w:webHidden/>
              </w:rPr>
              <w:tab/>
            </w:r>
            <w:r w:rsidR="00AF4FED">
              <w:rPr>
                <w:noProof/>
                <w:webHidden/>
              </w:rPr>
              <w:fldChar w:fldCharType="begin"/>
            </w:r>
            <w:r w:rsidR="00AF4FED">
              <w:rPr>
                <w:noProof/>
                <w:webHidden/>
              </w:rPr>
              <w:instrText xml:space="preserve"> PAGEREF _Toc232671736 \h </w:instrText>
            </w:r>
            <w:r w:rsidR="00AF4FED">
              <w:rPr>
                <w:noProof/>
                <w:webHidden/>
              </w:rPr>
            </w:r>
            <w:r w:rsidR="00AF4FED">
              <w:rPr>
                <w:noProof/>
                <w:webHidden/>
              </w:rPr>
              <w:fldChar w:fldCharType="separate"/>
            </w:r>
            <w:r w:rsidR="00BF2400">
              <w:rPr>
                <w:noProof/>
                <w:webHidden/>
              </w:rPr>
              <w:t>27</w:t>
            </w:r>
            <w:r w:rsidR="00AF4FED">
              <w:rPr>
                <w:noProof/>
                <w:webHidden/>
              </w:rPr>
              <w:fldChar w:fldCharType="end"/>
            </w:r>
          </w:hyperlink>
        </w:p>
        <w:p w14:paraId="6179B7B4" w14:textId="50C51B5D" w:rsidR="00AF4FE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7" w:history="1">
            <w:r w:rsidR="00AF4FED" w:rsidRPr="008F1F99">
              <w:rPr>
                <w:rStyle w:val="Hyperlink"/>
                <w:noProof/>
              </w:rPr>
              <w:t>6.</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EU POLITICAL AND FINANCIAL FRAMEWORK, GOVERNANCE</w:t>
            </w:r>
            <w:r w:rsidR="00E26220">
              <w:rPr>
                <w:rStyle w:val="Hyperlink"/>
                <w:noProof/>
              </w:rPr>
              <w:br/>
            </w:r>
            <w:r w:rsidR="00E26220">
              <w:rPr>
                <w:rStyle w:val="Hyperlink"/>
                <w:noProof/>
              </w:rPr>
              <w:tab/>
            </w:r>
            <w:r w:rsidR="00AF4FED" w:rsidRPr="008F1F99">
              <w:rPr>
                <w:rStyle w:val="Hyperlink"/>
                <w:noProof/>
              </w:rPr>
              <w:t>AND ACCOUNTABILITY</w:t>
            </w:r>
            <w:r w:rsidR="00AF4FED">
              <w:rPr>
                <w:noProof/>
                <w:webHidden/>
              </w:rPr>
              <w:tab/>
            </w:r>
            <w:r w:rsidR="00AF4FED">
              <w:rPr>
                <w:noProof/>
                <w:webHidden/>
              </w:rPr>
              <w:fldChar w:fldCharType="begin"/>
            </w:r>
            <w:r w:rsidR="00AF4FED">
              <w:rPr>
                <w:noProof/>
                <w:webHidden/>
              </w:rPr>
              <w:instrText xml:space="preserve"> PAGEREF _Toc232671737 \h </w:instrText>
            </w:r>
            <w:r w:rsidR="00AF4FED">
              <w:rPr>
                <w:noProof/>
                <w:webHidden/>
              </w:rPr>
            </w:r>
            <w:r w:rsidR="00AF4FED">
              <w:rPr>
                <w:noProof/>
                <w:webHidden/>
              </w:rPr>
              <w:fldChar w:fldCharType="separate"/>
            </w:r>
            <w:r w:rsidR="00BF2400">
              <w:rPr>
                <w:noProof/>
                <w:webHidden/>
              </w:rPr>
              <w:t>29</w:t>
            </w:r>
            <w:r w:rsidR="00AF4FED">
              <w:rPr>
                <w:noProof/>
                <w:webHidden/>
              </w:rPr>
              <w:fldChar w:fldCharType="end"/>
            </w:r>
          </w:hyperlink>
        </w:p>
        <w:p w14:paraId="15895101" w14:textId="1CA1862D"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8" w:history="1">
            <w:r w:rsidR="00AF4FED" w:rsidRPr="008F1F99">
              <w:rPr>
                <w:rStyle w:val="Hyperlink"/>
                <w:noProof/>
              </w:rPr>
              <w:t>6.1.</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Political and financial framework</w:t>
            </w:r>
            <w:r w:rsidR="00AF4FED">
              <w:rPr>
                <w:noProof/>
                <w:webHidden/>
              </w:rPr>
              <w:tab/>
            </w:r>
            <w:r w:rsidR="00AF4FED">
              <w:rPr>
                <w:noProof/>
                <w:webHidden/>
              </w:rPr>
              <w:fldChar w:fldCharType="begin"/>
            </w:r>
            <w:r w:rsidR="00AF4FED">
              <w:rPr>
                <w:noProof/>
                <w:webHidden/>
              </w:rPr>
              <w:instrText xml:space="preserve"> PAGEREF _Toc232671738 \h </w:instrText>
            </w:r>
            <w:r w:rsidR="00AF4FED">
              <w:rPr>
                <w:noProof/>
                <w:webHidden/>
              </w:rPr>
            </w:r>
            <w:r w:rsidR="00AF4FED">
              <w:rPr>
                <w:noProof/>
                <w:webHidden/>
              </w:rPr>
              <w:fldChar w:fldCharType="separate"/>
            </w:r>
            <w:r w:rsidR="00BF2400">
              <w:rPr>
                <w:noProof/>
                <w:webHidden/>
              </w:rPr>
              <w:t>29</w:t>
            </w:r>
            <w:r w:rsidR="00AF4FED">
              <w:rPr>
                <w:noProof/>
                <w:webHidden/>
              </w:rPr>
              <w:fldChar w:fldCharType="end"/>
            </w:r>
          </w:hyperlink>
        </w:p>
        <w:p w14:paraId="4FF55A52" w14:textId="616D2289" w:rsidR="00AF4FE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1739" w:history="1">
            <w:r w:rsidR="00AF4FED" w:rsidRPr="008F1F99">
              <w:rPr>
                <w:rStyle w:val="Hyperlink"/>
                <w:noProof/>
              </w:rPr>
              <w:t>6.2.</w:t>
            </w:r>
            <w:r w:rsidR="00AF4FED">
              <w:rPr>
                <w:rFonts w:asciiTheme="minorHAnsi" w:eastAsiaTheme="minorEastAsia" w:hAnsiTheme="minorHAnsi" w:cstheme="minorBidi"/>
                <w:noProof/>
                <w:color w:val="auto"/>
                <w:kern w:val="2"/>
                <w:sz w:val="24"/>
                <w:lang w:val="en-IE" w:eastAsia="en-IE"/>
                <w14:ligatures w14:val="standardContextual"/>
              </w:rPr>
              <w:tab/>
            </w:r>
            <w:r w:rsidR="00AF4FED" w:rsidRPr="008F1F99">
              <w:rPr>
                <w:rStyle w:val="Hyperlink"/>
                <w:noProof/>
              </w:rPr>
              <w:t>Governance and accountability</w:t>
            </w:r>
            <w:r w:rsidR="00AF4FED">
              <w:rPr>
                <w:noProof/>
                <w:webHidden/>
              </w:rPr>
              <w:tab/>
            </w:r>
            <w:r w:rsidR="00AF4FED">
              <w:rPr>
                <w:noProof/>
                <w:webHidden/>
              </w:rPr>
              <w:fldChar w:fldCharType="begin"/>
            </w:r>
            <w:r w:rsidR="00AF4FED">
              <w:rPr>
                <w:noProof/>
                <w:webHidden/>
              </w:rPr>
              <w:instrText xml:space="preserve"> PAGEREF _Toc232671739 \h </w:instrText>
            </w:r>
            <w:r w:rsidR="00AF4FED">
              <w:rPr>
                <w:noProof/>
                <w:webHidden/>
              </w:rPr>
            </w:r>
            <w:r w:rsidR="00AF4FED">
              <w:rPr>
                <w:noProof/>
                <w:webHidden/>
              </w:rPr>
              <w:fldChar w:fldCharType="separate"/>
            </w:r>
            <w:r w:rsidR="00BF2400">
              <w:rPr>
                <w:noProof/>
                <w:webHidden/>
              </w:rPr>
              <w:t>30</w:t>
            </w:r>
            <w:r w:rsidR="00AF4FED">
              <w:rPr>
                <w:noProof/>
                <w:webHidden/>
              </w:rPr>
              <w:fldChar w:fldCharType="end"/>
            </w:r>
          </w:hyperlink>
        </w:p>
        <w:p w14:paraId="2E35A324" w14:textId="1296D628" w:rsidR="000C081A" w:rsidRDefault="00023E71">
          <w:pPr>
            <w:rPr>
              <w:noProof/>
            </w:rPr>
          </w:pPr>
          <w:r>
            <w:rPr>
              <w:noProof/>
            </w:rPr>
            <w:fldChar w:fldCharType="end"/>
          </w:r>
        </w:p>
      </w:sdtContent>
    </w:sdt>
    <w:p w14:paraId="5AC058FE" w14:textId="77777777" w:rsidR="00115D90" w:rsidRDefault="00023E71">
      <w:pPr>
        <w:rPr>
          <w:noProof/>
        </w:rPr>
      </w:pPr>
      <w:r>
        <w:rPr>
          <w:noProof/>
        </w:rPr>
        <w:br w:type="page"/>
      </w:r>
    </w:p>
    <w:p w14:paraId="7928F796" w14:textId="77777777" w:rsidR="004330AD" w:rsidRPr="00362AC0" w:rsidRDefault="00023E71" w:rsidP="00362AC0">
      <w:pPr>
        <w:pStyle w:val="HEADER1Part4"/>
        <w:rPr>
          <w:noProof/>
        </w:rPr>
      </w:pPr>
      <w:bookmarkStart w:id="7" w:name="_Toc99107437"/>
      <w:bookmarkStart w:id="8" w:name="_Toc232671717"/>
      <w:bookmarkStart w:id="9" w:name="_Toc491880236"/>
      <w:r w:rsidRPr="00362AC0">
        <w:rPr>
          <w:noProof/>
        </w:rPr>
        <w:t>KEY FIGURES AND HIGHLIGHTS OF THE YEAR</w:t>
      </w:r>
      <w:bookmarkEnd w:id="7"/>
      <w:bookmarkEnd w:id="8"/>
    </w:p>
    <w:tbl>
      <w:tblPr>
        <w:tblStyle w:val="TableGrid1"/>
        <w:tblW w:w="0" w:type="auto"/>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35"/>
        <w:gridCol w:w="1701"/>
        <w:gridCol w:w="1701"/>
        <w:gridCol w:w="1701"/>
      </w:tblGrid>
      <w:tr w:rsidR="00807FFE" w14:paraId="63416445" w14:textId="77777777" w:rsidTr="0033421E">
        <w:trPr>
          <w:trHeight w:val="510"/>
          <w:jc w:val="center"/>
        </w:trPr>
        <w:tc>
          <w:tcPr>
            <w:tcW w:w="9638" w:type="dxa"/>
            <w:gridSpan w:val="4"/>
            <w:tcBorders>
              <w:top w:val="single" w:sz="4" w:space="0" w:color="E36C0A" w:themeColor="accent6" w:themeShade="BF"/>
              <w:bottom w:val="single" w:sz="4" w:space="0" w:color="E36C0A" w:themeColor="accent6" w:themeShade="BF"/>
            </w:tcBorders>
            <w:vAlign w:val="center"/>
          </w:tcPr>
          <w:p w14:paraId="33AF32EC" w14:textId="77777777" w:rsidR="004330AD" w:rsidRPr="001A0DF0" w:rsidRDefault="00023E71" w:rsidP="002D32F6">
            <w:pPr>
              <w:pStyle w:val="DGTextstand-alone"/>
              <w:spacing w:before="0" w:after="0"/>
              <w:rPr>
                <w:b/>
                <w:color w:val="016794"/>
                <w:sz w:val="28"/>
                <w:szCs w:val="28"/>
              </w:rPr>
            </w:pPr>
            <w:r w:rsidRPr="001A0DF0">
              <w:rPr>
                <w:b/>
                <w:color w:val="016794"/>
                <w:sz w:val="28"/>
                <w:szCs w:val="28"/>
              </w:rPr>
              <w:t>Consolidated financial statements</w:t>
            </w:r>
          </w:p>
        </w:tc>
      </w:tr>
      <w:tr w:rsidR="00807FFE" w14:paraId="36C7945B" w14:textId="77777777" w:rsidTr="0033421E">
        <w:trPr>
          <w:trHeight w:val="336"/>
          <w:jc w:val="center"/>
        </w:trPr>
        <w:tc>
          <w:tcPr>
            <w:tcW w:w="9638" w:type="dxa"/>
            <w:gridSpan w:val="4"/>
            <w:tcBorders>
              <w:top w:val="single" w:sz="4" w:space="0" w:color="E36C0A" w:themeColor="accent6" w:themeShade="BF"/>
            </w:tcBorders>
            <w:vAlign w:val="center"/>
          </w:tcPr>
          <w:p w14:paraId="5EB0916B" w14:textId="77777777" w:rsidR="0033421E" w:rsidRPr="00C90229" w:rsidRDefault="0033421E" w:rsidP="002D32F6">
            <w:pPr>
              <w:jc w:val="right"/>
              <w:rPr>
                <w:rFonts w:ascii="Verdana" w:hAnsi="Verdana"/>
                <w:b/>
                <w:noProof/>
                <w:sz w:val="18"/>
              </w:rPr>
            </w:pPr>
          </w:p>
        </w:tc>
      </w:tr>
      <w:tr w:rsidR="00807FFE" w14:paraId="17D6A6BB" w14:textId="77777777" w:rsidTr="0033421E">
        <w:trPr>
          <w:trHeight w:val="336"/>
          <w:jc w:val="center"/>
        </w:trPr>
        <w:tc>
          <w:tcPr>
            <w:tcW w:w="9638" w:type="dxa"/>
            <w:gridSpan w:val="4"/>
            <w:vAlign w:val="center"/>
          </w:tcPr>
          <w:p w14:paraId="219342C6" w14:textId="77777777" w:rsidR="009226F7" w:rsidRPr="009226F7" w:rsidRDefault="00023E71" w:rsidP="00AF00B4">
            <w:pPr>
              <w:pStyle w:val="DGTextstand-alone"/>
              <w:spacing w:before="0"/>
            </w:pPr>
            <w:r w:rsidRPr="009226F7">
              <w:t xml:space="preserve">The consolidated ﬁnancial statements of the EU comprise more than 50 entities (including the European Parliament, the Council, the Commission and EU agencies). They are prepared on the basis of accrual-based accounting rules adopted by the Accounting Officer of the Commission, these rules being based on International Public Sector Accounting Standards (IPSAS). </w:t>
            </w:r>
          </w:p>
          <w:p w14:paraId="297565FF" w14:textId="7783E7FF" w:rsidR="004330AD" w:rsidRPr="005A0D12" w:rsidRDefault="00023E71" w:rsidP="009226F7">
            <w:pPr>
              <w:pStyle w:val="DGTextstand-alone"/>
            </w:pPr>
            <w:r w:rsidRPr="000276C3">
              <w:t xml:space="preserve">As </w:t>
            </w:r>
            <w:r w:rsidR="00EA67AF">
              <w:t>shown in</w:t>
            </w:r>
            <w:r w:rsidRPr="000276C3">
              <w:t xml:space="preserve"> the </w:t>
            </w:r>
            <w:r w:rsidR="00167FF4">
              <w:t xml:space="preserve">summarised </w:t>
            </w:r>
            <w:r w:rsidRPr="000276C3">
              <w:t>balance sheet below and further detailed in the Financial Statements Analysis (</w:t>
            </w:r>
            <w:r w:rsidR="00EA67AF">
              <w:t>S</w:t>
            </w:r>
            <w:r w:rsidRPr="000276C3">
              <w:t xml:space="preserve">ection </w:t>
            </w:r>
            <w:r w:rsidR="000C6DFD" w:rsidRPr="000C6DFD">
              <w:rPr>
                <w:b/>
                <w:bCs/>
              </w:rPr>
              <w:t>4</w:t>
            </w:r>
            <w:r w:rsidRPr="00B60C65">
              <w:t xml:space="preserve">), the </w:t>
            </w:r>
            <w:r w:rsidR="00EA67AF" w:rsidRPr="00EA67AF">
              <w:t xml:space="preserve">most notable features of the </w:t>
            </w:r>
            <w:r w:rsidR="00EA67AF" w:rsidRPr="00B60C65">
              <w:t>202</w:t>
            </w:r>
            <w:r>
              <w:t>5</w:t>
            </w:r>
            <w:r w:rsidR="00EA67AF" w:rsidRPr="00B60C65">
              <w:t xml:space="preserve"> EU </w:t>
            </w:r>
            <w:r w:rsidRPr="00B60C65">
              <w:t xml:space="preserve">consolidated financial statements were </w:t>
            </w:r>
            <w:r w:rsidR="005A0D12">
              <w:t>an increase in borrowing due to new issuance under the unified funding approach, an increase in financial assets due to the continued implementation of NGEU and further financial support provided to Ukraine, as well as an increase of the year-end cash balance due to a high level of disbursements planned for the beginning of 2026</w:t>
            </w:r>
            <w:r w:rsidRPr="00B60C65">
              <w:t>:</w:t>
            </w:r>
          </w:p>
        </w:tc>
      </w:tr>
      <w:tr w:rsidR="00807FFE" w14:paraId="29935D5A" w14:textId="77777777" w:rsidTr="0033421E">
        <w:trPr>
          <w:trHeight w:val="336"/>
          <w:jc w:val="center"/>
        </w:trPr>
        <w:tc>
          <w:tcPr>
            <w:tcW w:w="4535" w:type="dxa"/>
            <w:vAlign w:val="center"/>
          </w:tcPr>
          <w:p w14:paraId="20C7052A" w14:textId="77777777" w:rsidR="00167FF4" w:rsidRPr="00C90229" w:rsidRDefault="00167FF4" w:rsidP="00167FF4">
            <w:pPr>
              <w:rPr>
                <w:rFonts w:ascii="Verdana" w:hAnsi="Verdana"/>
                <w:noProof/>
                <w:color w:val="016794"/>
                <w:sz w:val="18"/>
                <w:szCs w:val="18"/>
                <w:lang w:eastAsia="de-DE"/>
              </w:rPr>
            </w:pPr>
          </w:p>
        </w:tc>
        <w:tc>
          <w:tcPr>
            <w:tcW w:w="1701" w:type="dxa"/>
            <w:vAlign w:val="center"/>
          </w:tcPr>
          <w:p w14:paraId="0E1DDCB3" w14:textId="77777777" w:rsidR="00167FF4" w:rsidRPr="00C90229" w:rsidRDefault="00167FF4" w:rsidP="00167FF4">
            <w:pPr>
              <w:jc w:val="right"/>
              <w:rPr>
                <w:rFonts w:ascii="Verdana" w:hAnsi="Verdana"/>
                <w:b/>
                <w:noProof/>
                <w:sz w:val="18"/>
              </w:rPr>
            </w:pPr>
          </w:p>
        </w:tc>
        <w:tc>
          <w:tcPr>
            <w:tcW w:w="1701" w:type="dxa"/>
            <w:vAlign w:val="center"/>
          </w:tcPr>
          <w:p w14:paraId="2AA87A99" w14:textId="77777777" w:rsidR="00167FF4" w:rsidRPr="00167FF4" w:rsidRDefault="00167FF4" w:rsidP="00167FF4">
            <w:pPr>
              <w:pStyle w:val="DGTextstand-alone"/>
              <w:spacing w:before="0" w:after="0"/>
              <w:jc w:val="right"/>
              <w:rPr>
                <w:iCs/>
                <w:sz w:val="16"/>
              </w:rPr>
            </w:pPr>
          </w:p>
        </w:tc>
        <w:tc>
          <w:tcPr>
            <w:tcW w:w="1701" w:type="dxa"/>
            <w:tcBorders>
              <w:bottom w:val="nil"/>
            </w:tcBorders>
            <w:vAlign w:val="center"/>
          </w:tcPr>
          <w:p w14:paraId="1C740292" w14:textId="77777777" w:rsidR="00167FF4" w:rsidRPr="001A0DF0" w:rsidRDefault="00023E71" w:rsidP="00167FF4">
            <w:pPr>
              <w:pStyle w:val="DGTextstand-alone"/>
              <w:spacing w:before="0" w:after="0"/>
              <w:jc w:val="right"/>
              <w:rPr>
                <w:i/>
              </w:rPr>
            </w:pPr>
            <w:r w:rsidRPr="001A0DF0">
              <w:rPr>
                <w:i/>
                <w:sz w:val="16"/>
              </w:rPr>
              <w:t>EUR billion</w:t>
            </w:r>
          </w:p>
        </w:tc>
      </w:tr>
      <w:tr w:rsidR="00807FFE" w14:paraId="693454AE" w14:textId="77777777" w:rsidTr="0033421E">
        <w:trPr>
          <w:trHeight w:val="336"/>
          <w:jc w:val="center"/>
        </w:trPr>
        <w:tc>
          <w:tcPr>
            <w:tcW w:w="4535" w:type="dxa"/>
            <w:vAlign w:val="center"/>
          </w:tcPr>
          <w:p w14:paraId="15711605" w14:textId="77777777" w:rsidR="009C266B" w:rsidRPr="00C90229" w:rsidRDefault="009C266B" w:rsidP="009C266B">
            <w:pPr>
              <w:rPr>
                <w:rFonts w:ascii="Verdana" w:hAnsi="Verdana"/>
                <w:noProof/>
                <w:color w:val="016794"/>
                <w:sz w:val="18"/>
                <w:szCs w:val="18"/>
                <w:lang w:eastAsia="de-DE"/>
              </w:rPr>
            </w:pPr>
          </w:p>
        </w:tc>
        <w:tc>
          <w:tcPr>
            <w:tcW w:w="1701" w:type="dxa"/>
            <w:tcBorders>
              <w:right w:val="single" w:sz="4" w:space="0" w:color="FFFFFF" w:themeColor="background1"/>
            </w:tcBorders>
            <w:shd w:val="clear" w:color="auto" w:fill="036794"/>
            <w:vAlign w:val="center"/>
          </w:tcPr>
          <w:p w14:paraId="2E668CDE" w14:textId="77777777" w:rsidR="009C266B" w:rsidRPr="001A0DF0" w:rsidRDefault="00023E71" w:rsidP="009C266B">
            <w:pPr>
              <w:pStyle w:val="DGTextstand-alone"/>
              <w:spacing w:before="0" w:after="0"/>
              <w:jc w:val="right"/>
              <w:rPr>
                <w:b/>
                <w:color w:val="FFFFFF" w:themeColor="background1"/>
              </w:rPr>
            </w:pPr>
            <w:r w:rsidRPr="001A0DF0">
              <w:rPr>
                <w:b/>
                <w:color w:val="FFFFFF" w:themeColor="background1"/>
              </w:rPr>
              <w:t>202</w:t>
            </w:r>
            <w:r>
              <w:rPr>
                <w:b/>
                <w:color w:val="FFFFFF" w:themeColor="background1"/>
              </w:rPr>
              <w:t>5</w:t>
            </w:r>
          </w:p>
        </w:tc>
        <w:tc>
          <w:tcPr>
            <w:tcW w:w="1701" w:type="dxa"/>
            <w:tcBorders>
              <w:right w:val="single" w:sz="4" w:space="0" w:color="FFFFFF" w:themeColor="background1"/>
            </w:tcBorders>
            <w:shd w:val="clear" w:color="auto" w:fill="036794"/>
            <w:vAlign w:val="center"/>
          </w:tcPr>
          <w:p w14:paraId="2F36EC54" w14:textId="77777777" w:rsidR="009C266B" w:rsidRPr="001A0DF0" w:rsidRDefault="00023E71" w:rsidP="009C266B">
            <w:pPr>
              <w:pStyle w:val="DGTextstand-alone"/>
              <w:spacing w:before="0" w:after="0"/>
              <w:jc w:val="right"/>
              <w:rPr>
                <w:b/>
                <w:color w:val="FFFFFF" w:themeColor="background1"/>
              </w:rPr>
            </w:pPr>
            <w:r w:rsidRPr="001A0DF0">
              <w:rPr>
                <w:b/>
                <w:color w:val="FFFFFF" w:themeColor="background1"/>
              </w:rPr>
              <w:t>202</w:t>
            </w:r>
            <w:r>
              <w:rPr>
                <w:b/>
                <w:color w:val="FFFFFF" w:themeColor="background1"/>
              </w:rPr>
              <w:t>4</w:t>
            </w:r>
          </w:p>
        </w:tc>
        <w:tc>
          <w:tcPr>
            <w:tcW w:w="1701" w:type="dxa"/>
            <w:tcBorders>
              <w:left w:val="single" w:sz="4" w:space="0" w:color="FFFFFF" w:themeColor="background1"/>
            </w:tcBorders>
            <w:shd w:val="clear" w:color="auto" w:fill="036794"/>
            <w:vAlign w:val="center"/>
          </w:tcPr>
          <w:p w14:paraId="69151786" w14:textId="77777777" w:rsidR="009C266B" w:rsidRPr="001A0DF0" w:rsidRDefault="00023E71" w:rsidP="009C266B">
            <w:pPr>
              <w:pStyle w:val="DGTextstand-alone"/>
              <w:spacing w:before="0" w:after="0"/>
              <w:jc w:val="right"/>
              <w:rPr>
                <w:b/>
                <w:color w:val="FFFFFF" w:themeColor="background1"/>
              </w:rPr>
            </w:pPr>
            <w:r>
              <w:rPr>
                <w:b/>
                <w:color w:val="FFFFFF" w:themeColor="background1"/>
              </w:rPr>
              <w:t>Change</w:t>
            </w:r>
          </w:p>
        </w:tc>
      </w:tr>
      <w:tr w:rsidR="00807FFE" w14:paraId="09ACA232" w14:textId="77777777" w:rsidTr="0033421E">
        <w:trPr>
          <w:trHeight w:val="336"/>
          <w:jc w:val="center"/>
        </w:trPr>
        <w:tc>
          <w:tcPr>
            <w:tcW w:w="4535" w:type="dxa"/>
            <w:vAlign w:val="center"/>
          </w:tcPr>
          <w:p w14:paraId="17A191B9" w14:textId="77777777" w:rsidR="009C266B" w:rsidRPr="00C90229" w:rsidRDefault="009C266B" w:rsidP="009C266B">
            <w:pPr>
              <w:rPr>
                <w:rFonts w:ascii="Verdana" w:hAnsi="Verdana"/>
                <w:noProof/>
                <w:color w:val="016794"/>
                <w:sz w:val="18"/>
                <w:szCs w:val="18"/>
                <w:lang w:eastAsia="de-DE"/>
              </w:rPr>
            </w:pPr>
          </w:p>
        </w:tc>
        <w:tc>
          <w:tcPr>
            <w:tcW w:w="1701" w:type="dxa"/>
            <w:tcBorders>
              <w:right w:val="single" w:sz="4" w:space="0" w:color="FFFFFF" w:themeColor="background1"/>
            </w:tcBorders>
            <w:shd w:val="clear" w:color="auto" w:fill="036794"/>
            <w:vAlign w:val="center"/>
          </w:tcPr>
          <w:p w14:paraId="2C601903" w14:textId="77777777" w:rsidR="009C266B" w:rsidRPr="001A0DF0" w:rsidRDefault="009C266B" w:rsidP="009C266B">
            <w:pPr>
              <w:pStyle w:val="DGTextstand-alone"/>
              <w:spacing w:before="0" w:after="0"/>
              <w:jc w:val="right"/>
              <w:rPr>
                <w:b/>
                <w:color w:val="FFFFFF" w:themeColor="background1"/>
              </w:rPr>
            </w:pPr>
          </w:p>
        </w:tc>
        <w:tc>
          <w:tcPr>
            <w:tcW w:w="1701" w:type="dxa"/>
            <w:tcBorders>
              <w:right w:val="single" w:sz="4" w:space="0" w:color="FFFFFF" w:themeColor="background1"/>
            </w:tcBorders>
            <w:shd w:val="clear" w:color="auto" w:fill="036794"/>
            <w:vAlign w:val="center"/>
          </w:tcPr>
          <w:p w14:paraId="7DAC4168" w14:textId="77777777" w:rsidR="009C266B" w:rsidRPr="001A0DF0" w:rsidRDefault="009C266B" w:rsidP="009C266B">
            <w:pPr>
              <w:pStyle w:val="DGTextstand-alone"/>
              <w:spacing w:before="0" w:after="0"/>
              <w:jc w:val="right"/>
              <w:rPr>
                <w:b/>
                <w:color w:val="FFFFFF" w:themeColor="background1"/>
              </w:rPr>
            </w:pPr>
          </w:p>
        </w:tc>
        <w:tc>
          <w:tcPr>
            <w:tcW w:w="1701" w:type="dxa"/>
            <w:tcBorders>
              <w:left w:val="single" w:sz="4" w:space="0" w:color="FFFFFF" w:themeColor="background1"/>
            </w:tcBorders>
            <w:shd w:val="clear" w:color="auto" w:fill="036794"/>
            <w:vAlign w:val="center"/>
          </w:tcPr>
          <w:p w14:paraId="54563142" w14:textId="77777777" w:rsidR="009C266B" w:rsidRPr="001A0DF0" w:rsidRDefault="009C266B" w:rsidP="009C266B">
            <w:pPr>
              <w:pStyle w:val="DGTextstand-alone"/>
              <w:spacing w:before="0" w:after="0"/>
              <w:jc w:val="right"/>
              <w:rPr>
                <w:b/>
                <w:color w:val="FFFFFF" w:themeColor="background1"/>
              </w:rPr>
            </w:pPr>
          </w:p>
        </w:tc>
      </w:tr>
      <w:tr w:rsidR="00807FFE" w14:paraId="2FB97F4E" w14:textId="77777777" w:rsidTr="0033421E">
        <w:trPr>
          <w:trHeight w:val="336"/>
          <w:jc w:val="center"/>
        </w:trPr>
        <w:tc>
          <w:tcPr>
            <w:tcW w:w="4535" w:type="dxa"/>
            <w:tcBorders>
              <w:bottom w:val="single" w:sz="4" w:space="0" w:color="E36C0A" w:themeColor="accent6" w:themeShade="BF"/>
            </w:tcBorders>
            <w:vAlign w:val="center"/>
          </w:tcPr>
          <w:p w14:paraId="3ED71D40" w14:textId="77777777" w:rsidR="009C266B" w:rsidRPr="001A0DF0" w:rsidRDefault="00023E71" w:rsidP="009C266B">
            <w:pPr>
              <w:pStyle w:val="DGTextstand-alone"/>
              <w:spacing w:before="0" w:after="0"/>
              <w:jc w:val="left"/>
              <w:rPr>
                <w:b/>
                <w:color w:val="016794"/>
              </w:rPr>
            </w:pPr>
            <w:r w:rsidRPr="001A0DF0">
              <w:rPr>
                <w:b/>
                <w:color w:val="E36C0A"/>
              </w:rPr>
              <w:t>ASSETS</w:t>
            </w:r>
          </w:p>
        </w:tc>
        <w:tc>
          <w:tcPr>
            <w:tcW w:w="1701" w:type="dxa"/>
            <w:tcBorders>
              <w:bottom w:val="single" w:sz="4" w:space="0" w:color="E36C0A" w:themeColor="accent6" w:themeShade="BF"/>
            </w:tcBorders>
            <w:vAlign w:val="center"/>
          </w:tcPr>
          <w:p w14:paraId="5D89E5DB" w14:textId="77777777" w:rsidR="009C266B" w:rsidRPr="00C90229" w:rsidRDefault="009C266B" w:rsidP="009C266B">
            <w:pPr>
              <w:jc w:val="right"/>
              <w:rPr>
                <w:rFonts w:ascii="Verdana" w:hAnsi="Verdana"/>
                <w:noProof/>
                <w:color w:val="016794"/>
                <w:sz w:val="18"/>
                <w:szCs w:val="18"/>
              </w:rPr>
            </w:pPr>
          </w:p>
        </w:tc>
        <w:tc>
          <w:tcPr>
            <w:tcW w:w="1701" w:type="dxa"/>
            <w:tcBorders>
              <w:bottom w:val="single" w:sz="4" w:space="0" w:color="E36C0A" w:themeColor="accent6" w:themeShade="BF"/>
            </w:tcBorders>
            <w:vAlign w:val="center"/>
          </w:tcPr>
          <w:p w14:paraId="0E43F8F3" w14:textId="77777777" w:rsidR="009C266B" w:rsidRPr="00C90229" w:rsidRDefault="009C266B" w:rsidP="009C266B">
            <w:pPr>
              <w:jc w:val="right"/>
              <w:rPr>
                <w:rFonts w:ascii="Verdana" w:hAnsi="Verdana"/>
                <w:noProof/>
                <w:color w:val="016794"/>
                <w:sz w:val="18"/>
                <w:szCs w:val="18"/>
              </w:rPr>
            </w:pPr>
          </w:p>
        </w:tc>
        <w:tc>
          <w:tcPr>
            <w:tcW w:w="1701" w:type="dxa"/>
            <w:tcBorders>
              <w:bottom w:val="single" w:sz="4" w:space="0" w:color="E36C0A" w:themeColor="accent6" w:themeShade="BF"/>
            </w:tcBorders>
            <w:vAlign w:val="center"/>
          </w:tcPr>
          <w:p w14:paraId="60B23574" w14:textId="77777777" w:rsidR="009C266B" w:rsidRPr="00C90229" w:rsidRDefault="009C266B" w:rsidP="009C266B">
            <w:pPr>
              <w:jc w:val="right"/>
              <w:rPr>
                <w:rFonts w:ascii="Verdana" w:hAnsi="Verdana"/>
                <w:noProof/>
                <w:color w:val="016794"/>
                <w:sz w:val="18"/>
                <w:szCs w:val="18"/>
              </w:rPr>
            </w:pPr>
          </w:p>
        </w:tc>
      </w:tr>
      <w:tr w:rsidR="00807FFE" w14:paraId="35D9177A"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7A5596D8" w14:textId="77777777" w:rsidR="009C266B" w:rsidRPr="001A0DF0" w:rsidRDefault="00023E71" w:rsidP="009C266B">
            <w:pPr>
              <w:pStyle w:val="DGTextstand-alone"/>
              <w:spacing w:before="0" w:after="0"/>
              <w:rPr>
                <w:color w:val="016794"/>
              </w:rPr>
            </w:pPr>
            <w:r w:rsidRPr="001A0DF0">
              <w:rPr>
                <w:color w:val="016794"/>
              </w:rPr>
              <w:t xml:space="preserve">Financial </w:t>
            </w:r>
            <w:r>
              <w:rPr>
                <w:color w:val="016794"/>
              </w:rPr>
              <w:t>a</w:t>
            </w:r>
            <w:r w:rsidRPr="001A0DF0">
              <w:rPr>
                <w:color w:val="016794"/>
              </w:rPr>
              <w:t>ssets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4088CF8F" w14:textId="77777777" w:rsidR="009C266B" w:rsidRPr="006B4CE7" w:rsidRDefault="00023E71" w:rsidP="009C266B">
            <w:pPr>
              <w:pStyle w:val="DGTextstand-alone"/>
              <w:spacing w:before="0" w:after="0"/>
              <w:jc w:val="right"/>
              <w:rPr>
                <w:color w:val="016794"/>
              </w:rPr>
            </w:pPr>
            <w:r w:rsidRPr="006B4CE7">
              <w:rPr>
                <w:color w:val="016794"/>
              </w:rPr>
              <w:t>386.1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5B8F7AC9" w14:textId="77777777" w:rsidR="009C266B" w:rsidRPr="00CE32A8" w:rsidRDefault="00023E71" w:rsidP="009C266B">
            <w:pPr>
              <w:pStyle w:val="DGTextstand-alone"/>
              <w:spacing w:before="0" w:after="0"/>
              <w:jc w:val="right"/>
              <w:rPr>
                <w:color w:val="016794"/>
              </w:rPr>
            </w:pPr>
            <w:r>
              <w:rPr>
                <w:color w:val="016794"/>
              </w:rPr>
              <w:t>328.3</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2A66690E" w14:textId="77777777" w:rsidR="009C266B" w:rsidRPr="00013C17" w:rsidRDefault="00023E71" w:rsidP="009C266B">
            <w:pPr>
              <w:pStyle w:val="DGTextstand-alone"/>
              <w:spacing w:before="0" w:after="0"/>
              <w:jc w:val="right"/>
              <w:rPr>
                <w:color w:val="016794"/>
                <w:highlight w:val="yellow"/>
              </w:rPr>
            </w:pPr>
            <w:r>
              <w:rPr>
                <w:color w:val="016794"/>
              </w:rPr>
              <w:t>57.8</w:t>
            </w:r>
          </w:p>
        </w:tc>
      </w:tr>
      <w:tr w:rsidR="00807FFE" w14:paraId="629995F9"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6466718B" w14:textId="77777777" w:rsidR="009C266B" w:rsidRPr="00C90229" w:rsidRDefault="00023E71" w:rsidP="009C266B">
            <w:pPr>
              <w:pStyle w:val="DGTextstand-alone"/>
              <w:spacing w:before="0" w:after="0"/>
              <w:rPr>
                <w:color w:val="016794"/>
              </w:rPr>
            </w:pPr>
            <w:r w:rsidRPr="00C90229">
              <w:rPr>
                <w:color w:val="016794"/>
              </w:rPr>
              <w:t>Pre-</w:t>
            </w:r>
            <w:r>
              <w:rPr>
                <w:color w:val="016794"/>
              </w:rPr>
              <w:t>f</w:t>
            </w:r>
            <w:r w:rsidRPr="00C90229">
              <w:rPr>
                <w:color w:val="016794"/>
              </w:rPr>
              <w:t>inancing</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491ED39D" w14:textId="77777777" w:rsidR="009C266B" w:rsidRPr="00DA37C0" w:rsidRDefault="00023E71" w:rsidP="009C266B">
            <w:pPr>
              <w:pStyle w:val="DGTextstand-alone"/>
              <w:spacing w:before="0" w:after="0"/>
              <w:jc w:val="right"/>
              <w:rPr>
                <w:color w:val="016794"/>
              </w:rPr>
            </w:pPr>
            <w:r>
              <w:rPr>
                <w:color w:val="016794"/>
              </w:rPr>
              <w:t>7</w:t>
            </w:r>
            <w:r w:rsidR="006B6748">
              <w:rPr>
                <w:color w:val="016794"/>
              </w:rPr>
              <w:t>6</w:t>
            </w:r>
            <w:r>
              <w:rPr>
                <w:color w:val="016794"/>
              </w:rPr>
              <w:t>.</w:t>
            </w:r>
            <w:r w:rsidR="006B6748">
              <w:rPr>
                <w:color w:val="016794"/>
              </w:rPr>
              <w:t>7</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3EA8FA03" w14:textId="77777777" w:rsidR="009C266B" w:rsidRDefault="00023E71" w:rsidP="009C266B">
            <w:pPr>
              <w:pStyle w:val="DGTextstand-alone"/>
              <w:spacing w:before="0" w:after="0"/>
              <w:jc w:val="right"/>
              <w:rPr>
                <w:color w:val="016794"/>
              </w:rPr>
            </w:pPr>
            <w:r>
              <w:rPr>
                <w:color w:val="016794"/>
              </w:rPr>
              <w:t>78.9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738C25F8" w14:textId="77777777" w:rsidR="009C266B" w:rsidRPr="00DA37C0" w:rsidRDefault="00023E71" w:rsidP="009C266B">
            <w:pPr>
              <w:pStyle w:val="DGTextstand-alone"/>
              <w:spacing w:before="0" w:after="0"/>
              <w:jc w:val="right"/>
              <w:rPr>
                <w:color w:val="016794"/>
              </w:rPr>
            </w:pPr>
            <w:r>
              <w:rPr>
                <w:color w:val="016794"/>
              </w:rPr>
              <w:t>(</w:t>
            </w:r>
            <w:r w:rsidR="001C1EB6">
              <w:rPr>
                <w:color w:val="016794"/>
              </w:rPr>
              <w:t>2.2</w:t>
            </w:r>
            <w:r>
              <w:rPr>
                <w:color w:val="016794"/>
              </w:rPr>
              <w:t>)</w:t>
            </w:r>
          </w:p>
        </w:tc>
      </w:tr>
      <w:tr w:rsidR="00807FFE" w14:paraId="38EADBE1"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391B6D77" w14:textId="77777777" w:rsidR="009C266B" w:rsidRPr="00C90229" w:rsidRDefault="00023E71" w:rsidP="009C266B">
            <w:pPr>
              <w:pStyle w:val="DGTextstand-alone"/>
              <w:spacing w:before="0" w:after="0"/>
              <w:rPr>
                <w:color w:val="016794"/>
              </w:rPr>
            </w:pPr>
            <w:r w:rsidRPr="00C90229">
              <w:rPr>
                <w:color w:val="016794"/>
              </w:rPr>
              <w:t>Receivables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6C43394E" w14:textId="77777777" w:rsidR="009C266B" w:rsidRPr="00DA37C0" w:rsidRDefault="00023E71" w:rsidP="009C266B">
            <w:pPr>
              <w:pStyle w:val="DGTextstand-alone"/>
              <w:spacing w:before="0" w:after="0"/>
              <w:jc w:val="right"/>
              <w:rPr>
                <w:color w:val="016794"/>
              </w:rPr>
            </w:pPr>
            <w:r>
              <w:rPr>
                <w:color w:val="016794"/>
              </w:rPr>
              <w:t>3</w:t>
            </w:r>
            <w:r w:rsidR="006B6748">
              <w:rPr>
                <w:color w:val="016794"/>
              </w:rPr>
              <w:t>4</w:t>
            </w:r>
            <w:r>
              <w:rPr>
                <w:color w:val="016794"/>
              </w:rPr>
              <w:t>.</w:t>
            </w:r>
            <w:r w:rsidR="006B6748">
              <w:rPr>
                <w:color w:val="016794"/>
              </w:rPr>
              <w:t>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69FA65B0" w14:textId="77777777" w:rsidR="009C266B" w:rsidRDefault="00023E71" w:rsidP="009C266B">
            <w:pPr>
              <w:pStyle w:val="DGTextstand-alone"/>
              <w:spacing w:before="0" w:after="0"/>
              <w:jc w:val="right"/>
              <w:rPr>
                <w:color w:val="016794"/>
              </w:rPr>
            </w:pPr>
            <w:r>
              <w:rPr>
                <w:color w:val="016794"/>
              </w:rPr>
              <w:t>31.7</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461BF09F" w14:textId="77777777" w:rsidR="009C266B" w:rsidRPr="00DA37C0" w:rsidRDefault="00023E71" w:rsidP="009C266B">
            <w:pPr>
              <w:pStyle w:val="DGTextstand-alone"/>
              <w:spacing w:before="0" w:after="0"/>
              <w:jc w:val="right"/>
              <w:rPr>
                <w:color w:val="016794"/>
              </w:rPr>
            </w:pPr>
            <w:r>
              <w:rPr>
                <w:color w:val="016794"/>
              </w:rPr>
              <w:t>2.</w:t>
            </w:r>
            <w:r w:rsidR="001C1EB6">
              <w:rPr>
                <w:color w:val="016794"/>
              </w:rPr>
              <w:t>3</w:t>
            </w:r>
          </w:p>
        </w:tc>
      </w:tr>
      <w:tr w:rsidR="00807FFE" w14:paraId="410431BB"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25021198" w14:textId="77777777" w:rsidR="009C266B" w:rsidRPr="00C90229" w:rsidRDefault="00023E71" w:rsidP="009C266B">
            <w:pPr>
              <w:pStyle w:val="DGTextstand-alone"/>
              <w:spacing w:before="0" w:after="0"/>
              <w:rPr>
                <w:color w:val="016794"/>
              </w:rPr>
            </w:pPr>
            <w:r w:rsidRPr="00C90229">
              <w:rPr>
                <w:color w:val="016794"/>
              </w:rPr>
              <w:t>Cash and cash equivalents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5B69B94D" w14:textId="77777777" w:rsidR="009C266B" w:rsidRPr="00DA37C0" w:rsidRDefault="00023E71" w:rsidP="009C266B">
            <w:pPr>
              <w:pStyle w:val="DGTextstand-alone"/>
              <w:spacing w:before="0" w:after="0"/>
              <w:jc w:val="right"/>
              <w:rPr>
                <w:color w:val="016794"/>
              </w:rPr>
            </w:pPr>
            <w:r>
              <w:rPr>
                <w:color w:val="016794"/>
              </w:rPr>
              <w:t>103.0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01F6AAF3" w14:textId="77777777" w:rsidR="009C266B" w:rsidRDefault="00023E71" w:rsidP="009C266B">
            <w:pPr>
              <w:pStyle w:val="DGTextstand-alone"/>
              <w:spacing w:before="0" w:after="0"/>
              <w:jc w:val="right"/>
              <w:rPr>
                <w:color w:val="016794"/>
              </w:rPr>
            </w:pPr>
            <w:r>
              <w:rPr>
                <w:color w:val="016794"/>
              </w:rPr>
              <w:t>63.2</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6F08D5EF" w14:textId="77777777" w:rsidR="009C266B" w:rsidRPr="00DA37C0" w:rsidRDefault="00023E71" w:rsidP="009C266B">
            <w:pPr>
              <w:pStyle w:val="DGTextstand-alone"/>
              <w:spacing w:before="0" w:after="0"/>
              <w:jc w:val="right"/>
              <w:rPr>
                <w:color w:val="016794"/>
              </w:rPr>
            </w:pPr>
            <w:r>
              <w:rPr>
                <w:color w:val="016794"/>
              </w:rPr>
              <w:t>39.</w:t>
            </w:r>
            <w:r w:rsidR="001C1EB6">
              <w:rPr>
                <w:color w:val="016794"/>
              </w:rPr>
              <w:t>9</w:t>
            </w:r>
          </w:p>
        </w:tc>
      </w:tr>
      <w:tr w:rsidR="00807FFE" w14:paraId="3C06A424" w14:textId="77777777" w:rsidTr="0033421E">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14:paraId="58F49FBC" w14:textId="77777777" w:rsidR="009C266B" w:rsidRPr="00C90229" w:rsidRDefault="00023E71" w:rsidP="009C266B">
            <w:pPr>
              <w:pStyle w:val="DGTextstand-alone"/>
              <w:spacing w:before="0" w:after="0"/>
              <w:jc w:val="left"/>
              <w:rPr>
                <w:color w:val="016794"/>
              </w:rPr>
            </w:pPr>
            <w:r w:rsidRPr="00C90229">
              <w:rPr>
                <w:color w:val="016794"/>
              </w:rPr>
              <w:t xml:space="preserve">Property, </w:t>
            </w:r>
            <w:r>
              <w:rPr>
                <w:color w:val="016794"/>
              </w:rPr>
              <w:t>p</w:t>
            </w:r>
            <w:r w:rsidRPr="00C90229">
              <w:rPr>
                <w:color w:val="016794"/>
              </w:rPr>
              <w:t xml:space="preserve">lant and </w:t>
            </w:r>
            <w:r>
              <w:rPr>
                <w:color w:val="016794"/>
              </w:rPr>
              <w:t>e</w:t>
            </w:r>
            <w:r w:rsidRPr="00C90229">
              <w:rPr>
                <w:color w:val="016794"/>
              </w:rPr>
              <w:t>quipment</w:t>
            </w:r>
            <w:r>
              <w:rPr>
                <w:color w:val="016794"/>
              </w:rPr>
              <w:t>,</w:t>
            </w:r>
            <w:r w:rsidRPr="00C90229">
              <w:rPr>
                <w:color w:val="016794"/>
              </w:rPr>
              <w:t xml:space="preserve"> and other assets</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14:paraId="3BA0D01B" w14:textId="77777777" w:rsidR="009C266B" w:rsidRPr="00DA37C0" w:rsidRDefault="00023E71" w:rsidP="009C266B">
            <w:pPr>
              <w:pStyle w:val="DGTextstand-alone"/>
              <w:spacing w:before="0" w:after="0"/>
              <w:jc w:val="right"/>
              <w:rPr>
                <w:color w:val="016794"/>
              </w:rPr>
            </w:pPr>
            <w:r>
              <w:rPr>
                <w:color w:val="016794"/>
              </w:rPr>
              <w:t>17.5</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14:paraId="235C695D" w14:textId="77777777" w:rsidR="009C266B" w:rsidRDefault="00023E71" w:rsidP="009C266B">
            <w:pPr>
              <w:pStyle w:val="DGTextstand-alone"/>
              <w:spacing w:before="0" w:after="0"/>
              <w:jc w:val="right"/>
              <w:rPr>
                <w:color w:val="016794"/>
              </w:rPr>
            </w:pPr>
            <w:r>
              <w:rPr>
                <w:color w:val="016794"/>
              </w:rPr>
              <w:t>16.3</w:t>
            </w:r>
          </w:p>
        </w:tc>
        <w:tc>
          <w:tcPr>
            <w:tcW w:w="1701" w:type="dxa"/>
            <w:tcBorders>
              <w:top w:val="single" w:sz="4" w:space="0" w:color="E36C0A" w:themeColor="accent6" w:themeShade="BF"/>
              <w:left w:val="single" w:sz="4" w:space="0" w:color="E36C0A" w:themeColor="accent6" w:themeShade="BF"/>
              <w:bottom w:val="nil"/>
            </w:tcBorders>
            <w:vAlign w:val="center"/>
          </w:tcPr>
          <w:p w14:paraId="2B42C830" w14:textId="77777777" w:rsidR="009C266B" w:rsidRPr="00DA37C0" w:rsidRDefault="00023E71" w:rsidP="009C266B">
            <w:pPr>
              <w:pStyle w:val="DGTextstand-alone"/>
              <w:spacing w:before="0" w:after="0"/>
              <w:jc w:val="right"/>
              <w:rPr>
                <w:color w:val="016794"/>
              </w:rPr>
            </w:pPr>
            <w:r>
              <w:rPr>
                <w:color w:val="016794"/>
              </w:rPr>
              <w:t>1.2</w:t>
            </w:r>
          </w:p>
        </w:tc>
      </w:tr>
      <w:tr w:rsidR="00807FFE" w14:paraId="1BC946A3" w14:textId="77777777" w:rsidTr="0033421E">
        <w:trPr>
          <w:trHeight w:val="336"/>
          <w:jc w:val="center"/>
        </w:trPr>
        <w:tc>
          <w:tcPr>
            <w:tcW w:w="4535" w:type="dxa"/>
            <w:tcBorders>
              <w:left w:val="nil"/>
            </w:tcBorders>
            <w:shd w:val="clear" w:color="auto" w:fill="FBD4B4" w:themeFill="accent6" w:themeFillTint="66"/>
            <w:vAlign w:val="center"/>
          </w:tcPr>
          <w:p w14:paraId="65D3D696" w14:textId="77777777" w:rsidR="009C266B" w:rsidRPr="001A0DF0" w:rsidRDefault="00023E71" w:rsidP="009C266B">
            <w:pPr>
              <w:pStyle w:val="DGTextstand-alone"/>
              <w:spacing w:before="0" w:after="0"/>
              <w:rPr>
                <w:b/>
                <w:color w:val="016794"/>
                <w:lang w:eastAsia="de-DE"/>
              </w:rPr>
            </w:pPr>
            <w:r w:rsidRPr="001A0DF0">
              <w:rPr>
                <w:b/>
                <w:color w:val="016794"/>
              </w:rPr>
              <w:t>Total</w:t>
            </w:r>
          </w:p>
        </w:tc>
        <w:tc>
          <w:tcPr>
            <w:tcW w:w="1701" w:type="dxa"/>
            <w:shd w:val="clear" w:color="auto" w:fill="FBD4B4" w:themeFill="accent6" w:themeFillTint="66"/>
            <w:vAlign w:val="center"/>
          </w:tcPr>
          <w:p w14:paraId="0ADC2CB6" w14:textId="77777777" w:rsidR="009C266B" w:rsidRPr="00DA37C0" w:rsidRDefault="00023E71" w:rsidP="009C266B">
            <w:pPr>
              <w:pStyle w:val="DGTextstand-alone"/>
              <w:spacing w:before="0" w:after="0"/>
              <w:jc w:val="right"/>
              <w:rPr>
                <w:b/>
                <w:color w:val="016794"/>
              </w:rPr>
            </w:pPr>
            <w:r>
              <w:rPr>
                <w:b/>
                <w:color w:val="016794"/>
              </w:rPr>
              <w:t>61</w:t>
            </w:r>
            <w:r w:rsidR="006B6748">
              <w:rPr>
                <w:b/>
                <w:color w:val="016794"/>
              </w:rPr>
              <w:t>7</w:t>
            </w:r>
            <w:r>
              <w:rPr>
                <w:b/>
                <w:color w:val="016794"/>
              </w:rPr>
              <w:t>.</w:t>
            </w:r>
            <w:r w:rsidR="006B6748">
              <w:rPr>
                <w:b/>
                <w:color w:val="016794"/>
              </w:rPr>
              <w:t>4</w:t>
            </w:r>
          </w:p>
        </w:tc>
        <w:tc>
          <w:tcPr>
            <w:tcW w:w="1701" w:type="dxa"/>
            <w:shd w:val="clear" w:color="auto" w:fill="FBD4B4" w:themeFill="accent6" w:themeFillTint="66"/>
            <w:vAlign w:val="center"/>
          </w:tcPr>
          <w:p w14:paraId="3BABEB07" w14:textId="77777777" w:rsidR="009C266B" w:rsidRDefault="00023E71" w:rsidP="009C266B">
            <w:pPr>
              <w:pStyle w:val="DGTextstand-alone"/>
              <w:spacing w:before="0" w:after="0"/>
              <w:jc w:val="right"/>
              <w:rPr>
                <w:b/>
                <w:color w:val="016794"/>
              </w:rPr>
            </w:pPr>
            <w:r>
              <w:rPr>
                <w:b/>
                <w:color w:val="016794"/>
              </w:rPr>
              <w:t>518.5</w:t>
            </w:r>
          </w:p>
        </w:tc>
        <w:tc>
          <w:tcPr>
            <w:tcW w:w="1701" w:type="dxa"/>
            <w:shd w:val="clear" w:color="auto" w:fill="FBD4B4" w:themeFill="accent6" w:themeFillTint="66"/>
            <w:vAlign w:val="center"/>
          </w:tcPr>
          <w:p w14:paraId="4D644C20" w14:textId="77777777" w:rsidR="009C266B" w:rsidRPr="00DA37C0" w:rsidRDefault="00023E71" w:rsidP="009C266B">
            <w:pPr>
              <w:pStyle w:val="DGTextstand-alone"/>
              <w:spacing w:before="0" w:after="0"/>
              <w:jc w:val="right"/>
              <w:rPr>
                <w:b/>
                <w:color w:val="016794"/>
              </w:rPr>
            </w:pPr>
            <w:r>
              <w:rPr>
                <w:b/>
                <w:color w:val="016794"/>
              </w:rPr>
              <w:t>99.0</w:t>
            </w:r>
          </w:p>
        </w:tc>
      </w:tr>
      <w:tr w:rsidR="00807FFE" w14:paraId="1C32FCB8" w14:textId="77777777" w:rsidTr="0033421E">
        <w:trPr>
          <w:trHeight w:val="336"/>
          <w:jc w:val="center"/>
        </w:trPr>
        <w:tc>
          <w:tcPr>
            <w:tcW w:w="4535" w:type="dxa"/>
            <w:vAlign w:val="center"/>
          </w:tcPr>
          <w:p w14:paraId="13A79AFB" w14:textId="77777777" w:rsidR="009C266B" w:rsidRPr="00C90229" w:rsidRDefault="009C266B" w:rsidP="009C266B">
            <w:pPr>
              <w:rPr>
                <w:rFonts w:ascii="Verdana" w:hAnsi="Verdana"/>
                <w:noProof/>
                <w:color w:val="016794"/>
                <w:sz w:val="18"/>
                <w:szCs w:val="18"/>
                <w:lang w:eastAsia="de-DE"/>
              </w:rPr>
            </w:pPr>
          </w:p>
        </w:tc>
        <w:tc>
          <w:tcPr>
            <w:tcW w:w="1701" w:type="dxa"/>
            <w:vAlign w:val="center"/>
          </w:tcPr>
          <w:p w14:paraId="1FF158C4" w14:textId="77777777" w:rsidR="009C266B" w:rsidRPr="00A13E9F" w:rsidRDefault="009C266B" w:rsidP="009C266B">
            <w:pPr>
              <w:pStyle w:val="DGTextstand-alone"/>
              <w:spacing w:before="0" w:after="0"/>
              <w:jc w:val="right"/>
              <w:rPr>
                <w:color w:val="016794"/>
              </w:rPr>
            </w:pPr>
          </w:p>
        </w:tc>
        <w:tc>
          <w:tcPr>
            <w:tcW w:w="1701" w:type="dxa"/>
            <w:vAlign w:val="center"/>
          </w:tcPr>
          <w:p w14:paraId="08E718EB" w14:textId="77777777" w:rsidR="009C266B" w:rsidRPr="00A13E9F" w:rsidRDefault="009C266B" w:rsidP="009C266B">
            <w:pPr>
              <w:pStyle w:val="DGTextstand-alone"/>
              <w:spacing w:before="0" w:after="0"/>
              <w:jc w:val="right"/>
              <w:rPr>
                <w:color w:val="016794"/>
              </w:rPr>
            </w:pPr>
          </w:p>
        </w:tc>
        <w:tc>
          <w:tcPr>
            <w:tcW w:w="1701" w:type="dxa"/>
            <w:vAlign w:val="center"/>
          </w:tcPr>
          <w:p w14:paraId="24B3AE50" w14:textId="77777777" w:rsidR="009C266B" w:rsidRPr="00A13E9F" w:rsidRDefault="009C266B" w:rsidP="009C266B">
            <w:pPr>
              <w:pStyle w:val="DGTextstand-alone"/>
              <w:spacing w:before="0" w:after="0"/>
              <w:jc w:val="right"/>
              <w:rPr>
                <w:color w:val="016794"/>
              </w:rPr>
            </w:pPr>
          </w:p>
        </w:tc>
      </w:tr>
      <w:tr w:rsidR="00807FFE" w14:paraId="3A1880F6" w14:textId="77777777" w:rsidTr="0033421E">
        <w:trPr>
          <w:trHeight w:val="336"/>
          <w:jc w:val="center"/>
        </w:trPr>
        <w:tc>
          <w:tcPr>
            <w:tcW w:w="4535" w:type="dxa"/>
            <w:tcBorders>
              <w:bottom w:val="single" w:sz="4" w:space="0" w:color="E36C0A" w:themeColor="accent6" w:themeShade="BF"/>
            </w:tcBorders>
            <w:vAlign w:val="center"/>
          </w:tcPr>
          <w:p w14:paraId="6B15E786" w14:textId="77777777" w:rsidR="009C266B" w:rsidRPr="00C90229" w:rsidRDefault="00023E71" w:rsidP="009C266B">
            <w:pPr>
              <w:pStyle w:val="DGTextstand-alone"/>
              <w:spacing w:before="0" w:after="0"/>
              <w:jc w:val="left"/>
              <w:rPr>
                <w:b/>
                <w:color w:val="016794"/>
                <w:lang w:eastAsia="de-DE"/>
              </w:rPr>
            </w:pPr>
            <w:r w:rsidRPr="001A0DF0">
              <w:rPr>
                <w:b/>
                <w:color w:val="E36C0A"/>
              </w:rPr>
              <w:t>LIABILITIES</w:t>
            </w:r>
          </w:p>
        </w:tc>
        <w:tc>
          <w:tcPr>
            <w:tcW w:w="1701" w:type="dxa"/>
            <w:tcBorders>
              <w:bottom w:val="single" w:sz="4" w:space="0" w:color="E36C0A" w:themeColor="accent6" w:themeShade="BF"/>
            </w:tcBorders>
            <w:vAlign w:val="center"/>
          </w:tcPr>
          <w:p w14:paraId="425FE0DD" w14:textId="77777777" w:rsidR="009C266B" w:rsidRPr="00A13E9F" w:rsidRDefault="009C266B" w:rsidP="009C266B">
            <w:pPr>
              <w:pStyle w:val="DGTextstand-alone"/>
              <w:spacing w:before="0" w:after="0"/>
              <w:jc w:val="right"/>
              <w:rPr>
                <w:color w:val="016794"/>
              </w:rPr>
            </w:pPr>
          </w:p>
        </w:tc>
        <w:tc>
          <w:tcPr>
            <w:tcW w:w="1701" w:type="dxa"/>
            <w:tcBorders>
              <w:bottom w:val="single" w:sz="4" w:space="0" w:color="E36C0A" w:themeColor="accent6" w:themeShade="BF"/>
            </w:tcBorders>
            <w:vAlign w:val="center"/>
          </w:tcPr>
          <w:p w14:paraId="73424863" w14:textId="77777777" w:rsidR="009C266B" w:rsidRPr="00A13E9F" w:rsidRDefault="009C266B" w:rsidP="009C266B">
            <w:pPr>
              <w:pStyle w:val="DGTextstand-alone"/>
              <w:spacing w:before="0" w:after="0"/>
              <w:jc w:val="right"/>
              <w:rPr>
                <w:color w:val="016794"/>
              </w:rPr>
            </w:pPr>
          </w:p>
        </w:tc>
        <w:tc>
          <w:tcPr>
            <w:tcW w:w="1701" w:type="dxa"/>
            <w:tcBorders>
              <w:bottom w:val="single" w:sz="4" w:space="0" w:color="E36C0A" w:themeColor="accent6" w:themeShade="BF"/>
            </w:tcBorders>
            <w:vAlign w:val="center"/>
          </w:tcPr>
          <w:p w14:paraId="50DFF074" w14:textId="77777777" w:rsidR="009C266B" w:rsidRPr="00A13E9F" w:rsidRDefault="009C266B" w:rsidP="009C266B">
            <w:pPr>
              <w:pStyle w:val="DGTextstand-alone"/>
              <w:spacing w:before="0" w:after="0"/>
              <w:jc w:val="right"/>
              <w:rPr>
                <w:color w:val="016794"/>
              </w:rPr>
            </w:pPr>
          </w:p>
        </w:tc>
      </w:tr>
      <w:tr w:rsidR="00807FFE" w14:paraId="64B76E41"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591829A5" w14:textId="77777777" w:rsidR="009C266B" w:rsidRPr="001A0DF0" w:rsidRDefault="00023E71" w:rsidP="009C266B">
            <w:pPr>
              <w:pStyle w:val="DGTextstand-alone"/>
              <w:spacing w:before="0" w:after="0"/>
              <w:rPr>
                <w:color w:val="016794"/>
              </w:rPr>
            </w:pPr>
            <w:r>
              <w:rPr>
                <w:color w:val="016794"/>
              </w:rPr>
              <w:t>Post-</w:t>
            </w:r>
            <w:r w:rsidRPr="001A0DF0">
              <w:rPr>
                <w:color w:val="016794"/>
              </w:rPr>
              <w:t>employment benefits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0F027556" w14:textId="77777777" w:rsidR="009C266B" w:rsidRPr="00DA37C0" w:rsidRDefault="00023E71" w:rsidP="009C266B">
            <w:pPr>
              <w:pStyle w:val="DGTextstand-alone"/>
              <w:spacing w:before="0" w:after="0"/>
              <w:jc w:val="right"/>
              <w:rPr>
                <w:color w:val="016794"/>
              </w:rPr>
            </w:pPr>
            <w:r>
              <w:rPr>
                <w:color w:val="016794"/>
              </w:rPr>
              <w:t>91.1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6C5C2846" w14:textId="77777777" w:rsidR="009C266B" w:rsidRDefault="00023E71" w:rsidP="009C266B">
            <w:pPr>
              <w:pStyle w:val="DGTextstand-alone"/>
              <w:spacing w:before="0" w:after="0"/>
              <w:jc w:val="right"/>
              <w:rPr>
                <w:color w:val="016794"/>
              </w:rPr>
            </w:pPr>
            <w:r>
              <w:rPr>
                <w:color w:val="016794"/>
              </w:rPr>
              <w:t>93.1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268202F0" w14:textId="77777777" w:rsidR="009C266B" w:rsidRPr="00DA37C0" w:rsidRDefault="00023E71" w:rsidP="009C266B">
            <w:pPr>
              <w:pStyle w:val="DGTextstand-alone"/>
              <w:spacing w:before="0" w:after="0"/>
              <w:jc w:val="right"/>
              <w:rPr>
                <w:color w:val="016794"/>
              </w:rPr>
            </w:pPr>
            <w:r>
              <w:rPr>
                <w:color w:val="016794"/>
              </w:rPr>
              <w:t>(2.0)</w:t>
            </w:r>
          </w:p>
        </w:tc>
      </w:tr>
      <w:tr w:rsidR="00807FFE" w14:paraId="0004DC4F"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6C0D8EE0" w14:textId="77777777" w:rsidR="009C266B" w:rsidRPr="001A0DF0" w:rsidRDefault="00023E71" w:rsidP="009C266B">
            <w:pPr>
              <w:pStyle w:val="DGTextstand-alone"/>
              <w:spacing w:before="0" w:after="0"/>
              <w:rPr>
                <w:color w:val="016794"/>
              </w:rPr>
            </w:pPr>
            <w:r w:rsidRPr="001A0DF0">
              <w:rPr>
                <w:color w:val="016794"/>
              </w:rPr>
              <w:t>Financial liabilities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5F2F0A5B" w14:textId="77777777" w:rsidR="009C266B" w:rsidRPr="00DA37C0" w:rsidRDefault="00023E71" w:rsidP="009C266B">
            <w:pPr>
              <w:pStyle w:val="DGTextstand-alone"/>
              <w:spacing w:before="0" w:after="0"/>
              <w:jc w:val="right"/>
              <w:rPr>
                <w:color w:val="016794"/>
              </w:rPr>
            </w:pPr>
            <w:r>
              <w:rPr>
                <w:color w:val="016794"/>
              </w:rPr>
              <w:t>740.8</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2AAD1CF3" w14:textId="77777777" w:rsidR="009C266B" w:rsidRDefault="00023E71" w:rsidP="009C266B">
            <w:pPr>
              <w:pStyle w:val="DGTextstand-alone"/>
              <w:spacing w:before="0" w:after="0"/>
              <w:jc w:val="right"/>
              <w:rPr>
                <w:color w:val="016794"/>
              </w:rPr>
            </w:pPr>
            <w:r>
              <w:rPr>
                <w:color w:val="016794"/>
              </w:rPr>
              <w:t>601.9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4E3C7297" w14:textId="77777777" w:rsidR="009C266B" w:rsidRPr="00DA37C0" w:rsidRDefault="00023E71" w:rsidP="009C266B">
            <w:pPr>
              <w:pStyle w:val="DGTextstand-alone"/>
              <w:spacing w:before="0" w:after="0"/>
              <w:jc w:val="right"/>
              <w:rPr>
                <w:color w:val="016794"/>
              </w:rPr>
            </w:pPr>
            <w:r>
              <w:rPr>
                <w:color w:val="016794"/>
              </w:rPr>
              <w:t>138.9</w:t>
            </w:r>
          </w:p>
        </w:tc>
      </w:tr>
      <w:tr w:rsidR="00807FFE" w14:paraId="20F7A60C"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558460D2" w14:textId="77777777" w:rsidR="009C266B" w:rsidRPr="001A0DF0" w:rsidRDefault="00023E71" w:rsidP="009C266B">
            <w:pPr>
              <w:pStyle w:val="DGTextstand-alone"/>
              <w:spacing w:before="0" w:after="0"/>
              <w:rPr>
                <w:color w:val="016794"/>
              </w:rPr>
            </w:pPr>
            <w:r w:rsidRPr="001A0DF0">
              <w:rPr>
                <w:color w:val="016794"/>
              </w:rPr>
              <w:t>Payables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528332E1" w14:textId="77777777" w:rsidR="009C266B" w:rsidRPr="00DA37C0" w:rsidRDefault="00023E71" w:rsidP="009C266B">
            <w:pPr>
              <w:pStyle w:val="DGTextstand-alone"/>
              <w:spacing w:before="0" w:after="0"/>
              <w:jc w:val="right"/>
              <w:rPr>
                <w:color w:val="016794"/>
              </w:rPr>
            </w:pPr>
            <w:r>
              <w:rPr>
                <w:color w:val="016794"/>
              </w:rPr>
              <w:t>65.0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0E43BA3B" w14:textId="77777777" w:rsidR="009C266B" w:rsidRDefault="00023E71" w:rsidP="009C266B">
            <w:pPr>
              <w:pStyle w:val="DGTextstand-alone"/>
              <w:spacing w:before="0" w:after="0"/>
              <w:jc w:val="right"/>
              <w:rPr>
                <w:color w:val="016794"/>
              </w:rPr>
            </w:pPr>
            <w:r>
              <w:rPr>
                <w:color w:val="016794"/>
              </w:rPr>
              <w:t>55.4</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574C30C4" w14:textId="77777777" w:rsidR="009C266B" w:rsidRPr="00DA37C0" w:rsidRDefault="00023E71" w:rsidP="009C266B">
            <w:pPr>
              <w:pStyle w:val="DGTextstand-alone"/>
              <w:spacing w:before="0" w:after="0"/>
              <w:jc w:val="right"/>
              <w:rPr>
                <w:color w:val="016794"/>
              </w:rPr>
            </w:pPr>
            <w:r>
              <w:rPr>
                <w:color w:val="016794"/>
              </w:rPr>
              <w:t>9.6</w:t>
            </w:r>
          </w:p>
        </w:tc>
      </w:tr>
      <w:tr w:rsidR="00807FFE" w14:paraId="234713EF"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57A9E1D7" w14:textId="77777777" w:rsidR="009C266B" w:rsidRPr="001A0DF0" w:rsidRDefault="00023E71" w:rsidP="009C266B">
            <w:pPr>
              <w:pStyle w:val="DGTextstand-alone"/>
              <w:spacing w:before="0" w:after="0"/>
              <w:rPr>
                <w:color w:val="016794"/>
              </w:rPr>
            </w:pPr>
            <w:r w:rsidRPr="001A0DF0">
              <w:rPr>
                <w:color w:val="016794"/>
              </w:rPr>
              <w:t>Accruals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2B49D9E3" w14:textId="77777777" w:rsidR="009C266B" w:rsidRPr="00DA37C0" w:rsidRDefault="00023E71" w:rsidP="009C266B">
            <w:pPr>
              <w:pStyle w:val="DGTextstand-alone"/>
              <w:spacing w:before="0" w:after="0"/>
              <w:jc w:val="right"/>
              <w:rPr>
                <w:color w:val="016794"/>
              </w:rPr>
            </w:pPr>
            <w:r>
              <w:rPr>
                <w:color w:val="016794"/>
              </w:rPr>
              <w:t>7</w:t>
            </w:r>
            <w:r w:rsidR="006B6748">
              <w:rPr>
                <w:color w:val="016794"/>
              </w:rPr>
              <w:t>7.0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4B3898B4" w14:textId="77777777" w:rsidR="009C266B" w:rsidRDefault="00023E71" w:rsidP="009C266B">
            <w:pPr>
              <w:pStyle w:val="DGTextstand-alone"/>
              <w:spacing w:before="0" w:after="0"/>
              <w:jc w:val="right"/>
              <w:rPr>
                <w:color w:val="016794"/>
              </w:rPr>
            </w:pPr>
            <w:r>
              <w:rPr>
                <w:color w:val="016794"/>
              </w:rPr>
              <w:t>67.1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554716EB" w14:textId="77777777" w:rsidR="009C266B" w:rsidRPr="00DA37C0" w:rsidRDefault="00023E71" w:rsidP="009C266B">
            <w:pPr>
              <w:pStyle w:val="DGTextstand-alone"/>
              <w:spacing w:before="0" w:after="0"/>
              <w:jc w:val="right"/>
              <w:rPr>
                <w:color w:val="016794"/>
              </w:rPr>
            </w:pPr>
            <w:r>
              <w:rPr>
                <w:color w:val="016794"/>
              </w:rPr>
              <w:t>10.0</w:t>
            </w:r>
          </w:p>
        </w:tc>
      </w:tr>
      <w:tr w:rsidR="00807FFE" w14:paraId="132F2941" w14:textId="77777777" w:rsidTr="0033421E">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14:paraId="78D47423" w14:textId="77777777" w:rsidR="009C266B" w:rsidRPr="001A0DF0" w:rsidRDefault="00023E71" w:rsidP="009C266B">
            <w:pPr>
              <w:pStyle w:val="DGTextstand-alone"/>
              <w:spacing w:before="0" w:after="0"/>
              <w:rPr>
                <w:color w:val="016794"/>
              </w:rPr>
            </w:pPr>
            <w:r w:rsidRPr="001A0DF0">
              <w:rPr>
                <w:color w:val="016794"/>
              </w:rPr>
              <w:t>Other liabilities</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14:paraId="09786B63" w14:textId="77777777" w:rsidR="009C266B" w:rsidRPr="00DA37C0" w:rsidRDefault="00023E71" w:rsidP="009C266B">
            <w:pPr>
              <w:pStyle w:val="DGTextstand-alone"/>
              <w:spacing w:before="0" w:after="0"/>
              <w:jc w:val="right"/>
              <w:rPr>
                <w:color w:val="016794"/>
              </w:rPr>
            </w:pPr>
            <w:r>
              <w:rPr>
                <w:color w:val="016794"/>
              </w:rPr>
              <w:t>2.6</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14:paraId="6BBC746D" w14:textId="77777777" w:rsidR="009C266B" w:rsidRDefault="00023E71" w:rsidP="009C266B">
            <w:pPr>
              <w:pStyle w:val="DGTextstand-alone"/>
              <w:spacing w:before="0" w:after="0"/>
              <w:jc w:val="right"/>
              <w:rPr>
                <w:color w:val="016794"/>
              </w:rPr>
            </w:pPr>
            <w:r>
              <w:rPr>
                <w:color w:val="016794"/>
              </w:rPr>
              <w:t>9.8</w:t>
            </w:r>
          </w:p>
        </w:tc>
        <w:tc>
          <w:tcPr>
            <w:tcW w:w="1701" w:type="dxa"/>
            <w:tcBorders>
              <w:top w:val="single" w:sz="4" w:space="0" w:color="E36C0A" w:themeColor="accent6" w:themeShade="BF"/>
              <w:left w:val="single" w:sz="4" w:space="0" w:color="E36C0A" w:themeColor="accent6" w:themeShade="BF"/>
              <w:bottom w:val="nil"/>
            </w:tcBorders>
            <w:vAlign w:val="center"/>
          </w:tcPr>
          <w:p w14:paraId="37CB7408" w14:textId="77777777" w:rsidR="009C266B" w:rsidRPr="00DA37C0" w:rsidRDefault="00023E71" w:rsidP="009C266B">
            <w:pPr>
              <w:pStyle w:val="DGTextstand-alone"/>
              <w:spacing w:before="0" w:after="0"/>
              <w:jc w:val="right"/>
              <w:rPr>
                <w:color w:val="016794"/>
              </w:rPr>
            </w:pPr>
            <w:r>
              <w:rPr>
                <w:color w:val="016794"/>
              </w:rPr>
              <w:t>(7.2)</w:t>
            </w:r>
          </w:p>
        </w:tc>
      </w:tr>
      <w:tr w:rsidR="00807FFE" w14:paraId="20B83743" w14:textId="77777777" w:rsidTr="0033421E">
        <w:trPr>
          <w:trHeight w:val="336"/>
          <w:jc w:val="center"/>
        </w:trPr>
        <w:tc>
          <w:tcPr>
            <w:tcW w:w="4535" w:type="dxa"/>
            <w:shd w:val="clear" w:color="auto" w:fill="FBD4B4" w:themeFill="accent6" w:themeFillTint="66"/>
            <w:vAlign w:val="center"/>
          </w:tcPr>
          <w:p w14:paraId="134E6DFF" w14:textId="77777777" w:rsidR="009C266B" w:rsidRPr="00C90229" w:rsidRDefault="00023E71" w:rsidP="009C266B">
            <w:pPr>
              <w:pStyle w:val="DGTextstand-alone"/>
              <w:spacing w:before="0" w:after="0"/>
              <w:rPr>
                <w:b/>
                <w:color w:val="016794"/>
              </w:rPr>
            </w:pPr>
            <w:r w:rsidRPr="00C90229">
              <w:rPr>
                <w:b/>
                <w:color w:val="016794"/>
              </w:rPr>
              <w:t>Total</w:t>
            </w:r>
          </w:p>
        </w:tc>
        <w:tc>
          <w:tcPr>
            <w:tcW w:w="1701" w:type="dxa"/>
            <w:shd w:val="clear" w:color="auto" w:fill="FBD4B4" w:themeFill="accent6" w:themeFillTint="66"/>
            <w:vAlign w:val="center"/>
          </w:tcPr>
          <w:p w14:paraId="42DE78C6" w14:textId="77777777" w:rsidR="009C266B" w:rsidRPr="00DA37C0" w:rsidRDefault="00023E71" w:rsidP="009C266B">
            <w:pPr>
              <w:pStyle w:val="DGTextstand-alone"/>
              <w:spacing w:before="0" w:after="0"/>
              <w:jc w:val="right"/>
              <w:rPr>
                <w:b/>
                <w:color w:val="016794"/>
              </w:rPr>
            </w:pPr>
            <w:r>
              <w:rPr>
                <w:b/>
                <w:color w:val="016794"/>
              </w:rPr>
              <w:t>97</w:t>
            </w:r>
            <w:r w:rsidR="006B6748">
              <w:rPr>
                <w:b/>
                <w:color w:val="016794"/>
              </w:rPr>
              <w:t>6.6</w:t>
            </w:r>
          </w:p>
        </w:tc>
        <w:tc>
          <w:tcPr>
            <w:tcW w:w="1701" w:type="dxa"/>
            <w:shd w:val="clear" w:color="auto" w:fill="FBD4B4" w:themeFill="accent6" w:themeFillTint="66"/>
            <w:vAlign w:val="center"/>
          </w:tcPr>
          <w:p w14:paraId="6BCC130D" w14:textId="77777777" w:rsidR="009C266B" w:rsidRDefault="00023E71" w:rsidP="009C266B">
            <w:pPr>
              <w:pStyle w:val="DGTextstand-alone"/>
              <w:spacing w:before="0" w:after="0"/>
              <w:jc w:val="right"/>
              <w:rPr>
                <w:b/>
                <w:color w:val="016794"/>
              </w:rPr>
            </w:pPr>
            <w:r>
              <w:rPr>
                <w:b/>
                <w:color w:val="016794"/>
              </w:rPr>
              <w:t>827.3</w:t>
            </w:r>
          </w:p>
        </w:tc>
        <w:tc>
          <w:tcPr>
            <w:tcW w:w="1701" w:type="dxa"/>
            <w:shd w:val="clear" w:color="auto" w:fill="FBD4B4" w:themeFill="accent6" w:themeFillTint="66"/>
            <w:vAlign w:val="center"/>
          </w:tcPr>
          <w:p w14:paraId="0F03D2BC" w14:textId="77777777" w:rsidR="009C266B" w:rsidRPr="00DA37C0" w:rsidRDefault="00023E71" w:rsidP="009C266B">
            <w:pPr>
              <w:pStyle w:val="DGTextstand-alone"/>
              <w:spacing w:before="0" w:after="0"/>
              <w:jc w:val="right"/>
              <w:rPr>
                <w:b/>
                <w:color w:val="016794"/>
              </w:rPr>
            </w:pPr>
            <w:r>
              <w:rPr>
                <w:b/>
                <w:color w:val="016794"/>
              </w:rPr>
              <w:t>14</w:t>
            </w:r>
            <w:r w:rsidR="001C1EB6">
              <w:rPr>
                <w:b/>
                <w:color w:val="016794"/>
              </w:rPr>
              <w:t>9.3</w:t>
            </w:r>
          </w:p>
        </w:tc>
      </w:tr>
      <w:tr w:rsidR="00807FFE" w14:paraId="79031477" w14:textId="77777777" w:rsidTr="0033421E">
        <w:trPr>
          <w:trHeight w:val="336"/>
          <w:jc w:val="center"/>
        </w:trPr>
        <w:tc>
          <w:tcPr>
            <w:tcW w:w="4535" w:type="dxa"/>
            <w:vAlign w:val="center"/>
          </w:tcPr>
          <w:p w14:paraId="562CCB52" w14:textId="77777777" w:rsidR="009C266B" w:rsidRPr="00C90229" w:rsidRDefault="009C266B" w:rsidP="009C266B">
            <w:pPr>
              <w:rPr>
                <w:rFonts w:ascii="Verdana" w:hAnsi="Verdana"/>
                <w:noProof/>
                <w:color w:val="016794"/>
                <w:sz w:val="18"/>
                <w:szCs w:val="18"/>
                <w:lang w:eastAsia="de-DE"/>
              </w:rPr>
            </w:pPr>
          </w:p>
        </w:tc>
        <w:tc>
          <w:tcPr>
            <w:tcW w:w="1701" w:type="dxa"/>
            <w:vAlign w:val="center"/>
          </w:tcPr>
          <w:p w14:paraId="0F80FBA8" w14:textId="77777777" w:rsidR="009C266B" w:rsidRPr="00A13E9F" w:rsidRDefault="009C266B" w:rsidP="009C266B">
            <w:pPr>
              <w:pStyle w:val="DGTextstand-alone"/>
              <w:spacing w:before="0" w:after="0"/>
              <w:jc w:val="right"/>
              <w:rPr>
                <w:color w:val="016794"/>
              </w:rPr>
            </w:pPr>
          </w:p>
        </w:tc>
        <w:tc>
          <w:tcPr>
            <w:tcW w:w="1701" w:type="dxa"/>
            <w:vAlign w:val="center"/>
          </w:tcPr>
          <w:p w14:paraId="624320F7" w14:textId="77777777" w:rsidR="009C266B" w:rsidRPr="00A13E9F" w:rsidRDefault="009C266B" w:rsidP="009C266B">
            <w:pPr>
              <w:pStyle w:val="DGTextstand-alone"/>
              <w:spacing w:before="0" w:after="0"/>
              <w:jc w:val="right"/>
              <w:rPr>
                <w:color w:val="016794"/>
              </w:rPr>
            </w:pPr>
          </w:p>
        </w:tc>
        <w:tc>
          <w:tcPr>
            <w:tcW w:w="1701" w:type="dxa"/>
            <w:vAlign w:val="center"/>
          </w:tcPr>
          <w:p w14:paraId="445481C4" w14:textId="77777777" w:rsidR="009C266B" w:rsidRPr="00A13E9F" w:rsidRDefault="009C266B" w:rsidP="009C266B">
            <w:pPr>
              <w:pStyle w:val="DGTextstand-alone"/>
              <w:spacing w:before="0" w:after="0"/>
              <w:jc w:val="right"/>
              <w:rPr>
                <w:color w:val="016794"/>
              </w:rPr>
            </w:pPr>
          </w:p>
        </w:tc>
      </w:tr>
      <w:tr w:rsidR="00807FFE" w14:paraId="02CA445C" w14:textId="77777777" w:rsidTr="0033421E">
        <w:trPr>
          <w:trHeight w:val="336"/>
          <w:jc w:val="center"/>
        </w:trPr>
        <w:tc>
          <w:tcPr>
            <w:tcW w:w="4535" w:type="dxa"/>
            <w:tcBorders>
              <w:bottom w:val="single" w:sz="4" w:space="0" w:color="E36C0A" w:themeColor="accent6" w:themeShade="BF"/>
            </w:tcBorders>
            <w:vAlign w:val="center"/>
          </w:tcPr>
          <w:p w14:paraId="06351863" w14:textId="77777777" w:rsidR="009C266B" w:rsidRPr="00C90229" w:rsidRDefault="00023E71" w:rsidP="009C266B">
            <w:pPr>
              <w:pStyle w:val="DGTextstand-alone"/>
              <w:spacing w:before="0" w:after="0"/>
              <w:jc w:val="left"/>
              <w:rPr>
                <w:b/>
                <w:color w:val="016794"/>
                <w:lang w:eastAsia="de-DE"/>
              </w:rPr>
            </w:pPr>
            <w:r w:rsidRPr="001A0DF0">
              <w:rPr>
                <w:b/>
                <w:color w:val="E36C0A"/>
              </w:rPr>
              <w:t>NET ASSETS</w:t>
            </w:r>
          </w:p>
        </w:tc>
        <w:tc>
          <w:tcPr>
            <w:tcW w:w="1701" w:type="dxa"/>
            <w:tcBorders>
              <w:bottom w:val="single" w:sz="4" w:space="0" w:color="E36C0A" w:themeColor="accent6" w:themeShade="BF"/>
            </w:tcBorders>
            <w:vAlign w:val="center"/>
          </w:tcPr>
          <w:p w14:paraId="3DF54AE2" w14:textId="77777777" w:rsidR="009C266B" w:rsidRPr="00A13E9F" w:rsidRDefault="009C266B" w:rsidP="009C266B">
            <w:pPr>
              <w:pStyle w:val="DGTextstand-alone"/>
              <w:spacing w:before="0" w:after="0"/>
              <w:jc w:val="right"/>
              <w:rPr>
                <w:color w:val="016794"/>
              </w:rPr>
            </w:pPr>
          </w:p>
        </w:tc>
        <w:tc>
          <w:tcPr>
            <w:tcW w:w="1701" w:type="dxa"/>
            <w:tcBorders>
              <w:bottom w:val="single" w:sz="4" w:space="0" w:color="E36C0A" w:themeColor="accent6" w:themeShade="BF"/>
            </w:tcBorders>
            <w:vAlign w:val="center"/>
          </w:tcPr>
          <w:p w14:paraId="06468D6E" w14:textId="77777777" w:rsidR="009C266B" w:rsidRPr="00A13E9F" w:rsidRDefault="009C266B" w:rsidP="009C266B">
            <w:pPr>
              <w:pStyle w:val="DGTextstand-alone"/>
              <w:spacing w:before="0" w:after="0"/>
              <w:jc w:val="right"/>
              <w:rPr>
                <w:color w:val="016794"/>
              </w:rPr>
            </w:pPr>
          </w:p>
        </w:tc>
        <w:tc>
          <w:tcPr>
            <w:tcW w:w="1701" w:type="dxa"/>
            <w:tcBorders>
              <w:bottom w:val="single" w:sz="4" w:space="0" w:color="E36C0A" w:themeColor="accent6" w:themeShade="BF"/>
            </w:tcBorders>
            <w:vAlign w:val="center"/>
          </w:tcPr>
          <w:p w14:paraId="5BAC79D2" w14:textId="77777777" w:rsidR="009C266B" w:rsidRPr="00A13E9F" w:rsidRDefault="009C266B" w:rsidP="009C266B">
            <w:pPr>
              <w:pStyle w:val="DGTextstand-alone"/>
              <w:spacing w:before="0" w:after="0"/>
              <w:jc w:val="right"/>
              <w:rPr>
                <w:color w:val="016794"/>
              </w:rPr>
            </w:pPr>
          </w:p>
        </w:tc>
      </w:tr>
      <w:tr w:rsidR="00807FFE" w14:paraId="7FF35B72" w14:textId="77777777" w:rsidTr="0033421E">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14:paraId="24AD3372" w14:textId="77777777" w:rsidR="009C266B" w:rsidRPr="00C90229" w:rsidRDefault="00023E71" w:rsidP="009C266B">
            <w:pPr>
              <w:pStyle w:val="DGTextstand-alone"/>
              <w:spacing w:before="0" w:after="0"/>
              <w:rPr>
                <w:color w:val="016794"/>
              </w:rPr>
            </w:pPr>
            <w:r w:rsidRPr="00C90229">
              <w:rPr>
                <w:color w:val="016794"/>
              </w:rPr>
              <w:t>Reserves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239B74D5" w14:textId="77777777" w:rsidR="009C266B" w:rsidRPr="002D23E7" w:rsidRDefault="00023E71" w:rsidP="009C266B">
            <w:pPr>
              <w:pStyle w:val="DGTextstand-alone"/>
              <w:spacing w:before="0" w:after="0"/>
              <w:jc w:val="right"/>
              <w:rPr>
                <w:color w:val="016794"/>
              </w:rPr>
            </w:pPr>
            <w:r>
              <w:rPr>
                <w:color w:val="016794"/>
              </w:rPr>
              <w:t>0.9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14:paraId="1DDDE6BF" w14:textId="77777777" w:rsidR="009C266B" w:rsidRDefault="00023E71" w:rsidP="009C266B">
            <w:pPr>
              <w:pStyle w:val="DGTextstand-alone"/>
              <w:spacing w:before="0" w:after="0"/>
              <w:jc w:val="right"/>
              <w:rPr>
                <w:color w:val="016794"/>
              </w:rPr>
            </w:pPr>
            <w:r>
              <w:rPr>
                <w:color w:val="016794"/>
              </w:rPr>
              <w:t>1.0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14:paraId="64E9FF48" w14:textId="77777777" w:rsidR="009C266B" w:rsidRPr="002D23E7" w:rsidRDefault="00023E71" w:rsidP="009C266B">
            <w:pPr>
              <w:pStyle w:val="DGTextstand-alone"/>
              <w:spacing w:before="0" w:after="0"/>
              <w:jc w:val="right"/>
              <w:rPr>
                <w:color w:val="016794"/>
              </w:rPr>
            </w:pPr>
            <w:r>
              <w:rPr>
                <w:color w:val="016794"/>
              </w:rPr>
              <w:t>0.0</w:t>
            </w:r>
          </w:p>
        </w:tc>
      </w:tr>
      <w:tr w:rsidR="00807FFE" w14:paraId="32695C7C" w14:textId="77777777" w:rsidTr="0033421E">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14:paraId="36083301" w14:textId="77777777" w:rsidR="009C266B" w:rsidRPr="00C90229" w:rsidRDefault="00023E71" w:rsidP="009C266B">
            <w:pPr>
              <w:pStyle w:val="DGTextstand-alone"/>
              <w:spacing w:before="0" w:after="0"/>
              <w:rPr>
                <w:color w:val="016794"/>
              </w:rPr>
            </w:pPr>
            <w:r w:rsidRPr="00C90229">
              <w:rPr>
                <w:color w:val="016794"/>
              </w:rPr>
              <w:t>Amounts to be called from Member States</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14:paraId="73997A50" w14:textId="77777777" w:rsidR="009C266B" w:rsidRPr="002D23E7" w:rsidRDefault="00023E71" w:rsidP="009C266B">
            <w:pPr>
              <w:pStyle w:val="DGTextstand-alone"/>
              <w:spacing w:before="0" w:after="0"/>
              <w:jc w:val="right"/>
              <w:rPr>
                <w:color w:val="016794"/>
              </w:rPr>
            </w:pPr>
            <w:r>
              <w:rPr>
                <w:color w:val="016794"/>
              </w:rPr>
              <w:t>(</w:t>
            </w:r>
            <w:r w:rsidR="006B4CE7">
              <w:rPr>
                <w:color w:val="016794"/>
              </w:rPr>
              <w:t>3</w:t>
            </w:r>
            <w:r w:rsidR="006B6748">
              <w:rPr>
                <w:color w:val="016794"/>
              </w:rPr>
              <w:t>60.1</w:t>
            </w:r>
            <w:r>
              <w:rPr>
                <w:color w:val="016794"/>
              </w:rPr>
              <w:t>)</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14:paraId="61F63DCE" w14:textId="77777777" w:rsidR="009C266B" w:rsidRDefault="00023E71" w:rsidP="009C266B">
            <w:pPr>
              <w:pStyle w:val="DGTextstand-alone"/>
              <w:spacing w:before="0" w:after="0"/>
              <w:jc w:val="right"/>
              <w:rPr>
                <w:color w:val="016794"/>
              </w:rPr>
            </w:pPr>
            <w:r>
              <w:rPr>
                <w:color w:val="016794"/>
              </w:rPr>
              <w:t>(309.8)</w:t>
            </w:r>
          </w:p>
        </w:tc>
        <w:tc>
          <w:tcPr>
            <w:tcW w:w="1701" w:type="dxa"/>
            <w:tcBorders>
              <w:top w:val="single" w:sz="4" w:space="0" w:color="E36C0A" w:themeColor="accent6" w:themeShade="BF"/>
              <w:left w:val="single" w:sz="4" w:space="0" w:color="E36C0A" w:themeColor="accent6" w:themeShade="BF"/>
              <w:bottom w:val="nil"/>
            </w:tcBorders>
            <w:vAlign w:val="center"/>
          </w:tcPr>
          <w:p w14:paraId="3EADF3A8" w14:textId="77777777" w:rsidR="009C266B" w:rsidRPr="002D23E7" w:rsidRDefault="00023E71" w:rsidP="009C266B">
            <w:pPr>
              <w:pStyle w:val="DGTextstand-alone"/>
              <w:spacing w:before="0" w:after="0"/>
              <w:jc w:val="right"/>
              <w:rPr>
                <w:color w:val="016794"/>
              </w:rPr>
            </w:pPr>
            <w:r>
              <w:rPr>
                <w:color w:val="016794"/>
              </w:rPr>
              <w:t>(</w:t>
            </w:r>
            <w:r w:rsidR="001C1EB6">
              <w:rPr>
                <w:color w:val="016794"/>
              </w:rPr>
              <w:t>50.3</w:t>
            </w:r>
            <w:r>
              <w:rPr>
                <w:color w:val="016794"/>
              </w:rPr>
              <w:t>)</w:t>
            </w:r>
          </w:p>
        </w:tc>
      </w:tr>
      <w:tr w:rsidR="00807FFE" w14:paraId="107FC737" w14:textId="77777777" w:rsidTr="0033421E">
        <w:trPr>
          <w:trHeight w:val="336"/>
          <w:jc w:val="center"/>
        </w:trPr>
        <w:tc>
          <w:tcPr>
            <w:tcW w:w="4535" w:type="dxa"/>
            <w:shd w:val="clear" w:color="auto" w:fill="FBD4B4" w:themeFill="accent6" w:themeFillTint="66"/>
            <w:vAlign w:val="center"/>
          </w:tcPr>
          <w:p w14:paraId="0F0DBC78" w14:textId="77777777" w:rsidR="009C266B" w:rsidRPr="00C90229" w:rsidRDefault="00023E71" w:rsidP="009C266B">
            <w:pPr>
              <w:pStyle w:val="DGTextstand-alone"/>
              <w:spacing w:before="0" w:after="0"/>
              <w:rPr>
                <w:b/>
                <w:color w:val="016794"/>
                <w:lang w:eastAsia="de-DE"/>
              </w:rPr>
            </w:pPr>
            <w:r w:rsidRPr="00C90229">
              <w:rPr>
                <w:b/>
                <w:color w:val="016794"/>
              </w:rPr>
              <w:t>Total</w:t>
            </w:r>
          </w:p>
        </w:tc>
        <w:tc>
          <w:tcPr>
            <w:tcW w:w="1701" w:type="dxa"/>
            <w:shd w:val="clear" w:color="auto" w:fill="FBD4B4" w:themeFill="accent6" w:themeFillTint="66"/>
            <w:vAlign w:val="center"/>
          </w:tcPr>
          <w:p w14:paraId="1D03FCA5" w14:textId="77777777" w:rsidR="009C266B" w:rsidRPr="006B6831" w:rsidRDefault="00023E71" w:rsidP="009C266B">
            <w:pPr>
              <w:pStyle w:val="DGTextstand-alone"/>
              <w:spacing w:before="0" w:after="0"/>
              <w:jc w:val="right"/>
              <w:rPr>
                <w:b/>
                <w:bCs/>
                <w:color w:val="016794"/>
              </w:rPr>
            </w:pPr>
            <w:r w:rsidRPr="006B6831">
              <w:rPr>
                <w:b/>
                <w:bCs/>
                <w:color w:val="016794"/>
              </w:rPr>
              <w:t>(</w:t>
            </w:r>
            <w:r w:rsidR="006B4CE7">
              <w:rPr>
                <w:b/>
                <w:bCs/>
                <w:color w:val="016794"/>
              </w:rPr>
              <w:t>35</w:t>
            </w:r>
            <w:r w:rsidR="006B6748">
              <w:rPr>
                <w:b/>
                <w:bCs/>
                <w:color w:val="016794"/>
              </w:rPr>
              <w:t>9.2</w:t>
            </w:r>
            <w:r w:rsidRPr="006B6831">
              <w:rPr>
                <w:b/>
                <w:bCs/>
                <w:color w:val="016794"/>
              </w:rPr>
              <w:t>)</w:t>
            </w:r>
          </w:p>
        </w:tc>
        <w:tc>
          <w:tcPr>
            <w:tcW w:w="1701" w:type="dxa"/>
            <w:shd w:val="clear" w:color="auto" w:fill="FBD4B4" w:themeFill="accent6" w:themeFillTint="66"/>
            <w:vAlign w:val="center"/>
          </w:tcPr>
          <w:p w14:paraId="3D00107F" w14:textId="77777777" w:rsidR="009C266B" w:rsidRPr="006B6831" w:rsidRDefault="00023E71" w:rsidP="009C266B">
            <w:pPr>
              <w:pStyle w:val="DGTextstand-alone"/>
              <w:spacing w:before="0" w:after="0"/>
              <w:jc w:val="right"/>
              <w:rPr>
                <w:b/>
                <w:bCs/>
                <w:color w:val="016794"/>
              </w:rPr>
            </w:pPr>
            <w:r w:rsidRPr="006B6831">
              <w:rPr>
                <w:b/>
                <w:bCs/>
                <w:color w:val="016794"/>
              </w:rPr>
              <w:t>(</w:t>
            </w:r>
            <w:r>
              <w:rPr>
                <w:b/>
                <w:bCs/>
                <w:color w:val="016794"/>
              </w:rPr>
              <w:t>308.8</w:t>
            </w:r>
            <w:r w:rsidRPr="006B6831">
              <w:rPr>
                <w:b/>
                <w:bCs/>
                <w:color w:val="016794"/>
              </w:rPr>
              <w:t>)</w:t>
            </w:r>
          </w:p>
        </w:tc>
        <w:tc>
          <w:tcPr>
            <w:tcW w:w="1701" w:type="dxa"/>
            <w:shd w:val="clear" w:color="auto" w:fill="FBD4B4" w:themeFill="accent6" w:themeFillTint="66"/>
            <w:vAlign w:val="center"/>
          </w:tcPr>
          <w:p w14:paraId="4685A7B6" w14:textId="77777777" w:rsidR="009C266B" w:rsidRPr="006B4CE7" w:rsidRDefault="00023E71" w:rsidP="009C266B">
            <w:pPr>
              <w:pStyle w:val="DGTextstand-alone"/>
              <w:spacing w:before="0" w:after="0"/>
              <w:jc w:val="right"/>
              <w:rPr>
                <w:b/>
                <w:bCs/>
                <w:color w:val="016794"/>
                <w:lang w:val="fr-FR"/>
              </w:rPr>
            </w:pPr>
            <w:r w:rsidRPr="006B4CE7">
              <w:rPr>
                <w:b/>
                <w:bCs/>
                <w:color w:val="016794"/>
              </w:rPr>
              <w:t>(</w:t>
            </w:r>
            <w:r w:rsidR="001C1EB6">
              <w:rPr>
                <w:b/>
                <w:bCs/>
                <w:color w:val="016794"/>
              </w:rPr>
              <w:t>50.3</w:t>
            </w:r>
            <w:r w:rsidRPr="006B4CE7">
              <w:rPr>
                <w:b/>
                <w:bCs/>
                <w:color w:val="016794"/>
              </w:rPr>
              <w:t>)</w:t>
            </w:r>
          </w:p>
        </w:tc>
      </w:tr>
      <w:tr w:rsidR="00807FFE" w14:paraId="0043B481" w14:textId="77777777" w:rsidTr="0033421E">
        <w:trPr>
          <w:trHeight w:val="336"/>
          <w:jc w:val="center"/>
        </w:trPr>
        <w:tc>
          <w:tcPr>
            <w:tcW w:w="4535" w:type="dxa"/>
            <w:vAlign w:val="center"/>
          </w:tcPr>
          <w:p w14:paraId="110A3125" w14:textId="77777777" w:rsidR="00167FF4" w:rsidRPr="00C90229" w:rsidRDefault="00167FF4" w:rsidP="00167FF4">
            <w:pPr>
              <w:rPr>
                <w:rFonts w:ascii="Verdana" w:hAnsi="Verdana"/>
                <w:i/>
                <w:noProof/>
                <w:sz w:val="18"/>
              </w:rPr>
            </w:pPr>
          </w:p>
        </w:tc>
        <w:tc>
          <w:tcPr>
            <w:tcW w:w="1701" w:type="dxa"/>
            <w:vAlign w:val="center"/>
          </w:tcPr>
          <w:p w14:paraId="4F0C19B4" w14:textId="77777777" w:rsidR="00167FF4" w:rsidRPr="00C90229" w:rsidRDefault="00167FF4" w:rsidP="00167FF4">
            <w:pPr>
              <w:jc w:val="right"/>
              <w:rPr>
                <w:rFonts w:ascii="Verdana" w:hAnsi="Verdana"/>
                <w:b/>
                <w:noProof/>
                <w:sz w:val="18"/>
              </w:rPr>
            </w:pPr>
          </w:p>
        </w:tc>
        <w:tc>
          <w:tcPr>
            <w:tcW w:w="1701" w:type="dxa"/>
            <w:vAlign w:val="center"/>
          </w:tcPr>
          <w:p w14:paraId="1E42F040" w14:textId="77777777" w:rsidR="00167FF4" w:rsidRPr="00C90229" w:rsidRDefault="00167FF4" w:rsidP="00167FF4">
            <w:pPr>
              <w:jc w:val="right"/>
              <w:rPr>
                <w:rFonts w:ascii="Verdana" w:hAnsi="Verdana"/>
                <w:b/>
                <w:noProof/>
                <w:sz w:val="18"/>
              </w:rPr>
            </w:pPr>
          </w:p>
        </w:tc>
        <w:tc>
          <w:tcPr>
            <w:tcW w:w="1701" w:type="dxa"/>
            <w:vAlign w:val="center"/>
          </w:tcPr>
          <w:p w14:paraId="09078345" w14:textId="77777777" w:rsidR="00167FF4" w:rsidRPr="00C90229" w:rsidRDefault="00167FF4" w:rsidP="00167FF4">
            <w:pPr>
              <w:jc w:val="right"/>
              <w:rPr>
                <w:rFonts w:ascii="Verdana" w:hAnsi="Verdana"/>
                <w:b/>
                <w:noProof/>
                <w:sz w:val="18"/>
              </w:rPr>
            </w:pPr>
          </w:p>
        </w:tc>
      </w:tr>
      <w:tr w:rsidR="00807FFE" w14:paraId="327DA85A" w14:textId="77777777" w:rsidTr="0033421E">
        <w:trPr>
          <w:trHeight w:val="340"/>
          <w:jc w:val="center"/>
        </w:trPr>
        <w:tc>
          <w:tcPr>
            <w:tcW w:w="9638" w:type="dxa"/>
            <w:gridSpan w:val="4"/>
            <w:shd w:val="clear" w:color="auto" w:fill="DBE5F1" w:themeFill="accent1" w:themeFillTint="33"/>
            <w:vAlign w:val="center"/>
          </w:tcPr>
          <w:p w14:paraId="40706273" w14:textId="07459422" w:rsidR="004330AD" w:rsidRPr="007F3D88" w:rsidRDefault="00023E71" w:rsidP="00B82E0C">
            <w:pPr>
              <w:jc w:val="right"/>
              <w:rPr>
                <w:rFonts w:ascii="Verdana" w:eastAsia="Calibri" w:hAnsi="Verdana"/>
                <w:noProof/>
                <w:color w:val="016794"/>
                <w:sz w:val="18"/>
                <w:szCs w:val="18"/>
                <w:bdr w:val="nil"/>
                <w:lang w:eastAsia="de-DE"/>
              </w:rPr>
            </w:pPr>
            <w:r w:rsidRPr="001A0DF0">
              <w:rPr>
                <w:rFonts w:ascii="Verdana" w:eastAsia="Calibri" w:hAnsi="Verdana"/>
                <w:noProof/>
                <w:color w:val="016794"/>
                <w:sz w:val="18"/>
                <w:szCs w:val="18"/>
                <w:bdr w:val="nil"/>
              </w:rPr>
              <mc:AlternateContent>
                <mc:Choice Requires="wps">
                  <w:drawing>
                    <wp:inline distT="0" distB="0" distL="0" distR="0" wp14:anchorId="7AF9B75B" wp14:editId="58FC2348">
                      <wp:extent cx="147600" cy="90000"/>
                      <wp:effectExtent l="0" t="0" r="5080" b="5715"/>
                      <wp:docPr id="13" name="Right Arrow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solidFill>
                                <a:srgbClr val="4F81BD"/>
                              </a:solidFill>
                              <a:ln w="25400">
                                <a:noFill/>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13" coordsize="21600,21600" o:spt="13" adj="16200,5400" path="m@0,l@0@1,0@1,0@2@0@2@0,21600,21600,10800xe" w14:anchorId="54DFE7E2">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13" style="width:11.6pt;height:7.1pt;visibility:visible;mso-wrap-style:square;mso-left-percent:-10001;mso-top-percent:-10001;mso-position-horizontal:absolute;mso-position-horizontal-relative:char;mso-position-vertical:absolute;mso-position-vertical-relative:line;mso-left-percent:-10001;mso-top-percent:-10001;v-text-anchor:middle" o:spid="_x0000_s1026" fillcolor="#4f81bd" stroked="f" strokeweight="2pt" type="#_x0000_t13" adj="1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">
                      <o:lock v:ext="edit" aspectratio="t"/>
                      <w10:anchorlock/>
                    </v:shape>
                  </w:pict>
                </mc:Fallback>
              </mc:AlternateContent>
            </w:r>
            <w:r w:rsidRPr="007F3D88">
              <w:rPr>
                <w:rFonts w:ascii="Verdana" w:eastAsia="Calibri" w:hAnsi="Verdana"/>
                <w:noProof/>
                <w:color w:val="016794"/>
                <w:sz w:val="18"/>
                <w:szCs w:val="18"/>
                <w:lang w:eastAsia="de-DE"/>
              </w:rPr>
              <w:t xml:space="preserve"> see Finan</w:t>
            </w:r>
            <w:r>
              <w:rPr>
                <w:rFonts w:ascii="Verdana" w:eastAsia="Calibri" w:hAnsi="Verdana"/>
                <w:noProof/>
                <w:color w:val="016794"/>
                <w:sz w:val="18"/>
                <w:szCs w:val="18"/>
                <w:lang w:eastAsia="de-DE"/>
              </w:rPr>
              <w:t xml:space="preserve">cial Statement Analysis, </w:t>
            </w:r>
            <w:r w:rsidR="00EA67AF">
              <w:rPr>
                <w:rFonts w:ascii="Verdana" w:eastAsia="Calibri" w:hAnsi="Verdana"/>
                <w:noProof/>
                <w:color w:val="016794"/>
                <w:sz w:val="18"/>
                <w:szCs w:val="18"/>
                <w:lang w:eastAsia="de-DE"/>
              </w:rPr>
              <w:t>S</w:t>
            </w:r>
            <w:r>
              <w:rPr>
                <w:rFonts w:ascii="Verdana" w:eastAsia="Calibri" w:hAnsi="Verdana"/>
                <w:noProof/>
                <w:color w:val="016794"/>
                <w:sz w:val="18"/>
                <w:szCs w:val="18"/>
                <w:lang w:eastAsia="de-DE"/>
              </w:rPr>
              <w:t>ection</w:t>
            </w:r>
            <w:r w:rsidRPr="007F3D88">
              <w:rPr>
                <w:rFonts w:ascii="Verdana" w:eastAsia="Calibri" w:hAnsi="Verdana"/>
                <w:noProof/>
                <w:color w:val="016794"/>
                <w:sz w:val="18"/>
                <w:szCs w:val="18"/>
                <w:lang w:eastAsia="de-DE"/>
              </w:rPr>
              <w:t xml:space="preserve"> </w:t>
            </w:r>
            <w:r w:rsidR="008F4B18">
              <w:rPr>
                <w:rFonts w:ascii="Verdana" w:eastAsia="Calibri" w:hAnsi="Verdana"/>
                <w:b/>
                <w:noProof/>
                <w:color w:val="016794"/>
                <w:sz w:val="18"/>
                <w:szCs w:val="18"/>
                <w:lang w:eastAsia="de-DE"/>
              </w:rPr>
              <w:t>4</w:t>
            </w:r>
          </w:p>
        </w:tc>
      </w:tr>
    </w:tbl>
    <w:p w14:paraId="19B04D01" w14:textId="4BF014FA" w:rsidR="00406DB0" w:rsidRDefault="00406DB0" w:rsidP="004330AD">
      <w:pPr>
        <w:rPr>
          <w:noProof/>
        </w:rPr>
      </w:pPr>
    </w:p>
    <w:p w14:paraId="5461A285" w14:textId="77777777" w:rsidR="00406DB0" w:rsidRDefault="00406DB0">
      <w:pPr>
        <w:rPr>
          <w:noProof/>
        </w:rPr>
      </w:pPr>
      <w:r>
        <w:rPr>
          <w:noProof/>
        </w:rPr>
        <w:br w:type="page"/>
      </w:r>
    </w:p>
    <w:p w14:paraId="3C91A37B" w14:textId="4565AAFD" w:rsidR="00044BBF" w:rsidRPr="00B46510" w:rsidRDefault="00044BBF" w:rsidP="006106CF">
      <w:pPr>
        <w:spacing w:after="240"/>
        <w:jc w:val="both"/>
        <w:rPr>
          <w:rFonts w:ascii="Verdana" w:hAnsi="Verdana"/>
          <w:noProof/>
          <w:sz w:val="18"/>
          <w:szCs w:val="18"/>
        </w:rPr>
      </w:pPr>
      <w:r w:rsidRPr="00B46510">
        <w:rPr>
          <w:rFonts w:ascii="Verdana" w:hAnsi="Verdana"/>
          <w:noProof/>
          <w:sz w:val="18"/>
          <w:szCs w:val="18"/>
        </w:rPr>
        <w:t>The consolidated annual accounts presented here comprise:</w:t>
      </w:r>
    </w:p>
    <w:p w14:paraId="4A1D7204" w14:textId="192A00C6" w:rsidR="00044BBF" w:rsidRPr="00B46510" w:rsidRDefault="00044BBF" w:rsidP="006106CF">
      <w:pPr>
        <w:pStyle w:val="ListParagraph"/>
        <w:numPr>
          <w:ilvl w:val="0"/>
          <w:numId w:val="31"/>
        </w:numPr>
        <w:spacing w:after="120"/>
        <w:ind w:left="901" w:hanging="357"/>
        <w:contextualSpacing w:val="0"/>
        <w:jc w:val="both"/>
        <w:rPr>
          <w:rFonts w:ascii="Verdana" w:hAnsi="Verdana"/>
          <w:noProof/>
          <w:sz w:val="18"/>
          <w:szCs w:val="18"/>
        </w:rPr>
      </w:pPr>
      <w:r w:rsidRPr="00B46510">
        <w:rPr>
          <w:rFonts w:ascii="Verdana" w:hAnsi="Verdana"/>
          <w:noProof/>
          <w:sz w:val="18"/>
          <w:szCs w:val="18"/>
        </w:rPr>
        <w:t>Changes to the accounts resulting from the implementation of the annual budget 2025 and previously engaged commitments. Annual budget 2025 forms parts of the 2021-2027 multi-annual financial framework amounting to EUR 1.223 trillion in current prices (EUR 1.083 trillion in 2018 prices) combined. On 1 March 2024, a revision of the 2021-2027 multiannual financial framework came into force, enabling the EU budget to continue addressing the most pressing priorities while minimising the impact on national budgets, to the benefit of European citizens and beyond.</w:t>
      </w:r>
      <w:r w:rsidR="006D2D85" w:rsidRPr="00B46510">
        <w:rPr>
          <w:rStyle w:val="FootnoteReference"/>
          <w:noProof/>
          <w:sz w:val="18"/>
          <w:szCs w:val="18"/>
        </w:rPr>
        <w:footnoteReference w:id="1"/>
      </w:r>
    </w:p>
    <w:p w14:paraId="66ABE469" w14:textId="7F318B9B" w:rsidR="00044BBF" w:rsidRPr="00B46510" w:rsidRDefault="00044BBF" w:rsidP="006106CF">
      <w:pPr>
        <w:pStyle w:val="ListParagraph"/>
        <w:numPr>
          <w:ilvl w:val="0"/>
          <w:numId w:val="31"/>
        </w:numPr>
        <w:spacing w:after="240"/>
        <w:ind w:left="901" w:hanging="357"/>
        <w:jc w:val="both"/>
        <w:rPr>
          <w:rFonts w:ascii="Verdana" w:hAnsi="Verdana"/>
          <w:noProof/>
          <w:sz w:val="18"/>
          <w:szCs w:val="18"/>
        </w:rPr>
      </w:pPr>
      <w:r w:rsidRPr="00B46510">
        <w:rPr>
          <w:rFonts w:ascii="Verdana" w:hAnsi="Verdana"/>
          <w:noProof/>
          <w:sz w:val="18"/>
          <w:szCs w:val="18"/>
        </w:rPr>
        <w:t xml:space="preserve">the NextGenerationEU (NGEU) recovery instrument adopted in June 2020. NGEU support was initially foreseen at up to EUR 806.9 billion in current prices (EUR 750 billion in 2018 prices). This envelope was later reduced to </w:t>
      </w:r>
      <w:r w:rsidRPr="000B72B7">
        <w:rPr>
          <w:rFonts w:ascii="Verdana" w:hAnsi="Verdana"/>
          <w:noProof/>
          <w:sz w:val="18"/>
          <w:szCs w:val="18"/>
        </w:rPr>
        <w:t>EUR 638.1 billion</w:t>
      </w:r>
      <w:r w:rsidRPr="00B46510">
        <w:rPr>
          <w:rFonts w:ascii="Verdana" w:hAnsi="Verdana"/>
          <w:noProof/>
          <w:sz w:val="18"/>
          <w:szCs w:val="18"/>
        </w:rPr>
        <w:t xml:space="preserve"> in current prices at the end of January 2026 (EUR 338 billion in RRF grants, EUR 217 billion in RRF loans and EUR 83.1 billion in top-ups of NGEU programmes). In addition, EUR 20 billion stemming from the auctioning of allowances under the Emissions Trading System (ETS) and EUR 2 billion in grants from the Brexit Adjustment Reserve (BAR) have been added to the RRF grants envelope.</w:t>
      </w:r>
    </w:p>
    <w:p w14:paraId="3C1B7F8D" w14:textId="77777777" w:rsidR="00221EA1" w:rsidRDefault="00044BBF" w:rsidP="006106CF">
      <w:pPr>
        <w:spacing w:after="240"/>
        <w:jc w:val="both"/>
        <w:rPr>
          <w:rFonts w:ascii="Verdana" w:hAnsi="Verdana"/>
          <w:noProof/>
          <w:sz w:val="18"/>
          <w:szCs w:val="18"/>
        </w:rPr>
      </w:pPr>
      <w:r w:rsidRPr="00B46510">
        <w:rPr>
          <w:rFonts w:ascii="Verdana" w:hAnsi="Verdana"/>
          <w:noProof/>
          <w:sz w:val="18"/>
          <w:szCs w:val="18"/>
        </w:rPr>
        <w:t>In April 2026, the Commission proposal for a targeted revision of the 2021-2027 multiannual financial framework was adopted to provide support to Ukraine in the form of a loan covered by the headroom and a borrowing cost subsidy funded via the Union budget, including through a new dedicated special instrument</w:t>
      </w:r>
      <w:r w:rsidR="006D2D85" w:rsidRPr="00B46510">
        <w:rPr>
          <w:rStyle w:val="FootnoteReference"/>
          <w:noProof/>
          <w:sz w:val="18"/>
          <w:szCs w:val="18"/>
        </w:rPr>
        <w:footnoteReference w:id="2"/>
      </w:r>
      <w:r w:rsidRPr="00B46510">
        <w:rPr>
          <w:rFonts w:ascii="Verdana" w:hAnsi="Verdana"/>
          <w:noProof/>
          <w:sz w:val="18"/>
          <w:szCs w:val="18"/>
        </w:rPr>
        <w:t>.</w:t>
      </w:r>
    </w:p>
    <w:p w14:paraId="6E319E49" w14:textId="05F906FD" w:rsidR="00080D24" w:rsidRDefault="00044BBF" w:rsidP="005E76B7">
      <w:pPr>
        <w:spacing w:after="240"/>
        <w:jc w:val="both"/>
        <w:rPr>
          <w:rFonts w:ascii="Verdana" w:hAnsi="Verdana"/>
          <w:noProof/>
          <w:sz w:val="18"/>
          <w:szCs w:val="18"/>
        </w:rPr>
      </w:pPr>
      <w:r w:rsidRPr="00B46510">
        <w:rPr>
          <w:rFonts w:ascii="Verdana" w:hAnsi="Verdana"/>
          <w:noProof/>
          <w:sz w:val="18"/>
          <w:szCs w:val="18"/>
        </w:rPr>
        <w:t>On 16 July 2025, the Commission presented its proposal for the 2028-2034 multiannual financial framework.</w:t>
      </w:r>
    </w:p>
    <w:p w14:paraId="3E8DE954" w14:textId="7184A31E" w:rsidR="00044BBF" w:rsidRPr="00172034" w:rsidRDefault="00044BBF" w:rsidP="00A51979">
      <w:pPr>
        <w:pStyle w:val="DGTextstand-alonedashesjustified"/>
      </w:pPr>
      <w:r w:rsidRPr="00172034">
        <w:t xml:space="preserve">Section </w:t>
      </w:r>
      <w:r w:rsidRPr="000C6DFD">
        <w:rPr>
          <w:b/>
          <w:bCs/>
        </w:rPr>
        <w:t>2</w:t>
      </w:r>
      <w:r w:rsidRPr="00172034">
        <w:t xml:space="preserve"> of the highlights section presents the changes to the accounts resulting from implementation of the 2025 and earlier budgets.</w:t>
      </w:r>
    </w:p>
    <w:p w14:paraId="653D11FB" w14:textId="24DCCC63" w:rsidR="00044BBF" w:rsidRPr="00172034" w:rsidRDefault="00044BBF" w:rsidP="00A51979">
      <w:pPr>
        <w:pStyle w:val="DGTextstand-alonedashesjustified"/>
      </w:pPr>
      <w:r w:rsidRPr="00172034">
        <w:t xml:space="preserve">Section </w:t>
      </w:r>
      <w:r w:rsidRPr="000C6DFD">
        <w:rPr>
          <w:b/>
          <w:bCs/>
        </w:rPr>
        <w:t>3</w:t>
      </w:r>
      <w:r w:rsidRPr="00172034">
        <w:t xml:space="preserve"> provides an update on implementation of NGEU in 2025.</w:t>
      </w:r>
    </w:p>
    <w:p w14:paraId="72E7BB8C" w14:textId="24EBECAD" w:rsidR="00044BBF" w:rsidRPr="00172034" w:rsidRDefault="00044BBF" w:rsidP="00A51979">
      <w:pPr>
        <w:pStyle w:val="DGTextstand-alonedashesjustified"/>
      </w:pPr>
      <w:r w:rsidRPr="00172034">
        <w:t xml:space="preserve">Section </w:t>
      </w:r>
      <w:r w:rsidRPr="000C6DFD">
        <w:rPr>
          <w:b/>
          <w:bCs/>
        </w:rPr>
        <w:t xml:space="preserve">4 </w:t>
      </w:r>
      <w:r w:rsidRPr="00172034">
        <w:t>shows how these changes are reflected in the financial statements;</w:t>
      </w:r>
    </w:p>
    <w:p w14:paraId="3F12E33E" w14:textId="3210802F" w:rsidR="00044BBF" w:rsidRPr="00172034" w:rsidRDefault="00044BBF" w:rsidP="00A51979">
      <w:pPr>
        <w:pStyle w:val="DGTextstand-alonedashesjustified"/>
      </w:pPr>
      <w:r w:rsidRPr="00172034">
        <w:t xml:space="preserve">Section </w:t>
      </w:r>
      <w:r w:rsidRPr="000C6DFD">
        <w:rPr>
          <w:b/>
          <w:bCs/>
        </w:rPr>
        <w:t>5</w:t>
      </w:r>
      <w:r w:rsidRPr="00172034">
        <w:t xml:space="preserve"> presents the implications for the contingent liabilities borne by the EU budget;</w:t>
      </w:r>
    </w:p>
    <w:p w14:paraId="1B86DDB5" w14:textId="03209D1C" w:rsidR="0087670E" w:rsidRDefault="00044BBF" w:rsidP="00460C74">
      <w:pPr>
        <w:pStyle w:val="DGTextstand-alonedashesjustified"/>
      </w:pPr>
      <w:r w:rsidRPr="00172034">
        <w:t xml:space="preserve">Section </w:t>
      </w:r>
      <w:r w:rsidRPr="000C6DFD">
        <w:rPr>
          <w:b/>
          <w:bCs/>
        </w:rPr>
        <w:t xml:space="preserve">6 </w:t>
      </w:r>
      <w:r w:rsidRPr="00172034">
        <w:t>recalls the main elements of the governance and accountability framework.</w:t>
      </w:r>
      <w:r w:rsidR="00023E71">
        <w:br w:type="page"/>
      </w:r>
    </w:p>
    <w:tbl>
      <w:tblPr>
        <w:tblStyle w:val="TableGrid1"/>
        <w:tblW w:w="0" w:type="auto"/>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638"/>
      </w:tblGrid>
      <w:tr w:rsidR="00807FFE" w14:paraId="73A3CCD3" w14:textId="77777777" w:rsidTr="002846CC">
        <w:trPr>
          <w:trHeight w:val="510"/>
          <w:jc w:val="center"/>
        </w:trPr>
        <w:tc>
          <w:tcPr>
            <w:tcW w:w="9638" w:type="dxa"/>
            <w:tcBorders>
              <w:top w:val="single" w:sz="4" w:space="0" w:color="E36C0A" w:themeColor="accent6" w:themeShade="BF"/>
              <w:bottom w:val="single" w:sz="4" w:space="0" w:color="E36C0A" w:themeColor="accent6" w:themeShade="BF"/>
            </w:tcBorders>
            <w:vAlign w:val="center"/>
          </w:tcPr>
          <w:p w14:paraId="1FF42107" w14:textId="77777777" w:rsidR="0087670E" w:rsidRPr="001A0DF0" w:rsidRDefault="00023E71" w:rsidP="002846CC">
            <w:pPr>
              <w:pStyle w:val="DGTextstand-alone"/>
              <w:spacing w:before="0" w:after="0"/>
              <w:rPr>
                <w:b/>
                <w:color w:val="016794"/>
                <w:sz w:val="28"/>
                <w:szCs w:val="28"/>
              </w:rPr>
            </w:pPr>
            <w:r>
              <w:rPr>
                <w:b/>
                <w:color w:val="016794"/>
                <w:sz w:val="28"/>
                <w:szCs w:val="28"/>
              </w:rPr>
              <w:t>The EU budget in 2025</w:t>
            </w:r>
          </w:p>
        </w:tc>
      </w:tr>
      <w:tr w:rsidR="00807FFE" w14:paraId="07B4EDCF" w14:textId="77777777" w:rsidTr="002846CC">
        <w:trPr>
          <w:trHeight w:val="255"/>
          <w:jc w:val="center"/>
        </w:trPr>
        <w:tc>
          <w:tcPr>
            <w:tcW w:w="9638" w:type="dxa"/>
            <w:tcBorders>
              <w:top w:val="single" w:sz="4" w:space="0" w:color="E36C0A" w:themeColor="accent6" w:themeShade="BF"/>
            </w:tcBorders>
            <w:vAlign w:val="center"/>
          </w:tcPr>
          <w:p w14:paraId="6DF5BF33" w14:textId="77777777" w:rsidR="0087670E" w:rsidRPr="00C90229" w:rsidRDefault="0087670E" w:rsidP="002846CC">
            <w:pPr>
              <w:jc w:val="right"/>
              <w:rPr>
                <w:rFonts w:ascii="Verdana" w:hAnsi="Verdana"/>
                <w:b/>
                <w:noProof/>
                <w:sz w:val="18"/>
              </w:rPr>
            </w:pPr>
          </w:p>
        </w:tc>
      </w:tr>
    </w:tbl>
    <w:tbl>
      <w:tblPr>
        <w:tblStyle w:val="TableGrid"/>
        <w:tblW w:w="96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
        <w:gridCol w:w="4657"/>
        <w:gridCol w:w="44"/>
        <w:gridCol w:w="90"/>
        <w:gridCol w:w="132"/>
        <w:gridCol w:w="4671"/>
        <w:gridCol w:w="44"/>
      </w:tblGrid>
      <w:tr w:rsidR="00807FFE" w14:paraId="75B855CD" w14:textId="77777777" w:rsidTr="00102110">
        <w:trPr>
          <w:gridAfter w:val="1"/>
          <w:wAfter w:w="44" w:type="dxa"/>
          <w:trHeight w:val="340"/>
          <w:jc w:val="center"/>
        </w:trPr>
        <w:tc>
          <w:tcPr>
            <w:tcW w:w="4708" w:type="dxa"/>
            <w:gridSpan w:val="2"/>
            <w:shd w:val="clear" w:color="auto" w:fill="016794"/>
            <w:vAlign w:val="center"/>
          </w:tcPr>
          <w:p w14:paraId="30561642" w14:textId="77777777" w:rsidR="0087670E" w:rsidRPr="002C4B71" w:rsidRDefault="00023E71" w:rsidP="002846CC">
            <w:pPr>
              <w:pStyle w:val="DGTextstand-alone"/>
              <w:spacing w:before="0" w:after="0"/>
              <w:jc w:val="center"/>
              <w:rPr>
                <w:b/>
                <w:color w:val="FFFFFF" w:themeColor="background1"/>
              </w:rPr>
            </w:pPr>
            <w:r>
              <w:rPr>
                <w:b/>
                <w:color w:val="FFFFFF" w:themeColor="background1"/>
              </w:rPr>
              <w:t>Budget revenue</w:t>
            </w:r>
          </w:p>
        </w:tc>
        <w:tc>
          <w:tcPr>
            <w:tcW w:w="134" w:type="dxa"/>
            <w:gridSpan w:val="2"/>
          </w:tcPr>
          <w:p w14:paraId="71A0B31F" w14:textId="77777777" w:rsidR="0087670E" w:rsidRPr="00E55C5C" w:rsidRDefault="0087670E" w:rsidP="002846CC">
            <w:pPr>
              <w:rPr>
                <w:rFonts w:ascii="Verdana" w:eastAsia="Calibri" w:hAnsi="Verdana"/>
                <w:b/>
                <w:noProof/>
                <w:color w:val="FFFFFF" w:themeColor="background1"/>
                <w:sz w:val="8"/>
                <w:szCs w:val="8"/>
                <w:bdr w:val="nil"/>
                <w:lang w:eastAsia="en-US"/>
              </w:rPr>
            </w:pPr>
          </w:p>
        </w:tc>
        <w:tc>
          <w:tcPr>
            <w:tcW w:w="4803" w:type="dxa"/>
            <w:gridSpan w:val="2"/>
            <w:shd w:val="clear" w:color="auto" w:fill="016794"/>
            <w:vAlign w:val="center"/>
          </w:tcPr>
          <w:p w14:paraId="3D04A19A" w14:textId="77777777" w:rsidR="0087670E" w:rsidRPr="00C50AA2" w:rsidRDefault="00023E71" w:rsidP="002846CC">
            <w:pPr>
              <w:pStyle w:val="DGTextstand-alone"/>
              <w:spacing w:before="0" w:after="0"/>
              <w:jc w:val="center"/>
              <w:rPr>
                <w:b/>
                <w:color w:val="FFFFFF" w:themeColor="background1"/>
              </w:rPr>
            </w:pPr>
            <w:r>
              <w:rPr>
                <w:b/>
                <w:color w:val="FFFFFF" w:themeColor="background1"/>
              </w:rPr>
              <w:t>Commitment appropriations</w:t>
            </w:r>
          </w:p>
        </w:tc>
      </w:tr>
      <w:tr w:rsidR="00807FFE" w14:paraId="1D6694D7" w14:textId="77777777" w:rsidTr="00102110">
        <w:tblPrEx>
          <w:jc w:val="left"/>
        </w:tblPrEx>
        <w:trPr>
          <w:gridAfter w:val="1"/>
          <w:wAfter w:w="44" w:type="dxa"/>
          <w:trHeight w:val="7587"/>
        </w:trPr>
        <w:tc>
          <w:tcPr>
            <w:tcW w:w="4708" w:type="dxa"/>
            <w:gridSpan w:val="2"/>
          </w:tcPr>
          <w:p w14:paraId="3BC096E7" w14:textId="77777777" w:rsidR="00E261A7" w:rsidRDefault="00E261A7" w:rsidP="00E261A7">
            <w:pPr>
              <w:jc w:val="center"/>
              <w:rPr>
                <w:rFonts w:ascii="Verdana" w:hAnsi="Verdana"/>
                <w:noProof/>
                <w:color w:val="016794"/>
                <w:sz w:val="18"/>
                <w:szCs w:val="18"/>
              </w:rPr>
            </w:pPr>
          </w:p>
          <w:p w14:paraId="6669F874" w14:textId="77777777" w:rsidR="00E261A7" w:rsidRPr="00E261A7" w:rsidRDefault="00E261A7" w:rsidP="00E261A7">
            <w:pPr>
              <w:jc w:val="center"/>
              <w:rPr>
                <w:rFonts w:ascii="Verdana" w:hAnsi="Verdana"/>
                <w:noProof/>
                <w:color w:val="016794"/>
                <w:sz w:val="18"/>
                <w:szCs w:val="18"/>
              </w:rPr>
            </w:pPr>
          </w:p>
          <w:p w14:paraId="0A6D607F" w14:textId="77777777" w:rsidR="00E261A7" w:rsidRPr="00E261A7" w:rsidRDefault="00023E71" w:rsidP="00E261A7">
            <w:pPr>
              <w:jc w:val="center"/>
              <w:rPr>
                <w:rFonts w:ascii="Verdana" w:hAnsi="Verdana"/>
                <w:b/>
                <w:bCs/>
                <w:noProof/>
                <w:color w:val="016794"/>
                <w:sz w:val="20"/>
                <w:szCs w:val="20"/>
              </w:rPr>
            </w:pPr>
            <w:r w:rsidRPr="00E261A7">
              <w:rPr>
                <w:rFonts w:ascii="Verdana" w:hAnsi="Verdana"/>
                <w:b/>
                <w:bCs/>
                <w:noProof/>
                <w:color w:val="016794"/>
                <w:sz w:val="20"/>
                <w:szCs w:val="20"/>
              </w:rPr>
              <w:t>EUR 224.4 billion revenue</w:t>
            </w:r>
            <w:r w:rsidRPr="00E261A7">
              <w:rPr>
                <w:rFonts w:ascii="Verdana" w:hAnsi="Verdana"/>
                <w:b/>
                <w:bCs/>
                <w:noProof/>
                <w:color w:val="016794"/>
                <w:sz w:val="20"/>
                <w:szCs w:val="20"/>
              </w:rPr>
              <w:br/>
            </w:r>
          </w:p>
          <w:p w14:paraId="211BA043" w14:textId="77777777" w:rsidR="00E261A7" w:rsidRDefault="00E261A7" w:rsidP="00E261A7">
            <w:pPr>
              <w:jc w:val="center"/>
              <w:rPr>
                <w:rFonts w:ascii="Verdana" w:hAnsi="Verdana"/>
                <w:noProof/>
                <w:color w:val="016794"/>
                <w:sz w:val="18"/>
                <w:szCs w:val="18"/>
              </w:rPr>
            </w:pPr>
          </w:p>
          <w:p w14:paraId="3BDFDFB0" w14:textId="77777777" w:rsidR="00E261A7" w:rsidRDefault="00E261A7" w:rsidP="00E261A7">
            <w:pPr>
              <w:jc w:val="center"/>
              <w:rPr>
                <w:rFonts w:ascii="Verdana" w:hAnsi="Verdana"/>
                <w:noProof/>
                <w:color w:val="016794"/>
                <w:sz w:val="18"/>
                <w:szCs w:val="18"/>
              </w:rPr>
            </w:pPr>
          </w:p>
          <w:p w14:paraId="1695495E" w14:textId="77777777" w:rsidR="00E261A7" w:rsidRDefault="00E261A7" w:rsidP="00E261A7">
            <w:pPr>
              <w:jc w:val="center"/>
              <w:rPr>
                <w:rFonts w:ascii="Verdana" w:hAnsi="Verdana"/>
                <w:noProof/>
                <w:color w:val="016794"/>
                <w:sz w:val="18"/>
                <w:szCs w:val="18"/>
              </w:rPr>
            </w:pPr>
          </w:p>
          <w:p w14:paraId="782C5A3C" w14:textId="77777777" w:rsidR="00E261A7" w:rsidRPr="006B68FB" w:rsidRDefault="00023E71" w:rsidP="00E261A7">
            <w:pPr>
              <w:jc w:val="center"/>
              <w:rPr>
                <w:rFonts w:ascii="Verdana" w:hAnsi="Verdana"/>
                <w:noProof/>
                <w:color w:val="016794"/>
                <w:sz w:val="18"/>
                <w:szCs w:val="18"/>
              </w:rPr>
            </w:pPr>
            <w:r w:rsidRPr="00F25BA4">
              <w:rPr>
                <w:rFonts w:ascii="Verdana" w:hAnsi="Verdana"/>
                <w:noProof/>
                <w:color w:val="016794"/>
                <w:sz w:val="18"/>
                <w:szCs w:val="18"/>
              </w:rPr>
              <w:drawing>
                <wp:inline distT="0" distB="0" distL="0" distR="0" wp14:anchorId="597CFC46" wp14:editId="2AE6F687">
                  <wp:extent cx="2745604" cy="3250692"/>
                  <wp:effectExtent l="0" t="0" r="0" b="0"/>
                  <wp:docPr id="21041530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53091"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l="15109" t="9712" r="18847"/>
                          <a:stretch>
                            <a:fillRect/>
                          </a:stretch>
                        </pic:blipFill>
                        <pic:spPr bwMode="auto">
                          <a:xfrm>
                            <a:off x="0" y="0"/>
                            <a:ext cx="2759649" cy="32673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4" w:type="dxa"/>
            <w:gridSpan w:val="2"/>
            <w:vAlign w:val="center"/>
          </w:tcPr>
          <w:p w14:paraId="588EADC0" w14:textId="77777777" w:rsidR="0087670E" w:rsidRPr="00EB7C3C" w:rsidRDefault="0087670E" w:rsidP="002846CC">
            <w:pPr>
              <w:jc w:val="center"/>
              <w:rPr>
                <w:rFonts w:ascii="Verdana" w:hAnsi="Verdana"/>
                <w:noProof/>
                <w:color w:val="016794"/>
                <w:sz w:val="18"/>
                <w:szCs w:val="18"/>
              </w:rPr>
            </w:pPr>
          </w:p>
        </w:tc>
        <w:tc>
          <w:tcPr>
            <w:tcW w:w="4803" w:type="dxa"/>
            <w:gridSpan w:val="2"/>
          </w:tcPr>
          <w:p w14:paraId="74AC85A0" w14:textId="77777777" w:rsidR="0087670E" w:rsidRDefault="0087670E" w:rsidP="00E261A7">
            <w:pPr>
              <w:jc w:val="center"/>
              <w:rPr>
                <w:rFonts w:ascii="Verdana" w:hAnsi="Verdana"/>
                <w:noProof/>
                <w:color w:val="016794"/>
                <w:sz w:val="18"/>
                <w:szCs w:val="18"/>
              </w:rPr>
            </w:pPr>
          </w:p>
          <w:p w14:paraId="198F3407" w14:textId="77777777" w:rsidR="00E261A7" w:rsidRDefault="00E261A7" w:rsidP="00E261A7">
            <w:pPr>
              <w:jc w:val="center"/>
              <w:rPr>
                <w:rFonts w:ascii="Verdana" w:hAnsi="Verdana"/>
                <w:noProof/>
                <w:color w:val="016794"/>
                <w:sz w:val="18"/>
                <w:szCs w:val="18"/>
              </w:rPr>
            </w:pPr>
          </w:p>
          <w:p w14:paraId="25CBAF69" w14:textId="77777777" w:rsidR="00E261A7" w:rsidRPr="00E261A7" w:rsidRDefault="00023E71" w:rsidP="00E261A7">
            <w:pPr>
              <w:jc w:val="center"/>
              <w:rPr>
                <w:rFonts w:ascii="Verdana" w:hAnsi="Verdana"/>
                <w:b/>
                <w:bCs/>
                <w:noProof/>
                <w:color w:val="016794"/>
                <w:sz w:val="20"/>
                <w:szCs w:val="20"/>
              </w:rPr>
            </w:pPr>
            <w:r w:rsidRPr="00E261A7">
              <w:rPr>
                <w:rFonts w:ascii="Verdana" w:hAnsi="Verdana"/>
                <w:b/>
                <w:bCs/>
                <w:noProof/>
                <w:color w:val="016794"/>
                <w:sz w:val="20"/>
                <w:szCs w:val="20"/>
              </w:rPr>
              <w:t>EUR 212.1 billion implemented</w:t>
            </w:r>
            <w:r w:rsidR="00D425DD">
              <w:rPr>
                <w:rFonts w:ascii="Verdana" w:hAnsi="Verdana"/>
                <w:b/>
                <w:bCs/>
                <w:noProof/>
                <w:color w:val="016794"/>
                <w:sz w:val="20"/>
                <w:szCs w:val="20"/>
              </w:rPr>
              <w:t xml:space="preserve"> </w:t>
            </w:r>
            <w:r w:rsidR="00D425DD">
              <w:rPr>
                <w:rFonts w:ascii="Verdana" w:hAnsi="Verdana"/>
                <w:b/>
                <w:bCs/>
                <w:noProof/>
                <w:color w:val="016794"/>
                <w:sz w:val="20"/>
                <w:szCs w:val="20"/>
              </w:rPr>
              <w:br/>
              <w:t xml:space="preserve">to </w:t>
            </w:r>
            <w:r w:rsidRPr="00E261A7">
              <w:rPr>
                <w:rFonts w:ascii="Verdana" w:hAnsi="Verdana"/>
                <w:b/>
                <w:bCs/>
                <w:noProof/>
                <w:color w:val="016794"/>
                <w:sz w:val="20"/>
                <w:szCs w:val="20"/>
              </w:rPr>
              <w:t>deliver</w:t>
            </w:r>
            <w:r w:rsidR="00D425DD">
              <w:rPr>
                <w:rFonts w:ascii="Verdana" w:hAnsi="Verdana"/>
                <w:b/>
                <w:bCs/>
                <w:noProof/>
                <w:color w:val="016794"/>
                <w:sz w:val="20"/>
                <w:szCs w:val="20"/>
              </w:rPr>
              <w:t xml:space="preserve"> </w:t>
            </w:r>
            <w:r w:rsidRPr="00E261A7">
              <w:rPr>
                <w:rFonts w:ascii="Verdana" w:hAnsi="Verdana"/>
                <w:b/>
                <w:bCs/>
                <w:noProof/>
                <w:color w:val="016794"/>
                <w:sz w:val="20"/>
                <w:szCs w:val="20"/>
              </w:rPr>
              <w:t>EU policy objectives</w:t>
            </w:r>
          </w:p>
          <w:p w14:paraId="121511D5" w14:textId="77777777" w:rsidR="00E261A7" w:rsidRDefault="00E261A7" w:rsidP="00E261A7">
            <w:pPr>
              <w:jc w:val="center"/>
              <w:rPr>
                <w:rFonts w:ascii="Verdana" w:hAnsi="Verdana"/>
                <w:noProof/>
                <w:color w:val="016794"/>
                <w:sz w:val="18"/>
                <w:szCs w:val="18"/>
              </w:rPr>
            </w:pPr>
          </w:p>
          <w:p w14:paraId="4D59E52E" w14:textId="77777777" w:rsidR="00E261A7" w:rsidRDefault="00E261A7" w:rsidP="00E261A7">
            <w:pPr>
              <w:jc w:val="center"/>
              <w:rPr>
                <w:rFonts w:ascii="Verdana" w:hAnsi="Verdana"/>
                <w:noProof/>
                <w:color w:val="016794"/>
                <w:sz w:val="18"/>
                <w:szCs w:val="18"/>
              </w:rPr>
            </w:pPr>
          </w:p>
          <w:p w14:paraId="0CB9F686" w14:textId="77777777" w:rsidR="00E261A7" w:rsidRDefault="00E261A7" w:rsidP="00E261A7">
            <w:pPr>
              <w:jc w:val="center"/>
              <w:rPr>
                <w:rFonts w:ascii="Verdana" w:hAnsi="Verdana"/>
                <w:noProof/>
                <w:color w:val="016794"/>
                <w:sz w:val="18"/>
                <w:szCs w:val="18"/>
              </w:rPr>
            </w:pPr>
          </w:p>
          <w:p w14:paraId="553319DE" w14:textId="77777777" w:rsidR="00E261A7" w:rsidRDefault="00023E71" w:rsidP="00E261A7">
            <w:pPr>
              <w:jc w:val="center"/>
              <w:rPr>
                <w:rFonts w:ascii="Verdana" w:hAnsi="Verdana"/>
                <w:noProof/>
                <w:color w:val="016794"/>
                <w:sz w:val="18"/>
                <w:szCs w:val="18"/>
              </w:rPr>
            </w:pPr>
            <w:r w:rsidRPr="00F8218B">
              <w:rPr>
                <w:rFonts w:ascii="Verdana" w:hAnsi="Verdana"/>
                <w:noProof/>
                <w:color w:val="016794"/>
                <w:sz w:val="18"/>
                <w:szCs w:val="18"/>
              </w:rPr>
              <w:drawing>
                <wp:inline distT="0" distB="0" distL="0" distR="0" wp14:anchorId="798C5E80" wp14:editId="19123CF4">
                  <wp:extent cx="2808351" cy="3318376"/>
                  <wp:effectExtent l="0" t="0" r="0" b="0"/>
                  <wp:docPr id="3295822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82209"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l="2020" t="9066" r="10132"/>
                          <a:stretch>
                            <a:fillRect/>
                          </a:stretch>
                        </pic:blipFill>
                        <pic:spPr bwMode="auto">
                          <a:xfrm>
                            <a:off x="0" y="0"/>
                            <a:ext cx="2826927" cy="3340325"/>
                          </a:xfrm>
                          <a:prstGeom prst="rect">
                            <a:avLst/>
                          </a:prstGeom>
                          <a:noFill/>
                          <a:ln>
                            <a:noFill/>
                          </a:ln>
                          <a:extLst>
                            <a:ext uri="{53640926-AAD7-44D8-BBD7-CCE9431645EC}">
                              <a14:shadowObscured xmlns:a14="http://schemas.microsoft.com/office/drawing/2010/main"/>
                            </a:ext>
                          </a:extLst>
                        </pic:spPr>
                      </pic:pic>
                    </a:graphicData>
                  </a:graphic>
                </wp:inline>
              </w:drawing>
            </w:r>
          </w:p>
          <w:p w14:paraId="2474336A" w14:textId="77777777" w:rsidR="0062285C" w:rsidRPr="0062285C" w:rsidRDefault="0062285C" w:rsidP="0062285C">
            <w:pPr>
              <w:rPr>
                <w:rFonts w:ascii="Verdana" w:hAnsi="Verdana"/>
                <w:noProof/>
                <w:sz w:val="18"/>
                <w:szCs w:val="18"/>
              </w:rPr>
            </w:pPr>
          </w:p>
          <w:p w14:paraId="18E53437" w14:textId="77777777" w:rsidR="0062285C" w:rsidRDefault="0062285C" w:rsidP="0062285C">
            <w:pPr>
              <w:rPr>
                <w:rFonts w:ascii="Verdana" w:hAnsi="Verdana"/>
                <w:noProof/>
                <w:color w:val="016794"/>
                <w:sz w:val="18"/>
                <w:szCs w:val="18"/>
              </w:rPr>
            </w:pPr>
          </w:p>
          <w:p w14:paraId="2C10D921" w14:textId="77777777" w:rsidR="0062285C" w:rsidRPr="0062285C" w:rsidRDefault="0062285C" w:rsidP="0062285C">
            <w:pPr>
              <w:ind w:firstLine="720"/>
              <w:rPr>
                <w:rFonts w:ascii="Verdana" w:hAnsi="Verdana"/>
                <w:noProof/>
                <w:sz w:val="18"/>
                <w:szCs w:val="18"/>
              </w:rPr>
            </w:pPr>
          </w:p>
        </w:tc>
      </w:tr>
      <w:tr w:rsidR="00807FFE" w14:paraId="2BCC4CBD" w14:textId="77777777" w:rsidTr="00102110">
        <w:trPr>
          <w:gridAfter w:val="1"/>
          <w:wAfter w:w="44" w:type="dxa"/>
          <w:trHeight w:val="68"/>
          <w:jc w:val="center"/>
        </w:trPr>
        <w:tc>
          <w:tcPr>
            <w:tcW w:w="4708" w:type="dxa"/>
            <w:gridSpan w:val="2"/>
            <w:vAlign w:val="center"/>
          </w:tcPr>
          <w:p w14:paraId="0368CB62" w14:textId="77777777" w:rsidR="0087670E" w:rsidRPr="000F21FA" w:rsidRDefault="0087670E" w:rsidP="002846CC">
            <w:pPr>
              <w:rPr>
                <w:rFonts w:ascii="Verdana" w:hAnsi="Verdana"/>
                <w:b/>
                <w:noProof/>
                <w:color w:val="016794"/>
                <w:sz w:val="8"/>
                <w:szCs w:val="8"/>
              </w:rPr>
            </w:pPr>
          </w:p>
        </w:tc>
        <w:tc>
          <w:tcPr>
            <w:tcW w:w="134" w:type="dxa"/>
            <w:gridSpan w:val="2"/>
          </w:tcPr>
          <w:p w14:paraId="664F28D2" w14:textId="77777777" w:rsidR="0087670E" w:rsidRPr="00E55C5C" w:rsidRDefault="0087670E" w:rsidP="002846CC">
            <w:pPr>
              <w:rPr>
                <w:rFonts w:ascii="Verdana" w:hAnsi="Verdana"/>
                <w:b/>
                <w:noProof/>
                <w:color w:val="016794"/>
                <w:sz w:val="8"/>
                <w:szCs w:val="8"/>
                <w:lang w:eastAsia="de-DE"/>
              </w:rPr>
            </w:pPr>
          </w:p>
        </w:tc>
        <w:tc>
          <w:tcPr>
            <w:tcW w:w="4803" w:type="dxa"/>
            <w:gridSpan w:val="2"/>
            <w:vAlign w:val="center"/>
          </w:tcPr>
          <w:p w14:paraId="05DDDF4D" w14:textId="77777777" w:rsidR="0087670E" w:rsidRPr="000F21FA" w:rsidRDefault="0087670E" w:rsidP="002846CC">
            <w:pPr>
              <w:jc w:val="right"/>
              <w:rPr>
                <w:rFonts w:ascii="Verdana" w:hAnsi="Verdana"/>
                <w:b/>
                <w:noProof/>
                <w:color w:val="016794"/>
                <w:sz w:val="8"/>
                <w:szCs w:val="8"/>
              </w:rPr>
            </w:pPr>
          </w:p>
        </w:tc>
      </w:tr>
      <w:tr w:rsidR="0074393A" w14:paraId="3DD3B779" w14:textId="77777777" w:rsidTr="00102110">
        <w:trPr>
          <w:gridBefore w:val="1"/>
          <w:wBefore w:w="51" w:type="dxa"/>
          <w:trHeight w:val="340"/>
          <w:jc w:val="center"/>
        </w:trPr>
        <w:tc>
          <w:tcPr>
            <w:tcW w:w="4701" w:type="dxa"/>
            <w:gridSpan w:val="2"/>
            <w:shd w:val="clear" w:color="auto" w:fill="DBE5F1" w:themeFill="accent1" w:themeFillTint="33"/>
            <w:vAlign w:val="center"/>
          </w:tcPr>
          <w:p w14:paraId="027B0057" w14:textId="77777777" w:rsidR="0074393A" w:rsidRPr="00EB7C3C" w:rsidRDefault="0074393A">
            <w:pPr>
              <w:jc w:val="right"/>
              <w:rPr>
                <w:rFonts w:ascii="Verdana" w:hAnsi="Verdana"/>
                <w:noProof/>
                <w:sz w:val="18"/>
                <w:szCs w:val="18"/>
              </w:rPr>
            </w:pPr>
            <w:r>
              <w:rPr>
                <w:noProof/>
              </w:rPr>
              <w:br w:type="page"/>
            </w:r>
            <w:r w:rsidRPr="00EB7C3C">
              <w:rPr>
                <w:rFonts w:ascii="Verdana" w:hAnsi="Verdana"/>
                <w:b/>
                <w:noProof/>
                <w:color w:val="016794"/>
                <w:sz w:val="18"/>
                <w:szCs w:val="18"/>
              </w:rPr>
              <mc:AlternateContent>
                <mc:Choice Requires="wps">
                  <w:drawing>
                    <wp:inline distT="0" distB="0" distL="0" distR="0" wp14:anchorId="7E327020" wp14:editId="70046D4A">
                      <wp:extent cx="147600" cy="90000"/>
                      <wp:effectExtent l="0" t="0" r="5080" b="5715"/>
                      <wp:docPr id="891754326" name="DOC_ASH000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191658" w14:textId="77777777" w:rsidR="0074393A" w:rsidRDefault="0074393A" w:rsidP="0074393A">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type w14:anchorId="7E32702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DOC_ASH00002" o:spid="_x0000_s1026"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" adj="15015" fillcolor="#4f81bd [3204]" stroked="f" strokeweight="2pt">
                      <v:path arrowok="t"/>
                      <o:lock v:ext="edit" aspectratio="t"/>
                      <v:textbox>
                        <w:txbxContent>
                          <w:p w14:paraId="14191658" w14:textId="77777777" w:rsidR="0074393A" w:rsidRDefault="0074393A" w:rsidP="0074393A">
                            <w:pPr>
                              <w:jc w:val="center"/>
                            </w:pPr>
                          </w:p>
                        </w:txbxContent>
                      </v:textbox>
                      <w10:anchorlock/>
                    </v:shape>
                  </w:pict>
                </mc:Fallback>
              </mc:AlternateContent>
            </w:r>
            <w:r>
              <w:rPr>
                <w:rFonts w:ascii="Verdana" w:hAnsi="Verdana"/>
                <w:noProof/>
                <w:color w:val="016794"/>
                <w:sz w:val="18"/>
                <w:szCs w:val="18"/>
              </w:rPr>
              <w:t xml:space="preserve"> </w:t>
            </w:r>
            <w:r w:rsidRPr="00C50AA2">
              <w:rPr>
                <w:rFonts w:ascii="Verdana" w:eastAsia="Calibri" w:hAnsi="Verdana"/>
                <w:noProof/>
                <w:color w:val="016794"/>
                <w:sz w:val="18"/>
                <w:szCs w:val="18"/>
                <w:lang w:val="de-DE" w:eastAsia="de-DE"/>
              </w:rPr>
              <w:t xml:space="preserve">see </w:t>
            </w:r>
            <w:r>
              <w:rPr>
                <w:rFonts w:ascii="Verdana" w:eastAsia="Calibri" w:hAnsi="Verdana"/>
                <w:noProof/>
                <w:color w:val="016794"/>
                <w:sz w:val="18"/>
                <w:szCs w:val="18"/>
                <w:lang w:val="de-DE" w:eastAsia="de-DE"/>
              </w:rPr>
              <w:t xml:space="preserve">Section </w:t>
            </w:r>
            <w:r>
              <w:rPr>
                <w:rFonts w:ascii="Verdana" w:eastAsia="Calibri" w:hAnsi="Verdana"/>
                <w:b/>
                <w:noProof/>
                <w:color w:val="016794"/>
                <w:sz w:val="18"/>
                <w:szCs w:val="18"/>
                <w:lang w:val="de-DE" w:eastAsia="de-DE"/>
              </w:rPr>
              <w:t xml:space="preserve">2.1  </w:t>
            </w:r>
            <w:r>
              <w:rPr>
                <w:rFonts w:ascii="Verdana" w:hAnsi="Verdana"/>
                <w:b/>
                <w:noProof/>
                <w:color w:val="016794"/>
                <w:sz w:val="18"/>
                <w:szCs w:val="18"/>
              </w:rPr>
              <w:t xml:space="preserve">   </w:t>
            </w:r>
          </w:p>
        </w:tc>
        <w:tc>
          <w:tcPr>
            <w:tcW w:w="222" w:type="dxa"/>
            <w:gridSpan w:val="2"/>
          </w:tcPr>
          <w:p w14:paraId="43C8B836" w14:textId="77777777" w:rsidR="0074393A" w:rsidRPr="00E55C5C" w:rsidRDefault="0074393A">
            <w:pPr>
              <w:jc w:val="right"/>
              <w:rPr>
                <w:rFonts w:ascii="Verdana" w:hAnsi="Verdana"/>
                <w:b/>
                <w:noProof/>
                <w:color w:val="016794"/>
                <w:sz w:val="8"/>
                <w:szCs w:val="8"/>
                <w:lang w:eastAsia="de-DE"/>
              </w:rPr>
            </w:pPr>
          </w:p>
        </w:tc>
        <w:tc>
          <w:tcPr>
            <w:tcW w:w="4715" w:type="dxa"/>
            <w:gridSpan w:val="2"/>
            <w:shd w:val="clear" w:color="auto" w:fill="DBE5F1" w:themeFill="accent1" w:themeFillTint="33"/>
            <w:vAlign w:val="center"/>
          </w:tcPr>
          <w:p w14:paraId="064FC8B7" w14:textId="77777777" w:rsidR="0074393A" w:rsidRPr="00C50AA2" w:rsidRDefault="0074393A">
            <w:pPr>
              <w:jc w:val="right"/>
              <w:rPr>
                <w:rFonts w:ascii="Verdana" w:eastAsia="Calibri" w:hAnsi="Verdana"/>
                <w:noProof/>
                <w:color w:val="016794"/>
                <w:sz w:val="18"/>
                <w:szCs w:val="18"/>
                <w:bdr w:val="nil"/>
                <w:lang w:val="de-DE" w:eastAsia="de-DE"/>
              </w:rPr>
            </w:pPr>
            <w:r w:rsidRPr="00C50AA2">
              <w:rPr>
                <w:rFonts w:ascii="Verdana" w:eastAsia="Calibri" w:hAnsi="Verdana"/>
                <w:noProof/>
                <w:color w:val="016794"/>
                <w:sz w:val="18"/>
                <w:szCs w:val="18"/>
                <w:bdr w:val="nil"/>
              </w:rPr>
              <mc:AlternateContent>
                <mc:Choice Requires="wps">
                  <w:drawing>
                    <wp:inline distT="0" distB="0" distL="0" distR="0" wp14:anchorId="74E19ED9" wp14:editId="0E97EB7D">
                      <wp:extent cx="147600" cy="90000"/>
                      <wp:effectExtent l="0" t="0" r="5080" b="5715"/>
                      <wp:docPr id="1499858072" name="DOC_ASH000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7AE39F" w14:textId="77777777" w:rsidR="0074393A" w:rsidRDefault="0074393A" w:rsidP="0074393A">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w14:anchorId="74E19ED9" id="DOC_ASH00003" o:spid="_x0000_s1027"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" adj="15015" fillcolor="#4f81bd [3204]" stroked="f" strokeweight="2pt">
                      <v:path arrowok="t"/>
                      <o:lock v:ext="edit" aspectratio="t"/>
                      <v:textbox>
                        <w:txbxContent>
                          <w:p w14:paraId="217AE39F" w14:textId="77777777" w:rsidR="0074393A" w:rsidRDefault="0074393A" w:rsidP="0074393A">
                            <w:pPr>
                              <w:jc w:val="center"/>
                            </w:pPr>
                          </w:p>
                        </w:txbxContent>
                      </v:textbox>
                      <w10:anchorlock/>
                    </v:shape>
                  </w:pict>
                </mc:Fallback>
              </mc:AlternateContent>
            </w:r>
            <w:r w:rsidRPr="00C50AA2">
              <w:rPr>
                <w:rFonts w:ascii="Verdana" w:eastAsia="Calibri" w:hAnsi="Verdana"/>
                <w:noProof/>
                <w:color w:val="016794"/>
                <w:sz w:val="18"/>
                <w:szCs w:val="18"/>
                <w:lang w:val="de-DE" w:eastAsia="de-DE"/>
              </w:rPr>
              <w:t xml:space="preserve"> see </w:t>
            </w:r>
            <w:r>
              <w:rPr>
                <w:rFonts w:ascii="Verdana" w:eastAsia="Calibri" w:hAnsi="Verdana"/>
                <w:noProof/>
                <w:color w:val="016794"/>
                <w:sz w:val="18"/>
                <w:szCs w:val="18"/>
                <w:lang w:val="de-DE" w:eastAsia="de-DE"/>
              </w:rPr>
              <w:t xml:space="preserve">Section </w:t>
            </w:r>
            <w:r w:rsidRPr="0074393A">
              <w:rPr>
                <w:rFonts w:ascii="Verdana" w:eastAsia="Calibri" w:hAnsi="Verdana"/>
                <w:b/>
                <w:bCs/>
                <w:noProof/>
                <w:color w:val="016794"/>
                <w:sz w:val="18"/>
                <w:szCs w:val="18"/>
                <w:lang w:val="de-DE" w:eastAsia="de-DE"/>
              </w:rPr>
              <w:t>2</w:t>
            </w:r>
            <w:r w:rsidRPr="00256A14">
              <w:rPr>
                <w:rFonts w:ascii="Verdana" w:eastAsia="Calibri" w:hAnsi="Verdana"/>
                <w:b/>
                <w:bCs/>
                <w:noProof/>
                <w:color w:val="016794"/>
                <w:sz w:val="18"/>
                <w:szCs w:val="18"/>
                <w:lang w:val="de-DE" w:eastAsia="de-DE"/>
              </w:rPr>
              <w:t>.2</w:t>
            </w:r>
            <w:r>
              <w:rPr>
                <w:rFonts w:ascii="Verdana" w:eastAsia="Calibri" w:hAnsi="Verdana"/>
                <w:b/>
                <w:noProof/>
                <w:color w:val="016794"/>
                <w:sz w:val="18"/>
                <w:szCs w:val="18"/>
                <w:lang w:val="de-DE" w:eastAsia="de-DE"/>
              </w:rPr>
              <w:t> </w:t>
            </w:r>
          </w:p>
        </w:tc>
      </w:tr>
      <w:tr w:rsidR="00102110" w:rsidRPr="000F21FA" w14:paraId="0CC0FD48" w14:textId="77777777" w:rsidTr="0010211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51" w:type="dxa"/>
          <w:trHeight w:val="68"/>
        </w:trPr>
        <w:tc>
          <w:tcPr>
            <w:tcW w:w="4701" w:type="dxa"/>
            <w:gridSpan w:val="2"/>
            <w:tcBorders>
              <w:top w:val="nil"/>
              <w:left w:val="nil"/>
              <w:bottom w:val="nil"/>
              <w:right w:val="nil"/>
            </w:tcBorders>
          </w:tcPr>
          <w:p w14:paraId="3FF3392A" w14:textId="77777777" w:rsidR="00102110" w:rsidRPr="000F21FA" w:rsidRDefault="00102110">
            <w:pPr>
              <w:rPr>
                <w:rFonts w:ascii="Verdana" w:hAnsi="Verdana"/>
                <w:b/>
                <w:noProof/>
                <w:color w:val="016794"/>
                <w:sz w:val="8"/>
                <w:szCs w:val="8"/>
              </w:rPr>
            </w:pPr>
          </w:p>
        </w:tc>
        <w:tc>
          <w:tcPr>
            <w:tcW w:w="222" w:type="dxa"/>
            <w:gridSpan w:val="2"/>
            <w:tcBorders>
              <w:top w:val="nil"/>
              <w:left w:val="nil"/>
              <w:bottom w:val="nil"/>
              <w:right w:val="nil"/>
            </w:tcBorders>
          </w:tcPr>
          <w:p w14:paraId="70E4D214" w14:textId="77777777" w:rsidR="00102110" w:rsidRPr="00E55C5C" w:rsidRDefault="00102110">
            <w:pPr>
              <w:rPr>
                <w:rFonts w:ascii="Verdana" w:hAnsi="Verdana"/>
                <w:b/>
                <w:noProof/>
                <w:color w:val="016794"/>
                <w:sz w:val="8"/>
                <w:szCs w:val="8"/>
                <w:lang w:eastAsia="de-DE"/>
              </w:rPr>
            </w:pPr>
          </w:p>
        </w:tc>
        <w:tc>
          <w:tcPr>
            <w:tcW w:w="4715" w:type="dxa"/>
            <w:gridSpan w:val="2"/>
            <w:tcBorders>
              <w:top w:val="nil"/>
              <w:left w:val="nil"/>
              <w:bottom w:val="nil"/>
              <w:right w:val="nil"/>
            </w:tcBorders>
          </w:tcPr>
          <w:p w14:paraId="155C3098" w14:textId="77777777" w:rsidR="00102110" w:rsidRPr="000F21FA" w:rsidRDefault="00102110">
            <w:pPr>
              <w:jc w:val="right"/>
              <w:rPr>
                <w:rFonts w:ascii="Verdana" w:hAnsi="Verdana"/>
                <w:b/>
                <w:noProof/>
                <w:color w:val="016794"/>
                <w:sz w:val="8"/>
                <w:szCs w:val="8"/>
              </w:rPr>
            </w:pPr>
          </w:p>
        </w:tc>
      </w:tr>
      <w:tr w:rsidR="00486797" w14:paraId="5F2E6E8E" w14:textId="77777777" w:rsidTr="00102110">
        <w:tblPrEx>
          <w:jc w:val="left"/>
        </w:tblPrEx>
        <w:trPr>
          <w:gridBefore w:val="1"/>
          <w:wBefore w:w="50" w:type="dxa"/>
          <w:trHeight w:val="283"/>
        </w:trPr>
        <w:tc>
          <w:tcPr>
            <w:tcW w:w="9638" w:type="dxa"/>
            <w:gridSpan w:val="6"/>
            <w:shd w:val="clear" w:color="auto" w:fill="016794"/>
            <w:vAlign w:val="center"/>
          </w:tcPr>
          <w:p w14:paraId="77BE6B7C" w14:textId="77777777" w:rsidR="00486797" w:rsidRPr="00C50AA2" w:rsidRDefault="00486797">
            <w:pPr>
              <w:pStyle w:val="DGTextstand-alone"/>
              <w:spacing w:before="0" w:after="0"/>
              <w:jc w:val="center"/>
              <w:rPr>
                <w:b/>
                <w:color w:val="016794"/>
              </w:rPr>
            </w:pPr>
            <w:r>
              <w:rPr>
                <w:b/>
                <w:color w:val="FFFFFF" w:themeColor="background1"/>
              </w:rPr>
              <w:t>Budgetary contingent liabilities at 31 December 2025: EUR 475.7 billion</w:t>
            </w:r>
          </w:p>
        </w:tc>
      </w:tr>
      <w:tr w:rsidR="00486797" w14:paraId="1BFC834E" w14:textId="77777777" w:rsidTr="00102110">
        <w:tblPrEx>
          <w:jc w:val="left"/>
        </w:tblPrEx>
        <w:trPr>
          <w:gridBefore w:val="1"/>
          <w:wBefore w:w="50" w:type="dxa"/>
          <w:trHeight w:val="94"/>
        </w:trPr>
        <w:tc>
          <w:tcPr>
            <w:tcW w:w="9638" w:type="dxa"/>
            <w:gridSpan w:val="6"/>
            <w:vAlign w:val="center"/>
          </w:tcPr>
          <w:p w14:paraId="135416D4" w14:textId="77777777" w:rsidR="00486797" w:rsidRPr="000F21FA" w:rsidRDefault="00486797">
            <w:pPr>
              <w:rPr>
                <w:rFonts w:ascii="Verdana" w:hAnsi="Verdana"/>
                <w:b/>
                <w:noProof/>
                <w:sz w:val="8"/>
                <w:szCs w:val="14"/>
              </w:rPr>
            </w:pPr>
          </w:p>
        </w:tc>
      </w:tr>
      <w:tr w:rsidR="00486797" w14:paraId="64818EBB" w14:textId="77777777" w:rsidTr="00102110">
        <w:tblPrEx>
          <w:jc w:val="left"/>
          <w:tblCellMar>
            <w:left w:w="108" w:type="dxa"/>
            <w:right w:w="108" w:type="dxa"/>
          </w:tblCellMar>
        </w:tblPrEx>
        <w:trPr>
          <w:gridBefore w:val="1"/>
          <w:wBefore w:w="50" w:type="dxa"/>
          <w:trHeight w:val="212"/>
        </w:trPr>
        <w:tc>
          <w:tcPr>
            <w:tcW w:w="9638" w:type="dxa"/>
            <w:gridSpan w:val="6"/>
            <w:vAlign w:val="center"/>
          </w:tcPr>
          <w:p w14:paraId="41461B55" w14:textId="77777777" w:rsidR="00486797" w:rsidRDefault="00486797">
            <w:pPr>
              <w:jc w:val="center"/>
              <w:rPr>
                <w:rFonts w:ascii="Verdana" w:hAnsi="Verdana"/>
                <w:b/>
                <w:noProof/>
                <w:sz w:val="18"/>
              </w:rPr>
            </w:pPr>
          </w:p>
          <w:p w14:paraId="3993571C" w14:textId="77777777" w:rsidR="00486797" w:rsidRPr="00257280" w:rsidRDefault="00486797">
            <w:pPr>
              <w:jc w:val="center"/>
              <w:rPr>
                <w:rFonts w:ascii="Verdana" w:hAnsi="Verdana"/>
                <w:b/>
                <w:noProof/>
                <w:sz w:val="18"/>
              </w:rPr>
            </w:pPr>
            <w:r w:rsidRPr="00C00831">
              <w:rPr>
                <w:rFonts w:ascii="Verdana" w:hAnsi="Verdana"/>
                <w:b/>
                <w:noProof/>
                <w:sz w:val="18"/>
              </w:rPr>
              <w:drawing>
                <wp:inline distT="0" distB="0" distL="0" distR="0" wp14:anchorId="17C5F292" wp14:editId="1FF77ED1">
                  <wp:extent cx="4746457" cy="2402801"/>
                  <wp:effectExtent l="0" t="0" r="0" b="0"/>
                  <wp:docPr id="1383882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99725"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794795" cy="2427271"/>
                          </a:xfrm>
                          <a:prstGeom prst="rect">
                            <a:avLst/>
                          </a:prstGeom>
                          <a:noFill/>
                          <a:ln>
                            <a:noFill/>
                          </a:ln>
                        </pic:spPr>
                      </pic:pic>
                    </a:graphicData>
                  </a:graphic>
                </wp:inline>
              </w:drawing>
            </w:r>
          </w:p>
        </w:tc>
      </w:tr>
      <w:tr w:rsidR="00486797" w14:paraId="110CE0A8" w14:textId="77777777" w:rsidTr="00102110">
        <w:tblPrEx>
          <w:jc w:val="left"/>
        </w:tblPrEx>
        <w:trPr>
          <w:gridBefore w:val="1"/>
          <w:wBefore w:w="50" w:type="dxa"/>
          <w:trHeight w:val="94"/>
        </w:trPr>
        <w:tc>
          <w:tcPr>
            <w:tcW w:w="9638" w:type="dxa"/>
            <w:gridSpan w:val="6"/>
            <w:vAlign w:val="center"/>
          </w:tcPr>
          <w:p w14:paraId="594D99A9" w14:textId="77777777" w:rsidR="00486797" w:rsidRPr="000F21FA" w:rsidRDefault="00486797">
            <w:pPr>
              <w:jc w:val="right"/>
              <w:rPr>
                <w:rFonts w:ascii="Verdana" w:hAnsi="Verdana"/>
                <w:noProof/>
                <w:sz w:val="8"/>
                <w:szCs w:val="8"/>
              </w:rPr>
            </w:pPr>
          </w:p>
        </w:tc>
      </w:tr>
      <w:tr w:rsidR="00486797" w14:paraId="1EAF4998" w14:textId="77777777" w:rsidTr="00102110">
        <w:tblPrEx>
          <w:jc w:val="left"/>
        </w:tblPrEx>
        <w:trPr>
          <w:gridBefore w:val="1"/>
          <w:wBefore w:w="50" w:type="dxa"/>
          <w:trHeight w:val="283"/>
        </w:trPr>
        <w:tc>
          <w:tcPr>
            <w:tcW w:w="9638" w:type="dxa"/>
            <w:gridSpan w:val="6"/>
            <w:shd w:val="clear" w:color="auto" w:fill="DBE5F1" w:themeFill="accent1" w:themeFillTint="33"/>
            <w:vAlign w:val="center"/>
          </w:tcPr>
          <w:p w14:paraId="361354F7" w14:textId="77777777" w:rsidR="00486797" w:rsidRPr="00C50AA2" w:rsidRDefault="00486797">
            <w:pPr>
              <w:pStyle w:val="DGTextstand-alone"/>
              <w:spacing w:before="0" w:after="0"/>
              <w:jc w:val="right"/>
              <w:rPr>
                <w:color w:val="016794"/>
              </w:rPr>
            </w:pPr>
          </w:p>
        </w:tc>
      </w:tr>
      <w:tr w:rsidR="00486797" w14:paraId="367A957F" w14:textId="77777777" w:rsidTr="00102110">
        <w:tblPrEx>
          <w:jc w:val="left"/>
        </w:tblPrEx>
        <w:trPr>
          <w:gridBefore w:val="1"/>
          <w:wBefore w:w="50" w:type="dxa"/>
          <w:trHeight w:val="94"/>
        </w:trPr>
        <w:tc>
          <w:tcPr>
            <w:tcW w:w="9638" w:type="dxa"/>
            <w:gridSpan w:val="6"/>
            <w:vAlign w:val="center"/>
          </w:tcPr>
          <w:p w14:paraId="45A71918" w14:textId="77777777" w:rsidR="00486797" w:rsidRPr="000F21FA" w:rsidRDefault="00486797">
            <w:pPr>
              <w:jc w:val="right"/>
              <w:rPr>
                <w:rFonts w:ascii="Verdana" w:hAnsi="Verdana"/>
                <w:noProof/>
                <w:color w:val="016794"/>
                <w:sz w:val="8"/>
                <w:szCs w:val="8"/>
              </w:rPr>
            </w:pPr>
          </w:p>
        </w:tc>
      </w:tr>
    </w:tbl>
    <w:p w14:paraId="77B2690B" w14:textId="77777777" w:rsidR="00033F17" w:rsidRDefault="00033F17">
      <w:pPr>
        <w:rPr>
          <w:noProof/>
        </w:rPr>
      </w:pPr>
    </w:p>
    <w:p w14:paraId="4B74F020" w14:textId="0B7B197F" w:rsidR="00E20707" w:rsidRDefault="00E20707">
      <w:pPr>
        <w:rPr>
          <w:noProof/>
        </w:rPr>
      </w:pPr>
    </w:p>
    <w:tbl>
      <w:tblPr>
        <w:tblStyle w:val="TableGrid1"/>
        <w:tblW w:w="0" w:type="auto"/>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638"/>
      </w:tblGrid>
      <w:tr w:rsidR="00807FFE" w14:paraId="341FBB3B" w14:textId="77777777" w:rsidTr="000F21FA">
        <w:trPr>
          <w:trHeight w:val="510"/>
          <w:jc w:val="center"/>
        </w:trPr>
        <w:tc>
          <w:tcPr>
            <w:tcW w:w="9638" w:type="dxa"/>
            <w:tcBorders>
              <w:top w:val="single" w:sz="4" w:space="0" w:color="E36C0A" w:themeColor="accent6" w:themeShade="BF"/>
              <w:bottom w:val="single" w:sz="4" w:space="0" w:color="E36C0A" w:themeColor="accent6" w:themeShade="BF"/>
            </w:tcBorders>
            <w:vAlign w:val="center"/>
          </w:tcPr>
          <w:p w14:paraId="602CDCCE" w14:textId="77777777" w:rsidR="00E20707" w:rsidRPr="001A0DF0" w:rsidRDefault="00023E71" w:rsidP="008C41B3">
            <w:pPr>
              <w:pStyle w:val="DGTextstand-alone"/>
              <w:spacing w:before="0" w:after="0"/>
              <w:rPr>
                <w:b/>
                <w:color w:val="016794"/>
                <w:sz w:val="28"/>
                <w:szCs w:val="28"/>
              </w:rPr>
            </w:pPr>
            <w:r>
              <w:rPr>
                <w:b/>
                <w:color w:val="016794"/>
                <w:sz w:val="28"/>
                <w:szCs w:val="28"/>
              </w:rPr>
              <w:t>Key developments in 2025</w:t>
            </w:r>
          </w:p>
        </w:tc>
      </w:tr>
      <w:tr w:rsidR="00807FFE" w14:paraId="061E12CD" w14:textId="77777777" w:rsidTr="000F21FA">
        <w:trPr>
          <w:trHeight w:val="255"/>
          <w:jc w:val="center"/>
        </w:trPr>
        <w:tc>
          <w:tcPr>
            <w:tcW w:w="9638" w:type="dxa"/>
            <w:tcBorders>
              <w:top w:val="single" w:sz="4" w:space="0" w:color="E36C0A" w:themeColor="accent6" w:themeShade="BF"/>
            </w:tcBorders>
            <w:vAlign w:val="center"/>
          </w:tcPr>
          <w:p w14:paraId="405E8B98" w14:textId="77777777" w:rsidR="000F21FA" w:rsidRPr="00C90229" w:rsidRDefault="000F21FA" w:rsidP="008C41B3">
            <w:pPr>
              <w:jc w:val="right"/>
              <w:rPr>
                <w:rFonts w:ascii="Verdana" w:hAnsi="Verdana"/>
                <w:b/>
                <w:noProof/>
                <w:sz w:val="18"/>
              </w:rPr>
            </w:pPr>
          </w:p>
        </w:tc>
      </w:tr>
    </w:tbl>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52"/>
        <w:gridCol w:w="62"/>
        <w:gridCol w:w="4625"/>
      </w:tblGrid>
      <w:tr w:rsidR="00807FFE" w14:paraId="58A89501" w14:textId="77777777" w:rsidTr="00235929">
        <w:trPr>
          <w:trHeight w:val="340"/>
          <w:jc w:val="center"/>
        </w:trPr>
        <w:tc>
          <w:tcPr>
            <w:tcW w:w="9639" w:type="dxa"/>
            <w:gridSpan w:val="3"/>
            <w:shd w:val="clear" w:color="auto" w:fill="016794"/>
            <w:vAlign w:val="center"/>
          </w:tcPr>
          <w:p w14:paraId="4AC3E803" w14:textId="77777777" w:rsidR="00E20707" w:rsidRPr="00C50AA2" w:rsidRDefault="00023E71" w:rsidP="00D425DD">
            <w:pPr>
              <w:pStyle w:val="DGTextstand-alone"/>
              <w:spacing w:before="0" w:after="0"/>
              <w:jc w:val="center"/>
              <w:rPr>
                <w:b/>
                <w:color w:val="016794"/>
              </w:rPr>
            </w:pPr>
            <w:r>
              <w:rPr>
                <w:b/>
                <w:color w:val="FFFFFF" w:themeColor="background1"/>
              </w:rPr>
              <w:t>Increase in</w:t>
            </w:r>
            <w:r w:rsidR="001B0314">
              <w:rPr>
                <w:b/>
                <w:color w:val="FFFFFF" w:themeColor="background1"/>
              </w:rPr>
              <w:t xml:space="preserve"> </w:t>
            </w:r>
            <w:r w:rsidR="00572253">
              <w:rPr>
                <w:b/>
                <w:color w:val="FFFFFF" w:themeColor="background1"/>
              </w:rPr>
              <w:t>EU-Bond</w:t>
            </w:r>
            <w:r w:rsidR="001B0314">
              <w:rPr>
                <w:b/>
                <w:color w:val="FFFFFF" w:themeColor="background1"/>
              </w:rPr>
              <w:t xml:space="preserve"> issuance</w:t>
            </w:r>
          </w:p>
        </w:tc>
      </w:tr>
      <w:tr w:rsidR="00807FFE" w14:paraId="19FD9BA2" w14:textId="77777777" w:rsidTr="00235929">
        <w:trPr>
          <w:trHeight w:val="113"/>
          <w:jc w:val="center"/>
        </w:trPr>
        <w:tc>
          <w:tcPr>
            <w:tcW w:w="9639" w:type="dxa"/>
            <w:gridSpan w:val="3"/>
            <w:vAlign w:val="center"/>
          </w:tcPr>
          <w:p w14:paraId="56692001" w14:textId="77777777" w:rsidR="00E20707" w:rsidRPr="000F21FA" w:rsidRDefault="00E20707" w:rsidP="008C41B3">
            <w:pPr>
              <w:rPr>
                <w:rFonts w:ascii="Verdana" w:hAnsi="Verdana"/>
                <w:b/>
                <w:noProof/>
                <w:sz w:val="8"/>
                <w:szCs w:val="14"/>
              </w:rPr>
            </w:pPr>
          </w:p>
        </w:tc>
      </w:tr>
      <w:tr w:rsidR="00807FFE" w14:paraId="41427E5F" w14:textId="77777777" w:rsidTr="00235929">
        <w:tblPrEx>
          <w:tblCellMar>
            <w:left w:w="108" w:type="dxa"/>
            <w:right w:w="108" w:type="dxa"/>
          </w:tblCellMar>
        </w:tblPrEx>
        <w:trPr>
          <w:trHeight w:val="255"/>
          <w:jc w:val="center"/>
        </w:trPr>
        <w:tc>
          <w:tcPr>
            <w:tcW w:w="9639" w:type="dxa"/>
            <w:gridSpan w:val="3"/>
            <w:vAlign w:val="center"/>
          </w:tcPr>
          <w:p w14:paraId="31486474" w14:textId="77777777" w:rsidR="00E20707" w:rsidRPr="00257280" w:rsidRDefault="00023E71" w:rsidP="00E55C5C">
            <w:pPr>
              <w:jc w:val="center"/>
              <w:rPr>
                <w:rFonts w:ascii="Verdana" w:hAnsi="Verdana"/>
                <w:b/>
                <w:noProof/>
                <w:sz w:val="18"/>
              </w:rPr>
            </w:pPr>
            <w:r w:rsidRPr="00B85DEA">
              <w:rPr>
                <w:rFonts w:ascii="Verdana" w:hAnsi="Verdana"/>
                <w:b/>
                <w:noProof/>
                <w:sz w:val="18"/>
              </w:rPr>
              <w:drawing>
                <wp:inline distT="0" distB="0" distL="0" distR="0" wp14:anchorId="130E38D3" wp14:editId="23A6C315">
                  <wp:extent cx="5125710" cy="2020186"/>
                  <wp:effectExtent l="0" t="0" r="0" b="0"/>
                  <wp:docPr id="21303743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374347"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168547" cy="2037069"/>
                          </a:xfrm>
                          <a:prstGeom prst="rect">
                            <a:avLst/>
                          </a:prstGeom>
                          <a:noFill/>
                          <a:ln>
                            <a:noFill/>
                          </a:ln>
                        </pic:spPr>
                      </pic:pic>
                    </a:graphicData>
                  </a:graphic>
                </wp:inline>
              </w:drawing>
            </w:r>
          </w:p>
        </w:tc>
      </w:tr>
      <w:tr w:rsidR="00807FFE" w14:paraId="5005B3A4" w14:textId="77777777" w:rsidTr="00235929">
        <w:trPr>
          <w:trHeight w:val="113"/>
          <w:jc w:val="center"/>
        </w:trPr>
        <w:tc>
          <w:tcPr>
            <w:tcW w:w="9639" w:type="dxa"/>
            <w:gridSpan w:val="3"/>
            <w:vAlign w:val="center"/>
          </w:tcPr>
          <w:p w14:paraId="2EF6E040" w14:textId="77777777" w:rsidR="000F21FA" w:rsidRPr="000F21FA" w:rsidRDefault="000F21FA" w:rsidP="008C41B3">
            <w:pPr>
              <w:jc w:val="right"/>
              <w:rPr>
                <w:rFonts w:ascii="Verdana" w:hAnsi="Verdana"/>
                <w:noProof/>
                <w:sz w:val="8"/>
                <w:szCs w:val="8"/>
              </w:rPr>
            </w:pPr>
          </w:p>
        </w:tc>
      </w:tr>
      <w:tr w:rsidR="00807FFE" w14:paraId="1ED423E7" w14:textId="77777777" w:rsidTr="00235929">
        <w:trPr>
          <w:trHeight w:val="340"/>
          <w:jc w:val="center"/>
        </w:trPr>
        <w:tc>
          <w:tcPr>
            <w:tcW w:w="9639" w:type="dxa"/>
            <w:gridSpan w:val="3"/>
            <w:shd w:val="clear" w:color="auto" w:fill="DBE5F1" w:themeFill="accent1" w:themeFillTint="33"/>
            <w:vAlign w:val="center"/>
          </w:tcPr>
          <w:p w14:paraId="05C983DB" w14:textId="01B137A4" w:rsidR="00E20707" w:rsidRPr="00C50AA2" w:rsidRDefault="00023E71" w:rsidP="008C41B3">
            <w:pPr>
              <w:pStyle w:val="DGTextstand-alone"/>
              <w:spacing w:before="0" w:after="0"/>
              <w:jc w:val="right"/>
              <w:rPr>
                <w:color w:val="016794"/>
              </w:rPr>
            </w:pPr>
            <w:r w:rsidRPr="00C50AA2">
              <w:rPr>
                <w:b/>
                <w:color w:val="016794"/>
                <w:lang w:eastAsia="en-GB"/>
              </w:rPr>
              <mc:AlternateContent>
                <mc:Choice Requires="wps">
                  <w:drawing>
                    <wp:inline distT="0" distB="0" distL="0" distR="0" wp14:anchorId="4F96BA98" wp14:editId="64813B5F">
                      <wp:extent cx="147600" cy="90000"/>
                      <wp:effectExtent l="0" t="0" r="5080" b="5715"/>
                      <wp:docPr id="28" name="DOC_ASH00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864EE3" w14:textId="77777777" w:rsidR="00E20707" w:rsidRDefault="00E20707" w:rsidP="00E20707">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w14:anchorId="4F96BA98" id="DOC_ASH00001" o:spid="_x0000_s1028"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" adj="15015" fillcolor="#4f81bd [3204]" stroked="f" strokeweight="2pt">
                      <v:path arrowok="t"/>
                      <o:lock v:ext="edit" aspectratio="t"/>
                      <v:textbox>
                        <w:txbxContent>
                          <w:p w14:paraId="2B864EE3" w14:textId="77777777" w:rsidR="00E20707" w:rsidRDefault="00E20707" w:rsidP="00E20707">
                            <w:pPr>
                              <w:jc w:val="center"/>
                            </w:pPr>
                          </w:p>
                        </w:txbxContent>
                      </v:textbox>
                      <w10:anchorlock/>
                    </v:shape>
                  </w:pict>
                </mc:Fallback>
              </mc:AlternateContent>
            </w:r>
            <w:r w:rsidRPr="00C50AA2">
              <w:rPr>
                <w:color w:val="016794"/>
              </w:rPr>
              <w:t xml:space="preserve"> see </w:t>
            </w:r>
            <w:r w:rsidR="00EA67AF">
              <w:rPr>
                <w:color w:val="016794"/>
              </w:rPr>
              <w:t>S</w:t>
            </w:r>
            <w:r>
              <w:rPr>
                <w:color w:val="016794"/>
              </w:rPr>
              <w:t xml:space="preserve">ection </w:t>
            </w:r>
            <w:r w:rsidR="00654E97">
              <w:rPr>
                <w:b/>
                <w:bCs/>
                <w:color w:val="016794"/>
              </w:rPr>
              <w:t>5</w:t>
            </w:r>
            <w:r>
              <w:rPr>
                <w:b/>
                <w:color w:val="016794"/>
              </w:rPr>
              <w:t xml:space="preserve">  </w:t>
            </w:r>
          </w:p>
        </w:tc>
      </w:tr>
      <w:tr w:rsidR="00807FFE" w14:paraId="75A9A375" w14:textId="77777777" w:rsidTr="00235929">
        <w:trPr>
          <w:trHeight w:val="113"/>
          <w:jc w:val="center"/>
        </w:trPr>
        <w:tc>
          <w:tcPr>
            <w:tcW w:w="9639" w:type="dxa"/>
            <w:gridSpan w:val="3"/>
            <w:vAlign w:val="center"/>
          </w:tcPr>
          <w:p w14:paraId="4B72295D" w14:textId="77777777" w:rsidR="00E20707" w:rsidRPr="000F21FA" w:rsidRDefault="00E20707" w:rsidP="008C41B3">
            <w:pPr>
              <w:jc w:val="right"/>
              <w:rPr>
                <w:rFonts w:ascii="Verdana" w:hAnsi="Verdana"/>
                <w:noProof/>
                <w:color w:val="016794"/>
                <w:sz w:val="8"/>
                <w:szCs w:val="8"/>
              </w:rPr>
            </w:pPr>
          </w:p>
        </w:tc>
      </w:tr>
      <w:tr w:rsidR="00807FFE" w14:paraId="2BC74F3C" w14:textId="77777777" w:rsidTr="00235929">
        <w:trPr>
          <w:trHeight w:val="340"/>
          <w:jc w:val="center"/>
        </w:trPr>
        <w:tc>
          <w:tcPr>
            <w:tcW w:w="4762" w:type="dxa"/>
            <w:shd w:val="clear" w:color="auto" w:fill="016794"/>
            <w:vAlign w:val="center"/>
          </w:tcPr>
          <w:p w14:paraId="07F0B512" w14:textId="77777777" w:rsidR="00E20707" w:rsidRPr="002C4B71" w:rsidRDefault="00023E71" w:rsidP="00C35768">
            <w:pPr>
              <w:pStyle w:val="DGTextstand-alone"/>
              <w:spacing w:before="0" w:after="0"/>
              <w:jc w:val="center"/>
              <w:rPr>
                <w:b/>
                <w:color w:val="FFFFFF" w:themeColor="background1"/>
              </w:rPr>
            </w:pPr>
            <w:r>
              <w:rPr>
                <w:b/>
                <w:color w:val="FFFFFF" w:themeColor="background1"/>
              </w:rPr>
              <w:t>Delivering NGEU objectives</w:t>
            </w:r>
          </w:p>
        </w:tc>
        <w:tc>
          <w:tcPr>
            <w:tcW w:w="113" w:type="dxa"/>
          </w:tcPr>
          <w:p w14:paraId="385F26DE" w14:textId="77777777" w:rsidR="00E20707" w:rsidRPr="00E55C5C" w:rsidRDefault="00E20707" w:rsidP="008C41B3">
            <w:pPr>
              <w:rPr>
                <w:rFonts w:ascii="Verdana" w:eastAsia="Calibri" w:hAnsi="Verdana"/>
                <w:b/>
                <w:noProof/>
                <w:color w:val="FFFFFF" w:themeColor="background1"/>
                <w:sz w:val="8"/>
                <w:szCs w:val="8"/>
                <w:bdr w:val="nil"/>
                <w:lang w:eastAsia="en-US"/>
              </w:rPr>
            </w:pPr>
          </w:p>
        </w:tc>
        <w:tc>
          <w:tcPr>
            <w:tcW w:w="4762" w:type="dxa"/>
            <w:shd w:val="clear" w:color="auto" w:fill="016794"/>
            <w:vAlign w:val="center"/>
          </w:tcPr>
          <w:p w14:paraId="3562D662" w14:textId="77777777" w:rsidR="00E20707" w:rsidRPr="00C50AA2" w:rsidRDefault="00023E71" w:rsidP="00C35768">
            <w:pPr>
              <w:pStyle w:val="DGTextstand-alone"/>
              <w:spacing w:before="0" w:after="0"/>
              <w:jc w:val="center"/>
              <w:rPr>
                <w:b/>
                <w:color w:val="FFFFFF" w:themeColor="background1"/>
              </w:rPr>
            </w:pPr>
            <w:r>
              <w:rPr>
                <w:b/>
                <w:color w:val="FFFFFF" w:themeColor="background1"/>
              </w:rPr>
              <w:t>F</w:t>
            </w:r>
            <w:r w:rsidR="001B0314">
              <w:rPr>
                <w:b/>
                <w:color w:val="FFFFFF" w:themeColor="background1"/>
              </w:rPr>
              <w:t>inancial assistance to Ukraine</w:t>
            </w:r>
          </w:p>
        </w:tc>
      </w:tr>
      <w:tr w:rsidR="00807FFE" w14:paraId="7BBB9753" w14:textId="77777777" w:rsidTr="00235929">
        <w:tblPrEx>
          <w:jc w:val="left"/>
        </w:tblPrEx>
        <w:trPr>
          <w:trHeight w:val="8052"/>
        </w:trPr>
        <w:tc>
          <w:tcPr>
            <w:tcW w:w="4762" w:type="dxa"/>
            <w:vAlign w:val="center"/>
          </w:tcPr>
          <w:p w14:paraId="18377E47" w14:textId="77777777" w:rsidR="00235929" w:rsidRPr="006B68FB" w:rsidRDefault="00023E71" w:rsidP="00235929">
            <w:pPr>
              <w:jc w:val="center"/>
              <w:rPr>
                <w:rFonts w:ascii="Verdana" w:hAnsi="Verdana"/>
                <w:noProof/>
                <w:color w:val="016794"/>
                <w:sz w:val="18"/>
                <w:szCs w:val="18"/>
              </w:rPr>
            </w:pPr>
            <w:r w:rsidRPr="0056027D">
              <w:rPr>
                <w:rFonts w:ascii="Verdana" w:hAnsi="Verdana"/>
                <w:noProof/>
                <w:color w:val="016794"/>
                <w:sz w:val="18"/>
                <w:szCs w:val="18"/>
              </w:rPr>
              <w:drawing>
                <wp:inline distT="0" distB="0" distL="0" distR="0" wp14:anchorId="4CCFA9C4" wp14:editId="55B0A084">
                  <wp:extent cx="3144520" cy="4626568"/>
                  <wp:effectExtent l="0" t="0" r="0" b="0"/>
                  <wp:docPr id="876288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8851"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3162304" cy="4652733"/>
                          </a:xfrm>
                          <a:prstGeom prst="rect">
                            <a:avLst/>
                          </a:prstGeom>
                          <a:noFill/>
                          <a:ln>
                            <a:noFill/>
                          </a:ln>
                        </pic:spPr>
                      </pic:pic>
                    </a:graphicData>
                  </a:graphic>
                </wp:inline>
              </w:drawing>
            </w:r>
          </w:p>
        </w:tc>
        <w:tc>
          <w:tcPr>
            <w:tcW w:w="113" w:type="dxa"/>
            <w:vAlign w:val="center"/>
          </w:tcPr>
          <w:p w14:paraId="23F4163A" w14:textId="77777777" w:rsidR="00235929" w:rsidRPr="00EB7C3C" w:rsidRDefault="00235929" w:rsidP="00235929">
            <w:pPr>
              <w:jc w:val="center"/>
              <w:rPr>
                <w:rFonts w:ascii="Verdana" w:hAnsi="Verdana"/>
                <w:noProof/>
                <w:color w:val="016794"/>
                <w:sz w:val="18"/>
                <w:szCs w:val="18"/>
              </w:rPr>
            </w:pPr>
          </w:p>
        </w:tc>
        <w:tc>
          <w:tcPr>
            <w:tcW w:w="4762" w:type="dxa"/>
            <w:vAlign w:val="center"/>
          </w:tcPr>
          <w:p w14:paraId="66057DE5" w14:textId="77777777" w:rsidR="00235929" w:rsidRPr="00EB7C3C" w:rsidRDefault="00023E71" w:rsidP="00235929">
            <w:pPr>
              <w:jc w:val="center"/>
              <w:rPr>
                <w:rFonts w:ascii="Verdana" w:hAnsi="Verdana"/>
                <w:noProof/>
                <w:color w:val="016794"/>
                <w:sz w:val="18"/>
                <w:szCs w:val="18"/>
              </w:rPr>
            </w:pPr>
            <w:r w:rsidRPr="00DA3A6C">
              <w:rPr>
                <w:rFonts w:ascii="Verdana" w:hAnsi="Verdana"/>
                <w:noProof/>
                <w:color w:val="016794"/>
                <w:sz w:val="18"/>
                <w:szCs w:val="18"/>
              </w:rPr>
              <w:drawing>
                <wp:inline distT="0" distB="0" distL="0" distR="0" wp14:anchorId="740AB966" wp14:editId="5A7768E7">
                  <wp:extent cx="2839453" cy="4537075"/>
                  <wp:effectExtent l="0" t="0" r="0" b="0"/>
                  <wp:docPr id="6519544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54478"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844199" cy="4544658"/>
                          </a:xfrm>
                          <a:prstGeom prst="rect">
                            <a:avLst/>
                          </a:prstGeom>
                          <a:noFill/>
                          <a:ln>
                            <a:noFill/>
                          </a:ln>
                        </pic:spPr>
                      </pic:pic>
                    </a:graphicData>
                  </a:graphic>
                </wp:inline>
              </w:drawing>
            </w:r>
          </w:p>
        </w:tc>
      </w:tr>
      <w:tr w:rsidR="00807FFE" w14:paraId="6239393F" w14:textId="77777777" w:rsidTr="00235929">
        <w:trPr>
          <w:trHeight w:val="113"/>
          <w:jc w:val="center"/>
        </w:trPr>
        <w:tc>
          <w:tcPr>
            <w:tcW w:w="4762" w:type="dxa"/>
            <w:vAlign w:val="center"/>
          </w:tcPr>
          <w:p w14:paraId="66A942E3" w14:textId="77777777" w:rsidR="00E20707" w:rsidRPr="000F21FA" w:rsidRDefault="00E20707" w:rsidP="008C41B3">
            <w:pPr>
              <w:rPr>
                <w:rFonts w:ascii="Verdana" w:hAnsi="Verdana"/>
                <w:b/>
                <w:noProof/>
                <w:color w:val="016794"/>
                <w:sz w:val="8"/>
                <w:szCs w:val="8"/>
              </w:rPr>
            </w:pPr>
          </w:p>
        </w:tc>
        <w:tc>
          <w:tcPr>
            <w:tcW w:w="113" w:type="dxa"/>
          </w:tcPr>
          <w:p w14:paraId="0677E27F" w14:textId="77777777" w:rsidR="00E20707" w:rsidRPr="00E55C5C" w:rsidRDefault="00E20707" w:rsidP="008C41B3">
            <w:pPr>
              <w:rPr>
                <w:rFonts w:ascii="Verdana" w:hAnsi="Verdana"/>
                <w:b/>
                <w:noProof/>
                <w:color w:val="016794"/>
                <w:sz w:val="8"/>
                <w:szCs w:val="8"/>
                <w:lang w:eastAsia="de-DE"/>
              </w:rPr>
            </w:pPr>
          </w:p>
        </w:tc>
        <w:tc>
          <w:tcPr>
            <w:tcW w:w="4762" w:type="dxa"/>
            <w:vAlign w:val="center"/>
          </w:tcPr>
          <w:p w14:paraId="4038E86B" w14:textId="77777777" w:rsidR="00E20707" w:rsidRPr="000F21FA" w:rsidRDefault="00E20707" w:rsidP="008C41B3">
            <w:pPr>
              <w:jc w:val="right"/>
              <w:rPr>
                <w:rFonts w:ascii="Verdana" w:hAnsi="Verdana"/>
                <w:b/>
                <w:noProof/>
                <w:color w:val="016794"/>
                <w:sz w:val="8"/>
                <w:szCs w:val="8"/>
              </w:rPr>
            </w:pPr>
          </w:p>
        </w:tc>
      </w:tr>
      <w:tr w:rsidR="00807FFE" w14:paraId="18D29CDF" w14:textId="77777777" w:rsidTr="00235929">
        <w:trPr>
          <w:trHeight w:val="340"/>
          <w:jc w:val="center"/>
        </w:trPr>
        <w:tc>
          <w:tcPr>
            <w:tcW w:w="4762" w:type="dxa"/>
            <w:shd w:val="clear" w:color="auto" w:fill="DBE5F1" w:themeFill="accent1" w:themeFillTint="33"/>
            <w:vAlign w:val="center"/>
          </w:tcPr>
          <w:p w14:paraId="485600B3" w14:textId="77777777" w:rsidR="00E20707" w:rsidRPr="00EB7C3C" w:rsidRDefault="00023E71" w:rsidP="008C41B3">
            <w:pPr>
              <w:jc w:val="right"/>
              <w:rPr>
                <w:rFonts w:ascii="Verdana" w:hAnsi="Verdana"/>
                <w:noProof/>
                <w:sz w:val="18"/>
                <w:szCs w:val="18"/>
              </w:rPr>
            </w:pPr>
            <w:r w:rsidRPr="00EB7C3C">
              <w:rPr>
                <w:rFonts w:ascii="Verdana" w:hAnsi="Verdana"/>
                <w:b/>
                <w:noProof/>
                <w:color w:val="016794"/>
                <w:sz w:val="18"/>
                <w:szCs w:val="18"/>
              </w:rPr>
              <mc:AlternateContent>
                <mc:Choice Requires="wps">
                  <w:drawing>
                    <wp:inline distT="0" distB="0" distL="0" distR="0" wp14:anchorId="320040A8" wp14:editId="4EBD4599">
                      <wp:extent cx="147600" cy="90000"/>
                      <wp:effectExtent l="0" t="0" r="5080" b="5715"/>
                      <wp:docPr id="29" name="DOC_ASH000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53747" w14:textId="77777777" w:rsidR="00E20707" w:rsidRDefault="00E20707" w:rsidP="00E20707">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w14:anchorId="320040A8" id="_x0000_s1029"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" adj="15015" fillcolor="#4f81bd [3204]" stroked="f" strokeweight="2pt">
                      <v:path arrowok="t"/>
                      <o:lock v:ext="edit" aspectratio="t"/>
                      <v:textbox>
                        <w:txbxContent>
                          <w:p w14:paraId="71D53747" w14:textId="77777777" w:rsidR="00E20707" w:rsidRDefault="00E20707" w:rsidP="00E20707">
                            <w:pPr>
                              <w:jc w:val="center"/>
                            </w:pPr>
                          </w:p>
                        </w:txbxContent>
                      </v:textbox>
                      <w10:anchorlock/>
                    </v:shape>
                  </w:pict>
                </mc:Fallback>
              </mc:AlternateContent>
            </w:r>
            <w:r>
              <w:rPr>
                <w:rFonts w:ascii="Verdana" w:hAnsi="Verdana"/>
                <w:noProof/>
                <w:color w:val="016794"/>
                <w:sz w:val="18"/>
                <w:szCs w:val="18"/>
              </w:rPr>
              <w:t xml:space="preserve"> </w:t>
            </w:r>
            <w:r w:rsidRPr="00C50AA2">
              <w:rPr>
                <w:rFonts w:ascii="Verdana" w:eastAsia="Calibri" w:hAnsi="Verdana"/>
                <w:noProof/>
                <w:color w:val="016794"/>
                <w:sz w:val="18"/>
                <w:szCs w:val="18"/>
                <w:lang w:val="de-DE" w:eastAsia="de-DE"/>
              </w:rPr>
              <w:t xml:space="preserve">see </w:t>
            </w:r>
            <w:r w:rsidR="00EA67AF">
              <w:rPr>
                <w:rFonts w:ascii="Verdana" w:eastAsia="Calibri" w:hAnsi="Verdana"/>
                <w:noProof/>
                <w:color w:val="016794"/>
                <w:sz w:val="18"/>
                <w:szCs w:val="18"/>
                <w:lang w:val="de-DE" w:eastAsia="de-DE"/>
              </w:rPr>
              <w:t>S</w:t>
            </w:r>
            <w:r>
              <w:rPr>
                <w:rFonts w:ascii="Verdana" w:eastAsia="Calibri" w:hAnsi="Verdana"/>
                <w:noProof/>
                <w:color w:val="016794"/>
                <w:sz w:val="18"/>
                <w:szCs w:val="18"/>
                <w:lang w:val="de-DE" w:eastAsia="de-DE"/>
              </w:rPr>
              <w:t xml:space="preserve">ection </w:t>
            </w:r>
            <w:r w:rsidRPr="00C67B3D">
              <w:rPr>
                <w:rFonts w:ascii="Verdana" w:eastAsia="Calibri" w:hAnsi="Verdana"/>
                <w:b/>
                <w:noProof/>
                <w:color w:val="016794"/>
                <w:sz w:val="18"/>
                <w:szCs w:val="18"/>
                <w:lang w:val="de-DE" w:eastAsia="de-DE"/>
              </w:rPr>
              <w:t>3</w:t>
            </w:r>
            <w:r>
              <w:rPr>
                <w:rFonts w:ascii="Verdana" w:eastAsia="Calibri" w:hAnsi="Verdana"/>
                <w:b/>
                <w:noProof/>
                <w:color w:val="016794"/>
                <w:sz w:val="18"/>
                <w:szCs w:val="18"/>
                <w:lang w:val="de-DE" w:eastAsia="de-DE"/>
              </w:rPr>
              <w:t xml:space="preserve">  </w:t>
            </w:r>
            <w:r>
              <w:rPr>
                <w:rFonts w:ascii="Verdana" w:hAnsi="Verdana"/>
                <w:b/>
                <w:noProof/>
                <w:color w:val="016794"/>
                <w:sz w:val="18"/>
                <w:szCs w:val="18"/>
              </w:rPr>
              <w:t xml:space="preserve">   </w:t>
            </w:r>
          </w:p>
        </w:tc>
        <w:tc>
          <w:tcPr>
            <w:tcW w:w="113" w:type="dxa"/>
          </w:tcPr>
          <w:p w14:paraId="2665B290" w14:textId="77777777" w:rsidR="00E20707" w:rsidRPr="00E55C5C" w:rsidRDefault="00E20707" w:rsidP="008C41B3">
            <w:pPr>
              <w:jc w:val="right"/>
              <w:rPr>
                <w:rFonts w:ascii="Verdana" w:hAnsi="Verdana"/>
                <w:b/>
                <w:noProof/>
                <w:color w:val="016794"/>
                <w:sz w:val="8"/>
                <w:szCs w:val="8"/>
                <w:lang w:eastAsia="de-DE"/>
              </w:rPr>
            </w:pPr>
          </w:p>
        </w:tc>
        <w:tc>
          <w:tcPr>
            <w:tcW w:w="4762" w:type="dxa"/>
            <w:shd w:val="clear" w:color="auto" w:fill="DBE5F1" w:themeFill="accent1" w:themeFillTint="33"/>
            <w:vAlign w:val="center"/>
          </w:tcPr>
          <w:p w14:paraId="2680087E" w14:textId="329B07FF" w:rsidR="00E20707" w:rsidRPr="00C50AA2" w:rsidRDefault="00023E71" w:rsidP="008C41B3">
            <w:pPr>
              <w:jc w:val="right"/>
              <w:rPr>
                <w:rFonts w:ascii="Verdana" w:eastAsia="Calibri" w:hAnsi="Verdana"/>
                <w:noProof/>
                <w:color w:val="016794"/>
                <w:sz w:val="18"/>
                <w:szCs w:val="18"/>
                <w:bdr w:val="nil"/>
                <w:lang w:val="de-DE" w:eastAsia="de-DE"/>
              </w:rPr>
            </w:pPr>
            <w:r w:rsidRPr="00C50AA2">
              <w:rPr>
                <w:rFonts w:ascii="Verdana" w:eastAsia="Calibri" w:hAnsi="Verdana"/>
                <w:noProof/>
                <w:color w:val="016794"/>
                <w:sz w:val="18"/>
                <w:szCs w:val="18"/>
                <w:bdr w:val="nil"/>
              </w:rPr>
              <mc:AlternateContent>
                <mc:Choice Requires="wps">
                  <w:drawing>
                    <wp:inline distT="0" distB="0" distL="0" distR="0" wp14:anchorId="4E23CCE2" wp14:editId="4E77CCD2">
                      <wp:extent cx="147600" cy="90000"/>
                      <wp:effectExtent l="0" t="0" r="5080" b="5715"/>
                      <wp:docPr id="4" name="DOC_ASH000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82D3DF" w14:textId="77777777" w:rsidR="00E20707" w:rsidRDefault="00E20707" w:rsidP="00E20707">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w14:anchorId="4E23CCE2" id="_x0000_s1030"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" adj="15015" fillcolor="#4f81bd [3204]" stroked="f" strokeweight="2pt">
                      <v:path arrowok="t"/>
                      <o:lock v:ext="edit" aspectratio="t"/>
                      <v:textbox>
                        <w:txbxContent>
                          <w:p w14:paraId="4782D3DF" w14:textId="77777777" w:rsidR="00E20707" w:rsidRDefault="00E20707" w:rsidP="00E20707">
                            <w:pPr>
                              <w:jc w:val="center"/>
                            </w:pPr>
                          </w:p>
                        </w:txbxContent>
                      </v:textbox>
                      <w10:anchorlock/>
                    </v:shape>
                  </w:pict>
                </mc:Fallback>
              </mc:AlternateContent>
            </w:r>
            <w:r w:rsidRPr="00C50AA2">
              <w:rPr>
                <w:rFonts w:ascii="Verdana" w:eastAsia="Calibri" w:hAnsi="Verdana"/>
                <w:noProof/>
                <w:color w:val="016794"/>
                <w:sz w:val="18"/>
                <w:szCs w:val="18"/>
                <w:lang w:val="de-DE" w:eastAsia="de-DE"/>
              </w:rPr>
              <w:t xml:space="preserve"> see </w:t>
            </w:r>
            <w:r w:rsidR="00EA67AF">
              <w:rPr>
                <w:rFonts w:ascii="Verdana" w:eastAsia="Calibri" w:hAnsi="Verdana"/>
                <w:noProof/>
                <w:color w:val="016794"/>
                <w:sz w:val="18"/>
                <w:szCs w:val="18"/>
                <w:lang w:val="de-DE" w:eastAsia="de-DE"/>
              </w:rPr>
              <w:t>S</w:t>
            </w:r>
            <w:r>
              <w:rPr>
                <w:rFonts w:ascii="Verdana" w:eastAsia="Calibri" w:hAnsi="Verdana"/>
                <w:noProof/>
                <w:color w:val="016794"/>
                <w:sz w:val="18"/>
                <w:szCs w:val="18"/>
                <w:lang w:val="de-DE" w:eastAsia="de-DE"/>
              </w:rPr>
              <w:t xml:space="preserve">ection </w:t>
            </w:r>
            <w:r w:rsidR="00654E97">
              <w:rPr>
                <w:rFonts w:ascii="Verdana" w:eastAsia="Calibri" w:hAnsi="Verdana"/>
                <w:b/>
                <w:bCs/>
                <w:noProof/>
                <w:color w:val="016794"/>
                <w:sz w:val="18"/>
                <w:szCs w:val="18"/>
                <w:lang w:val="de-DE" w:eastAsia="de-DE"/>
              </w:rPr>
              <w:t>5</w:t>
            </w:r>
            <w:r>
              <w:rPr>
                <w:rFonts w:ascii="Verdana" w:eastAsia="Calibri" w:hAnsi="Verdana"/>
                <w:b/>
                <w:noProof/>
                <w:color w:val="016794"/>
                <w:sz w:val="18"/>
                <w:szCs w:val="18"/>
                <w:lang w:val="de-DE" w:eastAsia="de-DE"/>
              </w:rPr>
              <w:t> </w:t>
            </w:r>
          </w:p>
        </w:tc>
      </w:tr>
    </w:tbl>
    <w:p w14:paraId="25986E28" w14:textId="77777777" w:rsidR="00C26492" w:rsidRDefault="00023E71">
      <w:pPr>
        <w:rPr>
          <w:noProof/>
        </w:rPr>
      </w:pPr>
      <w:bookmarkStart w:id="10" w:name="_Toc99107438"/>
      <w:r>
        <w:rPr>
          <w:noProof/>
        </w:rPr>
        <w:br w:type="page"/>
      </w:r>
    </w:p>
    <w:p w14:paraId="46E203BB" w14:textId="77777777" w:rsidR="00803108" w:rsidRPr="00362AC0" w:rsidRDefault="00803108" w:rsidP="00803108">
      <w:pPr>
        <w:pStyle w:val="HEADER1Part4"/>
        <w:rPr>
          <w:noProof/>
        </w:rPr>
      </w:pPr>
      <w:bookmarkStart w:id="11" w:name="_Toc66181038"/>
      <w:bookmarkStart w:id="12" w:name="_Toc66738417"/>
      <w:bookmarkStart w:id="13" w:name="_Toc99107446"/>
      <w:bookmarkStart w:id="14" w:name="_Toc232671718"/>
      <w:bookmarkEnd w:id="10"/>
      <w:r w:rsidRPr="00362AC0">
        <w:rPr>
          <w:noProof/>
        </w:rPr>
        <w:t>SUMMARY OF BUDGET IMPLEMENTATION</w:t>
      </w:r>
      <w:bookmarkEnd w:id="11"/>
      <w:bookmarkEnd w:id="12"/>
      <w:bookmarkEnd w:id="13"/>
      <w:bookmarkEnd w:id="14"/>
      <w:r w:rsidRPr="00362AC0">
        <w:rPr>
          <w:noProof/>
        </w:rPr>
        <w:t xml:space="preserve"> </w:t>
      </w:r>
    </w:p>
    <w:p w14:paraId="67B6053B" w14:textId="77777777" w:rsidR="00803108" w:rsidRPr="00DC59B8" w:rsidRDefault="00803108" w:rsidP="00803108">
      <w:pPr>
        <w:pStyle w:val="HEADER2Part4"/>
      </w:pPr>
      <w:bookmarkStart w:id="15" w:name="_Toc99107447"/>
      <w:bookmarkStart w:id="16" w:name="_Toc232671719"/>
      <w:r w:rsidRPr="00DC59B8">
        <w:t>Revenue</w:t>
      </w:r>
      <w:bookmarkEnd w:id="15"/>
      <w:bookmarkEnd w:id="16"/>
    </w:p>
    <w:p w14:paraId="4CF3A2A4" w14:textId="77777777" w:rsidR="00803108" w:rsidRPr="00035736" w:rsidRDefault="00803108" w:rsidP="00803108">
      <w:pPr>
        <w:pStyle w:val="DGTextstand-alone"/>
        <w:rPr>
          <w:b/>
        </w:rPr>
      </w:pPr>
      <w:r w:rsidRPr="00035736">
        <w:t xml:space="preserve">In the initial adopted EU budget, signed by the President of the European Parliament on </w:t>
      </w:r>
      <w:r>
        <w:t>27</w:t>
      </w:r>
      <w:r w:rsidRPr="00035736">
        <w:t> </w:t>
      </w:r>
      <w:r>
        <w:t>November</w:t>
      </w:r>
      <w:r w:rsidRPr="00035736">
        <w:t> 20</w:t>
      </w:r>
      <w:r>
        <w:t>24</w:t>
      </w:r>
      <w:r w:rsidRPr="00035736">
        <w:t xml:space="preserve">, </w:t>
      </w:r>
      <w:r>
        <w:t xml:space="preserve">total </w:t>
      </w:r>
      <w:r w:rsidRPr="00035736">
        <w:t xml:space="preserve">payment appropriations </w:t>
      </w:r>
      <w:r>
        <w:t>amounted to</w:t>
      </w:r>
      <w:r w:rsidRPr="00035736">
        <w:t xml:space="preserve"> EUR 1</w:t>
      </w:r>
      <w:r>
        <w:t>55</w:t>
      </w:r>
      <w:r w:rsidRPr="00035736">
        <w:t> </w:t>
      </w:r>
      <w:r>
        <w:t>209</w:t>
      </w:r>
      <w:r w:rsidRPr="00035736">
        <w:t> million and the amount to be financed by own resources totalled EUR 1</w:t>
      </w:r>
      <w:r>
        <w:t>51</w:t>
      </w:r>
      <w:r w:rsidRPr="00035736">
        <w:t> </w:t>
      </w:r>
      <w:r>
        <w:t>161</w:t>
      </w:r>
      <w:r w:rsidRPr="00035736">
        <w:t> million. The revenue and expenditure estimates in the initial budget are typically adjusted during the budgetary year</w:t>
      </w:r>
      <w:r>
        <w:t xml:space="preserve"> by way of</w:t>
      </w:r>
      <w:r w:rsidRPr="00035736">
        <w:t xml:space="preserve"> </w:t>
      </w:r>
      <w:r>
        <w:t>a</w:t>
      </w:r>
      <w:r w:rsidRPr="00035736">
        <w:t xml:space="preserve">mending </w:t>
      </w:r>
      <w:r>
        <w:t>b</w:t>
      </w:r>
      <w:r w:rsidRPr="00035736">
        <w:t>udgets. Adjustments in the GNI-based own resources ensure that budgeted revenue matches exactly budgeted expenditure. In accordance with the principle of equilibrium, budget revenue and expenditure (payment appropriations) must be in balance.</w:t>
      </w:r>
    </w:p>
    <w:p w14:paraId="39B3513C" w14:textId="77777777" w:rsidR="00803108" w:rsidRPr="00035736" w:rsidRDefault="00803108" w:rsidP="00803108">
      <w:pPr>
        <w:pStyle w:val="DGTextstand-alone"/>
        <w:rPr>
          <w:b/>
        </w:rPr>
      </w:pPr>
      <w:r w:rsidRPr="006D6344">
        <w:rPr>
          <w:color w:val="000000"/>
        </w:rPr>
        <w:t>During 20</w:t>
      </w:r>
      <w:r>
        <w:rPr>
          <w:color w:val="000000"/>
        </w:rPr>
        <w:t>25</w:t>
      </w:r>
      <w:r w:rsidRPr="006D6344">
        <w:rPr>
          <w:color w:val="000000"/>
        </w:rPr>
        <w:t xml:space="preserve">, </w:t>
      </w:r>
      <w:r>
        <w:rPr>
          <w:color w:val="000000"/>
        </w:rPr>
        <w:t>three</w:t>
      </w:r>
      <w:r w:rsidRPr="006D6344">
        <w:rPr>
          <w:color w:val="000000"/>
        </w:rPr>
        <w:t xml:space="preserve"> amending budgets were adopted. Taking them into account, the final adopted revenue for 20</w:t>
      </w:r>
      <w:r>
        <w:rPr>
          <w:color w:val="000000"/>
        </w:rPr>
        <w:t>25</w:t>
      </w:r>
      <w:r w:rsidRPr="006D6344">
        <w:rPr>
          <w:color w:val="000000"/>
        </w:rPr>
        <w:t xml:space="preserve"> amounted to EUR 1</w:t>
      </w:r>
      <w:r>
        <w:rPr>
          <w:color w:val="000000"/>
        </w:rPr>
        <w:t>61</w:t>
      </w:r>
      <w:r w:rsidRPr="006D6344">
        <w:rPr>
          <w:color w:val="000000"/>
        </w:rPr>
        <w:t> </w:t>
      </w:r>
      <w:r>
        <w:rPr>
          <w:color w:val="000000"/>
        </w:rPr>
        <w:t>163</w:t>
      </w:r>
      <w:r w:rsidRPr="006D6344">
        <w:rPr>
          <w:color w:val="000000"/>
        </w:rPr>
        <w:t> million</w:t>
      </w:r>
      <w:r>
        <w:rPr>
          <w:color w:val="000000"/>
        </w:rPr>
        <w:t xml:space="preserve"> and the total financed by own resources amounted to </w:t>
      </w:r>
      <w:r w:rsidRPr="006D6344">
        <w:rPr>
          <w:color w:val="000000"/>
        </w:rPr>
        <w:t>EUR 1</w:t>
      </w:r>
      <w:r>
        <w:rPr>
          <w:color w:val="000000"/>
        </w:rPr>
        <w:t>54</w:t>
      </w:r>
      <w:r w:rsidRPr="006D6344">
        <w:rPr>
          <w:color w:val="000000"/>
        </w:rPr>
        <w:t> </w:t>
      </w:r>
      <w:r>
        <w:rPr>
          <w:color w:val="000000"/>
        </w:rPr>
        <w:t>322</w:t>
      </w:r>
      <w:r w:rsidRPr="006D6344">
        <w:rPr>
          <w:color w:val="000000"/>
        </w:rPr>
        <w:t xml:space="preserve"> million. </w:t>
      </w:r>
      <w:r>
        <w:rPr>
          <w:color w:val="000000"/>
        </w:rPr>
        <w:t>The main factor driving the increase of</w:t>
      </w:r>
      <w:r w:rsidRPr="006D6344">
        <w:rPr>
          <w:color w:val="000000"/>
        </w:rPr>
        <w:t xml:space="preserve"> Member States' contribution</w:t>
      </w:r>
      <w:r>
        <w:rPr>
          <w:color w:val="000000"/>
        </w:rPr>
        <w:t>s</w:t>
      </w:r>
      <w:r w:rsidRPr="006D6344">
        <w:rPr>
          <w:color w:val="000000"/>
        </w:rPr>
        <w:t xml:space="preserve"> in 20</w:t>
      </w:r>
      <w:r>
        <w:rPr>
          <w:color w:val="000000"/>
        </w:rPr>
        <w:t>25</w:t>
      </w:r>
      <w:r w:rsidRPr="006D6344">
        <w:rPr>
          <w:color w:val="000000"/>
        </w:rPr>
        <w:t xml:space="preserve"> </w:t>
      </w:r>
      <w:r>
        <w:rPr>
          <w:color w:val="000000"/>
        </w:rPr>
        <w:t>was t</w:t>
      </w:r>
      <w:r w:rsidRPr="006D6344">
        <w:rPr>
          <w:color w:val="000000"/>
        </w:rPr>
        <w:t xml:space="preserve">he </w:t>
      </w:r>
      <w:r>
        <w:rPr>
          <w:color w:val="000000"/>
        </w:rPr>
        <w:t>increase of payment appropriations.</w:t>
      </w:r>
    </w:p>
    <w:p w14:paraId="2F40349A" w14:textId="77777777" w:rsidR="00803108" w:rsidRPr="000F1232" w:rsidRDefault="00803108" w:rsidP="00803108">
      <w:pPr>
        <w:pStyle w:val="DGTextstand-alone"/>
        <w:rPr>
          <w:b/>
          <w:bCs/>
        </w:rPr>
      </w:pPr>
      <w:r w:rsidRPr="000F1232">
        <w:rPr>
          <w:b/>
          <w:bCs/>
        </w:rPr>
        <w:t>Title 1 : Own resources</w:t>
      </w:r>
    </w:p>
    <w:p w14:paraId="4D2ECE90" w14:textId="77777777" w:rsidR="00803108" w:rsidRPr="00035736" w:rsidRDefault="00803108" w:rsidP="00803108">
      <w:pPr>
        <w:pStyle w:val="DGTextstand-alone"/>
        <w:rPr>
          <w:b/>
        </w:rPr>
      </w:pPr>
      <w:r>
        <w:t>T</w:t>
      </w:r>
      <w:r w:rsidRPr="00035736">
        <w:t xml:space="preserve">he collection of traditional own resources was </w:t>
      </w:r>
      <w:r>
        <w:t>around 4% above</w:t>
      </w:r>
      <w:r w:rsidRPr="00035736">
        <w:t xml:space="preserve"> the forecast amounts</w:t>
      </w:r>
      <w:r>
        <w:t xml:space="preserve"> in the budget</w:t>
      </w:r>
      <w:r w:rsidRPr="00035736">
        <w:t xml:space="preserve">. </w:t>
      </w:r>
    </w:p>
    <w:p w14:paraId="17B74341" w14:textId="77777777" w:rsidR="00803108" w:rsidRPr="00035736" w:rsidRDefault="00803108" w:rsidP="00803108">
      <w:pPr>
        <w:pStyle w:val="DGTextstand-alone"/>
        <w:rPr>
          <w:b/>
        </w:rPr>
      </w:pPr>
      <w:r w:rsidRPr="00035736">
        <w:t>Member States'</w:t>
      </w:r>
      <w:r>
        <w:t xml:space="preserve"> final</w:t>
      </w:r>
      <w:r w:rsidRPr="00035736">
        <w:t xml:space="preserve"> VAT</w:t>
      </w:r>
      <w:r>
        <w:t>,</w:t>
      </w:r>
      <w:r w:rsidRPr="00035736">
        <w:t xml:space="preserve"> GNI </w:t>
      </w:r>
      <w:r>
        <w:t xml:space="preserve">and Plastics </w:t>
      </w:r>
      <w:r w:rsidRPr="00035736">
        <w:t>payments correspond</w:t>
      </w:r>
      <w:r>
        <w:t>ed</w:t>
      </w:r>
      <w:r w:rsidRPr="00035736">
        <w:t xml:space="preserve"> closely to the final budgetary estimate. The differences between the forecast amounts and the amounts actually paid are due to the differences between the euro rates used for </w:t>
      </w:r>
      <w:r>
        <w:t xml:space="preserve">drawing up the budget </w:t>
      </w:r>
      <w:r w:rsidRPr="00035736">
        <w:t xml:space="preserve">and the rates in force at the time when the Member States outside the </w:t>
      </w:r>
      <w:r>
        <w:t>euro area</w:t>
      </w:r>
      <w:r w:rsidRPr="00035736">
        <w:t xml:space="preserve"> actually made their payments.</w:t>
      </w:r>
    </w:p>
    <w:p w14:paraId="6C9BDF64" w14:textId="77777777" w:rsidR="00803108" w:rsidRPr="000F1232" w:rsidRDefault="00803108" w:rsidP="00803108">
      <w:pPr>
        <w:pStyle w:val="DGTextstand-alone"/>
        <w:rPr>
          <w:b/>
          <w:bCs/>
        </w:rPr>
      </w:pPr>
      <w:r w:rsidRPr="000F1232">
        <w:rPr>
          <w:b/>
          <w:bCs/>
        </w:rPr>
        <w:t>Title 2 : Surpluses, balances and adjustments</w:t>
      </w:r>
    </w:p>
    <w:p w14:paraId="32D5E3CF" w14:textId="77777777" w:rsidR="00803108" w:rsidRDefault="00803108" w:rsidP="00803108">
      <w:pPr>
        <w:pStyle w:val="DGTextstand-alone"/>
      </w:pPr>
      <w:r>
        <w:t xml:space="preserve">The surplus of the previous financial year amounted to EUR 1 345 million. This amount was inscribed in the budget 2025 through an amending budget and the own resources contributions from the Member States was reduced accordingly. </w:t>
      </w:r>
    </w:p>
    <w:p w14:paraId="52914601" w14:textId="77777777" w:rsidR="00803108" w:rsidRDefault="00803108" w:rsidP="00803108">
      <w:pPr>
        <w:pStyle w:val="DGTextstand-alone"/>
      </w:pPr>
      <w:r>
        <w:t>For the VAT and GNI balances, the rules are set out in Article 10b of the Making Available Regulation (Council Regulation (EU, Euratom) No 609/2014). In the case of the Plastics balances the rules are stipulated in Article 9 of the Plastics Making Available Regulation (Council Regulation (EU, Euratom) No 2021/770).</w:t>
      </w:r>
    </w:p>
    <w:p w14:paraId="2A376AFB" w14:textId="77777777" w:rsidR="00803108" w:rsidRDefault="00803108" w:rsidP="00803108">
      <w:pPr>
        <w:pStyle w:val="DGTextstand-alone"/>
      </w:pPr>
      <w:r>
        <w:t>According to these rules the total sum of the balances are calculated in order for the impact on the EU budget to be zero (‘netting system’) and the procedure does not entail a budgetary amendment. The Commission therefore directly requests the Member States to pay the net amounts in accordance with the rules of the Making Available Regulation.</w:t>
      </w:r>
    </w:p>
    <w:p w14:paraId="2B0FF820" w14:textId="77777777" w:rsidR="00803108" w:rsidRPr="000F1232" w:rsidRDefault="00803108" w:rsidP="00803108">
      <w:pPr>
        <w:pStyle w:val="DGTextstand-alone"/>
        <w:rPr>
          <w:b/>
          <w:bCs/>
        </w:rPr>
      </w:pPr>
      <w:r w:rsidRPr="000F1232">
        <w:rPr>
          <w:b/>
          <w:bCs/>
        </w:rPr>
        <w:t>Title 3 : Administrative revenue</w:t>
      </w:r>
    </w:p>
    <w:p w14:paraId="1EAEAE68" w14:textId="77777777" w:rsidR="00803108" w:rsidRDefault="00803108" w:rsidP="00803108">
      <w:pPr>
        <w:pStyle w:val="DGTextstand-alone"/>
      </w:pPr>
      <w:r>
        <w:t>This title comprises mainly revenue from taxes and levies on the remuneration of staff.</w:t>
      </w:r>
    </w:p>
    <w:p w14:paraId="2E6589E6" w14:textId="77777777" w:rsidR="00803108" w:rsidRPr="000F1232" w:rsidRDefault="00803108" w:rsidP="00803108">
      <w:pPr>
        <w:pStyle w:val="DGTextstand-alone"/>
        <w:rPr>
          <w:b/>
          <w:bCs/>
        </w:rPr>
      </w:pPr>
      <w:r w:rsidRPr="000F1232">
        <w:rPr>
          <w:b/>
          <w:bCs/>
        </w:rPr>
        <w:t>Title 4 : Financial revenue, default interest and fines</w:t>
      </w:r>
    </w:p>
    <w:p w14:paraId="0868064A" w14:textId="77777777" w:rsidR="00803108" w:rsidRDefault="00803108" w:rsidP="00803108">
      <w:pPr>
        <w:pStyle w:val="DGTextstand-alone"/>
      </w:pPr>
      <w:r w:rsidRPr="000F1232">
        <w:t>The main part corresponds to the fines in connection with the implementation of the rules on competition.</w:t>
      </w:r>
    </w:p>
    <w:p w14:paraId="19C5EE2C" w14:textId="77777777" w:rsidR="00803108" w:rsidRPr="000F1232" w:rsidRDefault="00803108" w:rsidP="00803108">
      <w:pPr>
        <w:pStyle w:val="DGTextstand-alone"/>
        <w:rPr>
          <w:b/>
          <w:bCs/>
          <w:color w:val="000000"/>
        </w:rPr>
      </w:pPr>
      <w:r w:rsidRPr="000F1232">
        <w:rPr>
          <w:b/>
          <w:bCs/>
          <w:color w:val="000000"/>
        </w:rPr>
        <w:t>Title 5</w:t>
      </w:r>
      <w:r>
        <w:rPr>
          <w:b/>
          <w:bCs/>
          <w:color w:val="000000"/>
        </w:rPr>
        <w:t xml:space="preserve"> </w:t>
      </w:r>
      <w:r w:rsidRPr="000F1232">
        <w:rPr>
          <w:b/>
          <w:bCs/>
          <w:color w:val="000000"/>
        </w:rPr>
        <w:t>: Budgetary guarantees, borrowing and lending operations</w:t>
      </w:r>
    </w:p>
    <w:p w14:paraId="594EC4AE" w14:textId="77777777" w:rsidR="00803108" w:rsidRDefault="00803108" w:rsidP="00803108">
      <w:pPr>
        <w:pStyle w:val="DGTextstand-alone"/>
      </w:pPr>
      <w:r>
        <w:t>This title has increased significantly with the advent of the NGEU. NGEU funds within this title are assigned revenue. Title 5 covers revenue related to guarantees and interest and repayments of loans granted. It also channels funds (for the NGEU non-repayable support under the Recovery and Resilience Facility and for reinforcement of MFF programmes) from assigned revenue that Member States receive under the European Union Recovery Instrument (EURI).</w:t>
      </w:r>
    </w:p>
    <w:p w14:paraId="3DDC37FA" w14:textId="77777777" w:rsidR="00803108" w:rsidRPr="000F1232" w:rsidRDefault="00803108" w:rsidP="00803108">
      <w:pPr>
        <w:pStyle w:val="DGTextstand-alone"/>
        <w:rPr>
          <w:b/>
          <w:bCs/>
          <w:color w:val="000000"/>
        </w:rPr>
      </w:pPr>
      <w:r w:rsidRPr="000F1232">
        <w:rPr>
          <w:b/>
          <w:bCs/>
          <w:color w:val="000000"/>
        </w:rPr>
        <w:t xml:space="preserve">Title 6 : Revenue, contributions and refunds related to Union policies </w:t>
      </w:r>
    </w:p>
    <w:p w14:paraId="445C59D2" w14:textId="77777777" w:rsidR="00803108" w:rsidRPr="00035736" w:rsidRDefault="00803108" w:rsidP="00803108">
      <w:pPr>
        <w:pStyle w:val="DGTextstand-alone"/>
        <w:rPr>
          <w:b/>
        </w:rPr>
      </w:pPr>
      <w:r>
        <w:rPr>
          <w:color w:val="000000"/>
        </w:rPr>
        <w:t xml:space="preserve">This title </w:t>
      </w:r>
      <w:r w:rsidRPr="006D6344">
        <w:rPr>
          <w:color w:val="000000"/>
        </w:rPr>
        <w:t xml:space="preserve">concerns mainly revenue from financial corrections </w:t>
      </w:r>
      <w:r>
        <w:rPr>
          <w:color w:val="000000"/>
        </w:rPr>
        <w:t xml:space="preserve">related to structural and agricultural funds </w:t>
      </w:r>
      <w:r w:rsidRPr="006D6344">
        <w:rPr>
          <w:color w:val="000000"/>
        </w:rPr>
        <w:t>(ESIF, EAGF and EAFRD)</w:t>
      </w:r>
      <w:r>
        <w:rPr>
          <w:color w:val="000000"/>
        </w:rPr>
        <w:t>. It also includes</w:t>
      </w:r>
      <w:r w:rsidRPr="006D6344">
        <w:rPr>
          <w:color w:val="000000"/>
        </w:rPr>
        <w:t xml:space="preserve"> the participation of third countries in research programs</w:t>
      </w:r>
      <w:r>
        <w:rPr>
          <w:color w:val="000000"/>
        </w:rPr>
        <w:t>,</w:t>
      </w:r>
      <w:r w:rsidRPr="006D6344">
        <w:rPr>
          <w:color w:val="000000"/>
        </w:rPr>
        <w:t xml:space="preserve"> </w:t>
      </w:r>
      <w:r>
        <w:rPr>
          <w:color w:val="000000"/>
        </w:rPr>
        <w:t xml:space="preserve">the clearance of accounts in agricultural funds </w:t>
      </w:r>
      <w:r w:rsidRPr="006D6344">
        <w:rPr>
          <w:color w:val="000000"/>
        </w:rPr>
        <w:t xml:space="preserve">and other contributions and refunds to EU programs/activities. A substantial part of this total is made up of </w:t>
      </w:r>
      <w:r>
        <w:rPr>
          <w:color w:val="000000"/>
        </w:rPr>
        <w:t>assigned</w:t>
      </w:r>
      <w:r w:rsidRPr="006D6344">
        <w:rPr>
          <w:color w:val="000000"/>
        </w:rPr>
        <w:t xml:space="preserve"> revenue, which gives rise to the entering of additional appropriations on the expenditure side. </w:t>
      </w:r>
    </w:p>
    <w:p w14:paraId="25EEABA0" w14:textId="77777777" w:rsidR="00803108" w:rsidRDefault="00803108" w:rsidP="00803108">
      <w:pPr>
        <w:pStyle w:val="DGTextstand-alone"/>
      </w:pPr>
      <w:r w:rsidRPr="00E711F6">
        <w:t>Total 202</w:t>
      </w:r>
      <w:r>
        <w:t>5</w:t>
      </w:r>
      <w:r w:rsidRPr="00E711F6">
        <w:t xml:space="preserve"> budget revenue amounted to EUR 224 398 million:</w:t>
      </w:r>
    </w:p>
    <w:p w14:paraId="503AE6E6" w14:textId="77777777" w:rsidR="00803108" w:rsidRPr="0079661B" w:rsidRDefault="00803108" w:rsidP="00803108">
      <w:pPr>
        <w:pStyle w:val="DGTextstand-alone"/>
        <w:jc w:val="center"/>
      </w:pPr>
      <w:r>
        <w:rPr>
          <w:lang w:eastAsia="en-GB"/>
        </w:rPr>
        <w:drawing>
          <wp:inline distT="0" distB="0" distL="0" distR="0" wp14:anchorId="30B76F60" wp14:editId="08388D8B">
            <wp:extent cx="3935730" cy="4724400"/>
            <wp:effectExtent l="0" t="0" r="0" b="0"/>
            <wp:docPr id="487077306" name="Picture 3"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77306" name="Picture 3" descr="A screenshot of a graph&#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3957967" cy="4751093"/>
                    </a:xfrm>
                    <a:prstGeom prst="rect">
                      <a:avLst/>
                    </a:prstGeom>
                    <a:noFill/>
                    <a:ln>
                      <a:noFill/>
                    </a:ln>
                  </pic:spPr>
                </pic:pic>
              </a:graphicData>
            </a:graphic>
          </wp:inline>
        </w:drawing>
      </w:r>
    </w:p>
    <w:p w14:paraId="7EB8F438" w14:textId="77777777" w:rsidR="00803108" w:rsidRPr="00DC59B8" w:rsidRDefault="00803108" w:rsidP="00803108">
      <w:pPr>
        <w:pStyle w:val="HEADER2Part4"/>
      </w:pPr>
      <w:bookmarkStart w:id="17" w:name="_Toc99107448"/>
      <w:bookmarkStart w:id="18" w:name="_Toc232671720"/>
      <w:r w:rsidRPr="00DC59B8">
        <w:t>Expenditure</w:t>
      </w:r>
      <w:bookmarkEnd w:id="17"/>
      <w:bookmarkEnd w:id="18"/>
    </w:p>
    <w:p w14:paraId="187E136A" w14:textId="77777777" w:rsidR="00803108" w:rsidRPr="00371D17" w:rsidRDefault="00803108" w:rsidP="00803108">
      <w:pPr>
        <w:pStyle w:val="HEADER3Part4"/>
        <w:rPr>
          <w:noProof/>
        </w:rPr>
      </w:pPr>
      <w:r w:rsidRPr="00371D17">
        <w:rPr>
          <w:noProof/>
        </w:rPr>
        <w:t>Budget implementation</w:t>
      </w:r>
    </w:p>
    <w:p w14:paraId="37BB81C8" w14:textId="77777777" w:rsidR="00803108" w:rsidRPr="00533BB0" w:rsidRDefault="00803108" w:rsidP="00803108">
      <w:pPr>
        <w:pStyle w:val="DGTextstand-alone"/>
        <w:rPr>
          <w:u w:val="single"/>
        </w:rPr>
      </w:pPr>
      <w:r w:rsidRPr="00533BB0">
        <w:rPr>
          <w:u w:val="single"/>
        </w:rPr>
        <w:t>Adopted budget</w:t>
      </w:r>
    </w:p>
    <w:p w14:paraId="2F6E98F1" w14:textId="77777777" w:rsidR="00803108" w:rsidRDefault="00803108" w:rsidP="00803108">
      <w:pPr>
        <w:pStyle w:val="DGTextstand-alone"/>
      </w:pPr>
      <w:r>
        <w:t>In 2025, the fifth year of the MFF 2021-2027, the final adopted budget amounted to EUR 199.2 billion of commitment appropriations and EUR 161.2 billion of payment appropriations. In addition, EUR 27.1 billion of commitment appropriations were available as assigned revenue, out of which EUR 0.2 billion related to the NGEU, and EUR 1.8 billion of commitment appropriations were carried over from 2024. The payment appropriations related to 2025 assigned revenue amounted to EUR 85.9 billion, out of which EUR 43.8 billion related to the NGEU and EUR 3.9 billion of payment appropriations were carried over from 2024.</w:t>
      </w:r>
    </w:p>
    <w:p w14:paraId="40EE33BC" w14:textId="77777777" w:rsidR="00803108" w:rsidRPr="00533BB0" w:rsidRDefault="00803108" w:rsidP="00803108">
      <w:pPr>
        <w:pStyle w:val="DGTextstand-alone"/>
        <w:rPr>
          <w:u w:val="single"/>
        </w:rPr>
      </w:pPr>
      <w:r w:rsidRPr="00533BB0">
        <w:rPr>
          <w:u w:val="single"/>
        </w:rPr>
        <w:t>Implementation of commitment appropriations</w:t>
      </w:r>
    </w:p>
    <w:p w14:paraId="0D439981" w14:textId="77777777" w:rsidR="00803108" w:rsidRDefault="00803108" w:rsidP="00803108">
      <w:pPr>
        <w:pStyle w:val="DGTextstand-alone"/>
      </w:pPr>
      <w:r>
        <w:t xml:space="preserve">Active monitoring of budget implementation and good cooperation between the European Parliament, the Council and the Commission brought about full implementation of the budget. </w:t>
      </w:r>
    </w:p>
    <w:p w14:paraId="7564940C" w14:textId="17B54E5A" w:rsidR="00CF4E6B" w:rsidRDefault="00803108" w:rsidP="00803108">
      <w:pPr>
        <w:pStyle w:val="DGTextstand-alone"/>
      </w:pPr>
      <w:r>
        <w:t>The implementation of the total commitment appropriations in 2025 amounted to EUR 212.1 billion:</w:t>
      </w:r>
    </w:p>
    <w:p w14:paraId="218B9ADA" w14:textId="77777777" w:rsidR="00CF4E6B" w:rsidRDefault="00CF4E6B">
      <w:pPr>
        <w:rPr>
          <w:rFonts w:ascii="Verdana" w:hAnsi="Verdana"/>
          <w:noProof/>
          <w:sz w:val="18"/>
          <w:szCs w:val="18"/>
          <w:lang w:eastAsia="en-US"/>
        </w:rPr>
      </w:pPr>
      <w:r>
        <w:rPr>
          <w:noProof/>
        </w:rPr>
        <w:br w:type="page"/>
      </w:r>
    </w:p>
    <w:p w14:paraId="2E907451" w14:textId="77777777" w:rsidR="00803108" w:rsidRDefault="00803108" w:rsidP="00803108">
      <w:pPr>
        <w:pStyle w:val="DGTextstand-alonedashesjustified"/>
      </w:pPr>
      <w:r>
        <w:t>EUR 196.1 billion from the final adopted budget;</w:t>
      </w:r>
    </w:p>
    <w:p w14:paraId="76CB06E3" w14:textId="77777777" w:rsidR="00803108" w:rsidRDefault="00803108" w:rsidP="00803108">
      <w:pPr>
        <w:pStyle w:val="DGTextstand-alonedashesjustified"/>
      </w:pPr>
      <w:r>
        <w:t>EUR 1.6 billion from appropriations carried-over or made available again from 2024;</w:t>
      </w:r>
    </w:p>
    <w:p w14:paraId="65D42CE5" w14:textId="77777777" w:rsidR="00803108" w:rsidRDefault="00803108" w:rsidP="00803108">
      <w:pPr>
        <w:pStyle w:val="DGTextstand-alonedashesjustified"/>
      </w:pPr>
      <w:r>
        <w:t>EUR 14.5 billion from appropriations stemming from assigned revenue;</w:t>
      </w:r>
    </w:p>
    <w:p w14:paraId="17CB45E7" w14:textId="77777777" w:rsidR="00803108" w:rsidRPr="002445B4" w:rsidRDefault="00803108" w:rsidP="00803108">
      <w:pPr>
        <w:pStyle w:val="DGTextstand-alone"/>
        <w:spacing w:before="120"/>
        <w:ind w:left="714"/>
      </w:pPr>
      <w:r w:rsidRPr="002445B4">
        <w:t>– of which EUR 39 million from NGEU.</w:t>
      </w:r>
    </w:p>
    <w:p w14:paraId="6C457A4B" w14:textId="77777777" w:rsidR="00803108" w:rsidRPr="00533BB0" w:rsidRDefault="00803108" w:rsidP="00803108">
      <w:pPr>
        <w:pStyle w:val="DGTextstand-alone"/>
        <w:rPr>
          <w:u w:val="single"/>
        </w:rPr>
      </w:pPr>
      <w:r w:rsidRPr="00533BB0">
        <w:rPr>
          <w:u w:val="single"/>
        </w:rPr>
        <w:t xml:space="preserve">Implementation of </w:t>
      </w:r>
      <w:r>
        <w:rPr>
          <w:u w:val="single"/>
        </w:rPr>
        <w:t xml:space="preserve">payment </w:t>
      </w:r>
      <w:r w:rsidRPr="00533BB0">
        <w:rPr>
          <w:u w:val="single"/>
        </w:rPr>
        <w:t>appropriations</w:t>
      </w:r>
    </w:p>
    <w:p w14:paraId="4071851C" w14:textId="77777777" w:rsidR="00803108" w:rsidRDefault="00803108" w:rsidP="00803108">
      <w:pPr>
        <w:pStyle w:val="DGTextstand-alone"/>
      </w:pPr>
      <w:r>
        <w:t>The implementation of the total payment appropriations in 2025 amounted to EUR 216.4 billion:</w:t>
      </w:r>
    </w:p>
    <w:p w14:paraId="5E0C525F" w14:textId="77777777" w:rsidR="00803108" w:rsidRDefault="00803108" w:rsidP="00803108">
      <w:pPr>
        <w:pStyle w:val="DGTextstand-alonedashesjustified"/>
      </w:pPr>
      <w:r>
        <w:t>EUR 155.2 billion from the final adopted budget;</w:t>
      </w:r>
    </w:p>
    <w:p w14:paraId="19C0E021" w14:textId="77777777" w:rsidR="00803108" w:rsidRDefault="00803108" w:rsidP="00803108">
      <w:pPr>
        <w:pStyle w:val="DGTextstand-alonedashesjustified"/>
      </w:pPr>
      <w:r>
        <w:t>EUR 3.6 billion from appropriations carried-over or made available again from 2024;</w:t>
      </w:r>
    </w:p>
    <w:p w14:paraId="17630EC2" w14:textId="77777777" w:rsidR="00803108" w:rsidRDefault="00803108" w:rsidP="00803108">
      <w:pPr>
        <w:pStyle w:val="DGTextstand-alonedashesjustified"/>
      </w:pPr>
      <w:r>
        <w:t>EUR 57.6 billion from appropriations stemming from assigned revenue;</w:t>
      </w:r>
    </w:p>
    <w:p w14:paraId="4E39E7DE" w14:textId="77777777" w:rsidR="00803108" w:rsidRDefault="00803108" w:rsidP="00803108">
      <w:pPr>
        <w:pStyle w:val="DGTextstand-alone"/>
        <w:spacing w:before="120"/>
        <w:ind w:left="714"/>
      </w:pPr>
      <w:r w:rsidRPr="002445B4">
        <w:t>– of which EUR 41.7 billion from NGEU</w:t>
      </w:r>
      <w:r>
        <w:t>.</w:t>
      </w:r>
    </w:p>
    <w:p w14:paraId="1E80FCC1" w14:textId="3FCF038E" w:rsidR="00803108" w:rsidRDefault="00803108" w:rsidP="00803108">
      <w:pPr>
        <w:pStyle w:val="DGTextstand-alone"/>
      </w:pPr>
      <w:r>
        <w:t>In cases allowed by the Financial Regulation</w:t>
      </w:r>
      <w:r w:rsidR="00A83A52">
        <w:rPr>
          <w:rStyle w:val="FootnoteReference"/>
        </w:rPr>
        <w:footnoteReference w:id="3"/>
      </w:r>
      <w:r>
        <w:t xml:space="preserve"> and/or legal bases</w:t>
      </w:r>
      <w:r w:rsidR="008A7CCB">
        <w:t xml:space="preserve"> </w:t>
      </w:r>
      <w:r w:rsidR="008A7CCB" w:rsidRPr="008A7CCB">
        <w:t>of specific programmes</w:t>
      </w:r>
      <w:r>
        <w:t>, the appropriations of the voted budget that were not implemented in 2025 were carried over to 2026: EUR 2.1 billion of commitment appropriations and EUR 6.1 billion of payment appropriations.</w:t>
      </w:r>
    </w:p>
    <w:p w14:paraId="556D2811" w14:textId="77777777" w:rsidR="00803108" w:rsidRDefault="00803108" w:rsidP="00803108">
      <w:pPr>
        <w:pStyle w:val="DGTextstand-alone"/>
      </w:pPr>
      <w:r>
        <w:t>Likewise, EUR 12.4 billion of commitment appropriations of assigned revenue and EUR 28.3 billion of payment appropriations of assigned revenue were carried over to 2026 in accordance with the Financial Regulation.</w:t>
      </w:r>
    </w:p>
    <w:p w14:paraId="57A6F79B" w14:textId="77777777" w:rsidR="00803108" w:rsidRDefault="00803108" w:rsidP="00803108">
      <w:pPr>
        <w:pStyle w:val="DGTextstand-alone"/>
        <w:rPr>
          <w:lang w:val="en-IE"/>
        </w:rPr>
      </w:pPr>
      <w:r>
        <w:t>Total 2025 commitment appropriations implementation per MFF 2021-2027 heading were as shown below:</w:t>
      </w:r>
    </w:p>
    <w:p w14:paraId="3B75D092" w14:textId="77777777" w:rsidR="00803108" w:rsidRPr="00E328D3" w:rsidRDefault="00803108" w:rsidP="00803108">
      <w:pPr>
        <w:pStyle w:val="DGTextstand-alone"/>
        <w:jc w:val="center"/>
        <w:rPr>
          <w:lang w:val="en-IE"/>
        </w:rPr>
      </w:pPr>
      <w:r>
        <w:rPr>
          <w:lang w:eastAsia="en-GB"/>
        </w:rPr>
        <w:drawing>
          <wp:inline distT="0" distB="0" distL="0" distR="0" wp14:anchorId="7C9AD4E6" wp14:editId="5AE67FBA">
            <wp:extent cx="4593771" cy="4958080"/>
            <wp:effectExtent l="0" t="0" r="0" b="0"/>
            <wp:docPr id="324025940"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25940" name="Picture 4" descr="A screenshot of a graph&#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617223" cy="4983392"/>
                    </a:xfrm>
                    <a:prstGeom prst="rect">
                      <a:avLst/>
                    </a:prstGeom>
                    <a:noFill/>
                    <a:ln>
                      <a:noFill/>
                    </a:ln>
                  </pic:spPr>
                </pic:pic>
              </a:graphicData>
            </a:graphic>
          </wp:inline>
        </w:drawing>
      </w:r>
    </w:p>
    <w:p w14:paraId="31CF5405" w14:textId="77777777" w:rsidR="00803108" w:rsidRPr="002926C4" w:rsidRDefault="00803108" w:rsidP="00803108">
      <w:pPr>
        <w:pStyle w:val="DGTextstand-alone"/>
      </w:pPr>
      <w:r w:rsidRPr="002926C4">
        <w:t>The 2025 implementation for all types of appropriations (budget, carry-overs from previous year and assigned revenue) was 93% for commitments and 86% for payments. Implementation rates including the appropriations carried over to 2026 (in accordance with the Financial Regulation and/or legal bases) reached 99.</w:t>
      </w:r>
      <w:r>
        <w:t>5</w:t>
      </w:r>
      <w:r w:rsidRPr="002926C4">
        <w:t>% for commitment appropriations and 100% for payment appropriations of the voted budget for 2025.</w:t>
      </w:r>
    </w:p>
    <w:p w14:paraId="79D71BA1" w14:textId="77777777" w:rsidR="00803108" w:rsidRPr="002926C4" w:rsidRDefault="00803108" w:rsidP="00803108">
      <w:pPr>
        <w:pStyle w:val="DGTextstand-alone"/>
      </w:pPr>
      <w:r w:rsidRPr="002926C4">
        <w:t xml:space="preserve">The NGEU appropriations </w:t>
      </w:r>
      <w:r>
        <w:t xml:space="preserve">for the non-repayable support </w:t>
      </w:r>
      <w:r w:rsidRPr="002926C4">
        <w:t>were inscribed in full in 2021, i.e. EUR 421.1 billion in commitment appropriations. 2023 was the last year for which the related legal commitments could be entered into.</w:t>
      </w:r>
    </w:p>
    <w:p w14:paraId="178AB2CF" w14:textId="22FB8853" w:rsidR="00803108" w:rsidRDefault="00803108" w:rsidP="00803108">
      <w:pPr>
        <w:pStyle w:val="DGTextstand-alone"/>
      </w:pPr>
      <w:r w:rsidRPr="002926C4">
        <w:t xml:space="preserve">In 2025, the NGEU payment appropriations amounted to EUR </w:t>
      </w:r>
      <w:r>
        <w:t>43</w:t>
      </w:r>
      <w:r w:rsidRPr="002926C4">
        <w:t>.</w:t>
      </w:r>
      <w:r>
        <w:t>8</w:t>
      </w:r>
      <w:r w:rsidRPr="002926C4">
        <w:t xml:space="preserve"> billion and the implementation reached 95</w:t>
      </w:r>
      <w:r>
        <w:t>.4</w:t>
      </w:r>
      <w:r w:rsidRPr="002926C4">
        <w:t>%. The remaining amount of EUR 2</w:t>
      </w:r>
      <w:r>
        <w:t>.0</w:t>
      </w:r>
      <w:r w:rsidRPr="002926C4">
        <w:t xml:space="preserve"> billion of payment appropriations was carried over to 202</w:t>
      </w:r>
      <w:r>
        <w:t>6</w:t>
      </w:r>
      <w:r w:rsidRPr="002926C4">
        <w:t>.</w:t>
      </w:r>
    </w:p>
    <w:p w14:paraId="3EFA7A47" w14:textId="77777777" w:rsidR="00803108" w:rsidRPr="00B24746" w:rsidRDefault="00803108" w:rsidP="00803108">
      <w:pPr>
        <w:pStyle w:val="HEADER3Part4"/>
        <w:rPr>
          <w:noProof/>
        </w:rPr>
      </w:pPr>
      <w:r w:rsidRPr="00B24746">
        <w:rPr>
          <w:noProof/>
        </w:rPr>
        <w:t>Commitment appropriations definitively cancelled</w:t>
      </w:r>
    </w:p>
    <w:p w14:paraId="2A31CFC9" w14:textId="77777777" w:rsidR="00803108" w:rsidRPr="00B24746" w:rsidRDefault="00803108" w:rsidP="00803108">
      <w:pPr>
        <w:pStyle w:val="HEADER3Part4"/>
        <w:numPr>
          <w:ilvl w:val="0"/>
          <w:numId w:val="0"/>
        </w:numPr>
        <w:jc w:val="both"/>
        <w:rPr>
          <w:noProof/>
          <w:color w:val="auto"/>
          <w:sz w:val="18"/>
          <w:szCs w:val="18"/>
          <w:lang w:eastAsia="en-US"/>
        </w:rPr>
      </w:pPr>
      <w:r w:rsidRPr="00C51020">
        <w:rPr>
          <w:noProof/>
          <w:color w:val="auto"/>
          <w:sz w:val="18"/>
          <w:szCs w:val="18"/>
          <w:lang w:eastAsia="en-US"/>
        </w:rPr>
        <w:t>Under the Conditionality Regulation, decommitments for a total of EUR 1 078 million (of which EUR 30 million under NGEU) were posted in the course of 2023 on commitments related to Hungary. By the end of 2025, the related commitment appropriations could not be reconstituted and were definitively cancelled.</w:t>
      </w:r>
    </w:p>
    <w:p w14:paraId="53FD0B44" w14:textId="77777777" w:rsidR="00803108" w:rsidRPr="00371D17" w:rsidRDefault="00803108" w:rsidP="00803108">
      <w:pPr>
        <w:pStyle w:val="HEADER3Part4"/>
        <w:rPr>
          <w:noProof/>
        </w:rPr>
      </w:pPr>
      <w:r w:rsidRPr="00371D17">
        <w:rPr>
          <w:noProof/>
        </w:rPr>
        <w:t>Outstanding commitments</w:t>
      </w:r>
    </w:p>
    <w:p w14:paraId="2DA600DA" w14:textId="77777777" w:rsidR="00803108" w:rsidRDefault="00803108" w:rsidP="00803108">
      <w:pPr>
        <w:pStyle w:val="DGTextstand-alone"/>
      </w:pPr>
      <w:r w:rsidRPr="002926C4">
        <w:t>Outstanding commitments (commonly referred to as RAL – reste à liquider), which correspond to amounts committed but not yet paid for, stood at EUR 501.1 billion at the end of 2025. The outstanding commitments decreased as compared to 2024 (by EUR 6.3 billion).</w:t>
      </w:r>
    </w:p>
    <w:p w14:paraId="547B7A2B" w14:textId="77777777" w:rsidR="00803108" w:rsidRDefault="00803108" w:rsidP="00803108">
      <w:pPr>
        <w:pStyle w:val="DGTextstand-alone"/>
      </w:pPr>
      <w:r w:rsidRPr="002926C4">
        <w:t>The main driver of the 2025 decrease of the RAL was the NGEU (non-repayable part) implementation, contributing EUR 124.</w:t>
      </w:r>
      <w:r>
        <w:t>1</w:t>
      </w:r>
      <w:r w:rsidRPr="002926C4">
        <w:t xml:space="preserve"> billion (24.9%) to the total RAL at the end of 2025.</w:t>
      </w:r>
    </w:p>
    <w:p w14:paraId="200AAEB2" w14:textId="77777777" w:rsidR="00803108" w:rsidRPr="00371D17" w:rsidRDefault="00803108" w:rsidP="00803108">
      <w:pPr>
        <w:pStyle w:val="HEADER3Part4"/>
        <w:rPr>
          <w:noProof/>
        </w:rPr>
      </w:pPr>
      <w:r w:rsidRPr="00371D17">
        <w:rPr>
          <w:noProof/>
        </w:rPr>
        <w:t>Budget result</w:t>
      </w:r>
    </w:p>
    <w:p w14:paraId="54DCABCB" w14:textId="77777777" w:rsidR="00803108" w:rsidRPr="000C081A" w:rsidRDefault="00803108" w:rsidP="00803108">
      <w:pPr>
        <w:pStyle w:val="DGTextstand-alone"/>
        <w:spacing w:before="120"/>
      </w:pPr>
      <w:r w:rsidRPr="002926C4">
        <w:t>The budget result (surplus) increased from EUR 1.3 billion in 2024 to EUR 2.1 billion in 2025. The 2025 budget result is mainly impacted by the overimplementation of budgetary revenue on title 4 – Financial revenue, default interest and fines.</w:t>
      </w:r>
      <w:r>
        <w:br w:type="page"/>
      </w:r>
    </w:p>
    <w:p w14:paraId="63C6AA8D" w14:textId="77777777" w:rsidR="004330AD" w:rsidRPr="00362AC0" w:rsidRDefault="00023E71" w:rsidP="00362AC0">
      <w:pPr>
        <w:pStyle w:val="HEADER1Part4"/>
        <w:rPr>
          <w:noProof/>
        </w:rPr>
      </w:pPr>
      <w:bookmarkStart w:id="19" w:name="_Toc232671721"/>
      <w:r w:rsidRPr="00362AC0">
        <w:rPr>
          <w:noProof/>
        </w:rPr>
        <w:t xml:space="preserve">NGEU </w:t>
      </w:r>
      <w:r w:rsidR="00621BE2">
        <w:rPr>
          <w:noProof/>
        </w:rPr>
        <w:t>IMPLEMENTATION</w:t>
      </w:r>
      <w:bookmarkEnd w:id="19"/>
    </w:p>
    <w:p w14:paraId="5789E200" w14:textId="77777777" w:rsidR="003577DA" w:rsidRPr="00DC59B8" w:rsidRDefault="00023E71" w:rsidP="00DC59B8">
      <w:pPr>
        <w:pStyle w:val="HEADER2Part4"/>
      </w:pPr>
      <w:bookmarkStart w:id="20" w:name="_Toc232671722"/>
      <w:r w:rsidRPr="00DC59B8">
        <w:t>Overview</w:t>
      </w:r>
      <w:bookmarkEnd w:id="20"/>
    </w:p>
    <w:p w14:paraId="5FB000BA" w14:textId="77777777" w:rsidR="009226F7" w:rsidRDefault="00023E71" w:rsidP="009226F7">
      <w:pPr>
        <w:pStyle w:val="DGTextstand-alone"/>
      </w:pPr>
      <w:r w:rsidRPr="00957D64">
        <w:t>At the end of 2025, the Commission had disbursed a total of EUR 468.8 billion in financial support. The majority of this amount, EUR 393.4 billion, was disbursed under the RRF (including support for REPowerEU reforms and investments), with EUR 237.5 billion disbursed as non-repayable support and EUR 155.9 billion disbursed as financial loan support. A further EUR 75.4 billion (net of recoveries) was disbursed as MFF payments under existing programmes.</w:t>
      </w:r>
    </w:p>
    <w:p w14:paraId="7E18BA88" w14:textId="77777777" w:rsidR="00AA31A8" w:rsidRPr="00DC59B8" w:rsidRDefault="00023E71" w:rsidP="00DC59B8">
      <w:pPr>
        <w:pStyle w:val="HEADER2Part4"/>
      </w:pPr>
      <w:bookmarkStart w:id="21" w:name="_Toc232671723"/>
      <w:r w:rsidRPr="00DC59B8">
        <w:t>Disbursements of n</w:t>
      </w:r>
      <w:r w:rsidR="00F64584" w:rsidRPr="00DC59B8">
        <w:t>on-repayable support</w:t>
      </w:r>
      <w:r w:rsidR="00116A68" w:rsidRPr="00DC59B8">
        <w:t xml:space="preserve"> </w:t>
      </w:r>
      <w:r>
        <w:t xml:space="preserve">to Member States </w:t>
      </w:r>
      <w:r w:rsidR="00116A68" w:rsidRPr="00DC59B8">
        <w:t>under the RRF</w:t>
      </w:r>
      <w:r w:rsidR="00C85AC1" w:rsidRPr="00DC59B8">
        <w:t xml:space="preserve"> (including </w:t>
      </w:r>
      <w:r w:rsidR="00116A68" w:rsidRPr="00DC59B8">
        <w:t>REPowerEU</w:t>
      </w:r>
      <w:r w:rsidR="00C85AC1" w:rsidRPr="00DC59B8">
        <w:t>)</w:t>
      </w:r>
      <w:bookmarkEnd w:id="21"/>
    </w:p>
    <w:p w14:paraId="15B8E0E1" w14:textId="77777777" w:rsidR="00E20707" w:rsidRDefault="00023E71" w:rsidP="00E20707">
      <w:pPr>
        <w:pStyle w:val="DGTextstand-alone"/>
        <w:spacing w:after="120"/>
      </w:pPr>
      <w:r w:rsidRPr="00957D64">
        <w:t>At the end of 2025, the total non-repayable support approved and legally committed amounted to</w:t>
      </w:r>
      <w:r>
        <w:br/>
      </w:r>
      <w:r w:rsidRPr="00957D64">
        <w:t>EUR 359.9 billion. The total non-repayable support disbursed amounted to EUR 237.5 billion</w:t>
      </w:r>
      <w:r>
        <w:t>:</w:t>
      </w: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2551"/>
        <w:gridCol w:w="2551"/>
        <w:gridCol w:w="2552"/>
      </w:tblGrid>
      <w:tr w:rsidR="00807FFE" w14:paraId="4F478D2F" w14:textId="77777777" w:rsidTr="00C85AC1">
        <w:trPr>
          <w:trHeight w:val="255"/>
          <w:tblHeader/>
          <w:jc w:val="center"/>
        </w:trPr>
        <w:tc>
          <w:tcPr>
            <w:tcW w:w="1984" w:type="dxa"/>
            <w:vAlign w:val="center"/>
          </w:tcPr>
          <w:p w14:paraId="7097D9BF" w14:textId="77777777" w:rsidR="008E6676" w:rsidRPr="00EA4736" w:rsidRDefault="008E6676" w:rsidP="008C41B3">
            <w:pPr>
              <w:pStyle w:val="DGTextstand-alone"/>
              <w:spacing w:before="0" w:after="0"/>
              <w:jc w:val="right"/>
              <w:rPr>
                <w:color w:val="FFFFFF" w:themeColor="background1"/>
                <w:sz w:val="14"/>
                <w:szCs w:val="14"/>
              </w:rPr>
            </w:pPr>
          </w:p>
        </w:tc>
        <w:tc>
          <w:tcPr>
            <w:tcW w:w="2551" w:type="dxa"/>
          </w:tcPr>
          <w:p w14:paraId="0C897591" w14:textId="77777777" w:rsidR="008E6676" w:rsidRPr="00EA4736" w:rsidRDefault="008E6676" w:rsidP="008C41B3">
            <w:pPr>
              <w:pStyle w:val="DGTextstand-alone"/>
              <w:spacing w:before="0" w:after="0"/>
              <w:jc w:val="right"/>
              <w:rPr>
                <w:b/>
                <w:color w:val="FFFFFF" w:themeColor="background1"/>
                <w:sz w:val="14"/>
                <w:szCs w:val="14"/>
              </w:rPr>
            </w:pPr>
          </w:p>
        </w:tc>
        <w:tc>
          <w:tcPr>
            <w:tcW w:w="2551" w:type="dxa"/>
          </w:tcPr>
          <w:p w14:paraId="106FF4D9" w14:textId="77777777" w:rsidR="008E6676" w:rsidRPr="00EA4736" w:rsidRDefault="008E6676" w:rsidP="008C41B3">
            <w:pPr>
              <w:pStyle w:val="DGTextstand-alone"/>
              <w:spacing w:before="0" w:after="0"/>
              <w:jc w:val="right"/>
              <w:rPr>
                <w:i/>
                <w:sz w:val="14"/>
                <w:szCs w:val="14"/>
              </w:rPr>
            </w:pPr>
          </w:p>
        </w:tc>
        <w:tc>
          <w:tcPr>
            <w:tcW w:w="2552" w:type="dxa"/>
            <w:vAlign w:val="center"/>
          </w:tcPr>
          <w:p w14:paraId="3210F303" w14:textId="77777777" w:rsidR="008E6676" w:rsidRPr="00EA4736" w:rsidRDefault="00023E71" w:rsidP="008C41B3">
            <w:pPr>
              <w:pStyle w:val="DGTextstand-alone"/>
              <w:spacing w:before="0" w:after="0"/>
              <w:jc w:val="right"/>
              <w:rPr>
                <w:i/>
                <w:sz w:val="14"/>
                <w:szCs w:val="14"/>
              </w:rPr>
            </w:pPr>
            <w:r w:rsidRPr="00EA4736">
              <w:rPr>
                <w:i/>
                <w:sz w:val="14"/>
                <w:szCs w:val="14"/>
              </w:rPr>
              <w:t>EUR billion</w:t>
            </w:r>
          </w:p>
        </w:tc>
      </w:tr>
      <w:tr w:rsidR="00807FFE" w14:paraId="59132AC2" w14:textId="77777777" w:rsidTr="00C85AC1">
        <w:trPr>
          <w:trHeight w:val="255"/>
          <w:tblHeader/>
          <w:jc w:val="center"/>
        </w:trPr>
        <w:tc>
          <w:tcPr>
            <w:tcW w:w="1984" w:type="dxa"/>
            <w:shd w:val="clear" w:color="auto" w:fill="016794"/>
            <w:vAlign w:val="bottom"/>
          </w:tcPr>
          <w:p w14:paraId="07002EC7" w14:textId="77777777" w:rsidR="008E6676" w:rsidRPr="00EA4736" w:rsidRDefault="00023E71" w:rsidP="008C41B3">
            <w:pPr>
              <w:pStyle w:val="DGTextstand-alone"/>
              <w:spacing w:before="0" w:after="0"/>
              <w:jc w:val="left"/>
              <w:rPr>
                <w:b/>
                <w:color w:val="FFFFFF" w:themeColor="background1"/>
                <w:sz w:val="14"/>
                <w:szCs w:val="14"/>
              </w:rPr>
            </w:pPr>
            <w:r w:rsidRPr="00EA4736">
              <w:rPr>
                <w:b/>
                <w:color w:val="FFFFFF" w:themeColor="background1"/>
                <w:sz w:val="14"/>
                <w:szCs w:val="14"/>
              </w:rPr>
              <w:br/>
              <w:t>Member</w:t>
            </w:r>
            <w:r w:rsidR="00957D64">
              <w:rPr>
                <w:b/>
                <w:color w:val="FFFFFF" w:themeColor="background1"/>
                <w:sz w:val="14"/>
                <w:szCs w:val="14"/>
              </w:rPr>
              <w:t xml:space="preserve"> </w:t>
            </w:r>
            <w:r w:rsidRPr="00EA4736">
              <w:rPr>
                <w:b/>
                <w:color w:val="FFFFFF" w:themeColor="background1"/>
                <w:sz w:val="14"/>
                <w:szCs w:val="14"/>
              </w:rPr>
              <w:t>State</w:t>
            </w:r>
          </w:p>
        </w:tc>
        <w:tc>
          <w:tcPr>
            <w:tcW w:w="2551" w:type="dxa"/>
            <w:shd w:val="clear" w:color="auto" w:fill="016794"/>
            <w:vAlign w:val="bottom"/>
          </w:tcPr>
          <w:p w14:paraId="2D0F2E95" w14:textId="77777777" w:rsidR="008E6676" w:rsidRPr="00EA4736" w:rsidRDefault="00023E71" w:rsidP="008C41B3">
            <w:pPr>
              <w:pStyle w:val="DGTextstand-alone"/>
              <w:spacing w:before="0" w:after="0"/>
              <w:jc w:val="right"/>
              <w:rPr>
                <w:b/>
                <w:color w:val="FFFFFF" w:themeColor="background1"/>
                <w:sz w:val="14"/>
                <w:szCs w:val="14"/>
                <w:lang w:val="en-IE"/>
              </w:rPr>
            </w:pPr>
            <w:r w:rsidRPr="00EA4736">
              <w:rPr>
                <w:b/>
                <w:color w:val="FFFFFF" w:themeColor="background1"/>
                <w:sz w:val="14"/>
                <w:szCs w:val="14"/>
                <w:lang w:val="en-IE"/>
              </w:rPr>
              <w:t>Total</w:t>
            </w:r>
            <w:r w:rsidR="00957D64">
              <w:rPr>
                <w:b/>
                <w:color w:val="FFFFFF" w:themeColor="background1"/>
                <w:sz w:val="14"/>
                <w:szCs w:val="14"/>
                <w:lang w:val="en-IE"/>
              </w:rPr>
              <w:t xml:space="preserve"> </w:t>
            </w:r>
            <w:r>
              <w:rPr>
                <w:b/>
                <w:color w:val="FFFFFF" w:themeColor="background1"/>
                <w:sz w:val="14"/>
                <w:szCs w:val="14"/>
                <w:lang w:val="en-IE"/>
              </w:rPr>
              <w:t>value</w:t>
            </w:r>
            <w:r w:rsidR="00957D64">
              <w:rPr>
                <w:b/>
                <w:color w:val="FFFFFF" w:themeColor="background1"/>
                <w:sz w:val="14"/>
                <w:szCs w:val="14"/>
                <w:lang w:val="en-IE"/>
              </w:rPr>
              <w:br/>
            </w:r>
            <w:r>
              <w:rPr>
                <w:b/>
                <w:color w:val="FFFFFF" w:themeColor="background1"/>
                <w:sz w:val="14"/>
                <w:szCs w:val="14"/>
                <w:lang w:val="en-IE"/>
              </w:rPr>
              <w:t>of</w:t>
            </w:r>
            <w:r w:rsidR="00957D64">
              <w:rPr>
                <w:b/>
                <w:color w:val="FFFFFF" w:themeColor="background1"/>
                <w:sz w:val="14"/>
                <w:szCs w:val="14"/>
                <w:lang w:val="en-IE"/>
              </w:rPr>
              <w:t xml:space="preserve"> </w:t>
            </w:r>
            <w:r w:rsidRPr="00EA4736">
              <w:rPr>
                <w:b/>
                <w:color w:val="FFFFFF" w:themeColor="background1"/>
                <w:sz w:val="14"/>
                <w:szCs w:val="14"/>
                <w:lang w:val="en-IE"/>
              </w:rPr>
              <w:t>grant</w:t>
            </w:r>
            <w:r>
              <w:rPr>
                <w:b/>
                <w:color w:val="FFFFFF" w:themeColor="background1"/>
                <w:sz w:val="14"/>
                <w:szCs w:val="14"/>
                <w:lang w:val="en-IE"/>
              </w:rPr>
              <w:t>s</w:t>
            </w:r>
            <w:r w:rsidR="00957D64">
              <w:rPr>
                <w:b/>
                <w:color w:val="FFFFFF" w:themeColor="background1"/>
                <w:sz w:val="14"/>
                <w:szCs w:val="14"/>
                <w:lang w:val="en-IE"/>
              </w:rPr>
              <w:br/>
              <w:t>31.12.2025</w:t>
            </w:r>
          </w:p>
        </w:tc>
        <w:tc>
          <w:tcPr>
            <w:tcW w:w="2551" w:type="dxa"/>
            <w:shd w:val="clear" w:color="auto" w:fill="016794"/>
            <w:vAlign w:val="bottom"/>
          </w:tcPr>
          <w:p w14:paraId="3A7ADD00" w14:textId="77777777" w:rsidR="008E6676" w:rsidRPr="00EA4736" w:rsidRDefault="00023E71" w:rsidP="008C41B3">
            <w:pPr>
              <w:pStyle w:val="DGTextstand-alone"/>
              <w:spacing w:before="0" w:after="0"/>
              <w:jc w:val="right"/>
              <w:rPr>
                <w:b/>
                <w:bCs/>
                <w:i/>
                <w:iCs/>
                <w:color w:val="FFFFFF" w:themeColor="background1"/>
                <w:sz w:val="14"/>
                <w:szCs w:val="14"/>
              </w:rPr>
            </w:pPr>
            <w:r w:rsidRPr="00C85AC1">
              <w:rPr>
                <w:b/>
                <w:bCs/>
                <w:color w:val="FFFFFF" w:themeColor="background1"/>
                <w:sz w:val="14"/>
                <w:szCs w:val="14"/>
              </w:rPr>
              <w:t>Budgetary</w:t>
            </w:r>
            <w:r w:rsidRPr="00C85AC1">
              <w:rPr>
                <w:b/>
                <w:bCs/>
                <w:color w:val="FFFFFF" w:themeColor="background1"/>
                <w:sz w:val="14"/>
                <w:szCs w:val="14"/>
              </w:rPr>
              <w:br/>
              <w:t>commitments</w:t>
            </w:r>
            <w:r w:rsidRPr="00C85AC1">
              <w:rPr>
                <w:b/>
                <w:bCs/>
                <w:color w:val="FFFFFF" w:themeColor="background1"/>
                <w:sz w:val="14"/>
                <w:szCs w:val="14"/>
              </w:rPr>
              <w:br/>
              <w:t>31.12.202</w:t>
            </w:r>
            <w:r w:rsidR="00957D64">
              <w:rPr>
                <w:b/>
                <w:bCs/>
                <w:color w:val="FFFFFF" w:themeColor="background1"/>
                <w:sz w:val="14"/>
                <w:szCs w:val="14"/>
              </w:rPr>
              <w:t>5</w:t>
            </w:r>
            <w:r w:rsidR="00C85AC1" w:rsidRPr="00C85AC1">
              <w:rPr>
                <w:b/>
                <w:color w:val="FFFFFF" w:themeColor="background1"/>
                <w:sz w:val="14"/>
                <w:szCs w:val="14"/>
                <w:vertAlign w:val="superscript"/>
                <w:lang w:val="en-IE"/>
              </w:rPr>
              <w:t>*</w:t>
            </w:r>
          </w:p>
        </w:tc>
        <w:tc>
          <w:tcPr>
            <w:tcW w:w="2552" w:type="dxa"/>
            <w:shd w:val="clear" w:color="auto" w:fill="016794"/>
            <w:vAlign w:val="bottom"/>
          </w:tcPr>
          <w:p w14:paraId="167D1ECC" w14:textId="77777777" w:rsidR="008E6676" w:rsidRPr="00EA4736" w:rsidRDefault="00023E71" w:rsidP="008C41B3">
            <w:pPr>
              <w:pStyle w:val="DGTextstand-alone"/>
              <w:spacing w:before="0" w:after="0"/>
              <w:jc w:val="right"/>
              <w:rPr>
                <w:b/>
                <w:bCs/>
                <w:color w:val="FFFFFF" w:themeColor="background1"/>
                <w:sz w:val="14"/>
                <w:szCs w:val="14"/>
              </w:rPr>
            </w:pPr>
            <w:r w:rsidRPr="00EA4736">
              <w:rPr>
                <w:b/>
                <w:bCs/>
                <w:color w:val="FFFFFF" w:themeColor="background1"/>
                <w:sz w:val="14"/>
                <w:szCs w:val="14"/>
              </w:rPr>
              <w:t>T</w:t>
            </w:r>
            <w:r>
              <w:rPr>
                <w:b/>
                <w:bCs/>
                <w:color w:val="FFFFFF" w:themeColor="background1"/>
                <w:sz w:val="14"/>
                <w:szCs w:val="14"/>
              </w:rPr>
              <w:t>o</w:t>
            </w:r>
            <w:r w:rsidRPr="00EA4736">
              <w:rPr>
                <w:b/>
                <w:bCs/>
                <w:color w:val="FFFFFF" w:themeColor="background1"/>
                <w:sz w:val="14"/>
                <w:szCs w:val="14"/>
              </w:rPr>
              <w:t xml:space="preserve">tal </w:t>
            </w:r>
            <w:r w:rsidRPr="00EA4736">
              <w:rPr>
                <w:b/>
                <w:bCs/>
                <w:color w:val="FFFFFF" w:themeColor="background1"/>
                <w:sz w:val="14"/>
                <w:szCs w:val="14"/>
              </w:rPr>
              <w:br/>
              <w:t xml:space="preserve">disbursed </w:t>
            </w:r>
            <w:r w:rsidRPr="00EA4736">
              <w:rPr>
                <w:b/>
                <w:bCs/>
                <w:color w:val="FFFFFF" w:themeColor="background1"/>
                <w:sz w:val="14"/>
                <w:szCs w:val="14"/>
              </w:rPr>
              <w:br/>
              <w:t>31.12.202</w:t>
            </w:r>
            <w:r w:rsidR="00957D64">
              <w:rPr>
                <w:b/>
                <w:bCs/>
                <w:color w:val="FFFFFF" w:themeColor="background1"/>
                <w:sz w:val="14"/>
                <w:szCs w:val="14"/>
              </w:rPr>
              <w:t>5</w:t>
            </w:r>
          </w:p>
        </w:tc>
      </w:tr>
      <w:tr w:rsidR="00807FFE" w14:paraId="01AC96E8" w14:textId="77777777">
        <w:trPr>
          <w:trHeight w:val="255"/>
          <w:jc w:val="center"/>
        </w:trPr>
        <w:tc>
          <w:tcPr>
            <w:tcW w:w="1984" w:type="dxa"/>
            <w:vAlign w:val="center"/>
          </w:tcPr>
          <w:p w14:paraId="4F5C4C96"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Austria</w:t>
            </w:r>
          </w:p>
        </w:tc>
        <w:tc>
          <w:tcPr>
            <w:tcW w:w="2551" w:type="dxa"/>
            <w:vAlign w:val="center"/>
          </w:tcPr>
          <w:p w14:paraId="22F2F6DA"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4.0</w:t>
            </w:r>
          </w:p>
        </w:tc>
        <w:tc>
          <w:tcPr>
            <w:tcW w:w="2551" w:type="dxa"/>
            <w:vAlign w:val="bottom"/>
          </w:tcPr>
          <w:p w14:paraId="5DF4D34C"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4.0</w:t>
            </w:r>
          </w:p>
        </w:tc>
        <w:tc>
          <w:tcPr>
            <w:tcW w:w="2552" w:type="dxa"/>
            <w:vAlign w:val="center"/>
          </w:tcPr>
          <w:p w14:paraId="145AFD1A"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3.3</w:t>
            </w:r>
          </w:p>
        </w:tc>
      </w:tr>
      <w:tr w:rsidR="00807FFE" w14:paraId="422BB6BA" w14:textId="77777777">
        <w:trPr>
          <w:trHeight w:val="255"/>
          <w:jc w:val="center"/>
        </w:trPr>
        <w:tc>
          <w:tcPr>
            <w:tcW w:w="1984" w:type="dxa"/>
            <w:vAlign w:val="center"/>
          </w:tcPr>
          <w:p w14:paraId="5525E832"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Belgium</w:t>
            </w:r>
          </w:p>
        </w:tc>
        <w:tc>
          <w:tcPr>
            <w:tcW w:w="2551" w:type="dxa"/>
            <w:vAlign w:val="center"/>
          </w:tcPr>
          <w:p w14:paraId="2A499C8F"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5.0</w:t>
            </w:r>
          </w:p>
        </w:tc>
        <w:tc>
          <w:tcPr>
            <w:tcW w:w="2551" w:type="dxa"/>
            <w:vAlign w:val="bottom"/>
          </w:tcPr>
          <w:p w14:paraId="6507F4FC"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5.0</w:t>
            </w:r>
          </w:p>
        </w:tc>
        <w:tc>
          <w:tcPr>
            <w:tcW w:w="2552" w:type="dxa"/>
            <w:vAlign w:val="center"/>
          </w:tcPr>
          <w:p w14:paraId="7D4E5BFB"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3.0</w:t>
            </w:r>
          </w:p>
        </w:tc>
      </w:tr>
      <w:tr w:rsidR="00807FFE" w14:paraId="0E6E291E" w14:textId="77777777">
        <w:trPr>
          <w:trHeight w:val="255"/>
          <w:jc w:val="center"/>
        </w:trPr>
        <w:tc>
          <w:tcPr>
            <w:tcW w:w="1984" w:type="dxa"/>
            <w:vAlign w:val="center"/>
          </w:tcPr>
          <w:p w14:paraId="220DD1DE"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Bulgaria</w:t>
            </w:r>
          </w:p>
        </w:tc>
        <w:tc>
          <w:tcPr>
            <w:tcW w:w="2551" w:type="dxa"/>
            <w:vAlign w:val="center"/>
          </w:tcPr>
          <w:p w14:paraId="0738F264" w14:textId="77777777" w:rsidR="00957D64" w:rsidRPr="00C85AC1"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6.2</w:t>
            </w:r>
          </w:p>
        </w:tc>
        <w:tc>
          <w:tcPr>
            <w:tcW w:w="2551" w:type="dxa"/>
            <w:vAlign w:val="bottom"/>
          </w:tcPr>
          <w:p w14:paraId="2EB79768"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6.2</w:t>
            </w:r>
          </w:p>
        </w:tc>
        <w:tc>
          <w:tcPr>
            <w:tcW w:w="2552" w:type="dxa"/>
            <w:vAlign w:val="center"/>
          </w:tcPr>
          <w:p w14:paraId="543849A5"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3.3</w:t>
            </w:r>
          </w:p>
        </w:tc>
      </w:tr>
      <w:tr w:rsidR="00807FFE" w14:paraId="5A80BFC3" w14:textId="77777777">
        <w:trPr>
          <w:trHeight w:val="255"/>
          <w:jc w:val="center"/>
        </w:trPr>
        <w:tc>
          <w:tcPr>
            <w:tcW w:w="1984" w:type="dxa"/>
            <w:vAlign w:val="center"/>
          </w:tcPr>
          <w:p w14:paraId="332C2623"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Croatia</w:t>
            </w:r>
          </w:p>
        </w:tc>
        <w:tc>
          <w:tcPr>
            <w:tcW w:w="2551" w:type="dxa"/>
            <w:vAlign w:val="center"/>
          </w:tcPr>
          <w:p w14:paraId="3FBFD612"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5.8</w:t>
            </w:r>
          </w:p>
        </w:tc>
        <w:tc>
          <w:tcPr>
            <w:tcW w:w="2551" w:type="dxa"/>
            <w:vAlign w:val="bottom"/>
          </w:tcPr>
          <w:p w14:paraId="3D8443B6"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5.8</w:t>
            </w:r>
          </w:p>
        </w:tc>
        <w:tc>
          <w:tcPr>
            <w:tcW w:w="2552" w:type="dxa"/>
            <w:vAlign w:val="center"/>
          </w:tcPr>
          <w:p w14:paraId="1626686C"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4.7</w:t>
            </w:r>
          </w:p>
        </w:tc>
      </w:tr>
      <w:tr w:rsidR="00807FFE" w14:paraId="59CB1835" w14:textId="77777777">
        <w:trPr>
          <w:trHeight w:val="255"/>
          <w:jc w:val="center"/>
        </w:trPr>
        <w:tc>
          <w:tcPr>
            <w:tcW w:w="1984" w:type="dxa"/>
            <w:vAlign w:val="center"/>
          </w:tcPr>
          <w:p w14:paraId="18499574"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Cyprus</w:t>
            </w:r>
          </w:p>
        </w:tc>
        <w:tc>
          <w:tcPr>
            <w:tcW w:w="2551" w:type="dxa"/>
            <w:vAlign w:val="center"/>
          </w:tcPr>
          <w:p w14:paraId="59F72F0C"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1.0</w:t>
            </w:r>
          </w:p>
        </w:tc>
        <w:tc>
          <w:tcPr>
            <w:tcW w:w="2551" w:type="dxa"/>
            <w:vAlign w:val="bottom"/>
          </w:tcPr>
          <w:p w14:paraId="7AD4CA21"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1.0</w:t>
            </w:r>
          </w:p>
        </w:tc>
        <w:tc>
          <w:tcPr>
            <w:tcW w:w="2552" w:type="dxa"/>
            <w:vAlign w:val="center"/>
          </w:tcPr>
          <w:p w14:paraId="505B4DF9"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0.5</w:t>
            </w:r>
          </w:p>
        </w:tc>
      </w:tr>
      <w:tr w:rsidR="00807FFE" w14:paraId="1AE0C437" w14:textId="77777777">
        <w:trPr>
          <w:trHeight w:val="255"/>
          <w:jc w:val="center"/>
        </w:trPr>
        <w:tc>
          <w:tcPr>
            <w:tcW w:w="1984" w:type="dxa"/>
            <w:vAlign w:val="center"/>
          </w:tcPr>
          <w:p w14:paraId="5F6C7F6B"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Czechia</w:t>
            </w:r>
          </w:p>
        </w:tc>
        <w:tc>
          <w:tcPr>
            <w:tcW w:w="2551" w:type="dxa"/>
            <w:vAlign w:val="center"/>
          </w:tcPr>
          <w:p w14:paraId="606127BA"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8.4</w:t>
            </w:r>
          </w:p>
        </w:tc>
        <w:tc>
          <w:tcPr>
            <w:tcW w:w="2551" w:type="dxa"/>
            <w:vAlign w:val="bottom"/>
          </w:tcPr>
          <w:p w14:paraId="0A3DEE14"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8.4</w:t>
            </w:r>
          </w:p>
        </w:tc>
        <w:tc>
          <w:tcPr>
            <w:tcW w:w="2552" w:type="dxa"/>
            <w:vAlign w:val="center"/>
          </w:tcPr>
          <w:p w14:paraId="04E33123"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5.9</w:t>
            </w:r>
          </w:p>
        </w:tc>
      </w:tr>
      <w:tr w:rsidR="00807FFE" w14:paraId="22E6741A" w14:textId="77777777">
        <w:trPr>
          <w:trHeight w:val="255"/>
          <w:jc w:val="center"/>
        </w:trPr>
        <w:tc>
          <w:tcPr>
            <w:tcW w:w="1984" w:type="dxa"/>
            <w:vAlign w:val="center"/>
          </w:tcPr>
          <w:p w14:paraId="3BD423CF"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Denmark</w:t>
            </w:r>
          </w:p>
        </w:tc>
        <w:tc>
          <w:tcPr>
            <w:tcW w:w="2551" w:type="dxa"/>
            <w:vAlign w:val="center"/>
          </w:tcPr>
          <w:p w14:paraId="546E8E05"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1.6</w:t>
            </w:r>
          </w:p>
        </w:tc>
        <w:tc>
          <w:tcPr>
            <w:tcW w:w="2551" w:type="dxa"/>
            <w:vAlign w:val="bottom"/>
          </w:tcPr>
          <w:p w14:paraId="304B3D25"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1.6</w:t>
            </w:r>
          </w:p>
        </w:tc>
        <w:tc>
          <w:tcPr>
            <w:tcW w:w="2552" w:type="dxa"/>
            <w:vAlign w:val="center"/>
          </w:tcPr>
          <w:p w14:paraId="51757A6C"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1.1</w:t>
            </w:r>
          </w:p>
        </w:tc>
      </w:tr>
      <w:tr w:rsidR="00807FFE" w14:paraId="751ECE1B" w14:textId="77777777">
        <w:trPr>
          <w:trHeight w:val="255"/>
          <w:jc w:val="center"/>
        </w:trPr>
        <w:tc>
          <w:tcPr>
            <w:tcW w:w="1984" w:type="dxa"/>
            <w:vAlign w:val="center"/>
          </w:tcPr>
          <w:p w14:paraId="7E00CE60"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Estonia</w:t>
            </w:r>
          </w:p>
        </w:tc>
        <w:tc>
          <w:tcPr>
            <w:tcW w:w="2551" w:type="dxa"/>
            <w:vAlign w:val="center"/>
          </w:tcPr>
          <w:p w14:paraId="7FFA3D45"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1.0</w:t>
            </w:r>
          </w:p>
        </w:tc>
        <w:tc>
          <w:tcPr>
            <w:tcW w:w="2551" w:type="dxa"/>
            <w:vAlign w:val="bottom"/>
          </w:tcPr>
          <w:p w14:paraId="3E0D7EC5"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1.0</w:t>
            </w:r>
          </w:p>
        </w:tc>
        <w:tc>
          <w:tcPr>
            <w:tcW w:w="2552" w:type="dxa"/>
            <w:vAlign w:val="center"/>
          </w:tcPr>
          <w:p w14:paraId="26C52B67"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0.6</w:t>
            </w:r>
          </w:p>
        </w:tc>
      </w:tr>
      <w:tr w:rsidR="00807FFE" w14:paraId="6C488BF5" w14:textId="77777777">
        <w:trPr>
          <w:trHeight w:val="255"/>
          <w:jc w:val="center"/>
        </w:trPr>
        <w:tc>
          <w:tcPr>
            <w:tcW w:w="1984" w:type="dxa"/>
            <w:vAlign w:val="center"/>
          </w:tcPr>
          <w:p w14:paraId="39D5CAC9"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Finland</w:t>
            </w:r>
          </w:p>
        </w:tc>
        <w:tc>
          <w:tcPr>
            <w:tcW w:w="2551" w:type="dxa"/>
            <w:vAlign w:val="center"/>
          </w:tcPr>
          <w:p w14:paraId="59D146ED"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1.9</w:t>
            </w:r>
          </w:p>
        </w:tc>
        <w:tc>
          <w:tcPr>
            <w:tcW w:w="2551" w:type="dxa"/>
            <w:vAlign w:val="bottom"/>
          </w:tcPr>
          <w:p w14:paraId="4C9ADDFE"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1.9</w:t>
            </w:r>
          </w:p>
        </w:tc>
        <w:tc>
          <w:tcPr>
            <w:tcW w:w="2552" w:type="dxa"/>
            <w:vAlign w:val="center"/>
          </w:tcPr>
          <w:p w14:paraId="6C4348B0"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1.1</w:t>
            </w:r>
          </w:p>
        </w:tc>
      </w:tr>
      <w:tr w:rsidR="00807FFE" w14:paraId="09E1C181" w14:textId="77777777">
        <w:trPr>
          <w:trHeight w:val="255"/>
          <w:jc w:val="center"/>
        </w:trPr>
        <w:tc>
          <w:tcPr>
            <w:tcW w:w="1984" w:type="dxa"/>
            <w:vAlign w:val="center"/>
          </w:tcPr>
          <w:p w14:paraId="362E384E"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France</w:t>
            </w:r>
          </w:p>
        </w:tc>
        <w:tc>
          <w:tcPr>
            <w:tcW w:w="2551" w:type="dxa"/>
            <w:vAlign w:val="center"/>
          </w:tcPr>
          <w:p w14:paraId="2632DD62"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40.3</w:t>
            </w:r>
          </w:p>
        </w:tc>
        <w:tc>
          <w:tcPr>
            <w:tcW w:w="2551" w:type="dxa"/>
            <w:vAlign w:val="bottom"/>
          </w:tcPr>
          <w:p w14:paraId="0863B24D"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40.3</w:t>
            </w:r>
          </w:p>
        </w:tc>
        <w:tc>
          <w:tcPr>
            <w:tcW w:w="2552" w:type="dxa"/>
            <w:vAlign w:val="center"/>
          </w:tcPr>
          <w:p w14:paraId="73BBE233"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34.1</w:t>
            </w:r>
          </w:p>
        </w:tc>
      </w:tr>
      <w:tr w:rsidR="00807FFE" w14:paraId="604C87AA" w14:textId="77777777">
        <w:trPr>
          <w:trHeight w:val="255"/>
          <w:jc w:val="center"/>
        </w:trPr>
        <w:tc>
          <w:tcPr>
            <w:tcW w:w="1984" w:type="dxa"/>
            <w:vAlign w:val="center"/>
          </w:tcPr>
          <w:p w14:paraId="34C938D2"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Germany</w:t>
            </w:r>
          </w:p>
        </w:tc>
        <w:tc>
          <w:tcPr>
            <w:tcW w:w="2551" w:type="dxa"/>
            <w:vAlign w:val="center"/>
          </w:tcPr>
          <w:p w14:paraId="2695AAA8"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30.3</w:t>
            </w:r>
          </w:p>
        </w:tc>
        <w:tc>
          <w:tcPr>
            <w:tcW w:w="2551" w:type="dxa"/>
            <w:vAlign w:val="bottom"/>
          </w:tcPr>
          <w:p w14:paraId="56C0A4C1"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30.3</w:t>
            </w:r>
          </w:p>
        </w:tc>
        <w:tc>
          <w:tcPr>
            <w:tcW w:w="2552" w:type="dxa"/>
            <w:vAlign w:val="center"/>
          </w:tcPr>
          <w:p w14:paraId="377D6305"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19.8</w:t>
            </w:r>
          </w:p>
        </w:tc>
      </w:tr>
      <w:tr w:rsidR="00807FFE" w14:paraId="37032D86" w14:textId="77777777">
        <w:trPr>
          <w:trHeight w:val="255"/>
          <w:jc w:val="center"/>
        </w:trPr>
        <w:tc>
          <w:tcPr>
            <w:tcW w:w="1984" w:type="dxa"/>
            <w:vAlign w:val="center"/>
          </w:tcPr>
          <w:p w14:paraId="72FD5E38"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Greece</w:t>
            </w:r>
          </w:p>
        </w:tc>
        <w:tc>
          <w:tcPr>
            <w:tcW w:w="2551" w:type="dxa"/>
            <w:vAlign w:val="center"/>
          </w:tcPr>
          <w:p w14:paraId="7D1485E6"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18.2</w:t>
            </w:r>
          </w:p>
        </w:tc>
        <w:tc>
          <w:tcPr>
            <w:tcW w:w="2551" w:type="dxa"/>
            <w:vAlign w:val="bottom"/>
          </w:tcPr>
          <w:p w14:paraId="1761B6A1"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18.2</w:t>
            </w:r>
          </w:p>
        </w:tc>
        <w:tc>
          <w:tcPr>
            <w:tcW w:w="2552" w:type="dxa"/>
            <w:vAlign w:val="center"/>
          </w:tcPr>
          <w:p w14:paraId="1AA7EB86"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12.0</w:t>
            </w:r>
          </w:p>
        </w:tc>
      </w:tr>
      <w:tr w:rsidR="00807FFE" w14:paraId="6B2FABF4" w14:textId="77777777">
        <w:trPr>
          <w:trHeight w:val="255"/>
          <w:jc w:val="center"/>
        </w:trPr>
        <w:tc>
          <w:tcPr>
            <w:tcW w:w="1984" w:type="dxa"/>
            <w:vAlign w:val="center"/>
          </w:tcPr>
          <w:p w14:paraId="0FF65037"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Hungary</w:t>
            </w:r>
          </w:p>
        </w:tc>
        <w:tc>
          <w:tcPr>
            <w:tcW w:w="2551" w:type="dxa"/>
            <w:vAlign w:val="center"/>
          </w:tcPr>
          <w:p w14:paraId="776FFBFC"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6.5</w:t>
            </w:r>
          </w:p>
        </w:tc>
        <w:tc>
          <w:tcPr>
            <w:tcW w:w="2551" w:type="dxa"/>
            <w:vAlign w:val="bottom"/>
          </w:tcPr>
          <w:p w14:paraId="1E22E09E"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6.5</w:t>
            </w:r>
          </w:p>
        </w:tc>
        <w:tc>
          <w:tcPr>
            <w:tcW w:w="2552" w:type="dxa"/>
            <w:vAlign w:val="center"/>
          </w:tcPr>
          <w:p w14:paraId="3B0FE0CB"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0.1</w:t>
            </w:r>
          </w:p>
        </w:tc>
      </w:tr>
      <w:tr w:rsidR="00807FFE" w14:paraId="4546F01F" w14:textId="77777777">
        <w:trPr>
          <w:trHeight w:val="255"/>
          <w:jc w:val="center"/>
        </w:trPr>
        <w:tc>
          <w:tcPr>
            <w:tcW w:w="1984" w:type="dxa"/>
            <w:vAlign w:val="center"/>
          </w:tcPr>
          <w:p w14:paraId="1EE4922C"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Ireland</w:t>
            </w:r>
          </w:p>
        </w:tc>
        <w:tc>
          <w:tcPr>
            <w:tcW w:w="2551" w:type="dxa"/>
            <w:vAlign w:val="center"/>
          </w:tcPr>
          <w:p w14:paraId="41C8766E"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1.2</w:t>
            </w:r>
          </w:p>
        </w:tc>
        <w:tc>
          <w:tcPr>
            <w:tcW w:w="2551" w:type="dxa"/>
            <w:vAlign w:val="bottom"/>
          </w:tcPr>
          <w:p w14:paraId="427428A3"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1.2</w:t>
            </w:r>
          </w:p>
        </w:tc>
        <w:tc>
          <w:tcPr>
            <w:tcW w:w="2552" w:type="dxa"/>
            <w:vAlign w:val="center"/>
          </w:tcPr>
          <w:p w14:paraId="7D47C469"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0.7</w:t>
            </w:r>
          </w:p>
        </w:tc>
      </w:tr>
      <w:tr w:rsidR="00807FFE" w14:paraId="34D50AAE" w14:textId="77777777">
        <w:trPr>
          <w:trHeight w:val="255"/>
          <w:jc w:val="center"/>
        </w:trPr>
        <w:tc>
          <w:tcPr>
            <w:tcW w:w="1984" w:type="dxa"/>
            <w:vAlign w:val="center"/>
          </w:tcPr>
          <w:p w14:paraId="4D76B864"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Italy</w:t>
            </w:r>
          </w:p>
        </w:tc>
        <w:tc>
          <w:tcPr>
            <w:tcW w:w="2551" w:type="dxa"/>
            <w:vAlign w:val="center"/>
          </w:tcPr>
          <w:p w14:paraId="5E8CBA14"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71.8</w:t>
            </w:r>
          </w:p>
        </w:tc>
        <w:tc>
          <w:tcPr>
            <w:tcW w:w="2551" w:type="dxa"/>
            <w:vAlign w:val="bottom"/>
          </w:tcPr>
          <w:p w14:paraId="57CB84BB"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71.8</w:t>
            </w:r>
          </w:p>
        </w:tc>
        <w:tc>
          <w:tcPr>
            <w:tcW w:w="2552" w:type="dxa"/>
            <w:vAlign w:val="center"/>
          </w:tcPr>
          <w:p w14:paraId="35AFD040"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54.1</w:t>
            </w:r>
          </w:p>
        </w:tc>
      </w:tr>
      <w:tr w:rsidR="00807FFE" w14:paraId="69679915" w14:textId="77777777">
        <w:trPr>
          <w:trHeight w:val="255"/>
          <w:jc w:val="center"/>
        </w:trPr>
        <w:tc>
          <w:tcPr>
            <w:tcW w:w="1984" w:type="dxa"/>
            <w:vAlign w:val="center"/>
          </w:tcPr>
          <w:p w14:paraId="6C079079"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Latvia</w:t>
            </w:r>
          </w:p>
        </w:tc>
        <w:tc>
          <w:tcPr>
            <w:tcW w:w="2551" w:type="dxa"/>
            <w:vAlign w:val="center"/>
          </w:tcPr>
          <w:p w14:paraId="793E54EF"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2.0</w:t>
            </w:r>
          </w:p>
        </w:tc>
        <w:tc>
          <w:tcPr>
            <w:tcW w:w="2551" w:type="dxa"/>
            <w:vAlign w:val="bottom"/>
          </w:tcPr>
          <w:p w14:paraId="674D5314"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2.0</w:t>
            </w:r>
          </w:p>
        </w:tc>
        <w:tc>
          <w:tcPr>
            <w:tcW w:w="2552" w:type="dxa"/>
            <w:vAlign w:val="center"/>
          </w:tcPr>
          <w:p w14:paraId="1C7902A8"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1.1</w:t>
            </w:r>
          </w:p>
        </w:tc>
      </w:tr>
      <w:tr w:rsidR="00807FFE" w14:paraId="2E828023" w14:textId="77777777">
        <w:trPr>
          <w:trHeight w:val="255"/>
          <w:jc w:val="center"/>
        </w:trPr>
        <w:tc>
          <w:tcPr>
            <w:tcW w:w="1984" w:type="dxa"/>
            <w:vAlign w:val="center"/>
          </w:tcPr>
          <w:p w14:paraId="4668A15B"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Lithuania</w:t>
            </w:r>
          </w:p>
        </w:tc>
        <w:tc>
          <w:tcPr>
            <w:tcW w:w="2551" w:type="dxa"/>
            <w:vAlign w:val="center"/>
          </w:tcPr>
          <w:p w14:paraId="3702FB06"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2.3</w:t>
            </w:r>
          </w:p>
        </w:tc>
        <w:tc>
          <w:tcPr>
            <w:tcW w:w="2551" w:type="dxa"/>
            <w:vAlign w:val="bottom"/>
          </w:tcPr>
          <w:p w14:paraId="0864DC4A"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2.3</w:t>
            </w:r>
          </w:p>
        </w:tc>
        <w:tc>
          <w:tcPr>
            <w:tcW w:w="2552" w:type="dxa"/>
            <w:vAlign w:val="center"/>
          </w:tcPr>
          <w:p w14:paraId="2063C4D2"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1.1</w:t>
            </w:r>
          </w:p>
        </w:tc>
      </w:tr>
      <w:tr w:rsidR="00807FFE" w14:paraId="322B750B" w14:textId="77777777">
        <w:trPr>
          <w:trHeight w:val="255"/>
          <w:jc w:val="center"/>
        </w:trPr>
        <w:tc>
          <w:tcPr>
            <w:tcW w:w="1984" w:type="dxa"/>
            <w:vAlign w:val="center"/>
          </w:tcPr>
          <w:p w14:paraId="5F7A7C01"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Luxembourg</w:t>
            </w:r>
          </w:p>
        </w:tc>
        <w:tc>
          <w:tcPr>
            <w:tcW w:w="2551" w:type="dxa"/>
            <w:vAlign w:val="center"/>
          </w:tcPr>
          <w:p w14:paraId="78F42287"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0.2</w:t>
            </w:r>
          </w:p>
        </w:tc>
        <w:tc>
          <w:tcPr>
            <w:tcW w:w="2551" w:type="dxa"/>
            <w:vAlign w:val="bottom"/>
          </w:tcPr>
          <w:p w14:paraId="48DD9206"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0.2</w:t>
            </w:r>
          </w:p>
        </w:tc>
        <w:tc>
          <w:tcPr>
            <w:tcW w:w="2552" w:type="dxa"/>
            <w:vAlign w:val="center"/>
          </w:tcPr>
          <w:p w14:paraId="7737C91E"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0.1</w:t>
            </w:r>
          </w:p>
        </w:tc>
      </w:tr>
      <w:tr w:rsidR="00807FFE" w14:paraId="5D4B7F9E" w14:textId="77777777">
        <w:trPr>
          <w:trHeight w:val="255"/>
          <w:jc w:val="center"/>
        </w:trPr>
        <w:tc>
          <w:tcPr>
            <w:tcW w:w="1984" w:type="dxa"/>
            <w:vAlign w:val="center"/>
          </w:tcPr>
          <w:p w14:paraId="4835E543"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Malta</w:t>
            </w:r>
          </w:p>
        </w:tc>
        <w:tc>
          <w:tcPr>
            <w:tcW w:w="2551" w:type="dxa"/>
            <w:vAlign w:val="center"/>
          </w:tcPr>
          <w:p w14:paraId="56A91301"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0.3</w:t>
            </w:r>
          </w:p>
        </w:tc>
        <w:tc>
          <w:tcPr>
            <w:tcW w:w="2551" w:type="dxa"/>
            <w:vAlign w:val="bottom"/>
          </w:tcPr>
          <w:p w14:paraId="2F4AFB22"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0.3</w:t>
            </w:r>
          </w:p>
        </w:tc>
        <w:tc>
          <w:tcPr>
            <w:tcW w:w="2552" w:type="dxa"/>
            <w:vAlign w:val="center"/>
          </w:tcPr>
          <w:p w14:paraId="6A912529"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0.2</w:t>
            </w:r>
          </w:p>
        </w:tc>
      </w:tr>
      <w:tr w:rsidR="00807FFE" w14:paraId="44B7DE38" w14:textId="77777777">
        <w:trPr>
          <w:trHeight w:val="255"/>
          <w:jc w:val="center"/>
        </w:trPr>
        <w:tc>
          <w:tcPr>
            <w:tcW w:w="1984" w:type="dxa"/>
            <w:vAlign w:val="center"/>
          </w:tcPr>
          <w:p w14:paraId="346BB58D"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Netherlands</w:t>
            </w:r>
          </w:p>
        </w:tc>
        <w:tc>
          <w:tcPr>
            <w:tcW w:w="2551" w:type="dxa"/>
            <w:vAlign w:val="center"/>
          </w:tcPr>
          <w:p w14:paraId="2320C44E"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5.4</w:t>
            </w:r>
          </w:p>
        </w:tc>
        <w:tc>
          <w:tcPr>
            <w:tcW w:w="2551" w:type="dxa"/>
            <w:vAlign w:val="bottom"/>
          </w:tcPr>
          <w:p w14:paraId="3B17B542"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5.4</w:t>
            </w:r>
          </w:p>
        </w:tc>
        <w:tc>
          <w:tcPr>
            <w:tcW w:w="2552" w:type="dxa"/>
            <w:vAlign w:val="center"/>
          </w:tcPr>
          <w:p w14:paraId="17918569"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2.5</w:t>
            </w:r>
          </w:p>
        </w:tc>
      </w:tr>
      <w:tr w:rsidR="00807FFE" w14:paraId="6DCC281E" w14:textId="77777777">
        <w:trPr>
          <w:trHeight w:val="255"/>
          <w:jc w:val="center"/>
        </w:trPr>
        <w:tc>
          <w:tcPr>
            <w:tcW w:w="1984" w:type="dxa"/>
            <w:vAlign w:val="center"/>
          </w:tcPr>
          <w:p w14:paraId="5CD4D259"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Poland</w:t>
            </w:r>
          </w:p>
        </w:tc>
        <w:tc>
          <w:tcPr>
            <w:tcW w:w="2551" w:type="dxa"/>
            <w:vAlign w:val="center"/>
          </w:tcPr>
          <w:p w14:paraId="6B968F86"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25.3</w:t>
            </w:r>
          </w:p>
        </w:tc>
        <w:tc>
          <w:tcPr>
            <w:tcW w:w="2551" w:type="dxa"/>
            <w:vAlign w:val="bottom"/>
          </w:tcPr>
          <w:p w14:paraId="0A0CF6CD"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25.3</w:t>
            </w:r>
          </w:p>
        </w:tc>
        <w:tc>
          <w:tcPr>
            <w:tcW w:w="2552" w:type="dxa"/>
            <w:vAlign w:val="center"/>
          </w:tcPr>
          <w:p w14:paraId="2E64D856"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9.5</w:t>
            </w:r>
          </w:p>
        </w:tc>
      </w:tr>
      <w:tr w:rsidR="00807FFE" w14:paraId="79DB9ED5" w14:textId="77777777">
        <w:trPr>
          <w:trHeight w:val="255"/>
          <w:jc w:val="center"/>
        </w:trPr>
        <w:tc>
          <w:tcPr>
            <w:tcW w:w="1984" w:type="dxa"/>
            <w:vAlign w:val="center"/>
          </w:tcPr>
          <w:p w14:paraId="4C2BEEAC"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Portugal</w:t>
            </w:r>
          </w:p>
        </w:tc>
        <w:tc>
          <w:tcPr>
            <w:tcW w:w="2551" w:type="dxa"/>
            <w:vAlign w:val="center"/>
          </w:tcPr>
          <w:p w14:paraId="4C702C5A"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16.3</w:t>
            </w:r>
          </w:p>
        </w:tc>
        <w:tc>
          <w:tcPr>
            <w:tcW w:w="2551" w:type="dxa"/>
            <w:vAlign w:val="bottom"/>
          </w:tcPr>
          <w:p w14:paraId="066259CE"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16.3</w:t>
            </w:r>
          </w:p>
        </w:tc>
        <w:tc>
          <w:tcPr>
            <w:tcW w:w="2552" w:type="dxa"/>
            <w:vAlign w:val="center"/>
          </w:tcPr>
          <w:p w14:paraId="061BF6E7"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10.4</w:t>
            </w:r>
          </w:p>
        </w:tc>
      </w:tr>
      <w:tr w:rsidR="00807FFE" w14:paraId="4F7C7947" w14:textId="77777777">
        <w:trPr>
          <w:trHeight w:val="255"/>
          <w:jc w:val="center"/>
        </w:trPr>
        <w:tc>
          <w:tcPr>
            <w:tcW w:w="1984" w:type="dxa"/>
            <w:vAlign w:val="center"/>
          </w:tcPr>
          <w:p w14:paraId="796943F1"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Romania</w:t>
            </w:r>
          </w:p>
        </w:tc>
        <w:tc>
          <w:tcPr>
            <w:tcW w:w="2551" w:type="dxa"/>
            <w:vAlign w:val="center"/>
          </w:tcPr>
          <w:p w14:paraId="56606A69"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13.6</w:t>
            </w:r>
          </w:p>
        </w:tc>
        <w:tc>
          <w:tcPr>
            <w:tcW w:w="2551" w:type="dxa"/>
            <w:vAlign w:val="bottom"/>
          </w:tcPr>
          <w:p w14:paraId="4BDF33B5"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13.6</w:t>
            </w:r>
          </w:p>
        </w:tc>
        <w:tc>
          <w:tcPr>
            <w:tcW w:w="2552" w:type="dxa"/>
            <w:vAlign w:val="center"/>
          </w:tcPr>
          <w:p w14:paraId="4CCF805E"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6.4</w:t>
            </w:r>
          </w:p>
        </w:tc>
      </w:tr>
      <w:tr w:rsidR="00807FFE" w14:paraId="30924085" w14:textId="77777777">
        <w:trPr>
          <w:trHeight w:val="255"/>
          <w:jc w:val="center"/>
        </w:trPr>
        <w:tc>
          <w:tcPr>
            <w:tcW w:w="1984" w:type="dxa"/>
            <w:vAlign w:val="center"/>
          </w:tcPr>
          <w:p w14:paraId="75457E8B"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Slovakia</w:t>
            </w:r>
          </w:p>
        </w:tc>
        <w:tc>
          <w:tcPr>
            <w:tcW w:w="2551" w:type="dxa"/>
            <w:vAlign w:val="center"/>
          </w:tcPr>
          <w:p w14:paraId="06148DF7"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6.4</w:t>
            </w:r>
          </w:p>
        </w:tc>
        <w:tc>
          <w:tcPr>
            <w:tcW w:w="2551" w:type="dxa"/>
            <w:vAlign w:val="bottom"/>
          </w:tcPr>
          <w:p w14:paraId="5D96ECC2"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6.4</w:t>
            </w:r>
          </w:p>
        </w:tc>
        <w:tc>
          <w:tcPr>
            <w:tcW w:w="2552" w:type="dxa"/>
            <w:vAlign w:val="center"/>
          </w:tcPr>
          <w:p w14:paraId="0205B8E1"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4.0</w:t>
            </w:r>
          </w:p>
        </w:tc>
      </w:tr>
      <w:tr w:rsidR="00807FFE" w14:paraId="2AA5588B" w14:textId="77777777">
        <w:trPr>
          <w:trHeight w:val="255"/>
          <w:jc w:val="center"/>
        </w:trPr>
        <w:tc>
          <w:tcPr>
            <w:tcW w:w="1984" w:type="dxa"/>
            <w:vAlign w:val="center"/>
          </w:tcPr>
          <w:p w14:paraId="75C1EB4F"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Slovenia</w:t>
            </w:r>
          </w:p>
        </w:tc>
        <w:tc>
          <w:tcPr>
            <w:tcW w:w="2551" w:type="dxa"/>
            <w:vAlign w:val="center"/>
          </w:tcPr>
          <w:p w14:paraId="2B6D2100"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1.6</w:t>
            </w:r>
          </w:p>
        </w:tc>
        <w:tc>
          <w:tcPr>
            <w:tcW w:w="2551" w:type="dxa"/>
            <w:vAlign w:val="bottom"/>
          </w:tcPr>
          <w:p w14:paraId="1497B4AD"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1.6</w:t>
            </w:r>
          </w:p>
        </w:tc>
        <w:tc>
          <w:tcPr>
            <w:tcW w:w="2552" w:type="dxa"/>
            <w:vAlign w:val="center"/>
          </w:tcPr>
          <w:p w14:paraId="1AFB02C1"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1.1</w:t>
            </w:r>
          </w:p>
        </w:tc>
      </w:tr>
      <w:tr w:rsidR="00807FFE" w14:paraId="0C45211C" w14:textId="77777777">
        <w:trPr>
          <w:trHeight w:val="255"/>
          <w:jc w:val="center"/>
        </w:trPr>
        <w:tc>
          <w:tcPr>
            <w:tcW w:w="1984" w:type="dxa"/>
            <w:vAlign w:val="center"/>
          </w:tcPr>
          <w:p w14:paraId="24428957"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Spain</w:t>
            </w:r>
          </w:p>
        </w:tc>
        <w:tc>
          <w:tcPr>
            <w:tcW w:w="2551" w:type="dxa"/>
            <w:vAlign w:val="center"/>
          </w:tcPr>
          <w:p w14:paraId="279B94F7"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79.9</w:t>
            </w:r>
          </w:p>
        </w:tc>
        <w:tc>
          <w:tcPr>
            <w:tcW w:w="2551" w:type="dxa"/>
            <w:vAlign w:val="bottom"/>
          </w:tcPr>
          <w:p w14:paraId="16AE90B7"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79.9</w:t>
            </w:r>
          </w:p>
        </w:tc>
        <w:tc>
          <w:tcPr>
            <w:tcW w:w="2552" w:type="dxa"/>
            <w:vAlign w:val="center"/>
          </w:tcPr>
          <w:p w14:paraId="41F26CCF"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55.1</w:t>
            </w:r>
          </w:p>
        </w:tc>
      </w:tr>
      <w:tr w:rsidR="00807FFE" w14:paraId="4C5880AF" w14:textId="77777777">
        <w:trPr>
          <w:trHeight w:val="255"/>
          <w:jc w:val="center"/>
        </w:trPr>
        <w:tc>
          <w:tcPr>
            <w:tcW w:w="1984" w:type="dxa"/>
            <w:tcBorders>
              <w:bottom w:val="single" w:sz="4" w:space="0" w:color="016794"/>
            </w:tcBorders>
            <w:vAlign w:val="center"/>
          </w:tcPr>
          <w:p w14:paraId="5313F5D4" w14:textId="77777777" w:rsidR="00957D64" w:rsidRPr="00EA4736" w:rsidRDefault="00023E71" w:rsidP="00957D64">
            <w:pPr>
              <w:rPr>
                <w:rFonts w:ascii="Verdana" w:hAnsi="Verdana" w:cs="Calibri"/>
                <w:noProof/>
                <w:color w:val="000000"/>
                <w:sz w:val="14"/>
                <w:szCs w:val="14"/>
              </w:rPr>
            </w:pPr>
            <w:r w:rsidRPr="00EA4736">
              <w:rPr>
                <w:rFonts w:ascii="Verdana" w:hAnsi="Verdana" w:cs="Calibri"/>
                <w:noProof/>
                <w:color w:val="000000"/>
                <w:sz w:val="14"/>
                <w:szCs w:val="14"/>
              </w:rPr>
              <w:t>Sweden</w:t>
            </w:r>
          </w:p>
        </w:tc>
        <w:tc>
          <w:tcPr>
            <w:tcW w:w="2551" w:type="dxa"/>
            <w:tcBorders>
              <w:bottom w:val="single" w:sz="4" w:space="0" w:color="016794"/>
            </w:tcBorders>
            <w:vAlign w:val="center"/>
          </w:tcPr>
          <w:p w14:paraId="3FCAAADF" w14:textId="77777777" w:rsidR="00957D64" w:rsidRPr="00C85AC1" w:rsidRDefault="00023E71" w:rsidP="00957D64">
            <w:pPr>
              <w:jc w:val="right"/>
              <w:rPr>
                <w:rFonts w:ascii="Verdana" w:hAnsi="Verdana" w:cs="Calibri"/>
                <w:noProof/>
                <w:color w:val="000000"/>
                <w:sz w:val="14"/>
                <w:szCs w:val="14"/>
              </w:rPr>
            </w:pPr>
            <w:r w:rsidRPr="00C85AC1">
              <w:rPr>
                <w:rFonts w:ascii="Verdana" w:hAnsi="Verdana" w:cs="Calibri"/>
                <w:noProof/>
                <w:color w:val="000000"/>
                <w:sz w:val="14"/>
                <w:szCs w:val="14"/>
              </w:rPr>
              <w:t>3.4</w:t>
            </w:r>
          </w:p>
        </w:tc>
        <w:tc>
          <w:tcPr>
            <w:tcW w:w="2551" w:type="dxa"/>
            <w:tcBorders>
              <w:bottom w:val="single" w:sz="4" w:space="0" w:color="016794"/>
            </w:tcBorders>
            <w:vAlign w:val="bottom"/>
          </w:tcPr>
          <w:p w14:paraId="5D09F338" w14:textId="77777777" w:rsidR="00957D64" w:rsidRPr="00C85AC1" w:rsidRDefault="00023E71" w:rsidP="00957D64">
            <w:pPr>
              <w:jc w:val="right"/>
              <w:rPr>
                <w:rFonts w:ascii="Verdana" w:hAnsi="Verdana" w:cs="Calibri"/>
                <w:noProof/>
                <w:color w:val="000000"/>
                <w:sz w:val="14"/>
                <w:szCs w:val="14"/>
              </w:rPr>
            </w:pPr>
            <w:r w:rsidRPr="00FD681B">
              <w:rPr>
                <w:rFonts w:ascii="Verdana" w:hAnsi="Verdana" w:cs="Calibri"/>
                <w:noProof/>
                <w:color w:val="000000"/>
                <w:sz w:val="14"/>
                <w:szCs w:val="14"/>
              </w:rPr>
              <w:t>3.4</w:t>
            </w:r>
          </w:p>
        </w:tc>
        <w:tc>
          <w:tcPr>
            <w:tcW w:w="2552" w:type="dxa"/>
            <w:tcBorders>
              <w:bottom w:val="single" w:sz="4" w:space="0" w:color="016794"/>
            </w:tcBorders>
            <w:vAlign w:val="center"/>
          </w:tcPr>
          <w:p w14:paraId="61C48CC0" w14:textId="77777777" w:rsidR="00957D64" w:rsidRPr="00C85AC1" w:rsidRDefault="00023E71" w:rsidP="00957D64">
            <w:pPr>
              <w:jc w:val="right"/>
              <w:rPr>
                <w:rFonts w:ascii="Verdana" w:hAnsi="Verdana" w:cs="Calibri"/>
                <w:noProof/>
                <w:color w:val="000000"/>
                <w:sz w:val="14"/>
                <w:szCs w:val="14"/>
              </w:rPr>
            </w:pPr>
            <w:r w:rsidRPr="00B42C1C">
              <w:rPr>
                <w:rFonts w:ascii="Verdana" w:hAnsi="Verdana" w:cs="Calibri"/>
                <w:noProof/>
                <w:color w:val="000000"/>
                <w:sz w:val="14"/>
                <w:szCs w:val="14"/>
              </w:rPr>
              <w:t>1.6</w:t>
            </w:r>
          </w:p>
        </w:tc>
      </w:tr>
      <w:tr w:rsidR="00807FFE" w14:paraId="071B7354" w14:textId="77777777" w:rsidTr="00C85AC1">
        <w:trPr>
          <w:trHeight w:val="255"/>
          <w:jc w:val="center"/>
        </w:trPr>
        <w:tc>
          <w:tcPr>
            <w:tcW w:w="1984" w:type="dxa"/>
            <w:tcBorders>
              <w:top w:val="single" w:sz="4" w:space="0" w:color="016794"/>
              <w:bottom w:val="single" w:sz="4" w:space="0" w:color="016794"/>
            </w:tcBorders>
            <w:vAlign w:val="center"/>
          </w:tcPr>
          <w:p w14:paraId="7A4D98BB" w14:textId="77777777" w:rsidR="00957D64" w:rsidRPr="00EA4736" w:rsidRDefault="00023E71" w:rsidP="00957D64">
            <w:pPr>
              <w:pStyle w:val="DGTextstand-alone"/>
              <w:spacing w:before="0" w:after="0"/>
              <w:jc w:val="left"/>
              <w:rPr>
                <w:b/>
                <w:sz w:val="14"/>
                <w:szCs w:val="14"/>
              </w:rPr>
            </w:pPr>
            <w:r w:rsidRPr="00EA4736">
              <w:rPr>
                <w:b/>
                <w:sz w:val="14"/>
                <w:szCs w:val="14"/>
              </w:rPr>
              <w:t>Total</w:t>
            </w:r>
          </w:p>
        </w:tc>
        <w:tc>
          <w:tcPr>
            <w:tcW w:w="2551" w:type="dxa"/>
            <w:tcBorders>
              <w:top w:val="single" w:sz="4" w:space="0" w:color="016794"/>
              <w:bottom w:val="single" w:sz="4" w:space="0" w:color="016794"/>
            </w:tcBorders>
            <w:vAlign w:val="center"/>
          </w:tcPr>
          <w:p w14:paraId="0DE93200" w14:textId="77777777" w:rsidR="00957D64" w:rsidRPr="00C85AC1" w:rsidRDefault="00023E71" w:rsidP="00957D64">
            <w:pPr>
              <w:jc w:val="right"/>
              <w:rPr>
                <w:rFonts w:ascii="Verdana" w:hAnsi="Verdana" w:cs="Calibri"/>
                <w:b/>
                <w:bCs/>
                <w:noProof/>
                <w:color w:val="000000"/>
                <w:sz w:val="14"/>
                <w:szCs w:val="14"/>
              </w:rPr>
            </w:pPr>
            <w:r>
              <w:rPr>
                <w:rFonts w:ascii="Verdana" w:hAnsi="Verdana" w:cs="Calibri"/>
                <w:b/>
                <w:bCs/>
                <w:noProof/>
                <w:color w:val="000000"/>
                <w:sz w:val="14"/>
                <w:szCs w:val="14"/>
              </w:rPr>
              <w:t>359.9</w:t>
            </w:r>
          </w:p>
        </w:tc>
        <w:tc>
          <w:tcPr>
            <w:tcW w:w="2551" w:type="dxa"/>
            <w:tcBorders>
              <w:top w:val="single" w:sz="4" w:space="0" w:color="016794"/>
              <w:bottom w:val="single" w:sz="4" w:space="0" w:color="016794"/>
            </w:tcBorders>
            <w:vAlign w:val="center"/>
          </w:tcPr>
          <w:p w14:paraId="462FEB6A" w14:textId="77777777" w:rsidR="00957D64" w:rsidRPr="00C85AC1" w:rsidRDefault="00023E71" w:rsidP="00957D64">
            <w:pPr>
              <w:jc w:val="right"/>
              <w:rPr>
                <w:rFonts w:ascii="Verdana" w:hAnsi="Verdana" w:cs="Calibri"/>
                <w:b/>
                <w:bCs/>
                <w:noProof/>
                <w:color w:val="000000"/>
                <w:sz w:val="14"/>
                <w:szCs w:val="14"/>
              </w:rPr>
            </w:pPr>
            <w:r w:rsidRPr="00FD681B">
              <w:rPr>
                <w:rFonts w:ascii="Verdana" w:hAnsi="Verdana" w:cs="Calibri"/>
                <w:b/>
                <w:bCs/>
                <w:noProof/>
                <w:color w:val="000000"/>
                <w:sz w:val="14"/>
                <w:szCs w:val="14"/>
              </w:rPr>
              <w:t>359.9</w:t>
            </w:r>
          </w:p>
        </w:tc>
        <w:tc>
          <w:tcPr>
            <w:tcW w:w="2552" w:type="dxa"/>
            <w:tcBorders>
              <w:top w:val="single" w:sz="4" w:space="0" w:color="016794"/>
              <w:bottom w:val="single" w:sz="4" w:space="0" w:color="016794"/>
            </w:tcBorders>
            <w:vAlign w:val="center"/>
          </w:tcPr>
          <w:p w14:paraId="37670AF0" w14:textId="77777777" w:rsidR="00957D64" w:rsidRPr="00C85AC1" w:rsidRDefault="00023E71" w:rsidP="00957D64">
            <w:pPr>
              <w:jc w:val="right"/>
              <w:rPr>
                <w:rFonts w:ascii="Verdana" w:hAnsi="Verdana" w:cs="Calibri"/>
                <w:b/>
                <w:bCs/>
                <w:noProof/>
                <w:color w:val="000000"/>
                <w:sz w:val="14"/>
                <w:szCs w:val="14"/>
              </w:rPr>
            </w:pPr>
            <w:r w:rsidRPr="00FD681B">
              <w:rPr>
                <w:rFonts w:ascii="Verdana" w:hAnsi="Verdana" w:cs="Calibri"/>
                <w:b/>
                <w:bCs/>
                <w:noProof/>
                <w:color w:val="000000"/>
                <w:sz w:val="14"/>
                <w:szCs w:val="14"/>
              </w:rPr>
              <w:t>237.5</w:t>
            </w:r>
          </w:p>
        </w:tc>
      </w:tr>
      <w:tr w:rsidR="00807FFE" w14:paraId="5CA0AFEE" w14:textId="77777777" w:rsidTr="00C85AC1">
        <w:trPr>
          <w:trHeight w:val="454"/>
          <w:jc w:val="center"/>
        </w:trPr>
        <w:tc>
          <w:tcPr>
            <w:tcW w:w="9638" w:type="dxa"/>
            <w:gridSpan w:val="4"/>
          </w:tcPr>
          <w:p w14:paraId="432424B3" w14:textId="77777777" w:rsidR="00E20707" w:rsidRPr="007C181E" w:rsidRDefault="00023E71" w:rsidP="007C181E">
            <w:pPr>
              <w:tabs>
                <w:tab w:val="left" w:pos="85"/>
              </w:tabs>
              <w:spacing w:before="60"/>
              <w:ind w:left="85" w:hanging="85"/>
              <w:jc w:val="both"/>
              <w:rPr>
                <w:rFonts w:ascii="Verdana" w:hAnsi="Verdana"/>
                <w:i/>
                <w:noProof/>
                <w:color w:val="000000" w:themeColor="text1"/>
                <w:sz w:val="14"/>
                <w:szCs w:val="14"/>
                <w:vertAlign w:val="superscript"/>
              </w:rPr>
            </w:pPr>
            <w:r w:rsidRPr="007C181E">
              <w:rPr>
                <w:rFonts w:ascii="Verdana" w:hAnsi="Verdana"/>
                <w:i/>
                <w:noProof/>
                <w:color w:val="000000" w:themeColor="text1"/>
                <w:sz w:val="14"/>
                <w:szCs w:val="14"/>
                <w:vertAlign w:val="superscript"/>
              </w:rPr>
              <w:t>*</w:t>
            </w:r>
            <w:r w:rsidR="002542EA" w:rsidRPr="007C181E">
              <w:rPr>
                <w:rFonts w:ascii="Verdana" w:hAnsi="Verdana"/>
                <w:i/>
                <w:noProof/>
                <w:color w:val="000000" w:themeColor="text1"/>
                <w:sz w:val="14"/>
                <w:szCs w:val="14"/>
                <w:vertAlign w:val="superscript"/>
              </w:rPr>
              <w:tab/>
            </w:r>
            <w:r w:rsidR="00957D64" w:rsidRPr="007C181E">
              <w:rPr>
                <w:rFonts w:ascii="Verdana" w:hAnsi="Verdana"/>
                <w:i/>
                <w:noProof/>
                <w:color w:val="000000" w:themeColor="text1"/>
                <w:sz w:val="14"/>
                <w:szCs w:val="14"/>
              </w:rPr>
              <w:t>Budgetary commitments take into account all decommitments including those related to commitments made before 2025. Of the total budgetary commitments, EUR 1.0 billion was committed in 2025.</w:t>
            </w:r>
          </w:p>
        </w:tc>
      </w:tr>
    </w:tbl>
    <w:p w14:paraId="1B8A338D" w14:textId="77777777" w:rsidR="00C85AC1" w:rsidRDefault="00023E71" w:rsidP="00F207CF">
      <w:pPr>
        <w:pStyle w:val="DGTextstand-alone"/>
        <w:spacing w:after="120"/>
      </w:pPr>
      <w:r w:rsidRPr="00957D64">
        <w:t>During 2025, the Commission disbursed non-repayable support totalling EUR 40.1 billion. The main disbursement</w:t>
      </w:r>
      <w:r w:rsidR="000B1B7C">
        <w:t xml:space="preserve">s were to </w:t>
      </w:r>
      <w:r w:rsidRPr="00957D64">
        <w:t>Italy</w:t>
      </w:r>
      <w:r w:rsidR="000B1B7C">
        <w:t xml:space="preserve"> </w:t>
      </w:r>
      <w:r w:rsidRPr="00957D64">
        <w:t>(EUR 7.6 billion)</w:t>
      </w:r>
      <w:r w:rsidR="000B1B7C">
        <w:t xml:space="preserve"> and</w:t>
      </w:r>
      <w:r w:rsidRPr="00957D64">
        <w:t xml:space="preserve"> </w:t>
      </w:r>
      <w:r>
        <w:t>Spain (EUR 7.1 billion)</w:t>
      </w:r>
      <w:r w:rsidR="000B1B7C">
        <w:t>,</w:t>
      </w:r>
      <w:r>
        <w:t xml:space="preserve"> </w:t>
      </w:r>
      <w:r w:rsidRPr="00957D64">
        <w:t>followed by Greece (EUR 3.5 billion) and France (EUR 3.3 billion).</w:t>
      </w:r>
    </w:p>
    <w:p w14:paraId="1FE865E4" w14:textId="77777777" w:rsidR="00C85AC1" w:rsidRDefault="00023E71">
      <w:pPr>
        <w:rPr>
          <w:rFonts w:ascii="Verdana" w:hAnsi="Verdana"/>
          <w:noProof/>
          <w:sz w:val="18"/>
          <w:szCs w:val="18"/>
          <w:lang w:eastAsia="en-US"/>
        </w:rPr>
      </w:pPr>
      <w:r>
        <w:rPr>
          <w:noProof/>
        </w:rPr>
        <w:br w:type="page"/>
      </w:r>
    </w:p>
    <w:p w14:paraId="3199A21D" w14:textId="77777777" w:rsidR="00AA31A8" w:rsidRPr="00DC59B8" w:rsidRDefault="00023E71" w:rsidP="00DC59B8">
      <w:pPr>
        <w:pStyle w:val="HEADER2Part4"/>
      </w:pPr>
      <w:bookmarkStart w:id="22" w:name="_Toc232671724"/>
      <w:r w:rsidRPr="00DC59B8">
        <w:t>Disbursements of l</w:t>
      </w:r>
      <w:r w:rsidR="00F64584" w:rsidRPr="00DC59B8">
        <w:t>oans</w:t>
      </w:r>
      <w:r w:rsidR="00116A68" w:rsidRPr="00DC59B8">
        <w:t xml:space="preserve"> under the RRF</w:t>
      </w:r>
      <w:r w:rsidRPr="00DC59B8">
        <w:br/>
      </w:r>
      <w:r w:rsidR="00C85AC1" w:rsidRPr="00DC59B8">
        <w:t xml:space="preserve">(including </w:t>
      </w:r>
      <w:r w:rsidR="00116A68" w:rsidRPr="00DC59B8">
        <w:t>REPowerEU</w:t>
      </w:r>
      <w:r w:rsidR="00C85AC1" w:rsidRPr="00DC59B8">
        <w:t>)</w:t>
      </w:r>
      <w:bookmarkEnd w:id="22"/>
    </w:p>
    <w:p w14:paraId="6DECF48B" w14:textId="77777777" w:rsidR="00E20707" w:rsidRDefault="00023E71" w:rsidP="00E20707">
      <w:pPr>
        <w:pStyle w:val="DGTextstand-alone"/>
        <w:spacing w:after="120"/>
      </w:pPr>
      <w:r w:rsidRPr="00957D64">
        <w:t>At the end of 2025, the total financial loan support approved and covered by signed loan agreements amounted to EUR 277.2 billion. The total financial loan support disbursed amounted to EUR 155.9 billion:</w:t>
      </w:r>
    </w:p>
    <w:tbl>
      <w:tblPr>
        <w:tblStyle w:val="TableGrid"/>
        <w:tblW w:w="96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587"/>
        <w:gridCol w:w="1587"/>
        <w:gridCol w:w="1587"/>
        <w:gridCol w:w="1587"/>
        <w:gridCol w:w="1587"/>
      </w:tblGrid>
      <w:tr w:rsidR="00807FFE" w14:paraId="57BB03BC" w14:textId="77777777" w:rsidTr="00BF139E">
        <w:trPr>
          <w:trHeight w:val="255"/>
          <w:tblHeader/>
          <w:jc w:val="center"/>
        </w:trPr>
        <w:tc>
          <w:tcPr>
            <w:tcW w:w="1701" w:type="dxa"/>
            <w:vAlign w:val="bottom"/>
          </w:tcPr>
          <w:p w14:paraId="366E79AC" w14:textId="77777777" w:rsidR="00B30E0F" w:rsidRDefault="00B30E0F" w:rsidP="00B30E0F">
            <w:pPr>
              <w:pStyle w:val="DGTextstand-alone"/>
              <w:spacing w:before="0" w:after="0"/>
              <w:jc w:val="left"/>
              <w:rPr>
                <w:b/>
                <w:color w:val="FFFFFF" w:themeColor="background1"/>
                <w:sz w:val="14"/>
                <w:szCs w:val="14"/>
              </w:rPr>
            </w:pPr>
            <w:bookmarkStart w:id="23" w:name="_Hlk162193631"/>
          </w:p>
        </w:tc>
        <w:tc>
          <w:tcPr>
            <w:tcW w:w="1587" w:type="dxa"/>
            <w:vAlign w:val="bottom"/>
          </w:tcPr>
          <w:p w14:paraId="473E9B05" w14:textId="77777777" w:rsidR="00B30E0F" w:rsidRDefault="00B30E0F" w:rsidP="00B30E0F">
            <w:pPr>
              <w:pStyle w:val="DGTextstand-alone"/>
              <w:spacing w:before="0" w:after="0"/>
              <w:jc w:val="right"/>
              <w:rPr>
                <w:b/>
                <w:bCs/>
                <w:color w:val="FFFFFF" w:themeColor="background1"/>
                <w:sz w:val="14"/>
                <w:szCs w:val="14"/>
              </w:rPr>
            </w:pPr>
          </w:p>
        </w:tc>
        <w:tc>
          <w:tcPr>
            <w:tcW w:w="1587" w:type="dxa"/>
            <w:vAlign w:val="bottom"/>
          </w:tcPr>
          <w:p w14:paraId="47CDD8FF" w14:textId="77777777" w:rsidR="00B30E0F" w:rsidRDefault="00B30E0F" w:rsidP="00B30E0F">
            <w:pPr>
              <w:pStyle w:val="DGTextstand-alone"/>
              <w:spacing w:before="0" w:after="0"/>
              <w:jc w:val="right"/>
              <w:rPr>
                <w:b/>
                <w:color w:val="FFFFFF" w:themeColor="background1"/>
                <w:sz w:val="14"/>
                <w:szCs w:val="14"/>
              </w:rPr>
            </w:pPr>
          </w:p>
        </w:tc>
        <w:tc>
          <w:tcPr>
            <w:tcW w:w="1587" w:type="dxa"/>
            <w:vAlign w:val="bottom"/>
          </w:tcPr>
          <w:p w14:paraId="3F0A81BC" w14:textId="77777777" w:rsidR="00B30E0F" w:rsidRPr="00EA4736" w:rsidRDefault="00B30E0F" w:rsidP="00B30E0F">
            <w:pPr>
              <w:pStyle w:val="DGTextstand-alone"/>
              <w:spacing w:before="0" w:after="0"/>
              <w:jc w:val="right"/>
              <w:rPr>
                <w:i/>
                <w:sz w:val="14"/>
                <w:szCs w:val="14"/>
              </w:rPr>
            </w:pPr>
          </w:p>
        </w:tc>
        <w:tc>
          <w:tcPr>
            <w:tcW w:w="1587" w:type="dxa"/>
            <w:vAlign w:val="bottom"/>
          </w:tcPr>
          <w:p w14:paraId="111FCDA2" w14:textId="77777777" w:rsidR="00B30E0F" w:rsidRPr="00EA4736" w:rsidRDefault="00B30E0F" w:rsidP="00B30E0F">
            <w:pPr>
              <w:pStyle w:val="DGTextstand-alone"/>
              <w:spacing w:before="0" w:after="0"/>
              <w:jc w:val="right"/>
              <w:rPr>
                <w:i/>
                <w:sz w:val="14"/>
                <w:szCs w:val="14"/>
              </w:rPr>
            </w:pPr>
          </w:p>
        </w:tc>
        <w:tc>
          <w:tcPr>
            <w:tcW w:w="1587" w:type="dxa"/>
            <w:vAlign w:val="bottom"/>
          </w:tcPr>
          <w:p w14:paraId="0C208C82" w14:textId="77777777" w:rsidR="00B30E0F" w:rsidRDefault="00023E71" w:rsidP="00B30E0F">
            <w:pPr>
              <w:pStyle w:val="DGTextstand-alone"/>
              <w:spacing w:before="0" w:after="0"/>
              <w:jc w:val="right"/>
              <w:rPr>
                <w:b/>
                <w:color w:val="FFFFFF" w:themeColor="background1"/>
                <w:sz w:val="14"/>
                <w:szCs w:val="14"/>
              </w:rPr>
            </w:pPr>
            <w:r w:rsidRPr="00EA4736">
              <w:rPr>
                <w:i/>
                <w:sz w:val="14"/>
                <w:szCs w:val="14"/>
              </w:rPr>
              <w:t>EUR billion</w:t>
            </w:r>
          </w:p>
        </w:tc>
      </w:tr>
      <w:bookmarkEnd w:id="23"/>
      <w:tr w:rsidR="00807FFE" w14:paraId="2DE3C853" w14:textId="77777777">
        <w:trPr>
          <w:trHeight w:val="255"/>
          <w:tblHeader/>
          <w:jc w:val="center"/>
        </w:trPr>
        <w:tc>
          <w:tcPr>
            <w:tcW w:w="1701" w:type="dxa"/>
            <w:shd w:val="clear" w:color="auto" w:fill="016794"/>
            <w:vAlign w:val="bottom"/>
            <w:hideMark/>
          </w:tcPr>
          <w:p w14:paraId="3C8B1917" w14:textId="77777777" w:rsidR="00B30E0F" w:rsidRDefault="00023E71" w:rsidP="00B30E0F">
            <w:pPr>
              <w:pStyle w:val="DGTextstand-alone"/>
              <w:spacing w:before="0" w:after="0"/>
              <w:jc w:val="left"/>
              <w:rPr>
                <w:b/>
                <w:color w:val="FFFFFF" w:themeColor="background1"/>
                <w:sz w:val="14"/>
                <w:szCs w:val="14"/>
              </w:rPr>
            </w:pPr>
            <w:r>
              <w:rPr>
                <w:b/>
                <w:color w:val="FFFFFF" w:themeColor="background1"/>
                <w:sz w:val="14"/>
                <w:szCs w:val="14"/>
              </w:rPr>
              <w:br/>
              <w:t>Member</w:t>
            </w:r>
            <w:r w:rsidR="00957D64">
              <w:rPr>
                <w:b/>
                <w:color w:val="FFFFFF" w:themeColor="background1"/>
                <w:sz w:val="14"/>
                <w:szCs w:val="14"/>
              </w:rPr>
              <w:t xml:space="preserve"> </w:t>
            </w:r>
            <w:r>
              <w:rPr>
                <w:b/>
                <w:color w:val="FFFFFF" w:themeColor="background1"/>
                <w:sz w:val="14"/>
                <w:szCs w:val="14"/>
              </w:rPr>
              <w:t>State</w:t>
            </w:r>
          </w:p>
        </w:tc>
        <w:tc>
          <w:tcPr>
            <w:tcW w:w="1587" w:type="dxa"/>
            <w:shd w:val="clear" w:color="auto" w:fill="016794"/>
            <w:vAlign w:val="bottom"/>
            <w:hideMark/>
          </w:tcPr>
          <w:p w14:paraId="3F4E605F" w14:textId="77777777" w:rsidR="00B30E0F" w:rsidRDefault="00023E71" w:rsidP="00B30E0F">
            <w:pPr>
              <w:pStyle w:val="DGTextstand-alone"/>
              <w:spacing w:before="0" w:after="0"/>
              <w:jc w:val="right"/>
              <w:rPr>
                <w:b/>
                <w:bCs/>
                <w:color w:val="FFFFFF" w:themeColor="background1"/>
                <w:sz w:val="14"/>
                <w:szCs w:val="14"/>
              </w:rPr>
            </w:pPr>
            <w:r>
              <w:rPr>
                <w:b/>
                <w:bCs/>
                <w:color w:val="FFFFFF" w:themeColor="background1"/>
                <w:sz w:val="14"/>
                <w:szCs w:val="14"/>
              </w:rPr>
              <w:t>Total</w:t>
            </w:r>
            <w:r>
              <w:rPr>
                <w:b/>
                <w:bCs/>
                <w:color w:val="FFFFFF" w:themeColor="background1"/>
                <w:sz w:val="14"/>
                <w:szCs w:val="14"/>
              </w:rPr>
              <w:br/>
              <w:t>granted</w:t>
            </w:r>
            <w:r w:rsidR="00957D64">
              <w:rPr>
                <w:b/>
                <w:bCs/>
                <w:color w:val="FFFFFF" w:themeColor="background1"/>
                <w:sz w:val="14"/>
                <w:szCs w:val="14"/>
              </w:rPr>
              <w:t xml:space="preserve"> 31.12.2025</w:t>
            </w:r>
          </w:p>
        </w:tc>
        <w:tc>
          <w:tcPr>
            <w:tcW w:w="1587" w:type="dxa"/>
            <w:shd w:val="clear" w:color="auto" w:fill="016794"/>
            <w:vAlign w:val="bottom"/>
            <w:hideMark/>
          </w:tcPr>
          <w:p w14:paraId="3CD3EE42" w14:textId="77777777" w:rsidR="00B30E0F" w:rsidRDefault="00023E71" w:rsidP="00B30E0F">
            <w:pPr>
              <w:pStyle w:val="DGTextstand-alone"/>
              <w:spacing w:before="0" w:after="0"/>
              <w:jc w:val="right"/>
              <w:rPr>
                <w:b/>
                <w:color w:val="FFFFFF" w:themeColor="background1"/>
                <w:sz w:val="14"/>
                <w:szCs w:val="14"/>
              </w:rPr>
            </w:pPr>
            <w:r>
              <w:rPr>
                <w:b/>
                <w:bCs/>
                <w:color w:val="FFFFFF" w:themeColor="background1"/>
                <w:sz w:val="14"/>
                <w:szCs w:val="14"/>
              </w:rPr>
              <w:t xml:space="preserve">Total </w:t>
            </w:r>
            <w:r>
              <w:rPr>
                <w:b/>
                <w:bCs/>
                <w:color w:val="FFFFFF" w:themeColor="background1"/>
                <w:sz w:val="14"/>
                <w:szCs w:val="14"/>
              </w:rPr>
              <w:br/>
              <w:t>signed at</w:t>
            </w:r>
            <w:r>
              <w:rPr>
                <w:b/>
                <w:bCs/>
                <w:color w:val="FFFFFF" w:themeColor="background1"/>
                <w:sz w:val="14"/>
                <w:szCs w:val="14"/>
              </w:rPr>
              <w:br/>
              <w:t>31.12.202</w:t>
            </w:r>
            <w:r w:rsidR="00957D64">
              <w:rPr>
                <w:b/>
                <w:bCs/>
                <w:color w:val="FFFFFF" w:themeColor="background1"/>
                <w:sz w:val="14"/>
                <w:szCs w:val="14"/>
              </w:rPr>
              <w:t>5</w:t>
            </w:r>
          </w:p>
        </w:tc>
        <w:tc>
          <w:tcPr>
            <w:tcW w:w="1587" w:type="dxa"/>
            <w:shd w:val="clear" w:color="auto" w:fill="016794"/>
            <w:vAlign w:val="bottom"/>
          </w:tcPr>
          <w:p w14:paraId="29683A56" w14:textId="77777777" w:rsidR="00B30E0F" w:rsidRDefault="00023E71" w:rsidP="00B30E0F">
            <w:pPr>
              <w:pStyle w:val="DGTextstand-alone"/>
              <w:spacing w:before="0" w:after="0"/>
              <w:jc w:val="right"/>
              <w:rPr>
                <w:b/>
                <w:bCs/>
                <w:color w:val="FFFFFF" w:themeColor="background1"/>
                <w:sz w:val="14"/>
                <w:szCs w:val="14"/>
              </w:rPr>
            </w:pPr>
            <w:r>
              <w:rPr>
                <w:b/>
                <w:bCs/>
                <w:color w:val="FFFFFF" w:themeColor="background1"/>
                <w:sz w:val="14"/>
                <w:szCs w:val="14"/>
              </w:rPr>
              <w:t>Total</w:t>
            </w:r>
            <w:r>
              <w:rPr>
                <w:b/>
                <w:bCs/>
                <w:color w:val="FFFFFF" w:themeColor="background1"/>
                <w:sz w:val="14"/>
                <w:szCs w:val="14"/>
              </w:rPr>
              <w:br/>
              <w:t>disbursed</w:t>
            </w:r>
            <w:r>
              <w:rPr>
                <w:b/>
                <w:bCs/>
                <w:color w:val="FFFFFF" w:themeColor="background1"/>
                <w:sz w:val="14"/>
                <w:szCs w:val="14"/>
              </w:rPr>
              <w:br/>
              <w:t>31.12.202</w:t>
            </w:r>
            <w:r w:rsidR="00957D64">
              <w:rPr>
                <w:b/>
                <w:bCs/>
                <w:color w:val="FFFFFF" w:themeColor="background1"/>
                <w:sz w:val="14"/>
                <w:szCs w:val="14"/>
              </w:rPr>
              <w:t>5</w:t>
            </w:r>
          </w:p>
        </w:tc>
        <w:tc>
          <w:tcPr>
            <w:tcW w:w="1587" w:type="dxa"/>
            <w:shd w:val="clear" w:color="auto" w:fill="016794"/>
            <w:vAlign w:val="bottom"/>
          </w:tcPr>
          <w:p w14:paraId="1E92BF59" w14:textId="77777777" w:rsidR="00B30E0F" w:rsidRDefault="00023E71" w:rsidP="00B30E0F">
            <w:pPr>
              <w:pStyle w:val="DGTextstand-alone"/>
              <w:spacing w:before="0" w:after="0"/>
              <w:jc w:val="right"/>
              <w:rPr>
                <w:b/>
                <w:bCs/>
                <w:color w:val="FFFFFF" w:themeColor="background1"/>
                <w:sz w:val="14"/>
                <w:szCs w:val="14"/>
              </w:rPr>
            </w:pPr>
            <w:r>
              <w:rPr>
                <w:b/>
                <w:bCs/>
                <w:color w:val="FFFFFF" w:themeColor="background1"/>
                <w:sz w:val="14"/>
                <w:szCs w:val="14"/>
              </w:rPr>
              <w:t>Total</w:t>
            </w:r>
            <w:r>
              <w:rPr>
                <w:b/>
                <w:bCs/>
                <w:color w:val="FFFFFF" w:themeColor="background1"/>
                <w:sz w:val="14"/>
                <w:szCs w:val="14"/>
              </w:rPr>
              <w:br/>
              <w:t>repaid</w:t>
            </w:r>
            <w:r>
              <w:rPr>
                <w:b/>
                <w:bCs/>
                <w:color w:val="FFFFFF" w:themeColor="background1"/>
                <w:sz w:val="14"/>
                <w:szCs w:val="14"/>
              </w:rPr>
              <w:br/>
              <w:t>31.12.202</w:t>
            </w:r>
            <w:r w:rsidR="00957D64">
              <w:rPr>
                <w:b/>
                <w:bCs/>
                <w:color w:val="FFFFFF" w:themeColor="background1"/>
                <w:sz w:val="14"/>
                <w:szCs w:val="14"/>
              </w:rPr>
              <w:t>5</w:t>
            </w:r>
          </w:p>
        </w:tc>
        <w:tc>
          <w:tcPr>
            <w:tcW w:w="1587" w:type="dxa"/>
            <w:shd w:val="clear" w:color="auto" w:fill="016794"/>
            <w:vAlign w:val="bottom"/>
            <w:hideMark/>
          </w:tcPr>
          <w:p w14:paraId="7EC38575" w14:textId="77777777" w:rsidR="00B30E0F" w:rsidRDefault="00023E71" w:rsidP="00B30E0F">
            <w:pPr>
              <w:pStyle w:val="DGTextstand-alone"/>
              <w:spacing w:before="0" w:after="0"/>
              <w:jc w:val="right"/>
              <w:rPr>
                <w:b/>
                <w:color w:val="FFFFFF" w:themeColor="background1"/>
                <w:sz w:val="14"/>
                <w:szCs w:val="14"/>
              </w:rPr>
            </w:pPr>
            <w:r>
              <w:rPr>
                <w:b/>
                <w:bCs/>
                <w:color w:val="FFFFFF" w:themeColor="background1"/>
                <w:sz w:val="14"/>
                <w:szCs w:val="14"/>
              </w:rPr>
              <w:t>Total</w:t>
            </w:r>
            <w:r>
              <w:rPr>
                <w:b/>
                <w:bCs/>
                <w:color w:val="FFFFFF" w:themeColor="background1"/>
                <w:sz w:val="14"/>
                <w:szCs w:val="14"/>
              </w:rPr>
              <w:br/>
              <w:t>outstanding</w:t>
            </w:r>
            <w:r>
              <w:rPr>
                <w:b/>
                <w:bCs/>
                <w:color w:val="FFFFFF" w:themeColor="background1"/>
                <w:sz w:val="14"/>
                <w:szCs w:val="14"/>
              </w:rPr>
              <w:br/>
              <w:t>31.12.202</w:t>
            </w:r>
            <w:r w:rsidR="00957D64">
              <w:rPr>
                <w:b/>
                <w:bCs/>
                <w:color w:val="FFFFFF" w:themeColor="background1"/>
                <w:sz w:val="14"/>
                <w:szCs w:val="14"/>
              </w:rPr>
              <w:t>5</w:t>
            </w:r>
          </w:p>
        </w:tc>
      </w:tr>
      <w:tr w:rsidR="00807FFE" w14:paraId="3A2FEE40" w14:textId="77777777">
        <w:trPr>
          <w:trHeight w:val="255"/>
          <w:jc w:val="center"/>
        </w:trPr>
        <w:tc>
          <w:tcPr>
            <w:tcW w:w="1701" w:type="dxa"/>
            <w:vAlign w:val="center"/>
            <w:hideMark/>
          </w:tcPr>
          <w:p w14:paraId="1688E482"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Belgium</w:t>
            </w:r>
          </w:p>
        </w:tc>
        <w:tc>
          <w:tcPr>
            <w:tcW w:w="1587" w:type="dxa"/>
            <w:vAlign w:val="center"/>
            <w:hideMark/>
          </w:tcPr>
          <w:p w14:paraId="1CB3063A"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0.2</w:t>
            </w:r>
          </w:p>
        </w:tc>
        <w:tc>
          <w:tcPr>
            <w:tcW w:w="1587" w:type="dxa"/>
            <w:vAlign w:val="center"/>
            <w:hideMark/>
          </w:tcPr>
          <w:p w14:paraId="1B029EFD"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0.2</w:t>
            </w:r>
          </w:p>
        </w:tc>
        <w:tc>
          <w:tcPr>
            <w:tcW w:w="1587" w:type="dxa"/>
            <w:vAlign w:val="center"/>
          </w:tcPr>
          <w:p w14:paraId="4E9A0110"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0.1</w:t>
            </w:r>
          </w:p>
        </w:tc>
        <w:tc>
          <w:tcPr>
            <w:tcW w:w="1587" w:type="dxa"/>
            <w:vAlign w:val="center"/>
          </w:tcPr>
          <w:p w14:paraId="0527A2A6"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 xml:space="preserve">– </w:t>
            </w:r>
          </w:p>
        </w:tc>
        <w:tc>
          <w:tcPr>
            <w:tcW w:w="1587" w:type="dxa"/>
            <w:vAlign w:val="center"/>
          </w:tcPr>
          <w:p w14:paraId="5C9779FE"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0.1</w:t>
            </w:r>
          </w:p>
        </w:tc>
      </w:tr>
      <w:tr w:rsidR="00807FFE" w14:paraId="5395E040" w14:textId="77777777">
        <w:trPr>
          <w:trHeight w:val="255"/>
          <w:jc w:val="center"/>
        </w:trPr>
        <w:tc>
          <w:tcPr>
            <w:tcW w:w="1701" w:type="dxa"/>
            <w:vAlign w:val="center"/>
            <w:hideMark/>
          </w:tcPr>
          <w:p w14:paraId="5BD3D315"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Croatia</w:t>
            </w:r>
          </w:p>
        </w:tc>
        <w:tc>
          <w:tcPr>
            <w:tcW w:w="1587" w:type="dxa"/>
            <w:vAlign w:val="center"/>
            <w:hideMark/>
          </w:tcPr>
          <w:p w14:paraId="6855B18E"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4.3</w:t>
            </w:r>
          </w:p>
        </w:tc>
        <w:tc>
          <w:tcPr>
            <w:tcW w:w="1587" w:type="dxa"/>
            <w:vAlign w:val="center"/>
            <w:hideMark/>
          </w:tcPr>
          <w:p w14:paraId="3A898820"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4.3</w:t>
            </w:r>
          </w:p>
        </w:tc>
        <w:tc>
          <w:tcPr>
            <w:tcW w:w="1587" w:type="dxa"/>
            <w:vAlign w:val="center"/>
          </w:tcPr>
          <w:p w14:paraId="493810E9"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1.7</w:t>
            </w:r>
          </w:p>
        </w:tc>
        <w:tc>
          <w:tcPr>
            <w:tcW w:w="1587" w:type="dxa"/>
            <w:vAlign w:val="center"/>
          </w:tcPr>
          <w:p w14:paraId="06ED99F5"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tcPr>
          <w:p w14:paraId="64380147"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1.7</w:t>
            </w:r>
          </w:p>
        </w:tc>
      </w:tr>
      <w:tr w:rsidR="00807FFE" w14:paraId="344DA3CD" w14:textId="77777777">
        <w:trPr>
          <w:trHeight w:val="255"/>
          <w:jc w:val="center"/>
        </w:trPr>
        <w:tc>
          <w:tcPr>
            <w:tcW w:w="1701" w:type="dxa"/>
            <w:vAlign w:val="center"/>
            <w:hideMark/>
          </w:tcPr>
          <w:p w14:paraId="37C8E0D3"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Cyprus</w:t>
            </w:r>
            <w:r w:rsidRPr="00EE5A5A">
              <w:rPr>
                <w:rFonts w:ascii="Verdana" w:hAnsi="Verdana" w:cs="Calibri"/>
                <w:noProof/>
                <w:color w:val="000000"/>
                <w:sz w:val="14"/>
                <w:szCs w:val="14"/>
                <w:vertAlign w:val="superscript"/>
              </w:rPr>
              <w:t>*</w:t>
            </w:r>
          </w:p>
        </w:tc>
        <w:tc>
          <w:tcPr>
            <w:tcW w:w="1587" w:type="dxa"/>
            <w:vAlign w:val="center"/>
            <w:hideMark/>
          </w:tcPr>
          <w:p w14:paraId="3065D5DF"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0.0</w:t>
            </w:r>
          </w:p>
        </w:tc>
        <w:tc>
          <w:tcPr>
            <w:tcW w:w="1587" w:type="dxa"/>
            <w:vAlign w:val="center"/>
            <w:hideMark/>
          </w:tcPr>
          <w:p w14:paraId="4DCA8FF9"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0.0</w:t>
            </w:r>
          </w:p>
        </w:tc>
        <w:tc>
          <w:tcPr>
            <w:tcW w:w="1587" w:type="dxa"/>
            <w:vAlign w:val="center"/>
          </w:tcPr>
          <w:p w14:paraId="6F0213A1" w14:textId="77777777" w:rsidR="00957D64" w:rsidRPr="00BC2AB5" w:rsidRDefault="00023E71" w:rsidP="00957D64">
            <w:pPr>
              <w:jc w:val="right"/>
              <w:rPr>
                <w:rFonts w:ascii="Verdana" w:hAnsi="Verdana" w:cs="Calibri"/>
                <w:noProof/>
                <w:color w:val="000000"/>
                <w:sz w:val="14"/>
                <w:szCs w:val="14"/>
              </w:rPr>
            </w:pPr>
            <w:r w:rsidRPr="00BC2AB5">
              <w:rPr>
                <w:rFonts w:ascii="Verdana" w:hAnsi="Verdana" w:cs="Calibri"/>
                <w:noProof/>
                <w:color w:val="000000"/>
                <w:sz w:val="14"/>
                <w:szCs w:val="14"/>
              </w:rPr>
              <w:t>0.0</w:t>
            </w:r>
          </w:p>
        </w:tc>
        <w:tc>
          <w:tcPr>
            <w:tcW w:w="1587" w:type="dxa"/>
            <w:vAlign w:val="center"/>
          </w:tcPr>
          <w:p w14:paraId="3DB7EEF7"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54574DB9" w14:textId="77777777" w:rsidR="00957D64" w:rsidRPr="002542EA" w:rsidRDefault="00023E71" w:rsidP="00957D64">
            <w:pPr>
              <w:jc w:val="right"/>
              <w:rPr>
                <w:rFonts w:ascii="Verdana" w:hAnsi="Verdana"/>
                <w:noProof/>
                <w:color w:val="000000" w:themeColor="text1"/>
                <w:sz w:val="14"/>
                <w:szCs w:val="14"/>
                <w:highlight w:val="yellow"/>
              </w:rPr>
            </w:pPr>
            <w:r w:rsidRPr="00BC2AB5">
              <w:rPr>
                <w:rFonts w:ascii="Verdana" w:hAnsi="Verdana" w:cs="Calibri"/>
                <w:noProof/>
                <w:color w:val="000000"/>
                <w:sz w:val="14"/>
                <w:szCs w:val="14"/>
              </w:rPr>
              <w:t>0.0</w:t>
            </w:r>
          </w:p>
        </w:tc>
      </w:tr>
      <w:tr w:rsidR="00807FFE" w14:paraId="7A39CF37" w14:textId="77777777">
        <w:trPr>
          <w:trHeight w:val="255"/>
          <w:jc w:val="center"/>
        </w:trPr>
        <w:tc>
          <w:tcPr>
            <w:tcW w:w="1701" w:type="dxa"/>
            <w:vAlign w:val="center"/>
            <w:hideMark/>
          </w:tcPr>
          <w:p w14:paraId="2191B109"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Czechia</w:t>
            </w:r>
          </w:p>
        </w:tc>
        <w:tc>
          <w:tcPr>
            <w:tcW w:w="1587" w:type="dxa"/>
            <w:vAlign w:val="center"/>
            <w:hideMark/>
          </w:tcPr>
          <w:p w14:paraId="6D417DA2"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0.3</w:t>
            </w:r>
          </w:p>
        </w:tc>
        <w:tc>
          <w:tcPr>
            <w:tcW w:w="1587" w:type="dxa"/>
            <w:vAlign w:val="center"/>
          </w:tcPr>
          <w:p w14:paraId="047DA81E"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0.3</w:t>
            </w:r>
          </w:p>
        </w:tc>
        <w:tc>
          <w:tcPr>
            <w:tcW w:w="1587" w:type="dxa"/>
            <w:vAlign w:val="center"/>
          </w:tcPr>
          <w:p w14:paraId="63A7288A" w14:textId="77777777" w:rsidR="00957D64" w:rsidRPr="00BC2AB5" w:rsidRDefault="00023E71" w:rsidP="00957D64">
            <w:pPr>
              <w:jc w:val="right"/>
              <w:rPr>
                <w:rFonts w:ascii="Verdana" w:hAnsi="Verdana" w:cs="Calibri"/>
                <w:noProof/>
                <w:color w:val="000000"/>
                <w:sz w:val="14"/>
                <w:szCs w:val="14"/>
              </w:rPr>
            </w:pPr>
            <w:r w:rsidRPr="00BC2AB5">
              <w:rPr>
                <w:rFonts w:ascii="Verdana" w:hAnsi="Verdana" w:cs="Calibri"/>
                <w:noProof/>
                <w:color w:val="000000"/>
                <w:sz w:val="14"/>
                <w:szCs w:val="14"/>
              </w:rPr>
              <w:t>0.2</w:t>
            </w:r>
          </w:p>
        </w:tc>
        <w:tc>
          <w:tcPr>
            <w:tcW w:w="1587" w:type="dxa"/>
            <w:vAlign w:val="center"/>
          </w:tcPr>
          <w:p w14:paraId="1ECB2554"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tcPr>
          <w:p w14:paraId="7263D045" w14:textId="77777777" w:rsidR="00957D64" w:rsidRPr="002542EA" w:rsidRDefault="00023E71" w:rsidP="00957D64">
            <w:pPr>
              <w:jc w:val="right"/>
              <w:rPr>
                <w:rFonts w:ascii="Verdana" w:hAnsi="Verdana"/>
                <w:noProof/>
                <w:color w:val="000000" w:themeColor="text1"/>
                <w:sz w:val="14"/>
                <w:szCs w:val="14"/>
                <w:highlight w:val="yellow"/>
              </w:rPr>
            </w:pPr>
            <w:r w:rsidRPr="00BC2AB5">
              <w:rPr>
                <w:rFonts w:ascii="Verdana" w:hAnsi="Verdana" w:cs="Calibri"/>
                <w:noProof/>
                <w:color w:val="000000"/>
                <w:sz w:val="14"/>
                <w:szCs w:val="14"/>
              </w:rPr>
              <w:t>0.2</w:t>
            </w:r>
          </w:p>
        </w:tc>
      </w:tr>
      <w:tr w:rsidR="00807FFE" w14:paraId="0E765FF8" w14:textId="77777777">
        <w:trPr>
          <w:trHeight w:val="255"/>
          <w:jc w:val="center"/>
        </w:trPr>
        <w:tc>
          <w:tcPr>
            <w:tcW w:w="1701" w:type="dxa"/>
            <w:vAlign w:val="center"/>
            <w:hideMark/>
          </w:tcPr>
          <w:p w14:paraId="16CF5D68"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Greece</w:t>
            </w:r>
          </w:p>
        </w:tc>
        <w:tc>
          <w:tcPr>
            <w:tcW w:w="1587" w:type="dxa"/>
            <w:vAlign w:val="center"/>
            <w:hideMark/>
          </w:tcPr>
          <w:p w14:paraId="2C3F0BF7"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17.7</w:t>
            </w:r>
          </w:p>
        </w:tc>
        <w:tc>
          <w:tcPr>
            <w:tcW w:w="1587" w:type="dxa"/>
            <w:vAlign w:val="center"/>
            <w:hideMark/>
          </w:tcPr>
          <w:p w14:paraId="09BACA84"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17.7</w:t>
            </w:r>
          </w:p>
        </w:tc>
        <w:tc>
          <w:tcPr>
            <w:tcW w:w="1587" w:type="dxa"/>
            <w:vAlign w:val="center"/>
          </w:tcPr>
          <w:p w14:paraId="5DF7DDE0"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11.4</w:t>
            </w:r>
          </w:p>
        </w:tc>
        <w:tc>
          <w:tcPr>
            <w:tcW w:w="1587" w:type="dxa"/>
            <w:vAlign w:val="center"/>
          </w:tcPr>
          <w:p w14:paraId="0907D5DC"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0CA41997"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11.4</w:t>
            </w:r>
          </w:p>
        </w:tc>
      </w:tr>
      <w:tr w:rsidR="00807FFE" w14:paraId="35009CFE" w14:textId="77777777">
        <w:trPr>
          <w:trHeight w:val="255"/>
          <w:jc w:val="center"/>
        </w:trPr>
        <w:tc>
          <w:tcPr>
            <w:tcW w:w="1701" w:type="dxa"/>
            <w:vAlign w:val="center"/>
            <w:hideMark/>
          </w:tcPr>
          <w:p w14:paraId="6E4C63B7"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Hungary</w:t>
            </w:r>
          </w:p>
        </w:tc>
        <w:tc>
          <w:tcPr>
            <w:tcW w:w="1587" w:type="dxa"/>
            <w:vAlign w:val="center"/>
            <w:hideMark/>
          </w:tcPr>
          <w:p w14:paraId="039A4D49"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3.9</w:t>
            </w:r>
          </w:p>
        </w:tc>
        <w:tc>
          <w:tcPr>
            <w:tcW w:w="1587" w:type="dxa"/>
            <w:vAlign w:val="center"/>
            <w:hideMark/>
          </w:tcPr>
          <w:p w14:paraId="519388EA"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3.9</w:t>
            </w:r>
          </w:p>
        </w:tc>
        <w:tc>
          <w:tcPr>
            <w:tcW w:w="1587" w:type="dxa"/>
            <w:vAlign w:val="center"/>
          </w:tcPr>
          <w:p w14:paraId="23F856F8" w14:textId="77777777" w:rsidR="00957D64" w:rsidRPr="00BC2AB5" w:rsidRDefault="00023E71" w:rsidP="00957D64">
            <w:pPr>
              <w:jc w:val="right"/>
              <w:rPr>
                <w:rFonts w:ascii="Verdana" w:hAnsi="Verdana" w:cs="Calibri"/>
                <w:noProof/>
                <w:color w:val="000000"/>
                <w:sz w:val="14"/>
                <w:szCs w:val="14"/>
              </w:rPr>
            </w:pPr>
            <w:r w:rsidRPr="00BC2AB5">
              <w:rPr>
                <w:rFonts w:ascii="Verdana" w:hAnsi="Verdana" w:cs="Calibri"/>
                <w:noProof/>
                <w:color w:val="000000"/>
                <w:sz w:val="14"/>
                <w:szCs w:val="14"/>
              </w:rPr>
              <w:t>0.8</w:t>
            </w:r>
          </w:p>
        </w:tc>
        <w:tc>
          <w:tcPr>
            <w:tcW w:w="1587" w:type="dxa"/>
            <w:vAlign w:val="center"/>
          </w:tcPr>
          <w:p w14:paraId="092D3965"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26FF8E3E" w14:textId="77777777" w:rsidR="00957D64" w:rsidRPr="002542EA" w:rsidRDefault="00023E71" w:rsidP="00957D64">
            <w:pPr>
              <w:jc w:val="right"/>
              <w:rPr>
                <w:rFonts w:ascii="Verdana" w:hAnsi="Verdana"/>
                <w:noProof/>
                <w:color w:val="000000" w:themeColor="text1"/>
                <w:sz w:val="14"/>
                <w:szCs w:val="14"/>
                <w:highlight w:val="yellow"/>
              </w:rPr>
            </w:pPr>
            <w:r w:rsidRPr="00BC2AB5">
              <w:rPr>
                <w:rFonts w:ascii="Verdana" w:hAnsi="Verdana" w:cs="Calibri"/>
                <w:noProof/>
                <w:color w:val="000000"/>
                <w:sz w:val="14"/>
                <w:szCs w:val="14"/>
              </w:rPr>
              <w:t>0.8</w:t>
            </w:r>
          </w:p>
        </w:tc>
      </w:tr>
      <w:tr w:rsidR="00807FFE" w14:paraId="19EE87C1" w14:textId="77777777">
        <w:trPr>
          <w:trHeight w:val="255"/>
          <w:jc w:val="center"/>
        </w:trPr>
        <w:tc>
          <w:tcPr>
            <w:tcW w:w="1701" w:type="dxa"/>
            <w:vAlign w:val="center"/>
            <w:hideMark/>
          </w:tcPr>
          <w:p w14:paraId="73938626"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Italy</w:t>
            </w:r>
          </w:p>
        </w:tc>
        <w:tc>
          <w:tcPr>
            <w:tcW w:w="1587" w:type="dxa"/>
            <w:vAlign w:val="center"/>
            <w:hideMark/>
          </w:tcPr>
          <w:p w14:paraId="7D8E63C0"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122.6</w:t>
            </w:r>
          </w:p>
        </w:tc>
        <w:tc>
          <w:tcPr>
            <w:tcW w:w="1587" w:type="dxa"/>
            <w:vAlign w:val="center"/>
            <w:hideMark/>
          </w:tcPr>
          <w:p w14:paraId="5A95B801"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122.6</w:t>
            </w:r>
          </w:p>
        </w:tc>
        <w:tc>
          <w:tcPr>
            <w:tcW w:w="1587" w:type="dxa"/>
            <w:vAlign w:val="center"/>
          </w:tcPr>
          <w:p w14:paraId="3CC0F6EC"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99.1</w:t>
            </w:r>
          </w:p>
        </w:tc>
        <w:tc>
          <w:tcPr>
            <w:tcW w:w="1587" w:type="dxa"/>
            <w:vAlign w:val="center"/>
          </w:tcPr>
          <w:p w14:paraId="51CD9F8A"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586E48DF"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99.1</w:t>
            </w:r>
          </w:p>
        </w:tc>
      </w:tr>
      <w:tr w:rsidR="00807FFE" w14:paraId="2814C08E" w14:textId="77777777">
        <w:trPr>
          <w:trHeight w:val="255"/>
          <w:jc w:val="center"/>
        </w:trPr>
        <w:tc>
          <w:tcPr>
            <w:tcW w:w="1701" w:type="dxa"/>
            <w:vAlign w:val="center"/>
            <w:hideMark/>
          </w:tcPr>
          <w:p w14:paraId="6EDAAA70"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Lithuania</w:t>
            </w:r>
          </w:p>
        </w:tc>
        <w:tc>
          <w:tcPr>
            <w:tcW w:w="1587" w:type="dxa"/>
            <w:vAlign w:val="center"/>
            <w:hideMark/>
          </w:tcPr>
          <w:p w14:paraId="55C974C9"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1.6</w:t>
            </w:r>
          </w:p>
        </w:tc>
        <w:tc>
          <w:tcPr>
            <w:tcW w:w="1587" w:type="dxa"/>
            <w:vAlign w:val="center"/>
            <w:hideMark/>
          </w:tcPr>
          <w:p w14:paraId="2C9224A7" w14:textId="77777777" w:rsidR="00957D64" w:rsidRDefault="00023E71" w:rsidP="00957D64">
            <w:pPr>
              <w:jc w:val="right"/>
              <w:rPr>
                <w:rFonts w:ascii="Verdana" w:hAnsi="Verdana"/>
                <w:noProof/>
                <w:sz w:val="14"/>
                <w:szCs w:val="14"/>
              </w:rPr>
            </w:pPr>
            <w:r>
              <w:rPr>
                <w:rFonts w:ascii="Verdana" w:hAnsi="Verdana" w:cs="Calibri"/>
                <w:noProof/>
                <w:color w:val="000000"/>
                <w:sz w:val="14"/>
                <w:szCs w:val="14"/>
              </w:rPr>
              <w:t>1.6</w:t>
            </w:r>
          </w:p>
        </w:tc>
        <w:tc>
          <w:tcPr>
            <w:tcW w:w="1587" w:type="dxa"/>
            <w:vAlign w:val="center"/>
          </w:tcPr>
          <w:p w14:paraId="7D94E824" w14:textId="77777777" w:rsidR="00957D64" w:rsidRPr="00BC2AB5" w:rsidRDefault="00023E71" w:rsidP="00957D64">
            <w:pPr>
              <w:jc w:val="right"/>
              <w:rPr>
                <w:rFonts w:ascii="Verdana" w:hAnsi="Verdana" w:cs="Calibri"/>
                <w:noProof/>
                <w:color w:val="000000"/>
                <w:sz w:val="14"/>
                <w:szCs w:val="14"/>
              </w:rPr>
            </w:pPr>
            <w:r w:rsidRPr="00BC2AB5">
              <w:rPr>
                <w:rFonts w:ascii="Verdana" w:hAnsi="Verdana" w:cs="Calibri"/>
                <w:noProof/>
                <w:color w:val="000000"/>
                <w:sz w:val="14"/>
                <w:szCs w:val="14"/>
              </w:rPr>
              <w:t>0.8</w:t>
            </w:r>
          </w:p>
        </w:tc>
        <w:tc>
          <w:tcPr>
            <w:tcW w:w="1587" w:type="dxa"/>
            <w:vAlign w:val="center"/>
          </w:tcPr>
          <w:p w14:paraId="549AA63C"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4BE8410F" w14:textId="77777777" w:rsidR="00957D64" w:rsidRPr="002542EA" w:rsidRDefault="00023E71" w:rsidP="00957D64">
            <w:pPr>
              <w:jc w:val="right"/>
              <w:rPr>
                <w:rFonts w:ascii="Verdana" w:hAnsi="Verdana"/>
                <w:noProof/>
                <w:color w:val="000000" w:themeColor="text1"/>
                <w:sz w:val="14"/>
                <w:szCs w:val="14"/>
                <w:highlight w:val="yellow"/>
              </w:rPr>
            </w:pPr>
            <w:r w:rsidRPr="00BC2AB5">
              <w:rPr>
                <w:rFonts w:ascii="Verdana" w:hAnsi="Verdana" w:cs="Calibri"/>
                <w:noProof/>
                <w:color w:val="000000"/>
                <w:sz w:val="14"/>
                <w:szCs w:val="14"/>
              </w:rPr>
              <w:t>0.8</w:t>
            </w:r>
          </w:p>
        </w:tc>
      </w:tr>
      <w:tr w:rsidR="00807FFE" w14:paraId="324781F1" w14:textId="77777777">
        <w:trPr>
          <w:trHeight w:val="255"/>
          <w:jc w:val="center"/>
        </w:trPr>
        <w:tc>
          <w:tcPr>
            <w:tcW w:w="1701" w:type="dxa"/>
            <w:vAlign w:val="center"/>
            <w:hideMark/>
          </w:tcPr>
          <w:p w14:paraId="3F2BD4D6"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Poland</w:t>
            </w:r>
          </w:p>
        </w:tc>
        <w:tc>
          <w:tcPr>
            <w:tcW w:w="1587" w:type="dxa"/>
            <w:vAlign w:val="center"/>
            <w:hideMark/>
          </w:tcPr>
          <w:p w14:paraId="0F90FA00"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29.4</w:t>
            </w:r>
          </w:p>
        </w:tc>
        <w:tc>
          <w:tcPr>
            <w:tcW w:w="1587" w:type="dxa"/>
            <w:vAlign w:val="center"/>
            <w:hideMark/>
          </w:tcPr>
          <w:p w14:paraId="47D386D3" w14:textId="77777777" w:rsidR="00957D64" w:rsidRDefault="00023E71" w:rsidP="00957D64">
            <w:pPr>
              <w:jc w:val="right"/>
              <w:rPr>
                <w:rFonts w:ascii="Verdana" w:hAnsi="Verdana"/>
                <w:noProof/>
                <w:sz w:val="14"/>
                <w:szCs w:val="14"/>
              </w:rPr>
            </w:pPr>
            <w:r>
              <w:rPr>
                <w:rFonts w:ascii="Verdana" w:hAnsi="Verdana" w:cs="Calibri"/>
                <w:noProof/>
                <w:color w:val="000000"/>
                <w:sz w:val="14"/>
                <w:szCs w:val="14"/>
              </w:rPr>
              <w:t>29.4</w:t>
            </w:r>
          </w:p>
        </w:tc>
        <w:tc>
          <w:tcPr>
            <w:tcW w:w="1587" w:type="dxa"/>
            <w:vAlign w:val="center"/>
          </w:tcPr>
          <w:p w14:paraId="18E828AB"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17.4</w:t>
            </w:r>
          </w:p>
        </w:tc>
        <w:tc>
          <w:tcPr>
            <w:tcW w:w="1587" w:type="dxa"/>
            <w:vAlign w:val="center"/>
          </w:tcPr>
          <w:p w14:paraId="1D6CDDB2"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7481CAA1"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17.4</w:t>
            </w:r>
          </w:p>
        </w:tc>
      </w:tr>
      <w:tr w:rsidR="00807FFE" w14:paraId="4AD80FCE" w14:textId="77777777">
        <w:trPr>
          <w:trHeight w:val="255"/>
          <w:jc w:val="center"/>
        </w:trPr>
        <w:tc>
          <w:tcPr>
            <w:tcW w:w="1701" w:type="dxa"/>
            <w:vAlign w:val="center"/>
            <w:hideMark/>
          </w:tcPr>
          <w:p w14:paraId="7C50D356"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Portugal</w:t>
            </w:r>
          </w:p>
        </w:tc>
        <w:tc>
          <w:tcPr>
            <w:tcW w:w="1587" w:type="dxa"/>
            <w:vAlign w:val="center"/>
            <w:hideMark/>
          </w:tcPr>
          <w:p w14:paraId="43C893D0"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5.6</w:t>
            </w:r>
          </w:p>
        </w:tc>
        <w:tc>
          <w:tcPr>
            <w:tcW w:w="1587" w:type="dxa"/>
            <w:vAlign w:val="center"/>
            <w:hideMark/>
          </w:tcPr>
          <w:p w14:paraId="00DB58ED" w14:textId="77777777" w:rsidR="00957D64" w:rsidRDefault="00023E71" w:rsidP="00957D64">
            <w:pPr>
              <w:jc w:val="right"/>
              <w:rPr>
                <w:rFonts w:ascii="Verdana" w:hAnsi="Verdana"/>
                <w:noProof/>
                <w:color w:val="000000" w:themeColor="text1"/>
                <w:sz w:val="14"/>
                <w:szCs w:val="14"/>
              </w:rPr>
            </w:pPr>
            <w:r>
              <w:rPr>
                <w:rFonts w:ascii="Verdana" w:hAnsi="Verdana" w:cs="Calibri"/>
                <w:noProof/>
                <w:color w:val="000000"/>
                <w:sz w:val="14"/>
                <w:szCs w:val="14"/>
              </w:rPr>
              <w:t>5.6</w:t>
            </w:r>
          </w:p>
        </w:tc>
        <w:tc>
          <w:tcPr>
            <w:tcW w:w="1587" w:type="dxa"/>
            <w:vAlign w:val="center"/>
          </w:tcPr>
          <w:p w14:paraId="79EF1EB6"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3.4</w:t>
            </w:r>
          </w:p>
        </w:tc>
        <w:tc>
          <w:tcPr>
            <w:tcW w:w="1587" w:type="dxa"/>
            <w:vAlign w:val="center"/>
          </w:tcPr>
          <w:p w14:paraId="657A292C"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1A8A6882"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3.4</w:t>
            </w:r>
          </w:p>
        </w:tc>
      </w:tr>
      <w:tr w:rsidR="00807FFE" w14:paraId="0D988F9E" w14:textId="77777777">
        <w:trPr>
          <w:trHeight w:val="255"/>
          <w:jc w:val="center"/>
        </w:trPr>
        <w:tc>
          <w:tcPr>
            <w:tcW w:w="1701" w:type="dxa"/>
            <w:vAlign w:val="center"/>
            <w:hideMark/>
          </w:tcPr>
          <w:p w14:paraId="5DE31DBD"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Romania</w:t>
            </w:r>
          </w:p>
        </w:tc>
        <w:tc>
          <w:tcPr>
            <w:tcW w:w="1587" w:type="dxa"/>
            <w:vAlign w:val="center"/>
            <w:hideMark/>
          </w:tcPr>
          <w:p w14:paraId="6CF8B592"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7.8</w:t>
            </w:r>
          </w:p>
        </w:tc>
        <w:tc>
          <w:tcPr>
            <w:tcW w:w="1587" w:type="dxa"/>
            <w:vAlign w:val="center"/>
            <w:hideMark/>
          </w:tcPr>
          <w:p w14:paraId="1C5AA10C" w14:textId="77777777" w:rsidR="00957D64" w:rsidRDefault="00023E71" w:rsidP="00957D64">
            <w:pPr>
              <w:jc w:val="right"/>
              <w:rPr>
                <w:rFonts w:ascii="Verdana" w:hAnsi="Verdana"/>
                <w:noProof/>
                <w:sz w:val="14"/>
                <w:szCs w:val="14"/>
              </w:rPr>
            </w:pPr>
            <w:r>
              <w:rPr>
                <w:rFonts w:ascii="Verdana" w:hAnsi="Verdana" w:cs="Calibri"/>
                <w:noProof/>
                <w:color w:val="000000"/>
                <w:sz w:val="14"/>
                <w:szCs w:val="14"/>
              </w:rPr>
              <w:t>7.8</w:t>
            </w:r>
          </w:p>
        </w:tc>
        <w:tc>
          <w:tcPr>
            <w:tcW w:w="1587" w:type="dxa"/>
            <w:vAlign w:val="center"/>
          </w:tcPr>
          <w:p w14:paraId="5BE0F857"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4.3</w:t>
            </w:r>
          </w:p>
        </w:tc>
        <w:tc>
          <w:tcPr>
            <w:tcW w:w="1587" w:type="dxa"/>
            <w:vAlign w:val="center"/>
          </w:tcPr>
          <w:p w14:paraId="60A3F72C"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0D4E3D76"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4.3</w:t>
            </w:r>
          </w:p>
        </w:tc>
      </w:tr>
      <w:tr w:rsidR="00807FFE" w14:paraId="04F1443F" w14:textId="77777777">
        <w:trPr>
          <w:trHeight w:val="255"/>
          <w:jc w:val="center"/>
        </w:trPr>
        <w:tc>
          <w:tcPr>
            <w:tcW w:w="1701" w:type="dxa"/>
            <w:vAlign w:val="center"/>
            <w:hideMark/>
          </w:tcPr>
          <w:p w14:paraId="30CA5945"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Slovenia</w:t>
            </w:r>
          </w:p>
        </w:tc>
        <w:tc>
          <w:tcPr>
            <w:tcW w:w="1587" w:type="dxa"/>
            <w:vAlign w:val="center"/>
            <w:hideMark/>
          </w:tcPr>
          <w:p w14:paraId="5DCF80BC"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0.5</w:t>
            </w:r>
          </w:p>
        </w:tc>
        <w:tc>
          <w:tcPr>
            <w:tcW w:w="1587" w:type="dxa"/>
            <w:vAlign w:val="center"/>
            <w:hideMark/>
          </w:tcPr>
          <w:p w14:paraId="7C8A8FE0" w14:textId="77777777" w:rsidR="00957D64" w:rsidRDefault="00023E71" w:rsidP="00957D64">
            <w:pPr>
              <w:jc w:val="right"/>
              <w:rPr>
                <w:rFonts w:ascii="Verdana" w:hAnsi="Verdana"/>
                <w:noProof/>
                <w:sz w:val="14"/>
                <w:szCs w:val="14"/>
              </w:rPr>
            </w:pPr>
            <w:r>
              <w:rPr>
                <w:rFonts w:ascii="Verdana" w:hAnsi="Verdana" w:cs="Calibri"/>
                <w:noProof/>
                <w:color w:val="000000"/>
                <w:sz w:val="14"/>
                <w:szCs w:val="14"/>
              </w:rPr>
              <w:t>0.5</w:t>
            </w:r>
          </w:p>
        </w:tc>
        <w:tc>
          <w:tcPr>
            <w:tcW w:w="1587" w:type="dxa"/>
            <w:vAlign w:val="center"/>
          </w:tcPr>
          <w:p w14:paraId="6ABE6D92"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0.5</w:t>
            </w:r>
          </w:p>
        </w:tc>
        <w:tc>
          <w:tcPr>
            <w:tcW w:w="1587" w:type="dxa"/>
            <w:vAlign w:val="center"/>
          </w:tcPr>
          <w:p w14:paraId="267E7B24"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hideMark/>
          </w:tcPr>
          <w:p w14:paraId="5D46ECA4"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0.5</w:t>
            </w:r>
          </w:p>
        </w:tc>
      </w:tr>
      <w:tr w:rsidR="00807FFE" w14:paraId="04850B10" w14:textId="77777777">
        <w:trPr>
          <w:trHeight w:val="255"/>
          <w:jc w:val="center"/>
        </w:trPr>
        <w:tc>
          <w:tcPr>
            <w:tcW w:w="1701" w:type="dxa"/>
            <w:vAlign w:val="center"/>
            <w:hideMark/>
          </w:tcPr>
          <w:p w14:paraId="36D3D13F" w14:textId="77777777" w:rsidR="00957D64" w:rsidRDefault="00023E71" w:rsidP="00957D64">
            <w:pPr>
              <w:rPr>
                <w:rFonts w:ascii="Verdana" w:hAnsi="Verdana"/>
                <w:noProof/>
                <w:color w:val="000000" w:themeColor="text1"/>
                <w:sz w:val="14"/>
                <w:szCs w:val="14"/>
              </w:rPr>
            </w:pPr>
            <w:r>
              <w:rPr>
                <w:rFonts w:ascii="Verdana" w:hAnsi="Verdana" w:cs="Calibri"/>
                <w:noProof/>
                <w:color w:val="000000"/>
                <w:sz w:val="14"/>
                <w:szCs w:val="14"/>
              </w:rPr>
              <w:t>Spain</w:t>
            </w:r>
          </w:p>
        </w:tc>
        <w:tc>
          <w:tcPr>
            <w:tcW w:w="1587" w:type="dxa"/>
            <w:vAlign w:val="center"/>
            <w:hideMark/>
          </w:tcPr>
          <w:p w14:paraId="770F25BD" w14:textId="77777777" w:rsidR="00957D64" w:rsidRDefault="00023E71" w:rsidP="00957D64">
            <w:pPr>
              <w:jc w:val="right"/>
              <w:rPr>
                <w:rFonts w:ascii="Verdana" w:hAnsi="Verdana"/>
                <w:noProof/>
                <w:color w:val="000000" w:themeColor="text1"/>
                <w:sz w:val="14"/>
                <w:szCs w:val="14"/>
              </w:rPr>
            </w:pPr>
            <w:r w:rsidRPr="0022103C">
              <w:rPr>
                <w:rFonts w:ascii="Verdana" w:hAnsi="Verdana" w:cs="Calibri"/>
                <w:noProof/>
                <w:color w:val="000000"/>
                <w:sz w:val="14"/>
                <w:szCs w:val="14"/>
              </w:rPr>
              <w:t>83.2</w:t>
            </w:r>
          </w:p>
        </w:tc>
        <w:tc>
          <w:tcPr>
            <w:tcW w:w="1587" w:type="dxa"/>
            <w:vAlign w:val="center"/>
            <w:hideMark/>
          </w:tcPr>
          <w:p w14:paraId="1B27CB48" w14:textId="77777777" w:rsidR="00957D64" w:rsidRDefault="00023E71" w:rsidP="00957D64">
            <w:pPr>
              <w:jc w:val="right"/>
              <w:rPr>
                <w:rFonts w:ascii="Verdana" w:hAnsi="Verdana"/>
                <w:noProof/>
                <w:sz w:val="14"/>
                <w:szCs w:val="14"/>
              </w:rPr>
            </w:pPr>
            <w:r>
              <w:rPr>
                <w:rFonts w:ascii="Verdana" w:hAnsi="Verdana" w:cs="Calibri"/>
                <w:noProof/>
                <w:color w:val="000000"/>
                <w:sz w:val="14"/>
                <w:szCs w:val="14"/>
              </w:rPr>
              <w:t>83.2</w:t>
            </w:r>
          </w:p>
        </w:tc>
        <w:tc>
          <w:tcPr>
            <w:tcW w:w="1587" w:type="dxa"/>
            <w:vAlign w:val="center"/>
          </w:tcPr>
          <w:p w14:paraId="60AE5A4D" w14:textId="77777777" w:rsidR="00957D64" w:rsidRPr="00BC2AB5"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16.3</w:t>
            </w:r>
          </w:p>
        </w:tc>
        <w:tc>
          <w:tcPr>
            <w:tcW w:w="1587" w:type="dxa"/>
            <w:vAlign w:val="center"/>
          </w:tcPr>
          <w:p w14:paraId="1BCB3150" w14:textId="77777777" w:rsidR="00957D64" w:rsidRPr="00B30E0F" w:rsidRDefault="00023E71" w:rsidP="00957D64">
            <w:pPr>
              <w:jc w:val="right"/>
              <w:rPr>
                <w:rFonts w:ascii="Verdana" w:hAnsi="Verdana" w:cs="Calibri"/>
                <w:noProof/>
                <w:color w:val="000000"/>
                <w:sz w:val="14"/>
                <w:szCs w:val="14"/>
              </w:rPr>
            </w:pPr>
            <w:r>
              <w:rPr>
                <w:rFonts w:ascii="Verdana" w:hAnsi="Verdana" w:cs="Calibri"/>
                <w:noProof/>
                <w:color w:val="000000"/>
                <w:sz w:val="14"/>
                <w:szCs w:val="14"/>
              </w:rPr>
              <w:t>–</w:t>
            </w:r>
          </w:p>
        </w:tc>
        <w:tc>
          <w:tcPr>
            <w:tcW w:w="1587" w:type="dxa"/>
            <w:vAlign w:val="center"/>
          </w:tcPr>
          <w:p w14:paraId="5D2F8EC5" w14:textId="77777777" w:rsidR="00957D64" w:rsidRPr="002542EA" w:rsidRDefault="00023E71" w:rsidP="00957D64">
            <w:pPr>
              <w:jc w:val="right"/>
              <w:rPr>
                <w:rFonts w:ascii="Verdana" w:hAnsi="Verdana"/>
                <w:noProof/>
                <w:color w:val="000000" w:themeColor="text1"/>
                <w:sz w:val="14"/>
                <w:szCs w:val="14"/>
                <w:highlight w:val="yellow"/>
              </w:rPr>
            </w:pPr>
            <w:r>
              <w:rPr>
                <w:rFonts w:ascii="Verdana" w:hAnsi="Verdana" w:cs="Calibri"/>
                <w:noProof/>
                <w:color w:val="000000"/>
                <w:sz w:val="14"/>
                <w:szCs w:val="14"/>
              </w:rPr>
              <w:t>16.3</w:t>
            </w:r>
          </w:p>
        </w:tc>
      </w:tr>
      <w:tr w:rsidR="00807FFE" w14:paraId="668A2C65" w14:textId="77777777">
        <w:trPr>
          <w:trHeight w:val="255"/>
          <w:jc w:val="center"/>
        </w:trPr>
        <w:tc>
          <w:tcPr>
            <w:tcW w:w="1701" w:type="dxa"/>
            <w:tcBorders>
              <w:top w:val="single" w:sz="4" w:space="0" w:color="016794"/>
              <w:left w:val="nil"/>
              <w:bottom w:val="single" w:sz="4" w:space="0" w:color="016794"/>
              <w:right w:val="nil"/>
            </w:tcBorders>
            <w:vAlign w:val="center"/>
            <w:hideMark/>
          </w:tcPr>
          <w:p w14:paraId="7F062313" w14:textId="77777777" w:rsidR="00957D64" w:rsidRDefault="00023E71" w:rsidP="00957D64">
            <w:pPr>
              <w:rPr>
                <w:rFonts w:ascii="Verdana" w:hAnsi="Verdana"/>
                <w:b/>
                <w:noProof/>
                <w:color w:val="000000" w:themeColor="text1"/>
                <w:sz w:val="14"/>
                <w:szCs w:val="14"/>
              </w:rPr>
            </w:pPr>
            <w:r>
              <w:rPr>
                <w:rFonts w:ascii="Verdana" w:hAnsi="Verdana"/>
                <w:b/>
                <w:noProof/>
                <w:color w:val="000000" w:themeColor="text1"/>
                <w:sz w:val="14"/>
                <w:szCs w:val="14"/>
              </w:rPr>
              <w:t>Total</w:t>
            </w:r>
          </w:p>
        </w:tc>
        <w:tc>
          <w:tcPr>
            <w:tcW w:w="1587" w:type="dxa"/>
            <w:tcBorders>
              <w:top w:val="single" w:sz="4" w:space="0" w:color="016794"/>
              <w:left w:val="nil"/>
              <w:bottom w:val="single" w:sz="4" w:space="0" w:color="016794"/>
              <w:right w:val="nil"/>
            </w:tcBorders>
            <w:vAlign w:val="center"/>
            <w:hideMark/>
          </w:tcPr>
          <w:p w14:paraId="297C8DEF" w14:textId="77777777" w:rsidR="00957D64" w:rsidRDefault="00023E71" w:rsidP="00957D64">
            <w:pPr>
              <w:jc w:val="right"/>
              <w:rPr>
                <w:rFonts w:ascii="Verdana" w:hAnsi="Verdana" w:cs="Arial"/>
                <w:b/>
                <w:bCs/>
                <w:noProof/>
                <w:sz w:val="14"/>
                <w:szCs w:val="14"/>
              </w:rPr>
            </w:pPr>
            <w:r w:rsidRPr="0022103C">
              <w:rPr>
                <w:rFonts w:ascii="Verdana" w:hAnsi="Verdana" w:cs="Calibri"/>
                <w:b/>
                <w:bCs/>
                <w:noProof/>
                <w:color w:val="000000"/>
                <w:sz w:val="14"/>
                <w:szCs w:val="14"/>
              </w:rPr>
              <w:t>277.2</w:t>
            </w:r>
          </w:p>
        </w:tc>
        <w:tc>
          <w:tcPr>
            <w:tcW w:w="1587" w:type="dxa"/>
            <w:tcBorders>
              <w:top w:val="single" w:sz="4" w:space="0" w:color="016794"/>
              <w:left w:val="nil"/>
              <w:bottom w:val="single" w:sz="4" w:space="0" w:color="016794"/>
              <w:right w:val="nil"/>
            </w:tcBorders>
            <w:vAlign w:val="center"/>
            <w:hideMark/>
          </w:tcPr>
          <w:p w14:paraId="2A5DD162" w14:textId="77777777" w:rsidR="00957D64" w:rsidRDefault="00023E71" w:rsidP="00957D64">
            <w:pPr>
              <w:jc w:val="right"/>
              <w:rPr>
                <w:rFonts w:ascii="Verdana" w:hAnsi="Verdana" w:cs="Arial"/>
                <w:b/>
                <w:bCs/>
                <w:noProof/>
                <w:sz w:val="14"/>
                <w:szCs w:val="14"/>
              </w:rPr>
            </w:pPr>
            <w:r>
              <w:rPr>
                <w:rFonts w:ascii="Verdana" w:hAnsi="Verdana" w:cs="Calibri"/>
                <w:b/>
                <w:bCs/>
                <w:noProof/>
                <w:color w:val="000000"/>
                <w:sz w:val="14"/>
                <w:szCs w:val="14"/>
              </w:rPr>
              <w:t>277.2</w:t>
            </w:r>
          </w:p>
        </w:tc>
        <w:tc>
          <w:tcPr>
            <w:tcW w:w="1587" w:type="dxa"/>
            <w:tcBorders>
              <w:top w:val="single" w:sz="4" w:space="0" w:color="016794"/>
              <w:left w:val="nil"/>
              <w:bottom w:val="single" w:sz="4" w:space="0" w:color="016794"/>
              <w:right w:val="nil"/>
            </w:tcBorders>
            <w:vAlign w:val="center"/>
          </w:tcPr>
          <w:p w14:paraId="6C3661FC" w14:textId="77777777" w:rsidR="00957D64" w:rsidRPr="00BC2AB5" w:rsidRDefault="00023E71" w:rsidP="00957D64">
            <w:pPr>
              <w:jc w:val="right"/>
              <w:rPr>
                <w:rFonts w:ascii="Verdana" w:hAnsi="Verdana" w:cs="Calibri"/>
                <w:b/>
                <w:bCs/>
                <w:noProof/>
                <w:color w:val="000000"/>
                <w:sz w:val="14"/>
                <w:szCs w:val="14"/>
              </w:rPr>
            </w:pPr>
            <w:r>
              <w:rPr>
                <w:rFonts w:ascii="Verdana" w:hAnsi="Verdana" w:cs="Calibri"/>
                <w:b/>
                <w:bCs/>
                <w:noProof/>
                <w:color w:val="000000"/>
                <w:sz w:val="14"/>
                <w:szCs w:val="14"/>
              </w:rPr>
              <w:t>155.9</w:t>
            </w:r>
          </w:p>
        </w:tc>
        <w:tc>
          <w:tcPr>
            <w:tcW w:w="1587" w:type="dxa"/>
            <w:tcBorders>
              <w:top w:val="single" w:sz="4" w:space="0" w:color="016794"/>
              <w:left w:val="nil"/>
              <w:bottom w:val="single" w:sz="4" w:space="0" w:color="016794"/>
              <w:right w:val="nil"/>
            </w:tcBorders>
            <w:vAlign w:val="center"/>
          </w:tcPr>
          <w:p w14:paraId="7D59E206" w14:textId="77777777" w:rsidR="00957D64" w:rsidRPr="00BC2AB5" w:rsidRDefault="00023E71" w:rsidP="00957D64">
            <w:pPr>
              <w:jc w:val="right"/>
              <w:rPr>
                <w:rFonts w:ascii="Verdana" w:hAnsi="Verdana" w:cs="Calibri"/>
                <w:b/>
                <w:bCs/>
                <w:noProof/>
                <w:color w:val="000000"/>
                <w:sz w:val="14"/>
                <w:szCs w:val="14"/>
                <w:highlight w:val="yellow"/>
              </w:rPr>
            </w:pPr>
            <w:r w:rsidRPr="00893EF6">
              <w:rPr>
                <w:rFonts w:ascii="Verdana" w:hAnsi="Verdana" w:cs="Calibri"/>
                <w:b/>
                <w:bCs/>
                <w:noProof/>
                <w:color w:val="000000"/>
                <w:sz w:val="14"/>
                <w:szCs w:val="14"/>
              </w:rPr>
              <w:t>–</w:t>
            </w:r>
          </w:p>
        </w:tc>
        <w:tc>
          <w:tcPr>
            <w:tcW w:w="1587" w:type="dxa"/>
            <w:tcBorders>
              <w:top w:val="single" w:sz="4" w:space="0" w:color="016794"/>
              <w:left w:val="nil"/>
              <w:bottom w:val="single" w:sz="4" w:space="0" w:color="016794"/>
              <w:right w:val="nil"/>
            </w:tcBorders>
            <w:vAlign w:val="center"/>
            <w:hideMark/>
          </w:tcPr>
          <w:p w14:paraId="7C410C84" w14:textId="77777777" w:rsidR="00957D64" w:rsidRPr="002542EA" w:rsidRDefault="00023E71" w:rsidP="00957D64">
            <w:pPr>
              <w:jc w:val="right"/>
              <w:rPr>
                <w:rFonts w:ascii="Verdana" w:hAnsi="Verdana" w:cs="Arial"/>
                <w:b/>
                <w:bCs/>
                <w:noProof/>
                <w:sz w:val="14"/>
                <w:szCs w:val="14"/>
                <w:highlight w:val="yellow"/>
              </w:rPr>
            </w:pPr>
            <w:r>
              <w:rPr>
                <w:rFonts w:ascii="Verdana" w:hAnsi="Verdana" w:cs="Calibri"/>
                <w:b/>
                <w:bCs/>
                <w:noProof/>
                <w:color w:val="000000"/>
                <w:sz w:val="14"/>
                <w:szCs w:val="14"/>
              </w:rPr>
              <w:t>155.9</w:t>
            </w:r>
          </w:p>
        </w:tc>
      </w:tr>
    </w:tbl>
    <w:p w14:paraId="5DD6160D" w14:textId="77777777" w:rsidR="00957D64" w:rsidRPr="007C181E" w:rsidRDefault="00023E71" w:rsidP="00957D64">
      <w:pPr>
        <w:pStyle w:val="DGTextstand-alone"/>
        <w:tabs>
          <w:tab w:val="left" w:pos="85"/>
        </w:tabs>
        <w:spacing w:before="60" w:after="120"/>
        <w:ind w:left="85" w:hanging="85"/>
        <w:rPr>
          <w:i/>
          <w:iCs/>
          <w:sz w:val="14"/>
          <w:szCs w:val="14"/>
        </w:rPr>
      </w:pPr>
      <w:r w:rsidRPr="007C181E">
        <w:rPr>
          <w:rFonts w:cs="Calibri"/>
          <w:i/>
          <w:iCs/>
          <w:color w:val="000000"/>
          <w:sz w:val="14"/>
          <w:szCs w:val="14"/>
          <w:vertAlign w:val="superscript"/>
        </w:rPr>
        <w:t>*</w:t>
      </w:r>
      <w:r w:rsidRPr="007C181E">
        <w:rPr>
          <w:rFonts w:cs="Calibri"/>
          <w:i/>
          <w:iCs/>
          <w:color w:val="000000"/>
          <w:sz w:val="14"/>
          <w:szCs w:val="14"/>
          <w:vertAlign w:val="superscript"/>
        </w:rPr>
        <w:tab/>
      </w:r>
      <w:r w:rsidRPr="007C181E">
        <w:rPr>
          <w:i/>
          <w:iCs/>
          <w:sz w:val="14"/>
          <w:szCs w:val="14"/>
        </w:rPr>
        <w:t>A total loan support of EUR 0.2 billion was made available to Cyprus by means of Council Implementing Decision of 28 July 2021 to support reforms and investments. Cyprus  has requested to remove those reforms and investments and has not requested to use the freed-up loan resources to support new measures or to increase the level of implementation of existing measures within its Recovery and Res</w:t>
      </w:r>
      <w:r>
        <w:rPr>
          <w:i/>
          <w:iCs/>
          <w:sz w:val="14"/>
          <w:szCs w:val="14"/>
        </w:rPr>
        <w:t>i</w:t>
      </w:r>
      <w:r w:rsidRPr="007C181E">
        <w:rPr>
          <w:i/>
          <w:iCs/>
          <w:sz w:val="14"/>
          <w:szCs w:val="14"/>
        </w:rPr>
        <w:t>lience Plan. Therefore, no loan support is made available to Cyprus going forward, and the loan pre-financing already disbursed, amounting to EUR 26.0 million, is repayable in line with the terms of the relevant loan agreement.</w:t>
      </w:r>
    </w:p>
    <w:p w14:paraId="7918D81F" w14:textId="77777777" w:rsidR="005D05BD" w:rsidRDefault="00023E71" w:rsidP="00E20707">
      <w:pPr>
        <w:pStyle w:val="DGTextstand-alone"/>
        <w:spacing w:after="120"/>
      </w:pPr>
      <w:r w:rsidRPr="00957D64">
        <w:t>During 2025, the Commission provided new financial loan support for an amount of EUR 47.2 billion. The main disbursements were to Italy (EUR 23.4 billion) and Spain (EUR 15.9 billion), followed by Poland (EUR 4.0 billion). According to the loan agreements, the Member States will repay 5% of the disbursed amounts on an annual basis, starting 10 years after the disbursement date. This results in a repayment period from 2032 to 2055 for the loans disbursed up until 31 December 2025.</w:t>
      </w:r>
    </w:p>
    <w:p w14:paraId="49281093" w14:textId="77777777" w:rsidR="00AA31A8" w:rsidRPr="00DC59B8" w:rsidRDefault="00023E71" w:rsidP="00DC59B8">
      <w:pPr>
        <w:pStyle w:val="HEADER2Part4"/>
      </w:pPr>
      <w:bookmarkStart w:id="24" w:name="_Toc232671725"/>
      <w:r>
        <w:t xml:space="preserve">Disbursements of non-repayable support to </w:t>
      </w:r>
      <w:r w:rsidRPr="00DC59B8">
        <w:t>programmes</w:t>
      </w:r>
      <w:r>
        <w:t xml:space="preserve"> </w:t>
      </w:r>
      <w:r w:rsidRPr="00DC59B8">
        <w:t>under the EU budget</w:t>
      </w:r>
      <w:bookmarkEnd w:id="24"/>
    </w:p>
    <w:p w14:paraId="2110C639" w14:textId="77777777" w:rsidR="00E20707" w:rsidRDefault="00023E71" w:rsidP="00E20707">
      <w:pPr>
        <w:pStyle w:val="DGTextstand-alone"/>
        <w:spacing w:after="120"/>
      </w:pPr>
      <w:r w:rsidRPr="00957D64">
        <w:t>At the end of 2025, the total amount of net payments disbursed to other programmes under the MFF stood at EUR 75.4 billion. This contribution, which is net of recoveries, mainly related to REACT-EU, which finances the European Regional Development Fund (ERDF) and the European Social Fund (ESF, including FEAD):</w:t>
      </w:r>
    </w:p>
    <w:tbl>
      <w:tblPr>
        <w:tblStyle w:val="TableGrid"/>
        <w:tblW w:w="96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324"/>
        <w:gridCol w:w="2381"/>
        <w:gridCol w:w="2381"/>
      </w:tblGrid>
      <w:tr w:rsidR="00807FFE" w14:paraId="21F6C135" w14:textId="77777777" w:rsidTr="008C41B3">
        <w:trPr>
          <w:trHeight w:val="255"/>
          <w:tblHeader/>
          <w:jc w:val="center"/>
        </w:trPr>
        <w:tc>
          <w:tcPr>
            <w:tcW w:w="2551" w:type="dxa"/>
            <w:vAlign w:val="center"/>
          </w:tcPr>
          <w:p w14:paraId="1B9144FD" w14:textId="77777777" w:rsidR="00E20707" w:rsidRPr="003432F1" w:rsidRDefault="00E20707" w:rsidP="008C41B3">
            <w:pPr>
              <w:pStyle w:val="DGTextstand-alone"/>
              <w:spacing w:before="0" w:after="0"/>
              <w:jc w:val="left"/>
              <w:rPr>
                <w:color w:val="000000" w:themeColor="text1"/>
              </w:rPr>
            </w:pPr>
          </w:p>
        </w:tc>
        <w:tc>
          <w:tcPr>
            <w:tcW w:w="2324" w:type="dxa"/>
            <w:vAlign w:val="center"/>
          </w:tcPr>
          <w:p w14:paraId="2F104DF1" w14:textId="77777777" w:rsidR="00E20707" w:rsidRPr="003432F1" w:rsidRDefault="00E20707" w:rsidP="008C41B3">
            <w:pPr>
              <w:pStyle w:val="DGTextstand-alone"/>
              <w:spacing w:before="0" w:after="0"/>
              <w:jc w:val="right"/>
              <w:rPr>
                <w:bCs/>
                <w:color w:val="000000" w:themeColor="text1"/>
              </w:rPr>
            </w:pPr>
          </w:p>
        </w:tc>
        <w:tc>
          <w:tcPr>
            <w:tcW w:w="2381" w:type="dxa"/>
            <w:vAlign w:val="center"/>
          </w:tcPr>
          <w:p w14:paraId="1F8ADA97" w14:textId="77777777" w:rsidR="00E20707" w:rsidRPr="003432F1" w:rsidRDefault="00E20707" w:rsidP="008C41B3">
            <w:pPr>
              <w:pStyle w:val="DGTextstand-alone"/>
              <w:spacing w:before="0" w:after="0"/>
              <w:jc w:val="right"/>
              <w:rPr>
                <w:bCs/>
                <w:color w:val="000000" w:themeColor="text1"/>
              </w:rPr>
            </w:pPr>
          </w:p>
        </w:tc>
        <w:tc>
          <w:tcPr>
            <w:tcW w:w="2381" w:type="dxa"/>
            <w:vAlign w:val="center"/>
          </w:tcPr>
          <w:p w14:paraId="2CF083A3" w14:textId="77777777" w:rsidR="00E20707" w:rsidRPr="003432F1" w:rsidRDefault="00023E71" w:rsidP="008C41B3">
            <w:pPr>
              <w:pStyle w:val="DGTextstand-alone"/>
              <w:spacing w:before="0" w:after="0"/>
              <w:jc w:val="right"/>
              <w:rPr>
                <w:bCs/>
                <w:i/>
                <w:color w:val="000000" w:themeColor="text1"/>
              </w:rPr>
            </w:pPr>
            <w:r w:rsidRPr="00444C2A">
              <w:rPr>
                <w:bCs/>
                <w:i/>
                <w:color w:val="000000" w:themeColor="text1"/>
                <w:sz w:val="14"/>
                <w:szCs w:val="16"/>
              </w:rPr>
              <w:t>EUR billion</w:t>
            </w:r>
          </w:p>
        </w:tc>
      </w:tr>
      <w:tr w:rsidR="00807FFE" w14:paraId="33B330FD" w14:textId="77777777" w:rsidTr="008C41B3">
        <w:trPr>
          <w:trHeight w:val="255"/>
          <w:tblHeader/>
          <w:jc w:val="center"/>
        </w:trPr>
        <w:tc>
          <w:tcPr>
            <w:tcW w:w="2551" w:type="dxa"/>
            <w:shd w:val="clear" w:color="auto" w:fill="016794"/>
            <w:vAlign w:val="center"/>
          </w:tcPr>
          <w:p w14:paraId="125EE28D" w14:textId="77777777" w:rsidR="00E20707" w:rsidRPr="00957D64" w:rsidRDefault="00023E71" w:rsidP="008C41B3">
            <w:pPr>
              <w:pStyle w:val="DGTextstand-alone"/>
              <w:spacing w:before="0" w:after="0"/>
              <w:jc w:val="left"/>
              <w:rPr>
                <w:b/>
                <w:color w:val="FFFFFF" w:themeColor="background1"/>
                <w:sz w:val="14"/>
                <w:szCs w:val="14"/>
              </w:rPr>
            </w:pPr>
            <w:r w:rsidRPr="00957D64">
              <w:rPr>
                <w:b/>
                <w:color w:val="FFFFFF" w:themeColor="background1"/>
                <w:sz w:val="14"/>
                <w:szCs w:val="14"/>
              </w:rPr>
              <w:br/>
              <w:t>MFF-Programme</w:t>
            </w:r>
          </w:p>
        </w:tc>
        <w:tc>
          <w:tcPr>
            <w:tcW w:w="2324" w:type="dxa"/>
            <w:shd w:val="clear" w:color="auto" w:fill="016794"/>
            <w:vAlign w:val="center"/>
          </w:tcPr>
          <w:p w14:paraId="5D25FBF6" w14:textId="77777777" w:rsidR="00E20707" w:rsidRPr="00957D64" w:rsidRDefault="00023E71" w:rsidP="008C41B3">
            <w:pPr>
              <w:pStyle w:val="DGTextstand-alone"/>
              <w:spacing w:before="0" w:after="0"/>
              <w:jc w:val="right"/>
              <w:rPr>
                <w:b/>
                <w:color w:val="FFFFFF" w:themeColor="background1"/>
                <w:sz w:val="14"/>
                <w:szCs w:val="14"/>
              </w:rPr>
            </w:pPr>
            <w:r w:rsidRPr="00957D64">
              <w:rPr>
                <w:b/>
                <w:color w:val="FFFFFF" w:themeColor="background1"/>
                <w:sz w:val="14"/>
                <w:szCs w:val="14"/>
              </w:rPr>
              <w:t>Total</w:t>
            </w:r>
            <w:r w:rsidRPr="00957D64">
              <w:rPr>
                <w:b/>
                <w:color w:val="FFFFFF" w:themeColor="background1"/>
                <w:sz w:val="14"/>
                <w:szCs w:val="14"/>
              </w:rPr>
              <w:br/>
              <w:t>allocation</w:t>
            </w:r>
            <w:r w:rsidR="00957D64">
              <w:rPr>
                <w:b/>
                <w:color w:val="FFFFFF" w:themeColor="background1"/>
                <w:sz w:val="14"/>
                <w:szCs w:val="14"/>
              </w:rPr>
              <w:br/>
              <w:t>31.12.2025</w:t>
            </w:r>
          </w:p>
        </w:tc>
        <w:tc>
          <w:tcPr>
            <w:tcW w:w="2381" w:type="dxa"/>
            <w:shd w:val="clear" w:color="auto" w:fill="016794"/>
            <w:vAlign w:val="center"/>
          </w:tcPr>
          <w:p w14:paraId="153FE3D0" w14:textId="77777777" w:rsidR="00E20707" w:rsidRPr="00957D64" w:rsidRDefault="00023E71" w:rsidP="008C41B3">
            <w:pPr>
              <w:pStyle w:val="DGTextstand-alone"/>
              <w:spacing w:before="0" w:after="0"/>
              <w:jc w:val="right"/>
              <w:rPr>
                <w:b/>
                <w:color w:val="FFFFFF" w:themeColor="background1"/>
                <w:sz w:val="14"/>
                <w:szCs w:val="14"/>
              </w:rPr>
            </w:pPr>
            <w:r w:rsidRPr="00957D64">
              <w:rPr>
                <w:b/>
                <w:color w:val="FFFFFF" w:themeColor="background1"/>
                <w:sz w:val="14"/>
                <w:szCs w:val="14"/>
              </w:rPr>
              <w:t xml:space="preserve">Total </w:t>
            </w:r>
            <w:r w:rsidRPr="00957D64">
              <w:rPr>
                <w:b/>
                <w:color w:val="FFFFFF" w:themeColor="background1"/>
                <w:sz w:val="14"/>
                <w:szCs w:val="14"/>
              </w:rPr>
              <w:br/>
              <w:t xml:space="preserve">net commitments </w:t>
            </w:r>
            <w:r w:rsidRPr="00957D64">
              <w:rPr>
                <w:b/>
                <w:color w:val="FFFFFF" w:themeColor="background1"/>
                <w:sz w:val="14"/>
                <w:szCs w:val="14"/>
              </w:rPr>
              <w:br/>
              <w:t>31.12.202</w:t>
            </w:r>
            <w:r w:rsidR="00957D64">
              <w:rPr>
                <w:b/>
                <w:color w:val="FFFFFF" w:themeColor="background1"/>
                <w:sz w:val="14"/>
                <w:szCs w:val="14"/>
              </w:rPr>
              <w:t>5</w:t>
            </w:r>
          </w:p>
        </w:tc>
        <w:tc>
          <w:tcPr>
            <w:tcW w:w="2381" w:type="dxa"/>
            <w:shd w:val="clear" w:color="auto" w:fill="016794"/>
            <w:vAlign w:val="center"/>
          </w:tcPr>
          <w:p w14:paraId="4F135510" w14:textId="77777777" w:rsidR="00E20707" w:rsidRPr="00957D64" w:rsidRDefault="00023E71" w:rsidP="008C41B3">
            <w:pPr>
              <w:pStyle w:val="DGTextstand-alone"/>
              <w:spacing w:before="0" w:after="0"/>
              <w:jc w:val="right"/>
              <w:rPr>
                <w:b/>
                <w:color w:val="FFFFFF" w:themeColor="background1"/>
                <w:sz w:val="14"/>
                <w:szCs w:val="14"/>
              </w:rPr>
            </w:pPr>
            <w:r w:rsidRPr="00957D64">
              <w:rPr>
                <w:b/>
                <w:bCs/>
                <w:color w:val="FFFFFF" w:themeColor="background1"/>
                <w:sz w:val="14"/>
                <w:szCs w:val="14"/>
              </w:rPr>
              <w:t>Total</w:t>
            </w:r>
            <w:r w:rsidRPr="00957D64">
              <w:rPr>
                <w:b/>
                <w:bCs/>
                <w:color w:val="FFFFFF" w:themeColor="background1"/>
                <w:sz w:val="14"/>
                <w:szCs w:val="14"/>
              </w:rPr>
              <w:br/>
              <w:t>net payments</w:t>
            </w:r>
            <w:r w:rsidRPr="00957D64">
              <w:rPr>
                <w:b/>
                <w:bCs/>
                <w:color w:val="FFFFFF" w:themeColor="background1"/>
                <w:sz w:val="14"/>
                <w:szCs w:val="14"/>
              </w:rPr>
              <w:br/>
              <w:t>31.12.202</w:t>
            </w:r>
            <w:r w:rsidR="00957D64">
              <w:rPr>
                <w:b/>
                <w:bCs/>
                <w:color w:val="FFFFFF" w:themeColor="background1"/>
                <w:sz w:val="14"/>
                <w:szCs w:val="14"/>
              </w:rPr>
              <w:t>5</w:t>
            </w:r>
          </w:p>
        </w:tc>
      </w:tr>
      <w:tr w:rsidR="00807FFE" w14:paraId="7409371A" w14:textId="77777777" w:rsidTr="00404E0E">
        <w:trPr>
          <w:trHeight w:val="255"/>
          <w:jc w:val="center"/>
        </w:trPr>
        <w:tc>
          <w:tcPr>
            <w:tcW w:w="2551" w:type="dxa"/>
            <w:vAlign w:val="center"/>
          </w:tcPr>
          <w:p w14:paraId="7C6B1C25" w14:textId="77777777" w:rsidR="00957D64" w:rsidRPr="009768F3" w:rsidRDefault="00023E71" w:rsidP="00957D64">
            <w:pPr>
              <w:rPr>
                <w:rFonts w:ascii="Verdana" w:hAnsi="Verdana"/>
                <w:noProof/>
                <w:color w:val="000000" w:themeColor="text1"/>
                <w:sz w:val="16"/>
                <w:szCs w:val="16"/>
              </w:rPr>
            </w:pPr>
            <w:r w:rsidRPr="005872B9">
              <w:rPr>
                <w:rFonts w:ascii="Verdana" w:hAnsi="Verdana"/>
                <w:noProof/>
                <w:color w:val="000000" w:themeColor="text1"/>
                <w:sz w:val="14"/>
                <w:szCs w:val="14"/>
              </w:rPr>
              <w:t>REACT-EU</w:t>
            </w:r>
          </w:p>
        </w:tc>
        <w:tc>
          <w:tcPr>
            <w:tcW w:w="2324" w:type="dxa"/>
            <w:vAlign w:val="center"/>
          </w:tcPr>
          <w:p w14:paraId="3423A729"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50.6</w:t>
            </w:r>
          </w:p>
        </w:tc>
        <w:tc>
          <w:tcPr>
            <w:tcW w:w="2381" w:type="dxa"/>
            <w:vAlign w:val="center"/>
          </w:tcPr>
          <w:p w14:paraId="56D0A324"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50.6</w:t>
            </w:r>
          </w:p>
        </w:tc>
        <w:tc>
          <w:tcPr>
            <w:tcW w:w="2381" w:type="dxa"/>
            <w:vAlign w:val="center"/>
          </w:tcPr>
          <w:p w14:paraId="1D0F6E5A"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50.4</w:t>
            </w:r>
          </w:p>
        </w:tc>
      </w:tr>
      <w:tr w:rsidR="00807FFE" w14:paraId="0A0BAC99" w14:textId="77777777" w:rsidTr="00404E0E">
        <w:trPr>
          <w:trHeight w:val="255"/>
          <w:jc w:val="center"/>
        </w:trPr>
        <w:tc>
          <w:tcPr>
            <w:tcW w:w="2551" w:type="dxa"/>
            <w:vAlign w:val="center"/>
          </w:tcPr>
          <w:p w14:paraId="2093DA6E" w14:textId="77777777" w:rsidR="00957D64" w:rsidRPr="00F24D8D" w:rsidRDefault="00023E71" w:rsidP="00957D64">
            <w:pPr>
              <w:rPr>
                <w:rFonts w:ascii="Verdana" w:hAnsi="Verdana"/>
                <w:i/>
                <w:iCs/>
                <w:noProof/>
                <w:color w:val="000000" w:themeColor="text1"/>
                <w:sz w:val="16"/>
                <w:szCs w:val="16"/>
              </w:rPr>
            </w:pPr>
            <w:r w:rsidRPr="005872B9">
              <w:rPr>
                <w:rFonts w:ascii="Verdana" w:hAnsi="Verdana"/>
                <w:i/>
                <w:iCs/>
                <w:noProof/>
                <w:color w:val="000000" w:themeColor="text1"/>
                <w:sz w:val="14"/>
                <w:szCs w:val="14"/>
              </w:rPr>
              <w:t>- of which ERDF</w:t>
            </w:r>
          </w:p>
        </w:tc>
        <w:tc>
          <w:tcPr>
            <w:tcW w:w="2324" w:type="dxa"/>
            <w:vAlign w:val="center"/>
          </w:tcPr>
          <w:p w14:paraId="632F7CB5" w14:textId="77777777" w:rsidR="00957D64" w:rsidRPr="002C7C1D" w:rsidRDefault="00023E71" w:rsidP="00957D64">
            <w:pPr>
              <w:jc w:val="right"/>
              <w:rPr>
                <w:rFonts w:ascii="Verdana" w:hAnsi="Verdana" w:cs="Calibri"/>
                <w:i/>
                <w:iCs/>
                <w:noProof/>
                <w:color w:val="000000"/>
                <w:sz w:val="16"/>
                <w:szCs w:val="16"/>
              </w:rPr>
            </w:pPr>
            <w:r w:rsidRPr="002C7C1D">
              <w:rPr>
                <w:rFonts w:ascii="Verdana" w:hAnsi="Verdana" w:cs="Calibri"/>
                <w:i/>
                <w:iCs/>
                <w:noProof/>
                <w:color w:val="000000"/>
                <w:sz w:val="14"/>
                <w:szCs w:val="14"/>
              </w:rPr>
              <w:t>30.0</w:t>
            </w:r>
          </w:p>
        </w:tc>
        <w:tc>
          <w:tcPr>
            <w:tcW w:w="2381" w:type="dxa"/>
            <w:vAlign w:val="center"/>
          </w:tcPr>
          <w:p w14:paraId="2FD02849" w14:textId="77777777" w:rsidR="00957D64" w:rsidRPr="002C7C1D" w:rsidRDefault="00023E71" w:rsidP="00957D64">
            <w:pPr>
              <w:jc w:val="right"/>
              <w:rPr>
                <w:rFonts w:ascii="Verdana" w:hAnsi="Verdana" w:cs="Calibri"/>
                <w:i/>
                <w:iCs/>
                <w:noProof/>
                <w:color w:val="000000"/>
                <w:sz w:val="16"/>
                <w:szCs w:val="16"/>
              </w:rPr>
            </w:pPr>
            <w:r w:rsidRPr="002C7C1D">
              <w:rPr>
                <w:rFonts w:ascii="Verdana" w:hAnsi="Verdana" w:cs="Calibri"/>
                <w:i/>
                <w:iCs/>
                <w:noProof/>
                <w:color w:val="000000"/>
                <w:sz w:val="14"/>
                <w:szCs w:val="14"/>
              </w:rPr>
              <w:t>30.0</w:t>
            </w:r>
          </w:p>
        </w:tc>
        <w:tc>
          <w:tcPr>
            <w:tcW w:w="2381" w:type="dxa"/>
            <w:vAlign w:val="center"/>
          </w:tcPr>
          <w:p w14:paraId="5FA64E03" w14:textId="77777777" w:rsidR="00957D64" w:rsidRPr="002C7C1D" w:rsidRDefault="00023E71" w:rsidP="00957D64">
            <w:pPr>
              <w:jc w:val="right"/>
              <w:rPr>
                <w:rFonts w:ascii="Verdana" w:hAnsi="Verdana" w:cs="Calibri"/>
                <w:i/>
                <w:iCs/>
                <w:noProof/>
                <w:color w:val="000000"/>
                <w:sz w:val="16"/>
                <w:szCs w:val="16"/>
              </w:rPr>
            </w:pPr>
            <w:r w:rsidRPr="002C7C1D">
              <w:rPr>
                <w:rFonts w:ascii="Verdana" w:hAnsi="Verdana" w:cs="Calibri"/>
                <w:i/>
                <w:iCs/>
                <w:noProof/>
                <w:color w:val="000000"/>
                <w:sz w:val="14"/>
                <w:szCs w:val="14"/>
              </w:rPr>
              <w:t>29.9</w:t>
            </w:r>
          </w:p>
        </w:tc>
      </w:tr>
      <w:tr w:rsidR="00807FFE" w14:paraId="39A11E0E" w14:textId="77777777" w:rsidTr="00404E0E">
        <w:trPr>
          <w:trHeight w:val="255"/>
          <w:jc w:val="center"/>
        </w:trPr>
        <w:tc>
          <w:tcPr>
            <w:tcW w:w="2551" w:type="dxa"/>
            <w:vAlign w:val="center"/>
          </w:tcPr>
          <w:p w14:paraId="7CE92572" w14:textId="77777777" w:rsidR="00957D64" w:rsidRPr="00F24D8D" w:rsidRDefault="00023E71" w:rsidP="00957D64">
            <w:pPr>
              <w:rPr>
                <w:rFonts w:ascii="Verdana" w:hAnsi="Verdana"/>
                <w:i/>
                <w:iCs/>
                <w:noProof/>
                <w:color w:val="000000" w:themeColor="text1"/>
                <w:sz w:val="16"/>
                <w:szCs w:val="16"/>
              </w:rPr>
            </w:pPr>
            <w:r w:rsidRPr="005872B9">
              <w:rPr>
                <w:rFonts w:ascii="Verdana" w:hAnsi="Verdana"/>
                <w:i/>
                <w:iCs/>
                <w:noProof/>
                <w:color w:val="000000" w:themeColor="text1"/>
                <w:sz w:val="14"/>
                <w:szCs w:val="14"/>
              </w:rPr>
              <w:t>- of which ESF (incl. FEAD)</w:t>
            </w:r>
          </w:p>
        </w:tc>
        <w:tc>
          <w:tcPr>
            <w:tcW w:w="2324" w:type="dxa"/>
            <w:vAlign w:val="center"/>
          </w:tcPr>
          <w:p w14:paraId="174E8BA4" w14:textId="77777777" w:rsidR="00957D64" w:rsidRPr="002C7C1D" w:rsidRDefault="00023E71" w:rsidP="00957D64">
            <w:pPr>
              <w:jc w:val="right"/>
              <w:rPr>
                <w:rFonts w:ascii="Verdana" w:hAnsi="Verdana" w:cs="Calibri"/>
                <w:i/>
                <w:iCs/>
                <w:noProof/>
                <w:color w:val="000000"/>
                <w:sz w:val="16"/>
                <w:szCs w:val="16"/>
              </w:rPr>
            </w:pPr>
            <w:r w:rsidRPr="002C7C1D">
              <w:rPr>
                <w:rFonts w:ascii="Verdana" w:hAnsi="Verdana" w:cs="Calibri"/>
                <w:i/>
                <w:iCs/>
                <w:noProof/>
                <w:color w:val="000000"/>
                <w:sz w:val="14"/>
                <w:szCs w:val="14"/>
              </w:rPr>
              <w:t>20.6</w:t>
            </w:r>
          </w:p>
        </w:tc>
        <w:tc>
          <w:tcPr>
            <w:tcW w:w="2381" w:type="dxa"/>
            <w:vAlign w:val="center"/>
          </w:tcPr>
          <w:p w14:paraId="3B4FC48E" w14:textId="77777777" w:rsidR="00957D64" w:rsidRPr="002C7C1D" w:rsidRDefault="00023E71" w:rsidP="00957D64">
            <w:pPr>
              <w:jc w:val="right"/>
              <w:rPr>
                <w:rFonts w:ascii="Verdana" w:hAnsi="Verdana" w:cs="Calibri"/>
                <w:i/>
                <w:iCs/>
                <w:noProof/>
                <w:color w:val="000000"/>
                <w:sz w:val="16"/>
                <w:szCs w:val="16"/>
              </w:rPr>
            </w:pPr>
            <w:r w:rsidRPr="002C7C1D">
              <w:rPr>
                <w:rFonts w:ascii="Verdana" w:hAnsi="Verdana" w:cs="Calibri"/>
                <w:i/>
                <w:iCs/>
                <w:noProof/>
                <w:color w:val="000000"/>
                <w:sz w:val="14"/>
                <w:szCs w:val="14"/>
              </w:rPr>
              <w:t>20.6</w:t>
            </w:r>
          </w:p>
        </w:tc>
        <w:tc>
          <w:tcPr>
            <w:tcW w:w="2381" w:type="dxa"/>
            <w:vAlign w:val="center"/>
          </w:tcPr>
          <w:p w14:paraId="7E345B57" w14:textId="77777777" w:rsidR="00957D64" w:rsidRPr="002C7C1D" w:rsidRDefault="00023E71" w:rsidP="00957D64">
            <w:pPr>
              <w:jc w:val="right"/>
              <w:rPr>
                <w:rFonts w:ascii="Verdana" w:hAnsi="Verdana" w:cs="Calibri"/>
                <w:i/>
                <w:iCs/>
                <w:noProof/>
                <w:color w:val="000000"/>
                <w:sz w:val="16"/>
                <w:szCs w:val="16"/>
              </w:rPr>
            </w:pPr>
            <w:r w:rsidRPr="002C7C1D">
              <w:rPr>
                <w:rFonts w:ascii="Verdana" w:hAnsi="Verdana" w:cs="Calibri"/>
                <w:i/>
                <w:iCs/>
                <w:noProof/>
                <w:color w:val="000000"/>
                <w:sz w:val="14"/>
                <w:szCs w:val="14"/>
              </w:rPr>
              <w:t>20.5</w:t>
            </w:r>
          </w:p>
        </w:tc>
      </w:tr>
      <w:tr w:rsidR="00807FFE" w14:paraId="44011376" w14:textId="77777777" w:rsidTr="00404E0E">
        <w:trPr>
          <w:trHeight w:val="255"/>
          <w:jc w:val="center"/>
        </w:trPr>
        <w:tc>
          <w:tcPr>
            <w:tcW w:w="2551" w:type="dxa"/>
            <w:vAlign w:val="center"/>
          </w:tcPr>
          <w:p w14:paraId="750AC5E4" w14:textId="77777777" w:rsidR="00957D64" w:rsidRPr="009768F3" w:rsidRDefault="00023E71" w:rsidP="00957D64">
            <w:pPr>
              <w:rPr>
                <w:rFonts w:ascii="Verdana" w:hAnsi="Verdana"/>
                <w:noProof/>
                <w:color w:val="000000" w:themeColor="text1"/>
                <w:sz w:val="16"/>
                <w:szCs w:val="16"/>
              </w:rPr>
            </w:pPr>
            <w:r w:rsidRPr="005872B9">
              <w:rPr>
                <w:rFonts w:ascii="Verdana" w:hAnsi="Verdana"/>
                <w:noProof/>
                <w:color w:val="000000" w:themeColor="text1"/>
                <w:sz w:val="14"/>
                <w:szCs w:val="14"/>
              </w:rPr>
              <w:t>Just Transition Fund</w:t>
            </w:r>
          </w:p>
        </w:tc>
        <w:tc>
          <w:tcPr>
            <w:tcW w:w="2324" w:type="dxa"/>
            <w:vAlign w:val="center"/>
          </w:tcPr>
          <w:p w14:paraId="3956AE9E"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10.9</w:t>
            </w:r>
          </w:p>
        </w:tc>
        <w:tc>
          <w:tcPr>
            <w:tcW w:w="2381" w:type="dxa"/>
            <w:vAlign w:val="center"/>
          </w:tcPr>
          <w:p w14:paraId="4D75C7BA"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10.8</w:t>
            </w:r>
          </w:p>
        </w:tc>
        <w:tc>
          <w:tcPr>
            <w:tcW w:w="2381" w:type="dxa"/>
            <w:vAlign w:val="center"/>
          </w:tcPr>
          <w:p w14:paraId="3A7C0CBA"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7.4</w:t>
            </w:r>
          </w:p>
        </w:tc>
      </w:tr>
      <w:tr w:rsidR="00807FFE" w14:paraId="68578188" w14:textId="77777777" w:rsidTr="00404E0E">
        <w:trPr>
          <w:trHeight w:val="255"/>
          <w:jc w:val="center"/>
        </w:trPr>
        <w:tc>
          <w:tcPr>
            <w:tcW w:w="2551" w:type="dxa"/>
            <w:vAlign w:val="center"/>
          </w:tcPr>
          <w:p w14:paraId="7854722D" w14:textId="77777777" w:rsidR="00957D64" w:rsidRPr="009768F3" w:rsidRDefault="00023E71" w:rsidP="00957D64">
            <w:pPr>
              <w:rPr>
                <w:rFonts w:ascii="Verdana" w:hAnsi="Verdana"/>
                <w:noProof/>
                <w:color w:val="000000" w:themeColor="text1"/>
                <w:sz w:val="16"/>
                <w:szCs w:val="16"/>
              </w:rPr>
            </w:pPr>
            <w:r w:rsidRPr="005872B9">
              <w:rPr>
                <w:rFonts w:ascii="Verdana" w:hAnsi="Verdana"/>
                <w:noProof/>
                <w:color w:val="000000" w:themeColor="text1"/>
                <w:sz w:val="14"/>
                <w:szCs w:val="14"/>
              </w:rPr>
              <w:t>Rural Development (EAFRD)</w:t>
            </w:r>
          </w:p>
        </w:tc>
        <w:tc>
          <w:tcPr>
            <w:tcW w:w="2324" w:type="dxa"/>
            <w:vAlign w:val="center"/>
          </w:tcPr>
          <w:p w14:paraId="5AAD2028"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8.1</w:t>
            </w:r>
          </w:p>
        </w:tc>
        <w:tc>
          <w:tcPr>
            <w:tcW w:w="2381" w:type="dxa"/>
            <w:vAlign w:val="center"/>
          </w:tcPr>
          <w:p w14:paraId="3EB78974"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8.1</w:t>
            </w:r>
          </w:p>
        </w:tc>
        <w:tc>
          <w:tcPr>
            <w:tcW w:w="2381" w:type="dxa"/>
            <w:vAlign w:val="center"/>
          </w:tcPr>
          <w:p w14:paraId="222108B3"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6.0</w:t>
            </w:r>
          </w:p>
        </w:tc>
      </w:tr>
      <w:tr w:rsidR="00807FFE" w14:paraId="5FA38921" w14:textId="77777777" w:rsidTr="00404E0E">
        <w:trPr>
          <w:trHeight w:val="255"/>
          <w:jc w:val="center"/>
        </w:trPr>
        <w:tc>
          <w:tcPr>
            <w:tcW w:w="2551" w:type="dxa"/>
            <w:vAlign w:val="center"/>
          </w:tcPr>
          <w:p w14:paraId="00113BB1" w14:textId="77777777" w:rsidR="00957D64" w:rsidRPr="009768F3" w:rsidRDefault="00023E71" w:rsidP="00957D64">
            <w:pPr>
              <w:rPr>
                <w:rFonts w:ascii="Verdana" w:hAnsi="Verdana"/>
                <w:noProof/>
                <w:color w:val="000000" w:themeColor="text1"/>
                <w:sz w:val="16"/>
                <w:szCs w:val="16"/>
              </w:rPr>
            </w:pPr>
            <w:r w:rsidRPr="005872B9">
              <w:rPr>
                <w:rFonts w:ascii="Verdana" w:hAnsi="Verdana"/>
                <w:noProof/>
                <w:color w:val="000000" w:themeColor="text1"/>
                <w:sz w:val="14"/>
                <w:szCs w:val="14"/>
              </w:rPr>
              <w:t>InvestEU</w:t>
            </w:r>
          </w:p>
        </w:tc>
        <w:tc>
          <w:tcPr>
            <w:tcW w:w="2324" w:type="dxa"/>
            <w:vAlign w:val="center"/>
          </w:tcPr>
          <w:p w14:paraId="302B9D64"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6.1</w:t>
            </w:r>
          </w:p>
        </w:tc>
        <w:tc>
          <w:tcPr>
            <w:tcW w:w="2381" w:type="dxa"/>
            <w:vAlign w:val="center"/>
          </w:tcPr>
          <w:p w14:paraId="1441BFA0"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6.1</w:t>
            </w:r>
          </w:p>
        </w:tc>
        <w:tc>
          <w:tcPr>
            <w:tcW w:w="2381" w:type="dxa"/>
            <w:vAlign w:val="center"/>
          </w:tcPr>
          <w:p w14:paraId="39612A60"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4.9</w:t>
            </w:r>
          </w:p>
        </w:tc>
      </w:tr>
      <w:tr w:rsidR="00807FFE" w14:paraId="5FAEFC6B" w14:textId="77777777" w:rsidTr="00404E0E">
        <w:trPr>
          <w:trHeight w:val="255"/>
          <w:jc w:val="center"/>
        </w:trPr>
        <w:tc>
          <w:tcPr>
            <w:tcW w:w="2551" w:type="dxa"/>
            <w:vAlign w:val="center"/>
          </w:tcPr>
          <w:p w14:paraId="1FD0922E" w14:textId="77777777" w:rsidR="00957D64" w:rsidRPr="009768F3" w:rsidRDefault="00023E71" w:rsidP="00957D64">
            <w:pPr>
              <w:rPr>
                <w:rFonts w:ascii="Verdana" w:hAnsi="Verdana"/>
                <w:noProof/>
                <w:color w:val="000000" w:themeColor="text1"/>
                <w:sz w:val="16"/>
                <w:szCs w:val="16"/>
              </w:rPr>
            </w:pPr>
            <w:r w:rsidRPr="005872B9">
              <w:rPr>
                <w:rFonts w:ascii="Verdana" w:hAnsi="Verdana"/>
                <w:noProof/>
                <w:color w:val="000000" w:themeColor="text1"/>
                <w:sz w:val="14"/>
                <w:szCs w:val="14"/>
              </w:rPr>
              <w:t>Horizon Europe</w:t>
            </w:r>
          </w:p>
        </w:tc>
        <w:tc>
          <w:tcPr>
            <w:tcW w:w="2324" w:type="dxa"/>
            <w:vAlign w:val="center"/>
          </w:tcPr>
          <w:p w14:paraId="1F84A45D"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5.4</w:t>
            </w:r>
          </w:p>
        </w:tc>
        <w:tc>
          <w:tcPr>
            <w:tcW w:w="2381" w:type="dxa"/>
            <w:vAlign w:val="center"/>
          </w:tcPr>
          <w:p w14:paraId="3EA2395C"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5.4</w:t>
            </w:r>
          </w:p>
        </w:tc>
        <w:tc>
          <w:tcPr>
            <w:tcW w:w="2381" w:type="dxa"/>
            <w:vAlign w:val="center"/>
          </w:tcPr>
          <w:p w14:paraId="707F5363"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5.2</w:t>
            </w:r>
          </w:p>
        </w:tc>
      </w:tr>
      <w:tr w:rsidR="00807FFE" w14:paraId="2524241F" w14:textId="77777777" w:rsidTr="00404E0E">
        <w:trPr>
          <w:trHeight w:val="255"/>
          <w:jc w:val="center"/>
        </w:trPr>
        <w:tc>
          <w:tcPr>
            <w:tcW w:w="2551" w:type="dxa"/>
            <w:vAlign w:val="center"/>
          </w:tcPr>
          <w:p w14:paraId="57166DA9" w14:textId="77777777" w:rsidR="00957D64" w:rsidRPr="009768F3" w:rsidRDefault="00023E71" w:rsidP="00957D64">
            <w:pPr>
              <w:rPr>
                <w:rFonts w:ascii="Verdana" w:hAnsi="Verdana"/>
                <w:noProof/>
                <w:color w:val="000000" w:themeColor="text1"/>
                <w:sz w:val="16"/>
                <w:szCs w:val="16"/>
              </w:rPr>
            </w:pPr>
            <w:r w:rsidRPr="005872B9">
              <w:rPr>
                <w:rFonts w:ascii="Verdana" w:hAnsi="Verdana"/>
                <w:noProof/>
                <w:color w:val="000000" w:themeColor="text1"/>
                <w:sz w:val="14"/>
                <w:szCs w:val="14"/>
              </w:rPr>
              <w:t>RescEU</w:t>
            </w:r>
          </w:p>
        </w:tc>
        <w:tc>
          <w:tcPr>
            <w:tcW w:w="2324" w:type="dxa"/>
            <w:vAlign w:val="center"/>
          </w:tcPr>
          <w:p w14:paraId="1279CF9A"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2.0</w:t>
            </w:r>
          </w:p>
        </w:tc>
        <w:tc>
          <w:tcPr>
            <w:tcW w:w="2381" w:type="dxa"/>
            <w:vAlign w:val="center"/>
          </w:tcPr>
          <w:p w14:paraId="661E0D4D"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2.0</w:t>
            </w:r>
          </w:p>
        </w:tc>
        <w:tc>
          <w:tcPr>
            <w:tcW w:w="2381" w:type="dxa"/>
            <w:vAlign w:val="center"/>
          </w:tcPr>
          <w:p w14:paraId="29F13251" w14:textId="77777777" w:rsidR="00957D64" w:rsidRPr="00404E0E" w:rsidRDefault="00023E71" w:rsidP="00957D64">
            <w:pPr>
              <w:jc w:val="right"/>
              <w:rPr>
                <w:rFonts w:ascii="Verdana" w:hAnsi="Verdana" w:cs="Calibri"/>
                <w:noProof/>
                <w:color w:val="000000"/>
                <w:sz w:val="16"/>
                <w:szCs w:val="16"/>
              </w:rPr>
            </w:pPr>
            <w:r w:rsidRPr="005872B9">
              <w:rPr>
                <w:rFonts w:ascii="Verdana" w:hAnsi="Verdana" w:cs="Calibri"/>
                <w:noProof/>
                <w:color w:val="000000"/>
                <w:sz w:val="14"/>
                <w:szCs w:val="14"/>
              </w:rPr>
              <w:t>1.5</w:t>
            </w:r>
          </w:p>
        </w:tc>
      </w:tr>
      <w:tr w:rsidR="00807FFE" w14:paraId="4E61AEC7" w14:textId="77777777" w:rsidTr="00404E0E">
        <w:trPr>
          <w:trHeight w:val="255"/>
          <w:jc w:val="center"/>
        </w:trPr>
        <w:tc>
          <w:tcPr>
            <w:tcW w:w="2551" w:type="dxa"/>
            <w:tcBorders>
              <w:top w:val="single" w:sz="4" w:space="0" w:color="016794"/>
              <w:bottom w:val="single" w:sz="4" w:space="0" w:color="016794"/>
            </w:tcBorders>
            <w:vAlign w:val="center"/>
          </w:tcPr>
          <w:p w14:paraId="768A72CE" w14:textId="77777777" w:rsidR="00957D64" w:rsidRPr="009D5F8E" w:rsidRDefault="00023E71" w:rsidP="00957D64">
            <w:pPr>
              <w:rPr>
                <w:rFonts w:ascii="Verdana" w:hAnsi="Verdana"/>
                <w:b/>
                <w:bCs/>
                <w:noProof/>
                <w:color w:val="000000" w:themeColor="text1"/>
                <w:sz w:val="16"/>
                <w:szCs w:val="16"/>
              </w:rPr>
            </w:pPr>
            <w:r w:rsidRPr="005872B9">
              <w:rPr>
                <w:rFonts w:ascii="Verdana" w:hAnsi="Verdana"/>
                <w:b/>
                <w:bCs/>
                <w:noProof/>
                <w:color w:val="000000" w:themeColor="text1"/>
                <w:sz w:val="14"/>
                <w:szCs w:val="14"/>
              </w:rPr>
              <w:t>Total</w:t>
            </w:r>
          </w:p>
        </w:tc>
        <w:tc>
          <w:tcPr>
            <w:tcW w:w="2324" w:type="dxa"/>
            <w:tcBorders>
              <w:top w:val="single" w:sz="4" w:space="0" w:color="016794"/>
              <w:bottom w:val="single" w:sz="4" w:space="0" w:color="016794"/>
            </w:tcBorders>
            <w:vAlign w:val="center"/>
          </w:tcPr>
          <w:p w14:paraId="386335DB" w14:textId="77777777" w:rsidR="00957D64" w:rsidRPr="00404E0E" w:rsidRDefault="00023E71" w:rsidP="00957D64">
            <w:pPr>
              <w:jc w:val="right"/>
              <w:rPr>
                <w:rFonts w:ascii="Verdana" w:hAnsi="Verdana" w:cs="Calibri"/>
                <w:b/>
                <w:bCs/>
                <w:noProof/>
                <w:color w:val="000000"/>
                <w:sz w:val="16"/>
                <w:szCs w:val="16"/>
              </w:rPr>
            </w:pPr>
            <w:r w:rsidRPr="005872B9">
              <w:rPr>
                <w:rFonts w:ascii="Verdana" w:hAnsi="Verdana" w:cs="Calibri"/>
                <w:b/>
                <w:bCs/>
                <w:noProof/>
                <w:color w:val="000000"/>
                <w:sz w:val="14"/>
                <w:szCs w:val="14"/>
              </w:rPr>
              <w:t>83.1</w:t>
            </w:r>
          </w:p>
        </w:tc>
        <w:tc>
          <w:tcPr>
            <w:tcW w:w="2381" w:type="dxa"/>
            <w:tcBorders>
              <w:top w:val="single" w:sz="4" w:space="0" w:color="016794"/>
              <w:bottom w:val="single" w:sz="4" w:space="0" w:color="016794"/>
            </w:tcBorders>
            <w:vAlign w:val="center"/>
          </w:tcPr>
          <w:p w14:paraId="5115F77C" w14:textId="77777777" w:rsidR="00957D64" w:rsidRPr="00404E0E" w:rsidRDefault="00023E71" w:rsidP="00957D64">
            <w:pPr>
              <w:jc w:val="right"/>
              <w:rPr>
                <w:rFonts w:ascii="Verdana" w:hAnsi="Verdana" w:cs="Calibri"/>
                <w:b/>
                <w:bCs/>
                <w:noProof/>
                <w:color w:val="000000"/>
                <w:sz w:val="16"/>
                <w:szCs w:val="16"/>
              </w:rPr>
            </w:pPr>
            <w:r w:rsidRPr="005872B9">
              <w:rPr>
                <w:rFonts w:ascii="Verdana" w:hAnsi="Verdana" w:cs="Calibri"/>
                <w:b/>
                <w:bCs/>
                <w:noProof/>
                <w:color w:val="000000"/>
                <w:sz w:val="14"/>
                <w:szCs w:val="14"/>
              </w:rPr>
              <w:t>83.0</w:t>
            </w:r>
          </w:p>
        </w:tc>
        <w:tc>
          <w:tcPr>
            <w:tcW w:w="2381" w:type="dxa"/>
            <w:tcBorders>
              <w:top w:val="single" w:sz="4" w:space="0" w:color="016794"/>
              <w:bottom w:val="single" w:sz="4" w:space="0" w:color="016794"/>
            </w:tcBorders>
            <w:vAlign w:val="center"/>
          </w:tcPr>
          <w:p w14:paraId="52C44396" w14:textId="77777777" w:rsidR="00957D64" w:rsidRPr="00404E0E" w:rsidRDefault="00023E71" w:rsidP="00957D64">
            <w:pPr>
              <w:jc w:val="right"/>
              <w:rPr>
                <w:rFonts w:ascii="Verdana" w:hAnsi="Verdana" w:cs="Calibri"/>
                <w:b/>
                <w:bCs/>
                <w:noProof/>
                <w:color w:val="000000"/>
                <w:sz w:val="16"/>
                <w:szCs w:val="16"/>
              </w:rPr>
            </w:pPr>
            <w:r w:rsidRPr="005872B9">
              <w:rPr>
                <w:rFonts w:ascii="Verdana" w:hAnsi="Verdana" w:cs="Calibri"/>
                <w:b/>
                <w:bCs/>
                <w:noProof/>
                <w:color w:val="000000"/>
                <w:sz w:val="14"/>
                <w:szCs w:val="14"/>
              </w:rPr>
              <w:t>75.4</w:t>
            </w:r>
          </w:p>
        </w:tc>
      </w:tr>
    </w:tbl>
    <w:p w14:paraId="147AE79B" w14:textId="77777777" w:rsidR="00957D64" w:rsidRDefault="00023E71" w:rsidP="00DE2729">
      <w:pPr>
        <w:pStyle w:val="DGTextstand-alone"/>
      </w:pPr>
      <w:r>
        <w:t>During 2025, the Commission disbursed EUR 8.5 billion in payments to other MFF programmes</w:t>
      </w:r>
      <w:r w:rsidR="003E6AA9">
        <w:t xml:space="preserve">, most of which </w:t>
      </w:r>
      <w:r>
        <w:t>to REACT-EU (</w:t>
      </w:r>
      <w:r w:rsidR="003E6AA9">
        <w:t>EUR 4.1 billion</w:t>
      </w:r>
      <w:r>
        <w:t>).</w:t>
      </w:r>
      <w:r>
        <w:br w:type="page"/>
      </w:r>
    </w:p>
    <w:p w14:paraId="20DFCF0A" w14:textId="77777777" w:rsidR="00E64547" w:rsidRPr="00362AC0" w:rsidRDefault="00023E71" w:rsidP="00362AC0">
      <w:pPr>
        <w:pStyle w:val="HEADER1Part4"/>
        <w:rPr>
          <w:noProof/>
        </w:rPr>
      </w:pPr>
      <w:bookmarkStart w:id="25" w:name="_Toc232671726"/>
      <w:bookmarkEnd w:id="9"/>
      <w:r w:rsidRPr="00362AC0">
        <w:rPr>
          <w:noProof/>
        </w:rPr>
        <w:t>FINANCIAL STATEMENTS ANALYSIS</w:t>
      </w:r>
      <w:bookmarkEnd w:id="25"/>
    </w:p>
    <w:p w14:paraId="45166536" w14:textId="77777777" w:rsidR="002613EE" w:rsidRPr="00DC59B8" w:rsidRDefault="00023E71" w:rsidP="00DC59B8">
      <w:pPr>
        <w:pStyle w:val="HEADER2Part4"/>
      </w:pPr>
      <w:bookmarkStart w:id="26" w:name="_Toc168670247"/>
      <w:bookmarkStart w:id="27" w:name="_Toc232671727"/>
      <w:r w:rsidRPr="00DC59B8">
        <w:t>Revenue</w:t>
      </w:r>
      <w:bookmarkEnd w:id="26"/>
      <w:bookmarkEnd w:id="27"/>
    </w:p>
    <w:p w14:paraId="07359366" w14:textId="77777777" w:rsidR="001931A1" w:rsidRPr="001E6923" w:rsidRDefault="00023E71" w:rsidP="001931A1">
      <w:pPr>
        <w:pStyle w:val="DGTextstand-alone"/>
      </w:pPr>
      <w:r w:rsidRPr="001E6923">
        <w:t>The consolidated revenue of the EU incorporates amounts related to exchange transactions and non</w:t>
      </w:r>
      <w:r w:rsidR="00320649" w:rsidRPr="001E6923">
        <w:t>-</w:t>
      </w:r>
      <w:r w:rsidRPr="001E6923">
        <w:t>exchange transactions, the latter being the most significant. The five-year trend of the main non-exchange revenue categories (comprising GNI resources, Traditional own resources, VAT resources,</w:t>
      </w:r>
      <w:r>
        <w:t xml:space="preserve"> Plastics own resources</w:t>
      </w:r>
      <w:r w:rsidR="00757FA7">
        <w:t xml:space="preserve">, </w:t>
      </w:r>
      <w:r w:rsidRPr="001E6923">
        <w:t>Fines and Recovery of expenses</w:t>
      </w:r>
      <w:r w:rsidR="00BB5C7F">
        <w:t>)</w:t>
      </w:r>
      <w:r w:rsidR="00EE769F">
        <w:t xml:space="preserve"> </w:t>
      </w:r>
      <w:r w:rsidRPr="001E6923">
        <w:t>is as follows:</w:t>
      </w:r>
    </w:p>
    <w:p w14:paraId="2D646E2C" w14:textId="77777777" w:rsidR="001931A1" w:rsidRPr="001329AB" w:rsidRDefault="00023E71" w:rsidP="00BB5C7F">
      <w:pPr>
        <w:pStyle w:val="HEADER5"/>
        <w:spacing w:after="120"/>
        <w:rPr>
          <w:b/>
          <w:noProof/>
          <w:highlight w:val="lightGray"/>
        </w:rPr>
      </w:pPr>
      <w:r w:rsidRPr="001E6923">
        <w:rPr>
          <w:noProof/>
        </w:rPr>
        <w:t>Five-year trend of revenue from</w:t>
      </w:r>
      <w:r w:rsidR="001E6923">
        <w:rPr>
          <w:noProof/>
        </w:rPr>
        <w:t xml:space="preserve"> main non-exchange transactions</w:t>
      </w:r>
      <w:r>
        <w:rPr>
          <w:noProof/>
        </w:rPr>
        <w:t>*</w:t>
      </w:r>
      <w:r w:rsidR="005F6326">
        <w:rPr>
          <w:noProof/>
        </w:rPr>
        <w:t xml:space="preserve"> </w:t>
      </w:r>
    </w:p>
    <w:p w14:paraId="00E357B8" w14:textId="77777777" w:rsidR="006879A2" w:rsidRPr="001329AB" w:rsidRDefault="00023E71" w:rsidP="00BB5C7F">
      <w:pPr>
        <w:pStyle w:val="Textstand-alone"/>
        <w:spacing w:before="0" w:after="0"/>
        <w:jc w:val="center"/>
        <w:rPr>
          <w:highlight w:val="lightGray"/>
        </w:rPr>
      </w:pPr>
      <w:r w:rsidRPr="004F1D64">
        <w:rPr>
          <w:highlight w:val="lightGray"/>
          <w:lang w:eastAsia="en-GB"/>
        </w:rPr>
        <w:drawing>
          <wp:inline distT="0" distB="0" distL="0" distR="0" wp14:anchorId="18396FC5" wp14:editId="6E818FF0">
            <wp:extent cx="4690674" cy="3945636"/>
            <wp:effectExtent l="0" t="0" r="0" b="0"/>
            <wp:docPr id="13501633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163301"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4694718" cy="3949038"/>
                    </a:xfrm>
                    <a:prstGeom prst="rect">
                      <a:avLst/>
                    </a:prstGeom>
                    <a:noFill/>
                    <a:ln>
                      <a:noFill/>
                    </a:ln>
                  </pic:spPr>
                </pic:pic>
              </a:graphicData>
            </a:graphic>
          </wp:inline>
        </w:drawing>
      </w:r>
    </w:p>
    <w:p w14:paraId="2CA8D721" w14:textId="77777777" w:rsidR="001B0C15" w:rsidRPr="001B0C15" w:rsidRDefault="00023E71" w:rsidP="001B0C15">
      <w:pPr>
        <w:pStyle w:val="DGTextstand-alone"/>
        <w:spacing w:before="0"/>
        <w:rPr>
          <w:i/>
          <w:color w:val="016794"/>
          <w:sz w:val="16"/>
        </w:rPr>
      </w:pPr>
      <w:r w:rsidRPr="001B0C15">
        <w:rPr>
          <w:color w:val="016794"/>
          <w:sz w:val="16"/>
          <w:vertAlign w:val="superscript"/>
        </w:rPr>
        <w:t>*</w:t>
      </w:r>
      <w:r w:rsidRPr="001B0C15">
        <w:rPr>
          <w:i/>
          <w:color w:val="016794"/>
          <w:sz w:val="16"/>
        </w:rPr>
        <w:t>202</w:t>
      </w:r>
      <w:r w:rsidR="00F32161">
        <w:rPr>
          <w:i/>
          <w:color w:val="016794"/>
          <w:sz w:val="16"/>
        </w:rPr>
        <w:t>1</w:t>
      </w:r>
      <w:r w:rsidR="00EA6A3C">
        <w:rPr>
          <w:i/>
          <w:color w:val="016794"/>
          <w:sz w:val="16"/>
        </w:rPr>
        <w:t xml:space="preserve"> to</w:t>
      </w:r>
      <w:r w:rsidRPr="001B0C15">
        <w:rPr>
          <w:i/>
          <w:color w:val="016794"/>
          <w:sz w:val="16"/>
        </w:rPr>
        <w:t xml:space="preserve"> 202</w:t>
      </w:r>
      <w:r w:rsidR="00F32161">
        <w:rPr>
          <w:i/>
          <w:color w:val="016794"/>
          <w:sz w:val="16"/>
        </w:rPr>
        <w:t>5</w:t>
      </w:r>
      <w:r w:rsidRPr="001B0C15">
        <w:rPr>
          <w:i/>
          <w:color w:val="016794"/>
          <w:sz w:val="16"/>
        </w:rPr>
        <w:t xml:space="preserve"> figures: excluding revenue relating to the UK’s withdrawal from the EU</w:t>
      </w:r>
      <w:r w:rsidR="00A446BC">
        <w:rPr>
          <w:i/>
          <w:color w:val="016794"/>
          <w:sz w:val="16"/>
        </w:rPr>
        <w:t xml:space="preserve"> and Other revenue</w:t>
      </w:r>
    </w:p>
    <w:p w14:paraId="6451EA0C" w14:textId="77777777" w:rsidR="00BB5C7F" w:rsidRDefault="00023E71" w:rsidP="00DA3D42">
      <w:pPr>
        <w:pStyle w:val="DGTextstand-alone"/>
      </w:pPr>
      <w:r>
        <w:t>As budget revenue should equal (or exceed) budget expenditure, the main driver in the revenue trend shown above is the payments made each year.</w:t>
      </w:r>
    </w:p>
    <w:p w14:paraId="358CCAA1" w14:textId="77777777" w:rsidR="00BB5C7F" w:rsidRDefault="00023E71" w:rsidP="00BB5C7F">
      <w:pPr>
        <w:pStyle w:val="HEADER5"/>
        <w:spacing w:after="120"/>
        <w:rPr>
          <w:noProof/>
        </w:rPr>
      </w:pPr>
      <w:r>
        <w:rPr>
          <w:noProof/>
        </w:rPr>
        <w:t>M</w:t>
      </w:r>
      <w:r w:rsidR="00ED263D">
        <w:rPr>
          <w:noProof/>
        </w:rPr>
        <w:t>ain developments in 202</w:t>
      </w:r>
      <w:r w:rsidR="00F32161">
        <w:rPr>
          <w:noProof/>
        </w:rPr>
        <w:t>5</w:t>
      </w:r>
    </w:p>
    <w:p w14:paraId="754652CF" w14:textId="77777777" w:rsidR="00BB5C7F" w:rsidRDefault="00023E71" w:rsidP="00DA3D42">
      <w:pPr>
        <w:pStyle w:val="DGTextstand-alone"/>
      </w:pPr>
      <w:r w:rsidRPr="00EF02DA">
        <w:t>In 202</w:t>
      </w:r>
      <w:r w:rsidR="00F32161">
        <w:t>5</w:t>
      </w:r>
      <w:r w:rsidRPr="00EF02DA">
        <w:t>, t</w:t>
      </w:r>
      <w:r w:rsidR="004177F1">
        <w:t>otal</w:t>
      </w:r>
      <w:r w:rsidRPr="00EF02DA">
        <w:t xml:space="preserve"> revenue, comprising all revenue categories, amounted to EUR </w:t>
      </w:r>
      <w:r w:rsidR="00F32161">
        <w:t>20</w:t>
      </w:r>
      <w:r w:rsidR="00BB756A">
        <w:t>2</w:t>
      </w:r>
      <w:r w:rsidR="00757FA7" w:rsidRPr="00EF02DA">
        <w:t>.</w:t>
      </w:r>
      <w:r w:rsidR="00BB756A">
        <w:t>5</w:t>
      </w:r>
      <w:r w:rsidR="00757FA7" w:rsidRPr="00EF02DA">
        <w:t xml:space="preserve"> </w:t>
      </w:r>
      <w:r w:rsidRPr="00EF02DA">
        <w:t>billion,</w:t>
      </w:r>
      <w:r w:rsidR="00A10655" w:rsidRPr="00EF02DA">
        <w:t xml:space="preserve"> compared to EUR </w:t>
      </w:r>
      <w:r w:rsidR="00F32161" w:rsidRPr="00EF02DA">
        <w:t>17</w:t>
      </w:r>
      <w:r w:rsidR="00F32161">
        <w:t>5</w:t>
      </w:r>
      <w:r w:rsidR="00F32161" w:rsidRPr="00EF02DA">
        <w:t>.</w:t>
      </w:r>
      <w:r w:rsidR="00F32161">
        <w:t>7</w:t>
      </w:r>
      <w:r w:rsidR="00F32161" w:rsidRPr="00EF02DA">
        <w:t xml:space="preserve"> </w:t>
      </w:r>
      <w:r w:rsidR="00A10655" w:rsidRPr="00EF02DA">
        <w:t xml:space="preserve">billion </w:t>
      </w:r>
      <w:r w:rsidR="004177F1">
        <w:t xml:space="preserve">in </w:t>
      </w:r>
      <w:r w:rsidR="00A10655" w:rsidRPr="00EF02DA">
        <w:t xml:space="preserve">the previous year. The main </w:t>
      </w:r>
      <w:r w:rsidRPr="00EF02DA">
        <w:t>developments</w:t>
      </w:r>
      <w:r w:rsidR="00A10655" w:rsidRPr="00EF02DA">
        <w:t xml:space="preserve"> </w:t>
      </w:r>
      <w:r w:rsidRPr="00EF02DA">
        <w:t xml:space="preserve">explaining </w:t>
      </w:r>
      <w:r w:rsidR="00A10655" w:rsidRPr="00EF02DA">
        <w:t xml:space="preserve">the </w:t>
      </w:r>
      <w:r w:rsidR="00D60B4A">
        <w:t>increase</w:t>
      </w:r>
      <w:r w:rsidR="00757FA7" w:rsidRPr="00EF02DA">
        <w:t xml:space="preserve"> </w:t>
      </w:r>
      <w:r w:rsidR="00923F09" w:rsidRPr="00EF02DA">
        <w:t xml:space="preserve">of EUR </w:t>
      </w:r>
      <w:r w:rsidR="00F32161">
        <w:t>2</w:t>
      </w:r>
      <w:r w:rsidR="00C05F03">
        <w:t>6</w:t>
      </w:r>
      <w:r w:rsidR="00757FA7" w:rsidRPr="00EF02DA">
        <w:t>.</w:t>
      </w:r>
      <w:r w:rsidR="00C05F03">
        <w:t>8</w:t>
      </w:r>
      <w:r w:rsidR="00923F09" w:rsidRPr="00EF02DA">
        <w:t xml:space="preserve"> billion or </w:t>
      </w:r>
      <w:r w:rsidR="00F32161">
        <w:t>1</w:t>
      </w:r>
      <w:r w:rsidR="00C05F03">
        <w:t>5.3</w:t>
      </w:r>
      <w:r w:rsidRPr="00EF02DA">
        <w:t>% were</w:t>
      </w:r>
      <w:r w:rsidR="00CF6B4B" w:rsidRPr="00EF02DA">
        <w:t>:</w:t>
      </w:r>
      <w:r w:rsidR="0059047D">
        <w:t xml:space="preserve"> </w:t>
      </w:r>
    </w:p>
    <w:p w14:paraId="25E3C49D" w14:textId="77777777" w:rsidR="00F2604E" w:rsidRDefault="00023E71" w:rsidP="002445B4">
      <w:pPr>
        <w:pStyle w:val="DGTextstand-alonedashesjustified"/>
      </w:pPr>
      <w:r w:rsidRPr="00C56EC8">
        <w:t xml:space="preserve">Fines related </w:t>
      </w:r>
      <w:r w:rsidR="00D44BC7" w:rsidRPr="00C56EC8">
        <w:t>r</w:t>
      </w:r>
      <w:r w:rsidRPr="00C56EC8">
        <w:t xml:space="preserve">evenue increased by EUR </w:t>
      </w:r>
      <w:r w:rsidR="00C56EC8" w:rsidRPr="00C56EC8">
        <w:t>1</w:t>
      </w:r>
      <w:r w:rsidRPr="00C56EC8">
        <w:t>.</w:t>
      </w:r>
      <w:r w:rsidR="00A444F4" w:rsidRPr="00C56EC8">
        <w:t>3</w:t>
      </w:r>
      <w:r w:rsidRPr="00C56EC8">
        <w:t xml:space="preserve"> billion mainly </w:t>
      </w:r>
      <w:r w:rsidR="00B16B3A" w:rsidRPr="00C56EC8">
        <w:t xml:space="preserve">due to fines </w:t>
      </w:r>
      <w:r w:rsidR="003F0996" w:rsidRPr="00C56EC8">
        <w:t xml:space="preserve">issued </w:t>
      </w:r>
      <w:r w:rsidR="00B16B3A" w:rsidRPr="00C56EC8">
        <w:t>to</w:t>
      </w:r>
      <w:r w:rsidRPr="00C56EC8">
        <w:t xml:space="preserve"> companies</w:t>
      </w:r>
      <w:r w:rsidR="00D44BC7" w:rsidRPr="00C56EC8">
        <w:t>;</w:t>
      </w:r>
      <w:r w:rsidRPr="00C56EC8">
        <w:t xml:space="preserve">  </w:t>
      </w:r>
    </w:p>
    <w:p w14:paraId="2DFA86CA" w14:textId="77777777" w:rsidR="00F2604E" w:rsidRDefault="00023E71" w:rsidP="002445B4">
      <w:pPr>
        <w:pStyle w:val="DGTextstand-alonedashesjustified"/>
      </w:pPr>
      <w:r w:rsidRPr="004F1286">
        <w:t>Financial revenue increased by EUR 2.</w:t>
      </w:r>
      <w:r w:rsidR="00FE4023">
        <w:t>6</w:t>
      </w:r>
      <w:r w:rsidRPr="004F1286">
        <w:t xml:space="preserve"> billion mainly due to increased interest earned</w:t>
      </w:r>
      <w:r w:rsidR="0087753B">
        <w:t xml:space="preserve"> on loans</w:t>
      </w:r>
      <w:r w:rsidR="00D44BC7" w:rsidRPr="004F1286">
        <w:t>;</w:t>
      </w:r>
    </w:p>
    <w:p w14:paraId="7F11BF5B" w14:textId="77777777" w:rsidR="00F2604E" w:rsidRDefault="00023E71" w:rsidP="002445B4">
      <w:pPr>
        <w:pStyle w:val="DGTextstand-alonedashesjustified"/>
      </w:pPr>
      <w:r w:rsidRPr="00FE4023">
        <w:t>VAT contributions have increased from EUR 2</w:t>
      </w:r>
      <w:r w:rsidR="00FE4023" w:rsidRPr="00FE4023">
        <w:t>4</w:t>
      </w:r>
      <w:r w:rsidRPr="00FE4023">
        <w:t>.5 billion in 202</w:t>
      </w:r>
      <w:r w:rsidR="00FE4023" w:rsidRPr="00FE4023">
        <w:t>4</w:t>
      </w:r>
      <w:r w:rsidRPr="00FE4023">
        <w:t xml:space="preserve"> to EUR 2</w:t>
      </w:r>
      <w:r w:rsidR="00FE4023" w:rsidRPr="00FE4023">
        <w:t>5</w:t>
      </w:r>
      <w:r w:rsidRPr="00FE4023">
        <w:t>.</w:t>
      </w:r>
      <w:r w:rsidR="00FE4023" w:rsidRPr="00FE4023">
        <w:t>7</w:t>
      </w:r>
      <w:r w:rsidRPr="00FE4023">
        <w:t xml:space="preserve"> billion in 202</w:t>
      </w:r>
      <w:r w:rsidR="00FE4023" w:rsidRPr="00FE4023">
        <w:t>5</w:t>
      </w:r>
      <w:r w:rsidRPr="00FE4023">
        <w:t xml:space="preserve">; </w:t>
      </w:r>
    </w:p>
    <w:p w14:paraId="66E70D4D" w14:textId="77777777" w:rsidR="00F2604E" w:rsidRDefault="00023E71" w:rsidP="002445B4">
      <w:pPr>
        <w:pStyle w:val="DGTextstand-alonedashesjustified"/>
      </w:pPr>
      <w:r w:rsidRPr="00F2604E">
        <w:t xml:space="preserve">Plastics own resources </w:t>
      </w:r>
      <w:r>
        <w:t>decreased</w:t>
      </w:r>
      <w:r w:rsidRPr="00F2604E">
        <w:t xml:space="preserve"> from EUR </w:t>
      </w:r>
      <w:r w:rsidR="00EF1CFA" w:rsidRPr="00F2604E">
        <w:t>8</w:t>
      </w:r>
      <w:r w:rsidRPr="00F2604E">
        <w:t>.2 billion in 202</w:t>
      </w:r>
      <w:r w:rsidR="00EF1CFA" w:rsidRPr="00F2604E">
        <w:t>4</w:t>
      </w:r>
      <w:r w:rsidRPr="00F2604E">
        <w:t xml:space="preserve"> to EUR </w:t>
      </w:r>
      <w:r w:rsidR="00EF1CFA" w:rsidRPr="00F2604E">
        <w:t>7.5</w:t>
      </w:r>
      <w:r w:rsidRPr="00F2604E">
        <w:t xml:space="preserve"> billion in 202</w:t>
      </w:r>
      <w:r w:rsidR="00EF1CFA" w:rsidRPr="00F2604E">
        <w:t>5</w:t>
      </w:r>
      <w:r w:rsidRPr="00F2604E">
        <w:t>;</w:t>
      </w:r>
    </w:p>
    <w:p w14:paraId="48F63DEE" w14:textId="77777777" w:rsidR="005A0F58" w:rsidRDefault="00023E71" w:rsidP="002445B4">
      <w:pPr>
        <w:pStyle w:val="DGTextstand-alonedashesjustified"/>
      </w:pPr>
      <w:r w:rsidRPr="00F2604E">
        <w:t xml:space="preserve">Traditional own resources </w:t>
      </w:r>
      <w:r w:rsidR="003D3E01" w:rsidRPr="00F2604E">
        <w:t>increased</w:t>
      </w:r>
      <w:r w:rsidRPr="00F2604E">
        <w:t xml:space="preserve"> from EUR </w:t>
      </w:r>
      <w:r w:rsidR="00F2604E" w:rsidRPr="00F2604E">
        <w:t>20.6</w:t>
      </w:r>
      <w:r w:rsidRPr="00F2604E">
        <w:t xml:space="preserve"> billion in 202</w:t>
      </w:r>
      <w:r w:rsidR="00F2604E" w:rsidRPr="00F2604E">
        <w:t>4</w:t>
      </w:r>
      <w:r w:rsidRPr="00F2604E">
        <w:t xml:space="preserve"> to EUR </w:t>
      </w:r>
      <w:r w:rsidR="003D3E01" w:rsidRPr="00F2604E">
        <w:t>2</w:t>
      </w:r>
      <w:r w:rsidR="00F2604E" w:rsidRPr="00F2604E">
        <w:t>3</w:t>
      </w:r>
      <w:r w:rsidRPr="00F2604E">
        <w:t>.</w:t>
      </w:r>
      <w:r w:rsidR="00F2604E" w:rsidRPr="00F2604E">
        <w:t>4</w:t>
      </w:r>
      <w:r w:rsidRPr="00F2604E">
        <w:t xml:space="preserve"> billion in 202</w:t>
      </w:r>
      <w:r w:rsidR="00F2604E" w:rsidRPr="00F2604E">
        <w:t>5</w:t>
      </w:r>
      <w:r w:rsidR="00E77F0C" w:rsidRPr="00F2604E">
        <w:t>;</w:t>
      </w:r>
      <w:r w:rsidR="00CF6D1E" w:rsidRPr="00F2604E">
        <w:t xml:space="preserve"> and</w:t>
      </w:r>
    </w:p>
    <w:p w14:paraId="29B2B013" w14:textId="77777777" w:rsidR="005B4A3C" w:rsidRPr="00156CA2" w:rsidRDefault="00023E71" w:rsidP="002445B4">
      <w:pPr>
        <w:pStyle w:val="DGTextstand-alonedashesjustified"/>
      </w:pPr>
      <w:r w:rsidRPr="00CC3645">
        <w:t>Revenue from GNI (gross national income), the primary element of the EU’s operating revenue, increased from EUR 95 billion in 2024 to</w:t>
      </w:r>
      <w:r w:rsidRPr="00CF710E">
        <w:t xml:space="preserve"> EUR 106.3 billion in 2025. The increase of EUR 11.3 billion or 11.9%, is explained to a great extent by a rise of payment appropriations needs.</w:t>
      </w:r>
    </w:p>
    <w:p w14:paraId="47198FDC" w14:textId="77777777" w:rsidR="002613EE" w:rsidRPr="00DC59B8" w:rsidRDefault="00023E71" w:rsidP="00DC59B8">
      <w:pPr>
        <w:pStyle w:val="HEADER2Part4"/>
      </w:pPr>
      <w:bookmarkStart w:id="28" w:name="_Toc232671728"/>
      <w:r w:rsidRPr="00DC59B8">
        <w:t>Expenses</w:t>
      </w:r>
      <w:bookmarkEnd w:id="28"/>
    </w:p>
    <w:p w14:paraId="3AB0C549" w14:textId="77777777" w:rsidR="00D3298B" w:rsidRDefault="00023E71" w:rsidP="002613EE">
      <w:pPr>
        <w:pStyle w:val="DGTextstand-alone"/>
      </w:pPr>
      <w:r w:rsidRPr="002576F5">
        <w:t xml:space="preserve">The main component of expenses recognised in the consolidated financial </w:t>
      </w:r>
      <w:r w:rsidRPr="0049101A">
        <w:t xml:space="preserve">statements are expenses </w:t>
      </w:r>
      <w:r w:rsidR="00844511" w:rsidRPr="0049101A">
        <w:t>delegated to Member States</w:t>
      </w:r>
      <w:r w:rsidR="002F1254">
        <w:t xml:space="preserve"> under shared management</w:t>
      </w:r>
      <w:r w:rsidRPr="0049101A">
        <w:t xml:space="preserve">, </w:t>
      </w:r>
      <w:r w:rsidRPr="002576F5">
        <w:t>which includes the following funds: (i) European Agricultural Guarantee Fund (EAGF), (ii) European Agricultural Fund for Rural Development (EAFRD) and other rural development instruments, (iii) European Regional Development Fund (ERDF) &amp; Cohesion Fund (CF), and (iv) European Social Fund (ESF). These funds mad</w:t>
      </w:r>
      <w:r w:rsidR="007304BA" w:rsidRPr="002576F5">
        <w:t xml:space="preserve">e up EUR </w:t>
      </w:r>
      <w:r w:rsidR="00F2604E">
        <w:t>106.3</w:t>
      </w:r>
      <w:r w:rsidR="007304BA" w:rsidRPr="002576F5">
        <w:t xml:space="preserve"> billion </w:t>
      </w:r>
      <w:r w:rsidR="007304BA" w:rsidRPr="00BA0F3A">
        <w:t xml:space="preserve">or </w:t>
      </w:r>
      <w:r w:rsidR="00F2604E">
        <w:t>41.</w:t>
      </w:r>
      <w:r>
        <w:t>3</w:t>
      </w:r>
      <w:r w:rsidRPr="00BA0F3A">
        <w:t xml:space="preserve">% of the total expenses of EUR </w:t>
      </w:r>
      <w:r w:rsidR="007F6D00">
        <w:t>2</w:t>
      </w:r>
      <w:r w:rsidR="00F2604E">
        <w:t>5</w:t>
      </w:r>
      <w:r w:rsidR="000C18DF">
        <w:t>7</w:t>
      </w:r>
      <w:r w:rsidR="00F2604E">
        <w:t>.</w:t>
      </w:r>
      <w:r w:rsidR="000C18DF">
        <w:t>1</w:t>
      </w:r>
      <w:r w:rsidRPr="00BA0F3A">
        <w:t xml:space="preserve"> billion incurred in 202</w:t>
      </w:r>
      <w:r w:rsidR="007F6D00">
        <w:t>5</w:t>
      </w:r>
      <w:r w:rsidR="000935A1" w:rsidRPr="00BA0F3A">
        <w:t xml:space="preserve"> (</w:t>
      </w:r>
      <w:r w:rsidR="000935A1" w:rsidRPr="002576F5">
        <w:t>202</w:t>
      </w:r>
      <w:r w:rsidR="007F6D00">
        <w:t>4</w:t>
      </w:r>
      <w:r w:rsidR="000935A1" w:rsidRPr="002576F5">
        <w:t>: EUR 1</w:t>
      </w:r>
      <w:r w:rsidR="007F6D00">
        <w:t>01.9</w:t>
      </w:r>
      <w:r w:rsidR="000935A1" w:rsidRPr="002576F5">
        <w:t xml:space="preserve"> billion, </w:t>
      </w:r>
      <w:r w:rsidR="007F6D00">
        <w:t>37.3</w:t>
      </w:r>
      <w:r w:rsidRPr="002576F5">
        <w:t>%</w:t>
      </w:r>
      <w:r w:rsidR="007454DB" w:rsidRPr="002576F5">
        <w:t xml:space="preserve"> of the tot</w:t>
      </w:r>
      <w:r w:rsidR="000935A1" w:rsidRPr="002576F5">
        <w:t>al expenses</w:t>
      </w:r>
      <w:r w:rsidRPr="002576F5">
        <w:t xml:space="preserve">). The split of </w:t>
      </w:r>
      <w:r w:rsidRPr="0049101A">
        <w:t xml:space="preserve">expenses </w:t>
      </w:r>
      <w:r w:rsidR="00844511" w:rsidRPr="0049101A">
        <w:t>delegated to Member S</w:t>
      </w:r>
      <w:r>
        <w:t>t</w:t>
      </w:r>
      <w:r w:rsidR="00844511" w:rsidRPr="0049101A">
        <w:t>ates</w:t>
      </w:r>
      <w:r w:rsidRPr="0049101A">
        <w:t xml:space="preserve"> and </w:t>
      </w:r>
      <w:r w:rsidRPr="002576F5">
        <w:t>their relative weight</w:t>
      </w:r>
      <w:r w:rsidR="000935A1" w:rsidRPr="002576F5">
        <w:t>s</w:t>
      </w:r>
      <w:r w:rsidRPr="002576F5">
        <w:t xml:space="preserve"> are presented below:</w:t>
      </w:r>
    </w:p>
    <w:p w14:paraId="2A8D5D9C" w14:textId="77777777" w:rsidR="00C465E9" w:rsidRDefault="00023E71" w:rsidP="00EB2463">
      <w:pPr>
        <w:pStyle w:val="HEADER5"/>
        <w:spacing w:after="120"/>
        <w:rPr>
          <w:noProof/>
        </w:rPr>
      </w:pPr>
      <w:r>
        <w:rPr>
          <w:noProof/>
        </w:rPr>
        <w:t>Main e</w:t>
      </w:r>
      <w:r w:rsidR="000169F8">
        <w:rPr>
          <w:noProof/>
        </w:rPr>
        <w:t xml:space="preserve">xpenses </w:t>
      </w:r>
      <w:r w:rsidR="001F267F">
        <w:rPr>
          <w:noProof/>
        </w:rPr>
        <w:t>delegated to Member States</w:t>
      </w:r>
      <w:r w:rsidR="000169F8">
        <w:rPr>
          <w:noProof/>
        </w:rPr>
        <w:t xml:space="preserve"> for the financial year </w:t>
      </w:r>
      <w:r w:rsidR="000169F8" w:rsidRPr="00280389">
        <w:rPr>
          <w:noProof/>
        </w:rPr>
        <w:t>202</w:t>
      </w:r>
      <w:r w:rsidR="00A975E5">
        <w:rPr>
          <w:noProof/>
        </w:rPr>
        <w:t>5</w:t>
      </w:r>
      <w:r w:rsidR="002F1254">
        <w:rPr>
          <w:noProof/>
        </w:rPr>
        <w:t xml:space="preserve"> (shared management)</w:t>
      </w:r>
    </w:p>
    <w:p w14:paraId="0C4CE638" w14:textId="77777777" w:rsidR="00E25E65" w:rsidRDefault="00023E71" w:rsidP="00283173">
      <w:pPr>
        <w:pStyle w:val="HEADER5"/>
        <w:spacing w:after="120"/>
        <w:jc w:val="center"/>
        <w:rPr>
          <w:noProof/>
        </w:rPr>
      </w:pPr>
      <w:r w:rsidRPr="004F1D64">
        <w:rPr>
          <w:noProof/>
        </w:rPr>
        <w:drawing>
          <wp:inline distT="0" distB="0" distL="0" distR="0" wp14:anchorId="7B7BE3F1" wp14:editId="5AE49B32">
            <wp:extent cx="4577442" cy="3933852"/>
            <wp:effectExtent l="0" t="0" r="0" b="0"/>
            <wp:docPr id="13788009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800979"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4590017" cy="3944659"/>
                    </a:xfrm>
                    <a:prstGeom prst="rect">
                      <a:avLst/>
                    </a:prstGeom>
                    <a:noFill/>
                    <a:ln>
                      <a:noFill/>
                    </a:ln>
                  </pic:spPr>
                </pic:pic>
              </a:graphicData>
            </a:graphic>
          </wp:inline>
        </w:drawing>
      </w:r>
    </w:p>
    <w:p w14:paraId="7D289CD3" w14:textId="77777777" w:rsidR="00B63122" w:rsidRPr="00CF710E" w:rsidRDefault="00023E71" w:rsidP="00B63122">
      <w:pPr>
        <w:pStyle w:val="DGTextstand-alone"/>
        <w:spacing w:before="120"/>
      </w:pPr>
      <w:r w:rsidRPr="00CF710E">
        <w:t xml:space="preserve">The </w:t>
      </w:r>
      <w:r w:rsidR="00844511" w:rsidRPr="00CF710E">
        <w:t>increase</w:t>
      </w:r>
      <w:r w:rsidRPr="00CF710E">
        <w:t xml:space="preserve"> of expenses </w:t>
      </w:r>
      <w:r w:rsidR="00844511" w:rsidRPr="00CF710E">
        <w:t xml:space="preserve">delegated to Member States </w:t>
      </w:r>
      <w:r w:rsidR="002F1254" w:rsidRPr="00740A4E">
        <w:t>(shared management)</w:t>
      </w:r>
      <w:r w:rsidR="002F1254">
        <w:t xml:space="preserve"> </w:t>
      </w:r>
      <w:r w:rsidR="00844511" w:rsidRPr="00740A4E">
        <w:t>concerns</w:t>
      </w:r>
      <w:r w:rsidRPr="00740A4E">
        <w:t xml:space="preserve"> mainly the ERDF and Cohesion Fund (by EUR 2</w:t>
      </w:r>
      <w:r w:rsidR="001F267F" w:rsidRPr="00740A4E">
        <w:t>.2</w:t>
      </w:r>
      <w:r w:rsidRPr="00740A4E">
        <w:t xml:space="preserve"> billion) </w:t>
      </w:r>
      <w:r w:rsidR="00844511" w:rsidRPr="00740A4E">
        <w:t>where the</w:t>
      </w:r>
      <w:r w:rsidR="00844511" w:rsidRPr="00CF710E">
        <w:t xml:space="preserve"> activities continue to advance</w:t>
      </w:r>
      <w:r w:rsidR="001F267F" w:rsidRPr="00CF710E">
        <w:t>, as well as the European Agricultural Fund for Rural Development (EAFRD)</w:t>
      </w:r>
      <w:r w:rsidR="00972D76">
        <w:t>.</w:t>
      </w:r>
    </w:p>
    <w:p w14:paraId="1A154A7C" w14:textId="77777777" w:rsidR="00B63122" w:rsidRPr="00CF710E" w:rsidRDefault="00023E71" w:rsidP="00B63122">
      <w:pPr>
        <w:pStyle w:val="DGTextstand-alone"/>
      </w:pPr>
      <w:r w:rsidRPr="00CF710E">
        <w:t xml:space="preserve">Expenses </w:t>
      </w:r>
      <w:r w:rsidR="00844511" w:rsidRPr="00CF710E">
        <w:t>related to transfers including grants and budget support</w:t>
      </w:r>
      <w:r w:rsidRPr="00CF710E">
        <w:t xml:space="preserve">, </w:t>
      </w:r>
      <w:r w:rsidR="00844511" w:rsidRPr="00CF710E">
        <w:t>decreased</w:t>
      </w:r>
      <w:r w:rsidRPr="00CF710E">
        <w:t xml:space="preserve"> from EUR </w:t>
      </w:r>
      <w:r w:rsidR="001B597A">
        <w:t>98.</w:t>
      </w:r>
      <w:r w:rsidR="005F65EA">
        <w:t>8</w:t>
      </w:r>
      <w:r w:rsidRPr="00CF710E">
        <w:t> billion in 2024 to EUR </w:t>
      </w:r>
      <w:r>
        <w:t>7</w:t>
      </w:r>
      <w:r w:rsidR="000C18DF">
        <w:t>8</w:t>
      </w:r>
      <w:r>
        <w:t>.</w:t>
      </w:r>
      <w:r w:rsidR="000C18DF">
        <w:t>8</w:t>
      </w:r>
      <w:r w:rsidRPr="00CF710E">
        <w:t> billion in 202</w:t>
      </w:r>
      <w:r w:rsidR="001F267F" w:rsidRPr="00CF710E">
        <w:t>5</w:t>
      </w:r>
      <w:r w:rsidRPr="00CF710E">
        <w:t xml:space="preserve">. The </w:t>
      </w:r>
      <w:r w:rsidR="00844511" w:rsidRPr="00CF710E">
        <w:t xml:space="preserve">decrease </w:t>
      </w:r>
      <w:r w:rsidRPr="00CF710E">
        <w:t>of EUR </w:t>
      </w:r>
      <w:r w:rsidR="000C18DF">
        <w:t>19</w:t>
      </w:r>
      <w:r w:rsidR="001B597A">
        <w:t>.</w:t>
      </w:r>
      <w:r w:rsidR="000C18DF">
        <w:t>9</w:t>
      </w:r>
      <w:r w:rsidRPr="00CF710E">
        <w:t xml:space="preserve"> billion is mainly due to the </w:t>
      </w:r>
      <w:r w:rsidR="002F1254">
        <w:t xml:space="preserve">funding of </w:t>
      </w:r>
      <w:r w:rsidRPr="00CF710E">
        <w:t>non-repayable support granted under the NGEU’s RRF, which amounted to EUR </w:t>
      </w:r>
      <w:r w:rsidR="00844511" w:rsidRPr="00CF710E">
        <w:t>46</w:t>
      </w:r>
      <w:r w:rsidRPr="00CF710E">
        <w:t>.8 billion (202</w:t>
      </w:r>
      <w:r w:rsidR="00844511" w:rsidRPr="00CF710E">
        <w:t>4</w:t>
      </w:r>
      <w:r w:rsidRPr="00CF710E">
        <w:t>: EUR </w:t>
      </w:r>
      <w:r w:rsidR="00844511" w:rsidRPr="00CF710E">
        <w:t>65.8</w:t>
      </w:r>
      <w:r w:rsidRPr="00CF710E">
        <w:t xml:space="preserve"> billion) </w:t>
      </w:r>
      <w:r w:rsidR="00844511" w:rsidRPr="00CF710E">
        <w:t>Despite this significant reduction in expenses, progress in the implementation of milestones and targets continues.</w:t>
      </w:r>
    </w:p>
    <w:p w14:paraId="3DD72607" w14:textId="77777777" w:rsidR="002613EE" w:rsidRPr="00DC59B8" w:rsidRDefault="00023E71" w:rsidP="00DC59B8">
      <w:pPr>
        <w:pStyle w:val="HEADER2Part4"/>
      </w:pPr>
      <w:bookmarkStart w:id="29" w:name="_Toc168670249"/>
      <w:bookmarkStart w:id="30" w:name="_Toc232671729"/>
      <w:r w:rsidRPr="00DC59B8">
        <w:t>Assets</w:t>
      </w:r>
      <w:bookmarkEnd w:id="29"/>
      <w:bookmarkEnd w:id="30"/>
    </w:p>
    <w:p w14:paraId="01DAB01D" w14:textId="77777777" w:rsidR="002445B4" w:rsidRDefault="00023E71" w:rsidP="00594EEA">
      <w:pPr>
        <w:pStyle w:val="DGTextstand-alone"/>
        <w:rPr>
          <w:color w:val="016794"/>
        </w:rPr>
      </w:pPr>
      <w:r w:rsidRPr="00A12569">
        <w:t>As at 31 December 202</w:t>
      </w:r>
      <w:r w:rsidR="00B81CF0">
        <w:t>5</w:t>
      </w:r>
      <w:r w:rsidRPr="00A12569">
        <w:t xml:space="preserve"> total assets amounted to EUR </w:t>
      </w:r>
      <w:r w:rsidR="00B81CF0">
        <w:t>6</w:t>
      </w:r>
      <w:r w:rsidR="00C16563">
        <w:t>1</w:t>
      </w:r>
      <w:r w:rsidR="00036B14">
        <w:t>7</w:t>
      </w:r>
      <w:r w:rsidR="00C16563">
        <w:t>.</w:t>
      </w:r>
      <w:r w:rsidR="00036B14">
        <w:t>4</w:t>
      </w:r>
      <w:r w:rsidRPr="00A12569">
        <w:t xml:space="preserve"> billion (202</w:t>
      </w:r>
      <w:r w:rsidR="00B81CF0">
        <w:t>4</w:t>
      </w:r>
      <w:r w:rsidRPr="00A12569">
        <w:t xml:space="preserve">: EUR </w:t>
      </w:r>
      <w:r w:rsidR="00B81CF0">
        <w:t>518</w:t>
      </w:r>
      <w:r w:rsidR="00B81CF0" w:rsidRPr="00A12569">
        <w:t>.</w:t>
      </w:r>
      <w:r w:rsidR="00B81CF0">
        <w:t>5</w:t>
      </w:r>
      <w:r w:rsidR="00B81CF0" w:rsidRPr="00A12569">
        <w:t xml:space="preserve"> </w:t>
      </w:r>
      <w:r w:rsidR="000935A1" w:rsidRPr="00A12569">
        <w:t>billion</w:t>
      </w:r>
      <w:r w:rsidR="000935A1" w:rsidRPr="007937DF">
        <w:t>)</w:t>
      </w:r>
      <w:r>
        <w:t xml:space="preserve">. The </w:t>
      </w:r>
      <w:r w:rsidR="000935A1">
        <w:t xml:space="preserve">increase is </w:t>
      </w:r>
      <w:r w:rsidR="006677DB">
        <w:t xml:space="preserve">mainly </w:t>
      </w:r>
      <w:r w:rsidR="000935A1">
        <w:t xml:space="preserve">due to further lending under the </w:t>
      </w:r>
      <w:r w:rsidR="0087753B">
        <w:t>RRF programme</w:t>
      </w:r>
      <w:r w:rsidR="003F2AF9">
        <w:t xml:space="preserve"> and new loans issued to Ukraine under </w:t>
      </w:r>
      <w:r w:rsidR="00B63122">
        <w:t>the Ukraine Facility</w:t>
      </w:r>
      <w:r w:rsidR="0087753B">
        <w:t xml:space="preserve"> and MFA ULCM</w:t>
      </w:r>
      <w:r w:rsidR="000935A1">
        <w:t xml:space="preserve">. </w:t>
      </w:r>
      <w:r w:rsidR="005B2655" w:rsidRPr="007937DF">
        <w:t xml:space="preserve">The most significant </w:t>
      </w:r>
      <w:r w:rsidR="003F2AF9">
        <w:t>assets</w:t>
      </w:r>
      <w:r w:rsidR="005B2655" w:rsidRPr="007937DF">
        <w:t xml:space="preserve"> </w:t>
      </w:r>
      <w:r w:rsidR="003F2AF9">
        <w:t xml:space="preserve">on the EU balance sheet </w:t>
      </w:r>
      <w:r w:rsidRPr="007937DF">
        <w:t>were</w:t>
      </w:r>
      <w:r w:rsidR="005B2655" w:rsidRPr="007937DF">
        <w:t xml:space="preserve"> financial assets other than cash and cash equivalents</w:t>
      </w:r>
      <w:r w:rsidRPr="007937DF">
        <w:t xml:space="preserve"> (EUR </w:t>
      </w:r>
      <w:r w:rsidR="00927547">
        <w:t>3</w:t>
      </w:r>
      <w:r w:rsidR="00AC1D15">
        <w:t>86.1</w:t>
      </w:r>
      <w:r w:rsidRPr="007937DF">
        <w:t xml:space="preserve"> billion),</w:t>
      </w:r>
      <w:r w:rsidR="005B2655" w:rsidRPr="007937DF">
        <w:t xml:space="preserve"> pre-financing </w:t>
      </w:r>
      <w:r w:rsidR="00A214EC" w:rsidRPr="007937DF">
        <w:t xml:space="preserve">(EUR </w:t>
      </w:r>
      <w:r w:rsidR="00AC1D15">
        <w:t>7</w:t>
      </w:r>
      <w:r w:rsidR="008C1A3C">
        <w:t>6</w:t>
      </w:r>
      <w:r w:rsidR="00AC1D15">
        <w:t>.</w:t>
      </w:r>
      <w:r w:rsidR="008C1A3C">
        <w:t>7</w:t>
      </w:r>
      <w:r w:rsidRPr="007937DF">
        <w:t xml:space="preserve"> billion), rece</w:t>
      </w:r>
      <w:r w:rsidR="00A214EC" w:rsidRPr="007937DF">
        <w:t xml:space="preserve">ivables and recoverables (EUR </w:t>
      </w:r>
      <w:r w:rsidR="00AC1D15">
        <w:t>3</w:t>
      </w:r>
      <w:r w:rsidR="008C1A3C">
        <w:t>4.1</w:t>
      </w:r>
      <w:r w:rsidRPr="007937DF">
        <w:t xml:space="preserve"> billon) and cash and cash equivalents (EUR </w:t>
      </w:r>
      <w:r w:rsidR="00B81CF0">
        <w:t>103</w:t>
      </w:r>
      <w:r w:rsidRPr="007937DF">
        <w:t xml:space="preserve"> billion)</w:t>
      </w:r>
      <w:r w:rsidR="00F671F2" w:rsidRPr="007937DF">
        <w:t>. Other assets, amounting to EUR 1</w:t>
      </w:r>
      <w:r w:rsidR="00B81CF0">
        <w:t>7</w:t>
      </w:r>
      <w:r w:rsidR="00F671F2" w:rsidRPr="007937DF">
        <w:t>.</w:t>
      </w:r>
      <w:r w:rsidR="00B81CF0">
        <w:t>5</w:t>
      </w:r>
      <w:r w:rsidR="00F671F2" w:rsidRPr="007937DF">
        <w:t xml:space="preserve"> billion, mainly included property, plant and equipment and intangible assets.</w:t>
      </w:r>
    </w:p>
    <w:p w14:paraId="4720BE76" w14:textId="77777777" w:rsidR="00CF4E6B" w:rsidRDefault="00CF4E6B">
      <w:pPr>
        <w:rPr>
          <w:rFonts w:ascii="Verdana" w:hAnsi="Verdana"/>
          <w:noProof/>
          <w:color w:val="016794"/>
          <w:sz w:val="18"/>
          <w:szCs w:val="18"/>
          <w:lang w:eastAsia="en-US"/>
        </w:rPr>
      </w:pPr>
      <w:r>
        <w:rPr>
          <w:noProof/>
          <w:color w:val="016794"/>
        </w:rPr>
        <w:br w:type="page"/>
      </w:r>
    </w:p>
    <w:p w14:paraId="3DA30CA5" w14:textId="3343B26D" w:rsidR="001931A1" w:rsidRPr="00206481" w:rsidRDefault="00023E71" w:rsidP="001931A1">
      <w:pPr>
        <w:pStyle w:val="DGTextstand-alone"/>
        <w:rPr>
          <w:color w:val="016794"/>
        </w:rPr>
      </w:pPr>
      <w:r w:rsidRPr="00206481">
        <w:rPr>
          <w:color w:val="016794"/>
        </w:rPr>
        <w:t xml:space="preserve">Composition of assets </w:t>
      </w:r>
      <w:r w:rsidR="00227FA7">
        <w:rPr>
          <w:color w:val="016794"/>
        </w:rPr>
        <w:t xml:space="preserve">at 31 December </w:t>
      </w:r>
      <w:r w:rsidR="00227FA7" w:rsidRPr="00C85843">
        <w:rPr>
          <w:color w:val="016794"/>
        </w:rPr>
        <w:t>202</w:t>
      </w:r>
      <w:r w:rsidR="00B81CF0">
        <w:rPr>
          <w:color w:val="016794"/>
        </w:rPr>
        <w:t>5</w:t>
      </w:r>
    </w:p>
    <w:p w14:paraId="3328F40E" w14:textId="77777777" w:rsidR="001931A1" w:rsidRPr="001329AB" w:rsidRDefault="00023E71" w:rsidP="001931A1">
      <w:pPr>
        <w:jc w:val="center"/>
        <w:rPr>
          <w:rFonts w:ascii="Verdana" w:hAnsi="Verdana"/>
          <w:noProof/>
          <w:color w:val="016794"/>
          <w:sz w:val="18"/>
          <w:szCs w:val="18"/>
          <w:highlight w:val="lightGray"/>
        </w:rPr>
      </w:pPr>
      <w:r>
        <w:rPr>
          <w:noProof/>
        </w:rPr>
        <w:drawing>
          <wp:inline distT="0" distB="0" distL="0" distR="0" wp14:anchorId="0F22B6BE" wp14:editId="41C947E0">
            <wp:extent cx="4726911" cy="3565071"/>
            <wp:effectExtent l="0" t="0" r="0" b="0"/>
            <wp:docPr id="432114981" name="Picture 1"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14981" name="Picture 1" descr="A pie chart with numbers and text&#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747857" cy="3580868"/>
                    </a:xfrm>
                    <a:prstGeom prst="rect">
                      <a:avLst/>
                    </a:prstGeom>
                    <a:noFill/>
                    <a:ln>
                      <a:noFill/>
                    </a:ln>
                  </pic:spPr>
                </pic:pic>
              </a:graphicData>
            </a:graphic>
          </wp:inline>
        </w:drawing>
      </w:r>
    </w:p>
    <w:p w14:paraId="45278CF6" w14:textId="77777777" w:rsidR="00945735" w:rsidRPr="001329AB" w:rsidRDefault="00945735" w:rsidP="001931A1">
      <w:pPr>
        <w:jc w:val="center"/>
        <w:rPr>
          <w:rFonts w:ascii="Verdana" w:hAnsi="Verdana"/>
          <w:noProof/>
          <w:color w:val="016794"/>
          <w:sz w:val="18"/>
          <w:szCs w:val="18"/>
          <w:highlight w:val="lightGray"/>
        </w:rPr>
      </w:pPr>
    </w:p>
    <w:p w14:paraId="195784F9" w14:textId="77777777" w:rsidR="00AC1D15" w:rsidRDefault="00023E71" w:rsidP="00AC1D15">
      <w:pPr>
        <w:pStyle w:val="DGTextstand-alone"/>
      </w:pPr>
      <w:r w:rsidRPr="00E77F0C">
        <w:t>Th</w:t>
      </w:r>
      <w:r w:rsidR="000935A1" w:rsidRPr="00E77F0C">
        <w:t xml:space="preserve">e </w:t>
      </w:r>
      <w:r w:rsidR="005B2655" w:rsidRPr="00E77F0C">
        <w:t xml:space="preserve">increase </w:t>
      </w:r>
      <w:r w:rsidRPr="00E77F0C">
        <w:t xml:space="preserve">in total assets </w:t>
      </w:r>
      <w:r w:rsidR="005B2655" w:rsidRPr="00E77F0C">
        <w:t xml:space="preserve">of EUR </w:t>
      </w:r>
      <w:r w:rsidR="008C1A3C">
        <w:t>99</w:t>
      </w:r>
      <w:r w:rsidR="007B646C">
        <w:t>.0</w:t>
      </w:r>
      <w:r w:rsidR="008C1A3C">
        <w:t xml:space="preserve"> </w:t>
      </w:r>
      <w:r w:rsidR="005B2655" w:rsidRPr="00E77F0C">
        <w:t xml:space="preserve">billion </w:t>
      </w:r>
      <w:r w:rsidR="005B2655" w:rsidRPr="00156CA2">
        <w:t xml:space="preserve">or </w:t>
      </w:r>
      <w:r w:rsidR="00860084" w:rsidRPr="00156CA2">
        <w:t>1</w:t>
      </w:r>
      <w:r w:rsidR="00156CA2" w:rsidRPr="00156CA2">
        <w:t>9</w:t>
      </w:r>
      <w:r w:rsidR="003F2AF9" w:rsidRPr="00156CA2">
        <w:t>.</w:t>
      </w:r>
      <w:r w:rsidR="008C1A3C">
        <w:t>1</w:t>
      </w:r>
      <w:r w:rsidR="005B2655" w:rsidRPr="00156CA2">
        <w:t xml:space="preserve">% </w:t>
      </w:r>
      <w:r w:rsidR="000935A1" w:rsidRPr="00156CA2">
        <w:t>from</w:t>
      </w:r>
      <w:r w:rsidR="005B2655" w:rsidRPr="00E77F0C">
        <w:t xml:space="preserve"> the previous year </w:t>
      </w:r>
      <w:r w:rsidRPr="00E77F0C">
        <w:t>was mainly due to the following effects:</w:t>
      </w:r>
    </w:p>
    <w:p w14:paraId="4D95027F" w14:textId="77777777" w:rsidR="00AC1D15" w:rsidRPr="00094A72" w:rsidRDefault="00023E71" w:rsidP="002445B4">
      <w:pPr>
        <w:pStyle w:val="DGTextstand-alonedashesjustified"/>
      </w:pPr>
      <w:r w:rsidRPr="00094A72">
        <w:t>Loans outstanding increased from EUR 2</w:t>
      </w:r>
      <w:r w:rsidR="00600E8C" w:rsidRPr="00094A72">
        <w:t>83.6</w:t>
      </w:r>
      <w:r w:rsidRPr="00094A72">
        <w:t> billion in 202</w:t>
      </w:r>
      <w:r w:rsidR="00600E8C" w:rsidRPr="00094A72">
        <w:t>4</w:t>
      </w:r>
      <w:r w:rsidRPr="00094A72">
        <w:t xml:space="preserve"> to EUR </w:t>
      </w:r>
      <w:r w:rsidR="00600E8C" w:rsidRPr="00094A72">
        <w:t>333.4</w:t>
      </w:r>
      <w:r w:rsidRPr="00094A72">
        <w:t> billion in 202</w:t>
      </w:r>
      <w:r w:rsidR="00600E8C" w:rsidRPr="00094A72">
        <w:t>5</w:t>
      </w:r>
      <w:r w:rsidRPr="00094A72">
        <w:t>. The increase of EUR </w:t>
      </w:r>
      <w:r w:rsidR="00600E8C" w:rsidRPr="00094A72">
        <w:t>49.8</w:t>
      </w:r>
      <w:r w:rsidRPr="00094A72">
        <w:t> billion or 1</w:t>
      </w:r>
      <w:r w:rsidR="00600E8C" w:rsidRPr="00094A72">
        <w:t>7.6</w:t>
      </w:r>
      <w:r w:rsidRPr="00094A72">
        <w:t>% mainly reflects the issuance of further loans to Member States under the RRF and REPowerEU (EUR </w:t>
      </w:r>
      <w:r w:rsidR="0087753B" w:rsidRPr="00094A72">
        <w:t>47.2</w:t>
      </w:r>
      <w:r w:rsidRPr="00094A72">
        <w:t> billion) and new loans under the Ukraine Facility and MFA programmes (EUR </w:t>
      </w:r>
      <w:r w:rsidR="0087753B" w:rsidRPr="00094A72">
        <w:t>10.1</w:t>
      </w:r>
      <w:r w:rsidRPr="00094A72">
        <w:t> billion and EUR </w:t>
      </w:r>
      <w:r w:rsidR="0087753B" w:rsidRPr="00094A72">
        <w:t>18.4</w:t>
      </w:r>
      <w:r w:rsidRPr="00094A72">
        <w:t xml:space="preserve"> billion respectively), offset by EFSM and </w:t>
      </w:r>
      <w:r w:rsidR="0087753B" w:rsidRPr="00094A72">
        <w:t>SURE</w:t>
      </w:r>
      <w:r w:rsidRPr="00094A72">
        <w:t xml:space="preserve"> repayments </w:t>
      </w:r>
      <w:r w:rsidR="0087753B" w:rsidRPr="00094A72">
        <w:t>(EUR 4.9 billion and EUR 8.0 billion respectively)</w:t>
      </w:r>
      <w:r w:rsidRPr="00094A72">
        <w:t xml:space="preserve"> and </w:t>
      </w:r>
      <w:r>
        <w:t xml:space="preserve">an </w:t>
      </w:r>
      <w:r w:rsidR="005A0D12" w:rsidRPr="00094A72">
        <w:t>increase in</w:t>
      </w:r>
      <w:r w:rsidR="0087753B" w:rsidRPr="00094A72">
        <w:t xml:space="preserve"> </w:t>
      </w:r>
      <w:r w:rsidRPr="00094A72">
        <w:t xml:space="preserve">impairment </w:t>
      </w:r>
      <w:r w:rsidR="005A0D12" w:rsidRPr="00094A72">
        <w:t xml:space="preserve">of </w:t>
      </w:r>
      <w:r w:rsidRPr="00094A72">
        <w:t>EUR </w:t>
      </w:r>
      <w:r w:rsidR="005A0D12" w:rsidRPr="00094A72">
        <w:t>14.4</w:t>
      </w:r>
      <w:r w:rsidRPr="00094A72">
        <w:t> billion</w:t>
      </w:r>
      <w:r w:rsidR="005A0D12" w:rsidRPr="00094A72">
        <w:t xml:space="preserve"> primarily due to new Ukraine loans</w:t>
      </w:r>
      <w:r w:rsidRPr="00094A72">
        <w:t>;</w:t>
      </w:r>
    </w:p>
    <w:p w14:paraId="688DAB42" w14:textId="77777777" w:rsidR="00AC1D15" w:rsidRPr="00ED5971" w:rsidRDefault="00023E71" w:rsidP="002445B4">
      <w:pPr>
        <w:pStyle w:val="DGTextstand-alonedashesjustified"/>
      </w:pPr>
      <w:r w:rsidRPr="00B45A78">
        <w:t>Cash and cash equivalents increased from EUR </w:t>
      </w:r>
      <w:r w:rsidR="005A0D12" w:rsidRPr="00B45A78">
        <w:t>63.2</w:t>
      </w:r>
      <w:r w:rsidRPr="00B45A78">
        <w:t> billion in 202</w:t>
      </w:r>
      <w:r w:rsidR="005A0D12" w:rsidRPr="00B45A78">
        <w:t>4</w:t>
      </w:r>
      <w:r w:rsidRPr="00B45A78">
        <w:t xml:space="preserve"> to EUR </w:t>
      </w:r>
      <w:r w:rsidR="005A0D12" w:rsidRPr="00B45A78">
        <w:t>103.0</w:t>
      </w:r>
      <w:r w:rsidRPr="00B45A78">
        <w:t> billion in 202</w:t>
      </w:r>
      <w:r w:rsidR="005A0D12" w:rsidRPr="00B45A78">
        <w:t>5</w:t>
      </w:r>
      <w:r w:rsidRPr="00B45A78">
        <w:t>. The</w:t>
      </w:r>
      <w:r w:rsidRPr="00ED5971">
        <w:t xml:space="preserve"> increase of EUR </w:t>
      </w:r>
      <w:r>
        <w:t>39</w:t>
      </w:r>
      <w:r w:rsidR="00ED5971" w:rsidRPr="00ED5971">
        <w:t>.</w:t>
      </w:r>
      <w:r>
        <w:t>9</w:t>
      </w:r>
      <w:r w:rsidRPr="00ED5971">
        <w:t xml:space="preserve"> billion or </w:t>
      </w:r>
      <w:r w:rsidR="00ED5971" w:rsidRPr="00ED5971">
        <w:t>63%</w:t>
      </w:r>
      <w:r w:rsidRPr="00ED5971">
        <w:t xml:space="preserve"> is mainly due to the higher liquidity relating to the </w:t>
      </w:r>
      <w:r w:rsidRPr="0076089C">
        <w:t>unified funding (EUR </w:t>
      </w:r>
      <w:r w:rsidR="00ED5971" w:rsidRPr="0076089C">
        <w:t>33.9</w:t>
      </w:r>
      <w:r w:rsidRPr="0076089C">
        <w:t xml:space="preserve"> billion </w:t>
      </w:r>
      <w:r w:rsidR="00ED5971" w:rsidRPr="0076089C">
        <w:t>in 2024</w:t>
      </w:r>
      <w:r w:rsidRPr="0076089C">
        <w:t xml:space="preserve"> versus EUR </w:t>
      </w:r>
      <w:r w:rsidR="00ED5971" w:rsidRPr="0076089C">
        <w:t>65.2</w:t>
      </w:r>
      <w:r w:rsidRPr="0076089C">
        <w:t> billion at the end of 202</w:t>
      </w:r>
      <w:r w:rsidR="00ED5971" w:rsidRPr="0076089C">
        <w:t>5</w:t>
      </w:r>
      <w:r w:rsidRPr="0076089C">
        <w:t>), which</w:t>
      </w:r>
      <w:r w:rsidRPr="00ED5971">
        <w:t xml:space="preserve"> resulted from high level of disbursements planned for the beginning of 202</w:t>
      </w:r>
      <w:r w:rsidR="00ED5971" w:rsidRPr="00ED5971">
        <w:t>6</w:t>
      </w:r>
      <w:r>
        <w:t>.</w:t>
      </w:r>
    </w:p>
    <w:p w14:paraId="1DEFFD1D" w14:textId="77777777" w:rsidR="002638E1" w:rsidRDefault="00023E71" w:rsidP="00B75FDC">
      <w:pPr>
        <w:pStyle w:val="DGTextstand-alone"/>
      </w:pPr>
      <w:r w:rsidRPr="004F17D1">
        <w:rPr>
          <w:color w:val="016794"/>
        </w:rPr>
        <w:t>Pre-financing</w:t>
      </w:r>
      <w:r w:rsidR="002F1254">
        <w:rPr>
          <w:color w:val="016794"/>
        </w:rPr>
        <w:t xml:space="preserve"> (legally committed advance payments)</w:t>
      </w:r>
    </w:p>
    <w:p w14:paraId="1ACDF7DC" w14:textId="77777777" w:rsidR="001931A1" w:rsidRPr="001329AB" w:rsidRDefault="00023E71" w:rsidP="00D07CAD">
      <w:pPr>
        <w:pStyle w:val="DGTextstand-alone"/>
        <w:rPr>
          <w:highlight w:val="lightGray"/>
          <w:lang w:eastAsia="en-GB"/>
        </w:rPr>
      </w:pPr>
      <w:r w:rsidRPr="00CF710E">
        <w:t>In 202</w:t>
      </w:r>
      <w:r w:rsidR="001F267F" w:rsidRPr="00CF710E">
        <w:t>5</w:t>
      </w:r>
      <w:r w:rsidRPr="00CF710E">
        <w:t xml:space="preserve">, pre-financing, excluding other advances to Member States and contributions to the trust funds Bêkou and Africa, amounted to EUR </w:t>
      </w:r>
      <w:r w:rsidR="00156CA2">
        <w:t>7</w:t>
      </w:r>
      <w:r w:rsidR="007B646C">
        <w:t>1.3</w:t>
      </w:r>
      <w:r w:rsidRPr="00CF710E">
        <w:t xml:space="preserve"> billion (202</w:t>
      </w:r>
      <w:r w:rsidR="001F267F" w:rsidRPr="00CF710E">
        <w:t>4</w:t>
      </w:r>
      <w:r w:rsidRPr="00CF710E">
        <w:t xml:space="preserve">: EUR </w:t>
      </w:r>
      <w:r w:rsidR="001F267F" w:rsidRPr="00CF710E">
        <w:t>75.1</w:t>
      </w:r>
      <w:r w:rsidRPr="00CF710E">
        <w:t xml:space="preserve"> billion</w:t>
      </w:r>
      <w:r w:rsidR="00392E7F">
        <w:t>)</w:t>
      </w:r>
      <w:r w:rsidRPr="00CF710E">
        <w:t>. The most significant movement relates to RRF prefinancing, which decreased from EUR 15.4 billion to EUR 10.2 billion in 202</w:t>
      </w:r>
      <w:r w:rsidR="0049101A">
        <w:t>5</w:t>
      </w:r>
      <w:r w:rsidRPr="00CF710E">
        <w:t>, in line with the normal implementation of the programme, as no additional pre-financings were disbursed in 2025.</w:t>
      </w:r>
    </w:p>
    <w:p w14:paraId="6AAA80D8" w14:textId="77777777" w:rsidR="00C26492" w:rsidRDefault="00023E71" w:rsidP="009F2688">
      <w:pPr>
        <w:pStyle w:val="DGTextstand-alone"/>
      </w:pPr>
      <w:r>
        <w:t xml:space="preserve">The </w:t>
      </w:r>
      <w:r w:rsidRPr="004F17D1">
        <w:t xml:space="preserve">level of pre-financing </w:t>
      </w:r>
      <w:r>
        <w:t xml:space="preserve">granted under MFF programmes </w:t>
      </w:r>
      <w:r w:rsidRPr="004F17D1">
        <w:t xml:space="preserve">is significantly influenced by the </w:t>
      </w:r>
      <w:r>
        <w:t>respective</w:t>
      </w:r>
      <w:r w:rsidR="002A5DBB">
        <w:t xml:space="preserve"> </w:t>
      </w:r>
      <w:r w:rsidRPr="004F17D1">
        <w:t xml:space="preserve">MFF cycle – for example at the beginning of an MFF period large advances are expected to be paid to Member States under cohesion policy and these amounts remain available to Member States until the closure of the programmes. An annual pre-financing is also paid out, which must be used within the year or be recovered the following year as part of the annual closure of the accounts cycle. The Commission makes every effort to ensure that pre-financing </w:t>
      </w:r>
      <w:r>
        <w:t xml:space="preserve">is </w:t>
      </w:r>
      <w:r w:rsidRPr="004F17D1">
        <w:t xml:space="preserve">maintained at an appropriate level. A balance has to be struck between ensuring sufficient funding for projects and the timely recognition of </w:t>
      </w:r>
      <w:r w:rsidRPr="00465E3A">
        <w:t>expenditure.</w:t>
      </w:r>
    </w:p>
    <w:p w14:paraId="2A1DDB13" w14:textId="77777777" w:rsidR="00C26492" w:rsidRDefault="00023E71">
      <w:pPr>
        <w:rPr>
          <w:rFonts w:ascii="Verdana" w:hAnsi="Verdana"/>
          <w:noProof/>
          <w:sz w:val="18"/>
          <w:szCs w:val="18"/>
          <w:lang w:eastAsia="en-US"/>
        </w:rPr>
      </w:pPr>
      <w:r>
        <w:rPr>
          <w:noProof/>
        </w:rPr>
        <w:br w:type="page"/>
      </w:r>
    </w:p>
    <w:p w14:paraId="566A445D" w14:textId="77777777" w:rsidR="00D92F6C" w:rsidRPr="00DC59B8" w:rsidRDefault="00023E71" w:rsidP="00DC59B8">
      <w:pPr>
        <w:pStyle w:val="HEADER2Part4"/>
      </w:pPr>
      <w:bookmarkStart w:id="31" w:name="_Toc232671730"/>
      <w:r w:rsidRPr="00DC59B8">
        <w:t>Liabilities</w:t>
      </w:r>
      <w:bookmarkEnd w:id="31"/>
    </w:p>
    <w:p w14:paraId="45CD832B" w14:textId="77777777" w:rsidR="001931A1" w:rsidRDefault="00023E71" w:rsidP="00D92F6C">
      <w:pPr>
        <w:pStyle w:val="DGTextstand-alone"/>
      </w:pPr>
      <w:r w:rsidRPr="00CF0C18">
        <w:t xml:space="preserve">As at 31 </w:t>
      </w:r>
      <w:r w:rsidR="000A3FEB" w:rsidRPr="000A3FEB">
        <w:t>December 202</w:t>
      </w:r>
      <w:r w:rsidR="00C05F03">
        <w:t>5</w:t>
      </w:r>
      <w:r w:rsidR="000A3FEB" w:rsidRPr="000A3FEB">
        <w:t xml:space="preserve"> the total liabilities were EUR </w:t>
      </w:r>
      <w:r w:rsidR="00C05F03">
        <w:t>97</w:t>
      </w:r>
      <w:r w:rsidR="007B646C">
        <w:t>6</w:t>
      </w:r>
      <w:r w:rsidR="00C05F03">
        <w:t>.</w:t>
      </w:r>
      <w:r w:rsidR="007B646C">
        <w:t>6</w:t>
      </w:r>
      <w:r w:rsidR="000A3FEB" w:rsidRPr="000A3FEB">
        <w:t xml:space="preserve"> billion (202</w:t>
      </w:r>
      <w:r w:rsidR="00C05F03">
        <w:t>4</w:t>
      </w:r>
      <w:r w:rsidR="000A3FEB" w:rsidRPr="000A3FEB">
        <w:t xml:space="preserve">: EUR </w:t>
      </w:r>
      <w:r w:rsidR="00C05F03">
        <w:t>827.3</w:t>
      </w:r>
      <w:r w:rsidR="000A3FEB" w:rsidRPr="000A3FEB">
        <w:t xml:space="preserve"> billion)</w:t>
      </w:r>
      <w:r w:rsidR="002445B4">
        <w:t xml:space="preserve">. The </w:t>
      </w:r>
      <w:r w:rsidR="000A3FEB" w:rsidRPr="000A3FEB">
        <w:t xml:space="preserve">increase is mainly </w:t>
      </w:r>
      <w:r w:rsidRPr="000A3FEB">
        <w:t xml:space="preserve">driven </w:t>
      </w:r>
      <w:r w:rsidR="000A3FEB" w:rsidRPr="000A3FEB">
        <w:t>by the borrowings taken out in 202</w:t>
      </w:r>
      <w:r w:rsidR="00C05F03">
        <w:t>5</w:t>
      </w:r>
      <w:r w:rsidR="000A3FEB" w:rsidRPr="000A3FEB">
        <w:t xml:space="preserve"> under the unified funding approach. The most significant liabilities were borrowings </w:t>
      </w:r>
      <w:r w:rsidR="002F1254">
        <w:t xml:space="preserve">to finance </w:t>
      </w:r>
      <w:r w:rsidR="00ED5971">
        <w:t>loans to Member States and third countries</w:t>
      </w:r>
      <w:r w:rsidR="000A3FEB" w:rsidRPr="000A3FEB">
        <w:t xml:space="preserve"> </w:t>
      </w:r>
      <w:r w:rsidR="000A3FEB" w:rsidRPr="00ED5971">
        <w:t>(EUR</w:t>
      </w:r>
      <w:r w:rsidR="00ED5971" w:rsidRPr="00ED5971">
        <w:t> 731.2 </w:t>
      </w:r>
      <w:r w:rsidR="000A3FEB" w:rsidRPr="00ED5971">
        <w:t xml:space="preserve">billion), </w:t>
      </w:r>
      <w:r w:rsidR="000A3FEB" w:rsidRPr="00FE700F">
        <w:t>pension obligations and other post-employment benefits liabilities (EUR 9</w:t>
      </w:r>
      <w:r w:rsidRPr="00FE700F">
        <w:t>1</w:t>
      </w:r>
      <w:r w:rsidR="000A3FEB" w:rsidRPr="00FE700F">
        <w:t xml:space="preserve">.1 billion), </w:t>
      </w:r>
      <w:r w:rsidR="000A3FEB" w:rsidRPr="00CF710E">
        <w:t xml:space="preserve">accrued charges and deferred income (EUR </w:t>
      </w:r>
      <w:r w:rsidR="001F267F" w:rsidRPr="00CF710E">
        <w:t>7</w:t>
      </w:r>
      <w:r w:rsidR="007B646C">
        <w:t>7</w:t>
      </w:r>
      <w:r w:rsidR="001F267F" w:rsidRPr="00CF710E">
        <w:t>.</w:t>
      </w:r>
      <w:r w:rsidR="007B646C">
        <w:t>0</w:t>
      </w:r>
      <w:r w:rsidR="000A3FEB" w:rsidRPr="00CF710E">
        <w:t xml:space="preserve"> billion) and </w:t>
      </w:r>
      <w:r w:rsidR="000A3FEB" w:rsidRPr="0049101A">
        <w:t xml:space="preserve">payables to third parties (EUR </w:t>
      </w:r>
      <w:r w:rsidR="0049101A" w:rsidRPr="0049101A">
        <w:t>65</w:t>
      </w:r>
      <w:r w:rsidR="000A3FEB" w:rsidRPr="0049101A">
        <w:t xml:space="preserve"> billion</w:t>
      </w:r>
      <w:r w:rsidR="00F70D7F" w:rsidRPr="0049101A">
        <w:t>)</w:t>
      </w:r>
      <w:r w:rsidR="00576D9D" w:rsidRPr="0049101A">
        <w:t>.</w:t>
      </w:r>
      <w:r w:rsidR="00576D9D" w:rsidRPr="00CF0C18">
        <w:t xml:space="preserve"> </w:t>
      </w:r>
    </w:p>
    <w:p w14:paraId="782DEB39" w14:textId="77777777" w:rsidR="001931A1" w:rsidRPr="000F3303" w:rsidRDefault="00023E71" w:rsidP="001931A1">
      <w:pPr>
        <w:pStyle w:val="HEADER5"/>
        <w:rPr>
          <w:noProof/>
        </w:rPr>
      </w:pPr>
      <w:r w:rsidRPr="000F3303">
        <w:rPr>
          <w:noProof/>
        </w:rPr>
        <w:t xml:space="preserve">Composition of liabilities </w:t>
      </w:r>
      <w:r w:rsidR="00946791">
        <w:rPr>
          <w:noProof/>
        </w:rPr>
        <w:t xml:space="preserve">at 31 December </w:t>
      </w:r>
      <w:r w:rsidR="00946791" w:rsidRPr="00075F31">
        <w:rPr>
          <w:noProof/>
        </w:rPr>
        <w:t>202</w:t>
      </w:r>
      <w:r w:rsidR="00C05F03">
        <w:rPr>
          <w:noProof/>
        </w:rPr>
        <w:t>5</w:t>
      </w:r>
    </w:p>
    <w:p w14:paraId="14A5EB69" w14:textId="77777777" w:rsidR="001931A1" w:rsidRPr="001329AB" w:rsidRDefault="00023E71" w:rsidP="001931A1">
      <w:pPr>
        <w:pStyle w:val="HEADER5"/>
        <w:jc w:val="center"/>
        <w:rPr>
          <w:noProof/>
          <w:highlight w:val="lightGray"/>
        </w:rPr>
      </w:pPr>
      <w:r>
        <w:rPr>
          <w:noProof/>
        </w:rPr>
        <w:drawing>
          <wp:inline distT="0" distB="0" distL="0" distR="0" wp14:anchorId="61D746B2" wp14:editId="1AC01134">
            <wp:extent cx="4822371" cy="4131602"/>
            <wp:effectExtent l="0" t="0" r="0" b="2540"/>
            <wp:docPr id="1580086496" name="Picture 2"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86496" name="Picture 2" descr="A pie chart with numbers and text&#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843861" cy="4150013"/>
                    </a:xfrm>
                    <a:prstGeom prst="rect">
                      <a:avLst/>
                    </a:prstGeom>
                    <a:noFill/>
                    <a:ln>
                      <a:noFill/>
                    </a:ln>
                  </pic:spPr>
                </pic:pic>
              </a:graphicData>
            </a:graphic>
          </wp:inline>
        </w:drawing>
      </w:r>
    </w:p>
    <w:p w14:paraId="3C44DECE" w14:textId="77777777" w:rsidR="00B75FDC" w:rsidRPr="00156CA2" w:rsidRDefault="00023E71" w:rsidP="00B75FDC">
      <w:pPr>
        <w:pStyle w:val="DGTextstand-alone"/>
        <w:spacing w:before="120" w:after="120"/>
      </w:pPr>
      <w:r w:rsidRPr="00156CA2">
        <w:t xml:space="preserve">The increase of EUR </w:t>
      </w:r>
      <w:r w:rsidR="00276A0A" w:rsidRPr="00156CA2">
        <w:t>1</w:t>
      </w:r>
      <w:r w:rsidR="003C03A7" w:rsidRPr="00156CA2">
        <w:t>4</w:t>
      </w:r>
      <w:r w:rsidR="0041223E">
        <w:t>9.3</w:t>
      </w:r>
      <w:r w:rsidR="00433B8D" w:rsidRPr="00156CA2">
        <w:t xml:space="preserve"> billion or </w:t>
      </w:r>
      <w:r w:rsidR="00156CA2" w:rsidRPr="00156CA2">
        <w:t>1</w:t>
      </w:r>
      <w:r w:rsidR="0041223E">
        <w:t>8.0</w:t>
      </w:r>
      <w:r w:rsidR="004F17D1" w:rsidRPr="00156CA2">
        <w:t>%</w:t>
      </w:r>
      <w:r w:rsidRPr="00156CA2">
        <w:t xml:space="preserve"> </w:t>
      </w:r>
      <w:r w:rsidR="00F671F2" w:rsidRPr="00156CA2">
        <w:t xml:space="preserve">over the previous year </w:t>
      </w:r>
      <w:r w:rsidRPr="00156CA2">
        <w:t>was mainly due to the following effects:</w:t>
      </w:r>
    </w:p>
    <w:p w14:paraId="39245F80" w14:textId="77777777" w:rsidR="000A3FEB" w:rsidRPr="002F04EA" w:rsidRDefault="00023E71" w:rsidP="00850A44">
      <w:pPr>
        <w:pStyle w:val="DGTextstand-alonedashesjustified"/>
      </w:pPr>
      <w:r w:rsidRPr="00156CA2">
        <w:t>Borrowings</w:t>
      </w:r>
      <w:r w:rsidRPr="002F04EA">
        <w:t xml:space="preserve"> increased from EUR </w:t>
      </w:r>
      <w:r w:rsidR="00ED5971" w:rsidRPr="002F04EA">
        <w:t>594.0</w:t>
      </w:r>
      <w:r w:rsidRPr="002F04EA">
        <w:t> billion in 202</w:t>
      </w:r>
      <w:r w:rsidR="00ED5971" w:rsidRPr="002F04EA">
        <w:t>4</w:t>
      </w:r>
      <w:r w:rsidRPr="002F04EA">
        <w:t xml:space="preserve"> to EUR </w:t>
      </w:r>
      <w:r w:rsidR="00ED5971" w:rsidRPr="002F04EA">
        <w:t>731.2</w:t>
      </w:r>
      <w:r w:rsidRPr="002F04EA">
        <w:t> billion in 202</w:t>
      </w:r>
      <w:r w:rsidR="00ED5971" w:rsidRPr="002F04EA">
        <w:t>5</w:t>
      </w:r>
      <w:r w:rsidRPr="002F04EA">
        <w:t>. The increase of EUR </w:t>
      </w:r>
      <w:r w:rsidR="00ED5971" w:rsidRPr="002F04EA">
        <w:t>137.2</w:t>
      </w:r>
      <w:r w:rsidRPr="002F04EA">
        <w:t xml:space="preserve"> billion or </w:t>
      </w:r>
      <w:r w:rsidR="00ED5971" w:rsidRPr="002F04EA">
        <w:t>23.1</w:t>
      </w:r>
      <w:r w:rsidRPr="002F04EA">
        <w:t>% mainly relates to the new issuance under the unified funding approach net of repayments (of EUR 148.3 billion) for RRF, the Ukraine Facility and MFA loans, less EFSM, SURE and BOP repayments of EUR 10.6 billion;</w:t>
      </w:r>
    </w:p>
    <w:p w14:paraId="43708319" w14:textId="77777777" w:rsidR="000A3FEB" w:rsidRPr="00CF710E" w:rsidRDefault="00023E71" w:rsidP="00850A44">
      <w:pPr>
        <w:pStyle w:val="DGTextstand-alonedashesjustified"/>
      </w:pPr>
      <w:r w:rsidRPr="00CF710E">
        <w:t xml:space="preserve">Accrued charges and deferred income </w:t>
      </w:r>
      <w:r>
        <w:t>increased</w:t>
      </w:r>
      <w:r w:rsidRPr="00CF710E">
        <w:t xml:space="preserve"> from EUR </w:t>
      </w:r>
      <w:r w:rsidR="001F267F" w:rsidRPr="00CF710E">
        <w:t>67.1</w:t>
      </w:r>
      <w:r w:rsidRPr="00CF710E">
        <w:t> billion in 202</w:t>
      </w:r>
      <w:r w:rsidR="001F267F" w:rsidRPr="00CF710E">
        <w:t>4</w:t>
      </w:r>
      <w:r w:rsidRPr="00CF710E">
        <w:t xml:space="preserve"> to EUR </w:t>
      </w:r>
      <w:r w:rsidR="001F267F" w:rsidRPr="00CF710E">
        <w:t>7</w:t>
      </w:r>
      <w:r w:rsidR="0041223E">
        <w:t>7.0</w:t>
      </w:r>
      <w:r w:rsidRPr="00CF710E">
        <w:t> billion in 202</w:t>
      </w:r>
      <w:r>
        <w:t>5</w:t>
      </w:r>
      <w:r w:rsidRPr="00CF710E">
        <w:t>. The increase of EUR </w:t>
      </w:r>
      <w:r w:rsidR="0041223E">
        <w:t>9.9</w:t>
      </w:r>
      <w:r w:rsidRPr="00CF710E">
        <w:t> billion or 1</w:t>
      </w:r>
      <w:r w:rsidR="0041223E">
        <w:t>4</w:t>
      </w:r>
      <w:r w:rsidRPr="00CF710E">
        <w:t>.</w:t>
      </w:r>
      <w:r w:rsidR="0041223E">
        <w:t>8</w:t>
      </w:r>
      <w:r w:rsidRPr="00CF710E">
        <w:t>% mainly relates to the RRF; and</w:t>
      </w:r>
    </w:p>
    <w:p w14:paraId="4E622881" w14:textId="77777777" w:rsidR="002638E1" w:rsidRPr="004C7140" w:rsidRDefault="00023E71" w:rsidP="00850A44">
      <w:pPr>
        <w:pStyle w:val="DGTextstand-alonedashesjustified"/>
      </w:pPr>
      <w:r w:rsidRPr="0049101A">
        <w:t>Payables increased from EUR 5</w:t>
      </w:r>
      <w:r w:rsidR="0049101A" w:rsidRPr="0049101A">
        <w:t>5.4</w:t>
      </w:r>
      <w:r w:rsidRPr="0049101A">
        <w:t> billion in 202</w:t>
      </w:r>
      <w:r w:rsidR="0049101A" w:rsidRPr="0049101A">
        <w:t>4</w:t>
      </w:r>
      <w:r w:rsidRPr="0049101A">
        <w:t xml:space="preserve"> to EUR </w:t>
      </w:r>
      <w:r w:rsidR="0049101A">
        <w:t>65</w:t>
      </w:r>
      <w:r w:rsidR="00D42BE3">
        <w:t>.0</w:t>
      </w:r>
      <w:r w:rsidRPr="0049101A">
        <w:t> billion in 202</w:t>
      </w:r>
      <w:r>
        <w:t>5</w:t>
      </w:r>
      <w:r w:rsidRPr="0049101A">
        <w:t>. The increase of EUR </w:t>
      </w:r>
      <w:r w:rsidR="0049101A">
        <w:t>9.6</w:t>
      </w:r>
      <w:r w:rsidRPr="0049101A">
        <w:t xml:space="preserve"> billion or </w:t>
      </w:r>
      <w:r w:rsidR="0049101A">
        <w:t>17.3</w:t>
      </w:r>
      <w:r w:rsidRPr="0049101A">
        <w:t>% is primarily related to ERDF,CF &amp; ESF (increase of EUR 13.9 billion</w:t>
      </w:r>
      <w:r w:rsidR="00F374B3" w:rsidRPr="0049101A">
        <w:t>)</w:t>
      </w:r>
      <w:r>
        <w:t>.</w:t>
      </w:r>
      <w:r w:rsidR="00F374B3" w:rsidRPr="004C7140">
        <w:rPr>
          <w:color w:val="016794"/>
        </w:rPr>
        <w:br w:type="page"/>
      </w:r>
    </w:p>
    <w:p w14:paraId="26B8AF36" w14:textId="77777777" w:rsidR="001931A1" w:rsidRDefault="00023E71" w:rsidP="001931A1">
      <w:pPr>
        <w:pStyle w:val="DGTextstand-alone"/>
        <w:rPr>
          <w:color w:val="016794"/>
          <w:highlight w:val="lightGray"/>
          <w:lang w:eastAsia="en-GB"/>
        </w:rPr>
      </w:pPr>
      <w:r w:rsidRPr="00E579E7">
        <w:rPr>
          <w:color w:val="016794"/>
          <w:lang w:eastAsia="en-GB"/>
        </w:rPr>
        <w:t xml:space="preserve">Total cost claims and invoices received and recognised </w:t>
      </w:r>
      <w:r w:rsidR="00433B8D" w:rsidRPr="00E579E7">
        <w:rPr>
          <w:color w:val="016794"/>
          <w:lang w:eastAsia="en-GB"/>
        </w:rPr>
        <w:t xml:space="preserve">in the Balance Sheet </w:t>
      </w:r>
      <w:r w:rsidRPr="00E579E7">
        <w:rPr>
          <w:color w:val="016794"/>
          <w:lang w:eastAsia="en-GB"/>
        </w:rPr>
        <w:t>under the heading</w:t>
      </w:r>
      <w:r w:rsidR="00C55B11" w:rsidRPr="00E579E7">
        <w:rPr>
          <w:color w:val="016794"/>
          <w:lang w:eastAsia="en-GB"/>
        </w:rPr>
        <w:t xml:space="preserve"> ‘Payables’</w:t>
      </w:r>
      <w:r w:rsidRPr="00E579E7">
        <w:rPr>
          <w:color w:val="016794"/>
          <w:lang w:eastAsia="en-GB"/>
        </w:rPr>
        <w:t xml:space="preserve"> </w:t>
      </w:r>
    </w:p>
    <w:p w14:paraId="162675FF" w14:textId="77777777" w:rsidR="001931A1" w:rsidRPr="001329AB" w:rsidRDefault="00023E71" w:rsidP="001931A1">
      <w:pPr>
        <w:pStyle w:val="HEADER5"/>
        <w:jc w:val="center"/>
        <w:rPr>
          <w:noProof/>
          <w:highlight w:val="lightGray"/>
        </w:rPr>
      </w:pPr>
      <w:r w:rsidRPr="00082809">
        <w:rPr>
          <w:noProof/>
          <w:highlight w:val="lightGray"/>
        </w:rPr>
        <w:drawing>
          <wp:inline distT="0" distB="0" distL="0" distR="0" wp14:anchorId="5560B901" wp14:editId="7AA62F48">
            <wp:extent cx="5750560" cy="3360420"/>
            <wp:effectExtent l="0" t="0" r="2540" b="0"/>
            <wp:docPr id="1983214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1455"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5775828" cy="3375186"/>
                    </a:xfrm>
                    <a:prstGeom prst="rect">
                      <a:avLst/>
                    </a:prstGeom>
                    <a:noFill/>
                    <a:ln>
                      <a:noFill/>
                    </a:ln>
                  </pic:spPr>
                </pic:pic>
              </a:graphicData>
            </a:graphic>
          </wp:inline>
        </w:drawing>
      </w:r>
    </w:p>
    <w:p w14:paraId="5C898722" w14:textId="77777777" w:rsidR="00E55D30" w:rsidRPr="00DC59B8" w:rsidRDefault="00023E71" w:rsidP="00E55D30">
      <w:pPr>
        <w:pStyle w:val="HEADER2Part4"/>
      </w:pPr>
      <w:bookmarkStart w:id="32" w:name="_Toc232671731"/>
      <w:r>
        <w:t>Net assets</w:t>
      </w:r>
      <w:bookmarkEnd w:id="32"/>
    </w:p>
    <w:p w14:paraId="231218D7" w14:textId="51CEA5F2" w:rsidR="002F1254" w:rsidRDefault="00023E71" w:rsidP="002F1254">
      <w:pPr>
        <w:pStyle w:val="DGTextstand-alone"/>
      </w:pPr>
      <w:r w:rsidRPr="004848C2">
        <w:t xml:space="preserve">The </w:t>
      </w:r>
      <w:r w:rsidRPr="00692E3D">
        <w:t>excess of</w:t>
      </w:r>
      <w:r w:rsidRPr="006D16F7">
        <w:t xml:space="preserve"> liabilities over assets at 31</w:t>
      </w:r>
      <w:r>
        <w:t> </w:t>
      </w:r>
      <w:r w:rsidRPr="006D16F7">
        <w:t>December</w:t>
      </w:r>
      <w:r>
        <w:t> </w:t>
      </w:r>
      <w:r w:rsidRPr="006D16F7">
        <w:t>202</w:t>
      </w:r>
      <w:r w:rsidR="00672B82">
        <w:t>5</w:t>
      </w:r>
      <w:r w:rsidRPr="006D16F7">
        <w:t xml:space="preserve"> </w:t>
      </w:r>
      <w:r>
        <w:t>stood at</w:t>
      </w:r>
      <w:r w:rsidRPr="006D16F7">
        <w:t xml:space="preserve"> </w:t>
      </w:r>
      <w:r>
        <w:t>EUR 3</w:t>
      </w:r>
      <w:r w:rsidR="00672B82">
        <w:t>5</w:t>
      </w:r>
      <w:r w:rsidR="0041223E">
        <w:t>9.2</w:t>
      </w:r>
      <w:r>
        <w:t> billion</w:t>
      </w:r>
      <w:r w:rsidRPr="006D16F7">
        <w:t xml:space="preserve"> (202</w:t>
      </w:r>
      <w:r w:rsidR="00672B82">
        <w:t>4</w:t>
      </w:r>
      <w:r w:rsidRPr="006D16F7">
        <w:t xml:space="preserve">: </w:t>
      </w:r>
      <w:r>
        <w:t>EUR </w:t>
      </w:r>
      <w:r w:rsidR="00672B82">
        <w:t>308.8</w:t>
      </w:r>
      <w:r>
        <w:t> billion</w:t>
      </w:r>
      <w:r w:rsidRPr="006D16F7">
        <w:t>).</w:t>
      </w:r>
      <w:r>
        <w:t xml:space="preserve"> </w:t>
      </w:r>
      <w:r w:rsidRPr="002F1254">
        <w:t>The most significant items that lead to this increase are additional borrowings under the unified funding approach (which are to be repaid up to 2055</w:t>
      </w:r>
      <w:r>
        <w:t xml:space="preserve">, see Section </w:t>
      </w:r>
      <w:r w:rsidR="00DE5F03">
        <w:rPr>
          <w:b/>
          <w:bCs/>
        </w:rPr>
        <w:t>5</w:t>
      </w:r>
      <w:r>
        <w:rPr>
          <w:b/>
          <w:bCs/>
        </w:rPr>
        <w:t>.1.1</w:t>
      </w:r>
      <w:r w:rsidRPr="002F1254">
        <w:t>), an increase in policies implementation and related increase in commitment appropriations, the employee benefits liability (which is to be paid over several decades) as well as payments relating to the EAGF, the bulk of which was paid in the first quarter of 2026.</w:t>
      </w:r>
    </w:p>
    <w:p w14:paraId="084FC2C1" w14:textId="77777777" w:rsidR="00B75FDC" w:rsidRDefault="00023E71" w:rsidP="001931A1">
      <w:pPr>
        <w:pStyle w:val="DGTextstand-alone"/>
        <w:spacing w:after="480"/>
      </w:pPr>
      <w:r w:rsidRPr="006D16F7">
        <w:t xml:space="preserve">It </w:t>
      </w:r>
      <w:r>
        <w:t>should be</w:t>
      </w:r>
      <w:r w:rsidRPr="006D16F7">
        <w:t xml:space="preserve"> noted that this excess of liabilities over assets does not mean that the EU institutions and bodies are in financial difficulties, rather it means that certain liabilities will be funded by future annual budgets. Many expenses are recognised under accrual accounting rules in the current year although they may be actually paid in following years and funded using future budgets; the </w:t>
      </w:r>
      <w:r>
        <w:t xml:space="preserve">revenues </w:t>
      </w:r>
      <w:r w:rsidRPr="006D16F7">
        <w:t xml:space="preserve">related </w:t>
      </w:r>
      <w:r>
        <w:t xml:space="preserve">to these future fundings </w:t>
      </w:r>
      <w:r w:rsidRPr="006D16F7">
        <w:t xml:space="preserve">will only be accounted for in future </w:t>
      </w:r>
      <w:r w:rsidRPr="00DB482E">
        <w:t>periods.</w:t>
      </w:r>
    </w:p>
    <w:p w14:paraId="76EF2700" w14:textId="77777777" w:rsidR="002F1254" w:rsidRDefault="00023E71" w:rsidP="002F1254">
      <w:pPr>
        <w:pStyle w:val="HEADER2Part4"/>
      </w:pPr>
      <w:bookmarkStart w:id="33" w:name="_Toc232671732"/>
      <w:r>
        <w:t>UK withdrawal from the EU</w:t>
      </w:r>
      <w:bookmarkEnd w:id="33"/>
    </w:p>
    <w:p w14:paraId="4FB81061" w14:textId="77777777" w:rsidR="002F1254" w:rsidRPr="002F1254" w:rsidRDefault="00023E71" w:rsidP="002F1254">
      <w:pPr>
        <w:pStyle w:val="DGTextstand-alone"/>
      </w:pPr>
      <w:r w:rsidRPr="002F1254">
        <w:t>Under the UK Withdrawal Agreement, the UK will continue to contribute to the EU budget and to benefit from pre-2021 EU programmes and expenditure as if it was a Member State. The UK will also receive back certain specified sums it paid into the EU budget or monies received by the EU budget linked to its period of membership. The EU reports twice a year to the UK on the amounts due and the UK pays these on a monthly basis. The reporting is updated each year based on actual figures.</w:t>
      </w:r>
    </w:p>
    <w:p w14:paraId="635929EF" w14:textId="77777777" w:rsidR="002F1254" w:rsidRDefault="00023E71" w:rsidP="002F1254">
      <w:pPr>
        <w:pStyle w:val="DGTextstand-alone"/>
      </w:pPr>
      <w:r w:rsidRPr="002F1254">
        <w:t>The obligations under the Withdrawal Agreement create liabilities and receivables for the EU which have to be calculated and reflected in the EU’s annual accounts. They cover in particular the following areas:</w:t>
      </w:r>
    </w:p>
    <w:p w14:paraId="6EAAA7B6" w14:textId="77777777" w:rsidR="002F1254" w:rsidRDefault="00023E71" w:rsidP="002F1254">
      <w:pPr>
        <w:pStyle w:val="DGTextstand-alonedashesjustified"/>
      </w:pPr>
      <w:r>
        <w:t>own resources (Article 136)</w:t>
      </w:r>
    </w:p>
    <w:p w14:paraId="23F0F4EB" w14:textId="77777777" w:rsidR="002F1254" w:rsidRDefault="00023E71" w:rsidP="002F1254">
      <w:pPr>
        <w:pStyle w:val="DGTextstand-alonedashesjustified"/>
      </w:pPr>
      <w:r>
        <w:t>outstanding commitments (Article 140)</w:t>
      </w:r>
    </w:p>
    <w:p w14:paraId="6DF0A253" w14:textId="77777777" w:rsidR="002F1254" w:rsidRDefault="00023E71" w:rsidP="002F1254">
      <w:pPr>
        <w:pStyle w:val="DGTextstand-alonedashesjustified"/>
      </w:pPr>
      <w:r>
        <w:t>competition fines (Article 141)</w:t>
      </w:r>
    </w:p>
    <w:p w14:paraId="43904AE1" w14:textId="77777777" w:rsidR="002F1254" w:rsidRDefault="00023E71" w:rsidP="002F1254">
      <w:pPr>
        <w:pStyle w:val="DGTextstand-alonedashesjustified"/>
      </w:pPr>
      <w:r>
        <w:t>Union Liabilities (Article 142)</w:t>
      </w:r>
    </w:p>
    <w:p w14:paraId="119575FA" w14:textId="77777777" w:rsidR="002F1254" w:rsidRDefault="00023E71" w:rsidP="002F1254">
      <w:pPr>
        <w:pStyle w:val="DGTextstand-alonedashesjustified"/>
      </w:pPr>
      <w:r>
        <w:t>contingent financial liabilities and financial instruments (Articles 143 &amp; 144)</w:t>
      </w:r>
    </w:p>
    <w:p w14:paraId="2DDBC24D" w14:textId="77777777" w:rsidR="002F1254" w:rsidRDefault="00023E71" w:rsidP="002F1254">
      <w:pPr>
        <w:pStyle w:val="DGTextstand-alonedashesjustified"/>
      </w:pPr>
      <w:r>
        <w:t>net assets of the European Coal &amp; Steel Community (Article 145)</w:t>
      </w:r>
    </w:p>
    <w:p w14:paraId="62B9CC94" w14:textId="77777777" w:rsidR="002F1254" w:rsidRDefault="00023E71" w:rsidP="002F1254">
      <w:pPr>
        <w:pStyle w:val="DGTextstand-alonedashesjustified"/>
      </w:pPr>
      <w:r>
        <w:t>EU investment in the European Investment Fund, EIF (Article 146)</w:t>
      </w:r>
    </w:p>
    <w:p w14:paraId="0CEA23FC" w14:textId="77777777" w:rsidR="002F1254" w:rsidRDefault="00023E71" w:rsidP="00533BB0">
      <w:pPr>
        <w:pStyle w:val="DGTextstand-alonedashesjustified"/>
      </w:pPr>
      <w:r>
        <w:t>contingent liabilities concerning legal cases (Article 147).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7"/>
        <w:gridCol w:w="1293"/>
        <w:gridCol w:w="1293"/>
        <w:gridCol w:w="1293"/>
        <w:gridCol w:w="1290"/>
        <w:gridCol w:w="1283"/>
      </w:tblGrid>
      <w:tr w:rsidR="00807FFE" w14:paraId="41F04EBD" w14:textId="77777777" w:rsidTr="00B9456B">
        <w:trPr>
          <w:trHeight w:val="255"/>
        </w:trPr>
        <w:tc>
          <w:tcPr>
            <w:tcW w:w="3307" w:type="dxa"/>
            <w:tcBorders>
              <w:top w:val="nil"/>
              <w:left w:val="nil"/>
              <w:bottom w:val="nil"/>
              <w:right w:val="nil"/>
              <w:tl2br w:val="nil"/>
              <w:tr2bl w:val="nil"/>
            </w:tcBorders>
            <w:tcMar>
              <w:left w:w="60" w:type="dxa"/>
              <w:right w:w="60" w:type="dxa"/>
            </w:tcMar>
            <w:vAlign w:val="bottom"/>
          </w:tcPr>
          <w:p w14:paraId="0D732256" w14:textId="77777777" w:rsidR="002F1254" w:rsidRDefault="002F1254" w:rsidP="00B9456B">
            <w:pPr>
              <w:pStyle w:val="DMETW36745BIPUKWA"/>
              <w:rPr>
                <w:rFonts w:ascii="Arial" w:eastAsia="Arial" w:hAnsi="Arial" w:cs="Arial"/>
                <w:noProof/>
                <w:color w:val="000000"/>
                <w:lang w:bidi="en-GB"/>
              </w:rPr>
            </w:pPr>
          </w:p>
        </w:tc>
        <w:tc>
          <w:tcPr>
            <w:tcW w:w="1293" w:type="dxa"/>
            <w:tcBorders>
              <w:top w:val="nil"/>
              <w:left w:val="nil"/>
              <w:bottom w:val="nil"/>
              <w:right w:val="nil"/>
              <w:tl2br w:val="nil"/>
              <w:tr2bl w:val="nil"/>
            </w:tcBorders>
            <w:tcMar>
              <w:left w:w="60" w:type="dxa"/>
              <w:right w:w="60" w:type="dxa"/>
            </w:tcMar>
            <w:vAlign w:val="bottom"/>
          </w:tcPr>
          <w:p w14:paraId="14F90208" w14:textId="77777777" w:rsidR="002F1254" w:rsidRDefault="002F1254" w:rsidP="00B9456B">
            <w:pPr>
              <w:pStyle w:val="DMETW36745BIPUKWA"/>
              <w:rPr>
                <w:rFonts w:ascii="Arial" w:eastAsia="Arial" w:hAnsi="Arial" w:cs="Arial"/>
                <w:noProof/>
                <w:color w:val="000000"/>
              </w:rPr>
            </w:pPr>
          </w:p>
        </w:tc>
        <w:tc>
          <w:tcPr>
            <w:tcW w:w="1293" w:type="dxa"/>
            <w:tcBorders>
              <w:top w:val="nil"/>
              <w:left w:val="nil"/>
              <w:bottom w:val="nil"/>
              <w:right w:val="nil"/>
              <w:tl2br w:val="nil"/>
              <w:tr2bl w:val="nil"/>
            </w:tcBorders>
            <w:tcMar>
              <w:left w:w="60" w:type="dxa"/>
              <w:right w:w="60" w:type="dxa"/>
            </w:tcMar>
            <w:vAlign w:val="bottom"/>
          </w:tcPr>
          <w:p w14:paraId="2FCF96A5" w14:textId="77777777" w:rsidR="002F1254" w:rsidRDefault="002F1254" w:rsidP="00B9456B">
            <w:pPr>
              <w:pStyle w:val="DMETW36745BIPUKWA"/>
              <w:rPr>
                <w:rFonts w:cs="Calibri"/>
                <w:noProof/>
                <w:color w:val="000000"/>
                <w:sz w:val="22"/>
              </w:rPr>
            </w:pPr>
          </w:p>
        </w:tc>
        <w:tc>
          <w:tcPr>
            <w:tcW w:w="1293" w:type="dxa"/>
            <w:tcBorders>
              <w:top w:val="nil"/>
              <w:left w:val="nil"/>
              <w:bottom w:val="nil"/>
              <w:right w:val="nil"/>
              <w:tl2br w:val="nil"/>
              <w:tr2bl w:val="nil"/>
            </w:tcBorders>
            <w:tcMar>
              <w:left w:w="60" w:type="dxa"/>
              <w:right w:w="60" w:type="dxa"/>
            </w:tcMar>
            <w:vAlign w:val="bottom"/>
          </w:tcPr>
          <w:p w14:paraId="49D2F216" w14:textId="77777777" w:rsidR="002F1254" w:rsidRDefault="002F1254" w:rsidP="00B9456B">
            <w:pPr>
              <w:pStyle w:val="DMETW36745BIPUKWA"/>
              <w:jc w:val="right"/>
              <w:rPr>
                <w:rFonts w:ascii="Verdana" w:eastAsia="Verdana" w:hAnsi="Verdana" w:cs="Verdana"/>
                <w:b/>
                <w:noProof/>
                <w:color w:val="000000"/>
                <w:sz w:val="18"/>
              </w:rPr>
            </w:pPr>
          </w:p>
        </w:tc>
        <w:tc>
          <w:tcPr>
            <w:tcW w:w="1290" w:type="dxa"/>
            <w:tcBorders>
              <w:top w:val="nil"/>
              <w:left w:val="nil"/>
              <w:bottom w:val="nil"/>
              <w:right w:val="nil"/>
              <w:tl2br w:val="nil"/>
              <w:tr2bl w:val="nil"/>
            </w:tcBorders>
            <w:tcMar>
              <w:left w:w="60" w:type="dxa"/>
              <w:right w:w="60" w:type="dxa"/>
            </w:tcMar>
            <w:vAlign w:val="bottom"/>
          </w:tcPr>
          <w:p w14:paraId="3C9E0E09" w14:textId="77777777" w:rsidR="002F1254" w:rsidRDefault="002F1254" w:rsidP="00B9456B">
            <w:pPr>
              <w:pStyle w:val="DMETW36745BIPUKWA"/>
              <w:rPr>
                <w:rFonts w:cs="Calibri"/>
                <w:noProof/>
                <w:color w:val="000000"/>
                <w:sz w:val="22"/>
              </w:rPr>
            </w:pPr>
          </w:p>
        </w:tc>
        <w:tc>
          <w:tcPr>
            <w:tcW w:w="1283" w:type="dxa"/>
            <w:tcBorders>
              <w:top w:val="nil"/>
              <w:left w:val="nil"/>
              <w:bottom w:val="nil"/>
              <w:right w:val="nil"/>
              <w:tl2br w:val="nil"/>
              <w:tr2bl w:val="nil"/>
            </w:tcBorders>
            <w:tcMar>
              <w:left w:w="60" w:type="dxa"/>
              <w:right w:w="60" w:type="dxa"/>
            </w:tcMar>
            <w:vAlign w:val="bottom"/>
          </w:tcPr>
          <w:p w14:paraId="168D3328" w14:textId="77777777" w:rsidR="002F1254" w:rsidRDefault="00023E71" w:rsidP="00B9456B">
            <w:pPr>
              <w:pStyle w:val="DMETW36745BIPUKWA"/>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59CBC6B" w14:textId="77777777" w:rsidTr="00B9456B">
        <w:trPr>
          <w:trHeight w:val="255"/>
        </w:trPr>
        <w:tc>
          <w:tcPr>
            <w:tcW w:w="3307" w:type="dxa"/>
            <w:tcBorders>
              <w:top w:val="nil"/>
              <w:left w:val="nil"/>
              <w:bottom w:val="nil"/>
              <w:right w:val="nil"/>
              <w:tl2br w:val="nil"/>
              <w:tr2bl w:val="nil"/>
            </w:tcBorders>
            <w:shd w:val="solid" w:color="016794" w:fill="FFFFFF"/>
            <w:tcMar>
              <w:left w:w="60" w:type="dxa"/>
              <w:right w:w="60" w:type="dxa"/>
            </w:tcMar>
            <w:vAlign w:val="center"/>
          </w:tcPr>
          <w:p w14:paraId="3B096DE5" w14:textId="77777777" w:rsidR="002F1254" w:rsidRDefault="002F1254" w:rsidP="00B9456B">
            <w:pPr>
              <w:pStyle w:val="DMETW36745BIPUKWA"/>
              <w:jc w:val="center"/>
              <w:rPr>
                <w:rFonts w:ascii="Verdana" w:eastAsia="Verdana" w:hAnsi="Verdana" w:cs="Verdana"/>
                <w:noProof/>
                <w:color w:val="FFFFFF"/>
              </w:rPr>
            </w:pPr>
          </w:p>
        </w:tc>
        <w:tc>
          <w:tcPr>
            <w:tcW w:w="1293" w:type="dxa"/>
            <w:tcBorders>
              <w:top w:val="nil"/>
              <w:left w:val="nil"/>
              <w:bottom w:val="nil"/>
              <w:right w:val="nil"/>
              <w:tl2br w:val="nil"/>
              <w:tr2bl w:val="nil"/>
            </w:tcBorders>
            <w:shd w:val="solid" w:color="016794" w:fill="FFFFFF"/>
            <w:tcMar>
              <w:left w:w="60" w:type="dxa"/>
              <w:right w:w="60" w:type="dxa"/>
            </w:tcMar>
            <w:vAlign w:val="center"/>
          </w:tcPr>
          <w:p w14:paraId="73C9BDBC" w14:textId="77777777" w:rsidR="002F1254" w:rsidRDefault="00023E71" w:rsidP="00B9456B">
            <w:pPr>
              <w:pStyle w:val="DMETW36745BIPUKWA"/>
              <w:jc w:val="right"/>
              <w:rPr>
                <w:rFonts w:ascii="Verdana" w:eastAsia="Verdana" w:hAnsi="Verdana" w:cs="Verdana"/>
                <w:noProof/>
                <w:color w:val="FFFFFF"/>
              </w:rPr>
            </w:pPr>
            <w:r>
              <w:rPr>
                <w:rFonts w:ascii="Verdana" w:eastAsia="Verdana" w:hAnsi="Verdana" w:cs="Verdana"/>
                <w:noProof/>
                <w:color w:val="FFFFFF"/>
              </w:rPr>
              <w:t>Article 140</w:t>
            </w:r>
          </w:p>
        </w:tc>
        <w:tc>
          <w:tcPr>
            <w:tcW w:w="1293" w:type="dxa"/>
            <w:tcBorders>
              <w:top w:val="nil"/>
              <w:left w:val="nil"/>
              <w:bottom w:val="nil"/>
              <w:right w:val="nil"/>
              <w:tl2br w:val="nil"/>
              <w:tr2bl w:val="nil"/>
            </w:tcBorders>
            <w:shd w:val="solid" w:color="016794" w:fill="FFFFFF"/>
            <w:tcMar>
              <w:left w:w="60" w:type="dxa"/>
              <w:right w:w="60" w:type="dxa"/>
            </w:tcMar>
            <w:vAlign w:val="center"/>
          </w:tcPr>
          <w:p w14:paraId="1D80C372" w14:textId="77777777" w:rsidR="002F1254" w:rsidRDefault="00023E71" w:rsidP="00B9456B">
            <w:pPr>
              <w:pStyle w:val="DMETW36745BIPUKWA"/>
              <w:jc w:val="right"/>
              <w:rPr>
                <w:rFonts w:ascii="Verdana" w:eastAsia="Verdana" w:hAnsi="Verdana" w:cs="Verdana"/>
                <w:noProof/>
                <w:color w:val="FFFFFF"/>
              </w:rPr>
            </w:pPr>
            <w:r>
              <w:rPr>
                <w:rFonts w:ascii="Verdana" w:eastAsia="Verdana" w:hAnsi="Verdana" w:cs="Verdana"/>
                <w:noProof/>
                <w:color w:val="FFFFFF"/>
              </w:rPr>
              <w:t>Article 142</w:t>
            </w:r>
          </w:p>
        </w:tc>
        <w:tc>
          <w:tcPr>
            <w:tcW w:w="1293" w:type="dxa"/>
            <w:tcBorders>
              <w:top w:val="nil"/>
              <w:left w:val="nil"/>
              <w:bottom w:val="nil"/>
              <w:right w:val="nil"/>
              <w:tl2br w:val="nil"/>
              <w:tr2bl w:val="nil"/>
            </w:tcBorders>
            <w:shd w:val="solid" w:color="016794" w:fill="FFFFFF"/>
            <w:tcMar>
              <w:left w:w="60" w:type="dxa"/>
              <w:right w:w="60" w:type="dxa"/>
            </w:tcMar>
            <w:vAlign w:val="center"/>
          </w:tcPr>
          <w:p w14:paraId="6FD6A07D" w14:textId="77777777" w:rsidR="002F1254" w:rsidRDefault="00023E71" w:rsidP="00B9456B">
            <w:pPr>
              <w:pStyle w:val="DMETW36745BIPUKWA"/>
              <w:jc w:val="right"/>
              <w:rPr>
                <w:rFonts w:ascii="Verdana" w:eastAsia="Verdana" w:hAnsi="Verdana" w:cs="Verdana"/>
                <w:noProof/>
                <w:color w:val="FFFFFF"/>
              </w:rPr>
            </w:pPr>
            <w:r>
              <w:rPr>
                <w:rFonts w:ascii="Verdana" w:eastAsia="Verdana" w:hAnsi="Verdana" w:cs="Verdana"/>
                <w:noProof/>
                <w:color w:val="FFFFFF"/>
              </w:rPr>
              <w:t>Other</w:t>
            </w:r>
          </w:p>
        </w:tc>
        <w:tc>
          <w:tcPr>
            <w:tcW w:w="1290" w:type="dxa"/>
            <w:tcBorders>
              <w:top w:val="nil"/>
              <w:left w:val="nil"/>
              <w:bottom w:val="nil"/>
              <w:right w:val="nil"/>
              <w:tl2br w:val="nil"/>
              <w:tr2bl w:val="nil"/>
            </w:tcBorders>
            <w:shd w:val="solid" w:color="016794" w:fill="FFFFFF"/>
            <w:tcMar>
              <w:left w:w="60" w:type="dxa"/>
              <w:right w:w="60" w:type="dxa"/>
            </w:tcMar>
            <w:vAlign w:val="center"/>
          </w:tcPr>
          <w:p w14:paraId="17D7BE78" w14:textId="77777777" w:rsidR="002F1254" w:rsidRDefault="00023E71" w:rsidP="00B9456B">
            <w:pPr>
              <w:pStyle w:val="DMETW36745BIPUKWA"/>
              <w:jc w:val="right"/>
              <w:rPr>
                <w:rFonts w:ascii="Verdana" w:eastAsia="Verdana" w:hAnsi="Verdana" w:cs="Verdana"/>
                <w:noProof/>
                <w:color w:val="FFFFFF"/>
              </w:rPr>
            </w:pPr>
            <w:r>
              <w:rPr>
                <w:rFonts w:ascii="Verdana" w:eastAsia="Verdana" w:hAnsi="Verdana" w:cs="Verdana"/>
                <w:noProof/>
                <w:color w:val="FFFFFF"/>
              </w:rPr>
              <w:t>31.12.2025</w:t>
            </w:r>
          </w:p>
        </w:tc>
        <w:tc>
          <w:tcPr>
            <w:tcW w:w="1283" w:type="dxa"/>
            <w:tcBorders>
              <w:top w:val="nil"/>
              <w:left w:val="nil"/>
              <w:bottom w:val="nil"/>
              <w:right w:val="nil"/>
              <w:tl2br w:val="nil"/>
              <w:tr2bl w:val="nil"/>
            </w:tcBorders>
            <w:shd w:val="solid" w:color="016794" w:fill="FFFFFF"/>
            <w:tcMar>
              <w:left w:w="60" w:type="dxa"/>
              <w:right w:w="60" w:type="dxa"/>
            </w:tcMar>
            <w:vAlign w:val="center"/>
          </w:tcPr>
          <w:p w14:paraId="4AB2BA2A" w14:textId="77777777" w:rsidR="002F1254" w:rsidRDefault="00023E71" w:rsidP="00B9456B">
            <w:pPr>
              <w:pStyle w:val="DMETW36745BIPUKWA"/>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4B24DEFF" w14:textId="77777777" w:rsidTr="00B9456B">
        <w:trPr>
          <w:trHeight w:val="255"/>
        </w:trPr>
        <w:tc>
          <w:tcPr>
            <w:tcW w:w="3307" w:type="dxa"/>
            <w:tcBorders>
              <w:top w:val="nil"/>
              <w:left w:val="nil"/>
              <w:bottom w:val="nil"/>
              <w:right w:val="nil"/>
              <w:tl2br w:val="nil"/>
              <w:tr2bl w:val="nil"/>
            </w:tcBorders>
            <w:tcMar>
              <w:left w:w="60" w:type="dxa"/>
              <w:right w:w="60" w:type="dxa"/>
            </w:tcMar>
            <w:vAlign w:val="bottom"/>
          </w:tcPr>
          <w:p w14:paraId="28F52293" w14:textId="77777777" w:rsidR="002F1254" w:rsidRDefault="00023E71" w:rsidP="00B9456B">
            <w:pPr>
              <w:pStyle w:val="DMETW36745BIPUKWA"/>
              <w:rPr>
                <w:rFonts w:ascii="Verdana" w:eastAsia="Verdana" w:hAnsi="Verdana" w:cs="Verdana"/>
                <w:i/>
                <w:noProof/>
                <w:color w:val="000000"/>
                <w:sz w:val="18"/>
              </w:rPr>
            </w:pPr>
            <w:r>
              <w:rPr>
                <w:rFonts w:ascii="Verdana" w:eastAsia="Verdana" w:hAnsi="Verdana" w:cs="Verdana"/>
                <w:i/>
                <w:noProof/>
                <w:color w:val="000000"/>
                <w:sz w:val="18"/>
              </w:rPr>
              <w:t>Due from the UK</w:t>
            </w:r>
          </w:p>
        </w:tc>
        <w:tc>
          <w:tcPr>
            <w:tcW w:w="1293" w:type="dxa"/>
            <w:tcBorders>
              <w:top w:val="nil"/>
              <w:left w:val="nil"/>
              <w:bottom w:val="nil"/>
              <w:right w:val="nil"/>
              <w:tl2br w:val="nil"/>
              <w:tr2bl w:val="nil"/>
            </w:tcBorders>
            <w:tcMar>
              <w:left w:w="60" w:type="dxa"/>
              <w:right w:w="60" w:type="dxa"/>
            </w:tcMar>
            <w:vAlign w:val="bottom"/>
          </w:tcPr>
          <w:p w14:paraId="5F3C22BD" w14:textId="77777777" w:rsidR="002F1254" w:rsidRDefault="00023E71" w:rsidP="00B9456B">
            <w:pPr>
              <w:pStyle w:val="DMETW36745BIPUKWA"/>
              <w:jc w:val="right"/>
              <w:rPr>
                <w:rFonts w:ascii="Verdana" w:eastAsia="Verdana" w:hAnsi="Verdana" w:cs="Verdana"/>
                <w:i/>
                <w:noProof/>
                <w:color w:val="000000"/>
                <w:sz w:val="18"/>
              </w:rPr>
            </w:pPr>
            <w:r>
              <w:rPr>
                <w:rFonts w:ascii="Verdana" w:eastAsia="Times New Roman" w:hAnsi="Verdana" w:cs="Verdana"/>
                <w:i/>
                <w:noProof/>
                <w:color w:val="000000"/>
                <w:sz w:val="18"/>
              </w:rPr>
              <w:t>2 327</w:t>
            </w:r>
          </w:p>
        </w:tc>
        <w:tc>
          <w:tcPr>
            <w:tcW w:w="1293" w:type="dxa"/>
            <w:tcBorders>
              <w:top w:val="nil"/>
              <w:left w:val="nil"/>
              <w:bottom w:val="nil"/>
              <w:right w:val="nil"/>
              <w:tl2br w:val="nil"/>
              <w:tr2bl w:val="nil"/>
            </w:tcBorders>
            <w:tcMar>
              <w:left w:w="60" w:type="dxa"/>
              <w:right w:w="60" w:type="dxa"/>
            </w:tcMar>
            <w:vAlign w:val="bottom"/>
          </w:tcPr>
          <w:p w14:paraId="210D957D" w14:textId="77777777" w:rsidR="002F1254" w:rsidRDefault="00023E71" w:rsidP="00B9456B">
            <w:pPr>
              <w:pStyle w:val="DMETW36745BIPUKWA"/>
              <w:jc w:val="right"/>
              <w:rPr>
                <w:rFonts w:ascii="Verdana" w:eastAsia="Verdana" w:hAnsi="Verdana" w:cs="Verdana"/>
                <w:i/>
                <w:noProof/>
                <w:color w:val="000000"/>
                <w:sz w:val="18"/>
              </w:rPr>
            </w:pPr>
            <w:r>
              <w:rPr>
                <w:rFonts w:ascii="Verdana" w:eastAsia="Times New Roman" w:hAnsi="Verdana" w:cs="Verdana"/>
                <w:i/>
                <w:noProof/>
                <w:color w:val="000000"/>
                <w:sz w:val="18"/>
              </w:rPr>
              <w:t>9 599</w:t>
            </w:r>
          </w:p>
        </w:tc>
        <w:tc>
          <w:tcPr>
            <w:tcW w:w="1293" w:type="dxa"/>
            <w:tcBorders>
              <w:top w:val="nil"/>
              <w:left w:val="nil"/>
              <w:bottom w:val="nil"/>
              <w:right w:val="nil"/>
              <w:tl2br w:val="nil"/>
              <w:tr2bl w:val="nil"/>
            </w:tcBorders>
            <w:tcMar>
              <w:left w:w="60" w:type="dxa"/>
              <w:right w:w="60" w:type="dxa"/>
            </w:tcMar>
            <w:vAlign w:val="bottom"/>
          </w:tcPr>
          <w:p w14:paraId="212C944F" w14:textId="77777777" w:rsidR="002F1254" w:rsidRDefault="00023E71" w:rsidP="00B9456B">
            <w:pPr>
              <w:pStyle w:val="DMETW36745BIPUKWA"/>
              <w:jc w:val="right"/>
              <w:rPr>
                <w:rFonts w:ascii="Verdana" w:eastAsia="Verdana" w:hAnsi="Verdana" w:cs="Verdana"/>
                <w:i/>
                <w:noProof/>
                <w:color w:val="000000"/>
                <w:sz w:val="18"/>
              </w:rPr>
            </w:pPr>
            <w:r>
              <w:rPr>
                <w:rFonts w:ascii="Verdana" w:eastAsia="Times New Roman" w:hAnsi="Verdana" w:cs="Verdana"/>
                <w:i/>
                <w:noProof/>
                <w:color w:val="000000"/>
                <w:sz w:val="18"/>
              </w:rPr>
              <w:t xml:space="preserve"> 166</w:t>
            </w:r>
          </w:p>
        </w:tc>
        <w:tc>
          <w:tcPr>
            <w:tcW w:w="1290" w:type="dxa"/>
            <w:tcBorders>
              <w:top w:val="nil"/>
              <w:left w:val="nil"/>
              <w:bottom w:val="nil"/>
              <w:right w:val="nil"/>
              <w:tl2br w:val="nil"/>
              <w:tr2bl w:val="nil"/>
            </w:tcBorders>
            <w:tcMar>
              <w:left w:w="60" w:type="dxa"/>
              <w:right w:w="60" w:type="dxa"/>
            </w:tcMar>
            <w:vAlign w:val="bottom"/>
          </w:tcPr>
          <w:p w14:paraId="46426182" w14:textId="77777777" w:rsidR="002F1254" w:rsidRDefault="00023E71" w:rsidP="00B9456B">
            <w:pPr>
              <w:pStyle w:val="DMETW36745BIPUKWA"/>
              <w:jc w:val="right"/>
              <w:rPr>
                <w:rFonts w:ascii="Verdana" w:eastAsia="Verdana" w:hAnsi="Verdana" w:cs="Verdana"/>
                <w:i/>
                <w:noProof/>
                <w:color w:val="000000"/>
                <w:sz w:val="18"/>
              </w:rPr>
            </w:pPr>
            <w:r>
              <w:rPr>
                <w:rFonts w:ascii="Verdana" w:eastAsia="Times New Roman" w:hAnsi="Verdana" w:cs="Verdana"/>
                <w:i/>
                <w:noProof/>
                <w:color w:val="000000"/>
                <w:sz w:val="18"/>
              </w:rPr>
              <w:t>12 092</w:t>
            </w:r>
          </w:p>
        </w:tc>
        <w:tc>
          <w:tcPr>
            <w:tcW w:w="1283" w:type="dxa"/>
            <w:tcBorders>
              <w:top w:val="nil"/>
              <w:left w:val="nil"/>
              <w:bottom w:val="nil"/>
              <w:right w:val="nil"/>
              <w:tl2br w:val="nil"/>
              <w:tr2bl w:val="nil"/>
            </w:tcBorders>
            <w:tcMar>
              <w:left w:w="60" w:type="dxa"/>
              <w:right w:w="60" w:type="dxa"/>
            </w:tcMar>
            <w:vAlign w:val="bottom"/>
          </w:tcPr>
          <w:p w14:paraId="7BA384A6" w14:textId="77777777" w:rsidR="002F1254" w:rsidRDefault="00023E71" w:rsidP="00B9456B">
            <w:pPr>
              <w:pStyle w:val="DMETW36745BIPUKWA"/>
              <w:jc w:val="right"/>
              <w:rPr>
                <w:rFonts w:ascii="Verdana" w:eastAsia="Verdana" w:hAnsi="Verdana" w:cs="Verdana"/>
                <w:i/>
                <w:noProof/>
                <w:color w:val="000000"/>
                <w:sz w:val="18"/>
                <w:lang w:bidi="en-GB"/>
              </w:rPr>
            </w:pPr>
            <w:r>
              <w:rPr>
                <w:rFonts w:ascii="Verdana" w:eastAsia="Times New Roman" w:hAnsi="Verdana" w:cs="Verdana"/>
                <w:i/>
                <w:noProof/>
                <w:color w:val="000000"/>
                <w:sz w:val="18"/>
              </w:rPr>
              <w:t>14 683</w:t>
            </w:r>
          </w:p>
        </w:tc>
      </w:tr>
      <w:tr w:rsidR="00807FFE" w14:paraId="7F7D5BA8" w14:textId="77777777" w:rsidTr="00B9456B">
        <w:trPr>
          <w:trHeight w:val="255"/>
        </w:trPr>
        <w:tc>
          <w:tcPr>
            <w:tcW w:w="3307" w:type="dxa"/>
            <w:tcBorders>
              <w:top w:val="nil"/>
              <w:left w:val="nil"/>
              <w:bottom w:val="single" w:sz="4" w:space="0" w:color="016794"/>
              <w:right w:val="nil"/>
              <w:tl2br w:val="nil"/>
              <w:tr2bl w:val="nil"/>
            </w:tcBorders>
            <w:tcMar>
              <w:left w:w="60" w:type="dxa"/>
              <w:right w:w="60" w:type="dxa"/>
            </w:tcMar>
            <w:vAlign w:val="bottom"/>
          </w:tcPr>
          <w:p w14:paraId="608BBEDE" w14:textId="77777777" w:rsidR="002F1254" w:rsidRDefault="00023E71" w:rsidP="00B9456B">
            <w:pPr>
              <w:pStyle w:val="DMETW36745BIPUKWA"/>
              <w:rPr>
                <w:rFonts w:ascii="Verdana" w:eastAsia="Verdana" w:hAnsi="Verdana" w:cs="Verdana"/>
                <w:i/>
                <w:noProof/>
                <w:color w:val="000000"/>
                <w:sz w:val="18"/>
              </w:rPr>
            </w:pPr>
            <w:r>
              <w:rPr>
                <w:rFonts w:ascii="Verdana" w:eastAsia="Verdana" w:hAnsi="Verdana" w:cs="Verdana"/>
                <w:i/>
                <w:noProof/>
                <w:color w:val="000000"/>
                <w:sz w:val="18"/>
              </w:rPr>
              <w:t>Due to the UK</w:t>
            </w:r>
          </w:p>
        </w:tc>
        <w:tc>
          <w:tcPr>
            <w:tcW w:w="1293" w:type="dxa"/>
            <w:tcBorders>
              <w:top w:val="nil"/>
              <w:left w:val="nil"/>
              <w:bottom w:val="single" w:sz="4" w:space="0" w:color="016794"/>
              <w:right w:val="nil"/>
              <w:tl2br w:val="nil"/>
              <w:tr2bl w:val="nil"/>
            </w:tcBorders>
            <w:tcMar>
              <w:left w:w="60" w:type="dxa"/>
              <w:right w:w="60" w:type="dxa"/>
            </w:tcMar>
            <w:vAlign w:val="center"/>
          </w:tcPr>
          <w:p w14:paraId="6C262981" w14:textId="77777777" w:rsidR="002F1254" w:rsidRDefault="00023E71" w:rsidP="00B9456B">
            <w:pPr>
              <w:pStyle w:val="DMETW36745BIPUKWA"/>
              <w:jc w:val="right"/>
              <w:rPr>
                <w:rFonts w:ascii="Verdana" w:eastAsia="Verdana" w:hAnsi="Verdana" w:cs="Verdana"/>
                <w:i/>
                <w:noProof/>
                <w:color w:val="000000"/>
                <w:sz w:val="18"/>
              </w:rPr>
            </w:pPr>
            <w:r>
              <w:rPr>
                <w:rFonts w:ascii="Verdana" w:eastAsia="Times New Roman" w:hAnsi="Verdana" w:cs="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14:paraId="0F13386C" w14:textId="77777777" w:rsidR="002F1254" w:rsidRDefault="00023E71" w:rsidP="00B9456B">
            <w:pPr>
              <w:pStyle w:val="DMETW36745BIPUKWA"/>
              <w:jc w:val="right"/>
              <w:rPr>
                <w:rFonts w:ascii="Verdana" w:eastAsia="Verdana" w:hAnsi="Verdana" w:cs="Verdana"/>
                <w:i/>
                <w:noProof/>
                <w:color w:val="000000"/>
                <w:sz w:val="18"/>
              </w:rPr>
            </w:pPr>
            <w:r>
              <w:rPr>
                <w:rFonts w:ascii="Verdana" w:eastAsia="Times New Roman" w:hAnsi="Verdana" w:cs="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14:paraId="6F6832C4" w14:textId="77777777" w:rsidR="002F1254" w:rsidRDefault="00023E71" w:rsidP="00B9456B">
            <w:pPr>
              <w:pStyle w:val="DMETW36745BIPUKWA"/>
              <w:jc w:val="right"/>
              <w:rPr>
                <w:rFonts w:ascii="Verdana" w:eastAsia="Verdana" w:hAnsi="Verdana" w:cs="Verdana"/>
                <w:i/>
                <w:noProof/>
                <w:color w:val="000000"/>
                <w:sz w:val="18"/>
              </w:rPr>
            </w:pPr>
            <w:r>
              <w:rPr>
                <w:rFonts w:ascii="Verdana" w:eastAsia="Times New Roman" w:hAnsi="Verdana" w:cs="Verdana"/>
                <w:i/>
                <w:noProof/>
                <w:color w:val="000000"/>
                <w:sz w:val="18"/>
              </w:rPr>
              <w:t>(1 331)</w:t>
            </w:r>
          </w:p>
        </w:tc>
        <w:tc>
          <w:tcPr>
            <w:tcW w:w="1290" w:type="dxa"/>
            <w:tcBorders>
              <w:top w:val="nil"/>
              <w:left w:val="nil"/>
              <w:bottom w:val="single" w:sz="4" w:space="0" w:color="016794"/>
              <w:right w:val="nil"/>
              <w:tl2br w:val="nil"/>
              <w:tr2bl w:val="nil"/>
            </w:tcBorders>
            <w:tcMar>
              <w:left w:w="60" w:type="dxa"/>
              <w:right w:w="60" w:type="dxa"/>
            </w:tcMar>
            <w:vAlign w:val="bottom"/>
          </w:tcPr>
          <w:p w14:paraId="0B707780" w14:textId="77777777" w:rsidR="002F1254" w:rsidRDefault="00023E71" w:rsidP="00B9456B">
            <w:pPr>
              <w:pStyle w:val="DMETW36745BIPUKWA"/>
              <w:jc w:val="right"/>
              <w:rPr>
                <w:rFonts w:ascii="Verdana" w:eastAsia="Verdana" w:hAnsi="Verdana" w:cs="Verdana"/>
                <w:i/>
                <w:noProof/>
                <w:color w:val="000000"/>
                <w:sz w:val="18"/>
              </w:rPr>
            </w:pPr>
            <w:r>
              <w:rPr>
                <w:rFonts w:ascii="Verdana" w:eastAsia="Times New Roman" w:hAnsi="Verdana" w:cs="Verdana"/>
                <w:i/>
                <w:noProof/>
                <w:color w:val="000000"/>
                <w:sz w:val="18"/>
              </w:rPr>
              <w:t>(1 331)</w:t>
            </w:r>
          </w:p>
        </w:tc>
        <w:tc>
          <w:tcPr>
            <w:tcW w:w="1283" w:type="dxa"/>
            <w:tcBorders>
              <w:top w:val="nil"/>
              <w:left w:val="nil"/>
              <w:bottom w:val="single" w:sz="4" w:space="0" w:color="016794"/>
              <w:right w:val="nil"/>
              <w:tl2br w:val="nil"/>
              <w:tr2bl w:val="nil"/>
            </w:tcBorders>
            <w:tcMar>
              <w:left w:w="60" w:type="dxa"/>
              <w:right w:w="60" w:type="dxa"/>
            </w:tcMar>
            <w:vAlign w:val="bottom"/>
          </w:tcPr>
          <w:p w14:paraId="74A52B5C" w14:textId="77777777" w:rsidR="002F1254" w:rsidRDefault="00023E71" w:rsidP="00B9456B">
            <w:pPr>
              <w:pStyle w:val="DMETW36745BIPUKWA"/>
              <w:jc w:val="right"/>
              <w:rPr>
                <w:rFonts w:ascii="Verdana" w:eastAsia="Verdana" w:hAnsi="Verdana" w:cs="Verdana"/>
                <w:i/>
                <w:noProof/>
                <w:color w:val="000000"/>
                <w:sz w:val="18"/>
                <w:lang w:bidi="en-GB"/>
              </w:rPr>
            </w:pPr>
            <w:r>
              <w:rPr>
                <w:rFonts w:ascii="Verdana" w:eastAsia="Times New Roman" w:hAnsi="Verdana" w:cs="Verdana"/>
                <w:i/>
                <w:noProof/>
                <w:color w:val="000000"/>
                <w:sz w:val="18"/>
              </w:rPr>
              <w:t>(1 922)</w:t>
            </w:r>
          </w:p>
        </w:tc>
      </w:tr>
      <w:tr w:rsidR="00807FFE" w14:paraId="777B0A0C" w14:textId="77777777" w:rsidTr="00B9456B">
        <w:trPr>
          <w:trHeight w:val="255"/>
        </w:trPr>
        <w:tc>
          <w:tcPr>
            <w:tcW w:w="3307" w:type="dxa"/>
            <w:tcBorders>
              <w:top w:val="single" w:sz="4" w:space="0" w:color="016794"/>
              <w:left w:val="nil"/>
              <w:bottom w:val="single" w:sz="4" w:space="0" w:color="016794"/>
              <w:right w:val="nil"/>
              <w:tl2br w:val="nil"/>
              <w:tr2bl w:val="nil"/>
            </w:tcBorders>
            <w:tcMar>
              <w:left w:w="60" w:type="dxa"/>
              <w:right w:w="60" w:type="dxa"/>
            </w:tcMar>
            <w:vAlign w:val="center"/>
          </w:tcPr>
          <w:p w14:paraId="07324A53" w14:textId="77777777" w:rsidR="002F1254" w:rsidRDefault="00023E71" w:rsidP="00B9456B">
            <w:pPr>
              <w:pStyle w:val="DMETW36745BIPUKWA"/>
              <w:rPr>
                <w:rFonts w:ascii="Verdana" w:eastAsia="Verdana" w:hAnsi="Verdana" w:cs="Verdana"/>
                <w:b/>
                <w:noProof/>
                <w:color w:val="000000"/>
                <w:sz w:val="18"/>
              </w:rPr>
            </w:pPr>
            <w:r>
              <w:rPr>
                <w:rFonts w:ascii="Verdana" w:eastAsia="Verdana" w:hAnsi="Verdana" w:cs="Verdana"/>
                <w:b/>
                <w:noProof/>
                <w:color w:val="000000"/>
                <w:sz w:val="18"/>
              </w:rPr>
              <w:t>Total</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14:paraId="2F5A033B" w14:textId="77777777" w:rsidR="002F1254" w:rsidRDefault="00023E71" w:rsidP="00B9456B">
            <w:pPr>
              <w:pStyle w:val="DMETW36745BIPUKWA"/>
              <w:jc w:val="right"/>
              <w:rPr>
                <w:rFonts w:ascii="Verdana" w:eastAsia="Verdana" w:hAnsi="Verdana" w:cs="Verdana"/>
                <w:b/>
                <w:noProof/>
                <w:color w:val="000000"/>
                <w:sz w:val="18"/>
              </w:rPr>
            </w:pPr>
            <w:r>
              <w:rPr>
                <w:rFonts w:ascii="Verdana" w:eastAsia="Times New Roman" w:hAnsi="Verdana" w:cs="Verdana"/>
                <w:b/>
                <w:noProof/>
                <w:color w:val="000000"/>
                <w:sz w:val="18"/>
              </w:rPr>
              <w:t>2 327</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14:paraId="2B3AC74D" w14:textId="77777777" w:rsidR="002F1254" w:rsidRDefault="00023E71" w:rsidP="00B9456B">
            <w:pPr>
              <w:pStyle w:val="DMETW36745BIPUKWA"/>
              <w:jc w:val="right"/>
              <w:rPr>
                <w:rFonts w:ascii="Verdana" w:eastAsia="Verdana" w:hAnsi="Verdana" w:cs="Verdana"/>
                <w:b/>
                <w:noProof/>
                <w:color w:val="000000"/>
                <w:sz w:val="18"/>
              </w:rPr>
            </w:pPr>
            <w:r>
              <w:rPr>
                <w:rFonts w:ascii="Verdana" w:eastAsia="Times New Roman" w:hAnsi="Verdana" w:cs="Verdana"/>
                <w:b/>
                <w:noProof/>
                <w:color w:val="000000"/>
                <w:sz w:val="18"/>
              </w:rPr>
              <w:t>9 599</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14:paraId="08FC98C9" w14:textId="77777777" w:rsidR="002F1254" w:rsidRDefault="00023E71" w:rsidP="00B9456B">
            <w:pPr>
              <w:pStyle w:val="DMETW36745BIPUKWA"/>
              <w:jc w:val="right"/>
              <w:rPr>
                <w:rFonts w:ascii="Verdana" w:eastAsia="Verdana" w:hAnsi="Verdana" w:cs="Verdana"/>
                <w:b/>
                <w:noProof/>
                <w:color w:val="000000"/>
                <w:sz w:val="18"/>
              </w:rPr>
            </w:pPr>
            <w:r>
              <w:rPr>
                <w:rFonts w:ascii="Verdana" w:eastAsia="Times New Roman" w:hAnsi="Verdana" w:cs="Verdana"/>
                <w:b/>
                <w:noProof/>
                <w:color w:val="000000"/>
                <w:sz w:val="18"/>
              </w:rPr>
              <w:t>(1 165)</w:t>
            </w:r>
          </w:p>
        </w:tc>
        <w:tc>
          <w:tcPr>
            <w:tcW w:w="1290" w:type="dxa"/>
            <w:tcBorders>
              <w:top w:val="single" w:sz="4" w:space="0" w:color="016794"/>
              <w:left w:val="nil"/>
              <w:bottom w:val="single" w:sz="4" w:space="0" w:color="016794"/>
              <w:right w:val="nil"/>
              <w:tl2br w:val="nil"/>
              <w:tr2bl w:val="nil"/>
            </w:tcBorders>
            <w:tcMar>
              <w:left w:w="60" w:type="dxa"/>
              <w:right w:w="60" w:type="dxa"/>
            </w:tcMar>
            <w:vAlign w:val="bottom"/>
          </w:tcPr>
          <w:p w14:paraId="5D7E1941" w14:textId="77777777" w:rsidR="002F1254" w:rsidRDefault="00023E71" w:rsidP="00B9456B">
            <w:pPr>
              <w:pStyle w:val="DMETW36745BIPUKWA"/>
              <w:jc w:val="right"/>
              <w:rPr>
                <w:rFonts w:ascii="Verdana" w:eastAsia="Verdana" w:hAnsi="Verdana" w:cs="Verdana"/>
                <w:b/>
                <w:noProof/>
                <w:color w:val="000000"/>
                <w:sz w:val="18"/>
              </w:rPr>
            </w:pPr>
            <w:r>
              <w:rPr>
                <w:rFonts w:ascii="Verdana" w:eastAsia="Times New Roman" w:hAnsi="Verdana" w:cs="Verdana"/>
                <w:b/>
                <w:noProof/>
                <w:color w:val="000000"/>
                <w:sz w:val="18"/>
              </w:rPr>
              <w:t>10 761</w:t>
            </w:r>
          </w:p>
        </w:tc>
        <w:tc>
          <w:tcPr>
            <w:tcW w:w="1283" w:type="dxa"/>
            <w:tcBorders>
              <w:top w:val="single" w:sz="4" w:space="0" w:color="016794"/>
              <w:left w:val="nil"/>
              <w:bottom w:val="single" w:sz="4" w:space="0" w:color="016794"/>
              <w:right w:val="nil"/>
              <w:tl2br w:val="nil"/>
              <w:tr2bl w:val="nil"/>
            </w:tcBorders>
            <w:tcMar>
              <w:left w:w="60" w:type="dxa"/>
              <w:right w:w="60" w:type="dxa"/>
            </w:tcMar>
            <w:vAlign w:val="bottom"/>
          </w:tcPr>
          <w:p w14:paraId="499BC255" w14:textId="77777777" w:rsidR="002F1254" w:rsidRDefault="00023E71" w:rsidP="00B9456B">
            <w:pPr>
              <w:pStyle w:val="DMETW36745BIPUKWA"/>
              <w:jc w:val="right"/>
              <w:rPr>
                <w:rFonts w:ascii="Verdana" w:eastAsia="Verdana" w:hAnsi="Verdana" w:cs="Verdana"/>
                <w:b/>
                <w:noProof/>
                <w:color w:val="000000"/>
                <w:sz w:val="18"/>
                <w:lang w:bidi="en-GB"/>
              </w:rPr>
            </w:pPr>
            <w:r>
              <w:rPr>
                <w:rFonts w:ascii="Verdana" w:eastAsia="Times New Roman" w:hAnsi="Verdana" w:cs="Verdana"/>
                <w:b/>
                <w:noProof/>
                <w:color w:val="000000"/>
                <w:sz w:val="18"/>
              </w:rPr>
              <w:t>12 762</w:t>
            </w:r>
          </w:p>
        </w:tc>
      </w:tr>
      <w:tr w:rsidR="00807FFE" w14:paraId="25249041" w14:textId="77777777" w:rsidTr="00B9456B">
        <w:trPr>
          <w:trHeight w:val="255"/>
        </w:trPr>
        <w:tc>
          <w:tcPr>
            <w:tcW w:w="3307" w:type="dxa"/>
            <w:tcBorders>
              <w:top w:val="single" w:sz="4" w:space="0" w:color="016794"/>
              <w:left w:val="nil"/>
              <w:bottom w:val="nil"/>
              <w:right w:val="nil"/>
              <w:tl2br w:val="nil"/>
              <w:tr2bl w:val="nil"/>
            </w:tcBorders>
            <w:tcMar>
              <w:left w:w="60" w:type="dxa"/>
              <w:right w:w="60" w:type="dxa"/>
            </w:tcMar>
            <w:vAlign w:val="center"/>
          </w:tcPr>
          <w:p w14:paraId="463D6007" w14:textId="77777777" w:rsidR="002F1254" w:rsidRDefault="00023E71" w:rsidP="00B9456B">
            <w:pPr>
              <w:pStyle w:val="DMETW36745BIPUKWA"/>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293" w:type="dxa"/>
            <w:tcBorders>
              <w:top w:val="single" w:sz="4" w:space="0" w:color="016794"/>
              <w:left w:val="nil"/>
              <w:bottom w:val="nil"/>
              <w:right w:val="nil"/>
              <w:tl2br w:val="nil"/>
              <w:tr2bl w:val="nil"/>
            </w:tcBorders>
            <w:tcMar>
              <w:left w:w="60" w:type="dxa"/>
              <w:right w:w="60" w:type="dxa"/>
            </w:tcMar>
            <w:vAlign w:val="bottom"/>
          </w:tcPr>
          <w:p w14:paraId="3B99B526"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1 928</w:t>
            </w:r>
          </w:p>
        </w:tc>
        <w:tc>
          <w:tcPr>
            <w:tcW w:w="1293" w:type="dxa"/>
            <w:tcBorders>
              <w:top w:val="single" w:sz="4" w:space="0" w:color="016794"/>
              <w:left w:val="nil"/>
              <w:bottom w:val="nil"/>
              <w:right w:val="nil"/>
              <w:tl2br w:val="nil"/>
              <w:tr2bl w:val="nil"/>
            </w:tcBorders>
            <w:tcMar>
              <w:left w:w="60" w:type="dxa"/>
              <w:right w:w="60" w:type="dxa"/>
            </w:tcMar>
            <w:vAlign w:val="bottom"/>
          </w:tcPr>
          <w:p w14:paraId="12C74D05"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9 244</w:t>
            </w:r>
          </w:p>
        </w:tc>
        <w:tc>
          <w:tcPr>
            <w:tcW w:w="1293" w:type="dxa"/>
            <w:tcBorders>
              <w:top w:val="single" w:sz="4" w:space="0" w:color="016794"/>
              <w:left w:val="nil"/>
              <w:bottom w:val="nil"/>
              <w:right w:val="nil"/>
              <w:tl2br w:val="nil"/>
              <w:tr2bl w:val="nil"/>
            </w:tcBorders>
            <w:tcMar>
              <w:left w:w="60" w:type="dxa"/>
              <w:right w:w="60" w:type="dxa"/>
            </w:tcMar>
            <w:vAlign w:val="bottom"/>
          </w:tcPr>
          <w:p w14:paraId="02E286F8"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 xml:space="preserve"> (915)</w:t>
            </w:r>
          </w:p>
        </w:tc>
        <w:tc>
          <w:tcPr>
            <w:tcW w:w="1290" w:type="dxa"/>
            <w:tcBorders>
              <w:top w:val="single" w:sz="4" w:space="0" w:color="016794"/>
              <w:left w:val="nil"/>
              <w:bottom w:val="nil"/>
              <w:right w:val="nil"/>
              <w:tl2br w:val="nil"/>
              <w:tr2bl w:val="nil"/>
            </w:tcBorders>
            <w:tcMar>
              <w:left w:w="60" w:type="dxa"/>
              <w:right w:w="60" w:type="dxa"/>
            </w:tcMar>
            <w:vAlign w:val="bottom"/>
          </w:tcPr>
          <w:p w14:paraId="47609CE1"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10 256</w:t>
            </w:r>
          </w:p>
        </w:tc>
        <w:tc>
          <w:tcPr>
            <w:tcW w:w="1283" w:type="dxa"/>
            <w:tcBorders>
              <w:top w:val="single" w:sz="4" w:space="0" w:color="016794"/>
              <w:left w:val="nil"/>
              <w:bottom w:val="nil"/>
              <w:right w:val="nil"/>
              <w:tl2br w:val="nil"/>
              <w:tr2bl w:val="nil"/>
            </w:tcBorders>
            <w:tcMar>
              <w:left w:w="60" w:type="dxa"/>
              <w:right w:w="60" w:type="dxa"/>
            </w:tcMar>
            <w:vAlign w:val="bottom"/>
          </w:tcPr>
          <w:p w14:paraId="606F33D6" w14:textId="77777777" w:rsidR="002F1254" w:rsidRDefault="00023E71" w:rsidP="00B9456B">
            <w:pPr>
              <w:pStyle w:val="DMETW36745BIPUKWA"/>
              <w:jc w:val="right"/>
              <w:rPr>
                <w:rFonts w:ascii="Verdana" w:eastAsia="Verdana" w:hAnsi="Verdana" w:cs="Verdana"/>
                <w:i/>
                <w:noProof/>
                <w:color w:val="016794"/>
                <w:sz w:val="18"/>
                <w:lang w:bidi="en-GB"/>
              </w:rPr>
            </w:pPr>
            <w:r>
              <w:rPr>
                <w:rFonts w:ascii="Verdana" w:eastAsia="Times New Roman" w:hAnsi="Verdana" w:cs="Verdana"/>
                <w:i/>
                <w:noProof/>
                <w:color w:val="016794"/>
                <w:sz w:val="18"/>
              </w:rPr>
              <w:t>11 231</w:t>
            </w:r>
          </w:p>
        </w:tc>
      </w:tr>
      <w:tr w:rsidR="00807FFE" w14:paraId="690ECBEB" w14:textId="77777777" w:rsidTr="00B9456B">
        <w:trPr>
          <w:trHeight w:val="255"/>
        </w:trPr>
        <w:tc>
          <w:tcPr>
            <w:tcW w:w="3307" w:type="dxa"/>
            <w:tcBorders>
              <w:top w:val="nil"/>
              <w:left w:val="nil"/>
              <w:bottom w:val="nil"/>
              <w:right w:val="nil"/>
              <w:tl2br w:val="nil"/>
              <w:tr2bl w:val="nil"/>
            </w:tcBorders>
            <w:tcMar>
              <w:left w:w="60" w:type="dxa"/>
              <w:right w:w="60" w:type="dxa"/>
            </w:tcMar>
            <w:vAlign w:val="center"/>
          </w:tcPr>
          <w:p w14:paraId="06BEDC97" w14:textId="77777777" w:rsidR="002F1254" w:rsidRDefault="00023E71" w:rsidP="00B9456B">
            <w:pPr>
              <w:pStyle w:val="DMETW36745BIPUKWA"/>
              <w:rPr>
                <w:rFonts w:ascii="Verdana" w:eastAsia="Verdana" w:hAnsi="Verdana" w:cs="Verdana"/>
                <w:i/>
                <w:noProof/>
                <w:color w:val="016794"/>
                <w:sz w:val="18"/>
              </w:rPr>
            </w:pPr>
            <w:r>
              <w:rPr>
                <w:rFonts w:ascii="Verdana" w:eastAsia="Verdana" w:hAnsi="Verdana" w:cs="Verdana"/>
                <w:i/>
                <w:noProof/>
                <w:color w:val="016794"/>
                <w:sz w:val="18"/>
              </w:rPr>
              <w:t>Current</w:t>
            </w:r>
          </w:p>
        </w:tc>
        <w:tc>
          <w:tcPr>
            <w:tcW w:w="1293" w:type="dxa"/>
            <w:tcBorders>
              <w:top w:val="nil"/>
              <w:left w:val="nil"/>
              <w:bottom w:val="nil"/>
              <w:right w:val="nil"/>
              <w:tl2br w:val="nil"/>
              <w:tr2bl w:val="nil"/>
            </w:tcBorders>
            <w:tcMar>
              <w:left w:w="60" w:type="dxa"/>
              <w:right w:w="60" w:type="dxa"/>
            </w:tcMar>
            <w:vAlign w:val="bottom"/>
          </w:tcPr>
          <w:p w14:paraId="63215190"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 xml:space="preserve"> 399</w:t>
            </w:r>
          </w:p>
        </w:tc>
        <w:tc>
          <w:tcPr>
            <w:tcW w:w="1293" w:type="dxa"/>
            <w:tcBorders>
              <w:top w:val="nil"/>
              <w:left w:val="nil"/>
              <w:bottom w:val="nil"/>
              <w:right w:val="nil"/>
              <w:tl2br w:val="nil"/>
              <w:tr2bl w:val="nil"/>
            </w:tcBorders>
            <w:tcMar>
              <w:left w:w="60" w:type="dxa"/>
              <w:right w:w="60" w:type="dxa"/>
            </w:tcMar>
            <w:vAlign w:val="bottom"/>
          </w:tcPr>
          <w:p w14:paraId="1042F0CF"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 xml:space="preserve"> 355</w:t>
            </w:r>
          </w:p>
        </w:tc>
        <w:tc>
          <w:tcPr>
            <w:tcW w:w="1293" w:type="dxa"/>
            <w:tcBorders>
              <w:top w:val="nil"/>
              <w:left w:val="nil"/>
              <w:bottom w:val="nil"/>
              <w:right w:val="nil"/>
              <w:tl2br w:val="nil"/>
              <w:tr2bl w:val="nil"/>
            </w:tcBorders>
            <w:tcMar>
              <w:left w:w="60" w:type="dxa"/>
              <w:right w:w="60" w:type="dxa"/>
            </w:tcMar>
            <w:vAlign w:val="bottom"/>
          </w:tcPr>
          <w:p w14:paraId="731CF376"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 xml:space="preserve"> (250)</w:t>
            </w:r>
          </w:p>
        </w:tc>
        <w:tc>
          <w:tcPr>
            <w:tcW w:w="1290" w:type="dxa"/>
            <w:tcBorders>
              <w:top w:val="nil"/>
              <w:left w:val="nil"/>
              <w:bottom w:val="nil"/>
              <w:right w:val="nil"/>
              <w:tl2br w:val="nil"/>
              <w:tr2bl w:val="nil"/>
            </w:tcBorders>
            <w:tcMar>
              <w:left w:w="60" w:type="dxa"/>
              <w:right w:w="60" w:type="dxa"/>
            </w:tcMar>
            <w:vAlign w:val="bottom"/>
          </w:tcPr>
          <w:p w14:paraId="38B4F3E6"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 xml:space="preserve"> 505</w:t>
            </w:r>
          </w:p>
        </w:tc>
        <w:tc>
          <w:tcPr>
            <w:tcW w:w="1283" w:type="dxa"/>
            <w:tcBorders>
              <w:top w:val="nil"/>
              <w:left w:val="nil"/>
              <w:bottom w:val="nil"/>
              <w:right w:val="nil"/>
              <w:tl2br w:val="nil"/>
              <w:tr2bl w:val="nil"/>
            </w:tcBorders>
            <w:tcMar>
              <w:left w:w="60" w:type="dxa"/>
              <w:right w:w="60" w:type="dxa"/>
            </w:tcMar>
            <w:vAlign w:val="bottom"/>
          </w:tcPr>
          <w:p w14:paraId="10FD861D" w14:textId="77777777" w:rsidR="002F1254" w:rsidRDefault="00023E71" w:rsidP="00B9456B">
            <w:pPr>
              <w:pStyle w:val="DMETW36745BIPUKWA"/>
              <w:jc w:val="right"/>
              <w:rPr>
                <w:rFonts w:ascii="Verdana" w:eastAsia="Verdana" w:hAnsi="Verdana" w:cs="Verdana"/>
                <w:i/>
                <w:noProof/>
                <w:color w:val="016794"/>
                <w:sz w:val="18"/>
              </w:rPr>
            </w:pPr>
            <w:r>
              <w:rPr>
                <w:rFonts w:ascii="Verdana" w:eastAsia="Times New Roman" w:hAnsi="Verdana" w:cs="Verdana"/>
                <w:i/>
                <w:noProof/>
                <w:color w:val="016794"/>
                <w:sz w:val="18"/>
              </w:rPr>
              <w:t>1 530</w:t>
            </w:r>
          </w:p>
        </w:tc>
      </w:tr>
    </w:tbl>
    <w:p w14:paraId="77B1D7DA" w14:textId="7B0B90DF" w:rsidR="00A642F1" w:rsidRDefault="00023E71" w:rsidP="00533BB0">
      <w:pPr>
        <w:pStyle w:val="DGTextstand-alone"/>
      </w:pPr>
      <w:r w:rsidRPr="00C3254C">
        <w:t>As at 31 December 2025, the net receivable from the UK based on obligations resulting from the</w:t>
      </w:r>
      <w:r>
        <w:t xml:space="preserve"> financial provisions of the </w:t>
      </w:r>
      <w:r w:rsidRPr="00C3254C">
        <w:t xml:space="preserve">Withdrawal Agreement amounted to EUR </w:t>
      </w:r>
      <w:r>
        <w:t>10 761</w:t>
      </w:r>
      <w:r w:rsidRPr="00C3254C">
        <w:t xml:space="preserve"> million (2024: EUR 12 762 million). The main elements of this receivable include </w:t>
      </w:r>
      <w:r>
        <w:t xml:space="preserve">the UK’s </w:t>
      </w:r>
      <w:r w:rsidRPr="00C3254C">
        <w:t xml:space="preserve">obligations under Article 142, relating to EU post-employment benefit liabilities  (EUR 9 599 </w:t>
      </w:r>
      <w:r>
        <w:t>m</w:t>
      </w:r>
      <w:r w:rsidRPr="00C3254C">
        <w:t>illion) and Article 140, relating to outstanding budgetary commitments (</w:t>
      </w:r>
      <w:r>
        <w:t>EUR 2 327</w:t>
      </w:r>
      <w:r w:rsidRPr="00C3254C">
        <w:t xml:space="preserve"> </w:t>
      </w:r>
      <w:r>
        <w:t>m</w:t>
      </w:r>
      <w:r w:rsidRPr="00C3254C">
        <w:t>illion).</w:t>
      </w:r>
    </w:p>
    <w:p w14:paraId="05C1BCA4" w14:textId="77777777" w:rsidR="00A642F1" w:rsidRDefault="00A642F1">
      <w:pPr>
        <w:rPr>
          <w:rFonts w:ascii="Verdana" w:hAnsi="Verdana"/>
          <w:noProof/>
          <w:sz w:val="18"/>
          <w:szCs w:val="18"/>
          <w:lang w:eastAsia="en-US"/>
        </w:rPr>
      </w:pPr>
      <w:r>
        <w:rPr>
          <w:noProof/>
        </w:rPr>
        <w:br w:type="page"/>
      </w:r>
    </w:p>
    <w:p w14:paraId="352D4640" w14:textId="77777777" w:rsidR="00F369DF" w:rsidRPr="00362AC0" w:rsidRDefault="00F369DF" w:rsidP="00F369DF">
      <w:pPr>
        <w:pStyle w:val="HEADER1Part4"/>
        <w:rPr>
          <w:noProof/>
        </w:rPr>
      </w:pPr>
      <w:bookmarkStart w:id="34" w:name="_Toc232671733"/>
      <w:r w:rsidRPr="00362AC0">
        <w:rPr>
          <w:noProof/>
        </w:rPr>
        <w:t>BUDGETARY CONTINGENT LIABILITIES</w:t>
      </w:r>
      <w:bookmarkEnd w:id="34"/>
    </w:p>
    <w:p w14:paraId="24ECD1AE" w14:textId="77777777" w:rsidR="00F369DF" w:rsidRDefault="00F369DF" w:rsidP="00F369DF">
      <w:pPr>
        <w:pStyle w:val="DGTextstand-alone"/>
      </w:pPr>
      <w:bookmarkStart w:id="35" w:name="_Hlk162268944"/>
      <w:r w:rsidRPr="001E497F">
        <w:t xml:space="preserve">In the recent years, the EU has increasingly used financial instruments (such as loans, guarantees and equity investments), as a means to implement its policies and pursue EU objectives. For example, the loans by the EU to its Member States or partner countries aim at </w:t>
      </w:r>
      <w:r>
        <w:t>restoring</w:t>
      </w:r>
      <w:r w:rsidRPr="001E497F">
        <w:t xml:space="preserve"> financial stability or promoting economic recovery from crisis situations. The main objective of the EU guarantee programmes is boosting </w:t>
      </w:r>
      <w:bookmarkStart w:id="36" w:name="_Hlk225521922"/>
      <w:r w:rsidRPr="001E497F">
        <w:t>investments and en</w:t>
      </w:r>
      <w:r>
        <w:t>hanc</w:t>
      </w:r>
      <w:r w:rsidRPr="001E497F">
        <w:t>ing access to finance to address market failures</w:t>
      </w:r>
      <w:r>
        <w:t xml:space="preserve"> in the key policy areas</w:t>
      </w:r>
      <w:r w:rsidRPr="001E497F">
        <w:t>.</w:t>
      </w:r>
    </w:p>
    <w:p w14:paraId="2C34BE2E" w14:textId="77777777" w:rsidR="00F369DF" w:rsidRPr="00FB6146" w:rsidRDefault="00F369DF" w:rsidP="00F369DF">
      <w:pPr>
        <w:pStyle w:val="DGTextstand-alone"/>
      </w:pPr>
      <w:r w:rsidRPr="00FB6146">
        <w:t xml:space="preserve">When the EU provides support in the form of guarantees, it expects to boost investment by a multiple of its budgetary contributions through leveraging support </w:t>
      </w:r>
      <w:r>
        <w:t xml:space="preserve">of </w:t>
      </w:r>
      <w:r w:rsidRPr="00FB6146">
        <w:t>other financial institutions and investors.</w:t>
      </w:r>
    </w:p>
    <w:p w14:paraId="7E70A680" w14:textId="77777777" w:rsidR="00F369DF" w:rsidRDefault="00F369DF" w:rsidP="00F369DF">
      <w:pPr>
        <w:pStyle w:val="DGTextstand-alone"/>
      </w:pPr>
      <w:r w:rsidRPr="00FB6146">
        <w:t>When granting loans to third countries or providing guarantees, the EU budget may incur losses, when some events – that are not fully in the control of the EU – occur. As losses due to non-repayment by final beneficiaries are not likely to materialise in full, the EU does not hold assets for the entirely of those potential liabilities</w:t>
      </w:r>
      <w:r>
        <w:rPr>
          <w:rStyle w:val="FootnoteReference"/>
        </w:rPr>
        <w:footnoteReference w:id="4"/>
      </w:r>
      <w:r w:rsidRPr="00FB6146">
        <w:t>, but only up to the level necessary to cover expected losses and a sufficient safety buffer for unexpected losses. Nevertheless, should losses occur above the amounts provisioned, they would be covered by the Member States through future EU budgets. In this sense loans and budgetary guarantees create ‘budgetary contingent liabilities’ for the EU budget.</w:t>
      </w:r>
      <w:r>
        <w:t xml:space="preserve"> </w:t>
      </w:r>
    </w:p>
    <w:bookmarkEnd w:id="36"/>
    <w:p w14:paraId="42B07AC1" w14:textId="6E20D7BB" w:rsidR="00F369DF" w:rsidRPr="00952E07" w:rsidRDefault="00F369DF" w:rsidP="00F369DF">
      <w:pPr>
        <w:pStyle w:val="DGTextstand-alone"/>
      </w:pPr>
      <w:r>
        <w:t xml:space="preserve">The EU regularly monitors the sustainability of its contingent liabilities and the adequacy of the assets </w:t>
      </w:r>
      <w:r w:rsidRPr="00952E07">
        <w:t>provisioned held in the Common Provisioning Fund (CPF)</w:t>
      </w:r>
      <w:r>
        <w:rPr>
          <w:rStyle w:val="FootnoteReference"/>
        </w:rPr>
        <w:footnoteReference w:id="5"/>
      </w:r>
      <w:r w:rsidRPr="00952E07">
        <w:t xml:space="preserve"> (see </w:t>
      </w:r>
      <w:r w:rsidRPr="000B1B7C">
        <w:t>Section</w:t>
      </w:r>
      <w:r w:rsidRPr="00952E07">
        <w:rPr>
          <w:b/>
          <w:bCs/>
        </w:rPr>
        <w:t xml:space="preserve"> </w:t>
      </w:r>
      <w:r w:rsidR="002B2F6E">
        <w:rPr>
          <w:b/>
          <w:bCs/>
        </w:rPr>
        <w:t>5</w:t>
      </w:r>
      <w:r w:rsidRPr="00952E07">
        <w:rPr>
          <w:b/>
          <w:bCs/>
        </w:rPr>
        <w:t>.3</w:t>
      </w:r>
      <w:r w:rsidRPr="00952E07">
        <w:t xml:space="preserve"> below).</w:t>
      </w:r>
    </w:p>
    <w:p w14:paraId="07621A81" w14:textId="77777777" w:rsidR="00F369DF" w:rsidRPr="00952E07" w:rsidRDefault="00F369DF" w:rsidP="00F369DF">
      <w:pPr>
        <w:pStyle w:val="DGTextstand-alone"/>
      </w:pPr>
      <w:bookmarkStart w:id="37" w:name="_Hlk162351686"/>
      <w:r w:rsidRPr="00952E07">
        <w:t>At the end of 202</w:t>
      </w:r>
      <w:r>
        <w:t>5</w:t>
      </w:r>
      <w:r w:rsidRPr="00952E07">
        <w:t>, the EU budgetary contingent liabilities totalled EUR</w:t>
      </w:r>
      <w:r>
        <w:t> 475.7 billion</w:t>
      </w:r>
      <w:r w:rsidRPr="00952E07">
        <w:t>, of which EUR </w:t>
      </w:r>
      <w:r>
        <w:t>363.1</w:t>
      </w:r>
      <w:r w:rsidRPr="00952E07">
        <w:t> billion related to the outstanding loans to sovereigns (EUR</w:t>
      </w:r>
      <w:r>
        <w:t> 359.4 </w:t>
      </w:r>
      <w:r w:rsidRPr="00952E07">
        <w:t>billion</w:t>
      </w:r>
      <w:r>
        <w:t xml:space="preserve"> </w:t>
      </w:r>
      <w:r w:rsidRPr="00952E07">
        <w:t>nominal and EUR </w:t>
      </w:r>
      <w:r>
        <w:t>3.7</w:t>
      </w:r>
      <w:r w:rsidRPr="00952E07">
        <w:t> billion accrued interest) and EUR </w:t>
      </w:r>
      <w:r>
        <w:t>112</w:t>
      </w:r>
      <w:r w:rsidRPr="00952E07">
        <w:t>.</w:t>
      </w:r>
      <w:r>
        <w:t>6</w:t>
      </w:r>
      <w:r w:rsidRPr="00952E07">
        <w:t xml:space="preserve"> billion to the maximum amounts (ceilings) of the guarantees issued. </w:t>
      </w:r>
      <w:r>
        <w:t xml:space="preserve">Regarding the loans, EUR 286.1 billion related to loans to Member States and EUR 77.0 billion to loans to third countries. </w:t>
      </w:r>
      <w:r w:rsidRPr="00952E07">
        <w:t xml:space="preserve">The assets provisioned </w:t>
      </w:r>
      <w:r>
        <w:t xml:space="preserve">for loans to third countries and for guarantees </w:t>
      </w:r>
      <w:r w:rsidRPr="00952E07">
        <w:t xml:space="preserve">amounted to </w:t>
      </w:r>
      <w:r w:rsidRPr="002C2FBD">
        <w:t>EUR 27.</w:t>
      </w:r>
      <w:r>
        <w:t>4</w:t>
      </w:r>
      <w:r w:rsidRPr="002C2FBD">
        <w:t xml:space="preserve"> billion.</w:t>
      </w:r>
    </w:p>
    <w:bookmarkEnd w:id="37"/>
    <w:p w14:paraId="599F78EA" w14:textId="77777777" w:rsidR="00F369DF" w:rsidRPr="00EF0A38" w:rsidRDefault="00F369DF" w:rsidP="00F369DF">
      <w:pPr>
        <w:pStyle w:val="DGTextstand-alone"/>
      </w:pPr>
      <w:r w:rsidRPr="00952E07">
        <w:t>The EU also incurs other liabilities, which are not contingent in nature, but which – due to their long-term nature – will only be financed by the Member States through future budgets. This mainly relates to the pension liability (</w:t>
      </w:r>
      <w:r>
        <w:t xml:space="preserve">EUR 91.1 billion as at 31 December 2025) and to the unified funding borrowings that financed RRF/REPowerEU grants and some other MFF programmes (EUR 312.9 billion as at 31 December 2025, see Sections </w:t>
      </w:r>
      <w:r w:rsidRPr="75D41E74">
        <w:rPr>
          <w:b/>
          <w:bCs/>
        </w:rPr>
        <w:t>3.2</w:t>
      </w:r>
      <w:r>
        <w:t xml:space="preserve"> and </w:t>
      </w:r>
      <w:r w:rsidRPr="75D41E74">
        <w:rPr>
          <w:b/>
          <w:bCs/>
        </w:rPr>
        <w:t>3.4</w:t>
      </w:r>
      <w:r w:rsidRPr="00952E07">
        <w:t>).</w:t>
      </w:r>
      <w:bookmarkEnd w:id="35"/>
    </w:p>
    <w:p w14:paraId="55EE8FBC" w14:textId="77777777" w:rsidR="00F369DF" w:rsidRPr="00DC59B8" w:rsidRDefault="00F369DF" w:rsidP="00F369DF">
      <w:pPr>
        <w:pStyle w:val="HEADER2Part4"/>
      </w:pPr>
      <w:bookmarkStart w:id="38" w:name="_Toc232671734"/>
      <w:r w:rsidRPr="00DC59B8">
        <w:t>Borrowing and lending activities</w:t>
      </w:r>
      <w:bookmarkEnd w:id="38"/>
    </w:p>
    <w:p w14:paraId="3C0CFA43" w14:textId="77777777" w:rsidR="00F369DF" w:rsidRPr="00371D17" w:rsidRDefault="00F369DF" w:rsidP="00F369DF">
      <w:pPr>
        <w:pStyle w:val="HEADER3Part4"/>
        <w:rPr>
          <w:noProof/>
        </w:rPr>
      </w:pPr>
      <w:r w:rsidRPr="00371D17">
        <w:rPr>
          <w:noProof/>
        </w:rPr>
        <w:t>Borrowing</w:t>
      </w:r>
    </w:p>
    <w:p w14:paraId="163034B8" w14:textId="01B66E3B" w:rsidR="00F369DF" w:rsidRDefault="00F369DF" w:rsidP="00F369DF">
      <w:pPr>
        <w:pStyle w:val="DGTextstand-alone"/>
        <w:rPr>
          <w:color w:val="016794"/>
        </w:rPr>
      </w:pPr>
      <w:r>
        <w:t>T</w:t>
      </w:r>
      <w:r w:rsidRPr="00D12662">
        <w:t xml:space="preserve">he </w:t>
      </w:r>
      <w:r>
        <w:t>Union</w:t>
      </w:r>
      <w:r w:rsidRPr="00D12662">
        <w:t xml:space="preserve"> </w:t>
      </w:r>
      <w:r>
        <w:t xml:space="preserve">borrows by </w:t>
      </w:r>
      <w:r w:rsidRPr="00D12662">
        <w:t>issu</w:t>
      </w:r>
      <w:r>
        <w:t>ing</w:t>
      </w:r>
      <w:r w:rsidRPr="00D12662">
        <w:t xml:space="preserve"> securities on international capital markets</w:t>
      </w:r>
      <w:r>
        <w:t>.</w:t>
      </w:r>
      <w:r w:rsidRPr="00D12662">
        <w:t xml:space="preserve"> </w:t>
      </w:r>
      <w:r>
        <w:t xml:space="preserve">The EU budget, ultimately, guarantees all Union borrowings. Until 2020, borrowings were used only to finance lending activities, see Section </w:t>
      </w:r>
      <w:r w:rsidR="0000456B">
        <w:rPr>
          <w:b/>
          <w:bCs/>
        </w:rPr>
        <w:t>5</w:t>
      </w:r>
      <w:r w:rsidRPr="00740529">
        <w:rPr>
          <w:b/>
          <w:bCs/>
        </w:rPr>
        <w:t>.1.2.</w:t>
      </w:r>
      <w:r>
        <w:t xml:space="preserve"> </w:t>
      </w:r>
      <w:r w:rsidRPr="000B12C5">
        <w:t>Following the introduction</w:t>
      </w:r>
      <w:r>
        <w:t xml:space="preserve"> of the NGEU instrument, borrowings are also used to finance RRF/REPower non-repayable support, see </w:t>
      </w:r>
      <w:r w:rsidR="0000456B">
        <w:t>S</w:t>
      </w:r>
      <w:r>
        <w:t xml:space="preserve">ection </w:t>
      </w:r>
      <w:r w:rsidRPr="007B51B0">
        <w:rPr>
          <w:b/>
          <w:bCs/>
        </w:rPr>
        <w:t>3.</w:t>
      </w:r>
      <w:r>
        <w:rPr>
          <w:b/>
          <w:bCs/>
        </w:rPr>
        <w:t>2.</w:t>
      </w:r>
    </w:p>
    <w:p w14:paraId="74BFA3C1" w14:textId="77777777" w:rsidR="00A642F1" w:rsidRDefault="00A642F1">
      <w:pPr>
        <w:rPr>
          <w:rFonts w:ascii="Verdana" w:hAnsi="Verdana"/>
          <w:noProof/>
          <w:color w:val="016794"/>
          <w:sz w:val="18"/>
          <w:szCs w:val="18"/>
          <w:lang w:eastAsia="en-US"/>
        </w:rPr>
      </w:pPr>
      <w:r>
        <w:rPr>
          <w:noProof/>
          <w:color w:val="016794"/>
        </w:rPr>
        <w:br w:type="page"/>
      </w:r>
    </w:p>
    <w:p w14:paraId="52632453" w14:textId="4AC4A375" w:rsidR="00F369DF" w:rsidRPr="009A7DB4" w:rsidRDefault="00F369DF" w:rsidP="00F369DF">
      <w:pPr>
        <w:pStyle w:val="DGTextstand-alone"/>
        <w:rPr>
          <w:color w:val="016794"/>
        </w:rPr>
      </w:pPr>
      <w:r>
        <w:rPr>
          <w:color w:val="016794"/>
        </w:rPr>
        <w:t>The funding approach</w:t>
      </w:r>
    </w:p>
    <w:p w14:paraId="407567CF" w14:textId="77777777" w:rsidR="00F369DF" w:rsidRPr="004F7A89" w:rsidRDefault="00F369DF" w:rsidP="00F369DF">
      <w:pPr>
        <w:pStyle w:val="DGTextstand-alone"/>
        <w:jc w:val="center"/>
      </w:pPr>
      <w:r w:rsidRPr="009A7DB4">
        <w:rPr>
          <w:lang w:eastAsia="en-GB"/>
        </w:rPr>
        <w:drawing>
          <wp:inline distT="0" distB="0" distL="0" distR="0" wp14:anchorId="06102D73" wp14:editId="35AC3838">
            <wp:extent cx="6120765" cy="3289300"/>
            <wp:effectExtent l="0" t="0" r="0" b="6350"/>
            <wp:docPr id="1559889482" name="Picture 1" descr="A blue and white rectangular shap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89482" name="Picture 1" descr="A blue and white rectangular shapes with white text&#10;&#10;AI-generated content may be incorrect."/>
                    <pic:cNvPicPr/>
                  </pic:nvPicPr>
                  <pic:blipFill>
                    <a:blip r:embed="rId37"/>
                    <a:stretch>
                      <a:fillRect/>
                    </a:stretch>
                  </pic:blipFill>
                  <pic:spPr>
                    <a:xfrm>
                      <a:off x="0" y="0"/>
                      <a:ext cx="6120765" cy="3289300"/>
                    </a:xfrm>
                    <a:prstGeom prst="rect">
                      <a:avLst/>
                    </a:prstGeom>
                  </pic:spPr>
                </pic:pic>
              </a:graphicData>
            </a:graphic>
          </wp:inline>
        </w:drawing>
      </w:r>
    </w:p>
    <w:p w14:paraId="731C3A00" w14:textId="77777777" w:rsidR="00F369DF" w:rsidRDefault="00F369DF" w:rsidP="00F369DF">
      <w:pPr>
        <w:pStyle w:val="DGTextstand-alone"/>
      </w:pPr>
      <w:r>
        <w:t>Until 2020, the Commission followed a ‘back to back’ approach, i</w:t>
      </w:r>
      <w:r w:rsidRPr="00CC3267">
        <w:t>ssu</w:t>
      </w:r>
      <w:r>
        <w:t>ing</w:t>
      </w:r>
      <w:r w:rsidRPr="00CC3267">
        <w:t xml:space="preserve"> </w:t>
      </w:r>
      <w:r>
        <w:t xml:space="preserve">a dedicated </w:t>
      </w:r>
      <w:r w:rsidRPr="00CC3267">
        <w:t>bond</w:t>
      </w:r>
      <w:r>
        <w:t xml:space="preserve"> to fund a specific loan agreement. It transferred the money</w:t>
      </w:r>
      <w:r w:rsidRPr="00CC3267">
        <w:t xml:space="preserve"> directly to the beneficiary country on the same terms</w:t>
      </w:r>
      <w:r>
        <w:t xml:space="preserve"> and conditions</w:t>
      </w:r>
      <w:r w:rsidRPr="00CC3267">
        <w:t xml:space="preserve"> </w:t>
      </w:r>
      <w:r>
        <w:t>(</w:t>
      </w:r>
      <w:r w:rsidRPr="00CC3267">
        <w:t>interest rate, maturity).</w:t>
      </w:r>
      <w:r>
        <w:t xml:space="preserve"> </w:t>
      </w:r>
      <w:r w:rsidRPr="00CC3267">
        <w:t xml:space="preserve">The timing, volume and maturity of bond issuances </w:t>
      </w:r>
      <w:r>
        <w:t>were</w:t>
      </w:r>
      <w:r w:rsidRPr="00CC3267">
        <w:t xml:space="preserve"> determined by the needs of the beneficiary.</w:t>
      </w:r>
    </w:p>
    <w:p w14:paraId="1CEA0EFC" w14:textId="77777777" w:rsidR="00F369DF" w:rsidRDefault="00F369DF" w:rsidP="00F369DF">
      <w:pPr>
        <w:pStyle w:val="Textstand-alone"/>
        <w:rPr>
          <w:szCs w:val="24"/>
        </w:rPr>
      </w:pPr>
      <w:r>
        <w:t>For the NGEU instrument, the Commission uses a diversified, pooled funding approach where the borrowings are not directly funding specific disbursements. Instead, the debt is issued according to semi</w:t>
      </w:r>
      <w:r>
        <w:noBreakHyphen/>
        <w:t>annual funding plans, with long-term bonds and short-term bills. The Commission</w:t>
      </w:r>
      <w:r w:rsidRPr="002365B2">
        <w:rPr>
          <w:szCs w:val="24"/>
          <w:lang w:val="en-US"/>
        </w:rPr>
        <w:t xml:space="preserve"> </w:t>
      </w:r>
      <w:r>
        <w:rPr>
          <w:szCs w:val="24"/>
          <w:lang w:val="en-US"/>
        </w:rPr>
        <w:t xml:space="preserve">uses auctions and syndications to issue these securities. It then </w:t>
      </w:r>
      <w:r w:rsidRPr="002365B2">
        <w:rPr>
          <w:szCs w:val="24"/>
        </w:rPr>
        <w:t xml:space="preserve">passes on the </w:t>
      </w:r>
      <w:r>
        <w:rPr>
          <w:szCs w:val="24"/>
        </w:rPr>
        <w:t xml:space="preserve">costs, </w:t>
      </w:r>
      <w:r w:rsidRPr="002365B2">
        <w:rPr>
          <w:szCs w:val="24"/>
        </w:rPr>
        <w:t xml:space="preserve">in </w:t>
      </w:r>
      <w:r>
        <w:rPr>
          <w:szCs w:val="24"/>
        </w:rPr>
        <w:t>line with the cost allocation methodology agreed with Member States</w:t>
      </w:r>
      <w:r>
        <w:rPr>
          <w:rStyle w:val="FootnoteReference"/>
          <w:szCs w:val="24"/>
        </w:rPr>
        <w:footnoteReference w:id="6"/>
      </w:r>
      <w:r>
        <w:rPr>
          <w:szCs w:val="24"/>
        </w:rPr>
        <w:t xml:space="preserve">, </w:t>
      </w:r>
      <w:r w:rsidRPr="0067603E">
        <w:rPr>
          <w:szCs w:val="24"/>
        </w:rPr>
        <w:t>to the beneficiaries for the loans and to the EU budget for the non-repayable support</w:t>
      </w:r>
      <w:r>
        <w:rPr>
          <w:szCs w:val="24"/>
        </w:rPr>
        <w:t xml:space="preserve">. </w:t>
      </w:r>
      <w:r>
        <w:t>This pooled funding approach offers a more flexible and coherent borrowing and lending activity. It also offers better funding costs and allows the design of a better risk and compliance framework. This funding flexibility also requires a liquidity buffer for an efficient liquidity management.</w:t>
      </w:r>
    </w:p>
    <w:p w14:paraId="5A4D8C1F" w14:textId="77777777" w:rsidR="00F369DF" w:rsidRDefault="00F369DF" w:rsidP="00F369DF">
      <w:pPr>
        <w:pStyle w:val="Textstand-alone"/>
      </w:pPr>
      <w:r>
        <w:t xml:space="preserve">Following the Regulation </w:t>
      </w:r>
      <w:r w:rsidRPr="00FC3DF6">
        <w:t>(EU, Euratom) 2022/2434 of the European Parliament and of the Council</w:t>
      </w:r>
      <w:r>
        <w:rPr>
          <w:rStyle w:val="FootnoteReference"/>
        </w:rPr>
        <w:footnoteReference w:id="7"/>
      </w:r>
      <w:r>
        <w:t xml:space="preserve"> in December 2022, the Commission can use this approach for all future borrowings</w:t>
      </w:r>
      <w:r w:rsidRPr="000774AD">
        <w:t xml:space="preserve">. </w:t>
      </w:r>
      <w:r>
        <w:t xml:space="preserve">In this way, the </w:t>
      </w:r>
      <w:r w:rsidRPr="00E8621F">
        <w:t>Macro Financial Assistance</w:t>
      </w:r>
      <w:r>
        <w:t xml:space="preserve"> </w:t>
      </w:r>
      <w:r w:rsidRPr="00E8621F">
        <w:t>(MFA)</w:t>
      </w:r>
      <w:r>
        <w:t>+</w:t>
      </w:r>
      <w:r w:rsidRPr="00E8621F">
        <w:t xml:space="preserve"> </w:t>
      </w:r>
      <w:r w:rsidRPr="000774AD">
        <w:t>for Ukraine</w:t>
      </w:r>
      <w:r>
        <w:t>, the Ukraine Facility</w:t>
      </w:r>
      <w:r w:rsidRPr="000774AD">
        <w:t xml:space="preserve"> and other </w:t>
      </w:r>
      <w:r>
        <w:t xml:space="preserve">lending </w:t>
      </w:r>
      <w:r w:rsidRPr="000774AD">
        <w:t>programmes</w:t>
      </w:r>
      <w:r>
        <w:t xml:space="preserve"> can</w:t>
      </w:r>
      <w:r w:rsidRPr="000774AD">
        <w:t xml:space="preserve"> benefit</w:t>
      </w:r>
      <w:r>
        <w:t xml:space="preserve"> from this</w:t>
      </w:r>
      <w:r w:rsidRPr="000774AD">
        <w:t xml:space="preserve"> flexible and cost-efficient debt management, creating a unified </w:t>
      </w:r>
      <w:r>
        <w:t>f</w:t>
      </w:r>
      <w:r w:rsidRPr="000774AD">
        <w:t>unding approach for all EU borrowing</w:t>
      </w:r>
      <w:r>
        <w:t xml:space="preserve">s. </w:t>
      </w:r>
    </w:p>
    <w:p w14:paraId="0C3BEA5D" w14:textId="03B32803" w:rsidR="00F369DF" w:rsidRDefault="00F369DF" w:rsidP="00F369DF">
      <w:pPr>
        <w:pStyle w:val="DGTextstand-alone"/>
        <w:spacing w:after="120"/>
        <w:rPr>
          <w:rFonts w:ascii="Arial" w:hAnsi="Arial" w:cs="Arial"/>
          <w:color w:val="404040"/>
        </w:rPr>
      </w:pPr>
      <w:bookmarkStart w:id="39" w:name="_Hlk225514343"/>
      <w:r w:rsidRPr="00E33523">
        <w:t>The outstanding borrowings of the EU increased to a total amount of EUR 738.9 billion at 31 December 2025.</w:t>
      </w:r>
      <w:r w:rsidRPr="006D3BF0">
        <w:rPr>
          <w:lang w:val="en-US"/>
        </w:rPr>
        <w:t xml:space="preserve"> </w:t>
      </w:r>
      <w:bookmarkEnd w:id="39"/>
      <w:r w:rsidRPr="008016DD">
        <w:rPr>
          <w:lang w:val="en-US"/>
        </w:rPr>
        <w:t xml:space="preserve">This amount includes </w:t>
      </w:r>
      <w:r w:rsidRPr="008016DD">
        <w:t>EUR 78.5 billion of NGEU Green Bonds</w:t>
      </w:r>
      <w:r w:rsidRPr="006D3BF0">
        <w:t>. These issuances are underpinned by the NGEU</w:t>
      </w:r>
      <w:r w:rsidRPr="00846766">
        <w:t xml:space="preserve"> Green Bond Framework, which is aligned with the Green Bond Principles of the International Capital Market Association (ICMA)</w:t>
      </w:r>
      <w:r>
        <w:rPr>
          <w:rStyle w:val="FootnoteReference"/>
        </w:rPr>
        <w:footnoteReference w:id="8"/>
      </w:r>
      <w:r>
        <w:t xml:space="preserve">. </w:t>
      </w:r>
      <w:r w:rsidRPr="006209A6">
        <w:t xml:space="preserve">Funds raised through NGEU </w:t>
      </w:r>
      <w:r>
        <w:t>G</w:t>
      </w:r>
      <w:r w:rsidRPr="006209A6">
        <w:t xml:space="preserve">reen </w:t>
      </w:r>
      <w:r>
        <w:t>B</w:t>
      </w:r>
      <w:r w:rsidRPr="006209A6">
        <w:t>onds finance climate-relevant measures from the national Recovery and Resilience plans (RRPs) under the Recovery and Resilience Facility (RRF).</w:t>
      </w:r>
    </w:p>
    <w:p w14:paraId="719AA209" w14:textId="1BB26674" w:rsidR="00A642F1" w:rsidRDefault="00F369DF" w:rsidP="00F369DF">
      <w:pPr>
        <w:pStyle w:val="DGTextstand-alone"/>
        <w:spacing w:after="360"/>
      </w:pPr>
      <w:r w:rsidRPr="00953B30">
        <w:t xml:space="preserve">The table below shows the repayment schedule for the outstanding EU borrowings </w:t>
      </w:r>
      <w:r>
        <w:t xml:space="preserve">(nominal in EUR billion) </w:t>
      </w:r>
      <w:r w:rsidRPr="00236DDD">
        <w:t>at</w:t>
      </w:r>
      <w:r>
        <w:t> </w:t>
      </w:r>
      <w:r w:rsidRPr="00953B30">
        <w:t>31 December 202</w:t>
      </w:r>
      <w:r>
        <w:t>5</w:t>
      </w:r>
      <w:r w:rsidRPr="00953B30">
        <w:t>:</w:t>
      </w:r>
    </w:p>
    <w:p w14:paraId="261121AC" w14:textId="77777777" w:rsidR="00A642F1" w:rsidRDefault="00A642F1">
      <w:pPr>
        <w:rPr>
          <w:rFonts w:ascii="Verdana" w:hAnsi="Verdana"/>
          <w:noProof/>
          <w:sz w:val="18"/>
          <w:szCs w:val="18"/>
          <w:lang w:eastAsia="en-US"/>
        </w:rPr>
      </w:pPr>
      <w:r>
        <w:rPr>
          <w:noProof/>
        </w:rPr>
        <w:br w:type="page"/>
      </w:r>
    </w:p>
    <w:tbl>
      <w:tblPr>
        <w:tblW w:w="4890" w:type="pct"/>
        <w:tblInd w:w="108" w:type="dxa"/>
        <w:tblLook w:val="04A0" w:firstRow="1" w:lastRow="0" w:firstColumn="1" w:lastColumn="0" w:noHBand="0" w:noVBand="1"/>
      </w:tblPr>
      <w:tblGrid>
        <w:gridCol w:w="1209"/>
        <w:gridCol w:w="1343"/>
        <w:gridCol w:w="1439"/>
        <w:gridCol w:w="1235"/>
        <w:gridCol w:w="1437"/>
        <w:gridCol w:w="1417"/>
        <w:gridCol w:w="1559"/>
      </w:tblGrid>
      <w:tr w:rsidR="00F369DF" w14:paraId="4B8D3B42" w14:textId="77777777" w:rsidTr="00BF139E">
        <w:trPr>
          <w:trHeight w:val="247"/>
        </w:trPr>
        <w:tc>
          <w:tcPr>
            <w:tcW w:w="1209" w:type="dxa"/>
            <w:tcBorders>
              <w:top w:val="nil"/>
              <w:left w:val="nil"/>
              <w:bottom w:val="nil"/>
              <w:right w:val="nil"/>
            </w:tcBorders>
            <w:noWrap/>
            <w:vAlign w:val="bottom"/>
            <w:hideMark/>
          </w:tcPr>
          <w:p w14:paraId="54473292" w14:textId="77777777" w:rsidR="00F369DF" w:rsidRPr="00D07134" w:rsidRDefault="00F369DF">
            <w:pPr>
              <w:rPr>
                <w:rFonts w:ascii="Verdana" w:hAnsi="Verdana"/>
                <w:noProof/>
                <w:sz w:val="18"/>
                <w:szCs w:val="18"/>
              </w:rPr>
            </w:pPr>
          </w:p>
        </w:tc>
        <w:tc>
          <w:tcPr>
            <w:tcW w:w="1343" w:type="dxa"/>
            <w:tcBorders>
              <w:top w:val="nil"/>
              <w:left w:val="nil"/>
              <w:bottom w:val="nil"/>
              <w:right w:val="nil"/>
            </w:tcBorders>
            <w:shd w:val="clear" w:color="000000" w:fill="0099FF"/>
            <w:noWrap/>
            <w:vAlign w:val="center"/>
            <w:hideMark/>
          </w:tcPr>
          <w:p w14:paraId="4A6BFC41" w14:textId="77777777" w:rsidR="00F369DF" w:rsidRPr="00D07134" w:rsidRDefault="00F369DF">
            <w:pPr>
              <w:jc w:val="center"/>
              <w:rPr>
                <w:rFonts w:ascii="Verdana" w:hAnsi="Verdana" w:cs="Calibri"/>
                <w:b/>
                <w:bCs/>
                <w:noProof/>
                <w:color w:val="FFFFFF"/>
                <w:sz w:val="18"/>
                <w:szCs w:val="18"/>
              </w:rPr>
            </w:pPr>
            <w:r w:rsidRPr="00D07134">
              <w:rPr>
                <w:rFonts w:ascii="Verdana" w:hAnsi="Verdana" w:cs="Calibri"/>
                <w:b/>
                <w:bCs/>
                <w:noProof/>
                <w:color w:val="FFFFFF"/>
                <w:sz w:val="18"/>
                <w:szCs w:val="18"/>
              </w:rPr>
              <w:t xml:space="preserve">UNIFIED </w:t>
            </w:r>
          </w:p>
        </w:tc>
        <w:tc>
          <w:tcPr>
            <w:tcW w:w="5528" w:type="dxa"/>
            <w:gridSpan w:val="4"/>
            <w:tcBorders>
              <w:top w:val="nil"/>
              <w:left w:val="nil"/>
              <w:bottom w:val="nil"/>
              <w:right w:val="nil"/>
            </w:tcBorders>
            <w:shd w:val="clear" w:color="000000" w:fill="C00000"/>
            <w:noWrap/>
            <w:vAlign w:val="bottom"/>
            <w:hideMark/>
          </w:tcPr>
          <w:p w14:paraId="2BB93510" w14:textId="77777777" w:rsidR="00F369DF" w:rsidRPr="00D07134" w:rsidRDefault="00F369DF">
            <w:pPr>
              <w:jc w:val="center"/>
              <w:rPr>
                <w:rFonts w:ascii="Verdana" w:hAnsi="Verdana" w:cs="Calibri"/>
                <w:b/>
                <w:bCs/>
                <w:noProof/>
                <w:color w:val="FFFFFF"/>
                <w:sz w:val="18"/>
                <w:szCs w:val="18"/>
              </w:rPr>
            </w:pPr>
            <w:r w:rsidRPr="00D07134">
              <w:rPr>
                <w:rFonts w:ascii="Verdana" w:hAnsi="Verdana" w:cs="Calibri"/>
                <w:b/>
                <w:bCs/>
                <w:noProof/>
                <w:color w:val="FFFFFF"/>
                <w:sz w:val="18"/>
                <w:szCs w:val="18"/>
              </w:rPr>
              <w:t>BACK-TO-BACK BORROWINGS</w:t>
            </w:r>
          </w:p>
        </w:tc>
        <w:tc>
          <w:tcPr>
            <w:tcW w:w="1559" w:type="dxa"/>
            <w:vMerge w:val="restart"/>
            <w:tcBorders>
              <w:top w:val="nil"/>
              <w:left w:val="nil"/>
              <w:bottom w:val="nil"/>
              <w:right w:val="nil"/>
            </w:tcBorders>
            <w:shd w:val="clear" w:color="000000" w:fill="A9D08E"/>
            <w:noWrap/>
            <w:vAlign w:val="center"/>
            <w:hideMark/>
          </w:tcPr>
          <w:p w14:paraId="7B356C6B" w14:textId="77777777" w:rsidR="00F369DF" w:rsidRPr="00D07134" w:rsidRDefault="00F369DF">
            <w:pPr>
              <w:jc w:val="center"/>
              <w:rPr>
                <w:rFonts w:ascii="Verdana" w:hAnsi="Verdana" w:cs="Calibri"/>
                <w:b/>
                <w:bCs/>
                <w:noProof/>
                <w:color w:val="FFFFFF"/>
                <w:sz w:val="18"/>
                <w:szCs w:val="18"/>
              </w:rPr>
            </w:pPr>
            <w:r w:rsidRPr="00D07134">
              <w:rPr>
                <w:rFonts w:ascii="Verdana" w:hAnsi="Verdana" w:cs="Calibri"/>
                <w:b/>
                <w:bCs/>
                <w:noProof/>
                <w:color w:val="FFFFFF"/>
                <w:sz w:val="18"/>
                <w:szCs w:val="18"/>
              </w:rPr>
              <w:t>TOTAL</w:t>
            </w:r>
          </w:p>
        </w:tc>
      </w:tr>
      <w:tr w:rsidR="00F369DF" w14:paraId="03DD7D3B" w14:textId="77777777" w:rsidTr="00BF139E">
        <w:trPr>
          <w:trHeight w:val="247"/>
        </w:trPr>
        <w:tc>
          <w:tcPr>
            <w:tcW w:w="1209" w:type="dxa"/>
            <w:tcBorders>
              <w:top w:val="nil"/>
              <w:left w:val="nil"/>
              <w:bottom w:val="nil"/>
              <w:right w:val="nil"/>
            </w:tcBorders>
            <w:vAlign w:val="center"/>
            <w:hideMark/>
          </w:tcPr>
          <w:p w14:paraId="04272C85" w14:textId="77777777" w:rsidR="00F369DF" w:rsidRPr="00D07134" w:rsidRDefault="00F369DF">
            <w:pPr>
              <w:jc w:val="center"/>
              <w:rPr>
                <w:rFonts w:ascii="Verdana" w:hAnsi="Verdana" w:cs="Calibri"/>
                <w:b/>
                <w:bCs/>
                <w:noProof/>
                <w:color w:val="FFFFFF"/>
                <w:sz w:val="18"/>
                <w:szCs w:val="18"/>
              </w:rPr>
            </w:pPr>
          </w:p>
        </w:tc>
        <w:tc>
          <w:tcPr>
            <w:tcW w:w="1343" w:type="dxa"/>
            <w:tcBorders>
              <w:top w:val="nil"/>
              <w:left w:val="nil"/>
              <w:bottom w:val="nil"/>
              <w:right w:val="nil"/>
            </w:tcBorders>
            <w:shd w:val="clear" w:color="000000" w:fill="0099FF"/>
            <w:noWrap/>
            <w:vAlign w:val="center"/>
            <w:hideMark/>
          </w:tcPr>
          <w:p w14:paraId="6DE3A01D" w14:textId="77777777" w:rsidR="00F369DF" w:rsidRPr="00D07134" w:rsidRDefault="00F369DF">
            <w:pPr>
              <w:jc w:val="center"/>
              <w:rPr>
                <w:rFonts w:ascii="Verdana" w:hAnsi="Verdana" w:cs="Calibri"/>
                <w:b/>
                <w:bCs/>
                <w:noProof/>
                <w:color w:val="FFFFFF"/>
                <w:sz w:val="18"/>
                <w:szCs w:val="18"/>
              </w:rPr>
            </w:pPr>
            <w:r w:rsidRPr="00D07134">
              <w:rPr>
                <w:rFonts w:ascii="Verdana" w:hAnsi="Verdana" w:cs="Calibri"/>
                <w:b/>
                <w:bCs/>
                <w:noProof/>
                <w:color w:val="FFFFFF"/>
                <w:sz w:val="18"/>
                <w:szCs w:val="18"/>
              </w:rPr>
              <w:t>FUNDING</w:t>
            </w:r>
          </w:p>
        </w:tc>
        <w:tc>
          <w:tcPr>
            <w:tcW w:w="1439" w:type="dxa"/>
            <w:tcBorders>
              <w:top w:val="nil"/>
              <w:left w:val="nil"/>
              <w:bottom w:val="nil"/>
              <w:right w:val="nil"/>
            </w:tcBorders>
            <w:shd w:val="clear" w:color="000000" w:fill="F4B084"/>
            <w:noWrap/>
            <w:vAlign w:val="center"/>
            <w:hideMark/>
          </w:tcPr>
          <w:p w14:paraId="50826268" w14:textId="77777777" w:rsidR="00F369DF" w:rsidRPr="00D07134" w:rsidRDefault="00F369DF">
            <w:pPr>
              <w:jc w:val="center"/>
              <w:rPr>
                <w:rFonts w:ascii="Verdana" w:hAnsi="Verdana" w:cs="Calibri"/>
                <w:b/>
                <w:bCs/>
                <w:noProof/>
                <w:color w:val="FFFFFF"/>
                <w:sz w:val="18"/>
                <w:szCs w:val="18"/>
              </w:rPr>
            </w:pPr>
            <w:r w:rsidRPr="00D07134">
              <w:rPr>
                <w:rFonts w:ascii="Verdana" w:hAnsi="Verdana" w:cs="Calibri"/>
                <w:b/>
                <w:bCs/>
                <w:noProof/>
                <w:color w:val="FFFFFF"/>
                <w:sz w:val="18"/>
                <w:szCs w:val="18"/>
              </w:rPr>
              <w:t>SURE</w:t>
            </w:r>
          </w:p>
        </w:tc>
        <w:tc>
          <w:tcPr>
            <w:tcW w:w="1235" w:type="dxa"/>
            <w:tcBorders>
              <w:top w:val="nil"/>
              <w:left w:val="nil"/>
              <w:bottom w:val="nil"/>
              <w:right w:val="nil"/>
            </w:tcBorders>
            <w:shd w:val="clear" w:color="000000" w:fill="FFD966"/>
            <w:noWrap/>
            <w:vAlign w:val="center"/>
            <w:hideMark/>
          </w:tcPr>
          <w:p w14:paraId="350622F2" w14:textId="77777777" w:rsidR="00F369DF" w:rsidRPr="00D07134" w:rsidRDefault="00F369DF">
            <w:pPr>
              <w:jc w:val="center"/>
              <w:rPr>
                <w:rFonts w:ascii="Verdana" w:hAnsi="Verdana" w:cs="Calibri"/>
                <w:b/>
                <w:bCs/>
                <w:noProof/>
                <w:color w:val="FFFFFF"/>
                <w:sz w:val="18"/>
                <w:szCs w:val="18"/>
              </w:rPr>
            </w:pPr>
            <w:r w:rsidRPr="00D07134">
              <w:rPr>
                <w:rFonts w:ascii="Verdana" w:hAnsi="Verdana" w:cs="Calibri"/>
                <w:b/>
                <w:bCs/>
                <w:noProof/>
                <w:color w:val="FFFFFF"/>
                <w:sz w:val="18"/>
                <w:szCs w:val="18"/>
              </w:rPr>
              <w:t>EFSM</w:t>
            </w:r>
          </w:p>
        </w:tc>
        <w:tc>
          <w:tcPr>
            <w:tcW w:w="1437" w:type="dxa"/>
            <w:tcBorders>
              <w:top w:val="nil"/>
              <w:left w:val="nil"/>
              <w:bottom w:val="nil"/>
              <w:right w:val="nil"/>
            </w:tcBorders>
            <w:shd w:val="clear" w:color="000000" w:fill="C9C9C9"/>
            <w:noWrap/>
            <w:vAlign w:val="center"/>
            <w:hideMark/>
          </w:tcPr>
          <w:p w14:paraId="47777EB9" w14:textId="77777777" w:rsidR="00F369DF" w:rsidRPr="00D07134" w:rsidRDefault="00F369DF">
            <w:pPr>
              <w:jc w:val="center"/>
              <w:rPr>
                <w:rFonts w:ascii="Verdana" w:hAnsi="Verdana" w:cs="Calibri"/>
                <w:b/>
                <w:bCs/>
                <w:noProof/>
                <w:color w:val="FFFFFF"/>
                <w:sz w:val="18"/>
                <w:szCs w:val="18"/>
              </w:rPr>
            </w:pPr>
            <w:r w:rsidRPr="00D07134">
              <w:rPr>
                <w:rFonts w:ascii="Verdana" w:hAnsi="Verdana" w:cs="Calibri"/>
                <w:b/>
                <w:bCs/>
                <w:noProof/>
                <w:color w:val="FFFFFF"/>
                <w:sz w:val="18"/>
                <w:szCs w:val="18"/>
              </w:rPr>
              <w:t>MFA</w:t>
            </w:r>
          </w:p>
        </w:tc>
        <w:tc>
          <w:tcPr>
            <w:tcW w:w="1417" w:type="dxa"/>
            <w:tcBorders>
              <w:top w:val="nil"/>
              <w:left w:val="nil"/>
              <w:bottom w:val="nil"/>
              <w:right w:val="nil"/>
            </w:tcBorders>
            <w:shd w:val="clear" w:color="000000" w:fill="8EA9DB"/>
            <w:noWrap/>
            <w:vAlign w:val="center"/>
            <w:hideMark/>
          </w:tcPr>
          <w:p w14:paraId="4E454CC2" w14:textId="77777777" w:rsidR="00F369DF" w:rsidRPr="00D07134" w:rsidRDefault="00F369DF">
            <w:pPr>
              <w:jc w:val="center"/>
              <w:rPr>
                <w:rFonts w:ascii="Verdana" w:hAnsi="Verdana" w:cs="Calibri"/>
                <w:b/>
                <w:bCs/>
                <w:noProof/>
                <w:color w:val="FFFFFF"/>
                <w:sz w:val="18"/>
                <w:szCs w:val="18"/>
              </w:rPr>
            </w:pPr>
            <w:r w:rsidRPr="00D07134">
              <w:rPr>
                <w:rFonts w:ascii="Verdana" w:hAnsi="Verdana" w:cs="Calibri"/>
                <w:b/>
                <w:bCs/>
                <w:noProof/>
                <w:color w:val="FFFFFF"/>
                <w:sz w:val="18"/>
                <w:szCs w:val="18"/>
              </w:rPr>
              <w:t>EURATOM</w:t>
            </w:r>
          </w:p>
        </w:tc>
        <w:tc>
          <w:tcPr>
            <w:tcW w:w="1559" w:type="dxa"/>
            <w:vMerge/>
            <w:tcBorders>
              <w:top w:val="nil"/>
              <w:left w:val="nil"/>
              <w:bottom w:val="nil"/>
              <w:right w:val="nil"/>
            </w:tcBorders>
            <w:vAlign w:val="center"/>
            <w:hideMark/>
          </w:tcPr>
          <w:p w14:paraId="539E883D" w14:textId="77777777" w:rsidR="00F369DF" w:rsidRPr="00D07134" w:rsidRDefault="00F369DF">
            <w:pPr>
              <w:rPr>
                <w:rFonts w:ascii="Verdana" w:hAnsi="Verdana" w:cs="Calibri"/>
                <w:b/>
                <w:bCs/>
                <w:noProof/>
                <w:color w:val="FFFFFF"/>
                <w:sz w:val="18"/>
                <w:szCs w:val="18"/>
              </w:rPr>
            </w:pPr>
          </w:p>
        </w:tc>
      </w:tr>
      <w:tr w:rsidR="00F369DF" w14:paraId="31642EB1" w14:textId="77777777" w:rsidTr="00BF139E">
        <w:trPr>
          <w:trHeight w:val="247"/>
        </w:trPr>
        <w:tc>
          <w:tcPr>
            <w:tcW w:w="1209" w:type="dxa"/>
            <w:tcBorders>
              <w:top w:val="nil"/>
              <w:left w:val="nil"/>
              <w:bottom w:val="nil"/>
              <w:right w:val="nil"/>
            </w:tcBorders>
            <w:noWrap/>
            <w:vAlign w:val="bottom"/>
            <w:hideMark/>
          </w:tcPr>
          <w:p w14:paraId="6319F794" w14:textId="77777777" w:rsidR="00F369DF" w:rsidRPr="00D07134" w:rsidRDefault="00F369DF">
            <w:pPr>
              <w:jc w:val="center"/>
              <w:rPr>
                <w:rFonts w:ascii="Verdana" w:hAnsi="Verdana" w:cs="Calibri"/>
                <w:b/>
                <w:bCs/>
                <w:noProof/>
                <w:color w:val="FFFFFF"/>
                <w:sz w:val="18"/>
                <w:szCs w:val="18"/>
              </w:rPr>
            </w:pPr>
          </w:p>
        </w:tc>
        <w:tc>
          <w:tcPr>
            <w:tcW w:w="1343" w:type="dxa"/>
            <w:tcBorders>
              <w:top w:val="nil"/>
              <w:left w:val="nil"/>
              <w:bottom w:val="single" w:sz="4" w:space="0" w:color="auto"/>
              <w:right w:val="nil"/>
            </w:tcBorders>
            <w:noWrap/>
            <w:vAlign w:val="bottom"/>
            <w:hideMark/>
          </w:tcPr>
          <w:p w14:paraId="763BDCFA" w14:textId="77777777" w:rsidR="00F369DF" w:rsidRPr="00D07134" w:rsidRDefault="00F369DF">
            <w:pPr>
              <w:jc w:val="center"/>
              <w:rPr>
                <w:rFonts w:ascii="Verdana" w:hAnsi="Verdana" w:cs="Calibri"/>
                <w:noProof/>
                <w:color w:val="000000"/>
                <w:sz w:val="18"/>
                <w:szCs w:val="18"/>
              </w:rPr>
            </w:pPr>
            <w:r w:rsidRPr="00D07134">
              <w:rPr>
                <w:rFonts w:ascii="Verdana" w:hAnsi="Verdana" w:cs="Calibri"/>
                <w:noProof/>
                <w:color w:val="000000"/>
                <w:sz w:val="18"/>
                <w:szCs w:val="18"/>
              </w:rPr>
              <w:t> </w:t>
            </w:r>
          </w:p>
        </w:tc>
        <w:tc>
          <w:tcPr>
            <w:tcW w:w="1439" w:type="dxa"/>
            <w:tcBorders>
              <w:top w:val="nil"/>
              <w:left w:val="nil"/>
              <w:bottom w:val="single" w:sz="4" w:space="0" w:color="auto"/>
              <w:right w:val="nil"/>
            </w:tcBorders>
            <w:noWrap/>
            <w:vAlign w:val="bottom"/>
            <w:hideMark/>
          </w:tcPr>
          <w:p w14:paraId="71995874" w14:textId="77777777" w:rsidR="00F369DF" w:rsidRPr="00D07134" w:rsidRDefault="00F369DF">
            <w:pPr>
              <w:jc w:val="center"/>
              <w:rPr>
                <w:rFonts w:ascii="Verdana" w:hAnsi="Verdana" w:cs="Calibri"/>
                <w:noProof/>
                <w:color w:val="000000"/>
                <w:sz w:val="18"/>
                <w:szCs w:val="18"/>
              </w:rPr>
            </w:pPr>
            <w:r w:rsidRPr="00D07134">
              <w:rPr>
                <w:rFonts w:ascii="Verdana" w:hAnsi="Verdana" w:cs="Calibri"/>
                <w:noProof/>
                <w:color w:val="000000"/>
                <w:sz w:val="18"/>
                <w:szCs w:val="18"/>
              </w:rPr>
              <w:t> </w:t>
            </w:r>
          </w:p>
        </w:tc>
        <w:tc>
          <w:tcPr>
            <w:tcW w:w="1235" w:type="dxa"/>
            <w:tcBorders>
              <w:top w:val="nil"/>
              <w:left w:val="nil"/>
              <w:bottom w:val="single" w:sz="4" w:space="0" w:color="auto"/>
              <w:right w:val="nil"/>
            </w:tcBorders>
            <w:noWrap/>
            <w:vAlign w:val="bottom"/>
            <w:hideMark/>
          </w:tcPr>
          <w:p w14:paraId="22E3613D" w14:textId="77777777" w:rsidR="00F369DF" w:rsidRPr="00D07134" w:rsidRDefault="00F369DF">
            <w:pPr>
              <w:jc w:val="center"/>
              <w:rPr>
                <w:rFonts w:ascii="Verdana" w:hAnsi="Verdana" w:cs="Calibri"/>
                <w:noProof/>
                <w:color w:val="000000"/>
                <w:sz w:val="18"/>
                <w:szCs w:val="18"/>
              </w:rPr>
            </w:pPr>
            <w:r w:rsidRPr="00D07134">
              <w:rPr>
                <w:rFonts w:ascii="Verdana" w:hAnsi="Verdana" w:cs="Calibri"/>
                <w:noProof/>
                <w:color w:val="000000"/>
                <w:sz w:val="18"/>
                <w:szCs w:val="18"/>
              </w:rPr>
              <w:t> </w:t>
            </w:r>
          </w:p>
        </w:tc>
        <w:tc>
          <w:tcPr>
            <w:tcW w:w="1437" w:type="dxa"/>
            <w:tcBorders>
              <w:top w:val="nil"/>
              <w:left w:val="nil"/>
              <w:bottom w:val="single" w:sz="4" w:space="0" w:color="auto"/>
              <w:right w:val="nil"/>
            </w:tcBorders>
            <w:noWrap/>
            <w:vAlign w:val="bottom"/>
            <w:hideMark/>
          </w:tcPr>
          <w:p w14:paraId="081627D2" w14:textId="77777777" w:rsidR="00F369DF" w:rsidRPr="00D07134" w:rsidRDefault="00F369DF">
            <w:pPr>
              <w:jc w:val="center"/>
              <w:rPr>
                <w:rFonts w:ascii="Verdana" w:hAnsi="Verdana" w:cs="Calibri"/>
                <w:noProof/>
                <w:color w:val="000000"/>
                <w:sz w:val="18"/>
                <w:szCs w:val="18"/>
              </w:rPr>
            </w:pPr>
            <w:r w:rsidRPr="00D07134">
              <w:rPr>
                <w:rFonts w:ascii="Verdana" w:hAnsi="Verdana" w:cs="Calibri"/>
                <w:noProof/>
                <w:color w:val="000000"/>
                <w:sz w:val="18"/>
                <w:szCs w:val="18"/>
              </w:rPr>
              <w:t> </w:t>
            </w:r>
          </w:p>
        </w:tc>
        <w:tc>
          <w:tcPr>
            <w:tcW w:w="1417" w:type="dxa"/>
            <w:tcBorders>
              <w:top w:val="nil"/>
              <w:left w:val="nil"/>
              <w:bottom w:val="single" w:sz="4" w:space="0" w:color="auto"/>
              <w:right w:val="nil"/>
            </w:tcBorders>
            <w:noWrap/>
            <w:vAlign w:val="bottom"/>
            <w:hideMark/>
          </w:tcPr>
          <w:p w14:paraId="550261C7" w14:textId="77777777" w:rsidR="00F369DF" w:rsidRPr="00D07134" w:rsidRDefault="00F369DF">
            <w:pPr>
              <w:jc w:val="center"/>
              <w:rPr>
                <w:rFonts w:ascii="Verdana" w:hAnsi="Verdana" w:cs="Calibri"/>
                <w:noProof/>
                <w:color w:val="000000"/>
                <w:sz w:val="18"/>
                <w:szCs w:val="18"/>
              </w:rPr>
            </w:pPr>
            <w:r w:rsidRPr="00D07134">
              <w:rPr>
                <w:rFonts w:ascii="Verdana" w:hAnsi="Verdana" w:cs="Calibri"/>
                <w:noProof/>
                <w:color w:val="000000"/>
                <w:sz w:val="18"/>
                <w:szCs w:val="18"/>
              </w:rPr>
              <w:t> </w:t>
            </w:r>
          </w:p>
        </w:tc>
        <w:tc>
          <w:tcPr>
            <w:tcW w:w="1559" w:type="dxa"/>
            <w:tcBorders>
              <w:top w:val="nil"/>
              <w:left w:val="nil"/>
              <w:bottom w:val="single" w:sz="4" w:space="0" w:color="auto"/>
              <w:right w:val="nil"/>
            </w:tcBorders>
            <w:noWrap/>
            <w:vAlign w:val="bottom"/>
            <w:hideMark/>
          </w:tcPr>
          <w:p w14:paraId="576DFBDD" w14:textId="77777777" w:rsidR="00F369DF" w:rsidRPr="00D07134" w:rsidRDefault="00F369DF">
            <w:pPr>
              <w:jc w:val="center"/>
              <w:rPr>
                <w:rFonts w:ascii="Verdana" w:hAnsi="Verdana" w:cs="Calibri"/>
                <w:noProof/>
                <w:color w:val="000000"/>
                <w:sz w:val="18"/>
                <w:szCs w:val="18"/>
              </w:rPr>
            </w:pPr>
            <w:r w:rsidRPr="00D07134">
              <w:rPr>
                <w:rFonts w:ascii="Verdana" w:hAnsi="Verdana" w:cs="Calibri"/>
                <w:noProof/>
                <w:color w:val="000000"/>
                <w:sz w:val="18"/>
                <w:szCs w:val="18"/>
              </w:rPr>
              <w:t> </w:t>
            </w:r>
          </w:p>
        </w:tc>
      </w:tr>
      <w:tr w:rsidR="00F369DF" w14:paraId="269D8EF2" w14:textId="77777777" w:rsidTr="00BF139E">
        <w:trPr>
          <w:trHeight w:val="247"/>
        </w:trPr>
        <w:tc>
          <w:tcPr>
            <w:tcW w:w="1209" w:type="dxa"/>
            <w:tcBorders>
              <w:top w:val="nil"/>
              <w:left w:val="nil"/>
              <w:bottom w:val="nil"/>
              <w:right w:val="nil"/>
            </w:tcBorders>
            <w:noWrap/>
            <w:vAlign w:val="center"/>
            <w:hideMark/>
          </w:tcPr>
          <w:p w14:paraId="6B601B3C"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2026</w:t>
            </w:r>
          </w:p>
        </w:tc>
        <w:tc>
          <w:tcPr>
            <w:tcW w:w="1343" w:type="dxa"/>
            <w:tcBorders>
              <w:top w:val="nil"/>
              <w:left w:val="nil"/>
              <w:bottom w:val="nil"/>
              <w:right w:val="nil"/>
            </w:tcBorders>
            <w:noWrap/>
            <w:vAlign w:val="center"/>
            <w:hideMark/>
          </w:tcPr>
          <w:p w14:paraId="6101ABF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69.9</w:t>
            </w:r>
          </w:p>
        </w:tc>
        <w:tc>
          <w:tcPr>
            <w:tcW w:w="1439" w:type="dxa"/>
            <w:tcBorders>
              <w:top w:val="nil"/>
              <w:left w:val="nil"/>
              <w:bottom w:val="nil"/>
              <w:right w:val="nil"/>
            </w:tcBorders>
            <w:noWrap/>
            <w:vAlign w:val="center"/>
            <w:hideMark/>
          </w:tcPr>
          <w:p w14:paraId="182EA3D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8.0</w:t>
            </w:r>
          </w:p>
        </w:tc>
        <w:tc>
          <w:tcPr>
            <w:tcW w:w="1235" w:type="dxa"/>
            <w:tcBorders>
              <w:top w:val="nil"/>
              <w:left w:val="nil"/>
              <w:bottom w:val="nil"/>
              <w:right w:val="nil"/>
            </w:tcBorders>
            <w:noWrap/>
            <w:vAlign w:val="center"/>
            <w:hideMark/>
          </w:tcPr>
          <w:p w14:paraId="5050D7D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6.2</w:t>
            </w:r>
          </w:p>
        </w:tc>
        <w:tc>
          <w:tcPr>
            <w:tcW w:w="1437" w:type="dxa"/>
            <w:tcBorders>
              <w:top w:val="nil"/>
              <w:left w:val="nil"/>
              <w:bottom w:val="nil"/>
              <w:right w:val="nil"/>
            </w:tcBorders>
            <w:noWrap/>
            <w:vAlign w:val="center"/>
            <w:hideMark/>
          </w:tcPr>
          <w:p w14:paraId="4874E6F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0.1</w:t>
            </w:r>
          </w:p>
        </w:tc>
        <w:tc>
          <w:tcPr>
            <w:tcW w:w="1417" w:type="dxa"/>
            <w:tcBorders>
              <w:top w:val="nil"/>
              <w:left w:val="nil"/>
              <w:bottom w:val="nil"/>
              <w:right w:val="nil"/>
            </w:tcBorders>
            <w:noWrap/>
            <w:vAlign w:val="center"/>
            <w:hideMark/>
          </w:tcPr>
          <w:p w14:paraId="47CD4A6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29AB2B01"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84.2</w:t>
            </w:r>
          </w:p>
        </w:tc>
      </w:tr>
      <w:tr w:rsidR="00F369DF" w14:paraId="33D4FA00" w14:textId="77777777" w:rsidTr="00BF139E">
        <w:trPr>
          <w:trHeight w:val="247"/>
        </w:trPr>
        <w:tc>
          <w:tcPr>
            <w:tcW w:w="1209" w:type="dxa"/>
            <w:tcBorders>
              <w:top w:val="nil"/>
              <w:left w:val="nil"/>
              <w:bottom w:val="nil"/>
              <w:right w:val="nil"/>
            </w:tcBorders>
            <w:noWrap/>
            <w:vAlign w:val="center"/>
            <w:hideMark/>
          </w:tcPr>
          <w:p w14:paraId="05819BA1"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2027</w:t>
            </w:r>
          </w:p>
        </w:tc>
        <w:tc>
          <w:tcPr>
            <w:tcW w:w="1343" w:type="dxa"/>
            <w:tcBorders>
              <w:top w:val="nil"/>
              <w:left w:val="nil"/>
              <w:bottom w:val="nil"/>
              <w:right w:val="nil"/>
            </w:tcBorders>
            <w:noWrap/>
            <w:vAlign w:val="center"/>
            <w:hideMark/>
          </w:tcPr>
          <w:p w14:paraId="583C2E6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37.2</w:t>
            </w:r>
          </w:p>
        </w:tc>
        <w:tc>
          <w:tcPr>
            <w:tcW w:w="1439" w:type="dxa"/>
            <w:tcBorders>
              <w:top w:val="nil"/>
              <w:left w:val="nil"/>
              <w:bottom w:val="nil"/>
              <w:right w:val="nil"/>
            </w:tcBorders>
            <w:noWrap/>
            <w:vAlign w:val="center"/>
            <w:hideMark/>
          </w:tcPr>
          <w:p w14:paraId="17CDFB9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543AA51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3.0</w:t>
            </w:r>
          </w:p>
        </w:tc>
        <w:tc>
          <w:tcPr>
            <w:tcW w:w="1437" w:type="dxa"/>
            <w:tcBorders>
              <w:top w:val="nil"/>
              <w:left w:val="nil"/>
              <w:bottom w:val="nil"/>
              <w:right w:val="nil"/>
            </w:tcBorders>
            <w:noWrap/>
            <w:vAlign w:val="center"/>
            <w:hideMark/>
          </w:tcPr>
          <w:p w14:paraId="68DBD17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0.2</w:t>
            </w:r>
          </w:p>
        </w:tc>
        <w:tc>
          <w:tcPr>
            <w:tcW w:w="1417" w:type="dxa"/>
            <w:tcBorders>
              <w:top w:val="nil"/>
              <w:left w:val="nil"/>
              <w:bottom w:val="nil"/>
              <w:right w:val="nil"/>
            </w:tcBorders>
            <w:noWrap/>
            <w:vAlign w:val="center"/>
            <w:hideMark/>
          </w:tcPr>
          <w:p w14:paraId="53FEF2C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0.1</w:t>
            </w:r>
          </w:p>
        </w:tc>
        <w:tc>
          <w:tcPr>
            <w:tcW w:w="1559" w:type="dxa"/>
            <w:tcBorders>
              <w:top w:val="nil"/>
              <w:left w:val="nil"/>
              <w:bottom w:val="nil"/>
              <w:right w:val="nil"/>
            </w:tcBorders>
            <w:noWrap/>
            <w:vAlign w:val="center"/>
            <w:hideMark/>
          </w:tcPr>
          <w:p w14:paraId="76B5B45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40.4</w:t>
            </w:r>
          </w:p>
        </w:tc>
      </w:tr>
      <w:tr w:rsidR="00F369DF" w14:paraId="26545545" w14:textId="77777777" w:rsidTr="00BF139E">
        <w:trPr>
          <w:trHeight w:val="247"/>
        </w:trPr>
        <w:tc>
          <w:tcPr>
            <w:tcW w:w="1209" w:type="dxa"/>
            <w:tcBorders>
              <w:top w:val="nil"/>
              <w:left w:val="nil"/>
              <w:bottom w:val="nil"/>
              <w:right w:val="nil"/>
            </w:tcBorders>
            <w:noWrap/>
            <w:vAlign w:val="center"/>
            <w:hideMark/>
          </w:tcPr>
          <w:p w14:paraId="0C879E0E"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2028</w:t>
            </w:r>
          </w:p>
        </w:tc>
        <w:tc>
          <w:tcPr>
            <w:tcW w:w="1343" w:type="dxa"/>
            <w:tcBorders>
              <w:top w:val="nil"/>
              <w:left w:val="nil"/>
              <w:bottom w:val="nil"/>
              <w:right w:val="nil"/>
            </w:tcBorders>
            <w:noWrap/>
            <w:vAlign w:val="center"/>
            <w:hideMark/>
          </w:tcPr>
          <w:p w14:paraId="49C74093"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55.6</w:t>
            </w:r>
          </w:p>
        </w:tc>
        <w:tc>
          <w:tcPr>
            <w:tcW w:w="1439" w:type="dxa"/>
            <w:tcBorders>
              <w:top w:val="nil"/>
              <w:left w:val="nil"/>
              <w:bottom w:val="nil"/>
              <w:right w:val="nil"/>
            </w:tcBorders>
            <w:noWrap/>
            <w:vAlign w:val="center"/>
            <w:hideMark/>
          </w:tcPr>
          <w:p w14:paraId="7C0517C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10.0</w:t>
            </w:r>
          </w:p>
        </w:tc>
        <w:tc>
          <w:tcPr>
            <w:tcW w:w="1235" w:type="dxa"/>
            <w:tcBorders>
              <w:top w:val="nil"/>
              <w:left w:val="nil"/>
              <w:bottom w:val="nil"/>
              <w:right w:val="nil"/>
            </w:tcBorders>
            <w:noWrap/>
            <w:vAlign w:val="center"/>
            <w:hideMark/>
          </w:tcPr>
          <w:p w14:paraId="6A6EE97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2.3</w:t>
            </w:r>
          </w:p>
        </w:tc>
        <w:tc>
          <w:tcPr>
            <w:tcW w:w="1437" w:type="dxa"/>
            <w:tcBorders>
              <w:top w:val="nil"/>
              <w:left w:val="nil"/>
              <w:bottom w:val="nil"/>
              <w:right w:val="nil"/>
            </w:tcBorders>
            <w:noWrap/>
            <w:vAlign w:val="center"/>
            <w:hideMark/>
          </w:tcPr>
          <w:p w14:paraId="3C004E5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0.2</w:t>
            </w:r>
          </w:p>
        </w:tc>
        <w:tc>
          <w:tcPr>
            <w:tcW w:w="1417" w:type="dxa"/>
            <w:tcBorders>
              <w:top w:val="nil"/>
              <w:left w:val="nil"/>
              <w:bottom w:val="nil"/>
              <w:right w:val="nil"/>
            </w:tcBorders>
            <w:noWrap/>
            <w:vAlign w:val="center"/>
            <w:hideMark/>
          </w:tcPr>
          <w:p w14:paraId="72C9D84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0.1</w:t>
            </w:r>
          </w:p>
        </w:tc>
        <w:tc>
          <w:tcPr>
            <w:tcW w:w="1559" w:type="dxa"/>
            <w:tcBorders>
              <w:top w:val="nil"/>
              <w:left w:val="nil"/>
              <w:bottom w:val="nil"/>
              <w:right w:val="nil"/>
            </w:tcBorders>
            <w:noWrap/>
            <w:vAlign w:val="center"/>
            <w:hideMark/>
          </w:tcPr>
          <w:p w14:paraId="447A63D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68.2</w:t>
            </w:r>
          </w:p>
        </w:tc>
      </w:tr>
      <w:tr w:rsidR="00F369DF" w14:paraId="7D03056C" w14:textId="77777777" w:rsidTr="00BF139E">
        <w:trPr>
          <w:trHeight w:val="247"/>
        </w:trPr>
        <w:tc>
          <w:tcPr>
            <w:tcW w:w="1209" w:type="dxa"/>
            <w:tcBorders>
              <w:top w:val="nil"/>
              <w:left w:val="nil"/>
              <w:bottom w:val="nil"/>
              <w:right w:val="nil"/>
            </w:tcBorders>
            <w:noWrap/>
            <w:vAlign w:val="center"/>
            <w:hideMark/>
          </w:tcPr>
          <w:p w14:paraId="0C57F3B6"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2029</w:t>
            </w:r>
          </w:p>
        </w:tc>
        <w:tc>
          <w:tcPr>
            <w:tcW w:w="1343" w:type="dxa"/>
            <w:tcBorders>
              <w:top w:val="nil"/>
              <w:left w:val="nil"/>
              <w:bottom w:val="nil"/>
              <w:right w:val="nil"/>
            </w:tcBorders>
            <w:noWrap/>
            <w:vAlign w:val="center"/>
            <w:hideMark/>
          </w:tcPr>
          <w:p w14:paraId="252D5713"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34.1</w:t>
            </w:r>
          </w:p>
        </w:tc>
        <w:tc>
          <w:tcPr>
            <w:tcW w:w="1439" w:type="dxa"/>
            <w:tcBorders>
              <w:top w:val="nil"/>
              <w:left w:val="nil"/>
              <w:bottom w:val="nil"/>
              <w:right w:val="nil"/>
            </w:tcBorders>
            <w:noWrap/>
            <w:vAlign w:val="center"/>
            <w:hideMark/>
          </w:tcPr>
          <w:p w14:paraId="5772321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8.1</w:t>
            </w:r>
          </w:p>
        </w:tc>
        <w:tc>
          <w:tcPr>
            <w:tcW w:w="1235" w:type="dxa"/>
            <w:tcBorders>
              <w:top w:val="nil"/>
              <w:left w:val="nil"/>
              <w:bottom w:val="nil"/>
              <w:right w:val="nil"/>
            </w:tcBorders>
            <w:noWrap/>
            <w:vAlign w:val="center"/>
            <w:hideMark/>
          </w:tcPr>
          <w:p w14:paraId="52F8936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1.4</w:t>
            </w:r>
          </w:p>
        </w:tc>
        <w:tc>
          <w:tcPr>
            <w:tcW w:w="1437" w:type="dxa"/>
            <w:tcBorders>
              <w:top w:val="nil"/>
              <w:left w:val="nil"/>
              <w:bottom w:val="nil"/>
              <w:right w:val="nil"/>
            </w:tcBorders>
            <w:noWrap/>
            <w:vAlign w:val="center"/>
            <w:hideMark/>
          </w:tcPr>
          <w:p w14:paraId="253C3B6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0.9</w:t>
            </w:r>
          </w:p>
        </w:tc>
        <w:tc>
          <w:tcPr>
            <w:tcW w:w="1417" w:type="dxa"/>
            <w:tcBorders>
              <w:top w:val="nil"/>
              <w:left w:val="nil"/>
              <w:bottom w:val="nil"/>
              <w:right w:val="nil"/>
            </w:tcBorders>
            <w:noWrap/>
            <w:vAlign w:val="center"/>
            <w:hideMark/>
          </w:tcPr>
          <w:p w14:paraId="12BF957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5AD6C9A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44.5</w:t>
            </w:r>
          </w:p>
        </w:tc>
      </w:tr>
      <w:tr w:rsidR="00F369DF" w14:paraId="5D23EC42" w14:textId="77777777" w:rsidTr="00BF139E">
        <w:trPr>
          <w:trHeight w:val="247"/>
        </w:trPr>
        <w:tc>
          <w:tcPr>
            <w:tcW w:w="1209" w:type="dxa"/>
            <w:tcBorders>
              <w:top w:val="nil"/>
              <w:left w:val="nil"/>
              <w:bottom w:val="nil"/>
              <w:right w:val="nil"/>
            </w:tcBorders>
            <w:noWrap/>
            <w:vAlign w:val="center"/>
            <w:hideMark/>
          </w:tcPr>
          <w:p w14:paraId="77F406CD"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2030</w:t>
            </w:r>
          </w:p>
        </w:tc>
        <w:tc>
          <w:tcPr>
            <w:tcW w:w="1343" w:type="dxa"/>
            <w:tcBorders>
              <w:top w:val="nil"/>
              <w:left w:val="nil"/>
              <w:bottom w:val="nil"/>
              <w:right w:val="nil"/>
            </w:tcBorders>
            <w:noWrap/>
            <w:vAlign w:val="center"/>
            <w:hideMark/>
          </w:tcPr>
          <w:p w14:paraId="67B5EF5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27.7</w:t>
            </w:r>
          </w:p>
        </w:tc>
        <w:tc>
          <w:tcPr>
            <w:tcW w:w="1439" w:type="dxa"/>
            <w:tcBorders>
              <w:top w:val="nil"/>
              <w:left w:val="nil"/>
              <w:bottom w:val="nil"/>
              <w:right w:val="nil"/>
            </w:tcBorders>
            <w:noWrap/>
            <w:vAlign w:val="center"/>
            <w:hideMark/>
          </w:tcPr>
          <w:p w14:paraId="49ACBD9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10.0</w:t>
            </w:r>
          </w:p>
        </w:tc>
        <w:tc>
          <w:tcPr>
            <w:tcW w:w="1235" w:type="dxa"/>
            <w:tcBorders>
              <w:top w:val="nil"/>
              <w:left w:val="nil"/>
              <w:bottom w:val="nil"/>
              <w:right w:val="nil"/>
            </w:tcBorders>
            <w:noWrap/>
            <w:vAlign w:val="center"/>
            <w:hideMark/>
          </w:tcPr>
          <w:p w14:paraId="02F23EE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2263A66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0.1</w:t>
            </w:r>
          </w:p>
        </w:tc>
        <w:tc>
          <w:tcPr>
            <w:tcW w:w="1417" w:type="dxa"/>
            <w:tcBorders>
              <w:top w:val="nil"/>
              <w:left w:val="nil"/>
              <w:bottom w:val="nil"/>
              <w:right w:val="nil"/>
            </w:tcBorders>
            <w:noWrap/>
            <w:vAlign w:val="center"/>
            <w:hideMark/>
          </w:tcPr>
          <w:p w14:paraId="63F323F1"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0.1</w:t>
            </w:r>
          </w:p>
        </w:tc>
        <w:tc>
          <w:tcPr>
            <w:tcW w:w="1559" w:type="dxa"/>
            <w:tcBorders>
              <w:top w:val="nil"/>
              <w:left w:val="nil"/>
              <w:bottom w:val="nil"/>
              <w:right w:val="nil"/>
            </w:tcBorders>
            <w:noWrap/>
            <w:vAlign w:val="center"/>
            <w:hideMark/>
          </w:tcPr>
          <w:p w14:paraId="01B6CEB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37.9</w:t>
            </w:r>
          </w:p>
        </w:tc>
      </w:tr>
      <w:tr w:rsidR="00F369DF" w14:paraId="02188BD4" w14:textId="77777777" w:rsidTr="00BF139E">
        <w:trPr>
          <w:trHeight w:val="247"/>
        </w:trPr>
        <w:tc>
          <w:tcPr>
            <w:tcW w:w="1209" w:type="dxa"/>
            <w:tcBorders>
              <w:top w:val="nil"/>
              <w:left w:val="nil"/>
              <w:bottom w:val="nil"/>
              <w:right w:val="nil"/>
            </w:tcBorders>
            <w:noWrap/>
            <w:vAlign w:val="center"/>
            <w:hideMark/>
          </w:tcPr>
          <w:p w14:paraId="462B9444"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2031</w:t>
            </w:r>
          </w:p>
        </w:tc>
        <w:tc>
          <w:tcPr>
            <w:tcW w:w="1343" w:type="dxa"/>
            <w:tcBorders>
              <w:top w:val="nil"/>
              <w:left w:val="nil"/>
              <w:bottom w:val="nil"/>
              <w:right w:val="nil"/>
            </w:tcBorders>
            <w:noWrap/>
            <w:vAlign w:val="center"/>
            <w:hideMark/>
          </w:tcPr>
          <w:p w14:paraId="10E3E1F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39.2</w:t>
            </w:r>
          </w:p>
        </w:tc>
        <w:tc>
          <w:tcPr>
            <w:tcW w:w="1439" w:type="dxa"/>
            <w:tcBorders>
              <w:top w:val="nil"/>
              <w:left w:val="nil"/>
              <w:bottom w:val="nil"/>
              <w:right w:val="nil"/>
            </w:tcBorders>
            <w:noWrap/>
            <w:vAlign w:val="center"/>
            <w:hideMark/>
          </w:tcPr>
          <w:p w14:paraId="115FFAA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2A2078B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6.6</w:t>
            </w:r>
          </w:p>
        </w:tc>
        <w:tc>
          <w:tcPr>
            <w:tcW w:w="1437" w:type="dxa"/>
            <w:tcBorders>
              <w:top w:val="nil"/>
              <w:left w:val="nil"/>
              <w:bottom w:val="nil"/>
              <w:right w:val="nil"/>
            </w:tcBorders>
            <w:noWrap/>
            <w:vAlign w:val="center"/>
            <w:hideMark/>
          </w:tcPr>
          <w:p w14:paraId="3AC300D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1.2</w:t>
            </w:r>
          </w:p>
        </w:tc>
        <w:tc>
          <w:tcPr>
            <w:tcW w:w="1417" w:type="dxa"/>
            <w:tcBorders>
              <w:top w:val="nil"/>
              <w:left w:val="nil"/>
              <w:bottom w:val="nil"/>
              <w:right w:val="nil"/>
            </w:tcBorders>
            <w:noWrap/>
            <w:vAlign w:val="center"/>
            <w:hideMark/>
          </w:tcPr>
          <w:p w14:paraId="6603BFBF"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0.1</w:t>
            </w:r>
          </w:p>
        </w:tc>
        <w:tc>
          <w:tcPr>
            <w:tcW w:w="1559" w:type="dxa"/>
            <w:tcBorders>
              <w:top w:val="nil"/>
              <w:left w:val="nil"/>
              <w:bottom w:val="nil"/>
              <w:right w:val="nil"/>
            </w:tcBorders>
            <w:noWrap/>
            <w:vAlign w:val="center"/>
            <w:hideMark/>
          </w:tcPr>
          <w:p w14:paraId="38DFF07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47.0</w:t>
            </w:r>
          </w:p>
        </w:tc>
      </w:tr>
      <w:tr w:rsidR="00F369DF" w14:paraId="49B1C6DD" w14:textId="77777777" w:rsidTr="00BF139E">
        <w:trPr>
          <w:trHeight w:val="247"/>
        </w:trPr>
        <w:tc>
          <w:tcPr>
            <w:tcW w:w="1209" w:type="dxa"/>
            <w:tcBorders>
              <w:top w:val="nil"/>
              <w:left w:val="nil"/>
              <w:bottom w:val="nil"/>
              <w:right w:val="nil"/>
            </w:tcBorders>
            <w:noWrap/>
            <w:vAlign w:val="center"/>
            <w:hideMark/>
          </w:tcPr>
          <w:p w14:paraId="02B8F6E5"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2032</w:t>
            </w:r>
          </w:p>
        </w:tc>
        <w:tc>
          <w:tcPr>
            <w:tcW w:w="1343" w:type="dxa"/>
            <w:tcBorders>
              <w:top w:val="nil"/>
              <w:left w:val="nil"/>
              <w:bottom w:val="nil"/>
              <w:right w:val="nil"/>
            </w:tcBorders>
            <w:noWrap/>
            <w:vAlign w:val="center"/>
            <w:hideMark/>
          </w:tcPr>
          <w:p w14:paraId="0CE46F7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30.3</w:t>
            </w:r>
          </w:p>
        </w:tc>
        <w:tc>
          <w:tcPr>
            <w:tcW w:w="1439" w:type="dxa"/>
            <w:tcBorders>
              <w:top w:val="nil"/>
              <w:left w:val="nil"/>
              <w:bottom w:val="nil"/>
              <w:right w:val="nil"/>
            </w:tcBorders>
            <w:noWrap/>
            <w:vAlign w:val="center"/>
            <w:hideMark/>
          </w:tcPr>
          <w:p w14:paraId="3295ACA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330E49C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3.0</w:t>
            </w:r>
          </w:p>
        </w:tc>
        <w:tc>
          <w:tcPr>
            <w:tcW w:w="1437" w:type="dxa"/>
            <w:tcBorders>
              <w:top w:val="nil"/>
              <w:left w:val="nil"/>
              <w:bottom w:val="nil"/>
              <w:right w:val="nil"/>
            </w:tcBorders>
            <w:noWrap/>
            <w:vAlign w:val="center"/>
            <w:hideMark/>
          </w:tcPr>
          <w:p w14:paraId="4630176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0.7</w:t>
            </w:r>
          </w:p>
        </w:tc>
        <w:tc>
          <w:tcPr>
            <w:tcW w:w="1417" w:type="dxa"/>
            <w:tcBorders>
              <w:top w:val="nil"/>
              <w:left w:val="nil"/>
              <w:bottom w:val="nil"/>
              <w:right w:val="nil"/>
            </w:tcBorders>
            <w:noWrap/>
            <w:vAlign w:val="center"/>
            <w:hideMark/>
          </w:tcPr>
          <w:p w14:paraId="3DFE9D4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6BE4F5A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34.1</w:t>
            </w:r>
          </w:p>
        </w:tc>
      </w:tr>
      <w:tr w:rsidR="00F369DF" w14:paraId="778DBA13" w14:textId="77777777" w:rsidTr="00BF139E">
        <w:trPr>
          <w:trHeight w:val="247"/>
        </w:trPr>
        <w:tc>
          <w:tcPr>
            <w:tcW w:w="1209" w:type="dxa"/>
            <w:tcBorders>
              <w:top w:val="nil"/>
              <w:left w:val="nil"/>
              <w:bottom w:val="nil"/>
              <w:right w:val="nil"/>
            </w:tcBorders>
            <w:noWrap/>
            <w:vAlign w:val="center"/>
            <w:hideMark/>
          </w:tcPr>
          <w:p w14:paraId="4426DE08"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2033</w:t>
            </w:r>
          </w:p>
        </w:tc>
        <w:tc>
          <w:tcPr>
            <w:tcW w:w="1343" w:type="dxa"/>
            <w:tcBorders>
              <w:top w:val="nil"/>
              <w:left w:val="nil"/>
              <w:bottom w:val="nil"/>
              <w:right w:val="nil"/>
            </w:tcBorders>
            <w:noWrap/>
            <w:vAlign w:val="center"/>
            <w:hideMark/>
          </w:tcPr>
          <w:p w14:paraId="2220B94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15.7</w:t>
            </w:r>
          </w:p>
        </w:tc>
        <w:tc>
          <w:tcPr>
            <w:tcW w:w="1439" w:type="dxa"/>
            <w:tcBorders>
              <w:top w:val="nil"/>
              <w:left w:val="nil"/>
              <w:bottom w:val="nil"/>
              <w:right w:val="nil"/>
            </w:tcBorders>
            <w:noWrap/>
            <w:vAlign w:val="center"/>
            <w:hideMark/>
          </w:tcPr>
          <w:p w14:paraId="5C702FC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56E6E453"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2.1</w:t>
            </w:r>
          </w:p>
        </w:tc>
        <w:tc>
          <w:tcPr>
            <w:tcW w:w="1437" w:type="dxa"/>
            <w:tcBorders>
              <w:top w:val="nil"/>
              <w:left w:val="nil"/>
              <w:bottom w:val="nil"/>
              <w:right w:val="nil"/>
            </w:tcBorders>
            <w:noWrap/>
            <w:vAlign w:val="center"/>
            <w:hideMark/>
          </w:tcPr>
          <w:p w14:paraId="72D232F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0.5</w:t>
            </w:r>
          </w:p>
        </w:tc>
        <w:tc>
          <w:tcPr>
            <w:tcW w:w="1417" w:type="dxa"/>
            <w:tcBorders>
              <w:top w:val="nil"/>
              <w:left w:val="nil"/>
              <w:bottom w:val="nil"/>
              <w:right w:val="nil"/>
            </w:tcBorders>
            <w:noWrap/>
            <w:vAlign w:val="center"/>
            <w:hideMark/>
          </w:tcPr>
          <w:p w14:paraId="04FA46B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107870D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18.3</w:t>
            </w:r>
          </w:p>
        </w:tc>
      </w:tr>
      <w:tr w:rsidR="00F369DF" w14:paraId="71F26D00" w14:textId="77777777" w:rsidTr="00BF139E">
        <w:trPr>
          <w:trHeight w:val="247"/>
        </w:trPr>
        <w:tc>
          <w:tcPr>
            <w:tcW w:w="1209" w:type="dxa"/>
            <w:tcBorders>
              <w:top w:val="nil"/>
              <w:left w:val="nil"/>
              <w:bottom w:val="nil"/>
              <w:right w:val="nil"/>
            </w:tcBorders>
            <w:noWrap/>
            <w:vAlign w:val="center"/>
            <w:hideMark/>
          </w:tcPr>
          <w:p w14:paraId="1328602B"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2034</w:t>
            </w:r>
          </w:p>
        </w:tc>
        <w:tc>
          <w:tcPr>
            <w:tcW w:w="1343" w:type="dxa"/>
            <w:tcBorders>
              <w:top w:val="nil"/>
              <w:left w:val="nil"/>
              <w:bottom w:val="nil"/>
              <w:right w:val="nil"/>
            </w:tcBorders>
            <w:noWrap/>
            <w:vAlign w:val="center"/>
            <w:hideMark/>
          </w:tcPr>
          <w:p w14:paraId="0EFE0F71"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39.7</w:t>
            </w:r>
          </w:p>
        </w:tc>
        <w:tc>
          <w:tcPr>
            <w:tcW w:w="1439" w:type="dxa"/>
            <w:tcBorders>
              <w:top w:val="nil"/>
              <w:left w:val="nil"/>
              <w:bottom w:val="nil"/>
              <w:right w:val="nil"/>
            </w:tcBorders>
            <w:noWrap/>
            <w:vAlign w:val="center"/>
            <w:hideMark/>
          </w:tcPr>
          <w:p w14:paraId="43A30FE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61A6176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3BDD191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0.7</w:t>
            </w:r>
          </w:p>
        </w:tc>
        <w:tc>
          <w:tcPr>
            <w:tcW w:w="1417" w:type="dxa"/>
            <w:tcBorders>
              <w:top w:val="nil"/>
              <w:left w:val="nil"/>
              <w:bottom w:val="nil"/>
              <w:right w:val="nil"/>
            </w:tcBorders>
            <w:noWrap/>
            <w:vAlign w:val="center"/>
            <w:hideMark/>
          </w:tcPr>
          <w:p w14:paraId="2C17A00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21631A3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40.5</w:t>
            </w:r>
          </w:p>
        </w:tc>
      </w:tr>
      <w:tr w:rsidR="00F369DF" w14:paraId="060F0FBB" w14:textId="77777777" w:rsidTr="00BF139E">
        <w:trPr>
          <w:trHeight w:val="247"/>
        </w:trPr>
        <w:tc>
          <w:tcPr>
            <w:tcW w:w="1209" w:type="dxa"/>
            <w:tcBorders>
              <w:top w:val="nil"/>
              <w:left w:val="nil"/>
              <w:bottom w:val="nil"/>
              <w:right w:val="nil"/>
            </w:tcBorders>
            <w:noWrap/>
            <w:vAlign w:val="center"/>
            <w:hideMark/>
          </w:tcPr>
          <w:p w14:paraId="7C4C86D7"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2035</w:t>
            </w:r>
          </w:p>
        </w:tc>
        <w:tc>
          <w:tcPr>
            <w:tcW w:w="1343" w:type="dxa"/>
            <w:tcBorders>
              <w:top w:val="nil"/>
              <w:left w:val="nil"/>
              <w:bottom w:val="nil"/>
              <w:right w:val="nil"/>
            </w:tcBorders>
            <w:noWrap/>
            <w:vAlign w:val="center"/>
            <w:hideMark/>
          </w:tcPr>
          <w:p w14:paraId="1EDDF16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16.9</w:t>
            </w:r>
          </w:p>
        </w:tc>
        <w:tc>
          <w:tcPr>
            <w:tcW w:w="1439" w:type="dxa"/>
            <w:tcBorders>
              <w:top w:val="nil"/>
              <w:left w:val="nil"/>
              <w:bottom w:val="nil"/>
              <w:right w:val="nil"/>
            </w:tcBorders>
            <w:noWrap/>
            <w:vAlign w:val="center"/>
            <w:hideMark/>
          </w:tcPr>
          <w:p w14:paraId="4382A34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8.5</w:t>
            </w:r>
          </w:p>
        </w:tc>
        <w:tc>
          <w:tcPr>
            <w:tcW w:w="1235" w:type="dxa"/>
            <w:tcBorders>
              <w:top w:val="nil"/>
              <w:left w:val="nil"/>
              <w:bottom w:val="nil"/>
              <w:right w:val="nil"/>
            </w:tcBorders>
            <w:noWrap/>
            <w:vAlign w:val="center"/>
            <w:hideMark/>
          </w:tcPr>
          <w:p w14:paraId="05BFCB9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2.0</w:t>
            </w:r>
          </w:p>
        </w:tc>
        <w:tc>
          <w:tcPr>
            <w:tcW w:w="1437" w:type="dxa"/>
            <w:tcBorders>
              <w:top w:val="nil"/>
              <w:left w:val="nil"/>
              <w:bottom w:val="nil"/>
              <w:right w:val="nil"/>
            </w:tcBorders>
            <w:noWrap/>
            <w:vAlign w:val="center"/>
            <w:hideMark/>
          </w:tcPr>
          <w:p w14:paraId="29F23B0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2.0</w:t>
            </w:r>
          </w:p>
        </w:tc>
        <w:tc>
          <w:tcPr>
            <w:tcW w:w="1417" w:type="dxa"/>
            <w:tcBorders>
              <w:top w:val="nil"/>
              <w:left w:val="nil"/>
              <w:bottom w:val="nil"/>
              <w:right w:val="nil"/>
            </w:tcBorders>
            <w:noWrap/>
            <w:vAlign w:val="center"/>
            <w:hideMark/>
          </w:tcPr>
          <w:p w14:paraId="4CCFF10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605DB5A9"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29.4</w:t>
            </w:r>
          </w:p>
        </w:tc>
      </w:tr>
      <w:tr w:rsidR="00F369DF" w14:paraId="778277C9" w14:textId="77777777" w:rsidTr="00BF139E">
        <w:trPr>
          <w:trHeight w:val="247"/>
        </w:trPr>
        <w:tc>
          <w:tcPr>
            <w:tcW w:w="1209" w:type="dxa"/>
            <w:tcBorders>
              <w:top w:val="nil"/>
              <w:left w:val="nil"/>
              <w:bottom w:val="nil"/>
              <w:right w:val="nil"/>
            </w:tcBorders>
            <w:noWrap/>
            <w:vAlign w:val="center"/>
            <w:hideMark/>
          </w:tcPr>
          <w:p w14:paraId="0ADB2BAA"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2036</w:t>
            </w:r>
          </w:p>
        </w:tc>
        <w:tc>
          <w:tcPr>
            <w:tcW w:w="1343" w:type="dxa"/>
            <w:tcBorders>
              <w:top w:val="nil"/>
              <w:left w:val="nil"/>
              <w:bottom w:val="nil"/>
              <w:right w:val="nil"/>
            </w:tcBorders>
            <w:noWrap/>
            <w:vAlign w:val="center"/>
            <w:hideMark/>
          </w:tcPr>
          <w:p w14:paraId="1526CB1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9" w:type="dxa"/>
            <w:tcBorders>
              <w:top w:val="nil"/>
              <w:left w:val="nil"/>
              <w:bottom w:val="nil"/>
              <w:right w:val="nil"/>
            </w:tcBorders>
            <w:noWrap/>
            <w:vAlign w:val="center"/>
            <w:hideMark/>
          </w:tcPr>
          <w:p w14:paraId="0C4ACD69"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9.0</w:t>
            </w:r>
          </w:p>
        </w:tc>
        <w:tc>
          <w:tcPr>
            <w:tcW w:w="1235" w:type="dxa"/>
            <w:tcBorders>
              <w:top w:val="nil"/>
              <w:left w:val="nil"/>
              <w:bottom w:val="nil"/>
              <w:right w:val="nil"/>
            </w:tcBorders>
            <w:noWrap/>
            <w:vAlign w:val="center"/>
            <w:hideMark/>
          </w:tcPr>
          <w:p w14:paraId="2CB6FFA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5.8</w:t>
            </w:r>
          </w:p>
        </w:tc>
        <w:tc>
          <w:tcPr>
            <w:tcW w:w="1437" w:type="dxa"/>
            <w:tcBorders>
              <w:top w:val="nil"/>
              <w:left w:val="nil"/>
              <w:bottom w:val="nil"/>
              <w:right w:val="nil"/>
            </w:tcBorders>
            <w:noWrap/>
            <w:vAlign w:val="center"/>
            <w:hideMark/>
          </w:tcPr>
          <w:p w14:paraId="037965B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1.3</w:t>
            </w:r>
          </w:p>
        </w:tc>
        <w:tc>
          <w:tcPr>
            <w:tcW w:w="1417" w:type="dxa"/>
            <w:tcBorders>
              <w:top w:val="nil"/>
              <w:left w:val="nil"/>
              <w:bottom w:val="nil"/>
              <w:right w:val="nil"/>
            </w:tcBorders>
            <w:noWrap/>
            <w:vAlign w:val="center"/>
            <w:hideMark/>
          </w:tcPr>
          <w:p w14:paraId="6340912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3F0D2CF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16.1</w:t>
            </w:r>
          </w:p>
        </w:tc>
      </w:tr>
      <w:tr w:rsidR="00F369DF" w14:paraId="1A32FB1B" w14:textId="77777777" w:rsidTr="00BF139E">
        <w:trPr>
          <w:trHeight w:val="247"/>
        </w:trPr>
        <w:tc>
          <w:tcPr>
            <w:tcW w:w="1209" w:type="dxa"/>
            <w:tcBorders>
              <w:top w:val="nil"/>
              <w:left w:val="nil"/>
              <w:bottom w:val="nil"/>
              <w:right w:val="nil"/>
            </w:tcBorders>
            <w:noWrap/>
            <w:vAlign w:val="center"/>
            <w:hideMark/>
          </w:tcPr>
          <w:p w14:paraId="633A507B"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2037</w:t>
            </w:r>
          </w:p>
        </w:tc>
        <w:tc>
          <w:tcPr>
            <w:tcW w:w="1343" w:type="dxa"/>
            <w:tcBorders>
              <w:top w:val="nil"/>
              <w:left w:val="nil"/>
              <w:bottom w:val="nil"/>
              <w:right w:val="nil"/>
            </w:tcBorders>
            <w:noWrap/>
            <w:vAlign w:val="center"/>
            <w:hideMark/>
          </w:tcPr>
          <w:p w14:paraId="4F2E5F4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18.4</w:t>
            </w:r>
          </w:p>
        </w:tc>
        <w:tc>
          <w:tcPr>
            <w:tcW w:w="1439" w:type="dxa"/>
            <w:tcBorders>
              <w:top w:val="nil"/>
              <w:left w:val="nil"/>
              <w:bottom w:val="nil"/>
              <w:right w:val="nil"/>
            </w:tcBorders>
            <w:noWrap/>
            <w:vAlign w:val="center"/>
            <w:hideMark/>
          </w:tcPr>
          <w:p w14:paraId="410992B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8.7</w:t>
            </w:r>
          </w:p>
        </w:tc>
        <w:tc>
          <w:tcPr>
            <w:tcW w:w="1235" w:type="dxa"/>
            <w:tcBorders>
              <w:top w:val="nil"/>
              <w:left w:val="nil"/>
              <w:bottom w:val="nil"/>
              <w:right w:val="nil"/>
            </w:tcBorders>
            <w:noWrap/>
            <w:vAlign w:val="center"/>
            <w:hideMark/>
          </w:tcPr>
          <w:p w14:paraId="274E363F"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7E83D87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0.9</w:t>
            </w:r>
          </w:p>
        </w:tc>
        <w:tc>
          <w:tcPr>
            <w:tcW w:w="1417" w:type="dxa"/>
            <w:tcBorders>
              <w:top w:val="nil"/>
              <w:left w:val="nil"/>
              <w:bottom w:val="nil"/>
              <w:right w:val="nil"/>
            </w:tcBorders>
            <w:noWrap/>
            <w:vAlign w:val="center"/>
            <w:hideMark/>
          </w:tcPr>
          <w:p w14:paraId="2314354F"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594DD6B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28.1</w:t>
            </w:r>
          </w:p>
        </w:tc>
      </w:tr>
      <w:tr w:rsidR="00F369DF" w14:paraId="2DA542DD" w14:textId="77777777" w:rsidTr="00BF139E">
        <w:trPr>
          <w:trHeight w:val="247"/>
        </w:trPr>
        <w:tc>
          <w:tcPr>
            <w:tcW w:w="1209" w:type="dxa"/>
            <w:tcBorders>
              <w:top w:val="nil"/>
              <w:left w:val="nil"/>
              <w:bottom w:val="nil"/>
              <w:right w:val="nil"/>
            </w:tcBorders>
            <w:noWrap/>
            <w:vAlign w:val="center"/>
            <w:hideMark/>
          </w:tcPr>
          <w:p w14:paraId="30D7FF5F"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2038</w:t>
            </w:r>
          </w:p>
        </w:tc>
        <w:tc>
          <w:tcPr>
            <w:tcW w:w="1343" w:type="dxa"/>
            <w:tcBorders>
              <w:top w:val="nil"/>
              <w:left w:val="nil"/>
              <w:bottom w:val="nil"/>
              <w:right w:val="nil"/>
            </w:tcBorders>
            <w:noWrap/>
            <w:vAlign w:val="center"/>
            <w:hideMark/>
          </w:tcPr>
          <w:p w14:paraId="696C9AB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17.0</w:t>
            </w:r>
          </w:p>
        </w:tc>
        <w:tc>
          <w:tcPr>
            <w:tcW w:w="1439" w:type="dxa"/>
            <w:tcBorders>
              <w:top w:val="nil"/>
              <w:left w:val="nil"/>
              <w:bottom w:val="nil"/>
              <w:right w:val="nil"/>
            </w:tcBorders>
            <w:noWrap/>
            <w:vAlign w:val="center"/>
            <w:hideMark/>
          </w:tcPr>
          <w:p w14:paraId="0677D84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3EB0594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1.8</w:t>
            </w:r>
          </w:p>
        </w:tc>
        <w:tc>
          <w:tcPr>
            <w:tcW w:w="1437" w:type="dxa"/>
            <w:tcBorders>
              <w:top w:val="nil"/>
              <w:left w:val="nil"/>
              <w:bottom w:val="nil"/>
              <w:right w:val="nil"/>
            </w:tcBorders>
            <w:noWrap/>
            <w:vAlign w:val="center"/>
            <w:hideMark/>
          </w:tcPr>
          <w:p w14:paraId="0E5D076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0.3</w:t>
            </w:r>
          </w:p>
        </w:tc>
        <w:tc>
          <w:tcPr>
            <w:tcW w:w="1417" w:type="dxa"/>
            <w:tcBorders>
              <w:top w:val="nil"/>
              <w:left w:val="nil"/>
              <w:bottom w:val="nil"/>
              <w:right w:val="nil"/>
            </w:tcBorders>
            <w:noWrap/>
            <w:vAlign w:val="center"/>
            <w:hideMark/>
          </w:tcPr>
          <w:p w14:paraId="21F2C14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78ECC09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19.1</w:t>
            </w:r>
          </w:p>
        </w:tc>
      </w:tr>
      <w:tr w:rsidR="00F369DF" w14:paraId="61EAB655" w14:textId="77777777" w:rsidTr="00BF139E">
        <w:trPr>
          <w:trHeight w:val="247"/>
        </w:trPr>
        <w:tc>
          <w:tcPr>
            <w:tcW w:w="1209" w:type="dxa"/>
            <w:tcBorders>
              <w:top w:val="nil"/>
              <w:left w:val="nil"/>
              <w:bottom w:val="nil"/>
              <w:right w:val="nil"/>
            </w:tcBorders>
            <w:noWrap/>
            <w:vAlign w:val="center"/>
            <w:hideMark/>
          </w:tcPr>
          <w:p w14:paraId="3802E23D"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2039</w:t>
            </w:r>
          </w:p>
        </w:tc>
        <w:tc>
          <w:tcPr>
            <w:tcW w:w="1343" w:type="dxa"/>
            <w:tcBorders>
              <w:top w:val="nil"/>
              <w:left w:val="nil"/>
              <w:bottom w:val="nil"/>
              <w:right w:val="nil"/>
            </w:tcBorders>
            <w:noWrap/>
            <w:vAlign w:val="center"/>
            <w:hideMark/>
          </w:tcPr>
          <w:p w14:paraId="61AE22B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19.3</w:t>
            </w:r>
          </w:p>
        </w:tc>
        <w:tc>
          <w:tcPr>
            <w:tcW w:w="1439" w:type="dxa"/>
            <w:tcBorders>
              <w:top w:val="nil"/>
              <w:left w:val="nil"/>
              <w:bottom w:val="nil"/>
              <w:right w:val="nil"/>
            </w:tcBorders>
            <w:noWrap/>
            <w:vAlign w:val="center"/>
            <w:hideMark/>
          </w:tcPr>
          <w:p w14:paraId="7076972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10928B3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60F4809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0.1</w:t>
            </w:r>
          </w:p>
        </w:tc>
        <w:tc>
          <w:tcPr>
            <w:tcW w:w="1417" w:type="dxa"/>
            <w:tcBorders>
              <w:top w:val="nil"/>
              <w:left w:val="nil"/>
              <w:bottom w:val="nil"/>
              <w:right w:val="nil"/>
            </w:tcBorders>
            <w:noWrap/>
            <w:vAlign w:val="center"/>
            <w:hideMark/>
          </w:tcPr>
          <w:p w14:paraId="1EF6347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66478CA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19.4</w:t>
            </w:r>
          </w:p>
        </w:tc>
      </w:tr>
      <w:tr w:rsidR="00F369DF" w14:paraId="33D32395" w14:textId="77777777" w:rsidTr="00BF139E">
        <w:trPr>
          <w:trHeight w:val="247"/>
        </w:trPr>
        <w:tc>
          <w:tcPr>
            <w:tcW w:w="1209" w:type="dxa"/>
            <w:tcBorders>
              <w:top w:val="nil"/>
              <w:left w:val="nil"/>
              <w:bottom w:val="nil"/>
              <w:right w:val="nil"/>
            </w:tcBorders>
            <w:noWrap/>
            <w:vAlign w:val="center"/>
            <w:hideMark/>
          </w:tcPr>
          <w:p w14:paraId="0461BD6A"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2040</w:t>
            </w:r>
          </w:p>
        </w:tc>
        <w:tc>
          <w:tcPr>
            <w:tcW w:w="1343" w:type="dxa"/>
            <w:tcBorders>
              <w:top w:val="nil"/>
              <w:left w:val="nil"/>
              <w:bottom w:val="nil"/>
              <w:right w:val="nil"/>
            </w:tcBorders>
            <w:noWrap/>
            <w:vAlign w:val="center"/>
            <w:hideMark/>
          </w:tcPr>
          <w:p w14:paraId="34AC398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6.0</w:t>
            </w:r>
          </w:p>
        </w:tc>
        <w:tc>
          <w:tcPr>
            <w:tcW w:w="1439" w:type="dxa"/>
            <w:tcBorders>
              <w:top w:val="nil"/>
              <w:left w:val="nil"/>
              <w:bottom w:val="nil"/>
              <w:right w:val="nil"/>
            </w:tcBorders>
            <w:noWrap/>
            <w:vAlign w:val="center"/>
            <w:hideMark/>
          </w:tcPr>
          <w:p w14:paraId="4E2744A9"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7.0</w:t>
            </w:r>
          </w:p>
        </w:tc>
        <w:tc>
          <w:tcPr>
            <w:tcW w:w="1235" w:type="dxa"/>
            <w:tcBorders>
              <w:top w:val="nil"/>
              <w:left w:val="nil"/>
              <w:bottom w:val="nil"/>
              <w:right w:val="nil"/>
            </w:tcBorders>
            <w:noWrap/>
            <w:vAlign w:val="center"/>
            <w:hideMark/>
          </w:tcPr>
          <w:p w14:paraId="5381DAB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37B077B9"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0.5</w:t>
            </w:r>
          </w:p>
        </w:tc>
        <w:tc>
          <w:tcPr>
            <w:tcW w:w="1417" w:type="dxa"/>
            <w:tcBorders>
              <w:top w:val="nil"/>
              <w:left w:val="nil"/>
              <w:bottom w:val="nil"/>
              <w:right w:val="nil"/>
            </w:tcBorders>
            <w:noWrap/>
            <w:vAlign w:val="center"/>
            <w:hideMark/>
          </w:tcPr>
          <w:p w14:paraId="07EDB48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4532402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13.5</w:t>
            </w:r>
          </w:p>
        </w:tc>
      </w:tr>
      <w:tr w:rsidR="00F369DF" w14:paraId="0B7CA2AB" w14:textId="77777777" w:rsidTr="00BF139E">
        <w:trPr>
          <w:trHeight w:val="247"/>
        </w:trPr>
        <w:tc>
          <w:tcPr>
            <w:tcW w:w="1209" w:type="dxa"/>
            <w:tcBorders>
              <w:top w:val="nil"/>
              <w:left w:val="nil"/>
              <w:bottom w:val="nil"/>
              <w:right w:val="nil"/>
            </w:tcBorders>
            <w:noWrap/>
            <w:vAlign w:val="center"/>
            <w:hideMark/>
          </w:tcPr>
          <w:p w14:paraId="4608CCB1"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2041</w:t>
            </w:r>
          </w:p>
        </w:tc>
        <w:tc>
          <w:tcPr>
            <w:tcW w:w="1343" w:type="dxa"/>
            <w:tcBorders>
              <w:top w:val="nil"/>
              <w:left w:val="nil"/>
              <w:bottom w:val="nil"/>
              <w:right w:val="nil"/>
            </w:tcBorders>
            <w:noWrap/>
            <w:vAlign w:val="center"/>
            <w:hideMark/>
          </w:tcPr>
          <w:p w14:paraId="5AA179A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16.9</w:t>
            </w:r>
          </w:p>
        </w:tc>
        <w:tc>
          <w:tcPr>
            <w:tcW w:w="1439" w:type="dxa"/>
            <w:tcBorders>
              <w:top w:val="nil"/>
              <w:left w:val="nil"/>
              <w:bottom w:val="nil"/>
              <w:right w:val="nil"/>
            </w:tcBorders>
            <w:noWrap/>
            <w:vAlign w:val="center"/>
            <w:hideMark/>
          </w:tcPr>
          <w:p w14:paraId="7FC5670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530DF2BF"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5926719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32E160E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0B4FB26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16.9</w:t>
            </w:r>
          </w:p>
        </w:tc>
      </w:tr>
      <w:tr w:rsidR="00F369DF" w14:paraId="15B1D5BA" w14:textId="77777777" w:rsidTr="00BF139E">
        <w:trPr>
          <w:trHeight w:val="247"/>
        </w:trPr>
        <w:tc>
          <w:tcPr>
            <w:tcW w:w="1209" w:type="dxa"/>
            <w:tcBorders>
              <w:top w:val="nil"/>
              <w:left w:val="nil"/>
              <w:bottom w:val="nil"/>
              <w:right w:val="nil"/>
            </w:tcBorders>
            <w:noWrap/>
            <w:vAlign w:val="center"/>
            <w:hideMark/>
          </w:tcPr>
          <w:p w14:paraId="47792DE5"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2042</w:t>
            </w:r>
          </w:p>
        </w:tc>
        <w:tc>
          <w:tcPr>
            <w:tcW w:w="1343" w:type="dxa"/>
            <w:tcBorders>
              <w:top w:val="nil"/>
              <w:left w:val="nil"/>
              <w:bottom w:val="nil"/>
              <w:right w:val="nil"/>
            </w:tcBorders>
            <w:noWrap/>
            <w:vAlign w:val="center"/>
            <w:hideMark/>
          </w:tcPr>
          <w:p w14:paraId="0EE297B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13.3</w:t>
            </w:r>
          </w:p>
        </w:tc>
        <w:tc>
          <w:tcPr>
            <w:tcW w:w="1439" w:type="dxa"/>
            <w:tcBorders>
              <w:top w:val="nil"/>
              <w:left w:val="nil"/>
              <w:bottom w:val="nil"/>
              <w:right w:val="nil"/>
            </w:tcBorders>
            <w:noWrap/>
            <w:vAlign w:val="center"/>
            <w:hideMark/>
          </w:tcPr>
          <w:p w14:paraId="25E3F691"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3576E86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3.0</w:t>
            </w:r>
          </w:p>
        </w:tc>
        <w:tc>
          <w:tcPr>
            <w:tcW w:w="1437" w:type="dxa"/>
            <w:tcBorders>
              <w:top w:val="nil"/>
              <w:left w:val="nil"/>
              <w:bottom w:val="nil"/>
              <w:right w:val="nil"/>
            </w:tcBorders>
            <w:noWrap/>
            <w:vAlign w:val="center"/>
            <w:hideMark/>
          </w:tcPr>
          <w:p w14:paraId="2DBE751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2.0</w:t>
            </w:r>
          </w:p>
        </w:tc>
        <w:tc>
          <w:tcPr>
            <w:tcW w:w="1417" w:type="dxa"/>
            <w:tcBorders>
              <w:top w:val="nil"/>
              <w:left w:val="nil"/>
              <w:bottom w:val="nil"/>
              <w:right w:val="nil"/>
            </w:tcBorders>
            <w:noWrap/>
            <w:vAlign w:val="center"/>
            <w:hideMark/>
          </w:tcPr>
          <w:p w14:paraId="7E9E934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2484CCCF"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18.3</w:t>
            </w:r>
          </w:p>
        </w:tc>
      </w:tr>
      <w:tr w:rsidR="00F369DF" w14:paraId="568FEE44" w14:textId="77777777" w:rsidTr="00BF139E">
        <w:trPr>
          <w:trHeight w:val="247"/>
        </w:trPr>
        <w:tc>
          <w:tcPr>
            <w:tcW w:w="1209" w:type="dxa"/>
            <w:tcBorders>
              <w:top w:val="nil"/>
              <w:left w:val="nil"/>
              <w:bottom w:val="nil"/>
              <w:right w:val="nil"/>
            </w:tcBorders>
            <w:noWrap/>
            <w:vAlign w:val="center"/>
            <w:hideMark/>
          </w:tcPr>
          <w:p w14:paraId="626100B5"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2043</w:t>
            </w:r>
          </w:p>
        </w:tc>
        <w:tc>
          <w:tcPr>
            <w:tcW w:w="1343" w:type="dxa"/>
            <w:tcBorders>
              <w:top w:val="nil"/>
              <w:left w:val="nil"/>
              <w:bottom w:val="nil"/>
              <w:right w:val="nil"/>
            </w:tcBorders>
            <w:noWrap/>
            <w:vAlign w:val="center"/>
            <w:hideMark/>
          </w:tcPr>
          <w:p w14:paraId="3E650C2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12.0</w:t>
            </w:r>
          </w:p>
        </w:tc>
        <w:tc>
          <w:tcPr>
            <w:tcW w:w="1439" w:type="dxa"/>
            <w:tcBorders>
              <w:top w:val="nil"/>
              <w:left w:val="nil"/>
              <w:bottom w:val="nil"/>
              <w:right w:val="nil"/>
            </w:tcBorders>
            <w:noWrap/>
            <w:vAlign w:val="center"/>
            <w:hideMark/>
          </w:tcPr>
          <w:p w14:paraId="4590EDD1"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6400521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7B5A8DD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5C00DF4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28837799"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12.0</w:t>
            </w:r>
          </w:p>
        </w:tc>
      </w:tr>
      <w:tr w:rsidR="00F369DF" w14:paraId="3295F2BB" w14:textId="77777777" w:rsidTr="00BF139E">
        <w:trPr>
          <w:trHeight w:val="247"/>
        </w:trPr>
        <w:tc>
          <w:tcPr>
            <w:tcW w:w="1209" w:type="dxa"/>
            <w:tcBorders>
              <w:top w:val="nil"/>
              <w:left w:val="nil"/>
              <w:bottom w:val="nil"/>
              <w:right w:val="nil"/>
            </w:tcBorders>
            <w:noWrap/>
            <w:vAlign w:val="center"/>
            <w:hideMark/>
          </w:tcPr>
          <w:p w14:paraId="6AB47DB1"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2044</w:t>
            </w:r>
          </w:p>
        </w:tc>
        <w:tc>
          <w:tcPr>
            <w:tcW w:w="1343" w:type="dxa"/>
            <w:tcBorders>
              <w:top w:val="nil"/>
              <w:left w:val="nil"/>
              <w:bottom w:val="nil"/>
              <w:right w:val="nil"/>
            </w:tcBorders>
            <w:noWrap/>
            <w:vAlign w:val="center"/>
            <w:hideMark/>
          </w:tcPr>
          <w:p w14:paraId="2946EB1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14.4</w:t>
            </w:r>
          </w:p>
        </w:tc>
        <w:tc>
          <w:tcPr>
            <w:tcW w:w="1439" w:type="dxa"/>
            <w:tcBorders>
              <w:top w:val="nil"/>
              <w:left w:val="nil"/>
              <w:bottom w:val="nil"/>
              <w:right w:val="nil"/>
            </w:tcBorders>
            <w:noWrap/>
            <w:vAlign w:val="center"/>
            <w:hideMark/>
          </w:tcPr>
          <w:p w14:paraId="20B5612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695D6E9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4069352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1F291B3F"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0706FFF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14.4</w:t>
            </w:r>
          </w:p>
        </w:tc>
      </w:tr>
      <w:tr w:rsidR="00F369DF" w14:paraId="6CF63793" w14:textId="77777777" w:rsidTr="00BF139E">
        <w:trPr>
          <w:trHeight w:val="247"/>
        </w:trPr>
        <w:tc>
          <w:tcPr>
            <w:tcW w:w="1209" w:type="dxa"/>
            <w:tcBorders>
              <w:top w:val="nil"/>
              <w:left w:val="nil"/>
              <w:bottom w:val="nil"/>
              <w:right w:val="nil"/>
            </w:tcBorders>
            <w:noWrap/>
            <w:vAlign w:val="center"/>
            <w:hideMark/>
          </w:tcPr>
          <w:p w14:paraId="3D8DC786"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2045</w:t>
            </w:r>
          </w:p>
        </w:tc>
        <w:tc>
          <w:tcPr>
            <w:tcW w:w="1343" w:type="dxa"/>
            <w:tcBorders>
              <w:top w:val="nil"/>
              <w:left w:val="nil"/>
              <w:bottom w:val="nil"/>
              <w:right w:val="nil"/>
            </w:tcBorders>
            <w:noWrap/>
            <w:vAlign w:val="center"/>
            <w:hideMark/>
          </w:tcPr>
          <w:p w14:paraId="032C467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12.6</w:t>
            </w:r>
          </w:p>
        </w:tc>
        <w:tc>
          <w:tcPr>
            <w:tcW w:w="1439" w:type="dxa"/>
            <w:tcBorders>
              <w:top w:val="nil"/>
              <w:left w:val="nil"/>
              <w:bottom w:val="nil"/>
              <w:right w:val="nil"/>
            </w:tcBorders>
            <w:noWrap/>
            <w:vAlign w:val="center"/>
            <w:hideMark/>
          </w:tcPr>
          <w:p w14:paraId="5498BE9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02D5766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522B8D4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6BD7CA6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507D2B6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12.6</w:t>
            </w:r>
          </w:p>
        </w:tc>
      </w:tr>
      <w:tr w:rsidR="00F369DF" w14:paraId="5D00DB29" w14:textId="77777777" w:rsidTr="00BF139E">
        <w:trPr>
          <w:trHeight w:val="247"/>
        </w:trPr>
        <w:tc>
          <w:tcPr>
            <w:tcW w:w="1209" w:type="dxa"/>
            <w:tcBorders>
              <w:top w:val="nil"/>
              <w:left w:val="nil"/>
              <w:bottom w:val="nil"/>
              <w:right w:val="nil"/>
            </w:tcBorders>
            <w:noWrap/>
            <w:vAlign w:val="center"/>
            <w:hideMark/>
          </w:tcPr>
          <w:p w14:paraId="3CBEEE99"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2046</w:t>
            </w:r>
          </w:p>
        </w:tc>
        <w:tc>
          <w:tcPr>
            <w:tcW w:w="1343" w:type="dxa"/>
            <w:tcBorders>
              <w:top w:val="nil"/>
              <w:left w:val="nil"/>
              <w:bottom w:val="nil"/>
              <w:right w:val="nil"/>
            </w:tcBorders>
            <w:noWrap/>
            <w:vAlign w:val="center"/>
            <w:hideMark/>
          </w:tcPr>
          <w:p w14:paraId="03D4488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9" w:type="dxa"/>
            <w:tcBorders>
              <w:top w:val="nil"/>
              <w:left w:val="nil"/>
              <w:bottom w:val="nil"/>
              <w:right w:val="nil"/>
            </w:tcBorders>
            <w:noWrap/>
            <w:vAlign w:val="center"/>
            <w:hideMark/>
          </w:tcPr>
          <w:p w14:paraId="01EE96C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5.0</w:t>
            </w:r>
          </w:p>
        </w:tc>
        <w:tc>
          <w:tcPr>
            <w:tcW w:w="1235" w:type="dxa"/>
            <w:tcBorders>
              <w:top w:val="nil"/>
              <w:left w:val="nil"/>
              <w:bottom w:val="nil"/>
              <w:right w:val="nil"/>
            </w:tcBorders>
            <w:noWrap/>
            <w:vAlign w:val="center"/>
            <w:hideMark/>
          </w:tcPr>
          <w:p w14:paraId="391ABA7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51712CB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7DCD817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4FED487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5.0</w:t>
            </w:r>
          </w:p>
        </w:tc>
      </w:tr>
      <w:tr w:rsidR="00F369DF" w14:paraId="78EA5297" w14:textId="77777777" w:rsidTr="00BF139E">
        <w:trPr>
          <w:trHeight w:val="247"/>
        </w:trPr>
        <w:tc>
          <w:tcPr>
            <w:tcW w:w="1209" w:type="dxa"/>
            <w:tcBorders>
              <w:top w:val="nil"/>
              <w:left w:val="nil"/>
              <w:bottom w:val="nil"/>
              <w:right w:val="nil"/>
            </w:tcBorders>
            <w:noWrap/>
            <w:vAlign w:val="center"/>
            <w:hideMark/>
          </w:tcPr>
          <w:p w14:paraId="04E49202"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2047</w:t>
            </w:r>
          </w:p>
        </w:tc>
        <w:tc>
          <w:tcPr>
            <w:tcW w:w="1343" w:type="dxa"/>
            <w:tcBorders>
              <w:top w:val="nil"/>
              <w:left w:val="nil"/>
              <w:bottom w:val="nil"/>
              <w:right w:val="nil"/>
            </w:tcBorders>
            <w:noWrap/>
            <w:vAlign w:val="center"/>
            <w:hideMark/>
          </w:tcPr>
          <w:p w14:paraId="4FC20F99"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9" w:type="dxa"/>
            <w:tcBorders>
              <w:top w:val="nil"/>
              <w:left w:val="nil"/>
              <w:bottom w:val="nil"/>
              <w:right w:val="nil"/>
            </w:tcBorders>
            <w:noWrap/>
            <w:vAlign w:val="center"/>
            <w:hideMark/>
          </w:tcPr>
          <w:p w14:paraId="62DD354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6.0</w:t>
            </w:r>
          </w:p>
        </w:tc>
        <w:tc>
          <w:tcPr>
            <w:tcW w:w="1235" w:type="dxa"/>
            <w:tcBorders>
              <w:top w:val="nil"/>
              <w:left w:val="nil"/>
              <w:bottom w:val="nil"/>
              <w:right w:val="nil"/>
            </w:tcBorders>
            <w:noWrap/>
            <w:vAlign w:val="center"/>
            <w:hideMark/>
          </w:tcPr>
          <w:p w14:paraId="5B50BBD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43429D3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6D9621B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33986869"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6.0</w:t>
            </w:r>
          </w:p>
        </w:tc>
      </w:tr>
      <w:tr w:rsidR="00F369DF" w14:paraId="68598EF2" w14:textId="77777777" w:rsidTr="00BF139E">
        <w:trPr>
          <w:trHeight w:val="247"/>
        </w:trPr>
        <w:tc>
          <w:tcPr>
            <w:tcW w:w="1209" w:type="dxa"/>
            <w:tcBorders>
              <w:top w:val="nil"/>
              <w:left w:val="nil"/>
              <w:bottom w:val="nil"/>
              <w:right w:val="nil"/>
            </w:tcBorders>
            <w:noWrap/>
            <w:vAlign w:val="center"/>
            <w:hideMark/>
          </w:tcPr>
          <w:p w14:paraId="506F71E0"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2048</w:t>
            </w:r>
          </w:p>
        </w:tc>
        <w:tc>
          <w:tcPr>
            <w:tcW w:w="1343" w:type="dxa"/>
            <w:tcBorders>
              <w:top w:val="nil"/>
              <w:left w:val="nil"/>
              <w:bottom w:val="nil"/>
              <w:right w:val="nil"/>
            </w:tcBorders>
            <w:noWrap/>
            <w:vAlign w:val="center"/>
            <w:hideMark/>
          </w:tcPr>
          <w:p w14:paraId="5E70848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15.3</w:t>
            </w:r>
          </w:p>
        </w:tc>
        <w:tc>
          <w:tcPr>
            <w:tcW w:w="1439" w:type="dxa"/>
            <w:tcBorders>
              <w:top w:val="nil"/>
              <w:left w:val="nil"/>
              <w:bottom w:val="nil"/>
              <w:right w:val="nil"/>
            </w:tcBorders>
            <w:noWrap/>
            <w:vAlign w:val="center"/>
            <w:hideMark/>
          </w:tcPr>
          <w:p w14:paraId="1D98127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6E08612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5282EDE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03EE8D1F"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71A8809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15.3</w:t>
            </w:r>
          </w:p>
        </w:tc>
      </w:tr>
      <w:tr w:rsidR="00F369DF" w14:paraId="21467A18" w14:textId="77777777" w:rsidTr="00BF139E">
        <w:trPr>
          <w:trHeight w:val="247"/>
        </w:trPr>
        <w:tc>
          <w:tcPr>
            <w:tcW w:w="1209" w:type="dxa"/>
            <w:tcBorders>
              <w:top w:val="nil"/>
              <w:left w:val="nil"/>
              <w:bottom w:val="nil"/>
              <w:right w:val="nil"/>
            </w:tcBorders>
            <w:noWrap/>
            <w:vAlign w:val="center"/>
            <w:hideMark/>
          </w:tcPr>
          <w:p w14:paraId="4ECDCA61"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2049</w:t>
            </w:r>
          </w:p>
        </w:tc>
        <w:tc>
          <w:tcPr>
            <w:tcW w:w="1343" w:type="dxa"/>
            <w:tcBorders>
              <w:top w:val="nil"/>
              <w:left w:val="nil"/>
              <w:bottom w:val="nil"/>
              <w:right w:val="nil"/>
            </w:tcBorders>
            <w:noWrap/>
            <w:vAlign w:val="center"/>
            <w:hideMark/>
          </w:tcPr>
          <w:p w14:paraId="47D9DDB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9" w:type="dxa"/>
            <w:tcBorders>
              <w:top w:val="nil"/>
              <w:left w:val="nil"/>
              <w:bottom w:val="nil"/>
              <w:right w:val="nil"/>
            </w:tcBorders>
            <w:noWrap/>
            <w:vAlign w:val="center"/>
            <w:hideMark/>
          </w:tcPr>
          <w:p w14:paraId="0C1C176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2CBA239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7BF4C7B3"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789E086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61B614B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r>
      <w:tr w:rsidR="00F369DF" w14:paraId="15366B0D" w14:textId="77777777" w:rsidTr="00BF139E">
        <w:trPr>
          <w:trHeight w:val="247"/>
        </w:trPr>
        <w:tc>
          <w:tcPr>
            <w:tcW w:w="1209" w:type="dxa"/>
            <w:tcBorders>
              <w:top w:val="nil"/>
              <w:left w:val="nil"/>
              <w:bottom w:val="nil"/>
              <w:right w:val="nil"/>
            </w:tcBorders>
            <w:noWrap/>
            <w:vAlign w:val="center"/>
            <w:hideMark/>
          </w:tcPr>
          <w:p w14:paraId="27C69F9F"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2050</w:t>
            </w:r>
          </w:p>
        </w:tc>
        <w:tc>
          <w:tcPr>
            <w:tcW w:w="1343" w:type="dxa"/>
            <w:tcBorders>
              <w:top w:val="nil"/>
              <w:left w:val="nil"/>
              <w:bottom w:val="nil"/>
              <w:right w:val="nil"/>
            </w:tcBorders>
            <w:noWrap/>
            <w:vAlign w:val="center"/>
            <w:hideMark/>
          </w:tcPr>
          <w:p w14:paraId="09E6536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17.0</w:t>
            </w:r>
          </w:p>
        </w:tc>
        <w:tc>
          <w:tcPr>
            <w:tcW w:w="1439" w:type="dxa"/>
            <w:tcBorders>
              <w:top w:val="nil"/>
              <w:left w:val="nil"/>
              <w:bottom w:val="nil"/>
              <w:right w:val="nil"/>
            </w:tcBorders>
            <w:noWrap/>
            <w:vAlign w:val="center"/>
            <w:hideMark/>
          </w:tcPr>
          <w:p w14:paraId="6419880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10.0</w:t>
            </w:r>
          </w:p>
        </w:tc>
        <w:tc>
          <w:tcPr>
            <w:tcW w:w="1235" w:type="dxa"/>
            <w:tcBorders>
              <w:top w:val="nil"/>
              <w:left w:val="nil"/>
              <w:bottom w:val="nil"/>
              <w:right w:val="nil"/>
            </w:tcBorders>
            <w:noWrap/>
            <w:vAlign w:val="center"/>
            <w:hideMark/>
          </w:tcPr>
          <w:p w14:paraId="4285566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10518F88"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23FC188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19455E11"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27.0</w:t>
            </w:r>
          </w:p>
        </w:tc>
      </w:tr>
      <w:tr w:rsidR="00F369DF" w14:paraId="15353BE6" w14:textId="77777777" w:rsidTr="00BF139E">
        <w:trPr>
          <w:trHeight w:val="247"/>
        </w:trPr>
        <w:tc>
          <w:tcPr>
            <w:tcW w:w="1209" w:type="dxa"/>
            <w:tcBorders>
              <w:top w:val="nil"/>
              <w:left w:val="nil"/>
              <w:bottom w:val="nil"/>
              <w:right w:val="nil"/>
            </w:tcBorders>
            <w:noWrap/>
            <w:vAlign w:val="center"/>
            <w:hideMark/>
          </w:tcPr>
          <w:p w14:paraId="63B58007"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2051</w:t>
            </w:r>
          </w:p>
        </w:tc>
        <w:tc>
          <w:tcPr>
            <w:tcW w:w="1343" w:type="dxa"/>
            <w:tcBorders>
              <w:top w:val="nil"/>
              <w:left w:val="nil"/>
              <w:bottom w:val="nil"/>
              <w:right w:val="nil"/>
            </w:tcBorders>
            <w:noWrap/>
            <w:vAlign w:val="center"/>
            <w:hideMark/>
          </w:tcPr>
          <w:p w14:paraId="44FD701F"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15.4</w:t>
            </w:r>
          </w:p>
        </w:tc>
        <w:tc>
          <w:tcPr>
            <w:tcW w:w="1439" w:type="dxa"/>
            <w:tcBorders>
              <w:top w:val="nil"/>
              <w:left w:val="nil"/>
              <w:bottom w:val="nil"/>
              <w:right w:val="nil"/>
            </w:tcBorders>
            <w:noWrap/>
            <w:vAlign w:val="center"/>
            <w:hideMark/>
          </w:tcPr>
          <w:p w14:paraId="49C33E7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62400F9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4EA385E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7253B0A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0FADAF9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15.4</w:t>
            </w:r>
          </w:p>
        </w:tc>
      </w:tr>
      <w:tr w:rsidR="00F369DF" w14:paraId="15F4FB62" w14:textId="77777777" w:rsidTr="00BF139E">
        <w:trPr>
          <w:trHeight w:val="247"/>
        </w:trPr>
        <w:tc>
          <w:tcPr>
            <w:tcW w:w="1209" w:type="dxa"/>
            <w:tcBorders>
              <w:top w:val="nil"/>
              <w:left w:val="nil"/>
              <w:bottom w:val="nil"/>
              <w:right w:val="nil"/>
            </w:tcBorders>
            <w:noWrap/>
            <w:vAlign w:val="center"/>
            <w:hideMark/>
          </w:tcPr>
          <w:p w14:paraId="3647A173"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2052</w:t>
            </w:r>
          </w:p>
        </w:tc>
        <w:tc>
          <w:tcPr>
            <w:tcW w:w="1343" w:type="dxa"/>
            <w:tcBorders>
              <w:top w:val="nil"/>
              <w:left w:val="nil"/>
              <w:bottom w:val="nil"/>
              <w:right w:val="nil"/>
            </w:tcBorders>
            <w:noWrap/>
            <w:vAlign w:val="center"/>
            <w:hideMark/>
          </w:tcPr>
          <w:p w14:paraId="750989C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13.9</w:t>
            </w:r>
          </w:p>
        </w:tc>
        <w:tc>
          <w:tcPr>
            <w:tcW w:w="1439" w:type="dxa"/>
            <w:tcBorders>
              <w:top w:val="nil"/>
              <w:left w:val="nil"/>
              <w:bottom w:val="nil"/>
              <w:right w:val="nil"/>
            </w:tcBorders>
            <w:noWrap/>
            <w:vAlign w:val="center"/>
            <w:hideMark/>
          </w:tcPr>
          <w:p w14:paraId="09F7585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710481D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54F590C2"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0.5</w:t>
            </w:r>
          </w:p>
        </w:tc>
        <w:tc>
          <w:tcPr>
            <w:tcW w:w="1417" w:type="dxa"/>
            <w:tcBorders>
              <w:top w:val="nil"/>
              <w:left w:val="nil"/>
              <w:bottom w:val="nil"/>
              <w:right w:val="nil"/>
            </w:tcBorders>
            <w:noWrap/>
            <w:vAlign w:val="center"/>
            <w:hideMark/>
          </w:tcPr>
          <w:p w14:paraId="6BBF4E4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252BA210"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14.4</w:t>
            </w:r>
          </w:p>
        </w:tc>
      </w:tr>
      <w:tr w:rsidR="00F369DF" w14:paraId="04AF6B0A" w14:textId="77777777" w:rsidTr="00BF139E">
        <w:trPr>
          <w:trHeight w:val="247"/>
        </w:trPr>
        <w:tc>
          <w:tcPr>
            <w:tcW w:w="1209" w:type="dxa"/>
            <w:tcBorders>
              <w:top w:val="nil"/>
              <w:left w:val="nil"/>
              <w:bottom w:val="nil"/>
              <w:right w:val="nil"/>
            </w:tcBorders>
            <w:noWrap/>
            <w:vAlign w:val="center"/>
            <w:hideMark/>
          </w:tcPr>
          <w:p w14:paraId="725CA196"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2053</w:t>
            </w:r>
          </w:p>
        </w:tc>
        <w:tc>
          <w:tcPr>
            <w:tcW w:w="1343" w:type="dxa"/>
            <w:tcBorders>
              <w:top w:val="nil"/>
              <w:left w:val="nil"/>
              <w:bottom w:val="nil"/>
              <w:right w:val="nil"/>
            </w:tcBorders>
            <w:noWrap/>
            <w:vAlign w:val="center"/>
            <w:hideMark/>
          </w:tcPr>
          <w:p w14:paraId="66AFE02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15.3</w:t>
            </w:r>
          </w:p>
        </w:tc>
        <w:tc>
          <w:tcPr>
            <w:tcW w:w="1439" w:type="dxa"/>
            <w:tcBorders>
              <w:top w:val="nil"/>
              <w:left w:val="nil"/>
              <w:bottom w:val="nil"/>
              <w:right w:val="nil"/>
            </w:tcBorders>
            <w:noWrap/>
            <w:vAlign w:val="center"/>
            <w:hideMark/>
          </w:tcPr>
          <w:p w14:paraId="0437A20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654F6FD5"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33822C4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2.5</w:t>
            </w:r>
          </w:p>
        </w:tc>
        <w:tc>
          <w:tcPr>
            <w:tcW w:w="1417" w:type="dxa"/>
            <w:tcBorders>
              <w:top w:val="nil"/>
              <w:left w:val="nil"/>
              <w:bottom w:val="nil"/>
              <w:right w:val="nil"/>
            </w:tcBorders>
            <w:noWrap/>
            <w:vAlign w:val="center"/>
            <w:hideMark/>
          </w:tcPr>
          <w:p w14:paraId="23EA4B5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6E59C38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17.8</w:t>
            </w:r>
          </w:p>
        </w:tc>
      </w:tr>
      <w:tr w:rsidR="00F369DF" w14:paraId="56751C79" w14:textId="77777777" w:rsidTr="00BF139E">
        <w:trPr>
          <w:trHeight w:val="247"/>
        </w:trPr>
        <w:tc>
          <w:tcPr>
            <w:tcW w:w="1209" w:type="dxa"/>
            <w:tcBorders>
              <w:top w:val="nil"/>
              <w:left w:val="nil"/>
              <w:bottom w:val="nil"/>
              <w:right w:val="nil"/>
            </w:tcBorders>
            <w:noWrap/>
            <w:vAlign w:val="center"/>
            <w:hideMark/>
          </w:tcPr>
          <w:p w14:paraId="58AA134E"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2054</w:t>
            </w:r>
          </w:p>
        </w:tc>
        <w:tc>
          <w:tcPr>
            <w:tcW w:w="1343" w:type="dxa"/>
            <w:tcBorders>
              <w:top w:val="nil"/>
              <w:left w:val="nil"/>
              <w:bottom w:val="nil"/>
              <w:right w:val="nil"/>
            </w:tcBorders>
            <w:noWrap/>
            <w:vAlign w:val="center"/>
            <w:hideMark/>
          </w:tcPr>
          <w:p w14:paraId="0FB38BC7"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17.3</w:t>
            </w:r>
          </w:p>
        </w:tc>
        <w:tc>
          <w:tcPr>
            <w:tcW w:w="1439" w:type="dxa"/>
            <w:tcBorders>
              <w:top w:val="nil"/>
              <w:left w:val="nil"/>
              <w:bottom w:val="nil"/>
              <w:right w:val="nil"/>
            </w:tcBorders>
            <w:noWrap/>
            <w:vAlign w:val="center"/>
            <w:hideMark/>
          </w:tcPr>
          <w:p w14:paraId="76060F1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617E796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4C03D176"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4987776E"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6CFD8F73"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17.3</w:t>
            </w:r>
          </w:p>
        </w:tc>
      </w:tr>
      <w:tr w:rsidR="00F369DF" w14:paraId="6602604A" w14:textId="77777777" w:rsidTr="00BF139E">
        <w:trPr>
          <w:trHeight w:val="247"/>
        </w:trPr>
        <w:tc>
          <w:tcPr>
            <w:tcW w:w="1209" w:type="dxa"/>
            <w:tcBorders>
              <w:top w:val="nil"/>
              <w:left w:val="nil"/>
              <w:bottom w:val="nil"/>
              <w:right w:val="nil"/>
            </w:tcBorders>
            <w:noWrap/>
            <w:vAlign w:val="center"/>
            <w:hideMark/>
          </w:tcPr>
          <w:p w14:paraId="65D224CC" w14:textId="77777777" w:rsidR="00F369DF" w:rsidRPr="00D07134" w:rsidRDefault="00F369DF">
            <w:pPr>
              <w:jc w:val="center"/>
              <w:rPr>
                <w:rFonts w:ascii="Verdana" w:hAnsi="Verdana" w:cs="Calibri"/>
                <w:noProof/>
                <w:sz w:val="18"/>
                <w:szCs w:val="18"/>
              </w:rPr>
            </w:pPr>
            <w:r w:rsidRPr="00D07134">
              <w:rPr>
                <w:rFonts w:ascii="Verdana" w:hAnsi="Verdana" w:cs="Calibri"/>
                <w:noProof/>
                <w:sz w:val="18"/>
                <w:szCs w:val="18"/>
              </w:rPr>
              <w:t>2055</w:t>
            </w:r>
          </w:p>
        </w:tc>
        <w:tc>
          <w:tcPr>
            <w:tcW w:w="1343" w:type="dxa"/>
            <w:tcBorders>
              <w:top w:val="nil"/>
              <w:left w:val="nil"/>
              <w:bottom w:val="nil"/>
              <w:right w:val="nil"/>
            </w:tcBorders>
            <w:noWrap/>
            <w:vAlign w:val="center"/>
            <w:hideMark/>
          </w:tcPr>
          <w:p w14:paraId="49DA93F4"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6.0</w:t>
            </w:r>
          </w:p>
        </w:tc>
        <w:tc>
          <w:tcPr>
            <w:tcW w:w="1439" w:type="dxa"/>
            <w:tcBorders>
              <w:top w:val="nil"/>
              <w:left w:val="nil"/>
              <w:bottom w:val="nil"/>
              <w:right w:val="nil"/>
            </w:tcBorders>
            <w:noWrap/>
            <w:vAlign w:val="center"/>
            <w:hideMark/>
          </w:tcPr>
          <w:p w14:paraId="616ADC6B"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235" w:type="dxa"/>
            <w:tcBorders>
              <w:top w:val="nil"/>
              <w:left w:val="nil"/>
              <w:bottom w:val="nil"/>
              <w:right w:val="nil"/>
            </w:tcBorders>
            <w:noWrap/>
            <w:vAlign w:val="center"/>
            <w:hideMark/>
          </w:tcPr>
          <w:p w14:paraId="5B96DA79"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37" w:type="dxa"/>
            <w:tcBorders>
              <w:top w:val="nil"/>
              <w:left w:val="nil"/>
              <w:bottom w:val="nil"/>
              <w:right w:val="nil"/>
            </w:tcBorders>
            <w:noWrap/>
            <w:vAlign w:val="center"/>
            <w:hideMark/>
          </w:tcPr>
          <w:p w14:paraId="4548397C"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417" w:type="dxa"/>
            <w:tcBorders>
              <w:top w:val="nil"/>
              <w:left w:val="nil"/>
              <w:bottom w:val="nil"/>
              <w:right w:val="nil"/>
            </w:tcBorders>
            <w:noWrap/>
            <w:vAlign w:val="center"/>
            <w:hideMark/>
          </w:tcPr>
          <w:p w14:paraId="7ED2289A"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0.0</w:t>
            </w:r>
          </w:p>
        </w:tc>
        <w:tc>
          <w:tcPr>
            <w:tcW w:w="1559" w:type="dxa"/>
            <w:tcBorders>
              <w:top w:val="nil"/>
              <w:left w:val="nil"/>
              <w:bottom w:val="nil"/>
              <w:right w:val="nil"/>
            </w:tcBorders>
            <w:noWrap/>
            <w:vAlign w:val="center"/>
            <w:hideMark/>
          </w:tcPr>
          <w:p w14:paraId="5F6CA4FD" w14:textId="77777777" w:rsidR="00F369DF" w:rsidRPr="00D07134" w:rsidRDefault="00F369DF">
            <w:pPr>
              <w:jc w:val="right"/>
              <w:rPr>
                <w:rFonts w:ascii="Verdana" w:hAnsi="Verdana" w:cs="Calibri"/>
                <w:noProof/>
                <w:sz w:val="18"/>
                <w:szCs w:val="18"/>
              </w:rPr>
            </w:pPr>
            <w:r w:rsidRPr="00D07134">
              <w:rPr>
                <w:rFonts w:ascii="Verdana" w:hAnsi="Verdana" w:cs="Calibri"/>
                <w:noProof/>
                <w:sz w:val="18"/>
                <w:szCs w:val="18"/>
              </w:rPr>
              <w:t>6.0</w:t>
            </w:r>
          </w:p>
        </w:tc>
      </w:tr>
      <w:tr w:rsidR="00F369DF" w14:paraId="3B3A4811" w14:textId="77777777" w:rsidTr="00BF139E">
        <w:trPr>
          <w:trHeight w:val="247"/>
        </w:trPr>
        <w:tc>
          <w:tcPr>
            <w:tcW w:w="1209" w:type="dxa"/>
            <w:tcBorders>
              <w:top w:val="single" w:sz="4" w:space="0" w:color="auto"/>
              <w:left w:val="nil"/>
              <w:bottom w:val="single" w:sz="4" w:space="0" w:color="auto"/>
              <w:right w:val="nil"/>
            </w:tcBorders>
            <w:noWrap/>
            <w:vAlign w:val="center"/>
            <w:hideMark/>
          </w:tcPr>
          <w:p w14:paraId="0434E3AF" w14:textId="77777777" w:rsidR="00F369DF" w:rsidRPr="00D07134" w:rsidRDefault="00F369DF">
            <w:pPr>
              <w:jc w:val="center"/>
              <w:rPr>
                <w:rFonts w:ascii="Verdana" w:hAnsi="Verdana" w:cs="Calibri"/>
                <w:b/>
                <w:bCs/>
                <w:noProof/>
                <w:color w:val="000000"/>
                <w:sz w:val="18"/>
                <w:szCs w:val="18"/>
              </w:rPr>
            </w:pPr>
            <w:r w:rsidRPr="00D07134">
              <w:rPr>
                <w:rFonts w:ascii="Verdana" w:hAnsi="Verdana" w:cs="Calibri"/>
                <w:b/>
                <w:bCs/>
                <w:noProof/>
                <w:color w:val="000000"/>
                <w:sz w:val="18"/>
                <w:szCs w:val="18"/>
              </w:rPr>
              <w:t>Total</w:t>
            </w:r>
          </w:p>
        </w:tc>
        <w:tc>
          <w:tcPr>
            <w:tcW w:w="1343" w:type="dxa"/>
            <w:tcBorders>
              <w:top w:val="single" w:sz="4" w:space="0" w:color="auto"/>
              <w:left w:val="nil"/>
              <w:bottom w:val="single" w:sz="4" w:space="0" w:color="auto"/>
              <w:right w:val="nil"/>
            </w:tcBorders>
            <w:noWrap/>
            <w:vAlign w:val="center"/>
            <w:hideMark/>
          </w:tcPr>
          <w:p w14:paraId="7C0F5A28" w14:textId="77777777" w:rsidR="00F369DF" w:rsidRPr="00D07134" w:rsidRDefault="00F369DF">
            <w:pPr>
              <w:jc w:val="right"/>
              <w:rPr>
                <w:rFonts w:ascii="Verdana" w:hAnsi="Verdana" w:cs="Calibri"/>
                <w:b/>
                <w:bCs/>
                <w:noProof/>
                <w:color w:val="000000"/>
                <w:sz w:val="18"/>
                <w:szCs w:val="18"/>
              </w:rPr>
            </w:pPr>
            <w:r w:rsidRPr="00D07134">
              <w:rPr>
                <w:rFonts w:ascii="Verdana" w:hAnsi="Verdana" w:cs="Calibri"/>
                <w:b/>
                <w:bCs/>
                <w:noProof/>
                <w:color w:val="000000"/>
                <w:sz w:val="18"/>
                <w:szCs w:val="18"/>
              </w:rPr>
              <w:t>596.5</w:t>
            </w:r>
          </w:p>
        </w:tc>
        <w:tc>
          <w:tcPr>
            <w:tcW w:w="1439" w:type="dxa"/>
            <w:tcBorders>
              <w:top w:val="single" w:sz="4" w:space="0" w:color="auto"/>
              <w:left w:val="nil"/>
              <w:bottom w:val="single" w:sz="4" w:space="0" w:color="auto"/>
              <w:right w:val="nil"/>
            </w:tcBorders>
            <w:noWrap/>
            <w:vAlign w:val="center"/>
            <w:hideMark/>
          </w:tcPr>
          <w:p w14:paraId="7402A976" w14:textId="77777777" w:rsidR="00F369DF" w:rsidRPr="00D07134" w:rsidRDefault="00F369DF">
            <w:pPr>
              <w:jc w:val="right"/>
              <w:rPr>
                <w:rFonts w:ascii="Verdana" w:hAnsi="Verdana" w:cs="Calibri"/>
                <w:b/>
                <w:bCs/>
                <w:noProof/>
                <w:color w:val="000000"/>
                <w:sz w:val="18"/>
                <w:szCs w:val="18"/>
              </w:rPr>
            </w:pPr>
            <w:r w:rsidRPr="00D07134">
              <w:rPr>
                <w:rFonts w:ascii="Verdana" w:hAnsi="Verdana" w:cs="Calibri"/>
                <w:b/>
                <w:bCs/>
                <w:noProof/>
                <w:color w:val="000000"/>
                <w:sz w:val="18"/>
                <w:szCs w:val="18"/>
              </w:rPr>
              <w:t>90.4</w:t>
            </w:r>
          </w:p>
        </w:tc>
        <w:tc>
          <w:tcPr>
            <w:tcW w:w="1235" w:type="dxa"/>
            <w:tcBorders>
              <w:top w:val="single" w:sz="4" w:space="0" w:color="auto"/>
              <w:left w:val="nil"/>
              <w:bottom w:val="single" w:sz="4" w:space="0" w:color="auto"/>
              <w:right w:val="nil"/>
            </w:tcBorders>
            <w:noWrap/>
            <w:vAlign w:val="center"/>
            <w:hideMark/>
          </w:tcPr>
          <w:p w14:paraId="252C1AAA" w14:textId="77777777" w:rsidR="00F369DF" w:rsidRPr="00D07134" w:rsidRDefault="00F369DF">
            <w:pPr>
              <w:jc w:val="right"/>
              <w:rPr>
                <w:rFonts w:ascii="Verdana" w:hAnsi="Verdana" w:cs="Calibri"/>
                <w:b/>
                <w:bCs/>
                <w:noProof/>
                <w:color w:val="000000"/>
                <w:sz w:val="18"/>
                <w:szCs w:val="18"/>
              </w:rPr>
            </w:pPr>
            <w:r w:rsidRPr="00D07134">
              <w:rPr>
                <w:rFonts w:ascii="Verdana" w:hAnsi="Verdana" w:cs="Calibri"/>
                <w:b/>
                <w:bCs/>
                <w:noProof/>
                <w:color w:val="000000"/>
                <w:sz w:val="18"/>
                <w:szCs w:val="18"/>
              </w:rPr>
              <w:t>37.1</w:t>
            </w:r>
          </w:p>
        </w:tc>
        <w:tc>
          <w:tcPr>
            <w:tcW w:w="1437" w:type="dxa"/>
            <w:tcBorders>
              <w:top w:val="single" w:sz="4" w:space="0" w:color="auto"/>
              <w:left w:val="nil"/>
              <w:bottom w:val="single" w:sz="4" w:space="0" w:color="auto"/>
              <w:right w:val="nil"/>
            </w:tcBorders>
            <w:noWrap/>
            <w:vAlign w:val="center"/>
            <w:hideMark/>
          </w:tcPr>
          <w:p w14:paraId="2807BCE8" w14:textId="77777777" w:rsidR="00F369DF" w:rsidRPr="00D07134" w:rsidRDefault="00F369DF">
            <w:pPr>
              <w:jc w:val="right"/>
              <w:rPr>
                <w:rFonts w:ascii="Verdana" w:hAnsi="Verdana" w:cs="Calibri"/>
                <w:b/>
                <w:bCs/>
                <w:noProof/>
                <w:color w:val="000000"/>
                <w:sz w:val="18"/>
                <w:szCs w:val="18"/>
              </w:rPr>
            </w:pPr>
            <w:r w:rsidRPr="00D07134">
              <w:rPr>
                <w:rFonts w:ascii="Verdana" w:hAnsi="Verdana" w:cs="Calibri"/>
                <w:b/>
                <w:bCs/>
                <w:noProof/>
                <w:color w:val="000000"/>
                <w:sz w:val="18"/>
                <w:szCs w:val="18"/>
              </w:rPr>
              <w:t>14.7</w:t>
            </w:r>
          </w:p>
        </w:tc>
        <w:tc>
          <w:tcPr>
            <w:tcW w:w="1417" w:type="dxa"/>
            <w:tcBorders>
              <w:top w:val="single" w:sz="4" w:space="0" w:color="auto"/>
              <w:left w:val="nil"/>
              <w:bottom w:val="single" w:sz="4" w:space="0" w:color="auto"/>
              <w:right w:val="nil"/>
            </w:tcBorders>
            <w:noWrap/>
            <w:vAlign w:val="center"/>
            <w:hideMark/>
          </w:tcPr>
          <w:p w14:paraId="4BE6DF41" w14:textId="77777777" w:rsidR="00F369DF" w:rsidRPr="00D07134" w:rsidRDefault="00F369DF">
            <w:pPr>
              <w:jc w:val="right"/>
              <w:rPr>
                <w:rFonts w:ascii="Verdana" w:hAnsi="Verdana" w:cs="Calibri"/>
                <w:b/>
                <w:bCs/>
                <w:noProof/>
                <w:color w:val="000000"/>
                <w:sz w:val="18"/>
                <w:szCs w:val="18"/>
              </w:rPr>
            </w:pPr>
            <w:r w:rsidRPr="00D07134">
              <w:rPr>
                <w:rFonts w:ascii="Verdana" w:hAnsi="Verdana" w:cs="Calibri"/>
                <w:b/>
                <w:bCs/>
                <w:noProof/>
                <w:color w:val="000000"/>
                <w:sz w:val="18"/>
                <w:szCs w:val="18"/>
              </w:rPr>
              <w:t>0.3</w:t>
            </w:r>
          </w:p>
        </w:tc>
        <w:tc>
          <w:tcPr>
            <w:tcW w:w="1559" w:type="dxa"/>
            <w:tcBorders>
              <w:top w:val="single" w:sz="4" w:space="0" w:color="auto"/>
              <w:left w:val="nil"/>
              <w:bottom w:val="single" w:sz="4" w:space="0" w:color="auto"/>
              <w:right w:val="nil"/>
            </w:tcBorders>
            <w:noWrap/>
            <w:vAlign w:val="center"/>
            <w:hideMark/>
          </w:tcPr>
          <w:p w14:paraId="730FABAF" w14:textId="77777777" w:rsidR="00F369DF" w:rsidRPr="00D07134" w:rsidRDefault="00F369DF">
            <w:pPr>
              <w:jc w:val="right"/>
              <w:rPr>
                <w:rFonts w:ascii="Verdana" w:hAnsi="Verdana" w:cs="Calibri"/>
                <w:b/>
                <w:bCs/>
                <w:noProof/>
                <w:color w:val="000000"/>
                <w:sz w:val="18"/>
                <w:szCs w:val="18"/>
              </w:rPr>
            </w:pPr>
            <w:r w:rsidRPr="00D07134">
              <w:rPr>
                <w:rFonts w:ascii="Verdana" w:hAnsi="Verdana" w:cs="Calibri"/>
                <w:b/>
                <w:bCs/>
                <w:noProof/>
                <w:color w:val="000000"/>
                <w:sz w:val="18"/>
                <w:szCs w:val="18"/>
              </w:rPr>
              <w:t>738.9</w:t>
            </w:r>
          </w:p>
        </w:tc>
      </w:tr>
    </w:tbl>
    <w:p w14:paraId="45EB98CE" w14:textId="77777777" w:rsidR="00F369DF" w:rsidRPr="00D9476E" w:rsidRDefault="00F369DF" w:rsidP="00F369DF">
      <w:pPr>
        <w:pStyle w:val="DGTextstand-alone"/>
      </w:pPr>
      <w:r w:rsidRPr="00D9476E">
        <w:t xml:space="preserve">The ‘unified funding’ finances the </w:t>
      </w:r>
      <w:r>
        <w:t>RRF/REPowerEU</w:t>
      </w:r>
      <w:r w:rsidRPr="00D9476E">
        <w:t xml:space="preserve"> loans and non-repayable support as well as the Ukraine Facility</w:t>
      </w:r>
      <w:r>
        <w:t xml:space="preserve">, Western Balkans Facility, Moldova Facility </w:t>
      </w:r>
      <w:r w:rsidRPr="00D9476E">
        <w:t>and MFA loans signed as of 2023.</w:t>
      </w:r>
    </w:p>
    <w:p w14:paraId="7A51EE80" w14:textId="77777777" w:rsidR="00F369DF" w:rsidRPr="00371D17" w:rsidRDefault="00F369DF" w:rsidP="00F369DF">
      <w:pPr>
        <w:pStyle w:val="HEADER3Part4"/>
        <w:spacing w:after="240"/>
        <w:rPr>
          <w:noProof/>
        </w:rPr>
      </w:pPr>
      <w:r w:rsidRPr="00371D17">
        <w:rPr>
          <w:noProof/>
        </w:rPr>
        <w:t>Lending</w:t>
      </w:r>
    </w:p>
    <w:p w14:paraId="34379245" w14:textId="77777777" w:rsidR="00F369DF" w:rsidRPr="00C9259F" w:rsidRDefault="00F369DF" w:rsidP="00F369DF">
      <w:pPr>
        <w:pStyle w:val="DGTextstand-alone"/>
      </w:pPr>
      <w:r>
        <w:t xml:space="preserve">The Commission provides </w:t>
      </w:r>
      <w:r w:rsidRPr="001A6A9F">
        <w:t>bilateral loans</w:t>
      </w:r>
      <w:r>
        <w:t xml:space="preserve"> to Member States and third countries</w:t>
      </w:r>
      <w:r w:rsidRPr="001A6A9F">
        <w:t xml:space="preserve"> </w:t>
      </w:r>
      <w:r>
        <w:t>in accordance with</w:t>
      </w:r>
      <w:r w:rsidRPr="001A6A9F">
        <w:t xml:space="preserve"> decisions of the European Parliament and of the Council.</w:t>
      </w:r>
      <w:r>
        <w:t xml:space="preserve"> In 2025, t</w:t>
      </w:r>
      <w:r w:rsidRPr="001A6A9F">
        <w:t>he Commission, acting on behalf of the EU, operate</w:t>
      </w:r>
      <w:r>
        <w:t>d</w:t>
      </w:r>
      <w:r w:rsidRPr="001A6A9F">
        <w:t xml:space="preserve"> </w:t>
      </w:r>
      <w:r>
        <w:t>the following</w:t>
      </w:r>
      <w:r w:rsidRPr="00C9259F">
        <w:t xml:space="preserve"> programmes under which it</w:t>
      </w:r>
      <w:r>
        <w:t xml:space="preserve"> granted</w:t>
      </w:r>
      <w:r w:rsidRPr="00C9259F">
        <w:t xml:space="preserve"> loans</w:t>
      </w:r>
      <w:r>
        <w:t xml:space="preserve"> (in addition to RRF/REPower reported in Section </w:t>
      </w:r>
      <w:r w:rsidRPr="00236DDD">
        <w:rPr>
          <w:b/>
          <w:bCs/>
        </w:rPr>
        <w:t>3.3</w:t>
      </w:r>
      <w:r>
        <w:t>)</w:t>
      </w:r>
      <w:r w:rsidRPr="00C9259F">
        <w:t>:</w:t>
      </w:r>
    </w:p>
    <w:p w14:paraId="52F33EF3" w14:textId="77777777" w:rsidR="00F369DF" w:rsidRDefault="00F369DF" w:rsidP="00F369DF">
      <w:pPr>
        <w:pStyle w:val="DGTextstand-alonedashesjustified"/>
      </w:pPr>
      <w:r w:rsidRPr="00C9259F">
        <w:t>SURE assistance</w:t>
      </w:r>
      <w:r>
        <w:t xml:space="preserve"> </w:t>
      </w:r>
      <w:r w:rsidRPr="00E8621F">
        <w:t>(Support to mitigate Unemployment Risks in an Emergency);</w:t>
      </w:r>
    </w:p>
    <w:p w14:paraId="58C2E0F8" w14:textId="77777777" w:rsidR="00F369DF" w:rsidRDefault="00F369DF" w:rsidP="00F369DF">
      <w:pPr>
        <w:pStyle w:val="DGTextstand-alonedashesjustified"/>
      </w:pPr>
      <w:r w:rsidRPr="00C9259F">
        <w:t>European Financial Stabilisation Mechanism (EFSM) assistance;</w:t>
      </w:r>
    </w:p>
    <w:p w14:paraId="473D6B20" w14:textId="77777777" w:rsidR="00F369DF" w:rsidRDefault="00F369DF" w:rsidP="00F369DF">
      <w:pPr>
        <w:pStyle w:val="DGTextstand-alonedashesjustified"/>
      </w:pPr>
      <w:r w:rsidRPr="00C9259F">
        <w:t>Macro-</w:t>
      </w:r>
      <w:r>
        <w:t>F</w:t>
      </w:r>
      <w:r w:rsidRPr="00C9259F">
        <w:t xml:space="preserve">inancial </w:t>
      </w:r>
      <w:r>
        <w:t>A</w:t>
      </w:r>
      <w:r w:rsidRPr="00C9259F">
        <w:t>ssistance (MFA);</w:t>
      </w:r>
    </w:p>
    <w:p w14:paraId="1A438D15" w14:textId="77777777" w:rsidR="00F369DF" w:rsidRDefault="00F369DF" w:rsidP="00F369DF">
      <w:pPr>
        <w:pStyle w:val="DGTextstand-alonedashesjustified"/>
      </w:pPr>
      <w:r>
        <w:t>Ukraine Facility;</w:t>
      </w:r>
    </w:p>
    <w:p w14:paraId="2C882C08" w14:textId="77777777" w:rsidR="00F369DF" w:rsidRDefault="00F369DF" w:rsidP="00F369DF">
      <w:pPr>
        <w:pStyle w:val="DGTextstand-alonedashesjustified"/>
      </w:pPr>
      <w:r>
        <w:t>Western Balkans Facility;</w:t>
      </w:r>
    </w:p>
    <w:p w14:paraId="7F0DFABB" w14:textId="77777777" w:rsidR="00F369DF" w:rsidRPr="00C9259F" w:rsidRDefault="00F369DF" w:rsidP="00F369DF">
      <w:pPr>
        <w:pStyle w:val="DGTextstand-alonedashesjustified"/>
      </w:pPr>
      <w:r>
        <w:t>Moldova Facility;</w:t>
      </w:r>
    </w:p>
    <w:p w14:paraId="5658D13E" w14:textId="77777777" w:rsidR="00F369DF" w:rsidRDefault="00F369DF" w:rsidP="00F369DF">
      <w:pPr>
        <w:pStyle w:val="DGTextstand-alonedashesjustified"/>
      </w:pPr>
      <w:r w:rsidRPr="002162E9">
        <w:t>E</w:t>
      </w:r>
      <w:r>
        <w:t>uratom; and</w:t>
      </w:r>
    </w:p>
    <w:p w14:paraId="2860145D" w14:textId="77777777" w:rsidR="00F369DF" w:rsidRPr="00236DDD" w:rsidRDefault="00F369DF" w:rsidP="00F369DF">
      <w:pPr>
        <w:pStyle w:val="DGTextstand-alonedashesjustified"/>
      </w:pPr>
      <w:r w:rsidRPr="00236DDD">
        <w:t>Balance of Payment (BOP)</w:t>
      </w:r>
      <w:r>
        <w:t>.</w:t>
      </w:r>
    </w:p>
    <w:p w14:paraId="364EAF3A" w14:textId="77777777" w:rsidR="00A642F1" w:rsidRDefault="00A642F1">
      <w:pPr>
        <w:rPr>
          <w:rFonts w:ascii="Verdana" w:hAnsi="Verdana"/>
          <w:noProof/>
          <w:sz w:val="18"/>
          <w:szCs w:val="18"/>
          <w:lang w:eastAsia="en-US"/>
        </w:rPr>
      </w:pPr>
      <w:r>
        <w:rPr>
          <w:noProof/>
        </w:rPr>
        <w:br w:type="page"/>
      </w:r>
    </w:p>
    <w:p w14:paraId="08F9E94A" w14:textId="29D0475E" w:rsidR="00F369DF" w:rsidRPr="008E24C3" w:rsidRDefault="00F369DF" w:rsidP="00F369DF">
      <w:pPr>
        <w:pStyle w:val="DGTextstand-alone"/>
        <w:spacing w:after="120"/>
      </w:pPr>
      <w:r w:rsidRPr="006B06CF">
        <w:t>At 31 December 202</w:t>
      </w:r>
      <w:r>
        <w:rPr>
          <w:lang w:val="en-US"/>
        </w:rPr>
        <w:t>5</w:t>
      </w:r>
      <w:r w:rsidRPr="006B06CF">
        <w:t>, the nominal amount of the loans</w:t>
      </w:r>
      <w:r>
        <w:t xml:space="preserve"> in EUR billion</w:t>
      </w:r>
      <w:r w:rsidRPr="006B06CF">
        <w:t xml:space="preserve"> were:</w:t>
      </w:r>
    </w:p>
    <w:tbl>
      <w:tblPr>
        <w:tblW w:w="9540" w:type="dxa"/>
        <w:tblInd w:w="108" w:type="dxa"/>
        <w:tblLook w:val="04A0" w:firstRow="1" w:lastRow="0" w:firstColumn="1" w:lastColumn="0" w:noHBand="0" w:noVBand="1"/>
      </w:tblPr>
      <w:tblGrid>
        <w:gridCol w:w="2700"/>
        <w:gridCol w:w="1360"/>
        <w:gridCol w:w="1880"/>
        <w:gridCol w:w="1960"/>
        <w:gridCol w:w="1640"/>
      </w:tblGrid>
      <w:tr w:rsidR="00F369DF" w14:paraId="1D2051F6" w14:textId="77777777">
        <w:trPr>
          <w:trHeight w:val="450"/>
        </w:trPr>
        <w:tc>
          <w:tcPr>
            <w:tcW w:w="2700" w:type="dxa"/>
            <w:tcBorders>
              <w:top w:val="nil"/>
              <w:left w:val="nil"/>
              <w:bottom w:val="nil"/>
              <w:right w:val="nil"/>
            </w:tcBorders>
            <w:shd w:val="clear" w:color="000000" w:fill="016794"/>
            <w:vAlign w:val="center"/>
            <w:hideMark/>
          </w:tcPr>
          <w:p w14:paraId="76776384" w14:textId="77777777" w:rsidR="00F369DF" w:rsidRDefault="00F369DF">
            <w:pPr>
              <w:jc w:val="right"/>
              <w:rPr>
                <w:rFonts w:ascii="Verdana" w:hAnsi="Verdana" w:cs="Calibri"/>
                <w:noProof/>
                <w:color w:val="FFFFFF"/>
                <w:sz w:val="18"/>
                <w:szCs w:val="18"/>
              </w:rPr>
            </w:pPr>
            <w:r>
              <w:rPr>
                <w:rFonts w:ascii="Verdana" w:hAnsi="Verdana" w:cs="Calibri"/>
                <w:noProof/>
                <w:color w:val="FFFFFF"/>
                <w:sz w:val="18"/>
                <w:szCs w:val="18"/>
              </w:rPr>
              <w:t> </w:t>
            </w:r>
          </w:p>
        </w:tc>
        <w:tc>
          <w:tcPr>
            <w:tcW w:w="1360" w:type="dxa"/>
            <w:tcBorders>
              <w:top w:val="nil"/>
              <w:left w:val="nil"/>
              <w:bottom w:val="nil"/>
              <w:right w:val="nil"/>
            </w:tcBorders>
            <w:shd w:val="clear" w:color="000000" w:fill="016794"/>
            <w:vAlign w:val="center"/>
            <w:hideMark/>
          </w:tcPr>
          <w:p w14:paraId="5D31C287" w14:textId="77777777" w:rsidR="00F369DF" w:rsidRDefault="00F369DF">
            <w:pPr>
              <w:jc w:val="right"/>
              <w:rPr>
                <w:rFonts w:ascii="Verdana" w:hAnsi="Verdana" w:cs="Calibri"/>
                <w:b/>
                <w:bCs/>
                <w:noProof/>
                <w:color w:val="FFFFFF"/>
                <w:sz w:val="18"/>
                <w:szCs w:val="18"/>
              </w:rPr>
            </w:pPr>
            <w:r>
              <w:rPr>
                <w:rFonts w:ascii="Verdana" w:hAnsi="Verdana" w:cs="Calibri"/>
                <w:b/>
                <w:bCs/>
                <w:noProof/>
                <w:color w:val="FFFFFF"/>
                <w:sz w:val="18"/>
                <w:szCs w:val="18"/>
              </w:rPr>
              <w:t>Total signed</w:t>
            </w:r>
          </w:p>
        </w:tc>
        <w:tc>
          <w:tcPr>
            <w:tcW w:w="1880" w:type="dxa"/>
            <w:tcBorders>
              <w:top w:val="nil"/>
              <w:left w:val="nil"/>
              <w:bottom w:val="nil"/>
              <w:right w:val="nil"/>
            </w:tcBorders>
            <w:shd w:val="clear" w:color="000000" w:fill="016794"/>
            <w:vAlign w:val="center"/>
            <w:hideMark/>
          </w:tcPr>
          <w:p w14:paraId="59008D62" w14:textId="77777777" w:rsidR="00F369DF" w:rsidRDefault="00F369DF">
            <w:pPr>
              <w:jc w:val="right"/>
              <w:rPr>
                <w:rFonts w:ascii="Verdana" w:hAnsi="Verdana" w:cs="Calibri"/>
                <w:b/>
                <w:bCs/>
                <w:noProof/>
                <w:color w:val="FFFFFF"/>
                <w:sz w:val="18"/>
                <w:szCs w:val="18"/>
              </w:rPr>
            </w:pPr>
            <w:r>
              <w:rPr>
                <w:rFonts w:ascii="Verdana" w:hAnsi="Verdana" w:cs="Calibri"/>
                <w:b/>
                <w:bCs/>
                <w:noProof/>
                <w:color w:val="FFFFFF"/>
                <w:sz w:val="18"/>
                <w:szCs w:val="18"/>
              </w:rPr>
              <w:t>Total undrawn at year-end</w:t>
            </w:r>
          </w:p>
        </w:tc>
        <w:tc>
          <w:tcPr>
            <w:tcW w:w="1960" w:type="dxa"/>
            <w:tcBorders>
              <w:top w:val="nil"/>
              <w:left w:val="nil"/>
              <w:bottom w:val="nil"/>
              <w:right w:val="nil"/>
            </w:tcBorders>
            <w:shd w:val="clear" w:color="000000" w:fill="016794"/>
            <w:vAlign w:val="center"/>
            <w:hideMark/>
          </w:tcPr>
          <w:p w14:paraId="053CC85D" w14:textId="77777777" w:rsidR="00F369DF" w:rsidRDefault="00F369DF">
            <w:pPr>
              <w:jc w:val="right"/>
              <w:rPr>
                <w:rFonts w:ascii="Verdana" w:hAnsi="Verdana" w:cs="Calibri"/>
                <w:b/>
                <w:bCs/>
                <w:noProof/>
                <w:color w:val="FFFFFF"/>
                <w:sz w:val="18"/>
                <w:szCs w:val="18"/>
              </w:rPr>
            </w:pPr>
            <w:r>
              <w:rPr>
                <w:rFonts w:ascii="Verdana" w:hAnsi="Verdana" w:cs="Calibri"/>
                <w:b/>
                <w:bCs/>
                <w:noProof/>
                <w:color w:val="FFFFFF"/>
                <w:sz w:val="18"/>
                <w:szCs w:val="18"/>
              </w:rPr>
              <w:t>Total disbursed at year-end</w:t>
            </w:r>
          </w:p>
        </w:tc>
        <w:tc>
          <w:tcPr>
            <w:tcW w:w="1640" w:type="dxa"/>
            <w:tcBorders>
              <w:top w:val="nil"/>
              <w:left w:val="nil"/>
              <w:bottom w:val="nil"/>
              <w:right w:val="nil"/>
            </w:tcBorders>
            <w:shd w:val="clear" w:color="000000" w:fill="016794"/>
            <w:vAlign w:val="center"/>
            <w:hideMark/>
          </w:tcPr>
          <w:p w14:paraId="07DF5082" w14:textId="77777777" w:rsidR="00F369DF" w:rsidRDefault="00F369DF">
            <w:pPr>
              <w:jc w:val="right"/>
              <w:rPr>
                <w:rFonts w:ascii="Verdana" w:hAnsi="Verdana" w:cs="Calibri"/>
                <w:b/>
                <w:bCs/>
                <w:noProof/>
                <w:color w:val="FFFFFF"/>
                <w:sz w:val="18"/>
                <w:szCs w:val="18"/>
              </w:rPr>
            </w:pPr>
            <w:r>
              <w:rPr>
                <w:rFonts w:ascii="Verdana" w:hAnsi="Verdana" w:cs="Calibri"/>
                <w:b/>
                <w:bCs/>
                <w:noProof/>
                <w:color w:val="FFFFFF"/>
                <w:sz w:val="18"/>
                <w:szCs w:val="18"/>
              </w:rPr>
              <w:t>Outstanding at year-end</w:t>
            </w:r>
          </w:p>
        </w:tc>
      </w:tr>
      <w:tr w:rsidR="00F369DF" w14:paraId="50DCEFED" w14:textId="77777777">
        <w:trPr>
          <w:trHeight w:val="225"/>
        </w:trPr>
        <w:tc>
          <w:tcPr>
            <w:tcW w:w="2700" w:type="dxa"/>
            <w:tcBorders>
              <w:top w:val="nil"/>
              <w:left w:val="nil"/>
              <w:bottom w:val="nil"/>
              <w:right w:val="nil"/>
            </w:tcBorders>
            <w:shd w:val="clear" w:color="000000" w:fill="DBE5F1"/>
            <w:vAlign w:val="center"/>
            <w:hideMark/>
          </w:tcPr>
          <w:p w14:paraId="7BF50FD3"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SURE</w:t>
            </w:r>
          </w:p>
        </w:tc>
        <w:tc>
          <w:tcPr>
            <w:tcW w:w="1360" w:type="dxa"/>
            <w:tcBorders>
              <w:top w:val="nil"/>
              <w:left w:val="nil"/>
              <w:bottom w:val="nil"/>
              <w:right w:val="nil"/>
            </w:tcBorders>
            <w:shd w:val="clear" w:color="000000" w:fill="DBE5F1"/>
            <w:vAlign w:val="center"/>
            <w:hideMark/>
          </w:tcPr>
          <w:p w14:paraId="036CFA1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880" w:type="dxa"/>
            <w:tcBorders>
              <w:top w:val="nil"/>
              <w:left w:val="nil"/>
              <w:bottom w:val="nil"/>
              <w:right w:val="nil"/>
            </w:tcBorders>
            <w:shd w:val="clear" w:color="000000" w:fill="DBE5F1"/>
            <w:vAlign w:val="center"/>
            <w:hideMark/>
          </w:tcPr>
          <w:p w14:paraId="06C3996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960" w:type="dxa"/>
            <w:tcBorders>
              <w:top w:val="nil"/>
              <w:left w:val="nil"/>
              <w:bottom w:val="nil"/>
              <w:right w:val="nil"/>
            </w:tcBorders>
            <w:shd w:val="clear" w:color="000000" w:fill="DBE5F1"/>
            <w:vAlign w:val="center"/>
            <w:hideMark/>
          </w:tcPr>
          <w:p w14:paraId="18DFE13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640" w:type="dxa"/>
            <w:tcBorders>
              <w:top w:val="nil"/>
              <w:left w:val="nil"/>
              <w:bottom w:val="nil"/>
              <w:right w:val="nil"/>
            </w:tcBorders>
            <w:shd w:val="clear" w:color="000000" w:fill="DBE5F1"/>
            <w:vAlign w:val="center"/>
            <w:hideMark/>
          </w:tcPr>
          <w:p w14:paraId="5FD0306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r>
      <w:tr w:rsidR="00F369DF" w14:paraId="307CE0AA" w14:textId="77777777" w:rsidTr="00BF139E">
        <w:trPr>
          <w:trHeight w:val="225"/>
        </w:trPr>
        <w:tc>
          <w:tcPr>
            <w:tcW w:w="2700" w:type="dxa"/>
            <w:tcBorders>
              <w:top w:val="nil"/>
              <w:left w:val="nil"/>
              <w:bottom w:val="nil"/>
              <w:right w:val="nil"/>
            </w:tcBorders>
            <w:vAlign w:val="center"/>
            <w:hideMark/>
          </w:tcPr>
          <w:p w14:paraId="46ED2626"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 xml:space="preserve">Belgium </w:t>
            </w:r>
          </w:p>
        </w:tc>
        <w:tc>
          <w:tcPr>
            <w:tcW w:w="1360" w:type="dxa"/>
            <w:tcBorders>
              <w:top w:val="nil"/>
              <w:left w:val="nil"/>
              <w:bottom w:val="nil"/>
              <w:right w:val="nil"/>
            </w:tcBorders>
            <w:noWrap/>
            <w:hideMark/>
          </w:tcPr>
          <w:p w14:paraId="12DD4B7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8.2</w:t>
            </w:r>
          </w:p>
        </w:tc>
        <w:tc>
          <w:tcPr>
            <w:tcW w:w="1880" w:type="dxa"/>
            <w:tcBorders>
              <w:top w:val="nil"/>
              <w:left w:val="nil"/>
              <w:bottom w:val="nil"/>
              <w:right w:val="nil"/>
            </w:tcBorders>
            <w:noWrap/>
            <w:hideMark/>
          </w:tcPr>
          <w:p w14:paraId="4EA5990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41ED931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8.2</w:t>
            </w:r>
          </w:p>
        </w:tc>
        <w:tc>
          <w:tcPr>
            <w:tcW w:w="1640" w:type="dxa"/>
            <w:tcBorders>
              <w:top w:val="nil"/>
              <w:left w:val="nil"/>
              <w:bottom w:val="nil"/>
              <w:right w:val="nil"/>
            </w:tcBorders>
            <w:noWrap/>
            <w:hideMark/>
          </w:tcPr>
          <w:p w14:paraId="5230AD80"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8.2</w:t>
            </w:r>
          </w:p>
        </w:tc>
      </w:tr>
      <w:tr w:rsidR="00F369DF" w14:paraId="7193F859" w14:textId="77777777" w:rsidTr="00BF139E">
        <w:trPr>
          <w:trHeight w:val="225"/>
        </w:trPr>
        <w:tc>
          <w:tcPr>
            <w:tcW w:w="2700" w:type="dxa"/>
            <w:tcBorders>
              <w:top w:val="nil"/>
              <w:left w:val="nil"/>
              <w:bottom w:val="nil"/>
              <w:right w:val="nil"/>
            </w:tcBorders>
            <w:vAlign w:val="center"/>
            <w:hideMark/>
          </w:tcPr>
          <w:p w14:paraId="41C3B971"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Bulgaria</w:t>
            </w:r>
          </w:p>
        </w:tc>
        <w:tc>
          <w:tcPr>
            <w:tcW w:w="1360" w:type="dxa"/>
            <w:tcBorders>
              <w:top w:val="nil"/>
              <w:left w:val="nil"/>
              <w:bottom w:val="nil"/>
              <w:right w:val="nil"/>
            </w:tcBorders>
            <w:noWrap/>
            <w:hideMark/>
          </w:tcPr>
          <w:p w14:paraId="0CADFC2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1.0</w:t>
            </w:r>
          </w:p>
        </w:tc>
        <w:tc>
          <w:tcPr>
            <w:tcW w:w="1880" w:type="dxa"/>
            <w:tcBorders>
              <w:top w:val="nil"/>
              <w:left w:val="nil"/>
              <w:bottom w:val="nil"/>
              <w:right w:val="nil"/>
            </w:tcBorders>
            <w:noWrap/>
            <w:hideMark/>
          </w:tcPr>
          <w:p w14:paraId="09AFC87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37AAB56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1.0</w:t>
            </w:r>
          </w:p>
        </w:tc>
        <w:tc>
          <w:tcPr>
            <w:tcW w:w="1640" w:type="dxa"/>
            <w:tcBorders>
              <w:top w:val="nil"/>
              <w:left w:val="nil"/>
              <w:bottom w:val="nil"/>
              <w:right w:val="nil"/>
            </w:tcBorders>
            <w:noWrap/>
            <w:hideMark/>
          </w:tcPr>
          <w:p w14:paraId="2AFE1C64"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1.0</w:t>
            </w:r>
          </w:p>
        </w:tc>
      </w:tr>
      <w:tr w:rsidR="00F369DF" w14:paraId="7463B194" w14:textId="77777777" w:rsidTr="00BF139E">
        <w:trPr>
          <w:trHeight w:val="225"/>
        </w:trPr>
        <w:tc>
          <w:tcPr>
            <w:tcW w:w="2700" w:type="dxa"/>
            <w:tcBorders>
              <w:top w:val="nil"/>
              <w:left w:val="nil"/>
              <w:bottom w:val="nil"/>
              <w:right w:val="nil"/>
            </w:tcBorders>
            <w:vAlign w:val="center"/>
            <w:hideMark/>
          </w:tcPr>
          <w:p w14:paraId="54AB6E3C"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Croatia</w:t>
            </w:r>
          </w:p>
        </w:tc>
        <w:tc>
          <w:tcPr>
            <w:tcW w:w="1360" w:type="dxa"/>
            <w:tcBorders>
              <w:top w:val="nil"/>
              <w:left w:val="nil"/>
              <w:bottom w:val="nil"/>
              <w:right w:val="nil"/>
            </w:tcBorders>
            <w:noWrap/>
            <w:hideMark/>
          </w:tcPr>
          <w:p w14:paraId="4FB0D00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1.6</w:t>
            </w:r>
          </w:p>
        </w:tc>
        <w:tc>
          <w:tcPr>
            <w:tcW w:w="1880" w:type="dxa"/>
            <w:tcBorders>
              <w:top w:val="nil"/>
              <w:left w:val="nil"/>
              <w:bottom w:val="nil"/>
              <w:right w:val="nil"/>
            </w:tcBorders>
            <w:noWrap/>
            <w:hideMark/>
          </w:tcPr>
          <w:p w14:paraId="4D29B3B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53E1955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1.6</w:t>
            </w:r>
          </w:p>
        </w:tc>
        <w:tc>
          <w:tcPr>
            <w:tcW w:w="1640" w:type="dxa"/>
            <w:tcBorders>
              <w:top w:val="nil"/>
              <w:left w:val="nil"/>
              <w:bottom w:val="nil"/>
              <w:right w:val="nil"/>
            </w:tcBorders>
            <w:noWrap/>
            <w:hideMark/>
          </w:tcPr>
          <w:p w14:paraId="102B9E4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1.2</w:t>
            </w:r>
          </w:p>
        </w:tc>
      </w:tr>
      <w:tr w:rsidR="00F369DF" w14:paraId="70CE2AA0" w14:textId="77777777" w:rsidTr="00BF139E">
        <w:trPr>
          <w:trHeight w:val="225"/>
        </w:trPr>
        <w:tc>
          <w:tcPr>
            <w:tcW w:w="2700" w:type="dxa"/>
            <w:tcBorders>
              <w:top w:val="nil"/>
              <w:left w:val="nil"/>
              <w:bottom w:val="nil"/>
              <w:right w:val="nil"/>
            </w:tcBorders>
            <w:vAlign w:val="center"/>
            <w:hideMark/>
          </w:tcPr>
          <w:p w14:paraId="2FA065EA"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Cyprus</w:t>
            </w:r>
          </w:p>
        </w:tc>
        <w:tc>
          <w:tcPr>
            <w:tcW w:w="1360" w:type="dxa"/>
            <w:tcBorders>
              <w:top w:val="nil"/>
              <w:left w:val="nil"/>
              <w:bottom w:val="nil"/>
              <w:right w:val="nil"/>
            </w:tcBorders>
            <w:noWrap/>
            <w:hideMark/>
          </w:tcPr>
          <w:p w14:paraId="3772924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0.6</w:t>
            </w:r>
          </w:p>
        </w:tc>
        <w:tc>
          <w:tcPr>
            <w:tcW w:w="1880" w:type="dxa"/>
            <w:tcBorders>
              <w:top w:val="nil"/>
              <w:left w:val="nil"/>
              <w:bottom w:val="nil"/>
              <w:right w:val="nil"/>
            </w:tcBorders>
            <w:noWrap/>
            <w:hideMark/>
          </w:tcPr>
          <w:p w14:paraId="4161B60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5C922D3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0.6</w:t>
            </w:r>
          </w:p>
        </w:tc>
        <w:tc>
          <w:tcPr>
            <w:tcW w:w="1640" w:type="dxa"/>
            <w:tcBorders>
              <w:top w:val="nil"/>
              <w:left w:val="nil"/>
              <w:bottom w:val="nil"/>
              <w:right w:val="nil"/>
            </w:tcBorders>
            <w:noWrap/>
            <w:hideMark/>
          </w:tcPr>
          <w:p w14:paraId="6EDEB4E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0.5</w:t>
            </w:r>
          </w:p>
        </w:tc>
      </w:tr>
      <w:tr w:rsidR="00F369DF" w14:paraId="41C6CB54" w14:textId="77777777" w:rsidTr="00BF139E">
        <w:trPr>
          <w:trHeight w:val="225"/>
        </w:trPr>
        <w:tc>
          <w:tcPr>
            <w:tcW w:w="2700" w:type="dxa"/>
            <w:tcBorders>
              <w:top w:val="nil"/>
              <w:left w:val="nil"/>
              <w:bottom w:val="nil"/>
              <w:right w:val="nil"/>
            </w:tcBorders>
            <w:vAlign w:val="center"/>
            <w:hideMark/>
          </w:tcPr>
          <w:p w14:paraId="304624F3"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Czechia</w:t>
            </w:r>
          </w:p>
        </w:tc>
        <w:tc>
          <w:tcPr>
            <w:tcW w:w="1360" w:type="dxa"/>
            <w:tcBorders>
              <w:top w:val="nil"/>
              <w:left w:val="nil"/>
              <w:bottom w:val="nil"/>
              <w:right w:val="nil"/>
            </w:tcBorders>
            <w:noWrap/>
            <w:hideMark/>
          </w:tcPr>
          <w:p w14:paraId="0E045C9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4.5</w:t>
            </w:r>
          </w:p>
        </w:tc>
        <w:tc>
          <w:tcPr>
            <w:tcW w:w="1880" w:type="dxa"/>
            <w:tcBorders>
              <w:top w:val="nil"/>
              <w:left w:val="nil"/>
              <w:bottom w:val="nil"/>
              <w:right w:val="nil"/>
            </w:tcBorders>
            <w:noWrap/>
            <w:hideMark/>
          </w:tcPr>
          <w:p w14:paraId="5861C0C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392EB3D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4.5</w:t>
            </w:r>
          </w:p>
        </w:tc>
        <w:tc>
          <w:tcPr>
            <w:tcW w:w="1640" w:type="dxa"/>
            <w:tcBorders>
              <w:top w:val="nil"/>
              <w:left w:val="nil"/>
              <w:bottom w:val="nil"/>
              <w:right w:val="nil"/>
            </w:tcBorders>
            <w:noWrap/>
            <w:hideMark/>
          </w:tcPr>
          <w:p w14:paraId="4FB7305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4.5</w:t>
            </w:r>
          </w:p>
        </w:tc>
      </w:tr>
      <w:tr w:rsidR="00F369DF" w14:paraId="6E59C1F1" w14:textId="77777777" w:rsidTr="00BF139E">
        <w:trPr>
          <w:trHeight w:val="225"/>
        </w:trPr>
        <w:tc>
          <w:tcPr>
            <w:tcW w:w="2700" w:type="dxa"/>
            <w:tcBorders>
              <w:top w:val="nil"/>
              <w:left w:val="nil"/>
              <w:bottom w:val="nil"/>
              <w:right w:val="nil"/>
            </w:tcBorders>
            <w:vAlign w:val="center"/>
            <w:hideMark/>
          </w:tcPr>
          <w:p w14:paraId="02733F2B"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Estonia</w:t>
            </w:r>
          </w:p>
        </w:tc>
        <w:tc>
          <w:tcPr>
            <w:tcW w:w="1360" w:type="dxa"/>
            <w:tcBorders>
              <w:top w:val="nil"/>
              <w:left w:val="nil"/>
              <w:bottom w:val="nil"/>
              <w:right w:val="nil"/>
            </w:tcBorders>
            <w:noWrap/>
            <w:hideMark/>
          </w:tcPr>
          <w:p w14:paraId="1A4B0C7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0.2</w:t>
            </w:r>
          </w:p>
        </w:tc>
        <w:tc>
          <w:tcPr>
            <w:tcW w:w="1880" w:type="dxa"/>
            <w:tcBorders>
              <w:top w:val="nil"/>
              <w:left w:val="nil"/>
              <w:bottom w:val="nil"/>
              <w:right w:val="nil"/>
            </w:tcBorders>
            <w:noWrap/>
            <w:hideMark/>
          </w:tcPr>
          <w:p w14:paraId="4C29314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6353722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0.2</w:t>
            </w:r>
          </w:p>
        </w:tc>
        <w:tc>
          <w:tcPr>
            <w:tcW w:w="1640" w:type="dxa"/>
            <w:tcBorders>
              <w:top w:val="nil"/>
              <w:left w:val="nil"/>
              <w:bottom w:val="nil"/>
              <w:right w:val="nil"/>
            </w:tcBorders>
            <w:noWrap/>
            <w:hideMark/>
          </w:tcPr>
          <w:p w14:paraId="134F902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0.2</w:t>
            </w:r>
          </w:p>
        </w:tc>
      </w:tr>
      <w:tr w:rsidR="00F369DF" w14:paraId="2B9BEDC0" w14:textId="77777777" w:rsidTr="00BF139E">
        <w:trPr>
          <w:trHeight w:val="225"/>
        </w:trPr>
        <w:tc>
          <w:tcPr>
            <w:tcW w:w="2700" w:type="dxa"/>
            <w:tcBorders>
              <w:top w:val="nil"/>
              <w:left w:val="nil"/>
              <w:bottom w:val="nil"/>
              <w:right w:val="nil"/>
            </w:tcBorders>
            <w:vAlign w:val="center"/>
            <w:hideMark/>
          </w:tcPr>
          <w:p w14:paraId="047226FA"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Greece</w:t>
            </w:r>
          </w:p>
        </w:tc>
        <w:tc>
          <w:tcPr>
            <w:tcW w:w="1360" w:type="dxa"/>
            <w:tcBorders>
              <w:top w:val="nil"/>
              <w:left w:val="nil"/>
              <w:bottom w:val="nil"/>
              <w:right w:val="nil"/>
            </w:tcBorders>
            <w:noWrap/>
            <w:hideMark/>
          </w:tcPr>
          <w:p w14:paraId="2A4DF20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6.2</w:t>
            </w:r>
          </w:p>
        </w:tc>
        <w:tc>
          <w:tcPr>
            <w:tcW w:w="1880" w:type="dxa"/>
            <w:tcBorders>
              <w:top w:val="nil"/>
              <w:left w:val="nil"/>
              <w:bottom w:val="nil"/>
              <w:right w:val="nil"/>
            </w:tcBorders>
            <w:noWrap/>
            <w:hideMark/>
          </w:tcPr>
          <w:p w14:paraId="0B49D82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2AF5DDB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6.2</w:t>
            </w:r>
          </w:p>
        </w:tc>
        <w:tc>
          <w:tcPr>
            <w:tcW w:w="1640" w:type="dxa"/>
            <w:tcBorders>
              <w:top w:val="nil"/>
              <w:left w:val="nil"/>
              <w:bottom w:val="nil"/>
              <w:right w:val="nil"/>
            </w:tcBorders>
            <w:noWrap/>
            <w:hideMark/>
          </w:tcPr>
          <w:p w14:paraId="3548240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5.2</w:t>
            </w:r>
          </w:p>
        </w:tc>
      </w:tr>
      <w:tr w:rsidR="00F369DF" w14:paraId="1D95117F" w14:textId="77777777" w:rsidTr="00BF139E">
        <w:trPr>
          <w:trHeight w:val="225"/>
        </w:trPr>
        <w:tc>
          <w:tcPr>
            <w:tcW w:w="2700" w:type="dxa"/>
            <w:tcBorders>
              <w:top w:val="nil"/>
              <w:left w:val="nil"/>
              <w:bottom w:val="nil"/>
              <w:right w:val="nil"/>
            </w:tcBorders>
            <w:vAlign w:val="center"/>
            <w:hideMark/>
          </w:tcPr>
          <w:p w14:paraId="17FCAF3A"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Hungary</w:t>
            </w:r>
          </w:p>
        </w:tc>
        <w:tc>
          <w:tcPr>
            <w:tcW w:w="1360" w:type="dxa"/>
            <w:tcBorders>
              <w:top w:val="nil"/>
              <w:left w:val="nil"/>
              <w:bottom w:val="nil"/>
              <w:right w:val="nil"/>
            </w:tcBorders>
            <w:noWrap/>
            <w:hideMark/>
          </w:tcPr>
          <w:p w14:paraId="53DAFAB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0.7</w:t>
            </w:r>
          </w:p>
        </w:tc>
        <w:tc>
          <w:tcPr>
            <w:tcW w:w="1880" w:type="dxa"/>
            <w:tcBorders>
              <w:top w:val="nil"/>
              <w:left w:val="nil"/>
              <w:bottom w:val="nil"/>
              <w:right w:val="nil"/>
            </w:tcBorders>
            <w:noWrap/>
            <w:hideMark/>
          </w:tcPr>
          <w:p w14:paraId="12D0421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5A84A534"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0.7</w:t>
            </w:r>
          </w:p>
        </w:tc>
        <w:tc>
          <w:tcPr>
            <w:tcW w:w="1640" w:type="dxa"/>
            <w:tcBorders>
              <w:top w:val="nil"/>
              <w:left w:val="nil"/>
              <w:bottom w:val="nil"/>
              <w:right w:val="nil"/>
            </w:tcBorders>
            <w:noWrap/>
            <w:hideMark/>
          </w:tcPr>
          <w:p w14:paraId="2DC299D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0.7</w:t>
            </w:r>
          </w:p>
        </w:tc>
      </w:tr>
      <w:tr w:rsidR="00F369DF" w14:paraId="1B45A1CC" w14:textId="77777777" w:rsidTr="00BF139E">
        <w:trPr>
          <w:trHeight w:val="225"/>
        </w:trPr>
        <w:tc>
          <w:tcPr>
            <w:tcW w:w="2700" w:type="dxa"/>
            <w:tcBorders>
              <w:top w:val="nil"/>
              <w:left w:val="nil"/>
              <w:bottom w:val="nil"/>
              <w:right w:val="nil"/>
            </w:tcBorders>
            <w:vAlign w:val="center"/>
            <w:hideMark/>
          </w:tcPr>
          <w:p w14:paraId="7ACCEBAE"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Ireland</w:t>
            </w:r>
          </w:p>
        </w:tc>
        <w:tc>
          <w:tcPr>
            <w:tcW w:w="1360" w:type="dxa"/>
            <w:tcBorders>
              <w:top w:val="nil"/>
              <w:left w:val="nil"/>
              <w:bottom w:val="nil"/>
              <w:right w:val="nil"/>
            </w:tcBorders>
            <w:noWrap/>
            <w:hideMark/>
          </w:tcPr>
          <w:p w14:paraId="227A7B6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2.5</w:t>
            </w:r>
          </w:p>
        </w:tc>
        <w:tc>
          <w:tcPr>
            <w:tcW w:w="1880" w:type="dxa"/>
            <w:tcBorders>
              <w:top w:val="nil"/>
              <w:left w:val="nil"/>
              <w:bottom w:val="nil"/>
              <w:right w:val="nil"/>
            </w:tcBorders>
            <w:noWrap/>
            <w:hideMark/>
          </w:tcPr>
          <w:p w14:paraId="4FDD0EB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6E8B26D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2.5</w:t>
            </w:r>
          </w:p>
        </w:tc>
        <w:tc>
          <w:tcPr>
            <w:tcW w:w="1640" w:type="dxa"/>
            <w:tcBorders>
              <w:top w:val="nil"/>
              <w:left w:val="nil"/>
              <w:bottom w:val="nil"/>
              <w:right w:val="nil"/>
            </w:tcBorders>
            <w:noWrap/>
            <w:hideMark/>
          </w:tcPr>
          <w:p w14:paraId="6B5E49E4"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2.5</w:t>
            </w:r>
          </w:p>
        </w:tc>
      </w:tr>
      <w:tr w:rsidR="00F369DF" w14:paraId="37CF5E96" w14:textId="77777777" w:rsidTr="00BF139E">
        <w:trPr>
          <w:trHeight w:val="225"/>
        </w:trPr>
        <w:tc>
          <w:tcPr>
            <w:tcW w:w="2700" w:type="dxa"/>
            <w:tcBorders>
              <w:top w:val="nil"/>
              <w:left w:val="nil"/>
              <w:bottom w:val="nil"/>
              <w:right w:val="nil"/>
            </w:tcBorders>
            <w:vAlign w:val="center"/>
            <w:hideMark/>
          </w:tcPr>
          <w:p w14:paraId="595CCD39"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Italy</w:t>
            </w:r>
          </w:p>
        </w:tc>
        <w:tc>
          <w:tcPr>
            <w:tcW w:w="1360" w:type="dxa"/>
            <w:tcBorders>
              <w:top w:val="nil"/>
              <w:left w:val="nil"/>
              <w:bottom w:val="nil"/>
              <w:right w:val="nil"/>
            </w:tcBorders>
            <w:noWrap/>
            <w:hideMark/>
          </w:tcPr>
          <w:p w14:paraId="5839F3C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27.4</w:t>
            </w:r>
          </w:p>
        </w:tc>
        <w:tc>
          <w:tcPr>
            <w:tcW w:w="1880" w:type="dxa"/>
            <w:tcBorders>
              <w:top w:val="nil"/>
              <w:left w:val="nil"/>
              <w:bottom w:val="nil"/>
              <w:right w:val="nil"/>
            </w:tcBorders>
            <w:noWrap/>
            <w:hideMark/>
          </w:tcPr>
          <w:p w14:paraId="424ACF1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4AF8B553"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27.4</w:t>
            </w:r>
          </w:p>
        </w:tc>
        <w:tc>
          <w:tcPr>
            <w:tcW w:w="1640" w:type="dxa"/>
            <w:tcBorders>
              <w:top w:val="nil"/>
              <w:left w:val="nil"/>
              <w:bottom w:val="nil"/>
              <w:right w:val="nil"/>
            </w:tcBorders>
            <w:noWrap/>
            <w:hideMark/>
          </w:tcPr>
          <w:p w14:paraId="4250FB8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24.3</w:t>
            </w:r>
          </w:p>
        </w:tc>
      </w:tr>
      <w:tr w:rsidR="00F369DF" w14:paraId="135D5029" w14:textId="77777777" w:rsidTr="00BF139E">
        <w:trPr>
          <w:trHeight w:val="225"/>
        </w:trPr>
        <w:tc>
          <w:tcPr>
            <w:tcW w:w="2700" w:type="dxa"/>
            <w:tcBorders>
              <w:top w:val="nil"/>
              <w:left w:val="nil"/>
              <w:bottom w:val="nil"/>
              <w:right w:val="nil"/>
            </w:tcBorders>
            <w:vAlign w:val="center"/>
            <w:hideMark/>
          </w:tcPr>
          <w:p w14:paraId="296C7ED4"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Latvia</w:t>
            </w:r>
          </w:p>
        </w:tc>
        <w:tc>
          <w:tcPr>
            <w:tcW w:w="1360" w:type="dxa"/>
            <w:tcBorders>
              <w:top w:val="nil"/>
              <w:left w:val="nil"/>
              <w:bottom w:val="nil"/>
              <w:right w:val="nil"/>
            </w:tcBorders>
            <w:noWrap/>
            <w:hideMark/>
          </w:tcPr>
          <w:p w14:paraId="424A58C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0.5</w:t>
            </w:r>
          </w:p>
        </w:tc>
        <w:tc>
          <w:tcPr>
            <w:tcW w:w="1880" w:type="dxa"/>
            <w:tcBorders>
              <w:top w:val="nil"/>
              <w:left w:val="nil"/>
              <w:bottom w:val="nil"/>
              <w:right w:val="nil"/>
            </w:tcBorders>
            <w:noWrap/>
            <w:hideMark/>
          </w:tcPr>
          <w:p w14:paraId="393D2C0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7ACFD36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0.5</w:t>
            </w:r>
          </w:p>
        </w:tc>
        <w:tc>
          <w:tcPr>
            <w:tcW w:w="1640" w:type="dxa"/>
            <w:tcBorders>
              <w:top w:val="nil"/>
              <w:left w:val="nil"/>
              <w:bottom w:val="nil"/>
              <w:right w:val="nil"/>
            </w:tcBorders>
            <w:noWrap/>
            <w:hideMark/>
          </w:tcPr>
          <w:p w14:paraId="11EEDB3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0.4</w:t>
            </w:r>
          </w:p>
        </w:tc>
      </w:tr>
      <w:tr w:rsidR="00F369DF" w14:paraId="7100A007" w14:textId="77777777" w:rsidTr="00BF139E">
        <w:trPr>
          <w:trHeight w:val="225"/>
        </w:trPr>
        <w:tc>
          <w:tcPr>
            <w:tcW w:w="2700" w:type="dxa"/>
            <w:tcBorders>
              <w:top w:val="nil"/>
              <w:left w:val="nil"/>
              <w:bottom w:val="nil"/>
              <w:right w:val="nil"/>
            </w:tcBorders>
            <w:vAlign w:val="center"/>
            <w:hideMark/>
          </w:tcPr>
          <w:p w14:paraId="7DD8F3AE"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Lithuania</w:t>
            </w:r>
          </w:p>
        </w:tc>
        <w:tc>
          <w:tcPr>
            <w:tcW w:w="1360" w:type="dxa"/>
            <w:tcBorders>
              <w:top w:val="nil"/>
              <w:left w:val="nil"/>
              <w:bottom w:val="nil"/>
              <w:right w:val="nil"/>
            </w:tcBorders>
            <w:noWrap/>
            <w:hideMark/>
          </w:tcPr>
          <w:p w14:paraId="070962A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w:t>
            </w:r>
          </w:p>
        </w:tc>
        <w:tc>
          <w:tcPr>
            <w:tcW w:w="1880" w:type="dxa"/>
            <w:tcBorders>
              <w:top w:val="nil"/>
              <w:left w:val="nil"/>
              <w:bottom w:val="nil"/>
              <w:right w:val="nil"/>
            </w:tcBorders>
            <w:noWrap/>
            <w:hideMark/>
          </w:tcPr>
          <w:p w14:paraId="0E1A980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2D472BF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w:t>
            </w:r>
          </w:p>
        </w:tc>
        <w:tc>
          <w:tcPr>
            <w:tcW w:w="1640" w:type="dxa"/>
            <w:tcBorders>
              <w:top w:val="nil"/>
              <w:left w:val="nil"/>
              <w:bottom w:val="nil"/>
              <w:right w:val="nil"/>
            </w:tcBorders>
            <w:noWrap/>
            <w:hideMark/>
          </w:tcPr>
          <w:p w14:paraId="1E6DAFD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0.9</w:t>
            </w:r>
          </w:p>
        </w:tc>
      </w:tr>
      <w:tr w:rsidR="00F369DF" w14:paraId="17C8E0D6" w14:textId="77777777" w:rsidTr="00BF139E">
        <w:trPr>
          <w:trHeight w:val="225"/>
        </w:trPr>
        <w:tc>
          <w:tcPr>
            <w:tcW w:w="2700" w:type="dxa"/>
            <w:tcBorders>
              <w:top w:val="nil"/>
              <w:left w:val="nil"/>
              <w:bottom w:val="nil"/>
              <w:right w:val="nil"/>
            </w:tcBorders>
            <w:vAlign w:val="center"/>
            <w:hideMark/>
          </w:tcPr>
          <w:p w14:paraId="40081837"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Malta</w:t>
            </w:r>
          </w:p>
        </w:tc>
        <w:tc>
          <w:tcPr>
            <w:tcW w:w="1360" w:type="dxa"/>
            <w:tcBorders>
              <w:top w:val="nil"/>
              <w:left w:val="nil"/>
              <w:bottom w:val="nil"/>
              <w:right w:val="nil"/>
            </w:tcBorders>
            <w:noWrap/>
            <w:hideMark/>
          </w:tcPr>
          <w:p w14:paraId="1195D09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0.4</w:t>
            </w:r>
          </w:p>
        </w:tc>
        <w:tc>
          <w:tcPr>
            <w:tcW w:w="1880" w:type="dxa"/>
            <w:tcBorders>
              <w:top w:val="nil"/>
              <w:left w:val="nil"/>
              <w:bottom w:val="nil"/>
              <w:right w:val="nil"/>
            </w:tcBorders>
            <w:noWrap/>
            <w:hideMark/>
          </w:tcPr>
          <w:p w14:paraId="3B6F3BA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3550E5A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0.4</w:t>
            </w:r>
          </w:p>
        </w:tc>
        <w:tc>
          <w:tcPr>
            <w:tcW w:w="1640" w:type="dxa"/>
            <w:tcBorders>
              <w:top w:val="nil"/>
              <w:left w:val="nil"/>
              <w:bottom w:val="nil"/>
              <w:right w:val="nil"/>
            </w:tcBorders>
            <w:noWrap/>
            <w:hideMark/>
          </w:tcPr>
          <w:p w14:paraId="7B877CB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0.3</w:t>
            </w:r>
          </w:p>
        </w:tc>
      </w:tr>
      <w:tr w:rsidR="00F369DF" w14:paraId="1A775AAE" w14:textId="77777777" w:rsidTr="00BF139E">
        <w:trPr>
          <w:trHeight w:val="225"/>
        </w:trPr>
        <w:tc>
          <w:tcPr>
            <w:tcW w:w="2700" w:type="dxa"/>
            <w:tcBorders>
              <w:top w:val="nil"/>
              <w:left w:val="nil"/>
              <w:bottom w:val="nil"/>
              <w:right w:val="nil"/>
            </w:tcBorders>
            <w:vAlign w:val="center"/>
            <w:hideMark/>
          </w:tcPr>
          <w:p w14:paraId="10662F90"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Poland</w:t>
            </w:r>
          </w:p>
        </w:tc>
        <w:tc>
          <w:tcPr>
            <w:tcW w:w="1360" w:type="dxa"/>
            <w:tcBorders>
              <w:top w:val="nil"/>
              <w:left w:val="nil"/>
              <w:bottom w:val="nil"/>
              <w:right w:val="nil"/>
            </w:tcBorders>
            <w:noWrap/>
            <w:hideMark/>
          </w:tcPr>
          <w:p w14:paraId="3B3B552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11.2</w:t>
            </w:r>
          </w:p>
        </w:tc>
        <w:tc>
          <w:tcPr>
            <w:tcW w:w="1880" w:type="dxa"/>
            <w:tcBorders>
              <w:top w:val="nil"/>
              <w:left w:val="nil"/>
              <w:bottom w:val="nil"/>
              <w:right w:val="nil"/>
            </w:tcBorders>
            <w:noWrap/>
            <w:hideMark/>
          </w:tcPr>
          <w:p w14:paraId="6E3F32C0"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098AF1A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11.2</w:t>
            </w:r>
          </w:p>
        </w:tc>
        <w:tc>
          <w:tcPr>
            <w:tcW w:w="1640" w:type="dxa"/>
            <w:tcBorders>
              <w:top w:val="nil"/>
              <w:left w:val="nil"/>
              <w:bottom w:val="nil"/>
              <w:right w:val="nil"/>
            </w:tcBorders>
            <w:noWrap/>
            <w:hideMark/>
          </w:tcPr>
          <w:p w14:paraId="3266527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11.2</w:t>
            </w:r>
          </w:p>
        </w:tc>
      </w:tr>
      <w:tr w:rsidR="00F369DF" w14:paraId="672D8C12" w14:textId="77777777" w:rsidTr="00BF139E">
        <w:trPr>
          <w:trHeight w:val="225"/>
        </w:trPr>
        <w:tc>
          <w:tcPr>
            <w:tcW w:w="2700" w:type="dxa"/>
            <w:tcBorders>
              <w:top w:val="nil"/>
              <w:left w:val="nil"/>
              <w:bottom w:val="nil"/>
              <w:right w:val="nil"/>
            </w:tcBorders>
            <w:vAlign w:val="center"/>
            <w:hideMark/>
          </w:tcPr>
          <w:p w14:paraId="6FDE93CF"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Portugal</w:t>
            </w:r>
          </w:p>
        </w:tc>
        <w:tc>
          <w:tcPr>
            <w:tcW w:w="1360" w:type="dxa"/>
            <w:tcBorders>
              <w:top w:val="nil"/>
              <w:left w:val="nil"/>
              <w:bottom w:val="nil"/>
              <w:right w:val="nil"/>
            </w:tcBorders>
            <w:noWrap/>
            <w:hideMark/>
          </w:tcPr>
          <w:p w14:paraId="48D95AC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6.2</w:t>
            </w:r>
          </w:p>
        </w:tc>
        <w:tc>
          <w:tcPr>
            <w:tcW w:w="1880" w:type="dxa"/>
            <w:tcBorders>
              <w:top w:val="nil"/>
              <w:left w:val="nil"/>
              <w:bottom w:val="nil"/>
              <w:right w:val="nil"/>
            </w:tcBorders>
            <w:noWrap/>
            <w:hideMark/>
          </w:tcPr>
          <w:p w14:paraId="557CFB7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36C8807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6.2</w:t>
            </w:r>
          </w:p>
        </w:tc>
        <w:tc>
          <w:tcPr>
            <w:tcW w:w="1640" w:type="dxa"/>
            <w:tcBorders>
              <w:top w:val="nil"/>
              <w:left w:val="nil"/>
              <w:bottom w:val="nil"/>
              <w:right w:val="nil"/>
            </w:tcBorders>
            <w:noWrap/>
            <w:hideMark/>
          </w:tcPr>
          <w:p w14:paraId="44F431F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6.2</w:t>
            </w:r>
          </w:p>
        </w:tc>
      </w:tr>
      <w:tr w:rsidR="00F369DF" w14:paraId="21BBD1B7" w14:textId="77777777" w:rsidTr="00BF139E">
        <w:trPr>
          <w:trHeight w:val="225"/>
        </w:trPr>
        <w:tc>
          <w:tcPr>
            <w:tcW w:w="2700" w:type="dxa"/>
            <w:tcBorders>
              <w:top w:val="nil"/>
              <w:left w:val="nil"/>
              <w:bottom w:val="nil"/>
              <w:right w:val="nil"/>
            </w:tcBorders>
            <w:vAlign w:val="center"/>
            <w:hideMark/>
          </w:tcPr>
          <w:p w14:paraId="59638958"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Romania</w:t>
            </w:r>
          </w:p>
        </w:tc>
        <w:tc>
          <w:tcPr>
            <w:tcW w:w="1360" w:type="dxa"/>
            <w:tcBorders>
              <w:top w:val="nil"/>
              <w:left w:val="nil"/>
              <w:bottom w:val="nil"/>
              <w:right w:val="nil"/>
            </w:tcBorders>
            <w:noWrap/>
            <w:hideMark/>
          </w:tcPr>
          <w:p w14:paraId="5A98EA0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3.0</w:t>
            </w:r>
          </w:p>
        </w:tc>
        <w:tc>
          <w:tcPr>
            <w:tcW w:w="1880" w:type="dxa"/>
            <w:tcBorders>
              <w:top w:val="nil"/>
              <w:left w:val="nil"/>
              <w:bottom w:val="nil"/>
              <w:right w:val="nil"/>
            </w:tcBorders>
            <w:noWrap/>
            <w:hideMark/>
          </w:tcPr>
          <w:p w14:paraId="37561DE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7DC6E6B5"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3.0</w:t>
            </w:r>
          </w:p>
        </w:tc>
        <w:tc>
          <w:tcPr>
            <w:tcW w:w="1640" w:type="dxa"/>
            <w:tcBorders>
              <w:top w:val="nil"/>
              <w:left w:val="nil"/>
              <w:bottom w:val="nil"/>
              <w:right w:val="nil"/>
            </w:tcBorders>
            <w:noWrap/>
            <w:hideMark/>
          </w:tcPr>
          <w:p w14:paraId="528DB73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3.0</w:t>
            </w:r>
          </w:p>
        </w:tc>
      </w:tr>
      <w:tr w:rsidR="00F369DF" w14:paraId="666D6FFE" w14:textId="77777777" w:rsidTr="00BF139E">
        <w:trPr>
          <w:trHeight w:val="225"/>
        </w:trPr>
        <w:tc>
          <w:tcPr>
            <w:tcW w:w="2700" w:type="dxa"/>
            <w:tcBorders>
              <w:top w:val="nil"/>
              <w:left w:val="nil"/>
              <w:bottom w:val="nil"/>
              <w:right w:val="nil"/>
            </w:tcBorders>
            <w:vAlign w:val="center"/>
            <w:hideMark/>
          </w:tcPr>
          <w:p w14:paraId="3D692D8D"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Slovakia</w:t>
            </w:r>
          </w:p>
        </w:tc>
        <w:tc>
          <w:tcPr>
            <w:tcW w:w="1360" w:type="dxa"/>
            <w:tcBorders>
              <w:top w:val="nil"/>
              <w:left w:val="nil"/>
              <w:bottom w:val="nil"/>
              <w:right w:val="nil"/>
            </w:tcBorders>
            <w:noWrap/>
            <w:hideMark/>
          </w:tcPr>
          <w:p w14:paraId="07054C6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0.6</w:t>
            </w:r>
          </w:p>
        </w:tc>
        <w:tc>
          <w:tcPr>
            <w:tcW w:w="1880" w:type="dxa"/>
            <w:tcBorders>
              <w:top w:val="nil"/>
              <w:left w:val="nil"/>
              <w:bottom w:val="nil"/>
              <w:right w:val="nil"/>
            </w:tcBorders>
            <w:noWrap/>
            <w:hideMark/>
          </w:tcPr>
          <w:p w14:paraId="715188A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5FF52C9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0.6</w:t>
            </w:r>
          </w:p>
        </w:tc>
        <w:tc>
          <w:tcPr>
            <w:tcW w:w="1640" w:type="dxa"/>
            <w:tcBorders>
              <w:top w:val="nil"/>
              <w:left w:val="nil"/>
              <w:bottom w:val="nil"/>
              <w:right w:val="nil"/>
            </w:tcBorders>
            <w:noWrap/>
            <w:hideMark/>
          </w:tcPr>
          <w:p w14:paraId="5BBC6B4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0.6</w:t>
            </w:r>
          </w:p>
        </w:tc>
      </w:tr>
      <w:tr w:rsidR="00F369DF" w14:paraId="52B82BB2" w14:textId="77777777" w:rsidTr="00BF139E">
        <w:trPr>
          <w:trHeight w:val="225"/>
        </w:trPr>
        <w:tc>
          <w:tcPr>
            <w:tcW w:w="2700" w:type="dxa"/>
            <w:tcBorders>
              <w:top w:val="nil"/>
              <w:left w:val="nil"/>
              <w:bottom w:val="nil"/>
              <w:right w:val="nil"/>
            </w:tcBorders>
            <w:vAlign w:val="center"/>
            <w:hideMark/>
          </w:tcPr>
          <w:p w14:paraId="0F6E4941"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Slovenia</w:t>
            </w:r>
          </w:p>
        </w:tc>
        <w:tc>
          <w:tcPr>
            <w:tcW w:w="1360" w:type="dxa"/>
            <w:tcBorders>
              <w:top w:val="nil"/>
              <w:left w:val="nil"/>
              <w:bottom w:val="nil"/>
              <w:right w:val="nil"/>
            </w:tcBorders>
            <w:noWrap/>
            <w:hideMark/>
          </w:tcPr>
          <w:p w14:paraId="14FCFE4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w:t>
            </w:r>
          </w:p>
        </w:tc>
        <w:tc>
          <w:tcPr>
            <w:tcW w:w="1880" w:type="dxa"/>
            <w:tcBorders>
              <w:top w:val="nil"/>
              <w:left w:val="nil"/>
              <w:bottom w:val="nil"/>
              <w:right w:val="nil"/>
            </w:tcBorders>
            <w:noWrap/>
            <w:hideMark/>
          </w:tcPr>
          <w:p w14:paraId="48B2F3E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1444D605"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w:t>
            </w:r>
          </w:p>
        </w:tc>
        <w:tc>
          <w:tcPr>
            <w:tcW w:w="1640" w:type="dxa"/>
            <w:tcBorders>
              <w:top w:val="nil"/>
              <w:left w:val="nil"/>
              <w:bottom w:val="nil"/>
              <w:right w:val="nil"/>
            </w:tcBorders>
            <w:noWrap/>
            <w:hideMark/>
          </w:tcPr>
          <w:p w14:paraId="2FD3282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0.9</w:t>
            </w:r>
          </w:p>
        </w:tc>
      </w:tr>
      <w:tr w:rsidR="00F369DF" w14:paraId="5C199558" w14:textId="77777777" w:rsidTr="00BF139E">
        <w:trPr>
          <w:trHeight w:val="240"/>
        </w:trPr>
        <w:tc>
          <w:tcPr>
            <w:tcW w:w="2700" w:type="dxa"/>
            <w:tcBorders>
              <w:top w:val="nil"/>
              <w:left w:val="nil"/>
              <w:bottom w:val="nil"/>
              <w:right w:val="nil"/>
            </w:tcBorders>
            <w:vAlign w:val="center"/>
            <w:hideMark/>
          </w:tcPr>
          <w:p w14:paraId="7E712919"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Spain</w:t>
            </w:r>
          </w:p>
        </w:tc>
        <w:tc>
          <w:tcPr>
            <w:tcW w:w="1360" w:type="dxa"/>
            <w:tcBorders>
              <w:top w:val="nil"/>
              <w:left w:val="nil"/>
              <w:bottom w:val="nil"/>
              <w:right w:val="nil"/>
            </w:tcBorders>
            <w:noWrap/>
            <w:hideMark/>
          </w:tcPr>
          <w:p w14:paraId="56429154"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21.3</w:t>
            </w:r>
          </w:p>
        </w:tc>
        <w:tc>
          <w:tcPr>
            <w:tcW w:w="1880" w:type="dxa"/>
            <w:tcBorders>
              <w:top w:val="nil"/>
              <w:left w:val="nil"/>
              <w:bottom w:val="nil"/>
              <w:right w:val="nil"/>
            </w:tcBorders>
            <w:noWrap/>
            <w:hideMark/>
          </w:tcPr>
          <w:p w14:paraId="52CE170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4757889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21.3</w:t>
            </w:r>
          </w:p>
        </w:tc>
        <w:tc>
          <w:tcPr>
            <w:tcW w:w="1640" w:type="dxa"/>
            <w:tcBorders>
              <w:top w:val="nil"/>
              <w:left w:val="nil"/>
              <w:bottom w:val="nil"/>
              <w:right w:val="nil"/>
            </w:tcBorders>
            <w:noWrap/>
            <w:hideMark/>
          </w:tcPr>
          <w:p w14:paraId="04200983"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18.5</w:t>
            </w:r>
          </w:p>
        </w:tc>
      </w:tr>
      <w:tr w:rsidR="00F369DF" w14:paraId="443A9A2D" w14:textId="77777777" w:rsidTr="00BF139E">
        <w:trPr>
          <w:trHeight w:val="240"/>
        </w:trPr>
        <w:tc>
          <w:tcPr>
            <w:tcW w:w="2700" w:type="dxa"/>
            <w:tcBorders>
              <w:top w:val="single" w:sz="8" w:space="0" w:color="016794"/>
              <w:left w:val="nil"/>
              <w:bottom w:val="single" w:sz="8" w:space="0" w:color="016794"/>
              <w:right w:val="nil"/>
            </w:tcBorders>
            <w:vAlign w:val="center"/>
            <w:hideMark/>
          </w:tcPr>
          <w:p w14:paraId="5C8337FE"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 </w:t>
            </w:r>
          </w:p>
        </w:tc>
        <w:tc>
          <w:tcPr>
            <w:tcW w:w="1360" w:type="dxa"/>
            <w:tcBorders>
              <w:top w:val="single" w:sz="8" w:space="0" w:color="016794"/>
              <w:left w:val="nil"/>
              <w:bottom w:val="single" w:sz="8" w:space="0" w:color="016794"/>
              <w:right w:val="nil"/>
            </w:tcBorders>
            <w:vAlign w:val="center"/>
            <w:hideMark/>
          </w:tcPr>
          <w:p w14:paraId="3108021C"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98.4</w:t>
            </w:r>
          </w:p>
        </w:tc>
        <w:tc>
          <w:tcPr>
            <w:tcW w:w="1880" w:type="dxa"/>
            <w:tcBorders>
              <w:top w:val="single" w:sz="8" w:space="0" w:color="016794"/>
              <w:left w:val="nil"/>
              <w:bottom w:val="single" w:sz="8" w:space="0" w:color="016794"/>
              <w:right w:val="nil"/>
            </w:tcBorders>
            <w:vAlign w:val="center"/>
            <w:hideMark/>
          </w:tcPr>
          <w:p w14:paraId="1B45C929"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w:t>
            </w:r>
          </w:p>
        </w:tc>
        <w:tc>
          <w:tcPr>
            <w:tcW w:w="1960" w:type="dxa"/>
            <w:tcBorders>
              <w:top w:val="single" w:sz="8" w:space="0" w:color="016794"/>
              <w:left w:val="nil"/>
              <w:bottom w:val="single" w:sz="8" w:space="0" w:color="016794"/>
              <w:right w:val="nil"/>
            </w:tcBorders>
            <w:vAlign w:val="center"/>
            <w:hideMark/>
          </w:tcPr>
          <w:p w14:paraId="5F42ED54"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98.4</w:t>
            </w:r>
          </w:p>
        </w:tc>
        <w:tc>
          <w:tcPr>
            <w:tcW w:w="1640" w:type="dxa"/>
            <w:tcBorders>
              <w:top w:val="single" w:sz="8" w:space="0" w:color="016794"/>
              <w:left w:val="nil"/>
              <w:bottom w:val="single" w:sz="8" w:space="0" w:color="016794"/>
              <w:right w:val="nil"/>
            </w:tcBorders>
            <w:vAlign w:val="center"/>
            <w:hideMark/>
          </w:tcPr>
          <w:p w14:paraId="25979BA4"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90.4</w:t>
            </w:r>
          </w:p>
        </w:tc>
      </w:tr>
      <w:tr w:rsidR="00F369DF" w14:paraId="7E3817EC" w14:textId="77777777">
        <w:trPr>
          <w:trHeight w:val="225"/>
        </w:trPr>
        <w:tc>
          <w:tcPr>
            <w:tcW w:w="2700" w:type="dxa"/>
            <w:tcBorders>
              <w:top w:val="nil"/>
              <w:left w:val="nil"/>
              <w:bottom w:val="nil"/>
              <w:right w:val="nil"/>
            </w:tcBorders>
            <w:shd w:val="clear" w:color="000000" w:fill="DBE5F1"/>
            <w:vAlign w:val="center"/>
            <w:hideMark/>
          </w:tcPr>
          <w:p w14:paraId="173981A6"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EFSM</w:t>
            </w:r>
          </w:p>
        </w:tc>
        <w:tc>
          <w:tcPr>
            <w:tcW w:w="1360" w:type="dxa"/>
            <w:tcBorders>
              <w:top w:val="nil"/>
              <w:left w:val="nil"/>
              <w:bottom w:val="nil"/>
              <w:right w:val="nil"/>
            </w:tcBorders>
            <w:shd w:val="clear" w:color="000000" w:fill="DBE5F1"/>
            <w:vAlign w:val="center"/>
            <w:hideMark/>
          </w:tcPr>
          <w:p w14:paraId="142F73D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880" w:type="dxa"/>
            <w:tcBorders>
              <w:top w:val="nil"/>
              <w:left w:val="nil"/>
              <w:bottom w:val="nil"/>
              <w:right w:val="nil"/>
            </w:tcBorders>
            <w:shd w:val="clear" w:color="000000" w:fill="DBE5F1"/>
            <w:vAlign w:val="center"/>
            <w:hideMark/>
          </w:tcPr>
          <w:p w14:paraId="7B7C5506"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 </w:t>
            </w:r>
          </w:p>
        </w:tc>
        <w:tc>
          <w:tcPr>
            <w:tcW w:w="1960" w:type="dxa"/>
            <w:tcBorders>
              <w:top w:val="nil"/>
              <w:left w:val="nil"/>
              <w:bottom w:val="nil"/>
              <w:right w:val="nil"/>
            </w:tcBorders>
            <w:shd w:val="clear" w:color="000000" w:fill="DBE5F1"/>
            <w:vAlign w:val="center"/>
            <w:hideMark/>
          </w:tcPr>
          <w:p w14:paraId="6BD6B76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640" w:type="dxa"/>
            <w:tcBorders>
              <w:top w:val="nil"/>
              <w:left w:val="nil"/>
              <w:bottom w:val="nil"/>
              <w:right w:val="nil"/>
            </w:tcBorders>
            <w:shd w:val="clear" w:color="000000" w:fill="DBE5F1"/>
            <w:vAlign w:val="center"/>
            <w:hideMark/>
          </w:tcPr>
          <w:p w14:paraId="274787F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r>
      <w:tr w:rsidR="00F369DF" w14:paraId="00956EDD" w14:textId="77777777" w:rsidTr="00BF139E">
        <w:trPr>
          <w:trHeight w:val="225"/>
        </w:trPr>
        <w:tc>
          <w:tcPr>
            <w:tcW w:w="2700" w:type="dxa"/>
            <w:tcBorders>
              <w:top w:val="nil"/>
              <w:left w:val="nil"/>
              <w:bottom w:val="nil"/>
              <w:right w:val="nil"/>
            </w:tcBorders>
            <w:vAlign w:val="center"/>
            <w:hideMark/>
          </w:tcPr>
          <w:p w14:paraId="48FAA8FA"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Ireland</w:t>
            </w:r>
          </w:p>
        </w:tc>
        <w:tc>
          <w:tcPr>
            <w:tcW w:w="1360" w:type="dxa"/>
            <w:tcBorders>
              <w:top w:val="nil"/>
              <w:left w:val="nil"/>
              <w:bottom w:val="nil"/>
              <w:right w:val="nil"/>
            </w:tcBorders>
            <w:noWrap/>
            <w:hideMark/>
          </w:tcPr>
          <w:p w14:paraId="53315C8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22.5</w:t>
            </w:r>
          </w:p>
        </w:tc>
        <w:tc>
          <w:tcPr>
            <w:tcW w:w="1880" w:type="dxa"/>
            <w:tcBorders>
              <w:top w:val="nil"/>
              <w:left w:val="nil"/>
              <w:bottom w:val="nil"/>
              <w:right w:val="nil"/>
            </w:tcBorders>
            <w:noWrap/>
            <w:hideMark/>
          </w:tcPr>
          <w:p w14:paraId="27B8965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6F6C70E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22.5</w:t>
            </w:r>
          </w:p>
        </w:tc>
        <w:tc>
          <w:tcPr>
            <w:tcW w:w="1640" w:type="dxa"/>
            <w:tcBorders>
              <w:top w:val="nil"/>
              <w:left w:val="nil"/>
              <w:bottom w:val="nil"/>
              <w:right w:val="nil"/>
            </w:tcBorders>
            <w:noWrap/>
            <w:hideMark/>
          </w:tcPr>
          <w:p w14:paraId="2E33497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17.3</w:t>
            </w:r>
          </w:p>
        </w:tc>
      </w:tr>
      <w:tr w:rsidR="00F369DF" w14:paraId="3C03B6E7" w14:textId="77777777" w:rsidTr="00BF139E">
        <w:trPr>
          <w:trHeight w:val="240"/>
        </w:trPr>
        <w:tc>
          <w:tcPr>
            <w:tcW w:w="2700" w:type="dxa"/>
            <w:tcBorders>
              <w:top w:val="nil"/>
              <w:left w:val="nil"/>
              <w:bottom w:val="nil"/>
              <w:right w:val="nil"/>
            </w:tcBorders>
            <w:vAlign w:val="center"/>
            <w:hideMark/>
          </w:tcPr>
          <w:p w14:paraId="7FCABC98"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Portugal</w:t>
            </w:r>
          </w:p>
        </w:tc>
        <w:tc>
          <w:tcPr>
            <w:tcW w:w="1360" w:type="dxa"/>
            <w:tcBorders>
              <w:top w:val="nil"/>
              <w:left w:val="nil"/>
              <w:bottom w:val="nil"/>
              <w:right w:val="nil"/>
            </w:tcBorders>
            <w:noWrap/>
            <w:hideMark/>
          </w:tcPr>
          <w:p w14:paraId="1FB208C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24.3</w:t>
            </w:r>
          </w:p>
        </w:tc>
        <w:tc>
          <w:tcPr>
            <w:tcW w:w="1880" w:type="dxa"/>
            <w:tcBorders>
              <w:top w:val="nil"/>
              <w:left w:val="nil"/>
              <w:bottom w:val="nil"/>
              <w:right w:val="nil"/>
            </w:tcBorders>
            <w:noWrap/>
            <w:hideMark/>
          </w:tcPr>
          <w:p w14:paraId="0C07C5E3"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213F582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24.3</w:t>
            </w:r>
          </w:p>
        </w:tc>
        <w:tc>
          <w:tcPr>
            <w:tcW w:w="1640" w:type="dxa"/>
            <w:tcBorders>
              <w:top w:val="nil"/>
              <w:left w:val="nil"/>
              <w:bottom w:val="nil"/>
              <w:right w:val="nil"/>
            </w:tcBorders>
            <w:noWrap/>
            <w:hideMark/>
          </w:tcPr>
          <w:p w14:paraId="16259CF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19.8</w:t>
            </w:r>
          </w:p>
        </w:tc>
      </w:tr>
      <w:tr w:rsidR="00F369DF" w14:paraId="1F6ED55C" w14:textId="77777777" w:rsidTr="00BF139E">
        <w:trPr>
          <w:trHeight w:val="240"/>
        </w:trPr>
        <w:tc>
          <w:tcPr>
            <w:tcW w:w="2700" w:type="dxa"/>
            <w:tcBorders>
              <w:top w:val="single" w:sz="8" w:space="0" w:color="016794"/>
              <w:left w:val="nil"/>
              <w:bottom w:val="single" w:sz="8" w:space="0" w:color="016794"/>
              <w:right w:val="nil"/>
            </w:tcBorders>
            <w:vAlign w:val="center"/>
            <w:hideMark/>
          </w:tcPr>
          <w:p w14:paraId="758C8977"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 </w:t>
            </w:r>
          </w:p>
        </w:tc>
        <w:tc>
          <w:tcPr>
            <w:tcW w:w="1360" w:type="dxa"/>
            <w:tcBorders>
              <w:top w:val="single" w:sz="8" w:space="0" w:color="016794"/>
              <w:left w:val="nil"/>
              <w:bottom w:val="single" w:sz="8" w:space="0" w:color="016794"/>
              <w:right w:val="nil"/>
            </w:tcBorders>
            <w:vAlign w:val="center"/>
            <w:hideMark/>
          </w:tcPr>
          <w:p w14:paraId="2B829A5C"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46.8</w:t>
            </w:r>
          </w:p>
        </w:tc>
        <w:tc>
          <w:tcPr>
            <w:tcW w:w="1880" w:type="dxa"/>
            <w:tcBorders>
              <w:top w:val="single" w:sz="8" w:space="0" w:color="016794"/>
              <w:left w:val="nil"/>
              <w:bottom w:val="single" w:sz="8" w:space="0" w:color="016794"/>
              <w:right w:val="nil"/>
            </w:tcBorders>
            <w:vAlign w:val="center"/>
            <w:hideMark/>
          </w:tcPr>
          <w:p w14:paraId="4C688646"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w:t>
            </w:r>
          </w:p>
        </w:tc>
        <w:tc>
          <w:tcPr>
            <w:tcW w:w="1960" w:type="dxa"/>
            <w:tcBorders>
              <w:top w:val="single" w:sz="8" w:space="0" w:color="016794"/>
              <w:left w:val="nil"/>
              <w:bottom w:val="single" w:sz="8" w:space="0" w:color="016794"/>
              <w:right w:val="nil"/>
            </w:tcBorders>
            <w:vAlign w:val="center"/>
            <w:hideMark/>
          </w:tcPr>
          <w:p w14:paraId="60F416E0"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46.8</w:t>
            </w:r>
          </w:p>
        </w:tc>
        <w:tc>
          <w:tcPr>
            <w:tcW w:w="1640" w:type="dxa"/>
            <w:tcBorders>
              <w:top w:val="single" w:sz="8" w:space="0" w:color="016794"/>
              <w:left w:val="nil"/>
              <w:bottom w:val="single" w:sz="8" w:space="0" w:color="016794"/>
              <w:right w:val="nil"/>
            </w:tcBorders>
            <w:vAlign w:val="center"/>
            <w:hideMark/>
          </w:tcPr>
          <w:p w14:paraId="0F1E7B5A"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37.1</w:t>
            </w:r>
          </w:p>
        </w:tc>
      </w:tr>
      <w:tr w:rsidR="00F369DF" w14:paraId="5FD0DFB6" w14:textId="77777777">
        <w:trPr>
          <w:trHeight w:val="225"/>
        </w:trPr>
        <w:tc>
          <w:tcPr>
            <w:tcW w:w="2700" w:type="dxa"/>
            <w:tcBorders>
              <w:top w:val="nil"/>
              <w:left w:val="nil"/>
              <w:bottom w:val="nil"/>
              <w:right w:val="nil"/>
            </w:tcBorders>
            <w:shd w:val="clear" w:color="000000" w:fill="DBE5F1"/>
            <w:vAlign w:val="center"/>
            <w:hideMark/>
          </w:tcPr>
          <w:p w14:paraId="79FBDD98"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MFA</w:t>
            </w:r>
          </w:p>
        </w:tc>
        <w:tc>
          <w:tcPr>
            <w:tcW w:w="1360" w:type="dxa"/>
            <w:tcBorders>
              <w:top w:val="nil"/>
              <w:left w:val="nil"/>
              <w:bottom w:val="nil"/>
              <w:right w:val="nil"/>
            </w:tcBorders>
            <w:shd w:val="clear" w:color="000000" w:fill="DBE5F1"/>
            <w:vAlign w:val="center"/>
            <w:hideMark/>
          </w:tcPr>
          <w:p w14:paraId="4E7112B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880" w:type="dxa"/>
            <w:tcBorders>
              <w:top w:val="nil"/>
              <w:left w:val="nil"/>
              <w:bottom w:val="nil"/>
              <w:right w:val="nil"/>
            </w:tcBorders>
            <w:shd w:val="clear" w:color="000000" w:fill="DBE5F1"/>
            <w:vAlign w:val="center"/>
            <w:hideMark/>
          </w:tcPr>
          <w:p w14:paraId="62E8ED0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960" w:type="dxa"/>
            <w:tcBorders>
              <w:top w:val="nil"/>
              <w:left w:val="nil"/>
              <w:bottom w:val="nil"/>
              <w:right w:val="nil"/>
            </w:tcBorders>
            <w:shd w:val="clear" w:color="000000" w:fill="DBE5F1"/>
            <w:vAlign w:val="center"/>
            <w:hideMark/>
          </w:tcPr>
          <w:p w14:paraId="1CDAC00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640" w:type="dxa"/>
            <w:tcBorders>
              <w:top w:val="nil"/>
              <w:left w:val="nil"/>
              <w:bottom w:val="nil"/>
              <w:right w:val="nil"/>
            </w:tcBorders>
            <w:shd w:val="clear" w:color="000000" w:fill="DBE5F1"/>
            <w:vAlign w:val="center"/>
            <w:hideMark/>
          </w:tcPr>
          <w:p w14:paraId="0F0577C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r>
      <w:tr w:rsidR="00F369DF" w14:paraId="5D418BC1" w14:textId="77777777" w:rsidTr="00BF139E">
        <w:trPr>
          <w:trHeight w:val="225"/>
        </w:trPr>
        <w:tc>
          <w:tcPr>
            <w:tcW w:w="2700" w:type="dxa"/>
            <w:tcBorders>
              <w:top w:val="nil"/>
              <w:left w:val="nil"/>
              <w:bottom w:val="nil"/>
              <w:right w:val="nil"/>
            </w:tcBorders>
            <w:vAlign w:val="center"/>
            <w:hideMark/>
          </w:tcPr>
          <w:p w14:paraId="6B2341D3"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Albania</w:t>
            </w:r>
          </w:p>
        </w:tc>
        <w:tc>
          <w:tcPr>
            <w:tcW w:w="1360" w:type="dxa"/>
            <w:tcBorders>
              <w:top w:val="nil"/>
              <w:left w:val="nil"/>
              <w:bottom w:val="nil"/>
              <w:right w:val="nil"/>
            </w:tcBorders>
            <w:noWrap/>
            <w:hideMark/>
          </w:tcPr>
          <w:p w14:paraId="42A12D65"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0.2</w:t>
            </w:r>
          </w:p>
        </w:tc>
        <w:tc>
          <w:tcPr>
            <w:tcW w:w="1880" w:type="dxa"/>
            <w:tcBorders>
              <w:top w:val="nil"/>
              <w:left w:val="nil"/>
              <w:bottom w:val="nil"/>
              <w:right w:val="nil"/>
            </w:tcBorders>
            <w:noWrap/>
            <w:hideMark/>
          </w:tcPr>
          <w:p w14:paraId="3C574B5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7BF225A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0.2</w:t>
            </w:r>
          </w:p>
        </w:tc>
        <w:tc>
          <w:tcPr>
            <w:tcW w:w="1640" w:type="dxa"/>
            <w:tcBorders>
              <w:top w:val="nil"/>
              <w:left w:val="nil"/>
              <w:bottom w:val="nil"/>
              <w:right w:val="nil"/>
            </w:tcBorders>
            <w:noWrap/>
            <w:hideMark/>
          </w:tcPr>
          <w:p w14:paraId="139BDB8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0.2</w:t>
            </w:r>
          </w:p>
        </w:tc>
      </w:tr>
      <w:tr w:rsidR="00F369DF" w14:paraId="6543AB4E" w14:textId="77777777" w:rsidTr="00BF139E">
        <w:trPr>
          <w:trHeight w:val="225"/>
        </w:trPr>
        <w:tc>
          <w:tcPr>
            <w:tcW w:w="2700" w:type="dxa"/>
            <w:tcBorders>
              <w:top w:val="nil"/>
              <w:left w:val="nil"/>
              <w:bottom w:val="nil"/>
              <w:right w:val="nil"/>
            </w:tcBorders>
            <w:vAlign w:val="center"/>
            <w:hideMark/>
          </w:tcPr>
          <w:p w14:paraId="369B506B"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Armenia</w:t>
            </w:r>
          </w:p>
        </w:tc>
        <w:tc>
          <w:tcPr>
            <w:tcW w:w="1360" w:type="dxa"/>
            <w:tcBorders>
              <w:top w:val="nil"/>
              <w:left w:val="nil"/>
              <w:bottom w:val="nil"/>
              <w:right w:val="nil"/>
            </w:tcBorders>
            <w:noWrap/>
            <w:hideMark/>
          </w:tcPr>
          <w:p w14:paraId="7F68E28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880" w:type="dxa"/>
            <w:tcBorders>
              <w:top w:val="nil"/>
              <w:left w:val="nil"/>
              <w:bottom w:val="nil"/>
              <w:right w:val="nil"/>
            </w:tcBorders>
            <w:noWrap/>
            <w:hideMark/>
          </w:tcPr>
          <w:p w14:paraId="75C71DB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72CC238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640" w:type="dxa"/>
            <w:tcBorders>
              <w:top w:val="nil"/>
              <w:left w:val="nil"/>
              <w:bottom w:val="nil"/>
              <w:right w:val="nil"/>
            </w:tcBorders>
            <w:noWrap/>
            <w:hideMark/>
          </w:tcPr>
          <w:p w14:paraId="1C7C3D2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r>
      <w:tr w:rsidR="00F369DF" w14:paraId="59F90908" w14:textId="77777777" w:rsidTr="00BF139E">
        <w:trPr>
          <w:trHeight w:val="225"/>
        </w:trPr>
        <w:tc>
          <w:tcPr>
            <w:tcW w:w="2700" w:type="dxa"/>
            <w:tcBorders>
              <w:top w:val="nil"/>
              <w:left w:val="nil"/>
              <w:bottom w:val="nil"/>
              <w:right w:val="nil"/>
            </w:tcBorders>
            <w:vAlign w:val="center"/>
            <w:hideMark/>
          </w:tcPr>
          <w:p w14:paraId="700FC5DF"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Bosnia Herzeg.</w:t>
            </w:r>
          </w:p>
        </w:tc>
        <w:tc>
          <w:tcPr>
            <w:tcW w:w="1360" w:type="dxa"/>
            <w:tcBorders>
              <w:top w:val="nil"/>
              <w:left w:val="nil"/>
              <w:bottom w:val="nil"/>
              <w:right w:val="nil"/>
            </w:tcBorders>
            <w:noWrap/>
            <w:hideMark/>
          </w:tcPr>
          <w:p w14:paraId="2826E37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880" w:type="dxa"/>
            <w:tcBorders>
              <w:top w:val="nil"/>
              <w:left w:val="nil"/>
              <w:bottom w:val="nil"/>
              <w:right w:val="nil"/>
            </w:tcBorders>
            <w:noWrap/>
            <w:hideMark/>
          </w:tcPr>
          <w:p w14:paraId="76F2066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3DEC8F0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640" w:type="dxa"/>
            <w:tcBorders>
              <w:top w:val="nil"/>
              <w:left w:val="nil"/>
              <w:bottom w:val="nil"/>
              <w:right w:val="nil"/>
            </w:tcBorders>
            <w:noWrap/>
            <w:hideMark/>
          </w:tcPr>
          <w:p w14:paraId="373727A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r>
      <w:tr w:rsidR="00F369DF" w14:paraId="035C02D9" w14:textId="77777777" w:rsidTr="00BF139E">
        <w:trPr>
          <w:trHeight w:val="225"/>
        </w:trPr>
        <w:tc>
          <w:tcPr>
            <w:tcW w:w="2700" w:type="dxa"/>
            <w:tcBorders>
              <w:top w:val="nil"/>
              <w:left w:val="nil"/>
              <w:bottom w:val="nil"/>
              <w:right w:val="nil"/>
            </w:tcBorders>
            <w:vAlign w:val="center"/>
            <w:hideMark/>
          </w:tcPr>
          <w:p w14:paraId="41DC702B"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Georgia</w:t>
            </w:r>
          </w:p>
        </w:tc>
        <w:tc>
          <w:tcPr>
            <w:tcW w:w="1360" w:type="dxa"/>
            <w:tcBorders>
              <w:top w:val="nil"/>
              <w:left w:val="nil"/>
              <w:bottom w:val="nil"/>
              <w:right w:val="nil"/>
            </w:tcBorders>
            <w:noWrap/>
            <w:hideMark/>
          </w:tcPr>
          <w:p w14:paraId="40C7E98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880" w:type="dxa"/>
            <w:tcBorders>
              <w:top w:val="nil"/>
              <w:left w:val="nil"/>
              <w:bottom w:val="nil"/>
              <w:right w:val="nil"/>
            </w:tcBorders>
            <w:noWrap/>
            <w:hideMark/>
          </w:tcPr>
          <w:p w14:paraId="5057AE7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4ECC3EA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640" w:type="dxa"/>
            <w:tcBorders>
              <w:top w:val="nil"/>
              <w:left w:val="nil"/>
              <w:bottom w:val="nil"/>
              <w:right w:val="nil"/>
            </w:tcBorders>
            <w:noWrap/>
            <w:hideMark/>
          </w:tcPr>
          <w:p w14:paraId="0C8C747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r>
      <w:tr w:rsidR="00F369DF" w14:paraId="5818B7EA" w14:textId="77777777" w:rsidTr="00BF139E">
        <w:trPr>
          <w:trHeight w:val="225"/>
        </w:trPr>
        <w:tc>
          <w:tcPr>
            <w:tcW w:w="2700" w:type="dxa"/>
            <w:tcBorders>
              <w:top w:val="nil"/>
              <w:left w:val="nil"/>
              <w:bottom w:val="nil"/>
              <w:right w:val="nil"/>
            </w:tcBorders>
            <w:vAlign w:val="center"/>
            <w:hideMark/>
          </w:tcPr>
          <w:p w14:paraId="7BE5F29B"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Jordan</w:t>
            </w:r>
          </w:p>
        </w:tc>
        <w:tc>
          <w:tcPr>
            <w:tcW w:w="1360" w:type="dxa"/>
            <w:tcBorders>
              <w:top w:val="nil"/>
              <w:left w:val="nil"/>
              <w:bottom w:val="nil"/>
              <w:right w:val="nil"/>
            </w:tcBorders>
            <w:noWrap/>
            <w:hideMark/>
          </w:tcPr>
          <w:p w14:paraId="3F9911D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1.6</w:t>
            </w:r>
          </w:p>
        </w:tc>
        <w:tc>
          <w:tcPr>
            <w:tcW w:w="1880" w:type="dxa"/>
            <w:tcBorders>
              <w:top w:val="nil"/>
              <w:left w:val="nil"/>
              <w:bottom w:val="nil"/>
              <w:right w:val="nil"/>
            </w:tcBorders>
            <w:noWrap/>
            <w:hideMark/>
          </w:tcPr>
          <w:p w14:paraId="6E4EC79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0.3</w:t>
            </w:r>
          </w:p>
        </w:tc>
        <w:tc>
          <w:tcPr>
            <w:tcW w:w="1960" w:type="dxa"/>
            <w:tcBorders>
              <w:top w:val="nil"/>
              <w:left w:val="nil"/>
              <w:bottom w:val="nil"/>
              <w:right w:val="nil"/>
            </w:tcBorders>
            <w:noWrap/>
            <w:hideMark/>
          </w:tcPr>
          <w:p w14:paraId="5F4CAFB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1.3</w:t>
            </w:r>
          </w:p>
        </w:tc>
        <w:tc>
          <w:tcPr>
            <w:tcW w:w="1640" w:type="dxa"/>
            <w:tcBorders>
              <w:top w:val="nil"/>
              <w:left w:val="nil"/>
              <w:bottom w:val="nil"/>
              <w:right w:val="nil"/>
            </w:tcBorders>
            <w:noWrap/>
            <w:hideMark/>
          </w:tcPr>
          <w:p w14:paraId="1BFD1B9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1.3</w:t>
            </w:r>
          </w:p>
        </w:tc>
      </w:tr>
      <w:tr w:rsidR="00F369DF" w14:paraId="5FC8FDD5" w14:textId="77777777" w:rsidTr="00BF139E">
        <w:trPr>
          <w:trHeight w:val="225"/>
        </w:trPr>
        <w:tc>
          <w:tcPr>
            <w:tcW w:w="2700" w:type="dxa"/>
            <w:tcBorders>
              <w:top w:val="nil"/>
              <w:left w:val="nil"/>
              <w:bottom w:val="nil"/>
              <w:right w:val="nil"/>
            </w:tcBorders>
            <w:vAlign w:val="center"/>
            <w:hideMark/>
          </w:tcPr>
          <w:p w14:paraId="47546519"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Kosovo</w:t>
            </w:r>
          </w:p>
        </w:tc>
        <w:tc>
          <w:tcPr>
            <w:tcW w:w="1360" w:type="dxa"/>
            <w:tcBorders>
              <w:top w:val="nil"/>
              <w:left w:val="nil"/>
              <w:bottom w:val="nil"/>
              <w:right w:val="nil"/>
            </w:tcBorders>
            <w:noWrap/>
            <w:hideMark/>
          </w:tcPr>
          <w:p w14:paraId="0BB748C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880" w:type="dxa"/>
            <w:tcBorders>
              <w:top w:val="nil"/>
              <w:left w:val="nil"/>
              <w:bottom w:val="nil"/>
              <w:right w:val="nil"/>
            </w:tcBorders>
            <w:noWrap/>
            <w:hideMark/>
          </w:tcPr>
          <w:p w14:paraId="1170965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27449ED0"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640" w:type="dxa"/>
            <w:tcBorders>
              <w:top w:val="nil"/>
              <w:left w:val="nil"/>
              <w:bottom w:val="nil"/>
              <w:right w:val="nil"/>
            </w:tcBorders>
            <w:noWrap/>
            <w:hideMark/>
          </w:tcPr>
          <w:p w14:paraId="0E8D5A2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r>
      <w:tr w:rsidR="00F369DF" w14:paraId="605FD36E" w14:textId="77777777" w:rsidTr="00BF139E">
        <w:trPr>
          <w:trHeight w:val="225"/>
        </w:trPr>
        <w:tc>
          <w:tcPr>
            <w:tcW w:w="2700" w:type="dxa"/>
            <w:tcBorders>
              <w:top w:val="nil"/>
              <w:left w:val="nil"/>
              <w:bottom w:val="nil"/>
              <w:right w:val="nil"/>
            </w:tcBorders>
            <w:vAlign w:val="center"/>
            <w:hideMark/>
          </w:tcPr>
          <w:p w14:paraId="3CBEC8E5"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Kyrgyz Rep.</w:t>
            </w:r>
          </w:p>
        </w:tc>
        <w:tc>
          <w:tcPr>
            <w:tcW w:w="1360" w:type="dxa"/>
            <w:tcBorders>
              <w:top w:val="nil"/>
              <w:left w:val="nil"/>
              <w:bottom w:val="nil"/>
              <w:right w:val="nil"/>
            </w:tcBorders>
            <w:noWrap/>
            <w:hideMark/>
          </w:tcPr>
          <w:p w14:paraId="7E2DBDF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0.0</w:t>
            </w:r>
          </w:p>
        </w:tc>
        <w:tc>
          <w:tcPr>
            <w:tcW w:w="1880" w:type="dxa"/>
            <w:tcBorders>
              <w:top w:val="nil"/>
              <w:left w:val="nil"/>
              <w:bottom w:val="nil"/>
              <w:right w:val="nil"/>
            </w:tcBorders>
            <w:noWrap/>
            <w:hideMark/>
          </w:tcPr>
          <w:p w14:paraId="3BDDEFE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4C49EAF4"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0.0</w:t>
            </w:r>
          </w:p>
        </w:tc>
        <w:tc>
          <w:tcPr>
            <w:tcW w:w="1640" w:type="dxa"/>
            <w:tcBorders>
              <w:top w:val="nil"/>
              <w:left w:val="nil"/>
              <w:bottom w:val="nil"/>
              <w:right w:val="nil"/>
            </w:tcBorders>
            <w:noWrap/>
            <w:hideMark/>
          </w:tcPr>
          <w:p w14:paraId="4AC771A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0.0</w:t>
            </w:r>
          </w:p>
        </w:tc>
      </w:tr>
      <w:tr w:rsidR="00F369DF" w14:paraId="327FA431" w14:textId="77777777" w:rsidTr="00BF139E">
        <w:trPr>
          <w:trHeight w:val="225"/>
        </w:trPr>
        <w:tc>
          <w:tcPr>
            <w:tcW w:w="2700" w:type="dxa"/>
            <w:tcBorders>
              <w:top w:val="nil"/>
              <w:left w:val="nil"/>
              <w:bottom w:val="nil"/>
              <w:right w:val="nil"/>
            </w:tcBorders>
            <w:vAlign w:val="center"/>
            <w:hideMark/>
          </w:tcPr>
          <w:p w14:paraId="573F12E7"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Moldova</w:t>
            </w:r>
          </w:p>
        </w:tc>
        <w:tc>
          <w:tcPr>
            <w:tcW w:w="1360" w:type="dxa"/>
            <w:tcBorders>
              <w:top w:val="nil"/>
              <w:left w:val="nil"/>
              <w:bottom w:val="nil"/>
              <w:right w:val="nil"/>
            </w:tcBorders>
            <w:noWrap/>
            <w:hideMark/>
          </w:tcPr>
          <w:p w14:paraId="29C50FF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0.4</w:t>
            </w:r>
          </w:p>
        </w:tc>
        <w:tc>
          <w:tcPr>
            <w:tcW w:w="1880" w:type="dxa"/>
            <w:tcBorders>
              <w:top w:val="nil"/>
              <w:left w:val="nil"/>
              <w:bottom w:val="nil"/>
              <w:right w:val="nil"/>
            </w:tcBorders>
            <w:noWrap/>
            <w:hideMark/>
          </w:tcPr>
          <w:p w14:paraId="08036895"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05CFBF6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0.4</w:t>
            </w:r>
          </w:p>
        </w:tc>
        <w:tc>
          <w:tcPr>
            <w:tcW w:w="1640" w:type="dxa"/>
            <w:tcBorders>
              <w:top w:val="nil"/>
              <w:left w:val="nil"/>
              <w:bottom w:val="nil"/>
              <w:right w:val="nil"/>
            </w:tcBorders>
            <w:noWrap/>
            <w:hideMark/>
          </w:tcPr>
          <w:p w14:paraId="0DEF5AE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0.4</w:t>
            </w:r>
          </w:p>
        </w:tc>
      </w:tr>
      <w:tr w:rsidR="00F369DF" w14:paraId="50683893" w14:textId="77777777" w:rsidTr="00BF139E">
        <w:trPr>
          <w:trHeight w:val="225"/>
        </w:trPr>
        <w:tc>
          <w:tcPr>
            <w:tcW w:w="2700" w:type="dxa"/>
            <w:tcBorders>
              <w:top w:val="nil"/>
              <w:left w:val="nil"/>
              <w:bottom w:val="nil"/>
              <w:right w:val="nil"/>
            </w:tcBorders>
            <w:vAlign w:val="center"/>
            <w:hideMark/>
          </w:tcPr>
          <w:p w14:paraId="65CAB5D4"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Montenegro</w:t>
            </w:r>
          </w:p>
        </w:tc>
        <w:tc>
          <w:tcPr>
            <w:tcW w:w="1360" w:type="dxa"/>
            <w:tcBorders>
              <w:top w:val="nil"/>
              <w:left w:val="nil"/>
              <w:bottom w:val="nil"/>
              <w:right w:val="nil"/>
            </w:tcBorders>
            <w:noWrap/>
            <w:hideMark/>
          </w:tcPr>
          <w:p w14:paraId="2CAE718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880" w:type="dxa"/>
            <w:tcBorders>
              <w:top w:val="nil"/>
              <w:left w:val="nil"/>
              <w:bottom w:val="nil"/>
              <w:right w:val="nil"/>
            </w:tcBorders>
            <w:noWrap/>
            <w:hideMark/>
          </w:tcPr>
          <w:p w14:paraId="3B4687B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1BD11D0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640" w:type="dxa"/>
            <w:tcBorders>
              <w:top w:val="nil"/>
              <w:left w:val="nil"/>
              <w:bottom w:val="nil"/>
              <w:right w:val="nil"/>
            </w:tcBorders>
            <w:noWrap/>
            <w:hideMark/>
          </w:tcPr>
          <w:p w14:paraId="405322B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r>
      <w:tr w:rsidR="00F369DF" w14:paraId="4F838A42" w14:textId="77777777" w:rsidTr="00BF139E">
        <w:trPr>
          <w:trHeight w:val="225"/>
        </w:trPr>
        <w:tc>
          <w:tcPr>
            <w:tcW w:w="2700" w:type="dxa"/>
            <w:tcBorders>
              <w:top w:val="nil"/>
              <w:left w:val="nil"/>
              <w:bottom w:val="nil"/>
              <w:right w:val="nil"/>
            </w:tcBorders>
            <w:vAlign w:val="center"/>
            <w:hideMark/>
          </w:tcPr>
          <w:p w14:paraId="494F34AC"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North Macedonia</w:t>
            </w:r>
          </w:p>
        </w:tc>
        <w:tc>
          <w:tcPr>
            <w:tcW w:w="1360" w:type="dxa"/>
            <w:tcBorders>
              <w:top w:val="nil"/>
              <w:left w:val="nil"/>
              <w:bottom w:val="nil"/>
              <w:right w:val="nil"/>
            </w:tcBorders>
            <w:noWrap/>
            <w:hideMark/>
          </w:tcPr>
          <w:p w14:paraId="7EA47915"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0.3</w:t>
            </w:r>
          </w:p>
        </w:tc>
        <w:tc>
          <w:tcPr>
            <w:tcW w:w="1880" w:type="dxa"/>
            <w:tcBorders>
              <w:top w:val="nil"/>
              <w:left w:val="nil"/>
              <w:bottom w:val="nil"/>
              <w:right w:val="nil"/>
            </w:tcBorders>
            <w:noWrap/>
            <w:hideMark/>
          </w:tcPr>
          <w:p w14:paraId="06C6093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960" w:type="dxa"/>
            <w:tcBorders>
              <w:top w:val="nil"/>
              <w:left w:val="nil"/>
              <w:bottom w:val="nil"/>
              <w:right w:val="nil"/>
            </w:tcBorders>
            <w:noWrap/>
            <w:hideMark/>
          </w:tcPr>
          <w:p w14:paraId="765CAD70"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0.2</w:t>
            </w:r>
          </w:p>
        </w:tc>
        <w:tc>
          <w:tcPr>
            <w:tcW w:w="1640" w:type="dxa"/>
            <w:tcBorders>
              <w:top w:val="nil"/>
              <w:left w:val="nil"/>
              <w:bottom w:val="nil"/>
              <w:right w:val="nil"/>
            </w:tcBorders>
            <w:noWrap/>
            <w:hideMark/>
          </w:tcPr>
          <w:p w14:paraId="5C76AAC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0.2</w:t>
            </w:r>
          </w:p>
        </w:tc>
      </w:tr>
      <w:tr w:rsidR="00F369DF" w14:paraId="5C13CA45" w14:textId="77777777" w:rsidTr="00BF139E">
        <w:trPr>
          <w:trHeight w:val="225"/>
        </w:trPr>
        <w:tc>
          <w:tcPr>
            <w:tcW w:w="2700" w:type="dxa"/>
            <w:tcBorders>
              <w:top w:val="nil"/>
              <w:left w:val="nil"/>
              <w:bottom w:val="nil"/>
              <w:right w:val="nil"/>
            </w:tcBorders>
            <w:vAlign w:val="center"/>
            <w:hideMark/>
          </w:tcPr>
          <w:p w14:paraId="045BF5A0"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Tunisia</w:t>
            </w:r>
          </w:p>
        </w:tc>
        <w:tc>
          <w:tcPr>
            <w:tcW w:w="1360" w:type="dxa"/>
            <w:tcBorders>
              <w:top w:val="nil"/>
              <w:left w:val="nil"/>
              <w:bottom w:val="nil"/>
              <w:right w:val="nil"/>
            </w:tcBorders>
            <w:noWrap/>
            <w:hideMark/>
          </w:tcPr>
          <w:p w14:paraId="56EAA0F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1.4</w:t>
            </w:r>
          </w:p>
        </w:tc>
        <w:tc>
          <w:tcPr>
            <w:tcW w:w="1880" w:type="dxa"/>
            <w:tcBorders>
              <w:top w:val="nil"/>
              <w:left w:val="nil"/>
              <w:bottom w:val="nil"/>
              <w:right w:val="nil"/>
            </w:tcBorders>
            <w:noWrap/>
            <w:hideMark/>
          </w:tcPr>
          <w:p w14:paraId="022DF32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37D60DB0"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1.4</w:t>
            </w:r>
          </w:p>
        </w:tc>
        <w:tc>
          <w:tcPr>
            <w:tcW w:w="1640" w:type="dxa"/>
            <w:tcBorders>
              <w:top w:val="nil"/>
              <w:left w:val="nil"/>
              <w:bottom w:val="nil"/>
              <w:right w:val="nil"/>
            </w:tcBorders>
            <w:noWrap/>
            <w:hideMark/>
          </w:tcPr>
          <w:p w14:paraId="29D7EFB5"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1.4</w:t>
            </w:r>
          </w:p>
        </w:tc>
      </w:tr>
      <w:tr w:rsidR="00F369DF" w14:paraId="4D8036E0" w14:textId="77777777" w:rsidTr="00BF139E">
        <w:trPr>
          <w:trHeight w:val="225"/>
        </w:trPr>
        <w:tc>
          <w:tcPr>
            <w:tcW w:w="2700" w:type="dxa"/>
            <w:tcBorders>
              <w:top w:val="nil"/>
              <w:left w:val="nil"/>
              <w:bottom w:val="nil"/>
              <w:right w:val="nil"/>
            </w:tcBorders>
            <w:vAlign w:val="center"/>
            <w:hideMark/>
          </w:tcPr>
          <w:p w14:paraId="7E4398E5"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Ukraine MFA</w:t>
            </w:r>
          </w:p>
        </w:tc>
        <w:tc>
          <w:tcPr>
            <w:tcW w:w="1360" w:type="dxa"/>
            <w:tcBorders>
              <w:top w:val="nil"/>
              <w:left w:val="nil"/>
              <w:bottom w:val="nil"/>
              <w:right w:val="nil"/>
            </w:tcBorders>
            <w:noWrap/>
            <w:hideMark/>
          </w:tcPr>
          <w:p w14:paraId="024D959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12.2</w:t>
            </w:r>
          </w:p>
        </w:tc>
        <w:tc>
          <w:tcPr>
            <w:tcW w:w="1880" w:type="dxa"/>
            <w:tcBorders>
              <w:top w:val="nil"/>
              <w:left w:val="nil"/>
              <w:bottom w:val="nil"/>
              <w:right w:val="nil"/>
            </w:tcBorders>
            <w:noWrap/>
            <w:hideMark/>
          </w:tcPr>
          <w:p w14:paraId="7571446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155B2A1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12.2</w:t>
            </w:r>
          </w:p>
        </w:tc>
        <w:tc>
          <w:tcPr>
            <w:tcW w:w="1640" w:type="dxa"/>
            <w:tcBorders>
              <w:top w:val="nil"/>
              <w:left w:val="nil"/>
              <w:bottom w:val="nil"/>
              <w:right w:val="nil"/>
            </w:tcBorders>
            <w:noWrap/>
            <w:hideMark/>
          </w:tcPr>
          <w:p w14:paraId="656ACE7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11.0</w:t>
            </w:r>
          </w:p>
        </w:tc>
      </w:tr>
      <w:tr w:rsidR="00F369DF" w14:paraId="3B18D588" w14:textId="77777777" w:rsidTr="00BF139E">
        <w:trPr>
          <w:trHeight w:val="225"/>
        </w:trPr>
        <w:tc>
          <w:tcPr>
            <w:tcW w:w="2700" w:type="dxa"/>
            <w:tcBorders>
              <w:top w:val="nil"/>
              <w:left w:val="nil"/>
              <w:bottom w:val="nil"/>
              <w:right w:val="nil"/>
            </w:tcBorders>
            <w:vAlign w:val="center"/>
            <w:hideMark/>
          </w:tcPr>
          <w:p w14:paraId="4AC60252"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Ukraine MFA+</w:t>
            </w:r>
          </w:p>
        </w:tc>
        <w:tc>
          <w:tcPr>
            <w:tcW w:w="1360" w:type="dxa"/>
            <w:tcBorders>
              <w:top w:val="nil"/>
              <w:left w:val="nil"/>
              <w:bottom w:val="nil"/>
              <w:right w:val="nil"/>
            </w:tcBorders>
            <w:noWrap/>
            <w:hideMark/>
          </w:tcPr>
          <w:p w14:paraId="2953E08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18.0</w:t>
            </w:r>
          </w:p>
        </w:tc>
        <w:tc>
          <w:tcPr>
            <w:tcW w:w="1880" w:type="dxa"/>
            <w:tcBorders>
              <w:top w:val="nil"/>
              <w:left w:val="nil"/>
              <w:bottom w:val="nil"/>
              <w:right w:val="nil"/>
            </w:tcBorders>
            <w:noWrap/>
            <w:hideMark/>
          </w:tcPr>
          <w:p w14:paraId="11DA561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00268F0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18.0</w:t>
            </w:r>
          </w:p>
        </w:tc>
        <w:tc>
          <w:tcPr>
            <w:tcW w:w="1640" w:type="dxa"/>
            <w:tcBorders>
              <w:top w:val="nil"/>
              <w:left w:val="nil"/>
              <w:bottom w:val="nil"/>
              <w:right w:val="nil"/>
            </w:tcBorders>
            <w:noWrap/>
            <w:hideMark/>
          </w:tcPr>
          <w:p w14:paraId="62498FA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18.0</w:t>
            </w:r>
          </w:p>
        </w:tc>
      </w:tr>
      <w:tr w:rsidR="00F369DF" w14:paraId="5F85C225" w14:textId="77777777" w:rsidTr="00BF139E">
        <w:trPr>
          <w:trHeight w:val="225"/>
        </w:trPr>
        <w:tc>
          <w:tcPr>
            <w:tcW w:w="2700" w:type="dxa"/>
            <w:tcBorders>
              <w:top w:val="nil"/>
              <w:left w:val="nil"/>
              <w:bottom w:val="nil"/>
              <w:right w:val="nil"/>
            </w:tcBorders>
            <w:vAlign w:val="center"/>
            <w:hideMark/>
          </w:tcPr>
          <w:p w14:paraId="42C49ECB"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Ukraine MFA ULCM</w:t>
            </w:r>
          </w:p>
        </w:tc>
        <w:tc>
          <w:tcPr>
            <w:tcW w:w="1360" w:type="dxa"/>
            <w:tcBorders>
              <w:top w:val="nil"/>
              <w:left w:val="nil"/>
              <w:bottom w:val="nil"/>
              <w:right w:val="nil"/>
            </w:tcBorders>
            <w:noWrap/>
            <w:hideMark/>
          </w:tcPr>
          <w:p w14:paraId="0C0CAA2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18.1</w:t>
            </w:r>
          </w:p>
        </w:tc>
        <w:tc>
          <w:tcPr>
            <w:tcW w:w="1880" w:type="dxa"/>
            <w:tcBorders>
              <w:top w:val="nil"/>
              <w:left w:val="nil"/>
              <w:bottom w:val="nil"/>
              <w:right w:val="nil"/>
            </w:tcBorders>
            <w:noWrap/>
            <w:hideMark/>
          </w:tcPr>
          <w:p w14:paraId="5CE8CD9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w:t>
            </w:r>
          </w:p>
        </w:tc>
        <w:tc>
          <w:tcPr>
            <w:tcW w:w="1960" w:type="dxa"/>
            <w:tcBorders>
              <w:top w:val="nil"/>
              <w:left w:val="nil"/>
              <w:bottom w:val="nil"/>
              <w:right w:val="nil"/>
            </w:tcBorders>
            <w:noWrap/>
            <w:hideMark/>
          </w:tcPr>
          <w:p w14:paraId="6A2527B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18.1</w:t>
            </w:r>
          </w:p>
        </w:tc>
        <w:tc>
          <w:tcPr>
            <w:tcW w:w="1640" w:type="dxa"/>
            <w:tcBorders>
              <w:top w:val="nil"/>
              <w:left w:val="nil"/>
              <w:bottom w:val="nil"/>
              <w:right w:val="nil"/>
            </w:tcBorders>
            <w:noWrap/>
            <w:hideMark/>
          </w:tcPr>
          <w:p w14:paraId="2E71D1A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18.1</w:t>
            </w:r>
          </w:p>
        </w:tc>
      </w:tr>
      <w:tr w:rsidR="00F369DF" w14:paraId="06F5723F" w14:textId="77777777" w:rsidTr="00BF139E">
        <w:trPr>
          <w:trHeight w:val="240"/>
        </w:trPr>
        <w:tc>
          <w:tcPr>
            <w:tcW w:w="2700" w:type="dxa"/>
            <w:tcBorders>
              <w:top w:val="nil"/>
              <w:left w:val="nil"/>
              <w:bottom w:val="nil"/>
              <w:right w:val="nil"/>
            </w:tcBorders>
            <w:vAlign w:val="center"/>
            <w:hideMark/>
          </w:tcPr>
          <w:p w14:paraId="2975FFA7"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Egypt</w:t>
            </w:r>
          </w:p>
        </w:tc>
        <w:tc>
          <w:tcPr>
            <w:tcW w:w="1360" w:type="dxa"/>
            <w:tcBorders>
              <w:top w:val="nil"/>
              <w:left w:val="nil"/>
              <w:bottom w:val="nil"/>
              <w:right w:val="nil"/>
            </w:tcBorders>
            <w:noWrap/>
            <w:hideMark/>
          </w:tcPr>
          <w:p w14:paraId="2EDD66F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5.0</w:t>
            </w:r>
          </w:p>
        </w:tc>
        <w:tc>
          <w:tcPr>
            <w:tcW w:w="1880" w:type="dxa"/>
            <w:tcBorders>
              <w:top w:val="nil"/>
              <w:left w:val="nil"/>
              <w:bottom w:val="nil"/>
              <w:right w:val="nil"/>
            </w:tcBorders>
            <w:noWrap/>
            <w:hideMark/>
          </w:tcPr>
          <w:p w14:paraId="7EC3B52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4.0</w:t>
            </w:r>
          </w:p>
        </w:tc>
        <w:tc>
          <w:tcPr>
            <w:tcW w:w="1960" w:type="dxa"/>
            <w:tcBorders>
              <w:top w:val="nil"/>
              <w:left w:val="nil"/>
              <w:bottom w:val="nil"/>
              <w:right w:val="nil"/>
            </w:tcBorders>
            <w:noWrap/>
            <w:hideMark/>
          </w:tcPr>
          <w:p w14:paraId="350A2F9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1.0</w:t>
            </w:r>
          </w:p>
        </w:tc>
        <w:tc>
          <w:tcPr>
            <w:tcW w:w="1640" w:type="dxa"/>
            <w:tcBorders>
              <w:top w:val="nil"/>
              <w:left w:val="nil"/>
              <w:bottom w:val="nil"/>
              <w:right w:val="nil"/>
            </w:tcBorders>
            <w:noWrap/>
            <w:hideMark/>
          </w:tcPr>
          <w:p w14:paraId="62D0FFE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1.0</w:t>
            </w:r>
          </w:p>
        </w:tc>
      </w:tr>
      <w:tr w:rsidR="00F369DF" w14:paraId="735D93B5" w14:textId="77777777" w:rsidTr="00BF139E">
        <w:trPr>
          <w:trHeight w:val="240"/>
        </w:trPr>
        <w:tc>
          <w:tcPr>
            <w:tcW w:w="2700" w:type="dxa"/>
            <w:tcBorders>
              <w:top w:val="single" w:sz="8" w:space="0" w:color="016794"/>
              <w:left w:val="nil"/>
              <w:bottom w:val="single" w:sz="8" w:space="0" w:color="016794"/>
              <w:right w:val="nil"/>
            </w:tcBorders>
            <w:vAlign w:val="center"/>
            <w:hideMark/>
          </w:tcPr>
          <w:p w14:paraId="112C9901"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 </w:t>
            </w:r>
          </w:p>
        </w:tc>
        <w:tc>
          <w:tcPr>
            <w:tcW w:w="1360" w:type="dxa"/>
            <w:tcBorders>
              <w:top w:val="single" w:sz="8" w:space="0" w:color="016794"/>
              <w:left w:val="nil"/>
              <w:bottom w:val="single" w:sz="8" w:space="0" w:color="016794"/>
              <w:right w:val="nil"/>
            </w:tcBorders>
            <w:vAlign w:val="center"/>
            <w:hideMark/>
          </w:tcPr>
          <w:p w14:paraId="76F68517"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57.6</w:t>
            </w:r>
          </w:p>
        </w:tc>
        <w:tc>
          <w:tcPr>
            <w:tcW w:w="1880" w:type="dxa"/>
            <w:tcBorders>
              <w:top w:val="single" w:sz="8" w:space="0" w:color="016794"/>
              <w:left w:val="nil"/>
              <w:bottom w:val="single" w:sz="8" w:space="0" w:color="016794"/>
              <w:right w:val="nil"/>
            </w:tcBorders>
            <w:vAlign w:val="center"/>
            <w:hideMark/>
          </w:tcPr>
          <w:p w14:paraId="6A5CB95E"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4.3</w:t>
            </w:r>
          </w:p>
        </w:tc>
        <w:tc>
          <w:tcPr>
            <w:tcW w:w="1960" w:type="dxa"/>
            <w:tcBorders>
              <w:top w:val="single" w:sz="8" w:space="0" w:color="016794"/>
              <w:left w:val="nil"/>
              <w:bottom w:val="single" w:sz="8" w:space="0" w:color="016794"/>
              <w:right w:val="nil"/>
            </w:tcBorders>
            <w:vAlign w:val="center"/>
            <w:hideMark/>
          </w:tcPr>
          <w:p w14:paraId="0240284A"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53.3</w:t>
            </w:r>
          </w:p>
        </w:tc>
        <w:tc>
          <w:tcPr>
            <w:tcW w:w="1640" w:type="dxa"/>
            <w:tcBorders>
              <w:top w:val="single" w:sz="8" w:space="0" w:color="016794"/>
              <w:left w:val="nil"/>
              <w:bottom w:val="single" w:sz="8" w:space="0" w:color="016794"/>
              <w:right w:val="nil"/>
            </w:tcBorders>
            <w:vAlign w:val="center"/>
            <w:hideMark/>
          </w:tcPr>
          <w:p w14:paraId="725649E4"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52.1</w:t>
            </w:r>
          </w:p>
        </w:tc>
      </w:tr>
      <w:tr w:rsidR="00F369DF" w14:paraId="7FC71249" w14:textId="77777777">
        <w:trPr>
          <w:trHeight w:val="225"/>
        </w:trPr>
        <w:tc>
          <w:tcPr>
            <w:tcW w:w="2700" w:type="dxa"/>
            <w:tcBorders>
              <w:top w:val="nil"/>
              <w:left w:val="nil"/>
              <w:bottom w:val="nil"/>
              <w:right w:val="nil"/>
            </w:tcBorders>
            <w:shd w:val="clear" w:color="000000" w:fill="DBE5F1"/>
            <w:vAlign w:val="center"/>
            <w:hideMark/>
          </w:tcPr>
          <w:p w14:paraId="67F87C77"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Western Balkan Facility</w:t>
            </w:r>
          </w:p>
        </w:tc>
        <w:tc>
          <w:tcPr>
            <w:tcW w:w="1360" w:type="dxa"/>
            <w:tcBorders>
              <w:top w:val="nil"/>
              <w:left w:val="nil"/>
              <w:bottom w:val="nil"/>
              <w:right w:val="nil"/>
            </w:tcBorders>
            <w:shd w:val="clear" w:color="000000" w:fill="DBE5F1"/>
            <w:vAlign w:val="center"/>
            <w:hideMark/>
          </w:tcPr>
          <w:p w14:paraId="42CBC8D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880" w:type="dxa"/>
            <w:tcBorders>
              <w:top w:val="nil"/>
              <w:left w:val="nil"/>
              <w:bottom w:val="nil"/>
              <w:right w:val="nil"/>
            </w:tcBorders>
            <w:shd w:val="clear" w:color="000000" w:fill="DBE5F1"/>
            <w:vAlign w:val="center"/>
            <w:hideMark/>
          </w:tcPr>
          <w:p w14:paraId="1EE55B6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960" w:type="dxa"/>
            <w:tcBorders>
              <w:top w:val="nil"/>
              <w:left w:val="nil"/>
              <w:bottom w:val="nil"/>
              <w:right w:val="nil"/>
            </w:tcBorders>
            <w:shd w:val="clear" w:color="000000" w:fill="DBE5F1"/>
            <w:vAlign w:val="center"/>
            <w:hideMark/>
          </w:tcPr>
          <w:p w14:paraId="5FF0D3E3"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640" w:type="dxa"/>
            <w:tcBorders>
              <w:top w:val="nil"/>
              <w:left w:val="nil"/>
              <w:bottom w:val="nil"/>
              <w:right w:val="nil"/>
            </w:tcBorders>
            <w:shd w:val="clear" w:color="000000" w:fill="DBE5F1"/>
            <w:vAlign w:val="center"/>
            <w:hideMark/>
          </w:tcPr>
          <w:p w14:paraId="34FD9843"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r>
      <w:tr w:rsidR="00F369DF" w14:paraId="4F9EC316" w14:textId="77777777" w:rsidTr="00BF139E">
        <w:trPr>
          <w:trHeight w:val="225"/>
        </w:trPr>
        <w:tc>
          <w:tcPr>
            <w:tcW w:w="2700" w:type="dxa"/>
            <w:tcBorders>
              <w:top w:val="nil"/>
              <w:left w:val="nil"/>
              <w:bottom w:val="nil"/>
              <w:right w:val="nil"/>
            </w:tcBorders>
            <w:vAlign w:val="center"/>
            <w:hideMark/>
          </w:tcPr>
          <w:p w14:paraId="13157375"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North Macedonia</w:t>
            </w:r>
          </w:p>
        </w:tc>
        <w:tc>
          <w:tcPr>
            <w:tcW w:w="1360" w:type="dxa"/>
            <w:tcBorders>
              <w:top w:val="nil"/>
              <w:left w:val="nil"/>
              <w:bottom w:val="nil"/>
              <w:right w:val="nil"/>
            </w:tcBorders>
            <w:noWrap/>
            <w:hideMark/>
          </w:tcPr>
          <w:p w14:paraId="38FB0993"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0.5</w:t>
            </w:r>
          </w:p>
        </w:tc>
        <w:tc>
          <w:tcPr>
            <w:tcW w:w="1880" w:type="dxa"/>
            <w:tcBorders>
              <w:top w:val="nil"/>
              <w:left w:val="nil"/>
              <w:bottom w:val="nil"/>
              <w:right w:val="nil"/>
            </w:tcBorders>
            <w:noWrap/>
            <w:hideMark/>
          </w:tcPr>
          <w:p w14:paraId="11AB1D7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0.5</w:t>
            </w:r>
          </w:p>
        </w:tc>
        <w:tc>
          <w:tcPr>
            <w:tcW w:w="1960" w:type="dxa"/>
            <w:tcBorders>
              <w:top w:val="nil"/>
              <w:left w:val="nil"/>
              <w:bottom w:val="nil"/>
              <w:right w:val="nil"/>
            </w:tcBorders>
            <w:noWrap/>
            <w:hideMark/>
          </w:tcPr>
          <w:p w14:paraId="6C969953"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0.0</w:t>
            </w:r>
          </w:p>
        </w:tc>
        <w:tc>
          <w:tcPr>
            <w:tcW w:w="1640" w:type="dxa"/>
            <w:tcBorders>
              <w:top w:val="nil"/>
              <w:left w:val="nil"/>
              <w:bottom w:val="nil"/>
              <w:right w:val="nil"/>
            </w:tcBorders>
            <w:noWrap/>
            <w:hideMark/>
          </w:tcPr>
          <w:p w14:paraId="6884F45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0.0</w:t>
            </w:r>
          </w:p>
        </w:tc>
      </w:tr>
      <w:tr w:rsidR="00F369DF" w14:paraId="2B1D3D33" w14:textId="77777777" w:rsidTr="00BF139E">
        <w:trPr>
          <w:trHeight w:val="225"/>
        </w:trPr>
        <w:tc>
          <w:tcPr>
            <w:tcW w:w="2700" w:type="dxa"/>
            <w:tcBorders>
              <w:top w:val="nil"/>
              <w:left w:val="nil"/>
              <w:bottom w:val="nil"/>
              <w:right w:val="nil"/>
            </w:tcBorders>
            <w:vAlign w:val="center"/>
            <w:hideMark/>
          </w:tcPr>
          <w:p w14:paraId="18AF0B25"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Albania</w:t>
            </w:r>
          </w:p>
        </w:tc>
        <w:tc>
          <w:tcPr>
            <w:tcW w:w="1360" w:type="dxa"/>
            <w:tcBorders>
              <w:top w:val="nil"/>
              <w:left w:val="nil"/>
              <w:bottom w:val="nil"/>
              <w:right w:val="nil"/>
            </w:tcBorders>
            <w:noWrap/>
            <w:hideMark/>
          </w:tcPr>
          <w:p w14:paraId="0E4B505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0.7</w:t>
            </w:r>
          </w:p>
        </w:tc>
        <w:tc>
          <w:tcPr>
            <w:tcW w:w="1880" w:type="dxa"/>
            <w:tcBorders>
              <w:top w:val="nil"/>
              <w:left w:val="nil"/>
              <w:bottom w:val="nil"/>
              <w:right w:val="nil"/>
            </w:tcBorders>
            <w:noWrap/>
            <w:hideMark/>
          </w:tcPr>
          <w:p w14:paraId="7A56523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0.6</w:t>
            </w:r>
          </w:p>
        </w:tc>
        <w:tc>
          <w:tcPr>
            <w:tcW w:w="1960" w:type="dxa"/>
            <w:tcBorders>
              <w:top w:val="nil"/>
              <w:left w:val="nil"/>
              <w:bottom w:val="nil"/>
              <w:right w:val="nil"/>
            </w:tcBorders>
            <w:noWrap/>
            <w:hideMark/>
          </w:tcPr>
          <w:p w14:paraId="5C9D6A7D"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640" w:type="dxa"/>
            <w:tcBorders>
              <w:top w:val="nil"/>
              <w:left w:val="nil"/>
              <w:bottom w:val="nil"/>
              <w:right w:val="nil"/>
            </w:tcBorders>
            <w:noWrap/>
            <w:hideMark/>
          </w:tcPr>
          <w:p w14:paraId="1E0B1B26"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r>
      <w:tr w:rsidR="00F369DF" w14:paraId="4A7E3F6B" w14:textId="77777777" w:rsidTr="00BF139E">
        <w:trPr>
          <w:trHeight w:val="225"/>
        </w:trPr>
        <w:tc>
          <w:tcPr>
            <w:tcW w:w="2700" w:type="dxa"/>
            <w:tcBorders>
              <w:top w:val="nil"/>
              <w:left w:val="nil"/>
              <w:bottom w:val="nil"/>
              <w:right w:val="nil"/>
            </w:tcBorders>
            <w:vAlign w:val="center"/>
            <w:hideMark/>
          </w:tcPr>
          <w:p w14:paraId="1BC19071"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Serbia</w:t>
            </w:r>
          </w:p>
        </w:tc>
        <w:tc>
          <w:tcPr>
            <w:tcW w:w="1360" w:type="dxa"/>
            <w:tcBorders>
              <w:top w:val="nil"/>
              <w:left w:val="nil"/>
              <w:bottom w:val="nil"/>
              <w:right w:val="nil"/>
            </w:tcBorders>
            <w:noWrap/>
            <w:hideMark/>
          </w:tcPr>
          <w:p w14:paraId="6BCEFA64"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w:t>
            </w:r>
          </w:p>
        </w:tc>
        <w:tc>
          <w:tcPr>
            <w:tcW w:w="1880" w:type="dxa"/>
            <w:tcBorders>
              <w:top w:val="nil"/>
              <w:left w:val="nil"/>
              <w:bottom w:val="nil"/>
              <w:right w:val="nil"/>
            </w:tcBorders>
            <w:noWrap/>
            <w:hideMark/>
          </w:tcPr>
          <w:p w14:paraId="7E68C922"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1.1</w:t>
            </w:r>
          </w:p>
        </w:tc>
        <w:tc>
          <w:tcPr>
            <w:tcW w:w="1960" w:type="dxa"/>
            <w:tcBorders>
              <w:top w:val="nil"/>
              <w:left w:val="nil"/>
              <w:bottom w:val="nil"/>
              <w:right w:val="nil"/>
            </w:tcBorders>
            <w:noWrap/>
            <w:hideMark/>
          </w:tcPr>
          <w:p w14:paraId="14F91278"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c>
          <w:tcPr>
            <w:tcW w:w="1640" w:type="dxa"/>
            <w:tcBorders>
              <w:top w:val="nil"/>
              <w:left w:val="nil"/>
              <w:bottom w:val="nil"/>
              <w:right w:val="nil"/>
            </w:tcBorders>
            <w:noWrap/>
            <w:hideMark/>
          </w:tcPr>
          <w:p w14:paraId="32463579"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0.1</w:t>
            </w:r>
          </w:p>
        </w:tc>
      </w:tr>
      <w:tr w:rsidR="00F369DF" w14:paraId="6BA56776" w14:textId="77777777" w:rsidTr="00BF139E">
        <w:trPr>
          <w:trHeight w:val="240"/>
        </w:trPr>
        <w:tc>
          <w:tcPr>
            <w:tcW w:w="2700" w:type="dxa"/>
            <w:tcBorders>
              <w:top w:val="nil"/>
              <w:left w:val="nil"/>
              <w:bottom w:val="nil"/>
              <w:right w:val="nil"/>
            </w:tcBorders>
            <w:vAlign w:val="center"/>
            <w:hideMark/>
          </w:tcPr>
          <w:p w14:paraId="6853CB41"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Montenegro</w:t>
            </w:r>
          </w:p>
        </w:tc>
        <w:tc>
          <w:tcPr>
            <w:tcW w:w="1360" w:type="dxa"/>
            <w:tcBorders>
              <w:top w:val="nil"/>
              <w:left w:val="nil"/>
              <w:bottom w:val="nil"/>
              <w:right w:val="nil"/>
            </w:tcBorders>
            <w:noWrap/>
            <w:hideMark/>
          </w:tcPr>
          <w:p w14:paraId="71A95F3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0.3</w:t>
            </w:r>
          </w:p>
        </w:tc>
        <w:tc>
          <w:tcPr>
            <w:tcW w:w="1880" w:type="dxa"/>
            <w:tcBorders>
              <w:top w:val="nil"/>
              <w:left w:val="nil"/>
              <w:bottom w:val="nil"/>
              <w:right w:val="nil"/>
            </w:tcBorders>
            <w:noWrap/>
            <w:hideMark/>
          </w:tcPr>
          <w:p w14:paraId="09B6C2A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0.3</w:t>
            </w:r>
          </w:p>
        </w:tc>
        <w:tc>
          <w:tcPr>
            <w:tcW w:w="1960" w:type="dxa"/>
            <w:tcBorders>
              <w:top w:val="nil"/>
              <w:left w:val="nil"/>
              <w:bottom w:val="nil"/>
              <w:right w:val="nil"/>
            </w:tcBorders>
            <w:noWrap/>
            <w:hideMark/>
          </w:tcPr>
          <w:p w14:paraId="4357773C"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0.0</w:t>
            </w:r>
          </w:p>
        </w:tc>
        <w:tc>
          <w:tcPr>
            <w:tcW w:w="1640" w:type="dxa"/>
            <w:tcBorders>
              <w:top w:val="nil"/>
              <w:left w:val="nil"/>
              <w:bottom w:val="nil"/>
              <w:right w:val="nil"/>
            </w:tcBorders>
            <w:noWrap/>
            <w:hideMark/>
          </w:tcPr>
          <w:p w14:paraId="0D861377"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0.0</w:t>
            </w:r>
          </w:p>
        </w:tc>
      </w:tr>
      <w:tr w:rsidR="00F369DF" w14:paraId="586943B7" w14:textId="77777777" w:rsidTr="00BF139E">
        <w:trPr>
          <w:trHeight w:val="240"/>
        </w:trPr>
        <w:tc>
          <w:tcPr>
            <w:tcW w:w="2700" w:type="dxa"/>
            <w:tcBorders>
              <w:top w:val="single" w:sz="8" w:space="0" w:color="016794"/>
              <w:left w:val="nil"/>
              <w:bottom w:val="single" w:sz="8" w:space="0" w:color="016794"/>
              <w:right w:val="nil"/>
            </w:tcBorders>
            <w:vAlign w:val="center"/>
            <w:hideMark/>
          </w:tcPr>
          <w:p w14:paraId="437F12A7"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 </w:t>
            </w:r>
          </w:p>
        </w:tc>
        <w:tc>
          <w:tcPr>
            <w:tcW w:w="1360" w:type="dxa"/>
            <w:tcBorders>
              <w:top w:val="single" w:sz="8" w:space="0" w:color="016794"/>
              <w:left w:val="nil"/>
              <w:bottom w:val="single" w:sz="8" w:space="0" w:color="016794"/>
              <w:right w:val="nil"/>
            </w:tcBorders>
            <w:vAlign w:val="center"/>
            <w:hideMark/>
          </w:tcPr>
          <w:p w14:paraId="7CFB6303"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2.6</w:t>
            </w:r>
          </w:p>
        </w:tc>
        <w:tc>
          <w:tcPr>
            <w:tcW w:w="1880" w:type="dxa"/>
            <w:tcBorders>
              <w:top w:val="single" w:sz="8" w:space="0" w:color="016794"/>
              <w:left w:val="nil"/>
              <w:bottom w:val="single" w:sz="8" w:space="0" w:color="016794"/>
              <w:right w:val="nil"/>
            </w:tcBorders>
            <w:vAlign w:val="center"/>
            <w:hideMark/>
          </w:tcPr>
          <w:p w14:paraId="53125BD5"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2.4</w:t>
            </w:r>
          </w:p>
        </w:tc>
        <w:tc>
          <w:tcPr>
            <w:tcW w:w="1960" w:type="dxa"/>
            <w:tcBorders>
              <w:top w:val="single" w:sz="8" w:space="0" w:color="016794"/>
              <w:left w:val="nil"/>
              <w:bottom w:val="single" w:sz="8" w:space="0" w:color="016794"/>
              <w:right w:val="nil"/>
            </w:tcBorders>
            <w:vAlign w:val="center"/>
            <w:hideMark/>
          </w:tcPr>
          <w:p w14:paraId="0259CA08"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0.2</w:t>
            </w:r>
          </w:p>
        </w:tc>
        <w:tc>
          <w:tcPr>
            <w:tcW w:w="1640" w:type="dxa"/>
            <w:tcBorders>
              <w:top w:val="single" w:sz="8" w:space="0" w:color="016794"/>
              <w:left w:val="nil"/>
              <w:bottom w:val="single" w:sz="8" w:space="0" w:color="016794"/>
              <w:right w:val="nil"/>
            </w:tcBorders>
            <w:vAlign w:val="center"/>
            <w:hideMark/>
          </w:tcPr>
          <w:p w14:paraId="49A84B9B"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0.2</w:t>
            </w:r>
          </w:p>
        </w:tc>
      </w:tr>
      <w:tr w:rsidR="00F369DF" w14:paraId="2458A36B" w14:textId="77777777">
        <w:trPr>
          <w:trHeight w:val="225"/>
        </w:trPr>
        <w:tc>
          <w:tcPr>
            <w:tcW w:w="2700" w:type="dxa"/>
            <w:tcBorders>
              <w:top w:val="nil"/>
              <w:left w:val="nil"/>
              <w:bottom w:val="nil"/>
              <w:right w:val="nil"/>
            </w:tcBorders>
            <w:shd w:val="clear" w:color="000000" w:fill="DBE5F1"/>
            <w:vAlign w:val="center"/>
            <w:hideMark/>
          </w:tcPr>
          <w:p w14:paraId="59579C1F"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Moldova Facility</w:t>
            </w:r>
          </w:p>
        </w:tc>
        <w:tc>
          <w:tcPr>
            <w:tcW w:w="1360" w:type="dxa"/>
            <w:tcBorders>
              <w:top w:val="nil"/>
              <w:left w:val="nil"/>
              <w:bottom w:val="nil"/>
              <w:right w:val="nil"/>
            </w:tcBorders>
            <w:shd w:val="clear" w:color="000000" w:fill="DBE5F1"/>
            <w:vAlign w:val="center"/>
            <w:hideMark/>
          </w:tcPr>
          <w:p w14:paraId="110D2689"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 </w:t>
            </w:r>
          </w:p>
        </w:tc>
        <w:tc>
          <w:tcPr>
            <w:tcW w:w="1880" w:type="dxa"/>
            <w:tcBorders>
              <w:top w:val="nil"/>
              <w:left w:val="nil"/>
              <w:bottom w:val="nil"/>
              <w:right w:val="nil"/>
            </w:tcBorders>
            <w:shd w:val="clear" w:color="000000" w:fill="DBE5F1"/>
            <w:vAlign w:val="center"/>
            <w:hideMark/>
          </w:tcPr>
          <w:p w14:paraId="408BFE02"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 </w:t>
            </w:r>
          </w:p>
        </w:tc>
        <w:tc>
          <w:tcPr>
            <w:tcW w:w="1960" w:type="dxa"/>
            <w:tcBorders>
              <w:top w:val="nil"/>
              <w:left w:val="nil"/>
              <w:bottom w:val="nil"/>
              <w:right w:val="nil"/>
            </w:tcBorders>
            <w:shd w:val="clear" w:color="000000" w:fill="DBE5F1"/>
            <w:vAlign w:val="center"/>
            <w:hideMark/>
          </w:tcPr>
          <w:p w14:paraId="559C5AF5"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 </w:t>
            </w:r>
          </w:p>
        </w:tc>
        <w:tc>
          <w:tcPr>
            <w:tcW w:w="1640" w:type="dxa"/>
            <w:tcBorders>
              <w:top w:val="nil"/>
              <w:left w:val="nil"/>
              <w:bottom w:val="nil"/>
              <w:right w:val="nil"/>
            </w:tcBorders>
            <w:shd w:val="clear" w:color="000000" w:fill="DBE5F1"/>
            <w:vAlign w:val="center"/>
            <w:hideMark/>
          </w:tcPr>
          <w:p w14:paraId="6A5A46BD"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 </w:t>
            </w:r>
          </w:p>
        </w:tc>
      </w:tr>
      <w:tr w:rsidR="00F369DF" w14:paraId="31277121" w14:textId="77777777" w:rsidTr="00BF139E">
        <w:trPr>
          <w:trHeight w:val="225"/>
        </w:trPr>
        <w:tc>
          <w:tcPr>
            <w:tcW w:w="2700" w:type="dxa"/>
            <w:tcBorders>
              <w:top w:val="nil"/>
              <w:left w:val="nil"/>
              <w:bottom w:val="nil"/>
              <w:right w:val="nil"/>
            </w:tcBorders>
            <w:vAlign w:val="center"/>
            <w:hideMark/>
          </w:tcPr>
          <w:p w14:paraId="778202C7"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 xml:space="preserve">Moldova  </w:t>
            </w:r>
          </w:p>
        </w:tc>
        <w:tc>
          <w:tcPr>
            <w:tcW w:w="1360" w:type="dxa"/>
            <w:tcBorders>
              <w:top w:val="nil"/>
              <w:left w:val="nil"/>
              <w:bottom w:val="nil"/>
              <w:right w:val="nil"/>
            </w:tcBorders>
            <w:noWrap/>
            <w:hideMark/>
          </w:tcPr>
          <w:p w14:paraId="51B1945D"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1.5</w:t>
            </w:r>
          </w:p>
        </w:tc>
        <w:tc>
          <w:tcPr>
            <w:tcW w:w="1880" w:type="dxa"/>
            <w:tcBorders>
              <w:top w:val="nil"/>
              <w:left w:val="nil"/>
              <w:bottom w:val="nil"/>
              <w:right w:val="nil"/>
            </w:tcBorders>
            <w:noWrap/>
            <w:hideMark/>
          </w:tcPr>
          <w:p w14:paraId="2495883B"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1.2</w:t>
            </w:r>
          </w:p>
        </w:tc>
        <w:tc>
          <w:tcPr>
            <w:tcW w:w="1960" w:type="dxa"/>
            <w:tcBorders>
              <w:top w:val="nil"/>
              <w:left w:val="nil"/>
              <w:bottom w:val="nil"/>
              <w:right w:val="nil"/>
            </w:tcBorders>
            <w:noWrap/>
            <w:hideMark/>
          </w:tcPr>
          <w:p w14:paraId="17980E1C"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0.3</w:t>
            </w:r>
          </w:p>
        </w:tc>
        <w:tc>
          <w:tcPr>
            <w:tcW w:w="1640" w:type="dxa"/>
            <w:tcBorders>
              <w:top w:val="nil"/>
              <w:left w:val="nil"/>
              <w:bottom w:val="nil"/>
              <w:right w:val="nil"/>
            </w:tcBorders>
            <w:noWrap/>
            <w:hideMark/>
          </w:tcPr>
          <w:p w14:paraId="3F62175F"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0.3</w:t>
            </w:r>
          </w:p>
        </w:tc>
      </w:tr>
      <w:tr w:rsidR="00F369DF" w14:paraId="2F49F993" w14:textId="77777777">
        <w:trPr>
          <w:trHeight w:val="225"/>
        </w:trPr>
        <w:tc>
          <w:tcPr>
            <w:tcW w:w="2700" w:type="dxa"/>
            <w:tcBorders>
              <w:top w:val="nil"/>
              <w:left w:val="nil"/>
              <w:bottom w:val="nil"/>
              <w:right w:val="nil"/>
            </w:tcBorders>
            <w:shd w:val="clear" w:color="000000" w:fill="DBE5F1"/>
            <w:vAlign w:val="center"/>
            <w:hideMark/>
          </w:tcPr>
          <w:p w14:paraId="512BBBC1"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Ukraine Facility</w:t>
            </w:r>
          </w:p>
        </w:tc>
        <w:tc>
          <w:tcPr>
            <w:tcW w:w="1360" w:type="dxa"/>
            <w:tcBorders>
              <w:top w:val="nil"/>
              <w:left w:val="nil"/>
              <w:bottom w:val="nil"/>
              <w:right w:val="nil"/>
            </w:tcBorders>
            <w:shd w:val="clear" w:color="000000" w:fill="DBE5F1"/>
            <w:vAlign w:val="center"/>
            <w:hideMark/>
          </w:tcPr>
          <w:p w14:paraId="15CEC0DE"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880" w:type="dxa"/>
            <w:tcBorders>
              <w:top w:val="nil"/>
              <w:left w:val="nil"/>
              <w:bottom w:val="nil"/>
              <w:right w:val="nil"/>
            </w:tcBorders>
            <w:shd w:val="clear" w:color="000000" w:fill="DBE5F1"/>
            <w:vAlign w:val="center"/>
            <w:hideMark/>
          </w:tcPr>
          <w:p w14:paraId="37C9D1C0"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960" w:type="dxa"/>
            <w:tcBorders>
              <w:top w:val="nil"/>
              <w:left w:val="nil"/>
              <w:bottom w:val="nil"/>
              <w:right w:val="nil"/>
            </w:tcBorders>
            <w:shd w:val="clear" w:color="000000" w:fill="DBE5F1"/>
            <w:vAlign w:val="center"/>
            <w:hideMark/>
          </w:tcPr>
          <w:p w14:paraId="54808911"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640" w:type="dxa"/>
            <w:tcBorders>
              <w:top w:val="nil"/>
              <w:left w:val="nil"/>
              <w:bottom w:val="nil"/>
              <w:right w:val="nil"/>
            </w:tcBorders>
            <w:shd w:val="clear" w:color="000000" w:fill="DBE5F1"/>
            <w:vAlign w:val="center"/>
            <w:hideMark/>
          </w:tcPr>
          <w:p w14:paraId="6217349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r>
      <w:tr w:rsidR="00F369DF" w14:paraId="39F366E4" w14:textId="77777777" w:rsidTr="00BF139E">
        <w:trPr>
          <w:trHeight w:val="225"/>
        </w:trPr>
        <w:tc>
          <w:tcPr>
            <w:tcW w:w="2700" w:type="dxa"/>
            <w:tcBorders>
              <w:top w:val="nil"/>
              <w:left w:val="nil"/>
              <w:bottom w:val="nil"/>
              <w:right w:val="nil"/>
            </w:tcBorders>
            <w:vAlign w:val="center"/>
            <w:hideMark/>
          </w:tcPr>
          <w:p w14:paraId="43F83905"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Ukraine</w:t>
            </w:r>
          </w:p>
        </w:tc>
        <w:tc>
          <w:tcPr>
            <w:tcW w:w="1360" w:type="dxa"/>
            <w:tcBorders>
              <w:top w:val="nil"/>
              <w:left w:val="nil"/>
              <w:bottom w:val="nil"/>
              <w:right w:val="nil"/>
            </w:tcBorders>
            <w:noWrap/>
            <w:hideMark/>
          </w:tcPr>
          <w:p w14:paraId="24B04CA2"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33.0</w:t>
            </w:r>
          </w:p>
        </w:tc>
        <w:tc>
          <w:tcPr>
            <w:tcW w:w="1880" w:type="dxa"/>
            <w:tcBorders>
              <w:top w:val="nil"/>
              <w:left w:val="nil"/>
              <w:bottom w:val="nil"/>
              <w:right w:val="nil"/>
            </w:tcBorders>
            <w:noWrap/>
            <w:hideMark/>
          </w:tcPr>
          <w:p w14:paraId="1A78B833"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9.8</w:t>
            </w:r>
          </w:p>
        </w:tc>
        <w:tc>
          <w:tcPr>
            <w:tcW w:w="1960" w:type="dxa"/>
            <w:tcBorders>
              <w:top w:val="nil"/>
              <w:left w:val="nil"/>
              <w:bottom w:val="nil"/>
              <w:right w:val="nil"/>
            </w:tcBorders>
            <w:noWrap/>
            <w:hideMark/>
          </w:tcPr>
          <w:p w14:paraId="243F2BBC"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23.2</w:t>
            </w:r>
          </w:p>
        </w:tc>
        <w:tc>
          <w:tcPr>
            <w:tcW w:w="1640" w:type="dxa"/>
            <w:tcBorders>
              <w:top w:val="nil"/>
              <w:left w:val="nil"/>
              <w:bottom w:val="nil"/>
              <w:right w:val="nil"/>
            </w:tcBorders>
            <w:noWrap/>
            <w:hideMark/>
          </w:tcPr>
          <w:p w14:paraId="267D8F69"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23.2</w:t>
            </w:r>
          </w:p>
        </w:tc>
      </w:tr>
      <w:tr w:rsidR="00F369DF" w14:paraId="6CF2A293" w14:textId="77777777">
        <w:trPr>
          <w:trHeight w:val="225"/>
        </w:trPr>
        <w:tc>
          <w:tcPr>
            <w:tcW w:w="2700" w:type="dxa"/>
            <w:tcBorders>
              <w:top w:val="nil"/>
              <w:left w:val="nil"/>
              <w:bottom w:val="nil"/>
              <w:right w:val="nil"/>
            </w:tcBorders>
            <w:shd w:val="clear" w:color="000000" w:fill="DBE5F1"/>
            <w:vAlign w:val="center"/>
            <w:hideMark/>
          </w:tcPr>
          <w:p w14:paraId="49BF1810"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EURATOM</w:t>
            </w:r>
          </w:p>
        </w:tc>
        <w:tc>
          <w:tcPr>
            <w:tcW w:w="1360" w:type="dxa"/>
            <w:tcBorders>
              <w:top w:val="nil"/>
              <w:left w:val="nil"/>
              <w:bottom w:val="nil"/>
              <w:right w:val="nil"/>
            </w:tcBorders>
            <w:shd w:val="clear" w:color="000000" w:fill="DBE5F1"/>
            <w:vAlign w:val="center"/>
            <w:hideMark/>
          </w:tcPr>
          <w:p w14:paraId="430AF27B"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880" w:type="dxa"/>
            <w:tcBorders>
              <w:top w:val="nil"/>
              <w:left w:val="nil"/>
              <w:bottom w:val="nil"/>
              <w:right w:val="nil"/>
            </w:tcBorders>
            <w:shd w:val="clear" w:color="000000" w:fill="DBE5F1"/>
            <w:vAlign w:val="center"/>
            <w:hideMark/>
          </w:tcPr>
          <w:p w14:paraId="16053C44"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960" w:type="dxa"/>
            <w:tcBorders>
              <w:top w:val="nil"/>
              <w:left w:val="nil"/>
              <w:bottom w:val="nil"/>
              <w:right w:val="nil"/>
            </w:tcBorders>
            <w:shd w:val="clear" w:color="000000" w:fill="DBE5F1"/>
            <w:vAlign w:val="center"/>
            <w:hideMark/>
          </w:tcPr>
          <w:p w14:paraId="61E5BF8A"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c>
          <w:tcPr>
            <w:tcW w:w="1640" w:type="dxa"/>
            <w:tcBorders>
              <w:top w:val="nil"/>
              <w:left w:val="nil"/>
              <w:bottom w:val="nil"/>
              <w:right w:val="nil"/>
            </w:tcBorders>
            <w:shd w:val="clear" w:color="000000" w:fill="DBE5F1"/>
            <w:vAlign w:val="center"/>
            <w:hideMark/>
          </w:tcPr>
          <w:p w14:paraId="45F1EBDF" w14:textId="77777777" w:rsidR="00F369DF" w:rsidRDefault="00F369DF">
            <w:pPr>
              <w:jc w:val="right"/>
              <w:rPr>
                <w:rFonts w:ascii="Verdana" w:hAnsi="Verdana" w:cs="Calibri"/>
                <w:noProof/>
                <w:color w:val="000000"/>
                <w:sz w:val="18"/>
                <w:szCs w:val="18"/>
              </w:rPr>
            </w:pPr>
            <w:r>
              <w:rPr>
                <w:rFonts w:ascii="Verdana" w:hAnsi="Verdana" w:cs="Calibri"/>
                <w:noProof/>
                <w:color w:val="000000"/>
                <w:sz w:val="18"/>
                <w:szCs w:val="18"/>
              </w:rPr>
              <w:t> </w:t>
            </w:r>
          </w:p>
        </w:tc>
      </w:tr>
      <w:tr w:rsidR="00F369DF" w14:paraId="27283D48" w14:textId="77777777" w:rsidTr="00BF139E">
        <w:trPr>
          <w:trHeight w:val="225"/>
        </w:trPr>
        <w:tc>
          <w:tcPr>
            <w:tcW w:w="2700" w:type="dxa"/>
            <w:tcBorders>
              <w:top w:val="nil"/>
              <w:left w:val="nil"/>
              <w:bottom w:val="nil"/>
              <w:right w:val="nil"/>
            </w:tcBorders>
            <w:vAlign w:val="center"/>
            <w:hideMark/>
          </w:tcPr>
          <w:p w14:paraId="3353D611" w14:textId="77777777" w:rsidR="00F369DF" w:rsidRDefault="00F369DF">
            <w:pPr>
              <w:rPr>
                <w:rFonts w:ascii="Verdana" w:hAnsi="Verdana" w:cs="Calibri"/>
                <w:noProof/>
                <w:color w:val="000000"/>
                <w:sz w:val="18"/>
                <w:szCs w:val="18"/>
              </w:rPr>
            </w:pPr>
            <w:r>
              <w:rPr>
                <w:rFonts w:ascii="Verdana" w:hAnsi="Verdana" w:cs="Calibri"/>
                <w:noProof/>
                <w:color w:val="000000"/>
                <w:sz w:val="18"/>
                <w:szCs w:val="18"/>
              </w:rPr>
              <w:t>Energoatom, K2R4 Ukraine</w:t>
            </w:r>
          </w:p>
        </w:tc>
        <w:tc>
          <w:tcPr>
            <w:tcW w:w="1360" w:type="dxa"/>
            <w:tcBorders>
              <w:top w:val="nil"/>
              <w:left w:val="nil"/>
              <w:bottom w:val="nil"/>
              <w:right w:val="nil"/>
            </w:tcBorders>
            <w:noWrap/>
            <w:hideMark/>
          </w:tcPr>
          <w:p w14:paraId="32481CF9"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0.4</w:t>
            </w:r>
          </w:p>
        </w:tc>
        <w:tc>
          <w:tcPr>
            <w:tcW w:w="1880" w:type="dxa"/>
            <w:tcBorders>
              <w:top w:val="nil"/>
              <w:left w:val="nil"/>
              <w:bottom w:val="nil"/>
              <w:right w:val="nil"/>
            </w:tcBorders>
            <w:noWrap/>
            <w:hideMark/>
          </w:tcPr>
          <w:p w14:paraId="138C4B49"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w:t>
            </w:r>
          </w:p>
        </w:tc>
        <w:tc>
          <w:tcPr>
            <w:tcW w:w="1960" w:type="dxa"/>
            <w:tcBorders>
              <w:top w:val="nil"/>
              <w:left w:val="nil"/>
              <w:bottom w:val="nil"/>
              <w:right w:val="nil"/>
            </w:tcBorders>
            <w:noWrap/>
            <w:hideMark/>
          </w:tcPr>
          <w:p w14:paraId="0830E64C"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0.4</w:t>
            </w:r>
          </w:p>
        </w:tc>
        <w:tc>
          <w:tcPr>
            <w:tcW w:w="1640" w:type="dxa"/>
            <w:tcBorders>
              <w:top w:val="nil"/>
              <w:left w:val="nil"/>
              <w:bottom w:val="nil"/>
              <w:right w:val="nil"/>
            </w:tcBorders>
            <w:noWrap/>
            <w:hideMark/>
          </w:tcPr>
          <w:p w14:paraId="56FF9C9E"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0.3</w:t>
            </w:r>
          </w:p>
        </w:tc>
      </w:tr>
      <w:tr w:rsidR="00F369DF" w14:paraId="4FEF2DE6" w14:textId="77777777">
        <w:trPr>
          <w:trHeight w:val="240"/>
        </w:trPr>
        <w:tc>
          <w:tcPr>
            <w:tcW w:w="2700" w:type="dxa"/>
            <w:tcBorders>
              <w:top w:val="nil"/>
              <w:left w:val="nil"/>
              <w:bottom w:val="nil"/>
              <w:right w:val="nil"/>
            </w:tcBorders>
            <w:shd w:val="clear" w:color="000000" w:fill="DBE5F1"/>
            <w:vAlign w:val="center"/>
            <w:hideMark/>
          </w:tcPr>
          <w:p w14:paraId="4DC3AB80"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RRF/REPowerEU</w:t>
            </w:r>
          </w:p>
        </w:tc>
        <w:tc>
          <w:tcPr>
            <w:tcW w:w="1360" w:type="dxa"/>
            <w:tcBorders>
              <w:top w:val="nil"/>
              <w:left w:val="nil"/>
              <w:bottom w:val="nil"/>
              <w:right w:val="nil"/>
            </w:tcBorders>
            <w:shd w:val="clear" w:color="000000" w:fill="DBE5F1"/>
            <w:vAlign w:val="center"/>
            <w:hideMark/>
          </w:tcPr>
          <w:p w14:paraId="66973E1D"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277.2</w:t>
            </w:r>
          </w:p>
        </w:tc>
        <w:tc>
          <w:tcPr>
            <w:tcW w:w="1880" w:type="dxa"/>
            <w:tcBorders>
              <w:top w:val="nil"/>
              <w:left w:val="nil"/>
              <w:bottom w:val="nil"/>
              <w:right w:val="nil"/>
            </w:tcBorders>
            <w:shd w:val="clear" w:color="000000" w:fill="DBE5F1"/>
            <w:vAlign w:val="center"/>
            <w:hideMark/>
          </w:tcPr>
          <w:p w14:paraId="5336DEF6"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121.3</w:t>
            </w:r>
          </w:p>
        </w:tc>
        <w:tc>
          <w:tcPr>
            <w:tcW w:w="1960" w:type="dxa"/>
            <w:tcBorders>
              <w:top w:val="nil"/>
              <w:left w:val="nil"/>
              <w:bottom w:val="nil"/>
              <w:right w:val="nil"/>
            </w:tcBorders>
            <w:shd w:val="clear" w:color="000000" w:fill="DBE5F1"/>
            <w:vAlign w:val="center"/>
            <w:hideMark/>
          </w:tcPr>
          <w:p w14:paraId="7B1469F1"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155.9</w:t>
            </w:r>
          </w:p>
        </w:tc>
        <w:tc>
          <w:tcPr>
            <w:tcW w:w="1640" w:type="dxa"/>
            <w:tcBorders>
              <w:top w:val="nil"/>
              <w:left w:val="nil"/>
              <w:bottom w:val="nil"/>
              <w:right w:val="nil"/>
            </w:tcBorders>
            <w:shd w:val="clear" w:color="000000" w:fill="DBE5F1"/>
            <w:vAlign w:val="center"/>
            <w:hideMark/>
          </w:tcPr>
          <w:p w14:paraId="593135F0"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155.9</w:t>
            </w:r>
          </w:p>
        </w:tc>
      </w:tr>
      <w:tr w:rsidR="00F369DF" w14:paraId="049BB464" w14:textId="77777777" w:rsidTr="00BF139E">
        <w:trPr>
          <w:trHeight w:val="240"/>
        </w:trPr>
        <w:tc>
          <w:tcPr>
            <w:tcW w:w="2700" w:type="dxa"/>
            <w:tcBorders>
              <w:top w:val="single" w:sz="8" w:space="0" w:color="016794"/>
              <w:left w:val="nil"/>
              <w:bottom w:val="single" w:sz="8" w:space="0" w:color="016794"/>
              <w:right w:val="nil"/>
            </w:tcBorders>
            <w:vAlign w:val="center"/>
            <w:hideMark/>
          </w:tcPr>
          <w:p w14:paraId="25C0B81C" w14:textId="77777777" w:rsidR="00F369DF" w:rsidRDefault="00F369DF">
            <w:pPr>
              <w:rPr>
                <w:rFonts w:ascii="Verdana" w:hAnsi="Verdana" w:cs="Calibri"/>
                <w:b/>
                <w:bCs/>
                <w:noProof/>
                <w:color w:val="000000"/>
                <w:sz w:val="18"/>
                <w:szCs w:val="18"/>
              </w:rPr>
            </w:pPr>
            <w:r>
              <w:rPr>
                <w:rFonts w:ascii="Verdana" w:hAnsi="Verdana" w:cs="Calibri"/>
                <w:b/>
                <w:bCs/>
                <w:noProof/>
                <w:color w:val="000000"/>
                <w:sz w:val="18"/>
                <w:szCs w:val="18"/>
              </w:rPr>
              <w:t>Total</w:t>
            </w:r>
          </w:p>
        </w:tc>
        <w:tc>
          <w:tcPr>
            <w:tcW w:w="1360" w:type="dxa"/>
            <w:tcBorders>
              <w:top w:val="single" w:sz="8" w:space="0" w:color="016794"/>
              <w:left w:val="nil"/>
              <w:bottom w:val="single" w:sz="8" w:space="0" w:color="016794"/>
              <w:right w:val="nil"/>
            </w:tcBorders>
            <w:vAlign w:val="center"/>
            <w:hideMark/>
          </w:tcPr>
          <w:p w14:paraId="6D63BEB2"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517.4</w:t>
            </w:r>
          </w:p>
        </w:tc>
        <w:tc>
          <w:tcPr>
            <w:tcW w:w="1880" w:type="dxa"/>
            <w:tcBorders>
              <w:top w:val="single" w:sz="8" w:space="0" w:color="016794"/>
              <w:left w:val="nil"/>
              <w:bottom w:val="single" w:sz="8" w:space="0" w:color="016794"/>
              <w:right w:val="nil"/>
            </w:tcBorders>
            <w:vAlign w:val="center"/>
            <w:hideMark/>
          </w:tcPr>
          <w:p w14:paraId="2697992B"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139.0</w:t>
            </w:r>
          </w:p>
        </w:tc>
        <w:tc>
          <w:tcPr>
            <w:tcW w:w="1960" w:type="dxa"/>
            <w:tcBorders>
              <w:top w:val="single" w:sz="8" w:space="0" w:color="016794"/>
              <w:left w:val="nil"/>
              <w:bottom w:val="single" w:sz="8" w:space="0" w:color="016794"/>
              <w:right w:val="nil"/>
            </w:tcBorders>
            <w:vAlign w:val="center"/>
            <w:hideMark/>
          </w:tcPr>
          <w:p w14:paraId="20DBCCAE"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378.5</w:t>
            </w:r>
          </w:p>
        </w:tc>
        <w:tc>
          <w:tcPr>
            <w:tcW w:w="1640" w:type="dxa"/>
            <w:tcBorders>
              <w:top w:val="single" w:sz="8" w:space="0" w:color="016794"/>
              <w:left w:val="nil"/>
              <w:bottom w:val="single" w:sz="8" w:space="0" w:color="016794"/>
              <w:right w:val="nil"/>
            </w:tcBorders>
            <w:vAlign w:val="center"/>
            <w:hideMark/>
          </w:tcPr>
          <w:p w14:paraId="2B4802AF" w14:textId="77777777" w:rsidR="00F369DF" w:rsidRDefault="00F369DF">
            <w:pPr>
              <w:jc w:val="right"/>
              <w:rPr>
                <w:rFonts w:ascii="Verdana" w:hAnsi="Verdana" w:cs="Calibri"/>
                <w:b/>
                <w:bCs/>
                <w:noProof/>
                <w:color w:val="000000"/>
                <w:sz w:val="18"/>
                <w:szCs w:val="18"/>
              </w:rPr>
            </w:pPr>
            <w:r>
              <w:rPr>
                <w:rFonts w:ascii="Verdana" w:hAnsi="Verdana" w:cs="Calibri"/>
                <w:b/>
                <w:bCs/>
                <w:noProof/>
                <w:color w:val="000000"/>
                <w:sz w:val="18"/>
                <w:szCs w:val="18"/>
              </w:rPr>
              <w:t>359.4</w:t>
            </w:r>
          </w:p>
        </w:tc>
      </w:tr>
    </w:tbl>
    <w:p w14:paraId="6464185F" w14:textId="77777777" w:rsidR="00F369DF" w:rsidRDefault="00F369DF" w:rsidP="00F369DF">
      <w:pPr>
        <w:pStyle w:val="DGTextstand-alone"/>
        <w:rPr>
          <w:color w:val="016794"/>
        </w:rPr>
      </w:pPr>
    </w:p>
    <w:p w14:paraId="6F07EF9E" w14:textId="77777777" w:rsidR="00F369DF" w:rsidRDefault="00F369DF" w:rsidP="00F369DF">
      <w:pPr>
        <w:pStyle w:val="DGTextstand-alone"/>
        <w:rPr>
          <w:color w:val="016794"/>
        </w:rPr>
      </w:pPr>
      <w:r w:rsidRPr="004167B2">
        <w:rPr>
          <w:color w:val="016794"/>
        </w:rPr>
        <w:t>SURE</w:t>
      </w:r>
    </w:p>
    <w:p w14:paraId="1E806AF3" w14:textId="77777777" w:rsidR="00F369DF" w:rsidRDefault="00F369DF" w:rsidP="00F369DF">
      <w:pPr>
        <w:pStyle w:val="DGTextstand-alone"/>
      </w:pPr>
      <w:r w:rsidRPr="000944C8">
        <w:t xml:space="preserve">SURE was established in 2020 to provide financial assistance to Member States </w:t>
      </w:r>
      <w:r>
        <w:t>who</w:t>
      </w:r>
      <w:r w:rsidRPr="000944C8">
        <w:t xml:space="preserve"> </w:t>
      </w:r>
      <w:r>
        <w:t>we</w:t>
      </w:r>
      <w:r w:rsidRPr="000944C8">
        <w:t xml:space="preserve">re experiencing, or </w:t>
      </w:r>
      <w:r>
        <w:t>we</w:t>
      </w:r>
      <w:r w:rsidRPr="000944C8">
        <w:t xml:space="preserve">re seriously threatened with, a severe economic disturbance caused by the COVID-19 </w:t>
      </w:r>
      <w:r>
        <w:t>pandemic. The i</w:t>
      </w:r>
      <w:r w:rsidRPr="000944C8">
        <w:t>nstrument complement</w:t>
      </w:r>
      <w:r>
        <w:t>s</w:t>
      </w:r>
      <w:r w:rsidRPr="000944C8">
        <w:t xml:space="preserve"> the national measures taken by affected Member States. </w:t>
      </w:r>
    </w:p>
    <w:p w14:paraId="3F93AB24" w14:textId="77777777" w:rsidR="00F369DF" w:rsidRPr="000944C8" w:rsidRDefault="00F369DF" w:rsidP="00F369DF">
      <w:pPr>
        <w:pStyle w:val="DGTextstand-alone"/>
        <w:keepNext/>
      </w:pPr>
      <w:r>
        <w:t>The availability of the instrument ended at 31 December 2022 and there are no pending disbursements.</w:t>
      </w:r>
      <w:r w:rsidRPr="00861ADB">
        <w:t xml:space="preserve"> The maturity of loans varies between 5</w:t>
      </w:r>
      <w:r>
        <w:t xml:space="preserve"> and</w:t>
      </w:r>
      <w:r w:rsidRPr="00861ADB">
        <w:t xml:space="preserve"> 30 years.</w:t>
      </w:r>
    </w:p>
    <w:p w14:paraId="1F196D21" w14:textId="77777777" w:rsidR="00F369DF" w:rsidRPr="008F6CD5" w:rsidRDefault="00F369DF" w:rsidP="00F369DF">
      <w:pPr>
        <w:pStyle w:val="DGTextstand-alone"/>
        <w:rPr>
          <w:color w:val="016794"/>
        </w:rPr>
      </w:pPr>
      <w:r w:rsidRPr="009C4DF4">
        <w:rPr>
          <w:color w:val="016794"/>
        </w:rPr>
        <w:t>EFSM</w:t>
      </w:r>
    </w:p>
    <w:p w14:paraId="2D7C57CB" w14:textId="77777777" w:rsidR="00F369DF" w:rsidRDefault="00F369DF" w:rsidP="00F369DF">
      <w:pPr>
        <w:pStyle w:val="DGTextstand-alone"/>
      </w:pPr>
      <w:r w:rsidRPr="00EE5E17">
        <w:t xml:space="preserve">EFSM </w:t>
      </w:r>
      <w:r w:rsidRPr="00861ADB">
        <w:t>was created to provide financial assistance to all Member States experiencing or seriously threatened by a severe economic financial disturbance caused by exceptional occurrences beyond their control.</w:t>
      </w:r>
      <w:r>
        <w:t xml:space="preserve"> </w:t>
      </w:r>
      <w:r w:rsidRPr="00861ADB">
        <w:t xml:space="preserve">This programme </w:t>
      </w:r>
      <w:r>
        <w:t xml:space="preserve">has </w:t>
      </w:r>
      <w:r w:rsidRPr="00861ADB">
        <w:t xml:space="preserve">expired and no additional loans can be drawn, </w:t>
      </w:r>
      <w:r>
        <w:t>except</w:t>
      </w:r>
      <w:r w:rsidRPr="00861ADB">
        <w:t xml:space="preserve"> for specific tasks such as the lengthening of maturities </w:t>
      </w:r>
      <w:r>
        <w:t>of existing</w:t>
      </w:r>
      <w:r w:rsidRPr="00861ADB">
        <w:t xml:space="preserve"> loans. </w:t>
      </w:r>
    </w:p>
    <w:p w14:paraId="1640C131" w14:textId="77777777" w:rsidR="00F369DF" w:rsidRDefault="00F369DF" w:rsidP="00F369DF">
      <w:pPr>
        <w:pStyle w:val="DGTextstand-alone"/>
      </w:pPr>
      <w:r w:rsidRPr="00F7696F">
        <w:t>In 2025, Ireland repaid EUR 2.4 billion of EFSM loan due</w:t>
      </w:r>
      <w:r>
        <w:t>, while</w:t>
      </w:r>
      <w:r w:rsidRPr="00F7696F">
        <w:t xml:space="preserve"> Portugal </w:t>
      </w:r>
      <w:r>
        <w:t>early repaid</w:t>
      </w:r>
      <w:r w:rsidRPr="00F7696F">
        <w:t xml:space="preserve"> two loans </w:t>
      </w:r>
      <w:r>
        <w:t>for a</w:t>
      </w:r>
      <w:r w:rsidRPr="00F7696F">
        <w:t xml:space="preserve"> total amount </w:t>
      </w:r>
      <w:r>
        <w:t xml:space="preserve">of </w:t>
      </w:r>
      <w:r w:rsidRPr="00F7696F">
        <w:t>EUR 2.5 billion. The underlying EU bonds were transferred to the unified funding pool</w:t>
      </w:r>
      <w:r>
        <w:t>.</w:t>
      </w:r>
    </w:p>
    <w:p w14:paraId="4D40425A" w14:textId="77777777" w:rsidR="00F369DF" w:rsidRPr="009C4DF4" w:rsidRDefault="00F369DF" w:rsidP="00F369DF">
      <w:pPr>
        <w:pStyle w:val="DGTextstand-alone"/>
        <w:rPr>
          <w:color w:val="016794"/>
        </w:rPr>
      </w:pPr>
      <w:r w:rsidRPr="009C4DF4">
        <w:rPr>
          <w:color w:val="016794"/>
        </w:rPr>
        <w:t>MFA</w:t>
      </w:r>
    </w:p>
    <w:p w14:paraId="353E5076" w14:textId="77777777" w:rsidR="00F369DF" w:rsidRDefault="00F369DF" w:rsidP="00F369DF">
      <w:pPr>
        <w:pStyle w:val="DGTextstand-alone"/>
      </w:pPr>
      <w:r w:rsidRPr="00EE5E17">
        <w:t xml:space="preserve">The </w:t>
      </w:r>
      <w:r w:rsidRPr="006B06CF">
        <w:t>MFA</w:t>
      </w:r>
      <w:r>
        <w:t xml:space="preserve"> programme</w:t>
      </w:r>
      <w:r w:rsidRPr="006B06CF">
        <w:t xml:space="preserve"> is a form of financial assistance extended by the EU to partner countries outside the EU experiencing a balance of pa</w:t>
      </w:r>
      <w:r>
        <w:t>yments crisis</w:t>
      </w:r>
      <w:r w:rsidRPr="006B06CF">
        <w:t>. It takes the form of medium/long-term loans or grants, or a combination of these, and is only available</w:t>
      </w:r>
      <w:r w:rsidRPr="00EE5E17">
        <w:t xml:space="preserve"> to countries benefiting from a</w:t>
      </w:r>
      <w:r>
        <w:t xml:space="preserve">n International Monetary </w:t>
      </w:r>
      <w:r w:rsidRPr="00EE5E17">
        <w:t>F</w:t>
      </w:r>
      <w:r>
        <w:t xml:space="preserve">und (IMF) </w:t>
      </w:r>
      <w:r w:rsidRPr="00EE5E17">
        <w:t>programme.</w:t>
      </w:r>
    </w:p>
    <w:p w14:paraId="32A18992" w14:textId="77777777" w:rsidR="00F369DF" w:rsidRPr="008957BF" w:rsidRDefault="00F369DF" w:rsidP="00F369DF">
      <w:pPr>
        <w:pStyle w:val="DGTextstand-alone"/>
        <w:rPr>
          <w:i/>
        </w:rPr>
      </w:pPr>
      <w:r w:rsidRPr="008957BF">
        <w:rPr>
          <w:i/>
        </w:rPr>
        <w:t>Ukraine</w:t>
      </w:r>
    </w:p>
    <w:p w14:paraId="7A27838C" w14:textId="77777777" w:rsidR="00F369DF" w:rsidRDefault="00F369DF" w:rsidP="00F369DF">
      <w:pPr>
        <w:pStyle w:val="DGTextstand-alone"/>
      </w:pPr>
      <w:r w:rsidRPr="00D33A5E">
        <w:t xml:space="preserve">In 2022 the European Parliament and the Council </w:t>
      </w:r>
      <w:r>
        <w:t>agreed</w:t>
      </w:r>
      <w:r w:rsidRPr="00D33A5E">
        <w:t xml:space="preserve"> three packages of financial assistance </w:t>
      </w:r>
      <w:r>
        <w:t>for</w:t>
      </w:r>
      <w:r w:rsidRPr="00D33A5E">
        <w:t xml:space="preserve"> Ukraine</w:t>
      </w:r>
      <w:r>
        <w:rPr>
          <w:vertAlign w:val="superscript"/>
        </w:rPr>
        <w:footnoteReference w:id="9"/>
      </w:r>
      <w:r>
        <w:t>, totalling EUR 7.</w:t>
      </w:r>
      <w:r w:rsidRPr="00D33A5E">
        <w:t>2 billion</w:t>
      </w:r>
      <w:r>
        <w:t>,</w:t>
      </w:r>
      <w:r w:rsidRPr="00D33A5E">
        <w:t xml:space="preserve"> to strengthen the immediate resilience of the country subsequent to Russia’s unprovoked and unjustified war of aggression.</w:t>
      </w:r>
      <w:r>
        <w:t xml:space="preserve"> All the loans had been disbursed to Ukraine by the end of 2022. The maturity of these loans to Ukraine varies between 10 to 30 years. </w:t>
      </w:r>
    </w:p>
    <w:p w14:paraId="58EE8612" w14:textId="77777777" w:rsidR="00F369DF" w:rsidRDefault="00F369DF" w:rsidP="00F369DF">
      <w:pPr>
        <w:pStyle w:val="DGTextstand-alone"/>
      </w:pPr>
      <w:r>
        <w:t>To continue the EU support for Ukraine, an MFA+ loan of EUR 18 billion was disbursed in 2023 under the Regulation (EU) 2022/2463 of the European Parliament and Council</w:t>
      </w:r>
      <w:r>
        <w:rPr>
          <w:rStyle w:val="FootnoteReference"/>
        </w:rPr>
        <w:footnoteReference w:id="10"/>
      </w:r>
      <w:r>
        <w:t xml:space="preserve">. The loan was funded through the unified funding approach, whereas all previous MFA loans were funded under the back-to-back funding approach. </w:t>
      </w:r>
    </w:p>
    <w:p w14:paraId="519A5640" w14:textId="77777777" w:rsidR="00F369DF" w:rsidRPr="006D3BF0" w:rsidRDefault="00F369DF" w:rsidP="00F369DF">
      <w:pPr>
        <w:pStyle w:val="DGTextstand-alone"/>
      </w:pPr>
      <w:r w:rsidRPr="001731AC">
        <w:t xml:space="preserve">In October 2024, </w:t>
      </w:r>
      <w:r>
        <w:t xml:space="preserve">the EU adopted a new MFA for </w:t>
      </w:r>
      <w:r w:rsidRPr="001731AC">
        <w:t>Ukraine</w:t>
      </w:r>
      <w:r>
        <w:t xml:space="preserve"> and the Ukraine</w:t>
      </w:r>
      <w:r w:rsidRPr="001731AC">
        <w:t xml:space="preserve"> Loan Cooperation Mechanism (ULCM)</w:t>
      </w:r>
      <w:r>
        <w:rPr>
          <w:rStyle w:val="FootnoteReference"/>
        </w:rPr>
        <w:footnoteReference w:id="11"/>
      </w:r>
      <w:r w:rsidRPr="001731AC">
        <w:t xml:space="preserve">. Under the ULCM, extraordinary revenues from immobilised Russian sovereign assets </w:t>
      </w:r>
      <w:r>
        <w:t>are</w:t>
      </w:r>
      <w:r w:rsidRPr="001731AC">
        <w:t xml:space="preserve"> used to grant</w:t>
      </w:r>
      <w:r>
        <w:t xml:space="preserve"> </w:t>
      </w:r>
      <w:r w:rsidRPr="001731AC">
        <w:t>non-repayable support to Ukraine</w:t>
      </w:r>
      <w:r>
        <w:t xml:space="preserve"> </w:t>
      </w:r>
      <w:r w:rsidRPr="001731AC">
        <w:t xml:space="preserve">to assist the country in repaying new bilateral loans </w:t>
      </w:r>
      <w:r w:rsidRPr="006D3BF0">
        <w:t>provided by the G7 partners and the EU under this initiative. Consequently, the EU signed a new MFA loan agreement with Ukraine in December 2024 for an amount of EUR 18.1 billion</w:t>
      </w:r>
      <w:r>
        <w:t>, which was fully disbursed by the end of</w:t>
      </w:r>
      <w:r w:rsidRPr="006D3BF0">
        <w:t xml:space="preserve"> 2025.</w:t>
      </w:r>
    </w:p>
    <w:p w14:paraId="28EBBCCD" w14:textId="77777777" w:rsidR="00F369DF" w:rsidRDefault="00F369DF" w:rsidP="00F369DF">
      <w:pPr>
        <w:pStyle w:val="DGTextstand-alone"/>
      </w:pPr>
      <w:r w:rsidRPr="006D3BF0">
        <w:t>At the end of 202</w:t>
      </w:r>
      <w:r>
        <w:t>5</w:t>
      </w:r>
      <w:r w:rsidRPr="006D3BF0">
        <w:t xml:space="preserve">, the total MFA loans outstanding to Ukraine amounted to EUR </w:t>
      </w:r>
      <w:r>
        <w:t>47.1</w:t>
      </w:r>
      <w:r w:rsidRPr="006D3BF0">
        <w:t xml:space="preserve"> billion (nominal</w:t>
      </w:r>
      <w:r>
        <w:t xml:space="preserve"> amount).</w:t>
      </w:r>
    </w:p>
    <w:p w14:paraId="76B6DF5C" w14:textId="77777777" w:rsidR="00F369DF" w:rsidRPr="009C4DF4" w:rsidRDefault="00F369DF" w:rsidP="00F369DF">
      <w:pPr>
        <w:pStyle w:val="DGTextstand-alone"/>
        <w:keepNext/>
        <w:rPr>
          <w:color w:val="016794"/>
        </w:rPr>
      </w:pPr>
      <w:r>
        <w:rPr>
          <w:color w:val="016794"/>
        </w:rPr>
        <w:t>Ukraine Facility</w:t>
      </w:r>
    </w:p>
    <w:p w14:paraId="60A3B2EC" w14:textId="77777777" w:rsidR="00F369DF" w:rsidRDefault="00F369DF" w:rsidP="00F369DF">
      <w:pPr>
        <w:pStyle w:val="DGTextstand-alone"/>
      </w:pPr>
      <w:bookmarkStart w:id="40" w:name="_Hlk168387408"/>
      <w:r>
        <w:t>On 29 February 2024, the European Parliament and the Council adopted Regulation (EU) 2024/792 establishing the Ukraine Facility</w:t>
      </w:r>
      <w:r>
        <w:rPr>
          <w:rStyle w:val="FootnoteReference"/>
        </w:rPr>
        <w:footnoteReference w:id="12"/>
      </w:r>
      <w:r>
        <w:t>. This instrument covers the years 2024 to 2027 and offers up to EUR 50 billion in financial support to Ukraine, including up to EUR 33 billion of sovereign loans. By 31 December 2025, EUR 23.2 billion of loans have been disbursed to Ukraine. The Ukraine Facility sovereign loans are funded through borrowings following the unified funding approach.</w:t>
      </w:r>
    </w:p>
    <w:bookmarkEnd w:id="40"/>
    <w:p w14:paraId="0313F429" w14:textId="77777777" w:rsidR="00F369DF" w:rsidRPr="00A06013" w:rsidRDefault="00F369DF" w:rsidP="00F369DF">
      <w:pPr>
        <w:pStyle w:val="DGTextstand-alone"/>
        <w:rPr>
          <w:color w:val="016794"/>
        </w:rPr>
      </w:pPr>
      <w:r w:rsidRPr="00A06013">
        <w:rPr>
          <w:color w:val="016794"/>
        </w:rPr>
        <w:t>Reform and Growth Facility of the Western Balkans</w:t>
      </w:r>
    </w:p>
    <w:p w14:paraId="2F8A7601" w14:textId="77777777" w:rsidR="00F369DF" w:rsidRPr="00A06013" w:rsidRDefault="00F369DF" w:rsidP="00F369DF">
      <w:pPr>
        <w:pStyle w:val="DGTextstand-alone"/>
      </w:pPr>
      <w:r w:rsidRPr="00A06013">
        <w:t>Regulation (EU) 2024/1449 on establishing the Reform and Growth Facility for the Western Balkans</w:t>
      </w:r>
      <w:r>
        <w:rPr>
          <w:rStyle w:val="FootnoteReference"/>
        </w:rPr>
        <w:footnoteReference w:id="13"/>
      </w:r>
      <w:r w:rsidRPr="00A06013">
        <w:t xml:space="preserve">  was adopted in May 2024, </w:t>
      </w:r>
      <w:r>
        <w:t>while the first loans were disbursed</w:t>
      </w:r>
      <w:r w:rsidRPr="00A06013">
        <w:t xml:space="preserve"> in 2025. The </w:t>
      </w:r>
      <w:r>
        <w:t>f</w:t>
      </w:r>
      <w:r w:rsidRPr="00A06013">
        <w:t xml:space="preserve">acility is expected to provide up to EUR 4 billion in loans for 2025-2027, with payments conditioned upon the EU partner countries in the Western Balkans implementing specific socio-economic and fundamental reforms. </w:t>
      </w:r>
    </w:p>
    <w:p w14:paraId="6DDDC52D" w14:textId="77777777" w:rsidR="00F369DF" w:rsidRPr="00A06013" w:rsidRDefault="00F369DF" w:rsidP="00F369DF">
      <w:pPr>
        <w:pStyle w:val="DGTextstand-alone"/>
        <w:rPr>
          <w:color w:val="016794"/>
        </w:rPr>
      </w:pPr>
      <w:r w:rsidRPr="00A06013">
        <w:rPr>
          <w:color w:val="016794"/>
        </w:rPr>
        <w:t>Reform and Growth Facility for the Republic of Moldova</w:t>
      </w:r>
    </w:p>
    <w:p w14:paraId="6FE244C2" w14:textId="77777777" w:rsidR="00F369DF" w:rsidRPr="00A06013" w:rsidRDefault="00F369DF" w:rsidP="00F369DF">
      <w:pPr>
        <w:pStyle w:val="DGTextstand-alone"/>
      </w:pPr>
      <w:r w:rsidRPr="00A06013">
        <w:t>Regulation (EU) 2025/535 establishing the Reform and Growth Facility for the Republic of Moldova</w:t>
      </w:r>
      <w:r>
        <w:rPr>
          <w:rStyle w:val="FootnoteReference"/>
        </w:rPr>
        <w:footnoteReference w:id="14"/>
      </w:r>
      <w:r w:rsidRPr="00A06013">
        <w:t xml:space="preserve">, was adopted in March 2025. The facility </w:t>
      </w:r>
      <w:r>
        <w:t xml:space="preserve">will </w:t>
      </w:r>
      <w:r w:rsidRPr="00A06013">
        <w:t>support Moldova during the period from 2025 to 2027</w:t>
      </w:r>
      <w:r>
        <w:t>. It is</w:t>
      </w:r>
      <w:r w:rsidRPr="00A06013">
        <w:t xml:space="preserve"> expected to provide up to EUR 1.5 billion in loans</w:t>
      </w:r>
      <w:r>
        <w:t>, with the first disbursements made in 2025.</w:t>
      </w:r>
    </w:p>
    <w:p w14:paraId="5674B897" w14:textId="77777777" w:rsidR="00F369DF" w:rsidRDefault="00F369DF" w:rsidP="00F369DF">
      <w:pPr>
        <w:pStyle w:val="DGTextstand-alone"/>
        <w:rPr>
          <w:color w:val="016794"/>
        </w:rPr>
      </w:pPr>
      <w:r w:rsidRPr="002162E9">
        <w:rPr>
          <w:color w:val="016794"/>
        </w:rPr>
        <w:t>E</w:t>
      </w:r>
      <w:r>
        <w:rPr>
          <w:color w:val="016794"/>
        </w:rPr>
        <w:t>uratom</w:t>
      </w:r>
    </w:p>
    <w:p w14:paraId="56DA6B45" w14:textId="77777777" w:rsidR="00F369DF" w:rsidRDefault="00F369DF" w:rsidP="00F369DF">
      <w:pPr>
        <w:pStyle w:val="DGTextstand-alone"/>
      </w:pPr>
      <w:r w:rsidRPr="002162E9">
        <w:t>The European Atomic Energy Community lends money to both Member States and non-Member States, and to entities of both, to finance projects re</w:t>
      </w:r>
      <w:r>
        <w:t>lating to energy installations.</w:t>
      </w:r>
    </w:p>
    <w:p w14:paraId="14521DEC" w14:textId="77777777" w:rsidR="00F369DF" w:rsidRPr="009C4DF4" w:rsidRDefault="00F369DF" w:rsidP="00F369DF">
      <w:pPr>
        <w:pStyle w:val="DGTextstand-alone"/>
        <w:rPr>
          <w:color w:val="016794"/>
        </w:rPr>
      </w:pPr>
      <w:r w:rsidRPr="009C4DF4">
        <w:rPr>
          <w:color w:val="016794"/>
        </w:rPr>
        <w:t>BOP</w:t>
      </w:r>
    </w:p>
    <w:p w14:paraId="2D5290C5" w14:textId="77777777" w:rsidR="00F369DF" w:rsidRDefault="00F369DF" w:rsidP="00F369DF">
      <w:pPr>
        <w:pStyle w:val="DGTextstand-alone"/>
        <w:spacing w:before="120" w:after="120"/>
      </w:pPr>
      <w:bookmarkStart w:id="41" w:name="_Hlk225455171"/>
      <w:r w:rsidRPr="00EE5E17">
        <w:t xml:space="preserve">The BOP </w:t>
      </w:r>
      <w:r>
        <w:t>is</w:t>
      </w:r>
      <w:r w:rsidRPr="00EE5E17">
        <w:t xml:space="preserve"> an assistance programme designed for </w:t>
      </w:r>
      <w:r>
        <w:t>Member States</w:t>
      </w:r>
      <w:r w:rsidRPr="00EE5E17">
        <w:t xml:space="preserve"> outside the euro area that </w:t>
      </w:r>
      <w:r>
        <w:t xml:space="preserve">are </w:t>
      </w:r>
      <w:r w:rsidRPr="00EE5E17">
        <w:t xml:space="preserve">experiencing difficulties regarding their balance of payments. </w:t>
      </w:r>
      <w:r>
        <w:t>In 2025 the last outstanding BOP loan was fully repaid by Latvia.</w:t>
      </w:r>
    </w:p>
    <w:p w14:paraId="5388AB95" w14:textId="77777777" w:rsidR="00F369DF" w:rsidRDefault="00F369DF" w:rsidP="00F369DF">
      <w:pPr>
        <w:pStyle w:val="DGTextstand-alone"/>
        <w:rPr>
          <w:color w:val="016794"/>
        </w:rPr>
      </w:pPr>
      <w:bookmarkStart w:id="42" w:name="_Hlk231474300"/>
      <w:r w:rsidRPr="008C45EF">
        <w:rPr>
          <w:color w:val="016794"/>
        </w:rPr>
        <w:t>SAFE</w:t>
      </w:r>
    </w:p>
    <w:p w14:paraId="3D2B610D" w14:textId="77777777" w:rsidR="00F369DF" w:rsidRDefault="00F369DF" w:rsidP="00F369DF">
      <w:pPr>
        <w:pStyle w:val="DGTextstand-alone"/>
        <w:spacing w:before="120" w:after="120"/>
      </w:pPr>
      <w:r>
        <w:t>O</w:t>
      </w:r>
      <w:r w:rsidRPr="008C45EF">
        <w:t xml:space="preserve">n 27 May 2025, the Council of the European Union adopted </w:t>
      </w:r>
      <w:r>
        <w:t xml:space="preserve">the </w:t>
      </w:r>
      <w:r w:rsidRPr="008C45EF">
        <w:t>Security Action for Europe</w:t>
      </w:r>
      <w:r>
        <w:t xml:space="preserve"> (SAFE)</w:t>
      </w:r>
      <w:r>
        <w:rPr>
          <w:rStyle w:val="FootnoteReference"/>
        </w:rPr>
        <w:footnoteReference w:id="15"/>
      </w:r>
      <w:r>
        <w:t xml:space="preserve"> instrument</w:t>
      </w:r>
      <w:r w:rsidRPr="008C45EF">
        <w:t xml:space="preserve"> designed to provide financial support to Member States to accelerate defence readiness by </w:t>
      </w:r>
      <w:r>
        <w:t>c</w:t>
      </w:r>
      <w:r w:rsidRPr="008C45EF">
        <w:t>ommon procurement</w:t>
      </w:r>
      <w:r>
        <w:t>.</w:t>
      </w:r>
      <w:r w:rsidRPr="008C45EF">
        <w:t xml:space="preserve"> SAFE will provide up to EUR 150 billion in long-term loans to Member State</w:t>
      </w:r>
      <w:r>
        <w:t>s planned to be disbursed i</w:t>
      </w:r>
      <w:r w:rsidRPr="008C45EF">
        <w:t>n 2026–20</w:t>
      </w:r>
      <w:r>
        <w:t>30 and financed by the borrowings. EUR 43.7 billion of SAFE loans were signed and effective by 31 May 2026, of which EUR 6.6 billion disbursed.</w:t>
      </w:r>
    </w:p>
    <w:p w14:paraId="4436F51B" w14:textId="77777777" w:rsidR="00F369DF" w:rsidRDefault="00F369DF" w:rsidP="00F369DF">
      <w:pPr>
        <w:pStyle w:val="DGTextstand-alone"/>
        <w:rPr>
          <w:color w:val="016794"/>
        </w:rPr>
      </w:pPr>
      <w:r w:rsidRPr="00894043">
        <w:rPr>
          <w:color w:val="016794"/>
        </w:rPr>
        <w:t>Ukraine Support Loan</w:t>
      </w:r>
    </w:p>
    <w:p w14:paraId="0B65EE4B" w14:textId="77777777" w:rsidR="00F369DF" w:rsidRPr="00894043" w:rsidRDefault="00F369DF" w:rsidP="00F369DF">
      <w:pPr>
        <w:pStyle w:val="DGTextstand-alone"/>
        <w:spacing w:before="120" w:after="120"/>
      </w:pPr>
      <w:r w:rsidRPr="00894043">
        <w:t xml:space="preserve">In February 2026, the European Parliament and the Council adopted </w:t>
      </w:r>
      <w:bookmarkStart w:id="43" w:name="_Hlk231937338"/>
      <w:r w:rsidRPr="00894043">
        <w:t>Regulation (EU) 2026/467</w:t>
      </w:r>
      <w:bookmarkEnd w:id="43"/>
      <w:r>
        <w:rPr>
          <w:rStyle w:val="FootnoteReference"/>
        </w:rPr>
        <w:footnoteReference w:id="16"/>
      </w:r>
      <w:r w:rsidRPr="00894043">
        <w:t xml:space="preserve">, establishing the Ukraine Support Loan for a maximum amount of up to EUR 90 billion. Implementation of the programme was subsequently enabled by the amendment to Regulation (EU, Euratom) 2020/2093 </w:t>
      </w:r>
      <w:r>
        <w:t>–</w:t>
      </w:r>
      <w:r w:rsidRPr="00894043">
        <w:t xml:space="preserve"> which lays down the Multiannual Financial Framework (MFF) for the years 2021 to 2027 </w:t>
      </w:r>
      <w:r>
        <w:t>–</w:t>
      </w:r>
      <w:r w:rsidRPr="00894043">
        <w:t xml:space="preserve"> following its adoption in April 2026. The related loan agreement was signed in May 2026 and the European Commission plans to begin disbursements in June 2026</w:t>
      </w:r>
      <w:r>
        <w:t xml:space="preserve">. </w:t>
      </w:r>
    </w:p>
    <w:bookmarkEnd w:id="41"/>
    <w:bookmarkEnd w:id="42"/>
    <w:p w14:paraId="607372C9" w14:textId="77777777" w:rsidR="00F369DF" w:rsidRPr="008F6CD5" w:rsidRDefault="00F369DF" w:rsidP="00F369DF">
      <w:pPr>
        <w:pStyle w:val="DGTextstand-alone"/>
        <w:rPr>
          <w:color w:val="016794"/>
        </w:rPr>
      </w:pPr>
      <w:r>
        <w:rPr>
          <w:color w:val="016794"/>
        </w:rPr>
        <w:t>Liquidity for unified funding</w:t>
      </w:r>
    </w:p>
    <w:p w14:paraId="4807640F" w14:textId="77777777" w:rsidR="00F369DF" w:rsidRDefault="00F369DF" w:rsidP="00F369DF">
      <w:pPr>
        <w:pStyle w:val="DGTextstand-alone"/>
        <w:spacing w:after="120"/>
      </w:pPr>
      <w:r w:rsidRPr="004F30B3">
        <w:t>Under the unified funding strategy, a certain amount of proceeds from borrowings are kept in a bank account with the European Central Bank</w:t>
      </w:r>
      <w:r>
        <w:t xml:space="preserve"> or invested in short-term investments</w:t>
      </w:r>
      <w:r w:rsidRPr="004F30B3">
        <w:t>. This liquidity buffer ensures that sufficient funds are available to meet all upcoming disburs</w:t>
      </w:r>
      <w:r>
        <w:t>e</w:t>
      </w:r>
      <w:r w:rsidRPr="004F30B3">
        <w:t xml:space="preserve">ment </w:t>
      </w:r>
      <w:r>
        <w:t>obligations</w:t>
      </w:r>
      <w:r w:rsidRPr="006D3BF0">
        <w:t xml:space="preserve">. In managing </w:t>
      </w:r>
      <w:r>
        <w:t>the liquidity</w:t>
      </w:r>
      <w:r w:rsidRPr="006D3BF0">
        <w:t xml:space="preserve"> the Commission takes into account expected disburs</w:t>
      </w:r>
      <w:r>
        <w:t>e</w:t>
      </w:r>
      <w:r w:rsidRPr="006D3BF0">
        <w:t>ment needs and the opportunity costs of cash balances. At year-end 202</w:t>
      </w:r>
      <w:r>
        <w:t>5,</w:t>
      </w:r>
      <w:r w:rsidRPr="006D3BF0">
        <w:t xml:space="preserve"> the funds held in </w:t>
      </w:r>
      <w:r>
        <w:t>the liquidity buffer</w:t>
      </w:r>
      <w:r w:rsidRPr="006D3BF0">
        <w:t xml:space="preserve"> amounted to EUR</w:t>
      </w:r>
      <w:r>
        <w:t> 65.2 </w:t>
      </w:r>
      <w:r w:rsidRPr="006D3BF0">
        <w:t>billion.</w:t>
      </w:r>
    </w:p>
    <w:p w14:paraId="5E966186" w14:textId="77777777" w:rsidR="00F369DF" w:rsidRPr="00E33523" w:rsidRDefault="00F369DF" w:rsidP="00F369DF">
      <w:pPr>
        <w:pStyle w:val="HEADER3Part4"/>
        <w:keepNext/>
        <w:rPr>
          <w:noProof/>
        </w:rPr>
      </w:pPr>
      <w:r w:rsidRPr="00E33523">
        <w:rPr>
          <w:noProof/>
        </w:rPr>
        <w:t>Budgetary safeguards to ensure repayment of borrowings</w:t>
      </w:r>
    </w:p>
    <w:p w14:paraId="4A2835DC" w14:textId="77777777" w:rsidR="00F369DF" w:rsidRDefault="00F369DF" w:rsidP="00F369DF">
      <w:pPr>
        <w:pStyle w:val="DGTextstand-alone"/>
      </w:pPr>
      <w:r>
        <w:t xml:space="preserve">Borrowings of the EU constitute direct and unconditional obligations of the EU and are guaranteed by the EU Member States. The borrowings undertaken to finance loans are intended to be repaid through timely collection of the principal and interest due on those loans. </w:t>
      </w:r>
    </w:p>
    <w:p w14:paraId="03A70D25" w14:textId="77777777" w:rsidR="00F369DF" w:rsidRDefault="00F369DF" w:rsidP="00F369DF">
      <w:pPr>
        <w:pStyle w:val="DGTextstand-alone"/>
      </w:pPr>
      <w:r>
        <w:t>Nevertheless, should a beneficiary country default on or delay their repayments, there are number of safeguards to ensure service of the EU debt, which are summarised in the table below. In the short term, the borrowings will be repaid from the available treasury balance of the Commission. Next, borrowings related to the loans to third countries (except for MFA+ and Ukraine Facility loans) will be repaid from the assets held in the CPF, while in case of the MFA+, Ukraine Facility and loans to Member States, the Commission may call additional resources from the Member States up to the available own resources margin (‘budgetary headroom’). For some programmes, there are also guarantees provided by the Member States. As a consequence, investors are only exposed to the credit risk of the EU, not to that of the beneficiary of the loans.</w:t>
      </w:r>
    </w:p>
    <w:tbl>
      <w:tblPr>
        <w:tblStyle w:val="TableGrid"/>
        <w:tblW w:w="9638" w:type="dxa"/>
        <w:jc w:val="center"/>
        <w:tblBorders>
          <w:top w:val="none" w:sz="0" w:space="0" w:color="auto"/>
          <w:left w:val="none" w:sz="0" w:space="0" w:color="auto"/>
          <w:bottom w:val="none" w:sz="0" w:space="0" w:color="auto"/>
          <w:right w:val="none" w:sz="0" w:space="0" w:color="auto"/>
          <w:insideH w:val="single" w:sz="12" w:space="0" w:color="B2A1C7" w:themeColor="accent4" w:themeTint="99"/>
          <w:insideV w:val="single" w:sz="12" w:space="0" w:color="B2A1C7" w:themeColor="accent4" w:themeTint="99"/>
        </w:tblBorders>
        <w:tblLook w:val="04A0" w:firstRow="1" w:lastRow="0" w:firstColumn="1" w:lastColumn="0" w:noHBand="0" w:noVBand="1"/>
      </w:tblPr>
      <w:tblGrid>
        <w:gridCol w:w="3685"/>
        <w:gridCol w:w="5953"/>
      </w:tblGrid>
      <w:tr w:rsidR="00F369DF" w14:paraId="12767234" w14:textId="77777777">
        <w:trPr>
          <w:trHeight w:val="510"/>
          <w:jc w:val="center"/>
        </w:trPr>
        <w:tc>
          <w:tcPr>
            <w:tcW w:w="3685" w:type="dxa"/>
            <w:shd w:val="clear" w:color="auto" w:fill="016794"/>
            <w:vAlign w:val="center"/>
          </w:tcPr>
          <w:p w14:paraId="3AAFFE36" w14:textId="77777777" w:rsidR="00F369DF" w:rsidRPr="00F51319" w:rsidRDefault="00F369DF">
            <w:pPr>
              <w:jc w:val="center"/>
              <w:rPr>
                <w:rFonts w:ascii="Verdana" w:hAnsi="Verdana"/>
                <w:noProof/>
                <w:color w:val="FFFFFF" w:themeColor="background1"/>
                <w:sz w:val="18"/>
                <w:szCs w:val="18"/>
              </w:rPr>
            </w:pPr>
            <w:r w:rsidRPr="00F51319">
              <w:rPr>
                <w:rFonts w:ascii="Verdana" w:hAnsi="Verdana"/>
                <w:noProof/>
                <w:color w:val="FFFFFF" w:themeColor="background1"/>
                <w:sz w:val="18"/>
                <w:szCs w:val="18"/>
              </w:rPr>
              <w:t>EU programme funded by borrowing</w:t>
            </w:r>
          </w:p>
        </w:tc>
        <w:tc>
          <w:tcPr>
            <w:tcW w:w="5953" w:type="dxa"/>
            <w:shd w:val="clear" w:color="auto" w:fill="016794"/>
            <w:vAlign w:val="center"/>
          </w:tcPr>
          <w:p w14:paraId="0CB8392F" w14:textId="77777777" w:rsidR="00F369DF" w:rsidRPr="00F51319" w:rsidRDefault="00F369DF">
            <w:pPr>
              <w:jc w:val="center"/>
              <w:rPr>
                <w:rFonts w:ascii="Verdana" w:hAnsi="Verdana"/>
                <w:noProof/>
                <w:color w:val="FFFFFF" w:themeColor="background1"/>
                <w:sz w:val="18"/>
                <w:szCs w:val="18"/>
              </w:rPr>
            </w:pPr>
            <w:r w:rsidRPr="00F51319">
              <w:rPr>
                <w:rFonts w:ascii="Verdana" w:hAnsi="Verdana"/>
                <w:noProof/>
                <w:color w:val="FFFFFF" w:themeColor="background1"/>
                <w:sz w:val="18"/>
                <w:szCs w:val="18"/>
              </w:rPr>
              <w:t>System of protection</w:t>
            </w:r>
          </w:p>
        </w:tc>
      </w:tr>
      <w:tr w:rsidR="00F369DF" w14:paraId="5A9D01B4" w14:textId="77777777">
        <w:trPr>
          <w:jc w:val="center"/>
        </w:trPr>
        <w:tc>
          <w:tcPr>
            <w:tcW w:w="3685" w:type="dxa"/>
          </w:tcPr>
          <w:p w14:paraId="6507FC38" w14:textId="77777777" w:rsidR="00F369DF" w:rsidRPr="00F51319" w:rsidRDefault="00F369DF">
            <w:pPr>
              <w:rPr>
                <w:rFonts w:ascii="Verdana" w:hAnsi="Verdana"/>
                <w:noProof/>
                <w:color w:val="016794"/>
                <w:sz w:val="18"/>
                <w:szCs w:val="18"/>
              </w:rPr>
            </w:pPr>
            <w:r>
              <w:rPr>
                <w:rFonts w:ascii="Verdana" w:hAnsi="Verdana"/>
                <w:noProof/>
                <w:color w:val="016794"/>
                <w:sz w:val="18"/>
                <w:szCs w:val="18"/>
              </w:rPr>
              <w:t>NGEU (RRF and REPowerEU)</w:t>
            </w:r>
          </w:p>
        </w:tc>
        <w:tc>
          <w:tcPr>
            <w:tcW w:w="5953" w:type="dxa"/>
          </w:tcPr>
          <w:p w14:paraId="7E63ED8C"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Budgetary headroom under the temporary own resources ceiling of the EU budget – an extra 0.6% of EU GNI above the own resources ceiling of the EU budget of 1.4% of EU GNI</w:t>
            </w:r>
          </w:p>
        </w:tc>
      </w:tr>
      <w:tr w:rsidR="00F369DF" w14:paraId="509F3204" w14:textId="77777777">
        <w:trPr>
          <w:jc w:val="center"/>
        </w:trPr>
        <w:tc>
          <w:tcPr>
            <w:tcW w:w="3685" w:type="dxa"/>
          </w:tcPr>
          <w:p w14:paraId="54573B51"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SURE</w:t>
            </w:r>
          </w:p>
        </w:tc>
        <w:tc>
          <w:tcPr>
            <w:tcW w:w="5953" w:type="dxa"/>
          </w:tcPr>
          <w:p w14:paraId="318B85F7"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Guarantee provided by all EU Member States (25%) + budgetary headroom under the own resources ceiling of the EU budget of 1.4% of EU GNI</w:t>
            </w:r>
          </w:p>
        </w:tc>
      </w:tr>
      <w:tr w:rsidR="00F369DF" w14:paraId="17B79DC8" w14:textId="77777777">
        <w:trPr>
          <w:jc w:val="center"/>
        </w:trPr>
        <w:tc>
          <w:tcPr>
            <w:tcW w:w="3685" w:type="dxa"/>
          </w:tcPr>
          <w:p w14:paraId="064EA2C4" w14:textId="77777777" w:rsidR="00F369DF" w:rsidRPr="00F51319" w:rsidRDefault="00F369DF">
            <w:pPr>
              <w:rPr>
                <w:rFonts w:ascii="Verdana" w:hAnsi="Verdana"/>
                <w:noProof/>
                <w:color w:val="016794"/>
                <w:sz w:val="18"/>
                <w:szCs w:val="18"/>
              </w:rPr>
            </w:pPr>
            <w:r>
              <w:rPr>
                <w:rFonts w:ascii="Verdana" w:hAnsi="Verdana"/>
                <w:noProof/>
                <w:color w:val="016794"/>
                <w:sz w:val="18"/>
                <w:szCs w:val="18"/>
              </w:rPr>
              <w:t>EFSM</w:t>
            </w:r>
          </w:p>
        </w:tc>
        <w:tc>
          <w:tcPr>
            <w:tcW w:w="5953" w:type="dxa"/>
          </w:tcPr>
          <w:p w14:paraId="11C6EE7B"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Budgetary headroom under the own resources ceiling of the EU budget of 1.4% of EU GNI</w:t>
            </w:r>
          </w:p>
        </w:tc>
      </w:tr>
      <w:tr w:rsidR="00F369DF" w14:paraId="08C9BB9D" w14:textId="77777777">
        <w:trPr>
          <w:jc w:val="center"/>
        </w:trPr>
        <w:tc>
          <w:tcPr>
            <w:tcW w:w="3685" w:type="dxa"/>
          </w:tcPr>
          <w:p w14:paraId="7A2CC4DD"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MFA (standard)</w:t>
            </w:r>
          </w:p>
        </w:tc>
        <w:tc>
          <w:tcPr>
            <w:tcW w:w="5953" w:type="dxa"/>
          </w:tcPr>
          <w:p w14:paraId="22894FDE"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C</w:t>
            </w:r>
            <w:r>
              <w:rPr>
                <w:rFonts w:ascii="Verdana" w:hAnsi="Verdana"/>
                <w:noProof/>
                <w:color w:val="016794"/>
                <w:sz w:val="18"/>
                <w:szCs w:val="18"/>
              </w:rPr>
              <w:t>PF</w:t>
            </w:r>
            <w:r w:rsidRPr="00F51319">
              <w:rPr>
                <w:rFonts w:ascii="Verdana" w:hAnsi="Verdana"/>
                <w:noProof/>
                <w:color w:val="016794"/>
                <w:sz w:val="18"/>
                <w:szCs w:val="18"/>
              </w:rPr>
              <w:t xml:space="preserve"> (9% of the loan to the third country)</w:t>
            </w:r>
          </w:p>
        </w:tc>
      </w:tr>
      <w:tr w:rsidR="00F369DF" w14:paraId="70C37FD5" w14:textId="77777777">
        <w:trPr>
          <w:jc w:val="center"/>
        </w:trPr>
        <w:tc>
          <w:tcPr>
            <w:tcW w:w="3685" w:type="dxa"/>
          </w:tcPr>
          <w:p w14:paraId="3E2F1FD8" w14:textId="77777777" w:rsidR="00F369DF" w:rsidRPr="00F51319" w:rsidRDefault="00F369DF">
            <w:pPr>
              <w:rPr>
                <w:rFonts w:ascii="Verdana" w:hAnsi="Verdana"/>
                <w:noProof/>
                <w:color w:val="016794"/>
                <w:sz w:val="18"/>
                <w:szCs w:val="18"/>
              </w:rPr>
            </w:pPr>
            <w:r>
              <w:rPr>
                <w:rFonts w:ascii="Verdana" w:hAnsi="Verdana"/>
                <w:noProof/>
                <w:color w:val="016794"/>
                <w:sz w:val="18"/>
                <w:szCs w:val="18"/>
              </w:rPr>
              <w:t xml:space="preserve">Exceptional </w:t>
            </w:r>
            <w:r w:rsidRPr="00F51319">
              <w:rPr>
                <w:rFonts w:ascii="Verdana" w:hAnsi="Verdana"/>
                <w:noProof/>
                <w:color w:val="016794"/>
                <w:sz w:val="18"/>
                <w:szCs w:val="18"/>
              </w:rPr>
              <w:t>MFA to Ukraine</w:t>
            </w:r>
          </w:p>
        </w:tc>
        <w:tc>
          <w:tcPr>
            <w:tcW w:w="5953" w:type="dxa"/>
          </w:tcPr>
          <w:p w14:paraId="30E588F2" w14:textId="77777777" w:rsidR="00F369DF" w:rsidRPr="00F51319" w:rsidRDefault="00F369DF">
            <w:pPr>
              <w:rPr>
                <w:rFonts w:ascii="Verdana" w:hAnsi="Verdana"/>
                <w:noProof/>
                <w:color w:val="016794"/>
                <w:sz w:val="18"/>
                <w:szCs w:val="18"/>
              </w:rPr>
            </w:pPr>
            <w:r>
              <w:rPr>
                <w:rFonts w:ascii="Verdana" w:hAnsi="Verdana"/>
                <w:noProof/>
                <w:color w:val="016794"/>
                <w:sz w:val="18"/>
                <w:szCs w:val="18"/>
              </w:rPr>
              <w:t>CPF</w:t>
            </w:r>
            <w:r w:rsidRPr="00F51319">
              <w:rPr>
                <w:rFonts w:ascii="Verdana" w:hAnsi="Verdana"/>
                <w:noProof/>
                <w:color w:val="016794"/>
                <w:sz w:val="18"/>
                <w:szCs w:val="18"/>
              </w:rPr>
              <w:t xml:space="preserve"> (9%</w:t>
            </w:r>
            <w:r>
              <w:rPr>
                <w:rFonts w:ascii="Verdana" w:hAnsi="Verdana"/>
                <w:noProof/>
                <w:color w:val="016794"/>
                <w:sz w:val="18"/>
                <w:szCs w:val="18"/>
              </w:rPr>
              <w:t xml:space="preserve"> of the loan</w:t>
            </w:r>
            <w:r w:rsidRPr="00F51319">
              <w:rPr>
                <w:rFonts w:ascii="Verdana" w:hAnsi="Verdana"/>
                <w:noProof/>
                <w:color w:val="016794"/>
                <w:sz w:val="18"/>
                <w:szCs w:val="18"/>
              </w:rPr>
              <w:t>) + guarantees by all EU Member States (61%)</w:t>
            </w:r>
          </w:p>
        </w:tc>
      </w:tr>
      <w:tr w:rsidR="00F369DF" w14:paraId="1006C03A" w14:textId="77777777">
        <w:trPr>
          <w:trHeight w:val="423"/>
          <w:jc w:val="center"/>
        </w:trPr>
        <w:tc>
          <w:tcPr>
            <w:tcW w:w="3685" w:type="dxa"/>
          </w:tcPr>
          <w:p w14:paraId="170BF901"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MFA+ to Ukraine</w:t>
            </w:r>
          </w:p>
        </w:tc>
        <w:tc>
          <w:tcPr>
            <w:tcW w:w="5953" w:type="dxa"/>
          </w:tcPr>
          <w:p w14:paraId="415C611F"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Budgetary headroom under the own resources ceiling of the EU budget of 1.4% of EU GNI</w:t>
            </w:r>
          </w:p>
        </w:tc>
      </w:tr>
      <w:tr w:rsidR="00F369DF" w14:paraId="60167342" w14:textId="77777777">
        <w:trPr>
          <w:jc w:val="center"/>
        </w:trPr>
        <w:tc>
          <w:tcPr>
            <w:tcW w:w="3685" w:type="dxa"/>
          </w:tcPr>
          <w:p w14:paraId="6E091C00" w14:textId="77777777" w:rsidR="00F369DF" w:rsidRDefault="00F369DF">
            <w:pPr>
              <w:rPr>
                <w:rFonts w:ascii="Verdana" w:hAnsi="Verdana"/>
                <w:noProof/>
                <w:color w:val="016794"/>
                <w:sz w:val="18"/>
                <w:szCs w:val="18"/>
              </w:rPr>
            </w:pPr>
            <w:r>
              <w:rPr>
                <w:rFonts w:ascii="Verdana" w:hAnsi="Verdana"/>
                <w:noProof/>
                <w:color w:val="016794"/>
                <w:sz w:val="18"/>
                <w:szCs w:val="18"/>
              </w:rPr>
              <w:t>MFA ULCM</w:t>
            </w:r>
          </w:p>
        </w:tc>
        <w:tc>
          <w:tcPr>
            <w:tcW w:w="5953" w:type="dxa"/>
          </w:tcPr>
          <w:p w14:paraId="6E842F46"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Budgetary headroom under the own resources ceiling of the EU budget of 1.4% of EU GNI</w:t>
            </w:r>
          </w:p>
        </w:tc>
      </w:tr>
      <w:tr w:rsidR="00F369DF" w14:paraId="068E392D" w14:textId="77777777">
        <w:trPr>
          <w:jc w:val="center"/>
        </w:trPr>
        <w:tc>
          <w:tcPr>
            <w:tcW w:w="3685" w:type="dxa"/>
          </w:tcPr>
          <w:p w14:paraId="58509B4B" w14:textId="77777777" w:rsidR="00F369DF" w:rsidRPr="00F51319" w:rsidRDefault="00F369DF">
            <w:pPr>
              <w:rPr>
                <w:rFonts w:ascii="Verdana" w:hAnsi="Verdana"/>
                <w:noProof/>
                <w:color w:val="016794"/>
                <w:sz w:val="18"/>
                <w:szCs w:val="18"/>
              </w:rPr>
            </w:pPr>
            <w:r>
              <w:rPr>
                <w:rFonts w:ascii="Verdana" w:hAnsi="Verdana"/>
                <w:noProof/>
                <w:color w:val="016794"/>
                <w:sz w:val="18"/>
                <w:szCs w:val="18"/>
              </w:rPr>
              <w:t>Ukraine Facility</w:t>
            </w:r>
          </w:p>
        </w:tc>
        <w:tc>
          <w:tcPr>
            <w:tcW w:w="5953" w:type="dxa"/>
          </w:tcPr>
          <w:p w14:paraId="276270CD"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Budgetary headroom under the own resources ceiling of the EU budget of 1.4% of EU GNI</w:t>
            </w:r>
          </w:p>
        </w:tc>
      </w:tr>
      <w:tr w:rsidR="00F369DF" w14:paraId="7054CE6C" w14:textId="77777777">
        <w:trPr>
          <w:jc w:val="center"/>
        </w:trPr>
        <w:tc>
          <w:tcPr>
            <w:tcW w:w="3685" w:type="dxa"/>
          </w:tcPr>
          <w:p w14:paraId="19341884" w14:textId="77777777" w:rsidR="00F369DF" w:rsidRPr="00F51319" w:rsidRDefault="00F369DF">
            <w:pPr>
              <w:rPr>
                <w:rFonts w:ascii="Verdana" w:hAnsi="Verdana"/>
                <w:noProof/>
                <w:color w:val="016794"/>
                <w:sz w:val="18"/>
                <w:szCs w:val="18"/>
              </w:rPr>
            </w:pPr>
            <w:r>
              <w:rPr>
                <w:rFonts w:ascii="Verdana" w:hAnsi="Verdana"/>
                <w:noProof/>
                <w:color w:val="016794"/>
                <w:sz w:val="18"/>
                <w:szCs w:val="18"/>
              </w:rPr>
              <w:t>Western Balkans Facility</w:t>
            </w:r>
          </w:p>
        </w:tc>
        <w:tc>
          <w:tcPr>
            <w:tcW w:w="5953" w:type="dxa"/>
          </w:tcPr>
          <w:p w14:paraId="7E9D3706" w14:textId="77777777" w:rsidR="00F369DF" w:rsidRPr="00F51319" w:rsidRDefault="00F369DF">
            <w:pPr>
              <w:rPr>
                <w:rFonts w:ascii="Verdana" w:hAnsi="Verdana"/>
                <w:noProof/>
                <w:color w:val="016794"/>
                <w:sz w:val="18"/>
                <w:szCs w:val="18"/>
              </w:rPr>
            </w:pPr>
            <w:r w:rsidRPr="009537C9">
              <w:rPr>
                <w:rFonts w:ascii="Verdana" w:hAnsi="Verdana"/>
                <w:noProof/>
                <w:color w:val="016794"/>
                <w:sz w:val="18"/>
                <w:szCs w:val="18"/>
              </w:rPr>
              <w:t>CPF (9% of the loan to the third country)</w:t>
            </w:r>
          </w:p>
        </w:tc>
      </w:tr>
      <w:tr w:rsidR="00F369DF" w14:paraId="4DD4A2DE" w14:textId="77777777">
        <w:trPr>
          <w:jc w:val="center"/>
        </w:trPr>
        <w:tc>
          <w:tcPr>
            <w:tcW w:w="3685" w:type="dxa"/>
          </w:tcPr>
          <w:p w14:paraId="007FFF26" w14:textId="77777777" w:rsidR="00F369DF" w:rsidRDefault="00F369DF">
            <w:pPr>
              <w:rPr>
                <w:rFonts w:ascii="Verdana" w:hAnsi="Verdana"/>
                <w:noProof/>
                <w:color w:val="016794"/>
                <w:sz w:val="18"/>
                <w:szCs w:val="18"/>
              </w:rPr>
            </w:pPr>
            <w:r>
              <w:rPr>
                <w:rFonts w:ascii="Verdana" w:hAnsi="Verdana"/>
                <w:noProof/>
                <w:color w:val="016794"/>
                <w:sz w:val="18"/>
                <w:szCs w:val="18"/>
              </w:rPr>
              <w:t>Moldova Facility</w:t>
            </w:r>
          </w:p>
        </w:tc>
        <w:tc>
          <w:tcPr>
            <w:tcW w:w="5953" w:type="dxa"/>
          </w:tcPr>
          <w:p w14:paraId="496BF64C" w14:textId="77777777" w:rsidR="00F369DF" w:rsidRPr="00F51319" w:rsidRDefault="00F369DF">
            <w:pPr>
              <w:rPr>
                <w:rFonts w:ascii="Verdana" w:hAnsi="Verdana"/>
                <w:noProof/>
                <w:color w:val="016794"/>
                <w:sz w:val="18"/>
                <w:szCs w:val="18"/>
              </w:rPr>
            </w:pPr>
            <w:r w:rsidRPr="009537C9">
              <w:rPr>
                <w:rFonts w:ascii="Verdana" w:hAnsi="Verdana"/>
                <w:noProof/>
                <w:color w:val="016794"/>
                <w:sz w:val="18"/>
                <w:szCs w:val="18"/>
              </w:rPr>
              <w:t>CPF (9% of the loan to the third country)</w:t>
            </w:r>
          </w:p>
        </w:tc>
      </w:tr>
      <w:tr w:rsidR="00F369DF" w14:paraId="27276A45" w14:textId="77777777">
        <w:trPr>
          <w:trHeight w:val="275"/>
          <w:jc w:val="center"/>
        </w:trPr>
        <w:tc>
          <w:tcPr>
            <w:tcW w:w="3685" w:type="dxa"/>
          </w:tcPr>
          <w:p w14:paraId="7178FB1B" w14:textId="77777777" w:rsidR="00F369DF" w:rsidRPr="00F51319" w:rsidRDefault="00F369DF">
            <w:pPr>
              <w:rPr>
                <w:rFonts w:ascii="Verdana" w:hAnsi="Verdana"/>
                <w:noProof/>
                <w:color w:val="016794"/>
                <w:sz w:val="18"/>
                <w:szCs w:val="18"/>
              </w:rPr>
            </w:pPr>
            <w:r w:rsidRPr="00F51319">
              <w:rPr>
                <w:rFonts w:ascii="Verdana" w:hAnsi="Verdana"/>
                <w:noProof/>
                <w:color w:val="016794"/>
                <w:sz w:val="18"/>
                <w:szCs w:val="18"/>
              </w:rPr>
              <w:t>Euratom loans to third countries</w:t>
            </w:r>
            <w:r>
              <w:rPr>
                <w:rFonts w:ascii="Verdana" w:hAnsi="Verdana"/>
                <w:noProof/>
                <w:color w:val="016794"/>
                <w:sz w:val="18"/>
                <w:szCs w:val="18"/>
              </w:rPr>
              <w:t xml:space="preserve"> (state-owned entities)</w:t>
            </w:r>
          </w:p>
        </w:tc>
        <w:tc>
          <w:tcPr>
            <w:tcW w:w="5953" w:type="dxa"/>
          </w:tcPr>
          <w:p w14:paraId="4946408E" w14:textId="77777777" w:rsidR="00F369DF" w:rsidRPr="00F51319" w:rsidRDefault="00F369DF">
            <w:pPr>
              <w:rPr>
                <w:rFonts w:ascii="Verdana" w:hAnsi="Verdana"/>
                <w:noProof/>
                <w:color w:val="016794"/>
                <w:sz w:val="18"/>
                <w:szCs w:val="18"/>
              </w:rPr>
            </w:pPr>
            <w:r>
              <w:rPr>
                <w:rFonts w:ascii="Verdana" w:hAnsi="Verdana"/>
                <w:noProof/>
                <w:color w:val="016794"/>
                <w:sz w:val="18"/>
                <w:szCs w:val="18"/>
              </w:rPr>
              <w:t>CPF</w:t>
            </w:r>
            <w:r w:rsidRPr="00F51319">
              <w:rPr>
                <w:rFonts w:ascii="Verdana" w:hAnsi="Verdana"/>
                <w:noProof/>
                <w:color w:val="016794"/>
                <w:sz w:val="18"/>
                <w:szCs w:val="18"/>
              </w:rPr>
              <w:t xml:space="preserve"> (9% of the loan) and counter-guarantees by third countries</w:t>
            </w:r>
          </w:p>
        </w:tc>
      </w:tr>
    </w:tbl>
    <w:p w14:paraId="2E249503" w14:textId="77777777" w:rsidR="00F369DF" w:rsidRPr="00DC59B8" w:rsidRDefault="00F369DF" w:rsidP="00F369DF">
      <w:pPr>
        <w:pStyle w:val="HEADER2Part4"/>
      </w:pPr>
      <w:bookmarkStart w:id="44" w:name="_Toc232671735"/>
      <w:r w:rsidRPr="00DC59B8">
        <w:t>Budgetary guarantees</w:t>
      </w:r>
      <w:bookmarkEnd w:id="44"/>
    </w:p>
    <w:p w14:paraId="4C75538E" w14:textId="77777777" w:rsidR="00F369DF" w:rsidRDefault="00F369DF" w:rsidP="00F369DF">
      <w:pPr>
        <w:spacing w:after="240"/>
        <w:jc w:val="both"/>
        <w:rPr>
          <w:rFonts w:ascii="Verdana" w:hAnsi="Verdana"/>
          <w:noProof/>
          <w:sz w:val="18"/>
          <w:szCs w:val="18"/>
          <w:lang w:eastAsia="en-US"/>
        </w:rPr>
      </w:pPr>
      <w:r w:rsidRPr="00AB4DDF">
        <w:rPr>
          <w:rFonts w:ascii="Verdana" w:hAnsi="Verdana"/>
          <w:noProof/>
          <w:sz w:val="18"/>
          <w:szCs w:val="18"/>
          <w:lang w:eastAsia="en-US"/>
        </w:rPr>
        <w:t>Under this type of budget implementation, the EU provides guarantees to financial institutions (implementing partners) for their financing (lending) and investment (equity) operations to pursue its policy objectives.</w:t>
      </w:r>
    </w:p>
    <w:p w14:paraId="4C1342A8" w14:textId="77777777" w:rsidR="00F369DF" w:rsidRDefault="00F369DF" w:rsidP="00F369DF">
      <w:pPr>
        <w:spacing w:after="240"/>
        <w:jc w:val="both"/>
        <w:rPr>
          <w:rFonts w:ascii="Verdana" w:hAnsi="Verdana"/>
          <w:noProof/>
          <w:sz w:val="18"/>
          <w:szCs w:val="18"/>
          <w:lang w:eastAsia="en-US"/>
        </w:rPr>
      </w:pPr>
      <w:r w:rsidRPr="00AB4DDF">
        <w:rPr>
          <w:rFonts w:ascii="Verdana" w:hAnsi="Verdana"/>
          <w:noProof/>
          <w:sz w:val="18"/>
          <w:szCs w:val="18"/>
          <w:lang w:eastAsia="en-US"/>
        </w:rPr>
        <w:t>The EU has issued guarantees under the following programmes:</w:t>
      </w:r>
    </w:p>
    <w:p w14:paraId="19F0F93B" w14:textId="77777777" w:rsidR="00F369DF" w:rsidRPr="00AB4DDF" w:rsidRDefault="00F369DF" w:rsidP="00F369DF">
      <w:pPr>
        <w:pStyle w:val="DGTextstand-alonedashesjustified"/>
      </w:pPr>
      <w:r>
        <w:t>External lending mandate (ELM) guarantees granted to the European Investment Bank (EIB) for their lending operations outside EU, mainly to sovereign and sub sovereign beneficiaries;</w:t>
      </w:r>
    </w:p>
    <w:p w14:paraId="4C9609E0" w14:textId="77777777" w:rsidR="00F369DF" w:rsidRPr="00AB4DDF" w:rsidRDefault="00F369DF" w:rsidP="00F369DF">
      <w:pPr>
        <w:pStyle w:val="DGTextstand-alonedashesjustified"/>
      </w:pPr>
      <w:r>
        <w:t>European Fund for Strategic Investment (EFSI) guarantee granted to the EIB Group for their operations supporting additional investment in the EU and access to finance for SMEs;</w:t>
      </w:r>
    </w:p>
    <w:p w14:paraId="3305AE1E" w14:textId="77777777" w:rsidR="00F369DF" w:rsidRPr="00AB4DDF" w:rsidRDefault="00F369DF" w:rsidP="00F369DF">
      <w:pPr>
        <w:pStyle w:val="DGTextstand-alonedashesjustified"/>
      </w:pPr>
      <w:r>
        <w:t>InvestEU guarantee provided to the EIB Group, the European Bank for Reconstruction and Development and several financial partners in the EU Member States, in order to mobilise private investments for the green and digital transition, innovation and social investments and skills. The InvestEU guarantee may be increased by EFTA and Member States contributions and counter guarantees</w:t>
      </w:r>
      <w:r w:rsidRPr="00AB4DDF">
        <w:t>;</w:t>
      </w:r>
      <w:r>
        <w:t xml:space="preserve"> </w:t>
      </w:r>
    </w:p>
    <w:p w14:paraId="7BF58345" w14:textId="77777777" w:rsidR="00F369DF" w:rsidRDefault="00F369DF" w:rsidP="00F369DF">
      <w:pPr>
        <w:pStyle w:val="DGTextstand-alonedashesjustified"/>
      </w:pPr>
      <w:r w:rsidRPr="00AB4DDF">
        <w:t>External Action Guarantee under NDICI Regulation providing guarantees both to the EIB</w:t>
      </w:r>
      <w:r>
        <w:t xml:space="preserve">, </w:t>
      </w:r>
      <w:r w:rsidRPr="00AB4DDF">
        <w:t>as well as to several other counterparts</w:t>
      </w:r>
      <w:r>
        <w:t>,</w:t>
      </w:r>
      <w:r w:rsidRPr="00AB4DDF">
        <w:t xml:space="preserve"> for their financing and investments outside Europe, both to the public and private sector beneficiaries,</w:t>
      </w:r>
      <w:r>
        <w:t xml:space="preserve"> </w:t>
      </w:r>
      <w:r w:rsidRPr="00AB4DDF">
        <w:t xml:space="preserve">with </w:t>
      </w:r>
      <w:r>
        <w:t xml:space="preserve">the </w:t>
      </w:r>
      <w:r w:rsidRPr="00AB4DDF">
        <w:t xml:space="preserve">objective </w:t>
      </w:r>
      <w:r>
        <w:t xml:space="preserve">of </w:t>
      </w:r>
      <w:r w:rsidRPr="00AB4DDF">
        <w:t>promoting sustainable investments in the EU</w:t>
      </w:r>
      <w:r>
        <w:t>’s</w:t>
      </w:r>
      <w:r w:rsidRPr="00AB4DDF">
        <w:t xml:space="preserve"> partner countries;</w:t>
      </w:r>
    </w:p>
    <w:p w14:paraId="14B9EE1F" w14:textId="77777777" w:rsidR="00F369DF" w:rsidRDefault="00F369DF" w:rsidP="00F369DF">
      <w:pPr>
        <w:pStyle w:val="DGTextstand-alonedashesjustified"/>
      </w:pPr>
      <w:r w:rsidRPr="00AB4DDF">
        <w:t>European Fund for Sustainab</w:t>
      </w:r>
      <w:r>
        <w:t>le</w:t>
      </w:r>
      <w:r w:rsidRPr="00AB4DDF">
        <w:t xml:space="preserve"> Development (EFSD) guarantee issued to several counterparties with the aim to support investments in Africa and in the European Neighbourhood countries</w:t>
      </w:r>
      <w:r>
        <w:t>;</w:t>
      </w:r>
    </w:p>
    <w:p w14:paraId="3BF0DF13" w14:textId="77777777" w:rsidR="00F369DF" w:rsidRPr="00AB4DDF" w:rsidRDefault="00F369DF" w:rsidP="00F369DF">
      <w:pPr>
        <w:pStyle w:val="DGTextstand-alonedashesjustified"/>
      </w:pPr>
      <w:r>
        <w:t>Ukraine Guarantee</w:t>
      </w:r>
      <w:r w:rsidRPr="001A0E53">
        <w:t xml:space="preserve"> </w:t>
      </w:r>
      <w:r w:rsidRPr="00AB4DDF">
        <w:t xml:space="preserve">issued </w:t>
      </w:r>
      <w:r>
        <w:t xml:space="preserve">under the Ukraine Facility regulation </w:t>
      </w:r>
      <w:r w:rsidRPr="00AB4DDF">
        <w:t xml:space="preserve">to several counterparties </w:t>
      </w:r>
      <w:r w:rsidRPr="001A0E53">
        <w:t>to boost investments for the recovery and reconstruction of Ukraine</w:t>
      </w:r>
      <w:r>
        <w:t>.</w:t>
      </w:r>
    </w:p>
    <w:p w14:paraId="22AA9E24" w14:textId="77777777" w:rsidR="00F369DF" w:rsidRDefault="00F369DF" w:rsidP="00F369DF">
      <w:pPr>
        <w:spacing w:before="240" w:after="240"/>
        <w:jc w:val="both"/>
        <w:rPr>
          <w:rFonts w:ascii="Verdana" w:hAnsi="Verdana"/>
          <w:noProof/>
          <w:sz w:val="18"/>
          <w:szCs w:val="18"/>
          <w:lang w:eastAsia="en-US"/>
        </w:rPr>
      </w:pPr>
      <w:r w:rsidRPr="00AB4DDF">
        <w:rPr>
          <w:rFonts w:ascii="Verdana" w:hAnsi="Verdana"/>
          <w:noProof/>
          <w:sz w:val="18"/>
          <w:szCs w:val="18"/>
          <w:lang w:eastAsia="en-US"/>
        </w:rPr>
        <w:t>As at 31 December 202</w:t>
      </w:r>
      <w:r>
        <w:rPr>
          <w:rFonts w:ascii="Verdana" w:hAnsi="Verdana"/>
          <w:noProof/>
          <w:sz w:val="18"/>
          <w:szCs w:val="18"/>
          <w:lang w:eastAsia="en-US"/>
        </w:rPr>
        <w:t>5</w:t>
      </w:r>
      <w:r w:rsidRPr="00AB4DDF">
        <w:rPr>
          <w:rFonts w:ascii="Verdana" w:hAnsi="Verdana"/>
          <w:noProof/>
          <w:sz w:val="18"/>
          <w:szCs w:val="18"/>
          <w:lang w:eastAsia="en-US"/>
        </w:rPr>
        <w:t xml:space="preserve">, the nominal </w:t>
      </w:r>
      <w:r w:rsidRPr="006D3BF0">
        <w:rPr>
          <w:rFonts w:ascii="Verdana" w:hAnsi="Verdana"/>
          <w:noProof/>
          <w:sz w:val="18"/>
          <w:szCs w:val="18"/>
          <w:lang w:eastAsia="en-US"/>
        </w:rPr>
        <w:t xml:space="preserve">outstanding amount of those guarantees at the maximum level granted to </w:t>
      </w:r>
      <w:r>
        <w:rPr>
          <w:rFonts w:ascii="Verdana" w:hAnsi="Verdana"/>
          <w:noProof/>
          <w:sz w:val="18"/>
          <w:szCs w:val="18"/>
          <w:lang w:eastAsia="en-US"/>
        </w:rPr>
        <w:t>the implementing partners</w:t>
      </w:r>
      <w:r w:rsidRPr="006D3BF0">
        <w:rPr>
          <w:rFonts w:ascii="Verdana" w:hAnsi="Verdana"/>
          <w:noProof/>
          <w:sz w:val="18"/>
          <w:szCs w:val="18"/>
          <w:lang w:eastAsia="en-US"/>
        </w:rPr>
        <w:t xml:space="preserve"> amounted to EUR </w:t>
      </w:r>
      <w:r>
        <w:rPr>
          <w:rFonts w:ascii="Verdana" w:hAnsi="Verdana"/>
          <w:noProof/>
          <w:sz w:val="18"/>
          <w:szCs w:val="18"/>
          <w:lang w:eastAsia="en-US"/>
        </w:rPr>
        <w:t>112.6</w:t>
      </w:r>
      <w:r w:rsidRPr="006D3BF0">
        <w:rPr>
          <w:rFonts w:ascii="Verdana" w:hAnsi="Verdana"/>
          <w:noProof/>
          <w:sz w:val="18"/>
          <w:szCs w:val="18"/>
          <w:lang w:eastAsia="en-US"/>
        </w:rPr>
        <w:t xml:space="preserve"> billion, of which EUR 7</w:t>
      </w:r>
      <w:r>
        <w:rPr>
          <w:rFonts w:ascii="Verdana" w:hAnsi="Verdana"/>
          <w:noProof/>
          <w:sz w:val="18"/>
          <w:szCs w:val="18"/>
          <w:lang w:eastAsia="en-US"/>
        </w:rPr>
        <w:t>7</w:t>
      </w:r>
      <w:r w:rsidRPr="006D3BF0">
        <w:rPr>
          <w:rFonts w:ascii="Verdana" w:hAnsi="Verdana"/>
          <w:noProof/>
          <w:sz w:val="18"/>
          <w:szCs w:val="18"/>
          <w:lang w:eastAsia="en-US"/>
        </w:rPr>
        <w:t>.6 billion relates to financing or investment operations signed by the implementing partners (InvestEU, NDICI and Ukraine guarantees are still in the investment period, during which the partners can include new</w:t>
      </w:r>
      <w:r w:rsidRPr="00AB4DDF">
        <w:rPr>
          <w:rFonts w:ascii="Verdana" w:hAnsi="Verdana"/>
          <w:noProof/>
          <w:sz w:val="18"/>
          <w:szCs w:val="18"/>
          <w:lang w:eastAsia="en-US"/>
        </w:rPr>
        <w:t xml:space="preserve"> operations under the guarantee).</w:t>
      </w:r>
    </w:p>
    <w:p w14:paraId="06819470" w14:textId="77777777" w:rsidR="00F369DF" w:rsidRPr="00AB4DDF" w:rsidRDefault="00F369DF" w:rsidP="00F369DF">
      <w:pPr>
        <w:jc w:val="center"/>
        <w:rPr>
          <w:rFonts w:ascii="Verdana" w:hAnsi="Verdana"/>
          <w:noProof/>
          <w:sz w:val="18"/>
          <w:szCs w:val="18"/>
          <w:lang w:eastAsia="en-US"/>
        </w:rPr>
      </w:pPr>
      <w:r w:rsidRPr="00DA6A99">
        <w:rPr>
          <w:noProof/>
        </w:rPr>
        <w:drawing>
          <wp:inline distT="0" distB="0" distL="0" distR="0" wp14:anchorId="2AF592F6" wp14:editId="2A13C04F">
            <wp:extent cx="4073144" cy="4401312"/>
            <wp:effectExtent l="0" t="0" r="3810" b="0"/>
            <wp:docPr id="1783897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97204"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4102949" cy="4433518"/>
                    </a:xfrm>
                    <a:prstGeom prst="rect">
                      <a:avLst/>
                    </a:prstGeom>
                    <a:noFill/>
                    <a:ln>
                      <a:noFill/>
                    </a:ln>
                  </pic:spPr>
                </pic:pic>
              </a:graphicData>
            </a:graphic>
          </wp:inline>
        </w:drawing>
      </w:r>
    </w:p>
    <w:p w14:paraId="3428397F" w14:textId="77777777" w:rsidR="00F369DF" w:rsidRDefault="00F369DF" w:rsidP="00F369DF">
      <w:pPr>
        <w:jc w:val="both"/>
        <w:rPr>
          <w:rFonts w:ascii="Verdana" w:hAnsi="Verdana"/>
          <w:noProof/>
          <w:sz w:val="18"/>
          <w:szCs w:val="18"/>
          <w:lang w:eastAsia="en-US"/>
        </w:rPr>
      </w:pPr>
    </w:p>
    <w:p w14:paraId="06328872" w14:textId="77777777" w:rsidR="00F369DF" w:rsidRDefault="00F369DF" w:rsidP="00F369DF">
      <w:pPr>
        <w:jc w:val="both"/>
        <w:rPr>
          <w:rFonts w:ascii="Verdana" w:hAnsi="Verdana"/>
          <w:noProof/>
          <w:sz w:val="18"/>
          <w:szCs w:val="18"/>
          <w:lang w:eastAsia="en-US"/>
        </w:rPr>
      </w:pPr>
      <w:bookmarkStart w:id="45" w:name="_Hlk162357499"/>
      <w:r w:rsidRPr="006D3BF0">
        <w:rPr>
          <w:rFonts w:ascii="Verdana" w:hAnsi="Verdana"/>
          <w:noProof/>
          <w:sz w:val="18"/>
          <w:szCs w:val="18"/>
          <w:lang w:eastAsia="en-US"/>
        </w:rPr>
        <w:t>The Member States and EEA countries may also contribute to the InvestEU programme. Until 31 December 202</w:t>
      </w:r>
      <w:r>
        <w:rPr>
          <w:rFonts w:ascii="Verdana" w:hAnsi="Verdana"/>
          <w:noProof/>
          <w:sz w:val="18"/>
          <w:szCs w:val="18"/>
          <w:lang w:eastAsia="en-US"/>
        </w:rPr>
        <w:t>5</w:t>
      </w:r>
      <w:r w:rsidRPr="006D3BF0">
        <w:rPr>
          <w:rFonts w:ascii="Verdana" w:hAnsi="Verdana"/>
          <w:noProof/>
          <w:sz w:val="18"/>
          <w:szCs w:val="18"/>
          <w:lang w:eastAsia="en-US"/>
        </w:rPr>
        <w:t xml:space="preserve">, </w:t>
      </w:r>
      <w:r w:rsidRPr="00D55B4B">
        <w:rPr>
          <w:rFonts w:ascii="Verdana" w:hAnsi="Verdana"/>
          <w:noProof/>
          <w:sz w:val="18"/>
          <w:szCs w:val="18"/>
          <w:lang w:eastAsia="en-US"/>
        </w:rPr>
        <w:t>the EU signed contribution agreements with those countries for EUR 3.3 billion, out of which EUR 2.6 billion relates to cash contributions and EUR 0.6 billion to counter-guarantees.</w:t>
      </w:r>
    </w:p>
    <w:p w14:paraId="5BA91F94" w14:textId="77777777" w:rsidR="00F369DF" w:rsidRPr="00DC59B8" w:rsidRDefault="00F369DF" w:rsidP="00F369DF">
      <w:pPr>
        <w:pStyle w:val="HEADER2Part4"/>
      </w:pPr>
      <w:bookmarkStart w:id="46" w:name="_Toc232671736"/>
      <w:bookmarkEnd w:id="45"/>
      <w:r w:rsidRPr="00DC59B8">
        <w:t>Common Provisioning Fund</w:t>
      </w:r>
      <w:bookmarkEnd w:id="46"/>
    </w:p>
    <w:p w14:paraId="022D6A61" w14:textId="77777777" w:rsidR="00F369DF" w:rsidRPr="00AB4DDF" w:rsidRDefault="00F369DF" w:rsidP="00F369DF">
      <w:pPr>
        <w:spacing w:before="240" w:after="240"/>
        <w:jc w:val="both"/>
        <w:rPr>
          <w:rFonts w:ascii="Verdana" w:hAnsi="Verdana"/>
          <w:noProof/>
          <w:sz w:val="18"/>
          <w:szCs w:val="18"/>
          <w:lang w:eastAsia="en-US"/>
        </w:rPr>
      </w:pPr>
      <w:r w:rsidRPr="00AB4DDF">
        <w:rPr>
          <w:rFonts w:ascii="Verdana" w:hAnsi="Verdana"/>
          <w:noProof/>
          <w:sz w:val="18"/>
          <w:szCs w:val="18"/>
          <w:lang w:eastAsia="en-US"/>
        </w:rPr>
        <w:t>In order to satisfy any guarantee calls to cover losses incurred by the implementing partners</w:t>
      </w:r>
      <w:r>
        <w:rPr>
          <w:rFonts w:ascii="Verdana" w:hAnsi="Verdana"/>
          <w:noProof/>
          <w:sz w:val="18"/>
          <w:szCs w:val="18"/>
          <w:lang w:eastAsia="en-US"/>
        </w:rPr>
        <w:t xml:space="preserve"> in a timely manner</w:t>
      </w:r>
      <w:r w:rsidRPr="00AB4DDF">
        <w:rPr>
          <w:rFonts w:ascii="Verdana" w:hAnsi="Verdana"/>
          <w:noProof/>
          <w:sz w:val="18"/>
          <w:szCs w:val="18"/>
          <w:lang w:eastAsia="en-US"/>
        </w:rPr>
        <w:t>, the EU provisions amount</w:t>
      </w:r>
      <w:r>
        <w:rPr>
          <w:rFonts w:ascii="Verdana" w:hAnsi="Verdana"/>
          <w:noProof/>
          <w:sz w:val="18"/>
          <w:szCs w:val="18"/>
          <w:lang w:eastAsia="en-US"/>
        </w:rPr>
        <w:t>s</w:t>
      </w:r>
      <w:r w:rsidRPr="00AB4DDF">
        <w:rPr>
          <w:rFonts w:ascii="Verdana" w:hAnsi="Verdana"/>
          <w:noProof/>
          <w:sz w:val="18"/>
          <w:szCs w:val="18"/>
          <w:lang w:eastAsia="en-US"/>
        </w:rPr>
        <w:t xml:space="preserve"> from the budget. As of 2021, all assets provisioned </w:t>
      </w:r>
      <w:r>
        <w:rPr>
          <w:rFonts w:ascii="Verdana" w:hAnsi="Verdana"/>
          <w:noProof/>
          <w:sz w:val="18"/>
          <w:szCs w:val="18"/>
          <w:lang w:eastAsia="en-US"/>
        </w:rPr>
        <w:t xml:space="preserve">are </w:t>
      </w:r>
      <w:r w:rsidRPr="00AB4DDF">
        <w:rPr>
          <w:rFonts w:ascii="Verdana" w:hAnsi="Verdana"/>
          <w:noProof/>
          <w:sz w:val="18"/>
          <w:szCs w:val="18"/>
          <w:lang w:eastAsia="en-US"/>
        </w:rPr>
        <w:t>held in the CPF, which functions as a single portfolio</w:t>
      </w:r>
      <w:r>
        <w:rPr>
          <w:rFonts w:ascii="Verdana" w:hAnsi="Verdana"/>
          <w:noProof/>
          <w:sz w:val="18"/>
          <w:szCs w:val="18"/>
          <w:lang w:eastAsia="en-US"/>
        </w:rPr>
        <w:t>,</w:t>
      </w:r>
      <w:r w:rsidRPr="00AB4DDF">
        <w:rPr>
          <w:rFonts w:ascii="Verdana" w:hAnsi="Verdana"/>
          <w:noProof/>
          <w:sz w:val="18"/>
          <w:szCs w:val="18"/>
          <w:lang w:eastAsia="en-US"/>
        </w:rPr>
        <w:t xml:space="preserve"> with assets mainly invested in</w:t>
      </w:r>
      <w:r>
        <w:rPr>
          <w:rFonts w:ascii="Verdana" w:hAnsi="Verdana"/>
          <w:noProof/>
          <w:sz w:val="18"/>
          <w:szCs w:val="18"/>
          <w:lang w:eastAsia="en-US"/>
        </w:rPr>
        <w:t xml:space="preserve"> </w:t>
      </w:r>
      <w:r w:rsidRPr="00AB4DDF">
        <w:rPr>
          <w:rFonts w:ascii="Verdana" w:hAnsi="Verdana"/>
          <w:noProof/>
          <w:sz w:val="18"/>
          <w:szCs w:val="18"/>
          <w:lang w:eastAsia="en-US"/>
        </w:rPr>
        <w:t>debt securities. Currently, it combines provisioning for all the EU budgetary guarantees and some financial assistance programmes. The resources of the CPF are allocated into compartments for the purpose of tracing the amounts relating to the contributing budgetary guarantees and financial assistance programmes.</w:t>
      </w:r>
    </w:p>
    <w:p w14:paraId="2356B726" w14:textId="5C865AB5" w:rsidR="00A642F1" w:rsidRDefault="00F369DF" w:rsidP="00F369DF">
      <w:pPr>
        <w:jc w:val="both"/>
        <w:rPr>
          <w:rFonts w:ascii="Verdana" w:hAnsi="Verdana"/>
          <w:noProof/>
          <w:sz w:val="18"/>
          <w:szCs w:val="18"/>
          <w:lang w:eastAsia="en-US"/>
        </w:rPr>
      </w:pPr>
      <w:r w:rsidRPr="00AB4DDF">
        <w:rPr>
          <w:rFonts w:ascii="Verdana" w:hAnsi="Verdana"/>
          <w:noProof/>
          <w:sz w:val="18"/>
          <w:szCs w:val="18"/>
          <w:lang w:eastAsia="en-US"/>
        </w:rPr>
        <w:t>At 31 December 202</w:t>
      </w:r>
      <w:r>
        <w:rPr>
          <w:rFonts w:ascii="Verdana" w:hAnsi="Verdana"/>
          <w:noProof/>
          <w:sz w:val="18"/>
          <w:szCs w:val="18"/>
          <w:lang w:eastAsia="en-US"/>
        </w:rPr>
        <w:t>5</w:t>
      </w:r>
      <w:r w:rsidRPr="00AB4DDF">
        <w:rPr>
          <w:rFonts w:ascii="Verdana" w:hAnsi="Verdana"/>
          <w:noProof/>
          <w:sz w:val="18"/>
          <w:szCs w:val="18"/>
          <w:lang w:eastAsia="en-US"/>
        </w:rPr>
        <w:t xml:space="preserve">, the </w:t>
      </w:r>
      <w:r w:rsidRPr="006D3BF0">
        <w:rPr>
          <w:rFonts w:ascii="Verdana" w:hAnsi="Verdana"/>
          <w:noProof/>
          <w:sz w:val="18"/>
          <w:szCs w:val="18"/>
          <w:lang w:eastAsia="en-US"/>
        </w:rPr>
        <w:t>Commission holds EUR 2</w:t>
      </w:r>
      <w:r>
        <w:rPr>
          <w:rFonts w:ascii="Verdana" w:hAnsi="Verdana"/>
          <w:noProof/>
          <w:sz w:val="18"/>
          <w:szCs w:val="18"/>
          <w:lang w:eastAsia="en-US"/>
        </w:rPr>
        <w:t>7</w:t>
      </w:r>
      <w:r w:rsidRPr="006D3BF0">
        <w:rPr>
          <w:rFonts w:ascii="Verdana" w:hAnsi="Verdana"/>
          <w:noProof/>
          <w:sz w:val="18"/>
          <w:szCs w:val="18"/>
          <w:lang w:eastAsia="en-US"/>
        </w:rPr>
        <w:t>.2</w:t>
      </w:r>
      <w:r>
        <w:rPr>
          <w:rFonts w:ascii="Verdana" w:hAnsi="Verdana"/>
          <w:noProof/>
          <w:sz w:val="18"/>
          <w:szCs w:val="18"/>
          <w:lang w:eastAsia="en-US"/>
        </w:rPr>
        <w:t xml:space="preserve"> </w:t>
      </w:r>
      <w:r w:rsidRPr="006D3BF0">
        <w:rPr>
          <w:rFonts w:ascii="Verdana" w:hAnsi="Verdana"/>
          <w:noProof/>
          <w:sz w:val="18"/>
          <w:szCs w:val="18"/>
          <w:lang w:eastAsia="en-US"/>
        </w:rPr>
        <w:t>billion net assets in the CPF for the following compartments:</w:t>
      </w:r>
    </w:p>
    <w:p w14:paraId="2952AD65" w14:textId="77777777" w:rsidR="00A642F1" w:rsidRDefault="00A642F1">
      <w:pPr>
        <w:rPr>
          <w:rFonts w:ascii="Verdana" w:hAnsi="Verdana"/>
          <w:noProof/>
          <w:sz w:val="18"/>
          <w:szCs w:val="18"/>
          <w:lang w:eastAsia="en-US"/>
        </w:rPr>
      </w:pPr>
      <w:r>
        <w:rPr>
          <w:rFonts w:ascii="Verdana" w:hAnsi="Verdana"/>
          <w:noProof/>
          <w:sz w:val="18"/>
          <w:szCs w:val="18"/>
          <w:lang w:eastAsia="en-US"/>
        </w:rPr>
        <w:br w:type="page"/>
      </w:r>
    </w:p>
    <w:p w14:paraId="50BCF137" w14:textId="77777777" w:rsidR="00F369DF" w:rsidRPr="006D3BF0" w:rsidRDefault="00F369DF" w:rsidP="00F369DF">
      <w:pPr>
        <w:pStyle w:val="DGTextstand-alonedashesjustified"/>
      </w:pPr>
      <w:r w:rsidRPr="006D3BF0">
        <w:t>Guarantee Fund for external actions – EUR 3.</w:t>
      </w:r>
      <w:r>
        <w:t>4</w:t>
      </w:r>
      <w:r w:rsidRPr="006D3BF0">
        <w:t xml:space="preserve"> billion (covering ELM guarantees as well as pre-2021 MFA and Euratom loans to third countries)</w:t>
      </w:r>
    </w:p>
    <w:p w14:paraId="7B7EB59A" w14:textId="77777777" w:rsidR="00F369DF" w:rsidRPr="006D3BF0" w:rsidRDefault="00F369DF" w:rsidP="00F369DF">
      <w:pPr>
        <w:pStyle w:val="DGTextstand-alonedashesjustified"/>
      </w:pPr>
      <w:r w:rsidRPr="006D3BF0">
        <w:t xml:space="preserve">EFSI – EUR </w:t>
      </w:r>
      <w:r>
        <w:t>9.2</w:t>
      </w:r>
      <w:r w:rsidRPr="006D3BF0">
        <w:t xml:space="preserve"> billion</w:t>
      </w:r>
    </w:p>
    <w:p w14:paraId="4709C0FE" w14:textId="77777777" w:rsidR="00F369DF" w:rsidRPr="006D3BF0" w:rsidRDefault="00F369DF" w:rsidP="00F369DF">
      <w:pPr>
        <w:pStyle w:val="DGTextstand-alonedashesjustified"/>
      </w:pPr>
      <w:r w:rsidRPr="006D3BF0">
        <w:t>EFSD – EUR 0.8 billion</w:t>
      </w:r>
    </w:p>
    <w:p w14:paraId="5C3DA76A" w14:textId="77777777" w:rsidR="00F369DF" w:rsidRPr="006D3BF0" w:rsidRDefault="00F369DF" w:rsidP="00F369DF">
      <w:pPr>
        <w:pStyle w:val="DGTextstand-alonedashesjustified"/>
      </w:pPr>
      <w:r w:rsidRPr="006D3BF0">
        <w:t xml:space="preserve">InvestEU compartments – EUR </w:t>
      </w:r>
      <w:r>
        <w:t>8.9</w:t>
      </w:r>
      <w:r w:rsidRPr="006D3BF0">
        <w:t xml:space="preserve"> billion (including Member State and EEA countries cash contributions)</w:t>
      </w:r>
    </w:p>
    <w:p w14:paraId="444C70DD" w14:textId="77777777" w:rsidR="00F369DF" w:rsidRPr="006D3BF0" w:rsidRDefault="00F369DF" w:rsidP="00F369DF">
      <w:pPr>
        <w:pStyle w:val="DGTextstand-alonedashesjustified"/>
      </w:pPr>
      <w:r w:rsidRPr="006D3BF0">
        <w:t xml:space="preserve">NDICI EFSD+ – EUR </w:t>
      </w:r>
      <w:r>
        <w:t>3.6</w:t>
      </w:r>
      <w:r w:rsidRPr="006D3BF0">
        <w:t xml:space="preserve"> billion</w:t>
      </w:r>
    </w:p>
    <w:p w14:paraId="4392A294" w14:textId="77777777" w:rsidR="00F369DF" w:rsidRPr="006D3BF0" w:rsidRDefault="00F369DF" w:rsidP="00F369DF">
      <w:pPr>
        <w:pStyle w:val="DGTextstand-alonedashesjustified"/>
      </w:pPr>
      <w:r w:rsidRPr="006D3BF0">
        <w:t>Ukraine Guarantee – EUR 0.</w:t>
      </w:r>
      <w:r>
        <w:t>6</w:t>
      </w:r>
      <w:r w:rsidRPr="006D3BF0">
        <w:t xml:space="preserve"> billion</w:t>
      </w:r>
    </w:p>
    <w:p w14:paraId="6B73EEDD" w14:textId="77777777" w:rsidR="00F369DF" w:rsidRPr="006D3BF0" w:rsidRDefault="00F369DF" w:rsidP="00F369DF">
      <w:pPr>
        <w:pStyle w:val="DGTextstand-alonedashesjustified"/>
      </w:pPr>
      <w:r w:rsidRPr="006D3BF0">
        <w:t>MFA post-2020</w:t>
      </w:r>
      <w:r>
        <w:t xml:space="preserve"> loans and Western Balkans Facility</w:t>
      </w:r>
      <w:r w:rsidRPr="006D3BF0">
        <w:t xml:space="preserve"> – EUR 0.</w:t>
      </w:r>
      <w:r>
        <w:t>2</w:t>
      </w:r>
      <w:r w:rsidRPr="006D3BF0">
        <w:t xml:space="preserve"> billion</w:t>
      </w:r>
    </w:p>
    <w:p w14:paraId="599F9217" w14:textId="77777777" w:rsidR="00F369DF" w:rsidRDefault="00F369DF" w:rsidP="00F369DF">
      <w:pPr>
        <w:pStyle w:val="DGTextstand-alonedashesjustified"/>
        <w:spacing w:after="240"/>
      </w:pPr>
      <w:r w:rsidRPr="002445B4">
        <w:t>MFA loans to Ukraine – EUR 0.5 billion</w:t>
      </w:r>
      <w:r>
        <w:t>.</w:t>
      </w:r>
    </w:p>
    <w:p w14:paraId="59B4554B" w14:textId="77777777" w:rsidR="00F369DF" w:rsidRDefault="00F369DF" w:rsidP="00F369DF">
      <w:pPr>
        <w:rPr>
          <w:rFonts w:ascii="Verdana" w:hAnsi="Verdana"/>
          <w:noProof/>
          <w:sz w:val="18"/>
          <w:szCs w:val="18"/>
        </w:rPr>
      </w:pPr>
      <w:r w:rsidRPr="00442DB8">
        <w:rPr>
          <w:rFonts w:ascii="Verdana" w:hAnsi="Verdana"/>
          <w:noProof/>
          <w:sz w:val="18"/>
          <w:szCs w:val="18"/>
        </w:rPr>
        <w:t>In addition, EUR 0.2 billion is held in the Comm</w:t>
      </w:r>
      <w:r>
        <w:rPr>
          <w:rFonts w:ascii="Verdana" w:hAnsi="Verdana"/>
          <w:noProof/>
          <w:sz w:val="18"/>
          <w:szCs w:val="18"/>
        </w:rPr>
        <w:t>i</w:t>
      </w:r>
      <w:r w:rsidRPr="00442DB8">
        <w:rPr>
          <w:rFonts w:ascii="Verdana" w:hAnsi="Verdana"/>
          <w:noProof/>
          <w:sz w:val="18"/>
          <w:szCs w:val="18"/>
        </w:rPr>
        <w:t>ssion’s central treasury as a liquidity buffer to cover immediate guarantee calls.</w:t>
      </w:r>
    </w:p>
    <w:p w14:paraId="5ACAFE84" w14:textId="758C60AB" w:rsidR="008A432C" w:rsidRDefault="008A432C">
      <w:pPr>
        <w:rPr>
          <w:rFonts w:ascii="Verdana" w:hAnsi="Verdana"/>
          <w:noProof/>
          <w:sz w:val="18"/>
          <w:szCs w:val="18"/>
        </w:rPr>
      </w:pPr>
      <w:r>
        <w:rPr>
          <w:rFonts w:ascii="Verdana" w:hAnsi="Verdana"/>
          <w:noProof/>
          <w:sz w:val="18"/>
          <w:szCs w:val="18"/>
        </w:rPr>
        <w:br w:type="page"/>
      </w:r>
    </w:p>
    <w:p w14:paraId="17340B1C" w14:textId="77777777" w:rsidR="001931A1" w:rsidRPr="00362AC0" w:rsidRDefault="00023E71" w:rsidP="00362AC0">
      <w:pPr>
        <w:pStyle w:val="HEADER1Part4"/>
        <w:rPr>
          <w:noProof/>
        </w:rPr>
      </w:pPr>
      <w:bookmarkStart w:id="47" w:name="_Toc232671737"/>
      <w:r w:rsidRPr="00362AC0">
        <w:rPr>
          <w:noProof/>
        </w:rPr>
        <w:t>EU POLITICAL AND FINANCIAL FRAMEWORK, GOVERNANCE AND ACCOUNTABILITY</w:t>
      </w:r>
      <w:bookmarkEnd w:id="47"/>
    </w:p>
    <w:p w14:paraId="429AEDDD" w14:textId="77777777" w:rsidR="004330AD" w:rsidRDefault="00023E71" w:rsidP="004330AD">
      <w:pPr>
        <w:pStyle w:val="DGTextstand-alone"/>
      </w:pPr>
      <w:r>
        <w:t>The European Union (EU) is a Union on which the Member States confer competences to attain objectives they have in common. 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p w14:paraId="4CA41612" w14:textId="77777777" w:rsidR="004330AD" w:rsidRPr="00DC59B8" w:rsidRDefault="00023E71" w:rsidP="00DC59B8">
      <w:pPr>
        <w:pStyle w:val="HEADER2Part4"/>
      </w:pPr>
      <w:bookmarkStart w:id="48" w:name="_Toc232671738"/>
      <w:r w:rsidRPr="00DC59B8">
        <w:t>Political and financial framework</w:t>
      </w:r>
      <w:bookmarkEnd w:id="48"/>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rsidR="00807FFE" w14:paraId="79CF3E9B" w14:textId="77777777">
        <w:trPr>
          <w:trHeight w:val="907"/>
        </w:trPr>
        <w:tc>
          <w:tcPr>
            <w:tcW w:w="2518" w:type="dxa"/>
            <w:shd w:val="clear" w:color="auto" w:fill="92CDDC"/>
            <w:vAlign w:val="center"/>
          </w:tcPr>
          <w:p w14:paraId="4DEF81C3" w14:textId="77777777" w:rsidR="004330AD" w:rsidRPr="00B71DF5" w:rsidRDefault="00023E71" w:rsidP="002D32F6">
            <w:pPr>
              <w:pStyle w:val="DGTextstand-alone"/>
              <w:spacing w:before="0" w:after="0"/>
              <w:jc w:val="center"/>
              <w:rPr>
                <w:b/>
                <w:color w:val="FFFFFF" w:themeColor="background1"/>
              </w:rPr>
            </w:pPr>
            <w:r w:rsidRPr="00B71DF5">
              <w:rPr>
                <w:b/>
                <w:color w:val="FFFFFF" w:themeColor="background1"/>
              </w:rPr>
              <w:t>EU Treaties</w:t>
            </w:r>
          </w:p>
        </w:tc>
        <w:tc>
          <w:tcPr>
            <w:tcW w:w="7260" w:type="dxa"/>
          </w:tcPr>
          <w:p w14:paraId="7851EBC8" w14:textId="77777777" w:rsidR="004330AD" w:rsidRPr="00B71DF5" w:rsidRDefault="00023E71" w:rsidP="002D32F6">
            <w:pPr>
              <w:pStyle w:val="DGTextstand-alone"/>
              <w:spacing w:before="0" w:after="0"/>
            </w:pPr>
            <w:r w:rsidRPr="00B71DF5">
              <w:t xml:space="preserve">The overarching objectives and principles that guide the Union and the European institutions are defined in the </w:t>
            </w:r>
            <w:r w:rsidRPr="00B71DF5">
              <w:rPr>
                <w:color w:val="016794"/>
              </w:rPr>
              <w:t>Treaties</w:t>
            </w:r>
            <w:r w:rsidRPr="00B71DF5">
              <w:t>. The Union and the EU institutions may only act within the limits of the competences conferred by the Treaties so as to attain the objectives set out therein and must do this in</w:t>
            </w:r>
            <w:r>
              <w:t xml:space="preserve"> </w:t>
            </w:r>
            <w:r w:rsidRPr="00B71DF5">
              <w:t>accordance with the principles</w:t>
            </w:r>
            <w:r>
              <w:rPr>
                <w:rStyle w:val="FootnoteReference"/>
                <w:szCs w:val="16"/>
              </w:rPr>
              <w:footnoteReference w:id="17"/>
            </w:r>
            <w:r w:rsidRPr="00B71DF5">
              <w:t xml:space="preserve"> of subsidiarity and proportionality. </w:t>
            </w:r>
            <w:r>
              <w:t xml:space="preserve">In order </w:t>
            </w:r>
          </w:p>
        </w:tc>
      </w:tr>
      <w:tr w:rsidR="00807FFE" w14:paraId="3BF64F46" w14:textId="77777777" w:rsidTr="002D32F6">
        <w:trPr>
          <w:trHeight w:val="519"/>
        </w:trPr>
        <w:tc>
          <w:tcPr>
            <w:tcW w:w="9778" w:type="dxa"/>
            <w:gridSpan w:val="2"/>
          </w:tcPr>
          <w:p w14:paraId="1EA1B054" w14:textId="77777777" w:rsidR="004330AD" w:rsidRPr="00B71DF5" w:rsidRDefault="00023E71" w:rsidP="0077351F">
            <w:pPr>
              <w:pStyle w:val="DGTextstand-alone"/>
              <w:spacing w:before="0" w:after="0"/>
            </w:pPr>
            <w:r>
              <w:t xml:space="preserve">to </w:t>
            </w:r>
            <w:r w:rsidRPr="00B71DF5">
              <w:t>attain its objectives and carry out its policies, the Union provides itself with the necessary financial means. The Commission is responsible for promoting the general interest of the Union which includes executing the budget and managing programmes in cooperation with the Member States and in accordance with the principle of sound financial management.</w:t>
            </w:r>
          </w:p>
        </w:tc>
      </w:tr>
    </w:tbl>
    <w:p w14:paraId="734BF237" w14:textId="77777777" w:rsidR="004330AD" w:rsidRDefault="00023E71" w:rsidP="004330AD">
      <w:pPr>
        <w:pStyle w:val="DGTextstand-alone"/>
      </w:pPr>
      <w:r w:rsidRPr="00B71DF5">
        <w:t xml:space="preserve">The EU pursues the objectives established by the Treaty with </w:t>
      </w:r>
      <w:r w:rsidR="00B21463">
        <w:t>various instruments</w:t>
      </w:r>
      <w:r w:rsidRPr="00B71DF5">
        <w:t>, one of which is the EU budget. Others are, for example, a common legislative framework or joint policy strategies.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rsidR="00807FFE" w14:paraId="0EE0A5BC" w14:textId="77777777">
        <w:tc>
          <w:tcPr>
            <w:tcW w:w="2518" w:type="dxa"/>
            <w:shd w:val="clear" w:color="auto" w:fill="1F497D"/>
            <w:vAlign w:val="center"/>
          </w:tcPr>
          <w:p w14:paraId="43981441" w14:textId="77777777" w:rsidR="004330AD" w:rsidRPr="00B71DF5" w:rsidRDefault="00023E71" w:rsidP="002D32F6">
            <w:pPr>
              <w:pStyle w:val="DGTextstand-alone"/>
              <w:spacing w:before="0" w:after="0"/>
              <w:jc w:val="center"/>
              <w:rPr>
                <w:b/>
                <w:color w:val="FFFFFF" w:themeColor="background1"/>
              </w:rPr>
            </w:pPr>
            <w:r w:rsidRPr="00B71DF5">
              <w:rPr>
                <w:b/>
                <w:color w:val="FFFFFF" w:themeColor="background1"/>
              </w:rPr>
              <w:t>Multiannual financial framework and spending programmes</w:t>
            </w:r>
          </w:p>
        </w:tc>
        <w:tc>
          <w:tcPr>
            <w:tcW w:w="7260" w:type="dxa"/>
          </w:tcPr>
          <w:p w14:paraId="3C4DC739" w14:textId="77777777" w:rsidR="004330AD" w:rsidRPr="00B71DF5" w:rsidRDefault="00023E71" w:rsidP="002D32F6">
            <w:pPr>
              <w:pStyle w:val="DGTextstand-alone"/>
              <w:spacing w:before="0" w:after="0"/>
            </w:pPr>
            <w:r w:rsidRPr="00B71DF5">
              <w:t xml:space="preserve">The policies supported by the EU budget are implemented in accordance with the </w:t>
            </w:r>
            <w:r w:rsidRPr="00B71DF5">
              <w:rPr>
                <w:color w:val="016794"/>
              </w:rPr>
              <w:t>multiannual financial framework (MFF)</w:t>
            </w:r>
            <w:r w:rsidRPr="00B71DF5">
              <w:t xml:space="preserve"> and corresponding sectoral legislation defining spending programmes and instruments. These translate the EU’s political priorities into financial terms over a period long enough to be effective and to provide a coherent long-term perspective for beneficiaries</w:t>
            </w:r>
          </w:p>
        </w:tc>
      </w:tr>
      <w:tr w:rsidR="00807FFE" w14:paraId="3A0CFEC6" w14:textId="77777777" w:rsidTr="002D32F6">
        <w:trPr>
          <w:trHeight w:val="1140"/>
        </w:trPr>
        <w:tc>
          <w:tcPr>
            <w:tcW w:w="9778" w:type="dxa"/>
            <w:gridSpan w:val="2"/>
          </w:tcPr>
          <w:p w14:paraId="2D448E1F" w14:textId="69DE1D5F" w:rsidR="0077351F" w:rsidRPr="00B71DF5" w:rsidRDefault="00023E71" w:rsidP="00864E7A">
            <w:pPr>
              <w:pStyle w:val="DGTextstand-alone"/>
              <w:spacing w:before="0" w:after="0"/>
            </w:pPr>
            <w:r w:rsidRPr="00B71DF5">
              <w:t>of EU funds and co-financing national authorities. Maximum annual amounts (ceilings) are set for EU expenditure as a whole and for the main categories of expenditure (headings). The sum of the ceilings of all headings gives the total ceiling for commitment appropriations. The MFF is adopted by the Council by unanimity of all Member States, with the consent of the European Parliament. The current 2021-2027 multiannual financial framework was adopted on 17 December 2020</w:t>
            </w:r>
            <w:r>
              <w:rPr>
                <w:rStyle w:val="FootnoteReference"/>
              </w:rPr>
              <w:footnoteReference w:id="18"/>
            </w:r>
            <w:r w:rsidRPr="00B71DF5">
              <w:t>.</w:t>
            </w:r>
            <w:r>
              <w:t xml:space="preserve"> The 2021-2027 multiannual financial framework is complemented by </w:t>
            </w:r>
            <w:r w:rsidR="002A5DBB">
              <w:t xml:space="preserve">the </w:t>
            </w:r>
            <w:r>
              <w:t xml:space="preserve">temporary </w:t>
            </w:r>
            <w:r w:rsidR="002A5DBB">
              <w:t xml:space="preserve">recovery instrument </w:t>
            </w:r>
            <w:r w:rsidRPr="006B06CF">
              <w:t>NextGenerationEU</w:t>
            </w:r>
            <w:r w:rsidR="002A5DBB">
              <w:t>.</w:t>
            </w:r>
          </w:p>
        </w:tc>
      </w:tr>
      <w:tr w:rsidR="00807FFE" w14:paraId="768398AE" w14:textId="77777777">
        <w:trPr>
          <w:trHeight w:val="1215"/>
        </w:trPr>
        <w:tc>
          <w:tcPr>
            <w:tcW w:w="2518" w:type="dxa"/>
            <w:shd w:val="clear" w:color="auto" w:fill="92CDDC"/>
            <w:vAlign w:val="center"/>
          </w:tcPr>
          <w:p w14:paraId="1F96BEA9" w14:textId="77777777" w:rsidR="004330AD" w:rsidRPr="00B71DF5" w:rsidRDefault="00023E71" w:rsidP="002D32F6">
            <w:pPr>
              <w:pStyle w:val="DGTextstand-alone"/>
              <w:spacing w:before="0" w:after="0"/>
              <w:jc w:val="center"/>
              <w:rPr>
                <w:b/>
                <w:color w:val="FFFFFF" w:themeColor="background1"/>
              </w:rPr>
            </w:pPr>
            <w:r w:rsidRPr="00B71DF5">
              <w:rPr>
                <w:b/>
                <w:color w:val="FFFFFF" w:themeColor="background1"/>
              </w:rPr>
              <w:t>Annual budget</w:t>
            </w:r>
          </w:p>
        </w:tc>
        <w:tc>
          <w:tcPr>
            <w:tcW w:w="7260" w:type="dxa"/>
          </w:tcPr>
          <w:p w14:paraId="751D0CDE" w14:textId="77777777" w:rsidR="004330AD" w:rsidRPr="00B71DF5" w:rsidRDefault="00023E71" w:rsidP="006D0697">
            <w:pPr>
              <w:pStyle w:val="DGTextstand-alone"/>
              <w:spacing w:before="0" w:after="0"/>
            </w:pPr>
            <w:r w:rsidRPr="00B71DF5">
              <w:t xml:space="preserve">The </w:t>
            </w:r>
            <w:r w:rsidRPr="00B71DF5">
              <w:rPr>
                <w:color w:val="016794"/>
              </w:rPr>
              <w:t xml:space="preserve">annual budget </w:t>
            </w:r>
            <w:r w:rsidRPr="00B71DF5">
              <w:t>is prepared by the Commission. The European Parliament and the Council agree (usually by mid December) on the budget for the following year, based on the procedure of Article 314 TFEU.</w:t>
            </w:r>
            <w:r w:rsidR="002A5DBB">
              <w:t xml:space="preserve"> </w:t>
            </w:r>
            <w:r w:rsidRPr="00B71DF5">
              <w:t>According to the principle of budgetary equilibrium, total revenue must equal total expenditure (payment appropria</w:t>
            </w:r>
            <w:r w:rsidR="00A47288">
              <w:t>tions) for a given financial year.</w:t>
            </w:r>
          </w:p>
        </w:tc>
      </w:tr>
    </w:tbl>
    <w:p w14:paraId="31854B1D" w14:textId="77777777" w:rsidR="008B7080" w:rsidRDefault="00023E71" w:rsidP="006D0697">
      <w:pPr>
        <w:pStyle w:val="DGTextstand-alone"/>
      </w:pPr>
      <w:r w:rsidRPr="00B71DF5">
        <w:t xml:space="preserve">The main </w:t>
      </w:r>
      <w:r w:rsidRPr="00B71DF5">
        <w:rPr>
          <w:color w:val="016794"/>
        </w:rPr>
        <w:t xml:space="preserve">sources of funding </w:t>
      </w:r>
      <w:r w:rsidRPr="00B71DF5">
        <w:t xml:space="preserve">of the EU </w:t>
      </w:r>
      <w:r w:rsidR="00B21463">
        <w:t xml:space="preserve">budget </w:t>
      </w:r>
      <w:r w:rsidRPr="00B71DF5">
        <w:t>are own resources revenues which are complemented by other revenues. There ar</w:t>
      </w:r>
      <w:r w:rsidR="0077351F">
        <w:t>e four types of own resources: T</w:t>
      </w:r>
      <w:r w:rsidRPr="00B71DF5">
        <w:t>raditional own resources (mainly custom duties), the own resource based on value added tax (VAT), the own resource based on non-recycled plastic packaging waste (introduced in 2021) and the own resource based on gross national income (GNI). Other revenues arising from the activities of the EU (e.g. competition fines) normally represent less than 10% of total revenue.</w:t>
      </w:r>
    </w:p>
    <w:p w14:paraId="619F73C5" w14:textId="77777777" w:rsidR="008B7080" w:rsidRDefault="00023E71">
      <w:pPr>
        <w:rPr>
          <w:rFonts w:ascii="Verdana" w:hAnsi="Verdana"/>
          <w:noProof/>
          <w:sz w:val="18"/>
          <w:szCs w:val="18"/>
          <w:lang w:eastAsia="en-US"/>
        </w:rPr>
      </w:pPr>
      <w:r>
        <w:rPr>
          <w:noProof/>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rsidR="00807FFE" w14:paraId="2A3869E2" w14:textId="77777777">
        <w:trPr>
          <w:trHeight w:val="624"/>
        </w:trPr>
        <w:tc>
          <w:tcPr>
            <w:tcW w:w="2518" w:type="dxa"/>
            <w:shd w:val="clear" w:color="auto" w:fill="1F497D"/>
            <w:vAlign w:val="center"/>
          </w:tcPr>
          <w:p w14:paraId="3D293D69" w14:textId="77777777" w:rsidR="004330AD" w:rsidRPr="00B71DF5" w:rsidRDefault="00023E71" w:rsidP="002D32F6">
            <w:pPr>
              <w:pStyle w:val="DGTextstand-alone"/>
              <w:spacing w:before="0" w:after="0"/>
              <w:jc w:val="center"/>
              <w:rPr>
                <w:b/>
                <w:color w:val="FFFFFF" w:themeColor="background1"/>
              </w:rPr>
            </w:pPr>
            <w:r>
              <w:rPr>
                <w:b/>
                <w:color w:val="FFFFFF" w:themeColor="background1"/>
              </w:rPr>
              <w:br/>
            </w:r>
            <w:r>
              <w:rPr>
                <w:b/>
                <w:color w:val="FFFFFF" w:themeColor="background1"/>
              </w:rPr>
              <w:br/>
            </w:r>
            <w:r w:rsidR="00C02EB3" w:rsidRPr="00B71DF5">
              <w:rPr>
                <w:b/>
                <w:color w:val="FFFFFF" w:themeColor="background1"/>
              </w:rPr>
              <w:t>Management modes</w:t>
            </w:r>
            <w:r>
              <w:rPr>
                <w:b/>
                <w:color w:val="FFFFFF" w:themeColor="background1"/>
              </w:rPr>
              <w:br/>
            </w:r>
            <w:r>
              <w:rPr>
                <w:b/>
                <w:color w:val="FFFFFF" w:themeColor="background1"/>
              </w:rPr>
              <w:br/>
            </w:r>
          </w:p>
        </w:tc>
        <w:tc>
          <w:tcPr>
            <w:tcW w:w="7260" w:type="dxa"/>
          </w:tcPr>
          <w:p w14:paraId="7225ADBF" w14:textId="77777777" w:rsidR="004330AD" w:rsidRPr="00B71DF5" w:rsidRDefault="00023E71" w:rsidP="002D32F6">
            <w:pPr>
              <w:pStyle w:val="DGTextstand-alone"/>
              <w:spacing w:before="0" w:after="0"/>
            </w:pPr>
            <w:r w:rsidRPr="00B71DF5">
              <w:t>The EU budget is implemented in three management modes which determine how the money is paid out and managed:</w:t>
            </w:r>
          </w:p>
          <w:p w14:paraId="2A8778F7" w14:textId="77777777" w:rsidR="004330AD" w:rsidRPr="00B71DF5" w:rsidRDefault="00023E71" w:rsidP="002D32F6">
            <w:pPr>
              <w:pStyle w:val="DGTextstand-alone"/>
              <w:spacing w:before="0" w:after="0"/>
            </w:pPr>
            <w:r w:rsidRPr="00B71DF5">
              <w:br/>
            </w:r>
          </w:p>
        </w:tc>
      </w:tr>
    </w:tbl>
    <w:p w14:paraId="5142C7E3" w14:textId="77777777" w:rsidR="004330AD" w:rsidRPr="00B71DF5" w:rsidRDefault="00023E71" w:rsidP="0024160D">
      <w:pPr>
        <w:pStyle w:val="DGTextstand-alonedashesjustified"/>
      </w:pPr>
      <w:r w:rsidRPr="00B71DF5">
        <w:rPr>
          <w:color w:val="016794"/>
        </w:rPr>
        <w:t>Shared management:</w:t>
      </w:r>
      <w:r w:rsidRPr="00B71DF5">
        <w:t xml:space="preserve"> the vast proportion of the budget (around 3/4 of the budget) is managed under a system of shared management by the Commission in cooperation with the Member States, notably in the areas of structural funds and agriculture.</w:t>
      </w:r>
    </w:p>
    <w:p w14:paraId="09FB1F91" w14:textId="77777777" w:rsidR="004330AD" w:rsidRPr="00B71DF5" w:rsidRDefault="00023E71" w:rsidP="0024160D">
      <w:pPr>
        <w:pStyle w:val="DGTextstand-alonedashesjustified"/>
      </w:pPr>
      <w:r w:rsidRPr="00B71DF5">
        <w:rPr>
          <w:color w:val="016794"/>
        </w:rPr>
        <w:t>Direct management:</w:t>
      </w:r>
      <w:r w:rsidRPr="00B71DF5">
        <w:t xml:space="preserve"> the Commission also manages programmes itself and can delegate the implementation of specific programmes to executive agencies.</w:t>
      </w:r>
    </w:p>
    <w:p w14:paraId="01F6B7D3" w14:textId="77777777" w:rsidR="004330AD" w:rsidRDefault="00023E71" w:rsidP="0024160D">
      <w:pPr>
        <w:pStyle w:val="DGTextstand-alonedashesjustified"/>
      </w:pPr>
      <w:r w:rsidRPr="00B71DF5">
        <w:rPr>
          <w:color w:val="016794"/>
        </w:rPr>
        <w:t>Indirect management:</w:t>
      </w:r>
      <w:r w:rsidRPr="00B71DF5">
        <w:t xml:space="preserve"> Expenditure decisions can also be indirectly managed via other bodies within or outside the EU. The Financial Regulation and/or contribution agreements define the necessary control and reporting mechanisms by these entities and the supervision by the Commission where budget implementation tasks are entrusted to national agencies, the European Investment Bank Group, third countries, international organisations (e.g. the World Bank or the United Nations) and other entities (e.g. EU decentralised agencies, Joint Undertakings).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rsidR="00807FFE" w14:paraId="1712227D" w14:textId="77777777" w:rsidTr="00B21463">
        <w:trPr>
          <w:trHeight w:val="624"/>
        </w:trPr>
        <w:tc>
          <w:tcPr>
            <w:tcW w:w="2518" w:type="dxa"/>
            <w:shd w:val="clear" w:color="auto" w:fill="1F497D"/>
            <w:vAlign w:val="center"/>
          </w:tcPr>
          <w:p w14:paraId="70F6CB54" w14:textId="77777777" w:rsidR="00B21463" w:rsidRPr="00B71DF5" w:rsidRDefault="00023E71" w:rsidP="00B21463">
            <w:pPr>
              <w:pStyle w:val="DGTextstand-alone"/>
              <w:spacing w:before="0" w:after="0"/>
              <w:jc w:val="center"/>
              <w:rPr>
                <w:b/>
                <w:color w:val="FFFFFF" w:themeColor="background1"/>
              </w:rPr>
            </w:pPr>
            <w:r w:rsidRPr="00B71DF5">
              <w:rPr>
                <w:b/>
                <w:color w:val="FFFFFF" w:themeColor="background1"/>
              </w:rPr>
              <w:t xml:space="preserve">Financial </w:t>
            </w:r>
            <w:r>
              <w:rPr>
                <w:b/>
                <w:color w:val="FFFFFF" w:themeColor="background1"/>
              </w:rPr>
              <w:t>instruments and budgetary guarantees</w:t>
            </w:r>
          </w:p>
        </w:tc>
        <w:tc>
          <w:tcPr>
            <w:tcW w:w="7260" w:type="dxa"/>
          </w:tcPr>
          <w:p w14:paraId="46E33FC4" w14:textId="77777777" w:rsidR="00B21463" w:rsidRPr="00B71DF5" w:rsidRDefault="00023E71" w:rsidP="002B46C5">
            <w:pPr>
              <w:pStyle w:val="DGTextstand-alone"/>
              <w:spacing w:before="0" w:after="0"/>
            </w:pPr>
            <w:r>
              <w:t xml:space="preserve">The traditional method of budget implementation of giving grants and subsidies is complemented by issuing </w:t>
            </w:r>
            <w:r w:rsidRPr="00B21463">
              <w:rPr>
                <w:color w:val="016794"/>
              </w:rPr>
              <w:t>financial instruments</w:t>
            </w:r>
            <w:r>
              <w:t xml:space="preserve"> in the form of guarantees as well as equity and loans. Furthermore, the EU engages in borrowing and lending activities for specific financial assistance programmes in order to support Member States and third countries in the form of bilateral</w:t>
            </w:r>
          </w:p>
        </w:tc>
      </w:tr>
      <w:tr w:rsidR="00807FFE" w14:paraId="009D431D" w14:textId="77777777" w:rsidTr="00B21463">
        <w:trPr>
          <w:trHeight w:val="624"/>
        </w:trPr>
        <w:tc>
          <w:tcPr>
            <w:tcW w:w="9778" w:type="dxa"/>
            <w:gridSpan w:val="2"/>
          </w:tcPr>
          <w:p w14:paraId="2DC1D88C" w14:textId="77777777" w:rsidR="00B21463" w:rsidRDefault="00023E71" w:rsidP="002B46C5">
            <w:pPr>
              <w:pStyle w:val="DGTextstand-alone"/>
              <w:spacing w:before="0" w:after="0"/>
            </w:pPr>
            <w:r>
              <w:t xml:space="preserve">loans financed from debt issued on the capital markets with the guarantee of the EU Budget. In December 2022, Parliament and the Council established the unified funding approach to EU borrowing, under which </w:t>
            </w:r>
            <w:r w:rsidRPr="009A6369">
              <w:t xml:space="preserve">the </w:t>
            </w:r>
            <w:r>
              <w:t xml:space="preserve">Union </w:t>
            </w:r>
            <w:r w:rsidRPr="009A6369">
              <w:t xml:space="preserve">will be issuing single branded </w:t>
            </w:r>
            <w:r>
              <w:t>‘</w:t>
            </w:r>
            <w:r w:rsidRPr="009A6369">
              <w:t>EU-Bonds</w:t>
            </w:r>
            <w:r>
              <w:t>’</w:t>
            </w:r>
            <w:r w:rsidRPr="009A6369">
              <w:t>, rather than separately denominated bonds for individual programme</w:t>
            </w:r>
            <w:r>
              <w:t>s.</w:t>
            </w:r>
          </w:p>
        </w:tc>
      </w:tr>
    </w:tbl>
    <w:p w14:paraId="2C245141" w14:textId="77777777" w:rsidR="00B21463" w:rsidRDefault="00B21463">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rsidR="00807FFE" w14:paraId="53C97EC0" w14:textId="77777777">
        <w:trPr>
          <w:trHeight w:val="624"/>
        </w:trPr>
        <w:tc>
          <w:tcPr>
            <w:tcW w:w="2518" w:type="dxa"/>
            <w:shd w:val="clear" w:color="auto" w:fill="92CDDC"/>
            <w:vAlign w:val="center"/>
          </w:tcPr>
          <w:p w14:paraId="084DFA6B" w14:textId="77777777" w:rsidR="004330AD" w:rsidRPr="00B71DF5" w:rsidRDefault="00023E71" w:rsidP="002D32F6">
            <w:pPr>
              <w:pStyle w:val="DGTextstand-alone"/>
              <w:spacing w:before="0" w:after="0"/>
              <w:jc w:val="center"/>
              <w:rPr>
                <w:b/>
                <w:color w:val="FFFFFF" w:themeColor="background1"/>
              </w:rPr>
            </w:pPr>
            <w:r w:rsidRPr="00B71DF5">
              <w:rPr>
                <w:b/>
                <w:color w:val="FFFFFF" w:themeColor="background1"/>
              </w:rPr>
              <w:t>Financial Regulation</w:t>
            </w:r>
          </w:p>
        </w:tc>
        <w:tc>
          <w:tcPr>
            <w:tcW w:w="7260" w:type="dxa"/>
          </w:tcPr>
          <w:p w14:paraId="328C84A5" w14:textId="77777777" w:rsidR="004330AD" w:rsidRPr="00B71DF5" w:rsidRDefault="00023E71" w:rsidP="006D0697">
            <w:pPr>
              <w:pStyle w:val="DGTextstand-alone"/>
              <w:spacing w:before="0" w:after="0"/>
            </w:pPr>
            <w:r w:rsidRPr="00B71DF5">
              <w:t xml:space="preserve">The </w:t>
            </w:r>
            <w:r w:rsidRPr="00B71DF5">
              <w:rPr>
                <w:color w:val="016794"/>
              </w:rPr>
              <w:t xml:space="preserve">Financial Regulation </w:t>
            </w:r>
            <w:r w:rsidRPr="00B71DF5">
              <w:t>(FR)</w:t>
            </w:r>
            <w:r>
              <w:rPr>
                <w:rStyle w:val="FootnoteReference"/>
              </w:rPr>
              <w:footnoteReference w:id="19"/>
            </w:r>
            <w:r w:rsidRPr="00B71DF5">
              <w:t xml:space="preserve"> applicable to the general budget is a central act in the regulatory architecture of the EU´s finances. It defines in detail the financial rules applicable to the execution of the EU budget and the roles of the different actors involved in ensuring that the money is used soundly and</w:t>
            </w:r>
            <w:r w:rsidR="0077351F">
              <w:t xml:space="preserve"> </w:t>
            </w:r>
            <w:r w:rsidR="0077351F" w:rsidRPr="0077351F">
              <w:t>achieves the objectives set.</w:t>
            </w:r>
            <w:r w:rsidR="00B21463">
              <w:t xml:space="preserve"> It also includes the specific provisions applicable</w:t>
            </w:r>
          </w:p>
        </w:tc>
      </w:tr>
      <w:tr w:rsidR="00807FFE" w14:paraId="3661F90B" w14:textId="77777777" w:rsidTr="00B21463">
        <w:trPr>
          <w:trHeight w:val="70"/>
        </w:trPr>
        <w:tc>
          <w:tcPr>
            <w:tcW w:w="9778" w:type="dxa"/>
            <w:gridSpan w:val="2"/>
            <w:vAlign w:val="center"/>
          </w:tcPr>
          <w:p w14:paraId="741074E9" w14:textId="77777777" w:rsidR="00B21463" w:rsidRPr="00B71DF5" w:rsidRDefault="00023E71" w:rsidP="006D0697">
            <w:pPr>
              <w:pStyle w:val="DGTextstand-alone"/>
              <w:spacing w:before="0" w:after="0"/>
            </w:pPr>
            <w:r>
              <w:t>to financial instruments, budgetary guarantees and financial assistance.</w:t>
            </w:r>
          </w:p>
        </w:tc>
      </w:tr>
    </w:tbl>
    <w:p w14:paraId="679BF223" w14:textId="77777777" w:rsidR="00811163" w:rsidRPr="00DC59B8" w:rsidRDefault="00023E71" w:rsidP="00DC59B8">
      <w:pPr>
        <w:pStyle w:val="HEADER2Part4"/>
      </w:pPr>
      <w:bookmarkStart w:id="49" w:name="_Toc232671739"/>
      <w:r w:rsidRPr="00DC59B8">
        <w:t>Governance and accountability</w:t>
      </w:r>
      <w:bookmarkEnd w:id="49"/>
    </w:p>
    <w:p w14:paraId="64A50C11" w14:textId="77777777" w:rsidR="004330AD" w:rsidRPr="00371D17" w:rsidRDefault="00023E71" w:rsidP="00371D17">
      <w:pPr>
        <w:pStyle w:val="HEADER3Part4"/>
        <w:rPr>
          <w:noProof/>
        </w:rPr>
      </w:pPr>
      <w:r w:rsidRPr="00371D17">
        <w:rPr>
          <w:noProof/>
        </w:rPr>
        <w:t>Institutional structure</w:t>
      </w:r>
    </w:p>
    <w:p w14:paraId="2ACCE2D6" w14:textId="77777777" w:rsidR="004330AD" w:rsidRDefault="00023E71" w:rsidP="004330AD">
      <w:pPr>
        <w:pStyle w:val="DGTextstand-alone"/>
      </w:pPr>
      <w:r>
        <w:t xml:space="preserve">The EU has an institutional framework through which it aims to promote its values, advance its objectives, serve its interests, those of its citizens and those of the Member States, and ensure the consistency, effectiveness and continuity of its policies and actions. The organisational structure consists of institutions, agencies and other EU </w:t>
      </w:r>
      <w:r w:rsidR="00403B7D">
        <w:t xml:space="preserve">autonomous </w:t>
      </w:r>
      <w:r>
        <w:t xml:space="preserve">bodies. The Financial Regulation, together with the applicable accounting rules, defines which of these entities are included in the EU consolidated accounts (please see Note </w:t>
      </w:r>
      <w:r w:rsidRPr="0066D722">
        <w:rPr>
          <w:b/>
          <w:bCs/>
        </w:rPr>
        <w:t>9</w:t>
      </w:r>
      <w:r>
        <w:t xml:space="preserve"> of the EU consolidated annual accounts for the list of entities included in the scope of consolidation).</w:t>
      </w:r>
    </w:p>
    <w:p w14:paraId="1126EC7C" w14:textId="77777777" w:rsidR="004330AD" w:rsidRDefault="00023E71" w:rsidP="004330AD">
      <w:pPr>
        <w:pStyle w:val="DGTextstand-alone"/>
      </w:pPr>
      <w:r>
        <w:t>The European Parliament, jointly with the Council, exercises legislative and budgetary functions. The Commission is politically accountable to the European Parliament. The Council also carries out policy-making and coordinating functions within the general political direction and priorities of the Union set by the European Council.</w:t>
      </w:r>
    </w:p>
    <w:p w14:paraId="1D4B0221" w14:textId="77777777" w:rsidR="004330AD" w:rsidRDefault="00023E71" w:rsidP="004330AD">
      <w:pPr>
        <w:pStyle w:val="DGTextstand-alone"/>
      </w:pPr>
      <w:r>
        <w:t>The European Commission is the executive arm of the European Union. It promotes the Union’s general interest and takes appropriate initiatives to that end. It ensures the application of the Treaties and oversees the application of Union law by Member States under the control of the Court of Justice of the European Union. It exercises coordinating, executive and management functions, executes the budget and manages programmes.</w:t>
      </w:r>
    </w:p>
    <w:p w14:paraId="619D5E7D" w14:textId="77777777" w:rsidR="004330AD" w:rsidRDefault="00023E71" w:rsidP="004330AD">
      <w:pPr>
        <w:pStyle w:val="DGTextstand-alone"/>
      </w:pPr>
      <w:r>
        <w:t>The Commission implements the budget, in large part in cooperation with the Member States.</w:t>
      </w:r>
      <w:r>
        <w:rPr>
          <w:rStyle w:val="FootnoteReference"/>
        </w:rPr>
        <w:footnoteReference w:id="20"/>
      </w:r>
      <w:r>
        <w:t xml:space="preserve"> Together, they ensure that the appropriations are used in accordance with the principles of sound financial management. Regulations lay down the control and audit obligations of the Member States when they share the implementation of the budget and the resulting responsibilities. They also lay down the responsibilities and detailed rules for each of the EU’s institutions as concerns their own expenditure.</w:t>
      </w:r>
    </w:p>
    <w:p w14:paraId="6D3ECB95" w14:textId="77777777" w:rsidR="004330AD" w:rsidRPr="00371D17" w:rsidRDefault="00023E71" w:rsidP="00371D17">
      <w:pPr>
        <w:pStyle w:val="HEADER3Part4"/>
        <w:rPr>
          <w:noProof/>
        </w:rPr>
      </w:pPr>
      <w:r w:rsidRPr="00371D17">
        <w:rPr>
          <w:noProof/>
        </w:rPr>
        <w:t>The Commission’s governance structure</w:t>
      </w:r>
    </w:p>
    <w:p w14:paraId="1D14FBBB" w14:textId="77777777" w:rsidR="004330AD" w:rsidRDefault="00023E71" w:rsidP="004330AD">
      <w:pPr>
        <w:pStyle w:val="DGTextstand-alone"/>
      </w:pPr>
      <w:r>
        <w:t>The Commission’s governance arrangements and how these ensure that the Commission functions as a modern, accountable and performance-oriented institution are described in the Communication</w:t>
      </w:r>
      <w:r>
        <w:rPr>
          <w:vertAlign w:val="superscript"/>
        </w:rPr>
        <w:footnoteReference w:id="21"/>
      </w:r>
      <w:r>
        <w:t xml:space="preserve"> on Governance in the European Commission.</w:t>
      </w:r>
    </w:p>
    <w:p w14:paraId="4909FE4A" w14:textId="77777777" w:rsidR="004330AD" w:rsidRDefault="00023E71" w:rsidP="004330AD">
      <w:pPr>
        <w:pStyle w:val="DGTextstand-alone"/>
      </w:pPr>
      <w:r>
        <w:t>The Commission performs its functions under the leadership of the College of Commissioners, which sets priorities and takes overall political responsibility for the work of the Commission. As a College, the Commission works under the political guidance of its President, who presents, as part of his or her nomination to the European Parliament the objectives he or she intends to pursue in the form of</w:t>
      </w:r>
      <w:r w:rsidR="002A5DBB">
        <w:t xml:space="preserve"> </w:t>
      </w:r>
      <w:r>
        <w:t>political guidelines. The President decides on the internal organisation of the Commission, ensuring that it acts consistently, efficiently and as a collegiate body.</w:t>
      </w:r>
    </w:p>
    <w:p w14:paraId="1F6D300E" w14:textId="77777777" w:rsidR="004330AD" w:rsidRDefault="00023E71" w:rsidP="004330AD">
      <w:pPr>
        <w:pStyle w:val="DGTextstand-alone"/>
      </w:pPr>
      <w:r>
        <w:t xml:space="preserve">The College delegates the operational implementation of the budget and financial management to the </w:t>
      </w:r>
      <w:r w:rsidRPr="0066D722">
        <w:rPr>
          <w:color w:val="016794"/>
        </w:rPr>
        <w:t>Directors-General and Heads of Service</w:t>
      </w:r>
      <w:r>
        <w:t xml:space="preserve"> who lead the administrative structure of the Commission. This decentralised approach creates an administrative culture that encourages civil servants to take responsibility for activities over which they have control and requires them to provide assurance as concerns the activities for which they are accountable. </w:t>
      </w:r>
    </w:p>
    <w:p w14:paraId="3AD95464" w14:textId="77777777" w:rsidR="004330AD" w:rsidRDefault="00023E71" w:rsidP="004330AD">
      <w:pPr>
        <w:pStyle w:val="DGTextstand-alone"/>
      </w:pPr>
      <w:r w:rsidRPr="0066D722">
        <w:t>Under the authority of the President and in close cooperation with the Member of the Commission in charge of budget, human resources and administration, and with the involvement of the Presidential and central services, the Corporate Management Board provides coordination, oversight, advice and strategic orientations.</w:t>
      </w:r>
    </w:p>
    <w:p w14:paraId="3E8748DC" w14:textId="77777777" w:rsidR="004330AD" w:rsidRDefault="00023E71" w:rsidP="004330AD">
      <w:pPr>
        <w:pStyle w:val="DGTextstand-alone"/>
        <w:rPr>
          <w:b/>
          <w:color w:val="016794"/>
          <w:sz w:val="28"/>
        </w:rPr>
      </w:pPr>
      <w:r>
        <w:t xml:space="preserve">The internal arrangements define a coherent set of robust controls and management tools which allow the </w:t>
      </w:r>
      <w:r w:rsidRPr="007F3D88">
        <w:rPr>
          <w:color w:val="016794"/>
        </w:rPr>
        <w:t>College of Commissioners</w:t>
      </w:r>
      <w:r>
        <w:t xml:space="preserve"> to assume political responsibility for the work of the Commission.</w:t>
      </w:r>
      <w:r>
        <w:rPr>
          <w:rStyle w:val="FootnoteReference"/>
        </w:rPr>
        <w:footnoteReference w:id="22"/>
      </w:r>
    </w:p>
    <w:p w14:paraId="6702F32A" w14:textId="77777777" w:rsidR="004330AD" w:rsidRPr="00371D17" w:rsidRDefault="00023E71" w:rsidP="00371D17">
      <w:pPr>
        <w:pStyle w:val="HEADER3Part4"/>
        <w:rPr>
          <w:noProof/>
        </w:rPr>
      </w:pPr>
      <w:r w:rsidRPr="00371D17">
        <w:rPr>
          <w:noProof/>
        </w:rPr>
        <w:t>The Commission’s financial management</w:t>
      </w:r>
    </w:p>
    <w:p w14:paraId="77378AE4" w14:textId="77777777" w:rsidR="004330AD" w:rsidRDefault="00023E71" w:rsidP="004330AD">
      <w:pPr>
        <w:pStyle w:val="DGTextstand-alone"/>
      </w:pPr>
      <w:r>
        <w:t>In the Commission, the roles and responsibilities in financial management are clearly defined (e.g. in the Financial Regulation and the Internal Rules</w:t>
      </w:r>
      <w:r>
        <w:rPr>
          <w:rStyle w:val="FootnoteReference"/>
        </w:rPr>
        <w:footnoteReference w:id="23"/>
      </w:r>
      <w:r>
        <w:t xml:space="preserve">) and applied accordingly. As </w:t>
      </w:r>
      <w:r w:rsidRPr="007F3D88">
        <w:rPr>
          <w:color w:val="016794"/>
        </w:rPr>
        <w:t>authorising officers by delegation</w:t>
      </w:r>
      <w:r>
        <w:t xml:space="preserve">, the Commission’s Directors-General and Heads of Service are responsible for the sound financial management of EU resources, compliance with the provisions of the Financial Regulation, risk management and establishing an appropriate internal control framework. </w:t>
      </w:r>
    </w:p>
    <w:p w14:paraId="28D8379A" w14:textId="77777777" w:rsidR="004330AD" w:rsidRDefault="00023E71" w:rsidP="004330AD">
      <w:pPr>
        <w:pStyle w:val="DGTextstand-alone"/>
      </w:pPr>
      <w:r>
        <w:t xml:space="preserve">The responsibility of the Authorising Officers covers the entire management process, from determining what needs to be done to achieve the policy objectives set by the institution to managing the activities from both an operational and a sound financial management standpoint. Tasks can further be sub-delegated to Directors, Heads of Unit and others, who thereby become Authorising Officers by Sub-Delegation. Each authorising officer by delegation may rely on one or two directors in charge of risk management and internal control to oversee and monitor the implementation of internal control systems. </w:t>
      </w:r>
    </w:p>
    <w:p w14:paraId="09D9E2A5" w14:textId="77777777" w:rsidR="004330AD" w:rsidRDefault="00023E71" w:rsidP="004330AD">
      <w:pPr>
        <w:pStyle w:val="DGTextstand-alone"/>
      </w:pPr>
      <w:r>
        <w:t xml:space="preserve">The Commission’s central services provide guidance and advice and promote best practices, including through the work of the Corporate Management Board. </w:t>
      </w:r>
    </w:p>
    <w:p w14:paraId="06D8834D" w14:textId="77777777" w:rsidR="004330AD" w:rsidRDefault="00023E71" w:rsidP="004330AD">
      <w:pPr>
        <w:pStyle w:val="DGTextstand-alone"/>
      </w:pPr>
      <w:r>
        <w:t>The Financial Regulation requires each authorising officer to prepare an annual activity report (AAR) detailing achievements, internal control and financial management activities during the year. The AAR includes a declaration that resources have been used based on the principles of sound financial management and that control procedures are in place which provide the necessary guarantees concerning the legality and regularity of the underlying transactions. The Annual Management and Performance Report for the EU budget</w:t>
      </w:r>
      <w:r>
        <w:rPr>
          <w:rStyle w:val="FootnoteReference"/>
        </w:rPr>
        <w:footnoteReference w:id="24"/>
      </w:r>
      <w:r>
        <w:t xml:space="preserve"> is the main instrument through </w:t>
      </w:r>
      <w:r w:rsidRPr="0066D722">
        <w:rPr>
          <w:b/>
          <w:bCs/>
        </w:rPr>
        <w:t>which the College of Commissioners assumes political responsibility for the financial management of the EU budget</w:t>
      </w:r>
      <w:r>
        <w:t>.</w:t>
      </w:r>
    </w:p>
    <w:p w14:paraId="3B31CCA8" w14:textId="77777777" w:rsidR="004330AD" w:rsidRDefault="00023E71" w:rsidP="004330AD">
      <w:pPr>
        <w:pStyle w:val="DGTextstand-alone"/>
      </w:pPr>
      <w:r>
        <w:t xml:space="preserve">The </w:t>
      </w:r>
      <w:r w:rsidRPr="007F3D88">
        <w:rPr>
          <w:color w:val="016794"/>
        </w:rPr>
        <w:t>Accounting Officer</w:t>
      </w:r>
      <w:r>
        <w:t xml:space="preserve"> of the Commission is centrally responsible for treasury management, recovery procedures, laying down accounting rules based on International Public Sector Accounting Standards (IPSAS), validating accounting systems and the preparation of the Commission's and consolidated annual accounts of the EU. Furthermore, the Accounting Officer is required to sign the annual accounts declaring that they present fairly, in all material aspects, the financial position, the results of the operations and the cash flows of the Union. The annual accounts are adopted by the College of Commissioners. The Accounting Officer is an independent function and bears a major responsibility as regards financial reporting in the Commission. </w:t>
      </w:r>
    </w:p>
    <w:p w14:paraId="00851EE7" w14:textId="77777777" w:rsidR="004330AD" w:rsidRDefault="00023E71" w:rsidP="004330AD">
      <w:pPr>
        <w:pStyle w:val="DGTextstand-alone"/>
      </w:pPr>
      <w:r>
        <w:t xml:space="preserve">The </w:t>
      </w:r>
      <w:r w:rsidRPr="007F3D88">
        <w:rPr>
          <w:color w:val="016794"/>
        </w:rPr>
        <w:t>Internal Auditor</w:t>
      </w:r>
      <w:r>
        <w:t xml:space="preserve"> of the Commission is likewise a centralised and independent function and provides independent advice, opinions and recommendations on the quality and functioning of internal control systems inside the Commission, EU agencies and other </w:t>
      </w:r>
      <w:r w:rsidR="00403B7D">
        <w:t xml:space="preserve">EU </w:t>
      </w:r>
      <w:r>
        <w:t xml:space="preserve">autonomous bodies. </w:t>
      </w:r>
    </w:p>
    <w:p w14:paraId="0DFF3D8B" w14:textId="77777777" w:rsidR="004330AD" w:rsidRDefault="00023E71" w:rsidP="004330AD">
      <w:pPr>
        <w:pStyle w:val="DGTextstand-alone"/>
      </w:pPr>
      <w:r>
        <w:t xml:space="preserve">The </w:t>
      </w:r>
      <w:r w:rsidRPr="007F3D88">
        <w:rPr>
          <w:color w:val="016794"/>
        </w:rPr>
        <w:t>Audit Progress Committee</w:t>
      </w:r>
      <w:r>
        <w:t xml:space="preserve"> ensures the independence of the Internal Auditor and monitors the quality of internal audit work and the follow-up given by the Commission services to internal and external audit recommendations, as well as to the European Court of Auditors’ discharge related findings and recommendations on the reliability of the annual consolidated EU accounts. The advisory role of the committee contributes to the overall further improvement of the Commission’s effectiveness and efficiency in achieving its goals and facilitates the College’s oversight of the Commission’s governance, risk management, and internal control practices.</w:t>
      </w:r>
    </w:p>
    <w:p w14:paraId="13E8A4C3" w14:textId="77777777" w:rsidR="004330AD" w:rsidRPr="00371D17" w:rsidRDefault="00023E71" w:rsidP="00371D17">
      <w:pPr>
        <w:pStyle w:val="HEADER3Part4"/>
        <w:rPr>
          <w:noProof/>
        </w:rPr>
      </w:pPr>
      <w:r w:rsidRPr="00371D17">
        <w:rPr>
          <w:noProof/>
        </w:rPr>
        <w:t>External audit and discharge procedure</w:t>
      </w:r>
    </w:p>
    <w:p w14:paraId="5F0592B5" w14:textId="77777777" w:rsidR="004330AD" w:rsidRDefault="00023E71" w:rsidP="004330AD">
      <w:pPr>
        <w:pStyle w:val="DGTextstand-alone"/>
        <w:spacing w:before="120"/>
      </w:pPr>
      <w:r>
        <w:t>In line with the principles of sound financial management, funds must be managed in an effective, efficient and economic manner. An accountability framework based on comprehensive reporting, external audit and political control exists to provide reasonable assurance that EU funds are spent in a proper manner.</w:t>
      </w:r>
    </w:p>
    <w:p w14:paraId="73DA2558" w14:textId="77777777" w:rsidR="004330AD" w:rsidRDefault="00023E71" w:rsidP="004330AD">
      <w:pPr>
        <w:pStyle w:val="DGTextstand-alone"/>
        <w:spacing w:before="120"/>
      </w:pPr>
      <w:r>
        <w:t xml:space="preserve">The </w:t>
      </w:r>
      <w:r w:rsidRPr="0066D722">
        <w:rPr>
          <w:b/>
          <w:bCs/>
        </w:rPr>
        <w:t>European Parliament</w:t>
      </w:r>
      <w:r>
        <w:t xml:space="preserve"> decides, after a recommendation by the </w:t>
      </w:r>
      <w:r w:rsidRPr="0066D722">
        <w:rPr>
          <w:b/>
          <w:bCs/>
        </w:rPr>
        <w:t>Council</w:t>
      </w:r>
      <w:r>
        <w:t>, on whether or not to provide its final approval, known as ‘granting discharge’, on the way the Commission implemented the EU budget in a given year. The annual discharge procedure ensures that the Commission is held politically accountable for the implementation of the EU budget.</w:t>
      </w:r>
    </w:p>
    <w:p w14:paraId="12D7A598" w14:textId="77777777" w:rsidR="004330AD" w:rsidRDefault="00023E71" w:rsidP="004330AD">
      <w:pPr>
        <w:pStyle w:val="DGTextstand-alone"/>
        <w:spacing w:before="120"/>
      </w:pPr>
      <w:r>
        <w:t xml:space="preserve">Every year the </w:t>
      </w:r>
      <w:r w:rsidRPr="0066D722">
        <w:rPr>
          <w:b/>
          <w:bCs/>
        </w:rPr>
        <w:t>European Court of Auditors</w:t>
      </w:r>
      <w:r>
        <w:t xml:space="preserve"> examines the reliability of the accounts, whether all revenue has been received and all expenditure incurred in a lawful and regular manner and whether the financial management and the qualitative aspects of budgeting, including the performance dimension, have been sound. </w:t>
      </w:r>
      <w:r w:rsidR="00B21463">
        <w:t xml:space="preserve">As from 2021, given the considerable importance of NextGenerationEU, the European Court of Auditor’s opinion on </w:t>
      </w:r>
      <w:r w:rsidR="00B21463" w:rsidRPr="006A2DA1">
        <w:t xml:space="preserve">the legality and regularity of expenditure </w:t>
      </w:r>
      <w:r w:rsidR="00B21463">
        <w:t xml:space="preserve">under the traditional EU budget is complemented by a separate opinion on the legality and regularity of expenditure under the Recovery and Resilience Facility. </w:t>
      </w:r>
      <w:r>
        <w:t xml:space="preserve">The publication of the annual report of the European Court of Auditors is the starting point for the discharge procedure. The auditors also prepare special reports on specific spending or policy areas, or on budgetary or management issues. </w:t>
      </w:r>
    </w:p>
    <w:p w14:paraId="75F87F2C" w14:textId="4F20C9EC" w:rsidR="007F3D88" w:rsidRDefault="00023E71" w:rsidP="004330AD">
      <w:pPr>
        <w:pStyle w:val="DGTextstand-alone"/>
        <w:spacing w:before="120"/>
      </w:pPr>
      <w:r>
        <w:t>The decision on the discharge is also based on the Commission’s integrated financial and accountability reporting</w:t>
      </w:r>
      <w:r w:rsidR="00DD5531">
        <w:rPr>
          <w:rStyle w:val="FootnoteReference"/>
        </w:rPr>
        <w:footnoteReference w:id="25"/>
      </w:r>
      <w:r>
        <w:t>, on hearings of Commissioners in the European Parliament and on the replies provided to written questions addressed to the Commission.</w:t>
      </w:r>
    </w:p>
    <w:bookmarkEnd w:id="5"/>
    <w:p w14:paraId="5933BBB6" w14:textId="77777777" w:rsidR="002445B4" w:rsidRDefault="002445B4" w:rsidP="004330AD">
      <w:pPr>
        <w:pStyle w:val="DGTextstand-alone"/>
        <w:spacing w:before="120"/>
        <w:sectPr w:rsidR="002445B4" w:rsidSect="00FA37FA">
          <w:headerReference w:type="even" r:id="rId39"/>
          <w:headerReference w:type="default" r:id="rId40"/>
          <w:footerReference w:type="even" r:id="rId41"/>
          <w:footerReference w:type="default" r:id="rId42"/>
          <w:headerReference w:type="first" r:id="rId43"/>
          <w:footerReference w:type="first" r:id="rId44"/>
          <w:pgSz w:w="11907" w:h="16840"/>
          <w:pgMar w:top="1134" w:right="1134" w:bottom="1134" w:left="1134" w:header="709" w:footer="709" w:gutter="0"/>
          <w:cols w:space="708"/>
          <w:docGrid w:linePitch="360"/>
        </w:sectPr>
      </w:pPr>
    </w:p>
    <w:p w14:paraId="30B5115B" w14:textId="77777777" w:rsidR="00B231CF" w:rsidRPr="002E63B3" w:rsidRDefault="00023E71" w:rsidP="002E63B3">
      <w:pPr>
        <w:pStyle w:val="FIRSTCHAPTERPAGE"/>
        <w:rPr>
          <w:noProof/>
        </w:rPr>
      </w:pPr>
      <w:bookmarkStart w:id="50" w:name="_Toc232674971"/>
      <w:bookmarkStart w:id="51" w:name="_DMBM_36687"/>
      <w:r w:rsidRPr="002E63B3">
        <w:rPr>
          <w:noProof/>
        </w:rPr>
        <w:t>NOTE ACCOMPANYING THE CONSOLIDATED ACCOUNTS</w:t>
      </w:r>
      <w:bookmarkEnd w:id="50"/>
    </w:p>
    <w:p w14:paraId="2D679A8A" w14:textId="77777777" w:rsidR="00C96E76" w:rsidRDefault="00023E71" w:rsidP="002E63B3">
      <w:pPr>
        <w:pStyle w:val="DGTextstand-alone"/>
      </w:pPr>
      <w:r w:rsidRPr="00C96E76">
        <w:t>The consolidated annual accounts of the European Union for the year 20</w:t>
      </w:r>
      <w:r w:rsidR="008517B7">
        <w:t>2</w:t>
      </w:r>
      <w:r w:rsidR="00EC0520">
        <w:t>5</w:t>
      </w:r>
      <w:r w:rsidRPr="00C96E76">
        <w:t xml:space="preserve"> have been prepared on the basis of the information presented by the institutions and bodies under Article </w:t>
      </w:r>
      <w:r>
        <w:t>2</w:t>
      </w:r>
      <w:r w:rsidR="00167AAB">
        <w:t>52</w:t>
      </w:r>
      <w:r w:rsidRPr="00C96E76">
        <w:t xml:space="preserve">(2) of the Financial Regulation applicable to the general budget of the European </w:t>
      </w:r>
      <w:r>
        <w:t>Union. I hereby declare that they were prepared in accordance with Title XIII of this Financial Regulation and with the accounting principles, rules and methods set out in the notes to the financial statements.</w:t>
      </w:r>
    </w:p>
    <w:p w14:paraId="7AA068BC" w14:textId="77777777" w:rsidR="00C96E76" w:rsidRDefault="00023E71" w:rsidP="002E63B3">
      <w:pPr>
        <w:pStyle w:val="DGTextstand-alone"/>
      </w:pPr>
      <w:r>
        <w:t>I have obtained from the accounting officers of these institutions and bodies, who certified its reliability, all the information necessary for the production of the accounts that show the European Union's assets and liabilities and budgetary implementation.</w:t>
      </w:r>
    </w:p>
    <w:p w14:paraId="76DEF4DF" w14:textId="77777777" w:rsidR="00C96E76" w:rsidRDefault="00023E71" w:rsidP="002E63B3">
      <w:pPr>
        <w:pStyle w:val="DGTextstand-alone"/>
      </w:pPr>
      <w:r>
        <w:t>I hereby certify that based on this information, and on such checks as I deemed necessary to sign off the accounts of the European Commission, I have a reasonable assurance that the accounts present fairly, in all material aspects, the financial position, the results of the operations and the cashflows of the European Union.</w:t>
      </w:r>
    </w:p>
    <w:p w14:paraId="62650386" w14:textId="77777777" w:rsidR="00C96E76" w:rsidRDefault="00C96E76" w:rsidP="002E63B3">
      <w:pPr>
        <w:pStyle w:val="DGTextstand-alone"/>
      </w:pPr>
    </w:p>
    <w:p w14:paraId="584516E7" w14:textId="77777777" w:rsidR="00C96E76" w:rsidRDefault="00C96E76" w:rsidP="00C96E76">
      <w:pPr>
        <w:pStyle w:val="Textstand-alone"/>
      </w:pPr>
    </w:p>
    <w:p w14:paraId="6D8C72FB" w14:textId="77777777" w:rsidR="00C96E76" w:rsidRDefault="00C96E76" w:rsidP="00C96E76">
      <w:pPr>
        <w:pStyle w:val="SignatureRightItalic"/>
        <w:rPr>
          <w:noProof/>
        </w:rPr>
      </w:pPr>
    </w:p>
    <w:p w14:paraId="402409EF" w14:textId="77777777" w:rsidR="00C96E76" w:rsidRDefault="00023E71" w:rsidP="00C96E76">
      <w:pPr>
        <w:pStyle w:val="SignatureRight"/>
        <w:rPr>
          <w:noProof/>
        </w:rPr>
      </w:pPr>
      <w:r>
        <w:rPr>
          <w:noProof/>
        </w:rPr>
        <w:t>Niall BOHAN</w:t>
      </w:r>
    </w:p>
    <w:p w14:paraId="419DEE51" w14:textId="77777777" w:rsidR="00C96E76" w:rsidRDefault="00023E71" w:rsidP="00C96E76">
      <w:pPr>
        <w:pStyle w:val="SignatureRightBold"/>
        <w:rPr>
          <w:noProof/>
        </w:rPr>
      </w:pPr>
      <w:r>
        <w:rPr>
          <w:noProof/>
        </w:rPr>
        <w:t>Accounting Officer of the Commission</w:t>
      </w:r>
    </w:p>
    <w:p w14:paraId="62CC60C1" w14:textId="77777777" w:rsidR="00082228" w:rsidRDefault="00082228" w:rsidP="00C96E76">
      <w:pPr>
        <w:pStyle w:val="SignatureRightBold"/>
        <w:rPr>
          <w:noProof/>
        </w:rPr>
      </w:pPr>
    </w:p>
    <w:p w14:paraId="55A8C951" w14:textId="3A1FC533" w:rsidR="00C96E76" w:rsidRPr="00C96E76" w:rsidRDefault="00023E71" w:rsidP="00082228">
      <w:pPr>
        <w:pStyle w:val="SignatureRightBold"/>
        <w:rPr>
          <w:noProof/>
        </w:rPr>
        <w:sectPr w:rsidR="00C96E76" w:rsidRPr="00C96E76">
          <w:headerReference w:type="default" r:id="rId45"/>
          <w:footerReference w:type="default" r:id="rId46"/>
          <w:pgSz w:w="11906" w:h="16838"/>
          <w:pgMar w:top="1134" w:right="1134" w:bottom="1134" w:left="1134" w:header="709" w:footer="709" w:gutter="0"/>
          <w:cols w:space="708"/>
          <w:docGrid w:linePitch="360"/>
        </w:sectPr>
      </w:pPr>
      <w:r w:rsidRPr="00082228">
        <w:rPr>
          <w:b w:val="0"/>
          <w:bCs/>
          <w:i/>
          <w:iCs/>
          <w:noProof/>
        </w:rPr>
        <w:t>1</w:t>
      </w:r>
      <w:r>
        <w:rPr>
          <w:b w:val="0"/>
          <w:bCs/>
          <w:i/>
          <w:iCs/>
          <w:noProof/>
        </w:rPr>
        <w:t>8</w:t>
      </w:r>
      <w:r w:rsidRPr="00082228">
        <w:rPr>
          <w:b w:val="0"/>
          <w:bCs/>
          <w:i/>
          <w:iCs/>
          <w:noProof/>
        </w:rPr>
        <w:t xml:space="preserve"> June 202</w:t>
      </w:r>
      <w:r>
        <w:rPr>
          <w:b w:val="0"/>
          <w:bCs/>
          <w:i/>
          <w:iCs/>
          <w:noProof/>
        </w:rPr>
        <w:t>6</w:t>
      </w:r>
      <w:bookmarkEnd w:id="51"/>
    </w:p>
    <w:p w14:paraId="47401645" w14:textId="77777777" w:rsidR="00FA483B" w:rsidRPr="00012B40" w:rsidRDefault="00023E71" w:rsidP="00FA483B">
      <w:pPr>
        <w:pStyle w:val="FinancialYear"/>
        <w:rPr>
          <w:noProof/>
        </w:rPr>
      </w:pPr>
      <w:bookmarkStart w:id="52" w:name="_DMBM_36675"/>
      <w:r>
        <w:rPr>
          <w:noProof/>
        </w:rPr>
        <w:t>EUROPEAN UNION</w:t>
      </w:r>
    </w:p>
    <w:p w14:paraId="00A339D9" w14:textId="77777777" w:rsidR="00FA483B" w:rsidRDefault="00023E71" w:rsidP="00FA483B">
      <w:pPr>
        <w:pStyle w:val="FinancialYear"/>
        <w:rPr>
          <w:noProof/>
        </w:rPr>
      </w:pPr>
      <w:r>
        <w:rPr>
          <w:noProof/>
        </w:rPr>
        <w:t>FINANCIAL YEAR 2025</w:t>
      </w:r>
    </w:p>
    <w:p w14:paraId="10EEF913" w14:textId="77777777" w:rsidR="00FA483B" w:rsidRDefault="00FA483B" w:rsidP="00FA483B">
      <w:pPr>
        <w:pStyle w:val="FIRSTCHAPTERPAGE"/>
        <w:rPr>
          <w:noProof/>
        </w:rPr>
      </w:pPr>
    </w:p>
    <w:p w14:paraId="3AD60D12" w14:textId="77777777" w:rsidR="00FA483B" w:rsidRDefault="00FA483B" w:rsidP="00FA483B">
      <w:pPr>
        <w:pStyle w:val="FIRSTCHAPTERPAGE"/>
        <w:rPr>
          <w:noProof/>
        </w:rPr>
      </w:pPr>
    </w:p>
    <w:p w14:paraId="40C02F3D" w14:textId="77777777" w:rsidR="00FA483B" w:rsidRDefault="00FA483B" w:rsidP="00FA483B">
      <w:pPr>
        <w:pStyle w:val="FIRSTCHAPTERPAGE"/>
        <w:rPr>
          <w:noProof/>
        </w:rPr>
      </w:pPr>
    </w:p>
    <w:p w14:paraId="27E10217" w14:textId="77777777" w:rsidR="00FA483B" w:rsidRDefault="00FA483B" w:rsidP="00FA483B">
      <w:pPr>
        <w:pStyle w:val="FIRSTCHAPTERPAGE"/>
        <w:rPr>
          <w:noProof/>
        </w:rPr>
      </w:pPr>
    </w:p>
    <w:p w14:paraId="7E19F867" w14:textId="77777777" w:rsidR="00FA483B" w:rsidRDefault="00023E71" w:rsidP="00FA483B">
      <w:pPr>
        <w:pStyle w:val="FIRSTCHAPTERPAGE"/>
        <w:rPr>
          <w:noProof/>
        </w:rPr>
      </w:pPr>
      <w:bookmarkStart w:id="53" w:name="_Toc232674972"/>
      <w:r>
        <w:rPr>
          <w:noProof/>
        </w:rPr>
        <w:t>CONSOLIDATED FINANCIAL STATEMENTS AND EXPLANATORY NOTES</w:t>
      </w:r>
      <w:r>
        <w:rPr>
          <w:rStyle w:val="FootnoteReference"/>
          <w:noProof/>
        </w:rPr>
        <w:footnoteReference w:id="26"/>
      </w:r>
      <w:bookmarkEnd w:id="53"/>
    </w:p>
    <w:p w14:paraId="455B95A2" w14:textId="77777777" w:rsidR="00FA483B" w:rsidRDefault="00FA483B" w:rsidP="00FA483B">
      <w:pPr>
        <w:pStyle w:val="FIRSTCHAPTERPAGE"/>
        <w:rPr>
          <w:noProof/>
        </w:rPr>
      </w:pPr>
    </w:p>
    <w:p w14:paraId="65883866" w14:textId="77777777" w:rsidR="00FA483B" w:rsidRDefault="00FA483B" w:rsidP="00FA483B">
      <w:pPr>
        <w:pStyle w:val="FIRSTCHAPTERPAGE"/>
        <w:rPr>
          <w:noProof/>
        </w:rPr>
      </w:pPr>
    </w:p>
    <w:p w14:paraId="35E88503" w14:textId="77777777" w:rsidR="00FA483B" w:rsidRDefault="00FA483B" w:rsidP="00FA483B">
      <w:pPr>
        <w:pStyle w:val="FIRSTCHAPTERPAGE"/>
        <w:rPr>
          <w:noProof/>
        </w:rPr>
      </w:pPr>
    </w:p>
    <w:p w14:paraId="34438368" w14:textId="77777777" w:rsidR="00FA483B" w:rsidRDefault="00FA483B" w:rsidP="00FA483B">
      <w:pPr>
        <w:pStyle w:val="FIRSTCHAPTERPAGE"/>
        <w:rPr>
          <w:noProof/>
        </w:rPr>
      </w:pPr>
    </w:p>
    <w:bookmarkEnd w:id="52"/>
    <w:p w14:paraId="1D14F2EB" w14:textId="77777777" w:rsidR="00FA483B" w:rsidRDefault="00FA483B" w:rsidP="00FA483B">
      <w:pPr>
        <w:pStyle w:val="FIRSTCHAPTERPAGE"/>
        <w:rPr>
          <w:noProof/>
        </w:rPr>
        <w:sectPr w:rsidR="00FA483B">
          <w:headerReference w:type="default" r:id="rId47"/>
          <w:footerReference w:type="default" r:id="rId48"/>
          <w:pgSz w:w="11906" w:h="16838"/>
          <w:pgMar w:top="1134" w:right="1134" w:bottom="1134" w:left="1134" w:header="709" w:footer="709" w:gutter="0"/>
          <w:cols w:space="708"/>
          <w:docGrid w:linePitch="360"/>
        </w:sectPr>
      </w:pPr>
    </w:p>
    <w:p w14:paraId="47B7D572" w14:textId="77777777" w:rsidR="00B35B8B" w:rsidRDefault="00023E71" w:rsidP="00C61F02">
      <w:pPr>
        <w:pStyle w:val="HEADERTABLE"/>
        <w:rPr>
          <w:noProof/>
        </w:rPr>
      </w:pPr>
      <w:bookmarkStart w:id="54" w:name="_DMBM_36700"/>
      <w:r>
        <w:rPr>
          <w:noProof/>
        </w:rPr>
        <w:t>CONTENTS</w:t>
      </w:r>
    </w:p>
    <w:p w14:paraId="72845977" w14:textId="77777777" w:rsidR="00984F6B" w:rsidRDefault="00984F6B" w:rsidP="006D5E62">
      <w:pPr>
        <w:pStyle w:val="Textstand-alone"/>
      </w:pPr>
    </w:p>
    <w:p w14:paraId="0CF1FBF5" w14:textId="069496B8" w:rsidR="00023E71" w:rsidRDefault="00023E71">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r>
        <w:rPr>
          <w:noProof/>
          <w:color w:val="016894"/>
          <w:sz w:val="20"/>
        </w:rPr>
        <w:fldChar w:fldCharType="begin"/>
      </w:r>
      <w:r>
        <w:rPr>
          <w:noProof/>
          <w:color w:val="016894"/>
          <w:sz w:val="20"/>
        </w:rPr>
        <w:instrText xml:space="preserve"> TOC \o "1-3" \h \z \t "HEADER 1_NOTES;2;HEADER_TITLE_1;1" </w:instrText>
      </w:r>
      <w:r>
        <w:rPr>
          <w:noProof/>
          <w:color w:val="016894"/>
          <w:sz w:val="20"/>
        </w:rPr>
        <w:fldChar w:fldCharType="separate"/>
      </w:r>
      <w:hyperlink w:anchor="_Toc232438933" w:history="1">
        <w:r w:rsidRPr="00DE50CF">
          <w:rPr>
            <w:rStyle w:val="Hyperlink"/>
            <w:noProof/>
            <w:lang w:val="fr-BE"/>
          </w:rPr>
          <w:t>BALANCE SHEET</w:t>
        </w:r>
        <w:r>
          <w:rPr>
            <w:noProof/>
            <w:webHidden/>
          </w:rPr>
          <w:tab/>
        </w:r>
        <w:r>
          <w:rPr>
            <w:noProof/>
            <w:webHidden/>
          </w:rPr>
          <w:fldChar w:fldCharType="begin"/>
        </w:r>
        <w:r>
          <w:rPr>
            <w:noProof/>
            <w:webHidden/>
          </w:rPr>
          <w:instrText xml:space="preserve"> PAGEREF _Toc232438933 \h </w:instrText>
        </w:r>
        <w:r>
          <w:rPr>
            <w:noProof/>
            <w:webHidden/>
          </w:rPr>
        </w:r>
        <w:r>
          <w:rPr>
            <w:noProof/>
            <w:webHidden/>
          </w:rPr>
          <w:fldChar w:fldCharType="separate"/>
        </w:r>
        <w:r w:rsidR="00BF2400">
          <w:rPr>
            <w:noProof/>
            <w:webHidden/>
          </w:rPr>
          <w:t>36</w:t>
        </w:r>
        <w:r>
          <w:rPr>
            <w:noProof/>
            <w:webHidden/>
          </w:rPr>
          <w:fldChar w:fldCharType="end"/>
        </w:r>
      </w:hyperlink>
    </w:p>
    <w:p w14:paraId="3A5B8C71" w14:textId="4BF02C98" w:rsidR="00023E71" w:rsidRDefault="00253107">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34" w:history="1">
        <w:r w:rsidR="00023E71" w:rsidRPr="00DE50CF">
          <w:rPr>
            <w:rStyle w:val="Hyperlink"/>
            <w:noProof/>
            <w:lang w:val="fr-BE"/>
          </w:rPr>
          <w:t>STATEMENT OF FINANCIAL PERFORMANCE</w:t>
        </w:r>
        <w:r w:rsidR="00023E71">
          <w:rPr>
            <w:noProof/>
            <w:webHidden/>
          </w:rPr>
          <w:tab/>
        </w:r>
        <w:r w:rsidR="00023E71">
          <w:rPr>
            <w:noProof/>
            <w:webHidden/>
          </w:rPr>
          <w:fldChar w:fldCharType="begin"/>
        </w:r>
        <w:r w:rsidR="00023E71">
          <w:rPr>
            <w:noProof/>
            <w:webHidden/>
          </w:rPr>
          <w:instrText xml:space="preserve"> PAGEREF _Toc232438934 \h </w:instrText>
        </w:r>
        <w:r w:rsidR="00023E71">
          <w:rPr>
            <w:noProof/>
            <w:webHidden/>
          </w:rPr>
        </w:r>
        <w:r w:rsidR="00023E71">
          <w:rPr>
            <w:noProof/>
            <w:webHidden/>
          </w:rPr>
          <w:fldChar w:fldCharType="separate"/>
        </w:r>
        <w:r w:rsidR="00BF2400">
          <w:rPr>
            <w:noProof/>
            <w:webHidden/>
          </w:rPr>
          <w:t>37</w:t>
        </w:r>
        <w:r w:rsidR="00023E71">
          <w:rPr>
            <w:noProof/>
            <w:webHidden/>
          </w:rPr>
          <w:fldChar w:fldCharType="end"/>
        </w:r>
      </w:hyperlink>
    </w:p>
    <w:p w14:paraId="6527ABDB" w14:textId="3AA6C415" w:rsidR="00023E71" w:rsidRDefault="00253107">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35" w:history="1">
        <w:r w:rsidR="00023E71" w:rsidRPr="00DE50CF">
          <w:rPr>
            <w:rStyle w:val="Hyperlink"/>
            <w:noProof/>
            <w:lang w:val="fr-BE"/>
          </w:rPr>
          <w:t>CASHFLOW STATEMENT</w:t>
        </w:r>
        <w:r w:rsidR="00023E71">
          <w:rPr>
            <w:noProof/>
            <w:webHidden/>
          </w:rPr>
          <w:tab/>
        </w:r>
        <w:r w:rsidR="00023E71">
          <w:rPr>
            <w:noProof/>
            <w:webHidden/>
          </w:rPr>
          <w:fldChar w:fldCharType="begin"/>
        </w:r>
        <w:r w:rsidR="00023E71">
          <w:rPr>
            <w:noProof/>
            <w:webHidden/>
          </w:rPr>
          <w:instrText xml:space="preserve"> PAGEREF _Toc232438935 \h </w:instrText>
        </w:r>
        <w:r w:rsidR="00023E71">
          <w:rPr>
            <w:noProof/>
            <w:webHidden/>
          </w:rPr>
        </w:r>
        <w:r w:rsidR="00023E71">
          <w:rPr>
            <w:noProof/>
            <w:webHidden/>
          </w:rPr>
          <w:fldChar w:fldCharType="separate"/>
        </w:r>
        <w:r w:rsidR="00BF2400">
          <w:rPr>
            <w:noProof/>
            <w:webHidden/>
          </w:rPr>
          <w:t>38</w:t>
        </w:r>
        <w:r w:rsidR="00023E71">
          <w:rPr>
            <w:noProof/>
            <w:webHidden/>
          </w:rPr>
          <w:fldChar w:fldCharType="end"/>
        </w:r>
      </w:hyperlink>
    </w:p>
    <w:p w14:paraId="3DF8E479" w14:textId="07FCFCF3" w:rsidR="00023E71" w:rsidRDefault="00253107">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36" w:history="1">
        <w:r w:rsidR="00023E71" w:rsidRPr="00DE50CF">
          <w:rPr>
            <w:rStyle w:val="Hyperlink"/>
            <w:noProof/>
          </w:rPr>
          <w:t>STATEMENT OF CHANGES IN NET ASSETS</w:t>
        </w:r>
        <w:r w:rsidR="00023E71">
          <w:rPr>
            <w:noProof/>
            <w:webHidden/>
          </w:rPr>
          <w:tab/>
        </w:r>
        <w:r w:rsidR="00023E71">
          <w:rPr>
            <w:noProof/>
            <w:webHidden/>
          </w:rPr>
          <w:fldChar w:fldCharType="begin"/>
        </w:r>
        <w:r w:rsidR="00023E71">
          <w:rPr>
            <w:noProof/>
            <w:webHidden/>
          </w:rPr>
          <w:instrText xml:space="preserve"> PAGEREF _Toc232438936 \h </w:instrText>
        </w:r>
        <w:r w:rsidR="00023E71">
          <w:rPr>
            <w:noProof/>
            <w:webHidden/>
          </w:rPr>
        </w:r>
        <w:r w:rsidR="00023E71">
          <w:rPr>
            <w:noProof/>
            <w:webHidden/>
          </w:rPr>
          <w:fldChar w:fldCharType="separate"/>
        </w:r>
        <w:r w:rsidR="00BF2400">
          <w:rPr>
            <w:noProof/>
            <w:webHidden/>
          </w:rPr>
          <w:t>39</w:t>
        </w:r>
        <w:r w:rsidR="00023E71">
          <w:rPr>
            <w:noProof/>
            <w:webHidden/>
          </w:rPr>
          <w:fldChar w:fldCharType="end"/>
        </w:r>
      </w:hyperlink>
    </w:p>
    <w:p w14:paraId="1061CFB9" w14:textId="32576E40" w:rsidR="00023E71" w:rsidRDefault="00253107">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37" w:history="1">
        <w:r w:rsidR="00023E71" w:rsidRPr="00DE50CF">
          <w:rPr>
            <w:rStyle w:val="Hyperlink"/>
            <w:rFonts w:eastAsia="Calibri"/>
            <w:noProof/>
            <w:lang w:val="en-IE"/>
          </w:rPr>
          <w:t>NOTES TO THE FINANCIAL STATEMENTS</w:t>
        </w:r>
        <w:r w:rsidR="00023E71">
          <w:rPr>
            <w:noProof/>
            <w:webHidden/>
          </w:rPr>
          <w:tab/>
        </w:r>
        <w:r w:rsidR="00023E71">
          <w:rPr>
            <w:noProof/>
            <w:webHidden/>
          </w:rPr>
          <w:fldChar w:fldCharType="begin"/>
        </w:r>
        <w:r w:rsidR="00023E71">
          <w:rPr>
            <w:noProof/>
            <w:webHidden/>
          </w:rPr>
          <w:instrText xml:space="preserve"> PAGEREF _Toc232438937 \h </w:instrText>
        </w:r>
        <w:r w:rsidR="00023E71">
          <w:rPr>
            <w:noProof/>
            <w:webHidden/>
          </w:rPr>
        </w:r>
        <w:r w:rsidR="00023E71">
          <w:rPr>
            <w:noProof/>
            <w:webHidden/>
          </w:rPr>
          <w:fldChar w:fldCharType="separate"/>
        </w:r>
        <w:r w:rsidR="00BF2400">
          <w:rPr>
            <w:noProof/>
            <w:webHidden/>
          </w:rPr>
          <w:t>40</w:t>
        </w:r>
        <w:r w:rsidR="00023E71">
          <w:rPr>
            <w:noProof/>
            <w:webHidden/>
          </w:rPr>
          <w:fldChar w:fldCharType="end"/>
        </w:r>
      </w:hyperlink>
    </w:p>
    <w:p w14:paraId="136AB6EA" w14:textId="7DDDABC4"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38" w:history="1">
        <w:r w:rsidR="00023E71" w:rsidRPr="00DE50CF">
          <w:rPr>
            <w:rStyle w:val="Hyperlink"/>
            <w:noProof/>
            <w:lang w:val="fr-BE"/>
          </w:rPr>
          <w:t>1.</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noProof/>
          </w:rPr>
          <w:t>SIGNIFICANT</w:t>
        </w:r>
        <w:r w:rsidR="00023E71" w:rsidRPr="00DE50CF">
          <w:rPr>
            <w:rStyle w:val="Hyperlink"/>
            <w:noProof/>
            <w:lang w:val="fr-BE"/>
          </w:rPr>
          <w:t xml:space="preserve"> ACCOUNTING POLICIES</w:t>
        </w:r>
        <w:r w:rsidR="00023E71">
          <w:rPr>
            <w:noProof/>
            <w:webHidden/>
          </w:rPr>
          <w:tab/>
        </w:r>
        <w:r w:rsidR="00023E71">
          <w:rPr>
            <w:noProof/>
            <w:webHidden/>
          </w:rPr>
          <w:fldChar w:fldCharType="begin"/>
        </w:r>
        <w:r w:rsidR="00023E71">
          <w:rPr>
            <w:noProof/>
            <w:webHidden/>
          </w:rPr>
          <w:instrText xml:space="preserve"> PAGEREF _Toc232438938 \h </w:instrText>
        </w:r>
        <w:r w:rsidR="00023E71">
          <w:rPr>
            <w:noProof/>
            <w:webHidden/>
          </w:rPr>
        </w:r>
        <w:r w:rsidR="00023E71">
          <w:rPr>
            <w:noProof/>
            <w:webHidden/>
          </w:rPr>
          <w:fldChar w:fldCharType="separate"/>
        </w:r>
        <w:r w:rsidR="00BF2400">
          <w:rPr>
            <w:noProof/>
            <w:webHidden/>
          </w:rPr>
          <w:t>41</w:t>
        </w:r>
        <w:r w:rsidR="00023E71">
          <w:rPr>
            <w:noProof/>
            <w:webHidden/>
          </w:rPr>
          <w:fldChar w:fldCharType="end"/>
        </w:r>
      </w:hyperlink>
    </w:p>
    <w:p w14:paraId="7FF7E627" w14:textId="012CBEF9"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39" w:history="1">
        <w:r w:rsidR="00023E71" w:rsidRPr="00DE50CF">
          <w:rPr>
            <w:rStyle w:val="Hyperlink"/>
            <w:noProof/>
            <w:lang w:val="fr-BE"/>
          </w:rPr>
          <w:t>2.</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noProof/>
            <w:lang w:val="fr-BE"/>
          </w:rPr>
          <w:t>NOTES TO THE BALANCE SHEET</w:t>
        </w:r>
        <w:r w:rsidR="00023E71">
          <w:rPr>
            <w:noProof/>
            <w:webHidden/>
          </w:rPr>
          <w:tab/>
        </w:r>
        <w:r w:rsidR="00023E71">
          <w:rPr>
            <w:noProof/>
            <w:webHidden/>
          </w:rPr>
          <w:fldChar w:fldCharType="begin"/>
        </w:r>
        <w:r w:rsidR="00023E71">
          <w:rPr>
            <w:noProof/>
            <w:webHidden/>
          </w:rPr>
          <w:instrText xml:space="preserve"> PAGEREF _Toc232438939 \h </w:instrText>
        </w:r>
        <w:r w:rsidR="00023E71">
          <w:rPr>
            <w:noProof/>
            <w:webHidden/>
          </w:rPr>
        </w:r>
        <w:r w:rsidR="00023E71">
          <w:rPr>
            <w:noProof/>
            <w:webHidden/>
          </w:rPr>
          <w:fldChar w:fldCharType="separate"/>
        </w:r>
        <w:r w:rsidR="00BF2400">
          <w:rPr>
            <w:noProof/>
            <w:webHidden/>
          </w:rPr>
          <w:t>59</w:t>
        </w:r>
        <w:r w:rsidR="00023E71">
          <w:rPr>
            <w:noProof/>
            <w:webHidden/>
          </w:rPr>
          <w:fldChar w:fldCharType="end"/>
        </w:r>
      </w:hyperlink>
    </w:p>
    <w:p w14:paraId="64455A61" w14:textId="6ADC56DA"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40" w:history="1">
        <w:r w:rsidR="00023E71" w:rsidRPr="00DE50CF">
          <w:rPr>
            <w:rStyle w:val="Hyperlink"/>
            <w:noProof/>
          </w:rPr>
          <w:t>3.</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noProof/>
          </w:rPr>
          <w:t>NOTES TO THE STATEMENT OF FINANCIAL PERFORMANCE</w:t>
        </w:r>
        <w:r w:rsidR="00023E71">
          <w:rPr>
            <w:noProof/>
            <w:webHidden/>
          </w:rPr>
          <w:tab/>
        </w:r>
        <w:r w:rsidR="00023E71">
          <w:rPr>
            <w:noProof/>
            <w:webHidden/>
          </w:rPr>
          <w:fldChar w:fldCharType="begin"/>
        </w:r>
        <w:r w:rsidR="00023E71">
          <w:rPr>
            <w:noProof/>
            <w:webHidden/>
          </w:rPr>
          <w:instrText xml:space="preserve"> PAGEREF _Toc232438940 \h </w:instrText>
        </w:r>
        <w:r w:rsidR="00023E71">
          <w:rPr>
            <w:noProof/>
            <w:webHidden/>
          </w:rPr>
        </w:r>
        <w:r w:rsidR="00023E71">
          <w:rPr>
            <w:noProof/>
            <w:webHidden/>
          </w:rPr>
          <w:fldChar w:fldCharType="separate"/>
        </w:r>
        <w:r w:rsidR="00BF2400">
          <w:rPr>
            <w:noProof/>
            <w:webHidden/>
          </w:rPr>
          <w:t>98</w:t>
        </w:r>
        <w:r w:rsidR="00023E71">
          <w:rPr>
            <w:noProof/>
            <w:webHidden/>
          </w:rPr>
          <w:fldChar w:fldCharType="end"/>
        </w:r>
      </w:hyperlink>
    </w:p>
    <w:p w14:paraId="53A930F3" w14:textId="6CB35C41"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41" w:history="1">
        <w:r w:rsidR="00023E71" w:rsidRPr="00DE50CF">
          <w:rPr>
            <w:rStyle w:val="Hyperlink"/>
            <w:noProof/>
          </w:rPr>
          <w:t>4.</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noProof/>
          </w:rPr>
          <w:t>CONTINGENT LIABILITIES AND ASSETS</w:t>
        </w:r>
        <w:r w:rsidR="00023E71">
          <w:rPr>
            <w:noProof/>
            <w:webHidden/>
          </w:rPr>
          <w:tab/>
        </w:r>
        <w:r w:rsidR="00023E71">
          <w:rPr>
            <w:noProof/>
            <w:webHidden/>
          </w:rPr>
          <w:fldChar w:fldCharType="begin"/>
        </w:r>
        <w:r w:rsidR="00023E71">
          <w:rPr>
            <w:noProof/>
            <w:webHidden/>
          </w:rPr>
          <w:instrText xml:space="preserve"> PAGEREF _Toc232438941 \h </w:instrText>
        </w:r>
        <w:r w:rsidR="00023E71">
          <w:rPr>
            <w:noProof/>
            <w:webHidden/>
          </w:rPr>
        </w:r>
        <w:r w:rsidR="00023E71">
          <w:rPr>
            <w:noProof/>
            <w:webHidden/>
          </w:rPr>
          <w:fldChar w:fldCharType="separate"/>
        </w:r>
        <w:r w:rsidR="00BF2400">
          <w:rPr>
            <w:noProof/>
            <w:webHidden/>
          </w:rPr>
          <w:t>107</w:t>
        </w:r>
        <w:r w:rsidR="00023E71">
          <w:rPr>
            <w:noProof/>
            <w:webHidden/>
          </w:rPr>
          <w:fldChar w:fldCharType="end"/>
        </w:r>
      </w:hyperlink>
    </w:p>
    <w:p w14:paraId="1CC7C1D5" w14:textId="0B54A79A"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42" w:history="1">
        <w:r w:rsidR="00023E71" w:rsidRPr="00DE50CF">
          <w:rPr>
            <w:rStyle w:val="Hyperlink"/>
            <w:noProof/>
          </w:rPr>
          <w:t>5.</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noProof/>
          </w:rPr>
          <w:t>BUDGETARY AND LEGAL COMMITMENTS</w:t>
        </w:r>
        <w:r w:rsidR="00023E71">
          <w:rPr>
            <w:noProof/>
            <w:webHidden/>
          </w:rPr>
          <w:tab/>
        </w:r>
        <w:r w:rsidR="00023E71">
          <w:rPr>
            <w:noProof/>
            <w:webHidden/>
          </w:rPr>
          <w:fldChar w:fldCharType="begin"/>
        </w:r>
        <w:r w:rsidR="00023E71">
          <w:rPr>
            <w:noProof/>
            <w:webHidden/>
          </w:rPr>
          <w:instrText xml:space="preserve"> PAGEREF _Toc232438942 \h </w:instrText>
        </w:r>
        <w:r w:rsidR="00023E71">
          <w:rPr>
            <w:noProof/>
            <w:webHidden/>
          </w:rPr>
        </w:r>
        <w:r w:rsidR="00023E71">
          <w:rPr>
            <w:noProof/>
            <w:webHidden/>
          </w:rPr>
          <w:fldChar w:fldCharType="separate"/>
        </w:r>
        <w:r w:rsidR="00BF2400">
          <w:rPr>
            <w:noProof/>
            <w:webHidden/>
          </w:rPr>
          <w:t>113</w:t>
        </w:r>
        <w:r w:rsidR="00023E71">
          <w:rPr>
            <w:noProof/>
            <w:webHidden/>
          </w:rPr>
          <w:fldChar w:fldCharType="end"/>
        </w:r>
      </w:hyperlink>
    </w:p>
    <w:p w14:paraId="3663BCE8" w14:textId="73B5D063"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43" w:history="1">
        <w:r w:rsidR="00023E71" w:rsidRPr="00DE50CF">
          <w:rPr>
            <w:rStyle w:val="Hyperlink"/>
            <w:noProof/>
          </w:rPr>
          <w:t>6.</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noProof/>
          </w:rPr>
          <w:t>FINANCIAL RISK MANAGEMENT</w:t>
        </w:r>
        <w:r w:rsidR="00023E71">
          <w:rPr>
            <w:noProof/>
            <w:webHidden/>
          </w:rPr>
          <w:tab/>
        </w:r>
        <w:r w:rsidR="00023E71">
          <w:rPr>
            <w:noProof/>
            <w:webHidden/>
          </w:rPr>
          <w:fldChar w:fldCharType="begin"/>
        </w:r>
        <w:r w:rsidR="00023E71">
          <w:rPr>
            <w:noProof/>
            <w:webHidden/>
          </w:rPr>
          <w:instrText xml:space="preserve"> PAGEREF _Toc232438943 \h </w:instrText>
        </w:r>
        <w:r w:rsidR="00023E71">
          <w:rPr>
            <w:noProof/>
            <w:webHidden/>
          </w:rPr>
        </w:r>
        <w:r w:rsidR="00023E71">
          <w:rPr>
            <w:noProof/>
            <w:webHidden/>
          </w:rPr>
          <w:fldChar w:fldCharType="separate"/>
        </w:r>
        <w:r w:rsidR="00BF2400">
          <w:rPr>
            <w:noProof/>
            <w:webHidden/>
          </w:rPr>
          <w:t>118</w:t>
        </w:r>
        <w:r w:rsidR="00023E71">
          <w:rPr>
            <w:noProof/>
            <w:webHidden/>
          </w:rPr>
          <w:fldChar w:fldCharType="end"/>
        </w:r>
      </w:hyperlink>
    </w:p>
    <w:p w14:paraId="2B52D06C" w14:textId="7616F033"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44" w:history="1">
        <w:r w:rsidR="00023E71" w:rsidRPr="00DE50CF">
          <w:rPr>
            <w:rStyle w:val="Hyperlink"/>
            <w:noProof/>
          </w:rPr>
          <w:t>7.</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noProof/>
          </w:rPr>
          <w:t>RELATED PARTY DISCLOSURES</w:t>
        </w:r>
        <w:r w:rsidR="00023E71">
          <w:rPr>
            <w:noProof/>
            <w:webHidden/>
          </w:rPr>
          <w:tab/>
        </w:r>
        <w:r w:rsidR="00023E71">
          <w:rPr>
            <w:noProof/>
            <w:webHidden/>
          </w:rPr>
          <w:fldChar w:fldCharType="begin"/>
        </w:r>
        <w:r w:rsidR="00023E71">
          <w:rPr>
            <w:noProof/>
            <w:webHidden/>
          </w:rPr>
          <w:instrText xml:space="preserve"> PAGEREF _Toc232438944 \h </w:instrText>
        </w:r>
        <w:r w:rsidR="00023E71">
          <w:rPr>
            <w:noProof/>
            <w:webHidden/>
          </w:rPr>
        </w:r>
        <w:r w:rsidR="00023E71">
          <w:rPr>
            <w:noProof/>
            <w:webHidden/>
          </w:rPr>
          <w:fldChar w:fldCharType="separate"/>
        </w:r>
        <w:r w:rsidR="00BF2400">
          <w:rPr>
            <w:noProof/>
            <w:webHidden/>
          </w:rPr>
          <w:t>135</w:t>
        </w:r>
        <w:r w:rsidR="00023E71">
          <w:rPr>
            <w:noProof/>
            <w:webHidden/>
          </w:rPr>
          <w:fldChar w:fldCharType="end"/>
        </w:r>
      </w:hyperlink>
    </w:p>
    <w:p w14:paraId="2312854B" w14:textId="33499A56"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45" w:history="1">
        <w:r w:rsidR="00023E71" w:rsidRPr="00DE50CF">
          <w:rPr>
            <w:rStyle w:val="Hyperlink"/>
            <w:rFonts w:eastAsia="Calibri"/>
            <w:noProof/>
          </w:rPr>
          <w:t>8.</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rFonts w:eastAsia="Calibri"/>
            <w:noProof/>
          </w:rPr>
          <w:t>EVENTS AFTER THE BALANCE SHEET DATE</w:t>
        </w:r>
        <w:r w:rsidR="00023E71">
          <w:rPr>
            <w:noProof/>
            <w:webHidden/>
          </w:rPr>
          <w:tab/>
        </w:r>
        <w:r w:rsidR="00023E71">
          <w:rPr>
            <w:noProof/>
            <w:webHidden/>
          </w:rPr>
          <w:fldChar w:fldCharType="begin"/>
        </w:r>
        <w:r w:rsidR="00023E71">
          <w:rPr>
            <w:noProof/>
            <w:webHidden/>
          </w:rPr>
          <w:instrText xml:space="preserve"> PAGEREF _Toc232438945 \h </w:instrText>
        </w:r>
        <w:r w:rsidR="00023E71">
          <w:rPr>
            <w:noProof/>
            <w:webHidden/>
          </w:rPr>
        </w:r>
        <w:r w:rsidR="00023E71">
          <w:rPr>
            <w:noProof/>
            <w:webHidden/>
          </w:rPr>
          <w:fldChar w:fldCharType="separate"/>
        </w:r>
        <w:r w:rsidR="00BF2400">
          <w:rPr>
            <w:noProof/>
            <w:webHidden/>
          </w:rPr>
          <w:t>137</w:t>
        </w:r>
        <w:r w:rsidR="00023E71">
          <w:rPr>
            <w:noProof/>
            <w:webHidden/>
          </w:rPr>
          <w:fldChar w:fldCharType="end"/>
        </w:r>
      </w:hyperlink>
    </w:p>
    <w:p w14:paraId="189061B8" w14:textId="3844E32D" w:rsidR="00023E71" w:rsidRDefault="00253107">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2438946" w:history="1">
        <w:r w:rsidR="00023E71" w:rsidRPr="00DE50CF">
          <w:rPr>
            <w:rStyle w:val="Hyperlink"/>
            <w:noProof/>
          </w:rPr>
          <w:t>9.</w:t>
        </w:r>
        <w:r w:rsidR="00023E71">
          <w:rPr>
            <w:rFonts w:asciiTheme="minorHAnsi" w:eastAsiaTheme="minorEastAsia" w:hAnsiTheme="minorHAnsi" w:cstheme="minorBidi"/>
            <w:noProof/>
            <w:color w:val="auto"/>
            <w:kern w:val="2"/>
            <w:sz w:val="24"/>
            <w:lang w:val="en-IE" w:eastAsia="en-IE"/>
            <w14:ligatures w14:val="standardContextual"/>
          </w:rPr>
          <w:tab/>
        </w:r>
        <w:r w:rsidR="00023E71" w:rsidRPr="00DE50CF">
          <w:rPr>
            <w:rStyle w:val="Hyperlink"/>
            <w:noProof/>
          </w:rPr>
          <w:t>SCOPE OF CONSOLIDATION</w:t>
        </w:r>
        <w:r w:rsidR="00023E71">
          <w:rPr>
            <w:noProof/>
            <w:webHidden/>
          </w:rPr>
          <w:tab/>
        </w:r>
        <w:r w:rsidR="00023E71">
          <w:rPr>
            <w:noProof/>
            <w:webHidden/>
          </w:rPr>
          <w:fldChar w:fldCharType="begin"/>
        </w:r>
        <w:r w:rsidR="00023E71">
          <w:rPr>
            <w:noProof/>
            <w:webHidden/>
          </w:rPr>
          <w:instrText xml:space="preserve"> PAGEREF _Toc232438946 \h </w:instrText>
        </w:r>
        <w:r w:rsidR="00023E71">
          <w:rPr>
            <w:noProof/>
            <w:webHidden/>
          </w:rPr>
        </w:r>
        <w:r w:rsidR="00023E71">
          <w:rPr>
            <w:noProof/>
            <w:webHidden/>
          </w:rPr>
          <w:fldChar w:fldCharType="separate"/>
        </w:r>
        <w:r w:rsidR="00BF2400">
          <w:rPr>
            <w:noProof/>
            <w:webHidden/>
          </w:rPr>
          <w:t>138</w:t>
        </w:r>
        <w:r w:rsidR="00023E71">
          <w:rPr>
            <w:noProof/>
            <w:webHidden/>
          </w:rPr>
          <w:fldChar w:fldCharType="end"/>
        </w:r>
      </w:hyperlink>
    </w:p>
    <w:p w14:paraId="5A692F60" w14:textId="760190A7" w:rsidR="00984F6B" w:rsidRDefault="00023E71" w:rsidP="00C20239">
      <w:pPr>
        <w:pStyle w:val="Textstand-alone"/>
        <w:sectPr w:rsidR="00984F6B" w:rsidSect="00984F6B">
          <w:headerReference w:type="default" r:id="rId49"/>
          <w:footerReference w:type="default" r:id="rId50"/>
          <w:pgSz w:w="11906" w:h="16838"/>
          <w:pgMar w:top="1134" w:right="1134" w:bottom="1134" w:left="1134" w:header="709" w:footer="709" w:gutter="0"/>
          <w:cols w:space="708"/>
          <w:docGrid w:linePitch="360"/>
        </w:sectPr>
      </w:pPr>
      <w:r>
        <w:rPr>
          <w:color w:val="016894"/>
          <w:sz w:val="20"/>
          <w:szCs w:val="24"/>
        </w:rPr>
        <w:fldChar w:fldCharType="end"/>
      </w:r>
      <w:r>
        <w:rPr>
          <w:caps/>
          <w:color w:val="016894"/>
          <w:sz w:val="20"/>
          <w:szCs w:val="24"/>
        </w:rPr>
        <w:t xml:space="preserve"> </w:t>
      </w:r>
      <w:bookmarkEnd w:id="54"/>
    </w:p>
    <w:p w14:paraId="104B6D8A" w14:textId="77777777" w:rsidR="00E61EE9" w:rsidRDefault="00023E71" w:rsidP="00985A14">
      <w:pPr>
        <w:pStyle w:val="HEADERTITLE1"/>
        <w:spacing w:after="0"/>
        <w:rPr>
          <w:lang w:val="fr-BE"/>
        </w:rPr>
      </w:pPr>
      <w:bookmarkStart w:id="55" w:name="_Toc232438933"/>
      <w:bookmarkStart w:id="56" w:name="_Toc232674973"/>
      <w:bookmarkStart w:id="57" w:name="_DMBM_36702"/>
      <w:r>
        <w:rPr>
          <w:lang w:val="fr-BE"/>
        </w:rPr>
        <w:t>BALANCE SHEET</w:t>
      </w:r>
      <w:bookmarkEnd w:id="55"/>
      <w:bookmarkEnd w:id="56"/>
    </w:p>
    <w:p w14:paraId="38B5FDAE" w14:textId="77777777" w:rsidR="00E61EE9" w:rsidRDefault="00E61EE9" w:rsidP="00E61EE9">
      <w:pPr>
        <w:pStyle w:val="HEADERTITLE1"/>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9"/>
        <w:gridCol w:w="1363"/>
        <w:gridCol w:w="1363"/>
        <w:gridCol w:w="1363"/>
      </w:tblGrid>
      <w:tr w:rsidR="00807FFE" w14:paraId="0C483E99"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38D1DF0B" w14:textId="77777777" w:rsidR="00807FFE" w:rsidRDefault="00807FFE">
            <w:pPr>
              <w:pStyle w:val="DMETW36743BIPBS"/>
              <w:rPr>
                <w:rFonts w:ascii="Verdana" w:eastAsia="Verdana" w:hAnsi="Verdana" w:cs="Verdana"/>
                <w:i/>
                <w:noProof/>
                <w:color w:val="FFFFFF"/>
                <w:sz w:val="16"/>
                <w:lang w:bidi="en-GB"/>
              </w:rPr>
            </w:pPr>
            <w:bookmarkStart w:id="58" w:name="DOC_TBL00001_1_1"/>
            <w:bookmarkEnd w:id="58"/>
          </w:p>
        </w:tc>
        <w:tc>
          <w:tcPr>
            <w:tcW w:w="1363" w:type="dxa"/>
            <w:tcBorders>
              <w:top w:val="nil"/>
              <w:left w:val="nil"/>
              <w:bottom w:val="nil"/>
              <w:right w:val="nil"/>
              <w:tl2br w:val="nil"/>
              <w:tr2bl w:val="nil"/>
            </w:tcBorders>
            <w:tcMar>
              <w:left w:w="60" w:type="dxa"/>
              <w:right w:w="60" w:type="dxa"/>
            </w:tcMar>
            <w:vAlign w:val="bottom"/>
          </w:tcPr>
          <w:p w14:paraId="666672E0" w14:textId="77777777" w:rsidR="00807FFE" w:rsidRDefault="00807FFE">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bottom"/>
          </w:tcPr>
          <w:p w14:paraId="0351D8F7" w14:textId="77777777" w:rsidR="00807FFE" w:rsidRDefault="00807FFE">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bottom"/>
          </w:tcPr>
          <w:p w14:paraId="75FD2A2F" w14:textId="77777777" w:rsidR="00807FFE" w:rsidRDefault="00023E71">
            <w:pPr>
              <w:pStyle w:val="DMETW36743BIPBS"/>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EUR million</w:t>
            </w:r>
          </w:p>
        </w:tc>
      </w:tr>
      <w:tr w:rsidR="00807FFE" w14:paraId="66E79039" w14:textId="77777777">
        <w:trPr>
          <w:trHeight w:hRule="exact" w:val="255"/>
        </w:trPr>
        <w:tc>
          <w:tcPr>
            <w:tcW w:w="5669" w:type="dxa"/>
            <w:tcBorders>
              <w:top w:val="nil"/>
              <w:left w:val="nil"/>
              <w:bottom w:val="nil"/>
              <w:right w:val="nil"/>
              <w:tl2br w:val="nil"/>
              <w:tr2bl w:val="nil"/>
            </w:tcBorders>
            <w:shd w:val="solid" w:color="016794" w:fill="FFFFFF"/>
            <w:tcMar>
              <w:left w:w="60" w:type="dxa"/>
              <w:right w:w="60" w:type="dxa"/>
            </w:tcMar>
            <w:vAlign w:val="center"/>
          </w:tcPr>
          <w:p w14:paraId="4A961ED1" w14:textId="77777777" w:rsidR="00807FFE" w:rsidRDefault="00807FFE">
            <w:pPr>
              <w:pStyle w:val="DMETW36743BIPBS"/>
              <w:rPr>
                <w:rFonts w:ascii="Verdana" w:eastAsia="Verdana" w:hAnsi="Verdana" w:cs="Verdana"/>
                <w:noProof/>
                <w:color w:val="FFFFFF"/>
              </w:rPr>
            </w:pPr>
          </w:p>
        </w:tc>
        <w:tc>
          <w:tcPr>
            <w:tcW w:w="1363" w:type="dxa"/>
            <w:tcBorders>
              <w:top w:val="nil"/>
              <w:left w:val="nil"/>
              <w:bottom w:val="nil"/>
              <w:right w:val="nil"/>
              <w:tl2br w:val="nil"/>
              <w:tr2bl w:val="nil"/>
            </w:tcBorders>
            <w:shd w:val="solid" w:color="016794" w:fill="FFFFFF"/>
            <w:tcMar>
              <w:left w:w="60" w:type="dxa"/>
              <w:right w:w="60" w:type="dxa"/>
            </w:tcMar>
            <w:vAlign w:val="center"/>
          </w:tcPr>
          <w:p w14:paraId="7C290A58" w14:textId="77777777" w:rsidR="00807FFE" w:rsidRDefault="00023E71">
            <w:pPr>
              <w:pStyle w:val="DMETW36743BIPBS"/>
              <w:jc w:val="center"/>
              <w:rPr>
                <w:rFonts w:ascii="Verdana" w:eastAsia="Verdana" w:hAnsi="Verdana" w:cs="Verdana"/>
                <w:noProof/>
                <w:color w:val="FFFFFF"/>
              </w:rPr>
            </w:pPr>
            <w:r>
              <w:rPr>
                <w:rFonts w:ascii="Verdana" w:eastAsia="Verdana" w:hAnsi="Verdana" w:cs="Verdana"/>
                <w:noProof/>
                <w:color w:val="FFFFFF"/>
              </w:rPr>
              <w:t>Note</w:t>
            </w:r>
          </w:p>
        </w:tc>
        <w:tc>
          <w:tcPr>
            <w:tcW w:w="1363" w:type="dxa"/>
            <w:tcBorders>
              <w:top w:val="nil"/>
              <w:left w:val="nil"/>
              <w:bottom w:val="nil"/>
              <w:right w:val="nil"/>
              <w:tl2br w:val="nil"/>
              <w:tr2bl w:val="nil"/>
            </w:tcBorders>
            <w:shd w:val="solid" w:color="016794" w:fill="FFFFFF"/>
            <w:tcMar>
              <w:left w:w="60" w:type="dxa"/>
              <w:right w:w="60" w:type="dxa"/>
            </w:tcMar>
            <w:vAlign w:val="center"/>
          </w:tcPr>
          <w:p w14:paraId="4D7ECAAE" w14:textId="77777777" w:rsidR="00807FFE" w:rsidRDefault="00023E71">
            <w:pPr>
              <w:pStyle w:val="DMETW36743BIPBS"/>
              <w:jc w:val="right"/>
              <w:rPr>
                <w:rFonts w:ascii="Verdana" w:eastAsia="Verdana" w:hAnsi="Verdana" w:cs="Verdana"/>
                <w:noProof/>
                <w:color w:val="FFFFFF"/>
              </w:rPr>
            </w:pPr>
            <w:r>
              <w:rPr>
                <w:rFonts w:ascii="Verdana" w:eastAsia="Verdana" w:hAnsi="Verdana" w:cs="Verdana"/>
                <w:noProof/>
                <w:color w:val="FFFFFF"/>
              </w:rPr>
              <w:t>31.12.2025</w:t>
            </w:r>
          </w:p>
        </w:tc>
        <w:tc>
          <w:tcPr>
            <w:tcW w:w="1363" w:type="dxa"/>
            <w:tcBorders>
              <w:top w:val="nil"/>
              <w:left w:val="nil"/>
              <w:bottom w:val="nil"/>
              <w:right w:val="nil"/>
              <w:tl2br w:val="nil"/>
              <w:tr2bl w:val="nil"/>
            </w:tcBorders>
            <w:shd w:val="solid" w:color="016794" w:fill="FFFFFF"/>
            <w:tcMar>
              <w:left w:w="60" w:type="dxa"/>
              <w:right w:w="60" w:type="dxa"/>
            </w:tcMar>
            <w:vAlign w:val="center"/>
          </w:tcPr>
          <w:p w14:paraId="143240AB" w14:textId="77777777" w:rsidR="00807FFE" w:rsidRDefault="00023E71">
            <w:pPr>
              <w:pStyle w:val="DMETW36743BIPB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232832DD"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5C94CC12" w14:textId="77777777" w:rsidR="00807FFE" w:rsidRDefault="00023E71">
            <w:pPr>
              <w:pStyle w:val="DMETW36743BIPBS"/>
              <w:rPr>
                <w:rFonts w:ascii="Verdana" w:eastAsia="Verdana" w:hAnsi="Verdana" w:cs="Verdana"/>
                <w:b/>
                <w:noProof/>
                <w:color w:val="000000"/>
                <w:sz w:val="18"/>
              </w:rPr>
            </w:pPr>
            <w:r>
              <w:rPr>
                <w:rFonts w:ascii="Verdana" w:eastAsia="Verdana" w:hAnsi="Verdana" w:cs="Verdana"/>
                <w:b/>
                <w:noProof/>
                <w:color w:val="000000"/>
                <w:sz w:val="18"/>
              </w:rPr>
              <w:t>NON-CURRENT ASSETS</w:t>
            </w:r>
          </w:p>
        </w:tc>
        <w:tc>
          <w:tcPr>
            <w:tcW w:w="1363" w:type="dxa"/>
            <w:tcBorders>
              <w:top w:val="nil"/>
              <w:left w:val="nil"/>
              <w:bottom w:val="nil"/>
              <w:right w:val="nil"/>
              <w:tl2br w:val="nil"/>
              <w:tr2bl w:val="nil"/>
            </w:tcBorders>
            <w:tcMar>
              <w:left w:w="60" w:type="dxa"/>
              <w:right w:w="60" w:type="dxa"/>
            </w:tcMar>
            <w:vAlign w:val="center"/>
          </w:tcPr>
          <w:p w14:paraId="5365C7EC" w14:textId="77777777" w:rsidR="00807FFE" w:rsidRDefault="00807FFE">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02B38C78" w14:textId="77777777" w:rsidR="00807FFE" w:rsidRDefault="00807FFE">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center"/>
          </w:tcPr>
          <w:p w14:paraId="3D208201" w14:textId="77777777" w:rsidR="00807FFE" w:rsidRDefault="00807FFE">
            <w:pPr>
              <w:pStyle w:val="DMETW36743BIPBS"/>
              <w:rPr>
                <w:rFonts w:ascii="Arial" w:eastAsia="Arial" w:hAnsi="Arial" w:cs="Arial"/>
                <w:noProof/>
                <w:color w:val="000000"/>
                <w:lang w:bidi="en-GB"/>
              </w:rPr>
            </w:pPr>
          </w:p>
        </w:tc>
      </w:tr>
      <w:tr w:rsidR="00807FFE" w14:paraId="736CB098"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5834123D"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Intangible assets</w:t>
            </w:r>
          </w:p>
        </w:tc>
        <w:tc>
          <w:tcPr>
            <w:tcW w:w="1363" w:type="dxa"/>
            <w:tcBorders>
              <w:top w:val="nil"/>
              <w:left w:val="nil"/>
              <w:bottom w:val="nil"/>
              <w:right w:val="nil"/>
              <w:tl2br w:val="nil"/>
              <w:tr2bl w:val="nil"/>
            </w:tcBorders>
            <w:tcMar>
              <w:left w:w="60" w:type="dxa"/>
              <w:right w:w="60" w:type="dxa"/>
            </w:tcMar>
            <w:vAlign w:val="center"/>
          </w:tcPr>
          <w:p w14:paraId="60AC92B6"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w:t>
            </w:r>
          </w:p>
        </w:tc>
        <w:tc>
          <w:tcPr>
            <w:tcW w:w="1363" w:type="dxa"/>
            <w:tcBorders>
              <w:top w:val="nil"/>
              <w:left w:val="nil"/>
              <w:bottom w:val="nil"/>
              <w:right w:val="nil"/>
              <w:tl2br w:val="nil"/>
              <w:tr2bl w:val="nil"/>
            </w:tcBorders>
            <w:tcMar>
              <w:left w:w="60" w:type="dxa"/>
              <w:right w:w="60" w:type="dxa"/>
            </w:tcMar>
            <w:vAlign w:val="center"/>
          </w:tcPr>
          <w:p w14:paraId="5785472D"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1 135</w:t>
            </w:r>
          </w:p>
        </w:tc>
        <w:tc>
          <w:tcPr>
            <w:tcW w:w="1363" w:type="dxa"/>
            <w:tcBorders>
              <w:top w:val="nil"/>
              <w:left w:val="nil"/>
              <w:bottom w:val="nil"/>
              <w:right w:val="nil"/>
              <w:tl2br w:val="nil"/>
              <w:tr2bl w:val="nil"/>
            </w:tcBorders>
            <w:tcMar>
              <w:left w:w="60" w:type="dxa"/>
              <w:right w:w="60" w:type="dxa"/>
            </w:tcMar>
            <w:vAlign w:val="center"/>
          </w:tcPr>
          <w:p w14:paraId="2F087B3D"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1 095</w:t>
            </w:r>
          </w:p>
        </w:tc>
      </w:tr>
      <w:tr w:rsidR="00807FFE" w14:paraId="37CF09A9"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2BBFA477"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Property, plant and equipment</w:t>
            </w:r>
          </w:p>
        </w:tc>
        <w:tc>
          <w:tcPr>
            <w:tcW w:w="1363" w:type="dxa"/>
            <w:tcBorders>
              <w:top w:val="nil"/>
              <w:left w:val="nil"/>
              <w:bottom w:val="nil"/>
              <w:right w:val="nil"/>
              <w:tl2br w:val="nil"/>
              <w:tr2bl w:val="nil"/>
            </w:tcBorders>
            <w:tcMar>
              <w:left w:w="60" w:type="dxa"/>
              <w:right w:w="60" w:type="dxa"/>
            </w:tcMar>
            <w:vAlign w:val="center"/>
          </w:tcPr>
          <w:p w14:paraId="72153CC6"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2.2</w:t>
            </w:r>
          </w:p>
        </w:tc>
        <w:tc>
          <w:tcPr>
            <w:tcW w:w="1363" w:type="dxa"/>
            <w:tcBorders>
              <w:top w:val="nil"/>
              <w:left w:val="nil"/>
              <w:bottom w:val="nil"/>
              <w:right w:val="nil"/>
              <w:tl2br w:val="nil"/>
              <w:tr2bl w:val="nil"/>
            </w:tcBorders>
            <w:tcMar>
              <w:left w:w="60" w:type="dxa"/>
              <w:right w:w="60" w:type="dxa"/>
            </w:tcMar>
            <w:vAlign w:val="center"/>
          </w:tcPr>
          <w:p w14:paraId="33C96613"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14 756</w:t>
            </w:r>
          </w:p>
        </w:tc>
        <w:tc>
          <w:tcPr>
            <w:tcW w:w="1363" w:type="dxa"/>
            <w:tcBorders>
              <w:top w:val="nil"/>
              <w:left w:val="nil"/>
              <w:bottom w:val="nil"/>
              <w:right w:val="nil"/>
              <w:tl2br w:val="nil"/>
              <w:tr2bl w:val="nil"/>
            </w:tcBorders>
            <w:tcMar>
              <w:left w:w="60" w:type="dxa"/>
              <w:right w:w="60" w:type="dxa"/>
            </w:tcMar>
            <w:vAlign w:val="center"/>
          </w:tcPr>
          <w:p w14:paraId="505DC157"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13 713</w:t>
            </w:r>
          </w:p>
        </w:tc>
      </w:tr>
      <w:tr w:rsidR="00807FFE" w14:paraId="14F13C30"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1CB2772E"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Investments accounted for using the equity method</w:t>
            </w:r>
          </w:p>
        </w:tc>
        <w:tc>
          <w:tcPr>
            <w:tcW w:w="1363" w:type="dxa"/>
            <w:tcBorders>
              <w:top w:val="nil"/>
              <w:left w:val="nil"/>
              <w:bottom w:val="nil"/>
              <w:right w:val="nil"/>
              <w:tl2br w:val="nil"/>
              <w:tr2bl w:val="nil"/>
            </w:tcBorders>
            <w:tcMar>
              <w:left w:w="60" w:type="dxa"/>
              <w:right w:w="60" w:type="dxa"/>
            </w:tcMar>
            <w:vAlign w:val="center"/>
          </w:tcPr>
          <w:p w14:paraId="0592F0F0"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2.3</w:t>
            </w:r>
          </w:p>
        </w:tc>
        <w:tc>
          <w:tcPr>
            <w:tcW w:w="1363" w:type="dxa"/>
            <w:tcBorders>
              <w:top w:val="nil"/>
              <w:left w:val="nil"/>
              <w:bottom w:val="nil"/>
              <w:right w:val="nil"/>
              <w:tl2br w:val="nil"/>
              <w:tr2bl w:val="nil"/>
            </w:tcBorders>
            <w:tcMar>
              <w:left w:w="60" w:type="dxa"/>
              <w:right w:w="60" w:type="dxa"/>
            </w:tcMar>
            <w:vAlign w:val="center"/>
          </w:tcPr>
          <w:p w14:paraId="7131D6C4"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1 524</w:t>
            </w:r>
          </w:p>
        </w:tc>
        <w:tc>
          <w:tcPr>
            <w:tcW w:w="1363" w:type="dxa"/>
            <w:tcBorders>
              <w:top w:val="nil"/>
              <w:left w:val="nil"/>
              <w:bottom w:val="nil"/>
              <w:right w:val="nil"/>
              <w:tl2br w:val="nil"/>
              <w:tr2bl w:val="nil"/>
            </w:tcBorders>
            <w:tcMar>
              <w:left w:w="60" w:type="dxa"/>
              <w:right w:w="60" w:type="dxa"/>
            </w:tcMar>
            <w:vAlign w:val="center"/>
          </w:tcPr>
          <w:p w14:paraId="20090428"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1 446</w:t>
            </w:r>
          </w:p>
        </w:tc>
      </w:tr>
      <w:tr w:rsidR="00807FFE" w14:paraId="661EF929"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059EC61F"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1363" w:type="dxa"/>
            <w:tcBorders>
              <w:top w:val="nil"/>
              <w:left w:val="nil"/>
              <w:bottom w:val="nil"/>
              <w:right w:val="nil"/>
              <w:tl2br w:val="nil"/>
              <w:tr2bl w:val="nil"/>
            </w:tcBorders>
            <w:tcMar>
              <w:left w:w="60" w:type="dxa"/>
              <w:right w:w="60" w:type="dxa"/>
            </w:tcMar>
            <w:vAlign w:val="center"/>
          </w:tcPr>
          <w:p w14:paraId="37234E15"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2.4</w:t>
            </w:r>
          </w:p>
        </w:tc>
        <w:tc>
          <w:tcPr>
            <w:tcW w:w="1363" w:type="dxa"/>
            <w:tcBorders>
              <w:top w:val="nil"/>
              <w:left w:val="nil"/>
              <w:bottom w:val="nil"/>
              <w:right w:val="nil"/>
              <w:tl2br w:val="nil"/>
              <w:tr2bl w:val="nil"/>
            </w:tcBorders>
            <w:tcMar>
              <w:left w:w="60" w:type="dxa"/>
              <w:right w:w="60" w:type="dxa"/>
            </w:tcMar>
            <w:vAlign w:val="center"/>
          </w:tcPr>
          <w:p w14:paraId="607745A8"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362 806</w:t>
            </w:r>
          </w:p>
        </w:tc>
        <w:tc>
          <w:tcPr>
            <w:tcW w:w="1363" w:type="dxa"/>
            <w:tcBorders>
              <w:top w:val="nil"/>
              <w:left w:val="nil"/>
              <w:bottom w:val="nil"/>
              <w:right w:val="nil"/>
              <w:tl2br w:val="nil"/>
              <w:tr2bl w:val="nil"/>
            </w:tcBorders>
            <w:tcMar>
              <w:left w:w="60" w:type="dxa"/>
              <w:right w:w="60" w:type="dxa"/>
            </w:tcMar>
            <w:vAlign w:val="center"/>
          </w:tcPr>
          <w:p w14:paraId="5AB8298D"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308 961</w:t>
            </w:r>
          </w:p>
        </w:tc>
      </w:tr>
      <w:tr w:rsidR="00807FFE" w14:paraId="2D2EB17A"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4D498C29"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1363" w:type="dxa"/>
            <w:tcBorders>
              <w:top w:val="nil"/>
              <w:left w:val="nil"/>
              <w:bottom w:val="nil"/>
              <w:right w:val="nil"/>
              <w:tl2br w:val="nil"/>
              <w:tr2bl w:val="nil"/>
            </w:tcBorders>
            <w:tcMar>
              <w:left w:w="60" w:type="dxa"/>
              <w:right w:w="60" w:type="dxa"/>
            </w:tcMar>
            <w:vAlign w:val="center"/>
          </w:tcPr>
          <w:p w14:paraId="1992DAD0"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2.5</w:t>
            </w:r>
          </w:p>
        </w:tc>
        <w:tc>
          <w:tcPr>
            <w:tcW w:w="1363" w:type="dxa"/>
            <w:tcBorders>
              <w:top w:val="nil"/>
              <w:left w:val="nil"/>
              <w:bottom w:val="nil"/>
              <w:right w:val="nil"/>
              <w:tl2br w:val="nil"/>
              <w:tr2bl w:val="nil"/>
            </w:tcBorders>
            <w:tcMar>
              <w:left w:w="60" w:type="dxa"/>
              <w:right w:w="60" w:type="dxa"/>
            </w:tcMar>
            <w:vAlign w:val="center"/>
          </w:tcPr>
          <w:p w14:paraId="31E10FD7"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38 971</w:t>
            </w:r>
          </w:p>
        </w:tc>
        <w:tc>
          <w:tcPr>
            <w:tcW w:w="1363" w:type="dxa"/>
            <w:tcBorders>
              <w:top w:val="nil"/>
              <w:left w:val="nil"/>
              <w:bottom w:val="nil"/>
              <w:right w:val="nil"/>
              <w:tl2br w:val="nil"/>
              <w:tr2bl w:val="nil"/>
            </w:tcBorders>
            <w:tcMar>
              <w:left w:w="60" w:type="dxa"/>
              <w:right w:w="60" w:type="dxa"/>
            </w:tcMar>
            <w:vAlign w:val="center"/>
          </w:tcPr>
          <w:p w14:paraId="22298060"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40 861</w:t>
            </w:r>
          </w:p>
        </w:tc>
      </w:tr>
      <w:tr w:rsidR="00807FFE" w14:paraId="41F4447F" w14:textId="77777777">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14:paraId="735B5D8C"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Exchange receivables and non-exchange recoverables</w:t>
            </w:r>
          </w:p>
        </w:tc>
        <w:tc>
          <w:tcPr>
            <w:tcW w:w="1363" w:type="dxa"/>
            <w:tcBorders>
              <w:top w:val="nil"/>
              <w:left w:val="nil"/>
              <w:bottom w:val="single" w:sz="4" w:space="0" w:color="016794"/>
              <w:right w:val="nil"/>
              <w:tl2br w:val="nil"/>
              <w:tr2bl w:val="nil"/>
            </w:tcBorders>
            <w:tcMar>
              <w:left w:w="60" w:type="dxa"/>
              <w:right w:w="60" w:type="dxa"/>
            </w:tcMar>
            <w:vAlign w:val="center"/>
          </w:tcPr>
          <w:p w14:paraId="1320C7F6"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2.6</w:t>
            </w:r>
          </w:p>
        </w:tc>
        <w:tc>
          <w:tcPr>
            <w:tcW w:w="1363" w:type="dxa"/>
            <w:tcBorders>
              <w:top w:val="nil"/>
              <w:left w:val="nil"/>
              <w:bottom w:val="single" w:sz="4" w:space="0" w:color="016794"/>
              <w:right w:val="nil"/>
              <w:tl2br w:val="nil"/>
              <w:tr2bl w:val="nil"/>
            </w:tcBorders>
            <w:tcMar>
              <w:left w:w="60" w:type="dxa"/>
              <w:right w:w="60" w:type="dxa"/>
            </w:tcMar>
            <w:vAlign w:val="center"/>
          </w:tcPr>
          <w:p w14:paraId="6BA3E4D5"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12 663</w:t>
            </w:r>
          </w:p>
        </w:tc>
        <w:tc>
          <w:tcPr>
            <w:tcW w:w="1363" w:type="dxa"/>
            <w:tcBorders>
              <w:top w:val="nil"/>
              <w:left w:val="nil"/>
              <w:bottom w:val="single" w:sz="4" w:space="0" w:color="016794"/>
              <w:right w:val="nil"/>
              <w:tl2br w:val="nil"/>
              <w:tr2bl w:val="nil"/>
            </w:tcBorders>
            <w:tcMar>
              <w:left w:w="60" w:type="dxa"/>
              <w:right w:w="60" w:type="dxa"/>
            </w:tcMar>
            <w:vAlign w:val="center"/>
          </w:tcPr>
          <w:p w14:paraId="098EAFA0"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13 272</w:t>
            </w:r>
          </w:p>
        </w:tc>
      </w:tr>
      <w:tr w:rsidR="00807FFE" w14:paraId="035E72B7" w14:textId="77777777">
        <w:trPr>
          <w:trHeight w:hRule="exact" w:val="255"/>
        </w:trPr>
        <w:tc>
          <w:tcPr>
            <w:tcW w:w="5669" w:type="dxa"/>
            <w:tcBorders>
              <w:top w:val="single" w:sz="4" w:space="0" w:color="016794"/>
              <w:left w:val="nil"/>
              <w:bottom w:val="single" w:sz="4" w:space="0" w:color="016794"/>
              <w:right w:val="nil"/>
              <w:tl2br w:val="nil"/>
              <w:tr2bl w:val="nil"/>
            </w:tcBorders>
            <w:tcMar>
              <w:left w:w="60" w:type="dxa"/>
              <w:right w:w="60" w:type="dxa"/>
            </w:tcMar>
            <w:vAlign w:val="center"/>
          </w:tcPr>
          <w:p w14:paraId="52F49EE4" w14:textId="77777777" w:rsidR="00807FFE" w:rsidRDefault="00807FFE">
            <w:pPr>
              <w:pStyle w:val="DMETW36743BIPBS"/>
              <w:rPr>
                <w:rFonts w:ascii="Verdana" w:eastAsia="Verdana" w:hAnsi="Verdana" w:cs="Verdana"/>
                <w:i/>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14:paraId="0D807A1B" w14:textId="77777777" w:rsidR="00807FFE" w:rsidRDefault="00807FFE">
            <w:pPr>
              <w:pStyle w:val="DMETW36743BIPBS"/>
              <w:jc w:val="center"/>
              <w:rPr>
                <w:rFonts w:ascii="Verdana" w:eastAsia="Verdana" w:hAnsi="Verdana" w:cs="Verdana"/>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14:paraId="14D91928"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431 856</w:t>
            </w: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14:paraId="67A6C19C" w14:textId="77777777" w:rsidR="00807FFE" w:rsidRDefault="00023E71">
            <w:pPr>
              <w:pStyle w:val="DMETW36743BIPBS"/>
              <w:jc w:val="right"/>
              <w:rPr>
                <w:rFonts w:ascii="Verdana" w:eastAsia="Verdana" w:hAnsi="Verdana" w:cs="Verdana"/>
                <w:b/>
                <w:noProof/>
                <w:color w:val="000000"/>
                <w:sz w:val="18"/>
                <w:lang w:bidi="en-GB"/>
              </w:rPr>
            </w:pPr>
            <w:r>
              <w:rPr>
                <w:rFonts w:ascii="Verdana" w:eastAsia="Verdana" w:hAnsi="Verdana" w:cs="Verdana"/>
                <w:b/>
                <w:noProof/>
                <w:color w:val="000000"/>
                <w:sz w:val="18"/>
              </w:rPr>
              <w:t>379 347</w:t>
            </w:r>
          </w:p>
        </w:tc>
      </w:tr>
      <w:tr w:rsidR="00807FFE" w14:paraId="2B020C52" w14:textId="77777777">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14:paraId="59637F51" w14:textId="77777777" w:rsidR="00807FFE" w:rsidRDefault="00023E71">
            <w:pPr>
              <w:pStyle w:val="DMETW36743BIPBS"/>
              <w:rPr>
                <w:rFonts w:ascii="Verdana" w:eastAsia="Verdana" w:hAnsi="Verdana" w:cs="Verdana"/>
                <w:b/>
                <w:noProof/>
                <w:color w:val="000000"/>
                <w:sz w:val="18"/>
              </w:rPr>
            </w:pPr>
            <w:r>
              <w:rPr>
                <w:rFonts w:ascii="Verdana" w:eastAsia="Verdana" w:hAnsi="Verdana" w:cs="Verdana"/>
                <w:b/>
                <w:noProof/>
                <w:color w:val="000000"/>
                <w:sz w:val="18"/>
              </w:rPr>
              <w:t>CURRENT ASSETS</w:t>
            </w:r>
          </w:p>
        </w:tc>
        <w:tc>
          <w:tcPr>
            <w:tcW w:w="1363" w:type="dxa"/>
            <w:tcBorders>
              <w:top w:val="single" w:sz="4" w:space="0" w:color="016794"/>
              <w:left w:val="nil"/>
              <w:bottom w:val="nil"/>
              <w:right w:val="nil"/>
              <w:tl2br w:val="nil"/>
              <w:tr2bl w:val="nil"/>
            </w:tcBorders>
            <w:tcMar>
              <w:left w:w="60" w:type="dxa"/>
              <w:right w:w="60" w:type="dxa"/>
            </w:tcMar>
            <w:vAlign w:val="center"/>
          </w:tcPr>
          <w:p w14:paraId="5918200A" w14:textId="77777777" w:rsidR="00807FFE" w:rsidRDefault="00807FFE">
            <w:pPr>
              <w:pStyle w:val="DMETW36743BIPBS"/>
              <w:jc w:val="right"/>
              <w:rPr>
                <w:rFonts w:ascii="Verdana" w:eastAsia="Verdana" w:hAnsi="Verdana" w:cs="Verdana"/>
                <w:b/>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14:paraId="0D9202C4" w14:textId="77777777" w:rsidR="00807FFE" w:rsidRDefault="00807FFE">
            <w:pPr>
              <w:pStyle w:val="DMETW36743BIPBS"/>
              <w:rPr>
                <w:rFonts w:ascii="Verdana" w:eastAsia="Verdana" w:hAnsi="Verdana" w:cs="Verdana"/>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14:paraId="3580D898" w14:textId="77777777" w:rsidR="00807FFE" w:rsidRDefault="00807FFE">
            <w:pPr>
              <w:pStyle w:val="DMETW36743BIPBS"/>
              <w:rPr>
                <w:rFonts w:ascii="Verdana" w:eastAsia="Verdana" w:hAnsi="Verdana" w:cs="Verdana"/>
                <w:noProof/>
                <w:color w:val="000000"/>
                <w:sz w:val="18"/>
                <w:lang w:bidi="en-GB"/>
              </w:rPr>
            </w:pPr>
          </w:p>
        </w:tc>
      </w:tr>
      <w:tr w:rsidR="00807FFE" w14:paraId="7BFDBDDE"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089F7C1C"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1363" w:type="dxa"/>
            <w:tcBorders>
              <w:top w:val="nil"/>
              <w:left w:val="nil"/>
              <w:bottom w:val="nil"/>
              <w:right w:val="nil"/>
              <w:tl2br w:val="nil"/>
              <w:tr2bl w:val="nil"/>
            </w:tcBorders>
            <w:tcMar>
              <w:left w:w="60" w:type="dxa"/>
              <w:right w:w="60" w:type="dxa"/>
            </w:tcMar>
            <w:vAlign w:val="center"/>
          </w:tcPr>
          <w:p w14:paraId="6968FB3C"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2.4</w:t>
            </w:r>
          </w:p>
        </w:tc>
        <w:tc>
          <w:tcPr>
            <w:tcW w:w="1363" w:type="dxa"/>
            <w:tcBorders>
              <w:top w:val="nil"/>
              <w:left w:val="nil"/>
              <w:bottom w:val="nil"/>
              <w:right w:val="nil"/>
              <w:tl2br w:val="nil"/>
              <w:tr2bl w:val="nil"/>
            </w:tcBorders>
            <w:tcMar>
              <w:left w:w="60" w:type="dxa"/>
              <w:right w:w="60" w:type="dxa"/>
            </w:tcMar>
            <w:vAlign w:val="center"/>
          </w:tcPr>
          <w:p w14:paraId="7B7B2E6B"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23 291</w:t>
            </w:r>
          </w:p>
        </w:tc>
        <w:tc>
          <w:tcPr>
            <w:tcW w:w="1363" w:type="dxa"/>
            <w:tcBorders>
              <w:top w:val="nil"/>
              <w:left w:val="nil"/>
              <w:bottom w:val="nil"/>
              <w:right w:val="nil"/>
              <w:tl2br w:val="nil"/>
              <w:tr2bl w:val="nil"/>
            </w:tcBorders>
            <w:tcMar>
              <w:left w:w="60" w:type="dxa"/>
              <w:right w:w="60" w:type="dxa"/>
            </w:tcMar>
            <w:vAlign w:val="center"/>
          </w:tcPr>
          <w:p w14:paraId="3FB0C837"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19 377</w:t>
            </w:r>
          </w:p>
        </w:tc>
      </w:tr>
      <w:tr w:rsidR="00807FFE" w14:paraId="587DF6DA"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5069F053"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1363" w:type="dxa"/>
            <w:tcBorders>
              <w:top w:val="nil"/>
              <w:left w:val="nil"/>
              <w:bottom w:val="nil"/>
              <w:right w:val="nil"/>
              <w:tl2br w:val="nil"/>
              <w:tr2bl w:val="nil"/>
            </w:tcBorders>
            <w:tcMar>
              <w:left w:w="60" w:type="dxa"/>
              <w:right w:w="60" w:type="dxa"/>
            </w:tcMar>
            <w:vAlign w:val="center"/>
          </w:tcPr>
          <w:p w14:paraId="0B35719A"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2.5</w:t>
            </w:r>
          </w:p>
        </w:tc>
        <w:tc>
          <w:tcPr>
            <w:tcW w:w="1363" w:type="dxa"/>
            <w:tcBorders>
              <w:top w:val="nil"/>
              <w:left w:val="nil"/>
              <w:bottom w:val="nil"/>
              <w:right w:val="nil"/>
              <w:tl2br w:val="nil"/>
              <w:tr2bl w:val="nil"/>
            </w:tcBorders>
            <w:tcMar>
              <w:left w:w="60" w:type="dxa"/>
              <w:right w:w="60" w:type="dxa"/>
            </w:tcMar>
            <w:vAlign w:val="center"/>
          </w:tcPr>
          <w:p w14:paraId="1C53E56F"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37 775</w:t>
            </w:r>
          </w:p>
        </w:tc>
        <w:tc>
          <w:tcPr>
            <w:tcW w:w="1363" w:type="dxa"/>
            <w:tcBorders>
              <w:top w:val="nil"/>
              <w:left w:val="nil"/>
              <w:bottom w:val="nil"/>
              <w:right w:val="nil"/>
              <w:tl2br w:val="nil"/>
              <w:tr2bl w:val="nil"/>
            </w:tcBorders>
            <w:tcMar>
              <w:left w:w="60" w:type="dxa"/>
              <w:right w:w="60" w:type="dxa"/>
            </w:tcMar>
            <w:vAlign w:val="center"/>
          </w:tcPr>
          <w:p w14:paraId="5995878C"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38 058</w:t>
            </w:r>
          </w:p>
        </w:tc>
      </w:tr>
      <w:tr w:rsidR="00807FFE" w14:paraId="78D11796"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7373DFBC"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Exchange receivables and non-exchange recoverables</w:t>
            </w:r>
          </w:p>
        </w:tc>
        <w:tc>
          <w:tcPr>
            <w:tcW w:w="1363" w:type="dxa"/>
            <w:tcBorders>
              <w:top w:val="nil"/>
              <w:left w:val="nil"/>
              <w:bottom w:val="nil"/>
              <w:right w:val="nil"/>
              <w:tl2br w:val="nil"/>
              <w:tr2bl w:val="nil"/>
            </w:tcBorders>
            <w:tcMar>
              <w:left w:w="60" w:type="dxa"/>
              <w:right w:w="60" w:type="dxa"/>
            </w:tcMar>
            <w:vAlign w:val="center"/>
          </w:tcPr>
          <w:p w14:paraId="3F5B27A2"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2.6</w:t>
            </w:r>
          </w:p>
        </w:tc>
        <w:tc>
          <w:tcPr>
            <w:tcW w:w="1363" w:type="dxa"/>
            <w:tcBorders>
              <w:top w:val="nil"/>
              <w:left w:val="nil"/>
              <w:bottom w:val="nil"/>
              <w:right w:val="nil"/>
              <w:tl2br w:val="nil"/>
              <w:tr2bl w:val="nil"/>
            </w:tcBorders>
            <w:tcMar>
              <w:left w:w="60" w:type="dxa"/>
              <w:right w:w="60" w:type="dxa"/>
            </w:tcMar>
            <w:vAlign w:val="center"/>
          </w:tcPr>
          <w:p w14:paraId="270C40E7"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21 404</w:t>
            </w:r>
          </w:p>
        </w:tc>
        <w:tc>
          <w:tcPr>
            <w:tcW w:w="1363" w:type="dxa"/>
            <w:tcBorders>
              <w:top w:val="nil"/>
              <w:left w:val="nil"/>
              <w:bottom w:val="nil"/>
              <w:right w:val="nil"/>
              <w:tl2br w:val="nil"/>
              <w:tr2bl w:val="nil"/>
            </w:tcBorders>
            <w:tcMar>
              <w:left w:w="60" w:type="dxa"/>
              <w:right w:w="60" w:type="dxa"/>
            </w:tcMar>
            <w:vAlign w:val="center"/>
          </w:tcPr>
          <w:p w14:paraId="1C22A999"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18 465</w:t>
            </w:r>
          </w:p>
        </w:tc>
      </w:tr>
      <w:tr w:rsidR="00807FFE" w14:paraId="51FCBCFF"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0882E0DD"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Inventories</w:t>
            </w:r>
          </w:p>
        </w:tc>
        <w:tc>
          <w:tcPr>
            <w:tcW w:w="1363" w:type="dxa"/>
            <w:tcBorders>
              <w:top w:val="nil"/>
              <w:left w:val="nil"/>
              <w:bottom w:val="nil"/>
              <w:right w:val="nil"/>
              <w:tl2br w:val="nil"/>
              <w:tr2bl w:val="nil"/>
            </w:tcBorders>
            <w:tcMar>
              <w:left w:w="60" w:type="dxa"/>
              <w:right w:w="60" w:type="dxa"/>
            </w:tcMar>
            <w:vAlign w:val="center"/>
          </w:tcPr>
          <w:p w14:paraId="1FF92C12"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2.7</w:t>
            </w:r>
          </w:p>
        </w:tc>
        <w:tc>
          <w:tcPr>
            <w:tcW w:w="1363" w:type="dxa"/>
            <w:tcBorders>
              <w:top w:val="nil"/>
              <w:left w:val="nil"/>
              <w:bottom w:val="nil"/>
              <w:right w:val="nil"/>
              <w:tl2br w:val="nil"/>
              <w:tr2bl w:val="nil"/>
            </w:tcBorders>
            <w:tcMar>
              <w:left w:w="60" w:type="dxa"/>
              <w:right w:w="60" w:type="dxa"/>
            </w:tcMar>
            <w:vAlign w:val="center"/>
          </w:tcPr>
          <w:p w14:paraId="351C6157"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 xml:space="preserve"> 79</w:t>
            </w:r>
          </w:p>
        </w:tc>
        <w:tc>
          <w:tcPr>
            <w:tcW w:w="1363" w:type="dxa"/>
            <w:tcBorders>
              <w:top w:val="nil"/>
              <w:left w:val="nil"/>
              <w:bottom w:val="nil"/>
              <w:right w:val="nil"/>
              <w:tl2br w:val="nil"/>
              <w:tr2bl w:val="nil"/>
            </w:tcBorders>
            <w:tcMar>
              <w:left w:w="60" w:type="dxa"/>
              <w:right w:w="60" w:type="dxa"/>
            </w:tcMar>
            <w:vAlign w:val="center"/>
          </w:tcPr>
          <w:p w14:paraId="1CCF264B"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85</w:t>
            </w:r>
          </w:p>
        </w:tc>
      </w:tr>
      <w:tr w:rsidR="00807FFE" w14:paraId="79F65F6C" w14:textId="77777777">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14:paraId="67EB73DA"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 xml:space="preserve">Cash and cash equivalents </w:t>
            </w:r>
          </w:p>
        </w:tc>
        <w:tc>
          <w:tcPr>
            <w:tcW w:w="1363" w:type="dxa"/>
            <w:tcBorders>
              <w:top w:val="nil"/>
              <w:left w:val="nil"/>
              <w:bottom w:val="single" w:sz="4" w:space="0" w:color="016794"/>
              <w:right w:val="nil"/>
              <w:tl2br w:val="nil"/>
              <w:tr2bl w:val="nil"/>
            </w:tcBorders>
            <w:tcMar>
              <w:left w:w="60" w:type="dxa"/>
              <w:right w:w="60" w:type="dxa"/>
            </w:tcMar>
            <w:vAlign w:val="center"/>
          </w:tcPr>
          <w:p w14:paraId="4EC85DA4"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2.8</w:t>
            </w:r>
          </w:p>
        </w:tc>
        <w:tc>
          <w:tcPr>
            <w:tcW w:w="1363" w:type="dxa"/>
            <w:tcBorders>
              <w:top w:val="nil"/>
              <w:left w:val="nil"/>
              <w:bottom w:val="single" w:sz="4" w:space="0" w:color="016794"/>
              <w:right w:val="nil"/>
              <w:tl2br w:val="nil"/>
              <w:tr2bl w:val="nil"/>
            </w:tcBorders>
            <w:tcMar>
              <w:left w:w="60" w:type="dxa"/>
              <w:right w:w="60" w:type="dxa"/>
            </w:tcMar>
            <w:vAlign w:val="center"/>
          </w:tcPr>
          <w:p w14:paraId="77BD488C"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103 041</w:t>
            </w:r>
          </w:p>
        </w:tc>
        <w:tc>
          <w:tcPr>
            <w:tcW w:w="1363" w:type="dxa"/>
            <w:tcBorders>
              <w:top w:val="nil"/>
              <w:left w:val="nil"/>
              <w:bottom w:val="single" w:sz="4" w:space="0" w:color="016794"/>
              <w:right w:val="nil"/>
              <w:tl2br w:val="nil"/>
              <w:tr2bl w:val="nil"/>
            </w:tcBorders>
            <w:tcMar>
              <w:left w:w="60" w:type="dxa"/>
              <w:right w:w="60" w:type="dxa"/>
            </w:tcMar>
            <w:vAlign w:val="center"/>
          </w:tcPr>
          <w:p w14:paraId="3395193F"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63 163</w:t>
            </w:r>
          </w:p>
        </w:tc>
      </w:tr>
      <w:tr w:rsidR="00807FFE" w14:paraId="52712ADF" w14:textId="77777777">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14:paraId="7BB7B4C2" w14:textId="77777777" w:rsidR="00807FFE" w:rsidRDefault="00807FFE">
            <w:pPr>
              <w:pStyle w:val="DMETW36743BIPBS"/>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14:paraId="519E6080" w14:textId="77777777" w:rsidR="00807FFE" w:rsidRDefault="00807FFE">
            <w:pPr>
              <w:pStyle w:val="DMETW36743BIPBS"/>
              <w:jc w:val="center"/>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14:paraId="43E8E93D"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185 591</w:t>
            </w:r>
          </w:p>
        </w:tc>
        <w:tc>
          <w:tcPr>
            <w:tcW w:w="1363" w:type="dxa"/>
            <w:tcBorders>
              <w:top w:val="single" w:sz="4" w:space="0" w:color="016794"/>
              <w:left w:val="nil"/>
              <w:bottom w:val="nil"/>
              <w:right w:val="nil"/>
              <w:tl2br w:val="nil"/>
              <w:tr2bl w:val="nil"/>
            </w:tcBorders>
            <w:tcMar>
              <w:left w:w="60" w:type="dxa"/>
              <w:right w:w="60" w:type="dxa"/>
            </w:tcMar>
            <w:vAlign w:val="center"/>
          </w:tcPr>
          <w:p w14:paraId="5948A1B9" w14:textId="77777777" w:rsidR="00807FFE" w:rsidRDefault="00023E71">
            <w:pPr>
              <w:pStyle w:val="DMETW36743BIPBS"/>
              <w:jc w:val="right"/>
              <w:rPr>
                <w:rFonts w:ascii="Verdana" w:eastAsia="Verdana" w:hAnsi="Verdana" w:cs="Verdana"/>
                <w:b/>
                <w:noProof/>
                <w:color w:val="000000"/>
                <w:sz w:val="18"/>
                <w:lang w:bidi="en-GB"/>
              </w:rPr>
            </w:pPr>
            <w:r>
              <w:rPr>
                <w:rFonts w:ascii="Verdana" w:eastAsia="Verdana" w:hAnsi="Verdana" w:cs="Verdana"/>
                <w:b/>
                <w:noProof/>
                <w:color w:val="000000"/>
                <w:sz w:val="18"/>
              </w:rPr>
              <w:t>139 148</w:t>
            </w:r>
          </w:p>
        </w:tc>
      </w:tr>
      <w:tr w:rsidR="00807FFE" w14:paraId="6AFFF05C" w14:textId="77777777">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14:paraId="5A867FBB" w14:textId="77777777" w:rsidR="00807FFE" w:rsidRDefault="00023E71">
            <w:pPr>
              <w:pStyle w:val="DMETW36743BIPBS"/>
              <w:rPr>
                <w:rFonts w:ascii="Verdana" w:eastAsia="Verdana" w:hAnsi="Verdana" w:cs="Verdana"/>
                <w:b/>
                <w:noProof/>
                <w:color w:val="000000"/>
                <w:sz w:val="18"/>
              </w:rPr>
            </w:pPr>
            <w:r>
              <w:rPr>
                <w:rFonts w:ascii="Verdana" w:eastAsia="Verdana" w:hAnsi="Verdana" w:cs="Verdana"/>
                <w:b/>
                <w:noProof/>
                <w:color w:val="000000"/>
                <w:sz w:val="18"/>
              </w:rPr>
              <w:t>TOTAL ASSETS</w:t>
            </w: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74DF1726" w14:textId="77777777" w:rsidR="00807FFE" w:rsidRDefault="00807FFE">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2D88146D"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617 447</w:t>
            </w: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58846ABE" w14:textId="77777777" w:rsidR="00807FFE" w:rsidRDefault="00023E71">
            <w:pPr>
              <w:pStyle w:val="DMETW36743BIPBS"/>
              <w:jc w:val="right"/>
              <w:rPr>
                <w:rFonts w:ascii="Verdana" w:eastAsia="Verdana" w:hAnsi="Verdana" w:cs="Verdana"/>
                <w:b/>
                <w:noProof/>
                <w:color w:val="000000"/>
                <w:sz w:val="18"/>
                <w:lang w:bidi="en-GB"/>
              </w:rPr>
            </w:pPr>
            <w:r>
              <w:rPr>
                <w:rFonts w:ascii="Verdana" w:eastAsia="Verdana" w:hAnsi="Verdana" w:cs="Verdana"/>
                <w:b/>
                <w:noProof/>
                <w:color w:val="000000"/>
                <w:sz w:val="18"/>
              </w:rPr>
              <w:t>518 495</w:t>
            </w:r>
          </w:p>
        </w:tc>
      </w:tr>
      <w:tr w:rsidR="00807FFE" w14:paraId="53EBD63B"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77B4E47E" w14:textId="77777777" w:rsidR="00807FFE" w:rsidRDefault="00807FFE">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71AEA557" w14:textId="77777777" w:rsidR="00807FFE" w:rsidRDefault="00807FFE">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5409E647" w14:textId="77777777" w:rsidR="00807FFE" w:rsidRDefault="00807FFE">
            <w:pPr>
              <w:pStyle w:val="DMETW36743BIPBS"/>
              <w:jc w:val="right"/>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1AD40C62" w14:textId="77777777" w:rsidR="00807FFE" w:rsidRDefault="00807FFE">
            <w:pPr>
              <w:pStyle w:val="DMETW36743BIPBS"/>
              <w:rPr>
                <w:rFonts w:ascii="Verdana" w:eastAsia="Verdana" w:hAnsi="Verdana" w:cs="Verdana"/>
                <w:noProof/>
                <w:color w:val="000000"/>
                <w:sz w:val="18"/>
                <w:lang w:bidi="en-GB"/>
              </w:rPr>
            </w:pPr>
          </w:p>
        </w:tc>
      </w:tr>
      <w:tr w:rsidR="00807FFE" w14:paraId="05F54C9D"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19866BFA" w14:textId="77777777" w:rsidR="00807FFE" w:rsidRDefault="00023E71">
            <w:pPr>
              <w:pStyle w:val="DMETW36743BIPBS"/>
              <w:rPr>
                <w:rFonts w:ascii="Verdana" w:eastAsia="Verdana" w:hAnsi="Verdana" w:cs="Verdana"/>
                <w:b/>
                <w:noProof/>
                <w:color w:val="000000"/>
                <w:sz w:val="18"/>
              </w:rPr>
            </w:pPr>
            <w:r>
              <w:rPr>
                <w:rFonts w:ascii="Verdana" w:eastAsia="Verdana" w:hAnsi="Verdana" w:cs="Verdana"/>
                <w:b/>
                <w:noProof/>
                <w:color w:val="000000"/>
                <w:sz w:val="18"/>
              </w:rPr>
              <w:t>NON-CURRENT LIABILITIES</w:t>
            </w:r>
          </w:p>
        </w:tc>
        <w:tc>
          <w:tcPr>
            <w:tcW w:w="1363" w:type="dxa"/>
            <w:tcBorders>
              <w:top w:val="nil"/>
              <w:left w:val="nil"/>
              <w:bottom w:val="nil"/>
              <w:right w:val="nil"/>
              <w:tl2br w:val="nil"/>
              <w:tr2bl w:val="nil"/>
            </w:tcBorders>
            <w:tcMar>
              <w:left w:w="60" w:type="dxa"/>
              <w:right w:w="60" w:type="dxa"/>
            </w:tcMar>
            <w:vAlign w:val="center"/>
          </w:tcPr>
          <w:p w14:paraId="54E927CA" w14:textId="77777777" w:rsidR="00807FFE" w:rsidRDefault="00807FFE">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0FA865A6" w14:textId="77777777" w:rsidR="00807FFE" w:rsidRDefault="00807FFE">
            <w:pPr>
              <w:pStyle w:val="DMETW36743BIPBS"/>
              <w:jc w:val="right"/>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4A504F0C" w14:textId="77777777" w:rsidR="00807FFE" w:rsidRDefault="00807FFE">
            <w:pPr>
              <w:pStyle w:val="DMETW36743BIPBS"/>
              <w:rPr>
                <w:rFonts w:ascii="Verdana" w:eastAsia="Verdana" w:hAnsi="Verdana" w:cs="Verdana"/>
                <w:noProof/>
                <w:color w:val="000000"/>
                <w:sz w:val="18"/>
                <w:lang w:bidi="en-GB"/>
              </w:rPr>
            </w:pPr>
          </w:p>
        </w:tc>
      </w:tr>
      <w:tr w:rsidR="00807FFE" w14:paraId="1F8F14F1"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2E88E0ED"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Pension and other employee benefits</w:t>
            </w:r>
          </w:p>
        </w:tc>
        <w:tc>
          <w:tcPr>
            <w:tcW w:w="1363" w:type="dxa"/>
            <w:tcBorders>
              <w:top w:val="nil"/>
              <w:left w:val="nil"/>
              <w:bottom w:val="nil"/>
              <w:right w:val="nil"/>
              <w:tl2br w:val="nil"/>
              <w:tr2bl w:val="nil"/>
            </w:tcBorders>
            <w:tcMar>
              <w:left w:w="60" w:type="dxa"/>
              <w:right w:w="60" w:type="dxa"/>
            </w:tcMar>
            <w:vAlign w:val="center"/>
          </w:tcPr>
          <w:p w14:paraId="5429BF49"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2.9</w:t>
            </w:r>
          </w:p>
        </w:tc>
        <w:tc>
          <w:tcPr>
            <w:tcW w:w="1363" w:type="dxa"/>
            <w:tcBorders>
              <w:top w:val="nil"/>
              <w:left w:val="nil"/>
              <w:bottom w:val="nil"/>
              <w:right w:val="nil"/>
              <w:tl2br w:val="nil"/>
              <w:tr2bl w:val="nil"/>
            </w:tcBorders>
            <w:tcMar>
              <w:left w:w="60" w:type="dxa"/>
              <w:right w:w="60" w:type="dxa"/>
            </w:tcMar>
            <w:vAlign w:val="center"/>
          </w:tcPr>
          <w:p w14:paraId="609C2F88"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(91 128)</w:t>
            </w:r>
          </w:p>
        </w:tc>
        <w:tc>
          <w:tcPr>
            <w:tcW w:w="1363" w:type="dxa"/>
            <w:tcBorders>
              <w:top w:val="nil"/>
              <w:left w:val="nil"/>
              <w:bottom w:val="nil"/>
              <w:right w:val="nil"/>
              <w:tl2br w:val="nil"/>
              <w:tr2bl w:val="nil"/>
            </w:tcBorders>
            <w:tcMar>
              <w:left w:w="60" w:type="dxa"/>
              <w:right w:w="60" w:type="dxa"/>
            </w:tcMar>
            <w:vAlign w:val="center"/>
          </w:tcPr>
          <w:p w14:paraId="62D85057"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(93 096)</w:t>
            </w:r>
          </w:p>
        </w:tc>
      </w:tr>
      <w:tr w:rsidR="00807FFE" w14:paraId="6385E0B9"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4F231447"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Provisions</w:t>
            </w:r>
          </w:p>
        </w:tc>
        <w:tc>
          <w:tcPr>
            <w:tcW w:w="1363" w:type="dxa"/>
            <w:tcBorders>
              <w:top w:val="nil"/>
              <w:left w:val="nil"/>
              <w:bottom w:val="nil"/>
              <w:right w:val="nil"/>
              <w:tl2br w:val="nil"/>
              <w:tr2bl w:val="nil"/>
            </w:tcBorders>
            <w:tcMar>
              <w:left w:w="60" w:type="dxa"/>
              <w:right w:w="60" w:type="dxa"/>
            </w:tcMar>
            <w:vAlign w:val="center"/>
          </w:tcPr>
          <w:p w14:paraId="0FCDC083"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2.10</w:t>
            </w:r>
          </w:p>
        </w:tc>
        <w:tc>
          <w:tcPr>
            <w:tcW w:w="1363" w:type="dxa"/>
            <w:tcBorders>
              <w:top w:val="nil"/>
              <w:left w:val="nil"/>
              <w:bottom w:val="nil"/>
              <w:right w:val="nil"/>
              <w:tl2br w:val="nil"/>
              <w:tr2bl w:val="nil"/>
            </w:tcBorders>
            <w:tcMar>
              <w:left w:w="60" w:type="dxa"/>
              <w:right w:w="60" w:type="dxa"/>
            </w:tcMar>
            <w:vAlign w:val="center"/>
          </w:tcPr>
          <w:p w14:paraId="635F1776"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(2 149)</w:t>
            </w:r>
          </w:p>
        </w:tc>
        <w:tc>
          <w:tcPr>
            <w:tcW w:w="1363" w:type="dxa"/>
            <w:tcBorders>
              <w:top w:val="nil"/>
              <w:left w:val="nil"/>
              <w:bottom w:val="nil"/>
              <w:right w:val="nil"/>
              <w:tl2br w:val="nil"/>
              <w:tr2bl w:val="nil"/>
            </w:tcBorders>
            <w:tcMar>
              <w:left w:w="60" w:type="dxa"/>
              <w:right w:w="60" w:type="dxa"/>
            </w:tcMar>
            <w:vAlign w:val="center"/>
          </w:tcPr>
          <w:p w14:paraId="5213FAB5"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(2 280)</w:t>
            </w:r>
          </w:p>
        </w:tc>
      </w:tr>
      <w:tr w:rsidR="00807FFE" w14:paraId="7BB2C456"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220AF36C"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Financial liabilities</w:t>
            </w:r>
          </w:p>
        </w:tc>
        <w:tc>
          <w:tcPr>
            <w:tcW w:w="1363" w:type="dxa"/>
            <w:tcBorders>
              <w:top w:val="nil"/>
              <w:left w:val="nil"/>
              <w:bottom w:val="nil"/>
              <w:right w:val="nil"/>
              <w:tl2br w:val="nil"/>
              <w:tr2bl w:val="nil"/>
            </w:tcBorders>
            <w:tcMar>
              <w:left w:w="60" w:type="dxa"/>
              <w:right w:w="60" w:type="dxa"/>
            </w:tcMar>
            <w:vAlign w:val="center"/>
          </w:tcPr>
          <w:p w14:paraId="19294463"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2.11</w:t>
            </w:r>
          </w:p>
        </w:tc>
        <w:tc>
          <w:tcPr>
            <w:tcW w:w="1363" w:type="dxa"/>
            <w:tcBorders>
              <w:top w:val="nil"/>
              <w:left w:val="nil"/>
              <w:bottom w:val="nil"/>
              <w:right w:val="nil"/>
              <w:tl2br w:val="nil"/>
              <w:tr2bl w:val="nil"/>
            </w:tcBorders>
            <w:tcMar>
              <w:left w:w="60" w:type="dxa"/>
              <w:right w:w="60" w:type="dxa"/>
            </w:tcMar>
            <w:vAlign w:val="center"/>
          </w:tcPr>
          <w:p w14:paraId="5F314EBF"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(644 018)</w:t>
            </w:r>
          </w:p>
        </w:tc>
        <w:tc>
          <w:tcPr>
            <w:tcW w:w="1363" w:type="dxa"/>
            <w:tcBorders>
              <w:top w:val="nil"/>
              <w:left w:val="nil"/>
              <w:bottom w:val="nil"/>
              <w:right w:val="nil"/>
              <w:tl2br w:val="nil"/>
              <w:tr2bl w:val="nil"/>
            </w:tcBorders>
            <w:tcMar>
              <w:left w:w="60" w:type="dxa"/>
              <w:right w:w="60" w:type="dxa"/>
            </w:tcMar>
            <w:vAlign w:val="center"/>
          </w:tcPr>
          <w:p w14:paraId="01A6EBDA"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(539 575)</w:t>
            </w:r>
          </w:p>
        </w:tc>
      </w:tr>
      <w:tr w:rsidR="00807FFE" w14:paraId="66C9AF6A" w14:textId="77777777">
        <w:trPr>
          <w:trHeight w:hRule="exact" w:val="255"/>
        </w:trPr>
        <w:tc>
          <w:tcPr>
            <w:tcW w:w="5669" w:type="dxa"/>
            <w:tcBorders>
              <w:top w:val="single" w:sz="4" w:space="0" w:color="016794"/>
              <w:left w:val="nil"/>
              <w:bottom w:val="single" w:sz="4" w:space="0" w:color="016794"/>
              <w:right w:val="nil"/>
              <w:tl2br w:val="nil"/>
              <w:tr2bl w:val="nil"/>
            </w:tcBorders>
            <w:tcMar>
              <w:left w:w="60" w:type="dxa"/>
              <w:right w:w="60" w:type="dxa"/>
            </w:tcMar>
            <w:vAlign w:val="center"/>
          </w:tcPr>
          <w:p w14:paraId="142315A7" w14:textId="77777777" w:rsidR="00807FFE" w:rsidRDefault="00807FFE">
            <w:pPr>
              <w:pStyle w:val="DMETW36743BIPBS"/>
              <w:rPr>
                <w:rFonts w:ascii="Verdana" w:eastAsia="Verdana" w:hAnsi="Verdana" w:cs="Verdana"/>
                <w:i/>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14:paraId="210250CE" w14:textId="77777777" w:rsidR="00807FFE" w:rsidRDefault="00807FFE">
            <w:pPr>
              <w:pStyle w:val="DMETW36743BIPBS"/>
              <w:jc w:val="center"/>
              <w:rPr>
                <w:rFonts w:ascii="Verdana" w:eastAsia="Verdana" w:hAnsi="Verdana" w:cs="Verdana"/>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14:paraId="70E2BDF5"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(737 295)</w:t>
            </w: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14:paraId="459E5903" w14:textId="77777777" w:rsidR="00807FFE" w:rsidRDefault="00023E71">
            <w:pPr>
              <w:pStyle w:val="DMETW36743BIPBS"/>
              <w:jc w:val="right"/>
              <w:rPr>
                <w:rFonts w:ascii="Verdana" w:eastAsia="Verdana" w:hAnsi="Verdana" w:cs="Verdana"/>
                <w:b/>
                <w:noProof/>
                <w:color w:val="000000"/>
                <w:sz w:val="18"/>
                <w:lang w:bidi="en-GB"/>
              </w:rPr>
            </w:pPr>
            <w:r>
              <w:rPr>
                <w:rFonts w:ascii="Verdana" w:eastAsia="Verdana" w:hAnsi="Verdana" w:cs="Verdana"/>
                <w:b/>
                <w:noProof/>
                <w:color w:val="000000"/>
                <w:sz w:val="18"/>
              </w:rPr>
              <w:t>(634 951)</w:t>
            </w:r>
          </w:p>
        </w:tc>
      </w:tr>
      <w:tr w:rsidR="00807FFE" w14:paraId="7E9CB17F" w14:textId="77777777">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14:paraId="625B61DA" w14:textId="77777777" w:rsidR="00807FFE" w:rsidRDefault="00023E71">
            <w:pPr>
              <w:pStyle w:val="DMETW36743BIPBS"/>
              <w:rPr>
                <w:rFonts w:ascii="Verdana" w:eastAsia="Verdana" w:hAnsi="Verdana" w:cs="Verdana"/>
                <w:b/>
                <w:noProof/>
                <w:color w:val="000000"/>
                <w:sz w:val="18"/>
              </w:rPr>
            </w:pPr>
            <w:r>
              <w:rPr>
                <w:rFonts w:ascii="Verdana" w:eastAsia="Verdana" w:hAnsi="Verdana" w:cs="Verdana"/>
                <w:b/>
                <w:noProof/>
                <w:color w:val="000000"/>
                <w:sz w:val="18"/>
              </w:rPr>
              <w:t>CURRENT LIABILITIES</w:t>
            </w:r>
          </w:p>
        </w:tc>
        <w:tc>
          <w:tcPr>
            <w:tcW w:w="1363" w:type="dxa"/>
            <w:tcBorders>
              <w:top w:val="single" w:sz="4" w:space="0" w:color="016794"/>
              <w:left w:val="nil"/>
              <w:bottom w:val="nil"/>
              <w:right w:val="nil"/>
              <w:tl2br w:val="nil"/>
              <w:tr2bl w:val="nil"/>
            </w:tcBorders>
            <w:tcMar>
              <w:left w:w="60" w:type="dxa"/>
              <w:right w:w="60" w:type="dxa"/>
            </w:tcMar>
            <w:vAlign w:val="center"/>
          </w:tcPr>
          <w:p w14:paraId="66C5DB0F" w14:textId="77777777" w:rsidR="00807FFE" w:rsidRDefault="00807FFE">
            <w:pPr>
              <w:pStyle w:val="DMETW36743BIPBS"/>
              <w:jc w:val="right"/>
              <w:rPr>
                <w:rFonts w:ascii="Verdana" w:eastAsia="Verdana" w:hAnsi="Verdana" w:cs="Verdana"/>
                <w:b/>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14:paraId="4F71B9BF" w14:textId="77777777" w:rsidR="00807FFE" w:rsidRDefault="00807FFE">
            <w:pPr>
              <w:pStyle w:val="DMETW36743BIPBS"/>
              <w:jc w:val="right"/>
              <w:rPr>
                <w:rFonts w:ascii="Verdana" w:eastAsia="Verdana" w:hAnsi="Verdana" w:cs="Verdana"/>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14:paraId="58EFB26C" w14:textId="77777777" w:rsidR="00807FFE" w:rsidRDefault="00807FFE">
            <w:pPr>
              <w:pStyle w:val="DMETW36743BIPBS"/>
              <w:rPr>
                <w:rFonts w:ascii="Verdana" w:eastAsia="Verdana" w:hAnsi="Verdana" w:cs="Verdana"/>
                <w:noProof/>
                <w:color w:val="000000"/>
                <w:sz w:val="18"/>
                <w:lang w:bidi="en-GB"/>
              </w:rPr>
            </w:pPr>
          </w:p>
        </w:tc>
      </w:tr>
      <w:tr w:rsidR="00807FFE" w14:paraId="44C284D6"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5C52544A"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Provisions</w:t>
            </w:r>
          </w:p>
        </w:tc>
        <w:tc>
          <w:tcPr>
            <w:tcW w:w="1363" w:type="dxa"/>
            <w:tcBorders>
              <w:top w:val="nil"/>
              <w:left w:val="nil"/>
              <w:bottom w:val="nil"/>
              <w:right w:val="nil"/>
              <w:tl2br w:val="nil"/>
              <w:tr2bl w:val="nil"/>
            </w:tcBorders>
            <w:tcMar>
              <w:left w:w="60" w:type="dxa"/>
              <w:right w:w="60" w:type="dxa"/>
            </w:tcMar>
            <w:vAlign w:val="center"/>
          </w:tcPr>
          <w:p w14:paraId="5D787E29"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2.10</w:t>
            </w:r>
          </w:p>
        </w:tc>
        <w:tc>
          <w:tcPr>
            <w:tcW w:w="1363" w:type="dxa"/>
            <w:tcBorders>
              <w:top w:val="nil"/>
              <w:left w:val="nil"/>
              <w:bottom w:val="nil"/>
              <w:right w:val="nil"/>
              <w:tl2br w:val="nil"/>
              <w:tr2bl w:val="nil"/>
            </w:tcBorders>
            <w:tcMar>
              <w:left w:w="60" w:type="dxa"/>
              <w:right w:w="60" w:type="dxa"/>
            </w:tcMar>
            <w:vAlign w:val="center"/>
          </w:tcPr>
          <w:p w14:paraId="728CDE95"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 xml:space="preserve"> (464)</w:t>
            </w:r>
          </w:p>
        </w:tc>
        <w:tc>
          <w:tcPr>
            <w:tcW w:w="1363" w:type="dxa"/>
            <w:tcBorders>
              <w:top w:val="nil"/>
              <w:left w:val="nil"/>
              <w:bottom w:val="nil"/>
              <w:right w:val="nil"/>
              <w:tl2br w:val="nil"/>
              <w:tr2bl w:val="nil"/>
            </w:tcBorders>
            <w:tcMar>
              <w:left w:w="60" w:type="dxa"/>
              <w:right w:w="60" w:type="dxa"/>
            </w:tcMar>
            <w:vAlign w:val="center"/>
          </w:tcPr>
          <w:p w14:paraId="2143E55A"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(7 536)</w:t>
            </w:r>
          </w:p>
        </w:tc>
      </w:tr>
      <w:tr w:rsidR="00807FFE" w14:paraId="08FF0C19"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756EE918"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Financial liabilities</w:t>
            </w:r>
          </w:p>
        </w:tc>
        <w:tc>
          <w:tcPr>
            <w:tcW w:w="1363" w:type="dxa"/>
            <w:tcBorders>
              <w:top w:val="nil"/>
              <w:left w:val="nil"/>
              <w:bottom w:val="nil"/>
              <w:right w:val="nil"/>
              <w:tl2br w:val="nil"/>
              <w:tr2bl w:val="nil"/>
            </w:tcBorders>
            <w:tcMar>
              <w:left w:w="60" w:type="dxa"/>
              <w:right w:w="60" w:type="dxa"/>
            </w:tcMar>
            <w:vAlign w:val="center"/>
          </w:tcPr>
          <w:p w14:paraId="3AF13861"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2.11</w:t>
            </w:r>
          </w:p>
        </w:tc>
        <w:tc>
          <w:tcPr>
            <w:tcW w:w="1363" w:type="dxa"/>
            <w:tcBorders>
              <w:top w:val="nil"/>
              <w:left w:val="nil"/>
              <w:bottom w:val="nil"/>
              <w:right w:val="nil"/>
              <w:tl2br w:val="nil"/>
              <w:tr2bl w:val="nil"/>
            </w:tcBorders>
            <w:tcMar>
              <w:left w:w="60" w:type="dxa"/>
              <w:right w:w="60" w:type="dxa"/>
            </w:tcMar>
            <w:vAlign w:val="center"/>
          </w:tcPr>
          <w:p w14:paraId="530CA20D"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(96 769)</w:t>
            </w:r>
          </w:p>
        </w:tc>
        <w:tc>
          <w:tcPr>
            <w:tcW w:w="1363" w:type="dxa"/>
            <w:tcBorders>
              <w:top w:val="nil"/>
              <w:left w:val="nil"/>
              <w:bottom w:val="nil"/>
              <w:right w:val="nil"/>
              <w:tl2br w:val="nil"/>
              <w:tr2bl w:val="nil"/>
            </w:tcBorders>
            <w:tcMar>
              <w:left w:w="60" w:type="dxa"/>
              <w:right w:w="60" w:type="dxa"/>
            </w:tcMar>
            <w:vAlign w:val="center"/>
          </w:tcPr>
          <w:p w14:paraId="26B1AB22"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(62 328)</w:t>
            </w:r>
          </w:p>
        </w:tc>
      </w:tr>
      <w:tr w:rsidR="00807FFE" w14:paraId="674315BA"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3B7FDF44"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Payables</w:t>
            </w:r>
          </w:p>
        </w:tc>
        <w:tc>
          <w:tcPr>
            <w:tcW w:w="1363" w:type="dxa"/>
            <w:tcBorders>
              <w:top w:val="nil"/>
              <w:left w:val="nil"/>
              <w:bottom w:val="nil"/>
              <w:right w:val="nil"/>
              <w:tl2br w:val="nil"/>
              <w:tr2bl w:val="nil"/>
            </w:tcBorders>
            <w:tcMar>
              <w:left w:w="60" w:type="dxa"/>
              <w:right w:w="60" w:type="dxa"/>
            </w:tcMar>
            <w:vAlign w:val="center"/>
          </w:tcPr>
          <w:p w14:paraId="33A518C8"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2.12</w:t>
            </w:r>
          </w:p>
        </w:tc>
        <w:tc>
          <w:tcPr>
            <w:tcW w:w="1363" w:type="dxa"/>
            <w:tcBorders>
              <w:top w:val="nil"/>
              <w:left w:val="nil"/>
              <w:bottom w:val="nil"/>
              <w:right w:val="nil"/>
              <w:tl2br w:val="nil"/>
              <w:tr2bl w:val="nil"/>
            </w:tcBorders>
            <w:tcMar>
              <w:left w:w="60" w:type="dxa"/>
              <w:right w:w="60" w:type="dxa"/>
            </w:tcMar>
            <w:vAlign w:val="center"/>
          </w:tcPr>
          <w:p w14:paraId="5FB48BC4"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(65 037)</w:t>
            </w:r>
          </w:p>
        </w:tc>
        <w:tc>
          <w:tcPr>
            <w:tcW w:w="1363" w:type="dxa"/>
            <w:tcBorders>
              <w:top w:val="nil"/>
              <w:left w:val="nil"/>
              <w:bottom w:val="nil"/>
              <w:right w:val="nil"/>
              <w:tl2br w:val="nil"/>
              <w:tr2bl w:val="nil"/>
            </w:tcBorders>
            <w:tcMar>
              <w:left w:w="60" w:type="dxa"/>
              <w:right w:w="60" w:type="dxa"/>
            </w:tcMar>
            <w:vAlign w:val="center"/>
          </w:tcPr>
          <w:p w14:paraId="2C62D99D"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(55 414)</w:t>
            </w:r>
          </w:p>
        </w:tc>
      </w:tr>
      <w:tr w:rsidR="00807FFE" w14:paraId="7D073683" w14:textId="77777777">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14:paraId="13A57B88"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Accrued charges and deferred income</w:t>
            </w:r>
          </w:p>
        </w:tc>
        <w:tc>
          <w:tcPr>
            <w:tcW w:w="1363" w:type="dxa"/>
            <w:tcBorders>
              <w:top w:val="nil"/>
              <w:left w:val="nil"/>
              <w:bottom w:val="single" w:sz="4" w:space="0" w:color="016794"/>
              <w:right w:val="nil"/>
              <w:tl2br w:val="nil"/>
              <w:tr2bl w:val="nil"/>
            </w:tcBorders>
            <w:tcMar>
              <w:left w:w="60" w:type="dxa"/>
              <w:right w:w="60" w:type="dxa"/>
            </w:tcMar>
            <w:vAlign w:val="center"/>
          </w:tcPr>
          <w:p w14:paraId="4E80C6A7"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2.13</w:t>
            </w:r>
          </w:p>
        </w:tc>
        <w:tc>
          <w:tcPr>
            <w:tcW w:w="1363" w:type="dxa"/>
            <w:tcBorders>
              <w:top w:val="nil"/>
              <w:left w:val="nil"/>
              <w:bottom w:val="single" w:sz="4" w:space="0" w:color="016794"/>
              <w:right w:val="nil"/>
              <w:tl2br w:val="nil"/>
              <w:tr2bl w:val="nil"/>
            </w:tcBorders>
            <w:tcMar>
              <w:left w:w="60" w:type="dxa"/>
              <w:right w:w="60" w:type="dxa"/>
            </w:tcMar>
            <w:vAlign w:val="center"/>
          </w:tcPr>
          <w:p w14:paraId="3D51E1FD"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(77 048)</w:t>
            </w:r>
          </w:p>
        </w:tc>
        <w:tc>
          <w:tcPr>
            <w:tcW w:w="1363" w:type="dxa"/>
            <w:tcBorders>
              <w:top w:val="nil"/>
              <w:left w:val="nil"/>
              <w:bottom w:val="single" w:sz="4" w:space="0" w:color="016794"/>
              <w:right w:val="nil"/>
              <w:tl2br w:val="nil"/>
              <w:tr2bl w:val="nil"/>
            </w:tcBorders>
            <w:tcMar>
              <w:left w:w="60" w:type="dxa"/>
              <w:right w:w="60" w:type="dxa"/>
            </w:tcMar>
            <w:vAlign w:val="center"/>
          </w:tcPr>
          <w:p w14:paraId="09578147"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(67 091)</w:t>
            </w:r>
          </w:p>
        </w:tc>
      </w:tr>
      <w:tr w:rsidR="00807FFE" w14:paraId="6F4BDC13" w14:textId="77777777">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14:paraId="18C348DC" w14:textId="77777777" w:rsidR="00807FFE" w:rsidRDefault="00807FFE">
            <w:pPr>
              <w:pStyle w:val="DMETW36743BIPBS"/>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14:paraId="16CEF0C6" w14:textId="77777777" w:rsidR="00807FFE" w:rsidRDefault="00807FFE">
            <w:pPr>
              <w:pStyle w:val="DMETW36743BIPBS"/>
              <w:jc w:val="center"/>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14:paraId="1BF78F09"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(239 319)</w:t>
            </w:r>
          </w:p>
        </w:tc>
        <w:tc>
          <w:tcPr>
            <w:tcW w:w="1363" w:type="dxa"/>
            <w:tcBorders>
              <w:top w:val="single" w:sz="4" w:space="0" w:color="016794"/>
              <w:left w:val="nil"/>
              <w:bottom w:val="nil"/>
              <w:right w:val="nil"/>
              <w:tl2br w:val="nil"/>
              <w:tr2bl w:val="nil"/>
            </w:tcBorders>
            <w:tcMar>
              <w:left w:w="60" w:type="dxa"/>
              <w:right w:w="60" w:type="dxa"/>
            </w:tcMar>
            <w:vAlign w:val="center"/>
          </w:tcPr>
          <w:p w14:paraId="0336FB1B" w14:textId="77777777" w:rsidR="00807FFE" w:rsidRDefault="00023E71">
            <w:pPr>
              <w:pStyle w:val="DMETW36743BIPBS"/>
              <w:jc w:val="right"/>
              <w:rPr>
                <w:rFonts w:ascii="Verdana" w:eastAsia="Verdana" w:hAnsi="Verdana" w:cs="Verdana"/>
                <w:b/>
                <w:noProof/>
                <w:color w:val="000000"/>
                <w:sz w:val="18"/>
                <w:lang w:bidi="en-GB"/>
              </w:rPr>
            </w:pPr>
            <w:r>
              <w:rPr>
                <w:rFonts w:ascii="Verdana" w:eastAsia="Verdana" w:hAnsi="Verdana" w:cs="Verdana"/>
                <w:b/>
                <w:noProof/>
                <w:color w:val="000000"/>
                <w:sz w:val="18"/>
              </w:rPr>
              <w:t>(192 368)</w:t>
            </w:r>
          </w:p>
        </w:tc>
      </w:tr>
      <w:tr w:rsidR="00807FFE" w14:paraId="63B5D692" w14:textId="77777777">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14:paraId="4C46B79F" w14:textId="77777777" w:rsidR="00807FFE" w:rsidRDefault="00023E71">
            <w:pPr>
              <w:pStyle w:val="DMETW36743BIPBS"/>
              <w:rPr>
                <w:rFonts w:ascii="Verdana" w:eastAsia="Verdana" w:hAnsi="Verdana" w:cs="Verdana"/>
                <w:b/>
                <w:noProof/>
                <w:color w:val="000000"/>
                <w:sz w:val="18"/>
              </w:rPr>
            </w:pPr>
            <w:r>
              <w:rPr>
                <w:rFonts w:ascii="Verdana" w:eastAsia="Verdana" w:hAnsi="Verdana" w:cs="Verdana"/>
                <w:b/>
                <w:noProof/>
                <w:color w:val="000000"/>
                <w:sz w:val="18"/>
              </w:rPr>
              <w:t>TOTAL LIABILITIES</w:t>
            </w: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4FFF1CC3" w14:textId="77777777" w:rsidR="00807FFE" w:rsidRDefault="00807FFE">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08FF420E"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(976 614)</w:t>
            </w: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4395C510" w14:textId="77777777" w:rsidR="00807FFE" w:rsidRDefault="00023E71">
            <w:pPr>
              <w:pStyle w:val="DMETW36743BIPBS"/>
              <w:jc w:val="right"/>
              <w:rPr>
                <w:rFonts w:ascii="Verdana" w:eastAsia="Verdana" w:hAnsi="Verdana" w:cs="Verdana"/>
                <w:b/>
                <w:noProof/>
                <w:color w:val="000000"/>
                <w:sz w:val="18"/>
                <w:lang w:bidi="en-GB"/>
              </w:rPr>
            </w:pPr>
            <w:r>
              <w:rPr>
                <w:rFonts w:ascii="Verdana" w:eastAsia="Verdana" w:hAnsi="Verdana" w:cs="Verdana"/>
                <w:b/>
                <w:noProof/>
                <w:color w:val="000000"/>
                <w:sz w:val="18"/>
              </w:rPr>
              <w:t>(827 319)</w:t>
            </w:r>
          </w:p>
        </w:tc>
      </w:tr>
      <w:tr w:rsidR="00807FFE" w14:paraId="41F96938"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51F57E1F" w14:textId="77777777" w:rsidR="00807FFE" w:rsidRDefault="00807FFE">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51F4585B" w14:textId="77777777" w:rsidR="00807FFE" w:rsidRDefault="00807FFE">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25EE86E2" w14:textId="77777777" w:rsidR="00807FFE" w:rsidRDefault="00807FFE">
            <w:pPr>
              <w:pStyle w:val="DMETW36743BIPBS"/>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4AB94E30" w14:textId="77777777" w:rsidR="00807FFE" w:rsidRDefault="00807FFE">
            <w:pPr>
              <w:pStyle w:val="DMETW36743BIPBS"/>
              <w:rPr>
                <w:rFonts w:ascii="Verdana" w:eastAsia="Verdana" w:hAnsi="Verdana" w:cs="Verdana"/>
                <w:noProof/>
                <w:color w:val="000000"/>
                <w:sz w:val="18"/>
                <w:lang w:bidi="en-GB"/>
              </w:rPr>
            </w:pPr>
          </w:p>
        </w:tc>
      </w:tr>
      <w:tr w:rsidR="00807FFE" w14:paraId="3444DBD2" w14:textId="77777777">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14:paraId="184664C2" w14:textId="77777777" w:rsidR="00807FFE" w:rsidRDefault="00023E71">
            <w:pPr>
              <w:pStyle w:val="DMETW36743BIPBS"/>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5F943107" w14:textId="77777777" w:rsidR="00807FFE" w:rsidRDefault="00807FFE">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5329CF7B"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(359 167)</w:t>
            </w: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060977C8" w14:textId="77777777" w:rsidR="00807FFE" w:rsidRDefault="00023E71">
            <w:pPr>
              <w:pStyle w:val="DMETW36743BIPBS"/>
              <w:jc w:val="right"/>
              <w:rPr>
                <w:rFonts w:ascii="Verdana" w:eastAsia="Verdana" w:hAnsi="Verdana" w:cs="Verdana"/>
                <w:b/>
                <w:noProof/>
                <w:color w:val="000000"/>
                <w:sz w:val="18"/>
                <w:lang w:bidi="en-GB"/>
              </w:rPr>
            </w:pPr>
            <w:r>
              <w:rPr>
                <w:rFonts w:ascii="Verdana" w:eastAsia="Verdana" w:hAnsi="Verdana" w:cs="Verdana"/>
                <w:b/>
                <w:noProof/>
                <w:color w:val="000000"/>
                <w:sz w:val="18"/>
              </w:rPr>
              <w:t>(308 824)</w:t>
            </w:r>
          </w:p>
        </w:tc>
      </w:tr>
      <w:tr w:rsidR="00807FFE" w14:paraId="61AD709B"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50B1C88D" w14:textId="77777777" w:rsidR="00807FFE" w:rsidRDefault="00807FFE">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4F67AB14" w14:textId="77777777" w:rsidR="00807FFE" w:rsidRDefault="00807FFE">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571B00A5" w14:textId="77777777" w:rsidR="00807FFE" w:rsidRDefault="00807FFE">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14:paraId="41F4A6BD" w14:textId="77777777" w:rsidR="00807FFE" w:rsidRDefault="00807FFE">
            <w:pPr>
              <w:pStyle w:val="DMETW36743BIPBS"/>
              <w:jc w:val="right"/>
              <w:rPr>
                <w:rFonts w:ascii="Verdana" w:eastAsia="Verdana" w:hAnsi="Verdana" w:cs="Verdana"/>
                <w:b/>
                <w:noProof/>
                <w:color w:val="000000"/>
                <w:sz w:val="18"/>
                <w:lang w:bidi="en-GB"/>
              </w:rPr>
            </w:pPr>
          </w:p>
        </w:tc>
      </w:tr>
      <w:tr w:rsidR="00807FFE" w14:paraId="1F31DDDB"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55C5E33E"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Reserves</w:t>
            </w:r>
          </w:p>
        </w:tc>
        <w:tc>
          <w:tcPr>
            <w:tcW w:w="1363" w:type="dxa"/>
            <w:tcBorders>
              <w:top w:val="nil"/>
              <w:left w:val="nil"/>
              <w:bottom w:val="nil"/>
              <w:right w:val="nil"/>
              <w:tl2br w:val="nil"/>
              <w:tr2bl w:val="nil"/>
            </w:tcBorders>
            <w:tcMar>
              <w:left w:w="60" w:type="dxa"/>
              <w:right w:w="60" w:type="dxa"/>
            </w:tcMar>
            <w:vAlign w:val="center"/>
          </w:tcPr>
          <w:p w14:paraId="23ABA1CF"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2.14</w:t>
            </w:r>
          </w:p>
        </w:tc>
        <w:tc>
          <w:tcPr>
            <w:tcW w:w="1363" w:type="dxa"/>
            <w:tcBorders>
              <w:top w:val="nil"/>
              <w:left w:val="nil"/>
              <w:bottom w:val="nil"/>
              <w:right w:val="nil"/>
              <w:tl2br w:val="nil"/>
              <w:tr2bl w:val="nil"/>
            </w:tcBorders>
            <w:tcMar>
              <w:left w:w="60" w:type="dxa"/>
              <w:right w:w="60" w:type="dxa"/>
            </w:tcMar>
            <w:vAlign w:val="center"/>
          </w:tcPr>
          <w:p w14:paraId="0A6B4557"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 xml:space="preserve"> 941</w:t>
            </w:r>
          </w:p>
        </w:tc>
        <w:tc>
          <w:tcPr>
            <w:tcW w:w="1363" w:type="dxa"/>
            <w:tcBorders>
              <w:top w:val="nil"/>
              <w:left w:val="nil"/>
              <w:bottom w:val="nil"/>
              <w:right w:val="nil"/>
              <w:tl2br w:val="nil"/>
              <w:tr2bl w:val="nil"/>
            </w:tcBorders>
            <w:tcMar>
              <w:left w:w="60" w:type="dxa"/>
              <w:right w:w="60" w:type="dxa"/>
            </w:tcMar>
            <w:vAlign w:val="center"/>
          </w:tcPr>
          <w:p w14:paraId="504FC47D"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986</w:t>
            </w:r>
          </w:p>
        </w:tc>
      </w:tr>
      <w:tr w:rsidR="00807FFE" w14:paraId="1D9B0466" w14:textId="77777777">
        <w:trPr>
          <w:trHeight w:hRule="exact" w:val="255"/>
        </w:trPr>
        <w:tc>
          <w:tcPr>
            <w:tcW w:w="5669" w:type="dxa"/>
            <w:tcBorders>
              <w:top w:val="nil"/>
              <w:left w:val="nil"/>
              <w:bottom w:val="nil"/>
              <w:right w:val="nil"/>
              <w:tl2br w:val="nil"/>
              <w:tr2bl w:val="nil"/>
            </w:tcBorders>
            <w:tcMar>
              <w:left w:w="60" w:type="dxa"/>
              <w:right w:w="60" w:type="dxa"/>
            </w:tcMar>
            <w:vAlign w:val="center"/>
          </w:tcPr>
          <w:p w14:paraId="5718EA5B" w14:textId="77777777" w:rsidR="00807FFE" w:rsidRDefault="00023E71">
            <w:pPr>
              <w:pStyle w:val="DMETW36743BIPBS"/>
              <w:rPr>
                <w:rFonts w:ascii="Verdana" w:eastAsia="Verdana" w:hAnsi="Verdana" w:cs="Verdana"/>
                <w:i/>
                <w:noProof/>
                <w:color w:val="000000"/>
                <w:sz w:val="18"/>
              </w:rPr>
            </w:pPr>
            <w:r>
              <w:rPr>
                <w:rFonts w:ascii="Verdana" w:eastAsia="Verdana" w:hAnsi="Verdana" w:cs="Verdana"/>
                <w:i/>
                <w:noProof/>
                <w:color w:val="000000"/>
                <w:sz w:val="18"/>
              </w:rPr>
              <w:t>Amounts to be called from Member States*</w:t>
            </w:r>
          </w:p>
        </w:tc>
        <w:tc>
          <w:tcPr>
            <w:tcW w:w="1363" w:type="dxa"/>
            <w:tcBorders>
              <w:top w:val="nil"/>
              <w:left w:val="nil"/>
              <w:bottom w:val="nil"/>
              <w:right w:val="nil"/>
              <w:tl2br w:val="nil"/>
              <w:tr2bl w:val="nil"/>
            </w:tcBorders>
            <w:tcMar>
              <w:left w:w="60" w:type="dxa"/>
              <w:right w:w="60" w:type="dxa"/>
            </w:tcMar>
            <w:vAlign w:val="center"/>
          </w:tcPr>
          <w:p w14:paraId="71E3900E" w14:textId="77777777" w:rsidR="00807FFE" w:rsidRDefault="00023E71">
            <w:pPr>
              <w:pStyle w:val="DMETW36743BIPBS"/>
              <w:jc w:val="center"/>
              <w:rPr>
                <w:rFonts w:ascii="Verdana" w:eastAsia="Verdana" w:hAnsi="Verdana" w:cs="Verdana"/>
                <w:i/>
                <w:noProof/>
                <w:color w:val="000000"/>
                <w:sz w:val="18"/>
              </w:rPr>
            </w:pPr>
            <w:r>
              <w:rPr>
                <w:rFonts w:ascii="Verdana" w:eastAsia="Verdana" w:hAnsi="Verdana" w:cs="Verdana"/>
                <w:i/>
                <w:noProof/>
                <w:color w:val="000000"/>
                <w:sz w:val="18"/>
              </w:rPr>
              <w:t>2.15</w:t>
            </w:r>
          </w:p>
        </w:tc>
        <w:tc>
          <w:tcPr>
            <w:tcW w:w="1363" w:type="dxa"/>
            <w:tcBorders>
              <w:top w:val="nil"/>
              <w:left w:val="nil"/>
              <w:bottom w:val="nil"/>
              <w:right w:val="nil"/>
              <w:tl2br w:val="nil"/>
              <w:tr2bl w:val="nil"/>
            </w:tcBorders>
            <w:tcMar>
              <w:left w:w="60" w:type="dxa"/>
              <w:right w:w="60" w:type="dxa"/>
            </w:tcMar>
            <w:vAlign w:val="center"/>
          </w:tcPr>
          <w:p w14:paraId="421A519C" w14:textId="77777777" w:rsidR="00807FFE" w:rsidRDefault="00023E71">
            <w:pPr>
              <w:pStyle w:val="DMETW36743BIPBS"/>
              <w:jc w:val="right"/>
              <w:rPr>
                <w:rFonts w:ascii="Verdana" w:eastAsia="Verdana" w:hAnsi="Verdana" w:cs="Verdana"/>
                <w:i/>
                <w:noProof/>
                <w:color w:val="000000"/>
                <w:sz w:val="18"/>
              </w:rPr>
            </w:pPr>
            <w:r>
              <w:rPr>
                <w:rFonts w:ascii="Verdana" w:eastAsia="Verdana" w:hAnsi="Verdana" w:cs="Verdana"/>
                <w:i/>
                <w:noProof/>
                <w:color w:val="000000"/>
                <w:sz w:val="18"/>
              </w:rPr>
              <w:t>(360 108)</w:t>
            </w:r>
          </w:p>
        </w:tc>
        <w:tc>
          <w:tcPr>
            <w:tcW w:w="1363" w:type="dxa"/>
            <w:tcBorders>
              <w:top w:val="nil"/>
              <w:left w:val="nil"/>
              <w:bottom w:val="nil"/>
              <w:right w:val="nil"/>
              <w:tl2br w:val="nil"/>
              <w:tr2bl w:val="nil"/>
            </w:tcBorders>
            <w:tcMar>
              <w:left w:w="60" w:type="dxa"/>
              <w:right w:w="60" w:type="dxa"/>
            </w:tcMar>
            <w:vAlign w:val="center"/>
          </w:tcPr>
          <w:p w14:paraId="06B9B680" w14:textId="77777777" w:rsidR="00807FFE" w:rsidRDefault="00023E71">
            <w:pPr>
              <w:pStyle w:val="DMETW36743BIPBS"/>
              <w:jc w:val="right"/>
              <w:rPr>
                <w:rFonts w:ascii="Verdana" w:eastAsia="Verdana" w:hAnsi="Verdana" w:cs="Verdana"/>
                <w:i/>
                <w:noProof/>
                <w:color w:val="000000"/>
                <w:sz w:val="18"/>
                <w:lang w:bidi="en-GB"/>
              </w:rPr>
            </w:pPr>
            <w:r>
              <w:rPr>
                <w:rFonts w:ascii="Verdana" w:eastAsia="Verdana" w:hAnsi="Verdana" w:cs="Verdana"/>
                <w:i/>
                <w:noProof/>
                <w:color w:val="000000"/>
                <w:sz w:val="18"/>
              </w:rPr>
              <w:t>(309 810)</w:t>
            </w:r>
          </w:p>
        </w:tc>
      </w:tr>
      <w:tr w:rsidR="00807FFE" w14:paraId="3F53F315" w14:textId="77777777">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14:paraId="5F0483DC" w14:textId="77777777" w:rsidR="00807FFE" w:rsidRDefault="00023E71">
            <w:pPr>
              <w:pStyle w:val="DMETW36743BIPBS"/>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4B4381B6" w14:textId="77777777" w:rsidR="00807FFE" w:rsidRDefault="00807FFE">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77D40771"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(359 167)</w:t>
            </w:r>
          </w:p>
        </w:tc>
        <w:tc>
          <w:tcPr>
            <w:tcW w:w="1363" w:type="dxa"/>
            <w:tcBorders>
              <w:top w:val="nil"/>
              <w:left w:val="nil"/>
              <w:bottom w:val="nil"/>
              <w:right w:val="nil"/>
              <w:tl2br w:val="nil"/>
              <w:tr2bl w:val="nil"/>
            </w:tcBorders>
            <w:shd w:val="solid" w:color="CCE1EA" w:fill="FFFFFF"/>
            <w:tcMar>
              <w:left w:w="60" w:type="dxa"/>
              <w:right w:w="60" w:type="dxa"/>
            </w:tcMar>
            <w:vAlign w:val="center"/>
          </w:tcPr>
          <w:p w14:paraId="1C2E8293" w14:textId="77777777" w:rsidR="00807FFE" w:rsidRDefault="00023E71">
            <w:pPr>
              <w:pStyle w:val="DMETW36743BIPBS"/>
              <w:jc w:val="right"/>
              <w:rPr>
                <w:rFonts w:ascii="Verdana" w:eastAsia="Verdana" w:hAnsi="Verdana" w:cs="Verdana"/>
                <w:b/>
                <w:noProof/>
                <w:color w:val="000000"/>
                <w:sz w:val="18"/>
              </w:rPr>
            </w:pPr>
            <w:r>
              <w:rPr>
                <w:rFonts w:ascii="Verdana" w:eastAsia="Verdana" w:hAnsi="Verdana" w:cs="Verdana"/>
                <w:b/>
                <w:noProof/>
                <w:color w:val="000000"/>
                <w:sz w:val="18"/>
              </w:rPr>
              <w:t>(308 824)</w:t>
            </w:r>
          </w:p>
        </w:tc>
      </w:tr>
    </w:tbl>
    <w:p w14:paraId="12A13084" w14:textId="77777777" w:rsidR="00027455" w:rsidRPr="0038630F" w:rsidRDefault="00023E71" w:rsidP="006F615E">
      <w:pPr>
        <w:pStyle w:val="Textstand-alone"/>
        <w:tabs>
          <w:tab w:val="left" w:pos="170"/>
        </w:tabs>
        <w:spacing w:before="60"/>
        <w:ind w:left="170" w:hanging="170"/>
        <w:rPr>
          <w:i/>
          <w:sz w:val="14"/>
        </w:rPr>
      </w:pPr>
      <w:r>
        <w:rPr>
          <w:i/>
          <w:sz w:val="14"/>
        </w:rPr>
        <w:t>*</w:t>
      </w:r>
      <w:r>
        <w:rPr>
          <w:i/>
          <w:sz w:val="14"/>
        </w:rPr>
        <w:tab/>
      </w:r>
      <w:r w:rsidRPr="00F1546F">
        <w:rPr>
          <w:i/>
          <w:sz w:val="14"/>
        </w:rPr>
        <w:t>The European Parliament adopted a budget on 2</w:t>
      </w:r>
      <w:r>
        <w:rPr>
          <w:i/>
          <w:sz w:val="14"/>
        </w:rPr>
        <w:t>6</w:t>
      </w:r>
      <w:r w:rsidRPr="00F1546F">
        <w:rPr>
          <w:i/>
          <w:sz w:val="14"/>
        </w:rPr>
        <w:t xml:space="preserve"> November 202</w:t>
      </w:r>
      <w:r>
        <w:rPr>
          <w:i/>
          <w:sz w:val="14"/>
        </w:rPr>
        <w:t>5</w:t>
      </w:r>
      <w:r w:rsidRPr="00F1546F">
        <w:rPr>
          <w:i/>
          <w:sz w:val="14"/>
        </w:rPr>
        <w:t xml:space="preserve"> which provides for the payment of the </w:t>
      </w:r>
      <w:r>
        <w:rPr>
          <w:i/>
          <w:sz w:val="14"/>
        </w:rPr>
        <w:t>EU</w:t>
      </w:r>
      <w:r w:rsidRPr="00F1546F">
        <w:rPr>
          <w:i/>
          <w:sz w:val="14"/>
        </w:rPr>
        <w:t xml:space="preserve">'s short-term liabilities from own resources to be collected by, or called up from, the Member States in the following year. Additionally, under Article 83 of the Staff Regulations (Regulation (EEC, Euratom, ECSC) No 259/68 </w:t>
      </w:r>
      <w:r>
        <w:rPr>
          <w:i/>
          <w:sz w:val="14"/>
        </w:rPr>
        <w:t xml:space="preserve">(OJ L 56, 4.3.1968, p.1) </w:t>
      </w:r>
      <w:r w:rsidRPr="00F1546F">
        <w:rPr>
          <w:i/>
          <w:sz w:val="14"/>
        </w:rPr>
        <w:t>of 29 February 1968 as amended), the Member States shall jointly guara</w:t>
      </w:r>
      <w:r>
        <w:rPr>
          <w:i/>
          <w:sz w:val="14"/>
        </w:rPr>
        <w:t>ntee the liability for pensions</w:t>
      </w:r>
      <w:r w:rsidRPr="0038630F">
        <w:rPr>
          <w:i/>
          <w:sz w:val="14"/>
        </w:rPr>
        <w:t>.</w:t>
      </w:r>
    </w:p>
    <w:bookmarkEnd w:id="57"/>
    <w:p w14:paraId="4CCF0128" w14:textId="77777777" w:rsidR="00781DE0" w:rsidRPr="006A3072" w:rsidRDefault="00781DE0" w:rsidP="006934B1">
      <w:pPr>
        <w:pStyle w:val="Textstand-alone"/>
        <w:rPr>
          <w:i/>
        </w:rPr>
        <w:sectPr w:rsidR="00781DE0" w:rsidRPr="006A3072">
          <w:headerReference w:type="default" r:id="rId51"/>
          <w:footerReference w:type="default" r:id="rId52"/>
          <w:pgSz w:w="11906" w:h="16838"/>
          <w:pgMar w:top="1134" w:right="1134" w:bottom="1134" w:left="1134" w:header="709" w:footer="709" w:gutter="0"/>
          <w:cols w:space="708"/>
          <w:docGrid w:linePitch="360"/>
        </w:sectPr>
      </w:pPr>
    </w:p>
    <w:p w14:paraId="3C6C4721" w14:textId="77777777" w:rsidR="00B231CF" w:rsidRDefault="00023E71" w:rsidP="00787FEE">
      <w:pPr>
        <w:pStyle w:val="HEADERTITLE1"/>
        <w:spacing w:after="0"/>
        <w:rPr>
          <w:lang w:val="fr-BE"/>
        </w:rPr>
      </w:pPr>
      <w:bookmarkStart w:id="59" w:name="_Toc232438934"/>
      <w:bookmarkStart w:id="60" w:name="_Toc232674974"/>
      <w:bookmarkStart w:id="61" w:name="_DMBM_36695"/>
      <w:r>
        <w:rPr>
          <w:lang w:val="fr-BE"/>
        </w:rPr>
        <w:t>STATEMENT OF FINANCIAL PERFORMANCE</w:t>
      </w:r>
      <w:bookmarkEnd w:id="59"/>
      <w:bookmarkEnd w:id="60"/>
    </w:p>
    <w:p w14:paraId="20F19089" w14:textId="77777777" w:rsidR="00EC4A72" w:rsidRDefault="00EC4A72" w:rsidP="007F10E7">
      <w:pPr>
        <w:pStyle w:val="HEADERTITLE1"/>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5"/>
        <w:gridCol w:w="846"/>
        <w:gridCol w:w="1743"/>
        <w:gridCol w:w="1444"/>
      </w:tblGrid>
      <w:tr w:rsidR="00807FFE" w14:paraId="4C98BD05"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6E429F8C" w14:textId="77777777" w:rsidR="00807FFE" w:rsidRDefault="00807FFE">
            <w:pPr>
              <w:pStyle w:val="DMETW36757BIPSOFP"/>
              <w:rPr>
                <w:rFonts w:ascii="Verdana" w:eastAsia="Verdana" w:hAnsi="Verdana" w:cs="Verdana"/>
                <w:i/>
                <w:noProof/>
                <w:color w:val="FFFFFF"/>
                <w:sz w:val="16"/>
                <w:lang w:bidi="en-GB"/>
              </w:rPr>
            </w:pPr>
            <w:bookmarkStart w:id="62" w:name="DOC_TBL00002_1_1"/>
            <w:bookmarkEnd w:id="62"/>
          </w:p>
        </w:tc>
        <w:tc>
          <w:tcPr>
            <w:tcW w:w="846" w:type="dxa"/>
            <w:tcBorders>
              <w:top w:val="nil"/>
              <w:left w:val="nil"/>
              <w:bottom w:val="nil"/>
              <w:right w:val="nil"/>
              <w:tl2br w:val="nil"/>
              <w:tr2bl w:val="nil"/>
            </w:tcBorders>
            <w:tcMar>
              <w:left w:w="60" w:type="dxa"/>
              <w:right w:w="60" w:type="dxa"/>
            </w:tcMar>
            <w:vAlign w:val="bottom"/>
          </w:tcPr>
          <w:p w14:paraId="0CEFBE84" w14:textId="77777777" w:rsidR="00807FFE" w:rsidRDefault="00807FFE">
            <w:pPr>
              <w:pStyle w:val="DMETW36757BIPSOFP"/>
              <w:rPr>
                <w:rFonts w:ascii="Arial" w:eastAsia="Arial" w:hAnsi="Arial" w:cs="Arial"/>
                <w:noProof/>
                <w:color w:val="000000"/>
              </w:rPr>
            </w:pPr>
          </w:p>
        </w:tc>
        <w:tc>
          <w:tcPr>
            <w:tcW w:w="1743" w:type="dxa"/>
            <w:tcBorders>
              <w:top w:val="nil"/>
              <w:left w:val="nil"/>
              <w:bottom w:val="nil"/>
              <w:right w:val="nil"/>
              <w:tl2br w:val="nil"/>
              <w:tr2bl w:val="nil"/>
            </w:tcBorders>
            <w:tcMar>
              <w:left w:w="60" w:type="dxa"/>
              <w:right w:w="60" w:type="dxa"/>
            </w:tcMar>
            <w:vAlign w:val="bottom"/>
          </w:tcPr>
          <w:p w14:paraId="646C7CC8" w14:textId="77777777" w:rsidR="00807FFE" w:rsidRDefault="00807FFE">
            <w:pPr>
              <w:pStyle w:val="DMETW36757BIPSOFP"/>
              <w:rPr>
                <w:rFonts w:ascii="Arial" w:eastAsia="Arial" w:hAnsi="Arial" w:cs="Arial"/>
                <w:noProof/>
                <w:color w:val="000000"/>
              </w:rPr>
            </w:pPr>
          </w:p>
        </w:tc>
        <w:tc>
          <w:tcPr>
            <w:tcW w:w="1444" w:type="dxa"/>
            <w:tcBorders>
              <w:top w:val="nil"/>
              <w:left w:val="nil"/>
              <w:bottom w:val="nil"/>
              <w:right w:val="nil"/>
              <w:tl2br w:val="nil"/>
              <w:tr2bl w:val="nil"/>
            </w:tcBorders>
            <w:tcMar>
              <w:left w:w="60" w:type="dxa"/>
              <w:right w:w="60" w:type="dxa"/>
            </w:tcMar>
            <w:vAlign w:val="bottom"/>
          </w:tcPr>
          <w:p w14:paraId="30FBF2A7" w14:textId="77777777" w:rsidR="00807FFE" w:rsidRDefault="00023E71">
            <w:pPr>
              <w:pStyle w:val="DMETW36757BIPSOFP"/>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9FBDC33" w14:textId="77777777">
        <w:trPr>
          <w:trHeight w:val="255"/>
        </w:trPr>
        <w:tc>
          <w:tcPr>
            <w:tcW w:w="5725" w:type="dxa"/>
            <w:tcBorders>
              <w:top w:val="nil"/>
              <w:left w:val="nil"/>
              <w:bottom w:val="nil"/>
              <w:right w:val="nil"/>
              <w:tl2br w:val="nil"/>
              <w:tr2bl w:val="nil"/>
            </w:tcBorders>
            <w:shd w:val="solid" w:color="016794" w:fill="FFFFFF"/>
            <w:tcMar>
              <w:left w:w="60" w:type="dxa"/>
              <w:right w:w="60" w:type="dxa"/>
            </w:tcMar>
            <w:vAlign w:val="center"/>
          </w:tcPr>
          <w:p w14:paraId="1A98462E" w14:textId="77777777" w:rsidR="00807FFE" w:rsidRDefault="00807FFE">
            <w:pPr>
              <w:pStyle w:val="DMETW36757BIPSOFP"/>
              <w:rPr>
                <w:rFonts w:ascii="Verdana" w:eastAsia="Verdana" w:hAnsi="Verdana" w:cs="Verdana"/>
                <w:noProof/>
                <w:color w:val="FFFFFF"/>
              </w:rPr>
            </w:pPr>
          </w:p>
        </w:tc>
        <w:tc>
          <w:tcPr>
            <w:tcW w:w="846" w:type="dxa"/>
            <w:tcBorders>
              <w:top w:val="nil"/>
              <w:left w:val="nil"/>
              <w:bottom w:val="nil"/>
              <w:right w:val="nil"/>
              <w:tl2br w:val="nil"/>
              <w:tr2bl w:val="nil"/>
            </w:tcBorders>
            <w:shd w:val="solid" w:color="016794" w:fill="FFFFFF"/>
            <w:tcMar>
              <w:left w:w="60" w:type="dxa"/>
              <w:right w:w="60" w:type="dxa"/>
            </w:tcMar>
            <w:vAlign w:val="center"/>
          </w:tcPr>
          <w:p w14:paraId="5EC912A0" w14:textId="77777777" w:rsidR="00807FFE" w:rsidRDefault="00023E71">
            <w:pPr>
              <w:pStyle w:val="DMETW36757BIPSOFP"/>
              <w:jc w:val="center"/>
              <w:rPr>
                <w:rFonts w:ascii="Verdana" w:eastAsia="Verdana" w:hAnsi="Verdana" w:cs="Verdana"/>
                <w:noProof/>
                <w:color w:val="FFFFFF"/>
              </w:rPr>
            </w:pPr>
            <w:r>
              <w:rPr>
                <w:rFonts w:ascii="Verdana" w:eastAsia="Verdana" w:hAnsi="Verdana" w:cs="Verdana"/>
                <w:noProof/>
                <w:color w:val="FFFFFF"/>
              </w:rPr>
              <w:t>Note</w:t>
            </w:r>
          </w:p>
        </w:tc>
        <w:tc>
          <w:tcPr>
            <w:tcW w:w="1743" w:type="dxa"/>
            <w:tcBorders>
              <w:top w:val="nil"/>
              <w:left w:val="nil"/>
              <w:bottom w:val="nil"/>
              <w:right w:val="nil"/>
              <w:tl2br w:val="nil"/>
              <w:tr2bl w:val="nil"/>
            </w:tcBorders>
            <w:shd w:val="solid" w:color="016794" w:fill="FFFFFF"/>
            <w:tcMar>
              <w:left w:w="60" w:type="dxa"/>
              <w:right w:w="60" w:type="dxa"/>
            </w:tcMar>
            <w:vAlign w:val="center"/>
          </w:tcPr>
          <w:p w14:paraId="62DC5BA4" w14:textId="77777777" w:rsidR="00807FFE" w:rsidRDefault="00023E71">
            <w:pPr>
              <w:pStyle w:val="DMETW36757BIPSOFP"/>
              <w:jc w:val="right"/>
              <w:rPr>
                <w:rFonts w:ascii="Verdana" w:eastAsia="Verdana" w:hAnsi="Verdana" w:cs="Verdana"/>
                <w:noProof/>
                <w:color w:val="FFFFFF"/>
              </w:rPr>
            </w:pPr>
            <w:r>
              <w:rPr>
                <w:rFonts w:ascii="Verdana" w:eastAsia="Verdana" w:hAnsi="Verdana" w:cs="Verdana"/>
                <w:noProof/>
                <w:color w:val="FFFFFF"/>
              </w:rPr>
              <w:t>2025</w:t>
            </w:r>
          </w:p>
        </w:tc>
        <w:tc>
          <w:tcPr>
            <w:tcW w:w="1444" w:type="dxa"/>
            <w:tcBorders>
              <w:top w:val="nil"/>
              <w:left w:val="nil"/>
              <w:bottom w:val="nil"/>
              <w:right w:val="nil"/>
              <w:tl2br w:val="nil"/>
              <w:tr2bl w:val="nil"/>
            </w:tcBorders>
            <w:shd w:val="solid" w:color="016794" w:fill="FFFFFF"/>
            <w:tcMar>
              <w:left w:w="60" w:type="dxa"/>
              <w:right w:w="60" w:type="dxa"/>
            </w:tcMar>
            <w:vAlign w:val="center"/>
          </w:tcPr>
          <w:p w14:paraId="3AB48269" w14:textId="77777777" w:rsidR="00807FFE" w:rsidRDefault="00023E71">
            <w:pPr>
              <w:pStyle w:val="DMETW36757BIPSOFP"/>
              <w:jc w:val="right"/>
              <w:rPr>
                <w:rFonts w:ascii="Verdana" w:eastAsia="Verdana" w:hAnsi="Verdana" w:cs="Verdana"/>
                <w:noProof/>
                <w:color w:val="FFFFFF"/>
                <w:lang w:bidi="en-GB"/>
              </w:rPr>
            </w:pPr>
            <w:r>
              <w:rPr>
                <w:rFonts w:ascii="Verdana" w:eastAsia="Verdana" w:hAnsi="Verdana" w:cs="Verdana"/>
                <w:noProof/>
                <w:color w:val="FFFFFF"/>
              </w:rPr>
              <w:t xml:space="preserve">2024     </w:t>
            </w:r>
          </w:p>
        </w:tc>
      </w:tr>
      <w:tr w:rsidR="00807FFE" w14:paraId="6A9D2B0D" w14:textId="77777777">
        <w:trPr>
          <w:trHeight w:val="255"/>
        </w:trPr>
        <w:tc>
          <w:tcPr>
            <w:tcW w:w="5725" w:type="dxa"/>
            <w:tcBorders>
              <w:top w:val="nil"/>
              <w:left w:val="nil"/>
              <w:bottom w:val="nil"/>
              <w:right w:val="nil"/>
              <w:tl2br w:val="nil"/>
              <w:tr2bl w:val="nil"/>
            </w:tcBorders>
            <w:shd w:val="solid" w:color="016794" w:fill="FFFFFF"/>
            <w:tcMar>
              <w:left w:w="60" w:type="dxa"/>
              <w:right w:w="60" w:type="dxa"/>
            </w:tcMar>
            <w:vAlign w:val="center"/>
          </w:tcPr>
          <w:p w14:paraId="0E3B5324" w14:textId="77777777" w:rsidR="00807FFE" w:rsidRDefault="00807FFE">
            <w:pPr>
              <w:pStyle w:val="DMETW36757BIPSOFP"/>
              <w:rPr>
                <w:rFonts w:ascii="Verdana" w:eastAsia="Verdana" w:hAnsi="Verdana" w:cs="Verdana"/>
                <w:noProof/>
                <w:color w:val="FFFFFF"/>
              </w:rPr>
            </w:pPr>
          </w:p>
        </w:tc>
        <w:tc>
          <w:tcPr>
            <w:tcW w:w="846" w:type="dxa"/>
            <w:tcBorders>
              <w:top w:val="nil"/>
              <w:left w:val="nil"/>
              <w:bottom w:val="nil"/>
              <w:right w:val="nil"/>
              <w:tl2br w:val="nil"/>
              <w:tr2bl w:val="nil"/>
            </w:tcBorders>
            <w:shd w:val="solid" w:color="016794" w:fill="FFFFFF"/>
            <w:tcMar>
              <w:left w:w="60" w:type="dxa"/>
              <w:right w:w="60" w:type="dxa"/>
            </w:tcMar>
            <w:vAlign w:val="center"/>
          </w:tcPr>
          <w:p w14:paraId="14F151EA" w14:textId="77777777" w:rsidR="00807FFE" w:rsidRDefault="00807FFE">
            <w:pPr>
              <w:pStyle w:val="DMETW36757BIPSOFP"/>
              <w:jc w:val="center"/>
              <w:rPr>
                <w:rFonts w:ascii="Verdana" w:eastAsia="Verdana" w:hAnsi="Verdana" w:cs="Verdana"/>
                <w:noProof/>
                <w:color w:val="FFFFFF"/>
              </w:rPr>
            </w:pPr>
          </w:p>
        </w:tc>
        <w:tc>
          <w:tcPr>
            <w:tcW w:w="1743" w:type="dxa"/>
            <w:tcBorders>
              <w:top w:val="nil"/>
              <w:left w:val="nil"/>
              <w:bottom w:val="nil"/>
              <w:right w:val="nil"/>
              <w:tl2br w:val="nil"/>
              <w:tr2bl w:val="nil"/>
            </w:tcBorders>
            <w:shd w:val="solid" w:color="016794" w:fill="FFFFFF"/>
            <w:tcMar>
              <w:left w:w="60" w:type="dxa"/>
              <w:right w:w="60" w:type="dxa"/>
            </w:tcMar>
            <w:vAlign w:val="center"/>
          </w:tcPr>
          <w:p w14:paraId="08E03C94" w14:textId="77777777" w:rsidR="00807FFE" w:rsidRDefault="00807FFE">
            <w:pPr>
              <w:pStyle w:val="DMETW36757BIPSOFP"/>
              <w:jc w:val="right"/>
              <w:rPr>
                <w:rFonts w:ascii="Verdana" w:eastAsia="Verdana" w:hAnsi="Verdana" w:cs="Verdana"/>
                <w:noProof/>
                <w:color w:val="FFFFFF"/>
              </w:rPr>
            </w:pPr>
          </w:p>
        </w:tc>
        <w:tc>
          <w:tcPr>
            <w:tcW w:w="1444" w:type="dxa"/>
            <w:tcBorders>
              <w:top w:val="nil"/>
              <w:left w:val="nil"/>
              <w:bottom w:val="nil"/>
              <w:right w:val="nil"/>
              <w:tl2br w:val="nil"/>
              <w:tr2bl w:val="nil"/>
            </w:tcBorders>
            <w:shd w:val="solid" w:color="016794" w:fill="FFFFFF"/>
            <w:tcMar>
              <w:left w:w="60" w:type="dxa"/>
              <w:right w:w="60" w:type="dxa"/>
            </w:tcMar>
            <w:vAlign w:val="center"/>
          </w:tcPr>
          <w:p w14:paraId="1D80A095" w14:textId="77777777" w:rsidR="00807FFE" w:rsidRDefault="00023E71">
            <w:pPr>
              <w:pStyle w:val="DMETW36757BIPSOFP"/>
              <w:jc w:val="right"/>
              <w:rPr>
                <w:rFonts w:ascii="Verdana" w:eastAsia="Verdana" w:hAnsi="Verdana" w:cs="Verdana"/>
                <w:noProof/>
                <w:color w:val="FFFFFF"/>
                <w:lang w:bidi="en-GB"/>
              </w:rPr>
            </w:pPr>
            <w:r>
              <w:rPr>
                <w:rFonts w:ascii="Verdana" w:eastAsia="Verdana" w:hAnsi="Verdana" w:cs="Verdana"/>
                <w:noProof/>
                <w:color w:val="FFFFFF"/>
              </w:rPr>
              <w:t>(reclassified)</w:t>
            </w:r>
          </w:p>
        </w:tc>
      </w:tr>
      <w:tr w:rsidR="00807FFE" w14:paraId="42AF38F0"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2A897108" w14:textId="77777777" w:rsidR="00807FFE" w:rsidRDefault="00023E71">
            <w:pPr>
              <w:pStyle w:val="DMETW36757BIPSOFP"/>
              <w:rPr>
                <w:rFonts w:ascii="Verdana" w:eastAsia="Verdana" w:hAnsi="Verdana" w:cs="Verdana"/>
                <w:b/>
                <w:noProof/>
                <w:color w:val="000000"/>
                <w:sz w:val="18"/>
              </w:rPr>
            </w:pPr>
            <w:r>
              <w:rPr>
                <w:rFonts w:ascii="Verdana" w:eastAsia="Verdana" w:hAnsi="Verdana" w:cs="Verdana"/>
                <w:b/>
                <w:noProof/>
                <w:color w:val="000000"/>
                <w:sz w:val="18"/>
              </w:rPr>
              <w:t>REVENUE</w:t>
            </w:r>
          </w:p>
        </w:tc>
        <w:tc>
          <w:tcPr>
            <w:tcW w:w="846" w:type="dxa"/>
            <w:tcBorders>
              <w:top w:val="nil"/>
              <w:left w:val="nil"/>
              <w:bottom w:val="nil"/>
              <w:right w:val="nil"/>
              <w:tl2br w:val="nil"/>
              <w:tr2bl w:val="nil"/>
            </w:tcBorders>
            <w:tcMar>
              <w:left w:w="60" w:type="dxa"/>
              <w:right w:w="60" w:type="dxa"/>
            </w:tcMar>
            <w:vAlign w:val="bottom"/>
          </w:tcPr>
          <w:p w14:paraId="75C21B8A" w14:textId="77777777" w:rsidR="00807FFE" w:rsidRDefault="00807FFE">
            <w:pPr>
              <w:pStyle w:val="DMETW36757BIPSOFP"/>
              <w:jc w:val="center"/>
              <w:rPr>
                <w:rFonts w:ascii="Verdana" w:eastAsia="Verdana" w:hAnsi="Verdana" w:cs="Verdana"/>
                <w:b/>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32A782F5" w14:textId="77777777" w:rsidR="00807FFE" w:rsidRDefault="00807FFE">
            <w:pPr>
              <w:pStyle w:val="DMETW36757BIPSOFP"/>
              <w:jc w:val="right"/>
              <w:rPr>
                <w:rFonts w:ascii="Arial" w:eastAsia="Arial" w:hAnsi="Arial" w:cs="Arial"/>
                <w:noProof/>
                <w:color w:val="000000"/>
              </w:rPr>
            </w:pPr>
          </w:p>
        </w:tc>
        <w:tc>
          <w:tcPr>
            <w:tcW w:w="1444" w:type="dxa"/>
            <w:tcBorders>
              <w:top w:val="nil"/>
              <w:left w:val="nil"/>
              <w:bottom w:val="nil"/>
              <w:right w:val="nil"/>
              <w:tl2br w:val="nil"/>
              <w:tr2bl w:val="nil"/>
            </w:tcBorders>
            <w:tcMar>
              <w:left w:w="60" w:type="dxa"/>
              <w:right w:w="60" w:type="dxa"/>
            </w:tcMar>
            <w:vAlign w:val="bottom"/>
          </w:tcPr>
          <w:p w14:paraId="5F57B45D" w14:textId="77777777" w:rsidR="00807FFE" w:rsidRDefault="00807FFE">
            <w:pPr>
              <w:pStyle w:val="DMETW36757BIPSOFP"/>
              <w:jc w:val="right"/>
              <w:rPr>
                <w:rFonts w:ascii="Arial" w:eastAsia="Arial" w:hAnsi="Arial" w:cs="Arial"/>
                <w:noProof/>
                <w:color w:val="000000"/>
                <w:lang w:bidi="en-GB"/>
              </w:rPr>
            </w:pPr>
          </w:p>
        </w:tc>
      </w:tr>
      <w:tr w:rsidR="00807FFE" w14:paraId="161C2901"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57283144" w14:textId="77777777" w:rsidR="00807FFE" w:rsidRDefault="00023E71">
            <w:pPr>
              <w:pStyle w:val="DMETW36757BIPSOFP"/>
              <w:rPr>
                <w:rFonts w:ascii="Verdana" w:eastAsia="Verdana" w:hAnsi="Verdana" w:cs="Verdana"/>
                <w:b/>
                <w:noProof/>
                <w:color w:val="000000"/>
                <w:sz w:val="18"/>
              </w:rPr>
            </w:pPr>
            <w:r>
              <w:rPr>
                <w:rFonts w:ascii="Verdana" w:eastAsia="Verdana" w:hAnsi="Verdana" w:cs="Verdana"/>
                <w:b/>
                <w:noProof/>
                <w:color w:val="000000"/>
                <w:sz w:val="18"/>
              </w:rPr>
              <w:t>Revenue from non-exchange transactions</w:t>
            </w:r>
          </w:p>
        </w:tc>
        <w:tc>
          <w:tcPr>
            <w:tcW w:w="846" w:type="dxa"/>
            <w:tcBorders>
              <w:top w:val="nil"/>
              <w:left w:val="nil"/>
              <w:bottom w:val="nil"/>
              <w:right w:val="nil"/>
              <w:tl2br w:val="nil"/>
              <w:tr2bl w:val="nil"/>
            </w:tcBorders>
            <w:tcMar>
              <w:left w:w="60" w:type="dxa"/>
              <w:right w:w="60" w:type="dxa"/>
            </w:tcMar>
            <w:vAlign w:val="bottom"/>
          </w:tcPr>
          <w:p w14:paraId="3BF6F4FD"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0C216E59" w14:textId="77777777" w:rsidR="00807FFE" w:rsidRDefault="00807FFE">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14:paraId="7992F70A" w14:textId="77777777" w:rsidR="00807FFE" w:rsidRDefault="00807FFE">
            <w:pPr>
              <w:pStyle w:val="DMETW36757BIPSOFP"/>
              <w:jc w:val="right"/>
              <w:rPr>
                <w:rFonts w:ascii="Verdana" w:eastAsia="Verdana" w:hAnsi="Verdana" w:cs="Verdana"/>
                <w:i/>
                <w:noProof/>
                <w:color w:val="000000"/>
                <w:sz w:val="18"/>
                <w:lang w:bidi="en-GB"/>
              </w:rPr>
            </w:pPr>
          </w:p>
        </w:tc>
      </w:tr>
      <w:tr w:rsidR="00807FFE" w14:paraId="1BB638C3"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515DD445"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GNI resources</w:t>
            </w:r>
          </w:p>
        </w:tc>
        <w:tc>
          <w:tcPr>
            <w:tcW w:w="846" w:type="dxa"/>
            <w:tcBorders>
              <w:top w:val="nil"/>
              <w:left w:val="nil"/>
              <w:bottom w:val="nil"/>
              <w:right w:val="nil"/>
              <w:tl2br w:val="nil"/>
              <w:tr2bl w:val="nil"/>
            </w:tcBorders>
            <w:tcMar>
              <w:left w:w="60" w:type="dxa"/>
              <w:right w:w="60" w:type="dxa"/>
            </w:tcMar>
            <w:vAlign w:val="bottom"/>
          </w:tcPr>
          <w:p w14:paraId="17A52ACB"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3.1</w:t>
            </w:r>
          </w:p>
        </w:tc>
        <w:tc>
          <w:tcPr>
            <w:tcW w:w="1743" w:type="dxa"/>
            <w:tcBorders>
              <w:top w:val="nil"/>
              <w:left w:val="nil"/>
              <w:bottom w:val="nil"/>
              <w:right w:val="nil"/>
              <w:tl2br w:val="nil"/>
              <w:tr2bl w:val="nil"/>
            </w:tcBorders>
            <w:tcMar>
              <w:left w:w="60" w:type="dxa"/>
              <w:right w:w="60" w:type="dxa"/>
            </w:tcMar>
            <w:vAlign w:val="bottom"/>
          </w:tcPr>
          <w:p w14:paraId="36676B6A"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106 342</w:t>
            </w:r>
          </w:p>
        </w:tc>
        <w:tc>
          <w:tcPr>
            <w:tcW w:w="1444" w:type="dxa"/>
            <w:tcBorders>
              <w:top w:val="nil"/>
              <w:left w:val="nil"/>
              <w:bottom w:val="nil"/>
              <w:right w:val="nil"/>
              <w:tl2br w:val="nil"/>
              <w:tr2bl w:val="nil"/>
            </w:tcBorders>
            <w:tcMar>
              <w:left w:w="60" w:type="dxa"/>
              <w:right w:w="60" w:type="dxa"/>
            </w:tcMar>
            <w:vAlign w:val="bottom"/>
          </w:tcPr>
          <w:p w14:paraId="389087CB"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95 037</w:t>
            </w:r>
          </w:p>
        </w:tc>
      </w:tr>
      <w:tr w:rsidR="00807FFE" w14:paraId="553F9B9F"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38AC454A"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Traditional own resources</w:t>
            </w:r>
          </w:p>
        </w:tc>
        <w:tc>
          <w:tcPr>
            <w:tcW w:w="846" w:type="dxa"/>
            <w:tcBorders>
              <w:top w:val="nil"/>
              <w:left w:val="nil"/>
              <w:bottom w:val="nil"/>
              <w:right w:val="nil"/>
              <w:tl2br w:val="nil"/>
              <w:tr2bl w:val="nil"/>
            </w:tcBorders>
            <w:tcMar>
              <w:left w:w="60" w:type="dxa"/>
              <w:right w:w="60" w:type="dxa"/>
            </w:tcMar>
            <w:vAlign w:val="bottom"/>
          </w:tcPr>
          <w:p w14:paraId="43EB076B"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3.2</w:t>
            </w:r>
          </w:p>
        </w:tc>
        <w:tc>
          <w:tcPr>
            <w:tcW w:w="1743" w:type="dxa"/>
            <w:tcBorders>
              <w:top w:val="nil"/>
              <w:left w:val="nil"/>
              <w:bottom w:val="nil"/>
              <w:right w:val="nil"/>
              <w:tl2br w:val="nil"/>
              <w:tr2bl w:val="nil"/>
            </w:tcBorders>
            <w:tcMar>
              <w:left w:w="60" w:type="dxa"/>
              <w:right w:w="60" w:type="dxa"/>
            </w:tcMar>
            <w:vAlign w:val="bottom"/>
          </w:tcPr>
          <w:p w14:paraId="2A885E0D"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23 436</w:t>
            </w:r>
          </w:p>
        </w:tc>
        <w:tc>
          <w:tcPr>
            <w:tcW w:w="1444" w:type="dxa"/>
            <w:tcBorders>
              <w:top w:val="nil"/>
              <w:left w:val="nil"/>
              <w:bottom w:val="nil"/>
              <w:right w:val="nil"/>
              <w:tl2br w:val="nil"/>
              <w:tr2bl w:val="nil"/>
            </w:tcBorders>
            <w:tcMar>
              <w:left w:w="60" w:type="dxa"/>
              <w:right w:w="60" w:type="dxa"/>
            </w:tcMar>
            <w:vAlign w:val="bottom"/>
          </w:tcPr>
          <w:p w14:paraId="4C8CEBD1"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20 587</w:t>
            </w:r>
          </w:p>
        </w:tc>
      </w:tr>
      <w:tr w:rsidR="00807FFE" w14:paraId="2A330A47"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044215C8"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VAT resources</w:t>
            </w:r>
          </w:p>
        </w:tc>
        <w:tc>
          <w:tcPr>
            <w:tcW w:w="846" w:type="dxa"/>
            <w:tcBorders>
              <w:top w:val="nil"/>
              <w:left w:val="nil"/>
              <w:bottom w:val="nil"/>
              <w:right w:val="nil"/>
              <w:tl2br w:val="nil"/>
              <w:tr2bl w:val="nil"/>
            </w:tcBorders>
            <w:tcMar>
              <w:left w:w="60" w:type="dxa"/>
              <w:right w:w="60" w:type="dxa"/>
            </w:tcMar>
            <w:vAlign w:val="bottom"/>
          </w:tcPr>
          <w:p w14:paraId="764A4629"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3.3</w:t>
            </w:r>
          </w:p>
        </w:tc>
        <w:tc>
          <w:tcPr>
            <w:tcW w:w="1743" w:type="dxa"/>
            <w:tcBorders>
              <w:top w:val="nil"/>
              <w:left w:val="nil"/>
              <w:bottom w:val="nil"/>
              <w:right w:val="nil"/>
              <w:tl2br w:val="nil"/>
              <w:tr2bl w:val="nil"/>
            </w:tcBorders>
            <w:tcMar>
              <w:left w:w="60" w:type="dxa"/>
              <w:right w:w="60" w:type="dxa"/>
            </w:tcMar>
            <w:vAlign w:val="bottom"/>
          </w:tcPr>
          <w:p w14:paraId="1A728F0E"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25 728</w:t>
            </w:r>
          </w:p>
        </w:tc>
        <w:tc>
          <w:tcPr>
            <w:tcW w:w="1444" w:type="dxa"/>
            <w:tcBorders>
              <w:top w:val="nil"/>
              <w:left w:val="nil"/>
              <w:bottom w:val="nil"/>
              <w:right w:val="nil"/>
              <w:tl2br w:val="nil"/>
              <w:tr2bl w:val="nil"/>
            </w:tcBorders>
            <w:tcMar>
              <w:left w:w="60" w:type="dxa"/>
              <w:right w:w="60" w:type="dxa"/>
            </w:tcMar>
            <w:vAlign w:val="bottom"/>
          </w:tcPr>
          <w:p w14:paraId="37E6BED0"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24 547</w:t>
            </w:r>
          </w:p>
        </w:tc>
      </w:tr>
      <w:tr w:rsidR="00807FFE" w14:paraId="1773B410"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031E2209"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Plastics own resources</w:t>
            </w:r>
          </w:p>
        </w:tc>
        <w:tc>
          <w:tcPr>
            <w:tcW w:w="846" w:type="dxa"/>
            <w:tcBorders>
              <w:top w:val="nil"/>
              <w:left w:val="nil"/>
              <w:bottom w:val="nil"/>
              <w:right w:val="nil"/>
              <w:tl2br w:val="nil"/>
              <w:tr2bl w:val="nil"/>
            </w:tcBorders>
            <w:tcMar>
              <w:left w:w="60" w:type="dxa"/>
              <w:right w:w="60" w:type="dxa"/>
            </w:tcMar>
            <w:vAlign w:val="bottom"/>
          </w:tcPr>
          <w:p w14:paraId="360C5763"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3.4</w:t>
            </w:r>
          </w:p>
        </w:tc>
        <w:tc>
          <w:tcPr>
            <w:tcW w:w="1743" w:type="dxa"/>
            <w:tcBorders>
              <w:top w:val="nil"/>
              <w:left w:val="nil"/>
              <w:bottom w:val="nil"/>
              <w:right w:val="nil"/>
              <w:tl2br w:val="nil"/>
              <w:tr2bl w:val="nil"/>
            </w:tcBorders>
            <w:tcMar>
              <w:left w:w="60" w:type="dxa"/>
              <w:right w:w="60" w:type="dxa"/>
            </w:tcMar>
            <w:vAlign w:val="bottom"/>
          </w:tcPr>
          <w:p w14:paraId="12813993"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7 524</w:t>
            </w:r>
          </w:p>
        </w:tc>
        <w:tc>
          <w:tcPr>
            <w:tcW w:w="1444" w:type="dxa"/>
            <w:tcBorders>
              <w:top w:val="nil"/>
              <w:left w:val="nil"/>
              <w:bottom w:val="nil"/>
              <w:right w:val="nil"/>
              <w:tl2br w:val="nil"/>
              <w:tr2bl w:val="nil"/>
            </w:tcBorders>
            <w:tcMar>
              <w:left w:w="60" w:type="dxa"/>
              <w:right w:w="60" w:type="dxa"/>
            </w:tcMar>
            <w:vAlign w:val="bottom"/>
          </w:tcPr>
          <w:p w14:paraId="028A8743"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8 227</w:t>
            </w:r>
          </w:p>
        </w:tc>
      </w:tr>
      <w:tr w:rsidR="00807FFE" w14:paraId="47F223A9"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4CCF8F6C"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Fines</w:t>
            </w:r>
          </w:p>
        </w:tc>
        <w:tc>
          <w:tcPr>
            <w:tcW w:w="846" w:type="dxa"/>
            <w:tcBorders>
              <w:top w:val="nil"/>
              <w:left w:val="nil"/>
              <w:bottom w:val="nil"/>
              <w:right w:val="nil"/>
              <w:tl2br w:val="nil"/>
              <w:tr2bl w:val="nil"/>
            </w:tcBorders>
            <w:tcMar>
              <w:left w:w="60" w:type="dxa"/>
              <w:right w:w="60" w:type="dxa"/>
            </w:tcMar>
            <w:vAlign w:val="bottom"/>
          </w:tcPr>
          <w:p w14:paraId="51BE0943"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3.5</w:t>
            </w:r>
          </w:p>
        </w:tc>
        <w:tc>
          <w:tcPr>
            <w:tcW w:w="1743" w:type="dxa"/>
            <w:tcBorders>
              <w:top w:val="nil"/>
              <w:left w:val="nil"/>
              <w:bottom w:val="nil"/>
              <w:right w:val="nil"/>
              <w:tl2br w:val="nil"/>
              <w:tr2bl w:val="nil"/>
            </w:tcBorders>
            <w:tcMar>
              <w:left w:w="60" w:type="dxa"/>
              <w:right w:w="60" w:type="dxa"/>
            </w:tcMar>
            <w:vAlign w:val="bottom"/>
          </w:tcPr>
          <w:p w14:paraId="02761FD1"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5 370</w:t>
            </w:r>
          </w:p>
        </w:tc>
        <w:tc>
          <w:tcPr>
            <w:tcW w:w="1444" w:type="dxa"/>
            <w:tcBorders>
              <w:top w:val="nil"/>
              <w:left w:val="nil"/>
              <w:bottom w:val="nil"/>
              <w:right w:val="nil"/>
              <w:tl2br w:val="nil"/>
              <w:tr2bl w:val="nil"/>
            </w:tcBorders>
            <w:tcMar>
              <w:left w:w="60" w:type="dxa"/>
              <w:right w:w="60" w:type="dxa"/>
            </w:tcMar>
            <w:vAlign w:val="bottom"/>
          </w:tcPr>
          <w:p w14:paraId="08AF4B8D"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4 039</w:t>
            </w:r>
          </w:p>
        </w:tc>
      </w:tr>
      <w:tr w:rsidR="00807FFE" w14:paraId="7380E9B0"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2F4EE726"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Recovery of expenses</w:t>
            </w:r>
          </w:p>
        </w:tc>
        <w:tc>
          <w:tcPr>
            <w:tcW w:w="846" w:type="dxa"/>
            <w:tcBorders>
              <w:top w:val="nil"/>
              <w:left w:val="nil"/>
              <w:bottom w:val="nil"/>
              <w:right w:val="nil"/>
              <w:tl2br w:val="nil"/>
              <w:tr2bl w:val="nil"/>
            </w:tcBorders>
            <w:tcMar>
              <w:left w:w="60" w:type="dxa"/>
              <w:right w:w="60" w:type="dxa"/>
            </w:tcMar>
            <w:vAlign w:val="bottom"/>
          </w:tcPr>
          <w:p w14:paraId="0106626B"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3.6</w:t>
            </w:r>
          </w:p>
        </w:tc>
        <w:tc>
          <w:tcPr>
            <w:tcW w:w="1743" w:type="dxa"/>
            <w:tcBorders>
              <w:top w:val="nil"/>
              <w:left w:val="nil"/>
              <w:bottom w:val="nil"/>
              <w:right w:val="nil"/>
              <w:tl2br w:val="nil"/>
              <w:tr2bl w:val="nil"/>
            </w:tcBorders>
            <w:tcMar>
              <w:left w:w="60" w:type="dxa"/>
              <w:right w:w="60" w:type="dxa"/>
            </w:tcMar>
            <w:vAlign w:val="bottom"/>
          </w:tcPr>
          <w:p w14:paraId="6CFA4C87"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1 376</w:t>
            </w:r>
          </w:p>
        </w:tc>
        <w:tc>
          <w:tcPr>
            <w:tcW w:w="1444" w:type="dxa"/>
            <w:tcBorders>
              <w:top w:val="nil"/>
              <w:left w:val="nil"/>
              <w:bottom w:val="nil"/>
              <w:right w:val="nil"/>
              <w:tl2br w:val="nil"/>
              <w:tr2bl w:val="nil"/>
            </w:tcBorders>
            <w:tcMar>
              <w:left w:w="60" w:type="dxa"/>
              <w:right w:w="60" w:type="dxa"/>
            </w:tcMar>
            <w:vAlign w:val="bottom"/>
          </w:tcPr>
          <w:p w14:paraId="5956D6F2"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957</w:t>
            </w:r>
          </w:p>
        </w:tc>
      </w:tr>
      <w:tr w:rsidR="00807FFE" w14:paraId="6583CABE" w14:textId="77777777">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14:paraId="3391F4BB"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Other</w:t>
            </w:r>
          </w:p>
        </w:tc>
        <w:tc>
          <w:tcPr>
            <w:tcW w:w="846" w:type="dxa"/>
            <w:tcBorders>
              <w:top w:val="nil"/>
              <w:left w:val="nil"/>
              <w:bottom w:val="single" w:sz="4" w:space="0" w:color="016794"/>
              <w:right w:val="nil"/>
              <w:tl2br w:val="nil"/>
              <w:tr2bl w:val="nil"/>
            </w:tcBorders>
            <w:tcMar>
              <w:left w:w="60" w:type="dxa"/>
              <w:right w:w="60" w:type="dxa"/>
            </w:tcMar>
            <w:vAlign w:val="bottom"/>
          </w:tcPr>
          <w:p w14:paraId="01668414"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3.8</w:t>
            </w:r>
          </w:p>
        </w:tc>
        <w:tc>
          <w:tcPr>
            <w:tcW w:w="1743" w:type="dxa"/>
            <w:tcBorders>
              <w:top w:val="nil"/>
              <w:left w:val="nil"/>
              <w:bottom w:val="single" w:sz="4" w:space="0" w:color="016794"/>
              <w:right w:val="nil"/>
              <w:tl2br w:val="nil"/>
              <w:tr2bl w:val="nil"/>
            </w:tcBorders>
            <w:tcMar>
              <w:left w:w="60" w:type="dxa"/>
              <w:right w:w="60" w:type="dxa"/>
            </w:tcMar>
            <w:vAlign w:val="bottom"/>
          </w:tcPr>
          <w:p w14:paraId="54E59415"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18 572</w:t>
            </w:r>
          </w:p>
        </w:tc>
        <w:tc>
          <w:tcPr>
            <w:tcW w:w="1444" w:type="dxa"/>
            <w:tcBorders>
              <w:top w:val="nil"/>
              <w:left w:val="nil"/>
              <w:bottom w:val="single" w:sz="4" w:space="0" w:color="016794"/>
              <w:right w:val="nil"/>
              <w:tl2br w:val="nil"/>
              <w:tr2bl w:val="nil"/>
            </w:tcBorders>
            <w:tcMar>
              <w:left w:w="60" w:type="dxa"/>
              <w:right w:w="60" w:type="dxa"/>
            </w:tcMar>
            <w:vAlign w:val="bottom"/>
          </w:tcPr>
          <w:p w14:paraId="066ED8E7"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10 673</w:t>
            </w:r>
          </w:p>
        </w:tc>
      </w:tr>
      <w:tr w:rsidR="00807FFE" w14:paraId="3F1A47D3" w14:textId="77777777">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14:paraId="0C05B70A" w14:textId="77777777" w:rsidR="00807FFE" w:rsidRDefault="00807FFE">
            <w:pPr>
              <w:pStyle w:val="DMETW36757BIPSOFP"/>
              <w:rPr>
                <w:rFonts w:ascii="Verdana" w:eastAsia="Verdana" w:hAnsi="Verdana" w:cs="Verdana"/>
                <w:i/>
                <w:noProof/>
                <w:color w:val="000000"/>
                <w:sz w:val="18"/>
              </w:rPr>
            </w:pP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14:paraId="524BB035"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14:paraId="3CB3B639" w14:textId="77777777" w:rsidR="00807FFE" w:rsidRDefault="00023E71">
            <w:pPr>
              <w:pStyle w:val="DMETW36757BIPSOFP"/>
              <w:jc w:val="right"/>
              <w:rPr>
                <w:rFonts w:ascii="Verdana" w:eastAsia="Verdana" w:hAnsi="Verdana" w:cs="Verdana"/>
                <w:b/>
                <w:noProof/>
                <w:color w:val="000000"/>
                <w:sz w:val="18"/>
              </w:rPr>
            </w:pPr>
            <w:r>
              <w:rPr>
                <w:rFonts w:ascii="Verdana" w:eastAsia="Verdana" w:hAnsi="Verdana" w:cs="Verdana"/>
                <w:b/>
                <w:noProof/>
                <w:color w:val="000000"/>
                <w:sz w:val="18"/>
              </w:rPr>
              <w:t>188 348</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14:paraId="556281CC" w14:textId="77777777" w:rsidR="00807FFE" w:rsidRDefault="00023E71">
            <w:pPr>
              <w:pStyle w:val="DMETW36757BIPSOFP"/>
              <w:jc w:val="right"/>
              <w:rPr>
                <w:rFonts w:ascii="Verdana" w:eastAsia="Verdana" w:hAnsi="Verdana" w:cs="Verdana"/>
                <w:b/>
                <w:noProof/>
                <w:color w:val="000000"/>
                <w:sz w:val="18"/>
                <w:lang w:bidi="en-GB"/>
              </w:rPr>
            </w:pPr>
            <w:r>
              <w:rPr>
                <w:rFonts w:ascii="Verdana" w:eastAsia="Verdana" w:hAnsi="Verdana" w:cs="Verdana"/>
                <w:b/>
                <w:noProof/>
                <w:color w:val="000000"/>
                <w:sz w:val="18"/>
              </w:rPr>
              <w:t>164 068</w:t>
            </w:r>
          </w:p>
        </w:tc>
      </w:tr>
      <w:tr w:rsidR="00807FFE" w14:paraId="7CFFBA19" w14:textId="77777777">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14:paraId="6E4245E3" w14:textId="77777777" w:rsidR="00807FFE" w:rsidRDefault="00023E71">
            <w:pPr>
              <w:pStyle w:val="DMETW36757BIPSOFP"/>
              <w:rPr>
                <w:rFonts w:ascii="Verdana" w:eastAsia="Verdana" w:hAnsi="Verdana" w:cs="Verdana"/>
                <w:b/>
                <w:noProof/>
                <w:color w:val="000000"/>
                <w:sz w:val="18"/>
              </w:rPr>
            </w:pPr>
            <w:r>
              <w:rPr>
                <w:rFonts w:ascii="Verdana" w:eastAsia="Verdana" w:hAnsi="Verdana" w:cs="Verdana"/>
                <w:b/>
                <w:noProof/>
                <w:color w:val="000000"/>
                <w:sz w:val="18"/>
              </w:rPr>
              <w:t>Revenue from exchange transactions</w:t>
            </w:r>
          </w:p>
        </w:tc>
        <w:tc>
          <w:tcPr>
            <w:tcW w:w="846" w:type="dxa"/>
            <w:tcBorders>
              <w:top w:val="single" w:sz="4" w:space="0" w:color="016794"/>
              <w:left w:val="nil"/>
              <w:bottom w:val="nil"/>
              <w:right w:val="nil"/>
              <w:tl2br w:val="nil"/>
              <w:tr2bl w:val="nil"/>
            </w:tcBorders>
            <w:tcMar>
              <w:left w:w="60" w:type="dxa"/>
              <w:right w:w="60" w:type="dxa"/>
            </w:tcMar>
            <w:vAlign w:val="bottom"/>
          </w:tcPr>
          <w:p w14:paraId="7F80064E"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14:paraId="6D7ECD74" w14:textId="77777777" w:rsidR="00807FFE" w:rsidRDefault="00807FFE">
            <w:pPr>
              <w:pStyle w:val="DMETW36757BIPSOFP"/>
              <w:jc w:val="right"/>
              <w:rPr>
                <w:rFonts w:ascii="Verdana" w:eastAsia="Verdana" w:hAnsi="Verdana" w:cs="Verdana"/>
                <w:i/>
                <w:noProof/>
                <w:color w:val="000000"/>
                <w:sz w:val="18"/>
              </w:rPr>
            </w:pPr>
          </w:p>
        </w:tc>
        <w:tc>
          <w:tcPr>
            <w:tcW w:w="1444" w:type="dxa"/>
            <w:tcBorders>
              <w:top w:val="single" w:sz="4" w:space="0" w:color="016794"/>
              <w:left w:val="nil"/>
              <w:bottom w:val="nil"/>
              <w:right w:val="nil"/>
              <w:tl2br w:val="nil"/>
              <w:tr2bl w:val="nil"/>
            </w:tcBorders>
            <w:tcMar>
              <w:left w:w="60" w:type="dxa"/>
              <w:right w:w="60" w:type="dxa"/>
            </w:tcMar>
            <w:vAlign w:val="bottom"/>
          </w:tcPr>
          <w:p w14:paraId="349CC35E" w14:textId="77777777" w:rsidR="00807FFE" w:rsidRDefault="00807FFE">
            <w:pPr>
              <w:pStyle w:val="DMETW36757BIPSOFP"/>
              <w:jc w:val="right"/>
              <w:rPr>
                <w:rFonts w:ascii="Verdana" w:eastAsia="Verdana" w:hAnsi="Verdana" w:cs="Verdana"/>
                <w:i/>
                <w:noProof/>
                <w:color w:val="000000"/>
                <w:sz w:val="18"/>
                <w:lang w:bidi="en-GB"/>
              </w:rPr>
            </w:pPr>
          </w:p>
        </w:tc>
      </w:tr>
      <w:tr w:rsidR="00807FFE" w14:paraId="39690F9E"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79933FD3"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Financial revenue</w:t>
            </w:r>
          </w:p>
        </w:tc>
        <w:tc>
          <w:tcPr>
            <w:tcW w:w="846" w:type="dxa"/>
            <w:tcBorders>
              <w:top w:val="nil"/>
              <w:left w:val="nil"/>
              <w:bottom w:val="nil"/>
              <w:right w:val="nil"/>
              <w:tl2br w:val="nil"/>
              <w:tr2bl w:val="nil"/>
            </w:tcBorders>
            <w:tcMar>
              <w:left w:w="60" w:type="dxa"/>
              <w:right w:w="60" w:type="dxa"/>
            </w:tcMar>
            <w:vAlign w:val="bottom"/>
          </w:tcPr>
          <w:p w14:paraId="21046D7A"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3.9</w:t>
            </w:r>
          </w:p>
        </w:tc>
        <w:tc>
          <w:tcPr>
            <w:tcW w:w="1743" w:type="dxa"/>
            <w:tcBorders>
              <w:top w:val="nil"/>
              <w:left w:val="nil"/>
              <w:bottom w:val="nil"/>
              <w:right w:val="nil"/>
              <w:tl2br w:val="nil"/>
              <w:tr2bl w:val="nil"/>
            </w:tcBorders>
            <w:tcMar>
              <w:left w:w="60" w:type="dxa"/>
              <w:right w:w="60" w:type="dxa"/>
            </w:tcMar>
            <w:vAlign w:val="bottom"/>
          </w:tcPr>
          <w:p w14:paraId="41E8A37B"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11 646</w:t>
            </w:r>
          </w:p>
        </w:tc>
        <w:tc>
          <w:tcPr>
            <w:tcW w:w="1444" w:type="dxa"/>
            <w:tcBorders>
              <w:top w:val="nil"/>
              <w:left w:val="nil"/>
              <w:bottom w:val="nil"/>
              <w:right w:val="nil"/>
              <w:tl2br w:val="nil"/>
              <w:tr2bl w:val="nil"/>
            </w:tcBorders>
            <w:tcMar>
              <w:left w:w="60" w:type="dxa"/>
              <w:right w:w="60" w:type="dxa"/>
            </w:tcMar>
            <w:vAlign w:val="bottom"/>
          </w:tcPr>
          <w:p w14:paraId="14D48E70"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9 005</w:t>
            </w:r>
          </w:p>
        </w:tc>
      </w:tr>
      <w:tr w:rsidR="00807FFE" w14:paraId="11EFBB12" w14:textId="77777777">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14:paraId="0E88EB54"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Other</w:t>
            </w:r>
          </w:p>
        </w:tc>
        <w:tc>
          <w:tcPr>
            <w:tcW w:w="846" w:type="dxa"/>
            <w:tcBorders>
              <w:top w:val="nil"/>
              <w:left w:val="nil"/>
              <w:bottom w:val="single" w:sz="4" w:space="0" w:color="016794"/>
              <w:right w:val="nil"/>
              <w:tl2br w:val="nil"/>
              <w:tr2bl w:val="nil"/>
            </w:tcBorders>
            <w:tcMar>
              <w:left w:w="60" w:type="dxa"/>
              <w:right w:w="60" w:type="dxa"/>
            </w:tcMar>
            <w:vAlign w:val="bottom"/>
          </w:tcPr>
          <w:p w14:paraId="35B8C192"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3.10</w:t>
            </w:r>
          </w:p>
        </w:tc>
        <w:tc>
          <w:tcPr>
            <w:tcW w:w="1743" w:type="dxa"/>
            <w:tcBorders>
              <w:top w:val="nil"/>
              <w:left w:val="nil"/>
              <w:bottom w:val="single" w:sz="4" w:space="0" w:color="016794"/>
              <w:right w:val="nil"/>
              <w:tl2br w:val="nil"/>
              <w:tr2bl w:val="nil"/>
            </w:tcBorders>
            <w:tcMar>
              <w:left w:w="60" w:type="dxa"/>
              <w:right w:w="60" w:type="dxa"/>
            </w:tcMar>
            <w:vAlign w:val="bottom"/>
          </w:tcPr>
          <w:p w14:paraId="0BE6BF88"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2 500</w:t>
            </w:r>
          </w:p>
        </w:tc>
        <w:tc>
          <w:tcPr>
            <w:tcW w:w="1444" w:type="dxa"/>
            <w:tcBorders>
              <w:top w:val="nil"/>
              <w:left w:val="nil"/>
              <w:bottom w:val="single" w:sz="4" w:space="0" w:color="016794"/>
              <w:right w:val="nil"/>
              <w:tl2br w:val="nil"/>
              <w:tr2bl w:val="nil"/>
            </w:tcBorders>
            <w:tcMar>
              <w:left w:w="60" w:type="dxa"/>
              <w:right w:w="60" w:type="dxa"/>
            </w:tcMar>
            <w:vAlign w:val="bottom"/>
          </w:tcPr>
          <w:p w14:paraId="2E4E6E71"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2 592</w:t>
            </w:r>
          </w:p>
        </w:tc>
      </w:tr>
      <w:tr w:rsidR="00807FFE" w14:paraId="3F17C9DB" w14:textId="77777777">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14:paraId="34E86919" w14:textId="77777777" w:rsidR="00807FFE" w:rsidRDefault="00807FFE">
            <w:pPr>
              <w:pStyle w:val="DMETW36757BIPSOFP"/>
              <w:rPr>
                <w:rFonts w:ascii="Verdana" w:eastAsia="Verdana" w:hAnsi="Verdana" w:cs="Verdana"/>
                <w:i/>
                <w:noProof/>
                <w:color w:val="000000"/>
                <w:sz w:val="18"/>
              </w:rPr>
            </w:pP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14:paraId="5314A977"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14:paraId="5AB61BB6" w14:textId="77777777" w:rsidR="00807FFE" w:rsidRDefault="00023E71">
            <w:pPr>
              <w:pStyle w:val="DMETW36757BIPSOFP"/>
              <w:jc w:val="right"/>
              <w:rPr>
                <w:rFonts w:ascii="Verdana" w:eastAsia="Verdana" w:hAnsi="Verdana" w:cs="Verdana"/>
                <w:b/>
                <w:noProof/>
                <w:color w:val="000000"/>
                <w:sz w:val="18"/>
              </w:rPr>
            </w:pPr>
            <w:r>
              <w:rPr>
                <w:rFonts w:ascii="Verdana" w:eastAsia="Verdana" w:hAnsi="Verdana" w:cs="Verdana"/>
                <w:b/>
                <w:noProof/>
                <w:color w:val="000000"/>
                <w:sz w:val="18"/>
              </w:rPr>
              <w:t>14 146</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14:paraId="1751FB06" w14:textId="77777777" w:rsidR="00807FFE" w:rsidRDefault="00023E71">
            <w:pPr>
              <w:pStyle w:val="DMETW36757BIPSOFP"/>
              <w:jc w:val="right"/>
              <w:rPr>
                <w:rFonts w:ascii="Verdana" w:eastAsia="Verdana" w:hAnsi="Verdana" w:cs="Verdana"/>
                <w:b/>
                <w:noProof/>
                <w:color w:val="000000"/>
                <w:sz w:val="18"/>
                <w:lang w:bidi="en-GB"/>
              </w:rPr>
            </w:pPr>
            <w:r>
              <w:rPr>
                <w:rFonts w:ascii="Verdana" w:eastAsia="Verdana" w:hAnsi="Verdana" w:cs="Verdana"/>
                <w:b/>
                <w:noProof/>
                <w:color w:val="000000"/>
                <w:sz w:val="18"/>
              </w:rPr>
              <w:t>11 597</w:t>
            </w:r>
          </w:p>
        </w:tc>
      </w:tr>
      <w:tr w:rsidR="00807FFE" w14:paraId="4E50470A" w14:textId="77777777">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14:paraId="0EA7A4A3" w14:textId="77777777" w:rsidR="00807FFE" w:rsidRDefault="00023E71">
            <w:pPr>
              <w:pStyle w:val="DMETW36757BIPSOFP"/>
              <w:rPr>
                <w:rFonts w:ascii="Verdana" w:eastAsia="Verdana" w:hAnsi="Verdana" w:cs="Verdana"/>
                <w:b/>
                <w:noProof/>
                <w:color w:val="000000"/>
                <w:sz w:val="18"/>
              </w:rPr>
            </w:pPr>
            <w:r>
              <w:rPr>
                <w:rFonts w:ascii="Verdana" w:eastAsia="Verdana" w:hAnsi="Verdana" w:cs="Verdana"/>
                <w:b/>
                <w:noProof/>
                <w:color w:val="000000"/>
                <w:sz w:val="18"/>
              </w:rPr>
              <w:t>Total Revenue</w:t>
            </w: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14:paraId="5063BF08"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14:paraId="1DA46A21" w14:textId="77777777" w:rsidR="00807FFE" w:rsidRDefault="00023E71">
            <w:pPr>
              <w:pStyle w:val="DMETW36757BIPSOFP"/>
              <w:jc w:val="right"/>
              <w:rPr>
                <w:rFonts w:ascii="Verdana" w:eastAsia="Verdana" w:hAnsi="Verdana" w:cs="Verdana"/>
                <w:b/>
                <w:noProof/>
                <w:color w:val="000000"/>
                <w:sz w:val="18"/>
              </w:rPr>
            </w:pPr>
            <w:r>
              <w:rPr>
                <w:rFonts w:ascii="Verdana" w:eastAsia="Verdana" w:hAnsi="Verdana" w:cs="Verdana"/>
                <w:b/>
                <w:noProof/>
                <w:color w:val="000000"/>
                <w:sz w:val="18"/>
              </w:rPr>
              <w:t>202 495</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14:paraId="47882DC2" w14:textId="77777777" w:rsidR="00807FFE" w:rsidRDefault="00023E71">
            <w:pPr>
              <w:pStyle w:val="DMETW36757BIPSOFP"/>
              <w:jc w:val="right"/>
              <w:rPr>
                <w:rFonts w:ascii="Verdana" w:eastAsia="Verdana" w:hAnsi="Verdana" w:cs="Verdana"/>
                <w:b/>
                <w:noProof/>
                <w:color w:val="000000"/>
                <w:sz w:val="18"/>
                <w:lang w:bidi="en-GB"/>
              </w:rPr>
            </w:pPr>
            <w:r>
              <w:rPr>
                <w:rFonts w:ascii="Verdana" w:eastAsia="Verdana" w:hAnsi="Verdana" w:cs="Verdana"/>
                <w:b/>
                <w:noProof/>
                <w:color w:val="000000"/>
                <w:sz w:val="18"/>
              </w:rPr>
              <w:t>175 665</w:t>
            </w:r>
          </w:p>
        </w:tc>
      </w:tr>
      <w:tr w:rsidR="00807FFE" w14:paraId="7FD19FD6" w14:textId="77777777">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14:paraId="78C2231F" w14:textId="77777777" w:rsidR="00807FFE" w:rsidRDefault="00023E71">
            <w:pPr>
              <w:pStyle w:val="DMETW36757BIPSOFP"/>
              <w:rPr>
                <w:rFonts w:ascii="Verdana" w:eastAsia="Verdana" w:hAnsi="Verdana" w:cs="Verdana"/>
                <w:b/>
                <w:noProof/>
                <w:color w:val="000000"/>
                <w:sz w:val="18"/>
              </w:rPr>
            </w:pPr>
            <w:r>
              <w:rPr>
                <w:rFonts w:ascii="Verdana" w:eastAsia="Verdana" w:hAnsi="Verdana" w:cs="Verdana"/>
                <w:b/>
                <w:noProof/>
                <w:color w:val="000000"/>
                <w:sz w:val="18"/>
              </w:rPr>
              <w:t>EXPENSES</w:t>
            </w:r>
          </w:p>
        </w:tc>
        <w:tc>
          <w:tcPr>
            <w:tcW w:w="846" w:type="dxa"/>
            <w:tcBorders>
              <w:top w:val="single" w:sz="4" w:space="0" w:color="016794"/>
              <w:left w:val="nil"/>
              <w:bottom w:val="nil"/>
              <w:right w:val="nil"/>
              <w:tl2br w:val="nil"/>
              <w:tr2bl w:val="nil"/>
            </w:tcBorders>
            <w:tcMar>
              <w:left w:w="60" w:type="dxa"/>
              <w:right w:w="60" w:type="dxa"/>
            </w:tcMar>
            <w:vAlign w:val="bottom"/>
          </w:tcPr>
          <w:p w14:paraId="4ACA49F5"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14:paraId="4D8412D8" w14:textId="77777777" w:rsidR="00807FFE" w:rsidRDefault="00807FFE">
            <w:pPr>
              <w:pStyle w:val="DMETW36757BIPSOFP"/>
              <w:jc w:val="right"/>
              <w:rPr>
                <w:rFonts w:ascii="Verdana" w:eastAsia="Verdana" w:hAnsi="Verdana" w:cs="Verdana"/>
                <w:b/>
                <w:noProof/>
                <w:color w:val="000000"/>
                <w:sz w:val="18"/>
              </w:rPr>
            </w:pPr>
          </w:p>
        </w:tc>
        <w:tc>
          <w:tcPr>
            <w:tcW w:w="1444" w:type="dxa"/>
            <w:tcBorders>
              <w:top w:val="single" w:sz="4" w:space="0" w:color="016794"/>
              <w:left w:val="nil"/>
              <w:bottom w:val="nil"/>
              <w:right w:val="nil"/>
              <w:tl2br w:val="nil"/>
              <w:tr2bl w:val="nil"/>
            </w:tcBorders>
            <w:tcMar>
              <w:left w:w="60" w:type="dxa"/>
              <w:right w:w="60" w:type="dxa"/>
            </w:tcMar>
            <w:vAlign w:val="bottom"/>
          </w:tcPr>
          <w:p w14:paraId="5ED3D650" w14:textId="77777777" w:rsidR="00807FFE" w:rsidRDefault="00807FFE">
            <w:pPr>
              <w:pStyle w:val="DMETW36757BIPSOFP"/>
              <w:jc w:val="right"/>
              <w:rPr>
                <w:rFonts w:ascii="Verdana" w:eastAsia="Verdana" w:hAnsi="Verdana" w:cs="Verdana"/>
                <w:b/>
                <w:noProof/>
                <w:color w:val="000000"/>
                <w:sz w:val="18"/>
                <w:lang w:bidi="en-GB"/>
              </w:rPr>
            </w:pPr>
          </w:p>
        </w:tc>
      </w:tr>
      <w:tr w:rsidR="00807FFE" w14:paraId="42165AF1"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27EDE0B6"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Delegated to Member States</w:t>
            </w:r>
          </w:p>
        </w:tc>
        <w:tc>
          <w:tcPr>
            <w:tcW w:w="846" w:type="dxa"/>
            <w:tcBorders>
              <w:top w:val="nil"/>
              <w:left w:val="nil"/>
              <w:bottom w:val="nil"/>
              <w:right w:val="nil"/>
              <w:tl2br w:val="nil"/>
              <w:tr2bl w:val="nil"/>
            </w:tcBorders>
            <w:tcMar>
              <w:left w:w="60" w:type="dxa"/>
              <w:right w:w="60" w:type="dxa"/>
            </w:tcMar>
            <w:vAlign w:val="bottom"/>
          </w:tcPr>
          <w:p w14:paraId="6BD26548"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3.11</w:t>
            </w:r>
          </w:p>
        </w:tc>
        <w:tc>
          <w:tcPr>
            <w:tcW w:w="1743" w:type="dxa"/>
            <w:tcBorders>
              <w:top w:val="nil"/>
              <w:left w:val="nil"/>
              <w:bottom w:val="nil"/>
              <w:right w:val="nil"/>
              <w:tl2br w:val="nil"/>
              <w:tr2bl w:val="nil"/>
            </w:tcBorders>
            <w:tcMar>
              <w:left w:w="60" w:type="dxa"/>
              <w:right w:w="60" w:type="dxa"/>
            </w:tcMar>
            <w:vAlign w:val="bottom"/>
          </w:tcPr>
          <w:p w14:paraId="018459B8" w14:textId="77777777" w:rsidR="00807FFE" w:rsidRDefault="00807FFE">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14:paraId="4D72A44F" w14:textId="77777777" w:rsidR="00807FFE" w:rsidRDefault="00807FFE">
            <w:pPr>
              <w:pStyle w:val="DMETW36757BIPSOFP"/>
              <w:jc w:val="right"/>
              <w:rPr>
                <w:rFonts w:ascii="Verdana" w:eastAsia="Verdana" w:hAnsi="Verdana" w:cs="Verdana"/>
                <w:i/>
                <w:noProof/>
                <w:color w:val="000000"/>
                <w:sz w:val="18"/>
                <w:lang w:bidi="en-GB"/>
              </w:rPr>
            </w:pPr>
          </w:p>
        </w:tc>
      </w:tr>
      <w:tr w:rsidR="00807FFE" w14:paraId="79F20722"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6EABB899"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 xml:space="preserve">     European Agricultural Guarantee Fund</w:t>
            </w:r>
          </w:p>
        </w:tc>
        <w:tc>
          <w:tcPr>
            <w:tcW w:w="846" w:type="dxa"/>
            <w:tcBorders>
              <w:top w:val="nil"/>
              <w:left w:val="nil"/>
              <w:bottom w:val="nil"/>
              <w:right w:val="nil"/>
              <w:tl2br w:val="nil"/>
              <w:tr2bl w:val="nil"/>
            </w:tcBorders>
            <w:tcMar>
              <w:left w:w="60" w:type="dxa"/>
              <w:right w:w="60" w:type="dxa"/>
            </w:tcMar>
            <w:vAlign w:val="bottom"/>
          </w:tcPr>
          <w:p w14:paraId="4CD5B8BF"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3E1D5845"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(40 914)</w:t>
            </w:r>
          </w:p>
        </w:tc>
        <w:tc>
          <w:tcPr>
            <w:tcW w:w="1444" w:type="dxa"/>
            <w:tcBorders>
              <w:top w:val="nil"/>
              <w:left w:val="nil"/>
              <w:bottom w:val="nil"/>
              <w:right w:val="nil"/>
              <w:tl2br w:val="nil"/>
              <w:tr2bl w:val="nil"/>
            </w:tcBorders>
            <w:tcMar>
              <w:left w:w="60" w:type="dxa"/>
              <w:right w:w="60" w:type="dxa"/>
            </w:tcMar>
            <w:vAlign w:val="bottom"/>
          </w:tcPr>
          <w:p w14:paraId="06D02397"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(40 267)</w:t>
            </w:r>
          </w:p>
        </w:tc>
      </w:tr>
      <w:tr w:rsidR="00807FFE" w14:paraId="7D8EB981"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550894CB"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 xml:space="preserve">     European Agricultural Fund for Rural Development and</w:t>
            </w:r>
          </w:p>
          <w:p w14:paraId="454109E3"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 xml:space="preserve">     other rural development instruments</w:t>
            </w:r>
          </w:p>
        </w:tc>
        <w:tc>
          <w:tcPr>
            <w:tcW w:w="846" w:type="dxa"/>
            <w:tcBorders>
              <w:top w:val="nil"/>
              <w:left w:val="nil"/>
              <w:bottom w:val="nil"/>
              <w:right w:val="nil"/>
              <w:tl2br w:val="nil"/>
              <w:tr2bl w:val="nil"/>
            </w:tcBorders>
            <w:tcMar>
              <w:left w:w="60" w:type="dxa"/>
              <w:right w:w="60" w:type="dxa"/>
            </w:tcMar>
            <w:vAlign w:val="bottom"/>
          </w:tcPr>
          <w:p w14:paraId="6B2510A5" w14:textId="77777777" w:rsidR="00807FFE" w:rsidRDefault="00807FFE">
            <w:pPr>
              <w:pStyle w:val="DMETW36757BIPSOFP"/>
              <w:jc w:val="center"/>
              <w:rPr>
                <w:rFonts w:ascii="Verdana" w:eastAsia="Verdana" w:hAnsi="Verdana" w:cs="Verdana"/>
                <w:b/>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07FC7937"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(17 017)</w:t>
            </w:r>
          </w:p>
        </w:tc>
        <w:tc>
          <w:tcPr>
            <w:tcW w:w="1444" w:type="dxa"/>
            <w:tcBorders>
              <w:top w:val="nil"/>
              <w:left w:val="nil"/>
              <w:bottom w:val="nil"/>
              <w:right w:val="nil"/>
              <w:tl2br w:val="nil"/>
              <w:tr2bl w:val="nil"/>
            </w:tcBorders>
            <w:tcMar>
              <w:left w:w="60" w:type="dxa"/>
              <w:right w:w="60" w:type="dxa"/>
            </w:tcMar>
            <w:vAlign w:val="bottom"/>
          </w:tcPr>
          <w:p w14:paraId="7BC2DC6A"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(14 779)</w:t>
            </w:r>
          </w:p>
        </w:tc>
      </w:tr>
      <w:tr w:rsidR="00807FFE" w14:paraId="2A53552E"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676F7263"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 xml:space="preserve">     European Regional Development Fund and Cohesion Fund</w:t>
            </w:r>
          </w:p>
        </w:tc>
        <w:tc>
          <w:tcPr>
            <w:tcW w:w="846" w:type="dxa"/>
            <w:tcBorders>
              <w:top w:val="nil"/>
              <w:left w:val="nil"/>
              <w:bottom w:val="nil"/>
              <w:right w:val="nil"/>
              <w:tl2br w:val="nil"/>
              <w:tr2bl w:val="nil"/>
            </w:tcBorders>
            <w:tcMar>
              <w:left w:w="60" w:type="dxa"/>
              <w:right w:w="60" w:type="dxa"/>
            </w:tcMar>
            <w:vAlign w:val="bottom"/>
          </w:tcPr>
          <w:p w14:paraId="398428CA"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1E1DABA5"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(31 032)</w:t>
            </w:r>
          </w:p>
        </w:tc>
        <w:tc>
          <w:tcPr>
            <w:tcW w:w="1444" w:type="dxa"/>
            <w:tcBorders>
              <w:top w:val="nil"/>
              <w:left w:val="nil"/>
              <w:bottom w:val="nil"/>
              <w:right w:val="nil"/>
              <w:tl2br w:val="nil"/>
              <w:tr2bl w:val="nil"/>
            </w:tcBorders>
            <w:tcMar>
              <w:left w:w="60" w:type="dxa"/>
              <w:right w:w="60" w:type="dxa"/>
            </w:tcMar>
            <w:vAlign w:val="bottom"/>
          </w:tcPr>
          <w:p w14:paraId="734E9FBF"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(28 833)</w:t>
            </w:r>
          </w:p>
        </w:tc>
      </w:tr>
      <w:tr w:rsidR="00807FFE" w14:paraId="0316568C"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59F783AD"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 xml:space="preserve">     European Social Fund</w:t>
            </w:r>
          </w:p>
        </w:tc>
        <w:tc>
          <w:tcPr>
            <w:tcW w:w="846" w:type="dxa"/>
            <w:tcBorders>
              <w:top w:val="nil"/>
              <w:left w:val="nil"/>
              <w:bottom w:val="nil"/>
              <w:right w:val="nil"/>
              <w:tl2br w:val="nil"/>
              <w:tr2bl w:val="nil"/>
            </w:tcBorders>
            <w:tcMar>
              <w:left w:w="60" w:type="dxa"/>
              <w:right w:w="60" w:type="dxa"/>
            </w:tcMar>
            <w:vAlign w:val="bottom"/>
          </w:tcPr>
          <w:p w14:paraId="07836602"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56ED0C41"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(17 308)</w:t>
            </w:r>
          </w:p>
        </w:tc>
        <w:tc>
          <w:tcPr>
            <w:tcW w:w="1444" w:type="dxa"/>
            <w:tcBorders>
              <w:top w:val="nil"/>
              <w:left w:val="nil"/>
              <w:bottom w:val="nil"/>
              <w:right w:val="nil"/>
              <w:tl2br w:val="nil"/>
              <w:tr2bl w:val="nil"/>
            </w:tcBorders>
            <w:tcMar>
              <w:left w:w="60" w:type="dxa"/>
              <w:right w:w="60" w:type="dxa"/>
            </w:tcMar>
            <w:vAlign w:val="bottom"/>
          </w:tcPr>
          <w:p w14:paraId="5EFBF5EC"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(18 037)</w:t>
            </w:r>
          </w:p>
        </w:tc>
      </w:tr>
      <w:tr w:rsidR="00807FFE" w14:paraId="21D502F4"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0B02FD59"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 xml:space="preserve">     Other</w:t>
            </w:r>
          </w:p>
        </w:tc>
        <w:tc>
          <w:tcPr>
            <w:tcW w:w="846" w:type="dxa"/>
            <w:tcBorders>
              <w:top w:val="nil"/>
              <w:left w:val="nil"/>
              <w:bottom w:val="nil"/>
              <w:right w:val="nil"/>
              <w:tl2br w:val="nil"/>
              <w:tr2bl w:val="nil"/>
            </w:tcBorders>
            <w:tcMar>
              <w:left w:w="60" w:type="dxa"/>
              <w:right w:w="60" w:type="dxa"/>
            </w:tcMar>
            <w:vAlign w:val="bottom"/>
          </w:tcPr>
          <w:p w14:paraId="0CBDF390"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6E359692"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(4 514)</w:t>
            </w:r>
          </w:p>
        </w:tc>
        <w:tc>
          <w:tcPr>
            <w:tcW w:w="1444" w:type="dxa"/>
            <w:tcBorders>
              <w:top w:val="nil"/>
              <w:left w:val="nil"/>
              <w:bottom w:val="nil"/>
              <w:right w:val="nil"/>
              <w:tl2br w:val="nil"/>
              <w:tr2bl w:val="nil"/>
            </w:tcBorders>
            <w:tcMar>
              <w:left w:w="60" w:type="dxa"/>
              <w:right w:w="60" w:type="dxa"/>
            </w:tcMar>
            <w:vAlign w:val="bottom"/>
          </w:tcPr>
          <w:p w14:paraId="18DE43A0"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(3 854)</w:t>
            </w:r>
          </w:p>
        </w:tc>
      </w:tr>
      <w:tr w:rsidR="00807FFE" w14:paraId="20D48FA3"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03DF1C77"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Transfers including grants and budget support</w:t>
            </w:r>
          </w:p>
        </w:tc>
        <w:tc>
          <w:tcPr>
            <w:tcW w:w="846" w:type="dxa"/>
            <w:tcBorders>
              <w:top w:val="nil"/>
              <w:left w:val="nil"/>
              <w:bottom w:val="nil"/>
              <w:right w:val="nil"/>
              <w:tl2br w:val="nil"/>
              <w:tr2bl w:val="nil"/>
            </w:tcBorders>
            <w:tcMar>
              <w:left w:w="60" w:type="dxa"/>
              <w:right w:w="60" w:type="dxa"/>
            </w:tcMar>
            <w:vAlign w:val="bottom"/>
          </w:tcPr>
          <w:p w14:paraId="2153C232"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3.12</w:t>
            </w:r>
          </w:p>
        </w:tc>
        <w:tc>
          <w:tcPr>
            <w:tcW w:w="1743" w:type="dxa"/>
            <w:tcBorders>
              <w:top w:val="nil"/>
              <w:left w:val="nil"/>
              <w:bottom w:val="nil"/>
              <w:right w:val="nil"/>
              <w:tl2br w:val="nil"/>
              <w:tr2bl w:val="nil"/>
            </w:tcBorders>
            <w:tcMar>
              <w:left w:w="60" w:type="dxa"/>
              <w:right w:w="60" w:type="dxa"/>
            </w:tcMar>
            <w:vAlign w:val="bottom"/>
          </w:tcPr>
          <w:p w14:paraId="254DBE26" w14:textId="77777777" w:rsidR="00807FFE" w:rsidRDefault="00807FFE">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14:paraId="3284844F" w14:textId="77777777" w:rsidR="00807FFE" w:rsidRDefault="00807FFE">
            <w:pPr>
              <w:pStyle w:val="DMETW36757BIPSOFP"/>
              <w:jc w:val="right"/>
              <w:rPr>
                <w:rFonts w:ascii="Verdana" w:eastAsia="Verdana" w:hAnsi="Verdana" w:cs="Verdana"/>
                <w:i/>
                <w:noProof/>
                <w:color w:val="000000"/>
                <w:sz w:val="18"/>
                <w:lang w:bidi="en-GB"/>
              </w:rPr>
            </w:pPr>
          </w:p>
        </w:tc>
      </w:tr>
      <w:tr w:rsidR="00807FFE" w14:paraId="6366B5DD"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159717E4"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 xml:space="preserve">     Recovery &amp; Resilience Facility</w:t>
            </w:r>
          </w:p>
        </w:tc>
        <w:tc>
          <w:tcPr>
            <w:tcW w:w="846" w:type="dxa"/>
            <w:tcBorders>
              <w:top w:val="nil"/>
              <w:left w:val="nil"/>
              <w:bottom w:val="nil"/>
              <w:right w:val="nil"/>
              <w:tl2br w:val="nil"/>
              <w:tr2bl w:val="nil"/>
            </w:tcBorders>
            <w:tcMar>
              <w:left w:w="60" w:type="dxa"/>
              <w:right w:w="60" w:type="dxa"/>
            </w:tcMar>
            <w:vAlign w:val="bottom"/>
          </w:tcPr>
          <w:p w14:paraId="607C37BB"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1872D9BA"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(46 815)</w:t>
            </w:r>
          </w:p>
        </w:tc>
        <w:tc>
          <w:tcPr>
            <w:tcW w:w="1444" w:type="dxa"/>
            <w:tcBorders>
              <w:top w:val="nil"/>
              <w:left w:val="nil"/>
              <w:bottom w:val="nil"/>
              <w:right w:val="nil"/>
              <w:tl2br w:val="nil"/>
              <w:tr2bl w:val="nil"/>
            </w:tcBorders>
            <w:tcMar>
              <w:left w:w="60" w:type="dxa"/>
              <w:right w:w="60" w:type="dxa"/>
            </w:tcMar>
            <w:vAlign w:val="bottom"/>
          </w:tcPr>
          <w:p w14:paraId="0917716A"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(65 787)</w:t>
            </w:r>
          </w:p>
        </w:tc>
      </w:tr>
      <w:tr w:rsidR="00807FFE" w14:paraId="394A2E9E"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765BCEA0"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 xml:space="preserve">     Other</w:t>
            </w:r>
          </w:p>
        </w:tc>
        <w:tc>
          <w:tcPr>
            <w:tcW w:w="846" w:type="dxa"/>
            <w:tcBorders>
              <w:top w:val="nil"/>
              <w:left w:val="nil"/>
              <w:bottom w:val="nil"/>
              <w:right w:val="nil"/>
              <w:tl2br w:val="nil"/>
              <w:tr2bl w:val="nil"/>
            </w:tcBorders>
            <w:tcMar>
              <w:left w:w="60" w:type="dxa"/>
              <w:right w:w="60" w:type="dxa"/>
            </w:tcMar>
            <w:vAlign w:val="bottom"/>
          </w:tcPr>
          <w:p w14:paraId="3B12CD2E" w14:textId="77777777" w:rsidR="00807FFE" w:rsidRDefault="00807FFE">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14:paraId="5B563DB1"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(32 025)</w:t>
            </w:r>
          </w:p>
        </w:tc>
        <w:tc>
          <w:tcPr>
            <w:tcW w:w="1444" w:type="dxa"/>
            <w:tcBorders>
              <w:top w:val="nil"/>
              <w:left w:val="nil"/>
              <w:bottom w:val="nil"/>
              <w:right w:val="nil"/>
              <w:tl2br w:val="nil"/>
              <w:tr2bl w:val="nil"/>
            </w:tcBorders>
            <w:tcMar>
              <w:left w:w="60" w:type="dxa"/>
              <w:right w:w="60" w:type="dxa"/>
            </w:tcMar>
            <w:vAlign w:val="bottom"/>
          </w:tcPr>
          <w:p w14:paraId="1689A34B"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(32 992)</w:t>
            </w:r>
          </w:p>
        </w:tc>
      </w:tr>
      <w:tr w:rsidR="00807FFE" w14:paraId="47F5EC81"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6DEB29FA"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Contribution agreements, including EU bodies</w:t>
            </w:r>
          </w:p>
        </w:tc>
        <w:tc>
          <w:tcPr>
            <w:tcW w:w="846" w:type="dxa"/>
            <w:tcBorders>
              <w:top w:val="nil"/>
              <w:left w:val="nil"/>
              <w:bottom w:val="nil"/>
              <w:right w:val="nil"/>
              <w:tl2br w:val="nil"/>
              <w:tr2bl w:val="nil"/>
            </w:tcBorders>
            <w:tcMar>
              <w:left w:w="60" w:type="dxa"/>
              <w:right w:w="60" w:type="dxa"/>
            </w:tcMar>
            <w:vAlign w:val="bottom"/>
          </w:tcPr>
          <w:p w14:paraId="71B66011"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3.13</w:t>
            </w:r>
          </w:p>
        </w:tc>
        <w:tc>
          <w:tcPr>
            <w:tcW w:w="1743" w:type="dxa"/>
            <w:tcBorders>
              <w:top w:val="nil"/>
              <w:left w:val="nil"/>
              <w:bottom w:val="nil"/>
              <w:right w:val="nil"/>
              <w:tl2br w:val="nil"/>
              <w:tr2bl w:val="nil"/>
            </w:tcBorders>
            <w:tcMar>
              <w:left w:w="60" w:type="dxa"/>
              <w:right w:w="60" w:type="dxa"/>
            </w:tcMar>
            <w:vAlign w:val="bottom"/>
          </w:tcPr>
          <w:p w14:paraId="7C905CF1"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(13 200)</w:t>
            </w:r>
          </w:p>
        </w:tc>
        <w:tc>
          <w:tcPr>
            <w:tcW w:w="1444" w:type="dxa"/>
            <w:tcBorders>
              <w:top w:val="nil"/>
              <w:left w:val="nil"/>
              <w:bottom w:val="nil"/>
              <w:right w:val="nil"/>
              <w:tl2br w:val="nil"/>
              <w:tr2bl w:val="nil"/>
            </w:tcBorders>
            <w:tcMar>
              <w:left w:w="60" w:type="dxa"/>
              <w:right w:w="60" w:type="dxa"/>
            </w:tcMar>
            <w:vAlign w:val="bottom"/>
          </w:tcPr>
          <w:p w14:paraId="494A71A0"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(16 820)</w:t>
            </w:r>
          </w:p>
        </w:tc>
      </w:tr>
      <w:tr w:rsidR="00807FFE" w14:paraId="3998DD44"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407EE17D"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Staff and pension costs</w:t>
            </w:r>
          </w:p>
        </w:tc>
        <w:tc>
          <w:tcPr>
            <w:tcW w:w="846" w:type="dxa"/>
            <w:tcBorders>
              <w:top w:val="nil"/>
              <w:left w:val="nil"/>
              <w:bottom w:val="nil"/>
              <w:right w:val="nil"/>
              <w:tl2br w:val="nil"/>
              <w:tr2bl w:val="nil"/>
            </w:tcBorders>
            <w:tcMar>
              <w:left w:w="60" w:type="dxa"/>
              <w:right w:w="60" w:type="dxa"/>
            </w:tcMar>
            <w:vAlign w:val="bottom"/>
          </w:tcPr>
          <w:p w14:paraId="5E9D3CF8"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3.14</w:t>
            </w:r>
          </w:p>
        </w:tc>
        <w:tc>
          <w:tcPr>
            <w:tcW w:w="1743" w:type="dxa"/>
            <w:tcBorders>
              <w:top w:val="nil"/>
              <w:left w:val="nil"/>
              <w:bottom w:val="nil"/>
              <w:right w:val="nil"/>
              <w:tl2br w:val="nil"/>
              <w:tr2bl w:val="nil"/>
            </w:tcBorders>
            <w:tcMar>
              <w:left w:w="60" w:type="dxa"/>
              <w:right w:w="60" w:type="dxa"/>
            </w:tcMar>
            <w:vAlign w:val="bottom"/>
          </w:tcPr>
          <w:p w14:paraId="5138D7A6"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(15 954)</w:t>
            </w:r>
          </w:p>
        </w:tc>
        <w:tc>
          <w:tcPr>
            <w:tcW w:w="1444" w:type="dxa"/>
            <w:tcBorders>
              <w:top w:val="nil"/>
              <w:left w:val="nil"/>
              <w:bottom w:val="nil"/>
              <w:right w:val="nil"/>
              <w:tl2br w:val="nil"/>
              <w:tr2bl w:val="nil"/>
            </w:tcBorders>
            <w:tcMar>
              <w:left w:w="60" w:type="dxa"/>
              <w:right w:w="60" w:type="dxa"/>
            </w:tcMar>
            <w:vAlign w:val="bottom"/>
          </w:tcPr>
          <w:p w14:paraId="0CB5E82E"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(14 966)</w:t>
            </w:r>
          </w:p>
        </w:tc>
      </w:tr>
      <w:tr w:rsidR="00807FFE" w14:paraId="7D929016"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386D4827"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Finance costs</w:t>
            </w:r>
          </w:p>
        </w:tc>
        <w:tc>
          <w:tcPr>
            <w:tcW w:w="846" w:type="dxa"/>
            <w:tcBorders>
              <w:top w:val="nil"/>
              <w:left w:val="nil"/>
              <w:bottom w:val="nil"/>
              <w:right w:val="nil"/>
              <w:tl2br w:val="nil"/>
              <w:tr2bl w:val="nil"/>
            </w:tcBorders>
            <w:tcMar>
              <w:left w:w="60" w:type="dxa"/>
              <w:right w:w="60" w:type="dxa"/>
            </w:tcMar>
            <w:vAlign w:val="bottom"/>
          </w:tcPr>
          <w:p w14:paraId="5375E0D3"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3.15</w:t>
            </w:r>
          </w:p>
        </w:tc>
        <w:tc>
          <w:tcPr>
            <w:tcW w:w="1743" w:type="dxa"/>
            <w:tcBorders>
              <w:top w:val="nil"/>
              <w:left w:val="nil"/>
              <w:bottom w:val="nil"/>
              <w:right w:val="nil"/>
              <w:tl2br w:val="nil"/>
              <w:tr2bl w:val="nil"/>
            </w:tcBorders>
            <w:tcMar>
              <w:left w:w="60" w:type="dxa"/>
              <w:right w:w="60" w:type="dxa"/>
            </w:tcMar>
            <w:vAlign w:val="bottom"/>
          </w:tcPr>
          <w:p w14:paraId="6C3EE4A1"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(27 156)</w:t>
            </w:r>
          </w:p>
        </w:tc>
        <w:tc>
          <w:tcPr>
            <w:tcW w:w="1444" w:type="dxa"/>
            <w:tcBorders>
              <w:top w:val="nil"/>
              <w:left w:val="nil"/>
              <w:bottom w:val="nil"/>
              <w:right w:val="nil"/>
              <w:tl2br w:val="nil"/>
              <w:tr2bl w:val="nil"/>
            </w:tcBorders>
            <w:tcMar>
              <w:left w:w="60" w:type="dxa"/>
              <w:right w:w="60" w:type="dxa"/>
            </w:tcMar>
            <w:vAlign w:val="bottom"/>
          </w:tcPr>
          <w:p w14:paraId="43D5D67F"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(27 226)</w:t>
            </w:r>
          </w:p>
        </w:tc>
      </w:tr>
      <w:tr w:rsidR="00807FFE" w14:paraId="01B14996" w14:textId="77777777">
        <w:trPr>
          <w:trHeight w:val="255"/>
        </w:trPr>
        <w:tc>
          <w:tcPr>
            <w:tcW w:w="5725" w:type="dxa"/>
            <w:tcBorders>
              <w:top w:val="nil"/>
              <w:left w:val="nil"/>
              <w:bottom w:val="nil"/>
              <w:right w:val="nil"/>
              <w:tl2br w:val="nil"/>
              <w:tr2bl w:val="nil"/>
            </w:tcBorders>
            <w:tcMar>
              <w:left w:w="60" w:type="dxa"/>
              <w:right w:w="60" w:type="dxa"/>
            </w:tcMar>
            <w:vAlign w:val="center"/>
          </w:tcPr>
          <w:p w14:paraId="7AAEA6E8" w14:textId="77777777"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UK Withdrawal Agreement</w:t>
            </w:r>
          </w:p>
        </w:tc>
        <w:tc>
          <w:tcPr>
            <w:tcW w:w="846" w:type="dxa"/>
            <w:tcBorders>
              <w:top w:val="nil"/>
              <w:left w:val="nil"/>
              <w:bottom w:val="nil"/>
              <w:right w:val="nil"/>
              <w:tl2br w:val="nil"/>
              <w:tr2bl w:val="nil"/>
            </w:tcBorders>
            <w:tcMar>
              <w:left w:w="60" w:type="dxa"/>
              <w:right w:w="60" w:type="dxa"/>
            </w:tcMar>
            <w:vAlign w:val="bottom"/>
          </w:tcPr>
          <w:p w14:paraId="1946097F"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3.7</w:t>
            </w:r>
          </w:p>
        </w:tc>
        <w:tc>
          <w:tcPr>
            <w:tcW w:w="1743" w:type="dxa"/>
            <w:tcBorders>
              <w:top w:val="nil"/>
              <w:left w:val="nil"/>
              <w:bottom w:val="nil"/>
              <w:right w:val="nil"/>
              <w:tl2br w:val="nil"/>
              <w:tr2bl w:val="nil"/>
            </w:tcBorders>
            <w:tcMar>
              <w:left w:w="60" w:type="dxa"/>
              <w:right w:w="60" w:type="dxa"/>
            </w:tcMar>
            <w:vAlign w:val="bottom"/>
          </w:tcPr>
          <w:p w14:paraId="2EE70050"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 xml:space="preserve"> (465)</w:t>
            </w:r>
          </w:p>
        </w:tc>
        <w:tc>
          <w:tcPr>
            <w:tcW w:w="1444" w:type="dxa"/>
            <w:tcBorders>
              <w:top w:val="nil"/>
              <w:left w:val="nil"/>
              <w:bottom w:val="nil"/>
              <w:right w:val="nil"/>
              <w:tl2br w:val="nil"/>
              <w:tr2bl w:val="nil"/>
            </w:tcBorders>
            <w:tcMar>
              <w:left w:w="60" w:type="dxa"/>
              <w:right w:w="60" w:type="dxa"/>
            </w:tcMar>
            <w:vAlign w:val="bottom"/>
          </w:tcPr>
          <w:p w14:paraId="6F03D939"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(315)</w:t>
            </w:r>
          </w:p>
        </w:tc>
      </w:tr>
      <w:tr w:rsidR="00807FFE" w14:paraId="7A9CEC35" w14:textId="77777777">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14:paraId="0960A5EF" w14:textId="29A20645" w:rsidR="00807FFE" w:rsidRDefault="00023E71">
            <w:pPr>
              <w:pStyle w:val="DMETW36757BIPSOFP"/>
              <w:rPr>
                <w:rFonts w:ascii="Verdana" w:eastAsia="Verdana" w:hAnsi="Verdana" w:cs="Verdana"/>
                <w:i/>
                <w:noProof/>
                <w:color w:val="000000"/>
                <w:sz w:val="18"/>
              </w:rPr>
            </w:pPr>
            <w:r>
              <w:rPr>
                <w:rFonts w:ascii="Verdana" w:eastAsia="Verdana" w:hAnsi="Verdana" w:cs="Verdana"/>
                <w:i/>
                <w:noProof/>
                <w:color w:val="000000"/>
                <w:sz w:val="18"/>
              </w:rPr>
              <w:t>Procurement, admin</w:t>
            </w:r>
            <w:r w:rsidR="00453EB7">
              <w:rPr>
                <w:rFonts w:ascii="Verdana" w:eastAsia="Verdana" w:hAnsi="Verdana" w:cs="Verdana"/>
                <w:i/>
                <w:noProof/>
                <w:color w:val="000000"/>
                <w:sz w:val="18"/>
              </w:rPr>
              <w:t xml:space="preserve">istrative </w:t>
            </w:r>
            <w:r>
              <w:rPr>
                <w:rFonts w:ascii="Verdana" w:eastAsia="Verdana" w:hAnsi="Verdana" w:cs="Verdana"/>
                <w:i/>
                <w:noProof/>
                <w:color w:val="000000"/>
                <w:sz w:val="18"/>
              </w:rPr>
              <w:t>and other expenses</w:t>
            </w:r>
          </w:p>
        </w:tc>
        <w:tc>
          <w:tcPr>
            <w:tcW w:w="846" w:type="dxa"/>
            <w:tcBorders>
              <w:top w:val="nil"/>
              <w:left w:val="nil"/>
              <w:bottom w:val="single" w:sz="4" w:space="0" w:color="016794"/>
              <w:right w:val="nil"/>
              <w:tl2br w:val="nil"/>
              <w:tr2bl w:val="nil"/>
            </w:tcBorders>
            <w:tcMar>
              <w:left w:w="60" w:type="dxa"/>
              <w:right w:w="60" w:type="dxa"/>
            </w:tcMar>
            <w:vAlign w:val="bottom"/>
          </w:tcPr>
          <w:p w14:paraId="5BCA7C45" w14:textId="77777777" w:rsidR="00807FFE" w:rsidRDefault="00023E71">
            <w:pPr>
              <w:pStyle w:val="DMETW36757BIPSOFP"/>
              <w:jc w:val="center"/>
              <w:rPr>
                <w:rFonts w:ascii="Verdana" w:eastAsia="Verdana" w:hAnsi="Verdana" w:cs="Verdana"/>
                <w:i/>
                <w:noProof/>
                <w:color w:val="000000"/>
                <w:sz w:val="18"/>
              </w:rPr>
            </w:pPr>
            <w:r>
              <w:rPr>
                <w:rFonts w:ascii="Verdana" w:eastAsia="Verdana" w:hAnsi="Verdana" w:cs="Verdana"/>
                <w:i/>
                <w:noProof/>
                <w:color w:val="000000"/>
                <w:sz w:val="18"/>
              </w:rPr>
              <w:t>3.16</w:t>
            </w:r>
          </w:p>
        </w:tc>
        <w:tc>
          <w:tcPr>
            <w:tcW w:w="1743" w:type="dxa"/>
            <w:tcBorders>
              <w:top w:val="nil"/>
              <w:left w:val="nil"/>
              <w:bottom w:val="single" w:sz="4" w:space="0" w:color="016794"/>
              <w:right w:val="nil"/>
              <w:tl2br w:val="nil"/>
              <w:tr2bl w:val="nil"/>
            </w:tcBorders>
            <w:tcMar>
              <w:left w:w="60" w:type="dxa"/>
              <w:right w:w="60" w:type="dxa"/>
            </w:tcMar>
            <w:vAlign w:val="bottom"/>
          </w:tcPr>
          <w:p w14:paraId="020E479D" w14:textId="77777777" w:rsidR="00807FFE" w:rsidRDefault="00023E71">
            <w:pPr>
              <w:pStyle w:val="DMETW36757BIPSOFP"/>
              <w:jc w:val="right"/>
              <w:rPr>
                <w:rFonts w:ascii="Verdana" w:eastAsia="Verdana" w:hAnsi="Verdana" w:cs="Verdana"/>
                <w:i/>
                <w:noProof/>
                <w:color w:val="000000"/>
                <w:sz w:val="18"/>
              </w:rPr>
            </w:pPr>
            <w:r>
              <w:rPr>
                <w:rFonts w:ascii="Verdana" w:eastAsia="Verdana" w:hAnsi="Verdana" w:cs="Verdana"/>
                <w:i/>
                <w:noProof/>
                <w:color w:val="000000"/>
                <w:sz w:val="18"/>
              </w:rPr>
              <w:t>(10 733)</w:t>
            </w:r>
          </w:p>
        </w:tc>
        <w:tc>
          <w:tcPr>
            <w:tcW w:w="1444" w:type="dxa"/>
            <w:tcBorders>
              <w:top w:val="nil"/>
              <w:left w:val="nil"/>
              <w:bottom w:val="single" w:sz="4" w:space="0" w:color="016794"/>
              <w:right w:val="nil"/>
              <w:tl2br w:val="nil"/>
              <w:tr2bl w:val="nil"/>
            </w:tcBorders>
            <w:tcMar>
              <w:left w:w="60" w:type="dxa"/>
              <w:right w:w="60" w:type="dxa"/>
            </w:tcMar>
            <w:vAlign w:val="bottom"/>
          </w:tcPr>
          <w:p w14:paraId="78DE1372" w14:textId="77777777" w:rsidR="00807FFE" w:rsidRDefault="00023E71">
            <w:pPr>
              <w:pStyle w:val="DMETW36757BIPSOFP"/>
              <w:jc w:val="right"/>
              <w:rPr>
                <w:rFonts w:ascii="Verdana" w:eastAsia="Verdana" w:hAnsi="Verdana" w:cs="Verdana"/>
                <w:i/>
                <w:noProof/>
                <w:color w:val="000000"/>
                <w:sz w:val="18"/>
                <w:lang w:bidi="en-GB"/>
              </w:rPr>
            </w:pPr>
            <w:r>
              <w:rPr>
                <w:rFonts w:ascii="Verdana" w:eastAsia="Verdana" w:hAnsi="Verdana" w:cs="Verdana"/>
                <w:i/>
                <w:noProof/>
                <w:color w:val="000000"/>
                <w:sz w:val="18"/>
              </w:rPr>
              <w:t>(8 997)</w:t>
            </w:r>
          </w:p>
        </w:tc>
      </w:tr>
      <w:tr w:rsidR="00807FFE" w14:paraId="77347682" w14:textId="77777777">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14:paraId="711E9E78" w14:textId="77777777" w:rsidR="00807FFE" w:rsidRDefault="00023E71">
            <w:pPr>
              <w:pStyle w:val="DMETW36757BIPSOFP"/>
              <w:rPr>
                <w:rFonts w:ascii="Verdana" w:eastAsia="Verdana" w:hAnsi="Verdana" w:cs="Verdana"/>
                <w:b/>
                <w:noProof/>
                <w:color w:val="000000"/>
                <w:sz w:val="18"/>
              </w:rPr>
            </w:pPr>
            <w:r>
              <w:rPr>
                <w:rFonts w:ascii="Verdana" w:eastAsia="Verdana" w:hAnsi="Verdana" w:cs="Verdana"/>
                <w:b/>
                <w:noProof/>
                <w:color w:val="000000"/>
                <w:sz w:val="18"/>
              </w:rPr>
              <w:t>Total Expenses</w:t>
            </w:r>
          </w:p>
        </w:tc>
        <w:tc>
          <w:tcPr>
            <w:tcW w:w="846" w:type="dxa"/>
            <w:tcBorders>
              <w:top w:val="single" w:sz="4" w:space="0" w:color="016794"/>
              <w:left w:val="nil"/>
              <w:bottom w:val="nil"/>
              <w:right w:val="nil"/>
              <w:tl2br w:val="nil"/>
              <w:tr2bl w:val="nil"/>
            </w:tcBorders>
            <w:tcMar>
              <w:left w:w="60" w:type="dxa"/>
              <w:right w:w="60" w:type="dxa"/>
            </w:tcMar>
            <w:vAlign w:val="bottom"/>
          </w:tcPr>
          <w:p w14:paraId="3EB24D1E" w14:textId="77777777" w:rsidR="00807FFE" w:rsidRDefault="00807FFE">
            <w:pPr>
              <w:pStyle w:val="DMETW36757BIPSOFP"/>
              <w:jc w:val="center"/>
              <w:rPr>
                <w:rFonts w:ascii="Verdana" w:eastAsia="Verdana" w:hAnsi="Verdana" w:cs="Verdana"/>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14:paraId="5945448D" w14:textId="77777777" w:rsidR="00807FFE" w:rsidRDefault="00023E71">
            <w:pPr>
              <w:pStyle w:val="DMETW36757BIPSOFP"/>
              <w:jc w:val="right"/>
              <w:rPr>
                <w:rFonts w:ascii="Verdana" w:eastAsia="Verdana" w:hAnsi="Verdana" w:cs="Verdana"/>
                <w:b/>
                <w:noProof/>
                <w:color w:val="000000"/>
                <w:sz w:val="18"/>
              </w:rPr>
            </w:pPr>
            <w:r>
              <w:rPr>
                <w:rFonts w:ascii="Verdana" w:eastAsia="Verdana" w:hAnsi="Verdana" w:cs="Verdana"/>
                <w:b/>
                <w:noProof/>
                <w:color w:val="000000"/>
                <w:sz w:val="18"/>
              </w:rPr>
              <w:t>(257 134)</w:t>
            </w:r>
          </w:p>
        </w:tc>
        <w:tc>
          <w:tcPr>
            <w:tcW w:w="1444" w:type="dxa"/>
            <w:tcBorders>
              <w:top w:val="single" w:sz="4" w:space="0" w:color="016794"/>
              <w:left w:val="nil"/>
              <w:bottom w:val="nil"/>
              <w:right w:val="nil"/>
              <w:tl2br w:val="nil"/>
              <w:tr2bl w:val="nil"/>
            </w:tcBorders>
            <w:tcMar>
              <w:left w:w="60" w:type="dxa"/>
              <w:right w:w="60" w:type="dxa"/>
            </w:tcMar>
            <w:vAlign w:val="bottom"/>
          </w:tcPr>
          <w:p w14:paraId="5163A818" w14:textId="77777777" w:rsidR="00807FFE" w:rsidRDefault="00023E71">
            <w:pPr>
              <w:pStyle w:val="DMETW36757BIPSOFP"/>
              <w:jc w:val="right"/>
              <w:rPr>
                <w:rFonts w:ascii="Verdana" w:eastAsia="Verdana" w:hAnsi="Verdana" w:cs="Verdana"/>
                <w:b/>
                <w:noProof/>
                <w:color w:val="000000"/>
                <w:sz w:val="18"/>
                <w:lang w:bidi="en-GB"/>
              </w:rPr>
            </w:pPr>
            <w:r>
              <w:rPr>
                <w:rFonts w:ascii="Verdana" w:eastAsia="Verdana" w:hAnsi="Verdana" w:cs="Verdana"/>
                <w:b/>
                <w:noProof/>
                <w:color w:val="000000"/>
                <w:sz w:val="18"/>
              </w:rPr>
              <w:t>(272 873)</w:t>
            </w:r>
          </w:p>
        </w:tc>
      </w:tr>
      <w:tr w:rsidR="00807FFE" w14:paraId="19925272" w14:textId="77777777">
        <w:trPr>
          <w:trHeight w:val="255"/>
        </w:trPr>
        <w:tc>
          <w:tcPr>
            <w:tcW w:w="5725" w:type="dxa"/>
            <w:tcBorders>
              <w:top w:val="nil"/>
              <w:left w:val="nil"/>
              <w:bottom w:val="nil"/>
              <w:right w:val="nil"/>
              <w:tl2br w:val="nil"/>
              <w:tr2bl w:val="nil"/>
            </w:tcBorders>
            <w:shd w:val="solid" w:color="CCE1EA" w:fill="FFFFFF"/>
            <w:tcMar>
              <w:left w:w="60" w:type="dxa"/>
              <w:right w:w="60" w:type="dxa"/>
            </w:tcMar>
            <w:vAlign w:val="center"/>
          </w:tcPr>
          <w:p w14:paraId="32B3589B" w14:textId="77777777" w:rsidR="00807FFE" w:rsidRDefault="00023E71">
            <w:pPr>
              <w:pStyle w:val="DMETW36757BIPSOFP"/>
              <w:rPr>
                <w:rFonts w:ascii="Verdana" w:eastAsia="Verdana" w:hAnsi="Verdana" w:cs="Verdana"/>
                <w:b/>
                <w:noProof/>
                <w:color w:val="000000"/>
                <w:sz w:val="18"/>
              </w:rPr>
            </w:pPr>
            <w:r>
              <w:rPr>
                <w:rFonts w:ascii="Verdana" w:eastAsia="Verdana" w:hAnsi="Verdana" w:cs="Verdana"/>
                <w:b/>
                <w:noProof/>
                <w:color w:val="000000"/>
                <w:sz w:val="18"/>
              </w:rPr>
              <w:t>ECONOMIC RESULT OF THE YEAR</w:t>
            </w:r>
          </w:p>
        </w:tc>
        <w:tc>
          <w:tcPr>
            <w:tcW w:w="846" w:type="dxa"/>
            <w:tcBorders>
              <w:top w:val="nil"/>
              <w:left w:val="nil"/>
              <w:bottom w:val="nil"/>
              <w:right w:val="nil"/>
              <w:tl2br w:val="nil"/>
              <w:tr2bl w:val="nil"/>
            </w:tcBorders>
            <w:shd w:val="solid" w:color="CCE1EA" w:fill="FFFFFF"/>
            <w:tcMar>
              <w:left w:w="60" w:type="dxa"/>
              <w:right w:w="60" w:type="dxa"/>
            </w:tcMar>
            <w:vAlign w:val="bottom"/>
          </w:tcPr>
          <w:p w14:paraId="255B040F" w14:textId="77777777" w:rsidR="00807FFE" w:rsidRDefault="00807FFE">
            <w:pPr>
              <w:pStyle w:val="DMETW36757BIPSOFP"/>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bottom"/>
          </w:tcPr>
          <w:p w14:paraId="2FB76D72" w14:textId="77777777" w:rsidR="00807FFE" w:rsidRDefault="00023E71">
            <w:pPr>
              <w:pStyle w:val="DMETW36757BIPSOFP"/>
              <w:jc w:val="right"/>
              <w:rPr>
                <w:rFonts w:ascii="Verdana" w:eastAsia="Verdana" w:hAnsi="Verdana" w:cs="Verdana"/>
                <w:b/>
                <w:noProof/>
                <w:color w:val="000000"/>
                <w:sz w:val="18"/>
              </w:rPr>
            </w:pPr>
            <w:r>
              <w:rPr>
                <w:rFonts w:ascii="Verdana" w:eastAsia="Verdana" w:hAnsi="Verdana" w:cs="Verdana"/>
                <w:b/>
                <w:noProof/>
                <w:color w:val="000000"/>
                <w:sz w:val="18"/>
              </w:rPr>
              <w:t>(54 639)</w:t>
            </w:r>
          </w:p>
        </w:tc>
        <w:tc>
          <w:tcPr>
            <w:tcW w:w="1444" w:type="dxa"/>
            <w:tcBorders>
              <w:top w:val="nil"/>
              <w:left w:val="nil"/>
              <w:bottom w:val="nil"/>
              <w:right w:val="nil"/>
              <w:tl2br w:val="nil"/>
              <w:tr2bl w:val="nil"/>
            </w:tcBorders>
            <w:shd w:val="solid" w:color="CCE1EA" w:fill="FFFFFF"/>
            <w:tcMar>
              <w:left w:w="60" w:type="dxa"/>
              <w:right w:w="60" w:type="dxa"/>
            </w:tcMar>
            <w:vAlign w:val="bottom"/>
          </w:tcPr>
          <w:p w14:paraId="2AEE7885" w14:textId="77777777" w:rsidR="00807FFE" w:rsidRDefault="00023E71">
            <w:pPr>
              <w:pStyle w:val="DMETW36757BIPSOFP"/>
              <w:jc w:val="right"/>
              <w:rPr>
                <w:rFonts w:ascii="Verdana" w:eastAsia="Verdana" w:hAnsi="Verdana" w:cs="Verdana"/>
                <w:b/>
                <w:noProof/>
                <w:color w:val="000000"/>
                <w:sz w:val="18"/>
              </w:rPr>
            </w:pPr>
            <w:r>
              <w:rPr>
                <w:rFonts w:ascii="Verdana" w:eastAsia="Verdana" w:hAnsi="Verdana" w:cs="Verdana"/>
                <w:b/>
                <w:noProof/>
                <w:color w:val="000000"/>
                <w:sz w:val="18"/>
              </w:rPr>
              <w:t>(97 208)</w:t>
            </w:r>
          </w:p>
        </w:tc>
      </w:tr>
    </w:tbl>
    <w:p w14:paraId="1D71A7DF" w14:textId="77777777" w:rsidR="00817EA5" w:rsidRDefault="00817EA5" w:rsidP="00817EA5">
      <w:pPr>
        <w:pStyle w:val="Textstand-alone"/>
        <w:rPr>
          <w:lang w:bidi="en-GB"/>
        </w:rPr>
      </w:pPr>
    </w:p>
    <w:p w14:paraId="2C41E24A" w14:textId="77777777" w:rsidR="007540AA" w:rsidRPr="001C5771" w:rsidRDefault="00023E71" w:rsidP="007540AA">
      <w:pPr>
        <w:pStyle w:val="Text9pItalicLeft3p"/>
        <w:rPr>
          <w:lang w:bidi="en-GB"/>
        </w:rPr>
        <w:sectPr w:rsidR="007540AA" w:rsidRPr="001C5771">
          <w:headerReference w:type="default" r:id="rId53"/>
          <w:footerReference w:type="default" r:id="rId54"/>
          <w:pgSz w:w="11906" w:h="16838"/>
          <w:pgMar w:top="1134" w:right="1134" w:bottom="1134" w:left="1134" w:header="709" w:footer="709" w:gutter="0"/>
          <w:cols w:space="708"/>
          <w:docGrid w:linePitch="360"/>
        </w:sectPr>
      </w:pPr>
      <w:r>
        <w:rPr>
          <w:lang w:bidi="en-GB"/>
        </w:rPr>
        <w:t xml:space="preserve"> </w:t>
      </w:r>
      <w:bookmarkEnd w:id="61"/>
    </w:p>
    <w:p w14:paraId="76930746" w14:textId="77777777" w:rsidR="00D266AB" w:rsidRDefault="00023E71" w:rsidP="00664EC9">
      <w:pPr>
        <w:pStyle w:val="HEADERTITLE1"/>
        <w:spacing w:after="0"/>
        <w:rPr>
          <w:lang w:val="fr-BE"/>
        </w:rPr>
      </w:pPr>
      <w:bookmarkStart w:id="63" w:name="_Toc232438935"/>
      <w:bookmarkStart w:id="64" w:name="_Toc232674975"/>
      <w:bookmarkStart w:id="65" w:name="_DMBM_36717"/>
      <w:r>
        <w:rPr>
          <w:lang w:val="fr-BE"/>
        </w:rPr>
        <w:t>CASHFLOW STATEMENT</w:t>
      </w:r>
      <w:bookmarkEnd w:id="63"/>
      <w:bookmarkEnd w:id="64"/>
    </w:p>
    <w:p w14:paraId="018AF2D5" w14:textId="77777777" w:rsidR="00D266AB" w:rsidRDefault="00D266AB" w:rsidP="00D266AB">
      <w:pPr>
        <w:pStyle w:val="DGTextstand-alone"/>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6"/>
        <w:gridCol w:w="1536"/>
        <w:gridCol w:w="1536"/>
      </w:tblGrid>
      <w:tr w:rsidR="00807FFE" w14:paraId="617284F0"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4A928628" w14:textId="77777777" w:rsidR="00807FFE" w:rsidRDefault="00807FFE">
            <w:pPr>
              <w:pStyle w:val="DMETW36758BIPCF"/>
              <w:rPr>
                <w:rFonts w:ascii="Verdana" w:eastAsia="Verdana" w:hAnsi="Verdana" w:cs="Verdana"/>
                <w:i/>
                <w:noProof/>
                <w:color w:val="FFFFFF"/>
                <w:sz w:val="16"/>
                <w:lang w:bidi="en-GB"/>
              </w:rPr>
            </w:pPr>
            <w:bookmarkStart w:id="66" w:name="DOC_TBL00003_1_1"/>
            <w:bookmarkEnd w:id="66"/>
          </w:p>
        </w:tc>
        <w:tc>
          <w:tcPr>
            <w:tcW w:w="1536" w:type="dxa"/>
            <w:tcBorders>
              <w:top w:val="nil"/>
              <w:left w:val="nil"/>
              <w:bottom w:val="nil"/>
              <w:right w:val="nil"/>
              <w:tl2br w:val="nil"/>
              <w:tr2bl w:val="nil"/>
            </w:tcBorders>
            <w:tcMar>
              <w:left w:w="60" w:type="dxa"/>
              <w:right w:w="60" w:type="dxa"/>
            </w:tcMar>
            <w:vAlign w:val="bottom"/>
          </w:tcPr>
          <w:p w14:paraId="72318FE2" w14:textId="77777777" w:rsidR="00807FFE" w:rsidRDefault="00807FFE">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bottom"/>
          </w:tcPr>
          <w:p w14:paraId="7269D738" w14:textId="77777777" w:rsidR="00807FFE" w:rsidRDefault="00023E71">
            <w:pPr>
              <w:pStyle w:val="DMETW36758BIPCF"/>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828B23A" w14:textId="77777777">
        <w:trPr>
          <w:trHeight w:val="369"/>
        </w:trPr>
        <w:tc>
          <w:tcPr>
            <w:tcW w:w="6686" w:type="dxa"/>
            <w:tcBorders>
              <w:top w:val="nil"/>
              <w:left w:val="nil"/>
              <w:bottom w:val="nil"/>
              <w:right w:val="nil"/>
              <w:tl2br w:val="nil"/>
              <w:tr2bl w:val="nil"/>
            </w:tcBorders>
            <w:shd w:val="solid" w:color="016794" w:fill="FFFFFF"/>
            <w:tcMar>
              <w:left w:w="60" w:type="dxa"/>
              <w:right w:w="60" w:type="dxa"/>
            </w:tcMar>
            <w:vAlign w:val="center"/>
          </w:tcPr>
          <w:p w14:paraId="0162E64C" w14:textId="77777777" w:rsidR="00807FFE" w:rsidRDefault="00807FFE">
            <w:pPr>
              <w:pStyle w:val="DMETW36758BIPCF"/>
              <w:rPr>
                <w:rFonts w:ascii="Verdana" w:eastAsia="Verdana" w:hAnsi="Verdana" w:cs="Verdana"/>
                <w:noProof/>
                <w:color w:val="FFFFFF"/>
              </w:rPr>
            </w:pPr>
          </w:p>
        </w:tc>
        <w:tc>
          <w:tcPr>
            <w:tcW w:w="1536" w:type="dxa"/>
            <w:tcBorders>
              <w:top w:val="nil"/>
              <w:left w:val="nil"/>
              <w:bottom w:val="nil"/>
              <w:right w:val="nil"/>
              <w:tl2br w:val="nil"/>
              <w:tr2bl w:val="nil"/>
            </w:tcBorders>
            <w:shd w:val="solid" w:color="016794" w:fill="FFFFFF"/>
            <w:tcMar>
              <w:left w:w="60" w:type="dxa"/>
              <w:right w:w="60" w:type="dxa"/>
            </w:tcMar>
            <w:vAlign w:val="center"/>
          </w:tcPr>
          <w:p w14:paraId="4A29B5CB" w14:textId="77777777" w:rsidR="00807FFE" w:rsidRDefault="00023E71">
            <w:pPr>
              <w:pStyle w:val="DMETW36758BIPCF"/>
              <w:jc w:val="right"/>
              <w:rPr>
                <w:rFonts w:ascii="Verdana" w:eastAsia="Verdana" w:hAnsi="Verdana" w:cs="Verdana"/>
                <w:noProof/>
                <w:color w:val="FFFFFF"/>
              </w:rPr>
            </w:pPr>
            <w:r>
              <w:rPr>
                <w:rFonts w:ascii="Verdana" w:eastAsia="Verdana" w:hAnsi="Verdana" w:cs="Verdana"/>
                <w:noProof/>
                <w:color w:val="FFFFFF"/>
              </w:rPr>
              <w:t>2025</w:t>
            </w:r>
          </w:p>
        </w:tc>
        <w:tc>
          <w:tcPr>
            <w:tcW w:w="1536" w:type="dxa"/>
            <w:tcBorders>
              <w:top w:val="nil"/>
              <w:left w:val="nil"/>
              <w:bottom w:val="nil"/>
              <w:right w:val="nil"/>
              <w:tl2br w:val="nil"/>
              <w:tr2bl w:val="nil"/>
            </w:tcBorders>
            <w:shd w:val="solid" w:color="016794" w:fill="FFFFFF"/>
            <w:tcMar>
              <w:left w:w="60" w:type="dxa"/>
              <w:right w:w="60" w:type="dxa"/>
            </w:tcMar>
            <w:vAlign w:val="center"/>
          </w:tcPr>
          <w:p w14:paraId="3D3011D3" w14:textId="77777777" w:rsidR="00807FFE" w:rsidRDefault="00023E71">
            <w:pPr>
              <w:pStyle w:val="DMETW36758BIPCF"/>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39A8214C"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4C4A4E76"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536" w:type="dxa"/>
            <w:tcBorders>
              <w:top w:val="nil"/>
              <w:left w:val="nil"/>
              <w:bottom w:val="nil"/>
              <w:right w:val="nil"/>
              <w:tl2br w:val="nil"/>
              <w:tr2bl w:val="nil"/>
            </w:tcBorders>
            <w:tcMar>
              <w:left w:w="60" w:type="dxa"/>
              <w:right w:w="60" w:type="dxa"/>
            </w:tcMar>
            <w:vAlign w:val="center"/>
          </w:tcPr>
          <w:p w14:paraId="59B0D437"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(54 639)</w:t>
            </w:r>
          </w:p>
        </w:tc>
        <w:tc>
          <w:tcPr>
            <w:tcW w:w="1536" w:type="dxa"/>
            <w:tcBorders>
              <w:top w:val="nil"/>
              <w:left w:val="nil"/>
              <w:bottom w:val="nil"/>
              <w:right w:val="nil"/>
              <w:tl2br w:val="nil"/>
              <w:tr2bl w:val="nil"/>
            </w:tcBorders>
            <w:tcMar>
              <w:left w:w="60" w:type="dxa"/>
              <w:right w:w="60" w:type="dxa"/>
            </w:tcMar>
            <w:vAlign w:val="center"/>
          </w:tcPr>
          <w:p w14:paraId="6FCA2987"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(97 208)</w:t>
            </w:r>
          </w:p>
        </w:tc>
      </w:tr>
      <w:tr w:rsidR="00807FFE" w14:paraId="4708297E"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021220D4" w14:textId="77777777" w:rsidR="00807FFE" w:rsidRDefault="00023E71">
            <w:pPr>
              <w:pStyle w:val="DMETW36758BIPCF"/>
              <w:rPr>
                <w:rFonts w:ascii="Verdana" w:eastAsia="Verdana" w:hAnsi="Verdana" w:cs="Verdana"/>
                <w:b/>
                <w:noProof/>
                <w:color w:val="000000"/>
                <w:sz w:val="18"/>
              </w:rPr>
            </w:pPr>
            <w:r>
              <w:rPr>
                <w:rFonts w:ascii="Verdana" w:eastAsia="Verdana" w:hAnsi="Verdana" w:cs="Verdana"/>
                <w:b/>
                <w:noProof/>
                <w:color w:val="000000"/>
                <w:sz w:val="18"/>
              </w:rPr>
              <w:t>Operating activities</w:t>
            </w:r>
          </w:p>
        </w:tc>
        <w:tc>
          <w:tcPr>
            <w:tcW w:w="1536" w:type="dxa"/>
            <w:tcBorders>
              <w:top w:val="nil"/>
              <w:left w:val="nil"/>
              <w:bottom w:val="nil"/>
              <w:right w:val="nil"/>
              <w:tl2br w:val="nil"/>
              <w:tr2bl w:val="nil"/>
            </w:tcBorders>
            <w:tcMar>
              <w:left w:w="60" w:type="dxa"/>
              <w:right w:w="60" w:type="dxa"/>
            </w:tcMar>
            <w:vAlign w:val="center"/>
          </w:tcPr>
          <w:p w14:paraId="0C820BAF" w14:textId="77777777" w:rsidR="00807FFE" w:rsidRDefault="00807FFE">
            <w:pPr>
              <w:pStyle w:val="DMETW36758BIPCF"/>
              <w:jc w:val="right"/>
              <w:rPr>
                <w:rFonts w:ascii="Verdana" w:eastAsia="Verdana" w:hAnsi="Verdana" w:cs="Verdana"/>
                <w:i/>
                <w:noProof/>
                <w:color w:val="000000"/>
                <w:sz w:val="18"/>
              </w:rPr>
            </w:pPr>
          </w:p>
        </w:tc>
        <w:tc>
          <w:tcPr>
            <w:tcW w:w="1536" w:type="dxa"/>
            <w:tcBorders>
              <w:top w:val="nil"/>
              <w:left w:val="nil"/>
              <w:bottom w:val="nil"/>
              <w:right w:val="nil"/>
              <w:tl2br w:val="nil"/>
              <w:tr2bl w:val="nil"/>
            </w:tcBorders>
            <w:tcMar>
              <w:left w:w="60" w:type="dxa"/>
              <w:right w:w="60" w:type="dxa"/>
            </w:tcMar>
            <w:vAlign w:val="center"/>
          </w:tcPr>
          <w:p w14:paraId="7406E18F" w14:textId="77777777" w:rsidR="00807FFE" w:rsidRDefault="00807FFE">
            <w:pPr>
              <w:pStyle w:val="DMETW36758BIPCF"/>
              <w:jc w:val="right"/>
              <w:rPr>
                <w:rFonts w:ascii="Verdana" w:eastAsia="Verdana" w:hAnsi="Verdana" w:cs="Verdana"/>
                <w:i/>
                <w:noProof/>
                <w:color w:val="000000"/>
                <w:sz w:val="18"/>
                <w:lang w:bidi="en-GB"/>
              </w:rPr>
            </w:pPr>
          </w:p>
        </w:tc>
      </w:tr>
      <w:tr w:rsidR="00807FFE" w14:paraId="27254FA1"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1F2CAFC0"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Amortisation</w:t>
            </w:r>
          </w:p>
        </w:tc>
        <w:tc>
          <w:tcPr>
            <w:tcW w:w="1536" w:type="dxa"/>
            <w:tcBorders>
              <w:top w:val="nil"/>
              <w:left w:val="nil"/>
              <w:bottom w:val="nil"/>
              <w:right w:val="nil"/>
              <w:tl2br w:val="nil"/>
              <w:tr2bl w:val="nil"/>
            </w:tcBorders>
            <w:tcMar>
              <w:left w:w="60" w:type="dxa"/>
              <w:right w:w="60" w:type="dxa"/>
            </w:tcMar>
            <w:vAlign w:val="center"/>
          </w:tcPr>
          <w:p w14:paraId="105F1E96"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212</w:t>
            </w:r>
          </w:p>
        </w:tc>
        <w:tc>
          <w:tcPr>
            <w:tcW w:w="1536" w:type="dxa"/>
            <w:tcBorders>
              <w:top w:val="nil"/>
              <w:left w:val="nil"/>
              <w:bottom w:val="nil"/>
              <w:right w:val="nil"/>
              <w:tl2br w:val="nil"/>
              <w:tr2bl w:val="nil"/>
            </w:tcBorders>
            <w:tcMar>
              <w:left w:w="60" w:type="dxa"/>
              <w:right w:w="60" w:type="dxa"/>
            </w:tcMar>
            <w:vAlign w:val="center"/>
          </w:tcPr>
          <w:p w14:paraId="2C251F0F"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191</w:t>
            </w:r>
          </w:p>
        </w:tc>
      </w:tr>
      <w:tr w:rsidR="00807FFE" w14:paraId="5C083FC0"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5D6C8A69"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Depreciation</w:t>
            </w:r>
          </w:p>
        </w:tc>
        <w:tc>
          <w:tcPr>
            <w:tcW w:w="1536" w:type="dxa"/>
            <w:tcBorders>
              <w:top w:val="nil"/>
              <w:left w:val="nil"/>
              <w:bottom w:val="nil"/>
              <w:right w:val="nil"/>
              <w:tl2br w:val="nil"/>
              <w:tr2bl w:val="nil"/>
            </w:tcBorders>
            <w:tcMar>
              <w:left w:w="60" w:type="dxa"/>
              <w:right w:w="60" w:type="dxa"/>
            </w:tcMar>
            <w:vAlign w:val="center"/>
          </w:tcPr>
          <w:p w14:paraId="2806BD75"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1 123</w:t>
            </w:r>
          </w:p>
        </w:tc>
        <w:tc>
          <w:tcPr>
            <w:tcW w:w="1536" w:type="dxa"/>
            <w:tcBorders>
              <w:top w:val="nil"/>
              <w:left w:val="nil"/>
              <w:bottom w:val="nil"/>
              <w:right w:val="nil"/>
              <w:tl2br w:val="nil"/>
              <w:tr2bl w:val="nil"/>
            </w:tcBorders>
            <w:tcMar>
              <w:left w:w="60" w:type="dxa"/>
              <w:right w:w="60" w:type="dxa"/>
            </w:tcMar>
            <w:vAlign w:val="center"/>
          </w:tcPr>
          <w:p w14:paraId="259EE6C8"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1 194</w:t>
            </w:r>
          </w:p>
        </w:tc>
      </w:tr>
      <w:tr w:rsidR="00807FFE" w14:paraId="08CE8B23"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43829253"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loans</w:t>
            </w:r>
          </w:p>
        </w:tc>
        <w:tc>
          <w:tcPr>
            <w:tcW w:w="1536" w:type="dxa"/>
            <w:tcBorders>
              <w:top w:val="nil"/>
              <w:left w:val="nil"/>
              <w:bottom w:val="nil"/>
              <w:right w:val="nil"/>
              <w:tl2br w:val="nil"/>
              <w:tr2bl w:val="nil"/>
            </w:tcBorders>
            <w:tcMar>
              <w:left w:w="60" w:type="dxa"/>
              <w:right w:w="60" w:type="dxa"/>
            </w:tcMar>
            <w:vAlign w:val="center"/>
          </w:tcPr>
          <w:p w14:paraId="0334515F"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(49 852)</w:t>
            </w:r>
          </w:p>
        </w:tc>
        <w:tc>
          <w:tcPr>
            <w:tcW w:w="1536" w:type="dxa"/>
            <w:tcBorders>
              <w:top w:val="nil"/>
              <w:left w:val="nil"/>
              <w:bottom w:val="nil"/>
              <w:right w:val="nil"/>
              <w:tl2br w:val="nil"/>
              <w:tr2bl w:val="nil"/>
            </w:tcBorders>
            <w:tcMar>
              <w:left w:w="60" w:type="dxa"/>
              <w:right w:w="60" w:type="dxa"/>
            </w:tcMar>
            <w:vAlign w:val="center"/>
          </w:tcPr>
          <w:p w14:paraId="09226D7A"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(36 703)</w:t>
            </w:r>
          </w:p>
        </w:tc>
      </w:tr>
      <w:tr w:rsidR="00807FFE" w14:paraId="5B6856DA"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76BC6F74"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pre-financing</w:t>
            </w:r>
          </w:p>
        </w:tc>
        <w:tc>
          <w:tcPr>
            <w:tcW w:w="1536" w:type="dxa"/>
            <w:tcBorders>
              <w:top w:val="nil"/>
              <w:left w:val="nil"/>
              <w:bottom w:val="nil"/>
              <w:right w:val="nil"/>
              <w:tl2br w:val="nil"/>
              <w:tr2bl w:val="nil"/>
            </w:tcBorders>
            <w:tcMar>
              <w:left w:w="60" w:type="dxa"/>
              <w:right w:w="60" w:type="dxa"/>
            </w:tcMar>
            <w:vAlign w:val="center"/>
          </w:tcPr>
          <w:p w14:paraId="360CBD77"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2 173</w:t>
            </w:r>
          </w:p>
        </w:tc>
        <w:tc>
          <w:tcPr>
            <w:tcW w:w="1536" w:type="dxa"/>
            <w:tcBorders>
              <w:top w:val="nil"/>
              <w:left w:val="nil"/>
              <w:bottom w:val="nil"/>
              <w:right w:val="nil"/>
              <w:tl2br w:val="nil"/>
              <w:tr2bl w:val="nil"/>
            </w:tcBorders>
            <w:tcMar>
              <w:left w:w="60" w:type="dxa"/>
              <w:right w:w="60" w:type="dxa"/>
            </w:tcMar>
            <w:vAlign w:val="center"/>
          </w:tcPr>
          <w:p w14:paraId="21CD48A3"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12 756</w:t>
            </w:r>
          </w:p>
        </w:tc>
      </w:tr>
      <w:tr w:rsidR="00807FFE" w14:paraId="2115DEF2"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4CD8C788"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exchange receivables and non-exchange recoverables</w:t>
            </w:r>
          </w:p>
        </w:tc>
        <w:tc>
          <w:tcPr>
            <w:tcW w:w="1536" w:type="dxa"/>
            <w:tcBorders>
              <w:top w:val="nil"/>
              <w:left w:val="nil"/>
              <w:bottom w:val="nil"/>
              <w:right w:val="nil"/>
              <w:tl2br w:val="nil"/>
              <w:tr2bl w:val="nil"/>
            </w:tcBorders>
            <w:tcMar>
              <w:left w:w="60" w:type="dxa"/>
              <w:right w:w="60" w:type="dxa"/>
            </w:tcMar>
            <w:vAlign w:val="center"/>
          </w:tcPr>
          <w:p w14:paraId="336B7A2F"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(2 332)</w:t>
            </w:r>
          </w:p>
        </w:tc>
        <w:tc>
          <w:tcPr>
            <w:tcW w:w="1536" w:type="dxa"/>
            <w:tcBorders>
              <w:top w:val="nil"/>
              <w:left w:val="nil"/>
              <w:bottom w:val="nil"/>
              <w:right w:val="nil"/>
              <w:tl2br w:val="nil"/>
              <w:tr2bl w:val="nil"/>
            </w:tcBorders>
            <w:tcMar>
              <w:left w:w="60" w:type="dxa"/>
              <w:right w:w="60" w:type="dxa"/>
            </w:tcMar>
            <w:vAlign w:val="center"/>
          </w:tcPr>
          <w:p w14:paraId="3D3B2561"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3 463</w:t>
            </w:r>
          </w:p>
        </w:tc>
      </w:tr>
      <w:tr w:rsidR="00807FFE" w14:paraId="19147B89"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5F16A22F"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inventories</w:t>
            </w:r>
          </w:p>
        </w:tc>
        <w:tc>
          <w:tcPr>
            <w:tcW w:w="1536" w:type="dxa"/>
            <w:tcBorders>
              <w:top w:val="nil"/>
              <w:left w:val="nil"/>
              <w:bottom w:val="nil"/>
              <w:right w:val="nil"/>
              <w:tl2br w:val="nil"/>
              <w:tr2bl w:val="nil"/>
            </w:tcBorders>
            <w:tcMar>
              <w:left w:w="60" w:type="dxa"/>
              <w:right w:w="60" w:type="dxa"/>
            </w:tcMar>
            <w:vAlign w:val="center"/>
          </w:tcPr>
          <w:p w14:paraId="0258CEBA"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536" w:type="dxa"/>
            <w:tcBorders>
              <w:top w:val="nil"/>
              <w:left w:val="nil"/>
              <w:bottom w:val="nil"/>
              <w:right w:val="nil"/>
              <w:tl2br w:val="nil"/>
              <w:tr2bl w:val="nil"/>
            </w:tcBorders>
            <w:tcMar>
              <w:left w:w="60" w:type="dxa"/>
              <w:right w:w="60" w:type="dxa"/>
            </w:tcMar>
            <w:vAlign w:val="center"/>
          </w:tcPr>
          <w:p w14:paraId="23FF6D65"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w:t>
            </w:r>
          </w:p>
        </w:tc>
      </w:tr>
      <w:tr w:rsidR="00807FFE" w14:paraId="0FCC5BF1"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41D3F7F5"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pension and other employee benefits</w:t>
            </w:r>
          </w:p>
        </w:tc>
        <w:tc>
          <w:tcPr>
            <w:tcW w:w="1536" w:type="dxa"/>
            <w:tcBorders>
              <w:top w:val="nil"/>
              <w:left w:val="nil"/>
              <w:bottom w:val="nil"/>
              <w:right w:val="nil"/>
              <w:tl2br w:val="nil"/>
              <w:tr2bl w:val="nil"/>
            </w:tcBorders>
            <w:tcMar>
              <w:left w:w="60" w:type="dxa"/>
              <w:right w:w="60" w:type="dxa"/>
            </w:tcMar>
            <w:vAlign w:val="center"/>
          </w:tcPr>
          <w:p w14:paraId="7BDC4CE3"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(1 968)</w:t>
            </w:r>
          </w:p>
        </w:tc>
        <w:tc>
          <w:tcPr>
            <w:tcW w:w="1536" w:type="dxa"/>
            <w:tcBorders>
              <w:top w:val="nil"/>
              <w:left w:val="nil"/>
              <w:bottom w:val="nil"/>
              <w:right w:val="nil"/>
              <w:tl2br w:val="nil"/>
              <w:tr2bl w:val="nil"/>
            </w:tcBorders>
            <w:tcMar>
              <w:left w:w="60" w:type="dxa"/>
              <w:right w:w="60" w:type="dxa"/>
            </w:tcMar>
            <w:vAlign w:val="center"/>
          </w:tcPr>
          <w:p w14:paraId="4D7EAD54"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2 288</w:t>
            </w:r>
          </w:p>
        </w:tc>
      </w:tr>
      <w:tr w:rsidR="00807FFE" w14:paraId="04507281"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2DEFD9A9"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provisions</w:t>
            </w:r>
          </w:p>
        </w:tc>
        <w:tc>
          <w:tcPr>
            <w:tcW w:w="1536" w:type="dxa"/>
            <w:tcBorders>
              <w:top w:val="nil"/>
              <w:left w:val="nil"/>
              <w:bottom w:val="nil"/>
              <w:right w:val="nil"/>
              <w:tl2br w:val="nil"/>
              <w:tr2bl w:val="nil"/>
            </w:tcBorders>
            <w:tcMar>
              <w:left w:w="60" w:type="dxa"/>
              <w:right w:w="60" w:type="dxa"/>
            </w:tcMar>
            <w:vAlign w:val="center"/>
          </w:tcPr>
          <w:p w14:paraId="657DE935"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(7 202)</w:t>
            </w:r>
          </w:p>
        </w:tc>
        <w:tc>
          <w:tcPr>
            <w:tcW w:w="1536" w:type="dxa"/>
            <w:tcBorders>
              <w:top w:val="nil"/>
              <w:left w:val="nil"/>
              <w:bottom w:val="nil"/>
              <w:right w:val="nil"/>
              <w:tl2br w:val="nil"/>
              <w:tr2bl w:val="nil"/>
            </w:tcBorders>
            <w:tcMar>
              <w:left w:w="60" w:type="dxa"/>
              <w:right w:w="60" w:type="dxa"/>
            </w:tcMar>
            <w:vAlign w:val="center"/>
          </w:tcPr>
          <w:p w14:paraId="2A6874AA"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6 481</w:t>
            </w:r>
          </w:p>
        </w:tc>
      </w:tr>
      <w:tr w:rsidR="00807FFE" w14:paraId="5B0B4C84"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1D45830D"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financial liabilities (other than under the unified funding approach)</w:t>
            </w:r>
          </w:p>
        </w:tc>
        <w:tc>
          <w:tcPr>
            <w:tcW w:w="1536" w:type="dxa"/>
            <w:tcBorders>
              <w:top w:val="nil"/>
              <w:left w:val="nil"/>
              <w:bottom w:val="nil"/>
              <w:right w:val="nil"/>
              <w:tl2br w:val="nil"/>
              <w:tr2bl w:val="nil"/>
            </w:tcBorders>
            <w:tcMar>
              <w:left w:w="60" w:type="dxa"/>
              <w:right w:w="60" w:type="dxa"/>
            </w:tcMar>
            <w:vAlign w:val="center"/>
          </w:tcPr>
          <w:p w14:paraId="0EC14871"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(11 575)</w:t>
            </w:r>
          </w:p>
        </w:tc>
        <w:tc>
          <w:tcPr>
            <w:tcW w:w="1536" w:type="dxa"/>
            <w:tcBorders>
              <w:top w:val="nil"/>
              <w:left w:val="nil"/>
              <w:bottom w:val="nil"/>
              <w:right w:val="nil"/>
              <w:tl2br w:val="nil"/>
              <w:tr2bl w:val="nil"/>
            </w:tcBorders>
            <w:tcMar>
              <w:left w:w="60" w:type="dxa"/>
              <w:right w:w="60" w:type="dxa"/>
            </w:tcMar>
            <w:vAlign w:val="center"/>
          </w:tcPr>
          <w:p w14:paraId="2804CBCD"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(1 382)</w:t>
            </w:r>
          </w:p>
        </w:tc>
      </w:tr>
      <w:tr w:rsidR="00807FFE" w14:paraId="2C130965"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5B834403"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payables</w:t>
            </w:r>
          </w:p>
        </w:tc>
        <w:tc>
          <w:tcPr>
            <w:tcW w:w="1536" w:type="dxa"/>
            <w:tcBorders>
              <w:top w:val="nil"/>
              <w:left w:val="nil"/>
              <w:bottom w:val="nil"/>
              <w:right w:val="nil"/>
              <w:tl2br w:val="nil"/>
              <w:tr2bl w:val="nil"/>
            </w:tcBorders>
            <w:tcMar>
              <w:left w:w="60" w:type="dxa"/>
              <w:right w:w="60" w:type="dxa"/>
            </w:tcMar>
            <w:vAlign w:val="center"/>
          </w:tcPr>
          <w:p w14:paraId="55D4FBAF"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9 623</w:t>
            </w:r>
          </w:p>
        </w:tc>
        <w:tc>
          <w:tcPr>
            <w:tcW w:w="1536" w:type="dxa"/>
            <w:tcBorders>
              <w:top w:val="nil"/>
              <w:left w:val="nil"/>
              <w:bottom w:val="nil"/>
              <w:right w:val="nil"/>
              <w:tl2br w:val="nil"/>
              <w:tr2bl w:val="nil"/>
            </w:tcBorders>
            <w:tcMar>
              <w:left w:w="60" w:type="dxa"/>
              <w:right w:w="60" w:type="dxa"/>
            </w:tcMar>
            <w:vAlign w:val="center"/>
          </w:tcPr>
          <w:p w14:paraId="66C8452F"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4 898</w:t>
            </w:r>
          </w:p>
        </w:tc>
      </w:tr>
      <w:tr w:rsidR="00807FFE" w14:paraId="1A5DD4A0"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715C420D"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accrued charges and deferred income</w:t>
            </w:r>
          </w:p>
        </w:tc>
        <w:tc>
          <w:tcPr>
            <w:tcW w:w="1536" w:type="dxa"/>
            <w:tcBorders>
              <w:top w:val="nil"/>
              <w:left w:val="nil"/>
              <w:bottom w:val="nil"/>
              <w:right w:val="nil"/>
              <w:tl2br w:val="nil"/>
              <w:tr2bl w:val="nil"/>
            </w:tcBorders>
            <w:tcMar>
              <w:left w:w="60" w:type="dxa"/>
              <w:right w:w="60" w:type="dxa"/>
            </w:tcMar>
            <w:vAlign w:val="center"/>
          </w:tcPr>
          <w:p w14:paraId="7B5EEF2B"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9 958</w:t>
            </w:r>
          </w:p>
        </w:tc>
        <w:tc>
          <w:tcPr>
            <w:tcW w:w="1536" w:type="dxa"/>
            <w:tcBorders>
              <w:top w:val="nil"/>
              <w:left w:val="nil"/>
              <w:bottom w:val="nil"/>
              <w:right w:val="nil"/>
              <w:tl2br w:val="nil"/>
              <w:tr2bl w:val="nil"/>
            </w:tcBorders>
            <w:tcMar>
              <w:left w:w="60" w:type="dxa"/>
              <w:right w:w="60" w:type="dxa"/>
            </w:tcMar>
            <w:vAlign w:val="center"/>
          </w:tcPr>
          <w:p w14:paraId="040A4DF8"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(9 714)</w:t>
            </w:r>
          </w:p>
        </w:tc>
      </w:tr>
      <w:tr w:rsidR="00807FFE" w14:paraId="072F5A4E"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1CB2B413"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Prior year budgetary surplus taken as non-cash revenue</w:t>
            </w:r>
          </w:p>
        </w:tc>
        <w:tc>
          <w:tcPr>
            <w:tcW w:w="1536" w:type="dxa"/>
            <w:tcBorders>
              <w:top w:val="nil"/>
              <w:left w:val="nil"/>
              <w:bottom w:val="nil"/>
              <w:right w:val="nil"/>
              <w:tl2br w:val="nil"/>
              <w:tr2bl w:val="nil"/>
            </w:tcBorders>
            <w:tcMar>
              <w:left w:w="60" w:type="dxa"/>
              <w:right w:w="60" w:type="dxa"/>
            </w:tcMar>
            <w:vAlign w:val="center"/>
          </w:tcPr>
          <w:p w14:paraId="0EB30E5A"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(1 348)</w:t>
            </w:r>
          </w:p>
        </w:tc>
        <w:tc>
          <w:tcPr>
            <w:tcW w:w="1536" w:type="dxa"/>
            <w:tcBorders>
              <w:top w:val="nil"/>
              <w:left w:val="nil"/>
              <w:bottom w:val="nil"/>
              <w:right w:val="nil"/>
              <w:tl2br w:val="nil"/>
              <w:tr2bl w:val="nil"/>
            </w:tcBorders>
            <w:tcMar>
              <w:left w:w="60" w:type="dxa"/>
              <w:right w:w="60" w:type="dxa"/>
            </w:tcMar>
            <w:vAlign w:val="center"/>
          </w:tcPr>
          <w:p w14:paraId="063A572F"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(633)</w:t>
            </w:r>
          </w:p>
        </w:tc>
      </w:tr>
      <w:tr w:rsidR="00807FFE" w14:paraId="7D6C8F7F"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3EA8069A"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Remeasurements in employee benefits liabilities (non-cash movement not included in statement of financial performance)</w:t>
            </w:r>
          </w:p>
        </w:tc>
        <w:tc>
          <w:tcPr>
            <w:tcW w:w="1536" w:type="dxa"/>
            <w:tcBorders>
              <w:top w:val="nil"/>
              <w:left w:val="nil"/>
              <w:bottom w:val="nil"/>
              <w:right w:val="nil"/>
              <w:tl2br w:val="nil"/>
              <w:tr2bl w:val="nil"/>
            </w:tcBorders>
            <w:tcMar>
              <w:left w:w="60" w:type="dxa"/>
              <w:right w:w="60" w:type="dxa"/>
            </w:tcMar>
            <w:vAlign w:val="center"/>
          </w:tcPr>
          <w:p w14:paraId="4F12187D"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5 603</w:t>
            </w:r>
          </w:p>
        </w:tc>
        <w:tc>
          <w:tcPr>
            <w:tcW w:w="1536" w:type="dxa"/>
            <w:tcBorders>
              <w:top w:val="nil"/>
              <w:left w:val="nil"/>
              <w:bottom w:val="nil"/>
              <w:right w:val="nil"/>
              <w:tl2br w:val="nil"/>
              <w:tr2bl w:val="nil"/>
            </w:tcBorders>
            <w:tcMar>
              <w:left w:w="60" w:type="dxa"/>
              <w:right w:w="60" w:type="dxa"/>
            </w:tcMar>
            <w:vAlign w:val="center"/>
          </w:tcPr>
          <w:p w14:paraId="04424563"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1 159</w:t>
            </w:r>
          </w:p>
        </w:tc>
      </w:tr>
      <w:tr w:rsidR="00807FFE" w14:paraId="0F070815"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48CA059B"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Other non-cash movements</w:t>
            </w:r>
          </w:p>
        </w:tc>
        <w:tc>
          <w:tcPr>
            <w:tcW w:w="1536" w:type="dxa"/>
            <w:tcBorders>
              <w:top w:val="nil"/>
              <w:left w:val="nil"/>
              <w:bottom w:val="nil"/>
              <w:right w:val="nil"/>
              <w:tl2br w:val="nil"/>
              <w:tr2bl w:val="nil"/>
            </w:tcBorders>
            <w:tcMar>
              <w:left w:w="60" w:type="dxa"/>
              <w:right w:w="60" w:type="dxa"/>
            </w:tcMar>
            <w:vAlign w:val="center"/>
          </w:tcPr>
          <w:p w14:paraId="0945D890"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40</w:t>
            </w:r>
          </w:p>
        </w:tc>
        <w:tc>
          <w:tcPr>
            <w:tcW w:w="1536" w:type="dxa"/>
            <w:tcBorders>
              <w:top w:val="nil"/>
              <w:left w:val="nil"/>
              <w:bottom w:val="nil"/>
              <w:right w:val="nil"/>
              <w:tl2br w:val="nil"/>
              <w:tr2bl w:val="nil"/>
            </w:tcBorders>
            <w:tcMar>
              <w:left w:w="60" w:type="dxa"/>
              <w:right w:w="60" w:type="dxa"/>
            </w:tcMar>
            <w:vAlign w:val="center"/>
          </w:tcPr>
          <w:p w14:paraId="5791CA34"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27</w:t>
            </w:r>
          </w:p>
        </w:tc>
      </w:tr>
      <w:tr w:rsidR="00807FFE" w14:paraId="6CF52F01"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1BCDC348" w14:textId="77777777" w:rsidR="00807FFE" w:rsidRDefault="00023E71">
            <w:pPr>
              <w:pStyle w:val="DMETW36758BIPCF"/>
              <w:rPr>
                <w:rFonts w:ascii="Verdana" w:eastAsia="Verdana" w:hAnsi="Verdana" w:cs="Verdana"/>
                <w:b/>
                <w:noProof/>
                <w:color w:val="000000"/>
                <w:sz w:val="18"/>
              </w:rPr>
            </w:pPr>
            <w:r>
              <w:rPr>
                <w:rFonts w:ascii="Verdana" w:eastAsia="Verdana" w:hAnsi="Verdana" w:cs="Verdana"/>
                <w:b/>
                <w:noProof/>
                <w:color w:val="000000"/>
                <w:sz w:val="18"/>
              </w:rPr>
              <w:t>Investing activities</w:t>
            </w:r>
          </w:p>
        </w:tc>
        <w:tc>
          <w:tcPr>
            <w:tcW w:w="1536" w:type="dxa"/>
            <w:tcBorders>
              <w:top w:val="nil"/>
              <w:left w:val="nil"/>
              <w:bottom w:val="nil"/>
              <w:right w:val="nil"/>
              <w:tl2br w:val="nil"/>
              <w:tr2bl w:val="nil"/>
            </w:tcBorders>
            <w:tcMar>
              <w:left w:w="60" w:type="dxa"/>
              <w:right w:w="60" w:type="dxa"/>
            </w:tcMar>
            <w:vAlign w:val="bottom"/>
          </w:tcPr>
          <w:p w14:paraId="3FC956BB" w14:textId="77777777" w:rsidR="00807FFE" w:rsidRDefault="00807FFE">
            <w:pPr>
              <w:pStyle w:val="DMETW36758BIPCF"/>
              <w:jc w:val="right"/>
              <w:rPr>
                <w:rFonts w:cs="Calibri"/>
                <w:noProof/>
                <w:color w:val="000000"/>
              </w:rPr>
            </w:pPr>
          </w:p>
        </w:tc>
        <w:tc>
          <w:tcPr>
            <w:tcW w:w="1536" w:type="dxa"/>
            <w:tcBorders>
              <w:top w:val="nil"/>
              <w:left w:val="nil"/>
              <w:bottom w:val="nil"/>
              <w:right w:val="nil"/>
              <w:tl2br w:val="nil"/>
              <w:tr2bl w:val="nil"/>
            </w:tcBorders>
            <w:tcMar>
              <w:left w:w="60" w:type="dxa"/>
              <w:right w:w="60" w:type="dxa"/>
            </w:tcMar>
            <w:vAlign w:val="center"/>
          </w:tcPr>
          <w:p w14:paraId="2A1118E7" w14:textId="77777777" w:rsidR="00807FFE" w:rsidRDefault="00807FFE">
            <w:pPr>
              <w:pStyle w:val="DMETW36758BIPCF"/>
              <w:jc w:val="right"/>
              <w:rPr>
                <w:rFonts w:ascii="Verdana" w:eastAsia="Verdana" w:hAnsi="Verdana" w:cs="Verdana"/>
                <w:i/>
                <w:noProof/>
                <w:color w:val="000000"/>
                <w:sz w:val="18"/>
                <w:lang w:bidi="en-GB"/>
              </w:rPr>
            </w:pPr>
          </w:p>
        </w:tc>
      </w:tr>
      <w:tr w:rsidR="00807FFE" w14:paraId="01AEF065"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15193872"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 xml:space="preserve">(Increase)/decrease in intangible assets and property, plant and equipment </w:t>
            </w:r>
          </w:p>
        </w:tc>
        <w:tc>
          <w:tcPr>
            <w:tcW w:w="1536" w:type="dxa"/>
            <w:tcBorders>
              <w:top w:val="nil"/>
              <w:left w:val="nil"/>
              <w:bottom w:val="nil"/>
              <w:right w:val="nil"/>
              <w:tl2br w:val="nil"/>
              <w:tr2bl w:val="nil"/>
            </w:tcBorders>
            <w:tcMar>
              <w:left w:w="60" w:type="dxa"/>
              <w:right w:w="60" w:type="dxa"/>
            </w:tcMar>
            <w:vAlign w:val="center"/>
          </w:tcPr>
          <w:p w14:paraId="0397234B"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(2 418)</w:t>
            </w:r>
          </w:p>
        </w:tc>
        <w:tc>
          <w:tcPr>
            <w:tcW w:w="1536" w:type="dxa"/>
            <w:tcBorders>
              <w:top w:val="nil"/>
              <w:left w:val="nil"/>
              <w:bottom w:val="nil"/>
              <w:right w:val="nil"/>
              <w:tl2br w:val="nil"/>
              <w:tr2bl w:val="nil"/>
            </w:tcBorders>
            <w:tcMar>
              <w:left w:w="60" w:type="dxa"/>
              <w:right w:w="60" w:type="dxa"/>
            </w:tcMar>
            <w:vAlign w:val="center"/>
          </w:tcPr>
          <w:p w14:paraId="5831985C"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(1 817)</w:t>
            </w:r>
          </w:p>
        </w:tc>
      </w:tr>
      <w:tr w:rsidR="00807FFE" w14:paraId="7CCCFBBF"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2F49068B"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investments accounted for using the equity method</w:t>
            </w:r>
          </w:p>
        </w:tc>
        <w:tc>
          <w:tcPr>
            <w:tcW w:w="1536" w:type="dxa"/>
            <w:tcBorders>
              <w:top w:val="nil"/>
              <w:left w:val="nil"/>
              <w:bottom w:val="nil"/>
              <w:right w:val="nil"/>
              <w:tl2br w:val="nil"/>
              <w:tr2bl w:val="nil"/>
            </w:tcBorders>
            <w:tcMar>
              <w:left w:w="60" w:type="dxa"/>
              <w:right w:w="60" w:type="dxa"/>
            </w:tcMar>
            <w:vAlign w:val="center"/>
          </w:tcPr>
          <w:p w14:paraId="1F8CD0A7"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(78)</w:t>
            </w:r>
          </w:p>
        </w:tc>
        <w:tc>
          <w:tcPr>
            <w:tcW w:w="1536" w:type="dxa"/>
            <w:tcBorders>
              <w:top w:val="nil"/>
              <w:left w:val="nil"/>
              <w:bottom w:val="nil"/>
              <w:right w:val="nil"/>
              <w:tl2br w:val="nil"/>
              <w:tr2bl w:val="nil"/>
            </w:tcBorders>
            <w:tcMar>
              <w:left w:w="60" w:type="dxa"/>
              <w:right w:w="60" w:type="dxa"/>
            </w:tcMar>
            <w:vAlign w:val="center"/>
          </w:tcPr>
          <w:p w14:paraId="782D4C17"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(80)</w:t>
            </w:r>
          </w:p>
        </w:tc>
      </w:tr>
      <w:tr w:rsidR="00807FFE" w14:paraId="748BFAB7"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5EE2D615"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non-derivative financial assets at fair value through surplus or deficit</w:t>
            </w:r>
          </w:p>
        </w:tc>
        <w:tc>
          <w:tcPr>
            <w:tcW w:w="1536" w:type="dxa"/>
            <w:tcBorders>
              <w:top w:val="nil"/>
              <w:left w:val="nil"/>
              <w:bottom w:val="nil"/>
              <w:right w:val="nil"/>
              <w:tl2br w:val="nil"/>
              <w:tr2bl w:val="nil"/>
            </w:tcBorders>
            <w:tcMar>
              <w:left w:w="60" w:type="dxa"/>
              <w:right w:w="60" w:type="dxa"/>
            </w:tcMar>
            <w:vAlign w:val="center"/>
          </w:tcPr>
          <w:p w14:paraId="3F3BBBAC"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(7 432)</w:t>
            </w:r>
          </w:p>
        </w:tc>
        <w:tc>
          <w:tcPr>
            <w:tcW w:w="1536" w:type="dxa"/>
            <w:tcBorders>
              <w:top w:val="nil"/>
              <w:left w:val="nil"/>
              <w:bottom w:val="nil"/>
              <w:right w:val="nil"/>
              <w:tl2br w:val="nil"/>
              <w:tr2bl w:val="nil"/>
            </w:tcBorders>
            <w:tcMar>
              <w:left w:w="60" w:type="dxa"/>
              <w:right w:w="60" w:type="dxa"/>
            </w:tcMar>
            <w:vAlign w:val="center"/>
          </w:tcPr>
          <w:p w14:paraId="719B795E"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(6 246)</w:t>
            </w:r>
          </w:p>
        </w:tc>
      </w:tr>
      <w:tr w:rsidR="00807FFE" w14:paraId="5992BF59"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391E2A27"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derivative financial assets at fair value through surplus or deficit</w:t>
            </w:r>
          </w:p>
        </w:tc>
        <w:tc>
          <w:tcPr>
            <w:tcW w:w="1536" w:type="dxa"/>
            <w:tcBorders>
              <w:top w:val="nil"/>
              <w:left w:val="nil"/>
              <w:bottom w:val="nil"/>
              <w:right w:val="nil"/>
              <w:tl2br w:val="nil"/>
              <w:tr2bl w:val="nil"/>
            </w:tcBorders>
            <w:tcMar>
              <w:left w:w="60" w:type="dxa"/>
              <w:right w:w="60" w:type="dxa"/>
            </w:tcMar>
            <w:vAlign w:val="center"/>
          </w:tcPr>
          <w:p w14:paraId="5543F4C1"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(475)</w:t>
            </w:r>
          </w:p>
        </w:tc>
        <w:tc>
          <w:tcPr>
            <w:tcW w:w="1536" w:type="dxa"/>
            <w:tcBorders>
              <w:top w:val="nil"/>
              <w:left w:val="nil"/>
              <w:bottom w:val="nil"/>
              <w:right w:val="nil"/>
              <w:tl2br w:val="nil"/>
              <w:tr2bl w:val="nil"/>
            </w:tcBorders>
            <w:tcMar>
              <w:left w:w="60" w:type="dxa"/>
              <w:right w:w="60" w:type="dxa"/>
            </w:tcMar>
            <w:vAlign w:val="center"/>
          </w:tcPr>
          <w:p w14:paraId="2B11811B"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w:t>
            </w:r>
          </w:p>
        </w:tc>
      </w:tr>
      <w:tr w:rsidR="00807FFE" w14:paraId="6193DDDB"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6DC3B1AA" w14:textId="77777777" w:rsidR="00807FFE" w:rsidRDefault="00023E71">
            <w:pPr>
              <w:pStyle w:val="DMETW36758BIPCF"/>
              <w:rPr>
                <w:rFonts w:ascii="Verdana" w:eastAsia="Verdana" w:hAnsi="Verdana" w:cs="Verdana"/>
                <w:b/>
                <w:noProof/>
                <w:color w:val="000000"/>
                <w:sz w:val="18"/>
              </w:rPr>
            </w:pPr>
            <w:r>
              <w:rPr>
                <w:rFonts w:ascii="Verdana" w:eastAsia="Verdana" w:hAnsi="Verdana" w:cs="Verdana"/>
                <w:b/>
                <w:noProof/>
                <w:color w:val="000000"/>
                <w:sz w:val="18"/>
              </w:rPr>
              <w:t>Financing activities</w:t>
            </w:r>
          </w:p>
        </w:tc>
        <w:tc>
          <w:tcPr>
            <w:tcW w:w="1536" w:type="dxa"/>
            <w:tcBorders>
              <w:top w:val="nil"/>
              <w:left w:val="nil"/>
              <w:bottom w:val="nil"/>
              <w:right w:val="nil"/>
              <w:tl2br w:val="nil"/>
              <w:tr2bl w:val="nil"/>
            </w:tcBorders>
            <w:tcMar>
              <w:left w:w="60" w:type="dxa"/>
              <w:right w:w="60" w:type="dxa"/>
            </w:tcMar>
            <w:vAlign w:val="center"/>
          </w:tcPr>
          <w:p w14:paraId="0783BC06" w14:textId="77777777" w:rsidR="00807FFE" w:rsidRDefault="00807FFE">
            <w:pPr>
              <w:pStyle w:val="DMETW36758BIPCF"/>
              <w:jc w:val="center"/>
              <w:rPr>
                <w:rFonts w:ascii="Verdana" w:eastAsia="Verdana" w:hAnsi="Verdana" w:cs="Verdana"/>
                <w:i/>
                <w:noProof/>
                <w:color w:val="000000"/>
                <w:sz w:val="18"/>
              </w:rPr>
            </w:pPr>
          </w:p>
        </w:tc>
        <w:tc>
          <w:tcPr>
            <w:tcW w:w="1536" w:type="dxa"/>
            <w:tcBorders>
              <w:top w:val="nil"/>
              <w:left w:val="nil"/>
              <w:bottom w:val="nil"/>
              <w:right w:val="nil"/>
              <w:tl2br w:val="nil"/>
              <w:tr2bl w:val="nil"/>
            </w:tcBorders>
            <w:tcMar>
              <w:left w:w="60" w:type="dxa"/>
              <w:right w:w="60" w:type="dxa"/>
            </w:tcMar>
            <w:vAlign w:val="center"/>
          </w:tcPr>
          <w:p w14:paraId="63D0EFFE" w14:textId="77777777" w:rsidR="00807FFE" w:rsidRDefault="00807FFE">
            <w:pPr>
              <w:pStyle w:val="DMETW36758BIPCF"/>
              <w:rPr>
                <w:rFonts w:ascii="Verdana" w:eastAsia="Verdana" w:hAnsi="Verdana" w:cs="Verdana"/>
                <w:i/>
                <w:noProof/>
                <w:color w:val="000000"/>
                <w:sz w:val="18"/>
                <w:lang w:bidi="en-GB"/>
              </w:rPr>
            </w:pPr>
          </w:p>
        </w:tc>
      </w:tr>
      <w:tr w:rsidR="00807FFE" w14:paraId="75B80E3C"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00B2FAB2"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Increase/(decrease) in borrowings under the unified funding approach</w:t>
            </w:r>
          </w:p>
        </w:tc>
        <w:tc>
          <w:tcPr>
            <w:tcW w:w="1536" w:type="dxa"/>
            <w:tcBorders>
              <w:top w:val="nil"/>
              <w:left w:val="nil"/>
              <w:bottom w:val="nil"/>
              <w:right w:val="nil"/>
              <w:tl2br w:val="nil"/>
              <w:tr2bl w:val="nil"/>
            </w:tcBorders>
            <w:tcMar>
              <w:left w:w="60" w:type="dxa"/>
              <w:right w:w="60" w:type="dxa"/>
            </w:tcMar>
            <w:vAlign w:val="center"/>
          </w:tcPr>
          <w:p w14:paraId="6D4833DC"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150 460</w:t>
            </w:r>
          </w:p>
        </w:tc>
        <w:tc>
          <w:tcPr>
            <w:tcW w:w="1536" w:type="dxa"/>
            <w:tcBorders>
              <w:top w:val="nil"/>
              <w:left w:val="nil"/>
              <w:bottom w:val="nil"/>
              <w:right w:val="nil"/>
              <w:tl2br w:val="nil"/>
              <w:tr2bl w:val="nil"/>
            </w:tcBorders>
            <w:tcMar>
              <w:left w:w="60" w:type="dxa"/>
              <w:right w:w="60" w:type="dxa"/>
            </w:tcMar>
            <w:vAlign w:val="center"/>
          </w:tcPr>
          <w:p w14:paraId="05FA7DC8"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144 900</w:t>
            </w:r>
          </w:p>
        </w:tc>
      </w:tr>
      <w:tr w:rsidR="00807FFE" w14:paraId="2C1DAB71" w14:textId="77777777">
        <w:trPr>
          <w:trHeight w:val="369"/>
        </w:trPr>
        <w:tc>
          <w:tcPr>
            <w:tcW w:w="6686" w:type="dxa"/>
            <w:tcBorders>
              <w:top w:val="nil"/>
              <w:left w:val="nil"/>
              <w:bottom w:val="nil"/>
              <w:right w:val="nil"/>
              <w:tl2br w:val="nil"/>
              <w:tr2bl w:val="nil"/>
            </w:tcBorders>
            <w:shd w:val="solid" w:color="CCE1EA" w:fill="FFFFFF"/>
            <w:tcMar>
              <w:left w:w="60" w:type="dxa"/>
              <w:right w:w="60" w:type="dxa"/>
            </w:tcMar>
            <w:vAlign w:val="center"/>
          </w:tcPr>
          <w:p w14:paraId="310716EC" w14:textId="77777777" w:rsidR="00807FFE" w:rsidRDefault="00023E71">
            <w:pPr>
              <w:pStyle w:val="DMETW36758BIPCF"/>
              <w:rPr>
                <w:rFonts w:ascii="Verdana" w:eastAsia="Verdana" w:hAnsi="Verdana" w:cs="Verdana"/>
                <w:b/>
                <w:noProof/>
                <w:color w:val="000000"/>
                <w:sz w:val="18"/>
              </w:rPr>
            </w:pPr>
            <w:r>
              <w:rPr>
                <w:rFonts w:ascii="Verdana" w:eastAsia="Verdana" w:hAnsi="Verdana" w:cs="Verdana"/>
                <w:b/>
                <w:noProof/>
                <w:color w:val="000000"/>
                <w:sz w:val="18"/>
              </w:rPr>
              <w:t>NET CASHFLOW</w:t>
            </w:r>
          </w:p>
        </w:tc>
        <w:tc>
          <w:tcPr>
            <w:tcW w:w="1536" w:type="dxa"/>
            <w:tcBorders>
              <w:top w:val="nil"/>
              <w:left w:val="nil"/>
              <w:bottom w:val="nil"/>
              <w:right w:val="nil"/>
              <w:tl2br w:val="nil"/>
              <w:tr2bl w:val="nil"/>
            </w:tcBorders>
            <w:shd w:val="solid" w:color="CCE1EA" w:fill="FFFFFF"/>
            <w:tcMar>
              <w:left w:w="60" w:type="dxa"/>
              <w:right w:w="60" w:type="dxa"/>
            </w:tcMar>
            <w:vAlign w:val="center"/>
          </w:tcPr>
          <w:p w14:paraId="780730C6" w14:textId="77777777" w:rsidR="00807FFE" w:rsidRDefault="00023E71">
            <w:pPr>
              <w:pStyle w:val="DMETW36758BIPCF"/>
              <w:jc w:val="right"/>
              <w:rPr>
                <w:rFonts w:ascii="Verdana" w:eastAsia="Verdana" w:hAnsi="Verdana" w:cs="Verdana"/>
                <w:b/>
                <w:noProof/>
                <w:color w:val="000000"/>
                <w:sz w:val="18"/>
              </w:rPr>
            </w:pPr>
            <w:r>
              <w:rPr>
                <w:rFonts w:ascii="Verdana" w:eastAsia="Verdana" w:hAnsi="Verdana" w:cs="Verdana"/>
                <w:b/>
                <w:noProof/>
                <w:color w:val="000000"/>
                <w:sz w:val="18"/>
              </w:rPr>
              <w:t>39 878</w:t>
            </w:r>
          </w:p>
        </w:tc>
        <w:tc>
          <w:tcPr>
            <w:tcW w:w="1536" w:type="dxa"/>
            <w:tcBorders>
              <w:top w:val="nil"/>
              <w:left w:val="nil"/>
              <w:bottom w:val="nil"/>
              <w:right w:val="nil"/>
              <w:tl2br w:val="nil"/>
              <w:tr2bl w:val="nil"/>
            </w:tcBorders>
            <w:shd w:val="solid" w:color="CCE1EA" w:fill="FFFFFF"/>
            <w:tcMar>
              <w:left w:w="60" w:type="dxa"/>
              <w:right w:w="60" w:type="dxa"/>
            </w:tcMar>
            <w:vAlign w:val="center"/>
          </w:tcPr>
          <w:p w14:paraId="46E7225A" w14:textId="77777777" w:rsidR="00807FFE" w:rsidRDefault="00023E71">
            <w:pPr>
              <w:pStyle w:val="DMETW36758BIPCF"/>
              <w:jc w:val="right"/>
              <w:rPr>
                <w:rFonts w:ascii="Verdana" w:eastAsia="Verdana" w:hAnsi="Verdana" w:cs="Verdana"/>
                <w:b/>
                <w:noProof/>
                <w:color w:val="000000"/>
                <w:sz w:val="18"/>
                <w:lang w:bidi="en-GB"/>
              </w:rPr>
            </w:pPr>
            <w:r>
              <w:rPr>
                <w:rFonts w:ascii="Verdana" w:eastAsia="Verdana" w:hAnsi="Verdana" w:cs="Verdana"/>
                <w:b/>
                <w:noProof/>
                <w:color w:val="000000"/>
                <w:sz w:val="18"/>
              </w:rPr>
              <w:t>23 547</w:t>
            </w:r>
          </w:p>
        </w:tc>
      </w:tr>
      <w:tr w:rsidR="00807FFE" w14:paraId="017F5875"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0946D23D" w14:textId="77777777" w:rsidR="00807FFE" w:rsidRDefault="00807FFE">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center"/>
          </w:tcPr>
          <w:p w14:paraId="7CFC2CDF" w14:textId="77777777" w:rsidR="00807FFE" w:rsidRDefault="00807FFE">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center"/>
          </w:tcPr>
          <w:p w14:paraId="7152687C" w14:textId="77777777" w:rsidR="00807FFE" w:rsidRDefault="00807FFE">
            <w:pPr>
              <w:pStyle w:val="DMETW36758BIPCF"/>
              <w:rPr>
                <w:rFonts w:ascii="Arial" w:eastAsia="Arial" w:hAnsi="Arial" w:cs="Arial"/>
                <w:noProof/>
                <w:color w:val="000000"/>
                <w:lang w:bidi="en-GB"/>
              </w:rPr>
            </w:pPr>
          </w:p>
        </w:tc>
      </w:tr>
      <w:tr w:rsidR="00807FFE" w14:paraId="3CA3E4B9"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0D713A47"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Net increase/(decrease) in cash and cash equivalents</w:t>
            </w:r>
          </w:p>
        </w:tc>
        <w:tc>
          <w:tcPr>
            <w:tcW w:w="1536" w:type="dxa"/>
            <w:tcBorders>
              <w:top w:val="nil"/>
              <w:left w:val="nil"/>
              <w:bottom w:val="nil"/>
              <w:right w:val="nil"/>
              <w:tl2br w:val="nil"/>
              <w:tr2bl w:val="nil"/>
            </w:tcBorders>
            <w:tcMar>
              <w:left w:w="60" w:type="dxa"/>
              <w:right w:w="60" w:type="dxa"/>
            </w:tcMar>
            <w:vAlign w:val="center"/>
          </w:tcPr>
          <w:p w14:paraId="4BD56AFE"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39 878</w:t>
            </w:r>
          </w:p>
        </w:tc>
        <w:tc>
          <w:tcPr>
            <w:tcW w:w="1536" w:type="dxa"/>
            <w:tcBorders>
              <w:top w:val="nil"/>
              <w:left w:val="nil"/>
              <w:bottom w:val="nil"/>
              <w:right w:val="nil"/>
              <w:tl2br w:val="nil"/>
              <w:tr2bl w:val="nil"/>
            </w:tcBorders>
            <w:tcMar>
              <w:left w:w="60" w:type="dxa"/>
              <w:right w:w="60" w:type="dxa"/>
            </w:tcMar>
            <w:vAlign w:val="center"/>
          </w:tcPr>
          <w:p w14:paraId="55767644"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23 547</w:t>
            </w:r>
          </w:p>
        </w:tc>
      </w:tr>
      <w:tr w:rsidR="00807FFE" w14:paraId="218FED1A"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768A54C3"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Cash and cash equivalents at the beginning of the year</w:t>
            </w:r>
          </w:p>
        </w:tc>
        <w:tc>
          <w:tcPr>
            <w:tcW w:w="1536" w:type="dxa"/>
            <w:tcBorders>
              <w:top w:val="nil"/>
              <w:left w:val="nil"/>
              <w:bottom w:val="nil"/>
              <w:right w:val="nil"/>
              <w:tl2br w:val="nil"/>
              <w:tr2bl w:val="nil"/>
            </w:tcBorders>
            <w:tcMar>
              <w:left w:w="60" w:type="dxa"/>
              <w:right w:w="60" w:type="dxa"/>
            </w:tcMar>
            <w:vAlign w:val="center"/>
          </w:tcPr>
          <w:p w14:paraId="33E2A896"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63 163</w:t>
            </w:r>
          </w:p>
        </w:tc>
        <w:tc>
          <w:tcPr>
            <w:tcW w:w="1536" w:type="dxa"/>
            <w:tcBorders>
              <w:top w:val="nil"/>
              <w:left w:val="nil"/>
              <w:bottom w:val="nil"/>
              <w:right w:val="nil"/>
              <w:tl2br w:val="nil"/>
              <w:tr2bl w:val="nil"/>
            </w:tcBorders>
            <w:tcMar>
              <w:left w:w="60" w:type="dxa"/>
              <w:right w:w="60" w:type="dxa"/>
            </w:tcMar>
            <w:vAlign w:val="center"/>
          </w:tcPr>
          <w:p w14:paraId="196A6420" w14:textId="77777777" w:rsidR="00807FFE" w:rsidRDefault="00023E71">
            <w:pPr>
              <w:pStyle w:val="DMETW36758BIPCF"/>
              <w:jc w:val="right"/>
              <w:rPr>
                <w:rFonts w:ascii="Verdana" w:eastAsia="Verdana" w:hAnsi="Verdana" w:cs="Verdana"/>
                <w:i/>
                <w:noProof/>
                <w:color w:val="000000"/>
                <w:sz w:val="18"/>
                <w:lang w:bidi="en-GB"/>
              </w:rPr>
            </w:pPr>
            <w:r>
              <w:rPr>
                <w:rFonts w:ascii="Verdana" w:eastAsia="Verdana" w:hAnsi="Verdana" w:cs="Verdana"/>
                <w:i/>
                <w:noProof/>
                <w:color w:val="000000"/>
                <w:sz w:val="18"/>
              </w:rPr>
              <w:t>39 616</w:t>
            </w:r>
          </w:p>
        </w:tc>
      </w:tr>
      <w:tr w:rsidR="00807FFE" w14:paraId="40F309F7" w14:textId="77777777">
        <w:trPr>
          <w:trHeight w:val="369"/>
        </w:trPr>
        <w:tc>
          <w:tcPr>
            <w:tcW w:w="6686" w:type="dxa"/>
            <w:tcBorders>
              <w:top w:val="nil"/>
              <w:left w:val="nil"/>
              <w:bottom w:val="nil"/>
              <w:right w:val="nil"/>
              <w:tl2br w:val="nil"/>
              <w:tr2bl w:val="nil"/>
            </w:tcBorders>
            <w:tcMar>
              <w:left w:w="60" w:type="dxa"/>
              <w:right w:w="60" w:type="dxa"/>
            </w:tcMar>
            <w:vAlign w:val="center"/>
          </w:tcPr>
          <w:p w14:paraId="2987D13E" w14:textId="77777777" w:rsidR="00807FFE" w:rsidRDefault="00023E71">
            <w:pPr>
              <w:pStyle w:val="DMETW36758BIPCF"/>
              <w:rPr>
                <w:rFonts w:ascii="Verdana" w:eastAsia="Verdana" w:hAnsi="Verdana" w:cs="Verdana"/>
                <w:i/>
                <w:noProof/>
                <w:color w:val="000000"/>
                <w:sz w:val="18"/>
              </w:rPr>
            </w:pPr>
            <w:r>
              <w:rPr>
                <w:rFonts w:ascii="Verdana" w:eastAsia="Verdana" w:hAnsi="Verdana" w:cs="Verdana"/>
                <w:i/>
                <w:noProof/>
                <w:color w:val="000000"/>
                <w:sz w:val="18"/>
              </w:rPr>
              <w:t>Cash and cash equivalents at year-end</w:t>
            </w:r>
          </w:p>
        </w:tc>
        <w:tc>
          <w:tcPr>
            <w:tcW w:w="1536" w:type="dxa"/>
            <w:tcBorders>
              <w:top w:val="nil"/>
              <w:left w:val="nil"/>
              <w:bottom w:val="nil"/>
              <w:right w:val="nil"/>
              <w:tl2br w:val="nil"/>
              <w:tr2bl w:val="nil"/>
            </w:tcBorders>
            <w:tcMar>
              <w:left w:w="60" w:type="dxa"/>
              <w:right w:w="60" w:type="dxa"/>
            </w:tcMar>
            <w:vAlign w:val="center"/>
          </w:tcPr>
          <w:p w14:paraId="5A730659"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103 041</w:t>
            </w:r>
          </w:p>
        </w:tc>
        <w:tc>
          <w:tcPr>
            <w:tcW w:w="1536" w:type="dxa"/>
            <w:tcBorders>
              <w:top w:val="nil"/>
              <w:left w:val="nil"/>
              <w:bottom w:val="nil"/>
              <w:right w:val="nil"/>
              <w:tl2br w:val="nil"/>
              <w:tr2bl w:val="nil"/>
            </w:tcBorders>
            <w:tcMar>
              <w:left w:w="60" w:type="dxa"/>
              <w:right w:w="60" w:type="dxa"/>
            </w:tcMar>
            <w:vAlign w:val="center"/>
          </w:tcPr>
          <w:p w14:paraId="09C76179" w14:textId="77777777" w:rsidR="00807FFE" w:rsidRDefault="00023E71">
            <w:pPr>
              <w:pStyle w:val="DMETW36758BIPCF"/>
              <w:jc w:val="right"/>
              <w:rPr>
                <w:rFonts w:ascii="Verdana" w:eastAsia="Verdana" w:hAnsi="Verdana" w:cs="Verdana"/>
                <w:i/>
                <w:noProof/>
                <w:color w:val="000000"/>
                <w:sz w:val="18"/>
              </w:rPr>
            </w:pPr>
            <w:r>
              <w:rPr>
                <w:rFonts w:ascii="Verdana" w:eastAsia="Verdana" w:hAnsi="Verdana" w:cs="Verdana"/>
                <w:i/>
                <w:noProof/>
                <w:color w:val="000000"/>
                <w:sz w:val="18"/>
              </w:rPr>
              <w:t>63 163</w:t>
            </w:r>
          </w:p>
        </w:tc>
      </w:tr>
      <w:bookmarkEnd w:id="65"/>
    </w:tbl>
    <w:p w14:paraId="46D22C9C" w14:textId="77777777" w:rsidR="00D87FF1" w:rsidRPr="00DA3529" w:rsidRDefault="00D87FF1" w:rsidP="00F819BC">
      <w:pPr>
        <w:pStyle w:val="DGTextstand-alone"/>
        <w:rPr>
          <w:i/>
          <w:sz w:val="14"/>
          <w:szCs w:val="14"/>
          <w:lang w:bidi="en-GB"/>
        </w:rPr>
        <w:sectPr w:rsidR="00D87FF1" w:rsidRPr="00DA3529" w:rsidSect="00D266AB">
          <w:headerReference w:type="default" r:id="rId55"/>
          <w:footerReference w:type="default" r:id="rId56"/>
          <w:pgSz w:w="11906" w:h="16838"/>
          <w:pgMar w:top="1134" w:right="1134" w:bottom="1134" w:left="1134" w:header="709" w:footer="709" w:gutter="0"/>
          <w:cols w:space="708"/>
          <w:docGrid w:linePitch="360"/>
        </w:sectPr>
      </w:pPr>
    </w:p>
    <w:p w14:paraId="08063B63" w14:textId="77777777" w:rsidR="00B231CF" w:rsidRDefault="00023E71" w:rsidP="000356E1">
      <w:pPr>
        <w:pStyle w:val="HEADERTITLE1"/>
        <w:spacing w:after="0"/>
      </w:pPr>
      <w:bookmarkStart w:id="67" w:name="_Toc232438936"/>
      <w:bookmarkStart w:id="68" w:name="_Toc232674976"/>
      <w:bookmarkStart w:id="69" w:name="_DMBM_36688"/>
      <w:r w:rsidRPr="008C19B1">
        <w:t>STATEMENT OF CHANGES IN NET ASSETS</w:t>
      </w:r>
      <w:bookmarkEnd w:id="67"/>
      <w:bookmarkEnd w:id="68"/>
    </w:p>
    <w:p w14:paraId="7220E8DA" w14:textId="77777777" w:rsidR="00843223" w:rsidRDefault="00843223" w:rsidP="000356E1">
      <w:pPr>
        <w:pStyle w:val="HEADERTITLE1"/>
        <w:spacing w:after="0"/>
      </w:pP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4"/>
        <w:gridCol w:w="4690"/>
        <w:gridCol w:w="2074"/>
        <w:gridCol w:w="2074"/>
      </w:tblGrid>
      <w:tr w:rsidR="00807FFE" w14:paraId="6BEB9F5F"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7391F39F" w14:textId="77777777" w:rsidR="00807FFE" w:rsidRDefault="00807FFE">
            <w:pPr>
              <w:pStyle w:val="DMETW36734BIPSCNA"/>
              <w:rPr>
                <w:rFonts w:ascii="Arial" w:eastAsia="Arial" w:hAnsi="Arial" w:cs="Arial"/>
                <w:noProof/>
                <w:color w:val="000000"/>
                <w:lang w:bidi="en-GB"/>
              </w:rPr>
            </w:pPr>
            <w:bookmarkStart w:id="70" w:name="DOC_TBL00004_1_1"/>
            <w:bookmarkEnd w:id="70"/>
          </w:p>
        </w:tc>
        <w:tc>
          <w:tcPr>
            <w:tcW w:w="4739" w:type="dxa"/>
            <w:tcBorders>
              <w:top w:val="nil"/>
              <w:left w:val="nil"/>
              <w:bottom w:val="nil"/>
              <w:right w:val="nil"/>
              <w:tl2br w:val="nil"/>
              <w:tr2bl w:val="nil"/>
            </w:tcBorders>
            <w:tcMar>
              <w:left w:w="60" w:type="dxa"/>
              <w:right w:w="60" w:type="dxa"/>
            </w:tcMar>
            <w:vAlign w:val="center"/>
          </w:tcPr>
          <w:p w14:paraId="413C017D" w14:textId="77777777" w:rsidR="00807FFE" w:rsidRDefault="00807FFE">
            <w:pPr>
              <w:pStyle w:val="DMETW36734BIPSCNA"/>
              <w:rPr>
                <w:rFonts w:ascii="Arial" w:eastAsia="Arial" w:hAnsi="Arial" w:cs="Arial"/>
                <w:noProof/>
                <w:color w:val="000000"/>
              </w:rPr>
            </w:pPr>
          </w:p>
        </w:tc>
        <w:tc>
          <w:tcPr>
            <w:tcW w:w="2095" w:type="dxa"/>
            <w:tcBorders>
              <w:top w:val="nil"/>
              <w:left w:val="nil"/>
              <w:bottom w:val="nil"/>
              <w:right w:val="nil"/>
              <w:tl2br w:val="nil"/>
              <w:tr2bl w:val="nil"/>
            </w:tcBorders>
            <w:tcMar>
              <w:left w:w="60" w:type="dxa"/>
              <w:right w:w="60" w:type="dxa"/>
            </w:tcMar>
            <w:vAlign w:val="center"/>
          </w:tcPr>
          <w:p w14:paraId="3611F373" w14:textId="77777777" w:rsidR="00807FFE" w:rsidRDefault="00807FFE">
            <w:pPr>
              <w:pStyle w:val="DMETW36734BIPSCNA"/>
              <w:rPr>
                <w:rFonts w:ascii="Arial" w:eastAsia="Arial" w:hAnsi="Arial" w:cs="Arial"/>
                <w:noProof/>
                <w:color w:val="000000"/>
              </w:rPr>
            </w:pPr>
          </w:p>
        </w:tc>
        <w:tc>
          <w:tcPr>
            <w:tcW w:w="2095" w:type="dxa"/>
            <w:tcBorders>
              <w:top w:val="nil"/>
              <w:left w:val="nil"/>
              <w:bottom w:val="nil"/>
              <w:right w:val="nil"/>
              <w:tl2br w:val="nil"/>
              <w:tr2bl w:val="nil"/>
            </w:tcBorders>
            <w:tcMar>
              <w:left w:w="60" w:type="dxa"/>
              <w:right w:w="60" w:type="dxa"/>
            </w:tcMar>
            <w:vAlign w:val="center"/>
          </w:tcPr>
          <w:p w14:paraId="69B550DA" w14:textId="77777777" w:rsidR="00807FFE" w:rsidRDefault="00023E71">
            <w:pPr>
              <w:pStyle w:val="DMETW36734BIPSCNA"/>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4259B6C" w14:textId="77777777">
        <w:trPr>
          <w:trHeight w:val="255"/>
        </w:trPr>
        <w:tc>
          <w:tcPr>
            <w:tcW w:w="5320" w:type="dxa"/>
            <w:tcBorders>
              <w:top w:val="nil"/>
              <w:left w:val="nil"/>
              <w:bottom w:val="nil"/>
              <w:right w:val="nil"/>
              <w:tl2br w:val="nil"/>
              <w:tr2bl w:val="nil"/>
            </w:tcBorders>
            <w:shd w:val="solid" w:color="016794" w:fill="FFFFFF"/>
            <w:tcMar>
              <w:left w:w="60" w:type="dxa"/>
              <w:right w:w="60" w:type="dxa"/>
            </w:tcMar>
            <w:vAlign w:val="center"/>
          </w:tcPr>
          <w:p w14:paraId="494DFA18" w14:textId="77777777" w:rsidR="00807FFE" w:rsidRDefault="00807FFE">
            <w:pPr>
              <w:pStyle w:val="DMETW36734BIPSCNA"/>
              <w:jc w:val="center"/>
              <w:rPr>
                <w:rFonts w:ascii="Verdana" w:eastAsia="Verdana" w:hAnsi="Verdana" w:cs="Verdana"/>
                <w:noProof/>
                <w:color w:val="FFFFFF"/>
                <w:sz w:val="18"/>
              </w:rPr>
            </w:pPr>
          </w:p>
        </w:tc>
        <w:tc>
          <w:tcPr>
            <w:tcW w:w="4739" w:type="dxa"/>
            <w:tcBorders>
              <w:top w:val="nil"/>
              <w:left w:val="nil"/>
              <w:bottom w:val="nil"/>
              <w:right w:val="nil"/>
              <w:tl2br w:val="nil"/>
              <w:tr2bl w:val="nil"/>
            </w:tcBorders>
            <w:shd w:val="solid" w:color="016794" w:fill="FFFFFF"/>
            <w:tcMar>
              <w:left w:w="60" w:type="dxa"/>
              <w:right w:w="60" w:type="dxa"/>
            </w:tcMar>
            <w:vAlign w:val="center"/>
          </w:tcPr>
          <w:p w14:paraId="4F804ADA" w14:textId="77777777" w:rsidR="00807FFE" w:rsidRDefault="00023E71">
            <w:pPr>
              <w:pStyle w:val="DMETW36734BIPSCNA"/>
              <w:jc w:val="right"/>
              <w:rPr>
                <w:rFonts w:ascii="Verdana" w:eastAsia="Verdana" w:hAnsi="Verdana" w:cs="Verdana"/>
                <w:noProof/>
                <w:color w:val="FFFFFF"/>
                <w:sz w:val="18"/>
              </w:rPr>
            </w:pPr>
            <w:r>
              <w:rPr>
                <w:rFonts w:ascii="Verdana" w:eastAsia="Verdana" w:hAnsi="Verdana" w:cs="Verdana"/>
                <w:noProof/>
                <w:color w:val="FFFFFF"/>
                <w:sz w:val="18"/>
              </w:rPr>
              <w:t>Amounts to be called from Member States  Accumulated surplus/(deficit)</w:t>
            </w:r>
          </w:p>
        </w:tc>
        <w:tc>
          <w:tcPr>
            <w:tcW w:w="2095" w:type="dxa"/>
            <w:tcBorders>
              <w:top w:val="nil"/>
              <w:left w:val="nil"/>
              <w:bottom w:val="nil"/>
              <w:right w:val="nil"/>
              <w:tl2br w:val="nil"/>
              <w:tr2bl w:val="nil"/>
            </w:tcBorders>
            <w:shd w:val="solid" w:color="016794" w:fill="FFFFFF"/>
            <w:tcMar>
              <w:left w:w="60" w:type="dxa"/>
              <w:right w:w="60" w:type="dxa"/>
            </w:tcMar>
            <w:vAlign w:val="center"/>
          </w:tcPr>
          <w:p w14:paraId="07C468C3" w14:textId="77777777" w:rsidR="00807FFE" w:rsidRDefault="00023E71">
            <w:pPr>
              <w:pStyle w:val="DMETW36734BIPSCNA"/>
              <w:jc w:val="right"/>
              <w:rPr>
                <w:rFonts w:ascii="Verdana" w:eastAsia="Verdana" w:hAnsi="Verdana" w:cs="Verdana"/>
                <w:noProof/>
                <w:color w:val="FFFFFF"/>
                <w:sz w:val="18"/>
              </w:rPr>
            </w:pPr>
            <w:r>
              <w:rPr>
                <w:rFonts w:ascii="Verdana" w:eastAsia="Verdana" w:hAnsi="Verdana" w:cs="Verdana"/>
                <w:noProof/>
                <w:color w:val="FFFFFF"/>
                <w:sz w:val="18"/>
              </w:rPr>
              <w:t>Other reserves</w:t>
            </w:r>
          </w:p>
        </w:tc>
        <w:tc>
          <w:tcPr>
            <w:tcW w:w="2095" w:type="dxa"/>
            <w:tcBorders>
              <w:top w:val="nil"/>
              <w:left w:val="nil"/>
              <w:bottom w:val="nil"/>
              <w:right w:val="nil"/>
              <w:tl2br w:val="nil"/>
              <w:tr2bl w:val="nil"/>
            </w:tcBorders>
            <w:shd w:val="solid" w:color="016794" w:fill="FFFFFF"/>
            <w:tcMar>
              <w:left w:w="60" w:type="dxa"/>
              <w:right w:w="60" w:type="dxa"/>
            </w:tcMar>
            <w:vAlign w:val="center"/>
          </w:tcPr>
          <w:p w14:paraId="14F3B2F8" w14:textId="77777777" w:rsidR="00807FFE" w:rsidRDefault="00023E71">
            <w:pPr>
              <w:pStyle w:val="DMETW36734BIPSCNA"/>
              <w:jc w:val="right"/>
              <w:rPr>
                <w:rFonts w:ascii="Verdana" w:eastAsia="Verdana" w:hAnsi="Verdana" w:cs="Verdana"/>
                <w:noProof/>
                <w:color w:val="FFFFFF"/>
                <w:sz w:val="18"/>
                <w:lang w:bidi="en-GB"/>
              </w:rPr>
            </w:pPr>
            <w:r>
              <w:rPr>
                <w:rFonts w:ascii="Verdana" w:eastAsia="Verdana" w:hAnsi="Verdana" w:cs="Verdana"/>
                <w:noProof/>
                <w:color w:val="FFFFFF"/>
                <w:sz w:val="18"/>
              </w:rPr>
              <w:t xml:space="preserve">Net assets </w:t>
            </w:r>
          </w:p>
        </w:tc>
      </w:tr>
      <w:tr w:rsidR="00807FFE" w14:paraId="4CC0F160" w14:textId="77777777">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14:paraId="11C87B71" w14:textId="77777777" w:rsidR="00807FFE" w:rsidRDefault="00023E71">
            <w:pPr>
              <w:pStyle w:val="DMETW36734BIPSCNA"/>
              <w:rPr>
                <w:rFonts w:ascii="Verdana" w:eastAsia="Verdana" w:hAnsi="Verdana" w:cs="Verdana"/>
                <w:b/>
                <w:noProof/>
                <w:color w:val="000000"/>
                <w:sz w:val="18"/>
              </w:rPr>
            </w:pPr>
            <w:r>
              <w:rPr>
                <w:rFonts w:ascii="Verdana" w:eastAsia="Verdana" w:hAnsi="Verdana" w:cs="Verdana"/>
                <w:b/>
                <w:noProof/>
                <w:color w:val="000000"/>
                <w:sz w:val="18"/>
              </w:rPr>
              <w:t>BALANCE AS AT 31.12.2023</w:t>
            </w:r>
          </w:p>
        </w:tc>
        <w:tc>
          <w:tcPr>
            <w:tcW w:w="4739" w:type="dxa"/>
            <w:tcBorders>
              <w:top w:val="nil"/>
              <w:left w:val="nil"/>
              <w:bottom w:val="nil"/>
              <w:right w:val="nil"/>
              <w:tl2br w:val="nil"/>
              <w:tr2bl w:val="nil"/>
            </w:tcBorders>
            <w:shd w:val="solid" w:color="CCE1EA" w:fill="FFFFFF"/>
            <w:tcMar>
              <w:left w:w="60" w:type="dxa"/>
              <w:right w:w="60" w:type="dxa"/>
            </w:tcMar>
            <w:vAlign w:val="center"/>
          </w:tcPr>
          <w:p w14:paraId="53346588" w14:textId="77777777" w:rsidR="00807FFE" w:rsidRDefault="00023E71">
            <w:pPr>
              <w:pStyle w:val="DMETW36734BIPSCNA"/>
              <w:jc w:val="right"/>
              <w:rPr>
                <w:rFonts w:ascii="Verdana" w:eastAsia="Verdana" w:hAnsi="Verdana" w:cs="Verdana"/>
                <w:b/>
                <w:noProof/>
                <w:color w:val="000000"/>
                <w:sz w:val="18"/>
              </w:rPr>
            </w:pPr>
            <w:r>
              <w:rPr>
                <w:rFonts w:ascii="Verdana" w:eastAsia="Verdana" w:hAnsi="Verdana" w:cs="Verdana"/>
                <w:b/>
                <w:noProof/>
                <w:color w:val="000000"/>
                <w:sz w:val="18"/>
              </w:rPr>
              <w:t>(213 221)</w:t>
            </w:r>
          </w:p>
        </w:tc>
        <w:tc>
          <w:tcPr>
            <w:tcW w:w="2095" w:type="dxa"/>
            <w:tcBorders>
              <w:top w:val="nil"/>
              <w:left w:val="nil"/>
              <w:bottom w:val="nil"/>
              <w:right w:val="nil"/>
              <w:tl2br w:val="nil"/>
              <w:tr2bl w:val="nil"/>
            </w:tcBorders>
            <w:shd w:val="solid" w:color="CCE1EA" w:fill="FFFFFF"/>
            <w:tcMar>
              <w:left w:w="60" w:type="dxa"/>
              <w:right w:w="60" w:type="dxa"/>
            </w:tcMar>
            <w:vAlign w:val="center"/>
          </w:tcPr>
          <w:p w14:paraId="1C27F730" w14:textId="77777777" w:rsidR="00807FFE" w:rsidRDefault="00023E71">
            <w:pPr>
              <w:pStyle w:val="DMETW36734BIPSCNA"/>
              <w:jc w:val="right"/>
              <w:rPr>
                <w:rFonts w:ascii="Verdana" w:eastAsia="Verdana" w:hAnsi="Verdana" w:cs="Verdana"/>
                <w:b/>
                <w:noProof/>
                <w:color w:val="000000"/>
                <w:sz w:val="18"/>
              </w:rPr>
            </w:pPr>
            <w:r>
              <w:rPr>
                <w:rFonts w:ascii="Verdana" w:eastAsia="Verdana" w:hAnsi="Verdana" w:cs="Verdana"/>
                <w:b/>
                <w:noProof/>
                <w:color w:val="000000"/>
                <w:sz w:val="18"/>
              </w:rPr>
              <w:t>1 052</w:t>
            </w:r>
          </w:p>
        </w:tc>
        <w:tc>
          <w:tcPr>
            <w:tcW w:w="2095" w:type="dxa"/>
            <w:tcBorders>
              <w:top w:val="nil"/>
              <w:left w:val="nil"/>
              <w:bottom w:val="nil"/>
              <w:right w:val="nil"/>
              <w:tl2br w:val="nil"/>
              <w:tr2bl w:val="nil"/>
            </w:tcBorders>
            <w:shd w:val="solid" w:color="CCE1EA" w:fill="FFFFFF"/>
            <w:tcMar>
              <w:left w:w="60" w:type="dxa"/>
              <w:right w:w="60" w:type="dxa"/>
            </w:tcMar>
            <w:vAlign w:val="center"/>
          </w:tcPr>
          <w:p w14:paraId="4442ABAD" w14:textId="77777777" w:rsidR="00807FFE" w:rsidRDefault="00023E71">
            <w:pPr>
              <w:pStyle w:val="DMETW36734BIPSCNA"/>
              <w:jc w:val="right"/>
              <w:rPr>
                <w:rFonts w:ascii="Verdana" w:eastAsia="Verdana" w:hAnsi="Verdana" w:cs="Verdana"/>
                <w:b/>
                <w:noProof/>
                <w:color w:val="000000"/>
                <w:sz w:val="18"/>
                <w:lang w:bidi="en-GB"/>
              </w:rPr>
            </w:pPr>
            <w:r>
              <w:rPr>
                <w:rFonts w:ascii="Verdana" w:eastAsia="Verdana" w:hAnsi="Verdana" w:cs="Verdana"/>
                <w:b/>
                <w:noProof/>
                <w:color w:val="000000"/>
                <w:sz w:val="18"/>
              </w:rPr>
              <w:t>(212 169)</w:t>
            </w:r>
          </w:p>
        </w:tc>
      </w:tr>
      <w:tr w:rsidR="00807FFE" w14:paraId="008E9E5A"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20F8CE70" w14:textId="77777777" w:rsidR="00807FFE" w:rsidRDefault="00023E71">
            <w:pPr>
              <w:pStyle w:val="DMETW36734BIPSCNA"/>
              <w:rPr>
                <w:rFonts w:ascii="Verdana" w:eastAsia="Verdana" w:hAnsi="Verdana" w:cs="Verdana"/>
                <w:i/>
                <w:noProof/>
                <w:color w:val="000000"/>
                <w:sz w:val="18"/>
              </w:rPr>
            </w:pPr>
            <w:r>
              <w:rPr>
                <w:rFonts w:ascii="Verdana" w:eastAsia="Verdana" w:hAnsi="Verdana" w:cs="Verdana"/>
                <w:i/>
                <w:noProof/>
                <w:color w:val="000000"/>
                <w:sz w:val="18"/>
              </w:rPr>
              <w:t>Remeasurements in employee benefits liabilities</w:t>
            </w:r>
          </w:p>
        </w:tc>
        <w:tc>
          <w:tcPr>
            <w:tcW w:w="4739" w:type="dxa"/>
            <w:tcBorders>
              <w:top w:val="nil"/>
              <w:left w:val="nil"/>
              <w:bottom w:val="nil"/>
              <w:right w:val="nil"/>
              <w:tl2br w:val="nil"/>
              <w:tr2bl w:val="nil"/>
            </w:tcBorders>
            <w:tcMar>
              <w:left w:w="60" w:type="dxa"/>
              <w:right w:w="60" w:type="dxa"/>
            </w:tcMar>
            <w:vAlign w:val="center"/>
          </w:tcPr>
          <w:p w14:paraId="04145B02"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1 159</w:t>
            </w:r>
          </w:p>
        </w:tc>
        <w:tc>
          <w:tcPr>
            <w:tcW w:w="2095" w:type="dxa"/>
            <w:tcBorders>
              <w:top w:val="nil"/>
              <w:left w:val="nil"/>
              <w:bottom w:val="nil"/>
              <w:right w:val="nil"/>
              <w:tl2br w:val="nil"/>
              <w:tr2bl w:val="nil"/>
            </w:tcBorders>
            <w:tcMar>
              <w:left w:w="60" w:type="dxa"/>
              <w:right w:w="60" w:type="dxa"/>
            </w:tcMar>
            <w:vAlign w:val="center"/>
          </w:tcPr>
          <w:p w14:paraId="1BF417AC"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14:paraId="7E3CE0F2" w14:textId="77777777" w:rsidR="00807FFE" w:rsidRDefault="00023E71">
            <w:pPr>
              <w:pStyle w:val="DMETW36734BIPSCNA"/>
              <w:jc w:val="right"/>
              <w:rPr>
                <w:rFonts w:ascii="Verdana" w:eastAsia="Verdana" w:hAnsi="Verdana" w:cs="Verdana"/>
                <w:i/>
                <w:noProof/>
                <w:color w:val="000000"/>
                <w:sz w:val="18"/>
                <w:lang w:bidi="en-GB"/>
              </w:rPr>
            </w:pPr>
            <w:r>
              <w:rPr>
                <w:rFonts w:ascii="Verdana" w:eastAsia="Verdana" w:hAnsi="Verdana" w:cs="Verdana"/>
                <w:i/>
                <w:noProof/>
                <w:color w:val="000000"/>
                <w:sz w:val="18"/>
              </w:rPr>
              <w:t>1 159</w:t>
            </w:r>
          </w:p>
        </w:tc>
      </w:tr>
      <w:tr w:rsidR="00807FFE" w14:paraId="69320EC0"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7A5D8EAD" w14:textId="77777777" w:rsidR="00807FFE" w:rsidRDefault="00023E71">
            <w:pPr>
              <w:pStyle w:val="DMETW36734BIPSCNA"/>
              <w:rPr>
                <w:rFonts w:ascii="Verdana" w:eastAsia="Verdana" w:hAnsi="Verdana" w:cs="Verdana"/>
                <w:i/>
                <w:noProof/>
                <w:color w:val="000000"/>
                <w:sz w:val="18"/>
              </w:rPr>
            </w:pPr>
            <w:r>
              <w:rPr>
                <w:rFonts w:ascii="Verdana" w:eastAsia="Verdana" w:hAnsi="Verdana" w:cs="Verdana"/>
                <w:i/>
                <w:noProof/>
                <w:color w:val="000000"/>
                <w:sz w:val="18"/>
              </w:rPr>
              <w:t>Other</w:t>
            </w:r>
          </w:p>
        </w:tc>
        <w:tc>
          <w:tcPr>
            <w:tcW w:w="4739" w:type="dxa"/>
            <w:tcBorders>
              <w:top w:val="nil"/>
              <w:left w:val="nil"/>
              <w:bottom w:val="nil"/>
              <w:right w:val="nil"/>
              <w:tl2br w:val="nil"/>
              <w:tr2bl w:val="nil"/>
            </w:tcBorders>
            <w:tcMar>
              <w:left w:w="60" w:type="dxa"/>
              <w:right w:w="60" w:type="dxa"/>
            </w:tcMar>
            <w:vAlign w:val="center"/>
          </w:tcPr>
          <w:p w14:paraId="72377496"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 xml:space="preserve"> 94</w:t>
            </w:r>
          </w:p>
        </w:tc>
        <w:tc>
          <w:tcPr>
            <w:tcW w:w="2095" w:type="dxa"/>
            <w:tcBorders>
              <w:top w:val="nil"/>
              <w:left w:val="nil"/>
              <w:bottom w:val="nil"/>
              <w:right w:val="nil"/>
              <w:tl2br w:val="nil"/>
              <w:tr2bl w:val="nil"/>
            </w:tcBorders>
            <w:tcMar>
              <w:left w:w="60" w:type="dxa"/>
              <w:right w:w="60" w:type="dxa"/>
            </w:tcMar>
            <w:vAlign w:val="center"/>
          </w:tcPr>
          <w:p w14:paraId="54809FE4"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 xml:space="preserve"> (66)</w:t>
            </w:r>
          </w:p>
        </w:tc>
        <w:tc>
          <w:tcPr>
            <w:tcW w:w="2095" w:type="dxa"/>
            <w:tcBorders>
              <w:top w:val="nil"/>
              <w:left w:val="nil"/>
              <w:bottom w:val="nil"/>
              <w:right w:val="nil"/>
              <w:tl2br w:val="nil"/>
              <w:tr2bl w:val="nil"/>
            </w:tcBorders>
            <w:tcMar>
              <w:left w:w="60" w:type="dxa"/>
              <w:right w:w="60" w:type="dxa"/>
            </w:tcMar>
            <w:vAlign w:val="center"/>
          </w:tcPr>
          <w:p w14:paraId="6582E257" w14:textId="77777777" w:rsidR="00807FFE" w:rsidRDefault="00023E71">
            <w:pPr>
              <w:pStyle w:val="DMETW36734BIPSCN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27</w:t>
            </w:r>
          </w:p>
        </w:tc>
      </w:tr>
      <w:tr w:rsidR="00807FFE" w14:paraId="0085AEF0"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406CD236" w14:textId="77777777" w:rsidR="00807FFE" w:rsidRDefault="00023E71">
            <w:pPr>
              <w:pStyle w:val="DMETW36734BIPSCNA"/>
              <w:rPr>
                <w:rFonts w:ascii="Verdana" w:eastAsia="Verdana" w:hAnsi="Verdana" w:cs="Verdana"/>
                <w:i/>
                <w:noProof/>
                <w:color w:val="000000"/>
                <w:sz w:val="18"/>
              </w:rPr>
            </w:pPr>
            <w:r>
              <w:rPr>
                <w:rFonts w:ascii="Verdana" w:eastAsia="Verdana" w:hAnsi="Verdana" w:cs="Verdana"/>
                <w:i/>
                <w:noProof/>
                <w:color w:val="000000"/>
                <w:sz w:val="18"/>
              </w:rPr>
              <w:t>2023 budget result credited to Member States</w:t>
            </w:r>
          </w:p>
        </w:tc>
        <w:tc>
          <w:tcPr>
            <w:tcW w:w="4739" w:type="dxa"/>
            <w:tcBorders>
              <w:top w:val="nil"/>
              <w:left w:val="nil"/>
              <w:bottom w:val="nil"/>
              <w:right w:val="nil"/>
              <w:tl2br w:val="nil"/>
              <w:tr2bl w:val="nil"/>
            </w:tcBorders>
            <w:tcMar>
              <w:left w:w="60" w:type="dxa"/>
              <w:right w:w="60" w:type="dxa"/>
            </w:tcMar>
            <w:vAlign w:val="center"/>
          </w:tcPr>
          <w:p w14:paraId="29C94220"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 xml:space="preserve"> (633)</w:t>
            </w:r>
          </w:p>
        </w:tc>
        <w:tc>
          <w:tcPr>
            <w:tcW w:w="2095" w:type="dxa"/>
            <w:tcBorders>
              <w:top w:val="nil"/>
              <w:left w:val="nil"/>
              <w:bottom w:val="nil"/>
              <w:right w:val="nil"/>
              <w:tl2br w:val="nil"/>
              <w:tr2bl w:val="nil"/>
            </w:tcBorders>
            <w:tcMar>
              <w:left w:w="60" w:type="dxa"/>
              <w:right w:w="60" w:type="dxa"/>
            </w:tcMar>
            <w:vAlign w:val="center"/>
          </w:tcPr>
          <w:p w14:paraId="28FA9DAB"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14:paraId="317F6D02" w14:textId="77777777" w:rsidR="00807FFE" w:rsidRDefault="00023E71">
            <w:pPr>
              <w:pStyle w:val="DMETW36734BIPSCN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(633)</w:t>
            </w:r>
          </w:p>
        </w:tc>
      </w:tr>
      <w:tr w:rsidR="00807FFE" w14:paraId="6DF5433A"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2394CC0F" w14:textId="77777777" w:rsidR="00807FFE" w:rsidRDefault="00023E71">
            <w:pPr>
              <w:pStyle w:val="DMETW36734BIPSCNA"/>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4739" w:type="dxa"/>
            <w:tcBorders>
              <w:top w:val="nil"/>
              <w:left w:val="nil"/>
              <w:bottom w:val="nil"/>
              <w:right w:val="nil"/>
              <w:tl2br w:val="nil"/>
              <w:tr2bl w:val="nil"/>
            </w:tcBorders>
            <w:tcMar>
              <w:left w:w="60" w:type="dxa"/>
              <w:right w:w="60" w:type="dxa"/>
            </w:tcMar>
            <w:vAlign w:val="center"/>
          </w:tcPr>
          <w:p w14:paraId="1E652EFF"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(97 208)</w:t>
            </w:r>
          </w:p>
        </w:tc>
        <w:tc>
          <w:tcPr>
            <w:tcW w:w="2095" w:type="dxa"/>
            <w:tcBorders>
              <w:top w:val="nil"/>
              <w:left w:val="nil"/>
              <w:bottom w:val="nil"/>
              <w:right w:val="nil"/>
              <w:tl2br w:val="nil"/>
              <w:tr2bl w:val="nil"/>
            </w:tcBorders>
            <w:tcMar>
              <w:left w:w="60" w:type="dxa"/>
              <w:right w:w="60" w:type="dxa"/>
            </w:tcMar>
            <w:vAlign w:val="center"/>
          </w:tcPr>
          <w:p w14:paraId="2AC8BFEC"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14:paraId="7277834E" w14:textId="77777777" w:rsidR="00807FFE" w:rsidRDefault="00023E71">
            <w:pPr>
              <w:pStyle w:val="DMETW36734BIPSCNA"/>
              <w:jc w:val="right"/>
              <w:rPr>
                <w:rFonts w:ascii="Verdana" w:eastAsia="Verdana" w:hAnsi="Verdana" w:cs="Verdana"/>
                <w:i/>
                <w:noProof/>
                <w:color w:val="000000"/>
                <w:sz w:val="18"/>
                <w:lang w:bidi="en-GB"/>
              </w:rPr>
            </w:pPr>
            <w:r>
              <w:rPr>
                <w:rFonts w:ascii="Verdana" w:eastAsia="Verdana" w:hAnsi="Verdana" w:cs="Verdana"/>
                <w:i/>
                <w:noProof/>
                <w:color w:val="000000"/>
                <w:sz w:val="18"/>
              </w:rPr>
              <w:t>(97 208)</w:t>
            </w:r>
          </w:p>
        </w:tc>
      </w:tr>
      <w:tr w:rsidR="00807FFE" w14:paraId="25AFA66C" w14:textId="77777777">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14:paraId="75210247" w14:textId="77777777" w:rsidR="00807FFE" w:rsidRDefault="00023E71">
            <w:pPr>
              <w:pStyle w:val="DMETW36734BIPSCNA"/>
              <w:rPr>
                <w:rFonts w:ascii="Verdana" w:eastAsia="Verdana" w:hAnsi="Verdana" w:cs="Verdana"/>
                <w:b/>
                <w:noProof/>
                <w:color w:val="000000"/>
                <w:sz w:val="18"/>
              </w:rPr>
            </w:pPr>
            <w:r>
              <w:rPr>
                <w:rFonts w:ascii="Verdana" w:eastAsia="Verdana" w:hAnsi="Verdana" w:cs="Verdana"/>
                <w:b/>
                <w:noProof/>
                <w:color w:val="000000"/>
                <w:sz w:val="18"/>
              </w:rPr>
              <w:t>BALANCE AS AT 31.12.2024</w:t>
            </w:r>
          </w:p>
        </w:tc>
        <w:tc>
          <w:tcPr>
            <w:tcW w:w="4739" w:type="dxa"/>
            <w:tcBorders>
              <w:top w:val="nil"/>
              <w:left w:val="nil"/>
              <w:bottom w:val="nil"/>
              <w:right w:val="nil"/>
              <w:tl2br w:val="nil"/>
              <w:tr2bl w:val="nil"/>
            </w:tcBorders>
            <w:shd w:val="solid" w:color="CCE1EA" w:fill="FFFFFF"/>
            <w:tcMar>
              <w:left w:w="60" w:type="dxa"/>
              <w:right w:w="60" w:type="dxa"/>
            </w:tcMar>
            <w:vAlign w:val="center"/>
          </w:tcPr>
          <w:p w14:paraId="0E614187" w14:textId="77777777" w:rsidR="00807FFE" w:rsidRDefault="00023E71">
            <w:pPr>
              <w:pStyle w:val="DMETW36734BIPSCNA"/>
              <w:jc w:val="right"/>
              <w:rPr>
                <w:rFonts w:ascii="Verdana" w:eastAsia="Verdana" w:hAnsi="Verdana" w:cs="Verdana"/>
                <w:b/>
                <w:noProof/>
                <w:color w:val="000000"/>
                <w:sz w:val="18"/>
              </w:rPr>
            </w:pPr>
            <w:r>
              <w:rPr>
                <w:rFonts w:ascii="Verdana" w:eastAsia="Verdana" w:hAnsi="Verdana" w:cs="Verdana"/>
                <w:b/>
                <w:noProof/>
                <w:color w:val="000000"/>
                <w:sz w:val="18"/>
              </w:rPr>
              <w:t>(309 810)</w:t>
            </w:r>
          </w:p>
        </w:tc>
        <w:tc>
          <w:tcPr>
            <w:tcW w:w="2095" w:type="dxa"/>
            <w:tcBorders>
              <w:top w:val="nil"/>
              <w:left w:val="nil"/>
              <w:bottom w:val="nil"/>
              <w:right w:val="nil"/>
              <w:tl2br w:val="nil"/>
              <w:tr2bl w:val="nil"/>
            </w:tcBorders>
            <w:shd w:val="solid" w:color="CCE1EA" w:fill="FFFFFF"/>
            <w:tcMar>
              <w:left w:w="60" w:type="dxa"/>
              <w:right w:w="60" w:type="dxa"/>
            </w:tcMar>
            <w:vAlign w:val="center"/>
          </w:tcPr>
          <w:p w14:paraId="441B8287" w14:textId="77777777" w:rsidR="00807FFE" w:rsidRDefault="00023E71">
            <w:pPr>
              <w:pStyle w:val="DMETW36734BIPSCNA"/>
              <w:jc w:val="right"/>
              <w:rPr>
                <w:rFonts w:ascii="Verdana" w:eastAsia="Verdana" w:hAnsi="Verdana" w:cs="Verdana"/>
                <w:b/>
                <w:noProof/>
                <w:color w:val="000000"/>
                <w:sz w:val="18"/>
              </w:rPr>
            </w:pPr>
            <w:r>
              <w:rPr>
                <w:rFonts w:ascii="Verdana" w:eastAsia="Verdana" w:hAnsi="Verdana" w:cs="Verdana"/>
                <w:b/>
                <w:noProof/>
                <w:color w:val="000000"/>
                <w:sz w:val="18"/>
              </w:rPr>
              <w:t xml:space="preserve"> 986</w:t>
            </w:r>
          </w:p>
        </w:tc>
        <w:tc>
          <w:tcPr>
            <w:tcW w:w="2095" w:type="dxa"/>
            <w:tcBorders>
              <w:top w:val="nil"/>
              <w:left w:val="nil"/>
              <w:bottom w:val="nil"/>
              <w:right w:val="nil"/>
              <w:tl2br w:val="nil"/>
              <w:tr2bl w:val="nil"/>
            </w:tcBorders>
            <w:shd w:val="solid" w:color="CCE1EA" w:fill="FFFFFF"/>
            <w:tcMar>
              <w:left w:w="60" w:type="dxa"/>
              <w:right w:w="60" w:type="dxa"/>
            </w:tcMar>
            <w:vAlign w:val="center"/>
          </w:tcPr>
          <w:p w14:paraId="6E6B4E81" w14:textId="77777777" w:rsidR="00807FFE" w:rsidRDefault="00023E71">
            <w:pPr>
              <w:pStyle w:val="DMETW36734BIPSCNA"/>
              <w:jc w:val="right"/>
              <w:rPr>
                <w:rFonts w:ascii="Verdana" w:eastAsia="Verdana" w:hAnsi="Verdana" w:cs="Verdana"/>
                <w:b/>
                <w:noProof/>
                <w:color w:val="000000"/>
                <w:sz w:val="18"/>
                <w:lang w:bidi="en-GB"/>
              </w:rPr>
            </w:pPr>
            <w:r>
              <w:rPr>
                <w:rFonts w:ascii="Verdana" w:eastAsia="Verdana" w:hAnsi="Verdana" w:cs="Verdana"/>
                <w:b/>
                <w:noProof/>
                <w:color w:val="000000"/>
                <w:sz w:val="18"/>
              </w:rPr>
              <w:t>(308 824)</w:t>
            </w:r>
          </w:p>
        </w:tc>
      </w:tr>
      <w:tr w:rsidR="00807FFE" w14:paraId="570872E9"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5E9044F0" w14:textId="77777777" w:rsidR="00807FFE" w:rsidRDefault="00023E71">
            <w:pPr>
              <w:pStyle w:val="DMETW36734BIPSCNA"/>
              <w:rPr>
                <w:rFonts w:ascii="Verdana" w:eastAsia="Verdana" w:hAnsi="Verdana" w:cs="Verdana"/>
                <w:i/>
                <w:noProof/>
                <w:color w:val="000000"/>
                <w:sz w:val="18"/>
              </w:rPr>
            </w:pPr>
            <w:r>
              <w:rPr>
                <w:rFonts w:ascii="Verdana" w:eastAsia="Verdana" w:hAnsi="Verdana" w:cs="Verdana"/>
                <w:i/>
                <w:noProof/>
                <w:color w:val="000000"/>
                <w:sz w:val="18"/>
              </w:rPr>
              <w:t>Remeasurements in employee benefits liabilities</w:t>
            </w:r>
          </w:p>
        </w:tc>
        <w:tc>
          <w:tcPr>
            <w:tcW w:w="4739" w:type="dxa"/>
            <w:tcBorders>
              <w:top w:val="nil"/>
              <w:left w:val="nil"/>
              <w:bottom w:val="nil"/>
              <w:right w:val="nil"/>
              <w:tl2br w:val="nil"/>
              <w:tr2bl w:val="nil"/>
            </w:tcBorders>
            <w:tcMar>
              <w:left w:w="60" w:type="dxa"/>
              <w:right w:w="60" w:type="dxa"/>
            </w:tcMar>
            <w:vAlign w:val="center"/>
          </w:tcPr>
          <w:p w14:paraId="5FB1A4DF"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5 603</w:t>
            </w:r>
          </w:p>
        </w:tc>
        <w:tc>
          <w:tcPr>
            <w:tcW w:w="2095" w:type="dxa"/>
            <w:tcBorders>
              <w:top w:val="nil"/>
              <w:left w:val="nil"/>
              <w:bottom w:val="nil"/>
              <w:right w:val="nil"/>
              <w:tl2br w:val="nil"/>
              <w:tr2bl w:val="nil"/>
            </w:tcBorders>
            <w:tcMar>
              <w:left w:w="60" w:type="dxa"/>
              <w:right w:w="60" w:type="dxa"/>
            </w:tcMar>
            <w:vAlign w:val="center"/>
          </w:tcPr>
          <w:p w14:paraId="3D0ED840"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14:paraId="7D8AF5E6" w14:textId="77777777" w:rsidR="00807FFE" w:rsidRDefault="00023E71">
            <w:pPr>
              <w:pStyle w:val="DMETW36734BIPSCNA"/>
              <w:jc w:val="right"/>
              <w:rPr>
                <w:rFonts w:ascii="Verdana" w:eastAsia="Verdana" w:hAnsi="Verdana" w:cs="Verdana"/>
                <w:i/>
                <w:noProof/>
                <w:color w:val="000000"/>
                <w:sz w:val="18"/>
                <w:lang w:bidi="en-GB"/>
              </w:rPr>
            </w:pPr>
            <w:r>
              <w:rPr>
                <w:rFonts w:ascii="Verdana" w:eastAsia="Verdana" w:hAnsi="Verdana" w:cs="Verdana"/>
                <w:i/>
                <w:noProof/>
                <w:color w:val="000000"/>
                <w:sz w:val="18"/>
              </w:rPr>
              <w:t>5 603</w:t>
            </w:r>
          </w:p>
        </w:tc>
      </w:tr>
      <w:tr w:rsidR="00807FFE" w14:paraId="7636AD45"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7A2D464F" w14:textId="77777777" w:rsidR="00807FFE" w:rsidRDefault="00023E71">
            <w:pPr>
              <w:pStyle w:val="DMETW36734BIPSCNA"/>
              <w:rPr>
                <w:rFonts w:ascii="Verdana" w:eastAsia="Verdana" w:hAnsi="Verdana" w:cs="Verdana"/>
                <w:i/>
                <w:noProof/>
                <w:color w:val="000000"/>
                <w:sz w:val="18"/>
              </w:rPr>
            </w:pPr>
            <w:r>
              <w:rPr>
                <w:rFonts w:ascii="Verdana" w:eastAsia="Verdana" w:hAnsi="Verdana" w:cs="Verdana"/>
                <w:i/>
                <w:noProof/>
                <w:color w:val="000000"/>
                <w:sz w:val="18"/>
              </w:rPr>
              <w:t>Other</w:t>
            </w:r>
          </w:p>
        </w:tc>
        <w:tc>
          <w:tcPr>
            <w:tcW w:w="4739" w:type="dxa"/>
            <w:tcBorders>
              <w:top w:val="nil"/>
              <w:left w:val="nil"/>
              <w:bottom w:val="nil"/>
              <w:right w:val="nil"/>
              <w:tl2br w:val="nil"/>
              <w:tr2bl w:val="nil"/>
            </w:tcBorders>
            <w:tcMar>
              <w:left w:w="60" w:type="dxa"/>
              <w:right w:w="60" w:type="dxa"/>
            </w:tcMar>
            <w:vAlign w:val="center"/>
          </w:tcPr>
          <w:p w14:paraId="35EF3398"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 xml:space="preserve"> 85</w:t>
            </w:r>
          </w:p>
        </w:tc>
        <w:tc>
          <w:tcPr>
            <w:tcW w:w="2095" w:type="dxa"/>
            <w:tcBorders>
              <w:top w:val="nil"/>
              <w:left w:val="nil"/>
              <w:bottom w:val="nil"/>
              <w:right w:val="nil"/>
              <w:tl2br w:val="nil"/>
              <w:tr2bl w:val="nil"/>
            </w:tcBorders>
            <w:tcMar>
              <w:left w:w="60" w:type="dxa"/>
              <w:right w:w="60" w:type="dxa"/>
            </w:tcMar>
            <w:vAlign w:val="center"/>
          </w:tcPr>
          <w:p w14:paraId="349B2177"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 xml:space="preserve"> (45)</w:t>
            </w:r>
          </w:p>
        </w:tc>
        <w:tc>
          <w:tcPr>
            <w:tcW w:w="2095" w:type="dxa"/>
            <w:tcBorders>
              <w:top w:val="nil"/>
              <w:left w:val="nil"/>
              <w:bottom w:val="nil"/>
              <w:right w:val="nil"/>
              <w:tl2br w:val="nil"/>
              <w:tr2bl w:val="nil"/>
            </w:tcBorders>
            <w:tcMar>
              <w:left w:w="60" w:type="dxa"/>
              <w:right w:w="60" w:type="dxa"/>
            </w:tcMar>
            <w:vAlign w:val="center"/>
          </w:tcPr>
          <w:p w14:paraId="3E5FA481" w14:textId="77777777" w:rsidR="00807FFE" w:rsidRDefault="00023E71">
            <w:pPr>
              <w:pStyle w:val="DMETW36734BIPSCN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40</w:t>
            </w:r>
          </w:p>
        </w:tc>
      </w:tr>
      <w:tr w:rsidR="00807FFE" w14:paraId="2D23A668"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2AA22A0D" w14:textId="77777777" w:rsidR="00807FFE" w:rsidRDefault="00023E71">
            <w:pPr>
              <w:pStyle w:val="DMETW36734BIPSCNA"/>
              <w:rPr>
                <w:rFonts w:ascii="Verdana" w:eastAsia="Verdana" w:hAnsi="Verdana" w:cs="Verdana"/>
                <w:i/>
                <w:noProof/>
                <w:color w:val="000000"/>
                <w:sz w:val="18"/>
              </w:rPr>
            </w:pPr>
            <w:r>
              <w:rPr>
                <w:rFonts w:ascii="Verdana" w:eastAsia="Verdana" w:hAnsi="Verdana" w:cs="Verdana"/>
                <w:i/>
                <w:noProof/>
                <w:color w:val="000000"/>
                <w:sz w:val="18"/>
              </w:rPr>
              <w:t>2024 budget result credited to Member States</w:t>
            </w:r>
          </w:p>
        </w:tc>
        <w:tc>
          <w:tcPr>
            <w:tcW w:w="4739" w:type="dxa"/>
            <w:tcBorders>
              <w:top w:val="nil"/>
              <w:left w:val="nil"/>
              <w:bottom w:val="nil"/>
              <w:right w:val="nil"/>
              <w:tl2br w:val="nil"/>
              <w:tr2bl w:val="nil"/>
            </w:tcBorders>
            <w:tcMar>
              <w:left w:w="60" w:type="dxa"/>
              <w:right w:w="60" w:type="dxa"/>
            </w:tcMar>
            <w:vAlign w:val="center"/>
          </w:tcPr>
          <w:p w14:paraId="2A340379"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(1 348)</w:t>
            </w:r>
          </w:p>
        </w:tc>
        <w:tc>
          <w:tcPr>
            <w:tcW w:w="2095" w:type="dxa"/>
            <w:tcBorders>
              <w:top w:val="nil"/>
              <w:left w:val="nil"/>
              <w:bottom w:val="nil"/>
              <w:right w:val="nil"/>
              <w:tl2br w:val="nil"/>
              <w:tr2bl w:val="nil"/>
            </w:tcBorders>
            <w:tcMar>
              <w:left w:w="60" w:type="dxa"/>
              <w:right w:w="60" w:type="dxa"/>
            </w:tcMar>
            <w:vAlign w:val="center"/>
          </w:tcPr>
          <w:p w14:paraId="28760F20"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14:paraId="542F141E" w14:textId="77777777" w:rsidR="00807FFE" w:rsidRDefault="00023E71">
            <w:pPr>
              <w:pStyle w:val="DMETW36734BIPSCNA"/>
              <w:jc w:val="right"/>
              <w:rPr>
                <w:rFonts w:ascii="Verdana" w:eastAsia="Verdana" w:hAnsi="Verdana" w:cs="Verdana"/>
                <w:i/>
                <w:noProof/>
                <w:color w:val="000000"/>
                <w:sz w:val="18"/>
                <w:lang w:bidi="en-GB"/>
              </w:rPr>
            </w:pPr>
            <w:r>
              <w:rPr>
                <w:rFonts w:ascii="Verdana" w:eastAsia="Verdana" w:hAnsi="Verdana" w:cs="Verdana"/>
                <w:i/>
                <w:noProof/>
                <w:color w:val="000000"/>
                <w:sz w:val="18"/>
              </w:rPr>
              <w:t>(1 348)</w:t>
            </w:r>
          </w:p>
        </w:tc>
      </w:tr>
      <w:tr w:rsidR="00807FFE" w14:paraId="4F6C92E8" w14:textId="77777777">
        <w:trPr>
          <w:trHeight w:val="255"/>
        </w:trPr>
        <w:tc>
          <w:tcPr>
            <w:tcW w:w="5320" w:type="dxa"/>
            <w:tcBorders>
              <w:top w:val="nil"/>
              <w:left w:val="nil"/>
              <w:bottom w:val="nil"/>
              <w:right w:val="nil"/>
              <w:tl2br w:val="nil"/>
              <w:tr2bl w:val="nil"/>
            </w:tcBorders>
            <w:tcMar>
              <w:left w:w="60" w:type="dxa"/>
              <w:right w:w="60" w:type="dxa"/>
            </w:tcMar>
            <w:vAlign w:val="center"/>
          </w:tcPr>
          <w:p w14:paraId="4BB39FA6" w14:textId="77777777" w:rsidR="00807FFE" w:rsidRDefault="00023E71">
            <w:pPr>
              <w:pStyle w:val="DMETW36734BIPSCNA"/>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4739" w:type="dxa"/>
            <w:tcBorders>
              <w:top w:val="nil"/>
              <w:left w:val="nil"/>
              <w:bottom w:val="nil"/>
              <w:right w:val="nil"/>
              <w:tl2br w:val="nil"/>
              <w:tr2bl w:val="nil"/>
            </w:tcBorders>
            <w:tcMar>
              <w:left w:w="60" w:type="dxa"/>
              <w:right w:w="60" w:type="dxa"/>
            </w:tcMar>
            <w:vAlign w:val="center"/>
          </w:tcPr>
          <w:p w14:paraId="4500822A"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(54 639)</w:t>
            </w:r>
          </w:p>
        </w:tc>
        <w:tc>
          <w:tcPr>
            <w:tcW w:w="2095" w:type="dxa"/>
            <w:tcBorders>
              <w:top w:val="nil"/>
              <w:left w:val="nil"/>
              <w:bottom w:val="nil"/>
              <w:right w:val="nil"/>
              <w:tl2br w:val="nil"/>
              <w:tr2bl w:val="nil"/>
            </w:tcBorders>
            <w:tcMar>
              <w:left w:w="60" w:type="dxa"/>
              <w:right w:w="60" w:type="dxa"/>
            </w:tcMar>
            <w:vAlign w:val="center"/>
          </w:tcPr>
          <w:p w14:paraId="3F8E5D73" w14:textId="77777777" w:rsidR="00807FFE" w:rsidRDefault="00023E71">
            <w:pPr>
              <w:pStyle w:val="DMETW36734BIPSC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14:paraId="53A3D699" w14:textId="77777777" w:rsidR="00807FFE" w:rsidRDefault="00023E71">
            <w:pPr>
              <w:pStyle w:val="DMETW36734BIPSCNA"/>
              <w:jc w:val="right"/>
              <w:rPr>
                <w:rFonts w:ascii="Verdana" w:eastAsia="Verdana" w:hAnsi="Verdana" w:cs="Verdana"/>
                <w:i/>
                <w:noProof/>
                <w:color w:val="000000"/>
                <w:sz w:val="18"/>
                <w:lang w:bidi="en-GB"/>
              </w:rPr>
            </w:pPr>
            <w:r>
              <w:rPr>
                <w:rFonts w:ascii="Verdana" w:eastAsia="Verdana" w:hAnsi="Verdana" w:cs="Verdana"/>
                <w:i/>
                <w:noProof/>
                <w:color w:val="000000"/>
                <w:sz w:val="18"/>
              </w:rPr>
              <w:t>(54 639)</w:t>
            </w:r>
          </w:p>
        </w:tc>
      </w:tr>
      <w:tr w:rsidR="00807FFE" w14:paraId="1A1DE0A6" w14:textId="77777777">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14:paraId="134CBAA1" w14:textId="77777777" w:rsidR="00807FFE" w:rsidRDefault="00023E71">
            <w:pPr>
              <w:pStyle w:val="DMETW36734BIPSCNA"/>
              <w:rPr>
                <w:rFonts w:ascii="Verdana" w:eastAsia="Verdana" w:hAnsi="Verdana" w:cs="Verdana"/>
                <w:b/>
                <w:noProof/>
                <w:color w:val="000000"/>
                <w:sz w:val="18"/>
              </w:rPr>
            </w:pPr>
            <w:r>
              <w:rPr>
                <w:rFonts w:ascii="Verdana" w:eastAsia="Verdana" w:hAnsi="Verdana" w:cs="Verdana"/>
                <w:b/>
                <w:noProof/>
                <w:color w:val="000000"/>
                <w:sz w:val="18"/>
              </w:rPr>
              <w:t>BALANCE AS AT 31.12.2025</w:t>
            </w:r>
          </w:p>
        </w:tc>
        <w:tc>
          <w:tcPr>
            <w:tcW w:w="4739" w:type="dxa"/>
            <w:tcBorders>
              <w:top w:val="nil"/>
              <w:left w:val="nil"/>
              <w:bottom w:val="nil"/>
              <w:right w:val="nil"/>
              <w:tl2br w:val="nil"/>
              <w:tr2bl w:val="nil"/>
            </w:tcBorders>
            <w:shd w:val="solid" w:color="CCE1EA" w:fill="FFFFFF"/>
            <w:tcMar>
              <w:left w:w="60" w:type="dxa"/>
              <w:right w:w="60" w:type="dxa"/>
            </w:tcMar>
            <w:vAlign w:val="center"/>
          </w:tcPr>
          <w:p w14:paraId="01A07EFF" w14:textId="77777777" w:rsidR="00807FFE" w:rsidRDefault="00023E71">
            <w:pPr>
              <w:pStyle w:val="DMETW36734BIPSCNA"/>
              <w:jc w:val="right"/>
              <w:rPr>
                <w:rFonts w:ascii="Verdana" w:eastAsia="Verdana" w:hAnsi="Verdana" w:cs="Verdana"/>
                <w:b/>
                <w:noProof/>
                <w:color w:val="000000"/>
                <w:sz w:val="18"/>
              </w:rPr>
            </w:pPr>
            <w:r>
              <w:rPr>
                <w:rFonts w:ascii="Verdana" w:eastAsia="Verdana" w:hAnsi="Verdana" w:cs="Verdana"/>
                <w:b/>
                <w:noProof/>
                <w:color w:val="000000"/>
                <w:sz w:val="18"/>
              </w:rPr>
              <w:t>(360 108)</w:t>
            </w:r>
          </w:p>
        </w:tc>
        <w:tc>
          <w:tcPr>
            <w:tcW w:w="2095" w:type="dxa"/>
            <w:tcBorders>
              <w:top w:val="nil"/>
              <w:left w:val="nil"/>
              <w:bottom w:val="nil"/>
              <w:right w:val="nil"/>
              <w:tl2br w:val="nil"/>
              <w:tr2bl w:val="nil"/>
            </w:tcBorders>
            <w:shd w:val="solid" w:color="CCE1EA" w:fill="FFFFFF"/>
            <w:tcMar>
              <w:left w:w="60" w:type="dxa"/>
              <w:right w:w="60" w:type="dxa"/>
            </w:tcMar>
            <w:vAlign w:val="center"/>
          </w:tcPr>
          <w:p w14:paraId="05349B36" w14:textId="77777777" w:rsidR="00807FFE" w:rsidRDefault="00023E71">
            <w:pPr>
              <w:pStyle w:val="DMETW36734BIPSCNA"/>
              <w:jc w:val="right"/>
              <w:rPr>
                <w:rFonts w:ascii="Verdana" w:eastAsia="Verdana" w:hAnsi="Verdana" w:cs="Verdana"/>
                <w:b/>
                <w:noProof/>
                <w:color w:val="000000"/>
                <w:sz w:val="18"/>
              </w:rPr>
            </w:pPr>
            <w:r>
              <w:rPr>
                <w:rFonts w:ascii="Verdana" w:eastAsia="Verdana" w:hAnsi="Verdana" w:cs="Verdana"/>
                <w:b/>
                <w:noProof/>
                <w:color w:val="000000"/>
                <w:sz w:val="18"/>
              </w:rPr>
              <w:t xml:space="preserve"> 941</w:t>
            </w:r>
          </w:p>
        </w:tc>
        <w:tc>
          <w:tcPr>
            <w:tcW w:w="2095" w:type="dxa"/>
            <w:tcBorders>
              <w:top w:val="nil"/>
              <w:left w:val="nil"/>
              <w:bottom w:val="nil"/>
              <w:right w:val="nil"/>
              <w:tl2br w:val="nil"/>
              <w:tr2bl w:val="nil"/>
            </w:tcBorders>
            <w:shd w:val="solid" w:color="CCE1EA" w:fill="FFFFFF"/>
            <w:tcMar>
              <w:left w:w="60" w:type="dxa"/>
              <w:right w:w="60" w:type="dxa"/>
            </w:tcMar>
            <w:vAlign w:val="center"/>
          </w:tcPr>
          <w:p w14:paraId="4E331E4A" w14:textId="77777777" w:rsidR="00807FFE" w:rsidRDefault="00023E71">
            <w:pPr>
              <w:pStyle w:val="DMETW36734BIPSCNA"/>
              <w:jc w:val="right"/>
              <w:rPr>
                <w:rFonts w:ascii="Verdana" w:eastAsia="Verdana" w:hAnsi="Verdana" w:cs="Verdana"/>
                <w:b/>
                <w:noProof/>
                <w:color w:val="000000"/>
                <w:sz w:val="18"/>
              </w:rPr>
            </w:pPr>
            <w:r>
              <w:rPr>
                <w:rFonts w:ascii="Verdana" w:eastAsia="Verdana" w:hAnsi="Verdana" w:cs="Verdana"/>
                <w:b/>
                <w:noProof/>
                <w:color w:val="000000"/>
                <w:sz w:val="18"/>
              </w:rPr>
              <w:t>(359 167)</w:t>
            </w:r>
          </w:p>
        </w:tc>
      </w:tr>
    </w:tbl>
    <w:p w14:paraId="073FF9C7" w14:textId="77777777" w:rsidR="00843223" w:rsidRDefault="00843223" w:rsidP="000356E1">
      <w:pPr>
        <w:pStyle w:val="HEADERTITLE1"/>
        <w:spacing w:after="0"/>
        <w:rPr>
          <w:lang w:bidi="en-GB"/>
        </w:rPr>
      </w:pPr>
    </w:p>
    <w:p w14:paraId="3C5E06FC" w14:textId="77777777" w:rsidR="008C19B1" w:rsidRDefault="00023E71" w:rsidP="001920A9">
      <w:pPr>
        <w:pStyle w:val="DGTextstand-alone"/>
      </w:pPr>
      <w:r>
        <w:t xml:space="preserve"> </w:t>
      </w:r>
    </w:p>
    <w:p w14:paraId="7E3EB428" w14:textId="77777777" w:rsidR="003A6AF8" w:rsidRPr="001920A9" w:rsidRDefault="00023E71" w:rsidP="001920A9">
      <w:pPr>
        <w:pStyle w:val="DGTextstand-alone"/>
      </w:pPr>
      <w:r w:rsidRPr="001920A9">
        <w:t xml:space="preserve"> </w:t>
      </w:r>
    </w:p>
    <w:bookmarkEnd w:id="69"/>
    <w:p w14:paraId="46924EBA" w14:textId="77777777" w:rsidR="005A7DC9" w:rsidRPr="001920A9" w:rsidRDefault="005A7DC9" w:rsidP="001920A9">
      <w:pPr>
        <w:pStyle w:val="DGTextstand-alone"/>
        <w:sectPr w:rsidR="005A7DC9" w:rsidRPr="001920A9" w:rsidSect="008C19B1">
          <w:headerReference w:type="even" r:id="rId57"/>
          <w:headerReference w:type="default" r:id="rId58"/>
          <w:footerReference w:type="even" r:id="rId59"/>
          <w:footerReference w:type="default" r:id="rId60"/>
          <w:headerReference w:type="first" r:id="rId61"/>
          <w:footerReference w:type="first" r:id="rId62"/>
          <w:pgSz w:w="16838" w:h="11906" w:orient="landscape"/>
          <w:pgMar w:top="1134" w:right="1134" w:bottom="1134" w:left="1134" w:header="708" w:footer="708" w:gutter="0"/>
          <w:cols w:space="708"/>
          <w:docGrid w:linePitch="360"/>
        </w:sectPr>
      </w:pPr>
    </w:p>
    <w:p w14:paraId="75E31A7F" w14:textId="77777777" w:rsidR="00A5463E" w:rsidRDefault="00A5463E" w:rsidP="008A4BC0">
      <w:pPr>
        <w:pStyle w:val="DGTextstand-alone"/>
        <w:rPr>
          <w:lang w:val="fr-BE"/>
        </w:rPr>
      </w:pPr>
      <w:bookmarkStart w:id="71" w:name="_DMBM_36686"/>
    </w:p>
    <w:p w14:paraId="247C6DAE" w14:textId="77777777" w:rsidR="008A4BC0" w:rsidRDefault="008A4BC0" w:rsidP="008A4BC0">
      <w:pPr>
        <w:pStyle w:val="DGTextstand-alone"/>
        <w:rPr>
          <w:lang w:val="fr-BE"/>
        </w:rPr>
      </w:pPr>
    </w:p>
    <w:p w14:paraId="54886348" w14:textId="77777777" w:rsidR="008A4BC0" w:rsidRDefault="008A4BC0" w:rsidP="008A4BC0">
      <w:pPr>
        <w:pStyle w:val="DGTextstand-alone"/>
        <w:rPr>
          <w:lang w:val="fr-BE"/>
        </w:rPr>
      </w:pPr>
    </w:p>
    <w:p w14:paraId="0F55AE68" w14:textId="77777777" w:rsidR="008A4BC0" w:rsidRDefault="008A4BC0" w:rsidP="008A4BC0">
      <w:pPr>
        <w:pStyle w:val="DGTextstand-alone"/>
        <w:rPr>
          <w:lang w:val="fr-BE"/>
        </w:rPr>
      </w:pPr>
    </w:p>
    <w:p w14:paraId="651078D0" w14:textId="77777777" w:rsidR="008A4BC0" w:rsidRDefault="008A4BC0" w:rsidP="008A4BC0">
      <w:pPr>
        <w:pStyle w:val="DGTextstand-alone"/>
        <w:rPr>
          <w:lang w:val="fr-BE"/>
        </w:rPr>
      </w:pPr>
    </w:p>
    <w:p w14:paraId="43F7A3C5" w14:textId="77777777" w:rsidR="008A4BC0" w:rsidRDefault="008A4BC0" w:rsidP="008A4BC0">
      <w:pPr>
        <w:pStyle w:val="DGTextstand-alone"/>
        <w:rPr>
          <w:lang w:val="fr-BE"/>
        </w:rPr>
      </w:pPr>
    </w:p>
    <w:p w14:paraId="0E529F1A" w14:textId="77777777" w:rsidR="008A4BC0" w:rsidRDefault="008A4BC0" w:rsidP="008A4BC0">
      <w:pPr>
        <w:pStyle w:val="DGTextstand-alone"/>
        <w:rPr>
          <w:lang w:val="fr-BE"/>
        </w:rPr>
      </w:pPr>
    </w:p>
    <w:p w14:paraId="12AE5674" w14:textId="77777777" w:rsidR="008A4BC0" w:rsidRDefault="008A4BC0" w:rsidP="008A4BC0">
      <w:pPr>
        <w:pStyle w:val="DGTextstand-alone"/>
        <w:rPr>
          <w:lang w:val="fr-BE"/>
        </w:rPr>
      </w:pPr>
    </w:p>
    <w:p w14:paraId="453767D9" w14:textId="77777777" w:rsidR="008A4BC0" w:rsidRDefault="008A4BC0" w:rsidP="008A4BC0">
      <w:pPr>
        <w:pStyle w:val="DGTextstand-alone"/>
        <w:rPr>
          <w:lang w:val="fr-BE"/>
        </w:rPr>
      </w:pPr>
    </w:p>
    <w:p w14:paraId="7997C326" w14:textId="77777777" w:rsidR="008A4BC0" w:rsidRDefault="008A4BC0" w:rsidP="008A4BC0">
      <w:pPr>
        <w:pStyle w:val="DGTextstand-alone"/>
        <w:rPr>
          <w:lang w:val="fr-BE"/>
        </w:rPr>
      </w:pPr>
    </w:p>
    <w:p w14:paraId="4E268868" w14:textId="77777777" w:rsidR="008A4BC0" w:rsidRDefault="008A4BC0" w:rsidP="008A4BC0">
      <w:pPr>
        <w:pStyle w:val="DGTextstand-alone"/>
        <w:rPr>
          <w:lang w:val="fr-BE"/>
        </w:rPr>
      </w:pPr>
    </w:p>
    <w:p w14:paraId="374BE482" w14:textId="77777777" w:rsidR="00A5463E" w:rsidRDefault="00A5463E" w:rsidP="008A4BC0">
      <w:pPr>
        <w:pStyle w:val="DGTextstand-alone"/>
        <w:rPr>
          <w:lang w:val="fr-BE"/>
        </w:rPr>
      </w:pPr>
    </w:p>
    <w:p w14:paraId="758A2A30" w14:textId="77777777" w:rsidR="00A5463E" w:rsidRDefault="00A5463E" w:rsidP="008A4BC0">
      <w:pPr>
        <w:pStyle w:val="DGTextstand-alone"/>
        <w:rPr>
          <w:lang w:val="fr-BE"/>
        </w:rPr>
      </w:pPr>
    </w:p>
    <w:p w14:paraId="508160E8" w14:textId="77777777" w:rsidR="00A5463E" w:rsidRDefault="00A5463E" w:rsidP="008A4BC0">
      <w:pPr>
        <w:pStyle w:val="DGTextstand-alone"/>
        <w:rPr>
          <w:lang w:val="fr-BE"/>
        </w:rPr>
      </w:pPr>
    </w:p>
    <w:p w14:paraId="0E6F8CA9" w14:textId="77777777" w:rsidR="00B231CF" w:rsidRPr="009C3EE5" w:rsidRDefault="00023E71" w:rsidP="008A4BC0">
      <w:pPr>
        <w:pStyle w:val="HEADERTITLE1"/>
        <w:rPr>
          <w:rFonts w:eastAsia="Calibri"/>
          <w:sz w:val="40"/>
          <w:szCs w:val="40"/>
          <w:lang w:val="en-IE"/>
        </w:rPr>
      </w:pPr>
      <w:bookmarkStart w:id="72" w:name="_Toc232438937"/>
      <w:bookmarkStart w:id="73" w:name="_Toc232674977"/>
      <w:r w:rsidRPr="009C3EE5">
        <w:rPr>
          <w:rFonts w:eastAsia="Calibri"/>
          <w:sz w:val="40"/>
          <w:szCs w:val="40"/>
          <w:lang w:val="en-IE"/>
        </w:rPr>
        <w:t>NOTES TO THE FINANCIAL STATEMENTS</w:t>
      </w:r>
      <w:bookmarkEnd w:id="72"/>
      <w:bookmarkEnd w:id="73"/>
    </w:p>
    <w:p w14:paraId="6873E3D8" w14:textId="77777777" w:rsidR="00A5463E" w:rsidRPr="009C3EE5" w:rsidRDefault="00A5463E" w:rsidP="008A4BC0">
      <w:pPr>
        <w:pStyle w:val="DGTextstand-alone"/>
        <w:rPr>
          <w:lang w:val="en-IE"/>
        </w:rPr>
      </w:pPr>
    </w:p>
    <w:p w14:paraId="40F8B501" w14:textId="77777777" w:rsidR="00A5463E" w:rsidRPr="009C3EE5" w:rsidRDefault="00A5463E" w:rsidP="008A4BC0">
      <w:pPr>
        <w:pStyle w:val="DGTextstand-alone"/>
        <w:rPr>
          <w:lang w:val="en-IE"/>
        </w:rPr>
      </w:pPr>
    </w:p>
    <w:p w14:paraId="2044B18B" w14:textId="77777777" w:rsidR="00A5463E" w:rsidRPr="009C3EE5" w:rsidRDefault="00A5463E" w:rsidP="008A4BC0">
      <w:pPr>
        <w:pStyle w:val="DGTextstand-alone"/>
        <w:rPr>
          <w:lang w:val="en-IE"/>
        </w:rPr>
      </w:pPr>
    </w:p>
    <w:p w14:paraId="065BF498" w14:textId="77777777" w:rsidR="009C3EE5" w:rsidRDefault="009C3EE5" w:rsidP="009C3EE5">
      <w:pPr>
        <w:pStyle w:val="TOPHEADERNOTE"/>
        <w:jc w:val="both"/>
        <w:rPr>
          <w:noProof/>
        </w:rPr>
      </w:pPr>
    </w:p>
    <w:p w14:paraId="10C32F8E" w14:textId="77777777" w:rsidR="009C3EE5" w:rsidRDefault="009C3EE5" w:rsidP="009C3EE5">
      <w:pPr>
        <w:pStyle w:val="TOPHEADERNOTE"/>
        <w:jc w:val="both"/>
        <w:rPr>
          <w:noProof/>
        </w:rPr>
      </w:pPr>
    </w:p>
    <w:p w14:paraId="2B04273D" w14:textId="77777777" w:rsidR="009C3EE5" w:rsidRDefault="009C3EE5" w:rsidP="009C3EE5">
      <w:pPr>
        <w:pStyle w:val="TOPHEADERNOTE"/>
        <w:jc w:val="both"/>
        <w:rPr>
          <w:noProof/>
        </w:rPr>
      </w:pPr>
    </w:p>
    <w:p w14:paraId="59622208" w14:textId="77777777" w:rsidR="009C3EE5" w:rsidRDefault="009C3EE5" w:rsidP="009C3EE5">
      <w:pPr>
        <w:pStyle w:val="TOPHEADERNOTE"/>
        <w:jc w:val="both"/>
        <w:rPr>
          <w:noProof/>
        </w:rPr>
      </w:pPr>
    </w:p>
    <w:p w14:paraId="24C062B3" w14:textId="77777777" w:rsidR="009C3EE5" w:rsidRDefault="009C3EE5" w:rsidP="009C3EE5">
      <w:pPr>
        <w:pStyle w:val="TOPHEADERNOTE"/>
        <w:jc w:val="both"/>
        <w:rPr>
          <w:noProof/>
        </w:rPr>
      </w:pPr>
    </w:p>
    <w:p w14:paraId="0397460C" w14:textId="77777777" w:rsidR="009C3EE5" w:rsidRDefault="009C3EE5" w:rsidP="009C3EE5">
      <w:pPr>
        <w:pStyle w:val="TOPHEADERNOTE"/>
        <w:jc w:val="both"/>
        <w:rPr>
          <w:noProof/>
        </w:rPr>
      </w:pPr>
    </w:p>
    <w:p w14:paraId="5D66E5BE" w14:textId="77777777" w:rsidR="009C3EE5" w:rsidRDefault="009C3EE5" w:rsidP="009C3EE5">
      <w:pPr>
        <w:pStyle w:val="TOPHEADERNOTE"/>
        <w:jc w:val="both"/>
        <w:rPr>
          <w:noProof/>
        </w:rPr>
      </w:pPr>
    </w:p>
    <w:p w14:paraId="4F888A61" w14:textId="77777777" w:rsidR="009C3EE5" w:rsidRDefault="009C3EE5" w:rsidP="009C3EE5">
      <w:pPr>
        <w:pStyle w:val="TOPHEADERNOTE"/>
        <w:jc w:val="both"/>
        <w:rPr>
          <w:noProof/>
        </w:rPr>
      </w:pPr>
    </w:p>
    <w:p w14:paraId="44319BB5" w14:textId="77777777" w:rsidR="009C3EE5" w:rsidRDefault="009C3EE5" w:rsidP="009C3EE5">
      <w:pPr>
        <w:pStyle w:val="TOPHEADERNOTE"/>
        <w:jc w:val="both"/>
        <w:rPr>
          <w:noProof/>
        </w:rPr>
      </w:pPr>
    </w:p>
    <w:p w14:paraId="3E2F3AE2" w14:textId="77777777" w:rsidR="009C3EE5" w:rsidRDefault="009C3EE5" w:rsidP="009C3EE5">
      <w:pPr>
        <w:pStyle w:val="TOPHEADERNOTE"/>
        <w:jc w:val="both"/>
        <w:rPr>
          <w:noProof/>
        </w:rPr>
      </w:pPr>
    </w:p>
    <w:p w14:paraId="34F2B88F" w14:textId="77777777" w:rsidR="009C3EE5" w:rsidRDefault="009C3EE5" w:rsidP="009C3EE5">
      <w:pPr>
        <w:pStyle w:val="TOPHEADERNOTE"/>
        <w:jc w:val="both"/>
        <w:rPr>
          <w:noProof/>
        </w:rPr>
      </w:pPr>
    </w:p>
    <w:p w14:paraId="5E9F123A" w14:textId="77777777" w:rsidR="009C3EE5" w:rsidRDefault="009C3EE5" w:rsidP="009C3EE5">
      <w:pPr>
        <w:pStyle w:val="TOPHEADERNOTE"/>
        <w:jc w:val="both"/>
        <w:rPr>
          <w:noProof/>
        </w:rPr>
      </w:pPr>
    </w:p>
    <w:p w14:paraId="178B1177" w14:textId="77777777" w:rsidR="009C3EE5" w:rsidRDefault="009C3EE5" w:rsidP="009C3EE5">
      <w:pPr>
        <w:pStyle w:val="TOPHEADERNOTE"/>
        <w:jc w:val="both"/>
        <w:rPr>
          <w:noProof/>
        </w:rPr>
      </w:pPr>
    </w:p>
    <w:p w14:paraId="4D29C644" w14:textId="77777777" w:rsidR="009C3EE5" w:rsidRDefault="009C3EE5" w:rsidP="009C3EE5">
      <w:pPr>
        <w:pStyle w:val="TOPHEADERNOTE"/>
        <w:jc w:val="both"/>
        <w:rPr>
          <w:noProof/>
        </w:rPr>
      </w:pPr>
    </w:p>
    <w:p w14:paraId="56A7F5D8" w14:textId="77777777" w:rsidR="009C3EE5" w:rsidRDefault="009C3EE5" w:rsidP="009C3EE5">
      <w:pPr>
        <w:pStyle w:val="TOPHEADERNOTE"/>
        <w:jc w:val="both"/>
        <w:rPr>
          <w:noProof/>
        </w:rPr>
      </w:pPr>
    </w:p>
    <w:p w14:paraId="048F42D4" w14:textId="77777777" w:rsidR="009C3EE5" w:rsidRDefault="009C3EE5" w:rsidP="009C3EE5">
      <w:pPr>
        <w:pStyle w:val="TOPHEADERNOTE"/>
        <w:jc w:val="both"/>
        <w:rPr>
          <w:noProof/>
        </w:rPr>
      </w:pPr>
    </w:p>
    <w:p w14:paraId="07036CF3" w14:textId="77777777" w:rsidR="009C3EE5" w:rsidRDefault="009C3EE5" w:rsidP="009C3EE5">
      <w:pPr>
        <w:pStyle w:val="TOPHEADERNOTE"/>
        <w:jc w:val="both"/>
        <w:rPr>
          <w:noProof/>
        </w:rPr>
      </w:pPr>
    </w:p>
    <w:p w14:paraId="29776704" w14:textId="77777777" w:rsidR="009C3EE5" w:rsidRDefault="009C3EE5" w:rsidP="009C3EE5">
      <w:pPr>
        <w:pStyle w:val="TOPHEADERNOTE"/>
        <w:jc w:val="both"/>
        <w:rPr>
          <w:noProof/>
        </w:rPr>
      </w:pPr>
    </w:p>
    <w:p w14:paraId="64B7DBE4" w14:textId="77777777" w:rsidR="009C3EE5" w:rsidRDefault="009C3EE5" w:rsidP="009C3EE5">
      <w:pPr>
        <w:pStyle w:val="TOPHEADERNOTE"/>
        <w:jc w:val="both"/>
        <w:rPr>
          <w:noProof/>
        </w:rPr>
      </w:pPr>
    </w:p>
    <w:p w14:paraId="7C7BB90E" w14:textId="77777777" w:rsidR="009C3EE5" w:rsidRDefault="009C3EE5" w:rsidP="009C3EE5">
      <w:pPr>
        <w:pStyle w:val="TOPHEADERNOTE"/>
        <w:jc w:val="both"/>
        <w:rPr>
          <w:noProof/>
        </w:rPr>
      </w:pPr>
    </w:p>
    <w:p w14:paraId="31773843" w14:textId="77777777" w:rsidR="009C3EE5" w:rsidRDefault="009C3EE5" w:rsidP="009C3EE5">
      <w:pPr>
        <w:pStyle w:val="TOPHEADERNOTE"/>
        <w:jc w:val="both"/>
        <w:rPr>
          <w:noProof/>
        </w:rPr>
      </w:pPr>
    </w:p>
    <w:p w14:paraId="45B624A7" w14:textId="77777777" w:rsidR="00A5463E" w:rsidRDefault="00023E71" w:rsidP="009C3EE5">
      <w:pPr>
        <w:pStyle w:val="TOPHEADERNOTE"/>
        <w:jc w:val="both"/>
        <w:rPr>
          <w:noProof/>
        </w:rPr>
      </w:pPr>
      <w:r>
        <w:rPr>
          <w:noProof/>
        </w:rPr>
        <w:t>Note that in the following tables amounts concerning the UK for MFFs up to the end of 2020 are still shown under the heading 'Member States'. This is because although the UK withdrew from the EU on 1 February 2020, in accordance with the Withdrawal Agreement, it continued to have a financial relationship with the EU equivalent to that of a Member State for these periods.</w:t>
      </w:r>
    </w:p>
    <w:bookmarkEnd w:id="71"/>
    <w:p w14:paraId="77A8EAFD" w14:textId="77777777" w:rsidR="005A3454" w:rsidRPr="009C3EE5" w:rsidRDefault="005A3454" w:rsidP="009C3EE5">
      <w:pPr>
        <w:pStyle w:val="TOPHEADERNOTE"/>
        <w:jc w:val="both"/>
        <w:rPr>
          <w:noProof/>
        </w:rPr>
        <w:sectPr w:rsidR="005A3454" w:rsidRPr="009C3EE5">
          <w:headerReference w:type="default" r:id="rId63"/>
          <w:footerReference w:type="default" r:id="rId64"/>
          <w:pgSz w:w="11906" w:h="16838"/>
          <w:pgMar w:top="1134" w:right="1134" w:bottom="1134" w:left="1134" w:header="709" w:footer="709" w:gutter="0"/>
          <w:cols w:space="708"/>
          <w:docGrid w:linePitch="360"/>
        </w:sectPr>
      </w:pPr>
    </w:p>
    <w:p w14:paraId="264BE153" w14:textId="77777777" w:rsidR="00B231CF" w:rsidRDefault="00023E71" w:rsidP="00E34248">
      <w:pPr>
        <w:pStyle w:val="HEADER1NOTES"/>
        <w:tabs>
          <w:tab w:val="clear" w:pos="907"/>
        </w:tabs>
        <w:rPr>
          <w:noProof/>
          <w:lang w:val="fr-BE"/>
        </w:rPr>
      </w:pPr>
      <w:bookmarkStart w:id="74" w:name="_Toc232438938"/>
      <w:bookmarkStart w:id="75" w:name="_DMBM_36782"/>
      <w:r w:rsidRPr="008E1B17">
        <w:rPr>
          <w:noProof/>
        </w:rPr>
        <w:t>SIGNIFICANT</w:t>
      </w:r>
      <w:r>
        <w:rPr>
          <w:noProof/>
          <w:lang w:val="fr-BE"/>
        </w:rPr>
        <w:t xml:space="preserve"> ACCOUNTING POLICIES</w:t>
      </w:r>
      <w:bookmarkEnd w:id="74"/>
    </w:p>
    <w:p w14:paraId="480FF8E8" w14:textId="77777777" w:rsidR="003D353B" w:rsidRDefault="00023E71" w:rsidP="0032730E">
      <w:pPr>
        <w:pStyle w:val="HEADER2NOTES"/>
        <w:jc w:val="both"/>
        <w:rPr>
          <w:noProof/>
          <w:lang w:val="fr-BE"/>
        </w:rPr>
      </w:pPr>
      <w:r>
        <w:rPr>
          <w:noProof/>
          <w:lang w:val="fr-BE"/>
        </w:rPr>
        <w:t xml:space="preserve">LEGAL </w:t>
      </w:r>
      <w:r w:rsidRPr="003B6C5C">
        <w:rPr>
          <w:noProof/>
        </w:rPr>
        <w:t>BASIS</w:t>
      </w:r>
      <w:r>
        <w:rPr>
          <w:noProof/>
          <w:lang w:val="fr-BE"/>
        </w:rPr>
        <w:t xml:space="preserve"> AND ACCOUNTING RULES</w:t>
      </w:r>
    </w:p>
    <w:p w14:paraId="27CCA843" w14:textId="77777777" w:rsidR="003D353B" w:rsidRDefault="00023E71" w:rsidP="003D353B">
      <w:pPr>
        <w:pStyle w:val="DGTextstand-alone"/>
      </w:pPr>
      <w:r>
        <w:t xml:space="preserve">The accounts of the EU are kept in accordance with </w:t>
      </w:r>
      <w:r w:rsidR="00851588">
        <w:t xml:space="preserve">Regulation (EU, Euratom) 2024/2509 of the European Parliament and of the Council of 23 September 2024 on the financial rules applicable to the general budget of the Union (recast), </w:t>
      </w:r>
      <w:r w:rsidRPr="00C26999">
        <w:t>OJ L, 2024/2509, 26.9.2024</w:t>
      </w:r>
      <w:r>
        <w:t xml:space="preserve">, </w:t>
      </w:r>
      <w:r w:rsidR="00851588">
        <w:t xml:space="preserve">referred to </w:t>
      </w:r>
      <w:r w:rsidR="008864C4">
        <w:t xml:space="preserve">below </w:t>
      </w:r>
      <w:r w:rsidR="00851588">
        <w:t>as the ‘Financial Regulation’ (FR)</w:t>
      </w:r>
      <w:r>
        <w:t>.</w:t>
      </w:r>
    </w:p>
    <w:p w14:paraId="715FCCDB" w14:textId="77777777" w:rsidR="003D353B" w:rsidRPr="00783A33" w:rsidRDefault="00023E71" w:rsidP="003D353B">
      <w:pPr>
        <w:pStyle w:val="DGTextstand-alone"/>
      </w:pPr>
      <w:r>
        <w:t xml:space="preserve">In accordance with Article 80 of the Financial Regulation, the EU prepares its financial statements on the basis of accrual-based accounting rules that are based on International Public Sector Accounting Standards (IPSAS). These </w:t>
      </w:r>
      <w:r w:rsidRPr="00783A33">
        <w:t xml:space="preserve">accounting rules, adopted by the Accounting Officer of the Commission, have to be applied by all the institutions and EU bodies falling within the scope of consolidation in order to </w:t>
      </w:r>
      <w:r w:rsidR="00553A51" w:rsidRPr="00783A33">
        <w:t>ensure the internal consistency of the EU consolidated accounts.</w:t>
      </w:r>
    </w:p>
    <w:p w14:paraId="0342E872" w14:textId="77777777" w:rsidR="003D353B" w:rsidRPr="00783A33" w:rsidRDefault="00023E71" w:rsidP="000D1AB5">
      <w:pPr>
        <w:pStyle w:val="HEADER5"/>
        <w:spacing w:before="240"/>
        <w:rPr>
          <w:noProof/>
        </w:rPr>
      </w:pPr>
      <w:r w:rsidRPr="00783A33">
        <w:rPr>
          <w:noProof/>
        </w:rPr>
        <w:t>Application of new and amended European Union Accounting Rules (EAR)</w:t>
      </w:r>
    </w:p>
    <w:p w14:paraId="38DC0CB2" w14:textId="77777777" w:rsidR="008073B0" w:rsidRPr="00783A33" w:rsidRDefault="00023E71" w:rsidP="00E40961">
      <w:pPr>
        <w:pStyle w:val="DGTextstand-alone"/>
      </w:pPr>
      <w:r>
        <w:rPr>
          <w:u w:val="single"/>
        </w:rPr>
        <w:t xml:space="preserve">New </w:t>
      </w:r>
      <w:r w:rsidR="00165090" w:rsidRPr="00783A33">
        <w:rPr>
          <w:u w:val="single"/>
        </w:rPr>
        <w:t>EAR effective for annual periods beginning on or after 1 January 202</w:t>
      </w:r>
      <w:r>
        <w:rPr>
          <w:u w:val="single"/>
        </w:rPr>
        <w:t>5</w:t>
      </w:r>
    </w:p>
    <w:p w14:paraId="6CDFD3BE" w14:textId="77777777" w:rsidR="009A04AF" w:rsidRPr="009A04AF" w:rsidRDefault="00023E71" w:rsidP="009A04AF">
      <w:pPr>
        <w:pStyle w:val="DGTextstand-alone"/>
        <w:spacing w:before="0"/>
        <w:rPr>
          <w:iCs/>
          <w:lang w:val="en-IE"/>
        </w:rPr>
      </w:pPr>
      <w:r w:rsidRPr="009A04AF">
        <w:rPr>
          <w:iCs/>
          <w:lang w:val="en-IE"/>
        </w:rPr>
        <w:t>EAR 1 ‘Financial Statements’</w:t>
      </w:r>
    </w:p>
    <w:p w14:paraId="61CB1103" w14:textId="77777777" w:rsidR="009A04AF" w:rsidRDefault="00023E71" w:rsidP="009A04AF">
      <w:pPr>
        <w:pStyle w:val="DGTextstand-alone"/>
        <w:spacing w:before="0"/>
        <w:rPr>
          <w:iCs/>
          <w:lang w:val="en-IE"/>
        </w:rPr>
      </w:pPr>
      <w:r>
        <w:rPr>
          <w:iCs/>
          <w:lang w:val="en-IE"/>
        </w:rPr>
        <w:t xml:space="preserve">On </w:t>
      </w:r>
      <w:r w:rsidR="004E57CD">
        <w:rPr>
          <w:iCs/>
          <w:lang w:val="en-IE"/>
        </w:rPr>
        <w:t xml:space="preserve">12 December </w:t>
      </w:r>
      <w:r>
        <w:rPr>
          <w:iCs/>
          <w:lang w:val="en-IE"/>
        </w:rPr>
        <w:t xml:space="preserve">2025 the Accounting Officer of the European Commission adopted a </w:t>
      </w:r>
      <w:r w:rsidR="004E57CD">
        <w:rPr>
          <w:iCs/>
          <w:lang w:val="en-IE"/>
        </w:rPr>
        <w:t xml:space="preserve">targeted amendment </w:t>
      </w:r>
      <w:r>
        <w:rPr>
          <w:iCs/>
          <w:lang w:val="en-IE"/>
        </w:rPr>
        <w:t xml:space="preserve">of </w:t>
      </w:r>
      <w:r w:rsidR="00C5551C">
        <w:rPr>
          <w:iCs/>
          <w:lang w:val="en-IE"/>
        </w:rPr>
        <w:t>EAR </w:t>
      </w:r>
      <w:r>
        <w:rPr>
          <w:iCs/>
          <w:lang w:val="en-IE"/>
        </w:rPr>
        <w:t xml:space="preserve">1 ‘Financial Statements’, which is effective for reporting periods beginning on or after </w:t>
      </w:r>
      <w:r w:rsidRPr="004E57CD">
        <w:rPr>
          <w:iCs/>
          <w:lang w:val="en-IE"/>
        </w:rPr>
        <w:t>1</w:t>
      </w:r>
      <w:r w:rsidR="00C5551C">
        <w:rPr>
          <w:iCs/>
          <w:lang w:val="en-IE"/>
        </w:rPr>
        <w:t> </w:t>
      </w:r>
      <w:r w:rsidRPr="004E57CD">
        <w:rPr>
          <w:iCs/>
          <w:lang w:val="en-IE"/>
        </w:rPr>
        <w:t>January 2025</w:t>
      </w:r>
      <w:r>
        <w:rPr>
          <w:iCs/>
          <w:lang w:val="en-IE"/>
        </w:rPr>
        <w:t>. The amendment introduce</w:t>
      </w:r>
      <w:r w:rsidR="004E57CD">
        <w:rPr>
          <w:iCs/>
          <w:lang w:val="en-IE"/>
        </w:rPr>
        <w:t>d</w:t>
      </w:r>
      <w:r>
        <w:rPr>
          <w:iCs/>
          <w:lang w:val="en-IE"/>
        </w:rPr>
        <w:t xml:space="preserve"> a principle-based approach to the definition of the segments to be presented in the segment report, which is a mandatory component of the EU consolidated annual accounts and the individual annual accounts of the European Commission. Under the </w:t>
      </w:r>
      <w:r w:rsidR="004E57CD">
        <w:rPr>
          <w:iCs/>
          <w:lang w:val="en-IE"/>
        </w:rPr>
        <w:t xml:space="preserve">previous </w:t>
      </w:r>
      <w:r>
        <w:rPr>
          <w:iCs/>
          <w:lang w:val="en-IE"/>
        </w:rPr>
        <w:t xml:space="preserve">EAR 1, </w:t>
      </w:r>
      <w:r w:rsidR="004E57CD">
        <w:rPr>
          <w:iCs/>
          <w:lang w:val="en-IE"/>
        </w:rPr>
        <w:t xml:space="preserve">the definition of </w:t>
      </w:r>
      <w:r>
        <w:rPr>
          <w:iCs/>
          <w:lang w:val="en-IE"/>
        </w:rPr>
        <w:t xml:space="preserve">segments </w:t>
      </w:r>
      <w:r w:rsidR="004E57CD">
        <w:rPr>
          <w:iCs/>
          <w:lang w:val="en-IE"/>
        </w:rPr>
        <w:t xml:space="preserve">was </w:t>
      </w:r>
      <w:r>
        <w:rPr>
          <w:iCs/>
          <w:lang w:val="en-IE"/>
        </w:rPr>
        <w:t xml:space="preserve">linked to </w:t>
      </w:r>
      <w:r w:rsidR="004E57CD">
        <w:rPr>
          <w:iCs/>
          <w:lang w:val="en-IE"/>
        </w:rPr>
        <w:t xml:space="preserve">the </w:t>
      </w:r>
      <w:r>
        <w:rPr>
          <w:iCs/>
          <w:lang w:val="en-IE"/>
        </w:rPr>
        <w:t>categories of the EU’s multi</w:t>
      </w:r>
      <w:r w:rsidR="00C5551C">
        <w:rPr>
          <w:iCs/>
          <w:lang w:val="en-IE"/>
        </w:rPr>
        <w:t xml:space="preserve">-annual financial </w:t>
      </w:r>
      <w:r>
        <w:rPr>
          <w:iCs/>
          <w:lang w:val="en-IE"/>
        </w:rPr>
        <w:t xml:space="preserve">framework (MFF). </w:t>
      </w:r>
      <w:r w:rsidR="004E57CD" w:rsidRPr="004E57CD">
        <w:rPr>
          <w:iCs/>
          <w:lang w:val="en-IE"/>
        </w:rPr>
        <w:t>The targeted amendment removed this link and defines segments generically in accordance with IPSAS</w:t>
      </w:r>
      <w:r w:rsidR="00C5551C">
        <w:rPr>
          <w:iCs/>
          <w:lang w:val="en-IE"/>
        </w:rPr>
        <w:t> </w:t>
      </w:r>
      <w:r w:rsidR="004E57CD" w:rsidRPr="004E57CD">
        <w:rPr>
          <w:iCs/>
          <w:lang w:val="en-IE"/>
        </w:rPr>
        <w:t>18 ‘Segment Reporting’. Following the adoption of the targeted amendment, the structure of the Segment Report was revised to focus on fund destinations rather than fund sources</w:t>
      </w:r>
      <w:r>
        <w:rPr>
          <w:iCs/>
          <w:lang w:val="en-IE"/>
        </w:rPr>
        <w:t xml:space="preserve"> (see Note </w:t>
      </w:r>
      <w:r w:rsidRPr="00292268">
        <w:rPr>
          <w:b/>
          <w:bCs/>
          <w:iCs/>
          <w:lang w:val="en-IE"/>
        </w:rPr>
        <w:t>3.</w:t>
      </w:r>
      <w:r w:rsidR="004E57CD">
        <w:rPr>
          <w:b/>
          <w:bCs/>
          <w:iCs/>
          <w:lang w:val="en-IE"/>
        </w:rPr>
        <w:t>17</w:t>
      </w:r>
      <w:r>
        <w:rPr>
          <w:iCs/>
          <w:lang w:val="en-IE"/>
        </w:rPr>
        <w:t>).</w:t>
      </w:r>
    </w:p>
    <w:p w14:paraId="46589CFF" w14:textId="77777777" w:rsidR="00C0160C" w:rsidRPr="00783A33" w:rsidRDefault="00023E71" w:rsidP="000D1AB5">
      <w:pPr>
        <w:pStyle w:val="DGTextstand-alone"/>
        <w:rPr>
          <w:u w:val="single"/>
        </w:rPr>
      </w:pPr>
      <w:r w:rsidRPr="00783A33">
        <w:rPr>
          <w:u w:val="single"/>
        </w:rPr>
        <w:t>New EAR adopted but not yet effective at 31 December 202</w:t>
      </w:r>
      <w:r w:rsidR="004C055C">
        <w:rPr>
          <w:u w:val="single"/>
        </w:rPr>
        <w:t>5</w:t>
      </w:r>
    </w:p>
    <w:p w14:paraId="508BB49C" w14:textId="77777777" w:rsidR="004C055C" w:rsidRDefault="00023E71" w:rsidP="004C055C">
      <w:pPr>
        <w:pStyle w:val="DGTextstand-alone"/>
      </w:pPr>
      <w:r>
        <w:t>EAR 8 ‘Leases’</w:t>
      </w:r>
    </w:p>
    <w:p w14:paraId="1A9C9393" w14:textId="77777777" w:rsidR="004C055C" w:rsidRDefault="00023E71" w:rsidP="004C055C">
      <w:pPr>
        <w:pStyle w:val="DGTextstand-alone"/>
      </w:pPr>
      <w:r>
        <w:t>On 15 April 2025 the Accounting Officer of the European Commission adopted the revised EAR</w:t>
      </w:r>
      <w:r w:rsidR="00C5551C">
        <w:t> </w:t>
      </w:r>
      <w:r>
        <w:t>8 ‘Leases’, which is effective for reporting periods beginning on or after 1</w:t>
      </w:r>
      <w:r w:rsidR="00C5551C">
        <w:t> </w:t>
      </w:r>
      <w:r>
        <w:t>January 2027. The revised EAR 8 has been updated in line with IPSAS</w:t>
      </w:r>
      <w:r w:rsidR="00C5551C">
        <w:t> </w:t>
      </w:r>
      <w:r>
        <w:t>43 ‘Leases’ (including the amendment ‘Concessionary Leases and Other Arrangements Conveying Rights over Assets’). The main change as compared to the current EAR</w:t>
      </w:r>
      <w:r w:rsidR="00C5551C">
        <w:t> </w:t>
      </w:r>
      <w:r>
        <w:t>8 is the introduction of a right-of-use recognition and measurement model, which requires lessees to recognise all leases, including concessionary leases, on the balance sheet, unless the short-term or low-value exemption applies. The current distinction of leases as either operating leases or finance leases, with only the latter recognised on the balance sheet, will no longer be applicable. For lessors, the revised EAR</w:t>
      </w:r>
      <w:r w:rsidR="00C5551C">
        <w:t> </w:t>
      </w:r>
      <w:r>
        <w:t xml:space="preserve">8 largely carries forward the existing accounting requirements, with additional guidance and clarifications. </w:t>
      </w:r>
      <w:r w:rsidR="00C5551C">
        <w:t>Consequently, t</w:t>
      </w:r>
      <w:r>
        <w:t>he initial application of the revised EAR</w:t>
      </w:r>
      <w:r w:rsidR="00C5551C">
        <w:t> </w:t>
      </w:r>
      <w:r>
        <w:t>8 is expected to result in the recognition of a considerable amount of former operating leases, with corresponding increases in right-of-use assets</w:t>
      </w:r>
      <w:r w:rsidR="00C5551C">
        <w:t xml:space="preserve"> and </w:t>
      </w:r>
      <w:r>
        <w:t xml:space="preserve">lease liabilities, </w:t>
      </w:r>
      <w:r w:rsidR="00C5551C">
        <w:t xml:space="preserve">on the balance sheet. The </w:t>
      </w:r>
      <w:r>
        <w:t>impact of the revised EAR</w:t>
      </w:r>
      <w:r w:rsidR="00C5551C">
        <w:t> </w:t>
      </w:r>
      <w:r>
        <w:t>8</w:t>
      </w:r>
      <w:r w:rsidR="00C5551C">
        <w:t>, including on concessionary leases and other relevant arrangements,</w:t>
      </w:r>
      <w:r>
        <w:t xml:space="preserve"> will continue to be assessed over the 2026 calendar year prior to the 1</w:t>
      </w:r>
      <w:r w:rsidR="00C5551C">
        <w:t> </w:t>
      </w:r>
      <w:r>
        <w:t>January 2027 effective date.</w:t>
      </w:r>
    </w:p>
    <w:p w14:paraId="03D62C26" w14:textId="77777777" w:rsidR="004C055C" w:rsidRDefault="00023E71" w:rsidP="004C055C">
      <w:pPr>
        <w:pStyle w:val="DGTextstand-alone"/>
      </w:pPr>
      <w:r>
        <w:t>EAR 1 ‘Financial Statements’</w:t>
      </w:r>
    </w:p>
    <w:p w14:paraId="4A6854B1" w14:textId="77777777" w:rsidR="004C055C" w:rsidRDefault="00023E71" w:rsidP="004C055C">
      <w:pPr>
        <w:pStyle w:val="DGTextstand-alone"/>
      </w:pPr>
      <w:r>
        <w:t xml:space="preserve">On 15 April 2025 the Accounting Officer of the European Commission adopted the amended </w:t>
      </w:r>
      <w:r w:rsidR="00C5551C">
        <w:t>EAR </w:t>
      </w:r>
      <w:r>
        <w:t xml:space="preserve">1 ‘Financial Statements’, which is effective for reporting periods beginning on or after 1 January 2027. The objective of the amendment is to </w:t>
      </w:r>
      <w:r w:rsidR="00C5551C">
        <w:t xml:space="preserve">ensure </w:t>
      </w:r>
      <w:r>
        <w:t>a consistent classification of all borrowings within financing activities. Under the current EAR</w:t>
      </w:r>
      <w:r w:rsidR="00C5551C">
        <w:t> </w:t>
      </w:r>
      <w:r>
        <w:t xml:space="preserve">1, borrowings related to </w:t>
      </w:r>
      <w:r w:rsidR="00C5551C">
        <w:t xml:space="preserve">leases, </w:t>
      </w:r>
      <w:r>
        <w:t xml:space="preserve">the acquisition of property, plant and equipment and borrowings related to back-to-back operations are classified within operating activities. Only borrowings related to the unified funding approach (see </w:t>
      </w:r>
      <w:r w:rsidR="00165090">
        <w:t>N</w:t>
      </w:r>
      <w:r>
        <w:t xml:space="preserve">ote </w:t>
      </w:r>
      <w:r w:rsidRPr="00165090">
        <w:rPr>
          <w:b/>
          <w:bCs/>
        </w:rPr>
        <w:t>2.11.1.1</w:t>
      </w:r>
      <w:r>
        <w:t>) are classified within financing activities. Under the revised EAR</w:t>
      </w:r>
      <w:r w:rsidR="00C5551C">
        <w:t> </w:t>
      </w:r>
      <w:r>
        <w:t xml:space="preserve">1, financing activities will include all activities that result in changes on the size and composition of borrowings, without the above exceptions. Consequently, the </w:t>
      </w:r>
      <w:r w:rsidR="00C5551C">
        <w:t xml:space="preserve">initial </w:t>
      </w:r>
      <w:r>
        <w:t>application of the revised EAR</w:t>
      </w:r>
      <w:r w:rsidR="00C5551C">
        <w:t> 1</w:t>
      </w:r>
      <w:r>
        <w:t xml:space="preserve"> </w:t>
      </w:r>
      <w:r w:rsidR="00C5551C">
        <w:t xml:space="preserve">is expected to </w:t>
      </w:r>
      <w:r>
        <w:t>result in a shift from cash flows from operating activities to cash flows from financing activities. The impact of the revised EAR</w:t>
      </w:r>
      <w:r w:rsidR="00C5551C">
        <w:t> </w:t>
      </w:r>
      <w:r>
        <w:t xml:space="preserve">1 will </w:t>
      </w:r>
      <w:r w:rsidR="00C5551C">
        <w:t xml:space="preserve">continue to be assessed over the 2026 calendar year prior to the 1 January </w:t>
      </w:r>
      <w:r>
        <w:t>2027</w:t>
      </w:r>
      <w:r w:rsidR="00C5551C">
        <w:t xml:space="preserve"> effective date</w:t>
      </w:r>
      <w:r>
        <w:t>.</w:t>
      </w:r>
    </w:p>
    <w:p w14:paraId="1F85EE8F" w14:textId="77777777" w:rsidR="003D353B" w:rsidRPr="00783A33" w:rsidRDefault="00023E71" w:rsidP="0032730E">
      <w:pPr>
        <w:pStyle w:val="HEADER2NOTES"/>
        <w:keepNext/>
        <w:jc w:val="both"/>
        <w:rPr>
          <w:noProof/>
        </w:rPr>
      </w:pPr>
      <w:r w:rsidRPr="00783A33">
        <w:rPr>
          <w:noProof/>
        </w:rPr>
        <w:t>ACCOUNTING PRINCIPLES</w:t>
      </w:r>
    </w:p>
    <w:p w14:paraId="701D98C5" w14:textId="77777777" w:rsidR="003D353B" w:rsidRDefault="00023E71" w:rsidP="003D353B">
      <w:pPr>
        <w:pStyle w:val="DGTextstand-alone"/>
      </w:pPr>
      <w:r>
        <w:t>The objective of financial statements is to provide information about the financial position, performance and cashflows of an entity that is useful to a wide range of users. For the EU as a public sector entity, the objectives are more specifically to provide information useful for decision-making, and to demonstrate the accountability of the entity for the resources entrusted to it. It is with these goals in mind that the present document has been drawn up.</w:t>
      </w:r>
    </w:p>
    <w:p w14:paraId="3A7ABFF1" w14:textId="77777777" w:rsidR="00657112" w:rsidRDefault="00023E71" w:rsidP="003D353B">
      <w:pPr>
        <w:pStyle w:val="DGTextstand-alone"/>
      </w:pPr>
      <w:r>
        <w:t xml:space="preserve">The overall considerations (or accounting principles) to be followed when preparing the financial statements are laid down in EU accounting rule 1 </w:t>
      </w:r>
      <w:r w:rsidR="00553A51">
        <w:t>‘</w:t>
      </w:r>
      <w:r>
        <w:t>Financial Statements</w:t>
      </w:r>
      <w:r w:rsidR="00553A51">
        <w:t>’</w:t>
      </w:r>
      <w:r>
        <w:t xml:space="preserve"> and are the same as those described in IPSAS 1: fair presentation, accrual basis, going concern, consistency of presentation, materiality, aggregation, offsetting and comparative information.</w:t>
      </w:r>
    </w:p>
    <w:p w14:paraId="12225C7E" w14:textId="77777777" w:rsidR="003D353B" w:rsidRDefault="00023E71" w:rsidP="003D353B">
      <w:pPr>
        <w:pStyle w:val="DGTextstand-alone"/>
      </w:pPr>
      <w:r>
        <w:t xml:space="preserve">The qualitative characteristics of financial reporting are relevance, </w:t>
      </w:r>
      <w:r w:rsidRPr="00B94E0C">
        <w:t xml:space="preserve">faithful representation (reliability), understandability, timeliness, </w:t>
      </w:r>
      <w:r>
        <w:t>comparability and verifiability.</w:t>
      </w:r>
    </w:p>
    <w:p w14:paraId="4B42FC61" w14:textId="77777777" w:rsidR="003D353B" w:rsidRPr="003B6C5C" w:rsidRDefault="00023E71" w:rsidP="0032730E">
      <w:pPr>
        <w:pStyle w:val="HEADER2NOTES"/>
        <w:jc w:val="both"/>
        <w:rPr>
          <w:noProof/>
        </w:rPr>
      </w:pPr>
      <w:r w:rsidRPr="003B6C5C">
        <w:rPr>
          <w:noProof/>
        </w:rPr>
        <w:t>CONSOLIDATION</w:t>
      </w:r>
    </w:p>
    <w:p w14:paraId="63D8EE53" w14:textId="77777777" w:rsidR="003D353B" w:rsidRPr="00677A47" w:rsidRDefault="00023E71" w:rsidP="003D353B">
      <w:pPr>
        <w:pStyle w:val="HEADER5"/>
        <w:rPr>
          <w:b/>
          <w:noProof/>
        </w:rPr>
      </w:pPr>
      <w:r w:rsidRPr="00677A47">
        <w:rPr>
          <w:noProof/>
        </w:rPr>
        <w:t>Scope of consolidation</w:t>
      </w:r>
    </w:p>
    <w:p w14:paraId="143BE53C" w14:textId="77777777" w:rsidR="00657112" w:rsidRDefault="00023E71" w:rsidP="00657112">
      <w:pPr>
        <w:pStyle w:val="DGTextstand-alone"/>
      </w:pPr>
      <w:r w:rsidRPr="007977BB">
        <w:t>The consolidated financial statements of the EU comprise all significant controlled entities</w:t>
      </w:r>
      <w:r>
        <w:t xml:space="preserve">, joint arrangements and </w:t>
      </w:r>
      <w:r w:rsidRPr="007977BB">
        <w:t>associates.</w:t>
      </w:r>
      <w:r>
        <w:t xml:space="preserve"> The complete list of entities falling under the scope of consolidation, which now </w:t>
      </w:r>
      <w:r w:rsidRPr="00553A51">
        <w:t>comprise</w:t>
      </w:r>
      <w:r>
        <w:t>s 54</w:t>
      </w:r>
      <w:r w:rsidRPr="00553A51">
        <w:t xml:space="preserve"> controlled entities and 1 associate</w:t>
      </w:r>
      <w:r w:rsidR="000C010B">
        <w:t xml:space="preserve"> (</w:t>
      </w:r>
      <w:r>
        <w:t>unchanged</w:t>
      </w:r>
      <w:r w:rsidR="00851588">
        <w:t xml:space="preserve"> </w:t>
      </w:r>
      <w:r w:rsidR="00CD1B1B">
        <w:t>compared to 202</w:t>
      </w:r>
      <w:r>
        <w:t>4</w:t>
      </w:r>
      <w:r w:rsidR="000C010B">
        <w:t>)</w:t>
      </w:r>
      <w:r>
        <w:t xml:space="preserve">, can be found in </w:t>
      </w:r>
      <w:r w:rsidR="004C055C">
        <w:t>N</w:t>
      </w:r>
      <w:r>
        <w:t xml:space="preserve">ote </w:t>
      </w:r>
      <w:r w:rsidRPr="00BA6726">
        <w:rPr>
          <w:b/>
        </w:rPr>
        <w:t>9</w:t>
      </w:r>
      <w:r>
        <w:t>.</w:t>
      </w:r>
      <w:r w:rsidR="00E975D8">
        <w:t xml:space="preserve"> </w:t>
      </w:r>
      <w:r>
        <w:t xml:space="preserve">Among the controlled entities are the EU institutions (including the Commission, but not the European Central Bank) </w:t>
      </w:r>
      <w:r w:rsidR="008864C4">
        <w:t>and the EU agencies (except those acting in the area of the common and foreign security policy)</w:t>
      </w:r>
      <w:r>
        <w:t>. T</w:t>
      </w:r>
      <w:r w:rsidRPr="00657112">
        <w:t xml:space="preserve">he European Coal and Steel Community in Liquidation </w:t>
      </w:r>
      <w:r>
        <w:t xml:space="preserve">(ECSC i.L.) </w:t>
      </w:r>
      <w:r w:rsidRPr="00657112">
        <w:t>is also considered as a controlled entity</w:t>
      </w:r>
      <w:r>
        <w:t>. The EU’s only associate is the European Investment Fund (EIF).</w:t>
      </w:r>
    </w:p>
    <w:p w14:paraId="58D5E4AB" w14:textId="77777777" w:rsidR="004C055C" w:rsidRDefault="00023E71" w:rsidP="00C26999">
      <w:pPr>
        <w:pStyle w:val="DGTextstand-alone"/>
      </w:pPr>
      <w:r w:rsidRPr="007977BB">
        <w:t xml:space="preserve">Entities </w:t>
      </w:r>
      <w:r w:rsidR="005A1DD5">
        <w:t xml:space="preserve">falling </w:t>
      </w:r>
      <w:r w:rsidRPr="007977BB">
        <w:t xml:space="preserve">under the scope </w:t>
      </w:r>
      <w:r w:rsidR="00657112">
        <w:t xml:space="preserve">of consolidation </w:t>
      </w:r>
      <w:r w:rsidRPr="007977BB">
        <w:t xml:space="preserve">but immaterial to the EU consolidated financial statements as a whole </w:t>
      </w:r>
      <w:r w:rsidR="00657112">
        <w:t xml:space="preserve">need </w:t>
      </w:r>
      <w:r>
        <w:t xml:space="preserve">not </w:t>
      </w:r>
      <w:r w:rsidR="00657112">
        <w:t xml:space="preserve">be </w:t>
      </w:r>
      <w:r w:rsidRPr="007977BB">
        <w:t xml:space="preserve">consolidated or accounted for using </w:t>
      </w:r>
      <w:r w:rsidR="005A1DD5">
        <w:t xml:space="preserve">the </w:t>
      </w:r>
      <w:r w:rsidRPr="007977BB">
        <w:t>equity method where to do so would result in exces</w:t>
      </w:r>
      <w:r w:rsidR="00463440">
        <w:t>sive time or cost to the EU. The</w:t>
      </w:r>
      <w:r w:rsidRPr="007977BB">
        <w:t xml:space="preserve">se entities are referred to as </w:t>
      </w:r>
      <w:r w:rsidR="00657112">
        <w:t>‘</w:t>
      </w:r>
      <w:r w:rsidRPr="007977BB">
        <w:t>Min</w:t>
      </w:r>
      <w:r w:rsidRPr="009114AD">
        <w:t>or entities</w:t>
      </w:r>
      <w:r w:rsidR="00657112">
        <w:t>’</w:t>
      </w:r>
      <w:r w:rsidRPr="009114AD">
        <w:t xml:space="preserve"> and are </w:t>
      </w:r>
      <w:r>
        <w:t xml:space="preserve">separately </w:t>
      </w:r>
      <w:r w:rsidRPr="009114AD">
        <w:t xml:space="preserve">listed in </w:t>
      </w:r>
      <w:r w:rsidR="00722DC1">
        <w:t>N</w:t>
      </w:r>
      <w:r w:rsidRPr="007977BB">
        <w:t xml:space="preserve">ote </w:t>
      </w:r>
      <w:r w:rsidRPr="007977BB">
        <w:rPr>
          <w:b/>
        </w:rPr>
        <w:t>9</w:t>
      </w:r>
      <w:r>
        <w:t>. In 2025, 11</w:t>
      </w:r>
      <w:r w:rsidRPr="007977BB">
        <w:t xml:space="preserve"> entities </w:t>
      </w:r>
      <w:r w:rsidRPr="007A7D41">
        <w:t>have</w:t>
      </w:r>
      <w:r w:rsidRPr="007977BB">
        <w:t xml:space="preserve"> been classified as</w:t>
      </w:r>
      <w:r w:rsidR="005A1DD5">
        <w:t xml:space="preserve"> </w:t>
      </w:r>
      <w:r w:rsidRPr="007977BB">
        <w:t>minor entities</w:t>
      </w:r>
      <w:r w:rsidR="000C010B">
        <w:t xml:space="preserve"> (202</w:t>
      </w:r>
      <w:r>
        <w:t>4</w:t>
      </w:r>
      <w:r w:rsidR="000C010B">
        <w:t xml:space="preserve">: </w:t>
      </w:r>
      <w:r>
        <w:t>11</w:t>
      </w:r>
      <w:r w:rsidR="000C010B">
        <w:t xml:space="preserve"> entities)</w:t>
      </w:r>
      <w:r w:rsidRPr="007977BB">
        <w:t>.</w:t>
      </w:r>
    </w:p>
    <w:p w14:paraId="20B264F7" w14:textId="77777777" w:rsidR="003D353B" w:rsidRPr="00677A47" w:rsidRDefault="00023E71" w:rsidP="003D353B">
      <w:pPr>
        <w:pStyle w:val="HEADER5"/>
        <w:rPr>
          <w:b/>
          <w:noProof/>
        </w:rPr>
      </w:pPr>
      <w:r w:rsidRPr="00677A47">
        <w:rPr>
          <w:noProof/>
        </w:rPr>
        <w:t>Controlled entities</w:t>
      </w:r>
    </w:p>
    <w:p w14:paraId="76D82055" w14:textId="77777777" w:rsidR="003D353B" w:rsidRDefault="00023E71" w:rsidP="003D353B">
      <w:pPr>
        <w:pStyle w:val="DGTextstand-alone"/>
        <w:spacing w:after="0"/>
      </w:pPr>
      <w:r>
        <w:t>In order to determine the scope of consolidation</w:t>
      </w:r>
      <w:r w:rsidR="00463440">
        <w:t>,</w:t>
      </w:r>
      <w:r>
        <w:t xml:space="preserve"> the </w:t>
      </w:r>
      <w:r w:rsidR="00E975D8">
        <w:t>control concept</w:t>
      </w:r>
      <w:r>
        <w:t xml:space="preserve"> is applied</w:t>
      </w:r>
      <w:r w:rsidR="00E975D8">
        <w:t>. Controlled entities are entities for which the EU is exposed, or has right, to variable benefits from its involvement and has the ability to affect the nature and amount of those benefits through its power over the other entity. This power must be presently exercisable and must relate to the relevant activities of the entity. Controlled entities are fully consolidated. The consolidation begins at the first date on which control exists, and ends when such control no longer exists.</w:t>
      </w:r>
    </w:p>
    <w:p w14:paraId="5C5D5D74" w14:textId="77777777" w:rsidR="003D353B" w:rsidRDefault="00023E71" w:rsidP="003D353B">
      <w:pPr>
        <w:pStyle w:val="DGTextstand-alone"/>
      </w:pPr>
      <w:r>
        <w:t>The most common indicators of control within the EU are: creation of the entity through founding treaties or secondary legislation, financing of the entity from the EU budget, the existence of voting rights in the governing bodies, audit by the European Court of Auditors and discharge by the European Parliament. An individual assessment for each entity is made in order to decide whether one or all of the criteria listed above are sufficient to result in control.</w:t>
      </w:r>
    </w:p>
    <w:p w14:paraId="04D71FA8" w14:textId="77777777" w:rsidR="003D353B" w:rsidRDefault="00023E71" w:rsidP="003D353B">
      <w:pPr>
        <w:pStyle w:val="DGTextstand-alone"/>
      </w:pPr>
      <w:r>
        <w:t>All material inter-entity transactions and balances between EU controlled entities are eliminated, while unrealised gains and losses on such transactions are not material and so have not been eliminated.</w:t>
      </w:r>
    </w:p>
    <w:p w14:paraId="4BE634D1" w14:textId="77777777" w:rsidR="003D353B" w:rsidRPr="00677A47" w:rsidRDefault="00023E71" w:rsidP="003D353B">
      <w:pPr>
        <w:pStyle w:val="HEADER5"/>
        <w:rPr>
          <w:b/>
          <w:noProof/>
        </w:rPr>
      </w:pPr>
      <w:r w:rsidRPr="00677A47">
        <w:rPr>
          <w:noProof/>
        </w:rPr>
        <w:t xml:space="preserve">Joint </w:t>
      </w:r>
      <w:r w:rsidR="008864C4">
        <w:rPr>
          <w:noProof/>
        </w:rPr>
        <w:t>a</w:t>
      </w:r>
      <w:r w:rsidRPr="00677A47">
        <w:rPr>
          <w:noProof/>
        </w:rPr>
        <w:t>rrangements</w:t>
      </w:r>
    </w:p>
    <w:p w14:paraId="59850606" w14:textId="77777777" w:rsidR="003D353B" w:rsidRDefault="00023E71" w:rsidP="003D353B">
      <w:pPr>
        <w:pStyle w:val="DGTextstand-alone"/>
      </w:pPr>
      <w:r>
        <w:t xml:space="preserve">A joint arrangement is an agreement </w:t>
      </w:r>
      <w:r w:rsidR="00553A51">
        <w:t xml:space="preserve">of </w:t>
      </w:r>
      <w:r>
        <w:t xml:space="preserve">which the EU and one or more parties have joint control. Joint control is </w:t>
      </w:r>
      <w:r w:rsidR="00553A51">
        <w:t xml:space="preserve">the agreed sharing of control of an arrangement by way of a binding arrangement, </w:t>
      </w:r>
      <w:r>
        <w:t xml:space="preserve">which exists only when decisions about the relevant activities require the unanimous consent of parties sharing control. Joint agreements can be either </w:t>
      </w:r>
      <w:r w:rsidR="00553A51">
        <w:t xml:space="preserve">joint ventures or </w:t>
      </w:r>
      <w:r>
        <w:t xml:space="preserve">joint operations. </w:t>
      </w:r>
      <w:r w:rsidR="00553A51">
        <w:t xml:space="preserve">A joint venture is a </w:t>
      </w:r>
      <w:r>
        <w:t xml:space="preserve">joint arrangement </w:t>
      </w:r>
      <w:r w:rsidR="00553A51">
        <w:t xml:space="preserve">that </w:t>
      </w:r>
      <w:r>
        <w:t xml:space="preserve">is structured through a separate vehicle and </w:t>
      </w:r>
      <w:r w:rsidR="00553A51">
        <w:t xml:space="preserve">whereby the </w:t>
      </w:r>
      <w:r>
        <w:t xml:space="preserve">parties </w:t>
      </w:r>
      <w:r w:rsidR="00553A51">
        <w:t xml:space="preserve">that have joint control of the arrangement </w:t>
      </w:r>
      <w:r>
        <w:t>have rights to the net assets of the arrangement</w:t>
      </w:r>
      <w:r w:rsidR="00553A51">
        <w:t xml:space="preserve">. </w:t>
      </w:r>
      <w:r>
        <w:t xml:space="preserve">Participations in joint ventures are accounted for using the equity method </w:t>
      </w:r>
      <w:r w:rsidRPr="009234E2">
        <w:t xml:space="preserve">(see </w:t>
      </w:r>
      <w:r w:rsidR="00722DC1">
        <w:t>N</w:t>
      </w:r>
      <w:r>
        <w:t xml:space="preserve">ote </w:t>
      </w:r>
      <w:r w:rsidRPr="00110036">
        <w:rPr>
          <w:b/>
        </w:rPr>
        <w:t>1.5.4</w:t>
      </w:r>
      <w:r w:rsidRPr="00110036">
        <w:t>).</w:t>
      </w:r>
      <w:r>
        <w:t xml:space="preserve"> </w:t>
      </w:r>
      <w:r w:rsidR="00553A51">
        <w:t xml:space="preserve">A joint operation is a joint arrangement whereby the parties that </w:t>
      </w:r>
      <w:r w:rsidR="00657112">
        <w:t>h</w:t>
      </w:r>
      <w:r w:rsidR="00553A51">
        <w:t>ave joint control of the arrangements have rig</w:t>
      </w:r>
      <w:r w:rsidR="00657112">
        <w:t>h</w:t>
      </w:r>
      <w:r w:rsidR="00553A51">
        <w:t>ts to the assets</w:t>
      </w:r>
      <w:r>
        <w:t>, and obligations for the liabilities, related to the arrangement</w:t>
      </w:r>
      <w:r w:rsidR="00553A51">
        <w:t xml:space="preserve">. Participations </w:t>
      </w:r>
      <w:r>
        <w:t>in joint operations</w:t>
      </w:r>
      <w:r w:rsidR="00553A51">
        <w:t xml:space="preserve"> are accounted for by </w:t>
      </w:r>
      <w:r>
        <w:t>recognis</w:t>
      </w:r>
      <w:r w:rsidR="00553A51">
        <w:t xml:space="preserve">ing in the EU’s </w:t>
      </w:r>
      <w:r>
        <w:t>financial statements its assets and liabilities, revenue</w:t>
      </w:r>
      <w:r w:rsidR="00463440">
        <w:t>s</w:t>
      </w:r>
      <w:r>
        <w:t xml:space="preserve"> and expense</w:t>
      </w:r>
      <w:r w:rsidR="00463440">
        <w:t>s</w:t>
      </w:r>
      <w:r>
        <w:t>, as well as its share of assets, liabilities, revenue</w:t>
      </w:r>
      <w:r w:rsidR="00463440">
        <w:t>s</w:t>
      </w:r>
      <w:r>
        <w:t xml:space="preserve"> and expense</w:t>
      </w:r>
      <w:r w:rsidR="00463440">
        <w:t>s</w:t>
      </w:r>
      <w:r>
        <w:t xml:space="preserve"> </w:t>
      </w:r>
      <w:r w:rsidR="00657112">
        <w:t xml:space="preserve">jointly </w:t>
      </w:r>
      <w:r>
        <w:t>held or incurred.</w:t>
      </w:r>
    </w:p>
    <w:p w14:paraId="5F44F4B0" w14:textId="77777777" w:rsidR="003D353B" w:rsidRPr="00677A47" w:rsidRDefault="00023E71" w:rsidP="003D353B">
      <w:pPr>
        <w:pStyle w:val="HEADER5"/>
        <w:rPr>
          <w:b/>
          <w:noProof/>
        </w:rPr>
      </w:pPr>
      <w:r w:rsidRPr="00677A47">
        <w:rPr>
          <w:noProof/>
        </w:rPr>
        <w:t>Associates</w:t>
      </w:r>
    </w:p>
    <w:p w14:paraId="736BDBFA" w14:textId="77777777" w:rsidR="003D353B" w:rsidRDefault="00023E71" w:rsidP="003D353B">
      <w:pPr>
        <w:pStyle w:val="DGTextstand-alone"/>
      </w:pPr>
      <w:r>
        <w:t xml:space="preserve">Associates are entities over which the EU has, directly or indirectly, significant influence but not </w:t>
      </w:r>
      <w:r w:rsidR="00657112">
        <w:t xml:space="preserve">exclusive or joint </w:t>
      </w:r>
      <w:r>
        <w:t xml:space="preserve">control. It is presumed that significant influence exists if the EU holds directly or indirectly 20% or more of the voting rights. Participations in associates are accounted for using the equity method (see </w:t>
      </w:r>
      <w:r w:rsidR="00722DC1">
        <w:t>N</w:t>
      </w:r>
      <w:r>
        <w:t xml:space="preserve">ote </w:t>
      </w:r>
      <w:r w:rsidRPr="00966B2B">
        <w:rPr>
          <w:b/>
        </w:rPr>
        <w:t>1.5.4</w:t>
      </w:r>
      <w:r>
        <w:t>).</w:t>
      </w:r>
    </w:p>
    <w:p w14:paraId="0BE2F012" w14:textId="77777777" w:rsidR="003D353B" w:rsidRPr="00677A47" w:rsidRDefault="00023E71" w:rsidP="003D353B">
      <w:pPr>
        <w:pStyle w:val="HEADER5"/>
        <w:rPr>
          <w:b/>
          <w:noProof/>
        </w:rPr>
      </w:pPr>
      <w:r w:rsidRPr="00677A47">
        <w:rPr>
          <w:noProof/>
        </w:rPr>
        <w:t xml:space="preserve">Non-consolidated entities </w:t>
      </w:r>
      <w:r w:rsidR="008864C4">
        <w:rPr>
          <w:noProof/>
        </w:rPr>
        <w:t xml:space="preserve">whose </w:t>
      </w:r>
      <w:r w:rsidRPr="00677A47">
        <w:rPr>
          <w:noProof/>
        </w:rPr>
        <w:t>funds are managed by the Commission</w:t>
      </w:r>
    </w:p>
    <w:p w14:paraId="1C20ABE5" w14:textId="77777777" w:rsidR="003D353B" w:rsidRDefault="00023E71" w:rsidP="003D353B">
      <w:pPr>
        <w:pStyle w:val="DGTextstand-alone"/>
      </w:pPr>
      <w:r>
        <w:t xml:space="preserve">The funds of the Joint Sickness Insurance Scheme for staff of the EU, the European Development Fund and the </w:t>
      </w:r>
      <w:r w:rsidR="004E57CD">
        <w:t xml:space="preserve">Mutual Insurance Mechanism (MIM), previously known as the Participants Guarantee Fund (PGF), </w:t>
      </w:r>
      <w:r>
        <w:t>are managed by the Commission on behalf of these entities. However, since these entities are not controlled by the EU, they are not consolidated in its financial statements.</w:t>
      </w:r>
    </w:p>
    <w:p w14:paraId="2C6F435D" w14:textId="77777777" w:rsidR="003D353B" w:rsidRPr="003B6C5C" w:rsidRDefault="00023E71" w:rsidP="0032730E">
      <w:pPr>
        <w:pStyle w:val="HEADER2NOTES"/>
        <w:jc w:val="both"/>
        <w:rPr>
          <w:noProof/>
        </w:rPr>
      </w:pPr>
      <w:r w:rsidRPr="003B6C5C">
        <w:rPr>
          <w:noProof/>
        </w:rPr>
        <w:t>BASIS OF PREPARATION</w:t>
      </w:r>
    </w:p>
    <w:p w14:paraId="43781217" w14:textId="77777777" w:rsidR="003D353B" w:rsidRDefault="00023E71" w:rsidP="003D353B">
      <w:pPr>
        <w:pStyle w:val="DGTextstand-alone"/>
      </w:pPr>
      <w:r w:rsidRPr="00432A85">
        <w:t>Financial statements are presented annually</w:t>
      </w:r>
      <w:r>
        <w:t xml:space="preserve"> in accordance with Article 249 of the Financial Regulation</w:t>
      </w:r>
      <w:r w:rsidRPr="00432A85">
        <w:t>. The accounting year beg</w:t>
      </w:r>
      <w:r>
        <w:t>ins on 1 January and ends on 31 </w:t>
      </w:r>
      <w:r w:rsidRPr="00432A85">
        <w:t>December.</w:t>
      </w:r>
    </w:p>
    <w:p w14:paraId="705AC4E2" w14:textId="77777777" w:rsidR="003D353B" w:rsidRPr="005D15F9" w:rsidRDefault="00023E71" w:rsidP="0032730E">
      <w:pPr>
        <w:pStyle w:val="HEADER3NOTES"/>
        <w:jc w:val="both"/>
        <w:rPr>
          <w:noProof/>
        </w:rPr>
      </w:pPr>
      <w:r w:rsidRPr="005D15F9">
        <w:rPr>
          <w:noProof/>
        </w:rPr>
        <w:t>Currency and basis for conversion</w:t>
      </w:r>
    </w:p>
    <w:p w14:paraId="65400BB5" w14:textId="77777777" w:rsidR="003D353B" w:rsidRPr="00677A47" w:rsidRDefault="00023E71" w:rsidP="003D353B">
      <w:pPr>
        <w:pStyle w:val="HEADER5"/>
        <w:rPr>
          <w:b/>
          <w:noProof/>
        </w:rPr>
      </w:pPr>
      <w:r w:rsidRPr="00677A47">
        <w:rPr>
          <w:noProof/>
        </w:rPr>
        <w:t>Functional and reporting currency</w:t>
      </w:r>
    </w:p>
    <w:p w14:paraId="650E1776" w14:textId="77777777" w:rsidR="003D353B" w:rsidRDefault="00023E71" w:rsidP="003D353B">
      <w:pPr>
        <w:pStyle w:val="DGTextstand-alone"/>
      </w:pPr>
      <w:r>
        <w:t>The financial statements are presented in millions of euro, unless stated otherwise, the euro being the EU</w:t>
      </w:r>
      <w:r w:rsidR="00657112">
        <w:t>’</w:t>
      </w:r>
      <w:r>
        <w:t>s functional currency.</w:t>
      </w:r>
    </w:p>
    <w:p w14:paraId="68A6FB9B" w14:textId="77777777" w:rsidR="003D353B" w:rsidRPr="00677A47" w:rsidRDefault="00023E71" w:rsidP="003D353B">
      <w:pPr>
        <w:pStyle w:val="HEADER5"/>
        <w:rPr>
          <w:b/>
          <w:noProof/>
        </w:rPr>
      </w:pPr>
      <w:r w:rsidRPr="00677A47">
        <w:rPr>
          <w:noProof/>
        </w:rPr>
        <w:t>Transactions and balances</w:t>
      </w:r>
    </w:p>
    <w:p w14:paraId="690F5F2B" w14:textId="77777777" w:rsidR="003D353B" w:rsidRDefault="00023E71" w:rsidP="003D353B">
      <w:pPr>
        <w:pStyle w:val="DGTextstand-alone"/>
        <w:spacing w:after="0"/>
      </w:pPr>
      <w:r>
        <w:t xml:space="preserve">Foreign currency transactions are translated into euro using the exchange rates prevailing </w:t>
      </w:r>
      <w:r w:rsidR="008864C4">
        <w:t>on</w:t>
      </w:r>
      <w:r>
        <w:t xml:space="preserve"> the dates of the transactions. Foreign exchange gains and losses resulting from the settlement of foreign currency transactions and from the re-translation at year-end exchange rates of monetary assets and liabilities denominated in foreign currencies are recognised in the statement of financial performance.</w:t>
      </w:r>
    </w:p>
    <w:p w14:paraId="0DC2EA1D" w14:textId="77777777" w:rsidR="003D353B" w:rsidRDefault="00023E71" w:rsidP="003D353B">
      <w:pPr>
        <w:pStyle w:val="DGTextstand-alone"/>
      </w:pPr>
      <w:r>
        <w:t xml:space="preserve">Different conversion methods apply to property, plant and equipment and intangible assets, which retain their value in euro at the rate that applied </w:t>
      </w:r>
      <w:r w:rsidR="008864C4">
        <w:t>on</w:t>
      </w:r>
      <w:r>
        <w:t xml:space="preserve"> the date </w:t>
      </w:r>
      <w:r w:rsidR="008864C4">
        <w:t>that</w:t>
      </w:r>
      <w:r>
        <w:t xml:space="preserve"> they were purchased.</w:t>
      </w:r>
    </w:p>
    <w:p w14:paraId="099C06D2" w14:textId="77777777" w:rsidR="003D353B" w:rsidRDefault="00023E71" w:rsidP="003D353B">
      <w:pPr>
        <w:pStyle w:val="DGTextstand-alone"/>
      </w:pPr>
      <w:r>
        <w:t>Year-end balances of monetary assets and liabilities denominated in foreign currencies are converted into euro on the basis of the European Central Bank (ECB) exchange rates applying on 31 December:</w:t>
      </w:r>
    </w:p>
    <w:p w14:paraId="41BE672D" w14:textId="77777777" w:rsidR="003D353B" w:rsidRDefault="00023E71" w:rsidP="002E6294">
      <w:pPr>
        <w:pStyle w:val="HEADER5"/>
        <w:spacing w:after="60"/>
        <w:rPr>
          <w:noProof/>
        </w:rPr>
      </w:pPr>
      <w:r w:rsidRPr="00A2706C">
        <w:rPr>
          <w:noProof/>
        </w:rPr>
        <w:t>Euro exchange rates</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705"/>
        <w:gridCol w:w="1705"/>
        <w:gridCol w:w="1420"/>
        <w:gridCol w:w="1705"/>
        <w:gridCol w:w="1705"/>
      </w:tblGrid>
      <w:tr w:rsidR="00807FFE" w14:paraId="3E39CFAA" w14:textId="77777777" w:rsidTr="002E6294">
        <w:trPr>
          <w:trHeight w:val="255"/>
        </w:trPr>
        <w:tc>
          <w:tcPr>
            <w:tcW w:w="1420" w:type="dxa"/>
            <w:tcBorders>
              <w:top w:val="nil"/>
              <w:left w:val="nil"/>
              <w:bottom w:val="nil"/>
              <w:right w:val="nil"/>
              <w:tl2br w:val="nil"/>
              <w:tr2bl w:val="nil"/>
            </w:tcBorders>
            <w:shd w:val="solid" w:color="016794" w:fill="FFFFFF"/>
            <w:tcMar>
              <w:left w:w="60" w:type="dxa"/>
              <w:right w:w="60" w:type="dxa"/>
            </w:tcMar>
            <w:vAlign w:val="center"/>
          </w:tcPr>
          <w:p w14:paraId="40890EBA" w14:textId="77777777" w:rsidR="00807FFE" w:rsidRDefault="00023E71">
            <w:pPr>
              <w:pStyle w:val="DMETW36718BIPCURR"/>
              <w:keepNext/>
              <w:rPr>
                <w:rFonts w:ascii="Verdana" w:eastAsia="Verdana" w:hAnsi="Verdana" w:cs="Verdana"/>
                <w:noProof/>
                <w:color w:val="FFFFFF"/>
                <w:lang w:bidi="en-GB"/>
              </w:rPr>
            </w:pPr>
            <w:bookmarkStart w:id="76" w:name="DOC_TBL00005_1_1"/>
            <w:bookmarkEnd w:id="76"/>
            <w:r>
              <w:rPr>
                <w:rFonts w:ascii="Verdana" w:eastAsia="Verdana" w:hAnsi="Verdana" w:cs="Verdana"/>
                <w:noProof/>
                <w:color w:val="FFFFFF"/>
                <w:lang w:bidi="en-GB"/>
              </w:rPr>
              <w:t>Currency</w:t>
            </w:r>
          </w:p>
        </w:tc>
        <w:tc>
          <w:tcPr>
            <w:tcW w:w="1705" w:type="dxa"/>
            <w:tcBorders>
              <w:top w:val="nil"/>
              <w:left w:val="nil"/>
              <w:bottom w:val="nil"/>
              <w:right w:val="nil"/>
              <w:tl2br w:val="nil"/>
              <w:tr2bl w:val="nil"/>
            </w:tcBorders>
            <w:shd w:val="solid" w:color="016794" w:fill="FFFFFF"/>
            <w:tcMar>
              <w:left w:w="60" w:type="dxa"/>
              <w:right w:w="60" w:type="dxa"/>
            </w:tcMar>
            <w:vAlign w:val="center"/>
          </w:tcPr>
          <w:p w14:paraId="6506C631" w14:textId="77777777" w:rsidR="00807FFE" w:rsidRDefault="00023E71">
            <w:pPr>
              <w:pStyle w:val="DMETW36718BIPCURR"/>
              <w:keepNext/>
              <w:jc w:val="right"/>
              <w:rPr>
                <w:rFonts w:ascii="Verdana" w:eastAsia="Verdana" w:hAnsi="Verdana" w:cs="Verdana"/>
                <w:noProof/>
                <w:color w:val="FFFFFF"/>
              </w:rPr>
            </w:pPr>
            <w:r>
              <w:rPr>
                <w:rFonts w:ascii="Verdana" w:eastAsia="Verdana" w:hAnsi="Verdana" w:cs="Verdana"/>
                <w:noProof/>
                <w:color w:val="FFFFFF"/>
              </w:rPr>
              <w:t>31.12.2025</w:t>
            </w:r>
          </w:p>
        </w:tc>
        <w:tc>
          <w:tcPr>
            <w:tcW w:w="1705" w:type="dxa"/>
            <w:tcBorders>
              <w:top w:val="nil"/>
              <w:left w:val="nil"/>
              <w:bottom w:val="nil"/>
              <w:right w:val="nil"/>
              <w:tl2br w:val="nil"/>
              <w:tr2bl w:val="nil"/>
            </w:tcBorders>
            <w:shd w:val="solid" w:color="016794" w:fill="FFFFFF"/>
            <w:tcMar>
              <w:left w:w="60" w:type="dxa"/>
              <w:right w:w="60" w:type="dxa"/>
            </w:tcMar>
            <w:vAlign w:val="center"/>
          </w:tcPr>
          <w:p w14:paraId="4FEE30B9" w14:textId="77777777" w:rsidR="00807FFE" w:rsidRDefault="00023E71">
            <w:pPr>
              <w:pStyle w:val="DMETW36718BIPCURR"/>
              <w:keepNext/>
              <w:jc w:val="right"/>
              <w:rPr>
                <w:rFonts w:ascii="Verdana" w:eastAsia="Verdana" w:hAnsi="Verdana" w:cs="Verdana"/>
                <w:noProof/>
                <w:color w:val="FFFFFF"/>
              </w:rPr>
            </w:pPr>
            <w:r>
              <w:rPr>
                <w:rFonts w:ascii="Verdana" w:eastAsia="Verdana" w:hAnsi="Verdana" w:cs="Verdana"/>
                <w:noProof/>
                <w:color w:val="FFFFFF"/>
              </w:rPr>
              <w:t>31.12.2024</w:t>
            </w:r>
          </w:p>
        </w:tc>
        <w:tc>
          <w:tcPr>
            <w:tcW w:w="1420" w:type="dxa"/>
            <w:tcBorders>
              <w:top w:val="nil"/>
              <w:left w:val="nil"/>
              <w:bottom w:val="nil"/>
              <w:right w:val="nil"/>
              <w:tl2br w:val="nil"/>
              <w:tr2bl w:val="nil"/>
            </w:tcBorders>
            <w:shd w:val="solid" w:color="016794" w:fill="FFFFFF"/>
            <w:tcMar>
              <w:left w:w="60" w:type="dxa"/>
              <w:right w:w="60" w:type="dxa"/>
            </w:tcMar>
            <w:vAlign w:val="center"/>
          </w:tcPr>
          <w:p w14:paraId="7FD00AC3" w14:textId="77777777" w:rsidR="00807FFE" w:rsidRDefault="00023E71">
            <w:pPr>
              <w:pStyle w:val="DMETW36718BIPCURR"/>
              <w:keepNext/>
              <w:rPr>
                <w:rFonts w:ascii="Verdana" w:eastAsia="Verdana" w:hAnsi="Verdana" w:cs="Verdana"/>
                <w:noProof/>
                <w:color w:val="FFFFFF"/>
              </w:rPr>
            </w:pPr>
            <w:r>
              <w:rPr>
                <w:rFonts w:ascii="Verdana" w:eastAsia="Verdana" w:hAnsi="Verdana" w:cs="Verdana"/>
                <w:noProof/>
                <w:color w:val="FFFFFF"/>
              </w:rPr>
              <w:t>Currency</w:t>
            </w:r>
          </w:p>
        </w:tc>
        <w:tc>
          <w:tcPr>
            <w:tcW w:w="1705" w:type="dxa"/>
            <w:tcBorders>
              <w:top w:val="nil"/>
              <w:left w:val="nil"/>
              <w:bottom w:val="nil"/>
              <w:right w:val="nil"/>
              <w:tl2br w:val="nil"/>
              <w:tr2bl w:val="nil"/>
            </w:tcBorders>
            <w:shd w:val="solid" w:color="016794" w:fill="FFFFFF"/>
            <w:tcMar>
              <w:left w:w="60" w:type="dxa"/>
              <w:right w:w="60" w:type="dxa"/>
            </w:tcMar>
            <w:vAlign w:val="center"/>
          </w:tcPr>
          <w:p w14:paraId="6B39C7B5" w14:textId="77777777" w:rsidR="00807FFE" w:rsidRDefault="00023E71">
            <w:pPr>
              <w:pStyle w:val="DMETW36718BIPCURR"/>
              <w:keepNext/>
              <w:jc w:val="right"/>
              <w:rPr>
                <w:rFonts w:ascii="Verdana" w:eastAsia="Verdana" w:hAnsi="Verdana" w:cs="Verdana"/>
                <w:noProof/>
                <w:color w:val="FFFFFF"/>
              </w:rPr>
            </w:pPr>
            <w:r>
              <w:rPr>
                <w:rFonts w:ascii="Verdana" w:eastAsia="Verdana" w:hAnsi="Verdana" w:cs="Verdana"/>
                <w:noProof/>
                <w:color w:val="FFFFFF"/>
              </w:rPr>
              <w:t>31.12.2025</w:t>
            </w:r>
          </w:p>
        </w:tc>
        <w:tc>
          <w:tcPr>
            <w:tcW w:w="1705" w:type="dxa"/>
            <w:tcBorders>
              <w:top w:val="nil"/>
              <w:left w:val="nil"/>
              <w:bottom w:val="nil"/>
              <w:right w:val="nil"/>
              <w:tl2br w:val="nil"/>
              <w:tr2bl w:val="nil"/>
            </w:tcBorders>
            <w:shd w:val="solid" w:color="016794" w:fill="FFFFFF"/>
            <w:tcMar>
              <w:left w:w="60" w:type="dxa"/>
              <w:right w:w="60" w:type="dxa"/>
            </w:tcMar>
            <w:vAlign w:val="center"/>
          </w:tcPr>
          <w:p w14:paraId="22AF681C" w14:textId="77777777" w:rsidR="00807FFE" w:rsidRDefault="00023E71">
            <w:pPr>
              <w:pStyle w:val="DMETW36718BIPCURR"/>
              <w:keepNext/>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480E511D" w14:textId="77777777" w:rsidTr="002E6294">
        <w:trPr>
          <w:trHeight w:val="255"/>
        </w:trPr>
        <w:tc>
          <w:tcPr>
            <w:tcW w:w="1420"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4AE09043"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BGN</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240B3C93"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1.9558</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5E1F8BE6" w14:textId="77777777" w:rsidR="00807FFE" w:rsidRDefault="00023E71">
            <w:pPr>
              <w:pStyle w:val="DMETW36718BIPCURR"/>
              <w:keepNext/>
              <w:jc w:val="right"/>
              <w:rPr>
                <w:rFonts w:ascii="Verdana" w:eastAsia="Verdana" w:hAnsi="Verdana" w:cs="Verdana"/>
                <w:i/>
                <w:noProof/>
                <w:color w:val="000000"/>
                <w:sz w:val="18"/>
              </w:rPr>
            </w:pPr>
            <w:r>
              <w:rPr>
                <w:rFonts w:ascii="Verdana" w:eastAsia="Verdana" w:hAnsi="Verdana" w:cs="Verdana"/>
                <w:i/>
                <w:noProof/>
                <w:color w:val="000000"/>
                <w:sz w:val="18"/>
              </w:rPr>
              <w:t>1.9558</w:t>
            </w:r>
          </w:p>
        </w:tc>
        <w:tc>
          <w:tcPr>
            <w:tcW w:w="1420"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7B46CEBE"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RON</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66764735"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5.0968</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6296A394" w14:textId="77777777" w:rsidR="00807FFE" w:rsidRDefault="00023E71">
            <w:pPr>
              <w:pStyle w:val="DMETW36718BIPCURR"/>
              <w:keepNext/>
              <w:jc w:val="right"/>
              <w:rPr>
                <w:rFonts w:ascii="Verdana" w:eastAsia="Verdana" w:hAnsi="Verdana" w:cs="Verdana"/>
                <w:i/>
                <w:noProof/>
                <w:color w:val="000000"/>
                <w:sz w:val="18"/>
                <w:lang w:bidi="en-GB"/>
              </w:rPr>
            </w:pPr>
            <w:r>
              <w:rPr>
                <w:rFonts w:ascii="Verdana" w:eastAsia="Verdana" w:hAnsi="Verdana" w:cs="Verdana"/>
                <w:i/>
                <w:noProof/>
                <w:color w:val="000000"/>
                <w:sz w:val="18"/>
              </w:rPr>
              <w:t>4.9743</w:t>
            </w:r>
          </w:p>
        </w:tc>
      </w:tr>
      <w:tr w:rsidR="00807FFE" w14:paraId="1199D0E9" w14:textId="77777777" w:rsidTr="002E6294">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84A9209"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CZK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0FD14E92"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24.2370</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6BBFEEB5" w14:textId="77777777" w:rsidR="00807FFE" w:rsidRDefault="00023E71">
            <w:pPr>
              <w:pStyle w:val="DMETW36718BIPCURR"/>
              <w:keepNext/>
              <w:jc w:val="right"/>
              <w:rPr>
                <w:rFonts w:ascii="Verdana" w:eastAsia="Verdana" w:hAnsi="Verdana" w:cs="Verdana"/>
                <w:i/>
                <w:noProof/>
                <w:color w:val="000000"/>
                <w:sz w:val="18"/>
              </w:rPr>
            </w:pPr>
            <w:r>
              <w:rPr>
                <w:rFonts w:ascii="Verdana" w:eastAsia="Verdana" w:hAnsi="Verdana" w:cs="Verdana"/>
                <w:i/>
                <w:noProof/>
                <w:color w:val="000000"/>
                <w:sz w:val="18"/>
              </w:rPr>
              <w:t>25.1850</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3D359462"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SEK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4B8A4C8B"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10.8215</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13A73B47" w14:textId="77777777" w:rsidR="00807FFE" w:rsidRDefault="00023E71">
            <w:pPr>
              <w:pStyle w:val="DMETW36718BIPCURR"/>
              <w:keepNext/>
              <w:jc w:val="right"/>
              <w:rPr>
                <w:rFonts w:ascii="Verdana" w:eastAsia="Verdana" w:hAnsi="Verdana" w:cs="Verdana"/>
                <w:i/>
                <w:noProof/>
                <w:color w:val="000000"/>
                <w:sz w:val="18"/>
                <w:lang w:bidi="en-GB"/>
              </w:rPr>
            </w:pPr>
            <w:r>
              <w:rPr>
                <w:rFonts w:ascii="Verdana" w:eastAsia="Verdana" w:hAnsi="Verdana" w:cs="Verdana"/>
                <w:i/>
                <w:noProof/>
                <w:color w:val="000000"/>
                <w:sz w:val="18"/>
              </w:rPr>
              <w:t>11.459</w:t>
            </w:r>
          </w:p>
        </w:tc>
      </w:tr>
      <w:tr w:rsidR="00807FFE" w14:paraId="11EEA726" w14:textId="77777777" w:rsidTr="002E6294">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54F0445F"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DKK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207BE687"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7.4689</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4C477FBD" w14:textId="77777777" w:rsidR="00807FFE" w:rsidRDefault="00023E71">
            <w:pPr>
              <w:pStyle w:val="DMETW36718BIPCURR"/>
              <w:keepNext/>
              <w:jc w:val="right"/>
              <w:rPr>
                <w:rFonts w:ascii="Verdana" w:eastAsia="Verdana" w:hAnsi="Verdana" w:cs="Verdana"/>
                <w:i/>
                <w:noProof/>
                <w:color w:val="000000"/>
                <w:sz w:val="18"/>
              </w:rPr>
            </w:pPr>
            <w:r>
              <w:rPr>
                <w:rFonts w:ascii="Verdana" w:eastAsia="Verdana" w:hAnsi="Verdana" w:cs="Verdana"/>
                <w:i/>
                <w:noProof/>
                <w:color w:val="000000"/>
                <w:sz w:val="18"/>
              </w:rPr>
              <w:t>7.4578</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DFC666D"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CHF</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06F24B9A"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0.9314</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184B0AEB" w14:textId="77777777" w:rsidR="00807FFE" w:rsidRDefault="00023E71">
            <w:pPr>
              <w:pStyle w:val="DMETW36718BIPCURR"/>
              <w:keepNext/>
              <w:jc w:val="right"/>
              <w:rPr>
                <w:rFonts w:ascii="Verdana" w:eastAsia="Verdana" w:hAnsi="Verdana" w:cs="Verdana"/>
                <w:i/>
                <w:noProof/>
                <w:color w:val="000000"/>
                <w:sz w:val="18"/>
                <w:lang w:bidi="en-GB"/>
              </w:rPr>
            </w:pPr>
            <w:r>
              <w:rPr>
                <w:rFonts w:ascii="Verdana" w:eastAsia="Verdana" w:hAnsi="Verdana" w:cs="Verdana"/>
                <w:i/>
                <w:noProof/>
                <w:color w:val="000000"/>
                <w:sz w:val="18"/>
              </w:rPr>
              <w:t>0.9412</w:t>
            </w:r>
          </w:p>
        </w:tc>
      </w:tr>
      <w:tr w:rsidR="00807FFE" w14:paraId="07F6CA38" w14:textId="77777777" w:rsidTr="002E6294">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0B8F251D"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GBP</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0D8F87E1"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0.8726</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565C7B02" w14:textId="77777777" w:rsidR="00807FFE" w:rsidRDefault="00023E71">
            <w:pPr>
              <w:pStyle w:val="DMETW36718BIPCURR"/>
              <w:keepNext/>
              <w:jc w:val="right"/>
              <w:rPr>
                <w:rFonts w:ascii="Verdana" w:eastAsia="Verdana" w:hAnsi="Verdana" w:cs="Verdana"/>
                <w:i/>
                <w:noProof/>
                <w:color w:val="000000"/>
                <w:sz w:val="18"/>
              </w:rPr>
            </w:pPr>
            <w:r>
              <w:rPr>
                <w:rFonts w:ascii="Verdana" w:eastAsia="Verdana" w:hAnsi="Verdana" w:cs="Verdana"/>
                <w:i/>
                <w:noProof/>
                <w:color w:val="000000"/>
                <w:sz w:val="18"/>
              </w:rPr>
              <w:t>0.8292</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34E7E560"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JPY</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3F57720F"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184.09</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18BF8FA7" w14:textId="77777777" w:rsidR="00807FFE" w:rsidRDefault="00023E71">
            <w:pPr>
              <w:pStyle w:val="DMETW36718BIPCURR"/>
              <w:keepNext/>
              <w:jc w:val="right"/>
              <w:rPr>
                <w:rFonts w:ascii="Verdana" w:eastAsia="Verdana" w:hAnsi="Verdana" w:cs="Verdana"/>
                <w:i/>
                <w:noProof/>
                <w:color w:val="000000"/>
                <w:sz w:val="18"/>
                <w:lang w:bidi="en-GB"/>
              </w:rPr>
            </w:pPr>
            <w:r>
              <w:rPr>
                <w:rFonts w:ascii="Verdana" w:eastAsia="Verdana" w:hAnsi="Verdana" w:cs="Verdana"/>
                <w:i/>
                <w:noProof/>
                <w:color w:val="000000"/>
                <w:sz w:val="18"/>
              </w:rPr>
              <w:t>163.06</w:t>
            </w:r>
          </w:p>
        </w:tc>
      </w:tr>
      <w:tr w:rsidR="00807FFE" w14:paraId="63DCE29A" w14:textId="77777777" w:rsidTr="002E6294">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21B883F0"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HUF</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3EAA4D81"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385.1500</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266C1400" w14:textId="77777777" w:rsidR="00807FFE" w:rsidRDefault="00023E71">
            <w:pPr>
              <w:pStyle w:val="DMETW36718BIPCURR"/>
              <w:keepNext/>
              <w:jc w:val="right"/>
              <w:rPr>
                <w:rFonts w:ascii="Verdana" w:eastAsia="Verdana" w:hAnsi="Verdana" w:cs="Verdana"/>
                <w:i/>
                <w:noProof/>
                <w:color w:val="000000"/>
                <w:sz w:val="18"/>
              </w:rPr>
            </w:pPr>
            <w:r>
              <w:rPr>
                <w:rFonts w:ascii="Verdana" w:eastAsia="Verdana" w:hAnsi="Verdana" w:cs="Verdana"/>
                <w:i/>
                <w:noProof/>
                <w:color w:val="000000"/>
                <w:sz w:val="18"/>
              </w:rPr>
              <w:t>411.3500</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1B47F814"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USD</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3304D3F5"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1.175</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5B443CC9" w14:textId="77777777" w:rsidR="00807FFE" w:rsidRDefault="00023E71">
            <w:pPr>
              <w:pStyle w:val="DMETW36718BIPCURR"/>
              <w:keepNext/>
              <w:jc w:val="right"/>
              <w:rPr>
                <w:rFonts w:ascii="Verdana" w:eastAsia="Verdana" w:hAnsi="Verdana" w:cs="Verdana"/>
                <w:i/>
                <w:noProof/>
                <w:color w:val="000000"/>
                <w:sz w:val="18"/>
                <w:lang w:bidi="en-GB"/>
              </w:rPr>
            </w:pPr>
            <w:r>
              <w:rPr>
                <w:rFonts w:ascii="Verdana" w:eastAsia="Verdana" w:hAnsi="Verdana" w:cs="Verdana"/>
                <w:i/>
                <w:noProof/>
                <w:color w:val="000000"/>
                <w:sz w:val="18"/>
              </w:rPr>
              <w:t>1.0389</w:t>
            </w:r>
          </w:p>
        </w:tc>
      </w:tr>
      <w:tr w:rsidR="00807FFE" w14:paraId="2EB0FBE4" w14:textId="77777777" w:rsidTr="002E6294">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2BEE2A41" w14:textId="77777777" w:rsidR="00807FFE" w:rsidRDefault="00023E71">
            <w:pPr>
              <w:pStyle w:val="DMETW36718BIPCURR"/>
              <w:keepNext/>
              <w:rPr>
                <w:rFonts w:ascii="Verdana" w:eastAsia="Verdana" w:hAnsi="Verdana" w:cs="Verdana"/>
                <w:b/>
                <w:noProof/>
                <w:color w:val="000000"/>
                <w:sz w:val="18"/>
              </w:rPr>
            </w:pPr>
            <w:r>
              <w:rPr>
                <w:rFonts w:ascii="Verdana" w:eastAsia="Verdana" w:hAnsi="Verdana" w:cs="Verdana"/>
                <w:b/>
                <w:noProof/>
                <w:color w:val="000000"/>
                <w:sz w:val="18"/>
              </w:rPr>
              <w:t>PLN</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6AD7C033" w14:textId="77777777" w:rsidR="00807FFE" w:rsidRDefault="00023E71">
            <w:pPr>
              <w:pStyle w:val="DMETW36718BIPCURR"/>
              <w:keepNext/>
              <w:jc w:val="right"/>
              <w:rPr>
                <w:rFonts w:ascii="Verdana" w:eastAsia="Verdana" w:hAnsi="Verdana" w:cs="Verdana"/>
                <w:b/>
                <w:noProof/>
                <w:color w:val="000000"/>
                <w:sz w:val="18"/>
              </w:rPr>
            </w:pPr>
            <w:r>
              <w:rPr>
                <w:rFonts w:ascii="Verdana" w:eastAsia="Verdana" w:hAnsi="Verdana" w:cs="Verdana"/>
                <w:b/>
                <w:noProof/>
                <w:color w:val="000000"/>
                <w:sz w:val="18"/>
              </w:rPr>
              <w:t>4.221</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71F55464" w14:textId="77777777" w:rsidR="00807FFE" w:rsidRDefault="00023E71">
            <w:pPr>
              <w:pStyle w:val="DMETW36718BIPCURR"/>
              <w:keepNext/>
              <w:jc w:val="right"/>
              <w:rPr>
                <w:rFonts w:ascii="Verdana" w:eastAsia="Verdana" w:hAnsi="Verdana" w:cs="Verdana"/>
                <w:i/>
                <w:noProof/>
                <w:color w:val="000000"/>
                <w:sz w:val="18"/>
              </w:rPr>
            </w:pPr>
            <w:r>
              <w:rPr>
                <w:rFonts w:ascii="Verdana" w:eastAsia="Verdana" w:hAnsi="Verdana" w:cs="Verdana"/>
                <w:i/>
                <w:noProof/>
                <w:color w:val="000000"/>
                <w:sz w:val="18"/>
              </w:rPr>
              <w:t>4.275</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BB387DF" w14:textId="77777777" w:rsidR="00807FFE" w:rsidRDefault="00807FFE">
            <w:pPr>
              <w:pStyle w:val="DMETW36718BIPCURR"/>
              <w:keepNext/>
              <w:rPr>
                <w:rFonts w:ascii="Verdana" w:eastAsia="Verdana" w:hAnsi="Verdana" w:cs="Verdana"/>
                <w:b/>
                <w:noProof/>
                <w:color w:val="000000"/>
                <w:sz w:val="18"/>
              </w:rPr>
            </w:pP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6170667A" w14:textId="77777777" w:rsidR="00807FFE" w:rsidRDefault="00807FFE">
            <w:pPr>
              <w:pStyle w:val="DMETW36718BIPCURR"/>
              <w:keepNext/>
              <w:jc w:val="right"/>
              <w:rPr>
                <w:rFonts w:ascii="Verdana" w:eastAsia="Verdana" w:hAnsi="Verdana" w:cs="Verdana"/>
                <w:b/>
                <w:noProof/>
                <w:color w:val="000000"/>
                <w:sz w:val="18"/>
              </w:rPr>
            </w:pP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301848E3" w14:textId="77777777" w:rsidR="00807FFE" w:rsidRDefault="00807FFE">
            <w:pPr>
              <w:pStyle w:val="DMETW36718BIPCURR"/>
              <w:keepNext/>
              <w:jc w:val="right"/>
              <w:rPr>
                <w:rFonts w:ascii="Verdana" w:eastAsia="Verdana" w:hAnsi="Verdana" w:cs="Verdana"/>
                <w:i/>
                <w:noProof/>
                <w:color w:val="000000"/>
                <w:sz w:val="18"/>
              </w:rPr>
            </w:pPr>
          </w:p>
        </w:tc>
      </w:tr>
    </w:tbl>
    <w:p w14:paraId="56BC21FC" w14:textId="77777777" w:rsidR="003D353B" w:rsidRPr="00B34731" w:rsidRDefault="00023E71" w:rsidP="0032730E">
      <w:pPr>
        <w:pStyle w:val="HEADER3NOTES"/>
        <w:keepNext/>
        <w:jc w:val="both"/>
        <w:rPr>
          <w:noProof/>
        </w:rPr>
      </w:pPr>
      <w:r w:rsidRPr="00B34731">
        <w:rPr>
          <w:noProof/>
        </w:rPr>
        <w:t>Use of estimates</w:t>
      </w:r>
    </w:p>
    <w:p w14:paraId="0A709751" w14:textId="77777777" w:rsidR="003D353B" w:rsidRDefault="00023E71" w:rsidP="003D353B">
      <w:pPr>
        <w:pStyle w:val="DGTextstand-alone"/>
      </w:pPr>
      <w:r>
        <w:t xml:space="preserve">In accordance with IPSAS and generally accepted accounting principles, the financial statements necessarily include amounts based on estimates and assumptions by management based on the most reliable information available. Significant estimates include, but are not limited to: </w:t>
      </w:r>
      <w:r w:rsidRPr="00A43845">
        <w:t xml:space="preserve">amounts for employee benefit liabilities, financial risk of accounts receivable and the amounts disclosed in the notes concerning financial instruments, </w:t>
      </w:r>
      <w:r>
        <w:t xml:space="preserve">impairment allowance for financial assets at amortised cost and for financial guarantee contract liabilities, </w:t>
      </w:r>
      <w:r w:rsidRPr="00A43845">
        <w:t>accrued revenue and charges, provisions, degree of impairment of intangible assets and property, plant and equipment, net realisable value of inventories</w:t>
      </w:r>
      <w:r>
        <w:t xml:space="preserve">, </w:t>
      </w:r>
      <w:r w:rsidRPr="00A43845">
        <w:t>contingent assets and liabilities</w:t>
      </w:r>
      <w:r>
        <w:t>. Actual results could differ from those estimates. Changes in estimates are reflected in the period in which they become known, if the change affects that</w:t>
      </w:r>
      <w:r w:rsidRPr="003E59ED">
        <w:t xml:space="preserve"> period only, or that period and future periods, if the change affects both</w:t>
      </w:r>
      <w:r>
        <w:t>.</w:t>
      </w:r>
    </w:p>
    <w:p w14:paraId="1C69BEF1" w14:textId="77777777" w:rsidR="0096323D" w:rsidRPr="00B34731" w:rsidRDefault="00023E71" w:rsidP="0096323D">
      <w:pPr>
        <w:pStyle w:val="HEADER3NOTES"/>
        <w:keepNext/>
        <w:jc w:val="both"/>
        <w:rPr>
          <w:noProof/>
        </w:rPr>
      </w:pPr>
      <w:r w:rsidRPr="0096323D">
        <w:rPr>
          <w:noProof/>
        </w:rPr>
        <w:t>Transitioning to new Corporate Financial and IT system (SUMMA)</w:t>
      </w:r>
    </w:p>
    <w:p w14:paraId="1FCEE617" w14:textId="77777777" w:rsidR="0096323D" w:rsidRDefault="00023E71" w:rsidP="003D353B">
      <w:pPr>
        <w:pStyle w:val="DGTextstand-alone"/>
      </w:pPr>
      <w:r w:rsidRPr="0096323D">
        <w:t>The 2025 consolidated annual accounts are the first set of accounts prepared on the basis of financial information reported in the new financial IT system, SUMMA. Throughout the preparation of the annual accounts, systematic and rigorous controls have been implemented to ensure that financial information used accurately reflects the underlying transactions and is fully consistent with the applicable accounting rules. During the year</w:t>
      </w:r>
      <w:r w:rsidRPr="0096323D">
        <w:rPr>
          <w:rFonts w:ascii="Cambria Math" w:hAnsi="Cambria Math" w:cs="Cambria Math"/>
        </w:rPr>
        <w:t>‑</w:t>
      </w:r>
      <w:r w:rsidRPr="0096323D">
        <w:t>end closure process, management identified issues generated by the new system which significantly affected the accounts, while additional issues were later identified by the external auditor. These required manual adjustments and reconciliation procedures. The implementation and refinement of the new financial system and the related controls will continue in future financial years. On the basis of this close monitoring and review of financial information at both input and output stage, the annual accounts provide, with reasonable assurance and in all material aspects, a fair presentation of the financial position, the results of the operations and the cashflows of the European Union.</w:t>
      </w:r>
    </w:p>
    <w:p w14:paraId="5F5DBF38" w14:textId="77777777" w:rsidR="003D353B" w:rsidRPr="003B6C5C" w:rsidRDefault="00023E71" w:rsidP="0032730E">
      <w:pPr>
        <w:pStyle w:val="HEADER2NOTES"/>
        <w:jc w:val="both"/>
        <w:rPr>
          <w:noProof/>
        </w:rPr>
      </w:pPr>
      <w:r w:rsidRPr="003B6C5C">
        <w:rPr>
          <w:noProof/>
        </w:rPr>
        <w:t>BALANCE SHEET</w:t>
      </w:r>
    </w:p>
    <w:p w14:paraId="2A7DB065" w14:textId="77777777" w:rsidR="003D353B" w:rsidRPr="003B6C5C" w:rsidRDefault="00023E71" w:rsidP="0032730E">
      <w:pPr>
        <w:pStyle w:val="HEADER3NOTES"/>
        <w:jc w:val="both"/>
        <w:rPr>
          <w:noProof/>
        </w:rPr>
      </w:pPr>
      <w:r w:rsidRPr="003B6C5C">
        <w:rPr>
          <w:noProof/>
        </w:rPr>
        <w:t>Intangible assets</w:t>
      </w:r>
    </w:p>
    <w:p w14:paraId="32E4DF7E" w14:textId="77777777" w:rsidR="00553A51" w:rsidRDefault="00023E71" w:rsidP="00553A51">
      <w:pPr>
        <w:pStyle w:val="DGTextstand-alone"/>
      </w:pPr>
      <w:r>
        <w:t>An intangible asset is an identifiable non-monetary asset without physical substance. An asset is identifiable if it is either separable (i.e. it is capable of being separated or divided from the entity, e.g. by being sold, transferred, licensed, rented, or exchanged, either individually or together with a related contract, identifiable asset or liability, regardless of whether the entity intends to do so), or arises from binding arrangements (including rights from contracts or other legal rights), regardless of whether those rights are transferable or separable from the entity or from other rights and obligations.</w:t>
      </w:r>
    </w:p>
    <w:p w14:paraId="115EC595" w14:textId="77777777" w:rsidR="00553A51" w:rsidRDefault="00023E71" w:rsidP="00553A51">
      <w:pPr>
        <w:pStyle w:val="DGTextstand-alone"/>
      </w:pPr>
      <w:r>
        <w:t xml:space="preserve">Acquired intangible assets are stated at historical cost less accumulated amortisation and impairment losses. Internally developed intangible assets are capitalised when the relevant criteria of the EU </w:t>
      </w:r>
      <w:r w:rsidR="008864C4">
        <w:t>a</w:t>
      </w:r>
      <w:r>
        <w:t xml:space="preserve">ccounting </w:t>
      </w:r>
      <w:r w:rsidR="008864C4">
        <w:t>r</w:t>
      </w:r>
      <w:r>
        <w:t>ules are met and the expenses relate solely to the development phase of the asset. The capitalisable costs include all directly attributable costs necessary to create, produce, and prepare the asset to be capable of operating in the manner intended by management. Costs associated with research activities, non-capitalisable development costs and maintenance costs are recognised as expenses as incurred.</w:t>
      </w:r>
    </w:p>
    <w:p w14:paraId="7BCEB2AD" w14:textId="77777777" w:rsidR="006B1EFB" w:rsidRDefault="00023E71" w:rsidP="00553A51">
      <w:pPr>
        <w:pStyle w:val="DGTextstand-alone"/>
      </w:pPr>
      <w:r>
        <w:t>Intangible assets are amortised on a straight-line basis over their estimated useful lives (</w:t>
      </w:r>
      <w:r w:rsidR="008864C4">
        <w:t xml:space="preserve">3-11 </w:t>
      </w:r>
      <w:r>
        <w:t xml:space="preserve">years). </w:t>
      </w:r>
      <w:r w:rsidR="00932A3A">
        <w:t>The estimated useful lives of intangible assets depend on their specific economic lifetime or legal lifetime determined by an agreement.</w:t>
      </w:r>
    </w:p>
    <w:p w14:paraId="43A996FA" w14:textId="77777777" w:rsidR="003D353B" w:rsidRPr="00B34731" w:rsidRDefault="00023E71" w:rsidP="009A503F">
      <w:pPr>
        <w:pStyle w:val="HEADER3NOTES"/>
        <w:spacing w:before="0"/>
        <w:jc w:val="both"/>
        <w:rPr>
          <w:noProof/>
        </w:rPr>
      </w:pPr>
      <w:r w:rsidRPr="00B34731">
        <w:rPr>
          <w:noProof/>
        </w:rPr>
        <w:t>Property, plant and equipment</w:t>
      </w:r>
    </w:p>
    <w:p w14:paraId="5C11BFAC" w14:textId="77777777" w:rsidR="003D353B" w:rsidRDefault="00023E71" w:rsidP="003D353B">
      <w:pPr>
        <w:pStyle w:val="DGTextstand-alone"/>
      </w:pPr>
      <w:r>
        <w:t>All property, plant and equipment are stated at historical cost less accumulated depreciation and impairment losses. Cost includes expenditure that is directly attributable to the acquisition, construction or transfer of the asset.</w:t>
      </w:r>
    </w:p>
    <w:p w14:paraId="2FF314EF" w14:textId="77777777" w:rsidR="003D353B" w:rsidRDefault="00023E71" w:rsidP="003D353B">
      <w:pPr>
        <w:pStyle w:val="DGTextstand-alone"/>
        <w:spacing w:after="0"/>
      </w:pPr>
      <w:r>
        <w:t>Subsequent costs are included in the asset’s carrying amount or recognised as a separate asset, as appropriate, only when it is probable that future economic benefits or service potential associated with the item will flow to the EU and its cost can be measured reliably. Repairs and maintenance costs are charged to the statement of financial performance during the financial period in which they are incurred.</w:t>
      </w:r>
    </w:p>
    <w:p w14:paraId="1B76DA6F" w14:textId="77777777" w:rsidR="003D353B" w:rsidRDefault="00023E71" w:rsidP="003D353B">
      <w:pPr>
        <w:pStyle w:val="DGTextstand-alone"/>
      </w:pPr>
      <w:r>
        <w:t xml:space="preserve">Land </w:t>
      </w:r>
      <w:r w:rsidR="00553A51">
        <w:t xml:space="preserve">is </w:t>
      </w:r>
      <w:r>
        <w:t xml:space="preserve">not depreciated as </w:t>
      </w:r>
      <w:r w:rsidR="00553A51">
        <w:t xml:space="preserve">it is </w:t>
      </w:r>
      <w:r>
        <w:t>deemed to have an indefinite useful life. Assets under construction are not depreciated, as these assets are not yet available for use. Depreciation on other assets is calculated using the straight-line method to allocate their cost less their residual values over their estimated useful lives, as follows:</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9"/>
        <w:gridCol w:w="4831"/>
      </w:tblGrid>
      <w:tr w:rsidR="00807FFE" w14:paraId="7D961E2C" w14:textId="77777777">
        <w:trPr>
          <w:trHeight w:val="255"/>
        </w:trPr>
        <w:tc>
          <w:tcPr>
            <w:tcW w:w="4819" w:type="dxa"/>
            <w:tcBorders>
              <w:top w:val="nil"/>
              <w:left w:val="nil"/>
              <w:bottom w:val="nil"/>
              <w:right w:val="nil"/>
              <w:tl2br w:val="nil"/>
              <w:tr2bl w:val="nil"/>
            </w:tcBorders>
            <w:shd w:val="solid" w:color="016794" w:fill="FFFFFF"/>
            <w:tcMar>
              <w:left w:w="60" w:type="dxa"/>
              <w:right w:w="60" w:type="dxa"/>
            </w:tcMar>
            <w:vAlign w:val="center"/>
          </w:tcPr>
          <w:p w14:paraId="39A6A459" w14:textId="77777777" w:rsidR="00807FFE" w:rsidRDefault="00023E71">
            <w:pPr>
              <w:pStyle w:val="DMETW36718BIPDR"/>
              <w:rPr>
                <w:rFonts w:ascii="Verdana" w:eastAsia="Verdana" w:hAnsi="Verdana" w:cs="Verdana"/>
                <w:noProof/>
                <w:color w:val="FFFFFF"/>
                <w:lang w:bidi="en-GB"/>
              </w:rPr>
            </w:pPr>
            <w:bookmarkStart w:id="77" w:name="DOC_TBL00006_1_1"/>
            <w:bookmarkEnd w:id="77"/>
            <w:r>
              <w:rPr>
                <w:rFonts w:ascii="Verdana" w:eastAsia="Verdana" w:hAnsi="Verdana" w:cs="Verdana"/>
                <w:noProof/>
                <w:color w:val="FFFFFF"/>
                <w:lang w:bidi="en-GB"/>
              </w:rPr>
              <w:t>Type of asset</w:t>
            </w:r>
          </w:p>
        </w:tc>
        <w:tc>
          <w:tcPr>
            <w:tcW w:w="4820" w:type="dxa"/>
            <w:tcBorders>
              <w:top w:val="nil"/>
              <w:left w:val="nil"/>
              <w:bottom w:val="nil"/>
              <w:right w:val="nil"/>
              <w:tl2br w:val="nil"/>
              <w:tr2bl w:val="nil"/>
            </w:tcBorders>
            <w:shd w:val="solid" w:color="016794" w:fill="FFFFFF"/>
            <w:tcMar>
              <w:left w:w="60" w:type="dxa"/>
              <w:right w:w="60" w:type="dxa"/>
            </w:tcMar>
            <w:vAlign w:val="center"/>
          </w:tcPr>
          <w:p w14:paraId="48FBC3DF" w14:textId="77777777" w:rsidR="00807FFE" w:rsidRDefault="00023E71">
            <w:pPr>
              <w:pStyle w:val="DMETW36718BIPDR"/>
              <w:jc w:val="center"/>
              <w:rPr>
                <w:rFonts w:ascii="Verdana" w:eastAsia="Verdana" w:hAnsi="Verdana" w:cs="Verdana"/>
                <w:noProof/>
                <w:color w:val="FFFFFF"/>
                <w:lang w:bidi="en-GB"/>
              </w:rPr>
            </w:pPr>
            <w:r>
              <w:rPr>
                <w:rFonts w:ascii="Verdana" w:eastAsia="Verdana" w:hAnsi="Verdana" w:cs="Verdana"/>
                <w:noProof/>
                <w:color w:val="FFFFFF"/>
              </w:rPr>
              <w:t>Straight line depreciation rate</w:t>
            </w:r>
          </w:p>
        </w:tc>
      </w:tr>
      <w:tr w:rsidR="00807FFE" w14:paraId="22CCAD05" w14:textId="77777777">
        <w:trPr>
          <w:trHeight w:val="255"/>
        </w:trPr>
        <w:tc>
          <w:tcPr>
            <w:tcW w:w="4819"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031067DD" w14:textId="77777777" w:rsidR="00807FFE" w:rsidRDefault="00023E71">
            <w:pPr>
              <w:pStyle w:val="DMETW36718BIPDR"/>
              <w:rPr>
                <w:rFonts w:ascii="Verdana" w:eastAsia="Verdana" w:hAnsi="Verdana" w:cs="Verdana"/>
                <w:i/>
                <w:noProof/>
                <w:color w:val="000000"/>
                <w:sz w:val="18"/>
              </w:rPr>
            </w:pPr>
            <w:r>
              <w:rPr>
                <w:rFonts w:ascii="Verdana" w:eastAsia="Verdana" w:hAnsi="Verdana" w:cs="Verdana"/>
                <w:i/>
                <w:noProof/>
                <w:color w:val="000000"/>
                <w:sz w:val="18"/>
              </w:rPr>
              <w:t>Buildings</w:t>
            </w:r>
          </w:p>
        </w:tc>
        <w:tc>
          <w:tcPr>
            <w:tcW w:w="4820"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276D2FBA" w14:textId="77777777" w:rsidR="00807FFE" w:rsidRDefault="00023E71">
            <w:pPr>
              <w:pStyle w:val="DMETW36718BIPDR"/>
              <w:jc w:val="center"/>
              <w:rPr>
                <w:rFonts w:ascii="Verdana" w:eastAsia="Verdana" w:hAnsi="Verdana" w:cs="Verdana"/>
                <w:i/>
                <w:noProof/>
                <w:color w:val="000000"/>
                <w:sz w:val="18"/>
                <w:lang w:bidi="en-GB"/>
              </w:rPr>
            </w:pPr>
            <w:r>
              <w:rPr>
                <w:rFonts w:ascii="Verdana" w:eastAsia="Verdana" w:hAnsi="Verdana" w:cs="Verdana"/>
                <w:i/>
                <w:noProof/>
                <w:color w:val="000000"/>
                <w:sz w:val="18"/>
              </w:rPr>
              <w:t>4% to 10%</w:t>
            </w:r>
          </w:p>
        </w:tc>
      </w:tr>
      <w:tr w:rsidR="00807FFE" w14:paraId="42F3F920" w14:textId="77777777">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21165702" w14:textId="77777777" w:rsidR="00807FFE" w:rsidRDefault="00023E71">
            <w:pPr>
              <w:pStyle w:val="DMETW36718BIPDR"/>
              <w:rPr>
                <w:rFonts w:ascii="Verdana" w:eastAsia="Verdana" w:hAnsi="Verdana" w:cs="Verdana"/>
                <w:i/>
                <w:noProof/>
                <w:color w:val="000000"/>
                <w:sz w:val="18"/>
              </w:rPr>
            </w:pPr>
            <w:r>
              <w:rPr>
                <w:rFonts w:ascii="Verdana" w:eastAsia="Verdana" w:hAnsi="Verdana" w:cs="Verdana"/>
                <w:i/>
                <w:noProof/>
                <w:color w:val="000000"/>
                <w:sz w:val="18"/>
              </w:rPr>
              <w:t>Space assets</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7114B86C" w14:textId="77777777" w:rsidR="00807FFE" w:rsidRDefault="00023E71">
            <w:pPr>
              <w:pStyle w:val="DMETW36718BIPDR"/>
              <w:jc w:val="center"/>
              <w:rPr>
                <w:rFonts w:ascii="Verdana" w:eastAsia="Verdana" w:hAnsi="Verdana" w:cs="Verdana"/>
                <w:i/>
                <w:noProof/>
                <w:color w:val="000000"/>
                <w:sz w:val="18"/>
                <w:lang w:bidi="en-GB"/>
              </w:rPr>
            </w:pPr>
            <w:r>
              <w:rPr>
                <w:rFonts w:ascii="Verdana" w:eastAsia="Verdana" w:hAnsi="Verdana" w:cs="Verdana"/>
                <w:i/>
                <w:noProof/>
                <w:color w:val="000000"/>
                <w:sz w:val="18"/>
              </w:rPr>
              <w:t>8% to 25%</w:t>
            </w:r>
          </w:p>
        </w:tc>
      </w:tr>
      <w:tr w:rsidR="00807FFE" w14:paraId="36210A0F" w14:textId="77777777">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24A91E10" w14:textId="77777777" w:rsidR="00807FFE" w:rsidRDefault="00023E71">
            <w:pPr>
              <w:pStyle w:val="DMETW36718BIPDR"/>
              <w:rPr>
                <w:rFonts w:ascii="Verdana" w:eastAsia="Verdana" w:hAnsi="Verdana" w:cs="Verdana"/>
                <w:i/>
                <w:noProof/>
                <w:color w:val="000000"/>
                <w:sz w:val="18"/>
              </w:rPr>
            </w:pPr>
            <w:r>
              <w:rPr>
                <w:rFonts w:ascii="Verdana" w:eastAsia="Verdana" w:hAnsi="Verdana" w:cs="Verdana"/>
                <w:i/>
                <w:noProof/>
                <w:color w:val="000000"/>
                <w:sz w:val="18"/>
              </w:rPr>
              <w:t>Plant and equipment</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06F312B3" w14:textId="77777777" w:rsidR="00807FFE" w:rsidRDefault="00023E71">
            <w:pPr>
              <w:pStyle w:val="DMETW36718BIPDR"/>
              <w:jc w:val="center"/>
              <w:rPr>
                <w:rFonts w:ascii="Verdana" w:eastAsia="Verdana" w:hAnsi="Verdana" w:cs="Verdana"/>
                <w:i/>
                <w:noProof/>
                <w:color w:val="000000"/>
                <w:sz w:val="18"/>
                <w:lang w:bidi="en-GB"/>
              </w:rPr>
            </w:pPr>
            <w:r>
              <w:rPr>
                <w:rFonts w:ascii="Verdana" w:eastAsia="Verdana" w:hAnsi="Verdana" w:cs="Verdana"/>
                <w:i/>
                <w:noProof/>
                <w:color w:val="000000"/>
                <w:sz w:val="18"/>
              </w:rPr>
              <w:t>10% to 25%</w:t>
            </w:r>
          </w:p>
        </w:tc>
      </w:tr>
      <w:tr w:rsidR="00807FFE" w14:paraId="446764AF" w14:textId="77777777">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2C8BC1A9" w14:textId="77777777" w:rsidR="00807FFE" w:rsidRDefault="00023E71">
            <w:pPr>
              <w:pStyle w:val="DMETW36718BIPDR"/>
              <w:rPr>
                <w:rFonts w:ascii="Verdana" w:eastAsia="Verdana" w:hAnsi="Verdana" w:cs="Verdana"/>
                <w:i/>
                <w:noProof/>
                <w:color w:val="000000"/>
                <w:sz w:val="18"/>
              </w:rPr>
            </w:pPr>
            <w:r>
              <w:rPr>
                <w:rFonts w:ascii="Verdana" w:eastAsia="Verdana" w:hAnsi="Verdana" w:cs="Verdana"/>
                <w:i/>
                <w:noProof/>
                <w:color w:val="000000"/>
                <w:sz w:val="18"/>
              </w:rPr>
              <w:t>Furniture and vehicles</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08912C91" w14:textId="77777777" w:rsidR="00807FFE" w:rsidRDefault="00023E71">
            <w:pPr>
              <w:pStyle w:val="DMETW36718BIPDR"/>
              <w:jc w:val="center"/>
              <w:rPr>
                <w:rFonts w:ascii="Verdana" w:eastAsia="Verdana" w:hAnsi="Verdana" w:cs="Verdana"/>
                <w:i/>
                <w:noProof/>
                <w:color w:val="000000"/>
                <w:sz w:val="18"/>
                <w:lang w:bidi="en-GB"/>
              </w:rPr>
            </w:pPr>
            <w:r>
              <w:rPr>
                <w:rFonts w:ascii="Verdana" w:eastAsia="Verdana" w:hAnsi="Verdana" w:cs="Verdana"/>
                <w:i/>
                <w:noProof/>
                <w:color w:val="000000"/>
                <w:sz w:val="18"/>
              </w:rPr>
              <w:t>10% to 25%</w:t>
            </w:r>
          </w:p>
        </w:tc>
      </w:tr>
      <w:tr w:rsidR="00807FFE" w14:paraId="5882E78F" w14:textId="77777777">
        <w:trPr>
          <w:trHeight w:val="255"/>
        </w:trPr>
        <w:tc>
          <w:tcPr>
            <w:tcW w:w="4819"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4D8E5548" w14:textId="77777777" w:rsidR="00807FFE" w:rsidRDefault="00023E71">
            <w:pPr>
              <w:pStyle w:val="DMETW36718BIPDR"/>
              <w:rPr>
                <w:rFonts w:ascii="Verdana" w:eastAsia="Verdana" w:hAnsi="Verdana" w:cs="Verdana"/>
                <w:i/>
                <w:noProof/>
                <w:color w:val="000000"/>
                <w:sz w:val="18"/>
              </w:rPr>
            </w:pPr>
            <w:r>
              <w:rPr>
                <w:rFonts w:ascii="Verdana" w:eastAsia="Verdana" w:hAnsi="Verdana" w:cs="Verdana"/>
                <w:i/>
                <w:noProof/>
                <w:color w:val="000000"/>
                <w:sz w:val="18"/>
              </w:rPr>
              <w:t>Computer hardware</w:t>
            </w:r>
          </w:p>
        </w:tc>
        <w:tc>
          <w:tcPr>
            <w:tcW w:w="4820"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686A7E79" w14:textId="77777777" w:rsidR="00807FFE" w:rsidRDefault="00023E71">
            <w:pPr>
              <w:pStyle w:val="DMETW36718BIPDR"/>
              <w:jc w:val="center"/>
              <w:rPr>
                <w:rFonts w:ascii="Verdana" w:eastAsia="Verdana" w:hAnsi="Verdana" w:cs="Verdana"/>
                <w:i/>
                <w:noProof/>
                <w:color w:val="000000"/>
                <w:sz w:val="18"/>
                <w:lang w:bidi="en-GB"/>
              </w:rPr>
            </w:pPr>
            <w:r>
              <w:rPr>
                <w:rFonts w:ascii="Verdana" w:eastAsia="Verdana" w:hAnsi="Verdana" w:cs="Verdana"/>
                <w:i/>
                <w:noProof/>
                <w:color w:val="000000"/>
                <w:sz w:val="18"/>
              </w:rPr>
              <w:t>25% to 33%</w:t>
            </w:r>
          </w:p>
        </w:tc>
      </w:tr>
      <w:tr w:rsidR="00807FFE" w14:paraId="01844AC8" w14:textId="77777777">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30FA3F9A" w14:textId="77777777" w:rsidR="00807FFE" w:rsidRDefault="00023E71">
            <w:pPr>
              <w:pStyle w:val="DMETW36718BIPDR"/>
              <w:rPr>
                <w:rFonts w:ascii="Verdana" w:eastAsia="Verdana" w:hAnsi="Verdana" w:cs="Verdana"/>
                <w:i/>
                <w:noProof/>
                <w:color w:val="000000"/>
                <w:sz w:val="18"/>
              </w:rPr>
            </w:pPr>
            <w:r>
              <w:rPr>
                <w:rFonts w:ascii="Verdana" w:eastAsia="Verdana" w:hAnsi="Verdana" w:cs="Verdana"/>
                <w:i/>
                <w:noProof/>
                <w:color w:val="000000"/>
                <w:sz w:val="18"/>
              </w:rPr>
              <w:t>Other</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0B66CAF2" w14:textId="77777777" w:rsidR="00807FFE" w:rsidRDefault="00023E71">
            <w:pPr>
              <w:pStyle w:val="DMETW36718BIPDR"/>
              <w:jc w:val="center"/>
              <w:rPr>
                <w:rFonts w:ascii="Verdana" w:eastAsia="Verdana" w:hAnsi="Verdana" w:cs="Verdana"/>
                <w:i/>
                <w:noProof/>
                <w:color w:val="000000"/>
                <w:sz w:val="18"/>
              </w:rPr>
            </w:pPr>
            <w:r>
              <w:rPr>
                <w:rFonts w:ascii="Verdana" w:eastAsia="Verdana" w:hAnsi="Verdana" w:cs="Verdana"/>
                <w:i/>
                <w:noProof/>
                <w:color w:val="000000"/>
                <w:sz w:val="18"/>
              </w:rPr>
              <w:t>10% to 33%</w:t>
            </w:r>
          </w:p>
        </w:tc>
      </w:tr>
    </w:tbl>
    <w:p w14:paraId="4B359C38" w14:textId="77777777" w:rsidR="003D353B" w:rsidRDefault="00023E71" w:rsidP="003D353B">
      <w:pPr>
        <w:pStyle w:val="DGTextstand-alone"/>
      </w:pPr>
      <w:r>
        <w:t>Gains or losses on disposals are determined by comparing proceeds less selling expenses with the carrying amount of the disposed asset and are included in the statement of financial performance.</w:t>
      </w:r>
    </w:p>
    <w:p w14:paraId="62B6E7B6" w14:textId="77777777" w:rsidR="003D353B" w:rsidRPr="00677A47" w:rsidRDefault="00023E71" w:rsidP="003D353B">
      <w:pPr>
        <w:pStyle w:val="HEADER5"/>
        <w:keepNext/>
        <w:rPr>
          <w:b/>
          <w:noProof/>
        </w:rPr>
      </w:pPr>
      <w:r w:rsidRPr="00677A47">
        <w:rPr>
          <w:noProof/>
        </w:rPr>
        <w:t>Leases</w:t>
      </w:r>
    </w:p>
    <w:p w14:paraId="1DE40E7B" w14:textId="77777777" w:rsidR="00553A51" w:rsidRDefault="00023E71" w:rsidP="00553A51">
      <w:pPr>
        <w:pStyle w:val="DGTextstand-alone"/>
      </w:pPr>
      <w:r>
        <w:t>A lease is an agreement whereby the lessor conveys to the lessee</w:t>
      </w:r>
      <w:r w:rsidR="00463440">
        <w:t>,</w:t>
      </w:r>
      <w:r>
        <w:t xml:space="preserve"> in return for a payment or series of payments</w:t>
      </w:r>
      <w:r w:rsidR="00463440">
        <w:t>,</w:t>
      </w:r>
      <w:r>
        <w:t xml:space="preserve"> the right to use an asset for an agreed period of time. Leases are classified as either finance leases or operating leases.</w:t>
      </w:r>
    </w:p>
    <w:p w14:paraId="510C4499" w14:textId="77777777" w:rsidR="00553A51" w:rsidRDefault="00023E71" w:rsidP="00553A51">
      <w:pPr>
        <w:pStyle w:val="DGTextstand-alone"/>
      </w:pPr>
      <w:r>
        <w:t>Finance leases are leases where substantially all the risks and rewards incidental to ownership are transferred to the lessee. When entering a finance lease as a lessee, the assets acquired under the finance lease are recognised as assets and the associated lease obligations as liabilities as from the commencement of the lease term. The assets and liabilities are recognised at amounts equal to the fair value of the leased property or, if lower, the present value of the minimum lease payments, each determined at the inception of the lease. Over the period of the lease term, the assets held under finance leases are depreciated over the shorter of the asset</w:t>
      </w:r>
      <w:r w:rsidR="00657112">
        <w:t>’</w:t>
      </w:r>
      <w:r>
        <w:t>s useful life and the lease term. The minimum lease payments are apportioned between the finance charge (the interest element) and the reduction of the outstanding liability (the capital element). The finance charge is allocated to each period during the lease term so as to produce a constant periodic rate of interest on the remaining balance of the liability, which is presented as current/non-current, as applicable. Contingent rents are charged as expenses in the period in which they are incurred.</w:t>
      </w:r>
    </w:p>
    <w:p w14:paraId="5EB07919" w14:textId="77777777" w:rsidR="003D353B" w:rsidRDefault="00023E71" w:rsidP="003D353B">
      <w:pPr>
        <w:pStyle w:val="DGTextstand-alone"/>
      </w:pPr>
      <w:r>
        <w:t xml:space="preserve">An operating lease is a lease other than a finance lease, i.e. a lease where the lessor retains substantially all the risks and rewards incidental to ownership of an asset. When entering </w:t>
      </w:r>
      <w:r w:rsidR="00722DC1">
        <w:t xml:space="preserve">into </w:t>
      </w:r>
      <w:r>
        <w:t>an operating lease as a lessee, the operating lease payments are recognised as an expense in the statement of financial performance on a straight-line basis over the lease term with neither a leased asset nor a leasing liability presented in the balance sheet.</w:t>
      </w:r>
    </w:p>
    <w:p w14:paraId="332293EB" w14:textId="77777777" w:rsidR="003D353B" w:rsidRPr="00B34731" w:rsidRDefault="00023E71" w:rsidP="0032730E">
      <w:pPr>
        <w:pStyle w:val="HEADER3NOTES"/>
        <w:jc w:val="both"/>
        <w:rPr>
          <w:noProof/>
        </w:rPr>
      </w:pPr>
      <w:r w:rsidRPr="00B34731">
        <w:rPr>
          <w:noProof/>
        </w:rPr>
        <w:t>Impairment of non-financial assets</w:t>
      </w:r>
    </w:p>
    <w:p w14:paraId="50915E0F" w14:textId="77777777" w:rsidR="00932A3A" w:rsidRDefault="00023E71" w:rsidP="003D353B">
      <w:pPr>
        <w:pStyle w:val="DGTextstand-alone"/>
      </w:pPr>
      <w:r w:rsidRPr="00634DA7">
        <w:t>An impairment is a loss in the future economic benefits or service potential of an asset, over and above the systematic recognition of the loss of the asset's future economic benefits or service potential through amortisation or depreciation (as applicable)</w:t>
      </w:r>
      <w:r>
        <w:t xml:space="preserve">. Assets that have an indefinite useful life are not subject to amortisation/depreciation and are tested annually for impairment. </w:t>
      </w:r>
      <w:r w:rsidRPr="00634DA7">
        <w:t>Assets that are subject to amortisation/depreciation are tested for impairment whenever there is an indication at the reporting date that an asset may be impaired</w:t>
      </w:r>
      <w:r>
        <w:t>. An impairment loss is recognised for the amount by which the asset’s carrying amount exceeds its recoverable (service) amount. The recoverable (service) amount is the higher of an asset’s fair value less costs to sell and its value in use.</w:t>
      </w:r>
    </w:p>
    <w:p w14:paraId="73D24E6C" w14:textId="77777777" w:rsidR="003D353B" w:rsidRDefault="00023E71" w:rsidP="003D353B">
      <w:pPr>
        <w:pStyle w:val="DGTextstand-alone"/>
      </w:pPr>
      <w:r>
        <w:t xml:space="preserve">Intangible assets and property, plant and equipment residual values and useful lives are reviewed, and adjusted if appropriate, at least once per year. </w:t>
      </w:r>
      <w:r w:rsidR="009B2503" w:rsidRPr="00E94FE9">
        <w:t>If the reasons for impairments recognised in previous years no longer apply, the impairment losses are reversed accordingly.</w:t>
      </w:r>
      <w:r>
        <w:t xml:space="preserve"> </w:t>
      </w:r>
    </w:p>
    <w:p w14:paraId="6617716E" w14:textId="77777777" w:rsidR="003D353B" w:rsidRPr="00B34731" w:rsidRDefault="00023E71" w:rsidP="0032730E">
      <w:pPr>
        <w:pStyle w:val="HEADER3NOTES"/>
        <w:jc w:val="both"/>
        <w:rPr>
          <w:noProof/>
        </w:rPr>
      </w:pPr>
      <w:r w:rsidRPr="00B34731">
        <w:rPr>
          <w:noProof/>
        </w:rPr>
        <w:t>Investments accounted for using the equity method</w:t>
      </w:r>
    </w:p>
    <w:p w14:paraId="2C676DE4" w14:textId="77777777" w:rsidR="003D353B" w:rsidRPr="00677A47" w:rsidRDefault="00023E71" w:rsidP="003D353B">
      <w:pPr>
        <w:pStyle w:val="HEADER5"/>
        <w:rPr>
          <w:b/>
          <w:noProof/>
        </w:rPr>
      </w:pPr>
      <w:r w:rsidRPr="00677A47">
        <w:rPr>
          <w:noProof/>
        </w:rPr>
        <w:t>Participations in associates and joint ventures</w:t>
      </w:r>
    </w:p>
    <w:p w14:paraId="16EF9102" w14:textId="77777777" w:rsidR="003D353B" w:rsidRPr="007977BB" w:rsidRDefault="00023E71" w:rsidP="003D353B">
      <w:pPr>
        <w:pStyle w:val="DGTextstand-alone"/>
      </w:pPr>
      <w:r w:rsidRPr="001E3742">
        <w:t xml:space="preserve">Investments accounted for using the equity method are initially recognised at cost, </w:t>
      </w:r>
      <w:r w:rsidR="00553A51">
        <w:t xml:space="preserve">with the initial carrying amount </w:t>
      </w:r>
      <w:r w:rsidRPr="001E3742">
        <w:t xml:space="preserve">subsequently </w:t>
      </w:r>
      <w:r w:rsidR="00553A51">
        <w:t xml:space="preserve">being </w:t>
      </w:r>
      <w:r w:rsidRPr="001E3742">
        <w:t xml:space="preserve">increased or decreased to recognise </w:t>
      </w:r>
      <w:r w:rsidR="00657112">
        <w:t xml:space="preserve">further contributions, </w:t>
      </w:r>
      <w:r w:rsidRPr="001E3742">
        <w:t>the EU’s share of the surplus or deficit of the investee</w:t>
      </w:r>
      <w:r w:rsidR="00657112">
        <w:t>, any impairments and dividends.</w:t>
      </w:r>
      <w:r w:rsidR="00657112" w:rsidRPr="00657112">
        <w:t xml:space="preserve"> </w:t>
      </w:r>
      <w:r w:rsidR="00657112" w:rsidRPr="001E3742">
        <w:t xml:space="preserve">The initial cost together with all movements give the </w:t>
      </w:r>
      <w:r w:rsidR="00657112">
        <w:t xml:space="preserve">carrying amount </w:t>
      </w:r>
      <w:r w:rsidR="00657112" w:rsidRPr="001E3742">
        <w:t>of the investment in the financial statements at the balance sheet date.</w:t>
      </w:r>
      <w:r w:rsidR="00657112">
        <w:t xml:space="preserve"> </w:t>
      </w:r>
      <w:r w:rsidRPr="001E3742">
        <w:t>The EU</w:t>
      </w:r>
      <w:r w:rsidR="00657112">
        <w:t>’</w:t>
      </w:r>
      <w:r w:rsidRPr="001E3742">
        <w:t>s share of the investee’s surplus or deficit is recognised in the statement of financial performance, and its share o</w:t>
      </w:r>
      <w:r>
        <w:t>f</w:t>
      </w:r>
      <w:r w:rsidRPr="001E3742">
        <w:t xml:space="preserve"> investee’s movements in equity is recognised in the reserves within net assets. Distributions received from the investment reduce the carrying amount of the asset</w:t>
      </w:r>
      <w:r w:rsidRPr="007977BB">
        <w:t>.</w:t>
      </w:r>
    </w:p>
    <w:p w14:paraId="7F9AB0A5" w14:textId="77777777" w:rsidR="003D353B" w:rsidRPr="007977BB" w:rsidRDefault="00023E71" w:rsidP="003D353B">
      <w:pPr>
        <w:pStyle w:val="DGTextstand-alone"/>
      </w:pPr>
      <w:r w:rsidRPr="007977BB">
        <w:t xml:space="preserve">If the EU's share of deficits of an </w:t>
      </w:r>
      <w:r>
        <w:t>investment</w:t>
      </w:r>
      <w:r w:rsidRPr="007977BB">
        <w:t xml:space="preserve"> accounted for using the equity method equals or exceeds its interest in the investment, the EU discontinues recognising its share of further losses (</w:t>
      </w:r>
      <w:r w:rsidR="00657112">
        <w:t>‘</w:t>
      </w:r>
      <w:r w:rsidRPr="007977BB">
        <w:t>unrecognised losses</w:t>
      </w:r>
      <w:r w:rsidR="00657112">
        <w:t>’</w:t>
      </w:r>
      <w:r w:rsidRPr="007977BB">
        <w:t>). After the EU</w:t>
      </w:r>
      <w:r w:rsidR="00657112">
        <w:t>’</w:t>
      </w:r>
      <w:r w:rsidRPr="007977BB">
        <w:t xml:space="preserve">s interest is reduced to zero, additional losses are provided for and a liability is recognised only to the </w:t>
      </w:r>
      <w:r w:rsidRPr="009114AD">
        <w:t>extent</w:t>
      </w:r>
      <w:r w:rsidRPr="007977BB">
        <w:t xml:space="preserve"> that the EU has incurred </w:t>
      </w:r>
      <w:r w:rsidR="008864C4">
        <w:t xml:space="preserve">a </w:t>
      </w:r>
      <w:r w:rsidRPr="007977BB">
        <w:t>legal or constructive obligation or made payments on behalf of the entity.</w:t>
      </w:r>
    </w:p>
    <w:p w14:paraId="6C77AF9C" w14:textId="77777777" w:rsidR="003D353B" w:rsidRPr="007977BB" w:rsidRDefault="00023E71" w:rsidP="003D353B">
      <w:pPr>
        <w:pStyle w:val="DGTextstand-alone"/>
      </w:pPr>
      <w:r w:rsidRPr="007977BB">
        <w:t xml:space="preserve">If there are indications of impairment, a write-down to the lower recoverable amount is necessary. The recoverable amount is determined as described under </w:t>
      </w:r>
      <w:r>
        <w:t xml:space="preserve">Note </w:t>
      </w:r>
      <w:r w:rsidRPr="007977BB">
        <w:rPr>
          <w:b/>
          <w:bCs/>
        </w:rPr>
        <w:t>1.5.3</w:t>
      </w:r>
      <w:r w:rsidRPr="007977BB">
        <w:t>. If the reason for impairment ceases to apply at a later date, the impairment loss is reversed to the carrying amount that would have been determined had no impairment loss been recognised.</w:t>
      </w:r>
    </w:p>
    <w:p w14:paraId="4698F5AC" w14:textId="77777777" w:rsidR="003D353B" w:rsidRPr="007977BB" w:rsidRDefault="00023E71" w:rsidP="003D353B">
      <w:pPr>
        <w:pStyle w:val="DGTextstand-alone"/>
      </w:pPr>
      <w:r w:rsidRPr="007977BB">
        <w:t>In cases where the EU holds 20% or more of an investment capital fund, it does not seek to exert significant influence. Such funds are therefore treated as financial instruments and ca</w:t>
      </w:r>
      <w:r>
        <w:t xml:space="preserve">tegorised as </w:t>
      </w:r>
      <w:r w:rsidRPr="007977BB">
        <w:t>financial assets</w:t>
      </w:r>
      <w:r>
        <w:t xml:space="preserve"> at fair value through surplus or deficit (‘FVSD’)</w:t>
      </w:r>
      <w:r w:rsidRPr="007977BB">
        <w:t>.</w:t>
      </w:r>
    </w:p>
    <w:p w14:paraId="7515A704" w14:textId="77777777" w:rsidR="003D353B" w:rsidRDefault="00023E71" w:rsidP="003D353B">
      <w:pPr>
        <w:pStyle w:val="DGTextstand-alone"/>
      </w:pPr>
      <w:r w:rsidRPr="00BF3296">
        <w:t xml:space="preserve">Associates and joint ventures classified as minor entities </w:t>
      </w:r>
      <w:r w:rsidR="00553A51">
        <w:t xml:space="preserve">(see </w:t>
      </w:r>
      <w:r>
        <w:t>N</w:t>
      </w:r>
      <w:r w:rsidR="00553A51">
        <w:t xml:space="preserve">ote </w:t>
      </w:r>
      <w:r w:rsidR="00553A51" w:rsidRPr="00553A51">
        <w:rPr>
          <w:b/>
        </w:rPr>
        <w:t>1.3</w:t>
      </w:r>
      <w:r w:rsidR="00553A51">
        <w:t xml:space="preserve">) </w:t>
      </w:r>
      <w:r w:rsidRPr="00BF3296">
        <w:t>are not accounted for under the equity method. EU contributions to those entities are accounted for as an expense of the period.</w:t>
      </w:r>
    </w:p>
    <w:p w14:paraId="5AB534FE" w14:textId="77777777" w:rsidR="003D353B" w:rsidRPr="00B34731" w:rsidRDefault="00023E71" w:rsidP="0032730E">
      <w:pPr>
        <w:pStyle w:val="HEADER3NOTES"/>
        <w:keepNext/>
        <w:jc w:val="both"/>
        <w:rPr>
          <w:noProof/>
        </w:rPr>
      </w:pPr>
      <w:bookmarkStart w:id="78" w:name="_Hlk160553869"/>
      <w:r w:rsidRPr="00B34731">
        <w:rPr>
          <w:noProof/>
        </w:rPr>
        <w:t>Financial assets</w:t>
      </w:r>
    </w:p>
    <w:bookmarkEnd w:id="78"/>
    <w:p w14:paraId="74BEEDE1" w14:textId="77777777" w:rsidR="003D353B" w:rsidRPr="00677A47" w:rsidRDefault="00023E71" w:rsidP="003D353B">
      <w:pPr>
        <w:pStyle w:val="HEADER5"/>
        <w:rPr>
          <w:b/>
          <w:noProof/>
        </w:rPr>
      </w:pPr>
      <w:r w:rsidRPr="00677A47">
        <w:rPr>
          <w:noProof/>
        </w:rPr>
        <w:t>Classification</w:t>
      </w:r>
      <w:r>
        <w:rPr>
          <w:noProof/>
        </w:rPr>
        <w:t xml:space="preserve"> at initial recognition</w:t>
      </w:r>
    </w:p>
    <w:p w14:paraId="5BB8C95F" w14:textId="77777777" w:rsidR="00752486" w:rsidRDefault="00023E71" w:rsidP="00752486">
      <w:pPr>
        <w:pStyle w:val="DGTextstand-alone"/>
      </w:pPr>
      <w:r>
        <w:t>The classification depends on two criteria:</w:t>
      </w:r>
    </w:p>
    <w:p w14:paraId="5B122C6F" w14:textId="77777777" w:rsidR="007E02E9" w:rsidRDefault="00023E71" w:rsidP="003F6AAD">
      <w:pPr>
        <w:pStyle w:val="DGTextstand-alonedashesjustified"/>
        <w:rPr>
          <w:lang w:eastAsia="en-GB"/>
        </w:rPr>
      </w:pPr>
      <w:r w:rsidRPr="00C80356">
        <w:rPr>
          <w:lang w:eastAsia="en-GB"/>
        </w:rPr>
        <w:t>The financial assets management model. This requires an assessment of how the EU manages the financial assets to generate cash flows and to achieve its objectives and how it evaluates the performance o</w:t>
      </w:r>
      <w:r w:rsidR="008864C4">
        <w:rPr>
          <w:lang w:eastAsia="en-GB"/>
        </w:rPr>
        <w:t>f</w:t>
      </w:r>
      <w:r w:rsidRPr="00C80356">
        <w:rPr>
          <w:lang w:eastAsia="en-GB"/>
        </w:rPr>
        <w:t xml:space="preserve"> financial assets.</w:t>
      </w:r>
    </w:p>
    <w:p w14:paraId="633F7FE1" w14:textId="77777777" w:rsidR="00752486" w:rsidRPr="00C80356" w:rsidRDefault="00023E71" w:rsidP="003F6AAD">
      <w:pPr>
        <w:pStyle w:val="DGTextstand-alonedashesjustified"/>
        <w:rPr>
          <w:lang w:eastAsia="en-GB"/>
        </w:rPr>
      </w:pPr>
      <w:r w:rsidRPr="00C80356">
        <w:rPr>
          <w:lang w:eastAsia="en-GB"/>
        </w:rPr>
        <w:t>The asset contractual cash-flow characteristics. This requires an assessment of whether the contractual cash flows are solely payments of principal and interest on the principal outstanding. The interest is the consideration for the time value of money, credit risk and other basic lending risks and costs.</w:t>
      </w:r>
    </w:p>
    <w:p w14:paraId="1619C79D" w14:textId="77777777" w:rsidR="00752486" w:rsidRDefault="00023E71" w:rsidP="00752486">
      <w:pPr>
        <w:pStyle w:val="DGTextstand-alone"/>
      </w:pPr>
      <w:r>
        <w:t xml:space="preserve">Following </w:t>
      </w:r>
      <w:r w:rsidR="008864C4">
        <w:t xml:space="preserve">an </w:t>
      </w:r>
      <w:r>
        <w:t xml:space="preserve">assessment based on these criteria, the financial assets can be classified in three categories: Financial assets at amortised cost </w:t>
      </w:r>
      <w:r w:rsidR="008864C4">
        <w:t>(AC), financial assets at fair value through net assets/equity (FVNA) or financial assets at fair value through surplus or deficit (FVSD)</w:t>
      </w:r>
      <w:r>
        <w:t>.</w:t>
      </w:r>
    </w:p>
    <w:p w14:paraId="760B8296" w14:textId="77777777" w:rsidR="00752486" w:rsidRDefault="00023E71" w:rsidP="00752486">
      <w:pPr>
        <w:pStyle w:val="DGTextstand-alone"/>
      </w:pPr>
      <w:r>
        <w:t>Financial assets with contractual cash flows that represent solely principal and interest are classified depending on the entity’s management model. If the management model is to hold the financial assets in order to collect contractual cash flows, the financial assets are classified at AC. If the management model is to hold the financial assets both to collect contractual cash flows and to sell the financial assets, the classification is FVNA. If the management model is different to these two models (e.g. the financial assets are held for trading or held in a portfolio managed and evaluated on a fair value basis), the financial assets are classified as FVSD.</w:t>
      </w:r>
    </w:p>
    <w:p w14:paraId="329DA94E" w14:textId="77777777" w:rsidR="00752486" w:rsidRDefault="00023E71" w:rsidP="00752486">
      <w:pPr>
        <w:pStyle w:val="DGTextstand-alone"/>
      </w:pPr>
      <w:r>
        <w:t>Financial assets with contractual cash flows that do not represent only principal and interest</w:t>
      </w:r>
      <w:r w:rsidR="00690E6C">
        <w:t>, but introduce exposure to risks and v</w:t>
      </w:r>
      <w:r>
        <w:t>olatility other than those present in a basic lending arrangement</w:t>
      </w:r>
      <w:r w:rsidR="00690E6C">
        <w:t xml:space="preserve"> (e.g. changes in equity prices),</w:t>
      </w:r>
      <w:r>
        <w:t xml:space="preserve"> are classified as FVSD regardless of the management model.</w:t>
      </w:r>
    </w:p>
    <w:p w14:paraId="6574F611" w14:textId="77777777" w:rsidR="003D353B" w:rsidRDefault="00023E71" w:rsidP="00752486">
      <w:pPr>
        <w:pStyle w:val="DGTextstand-alone"/>
      </w:pPr>
      <w:r>
        <w:t>At initial recognition, the EU classifies the financial assets as follows:</w:t>
      </w:r>
    </w:p>
    <w:p w14:paraId="5310D71F" w14:textId="77777777" w:rsidR="003B7E26" w:rsidRDefault="00023E71" w:rsidP="003B7E26">
      <w:pPr>
        <w:pStyle w:val="TextSubtitlenumberingRCItalic"/>
        <w:keepNext/>
        <w:ind w:left="357" w:hanging="357"/>
        <w:rPr>
          <w:noProof/>
        </w:rPr>
      </w:pPr>
      <w:r>
        <w:rPr>
          <w:noProof/>
        </w:rPr>
        <w:t>Financial assets at amortised cost</w:t>
      </w:r>
    </w:p>
    <w:p w14:paraId="48199E26" w14:textId="77777777" w:rsidR="003B7E26" w:rsidRDefault="00023E71" w:rsidP="003B7E26">
      <w:pPr>
        <w:pStyle w:val="DGTextstand-alone"/>
      </w:pPr>
      <w:r>
        <w:t>The EU classifies in this category:</w:t>
      </w:r>
    </w:p>
    <w:p w14:paraId="19D4E223" w14:textId="77777777" w:rsidR="007E02E9" w:rsidRPr="00C80356" w:rsidRDefault="00023E71" w:rsidP="003F6AAD">
      <w:pPr>
        <w:pStyle w:val="DGTextstand-alonedashesjustified"/>
        <w:rPr>
          <w:lang w:eastAsia="en-GB"/>
        </w:rPr>
      </w:pPr>
      <w:r>
        <w:rPr>
          <w:lang w:eastAsia="en-GB"/>
        </w:rPr>
        <w:t>c</w:t>
      </w:r>
      <w:r w:rsidR="007647AB" w:rsidRPr="00C80356">
        <w:rPr>
          <w:lang w:eastAsia="en-GB"/>
        </w:rPr>
        <w:t>ash and cash equivalents</w:t>
      </w:r>
      <w:r>
        <w:rPr>
          <w:lang w:eastAsia="en-GB"/>
        </w:rPr>
        <w:t xml:space="preserve"> </w:t>
      </w:r>
      <w:r w:rsidRPr="00542508">
        <w:rPr>
          <w:lang w:eastAsia="en-GB"/>
        </w:rPr>
        <w:t>(including reverse repurchase agreements)</w:t>
      </w:r>
      <w:r w:rsidR="007647AB" w:rsidRPr="00C80356">
        <w:rPr>
          <w:lang w:eastAsia="en-GB"/>
        </w:rPr>
        <w:t>;</w:t>
      </w:r>
    </w:p>
    <w:p w14:paraId="16F41363" w14:textId="77777777" w:rsidR="007E02E9" w:rsidRPr="00C80356" w:rsidRDefault="00023E71" w:rsidP="003F6AAD">
      <w:pPr>
        <w:pStyle w:val="DGTextstand-alonedashesjustified"/>
        <w:rPr>
          <w:lang w:eastAsia="en-GB"/>
        </w:rPr>
      </w:pPr>
      <w:r>
        <w:rPr>
          <w:lang w:eastAsia="en-GB"/>
        </w:rPr>
        <w:t>l</w:t>
      </w:r>
      <w:r w:rsidR="007647AB" w:rsidRPr="00C80356">
        <w:rPr>
          <w:lang w:eastAsia="en-GB"/>
        </w:rPr>
        <w:t>oans (including term deposits with original maturity of more than three months);</w:t>
      </w:r>
    </w:p>
    <w:p w14:paraId="2C98790F" w14:textId="77777777" w:rsidR="003B7E26" w:rsidRPr="00C80356" w:rsidRDefault="00023E71" w:rsidP="003F6AAD">
      <w:pPr>
        <w:pStyle w:val="DGTextstand-alonedashesjustified"/>
        <w:rPr>
          <w:lang w:eastAsia="en-GB"/>
        </w:rPr>
      </w:pPr>
      <w:r>
        <w:rPr>
          <w:lang w:eastAsia="en-GB"/>
        </w:rPr>
        <w:t>e</w:t>
      </w:r>
      <w:r w:rsidR="007647AB" w:rsidRPr="00C80356">
        <w:rPr>
          <w:lang w:eastAsia="en-GB"/>
        </w:rPr>
        <w:t>xchange receivables, except for the financial guarantee contract receivable leg classified as financial asset at fair value through surplus or deficit.</w:t>
      </w:r>
    </w:p>
    <w:p w14:paraId="706901D9" w14:textId="77777777" w:rsidR="003B7E26" w:rsidRDefault="00023E71" w:rsidP="003B7E26">
      <w:pPr>
        <w:pStyle w:val="DGTextstand-alone"/>
      </w:pPr>
      <w:r>
        <w:t>These non-derivative financial assets meet two conditions: The EU’s management model is to hold them in order to collect the contractual cash flows. Furthermore, on specified days, there are contractual cash flows that represent only principal and interest on the outstanding principal.</w:t>
      </w:r>
    </w:p>
    <w:p w14:paraId="0778D407" w14:textId="77777777" w:rsidR="00542508" w:rsidRDefault="00023E71" w:rsidP="003B7E26">
      <w:pPr>
        <w:pStyle w:val="DGTextstand-alone"/>
      </w:pPr>
      <w:r w:rsidRPr="00542508">
        <w:t xml:space="preserve">A reverse repurchase agreement (‘reverse repo’) is an agreement where one party buys securities </w:t>
      </w:r>
      <w:r>
        <w:t>from</w:t>
      </w:r>
      <w:r w:rsidRPr="00542508">
        <w:t xml:space="preserve"> another </w:t>
      </w:r>
      <w:r>
        <w:t xml:space="preserve">party </w:t>
      </w:r>
      <w:r w:rsidRPr="00542508">
        <w:t xml:space="preserve">with the agreement to resell them later at an agreed </w:t>
      </w:r>
      <w:r>
        <w:t xml:space="preserve">upon </w:t>
      </w:r>
      <w:r w:rsidRPr="00542508">
        <w:t xml:space="preserve">price. </w:t>
      </w:r>
      <w:r w:rsidR="003E285E">
        <w:t>T</w:t>
      </w:r>
      <w:r w:rsidRPr="00542508">
        <w:t xml:space="preserve">he economic substance of this transaction is akin to a collateralised term deposit. The risks and rewards of the security remain with the transferor, while the </w:t>
      </w:r>
      <w:r w:rsidR="003E285E">
        <w:t>transferee</w:t>
      </w:r>
      <w:r w:rsidRPr="00542508">
        <w:t xml:space="preserve"> expects to receive back the principal and the contractual interest. </w:t>
      </w:r>
      <w:r w:rsidR="003E285E">
        <w:t xml:space="preserve">Accordingly, </w:t>
      </w:r>
      <w:r w:rsidR="00F77699">
        <w:t xml:space="preserve">reverse repo transactions </w:t>
      </w:r>
      <w:r w:rsidR="003E285E">
        <w:t>are accounted for at amortised cost. The EU enters into these transactions exclusively for the purpose of managing liquidity</w:t>
      </w:r>
      <w:r w:rsidR="00F77699">
        <w:t xml:space="preserve">, taking advantage of the opportunity to place surplus cash holidings at attractive rates over a very short period not exceeding 3 months. Consequently, </w:t>
      </w:r>
      <w:r w:rsidRPr="00542508">
        <w:t>they are categorised as cash and cash equivalents.</w:t>
      </w:r>
      <w:r w:rsidR="003E285E">
        <w:t xml:space="preserve"> </w:t>
      </w:r>
    </w:p>
    <w:p w14:paraId="416ABD20" w14:textId="77777777" w:rsidR="003D353B" w:rsidRDefault="00023E71" w:rsidP="003B7E26">
      <w:pPr>
        <w:pStyle w:val="DGTextstand-alone"/>
      </w:pPr>
      <w:r>
        <w:t>Financial assets at amortised cost are included in current assets, except for those with maturity of more than 12 months from the reporting date.</w:t>
      </w:r>
    </w:p>
    <w:p w14:paraId="36E65163" w14:textId="77777777" w:rsidR="003B7E26" w:rsidRPr="00D12634" w:rsidRDefault="00023E71" w:rsidP="003B7E26">
      <w:pPr>
        <w:pStyle w:val="TextSubtitlenumberingRCItalic"/>
        <w:keepNext/>
        <w:ind w:left="357" w:hanging="357"/>
        <w:rPr>
          <w:noProof/>
        </w:rPr>
      </w:pPr>
      <w:bookmarkStart w:id="79" w:name="_Hlk160553848"/>
      <w:r>
        <w:rPr>
          <w:noProof/>
        </w:rPr>
        <w:t>Financial assets at fair value through net assets/equity</w:t>
      </w:r>
    </w:p>
    <w:p w14:paraId="3CCD17DC" w14:textId="77777777" w:rsidR="003B7E26" w:rsidRDefault="00023E71" w:rsidP="003B7E26">
      <w:pPr>
        <w:pStyle w:val="DGTextstand-alone"/>
      </w:pPr>
      <w:r>
        <w:t>These non-derivatives financial assets have contractual cash flows that represent only principal and interest on the outstanding principal. In addition, the management model is to hold the financial assets both to collect contractual cash flows and to sell the financial assets.</w:t>
      </w:r>
    </w:p>
    <w:p w14:paraId="2319250C" w14:textId="77777777" w:rsidR="003B7E26" w:rsidRDefault="00023E71" w:rsidP="003B7E26">
      <w:pPr>
        <w:pStyle w:val="DGTextstand-alone"/>
      </w:pPr>
      <w:r>
        <w:t>Assets in this category are classified as current assets, if they are expected to be realised within 12 months from the reporting date.</w:t>
      </w:r>
    </w:p>
    <w:p w14:paraId="16AEF3D6" w14:textId="77777777" w:rsidR="00A31ED8" w:rsidRPr="00783A33" w:rsidRDefault="00023E71" w:rsidP="003D353B">
      <w:pPr>
        <w:pStyle w:val="DGTextstand-alone"/>
      </w:pPr>
      <w:r w:rsidRPr="00783A33">
        <w:t xml:space="preserve">The EU does not hold such assets at </w:t>
      </w:r>
      <w:r>
        <w:t>the end of this reporting period.</w:t>
      </w:r>
    </w:p>
    <w:bookmarkEnd w:id="79"/>
    <w:p w14:paraId="50CD0E3E" w14:textId="77777777" w:rsidR="003D353B" w:rsidRDefault="00023E71" w:rsidP="00783A33">
      <w:pPr>
        <w:pStyle w:val="TextSubtitlenumberingRCItalic"/>
        <w:keepNext/>
        <w:ind w:left="357" w:hanging="357"/>
        <w:rPr>
          <w:noProof/>
        </w:rPr>
      </w:pPr>
      <w:r w:rsidRPr="00783A33">
        <w:rPr>
          <w:noProof/>
        </w:rPr>
        <w:t>Financial assets at fair value through surplus or</w:t>
      </w:r>
      <w:r>
        <w:rPr>
          <w:noProof/>
        </w:rPr>
        <w:t xml:space="preserve"> deficit</w:t>
      </w:r>
    </w:p>
    <w:p w14:paraId="65A82E86" w14:textId="77777777" w:rsidR="003B7E26" w:rsidRDefault="00023E71" w:rsidP="003B7E26">
      <w:pPr>
        <w:pStyle w:val="DGTextstand-alone"/>
      </w:pPr>
      <w:r>
        <w:t>The EU classifies the following financial assets as FVSD because the contractual cash flows do not represent only principal and interest on the principal:</w:t>
      </w:r>
    </w:p>
    <w:p w14:paraId="000DA7E5" w14:textId="77777777" w:rsidR="003B7E26" w:rsidRPr="00C80356" w:rsidRDefault="00023E71" w:rsidP="003F6AAD">
      <w:pPr>
        <w:pStyle w:val="DGTextstand-alonedashesjustified"/>
        <w:rPr>
          <w:lang w:eastAsia="en-GB"/>
        </w:rPr>
      </w:pPr>
      <w:r>
        <w:rPr>
          <w:lang w:eastAsia="en-GB"/>
        </w:rPr>
        <w:t>d</w:t>
      </w:r>
      <w:r w:rsidR="007647AB" w:rsidRPr="00C80356">
        <w:rPr>
          <w:lang w:eastAsia="en-GB"/>
        </w:rPr>
        <w:t>erivatives;</w:t>
      </w:r>
    </w:p>
    <w:p w14:paraId="26EEAE2C" w14:textId="77777777" w:rsidR="003B7E26" w:rsidRPr="00C80356" w:rsidRDefault="00023E71" w:rsidP="003F6AAD">
      <w:pPr>
        <w:pStyle w:val="DGTextstand-alonedashesjustified"/>
        <w:rPr>
          <w:lang w:eastAsia="en-GB"/>
        </w:rPr>
      </w:pPr>
      <w:r>
        <w:rPr>
          <w:lang w:eastAsia="en-GB"/>
        </w:rPr>
        <w:t>e</w:t>
      </w:r>
      <w:r w:rsidR="007647AB" w:rsidRPr="00C80356">
        <w:rPr>
          <w:lang w:eastAsia="en-GB"/>
        </w:rPr>
        <w:t>quity investments and investments in money market funds or in pooled portfolio funds;</w:t>
      </w:r>
    </w:p>
    <w:p w14:paraId="2D9C8762" w14:textId="77777777" w:rsidR="003B7E26" w:rsidRPr="00C80356" w:rsidRDefault="00023E71" w:rsidP="003F6AAD">
      <w:pPr>
        <w:pStyle w:val="DGTextstand-alonedashesjustified"/>
        <w:rPr>
          <w:lang w:eastAsia="en-GB"/>
        </w:rPr>
      </w:pPr>
      <w:r>
        <w:rPr>
          <w:lang w:eastAsia="en-GB"/>
        </w:rPr>
        <w:t>o</w:t>
      </w:r>
      <w:r w:rsidR="007647AB" w:rsidRPr="00C80356">
        <w:rPr>
          <w:lang w:eastAsia="en-GB"/>
        </w:rPr>
        <w:t xml:space="preserve">ther equity-type investments (e.g. </w:t>
      </w:r>
      <w:r>
        <w:rPr>
          <w:lang w:eastAsia="en-GB"/>
        </w:rPr>
        <w:t>r</w:t>
      </w:r>
      <w:r w:rsidR="007647AB" w:rsidRPr="00C80356">
        <w:rPr>
          <w:lang w:eastAsia="en-GB"/>
        </w:rPr>
        <w:t xml:space="preserve">isk </w:t>
      </w:r>
      <w:r>
        <w:rPr>
          <w:lang w:eastAsia="en-GB"/>
        </w:rPr>
        <w:t>c</w:t>
      </w:r>
      <w:r w:rsidR="007647AB" w:rsidRPr="00C80356">
        <w:rPr>
          <w:lang w:eastAsia="en-GB"/>
        </w:rPr>
        <w:t xml:space="preserve">apital </w:t>
      </w:r>
      <w:r>
        <w:rPr>
          <w:lang w:eastAsia="en-GB"/>
        </w:rPr>
        <w:t>o</w:t>
      </w:r>
      <w:r w:rsidR="007647AB" w:rsidRPr="00C80356">
        <w:rPr>
          <w:lang w:eastAsia="en-GB"/>
        </w:rPr>
        <w:t>perations).</w:t>
      </w:r>
    </w:p>
    <w:p w14:paraId="690280F5" w14:textId="77777777" w:rsidR="003B7E26" w:rsidRDefault="00023E71" w:rsidP="003B7E26">
      <w:pPr>
        <w:pStyle w:val="DGTextstand-alone"/>
      </w:pPr>
      <w:r>
        <w:t xml:space="preserve">In addition, the EU classifies the debt securities it holds as FVSD because the portfolios of debt securities are managed and evaluated on a portfolio fair value basis (e.g. Common Provisioning Fund </w:t>
      </w:r>
      <w:r w:rsidRPr="00B86FFC">
        <w:t xml:space="preserve">under Article </w:t>
      </w:r>
      <w:r>
        <w:t>215</w:t>
      </w:r>
      <w:r w:rsidRPr="00B86FFC">
        <w:t xml:space="preserve"> of the Financial Regulation</w:t>
      </w:r>
      <w:r>
        <w:t>).</w:t>
      </w:r>
    </w:p>
    <w:p w14:paraId="201A265A" w14:textId="77777777" w:rsidR="003D353B" w:rsidRDefault="00023E71" w:rsidP="003B7E26">
      <w:pPr>
        <w:pStyle w:val="DGTextstand-alone"/>
      </w:pPr>
      <w:r>
        <w:t>Assets in this category are classified as current assets, if they are expected to be realised within 12 months from the reporting date.</w:t>
      </w:r>
    </w:p>
    <w:p w14:paraId="263DFB07" w14:textId="77777777" w:rsidR="003D353B" w:rsidRPr="00677A47" w:rsidRDefault="00023E71" w:rsidP="003D353B">
      <w:pPr>
        <w:pStyle w:val="HEADER5"/>
        <w:rPr>
          <w:b/>
          <w:noProof/>
        </w:rPr>
      </w:pPr>
      <w:r w:rsidRPr="00677A47">
        <w:rPr>
          <w:noProof/>
        </w:rPr>
        <w:t>Initial recognition and measurement</w:t>
      </w:r>
    </w:p>
    <w:p w14:paraId="32D3F517" w14:textId="77777777" w:rsidR="003B7E26" w:rsidRDefault="00023E71" w:rsidP="003B7E26">
      <w:pPr>
        <w:pStyle w:val="DGTextstand-alone"/>
      </w:pPr>
      <w:r>
        <w:t xml:space="preserve">Purchases of financial assets at fair value through net assets/equity and at fair value through surplus or deficit are recognised on their </w:t>
      </w:r>
      <w:r w:rsidR="008864C4">
        <w:t>trade date, i.e.</w:t>
      </w:r>
      <w:r>
        <w:t xml:space="preserve"> the date on which the EU commits to purchase the asset. Cash equivalents and loans are recognised when cash is deposited in a financial institution or advanced to borrowers.</w:t>
      </w:r>
    </w:p>
    <w:p w14:paraId="086E3A04" w14:textId="77777777" w:rsidR="003B7E26" w:rsidRDefault="00023E71" w:rsidP="003B7E26">
      <w:pPr>
        <w:pStyle w:val="DGTextstand-alone"/>
      </w:pPr>
      <w:r>
        <w:t>Financial assets are initially measured at fair value. For all financial assets not carried at fair value through surplus or deficit, the transactions costs are added to the fair value at initial recognition. For financial assets carried at fair value through surplus or deficit the transaction costs are expensed in the statement of financial performance.</w:t>
      </w:r>
    </w:p>
    <w:p w14:paraId="07B469F2" w14:textId="77777777" w:rsidR="003B7E26" w:rsidRDefault="00023E71" w:rsidP="003B7E26">
      <w:pPr>
        <w:pStyle w:val="DGTextstand-alone"/>
      </w:pPr>
      <w:r>
        <w:t>The fair value of a financial asset on initial recognition is normally the transaction price unless the transaction is not at arm’s length</w:t>
      </w:r>
      <w:r w:rsidR="00883938">
        <w:t>,</w:t>
      </w:r>
      <w:r>
        <w:t xml:space="preserve"> i.e. at no or at nominal consideration for public policy purposes. I</w:t>
      </w:r>
      <w:r w:rsidR="008864C4">
        <w:t xml:space="preserve">f that </w:t>
      </w:r>
      <w:r>
        <w:t>is the case, the difference between the fair value of the financial instrument and the transaction price is a non-exchange component which is recognised as an expense in the statement of financial performance. In this case, the fair value of a financial asset is derived from current market transactions for a directly equivalent instrument. If there is no active market for the instrument, the fair value is derived from a valuation technique that uses available data from observable markets.</w:t>
      </w:r>
    </w:p>
    <w:p w14:paraId="2F512F20" w14:textId="77777777" w:rsidR="003B7E26" w:rsidRDefault="00023E71" w:rsidP="003B7E26">
      <w:pPr>
        <w:pStyle w:val="DGTextstand-alone"/>
      </w:pPr>
      <w:r>
        <w:t>When a long-term loan that carries no interest or an interest below market conditions is granted, its fair value can be estimated as the present value of all future cash receipts discounted using the prevailing market rate of interest for a similar instrument with a similar credit rating.</w:t>
      </w:r>
    </w:p>
    <w:p w14:paraId="588999AB" w14:textId="77777777" w:rsidR="003B7E26" w:rsidRDefault="00023E71" w:rsidP="000D1AB5">
      <w:pPr>
        <w:pStyle w:val="DGTextstand-alone"/>
        <w:spacing w:after="120"/>
      </w:pPr>
      <w:r>
        <w:t>Loans granted under the Recovery and Resilience Facility and loans for financial assistance are initially measured at their nominal amount, with the transaction price considered the fair value of the loan. This is because:</w:t>
      </w:r>
    </w:p>
    <w:p w14:paraId="31D9140E" w14:textId="77777777" w:rsidR="003B7E26" w:rsidRPr="00C80356" w:rsidRDefault="00023E71" w:rsidP="003F6AAD">
      <w:pPr>
        <w:pStyle w:val="DGTextstand-alonedashesjustified"/>
        <w:rPr>
          <w:lang w:eastAsia="en-GB"/>
        </w:rPr>
      </w:pPr>
      <w:r w:rsidRPr="00C80356">
        <w:rPr>
          <w:lang w:eastAsia="en-GB"/>
        </w:rPr>
        <w:t>The ‘market environment’ for EU lending is very specific and different from the capital market used to issue commercial or government debt. As lenders in these markets have the opportunity to choose alternative investments, the opportunity of doing so is factored into market prices. However, this opportunity for alternative investments does not exist for the EU, which is not allowed to invest money in the capital markets; it only borrows funds for the purpose of lending. This means that there is no alternative lending or investment option available to the EU for the sums borrowed. Thus, there is no opportunity cost and therefore no basis of comparison with market rates. In fact, the EU lending operation itself represents the market. Essentially, since the opportunity cost ‘option’ is not applicable, the market price does not fairly reflect the substance of the EU lending transactions. Therefore, it is not appropriate to determine the fair value of EU lending with reference to commercial or government bonds.</w:t>
      </w:r>
    </w:p>
    <w:p w14:paraId="6FE33C3E" w14:textId="77777777" w:rsidR="00A31ED8" w:rsidRDefault="00023E71" w:rsidP="003F6AAD">
      <w:pPr>
        <w:pStyle w:val="DGTextstand-alonedashesjustified"/>
        <w:rPr>
          <w:lang w:eastAsia="en-GB"/>
        </w:rPr>
      </w:pPr>
      <w:r w:rsidRPr="00C80356">
        <w:rPr>
          <w:lang w:eastAsia="en-GB"/>
        </w:rPr>
        <w:t>Furthermore, as there is no active market or similar transactions to compare with, the interest rate to be used by the EU for fair valuing its lending operations should be the interest rate charged.</w:t>
      </w:r>
    </w:p>
    <w:p w14:paraId="7B8B0A96" w14:textId="77777777" w:rsidR="003D353B" w:rsidRPr="009575C8" w:rsidRDefault="00023E71" w:rsidP="000D1AB5">
      <w:pPr>
        <w:pStyle w:val="HEADER5"/>
        <w:rPr>
          <w:noProof/>
        </w:rPr>
      </w:pPr>
      <w:r w:rsidRPr="009575C8">
        <w:rPr>
          <w:noProof/>
        </w:rPr>
        <w:t>Subsequent measurement</w:t>
      </w:r>
    </w:p>
    <w:p w14:paraId="20220445" w14:textId="77777777" w:rsidR="00A00093" w:rsidRDefault="00023E71" w:rsidP="00A00093">
      <w:pPr>
        <w:pStyle w:val="DGTextstand-alone"/>
      </w:pPr>
      <w:r>
        <w:t>Financial assets at amortised cost are subsequently measured at amortised cost using the effective interest method.</w:t>
      </w:r>
    </w:p>
    <w:p w14:paraId="540A9492" w14:textId="77777777" w:rsidR="00A00093" w:rsidRDefault="00023E71" w:rsidP="00A00093">
      <w:pPr>
        <w:pStyle w:val="DGTextstand-alone"/>
      </w:pPr>
      <w:r>
        <w:t>Financial assets at fair value through net assets/equity are subsequently measured at fair value. Gains and losses from changes in the fair value are recognised in the fair value reserve, except for foreign exchange translation differences on monetary assets, which are recognised in the statement of financial performance.</w:t>
      </w:r>
    </w:p>
    <w:p w14:paraId="34F28626" w14:textId="77777777" w:rsidR="003D353B" w:rsidRDefault="00023E71" w:rsidP="003D353B">
      <w:pPr>
        <w:pStyle w:val="DGTextstand-alone"/>
      </w:pPr>
      <w:r>
        <w:t>Financial assets at fair value through surplus or deficit are subsequently measured at fair value. Gains and losses from changes in the fair value (including those stemming from foreign currency translation and any interest earned) are included in the statement of financial performance in the period in which they arise.</w:t>
      </w:r>
    </w:p>
    <w:p w14:paraId="571122DD" w14:textId="77777777" w:rsidR="00A00093" w:rsidRPr="00A00093" w:rsidRDefault="00023E71" w:rsidP="00A00093">
      <w:pPr>
        <w:pStyle w:val="HEADER5"/>
        <w:rPr>
          <w:noProof/>
        </w:rPr>
      </w:pPr>
      <w:r>
        <w:rPr>
          <w:noProof/>
        </w:rPr>
        <w:t>Fair value at subsequent measurement</w:t>
      </w:r>
    </w:p>
    <w:p w14:paraId="477367EE" w14:textId="77777777" w:rsidR="00A00093" w:rsidRDefault="00023E71" w:rsidP="00A00093">
      <w:pPr>
        <w:pStyle w:val="DGTextstand-alone"/>
      </w:pPr>
      <w:r>
        <w:t>The fair values of quoted investments in active markets are based on current bid prices. If the market for a financial asset is not active (and for unlisted securities and over-the–counter derivatives), the EU establishes a fair value by using valuation techniques. These include the use of recent arm’s length transactions, reference to other instruments that are substantially the same, discounted cashflow analysis, option pricing models and other valuation techniques commonly used by market participants.</w:t>
      </w:r>
    </w:p>
    <w:p w14:paraId="3166E1AA" w14:textId="77777777" w:rsidR="00A00093" w:rsidRDefault="00023E71" w:rsidP="00A00093">
      <w:pPr>
        <w:pStyle w:val="DGTextstand-alone"/>
      </w:pPr>
      <w:r>
        <w:t>Investments in venture capital funds which do not have a quoted market price in an active market are valued at the attributable net asset value, which is considered as an equivalent of their fair value.</w:t>
      </w:r>
    </w:p>
    <w:p w14:paraId="52EC062E" w14:textId="77777777" w:rsidR="003D353B" w:rsidRPr="00677A47" w:rsidRDefault="00023E71" w:rsidP="003D353B">
      <w:pPr>
        <w:pStyle w:val="HEADER5"/>
        <w:rPr>
          <w:b/>
          <w:noProof/>
        </w:rPr>
      </w:pPr>
      <w:r w:rsidRPr="00677A47">
        <w:rPr>
          <w:noProof/>
        </w:rPr>
        <w:t>Impairment of financial assets</w:t>
      </w:r>
    </w:p>
    <w:p w14:paraId="43B6013B" w14:textId="77777777" w:rsidR="00A00093" w:rsidRDefault="00023E71" w:rsidP="00A00093">
      <w:pPr>
        <w:pStyle w:val="DGTextstand-alone"/>
      </w:pPr>
      <w:r>
        <w:t>The EU recognises and measures an impairment loss for expected credit losses on financial assets that are measured at amortised cost and at fair value through net assets/equity.</w:t>
      </w:r>
    </w:p>
    <w:p w14:paraId="385A0B34" w14:textId="77777777" w:rsidR="00E36B52" w:rsidRDefault="00023E71" w:rsidP="00A00093">
      <w:pPr>
        <w:pStyle w:val="DGTextstand-alone"/>
      </w:pPr>
      <w:r>
        <w:t>For assets at amortised cost, the asset’s carrying amount is reduced by the amount of the impairment loss which is recognised in the statement of financial performance. For assets at fair value through net assets/equity</w:t>
      </w:r>
      <w:r w:rsidR="008864C4">
        <w:t>,</w:t>
      </w:r>
      <w:r>
        <w:t xml:space="preserve"> the loss allowance is recognised in net assets/equity and does not reduce the carrying amount of the financial asset in the balance sheet. If, in a subsequent period, the amount of the impairment loss decreases, the previously recognised impairment loss is reversed through the statement of financial performance.</w:t>
      </w:r>
    </w:p>
    <w:p w14:paraId="716C8A67" w14:textId="77777777" w:rsidR="00A00093" w:rsidRDefault="00023E71" w:rsidP="00A00093">
      <w:pPr>
        <w:pStyle w:val="DGTextstand-alone"/>
      </w:pPr>
      <w:r>
        <w:t>The expected credit loss (ECL) is the present value of the difference between the contractual cash flows and the cash flows that the EU expects to receive. The ECL incorporates reasonable and supportable information that is available without undue cost or effort at the reporting date.</w:t>
      </w:r>
    </w:p>
    <w:p w14:paraId="6C067A51" w14:textId="77777777" w:rsidR="004C0F05" w:rsidRDefault="00023E71" w:rsidP="008864C4">
      <w:pPr>
        <w:pStyle w:val="TextSubtitleItalicnumberinglettera"/>
        <w:rPr>
          <w:noProof/>
        </w:rPr>
      </w:pPr>
      <w:r>
        <w:rPr>
          <w:noProof/>
        </w:rPr>
        <w:t>Staging policies</w:t>
      </w:r>
    </w:p>
    <w:p w14:paraId="4F8F5AA7" w14:textId="77777777" w:rsidR="00A00093" w:rsidRDefault="00023E71" w:rsidP="00A00093">
      <w:pPr>
        <w:pStyle w:val="DGTextstand-alone"/>
      </w:pPr>
      <w:r>
        <w:t>The ECL is measured with a three stage model that takes into account probability</w:t>
      </w:r>
      <w:r w:rsidR="00883938">
        <w:t>-</w:t>
      </w:r>
      <w:r>
        <w:t>weighted default events during the lifetime of the financial asset and the evolution of credit risk since the origination of the financial asset. For loans, origination is the date of the irrevocable loan commitment.</w:t>
      </w:r>
    </w:p>
    <w:p w14:paraId="4995A1CB" w14:textId="77777777" w:rsidR="009D621C" w:rsidRPr="00E36B52" w:rsidRDefault="00023E71" w:rsidP="009D621C">
      <w:pPr>
        <w:pStyle w:val="DGTextstand-alone"/>
      </w:pPr>
      <w:r w:rsidRPr="00E36B52">
        <w:t xml:space="preserve">The allocation to stages mainly depends on the counterparty’s credit rating. The staging model relies on a relative assessment of credit risk, that is, the EU may have different loans with the same counterparty in different stages, depending on the counterparty’s credit risk at origination. The EU, having a unique institutional status, lends money to its Member States or to sovereigns in difficulty. As a result, the EU also applies a qualitative assessment of the credit risk based on monitoring the economic situation of borrowers in difficulty. </w:t>
      </w:r>
    </w:p>
    <w:p w14:paraId="0C6CBC85" w14:textId="77777777" w:rsidR="009D621C" w:rsidRPr="00E36B52" w:rsidRDefault="00023E71" w:rsidP="00D0756A">
      <w:pPr>
        <w:pStyle w:val="DGTextstand-alone"/>
        <w:rPr>
          <w:i/>
        </w:rPr>
      </w:pPr>
      <w:r w:rsidRPr="00E36B52">
        <w:rPr>
          <w:i/>
        </w:rPr>
        <w:t>Stage 1</w:t>
      </w:r>
      <w:r w:rsidR="00142493">
        <w:rPr>
          <w:i/>
        </w:rPr>
        <w:t xml:space="preserve"> – </w:t>
      </w:r>
      <w:r w:rsidRPr="00E36B52">
        <w:rPr>
          <w:i/>
        </w:rPr>
        <w:t xml:space="preserve">No significant increase in credit risk </w:t>
      </w:r>
    </w:p>
    <w:p w14:paraId="4288F0A4" w14:textId="77777777" w:rsidR="009D621C" w:rsidRPr="00E36B52" w:rsidRDefault="00023E71" w:rsidP="009D621C">
      <w:pPr>
        <w:pStyle w:val="DGTextstand-alone"/>
      </w:pPr>
      <w:r w:rsidRPr="00E36B52">
        <w:t xml:space="preserve">Loans to counterparties with credit ratings in the investment grade (i.e. between AAA (Aaa) and BBB- (Baa3) on the S&amp;P/Fitch (Moody’s) rating scale or an equivalent external or internal rating) at the reporting date, are considered low credit risk loans, and thus held in Stage 1, except if they are overdue for more than 30 days (see Stage 2). In addition, any loans for which a significant increase in credit risk did not occur, as defined below, are classified to Stage 1. For the </w:t>
      </w:r>
      <w:r w:rsidR="00C76552" w:rsidRPr="00E36B52">
        <w:t>loans</w:t>
      </w:r>
      <w:r w:rsidRPr="00E36B52">
        <w:t xml:space="preserve"> in Stage 1, the impairment allowance is measured at the level of the 12 month expected credit losses.</w:t>
      </w:r>
    </w:p>
    <w:p w14:paraId="1A849182" w14:textId="77777777" w:rsidR="009D621C" w:rsidRPr="00E36B52" w:rsidRDefault="00023E71" w:rsidP="00D0756A">
      <w:pPr>
        <w:pStyle w:val="DGTextstand-alone"/>
        <w:rPr>
          <w:i/>
        </w:rPr>
      </w:pPr>
      <w:r w:rsidRPr="00E36B52">
        <w:rPr>
          <w:i/>
        </w:rPr>
        <w:t>Stage 2</w:t>
      </w:r>
      <w:r w:rsidR="00142493">
        <w:rPr>
          <w:i/>
        </w:rPr>
        <w:t xml:space="preserve"> – </w:t>
      </w:r>
      <w:r w:rsidRPr="00E36B52">
        <w:rPr>
          <w:i/>
        </w:rPr>
        <w:t>Significant increase in credit risk</w:t>
      </w:r>
      <w:r w:rsidR="008864C4">
        <w:rPr>
          <w:i/>
        </w:rPr>
        <w:t xml:space="preserve"> (SICR)</w:t>
      </w:r>
    </w:p>
    <w:p w14:paraId="6ACED81A" w14:textId="77777777" w:rsidR="009D621C" w:rsidRPr="00E36B52" w:rsidRDefault="00023E71" w:rsidP="009D621C">
      <w:pPr>
        <w:pStyle w:val="DGTextstand-alone"/>
        <w:spacing w:after="120"/>
      </w:pPr>
      <w:r w:rsidRPr="00E36B52">
        <w:t>In order to determine whether there has been a significant increase in the credit risk since origination, and thus whether a move to Stage 2 applies, the EU applies a combination of quantitative and qualitative assessments:</w:t>
      </w:r>
    </w:p>
    <w:p w14:paraId="1C456046" w14:textId="77777777" w:rsidR="009D621C" w:rsidRPr="00E36B52" w:rsidRDefault="00023E71" w:rsidP="006B1EFB">
      <w:pPr>
        <w:pStyle w:val="DGTextstand-alonedashesjustified"/>
        <w:rPr>
          <w:lang w:eastAsia="en-GB"/>
        </w:rPr>
      </w:pPr>
      <w:r>
        <w:rPr>
          <w:lang w:eastAsia="en-GB"/>
        </w:rPr>
        <w:t>a</w:t>
      </w:r>
      <w:r w:rsidR="007647AB" w:rsidRPr="00E36B52">
        <w:rPr>
          <w:lang w:eastAsia="en-GB"/>
        </w:rPr>
        <w:t>ll loans for which contractual payments are overdue by between 31 and 90 days, are moved to Stage 2;</w:t>
      </w:r>
    </w:p>
    <w:p w14:paraId="2C8B169A" w14:textId="77777777" w:rsidR="009D621C" w:rsidRPr="00E36B52" w:rsidRDefault="00023E71" w:rsidP="006B1EFB">
      <w:pPr>
        <w:pStyle w:val="DGTextstand-alonedashesjustified"/>
        <w:rPr>
          <w:lang w:eastAsia="en-GB"/>
        </w:rPr>
      </w:pPr>
      <w:r>
        <w:rPr>
          <w:lang w:eastAsia="en-GB"/>
        </w:rPr>
        <w:t>f</w:t>
      </w:r>
      <w:r w:rsidR="007647AB" w:rsidRPr="00E36B52">
        <w:rPr>
          <w:lang w:eastAsia="en-GB"/>
        </w:rPr>
        <w:t>or counterparties with credit ratings between AAA (Aaa) and BB- (Ba3) at the initial recognition date: Unless the low risk case (above in Stage 1) applies, the deterioration is considered significant if the difference between the rating at origination and that at the reporting date is equal or superior to 3 notches;</w:t>
      </w:r>
    </w:p>
    <w:p w14:paraId="6EEEDC1F" w14:textId="77777777" w:rsidR="009D621C" w:rsidRPr="00E36B52" w:rsidRDefault="00023E71" w:rsidP="006B1EFB">
      <w:pPr>
        <w:pStyle w:val="DGTextstand-alonedashesjustified"/>
        <w:rPr>
          <w:lang w:eastAsia="en-GB"/>
        </w:rPr>
      </w:pPr>
      <w:r>
        <w:rPr>
          <w:lang w:eastAsia="en-GB"/>
        </w:rPr>
        <w:t>f</w:t>
      </w:r>
      <w:r w:rsidR="007647AB" w:rsidRPr="00E36B52">
        <w:rPr>
          <w:lang w:eastAsia="en-GB"/>
        </w:rPr>
        <w:t>or counterparties with credit ratings of B+ (B1) or B (B2) at initial recognition date: The deterioration is considered significant if the difference between the initial rating and the current rating is equal or superior to 2 notches;</w:t>
      </w:r>
    </w:p>
    <w:p w14:paraId="5C7F8AB8" w14:textId="77777777" w:rsidR="009D621C" w:rsidRPr="00E36B52" w:rsidRDefault="00023E71" w:rsidP="006B1EFB">
      <w:pPr>
        <w:pStyle w:val="DGTextstand-alonedashesjustified"/>
        <w:rPr>
          <w:lang w:eastAsia="en-GB"/>
        </w:rPr>
      </w:pPr>
      <w:r>
        <w:rPr>
          <w:lang w:eastAsia="en-GB"/>
        </w:rPr>
        <w:t>f</w:t>
      </w:r>
      <w:r w:rsidR="007647AB" w:rsidRPr="00E36B52">
        <w:rPr>
          <w:lang w:eastAsia="en-GB"/>
        </w:rPr>
        <w:t>or counterparties with credit ratings of B- (B3) or lower (in CCC/Caa</w:t>
      </w:r>
      <w:r w:rsidR="00142493">
        <w:rPr>
          <w:lang w:eastAsia="en-GB"/>
        </w:rPr>
        <w:t xml:space="preserve"> – </w:t>
      </w:r>
      <w:r w:rsidR="007647AB">
        <w:rPr>
          <w:lang w:eastAsia="en-GB"/>
        </w:rPr>
        <w:t>C</w:t>
      </w:r>
      <w:r w:rsidR="007647AB" w:rsidRPr="00E36B52">
        <w:rPr>
          <w:lang w:eastAsia="en-GB"/>
        </w:rPr>
        <w:t xml:space="preserve"> range)</w:t>
      </w:r>
      <w:r w:rsidR="007647AB">
        <w:rPr>
          <w:lang w:eastAsia="en-GB"/>
        </w:rPr>
        <w:t xml:space="preserve"> </w:t>
      </w:r>
      <w:r w:rsidR="007647AB" w:rsidRPr="00E36B52">
        <w:rPr>
          <w:lang w:eastAsia="en-GB"/>
        </w:rPr>
        <w:t>at the initial recognition date: The deterioration is considered significant if the difference between the initial rating and the current rating at the reporting date is equal or superior to 1 notch; and</w:t>
      </w:r>
    </w:p>
    <w:p w14:paraId="23F99F9E" w14:textId="77777777" w:rsidR="009D621C" w:rsidRPr="00E36B52" w:rsidRDefault="00023E71" w:rsidP="006B1EFB">
      <w:pPr>
        <w:pStyle w:val="DGTextstand-alonedashesjustified"/>
        <w:rPr>
          <w:lang w:eastAsia="en-GB"/>
        </w:rPr>
      </w:pPr>
      <w:r>
        <w:rPr>
          <w:lang w:eastAsia="en-GB"/>
        </w:rPr>
        <w:t>l</w:t>
      </w:r>
      <w:r w:rsidR="007647AB" w:rsidRPr="00E36B52">
        <w:rPr>
          <w:lang w:eastAsia="en-GB"/>
        </w:rPr>
        <w:t>oans originated before the transition to the revised EAR 11 (i.e. 1 January 2021), for which no information on the credit risk at initial recognition is available without undue cost and effort are classified to Stage 2.</w:t>
      </w:r>
    </w:p>
    <w:p w14:paraId="3A6D4405" w14:textId="77777777" w:rsidR="009D621C" w:rsidRPr="00E36B52" w:rsidRDefault="00023E71" w:rsidP="009D621C">
      <w:pPr>
        <w:pStyle w:val="DGTextstand-alone"/>
      </w:pPr>
      <w:r w:rsidRPr="00E36B52">
        <w:t>For loans in Stage 2, the impairment allowance is measured at the level of lifetime expected credit losses.</w:t>
      </w:r>
    </w:p>
    <w:p w14:paraId="0CD74292" w14:textId="77777777" w:rsidR="009D621C" w:rsidRPr="00E36B52" w:rsidRDefault="00023E71" w:rsidP="00D0756A">
      <w:pPr>
        <w:pStyle w:val="DGTextstand-alone"/>
        <w:rPr>
          <w:i/>
        </w:rPr>
      </w:pPr>
      <w:r w:rsidRPr="00E36B52">
        <w:rPr>
          <w:i/>
        </w:rPr>
        <w:t>Stage 3</w:t>
      </w:r>
      <w:r w:rsidR="00142493">
        <w:rPr>
          <w:i/>
        </w:rPr>
        <w:t xml:space="preserve"> – </w:t>
      </w:r>
      <w:r w:rsidRPr="00E36B52">
        <w:rPr>
          <w:i/>
        </w:rPr>
        <w:t xml:space="preserve">Credit impaired loans </w:t>
      </w:r>
    </w:p>
    <w:p w14:paraId="39218AD8" w14:textId="77777777" w:rsidR="009D621C" w:rsidRPr="00E36B52" w:rsidRDefault="00023E71" w:rsidP="009D621C">
      <w:pPr>
        <w:pStyle w:val="DGTextstand-alone"/>
        <w:spacing w:after="120"/>
      </w:pPr>
      <w:r w:rsidRPr="00E36B52">
        <w:t xml:space="preserve">Loans are classified in Stage 3 when they are 90 days past due or when one or more events occur after the loan origination that have a detrimental impact on the estimated future cash flows of that financial asset. For example, a loan is classified to Stage 3, if: </w:t>
      </w:r>
    </w:p>
    <w:p w14:paraId="56D855F6" w14:textId="77777777" w:rsidR="009D621C" w:rsidRPr="00E36B52" w:rsidRDefault="00023E71" w:rsidP="006B1EFB">
      <w:pPr>
        <w:pStyle w:val="DGTextstand-alonedashesjustified"/>
        <w:rPr>
          <w:lang w:eastAsia="en-GB"/>
        </w:rPr>
      </w:pPr>
      <w:r>
        <w:rPr>
          <w:lang w:eastAsia="en-GB"/>
        </w:rPr>
        <w:t>i</w:t>
      </w:r>
      <w:r w:rsidR="007647AB" w:rsidRPr="00E36B52">
        <w:rPr>
          <w:lang w:eastAsia="en-GB"/>
        </w:rPr>
        <w:t>t is becoming probable that a borrower will enter bankruptcy or other financial reorganisation;</w:t>
      </w:r>
    </w:p>
    <w:p w14:paraId="4466A1DF" w14:textId="77777777" w:rsidR="009D621C" w:rsidRPr="00E36B52" w:rsidRDefault="00023E71" w:rsidP="006B1EFB">
      <w:pPr>
        <w:pStyle w:val="DGTextstand-alonedashesjustified"/>
        <w:rPr>
          <w:lang w:eastAsia="en-GB"/>
        </w:rPr>
      </w:pPr>
      <w:r>
        <w:rPr>
          <w:lang w:eastAsia="en-GB"/>
        </w:rPr>
        <w:t>t</w:t>
      </w:r>
      <w:r w:rsidR="007647AB" w:rsidRPr="00E36B52">
        <w:rPr>
          <w:lang w:eastAsia="en-GB"/>
        </w:rPr>
        <w:t xml:space="preserve">he borrower has a </w:t>
      </w:r>
      <w:r w:rsidR="007647AB">
        <w:rPr>
          <w:lang w:eastAsia="en-GB"/>
        </w:rPr>
        <w:t xml:space="preserve">credit </w:t>
      </w:r>
      <w:r w:rsidR="007647AB" w:rsidRPr="00E36B52">
        <w:rPr>
          <w:lang w:eastAsia="en-GB"/>
        </w:rPr>
        <w:t>rating of D published by an external rating agency; and</w:t>
      </w:r>
    </w:p>
    <w:p w14:paraId="305CCA3E" w14:textId="77777777" w:rsidR="009D621C" w:rsidRPr="00E36B52" w:rsidRDefault="00023E71" w:rsidP="006B1EFB">
      <w:pPr>
        <w:pStyle w:val="DGTextstand-alonedashesjustified"/>
        <w:rPr>
          <w:lang w:eastAsia="en-GB"/>
        </w:rPr>
      </w:pPr>
      <w:r>
        <w:rPr>
          <w:lang w:eastAsia="en-GB"/>
        </w:rPr>
        <w:t>t</w:t>
      </w:r>
      <w:r w:rsidR="007647AB" w:rsidRPr="00E36B52">
        <w:rPr>
          <w:lang w:eastAsia="en-GB"/>
        </w:rPr>
        <w:t xml:space="preserve">he borrower is in default under any financial obligation towards the EU, or in </w:t>
      </w:r>
      <w:r>
        <w:rPr>
          <w:lang w:eastAsia="en-GB"/>
        </w:rPr>
        <w:t xml:space="preserve">the </w:t>
      </w:r>
      <w:r w:rsidR="007647AB" w:rsidRPr="00E36B52">
        <w:rPr>
          <w:lang w:eastAsia="en-GB"/>
        </w:rPr>
        <w:t>case of loans for financial assistance, if the borrower is in default to any other international organisation financing the programme.</w:t>
      </w:r>
    </w:p>
    <w:p w14:paraId="72C78B61" w14:textId="77777777" w:rsidR="009D621C" w:rsidRPr="00E36B52" w:rsidRDefault="00023E71" w:rsidP="009D621C">
      <w:pPr>
        <w:pStyle w:val="DGTextstand-alone"/>
      </w:pPr>
      <w:r w:rsidRPr="00E36B52">
        <w:t xml:space="preserve">For loans in Stage 3, the impairment allowance is measured at the level of lifetime expected credit losses. </w:t>
      </w:r>
    </w:p>
    <w:p w14:paraId="3988B78A" w14:textId="77777777" w:rsidR="002E6294" w:rsidRDefault="002E6294">
      <w:pPr>
        <w:rPr>
          <w:rFonts w:ascii="Verdana" w:hAnsi="Verdana"/>
          <w:i/>
          <w:noProof/>
          <w:sz w:val="18"/>
          <w:szCs w:val="18"/>
          <w:lang w:eastAsia="en-US"/>
        </w:rPr>
      </w:pPr>
      <w:r>
        <w:rPr>
          <w:i/>
          <w:noProof/>
        </w:rPr>
        <w:br w:type="page"/>
      </w:r>
    </w:p>
    <w:p w14:paraId="6C3B06CA" w14:textId="706DA610" w:rsidR="009D621C" w:rsidRPr="00E36B52" w:rsidRDefault="00023E71" w:rsidP="00D0756A">
      <w:pPr>
        <w:pStyle w:val="DGTextstand-alone"/>
        <w:rPr>
          <w:i/>
        </w:rPr>
      </w:pPr>
      <w:r w:rsidRPr="00E36B52">
        <w:rPr>
          <w:i/>
        </w:rPr>
        <w:t>Purchased or originated as credit impaired (POCI)</w:t>
      </w:r>
    </w:p>
    <w:p w14:paraId="2F806BA5" w14:textId="77777777" w:rsidR="009D621C" w:rsidRPr="00E36B52" w:rsidRDefault="00023E71" w:rsidP="009D621C">
      <w:pPr>
        <w:pStyle w:val="DGTextstand-alone"/>
      </w:pPr>
      <w:r w:rsidRPr="00E36B52">
        <w:t xml:space="preserve">The </w:t>
      </w:r>
      <w:r w:rsidR="008864C4" w:rsidRPr="00E36B52">
        <w:t xml:space="preserve">EU also holds POCI loans. These are defaulted loans where the EU paid a guarantee call to the implementing partner. For these loans, all rights have been subrogated to the EU. The EU recognises them on its balance sheet at fair value at initial recognition. The EU classifies them as POCI loans and calculates an impairment allowance based on the lifetime ECL. Under the relevant agreements between the EU and the implementing partners, recovery proceedings are </w:t>
      </w:r>
      <w:r w:rsidR="008864C4">
        <w:t>carried out</w:t>
      </w:r>
      <w:r w:rsidR="008864C4" w:rsidRPr="00E36B52">
        <w:t xml:space="preserve"> on behalf of the EU with the aim of recovering any sums due</w:t>
      </w:r>
      <w:r w:rsidRPr="00E36B52">
        <w:t>.</w:t>
      </w:r>
    </w:p>
    <w:p w14:paraId="6CAE60F2" w14:textId="77777777" w:rsidR="003D353B" w:rsidRDefault="00023E71" w:rsidP="0032730E">
      <w:pPr>
        <w:pStyle w:val="TextSubtitleItalicnumberinglettera"/>
        <w:ind w:left="0" w:firstLine="0"/>
        <w:rPr>
          <w:noProof/>
        </w:rPr>
      </w:pPr>
      <w:r>
        <w:rPr>
          <w:noProof/>
        </w:rPr>
        <w:t>Loans to sovereigns</w:t>
      </w:r>
    </w:p>
    <w:p w14:paraId="78CA131B" w14:textId="77777777" w:rsidR="00100D22" w:rsidRDefault="00023E71" w:rsidP="00100D22">
      <w:pPr>
        <w:pStyle w:val="DGTextstand-alone"/>
      </w:pPr>
      <w:r>
        <w:t>The EU bases its assessment of loans’ impairment, in the context of the nature of the EU’s financing and its unique institutional status.</w:t>
      </w:r>
    </w:p>
    <w:p w14:paraId="7B4BE1ED" w14:textId="77777777" w:rsidR="00100D22" w:rsidRDefault="00023E71" w:rsidP="00100D22">
      <w:pPr>
        <w:pStyle w:val="DGTextstand-alone"/>
      </w:pPr>
      <w:r>
        <w:t>For the impairment of loans to non-Member States, the EU calculates the expected credit losses using external credit quality data, however taking into account its preferred creditor status, which reduces the credit risk. For the calculation of the present value, the discount rate is the loan’s original effective interest rate. If a loan has a variable interest rate, the discount rate is the current effective interest rate determined under the contract.</w:t>
      </w:r>
    </w:p>
    <w:p w14:paraId="29272953" w14:textId="77777777" w:rsidR="003D353B" w:rsidRDefault="00023E71" w:rsidP="00100D22">
      <w:pPr>
        <w:pStyle w:val="DGTextstand-alone"/>
      </w:pPr>
      <w:r>
        <w:t>For loans to Member States, the EU has never incurred any impairment losses, nor faced any defaults on payments. For these loans, in addition to the preferred creditor status, the EU takes into account the relationships with its Member States. These two elements, in principle, guarantee the full recovery of the loans to Member States, on maturity. Therefore, the EU considers the expected credit losses from loans to Member States to be negligible, and a statistical approach to calculate expected credit losses as inappropriate for these loans. Thus no expected credit losses are recognised in the statement of financial performance for the loans to Member States.</w:t>
      </w:r>
    </w:p>
    <w:p w14:paraId="5E69221A" w14:textId="77777777" w:rsidR="003D353B" w:rsidRDefault="00023E71" w:rsidP="0032730E">
      <w:pPr>
        <w:pStyle w:val="TextSubtitleItalicnumberinglettera"/>
        <w:ind w:left="0" w:firstLine="0"/>
        <w:rPr>
          <w:noProof/>
        </w:rPr>
      </w:pPr>
      <w:r>
        <w:rPr>
          <w:noProof/>
        </w:rPr>
        <w:t>Receivables</w:t>
      </w:r>
    </w:p>
    <w:p w14:paraId="024E2E32" w14:textId="77777777" w:rsidR="003D353B" w:rsidRDefault="00023E71" w:rsidP="003D353B">
      <w:pPr>
        <w:pStyle w:val="DGTextstand-alone"/>
      </w:pPr>
      <w:r w:rsidRPr="00100D22">
        <w:t>The EU measures the impairment loss at the amount of lifetime ECL, using practical expedients (e.g. provision matrix).</w:t>
      </w:r>
    </w:p>
    <w:p w14:paraId="0C4ED31D" w14:textId="77777777" w:rsidR="005859EA" w:rsidRDefault="00023E71" w:rsidP="005859EA">
      <w:pPr>
        <w:pStyle w:val="TextSubtitleItalicnumberinglettera"/>
        <w:ind w:left="0" w:firstLine="0"/>
        <w:rPr>
          <w:noProof/>
        </w:rPr>
      </w:pPr>
      <w:r>
        <w:rPr>
          <w:noProof/>
        </w:rPr>
        <w:t>Cash and cash equivalents</w:t>
      </w:r>
    </w:p>
    <w:p w14:paraId="4705B3B0" w14:textId="77777777" w:rsidR="005859EA" w:rsidRDefault="00023E71" w:rsidP="00F36CF4">
      <w:pPr>
        <w:pStyle w:val="DGTextstand-alone"/>
        <w:rPr>
          <w:i/>
          <w:lang w:eastAsia="en-GB"/>
        </w:rPr>
      </w:pPr>
      <w:r w:rsidRPr="00C80356">
        <w:rPr>
          <w:lang w:eastAsia="en-GB"/>
        </w:rPr>
        <w:t xml:space="preserve">The EU holds cash and cash equivalents in current bank accounts and term deposits of up to </w:t>
      </w:r>
      <w:r>
        <w:rPr>
          <w:lang w:eastAsia="en-GB"/>
        </w:rPr>
        <w:t>three</w:t>
      </w:r>
      <w:r w:rsidRPr="00C80356">
        <w:rPr>
          <w:lang w:eastAsia="en-GB"/>
        </w:rPr>
        <w:t xml:space="preserve"> months. The cash is </w:t>
      </w:r>
      <w:r>
        <w:rPr>
          <w:lang w:eastAsia="en-GB"/>
        </w:rPr>
        <w:t xml:space="preserve">mainly </w:t>
      </w:r>
      <w:r w:rsidRPr="00C80356">
        <w:rPr>
          <w:lang w:eastAsia="en-GB"/>
        </w:rPr>
        <w:t xml:space="preserve">held in banks with very high credit ratings (see </w:t>
      </w:r>
      <w:r>
        <w:rPr>
          <w:lang w:eastAsia="en-GB"/>
        </w:rPr>
        <w:t>N</w:t>
      </w:r>
      <w:r w:rsidRPr="00C80356">
        <w:rPr>
          <w:lang w:eastAsia="en-GB"/>
        </w:rPr>
        <w:t xml:space="preserve">ote </w:t>
      </w:r>
      <w:r w:rsidRPr="00C80356">
        <w:rPr>
          <w:b/>
          <w:bCs/>
          <w:lang w:eastAsia="en-GB"/>
        </w:rPr>
        <w:t>6.</w:t>
      </w:r>
      <w:r>
        <w:rPr>
          <w:b/>
          <w:bCs/>
          <w:lang w:eastAsia="en-GB"/>
        </w:rPr>
        <w:t>6</w:t>
      </w:r>
      <w:r w:rsidRPr="00C80356">
        <w:rPr>
          <w:lang w:eastAsia="en-GB"/>
        </w:rPr>
        <w:t>), thus having very low default probabilities. Given the short duration and low default probabilities, the expected credit losses from cash and cash equivalents are negligible. As a result, no impairment allowance is recognised for cash equivalents</w:t>
      </w:r>
      <w:r>
        <w:rPr>
          <w:lang w:eastAsia="en-GB"/>
        </w:rPr>
        <w:t>.</w:t>
      </w:r>
    </w:p>
    <w:p w14:paraId="40CB4197" w14:textId="77777777" w:rsidR="005859EA" w:rsidRDefault="00023E71" w:rsidP="000D1AB5">
      <w:pPr>
        <w:pStyle w:val="HEADER5"/>
        <w:rPr>
          <w:noProof/>
        </w:rPr>
      </w:pPr>
      <w:r>
        <w:rPr>
          <w:noProof/>
        </w:rPr>
        <w:t>Derecognition</w:t>
      </w:r>
    </w:p>
    <w:p w14:paraId="50A02688" w14:textId="77777777" w:rsidR="005859EA" w:rsidRPr="00C80356" w:rsidRDefault="00023E71" w:rsidP="00F36CF4">
      <w:pPr>
        <w:pStyle w:val="DGTextstand-alone"/>
      </w:pPr>
      <w:r w:rsidRPr="00C80356">
        <w:t xml:space="preserve">Financial instruments are derecognised when the rights to receive cashflows from the investments have expired or the EU has transferred substantially all risks and rewards of ownership to another party. </w:t>
      </w:r>
      <w:r w:rsidR="00C5551C" w:rsidRPr="00C5551C">
        <w:t>Any difference betwe</w:t>
      </w:r>
      <w:r w:rsidR="00C5551C">
        <w:t>e</w:t>
      </w:r>
      <w:r w:rsidR="00C5551C" w:rsidRPr="00C5551C">
        <w:t xml:space="preserve">n the book value at derecognition and the transaction price is recognised as gain or loss in the Statement of Financial Performance. </w:t>
      </w:r>
      <w:r w:rsidRPr="00C80356">
        <w:t>Sales of financial assets at fair value through net assets/equity and through surplus or deficit are recognised on their trade</w:t>
      </w:r>
      <w:r>
        <w:t xml:space="preserve"> </w:t>
      </w:r>
      <w:r w:rsidRPr="00C80356">
        <w:t>date.</w:t>
      </w:r>
    </w:p>
    <w:p w14:paraId="2AF2FFBB" w14:textId="77777777" w:rsidR="003D353B" w:rsidRPr="005D15F9" w:rsidRDefault="00023E71" w:rsidP="0032730E">
      <w:pPr>
        <w:pStyle w:val="HEADER3NOTES"/>
        <w:jc w:val="both"/>
        <w:rPr>
          <w:noProof/>
        </w:rPr>
      </w:pPr>
      <w:r w:rsidRPr="005D15F9">
        <w:rPr>
          <w:noProof/>
        </w:rPr>
        <w:t>Inventories</w:t>
      </w:r>
    </w:p>
    <w:p w14:paraId="474977FC" w14:textId="43264C5F" w:rsidR="002E6294" w:rsidRDefault="00023E71" w:rsidP="003D353B">
      <w:pPr>
        <w:pStyle w:val="DGTextstand-alone"/>
        <w:spacing w:after="0"/>
      </w:pPr>
      <w:r>
        <w:t>Inventories are stated at the lower of cost and net realisable value. Cost is determined using the first-in, first-out (FIFO) method. The cost of finished goods and work in progress comprises raw materials, direct labour, other directly attributable costs and related production overheads (based on normal operating capacity). Net realisable value is the estimated selling price in the ordinary course of business, less the costs of completion and selling expenses. When inventories are held for distribution at no charge or for a nominal charge, they are measured at the lower of cost and current replacement cost. Current replacement cost is the cost the EU would incur to acquire the asset on the reporting date.</w:t>
      </w:r>
    </w:p>
    <w:p w14:paraId="2F4CAB89" w14:textId="77777777" w:rsidR="002E6294" w:rsidRDefault="002E6294">
      <w:pPr>
        <w:rPr>
          <w:rFonts w:ascii="Verdana" w:hAnsi="Verdana"/>
          <w:noProof/>
          <w:sz w:val="18"/>
          <w:szCs w:val="18"/>
          <w:lang w:eastAsia="en-US"/>
        </w:rPr>
      </w:pPr>
      <w:r>
        <w:rPr>
          <w:noProof/>
        </w:rPr>
        <w:br w:type="page"/>
      </w:r>
    </w:p>
    <w:p w14:paraId="688CCA39" w14:textId="77777777" w:rsidR="003D353B" w:rsidRPr="005D15F9" w:rsidRDefault="00023E71" w:rsidP="0032730E">
      <w:pPr>
        <w:pStyle w:val="HEADER3NOTES"/>
        <w:jc w:val="both"/>
        <w:rPr>
          <w:noProof/>
        </w:rPr>
      </w:pPr>
      <w:r w:rsidRPr="005D15F9">
        <w:rPr>
          <w:noProof/>
        </w:rPr>
        <w:t>Pre-financing amounts</w:t>
      </w:r>
    </w:p>
    <w:p w14:paraId="7C36D813" w14:textId="77777777" w:rsidR="00553A51" w:rsidRDefault="00023E71" w:rsidP="00553A51">
      <w:pPr>
        <w:pStyle w:val="DGTextstand-alone"/>
      </w:pPr>
      <w:r>
        <w:t xml:space="preserve">Pre-financing is a payment intended to provide the beneficiary with a cash advance, i.e. a float. It may be split into a number of payments </w:t>
      </w:r>
      <w:r w:rsidRPr="00B86FFC">
        <w:t xml:space="preserve">in accordance with the principle of sound financial management </w:t>
      </w:r>
      <w:r>
        <w:t xml:space="preserve">over a period </w:t>
      </w:r>
      <w:r w:rsidR="005044AD">
        <w:t>laid down</w:t>
      </w:r>
      <w:r>
        <w:t xml:space="preserve"> in the particular contract, decision, agreement or basic act. The float or advance is either used for the purpose for which it was provided during the period </w:t>
      </w:r>
      <w:r w:rsidR="005044AD">
        <w:t>laid down</w:t>
      </w:r>
      <w:r>
        <w:t xml:space="preserve"> in the agreement or it is repaid. If the beneficiary does not incur eligible expenditure, they have the obligation to return the pre-financing to the EU. As the EU retains control over the pre-financing and is entitled to a refund for the ineligible part, the amount is presented as an asset.</w:t>
      </w:r>
    </w:p>
    <w:p w14:paraId="5F0C5C44" w14:textId="77777777" w:rsidR="00553A51" w:rsidRDefault="00023E71" w:rsidP="00553A51">
      <w:pPr>
        <w:pStyle w:val="DGTextstand-alone"/>
      </w:pPr>
      <w:r>
        <w:t>Pre-financing is initially recognised on the balance sheet when cash is transferred to the recipient. It is measured at the amount of the consideration given. In subsequent periods</w:t>
      </w:r>
      <w:r w:rsidR="005044AD">
        <w:t>,</w:t>
      </w:r>
      <w:r>
        <w:t xml:space="preserve"> pre-financing is</w:t>
      </w:r>
      <w:r w:rsidR="00657112">
        <w:t xml:space="preserve"> </w:t>
      </w:r>
      <w:r>
        <w:t xml:space="preserve">measured at the amount initially recognised on the balance sheet less </w:t>
      </w:r>
      <w:r w:rsidR="00657112">
        <w:t xml:space="preserve">the </w:t>
      </w:r>
      <w:r>
        <w:t>eligible expenses (including estimated amounts where necessary) incurred during the period.</w:t>
      </w:r>
    </w:p>
    <w:p w14:paraId="783C9735" w14:textId="77777777" w:rsidR="003D353B" w:rsidRDefault="00023E71" w:rsidP="003D353B">
      <w:pPr>
        <w:pStyle w:val="DGTextstand-alone"/>
      </w:pPr>
      <w:r>
        <w:t xml:space="preserve">Interest on pre-financing is recognised as it is earned in accordance with the relevant agreement. An estimate of the accrued interest revenue, based on the most reliable information, is made at the end </w:t>
      </w:r>
      <w:r w:rsidR="005044AD">
        <w:t xml:space="preserve">of the year </w:t>
      </w:r>
      <w:r>
        <w:t xml:space="preserve">and included </w:t>
      </w:r>
      <w:r w:rsidR="00AD117C">
        <w:t>in</w:t>
      </w:r>
      <w:r>
        <w:t xml:space="preserve"> the balance sheet.</w:t>
      </w:r>
    </w:p>
    <w:p w14:paraId="4781CBC8" w14:textId="77777777" w:rsidR="003D353B" w:rsidRDefault="00023E71" w:rsidP="003D353B">
      <w:pPr>
        <w:pStyle w:val="DGTextstand-alone"/>
      </w:pPr>
      <w:r>
        <w:t>Other advances to Member States</w:t>
      </w:r>
      <w:r w:rsidR="00463440">
        <w:t>,</w:t>
      </w:r>
      <w:r>
        <w:t xml:space="preserve"> which originate from reimbursement by the EU of amounts paid as advances by the Member States to their beneficiaries (including </w:t>
      </w:r>
      <w:r w:rsidR="00657112">
        <w:t>‘</w:t>
      </w:r>
      <w:r>
        <w:t>financial instruments under shared management</w:t>
      </w:r>
      <w:r w:rsidR="00657112">
        <w:t>’</w:t>
      </w:r>
      <w:r>
        <w:t>)</w:t>
      </w:r>
      <w:r w:rsidR="00463440">
        <w:t>,</w:t>
      </w:r>
      <w:r>
        <w:t xml:space="preserve"> are recognised as assets and presented under the heading ‘Pre-financing’. </w:t>
      </w:r>
      <w:r w:rsidRPr="000E1441">
        <w:t>Other advances to Member States are subsequently measured at the amount initially recognised on the balance sheet less a best estimate of the eligible expenses incurred by final beneficiaries, calculated on the basis of reasonab</w:t>
      </w:r>
      <w:r>
        <w:t>le and supportable assumptions.</w:t>
      </w:r>
    </w:p>
    <w:p w14:paraId="5973977D" w14:textId="77777777" w:rsidR="003D353B" w:rsidRDefault="00023E71" w:rsidP="003D353B">
      <w:pPr>
        <w:pStyle w:val="DGTextstand-alone"/>
      </w:pPr>
      <w:r>
        <w:t xml:space="preserve">The contributions to </w:t>
      </w:r>
      <w:r w:rsidR="00B45EE4">
        <w:t xml:space="preserve">EU </w:t>
      </w:r>
      <w:r>
        <w:t xml:space="preserve">trust funds (as established under Article 238 of the Financial Regulation) </w:t>
      </w:r>
      <w:r w:rsidR="00B45EE4">
        <w:t>not consolidated in the Europ</w:t>
      </w:r>
      <w:r>
        <w:t>e</w:t>
      </w:r>
      <w:r w:rsidR="00B45EE4">
        <w:t>an Commissi</w:t>
      </w:r>
      <w:r>
        <w:t>o</w:t>
      </w:r>
      <w:r w:rsidR="00B45EE4">
        <w:t>n</w:t>
      </w:r>
      <w:r w:rsidR="00883938">
        <w:t xml:space="preserve"> (i.e. trust funds Africa and Bêkou)</w:t>
      </w:r>
      <w:r w:rsidR="00B45EE4">
        <w:t xml:space="preserve">, or to other </w:t>
      </w:r>
      <w:r>
        <w:t>unconsolidated entities</w:t>
      </w:r>
      <w:r w:rsidR="00B45EE4">
        <w:t>,</w:t>
      </w:r>
      <w:r>
        <w:t xml:space="preserve"> are classified as pre-financing since their purpose is to give a float to the trust fund to allow it to finance specific actions de</w:t>
      </w:r>
      <w:r w:rsidR="005044AD">
        <w:t xml:space="preserve">termined by </w:t>
      </w:r>
      <w:r>
        <w:t xml:space="preserve">the trust </w:t>
      </w:r>
      <w:r w:rsidR="00657112">
        <w:t xml:space="preserve">fund’s </w:t>
      </w:r>
      <w:r>
        <w:t xml:space="preserve">objectives. The EU contributions to trust funds are measured at the initial amount of the EU contribution </w:t>
      </w:r>
      <w:r w:rsidRPr="00A2635D">
        <w:t xml:space="preserve">less eligible expenses, including estimated amounts where necessary, incurred </w:t>
      </w:r>
      <w:r>
        <w:t xml:space="preserve">by the trust fund </w:t>
      </w:r>
      <w:r w:rsidRPr="00A2635D">
        <w:t xml:space="preserve">during the </w:t>
      </w:r>
      <w:r>
        <w:t xml:space="preserve">reporting </w:t>
      </w:r>
      <w:r w:rsidRPr="00A2635D">
        <w:t>period</w:t>
      </w:r>
      <w:r>
        <w:t xml:space="preserve"> and allocated to the EU contribution in accordance with the underlying agreement</w:t>
      </w:r>
      <w:r w:rsidRPr="00A2635D">
        <w:t>.</w:t>
      </w:r>
    </w:p>
    <w:p w14:paraId="42877C76" w14:textId="77777777" w:rsidR="003D353B" w:rsidRPr="005D15F9" w:rsidRDefault="00023E71" w:rsidP="0032730E">
      <w:pPr>
        <w:pStyle w:val="HEADER3NOTES"/>
        <w:jc w:val="both"/>
        <w:rPr>
          <w:noProof/>
        </w:rPr>
      </w:pPr>
      <w:r w:rsidRPr="005D15F9">
        <w:rPr>
          <w:noProof/>
        </w:rPr>
        <w:t>Exchange receivables and non-exchange recoverables</w:t>
      </w:r>
    </w:p>
    <w:p w14:paraId="62BEA3D7" w14:textId="77777777" w:rsidR="003D353B" w:rsidRDefault="00023E71" w:rsidP="003D353B">
      <w:pPr>
        <w:pStyle w:val="DGTextstand-alone"/>
      </w:pPr>
      <w:r>
        <w:t>T</w:t>
      </w:r>
      <w:r w:rsidR="00E975D8">
        <w:t xml:space="preserve">he EU </w:t>
      </w:r>
      <w:r w:rsidR="005044AD">
        <w:t>a</w:t>
      </w:r>
      <w:r w:rsidR="00E975D8">
        <w:t xml:space="preserve">ccounting </w:t>
      </w:r>
      <w:r w:rsidR="005044AD">
        <w:t>r</w:t>
      </w:r>
      <w:r w:rsidR="00E975D8">
        <w:t>ules require a separate presentation of exchange and non-exchange transactions</w:t>
      </w:r>
      <w:r>
        <w:t>. To distinguish betwe</w:t>
      </w:r>
      <w:r w:rsidR="00657112">
        <w:t>e</w:t>
      </w:r>
      <w:r>
        <w:t xml:space="preserve">n the two categories, the term ‘receivables’ is reserved for </w:t>
      </w:r>
      <w:r w:rsidR="00E975D8">
        <w:t>exchange transactions</w:t>
      </w:r>
      <w:r>
        <w:t>, whereas for ‘non-</w:t>
      </w:r>
      <w:r w:rsidR="00E975D8">
        <w:t>exchange transactions</w:t>
      </w:r>
      <w:r>
        <w:t>’</w:t>
      </w:r>
      <w:r w:rsidR="00E975D8">
        <w:t>, i.e. when the EU receives value from another entity without directly giving approximately equal value in exchange</w:t>
      </w:r>
      <w:r>
        <w:t xml:space="preserve">, the term ‘recoverables’ is used </w:t>
      </w:r>
      <w:r w:rsidR="00E975D8">
        <w:t>(</w:t>
      </w:r>
      <w:r>
        <w:t xml:space="preserve">e.g. </w:t>
      </w:r>
      <w:r w:rsidR="00E975D8">
        <w:t>recoverables from Member States related to own resources).</w:t>
      </w:r>
    </w:p>
    <w:p w14:paraId="46A05B4D" w14:textId="77777777" w:rsidR="003D353B" w:rsidRDefault="00023E71" w:rsidP="003D353B">
      <w:pPr>
        <w:pStyle w:val="DGTextstand-alone"/>
      </w:pPr>
      <w:r w:rsidRPr="003B31E8">
        <w:t xml:space="preserve">Receivables from exchange transactions are financial assets measured at amortised cost, except for </w:t>
      </w:r>
      <w:r w:rsidR="006705DD">
        <w:t xml:space="preserve">certain </w:t>
      </w:r>
      <w:r w:rsidR="002030A0">
        <w:t>amounts</w:t>
      </w:r>
      <w:r>
        <w:t xml:space="preserve"> </w:t>
      </w:r>
      <w:r w:rsidR="002030A0">
        <w:t xml:space="preserve">of </w:t>
      </w:r>
      <w:r w:rsidR="005044AD">
        <w:t xml:space="preserve">the </w:t>
      </w:r>
      <w:r w:rsidRPr="003B31E8">
        <w:t>fina</w:t>
      </w:r>
      <w:r w:rsidR="00CA0C07">
        <w:t>n</w:t>
      </w:r>
      <w:r w:rsidRPr="003B31E8">
        <w:t xml:space="preserve">cial guarantee contract receivable leg which </w:t>
      </w:r>
      <w:r w:rsidR="002030A0">
        <w:t>are</w:t>
      </w:r>
      <w:r w:rsidRPr="003B31E8">
        <w:t xml:space="preserve"> classified as financial asset</w:t>
      </w:r>
      <w:r w:rsidR="005044AD">
        <w:t>s</w:t>
      </w:r>
      <w:r w:rsidRPr="003B31E8">
        <w:t xml:space="preserve"> at fair value through surplus or deficit (see </w:t>
      </w:r>
      <w:r>
        <w:t>N</w:t>
      </w:r>
      <w:r w:rsidRPr="003B31E8">
        <w:t xml:space="preserve">ote </w:t>
      </w:r>
      <w:r w:rsidRPr="008415D1">
        <w:rPr>
          <w:b/>
        </w:rPr>
        <w:t>1.5.5</w:t>
      </w:r>
      <w:r w:rsidRPr="003B31E8">
        <w:t>).</w:t>
      </w:r>
    </w:p>
    <w:p w14:paraId="10DB7DE7" w14:textId="77777777" w:rsidR="00883938" w:rsidRDefault="00023E71" w:rsidP="003D353B">
      <w:pPr>
        <w:pStyle w:val="DGTextstand-alone"/>
        <w:spacing w:after="0"/>
      </w:pPr>
      <w:r>
        <w:t xml:space="preserve">Recoverables from non-exchange transactions are carried at fair value as at the date of acquisition less write-down for impairment. A write-down for impairment of recoverables from non-exchange transactions is established when there is objective evidence that the EU will not be able to collect all amounts due according to the original terms of recoverables from non-exchange transactions. The amount of the write-down is the difference between the asset’s carrying amount and the recoverable amount. The amount of the write-down is recognised in the statement of financial performance. A general write-down, based on past experience, is also made for outstanding recovery orders not already subject to a specific write-down. Regarding the treatment of accrued revenue at </w:t>
      </w:r>
      <w:r w:rsidR="005044AD">
        <w:t xml:space="preserve">the end of the </w:t>
      </w:r>
      <w:r>
        <w:t xml:space="preserve">year, see Note </w:t>
      </w:r>
      <w:r w:rsidRPr="00966B2B">
        <w:rPr>
          <w:b/>
        </w:rPr>
        <w:t>1.5.14</w:t>
      </w:r>
      <w:r>
        <w:t>.</w:t>
      </w:r>
    </w:p>
    <w:p w14:paraId="4F79D418" w14:textId="512961D7" w:rsidR="002E6294" w:rsidRDefault="00023E71" w:rsidP="003D353B">
      <w:pPr>
        <w:pStyle w:val="DGTextstand-alone"/>
        <w:spacing w:after="0"/>
      </w:pPr>
      <w:r>
        <w:t>Amounts displayed and disclosed as recoverables from non-exchange transactions are not financial instruments, as they do not arise from a contract that would give rise to a financial liability or equity instrument. However, in the notes to the financial statements recoverables from non-exchange transactions are disclosed together with receivables from exchange transactions where appropriate.</w:t>
      </w:r>
    </w:p>
    <w:p w14:paraId="3B9B44FB" w14:textId="77777777" w:rsidR="002E6294" w:rsidRDefault="002E6294">
      <w:pPr>
        <w:rPr>
          <w:rFonts w:ascii="Verdana" w:hAnsi="Verdana"/>
          <w:noProof/>
          <w:sz w:val="18"/>
          <w:szCs w:val="18"/>
          <w:lang w:eastAsia="en-US"/>
        </w:rPr>
      </w:pPr>
      <w:r>
        <w:rPr>
          <w:noProof/>
        </w:rPr>
        <w:br w:type="page"/>
      </w:r>
    </w:p>
    <w:p w14:paraId="0FCA7A02" w14:textId="77777777" w:rsidR="003D353B" w:rsidRPr="005D15F9" w:rsidRDefault="00023E71" w:rsidP="004C055C">
      <w:pPr>
        <w:pStyle w:val="HEADER3NOTES"/>
        <w:jc w:val="both"/>
        <w:rPr>
          <w:noProof/>
        </w:rPr>
      </w:pPr>
      <w:r w:rsidRPr="005D15F9">
        <w:rPr>
          <w:noProof/>
        </w:rPr>
        <w:t>Cash and cash equivalents</w:t>
      </w:r>
    </w:p>
    <w:p w14:paraId="65B757AC" w14:textId="77777777" w:rsidR="003D353B" w:rsidRDefault="00023E71" w:rsidP="003D353B">
      <w:pPr>
        <w:pStyle w:val="DGTextstand-alone"/>
      </w:pPr>
      <w:r>
        <w:t>Cash and cash equiv</w:t>
      </w:r>
      <w:r w:rsidR="003B31E8">
        <w:t>alents are financial assets at amortised cost</w:t>
      </w:r>
      <w:r>
        <w:t xml:space="preserve"> and include cash at hand, deposits held at call or at short notice with banks, reverse repos, and other short-term highly liquid investments with original maturities of three months or less </w:t>
      </w:r>
      <w:r w:rsidRPr="00542508">
        <w:t xml:space="preserve">and held for </w:t>
      </w:r>
      <w:r>
        <w:t xml:space="preserve">the purpose of </w:t>
      </w:r>
      <w:r w:rsidRPr="00542508">
        <w:t xml:space="preserve">meeting short term cash commitments </w:t>
      </w:r>
      <w:r>
        <w:t xml:space="preserve">and managing liquidity </w:t>
      </w:r>
      <w:r w:rsidRPr="00542508">
        <w:t>rather than for investment or other purposes</w:t>
      </w:r>
      <w:r>
        <w:t>.</w:t>
      </w:r>
    </w:p>
    <w:p w14:paraId="45AB3D1F" w14:textId="77777777" w:rsidR="003D353B" w:rsidRPr="005D15F9" w:rsidRDefault="00023E71" w:rsidP="0032730E">
      <w:pPr>
        <w:pStyle w:val="HEADER3NOTES"/>
        <w:jc w:val="both"/>
        <w:rPr>
          <w:noProof/>
        </w:rPr>
      </w:pPr>
      <w:r>
        <w:rPr>
          <w:noProof/>
        </w:rPr>
        <w:t>E</w:t>
      </w:r>
      <w:r w:rsidRPr="005D15F9">
        <w:rPr>
          <w:noProof/>
        </w:rPr>
        <w:t>mployee benefits</w:t>
      </w:r>
    </w:p>
    <w:p w14:paraId="5554ADB8" w14:textId="77777777" w:rsidR="003D353B" w:rsidRDefault="00023E71" w:rsidP="003D353B">
      <w:pPr>
        <w:pStyle w:val="DGTextstand-alone"/>
      </w:pPr>
      <w:r w:rsidRPr="00396AE8">
        <w:t>The EU provides a set of benefits (emoluments and social security) to employees. For accounting purposes these have to be classified into short</w:t>
      </w:r>
      <w:r w:rsidR="00657112">
        <w:t>-</w:t>
      </w:r>
      <w:r w:rsidRPr="00396AE8">
        <w:t>term and post-employment benefits</w:t>
      </w:r>
      <w:r>
        <w:t>.</w:t>
      </w:r>
    </w:p>
    <w:p w14:paraId="2C99556B" w14:textId="77777777" w:rsidR="003D353B" w:rsidRPr="00677A47" w:rsidRDefault="00023E71" w:rsidP="00E36B52">
      <w:pPr>
        <w:pStyle w:val="HEADER5"/>
        <w:keepNext/>
        <w:rPr>
          <w:b/>
          <w:noProof/>
        </w:rPr>
      </w:pPr>
      <w:r>
        <w:rPr>
          <w:noProof/>
        </w:rPr>
        <w:t>Short-term employee benefits</w:t>
      </w:r>
    </w:p>
    <w:p w14:paraId="116EC117" w14:textId="77777777" w:rsidR="003D353B" w:rsidRDefault="00023E71" w:rsidP="003D353B">
      <w:pPr>
        <w:pStyle w:val="DGTextstand-alone"/>
      </w:pPr>
      <w:r w:rsidRPr="00396AE8">
        <w:t xml:space="preserve">Short-term employee benefits are those benefits due to be settled before </w:t>
      </w:r>
      <w:r w:rsidR="00883938">
        <w:t>12</w:t>
      </w:r>
      <w:r w:rsidRPr="00396AE8">
        <w:t xml:space="preserve"> months after the end of the reporting period in which employees rendered the service, such as salaries, annual </w:t>
      </w:r>
      <w:r w:rsidR="005044AD">
        <w:t xml:space="preserve">leave </w:t>
      </w:r>
      <w:r w:rsidRPr="00396AE8">
        <w:t>and paid sick leave, and other short-term allowances. Short-term employee benefits are recognised as an expense when the related service is provided. A liability is recognised for the amount expected to be paid if the EU has a present legal or constructive obligation to pay as a result of past service provided by the employee and the obligation can be estimated reliably</w:t>
      </w:r>
      <w:r w:rsidRPr="00492E37">
        <w:t>.</w:t>
      </w:r>
    </w:p>
    <w:p w14:paraId="60F25350" w14:textId="77777777" w:rsidR="003D353B" w:rsidRPr="00677A47" w:rsidRDefault="00023E71" w:rsidP="003D353B">
      <w:pPr>
        <w:pStyle w:val="HEADER5"/>
        <w:rPr>
          <w:b/>
          <w:noProof/>
        </w:rPr>
      </w:pPr>
      <w:r w:rsidRPr="00677A47">
        <w:rPr>
          <w:noProof/>
        </w:rPr>
        <w:t>Post-employment benefits</w:t>
      </w:r>
    </w:p>
    <w:p w14:paraId="4B731A99" w14:textId="77777777" w:rsidR="003D353B" w:rsidRDefault="00023E71" w:rsidP="003D353B">
      <w:pPr>
        <w:pStyle w:val="DGTextstand-alone"/>
      </w:pPr>
      <w:r w:rsidRPr="00396AE8">
        <w:t>The EU grants a set of post-employment benefits to employees, which include retirement, invalidity and survival pensions</w:t>
      </w:r>
      <w:r w:rsidR="00553A51">
        <w:t xml:space="preserve"> provided under the Pension Scheme of the European Officials</w:t>
      </w:r>
      <w:r w:rsidRPr="00396AE8">
        <w:t xml:space="preserve">, as well as </w:t>
      </w:r>
      <w:r w:rsidR="00DD4089">
        <w:t>health insurance</w:t>
      </w:r>
      <w:r w:rsidRPr="00396AE8">
        <w:t xml:space="preserve"> coverage </w:t>
      </w:r>
      <w:r w:rsidR="00553A51">
        <w:t xml:space="preserve">provided under the Joint Sickness Insurance Scheme </w:t>
      </w:r>
      <w:r>
        <w:t xml:space="preserve">(see Note </w:t>
      </w:r>
      <w:r w:rsidRPr="00B81F21">
        <w:rPr>
          <w:b/>
        </w:rPr>
        <w:t>2.9</w:t>
      </w:r>
      <w:r>
        <w:t xml:space="preserve">). </w:t>
      </w:r>
      <w:r w:rsidR="00553A51">
        <w:t>These benefits are provided under a single plan – although split in two schemes – and they must be treated similarly so as to give a fair presentation of the situation and reflect the economic reality:</w:t>
      </w:r>
    </w:p>
    <w:p w14:paraId="19D04710" w14:textId="77777777" w:rsidR="003D353B" w:rsidRDefault="00023E71" w:rsidP="00D0756A">
      <w:pPr>
        <w:pStyle w:val="DGTextstand-alonedashesjustified"/>
        <w:rPr>
          <w:lang w:eastAsia="en-GB"/>
        </w:rPr>
      </w:pPr>
      <w:r>
        <w:rPr>
          <w:lang w:eastAsia="en-GB"/>
        </w:rPr>
        <w:t xml:space="preserve">Pension Scheme of European Officials (PSEO): </w:t>
      </w:r>
      <w:r w:rsidRPr="002B314C">
        <w:rPr>
          <w:lang w:eastAsia="en-GB"/>
        </w:rPr>
        <w:t>The benefits granted under this notionally funded</w:t>
      </w:r>
      <w:r>
        <w:rPr>
          <w:rStyle w:val="FootnoteReference"/>
        </w:rPr>
        <w:footnoteReference w:id="27"/>
      </w:r>
      <w:r w:rsidRPr="002B314C">
        <w:rPr>
          <w:lang w:eastAsia="en-GB"/>
        </w:rPr>
        <w:t xml:space="preserve"> scheme relate to seniority, invalidity and survival, as well as, family allowances, death before retirement to those employees that work or worked in the EU Institutions, Agencies and other EU bodies or are survivors of deceased officials or pensioners. Staff contribute one third of the expected cost of these benefits from their salaries.</w:t>
      </w:r>
    </w:p>
    <w:p w14:paraId="6642DE5E" w14:textId="77777777" w:rsidR="003D353B" w:rsidRDefault="00023E71" w:rsidP="00D0756A">
      <w:pPr>
        <w:pStyle w:val="DGTextstand-alonedashesjustified"/>
        <w:rPr>
          <w:lang w:eastAsia="en-GB"/>
        </w:rPr>
      </w:pPr>
      <w:r>
        <w:rPr>
          <w:lang w:eastAsia="en-GB"/>
        </w:rPr>
        <w:t xml:space="preserve">Joint Sickness Insurance Scheme (JSIS): </w:t>
      </w:r>
      <w:r w:rsidRPr="002B314C">
        <w:rPr>
          <w:lang w:eastAsia="en-GB"/>
        </w:rPr>
        <w:t xml:space="preserve">Under this scheme, the EU provides health </w:t>
      </w:r>
      <w:r w:rsidR="00DD4089">
        <w:rPr>
          <w:lang w:eastAsia="en-GB"/>
        </w:rPr>
        <w:t xml:space="preserve">insurance </w:t>
      </w:r>
      <w:r w:rsidRPr="002B314C">
        <w:rPr>
          <w:lang w:eastAsia="en-GB"/>
        </w:rPr>
        <w:t xml:space="preserve">coverage for staff of the European Commission, </w:t>
      </w:r>
      <w:r w:rsidR="005044AD">
        <w:rPr>
          <w:lang w:eastAsia="en-GB"/>
        </w:rPr>
        <w:t>EU i</w:t>
      </w:r>
      <w:r w:rsidRPr="002B314C">
        <w:rPr>
          <w:lang w:eastAsia="en-GB"/>
        </w:rPr>
        <w:t xml:space="preserve">nstitutions, </w:t>
      </w:r>
      <w:r w:rsidR="005044AD">
        <w:rPr>
          <w:lang w:eastAsia="en-GB"/>
        </w:rPr>
        <w:t>a</w:t>
      </w:r>
      <w:r w:rsidRPr="002B314C">
        <w:rPr>
          <w:lang w:eastAsia="en-GB"/>
        </w:rPr>
        <w:t xml:space="preserve">gencies and other bodies through the reimbursement of medical expenses. The benefits granted to the </w:t>
      </w:r>
      <w:r w:rsidR="00657112">
        <w:rPr>
          <w:lang w:eastAsia="en-GB"/>
        </w:rPr>
        <w:t>‘</w:t>
      </w:r>
      <w:r w:rsidRPr="002B314C">
        <w:rPr>
          <w:lang w:eastAsia="en-GB"/>
        </w:rPr>
        <w:t>inactives</w:t>
      </w:r>
      <w:r w:rsidR="00657112">
        <w:rPr>
          <w:lang w:eastAsia="en-GB"/>
        </w:rPr>
        <w:t>’</w:t>
      </w:r>
      <w:r w:rsidRPr="002B314C">
        <w:rPr>
          <w:lang w:eastAsia="en-GB"/>
        </w:rPr>
        <w:t xml:space="preserve"> of this scheme (i.e. pensioners, orphans, etc.) are classif</w:t>
      </w:r>
      <w:r>
        <w:rPr>
          <w:lang w:eastAsia="en-GB"/>
        </w:rPr>
        <w:t>ied as post-employment benefits.</w:t>
      </w:r>
    </w:p>
    <w:p w14:paraId="2E59A6C6" w14:textId="77777777" w:rsidR="003D353B" w:rsidRDefault="00023E71" w:rsidP="003D353B">
      <w:pPr>
        <w:pStyle w:val="DGTextstand-alone"/>
      </w:pPr>
      <w:r w:rsidRPr="002B314C">
        <w:t xml:space="preserve">The EU also provides post-employment benefits to </w:t>
      </w:r>
      <w:r w:rsidR="005044AD">
        <w:t>m</w:t>
      </w:r>
      <w:r w:rsidR="00DD4089" w:rsidRPr="00DD4089">
        <w:t xml:space="preserve">embers and former </w:t>
      </w:r>
      <w:r w:rsidR="005044AD">
        <w:t>m</w:t>
      </w:r>
      <w:r w:rsidR="00DD4089" w:rsidRPr="00DD4089">
        <w:t>embers</w:t>
      </w:r>
      <w:r w:rsidRPr="002B314C">
        <w:t xml:space="preserve"> of the EU institutions via separate pension schemes. These are shown under the heading </w:t>
      </w:r>
      <w:r>
        <w:t>‘O</w:t>
      </w:r>
      <w:r w:rsidRPr="002B314C">
        <w:t>ther retirement benefit schemes</w:t>
      </w:r>
      <w:r>
        <w:t>’</w:t>
      </w:r>
      <w:r w:rsidRPr="002B314C">
        <w:t xml:space="preserve">. Under these schemes the EU provides pension benefits to members of the Commission, </w:t>
      </w:r>
      <w:r w:rsidR="00DD4089">
        <w:t xml:space="preserve">European </w:t>
      </w:r>
      <w:r w:rsidRPr="002B314C">
        <w:t xml:space="preserve">Court of Justice, Court of Auditors, Council, European Parliament, </w:t>
      </w:r>
      <w:r w:rsidR="00DD4089">
        <w:t xml:space="preserve">European </w:t>
      </w:r>
      <w:r w:rsidRPr="002B314C">
        <w:t xml:space="preserve">Ombudsman, </w:t>
      </w:r>
      <w:r w:rsidR="00DD4089">
        <w:t>and the European Data Protection Supervisor</w:t>
      </w:r>
      <w:r w:rsidRPr="002B314C">
        <w:t xml:space="preserve">. The EU provides health coverage to the members of the EU </w:t>
      </w:r>
      <w:r w:rsidR="00222B92">
        <w:t>i</w:t>
      </w:r>
      <w:r w:rsidRPr="002B314C">
        <w:t xml:space="preserve">nstitutions </w:t>
      </w:r>
      <w:r w:rsidR="00222B92">
        <w:t>through</w:t>
      </w:r>
      <w:r w:rsidRPr="002B314C">
        <w:t xml:space="preserve"> the JSIS</w:t>
      </w:r>
      <w:r>
        <w:t>.</w:t>
      </w:r>
    </w:p>
    <w:p w14:paraId="405FBF9D" w14:textId="77777777" w:rsidR="003D353B" w:rsidRDefault="00023E71" w:rsidP="003D353B">
      <w:pPr>
        <w:pStyle w:val="DGTextstand-alone"/>
      </w:pPr>
      <w:r w:rsidRPr="002B314C">
        <w:t xml:space="preserve">The above post-employment benefits qualify as defined benefit obligations of the EU and are calculated at each reporting date by estimating the amount of future benefit that employees have earned in the current and prior periods, discounting that amount and deducting the fair value of any plan assets. The calculation of defined benefit obligation is </w:t>
      </w:r>
      <w:r w:rsidR="00222B92">
        <w:t>carried out</w:t>
      </w:r>
      <w:r w:rsidRPr="002B314C">
        <w:t xml:space="preserve"> annually using the projected unit credit method. The present value of the defined benefit obligation is determined by discounting the estimated future cash outflows using interest rates of government bonds that are denominated in the currency in which the benefits will be paid, and that have terms to maturity approximating to the terms of the related pension liability</w:t>
      </w:r>
      <w:r>
        <w:t>.</w:t>
      </w:r>
    </w:p>
    <w:p w14:paraId="3446C107" w14:textId="77777777" w:rsidR="003D353B" w:rsidRDefault="00023E71" w:rsidP="003D353B">
      <w:pPr>
        <w:pStyle w:val="DGTextstand-alone"/>
      </w:pPr>
      <w:r w:rsidRPr="00396AE8">
        <w:t>The post-employment benefits provided to EU staff are incorporated in a single plan comprising a pension scheme (PSEO) and a sickness insurance scheme (JSIS), with the right to coverage under the JSIS scheme being dependent on having acquired the right to coverage under the PSEO scheme. Under the terms of this single plan, as set out in the Staff Regulation, certain entitlements, such as the right to a deferred and reduced pension under the PSEO scheme, are acquired after 10 years of service. However, the entitlements acquired under the single plan by the employee’s subsequent service are materially higher than those initial entitlements as reflected by subsequent annually accrued pension rights</w:t>
      </w:r>
      <w:r>
        <w:t>.</w:t>
      </w:r>
    </w:p>
    <w:p w14:paraId="1967FEF7" w14:textId="77777777" w:rsidR="003D353B" w:rsidRDefault="00023E71" w:rsidP="003D353B">
      <w:pPr>
        <w:pStyle w:val="DGTextstand-alone"/>
      </w:pPr>
      <w:r w:rsidRPr="002B314C">
        <w:t>Therefore</w:t>
      </w:r>
      <w:r>
        <w:t xml:space="preserve">, </w:t>
      </w:r>
      <w:r w:rsidRPr="0015704C">
        <w:t>in order to depict the economic substance of the underlying transaction required by the faithful representation qualitative characteristic of financial reporting as outlined in both EAR 1 and the IPSAS Conceptual Framework</w:t>
      </w:r>
      <w:r w:rsidRPr="002B314C">
        <w:t>, the service cost incurred is accrued on a straight-line basis over staff’s estimated active service period, i.e. the period from the date when service by the employee first leads to benefits under the plan (whether or not the benefits are conditional on further service) until the date when further service by the employee will lead to no material amount of further benefits under the plan, other than from further salary increases. This approach is applied consistently to the benefits provided for under the single plan</w:t>
      </w:r>
      <w:r>
        <w:t>.</w:t>
      </w:r>
    </w:p>
    <w:p w14:paraId="45ACFFE7" w14:textId="77777777" w:rsidR="003D353B" w:rsidRDefault="00023E71" w:rsidP="003D353B">
      <w:pPr>
        <w:pStyle w:val="DGTextstand-alone"/>
      </w:pPr>
      <w:r>
        <w:t>Remeasurements in</w:t>
      </w:r>
      <w:r w:rsidR="00B86FFC" w:rsidRPr="002B314C">
        <w:t xml:space="preserve"> t</w:t>
      </w:r>
      <w:r>
        <w:t>he net defined benefit liabilities</w:t>
      </w:r>
      <w:r w:rsidR="00B86FFC" w:rsidRPr="002B314C">
        <w:t xml:space="preserve"> comprise actuarial gains and losses and the return on plan assets, and are recognised immediately in net assets</w:t>
      </w:r>
      <w:r w:rsidR="00B86FFC">
        <w:t>.</w:t>
      </w:r>
    </w:p>
    <w:p w14:paraId="18E22746" w14:textId="77777777" w:rsidR="003D353B" w:rsidRDefault="00023E71" w:rsidP="003D353B">
      <w:pPr>
        <w:pStyle w:val="DGTextstand-alone"/>
      </w:pPr>
      <w:r w:rsidRPr="002B314C">
        <w:t xml:space="preserve">The EU recognises the net interest expense (income) and other expenses related to the defined benefit plans in the statement of financial performance within the </w:t>
      </w:r>
      <w:r w:rsidR="00463440">
        <w:t xml:space="preserve">heading </w:t>
      </w:r>
      <w:r>
        <w:t>‘S</w:t>
      </w:r>
      <w:r w:rsidRPr="002B314C">
        <w:t>taff and pension costs’</w:t>
      </w:r>
      <w:r>
        <w:t>.</w:t>
      </w:r>
    </w:p>
    <w:p w14:paraId="3709608D" w14:textId="77777777" w:rsidR="003D353B" w:rsidRDefault="00023E71" w:rsidP="003D353B">
      <w:pPr>
        <w:pStyle w:val="DGTextstand-alone"/>
      </w:pPr>
      <w:r w:rsidRPr="002B314C">
        <w:t>When benefits provided are changed or curtailed, the resulting change in benefit</w:t>
      </w:r>
      <w:r>
        <w:t>s</w:t>
      </w:r>
      <w:r w:rsidRPr="002B314C">
        <w:t xml:space="preserve"> that relates to past service or the gain or loss on curtailment is recognised immediately in the statement of financial performance. Gains and losses on settlement are recognised when the settlement occurs. Past service cost is recognised immediately in the statement of financial performance, unless the changes are conditional on the employees remaining in service for a specified period of time</w:t>
      </w:r>
      <w:r>
        <w:t>.</w:t>
      </w:r>
    </w:p>
    <w:p w14:paraId="7DC9DCEE" w14:textId="77777777" w:rsidR="003D353B" w:rsidRPr="005D15F9" w:rsidRDefault="00023E71" w:rsidP="0032730E">
      <w:pPr>
        <w:pStyle w:val="HEADER3NOTES"/>
        <w:jc w:val="both"/>
        <w:rPr>
          <w:noProof/>
        </w:rPr>
      </w:pPr>
      <w:r w:rsidRPr="005D15F9">
        <w:rPr>
          <w:noProof/>
        </w:rPr>
        <w:t>Provisions</w:t>
      </w:r>
    </w:p>
    <w:p w14:paraId="442DA340" w14:textId="77777777" w:rsidR="003D353B" w:rsidRDefault="00023E71" w:rsidP="003D353B">
      <w:pPr>
        <w:pStyle w:val="DGTextstand-alone"/>
      </w:pPr>
      <w:r>
        <w:t>Provisions are recognised when the EU has a present legal or constructive obligation towards third parties as a result of past events, it is more likely than not that an outflow of resources will be required to settle the obligation, and the amount can be reliably estimated. Provisions are not recognised for future operating losses. The amount of the provision is the best estimate of the expenses expected to be required to settle the present obligation at the reporting date. Where the provision involves a large number of items, the obligation is estimated by weighting all possible outcomes by their associated probabilities (</w:t>
      </w:r>
      <w:r w:rsidR="00657112">
        <w:t>‘</w:t>
      </w:r>
      <w:r>
        <w:t>expected value</w:t>
      </w:r>
      <w:r w:rsidR="00657112">
        <w:t>’</w:t>
      </w:r>
      <w:r>
        <w:t xml:space="preserve"> method).</w:t>
      </w:r>
    </w:p>
    <w:p w14:paraId="25DCB3C8" w14:textId="77777777" w:rsidR="003D353B" w:rsidRDefault="00023E71" w:rsidP="003D353B">
      <w:pPr>
        <w:pStyle w:val="DGTextstand-alone"/>
      </w:pPr>
      <w:r w:rsidRPr="001E3742">
        <w:t>Provisions for onerous contracts are measured at the present value of the lower of the expected cost of terminating the contract and the expected net cost of continuing with the contract</w:t>
      </w:r>
      <w:r>
        <w:t>.</w:t>
      </w:r>
    </w:p>
    <w:p w14:paraId="1EE9B7DB" w14:textId="77777777" w:rsidR="003D353B" w:rsidRPr="005D15F9" w:rsidRDefault="00023E71" w:rsidP="0032730E">
      <w:pPr>
        <w:pStyle w:val="HEADER3NOTES"/>
        <w:jc w:val="both"/>
        <w:rPr>
          <w:noProof/>
        </w:rPr>
      </w:pPr>
      <w:r w:rsidRPr="005D15F9">
        <w:rPr>
          <w:noProof/>
        </w:rPr>
        <w:t>Financial liabilities</w:t>
      </w:r>
    </w:p>
    <w:p w14:paraId="073F08E1" w14:textId="77777777" w:rsidR="00DD2AB7" w:rsidRDefault="00023E71" w:rsidP="00DD2AB7">
      <w:pPr>
        <w:pStyle w:val="DGTextstand-alone"/>
      </w:pPr>
      <w:r>
        <w:t>Financial liabilities are classified as financial liabilities at fair value through surplus or deficit, financial liabilities carried at amortised cost, or as financial guarantee contract liabilities.</w:t>
      </w:r>
    </w:p>
    <w:p w14:paraId="18445BAF" w14:textId="77777777" w:rsidR="004A5B82" w:rsidRDefault="00023E71" w:rsidP="004A5B82">
      <w:pPr>
        <w:pStyle w:val="HEADER5"/>
        <w:rPr>
          <w:noProof/>
        </w:rPr>
      </w:pPr>
      <w:r>
        <w:rPr>
          <w:noProof/>
        </w:rPr>
        <w:t xml:space="preserve">Borrowings </w:t>
      </w:r>
    </w:p>
    <w:p w14:paraId="117E080B" w14:textId="77777777" w:rsidR="00DD2AB7" w:rsidRDefault="00023E71" w:rsidP="00DD2AB7">
      <w:pPr>
        <w:pStyle w:val="DGTextstand-alone"/>
      </w:pPr>
      <w:r>
        <w:t xml:space="preserve">Borrowings </w:t>
      </w:r>
      <w:r w:rsidR="002C13BA">
        <w:t xml:space="preserve">are composed of borrowings from credit institutions and debts evidenced by certificates (EU </w:t>
      </w:r>
      <w:r w:rsidR="00222B92">
        <w:t>B</w:t>
      </w:r>
      <w:r w:rsidR="002C13BA">
        <w:t xml:space="preserve">onds, EU deposits and EU </w:t>
      </w:r>
      <w:r w:rsidR="00222B92">
        <w:t>B</w:t>
      </w:r>
      <w:r w:rsidR="002C13BA">
        <w:t>ills). They are recognised initially at fair value, being their issue proceeds (fair value of consideration received) net of transaction costs incurred, then subsequently carried at amortised cost using the effective interest method; any difference between proceeds, net of transaction costs, and the redemption value is recognised in the statement of financial performance over the period of the borrowings using the effective interest method. The transaction costs incurred by the EU and then recharged to the beneficiary of the loan are immaterial and are directly recognised in the statement of financial performance.</w:t>
      </w:r>
    </w:p>
    <w:p w14:paraId="2B073BB4" w14:textId="1779007D" w:rsidR="002E6294" w:rsidRDefault="00023E71" w:rsidP="00DD2AB7">
      <w:pPr>
        <w:pStyle w:val="DGTextstand-alone"/>
      </w:pPr>
      <w:r>
        <w:t>Borrowings are classified as non-current liabilities, except for maturities less than 12 months after the balance sheet date.</w:t>
      </w:r>
    </w:p>
    <w:p w14:paraId="18148957" w14:textId="77777777" w:rsidR="002E6294" w:rsidRDefault="002E6294">
      <w:pPr>
        <w:rPr>
          <w:rFonts w:ascii="Verdana" w:hAnsi="Verdana"/>
          <w:noProof/>
          <w:sz w:val="18"/>
          <w:szCs w:val="18"/>
          <w:lang w:eastAsia="en-US"/>
        </w:rPr>
      </w:pPr>
      <w:r>
        <w:rPr>
          <w:noProof/>
        </w:rPr>
        <w:br w:type="page"/>
      </w:r>
    </w:p>
    <w:p w14:paraId="4F8A3A96" w14:textId="77777777" w:rsidR="004A5B82" w:rsidRDefault="00023E71" w:rsidP="004A5B82">
      <w:pPr>
        <w:pStyle w:val="HEADER5"/>
        <w:rPr>
          <w:noProof/>
        </w:rPr>
      </w:pPr>
      <w:r>
        <w:rPr>
          <w:noProof/>
        </w:rPr>
        <w:t xml:space="preserve">Financial liabilities at fair value through surplus or deficit </w:t>
      </w:r>
    </w:p>
    <w:p w14:paraId="04F6704D" w14:textId="77777777" w:rsidR="00DD2AB7" w:rsidRDefault="00023E71" w:rsidP="00DD2AB7">
      <w:pPr>
        <w:pStyle w:val="DGTextstand-alone"/>
      </w:pPr>
      <w:r>
        <w:t xml:space="preserve">These </w:t>
      </w:r>
      <w:r w:rsidR="002C13BA">
        <w:t xml:space="preserve">include derivatives where the fair value is negative. They follow the same accounting treatment as financial assets at fair value through surplus or deficit, see </w:t>
      </w:r>
      <w:r>
        <w:t>N</w:t>
      </w:r>
      <w:r w:rsidR="002C13BA">
        <w:t xml:space="preserve">ote </w:t>
      </w:r>
      <w:r w:rsidR="002C13BA" w:rsidRPr="008415D1">
        <w:rPr>
          <w:b/>
        </w:rPr>
        <w:t>1.5.5</w:t>
      </w:r>
      <w:r w:rsidR="002C13BA">
        <w:t>.</w:t>
      </w:r>
    </w:p>
    <w:p w14:paraId="7D3EEB59" w14:textId="77777777" w:rsidR="00C5551C" w:rsidRDefault="00023E71" w:rsidP="00DD2AB7">
      <w:pPr>
        <w:pStyle w:val="DGTextstand-alone"/>
      </w:pPr>
      <w:r w:rsidRPr="00C5551C">
        <w:t>This category comprises guarantees given by the EU to financial institutions on equity investments. These guarantees are classified as derivative financial instruments and accounted for as a financial asset or financial liability at fair value through surplus or deficit since they do not meet the definition of a financial guarantee liability. The EU financial asset or liability is measured based on the value of the underlying investments.</w:t>
      </w:r>
    </w:p>
    <w:p w14:paraId="71D7AA11" w14:textId="77777777" w:rsidR="004A5B82" w:rsidRDefault="00023E71" w:rsidP="004A5B82">
      <w:pPr>
        <w:pStyle w:val="HEADER5"/>
        <w:rPr>
          <w:noProof/>
        </w:rPr>
      </w:pPr>
      <w:r>
        <w:rPr>
          <w:noProof/>
        </w:rPr>
        <w:t>Financial guarantee contract liabilities</w:t>
      </w:r>
    </w:p>
    <w:p w14:paraId="79A44E60" w14:textId="77777777" w:rsidR="00DD2AB7" w:rsidRDefault="00023E71" w:rsidP="00DD2AB7">
      <w:pPr>
        <w:pStyle w:val="DGTextstand-alone"/>
      </w:pPr>
      <w:r>
        <w:t>The EU recognises a financial guarantee contract</w:t>
      </w:r>
      <w:r w:rsidR="00222B92">
        <w:t xml:space="preserve"> (FGC)</w:t>
      </w:r>
      <w:r>
        <w:t xml:space="preserve"> liability when it enters into a contract that requires the EU to make specified payments to reimburse the guarantee holder for a loss it incurs because a specified debtor fails to make payment when due in accordance with the original or modified terms of a debt instrument. Where the guarantee contract requires the EU to make payments in response to </w:t>
      </w:r>
      <w:r w:rsidR="00222B92">
        <w:t xml:space="preserve">price changes to </w:t>
      </w:r>
      <w:r>
        <w:t>financial instruments or changes to other underlyings, the guarantee contract is a derivative i.e. a financial liability at fair value through surplus or deficit. All other guarantee contracts are accounted for as financial provisions.</w:t>
      </w:r>
    </w:p>
    <w:p w14:paraId="2F5FB0FD" w14:textId="77777777" w:rsidR="00DD2AB7" w:rsidRDefault="00023E71" w:rsidP="00DD2AB7">
      <w:pPr>
        <w:pStyle w:val="DGTextstand-alone"/>
      </w:pPr>
      <w:r>
        <w:t>FGC</w:t>
      </w:r>
      <w:r w:rsidR="006866CB">
        <w:t xml:space="preserve"> liabilities are initially recognised at fair value. This equals the net present value of the premium receivable, if it is at market terms. When no guarantee premium is charged or where the consideration is not fair value, the fair value is determined based on the quoted prices in an active market for </w:t>
      </w:r>
      <w:r>
        <w:t>FGCs</w:t>
      </w:r>
      <w:r w:rsidR="006866CB">
        <w:t xml:space="preserve"> directly equivalent to that entered into the financial guarantee liability, if available, or using a valuation technique. If no reliable measure of fair value can be determined either by direct observation of an active market or through another valuation technique, the financial guarantee contract liability is initially measured at the amount of the lifetime expected credit losses.</w:t>
      </w:r>
    </w:p>
    <w:p w14:paraId="051593FC" w14:textId="77777777" w:rsidR="006D2F45" w:rsidRDefault="00023E71" w:rsidP="006D2F45">
      <w:pPr>
        <w:pStyle w:val="DGTextstand-alone"/>
      </w:pPr>
      <w:r>
        <w:t>The subsequent measurement depends on the evolution of the credit risk exposure from the financial guarantee</w:t>
      </w:r>
      <w:r w:rsidR="00BA6D2B">
        <w:t xml:space="preserve">, </w:t>
      </w:r>
      <w:r w:rsidR="0037058C" w:rsidRPr="006C388D">
        <w:t xml:space="preserve">which is monitored by allocating the FGC to stages. </w:t>
      </w:r>
      <w:r w:rsidRPr="006C388D">
        <w:t>The key risk indicator for the allocation of FGC to stages is the credit rating of the guaranteed debt. The staging model compares the credit rating at origination to the credit rating at the reporting date.</w:t>
      </w:r>
    </w:p>
    <w:p w14:paraId="27DAD542" w14:textId="77777777" w:rsidR="00C22283" w:rsidRPr="00C22283" w:rsidRDefault="00023E71" w:rsidP="00C22283">
      <w:pPr>
        <w:pStyle w:val="DGTextstand-alone"/>
      </w:pPr>
      <w:r w:rsidRPr="00C22283">
        <w:t>If there is no significant increase in credit risk (‘stage 1’), financial guarantee liabilities are measured at the higher of the 12 months expected credit losses and the amount initially recognised less, when appropriate, cumulative amortisation. If there is a significant increase in credit risk (‘stage 2’), financial guarantee liabilities are measured at the higher of the lifetime expected credit losses and the amount initially recognised less, when appropriate, cumulative amortisation.</w:t>
      </w:r>
    </w:p>
    <w:p w14:paraId="11340CFC" w14:textId="77777777" w:rsidR="00467C6A" w:rsidRDefault="00023E71" w:rsidP="006C388D">
      <w:pPr>
        <w:pStyle w:val="DGTextstand-alone"/>
      </w:pPr>
      <w:r>
        <w:t>The staging criteria for guaranteed debt in financial guarantee contracts covering a single debt instrument are the same as those for financial assets at amorti</w:t>
      </w:r>
      <w:r w:rsidR="00D0756A">
        <w:t>s</w:t>
      </w:r>
      <w:r>
        <w:t xml:space="preserve">ed cost (see Note </w:t>
      </w:r>
      <w:r w:rsidRPr="006C388D">
        <w:rPr>
          <w:b/>
          <w:bCs/>
        </w:rPr>
        <w:t>1.5.5</w:t>
      </w:r>
      <w:r>
        <w:t xml:space="preserve">). </w:t>
      </w:r>
    </w:p>
    <w:p w14:paraId="14E2E861" w14:textId="77777777" w:rsidR="006C388D" w:rsidRDefault="00023E71" w:rsidP="006C388D">
      <w:pPr>
        <w:pStyle w:val="DGTextstand-alone"/>
      </w:pPr>
      <w:r>
        <w:t>The staging criteria for the guaranteed debt in portfolio guarantees follow the same staging criteria as for fina</w:t>
      </w:r>
      <w:r w:rsidR="00467C6A">
        <w:t>n</w:t>
      </w:r>
      <w:r>
        <w:t>cial assets at amorti</w:t>
      </w:r>
      <w:r w:rsidR="00D0756A">
        <w:t>s</w:t>
      </w:r>
      <w:r>
        <w:t>ed cost with the following exceptions:</w:t>
      </w:r>
    </w:p>
    <w:p w14:paraId="5FF999FE" w14:textId="77777777" w:rsidR="006C388D" w:rsidRDefault="00023E71" w:rsidP="00D0756A">
      <w:pPr>
        <w:pStyle w:val="DGTextstand-alonedashesjustified"/>
        <w:rPr>
          <w:lang w:eastAsia="en-GB"/>
        </w:rPr>
      </w:pPr>
      <w:r>
        <w:rPr>
          <w:lang w:eastAsia="en-GB"/>
        </w:rPr>
        <w:t>t</w:t>
      </w:r>
      <w:r w:rsidR="006866CB">
        <w:rPr>
          <w:lang w:eastAsia="en-GB"/>
        </w:rPr>
        <w:t>he weighted average credit rating of the guaranteed portfolio, or rating of the guarantee, is considered for the staging criteria, and not the rating of individual debt instruments separately.</w:t>
      </w:r>
    </w:p>
    <w:p w14:paraId="05958D6D" w14:textId="77777777" w:rsidR="006C388D" w:rsidRDefault="00023E71" w:rsidP="00D0756A">
      <w:pPr>
        <w:pStyle w:val="DGTextstand-alonedashesjustified"/>
        <w:rPr>
          <w:lang w:eastAsia="en-GB"/>
        </w:rPr>
      </w:pPr>
      <w:r>
        <w:rPr>
          <w:lang w:eastAsia="en-GB"/>
        </w:rPr>
        <w:t>f</w:t>
      </w:r>
      <w:r w:rsidR="006866CB">
        <w:rPr>
          <w:lang w:eastAsia="en-GB"/>
        </w:rPr>
        <w:t>or guarantees with a credit rating between AAA (Aa1) and BB- (Ba3) at initial recognition date: the deterioration is considered significant if the difference between the rating at origination and that at the reporting date is equal or superior to 2 notches.</w:t>
      </w:r>
    </w:p>
    <w:p w14:paraId="555F5481" w14:textId="77777777" w:rsidR="006C388D" w:rsidRDefault="00023E71" w:rsidP="00D0756A">
      <w:pPr>
        <w:pStyle w:val="DGTextstand-alonedashesjustified"/>
        <w:rPr>
          <w:lang w:eastAsia="en-GB"/>
        </w:rPr>
      </w:pPr>
      <w:r>
        <w:rPr>
          <w:lang w:eastAsia="en-GB"/>
        </w:rPr>
        <w:t>f</w:t>
      </w:r>
      <w:r w:rsidR="006866CB">
        <w:rPr>
          <w:lang w:eastAsia="en-GB"/>
        </w:rPr>
        <w:t>or guarantees with a credit rating between B+ (B1) or lower at initial recognition date: the deterioration is considered significant if the difference between the rating at origination and that at the reporting date is equal or superior to 1 notch.</w:t>
      </w:r>
    </w:p>
    <w:p w14:paraId="4539C4C3" w14:textId="77777777" w:rsidR="006C388D" w:rsidRPr="006D2F45" w:rsidRDefault="00023E71" w:rsidP="006C388D">
      <w:pPr>
        <w:pStyle w:val="DGTextstand-alone"/>
      </w:pPr>
      <w:r>
        <w:t xml:space="preserve">Alternatively, if the credit ratings are not available but there is an estimation of the expected annual claims at initial recognition, the actual level of claims compared to the initial estimate is also considered a reasonable risk indicator for the assessment of </w:t>
      </w:r>
      <w:r w:rsidR="00222B92" w:rsidRPr="00222B92">
        <w:t>significant increase in credit risk</w:t>
      </w:r>
      <w:r w:rsidR="00222B92">
        <w:t xml:space="preserve"> (</w:t>
      </w:r>
      <w:r>
        <w:t>SICR</w:t>
      </w:r>
      <w:r w:rsidR="00222B92">
        <w:t>)</w:t>
      </w:r>
      <w:r>
        <w:t>.</w:t>
      </w:r>
    </w:p>
    <w:p w14:paraId="543E35E5" w14:textId="77777777" w:rsidR="006D2F45" w:rsidRPr="00C22283" w:rsidRDefault="00023E71" w:rsidP="006D2F45">
      <w:pPr>
        <w:pStyle w:val="DGTextstand-alone"/>
      </w:pPr>
      <w:r w:rsidRPr="00C22283">
        <w:t>In addition to the above criteria, the EU may apply a qualitative assessment of the SICR, based on additional, reasonable and justified, information available.</w:t>
      </w:r>
    </w:p>
    <w:p w14:paraId="71A66FD9" w14:textId="77777777" w:rsidR="006D2F45" w:rsidRPr="00C22283" w:rsidRDefault="00023E71" w:rsidP="006D2F45">
      <w:pPr>
        <w:pStyle w:val="DGTextstand-alone"/>
      </w:pPr>
      <w:r w:rsidRPr="00C22283">
        <w:t>FGC originated before the transition to the revised EAR 11 (i.e. before 1 January 2021) for which no information on the credit risk at initial recognition is available without undue cost and effort are classified to Stage 2.</w:t>
      </w:r>
    </w:p>
    <w:p w14:paraId="191DD9FC" w14:textId="77777777" w:rsidR="006D2F45" w:rsidRDefault="00023E71" w:rsidP="006D2F45">
      <w:pPr>
        <w:pStyle w:val="DGTextstand-alone"/>
      </w:pPr>
      <w:r w:rsidRPr="00C22283">
        <w:t>Classification to Stage 3 and POCI does not apply to FGC.</w:t>
      </w:r>
    </w:p>
    <w:p w14:paraId="29405FA8" w14:textId="77777777" w:rsidR="00472F25" w:rsidRDefault="00023E71" w:rsidP="00472F25">
      <w:pPr>
        <w:pStyle w:val="DGTextstand-alone"/>
      </w:pPr>
      <w:r>
        <w:t xml:space="preserve">Financial guarantee contracts are classified as current liabilities, except if the EU has an unconditional right to defer the settlement of the liability for at least </w:t>
      </w:r>
      <w:r w:rsidR="00222B92">
        <w:t>12</w:t>
      </w:r>
      <w:r>
        <w:t xml:space="preserve"> months after the reporting date.</w:t>
      </w:r>
    </w:p>
    <w:p w14:paraId="25A271F8" w14:textId="77777777" w:rsidR="00C22283" w:rsidRDefault="00023E71" w:rsidP="00C22283">
      <w:pPr>
        <w:pStyle w:val="HEADER5"/>
        <w:rPr>
          <w:noProof/>
        </w:rPr>
      </w:pPr>
      <w:r>
        <w:rPr>
          <w:noProof/>
        </w:rPr>
        <w:t>Contributions with conditions</w:t>
      </w:r>
    </w:p>
    <w:p w14:paraId="63FB0AF0" w14:textId="77777777" w:rsidR="00D945EA" w:rsidRDefault="00023E71" w:rsidP="003D353B">
      <w:pPr>
        <w:pStyle w:val="DGTextstand-alone"/>
      </w:pPr>
      <w:r>
        <w:t xml:space="preserve">EU trust funds that are considered as part of the Commission’s operational activities (i.e. trust funds Madad and Colombia) are accounted for in the Commission accounts and further consolidated in the EU annual accounts. </w:t>
      </w:r>
      <w:r w:rsidR="00883938">
        <w:t>C</w:t>
      </w:r>
      <w:r>
        <w:t>ontributions from other donors to the</w:t>
      </w:r>
      <w:r w:rsidR="00883938">
        <w:t>se</w:t>
      </w:r>
      <w:r>
        <w:t xml:space="preserve"> trust funds fulfil the criteria of revenues from non-exchange transactions under conditions</w:t>
      </w:r>
      <w:r w:rsidR="00883938">
        <w:t xml:space="preserve">. They </w:t>
      </w:r>
      <w:r>
        <w:t xml:space="preserve">are presented as financial liabilities until the conditions attached to the contributions transferred are met, i.e. eligible costs are incurred by the trust fund. </w:t>
      </w:r>
      <w:r w:rsidR="00222B92">
        <w:t>The trust fund is required to finance specific projects and return remaining funds at the time of winding-up. At the balance sheet date, the outstanding contribution liabilities are measured at contributions received less the expenses incurred by the trust fund, including estimated amounts when necessary. For reporting purposes, the net expenses are allocated to the contributions of other donors in proportion to net contributions paid as at 31 December. This allocation of contributions is only indicative. When the trust fund is wound up, the actual distribution of the remaining resources will be decided by the trust fund board</w:t>
      </w:r>
      <w:r>
        <w:t>.</w:t>
      </w:r>
    </w:p>
    <w:p w14:paraId="30DF7CD8" w14:textId="77777777" w:rsidR="003D353B" w:rsidRDefault="00023E71" w:rsidP="003D353B">
      <w:pPr>
        <w:pStyle w:val="DGTextstand-alone"/>
      </w:pPr>
      <w:r w:rsidRPr="00783A33">
        <w:t xml:space="preserve">The same measurement principles apply to the external contributions to the EU programmes, </w:t>
      </w:r>
      <w:r w:rsidR="00222B92">
        <w:t>if</w:t>
      </w:r>
      <w:r w:rsidRPr="00783A33">
        <w:t xml:space="preserve"> such contributions are received with </w:t>
      </w:r>
      <w:r w:rsidR="00222B92">
        <w:t xml:space="preserve">the </w:t>
      </w:r>
      <w:r w:rsidRPr="00783A33">
        <w:t>condition to use the resources as stipulated in the contribution agreements or otherwise to return them to the contributor.</w:t>
      </w:r>
    </w:p>
    <w:p w14:paraId="08C53447" w14:textId="77777777" w:rsidR="003D353B" w:rsidRPr="005D15F9" w:rsidRDefault="00023E71" w:rsidP="0032730E">
      <w:pPr>
        <w:pStyle w:val="HEADER3NOTES"/>
        <w:jc w:val="both"/>
        <w:rPr>
          <w:noProof/>
        </w:rPr>
      </w:pPr>
      <w:r w:rsidRPr="005D15F9">
        <w:rPr>
          <w:noProof/>
        </w:rPr>
        <w:t>Payables</w:t>
      </w:r>
    </w:p>
    <w:p w14:paraId="1073380D" w14:textId="77777777" w:rsidR="003D353B" w:rsidRDefault="00023E71" w:rsidP="003D353B">
      <w:pPr>
        <w:pStyle w:val="DGTextstand-alone"/>
      </w:pPr>
      <w:r>
        <w:t>A significant amount of the payables of the EU are unpaid cost claims from beneficiaries of grants or other EU funding (non-exchange transactions). They are recorded as payables for the requested amount when the cost claim is received. Upon verification and acceptance of the eligible costs, the payables are valued at the eligible amount.</w:t>
      </w:r>
    </w:p>
    <w:p w14:paraId="2F39FD4D" w14:textId="77777777" w:rsidR="003D353B" w:rsidRDefault="00023E71" w:rsidP="003D353B">
      <w:pPr>
        <w:pStyle w:val="DGTextstand-alone"/>
      </w:pPr>
      <w:r>
        <w:t xml:space="preserve">Payables arising from the purchase of goods and services are recognised at invoice reception for the original amount and </w:t>
      </w:r>
      <w:r w:rsidR="002F04B0">
        <w:t xml:space="preserve">the </w:t>
      </w:r>
      <w:r>
        <w:t xml:space="preserve">corresponding </w:t>
      </w:r>
      <w:r w:rsidR="002F04B0">
        <w:t xml:space="preserve">eligible </w:t>
      </w:r>
      <w:r>
        <w:t>expenses are entered in the accounts when the supplies or services are delivered and accepted by the EU.</w:t>
      </w:r>
    </w:p>
    <w:p w14:paraId="5EB73DC0" w14:textId="77777777" w:rsidR="003D353B" w:rsidRPr="005D15F9" w:rsidRDefault="00023E71" w:rsidP="0032730E">
      <w:pPr>
        <w:pStyle w:val="HEADER3NOTES"/>
        <w:keepNext/>
        <w:jc w:val="both"/>
        <w:rPr>
          <w:noProof/>
        </w:rPr>
      </w:pPr>
      <w:r w:rsidRPr="005D15F9">
        <w:rPr>
          <w:noProof/>
        </w:rPr>
        <w:t xml:space="preserve">Accrued and deferred </w:t>
      </w:r>
      <w:r>
        <w:rPr>
          <w:noProof/>
        </w:rPr>
        <w:t>revenue</w:t>
      </w:r>
      <w:r w:rsidRPr="005D15F9">
        <w:rPr>
          <w:noProof/>
        </w:rPr>
        <w:t xml:space="preserve"> and charges</w:t>
      </w:r>
    </w:p>
    <w:p w14:paraId="36C8D33B" w14:textId="77777777" w:rsidR="003D353B" w:rsidRDefault="00023E71" w:rsidP="003D353B">
      <w:pPr>
        <w:pStyle w:val="DGTextstand-alone"/>
      </w:pPr>
      <w:r>
        <w:t>Transactions and events are recognised in the financial statements in the period to which they relate. At year-end, if an invoice is not yet issued but the service has been rendered, the supplies have been delivered by the EU or a contractual agreement exists (e.g. by reference to a treaty), an accrued revenue will be recognised in the financial statements. In addition, at year-end, if an invoice is issued but the services have not yet been rendered or the goods supplied have not yet been delivered, the revenue will be deferred and recognised in the subsequent accounting period.</w:t>
      </w:r>
    </w:p>
    <w:p w14:paraId="515C482A" w14:textId="00019323" w:rsidR="002E6294" w:rsidRDefault="00023E71" w:rsidP="003D353B">
      <w:pPr>
        <w:pStyle w:val="DGTextstand-alone"/>
      </w:pPr>
      <w:r>
        <w:t xml:space="preserve">Expenses are also accounted for in the period to which they relate. At the end of the accounting period, accrued expenses are recognised based on an estimated amount of the transfer obligation of the period. </w:t>
      </w:r>
      <w:r w:rsidR="00222B92">
        <w:t>A</w:t>
      </w:r>
      <w:r>
        <w:t xml:space="preserve">ccrued expenses </w:t>
      </w:r>
      <w:r w:rsidR="00222B92">
        <w:t>are calculated</w:t>
      </w:r>
      <w:r>
        <w:t xml:space="preserve"> in accordance with detailed operational and practical guidelines issued by the Commission which aim </w:t>
      </w:r>
      <w:r w:rsidR="00222B92">
        <w:t xml:space="preserve">to </w:t>
      </w:r>
      <w:r>
        <w:t>ensur</w:t>
      </w:r>
      <w:r w:rsidR="00222B92">
        <w:t>e</w:t>
      </w:r>
      <w:r>
        <w:t xml:space="preserve"> that the financial statements provide a faithful representation of the economic and other phenomena they purport to represent. By analogy, if a payment has been made in advance for services or goods that have not yet been received, the expense will be deferred and recognised in the subsequent accounting period.</w:t>
      </w:r>
    </w:p>
    <w:p w14:paraId="577642F0" w14:textId="77777777" w:rsidR="002E6294" w:rsidRDefault="002E6294">
      <w:pPr>
        <w:rPr>
          <w:rFonts w:ascii="Verdana" w:hAnsi="Verdana"/>
          <w:noProof/>
          <w:sz w:val="18"/>
          <w:szCs w:val="18"/>
          <w:lang w:eastAsia="en-US"/>
        </w:rPr>
      </w:pPr>
      <w:r>
        <w:rPr>
          <w:noProof/>
        </w:rPr>
        <w:br w:type="page"/>
      </w:r>
    </w:p>
    <w:p w14:paraId="5C4942E8" w14:textId="77777777" w:rsidR="003D353B" w:rsidRDefault="00023E71" w:rsidP="0032730E">
      <w:pPr>
        <w:pStyle w:val="HEADER2NOTES"/>
        <w:jc w:val="both"/>
        <w:rPr>
          <w:noProof/>
        </w:rPr>
      </w:pPr>
      <w:r w:rsidRPr="00632B75">
        <w:rPr>
          <w:noProof/>
        </w:rPr>
        <w:t>STATEMENT OF FINANCIAL PERFORMANCE</w:t>
      </w:r>
    </w:p>
    <w:p w14:paraId="01989B59" w14:textId="77777777" w:rsidR="003D353B" w:rsidRPr="005D15F9" w:rsidRDefault="00023E71" w:rsidP="0032730E">
      <w:pPr>
        <w:pStyle w:val="HEADER3NOTES"/>
        <w:jc w:val="both"/>
        <w:rPr>
          <w:noProof/>
        </w:rPr>
      </w:pPr>
      <w:r w:rsidRPr="005D15F9">
        <w:rPr>
          <w:noProof/>
        </w:rPr>
        <w:t>Revenue</w:t>
      </w:r>
    </w:p>
    <w:p w14:paraId="568C495F" w14:textId="77777777" w:rsidR="003D353B" w:rsidRPr="00091BA3" w:rsidRDefault="00023E71" w:rsidP="003D353B">
      <w:pPr>
        <w:pStyle w:val="HEADER5"/>
        <w:rPr>
          <w:b/>
          <w:noProof/>
        </w:rPr>
      </w:pPr>
      <w:r w:rsidRPr="00091BA3">
        <w:rPr>
          <w:noProof/>
        </w:rPr>
        <w:t>REVENUE FROM NON-EXCHANGE TRANSACTIONS</w:t>
      </w:r>
    </w:p>
    <w:p w14:paraId="5EE7A983" w14:textId="77777777" w:rsidR="003D353B" w:rsidRDefault="00023E71" w:rsidP="003D353B">
      <w:pPr>
        <w:pStyle w:val="DGTextstand-alone"/>
      </w:pPr>
      <w:r>
        <w:t xml:space="preserve">The vast majority of the </w:t>
      </w:r>
      <w:r w:rsidR="00657112">
        <w:t xml:space="preserve">EU’s </w:t>
      </w:r>
      <w:r>
        <w:t>revenue relates to non-exchange transactions</w:t>
      </w:r>
      <w:r w:rsidR="002F04B0">
        <w:t xml:space="preserve"> as follows</w:t>
      </w:r>
      <w:r>
        <w:t>:</w:t>
      </w:r>
    </w:p>
    <w:p w14:paraId="785EF063" w14:textId="77777777" w:rsidR="003D353B" w:rsidRPr="00677A47" w:rsidRDefault="00023E71" w:rsidP="003D353B">
      <w:pPr>
        <w:pStyle w:val="HEADER5"/>
        <w:rPr>
          <w:b/>
          <w:noProof/>
        </w:rPr>
      </w:pPr>
      <w:r>
        <w:rPr>
          <w:noProof/>
        </w:rPr>
        <w:t>GNI</w:t>
      </w:r>
      <w:r w:rsidR="00FB5DD6">
        <w:rPr>
          <w:noProof/>
        </w:rPr>
        <w:t>-</w:t>
      </w:r>
      <w:r>
        <w:rPr>
          <w:noProof/>
        </w:rPr>
        <w:t xml:space="preserve">based resources, </w:t>
      </w:r>
      <w:r w:rsidR="00AD7682" w:rsidRPr="00677A47">
        <w:rPr>
          <w:noProof/>
        </w:rPr>
        <w:t xml:space="preserve">VAT </w:t>
      </w:r>
      <w:r>
        <w:rPr>
          <w:noProof/>
        </w:rPr>
        <w:t xml:space="preserve">and Plastics </w:t>
      </w:r>
      <w:r w:rsidR="00DD4089">
        <w:rPr>
          <w:noProof/>
        </w:rPr>
        <w:t xml:space="preserve">own </w:t>
      </w:r>
      <w:r w:rsidR="00AD7682" w:rsidRPr="00677A47">
        <w:rPr>
          <w:noProof/>
        </w:rPr>
        <w:t>resources</w:t>
      </w:r>
    </w:p>
    <w:p w14:paraId="6D38F215" w14:textId="77777777" w:rsidR="003D353B" w:rsidRDefault="00023E71" w:rsidP="003D353B">
      <w:pPr>
        <w:pStyle w:val="DGTextstand-alone"/>
      </w:pPr>
      <w:r w:rsidRPr="009373BD">
        <w:t xml:space="preserve">Revenue is recognised for the period for which the Commission sends out a call for funds to the Member States claiming their contribution. The revenue is measured at its ‘called amount’. As VAT, GNI and Plastics </w:t>
      </w:r>
      <w:r w:rsidR="00DD4089">
        <w:t xml:space="preserve">own </w:t>
      </w:r>
      <w:r w:rsidRPr="009373BD">
        <w:t>resources are based on estimates of the data for the budgetary year concerned, they may be revised since changes occur until the final data are issued by the Member State</w:t>
      </w:r>
      <w:r w:rsidR="00DD4089">
        <w:t>s. The effect of a change in</w:t>
      </w:r>
      <w:r w:rsidRPr="009373BD">
        <w:t xml:space="preserve"> estimate is included when determining the net surplus or deficit for the period in which the change occurred.</w:t>
      </w:r>
    </w:p>
    <w:p w14:paraId="3CAC1407" w14:textId="77777777" w:rsidR="003D353B" w:rsidRPr="00677A47" w:rsidRDefault="00023E71" w:rsidP="003D353B">
      <w:pPr>
        <w:pStyle w:val="HEADER5"/>
        <w:rPr>
          <w:b/>
          <w:noProof/>
        </w:rPr>
      </w:pPr>
      <w:r w:rsidRPr="00677A47">
        <w:rPr>
          <w:noProof/>
        </w:rPr>
        <w:t>Traditional own resources</w:t>
      </w:r>
    </w:p>
    <w:p w14:paraId="308928E2" w14:textId="77777777" w:rsidR="003D353B" w:rsidRDefault="00023E71" w:rsidP="003D353B">
      <w:pPr>
        <w:pStyle w:val="DGTextstand-alone"/>
      </w:pPr>
      <w:r w:rsidRPr="009373BD">
        <w:t>Recoverables from non-exchange transactions and related revenues are recognised when the relevant monthly ‘A’ statements (including duties collected and amounts due that are guaranteed and not contested) are received from the Member States. At the reporting date, revenue collected by the Member States for the period but not yet paid to the Commission is estimated and recognised as accrued revenue. The quarterly ‘B’ statements (including duties neither collected nor guaranteed, as well as guaranteed amounts that have been contested by the debtor) received from the Member States are recognised as revenue less the collection costs to which they are entitled. In additio</w:t>
      </w:r>
      <w:r w:rsidR="00DD4089">
        <w:t>n, a value reduction is recognis</w:t>
      </w:r>
      <w:r w:rsidRPr="009373BD">
        <w:t>ed for the amount of the estimated recovery gap.</w:t>
      </w:r>
    </w:p>
    <w:p w14:paraId="18F245DD" w14:textId="77777777" w:rsidR="003D353B" w:rsidRPr="00677A47" w:rsidRDefault="00023E71" w:rsidP="003D353B">
      <w:pPr>
        <w:pStyle w:val="HEADER5"/>
        <w:rPr>
          <w:b/>
          <w:noProof/>
        </w:rPr>
      </w:pPr>
      <w:r w:rsidRPr="00677A47">
        <w:rPr>
          <w:noProof/>
        </w:rPr>
        <w:t>Fines</w:t>
      </w:r>
    </w:p>
    <w:p w14:paraId="216EE802" w14:textId="77777777" w:rsidR="00FF0D56" w:rsidRDefault="00023E71" w:rsidP="00FF0D56">
      <w:pPr>
        <w:pStyle w:val="DGTextstand-alone"/>
      </w:pPr>
      <w:r>
        <w:t xml:space="preserve">Revenue from fines is recognised when the EU’s decision imposing a fine has been </w:t>
      </w:r>
      <w:r w:rsidR="00DD4089">
        <w:t>adopted</w:t>
      </w:r>
      <w:r>
        <w:t xml:space="preserve"> and it is officially notified to the addressee. After the decision to impose a fine, the </w:t>
      </w:r>
      <w:r w:rsidR="00BA33DF">
        <w:t>fined entities</w:t>
      </w:r>
      <w:r>
        <w:t xml:space="preserve"> have two months from the date of notification:</w:t>
      </w:r>
    </w:p>
    <w:p w14:paraId="36C75B76" w14:textId="77777777" w:rsidR="00FF0D56" w:rsidRDefault="00023E71" w:rsidP="00D0756A">
      <w:pPr>
        <w:pStyle w:val="DGTextstand-alonedashesjustified"/>
        <w:rPr>
          <w:lang w:eastAsia="en-GB"/>
        </w:rPr>
      </w:pPr>
      <w:r>
        <w:rPr>
          <w:lang w:eastAsia="en-GB"/>
        </w:rPr>
        <w:t>either to accept the decision, in which case they must pay the fine within the time limit laid down and the amount is definitively collected by the EU; or</w:t>
      </w:r>
    </w:p>
    <w:p w14:paraId="190C8354" w14:textId="77777777" w:rsidR="00FF0D56" w:rsidRDefault="00023E71" w:rsidP="00D0756A">
      <w:pPr>
        <w:pStyle w:val="DGTextstand-alonedashesjustified"/>
        <w:rPr>
          <w:lang w:eastAsia="en-GB"/>
        </w:rPr>
      </w:pPr>
      <w:r>
        <w:rPr>
          <w:lang w:eastAsia="en-GB"/>
        </w:rPr>
        <w:t xml:space="preserve">not to accept the decision, in which case they </w:t>
      </w:r>
      <w:r w:rsidR="00DD4089" w:rsidRPr="00DD4089">
        <w:rPr>
          <w:lang w:eastAsia="en-GB"/>
        </w:rPr>
        <w:t xml:space="preserve">challenge it in accordance with </w:t>
      </w:r>
      <w:r>
        <w:rPr>
          <w:lang w:eastAsia="en-GB"/>
        </w:rPr>
        <w:t>EU law.</w:t>
      </w:r>
    </w:p>
    <w:p w14:paraId="1016EF9B" w14:textId="77777777" w:rsidR="00FF0D56" w:rsidRDefault="00023E71" w:rsidP="00FF0D56">
      <w:pPr>
        <w:pStyle w:val="DGTextstand-alone"/>
      </w:pPr>
      <w:r>
        <w:t>Even if appealed, the fine must be paid within the</w:t>
      </w:r>
      <w:r w:rsidR="00FB5DD6">
        <w:t xml:space="preserve"> three month</w:t>
      </w:r>
      <w:r>
        <w:t xml:space="preserve"> time limit</w:t>
      </w:r>
      <w:r w:rsidR="002F04B0">
        <w:t>,</w:t>
      </w:r>
      <w:r>
        <w:t xml:space="preserve"> as the appeal does not have suspensory effect (Article 278 TFEU). The cash received is used to clear the recoverable. However, subject to the agreement of the Commission’s Accounting Officer, the undertaking may present a bank guarantee for the amount instead. In that case the fine remains as a recoverable. If neither cash nor a guarantee is received and there are doubts about the undertaking’s solvency, a value reduction on the entitlement is recognised.</w:t>
      </w:r>
    </w:p>
    <w:p w14:paraId="5AF2C8BA" w14:textId="77777777" w:rsidR="00FF0D56" w:rsidRDefault="00023E71" w:rsidP="00FF0D56">
      <w:pPr>
        <w:pStyle w:val="DGTextstand-alone"/>
      </w:pPr>
      <w:bookmarkStart w:id="80" w:name="_Hlk160622670"/>
      <w:r>
        <w:t>I</w:t>
      </w:r>
      <w:r w:rsidR="002F04B0">
        <w:t>f</w:t>
      </w:r>
      <w:r>
        <w:t xml:space="preserve"> the undertaking appeals against the decision, and has already provisionally paid the fine, the amount is disclosed as a contingent liability, or, if it appears probable that the General Court may not rule in favour of the EU, a provision is recognised to cover this risk. If a guarantee </w:t>
      </w:r>
      <w:r w:rsidR="002F04B0">
        <w:t xml:space="preserve">is </w:t>
      </w:r>
      <w:r>
        <w:t>given instead, the outstanding recoverable is written down</w:t>
      </w:r>
      <w:r w:rsidR="002F04B0">
        <w:t>.</w:t>
      </w:r>
    </w:p>
    <w:bookmarkEnd w:id="80"/>
    <w:p w14:paraId="2F0B62FC" w14:textId="77777777" w:rsidR="00FF0D56" w:rsidRDefault="00023E71" w:rsidP="00FF0D56">
      <w:pPr>
        <w:pStyle w:val="DGTextstand-alone"/>
      </w:pPr>
      <w:r>
        <w:t>The accumulated interest received by the Commission on the bank accounts where received payments are deposited is recognised as revenue, and any contingent liability is increased accordingly.</w:t>
      </w:r>
    </w:p>
    <w:p w14:paraId="62E12819" w14:textId="77777777" w:rsidR="00FF0D56" w:rsidRDefault="00023E71" w:rsidP="00FF0D56">
      <w:pPr>
        <w:pStyle w:val="DGTextstand-alone"/>
      </w:pPr>
      <w:r>
        <w:t>Since 2010, all provisionally cashed fines are managed by the Commission in a specifically created fund (BUFI) and invested in financial instruments.</w:t>
      </w:r>
    </w:p>
    <w:p w14:paraId="72CC3D04" w14:textId="77777777" w:rsidR="00AC717B" w:rsidRPr="00677A47" w:rsidRDefault="00023E71" w:rsidP="00AC717B">
      <w:pPr>
        <w:pStyle w:val="HEADER5"/>
        <w:rPr>
          <w:b/>
          <w:noProof/>
        </w:rPr>
      </w:pPr>
      <w:r w:rsidRPr="00AC717B">
        <w:rPr>
          <w:noProof/>
        </w:rPr>
        <w:t>Accounting treatment of the budgetary surplus of the previous year</w:t>
      </w:r>
    </w:p>
    <w:p w14:paraId="204DBEE9" w14:textId="77777777" w:rsidR="00AC717B" w:rsidRDefault="00023E71" w:rsidP="00AC717B">
      <w:pPr>
        <w:pStyle w:val="DGTextstand-alone"/>
      </w:pPr>
      <w:r w:rsidRPr="00AC717B">
        <w:t xml:space="preserve">Article 18 (1) of the Financial Regulation provides that the budgetary surplus of a given financial year shall be entered in the budget for the following financial year as revenue. In the Statement of Financial Performance, this revenue is recognised within ‘Other revenue from non-exchange transactions’ (see Note </w:t>
      </w:r>
      <w:r w:rsidRPr="00AC717B">
        <w:rPr>
          <w:b/>
          <w:bCs/>
        </w:rPr>
        <w:t>3.8</w:t>
      </w:r>
      <w:r w:rsidRPr="00AC717B">
        <w:t xml:space="preserve">), with a corresponding entry in the ‘Amounts to be called from Member States’, a component of Net Assets (see Note </w:t>
      </w:r>
      <w:r w:rsidRPr="00AC717B">
        <w:rPr>
          <w:b/>
          <w:bCs/>
        </w:rPr>
        <w:t>2.15</w:t>
      </w:r>
      <w:r w:rsidRPr="00AC717B">
        <w:t>).</w:t>
      </w:r>
    </w:p>
    <w:p w14:paraId="61A1BF3E" w14:textId="77777777" w:rsidR="003D353B" w:rsidRPr="00091BA3" w:rsidRDefault="00023E71" w:rsidP="003D353B">
      <w:pPr>
        <w:pStyle w:val="HEADER5"/>
        <w:rPr>
          <w:b/>
          <w:noProof/>
        </w:rPr>
      </w:pPr>
      <w:r w:rsidRPr="00091BA3">
        <w:rPr>
          <w:noProof/>
        </w:rPr>
        <w:t>REVENUE FROM EXCHANGE TRANSACTIONS</w:t>
      </w:r>
    </w:p>
    <w:p w14:paraId="15329C1F" w14:textId="77777777" w:rsidR="003D353B" w:rsidRDefault="00023E71" w:rsidP="003D353B">
      <w:pPr>
        <w:pStyle w:val="DGTextstand-alone"/>
      </w:pPr>
      <w:r>
        <w:t>Revenue from the sale of goods and services is recognised when the significant risk and rewards of ownership of the goods are transferred to the purchaser. Revenue associated with a transaction involving the provision of services is recognised by reference to the stage of completion of the transaction at the reporting date.</w:t>
      </w:r>
    </w:p>
    <w:p w14:paraId="519C08A2" w14:textId="77777777" w:rsidR="003D353B" w:rsidRPr="00677A47" w:rsidRDefault="00023E71" w:rsidP="003D353B">
      <w:pPr>
        <w:pStyle w:val="HEADER5"/>
        <w:rPr>
          <w:b/>
          <w:noProof/>
        </w:rPr>
      </w:pPr>
      <w:r w:rsidRPr="00677A47">
        <w:rPr>
          <w:noProof/>
        </w:rPr>
        <w:t xml:space="preserve">Interest </w:t>
      </w:r>
      <w:r>
        <w:rPr>
          <w:noProof/>
        </w:rPr>
        <w:t>revenue</w:t>
      </w:r>
      <w:r w:rsidRPr="00677A47">
        <w:rPr>
          <w:noProof/>
        </w:rPr>
        <w:t xml:space="preserve"> and expense</w:t>
      </w:r>
    </w:p>
    <w:p w14:paraId="6A04119B" w14:textId="77777777" w:rsidR="003D353B" w:rsidRDefault="00023E71" w:rsidP="003D353B">
      <w:pPr>
        <w:pStyle w:val="DGTextstand-alone"/>
      </w:pPr>
      <w:r>
        <w:t>Interest revenue and expense are recognised in the statement of financial performance using the effective interest method. This is a method of calculating the amortised cost of a financial asset or a financial liability and of allocating the interest revenue or interest expense over the relevant period. When calculating the effective interest rate, the EU estimates cashflows considering all contractual terms of the financial instrument (for example prepayment options) but does not consider future credit losses. The calculation includes all fees and interest rate points paid or received between parties to the contract that are an integral part of the effective interest rate, transaction costs and all other premiums or discounts.</w:t>
      </w:r>
    </w:p>
    <w:p w14:paraId="39245095" w14:textId="77777777" w:rsidR="003D353B" w:rsidRDefault="00023E71" w:rsidP="003D353B">
      <w:pPr>
        <w:pStyle w:val="DGTextstand-alone"/>
      </w:pPr>
      <w:r w:rsidRPr="00DD2AB7">
        <w:t>Once a financial asset or a group of similar financial assets is considered credit impaired (‘stage 3’), the interest revenue is recognised using the rate of interest to discount the future cashflows for the purpose of measuring the impairment loss.</w:t>
      </w:r>
    </w:p>
    <w:p w14:paraId="413445D6" w14:textId="77777777" w:rsidR="003D353B" w:rsidRPr="00677A47" w:rsidRDefault="00023E71" w:rsidP="003D353B">
      <w:pPr>
        <w:pStyle w:val="HEADER5"/>
        <w:rPr>
          <w:b/>
          <w:noProof/>
        </w:rPr>
      </w:pPr>
      <w:r>
        <w:rPr>
          <w:noProof/>
        </w:rPr>
        <w:t>Revenue from d</w:t>
      </w:r>
      <w:r w:rsidRPr="00677A47">
        <w:rPr>
          <w:noProof/>
        </w:rPr>
        <w:t>ividend</w:t>
      </w:r>
      <w:r>
        <w:rPr>
          <w:noProof/>
        </w:rPr>
        <w:t>s</w:t>
      </w:r>
    </w:p>
    <w:p w14:paraId="0D67F731" w14:textId="77777777" w:rsidR="003D353B" w:rsidRDefault="00023E71" w:rsidP="003D353B">
      <w:pPr>
        <w:pStyle w:val="DGTextstand-alone"/>
      </w:pPr>
      <w:r>
        <w:t>Revenue from dividends and similar distributions is recognised when the right to receive payment is established.</w:t>
      </w:r>
    </w:p>
    <w:p w14:paraId="6882BB1C" w14:textId="77777777" w:rsidR="001D77CA" w:rsidRDefault="00023E71" w:rsidP="001D77CA">
      <w:pPr>
        <w:pStyle w:val="HEADER5"/>
        <w:rPr>
          <w:noProof/>
        </w:rPr>
      </w:pPr>
      <w:r>
        <w:rPr>
          <w:noProof/>
        </w:rPr>
        <w:t>Revenue and expense from financial assets through surplus or deficit</w:t>
      </w:r>
    </w:p>
    <w:p w14:paraId="7A5116BB" w14:textId="77777777" w:rsidR="001D77CA" w:rsidRDefault="00023E71" w:rsidP="006C241E">
      <w:pPr>
        <w:pStyle w:val="HEADER5"/>
        <w:spacing w:before="240"/>
        <w:rPr>
          <w:rFonts w:eastAsia="Calibri"/>
          <w:noProof/>
          <w:color w:val="auto"/>
        </w:rPr>
      </w:pPr>
      <w:r w:rsidRPr="00C80356">
        <w:rPr>
          <w:rFonts w:eastAsia="Calibri"/>
          <w:noProof/>
          <w:color w:val="auto"/>
        </w:rPr>
        <w:t>This refers to the</w:t>
      </w:r>
      <w:r w:rsidR="00F463CE" w:rsidRPr="00C80356">
        <w:rPr>
          <w:rFonts w:eastAsia="Calibri"/>
          <w:noProof/>
          <w:color w:val="auto"/>
        </w:rPr>
        <w:t xml:space="preserve"> fai</w:t>
      </w:r>
      <w:r w:rsidRPr="00C80356">
        <w:rPr>
          <w:rFonts w:eastAsia="Calibri"/>
          <w:noProof/>
          <w:color w:val="auto"/>
        </w:rPr>
        <w:t xml:space="preserve">r value gains (revenue) and </w:t>
      </w:r>
      <w:r w:rsidR="00F463CE" w:rsidRPr="00C80356">
        <w:rPr>
          <w:rFonts w:eastAsia="Calibri"/>
          <w:noProof/>
          <w:color w:val="auto"/>
        </w:rPr>
        <w:t xml:space="preserve">fair value losses (expense) from these financial assets, including those stemming from foreign exchange translation. For interest-bearing financial assets, this also includes interest. See also </w:t>
      </w:r>
      <w:r>
        <w:rPr>
          <w:rFonts w:eastAsia="Calibri"/>
          <w:noProof/>
          <w:color w:val="auto"/>
        </w:rPr>
        <w:t>N</w:t>
      </w:r>
      <w:r w:rsidR="00F463CE" w:rsidRPr="00C80356">
        <w:rPr>
          <w:rFonts w:eastAsia="Calibri"/>
          <w:noProof/>
          <w:color w:val="auto"/>
        </w:rPr>
        <w:t xml:space="preserve">ote </w:t>
      </w:r>
      <w:r w:rsidR="00F463CE" w:rsidRPr="00C80356">
        <w:rPr>
          <w:rFonts w:eastAsia="Calibri"/>
          <w:b/>
          <w:bCs/>
          <w:noProof/>
          <w:color w:val="auto"/>
        </w:rPr>
        <w:t>3.</w:t>
      </w:r>
      <w:r w:rsidRPr="00C80356">
        <w:rPr>
          <w:rFonts w:eastAsia="Calibri"/>
          <w:b/>
          <w:bCs/>
          <w:noProof/>
          <w:color w:val="auto"/>
        </w:rPr>
        <w:t>9</w:t>
      </w:r>
      <w:r w:rsidR="00F463CE" w:rsidRPr="00C80356">
        <w:rPr>
          <w:rFonts w:eastAsia="Calibri"/>
          <w:b/>
          <w:bCs/>
          <w:noProof/>
          <w:color w:val="auto"/>
        </w:rPr>
        <w:t>.</w:t>
      </w:r>
    </w:p>
    <w:p w14:paraId="13E203EA" w14:textId="77777777" w:rsidR="00CF1328" w:rsidRDefault="00023E71" w:rsidP="00CF1328">
      <w:pPr>
        <w:pStyle w:val="HEADER5"/>
        <w:rPr>
          <w:noProof/>
        </w:rPr>
      </w:pPr>
      <w:r>
        <w:rPr>
          <w:noProof/>
        </w:rPr>
        <w:t>Revenue from financial guarantee contracts</w:t>
      </w:r>
    </w:p>
    <w:p w14:paraId="60BCE4C6" w14:textId="77777777" w:rsidR="001D77CA" w:rsidRDefault="00023E71" w:rsidP="003D353B">
      <w:pPr>
        <w:pStyle w:val="DGTextstand-alone"/>
      </w:pPr>
      <w:r w:rsidRPr="00CF1328">
        <w:t>The revenue from financial guarantee contracts (guarantee premium) is recognised over the time the EU stands ready to compensate the holder of the financial guarantee contract for the credit loss it may incur. The amortisation schedule applied takes into account the passage of time and the volume of the guaranteed exposure. Revenue from financial guarantee contracts include also amortisation of financial guarantee contracts liability in cases when the guarantee was provided at no or nominal consideration.</w:t>
      </w:r>
    </w:p>
    <w:p w14:paraId="49A165AF" w14:textId="77777777" w:rsidR="003D353B" w:rsidRPr="005D15F9" w:rsidRDefault="00023E71" w:rsidP="0032730E">
      <w:pPr>
        <w:pStyle w:val="HEADER3NOTES"/>
        <w:jc w:val="both"/>
        <w:rPr>
          <w:noProof/>
        </w:rPr>
      </w:pPr>
      <w:r w:rsidRPr="005D15F9">
        <w:rPr>
          <w:noProof/>
        </w:rPr>
        <w:t>Expenses</w:t>
      </w:r>
    </w:p>
    <w:p w14:paraId="4FC6B7AD" w14:textId="77777777" w:rsidR="003D353B" w:rsidRPr="00882EF3" w:rsidRDefault="00023E71" w:rsidP="003D353B">
      <w:pPr>
        <w:pStyle w:val="DGTextstand-alone"/>
      </w:pPr>
      <w:r w:rsidRPr="00882EF3">
        <w:t xml:space="preserve">Expenses from non-exchange transactions account for the majority of the </w:t>
      </w:r>
      <w:r w:rsidR="00657112">
        <w:t xml:space="preserve">EU’s </w:t>
      </w:r>
      <w:r w:rsidRPr="00882EF3">
        <w:t xml:space="preserve">expenses. They relate to transfers to beneficiaries and can be of three types: </w:t>
      </w:r>
      <w:r w:rsidR="00DD4089">
        <w:t xml:space="preserve">(i) </w:t>
      </w:r>
      <w:r w:rsidRPr="00882EF3">
        <w:t xml:space="preserve">entitlements, </w:t>
      </w:r>
      <w:r w:rsidR="00DD4089">
        <w:t xml:space="preserve">(ii) </w:t>
      </w:r>
      <w:r w:rsidRPr="00882EF3">
        <w:t xml:space="preserve">transfers under agreement and discretionary grants, </w:t>
      </w:r>
      <w:r w:rsidR="00DD4089">
        <w:t xml:space="preserve">as well as (iii) </w:t>
      </w:r>
      <w:r w:rsidRPr="00882EF3">
        <w:t>contributions and donations.</w:t>
      </w:r>
    </w:p>
    <w:p w14:paraId="15813E2B" w14:textId="77777777" w:rsidR="003D353B" w:rsidRPr="00882EF3" w:rsidRDefault="00023E71" w:rsidP="003D353B">
      <w:pPr>
        <w:pStyle w:val="DGTextstand-alone"/>
      </w:pPr>
      <w:r w:rsidRPr="00882EF3">
        <w:t xml:space="preserve">Transfers are recognised as expenses in the period during which the events giving rise to the transfer occurred, as long as the nature of the transfer is allowed by </w:t>
      </w:r>
      <w:r w:rsidR="00FB5DD6">
        <w:t xml:space="preserve">the relevant </w:t>
      </w:r>
      <w:r w:rsidRPr="00882EF3">
        <w:t>regulation (Financial Regulation, Staff Regulations, or other regulation) or an agreement has been signed authorising the transfer</w:t>
      </w:r>
      <w:r w:rsidR="00657112">
        <w:t>,</w:t>
      </w:r>
      <w:r w:rsidRPr="00882EF3">
        <w:t xml:space="preserve"> any eligibility criteria have been met by the beneficiary</w:t>
      </w:r>
      <w:r w:rsidR="00657112">
        <w:t>,</w:t>
      </w:r>
      <w:r w:rsidRPr="00882EF3">
        <w:t xml:space="preserve"> and a reasonable estimate of the amount can be made.</w:t>
      </w:r>
    </w:p>
    <w:p w14:paraId="1A3AB4B1" w14:textId="77777777" w:rsidR="003D353B" w:rsidRPr="00882EF3" w:rsidRDefault="00023E71" w:rsidP="003D353B">
      <w:pPr>
        <w:pStyle w:val="DGTextstand-alone"/>
      </w:pPr>
      <w:r w:rsidRPr="00882EF3">
        <w:t>When a request for payment or cost claim is received and meets the recognition criteria, it is recognised as an expense for the eligible amount. At year-end, incurred eligible expenses due to the beneficiaries but not yet reported are estimated and recorded as accrued expenses.</w:t>
      </w:r>
    </w:p>
    <w:p w14:paraId="59329F33" w14:textId="77777777" w:rsidR="003D353B" w:rsidRPr="00882EF3" w:rsidRDefault="00023E71" w:rsidP="003D353B">
      <w:pPr>
        <w:pStyle w:val="DGTextstand-alone"/>
      </w:pPr>
      <w:r w:rsidRPr="00882EF3">
        <w:t xml:space="preserve">Expenses from exchange transactions arising from the purchase of goods and services are recognised when the supplies are delivered and accepted by the EU. They are valued at </w:t>
      </w:r>
      <w:r w:rsidR="00553A51">
        <w:t xml:space="preserve">their </w:t>
      </w:r>
      <w:r w:rsidRPr="00882EF3">
        <w:t>original invoice amount. Furthermore, at the balance sheet date</w:t>
      </w:r>
      <w:r w:rsidR="002F04B0">
        <w:t>,</w:t>
      </w:r>
      <w:r w:rsidRPr="00882EF3">
        <w:t xml:space="preserve"> expenses related to the service delivered during the period for which an invoice has not yet been received or accepted are estimated and recognised in the statement of financial performance.</w:t>
      </w:r>
    </w:p>
    <w:p w14:paraId="06124A83" w14:textId="77777777" w:rsidR="003D353B" w:rsidRPr="00632B75" w:rsidRDefault="00023E71" w:rsidP="0032730E">
      <w:pPr>
        <w:pStyle w:val="HEADER2NOTES"/>
        <w:keepNext/>
        <w:jc w:val="both"/>
        <w:rPr>
          <w:noProof/>
        </w:rPr>
      </w:pPr>
      <w:r w:rsidRPr="00632B75">
        <w:rPr>
          <w:noProof/>
        </w:rPr>
        <w:t>CONTINGENT ASSETS AND LIABILITIES</w:t>
      </w:r>
    </w:p>
    <w:p w14:paraId="06C1350C" w14:textId="77777777" w:rsidR="003D353B" w:rsidRPr="005D15F9" w:rsidRDefault="00023E71" w:rsidP="0032730E">
      <w:pPr>
        <w:pStyle w:val="HEADER3NOTES"/>
        <w:keepNext/>
        <w:jc w:val="both"/>
        <w:rPr>
          <w:noProof/>
        </w:rPr>
      </w:pPr>
      <w:r w:rsidRPr="005D15F9">
        <w:rPr>
          <w:noProof/>
        </w:rPr>
        <w:t>Contingent assets</w:t>
      </w:r>
    </w:p>
    <w:p w14:paraId="3D1CBC57" w14:textId="77777777" w:rsidR="003D353B" w:rsidRPr="00882EF3" w:rsidRDefault="00023E71" w:rsidP="003D353B">
      <w:pPr>
        <w:pStyle w:val="DGTextstand-alone"/>
      </w:pPr>
      <w:r w:rsidRPr="00882EF3">
        <w:t xml:space="preserve">A contingent asset is a possible asset that arises from past events and </w:t>
      </w:r>
      <w:r w:rsidR="00FB5DD6">
        <w:t>whose</w:t>
      </w:r>
      <w:r w:rsidRPr="00882EF3">
        <w:t xml:space="preserve"> existence will be confirmed only by the occurrence or non-occurrence of one or more uncertain future events not wholly within the control of the EU. A contingent asset is disclosed when an inflow of economic benefits or service potential is probable.</w:t>
      </w:r>
    </w:p>
    <w:p w14:paraId="12722B2D" w14:textId="77777777" w:rsidR="003D353B" w:rsidRPr="005D15F9" w:rsidRDefault="00023E71" w:rsidP="0032730E">
      <w:pPr>
        <w:pStyle w:val="HEADER3NOTES"/>
        <w:jc w:val="both"/>
        <w:rPr>
          <w:noProof/>
        </w:rPr>
      </w:pPr>
      <w:r w:rsidRPr="005D15F9">
        <w:rPr>
          <w:noProof/>
        </w:rPr>
        <w:t>Contingent liabilities</w:t>
      </w:r>
    </w:p>
    <w:p w14:paraId="40EF2175" w14:textId="77777777" w:rsidR="003D353B" w:rsidRPr="00882EF3" w:rsidRDefault="00023E71" w:rsidP="003D353B">
      <w:pPr>
        <w:pStyle w:val="DGTextstand-alone"/>
      </w:pPr>
      <w:r w:rsidRPr="00882EF3">
        <w:t xml:space="preserve">A contingent liability is a possible obligation that arises from past events and </w:t>
      </w:r>
      <w:r w:rsidR="00FB5DD6">
        <w:t>whose</w:t>
      </w:r>
      <w:r w:rsidRPr="00882EF3">
        <w:t xml:space="preserve"> existence will be confirmed only by the occurrence or non-occurrence of one or more uncertain future events not wholly within the control of the EU</w:t>
      </w:r>
      <w:r w:rsidR="00657112">
        <w:t>,</w:t>
      </w:r>
      <w:r w:rsidRPr="00882EF3">
        <w:t xml:space="preserve"> or a present obligation that arises from past events but is not recognised</w:t>
      </w:r>
      <w:r w:rsidR="002F04B0">
        <w:t>,</w:t>
      </w:r>
      <w:r w:rsidRPr="00882EF3">
        <w:t xml:space="preserve"> </w:t>
      </w:r>
      <w:r w:rsidR="00657112">
        <w:t xml:space="preserve">either </w:t>
      </w:r>
      <w:r w:rsidRPr="00882EF3">
        <w:t>because it is not probable that an outflow of resources embodying economic benefits or service potential will be required to settle the obligation</w:t>
      </w:r>
      <w:r w:rsidR="00657112">
        <w:t>,</w:t>
      </w:r>
      <w:r w:rsidRPr="00882EF3">
        <w:t xml:space="preserve"> or in the rare circumstance where the amount of the obligation cannot be measured with sufficient reliability.</w:t>
      </w:r>
      <w:r w:rsidR="00553A51">
        <w:t xml:space="preserve"> A contingent liability is disclosed unless the possibility of an outflow of resources embodying economic benefits or service potential is remote.</w:t>
      </w:r>
    </w:p>
    <w:p w14:paraId="30E3639D" w14:textId="77777777" w:rsidR="003D353B" w:rsidRDefault="00023E71" w:rsidP="0032730E">
      <w:pPr>
        <w:pStyle w:val="HEADER2NOTES"/>
        <w:jc w:val="both"/>
        <w:rPr>
          <w:noProof/>
        </w:rPr>
      </w:pPr>
      <w:r>
        <w:rPr>
          <w:noProof/>
        </w:rPr>
        <w:t>CASHFLOW STATEMENT</w:t>
      </w:r>
    </w:p>
    <w:p w14:paraId="1E715D45" w14:textId="77777777" w:rsidR="003D353B" w:rsidRDefault="00023E71" w:rsidP="003D353B">
      <w:pPr>
        <w:pStyle w:val="DGTextstand-alone"/>
      </w:pPr>
      <w:r>
        <w:t>Cashflow information is used to provide a basis for assessing the ability of the EU to generate cash and cash equivalents, and its needs to utilise those cashflows.</w:t>
      </w:r>
    </w:p>
    <w:p w14:paraId="7E13F4BB" w14:textId="77777777" w:rsidR="003D353B" w:rsidRDefault="00023E71" w:rsidP="003D353B">
      <w:pPr>
        <w:pStyle w:val="DGTextstand-alone"/>
      </w:pPr>
      <w:r>
        <w:t>The cashflow statement is prepared using the indirect method. This means that the economic result for the financial year is adjusted for the effects of transactions of a non-cash nature, any deferrals or accruals of past or future operating cash receipts or payments, and items of revenue or expense associated with investing cashflows.</w:t>
      </w:r>
    </w:p>
    <w:p w14:paraId="5EA0B3E0" w14:textId="77777777" w:rsidR="003D353B" w:rsidRDefault="00023E71" w:rsidP="003D353B">
      <w:pPr>
        <w:pStyle w:val="DGTextstand-alone"/>
      </w:pPr>
      <w:r>
        <w:t>Cashflows arising from transactions in a foreign currency are recorded in the EU</w:t>
      </w:r>
      <w:r w:rsidR="00657112">
        <w:t>’</w:t>
      </w:r>
      <w:r>
        <w:t>s reporting currency (euro), by applying to the foreign currency amount the exchange rate between the euro and the foreign currency at the date of the cashflow.</w:t>
      </w:r>
    </w:p>
    <w:p w14:paraId="562181A6" w14:textId="77777777" w:rsidR="00DD4089" w:rsidRDefault="00023E71" w:rsidP="00DD4089">
      <w:pPr>
        <w:pStyle w:val="DGTextstand-alone"/>
      </w:pPr>
      <w:r>
        <w:t>The cashflow statement reports cashflows during the period classified by operating, investing and financing activities.</w:t>
      </w:r>
    </w:p>
    <w:p w14:paraId="5E779F02" w14:textId="77777777" w:rsidR="00AA0359" w:rsidRDefault="00023E71" w:rsidP="00AA0359">
      <w:pPr>
        <w:pStyle w:val="DGTextstand-alone"/>
      </w:pPr>
      <w:bookmarkStart w:id="81" w:name="_Hlk160554125"/>
      <w:r w:rsidRPr="00D020F9">
        <w:t xml:space="preserve">Operating activities are the activities of the </w:t>
      </w:r>
      <w:r>
        <w:t>EU</w:t>
      </w:r>
      <w:r w:rsidRPr="00D020F9">
        <w:t xml:space="preserve"> </w:t>
      </w:r>
      <w:r>
        <w:t xml:space="preserve">other than </w:t>
      </w:r>
      <w:r w:rsidRPr="00D020F9">
        <w:t xml:space="preserve">investing </w:t>
      </w:r>
      <w:r>
        <w:t xml:space="preserve">or financing </w:t>
      </w:r>
      <w:r w:rsidRPr="00D020F9">
        <w:t xml:space="preserve">activities. </w:t>
      </w:r>
      <w:r>
        <w:t>As such, t</w:t>
      </w:r>
      <w:r w:rsidRPr="00D020F9">
        <w:t>he</w:t>
      </w:r>
      <w:r>
        <w:t>y account for</w:t>
      </w:r>
      <w:r w:rsidRPr="00D020F9">
        <w:t xml:space="preserve"> the majority of the activities </w:t>
      </w:r>
      <w:r>
        <w:t>carried out by the EU</w:t>
      </w:r>
      <w:r w:rsidRPr="00D020F9">
        <w:t>.</w:t>
      </w:r>
    </w:p>
    <w:bookmarkEnd w:id="81"/>
    <w:p w14:paraId="2E1C0A89" w14:textId="77777777" w:rsidR="00DD4089" w:rsidRDefault="00023E71" w:rsidP="00DD4089">
      <w:pPr>
        <w:pStyle w:val="DGTextstand-alone"/>
      </w:pPr>
      <w:r w:rsidRPr="00C75B63">
        <w:t>Investing activities are the acquisition and disposal of intangible assets and property, plant and equipment and of other investments which are not included in cash equivalents. Investing activities do not include loans granted to beneficiaries</w:t>
      </w:r>
      <w:r>
        <w:t xml:space="preserve"> as they are part of the general objectives and thus daily operations of the EU</w:t>
      </w:r>
      <w:r w:rsidRPr="00C75B63">
        <w:t xml:space="preserve">. The objective is to show the real investments made by the </w:t>
      </w:r>
      <w:r>
        <w:t>EU</w:t>
      </w:r>
      <w:r w:rsidRPr="00C75B63">
        <w:t>.</w:t>
      </w:r>
    </w:p>
    <w:p w14:paraId="04CCF873" w14:textId="77777777" w:rsidR="00DD4089" w:rsidRDefault="00023E71" w:rsidP="00DD4089">
      <w:pPr>
        <w:pStyle w:val="DGTextstand-alone"/>
      </w:pPr>
      <w:r w:rsidRPr="006A7D9B">
        <w:t>Financing activities are activities that result in changes in the size and composition of borrowings other than those granted to beneficiaries on a back-to-back basis or for the acquisition of property, plant and equipment (which are included under operating activities).</w:t>
      </w:r>
    </w:p>
    <w:bookmarkEnd w:id="75"/>
    <w:p w14:paraId="4663FC9D" w14:textId="77777777" w:rsidR="00004DE6" w:rsidRPr="00F9658A" w:rsidRDefault="00004DE6" w:rsidP="00596593">
      <w:pPr>
        <w:pStyle w:val="DGTextstand-alone"/>
        <w:sectPr w:rsidR="00004DE6" w:rsidRPr="00F9658A">
          <w:headerReference w:type="default" r:id="rId65"/>
          <w:footerReference w:type="default" r:id="rId66"/>
          <w:pgSz w:w="11906" w:h="16838"/>
          <w:pgMar w:top="1134" w:right="1134" w:bottom="1134" w:left="1134" w:header="709" w:footer="709" w:gutter="0"/>
          <w:cols w:space="708"/>
          <w:docGrid w:linePitch="360"/>
        </w:sectPr>
      </w:pPr>
    </w:p>
    <w:p w14:paraId="04DEECA7" w14:textId="77777777" w:rsidR="002F4182" w:rsidRDefault="00023E71" w:rsidP="001767B0">
      <w:pPr>
        <w:pStyle w:val="HEADER1NOTES"/>
        <w:rPr>
          <w:noProof/>
          <w:lang w:val="fr-BE"/>
        </w:rPr>
      </w:pPr>
      <w:bookmarkStart w:id="82" w:name="_Toc232438939"/>
      <w:bookmarkStart w:id="83" w:name="_DMBM_36727"/>
      <w:r>
        <w:rPr>
          <w:noProof/>
          <w:lang w:val="fr-BE"/>
        </w:rPr>
        <w:t>NOTES TO THE BALANCE SHEET</w:t>
      </w:r>
      <w:bookmarkEnd w:id="82"/>
    </w:p>
    <w:bookmarkEnd w:id="83"/>
    <w:p w14:paraId="77297F6F" w14:textId="77777777" w:rsidR="00830C62" w:rsidRPr="00FA680C" w:rsidRDefault="00830C62" w:rsidP="00830C62">
      <w:pPr>
        <w:pStyle w:val="HEADER1NOTES"/>
        <w:numPr>
          <w:ilvl w:val="0"/>
          <w:numId w:val="0"/>
        </w:numPr>
        <w:spacing w:after="0"/>
        <w:rPr>
          <w:noProof/>
          <w:lang w:val="fr-BE"/>
        </w:rPr>
        <w:sectPr w:rsidR="00830C62" w:rsidRPr="00FA680C">
          <w:headerReference w:type="default" r:id="rId67"/>
          <w:footerReference w:type="default" r:id="rId68"/>
          <w:pgSz w:w="11906" w:h="16838"/>
          <w:pgMar w:top="1134" w:right="1134" w:bottom="1134" w:left="1134" w:header="709" w:footer="709" w:gutter="0"/>
          <w:cols w:space="708"/>
          <w:docGrid w:linePitch="360"/>
        </w:sectPr>
      </w:pPr>
    </w:p>
    <w:p w14:paraId="0E0AAB15" w14:textId="77777777" w:rsidR="00B231CF" w:rsidRDefault="00023E71" w:rsidP="007B662D">
      <w:pPr>
        <w:pStyle w:val="HEADERTABLE"/>
        <w:rPr>
          <w:noProof/>
          <w:lang w:val="fr-BE"/>
        </w:rPr>
      </w:pPr>
      <w:bookmarkStart w:id="84" w:name="_DMBM_36682"/>
      <w:r>
        <w:rPr>
          <w:noProof/>
          <w:lang w:val="fr-BE"/>
        </w:rPr>
        <w:t>ASSETS</w:t>
      </w:r>
    </w:p>
    <w:p w14:paraId="4A51EB84" w14:textId="77777777" w:rsidR="00E9094D" w:rsidRPr="00E9094D" w:rsidRDefault="00023E71" w:rsidP="009900EF">
      <w:pPr>
        <w:pStyle w:val="Textstand-alone"/>
        <w:spacing w:before="0" w:after="0"/>
        <w:rPr>
          <w:lang w:val="fr-BE"/>
        </w:rPr>
        <w:sectPr w:rsidR="00E9094D" w:rsidRPr="00E9094D">
          <w:headerReference w:type="default" r:id="rId69"/>
          <w:footerReference w:type="default" r:id="rId70"/>
          <w:type w:val="continuous"/>
          <w:pgSz w:w="11906" w:h="16838"/>
          <w:pgMar w:top="1134" w:right="1134" w:bottom="1134" w:left="1134" w:header="709" w:footer="709" w:gutter="0"/>
          <w:cols w:space="708"/>
          <w:docGrid w:linePitch="360"/>
        </w:sectPr>
      </w:pPr>
      <w:r>
        <w:rPr>
          <w:lang w:val="fr-BE"/>
        </w:rPr>
        <w:t xml:space="preserve"> </w:t>
      </w:r>
      <w:bookmarkEnd w:id="84"/>
    </w:p>
    <w:p w14:paraId="43C50B35" w14:textId="77777777" w:rsidR="005571F4" w:rsidRPr="005571F4" w:rsidRDefault="00023E71" w:rsidP="00172034">
      <w:pPr>
        <w:numPr>
          <w:ilvl w:val="1"/>
          <w:numId w:val="15"/>
        </w:numPr>
        <w:tabs>
          <w:tab w:val="left" w:pos="907"/>
        </w:tabs>
        <w:spacing w:before="360" w:after="360"/>
        <w:rPr>
          <w:rFonts w:ascii="Verdana" w:hAnsi="Verdana"/>
          <w:b/>
          <w:noProof/>
          <w:color w:val="016794"/>
          <w:sz w:val="28"/>
          <w:szCs w:val="28"/>
        </w:rPr>
      </w:pPr>
      <w:bookmarkStart w:id="85" w:name="_DMBM_36705"/>
      <w:r w:rsidRPr="005571F4">
        <w:rPr>
          <w:rFonts w:ascii="Verdana" w:hAnsi="Verdana"/>
          <w:b/>
          <w:noProof/>
          <w:color w:val="016794"/>
          <w:sz w:val="28"/>
          <w:szCs w:val="28"/>
        </w:rPr>
        <w:t>INTANGIBLE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2"/>
        <w:gridCol w:w="2686"/>
      </w:tblGrid>
      <w:tr w:rsidR="00807FFE" w14:paraId="076563C1" w14:textId="77777777">
        <w:trPr>
          <w:trHeight w:val="255"/>
        </w:trPr>
        <w:tc>
          <w:tcPr>
            <w:tcW w:w="4305" w:type="dxa"/>
            <w:tcBorders>
              <w:top w:val="nil"/>
              <w:left w:val="nil"/>
              <w:bottom w:val="nil"/>
              <w:right w:val="nil"/>
              <w:tl2br w:val="nil"/>
              <w:tr2bl w:val="nil"/>
            </w:tcBorders>
            <w:tcMar>
              <w:left w:w="60" w:type="dxa"/>
              <w:right w:w="60" w:type="dxa"/>
            </w:tcMar>
            <w:vAlign w:val="bottom"/>
          </w:tcPr>
          <w:p w14:paraId="794BCB70" w14:textId="77777777" w:rsidR="00807FFE" w:rsidRDefault="00807FFE">
            <w:pPr>
              <w:pStyle w:val="DMETW36735BIPINFA"/>
              <w:rPr>
                <w:rFonts w:ascii="Arial" w:eastAsia="Arial" w:hAnsi="Arial" w:cs="Arial"/>
                <w:noProof/>
                <w:color w:val="000000"/>
                <w:sz w:val="16"/>
                <w:lang w:bidi="en-GB"/>
              </w:rPr>
            </w:pPr>
            <w:bookmarkStart w:id="86" w:name="DOC_TBL00007_1_1"/>
            <w:bookmarkEnd w:id="86"/>
          </w:p>
        </w:tc>
        <w:tc>
          <w:tcPr>
            <w:tcW w:w="1635" w:type="dxa"/>
            <w:tcBorders>
              <w:top w:val="nil"/>
              <w:left w:val="nil"/>
              <w:bottom w:val="nil"/>
              <w:right w:val="nil"/>
              <w:tl2br w:val="nil"/>
              <w:tr2bl w:val="nil"/>
            </w:tcBorders>
            <w:tcMar>
              <w:left w:w="60" w:type="dxa"/>
              <w:right w:w="60" w:type="dxa"/>
            </w:tcMar>
            <w:vAlign w:val="bottom"/>
          </w:tcPr>
          <w:p w14:paraId="6BC88A0F" w14:textId="77777777" w:rsidR="00807FFE" w:rsidRDefault="00023E71">
            <w:pPr>
              <w:pStyle w:val="DMETW36735BIPINFA"/>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AB6CB6E" w14:textId="77777777">
        <w:trPr>
          <w:trHeight w:val="255"/>
        </w:trPr>
        <w:tc>
          <w:tcPr>
            <w:tcW w:w="4305" w:type="dxa"/>
            <w:tcBorders>
              <w:top w:val="nil"/>
              <w:left w:val="nil"/>
              <w:bottom w:val="nil"/>
              <w:right w:val="nil"/>
              <w:tl2br w:val="nil"/>
              <w:tr2bl w:val="nil"/>
            </w:tcBorders>
            <w:shd w:val="solid" w:color="016794" w:fill="FFFFFF"/>
            <w:tcMar>
              <w:left w:w="60" w:type="dxa"/>
              <w:right w:w="60" w:type="dxa"/>
            </w:tcMar>
            <w:vAlign w:val="center"/>
          </w:tcPr>
          <w:p w14:paraId="57B091CB" w14:textId="77777777" w:rsidR="00807FFE" w:rsidRDefault="00807FFE">
            <w:pPr>
              <w:pStyle w:val="DMETW36735BIPINFA"/>
              <w:jc w:val="right"/>
              <w:rPr>
                <w:rFonts w:ascii="Verdana" w:eastAsia="Verdana" w:hAnsi="Verdana" w:cs="Verdana"/>
                <w:noProof/>
                <w:color w:val="FFFFFF"/>
                <w:sz w:val="16"/>
              </w:rPr>
            </w:pPr>
          </w:p>
        </w:tc>
        <w:tc>
          <w:tcPr>
            <w:tcW w:w="1635" w:type="dxa"/>
            <w:tcBorders>
              <w:top w:val="nil"/>
              <w:left w:val="nil"/>
              <w:bottom w:val="nil"/>
              <w:right w:val="nil"/>
              <w:tl2br w:val="nil"/>
              <w:tr2bl w:val="nil"/>
            </w:tcBorders>
            <w:shd w:val="solid" w:color="016794" w:fill="FFFFFF"/>
            <w:tcMar>
              <w:left w:w="60" w:type="dxa"/>
              <w:right w:w="60" w:type="dxa"/>
            </w:tcMar>
            <w:vAlign w:val="center"/>
          </w:tcPr>
          <w:p w14:paraId="2BD5F8CE" w14:textId="77777777" w:rsidR="00807FFE" w:rsidRDefault="00807FFE">
            <w:pPr>
              <w:pStyle w:val="DMETW36735BIPINFA"/>
              <w:jc w:val="right"/>
              <w:rPr>
                <w:rFonts w:ascii="Verdana" w:eastAsia="Verdana" w:hAnsi="Verdana" w:cs="Verdana"/>
                <w:noProof/>
                <w:color w:val="FFFFFF"/>
                <w:sz w:val="16"/>
                <w:lang w:bidi="en-GB"/>
              </w:rPr>
            </w:pPr>
          </w:p>
        </w:tc>
      </w:tr>
      <w:tr w:rsidR="00807FFE" w14:paraId="527F88C9"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61A71792"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Gross carrying amount at 31.12.2024</w:t>
            </w:r>
          </w:p>
        </w:tc>
        <w:tc>
          <w:tcPr>
            <w:tcW w:w="1635" w:type="dxa"/>
            <w:tcBorders>
              <w:top w:val="nil"/>
              <w:left w:val="nil"/>
              <w:bottom w:val="nil"/>
              <w:right w:val="nil"/>
              <w:tl2br w:val="nil"/>
              <w:tr2bl w:val="nil"/>
            </w:tcBorders>
            <w:tcMar>
              <w:left w:w="60" w:type="dxa"/>
              <w:right w:w="60" w:type="dxa"/>
            </w:tcMar>
            <w:vAlign w:val="center"/>
          </w:tcPr>
          <w:p w14:paraId="6240295C"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2 257</w:t>
            </w:r>
          </w:p>
        </w:tc>
      </w:tr>
      <w:tr w:rsidR="00807FFE" w14:paraId="1F6E6E55"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01AF631C"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Additions</w:t>
            </w:r>
          </w:p>
        </w:tc>
        <w:tc>
          <w:tcPr>
            <w:tcW w:w="1635" w:type="dxa"/>
            <w:tcBorders>
              <w:top w:val="nil"/>
              <w:left w:val="nil"/>
              <w:bottom w:val="nil"/>
              <w:right w:val="nil"/>
              <w:tl2br w:val="nil"/>
              <w:tr2bl w:val="nil"/>
            </w:tcBorders>
            <w:tcMar>
              <w:left w:w="60" w:type="dxa"/>
              <w:right w:w="60" w:type="dxa"/>
            </w:tcMar>
            <w:vAlign w:val="center"/>
          </w:tcPr>
          <w:p w14:paraId="4079E5B7"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267</w:t>
            </w:r>
          </w:p>
        </w:tc>
      </w:tr>
      <w:tr w:rsidR="00807FFE" w14:paraId="23CF044E"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6A8B7CFB"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Disposals</w:t>
            </w:r>
          </w:p>
        </w:tc>
        <w:tc>
          <w:tcPr>
            <w:tcW w:w="1635" w:type="dxa"/>
            <w:tcBorders>
              <w:top w:val="nil"/>
              <w:left w:val="nil"/>
              <w:bottom w:val="nil"/>
              <w:right w:val="nil"/>
              <w:tl2br w:val="nil"/>
              <w:tr2bl w:val="nil"/>
            </w:tcBorders>
            <w:tcMar>
              <w:left w:w="60" w:type="dxa"/>
              <w:right w:w="60" w:type="dxa"/>
            </w:tcMar>
            <w:vAlign w:val="center"/>
          </w:tcPr>
          <w:p w14:paraId="04469BAE"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(70)</w:t>
            </w:r>
          </w:p>
        </w:tc>
      </w:tr>
      <w:tr w:rsidR="00807FFE" w14:paraId="751178FE"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57E4F09D"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Transfer between asset categories</w:t>
            </w:r>
          </w:p>
        </w:tc>
        <w:tc>
          <w:tcPr>
            <w:tcW w:w="1635" w:type="dxa"/>
            <w:tcBorders>
              <w:top w:val="nil"/>
              <w:left w:val="nil"/>
              <w:bottom w:val="nil"/>
              <w:right w:val="nil"/>
              <w:tl2br w:val="nil"/>
              <w:tr2bl w:val="nil"/>
            </w:tcBorders>
            <w:tcMar>
              <w:left w:w="60" w:type="dxa"/>
              <w:right w:w="60" w:type="dxa"/>
            </w:tcMar>
            <w:vAlign w:val="center"/>
          </w:tcPr>
          <w:p w14:paraId="04EF8D6E"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0</w:t>
            </w:r>
          </w:p>
        </w:tc>
      </w:tr>
      <w:tr w:rsidR="00807FFE" w14:paraId="664FE278" w14:textId="77777777">
        <w:trPr>
          <w:trHeight w:val="255"/>
        </w:trPr>
        <w:tc>
          <w:tcPr>
            <w:tcW w:w="4305" w:type="dxa"/>
            <w:tcBorders>
              <w:top w:val="nil"/>
              <w:left w:val="nil"/>
              <w:bottom w:val="single" w:sz="4" w:space="0" w:color="016794"/>
              <w:right w:val="nil"/>
              <w:tl2br w:val="nil"/>
              <w:tr2bl w:val="nil"/>
            </w:tcBorders>
            <w:tcMar>
              <w:left w:w="60" w:type="dxa"/>
              <w:right w:w="60" w:type="dxa"/>
            </w:tcMar>
            <w:vAlign w:val="center"/>
          </w:tcPr>
          <w:p w14:paraId="3A5BA5C7"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Other changes</w:t>
            </w:r>
          </w:p>
        </w:tc>
        <w:tc>
          <w:tcPr>
            <w:tcW w:w="1635" w:type="dxa"/>
            <w:tcBorders>
              <w:top w:val="nil"/>
              <w:left w:val="nil"/>
              <w:bottom w:val="single" w:sz="4" w:space="0" w:color="016794"/>
              <w:right w:val="nil"/>
              <w:tl2br w:val="nil"/>
              <w:tr2bl w:val="nil"/>
            </w:tcBorders>
            <w:tcMar>
              <w:left w:w="60" w:type="dxa"/>
              <w:right w:w="60" w:type="dxa"/>
            </w:tcMar>
            <w:vAlign w:val="center"/>
          </w:tcPr>
          <w:p w14:paraId="68F3A6B8"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091BF4B1" w14:textId="77777777">
        <w:trPr>
          <w:trHeight w:val="255"/>
        </w:trPr>
        <w:tc>
          <w:tcPr>
            <w:tcW w:w="4305" w:type="dxa"/>
            <w:tcBorders>
              <w:top w:val="single" w:sz="4" w:space="0" w:color="016794"/>
              <w:left w:val="nil"/>
              <w:bottom w:val="single" w:sz="4" w:space="0" w:color="016794"/>
              <w:right w:val="nil"/>
              <w:tl2br w:val="nil"/>
              <w:tr2bl w:val="nil"/>
            </w:tcBorders>
            <w:tcMar>
              <w:left w:w="60" w:type="dxa"/>
              <w:right w:w="60" w:type="dxa"/>
            </w:tcMar>
            <w:vAlign w:val="center"/>
          </w:tcPr>
          <w:p w14:paraId="21AFF894" w14:textId="77777777" w:rsidR="00807FFE" w:rsidRDefault="00023E71">
            <w:pPr>
              <w:pStyle w:val="DMETW36735BIPINFA"/>
              <w:rPr>
                <w:rFonts w:ascii="Verdana" w:eastAsia="Verdana" w:hAnsi="Verdana" w:cs="Verdana"/>
                <w:b/>
                <w:noProof/>
                <w:color w:val="000000"/>
                <w:sz w:val="18"/>
              </w:rPr>
            </w:pPr>
            <w:r>
              <w:rPr>
                <w:rFonts w:ascii="Verdana" w:eastAsia="Verdana" w:hAnsi="Verdana" w:cs="Verdana"/>
                <w:b/>
                <w:noProof/>
                <w:color w:val="000000"/>
                <w:sz w:val="18"/>
              </w:rPr>
              <w:t>Gross carrying amount at 31.12.2025</w:t>
            </w:r>
          </w:p>
        </w:tc>
        <w:tc>
          <w:tcPr>
            <w:tcW w:w="1635" w:type="dxa"/>
            <w:tcBorders>
              <w:top w:val="single" w:sz="4" w:space="0" w:color="016794"/>
              <w:left w:val="nil"/>
              <w:bottom w:val="single" w:sz="4" w:space="0" w:color="016794"/>
              <w:right w:val="nil"/>
              <w:tl2br w:val="nil"/>
              <w:tr2bl w:val="nil"/>
            </w:tcBorders>
            <w:tcMar>
              <w:left w:w="60" w:type="dxa"/>
              <w:right w:w="60" w:type="dxa"/>
            </w:tcMar>
            <w:vAlign w:val="center"/>
          </w:tcPr>
          <w:p w14:paraId="76DFF737" w14:textId="77777777" w:rsidR="00807FFE" w:rsidRDefault="00023E71">
            <w:pPr>
              <w:pStyle w:val="DMETW36735BIPINFA"/>
              <w:jc w:val="right"/>
              <w:rPr>
                <w:rFonts w:ascii="Verdana" w:eastAsia="Verdana" w:hAnsi="Verdana" w:cs="Verdana"/>
                <w:b/>
                <w:noProof/>
                <w:color w:val="000000"/>
                <w:sz w:val="18"/>
                <w:lang w:bidi="en-GB"/>
              </w:rPr>
            </w:pPr>
            <w:r>
              <w:rPr>
                <w:rFonts w:ascii="Verdana" w:eastAsia="Verdana" w:hAnsi="Verdana" w:cs="Verdana"/>
                <w:b/>
                <w:noProof/>
                <w:color w:val="000000"/>
                <w:sz w:val="18"/>
              </w:rPr>
              <w:t>2 455</w:t>
            </w:r>
          </w:p>
        </w:tc>
      </w:tr>
      <w:tr w:rsidR="00807FFE" w14:paraId="1C866F3F" w14:textId="77777777">
        <w:trPr>
          <w:trHeight w:val="255"/>
        </w:trPr>
        <w:tc>
          <w:tcPr>
            <w:tcW w:w="4305" w:type="dxa"/>
            <w:tcBorders>
              <w:top w:val="single" w:sz="4" w:space="0" w:color="016794"/>
              <w:left w:val="nil"/>
              <w:bottom w:val="nil"/>
              <w:right w:val="nil"/>
              <w:tl2br w:val="nil"/>
              <w:tr2bl w:val="nil"/>
            </w:tcBorders>
            <w:tcMar>
              <w:left w:w="60" w:type="dxa"/>
              <w:right w:w="60" w:type="dxa"/>
            </w:tcMar>
            <w:vAlign w:val="center"/>
          </w:tcPr>
          <w:p w14:paraId="1086D995"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Accumulated amortisation at 31.12.2024</w:t>
            </w:r>
          </w:p>
        </w:tc>
        <w:tc>
          <w:tcPr>
            <w:tcW w:w="1635" w:type="dxa"/>
            <w:tcBorders>
              <w:top w:val="single" w:sz="4" w:space="0" w:color="016794"/>
              <w:left w:val="nil"/>
              <w:bottom w:val="nil"/>
              <w:right w:val="nil"/>
              <w:tl2br w:val="nil"/>
              <w:tr2bl w:val="nil"/>
            </w:tcBorders>
            <w:tcMar>
              <w:left w:w="60" w:type="dxa"/>
              <w:right w:w="60" w:type="dxa"/>
            </w:tcMar>
            <w:vAlign w:val="center"/>
          </w:tcPr>
          <w:p w14:paraId="2055F436"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(1 162)</w:t>
            </w:r>
          </w:p>
        </w:tc>
      </w:tr>
      <w:tr w:rsidR="00807FFE" w14:paraId="22F8C78D"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6C667D21"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Amortisation charge for the year</w:t>
            </w:r>
          </w:p>
        </w:tc>
        <w:tc>
          <w:tcPr>
            <w:tcW w:w="1635" w:type="dxa"/>
            <w:tcBorders>
              <w:top w:val="nil"/>
              <w:left w:val="nil"/>
              <w:bottom w:val="nil"/>
              <w:right w:val="nil"/>
              <w:tl2br w:val="nil"/>
              <w:tr2bl w:val="nil"/>
            </w:tcBorders>
            <w:tcMar>
              <w:left w:w="60" w:type="dxa"/>
              <w:right w:w="60" w:type="dxa"/>
            </w:tcMar>
            <w:vAlign w:val="center"/>
          </w:tcPr>
          <w:p w14:paraId="32DB5280"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(213)</w:t>
            </w:r>
          </w:p>
        </w:tc>
      </w:tr>
      <w:tr w:rsidR="00807FFE" w14:paraId="0025321B"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3D0C37E7"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Amortisation written back</w:t>
            </w:r>
          </w:p>
        </w:tc>
        <w:tc>
          <w:tcPr>
            <w:tcW w:w="1635" w:type="dxa"/>
            <w:tcBorders>
              <w:top w:val="nil"/>
              <w:left w:val="nil"/>
              <w:bottom w:val="nil"/>
              <w:right w:val="nil"/>
              <w:tl2br w:val="nil"/>
              <w:tr2bl w:val="nil"/>
            </w:tcBorders>
            <w:tcMar>
              <w:left w:w="60" w:type="dxa"/>
              <w:right w:w="60" w:type="dxa"/>
            </w:tcMar>
            <w:vAlign w:val="center"/>
          </w:tcPr>
          <w:p w14:paraId="18C95DEE"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807FFE" w14:paraId="208D3AE3"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2DFFE397"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Disposals</w:t>
            </w:r>
          </w:p>
        </w:tc>
        <w:tc>
          <w:tcPr>
            <w:tcW w:w="1635" w:type="dxa"/>
            <w:tcBorders>
              <w:top w:val="nil"/>
              <w:left w:val="nil"/>
              <w:bottom w:val="nil"/>
              <w:right w:val="nil"/>
              <w:tl2br w:val="nil"/>
              <w:tr2bl w:val="nil"/>
            </w:tcBorders>
            <w:tcMar>
              <w:left w:w="60" w:type="dxa"/>
              <w:right w:w="60" w:type="dxa"/>
            </w:tcMar>
            <w:vAlign w:val="center"/>
          </w:tcPr>
          <w:p w14:paraId="4CCAF105"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54</w:t>
            </w:r>
          </w:p>
        </w:tc>
      </w:tr>
      <w:tr w:rsidR="00807FFE" w14:paraId="7616D3A0"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6518E9C8"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Transfer between asset categories</w:t>
            </w:r>
          </w:p>
        </w:tc>
        <w:tc>
          <w:tcPr>
            <w:tcW w:w="1635" w:type="dxa"/>
            <w:tcBorders>
              <w:top w:val="nil"/>
              <w:left w:val="nil"/>
              <w:bottom w:val="nil"/>
              <w:right w:val="nil"/>
              <w:tl2br w:val="nil"/>
              <w:tr2bl w:val="nil"/>
            </w:tcBorders>
            <w:tcMar>
              <w:left w:w="60" w:type="dxa"/>
              <w:right w:w="60" w:type="dxa"/>
            </w:tcMar>
            <w:vAlign w:val="center"/>
          </w:tcPr>
          <w:p w14:paraId="07CD9D43"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0</w:t>
            </w:r>
          </w:p>
        </w:tc>
      </w:tr>
      <w:tr w:rsidR="00807FFE" w14:paraId="4E31D83A" w14:textId="77777777">
        <w:trPr>
          <w:trHeight w:val="255"/>
        </w:trPr>
        <w:tc>
          <w:tcPr>
            <w:tcW w:w="4305" w:type="dxa"/>
            <w:tcBorders>
              <w:top w:val="nil"/>
              <w:left w:val="nil"/>
              <w:bottom w:val="single" w:sz="4" w:space="0" w:color="016794"/>
              <w:right w:val="nil"/>
              <w:tl2br w:val="nil"/>
              <w:tr2bl w:val="nil"/>
            </w:tcBorders>
            <w:tcMar>
              <w:left w:w="60" w:type="dxa"/>
              <w:right w:w="60" w:type="dxa"/>
            </w:tcMar>
            <w:vAlign w:val="center"/>
          </w:tcPr>
          <w:p w14:paraId="64C19B7B"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Other changes</w:t>
            </w:r>
          </w:p>
        </w:tc>
        <w:tc>
          <w:tcPr>
            <w:tcW w:w="1635" w:type="dxa"/>
            <w:tcBorders>
              <w:top w:val="nil"/>
              <w:left w:val="nil"/>
              <w:bottom w:val="single" w:sz="4" w:space="0" w:color="016794"/>
              <w:right w:val="nil"/>
              <w:tl2br w:val="nil"/>
              <w:tr2bl w:val="nil"/>
            </w:tcBorders>
            <w:tcMar>
              <w:left w:w="60" w:type="dxa"/>
              <w:right w:w="60" w:type="dxa"/>
            </w:tcMar>
            <w:vAlign w:val="center"/>
          </w:tcPr>
          <w:p w14:paraId="7276AF59" w14:textId="77777777" w:rsidR="00807FFE" w:rsidRDefault="00023E71">
            <w:pPr>
              <w:pStyle w:val="DMETW36735BIPIN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807FFE" w14:paraId="49A87470" w14:textId="77777777">
        <w:trPr>
          <w:trHeight w:val="255"/>
        </w:trPr>
        <w:tc>
          <w:tcPr>
            <w:tcW w:w="4305" w:type="dxa"/>
            <w:tcBorders>
              <w:top w:val="single" w:sz="4" w:space="0" w:color="016794"/>
              <w:left w:val="nil"/>
              <w:bottom w:val="single" w:sz="4" w:space="0" w:color="016794"/>
              <w:right w:val="nil"/>
              <w:tl2br w:val="nil"/>
              <w:tr2bl w:val="nil"/>
            </w:tcBorders>
            <w:tcMar>
              <w:left w:w="60" w:type="dxa"/>
              <w:right w:w="60" w:type="dxa"/>
            </w:tcMar>
            <w:vAlign w:val="center"/>
          </w:tcPr>
          <w:p w14:paraId="6940FC50" w14:textId="77777777" w:rsidR="00807FFE" w:rsidRDefault="00023E71">
            <w:pPr>
              <w:pStyle w:val="DMETW36735BIPINFA"/>
              <w:rPr>
                <w:rFonts w:ascii="Verdana" w:eastAsia="Verdana" w:hAnsi="Verdana" w:cs="Verdana"/>
                <w:b/>
                <w:noProof/>
                <w:color w:val="000000"/>
                <w:sz w:val="18"/>
              </w:rPr>
            </w:pPr>
            <w:r>
              <w:rPr>
                <w:rFonts w:ascii="Verdana" w:eastAsia="Verdana" w:hAnsi="Verdana" w:cs="Verdana"/>
                <w:b/>
                <w:noProof/>
                <w:color w:val="000000"/>
                <w:sz w:val="18"/>
              </w:rPr>
              <w:t>Accumulated amortisation at 31.12.2025</w:t>
            </w:r>
          </w:p>
        </w:tc>
        <w:tc>
          <w:tcPr>
            <w:tcW w:w="1635" w:type="dxa"/>
            <w:tcBorders>
              <w:top w:val="single" w:sz="4" w:space="0" w:color="016794"/>
              <w:left w:val="nil"/>
              <w:bottom w:val="single" w:sz="4" w:space="0" w:color="016794"/>
              <w:right w:val="nil"/>
              <w:tl2br w:val="nil"/>
              <w:tr2bl w:val="nil"/>
            </w:tcBorders>
            <w:tcMar>
              <w:left w:w="60" w:type="dxa"/>
              <w:right w:w="60" w:type="dxa"/>
            </w:tcMar>
            <w:vAlign w:val="center"/>
          </w:tcPr>
          <w:p w14:paraId="7D1C81B2" w14:textId="77777777" w:rsidR="00807FFE" w:rsidRDefault="00023E71">
            <w:pPr>
              <w:pStyle w:val="DMETW36735BIPINFA"/>
              <w:jc w:val="right"/>
              <w:rPr>
                <w:rFonts w:ascii="Verdana" w:eastAsia="Verdana" w:hAnsi="Verdana" w:cs="Verdana"/>
                <w:b/>
                <w:noProof/>
                <w:color w:val="000000"/>
                <w:sz w:val="18"/>
                <w:lang w:bidi="en-GB"/>
              </w:rPr>
            </w:pPr>
            <w:r>
              <w:rPr>
                <w:rFonts w:ascii="Verdana" w:eastAsia="Verdana" w:hAnsi="Verdana" w:cs="Verdana"/>
                <w:b/>
                <w:noProof/>
                <w:color w:val="000000"/>
                <w:sz w:val="18"/>
              </w:rPr>
              <w:t>(1 320)</w:t>
            </w:r>
          </w:p>
        </w:tc>
      </w:tr>
      <w:tr w:rsidR="00807FFE" w14:paraId="3B2C2CD6" w14:textId="77777777">
        <w:trPr>
          <w:trHeight w:val="255"/>
        </w:trPr>
        <w:tc>
          <w:tcPr>
            <w:tcW w:w="4305" w:type="dxa"/>
            <w:tcBorders>
              <w:top w:val="single" w:sz="4" w:space="0" w:color="016794"/>
              <w:left w:val="nil"/>
              <w:bottom w:val="nil"/>
              <w:right w:val="nil"/>
              <w:tl2br w:val="nil"/>
              <w:tr2bl w:val="nil"/>
            </w:tcBorders>
            <w:tcMar>
              <w:left w:w="60" w:type="dxa"/>
              <w:right w:w="60" w:type="dxa"/>
            </w:tcMar>
            <w:vAlign w:val="center"/>
          </w:tcPr>
          <w:p w14:paraId="5E87C062" w14:textId="77777777" w:rsidR="00807FFE" w:rsidRDefault="00807FFE">
            <w:pPr>
              <w:pStyle w:val="DMETW36735BIPINFA"/>
              <w:rPr>
                <w:rFonts w:ascii="Arial" w:eastAsia="Arial" w:hAnsi="Arial" w:cs="Arial"/>
                <w:noProof/>
                <w:color w:val="000000"/>
                <w:sz w:val="18"/>
              </w:rPr>
            </w:pPr>
          </w:p>
        </w:tc>
        <w:tc>
          <w:tcPr>
            <w:tcW w:w="1635" w:type="dxa"/>
            <w:tcBorders>
              <w:top w:val="single" w:sz="4" w:space="0" w:color="016794"/>
              <w:left w:val="nil"/>
              <w:bottom w:val="nil"/>
              <w:right w:val="nil"/>
              <w:tl2br w:val="nil"/>
              <w:tr2bl w:val="nil"/>
            </w:tcBorders>
            <w:tcMar>
              <w:left w:w="60" w:type="dxa"/>
              <w:right w:w="60" w:type="dxa"/>
            </w:tcMar>
            <w:vAlign w:val="center"/>
          </w:tcPr>
          <w:p w14:paraId="18EC4552" w14:textId="77777777" w:rsidR="00807FFE" w:rsidRDefault="00807FFE">
            <w:pPr>
              <w:pStyle w:val="DMETW36735BIPINFA"/>
              <w:rPr>
                <w:rFonts w:ascii="Arial" w:eastAsia="Arial" w:hAnsi="Arial" w:cs="Arial"/>
                <w:noProof/>
                <w:color w:val="000000"/>
                <w:sz w:val="18"/>
                <w:lang w:bidi="en-GB"/>
              </w:rPr>
            </w:pPr>
          </w:p>
        </w:tc>
      </w:tr>
      <w:tr w:rsidR="00807FFE" w14:paraId="1CDA75A9" w14:textId="77777777">
        <w:trPr>
          <w:trHeight w:val="255"/>
        </w:trPr>
        <w:tc>
          <w:tcPr>
            <w:tcW w:w="4305" w:type="dxa"/>
            <w:tcBorders>
              <w:top w:val="nil"/>
              <w:left w:val="nil"/>
              <w:bottom w:val="nil"/>
              <w:right w:val="nil"/>
              <w:tl2br w:val="nil"/>
              <w:tr2bl w:val="nil"/>
            </w:tcBorders>
            <w:shd w:val="solid" w:color="CCE1EA" w:fill="FFFFFF"/>
            <w:tcMar>
              <w:left w:w="60" w:type="dxa"/>
              <w:right w:w="60" w:type="dxa"/>
            </w:tcMar>
            <w:vAlign w:val="center"/>
          </w:tcPr>
          <w:p w14:paraId="28C0E39D" w14:textId="77777777" w:rsidR="00807FFE" w:rsidRDefault="00023E71">
            <w:pPr>
              <w:pStyle w:val="DMETW36735BIPINFA"/>
              <w:rPr>
                <w:rFonts w:ascii="Verdana" w:eastAsia="Verdana" w:hAnsi="Verdana" w:cs="Verdana"/>
                <w:b/>
                <w:noProof/>
                <w:color w:val="000000"/>
                <w:sz w:val="18"/>
              </w:rPr>
            </w:pPr>
            <w:r>
              <w:rPr>
                <w:rFonts w:ascii="Verdana" w:eastAsia="Verdana" w:hAnsi="Verdana" w:cs="Verdana"/>
                <w:b/>
                <w:noProof/>
                <w:color w:val="000000"/>
                <w:sz w:val="18"/>
              </w:rPr>
              <w:t>Net carrying amount at 31.12.2025</w:t>
            </w:r>
          </w:p>
        </w:tc>
        <w:tc>
          <w:tcPr>
            <w:tcW w:w="1635" w:type="dxa"/>
            <w:tcBorders>
              <w:top w:val="nil"/>
              <w:left w:val="nil"/>
              <w:bottom w:val="nil"/>
              <w:right w:val="nil"/>
              <w:tl2br w:val="nil"/>
              <w:tr2bl w:val="nil"/>
            </w:tcBorders>
            <w:shd w:val="solid" w:color="CCE1EA" w:fill="FFFFFF"/>
            <w:tcMar>
              <w:left w:w="60" w:type="dxa"/>
              <w:right w:w="60" w:type="dxa"/>
            </w:tcMar>
            <w:vAlign w:val="center"/>
          </w:tcPr>
          <w:p w14:paraId="0AE8B7A9" w14:textId="77777777" w:rsidR="00807FFE" w:rsidRDefault="00023E71">
            <w:pPr>
              <w:pStyle w:val="DMETW36735BIPINFA"/>
              <w:jc w:val="right"/>
              <w:rPr>
                <w:rFonts w:ascii="Verdana" w:eastAsia="Verdana" w:hAnsi="Verdana" w:cs="Verdana"/>
                <w:b/>
                <w:noProof/>
                <w:color w:val="000000"/>
                <w:sz w:val="18"/>
                <w:lang w:bidi="en-GB"/>
              </w:rPr>
            </w:pPr>
            <w:r>
              <w:rPr>
                <w:rFonts w:ascii="Verdana" w:eastAsia="Verdana" w:hAnsi="Verdana" w:cs="Verdana"/>
                <w:b/>
                <w:noProof/>
                <w:color w:val="000000"/>
                <w:sz w:val="18"/>
              </w:rPr>
              <w:t>1 135</w:t>
            </w:r>
          </w:p>
        </w:tc>
      </w:tr>
      <w:tr w:rsidR="00807FFE" w14:paraId="011DEBE9" w14:textId="77777777">
        <w:trPr>
          <w:trHeight w:val="255"/>
        </w:trPr>
        <w:tc>
          <w:tcPr>
            <w:tcW w:w="4305" w:type="dxa"/>
            <w:tcBorders>
              <w:top w:val="nil"/>
              <w:left w:val="nil"/>
              <w:bottom w:val="nil"/>
              <w:right w:val="nil"/>
              <w:tl2br w:val="nil"/>
              <w:tr2bl w:val="nil"/>
            </w:tcBorders>
            <w:tcMar>
              <w:left w:w="60" w:type="dxa"/>
              <w:right w:w="60" w:type="dxa"/>
            </w:tcMar>
            <w:vAlign w:val="center"/>
          </w:tcPr>
          <w:p w14:paraId="03E08EC5" w14:textId="77777777" w:rsidR="00807FFE" w:rsidRDefault="00023E71">
            <w:pPr>
              <w:pStyle w:val="DMETW36735BIPINFA"/>
              <w:rPr>
                <w:rFonts w:ascii="Verdana" w:eastAsia="Verdana" w:hAnsi="Verdana" w:cs="Verdana"/>
                <w:i/>
                <w:noProof/>
                <w:color w:val="000000"/>
                <w:sz w:val="18"/>
              </w:rPr>
            </w:pPr>
            <w:r>
              <w:rPr>
                <w:rFonts w:ascii="Verdana" w:eastAsia="Verdana" w:hAnsi="Verdana" w:cs="Verdana"/>
                <w:i/>
                <w:noProof/>
                <w:color w:val="000000"/>
                <w:sz w:val="18"/>
              </w:rPr>
              <w:t>Net carrying amount at 31.12.2024</w:t>
            </w:r>
          </w:p>
        </w:tc>
        <w:tc>
          <w:tcPr>
            <w:tcW w:w="1635" w:type="dxa"/>
            <w:tcBorders>
              <w:top w:val="nil"/>
              <w:left w:val="nil"/>
              <w:bottom w:val="nil"/>
              <w:right w:val="nil"/>
              <w:tl2br w:val="nil"/>
              <w:tr2bl w:val="nil"/>
            </w:tcBorders>
            <w:tcMar>
              <w:left w:w="60" w:type="dxa"/>
              <w:right w:w="60" w:type="dxa"/>
            </w:tcMar>
            <w:vAlign w:val="center"/>
          </w:tcPr>
          <w:p w14:paraId="58D1BBC9" w14:textId="77777777" w:rsidR="00807FFE" w:rsidRDefault="00023E71">
            <w:pPr>
              <w:pStyle w:val="DMETW36735BIPINFA"/>
              <w:jc w:val="right"/>
              <w:rPr>
                <w:rFonts w:ascii="Verdana" w:eastAsia="Verdana" w:hAnsi="Verdana" w:cs="Verdana"/>
                <w:i/>
                <w:noProof/>
                <w:color w:val="000000"/>
                <w:sz w:val="18"/>
              </w:rPr>
            </w:pPr>
            <w:r>
              <w:rPr>
                <w:rFonts w:ascii="Verdana" w:eastAsia="Verdana" w:hAnsi="Verdana" w:cs="Verdana"/>
                <w:i/>
                <w:noProof/>
                <w:color w:val="000000"/>
                <w:sz w:val="18"/>
              </w:rPr>
              <w:t>1 095</w:t>
            </w:r>
          </w:p>
        </w:tc>
      </w:tr>
    </w:tbl>
    <w:p w14:paraId="567B5AB4" w14:textId="1AD72864" w:rsidR="002916B9" w:rsidRDefault="00023E71" w:rsidP="00EA1F44">
      <w:pPr>
        <w:pStyle w:val="DGTextstand-alone"/>
      </w:pPr>
      <w:r w:rsidRPr="00BE4A62">
        <w:t xml:space="preserve">The </w:t>
      </w:r>
      <w:r>
        <w:t>net carrying amount at year-end 2025 of EUR 1 135 million mainly includes internally generated software already operational (EUR 405 million), internally generated software under construction (EUR</w:t>
      </w:r>
      <w:r w:rsidR="00A420BB">
        <w:t> </w:t>
      </w:r>
      <w:r>
        <w:t xml:space="preserve"> 354 million) as well as acquired software (EUR 375 million).</w:t>
      </w:r>
    </w:p>
    <w:p w14:paraId="55539976" w14:textId="77777777" w:rsidR="005571F4" w:rsidRPr="007B38E1" w:rsidRDefault="005571F4" w:rsidP="005571F4">
      <w:pPr>
        <w:rPr>
          <w:noProof/>
          <w:lang w:val="en-IE"/>
        </w:rPr>
      </w:pPr>
    </w:p>
    <w:p w14:paraId="03331731" w14:textId="77777777" w:rsidR="005571F4" w:rsidRPr="005571F4" w:rsidRDefault="00023E71" w:rsidP="00172034">
      <w:pPr>
        <w:numPr>
          <w:ilvl w:val="1"/>
          <w:numId w:val="15"/>
        </w:numPr>
        <w:tabs>
          <w:tab w:val="left" w:pos="907"/>
        </w:tabs>
        <w:spacing w:before="360" w:after="360"/>
        <w:rPr>
          <w:rFonts w:ascii="Verdana" w:hAnsi="Verdana"/>
          <w:b/>
          <w:noProof/>
          <w:color w:val="016794"/>
          <w:sz w:val="28"/>
          <w:szCs w:val="28"/>
        </w:rPr>
      </w:pPr>
      <w:r w:rsidRPr="005571F4">
        <w:rPr>
          <w:rFonts w:ascii="Verdana" w:hAnsi="Verdana"/>
          <w:b/>
          <w:noProof/>
          <w:color w:val="016794"/>
          <w:sz w:val="28"/>
          <w:szCs w:val="28"/>
        </w:rPr>
        <w:t>PROPERTY, PLANT AND EQUIPMENT</w:t>
      </w:r>
    </w:p>
    <w:p w14:paraId="5A0D65AD" w14:textId="77777777" w:rsidR="00211797" w:rsidRDefault="00023E71" w:rsidP="00EA1F44">
      <w:pPr>
        <w:pStyle w:val="DGTextstand-alone"/>
      </w:pPr>
      <w:r w:rsidRPr="00627F4B">
        <w:t xml:space="preserve">The </w:t>
      </w:r>
      <w:r>
        <w:t>s</w:t>
      </w:r>
      <w:r w:rsidRPr="00627F4B">
        <w:t xml:space="preserve">pace assets category covers </w:t>
      </w:r>
      <w:r>
        <w:t xml:space="preserve">operational </w:t>
      </w:r>
      <w:r w:rsidRPr="00627F4B">
        <w:t xml:space="preserve">fixed assets related to the EU space programmes: </w:t>
      </w:r>
      <w:r w:rsidRPr="00211797">
        <w:t xml:space="preserve">the Global Navigation Satellite Systems (GNSS), i.e. Galileo and European Geostationary Navigation Overlay System (EGNOS), </w:t>
      </w:r>
      <w:r w:rsidRPr="00832899">
        <w:t xml:space="preserve">Governmental Satellite Communication (GOVSATCOM), Secure connectivity programme </w:t>
      </w:r>
      <w:r w:rsidRPr="00211797">
        <w:t>and the Copernicus European Earth observation programme. Assets of the space systems which are not yet operational are included under the heading ‘Assets under construction’. The assets related to the EU space programmes are being built with the assistance of the European Space Agency (ESA).</w:t>
      </w:r>
    </w:p>
    <w:p w14:paraId="4F028480" w14:textId="77777777" w:rsidR="00670CE5" w:rsidRPr="00627F4B" w:rsidRDefault="00023E71" w:rsidP="00EA1F44">
      <w:pPr>
        <w:pStyle w:val="DGTextstand-alone"/>
      </w:pPr>
      <w:r w:rsidRPr="00627F4B">
        <w:t xml:space="preserve">For Galileo, </w:t>
      </w:r>
      <w:r w:rsidR="000619B6">
        <w:t>t</w:t>
      </w:r>
      <w:r w:rsidR="00B46572">
        <w:t>he constellation</w:t>
      </w:r>
      <w:r>
        <w:t xml:space="preserve"> currently</w:t>
      </w:r>
      <w:r w:rsidR="00CD6D15">
        <w:t xml:space="preserve"> includes </w:t>
      </w:r>
      <w:r>
        <w:t>30</w:t>
      </w:r>
      <w:r w:rsidR="00B46572">
        <w:t xml:space="preserve"> satellites</w:t>
      </w:r>
      <w:r w:rsidRPr="00627F4B">
        <w:t>. The Galileo operational fixed assets</w:t>
      </w:r>
      <w:r>
        <w:t>,</w:t>
      </w:r>
      <w:r w:rsidRPr="00CE019D">
        <w:t xml:space="preserve"> </w:t>
      </w:r>
      <w:r>
        <w:t>covering both satellites and</w:t>
      </w:r>
      <w:r w:rsidR="008F75C2">
        <w:t xml:space="preserve"> ground installations, </w:t>
      </w:r>
      <w:r w:rsidRPr="00627F4B">
        <w:t xml:space="preserve">amounted to </w:t>
      </w:r>
      <w:r>
        <w:t>EUR </w:t>
      </w:r>
      <w:r w:rsidR="00F3239B">
        <w:t>2</w:t>
      </w:r>
      <w:r w:rsidR="009B7181">
        <w:t xml:space="preserve"> </w:t>
      </w:r>
      <w:r>
        <w:t>630</w:t>
      </w:r>
      <w:r w:rsidR="00CD6D15">
        <w:t xml:space="preserve"> </w:t>
      </w:r>
      <w:r w:rsidRPr="00627F4B">
        <w:t>million at 31 December 20</w:t>
      </w:r>
      <w:r w:rsidR="00C10462">
        <w:t>2</w:t>
      </w:r>
      <w:r>
        <w:t>5</w:t>
      </w:r>
      <w:r w:rsidRPr="00627F4B">
        <w:t xml:space="preserve">, net of </w:t>
      </w:r>
      <w:r>
        <w:t xml:space="preserve">accumulated </w:t>
      </w:r>
      <w:r w:rsidRPr="00627F4B">
        <w:t>depreciation (20</w:t>
      </w:r>
      <w:r w:rsidR="00C10462">
        <w:t>2</w:t>
      </w:r>
      <w:r>
        <w:t>4</w:t>
      </w:r>
      <w:r w:rsidRPr="00627F4B">
        <w:t xml:space="preserve">: </w:t>
      </w:r>
      <w:r>
        <w:t>EUR 2</w:t>
      </w:r>
      <w:r w:rsidR="00F3239B">
        <w:t xml:space="preserve"> </w:t>
      </w:r>
      <w:r>
        <w:t>987</w:t>
      </w:r>
      <w:r w:rsidR="00F3239B">
        <w:t xml:space="preserve"> </w:t>
      </w:r>
      <w:r w:rsidRPr="00627F4B">
        <w:t>million). The remaining assets under construction tota</w:t>
      </w:r>
      <w:r w:rsidR="008F75C2">
        <w:t>l</w:t>
      </w:r>
      <w:r w:rsidRPr="00627F4B">
        <w:t xml:space="preserve"> </w:t>
      </w:r>
      <w:r>
        <w:t>EUR </w:t>
      </w:r>
      <w:r w:rsidR="00F3239B">
        <w:t xml:space="preserve">2 </w:t>
      </w:r>
      <w:r>
        <w:t>592</w:t>
      </w:r>
      <w:r w:rsidRPr="00627F4B">
        <w:t> million (20</w:t>
      </w:r>
      <w:r w:rsidR="00C10462">
        <w:t>2</w:t>
      </w:r>
      <w:r>
        <w:t>4</w:t>
      </w:r>
      <w:r w:rsidRPr="00627F4B">
        <w:t xml:space="preserve">: </w:t>
      </w:r>
      <w:r>
        <w:t>EUR 2 145</w:t>
      </w:r>
      <w:r w:rsidRPr="00627F4B">
        <w:t xml:space="preserve"> million). </w:t>
      </w:r>
    </w:p>
    <w:p w14:paraId="2EA20D80" w14:textId="77777777" w:rsidR="00670CE5" w:rsidRPr="00627F4B" w:rsidRDefault="00023E71" w:rsidP="00EA1F44">
      <w:pPr>
        <w:pStyle w:val="DGTextstand-alone"/>
      </w:pPr>
      <w:r w:rsidRPr="00627F4B">
        <w:t xml:space="preserve">Regarding Copernicus, </w:t>
      </w:r>
      <w:r>
        <w:t>10</w:t>
      </w:r>
      <w:r w:rsidR="00622D7B">
        <w:t xml:space="preserve"> satellites are operational with </w:t>
      </w:r>
      <w:r>
        <w:t>22</w:t>
      </w:r>
      <w:r w:rsidR="00622D7B">
        <w:t xml:space="preserve"> satellites and instruments under construction.</w:t>
      </w:r>
      <w:r w:rsidR="002E0C95">
        <w:t xml:space="preserve"> </w:t>
      </w:r>
      <w:r>
        <w:t>T</w:t>
      </w:r>
      <w:r w:rsidRPr="00627F4B">
        <w:t xml:space="preserve">he total value of Copernicus operational fixed assets </w:t>
      </w:r>
      <w:r>
        <w:t>is</w:t>
      </w:r>
      <w:r w:rsidRPr="00627F4B">
        <w:t xml:space="preserve"> </w:t>
      </w:r>
      <w:r>
        <w:t>EUR 845 million (2024</w:t>
      </w:r>
      <w:r w:rsidRPr="00627F4B">
        <w:t xml:space="preserve">: </w:t>
      </w:r>
      <w:r>
        <w:t xml:space="preserve">EUR 492 </w:t>
      </w:r>
      <w:r w:rsidRPr="00627F4B">
        <w:t>million), net of accumulated depreciation. A</w:t>
      </w:r>
      <w:r>
        <w:t xml:space="preserve"> further EUR </w:t>
      </w:r>
      <w:r w:rsidR="00622D7B">
        <w:t>3</w:t>
      </w:r>
      <w:r>
        <w:t xml:space="preserve"> 645</w:t>
      </w:r>
      <w:r w:rsidRPr="00627F4B">
        <w:t> million related to Copernicus satellites is recognised as assets under construction (20</w:t>
      </w:r>
      <w:r>
        <w:t>24</w:t>
      </w:r>
      <w:r w:rsidRPr="00627F4B">
        <w:t xml:space="preserve">: </w:t>
      </w:r>
      <w:r>
        <w:t>EUR 3</w:t>
      </w:r>
      <w:r w:rsidR="002E0C95">
        <w:t xml:space="preserve"> </w:t>
      </w:r>
      <w:r>
        <w:t>520</w:t>
      </w:r>
      <w:r w:rsidRPr="00627F4B">
        <w:t> million).</w:t>
      </w:r>
      <w:r w:rsidR="000128E9">
        <w:t xml:space="preserve"> </w:t>
      </w:r>
    </w:p>
    <w:p w14:paraId="19ECA9AA" w14:textId="77777777" w:rsidR="00310521" w:rsidRDefault="00023E71" w:rsidP="00EA1F44">
      <w:pPr>
        <w:pStyle w:val="DGTextstand-alone"/>
      </w:pPr>
      <w:r w:rsidRPr="00627F4B">
        <w:t xml:space="preserve">Fixed assets related to the EGNOS ground infrastructure of </w:t>
      </w:r>
      <w:r w:rsidR="002E0C95">
        <w:t>EUR </w:t>
      </w:r>
      <w:r>
        <w:t>182</w:t>
      </w:r>
      <w:r w:rsidRPr="00627F4B">
        <w:t xml:space="preserve"> million (20</w:t>
      </w:r>
      <w:r w:rsidR="00622D7B">
        <w:t>2</w:t>
      </w:r>
      <w:r>
        <w:t>4</w:t>
      </w:r>
      <w:r w:rsidRPr="00627F4B">
        <w:t xml:space="preserve">: </w:t>
      </w:r>
      <w:r>
        <w:t>EUR 160</w:t>
      </w:r>
      <w:r w:rsidRPr="00627F4B">
        <w:t xml:space="preserve"> million) are also included under the</w:t>
      </w:r>
      <w:r>
        <w:t xml:space="preserve"> heading</w:t>
      </w:r>
      <w:r w:rsidRPr="00627F4B">
        <w:t xml:space="preserve"> </w:t>
      </w:r>
      <w:r w:rsidRPr="00500AB0">
        <w:t>‘Space assets’</w:t>
      </w:r>
      <w:r w:rsidRPr="00627F4B">
        <w:t xml:space="preserve">. In addition, EGNOS assets under construction amount to </w:t>
      </w:r>
      <w:r>
        <w:t>EUR 346</w:t>
      </w:r>
      <w:r w:rsidRPr="00627F4B">
        <w:t xml:space="preserve"> million (20</w:t>
      </w:r>
      <w:r>
        <w:t>24</w:t>
      </w:r>
      <w:r w:rsidRPr="00627F4B">
        <w:t xml:space="preserve">: </w:t>
      </w:r>
      <w:r>
        <w:t>EUR 345</w:t>
      </w:r>
      <w:r w:rsidRPr="00627F4B">
        <w:t xml:space="preserve"> million).</w:t>
      </w:r>
    </w:p>
    <w:p w14:paraId="2735A125" w14:textId="77777777" w:rsidR="00832899" w:rsidRDefault="00023E71" w:rsidP="00EA1F44">
      <w:pPr>
        <w:pStyle w:val="DGTextstand-alone"/>
      </w:pPr>
      <w:r w:rsidRPr="00832899">
        <w:t>The European Union Governmental Satellite Communications (GOVSATCOM) programme aims to provide secure, resilient and cost-efficient satellite communications capabilities to security and safety critical missions and governmental operations managed by the EU and its Member States, including national security actors and EU Agencies and institutions. GOVSATCOM assets under con</w:t>
      </w:r>
      <w:r>
        <w:t>s</w:t>
      </w:r>
      <w:r w:rsidRPr="00832899">
        <w:t>truction amount to EUR 9 million (2024: EUR 0).</w:t>
      </w:r>
    </w:p>
    <w:p w14:paraId="4F73DFBB" w14:textId="77777777" w:rsidR="00832899" w:rsidRDefault="00023E71" w:rsidP="00907542">
      <w:pPr>
        <w:pStyle w:val="DGTextstand-alone"/>
      </w:pPr>
      <w:r w:rsidRPr="00832899">
        <w:t>The secure connectivity programme has two main aims:</w:t>
      </w:r>
    </w:p>
    <w:p w14:paraId="2B5AFA3A" w14:textId="77777777" w:rsidR="00832899" w:rsidRDefault="00023E71" w:rsidP="00087349">
      <w:pPr>
        <w:pStyle w:val="DGTextstand-alonedashesjustified"/>
        <w:rPr>
          <w:lang w:eastAsia="en-GB"/>
        </w:rPr>
      </w:pPr>
      <w:r>
        <w:rPr>
          <w:lang w:eastAsia="en-GB"/>
        </w:rPr>
        <w:t xml:space="preserve">to ensure </w:t>
      </w:r>
      <w:r w:rsidRPr="00832899">
        <w:rPr>
          <w:lang w:eastAsia="en-GB"/>
        </w:rPr>
        <w:t>worldwide access to secure governmental satellite communication services for the protection of critical infrastructures, surveillance, external actions and crisis management;</w:t>
      </w:r>
    </w:p>
    <w:p w14:paraId="5C3E4F1F" w14:textId="77777777" w:rsidR="00832899" w:rsidRDefault="00023E71" w:rsidP="00087349">
      <w:pPr>
        <w:pStyle w:val="DGTextstand-alonedashesjustified"/>
        <w:rPr>
          <w:lang w:eastAsia="en-GB"/>
        </w:rPr>
      </w:pPr>
      <w:r>
        <w:rPr>
          <w:lang w:eastAsia="en-GB"/>
        </w:rPr>
        <w:t>to enable the private sector to provide commercial services, such as making available high-speed broadband and seamless connectivity throughout the European Union.</w:t>
      </w:r>
    </w:p>
    <w:p w14:paraId="320CDD76" w14:textId="77777777" w:rsidR="00832899" w:rsidRDefault="00023E71" w:rsidP="00832899">
      <w:pPr>
        <w:pStyle w:val="DGTextstand-alone"/>
      </w:pPr>
      <w:r w:rsidRPr="00832899">
        <w:t>Secure connectivity assets under constructions amount to EUR 4</w:t>
      </w:r>
      <w:r>
        <w:t>54</w:t>
      </w:r>
      <w:r w:rsidRPr="00832899">
        <w:t xml:space="preserve"> million (2024: EUR 0)</w:t>
      </w:r>
      <w:r>
        <w:t>.</w:t>
      </w:r>
      <w:bookmarkEnd w:id="85"/>
    </w:p>
    <w:p w14:paraId="5D6E401C" w14:textId="77777777" w:rsidR="002E6294" w:rsidRPr="00832899" w:rsidRDefault="002E6294" w:rsidP="00832899">
      <w:pPr>
        <w:pStyle w:val="DGTextstand-alone"/>
        <w:sectPr w:rsidR="002E6294" w:rsidRPr="00832899">
          <w:headerReference w:type="default" r:id="rId71"/>
          <w:footerReference w:type="default" r:id="rId72"/>
          <w:type w:val="continuous"/>
          <w:pgSz w:w="11906" w:h="16838"/>
          <w:pgMar w:top="1134" w:right="1134" w:bottom="1134" w:left="1134" w:header="709" w:footer="709" w:gutter="0"/>
          <w:cols w:space="708"/>
          <w:docGrid w:linePitch="360"/>
        </w:sectPr>
      </w:pPr>
    </w:p>
    <w:p w14:paraId="699E68EE" w14:textId="77777777" w:rsidR="006A1FAB" w:rsidRPr="006A1FAB" w:rsidRDefault="00023E71" w:rsidP="006A1FAB">
      <w:pPr>
        <w:pStyle w:val="HEADERTABLE"/>
        <w:rPr>
          <w:noProof/>
        </w:rPr>
      </w:pPr>
      <w:bookmarkStart w:id="87" w:name="_DMBM_36731"/>
      <w:r w:rsidRPr="006A1FAB">
        <w:rPr>
          <w:noProof/>
        </w:rPr>
        <w:t>Property, plant and equipment</w:t>
      </w: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3"/>
        <w:gridCol w:w="1509"/>
        <w:gridCol w:w="1066"/>
        <w:gridCol w:w="1058"/>
        <w:gridCol w:w="1288"/>
        <w:gridCol w:w="1009"/>
        <w:gridCol w:w="936"/>
        <w:gridCol w:w="936"/>
        <w:gridCol w:w="1383"/>
        <w:gridCol w:w="1058"/>
      </w:tblGrid>
      <w:tr w:rsidR="00807FFE" w14:paraId="48C7DB0C" w14:textId="77777777">
        <w:trPr>
          <w:trHeight w:val="255"/>
        </w:trPr>
        <w:tc>
          <w:tcPr>
            <w:tcW w:w="3597" w:type="dxa"/>
            <w:tcBorders>
              <w:top w:val="nil"/>
              <w:left w:val="nil"/>
              <w:bottom w:val="nil"/>
              <w:right w:val="nil"/>
              <w:tl2br w:val="nil"/>
              <w:tr2bl w:val="nil"/>
            </w:tcBorders>
            <w:tcMar>
              <w:left w:w="60" w:type="dxa"/>
              <w:right w:w="60" w:type="dxa"/>
            </w:tcMar>
            <w:vAlign w:val="bottom"/>
          </w:tcPr>
          <w:p w14:paraId="7D2C6ED7" w14:textId="77777777" w:rsidR="00807FFE" w:rsidRDefault="00807FFE">
            <w:pPr>
              <w:pStyle w:val="DMETW36735BIPEUPPE"/>
              <w:rPr>
                <w:rFonts w:ascii="Arial" w:eastAsia="Arial" w:hAnsi="Arial" w:cs="Arial"/>
                <w:noProof/>
                <w:color w:val="000000"/>
                <w:lang w:bidi="en-GB"/>
              </w:rPr>
            </w:pPr>
            <w:bookmarkStart w:id="88" w:name="DOC_TBL00008_1_1"/>
            <w:bookmarkEnd w:id="88"/>
          </w:p>
        </w:tc>
        <w:tc>
          <w:tcPr>
            <w:tcW w:w="1461" w:type="dxa"/>
            <w:tcBorders>
              <w:top w:val="nil"/>
              <w:left w:val="nil"/>
              <w:bottom w:val="nil"/>
              <w:right w:val="nil"/>
              <w:tl2br w:val="nil"/>
              <w:tr2bl w:val="nil"/>
            </w:tcBorders>
            <w:tcMar>
              <w:left w:w="60" w:type="dxa"/>
              <w:right w:w="60" w:type="dxa"/>
            </w:tcMar>
            <w:vAlign w:val="center"/>
          </w:tcPr>
          <w:p w14:paraId="2CA51C07" w14:textId="77777777" w:rsidR="00807FFE" w:rsidRDefault="00807FFE">
            <w:pPr>
              <w:pStyle w:val="DMETW36735BIPEUPPE"/>
              <w:rPr>
                <w:rFonts w:cs="Calibri"/>
                <w:noProof/>
                <w:color w:val="000000"/>
              </w:rPr>
            </w:pPr>
          </w:p>
        </w:tc>
        <w:tc>
          <w:tcPr>
            <w:tcW w:w="1032" w:type="dxa"/>
            <w:tcBorders>
              <w:top w:val="nil"/>
              <w:left w:val="nil"/>
              <w:bottom w:val="nil"/>
              <w:right w:val="nil"/>
              <w:tl2br w:val="nil"/>
              <w:tr2bl w:val="nil"/>
            </w:tcBorders>
            <w:tcMar>
              <w:left w:w="60" w:type="dxa"/>
              <w:right w:w="60" w:type="dxa"/>
            </w:tcMar>
            <w:vAlign w:val="center"/>
          </w:tcPr>
          <w:p w14:paraId="5530FE00" w14:textId="77777777" w:rsidR="00807FFE" w:rsidRDefault="00807FFE">
            <w:pPr>
              <w:pStyle w:val="DMETW36735BIPEUPPE"/>
              <w:rPr>
                <w:rFonts w:cs="Calibri"/>
                <w:noProof/>
                <w:color w:val="000000"/>
              </w:rPr>
            </w:pPr>
          </w:p>
        </w:tc>
        <w:tc>
          <w:tcPr>
            <w:tcW w:w="1025" w:type="dxa"/>
            <w:tcBorders>
              <w:top w:val="nil"/>
              <w:left w:val="nil"/>
              <w:bottom w:val="nil"/>
              <w:right w:val="nil"/>
              <w:tl2br w:val="nil"/>
              <w:tr2bl w:val="nil"/>
            </w:tcBorders>
            <w:tcMar>
              <w:left w:w="60" w:type="dxa"/>
              <w:right w:w="60" w:type="dxa"/>
            </w:tcMar>
            <w:vAlign w:val="center"/>
          </w:tcPr>
          <w:p w14:paraId="538D2E73" w14:textId="77777777" w:rsidR="00807FFE" w:rsidRDefault="00807FFE">
            <w:pPr>
              <w:pStyle w:val="DMETW36735BIPEUPPE"/>
              <w:rPr>
                <w:rFonts w:cs="Calibri"/>
                <w:noProof/>
                <w:color w:val="000000"/>
              </w:rPr>
            </w:pPr>
          </w:p>
        </w:tc>
        <w:tc>
          <w:tcPr>
            <w:tcW w:w="1247" w:type="dxa"/>
            <w:tcBorders>
              <w:top w:val="nil"/>
              <w:left w:val="nil"/>
              <w:bottom w:val="nil"/>
              <w:right w:val="nil"/>
              <w:tl2br w:val="nil"/>
              <w:tr2bl w:val="nil"/>
            </w:tcBorders>
            <w:tcMar>
              <w:left w:w="60" w:type="dxa"/>
              <w:right w:w="60" w:type="dxa"/>
            </w:tcMar>
            <w:vAlign w:val="center"/>
          </w:tcPr>
          <w:p w14:paraId="6A3BD38E" w14:textId="77777777" w:rsidR="00807FFE" w:rsidRDefault="00807FFE">
            <w:pPr>
              <w:pStyle w:val="DMETW36735BIPEUPPE"/>
              <w:rPr>
                <w:rFonts w:cs="Calibri"/>
                <w:noProof/>
                <w:color w:val="000000"/>
              </w:rPr>
            </w:pPr>
          </w:p>
        </w:tc>
        <w:tc>
          <w:tcPr>
            <w:tcW w:w="977" w:type="dxa"/>
            <w:tcBorders>
              <w:top w:val="nil"/>
              <w:left w:val="nil"/>
              <w:bottom w:val="nil"/>
              <w:right w:val="nil"/>
              <w:tl2br w:val="nil"/>
              <w:tr2bl w:val="nil"/>
            </w:tcBorders>
            <w:tcMar>
              <w:left w:w="60" w:type="dxa"/>
              <w:right w:w="60" w:type="dxa"/>
            </w:tcMar>
            <w:vAlign w:val="center"/>
          </w:tcPr>
          <w:p w14:paraId="142FF05D" w14:textId="77777777" w:rsidR="00807FFE" w:rsidRDefault="00807FFE">
            <w:pPr>
              <w:pStyle w:val="DMETW36735BIPEUPPE"/>
              <w:rPr>
                <w:rFonts w:cs="Calibri"/>
                <w:noProof/>
                <w:color w:val="000000"/>
              </w:rPr>
            </w:pPr>
          </w:p>
        </w:tc>
        <w:tc>
          <w:tcPr>
            <w:tcW w:w="906" w:type="dxa"/>
            <w:tcBorders>
              <w:top w:val="nil"/>
              <w:left w:val="nil"/>
              <w:bottom w:val="nil"/>
              <w:right w:val="nil"/>
              <w:tl2br w:val="nil"/>
              <w:tr2bl w:val="nil"/>
            </w:tcBorders>
            <w:tcMar>
              <w:left w:w="60" w:type="dxa"/>
              <w:right w:w="60" w:type="dxa"/>
            </w:tcMar>
            <w:vAlign w:val="center"/>
          </w:tcPr>
          <w:p w14:paraId="0E24EA58" w14:textId="77777777" w:rsidR="00807FFE" w:rsidRDefault="00807FFE">
            <w:pPr>
              <w:pStyle w:val="DMETW36735BIPEUPPE"/>
              <w:rPr>
                <w:rFonts w:cs="Calibri"/>
                <w:noProof/>
                <w:color w:val="000000"/>
              </w:rPr>
            </w:pPr>
          </w:p>
        </w:tc>
        <w:tc>
          <w:tcPr>
            <w:tcW w:w="906" w:type="dxa"/>
            <w:tcBorders>
              <w:top w:val="nil"/>
              <w:left w:val="nil"/>
              <w:bottom w:val="nil"/>
              <w:right w:val="nil"/>
              <w:tl2br w:val="nil"/>
              <w:tr2bl w:val="nil"/>
            </w:tcBorders>
            <w:tcMar>
              <w:left w:w="60" w:type="dxa"/>
              <w:right w:w="60" w:type="dxa"/>
            </w:tcMar>
            <w:vAlign w:val="center"/>
          </w:tcPr>
          <w:p w14:paraId="393EDB2E" w14:textId="77777777" w:rsidR="00807FFE" w:rsidRDefault="00807FFE">
            <w:pPr>
              <w:pStyle w:val="DMETW36735BIPEUPPE"/>
              <w:rPr>
                <w:rFonts w:cs="Calibri"/>
                <w:noProof/>
                <w:color w:val="000000"/>
              </w:rPr>
            </w:pPr>
          </w:p>
        </w:tc>
        <w:tc>
          <w:tcPr>
            <w:tcW w:w="1339" w:type="dxa"/>
            <w:tcBorders>
              <w:top w:val="nil"/>
              <w:left w:val="nil"/>
              <w:bottom w:val="nil"/>
              <w:right w:val="nil"/>
              <w:tl2br w:val="nil"/>
              <w:tr2bl w:val="nil"/>
            </w:tcBorders>
            <w:tcMar>
              <w:left w:w="60" w:type="dxa"/>
              <w:right w:w="60" w:type="dxa"/>
            </w:tcMar>
            <w:vAlign w:val="center"/>
          </w:tcPr>
          <w:p w14:paraId="3B6B49CE" w14:textId="77777777" w:rsidR="00807FFE" w:rsidRDefault="00807FFE">
            <w:pPr>
              <w:pStyle w:val="DMETW36735BIPEUPPE"/>
              <w:rPr>
                <w:rFonts w:cs="Calibri"/>
                <w:noProof/>
                <w:color w:val="000000"/>
              </w:rPr>
            </w:pPr>
          </w:p>
        </w:tc>
        <w:tc>
          <w:tcPr>
            <w:tcW w:w="1025" w:type="dxa"/>
            <w:tcBorders>
              <w:top w:val="nil"/>
              <w:left w:val="nil"/>
              <w:bottom w:val="nil"/>
              <w:right w:val="nil"/>
              <w:tl2br w:val="nil"/>
              <w:tr2bl w:val="nil"/>
            </w:tcBorders>
            <w:tcMar>
              <w:left w:w="60" w:type="dxa"/>
              <w:right w:w="60" w:type="dxa"/>
            </w:tcMar>
            <w:vAlign w:val="bottom"/>
          </w:tcPr>
          <w:p w14:paraId="1DFB325D"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599B96A" w14:textId="77777777">
        <w:trPr>
          <w:trHeight w:val="255"/>
        </w:trPr>
        <w:tc>
          <w:tcPr>
            <w:tcW w:w="3597" w:type="dxa"/>
            <w:tcBorders>
              <w:top w:val="nil"/>
              <w:left w:val="nil"/>
              <w:bottom w:val="nil"/>
              <w:right w:val="nil"/>
              <w:tl2br w:val="nil"/>
              <w:tr2bl w:val="nil"/>
            </w:tcBorders>
            <w:shd w:val="solid" w:color="016794" w:fill="FFFFFF"/>
            <w:tcMar>
              <w:left w:w="60" w:type="dxa"/>
              <w:right w:w="60" w:type="dxa"/>
            </w:tcMar>
            <w:vAlign w:val="center"/>
          </w:tcPr>
          <w:p w14:paraId="362B3D37" w14:textId="77777777" w:rsidR="00807FFE" w:rsidRDefault="00807FFE">
            <w:pPr>
              <w:pStyle w:val="DMETW36735BIPEUPPE"/>
              <w:jc w:val="right"/>
              <w:rPr>
                <w:rFonts w:ascii="Verdana" w:eastAsia="Verdana" w:hAnsi="Verdana" w:cs="Verdana"/>
                <w:noProof/>
                <w:color w:val="FFFFFF"/>
                <w:sz w:val="16"/>
              </w:rPr>
            </w:pPr>
          </w:p>
        </w:tc>
        <w:tc>
          <w:tcPr>
            <w:tcW w:w="1461" w:type="dxa"/>
            <w:tcBorders>
              <w:top w:val="nil"/>
              <w:left w:val="nil"/>
              <w:bottom w:val="nil"/>
              <w:right w:val="nil"/>
              <w:tl2br w:val="nil"/>
              <w:tr2bl w:val="nil"/>
            </w:tcBorders>
            <w:shd w:val="solid" w:color="016794" w:fill="FFFFFF"/>
            <w:tcMar>
              <w:left w:w="60" w:type="dxa"/>
              <w:right w:w="60" w:type="dxa"/>
            </w:tcMar>
            <w:vAlign w:val="center"/>
          </w:tcPr>
          <w:p w14:paraId="33D8495D" w14:textId="77777777" w:rsidR="00807FFE" w:rsidRDefault="00023E71">
            <w:pPr>
              <w:pStyle w:val="DMETW36735BIPEUPPE"/>
              <w:jc w:val="right"/>
              <w:rPr>
                <w:rFonts w:ascii="Verdana" w:eastAsia="Verdana" w:hAnsi="Verdana" w:cs="Verdana"/>
                <w:noProof/>
                <w:color w:val="FFFFFF"/>
                <w:sz w:val="16"/>
              </w:rPr>
            </w:pPr>
            <w:r>
              <w:rPr>
                <w:rFonts w:ascii="Verdana" w:eastAsia="Verdana" w:hAnsi="Verdana" w:cs="Verdana"/>
                <w:noProof/>
                <w:color w:val="FFFFFF"/>
                <w:sz w:val="16"/>
              </w:rPr>
              <w:t>Land and Buildings</w:t>
            </w:r>
          </w:p>
        </w:tc>
        <w:tc>
          <w:tcPr>
            <w:tcW w:w="1032" w:type="dxa"/>
            <w:tcBorders>
              <w:top w:val="nil"/>
              <w:left w:val="nil"/>
              <w:bottom w:val="nil"/>
              <w:right w:val="nil"/>
              <w:tl2br w:val="nil"/>
              <w:tr2bl w:val="nil"/>
            </w:tcBorders>
            <w:shd w:val="solid" w:color="016794" w:fill="FFFFFF"/>
            <w:tcMar>
              <w:left w:w="60" w:type="dxa"/>
              <w:right w:w="60" w:type="dxa"/>
            </w:tcMar>
            <w:vAlign w:val="center"/>
          </w:tcPr>
          <w:p w14:paraId="0B833B39" w14:textId="77777777" w:rsidR="00807FFE" w:rsidRDefault="00023E71">
            <w:pPr>
              <w:pStyle w:val="DMETW36735BIPEUPPE"/>
              <w:jc w:val="right"/>
              <w:rPr>
                <w:rFonts w:ascii="Verdana" w:eastAsia="Verdana" w:hAnsi="Verdana" w:cs="Verdana"/>
                <w:noProof/>
                <w:color w:val="FFFFFF"/>
                <w:sz w:val="16"/>
              </w:rPr>
            </w:pPr>
            <w:r>
              <w:rPr>
                <w:rFonts w:ascii="Verdana" w:eastAsia="Verdana" w:hAnsi="Verdana" w:cs="Verdana"/>
                <w:noProof/>
                <w:color w:val="FFFFFF"/>
                <w:sz w:val="16"/>
              </w:rPr>
              <w:t>Space assets</w:t>
            </w:r>
          </w:p>
        </w:tc>
        <w:tc>
          <w:tcPr>
            <w:tcW w:w="1025" w:type="dxa"/>
            <w:tcBorders>
              <w:top w:val="nil"/>
              <w:left w:val="nil"/>
              <w:bottom w:val="nil"/>
              <w:right w:val="nil"/>
              <w:tl2br w:val="nil"/>
              <w:tr2bl w:val="nil"/>
            </w:tcBorders>
            <w:shd w:val="solid" w:color="016794" w:fill="FFFFFF"/>
            <w:tcMar>
              <w:left w:w="60" w:type="dxa"/>
              <w:right w:w="60" w:type="dxa"/>
            </w:tcMar>
            <w:vAlign w:val="center"/>
          </w:tcPr>
          <w:p w14:paraId="4483A34B" w14:textId="77777777" w:rsidR="00807FFE" w:rsidRDefault="00023E71">
            <w:pPr>
              <w:pStyle w:val="DMETW36735BIPEUPPE"/>
              <w:jc w:val="right"/>
              <w:rPr>
                <w:rFonts w:ascii="Verdana" w:eastAsia="Verdana" w:hAnsi="Verdana" w:cs="Verdana"/>
                <w:noProof/>
                <w:color w:val="FFFFFF"/>
                <w:sz w:val="16"/>
              </w:rPr>
            </w:pPr>
            <w:r>
              <w:rPr>
                <w:rFonts w:ascii="Verdana" w:eastAsia="Verdana" w:hAnsi="Verdana" w:cs="Verdana"/>
                <w:noProof/>
                <w:color w:val="FFFFFF"/>
                <w:sz w:val="16"/>
              </w:rPr>
              <w:t>Plant and Equipment</w:t>
            </w:r>
          </w:p>
        </w:tc>
        <w:tc>
          <w:tcPr>
            <w:tcW w:w="1247" w:type="dxa"/>
            <w:tcBorders>
              <w:top w:val="nil"/>
              <w:left w:val="nil"/>
              <w:bottom w:val="nil"/>
              <w:right w:val="nil"/>
              <w:tl2br w:val="nil"/>
              <w:tr2bl w:val="nil"/>
            </w:tcBorders>
            <w:shd w:val="solid" w:color="016794" w:fill="FFFFFF"/>
            <w:tcMar>
              <w:left w:w="60" w:type="dxa"/>
              <w:right w:w="60" w:type="dxa"/>
            </w:tcMar>
            <w:vAlign w:val="center"/>
          </w:tcPr>
          <w:p w14:paraId="091C46D2" w14:textId="77777777" w:rsidR="00807FFE" w:rsidRDefault="00023E71">
            <w:pPr>
              <w:pStyle w:val="DMETW36735BIPEUPPE"/>
              <w:jc w:val="right"/>
              <w:rPr>
                <w:rFonts w:ascii="Verdana" w:eastAsia="Verdana" w:hAnsi="Verdana" w:cs="Verdana"/>
                <w:noProof/>
                <w:color w:val="FFFFFF"/>
                <w:sz w:val="16"/>
              </w:rPr>
            </w:pPr>
            <w:r>
              <w:rPr>
                <w:rFonts w:ascii="Verdana" w:eastAsia="Verdana" w:hAnsi="Verdana" w:cs="Verdana"/>
                <w:noProof/>
                <w:color w:val="FFFFFF"/>
                <w:sz w:val="16"/>
              </w:rPr>
              <w:t>Furniture and Vehicles</w:t>
            </w:r>
          </w:p>
        </w:tc>
        <w:tc>
          <w:tcPr>
            <w:tcW w:w="977" w:type="dxa"/>
            <w:tcBorders>
              <w:top w:val="nil"/>
              <w:left w:val="nil"/>
              <w:bottom w:val="nil"/>
              <w:right w:val="nil"/>
              <w:tl2br w:val="nil"/>
              <w:tr2bl w:val="nil"/>
            </w:tcBorders>
            <w:shd w:val="solid" w:color="016794" w:fill="FFFFFF"/>
            <w:tcMar>
              <w:left w:w="60" w:type="dxa"/>
              <w:right w:w="60" w:type="dxa"/>
            </w:tcMar>
            <w:vAlign w:val="center"/>
          </w:tcPr>
          <w:p w14:paraId="1CD5A036" w14:textId="77777777" w:rsidR="00807FFE" w:rsidRDefault="00023E71">
            <w:pPr>
              <w:pStyle w:val="DMETW36735BIPEUPPE"/>
              <w:jc w:val="right"/>
              <w:rPr>
                <w:rFonts w:ascii="Verdana" w:eastAsia="Verdana" w:hAnsi="Verdana" w:cs="Verdana"/>
                <w:noProof/>
                <w:color w:val="FFFFFF"/>
                <w:sz w:val="16"/>
              </w:rPr>
            </w:pPr>
            <w:r>
              <w:rPr>
                <w:rFonts w:ascii="Verdana" w:eastAsia="Verdana" w:hAnsi="Verdana" w:cs="Verdana"/>
                <w:noProof/>
                <w:color w:val="FFFFFF"/>
                <w:sz w:val="16"/>
              </w:rPr>
              <w:t>Computer Hardware</w:t>
            </w:r>
          </w:p>
        </w:tc>
        <w:tc>
          <w:tcPr>
            <w:tcW w:w="906" w:type="dxa"/>
            <w:tcBorders>
              <w:top w:val="nil"/>
              <w:left w:val="nil"/>
              <w:bottom w:val="nil"/>
              <w:right w:val="nil"/>
              <w:tl2br w:val="nil"/>
              <w:tr2bl w:val="nil"/>
            </w:tcBorders>
            <w:shd w:val="solid" w:color="016794" w:fill="FFFFFF"/>
            <w:tcMar>
              <w:left w:w="60" w:type="dxa"/>
              <w:right w:w="60" w:type="dxa"/>
            </w:tcMar>
            <w:vAlign w:val="center"/>
          </w:tcPr>
          <w:p w14:paraId="4A6FFAC1" w14:textId="77777777" w:rsidR="00807FFE" w:rsidRDefault="00023E71">
            <w:pPr>
              <w:pStyle w:val="DMETW36735BIPEUPPE"/>
              <w:jc w:val="right"/>
              <w:rPr>
                <w:rFonts w:ascii="Verdana" w:eastAsia="Verdana" w:hAnsi="Verdana" w:cs="Verdana"/>
                <w:noProof/>
                <w:color w:val="FFFFFF"/>
                <w:sz w:val="16"/>
              </w:rPr>
            </w:pPr>
            <w:r>
              <w:rPr>
                <w:rFonts w:ascii="Verdana" w:eastAsia="Verdana" w:hAnsi="Verdana" w:cs="Verdana"/>
                <w:noProof/>
                <w:color w:val="FFFFFF"/>
                <w:sz w:val="16"/>
              </w:rPr>
              <w:t>Other</w:t>
            </w:r>
          </w:p>
        </w:tc>
        <w:tc>
          <w:tcPr>
            <w:tcW w:w="906" w:type="dxa"/>
            <w:tcBorders>
              <w:top w:val="nil"/>
              <w:left w:val="nil"/>
              <w:bottom w:val="nil"/>
              <w:right w:val="nil"/>
              <w:tl2br w:val="nil"/>
              <w:tr2bl w:val="nil"/>
            </w:tcBorders>
            <w:shd w:val="solid" w:color="016794" w:fill="FFFFFF"/>
            <w:tcMar>
              <w:left w:w="60" w:type="dxa"/>
              <w:right w:w="60" w:type="dxa"/>
            </w:tcMar>
            <w:vAlign w:val="center"/>
          </w:tcPr>
          <w:p w14:paraId="44F38E5D" w14:textId="77777777" w:rsidR="00807FFE" w:rsidRDefault="00023E71">
            <w:pPr>
              <w:pStyle w:val="DMETW36735BIPEUPPE"/>
              <w:jc w:val="right"/>
              <w:rPr>
                <w:rFonts w:ascii="Verdana" w:eastAsia="Verdana" w:hAnsi="Verdana" w:cs="Verdana"/>
                <w:noProof/>
                <w:color w:val="FFFFFF"/>
                <w:sz w:val="16"/>
              </w:rPr>
            </w:pPr>
            <w:r>
              <w:rPr>
                <w:rFonts w:ascii="Verdana" w:eastAsia="Verdana" w:hAnsi="Verdana" w:cs="Verdana"/>
                <w:noProof/>
                <w:color w:val="FFFFFF"/>
                <w:sz w:val="16"/>
              </w:rPr>
              <w:t>Finance leases</w:t>
            </w:r>
          </w:p>
        </w:tc>
        <w:tc>
          <w:tcPr>
            <w:tcW w:w="1339" w:type="dxa"/>
            <w:tcBorders>
              <w:top w:val="nil"/>
              <w:left w:val="nil"/>
              <w:bottom w:val="nil"/>
              <w:right w:val="nil"/>
              <w:tl2br w:val="nil"/>
              <w:tr2bl w:val="nil"/>
            </w:tcBorders>
            <w:shd w:val="solid" w:color="016794" w:fill="FFFFFF"/>
            <w:tcMar>
              <w:left w:w="60" w:type="dxa"/>
              <w:right w:w="60" w:type="dxa"/>
            </w:tcMar>
            <w:vAlign w:val="center"/>
          </w:tcPr>
          <w:p w14:paraId="4EA94DDE" w14:textId="77777777" w:rsidR="00807FFE" w:rsidRDefault="00023E71">
            <w:pPr>
              <w:pStyle w:val="DMETW36735BIPEUPPE"/>
              <w:jc w:val="right"/>
              <w:rPr>
                <w:rFonts w:ascii="Verdana" w:eastAsia="Verdana" w:hAnsi="Verdana" w:cs="Verdana"/>
                <w:noProof/>
                <w:color w:val="FFFFFF"/>
                <w:sz w:val="16"/>
              </w:rPr>
            </w:pPr>
            <w:r>
              <w:rPr>
                <w:rFonts w:ascii="Verdana" w:eastAsia="Verdana" w:hAnsi="Verdana" w:cs="Verdana"/>
                <w:noProof/>
                <w:color w:val="FFFFFF"/>
                <w:sz w:val="16"/>
              </w:rPr>
              <w:t xml:space="preserve"> Assets under construction</w:t>
            </w:r>
          </w:p>
        </w:tc>
        <w:tc>
          <w:tcPr>
            <w:tcW w:w="1025" w:type="dxa"/>
            <w:tcBorders>
              <w:top w:val="nil"/>
              <w:left w:val="nil"/>
              <w:bottom w:val="nil"/>
              <w:right w:val="nil"/>
              <w:tl2br w:val="nil"/>
              <w:tr2bl w:val="nil"/>
            </w:tcBorders>
            <w:shd w:val="solid" w:color="016794" w:fill="FFFFFF"/>
            <w:tcMar>
              <w:left w:w="60" w:type="dxa"/>
              <w:right w:w="60" w:type="dxa"/>
            </w:tcMar>
            <w:vAlign w:val="center"/>
          </w:tcPr>
          <w:p w14:paraId="501D0D72" w14:textId="77777777" w:rsidR="00807FFE" w:rsidRDefault="00023E71">
            <w:pPr>
              <w:pStyle w:val="DMETW36735BIPEUPPE"/>
              <w:jc w:val="right"/>
              <w:rPr>
                <w:rFonts w:ascii="Verdana" w:eastAsia="Verdana" w:hAnsi="Verdana" w:cs="Verdana"/>
                <w:noProof/>
                <w:color w:val="FFFFFF"/>
                <w:sz w:val="16"/>
                <w:lang w:bidi="en-GB"/>
              </w:rPr>
            </w:pPr>
            <w:r>
              <w:rPr>
                <w:rFonts w:ascii="Verdana" w:eastAsia="Verdana" w:hAnsi="Verdana" w:cs="Verdana"/>
                <w:noProof/>
                <w:color w:val="FFFFFF"/>
                <w:sz w:val="16"/>
              </w:rPr>
              <w:t>Total</w:t>
            </w:r>
          </w:p>
        </w:tc>
      </w:tr>
      <w:tr w:rsidR="00807FFE" w14:paraId="1E5484C7"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756AD9AB"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Gross carrying amount at 31.12.2024</w:t>
            </w:r>
          </w:p>
        </w:tc>
        <w:tc>
          <w:tcPr>
            <w:tcW w:w="1461" w:type="dxa"/>
            <w:tcBorders>
              <w:top w:val="nil"/>
              <w:left w:val="nil"/>
              <w:bottom w:val="nil"/>
              <w:right w:val="nil"/>
              <w:tl2br w:val="nil"/>
              <w:tr2bl w:val="nil"/>
            </w:tcBorders>
            <w:tcMar>
              <w:left w:w="60" w:type="dxa"/>
              <w:right w:w="60" w:type="dxa"/>
            </w:tcMar>
            <w:vAlign w:val="center"/>
          </w:tcPr>
          <w:p w14:paraId="1F2D5DE0"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6 528</w:t>
            </w:r>
          </w:p>
        </w:tc>
        <w:tc>
          <w:tcPr>
            <w:tcW w:w="1032" w:type="dxa"/>
            <w:tcBorders>
              <w:top w:val="nil"/>
              <w:left w:val="nil"/>
              <w:bottom w:val="nil"/>
              <w:right w:val="nil"/>
              <w:tl2br w:val="nil"/>
              <w:tr2bl w:val="nil"/>
            </w:tcBorders>
            <w:tcMar>
              <w:left w:w="60" w:type="dxa"/>
              <w:right w:w="60" w:type="dxa"/>
            </w:tcMar>
            <w:vAlign w:val="center"/>
          </w:tcPr>
          <w:p w14:paraId="2A770B74"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9 056</w:t>
            </w:r>
          </w:p>
        </w:tc>
        <w:tc>
          <w:tcPr>
            <w:tcW w:w="1025" w:type="dxa"/>
            <w:tcBorders>
              <w:top w:val="nil"/>
              <w:left w:val="nil"/>
              <w:bottom w:val="nil"/>
              <w:right w:val="nil"/>
              <w:tl2br w:val="nil"/>
              <w:tr2bl w:val="nil"/>
            </w:tcBorders>
            <w:tcMar>
              <w:left w:w="60" w:type="dxa"/>
              <w:right w:w="60" w:type="dxa"/>
            </w:tcMar>
            <w:vAlign w:val="center"/>
          </w:tcPr>
          <w:p w14:paraId="33FF3A02"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483</w:t>
            </w:r>
          </w:p>
        </w:tc>
        <w:tc>
          <w:tcPr>
            <w:tcW w:w="1247" w:type="dxa"/>
            <w:tcBorders>
              <w:top w:val="nil"/>
              <w:left w:val="nil"/>
              <w:bottom w:val="nil"/>
              <w:right w:val="nil"/>
              <w:tl2br w:val="nil"/>
              <w:tr2bl w:val="nil"/>
            </w:tcBorders>
            <w:tcMar>
              <w:left w:w="60" w:type="dxa"/>
              <w:right w:w="60" w:type="dxa"/>
            </w:tcMar>
            <w:vAlign w:val="center"/>
          </w:tcPr>
          <w:p w14:paraId="61612289"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255</w:t>
            </w:r>
          </w:p>
        </w:tc>
        <w:tc>
          <w:tcPr>
            <w:tcW w:w="977" w:type="dxa"/>
            <w:tcBorders>
              <w:top w:val="nil"/>
              <w:left w:val="nil"/>
              <w:bottom w:val="nil"/>
              <w:right w:val="nil"/>
              <w:tl2br w:val="nil"/>
              <w:tr2bl w:val="nil"/>
            </w:tcBorders>
            <w:tcMar>
              <w:left w:w="60" w:type="dxa"/>
              <w:right w:w="60" w:type="dxa"/>
            </w:tcMar>
            <w:vAlign w:val="center"/>
          </w:tcPr>
          <w:p w14:paraId="6676CA5E"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714</w:t>
            </w:r>
          </w:p>
        </w:tc>
        <w:tc>
          <w:tcPr>
            <w:tcW w:w="906" w:type="dxa"/>
            <w:tcBorders>
              <w:top w:val="nil"/>
              <w:left w:val="nil"/>
              <w:bottom w:val="nil"/>
              <w:right w:val="nil"/>
              <w:tl2br w:val="nil"/>
              <w:tr2bl w:val="nil"/>
            </w:tcBorders>
            <w:tcMar>
              <w:left w:w="60" w:type="dxa"/>
              <w:right w:w="60" w:type="dxa"/>
            </w:tcMar>
            <w:vAlign w:val="center"/>
          </w:tcPr>
          <w:p w14:paraId="763E67DD"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308</w:t>
            </w:r>
          </w:p>
        </w:tc>
        <w:tc>
          <w:tcPr>
            <w:tcW w:w="906" w:type="dxa"/>
            <w:tcBorders>
              <w:top w:val="nil"/>
              <w:left w:val="nil"/>
              <w:bottom w:val="nil"/>
              <w:right w:val="nil"/>
              <w:tl2br w:val="nil"/>
              <w:tr2bl w:val="nil"/>
            </w:tcBorders>
            <w:tcMar>
              <w:left w:w="60" w:type="dxa"/>
              <w:right w:w="60" w:type="dxa"/>
            </w:tcMar>
            <w:vAlign w:val="center"/>
          </w:tcPr>
          <w:p w14:paraId="532382D1"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2 075</w:t>
            </w:r>
          </w:p>
        </w:tc>
        <w:tc>
          <w:tcPr>
            <w:tcW w:w="1339" w:type="dxa"/>
            <w:tcBorders>
              <w:top w:val="nil"/>
              <w:left w:val="nil"/>
              <w:bottom w:val="nil"/>
              <w:right w:val="nil"/>
              <w:tl2br w:val="nil"/>
              <w:tr2bl w:val="nil"/>
            </w:tcBorders>
            <w:tcMar>
              <w:left w:w="60" w:type="dxa"/>
              <w:right w:w="60" w:type="dxa"/>
            </w:tcMar>
            <w:vAlign w:val="center"/>
          </w:tcPr>
          <w:p w14:paraId="145E7DBF"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6 528</w:t>
            </w:r>
          </w:p>
        </w:tc>
        <w:tc>
          <w:tcPr>
            <w:tcW w:w="1025" w:type="dxa"/>
            <w:tcBorders>
              <w:top w:val="nil"/>
              <w:left w:val="nil"/>
              <w:bottom w:val="nil"/>
              <w:right w:val="nil"/>
              <w:tl2br w:val="nil"/>
              <w:tr2bl w:val="nil"/>
            </w:tcBorders>
            <w:tcMar>
              <w:left w:w="60" w:type="dxa"/>
              <w:right w:w="60" w:type="dxa"/>
            </w:tcMar>
            <w:vAlign w:val="center"/>
          </w:tcPr>
          <w:p w14:paraId="080AB87F"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25 945</w:t>
            </w:r>
          </w:p>
        </w:tc>
      </w:tr>
      <w:tr w:rsidR="00807FFE" w14:paraId="4E719518"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2B769951"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Additions</w:t>
            </w:r>
          </w:p>
        </w:tc>
        <w:tc>
          <w:tcPr>
            <w:tcW w:w="1461" w:type="dxa"/>
            <w:tcBorders>
              <w:top w:val="nil"/>
              <w:left w:val="nil"/>
              <w:bottom w:val="nil"/>
              <w:right w:val="nil"/>
              <w:tl2br w:val="nil"/>
              <w:tr2bl w:val="nil"/>
            </w:tcBorders>
            <w:tcMar>
              <w:left w:w="60" w:type="dxa"/>
              <w:right w:w="60" w:type="dxa"/>
            </w:tcMar>
            <w:vAlign w:val="center"/>
          </w:tcPr>
          <w:p w14:paraId="7FE475CA"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44</w:t>
            </w:r>
          </w:p>
        </w:tc>
        <w:tc>
          <w:tcPr>
            <w:tcW w:w="1032" w:type="dxa"/>
            <w:tcBorders>
              <w:top w:val="nil"/>
              <w:left w:val="nil"/>
              <w:bottom w:val="nil"/>
              <w:right w:val="nil"/>
              <w:tl2br w:val="nil"/>
              <w:tr2bl w:val="nil"/>
            </w:tcBorders>
            <w:tcMar>
              <w:left w:w="60" w:type="dxa"/>
              <w:right w:w="60" w:type="dxa"/>
            </w:tcMar>
            <w:vAlign w:val="center"/>
          </w:tcPr>
          <w:p w14:paraId="7A87BD84"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w:t>
            </w:r>
          </w:p>
        </w:tc>
        <w:tc>
          <w:tcPr>
            <w:tcW w:w="1025" w:type="dxa"/>
            <w:tcBorders>
              <w:top w:val="nil"/>
              <w:left w:val="nil"/>
              <w:bottom w:val="nil"/>
              <w:right w:val="nil"/>
              <w:tl2br w:val="nil"/>
              <w:tr2bl w:val="nil"/>
            </w:tcBorders>
            <w:tcMar>
              <w:left w:w="60" w:type="dxa"/>
              <w:right w:w="60" w:type="dxa"/>
            </w:tcMar>
            <w:vAlign w:val="center"/>
          </w:tcPr>
          <w:p w14:paraId="447E69F6"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23</w:t>
            </w:r>
          </w:p>
        </w:tc>
        <w:tc>
          <w:tcPr>
            <w:tcW w:w="1247" w:type="dxa"/>
            <w:tcBorders>
              <w:top w:val="nil"/>
              <w:left w:val="nil"/>
              <w:bottom w:val="nil"/>
              <w:right w:val="nil"/>
              <w:tl2br w:val="nil"/>
              <w:tr2bl w:val="nil"/>
            </w:tcBorders>
            <w:tcMar>
              <w:left w:w="60" w:type="dxa"/>
              <w:right w:w="60" w:type="dxa"/>
            </w:tcMar>
            <w:vAlign w:val="center"/>
          </w:tcPr>
          <w:p w14:paraId="40B3E9B2"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13</w:t>
            </w:r>
          </w:p>
        </w:tc>
        <w:tc>
          <w:tcPr>
            <w:tcW w:w="977" w:type="dxa"/>
            <w:tcBorders>
              <w:top w:val="nil"/>
              <w:left w:val="nil"/>
              <w:bottom w:val="nil"/>
              <w:right w:val="nil"/>
              <w:tl2br w:val="nil"/>
              <w:tr2bl w:val="nil"/>
            </w:tcBorders>
            <w:tcMar>
              <w:left w:w="60" w:type="dxa"/>
              <w:right w:w="60" w:type="dxa"/>
            </w:tcMar>
            <w:vAlign w:val="center"/>
          </w:tcPr>
          <w:p w14:paraId="511917A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76</w:t>
            </w:r>
          </w:p>
        </w:tc>
        <w:tc>
          <w:tcPr>
            <w:tcW w:w="906" w:type="dxa"/>
            <w:tcBorders>
              <w:top w:val="nil"/>
              <w:left w:val="nil"/>
              <w:bottom w:val="nil"/>
              <w:right w:val="nil"/>
              <w:tl2br w:val="nil"/>
              <w:tr2bl w:val="nil"/>
            </w:tcBorders>
            <w:tcMar>
              <w:left w:w="60" w:type="dxa"/>
              <w:right w:w="60" w:type="dxa"/>
            </w:tcMar>
            <w:vAlign w:val="center"/>
          </w:tcPr>
          <w:p w14:paraId="4AAD07CE"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14</w:t>
            </w:r>
          </w:p>
        </w:tc>
        <w:tc>
          <w:tcPr>
            <w:tcW w:w="906" w:type="dxa"/>
            <w:tcBorders>
              <w:top w:val="nil"/>
              <w:left w:val="nil"/>
              <w:bottom w:val="nil"/>
              <w:right w:val="nil"/>
              <w:tl2br w:val="nil"/>
              <w:tr2bl w:val="nil"/>
            </w:tcBorders>
            <w:tcMar>
              <w:left w:w="60" w:type="dxa"/>
              <w:right w:w="60" w:type="dxa"/>
            </w:tcMar>
            <w:vAlign w:val="center"/>
          </w:tcPr>
          <w:p w14:paraId="6B115522"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5</w:t>
            </w:r>
          </w:p>
        </w:tc>
        <w:tc>
          <w:tcPr>
            <w:tcW w:w="1339" w:type="dxa"/>
            <w:tcBorders>
              <w:top w:val="nil"/>
              <w:left w:val="nil"/>
              <w:bottom w:val="nil"/>
              <w:right w:val="nil"/>
              <w:tl2br w:val="nil"/>
              <w:tr2bl w:val="nil"/>
            </w:tcBorders>
            <w:tcMar>
              <w:left w:w="60" w:type="dxa"/>
              <w:right w:w="60" w:type="dxa"/>
            </w:tcMar>
            <w:vAlign w:val="center"/>
          </w:tcPr>
          <w:p w14:paraId="12FBD764"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2 029</w:t>
            </w:r>
          </w:p>
        </w:tc>
        <w:tc>
          <w:tcPr>
            <w:tcW w:w="1025" w:type="dxa"/>
            <w:tcBorders>
              <w:top w:val="nil"/>
              <w:left w:val="nil"/>
              <w:bottom w:val="nil"/>
              <w:right w:val="nil"/>
              <w:tl2br w:val="nil"/>
              <w:tr2bl w:val="nil"/>
            </w:tcBorders>
            <w:tcMar>
              <w:left w:w="60" w:type="dxa"/>
              <w:right w:w="60" w:type="dxa"/>
            </w:tcMar>
            <w:vAlign w:val="center"/>
          </w:tcPr>
          <w:p w14:paraId="6282C94E"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2 205</w:t>
            </w:r>
          </w:p>
        </w:tc>
      </w:tr>
      <w:tr w:rsidR="00807FFE" w14:paraId="1FEC6837"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767198CD"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Disposals</w:t>
            </w:r>
          </w:p>
        </w:tc>
        <w:tc>
          <w:tcPr>
            <w:tcW w:w="1461" w:type="dxa"/>
            <w:tcBorders>
              <w:top w:val="nil"/>
              <w:left w:val="nil"/>
              <w:bottom w:val="nil"/>
              <w:right w:val="nil"/>
              <w:tl2br w:val="nil"/>
              <w:tr2bl w:val="nil"/>
            </w:tcBorders>
            <w:tcMar>
              <w:left w:w="60" w:type="dxa"/>
              <w:right w:w="60" w:type="dxa"/>
            </w:tcMar>
            <w:vAlign w:val="center"/>
          </w:tcPr>
          <w:p w14:paraId="7EFFDD91"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(9)</w:t>
            </w:r>
          </w:p>
        </w:tc>
        <w:tc>
          <w:tcPr>
            <w:tcW w:w="1032" w:type="dxa"/>
            <w:tcBorders>
              <w:top w:val="nil"/>
              <w:left w:val="nil"/>
              <w:bottom w:val="nil"/>
              <w:right w:val="nil"/>
              <w:tl2br w:val="nil"/>
              <w:tr2bl w:val="nil"/>
            </w:tcBorders>
            <w:tcMar>
              <w:left w:w="60" w:type="dxa"/>
              <w:right w:w="60" w:type="dxa"/>
            </w:tcMar>
            <w:vAlign w:val="center"/>
          </w:tcPr>
          <w:p w14:paraId="38E3EF80"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(113)</w:t>
            </w:r>
          </w:p>
        </w:tc>
        <w:tc>
          <w:tcPr>
            <w:tcW w:w="1025" w:type="dxa"/>
            <w:tcBorders>
              <w:top w:val="nil"/>
              <w:left w:val="nil"/>
              <w:bottom w:val="nil"/>
              <w:right w:val="nil"/>
              <w:tl2br w:val="nil"/>
              <w:tr2bl w:val="nil"/>
            </w:tcBorders>
            <w:tcMar>
              <w:left w:w="60" w:type="dxa"/>
              <w:right w:w="60" w:type="dxa"/>
            </w:tcMar>
            <w:vAlign w:val="center"/>
          </w:tcPr>
          <w:p w14:paraId="1B67C3AA"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(24)</w:t>
            </w:r>
          </w:p>
        </w:tc>
        <w:tc>
          <w:tcPr>
            <w:tcW w:w="1247" w:type="dxa"/>
            <w:tcBorders>
              <w:top w:val="nil"/>
              <w:left w:val="nil"/>
              <w:bottom w:val="nil"/>
              <w:right w:val="nil"/>
              <w:tl2br w:val="nil"/>
              <w:tr2bl w:val="nil"/>
            </w:tcBorders>
            <w:tcMar>
              <w:left w:w="60" w:type="dxa"/>
              <w:right w:w="60" w:type="dxa"/>
            </w:tcMar>
            <w:vAlign w:val="center"/>
          </w:tcPr>
          <w:p w14:paraId="76CA1324"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(37)</w:t>
            </w:r>
          </w:p>
        </w:tc>
        <w:tc>
          <w:tcPr>
            <w:tcW w:w="977" w:type="dxa"/>
            <w:tcBorders>
              <w:top w:val="nil"/>
              <w:left w:val="nil"/>
              <w:bottom w:val="nil"/>
              <w:right w:val="nil"/>
              <w:tl2br w:val="nil"/>
              <w:tr2bl w:val="nil"/>
            </w:tcBorders>
            <w:tcMar>
              <w:left w:w="60" w:type="dxa"/>
              <w:right w:w="60" w:type="dxa"/>
            </w:tcMar>
            <w:vAlign w:val="center"/>
          </w:tcPr>
          <w:p w14:paraId="414D49BC"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(87)</w:t>
            </w:r>
          </w:p>
        </w:tc>
        <w:tc>
          <w:tcPr>
            <w:tcW w:w="906" w:type="dxa"/>
            <w:tcBorders>
              <w:top w:val="nil"/>
              <w:left w:val="nil"/>
              <w:bottom w:val="nil"/>
              <w:right w:val="nil"/>
              <w:tl2br w:val="nil"/>
              <w:tr2bl w:val="nil"/>
            </w:tcBorders>
            <w:tcMar>
              <w:left w:w="60" w:type="dxa"/>
              <w:right w:w="60" w:type="dxa"/>
            </w:tcMar>
            <w:vAlign w:val="center"/>
          </w:tcPr>
          <w:p w14:paraId="4D127C4D"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(35)</w:t>
            </w:r>
          </w:p>
        </w:tc>
        <w:tc>
          <w:tcPr>
            <w:tcW w:w="906" w:type="dxa"/>
            <w:tcBorders>
              <w:top w:val="nil"/>
              <w:left w:val="nil"/>
              <w:bottom w:val="nil"/>
              <w:right w:val="nil"/>
              <w:tl2br w:val="nil"/>
              <w:tr2bl w:val="nil"/>
            </w:tcBorders>
            <w:tcMar>
              <w:left w:w="60" w:type="dxa"/>
              <w:right w:w="60" w:type="dxa"/>
            </w:tcMar>
            <w:vAlign w:val="center"/>
          </w:tcPr>
          <w:p w14:paraId="593768FE"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w:t>
            </w:r>
          </w:p>
        </w:tc>
        <w:tc>
          <w:tcPr>
            <w:tcW w:w="1339" w:type="dxa"/>
            <w:tcBorders>
              <w:top w:val="nil"/>
              <w:left w:val="nil"/>
              <w:bottom w:val="nil"/>
              <w:right w:val="nil"/>
              <w:tl2br w:val="nil"/>
              <w:tr2bl w:val="nil"/>
            </w:tcBorders>
            <w:tcMar>
              <w:left w:w="60" w:type="dxa"/>
              <w:right w:w="60" w:type="dxa"/>
            </w:tcMar>
            <w:vAlign w:val="center"/>
          </w:tcPr>
          <w:p w14:paraId="3DC3BC01"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025" w:type="dxa"/>
            <w:tcBorders>
              <w:top w:val="nil"/>
              <w:left w:val="nil"/>
              <w:bottom w:val="nil"/>
              <w:right w:val="nil"/>
              <w:tl2br w:val="nil"/>
              <w:tr2bl w:val="nil"/>
            </w:tcBorders>
            <w:tcMar>
              <w:left w:w="60" w:type="dxa"/>
              <w:right w:w="60" w:type="dxa"/>
            </w:tcMar>
            <w:vAlign w:val="center"/>
          </w:tcPr>
          <w:p w14:paraId="19104324"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(306)</w:t>
            </w:r>
          </w:p>
        </w:tc>
      </w:tr>
      <w:tr w:rsidR="00807FFE" w14:paraId="79DFFBC8"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4B66B8EE"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Transfer between asset categories</w:t>
            </w:r>
          </w:p>
        </w:tc>
        <w:tc>
          <w:tcPr>
            <w:tcW w:w="1461" w:type="dxa"/>
            <w:tcBorders>
              <w:top w:val="nil"/>
              <w:left w:val="nil"/>
              <w:bottom w:val="nil"/>
              <w:right w:val="nil"/>
              <w:tl2br w:val="nil"/>
              <w:tr2bl w:val="nil"/>
            </w:tcBorders>
            <w:tcMar>
              <w:left w:w="60" w:type="dxa"/>
              <w:right w:w="60" w:type="dxa"/>
            </w:tcMar>
            <w:vAlign w:val="center"/>
          </w:tcPr>
          <w:p w14:paraId="3ED1701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73</w:t>
            </w:r>
          </w:p>
        </w:tc>
        <w:tc>
          <w:tcPr>
            <w:tcW w:w="1032" w:type="dxa"/>
            <w:tcBorders>
              <w:top w:val="nil"/>
              <w:left w:val="nil"/>
              <w:bottom w:val="nil"/>
              <w:right w:val="nil"/>
              <w:tl2br w:val="nil"/>
              <w:tr2bl w:val="nil"/>
            </w:tcBorders>
            <w:tcMar>
              <w:left w:w="60" w:type="dxa"/>
              <w:right w:w="60" w:type="dxa"/>
            </w:tcMar>
            <w:vAlign w:val="center"/>
          </w:tcPr>
          <w:p w14:paraId="03C5A582"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811</w:t>
            </w:r>
          </w:p>
        </w:tc>
        <w:tc>
          <w:tcPr>
            <w:tcW w:w="1025" w:type="dxa"/>
            <w:tcBorders>
              <w:top w:val="nil"/>
              <w:left w:val="nil"/>
              <w:bottom w:val="nil"/>
              <w:right w:val="nil"/>
              <w:tl2br w:val="nil"/>
              <w:tr2bl w:val="nil"/>
            </w:tcBorders>
            <w:tcMar>
              <w:left w:w="60" w:type="dxa"/>
              <w:right w:w="60" w:type="dxa"/>
            </w:tcMar>
            <w:vAlign w:val="center"/>
          </w:tcPr>
          <w:p w14:paraId="506B1177"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247" w:type="dxa"/>
            <w:tcBorders>
              <w:top w:val="nil"/>
              <w:left w:val="nil"/>
              <w:bottom w:val="nil"/>
              <w:right w:val="nil"/>
              <w:tl2br w:val="nil"/>
              <w:tr2bl w:val="nil"/>
            </w:tcBorders>
            <w:tcMar>
              <w:left w:w="60" w:type="dxa"/>
              <w:right w:w="60" w:type="dxa"/>
            </w:tcMar>
            <w:vAlign w:val="center"/>
          </w:tcPr>
          <w:p w14:paraId="3689E6A3"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77" w:type="dxa"/>
            <w:tcBorders>
              <w:top w:val="nil"/>
              <w:left w:val="nil"/>
              <w:bottom w:val="nil"/>
              <w:right w:val="nil"/>
              <w:tl2br w:val="nil"/>
              <w:tr2bl w:val="nil"/>
            </w:tcBorders>
            <w:tcMar>
              <w:left w:w="60" w:type="dxa"/>
              <w:right w:w="60" w:type="dxa"/>
            </w:tcMar>
            <w:vAlign w:val="center"/>
          </w:tcPr>
          <w:p w14:paraId="6361BDF9"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06" w:type="dxa"/>
            <w:tcBorders>
              <w:top w:val="nil"/>
              <w:left w:val="nil"/>
              <w:bottom w:val="nil"/>
              <w:right w:val="nil"/>
              <w:tl2br w:val="nil"/>
              <w:tr2bl w:val="nil"/>
            </w:tcBorders>
            <w:tcMar>
              <w:left w:w="60" w:type="dxa"/>
              <w:right w:w="60" w:type="dxa"/>
            </w:tcMar>
            <w:vAlign w:val="center"/>
          </w:tcPr>
          <w:p w14:paraId="37C1F397"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w:t>
            </w:r>
          </w:p>
        </w:tc>
        <w:tc>
          <w:tcPr>
            <w:tcW w:w="906" w:type="dxa"/>
            <w:tcBorders>
              <w:top w:val="nil"/>
              <w:left w:val="nil"/>
              <w:bottom w:val="nil"/>
              <w:right w:val="nil"/>
              <w:tl2br w:val="nil"/>
              <w:tr2bl w:val="nil"/>
            </w:tcBorders>
            <w:tcMar>
              <w:left w:w="60" w:type="dxa"/>
              <w:right w:w="60" w:type="dxa"/>
            </w:tcMar>
            <w:vAlign w:val="center"/>
          </w:tcPr>
          <w:p w14:paraId="26AAC48B"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39" w:type="dxa"/>
            <w:tcBorders>
              <w:top w:val="nil"/>
              <w:left w:val="nil"/>
              <w:bottom w:val="nil"/>
              <w:right w:val="nil"/>
              <w:tl2br w:val="nil"/>
              <w:tr2bl w:val="nil"/>
            </w:tcBorders>
            <w:tcMar>
              <w:left w:w="60" w:type="dxa"/>
              <w:right w:w="60" w:type="dxa"/>
            </w:tcMar>
            <w:vAlign w:val="center"/>
          </w:tcPr>
          <w:p w14:paraId="0042D66D"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(886)</w:t>
            </w:r>
          </w:p>
        </w:tc>
        <w:tc>
          <w:tcPr>
            <w:tcW w:w="1025" w:type="dxa"/>
            <w:tcBorders>
              <w:top w:val="nil"/>
              <w:left w:val="nil"/>
              <w:bottom w:val="nil"/>
              <w:right w:val="nil"/>
              <w:tl2br w:val="nil"/>
              <w:tr2bl w:val="nil"/>
            </w:tcBorders>
            <w:tcMar>
              <w:left w:w="60" w:type="dxa"/>
              <w:right w:w="60" w:type="dxa"/>
            </w:tcMar>
            <w:vAlign w:val="center"/>
          </w:tcPr>
          <w:p w14:paraId="1F28C37B"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(0)</w:t>
            </w:r>
          </w:p>
        </w:tc>
      </w:tr>
      <w:tr w:rsidR="00807FFE" w14:paraId="7C3726EC" w14:textId="77777777">
        <w:trPr>
          <w:trHeight w:val="255"/>
        </w:trPr>
        <w:tc>
          <w:tcPr>
            <w:tcW w:w="3597" w:type="dxa"/>
            <w:tcBorders>
              <w:top w:val="nil"/>
              <w:left w:val="nil"/>
              <w:bottom w:val="single" w:sz="4" w:space="0" w:color="016794"/>
              <w:right w:val="nil"/>
              <w:tl2br w:val="nil"/>
              <w:tr2bl w:val="nil"/>
            </w:tcBorders>
            <w:tcMar>
              <w:left w:w="60" w:type="dxa"/>
              <w:right w:w="60" w:type="dxa"/>
            </w:tcMar>
            <w:vAlign w:val="center"/>
          </w:tcPr>
          <w:p w14:paraId="20CB156E"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Other changes</w:t>
            </w:r>
          </w:p>
        </w:tc>
        <w:tc>
          <w:tcPr>
            <w:tcW w:w="1461" w:type="dxa"/>
            <w:tcBorders>
              <w:top w:val="nil"/>
              <w:left w:val="nil"/>
              <w:bottom w:val="single" w:sz="4" w:space="0" w:color="016794"/>
              <w:right w:val="nil"/>
              <w:tl2br w:val="nil"/>
              <w:tr2bl w:val="nil"/>
            </w:tcBorders>
            <w:tcMar>
              <w:left w:w="60" w:type="dxa"/>
              <w:right w:w="60" w:type="dxa"/>
            </w:tcMar>
            <w:vAlign w:val="center"/>
          </w:tcPr>
          <w:p w14:paraId="2A01D47C"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(3)</w:t>
            </w:r>
          </w:p>
        </w:tc>
        <w:tc>
          <w:tcPr>
            <w:tcW w:w="1032" w:type="dxa"/>
            <w:tcBorders>
              <w:top w:val="nil"/>
              <w:left w:val="nil"/>
              <w:bottom w:val="single" w:sz="4" w:space="0" w:color="016794"/>
              <w:right w:val="nil"/>
              <w:tl2br w:val="nil"/>
              <w:tr2bl w:val="nil"/>
            </w:tcBorders>
            <w:tcMar>
              <w:left w:w="60" w:type="dxa"/>
              <w:right w:w="60" w:type="dxa"/>
            </w:tcMar>
            <w:vAlign w:val="center"/>
          </w:tcPr>
          <w:p w14:paraId="23416361"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25" w:type="dxa"/>
            <w:tcBorders>
              <w:top w:val="nil"/>
              <w:left w:val="nil"/>
              <w:bottom w:val="single" w:sz="4" w:space="0" w:color="016794"/>
              <w:right w:val="nil"/>
              <w:tl2br w:val="nil"/>
              <w:tr2bl w:val="nil"/>
            </w:tcBorders>
            <w:tcMar>
              <w:left w:w="60" w:type="dxa"/>
              <w:right w:w="60" w:type="dxa"/>
            </w:tcMar>
            <w:vAlign w:val="center"/>
          </w:tcPr>
          <w:p w14:paraId="1E8E3AE9"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247" w:type="dxa"/>
            <w:tcBorders>
              <w:top w:val="nil"/>
              <w:left w:val="nil"/>
              <w:bottom w:val="single" w:sz="4" w:space="0" w:color="016794"/>
              <w:right w:val="nil"/>
              <w:tl2br w:val="nil"/>
              <w:tr2bl w:val="nil"/>
            </w:tcBorders>
            <w:tcMar>
              <w:left w:w="60" w:type="dxa"/>
              <w:right w:w="60" w:type="dxa"/>
            </w:tcMar>
            <w:vAlign w:val="center"/>
          </w:tcPr>
          <w:p w14:paraId="5176B8BC"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77" w:type="dxa"/>
            <w:tcBorders>
              <w:top w:val="nil"/>
              <w:left w:val="nil"/>
              <w:bottom w:val="single" w:sz="4" w:space="0" w:color="016794"/>
              <w:right w:val="nil"/>
              <w:tl2br w:val="nil"/>
              <w:tr2bl w:val="nil"/>
            </w:tcBorders>
            <w:tcMar>
              <w:left w:w="60" w:type="dxa"/>
              <w:right w:w="60" w:type="dxa"/>
            </w:tcMar>
            <w:vAlign w:val="center"/>
          </w:tcPr>
          <w:p w14:paraId="5299F80F"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w:t>
            </w:r>
          </w:p>
        </w:tc>
        <w:tc>
          <w:tcPr>
            <w:tcW w:w="906" w:type="dxa"/>
            <w:tcBorders>
              <w:top w:val="nil"/>
              <w:left w:val="nil"/>
              <w:bottom w:val="single" w:sz="4" w:space="0" w:color="016794"/>
              <w:right w:val="nil"/>
              <w:tl2br w:val="nil"/>
              <w:tr2bl w:val="nil"/>
            </w:tcBorders>
            <w:tcMar>
              <w:left w:w="60" w:type="dxa"/>
              <w:right w:w="60" w:type="dxa"/>
            </w:tcMar>
            <w:vAlign w:val="center"/>
          </w:tcPr>
          <w:p w14:paraId="77CE49A3"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06" w:type="dxa"/>
            <w:tcBorders>
              <w:top w:val="nil"/>
              <w:left w:val="nil"/>
              <w:bottom w:val="single" w:sz="4" w:space="0" w:color="016794"/>
              <w:right w:val="nil"/>
              <w:tl2br w:val="nil"/>
              <w:tr2bl w:val="nil"/>
            </w:tcBorders>
            <w:tcMar>
              <w:left w:w="60" w:type="dxa"/>
              <w:right w:w="60" w:type="dxa"/>
            </w:tcMar>
            <w:vAlign w:val="center"/>
          </w:tcPr>
          <w:p w14:paraId="3FEBEB86"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39" w:type="dxa"/>
            <w:tcBorders>
              <w:top w:val="nil"/>
              <w:left w:val="nil"/>
              <w:bottom w:val="single" w:sz="4" w:space="0" w:color="016794"/>
              <w:right w:val="nil"/>
              <w:tl2br w:val="nil"/>
              <w:tr2bl w:val="nil"/>
            </w:tcBorders>
            <w:tcMar>
              <w:left w:w="60" w:type="dxa"/>
              <w:right w:w="60" w:type="dxa"/>
            </w:tcMar>
            <w:vAlign w:val="center"/>
          </w:tcPr>
          <w:p w14:paraId="58B75084"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25" w:type="dxa"/>
            <w:tcBorders>
              <w:top w:val="nil"/>
              <w:left w:val="nil"/>
              <w:bottom w:val="single" w:sz="4" w:space="0" w:color="016794"/>
              <w:right w:val="nil"/>
              <w:tl2br w:val="nil"/>
              <w:tr2bl w:val="nil"/>
            </w:tcBorders>
            <w:tcMar>
              <w:left w:w="60" w:type="dxa"/>
              <w:right w:w="60" w:type="dxa"/>
            </w:tcMar>
            <w:vAlign w:val="center"/>
          </w:tcPr>
          <w:p w14:paraId="0B98B3D2"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(2)</w:t>
            </w:r>
          </w:p>
        </w:tc>
      </w:tr>
      <w:tr w:rsidR="00807FFE" w14:paraId="44F2AB59" w14:textId="77777777">
        <w:trPr>
          <w:trHeight w:val="255"/>
        </w:trPr>
        <w:tc>
          <w:tcPr>
            <w:tcW w:w="3597" w:type="dxa"/>
            <w:tcBorders>
              <w:top w:val="single" w:sz="4" w:space="0" w:color="016794"/>
              <w:left w:val="nil"/>
              <w:bottom w:val="single" w:sz="4" w:space="0" w:color="016794"/>
              <w:right w:val="nil"/>
              <w:tl2br w:val="nil"/>
              <w:tr2bl w:val="nil"/>
            </w:tcBorders>
            <w:tcMar>
              <w:left w:w="60" w:type="dxa"/>
              <w:right w:w="60" w:type="dxa"/>
            </w:tcMar>
            <w:vAlign w:val="center"/>
          </w:tcPr>
          <w:p w14:paraId="6ADD2F4E" w14:textId="77777777" w:rsidR="00807FFE" w:rsidRDefault="00023E71">
            <w:pPr>
              <w:pStyle w:val="DMETW36735BIPEUPPE"/>
              <w:rPr>
                <w:rFonts w:ascii="Verdana" w:eastAsia="Verdana" w:hAnsi="Verdana" w:cs="Verdana"/>
                <w:b/>
                <w:noProof/>
                <w:color w:val="000000"/>
                <w:sz w:val="16"/>
              </w:rPr>
            </w:pPr>
            <w:r>
              <w:rPr>
                <w:rFonts w:ascii="Verdana" w:eastAsia="Verdana" w:hAnsi="Verdana" w:cs="Verdana"/>
                <w:b/>
                <w:noProof/>
                <w:color w:val="000000"/>
                <w:sz w:val="16"/>
              </w:rPr>
              <w:t>Gross carrying amount at 31.12.2025</w:t>
            </w:r>
          </w:p>
        </w:tc>
        <w:tc>
          <w:tcPr>
            <w:tcW w:w="1461" w:type="dxa"/>
            <w:tcBorders>
              <w:top w:val="single" w:sz="4" w:space="0" w:color="016794"/>
              <w:left w:val="nil"/>
              <w:bottom w:val="single" w:sz="4" w:space="0" w:color="016794"/>
              <w:right w:val="nil"/>
              <w:tl2br w:val="nil"/>
              <w:tr2bl w:val="nil"/>
            </w:tcBorders>
            <w:tcMar>
              <w:left w:w="60" w:type="dxa"/>
              <w:right w:w="60" w:type="dxa"/>
            </w:tcMar>
            <w:vAlign w:val="center"/>
          </w:tcPr>
          <w:p w14:paraId="426CC20A"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6 630</w:t>
            </w:r>
          </w:p>
        </w:tc>
        <w:tc>
          <w:tcPr>
            <w:tcW w:w="1032" w:type="dxa"/>
            <w:tcBorders>
              <w:top w:val="single" w:sz="4" w:space="0" w:color="016794"/>
              <w:left w:val="nil"/>
              <w:bottom w:val="single" w:sz="4" w:space="0" w:color="016794"/>
              <w:right w:val="nil"/>
              <w:tl2br w:val="nil"/>
              <w:tr2bl w:val="nil"/>
            </w:tcBorders>
            <w:tcMar>
              <w:left w:w="60" w:type="dxa"/>
              <w:right w:w="60" w:type="dxa"/>
            </w:tcMar>
            <w:vAlign w:val="center"/>
          </w:tcPr>
          <w:p w14:paraId="615CD977"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9 755</w:t>
            </w:r>
          </w:p>
        </w:tc>
        <w:tc>
          <w:tcPr>
            <w:tcW w:w="1025" w:type="dxa"/>
            <w:tcBorders>
              <w:top w:val="single" w:sz="4" w:space="0" w:color="016794"/>
              <w:left w:val="nil"/>
              <w:bottom w:val="single" w:sz="4" w:space="0" w:color="016794"/>
              <w:right w:val="nil"/>
              <w:tl2br w:val="nil"/>
              <w:tr2bl w:val="nil"/>
            </w:tcBorders>
            <w:tcMar>
              <w:left w:w="60" w:type="dxa"/>
              <w:right w:w="60" w:type="dxa"/>
            </w:tcMar>
            <w:vAlign w:val="center"/>
          </w:tcPr>
          <w:p w14:paraId="420F9048"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482</w:t>
            </w:r>
          </w:p>
        </w:tc>
        <w:tc>
          <w:tcPr>
            <w:tcW w:w="1247" w:type="dxa"/>
            <w:tcBorders>
              <w:top w:val="single" w:sz="4" w:space="0" w:color="016794"/>
              <w:left w:val="nil"/>
              <w:bottom w:val="single" w:sz="4" w:space="0" w:color="016794"/>
              <w:right w:val="nil"/>
              <w:tl2br w:val="nil"/>
              <w:tr2bl w:val="nil"/>
            </w:tcBorders>
            <w:tcMar>
              <w:left w:w="60" w:type="dxa"/>
              <w:right w:w="60" w:type="dxa"/>
            </w:tcMar>
            <w:vAlign w:val="center"/>
          </w:tcPr>
          <w:p w14:paraId="6A1F0321"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231</w:t>
            </w:r>
          </w:p>
        </w:tc>
        <w:tc>
          <w:tcPr>
            <w:tcW w:w="977" w:type="dxa"/>
            <w:tcBorders>
              <w:top w:val="single" w:sz="4" w:space="0" w:color="016794"/>
              <w:left w:val="nil"/>
              <w:bottom w:val="single" w:sz="4" w:space="0" w:color="016794"/>
              <w:right w:val="nil"/>
              <w:tl2br w:val="nil"/>
              <w:tr2bl w:val="nil"/>
            </w:tcBorders>
            <w:tcMar>
              <w:left w:w="60" w:type="dxa"/>
              <w:right w:w="60" w:type="dxa"/>
            </w:tcMar>
            <w:vAlign w:val="center"/>
          </w:tcPr>
          <w:p w14:paraId="42C7F52F"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705</w:t>
            </w:r>
          </w:p>
        </w:tc>
        <w:tc>
          <w:tcPr>
            <w:tcW w:w="906" w:type="dxa"/>
            <w:tcBorders>
              <w:top w:val="single" w:sz="4" w:space="0" w:color="016794"/>
              <w:left w:val="nil"/>
              <w:bottom w:val="single" w:sz="4" w:space="0" w:color="016794"/>
              <w:right w:val="nil"/>
              <w:tl2br w:val="nil"/>
              <w:tr2bl w:val="nil"/>
            </w:tcBorders>
            <w:tcMar>
              <w:left w:w="60" w:type="dxa"/>
              <w:right w:w="60" w:type="dxa"/>
            </w:tcMar>
            <w:vAlign w:val="center"/>
          </w:tcPr>
          <w:p w14:paraId="0C15F102"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292</w:t>
            </w:r>
          </w:p>
        </w:tc>
        <w:tc>
          <w:tcPr>
            <w:tcW w:w="906" w:type="dxa"/>
            <w:tcBorders>
              <w:top w:val="single" w:sz="4" w:space="0" w:color="016794"/>
              <w:left w:val="nil"/>
              <w:bottom w:val="single" w:sz="4" w:space="0" w:color="016794"/>
              <w:right w:val="nil"/>
              <w:tl2br w:val="nil"/>
              <w:tr2bl w:val="nil"/>
            </w:tcBorders>
            <w:tcMar>
              <w:left w:w="60" w:type="dxa"/>
              <w:right w:w="60" w:type="dxa"/>
            </w:tcMar>
            <w:vAlign w:val="center"/>
          </w:tcPr>
          <w:p w14:paraId="40CB808A"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2 079</w:t>
            </w:r>
          </w:p>
        </w:tc>
        <w:tc>
          <w:tcPr>
            <w:tcW w:w="1339" w:type="dxa"/>
            <w:tcBorders>
              <w:top w:val="single" w:sz="4" w:space="0" w:color="016794"/>
              <w:left w:val="nil"/>
              <w:bottom w:val="single" w:sz="4" w:space="0" w:color="016794"/>
              <w:right w:val="nil"/>
              <w:tl2br w:val="nil"/>
              <w:tr2bl w:val="nil"/>
            </w:tcBorders>
            <w:tcMar>
              <w:left w:w="60" w:type="dxa"/>
              <w:right w:w="60" w:type="dxa"/>
            </w:tcMar>
            <w:vAlign w:val="center"/>
          </w:tcPr>
          <w:p w14:paraId="5A0F0B6B"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7 671</w:t>
            </w:r>
          </w:p>
        </w:tc>
        <w:tc>
          <w:tcPr>
            <w:tcW w:w="1025" w:type="dxa"/>
            <w:tcBorders>
              <w:top w:val="single" w:sz="4" w:space="0" w:color="016794"/>
              <w:left w:val="nil"/>
              <w:bottom w:val="single" w:sz="4" w:space="0" w:color="016794"/>
              <w:right w:val="nil"/>
              <w:tl2br w:val="nil"/>
              <w:tr2bl w:val="nil"/>
            </w:tcBorders>
            <w:tcMar>
              <w:left w:w="60" w:type="dxa"/>
              <w:right w:w="60" w:type="dxa"/>
            </w:tcMar>
            <w:vAlign w:val="center"/>
          </w:tcPr>
          <w:p w14:paraId="0E35E72F" w14:textId="77777777" w:rsidR="00807FFE" w:rsidRDefault="00023E71">
            <w:pPr>
              <w:pStyle w:val="DMETW36735BIPEUPPE"/>
              <w:jc w:val="right"/>
              <w:rPr>
                <w:rFonts w:ascii="Verdana" w:eastAsia="Verdana" w:hAnsi="Verdana" w:cs="Verdana"/>
                <w:b/>
                <w:noProof/>
                <w:color w:val="000000"/>
                <w:sz w:val="16"/>
                <w:lang w:bidi="en-GB"/>
              </w:rPr>
            </w:pPr>
            <w:r>
              <w:rPr>
                <w:rFonts w:ascii="Verdana" w:eastAsia="Verdana" w:hAnsi="Verdana" w:cs="Verdana"/>
                <w:b/>
                <w:noProof/>
                <w:color w:val="000000"/>
                <w:sz w:val="16"/>
              </w:rPr>
              <w:t>27 843</w:t>
            </w:r>
          </w:p>
        </w:tc>
      </w:tr>
      <w:tr w:rsidR="00807FFE" w14:paraId="106E5B80" w14:textId="77777777">
        <w:trPr>
          <w:trHeight w:val="255"/>
        </w:trPr>
        <w:tc>
          <w:tcPr>
            <w:tcW w:w="3597" w:type="dxa"/>
            <w:tcBorders>
              <w:top w:val="single" w:sz="4" w:space="0" w:color="016794"/>
              <w:left w:val="nil"/>
              <w:bottom w:val="nil"/>
              <w:right w:val="nil"/>
              <w:tl2br w:val="nil"/>
              <w:tr2bl w:val="nil"/>
            </w:tcBorders>
            <w:tcMar>
              <w:left w:w="60" w:type="dxa"/>
              <w:right w:w="60" w:type="dxa"/>
            </w:tcMar>
            <w:vAlign w:val="center"/>
          </w:tcPr>
          <w:p w14:paraId="2CA454CB"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Accumulated depreciation at 31.12.2024</w:t>
            </w:r>
          </w:p>
        </w:tc>
        <w:tc>
          <w:tcPr>
            <w:tcW w:w="1461" w:type="dxa"/>
            <w:tcBorders>
              <w:top w:val="single" w:sz="4" w:space="0" w:color="016794"/>
              <w:left w:val="nil"/>
              <w:bottom w:val="nil"/>
              <w:right w:val="nil"/>
              <w:tl2br w:val="nil"/>
              <w:tr2bl w:val="nil"/>
            </w:tcBorders>
            <w:tcMar>
              <w:left w:w="60" w:type="dxa"/>
              <w:right w:w="60" w:type="dxa"/>
            </w:tcMar>
            <w:vAlign w:val="center"/>
          </w:tcPr>
          <w:p w14:paraId="3755B2F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(4 106)</w:t>
            </w:r>
          </w:p>
        </w:tc>
        <w:tc>
          <w:tcPr>
            <w:tcW w:w="1032" w:type="dxa"/>
            <w:tcBorders>
              <w:top w:val="single" w:sz="4" w:space="0" w:color="016794"/>
              <w:left w:val="nil"/>
              <w:bottom w:val="nil"/>
              <w:right w:val="nil"/>
              <w:tl2br w:val="nil"/>
              <w:tr2bl w:val="nil"/>
            </w:tcBorders>
            <w:tcMar>
              <w:left w:w="60" w:type="dxa"/>
              <w:right w:w="60" w:type="dxa"/>
            </w:tcMar>
            <w:vAlign w:val="center"/>
          </w:tcPr>
          <w:p w14:paraId="6DBF3838"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(5 417)</w:t>
            </w:r>
          </w:p>
        </w:tc>
        <w:tc>
          <w:tcPr>
            <w:tcW w:w="1025" w:type="dxa"/>
            <w:tcBorders>
              <w:top w:val="single" w:sz="4" w:space="0" w:color="016794"/>
              <w:left w:val="nil"/>
              <w:bottom w:val="nil"/>
              <w:right w:val="nil"/>
              <w:tl2br w:val="nil"/>
              <w:tr2bl w:val="nil"/>
            </w:tcBorders>
            <w:tcMar>
              <w:left w:w="60" w:type="dxa"/>
              <w:right w:w="60" w:type="dxa"/>
            </w:tcMar>
            <w:vAlign w:val="center"/>
          </w:tcPr>
          <w:p w14:paraId="5BDCA6AA"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(423)</w:t>
            </w:r>
          </w:p>
        </w:tc>
        <w:tc>
          <w:tcPr>
            <w:tcW w:w="1247" w:type="dxa"/>
            <w:tcBorders>
              <w:top w:val="single" w:sz="4" w:space="0" w:color="016794"/>
              <w:left w:val="nil"/>
              <w:bottom w:val="nil"/>
              <w:right w:val="nil"/>
              <w:tl2br w:val="nil"/>
              <w:tr2bl w:val="nil"/>
            </w:tcBorders>
            <w:tcMar>
              <w:left w:w="60" w:type="dxa"/>
              <w:right w:w="60" w:type="dxa"/>
            </w:tcMar>
            <w:vAlign w:val="center"/>
          </w:tcPr>
          <w:p w14:paraId="3AF2BE5F"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(177)</w:t>
            </w:r>
          </w:p>
        </w:tc>
        <w:tc>
          <w:tcPr>
            <w:tcW w:w="977" w:type="dxa"/>
            <w:tcBorders>
              <w:top w:val="single" w:sz="4" w:space="0" w:color="016794"/>
              <w:left w:val="nil"/>
              <w:bottom w:val="nil"/>
              <w:right w:val="nil"/>
              <w:tl2br w:val="nil"/>
              <w:tr2bl w:val="nil"/>
            </w:tcBorders>
            <w:tcMar>
              <w:left w:w="60" w:type="dxa"/>
              <w:right w:w="60" w:type="dxa"/>
            </w:tcMar>
            <w:vAlign w:val="center"/>
          </w:tcPr>
          <w:p w14:paraId="0D7E0A99"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(575)</w:t>
            </w:r>
          </w:p>
        </w:tc>
        <w:tc>
          <w:tcPr>
            <w:tcW w:w="906" w:type="dxa"/>
            <w:tcBorders>
              <w:top w:val="single" w:sz="4" w:space="0" w:color="016794"/>
              <w:left w:val="nil"/>
              <w:bottom w:val="nil"/>
              <w:right w:val="nil"/>
              <w:tl2br w:val="nil"/>
              <w:tr2bl w:val="nil"/>
            </w:tcBorders>
            <w:tcMar>
              <w:left w:w="60" w:type="dxa"/>
              <w:right w:w="60" w:type="dxa"/>
            </w:tcMar>
            <w:vAlign w:val="center"/>
          </w:tcPr>
          <w:p w14:paraId="3769390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(225)</w:t>
            </w:r>
          </w:p>
        </w:tc>
        <w:tc>
          <w:tcPr>
            <w:tcW w:w="906" w:type="dxa"/>
            <w:tcBorders>
              <w:top w:val="single" w:sz="4" w:space="0" w:color="016794"/>
              <w:left w:val="nil"/>
              <w:bottom w:val="nil"/>
              <w:right w:val="nil"/>
              <w:tl2br w:val="nil"/>
              <w:tr2bl w:val="nil"/>
            </w:tcBorders>
            <w:tcMar>
              <w:left w:w="60" w:type="dxa"/>
              <w:right w:w="60" w:type="dxa"/>
            </w:tcMar>
            <w:vAlign w:val="center"/>
          </w:tcPr>
          <w:p w14:paraId="5ABD3973"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(1 309)</w:t>
            </w:r>
          </w:p>
        </w:tc>
        <w:tc>
          <w:tcPr>
            <w:tcW w:w="1339" w:type="dxa"/>
            <w:tcBorders>
              <w:top w:val="single" w:sz="4" w:space="0" w:color="016794"/>
              <w:left w:val="nil"/>
              <w:bottom w:val="nil"/>
              <w:right w:val="nil"/>
              <w:tl2br w:val="nil"/>
              <w:tr2bl w:val="nil"/>
            </w:tcBorders>
            <w:tcMar>
              <w:left w:w="60" w:type="dxa"/>
              <w:right w:w="60" w:type="dxa"/>
            </w:tcMar>
            <w:vAlign w:val="center"/>
          </w:tcPr>
          <w:p w14:paraId="2851D94E" w14:textId="77777777" w:rsidR="00807FFE" w:rsidRDefault="00807FFE">
            <w:pPr>
              <w:pStyle w:val="DMETW36735BIPEUPPE"/>
              <w:jc w:val="right"/>
              <w:rPr>
                <w:rFonts w:ascii="Verdana" w:eastAsia="Verdana" w:hAnsi="Verdana" w:cs="Verdana"/>
                <w:i/>
                <w:noProof/>
                <w:color w:val="000000"/>
                <w:sz w:val="16"/>
              </w:rPr>
            </w:pPr>
          </w:p>
        </w:tc>
        <w:tc>
          <w:tcPr>
            <w:tcW w:w="1025" w:type="dxa"/>
            <w:tcBorders>
              <w:top w:val="single" w:sz="4" w:space="0" w:color="016794"/>
              <w:left w:val="nil"/>
              <w:bottom w:val="nil"/>
              <w:right w:val="nil"/>
              <w:tl2br w:val="nil"/>
              <w:tr2bl w:val="nil"/>
            </w:tcBorders>
            <w:tcMar>
              <w:left w:w="60" w:type="dxa"/>
              <w:right w:w="60" w:type="dxa"/>
            </w:tcMar>
            <w:vAlign w:val="center"/>
          </w:tcPr>
          <w:p w14:paraId="670A47B8"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(12 232)</w:t>
            </w:r>
          </w:p>
        </w:tc>
      </w:tr>
      <w:tr w:rsidR="00807FFE" w14:paraId="7C4ABAFA"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74B9086D"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Depreciation charge for the year</w:t>
            </w:r>
          </w:p>
        </w:tc>
        <w:tc>
          <w:tcPr>
            <w:tcW w:w="1461" w:type="dxa"/>
            <w:tcBorders>
              <w:top w:val="nil"/>
              <w:left w:val="nil"/>
              <w:bottom w:val="nil"/>
              <w:right w:val="nil"/>
              <w:tl2br w:val="nil"/>
              <w:tr2bl w:val="nil"/>
            </w:tcBorders>
            <w:tcMar>
              <w:left w:w="60" w:type="dxa"/>
              <w:right w:w="60" w:type="dxa"/>
            </w:tcMar>
            <w:vAlign w:val="center"/>
          </w:tcPr>
          <w:p w14:paraId="79853003"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(145)</w:t>
            </w:r>
          </w:p>
        </w:tc>
        <w:tc>
          <w:tcPr>
            <w:tcW w:w="1032" w:type="dxa"/>
            <w:tcBorders>
              <w:top w:val="nil"/>
              <w:left w:val="nil"/>
              <w:bottom w:val="nil"/>
              <w:right w:val="nil"/>
              <w:tl2br w:val="nil"/>
              <w:tr2bl w:val="nil"/>
            </w:tcBorders>
            <w:tcMar>
              <w:left w:w="60" w:type="dxa"/>
              <w:right w:w="60" w:type="dxa"/>
            </w:tcMar>
            <w:vAlign w:val="center"/>
          </w:tcPr>
          <w:p w14:paraId="058FCB0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(777)</w:t>
            </w:r>
          </w:p>
        </w:tc>
        <w:tc>
          <w:tcPr>
            <w:tcW w:w="1025" w:type="dxa"/>
            <w:tcBorders>
              <w:top w:val="nil"/>
              <w:left w:val="nil"/>
              <w:bottom w:val="nil"/>
              <w:right w:val="nil"/>
              <w:tl2br w:val="nil"/>
              <w:tr2bl w:val="nil"/>
            </w:tcBorders>
            <w:tcMar>
              <w:left w:w="60" w:type="dxa"/>
              <w:right w:w="60" w:type="dxa"/>
            </w:tcMar>
            <w:vAlign w:val="center"/>
          </w:tcPr>
          <w:p w14:paraId="786C2FE4"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(24)</w:t>
            </w:r>
          </w:p>
        </w:tc>
        <w:tc>
          <w:tcPr>
            <w:tcW w:w="1247" w:type="dxa"/>
            <w:tcBorders>
              <w:top w:val="nil"/>
              <w:left w:val="nil"/>
              <w:bottom w:val="nil"/>
              <w:right w:val="nil"/>
              <w:tl2br w:val="nil"/>
              <w:tr2bl w:val="nil"/>
            </w:tcBorders>
            <w:tcMar>
              <w:left w:w="60" w:type="dxa"/>
              <w:right w:w="60" w:type="dxa"/>
            </w:tcMar>
            <w:vAlign w:val="center"/>
          </w:tcPr>
          <w:p w14:paraId="69763D0E"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(17)</w:t>
            </w:r>
          </w:p>
        </w:tc>
        <w:tc>
          <w:tcPr>
            <w:tcW w:w="977" w:type="dxa"/>
            <w:tcBorders>
              <w:top w:val="nil"/>
              <w:left w:val="nil"/>
              <w:bottom w:val="nil"/>
              <w:right w:val="nil"/>
              <w:tl2br w:val="nil"/>
              <w:tr2bl w:val="nil"/>
            </w:tcBorders>
            <w:tcMar>
              <w:left w:w="60" w:type="dxa"/>
              <w:right w:w="60" w:type="dxa"/>
            </w:tcMar>
            <w:vAlign w:val="center"/>
          </w:tcPr>
          <w:p w14:paraId="78112C68"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(75)</w:t>
            </w:r>
          </w:p>
        </w:tc>
        <w:tc>
          <w:tcPr>
            <w:tcW w:w="906" w:type="dxa"/>
            <w:tcBorders>
              <w:top w:val="nil"/>
              <w:left w:val="nil"/>
              <w:bottom w:val="nil"/>
              <w:right w:val="nil"/>
              <w:tl2br w:val="nil"/>
              <w:tr2bl w:val="nil"/>
            </w:tcBorders>
            <w:tcMar>
              <w:left w:w="60" w:type="dxa"/>
              <w:right w:w="60" w:type="dxa"/>
            </w:tcMar>
            <w:vAlign w:val="center"/>
          </w:tcPr>
          <w:p w14:paraId="45E18851"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(18)</w:t>
            </w:r>
          </w:p>
        </w:tc>
        <w:tc>
          <w:tcPr>
            <w:tcW w:w="906" w:type="dxa"/>
            <w:tcBorders>
              <w:top w:val="nil"/>
              <w:left w:val="nil"/>
              <w:bottom w:val="nil"/>
              <w:right w:val="nil"/>
              <w:tl2br w:val="nil"/>
              <w:tr2bl w:val="nil"/>
            </w:tcBorders>
            <w:tcMar>
              <w:left w:w="60" w:type="dxa"/>
              <w:right w:w="60" w:type="dxa"/>
            </w:tcMar>
            <w:vAlign w:val="center"/>
          </w:tcPr>
          <w:p w14:paraId="7837730C"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(75)</w:t>
            </w:r>
          </w:p>
        </w:tc>
        <w:tc>
          <w:tcPr>
            <w:tcW w:w="1339" w:type="dxa"/>
            <w:tcBorders>
              <w:top w:val="nil"/>
              <w:left w:val="nil"/>
              <w:bottom w:val="nil"/>
              <w:right w:val="nil"/>
              <w:tl2br w:val="nil"/>
              <w:tr2bl w:val="nil"/>
            </w:tcBorders>
            <w:tcMar>
              <w:left w:w="60" w:type="dxa"/>
              <w:right w:w="60" w:type="dxa"/>
            </w:tcMar>
            <w:vAlign w:val="center"/>
          </w:tcPr>
          <w:p w14:paraId="02459B95" w14:textId="77777777" w:rsidR="00807FFE" w:rsidRDefault="00807FFE">
            <w:pPr>
              <w:pStyle w:val="DMETW36735BIPEUPPE"/>
              <w:jc w:val="right"/>
              <w:rPr>
                <w:rFonts w:ascii="Verdana" w:eastAsia="Verdana" w:hAnsi="Verdana" w:cs="Verdana"/>
                <w:i/>
                <w:noProof/>
                <w:color w:val="000000"/>
                <w:sz w:val="16"/>
              </w:rPr>
            </w:pPr>
          </w:p>
        </w:tc>
        <w:tc>
          <w:tcPr>
            <w:tcW w:w="1025" w:type="dxa"/>
            <w:tcBorders>
              <w:top w:val="nil"/>
              <w:left w:val="nil"/>
              <w:bottom w:val="nil"/>
              <w:right w:val="nil"/>
              <w:tl2br w:val="nil"/>
              <w:tr2bl w:val="nil"/>
            </w:tcBorders>
            <w:tcMar>
              <w:left w:w="60" w:type="dxa"/>
              <w:right w:w="60" w:type="dxa"/>
            </w:tcMar>
            <w:vAlign w:val="center"/>
          </w:tcPr>
          <w:p w14:paraId="436E5F4C"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(1 131)</w:t>
            </w:r>
          </w:p>
        </w:tc>
      </w:tr>
      <w:tr w:rsidR="00807FFE" w14:paraId="19C7B91E"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59F40DE4"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Depreciation written back</w:t>
            </w:r>
          </w:p>
        </w:tc>
        <w:tc>
          <w:tcPr>
            <w:tcW w:w="1461" w:type="dxa"/>
            <w:tcBorders>
              <w:top w:val="nil"/>
              <w:left w:val="nil"/>
              <w:bottom w:val="nil"/>
              <w:right w:val="nil"/>
              <w:tl2br w:val="nil"/>
              <w:tr2bl w:val="nil"/>
            </w:tcBorders>
            <w:tcMar>
              <w:left w:w="60" w:type="dxa"/>
              <w:right w:w="60" w:type="dxa"/>
            </w:tcMar>
            <w:vAlign w:val="center"/>
          </w:tcPr>
          <w:p w14:paraId="02C5D473"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032" w:type="dxa"/>
            <w:tcBorders>
              <w:top w:val="nil"/>
              <w:left w:val="nil"/>
              <w:bottom w:val="nil"/>
              <w:right w:val="nil"/>
              <w:tl2br w:val="nil"/>
              <w:tr2bl w:val="nil"/>
            </w:tcBorders>
            <w:tcMar>
              <w:left w:w="60" w:type="dxa"/>
              <w:right w:w="60" w:type="dxa"/>
            </w:tcMar>
            <w:vAlign w:val="center"/>
          </w:tcPr>
          <w:p w14:paraId="7A73F37A"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25" w:type="dxa"/>
            <w:tcBorders>
              <w:top w:val="nil"/>
              <w:left w:val="nil"/>
              <w:bottom w:val="nil"/>
              <w:right w:val="nil"/>
              <w:tl2br w:val="nil"/>
              <w:tr2bl w:val="nil"/>
            </w:tcBorders>
            <w:tcMar>
              <w:left w:w="60" w:type="dxa"/>
              <w:right w:w="60" w:type="dxa"/>
            </w:tcMar>
            <w:vAlign w:val="center"/>
          </w:tcPr>
          <w:p w14:paraId="4D5075E6"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247" w:type="dxa"/>
            <w:tcBorders>
              <w:top w:val="nil"/>
              <w:left w:val="nil"/>
              <w:bottom w:val="nil"/>
              <w:right w:val="nil"/>
              <w:tl2br w:val="nil"/>
              <w:tr2bl w:val="nil"/>
            </w:tcBorders>
            <w:tcMar>
              <w:left w:w="60" w:type="dxa"/>
              <w:right w:w="60" w:type="dxa"/>
            </w:tcMar>
            <w:vAlign w:val="center"/>
          </w:tcPr>
          <w:p w14:paraId="22C7DC96"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77" w:type="dxa"/>
            <w:tcBorders>
              <w:top w:val="nil"/>
              <w:left w:val="nil"/>
              <w:bottom w:val="nil"/>
              <w:right w:val="nil"/>
              <w:tl2br w:val="nil"/>
              <w:tr2bl w:val="nil"/>
            </w:tcBorders>
            <w:tcMar>
              <w:left w:w="60" w:type="dxa"/>
              <w:right w:w="60" w:type="dxa"/>
            </w:tcMar>
            <w:vAlign w:val="center"/>
          </w:tcPr>
          <w:p w14:paraId="68662CC6"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8</w:t>
            </w:r>
          </w:p>
        </w:tc>
        <w:tc>
          <w:tcPr>
            <w:tcW w:w="906" w:type="dxa"/>
            <w:tcBorders>
              <w:top w:val="nil"/>
              <w:left w:val="nil"/>
              <w:bottom w:val="nil"/>
              <w:right w:val="nil"/>
              <w:tl2br w:val="nil"/>
              <w:tr2bl w:val="nil"/>
            </w:tcBorders>
            <w:tcMar>
              <w:left w:w="60" w:type="dxa"/>
              <w:right w:w="60" w:type="dxa"/>
            </w:tcMar>
            <w:vAlign w:val="center"/>
          </w:tcPr>
          <w:p w14:paraId="32D0904E"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w:t>
            </w:r>
          </w:p>
        </w:tc>
        <w:tc>
          <w:tcPr>
            <w:tcW w:w="906" w:type="dxa"/>
            <w:tcBorders>
              <w:top w:val="nil"/>
              <w:left w:val="nil"/>
              <w:bottom w:val="nil"/>
              <w:right w:val="nil"/>
              <w:tl2br w:val="nil"/>
              <w:tr2bl w:val="nil"/>
            </w:tcBorders>
            <w:tcMar>
              <w:left w:w="60" w:type="dxa"/>
              <w:right w:w="60" w:type="dxa"/>
            </w:tcMar>
            <w:vAlign w:val="center"/>
          </w:tcPr>
          <w:p w14:paraId="063CDB27"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39" w:type="dxa"/>
            <w:tcBorders>
              <w:top w:val="nil"/>
              <w:left w:val="nil"/>
              <w:bottom w:val="nil"/>
              <w:right w:val="nil"/>
              <w:tl2br w:val="nil"/>
              <w:tr2bl w:val="nil"/>
            </w:tcBorders>
            <w:tcMar>
              <w:left w:w="60" w:type="dxa"/>
              <w:right w:w="60" w:type="dxa"/>
            </w:tcMar>
            <w:vAlign w:val="center"/>
          </w:tcPr>
          <w:p w14:paraId="67B02056" w14:textId="77777777" w:rsidR="00807FFE" w:rsidRDefault="00807FFE">
            <w:pPr>
              <w:pStyle w:val="DMETW36735BIPEUPPE"/>
              <w:jc w:val="right"/>
              <w:rPr>
                <w:rFonts w:ascii="Verdana" w:eastAsia="Verdana" w:hAnsi="Verdana" w:cs="Verdana"/>
                <w:i/>
                <w:noProof/>
                <w:color w:val="000000"/>
                <w:sz w:val="16"/>
              </w:rPr>
            </w:pPr>
          </w:p>
        </w:tc>
        <w:tc>
          <w:tcPr>
            <w:tcW w:w="1025" w:type="dxa"/>
            <w:tcBorders>
              <w:top w:val="nil"/>
              <w:left w:val="nil"/>
              <w:bottom w:val="nil"/>
              <w:right w:val="nil"/>
              <w:tl2br w:val="nil"/>
              <w:tr2bl w:val="nil"/>
            </w:tcBorders>
            <w:tcMar>
              <w:left w:w="60" w:type="dxa"/>
              <w:right w:w="60" w:type="dxa"/>
            </w:tcMar>
            <w:vAlign w:val="center"/>
          </w:tcPr>
          <w:p w14:paraId="6AD573C8"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8</w:t>
            </w:r>
          </w:p>
        </w:tc>
      </w:tr>
      <w:tr w:rsidR="00807FFE" w14:paraId="242BB4E1"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1E15784F"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Disposals</w:t>
            </w:r>
          </w:p>
        </w:tc>
        <w:tc>
          <w:tcPr>
            <w:tcW w:w="1461" w:type="dxa"/>
            <w:tcBorders>
              <w:top w:val="nil"/>
              <w:left w:val="nil"/>
              <w:bottom w:val="nil"/>
              <w:right w:val="nil"/>
              <w:tl2br w:val="nil"/>
              <w:tr2bl w:val="nil"/>
            </w:tcBorders>
            <w:tcMar>
              <w:left w:w="60" w:type="dxa"/>
              <w:right w:w="60" w:type="dxa"/>
            </w:tcMar>
            <w:vAlign w:val="center"/>
          </w:tcPr>
          <w:p w14:paraId="38B54252"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8</w:t>
            </w:r>
          </w:p>
        </w:tc>
        <w:tc>
          <w:tcPr>
            <w:tcW w:w="1032" w:type="dxa"/>
            <w:tcBorders>
              <w:top w:val="nil"/>
              <w:left w:val="nil"/>
              <w:bottom w:val="nil"/>
              <w:right w:val="nil"/>
              <w:tl2br w:val="nil"/>
              <w:tr2bl w:val="nil"/>
            </w:tcBorders>
            <w:tcMar>
              <w:left w:w="60" w:type="dxa"/>
              <w:right w:w="60" w:type="dxa"/>
            </w:tcMar>
            <w:vAlign w:val="center"/>
          </w:tcPr>
          <w:p w14:paraId="1CBE128B"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96</w:t>
            </w:r>
          </w:p>
        </w:tc>
        <w:tc>
          <w:tcPr>
            <w:tcW w:w="1025" w:type="dxa"/>
            <w:tcBorders>
              <w:top w:val="nil"/>
              <w:left w:val="nil"/>
              <w:bottom w:val="nil"/>
              <w:right w:val="nil"/>
              <w:tl2br w:val="nil"/>
              <w:tr2bl w:val="nil"/>
            </w:tcBorders>
            <w:tcMar>
              <w:left w:w="60" w:type="dxa"/>
              <w:right w:w="60" w:type="dxa"/>
            </w:tcMar>
            <w:vAlign w:val="center"/>
          </w:tcPr>
          <w:p w14:paraId="42DA0E4D"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23</w:t>
            </w:r>
          </w:p>
        </w:tc>
        <w:tc>
          <w:tcPr>
            <w:tcW w:w="1247" w:type="dxa"/>
            <w:tcBorders>
              <w:top w:val="nil"/>
              <w:left w:val="nil"/>
              <w:bottom w:val="nil"/>
              <w:right w:val="nil"/>
              <w:tl2br w:val="nil"/>
              <w:tr2bl w:val="nil"/>
            </w:tcBorders>
            <w:tcMar>
              <w:left w:w="60" w:type="dxa"/>
              <w:right w:w="60" w:type="dxa"/>
            </w:tcMar>
            <w:vAlign w:val="center"/>
          </w:tcPr>
          <w:p w14:paraId="42637577"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36</w:t>
            </w:r>
          </w:p>
        </w:tc>
        <w:tc>
          <w:tcPr>
            <w:tcW w:w="977" w:type="dxa"/>
            <w:tcBorders>
              <w:top w:val="nil"/>
              <w:left w:val="nil"/>
              <w:bottom w:val="nil"/>
              <w:right w:val="nil"/>
              <w:tl2br w:val="nil"/>
              <w:tr2bl w:val="nil"/>
            </w:tcBorders>
            <w:tcMar>
              <w:left w:w="60" w:type="dxa"/>
              <w:right w:w="60" w:type="dxa"/>
            </w:tcMar>
            <w:vAlign w:val="center"/>
          </w:tcPr>
          <w:p w14:paraId="7C9E39BB"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76</w:t>
            </w:r>
          </w:p>
        </w:tc>
        <w:tc>
          <w:tcPr>
            <w:tcW w:w="906" w:type="dxa"/>
            <w:tcBorders>
              <w:top w:val="nil"/>
              <w:left w:val="nil"/>
              <w:bottom w:val="nil"/>
              <w:right w:val="nil"/>
              <w:tl2br w:val="nil"/>
              <w:tr2bl w:val="nil"/>
            </w:tcBorders>
            <w:tcMar>
              <w:left w:w="60" w:type="dxa"/>
              <w:right w:w="60" w:type="dxa"/>
            </w:tcMar>
            <w:vAlign w:val="center"/>
          </w:tcPr>
          <w:p w14:paraId="5D19C387"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30</w:t>
            </w:r>
          </w:p>
        </w:tc>
        <w:tc>
          <w:tcPr>
            <w:tcW w:w="906" w:type="dxa"/>
            <w:tcBorders>
              <w:top w:val="nil"/>
              <w:left w:val="nil"/>
              <w:bottom w:val="nil"/>
              <w:right w:val="nil"/>
              <w:tl2br w:val="nil"/>
              <w:tr2bl w:val="nil"/>
            </w:tcBorders>
            <w:tcMar>
              <w:left w:w="60" w:type="dxa"/>
              <w:right w:w="60" w:type="dxa"/>
            </w:tcMar>
            <w:vAlign w:val="center"/>
          </w:tcPr>
          <w:p w14:paraId="406EF0FA"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w:t>
            </w:r>
          </w:p>
        </w:tc>
        <w:tc>
          <w:tcPr>
            <w:tcW w:w="1339" w:type="dxa"/>
            <w:tcBorders>
              <w:top w:val="nil"/>
              <w:left w:val="nil"/>
              <w:bottom w:val="nil"/>
              <w:right w:val="nil"/>
              <w:tl2br w:val="nil"/>
              <w:tr2bl w:val="nil"/>
            </w:tcBorders>
            <w:tcMar>
              <w:left w:w="60" w:type="dxa"/>
              <w:right w:w="60" w:type="dxa"/>
            </w:tcMar>
            <w:vAlign w:val="center"/>
          </w:tcPr>
          <w:p w14:paraId="7B1F85FA" w14:textId="77777777" w:rsidR="00807FFE" w:rsidRDefault="00807FFE">
            <w:pPr>
              <w:pStyle w:val="DMETW36735BIPEUPPE"/>
              <w:jc w:val="right"/>
              <w:rPr>
                <w:rFonts w:ascii="Verdana" w:eastAsia="Verdana" w:hAnsi="Verdana" w:cs="Verdana"/>
                <w:i/>
                <w:noProof/>
                <w:color w:val="000000"/>
                <w:sz w:val="16"/>
              </w:rPr>
            </w:pPr>
          </w:p>
        </w:tc>
        <w:tc>
          <w:tcPr>
            <w:tcW w:w="1025" w:type="dxa"/>
            <w:tcBorders>
              <w:top w:val="nil"/>
              <w:left w:val="nil"/>
              <w:bottom w:val="nil"/>
              <w:right w:val="nil"/>
              <w:tl2br w:val="nil"/>
              <w:tr2bl w:val="nil"/>
            </w:tcBorders>
            <w:tcMar>
              <w:left w:w="60" w:type="dxa"/>
              <w:right w:w="60" w:type="dxa"/>
            </w:tcMar>
            <w:vAlign w:val="center"/>
          </w:tcPr>
          <w:p w14:paraId="0363BBE3"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270</w:t>
            </w:r>
          </w:p>
        </w:tc>
      </w:tr>
      <w:tr w:rsidR="00807FFE" w14:paraId="12C75F42"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3BC6E52B"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Transfer between asset categories</w:t>
            </w:r>
          </w:p>
        </w:tc>
        <w:tc>
          <w:tcPr>
            <w:tcW w:w="1461" w:type="dxa"/>
            <w:tcBorders>
              <w:top w:val="nil"/>
              <w:left w:val="nil"/>
              <w:bottom w:val="nil"/>
              <w:right w:val="nil"/>
              <w:tl2br w:val="nil"/>
              <w:tr2bl w:val="nil"/>
            </w:tcBorders>
            <w:tcMar>
              <w:left w:w="60" w:type="dxa"/>
              <w:right w:w="60" w:type="dxa"/>
            </w:tcMar>
            <w:vAlign w:val="center"/>
          </w:tcPr>
          <w:p w14:paraId="58527CC2"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032" w:type="dxa"/>
            <w:tcBorders>
              <w:top w:val="nil"/>
              <w:left w:val="nil"/>
              <w:bottom w:val="nil"/>
              <w:right w:val="nil"/>
              <w:tl2br w:val="nil"/>
              <w:tr2bl w:val="nil"/>
            </w:tcBorders>
            <w:tcMar>
              <w:left w:w="60" w:type="dxa"/>
              <w:right w:w="60" w:type="dxa"/>
            </w:tcMar>
            <w:vAlign w:val="center"/>
          </w:tcPr>
          <w:p w14:paraId="6F890C0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25" w:type="dxa"/>
            <w:tcBorders>
              <w:top w:val="nil"/>
              <w:left w:val="nil"/>
              <w:bottom w:val="nil"/>
              <w:right w:val="nil"/>
              <w:tl2br w:val="nil"/>
              <w:tr2bl w:val="nil"/>
            </w:tcBorders>
            <w:tcMar>
              <w:left w:w="60" w:type="dxa"/>
              <w:right w:w="60" w:type="dxa"/>
            </w:tcMar>
            <w:vAlign w:val="center"/>
          </w:tcPr>
          <w:p w14:paraId="779F0B1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247" w:type="dxa"/>
            <w:tcBorders>
              <w:top w:val="nil"/>
              <w:left w:val="nil"/>
              <w:bottom w:val="nil"/>
              <w:right w:val="nil"/>
              <w:tl2br w:val="nil"/>
              <w:tr2bl w:val="nil"/>
            </w:tcBorders>
            <w:tcMar>
              <w:left w:w="60" w:type="dxa"/>
              <w:right w:w="60" w:type="dxa"/>
            </w:tcMar>
            <w:vAlign w:val="center"/>
          </w:tcPr>
          <w:p w14:paraId="2B791ACB"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77" w:type="dxa"/>
            <w:tcBorders>
              <w:top w:val="nil"/>
              <w:left w:val="nil"/>
              <w:bottom w:val="nil"/>
              <w:right w:val="nil"/>
              <w:tl2br w:val="nil"/>
              <w:tr2bl w:val="nil"/>
            </w:tcBorders>
            <w:tcMar>
              <w:left w:w="60" w:type="dxa"/>
              <w:right w:w="60" w:type="dxa"/>
            </w:tcMar>
            <w:vAlign w:val="center"/>
          </w:tcPr>
          <w:p w14:paraId="6005A274"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06" w:type="dxa"/>
            <w:tcBorders>
              <w:top w:val="nil"/>
              <w:left w:val="nil"/>
              <w:bottom w:val="nil"/>
              <w:right w:val="nil"/>
              <w:tl2br w:val="nil"/>
              <w:tr2bl w:val="nil"/>
            </w:tcBorders>
            <w:tcMar>
              <w:left w:w="60" w:type="dxa"/>
              <w:right w:w="60" w:type="dxa"/>
            </w:tcMar>
            <w:vAlign w:val="center"/>
          </w:tcPr>
          <w:p w14:paraId="53362BA2"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06" w:type="dxa"/>
            <w:tcBorders>
              <w:top w:val="nil"/>
              <w:left w:val="nil"/>
              <w:bottom w:val="nil"/>
              <w:right w:val="nil"/>
              <w:tl2br w:val="nil"/>
              <w:tr2bl w:val="nil"/>
            </w:tcBorders>
            <w:tcMar>
              <w:left w:w="60" w:type="dxa"/>
              <w:right w:w="60" w:type="dxa"/>
            </w:tcMar>
            <w:vAlign w:val="center"/>
          </w:tcPr>
          <w:p w14:paraId="6034CA7B"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39" w:type="dxa"/>
            <w:tcBorders>
              <w:top w:val="nil"/>
              <w:left w:val="nil"/>
              <w:bottom w:val="nil"/>
              <w:right w:val="nil"/>
              <w:tl2br w:val="nil"/>
              <w:tr2bl w:val="nil"/>
            </w:tcBorders>
            <w:tcMar>
              <w:left w:w="60" w:type="dxa"/>
              <w:right w:w="60" w:type="dxa"/>
            </w:tcMar>
            <w:vAlign w:val="center"/>
          </w:tcPr>
          <w:p w14:paraId="6448A859" w14:textId="77777777" w:rsidR="00807FFE" w:rsidRDefault="00807FFE">
            <w:pPr>
              <w:pStyle w:val="DMETW36735BIPEUPPE"/>
              <w:jc w:val="right"/>
              <w:rPr>
                <w:rFonts w:ascii="Verdana" w:eastAsia="Verdana" w:hAnsi="Verdana" w:cs="Verdana"/>
                <w:i/>
                <w:noProof/>
                <w:color w:val="000000"/>
                <w:sz w:val="16"/>
              </w:rPr>
            </w:pPr>
          </w:p>
        </w:tc>
        <w:tc>
          <w:tcPr>
            <w:tcW w:w="1025" w:type="dxa"/>
            <w:tcBorders>
              <w:top w:val="nil"/>
              <w:left w:val="nil"/>
              <w:bottom w:val="nil"/>
              <w:right w:val="nil"/>
              <w:tl2br w:val="nil"/>
              <w:tr2bl w:val="nil"/>
            </w:tcBorders>
            <w:tcMar>
              <w:left w:w="60" w:type="dxa"/>
              <w:right w:w="60" w:type="dxa"/>
            </w:tcMar>
            <w:vAlign w:val="center"/>
          </w:tcPr>
          <w:p w14:paraId="526F4C1A"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0</w:t>
            </w:r>
          </w:p>
        </w:tc>
      </w:tr>
      <w:tr w:rsidR="00807FFE" w14:paraId="1D6438A0" w14:textId="77777777">
        <w:trPr>
          <w:trHeight w:val="255"/>
        </w:trPr>
        <w:tc>
          <w:tcPr>
            <w:tcW w:w="3597" w:type="dxa"/>
            <w:tcBorders>
              <w:top w:val="nil"/>
              <w:left w:val="nil"/>
              <w:bottom w:val="single" w:sz="4" w:space="0" w:color="016794"/>
              <w:right w:val="nil"/>
              <w:tl2br w:val="nil"/>
              <w:tr2bl w:val="nil"/>
            </w:tcBorders>
            <w:tcMar>
              <w:left w:w="60" w:type="dxa"/>
              <w:right w:w="60" w:type="dxa"/>
            </w:tcMar>
            <w:vAlign w:val="center"/>
          </w:tcPr>
          <w:p w14:paraId="059E2A57"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Other changes</w:t>
            </w:r>
          </w:p>
        </w:tc>
        <w:tc>
          <w:tcPr>
            <w:tcW w:w="1461" w:type="dxa"/>
            <w:tcBorders>
              <w:top w:val="nil"/>
              <w:left w:val="nil"/>
              <w:bottom w:val="single" w:sz="4" w:space="0" w:color="016794"/>
              <w:right w:val="nil"/>
              <w:tl2br w:val="nil"/>
              <w:tr2bl w:val="nil"/>
            </w:tcBorders>
            <w:tcMar>
              <w:left w:w="60" w:type="dxa"/>
              <w:right w:w="60" w:type="dxa"/>
            </w:tcMar>
            <w:vAlign w:val="center"/>
          </w:tcPr>
          <w:p w14:paraId="1FCB0A66"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2</w:t>
            </w:r>
          </w:p>
        </w:tc>
        <w:tc>
          <w:tcPr>
            <w:tcW w:w="1032" w:type="dxa"/>
            <w:tcBorders>
              <w:top w:val="nil"/>
              <w:left w:val="nil"/>
              <w:bottom w:val="single" w:sz="4" w:space="0" w:color="016794"/>
              <w:right w:val="nil"/>
              <w:tl2br w:val="nil"/>
              <w:tr2bl w:val="nil"/>
            </w:tcBorders>
            <w:tcMar>
              <w:left w:w="60" w:type="dxa"/>
              <w:right w:w="60" w:type="dxa"/>
            </w:tcMar>
            <w:vAlign w:val="center"/>
          </w:tcPr>
          <w:p w14:paraId="4B5AA6C6"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25" w:type="dxa"/>
            <w:tcBorders>
              <w:top w:val="nil"/>
              <w:left w:val="nil"/>
              <w:bottom w:val="single" w:sz="4" w:space="0" w:color="016794"/>
              <w:right w:val="nil"/>
              <w:tl2br w:val="nil"/>
              <w:tr2bl w:val="nil"/>
            </w:tcBorders>
            <w:tcMar>
              <w:left w:w="60" w:type="dxa"/>
              <w:right w:w="60" w:type="dxa"/>
            </w:tcMar>
            <w:vAlign w:val="center"/>
          </w:tcPr>
          <w:p w14:paraId="6FBCCADA"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247" w:type="dxa"/>
            <w:tcBorders>
              <w:top w:val="nil"/>
              <w:left w:val="nil"/>
              <w:bottom w:val="single" w:sz="4" w:space="0" w:color="016794"/>
              <w:right w:val="nil"/>
              <w:tl2br w:val="nil"/>
              <w:tr2bl w:val="nil"/>
            </w:tcBorders>
            <w:tcMar>
              <w:left w:w="60" w:type="dxa"/>
              <w:right w:w="60" w:type="dxa"/>
            </w:tcMar>
            <w:vAlign w:val="center"/>
          </w:tcPr>
          <w:p w14:paraId="38BEEDA1"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77" w:type="dxa"/>
            <w:tcBorders>
              <w:top w:val="nil"/>
              <w:left w:val="nil"/>
              <w:bottom w:val="single" w:sz="4" w:space="0" w:color="016794"/>
              <w:right w:val="nil"/>
              <w:tl2br w:val="nil"/>
              <w:tr2bl w:val="nil"/>
            </w:tcBorders>
            <w:tcMar>
              <w:left w:w="60" w:type="dxa"/>
              <w:right w:w="60" w:type="dxa"/>
            </w:tcMar>
            <w:vAlign w:val="center"/>
          </w:tcPr>
          <w:p w14:paraId="0FAF0AA4"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06" w:type="dxa"/>
            <w:tcBorders>
              <w:top w:val="nil"/>
              <w:left w:val="nil"/>
              <w:bottom w:val="single" w:sz="4" w:space="0" w:color="016794"/>
              <w:right w:val="nil"/>
              <w:tl2br w:val="nil"/>
              <w:tr2bl w:val="nil"/>
            </w:tcBorders>
            <w:tcMar>
              <w:left w:w="60" w:type="dxa"/>
              <w:right w:w="60" w:type="dxa"/>
            </w:tcMar>
            <w:vAlign w:val="center"/>
          </w:tcPr>
          <w:p w14:paraId="4937DE30"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906" w:type="dxa"/>
            <w:tcBorders>
              <w:top w:val="nil"/>
              <w:left w:val="nil"/>
              <w:bottom w:val="single" w:sz="4" w:space="0" w:color="016794"/>
              <w:right w:val="nil"/>
              <w:tl2br w:val="nil"/>
              <w:tr2bl w:val="nil"/>
            </w:tcBorders>
            <w:tcMar>
              <w:left w:w="60" w:type="dxa"/>
              <w:right w:w="60" w:type="dxa"/>
            </w:tcMar>
            <w:vAlign w:val="center"/>
          </w:tcPr>
          <w:p w14:paraId="7F53C282"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39" w:type="dxa"/>
            <w:tcBorders>
              <w:top w:val="nil"/>
              <w:left w:val="nil"/>
              <w:bottom w:val="single" w:sz="4" w:space="0" w:color="016794"/>
              <w:right w:val="nil"/>
              <w:tl2br w:val="nil"/>
              <w:tr2bl w:val="nil"/>
            </w:tcBorders>
            <w:tcMar>
              <w:left w:w="60" w:type="dxa"/>
              <w:right w:w="60" w:type="dxa"/>
            </w:tcMar>
            <w:vAlign w:val="center"/>
          </w:tcPr>
          <w:p w14:paraId="4B59E4B8" w14:textId="77777777" w:rsidR="00807FFE" w:rsidRDefault="00807FFE">
            <w:pPr>
              <w:pStyle w:val="DMETW36735BIPEUPPE"/>
              <w:jc w:val="right"/>
              <w:rPr>
                <w:rFonts w:ascii="Verdana" w:eastAsia="Verdana" w:hAnsi="Verdana" w:cs="Verdana"/>
                <w:i/>
                <w:noProof/>
                <w:color w:val="000000"/>
                <w:sz w:val="16"/>
              </w:rPr>
            </w:pPr>
          </w:p>
        </w:tc>
        <w:tc>
          <w:tcPr>
            <w:tcW w:w="1025" w:type="dxa"/>
            <w:tcBorders>
              <w:top w:val="nil"/>
              <w:left w:val="nil"/>
              <w:bottom w:val="single" w:sz="4" w:space="0" w:color="016794"/>
              <w:right w:val="nil"/>
              <w:tl2br w:val="nil"/>
              <w:tr2bl w:val="nil"/>
            </w:tcBorders>
            <w:tcMar>
              <w:left w:w="60" w:type="dxa"/>
              <w:right w:w="60" w:type="dxa"/>
            </w:tcMar>
            <w:vAlign w:val="center"/>
          </w:tcPr>
          <w:p w14:paraId="52A84B79" w14:textId="77777777" w:rsidR="00807FFE" w:rsidRDefault="00023E71">
            <w:pPr>
              <w:pStyle w:val="DMETW36735BIPEUPPE"/>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1</w:t>
            </w:r>
          </w:p>
        </w:tc>
      </w:tr>
      <w:tr w:rsidR="00807FFE" w14:paraId="106640A3" w14:textId="77777777">
        <w:trPr>
          <w:trHeight w:val="255"/>
        </w:trPr>
        <w:tc>
          <w:tcPr>
            <w:tcW w:w="3597" w:type="dxa"/>
            <w:tcBorders>
              <w:top w:val="single" w:sz="4" w:space="0" w:color="016794"/>
              <w:left w:val="nil"/>
              <w:bottom w:val="single" w:sz="4" w:space="0" w:color="016794"/>
              <w:right w:val="nil"/>
              <w:tl2br w:val="nil"/>
              <w:tr2bl w:val="nil"/>
            </w:tcBorders>
            <w:tcMar>
              <w:left w:w="60" w:type="dxa"/>
              <w:right w:w="60" w:type="dxa"/>
            </w:tcMar>
            <w:vAlign w:val="center"/>
          </w:tcPr>
          <w:p w14:paraId="28DD1989" w14:textId="77777777" w:rsidR="00807FFE" w:rsidRDefault="00023E71">
            <w:pPr>
              <w:pStyle w:val="DMETW36735BIPEUPPE"/>
              <w:rPr>
                <w:rFonts w:ascii="Verdana" w:eastAsia="Verdana" w:hAnsi="Verdana" w:cs="Verdana"/>
                <w:b/>
                <w:noProof/>
                <w:color w:val="000000"/>
                <w:sz w:val="16"/>
              </w:rPr>
            </w:pPr>
            <w:r>
              <w:rPr>
                <w:rFonts w:ascii="Verdana" w:eastAsia="Verdana" w:hAnsi="Verdana" w:cs="Verdana"/>
                <w:b/>
                <w:noProof/>
                <w:color w:val="000000"/>
                <w:sz w:val="16"/>
              </w:rPr>
              <w:t>Accumulated depreciation at 31.12.2025</w:t>
            </w:r>
          </w:p>
        </w:tc>
        <w:tc>
          <w:tcPr>
            <w:tcW w:w="1461" w:type="dxa"/>
            <w:tcBorders>
              <w:top w:val="single" w:sz="4" w:space="0" w:color="016794"/>
              <w:left w:val="nil"/>
              <w:bottom w:val="single" w:sz="4" w:space="0" w:color="016794"/>
              <w:right w:val="nil"/>
              <w:tl2br w:val="nil"/>
              <w:tr2bl w:val="nil"/>
            </w:tcBorders>
            <w:tcMar>
              <w:left w:w="60" w:type="dxa"/>
              <w:right w:w="60" w:type="dxa"/>
            </w:tcMar>
            <w:vAlign w:val="center"/>
          </w:tcPr>
          <w:p w14:paraId="45295437"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(4 240)</w:t>
            </w:r>
          </w:p>
        </w:tc>
        <w:tc>
          <w:tcPr>
            <w:tcW w:w="1032" w:type="dxa"/>
            <w:tcBorders>
              <w:top w:val="single" w:sz="4" w:space="0" w:color="016794"/>
              <w:left w:val="nil"/>
              <w:bottom w:val="single" w:sz="4" w:space="0" w:color="016794"/>
              <w:right w:val="nil"/>
              <w:tl2br w:val="nil"/>
              <w:tr2bl w:val="nil"/>
            </w:tcBorders>
            <w:tcMar>
              <w:left w:w="60" w:type="dxa"/>
              <w:right w:w="60" w:type="dxa"/>
            </w:tcMar>
            <w:vAlign w:val="center"/>
          </w:tcPr>
          <w:p w14:paraId="5D90ABB4"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(6 098)</w:t>
            </w:r>
          </w:p>
        </w:tc>
        <w:tc>
          <w:tcPr>
            <w:tcW w:w="1025" w:type="dxa"/>
            <w:tcBorders>
              <w:top w:val="single" w:sz="4" w:space="0" w:color="016794"/>
              <w:left w:val="nil"/>
              <w:bottom w:val="single" w:sz="4" w:space="0" w:color="016794"/>
              <w:right w:val="nil"/>
              <w:tl2br w:val="nil"/>
              <w:tr2bl w:val="nil"/>
            </w:tcBorders>
            <w:tcMar>
              <w:left w:w="60" w:type="dxa"/>
              <w:right w:w="60" w:type="dxa"/>
            </w:tcMar>
            <w:vAlign w:val="center"/>
          </w:tcPr>
          <w:p w14:paraId="1217FD8C"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(425)</w:t>
            </w:r>
          </w:p>
        </w:tc>
        <w:tc>
          <w:tcPr>
            <w:tcW w:w="1247" w:type="dxa"/>
            <w:tcBorders>
              <w:top w:val="single" w:sz="4" w:space="0" w:color="016794"/>
              <w:left w:val="nil"/>
              <w:bottom w:val="single" w:sz="4" w:space="0" w:color="016794"/>
              <w:right w:val="nil"/>
              <w:tl2br w:val="nil"/>
              <w:tr2bl w:val="nil"/>
            </w:tcBorders>
            <w:tcMar>
              <w:left w:w="60" w:type="dxa"/>
              <w:right w:w="60" w:type="dxa"/>
            </w:tcMar>
            <w:vAlign w:val="center"/>
          </w:tcPr>
          <w:p w14:paraId="3D669F94"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(161)</w:t>
            </w:r>
          </w:p>
        </w:tc>
        <w:tc>
          <w:tcPr>
            <w:tcW w:w="977" w:type="dxa"/>
            <w:tcBorders>
              <w:top w:val="single" w:sz="4" w:space="0" w:color="016794"/>
              <w:left w:val="nil"/>
              <w:bottom w:val="single" w:sz="4" w:space="0" w:color="016794"/>
              <w:right w:val="nil"/>
              <w:tl2br w:val="nil"/>
              <w:tr2bl w:val="nil"/>
            </w:tcBorders>
            <w:tcMar>
              <w:left w:w="60" w:type="dxa"/>
              <w:right w:w="60" w:type="dxa"/>
            </w:tcMar>
            <w:vAlign w:val="center"/>
          </w:tcPr>
          <w:p w14:paraId="2504C1B1"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(566)</w:t>
            </w:r>
          </w:p>
        </w:tc>
        <w:tc>
          <w:tcPr>
            <w:tcW w:w="906" w:type="dxa"/>
            <w:tcBorders>
              <w:top w:val="single" w:sz="4" w:space="0" w:color="016794"/>
              <w:left w:val="nil"/>
              <w:bottom w:val="single" w:sz="4" w:space="0" w:color="016794"/>
              <w:right w:val="nil"/>
              <w:tl2br w:val="nil"/>
              <w:tr2bl w:val="nil"/>
            </w:tcBorders>
            <w:tcMar>
              <w:left w:w="60" w:type="dxa"/>
              <w:right w:w="60" w:type="dxa"/>
            </w:tcMar>
            <w:vAlign w:val="center"/>
          </w:tcPr>
          <w:p w14:paraId="42875D5F"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(214)</w:t>
            </w:r>
          </w:p>
        </w:tc>
        <w:tc>
          <w:tcPr>
            <w:tcW w:w="906" w:type="dxa"/>
            <w:tcBorders>
              <w:top w:val="single" w:sz="4" w:space="0" w:color="016794"/>
              <w:left w:val="nil"/>
              <w:bottom w:val="single" w:sz="4" w:space="0" w:color="016794"/>
              <w:right w:val="nil"/>
              <w:tl2br w:val="nil"/>
              <w:tr2bl w:val="nil"/>
            </w:tcBorders>
            <w:tcMar>
              <w:left w:w="60" w:type="dxa"/>
              <w:right w:w="60" w:type="dxa"/>
            </w:tcMar>
            <w:vAlign w:val="center"/>
          </w:tcPr>
          <w:p w14:paraId="5E15D695"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(1 382)</w:t>
            </w:r>
          </w:p>
        </w:tc>
        <w:tc>
          <w:tcPr>
            <w:tcW w:w="1339" w:type="dxa"/>
            <w:tcBorders>
              <w:top w:val="single" w:sz="4" w:space="0" w:color="016794"/>
              <w:left w:val="nil"/>
              <w:bottom w:val="single" w:sz="4" w:space="0" w:color="016794"/>
              <w:right w:val="nil"/>
              <w:tl2br w:val="nil"/>
              <w:tr2bl w:val="nil"/>
            </w:tcBorders>
            <w:tcMar>
              <w:left w:w="60" w:type="dxa"/>
              <w:right w:w="60" w:type="dxa"/>
            </w:tcMar>
            <w:vAlign w:val="center"/>
          </w:tcPr>
          <w:p w14:paraId="06D60081" w14:textId="77777777" w:rsidR="00807FFE" w:rsidRDefault="00807FFE">
            <w:pPr>
              <w:pStyle w:val="DMETW36735BIPEUPPE"/>
              <w:jc w:val="right"/>
              <w:rPr>
                <w:rFonts w:ascii="Verdana" w:eastAsia="Verdana" w:hAnsi="Verdana" w:cs="Verdana"/>
                <w:b/>
                <w:noProof/>
                <w:color w:val="000000"/>
                <w:sz w:val="16"/>
              </w:rPr>
            </w:pPr>
          </w:p>
        </w:tc>
        <w:tc>
          <w:tcPr>
            <w:tcW w:w="1025" w:type="dxa"/>
            <w:tcBorders>
              <w:top w:val="single" w:sz="4" w:space="0" w:color="016794"/>
              <w:left w:val="nil"/>
              <w:bottom w:val="single" w:sz="4" w:space="0" w:color="016794"/>
              <w:right w:val="nil"/>
              <w:tl2br w:val="nil"/>
              <w:tr2bl w:val="nil"/>
            </w:tcBorders>
            <w:tcMar>
              <w:left w:w="60" w:type="dxa"/>
              <w:right w:w="60" w:type="dxa"/>
            </w:tcMar>
            <w:vAlign w:val="center"/>
          </w:tcPr>
          <w:p w14:paraId="5ADDF754" w14:textId="77777777" w:rsidR="00807FFE" w:rsidRDefault="00023E71">
            <w:pPr>
              <w:pStyle w:val="DMETW36735BIPEUPPE"/>
              <w:jc w:val="right"/>
              <w:rPr>
                <w:rFonts w:ascii="Verdana" w:eastAsia="Verdana" w:hAnsi="Verdana" w:cs="Verdana"/>
                <w:b/>
                <w:noProof/>
                <w:color w:val="000000"/>
                <w:sz w:val="16"/>
                <w:lang w:bidi="en-GB"/>
              </w:rPr>
            </w:pPr>
            <w:r>
              <w:rPr>
                <w:rFonts w:ascii="Verdana" w:eastAsia="Verdana" w:hAnsi="Verdana" w:cs="Verdana"/>
                <w:b/>
                <w:noProof/>
                <w:color w:val="000000"/>
                <w:sz w:val="16"/>
              </w:rPr>
              <w:t>(13 086)</w:t>
            </w:r>
          </w:p>
        </w:tc>
      </w:tr>
      <w:tr w:rsidR="00807FFE" w14:paraId="047535FB" w14:textId="77777777">
        <w:trPr>
          <w:trHeight w:val="255"/>
        </w:trPr>
        <w:tc>
          <w:tcPr>
            <w:tcW w:w="3597" w:type="dxa"/>
            <w:tcBorders>
              <w:top w:val="single" w:sz="4" w:space="0" w:color="016794"/>
              <w:left w:val="nil"/>
              <w:bottom w:val="nil"/>
              <w:right w:val="nil"/>
              <w:tl2br w:val="nil"/>
              <w:tr2bl w:val="nil"/>
            </w:tcBorders>
            <w:tcMar>
              <w:left w:w="60" w:type="dxa"/>
              <w:right w:w="60" w:type="dxa"/>
            </w:tcMar>
            <w:vAlign w:val="center"/>
          </w:tcPr>
          <w:p w14:paraId="3DCA6F01" w14:textId="77777777" w:rsidR="00807FFE" w:rsidRDefault="00807FFE">
            <w:pPr>
              <w:pStyle w:val="DMETW36735BIPEUPPE"/>
              <w:rPr>
                <w:rFonts w:ascii="Arial" w:eastAsia="Arial" w:hAnsi="Arial" w:cs="Arial"/>
                <w:noProof/>
                <w:color w:val="000000"/>
                <w:sz w:val="16"/>
              </w:rPr>
            </w:pPr>
          </w:p>
        </w:tc>
        <w:tc>
          <w:tcPr>
            <w:tcW w:w="1461" w:type="dxa"/>
            <w:tcBorders>
              <w:top w:val="single" w:sz="4" w:space="0" w:color="016794"/>
              <w:left w:val="nil"/>
              <w:bottom w:val="nil"/>
              <w:right w:val="nil"/>
              <w:tl2br w:val="nil"/>
              <w:tr2bl w:val="nil"/>
            </w:tcBorders>
            <w:tcMar>
              <w:left w:w="60" w:type="dxa"/>
              <w:right w:w="60" w:type="dxa"/>
            </w:tcMar>
            <w:vAlign w:val="center"/>
          </w:tcPr>
          <w:p w14:paraId="1A113F46" w14:textId="77777777" w:rsidR="00807FFE" w:rsidRDefault="00807FFE">
            <w:pPr>
              <w:pStyle w:val="DMETW36735BIPEUPPE"/>
              <w:rPr>
                <w:rFonts w:ascii="Arial" w:eastAsia="Arial" w:hAnsi="Arial" w:cs="Arial"/>
                <w:noProof/>
                <w:color w:val="000000"/>
                <w:sz w:val="16"/>
              </w:rPr>
            </w:pPr>
          </w:p>
        </w:tc>
        <w:tc>
          <w:tcPr>
            <w:tcW w:w="1032" w:type="dxa"/>
            <w:tcBorders>
              <w:top w:val="single" w:sz="4" w:space="0" w:color="016794"/>
              <w:left w:val="nil"/>
              <w:bottom w:val="nil"/>
              <w:right w:val="nil"/>
              <w:tl2br w:val="nil"/>
              <w:tr2bl w:val="nil"/>
            </w:tcBorders>
            <w:tcMar>
              <w:left w:w="60" w:type="dxa"/>
              <w:right w:w="60" w:type="dxa"/>
            </w:tcMar>
            <w:vAlign w:val="center"/>
          </w:tcPr>
          <w:p w14:paraId="22B525F7" w14:textId="77777777" w:rsidR="00807FFE" w:rsidRDefault="00807FFE">
            <w:pPr>
              <w:pStyle w:val="DMETW36735BIPEUPPE"/>
              <w:rPr>
                <w:rFonts w:ascii="Arial" w:eastAsia="Arial" w:hAnsi="Arial" w:cs="Arial"/>
                <w:noProof/>
                <w:color w:val="000000"/>
                <w:sz w:val="16"/>
              </w:rPr>
            </w:pPr>
          </w:p>
        </w:tc>
        <w:tc>
          <w:tcPr>
            <w:tcW w:w="1025" w:type="dxa"/>
            <w:tcBorders>
              <w:top w:val="single" w:sz="4" w:space="0" w:color="016794"/>
              <w:left w:val="nil"/>
              <w:bottom w:val="nil"/>
              <w:right w:val="nil"/>
              <w:tl2br w:val="nil"/>
              <w:tr2bl w:val="nil"/>
            </w:tcBorders>
            <w:tcMar>
              <w:left w:w="60" w:type="dxa"/>
              <w:right w:w="60" w:type="dxa"/>
            </w:tcMar>
            <w:vAlign w:val="center"/>
          </w:tcPr>
          <w:p w14:paraId="1A7E3DCA" w14:textId="77777777" w:rsidR="00807FFE" w:rsidRDefault="00807FFE">
            <w:pPr>
              <w:pStyle w:val="DMETW36735BIPEUPPE"/>
              <w:rPr>
                <w:rFonts w:ascii="Arial" w:eastAsia="Arial" w:hAnsi="Arial" w:cs="Arial"/>
                <w:noProof/>
                <w:color w:val="000000"/>
                <w:sz w:val="16"/>
              </w:rPr>
            </w:pPr>
          </w:p>
        </w:tc>
        <w:tc>
          <w:tcPr>
            <w:tcW w:w="1247" w:type="dxa"/>
            <w:tcBorders>
              <w:top w:val="single" w:sz="4" w:space="0" w:color="016794"/>
              <w:left w:val="nil"/>
              <w:bottom w:val="nil"/>
              <w:right w:val="nil"/>
              <w:tl2br w:val="nil"/>
              <w:tr2bl w:val="nil"/>
            </w:tcBorders>
            <w:tcMar>
              <w:left w:w="60" w:type="dxa"/>
              <w:right w:w="60" w:type="dxa"/>
            </w:tcMar>
            <w:vAlign w:val="center"/>
          </w:tcPr>
          <w:p w14:paraId="781525AD" w14:textId="77777777" w:rsidR="00807FFE" w:rsidRDefault="00807FFE">
            <w:pPr>
              <w:pStyle w:val="DMETW36735BIPEUPPE"/>
              <w:rPr>
                <w:rFonts w:ascii="Arial" w:eastAsia="Arial" w:hAnsi="Arial" w:cs="Arial"/>
                <w:noProof/>
                <w:color w:val="000000"/>
                <w:sz w:val="16"/>
              </w:rPr>
            </w:pPr>
          </w:p>
        </w:tc>
        <w:tc>
          <w:tcPr>
            <w:tcW w:w="977" w:type="dxa"/>
            <w:tcBorders>
              <w:top w:val="single" w:sz="4" w:space="0" w:color="016794"/>
              <w:left w:val="nil"/>
              <w:bottom w:val="nil"/>
              <w:right w:val="nil"/>
              <w:tl2br w:val="nil"/>
              <w:tr2bl w:val="nil"/>
            </w:tcBorders>
            <w:tcMar>
              <w:left w:w="60" w:type="dxa"/>
              <w:right w:w="60" w:type="dxa"/>
            </w:tcMar>
            <w:vAlign w:val="center"/>
          </w:tcPr>
          <w:p w14:paraId="5E535FFF" w14:textId="77777777" w:rsidR="00807FFE" w:rsidRDefault="00807FFE">
            <w:pPr>
              <w:pStyle w:val="DMETW36735BIPEUPPE"/>
              <w:rPr>
                <w:rFonts w:ascii="Arial" w:eastAsia="Arial" w:hAnsi="Arial" w:cs="Arial"/>
                <w:noProof/>
                <w:color w:val="000000"/>
                <w:sz w:val="16"/>
              </w:rPr>
            </w:pPr>
          </w:p>
        </w:tc>
        <w:tc>
          <w:tcPr>
            <w:tcW w:w="906" w:type="dxa"/>
            <w:tcBorders>
              <w:top w:val="single" w:sz="4" w:space="0" w:color="016794"/>
              <w:left w:val="nil"/>
              <w:bottom w:val="nil"/>
              <w:right w:val="nil"/>
              <w:tl2br w:val="nil"/>
              <w:tr2bl w:val="nil"/>
            </w:tcBorders>
            <w:tcMar>
              <w:left w:w="60" w:type="dxa"/>
              <w:right w:w="60" w:type="dxa"/>
            </w:tcMar>
            <w:vAlign w:val="center"/>
          </w:tcPr>
          <w:p w14:paraId="3F96A71B" w14:textId="77777777" w:rsidR="00807FFE" w:rsidRDefault="00807FFE">
            <w:pPr>
              <w:pStyle w:val="DMETW36735BIPEUPPE"/>
              <w:rPr>
                <w:rFonts w:ascii="Arial" w:eastAsia="Arial" w:hAnsi="Arial" w:cs="Arial"/>
                <w:noProof/>
                <w:color w:val="000000"/>
                <w:sz w:val="16"/>
              </w:rPr>
            </w:pPr>
          </w:p>
        </w:tc>
        <w:tc>
          <w:tcPr>
            <w:tcW w:w="906" w:type="dxa"/>
            <w:tcBorders>
              <w:top w:val="single" w:sz="4" w:space="0" w:color="016794"/>
              <w:left w:val="nil"/>
              <w:bottom w:val="nil"/>
              <w:right w:val="nil"/>
              <w:tl2br w:val="nil"/>
              <w:tr2bl w:val="nil"/>
            </w:tcBorders>
            <w:tcMar>
              <w:left w:w="60" w:type="dxa"/>
              <w:right w:w="60" w:type="dxa"/>
            </w:tcMar>
            <w:vAlign w:val="center"/>
          </w:tcPr>
          <w:p w14:paraId="11959F1D" w14:textId="77777777" w:rsidR="00807FFE" w:rsidRDefault="00807FFE">
            <w:pPr>
              <w:pStyle w:val="DMETW36735BIPEUPPE"/>
              <w:rPr>
                <w:rFonts w:ascii="Arial" w:eastAsia="Arial" w:hAnsi="Arial" w:cs="Arial"/>
                <w:noProof/>
                <w:color w:val="000000"/>
                <w:sz w:val="16"/>
              </w:rPr>
            </w:pPr>
          </w:p>
        </w:tc>
        <w:tc>
          <w:tcPr>
            <w:tcW w:w="1339" w:type="dxa"/>
            <w:tcBorders>
              <w:top w:val="single" w:sz="4" w:space="0" w:color="016794"/>
              <w:left w:val="nil"/>
              <w:bottom w:val="nil"/>
              <w:right w:val="nil"/>
              <w:tl2br w:val="nil"/>
              <w:tr2bl w:val="nil"/>
            </w:tcBorders>
            <w:tcMar>
              <w:left w:w="60" w:type="dxa"/>
              <w:right w:w="60" w:type="dxa"/>
            </w:tcMar>
            <w:vAlign w:val="center"/>
          </w:tcPr>
          <w:p w14:paraId="3405C905" w14:textId="77777777" w:rsidR="00807FFE" w:rsidRDefault="00807FFE">
            <w:pPr>
              <w:pStyle w:val="DMETW36735BIPEUPPE"/>
              <w:rPr>
                <w:rFonts w:ascii="Arial" w:eastAsia="Arial" w:hAnsi="Arial" w:cs="Arial"/>
                <w:noProof/>
                <w:color w:val="000000"/>
                <w:sz w:val="16"/>
              </w:rPr>
            </w:pPr>
          </w:p>
        </w:tc>
        <w:tc>
          <w:tcPr>
            <w:tcW w:w="1025" w:type="dxa"/>
            <w:tcBorders>
              <w:top w:val="single" w:sz="4" w:space="0" w:color="016794"/>
              <w:left w:val="nil"/>
              <w:bottom w:val="nil"/>
              <w:right w:val="nil"/>
              <w:tl2br w:val="nil"/>
              <w:tr2bl w:val="nil"/>
            </w:tcBorders>
            <w:tcMar>
              <w:left w:w="60" w:type="dxa"/>
              <w:right w:w="60" w:type="dxa"/>
            </w:tcMar>
            <w:vAlign w:val="center"/>
          </w:tcPr>
          <w:p w14:paraId="5CFD821B" w14:textId="77777777" w:rsidR="00807FFE" w:rsidRDefault="00807FFE">
            <w:pPr>
              <w:pStyle w:val="DMETW36735BIPEUPPE"/>
              <w:rPr>
                <w:rFonts w:ascii="Arial" w:eastAsia="Arial" w:hAnsi="Arial" w:cs="Arial"/>
                <w:noProof/>
                <w:color w:val="000000"/>
                <w:sz w:val="16"/>
                <w:lang w:bidi="en-GB"/>
              </w:rPr>
            </w:pPr>
          </w:p>
        </w:tc>
      </w:tr>
      <w:tr w:rsidR="00807FFE" w14:paraId="49BF5842" w14:textId="77777777">
        <w:trPr>
          <w:trHeight w:val="255"/>
        </w:trPr>
        <w:tc>
          <w:tcPr>
            <w:tcW w:w="3597" w:type="dxa"/>
            <w:tcBorders>
              <w:top w:val="nil"/>
              <w:left w:val="nil"/>
              <w:bottom w:val="nil"/>
              <w:right w:val="nil"/>
              <w:tl2br w:val="nil"/>
              <w:tr2bl w:val="nil"/>
            </w:tcBorders>
            <w:shd w:val="solid" w:color="CCE1EA" w:fill="FFFFFF"/>
            <w:tcMar>
              <w:left w:w="60" w:type="dxa"/>
              <w:right w:w="60" w:type="dxa"/>
            </w:tcMar>
            <w:vAlign w:val="center"/>
          </w:tcPr>
          <w:p w14:paraId="1FA48E71" w14:textId="77777777" w:rsidR="00807FFE" w:rsidRDefault="00023E71">
            <w:pPr>
              <w:pStyle w:val="DMETW36735BIPEUPPE"/>
              <w:rPr>
                <w:rFonts w:ascii="Verdana" w:eastAsia="Verdana" w:hAnsi="Verdana" w:cs="Verdana"/>
                <w:b/>
                <w:noProof/>
                <w:color w:val="000000"/>
                <w:sz w:val="16"/>
              </w:rPr>
            </w:pPr>
            <w:r>
              <w:rPr>
                <w:rFonts w:ascii="Verdana" w:eastAsia="Verdana" w:hAnsi="Verdana" w:cs="Verdana"/>
                <w:b/>
                <w:noProof/>
                <w:color w:val="000000"/>
                <w:sz w:val="16"/>
              </w:rPr>
              <w:t>NET CARRYING AMOUNT AT 31.12.2025</w:t>
            </w:r>
          </w:p>
        </w:tc>
        <w:tc>
          <w:tcPr>
            <w:tcW w:w="1461" w:type="dxa"/>
            <w:tcBorders>
              <w:top w:val="nil"/>
              <w:left w:val="nil"/>
              <w:bottom w:val="nil"/>
              <w:right w:val="nil"/>
              <w:tl2br w:val="nil"/>
              <w:tr2bl w:val="nil"/>
            </w:tcBorders>
            <w:shd w:val="solid" w:color="CCE1EA" w:fill="FFFFFF"/>
            <w:tcMar>
              <w:left w:w="60" w:type="dxa"/>
              <w:right w:w="60" w:type="dxa"/>
            </w:tcMar>
            <w:vAlign w:val="center"/>
          </w:tcPr>
          <w:p w14:paraId="06F937A2"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2 390</w:t>
            </w:r>
          </w:p>
        </w:tc>
        <w:tc>
          <w:tcPr>
            <w:tcW w:w="1032" w:type="dxa"/>
            <w:tcBorders>
              <w:top w:val="nil"/>
              <w:left w:val="nil"/>
              <w:bottom w:val="nil"/>
              <w:right w:val="nil"/>
              <w:tl2br w:val="nil"/>
              <w:tr2bl w:val="nil"/>
            </w:tcBorders>
            <w:shd w:val="solid" w:color="CCE1EA" w:fill="FFFFFF"/>
            <w:tcMar>
              <w:left w:w="60" w:type="dxa"/>
              <w:right w:w="60" w:type="dxa"/>
            </w:tcMar>
            <w:vAlign w:val="center"/>
          </w:tcPr>
          <w:p w14:paraId="21D7E645"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3 657</w:t>
            </w:r>
          </w:p>
        </w:tc>
        <w:tc>
          <w:tcPr>
            <w:tcW w:w="1025" w:type="dxa"/>
            <w:tcBorders>
              <w:top w:val="nil"/>
              <w:left w:val="nil"/>
              <w:bottom w:val="nil"/>
              <w:right w:val="nil"/>
              <w:tl2br w:val="nil"/>
              <w:tr2bl w:val="nil"/>
            </w:tcBorders>
            <w:shd w:val="solid" w:color="CCE1EA" w:fill="FFFFFF"/>
            <w:tcMar>
              <w:left w:w="60" w:type="dxa"/>
              <w:right w:w="60" w:type="dxa"/>
            </w:tcMar>
            <w:vAlign w:val="center"/>
          </w:tcPr>
          <w:p w14:paraId="72A9A32E"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57</w:t>
            </w:r>
          </w:p>
        </w:tc>
        <w:tc>
          <w:tcPr>
            <w:tcW w:w="1247" w:type="dxa"/>
            <w:tcBorders>
              <w:top w:val="nil"/>
              <w:left w:val="nil"/>
              <w:bottom w:val="nil"/>
              <w:right w:val="nil"/>
              <w:tl2br w:val="nil"/>
              <w:tr2bl w:val="nil"/>
            </w:tcBorders>
            <w:shd w:val="solid" w:color="CCE1EA" w:fill="FFFFFF"/>
            <w:tcMar>
              <w:left w:w="60" w:type="dxa"/>
              <w:right w:w="60" w:type="dxa"/>
            </w:tcMar>
            <w:vAlign w:val="center"/>
          </w:tcPr>
          <w:p w14:paraId="70E60BCD"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70</w:t>
            </w:r>
          </w:p>
        </w:tc>
        <w:tc>
          <w:tcPr>
            <w:tcW w:w="977" w:type="dxa"/>
            <w:tcBorders>
              <w:top w:val="nil"/>
              <w:left w:val="nil"/>
              <w:bottom w:val="nil"/>
              <w:right w:val="nil"/>
              <w:tl2br w:val="nil"/>
              <w:tr2bl w:val="nil"/>
            </w:tcBorders>
            <w:shd w:val="solid" w:color="CCE1EA" w:fill="FFFFFF"/>
            <w:tcMar>
              <w:left w:w="60" w:type="dxa"/>
              <w:right w:w="60" w:type="dxa"/>
            </w:tcMar>
            <w:vAlign w:val="center"/>
          </w:tcPr>
          <w:p w14:paraId="445FAD7C"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138</w:t>
            </w:r>
          </w:p>
        </w:tc>
        <w:tc>
          <w:tcPr>
            <w:tcW w:w="906" w:type="dxa"/>
            <w:tcBorders>
              <w:top w:val="nil"/>
              <w:left w:val="nil"/>
              <w:bottom w:val="nil"/>
              <w:right w:val="nil"/>
              <w:tl2br w:val="nil"/>
              <w:tr2bl w:val="nil"/>
            </w:tcBorders>
            <w:shd w:val="solid" w:color="CCE1EA" w:fill="FFFFFF"/>
            <w:tcMar>
              <w:left w:w="60" w:type="dxa"/>
              <w:right w:w="60" w:type="dxa"/>
            </w:tcMar>
            <w:vAlign w:val="center"/>
          </w:tcPr>
          <w:p w14:paraId="258F4B2F"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77</w:t>
            </w:r>
          </w:p>
        </w:tc>
        <w:tc>
          <w:tcPr>
            <w:tcW w:w="906" w:type="dxa"/>
            <w:tcBorders>
              <w:top w:val="nil"/>
              <w:left w:val="nil"/>
              <w:bottom w:val="nil"/>
              <w:right w:val="nil"/>
              <w:tl2br w:val="nil"/>
              <w:tr2bl w:val="nil"/>
            </w:tcBorders>
            <w:shd w:val="solid" w:color="CCE1EA" w:fill="FFFFFF"/>
            <w:tcMar>
              <w:left w:w="60" w:type="dxa"/>
              <w:right w:w="60" w:type="dxa"/>
            </w:tcMar>
            <w:vAlign w:val="center"/>
          </w:tcPr>
          <w:p w14:paraId="05441B73"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 xml:space="preserve"> 696</w:t>
            </w:r>
          </w:p>
        </w:tc>
        <w:tc>
          <w:tcPr>
            <w:tcW w:w="1339" w:type="dxa"/>
            <w:tcBorders>
              <w:top w:val="nil"/>
              <w:left w:val="nil"/>
              <w:bottom w:val="nil"/>
              <w:right w:val="nil"/>
              <w:tl2br w:val="nil"/>
              <w:tr2bl w:val="nil"/>
            </w:tcBorders>
            <w:shd w:val="solid" w:color="CCE1EA" w:fill="FFFFFF"/>
            <w:tcMar>
              <w:left w:w="60" w:type="dxa"/>
              <w:right w:w="60" w:type="dxa"/>
            </w:tcMar>
            <w:vAlign w:val="center"/>
          </w:tcPr>
          <w:p w14:paraId="20DDC84C" w14:textId="77777777" w:rsidR="00807FFE" w:rsidRDefault="00023E71">
            <w:pPr>
              <w:pStyle w:val="DMETW36735BIPEUPPE"/>
              <w:jc w:val="right"/>
              <w:rPr>
                <w:rFonts w:ascii="Verdana" w:eastAsia="Verdana" w:hAnsi="Verdana" w:cs="Verdana"/>
                <w:b/>
                <w:noProof/>
                <w:color w:val="000000"/>
                <w:sz w:val="16"/>
              </w:rPr>
            </w:pPr>
            <w:r>
              <w:rPr>
                <w:rFonts w:ascii="Verdana" w:eastAsia="Verdana" w:hAnsi="Verdana" w:cs="Verdana"/>
                <w:b/>
                <w:noProof/>
                <w:color w:val="000000"/>
                <w:sz w:val="16"/>
              </w:rPr>
              <w:t>7 671</w:t>
            </w:r>
          </w:p>
        </w:tc>
        <w:tc>
          <w:tcPr>
            <w:tcW w:w="1025" w:type="dxa"/>
            <w:tcBorders>
              <w:top w:val="nil"/>
              <w:left w:val="nil"/>
              <w:bottom w:val="nil"/>
              <w:right w:val="nil"/>
              <w:tl2br w:val="nil"/>
              <w:tr2bl w:val="nil"/>
            </w:tcBorders>
            <w:shd w:val="solid" w:color="CCE1EA" w:fill="FFFFFF"/>
            <w:tcMar>
              <w:left w:w="60" w:type="dxa"/>
              <w:right w:w="60" w:type="dxa"/>
            </w:tcMar>
            <w:vAlign w:val="center"/>
          </w:tcPr>
          <w:p w14:paraId="7759C3F4" w14:textId="77777777" w:rsidR="00807FFE" w:rsidRDefault="00023E71">
            <w:pPr>
              <w:pStyle w:val="DMETW36735BIPEUPPE"/>
              <w:jc w:val="right"/>
              <w:rPr>
                <w:rFonts w:ascii="Verdana" w:eastAsia="Verdana" w:hAnsi="Verdana" w:cs="Verdana"/>
                <w:b/>
                <w:noProof/>
                <w:color w:val="000000"/>
                <w:sz w:val="16"/>
                <w:lang w:bidi="en-GB"/>
              </w:rPr>
            </w:pPr>
            <w:r>
              <w:rPr>
                <w:rFonts w:ascii="Verdana" w:eastAsia="Verdana" w:hAnsi="Verdana" w:cs="Verdana"/>
                <w:b/>
                <w:noProof/>
                <w:color w:val="000000"/>
                <w:sz w:val="16"/>
              </w:rPr>
              <w:t>14 756</w:t>
            </w:r>
          </w:p>
        </w:tc>
      </w:tr>
      <w:tr w:rsidR="00807FFE" w14:paraId="5DB9A495" w14:textId="77777777">
        <w:trPr>
          <w:trHeight w:val="255"/>
        </w:trPr>
        <w:tc>
          <w:tcPr>
            <w:tcW w:w="3597" w:type="dxa"/>
            <w:tcBorders>
              <w:top w:val="nil"/>
              <w:left w:val="nil"/>
              <w:bottom w:val="nil"/>
              <w:right w:val="nil"/>
              <w:tl2br w:val="nil"/>
              <w:tr2bl w:val="nil"/>
            </w:tcBorders>
            <w:tcMar>
              <w:left w:w="60" w:type="dxa"/>
              <w:right w:w="60" w:type="dxa"/>
            </w:tcMar>
            <w:vAlign w:val="center"/>
          </w:tcPr>
          <w:p w14:paraId="4CA9B61D" w14:textId="77777777" w:rsidR="00807FFE" w:rsidRDefault="00023E71">
            <w:pPr>
              <w:pStyle w:val="DMETW36735BIPEUPPE"/>
              <w:rPr>
                <w:rFonts w:ascii="Verdana" w:eastAsia="Verdana" w:hAnsi="Verdana" w:cs="Verdana"/>
                <w:i/>
                <w:noProof/>
                <w:color w:val="000000"/>
                <w:sz w:val="16"/>
              </w:rPr>
            </w:pPr>
            <w:r>
              <w:rPr>
                <w:rFonts w:ascii="Verdana" w:eastAsia="Verdana" w:hAnsi="Verdana" w:cs="Verdana"/>
                <w:i/>
                <w:noProof/>
                <w:color w:val="000000"/>
                <w:sz w:val="16"/>
              </w:rPr>
              <w:t>NET CARRYING AMOUNT AT 31.12.2024</w:t>
            </w:r>
          </w:p>
        </w:tc>
        <w:tc>
          <w:tcPr>
            <w:tcW w:w="1461" w:type="dxa"/>
            <w:tcBorders>
              <w:top w:val="nil"/>
              <w:left w:val="nil"/>
              <w:bottom w:val="nil"/>
              <w:right w:val="nil"/>
              <w:tl2br w:val="nil"/>
              <w:tr2bl w:val="nil"/>
            </w:tcBorders>
            <w:tcMar>
              <w:left w:w="60" w:type="dxa"/>
              <w:right w:w="60" w:type="dxa"/>
            </w:tcMar>
            <w:vAlign w:val="center"/>
          </w:tcPr>
          <w:p w14:paraId="25BC641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2 420</w:t>
            </w:r>
          </w:p>
        </w:tc>
        <w:tc>
          <w:tcPr>
            <w:tcW w:w="1032" w:type="dxa"/>
            <w:tcBorders>
              <w:top w:val="nil"/>
              <w:left w:val="nil"/>
              <w:bottom w:val="nil"/>
              <w:right w:val="nil"/>
              <w:tl2br w:val="nil"/>
              <w:tr2bl w:val="nil"/>
            </w:tcBorders>
            <w:tcMar>
              <w:left w:w="60" w:type="dxa"/>
              <w:right w:w="60" w:type="dxa"/>
            </w:tcMar>
            <w:vAlign w:val="center"/>
          </w:tcPr>
          <w:p w14:paraId="47584289"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3 639</w:t>
            </w:r>
          </w:p>
        </w:tc>
        <w:tc>
          <w:tcPr>
            <w:tcW w:w="1025" w:type="dxa"/>
            <w:tcBorders>
              <w:top w:val="nil"/>
              <w:left w:val="nil"/>
              <w:bottom w:val="nil"/>
              <w:right w:val="nil"/>
              <w:tl2br w:val="nil"/>
              <w:tr2bl w:val="nil"/>
            </w:tcBorders>
            <w:tcMar>
              <w:left w:w="60" w:type="dxa"/>
              <w:right w:w="60" w:type="dxa"/>
            </w:tcMar>
            <w:vAlign w:val="center"/>
          </w:tcPr>
          <w:p w14:paraId="1FFD517F"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60</w:t>
            </w:r>
          </w:p>
        </w:tc>
        <w:tc>
          <w:tcPr>
            <w:tcW w:w="1247" w:type="dxa"/>
            <w:tcBorders>
              <w:top w:val="nil"/>
              <w:left w:val="nil"/>
              <w:bottom w:val="nil"/>
              <w:right w:val="nil"/>
              <w:tl2br w:val="nil"/>
              <w:tr2bl w:val="nil"/>
            </w:tcBorders>
            <w:tcMar>
              <w:left w:w="60" w:type="dxa"/>
              <w:right w:w="60" w:type="dxa"/>
            </w:tcMar>
            <w:vAlign w:val="center"/>
          </w:tcPr>
          <w:p w14:paraId="542C32CD"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76</w:t>
            </w:r>
          </w:p>
        </w:tc>
        <w:tc>
          <w:tcPr>
            <w:tcW w:w="977" w:type="dxa"/>
            <w:tcBorders>
              <w:top w:val="nil"/>
              <w:left w:val="nil"/>
              <w:bottom w:val="nil"/>
              <w:right w:val="nil"/>
              <w:tl2br w:val="nil"/>
              <w:tr2bl w:val="nil"/>
            </w:tcBorders>
            <w:tcMar>
              <w:left w:w="60" w:type="dxa"/>
              <w:right w:w="60" w:type="dxa"/>
            </w:tcMar>
            <w:vAlign w:val="center"/>
          </w:tcPr>
          <w:p w14:paraId="3EA5CF1E"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139</w:t>
            </w:r>
          </w:p>
        </w:tc>
        <w:tc>
          <w:tcPr>
            <w:tcW w:w="906" w:type="dxa"/>
            <w:tcBorders>
              <w:top w:val="nil"/>
              <w:left w:val="nil"/>
              <w:bottom w:val="nil"/>
              <w:right w:val="nil"/>
              <w:tl2br w:val="nil"/>
              <w:tr2bl w:val="nil"/>
            </w:tcBorders>
            <w:tcMar>
              <w:left w:w="60" w:type="dxa"/>
              <w:right w:w="60" w:type="dxa"/>
            </w:tcMar>
            <w:vAlign w:val="center"/>
          </w:tcPr>
          <w:p w14:paraId="7A079A45"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84</w:t>
            </w:r>
          </w:p>
        </w:tc>
        <w:tc>
          <w:tcPr>
            <w:tcW w:w="906" w:type="dxa"/>
            <w:tcBorders>
              <w:top w:val="nil"/>
              <w:left w:val="nil"/>
              <w:bottom w:val="nil"/>
              <w:right w:val="nil"/>
              <w:tl2br w:val="nil"/>
              <w:tr2bl w:val="nil"/>
            </w:tcBorders>
            <w:tcMar>
              <w:left w:w="60" w:type="dxa"/>
              <w:right w:w="60" w:type="dxa"/>
            </w:tcMar>
            <w:vAlign w:val="center"/>
          </w:tcPr>
          <w:p w14:paraId="10B64A3F"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 xml:space="preserve"> 766</w:t>
            </w:r>
          </w:p>
        </w:tc>
        <w:tc>
          <w:tcPr>
            <w:tcW w:w="1339" w:type="dxa"/>
            <w:tcBorders>
              <w:top w:val="nil"/>
              <w:left w:val="nil"/>
              <w:bottom w:val="nil"/>
              <w:right w:val="nil"/>
              <w:tl2br w:val="nil"/>
              <w:tr2bl w:val="nil"/>
            </w:tcBorders>
            <w:tcMar>
              <w:left w:w="60" w:type="dxa"/>
              <w:right w:w="60" w:type="dxa"/>
            </w:tcMar>
            <w:vAlign w:val="center"/>
          </w:tcPr>
          <w:p w14:paraId="3C4B0C0F"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6 528</w:t>
            </w:r>
          </w:p>
        </w:tc>
        <w:tc>
          <w:tcPr>
            <w:tcW w:w="1025" w:type="dxa"/>
            <w:tcBorders>
              <w:top w:val="nil"/>
              <w:left w:val="nil"/>
              <w:bottom w:val="nil"/>
              <w:right w:val="nil"/>
              <w:tl2br w:val="nil"/>
              <w:tr2bl w:val="nil"/>
            </w:tcBorders>
            <w:tcMar>
              <w:left w:w="60" w:type="dxa"/>
              <w:right w:w="60" w:type="dxa"/>
            </w:tcMar>
            <w:vAlign w:val="center"/>
          </w:tcPr>
          <w:p w14:paraId="261A65A1" w14:textId="77777777" w:rsidR="00807FFE" w:rsidRDefault="00023E71">
            <w:pPr>
              <w:pStyle w:val="DMETW36735BIPEUPPE"/>
              <w:jc w:val="right"/>
              <w:rPr>
                <w:rFonts w:ascii="Verdana" w:eastAsia="Verdana" w:hAnsi="Verdana" w:cs="Verdana"/>
                <w:i/>
                <w:noProof/>
                <w:color w:val="000000"/>
                <w:sz w:val="16"/>
              </w:rPr>
            </w:pPr>
            <w:r>
              <w:rPr>
                <w:rFonts w:ascii="Verdana" w:eastAsia="Verdana" w:hAnsi="Verdana" w:cs="Verdana"/>
                <w:i/>
                <w:noProof/>
                <w:color w:val="000000"/>
                <w:sz w:val="16"/>
              </w:rPr>
              <w:t>13 713</w:t>
            </w:r>
          </w:p>
        </w:tc>
      </w:tr>
      <w:bookmarkEnd w:id="87"/>
    </w:tbl>
    <w:p w14:paraId="35EBD2D4" w14:textId="77777777" w:rsidR="00A77B3E" w:rsidRDefault="00A77B3E">
      <w:pPr>
        <w:rPr>
          <w:noProof/>
        </w:rPr>
        <w:sectPr w:rsidR="00A77B3E">
          <w:headerReference w:type="even" r:id="rId73"/>
          <w:headerReference w:type="default" r:id="rId74"/>
          <w:footerReference w:type="even" r:id="rId75"/>
          <w:footerReference w:type="default" r:id="rId76"/>
          <w:headerReference w:type="first" r:id="rId77"/>
          <w:footerReference w:type="first" r:id="rId78"/>
          <w:pgSz w:w="16838" w:h="11906" w:orient="landscape" w:code="9"/>
          <w:pgMar w:top="1134" w:right="1134" w:bottom="1134" w:left="1134" w:header="708" w:footer="708" w:gutter="0"/>
          <w:cols w:space="708"/>
          <w:docGrid w:linePitch="360"/>
        </w:sectPr>
      </w:pPr>
    </w:p>
    <w:p w14:paraId="3303DBAB" w14:textId="77777777" w:rsidR="0039409E" w:rsidRDefault="00023E71" w:rsidP="00172034">
      <w:pPr>
        <w:pStyle w:val="HEADER2NOTES"/>
        <w:numPr>
          <w:ilvl w:val="1"/>
          <w:numId w:val="15"/>
        </w:numPr>
        <w:rPr>
          <w:noProof/>
        </w:rPr>
      </w:pPr>
      <w:bookmarkStart w:id="89" w:name="_Hlk176531632"/>
      <w:bookmarkStart w:id="90" w:name="_DMBM_36683"/>
      <w:r w:rsidRPr="006B7CE1">
        <w:rPr>
          <w:noProof/>
        </w:rPr>
        <w:t>INVESTMENTS ACCOUNTED FOR USING THE EQUITY METHOD</w:t>
      </w:r>
    </w:p>
    <w:bookmarkEnd w:id="89"/>
    <w:p w14:paraId="360F01FE" w14:textId="77777777" w:rsidR="00C117BB" w:rsidRDefault="00023E71" w:rsidP="0039409E">
      <w:pPr>
        <w:pStyle w:val="DGTextstand-alone"/>
      </w:pPr>
      <w:r w:rsidRPr="00F00013">
        <w:t>The participation of the EU</w:t>
      </w:r>
      <w:r>
        <w:t>, represented by the Commission,</w:t>
      </w:r>
      <w:r w:rsidRPr="00F00013">
        <w:t xml:space="preserve"> in the European Investment Fund (EIF) is treated as an associate using the equity method of accounting. The EIF is the EU's financial institution specialising in providing risk capital and guarantees to Small and Medium-sized Entities (SMEs). The EIF operates as a private-public partnership, whose members are the European Investment Bank (EIB), the EU and a group of financial </w:t>
      </w:r>
      <w:r w:rsidR="000530DB">
        <w:t>i</w:t>
      </w:r>
      <w:r w:rsidR="000F37E8">
        <w:t xml:space="preserve">nstitutions. </w:t>
      </w:r>
    </w:p>
    <w:p w14:paraId="78CC4310" w14:textId="77777777" w:rsidR="00A35F26" w:rsidRDefault="00023E71" w:rsidP="0065362D">
      <w:pPr>
        <w:pStyle w:val="DGTextstand-alone"/>
      </w:pPr>
      <w:r>
        <w:t>At 31 December 2025, the EU holds</w:t>
      </w:r>
      <w:r w:rsidR="00C117BB" w:rsidRPr="00F00013">
        <w:t xml:space="preserve"> </w:t>
      </w:r>
      <w:r w:rsidR="00125A78">
        <w:t>29.7</w:t>
      </w:r>
      <w:r w:rsidR="00C117BB" w:rsidRPr="002653E5">
        <w:t>%</w:t>
      </w:r>
      <w:r w:rsidR="00C117BB" w:rsidRPr="00F00013">
        <w:t xml:space="preserve"> of </w:t>
      </w:r>
      <w:bookmarkStart w:id="91" w:name="OLE_LINK1"/>
      <w:bookmarkStart w:id="92" w:name="OLE_LINK2"/>
      <w:r w:rsidR="00C117BB" w:rsidRPr="00F00013">
        <w:t xml:space="preserve">ownership interests </w:t>
      </w:r>
      <w:bookmarkEnd w:id="91"/>
      <w:bookmarkEnd w:id="92"/>
      <w:r w:rsidR="00C117BB" w:rsidRPr="00F00013">
        <w:t xml:space="preserve">in </w:t>
      </w:r>
      <w:r w:rsidR="00C117BB">
        <w:t xml:space="preserve">the </w:t>
      </w:r>
      <w:r>
        <w:t>EIF (2024</w:t>
      </w:r>
      <w:r w:rsidR="00C117BB" w:rsidRPr="00F00013">
        <w:t xml:space="preserve">: </w:t>
      </w:r>
      <w:r w:rsidR="00A12EFF">
        <w:t>29.7</w:t>
      </w:r>
      <w:r w:rsidR="00C117BB" w:rsidRPr="002653E5">
        <w:t xml:space="preserve">%) and </w:t>
      </w:r>
      <w:r w:rsidR="00125A78">
        <w:t>29.7</w:t>
      </w:r>
      <w:r w:rsidR="00C117BB" w:rsidRPr="002653E5">
        <w:t>%</w:t>
      </w:r>
      <w:r>
        <w:t xml:space="preserve"> of the voting rights (2024: </w:t>
      </w:r>
      <w:r w:rsidR="00A12EFF">
        <w:t>29.7</w:t>
      </w:r>
      <w:r w:rsidR="00C117BB" w:rsidRPr="00F00013">
        <w:t xml:space="preserve">%). </w:t>
      </w:r>
      <w:r w:rsidRPr="00510E34">
        <w:t>In accordance with its statutes, the EIF is required to allocate at least 20% of its annual net result to a statutory reserve, until the aggregate reserve amounts to 10% of subscribed capital. This reserve is not available for distribution.</w:t>
      </w:r>
    </w:p>
    <w:p w14:paraId="4F35BC31" w14:textId="77777777" w:rsidR="0039409E" w:rsidRDefault="00023E71" w:rsidP="0039409E">
      <w:pPr>
        <w:pStyle w:val="DGTextstand-alone"/>
      </w:pPr>
      <w:r>
        <w:t xml:space="preserve">The table below shows the </w:t>
      </w:r>
      <w:r w:rsidR="00112F3D">
        <w:t xml:space="preserve">current year’s movement </w:t>
      </w:r>
      <w:r>
        <w:t>of the EU’s partic</w:t>
      </w:r>
      <w:r w:rsidR="00112F3D">
        <w:t>ipation in the EIF.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0"/>
        <w:gridCol w:w="3418"/>
      </w:tblGrid>
      <w:tr w:rsidR="00807FFE" w14:paraId="33E99A73" w14:textId="77777777">
        <w:trPr>
          <w:trHeight w:val="255"/>
        </w:trPr>
        <w:tc>
          <w:tcPr>
            <w:tcW w:w="6340" w:type="dxa"/>
            <w:tcBorders>
              <w:top w:val="nil"/>
              <w:left w:val="nil"/>
              <w:bottom w:val="nil"/>
              <w:right w:val="nil"/>
              <w:tl2br w:val="nil"/>
              <w:tr2bl w:val="nil"/>
            </w:tcBorders>
            <w:tcMar>
              <w:left w:w="60" w:type="dxa"/>
              <w:right w:w="60" w:type="dxa"/>
            </w:tcMar>
            <w:vAlign w:val="bottom"/>
          </w:tcPr>
          <w:p w14:paraId="5B81758C" w14:textId="77777777" w:rsidR="00807FFE" w:rsidRDefault="00807FFE">
            <w:pPr>
              <w:pStyle w:val="DMETW36650BIPPARTASS1"/>
              <w:rPr>
                <w:rFonts w:ascii="Arial" w:eastAsia="Arial" w:hAnsi="Arial" w:cs="Arial"/>
                <w:noProof/>
                <w:color w:val="000000"/>
                <w:sz w:val="16"/>
                <w:lang w:bidi="en-GB"/>
              </w:rPr>
            </w:pPr>
            <w:bookmarkStart w:id="93" w:name="DOC_TBL00009_1_1"/>
            <w:bookmarkEnd w:id="93"/>
          </w:p>
        </w:tc>
        <w:tc>
          <w:tcPr>
            <w:tcW w:w="3418" w:type="dxa"/>
            <w:tcBorders>
              <w:top w:val="nil"/>
              <w:left w:val="nil"/>
              <w:bottom w:val="nil"/>
              <w:right w:val="nil"/>
              <w:tl2br w:val="nil"/>
              <w:tr2bl w:val="nil"/>
            </w:tcBorders>
            <w:tcMar>
              <w:left w:w="60" w:type="dxa"/>
              <w:right w:w="60" w:type="dxa"/>
            </w:tcMar>
            <w:vAlign w:val="bottom"/>
          </w:tcPr>
          <w:p w14:paraId="10875C38" w14:textId="77777777" w:rsidR="00807FFE" w:rsidRDefault="00023E71">
            <w:pPr>
              <w:pStyle w:val="DMETW36650BIPPARTASS1"/>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AD57BF0" w14:textId="77777777">
        <w:trPr>
          <w:trHeight w:val="255"/>
        </w:trPr>
        <w:tc>
          <w:tcPr>
            <w:tcW w:w="6340" w:type="dxa"/>
            <w:tcBorders>
              <w:top w:val="nil"/>
              <w:left w:val="nil"/>
              <w:bottom w:val="nil"/>
              <w:right w:val="nil"/>
              <w:tl2br w:val="nil"/>
              <w:tr2bl w:val="nil"/>
            </w:tcBorders>
            <w:shd w:val="solid" w:color="016794" w:fill="FFFFFF"/>
            <w:tcMar>
              <w:left w:w="60" w:type="dxa"/>
              <w:right w:w="60" w:type="dxa"/>
            </w:tcMar>
            <w:vAlign w:val="bottom"/>
          </w:tcPr>
          <w:p w14:paraId="23D6F9E8" w14:textId="77777777" w:rsidR="00807FFE" w:rsidRDefault="00807FFE">
            <w:pPr>
              <w:pStyle w:val="DMETW36650BIPPARTASS1"/>
              <w:rPr>
                <w:rFonts w:ascii="Arial" w:eastAsia="Arial" w:hAnsi="Arial" w:cs="Arial"/>
                <w:noProof/>
                <w:color w:val="000000"/>
              </w:rPr>
            </w:pPr>
          </w:p>
        </w:tc>
        <w:tc>
          <w:tcPr>
            <w:tcW w:w="3418" w:type="dxa"/>
            <w:tcBorders>
              <w:top w:val="nil"/>
              <w:left w:val="nil"/>
              <w:bottom w:val="nil"/>
              <w:right w:val="nil"/>
              <w:tl2br w:val="nil"/>
              <w:tr2bl w:val="nil"/>
            </w:tcBorders>
            <w:shd w:val="solid" w:color="016794" w:fill="FFFFFF"/>
            <w:tcMar>
              <w:left w:w="60" w:type="dxa"/>
              <w:right w:w="60" w:type="dxa"/>
            </w:tcMar>
            <w:vAlign w:val="center"/>
          </w:tcPr>
          <w:p w14:paraId="093E01BE" w14:textId="77777777" w:rsidR="00807FFE" w:rsidRDefault="00023E71">
            <w:pPr>
              <w:pStyle w:val="DMETW36650BIPPARTASS1"/>
              <w:jc w:val="right"/>
              <w:rPr>
                <w:rFonts w:ascii="Verdana" w:eastAsia="Verdana" w:hAnsi="Verdana" w:cs="Verdana"/>
                <w:noProof/>
                <w:color w:val="FFFFFF"/>
                <w:lang w:bidi="en-GB"/>
              </w:rPr>
            </w:pPr>
            <w:r>
              <w:rPr>
                <w:rFonts w:ascii="Verdana" w:eastAsia="Verdana" w:hAnsi="Verdana" w:cs="Verdana"/>
                <w:noProof/>
                <w:color w:val="FFFFFF"/>
              </w:rPr>
              <w:t>European Investment Fund</w:t>
            </w:r>
          </w:p>
        </w:tc>
      </w:tr>
      <w:tr w:rsidR="00807FFE" w14:paraId="7F503665" w14:textId="77777777">
        <w:trPr>
          <w:trHeight w:val="255"/>
        </w:trPr>
        <w:tc>
          <w:tcPr>
            <w:tcW w:w="6340" w:type="dxa"/>
            <w:tcBorders>
              <w:top w:val="nil"/>
              <w:left w:val="nil"/>
              <w:bottom w:val="nil"/>
              <w:right w:val="nil"/>
              <w:tl2br w:val="nil"/>
              <w:tr2bl w:val="nil"/>
            </w:tcBorders>
            <w:shd w:val="solid" w:color="CCE1EA" w:fill="FFFFFF"/>
            <w:tcMar>
              <w:left w:w="60" w:type="dxa"/>
              <w:right w:w="60" w:type="dxa"/>
            </w:tcMar>
            <w:vAlign w:val="center"/>
          </w:tcPr>
          <w:p w14:paraId="5B007C94" w14:textId="77777777" w:rsidR="00807FFE" w:rsidRDefault="00023E71">
            <w:pPr>
              <w:pStyle w:val="DMETW36650BIPPARTASS1"/>
              <w:rPr>
                <w:rFonts w:ascii="Verdana" w:eastAsia="Verdana" w:hAnsi="Verdana" w:cs="Verdana"/>
                <w:b/>
                <w:noProof/>
                <w:color w:val="000000"/>
                <w:sz w:val="18"/>
              </w:rPr>
            </w:pPr>
            <w:r>
              <w:rPr>
                <w:rFonts w:ascii="Verdana" w:eastAsia="Verdana" w:hAnsi="Verdana" w:cs="Verdana"/>
                <w:b/>
                <w:noProof/>
                <w:color w:val="000000"/>
                <w:sz w:val="18"/>
              </w:rPr>
              <w:t>Participation at 31.12.2024</w:t>
            </w:r>
          </w:p>
        </w:tc>
        <w:tc>
          <w:tcPr>
            <w:tcW w:w="3418" w:type="dxa"/>
            <w:tcBorders>
              <w:top w:val="nil"/>
              <w:left w:val="nil"/>
              <w:bottom w:val="nil"/>
              <w:right w:val="nil"/>
              <w:tl2br w:val="nil"/>
              <w:tr2bl w:val="nil"/>
            </w:tcBorders>
            <w:shd w:val="solid" w:color="CCE1EA" w:fill="FFFFFF"/>
            <w:tcMar>
              <w:left w:w="60" w:type="dxa"/>
              <w:right w:w="60" w:type="dxa"/>
            </w:tcMar>
            <w:vAlign w:val="bottom"/>
          </w:tcPr>
          <w:p w14:paraId="3CB8242A" w14:textId="77777777" w:rsidR="00807FFE" w:rsidRDefault="00023E71">
            <w:pPr>
              <w:pStyle w:val="DMETW36650BIPPARTASS1"/>
              <w:jc w:val="right"/>
              <w:rPr>
                <w:rFonts w:ascii="Verdana" w:eastAsia="Verdana" w:hAnsi="Verdana" w:cs="Verdana"/>
                <w:b/>
                <w:noProof/>
                <w:color w:val="000000"/>
                <w:sz w:val="18"/>
                <w:lang w:bidi="en-GB"/>
              </w:rPr>
            </w:pPr>
            <w:r>
              <w:rPr>
                <w:rFonts w:ascii="Verdana" w:eastAsia="Verdana" w:hAnsi="Verdana" w:cs="Verdana"/>
                <w:b/>
                <w:noProof/>
                <w:color w:val="000000"/>
                <w:sz w:val="18"/>
              </w:rPr>
              <w:t>1 446</w:t>
            </w:r>
          </w:p>
        </w:tc>
      </w:tr>
      <w:tr w:rsidR="00807FFE" w14:paraId="443F5988" w14:textId="77777777">
        <w:trPr>
          <w:trHeight w:val="255"/>
        </w:trPr>
        <w:tc>
          <w:tcPr>
            <w:tcW w:w="6340" w:type="dxa"/>
            <w:tcBorders>
              <w:top w:val="nil"/>
              <w:left w:val="nil"/>
              <w:bottom w:val="nil"/>
              <w:right w:val="nil"/>
              <w:tl2br w:val="nil"/>
              <w:tr2bl w:val="nil"/>
            </w:tcBorders>
            <w:tcMar>
              <w:left w:w="60" w:type="dxa"/>
              <w:right w:w="60" w:type="dxa"/>
            </w:tcMar>
            <w:vAlign w:val="center"/>
          </w:tcPr>
          <w:p w14:paraId="4343CA69" w14:textId="77777777" w:rsidR="00807FFE" w:rsidRDefault="00023E71">
            <w:pPr>
              <w:pStyle w:val="DMETW36650BIPPARTASS1"/>
              <w:rPr>
                <w:rFonts w:ascii="Verdana" w:eastAsia="Verdana" w:hAnsi="Verdana" w:cs="Verdana"/>
                <w:i/>
                <w:noProof/>
                <w:color w:val="000000"/>
                <w:sz w:val="18"/>
              </w:rPr>
            </w:pPr>
            <w:r>
              <w:rPr>
                <w:rFonts w:ascii="Verdana" w:eastAsia="Verdana" w:hAnsi="Verdana" w:cs="Verdana"/>
                <w:i/>
                <w:noProof/>
                <w:color w:val="000000"/>
                <w:sz w:val="18"/>
              </w:rPr>
              <w:t>Contributions</w:t>
            </w:r>
          </w:p>
        </w:tc>
        <w:tc>
          <w:tcPr>
            <w:tcW w:w="3418" w:type="dxa"/>
            <w:tcBorders>
              <w:top w:val="nil"/>
              <w:left w:val="nil"/>
              <w:bottom w:val="nil"/>
              <w:right w:val="nil"/>
              <w:tl2br w:val="nil"/>
              <w:tr2bl w:val="nil"/>
            </w:tcBorders>
            <w:tcMar>
              <w:left w:w="60" w:type="dxa"/>
              <w:right w:w="60" w:type="dxa"/>
            </w:tcMar>
            <w:vAlign w:val="bottom"/>
          </w:tcPr>
          <w:p w14:paraId="1AB8F297" w14:textId="77777777" w:rsidR="00807FFE" w:rsidRDefault="00023E71">
            <w:pPr>
              <w:pStyle w:val="DMETW36650BIPPARTASS1"/>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1D6094DE" w14:textId="77777777">
        <w:trPr>
          <w:trHeight w:val="255"/>
        </w:trPr>
        <w:tc>
          <w:tcPr>
            <w:tcW w:w="6340" w:type="dxa"/>
            <w:tcBorders>
              <w:top w:val="nil"/>
              <w:left w:val="nil"/>
              <w:bottom w:val="nil"/>
              <w:right w:val="nil"/>
              <w:tl2br w:val="nil"/>
              <w:tr2bl w:val="nil"/>
            </w:tcBorders>
            <w:tcMar>
              <w:left w:w="60" w:type="dxa"/>
              <w:right w:w="60" w:type="dxa"/>
            </w:tcMar>
            <w:vAlign w:val="center"/>
          </w:tcPr>
          <w:p w14:paraId="4D5A859B" w14:textId="77777777" w:rsidR="00807FFE" w:rsidRDefault="00023E71">
            <w:pPr>
              <w:pStyle w:val="DMETW36650BIPPARTASS1"/>
              <w:rPr>
                <w:rFonts w:ascii="Verdana" w:eastAsia="Verdana" w:hAnsi="Verdana" w:cs="Verdana"/>
                <w:i/>
                <w:noProof/>
                <w:color w:val="000000"/>
                <w:sz w:val="18"/>
              </w:rPr>
            </w:pPr>
            <w:r>
              <w:rPr>
                <w:rFonts w:ascii="Verdana" w:eastAsia="Verdana" w:hAnsi="Verdana" w:cs="Verdana"/>
                <w:i/>
                <w:noProof/>
                <w:color w:val="000000"/>
                <w:sz w:val="18"/>
              </w:rPr>
              <w:t>Dividends received</w:t>
            </w:r>
          </w:p>
        </w:tc>
        <w:tc>
          <w:tcPr>
            <w:tcW w:w="3418" w:type="dxa"/>
            <w:tcBorders>
              <w:top w:val="nil"/>
              <w:left w:val="nil"/>
              <w:bottom w:val="nil"/>
              <w:right w:val="nil"/>
              <w:tl2br w:val="nil"/>
              <w:tr2bl w:val="nil"/>
            </w:tcBorders>
            <w:tcMar>
              <w:left w:w="60" w:type="dxa"/>
              <w:right w:w="60" w:type="dxa"/>
            </w:tcMar>
            <w:vAlign w:val="bottom"/>
          </w:tcPr>
          <w:p w14:paraId="24C464ED" w14:textId="77777777" w:rsidR="00807FFE" w:rsidRDefault="00023E71">
            <w:pPr>
              <w:pStyle w:val="DMETW36650BIPPARTASS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w:t>
            </w:r>
          </w:p>
        </w:tc>
      </w:tr>
      <w:tr w:rsidR="00807FFE" w14:paraId="5D3AA69D" w14:textId="77777777">
        <w:trPr>
          <w:trHeight w:val="255"/>
        </w:trPr>
        <w:tc>
          <w:tcPr>
            <w:tcW w:w="6340" w:type="dxa"/>
            <w:tcBorders>
              <w:top w:val="nil"/>
              <w:left w:val="nil"/>
              <w:bottom w:val="nil"/>
              <w:right w:val="nil"/>
              <w:tl2br w:val="nil"/>
              <w:tr2bl w:val="nil"/>
            </w:tcBorders>
            <w:tcMar>
              <w:left w:w="60" w:type="dxa"/>
              <w:right w:w="60" w:type="dxa"/>
            </w:tcMar>
            <w:vAlign w:val="center"/>
          </w:tcPr>
          <w:p w14:paraId="1D3BC80A" w14:textId="77777777" w:rsidR="00807FFE" w:rsidRDefault="00023E71">
            <w:pPr>
              <w:pStyle w:val="DMETW36650BIPPARTASS1"/>
              <w:rPr>
                <w:rFonts w:ascii="Verdana" w:eastAsia="Verdana" w:hAnsi="Verdana" w:cs="Verdana"/>
                <w:i/>
                <w:noProof/>
                <w:color w:val="000000"/>
                <w:sz w:val="18"/>
              </w:rPr>
            </w:pPr>
            <w:r>
              <w:rPr>
                <w:rFonts w:ascii="Verdana" w:eastAsia="Verdana" w:hAnsi="Verdana" w:cs="Verdana"/>
                <w:i/>
                <w:noProof/>
                <w:color w:val="000000"/>
                <w:sz w:val="18"/>
              </w:rPr>
              <w:t>Share of net result</w:t>
            </w:r>
          </w:p>
        </w:tc>
        <w:tc>
          <w:tcPr>
            <w:tcW w:w="3418" w:type="dxa"/>
            <w:tcBorders>
              <w:top w:val="nil"/>
              <w:left w:val="nil"/>
              <w:bottom w:val="nil"/>
              <w:right w:val="nil"/>
              <w:tl2br w:val="nil"/>
              <w:tr2bl w:val="nil"/>
            </w:tcBorders>
            <w:tcMar>
              <w:left w:w="60" w:type="dxa"/>
              <w:right w:w="60" w:type="dxa"/>
            </w:tcMar>
            <w:vAlign w:val="bottom"/>
          </w:tcPr>
          <w:p w14:paraId="1975F4BD" w14:textId="77777777" w:rsidR="00807FFE" w:rsidRDefault="00023E71">
            <w:pPr>
              <w:pStyle w:val="DMETW36650BIPPARTASS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69</w:t>
            </w:r>
          </w:p>
        </w:tc>
      </w:tr>
      <w:tr w:rsidR="00807FFE" w14:paraId="41142CC1" w14:textId="77777777">
        <w:trPr>
          <w:trHeight w:val="255"/>
        </w:trPr>
        <w:tc>
          <w:tcPr>
            <w:tcW w:w="6340" w:type="dxa"/>
            <w:tcBorders>
              <w:top w:val="nil"/>
              <w:left w:val="nil"/>
              <w:bottom w:val="nil"/>
              <w:right w:val="nil"/>
              <w:tl2br w:val="nil"/>
              <w:tr2bl w:val="nil"/>
            </w:tcBorders>
            <w:tcMar>
              <w:left w:w="60" w:type="dxa"/>
              <w:right w:w="60" w:type="dxa"/>
            </w:tcMar>
            <w:vAlign w:val="center"/>
          </w:tcPr>
          <w:p w14:paraId="2E16B877" w14:textId="77777777" w:rsidR="00807FFE" w:rsidRDefault="00023E71">
            <w:pPr>
              <w:pStyle w:val="DMETW36650BIPPARTASS1"/>
              <w:rPr>
                <w:rFonts w:ascii="Verdana" w:eastAsia="Verdana" w:hAnsi="Verdana" w:cs="Verdana"/>
                <w:i/>
                <w:noProof/>
                <w:color w:val="000000"/>
                <w:sz w:val="18"/>
              </w:rPr>
            </w:pPr>
            <w:r>
              <w:rPr>
                <w:rFonts w:ascii="Verdana" w:eastAsia="Verdana" w:hAnsi="Verdana" w:cs="Verdana"/>
                <w:i/>
                <w:noProof/>
                <w:color w:val="000000"/>
                <w:sz w:val="18"/>
              </w:rPr>
              <w:t>Share in the net assets</w:t>
            </w:r>
          </w:p>
        </w:tc>
        <w:tc>
          <w:tcPr>
            <w:tcW w:w="3418" w:type="dxa"/>
            <w:tcBorders>
              <w:top w:val="nil"/>
              <w:left w:val="nil"/>
              <w:bottom w:val="nil"/>
              <w:right w:val="nil"/>
              <w:tl2br w:val="nil"/>
              <w:tr2bl w:val="nil"/>
            </w:tcBorders>
            <w:tcMar>
              <w:left w:w="60" w:type="dxa"/>
              <w:right w:w="60" w:type="dxa"/>
            </w:tcMar>
            <w:vAlign w:val="bottom"/>
          </w:tcPr>
          <w:p w14:paraId="38AF887E" w14:textId="77777777" w:rsidR="00807FFE" w:rsidRDefault="00023E71">
            <w:pPr>
              <w:pStyle w:val="DMETW36650BIPPARTASS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w:t>
            </w:r>
          </w:p>
        </w:tc>
      </w:tr>
      <w:tr w:rsidR="00807FFE" w14:paraId="2029CE68" w14:textId="77777777">
        <w:trPr>
          <w:trHeight w:val="255"/>
        </w:trPr>
        <w:tc>
          <w:tcPr>
            <w:tcW w:w="6340" w:type="dxa"/>
            <w:tcBorders>
              <w:top w:val="nil"/>
              <w:left w:val="nil"/>
              <w:bottom w:val="nil"/>
              <w:right w:val="nil"/>
              <w:tl2br w:val="nil"/>
              <w:tr2bl w:val="nil"/>
            </w:tcBorders>
            <w:shd w:val="solid" w:color="CCE1EA" w:fill="FFFFFF"/>
            <w:tcMar>
              <w:left w:w="60" w:type="dxa"/>
              <w:right w:w="60" w:type="dxa"/>
            </w:tcMar>
            <w:vAlign w:val="center"/>
          </w:tcPr>
          <w:p w14:paraId="3E05BFEE" w14:textId="77777777" w:rsidR="00807FFE" w:rsidRDefault="00023E71">
            <w:pPr>
              <w:pStyle w:val="DMETW36650BIPPARTASS1"/>
              <w:rPr>
                <w:rFonts w:ascii="Verdana" w:eastAsia="Verdana" w:hAnsi="Verdana" w:cs="Verdana"/>
                <w:b/>
                <w:noProof/>
                <w:color w:val="000000"/>
                <w:sz w:val="18"/>
              </w:rPr>
            </w:pPr>
            <w:r>
              <w:rPr>
                <w:rFonts w:ascii="Verdana" w:eastAsia="Verdana" w:hAnsi="Verdana" w:cs="Verdana"/>
                <w:b/>
                <w:noProof/>
                <w:color w:val="000000"/>
                <w:sz w:val="18"/>
              </w:rPr>
              <w:t>Participation at 31.12.2025</w:t>
            </w:r>
          </w:p>
        </w:tc>
        <w:tc>
          <w:tcPr>
            <w:tcW w:w="3418" w:type="dxa"/>
            <w:tcBorders>
              <w:top w:val="nil"/>
              <w:left w:val="nil"/>
              <w:bottom w:val="nil"/>
              <w:right w:val="nil"/>
              <w:tl2br w:val="nil"/>
              <w:tr2bl w:val="nil"/>
            </w:tcBorders>
            <w:shd w:val="solid" w:color="CCE1EA" w:fill="FFFFFF"/>
            <w:tcMar>
              <w:left w:w="60" w:type="dxa"/>
              <w:right w:w="60" w:type="dxa"/>
            </w:tcMar>
            <w:vAlign w:val="bottom"/>
          </w:tcPr>
          <w:p w14:paraId="7DA0E2CD" w14:textId="77777777" w:rsidR="00807FFE" w:rsidRDefault="00023E71">
            <w:pPr>
              <w:pStyle w:val="DMETW36650BIPPARTASS1"/>
              <w:jc w:val="right"/>
              <w:rPr>
                <w:rFonts w:ascii="Verdana" w:eastAsia="Verdana" w:hAnsi="Verdana" w:cs="Verdana"/>
                <w:b/>
                <w:noProof/>
                <w:color w:val="000000"/>
                <w:sz w:val="18"/>
              </w:rPr>
            </w:pPr>
            <w:r>
              <w:rPr>
                <w:rFonts w:ascii="Verdana" w:eastAsia="Verdana" w:hAnsi="Verdana" w:cs="Verdana"/>
                <w:b/>
                <w:noProof/>
                <w:color w:val="000000"/>
                <w:sz w:val="18"/>
              </w:rPr>
              <w:t>1 524</w:t>
            </w:r>
          </w:p>
        </w:tc>
      </w:tr>
    </w:tbl>
    <w:p w14:paraId="7EE0300A" w14:textId="77777777" w:rsidR="0039409E" w:rsidRDefault="00023E71" w:rsidP="0039409E">
      <w:pPr>
        <w:pStyle w:val="DGTextstand-alone"/>
      </w:pPr>
      <w:r>
        <w:t>EIF summarised financial information</w:t>
      </w:r>
      <w:r w:rsidR="00972D2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rsidR="00807FFE" w14:paraId="446D87E3" w14:textId="77777777">
        <w:trPr>
          <w:trHeight w:val="255"/>
        </w:trPr>
        <w:tc>
          <w:tcPr>
            <w:tcW w:w="4185" w:type="dxa"/>
            <w:tcBorders>
              <w:top w:val="nil"/>
              <w:left w:val="nil"/>
              <w:bottom w:val="nil"/>
              <w:right w:val="nil"/>
              <w:tl2br w:val="nil"/>
              <w:tr2bl w:val="nil"/>
            </w:tcBorders>
            <w:tcMar>
              <w:left w:w="60" w:type="dxa"/>
              <w:right w:w="60" w:type="dxa"/>
            </w:tcMar>
            <w:vAlign w:val="bottom"/>
          </w:tcPr>
          <w:p w14:paraId="799FDBAD" w14:textId="77777777" w:rsidR="00807FFE" w:rsidRDefault="00807FFE">
            <w:pPr>
              <w:pStyle w:val="DMETW36650BIPPARTASS2"/>
              <w:rPr>
                <w:rFonts w:ascii="Arial" w:eastAsia="Arial" w:hAnsi="Arial" w:cs="Arial"/>
                <w:noProof/>
                <w:color w:val="000000"/>
                <w:sz w:val="16"/>
                <w:lang w:bidi="en-GB"/>
              </w:rPr>
            </w:pPr>
            <w:bookmarkStart w:id="94" w:name="DOC_TBL00010_1_1"/>
            <w:bookmarkEnd w:id="94"/>
          </w:p>
        </w:tc>
        <w:tc>
          <w:tcPr>
            <w:tcW w:w="2786" w:type="dxa"/>
            <w:tcBorders>
              <w:top w:val="nil"/>
              <w:left w:val="nil"/>
              <w:bottom w:val="nil"/>
              <w:right w:val="nil"/>
              <w:tl2br w:val="nil"/>
              <w:tr2bl w:val="nil"/>
            </w:tcBorders>
            <w:tcMar>
              <w:left w:w="60" w:type="dxa"/>
              <w:right w:w="60" w:type="dxa"/>
            </w:tcMar>
            <w:vAlign w:val="bottom"/>
          </w:tcPr>
          <w:p w14:paraId="04BB795B" w14:textId="77777777" w:rsidR="00807FFE" w:rsidRDefault="00807FFE">
            <w:pPr>
              <w:pStyle w:val="DMETW36650BIPPARTASS2"/>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14:paraId="272B5521" w14:textId="77777777" w:rsidR="00807FFE" w:rsidRDefault="00023E71">
            <w:pPr>
              <w:pStyle w:val="DMETW36650BIPPARTASS2"/>
              <w:jc w:val="right"/>
              <w:rPr>
                <w:rFonts w:ascii="Arial" w:eastAsia="Arial" w:hAnsi="Arial" w:cs="Arial"/>
                <w:i/>
                <w:noProof/>
                <w:color w:val="000000"/>
                <w:sz w:val="16"/>
                <w:lang w:bidi="en-GB"/>
              </w:rPr>
            </w:pPr>
            <w:r>
              <w:rPr>
                <w:rFonts w:ascii="Arial" w:eastAsia="Arial" w:hAnsi="Arial" w:cs="Arial"/>
                <w:i/>
                <w:noProof/>
                <w:color w:val="000000"/>
                <w:sz w:val="16"/>
              </w:rPr>
              <w:t>EUR million</w:t>
            </w:r>
          </w:p>
        </w:tc>
      </w:tr>
      <w:tr w:rsidR="00807FFE" w14:paraId="3F28F2DD" w14:textId="77777777">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14:paraId="3902F272" w14:textId="77777777" w:rsidR="00807FFE" w:rsidRDefault="00807FFE">
            <w:pPr>
              <w:pStyle w:val="DMETW36650BIPPARTASS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14:paraId="411BD73B" w14:textId="77777777" w:rsidR="00807FFE" w:rsidRDefault="00023E71">
            <w:pPr>
              <w:pStyle w:val="DMETW36650BIPPARTASS2"/>
              <w:jc w:val="right"/>
              <w:rPr>
                <w:rFonts w:ascii="Verdana" w:eastAsia="Verdana" w:hAnsi="Verdana" w:cs="Verdana"/>
                <w:noProof/>
                <w:color w:val="FFFFFF"/>
              </w:rPr>
            </w:pPr>
            <w:r>
              <w:rPr>
                <w:rFonts w:ascii="Verdana" w:eastAsia="Verdana" w:hAnsi="Verdana" w:cs="Verdana"/>
                <w:noProof/>
                <w:color w:val="FFFFFF"/>
              </w:rPr>
              <w:t>31.12.2025</w:t>
            </w:r>
          </w:p>
        </w:tc>
        <w:tc>
          <w:tcPr>
            <w:tcW w:w="2787" w:type="dxa"/>
            <w:tcBorders>
              <w:top w:val="nil"/>
              <w:left w:val="nil"/>
              <w:bottom w:val="nil"/>
              <w:right w:val="nil"/>
              <w:tl2br w:val="nil"/>
              <w:tr2bl w:val="nil"/>
            </w:tcBorders>
            <w:shd w:val="solid" w:color="016794" w:fill="FFFFFF"/>
            <w:tcMar>
              <w:left w:w="60" w:type="dxa"/>
              <w:right w:w="60" w:type="dxa"/>
            </w:tcMar>
            <w:vAlign w:val="center"/>
          </w:tcPr>
          <w:p w14:paraId="641CC7C6" w14:textId="77777777" w:rsidR="00807FFE" w:rsidRDefault="00023E71">
            <w:pPr>
              <w:pStyle w:val="DMETW36650BIPPARTASS2"/>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57A4CB6C" w14:textId="77777777">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14:paraId="20F9CC66" w14:textId="77777777" w:rsidR="00807FFE" w:rsidRDefault="00807FFE">
            <w:pPr>
              <w:pStyle w:val="DMETW36650BIPPARTASS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14:paraId="2A231CCE" w14:textId="77777777" w:rsidR="00807FFE" w:rsidRDefault="00023E71">
            <w:pPr>
              <w:pStyle w:val="DMETW36650BIPPARTASS2"/>
              <w:jc w:val="right"/>
              <w:rPr>
                <w:rFonts w:ascii="Verdana" w:eastAsia="Verdana" w:hAnsi="Verdana" w:cs="Verdana"/>
                <w:noProof/>
                <w:color w:val="FFFFFF"/>
              </w:rPr>
            </w:pPr>
            <w:r>
              <w:rPr>
                <w:rFonts w:ascii="Verdana" w:eastAsia="Verdana" w:hAnsi="Verdana" w:cs="Verdana"/>
                <w:noProof/>
                <w:color w:val="FFFFFF"/>
              </w:rPr>
              <w:t>Total EIF</w:t>
            </w:r>
          </w:p>
        </w:tc>
        <w:tc>
          <w:tcPr>
            <w:tcW w:w="2787" w:type="dxa"/>
            <w:tcBorders>
              <w:top w:val="nil"/>
              <w:left w:val="nil"/>
              <w:bottom w:val="nil"/>
              <w:right w:val="nil"/>
              <w:tl2br w:val="nil"/>
              <w:tr2bl w:val="nil"/>
            </w:tcBorders>
            <w:shd w:val="solid" w:color="016794" w:fill="FFFFFF"/>
            <w:tcMar>
              <w:left w:w="60" w:type="dxa"/>
              <w:right w:w="60" w:type="dxa"/>
            </w:tcMar>
            <w:vAlign w:val="center"/>
          </w:tcPr>
          <w:p w14:paraId="2014C3B5" w14:textId="77777777" w:rsidR="00807FFE" w:rsidRDefault="00023E71">
            <w:pPr>
              <w:pStyle w:val="DMETW36650BIPPARTASS2"/>
              <w:jc w:val="right"/>
              <w:rPr>
                <w:rFonts w:ascii="Verdana" w:eastAsia="Verdana" w:hAnsi="Verdana" w:cs="Verdana"/>
                <w:noProof/>
                <w:color w:val="FFFFFF"/>
                <w:lang w:bidi="en-GB"/>
              </w:rPr>
            </w:pPr>
            <w:r>
              <w:rPr>
                <w:rFonts w:ascii="Verdana" w:eastAsia="Verdana" w:hAnsi="Verdana" w:cs="Verdana"/>
                <w:noProof/>
                <w:color w:val="FFFFFF"/>
              </w:rPr>
              <w:t>Total EIF</w:t>
            </w:r>
          </w:p>
        </w:tc>
      </w:tr>
      <w:tr w:rsidR="00807FFE" w14:paraId="5375B654" w14:textId="77777777">
        <w:trPr>
          <w:trHeight w:val="255"/>
        </w:trPr>
        <w:tc>
          <w:tcPr>
            <w:tcW w:w="4185" w:type="dxa"/>
            <w:tcBorders>
              <w:top w:val="nil"/>
              <w:left w:val="nil"/>
              <w:bottom w:val="nil"/>
              <w:right w:val="nil"/>
              <w:tl2br w:val="nil"/>
              <w:tr2bl w:val="nil"/>
            </w:tcBorders>
            <w:tcMar>
              <w:left w:w="60" w:type="dxa"/>
              <w:right w:w="60" w:type="dxa"/>
            </w:tcMar>
            <w:vAlign w:val="center"/>
          </w:tcPr>
          <w:p w14:paraId="681CD1D0" w14:textId="77777777" w:rsidR="00807FFE" w:rsidRDefault="00023E71">
            <w:pPr>
              <w:pStyle w:val="DMETW36650BIPPARTASS2"/>
              <w:rPr>
                <w:rFonts w:ascii="Verdana" w:eastAsia="Verdana" w:hAnsi="Verdana" w:cs="Verdana"/>
                <w:i/>
                <w:noProof/>
                <w:color w:val="000000"/>
                <w:sz w:val="18"/>
              </w:rPr>
            </w:pPr>
            <w:r>
              <w:rPr>
                <w:rFonts w:ascii="Verdana" w:eastAsia="Verdana" w:hAnsi="Verdana" w:cs="Verdana"/>
                <w:i/>
                <w:noProof/>
                <w:color w:val="000000"/>
                <w:sz w:val="18"/>
              </w:rPr>
              <w:t>Assets</w:t>
            </w:r>
          </w:p>
        </w:tc>
        <w:tc>
          <w:tcPr>
            <w:tcW w:w="2786" w:type="dxa"/>
            <w:tcBorders>
              <w:top w:val="nil"/>
              <w:left w:val="nil"/>
              <w:bottom w:val="nil"/>
              <w:right w:val="nil"/>
              <w:tl2br w:val="nil"/>
              <w:tr2bl w:val="nil"/>
            </w:tcBorders>
            <w:tcMar>
              <w:left w:w="60" w:type="dxa"/>
              <w:right w:w="60" w:type="dxa"/>
            </w:tcMar>
            <w:vAlign w:val="bottom"/>
          </w:tcPr>
          <w:p w14:paraId="34AA01C3" w14:textId="77777777" w:rsidR="00807FFE" w:rsidRDefault="00023E71">
            <w:pPr>
              <w:pStyle w:val="DMETW36650BIPPARTASS2"/>
              <w:jc w:val="right"/>
              <w:rPr>
                <w:rFonts w:ascii="Verdana" w:eastAsia="Verdana" w:hAnsi="Verdana" w:cs="Verdana"/>
                <w:i/>
                <w:noProof/>
                <w:color w:val="000000"/>
                <w:sz w:val="18"/>
              </w:rPr>
            </w:pPr>
            <w:r>
              <w:rPr>
                <w:rFonts w:ascii="Verdana" w:eastAsia="Verdana" w:hAnsi="Verdana" w:cs="Verdana"/>
                <w:i/>
                <w:noProof/>
                <w:color w:val="000000"/>
                <w:sz w:val="18"/>
              </w:rPr>
              <w:t>9 023</w:t>
            </w:r>
          </w:p>
        </w:tc>
        <w:tc>
          <w:tcPr>
            <w:tcW w:w="2787" w:type="dxa"/>
            <w:tcBorders>
              <w:top w:val="nil"/>
              <w:left w:val="nil"/>
              <w:bottom w:val="nil"/>
              <w:right w:val="nil"/>
              <w:tl2br w:val="nil"/>
              <w:tr2bl w:val="nil"/>
            </w:tcBorders>
            <w:tcMar>
              <w:left w:w="60" w:type="dxa"/>
              <w:right w:w="60" w:type="dxa"/>
            </w:tcMar>
            <w:vAlign w:val="bottom"/>
          </w:tcPr>
          <w:p w14:paraId="79127093" w14:textId="77777777" w:rsidR="00807FFE" w:rsidRDefault="00023E71">
            <w:pPr>
              <w:pStyle w:val="DMETW36650BIPPARTASS2"/>
              <w:jc w:val="right"/>
              <w:rPr>
                <w:rFonts w:ascii="Verdana" w:eastAsia="Verdana" w:hAnsi="Verdana" w:cs="Verdana"/>
                <w:i/>
                <w:noProof/>
                <w:color w:val="000000"/>
                <w:sz w:val="18"/>
                <w:lang w:bidi="en-GB"/>
              </w:rPr>
            </w:pPr>
            <w:r>
              <w:rPr>
                <w:rFonts w:ascii="Verdana" w:eastAsia="Verdana" w:hAnsi="Verdana" w:cs="Verdana"/>
                <w:i/>
                <w:noProof/>
                <w:color w:val="000000"/>
                <w:sz w:val="18"/>
              </w:rPr>
              <w:t>7 789</w:t>
            </w:r>
          </w:p>
        </w:tc>
      </w:tr>
      <w:tr w:rsidR="00807FFE" w14:paraId="7F18E472" w14:textId="77777777">
        <w:trPr>
          <w:trHeight w:val="255"/>
        </w:trPr>
        <w:tc>
          <w:tcPr>
            <w:tcW w:w="4185" w:type="dxa"/>
            <w:tcBorders>
              <w:top w:val="nil"/>
              <w:left w:val="nil"/>
              <w:bottom w:val="nil"/>
              <w:right w:val="nil"/>
              <w:tl2br w:val="nil"/>
              <w:tr2bl w:val="nil"/>
            </w:tcBorders>
            <w:tcMar>
              <w:left w:w="60" w:type="dxa"/>
              <w:right w:w="60" w:type="dxa"/>
            </w:tcMar>
            <w:vAlign w:val="center"/>
          </w:tcPr>
          <w:p w14:paraId="65E0A954" w14:textId="77777777" w:rsidR="00807FFE" w:rsidRDefault="00023E71">
            <w:pPr>
              <w:pStyle w:val="DMETW36650BIPPARTASS2"/>
              <w:rPr>
                <w:rFonts w:ascii="Verdana" w:eastAsia="Verdana" w:hAnsi="Verdana" w:cs="Verdana"/>
                <w:i/>
                <w:noProof/>
                <w:color w:val="000000"/>
                <w:sz w:val="18"/>
              </w:rPr>
            </w:pPr>
            <w:r>
              <w:rPr>
                <w:rFonts w:ascii="Verdana" w:eastAsia="Verdana" w:hAnsi="Verdana" w:cs="Verdana"/>
                <w:i/>
                <w:noProof/>
                <w:color w:val="000000"/>
                <w:sz w:val="18"/>
              </w:rPr>
              <w:t>Liabilities</w:t>
            </w:r>
          </w:p>
        </w:tc>
        <w:tc>
          <w:tcPr>
            <w:tcW w:w="2786" w:type="dxa"/>
            <w:tcBorders>
              <w:top w:val="nil"/>
              <w:left w:val="nil"/>
              <w:bottom w:val="nil"/>
              <w:right w:val="nil"/>
              <w:tl2br w:val="nil"/>
              <w:tr2bl w:val="nil"/>
            </w:tcBorders>
            <w:tcMar>
              <w:left w:w="60" w:type="dxa"/>
              <w:right w:w="60" w:type="dxa"/>
            </w:tcMar>
            <w:vAlign w:val="bottom"/>
          </w:tcPr>
          <w:p w14:paraId="76CCDC2C" w14:textId="77777777" w:rsidR="00807FFE" w:rsidRDefault="00023E71">
            <w:pPr>
              <w:pStyle w:val="DMETW36650BIPPARTASS2"/>
              <w:jc w:val="right"/>
              <w:rPr>
                <w:rFonts w:ascii="Verdana" w:eastAsia="Verdana" w:hAnsi="Verdana" w:cs="Verdana"/>
                <w:i/>
                <w:noProof/>
                <w:color w:val="000000"/>
                <w:sz w:val="18"/>
              </w:rPr>
            </w:pPr>
            <w:r>
              <w:rPr>
                <w:rFonts w:ascii="Verdana" w:eastAsia="Verdana" w:hAnsi="Verdana" w:cs="Verdana"/>
                <w:i/>
                <w:noProof/>
                <w:color w:val="000000"/>
                <w:sz w:val="18"/>
              </w:rPr>
              <w:t>(3 896)</w:t>
            </w:r>
          </w:p>
        </w:tc>
        <w:tc>
          <w:tcPr>
            <w:tcW w:w="2787" w:type="dxa"/>
            <w:tcBorders>
              <w:top w:val="nil"/>
              <w:left w:val="nil"/>
              <w:bottom w:val="nil"/>
              <w:right w:val="nil"/>
              <w:tl2br w:val="nil"/>
              <w:tr2bl w:val="nil"/>
            </w:tcBorders>
            <w:tcMar>
              <w:left w:w="60" w:type="dxa"/>
              <w:right w:w="60" w:type="dxa"/>
            </w:tcMar>
            <w:vAlign w:val="bottom"/>
          </w:tcPr>
          <w:p w14:paraId="2C2769F7" w14:textId="77777777" w:rsidR="00807FFE" w:rsidRDefault="00023E71">
            <w:pPr>
              <w:pStyle w:val="DMETW36650BIPPARTASS2"/>
              <w:jc w:val="right"/>
              <w:rPr>
                <w:rFonts w:ascii="Verdana" w:eastAsia="Verdana" w:hAnsi="Verdana" w:cs="Verdana"/>
                <w:i/>
                <w:noProof/>
                <w:color w:val="000000"/>
                <w:sz w:val="18"/>
                <w:lang w:bidi="en-GB"/>
              </w:rPr>
            </w:pPr>
            <w:r>
              <w:rPr>
                <w:rFonts w:ascii="Verdana" w:eastAsia="Verdana" w:hAnsi="Verdana" w:cs="Verdana"/>
                <w:i/>
                <w:noProof/>
                <w:color w:val="000000"/>
                <w:sz w:val="18"/>
              </w:rPr>
              <w:t>(2 923)</w:t>
            </w:r>
          </w:p>
        </w:tc>
      </w:tr>
      <w:tr w:rsidR="00807FFE" w14:paraId="5678D36D" w14:textId="77777777">
        <w:trPr>
          <w:trHeight w:val="255"/>
        </w:trPr>
        <w:tc>
          <w:tcPr>
            <w:tcW w:w="4185" w:type="dxa"/>
            <w:tcBorders>
              <w:top w:val="nil"/>
              <w:left w:val="nil"/>
              <w:bottom w:val="nil"/>
              <w:right w:val="nil"/>
              <w:tl2br w:val="nil"/>
              <w:tr2bl w:val="nil"/>
            </w:tcBorders>
            <w:tcMar>
              <w:left w:w="60" w:type="dxa"/>
              <w:right w:w="60" w:type="dxa"/>
            </w:tcMar>
            <w:vAlign w:val="center"/>
          </w:tcPr>
          <w:p w14:paraId="7900E0B2" w14:textId="77777777" w:rsidR="00807FFE" w:rsidRDefault="00023E71">
            <w:pPr>
              <w:pStyle w:val="DMETW36650BIPPARTASS2"/>
              <w:rPr>
                <w:rFonts w:ascii="Verdana" w:eastAsia="Verdana" w:hAnsi="Verdana" w:cs="Verdana"/>
                <w:i/>
                <w:noProof/>
                <w:color w:val="000000"/>
                <w:sz w:val="18"/>
              </w:rPr>
            </w:pPr>
            <w:r>
              <w:rPr>
                <w:rFonts w:ascii="Verdana" w:eastAsia="Verdana" w:hAnsi="Verdana" w:cs="Verdana"/>
                <w:i/>
                <w:noProof/>
                <w:color w:val="000000"/>
                <w:sz w:val="18"/>
              </w:rPr>
              <w:t>Surplus/(deficit)</w:t>
            </w:r>
          </w:p>
        </w:tc>
        <w:tc>
          <w:tcPr>
            <w:tcW w:w="2786" w:type="dxa"/>
            <w:tcBorders>
              <w:top w:val="nil"/>
              <w:left w:val="nil"/>
              <w:bottom w:val="nil"/>
              <w:right w:val="nil"/>
              <w:tl2br w:val="nil"/>
              <w:tr2bl w:val="nil"/>
            </w:tcBorders>
            <w:tcMar>
              <w:left w:w="60" w:type="dxa"/>
              <w:right w:w="60" w:type="dxa"/>
            </w:tcMar>
            <w:vAlign w:val="bottom"/>
          </w:tcPr>
          <w:p w14:paraId="31B91376" w14:textId="77777777" w:rsidR="00807FFE" w:rsidRDefault="00023E71">
            <w:pPr>
              <w:pStyle w:val="DMETW36650BIPPARTASS2"/>
              <w:jc w:val="right"/>
              <w:rPr>
                <w:rFonts w:ascii="Verdana" w:eastAsia="Verdana" w:hAnsi="Verdana" w:cs="Verdana"/>
                <w:i/>
                <w:noProof/>
                <w:color w:val="000000"/>
                <w:sz w:val="18"/>
              </w:rPr>
            </w:pPr>
            <w:r>
              <w:rPr>
                <w:rFonts w:ascii="Verdana" w:eastAsia="Verdana" w:hAnsi="Verdana" w:cs="Verdana"/>
                <w:i/>
                <w:noProof/>
                <w:color w:val="000000"/>
                <w:sz w:val="18"/>
              </w:rPr>
              <w:t xml:space="preserve"> 233</w:t>
            </w:r>
          </w:p>
        </w:tc>
        <w:tc>
          <w:tcPr>
            <w:tcW w:w="2787" w:type="dxa"/>
            <w:tcBorders>
              <w:top w:val="nil"/>
              <w:left w:val="nil"/>
              <w:bottom w:val="nil"/>
              <w:right w:val="nil"/>
              <w:tl2br w:val="nil"/>
              <w:tr2bl w:val="nil"/>
            </w:tcBorders>
            <w:tcMar>
              <w:left w:w="60" w:type="dxa"/>
              <w:right w:w="60" w:type="dxa"/>
            </w:tcMar>
            <w:vAlign w:val="bottom"/>
          </w:tcPr>
          <w:p w14:paraId="242C6704" w14:textId="77777777" w:rsidR="00807FFE" w:rsidRDefault="00023E71">
            <w:pPr>
              <w:pStyle w:val="DMETW36650BIPPARTASS2"/>
              <w:jc w:val="right"/>
              <w:rPr>
                <w:rFonts w:ascii="Verdana" w:eastAsia="Verdana" w:hAnsi="Verdana" w:cs="Verdana"/>
                <w:i/>
                <w:noProof/>
                <w:color w:val="000000"/>
                <w:sz w:val="18"/>
              </w:rPr>
            </w:pPr>
            <w:r>
              <w:rPr>
                <w:rFonts w:ascii="Verdana" w:eastAsia="Verdana" w:hAnsi="Verdana" w:cs="Verdana"/>
                <w:i/>
                <w:noProof/>
                <w:color w:val="000000"/>
                <w:sz w:val="18"/>
              </w:rPr>
              <w:t xml:space="preserve"> 280</w:t>
            </w:r>
          </w:p>
        </w:tc>
      </w:tr>
    </w:tbl>
    <w:p w14:paraId="7453E7AB" w14:textId="77777777" w:rsidR="003206D6" w:rsidRDefault="00023E71" w:rsidP="0039409E">
      <w:pPr>
        <w:pStyle w:val="DGTextstand-alone"/>
      </w:pPr>
      <w:r>
        <w:t>The r</w:t>
      </w:r>
      <w:r w:rsidR="00EB67FE" w:rsidRPr="00E168CF">
        <w:t>econciliation of the above summarised financial information to the carrying amount of the interest held in the EIF</w:t>
      </w:r>
      <w:r w:rsidR="00EB67FE">
        <w:t xml:space="preserve"> is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rsidR="00807FFE" w14:paraId="4E8EEF01" w14:textId="77777777">
        <w:trPr>
          <w:trHeight w:val="255"/>
        </w:trPr>
        <w:tc>
          <w:tcPr>
            <w:tcW w:w="4185" w:type="dxa"/>
            <w:tcBorders>
              <w:top w:val="nil"/>
              <w:left w:val="nil"/>
              <w:bottom w:val="nil"/>
              <w:right w:val="nil"/>
              <w:tl2br w:val="nil"/>
              <w:tr2bl w:val="nil"/>
            </w:tcBorders>
            <w:tcMar>
              <w:left w:w="60" w:type="dxa"/>
              <w:right w:w="60" w:type="dxa"/>
            </w:tcMar>
            <w:vAlign w:val="bottom"/>
          </w:tcPr>
          <w:p w14:paraId="51EB7A9D" w14:textId="77777777" w:rsidR="00807FFE" w:rsidRDefault="00807FFE">
            <w:pPr>
              <w:pStyle w:val="DMETW36650BIPEIF2"/>
              <w:rPr>
                <w:rFonts w:ascii="Arial" w:eastAsia="Arial" w:hAnsi="Arial" w:cs="Arial"/>
                <w:noProof/>
                <w:color w:val="000000"/>
                <w:sz w:val="16"/>
                <w:lang w:bidi="en-GB"/>
              </w:rPr>
            </w:pPr>
            <w:bookmarkStart w:id="95" w:name="DOC_TBL00011_1_1"/>
            <w:bookmarkEnd w:id="95"/>
          </w:p>
        </w:tc>
        <w:tc>
          <w:tcPr>
            <w:tcW w:w="2786" w:type="dxa"/>
            <w:tcBorders>
              <w:top w:val="nil"/>
              <w:left w:val="nil"/>
              <w:bottom w:val="nil"/>
              <w:right w:val="nil"/>
              <w:tl2br w:val="nil"/>
              <w:tr2bl w:val="nil"/>
            </w:tcBorders>
            <w:tcMar>
              <w:left w:w="60" w:type="dxa"/>
              <w:right w:w="60" w:type="dxa"/>
            </w:tcMar>
            <w:vAlign w:val="bottom"/>
          </w:tcPr>
          <w:p w14:paraId="51CBBDAA" w14:textId="77777777" w:rsidR="00807FFE" w:rsidRDefault="00807FFE">
            <w:pPr>
              <w:pStyle w:val="DMETW36650BIPEIF2"/>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14:paraId="1037FA6D" w14:textId="77777777" w:rsidR="00807FFE" w:rsidRDefault="00023E71">
            <w:pPr>
              <w:pStyle w:val="DMETW36650BIPEIF2"/>
              <w:jc w:val="right"/>
              <w:rPr>
                <w:rFonts w:ascii="Arial" w:eastAsia="Arial" w:hAnsi="Arial" w:cs="Arial"/>
                <w:i/>
                <w:noProof/>
                <w:color w:val="000000"/>
                <w:sz w:val="16"/>
                <w:lang w:bidi="en-GB"/>
              </w:rPr>
            </w:pPr>
            <w:r>
              <w:rPr>
                <w:rFonts w:ascii="Arial" w:eastAsia="Arial" w:hAnsi="Arial" w:cs="Arial"/>
                <w:i/>
                <w:noProof/>
                <w:color w:val="000000"/>
                <w:sz w:val="16"/>
              </w:rPr>
              <w:t>EUR million</w:t>
            </w:r>
          </w:p>
        </w:tc>
      </w:tr>
      <w:tr w:rsidR="00807FFE" w14:paraId="5419965D" w14:textId="77777777">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14:paraId="5C73D72C" w14:textId="77777777" w:rsidR="00807FFE" w:rsidRDefault="00807FFE">
            <w:pPr>
              <w:pStyle w:val="DMETW36650BIPEIF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14:paraId="63129CB5" w14:textId="77777777" w:rsidR="00807FFE" w:rsidRDefault="00023E71">
            <w:pPr>
              <w:pStyle w:val="DMETW36650BIPEIF2"/>
              <w:jc w:val="right"/>
              <w:rPr>
                <w:rFonts w:ascii="Verdana" w:eastAsia="Verdana" w:hAnsi="Verdana" w:cs="Verdana"/>
                <w:noProof/>
                <w:color w:val="FFFFFF"/>
              </w:rPr>
            </w:pPr>
            <w:r>
              <w:rPr>
                <w:rFonts w:ascii="Verdana" w:eastAsia="Verdana" w:hAnsi="Verdana" w:cs="Verdana"/>
                <w:noProof/>
                <w:color w:val="FFFFFF"/>
              </w:rPr>
              <w:t>31.12.2025</w:t>
            </w:r>
          </w:p>
        </w:tc>
        <w:tc>
          <w:tcPr>
            <w:tcW w:w="2787" w:type="dxa"/>
            <w:tcBorders>
              <w:top w:val="nil"/>
              <w:left w:val="nil"/>
              <w:bottom w:val="nil"/>
              <w:right w:val="nil"/>
              <w:tl2br w:val="nil"/>
              <w:tr2bl w:val="nil"/>
            </w:tcBorders>
            <w:shd w:val="solid" w:color="016794" w:fill="FFFFFF"/>
            <w:tcMar>
              <w:left w:w="60" w:type="dxa"/>
              <w:right w:w="60" w:type="dxa"/>
            </w:tcMar>
            <w:vAlign w:val="center"/>
          </w:tcPr>
          <w:p w14:paraId="5C12B0E8" w14:textId="77777777" w:rsidR="00807FFE" w:rsidRDefault="00023E71">
            <w:pPr>
              <w:pStyle w:val="DMETW36650BIPEIF2"/>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25DF3978" w14:textId="77777777">
        <w:trPr>
          <w:trHeight w:val="255"/>
        </w:trPr>
        <w:tc>
          <w:tcPr>
            <w:tcW w:w="4185" w:type="dxa"/>
            <w:tcBorders>
              <w:top w:val="nil"/>
              <w:left w:val="nil"/>
              <w:bottom w:val="nil"/>
              <w:right w:val="nil"/>
              <w:tl2br w:val="nil"/>
              <w:tr2bl w:val="nil"/>
            </w:tcBorders>
            <w:tcMar>
              <w:left w:w="60" w:type="dxa"/>
              <w:right w:w="60" w:type="dxa"/>
            </w:tcMar>
            <w:vAlign w:val="center"/>
          </w:tcPr>
          <w:p w14:paraId="74AA3EB4" w14:textId="77777777" w:rsidR="00807FFE" w:rsidRDefault="00023E71">
            <w:pPr>
              <w:pStyle w:val="DMETW36650BIPEIF2"/>
              <w:rPr>
                <w:rFonts w:ascii="Verdana" w:eastAsia="Verdana" w:hAnsi="Verdana" w:cs="Verdana"/>
                <w:i/>
                <w:noProof/>
                <w:color w:val="000000"/>
                <w:sz w:val="18"/>
              </w:rPr>
            </w:pPr>
            <w:r>
              <w:rPr>
                <w:rFonts w:ascii="Verdana" w:eastAsia="Verdana" w:hAnsi="Verdana" w:cs="Verdana"/>
                <w:i/>
                <w:noProof/>
                <w:color w:val="000000"/>
                <w:sz w:val="18"/>
              </w:rPr>
              <w:t>Net assets of the associate</w:t>
            </w:r>
          </w:p>
        </w:tc>
        <w:tc>
          <w:tcPr>
            <w:tcW w:w="2786" w:type="dxa"/>
            <w:tcBorders>
              <w:top w:val="nil"/>
              <w:left w:val="nil"/>
              <w:bottom w:val="nil"/>
              <w:right w:val="nil"/>
              <w:tl2br w:val="nil"/>
              <w:tr2bl w:val="nil"/>
            </w:tcBorders>
            <w:tcMar>
              <w:left w:w="60" w:type="dxa"/>
              <w:right w:w="60" w:type="dxa"/>
            </w:tcMar>
            <w:vAlign w:val="bottom"/>
          </w:tcPr>
          <w:p w14:paraId="42348630" w14:textId="77777777" w:rsidR="00807FFE" w:rsidRDefault="00023E71">
            <w:pPr>
              <w:pStyle w:val="DMETW36650BIPEIF2"/>
              <w:jc w:val="right"/>
              <w:rPr>
                <w:rFonts w:ascii="Verdana" w:eastAsia="Verdana" w:hAnsi="Verdana" w:cs="Verdana"/>
                <w:i/>
                <w:noProof/>
                <w:color w:val="000000"/>
                <w:sz w:val="18"/>
              </w:rPr>
            </w:pPr>
            <w:r>
              <w:rPr>
                <w:rFonts w:ascii="Verdana" w:eastAsia="Verdana" w:hAnsi="Verdana" w:cs="Verdana"/>
                <w:i/>
                <w:noProof/>
                <w:color w:val="000000"/>
                <w:sz w:val="18"/>
              </w:rPr>
              <w:t>5 127</w:t>
            </w:r>
          </w:p>
        </w:tc>
        <w:tc>
          <w:tcPr>
            <w:tcW w:w="2787" w:type="dxa"/>
            <w:tcBorders>
              <w:top w:val="nil"/>
              <w:left w:val="nil"/>
              <w:bottom w:val="nil"/>
              <w:right w:val="nil"/>
              <w:tl2br w:val="nil"/>
              <w:tr2bl w:val="nil"/>
            </w:tcBorders>
            <w:tcMar>
              <w:left w:w="60" w:type="dxa"/>
              <w:right w:w="60" w:type="dxa"/>
            </w:tcMar>
            <w:vAlign w:val="bottom"/>
          </w:tcPr>
          <w:p w14:paraId="740CB095" w14:textId="77777777" w:rsidR="00807FFE" w:rsidRDefault="00023E71">
            <w:pPr>
              <w:pStyle w:val="DMETW36650BIPEIF2"/>
              <w:jc w:val="right"/>
              <w:rPr>
                <w:rFonts w:ascii="Verdana" w:eastAsia="Verdana" w:hAnsi="Verdana" w:cs="Verdana"/>
                <w:i/>
                <w:noProof/>
                <w:color w:val="000000"/>
                <w:sz w:val="18"/>
                <w:lang w:bidi="en-GB"/>
              </w:rPr>
            </w:pPr>
            <w:r>
              <w:rPr>
                <w:rFonts w:ascii="Verdana" w:eastAsia="Verdana" w:hAnsi="Verdana" w:cs="Verdana"/>
                <w:i/>
                <w:noProof/>
                <w:color w:val="000000"/>
                <w:sz w:val="18"/>
              </w:rPr>
              <w:t>4 866</w:t>
            </w:r>
          </w:p>
        </w:tc>
      </w:tr>
      <w:tr w:rsidR="00807FFE" w14:paraId="52BDAEBC" w14:textId="77777777">
        <w:trPr>
          <w:trHeight w:val="255"/>
        </w:trPr>
        <w:tc>
          <w:tcPr>
            <w:tcW w:w="4185" w:type="dxa"/>
            <w:tcBorders>
              <w:top w:val="nil"/>
              <w:left w:val="nil"/>
              <w:bottom w:val="single" w:sz="4" w:space="0" w:color="016794"/>
              <w:right w:val="nil"/>
              <w:tl2br w:val="nil"/>
              <w:tr2bl w:val="nil"/>
            </w:tcBorders>
            <w:tcMar>
              <w:left w:w="60" w:type="dxa"/>
              <w:right w:w="60" w:type="dxa"/>
            </w:tcMar>
            <w:vAlign w:val="center"/>
          </w:tcPr>
          <w:p w14:paraId="7FAC7573" w14:textId="77777777" w:rsidR="00807FFE" w:rsidRDefault="00023E71">
            <w:pPr>
              <w:pStyle w:val="DMETW36650BIPEIF2"/>
              <w:rPr>
                <w:rFonts w:ascii="Verdana" w:eastAsia="Verdana" w:hAnsi="Verdana" w:cs="Verdana"/>
                <w:b/>
                <w:noProof/>
                <w:color w:val="000000"/>
                <w:sz w:val="18"/>
              </w:rPr>
            </w:pPr>
            <w:r>
              <w:rPr>
                <w:rFonts w:ascii="Verdana" w:eastAsia="Verdana" w:hAnsi="Verdana" w:cs="Verdana"/>
                <w:b/>
                <w:noProof/>
                <w:color w:val="000000"/>
                <w:sz w:val="18"/>
              </w:rPr>
              <w:t>EC ownership interests in EIF</w:t>
            </w:r>
          </w:p>
        </w:tc>
        <w:tc>
          <w:tcPr>
            <w:tcW w:w="2786" w:type="dxa"/>
            <w:tcBorders>
              <w:top w:val="nil"/>
              <w:left w:val="nil"/>
              <w:bottom w:val="single" w:sz="4" w:space="0" w:color="016794"/>
              <w:right w:val="nil"/>
              <w:tl2br w:val="nil"/>
              <w:tr2bl w:val="nil"/>
            </w:tcBorders>
            <w:tcMar>
              <w:left w:w="60" w:type="dxa"/>
              <w:right w:w="60" w:type="dxa"/>
            </w:tcMar>
            <w:vAlign w:val="center"/>
          </w:tcPr>
          <w:p w14:paraId="1622BA36" w14:textId="77777777" w:rsidR="00807FFE" w:rsidRDefault="00023E71">
            <w:pPr>
              <w:pStyle w:val="DMETW36650BIPEIF2"/>
              <w:jc w:val="right"/>
              <w:rPr>
                <w:rFonts w:ascii="Verdana" w:eastAsia="Verdana" w:hAnsi="Verdana" w:cs="Verdana"/>
                <w:b/>
                <w:noProof/>
                <w:color w:val="000000"/>
                <w:sz w:val="18"/>
              </w:rPr>
            </w:pPr>
            <w:r>
              <w:rPr>
                <w:rFonts w:ascii="Verdana" w:eastAsia="Verdana" w:hAnsi="Verdana" w:cs="Verdana"/>
                <w:b/>
                <w:noProof/>
                <w:color w:val="000000"/>
                <w:sz w:val="18"/>
              </w:rPr>
              <w:t>29.7%</w:t>
            </w:r>
          </w:p>
        </w:tc>
        <w:tc>
          <w:tcPr>
            <w:tcW w:w="2787" w:type="dxa"/>
            <w:tcBorders>
              <w:top w:val="nil"/>
              <w:left w:val="nil"/>
              <w:bottom w:val="single" w:sz="4" w:space="0" w:color="016794"/>
              <w:right w:val="nil"/>
              <w:tl2br w:val="nil"/>
              <w:tr2bl w:val="nil"/>
            </w:tcBorders>
            <w:tcMar>
              <w:left w:w="60" w:type="dxa"/>
              <w:right w:w="60" w:type="dxa"/>
            </w:tcMar>
            <w:vAlign w:val="center"/>
          </w:tcPr>
          <w:p w14:paraId="4D4E5FCA" w14:textId="77777777" w:rsidR="00807FFE" w:rsidRDefault="00023E71">
            <w:pPr>
              <w:pStyle w:val="DMETW36650BIPEIF2"/>
              <w:jc w:val="right"/>
              <w:rPr>
                <w:rFonts w:ascii="Verdana" w:eastAsia="Verdana" w:hAnsi="Verdana" w:cs="Verdana"/>
                <w:b/>
                <w:noProof/>
                <w:color w:val="000000"/>
                <w:sz w:val="18"/>
                <w:lang w:bidi="en-GB"/>
              </w:rPr>
            </w:pPr>
            <w:r>
              <w:rPr>
                <w:rFonts w:ascii="Verdana" w:eastAsia="Verdana" w:hAnsi="Verdana" w:cs="Verdana"/>
                <w:b/>
                <w:noProof/>
                <w:color w:val="000000"/>
                <w:sz w:val="18"/>
              </w:rPr>
              <w:t>29.7%</w:t>
            </w:r>
          </w:p>
        </w:tc>
      </w:tr>
      <w:tr w:rsidR="00807FFE" w14:paraId="07F72CDC" w14:textId="77777777">
        <w:trPr>
          <w:trHeight w:val="255"/>
        </w:trPr>
        <w:tc>
          <w:tcPr>
            <w:tcW w:w="4185" w:type="dxa"/>
            <w:tcBorders>
              <w:top w:val="single" w:sz="4" w:space="0" w:color="016794"/>
              <w:left w:val="nil"/>
              <w:bottom w:val="single" w:sz="4" w:space="0" w:color="016794"/>
              <w:right w:val="nil"/>
              <w:tl2br w:val="nil"/>
              <w:tr2bl w:val="nil"/>
            </w:tcBorders>
            <w:tcMar>
              <w:left w:w="60" w:type="dxa"/>
              <w:right w:w="60" w:type="dxa"/>
            </w:tcMar>
            <w:vAlign w:val="center"/>
          </w:tcPr>
          <w:p w14:paraId="51E540C8" w14:textId="77777777" w:rsidR="00807FFE" w:rsidRDefault="00023E71">
            <w:pPr>
              <w:pStyle w:val="DMETW36650BIPEIF2"/>
              <w:rPr>
                <w:rFonts w:ascii="Verdana" w:eastAsia="Verdana" w:hAnsi="Verdana" w:cs="Verdana"/>
                <w:i/>
                <w:noProof/>
                <w:color w:val="000000"/>
                <w:sz w:val="18"/>
              </w:rPr>
            </w:pPr>
            <w:r>
              <w:rPr>
                <w:rFonts w:ascii="Verdana" w:eastAsia="Verdana" w:hAnsi="Verdana" w:cs="Verdana"/>
                <w:i/>
                <w:noProof/>
                <w:color w:val="000000"/>
                <w:sz w:val="18"/>
              </w:rPr>
              <w:t>Carrying amount</w:t>
            </w:r>
          </w:p>
        </w:tc>
        <w:tc>
          <w:tcPr>
            <w:tcW w:w="2786" w:type="dxa"/>
            <w:tcBorders>
              <w:top w:val="single" w:sz="4" w:space="0" w:color="016794"/>
              <w:left w:val="nil"/>
              <w:bottom w:val="single" w:sz="4" w:space="0" w:color="016794"/>
              <w:right w:val="nil"/>
              <w:tl2br w:val="nil"/>
              <w:tr2bl w:val="nil"/>
            </w:tcBorders>
            <w:tcMar>
              <w:left w:w="60" w:type="dxa"/>
              <w:right w:w="60" w:type="dxa"/>
            </w:tcMar>
            <w:vAlign w:val="bottom"/>
          </w:tcPr>
          <w:p w14:paraId="62F3145E" w14:textId="77777777" w:rsidR="00807FFE" w:rsidRDefault="00023E71">
            <w:pPr>
              <w:pStyle w:val="DMETW36650BIPEIF2"/>
              <w:jc w:val="right"/>
              <w:rPr>
                <w:rFonts w:ascii="Verdana" w:eastAsia="Verdana" w:hAnsi="Verdana" w:cs="Verdana"/>
                <w:i/>
                <w:noProof/>
                <w:color w:val="000000"/>
                <w:sz w:val="18"/>
              </w:rPr>
            </w:pPr>
            <w:r>
              <w:rPr>
                <w:rFonts w:ascii="Verdana" w:eastAsia="Verdana" w:hAnsi="Verdana" w:cs="Verdana"/>
                <w:i/>
                <w:noProof/>
                <w:color w:val="000000"/>
                <w:sz w:val="18"/>
              </w:rPr>
              <w:t>1 524</w:t>
            </w:r>
          </w:p>
        </w:tc>
        <w:tc>
          <w:tcPr>
            <w:tcW w:w="2787" w:type="dxa"/>
            <w:tcBorders>
              <w:top w:val="single" w:sz="4" w:space="0" w:color="016794"/>
              <w:left w:val="nil"/>
              <w:bottom w:val="single" w:sz="4" w:space="0" w:color="016794"/>
              <w:right w:val="nil"/>
              <w:tl2br w:val="nil"/>
              <w:tr2bl w:val="nil"/>
            </w:tcBorders>
            <w:tcMar>
              <w:left w:w="60" w:type="dxa"/>
              <w:right w:w="60" w:type="dxa"/>
            </w:tcMar>
            <w:vAlign w:val="bottom"/>
          </w:tcPr>
          <w:p w14:paraId="22614094" w14:textId="77777777" w:rsidR="00807FFE" w:rsidRDefault="00023E71">
            <w:pPr>
              <w:pStyle w:val="DMETW36650BIPEIF2"/>
              <w:jc w:val="right"/>
              <w:rPr>
                <w:rFonts w:ascii="Verdana" w:eastAsia="Verdana" w:hAnsi="Verdana" w:cs="Verdana"/>
                <w:i/>
                <w:noProof/>
                <w:color w:val="000000"/>
                <w:sz w:val="18"/>
              </w:rPr>
            </w:pPr>
            <w:r>
              <w:rPr>
                <w:rFonts w:ascii="Verdana" w:eastAsia="Verdana" w:hAnsi="Verdana" w:cs="Verdana"/>
                <w:i/>
                <w:noProof/>
                <w:color w:val="000000"/>
                <w:sz w:val="18"/>
              </w:rPr>
              <w:t>1 446</w:t>
            </w:r>
          </w:p>
        </w:tc>
      </w:tr>
    </w:tbl>
    <w:p w14:paraId="3080A527" w14:textId="77777777" w:rsidR="00186A0D" w:rsidRDefault="00023E71" w:rsidP="00186A0D">
      <w:pPr>
        <w:pStyle w:val="DGTextstand-alone"/>
      </w:pPr>
      <w:r w:rsidRPr="00F3531D">
        <w:t xml:space="preserve">The </w:t>
      </w:r>
      <w:r>
        <w:t>EU, represented by the Commission,</w:t>
      </w:r>
      <w:r w:rsidRPr="00F3531D">
        <w:t xml:space="preserve"> has paid in 20% of its </w:t>
      </w:r>
      <w:r>
        <w:t>subscribed shares in the</w:t>
      </w:r>
      <w:r w:rsidR="008131D2">
        <w:t xml:space="preserve"> EIF capital at 31 December 202</w:t>
      </w:r>
      <w:r>
        <w:t xml:space="preserve">5, the </w:t>
      </w:r>
      <w:r w:rsidR="00C33143">
        <w:t>uncalled amount is</w:t>
      </w:r>
      <w:r w:rsidRPr="00F3531D">
        <w:t xml:space="preserve"> </w:t>
      </w:r>
      <w:r>
        <w:t>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rsidR="00807FFE" w14:paraId="659DC5E6" w14:textId="77777777">
        <w:trPr>
          <w:trHeight w:val="255"/>
        </w:trPr>
        <w:tc>
          <w:tcPr>
            <w:tcW w:w="4185" w:type="dxa"/>
            <w:tcBorders>
              <w:top w:val="nil"/>
              <w:left w:val="nil"/>
              <w:bottom w:val="nil"/>
              <w:right w:val="nil"/>
              <w:tl2br w:val="nil"/>
              <w:tr2bl w:val="nil"/>
            </w:tcBorders>
            <w:tcMar>
              <w:left w:w="60" w:type="dxa"/>
              <w:right w:w="60" w:type="dxa"/>
            </w:tcMar>
            <w:vAlign w:val="bottom"/>
          </w:tcPr>
          <w:p w14:paraId="524C899B" w14:textId="77777777" w:rsidR="00807FFE" w:rsidRDefault="00807FFE">
            <w:pPr>
              <w:pStyle w:val="DMETW36650BIPEIF1"/>
              <w:rPr>
                <w:rFonts w:ascii="Arial" w:eastAsia="Arial" w:hAnsi="Arial" w:cs="Arial"/>
                <w:noProof/>
                <w:color w:val="000000"/>
                <w:sz w:val="16"/>
                <w:lang w:bidi="en-GB"/>
              </w:rPr>
            </w:pPr>
            <w:bookmarkStart w:id="96" w:name="DOC_TBL00012_1_1"/>
            <w:bookmarkEnd w:id="96"/>
          </w:p>
        </w:tc>
        <w:tc>
          <w:tcPr>
            <w:tcW w:w="2786" w:type="dxa"/>
            <w:tcBorders>
              <w:top w:val="nil"/>
              <w:left w:val="nil"/>
              <w:bottom w:val="nil"/>
              <w:right w:val="nil"/>
              <w:tl2br w:val="nil"/>
              <w:tr2bl w:val="nil"/>
            </w:tcBorders>
            <w:tcMar>
              <w:left w:w="60" w:type="dxa"/>
              <w:right w:w="60" w:type="dxa"/>
            </w:tcMar>
            <w:vAlign w:val="bottom"/>
          </w:tcPr>
          <w:p w14:paraId="5D47E13D" w14:textId="77777777" w:rsidR="00807FFE" w:rsidRDefault="00807FFE">
            <w:pPr>
              <w:pStyle w:val="DMETW36650BIPEIF1"/>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14:paraId="2998CA83" w14:textId="77777777" w:rsidR="00807FFE" w:rsidRDefault="00023E71">
            <w:pPr>
              <w:pStyle w:val="DMETW36650BIPEIF1"/>
              <w:jc w:val="right"/>
              <w:rPr>
                <w:rFonts w:ascii="Arial" w:eastAsia="Arial" w:hAnsi="Arial" w:cs="Arial"/>
                <w:i/>
                <w:noProof/>
                <w:color w:val="000000"/>
                <w:sz w:val="16"/>
                <w:lang w:bidi="en-GB"/>
              </w:rPr>
            </w:pPr>
            <w:r>
              <w:rPr>
                <w:rFonts w:ascii="Arial" w:eastAsia="Arial" w:hAnsi="Arial" w:cs="Arial"/>
                <w:i/>
                <w:noProof/>
                <w:color w:val="000000"/>
                <w:sz w:val="16"/>
              </w:rPr>
              <w:t>EUR million</w:t>
            </w:r>
          </w:p>
        </w:tc>
      </w:tr>
      <w:tr w:rsidR="00807FFE" w14:paraId="2DC80D83" w14:textId="77777777">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14:paraId="70BDFF3D" w14:textId="77777777" w:rsidR="00807FFE" w:rsidRDefault="00807FFE">
            <w:pPr>
              <w:pStyle w:val="DMETW36650BIPEIF1"/>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14:paraId="43F5BC93" w14:textId="77777777" w:rsidR="00807FFE" w:rsidRDefault="00023E71">
            <w:pPr>
              <w:pStyle w:val="DMETW36650BIPEIF1"/>
              <w:jc w:val="right"/>
              <w:rPr>
                <w:rFonts w:ascii="Verdana" w:eastAsia="Verdana" w:hAnsi="Verdana" w:cs="Verdana"/>
                <w:noProof/>
                <w:color w:val="FFFFFF"/>
              </w:rPr>
            </w:pPr>
            <w:r>
              <w:rPr>
                <w:rFonts w:ascii="Verdana" w:eastAsia="Verdana" w:hAnsi="Verdana" w:cs="Verdana"/>
                <w:noProof/>
                <w:color w:val="FFFFFF"/>
              </w:rPr>
              <w:t>Total EIF capital</w:t>
            </w:r>
          </w:p>
        </w:tc>
        <w:tc>
          <w:tcPr>
            <w:tcW w:w="2787" w:type="dxa"/>
            <w:tcBorders>
              <w:top w:val="nil"/>
              <w:left w:val="nil"/>
              <w:bottom w:val="nil"/>
              <w:right w:val="nil"/>
              <w:tl2br w:val="nil"/>
              <w:tr2bl w:val="nil"/>
            </w:tcBorders>
            <w:shd w:val="solid" w:color="016794" w:fill="FFFFFF"/>
            <w:tcMar>
              <w:left w:w="60" w:type="dxa"/>
              <w:right w:w="60" w:type="dxa"/>
            </w:tcMar>
            <w:vAlign w:val="center"/>
          </w:tcPr>
          <w:p w14:paraId="45501F28" w14:textId="77777777" w:rsidR="00807FFE" w:rsidRDefault="00023E71">
            <w:pPr>
              <w:pStyle w:val="DMETW36650BIPEIF1"/>
              <w:jc w:val="right"/>
              <w:rPr>
                <w:rFonts w:ascii="Verdana" w:eastAsia="Verdana" w:hAnsi="Verdana" w:cs="Verdana"/>
                <w:noProof/>
                <w:color w:val="FFFFFF"/>
                <w:lang w:bidi="en-GB"/>
              </w:rPr>
            </w:pPr>
            <w:r>
              <w:rPr>
                <w:rFonts w:ascii="Verdana" w:eastAsia="Verdana" w:hAnsi="Verdana" w:cs="Verdana"/>
                <w:noProof/>
                <w:color w:val="FFFFFF"/>
              </w:rPr>
              <w:t>EU subscription</w:t>
            </w:r>
          </w:p>
        </w:tc>
      </w:tr>
      <w:tr w:rsidR="00807FFE" w14:paraId="3CDA3CFE" w14:textId="77777777">
        <w:trPr>
          <w:trHeight w:val="255"/>
        </w:trPr>
        <w:tc>
          <w:tcPr>
            <w:tcW w:w="4185" w:type="dxa"/>
            <w:tcBorders>
              <w:top w:val="nil"/>
              <w:left w:val="nil"/>
              <w:bottom w:val="nil"/>
              <w:right w:val="nil"/>
              <w:tl2br w:val="nil"/>
              <w:tr2bl w:val="nil"/>
            </w:tcBorders>
            <w:tcMar>
              <w:left w:w="60" w:type="dxa"/>
              <w:right w:w="60" w:type="dxa"/>
            </w:tcMar>
            <w:vAlign w:val="center"/>
          </w:tcPr>
          <w:p w14:paraId="6EBB151B" w14:textId="77777777" w:rsidR="00807FFE" w:rsidRDefault="00023E71">
            <w:pPr>
              <w:pStyle w:val="DMETW36650BIPEIF1"/>
              <w:rPr>
                <w:rFonts w:ascii="Verdana" w:eastAsia="Verdana" w:hAnsi="Verdana" w:cs="Verdana"/>
                <w:i/>
                <w:noProof/>
                <w:color w:val="000000"/>
                <w:sz w:val="18"/>
              </w:rPr>
            </w:pPr>
            <w:r>
              <w:rPr>
                <w:rFonts w:ascii="Verdana" w:eastAsia="Verdana" w:hAnsi="Verdana" w:cs="Verdana"/>
                <w:i/>
                <w:noProof/>
                <w:color w:val="000000"/>
                <w:sz w:val="18"/>
              </w:rPr>
              <w:t>Total share capital</w:t>
            </w:r>
          </w:p>
        </w:tc>
        <w:tc>
          <w:tcPr>
            <w:tcW w:w="2786" w:type="dxa"/>
            <w:tcBorders>
              <w:top w:val="nil"/>
              <w:left w:val="nil"/>
              <w:bottom w:val="nil"/>
              <w:right w:val="nil"/>
              <w:tl2br w:val="nil"/>
              <w:tr2bl w:val="nil"/>
            </w:tcBorders>
            <w:tcMar>
              <w:left w:w="60" w:type="dxa"/>
              <w:right w:w="60" w:type="dxa"/>
            </w:tcMar>
            <w:vAlign w:val="bottom"/>
          </w:tcPr>
          <w:p w14:paraId="1A25A7B2" w14:textId="77777777" w:rsidR="00807FFE" w:rsidRDefault="00023E71">
            <w:pPr>
              <w:pStyle w:val="DMETW36650BIPEIF1"/>
              <w:jc w:val="right"/>
              <w:rPr>
                <w:rFonts w:ascii="Verdana" w:eastAsia="Verdana" w:hAnsi="Verdana" w:cs="Verdana"/>
                <w:i/>
                <w:noProof/>
                <w:color w:val="000000"/>
                <w:sz w:val="18"/>
              </w:rPr>
            </w:pPr>
            <w:r>
              <w:rPr>
                <w:rFonts w:ascii="Verdana" w:eastAsia="Verdana" w:hAnsi="Verdana" w:cs="Verdana"/>
                <w:i/>
                <w:noProof/>
                <w:color w:val="000000"/>
                <w:sz w:val="18"/>
              </w:rPr>
              <w:t>7 370</w:t>
            </w:r>
          </w:p>
        </w:tc>
        <w:tc>
          <w:tcPr>
            <w:tcW w:w="2787" w:type="dxa"/>
            <w:tcBorders>
              <w:top w:val="nil"/>
              <w:left w:val="nil"/>
              <w:bottom w:val="nil"/>
              <w:right w:val="nil"/>
              <w:tl2br w:val="nil"/>
              <w:tr2bl w:val="nil"/>
            </w:tcBorders>
            <w:tcMar>
              <w:left w:w="60" w:type="dxa"/>
              <w:right w:w="60" w:type="dxa"/>
            </w:tcMar>
            <w:vAlign w:val="bottom"/>
          </w:tcPr>
          <w:p w14:paraId="319F06F2" w14:textId="77777777" w:rsidR="00807FFE" w:rsidRDefault="00023E71">
            <w:pPr>
              <w:pStyle w:val="DMETW36650BIPEIF1"/>
              <w:jc w:val="right"/>
              <w:rPr>
                <w:rFonts w:ascii="Verdana" w:eastAsia="Verdana" w:hAnsi="Verdana" w:cs="Verdana"/>
                <w:i/>
                <w:noProof/>
                <w:color w:val="000000"/>
                <w:sz w:val="18"/>
                <w:lang w:bidi="en-GB"/>
              </w:rPr>
            </w:pPr>
            <w:r>
              <w:rPr>
                <w:rFonts w:ascii="Verdana" w:eastAsia="Verdana" w:hAnsi="Verdana" w:cs="Verdana"/>
                <w:i/>
                <w:noProof/>
                <w:color w:val="000000"/>
                <w:sz w:val="18"/>
              </w:rPr>
              <w:t>2 190</w:t>
            </w:r>
          </w:p>
        </w:tc>
      </w:tr>
      <w:tr w:rsidR="00807FFE" w14:paraId="79E11292" w14:textId="77777777">
        <w:trPr>
          <w:trHeight w:val="255"/>
        </w:trPr>
        <w:tc>
          <w:tcPr>
            <w:tcW w:w="4185" w:type="dxa"/>
            <w:tcBorders>
              <w:top w:val="nil"/>
              <w:left w:val="nil"/>
              <w:bottom w:val="single" w:sz="4" w:space="0" w:color="016794"/>
              <w:right w:val="nil"/>
              <w:tl2br w:val="nil"/>
              <w:tr2bl w:val="nil"/>
            </w:tcBorders>
            <w:tcMar>
              <w:left w:w="60" w:type="dxa"/>
              <w:right w:w="60" w:type="dxa"/>
            </w:tcMar>
            <w:vAlign w:val="center"/>
          </w:tcPr>
          <w:p w14:paraId="1B62B644" w14:textId="77777777" w:rsidR="00807FFE" w:rsidRDefault="00023E71">
            <w:pPr>
              <w:pStyle w:val="DMETW36650BIPEIF1"/>
              <w:rPr>
                <w:rFonts w:ascii="Verdana" w:eastAsia="Verdana" w:hAnsi="Verdana" w:cs="Verdana"/>
                <w:i/>
                <w:noProof/>
                <w:color w:val="000000"/>
                <w:sz w:val="18"/>
              </w:rPr>
            </w:pPr>
            <w:r>
              <w:rPr>
                <w:rFonts w:ascii="Verdana" w:eastAsia="Verdana" w:hAnsi="Verdana" w:cs="Verdana"/>
                <w:i/>
                <w:noProof/>
                <w:color w:val="000000"/>
                <w:sz w:val="18"/>
              </w:rPr>
              <w:t>Paid-in</w:t>
            </w:r>
          </w:p>
        </w:tc>
        <w:tc>
          <w:tcPr>
            <w:tcW w:w="2786" w:type="dxa"/>
            <w:tcBorders>
              <w:top w:val="nil"/>
              <w:left w:val="nil"/>
              <w:bottom w:val="single" w:sz="4" w:space="0" w:color="016794"/>
              <w:right w:val="nil"/>
              <w:tl2br w:val="nil"/>
              <w:tr2bl w:val="nil"/>
            </w:tcBorders>
            <w:tcMar>
              <w:left w:w="60" w:type="dxa"/>
              <w:right w:w="60" w:type="dxa"/>
            </w:tcMar>
            <w:vAlign w:val="bottom"/>
          </w:tcPr>
          <w:p w14:paraId="34F707F3" w14:textId="77777777" w:rsidR="00807FFE" w:rsidRDefault="00023E71">
            <w:pPr>
              <w:pStyle w:val="DMETW36650BIPEIF1"/>
              <w:jc w:val="right"/>
              <w:rPr>
                <w:rFonts w:ascii="Verdana" w:eastAsia="Verdana" w:hAnsi="Verdana" w:cs="Verdana"/>
                <w:i/>
                <w:noProof/>
                <w:color w:val="000000"/>
                <w:sz w:val="18"/>
              </w:rPr>
            </w:pPr>
            <w:r>
              <w:rPr>
                <w:rFonts w:ascii="Verdana" w:eastAsia="Verdana" w:hAnsi="Verdana" w:cs="Verdana"/>
                <w:i/>
                <w:noProof/>
                <w:color w:val="000000"/>
                <w:sz w:val="18"/>
              </w:rPr>
              <w:t>(1 474)</w:t>
            </w:r>
          </w:p>
        </w:tc>
        <w:tc>
          <w:tcPr>
            <w:tcW w:w="2787" w:type="dxa"/>
            <w:tcBorders>
              <w:top w:val="nil"/>
              <w:left w:val="nil"/>
              <w:bottom w:val="single" w:sz="4" w:space="0" w:color="016794"/>
              <w:right w:val="nil"/>
              <w:tl2br w:val="nil"/>
              <w:tr2bl w:val="nil"/>
            </w:tcBorders>
            <w:tcMar>
              <w:left w:w="60" w:type="dxa"/>
              <w:right w:w="60" w:type="dxa"/>
            </w:tcMar>
            <w:vAlign w:val="bottom"/>
          </w:tcPr>
          <w:p w14:paraId="03F8C66E" w14:textId="77777777" w:rsidR="00807FFE" w:rsidRDefault="00023E71">
            <w:pPr>
              <w:pStyle w:val="DMETW36650BIPEIF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(438)</w:t>
            </w:r>
          </w:p>
        </w:tc>
      </w:tr>
      <w:tr w:rsidR="00807FFE" w14:paraId="4721D486" w14:textId="77777777">
        <w:trPr>
          <w:trHeight w:val="255"/>
        </w:trPr>
        <w:tc>
          <w:tcPr>
            <w:tcW w:w="4185" w:type="dxa"/>
            <w:tcBorders>
              <w:top w:val="single" w:sz="4" w:space="0" w:color="016794"/>
              <w:left w:val="nil"/>
              <w:bottom w:val="single" w:sz="4" w:space="0" w:color="016794"/>
              <w:right w:val="nil"/>
              <w:tl2br w:val="nil"/>
              <w:tr2bl w:val="nil"/>
            </w:tcBorders>
            <w:tcMar>
              <w:left w:w="60" w:type="dxa"/>
              <w:right w:w="60" w:type="dxa"/>
            </w:tcMar>
            <w:vAlign w:val="center"/>
          </w:tcPr>
          <w:p w14:paraId="4A92561C" w14:textId="77777777" w:rsidR="00807FFE" w:rsidRDefault="00023E71">
            <w:pPr>
              <w:pStyle w:val="DMETW36650BIPEIF1"/>
              <w:rPr>
                <w:rFonts w:ascii="Verdana" w:eastAsia="Verdana" w:hAnsi="Verdana" w:cs="Verdana"/>
                <w:b/>
                <w:noProof/>
                <w:color w:val="000000"/>
                <w:sz w:val="18"/>
              </w:rPr>
            </w:pPr>
            <w:r>
              <w:rPr>
                <w:rFonts w:ascii="Verdana" w:eastAsia="Verdana" w:hAnsi="Verdana" w:cs="Verdana"/>
                <w:b/>
                <w:noProof/>
                <w:color w:val="000000"/>
                <w:sz w:val="18"/>
              </w:rPr>
              <w:t>Uncalled</w:t>
            </w:r>
          </w:p>
        </w:tc>
        <w:tc>
          <w:tcPr>
            <w:tcW w:w="2786" w:type="dxa"/>
            <w:tcBorders>
              <w:top w:val="single" w:sz="4" w:space="0" w:color="016794"/>
              <w:left w:val="nil"/>
              <w:bottom w:val="single" w:sz="4" w:space="0" w:color="016794"/>
              <w:right w:val="nil"/>
              <w:tl2br w:val="nil"/>
              <w:tr2bl w:val="nil"/>
            </w:tcBorders>
            <w:tcMar>
              <w:left w:w="60" w:type="dxa"/>
              <w:right w:w="60" w:type="dxa"/>
            </w:tcMar>
            <w:vAlign w:val="bottom"/>
          </w:tcPr>
          <w:p w14:paraId="6AFE5FBD" w14:textId="77777777" w:rsidR="00807FFE" w:rsidRDefault="00023E71">
            <w:pPr>
              <w:pStyle w:val="DMETW36650BIPEIF1"/>
              <w:jc w:val="right"/>
              <w:rPr>
                <w:rFonts w:ascii="Verdana" w:eastAsia="Verdana" w:hAnsi="Verdana" w:cs="Verdana"/>
                <w:b/>
                <w:noProof/>
                <w:color w:val="000000"/>
                <w:sz w:val="18"/>
              </w:rPr>
            </w:pPr>
            <w:r>
              <w:rPr>
                <w:rFonts w:ascii="Verdana" w:eastAsia="Verdana" w:hAnsi="Verdana" w:cs="Verdana"/>
                <w:b/>
                <w:noProof/>
                <w:color w:val="000000"/>
                <w:sz w:val="18"/>
              </w:rPr>
              <w:t>5 896</w:t>
            </w:r>
          </w:p>
        </w:tc>
        <w:tc>
          <w:tcPr>
            <w:tcW w:w="2787" w:type="dxa"/>
            <w:tcBorders>
              <w:top w:val="single" w:sz="4" w:space="0" w:color="016794"/>
              <w:left w:val="nil"/>
              <w:bottom w:val="single" w:sz="4" w:space="0" w:color="016794"/>
              <w:right w:val="nil"/>
              <w:tl2br w:val="nil"/>
              <w:tr2bl w:val="nil"/>
            </w:tcBorders>
            <w:tcMar>
              <w:left w:w="60" w:type="dxa"/>
              <w:right w:w="60" w:type="dxa"/>
            </w:tcMar>
            <w:vAlign w:val="bottom"/>
          </w:tcPr>
          <w:p w14:paraId="3BABC142" w14:textId="77777777" w:rsidR="00807FFE" w:rsidRDefault="00023E71">
            <w:pPr>
              <w:pStyle w:val="DMETW36650BIPEIF1"/>
              <w:jc w:val="right"/>
              <w:rPr>
                <w:rFonts w:ascii="Verdana" w:eastAsia="Verdana" w:hAnsi="Verdana" w:cs="Verdana"/>
                <w:b/>
                <w:noProof/>
                <w:color w:val="000000"/>
                <w:sz w:val="18"/>
              </w:rPr>
            </w:pPr>
            <w:r>
              <w:rPr>
                <w:rFonts w:ascii="Verdana" w:eastAsia="Verdana" w:hAnsi="Verdana" w:cs="Verdana"/>
                <w:b/>
                <w:noProof/>
                <w:color w:val="000000"/>
                <w:sz w:val="18"/>
              </w:rPr>
              <w:t>1 752</w:t>
            </w:r>
          </w:p>
        </w:tc>
      </w:tr>
    </w:tbl>
    <w:p w14:paraId="77E2E075" w14:textId="77777777" w:rsidR="0039409E" w:rsidRPr="00F3531D" w:rsidRDefault="00023E71" w:rsidP="00186A0D">
      <w:pPr>
        <w:pStyle w:val="DGTextstand-alone"/>
        <w:spacing w:before="0" w:after="0"/>
        <w:sectPr w:rsidR="0039409E" w:rsidRPr="00F3531D" w:rsidSect="0039409E">
          <w:headerReference w:type="default" r:id="rId79"/>
          <w:footerReference w:type="default" r:id="rId80"/>
          <w:pgSz w:w="11906" w:h="16838"/>
          <w:pgMar w:top="1134" w:right="1134" w:bottom="1134" w:left="1134" w:header="709" w:footer="709" w:gutter="0"/>
          <w:cols w:space="708"/>
          <w:docGrid w:linePitch="360"/>
        </w:sectPr>
      </w:pPr>
      <w:r>
        <w:t xml:space="preserve"> </w:t>
      </w:r>
      <w:bookmarkEnd w:id="90"/>
    </w:p>
    <w:p w14:paraId="55C9E928" w14:textId="77777777" w:rsidR="00373886" w:rsidRDefault="00023E71" w:rsidP="00172034">
      <w:pPr>
        <w:pStyle w:val="HEADER2NOTES"/>
        <w:numPr>
          <w:ilvl w:val="1"/>
          <w:numId w:val="15"/>
        </w:numPr>
        <w:rPr>
          <w:noProof/>
        </w:rPr>
      </w:pPr>
      <w:bookmarkStart w:id="97" w:name="_DMBM_36701"/>
      <w:r w:rsidRPr="00B723D7">
        <w:rPr>
          <w:noProof/>
        </w:rPr>
        <w:t>FINANCIAL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0"/>
        <w:gridCol w:w="918"/>
        <w:gridCol w:w="1555"/>
        <w:gridCol w:w="1555"/>
      </w:tblGrid>
      <w:tr w:rsidR="00807FFE" w14:paraId="693C993F" w14:textId="77777777">
        <w:trPr>
          <w:trHeight w:val="255"/>
        </w:trPr>
        <w:tc>
          <w:tcPr>
            <w:tcW w:w="5730" w:type="dxa"/>
            <w:tcBorders>
              <w:top w:val="nil"/>
              <w:left w:val="nil"/>
              <w:bottom w:val="nil"/>
              <w:right w:val="nil"/>
              <w:tl2br w:val="nil"/>
              <w:tr2bl w:val="nil"/>
            </w:tcBorders>
            <w:tcMar>
              <w:left w:w="60" w:type="dxa"/>
              <w:right w:w="60" w:type="dxa"/>
            </w:tcMar>
            <w:vAlign w:val="center"/>
          </w:tcPr>
          <w:p w14:paraId="3E0278BA" w14:textId="77777777" w:rsidR="00807FFE" w:rsidRDefault="00807FFE">
            <w:pPr>
              <w:pStyle w:val="DMETW36764BIPFINA"/>
              <w:rPr>
                <w:rFonts w:ascii="Verdana" w:eastAsia="Verdana" w:hAnsi="Verdana" w:cs="Verdana"/>
                <w:i/>
                <w:noProof/>
                <w:color w:val="FFFFFF"/>
                <w:sz w:val="16"/>
                <w:lang w:bidi="en-GB"/>
              </w:rPr>
            </w:pPr>
            <w:bookmarkStart w:id="98" w:name="DOC_TBL00019_1_1"/>
            <w:bookmarkEnd w:id="98"/>
          </w:p>
        </w:tc>
        <w:tc>
          <w:tcPr>
            <w:tcW w:w="918" w:type="dxa"/>
            <w:tcBorders>
              <w:top w:val="nil"/>
              <w:left w:val="nil"/>
              <w:bottom w:val="nil"/>
              <w:right w:val="nil"/>
              <w:tl2br w:val="nil"/>
              <w:tr2bl w:val="nil"/>
            </w:tcBorders>
            <w:tcMar>
              <w:left w:w="60" w:type="dxa"/>
              <w:right w:w="60" w:type="dxa"/>
            </w:tcMar>
            <w:vAlign w:val="bottom"/>
          </w:tcPr>
          <w:p w14:paraId="7FDE3F33" w14:textId="77777777" w:rsidR="00807FFE" w:rsidRDefault="00807FFE">
            <w:pPr>
              <w:pStyle w:val="DMETW36764BIPFINA"/>
              <w:rPr>
                <w:rFonts w:ascii="Verdana" w:eastAsia="Verdana" w:hAnsi="Verdana" w:cs="Verdana"/>
                <w:noProof/>
                <w:color w:val="000000"/>
              </w:rPr>
            </w:pPr>
          </w:p>
        </w:tc>
        <w:tc>
          <w:tcPr>
            <w:tcW w:w="1555" w:type="dxa"/>
            <w:tcBorders>
              <w:top w:val="nil"/>
              <w:left w:val="nil"/>
              <w:bottom w:val="nil"/>
              <w:right w:val="nil"/>
              <w:tl2br w:val="nil"/>
              <w:tr2bl w:val="nil"/>
            </w:tcBorders>
            <w:tcMar>
              <w:left w:w="60" w:type="dxa"/>
              <w:right w:w="60" w:type="dxa"/>
            </w:tcMar>
            <w:vAlign w:val="bottom"/>
          </w:tcPr>
          <w:p w14:paraId="0C2B7A3F" w14:textId="77777777" w:rsidR="00807FFE" w:rsidRDefault="00807FFE">
            <w:pPr>
              <w:pStyle w:val="DMETW36764BIPFINA"/>
              <w:rPr>
                <w:rFonts w:ascii="Verdana" w:eastAsia="Verdana" w:hAnsi="Verdana" w:cs="Verdana"/>
                <w:noProof/>
                <w:color w:val="000000"/>
              </w:rPr>
            </w:pPr>
          </w:p>
        </w:tc>
        <w:tc>
          <w:tcPr>
            <w:tcW w:w="1555" w:type="dxa"/>
            <w:tcBorders>
              <w:top w:val="nil"/>
              <w:left w:val="nil"/>
              <w:bottom w:val="nil"/>
              <w:right w:val="nil"/>
              <w:tl2br w:val="nil"/>
              <w:tr2bl w:val="nil"/>
            </w:tcBorders>
            <w:tcMar>
              <w:left w:w="60" w:type="dxa"/>
              <w:right w:w="60" w:type="dxa"/>
            </w:tcMar>
            <w:vAlign w:val="bottom"/>
          </w:tcPr>
          <w:p w14:paraId="7AFD79F5" w14:textId="77777777" w:rsidR="00807FFE" w:rsidRDefault="00023E71">
            <w:pPr>
              <w:pStyle w:val="DMETW36764BIPFINA"/>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A35DD7A" w14:textId="77777777">
        <w:trPr>
          <w:trHeight w:val="255"/>
        </w:trPr>
        <w:tc>
          <w:tcPr>
            <w:tcW w:w="5730" w:type="dxa"/>
            <w:tcBorders>
              <w:top w:val="nil"/>
              <w:left w:val="nil"/>
              <w:bottom w:val="nil"/>
              <w:right w:val="nil"/>
              <w:tl2br w:val="nil"/>
              <w:tr2bl w:val="nil"/>
            </w:tcBorders>
            <w:shd w:val="solid" w:color="016794" w:fill="FFFFFF"/>
            <w:tcMar>
              <w:left w:w="60" w:type="dxa"/>
              <w:right w:w="60" w:type="dxa"/>
            </w:tcMar>
            <w:vAlign w:val="center"/>
          </w:tcPr>
          <w:p w14:paraId="54CFFFCB" w14:textId="77777777" w:rsidR="00807FFE" w:rsidRDefault="00807FFE">
            <w:pPr>
              <w:pStyle w:val="DMETW36764BIPFINA"/>
              <w:rPr>
                <w:rFonts w:ascii="Verdana" w:eastAsia="Verdana" w:hAnsi="Verdana" w:cs="Verdana"/>
                <w:noProof/>
                <w:color w:val="FFFFFF"/>
              </w:rPr>
            </w:pPr>
          </w:p>
        </w:tc>
        <w:tc>
          <w:tcPr>
            <w:tcW w:w="918" w:type="dxa"/>
            <w:tcBorders>
              <w:top w:val="nil"/>
              <w:left w:val="nil"/>
              <w:bottom w:val="nil"/>
              <w:right w:val="nil"/>
              <w:tl2br w:val="nil"/>
              <w:tr2bl w:val="nil"/>
            </w:tcBorders>
            <w:shd w:val="solid" w:color="016794" w:fill="FFFFFF"/>
            <w:tcMar>
              <w:left w:w="60" w:type="dxa"/>
              <w:right w:w="60" w:type="dxa"/>
            </w:tcMar>
            <w:vAlign w:val="center"/>
          </w:tcPr>
          <w:p w14:paraId="4A94FCE4" w14:textId="77777777" w:rsidR="00807FFE" w:rsidRDefault="00023E71">
            <w:pPr>
              <w:pStyle w:val="DMETW36764BIPFINA"/>
              <w:jc w:val="center"/>
              <w:rPr>
                <w:rFonts w:ascii="Verdana" w:eastAsia="Verdana" w:hAnsi="Verdana" w:cs="Verdana"/>
                <w:noProof/>
                <w:color w:val="FFFFFF"/>
              </w:rPr>
            </w:pPr>
            <w:r>
              <w:rPr>
                <w:rFonts w:ascii="Verdana" w:eastAsia="Verdana" w:hAnsi="Verdana" w:cs="Verdana"/>
                <w:noProof/>
                <w:color w:val="FFFFFF"/>
              </w:rPr>
              <w:t>Note</w:t>
            </w:r>
          </w:p>
        </w:tc>
        <w:tc>
          <w:tcPr>
            <w:tcW w:w="1555" w:type="dxa"/>
            <w:tcBorders>
              <w:top w:val="nil"/>
              <w:left w:val="nil"/>
              <w:bottom w:val="nil"/>
              <w:right w:val="nil"/>
              <w:tl2br w:val="nil"/>
              <w:tr2bl w:val="nil"/>
            </w:tcBorders>
            <w:shd w:val="solid" w:color="016794" w:fill="FFFFFF"/>
            <w:tcMar>
              <w:left w:w="60" w:type="dxa"/>
              <w:right w:w="60" w:type="dxa"/>
            </w:tcMar>
            <w:vAlign w:val="center"/>
          </w:tcPr>
          <w:p w14:paraId="50B6911E" w14:textId="77777777" w:rsidR="00807FFE" w:rsidRDefault="00023E71">
            <w:pPr>
              <w:pStyle w:val="DMETW36764BIPFINA"/>
              <w:jc w:val="right"/>
              <w:rPr>
                <w:rFonts w:ascii="Verdana" w:eastAsia="Verdana" w:hAnsi="Verdana" w:cs="Verdana"/>
                <w:noProof/>
                <w:color w:val="FFFFFF"/>
              </w:rPr>
            </w:pPr>
            <w:r>
              <w:rPr>
                <w:rFonts w:ascii="Verdana" w:eastAsia="Verdana" w:hAnsi="Verdana" w:cs="Verdana"/>
                <w:noProof/>
                <w:color w:val="FFFFFF"/>
              </w:rPr>
              <w:t>31.12.2025</w:t>
            </w:r>
          </w:p>
        </w:tc>
        <w:tc>
          <w:tcPr>
            <w:tcW w:w="1555" w:type="dxa"/>
            <w:tcBorders>
              <w:top w:val="nil"/>
              <w:left w:val="nil"/>
              <w:bottom w:val="nil"/>
              <w:right w:val="nil"/>
              <w:tl2br w:val="nil"/>
              <w:tr2bl w:val="nil"/>
            </w:tcBorders>
            <w:shd w:val="solid" w:color="016794" w:fill="FFFFFF"/>
            <w:tcMar>
              <w:left w:w="60" w:type="dxa"/>
              <w:right w:w="60" w:type="dxa"/>
            </w:tcMar>
            <w:vAlign w:val="center"/>
          </w:tcPr>
          <w:p w14:paraId="06EA0105" w14:textId="77777777" w:rsidR="00807FFE" w:rsidRDefault="00023E71">
            <w:pPr>
              <w:pStyle w:val="DMETW36764BIPFINA"/>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4A6CDDF9" w14:textId="77777777">
        <w:trPr>
          <w:trHeight w:val="255"/>
        </w:trPr>
        <w:tc>
          <w:tcPr>
            <w:tcW w:w="5730" w:type="dxa"/>
            <w:tcBorders>
              <w:top w:val="nil"/>
              <w:left w:val="nil"/>
              <w:bottom w:val="nil"/>
              <w:right w:val="nil"/>
              <w:tl2br w:val="nil"/>
              <w:tr2bl w:val="nil"/>
            </w:tcBorders>
            <w:tcMar>
              <w:left w:w="60" w:type="dxa"/>
              <w:right w:w="60" w:type="dxa"/>
            </w:tcMar>
            <w:vAlign w:val="center"/>
          </w:tcPr>
          <w:p w14:paraId="5F7E8828" w14:textId="77777777" w:rsidR="00807FFE" w:rsidRDefault="00023E71">
            <w:pPr>
              <w:pStyle w:val="DMETW36764BIPFINA"/>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918" w:type="dxa"/>
            <w:tcBorders>
              <w:top w:val="nil"/>
              <w:left w:val="nil"/>
              <w:bottom w:val="nil"/>
              <w:right w:val="nil"/>
              <w:tl2br w:val="nil"/>
              <w:tr2bl w:val="nil"/>
            </w:tcBorders>
            <w:tcMar>
              <w:left w:w="60" w:type="dxa"/>
              <w:right w:w="60" w:type="dxa"/>
            </w:tcMar>
            <w:vAlign w:val="center"/>
          </w:tcPr>
          <w:p w14:paraId="143A4385" w14:textId="77777777" w:rsidR="00807FFE" w:rsidRDefault="00807FFE">
            <w:pPr>
              <w:pStyle w:val="DMETW36764BIPFINA"/>
              <w:jc w:val="center"/>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14:paraId="1A3D08C1" w14:textId="77777777" w:rsidR="00807FFE" w:rsidRDefault="00807FFE">
            <w:pPr>
              <w:pStyle w:val="DMETW36764BIPFINA"/>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14:paraId="328599DF" w14:textId="77777777" w:rsidR="00807FFE" w:rsidRDefault="00807FFE">
            <w:pPr>
              <w:pStyle w:val="DMETW36764BIPFINA"/>
              <w:rPr>
                <w:rFonts w:ascii="Verdana" w:eastAsia="Verdana" w:hAnsi="Verdana" w:cs="Verdana"/>
                <w:b/>
                <w:noProof/>
                <w:color w:val="000000"/>
                <w:sz w:val="18"/>
                <w:lang w:bidi="en-GB"/>
              </w:rPr>
            </w:pPr>
          </w:p>
        </w:tc>
      </w:tr>
      <w:tr w:rsidR="00807FFE" w14:paraId="2E421BAE" w14:textId="77777777">
        <w:trPr>
          <w:trHeight w:val="255"/>
        </w:trPr>
        <w:tc>
          <w:tcPr>
            <w:tcW w:w="5730" w:type="dxa"/>
            <w:tcBorders>
              <w:top w:val="nil"/>
              <w:left w:val="nil"/>
              <w:bottom w:val="nil"/>
              <w:right w:val="nil"/>
              <w:tl2br w:val="nil"/>
              <w:tr2bl w:val="nil"/>
            </w:tcBorders>
            <w:tcMar>
              <w:left w:w="60" w:type="dxa"/>
              <w:right w:w="60" w:type="dxa"/>
            </w:tcMar>
            <w:vAlign w:val="center"/>
          </w:tcPr>
          <w:p w14:paraId="4D8C6AC1" w14:textId="77777777" w:rsidR="00807FFE" w:rsidRDefault="00023E71">
            <w:pPr>
              <w:pStyle w:val="DMETW36764BIPFINA"/>
              <w:rPr>
                <w:rFonts w:ascii="Verdana" w:eastAsia="Verdana" w:hAnsi="Verdana" w:cs="Verdana"/>
                <w:i/>
                <w:noProof/>
                <w:color w:val="000000"/>
                <w:sz w:val="18"/>
              </w:rPr>
            </w:pPr>
            <w:r>
              <w:rPr>
                <w:rFonts w:ascii="Verdana" w:eastAsia="Verdana" w:hAnsi="Verdana" w:cs="Verdana"/>
                <w:i/>
                <w:noProof/>
                <w:color w:val="000000"/>
                <w:sz w:val="18"/>
              </w:rPr>
              <w:t>Financial assets at amortised cost</w:t>
            </w:r>
          </w:p>
        </w:tc>
        <w:tc>
          <w:tcPr>
            <w:tcW w:w="918" w:type="dxa"/>
            <w:tcBorders>
              <w:top w:val="nil"/>
              <w:left w:val="nil"/>
              <w:bottom w:val="nil"/>
              <w:right w:val="nil"/>
              <w:tl2br w:val="nil"/>
              <w:tr2bl w:val="nil"/>
            </w:tcBorders>
            <w:tcMar>
              <w:left w:w="60" w:type="dxa"/>
              <w:right w:w="60" w:type="dxa"/>
            </w:tcMar>
            <w:vAlign w:val="center"/>
          </w:tcPr>
          <w:p w14:paraId="1EE84B07" w14:textId="77777777" w:rsidR="00807FFE" w:rsidRDefault="00023E71">
            <w:pPr>
              <w:pStyle w:val="DMETW36764BIPFINA"/>
              <w:jc w:val="center"/>
              <w:rPr>
                <w:rFonts w:ascii="Verdana" w:eastAsia="Verdana" w:hAnsi="Verdana" w:cs="Verdana"/>
                <w:i/>
                <w:noProof/>
                <w:color w:val="000000"/>
                <w:sz w:val="18"/>
              </w:rPr>
            </w:pPr>
            <w:r>
              <w:rPr>
                <w:rFonts w:ascii="Verdana" w:eastAsia="Verdana" w:hAnsi="Verdana" w:cs="Verdana"/>
                <w:i/>
                <w:noProof/>
                <w:color w:val="000000"/>
                <w:sz w:val="18"/>
              </w:rPr>
              <w:t>2.4.1</w:t>
            </w:r>
          </w:p>
        </w:tc>
        <w:tc>
          <w:tcPr>
            <w:tcW w:w="1555" w:type="dxa"/>
            <w:tcBorders>
              <w:top w:val="nil"/>
              <w:left w:val="nil"/>
              <w:bottom w:val="nil"/>
              <w:right w:val="nil"/>
              <w:tl2br w:val="nil"/>
              <w:tr2bl w:val="nil"/>
            </w:tcBorders>
            <w:tcMar>
              <w:left w:w="60" w:type="dxa"/>
              <w:right w:w="60" w:type="dxa"/>
            </w:tcMar>
            <w:vAlign w:val="center"/>
          </w:tcPr>
          <w:p w14:paraId="50930802" w14:textId="77777777" w:rsidR="00807FFE" w:rsidRDefault="00023E71">
            <w:pPr>
              <w:pStyle w:val="DMETW36764BIPFINA"/>
              <w:jc w:val="right"/>
              <w:rPr>
                <w:rFonts w:ascii="Verdana" w:eastAsia="Verdana" w:hAnsi="Verdana" w:cs="Verdana"/>
                <w:i/>
                <w:noProof/>
                <w:color w:val="000000"/>
                <w:sz w:val="18"/>
              </w:rPr>
            </w:pPr>
            <w:r>
              <w:rPr>
                <w:rFonts w:ascii="Verdana" w:eastAsia="Verdana" w:hAnsi="Verdana" w:cs="Verdana"/>
                <w:i/>
                <w:noProof/>
                <w:color w:val="000000"/>
                <w:sz w:val="18"/>
              </w:rPr>
              <w:t>314 887</w:t>
            </w:r>
          </w:p>
        </w:tc>
        <w:tc>
          <w:tcPr>
            <w:tcW w:w="1555" w:type="dxa"/>
            <w:tcBorders>
              <w:top w:val="nil"/>
              <w:left w:val="nil"/>
              <w:bottom w:val="nil"/>
              <w:right w:val="nil"/>
              <w:tl2br w:val="nil"/>
              <w:tr2bl w:val="nil"/>
            </w:tcBorders>
            <w:tcMar>
              <w:left w:w="60" w:type="dxa"/>
              <w:right w:w="60" w:type="dxa"/>
            </w:tcMar>
            <w:vAlign w:val="center"/>
          </w:tcPr>
          <w:p w14:paraId="33A724F8" w14:textId="77777777" w:rsidR="00807FFE" w:rsidRDefault="00023E71">
            <w:pPr>
              <w:pStyle w:val="DMETW36764BIPFINA"/>
              <w:jc w:val="right"/>
              <w:rPr>
                <w:rFonts w:ascii="Verdana" w:eastAsia="Verdana" w:hAnsi="Verdana" w:cs="Verdana"/>
                <w:i/>
                <w:noProof/>
                <w:color w:val="000000"/>
                <w:sz w:val="18"/>
                <w:lang w:bidi="en-GB"/>
              </w:rPr>
            </w:pPr>
            <w:r>
              <w:rPr>
                <w:rFonts w:ascii="Verdana" w:eastAsia="Verdana" w:hAnsi="Verdana" w:cs="Verdana"/>
                <w:i/>
                <w:noProof/>
                <w:color w:val="000000"/>
                <w:sz w:val="18"/>
              </w:rPr>
              <w:t>269 903</w:t>
            </w:r>
          </w:p>
        </w:tc>
      </w:tr>
      <w:tr w:rsidR="00807FFE" w14:paraId="518AB2AA" w14:textId="77777777">
        <w:trPr>
          <w:trHeight w:val="255"/>
        </w:trPr>
        <w:tc>
          <w:tcPr>
            <w:tcW w:w="5730" w:type="dxa"/>
            <w:tcBorders>
              <w:top w:val="nil"/>
              <w:left w:val="nil"/>
              <w:bottom w:val="nil"/>
              <w:right w:val="nil"/>
              <w:tl2br w:val="nil"/>
              <w:tr2bl w:val="nil"/>
            </w:tcBorders>
            <w:tcMar>
              <w:left w:w="60" w:type="dxa"/>
              <w:right w:w="60" w:type="dxa"/>
            </w:tcMar>
            <w:vAlign w:val="center"/>
          </w:tcPr>
          <w:p w14:paraId="392CB708" w14:textId="77777777" w:rsidR="00807FFE" w:rsidRDefault="00023E71">
            <w:pPr>
              <w:pStyle w:val="DMETW36764BIPFINA"/>
              <w:rPr>
                <w:rFonts w:ascii="Verdana" w:eastAsia="Verdana" w:hAnsi="Verdana" w:cs="Verdana"/>
                <w:i/>
                <w:noProof/>
                <w:color w:val="000000"/>
                <w:sz w:val="18"/>
              </w:rPr>
            </w:pPr>
            <w:r>
              <w:rPr>
                <w:rFonts w:ascii="Verdana" w:eastAsia="Verdana" w:hAnsi="Verdana" w:cs="Verdana"/>
                <w:i/>
                <w:noProof/>
                <w:color w:val="000000"/>
                <w:sz w:val="18"/>
              </w:rPr>
              <w:t>Financial assets at fair value through surplus or deficit</w:t>
            </w:r>
          </w:p>
        </w:tc>
        <w:tc>
          <w:tcPr>
            <w:tcW w:w="918" w:type="dxa"/>
            <w:tcBorders>
              <w:top w:val="nil"/>
              <w:left w:val="nil"/>
              <w:bottom w:val="nil"/>
              <w:right w:val="nil"/>
              <w:tl2br w:val="nil"/>
              <w:tr2bl w:val="nil"/>
            </w:tcBorders>
            <w:tcMar>
              <w:left w:w="60" w:type="dxa"/>
              <w:right w:w="60" w:type="dxa"/>
            </w:tcMar>
            <w:vAlign w:val="center"/>
          </w:tcPr>
          <w:p w14:paraId="03767910" w14:textId="77777777" w:rsidR="00807FFE" w:rsidRDefault="00023E71">
            <w:pPr>
              <w:pStyle w:val="DMETW36764BIPFINA"/>
              <w:jc w:val="center"/>
              <w:rPr>
                <w:rFonts w:ascii="Verdana" w:eastAsia="Verdana" w:hAnsi="Verdana" w:cs="Verdana"/>
                <w:i/>
                <w:noProof/>
                <w:color w:val="000000"/>
                <w:sz w:val="18"/>
              </w:rPr>
            </w:pPr>
            <w:r>
              <w:rPr>
                <w:rFonts w:ascii="Verdana" w:eastAsia="Verdana" w:hAnsi="Verdana" w:cs="Verdana"/>
                <w:i/>
                <w:noProof/>
                <w:color w:val="000000"/>
                <w:sz w:val="18"/>
              </w:rPr>
              <w:t>2.4.2</w:t>
            </w:r>
          </w:p>
        </w:tc>
        <w:tc>
          <w:tcPr>
            <w:tcW w:w="1555" w:type="dxa"/>
            <w:tcBorders>
              <w:top w:val="nil"/>
              <w:left w:val="nil"/>
              <w:bottom w:val="nil"/>
              <w:right w:val="nil"/>
              <w:tl2br w:val="nil"/>
              <w:tr2bl w:val="nil"/>
            </w:tcBorders>
            <w:tcMar>
              <w:left w:w="60" w:type="dxa"/>
              <w:right w:w="60" w:type="dxa"/>
            </w:tcMar>
            <w:vAlign w:val="center"/>
          </w:tcPr>
          <w:p w14:paraId="730F1567" w14:textId="77777777" w:rsidR="00807FFE" w:rsidRDefault="00023E71">
            <w:pPr>
              <w:pStyle w:val="DMETW36764BIPFINA"/>
              <w:jc w:val="right"/>
              <w:rPr>
                <w:rFonts w:ascii="Verdana" w:eastAsia="Verdana" w:hAnsi="Verdana" w:cs="Verdana"/>
                <w:i/>
                <w:noProof/>
                <w:color w:val="000000"/>
                <w:sz w:val="18"/>
              </w:rPr>
            </w:pPr>
            <w:r>
              <w:rPr>
                <w:rFonts w:ascii="Verdana" w:eastAsia="Verdana" w:hAnsi="Verdana" w:cs="Verdana"/>
                <w:i/>
                <w:noProof/>
                <w:color w:val="000000"/>
                <w:sz w:val="18"/>
              </w:rPr>
              <w:t>47 919</w:t>
            </w:r>
          </w:p>
        </w:tc>
        <w:tc>
          <w:tcPr>
            <w:tcW w:w="1555" w:type="dxa"/>
            <w:tcBorders>
              <w:top w:val="nil"/>
              <w:left w:val="nil"/>
              <w:bottom w:val="nil"/>
              <w:right w:val="nil"/>
              <w:tl2br w:val="nil"/>
              <w:tr2bl w:val="nil"/>
            </w:tcBorders>
            <w:tcMar>
              <w:left w:w="60" w:type="dxa"/>
              <w:right w:w="60" w:type="dxa"/>
            </w:tcMar>
            <w:vAlign w:val="center"/>
          </w:tcPr>
          <w:p w14:paraId="24B51245" w14:textId="77777777" w:rsidR="00807FFE" w:rsidRDefault="00023E71">
            <w:pPr>
              <w:pStyle w:val="DMETW36764BIPFINA"/>
              <w:jc w:val="right"/>
              <w:rPr>
                <w:rFonts w:ascii="Verdana" w:eastAsia="Verdana" w:hAnsi="Verdana" w:cs="Verdana"/>
                <w:i/>
                <w:noProof/>
                <w:color w:val="000000"/>
                <w:sz w:val="18"/>
                <w:lang w:bidi="en-GB"/>
              </w:rPr>
            </w:pPr>
            <w:r>
              <w:rPr>
                <w:rFonts w:ascii="Verdana" w:eastAsia="Verdana" w:hAnsi="Verdana" w:cs="Verdana"/>
                <w:i/>
                <w:noProof/>
                <w:color w:val="000000"/>
                <w:sz w:val="18"/>
              </w:rPr>
              <w:t>39 058</w:t>
            </w:r>
          </w:p>
        </w:tc>
      </w:tr>
      <w:tr w:rsidR="00807FFE" w14:paraId="11CC9E15" w14:textId="77777777">
        <w:trPr>
          <w:trHeight w:val="255"/>
        </w:trPr>
        <w:tc>
          <w:tcPr>
            <w:tcW w:w="5730" w:type="dxa"/>
            <w:tcBorders>
              <w:top w:val="nil"/>
              <w:left w:val="nil"/>
              <w:bottom w:val="nil"/>
              <w:right w:val="nil"/>
              <w:tl2br w:val="nil"/>
              <w:tr2bl w:val="nil"/>
            </w:tcBorders>
            <w:shd w:val="solid" w:color="CCE1EA" w:fill="FFFFFF"/>
            <w:tcMar>
              <w:left w:w="60" w:type="dxa"/>
              <w:right w:w="60" w:type="dxa"/>
            </w:tcMar>
            <w:vAlign w:val="center"/>
          </w:tcPr>
          <w:p w14:paraId="50F4F62E" w14:textId="77777777" w:rsidR="00807FFE" w:rsidRDefault="00807FFE">
            <w:pPr>
              <w:pStyle w:val="DMETW36764BIPFINA"/>
              <w:rPr>
                <w:rFonts w:ascii="Verdana" w:eastAsia="Verdana" w:hAnsi="Verdana" w:cs="Verdana"/>
                <w:b/>
                <w:noProof/>
                <w:color w:val="000000"/>
                <w:sz w:val="18"/>
              </w:rPr>
            </w:pPr>
          </w:p>
        </w:tc>
        <w:tc>
          <w:tcPr>
            <w:tcW w:w="918" w:type="dxa"/>
            <w:tcBorders>
              <w:top w:val="nil"/>
              <w:left w:val="nil"/>
              <w:bottom w:val="nil"/>
              <w:right w:val="nil"/>
              <w:tl2br w:val="nil"/>
              <w:tr2bl w:val="nil"/>
            </w:tcBorders>
            <w:shd w:val="solid" w:color="CCE1EA" w:fill="FFFFFF"/>
            <w:tcMar>
              <w:left w:w="60" w:type="dxa"/>
              <w:right w:w="60" w:type="dxa"/>
            </w:tcMar>
            <w:vAlign w:val="center"/>
          </w:tcPr>
          <w:p w14:paraId="6095150E" w14:textId="77777777" w:rsidR="00807FFE" w:rsidRDefault="00807FFE">
            <w:pPr>
              <w:pStyle w:val="DMETW36764BIPFINA"/>
              <w:jc w:val="center"/>
              <w:rPr>
                <w:rFonts w:ascii="Verdana" w:eastAsia="Verdana" w:hAnsi="Verdana" w:cs="Verdana"/>
                <w:noProof/>
                <w:color w:val="000000"/>
                <w:sz w:val="18"/>
              </w:rPr>
            </w:pPr>
          </w:p>
        </w:tc>
        <w:tc>
          <w:tcPr>
            <w:tcW w:w="1555" w:type="dxa"/>
            <w:tcBorders>
              <w:top w:val="nil"/>
              <w:left w:val="nil"/>
              <w:bottom w:val="nil"/>
              <w:right w:val="nil"/>
              <w:tl2br w:val="nil"/>
              <w:tr2bl w:val="nil"/>
            </w:tcBorders>
            <w:shd w:val="solid" w:color="CCE1EA" w:fill="FFFFFF"/>
            <w:tcMar>
              <w:left w:w="60" w:type="dxa"/>
              <w:right w:w="60" w:type="dxa"/>
            </w:tcMar>
            <w:vAlign w:val="center"/>
          </w:tcPr>
          <w:p w14:paraId="5255ABD4" w14:textId="77777777" w:rsidR="00807FFE" w:rsidRDefault="00023E71">
            <w:pPr>
              <w:pStyle w:val="DMETW36764BIPFINA"/>
              <w:jc w:val="right"/>
              <w:rPr>
                <w:rFonts w:ascii="Verdana" w:eastAsia="Verdana" w:hAnsi="Verdana" w:cs="Verdana"/>
                <w:b/>
                <w:noProof/>
                <w:color w:val="000000"/>
                <w:sz w:val="18"/>
              </w:rPr>
            </w:pPr>
            <w:r>
              <w:rPr>
                <w:rFonts w:ascii="Verdana" w:eastAsia="Verdana" w:hAnsi="Verdana" w:cs="Verdana"/>
                <w:b/>
                <w:noProof/>
                <w:color w:val="000000"/>
                <w:sz w:val="18"/>
              </w:rPr>
              <w:t>362 806</w:t>
            </w:r>
          </w:p>
        </w:tc>
        <w:tc>
          <w:tcPr>
            <w:tcW w:w="1555" w:type="dxa"/>
            <w:tcBorders>
              <w:top w:val="nil"/>
              <w:left w:val="nil"/>
              <w:bottom w:val="nil"/>
              <w:right w:val="nil"/>
              <w:tl2br w:val="nil"/>
              <w:tr2bl w:val="nil"/>
            </w:tcBorders>
            <w:shd w:val="solid" w:color="CCE1EA" w:fill="FFFFFF"/>
            <w:tcMar>
              <w:left w:w="60" w:type="dxa"/>
              <w:right w:w="60" w:type="dxa"/>
            </w:tcMar>
            <w:vAlign w:val="center"/>
          </w:tcPr>
          <w:p w14:paraId="3BADB384" w14:textId="77777777" w:rsidR="00807FFE" w:rsidRDefault="00023E71">
            <w:pPr>
              <w:pStyle w:val="DMETW36764BIPFINA"/>
              <w:jc w:val="right"/>
              <w:rPr>
                <w:rFonts w:ascii="Verdana" w:eastAsia="Verdana" w:hAnsi="Verdana" w:cs="Verdana"/>
                <w:b/>
                <w:noProof/>
                <w:color w:val="000000"/>
                <w:sz w:val="18"/>
                <w:lang w:bidi="en-GB"/>
              </w:rPr>
            </w:pPr>
            <w:r>
              <w:rPr>
                <w:rFonts w:ascii="Verdana" w:eastAsia="Verdana" w:hAnsi="Verdana" w:cs="Verdana"/>
                <w:b/>
                <w:noProof/>
                <w:color w:val="000000"/>
                <w:sz w:val="18"/>
              </w:rPr>
              <w:t>308 961</w:t>
            </w:r>
          </w:p>
        </w:tc>
      </w:tr>
      <w:tr w:rsidR="00807FFE" w14:paraId="5430C119" w14:textId="77777777">
        <w:trPr>
          <w:trHeight w:val="255"/>
        </w:trPr>
        <w:tc>
          <w:tcPr>
            <w:tcW w:w="5730" w:type="dxa"/>
            <w:tcBorders>
              <w:top w:val="nil"/>
              <w:left w:val="nil"/>
              <w:bottom w:val="nil"/>
              <w:right w:val="nil"/>
              <w:tl2br w:val="nil"/>
              <w:tr2bl w:val="nil"/>
            </w:tcBorders>
            <w:tcMar>
              <w:left w:w="60" w:type="dxa"/>
              <w:right w:w="60" w:type="dxa"/>
            </w:tcMar>
            <w:vAlign w:val="center"/>
          </w:tcPr>
          <w:p w14:paraId="71D937E9" w14:textId="77777777" w:rsidR="00807FFE" w:rsidRDefault="00023E71">
            <w:pPr>
              <w:pStyle w:val="DMETW36764BIPFINA"/>
              <w:rPr>
                <w:rFonts w:ascii="Verdana" w:eastAsia="Verdana" w:hAnsi="Verdana" w:cs="Verdana"/>
                <w:b/>
                <w:noProof/>
                <w:color w:val="000000"/>
                <w:sz w:val="18"/>
              </w:rPr>
            </w:pPr>
            <w:r>
              <w:rPr>
                <w:rFonts w:ascii="Verdana" w:eastAsia="Verdana" w:hAnsi="Verdana" w:cs="Verdana"/>
                <w:b/>
                <w:noProof/>
                <w:color w:val="000000"/>
                <w:sz w:val="18"/>
              </w:rPr>
              <w:t>Current</w:t>
            </w:r>
          </w:p>
        </w:tc>
        <w:tc>
          <w:tcPr>
            <w:tcW w:w="918" w:type="dxa"/>
            <w:tcBorders>
              <w:top w:val="nil"/>
              <w:left w:val="nil"/>
              <w:bottom w:val="nil"/>
              <w:right w:val="nil"/>
              <w:tl2br w:val="nil"/>
              <w:tr2bl w:val="nil"/>
            </w:tcBorders>
            <w:tcMar>
              <w:left w:w="60" w:type="dxa"/>
              <w:right w:w="60" w:type="dxa"/>
            </w:tcMar>
            <w:vAlign w:val="center"/>
          </w:tcPr>
          <w:p w14:paraId="3542CCE6" w14:textId="77777777" w:rsidR="00807FFE" w:rsidRDefault="00807FFE">
            <w:pPr>
              <w:pStyle w:val="DMETW36764BIPFINA"/>
              <w:jc w:val="center"/>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14:paraId="5EBB52B8" w14:textId="77777777" w:rsidR="00807FFE" w:rsidRDefault="00807FFE">
            <w:pPr>
              <w:pStyle w:val="DMETW36764BIPFINA"/>
              <w:jc w:val="right"/>
              <w:rPr>
                <w:rFonts w:ascii="Verdana" w:eastAsia="Verdana" w:hAnsi="Verdana" w:cs="Verdana"/>
                <w:i/>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14:paraId="53613B67" w14:textId="77777777" w:rsidR="00807FFE" w:rsidRDefault="00807FFE">
            <w:pPr>
              <w:pStyle w:val="DMETW36764BIPFINA"/>
              <w:jc w:val="right"/>
              <w:rPr>
                <w:rFonts w:ascii="Verdana" w:eastAsia="Verdana" w:hAnsi="Verdana" w:cs="Verdana"/>
                <w:i/>
                <w:noProof/>
                <w:color w:val="000000"/>
                <w:sz w:val="18"/>
                <w:lang w:bidi="en-GB"/>
              </w:rPr>
            </w:pPr>
          </w:p>
        </w:tc>
      </w:tr>
      <w:tr w:rsidR="00807FFE" w14:paraId="620F22D3" w14:textId="77777777">
        <w:trPr>
          <w:trHeight w:val="255"/>
        </w:trPr>
        <w:tc>
          <w:tcPr>
            <w:tcW w:w="5730" w:type="dxa"/>
            <w:tcBorders>
              <w:top w:val="nil"/>
              <w:left w:val="nil"/>
              <w:bottom w:val="nil"/>
              <w:right w:val="nil"/>
              <w:tl2br w:val="nil"/>
              <w:tr2bl w:val="nil"/>
            </w:tcBorders>
            <w:tcMar>
              <w:left w:w="60" w:type="dxa"/>
              <w:right w:w="60" w:type="dxa"/>
            </w:tcMar>
            <w:vAlign w:val="center"/>
          </w:tcPr>
          <w:p w14:paraId="6D6CBE63" w14:textId="77777777" w:rsidR="00807FFE" w:rsidRDefault="00023E71">
            <w:pPr>
              <w:pStyle w:val="DMETW36764BIPFINA"/>
              <w:rPr>
                <w:rFonts w:ascii="Verdana" w:eastAsia="Verdana" w:hAnsi="Verdana" w:cs="Verdana"/>
                <w:i/>
                <w:noProof/>
                <w:color w:val="000000"/>
                <w:sz w:val="18"/>
              </w:rPr>
            </w:pPr>
            <w:r>
              <w:rPr>
                <w:rFonts w:ascii="Verdana" w:eastAsia="Verdana" w:hAnsi="Verdana" w:cs="Verdana"/>
                <w:i/>
                <w:noProof/>
                <w:color w:val="000000"/>
                <w:sz w:val="18"/>
              </w:rPr>
              <w:t>Financial assets at amortised cost</w:t>
            </w:r>
          </w:p>
        </w:tc>
        <w:tc>
          <w:tcPr>
            <w:tcW w:w="918" w:type="dxa"/>
            <w:tcBorders>
              <w:top w:val="nil"/>
              <w:left w:val="nil"/>
              <w:bottom w:val="nil"/>
              <w:right w:val="nil"/>
              <w:tl2br w:val="nil"/>
              <w:tr2bl w:val="nil"/>
            </w:tcBorders>
            <w:tcMar>
              <w:left w:w="60" w:type="dxa"/>
              <w:right w:w="60" w:type="dxa"/>
            </w:tcMar>
            <w:vAlign w:val="center"/>
          </w:tcPr>
          <w:p w14:paraId="7FD0C1CA" w14:textId="77777777" w:rsidR="00807FFE" w:rsidRDefault="00023E71">
            <w:pPr>
              <w:pStyle w:val="DMETW36764BIPFINA"/>
              <w:jc w:val="center"/>
              <w:rPr>
                <w:rFonts w:ascii="Verdana" w:eastAsia="Verdana" w:hAnsi="Verdana" w:cs="Verdana"/>
                <w:i/>
                <w:noProof/>
                <w:color w:val="000000"/>
                <w:sz w:val="18"/>
              </w:rPr>
            </w:pPr>
            <w:r>
              <w:rPr>
                <w:rFonts w:ascii="Verdana" w:eastAsia="Verdana" w:hAnsi="Verdana" w:cs="Verdana"/>
                <w:i/>
                <w:noProof/>
                <w:color w:val="000000"/>
                <w:sz w:val="18"/>
              </w:rPr>
              <w:t>2.4.1</w:t>
            </w:r>
          </w:p>
        </w:tc>
        <w:tc>
          <w:tcPr>
            <w:tcW w:w="1555" w:type="dxa"/>
            <w:tcBorders>
              <w:top w:val="nil"/>
              <w:left w:val="nil"/>
              <w:bottom w:val="nil"/>
              <w:right w:val="nil"/>
              <w:tl2br w:val="nil"/>
              <w:tr2bl w:val="nil"/>
            </w:tcBorders>
            <w:tcMar>
              <w:left w:w="60" w:type="dxa"/>
              <w:right w:w="60" w:type="dxa"/>
            </w:tcMar>
            <w:vAlign w:val="center"/>
          </w:tcPr>
          <w:p w14:paraId="06A75CE5" w14:textId="77777777" w:rsidR="00807FFE" w:rsidRDefault="00023E71">
            <w:pPr>
              <w:pStyle w:val="DMETW36764BIPFINA"/>
              <w:jc w:val="right"/>
              <w:rPr>
                <w:rFonts w:ascii="Verdana" w:eastAsia="Verdana" w:hAnsi="Verdana" w:cs="Verdana"/>
                <w:i/>
                <w:noProof/>
                <w:color w:val="000000"/>
                <w:sz w:val="18"/>
              </w:rPr>
            </w:pPr>
            <w:r>
              <w:rPr>
                <w:rFonts w:ascii="Verdana" w:eastAsia="Verdana" w:hAnsi="Verdana" w:cs="Verdana"/>
                <w:i/>
                <w:noProof/>
                <w:color w:val="000000"/>
                <w:sz w:val="18"/>
              </w:rPr>
              <w:t>18 545</w:t>
            </w:r>
          </w:p>
        </w:tc>
        <w:tc>
          <w:tcPr>
            <w:tcW w:w="1555" w:type="dxa"/>
            <w:tcBorders>
              <w:top w:val="nil"/>
              <w:left w:val="nil"/>
              <w:bottom w:val="nil"/>
              <w:right w:val="nil"/>
              <w:tl2br w:val="nil"/>
              <w:tr2bl w:val="nil"/>
            </w:tcBorders>
            <w:tcMar>
              <w:left w:w="60" w:type="dxa"/>
              <w:right w:w="60" w:type="dxa"/>
            </w:tcMar>
            <w:vAlign w:val="center"/>
          </w:tcPr>
          <w:p w14:paraId="5DA37011" w14:textId="77777777" w:rsidR="00807FFE" w:rsidRDefault="00023E71">
            <w:pPr>
              <w:pStyle w:val="DMETW36764BIPFINA"/>
              <w:jc w:val="right"/>
              <w:rPr>
                <w:rFonts w:ascii="Verdana" w:eastAsia="Verdana" w:hAnsi="Verdana" w:cs="Verdana"/>
                <w:i/>
                <w:noProof/>
                <w:color w:val="000000"/>
                <w:sz w:val="18"/>
                <w:lang w:bidi="en-GB"/>
              </w:rPr>
            </w:pPr>
            <w:r>
              <w:rPr>
                <w:rFonts w:ascii="Verdana" w:eastAsia="Verdana" w:hAnsi="Verdana" w:cs="Verdana"/>
                <w:i/>
                <w:noProof/>
                <w:color w:val="000000"/>
                <w:sz w:val="18"/>
              </w:rPr>
              <w:t>13 677</w:t>
            </w:r>
          </w:p>
        </w:tc>
      </w:tr>
      <w:tr w:rsidR="00807FFE" w14:paraId="1084F7B6" w14:textId="77777777">
        <w:trPr>
          <w:trHeight w:val="255"/>
        </w:trPr>
        <w:tc>
          <w:tcPr>
            <w:tcW w:w="5730" w:type="dxa"/>
            <w:tcBorders>
              <w:top w:val="nil"/>
              <w:left w:val="nil"/>
              <w:bottom w:val="nil"/>
              <w:right w:val="nil"/>
              <w:tl2br w:val="nil"/>
              <w:tr2bl w:val="nil"/>
            </w:tcBorders>
            <w:tcMar>
              <w:left w:w="60" w:type="dxa"/>
              <w:right w:w="60" w:type="dxa"/>
            </w:tcMar>
            <w:vAlign w:val="center"/>
          </w:tcPr>
          <w:p w14:paraId="79B7F302" w14:textId="77777777" w:rsidR="00807FFE" w:rsidRDefault="00023E71">
            <w:pPr>
              <w:pStyle w:val="DMETW36764BIPFINA"/>
              <w:rPr>
                <w:rFonts w:ascii="Verdana" w:eastAsia="Verdana" w:hAnsi="Verdana" w:cs="Verdana"/>
                <w:i/>
                <w:noProof/>
                <w:color w:val="000000"/>
                <w:sz w:val="18"/>
              </w:rPr>
            </w:pPr>
            <w:r>
              <w:rPr>
                <w:rFonts w:ascii="Verdana" w:eastAsia="Verdana" w:hAnsi="Verdana" w:cs="Verdana"/>
                <w:i/>
                <w:noProof/>
                <w:color w:val="000000"/>
                <w:sz w:val="18"/>
              </w:rPr>
              <w:t>Financial assets at fair value through surplus or deficit</w:t>
            </w:r>
          </w:p>
        </w:tc>
        <w:tc>
          <w:tcPr>
            <w:tcW w:w="918" w:type="dxa"/>
            <w:tcBorders>
              <w:top w:val="nil"/>
              <w:left w:val="nil"/>
              <w:bottom w:val="nil"/>
              <w:right w:val="nil"/>
              <w:tl2br w:val="nil"/>
              <w:tr2bl w:val="nil"/>
            </w:tcBorders>
            <w:tcMar>
              <w:left w:w="60" w:type="dxa"/>
              <w:right w:w="60" w:type="dxa"/>
            </w:tcMar>
            <w:vAlign w:val="center"/>
          </w:tcPr>
          <w:p w14:paraId="20F28552" w14:textId="77777777" w:rsidR="00807FFE" w:rsidRDefault="00023E71">
            <w:pPr>
              <w:pStyle w:val="DMETW36764BIPFINA"/>
              <w:jc w:val="center"/>
              <w:rPr>
                <w:rFonts w:ascii="Verdana" w:eastAsia="Verdana" w:hAnsi="Verdana" w:cs="Verdana"/>
                <w:i/>
                <w:noProof/>
                <w:color w:val="000000"/>
                <w:sz w:val="18"/>
              </w:rPr>
            </w:pPr>
            <w:r>
              <w:rPr>
                <w:rFonts w:ascii="Verdana" w:eastAsia="Verdana" w:hAnsi="Verdana" w:cs="Verdana"/>
                <w:i/>
                <w:noProof/>
                <w:color w:val="000000"/>
                <w:sz w:val="18"/>
              </w:rPr>
              <w:t>2.4.2</w:t>
            </w:r>
          </w:p>
        </w:tc>
        <w:tc>
          <w:tcPr>
            <w:tcW w:w="1555" w:type="dxa"/>
            <w:tcBorders>
              <w:top w:val="nil"/>
              <w:left w:val="nil"/>
              <w:bottom w:val="nil"/>
              <w:right w:val="nil"/>
              <w:tl2br w:val="nil"/>
              <w:tr2bl w:val="nil"/>
            </w:tcBorders>
            <w:tcMar>
              <w:left w:w="60" w:type="dxa"/>
              <w:right w:w="60" w:type="dxa"/>
            </w:tcMar>
            <w:vAlign w:val="center"/>
          </w:tcPr>
          <w:p w14:paraId="12F15C5B" w14:textId="77777777" w:rsidR="00807FFE" w:rsidRDefault="00023E71">
            <w:pPr>
              <w:pStyle w:val="DMETW36764BIPFINA"/>
              <w:jc w:val="right"/>
              <w:rPr>
                <w:rFonts w:ascii="Verdana" w:eastAsia="Verdana" w:hAnsi="Verdana" w:cs="Verdana"/>
                <w:i/>
                <w:noProof/>
                <w:color w:val="000000"/>
                <w:sz w:val="18"/>
              </w:rPr>
            </w:pPr>
            <w:r>
              <w:rPr>
                <w:rFonts w:ascii="Verdana" w:eastAsia="Verdana" w:hAnsi="Verdana" w:cs="Verdana"/>
                <w:i/>
                <w:noProof/>
                <w:color w:val="000000"/>
                <w:sz w:val="18"/>
              </w:rPr>
              <w:t>4 746</w:t>
            </w:r>
          </w:p>
        </w:tc>
        <w:tc>
          <w:tcPr>
            <w:tcW w:w="1555" w:type="dxa"/>
            <w:tcBorders>
              <w:top w:val="nil"/>
              <w:left w:val="nil"/>
              <w:bottom w:val="nil"/>
              <w:right w:val="nil"/>
              <w:tl2br w:val="nil"/>
              <w:tr2bl w:val="nil"/>
            </w:tcBorders>
            <w:tcMar>
              <w:left w:w="60" w:type="dxa"/>
              <w:right w:w="60" w:type="dxa"/>
            </w:tcMar>
            <w:vAlign w:val="center"/>
          </w:tcPr>
          <w:p w14:paraId="5070C010" w14:textId="77777777" w:rsidR="00807FFE" w:rsidRDefault="00023E71">
            <w:pPr>
              <w:pStyle w:val="DMETW36764BIPFINA"/>
              <w:jc w:val="right"/>
              <w:rPr>
                <w:rFonts w:ascii="Verdana" w:eastAsia="Verdana" w:hAnsi="Verdana" w:cs="Verdana"/>
                <w:i/>
                <w:noProof/>
                <w:color w:val="000000"/>
                <w:sz w:val="18"/>
                <w:lang w:bidi="en-GB"/>
              </w:rPr>
            </w:pPr>
            <w:r>
              <w:rPr>
                <w:rFonts w:ascii="Verdana" w:eastAsia="Verdana" w:hAnsi="Verdana" w:cs="Verdana"/>
                <w:i/>
                <w:noProof/>
                <w:color w:val="000000"/>
                <w:sz w:val="18"/>
              </w:rPr>
              <w:t>5 700</w:t>
            </w:r>
          </w:p>
        </w:tc>
      </w:tr>
      <w:tr w:rsidR="00807FFE" w14:paraId="04659288" w14:textId="77777777">
        <w:trPr>
          <w:trHeight w:val="255"/>
        </w:trPr>
        <w:tc>
          <w:tcPr>
            <w:tcW w:w="5730" w:type="dxa"/>
            <w:tcBorders>
              <w:top w:val="nil"/>
              <w:left w:val="nil"/>
              <w:bottom w:val="nil"/>
              <w:right w:val="nil"/>
              <w:tl2br w:val="nil"/>
              <w:tr2bl w:val="nil"/>
            </w:tcBorders>
            <w:shd w:val="solid" w:color="CCE1EA" w:fill="FFFFFF"/>
            <w:tcMar>
              <w:left w:w="60" w:type="dxa"/>
              <w:right w:w="60" w:type="dxa"/>
            </w:tcMar>
            <w:vAlign w:val="center"/>
          </w:tcPr>
          <w:p w14:paraId="581FC90C" w14:textId="77777777" w:rsidR="00807FFE" w:rsidRDefault="00807FFE">
            <w:pPr>
              <w:pStyle w:val="DMETW36764BIPFINA"/>
              <w:rPr>
                <w:rFonts w:ascii="Verdana" w:eastAsia="Verdana" w:hAnsi="Verdana" w:cs="Verdana"/>
                <w:b/>
                <w:noProof/>
                <w:color w:val="000000"/>
                <w:sz w:val="18"/>
              </w:rPr>
            </w:pPr>
          </w:p>
        </w:tc>
        <w:tc>
          <w:tcPr>
            <w:tcW w:w="918" w:type="dxa"/>
            <w:tcBorders>
              <w:top w:val="nil"/>
              <w:left w:val="nil"/>
              <w:bottom w:val="nil"/>
              <w:right w:val="nil"/>
              <w:tl2br w:val="nil"/>
              <w:tr2bl w:val="nil"/>
            </w:tcBorders>
            <w:shd w:val="solid" w:color="CCE1EA" w:fill="FFFFFF"/>
            <w:tcMar>
              <w:left w:w="60" w:type="dxa"/>
              <w:right w:w="60" w:type="dxa"/>
            </w:tcMar>
            <w:vAlign w:val="center"/>
          </w:tcPr>
          <w:p w14:paraId="5670B995" w14:textId="77777777" w:rsidR="00807FFE" w:rsidRDefault="00807FFE">
            <w:pPr>
              <w:pStyle w:val="DMETW36764BIPFINA"/>
              <w:jc w:val="center"/>
              <w:rPr>
                <w:rFonts w:ascii="Verdana" w:eastAsia="Verdana" w:hAnsi="Verdana" w:cs="Verdana"/>
                <w:noProof/>
                <w:color w:val="000000"/>
                <w:sz w:val="18"/>
              </w:rPr>
            </w:pPr>
          </w:p>
        </w:tc>
        <w:tc>
          <w:tcPr>
            <w:tcW w:w="1555" w:type="dxa"/>
            <w:tcBorders>
              <w:top w:val="nil"/>
              <w:left w:val="nil"/>
              <w:bottom w:val="nil"/>
              <w:right w:val="nil"/>
              <w:tl2br w:val="nil"/>
              <w:tr2bl w:val="nil"/>
            </w:tcBorders>
            <w:shd w:val="solid" w:color="CCE1EA" w:fill="FFFFFF"/>
            <w:tcMar>
              <w:left w:w="60" w:type="dxa"/>
              <w:right w:w="60" w:type="dxa"/>
            </w:tcMar>
            <w:vAlign w:val="center"/>
          </w:tcPr>
          <w:p w14:paraId="3D8C7C5E" w14:textId="77777777" w:rsidR="00807FFE" w:rsidRDefault="00023E71">
            <w:pPr>
              <w:pStyle w:val="DMETW36764BIPFINA"/>
              <w:jc w:val="right"/>
              <w:rPr>
                <w:rFonts w:ascii="Verdana" w:eastAsia="Verdana" w:hAnsi="Verdana" w:cs="Verdana"/>
                <w:b/>
                <w:noProof/>
                <w:color w:val="000000"/>
                <w:sz w:val="18"/>
              </w:rPr>
            </w:pPr>
            <w:r>
              <w:rPr>
                <w:rFonts w:ascii="Verdana" w:eastAsia="Verdana" w:hAnsi="Verdana" w:cs="Verdana"/>
                <w:b/>
                <w:noProof/>
                <w:color w:val="000000"/>
                <w:sz w:val="18"/>
              </w:rPr>
              <w:t>23 291</w:t>
            </w:r>
          </w:p>
        </w:tc>
        <w:tc>
          <w:tcPr>
            <w:tcW w:w="1555" w:type="dxa"/>
            <w:tcBorders>
              <w:top w:val="nil"/>
              <w:left w:val="nil"/>
              <w:bottom w:val="nil"/>
              <w:right w:val="nil"/>
              <w:tl2br w:val="nil"/>
              <w:tr2bl w:val="nil"/>
            </w:tcBorders>
            <w:shd w:val="solid" w:color="CCE1EA" w:fill="FFFFFF"/>
            <w:tcMar>
              <w:left w:w="60" w:type="dxa"/>
              <w:right w:w="60" w:type="dxa"/>
            </w:tcMar>
            <w:vAlign w:val="center"/>
          </w:tcPr>
          <w:p w14:paraId="518C09EC" w14:textId="77777777" w:rsidR="00807FFE" w:rsidRDefault="00023E71">
            <w:pPr>
              <w:pStyle w:val="DMETW36764BIPFINA"/>
              <w:jc w:val="right"/>
              <w:rPr>
                <w:rFonts w:ascii="Verdana" w:eastAsia="Verdana" w:hAnsi="Verdana" w:cs="Verdana"/>
                <w:b/>
                <w:noProof/>
                <w:color w:val="000000"/>
                <w:sz w:val="18"/>
                <w:lang w:bidi="en-GB"/>
              </w:rPr>
            </w:pPr>
            <w:r>
              <w:rPr>
                <w:rFonts w:ascii="Verdana" w:eastAsia="Verdana" w:hAnsi="Verdana" w:cs="Verdana"/>
                <w:b/>
                <w:noProof/>
                <w:color w:val="000000"/>
                <w:sz w:val="18"/>
              </w:rPr>
              <w:t>19 377</w:t>
            </w:r>
          </w:p>
        </w:tc>
      </w:tr>
      <w:tr w:rsidR="00807FFE" w14:paraId="52C0D0AE" w14:textId="77777777">
        <w:trPr>
          <w:trHeight w:val="255"/>
        </w:trPr>
        <w:tc>
          <w:tcPr>
            <w:tcW w:w="5730" w:type="dxa"/>
            <w:tcBorders>
              <w:top w:val="nil"/>
              <w:left w:val="nil"/>
              <w:bottom w:val="single" w:sz="4" w:space="0" w:color="016794"/>
              <w:right w:val="nil"/>
              <w:tl2br w:val="nil"/>
              <w:tr2bl w:val="nil"/>
            </w:tcBorders>
            <w:tcMar>
              <w:left w:w="60" w:type="dxa"/>
              <w:right w:w="60" w:type="dxa"/>
            </w:tcMar>
            <w:vAlign w:val="center"/>
          </w:tcPr>
          <w:p w14:paraId="47B31F2E" w14:textId="77777777" w:rsidR="00807FFE" w:rsidRDefault="00023E71">
            <w:pPr>
              <w:pStyle w:val="DMETW36764BIPFINA"/>
              <w:rPr>
                <w:rFonts w:ascii="Verdana" w:eastAsia="Verdana" w:hAnsi="Verdana" w:cs="Verdana"/>
                <w:b/>
                <w:noProof/>
                <w:color w:val="000000"/>
                <w:sz w:val="18"/>
              </w:rPr>
            </w:pPr>
            <w:r>
              <w:rPr>
                <w:rFonts w:ascii="Verdana" w:eastAsia="Verdana" w:hAnsi="Verdana" w:cs="Verdana"/>
                <w:b/>
                <w:noProof/>
                <w:color w:val="000000"/>
                <w:sz w:val="18"/>
              </w:rPr>
              <w:t>Total</w:t>
            </w:r>
          </w:p>
        </w:tc>
        <w:tc>
          <w:tcPr>
            <w:tcW w:w="918" w:type="dxa"/>
            <w:tcBorders>
              <w:top w:val="nil"/>
              <w:left w:val="nil"/>
              <w:bottom w:val="single" w:sz="4" w:space="0" w:color="016794"/>
              <w:right w:val="nil"/>
              <w:tl2br w:val="nil"/>
              <w:tr2bl w:val="nil"/>
            </w:tcBorders>
            <w:tcMar>
              <w:left w:w="60" w:type="dxa"/>
              <w:right w:w="60" w:type="dxa"/>
            </w:tcMar>
            <w:vAlign w:val="center"/>
          </w:tcPr>
          <w:p w14:paraId="3DC01542" w14:textId="77777777" w:rsidR="00807FFE" w:rsidRDefault="00807FFE">
            <w:pPr>
              <w:pStyle w:val="DMETW36764BIPFINA"/>
              <w:jc w:val="center"/>
              <w:rPr>
                <w:rFonts w:ascii="Verdana" w:eastAsia="Verdana" w:hAnsi="Verdana" w:cs="Verdana"/>
                <w:i/>
                <w:noProof/>
                <w:color w:val="000000"/>
                <w:sz w:val="18"/>
              </w:rPr>
            </w:pPr>
          </w:p>
        </w:tc>
        <w:tc>
          <w:tcPr>
            <w:tcW w:w="1555" w:type="dxa"/>
            <w:tcBorders>
              <w:top w:val="nil"/>
              <w:left w:val="nil"/>
              <w:bottom w:val="single" w:sz="4" w:space="0" w:color="016794"/>
              <w:right w:val="nil"/>
              <w:tl2br w:val="nil"/>
              <w:tr2bl w:val="nil"/>
            </w:tcBorders>
            <w:tcMar>
              <w:left w:w="60" w:type="dxa"/>
              <w:right w:w="60" w:type="dxa"/>
            </w:tcMar>
            <w:vAlign w:val="center"/>
          </w:tcPr>
          <w:p w14:paraId="0CFC4DE3" w14:textId="77777777" w:rsidR="00807FFE" w:rsidRDefault="00023E71">
            <w:pPr>
              <w:pStyle w:val="DMETW36764BIPFINA"/>
              <w:jc w:val="right"/>
              <w:rPr>
                <w:rFonts w:ascii="Verdana" w:eastAsia="Verdana" w:hAnsi="Verdana" w:cs="Verdana"/>
                <w:b/>
                <w:noProof/>
                <w:color w:val="000000"/>
                <w:sz w:val="18"/>
              </w:rPr>
            </w:pPr>
            <w:r>
              <w:rPr>
                <w:rFonts w:ascii="Verdana" w:eastAsia="Verdana" w:hAnsi="Verdana" w:cs="Verdana"/>
                <w:b/>
                <w:noProof/>
                <w:color w:val="000000"/>
                <w:sz w:val="18"/>
              </w:rPr>
              <w:t>386 097</w:t>
            </w:r>
          </w:p>
        </w:tc>
        <w:tc>
          <w:tcPr>
            <w:tcW w:w="1555" w:type="dxa"/>
            <w:tcBorders>
              <w:top w:val="nil"/>
              <w:left w:val="nil"/>
              <w:bottom w:val="single" w:sz="4" w:space="0" w:color="016794"/>
              <w:right w:val="nil"/>
              <w:tl2br w:val="nil"/>
              <w:tr2bl w:val="nil"/>
            </w:tcBorders>
            <w:tcMar>
              <w:left w:w="60" w:type="dxa"/>
              <w:right w:w="60" w:type="dxa"/>
            </w:tcMar>
            <w:vAlign w:val="center"/>
          </w:tcPr>
          <w:p w14:paraId="4644A6D3" w14:textId="77777777" w:rsidR="00807FFE" w:rsidRDefault="00023E71">
            <w:pPr>
              <w:pStyle w:val="DMETW36764BIPFINA"/>
              <w:jc w:val="right"/>
              <w:rPr>
                <w:rFonts w:ascii="Verdana" w:eastAsia="Verdana" w:hAnsi="Verdana" w:cs="Verdana"/>
                <w:b/>
                <w:noProof/>
                <w:color w:val="000000"/>
                <w:sz w:val="18"/>
              </w:rPr>
            </w:pPr>
            <w:r>
              <w:rPr>
                <w:rFonts w:ascii="Verdana" w:eastAsia="Verdana" w:hAnsi="Verdana" w:cs="Verdana"/>
                <w:b/>
                <w:noProof/>
                <w:color w:val="000000"/>
                <w:sz w:val="18"/>
              </w:rPr>
              <w:t>328 338</w:t>
            </w:r>
          </w:p>
        </w:tc>
      </w:tr>
    </w:tbl>
    <w:p w14:paraId="4A128FDB" w14:textId="77777777" w:rsidR="00BF089A" w:rsidRDefault="00023E71" w:rsidP="00172034">
      <w:pPr>
        <w:pStyle w:val="HEADER3NOTES"/>
        <w:numPr>
          <w:ilvl w:val="2"/>
          <w:numId w:val="15"/>
        </w:numPr>
        <w:rPr>
          <w:noProof/>
        </w:rPr>
      </w:pPr>
      <w:r w:rsidRPr="003B3540">
        <w:rPr>
          <w:noProof/>
        </w:rPr>
        <w:t>Financial assets at amorti</w:t>
      </w:r>
      <w:r>
        <w:rPr>
          <w:noProof/>
        </w:rPr>
        <w:t>s</w:t>
      </w:r>
      <w:r w:rsidRPr="003B3540">
        <w:rPr>
          <w:noProof/>
        </w:rPr>
        <w:t>ed cost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rsidR="00807FFE" w14:paraId="4C68DF8E" w14:textId="77777777">
        <w:trPr>
          <w:trHeight w:val="255"/>
        </w:trPr>
        <w:tc>
          <w:tcPr>
            <w:tcW w:w="4600" w:type="dxa"/>
            <w:tcBorders>
              <w:top w:val="nil"/>
              <w:left w:val="nil"/>
              <w:bottom w:val="nil"/>
              <w:right w:val="nil"/>
              <w:tl2br w:val="nil"/>
              <w:tr2bl w:val="nil"/>
            </w:tcBorders>
            <w:tcMar>
              <w:left w:w="60" w:type="dxa"/>
              <w:right w:w="60" w:type="dxa"/>
            </w:tcMar>
            <w:vAlign w:val="bottom"/>
          </w:tcPr>
          <w:p w14:paraId="4525ACEF" w14:textId="77777777" w:rsidR="00807FFE" w:rsidRDefault="00807FFE">
            <w:pPr>
              <w:pStyle w:val="DMETW36764BIPLO"/>
              <w:rPr>
                <w:rFonts w:ascii="Verdana" w:eastAsia="Verdana" w:hAnsi="Verdana" w:cs="Verdana"/>
                <w:noProof/>
                <w:color w:val="000000"/>
                <w:lang w:bidi="en-GB"/>
              </w:rPr>
            </w:pPr>
            <w:bookmarkStart w:id="99" w:name="DOC_TBL00020_1_1"/>
            <w:bookmarkEnd w:id="99"/>
          </w:p>
        </w:tc>
        <w:tc>
          <w:tcPr>
            <w:tcW w:w="1878" w:type="dxa"/>
            <w:tcBorders>
              <w:top w:val="nil"/>
              <w:left w:val="nil"/>
              <w:bottom w:val="nil"/>
              <w:right w:val="nil"/>
              <w:tl2br w:val="nil"/>
              <w:tr2bl w:val="nil"/>
            </w:tcBorders>
            <w:tcMar>
              <w:left w:w="60" w:type="dxa"/>
              <w:right w:w="60" w:type="dxa"/>
            </w:tcMar>
            <w:vAlign w:val="bottom"/>
          </w:tcPr>
          <w:p w14:paraId="516827A3" w14:textId="77777777" w:rsidR="00807FFE" w:rsidRDefault="00807FFE">
            <w:pPr>
              <w:pStyle w:val="DMETW36764BIPLO"/>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14:paraId="23C577C0" w14:textId="77777777" w:rsidR="00807FFE" w:rsidRDefault="00807FFE">
            <w:pPr>
              <w:pStyle w:val="DMETW36764BIPLO"/>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14:paraId="698FCAED" w14:textId="77777777" w:rsidR="00807FFE" w:rsidRDefault="00023E71">
            <w:pPr>
              <w:pStyle w:val="DMETW36764BIPLO"/>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3429A9A" w14:textId="77777777">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14:paraId="6E553548" w14:textId="77777777" w:rsidR="00807FFE" w:rsidRDefault="00807FFE">
            <w:pPr>
              <w:pStyle w:val="DMETW36764BIPLO"/>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14:paraId="55E9FE2C" w14:textId="77777777" w:rsidR="00807FFE" w:rsidRDefault="00023E71">
            <w:pPr>
              <w:pStyle w:val="DMETW36764BIPLO"/>
              <w:jc w:val="center"/>
              <w:rPr>
                <w:rFonts w:ascii="Verdana" w:eastAsia="Verdana" w:hAnsi="Verdana" w:cs="Verdana"/>
                <w:noProof/>
                <w:color w:val="FFFFFF"/>
              </w:rPr>
            </w:pPr>
            <w:r>
              <w:rPr>
                <w:rFonts w:ascii="Verdana" w:eastAsia="Verdana" w:hAnsi="Verdana" w:cs="Verdana"/>
                <w:noProof/>
                <w:color w:val="FFFFFF"/>
              </w:rPr>
              <w:t>Note</w:t>
            </w:r>
          </w:p>
        </w:tc>
        <w:tc>
          <w:tcPr>
            <w:tcW w:w="1791" w:type="dxa"/>
            <w:tcBorders>
              <w:top w:val="nil"/>
              <w:left w:val="nil"/>
              <w:bottom w:val="nil"/>
              <w:right w:val="nil"/>
              <w:tl2br w:val="nil"/>
              <w:tr2bl w:val="nil"/>
            </w:tcBorders>
            <w:shd w:val="solid" w:color="016794" w:fill="FFFFFF"/>
            <w:tcMar>
              <w:left w:w="60" w:type="dxa"/>
              <w:right w:w="60" w:type="dxa"/>
            </w:tcMar>
            <w:vAlign w:val="center"/>
          </w:tcPr>
          <w:p w14:paraId="0CC8B0EF" w14:textId="77777777" w:rsidR="00807FFE" w:rsidRDefault="00023E71">
            <w:pPr>
              <w:pStyle w:val="DMETW36764BIPLO"/>
              <w:jc w:val="right"/>
              <w:rPr>
                <w:rFonts w:ascii="Verdana" w:eastAsia="Verdana" w:hAnsi="Verdana" w:cs="Verdana"/>
                <w:noProof/>
                <w:color w:val="FFFFFF"/>
              </w:rPr>
            </w:pPr>
            <w:r>
              <w:rPr>
                <w:rFonts w:ascii="Verdana" w:eastAsia="Verdana" w:hAnsi="Verdana" w:cs="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14:paraId="0A38773A" w14:textId="77777777" w:rsidR="00807FFE" w:rsidRDefault="00023E71">
            <w:pPr>
              <w:pStyle w:val="DMETW36764BIPLO"/>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11FF39CB" w14:textId="77777777">
        <w:trPr>
          <w:trHeight w:val="255"/>
        </w:trPr>
        <w:tc>
          <w:tcPr>
            <w:tcW w:w="4600" w:type="dxa"/>
            <w:tcBorders>
              <w:top w:val="nil"/>
              <w:left w:val="nil"/>
              <w:bottom w:val="nil"/>
              <w:right w:val="nil"/>
              <w:tl2br w:val="nil"/>
              <w:tr2bl w:val="nil"/>
            </w:tcBorders>
            <w:tcMar>
              <w:left w:w="60" w:type="dxa"/>
              <w:right w:w="60" w:type="dxa"/>
            </w:tcMar>
            <w:vAlign w:val="center"/>
          </w:tcPr>
          <w:p w14:paraId="1D31D812" w14:textId="77777777" w:rsidR="00807FFE" w:rsidRDefault="00023E71">
            <w:pPr>
              <w:pStyle w:val="DMETW36764BIPLO"/>
              <w:rPr>
                <w:rFonts w:ascii="Verdana" w:eastAsia="Verdana" w:hAnsi="Verdana" w:cs="Verdana"/>
                <w:i/>
                <w:noProof/>
                <w:color w:val="000000"/>
                <w:sz w:val="18"/>
              </w:rPr>
            </w:pPr>
            <w:r>
              <w:rPr>
                <w:rFonts w:ascii="Verdana" w:eastAsia="Verdana" w:hAnsi="Verdana" w:cs="Verdana"/>
                <w:i/>
                <w:noProof/>
                <w:color w:val="000000"/>
                <w:sz w:val="18"/>
              </w:rPr>
              <w:t>Loans to Member States and third countries</w:t>
            </w:r>
          </w:p>
        </w:tc>
        <w:tc>
          <w:tcPr>
            <w:tcW w:w="1878" w:type="dxa"/>
            <w:tcBorders>
              <w:top w:val="nil"/>
              <w:left w:val="nil"/>
              <w:bottom w:val="nil"/>
              <w:right w:val="nil"/>
              <w:tl2br w:val="nil"/>
              <w:tr2bl w:val="nil"/>
            </w:tcBorders>
            <w:tcMar>
              <w:left w:w="60" w:type="dxa"/>
              <w:right w:w="60" w:type="dxa"/>
            </w:tcMar>
            <w:vAlign w:val="center"/>
          </w:tcPr>
          <w:p w14:paraId="1C3AE104" w14:textId="77777777" w:rsidR="00807FFE" w:rsidRDefault="00023E71">
            <w:pPr>
              <w:pStyle w:val="DMETW36764BIPLO"/>
              <w:jc w:val="center"/>
              <w:rPr>
                <w:rFonts w:ascii="Verdana" w:eastAsia="Verdana" w:hAnsi="Verdana" w:cs="Verdana"/>
                <w:i/>
                <w:noProof/>
                <w:color w:val="000000"/>
                <w:sz w:val="18"/>
              </w:rPr>
            </w:pPr>
            <w:r>
              <w:rPr>
                <w:rFonts w:ascii="Verdana" w:eastAsia="Verdana" w:hAnsi="Verdana" w:cs="Verdana"/>
                <w:i/>
                <w:noProof/>
                <w:color w:val="000000"/>
                <w:sz w:val="18"/>
              </w:rPr>
              <w:t>2.4.1.1</w:t>
            </w:r>
          </w:p>
        </w:tc>
        <w:tc>
          <w:tcPr>
            <w:tcW w:w="1791" w:type="dxa"/>
            <w:tcBorders>
              <w:top w:val="nil"/>
              <w:left w:val="nil"/>
              <w:bottom w:val="nil"/>
              <w:right w:val="nil"/>
              <w:tl2br w:val="nil"/>
              <w:tr2bl w:val="nil"/>
            </w:tcBorders>
            <w:tcMar>
              <w:left w:w="60" w:type="dxa"/>
              <w:right w:w="60" w:type="dxa"/>
            </w:tcMar>
            <w:vAlign w:val="bottom"/>
          </w:tcPr>
          <w:p w14:paraId="19D70BF4" w14:textId="77777777" w:rsidR="00807FFE" w:rsidRDefault="00023E71">
            <w:pPr>
              <w:pStyle w:val="DMETW36764BIPLO"/>
              <w:jc w:val="right"/>
              <w:rPr>
                <w:rFonts w:ascii="Verdana" w:eastAsia="Verdana" w:hAnsi="Verdana" w:cs="Verdana"/>
                <w:i/>
                <w:noProof/>
                <w:color w:val="000000"/>
                <w:sz w:val="18"/>
              </w:rPr>
            </w:pPr>
            <w:r>
              <w:rPr>
                <w:rFonts w:ascii="Verdana" w:eastAsia="Verdana" w:hAnsi="Verdana" w:cs="Verdana"/>
                <w:i/>
                <w:noProof/>
                <w:color w:val="000000"/>
                <w:sz w:val="18"/>
              </w:rPr>
              <w:t>332 821</w:t>
            </w:r>
          </w:p>
        </w:tc>
        <w:tc>
          <w:tcPr>
            <w:tcW w:w="1489" w:type="dxa"/>
            <w:tcBorders>
              <w:top w:val="nil"/>
              <w:left w:val="nil"/>
              <w:bottom w:val="nil"/>
              <w:right w:val="nil"/>
              <w:tl2br w:val="nil"/>
              <w:tr2bl w:val="nil"/>
            </w:tcBorders>
            <w:tcMar>
              <w:left w:w="60" w:type="dxa"/>
              <w:right w:w="60" w:type="dxa"/>
            </w:tcMar>
            <w:vAlign w:val="bottom"/>
          </w:tcPr>
          <w:p w14:paraId="69F25DA4" w14:textId="77777777" w:rsidR="00807FFE" w:rsidRDefault="00023E71">
            <w:pPr>
              <w:pStyle w:val="DMETW36764BIPLO"/>
              <w:jc w:val="right"/>
              <w:rPr>
                <w:rFonts w:ascii="Verdana" w:eastAsia="Verdana" w:hAnsi="Verdana" w:cs="Verdana"/>
                <w:i/>
                <w:noProof/>
                <w:color w:val="000000"/>
                <w:sz w:val="18"/>
                <w:lang w:bidi="en-GB"/>
              </w:rPr>
            </w:pPr>
            <w:r>
              <w:rPr>
                <w:rFonts w:ascii="Verdana" w:eastAsia="Verdana" w:hAnsi="Verdana" w:cs="Verdana"/>
                <w:i/>
                <w:noProof/>
                <w:color w:val="000000"/>
                <w:sz w:val="18"/>
              </w:rPr>
              <w:t>283 114</w:t>
            </w:r>
          </w:p>
        </w:tc>
      </w:tr>
      <w:tr w:rsidR="00807FFE" w14:paraId="544E8CB9" w14:textId="77777777">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14:paraId="0758D2BA" w14:textId="77777777" w:rsidR="00807FFE" w:rsidRDefault="00023E71">
            <w:pPr>
              <w:pStyle w:val="DMETW36764BIPLO"/>
              <w:rPr>
                <w:rFonts w:ascii="Verdana" w:eastAsia="Verdana" w:hAnsi="Verdana" w:cs="Verdana"/>
                <w:i/>
                <w:noProof/>
                <w:color w:val="000000"/>
                <w:sz w:val="18"/>
              </w:rPr>
            </w:pPr>
            <w:r>
              <w:rPr>
                <w:rFonts w:ascii="Verdana" w:eastAsia="Verdana" w:hAnsi="Verdana" w:cs="Verdana"/>
                <w:i/>
                <w:noProof/>
                <w:color w:val="000000"/>
                <w:sz w:val="18"/>
              </w:rPr>
              <w:t>Other loans</w:t>
            </w:r>
          </w:p>
        </w:tc>
        <w:tc>
          <w:tcPr>
            <w:tcW w:w="1878" w:type="dxa"/>
            <w:tcBorders>
              <w:top w:val="nil"/>
              <w:left w:val="nil"/>
              <w:bottom w:val="single" w:sz="4" w:space="0" w:color="016794"/>
              <w:right w:val="nil"/>
              <w:tl2br w:val="nil"/>
              <w:tr2bl w:val="nil"/>
            </w:tcBorders>
            <w:tcMar>
              <w:left w:w="60" w:type="dxa"/>
              <w:right w:w="60" w:type="dxa"/>
            </w:tcMar>
            <w:vAlign w:val="center"/>
          </w:tcPr>
          <w:p w14:paraId="7598E2F6" w14:textId="77777777" w:rsidR="00807FFE" w:rsidRDefault="00023E71">
            <w:pPr>
              <w:pStyle w:val="DMETW36764BIPLO"/>
              <w:jc w:val="center"/>
              <w:rPr>
                <w:rFonts w:ascii="Verdana" w:eastAsia="Verdana" w:hAnsi="Verdana" w:cs="Verdana"/>
                <w:i/>
                <w:noProof/>
                <w:color w:val="000000"/>
                <w:sz w:val="18"/>
              </w:rPr>
            </w:pPr>
            <w:r>
              <w:rPr>
                <w:rFonts w:ascii="Verdana" w:eastAsia="Verdana" w:hAnsi="Verdana" w:cs="Verdana"/>
                <w:i/>
                <w:noProof/>
                <w:color w:val="000000"/>
                <w:sz w:val="18"/>
              </w:rPr>
              <w:t>2.4.1.2</w:t>
            </w:r>
          </w:p>
        </w:tc>
        <w:tc>
          <w:tcPr>
            <w:tcW w:w="1791" w:type="dxa"/>
            <w:tcBorders>
              <w:top w:val="nil"/>
              <w:left w:val="nil"/>
              <w:bottom w:val="single" w:sz="4" w:space="0" w:color="016794"/>
              <w:right w:val="nil"/>
              <w:tl2br w:val="nil"/>
              <w:tr2bl w:val="nil"/>
            </w:tcBorders>
            <w:tcMar>
              <w:left w:w="60" w:type="dxa"/>
              <w:right w:w="60" w:type="dxa"/>
            </w:tcMar>
            <w:vAlign w:val="bottom"/>
          </w:tcPr>
          <w:p w14:paraId="0547FCD2" w14:textId="77777777" w:rsidR="00807FFE" w:rsidRDefault="00023E71">
            <w:pPr>
              <w:pStyle w:val="DMETW36764BIPLO"/>
              <w:jc w:val="right"/>
              <w:rPr>
                <w:rFonts w:ascii="Verdana" w:eastAsia="Verdana" w:hAnsi="Verdana" w:cs="Verdana"/>
                <w:i/>
                <w:noProof/>
                <w:color w:val="000000"/>
                <w:sz w:val="18"/>
              </w:rPr>
            </w:pPr>
            <w:r>
              <w:rPr>
                <w:rFonts w:ascii="Verdana" w:eastAsia="Verdana" w:hAnsi="Verdana" w:cs="Verdana"/>
                <w:i/>
                <w:noProof/>
                <w:color w:val="000000"/>
                <w:sz w:val="18"/>
              </w:rPr>
              <w:t xml:space="preserve"> 611</w:t>
            </w:r>
          </w:p>
        </w:tc>
        <w:tc>
          <w:tcPr>
            <w:tcW w:w="1489" w:type="dxa"/>
            <w:tcBorders>
              <w:top w:val="nil"/>
              <w:left w:val="nil"/>
              <w:bottom w:val="single" w:sz="4" w:space="0" w:color="016794"/>
              <w:right w:val="nil"/>
              <w:tl2br w:val="nil"/>
              <w:tr2bl w:val="nil"/>
            </w:tcBorders>
            <w:tcMar>
              <w:left w:w="60" w:type="dxa"/>
              <w:right w:w="60" w:type="dxa"/>
            </w:tcMar>
            <w:vAlign w:val="bottom"/>
          </w:tcPr>
          <w:p w14:paraId="35BAA4BC" w14:textId="77777777" w:rsidR="00807FFE" w:rsidRDefault="00023E71">
            <w:pPr>
              <w:pStyle w:val="DMETW36764BIPLO"/>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466</w:t>
            </w:r>
          </w:p>
        </w:tc>
      </w:tr>
      <w:tr w:rsidR="00807FFE" w14:paraId="2A9B9328" w14:textId="77777777">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14:paraId="64797989" w14:textId="77777777" w:rsidR="00807FFE" w:rsidRDefault="00023E71">
            <w:pPr>
              <w:pStyle w:val="DMETW36764BIPLO"/>
              <w:rPr>
                <w:rFonts w:ascii="Verdana" w:eastAsia="Verdana" w:hAnsi="Verdana" w:cs="Verdana"/>
                <w:b/>
                <w:noProof/>
                <w:color w:val="000000"/>
                <w:sz w:val="18"/>
              </w:rPr>
            </w:pPr>
            <w:r>
              <w:rPr>
                <w:rFonts w:ascii="Verdana" w:eastAsia="Verdana" w:hAnsi="Verdana" w:cs="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14:paraId="23385EED" w14:textId="77777777" w:rsidR="00807FFE" w:rsidRDefault="00807FFE">
            <w:pPr>
              <w:pStyle w:val="DMETW36764BIPLO"/>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14:paraId="449E81FD" w14:textId="77777777" w:rsidR="00807FFE" w:rsidRDefault="00023E71">
            <w:pPr>
              <w:pStyle w:val="DMETW36764BIPLO"/>
              <w:jc w:val="right"/>
              <w:rPr>
                <w:rFonts w:ascii="Verdana" w:eastAsia="Verdana" w:hAnsi="Verdana" w:cs="Verdana"/>
                <w:b/>
                <w:noProof/>
                <w:color w:val="000000"/>
                <w:sz w:val="18"/>
              </w:rPr>
            </w:pPr>
            <w:r>
              <w:rPr>
                <w:rFonts w:ascii="Verdana" w:eastAsia="Verdana" w:hAnsi="Verdana" w:cs="Verdana"/>
                <w:b/>
                <w:noProof/>
                <w:color w:val="000000"/>
                <w:sz w:val="18"/>
              </w:rPr>
              <w:t>333 432</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14:paraId="0FEDA33A" w14:textId="77777777" w:rsidR="00807FFE" w:rsidRDefault="00023E71">
            <w:pPr>
              <w:pStyle w:val="DMETW36764BIPLO"/>
              <w:jc w:val="right"/>
              <w:rPr>
                <w:rFonts w:ascii="Verdana" w:eastAsia="Verdana" w:hAnsi="Verdana" w:cs="Verdana"/>
                <w:b/>
                <w:noProof/>
                <w:color w:val="000000"/>
                <w:sz w:val="18"/>
                <w:lang w:bidi="en-GB"/>
              </w:rPr>
            </w:pPr>
            <w:r>
              <w:rPr>
                <w:rFonts w:ascii="Verdana" w:eastAsia="Verdana" w:hAnsi="Verdana" w:cs="Verdana"/>
                <w:b/>
                <w:noProof/>
                <w:color w:val="000000"/>
                <w:sz w:val="18"/>
              </w:rPr>
              <w:t>283 580</w:t>
            </w:r>
          </w:p>
        </w:tc>
      </w:tr>
      <w:tr w:rsidR="00807FFE" w14:paraId="2E108018" w14:textId="77777777">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14:paraId="2D692A04" w14:textId="77777777" w:rsidR="00807FFE" w:rsidRDefault="00023E71">
            <w:pPr>
              <w:pStyle w:val="DMETW36764BIPLO"/>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878" w:type="dxa"/>
            <w:tcBorders>
              <w:top w:val="single" w:sz="4" w:space="0" w:color="016794"/>
              <w:left w:val="nil"/>
              <w:bottom w:val="nil"/>
              <w:right w:val="nil"/>
              <w:tl2br w:val="nil"/>
              <w:tr2bl w:val="nil"/>
            </w:tcBorders>
            <w:tcMar>
              <w:left w:w="60" w:type="dxa"/>
              <w:right w:w="60" w:type="dxa"/>
            </w:tcMar>
            <w:vAlign w:val="bottom"/>
          </w:tcPr>
          <w:p w14:paraId="367DB60B" w14:textId="77777777" w:rsidR="00807FFE" w:rsidRDefault="00807FFE">
            <w:pPr>
              <w:pStyle w:val="DMETW36764BIPLO"/>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14:paraId="0FBD8EA1" w14:textId="77777777" w:rsidR="00807FFE" w:rsidRDefault="00023E71">
            <w:pPr>
              <w:pStyle w:val="DMETW36764BIPLO"/>
              <w:jc w:val="right"/>
              <w:rPr>
                <w:rFonts w:ascii="Verdana" w:eastAsia="Verdana" w:hAnsi="Verdana" w:cs="Verdana"/>
                <w:i/>
                <w:noProof/>
                <w:color w:val="016794"/>
                <w:sz w:val="18"/>
              </w:rPr>
            </w:pPr>
            <w:r>
              <w:rPr>
                <w:rFonts w:ascii="Verdana" w:eastAsia="Verdana" w:hAnsi="Verdana" w:cs="Verdana"/>
                <w:i/>
                <w:noProof/>
                <w:color w:val="016794"/>
                <w:sz w:val="18"/>
              </w:rPr>
              <w:t>314 887</w:t>
            </w:r>
          </w:p>
        </w:tc>
        <w:tc>
          <w:tcPr>
            <w:tcW w:w="1489" w:type="dxa"/>
            <w:tcBorders>
              <w:top w:val="single" w:sz="4" w:space="0" w:color="016794"/>
              <w:left w:val="nil"/>
              <w:bottom w:val="nil"/>
              <w:right w:val="nil"/>
              <w:tl2br w:val="nil"/>
              <w:tr2bl w:val="nil"/>
            </w:tcBorders>
            <w:tcMar>
              <w:left w:w="60" w:type="dxa"/>
              <w:right w:w="60" w:type="dxa"/>
            </w:tcMar>
            <w:vAlign w:val="bottom"/>
          </w:tcPr>
          <w:p w14:paraId="761566AA" w14:textId="77777777" w:rsidR="00807FFE" w:rsidRDefault="00023E71">
            <w:pPr>
              <w:pStyle w:val="DMETW36764BIPLO"/>
              <w:jc w:val="right"/>
              <w:rPr>
                <w:rFonts w:ascii="Verdana" w:eastAsia="Verdana" w:hAnsi="Verdana" w:cs="Verdana"/>
                <w:i/>
                <w:noProof/>
                <w:color w:val="016794"/>
                <w:sz w:val="18"/>
                <w:lang w:bidi="en-GB"/>
              </w:rPr>
            </w:pPr>
            <w:r>
              <w:rPr>
                <w:rFonts w:ascii="Verdana" w:eastAsia="Verdana" w:hAnsi="Verdana" w:cs="Verdana"/>
                <w:i/>
                <w:noProof/>
                <w:color w:val="016794"/>
                <w:sz w:val="18"/>
              </w:rPr>
              <w:t>269 903</w:t>
            </w:r>
          </w:p>
        </w:tc>
      </w:tr>
      <w:tr w:rsidR="00807FFE" w14:paraId="6106B94F" w14:textId="77777777">
        <w:trPr>
          <w:trHeight w:val="255"/>
        </w:trPr>
        <w:tc>
          <w:tcPr>
            <w:tcW w:w="4600" w:type="dxa"/>
            <w:tcBorders>
              <w:top w:val="nil"/>
              <w:left w:val="nil"/>
              <w:bottom w:val="nil"/>
              <w:right w:val="nil"/>
              <w:tl2br w:val="nil"/>
              <w:tr2bl w:val="nil"/>
            </w:tcBorders>
            <w:tcMar>
              <w:left w:w="60" w:type="dxa"/>
              <w:right w:w="60" w:type="dxa"/>
            </w:tcMar>
            <w:vAlign w:val="center"/>
          </w:tcPr>
          <w:p w14:paraId="4A0EE7C5" w14:textId="77777777" w:rsidR="00807FFE" w:rsidRDefault="00023E71">
            <w:pPr>
              <w:pStyle w:val="DMETW36764BIPLO"/>
              <w:rPr>
                <w:rFonts w:ascii="Verdana" w:eastAsia="Verdana" w:hAnsi="Verdana" w:cs="Verdana"/>
                <w:i/>
                <w:noProof/>
                <w:color w:val="016794"/>
                <w:sz w:val="18"/>
              </w:rPr>
            </w:pPr>
            <w:r>
              <w:rPr>
                <w:rFonts w:ascii="Verdana" w:eastAsia="Verdana" w:hAnsi="Verdana" w:cs="Verdana"/>
                <w:i/>
                <w:noProof/>
                <w:color w:val="016794"/>
                <w:sz w:val="18"/>
              </w:rPr>
              <w:t>Current</w:t>
            </w:r>
          </w:p>
        </w:tc>
        <w:tc>
          <w:tcPr>
            <w:tcW w:w="1878" w:type="dxa"/>
            <w:tcBorders>
              <w:top w:val="nil"/>
              <w:left w:val="nil"/>
              <w:bottom w:val="nil"/>
              <w:right w:val="nil"/>
              <w:tl2br w:val="nil"/>
              <w:tr2bl w:val="nil"/>
            </w:tcBorders>
            <w:tcMar>
              <w:left w:w="60" w:type="dxa"/>
              <w:right w:w="60" w:type="dxa"/>
            </w:tcMar>
            <w:vAlign w:val="bottom"/>
          </w:tcPr>
          <w:p w14:paraId="38DE3C3F" w14:textId="77777777" w:rsidR="00807FFE" w:rsidRDefault="00807FFE">
            <w:pPr>
              <w:pStyle w:val="DMETW36764BIPLO"/>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14:paraId="40BA01E5" w14:textId="77777777" w:rsidR="00807FFE" w:rsidRDefault="00023E71">
            <w:pPr>
              <w:pStyle w:val="DMETW36764BIPLO"/>
              <w:jc w:val="right"/>
              <w:rPr>
                <w:rFonts w:ascii="Verdana" w:eastAsia="Verdana" w:hAnsi="Verdana" w:cs="Verdana"/>
                <w:i/>
                <w:noProof/>
                <w:color w:val="016794"/>
                <w:sz w:val="18"/>
              </w:rPr>
            </w:pPr>
            <w:r>
              <w:rPr>
                <w:rFonts w:ascii="Verdana" w:eastAsia="Verdana" w:hAnsi="Verdana" w:cs="Verdana"/>
                <w:i/>
                <w:noProof/>
                <w:color w:val="016794"/>
                <w:sz w:val="18"/>
              </w:rPr>
              <w:t>18 545</w:t>
            </w:r>
          </w:p>
        </w:tc>
        <w:tc>
          <w:tcPr>
            <w:tcW w:w="1489" w:type="dxa"/>
            <w:tcBorders>
              <w:top w:val="nil"/>
              <w:left w:val="nil"/>
              <w:bottom w:val="nil"/>
              <w:right w:val="nil"/>
              <w:tl2br w:val="nil"/>
              <w:tr2bl w:val="nil"/>
            </w:tcBorders>
            <w:tcMar>
              <w:left w:w="60" w:type="dxa"/>
              <w:right w:w="60" w:type="dxa"/>
            </w:tcMar>
            <w:vAlign w:val="bottom"/>
          </w:tcPr>
          <w:p w14:paraId="3AE79332" w14:textId="77777777" w:rsidR="00807FFE" w:rsidRDefault="00023E71">
            <w:pPr>
              <w:pStyle w:val="DMETW36764BIPLO"/>
              <w:jc w:val="right"/>
              <w:rPr>
                <w:rFonts w:ascii="Verdana" w:eastAsia="Verdana" w:hAnsi="Verdana" w:cs="Verdana"/>
                <w:i/>
                <w:noProof/>
                <w:color w:val="016794"/>
                <w:sz w:val="18"/>
              </w:rPr>
            </w:pPr>
            <w:r>
              <w:rPr>
                <w:rFonts w:ascii="Verdana" w:eastAsia="Verdana" w:hAnsi="Verdana" w:cs="Verdana"/>
                <w:i/>
                <w:noProof/>
                <w:color w:val="016794"/>
                <w:sz w:val="18"/>
              </w:rPr>
              <w:t>13 677</w:t>
            </w:r>
          </w:p>
        </w:tc>
      </w:tr>
    </w:tbl>
    <w:p w14:paraId="59FFE4DD" w14:textId="77777777" w:rsidR="003F1A09" w:rsidRDefault="00023E71" w:rsidP="00172034">
      <w:pPr>
        <w:pStyle w:val="HEADER4NOTES"/>
        <w:numPr>
          <w:ilvl w:val="3"/>
          <w:numId w:val="15"/>
        </w:numPr>
        <w:rPr>
          <w:noProof/>
        </w:rPr>
      </w:pPr>
      <w:r w:rsidRPr="002274A0">
        <w:rPr>
          <w:noProof/>
        </w:rPr>
        <w:t xml:space="preserve">Loans </w:t>
      </w:r>
      <w:r>
        <w:rPr>
          <w:noProof/>
        </w:rPr>
        <w:t>to</w:t>
      </w:r>
      <w:r w:rsidRPr="002274A0">
        <w:rPr>
          <w:noProof/>
        </w:rPr>
        <w:t xml:space="preserve"> Member States and third countries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7"/>
        <w:gridCol w:w="3473"/>
        <w:gridCol w:w="1538"/>
      </w:tblGrid>
      <w:tr w:rsidR="00807FFE" w14:paraId="3A31A81E" w14:textId="77777777">
        <w:trPr>
          <w:trHeight w:val="255"/>
        </w:trPr>
        <w:tc>
          <w:tcPr>
            <w:tcW w:w="4747" w:type="dxa"/>
            <w:tcBorders>
              <w:top w:val="nil"/>
              <w:left w:val="nil"/>
              <w:bottom w:val="nil"/>
              <w:right w:val="nil"/>
              <w:tl2br w:val="nil"/>
              <w:tr2bl w:val="nil"/>
            </w:tcBorders>
            <w:tcMar>
              <w:left w:w="60" w:type="dxa"/>
              <w:right w:w="60" w:type="dxa"/>
            </w:tcMar>
            <w:vAlign w:val="bottom"/>
          </w:tcPr>
          <w:p w14:paraId="48FBD1F8" w14:textId="77777777" w:rsidR="00807FFE" w:rsidRDefault="00807FFE">
            <w:pPr>
              <w:pStyle w:val="DMETW36627BIPLNGEU"/>
              <w:rPr>
                <w:rFonts w:ascii="Verdana" w:eastAsia="Verdana" w:hAnsi="Verdana" w:cs="Verdana"/>
                <w:noProof/>
                <w:color w:val="000000"/>
                <w:sz w:val="18"/>
                <w:lang w:bidi="en-GB"/>
              </w:rPr>
            </w:pPr>
            <w:bookmarkStart w:id="100" w:name="DOC_TBL00021_1_1"/>
            <w:bookmarkEnd w:id="100"/>
          </w:p>
        </w:tc>
        <w:tc>
          <w:tcPr>
            <w:tcW w:w="3473" w:type="dxa"/>
            <w:tcBorders>
              <w:top w:val="nil"/>
              <w:left w:val="nil"/>
              <w:bottom w:val="nil"/>
              <w:right w:val="nil"/>
              <w:tl2br w:val="nil"/>
              <w:tr2bl w:val="nil"/>
            </w:tcBorders>
            <w:tcMar>
              <w:left w:w="60" w:type="dxa"/>
              <w:right w:w="60" w:type="dxa"/>
            </w:tcMar>
            <w:vAlign w:val="bottom"/>
          </w:tcPr>
          <w:p w14:paraId="7FB2EF35" w14:textId="77777777" w:rsidR="00807FFE" w:rsidRDefault="00807FFE">
            <w:pPr>
              <w:pStyle w:val="DMETW36627BIPLNGEU"/>
              <w:rPr>
                <w:rFonts w:ascii="Verdana" w:eastAsia="Verdana" w:hAnsi="Verdana" w:cs="Verdana"/>
                <w:noProof/>
                <w:color w:val="000000"/>
                <w:sz w:val="18"/>
              </w:rPr>
            </w:pPr>
          </w:p>
        </w:tc>
        <w:tc>
          <w:tcPr>
            <w:tcW w:w="1538" w:type="dxa"/>
            <w:tcBorders>
              <w:top w:val="nil"/>
              <w:left w:val="nil"/>
              <w:bottom w:val="nil"/>
              <w:right w:val="nil"/>
              <w:tl2br w:val="nil"/>
              <w:tr2bl w:val="nil"/>
            </w:tcBorders>
            <w:tcMar>
              <w:left w:w="60" w:type="dxa"/>
              <w:right w:w="60" w:type="dxa"/>
            </w:tcMar>
            <w:vAlign w:val="bottom"/>
          </w:tcPr>
          <w:p w14:paraId="0E8FB579" w14:textId="77777777" w:rsidR="00807FFE" w:rsidRDefault="00023E71">
            <w:pPr>
              <w:pStyle w:val="DMETW36627BIPLNGEU"/>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FFD5367" w14:textId="77777777">
        <w:trPr>
          <w:trHeight w:val="255"/>
        </w:trPr>
        <w:tc>
          <w:tcPr>
            <w:tcW w:w="4747" w:type="dxa"/>
            <w:tcBorders>
              <w:top w:val="nil"/>
              <w:left w:val="nil"/>
              <w:bottom w:val="nil"/>
              <w:right w:val="nil"/>
              <w:tl2br w:val="nil"/>
              <w:tr2bl w:val="nil"/>
            </w:tcBorders>
            <w:shd w:val="solid" w:color="016794" w:fill="FFFFFF"/>
            <w:tcMar>
              <w:left w:w="60" w:type="dxa"/>
              <w:right w:w="60" w:type="dxa"/>
            </w:tcMar>
            <w:vAlign w:val="center"/>
          </w:tcPr>
          <w:p w14:paraId="1E0B537A" w14:textId="77777777" w:rsidR="00807FFE" w:rsidRDefault="00807FFE">
            <w:pPr>
              <w:pStyle w:val="DMETW36627BIPLNGEU"/>
              <w:jc w:val="right"/>
              <w:rPr>
                <w:rFonts w:ascii="Verdana" w:eastAsia="Verdana" w:hAnsi="Verdana" w:cs="Verdana"/>
                <w:noProof/>
                <w:color w:val="FFFFFF"/>
                <w:sz w:val="18"/>
              </w:rPr>
            </w:pPr>
          </w:p>
        </w:tc>
        <w:tc>
          <w:tcPr>
            <w:tcW w:w="3473" w:type="dxa"/>
            <w:tcBorders>
              <w:top w:val="nil"/>
              <w:left w:val="nil"/>
              <w:bottom w:val="nil"/>
              <w:right w:val="nil"/>
              <w:tl2br w:val="nil"/>
              <w:tr2bl w:val="nil"/>
            </w:tcBorders>
            <w:shd w:val="solid" w:color="016794" w:fill="FFFFFF"/>
            <w:tcMar>
              <w:left w:w="60" w:type="dxa"/>
              <w:right w:w="60" w:type="dxa"/>
            </w:tcMar>
            <w:vAlign w:val="center"/>
          </w:tcPr>
          <w:p w14:paraId="338E3B39" w14:textId="77777777" w:rsidR="00807FFE" w:rsidRDefault="00023E71">
            <w:pPr>
              <w:pStyle w:val="DMETW36627BIPLNGEU"/>
              <w:jc w:val="right"/>
              <w:rPr>
                <w:rFonts w:ascii="Verdana" w:eastAsia="Verdana" w:hAnsi="Verdana" w:cs="Verdana"/>
                <w:noProof/>
                <w:color w:val="FFFFFF"/>
                <w:sz w:val="18"/>
              </w:rPr>
            </w:pPr>
            <w:r>
              <w:rPr>
                <w:rFonts w:ascii="Verdana" w:eastAsia="Verdana" w:hAnsi="Verdana" w:cs="Verdana"/>
                <w:noProof/>
                <w:color w:val="FFFFFF"/>
                <w:sz w:val="18"/>
              </w:rPr>
              <w:t>31.12.2025</w:t>
            </w:r>
          </w:p>
        </w:tc>
        <w:tc>
          <w:tcPr>
            <w:tcW w:w="1538" w:type="dxa"/>
            <w:tcBorders>
              <w:top w:val="nil"/>
              <w:left w:val="nil"/>
              <w:bottom w:val="nil"/>
              <w:right w:val="nil"/>
              <w:tl2br w:val="nil"/>
              <w:tr2bl w:val="nil"/>
            </w:tcBorders>
            <w:shd w:val="solid" w:color="016794" w:fill="FFFFFF"/>
            <w:tcMar>
              <w:left w:w="60" w:type="dxa"/>
              <w:right w:w="60" w:type="dxa"/>
            </w:tcMar>
            <w:vAlign w:val="center"/>
          </w:tcPr>
          <w:p w14:paraId="7282D39E" w14:textId="77777777" w:rsidR="00807FFE" w:rsidRDefault="00023E71">
            <w:pPr>
              <w:pStyle w:val="DMETW36627BIPLNGEU"/>
              <w:jc w:val="right"/>
              <w:rPr>
                <w:rFonts w:ascii="Verdana" w:eastAsia="Verdana" w:hAnsi="Verdana" w:cs="Verdana"/>
                <w:noProof/>
                <w:color w:val="FFFFFF"/>
                <w:sz w:val="18"/>
                <w:lang w:bidi="en-GB"/>
              </w:rPr>
            </w:pPr>
            <w:r>
              <w:rPr>
                <w:rFonts w:ascii="Verdana" w:eastAsia="Verdana" w:hAnsi="Verdana" w:cs="Verdana"/>
                <w:noProof/>
                <w:color w:val="FFFFFF"/>
                <w:sz w:val="18"/>
              </w:rPr>
              <w:t>31.12.2024</w:t>
            </w:r>
          </w:p>
        </w:tc>
      </w:tr>
      <w:tr w:rsidR="00807FFE" w14:paraId="14AF30BA" w14:textId="77777777">
        <w:trPr>
          <w:trHeight w:val="255"/>
        </w:trPr>
        <w:tc>
          <w:tcPr>
            <w:tcW w:w="4747" w:type="dxa"/>
            <w:tcBorders>
              <w:top w:val="nil"/>
              <w:left w:val="nil"/>
              <w:bottom w:val="nil"/>
              <w:right w:val="nil"/>
              <w:tl2br w:val="nil"/>
              <w:tr2bl w:val="nil"/>
            </w:tcBorders>
            <w:tcMar>
              <w:left w:w="60" w:type="dxa"/>
              <w:right w:w="60" w:type="dxa"/>
            </w:tcMar>
            <w:vAlign w:val="center"/>
          </w:tcPr>
          <w:p w14:paraId="54756BC3" w14:textId="77777777" w:rsidR="00807FFE" w:rsidRDefault="00023E71">
            <w:pPr>
              <w:pStyle w:val="DMETW36627BIPLNGEU"/>
              <w:rPr>
                <w:rFonts w:ascii="Verdana" w:eastAsia="Verdana" w:hAnsi="Verdana" w:cs="Verdana"/>
                <w:i/>
                <w:noProof/>
                <w:color w:val="000000"/>
                <w:sz w:val="18"/>
              </w:rPr>
            </w:pPr>
            <w:r>
              <w:rPr>
                <w:rFonts w:ascii="Verdana" w:eastAsia="Verdana" w:hAnsi="Verdana" w:cs="Verdana"/>
                <w:i/>
                <w:noProof/>
                <w:color w:val="000000"/>
                <w:sz w:val="18"/>
              </w:rPr>
              <w:t>Loans to Member States</w:t>
            </w:r>
          </w:p>
        </w:tc>
        <w:tc>
          <w:tcPr>
            <w:tcW w:w="3473" w:type="dxa"/>
            <w:tcBorders>
              <w:top w:val="nil"/>
              <w:left w:val="nil"/>
              <w:bottom w:val="nil"/>
              <w:right w:val="nil"/>
              <w:tl2br w:val="nil"/>
              <w:tr2bl w:val="nil"/>
            </w:tcBorders>
            <w:tcMar>
              <w:left w:w="60" w:type="dxa"/>
              <w:right w:w="60" w:type="dxa"/>
            </w:tcMar>
            <w:vAlign w:val="center"/>
          </w:tcPr>
          <w:p w14:paraId="37B3ED69" w14:textId="77777777" w:rsidR="00807FFE" w:rsidRDefault="00023E71">
            <w:pPr>
              <w:pStyle w:val="DMETW36627BIPLNGEU"/>
              <w:jc w:val="right"/>
              <w:rPr>
                <w:rFonts w:ascii="Verdana" w:eastAsia="Verdana" w:hAnsi="Verdana" w:cs="Verdana"/>
                <w:i/>
                <w:noProof/>
                <w:color w:val="000000"/>
                <w:sz w:val="18"/>
              </w:rPr>
            </w:pPr>
            <w:r>
              <w:rPr>
                <w:rFonts w:ascii="Verdana" w:eastAsia="Verdana" w:hAnsi="Verdana" w:cs="Verdana"/>
                <w:i/>
                <w:noProof/>
                <w:color w:val="000000"/>
                <w:sz w:val="18"/>
              </w:rPr>
              <w:t>286 301</w:t>
            </w:r>
          </w:p>
        </w:tc>
        <w:tc>
          <w:tcPr>
            <w:tcW w:w="1538" w:type="dxa"/>
            <w:tcBorders>
              <w:top w:val="nil"/>
              <w:left w:val="nil"/>
              <w:bottom w:val="nil"/>
              <w:right w:val="nil"/>
              <w:tl2br w:val="nil"/>
              <w:tr2bl w:val="nil"/>
            </w:tcBorders>
            <w:tcMar>
              <w:left w:w="60" w:type="dxa"/>
              <w:right w:w="60" w:type="dxa"/>
            </w:tcMar>
            <w:vAlign w:val="center"/>
          </w:tcPr>
          <w:p w14:paraId="0CA79942" w14:textId="77777777" w:rsidR="00807FFE" w:rsidRDefault="00023E71">
            <w:pPr>
              <w:pStyle w:val="DMETW36627BIPLNGEU"/>
              <w:jc w:val="right"/>
              <w:rPr>
                <w:rFonts w:ascii="Verdana" w:eastAsia="Verdana" w:hAnsi="Verdana" w:cs="Verdana"/>
                <w:i/>
                <w:noProof/>
                <w:color w:val="000000"/>
                <w:sz w:val="18"/>
                <w:lang w:bidi="en-GB"/>
              </w:rPr>
            </w:pPr>
            <w:r>
              <w:rPr>
                <w:rFonts w:ascii="Verdana" w:eastAsia="Verdana" w:hAnsi="Verdana" w:cs="Verdana"/>
                <w:i/>
                <w:noProof/>
                <w:color w:val="000000"/>
                <w:sz w:val="18"/>
              </w:rPr>
              <w:t>251 457</w:t>
            </w:r>
          </w:p>
        </w:tc>
      </w:tr>
      <w:tr w:rsidR="00807FFE" w14:paraId="208A3970" w14:textId="77777777">
        <w:trPr>
          <w:trHeight w:val="255"/>
        </w:trPr>
        <w:tc>
          <w:tcPr>
            <w:tcW w:w="4747" w:type="dxa"/>
            <w:tcBorders>
              <w:top w:val="nil"/>
              <w:left w:val="nil"/>
              <w:bottom w:val="single" w:sz="4" w:space="0" w:color="016794"/>
              <w:right w:val="nil"/>
              <w:tl2br w:val="nil"/>
              <w:tr2bl w:val="nil"/>
            </w:tcBorders>
            <w:tcMar>
              <w:left w:w="60" w:type="dxa"/>
              <w:right w:w="60" w:type="dxa"/>
            </w:tcMar>
            <w:vAlign w:val="center"/>
          </w:tcPr>
          <w:p w14:paraId="1FED0871" w14:textId="77777777" w:rsidR="00807FFE" w:rsidRDefault="00023E71">
            <w:pPr>
              <w:pStyle w:val="DMETW36627BIPLNGEU"/>
              <w:rPr>
                <w:rFonts w:ascii="Verdana" w:eastAsia="Verdana" w:hAnsi="Verdana" w:cs="Verdana"/>
                <w:i/>
                <w:noProof/>
                <w:color w:val="000000"/>
                <w:sz w:val="18"/>
              </w:rPr>
            </w:pPr>
            <w:r>
              <w:rPr>
                <w:rFonts w:ascii="Verdana" w:eastAsia="Verdana" w:hAnsi="Verdana" w:cs="Verdana"/>
                <w:i/>
                <w:noProof/>
                <w:color w:val="000000"/>
                <w:sz w:val="18"/>
              </w:rPr>
              <w:t>Loans to third countries</w:t>
            </w:r>
          </w:p>
        </w:tc>
        <w:tc>
          <w:tcPr>
            <w:tcW w:w="3473" w:type="dxa"/>
            <w:tcBorders>
              <w:top w:val="nil"/>
              <w:left w:val="nil"/>
              <w:bottom w:val="single" w:sz="4" w:space="0" w:color="016794"/>
              <w:right w:val="nil"/>
              <w:tl2br w:val="nil"/>
              <w:tr2bl w:val="nil"/>
            </w:tcBorders>
            <w:tcMar>
              <w:left w:w="60" w:type="dxa"/>
              <w:right w:w="60" w:type="dxa"/>
            </w:tcMar>
            <w:vAlign w:val="center"/>
          </w:tcPr>
          <w:p w14:paraId="6369ABB8" w14:textId="77777777" w:rsidR="00807FFE" w:rsidRDefault="00023E71">
            <w:pPr>
              <w:pStyle w:val="DMETW36627BIPLNGEU"/>
              <w:jc w:val="right"/>
              <w:rPr>
                <w:rFonts w:ascii="Verdana" w:eastAsia="Verdana" w:hAnsi="Verdana" w:cs="Verdana"/>
                <w:i/>
                <w:noProof/>
                <w:color w:val="000000"/>
                <w:sz w:val="18"/>
              </w:rPr>
            </w:pPr>
            <w:r>
              <w:rPr>
                <w:rFonts w:ascii="Verdana" w:eastAsia="Verdana" w:hAnsi="Verdana" w:cs="Verdana"/>
                <w:i/>
                <w:noProof/>
                <w:color w:val="000000"/>
                <w:sz w:val="18"/>
              </w:rPr>
              <w:t>46 520</w:t>
            </w:r>
          </w:p>
        </w:tc>
        <w:tc>
          <w:tcPr>
            <w:tcW w:w="1538" w:type="dxa"/>
            <w:tcBorders>
              <w:top w:val="nil"/>
              <w:left w:val="nil"/>
              <w:bottom w:val="single" w:sz="4" w:space="0" w:color="016794"/>
              <w:right w:val="nil"/>
              <w:tl2br w:val="nil"/>
              <w:tr2bl w:val="nil"/>
            </w:tcBorders>
            <w:tcMar>
              <w:left w:w="60" w:type="dxa"/>
              <w:right w:w="60" w:type="dxa"/>
            </w:tcMar>
            <w:vAlign w:val="center"/>
          </w:tcPr>
          <w:p w14:paraId="67ED956C" w14:textId="77777777" w:rsidR="00807FFE" w:rsidRDefault="00023E71">
            <w:pPr>
              <w:pStyle w:val="DMETW36627BIPLNGEU"/>
              <w:jc w:val="right"/>
              <w:rPr>
                <w:rFonts w:ascii="Verdana" w:eastAsia="Verdana" w:hAnsi="Verdana" w:cs="Verdana"/>
                <w:i/>
                <w:noProof/>
                <w:color w:val="000000"/>
                <w:sz w:val="18"/>
                <w:lang w:bidi="en-GB"/>
              </w:rPr>
            </w:pPr>
            <w:r>
              <w:rPr>
                <w:rFonts w:ascii="Verdana" w:eastAsia="Verdana" w:hAnsi="Verdana" w:cs="Verdana"/>
                <w:i/>
                <w:noProof/>
                <w:color w:val="000000"/>
                <w:sz w:val="18"/>
              </w:rPr>
              <w:t>31 656</w:t>
            </w:r>
          </w:p>
        </w:tc>
      </w:tr>
      <w:tr w:rsidR="00807FFE" w14:paraId="2AC083AC" w14:textId="77777777">
        <w:trPr>
          <w:trHeight w:val="255"/>
        </w:trPr>
        <w:tc>
          <w:tcPr>
            <w:tcW w:w="4747" w:type="dxa"/>
            <w:tcBorders>
              <w:top w:val="single" w:sz="4" w:space="0" w:color="016794"/>
              <w:left w:val="nil"/>
              <w:bottom w:val="single" w:sz="4" w:space="0" w:color="016794"/>
              <w:right w:val="nil"/>
              <w:tl2br w:val="nil"/>
              <w:tr2bl w:val="nil"/>
            </w:tcBorders>
            <w:tcMar>
              <w:left w:w="60" w:type="dxa"/>
              <w:right w:w="60" w:type="dxa"/>
            </w:tcMar>
            <w:vAlign w:val="center"/>
          </w:tcPr>
          <w:p w14:paraId="71CA320F" w14:textId="77777777" w:rsidR="00807FFE" w:rsidRDefault="00023E71">
            <w:pPr>
              <w:pStyle w:val="DMETW36627BIPLNGEU"/>
              <w:rPr>
                <w:rFonts w:ascii="Verdana" w:eastAsia="Verdana" w:hAnsi="Verdana" w:cs="Verdana"/>
                <w:b/>
                <w:noProof/>
                <w:color w:val="000000"/>
                <w:sz w:val="18"/>
              </w:rPr>
            </w:pPr>
            <w:r>
              <w:rPr>
                <w:rFonts w:ascii="Verdana" w:eastAsia="Verdana" w:hAnsi="Verdana" w:cs="Verdana"/>
                <w:b/>
                <w:noProof/>
                <w:color w:val="000000"/>
                <w:sz w:val="18"/>
              </w:rPr>
              <w:t>Total at 31.12.2025</w:t>
            </w:r>
          </w:p>
        </w:tc>
        <w:tc>
          <w:tcPr>
            <w:tcW w:w="3473" w:type="dxa"/>
            <w:tcBorders>
              <w:top w:val="single" w:sz="4" w:space="0" w:color="016794"/>
              <w:left w:val="nil"/>
              <w:bottom w:val="single" w:sz="4" w:space="0" w:color="016794"/>
              <w:right w:val="nil"/>
              <w:tl2br w:val="nil"/>
              <w:tr2bl w:val="nil"/>
            </w:tcBorders>
            <w:tcMar>
              <w:left w:w="60" w:type="dxa"/>
              <w:right w:w="60" w:type="dxa"/>
            </w:tcMar>
            <w:vAlign w:val="center"/>
          </w:tcPr>
          <w:p w14:paraId="74EF6860" w14:textId="77777777" w:rsidR="00807FFE" w:rsidRDefault="00023E71">
            <w:pPr>
              <w:pStyle w:val="DMETW36627BIPLNGEU"/>
              <w:jc w:val="right"/>
              <w:rPr>
                <w:rFonts w:ascii="Verdana" w:eastAsia="Verdana" w:hAnsi="Verdana" w:cs="Verdana"/>
                <w:b/>
                <w:noProof/>
                <w:color w:val="000000"/>
                <w:sz w:val="18"/>
              </w:rPr>
            </w:pPr>
            <w:r>
              <w:rPr>
                <w:rFonts w:ascii="Verdana" w:eastAsia="Verdana" w:hAnsi="Verdana" w:cs="Verdana"/>
                <w:b/>
                <w:noProof/>
                <w:color w:val="000000"/>
                <w:sz w:val="18"/>
              </w:rPr>
              <w:t>332 821</w:t>
            </w:r>
          </w:p>
        </w:tc>
        <w:tc>
          <w:tcPr>
            <w:tcW w:w="1538" w:type="dxa"/>
            <w:tcBorders>
              <w:top w:val="single" w:sz="4" w:space="0" w:color="016794"/>
              <w:left w:val="nil"/>
              <w:bottom w:val="single" w:sz="4" w:space="0" w:color="016794"/>
              <w:right w:val="nil"/>
              <w:tl2br w:val="nil"/>
              <w:tr2bl w:val="nil"/>
            </w:tcBorders>
            <w:tcMar>
              <w:left w:w="60" w:type="dxa"/>
              <w:right w:w="60" w:type="dxa"/>
            </w:tcMar>
            <w:vAlign w:val="center"/>
          </w:tcPr>
          <w:p w14:paraId="1F841FB1" w14:textId="77777777" w:rsidR="00807FFE" w:rsidRDefault="00023E71">
            <w:pPr>
              <w:pStyle w:val="DMETW36627BIPLNGEU"/>
              <w:jc w:val="right"/>
              <w:rPr>
                <w:rFonts w:ascii="Verdana" w:eastAsia="Verdana" w:hAnsi="Verdana" w:cs="Verdana"/>
                <w:b/>
                <w:noProof/>
                <w:color w:val="000000"/>
                <w:sz w:val="18"/>
                <w:lang w:bidi="en-GB"/>
              </w:rPr>
            </w:pPr>
            <w:r>
              <w:rPr>
                <w:rFonts w:ascii="Verdana" w:eastAsia="Verdana" w:hAnsi="Verdana" w:cs="Verdana"/>
                <w:b/>
                <w:noProof/>
                <w:color w:val="000000"/>
                <w:sz w:val="18"/>
              </w:rPr>
              <w:t>283 114</w:t>
            </w:r>
          </w:p>
        </w:tc>
      </w:tr>
      <w:tr w:rsidR="00807FFE" w14:paraId="7FDBA41B" w14:textId="77777777">
        <w:trPr>
          <w:trHeight w:val="255"/>
        </w:trPr>
        <w:tc>
          <w:tcPr>
            <w:tcW w:w="4747" w:type="dxa"/>
            <w:tcBorders>
              <w:top w:val="single" w:sz="4" w:space="0" w:color="016794"/>
              <w:left w:val="nil"/>
              <w:bottom w:val="nil"/>
              <w:right w:val="nil"/>
              <w:tl2br w:val="nil"/>
              <w:tr2bl w:val="nil"/>
            </w:tcBorders>
            <w:tcMar>
              <w:left w:w="60" w:type="dxa"/>
              <w:right w:w="60" w:type="dxa"/>
            </w:tcMar>
            <w:vAlign w:val="center"/>
          </w:tcPr>
          <w:p w14:paraId="36882411" w14:textId="77777777" w:rsidR="00807FFE" w:rsidRDefault="00023E71">
            <w:pPr>
              <w:pStyle w:val="DMETW36627BIPLNGEU"/>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3473" w:type="dxa"/>
            <w:tcBorders>
              <w:top w:val="single" w:sz="4" w:space="0" w:color="016794"/>
              <w:left w:val="nil"/>
              <w:bottom w:val="nil"/>
              <w:right w:val="nil"/>
              <w:tl2br w:val="nil"/>
              <w:tr2bl w:val="nil"/>
            </w:tcBorders>
            <w:tcMar>
              <w:left w:w="60" w:type="dxa"/>
              <w:right w:w="60" w:type="dxa"/>
            </w:tcMar>
            <w:vAlign w:val="center"/>
          </w:tcPr>
          <w:p w14:paraId="1FDC7E10" w14:textId="77777777" w:rsidR="00807FFE" w:rsidRDefault="00023E71">
            <w:pPr>
              <w:pStyle w:val="DMETW36627BIPLNGEU"/>
              <w:jc w:val="right"/>
              <w:rPr>
                <w:rFonts w:ascii="Verdana" w:eastAsia="Verdana" w:hAnsi="Verdana" w:cs="Verdana"/>
                <w:i/>
                <w:noProof/>
                <w:color w:val="016794"/>
                <w:sz w:val="18"/>
              </w:rPr>
            </w:pPr>
            <w:r>
              <w:rPr>
                <w:rFonts w:ascii="Verdana" w:eastAsia="Verdana" w:hAnsi="Verdana" w:cs="Verdana"/>
                <w:i/>
                <w:noProof/>
                <w:color w:val="016794"/>
                <w:sz w:val="18"/>
              </w:rPr>
              <w:t>314 764</w:t>
            </w:r>
          </w:p>
        </w:tc>
        <w:tc>
          <w:tcPr>
            <w:tcW w:w="1538" w:type="dxa"/>
            <w:tcBorders>
              <w:top w:val="single" w:sz="4" w:space="0" w:color="016794"/>
              <w:left w:val="nil"/>
              <w:bottom w:val="nil"/>
              <w:right w:val="nil"/>
              <w:tl2br w:val="nil"/>
              <w:tr2bl w:val="nil"/>
            </w:tcBorders>
            <w:tcMar>
              <w:left w:w="60" w:type="dxa"/>
              <w:right w:w="60" w:type="dxa"/>
            </w:tcMar>
            <w:vAlign w:val="center"/>
          </w:tcPr>
          <w:p w14:paraId="68DCF624" w14:textId="77777777" w:rsidR="00807FFE" w:rsidRDefault="00023E71">
            <w:pPr>
              <w:pStyle w:val="DMETW36627BIPLNGEU"/>
              <w:jc w:val="right"/>
              <w:rPr>
                <w:rFonts w:ascii="Verdana" w:eastAsia="Verdana" w:hAnsi="Verdana" w:cs="Verdana"/>
                <w:i/>
                <w:noProof/>
                <w:color w:val="016794"/>
                <w:sz w:val="18"/>
                <w:lang w:bidi="en-GB"/>
              </w:rPr>
            </w:pPr>
            <w:r>
              <w:rPr>
                <w:rFonts w:ascii="Verdana" w:eastAsia="Verdana" w:hAnsi="Verdana" w:cs="Verdana"/>
                <w:i/>
                <w:noProof/>
                <w:color w:val="016794"/>
                <w:sz w:val="18"/>
              </w:rPr>
              <w:t>269 782</w:t>
            </w:r>
          </w:p>
        </w:tc>
      </w:tr>
      <w:tr w:rsidR="00807FFE" w14:paraId="527F8EC2" w14:textId="77777777">
        <w:trPr>
          <w:trHeight w:val="255"/>
        </w:trPr>
        <w:tc>
          <w:tcPr>
            <w:tcW w:w="4747" w:type="dxa"/>
            <w:tcBorders>
              <w:top w:val="nil"/>
              <w:left w:val="nil"/>
              <w:bottom w:val="nil"/>
              <w:right w:val="nil"/>
              <w:tl2br w:val="nil"/>
              <w:tr2bl w:val="nil"/>
            </w:tcBorders>
            <w:tcMar>
              <w:left w:w="60" w:type="dxa"/>
              <w:right w:w="60" w:type="dxa"/>
            </w:tcMar>
            <w:vAlign w:val="center"/>
          </w:tcPr>
          <w:p w14:paraId="2833A8A1" w14:textId="77777777" w:rsidR="00807FFE" w:rsidRDefault="00023E71">
            <w:pPr>
              <w:pStyle w:val="DMETW36627BIPLNGEU"/>
              <w:rPr>
                <w:rFonts w:ascii="Verdana" w:eastAsia="Verdana" w:hAnsi="Verdana" w:cs="Verdana"/>
                <w:i/>
                <w:noProof/>
                <w:color w:val="016794"/>
                <w:sz w:val="18"/>
              </w:rPr>
            </w:pPr>
            <w:r>
              <w:rPr>
                <w:rFonts w:ascii="Verdana" w:eastAsia="Verdana" w:hAnsi="Verdana" w:cs="Verdana"/>
                <w:i/>
                <w:noProof/>
                <w:color w:val="016794"/>
                <w:sz w:val="18"/>
              </w:rPr>
              <w:t>Current</w:t>
            </w:r>
          </w:p>
        </w:tc>
        <w:tc>
          <w:tcPr>
            <w:tcW w:w="3473" w:type="dxa"/>
            <w:tcBorders>
              <w:top w:val="nil"/>
              <w:left w:val="nil"/>
              <w:bottom w:val="nil"/>
              <w:right w:val="nil"/>
              <w:tl2br w:val="nil"/>
              <w:tr2bl w:val="nil"/>
            </w:tcBorders>
            <w:tcMar>
              <w:left w:w="60" w:type="dxa"/>
              <w:right w:w="60" w:type="dxa"/>
            </w:tcMar>
            <w:vAlign w:val="center"/>
          </w:tcPr>
          <w:p w14:paraId="60D8F60A" w14:textId="77777777" w:rsidR="00807FFE" w:rsidRDefault="00023E71">
            <w:pPr>
              <w:pStyle w:val="DMETW36627BIPLNGEU"/>
              <w:jc w:val="right"/>
              <w:rPr>
                <w:rFonts w:ascii="Verdana" w:eastAsia="Verdana" w:hAnsi="Verdana" w:cs="Verdana"/>
                <w:i/>
                <w:noProof/>
                <w:color w:val="016794"/>
                <w:sz w:val="18"/>
              </w:rPr>
            </w:pPr>
            <w:r>
              <w:rPr>
                <w:rFonts w:ascii="Verdana" w:eastAsia="Verdana" w:hAnsi="Verdana" w:cs="Verdana"/>
                <w:i/>
                <w:noProof/>
                <w:color w:val="016794"/>
                <w:sz w:val="18"/>
              </w:rPr>
              <w:t>18 056</w:t>
            </w:r>
          </w:p>
        </w:tc>
        <w:tc>
          <w:tcPr>
            <w:tcW w:w="1538" w:type="dxa"/>
            <w:tcBorders>
              <w:top w:val="nil"/>
              <w:left w:val="nil"/>
              <w:bottom w:val="nil"/>
              <w:right w:val="nil"/>
              <w:tl2br w:val="nil"/>
              <w:tr2bl w:val="nil"/>
            </w:tcBorders>
            <w:tcMar>
              <w:left w:w="60" w:type="dxa"/>
              <w:right w:w="60" w:type="dxa"/>
            </w:tcMar>
            <w:vAlign w:val="center"/>
          </w:tcPr>
          <w:p w14:paraId="7E63B765" w14:textId="77777777" w:rsidR="00807FFE" w:rsidRDefault="00023E71">
            <w:pPr>
              <w:pStyle w:val="DMETW36627BIPLNGEU"/>
              <w:jc w:val="right"/>
              <w:rPr>
                <w:rFonts w:ascii="Verdana" w:eastAsia="Verdana" w:hAnsi="Verdana" w:cs="Verdana"/>
                <w:i/>
                <w:noProof/>
                <w:color w:val="016794"/>
                <w:sz w:val="18"/>
              </w:rPr>
            </w:pPr>
            <w:r>
              <w:rPr>
                <w:rFonts w:ascii="Verdana" w:eastAsia="Verdana" w:hAnsi="Verdana" w:cs="Verdana"/>
                <w:i/>
                <w:noProof/>
                <w:color w:val="016794"/>
                <w:sz w:val="18"/>
              </w:rPr>
              <w:t>13 332</w:t>
            </w:r>
          </w:p>
        </w:tc>
      </w:tr>
    </w:tbl>
    <w:p w14:paraId="02948611" w14:textId="77777777" w:rsidR="006F325E" w:rsidRPr="00A21038" w:rsidRDefault="00023E71" w:rsidP="00A21038">
      <w:pPr>
        <w:pStyle w:val="HEADER5"/>
        <w:spacing w:before="240"/>
        <w:rPr>
          <w:noProof/>
        </w:rPr>
      </w:pPr>
      <w:r w:rsidRPr="00A21038">
        <w:rPr>
          <w:noProof/>
        </w:rPr>
        <w:t>Loans to Member States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2"/>
        <w:gridCol w:w="1811"/>
        <w:gridCol w:w="1309"/>
        <w:gridCol w:w="1223"/>
        <w:gridCol w:w="1281"/>
        <w:gridCol w:w="1202"/>
      </w:tblGrid>
      <w:tr w:rsidR="00807FFE" w14:paraId="21C7E97D" w14:textId="77777777">
        <w:trPr>
          <w:trHeight w:val="255"/>
        </w:trPr>
        <w:tc>
          <w:tcPr>
            <w:tcW w:w="2932" w:type="dxa"/>
            <w:tcBorders>
              <w:top w:val="nil"/>
              <w:left w:val="nil"/>
              <w:bottom w:val="nil"/>
              <w:right w:val="nil"/>
              <w:tl2br w:val="nil"/>
              <w:tr2bl w:val="nil"/>
            </w:tcBorders>
            <w:tcMar>
              <w:left w:w="60" w:type="dxa"/>
              <w:right w:w="60" w:type="dxa"/>
            </w:tcMar>
            <w:vAlign w:val="bottom"/>
          </w:tcPr>
          <w:p w14:paraId="16E7E8A2" w14:textId="77777777" w:rsidR="00807FFE" w:rsidRDefault="00807FFE">
            <w:pPr>
              <w:pStyle w:val="DMETW36627BIPLMS"/>
              <w:rPr>
                <w:rFonts w:ascii="Verdana" w:eastAsia="Verdana" w:hAnsi="Verdana" w:cs="Verdana"/>
                <w:noProof/>
                <w:color w:val="000000"/>
                <w:sz w:val="18"/>
                <w:lang w:bidi="en-GB"/>
              </w:rPr>
            </w:pPr>
            <w:bookmarkStart w:id="101" w:name="DOC_TBL00022_1_1"/>
            <w:bookmarkEnd w:id="101"/>
          </w:p>
        </w:tc>
        <w:tc>
          <w:tcPr>
            <w:tcW w:w="1811" w:type="dxa"/>
            <w:tcBorders>
              <w:top w:val="nil"/>
              <w:left w:val="nil"/>
              <w:bottom w:val="nil"/>
              <w:right w:val="nil"/>
              <w:tl2br w:val="nil"/>
              <w:tr2bl w:val="nil"/>
            </w:tcBorders>
            <w:tcMar>
              <w:left w:w="60" w:type="dxa"/>
              <w:right w:w="60" w:type="dxa"/>
            </w:tcMar>
            <w:vAlign w:val="bottom"/>
          </w:tcPr>
          <w:p w14:paraId="59D45A01" w14:textId="77777777" w:rsidR="00807FFE" w:rsidRDefault="00807FFE">
            <w:pPr>
              <w:pStyle w:val="DMETW36627BIPLMS"/>
              <w:rPr>
                <w:rFonts w:ascii="Verdana" w:eastAsia="Verdana" w:hAnsi="Verdana" w:cs="Verdana"/>
                <w:noProof/>
                <w:color w:val="000000"/>
                <w:sz w:val="18"/>
              </w:rPr>
            </w:pPr>
          </w:p>
        </w:tc>
        <w:tc>
          <w:tcPr>
            <w:tcW w:w="1309" w:type="dxa"/>
            <w:tcBorders>
              <w:top w:val="nil"/>
              <w:left w:val="nil"/>
              <w:bottom w:val="nil"/>
              <w:right w:val="nil"/>
              <w:tl2br w:val="nil"/>
              <w:tr2bl w:val="nil"/>
            </w:tcBorders>
            <w:tcMar>
              <w:left w:w="60" w:type="dxa"/>
              <w:right w:w="60" w:type="dxa"/>
            </w:tcMar>
            <w:vAlign w:val="bottom"/>
          </w:tcPr>
          <w:p w14:paraId="428DD053" w14:textId="77777777" w:rsidR="00807FFE" w:rsidRDefault="00807FFE">
            <w:pPr>
              <w:pStyle w:val="DMETW36627BIPLMS"/>
              <w:rPr>
                <w:rFonts w:ascii="Verdana" w:eastAsia="Verdana" w:hAnsi="Verdana" w:cs="Verdana"/>
                <w:noProof/>
                <w:color w:val="000000"/>
                <w:sz w:val="18"/>
              </w:rPr>
            </w:pPr>
          </w:p>
        </w:tc>
        <w:tc>
          <w:tcPr>
            <w:tcW w:w="1223" w:type="dxa"/>
            <w:tcBorders>
              <w:top w:val="nil"/>
              <w:left w:val="nil"/>
              <w:bottom w:val="nil"/>
              <w:right w:val="nil"/>
              <w:tl2br w:val="nil"/>
              <w:tr2bl w:val="nil"/>
            </w:tcBorders>
            <w:tcMar>
              <w:left w:w="60" w:type="dxa"/>
              <w:right w:w="60" w:type="dxa"/>
            </w:tcMar>
            <w:vAlign w:val="bottom"/>
          </w:tcPr>
          <w:p w14:paraId="557DD293" w14:textId="77777777" w:rsidR="00807FFE" w:rsidRDefault="00807FFE">
            <w:pPr>
              <w:pStyle w:val="DMETW36627BIPLMS"/>
              <w:rPr>
                <w:rFonts w:ascii="Verdana" w:eastAsia="Verdana" w:hAnsi="Verdana" w:cs="Verdana"/>
                <w:noProof/>
                <w:color w:val="000000"/>
                <w:sz w:val="18"/>
              </w:rPr>
            </w:pPr>
          </w:p>
        </w:tc>
        <w:tc>
          <w:tcPr>
            <w:tcW w:w="1281" w:type="dxa"/>
            <w:tcBorders>
              <w:top w:val="nil"/>
              <w:left w:val="nil"/>
              <w:bottom w:val="nil"/>
              <w:right w:val="nil"/>
              <w:tl2br w:val="nil"/>
              <w:tr2bl w:val="nil"/>
            </w:tcBorders>
            <w:tcMar>
              <w:left w:w="60" w:type="dxa"/>
              <w:right w:w="60" w:type="dxa"/>
            </w:tcMar>
            <w:vAlign w:val="bottom"/>
          </w:tcPr>
          <w:p w14:paraId="570423BF" w14:textId="77777777" w:rsidR="00807FFE" w:rsidRDefault="00807FFE">
            <w:pPr>
              <w:pStyle w:val="DMETW36627BIPLMS"/>
              <w:rPr>
                <w:rFonts w:ascii="Verdana" w:eastAsia="Verdana" w:hAnsi="Verdana" w:cs="Verdana"/>
                <w:noProof/>
                <w:color w:val="000000"/>
                <w:sz w:val="18"/>
              </w:rPr>
            </w:pPr>
          </w:p>
        </w:tc>
        <w:tc>
          <w:tcPr>
            <w:tcW w:w="1202" w:type="dxa"/>
            <w:tcBorders>
              <w:top w:val="nil"/>
              <w:left w:val="nil"/>
              <w:bottom w:val="nil"/>
              <w:right w:val="nil"/>
              <w:tl2br w:val="nil"/>
              <w:tr2bl w:val="nil"/>
            </w:tcBorders>
            <w:tcMar>
              <w:left w:w="60" w:type="dxa"/>
              <w:right w:w="60" w:type="dxa"/>
            </w:tcMar>
            <w:vAlign w:val="bottom"/>
          </w:tcPr>
          <w:p w14:paraId="54DC4820" w14:textId="77777777" w:rsidR="00807FFE" w:rsidRDefault="00023E71">
            <w:pPr>
              <w:pStyle w:val="DMETW36627BIPLM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B226269" w14:textId="77777777">
        <w:trPr>
          <w:trHeight w:val="255"/>
        </w:trPr>
        <w:tc>
          <w:tcPr>
            <w:tcW w:w="2932" w:type="dxa"/>
            <w:tcBorders>
              <w:top w:val="nil"/>
              <w:left w:val="nil"/>
              <w:bottom w:val="nil"/>
              <w:right w:val="nil"/>
              <w:tl2br w:val="nil"/>
              <w:tr2bl w:val="nil"/>
            </w:tcBorders>
            <w:shd w:val="solid" w:color="016794" w:fill="FFFFFF"/>
            <w:tcMar>
              <w:left w:w="60" w:type="dxa"/>
              <w:right w:w="60" w:type="dxa"/>
            </w:tcMar>
            <w:vAlign w:val="center"/>
          </w:tcPr>
          <w:p w14:paraId="0D552F8A" w14:textId="77777777" w:rsidR="00807FFE" w:rsidRDefault="00807FFE">
            <w:pPr>
              <w:pStyle w:val="DMETW36627BIPLMS"/>
              <w:jc w:val="right"/>
              <w:rPr>
                <w:rFonts w:ascii="Verdana" w:eastAsia="Verdana" w:hAnsi="Verdana" w:cs="Verdana"/>
                <w:noProof/>
                <w:color w:val="FFFFFF"/>
                <w:sz w:val="18"/>
              </w:rPr>
            </w:pPr>
          </w:p>
        </w:tc>
        <w:tc>
          <w:tcPr>
            <w:tcW w:w="1811" w:type="dxa"/>
            <w:tcBorders>
              <w:top w:val="nil"/>
              <w:left w:val="nil"/>
              <w:bottom w:val="nil"/>
              <w:right w:val="nil"/>
              <w:tl2br w:val="nil"/>
              <w:tr2bl w:val="nil"/>
            </w:tcBorders>
            <w:shd w:val="solid" w:color="016794" w:fill="FFFFFF"/>
            <w:tcMar>
              <w:left w:w="60" w:type="dxa"/>
              <w:right w:w="60" w:type="dxa"/>
            </w:tcMar>
            <w:vAlign w:val="center"/>
          </w:tcPr>
          <w:p w14:paraId="180D6D6B" w14:textId="77777777" w:rsidR="00807FFE" w:rsidRDefault="00023E71">
            <w:pPr>
              <w:pStyle w:val="DMETW36627BIPLMS"/>
              <w:jc w:val="right"/>
              <w:rPr>
                <w:rFonts w:ascii="Verdana" w:eastAsia="Verdana" w:hAnsi="Verdana" w:cs="Verdana"/>
                <w:noProof/>
                <w:color w:val="FFFFFF"/>
                <w:sz w:val="18"/>
              </w:rPr>
            </w:pPr>
            <w:r>
              <w:rPr>
                <w:rFonts w:ascii="Verdana" w:eastAsia="Verdana" w:hAnsi="Verdana" w:cs="Verdana"/>
                <w:noProof/>
                <w:color w:val="FFFFFF"/>
                <w:sz w:val="18"/>
              </w:rPr>
              <w:t>RRF</w:t>
            </w:r>
          </w:p>
        </w:tc>
        <w:tc>
          <w:tcPr>
            <w:tcW w:w="1309" w:type="dxa"/>
            <w:tcBorders>
              <w:top w:val="nil"/>
              <w:left w:val="nil"/>
              <w:bottom w:val="nil"/>
              <w:right w:val="nil"/>
              <w:tl2br w:val="nil"/>
              <w:tr2bl w:val="nil"/>
            </w:tcBorders>
            <w:shd w:val="solid" w:color="016794" w:fill="FFFFFF"/>
            <w:tcMar>
              <w:left w:w="60" w:type="dxa"/>
              <w:right w:w="60" w:type="dxa"/>
            </w:tcMar>
            <w:vAlign w:val="center"/>
          </w:tcPr>
          <w:p w14:paraId="562B62C2" w14:textId="77777777" w:rsidR="00807FFE" w:rsidRDefault="00023E71">
            <w:pPr>
              <w:pStyle w:val="DMETW36627BIPLMS"/>
              <w:jc w:val="right"/>
              <w:rPr>
                <w:rFonts w:ascii="Verdana" w:eastAsia="Verdana" w:hAnsi="Verdana" w:cs="Verdana"/>
                <w:noProof/>
                <w:color w:val="FFFFFF"/>
                <w:sz w:val="18"/>
              </w:rPr>
            </w:pPr>
            <w:r>
              <w:rPr>
                <w:rFonts w:ascii="Verdana" w:eastAsia="Verdana" w:hAnsi="Verdana" w:cs="Verdana"/>
                <w:noProof/>
                <w:color w:val="FFFFFF"/>
                <w:sz w:val="18"/>
              </w:rPr>
              <w:t>SURE</w:t>
            </w:r>
          </w:p>
        </w:tc>
        <w:tc>
          <w:tcPr>
            <w:tcW w:w="1223" w:type="dxa"/>
            <w:tcBorders>
              <w:top w:val="nil"/>
              <w:left w:val="nil"/>
              <w:bottom w:val="nil"/>
              <w:right w:val="nil"/>
              <w:tl2br w:val="nil"/>
              <w:tr2bl w:val="nil"/>
            </w:tcBorders>
            <w:shd w:val="solid" w:color="016794" w:fill="FFFFFF"/>
            <w:tcMar>
              <w:left w:w="60" w:type="dxa"/>
              <w:right w:w="60" w:type="dxa"/>
            </w:tcMar>
            <w:vAlign w:val="center"/>
          </w:tcPr>
          <w:p w14:paraId="597891DA" w14:textId="77777777" w:rsidR="00807FFE" w:rsidRDefault="00023E71">
            <w:pPr>
              <w:pStyle w:val="DMETW36627BIPLMS"/>
              <w:jc w:val="right"/>
              <w:rPr>
                <w:rFonts w:ascii="Verdana" w:eastAsia="Verdana" w:hAnsi="Verdana" w:cs="Verdana"/>
                <w:noProof/>
                <w:color w:val="FFFFFF"/>
                <w:sz w:val="18"/>
              </w:rPr>
            </w:pPr>
            <w:r>
              <w:rPr>
                <w:rFonts w:ascii="Verdana" w:eastAsia="Verdana" w:hAnsi="Verdana" w:cs="Verdana"/>
                <w:noProof/>
                <w:color w:val="FFFFFF"/>
                <w:sz w:val="18"/>
              </w:rPr>
              <w:t>EFSM</w:t>
            </w:r>
          </w:p>
        </w:tc>
        <w:tc>
          <w:tcPr>
            <w:tcW w:w="1281" w:type="dxa"/>
            <w:tcBorders>
              <w:top w:val="nil"/>
              <w:left w:val="nil"/>
              <w:bottom w:val="nil"/>
              <w:right w:val="nil"/>
              <w:tl2br w:val="nil"/>
              <w:tr2bl w:val="nil"/>
            </w:tcBorders>
            <w:shd w:val="solid" w:color="016794" w:fill="FFFFFF"/>
            <w:tcMar>
              <w:left w:w="60" w:type="dxa"/>
              <w:right w:w="60" w:type="dxa"/>
            </w:tcMar>
            <w:vAlign w:val="center"/>
          </w:tcPr>
          <w:p w14:paraId="01804F30" w14:textId="77777777" w:rsidR="00807FFE" w:rsidRDefault="00023E71">
            <w:pPr>
              <w:pStyle w:val="DMETW36627BIPLMS"/>
              <w:jc w:val="right"/>
              <w:rPr>
                <w:rFonts w:ascii="Verdana" w:eastAsia="Verdana" w:hAnsi="Verdana" w:cs="Verdana"/>
                <w:noProof/>
                <w:color w:val="FFFFFF"/>
                <w:sz w:val="18"/>
              </w:rPr>
            </w:pPr>
            <w:r>
              <w:rPr>
                <w:rFonts w:ascii="Verdana" w:eastAsia="Verdana" w:hAnsi="Verdana" w:cs="Verdana"/>
                <w:noProof/>
                <w:color w:val="FFFFFF"/>
                <w:sz w:val="18"/>
              </w:rPr>
              <w:t>BOP</w:t>
            </w:r>
          </w:p>
        </w:tc>
        <w:tc>
          <w:tcPr>
            <w:tcW w:w="1202" w:type="dxa"/>
            <w:tcBorders>
              <w:top w:val="nil"/>
              <w:left w:val="nil"/>
              <w:bottom w:val="nil"/>
              <w:right w:val="nil"/>
              <w:tl2br w:val="nil"/>
              <w:tr2bl w:val="nil"/>
            </w:tcBorders>
            <w:shd w:val="solid" w:color="016794" w:fill="FFFFFF"/>
            <w:tcMar>
              <w:left w:w="60" w:type="dxa"/>
              <w:right w:w="60" w:type="dxa"/>
            </w:tcMar>
            <w:vAlign w:val="center"/>
          </w:tcPr>
          <w:p w14:paraId="326A82A2" w14:textId="77777777" w:rsidR="00807FFE" w:rsidRDefault="00023E71">
            <w:pPr>
              <w:pStyle w:val="DMETW36627BIPLMS"/>
              <w:jc w:val="right"/>
              <w:rPr>
                <w:rFonts w:ascii="Verdana" w:eastAsia="Verdana" w:hAnsi="Verdana" w:cs="Verdana"/>
                <w:noProof/>
                <w:color w:val="FFFFFF"/>
                <w:sz w:val="18"/>
                <w:lang w:bidi="en-GB"/>
              </w:rPr>
            </w:pPr>
            <w:r>
              <w:rPr>
                <w:rFonts w:ascii="Verdana" w:eastAsia="Verdana" w:hAnsi="Verdana" w:cs="Verdana"/>
                <w:noProof/>
                <w:color w:val="FFFFFF"/>
                <w:sz w:val="18"/>
              </w:rPr>
              <w:t>Total</w:t>
            </w:r>
          </w:p>
        </w:tc>
      </w:tr>
      <w:tr w:rsidR="00807FFE" w14:paraId="23B1292B" w14:textId="77777777">
        <w:trPr>
          <w:trHeight w:val="255"/>
        </w:trPr>
        <w:tc>
          <w:tcPr>
            <w:tcW w:w="2932" w:type="dxa"/>
            <w:tcBorders>
              <w:top w:val="nil"/>
              <w:left w:val="nil"/>
              <w:bottom w:val="nil"/>
              <w:right w:val="nil"/>
              <w:tl2br w:val="nil"/>
              <w:tr2bl w:val="nil"/>
            </w:tcBorders>
            <w:tcMar>
              <w:left w:w="60" w:type="dxa"/>
              <w:right w:w="60" w:type="dxa"/>
            </w:tcMar>
            <w:vAlign w:val="center"/>
          </w:tcPr>
          <w:p w14:paraId="31262828" w14:textId="77777777" w:rsidR="00807FFE" w:rsidRDefault="00023E71">
            <w:pPr>
              <w:pStyle w:val="DMETW36627BIPLMS"/>
              <w:rPr>
                <w:rFonts w:ascii="Verdana" w:eastAsia="Verdana" w:hAnsi="Verdana" w:cs="Verdana"/>
                <w:i/>
                <w:noProof/>
                <w:color w:val="000000"/>
                <w:sz w:val="18"/>
              </w:rPr>
            </w:pPr>
            <w:r>
              <w:rPr>
                <w:rFonts w:ascii="Verdana" w:eastAsia="Verdana" w:hAnsi="Verdana" w:cs="Verdana"/>
                <w:i/>
                <w:noProof/>
                <w:color w:val="000000"/>
                <w:sz w:val="18"/>
              </w:rPr>
              <w:t>Total at 31.12.2024</w:t>
            </w:r>
          </w:p>
        </w:tc>
        <w:tc>
          <w:tcPr>
            <w:tcW w:w="1811" w:type="dxa"/>
            <w:tcBorders>
              <w:top w:val="nil"/>
              <w:left w:val="nil"/>
              <w:bottom w:val="nil"/>
              <w:right w:val="nil"/>
              <w:tl2br w:val="nil"/>
              <w:tr2bl w:val="nil"/>
            </w:tcBorders>
            <w:tcMar>
              <w:left w:w="60" w:type="dxa"/>
              <w:right w:w="60" w:type="dxa"/>
            </w:tcMar>
            <w:vAlign w:val="center"/>
          </w:tcPr>
          <w:p w14:paraId="1FDF45C6"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110 120</w:t>
            </w:r>
          </w:p>
        </w:tc>
        <w:tc>
          <w:tcPr>
            <w:tcW w:w="1309" w:type="dxa"/>
            <w:tcBorders>
              <w:top w:val="nil"/>
              <w:left w:val="nil"/>
              <w:bottom w:val="nil"/>
              <w:right w:val="nil"/>
              <w:tl2br w:val="nil"/>
              <w:tr2bl w:val="nil"/>
            </w:tcBorders>
            <w:tcMar>
              <w:left w:w="60" w:type="dxa"/>
              <w:right w:w="60" w:type="dxa"/>
            </w:tcMar>
            <w:vAlign w:val="center"/>
          </w:tcPr>
          <w:p w14:paraId="53847C18"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98 839</w:t>
            </w:r>
          </w:p>
        </w:tc>
        <w:tc>
          <w:tcPr>
            <w:tcW w:w="1223" w:type="dxa"/>
            <w:tcBorders>
              <w:top w:val="nil"/>
              <w:left w:val="nil"/>
              <w:bottom w:val="nil"/>
              <w:right w:val="nil"/>
              <w:tl2br w:val="nil"/>
              <w:tr2bl w:val="nil"/>
            </w:tcBorders>
            <w:tcMar>
              <w:left w:w="60" w:type="dxa"/>
              <w:right w:w="60" w:type="dxa"/>
            </w:tcMar>
            <w:vAlign w:val="center"/>
          </w:tcPr>
          <w:p w14:paraId="1C998348"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42 297</w:t>
            </w:r>
          </w:p>
        </w:tc>
        <w:tc>
          <w:tcPr>
            <w:tcW w:w="1281" w:type="dxa"/>
            <w:tcBorders>
              <w:top w:val="nil"/>
              <w:left w:val="nil"/>
              <w:bottom w:val="nil"/>
              <w:right w:val="nil"/>
              <w:tl2br w:val="nil"/>
              <w:tr2bl w:val="nil"/>
            </w:tcBorders>
            <w:tcMar>
              <w:left w:w="60" w:type="dxa"/>
              <w:right w:w="60" w:type="dxa"/>
            </w:tcMar>
            <w:vAlign w:val="center"/>
          </w:tcPr>
          <w:p w14:paraId="484E1D79"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 xml:space="preserve"> 201</w:t>
            </w:r>
          </w:p>
        </w:tc>
        <w:tc>
          <w:tcPr>
            <w:tcW w:w="1202" w:type="dxa"/>
            <w:tcBorders>
              <w:top w:val="nil"/>
              <w:left w:val="nil"/>
              <w:bottom w:val="nil"/>
              <w:right w:val="nil"/>
              <w:tl2br w:val="nil"/>
              <w:tr2bl w:val="nil"/>
            </w:tcBorders>
            <w:tcMar>
              <w:left w:w="60" w:type="dxa"/>
              <w:right w:w="60" w:type="dxa"/>
            </w:tcMar>
            <w:vAlign w:val="center"/>
          </w:tcPr>
          <w:p w14:paraId="77CD8D43" w14:textId="77777777" w:rsidR="00807FFE" w:rsidRDefault="00023E71">
            <w:pPr>
              <w:pStyle w:val="DMETW36627BIPLMS"/>
              <w:jc w:val="right"/>
              <w:rPr>
                <w:rFonts w:ascii="Verdana" w:eastAsia="Verdana" w:hAnsi="Verdana" w:cs="Verdana"/>
                <w:i/>
                <w:noProof/>
                <w:color w:val="000000"/>
                <w:sz w:val="18"/>
                <w:lang w:bidi="en-GB"/>
              </w:rPr>
            </w:pPr>
            <w:r>
              <w:rPr>
                <w:rFonts w:ascii="Verdana" w:eastAsia="Verdana" w:hAnsi="Verdana" w:cs="Verdana"/>
                <w:i/>
                <w:noProof/>
                <w:color w:val="000000"/>
                <w:sz w:val="18"/>
              </w:rPr>
              <w:t>251 457</w:t>
            </w:r>
          </w:p>
        </w:tc>
      </w:tr>
      <w:tr w:rsidR="00807FFE" w14:paraId="49599808" w14:textId="77777777">
        <w:trPr>
          <w:trHeight w:val="255"/>
        </w:trPr>
        <w:tc>
          <w:tcPr>
            <w:tcW w:w="2932" w:type="dxa"/>
            <w:tcBorders>
              <w:top w:val="nil"/>
              <w:left w:val="nil"/>
              <w:bottom w:val="nil"/>
              <w:right w:val="nil"/>
              <w:tl2br w:val="nil"/>
              <w:tr2bl w:val="nil"/>
            </w:tcBorders>
            <w:tcMar>
              <w:left w:w="60" w:type="dxa"/>
              <w:right w:w="60" w:type="dxa"/>
            </w:tcMar>
            <w:vAlign w:val="center"/>
          </w:tcPr>
          <w:p w14:paraId="5E852AC4" w14:textId="77777777" w:rsidR="00807FFE" w:rsidRDefault="00023E71">
            <w:pPr>
              <w:pStyle w:val="DMETW36627BIPLMS"/>
              <w:rPr>
                <w:rFonts w:ascii="Verdana" w:eastAsia="Verdana" w:hAnsi="Verdana" w:cs="Verdana"/>
                <w:i/>
                <w:noProof/>
                <w:color w:val="000000"/>
                <w:sz w:val="18"/>
              </w:rPr>
            </w:pPr>
            <w:r>
              <w:rPr>
                <w:rFonts w:ascii="Verdana" w:eastAsia="Verdana" w:hAnsi="Verdana" w:cs="Verdana"/>
                <w:i/>
                <w:noProof/>
                <w:color w:val="000000"/>
                <w:sz w:val="18"/>
              </w:rPr>
              <w:t>New loans (nominal)</w:t>
            </w:r>
          </w:p>
        </w:tc>
        <w:tc>
          <w:tcPr>
            <w:tcW w:w="1811" w:type="dxa"/>
            <w:tcBorders>
              <w:top w:val="nil"/>
              <w:left w:val="nil"/>
              <w:bottom w:val="nil"/>
              <w:right w:val="nil"/>
              <w:tl2br w:val="nil"/>
              <w:tr2bl w:val="nil"/>
            </w:tcBorders>
            <w:tcMar>
              <w:left w:w="60" w:type="dxa"/>
              <w:right w:w="60" w:type="dxa"/>
            </w:tcMar>
            <w:vAlign w:val="center"/>
          </w:tcPr>
          <w:p w14:paraId="35C67A5E"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47 218</w:t>
            </w:r>
          </w:p>
        </w:tc>
        <w:tc>
          <w:tcPr>
            <w:tcW w:w="1309" w:type="dxa"/>
            <w:tcBorders>
              <w:top w:val="nil"/>
              <w:left w:val="nil"/>
              <w:bottom w:val="nil"/>
              <w:right w:val="nil"/>
              <w:tl2br w:val="nil"/>
              <w:tr2bl w:val="nil"/>
            </w:tcBorders>
            <w:tcMar>
              <w:left w:w="60" w:type="dxa"/>
              <w:right w:w="60" w:type="dxa"/>
            </w:tcMar>
            <w:vAlign w:val="center"/>
          </w:tcPr>
          <w:p w14:paraId="1A5147D6"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23" w:type="dxa"/>
            <w:tcBorders>
              <w:top w:val="nil"/>
              <w:left w:val="nil"/>
              <w:bottom w:val="nil"/>
              <w:right w:val="nil"/>
              <w:tl2br w:val="nil"/>
              <w:tr2bl w:val="nil"/>
            </w:tcBorders>
            <w:tcMar>
              <w:left w:w="60" w:type="dxa"/>
              <w:right w:w="60" w:type="dxa"/>
            </w:tcMar>
            <w:vAlign w:val="center"/>
          </w:tcPr>
          <w:p w14:paraId="3B3D8E7F"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81" w:type="dxa"/>
            <w:tcBorders>
              <w:top w:val="nil"/>
              <w:left w:val="nil"/>
              <w:bottom w:val="nil"/>
              <w:right w:val="nil"/>
              <w:tl2br w:val="nil"/>
              <w:tr2bl w:val="nil"/>
            </w:tcBorders>
            <w:tcMar>
              <w:left w:w="60" w:type="dxa"/>
              <w:right w:w="60" w:type="dxa"/>
            </w:tcMar>
            <w:vAlign w:val="center"/>
          </w:tcPr>
          <w:p w14:paraId="439068FD"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02" w:type="dxa"/>
            <w:tcBorders>
              <w:top w:val="nil"/>
              <w:left w:val="nil"/>
              <w:bottom w:val="nil"/>
              <w:right w:val="nil"/>
              <w:tl2br w:val="nil"/>
              <w:tr2bl w:val="nil"/>
            </w:tcBorders>
            <w:tcMar>
              <w:left w:w="60" w:type="dxa"/>
              <w:right w:w="60" w:type="dxa"/>
            </w:tcMar>
            <w:vAlign w:val="center"/>
          </w:tcPr>
          <w:p w14:paraId="16189D5C" w14:textId="77777777" w:rsidR="00807FFE" w:rsidRDefault="00023E71">
            <w:pPr>
              <w:pStyle w:val="DMETW36627BIPLMS"/>
              <w:jc w:val="right"/>
              <w:rPr>
                <w:rFonts w:ascii="Verdana" w:eastAsia="Verdana" w:hAnsi="Verdana" w:cs="Verdana"/>
                <w:i/>
                <w:noProof/>
                <w:color w:val="000000"/>
                <w:sz w:val="18"/>
                <w:lang w:bidi="en-GB"/>
              </w:rPr>
            </w:pPr>
            <w:r>
              <w:rPr>
                <w:rFonts w:ascii="Verdana" w:eastAsia="Verdana" w:hAnsi="Verdana" w:cs="Verdana"/>
                <w:i/>
                <w:noProof/>
                <w:color w:val="000000"/>
                <w:sz w:val="18"/>
              </w:rPr>
              <w:t>47 218</w:t>
            </w:r>
          </w:p>
        </w:tc>
      </w:tr>
      <w:tr w:rsidR="00807FFE" w14:paraId="2AB2048E" w14:textId="77777777">
        <w:trPr>
          <w:trHeight w:val="255"/>
        </w:trPr>
        <w:tc>
          <w:tcPr>
            <w:tcW w:w="2932" w:type="dxa"/>
            <w:tcBorders>
              <w:top w:val="nil"/>
              <w:left w:val="nil"/>
              <w:bottom w:val="nil"/>
              <w:right w:val="nil"/>
              <w:tl2br w:val="nil"/>
              <w:tr2bl w:val="nil"/>
            </w:tcBorders>
            <w:tcMar>
              <w:left w:w="60" w:type="dxa"/>
              <w:right w:w="60" w:type="dxa"/>
            </w:tcMar>
            <w:vAlign w:val="center"/>
          </w:tcPr>
          <w:p w14:paraId="0D2A3AEF" w14:textId="77777777" w:rsidR="00807FFE" w:rsidRDefault="00023E71">
            <w:pPr>
              <w:pStyle w:val="DMETW36627BIPLMS"/>
              <w:rPr>
                <w:rFonts w:ascii="Verdana" w:eastAsia="Verdana" w:hAnsi="Verdana" w:cs="Verdana"/>
                <w:i/>
                <w:noProof/>
                <w:color w:val="000000"/>
                <w:sz w:val="18"/>
              </w:rPr>
            </w:pPr>
            <w:r>
              <w:rPr>
                <w:rFonts w:ascii="Verdana" w:eastAsia="Verdana" w:hAnsi="Verdana" w:cs="Verdana"/>
                <w:i/>
                <w:noProof/>
                <w:color w:val="000000"/>
                <w:sz w:val="18"/>
              </w:rPr>
              <w:t>Repayments</w:t>
            </w:r>
          </w:p>
        </w:tc>
        <w:tc>
          <w:tcPr>
            <w:tcW w:w="1811" w:type="dxa"/>
            <w:tcBorders>
              <w:top w:val="nil"/>
              <w:left w:val="nil"/>
              <w:bottom w:val="nil"/>
              <w:right w:val="nil"/>
              <w:tl2br w:val="nil"/>
              <w:tr2bl w:val="nil"/>
            </w:tcBorders>
            <w:tcMar>
              <w:left w:w="60" w:type="dxa"/>
              <w:right w:w="60" w:type="dxa"/>
            </w:tcMar>
            <w:vAlign w:val="center"/>
          </w:tcPr>
          <w:p w14:paraId="28239601"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09" w:type="dxa"/>
            <w:tcBorders>
              <w:top w:val="nil"/>
              <w:left w:val="nil"/>
              <w:bottom w:val="nil"/>
              <w:right w:val="nil"/>
              <w:tl2br w:val="nil"/>
              <w:tr2bl w:val="nil"/>
            </w:tcBorders>
            <w:tcMar>
              <w:left w:w="60" w:type="dxa"/>
              <w:right w:w="60" w:type="dxa"/>
            </w:tcMar>
            <w:vAlign w:val="center"/>
          </w:tcPr>
          <w:p w14:paraId="783E5A29"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(8 000)</w:t>
            </w:r>
          </w:p>
        </w:tc>
        <w:tc>
          <w:tcPr>
            <w:tcW w:w="1223" w:type="dxa"/>
            <w:tcBorders>
              <w:top w:val="nil"/>
              <w:left w:val="nil"/>
              <w:bottom w:val="nil"/>
              <w:right w:val="nil"/>
              <w:tl2br w:val="nil"/>
              <w:tr2bl w:val="nil"/>
            </w:tcBorders>
            <w:tcMar>
              <w:left w:w="60" w:type="dxa"/>
              <w:right w:w="60" w:type="dxa"/>
            </w:tcMar>
            <w:vAlign w:val="center"/>
          </w:tcPr>
          <w:p w14:paraId="0B15C0C6"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(4 900)</w:t>
            </w:r>
          </w:p>
        </w:tc>
        <w:tc>
          <w:tcPr>
            <w:tcW w:w="1281" w:type="dxa"/>
            <w:tcBorders>
              <w:top w:val="nil"/>
              <w:left w:val="nil"/>
              <w:bottom w:val="nil"/>
              <w:right w:val="nil"/>
              <w:tl2br w:val="nil"/>
              <w:tr2bl w:val="nil"/>
            </w:tcBorders>
            <w:tcMar>
              <w:left w:w="60" w:type="dxa"/>
              <w:right w:w="60" w:type="dxa"/>
            </w:tcMar>
            <w:vAlign w:val="center"/>
          </w:tcPr>
          <w:p w14:paraId="5C91125E"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 xml:space="preserve"> (200)</w:t>
            </w:r>
          </w:p>
        </w:tc>
        <w:tc>
          <w:tcPr>
            <w:tcW w:w="1202" w:type="dxa"/>
            <w:tcBorders>
              <w:top w:val="nil"/>
              <w:left w:val="nil"/>
              <w:bottom w:val="nil"/>
              <w:right w:val="nil"/>
              <w:tl2br w:val="nil"/>
              <w:tr2bl w:val="nil"/>
            </w:tcBorders>
            <w:tcMar>
              <w:left w:w="60" w:type="dxa"/>
              <w:right w:w="60" w:type="dxa"/>
            </w:tcMar>
            <w:vAlign w:val="center"/>
          </w:tcPr>
          <w:p w14:paraId="447A80F5" w14:textId="77777777" w:rsidR="00807FFE" w:rsidRDefault="00023E71">
            <w:pPr>
              <w:pStyle w:val="DMETW36627BIPLMS"/>
              <w:jc w:val="right"/>
              <w:rPr>
                <w:rFonts w:ascii="Verdana" w:eastAsia="Verdana" w:hAnsi="Verdana" w:cs="Verdana"/>
                <w:i/>
                <w:noProof/>
                <w:color w:val="000000"/>
                <w:sz w:val="18"/>
                <w:lang w:bidi="en-GB"/>
              </w:rPr>
            </w:pPr>
            <w:r>
              <w:rPr>
                <w:rFonts w:ascii="Verdana" w:eastAsia="Verdana" w:hAnsi="Verdana" w:cs="Verdana"/>
                <w:i/>
                <w:noProof/>
                <w:color w:val="000000"/>
                <w:sz w:val="18"/>
              </w:rPr>
              <w:t>(13 100)</w:t>
            </w:r>
          </w:p>
        </w:tc>
      </w:tr>
      <w:tr w:rsidR="00807FFE" w14:paraId="3BB36FBC" w14:textId="77777777">
        <w:trPr>
          <w:trHeight w:val="255"/>
        </w:trPr>
        <w:tc>
          <w:tcPr>
            <w:tcW w:w="2932" w:type="dxa"/>
            <w:tcBorders>
              <w:top w:val="nil"/>
              <w:left w:val="nil"/>
              <w:bottom w:val="single" w:sz="4" w:space="0" w:color="016794"/>
              <w:right w:val="nil"/>
              <w:tl2br w:val="nil"/>
              <w:tr2bl w:val="nil"/>
            </w:tcBorders>
            <w:tcMar>
              <w:left w:w="60" w:type="dxa"/>
              <w:right w:w="60" w:type="dxa"/>
            </w:tcMar>
            <w:vAlign w:val="center"/>
          </w:tcPr>
          <w:p w14:paraId="0A65955B" w14:textId="77777777" w:rsidR="00807FFE" w:rsidRDefault="00023E71">
            <w:pPr>
              <w:pStyle w:val="DMETW36627BIPLMS"/>
              <w:rPr>
                <w:rFonts w:ascii="Verdana" w:eastAsia="Verdana" w:hAnsi="Verdana" w:cs="Verdana"/>
                <w:i/>
                <w:noProof/>
                <w:color w:val="000000"/>
                <w:sz w:val="18"/>
              </w:rPr>
            </w:pPr>
            <w:r>
              <w:rPr>
                <w:rFonts w:ascii="Verdana" w:eastAsia="Verdana" w:hAnsi="Verdana" w:cs="Verdana"/>
                <w:i/>
                <w:noProof/>
                <w:color w:val="000000"/>
                <w:sz w:val="18"/>
              </w:rPr>
              <w:t>Changes in carrying amount</w:t>
            </w:r>
          </w:p>
        </w:tc>
        <w:tc>
          <w:tcPr>
            <w:tcW w:w="1811" w:type="dxa"/>
            <w:tcBorders>
              <w:top w:val="nil"/>
              <w:left w:val="nil"/>
              <w:bottom w:val="single" w:sz="4" w:space="0" w:color="016794"/>
              <w:right w:val="nil"/>
              <w:tl2br w:val="nil"/>
              <w:tr2bl w:val="nil"/>
            </w:tcBorders>
            <w:tcMar>
              <w:left w:w="60" w:type="dxa"/>
              <w:right w:w="60" w:type="dxa"/>
            </w:tcMar>
            <w:vAlign w:val="center"/>
          </w:tcPr>
          <w:p w14:paraId="761F6865"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 xml:space="preserve"> 876</w:t>
            </w:r>
          </w:p>
        </w:tc>
        <w:tc>
          <w:tcPr>
            <w:tcW w:w="1309" w:type="dxa"/>
            <w:tcBorders>
              <w:top w:val="nil"/>
              <w:left w:val="nil"/>
              <w:bottom w:val="single" w:sz="4" w:space="0" w:color="016794"/>
              <w:right w:val="nil"/>
              <w:tl2br w:val="nil"/>
              <w:tr2bl w:val="nil"/>
            </w:tcBorders>
            <w:tcMar>
              <w:left w:w="60" w:type="dxa"/>
              <w:right w:w="60" w:type="dxa"/>
            </w:tcMar>
            <w:vAlign w:val="center"/>
          </w:tcPr>
          <w:p w14:paraId="2DF4EE91"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 xml:space="preserve"> (135)</w:t>
            </w:r>
          </w:p>
        </w:tc>
        <w:tc>
          <w:tcPr>
            <w:tcW w:w="1223" w:type="dxa"/>
            <w:tcBorders>
              <w:top w:val="nil"/>
              <w:left w:val="nil"/>
              <w:bottom w:val="single" w:sz="4" w:space="0" w:color="016794"/>
              <w:right w:val="nil"/>
              <w:tl2br w:val="nil"/>
              <w:tr2bl w:val="nil"/>
            </w:tcBorders>
            <w:tcMar>
              <w:left w:w="60" w:type="dxa"/>
              <w:right w:w="60" w:type="dxa"/>
            </w:tcMar>
            <w:vAlign w:val="center"/>
          </w:tcPr>
          <w:p w14:paraId="2870FE87"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1281" w:type="dxa"/>
            <w:tcBorders>
              <w:top w:val="nil"/>
              <w:left w:val="nil"/>
              <w:bottom w:val="single" w:sz="4" w:space="0" w:color="016794"/>
              <w:right w:val="nil"/>
              <w:tl2br w:val="nil"/>
              <w:tr2bl w:val="nil"/>
            </w:tcBorders>
            <w:tcMar>
              <w:left w:w="60" w:type="dxa"/>
              <w:right w:w="60" w:type="dxa"/>
            </w:tcMar>
            <w:vAlign w:val="center"/>
          </w:tcPr>
          <w:p w14:paraId="11E15052" w14:textId="77777777" w:rsidR="00807FFE" w:rsidRDefault="00023E71">
            <w:pPr>
              <w:pStyle w:val="DMETW36627BIPLM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202" w:type="dxa"/>
            <w:tcBorders>
              <w:top w:val="nil"/>
              <w:left w:val="nil"/>
              <w:bottom w:val="single" w:sz="4" w:space="0" w:color="016794"/>
              <w:right w:val="nil"/>
              <w:tl2br w:val="nil"/>
              <w:tr2bl w:val="nil"/>
            </w:tcBorders>
            <w:tcMar>
              <w:left w:w="60" w:type="dxa"/>
              <w:right w:w="60" w:type="dxa"/>
            </w:tcMar>
            <w:vAlign w:val="center"/>
          </w:tcPr>
          <w:p w14:paraId="0BD31403" w14:textId="77777777" w:rsidR="00807FFE" w:rsidRDefault="00023E71">
            <w:pPr>
              <w:pStyle w:val="DMETW36627BIPLM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726</w:t>
            </w:r>
          </w:p>
        </w:tc>
      </w:tr>
      <w:tr w:rsidR="00807FFE" w14:paraId="6785F4BB" w14:textId="77777777">
        <w:trPr>
          <w:trHeight w:val="255"/>
        </w:trPr>
        <w:tc>
          <w:tcPr>
            <w:tcW w:w="2932" w:type="dxa"/>
            <w:tcBorders>
              <w:top w:val="single" w:sz="4" w:space="0" w:color="016794"/>
              <w:left w:val="nil"/>
              <w:bottom w:val="single" w:sz="4" w:space="0" w:color="016794"/>
              <w:right w:val="nil"/>
              <w:tl2br w:val="nil"/>
              <w:tr2bl w:val="nil"/>
            </w:tcBorders>
            <w:tcMar>
              <w:left w:w="60" w:type="dxa"/>
              <w:right w:w="60" w:type="dxa"/>
            </w:tcMar>
            <w:vAlign w:val="center"/>
          </w:tcPr>
          <w:p w14:paraId="6DD2656C" w14:textId="77777777" w:rsidR="00807FFE" w:rsidRDefault="00023E71">
            <w:pPr>
              <w:pStyle w:val="DMETW36627BIPLMS"/>
              <w:rPr>
                <w:rFonts w:ascii="Verdana" w:eastAsia="Verdana" w:hAnsi="Verdana" w:cs="Verdana"/>
                <w:b/>
                <w:noProof/>
                <w:color w:val="000000"/>
                <w:sz w:val="18"/>
              </w:rPr>
            </w:pPr>
            <w:r>
              <w:rPr>
                <w:rFonts w:ascii="Verdana" w:eastAsia="Verdana" w:hAnsi="Verdana" w:cs="Verdana"/>
                <w:b/>
                <w:noProof/>
                <w:color w:val="000000"/>
                <w:sz w:val="18"/>
              </w:rPr>
              <w:t>Total at 31.12.2025</w:t>
            </w:r>
          </w:p>
        </w:tc>
        <w:tc>
          <w:tcPr>
            <w:tcW w:w="1811" w:type="dxa"/>
            <w:tcBorders>
              <w:top w:val="single" w:sz="4" w:space="0" w:color="016794"/>
              <w:left w:val="nil"/>
              <w:bottom w:val="single" w:sz="4" w:space="0" w:color="016794"/>
              <w:right w:val="nil"/>
              <w:tl2br w:val="nil"/>
              <w:tr2bl w:val="nil"/>
            </w:tcBorders>
            <w:tcMar>
              <w:left w:w="60" w:type="dxa"/>
              <w:right w:w="60" w:type="dxa"/>
            </w:tcMar>
            <w:vAlign w:val="center"/>
          </w:tcPr>
          <w:p w14:paraId="3B89D02E" w14:textId="77777777" w:rsidR="00807FFE" w:rsidRDefault="00023E71">
            <w:pPr>
              <w:pStyle w:val="DMETW36627BIPLMS"/>
              <w:jc w:val="right"/>
              <w:rPr>
                <w:rFonts w:ascii="Verdana" w:eastAsia="Verdana" w:hAnsi="Verdana" w:cs="Verdana"/>
                <w:b/>
                <w:noProof/>
                <w:color w:val="000000"/>
                <w:sz w:val="18"/>
              </w:rPr>
            </w:pPr>
            <w:r>
              <w:rPr>
                <w:rFonts w:ascii="Verdana" w:eastAsia="Verdana" w:hAnsi="Verdana" w:cs="Verdana"/>
                <w:b/>
                <w:noProof/>
                <w:color w:val="000000"/>
                <w:sz w:val="18"/>
              </w:rPr>
              <w:t>158 215</w:t>
            </w:r>
          </w:p>
        </w:tc>
        <w:tc>
          <w:tcPr>
            <w:tcW w:w="1309" w:type="dxa"/>
            <w:tcBorders>
              <w:top w:val="single" w:sz="4" w:space="0" w:color="016794"/>
              <w:left w:val="nil"/>
              <w:bottom w:val="single" w:sz="4" w:space="0" w:color="016794"/>
              <w:right w:val="nil"/>
              <w:tl2br w:val="nil"/>
              <w:tr2bl w:val="nil"/>
            </w:tcBorders>
            <w:tcMar>
              <w:left w:w="60" w:type="dxa"/>
              <w:right w:w="60" w:type="dxa"/>
            </w:tcMar>
            <w:vAlign w:val="center"/>
          </w:tcPr>
          <w:p w14:paraId="31043693" w14:textId="77777777" w:rsidR="00807FFE" w:rsidRDefault="00023E71">
            <w:pPr>
              <w:pStyle w:val="DMETW36627BIPLMS"/>
              <w:jc w:val="right"/>
              <w:rPr>
                <w:rFonts w:ascii="Verdana" w:eastAsia="Verdana" w:hAnsi="Verdana" w:cs="Verdana"/>
                <w:b/>
                <w:noProof/>
                <w:color w:val="000000"/>
                <w:sz w:val="18"/>
              </w:rPr>
            </w:pPr>
            <w:r>
              <w:rPr>
                <w:rFonts w:ascii="Verdana" w:eastAsia="Verdana" w:hAnsi="Verdana" w:cs="Verdana"/>
                <w:b/>
                <w:noProof/>
                <w:color w:val="000000"/>
                <w:sz w:val="18"/>
              </w:rPr>
              <w:t>90 705</w:t>
            </w:r>
          </w:p>
        </w:tc>
        <w:tc>
          <w:tcPr>
            <w:tcW w:w="1223" w:type="dxa"/>
            <w:tcBorders>
              <w:top w:val="single" w:sz="4" w:space="0" w:color="016794"/>
              <w:left w:val="nil"/>
              <w:bottom w:val="single" w:sz="4" w:space="0" w:color="016794"/>
              <w:right w:val="nil"/>
              <w:tl2br w:val="nil"/>
              <w:tr2bl w:val="nil"/>
            </w:tcBorders>
            <w:tcMar>
              <w:left w:w="60" w:type="dxa"/>
              <w:right w:w="60" w:type="dxa"/>
            </w:tcMar>
            <w:vAlign w:val="center"/>
          </w:tcPr>
          <w:p w14:paraId="09AE7248" w14:textId="77777777" w:rsidR="00807FFE" w:rsidRDefault="00023E71">
            <w:pPr>
              <w:pStyle w:val="DMETW36627BIPLMS"/>
              <w:jc w:val="right"/>
              <w:rPr>
                <w:rFonts w:ascii="Verdana" w:eastAsia="Verdana" w:hAnsi="Verdana" w:cs="Verdana"/>
                <w:b/>
                <w:noProof/>
                <w:color w:val="000000"/>
                <w:sz w:val="18"/>
              </w:rPr>
            </w:pPr>
            <w:r>
              <w:rPr>
                <w:rFonts w:ascii="Verdana" w:eastAsia="Verdana" w:hAnsi="Verdana" w:cs="Verdana"/>
                <w:b/>
                <w:noProof/>
                <w:color w:val="000000"/>
                <w:sz w:val="18"/>
              </w:rPr>
              <w:t>37 382</w:t>
            </w:r>
          </w:p>
        </w:tc>
        <w:tc>
          <w:tcPr>
            <w:tcW w:w="1281" w:type="dxa"/>
            <w:tcBorders>
              <w:top w:val="single" w:sz="4" w:space="0" w:color="016794"/>
              <w:left w:val="nil"/>
              <w:bottom w:val="single" w:sz="4" w:space="0" w:color="016794"/>
              <w:right w:val="nil"/>
              <w:tl2br w:val="nil"/>
              <w:tr2bl w:val="nil"/>
            </w:tcBorders>
            <w:tcMar>
              <w:left w:w="60" w:type="dxa"/>
              <w:right w:w="60" w:type="dxa"/>
            </w:tcMar>
            <w:vAlign w:val="center"/>
          </w:tcPr>
          <w:p w14:paraId="0462F593" w14:textId="77777777" w:rsidR="00807FFE" w:rsidRDefault="00023E71">
            <w:pPr>
              <w:pStyle w:val="DMETW36627BIPLMS"/>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202" w:type="dxa"/>
            <w:tcBorders>
              <w:top w:val="single" w:sz="4" w:space="0" w:color="016794"/>
              <w:left w:val="nil"/>
              <w:bottom w:val="single" w:sz="4" w:space="0" w:color="016794"/>
              <w:right w:val="nil"/>
              <w:tl2br w:val="nil"/>
              <w:tr2bl w:val="nil"/>
            </w:tcBorders>
            <w:tcMar>
              <w:left w:w="60" w:type="dxa"/>
              <w:right w:w="60" w:type="dxa"/>
            </w:tcMar>
            <w:vAlign w:val="center"/>
          </w:tcPr>
          <w:p w14:paraId="6373AB78" w14:textId="77777777" w:rsidR="00807FFE" w:rsidRDefault="00023E71">
            <w:pPr>
              <w:pStyle w:val="DMETW36627BIPLMS"/>
              <w:jc w:val="right"/>
              <w:rPr>
                <w:rFonts w:ascii="Verdana" w:eastAsia="Verdana" w:hAnsi="Verdana" w:cs="Verdana"/>
                <w:b/>
                <w:noProof/>
                <w:color w:val="000000"/>
                <w:sz w:val="18"/>
                <w:lang w:bidi="en-GB"/>
              </w:rPr>
            </w:pPr>
            <w:r>
              <w:rPr>
                <w:rFonts w:ascii="Verdana" w:eastAsia="Verdana" w:hAnsi="Verdana" w:cs="Verdana"/>
                <w:b/>
                <w:noProof/>
                <w:color w:val="000000"/>
                <w:sz w:val="18"/>
              </w:rPr>
              <w:t>286 301</w:t>
            </w:r>
          </w:p>
        </w:tc>
      </w:tr>
      <w:tr w:rsidR="00807FFE" w14:paraId="591A2F34" w14:textId="77777777">
        <w:trPr>
          <w:trHeight w:val="255"/>
        </w:trPr>
        <w:tc>
          <w:tcPr>
            <w:tcW w:w="2932" w:type="dxa"/>
            <w:tcBorders>
              <w:top w:val="single" w:sz="4" w:space="0" w:color="016794"/>
              <w:left w:val="nil"/>
              <w:bottom w:val="nil"/>
              <w:right w:val="nil"/>
              <w:tl2br w:val="nil"/>
              <w:tr2bl w:val="nil"/>
            </w:tcBorders>
            <w:tcMar>
              <w:left w:w="60" w:type="dxa"/>
              <w:right w:w="60" w:type="dxa"/>
            </w:tcMar>
            <w:vAlign w:val="center"/>
          </w:tcPr>
          <w:p w14:paraId="190A977B" w14:textId="77777777" w:rsidR="00807FFE" w:rsidRDefault="00023E71">
            <w:pPr>
              <w:pStyle w:val="DMETW36627BIPLMS"/>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811" w:type="dxa"/>
            <w:tcBorders>
              <w:top w:val="single" w:sz="4" w:space="0" w:color="016794"/>
              <w:left w:val="nil"/>
              <w:bottom w:val="nil"/>
              <w:right w:val="nil"/>
              <w:tl2br w:val="nil"/>
              <w:tr2bl w:val="nil"/>
            </w:tcBorders>
            <w:tcMar>
              <w:left w:w="60" w:type="dxa"/>
              <w:right w:w="60" w:type="dxa"/>
            </w:tcMar>
            <w:vAlign w:val="center"/>
          </w:tcPr>
          <w:p w14:paraId="46621297"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155 904</w:t>
            </w:r>
          </w:p>
        </w:tc>
        <w:tc>
          <w:tcPr>
            <w:tcW w:w="1309" w:type="dxa"/>
            <w:tcBorders>
              <w:top w:val="single" w:sz="4" w:space="0" w:color="016794"/>
              <w:left w:val="nil"/>
              <w:bottom w:val="nil"/>
              <w:right w:val="nil"/>
              <w:tl2br w:val="nil"/>
              <w:tr2bl w:val="nil"/>
            </w:tcBorders>
            <w:tcMar>
              <w:left w:w="60" w:type="dxa"/>
              <w:right w:w="60" w:type="dxa"/>
            </w:tcMar>
            <w:vAlign w:val="center"/>
          </w:tcPr>
          <w:p w14:paraId="3B6FFA94"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82 594</w:t>
            </w:r>
          </w:p>
        </w:tc>
        <w:tc>
          <w:tcPr>
            <w:tcW w:w="1223" w:type="dxa"/>
            <w:tcBorders>
              <w:top w:val="single" w:sz="4" w:space="0" w:color="016794"/>
              <w:left w:val="nil"/>
              <w:bottom w:val="nil"/>
              <w:right w:val="nil"/>
              <w:tl2br w:val="nil"/>
              <w:tr2bl w:val="nil"/>
            </w:tcBorders>
            <w:tcMar>
              <w:left w:w="60" w:type="dxa"/>
              <w:right w:w="60" w:type="dxa"/>
            </w:tcMar>
            <w:vAlign w:val="center"/>
          </w:tcPr>
          <w:p w14:paraId="51ECE3CB"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30 818</w:t>
            </w:r>
          </w:p>
        </w:tc>
        <w:tc>
          <w:tcPr>
            <w:tcW w:w="1281" w:type="dxa"/>
            <w:tcBorders>
              <w:top w:val="single" w:sz="4" w:space="0" w:color="016794"/>
              <w:left w:val="nil"/>
              <w:bottom w:val="nil"/>
              <w:right w:val="nil"/>
              <w:tl2br w:val="nil"/>
              <w:tr2bl w:val="nil"/>
            </w:tcBorders>
            <w:tcMar>
              <w:left w:w="60" w:type="dxa"/>
              <w:right w:w="60" w:type="dxa"/>
            </w:tcMar>
            <w:vAlign w:val="center"/>
          </w:tcPr>
          <w:p w14:paraId="07EBCF65"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w:t>
            </w:r>
          </w:p>
        </w:tc>
        <w:tc>
          <w:tcPr>
            <w:tcW w:w="1202" w:type="dxa"/>
            <w:tcBorders>
              <w:top w:val="single" w:sz="4" w:space="0" w:color="016794"/>
              <w:left w:val="nil"/>
              <w:bottom w:val="nil"/>
              <w:right w:val="nil"/>
              <w:tl2br w:val="nil"/>
              <w:tr2bl w:val="nil"/>
            </w:tcBorders>
            <w:tcMar>
              <w:left w:w="60" w:type="dxa"/>
              <w:right w:w="60" w:type="dxa"/>
            </w:tcMar>
            <w:vAlign w:val="center"/>
          </w:tcPr>
          <w:p w14:paraId="7C8017B3" w14:textId="77777777" w:rsidR="00807FFE" w:rsidRDefault="00023E71">
            <w:pPr>
              <w:pStyle w:val="DMETW36627BIPLMS"/>
              <w:jc w:val="right"/>
              <w:rPr>
                <w:rFonts w:ascii="Verdana" w:eastAsia="Verdana" w:hAnsi="Verdana" w:cs="Verdana"/>
                <w:i/>
                <w:noProof/>
                <w:color w:val="016794"/>
                <w:sz w:val="18"/>
                <w:lang w:bidi="en-GB"/>
              </w:rPr>
            </w:pPr>
            <w:r>
              <w:rPr>
                <w:rFonts w:ascii="Verdana" w:eastAsia="Verdana" w:hAnsi="Verdana" w:cs="Verdana"/>
                <w:i/>
                <w:noProof/>
                <w:color w:val="016794"/>
                <w:sz w:val="18"/>
              </w:rPr>
              <w:t>269 316</w:t>
            </w:r>
          </w:p>
        </w:tc>
      </w:tr>
      <w:tr w:rsidR="00807FFE" w14:paraId="1DA5F540" w14:textId="77777777">
        <w:trPr>
          <w:trHeight w:val="255"/>
        </w:trPr>
        <w:tc>
          <w:tcPr>
            <w:tcW w:w="2932" w:type="dxa"/>
            <w:tcBorders>
              <w:top w:val="nil"/>
              <w:left w:val="nil"/>
              <w:bottom w:val="nil"/>
              <w:right w:val="nil"/>
              <w:tl2br w:val="nil"/>
              <w:tr2bl w:val="nil"/>
            </w:tcBorders>
            <w:tcMar>
              <w:left w:w="60" w:type="dxa"/>
              <w:right w:w="60" w:type="dxa"/>
            </w:tcMar>
            <w:vAlign w:val="center"/>
          </w:tcPr>
          <w:p w14:paraId="5C91BD6C" w14:textId="77777777" w:rsidR="00807FFE" w:rsidRDefault="00023E71">
            <w:pPr>
              <w:pStyle w:val="DMETW36627BIPLMS"/>
              <w:rPr>
                <w:rFonts w:ascii="Verdana" w:eastAsia="Verdana" w:hAnsi="Verdana" w:cs="Verdana"/>
                <w:i/>
                <w:noProof/>
                <w:color w:val="016794"/>
                <w:sz w:val="18"/>
              </w:rPr>
            </w:pPr>
            <w:r>
              <w:rPr>
                <w:rFonts w:ascii="Verdana" w:eastAsia="Verdana" w:hAnsi="Verdana" w:cs="Verdana"/>
                <w:i/>
                <w:noProof/>
                <w:color w:val="016794"/>
                <w:sz w:val="18"/>
              </w:rPr>
              <w:t>Current</w:t>
            </w:r>
          </w:p>
        </w:tc>
        <w:tc>
          <w:tcPr>
            <w:tcW w:w="1811" w:type="dxa"/>
            <w:tcBorders>
              <w:top w:val="nil"/>
              <w:left w:val="nil"/>
              <w:bottom w:val="nil"/>
              <w:right w:val="nil"/>
              <w:tl2br w:val="nil"/>
              <w:tr2bl w:val="nil"/>
            </w:tcBorders>
            <w:tcMar>
              <w:left w:w="60" w:type="dxa"/>
              <w:right w:w="60" w:type="dxa"/>
            </w:tcMar>
            <w:vAlign w:val="center"/>
          </w:tcPr>
          <w:p w14:paraId="5E1CC8C6"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2 310</w:t>
            </w:r>
          </w:p>
        </w:tc>
        <w:tc>
          <w:tcPr>
            <w:tcW w:w="1309" w:type="dxa"/>
            <w:tcBorders>
              <w:top w:val="nil"/>
              <w:left w:val="nil"/>
              <w:bottom w:val="nil"/>
              <w:right w:val="nil"/>
              <w:tl2br w:val="nil"/>
              <w:tr2bl w:val="nil"/>
            </w:tcBorders>
            <w:tcMar>
              <w:left w:w="60" w:type="dxa"/>
              <w:right w:w="60" w:type="dxa"/>
            </w:tcMar>
            <w:vAlign w:val="center"/>
          </w:tcPr>
          <w:p w14:paraId="114F4D64"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8 111</w:t>
            </w:r>
          </w:p>
        </w:tc>
        <w:tc>
          <w:tcPr>
            <w:tcW w:w="1223" w:type="dxa"/>
            <w:tcBorders>
              <w:top w:val="nil"/>
              <w:left w:val="nil"/>
              <w:bottom w:val="nil"/>
              <w:right w:val="nil"/>
              <w:tl2br w:val="nil"/>
              <w:tr2bl w:val="nil"/>
            </w:tcBorders>
            <w:tcMar>
              <w:left w:w="60" w:type="dxa"/>
              <w:right w:w="60" w:type="dxa"/>
            </w:tcMar>
            <w:vAlign w:val="center"/>
          </w:tcPr>
          <w:p w14:paraId="2A58B9AA"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6 564</w:t>
            </w:r>
          </w:p>
        </w:tc>
        <w:tc>
          <w:tcPr>
            <w:tcW w:w="1281" w:type="dxa"/>
            <w:tcBorders>
              <w:top w:val="nil"/>
              <w:left w:val="nil"/>
              <w:bottom w:val="nil"/>
              <w:right w:val="nil"/>
              <w:tl2br w:val="nil"/>
              <w:tr2bl w:val="nil"/>
            </w:tcBorders>
            <w:tcMar>
              <w:left w:w="60" w:type="dxa"/>
              <w:right w:w="60" w:type="dxa"/>
            </w:tcMar>
            <w:vAlign w:val="center"/>
          </w:tcPr>
          <w:p w14:paraId="28D77B69"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w:t>
            </w:r>
          </w:p>
        </w:tc>
        <w:tc>
          <w:tcPr>
            <w:tcW w:w="1202" w:type="dxa"/>
            <w:tcBorders>
              <w:top w:val="nil"/>
              <w:left w:val="nil"/>
              <w:bottom w:val="nil"/>
              <w:right w:val="nil"/>
              <w:tl2br w:val="nil"/>
              <w:tr2bl w:val="nil"/>
            </w:tcBorders>
            <w:tcMar>
              <w:left w:w="60" w:type="dxa"/>
              <w:right w:w="60" w:type="dxa"/>
            </w:tcMar>
            <w:vAlign w:val="center"/>
          </w:tcPr>
          <w:p w14:paraId="6DA63E03" w14:textId="77777777" w:rsidR="00807FFE" w:rsidRDefault="00023E71">
            <w:pPr>
              <w:pStyle w:val="DMETW36627BIPLMS"/>
              <w:jc w:val="right"/>
              <w:rPr>
                <w:rFonts w:ascii="Verdana" w:eastAsia="Verdana" w:hAnsi="Verdana" w:cs="Verdana"/>
                <w:i/>
                <w:noProof/>
                <w:color w:val="016794"/>
                <w:sz w:val="18"/>
              </w:rPr>
            </w:pPr>
            <w:r>
              <w:rPr>
                <w:rFonts w:ascii="Verdana" w:eastAsia="Verdana" w:hAnsi="Verdana" w:cs="Verdana"/>
                <w:i/>
                <w:noProof/>
                <w:color w:val="016794"/>
                <w:sz w:val="18"/>
              </w:rPr>
              <w:t>16 985</w:t>
            </w:r>
          </w:p>
        </w:tc>
      </w:tr>
    </w:tbl>
    <w:p w14:paraId="02BE4AFB" w14:textId="77777777" w:rsidR="0027349E" w:rsidRPr="00ED585C" w:rsidRDefault="00023E71" w:rsidP="0027349E">
      <w:pPr>
        <w:pStyle w:val="DGTextstand-alone"/>
        <w:spacing w:before="120" w:after="120"/>
      </w:pPr>
      <w:r w:rsidRPr="00ED585C">
        <w:t>The nominal value of loans to Member States at 31 December 202</w:t>
      </w:r>
      <w:r w:rsidR="009E6D36">
        <w:t>5</w:t>
      </w:r>
      <w:r w:rsidRPr="00ED585C">
        <w:t xml:space="preserve"> is EUR </w:t>
      </w:r>
      <w:r w:rsidR="009E6D36">
        <w:t>283.4</w:t>
      </w:r>
      <w:r w:rsidRPr="00ED585C">
        <w:t xml:space="preserve"> billion (202</w:t>
      </w:r>
      <w:r w:rsidR="009E6D36">
        <w:t>4</w:t>
      </w:r>
      <w:r w:rsidRPr="00ED585C">
        <w:t>: EUR </w:t>
      </w:r>
      <w:r w:rsidR="009E6D36" w:rsidRPr="00ED585C">
        <w:t>249.2</w:t>
      </w:r>
      <w:r w:rsidR="00E57884">
        <w:t xml:space="preserve"> billion</w:t>
      </w:r>
      <w:r w:rsidRPr="00ED585C">
        <w:t>), out of which EUR</w:t>
      </w:r>
      <w:r w:rsidR="009A6BB8" w:rsidRPr="00ED585C">
        <w:t xml:space="preserve"> 1</w:t>
      </w:r>
      <w:r w:rsidR="009E6D36">
        <w:t>55</w:t>
      </w:r>
      <w:r w:rsidR="009A6BB8" w:rsidRPr="00ED585C">
        <w:t>.</w:t>
      </w:r>
      <w:r w:rsidR="009E6D36">
        <w:t>9</w:t>
      </w:r>
      <w:r w:rsidRPr="00ED585C">
        <w:t xml:space="preserve"> billion refer to the NGEU loans for RRF and REPowerEU. </w:t>
      </w:r>
    </w:p>
    <w:p w14:paraId="594F3189" w14:textId="77777777" w:rsidR="0027349E" w:rsidRPr="00ED585C" w:rsidRDefault="00023E71" w:rsidP="0027349E">
      <w:pPr>
        <w:pStyle w:val="DGTextstand-alone"/>
        <w:spacing w:before="120" w:after="120"/>
      </w:pPr>
      <w:r w:rsidRPr="00ED585C">
        <w:t>In this table, and in the table for loans to third countries further below, the line ‘</w:t>
      </w:r>
      <w:r>
        <w:t>C</w:t>
      </w:r>
      <w:r w:rsidRPr="00ED585C">
        <w:t>hanges in carrying amount’ corresponds to the change in accrued interest and the change in premiums/discounts (new premiums/discounts and amortisation).</w:t>
      </w:r>
    </w:p>
    <w:p w14:paraId="4E2C3102" w14:textId="77777777" w:rsidR="004A0CD3" w:rsidRPr="00ED585C" w:rsidRDefault="00023E71" w:rsidP="004A0CD3">
      <w:pPr>
        <w:pStyle w:val="DGTextstand-alone"/>
        <w:spacing w:before="120" w:after="120"/>
      </w:pPr>
      <w:r w:rsidRPr="00ED585C">
        <w:t>The programmes SURE, EFSM</w:t>
      </w:r>
      <w:r>
        <w:t xml:space="preserve"> </w:t>
      </w:r>
      <w:r w:rsidRPr="00ED585C">
        <w:t xml:space="preserve">and BOP </w:t>
      </w:r>
      <w:r w:rsidR="007E1A36" w:rsidRPr="00ED585C">
        <w:t>have been implemented</w:t>
      </w:r>
      <w:r w:rsidRPr="00ED585C">
        <w:t xml:space="preserve"> on a ‘back-to-back’ basis. This means that the loans were financed by equivalent borrowings, with the same terms</w:t>
      </w:r>
      <w:r w:rsidR="007E1A36" w:rsidRPr="00ED585C">
        <w:t xml:space="preserve"> and conditions.</w:t>
      </w:r>
      <w:r w:rsidRPr="00ED585C">
        <w:t xml:space="preserve"> The maturities are the same, the issue premiums/discounts and the costs are recharged to the loan beneficiary. At maturity, the loan beneficiary reimburses the Commission and the Commission repays the borrowing. For the </w:t>
      </w:r>
      <w:r>
        <w:t xml:space="preserve">RRF loans financed by </w:t>
      </w:r>
      <w:r w:rsidRPr="00ED585C">
        <w:t xml:space="preserve">NGEU there is no back-to-back relationship between the terms of the loans and the borrowings. These loans are funded from the unified funding approach, explained in </w:t>
      </w:r>
      <w:r>
        <w:t>N</w:t>
      </w:r>
      <w:r w:rsidRPr="00ED585C">
        <w:t xml:space="preserve">ote </w:t>
      </w:r>
      <w:r w:rsidRPr="00ED585C">
        <w:rPr>
          <w:b/>
        </w:rPr>
        <w:t>2.11.1.1</w:t>
      </w:r>
      <w:r w:rsidRPr="00ED585C">
        <w:t>.</w:t>
      </w:r>
    </w:p>
    <w:p w14:paraId="1060FB36" w14:textId="77777777" w:rsidR="004A0CD3" w:rsidRPr="00ED585C" w:rsidRDefault="00023E71" w:rsidP="004A0CD3">
      <w:pPr>
        <w:pStyle w:val="HEADER5"/>
        <w:spacing w:before="240"/>
        <w:rPr>
          <w:noProof/>
        </w:rPr>
      </w:pPr>
      <w:r w:rsidRPr="00ED585C">
        <w:rPr>
          <w:noProof/>
        </w:rPr>
        <w:t>RRF</w:t>
      </w:r>
    </w:p>
    <w:p w14:paraId="73920627" w14:textId="77777777" w:rsidR="004A0CD3" w:rsidRPr="00ED585C" w:rsidRDefault="00023E71" w:rsidP="004A0CD3">
      <w:pPr>
        <w:pStyle w:val="DGTextstand-alone"/>
        <w:spacing w:before="120" w:after="120"/>
      </w:pPr>
      <w:r w:rsidRPr="00ED585C">
        <w:t xml:space="preserve">The RRF is a temporary instrument, established in 2021, to help the Member States’ economies recover from the coronavirus pandemic and become resilient to green and digital transitions. Under the EU Recovery Instrument (NGEU), the Commission borrows funds, which the RRF uses to finance Member States’ reforms and investments. These have to be in line with EU priorities and have to address the challenges identified in country-specific recommendations under the European Semester framework of economic and social policy coordination. The financing can be either a loan (repayable support) or a grant (non-repayable support, see </w:t>
      </w:r>
      <w:r>
        <w:t>N</w:t>
      </w:r>
      <w:r w:rsidRPr="00ED585C">
        <w:t xml:space="preserve">ote </w:t>
      </w:r>
      <w:r w:rsidRPr="00ED585C">
        <w:rPr>
          <w:b/>
        </w:rPr>
        <w:t>2.5</w:t>
      </w:r>
      <w:r w:rsidRPr="00ED585C">
        <w:t xml:space="preserve">). The Member States can receive financing up to a previously agreed allocation for loans and grants. To benefit from the support, the Member States have to submit their national recovery and resilience plans to the European Commission. Each plan sets out the reforms and investments to be implemented by the end of 2026, defining clear milestones and targets to be analysed by the European Commission and approved by the European Council. The RRF loans can be disbursed until </w:t>
      </w:r>
      <w:r w:rsidRPr="00EC0628">
        <w:t>31 December 2026</w:t>
      </w:r>
      <w:r w:rsidRPr="00ED585C">
        <w:t xml:space="preserve">, but only after the achievement of the agreed milestones and targets. </w:t>
      </w:r>
    </w:p>
    <w:p w14:paraId="44030792" w14:textId="77777777" w:rsidR="004A0CD3" w:rsidRPr="00ED585C" w:rsidRDefault="00023E71" w:rsidP="004A0CD3">
      <w:pPr>
        <w:pStyle w:val="DGTextstand-alone"/>
        <w:spacing w:before="120" w:after="120"/>
      </w:pPr>
      <w:r w:rsidRPr="00ED585C">
        <w:t xml:space="preserve">In 2023, the RRF Regulation was amended and enabled the Member States to add a REPowerEU chapter to their national recovery and resilience plans. The Member States can finance investments and reforms in order to achieve the REPowerEU objectives. The financing can also be with loans, using RRF loan resources not yet requested by the Member States. </w:t>
      </w:r>
      <w:r>
        <w:t>The heading RRF in the table above thus includes the REPowerEU loans as well.</w:t>
      </w:r>
    </w:p>
    <w:p w14:paraId="43463A30" w14:textId="77777777" w:rsidR="004A0CD3" w:rsidRPr="00ED585C" w:rsidRDefault="00023E71" w:rsidP="004A0CD3">
      <w:pPr>
        <w:pStyle w:val="DGTextstand-alone"/>
        <w:spacing w:before="120" w:after="120"/>
      </w:pPr>
      <w:bookmarkStart w:id="102" w:name="_Hlk225089219"/>
      <w:r w:rsidRPr="00CB1ABE">
        <w:t>A</w:t>
      </w:r>
      <w:r w:rsidR="00CB1ABE">
        <w:t>s at</w:t>
      </w:r>
      <w:r w:rsidRPr="00CB1ABE">
        <w:t xml:space="preserve"> 31 December 202</w:t>
      </w:r>
      <w:r w:rsidR="009E6D36" w:rsidRPr="00CB1ABE">
        <w:t>5</w:t>
      </w:r>
      <w:r w:rsidRPr="00CB1ABE">
        <w:t xml:space="preserve">, the signed loan agreements were </w:t>
      </w:r>
      <w:r w:rsidR="00CC7625" w:rsidRPr="00CB1ABE">
        <w:t xml:space="preserve">EUR </w:t>
      </w:r>
      <w:r w:rsidR="009E6D36" w:rsidRPr="00CB1ABE">
        <w:t>277.2 billion (</w:t>
      </w:r>
      <w:r w:rsidR="00CC7625" w:rsidRPr="00CB1ABE">
        <w:t>comparing to EUR</w:t>
      </w:r>
      <w:r w:rsidR="00CB1ABE">
        <w:t> </w:t>
      </w:r>
      <w:r w:rsidR="00CC7625" w:rsidRPr="00CB1ABE">
        <w:t>290.</w:t>
      </w:r>
      <w:r>
        <w:t>9</w:t>
      </w:r>
      <w:r w:rsidR="00CB1ABE">
        <w:t> </w:t>
      </w:r>
      <w:r w:rsidR="00CC7625" w:rsidRPr="00CB1ABE">
        <w:t>billion at the end of 2024</w:t>
      </w:r>
      <w:r w:rsidR="00CB1ABE">
        <w:t xml:space="preserve">, </w:t>
      </w:r>
      <w:r w:rsidR="00CB1ABE" w:rsidRPr="00CB1ABE">
        <w:t xml:space="preserve">the amount </w:t>
      </w:r>
      <w:r w:rsidR="00CB1ABE">
        <w:t>decreased</w:t>
      </w:r>
      <w:r w:rsidR="00CC7625" w:rsidRPr="00CB1ABE">
        <w:t xml:space="preserve"> due to reductions of some loan agreements</w:t>
      </w:r>
      <w:r w:rsidR="009E6D36" w:rsidRPr="00CB1ABE">
        <w:t>)</w:t>
      </w:r>
      <w:r w:rsidR="00CC7625" w:rsidRPr="00CB1ABE">
        <w:t>. EUR</w:t>
      </w:r>
      <w:r w:rsidRPr="00CB1ABE">
        <w:t xml:space="preserve"> </w:t>
      </w:r>
      <w:r w:rsidR="009E6D36" w:rsidRPr="00CB1ABE">
        <w:t>155.9</w:t>
      </w:r>
      <w:r w:rsidR="00CB1ABE">
        <w:t> </w:t>
      </w:r>
      <w:r w:rsidRPr="00CB1ABE">
        <w:t xml:space="preserve">billion </w:t>
      </w:r>
      <w:r w:rsidR="00CC7625" w:rsidRPr="00CB1ABE">
        <w:t xml:space="preserve">of loans </w:t>
      </w:r>
      <w:r w:rsidR="00CB1ABE">
        <w:t>have been</w:t>
      </w:r>
      <w:r w:rsidRPr="00CB1ABE">
        <w:t xml:space="preserve"> disbursed</w:t>
      </w:r>
      <w:r w:rsidR="00CC7625" w:rsidRPr="00CB1ABE">
        <w:t xml:space="preserve"> and </w:t>
      </w:r>
      <w:r w:rsidR="00CB1ABE" w:rsidRPr="00CB1ABE">
        <w:t xml:space="preserve">is outstanding at </w:t>
      </w:r>
      <w:r w:rsidR="00CB1ABE">
        <w:t>the end of 2025</w:t>
      </w:r>
      <w:r w:rsidR="00B116FC" w:rsidRPr="00CB1ABE">
        <w:t>.</w:t>
      </w:r>
    </w:p>
    <w:p w14:paraId="78332E95" w14:textId="77777777" w:rsidR="004A0CD3" w:rsidRPr="00ED585C" w:rsidRDefault="00023E71" w:rsidP="004A0CD3">
      <w:pPr>
        <w:pStyle w:val="HEADER5"/>
        <w:spacing w:before="240"/>
        <w:rPr>
          <w:noProof/>
        </w:rPr>
      </w:pPr>
      <w:bookmarkStart w:id="103" w:name="_Hlk229775529"/>
      <w:bookmarkEnd w:id="102"/>
      <w:r w:rsidRPr="00ED585C">
        <w:rPr>
          <w:noProof/>
        </w:rPr>
        <w:t>Support to mitigate Unemployment Risks in an Emergency (SURE)</w:t>
      </w:r>
    </w:p>
    <w:p w14:paraId="5E8F0097" w14:textId="77777777" w:rsidR="004A0CD3" w:rsidRPr="00ED585C" w:rsidRDefault="00023E71" w:rsidP="004A0CD3">
      <w:pPr>
        <w:pStyle w:val="DGTextstand-alone"/>
        <w:spacing w:before="120" w:after="120"/>
      </w:pPr>
      <w:r w:rsidRPr="00ED585C">
        <w:t xml:space="preserve">SURE provided financial assistance aiming to maintain people in work and support jobs affected by the coronavirus pandemic. The availability of the instrument ended </w:t>
      </w:r>
      <w:r w:rsidR="00E57884">
        <w:t>on</w:t>
      </w:r>
      <w:r w:rsidRPr="00ED585C">
        <w:t xml:space="preserve"> 31 December 2022. The loans disbursed </w:t>
      </w:r>
      <w:r>
        <w:t xml:space="preserve">as of 31 December 2024 </w:t>
      </w:r>
      <w:r w:rsidRPr="00ED585C">
        <w:t xml:space="preserve">were EUR 98.4 billion (nominal value) and there </w:t>
      </w:r>
      <w:r>
        <w:t>were</w:t>
      </w:r>
      <w:r w:rsidRPr="00ED585C">
        <w:t xml:space="preserve"> no pending disbursements. </w:t>
      </w:r>
      <w:r>
        <w:t>In 2025, the Member States repaid EUR 8 billion of SURE loans.</w:t>
      </w:r>
    </w:p>
    <w:bookmarkEnd w:id="103"/>
    <w:p w14:paraId="2F168170" w14:textId="77777777" w:rsidR="004A0CD3" w:rsidRPr="00ED585C" w:rsidRDefault="00023E71" w:rsidP="004A0CD3">
      <w:pPr>
        <w:pStyle w:val="HEADER5"/>
        <w:spacing w:before="240"/>
        <w:rPr>
          <w:noProof/>
        </w:rPr>
      </w:pPr>
      <w:r w:rsidRPr="00ED585C">
        <w:rPr>
          <w:noProof/>
        </w:rPr>
        <w:t>European Financial Stabilisation Mechanism (EFSM)</w:t>
      </w:r>
    </w:p>
    <w:p w14:paraId="0D7084B3" w14:textId="77777777" w:rsidR="004A0CD3" w:rsidRDefault="00023E71" w:rsidP="001E1098">
      <w:pPr>
        <w:pStyle w:val="DGTextstand-alone"/>
        <w:spacing w:before="120" w:after="120"/>
      </w:pPr>
      <w:r w:rsidRPr="00ED585C">
        <w:t>The EFSM enabled the granting of financial assistance to a Member State in financial difficulties. The programme has expired</w:t>
      </w:r>
      <w:r w:rsidR="001E1098" w:rsidRPr="00ED585C">
        <w:t xml:space="preserve"> </w:t>
      </w:r>
      <w:r w:rsidR="00E57884">
        <w:t>except</w:t>
      </w:r>
      <w:r w:rsidR="00D226AE" w:rsidRPr="00ED585C">
        <w:t xml:space="preserve"> for specific </w:t>
      </w:r>
      <w:r w:rsidR="00BD18E5">
        <w:t xml:space="preserve">transactions such as </w:t>
      </w:r>
      <w:r w:rsidR="00D226AE" w:rsidRPr="00ED585C">
        <w:t>the maturity extension of the loans.</w:t>
      </w:r>
      <w:r w:rsidR="00A87E33" w:rsidRPr="00ED585C">
        <w:t xml:space="preserve"> </w:t>
      </w:r>
      <w:bookmarkStart w:id="104" w:name="_Hlk225453570"/>
      <w:r w:rsidR="00992522" w:rsidRPr="00ED585C">
        <w:t>In 202</w:t>
      </w:r>
      <w:r>
        <w:t>5</w:t>
      </w:r>
      <w:r w:rsidR="00992522" w:rsidRPr="00ED585C">
        <w:t xml:space="preserve">, </w:t>
      </w:r>
      <w:r w:rsidR="00A87E33" w:rsidRPr="00ED585C">
        <w:t xml:space="preserve">Ireland repaid </w:t>
      </w:r>
      <w:r w:rsidR="00992522" w:rsidRPr="00ED585C">
        <w:t xml:space="preserve">EUR </w:t>
      </w:r>
      <w:r>
        <w:t>2.4</w:t>
      </w:r>
      <w:r w:rsidR="00A87E33" w:rsidRPr="00ED585C">
        <w:t xml:space="preserve"> billion</w:t>
      </w:r>
      <w:r w:rsidR="00992522" w:rsidRPr="00ED585C">
        <w:t xml:space="preserve"> of EFSM loan</w:t>
      </w:r>
      <w:r w:rsidR="000E1664">
        <w:t xml:space="preserve"> </w:t>
      </w:r>
      <w:r w:rsidR="00992522" w:rsidRPr="00ED585C">
        <w:t>due</w:t>
      </w:r>
      <w:r>
        <w:t>.</w:t>
      </w:r>
      <w:r w:rsidR="00A87E33" w:rsidRPr="00ED585C">
        <w:t xml:space="preserve"> </w:t>
      </w:r>
      <w:r w:rsidR="00D226AE" w:rsidRPr="00ED585C">
        <w:t xml:space="preserve">Portugal </w:t>
      </w:r>
      <w:r w:rsidRPr="00862458">
        <w:t xml:space="preserve">requested early repayment of two loans </w:t>
      </w:r>
      <w:r>
        <w:t>for a</w:t>
      </w:r>
      <w:r w:rsidRPr="00862458">
        <w:t xml:space="preserve"> total amount </w:t>
      </w:r>
      <w:r>
        <w:t xml:space="preserve">of </w:t>
      </w:r>
      <w:r w:rsidRPr="00862458">
        <w:t>EUR 2</w:t>
      </w:r>
      <w:r>
        <w:t>.</w:t>
      </w:r>
      <w:r w:rsidRPr="00862458">
        <w:t>5 billion. The repayment of the loan</w:t>
      </w:r>
      <w:r>
        <w:t>s</w:t>
      </w:r>
      <w:r w:rsidRPr="00862458">
        <w:t xml:space="preserve"> was executed at market price of the underlying bonds</w:t>
      </w:r>
      <w:r w:rsidR="0098644A">
        <w:t>.</w:t>
      </w:r>
      <w:r>
        <w:t xml:space="preserve"> </w:t>
      </w:r>
      <w:r w:rsidRPr="0098644A">
        <w:t>This operation resulted in derecognition gains or losses</w:t>
      </w:r>
      <w:r>
        <w:t xml:space="preserve"> on loans</w:t>
      </w:r>
      <w:r w:rsidRPr="0098644A">
        <w:t xml:space="preserve"> </w:t>
      </w:r>
      <w:r w:rsidR="0098644A">
        <w:t xml:space="preserve">(see </w:t>
      </w:r>
      <w:r>
        <w:t>N</w:t>
      </w:r>
      <w:r w:rsidR="0098644A">
        <w:t xml:space="preserve">otes </w:t>
      </w:r>
      <w:r w:rsidR="0098644A" w:rsidRPr="0098644A">
        <w:rPr>
          <w:b/>
          <w:bCs/>
        </w:rPr>
        <w:t>3.9</w:t>
      </w:r>
      <w:r w:rsidR="0098644A">
        <w:t xml:space="preserve"> and </w:t>
      </w:r>
      <w:r w:rsidR="0098644A" w:rsidRPr="0098644A">
        <w:rPr>
          <w:b/>
          <w:bCs/>
        </w:rPr>
        <w:t>3.15</w:t>
      </w:r>
      <w:r w:rsidR="0098644A">
        <w:t xml:space="preserve">). The underlying EU bonds were transferred to the unified funding pool (see </w:t>
      </w:r>
      <w:r>
        <w:t>N</w:t>
      </w:r>
      <w:r w:rsidR="0098644A">
        <w:t xml:space="preserve">ote </w:t>
      </w:r>
      <w:r w:rsidR="0098644A" w:rsidRPr="0098644A">
        <w:rPr>
          <w:b/>
          <w:bCs/>
        </w:rPr>
        <w:t>2.11.1.1</w:t>
      </w:r>
      <w:r w:rsidR="0098644A">
        <w:t>).</w:t>
      </w:r>
    </w:p>
    <w:bookmarkEnd w:id="104"/>
    <w:p w14:paraId="309F86CB" w14:textId="77777777" w:rsidR="004A0CD3" w:rsidRPr="004A0CD3" w:rsidRDefault="00023E71" w:rsidP="004A0CD3">
      <w:pPr>
        <w:pStyle w:val="HEADER5"/>
        <w:spacing w:before="240"/>
        <w:rPr>
          <w:noProof/>
        </w:rPr>
      </w:pPr>
      <w:r w:rsidRPr="004A0CD3">
        <w:rPr>
          <w:noProof/>
        </w:rPr>
        <w:t>Balance of Payments (BOP)</w:t>
      </w:r>
    </w:p>
    <w:p w14:paraId="7302E353" w14:textId="77777777" w:rsidR="004A0CD3" w:rsidRDefault="00023E71" w:rsidP="004A0CD3">
      <w:pPr>
        <w:pStyle w:val="DGTextstand-alone"/>
        <w:spacing w:before="120" w:after="120"/>
      </w:pPr>
      <w:r w:rsidRPr="00B7279D">
        <w:t xml:space="preserve">This is a policy-based financial instrument that provides medium-term financial assistance to Member States that have not adopted the </w:t>
      </w:r>
      <w:r>
        <w:t>e</w:t>
      </w:r>
      <w:r w:rsidRPr="00B7279D">
        <w:t xml:space="preserve">uro. </w:t>
      </w:r>
      <w:r w:rsidR="0098644A">
        <w:t>In 2025 the last ou</w:t>
      </w:r>
      <w:r>
        <w:t>t</w:t>
      </w:r>
      <w:r w:rsidR="0098644A">
        <w:t>s</w:t>
      </w:r>
      <w:r>
        <w:t>t</w:t>
      </w:r>
      <w:r w:rsidR="0098644A">
        <w:t>anding BOP loan was fully repaid by Latvia.</w:t>
      </w:r>
    </w:p>
    <w:p w14:paraId="50D7CF3A" w14:textId="77777777" w:rsidR="000320ED" w:rsidRPr="0095008F" w:rsidRDefault="00023E71" w:rsidP="0095008F">
      <w:pPr>
        <w:pStyle w:val="HEADER5"/>
        <w:spacing w:before="240"/>
        <w:rPr>
          <w:noProof/>
        </w:rPr>
      </w:pPr>
      <w:r w:rsidRPr="0095008F">
        <w:rPr>
          <w:noProof/>
        </w:rPr>
        <w:t>Loans to third countries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1109"/>
        <w:gridCol w:w="1276"/>
        <w:gridCol w:w="1417"/>
        <w:gridCol w:w="1134"/>
        <w:gridCol w:w="1134"/>
        <w:gridCol w:w="1255"/>
      </w:tblGrid>
      <w:tr w:rsidR="00807FFE" w14:paraId="7DC3F4F5" w14:textId="77777777">
        <w:trPr>
          <w:trHeight w:val="255"/>
        </w:trPr>
        <w:tc>
          <w:tcPr>
            <w:tcW w:w="2433" w:type="dxa"/>
            <w:tcBorders>
              <w:top w:val="nil"/>
              <w:left w:val="nil"/>
              <w:bottom w:val="nil"/>
              <w:right w:val="nil"/>
              <w:tl2br w:val="nil"/>
              <w:tr2bl w:val="nil"/>
            </w:tcBorders>
            <w:tcMar>
              <w:left w:w="60" w:type="dxa"/>
              <w:right w:w="60" w:type="dxa"/>
            </w:tcMar>
            <w:vAlign w:val="bottom"/>
          </w:tcPr>
          <w:p w14:paraId="0235C974" w14:textId="77777777" w:rsidR="00807FFE" w:rsidRDefault="00807FFE">
            <w:pPr>
              <w:pStyle w:val="DMETW36627BIPLTC"/>
              <w:rPr>
                <w:rFonts w:ascii="Verdana" w:eastAsia="Verdana" w:hAnsi="Verdana" w:cs="Verdana"/>
                <w:noProof/>
                <w:color w:val="000000"/>
                <w:sz w:val="18"/>
                <w:lang w:bidi="en-GB"/>
              </w:rPr>
            </w:pPr>
            <w:bookmarkStart w:id="105" w:name="DOC_TBL00023_1_1"/>
            <w:bookmarkEnd w:id="105"/>
          </w:p>
        </w:tc>
        <w:tc>
          <w:tcPr>
            <w:tcW w:w="1109" w:type="dxa"/>
            <w:tcBorders>
              <w:top w:val="nil"/>
              <w:left w:val="nil"/>
              <w:bottom w:val="nil"/>
              <w:right w:val="nil"/>
              <w:tl2br w:val="nil"/>
              <w:tr2bl w:val="nil"/>
            </w:tcBorders>
            <w:tcMar>
              <w:left w:w="60" w:type="dxa"/>
              <w:right w:w="60" w:type="dxa"/>
            </w:tcMar>
            <w:vAlign w:val="bottom"/>
          </w:tcPr>
          <w:p w14:paraId="647E1166" w14:textId="77777777" w:rsidR="00807FFE" w:rsidRDefault="00807FFE">
            <w:pPr>
              <w:pStyle w:val="DMETW36627BIPLTC"/>
              <w:rPr>
                <w:rFonts w:ascii="Verdana" w:eastAsia="Verdana" w:hAnsi="Verdana" w:cs="Verdana"/>
                <w:noProof/>
                <w:color w:val="000000"/>
                <w:sz w:val="18"/>
              </w:rPr>
            </w:pPr>
          </w:p>
        </w:tc>
        <w:tc>
          <w:tcPr>
            <w:tcW w:w="1276" w:type="dxa"/>
            <w:tcBorders>
              <w:top w:val="nil"/>
              <w:left w:val="nil"/>
              <w:bottom w:val="nil"/>
              <w:right w:val="nil"/>
              <w:tl2br w:val="nil"/>
              <w:tr2bl w:val="nil"/>
            </w:tcBorders>
            <w:tcMar>
              <w:left w:w="60" w:type="dxa"/>
              <w:right w:w="60" w:type="dxa"/>
            </w:tcMar>
            <w:vAlign w:val="bottom"/>
          </w:tcPr>
          <w:p w14:paraId="536E60FB" w14:textId="77777777" w:rsidR="00807FFE" w:rsidRDefault="00807FFE">
            <w:pPr>
              <w:pStyle w:val="DMETW36627BIPLTC"/>
              <w:rPr>
                <w:rFonts w:ascii="Verdana" w:eastAsia="Verdana" w:hAnsi="Verdana" w:cs="Verdana"/>
                <w:noProof/>
                <w:color w:val="000000"/>
                <w:sz w:val="18"/>
              </w:rPr>
            </w:pPr>
          </w:p>
        </w:tc>
        <w:tc>
          <w:tcPr>
            <w:tcW w:w="1417" w:type="dxa"/>
            <w:tcBorders>
              <w:top w:val="nil"/>
              <w:left w:val="nil"/>
              <w:bottom w:val="nil"/>
              <w:right w:val="nil"/>
              <w:tl2br w:val="nil"/>
              <w:tr2bl w:val="nil"/>
            </w:tcBorders>
            <w:tcMar>
              <w:left w:w="60" w:type="dxa"/>
              <w:right w:w="60" w:type="dxa"/>
            </w:tcMar>
            <w:vAlign w:val="bottom"/>
          </w:tcPr>
          <w:p w14:paraId="4C8B4F61" w14:textId="77777777" w:rsidR="00807FFE" w:rsidRDefault="00807FFE">
            <w:pPr>
              <w:pStyle w:val="DMETW36627BIPLTC"/>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14:paraId="1771200C" w14:textId="77777777" w:rsidR="00807FFE" w:rsidRDefault="00807FFE">
            <w:pPr>
              <w:pStyle w:val="DMETW36627BIPLTC"/>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14:paraId="69E71DBC" w14:textId="77777777" w:rsidR="00807FFE" w:rsidRDefault="00807FFE">
            <w:pPr>
              <w:pStyle w:val="DMETW36627BIPLTC"/>
              <w:rPr>
                <w:rFonts w:ascii="Verdana" w:eastAsia="Verdana" w:hAnsi="Verdana" w:cs="Verdana"/>
                <w:noProof/>
                <w:color w:val="000000"/>
                <w:sz w:val="18"/>
              </w:rPr>
            </w:pPr>
          </w:p>
        </w:tc>
        <w:tc>
          <w:tcPr>
            <w:tcW w:w="1255" w:type="dxa"/>
            <w:tcBorders>
              <w:top w:val="nil"/>
              <w:left w:val="nil"/>
              <w:bottom w:val="nil"/>
              <w:right w:val="nil"/>
              <w:tl2br w:val="nil"/>
              <w:tr2bl w:val="nil"/>
            </w:tcBorders>
            <w:tcMar>
              <w:left w:w="60" w:type="dxa"/>
              <w:right w:w="60" w:type="dxa"/>
            </w:tcMar>
            <w:vAlign w:val="bottom"/>
          </w:tcPr>
          <w:p w14:paraId="626CAA09" w14:textId="77777777" w:rsidR="00807FFE" w:rsidRDefault="00023E71">
            <w:pPr>
              <w:pStyle w:val="DMETW36627BIPLTC"/>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719BF70" w14:textId="77777777">
        <w:trPr>
          <w:trHeight w:val="255"/>
        </w:trPr>
        <w:tc>
          <w:tcPr>
            <w:tcW w:w="2433" w:type="dxa"/>
            <w:tcBorders>
              <w:top w:val="nil"/>
              <w:left w:val="nil"/>
              <w:bottom w:val="nil"/>
              <w:right w:val="nil"/>
              <w:tl2br w:val="nil"/>
              <w:tr2bl w:val="nil"/>
            </w:tcBorders>
            <w:shd w:val="solid" w:color="016794" w:fill="FFFFFF"/>
            <w:tcMar>
              <w:left w:w="60" w:type="dxa"/>
              <w:right w:w="60" w:type="dxa"/>
            </w:tcMar>
            <w:vAlign w:val="center"/>
          </w:tcPr>
          <w:p w14:paraId="6199451A" w14:textId="77777777" w:rsidR="00807FFE" w:rsidRDefault="00807FFE">
            <w:pPr>
              <w:pStyle w:val="DMETW36627BIPLTC"/>
              <w:jc w:val="right"/>
              <w:rPr>
                <w:rFonts w:ascii="Verdana" w:eastAsia="Verdana" w:hAnsi="Verdana" w:cs="Verdana"/>
                <w:noProof/>
                <w:color w:val="FFFFFF"/>
                <w:sz w:val="18"/>
              </w:rPr>
            </w:pPr>
          </w:p>
        </w:tc>
        <w:tc>
          <w:tcPr>
            <w:tcW w:w="1109" w:type="dxa"/>
            <w:tcBorders>
              <w:top w:val="nil"/>
              <w:left w:val="nil"/>
              <w:bottom w:val="nil"/>
              <w:right w:val="nil"/>
              <w:tl2br w:val="nil"/>
              <w:tr2bl w:val="nil"/>
            </w:tcBorders>
            <w:shd w:val="solid" w:color="016794" w:fill="FFFFFF"/>
            <w:tcMar>
              <w:left w:w="60" w:type="dxa"/>
              <w:right w:w="60" w:type="dxa"/>
            </w:tcMar>
            <w:vAlign w:val="center"/>
          </w:tcPr>
          <w:p w14:paraId="4FFCD814" w14:textId="77777777" w:rsidR="00807FFE" w:rsidRDefault="00023E71">
            <w:pPr>
              <w:pStyle w:val="DMETW36627BIPLTC"/>
              <w:jc w:val="right"/>
              <w:rPr>
                <w:rFonts w:ascii="Verdana" w:eastAsia="Verdana" w:hAnsi="Verdana" w:cs="Verdana"/>
                <w:noProof/>
                <w:color w:val="FFFFFF"/>
                <w:sz w:val="18"/>
              </w:rPr>
            </w:pPr>
            <w:r>
              <w:rPr>
                <w:rFonts w:ascii="Verdana" w:eastAsia="Verdana" w:hAnsi="Verdana" w:cs="Verdana"/>
                <w:noProof/>
                <w:color w:val="FFFFFF"/>
                <w:sz w:val="18"/>
              </w:rPr>
              <w:t>MFA</w:t>
            </w:r>
          </w:p>
        </w:tc>
        <w:tc>
          <w:tcPr>
            <w:tcW w:w="1276" w:type="dxa"/>
            <w:tcBorders>
              <w:top w:val="nil"/>
              <w:left w:val="nil"/>
              <w:bottom w:val="nil"/>
              <w:right w:val="nil"/>
              <w:tl2br w:val="nil"/>
              <w:tr2bl w:val="nil"/>
            </w:tcBorders>
            <w:shd w:val="solid" w:color="016794" w:fill="FFFFFF"/>
            <w:tcMar>
              <w:left w:w="60" w:type="dxa"/>
              <w:right w:w="60" w:type="dxa"/>
            </w:tcMar>
            <w:vAlign w:val="center"/>
          </w:tcPr>
          <w:p w14:paraId="31FA44BE" w14:textId="77777777" w:rsidR="00807FFE" w:rsidRDefault="00023E71">
            <w:pPr>
              <w:pStyle w:val="DMETW36627BIPLTC"/>
              <w:jc w:val="right"/>
              <w:rPr>
                <w:rFonts w:ascii="Verdana" w:eastAsia="Verdana" w:hAnsi="Verdana" w:cs="Verdana"/>
                <w:noProof/>
                <w:color w:val="FFFFFF"/>
                <w:sz w:val="18"/>
              </w:rPr>
            </w:pPr>
            <w:r>
              <w:rPr>
                <w:rFonts w:ascii="Verdana" w:eastAsia="Verdana" w:hAnsi="Verdana" w:cs="Verdana"/>
                <w:noProof/>
                <w:color w:val="FFFFFF"/>
                <w:sz w:val="18"/>
              </w:rPr>
              <w:t>Ukraine Facility</w:t>
            </w:r>
          </w:p>
        </w:tc>
        <w:tc>
          <w:tcPr>
            <w:tcW w:w="1417" w:type="dxa"/>
            <w:tcBorders>
              <w:top w:val="nil"/>
              <w:left w:val="nil"/>
              <w:bottom w:val="nil"/>
              <w:right w:val="nil"/>
              <w:tl2br w:val="nil"/>
              <w:tr2bl w:val="nil"/>
            </w:tcBorders>
            <w:shd w:val="solid" w:color="016794" w:fill="FFFFFF"/>
            <w:tcMar>
              <w:left w:w="60" w:type="dxa"/>
              <w:right w:w="60" w:type="dxa"/>
            </w:tcMar>
            <w:vAlign w:val="center"/>
          </w:tcPr>
          <w:p w14:paraId="692BFFD1" w14:textId="77777777" w:rsidR="00807FFE" w:rsidRDefault="00023E71">
            <w:pPr>
              <w:pStyle w:val="DMETW36627BIPLTC"/>
              <w:jc w:val="right"/>
              <w:rPr>
                <w:rFonts w:ascii="Verdana" w:eastAsia="Verdana" w:hAnsi="Verdana" w:cs="Verdana"/>
                <w:noProof/>
                <w:color w:val="FFFFFF"/>
                <w:sz w:val="18"/>
              </w:rPr>
            </w:pPr>
            <w:r>
              <w:rPr>
                <w:rFonts w:ascii="Verdana" w:eastAsia="Verdana" w:hAnsi="Verdana" w:cs="Verdana"/>
                <w:noProof/>
                <w:color w:val="FFFFFF"/>
                <w:sz w:val="18"/>
              </w:rPr>
              <w:t>EURATOM</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5801EA1D" w14:textId="77777777" w:rsidR="00807FFE" w:rsidRDefault="00023E71">
            <w:pPr>
              <w:pStyle w:val="DMETW36627BIPLTC"/>
              <w:jc w:val="right"/>
              <w:rPr>
                <w:rFonts w:ascii="Verdana" w:eastAsia="Verdana" w:hAnsi="Verdana" w:cs="Verdana"/>
                <w:noProof/>
                <w:color w:val="FFFFFF"/>
                <w:sz w:val="18"/>
              </w:rPr>
            </w:pPr>
            <w:r>
              <w:rPr>
                <w:rFonts w:ascii="Verdana" w:eastAsia="Verdana" w:hAnsi="Verdana" w:cs="Verdana"/>
                <w:noProof/>
                <w:color w:val="FFFFFF"/>
                <w:sz w:val="18"/>
              </w:rPr>
              <w:t>Western Balkans Facility</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5C7F37AB" w14:textId="77777777" w:rsidR="00807FFE" w:rsidRDefault="00023E71">
            <w:pPr>
              <w:pStyle w:val="DMETW36627BIPLTC"/>
              <w:jc w:val="right"/>
              <w:rPr>
                <w:rFonts w:ascii="Verdana" w:eastAsia="Verdana" w:hAnsi="Verdana" w:cs="Verdana"/>
                <w:noProof/>
                <w:color w:val="FFFFFF"/>
                <w:sz w:val="18"/>
              </w:rPr>
            </w:pPr>
            <w:r>
              <w:rPr>
                <w:rFonts w:ascii="Verdana" w:eastAsia="Verdana" w:hAnsi="Verdana" w:cs="Verdana"/>
                <w:noProof/>
                <w:color w:val="FFFFFF"/>
                <w:sz w:val="18"/>
              </w:rPr>
              <w:t>Moldova Facility</w:t>
            </w:r>
          </w:p>
        </w:tc>
        <w:tc>
          <w:tcPr>
            <w:tcW w:w="1255" w:type="dxa"/>
            <w:tcBorders>
              <w:top w:val="nil"/>
              <w:left w:val="nil"/>
              <w:bottom w:val="nil"/>
              <w:right w:val="nil"/>
              <w:tl2br w:val="nil"/>
              <w:tr2bl w:val="nil"/>
            </w:tcBorders>
            <w:shd w:val="solid" w:color="016794" w:fill="FFFFFF"/>
            <w:tcMar>
              <w:left w:w="60" w:type="dxa"/>
              <w:right w:w="60" w:type="dxa"/>
            </w:tcMar>
            <w:vAlign w:val="center"/>
          </w:tcPr>
          <w:p w14:paraId="178792DC" w14:textId="77777777" w:rsidR="00807FFE" w:rsidRDefault="00023E71">
            <w:pPr>
              <w:pStyle w:val="DMETW36627BIPLTC"/>
              <w:jc w:val="right"/>
              <w:rPr>
                <w:rFonts w:ascii="Verdana" w:eastAsia="Verdana" w:hAnsi="Verdana" w:cs="Verdana"/>
                <w:noProof/>
                <w:color w:val="FFFFFF"/>
                <w:sz w:val="18"/>
                <w:lang w:bidi="en-GB"/>
              </w:rPr>
            </w:pPr>
            <w:r>
              <w:rPr>
                <w:rFonts w:ascii="Verdana" w:eastAsia="Verdana" w:hAnsi="Verdana" w:cs="Verdana"/>
                <w:noProof/>
                <w:color w:val="FFFFFF"/>
                <w:sz w:val="18"/>
              </w:rPr>
              <w:t>Total</w:t>
            </w:r>
          </w:p>
        </w:tc>
      </w:tr>
      <w:tr w:rsidR="00807FFE" w14:paraId="015A32A3" w14:textId="77777777">
        <w:trPr>
          <w:trHeight w:val="255"/>
        </w:trPr>
        <w:tc>
          <w:tcPr>
            <w:tcW w:w="2433" w:type="dxa"/>
            <w:tcBorders>
              <w:top w:val="nil"/>
              <w:left w:val="nil"/>
              <w:bottom w:val="nil"/>
              <w:right w:val="nil"/>
              <w:tl2br w:val="nil"/>
              <w:tr2bl w:val="nil"/>
            </w:tcBorders>
            <w:tcMar>
              <w:left w:w="60" w:type="dxa"/>
              <w:right w:w="60" w:type="dxa"/>
            </w:tcMar>
            <w:vAlign w:val="center"/>
          </w:tcPr>
          <w:p w14:paraId="41D20A66" w14:textId="77777777" w:rsidR="00807FFE" w:rsidRDefault="00023E71">
            <w:pPr>
              <w:pStyle w:val="DMETW36627BIPLTC"/>
              <w:rPr>
                <w:rFonts w:ascii="Verdana" w:eastAsia="Verdana" w:hAnsi="Verdana" w:cs="Verdana"/>
                <w:i/>
                <w:noProof/>
                <w:color w:val="000000"/>
                <w:sz w:val="18"/>
              </w:rPr>
            </w:pPr>
            <w:r>
              <w:rPr>
                <w:rFonts w:ascii="Verdana" w:eastAsia="Verdana" w:hAnsi="Verdana" w:cs="Verdana"/>
                <w:i/>
                <w:noProof/>
                <w:color w:val="000000"/>
                <w:sz w:val="18"/>
              </w:rPr>
              <w:t>Total at 31.12.2024</w:t>
            </w:r>
          </w:p>
        </w:tc>
        <w:tc>
          <w:tcPr>
            <w:tcW w:w="1109" w:type="dxa"/>
            <w:tcBorders>
              <w:top w:val="nil"/>
              <w:left w:val="nil"/>
              <w:bottom w:val="nil"/>
              <w:right w:val="nil"/>
              <w:tl2br w:val="nil"/>
              <w:tr2bl w:val="nil"/>
            </w:tcBorders>
            <w:tcMar>
              <w:left w:w="60" w:type="dxa"/>
              <w:right w:w="60" w:type="dxa"/>
            </w:tcMar>
            <w:vAlign w:val="center"/>
          </w:tcPr>
          <w:p w14:paraId="31E5B54F"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23 831</w:t>
            </w:r>
          </w:p>
        </w:tc>
        <w:tc>
          <w:tcPr>
            <w:tcW w:w="1276" w:type="dxa"/>
            <w:tcBorders>
              <w:top w:val="nil"/>
              <w:left w:val="nil"/>
              <w:bottom w:val="nil"/>
              <w:right w:val="nil"/>
              <w:tl2br w:val="nil"/>
              <w:tr2bl w:val="nil"/>
            </w:tcBorders>
            <w:tcMar>
              <w:left w:w="60" w:type="dxa"/>
              <w:right w:w="60" w:type="dxa"/>
            </w:tcMar>
            <w:vAlign w:val="center"/>
          </w:tcPr>
          <w:p w14:paraId="546971C3"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7 623</w:t>
            </w:r>
          </w:p>
        </w:tc>
        <w:tc>
          <w:tcPr>
            <w:tcW w:w="1417" w:type="dxa"/>
            <w:tcBorders>
              <w:top w:val="nil"/>
              <w:left w:val="nil"/>
              <w:bottom w:val="nil"/>
              <w:right w:val="nil"/>
              <w:tl2br w:val="nil"/>
              <w:tr2bl w:val="nil"/>
            </w:tcBorders>
            <w:tcMar>
              <w:left w:w="60" w:type="dxa"/>
              <w:right w:w="60" w:type="dxa"/>
            </w:tcMar>
            <w:vAlign w:val="center"/>
          </w:tcPr>
          <w:p w14:paraId="6C3E2C6A"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203</w:t>
            </w:r>
          </w:p>
        </w:tc>
        <w:tc>
          <w:tcPr>
            <w:tcW w:w="1134" w:type="dxa"/>
            <w:tcBorders>
              <w:top w:val="nil"/>
              <w:left w:val="nil"/>
              <w:bottom w:val="nil"/>
              <w:right w:val="nil"/>
              <w:tl2br w:val="nil"/>
              <w:tr2bl w:val="nil"/>
            </w:tcBorders>
            <w:tcMar>
              <w:left w:w="60" w:type="dxa"/>
              <w:right w:w="60" w:type="dxa"/>
            </w:tcMar>
            <w:vAlign w:val="center"/>
          </w:tcPr>
          <w:p w14:paraId="283AD1E6"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739333E7"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55" w:type="dxa"/>
            <w:tcBorders>
              <w:top w:val="nil"/>
              <w:left w:val="nil"/>
              <w:bottom w:val="nil"/>
              <w:right w:val="nil"/>
              <w:tl2br w:val="nil"/>
              <w:tr2bl w:val="nil"/>
            </w:tcBorders>
            <w:tcMar>
              <w:left w:w="60" w:type="dxa"/>
              <w:right w:w="60" w:type="dxa"/>
            </w:tcMar>
            <w:vAlign w:val="center"/>
          </w:tcPr>
          <w:p w14:paraId="713B0C77" w14:textId="77777777" w:rsidR="00807FFE" w:rsidRDefault="00023E71">
            <w:pPr>
              <w:pStyle w:val="DMETW36627BIPLTC"/>
              <w:jc w:val="right"/>
              <w:rPr>
                <w:rFonts w:ascii="Verdana" w:eastAsia="Verdana" w:hAnsi="Verdana" w:cs="Verdana"/>
                <w:i/>
                <w:noProof/>
                <w:color w:val="000000"/>
                <w:sz w:val="18"/>
                <w:lang w:bidi="en-GB"/>
              </w:rPr>
            </w:pPr>
            <w:r>
              <w:rPr>
                <w:rFonts w:ascii="Verdana" w:eastAsia="Verdana" w:hAnsi="Verdana" w:cs="Verdana"/>
                <w:i/>
                <w:noProof/>
                <w:color w:val="000000"/>
                <w:sz w:val="18"/>
              </w:rPr>
              <w:t>31 656</w:t>
            </w:r>
          </w:p>
        </w:tc>
      </w:tr>
      <w:tr w:rsidR="00807FFE" w14:paraId="6713A3E1" w14:textId="77777777">
        <w:trPr>
          <w:trHeight w:val="255"/>
        </w:trPr>
        <w:tc>
          <w:tcPr>
            <w:tcW w:w="2433" w:type="dxa"/>
            <w:tcBorders>
              <w:top w:val="nil"/>
              <w:left w:val="nil"/>
              <w:bottom w:val="nil"/>
              <w:right w:val="nil"/>
              <w:tl2br w:val="nil"/>
              <w:tr2bl w:val="nil"/>
            </w:tcBorders>
            <w:tcMar>
              <w:left w:w="60" w:type="dxa"/>
              <w:right w:w="60" w:type="dxa"/>
            </w:tcMar>
            <w:vAlign w:val="center"/>
          </w:tcPr>
          <w:p w14:paraId="7C553F00" w14:textId="77777777" w:rsidR="00807FFE" w:rsidRDefault="00023E71">
            <w:pPr>
              <w:pStyle w:val="DMETW36627BIPLTC"/>
              <w:rPr>
                <w:rFonts w:ascii="Verdana" w:eastAsia="Verdana" w:hAnsi="Verdana" w:cs="Verdana"/>
                <w:i/>
                <w:noProof/>
                <w:color w:val="000000"/>
                <w:sz w:val="18"/>
              </w:rPr>
            </w:pPr>
            <w:r>
              <w:rPr>
                <w:rFonts w:ascii="Verdana" w:eastAsia="Verdana" w:hAnsi="Verdana" w:cs="Verdana"/>
                <w:i/>
                <w:noProof/>
                <w:color w:val="000000"/>
                <w:sz w:val="18"/>
              </w:rPr>
              <w:t>New loans (nominal)</w:t>
            </w:r>
          </w:p>
        </w:tc>
        <w:tc>
          <w:tcPr>
            <w:tcW w:w="1109" w:type="dxa"/>
            <w:tcBorders>
              <w:top w:val="nil"/>
              <w:left w:val="nil"/>
              <w:bottom w:val="nil"/>
              <w:right w:val="nil"/>
              <w:tl2br w:val="nil"/>
              <w:tr2bl w:val="nil"/>
            </w:tcBorders>
            <w:tcMar>
              <w:left w:w="60" w:type="dxa"/>
              <w:right w:w="60" w:type="dxa"/>
            </w:tcMar>
            <w:vAlign w:val="center"/>
          </w:tcPr>
          <w:p w14:paraId="6D5ECE25"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18 366</w:t>
            </w:r>
          </w:p>
        </w:tc>
        <w:tc>
          <w:tcPr>
            <w:tcW w:w="1276" w:type="dxa"/>
            <w:tcBorders>
              <w:top w:val="nil"/>
              <w:left w:val="nil"/>
              <w:bottom w:val="nil"/>
              <w:right w:val="nil"/>
              <w:tl2br w:val="nil"/>
              <w:tr2bl w:val="nil"/>
            </w:tcBorders>
            <w:tcMar>
              <w:left w:w="60" w:type="dxa"/>
              <w:right w:w="60" w:type="dxa"/>
            </w:tcMar>
            <w:vAlign w:val="center"/>
          </w:tcPr>
          <w:p w14:paraId="69176371"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10 052</w:t>
            </w:r>
          </w:p>
        </w:tc>
        <w:tc>
          <w:tcPr>
            <w:tcW w:w="1417" w:type="dxa"/>
            <w:tcBorders>
              <w:top w:val="nil"/>
              <w:left w:val="nil"/>
              <w:bottom w:val="nil"/>
              <w:right w:val="nil"/>
              <w:tl2br w:val="nil"/>
              <w:tr2bl w:val="nil"/>
            </w:tcBorders>
            <w:tcMar>
              <w:left w:w="60" w:type="dxa"/>
              <w:right w:w="60" w:type="dxa"/>
            </w:tcMar>
            <w:vAlign w:val="center"/>
          </w:tcPr>
          <w:p w14:paraId="414EC596"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05FED5AD"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184</w:t>
            </w:r>
          </w:p>
        </w:tc>
        <w:tc>
          <w:tcPr>
            <w:tcW w:w="1134" w:type="dxa"/>
            <w:tcBorders>
              <w:top w:val="nil"/>
              <w:left w:val="nil"/>
              <w:bottom w:val="nil"/>
              <w:right w:val="nil"/>
              <w:tl2br w:val="nil"/>
              <w:tr2bl w:val="nil"/>
            </w:tcBorders>
            <w:tcMar>
              <w:left w:w="60" w:type="dxa"/>
              <w:right w:w="60" w:type="dxa"/>
            </w:tcMar>
            <w:vAlign w:val="center"/>
          </w:tcPr>
          <w:p w14:paraId="1C57FA95"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289</w:t>
            </w:r>
          </w:p>
        </w:tc>
        <w:tc>
          <w:tcPr>
            <w:tcW w:w="1255" w:type="dxa"/>
            <w:tcBorders>
              <w:top w:val="nil"/>
              <w:left w:val="nil"/>
              <w:bottom w:val="nil"/>
              <w:right w:val="nil"/>
              <w:tl2br w:val="nil"/>
              <w:tr2bl w:val="nil"/>
            </w:tcBorders>
            <w:tcMar>
              <w:left w:w="60" w:type="dxa"/>
              <w:right w:w="60" w:type="dxa"/>
            </w:tcMar>
            <w:vAlign w:val="center"/>
          </w:tcPr>
          <w:p w14:paraId="7634EA76" w14:textId="77777777" w:rsidR="00807FFE" w:rsidRDefault="00023E71">
            <w:pPr>
              <w:pStyle w:val="DMETW36627BIPLTC"/>
              <w:jc w:val="right"/>
              <w:rPr>
                <w:rFonts w:ascii="Verdana" w:eastAsia="Verdana" w:hAnsi="Verdana" w:cs="Verdana"/>
                <w:i/>
                <w:noProof/>
                <w:color w:val="000000"/>
                <w:sz w:val="18"/>
                <w:lang w:bidi="en-GB"/>
              </w:rPr>
            </w:pPr>
            <w:r>
              <w:rPr>
                <w:rFonts w:ascii="Verdana" w:eastAsia="Verdana" w:hAnsi="Verdana" w:cs="Verdana"/>
                <w:i/>
                <w:noProof/>
                <w:color w:val="000000"/>
                <w:sz w:val="18"/>
              </w:rPr>
              <w:t>28 891</w:t>
            </w:r>
          </w:p>
        </w:tc>
      </w:tr>
      <w:tr w:rsidR="00807FFE" w14:paraId="3EB55E6F" w14:textId="77777777">
        <w:trPr>
          <w:trHeight w:val="255"/>
        </w:trPr>
        <w:tc>
          <w:tcPr>
            <w:tcW w:w="2433" w:type="dxa"/>
            <w:tcBorders>
              <w:top w:val="nil"/>
              <w:left w:val="nil"/>
              <w:bottom w:val="nil"/>
              <w:right w:val="nil"/>
              <w:tl2br w:val="nil"/>
              <w:tr2bl w:val="nil"/>
            </w:tcBorders>
            <w:tcMar>
              <w:left w:w="60" w:type="dxa"/>
              <w:right w:w="60" w:type="dxa"/>
            </w:tcMar>
            <w:vAlign w:val="center"/>
          </w:tcPr>
          <w:p w14:paraId="7782E80B" w14:textId="77777777" w:rsidR="00807FFE" w:rsidRDefault="00023E71">
            <w:pPr>
              <w:pStyle w:val="DMETW36627BIPLTC"/>
              <w:rPr>
                <w:rFonts w:ascii="Verdana" w:eastAsia="Verdana" w:hAnsi="Verdana" w:cs="Verdana"/>
                <w:i/>
                <w:noProof/>
                <w:color w:val="000000"/>
                <w:sz w:val="18"/>
              </w:rPr>
            </w:pPr>
            <w:r>
              <w:rPr>
                <w:rFonts w:ascii="Verdana" w:eastAsia="Verdana" w:hAnsi="Verdana" w:cs="Verdana"/>
                <w:i/>
                <w:noProof/>
                <w:color w:val="000000"/>
                <w:sz w:val="18"/>
              </w:rPr>
              <w:t>Repayments</w:t>
            </w:r>
          </w:p>
        </w:tc>
        <w:tc>
          <w:tcPr>
            <w:tcW w:w="1109" w:type="dxa"/>
            <w:tcBorders>
              <w:top w:val="nil"/>
              <w:left w:val="nil"/>
              <w:bottom w:val="nil"/>
              <w:right w:val="nil"/>
              <w:tl2br w:val="nil"/>
              <w:tr2bl w:val="nil"/>
            </w:tcBorders>
            <w:tcMar>
              <w:left w:w="60" w:type="dxa"/>
              <w:right w:w="60" w:type="dxa"/>
            </w:tcMar>
            <w:vAlign w:val="center"/>
          </w:tcPr>
          <w:p w14:paraId="740CF11E"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1276" w:type="dxa"/>
            <w:tcBorders>
              <w:top w:val="nil"/>
              <w:left w:val="nil"/>
              <w:bottom w:val="nil"/>
              <w:right w:val="nil"/>
              <w:tl2br w:val="nil"/>
              <w:tr2bl w:val="nil"/>
            </w:tcBorders>
            <w:tcMar>
              <w:left w:w="60" w:type="dxa"/>
              <w:right w:w="60" w:type="dxa"/>
            </w:tcMar>
            <w:vAlign w:val="center"/>
          </w:tcPr>
          <w:p w14:paraId="2F8B074F"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17" w:type="dxa"/>
            <w:tcBorders>
              <w:top w:val="nil"/>
              <w:left w:val="nil"/>
              <w:bottom w:val="nil"/>
              <w:right w:val="nil"/>
              <w:tl2br w:val="nil"/>
              <w:tr2bl w:val="nil"/>
            </w:tcBorders>
            <w:tcMar>
              <w:left w:w="60" w:type="dxa"/>
              <w:right w:w="60" w:type="dxa"/>
            </w:tcMar>
            <w:vAlign w:val="center"/>
          </w:tcPr>
          <w:p w14:paraId="03A41B79"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49BEA628"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31F92506"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55" w:type="dxa"/>
            <w:tcBorders>
              <w:top w:val="nil"/>
              <w:left w:val="nil"/>
              <w:bottom w:val="nil"/>
              <w:right w:val="nil"/>
              <w:tl2br w:val="nil"/>
              <w:tr2bl w:val="nil"/>
            </w:tcBorders>
            <w:tcMar>
              <w:left w:w="60" w:type="dxa"/>
              <w:right w:w="60" w:type="dxa"/>
            </w:tcMar>
            <w:vAlign w:val="center"/>
          </w:tcPr>
          <w:p w14:paraId="3E0E1E83" w14:textId="77777777" w:rsidR="00807FFE" w:rsidRDefault="00023E71">
            <w:pPr>
              <w:pStyle w:val="DMETW36627BIPLT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(20)</w:t>
            </w:r>
          </w:p>
        </w:tc>
      </w:tr>
      <w:tr w:rsidR="00807FFE" w14:paraId="279BA658" w14:textId="77777777">
        <w:trPr>
          <w:trHeight w:val="255"/>
        </w:trPr>
        <w:tc>
          <w:tcPr>
            <w:tcW w:w="2433" w:type="dxa"/>
            <w:tcBorders>
              <w:top w:val="nil"/>
              <w:left w:val="nil"/>
              <w:bottom w:val="nil"/>
              <w:right w:val="nil"/>
              <w:tl2br w:val="nil"/>
              <w:tr2bl w:val="nil"/>
            </w:tcBorders>
            <w:tcMar>
              <w:left w:w="60" w:type="dxa"/>
              <w:right w:w="60" w:type="dxa"/>
            </w:tcMar>
            <w:vAlign w:val="center"/>
          </w:tcPr>
          <w:p w14:paraId="4EF48FCE" w14:textId="77777777" w:rsidR="00807FFE" w:rsidRDefault="00023E71">
            <w:pPr>
              <w:pStyle w:val="DMETW36627BIPLTC"/>
              <w:rPr>
                <w:rFonts w:ascii="Verdana" w:eastAsia="Verdana" w:hAnsi="Verdana" w:cs="Verdana"/>
                <w:i/>
                <w:noProof/>
                <w:color w:val="000000"/>
                <w:sz w:val="18"/>
              </w:rPr>
            </w:pPr>
            <w:r>
              <w:rPr>
                <w:rFonts w:ascii="Verdana" w:eastAsia="Verdana" w:hAnsi="Verdana" w:cs="Verdana"/>
                <w:i/>
                <w:noProof/>
                <w:color w:val="000000"/>
                <w:sz w:val="18"/>
              </w:rPr>
              <w:t>Changes in carrying amount</w:t>
            </w:r>
          </w:p>
        </w:tc>
        <w:tc>
          <w:tcPr>
            <w:tcW w:w="1109" w:type="dxa"/>
            <w:tcBorders>
              <w:top w:val="nil"/>
              <w:left w:val="nil"/>
              <w:bottom w:val="nil"/>
              <w:right w:val="nil"/>
              <w:tl2br w:val="nil"/>
              <w:tr2bl w:val="nil"/>
            </w:tcBorders>
            <w:tcMar>
              <w:left w:w="60" w:type="dxa"/>
              <w:right w:w="60" w:type="dxa"/>
            </w:tcMar>
            <w:vAlign w:val="center"/>
          </w:tcPr>
          <w:p w14:paraId="173DB69E"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247</w:t>
            </w:r>
          </w:p>
        </w:tc>
        <w:tc>
          <w:tcPr>
            <w:tcW w:w="1276" w:type="dxa"/>
            <w:tcBorders>
              <w:top w:val="nil"/>
              <w:left w:val="nil"/>
              <w:bottom w:val="nil"/>
              <w:right w:val="nil"/>
              <w:tl2br w:val="nil"/>
              <w:tr2bl w:val="nil"/>
            </w:tcBorders>
            <w:tcMar>
              <w:left w:w="60" w:type="dxa"/>
              <w:right w:w="60" w:type="dxa"/>
            </w:tcMar>
            <w:vAlign w:val="center"/>
          </w:tcPr>
          <w:p w14:paraId="35938AA4"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104</w:t>
            </w:r>
          </w:p>
        </w:tc>
        <w:tc>
          <w:tcPr>
            <w:tcW w:w="1417" w:type="dxa"/>
            <w:tcBorders>
              <w:top w:val="nil"/>
              <w:left w:val="nil"/>
              <w:bottom w:val="nil"/>
              <w:right w:val="nil"/>
              <w:tl2br w:val="nil"/>
              <w:tr2bl w:val="nil"/>
            </w:tcBorders>
            <w:tcMar>
              <w:left w:w="60" w:type="dxa"/>
              <w:right w:w="60" w:type="dxa"/>
            </w:tcMar>
            <w:vAlign w:val="center"/>
          </w:tcPr>
          <w:p w14:paraId="783A74BD"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134" w:type="dxa"/>
            <w:tcBorders>
              <w:top w:val="nil"/>
              <w:left w:val="nil"/>
              <w:bottom w:val="nil"/>
              <w:right w:val="nil"/>
              <w:tl2br w:val="nil"/>
              <w:tr2bl w:val="nil"/>
            </w:tcBorders>
            <w:tcMar>
              <w:left w:w="60" w:type="dxa"/>
              <w:right w:w="60" w:type="dxa"/>
            </w:tcMar>
            <w:vAlign w:val="center"/>
          </w:tcPr>
          <w:p w14:paraId="759D7B94"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134" w:type="dxa"/>
            <w:tcBorders>
              <w:top w:val="nil"/>
              <w:left w:val="nil"/>
              <w:bottom w:val="nil"/>
              <w:right w:val="nil"/>
              <w:tl2br w:val="nil"/>
              <w:tr2bl w:val="nil"/>
            </w:tcBorders>
            <w:tcMar>
              <w:left w:w="60" w:type="dxa"/>
              <w:right w:w="60" w:type="dxa"/>
            </w:tcMar>
            <w:vAlign w:val="center"/>
          </w:tcPr>
          <w:p w14:paraId="359AE5F6"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255" w:type="dxa"/>
            <w:tcBorders>
              <w:top w:val="nil"/>
              <w:left w:val="nil"/>
              <w:bottom w:val="nil"/>
              <w:right w:val="nil"/>
              <w:tl2br w:val="nil"/>
              <w:tr2bl w:val="nil"/>
            </w:tcBorders>
            <w:tcMar>
              <w:left w:w="60" w:type="dxa"/>
              <w:right w:w="60" w:type="dxa"/>
            </w:tcMar>
            <w:vAlign w:val="center"/>
          </w:tcPr>
          <w:p w14:paraId="1274D853" w14:textId="77777777" w:rsidR="00807FFE" w:rsidRDefault="00023E71">
            <w:pPr>
              <w:pStyle w:val="DMETW36627BIPLT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358</w:t>
            </w:r>
          </w:p>
        </w:tc>
      </w:tr>
      <w:tr w:rsidR="00807FFE" w14:paraId="5814D9C4" w14:textId="77777777">
        <w:trPr>
          <w:trHeight w:val="255"/>
        </w:trPr>
        <w:tc>
          <w:tcPr>
            <w:tcW w:w="2433" w:type="dxa"/>
            <w:tcBorders>
              <w:top w:val="nil"/>
              <w:left w:val="nil"/>
              <w:bottom w:val="single" w:sz="4" w:space="0" w:color="016794"/>
              <w:right w:val="nil"/>
              <w:tl2br w:val="nil"/>
              <w:tr2bl w:val="nil"/>
            </w:tcBorders>
            <w:tcMar>
              <w:left w:w="60" w:type="dxa"/>
              <w:right w:w="60" w:type="dxa"/>
            </w:tcMar>
            <w:vAlign w:val="center"/>
          </w:tcPr>
          <w:p w14:paraId="19494EAB" w14:textId="77777777" w:rsidR="00807FFE" w:rsidRDefault="00023E71">
            <w:pPr>
              <w:pStyle w:val="DMETW36627BIPLTC"/>
              <w:rPr>
                <w:rFonts w:ascii="Verdana" w:eastAsia="Verdana" w:hAnsi="Verdana" w:cs="Verdana"/>
                <w:i/>
                <w:noProof/>
                <w:color w:val="000000"/>
                <w:sz w:val="18"/>
              </w:rPr>
            </w:pPr>
            <w:r>
              <w:rPr>
                <w:rFonts w:ascii="Verdana" w:eastAsia="Verdana" w:hAnsi="Verdana" w:cs="Verdana"/>
                <w:i/>
                <w:noProof/>
                <w:color w:val="000000"/>
                <w:sz w:val="18"/>
              </w:rPr>
              <w:t>Changes in impairment</w:t>
            </w:r>
          </w:p>
        </w:tc>
        <w:tc>
          <w:tcPr>
            <w:tcW w:w="1109" w:type="dxa"/>
            <w:tcBorders>
              <w:top w:val="nil"/>
              <w:left w:val="nil"/>
              <w:bottom w:val="single" w:sz="4" w:space="0" w:color="016794"/>
              <w:right w:val="nil"/>
              <w:tl2br w:val="nil"/>
              <w:tr2bl w:val="nil"/>
            </w:tcBorders>
            <w:tcMar>
              <w:left w:w="60" w:type="dxa"/>
              <w:right w:w="60" w:type="dxa"/>
            </w:tcMar>
            <w:vAlign w:val="center"/>
          </w:tcPr>
          <w:p w14:paraId="2C5BC1A6"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(9 164)</w:t>
            </w:r>
          </w:p>
        </w:tc>
        <w:tc>
          <w:tcPr>
            <w:tcW w:w="1276" w:type="dxa"/>
            <w:tcBorders>
              <w:top w:val="nil"/>
              <w:left w:val="nil"/>
              <w:bottom w:val="single" w:sz="4" w:space="0" w:color="016794"/>
              <w:right w:val="nil"/>
              <w:tl2br w:val="nil"/>
              <w:tr2bl w:val="nil"/>
            </w:tcBorders>
            <w:tcMar>
              <w:left w:w="60" w:type="dxa"/>
              <w:right w:w="60" w:type="dxa"/>
            </w:tcMar>
            <w:vAlign w:val="center"/>
          </w:tcPr>
          <w:p w14:paraId="5720DABD"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(5 206)</w:t>
            </w:r>
          </w:p>
        </w:tc>
        <w:tc>
          <w:tcPr>
            <w:tcW w:w="1417" w:type="dxa"/>
            <w:tcBorders>
              <w:top w:val="nil"/>
              <w:left w:val="nil"/>
              <w:bottom w:val="single" w:sz="4" w:space="0" w:color="016794"/>
              <w:right w:val="nil"/>
              <w:tl2br w:val="nil"/>
              <w:tr2bl w:val="nil"/>
            </w:tcBorders>
            <w:tcMar>
              <w:left w:w="60" w:type="dxa"/>
              <w:right w:w="60" w:type="dxa"/>
            </w:tcMar>
            <w:vAlign w:val="center"/>
          </w:tcPr>
          <w:p w14:paraId="227471E8"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134" w:type="dxa"/>
            <w:tcBorders>
              <w:top w:val="nil"/>
              <w:left w:val="nil"/>
              <w:bottom w:val="single" w:sz="4" w:space="0" w:color="016794"/>
              <w:right w:val="nil"/>
              <w:tl2br w:val="nil"/>
              <w:tr2bl w:val="nil"/>
            </w:tcBorders>
            <w:tcMar>
              <w:left w:w="60" w:type="dxa"/>
              <w:right w:w="60" w:type="dxa"/>
            </w:tcMar>
            <w:vAlign w:val="center"/>
          </w:tcPr>
          <w:p w14:paraId="6842A4AD"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134" w:type="dxa"/>
            <w:tcBorders>
              <w:top w:val="nil"/>
              <w:left w:val="nil"/>
              <w:bottom w:val="single" w:sz="4" w:space="0" w:color="016794"/>
              <w:right w:val="nil"/>
              <w:tl2br w:val="nil"/>
              <w:tr2bl w:val="nil"/>
            </w:tcBorders>
            <w:tcMar>
              <w:left w:w="60" w:type="dxa"/>
              <w:right w:w="60" w:type="dxa"/>
            </w:tcMar>
            <w:vAlign w:val="center"/>
          </w:tcPr>
          <w:p w14:paraId="5FB4610E" w14:textId="77777777" w:rsidR="00807FFE" w:rsidRDefault="00023E71">
            <w:pPr>
              <w:pStyle w:val="DMETW36627BIPLTC"/>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255" w:type="dxa"/>
            <w:tcBorders>
              <w:top w:val="nil"/>
              <w:left w:val="nil"/>
              <w:bottom w:val="single" w:sz="4" w:space="0" w:color="016794"/>
              <w:right w:val="nil"/>
              <w:tl2br w:val="nil"/>
              <w:tr2bl w:val="nil"/>
            </w:tcBorders>
            <w:tcMar>
              <w:left w:w="60" w:type="dxa"/>
              <w:right w:w="60" w:type="dxa"/>
            </w:tcMar>
            <w:vAlign w:val="center"/>
          </w:tcPr>
          <w:p w14:paraId="25FC389E" w14:textId="77777777" w:rsidR="00807FFE" w:rsidRDefault="00023E71">
            <w:pPr>
              <w:pStyle w:val="DMETW36627BIPLTC"/>
              <w:jc w:val="right"/>
              <w:rPr>
                <w:rFonts w:ascii="Verdana" w:eastAsia="Verdana" w:hAnsi="Verdana" w:cs="Verdana"/>
                <w:i/>
                <w:noProof/>
                <w:color w:val="000000"/>
                <w:sz w:val="18"/>
                <w:lang w:bidi="en-GB"/>
              </w:rPr>
            </w:pPr>
            <w:r>
              <w:rPr>
                <w:rFonts w:ascii="Verdana" w:eastAsia="Verdana" w:hAnsi="Verdana" w:cs="Verdana"/>
                <w:i/>
                <w:noProof/>
                <w:color w:val="000000"/>
                <w:sz w:val="18"/>
              </w:rPr>
              <w:t>(14 366)</w:t>
            </w:r>
          </w:p>
        </w:tc>
      </w:tr>
      <w:tr w:rsidR="00807FFE" w14:paraId="7C3E1A8B" w14:textId="77777777">
        <w:trPr>
          <w:trHeight w:val="255"/>
        </w:trPr>
        <w:tc>
          <w:tcPr>
            <w:tcW w:w="2433" w:type="dxa"/>
            <w:tcBorders>
              <w:top w:val="single" w:sz="4" w:space="0" w:color="016794"/>
              <w:left w:val="nil"/>
              <w:bottom w:val="single" w:sz="4" w:space="0" w:color="016794"/>
              <w:right w:val="nil"/>
              <w:tl2br w:val="nil"/>
              <w:tr2bl w:val="nil"/>
            </w:tcBorders>
            <w:tcMar>
              <w:left w:w="60" w:type="dxa"/>
              <w:right w:w="60" w:type="dxa"/>
            </w:tcMar>
            <w:vAlign w:val="center"/>
          </w:tcPr>
          <w:p w14:paraId="32F32246" w14:textId="77777777" w:rsidR="00807FFE" w:rsidRDefault="00023E71">
            <w:pPr>
              <w:pStyle w:val="DMETW36627BIPLTC"/>
              <w:rPr>
                <w:rFonts w:ascii="Verdana" w:eastAsia="Verdana" w:hAnsi="Verdana" w:cs="Verdana"/>
                <w:b/>
                <w:noProof/>
                <w:color w:val="000000"/>
                <w:sz w:val="18"/>
              </w:rPr>
            </w:pPr>
            <w:r>
              <w:rPr>
                <w:rFonts w:ascii="Verdana" w:eastAsia="Verdana" w:hAnsi="Verdana" w:cs="Verdana"/>
                <w:b/>
                <w:noProof/>
                <w:color w:val="000000"/>
                <w:sz w:val="18"/>
              </w:rPr>
              <w:t>Total at 31.12.2025</w:t>
            </w:r>
          </w:p>
        </w:tc>
        <w:tc>
          <w:tcPr>
            <w:tcW w:w="1109" w:type="dxa"/>
            <w:tcBorders>
              <w:top w:val="single" w:sz="4" w:space="0" w:color="016794"/>
              <w:left w:val="nil"/>
              <w:bottom w:val="single" w:sz="4" w:space="0" w:color="016794"/>
              <w:right w:val="nil"/>
              <w:tl2br w:val="nil"/>
              <w:tr2bl w:val="nil"/>
            </w:tcBorders>
            <w:tcMar>
              <w:left w:w="60" w:type="dxa"/>
              <w:right w:w="60" w:type="dxa"/>
            </w:tcMar>
            <w:vAlign w:val="center"/>
          </w:tcPr>
          <w:p w14:paraId="3476AAC0" w14:textId="77777777" w:rsidR="00807FFE" w:rsidRDefault="00023E71">
            <w:pPr>
              <w:pStyle w:val="DMETW36627BIPLTC"/>
              <w:jc w:val="right"/>
              <w:rPr>
                <w:rFonts w:ascii="Verdana" w:eastAsia="Verdana" w:hAnsi="Verdana" w:cs="Verdana"/>
                <w:b/>
                <w:noProof/>
                <w:color w:val="000000"/>
                <w:sz w:val="18"/>
              </w:rPr>
            </w:pPr>
            <w:r>
              <w:rPr>
                <w:rFonts w:ascii="Verdana" w:eastAsia="Verdana" w:hAnsi="Verdana" w:cs="Verdana"/>
                <w:b/>
                <w:noProof/>
                <w:color w:val="000000"/>
                <w:sz w:val="18"/>
              </w:rPr>
              <w:t>33 260</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14:paraId="478160FD" w14:textId="77777777" w:rsidR="00807FFE" w:rsidRDefault="00023E71">
            <w:pPr>
              <w:pStyle w:val="DMETW36627BIPLTC"/>
              <w:jc w:val="right"/>
              <w:rPr>
                <w:rFonts w:ascii="Verdana" w:eastAsia="Verdana" w:hAnsi="Verdana" w:cs="Verdana"/>
                <w:b/>
                <w:noProof/>
                <w:color w:val="000000"/>
                <w:sz w:val="18"/>
              </w:rPr>
            </w:pPr>
            <w:r>
              <w:rPr>
                <w:rFonts w:ascii="Verdana" w:eastAsia="Verdana" w:hAnsi="Verdana" w:cs="Verdana"/>
                <w:b/>
                <w:noProof/>
                <w:color w:val="000000"/>
                <w:sz w:val="18"/>
              </w:rPr>
              <w:t>12 573</w:t>
            </w:r>
          </w:p>
        </w:tc>
        <w:tc>
          <w:tcPr>
            <w:tcW w:w="1417" w:type="dxa"/>
            <w:tcBorders>
              <w:top w:val="single" w:sz="4" w:space="0" w:color="016794"/>
              <w:left w:val="nil"/>
              <w:bottom w:val="single" w:sz="4" w:space="0" w:color="016794"/>
              <w:right w:val="nil"/>
              <w:tl2br w:val="nil"/>
              <w:tr2bl w:val="nil"/>
            </w:tcBorders>
            <w:tcMar>
              <w:left w:w="60" w:type="dxa"/>
              <w:right w:w="60" w:type="dxa"/>
            </w:tcMar>
            <w:vAlign w:val="center"/>
          </w:tcPr>
          <w:p w14:paraId="4972B090" w14:textId="77777777" w:rsidR="00807FFE" w:rsidRDefault="00023E71">
            <w:pPr>
              <w:pStyle w:val="DMETW36627BIPLTC"/>
              <w:jc w:val="right"/>
              <w:rPr>
                <w:rFonts w:ascii="Verdana" w:eastAsia="Verdana" w:hAnsi="Verdana" w:cs="Verdana"/>
                <w:b/>
                <w:noProof/>
                <w:color w:val="000000"/>
                <w:sz w:val="18"/>
              </w:rPr>
            </w:pPr>
            <w:r>
              <w:rPr>
                <w:rFonts w:ascii="Verdana" w:eastAsia="Verdana" w:hAnsi="Verdana" w:cs="Verdana"/>
                <w:b/>
                <w:noProof/>
                <w:color w:val="000000"/>
                <w:sz w:val="18"/>
              </w:rPr>
              <w:t xml:space="preserve"> 207</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4FEC584E" w14:textId="77777777" w:rsidR="00807FFE" w:rsidRDefault="00023E71">
            <w:pPr>
              <w:pStyle w:val="DMETW36627BIPLTC"/>
              <w:jc w:val="right"/>
              <w:rPr>
                <w:rFonts w:ascii="Verdana" w:eastAsia="Verdana" w:hAnsi="Verdana" w:cs="Verdana"/>
                <w:b/>
                <w:noProof/>
                <w:color w:val="000000"/>
                <w:sz w:val="18"/>
              </w:rPr>
            </w:pPr>
            <w:r>
              <w:rPr>
                <w:rFonts w:ascii="Verdana" w:eastAsia="Verdana" w:hAnsi="Verdana" w:cs="Verdana"/>
                <w:b/>
                <w:noProof/>
                <w:color w:val="000000"/>
                <w:sz w:val="18"/>
              </w:rPr>
              <w:t xml:space="preserve"> 187</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390499EE" w14:textId="77777777" w:rsidR="00807FFE" w:rsidRDefault="00023E71">
            <w:pPr>
              <w:pStyle w:val="DMETW36627BIPLTC"/>
              <w:jc w:val="right"/>
              <w:rPr>
                <w:rFonts w:ascii="Verdana" w:eastAsia="Verdana" w:hAnsi="Verdana" w:cs="Verdana"/>
                <w:b/>
                <w:noProof/>
                <w:color w:val="000000"/>
                <w:sz w:val="18"/>
              </w:rPr>
            </w:pPr>
            <w:r>
              <w:rPr>
                <w:rFonts w:ascii="Verdana" w:eastAsia="Verdana" w:hAnsi="Verdana" w:cs="Verdana"/>
                <w:b/>
                <w:noProof/>
                <w:color w:val="000000"/>
                <w:sz w:val="18"/>
              </w:rPr>
              <w:t xml:space="preserve"> 293</w:t>
            </w:r>
          </w:p>
        </w:tc>
        <w:tc>
          <w:tcPr>
            <w:tcW w:w="1255" w:type="dxa"/>
            <w:tcBorders>
              <w:top w:val="single" w:sz="4" w:space="0" w:color="016794"/>
              <w:left w:val="nil"/>
              <w:bottom w:val="single" w:sz="4" w:space="0" w:color="016794"/>
              <w:right w:val="nil"/>
              <w:tl2br w:val="nil"/>
              <w:tr2bl w:val="nil"/>
            </w:tcBorders>
            <w:tcMar>
              <w:left w:w="60" w:type="dxa"/>
              <w:right w:w="60" w:type="dxa"/>
            </w:tcMar>
            <w:vAlign w:val="center"/>
          </w:tcPr>
          <w:p w14:paraId="00920107" w14:textId="77777777" w:rsidR="00807FFE" w:rsidRDefault="00023E71">
            <w:pPr>
              <w:pStyle w:val="DMETW36627BIPLTC"/>
              <w:jc w:val="right"/>
              <w:rPr>
                <w:rFonts w:ascii="Verdana" w:eastAsia="Verdana" w:hAnsi="Verdana" w:cs="Verdana"/>
                <w:b/>
                <w:noProof/>
                <w:color w:val="000000"/>
                <w:sz w:val="18"/>
                <w:lang w:bidi="en-GB"/>
              </w:rPr>
            </w:pPr>
            <w:r>
              <w:rPr>
                <w:rFonts w:ascii="Verdana" w:eastAsia="Verdana" w:hAnsi="Verdana" w:cs="Verdana"/>
                <w:b/>
                <w:noProof/>
                <w:color w:val="000000"/>
                <w:sz w:val="18"/>
              </w:rPr>
              <w:t>46 520</w:t>
            </w:r>
          </w:p>
        </w:tc>
      </w:tr>
      <w:tr w:rsidR="00807FFE" w14:paraId="55513829" w14:textId="77777777">
        <w:trPr>
          <w:trHeight w:val="255"/>
        </w:trPr>
        <w:tc>
          <w:tcPr>
            <w:tcW w:w="2433" w:type="dxa"/>
            <w:tcBorders>
              <w:top w:val="single" w:sz="4" w:space="0" w:color="016794"/>
              <w:left w:val="nil"/>
              <w:bottom w:val="nil"/>
              <w:right w:val="nil"/>
              <w:tl2br w:val="nil"/>
              <w:tr2bl w:val="nil"/>
            </w:tcBorders>
            <w:tcMar>
              <w:left w:w="60" w:type="dxa"/>
              <w:right w:w="60" w:type="dxa"/>
            </w:tcMar>
            <w:vAlign w:val="center"/>
          </w:tcPr>
          <w:p w14:paraId="758D3EC1" w14:textId="77777777" w:rsidR="00807FFE" w:rsidRDefault="00023E71">
            <w:pPr>
              <w:pStyle w:val="DMETW36627BIPLTC"/>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109" w:type="dxa"/>
            <w:tcBorders>
              <w:top w:val="single" w:sz="4" w:space="0" w:color="016794"/>
              <w:left w:val="nil"/>
              <w:bottom w:val="nil"/>
              <w:right w:val="nil"/>
              <w:tl2br w:val="nil"/>
              <w:tr2bl w:val="nil"/>
            </w:tcBorders>
            <w:tcMar>
              <w:left w:w="60" w:type="dxa"/>
              <w:right w:w="60" w:type="dxa"/>
            </w:tcMar>
            <w:vAlign w:val="center"/>
          </w:tcPr>
          <w:p w14:paraId="46AD6C06"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32 505</w:t>
            </w:r>
          </w:p>
        </w:tc>
        <w:tc>
          <w:tcPr>
            <w:tcW w:w="1276" w:type="dxa"/>
            <w:tcBorders>
              <w:top w:val="single" w:sz="4" w:space="0" w:color="016794"/>
              <w:left w:val="nil"/>
              <w:bottom w:val="nil"/>
              <w:right w:val="nil"/>
              <w:tl2br w:val="nil"/>
              <w:tr2bl w:val="nil"/>
            </w:tcBorders>
            <w:tcMar>
              <w:left w:w="60" w:type="dxa"/>
              <w:right w:w="60" w:type="dxa"/>
            </w:tcMar>
            <w:vAlign w:val="center"/>
          </w:tcPr>
          <w:p w14:paraId="0615EA0A"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12 264</w:t>
            </w:r>
          </w:p>
        </w:tc>
        <w:tc>
          <w:tcPr>
            <w:tcW w:w="1417" w:type="dxa"/>
            <w:tcBorders>
              <w:top w:val="single" w:sz="4" w:space="0" w:color="016794"/>
              <w:left w:val="nil"/>
              <w:bottom w:val="nil"/>
              <w:right w:val="nil"/>
              <w:tl2br w:val="nil"/>
              <w:tr2bl w:val="nil"/>
            </w:tcBorders>
            <w:tcMar>
              <w:left w:w="60" w:type="dxa"/>
              <w:right w:w="60" w:type="dxa"/>
            </w:tcMar>
            <w:vAlign w:val="center"/>
          </w:tcPr>
          <w:p w14:paraId="11C03C88"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 xml:space="preserve"> 206</w:t>
            </w:r>
          </w:p>
        </w:tc>
        <w:tc>
          <w:tcPr>
            <w:tcW w:w="1134" w:type="dxa"/>
            <w:tcBorders>
              <w:top w:val="single" w:sz="4" w:space="0" w:color="016794"/>
              <w:left w:val="nil"/>
              <w:bottom w:val="nil"/>
              <w:right w:val="nil"/>
              <w:tl2br w:val="nil"/>
              <w:tr2bl w:val="nil"/>
            </w:tcBorders>
            <w:tcMar>
              <w:left w:w="60" w:type="dxa"/>
              <w:right w:w="60" w:type="dxa"/>
            </w:tcMar>
            <w:vAlign w:val="center"/>
          </w:tcPr>
          <w:p w14:paraId="16DED80B"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 xml:space="preserve"> 184</w:t>
            </w:r>
          </w:p>
        </w:tc>
        <w:tc>
          <w:tcPr>
            <w:tcW w:w="1134" w:type="dxa"/>
            <w:tcBorders>
              <w:top w:val="single" w:sz="4" w:space="0" w:color="016794"/>
              <w:left w:val="nil"/>
              <w:bottom w:val="nil"/>
              <w:right w:val="nil"/>
              <w:tl2br w:val="nil"/>
              <w:tr2bl w:val="nil"/>
            </w:tcBorders>
            <w:tcMar>
              <w:left w:w="60" w:type="dxa"/>
              <w:right w:w="60" w:type="dxa"/>
            </w:tcMar>
            <w:vAlign w:val="center"/>
          </w:tcPr>
          <w:p w14:paraId="7E12DF08"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 xml:space="preserve"> 289</w:t>
            </w:r>
          </w:p>
        </w:tc>
        <w:tc>
          <w:tcPr>
            <w:tcW w:w="1255" w:type="dxa"/>
            <w:tcBorders>
              <w:top w:val="single" w:sz="4" w:space="0" w:color="016794"/>
              <w:left w:val="nil"/>
              <w:bottom w:val="nil"/>
              <w:right w:val="nil"/>
              <w:tl2br w:val="nil"/>
              <w:tr2bl w:val="nil"/>
            </w:tcBorders>
            <w:tcMar>
              <w:left w:w="60" w:type="dxa"/>
              <w:right w:w="60" w:type="dxa"/>
            </w:tcMar>
            <w:vAlign w:val="center"/>
          </w:tcPr>
          <w:p w14:paraId="35032939" w14:textId="77777777" w:rsidR="00807FFE" w:rsidRDefault="00023E71">
            <w:pPr>
              <w:pStyle w:val="DMETW36627BIPLTC"/>
              <w:jc w:val="right"/>
              <w:rPr>
                <w:rFonts w:ascii="Verdana" w:eastAsia="Verdana" w:hAnsi="Verdana" w:cs="Verdana"/>
                <w:i/>
                <w:noProof/>
                <w:color w:val="016794"/>
                <w:sz w:val="18"/>
                <w:lang w:bidi="en-GB"/>
              </w:rPr>
            </w:pPr>
            <w:r>
              <w:rPr>
                <w:rFonts w:ascii="Verdana" w:eastAsia="Verdana" w:hAnsi="Verdana" w:cs="Verdana"/>
                <w:i/>
                <w:noProof/>
                <w:color w:val="016794"/>
                <w:sz w:val="18"/>
              </w:rPr>
              <w:t>45 448</w:t>
            </w:r>
          </w:p>
        </w:tc>
      </w:tr>
      <w:tr w:rsidR="00807FFE" w14:paraId="57FA4B4E" w14:textId="77777777">
        <w:trPr>
          <w:trHeight w:val="255"/>
        </w:trPr>
        <w:tc>
          <w:tcPr>
            <w:tcW w:w="2433" w:type="dxa"/>
            <w:tcBorders>
              <w:top w:val="nil"/>
              <w:left w:val="nil"/>
              <w:bottom w:val="nil"/>
              <w:right w:val="nil"/>
              <w:tl2br w:val="nil"/>
              <w:tr2bl w:val="nil"/>
            </w:tcBorders>
            <w:tcMar>
              <w:left w:w="60" w:type="dxa"/>
              <w:right w:w="60" w:type="dxa"/>
            </w:tcMar>
            <w:vAlign w:val="center"/>
          </w:tcPr>
          <w:p w14:paraId="27E46F89" w14:textId="77777777" w:rsidR="00807FFE" w:rsidRDefault="00023E71">
            <w:pPr>
              <w:pStyle w:val="DMETW36627BIPLTC"/>
              <w:rPr>
                <w:rFonts w:ascii="Verdana" w:eastAsia="Verdana" w:hAnsi="Verdana" w:cs="Verdana"/>
                <w:i/>
                <w:noProof/>
                <w:color w:val="016794"/>
                <w:sz w:val="18"/>
              </w:rPr>
            </w:pPr>
            <w:r>
              <w:rPr>
                <w:rFonts w:ascii="Verdana" w:eastAsia="Verdana" w:hAnsi="Verdana" w:cs="Verdana"/>
                <w:i/>
                <w:noProof/>
                <w:color w:val="016794"/>
                <w:sz w:val="18"/>
              </w:rPr>
              <w:t>Current</w:t>
            </w:r>
          </w:p>
        </w:tc>
        <w:tc>
          <w:tcPr>
            <w:tcW w:w="1109" w:type="dxa"/>
            <w:tcBorders>
              <w:top w:val="nil"/>
              <w:left w:val="nil"/>
              <w:bottom w:val="nil"/>
              <w:right w:val="nil"/>
              <w:tl2br w:val="nil"/>
              <w:tr2bl w:val="nil"/>
            </w:tcBorders>
            <w:tcMar>
              <w:left w:w="60" w:type="dxa"/>
              <w:right w:w="60" w:type="dxa"/>
            </w:tcMar>
            <w:vAlign w:val="center"/>
          </w:tcPr>
          <w:p w14:paraId="0197B12A"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 xml:space="preserve"> 754</w:t>
            </w:r>
          </w:p>
        </w:tc>
        <w:tc>
          <w:tcPr>
            <w:tcW w:w="1276" w:type="dxa"/>
            <w:tcBorders>
              <w:top w:val="nil"/>
              <w:left w:val="nil"/>
              <w:bottom w:val="nil"/>
              <w:right w:val="nil"/>
              <w:tl2br w:val="nil"/>
              <w:tr2bl w:val="nil"/>
            </w:tcBorders>
            <w:tcMar>
              <w:left w:w="60" w:type="dxa"/>
              <w:right w:w="60" w:type="dxa"/>
            </w:tcMar>
            <w:vAlign w:val="center"/>
          </w:tcPr>
          <w:p w14:paraId="33745C4B"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 xml:space="preserve"> 310</w:t>
            </w:r>
          </w:p>
        </w:tc>
        <w:tc>
          <w:tcPr>
            <w:tcW w:w="1417" w:type="dxa"/>
            <w:tcBorders>
              <w:top w:val="nil"/>
              <w:left w:val="nil"/>
              <w:bottom w:val="nil"/>
              <w:right w:val="nil"/>
              <w:tl2br w:val="nil"/>
              <w:tr2bl w:val="nil"/>
            </w:tcBorders>
            <w:tcMar>
              <w:left w:w="60" w:type="dxa"/>
              <w:right w:w="60" w:type="dxa"/>
            </w:tcMar>
            <w:vAlign w:val="center"/>
          </w:tcPr>
          <w:p w14:paraId="12058064"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 xml:space="preserve"> 0</w:t>
            </w:r>
          </w:p>
        </w:tc>
        <w:tc>
          <w:tcPr>
            <w:tcW w:w="1134" w:type="dxa"/>
            <w:tcBorders>
              <w:top w:val="nil"/>
              <w:left w:val="nil"/>
              <w:bottom w:val="nil"/>
              <w:right w:val="nil"/>
              <w:tl2br w:val="nil"/>
              <w:tr2bl w:val="nil"/>
            </w:tcBorders>
            <w:tcMar>
              <w:left w:w="60" w:type="dxa"/>
              <w:right w:w="60" w:type="dxa"/>
            </w:tcMar>
            <w:vAlign w:val="center"/>
          </w:tcPr>
          <w:p w14:paraId="781B44D1"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 xml:space="preserve"> 3</w:t>
            </w:r>
          </w:p>
        </w:tc>
        <w:tc>
          <w:tcPr>
            <w:tcW w:w="1134" w:type="dxa"/>
            <w:tcBorders>
              <w:top w:val="nil"/>
              <w:left w:val="nil"/>
              <w:bottom w:val="nil"/>
              <w:right w:val="nil"/>
              <w:tl2br w:val="nil"/>
              <w:tr2bl w:val="nil"/>
            </w:tcBorders>
            <w:tcMar>
              <w:left w:w="60" w:type="dxa"/>
              <w:right w:w="60" w:type="dxa"/>
            </w:tcMar>
            <w:vAlign w:val="center"/>
          </w:tcPr>
          <w:p w14:paraId="492C0F3B"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 xml:space="preserve"> 4</w:t>
            </w:r>
          </w:p>
        </w:tc>
        <w:tc>
          <w:tcPr>
            <w:tcW w:w="1255" w:type="dxa"/>
            <w:tcBorders>
              <w:top w:val="nil"/>
              <w:left w:val="nil"/>
              <w:bottom w:val="nil"/>
              <w:right w:val="nil"/>
              <w:tl2br w:val="nil"/>
              <w:tr2bl w:val="nil"/>
            </w:tcBorders>
            <w:tcMar>
              <w:left w:w="60" w:type="dxa"/>
              <w:right w:w="60" w:type="dxa"/>
            </w:tcMar>
            <w:vAlign w:val="center"/>
          </w:tcPr>
          <w:p w14:paraId="3A51320F" w14:textId="77777777" w:rsidR="00807FFE" w:rsidRDefault="00023E71">
            <w:pPr>
              <w:pStyle w:val="DMETW36627BIPLTC"/>
              <w:jc w:val="right"/>
              <w:rPr>
                <w:rFonts w:ascii="Verdana" w:eastAsia="Verdana" w:hAnsi="Verdana" w:cs="Verdana"/>
                <w:i/>
                <w:noProof/>
                <w:color w:val="016794"/>
                <w:sz w:val="18"/>
              </w:rPr>
            </w:pPr>
            <w:r>
              <w:rPr>
                <w:rFonts w:ascii="Verdana" w:eastAsia="Verdana" w:hAnsi="Verdana" w:cs="Verdana"/>
                <w:i/>
                <w:noProof/>
                <w:color w:val="016794"/>
                <w:sz w:val="18"/>
              </w:rPr>
              <w:t>1 072</w:t>
            </w:r>
          </w:p>
        </w:tc>
      </w:tr>
    </w:tbl>
    <w:p w14:paraId="3827D1B8" w14:textId="77777777" w:rsidR="000320ED" w:rsidRDefault="000320ED" w:rsidP="008A2DE7">
      <w:pPr>
        <w:pStyle w:val="DGTextstand-alone"/>
        <w:spacing w:before="120" w:after="120"/>
      </w:pPr>
    </w:p>
    <w:p w14:paraId="6AA54646" w14:textId="77777777" w:rsidR="004A0CD3" w:rsidRPr="00ED585C" w:rsidRDefault="00023E71" w:rsidP="004A0CD3">
      <w:pPr>
        <w:pStyle w:val="DGTextstand-alone"/>
        <w:spacing w:before="120" w:after="120"/>
      </w:pPr>
      <w:r w:rsidRPr="00ED585C">
        <w:t>The nominal value of loans to third countries at 31 December 202</w:t>
      </w:r>
      <w:r w:rsidR="0098644A">
        <w:t>5</w:t>
      </w:r>
      <w:r w:rsidRPr="00ED585C">
        <w:t xml:space="preserve"> </w:t>
      </w:r>
      <w:r w:rsidR="00BD18E5">
        <w:t>was</w:t>
      </w:r>
      <w:r w:rsidRPr="00ED585C">
        <w:t xml:space="preserve"> EUR</w:t>
      </w:r>
      <w:r w:rsidR="00DA1558" w:rsidRPr="00ED585C">
        <w:t xml:space="preserve"> </w:t>
      </w:r>
      <w:r w:rsidR="006D2D3C">
        <w:t>76.0</w:t>
      </w:r>
      <w:r w:rsidRPr="00ED585C">
        <w:t xml:space="preserve"> billion (202</w:t>
      </w:r>
      <w:r w:rsidR="006D2D3C">
        <w:t>4</w:t>
      </w:r>
      <w:r w:rsidRPr="00ED585C">
        <w:t>: EUR </w:t>
      </w:r>
      <w:r w:rsidR="006D2D3C" w:rsidRPr="006D2D3C">
        <w:t>47.2</w:t>
      </w:r>
      <w:r>
        <w:t> </w:t>
      </w:r>
      <w:r w:rsidRPr="00ED585C">
        <w:t xml:space="preserve">billion). </w:t>
      </w:r>
    </w:p>
    <w:p w14:paraId="6185E1BD" w14:textId="77777777" w:rsidR="0027349E" w:rsidRPr="00ED585C" w:rsidRDefault="00023E71" w:rsidP="0027349E">
      <w:pPr>
        <w:pStyle w:val="DGTextstand-alone"/>
        <w:spacing w:before="120" w:after="120"/>
      </w:pPr>
      <w:r w:rsidRPr="00ED585C">
        <w:t>In this table, the line ‘</w:t>
      </w:r>
      <w:r>
        <w:t>C</w:t>
      </w:r>
      <w:r w:rsidRPr="00ED585C">
        <w:t>hanges in impairment’ corresponds to the remeasurement of the expected credit losses as at 31 December 202</w:t>
      </w:r>
      <w:r w:rsidR="006D2D3C">
        <w:t>5</w:t>
      </w:r>
      <w:r w:rsidRPr="00ED585C">
        <w:t>. The line ‘</w:t>
      </w:r>
      <w:r>
        <w:t>C</w:t>
      </w:r>
      <w:r w:rsidRPr="00ED585C">
        <w:t>hanges in carrying amount’ corresponds to the change in accrued interests and the change in premiums/discounts (new premiums/discounts and amortisation).</w:t>
      </w:r>
    </w:p>
    <w:p w14:paraId="68320898" w14:textId="77777777" w:rsidR="00BE5E1B" w:rsidRPr="00ED585C" w:rsidRDefault="00023E71" w:rsidP="0027349E">
      <w:pPr>
        <w:pStyle w:val="DGTextstand-alone"/>
        <w:spacing w:before="120" w:after="120"/>
      </w:pPr>
      <w:r w:rsidRPr="00ED585C">
        <w:t xml:space="preserve">The Euratom </w:t>
      </w:r>
      <w:r w:rsidR="00530C0B">
        <w:t xml:space="preserve">programme </w:t>
      </w:r>
      <w:r w:rsidRPr="00ED585C">
        <w:t xml:space="preserve">operates on a ‘back to back’ basis. </w:t>
      </w:r>
    </w:p>
    <w:p w14:paraId="62808F80" w14:textId="77777777" w:rsidR="0027349E" w:rsidRPr="00ED585C" w:rsidRDefault="00023E71" w:rsidP="0027349E">
      <w:pPr>
        <w:pStyle w:val="DGTextstand-alone"/>
        <w:spacing w:before="120" w:after="120"/>
      </w:pPr>
      <w:r w:rsidRPr="00ED585C">
        <w:t xml:space="preserve">Until the end of 2022, the MFA loans were funded </w:t>
      </w:r>
      <w:r w:rsidR="00530C0B">
        <w:t>using</w:t>
      </w:r>
      <w:r w:rsidRPr="00ED585C">
        <w:t xml:space="preserve"> the back to back approach, whereas with the implementation of the MFA+ programme in 2023, new loans under the MFA </w:t>
      </w:r>
      <w:r>
        <w:t>are</w:t>
      </w:r>
      <w:r w:rsidRPr="00ED585C">
        <w:t xml:space="preserve"> </w:t>
      </w:r>
      <w:r>
        <w:t xml:space="preserve">mainly </w:t>
      </w:r>
      <w:r w:rsidRPr="00ED585C">
        <w:t>implemented using the unified funding approach</w:t>
      </w:r>
      <w:r w:rsidR="00494F42" w:rsidRPr="00ED585C">
        <w:t xml:space="preserve"> e</w:t>
      </w:r>
      <w:r w:rsidRPr="00ED585C">
        <w:t xml:space="preserve">xplained in </w:t>
      </w:r>
      <w:r>
        <w:t>N</w:t>
      </w:r>
      <w:r w:rsidRPr="00ED585C">
        <w:t xml:space="preserve">ote </w:t>
      </w:r>
      <w:r w:rsidRPr="00ED585C">
        <w:rPr>
          <w:b/>
          <w:bCs/>
        </w:rPr>
        <w:t>2.11.1.1</w:t>
      </w:r>
      <w:r w:rsidRPr="00ED585C">
        <w:t xml:space="preserve">. </w:t>
      </w:r>
      <w:r w:rsidR="001678DF" w:rsidRPr="00ED585C">
        <w:t>Any new programmes suc</w:t>
      </w:r>
      <w:r w:rsidR="00B81074" w:rsidRPr="00ED585C">
        <w:t>h</w:t>
      </w:r>
      <w:r w:rsidR="001678DF" w:rsidRPr="00ED585C">
        <w:t xml:space="preserve"> as the U</w:t>
      </w:r>
      <w:r w:rsidRPr="00ED585C">
        <w:t>kraine</w:t>
      </w:r>
      <w:r w:rsidR="006D2D3C">
        <w:t>, Western Balkans and Moldova facilities are</w:t>
      </w:r>
      <w:r w:rsidR="00E237A8" w:rsidRPr="00ED585C">
        <w:t xml:space="preserve"> </w:t>
      </w:r>
      <w:r w:rsidRPr="00ED585C">
        <w:t>also funded with the unified funding approach.</w:t>
      </w:r>
    </w:p>
    <w:p w14:paraId="790E0AFF" w14:textId="77777777" w:rsidR="004A0CD3" w:rsidRPr="00ED585C" w:rsidRDefault="00023E71" w:rsidP="004A0CD3">
      <w:pPr>
        <w:pStyle w:val="DGTextstand-alone"/>
        <w:rPr>
          <w:color w:val="016794"/>
          <w:lang w:eastAsia="en-GB"/>
        </w:rPr>
      </w:pPr>
      <w:r w:rsidRPr="00ED585C">
        <w:rPr>
          <w:color w:val="016794"/>
          <w:lang w:eastAsia="en-GB"/>
        </w:rPr>
        <w:t>Macro-Financial Assistance</w:t>
      </w:r>
    </w:p>
    <w:p w14:paraId="2AC8CF40" w14:textId="77777777" w:rsidR="004A0CD3" w:rsidRPr="00ED585C" w:rsidRDefault="00023E71" w:rsidP="004A0CD3">
      <w:pPr>
        <w:pStyle w:val="DGTextstand-alone"/>
        <w:spacing w:before="120" w:after="120"/>
      </w:pPr>
      <w:r w:rsidRPr="00ED585C">
        <w:t xml:space="preserve">The MFA refers to loans for financial assistance to partner countries experiencing a balance of payment crisis. </w:t>
      </w:r>
    </w:p>
    <w:p w14:paraId="74C39267" w14:textId="77777777" w:rsidR="004A0CD3" w:rsidRPr="00ED585C" w:rsidRDefault="00023E71" w:rsidP="004A0CD3">
      <w:pPr>
        <w:pStyle w:val="DGTextstand-alone"/>
        <w:spacing w:before="120" w:after="120"/>
      </w:pPr>
      <w:r w:rsidRPr="00ED585C">
        <w:t xml:space="preserve">The total nominal exposure of MFA loans outstanding at year end amounted to EUR </w:t>
      </w:r>
      <w:r w:rsidR="006D2D3C">
        <w:t>52.1</w:t>
      </w:r>
      <w:r w:rsidRPr="00ED585C">
        <w:t xml:space="preserve"> billion</w:t>
      </w:r>
      <w:r w:rsidR="006D2D3C">
        <w:t xml:space="preserve"> (2024: EUR 33.7 billion)</w:t>
      </w:r>
      <w:r w:rsidRPr="00ED585C">
        <w:t>, out of which EUR </w:t>
      </w:r>
      <w:r w:rsidR="006D2D3C">
        <w:t>47.1</w:t>
      </w:r>
      <w:r w:rsidRPr="00ED585C">
        <w:t xml:space="preserve"> billion </w:t>
      </w:r>
      <w:r w:rsidR="00BD18E5">
        <w:t>was</w:t>
      </w:r>
      <w:r w:rsidRPr="00ED585C">
        <w:t xml:space="preserve"> to Ukraine</w:t>
      </w:r>
      <w:r w:rsidR="006D2D3C">
        <w:t xml:space="preserve"> (2024: EUR 29.0 billion)</w:t>
      </w:r>
      <w:r w:rsidRPr="00ED585C">
        <w:t xml:space="preserve">. </w:t>
      </w:r>
    </w:p>
    <w:p w14:paraId="0DD4768D" w14:textId="77777777" w:rsidR="004A0CD3" w:rsidRPr="00ED585C" w:rsidRDefault="00023E71" w:rsidP="004A0CD3">
      <w:pPr>
        <w:pStyle w:val="DGTextstand-alone"/>
        <w:spacing w:before="120" w:after="120"/>
      </w:pPr>
      <w:r w:rsidRPr="00ED585C">
        <w:t>As at 31 December 202</w:t>
      </w:r>
      <w:r w:rsidR="006D2D3C">
        <w:t>5</w:t>
      </w:r>
      <w:r w:rsidRPr="00ED585C">
        <w:t xml:space="preserve">, the impairment allowance for MFA loans </w:t>
      </w:r>
      <w:r w:rsidR="00BD18E5">
        <w:t>was</w:t>
      </w:r>
      <w:r w:rsidRPr="00ED585C">
        <w:t xml:space="preserve"> EUR </w:t>
      </w:r>
      <w:r w:rsidR="006D2D3C">
        <w:t>19.4</w:t>
      </w:r>
      <w:r w:rsidRPr="00ED585C">
        <w:t xml:space="preserve"> billion (202</w:t>
      </w:r>
      <w:r w:rsidR="006D2D3C">
        <w:t>4</w:t>
      </w:r>
      <w:r w:rsidRPr="00ED585C">
        <w:t>: EUR</w:t>
      </w:r>
      <w:r w:rsidR="0027349E" w:rsidRPr="00ED585C">
        <w:t> </w:t>
      </w:r>
      <w:r w:rsidR="006D2D3C">
        <w:t>10.2</w:t>
      </w:r>
      <w:r w:rsidR="0027349E" w:rsidRPr="00ED585C">
        <w:t> </w:t>
      </w:r>
      <w:r w:rsidRPr="00ED585C">
        <w:t xml:space="preserve">billion), out of which EUR </w:t>
      </w:r>
      <w:r w:rsidR="006D2D3C">
        <w:t>19.3</w:t>
      </w:r>
      <w:r w:rsidRPr="00ED585C">
        <w:t xml:space="preserve"> billion </w:t>
      </w:r>
      <w:r w:rsidR="000E1664">
        <w:t>for</w:t>
      </w:r>
      <w:r w:rsidRPr="00ED585C">
        <w:t xml:space="preserve"> loans to Ukraine</w:t>
      </w:r>
      <w:r w:rsidR="006D2D3C">
        <w:t xml:space="preserve"> (2024: EUR 10.1 billion)</w:t>
      </w:r>
      <w:r w:rsidRPr="00ED585C">
        <w:t>. While all amounts due in 202</w:t>
      </w:r>
      <w:r w:rsidR="006D2D3C">
        <w:t>5</w:t>
      </w:r>
      <w:r w:rsidRPr="00ED585C">
        <w:t xml:space="preserve"> from Ukraine were paid on time and at the moment of preparation of the annual accounts there </w:t>
      </w:r>
      <w:r>
        <w:t xml:space="preserve">are </w:t>
      </w:r>
      <w:r w:rsidRPr="00ED585C">
        <w:t>no overdue payments, in accordance with the accounting rules, the impairment reflects the life-time expected credit losses estimated with a particular prudence due to significant uncertainties involved.</w:t>
      </w:r>
    </w:p>
    <w:p w14:paraId="2AD4BFE3" w14:textId="77777777" w:rsidR="00C61120" w:rsidRPr="00ED585C" w:rsidRDefault="00023E71" w:rsidP="00C61120">
      <w:pPr>
        <w:pStyle w:val="DGTextstand-alone"/>
        <w:spacing w:before="120" w:after="120"/>
      </w:pPr>
      <w:r w:rsidRPr="00ED585C">
        <w:t>In October 2024, Regulation (EU) 2024/2773</w:t>
      </w:r>
      <w:r>
        <w:rPr>
          <w:rStyle w:val="FootnoteReference"/>
        </w:rPr>
        <w:footnoteReference w:id="28"/>
      </w:r>
      <w:r w:rsidRPr="00ED585C">
        <w:t xml:space="preserve"> was adopted establishing the Ukraine Loan Cooperation Mechanism (ULCM) and authorising a new MFA for Ukraine. Under the ULCM, extraordinary revenues originating from immobilised Russian sovereign assets </w:t>
      </w:r>
      <w:r w:rsidR="006D2D3C">
        <w:t>are</w:t>
      </w:r>
      <w:r>
        <w:t xml:space="preserve"> used to grant </w:t>
      </w:r>
      <w:r w:rsidRPr="00ED585C">
        <w:t xml:space="preserve">non-repayable support to Ukraine with the objective to assist the country in repaying bilateral loans provided by the G7 partners and the EU under this initiative. </w:t>
      </w:r>
      <w:r>
        <w:t>T</w:t>
      </w:r>
      <w:r w:rsidRPr="00ED585C">
        <w:t xml:space="preserve">he EU signed </w:t>
      </w:r>
      <w:r>
        <w:t>the</w:t>
      </w:r>
      <w:r w:rsidRPr="00ED585C">
        <w:t xml:space="preserve"> MFA loan agreement with Ukraine in December 2024 for an amount of EUR 18.1 billion</w:t>
      </w:r>
      <w:r w:rsidR="000E1664">
        <w:t>. The loan</w:t>
      </w:r>
      <w:r w:rsidR="006D2D3C">
        <w:t xml:space="preserve"> was fully</w:t>
      </w:r>
      <w:r w:rsidRPr="00ED585C">
        <w:t xml:space="preserve"> disbursed in 2025. As the MFA loan under ULCM was irrevocably committed</w:t>
      </w:r>
      <w:r w:rsidR="000E1664">
        <w:t xml:space="preserve"> at the end of 2024,</w:t>
      </w:r>
      <w:r w:rsidRPr="00ED585C">
        <w:t xml:space="preserve"> a provision for expected credit losses of EUR 7.1 billion </w:t>
      </w:r>
      <w:r w:rsidR="000E1664">
        <w:t>was recognised</w:t>
      </w:r>
      <w:r w:rsidRPr="00ED585C">
        <w:t xml:space="preserve"> (see also note </w:t>
      </w:r>
      <w:r w:rsidRPr="00ED585C">
        <w:rPr>
          <w:b/>
          <w:bCs/>
        </w:rPr>
        <w:t>2.10</w:t>
      </w:r>
      <w:r w:rsidRPr="00ED585C">
        <w:t>).</w:t>
      </w:r>
      <w:r w:rsidR="006D2D3C">
        <w:t xml:space="preserve"> In 2025, th</w:t>
      </w:r>
      <w:r w:rsidR="000E1664">
        <w:t>is</w:t>
      </w:r>
      <w:r w:rsidR="006D2D3C">
        <w:t xml:space="preserve"> provision was rev</w:t>
      </w:r>
      <w:r>
        <w:t>ersed</w:t>
      </w:r>
      <w:r w:rsidR="006D2D3C">
        <w:t xml:space="preserve"> and an impairment allowance </w:t>
      </w:r>
      <w:r w:rsidR="00D36EFF">
        <w:t xml:space="preserve">of EUR 8.7 billion </w:t>
      </w:r>
      <w:r w:rsidR="006D2D3C">
        <w:t>was recognised instead</w:t>
      </w:r>
      <w:r>
        <w:t>, reducing the value of the loan</w:t>
      </w:r>
      <w:r w:rsidR="006D2D3C">
        <w:t>.</w:t>
      </w:r>
    </w:p>
    <w:p w14:paraId="3ED237F0" w14:textId="77777777" w:rsidR="00C61120" w:rsidRDefault="00023E71" w:rsidP="00C61120">
      <w:pPr>
        <w:pStyle w:val="DGTextstand-alone"/>
        <w:spacing w:before="120" w:after="120"/>
      </w:pPr>
      <w:r w:rsidRPr="00A87589">
        <w:t>In 202</w:t>
      </w:r>
      <w:r w:rsidR="00CB1ABE" w:rsidRPr="00A87589">
        <w:t>5</w:t>
      </w:r>
      <w:r w:rsidRPr="00A87589">
        <w:t>, the EU granted EUR 740 million (2024: EUR 763</w:t>
      </w:r>
      <w:r>
        <w:t xml:space="preserve"> million</w:t>
      </w:r>
      <w:r w:rsidRPr="00A87589">
        <w:t xml:space="preserve">) of interest rate subsidies to Ukraine for the interest accrued on the exceptional MFA and MFA+ loans. This constitutes a modification of the loan’s terms (see also </w:t>
      </w:r>
      <w:r>
        <w:t>N</w:t>
      </w:r>
      <w:r w:rsidRPr="00A87589">
        <w:t xml:space="preserve">otes </w:t>
      </w:r>
      <w:r w:rsidRPr="00A87589">
        <w:rPr>
          <w:b/>
          <w:bCs/>
        </w:rPr>
        <w:t>3.15</w:t>
      </w:r>
      <w:r w:rsidRPr="00A87589">
        <w:t xml:space="preserve"> and </w:t>
      </w:r>
      <w:r w:rsidRPr="00A87589">
        <w:rPr>
          <w:b/>
          <w:bCs/>
        </w:rPr>
        <w:t>6.6</w:t>
      </w:r>
      <w:r w:rsidRPr="00A87589">
        <w:t>), and is included under the ‘Changes in carrying amount’ in the table above.</w:t>
      </w:r>
    </w:p>
    <w:p w14:paraId="21B8CF2D" w14:textId="77777777" w:rsidR="00AB4065" w:rsidRPr="00ED585C" w:rsidRDefault="00023E71" w:rsidP="00C61120">
      <w:pPr>
        <w:pStyle w:val="DGTextstand-alone"/>
        <w:spacing w:before="120" w:after="120"/>
      </w:pPr>
      <w:r w:rsidRPr="00ED585C">
        <w:t>As at 31 December 202</w:t>
      </w:r>
      <w:r>
        <w:t>5</w:t>
      </w:r>
      <w:r w:rsidRPr="00ED585C">
        <w:t xml:space="preserve">, there were </w:t>
      </w:r>
      <w:bookmarkStart w:id="106" w:name="_Hlk225112317"/>
      <w:r w:rsidRPr="00ED585C">
        <w:t xml:space="preserve">EUR </w:t>
      </w:r>
      <w:r>
        <w:t>4.3 billion</w:t>
      </w:r>
      <w:r w:rsidRPr="00ED585C">
        <w:t xml:space="preserve"> undrawn amounts conditionally commi</w:t>
      </w:r>
      <w:r>
        <w:t>t</w:t>
      </w:r>
      <w:r w:rsidRPr="00ED585C">
        <w:t xml:space="preserve">ted </w:t>
      </w:r>
      <w:r>
        <w:t>under signed</w:t>
      </w:r>
      <w:r w:rsidRPr="00ED585C">
        <w:t xml:space="preserve"> MFA loan agreements</w:t>
      </w:r>
      <w:bookmarkEnd w:id="106"/>
      <w:r w:rsidRPr="00ED585C">
        <w:t xml:space="preserve"> (202</w:t>
      </w:r>
      <w:r>
        <w:t>4</w:t>
      </w:r>
      <w:r w:rsidRPr="00ED585C">
        <w:t xml:space="preserve">: EUR 95 million). </w:t>
      </w:r>
    </w:p>
    <w:p w14:paraId="49F0B4C8" w14:textId="77777777" w:rsidR="0027349E" w:rsidRPr="00ED585C" w:rsidRDefault="00023E71" w:rsidP="0098443A">
      <w:pPr>
        <w:pStyle w:val="DGTextstand-alone"/>
        <w:rPr>
          <w:color w:val="016794"/>
          <w:lang w:eastAsia="en-GB"/>
        </w:rPr>
      </w:pPr>
      <w:r w:rsidRPr="00ED585C">
        <w:rPr>
          <w:color w:val="016794"/>
          <w:lang w:eastAsia="en-GB"/>
        </w:rPr>
        <w:t xml:space="preserve">Ukraine Facility loans </w:t>
      </w:r>
    </w:p>
    <w:p w14:paraId="325448C7" w14:textId="77777777" w:rsidR="0027349E" w:rsidRPr="00ED585C" w:rsidRDefault="00023E71" w:rsidP="008831ED">
      <w:pPr>
        <w:pStyle w:val="DGTextstand-alone"/>
        <w:rPr>
          <w:bdr w:val="nil"/>
        </w:rPr>
      </w:pPr>
      <w:r w:rsidRPr="00ED585C">
        <w:t>The Ukraine Facility Regulation</w:t>
      </w:r>
      <w:r>
        <w:rPr>
          <w:rStyle w:val="FootnoteReference"/>
          <w:bdr w:val="nil"/>
        </w:rPr>
        <w:footnoteReference w:id="29"/>
      </w:r>
      <w:r w:rsidRPr="00ED585C">
        <w:t xml:space="preserve"> is a</w:t>
      </w:r>
      <w:r w:rsidR="00EA055F">
        <w:t>n</w:t>
      </w:r>
      <w:r w:rsidRPr="00ED585C">
        <w:t xml:space="preserve"> instrument adopted in 2024 that offers up to EUR 50 billion in financial support to Ukraine, including up to EUR 33 billion of sovereign loans, to be disbursed by the end of 2027. EUR </w:t>
      </w:r>
      <w:r>
        <w:t>23.2</w:t>
      </w:r>
      <w:r w:rsidRPr="00ED585C">
        <w:t xml:space="preserve"> billion of loans </w:t>
      </w:r>
      <w:r>
        <w:t>ha</w:t>
      </w:r>
      <w:r w:rsidR="00530C0B">
        <w:t>ve</w:t>
      </w:r>
      <w:r>
        <w:t xml:space="preserve"> been</w:t>
      </w:r>
      <w:r w:rsidRPr="00ED585C">
        <w:t xml:space="preserve"> disbursed</w:t>
      </w:r>
      <w:r w:rsidR="004C6182" w:rsidRPr="00ED585C">
        <w:t xml:space="preserve"> to Ukraine</w:t>
      </w:r>
      <w:r w:rsidRPr="00ED585C">
        <w:t xml:space="preserve"> </w:t>
      </w:r>
      <w:r>
        <w:t>by the end of 2025 (2024: EUR 13.1 billion).</w:t>
      </w:r>
    </w:p>
    <w:p w14:paraId="6678D840" w14:textId="77777777" w:rsidR="00BD18E5" w:rsidRPr="0098443A" w:rsidRDefault="00023E71" w:rsidP="008831ED">
      <w:pPr>
        <w:pStyle w:val="DGTextstand-alone"/>
      </w:pPr>
      <w:r w:rsidRPr="00ED585C">
        <w:t xml:space="preserve">The impairment allowance </w:t>
      </w:r>
      <w:r>
        <w:t>recognised on those loans</w:t>
      </w:r>
      <w:r w:rsidRPr="00ED585C">
        <w:t xml:space="preserve"> total</w:t>
      </w:r>
      <w:r>
        <w:t>s</w:t>
      </w:r>
      <w:r w:rsidRPr="00ED585C">
        <w:t xml:space="preserve"> EUR </w:t>
      </w:r>
      <w:r>
        <w:t xml:space="preserve">10.9 </w:t>
      </w:r>
      <w:r w:rsidR="001B3F04" w:rsidRPr="00ED585C">
        <w:t>billion</w:t>
      </w:r>
      <w:r w:rsidRPr="00ED585C">
        <w:t xml:space="preserve"> </w:t>
      </w:r>
      <w:r>
        <w:t xml:space="preserve">as </w:t>
      </w:r>
      <w:r w:rsidRPr="00ED585C">
        <w:t>at 31 December 202</w:t>
      </w:r>
      <w:r>
        <w:t>5 (2024: EUR 5.7 billion)</w:t>
      </w:r>
      <w:r w:rsidRPr="00ED585C">
        <w:t>. The</w:t>
      </w:r>
      <w:r w:rsidR="001B3F04" w:rsidRPr="00ED585C">
        <w:t xml:space="preserve">re are EUR </w:t>
      </w:r>
      <w:r>
        <w:t xml:space="preserve">9.8 </w:t>
      </w:r>
      <w:r w:rsidR="001B3F04" w:rsidRPr="00ED585C">
        <w:t xml:space="preserve">billion </w:t>
      </w:r>
      <w:r w:rsidRPr="00ED585C">
        <w:t>undrawn amounts from signed loan agreements at year end</w:t>
      </w:r>
      <w:r>
        <w:t xml:space="preserve"> (2024: EUR </w:t>
      </w:r>
      <w:r w:rsidRPr="00ED585C">
        <w:t>19.9</w:t>
      </w:r>
      <w:r>
        <w:t xml:space="preserve"> billion)</w:t>
      </w:r>
      <w:r w:rsidR="00530C0B">
        <w:t xml:space="preserve"> conditionally committed</w:t>
      </w:r>
      <w:r w:rsidR="00BD2647">
        <w:t xml:space="preserve"> upon meeting policy conditions</w:t>
      </w:r>
      <w:r w:rsidRPr="00ED585C">
        <w:t>.</w:t>
      </w:r>
    </w:p>
    <w:p w14:paraId="450D06E9" w14:textId="77777777" w:rsidR="0027349E" w:rsidRPr="00ED585C" w:rsidRDefault="00023E71" w:rsidP="0098443A">
      <w:pPr>
        <w:pStyle w:val="DGTextstand-alone"/>
        <w:keepNext/>
        <w:rPr>
          <w:color w:val="016794"/>
          <w:lang w:eastAsia="en-GB"/>
        </w:rPr>
      </w:pPr>
      <w:r w:rsidRPr="00ED585C">
        <w:rPr>
          <w:color w:val="016794"/>
          <w:lang w:eastAsia="en-GB"/>
        </w:rPr>
        <w:t>European Atomic Energy Community loans (Euratom)</w:t>
      </w:r>
    </w:p>
    <w:p w14:paraId="1FCEF58F" w14:textId="77777777" w:rsidR="0027349E" w:rsidRPr="008831ED" w:rsidRDefault="00023E71" w:rsidP="008831ED">
      <w:pPr>
        <w:pStyle w:val="DGTextstand-alone"/>
      </w:pPr>
      <w:r w:rsidRPr="008831ED">
        <w:t xml:space="preserve">The European Atomic Energy Community (Euratom) lends money to both Member States and non-Member States, and to entities of both, to finance projects relating to energy installations. </w:t>
      </w:r>
      <w:r w:rsidR="0098644A" w:rsidRPr="008831ED">
        <w:t>As</w:t>
      </w:r>
      <w:r w:rsidRPr="008831ED">
        <w:t> </w:t>
      </w:r>
      <w:r w:rsidR="0098644A" w:rsidRPr="008831ED">
        <w:t>at</w:t>
      </w:r>
      <w:r w:rsidRPr="008831ED">
        <w:t> </w:t>
      </w:r>
      <w:r w:rsidR="0098644A" w:rsidRPr="008831ED">
        <w:t>31</w:t>
      </w:r>
      <w:r w:rsidRPr="008831ED">
        <w:t> </w:t>
      </w:r>
      <w:r w:rsidR="0098644A" w:rsidRPr="008831ED">
        <w:t xml:space="preserve">December 2025, there are no outstanding amounts relating to Member States. </w:t>
      </w:r>
      <w:r w:rsidR="00461B68" w:rsidRPr="008831ED">
        <w:t xml:space="preserve">The total outstanding amount </w:t>
      </w:r>
      <w:r w:rsidRPr="008831ED">
        <w:t xml:space="preserve">relates to loans to Energoatom, guaranteed by </w:t>
      </w:r>
      <w:r w:rsidR="00FB7DF5" w:rsidRPr="008831ED">
        <w:t xml:space="preserve">the </w:t>
      </w:r>
      <w:r w:rsidRPr="008831ED">
        <w:t>Ukrain</w:t>
      </w:r>
      <w:r w:rsidR="00FB7DF5" w:rsidRPr="008831ED">
        <w:t>ian state</w:t>
      </w:r>
      <w:r w:rsidRPr="008831ED">
        <w:t xml:space="preserve">. For these loans an impairment allowance of EUR </w:t>
      </w:r>
      <w:r w:rsidR="003803C8" w:rsidRPr="008831ED">
        <w:t>9</w:t>
      </w:r>
      <w:r w:rsidR="0098644A" w:rsidRPr="008831ED">
        <w:t>4</w:t>
      </w:r>
      <w:r w:rsidRPr="008831ED">
        <w:t xml:space="preserve"> million has been recognised</w:t>
      </w:r>
      <w:r>
        <w:t xml:space="preserve"> (2024: EUR 98 million)</w:t>
      </w:r>
      <w:r w:rsidRPr="008831ED">
        <w:t xml:space="preserve">. There are no undrawn amounts from signed loan agreements. </w:t>
      </w:r>
    </w:p>
    <w:p w14:paraId="61AF2B6A" w14:textId="77777777" w:rsidR="00A87589" w:rsidRDefault="00023E71" w:rsidP="00FD358D">
      <w:pPr>
        <w:pStyle w:val="HEADER5"/>
        <w:spacing w:before="240"/>
        <w:rPr>
          <w:noProof/>
        </w:rPr>
      </w:pPr>
      <w:r w:rsidRPr="00FD358D">
        <w:rPr>
          <w:noProof/>
        </w:rPr>
        <w:t>Reform and Growth Facility of the Western Balkans</w:t>
      </w:r>
    </w:p>
    <w:p w14:paraId="182171C1" w14:textId="77777777" w:rsidR="00376DFC" w:rsidRDefault="00023E71" w:rsidP="008831ED">
      <w:pPr>
        <w:pStyle w:val="DGTextstand-alone"/>
        <w:rPr>
          <w:b/>
        </w:rPr>
      </w:pPr>
      <w:r>
        <w:t>T</w:t>
      </w:r>
      <w:r w:rsidRPr="00FD358D">
        <w:t xml:space="preserve">he </w:t>
      </w:r>
      <w:r>
        <w:t xml:space="preserve">Regulation (EU) 2024/1449 </w:t>
      </w:r>
      <w:r w:rsidRPr="00FD358D">
        <w:t>on establishing the Reform and Growth Facility for the Western Balkans</w:t>
      </w:r>
      <w:r>
        <w:rPr>
          <w:rStyle w:val="FootnoteReference"/>
        </w:rPr>
        <w:footnoteReference w:id="30"/>
      </w:r>
      <w:r>
        <w:t xml:space="preserve"> (</w:t>
      </w:r>
      <w:r w:rsidR="00EA055F" w:rsidRPr="00EA055F">
        <w:t xml:space="preserve">hereafter referred to </w:t>
      </w:r>
      <w:r w:rsidR="00EA055F">
        <w:t xml:space="preserve">as </w:t>
      </w:r>
      <w:r w:rsidR="000E1664">
        <w:t>‘</w:t>
      </w:r>
      <w:r>
        <w:t>Western Balkans Facility’) was adopted in May 2024,</w:t>
      </w:r>
      <w:r w:rsidRPr="00FD358D">
        <w:t xml:space="preserve"> with the first financial operations occurring in 2025. The Facility </w:t>
      </w:r>
      <w:r w:rsidRPr="00376DFC">
        <w:t xml:space="preserve">is expected to provide up to </w:t>
      </w:r>
      <w:r w:rsidRPr="00FD358D">
        <w:t>EUR</w:t>
      </w:r>
      <w:r w:rsidR="00EA055F">
        <w:t> </w:t>
      </w:r>
      <w:r w:rsidRPr="00FD358D">
        <w:t xml:space="preserve">4 billion in loans </w:t>
      </w:r>
      <w:r w:rsidR="000E1664">
        <w:t>in</w:t>
      </w:r>
      <w:r w:rsidRPr="00FD358D">
        <w:t xml:space="preserve"> 2025-2027, with payments conditioned upo</w:t>
      </w:r>
      <w:r>
        <w:t>n</w:t>
      </w:r>
      <w:r w:rsidRPr="00FD358D">
        <w:t xml:space="preserve"> the </w:t>
      </w:r>
      <w:r>
        <w:t xml:space="preserve">EU </w:t>
      </w:r>
      <w:r w:rsidRPr="00FD358D">
        <w:t>partner</w:t>
      </w:r>
      <w:r>
        <w:t xml:space="preserve"> countries</w:t>
      </w:r>
      <w:r w:rsidRPr="00FD358D">
        <w:t xml:space="preserve"> in the Western Balkans implementing specific socio-economic and fundamental reforms. </w:t>
      </w:r>
    </w:p>
    <w:p w14:paraId="5615B056" w14:textId="77777777" w:rsidR="00FD358D" w:rsidRPr="00FD358D" w:rsidRDefault="00023E71" w:rsidP="008831ED">
      <w:pPr>
        <w:pStyle w:val="DGTextstand-alone"/>
        <w:rPr>
          <w:b/>
        </w:rPr>
      </w:pPr>
      <w:r>
        <w:t xml:space="preserve">By 31 December 2025, EUR 2.6 billion of loans were signed with </w:t>
      </w:r>
      <w:r w:rsidRPr="00376DFC">
        <w:t>North Macedonia</w:t>
      </w:r>
      <w:r>
        <w:t xml:space="preserve">, </w:t>
      </w:r>
      <w:r w:rsidRPr="00376DFC">
        <w:t>Albania</w:t>
      </w:r>
      <w:r>
        <w:t xml:space="preserve">, </w:t>
      </w:r>
      <w:r w:rsidRPr="00376DFC">
        <w:t>Serbia</w:t>
      </w:r>
      <w:r>
        <w:t xml:space="preserve"> and </w:t>
      </w:r>
      <w:r w:rsidRPr="00376DFC">
        <w:t>Montenegro</w:t>
      </w:r>
      <w:r>
        <w:t>, of which EUR 184 million ha</w:t>
      </w:r>
      <w:r w:rsidR="00530C0B">
        <w:t>ve</w:t>
      </w:r>
      <w:r>
        <w:t xml:space="preserve"> been disbursed. </w:t>
      </w:r>
      <w:r w:rsidR="00BD2647">
        <w:t xml:space="preserve">At year-end, </w:t>
      </w:r>
      <w:r>
        <w:t xml:space="preserve">EUR 2.4 </w:t>
      </w:r>
      <w:r w:rsidRPr="00376DFC">
        <w:t>billion</w:t>
      </w:r>
      <w:r w:rsidR="00BD2647">
        <w:t xml:space="preserve"> remains</w:t>
      </w:r>
      <w:r w:rsidRPr="00376DFC">
        <w:t xml:space="preserve"> conditionally commi</w:t>
      </w:r>
      <w:r>
        <w:t>t</w:t>
      </w:r>
      <w:r w:rsidRPr="00376DFC">
        <w:t>ted</w:t>
      </w:r>
      <w:r w:rsidR="00BD2647">
        <w:t>, subject to the fulfillment of policy conditions</w:t>
      </w:r>
      <w:r>
        <w:t>.</w:t>
      </w:r>
    </w:p>
    <w:p w14:paraId="191AA810" w14:textId="77777777" w:rsidR="00A87589" w:rsidRDefault="00023E71" w:rsidP="00A87589">
      <w:pPr>
        <w:pStyle w:val="HEADER5"/>
        <w:spacing w:before="240"/>
        <w:rPr>
          <w:noProof/>
        </w:rPr>
      </w:pPr>
      <w:r w:rsidRPr="00376DFC">
        <w:rPr>
          <w:noProof/>
        </w:rPr>
        <w:t>Reform and Growth Facility for the Republic of Moldova</w:t>
      </w:r>
    </w:p>
    <w:p w14:paraId="2EAE38F8" w14:textId="77777777" w:rsidR="00EA055F" w:rsidRDefault="00023E71" w:rsidP="008831ED">
      <w:pPr>
        <w:pStyle w:val="DGTextstand-alone"/>
        <w:rPr>
          <w:b/>
        </w:rPr>
      </w:pPr>
      <w:r w:rsidRPr="00376DFC">
        <w:t xml:space="preserve">The Regulation (EU) 2025/535 establishing </w:t>
      </w:r>
      <w:bookmarkStart w:id="108" w:name="_Hlk225112528"/>
      <w:r w:rsidRPr="00376DFC">
        <w:t>the Reform and Growth Facility for the Republic of Moldova</w:t>
      </w:r>
      <w:bookmarkEnd w:id="108"/>
      <w:r>
        <w:rPr>
          <w:rStyle w:val="FootnoteReference"/>
        </w:rPr>
        <w:footnoteReference w:id="31"/>
      </w:r>
      <w:r>
        <w:t xml:space="preserve"> (</w:t>
      </w:r>
      <w:r w:rsidRPr="00EA055F">
        <w:t xml:space="preserve">hereafter referred to </w:t>
      </w:r>
      <w:r>
        <w:t>as ‘Moldova Facility’)</w:t>
      </w:r>
      <w:r w:rsidRPr="00376DFC">
        <w:t xml:space="preserve">, was adopted </w:t>
      </w:r>
      <w:r>
        <w:t>in</w:t>
      </w:r>
      <w:r w:rsidRPr="00376DFC">
        <w:t xml:space="preserve"> March 2025. The facility </w:t>
      </w:r>
      <w:r w:rsidR="000E1664">
        <w:t xml:space="preserve">will </w:t>
      </w:r>
      <w:r w:rsidRPr="00376DFC">
        <w:t>support Moldova during the period from 2025 to 2027 and is expected to provide up to EUR</w:t>
      </w:r>
      <w:r w:rsidR="001F11DB">
        <w:t> </w:t>
      </w:r>
      <w:r w:rsidRPr="00376DFC">
        <w:t xml:space="preserve">1.5 billion in loans. </w:t>
      </w:r>
    </w:p>
    <w:p w14:paraId="6CCC3CAF" w14:textId="77777777" w:rsidR="00376DFC" w:rsidRPr="00376DFC" w:rsidRDefault="00023E71" w:rsidP="008831ED">
      <w:pPr>
        <w:pStyle w:val="DGTextstand-alone"/>
        <w:rPr>
          <w:b/>
        </w:rPr>
      </w:pPr>
      <w:r>
        <w:t>The loan agreement for EUR 1.5 billion was signed in 2025</w:t>
      </w:r>
      <w:r w:rsidR="000E1664">
        <w:t xml:space="preserve">. </w:t>
      </w:r>
      <w:r w:rsidRPr="00376DFC">
        <w:t xml:space="preserve">EUR </w:t>
      </w:r>
      <w:r>
        <w:t>289 million</w:t>
      </w:r>
      <w:r w:rsidRPr="00376DFC">
        <w:t xml:space="preserve"> ha</w:t>
      </w:r>
      <w:r>
        <w:t>s</w:t>
      </w:r>
      <w:r w:rsidRPr="00376DFC">
        <w:t xml:space="preserve"> been disbursed</w:t>
      </w:r>
      <w:r w:rsidR="000E1664">
        <w:t xml:space="preserve"> </w:t>
      </w:r>
      <w:r w:rsidR="00D854E9">
        <w:t>b</w:t>
      </w:r>
      <w:r w:rsidR="00D854E9" w:rsidRPr="00376DFC">
        <w:t>y 3</w:t>
      </w:r>
      <w:r w:rsidR="00D854E9">
        <w:t>1</w:t>
      </w:r>
      <w:r w:rsidR="000E1664">
        <w:t> </w:t>
      </w:r>
      <w:r w:rsidR="00D854E9">
        <w:t>December 2025</w:t>
      </w:r>
      <w:r w:rsidR="000E1664">
        <w:t>, while</w:t>
      </w:r>
      <w:r>
        <w:t xml:space="preserve"> EUR 1.2 </w:t>
      </w:r>
      <w:r w:rsidRPr="00376DFC">
        <w:t xml:space="preserve">billion </w:t>
      </w:r>
      <w:r>
        <w:t xml:space="preserve">remains </w:t>
      </w:r>
      <w:r w:rsidRPr="00376DFC">
        <w:t xml:space="preserve">undrawn </w:t>
      </w:r>
      <w:r>
        <w:t>at year-end.</w:t>
      </w:r>
    </w:p>
    <w:p w14:paraId="7241076C" w14:textId="77777777" w:rsidR="0056021E" w:rsidRPr="00ED585C" w:rsidRDefault="00023E71" w:rsidP="0056021E">
      <w:pPr>
        <w:pStyle w:val="HEADER5"/>
        <w:spacing w:before="240"/>
        <w:rPr>
          <w:noProof/>
        </w:rPr>
      </w:pPr>
      <w:r w:rsidRPr="00ED585C">
        <w:rPr>
          <w:noProof/>
        </w:rPr>
        <w:t>EU budget guarantee for loans to Member States and third countries</w:t>
      </w:r>
    </w:p>
    <w:p w14:paraId="43C6B232" w14:textId="77777777" w:rsidR="0056021E" w:rsidRPr="00ED585C" w:rsidRDefault="00023E71" w:rsidP="0056021E">
      <w:pPr>
        <w:pStyle w:val="DGTextstand-alone"/>
      </w:pPr>
      <w:r w:rsidRPr="00ED585C">
        <w:t xml:space="preserve">The EU budget guarantees the borrowings issued by the EU which finance the loans to Member States and third countries. If there would be unpaid loan amounts in the future, the EU budget may have to repay the related borrowing amounts. </w:t>
      </w:r>
    </w:p>
    <w:p w14:paraId="38AEFAA9" w14:textId="77777777" w:rsidR="0089376D" w:rsidRPr="00ED585C" w:rsidRDefault="00023E71" w:rsidP="0089376D">
      <w:pPr>
        <w:pStyle w:val="DGTextstand-alone"/>
      </w:pPr>
      <w:r w:rsidRPr="00ED585C">
        <w:t xml:space="preserve">For more details, see </w:t>
      </w:r>
      <w:r>
        <w:t>N</w:t>
      </w:r>
      <w:r w:rsidRPr="00ED585C">
        <w:t xml:space="preserve">ote </w:t>
      </w:r>
      <w:r w:rsidRPr="00ED585C">
        <w:rPr>
          <w:b/>
        </w:rPr>
        <w:t>6</w:t>
      </w:r>
      <w:r>
        <w:rPr>
          <w:b/>
        </w:rPr>
        <w:t>.7</w:t>
      </w:r>
      <w:r w:rsidRPr="00ED585C">
        <w:t>.</w:t>
      </w:r>
    </w:p>
    <w:p w14:paraId="2BD2FEB6" w14:textId="77777777" w:rsidR="0089376D" w:rsidRPr="00ED585C" w:rsidRDefault="00023E71" w:rsidP="00220377">
      <w:pPr>
        <w:pStyle w:val="HEADER5"/>
        <w:keepNext/>
        <w:spacing w:before="240"/>
        <w:rPr>
          <w:noProof/>
        </w:rPr>
      </w:pPr>
      <w:r w:rsidRPr="00ED585C">
        <w:rPr>
          <w:noProof/>
        </w:rPr>
        <w:t>UK obligations arising from its departure from the EU</w:t>
      </w:r>
    </w:p>
    <w:p w14:paraId="5882535F" w14:textId="77777777" w:rsidR="00755433" w:rsidRPr="00ED585C" w:rsidRDefault="00023E71" w:rsidP="00755433">
      <w:pPr>
        <w:pStyle w:val="DGTextstand-alone"/>
      </w:pPr>
      <w:r w:rsidRPr="00ED585C">
        <w:t xml:space="preserve">In </w:t>
      </w:r>
      <w:r>
        <w:t xml:space="preserve">accordance with Article 143 of the Withdrawal Agreement, the UK shall be liable to the Union for its share of contingent financial liabilities related to the loans for financial assistance (EFSM, MFA, BOP and Euratom) approved/decided by the withdrawal date, 31 January 2020. Article 143 requires that in case of a default under a loan for financial assistance that has been approved before the withdrawal date, the UK would be liable to the Union for its share of payments made by the Union under the defaulted operation, unless this could be covered by the UK share of provisioning held in the Guarantee Fund for external actions compartment of the CPF where this is relevant (i.e. MFA and Euratom loans in third countries) – see Note </w:t>
      </w:r>
      <w:r w:rsidRPr="00ED585C">
        <w:rPr>
          <w:b/>
          <w:bCs/>
        </w:rPr>
        <w:t>4.1.1</w:t>
      </w:r>
      <w:r w:rsidRPr="00ED585C">
        <w:t>.</w:t>
      </w:r>
    </w:p>
    <w:p w14:paraId="1AC559C0" w14:textId="77777777" w:rsidR="007A7532" w:rsidRPr="00ED585C" w:rsidRDefault="00023E71" w:rsidP="00755433">
      <w:pPr>
        <w:pStyle w:val="DGTextstand-alone"/>
      </w:pPr>
      <w:r w:rsidRPr="00ED585C">
        <w:t xml:space="preserve">The </w:t>
      </w:r>
      <w:r w:rsidRPr="004B5B3F">
        <w:t>EU’s outstanding contingent liability relating to the above loans for financial assistance amounted to EUR 53.9 billion as at the withdrawal date. Following repayments since that date, the value of these loans covered by the EU guarantee at 31 December 2025 is EUR 42.2 billion – the UK’s share of this is EUR</w:t>
      </w:r>
      <w:r w:rsidR="000B3131">
        <w:t> </w:t>
      </w:r>
      <w:r w:rsidRPr="004B5B3F">
        <w:t>5.3</w:t>
      </w:r>
      <w:r w:rsidR="000B3131">
        <w:t> </w:t>
      </w:r>
      <w:r w:rsidRPr="00ED585C">
        <w:t>billion.</w:t>
      </w:r>
    </w:p>
    <w:p w14:paraId="2010E65B" w14:textId="77777777" w:rsidR="00CB15BC" w:rsidRPr="00ED585C" w:rsidRDefault="00023E71" w:rsidP="00172034">
      <w:pPr>
        <w:pStyle w:val="HEADER4NOTES"/>
        <w:numPr>
          <w:ilvl w:val="3"/>
          <w:numId w:val="15"/>
        </w:numPr>
        <w:rPr>
          <w:noProof/>
        </w:rPr>
      </w:pPr>
      <w:r w:rsidRPr="00ED585C">
        <w:rPr>
          <w:noProof/>
        </w:rPr>
        <w:t>Other loans</w:t>
      </w:r>
    </w:p>
    <w:p w14:paraId="4361EF19" w14:textId="77777777" w:rsidR="006927F7" w:rsidRPr="00ED585C" w:rsidRDefault="00023E71" w:rsidP="006927F7">
      <w:pPr>
        <w:pStyle w:val="DGTextstand-alone"/>
      </w:pPr>
      <w:r w:rsidRPr="00ED585C">
        <w:t xml:space="preserve">These include 3 types of loans: </w:t>
      </w:r>
    </w:p>
    <w:p w14:paraId="1F1E7B35" w14:textId="77777777" w:rsidR="006927F7" w:rsidRPr="00ED585C" w:rsidRDefault="00023E71" w:rsidP="00172034">
      <w:pPr>
        <w:pStyle w:val="DGTextstand-alone"/>
        <w:numPr>
          <w:ilvl w:val="0"/>
          <w:numId w:val="20"/>
        </w:numPr>
      </w:pPr>
      <w:r w:rsidRPr="00ED585C">
        <w:t xml:space="preserve">Loans granted from EU budget programmes (e.g. the </w:t>
      </w:r>
      <w:r w:rsidR="001E13F4" w:rsidRPr="00ED585C">
        <w:t>Agriculture and Electrification Financing initiatives</w:t>
      </w:r>
      <w:r w:rsidRPr="00ED585C">
        <w:t xml:space="preserve"> and the EU Employment and Social Innovation programme). These loans </w:t>
      </w:r>
      <w:r w:rsidR="0099280D" w:rsidRPr="00ED585C">
        <w:t>total</w:t>
      </w:r>
      <w:r w:rsidRPr="00ED585C">
        <w:t xml:space="preserve"> EUR </w:t>
      </w:r>
      <w:r w:rsidR="009520B9">
        <w:t>8</w:t>
      </w:r>
      <w:r w:rsidR="00BC2FCD" w:rsidRPr="00ED585C">
        <w:t>5</w:t>
      </w:r>
      <w:r w:rsidRPr="00ED585C">
        <w:t> </w:t>
      </w:r>
      <w:r w:rsidR="00276890" w:rsidRPr="00ED585C">
        <w:t>m</w:t>
      </w:r>
      <w:r w:rsidRPr="00ED585C">
        <w:t>illion as at 31 December 202</w:t>
      </w:r>
      <w:r w:rsidR="009520B9">
        <w:t>5</w:t>
      </w:r>
      <w:r w:rsidRPr="00ED585C">
        <w:t xml:space="preserve"> (202</w:t>
      </w:r>
      <w:r w:rsidR="009520B9">
        <w:t>4</w:t>
      </w:r>
      <w:r w:rsidRPr="00ED585C">
        <w:t>: EUR 7</w:t>
      </w:r>
      <w:r w:rsidR="009520B9">
        <w:t>5</w:t>
      </w:r>
      <w:r w:rsidRPr="00ED585C">
        <w:t xml:space="preserve"> million)</w:t>
      </w:r>
      <w:r w:rsidR="006D4CEE" w:rsidRPr="00ED585C">
        <w:t>.</w:t>
      </w:r>
    </w:p>
    <w:p w14:paraId="6F697405" w14:textId="77777777" w:rsidR="006927F7" w:rsidRPr="00ED585C" w:rsidRDefault="00023E71" w:rsidP="00172034">
      <w:pPr>
        <w:pStyle w:val="DGTextstand-alone"/>
        <w:numPr>
          <w:ilvl w:val="0"/>
          <w:numId w:val="20"/>
        </w:numPr>
      </w:pPr>
      <w:r w:rsidRPr="00ED585C">
        <w:rPr>
          <w:shd w:val="clear" w:color="auto" w:fill="FFFFFF"/>
        </w:rPr>
        <w:t>Subrogate</w:t>
      </w:r>
      <w:r w:rsidR="00222D93" w:rsidRPr="00ED585C">
        <w:rPr>
          <w:shd w:val="clear" w:color="auto" w:fill="FFFFFF"/>
        </w:rPr>
        <w:t>d loans: These are loans disbursed</w:t>
      </w:r>
      <w:r w:rsidRPr="00ED585C">
        <w:rPr>
          <w:shd w:val="clear" w:color="auto" w:fill="FFFFFF"/>
        </w:rPr>
        <w:t xml:space="preserve"> by the EIB and guaranteed by the EFSI and ELM programmes. The loans def</w:t>
      </w:r>
      <w:r w:rsidR="00222D93" w:rsidRPr="00ED585C">
        <w:rPr>
          <w:shd w:val="clear" w:color="auto" w:fill="FFFFFF"/>
        </w:rPr>
        <w:t>aulted, the Commission paid the</w:t>
      </w:r>
      <w:r w:rsidRPr="00ED585C">
        <w:rPr>
          <w:shd w:val="clear" w:color="auto" w:fill="FFFFFF"/>
        </w:rPr>
        <w:t xml:space="preserve"> guarantee call</w:t>
      </w:r>
      <w:r w:rsidR="00222D93" w:rsidRPr="00ED585C">
        <w:rPr>
          <w:shd w:val="clear" w:color="auto" w:fill="FFFFFF"/>
        </w:rPr>
        <w:t>s</w:t>
      </w:r>
      <w:r w:rsidRPr="00ED585C">
        <w:rPr>
          <w:shd w:val="clear" w:color="auto" w:fill="FFFFFF"/>
        </w:rPr>
        <w:t xml:space="preserve"> and </w:t>
      </w:r>
      <w:r w:rsidR="0099280D" w:rsidRPr="00ED585C">
        <w:rPr>
          <w:shd w:val="clear" w:color="auto" w:fill="FFFFFF"/>
        </w:rPr>
        <w:t xml:space="preserve">therefore </w:t>
      </w:r>
      <w:r w:rsidRPr="00ED585C">
        <w:rPr>
          <w:shd w:val="clear" w:color="auto" w:fill="FFFFFF"/>
        </w:rPr>
        <w:t>holds the recovery rights. As a result the loans are now recognised on the EU balance sheet. At 31 December 202</w:t>
      </w:r>
      <w:r w:rsidR="009520B9">
        <w:rPr>
          <w:shd w:val="clear" w:color="auto" w:fill="FFFFFF"/>
        </w:rPr>
        <w:t>5</w:t>
      </w:r>
      <w:r w:rsidRPr="00ED585C">
        <w:rPr>
          <w:shd w:val="clear" w:color="auto" w:fill="FFFFFF"/>
        </w:rPr>
        <w:t>, the Commission holds t</w:t>
      </w:r>
      <w:r w:rsidR="00265975" w:rsidRPr="00ED585C">
        <w:rPr>
          <w:shd w:val="clear" w:color="auto" w:fill="FFFFFF"/>
        </w:rPr>
        <w:t xml:space="preserve">he recovery rights for EUR </w:t>
      </w:r>
      <w:r w:rsidRPr="00ED585C">
        <w:rPr>
          <w:shd w:val="clear" w:color="auto" w:fill="FFFFFF"/>
        </w:rPr>
        <w:t>1.0</w:t>
      </w:r>
      <w:r w:rsidR="00265975" w:rsidRPr="00ED585C">
        <w:rPr>
          <w:shd w:val="clear" w:color="auto" w:fill="FFFFFF"/>
        </w:rPr>
        <w:t xml:space="preserve"> billion</w:t>
      </w:r>
      <w:r w:rsidRPr="00ED585C">
        <w:rPr>
          <w:shd w:val="clear" w:color="auto" w:fill="FFFFFF"/>
        </w:rPr>
        <w:t xml:space="preserve"> of such loans</w:t>
      </w:r>
      <w:r w:rsidR="004C6182" w:rsidRPr="00ED585C">
        <w:rPr>
          <w:shd w:val="clear" w:color="auto" w:fill="FFFFFF"/>
        </w:rPr>
        <w:t xml:space="preserve">, </w:t>
      </w:r>
      <w:r w:rsidRPr="00ED585C">
        <w:rPr>
          <w:shd w:val="clear" w:color="auto" w:fill="FFFFFF"/>
        </w:rPr>
        <w:t>including</w:t>
      </w:r>
      <w:r w:rsidR="004C6182" w:rsidRPr="00ED585C">
        <w:rPr>
          <w:shd w:val="clear" w:color="auto" w:fill="FFFFFF"/>
        </w:rPr>
        <w:t xml:space="preserve"> accrued interests</w:t>
      </w:r>
      <w:r w:rsidR="00BE5E1B" w:rsidRPr="00ED585C">
        <w:rPr>
          <w:shd w:val="clear" w:color="auto" w:fill="FFFFFF"/>
        </w:rPr>
        <w:t xml:space="preserve"> (202</w:t>
      </w:r>
      <w:r w:rsidR="009520B9">
        <w:rPr>
          <w:shd w:val="clear" w:color="auto" w:fill="FFFFFF"/>
        </w:rPr>
        <w:t>4</w:t>
      </w:r>
      <w:r w:rsidR="00BE5E1B" w:rsidRPr="00ED585C">
        <w:rPr>
          <w:shd w:val="clear" w:color="auto" w:fill="FFFFFF"/>
        </w:rPr>
        <w:t xml:space="preserve">: EUR </w:t>
      </w:r>
      <w:r w:rsidR="009520B9">
        <w:rPr>
          <w:shd w:val="clear" w:color="auto" w:fill="FFFFFF"/>
        </w:rPr>
        <w:t>1.0</w:t>
      </w:r>
      <w:r w:rsidR="00BE5E1B" w:rsidRPr="00ED585C">
        <w:rPr>
          <w:shd w:val="clear" w:color="auto" w:fill="FFFFFF"/>
        </w:rPr>
        <w:t xml:space="preserve"> billion)</w:t>
      </w:r>
      <w:r w:rsidRPr="00ED585C">
        <w:rPr>
          <w:shd w:val="clear" w:color="auto" w:fill="FFFFFF"/>
        </w:rPr>
        <w:t xml:space="preserve">. However, after taking into account the expected credit losses, the amount recognised on the balance sheet is EUR </w:t>
      </w:r>
      <w:r w:rsidR="009520B9">
        <w:rPr>
          <w:shd w:val="clear" w:color="auto" w:fill="FFFFFF"/>
        </w:rPr>
        <w:t>45</w:t>
      </w:r>
      <w:r w:rsidRPr="00ED585C">
        <w:rPr>
          <w:shd w:val="clear" w:color="auto" w:fill="FFFFFF"/>
        </w:rPr>
        <w:t xml:space="preserve"> million</w:t>
      </w:r>
      <w:r w:rsidR="00817332" w:rsidRPr="00ED585C">
        <w:rPr>
          <w:shd w:val="clear" w:color="auto" w:fill="FFFFFF"/>
        </w:rPr>
        <w:t xml:space="preserve"> (202</w:t>
      </w:r>
      <w:r w:rsidR="009520B9">
        <w:rPr>
          <w:shd w:val="clear" w:color="auto" w:fill="FFFFFF"/>
        </w:rPr>
        <w:t>4</w:t>
      </w:r>
      <w:r w:rsidR="00817332" w:rsidRPr="00ED585C">
        <w:rPr>
          <w:shd w:val="clear" w:color="auto" w:fill="FFFFFF"/>
        </w:rPr>
        <w:t xml:space="preserve">: </w:t>
      </w:r>
      <w:r w:rsidR="006D4CEE" w:rsidRPr="00ED585C">
        <w:t>EUR</w:t>
      </w:r>
      <w:r w:rsidRPr="00ED585C">
        <w:t> </w:t>
      </w:r>
      <w:r w:rsidR="00BC6A60" w:rsidRPr="00ED585C">
        <w:t>5</w:t>
      </w:r>
      <w:r w:rsidR="009520B9">
        <w:t>1</w:t>
      </w:r>
      <w:r w:rsidR="00817332" w:rsidRPr="00ED585C">
        <w:rPr>
          <w:shd w:val="clear" w:color="auto" w:fill="FFFFFF"/>
        </w:rPr>
        <w:t xml:space="preserve"> million)</w:t>
      </w:r>
      <w:r w:rsidRPr="00ED585C">
        <w:rPr>
          <w:shd w:val="clear" w:color="auto" w:fill="FFFFFF"/>
        </w:rPr>
        <w:t xml:space="preserve">. </w:t>
      </w:r>
    </w:p>
    <w:p w14:paraId="3B94E6DE" w14:textId="77777777" w:rsidR="008604C9" w:rsidRPr="00ED585C" w:rsidRDefault="00023E71" w:rsidP="00172034">
      <w:pPr>
        <w:pStyle w:val="DGTextstand-alone"/>
        <w:numPr>
          <w:ilvl w:val="0"/>
          <w:numId w:val="20"/>
        </w:numPr>
      </w:pPr>
      <w:r w:rsidRPr="00ED585C">
        <w:rPr>
          <w:shd w:val="clear" w:color="auto" w:fill="FFFFFF"/>
        </w:rPr>
        <w:t>T</w:t>
      </w:r>
      <w:r w:rsidRPr="00ED585C">
        <w:t xml:space="preserve">erm deposits </w:t>
      </w:r>
      <w:r w:rsidR="00817332" w:rsidRPr="00ED585C">
        <w:t xml:space="preserve">of EUR </w:t>
      </w:r>
      <w:r w:rsidR="009520B9">
        <w:t>481</w:t>
      </w:r>
      <w:r w:rsidR="00FD7D4D" w:rsidRPr="00ED585C">
        <w:t xml:space="preserve"> million</w:t>
      </w:r>
      <w:r w:rsidR="00817332" w:rsidRPr="00ED585C">
        <w:t xml:space="preserve"> (202</w:t>
      </w:r>
      <w:r w:rsidR="009520B9">
        <w:t>4</w:t>
      </w:r>
      <w:r w:rsidR="00817332" w:rsidRPr="00ED585C">
        <w:t xml:space="preserve">: </w:t>
      </w:r>
      <w:r w:rsidR="006D4CEE" w:rsidRPr="00ED585C">
        <w:t xml:space="preserve">EUR </w:t>
      </w:r>
      <w:r w:rsidR="009520B9">
        <w:t>340</w:t>
      </w:r>
      <w:r w:rsidR="00817332" w:rsidRPr="00ED585C">
        <w:t xml:space="preserve"> million)</w:t>
      </w:r>
      <w:r w:rsidR="00FD7D4D" w:rsidRPr="00ED585C">
        <w:t xml:space="preserve"> </w:t>
      </w:r>
      <w:r w:rsidRPr="00ED585C">
        <w:t xml:space="preserve">with maturity of over 3 months that do not meet the definition of cash equivalents. </w:t>
      </w:r>
    </w:p>
    <w:p w14:paraId="5A69A0A6" w14:textId="77777777" w:rsidR="00A958E7" w:rsidRDefault="00023E71" w:rsidP="00172034">
      <w:pPr>
        <w:pStyle w:val="HEADER3NOTES"/>
        <w:numPr>
          <w:ilvl w:val="2"/>
          <w:numId w:val="15"/>
        </w:numPr>
        <w:rPr>
          <w:noProof/>
        </w:rPr>
      </w:pPr>
      <w:r w:rsidRPr="003B3540">
        <w:rPr>
          <w:noProof/>
        </w:rPr>
        <w:t>Financial assets at fair value through surplus or deficit</w:t>
      </w:r>
      <w:r>
        <w:rPr>
          <w:noProof/>
        </w:rPr>
        <w:t xml:space="preserve"> (FVSD)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rsidR="00807FFE" w14:paraId="76B52582" w14:textId="77777777">
        <w:trPr>
          <w:trHeight w:val="255"/>
        </w:trPr>
        <w:tc>
          <w:tcPr>
            <w:tcW w:w="4600" w:type="dxa"/>
            <w:tcBorders>
              <w:top w:val="nil"/>
              <w:left w:val="nil"/>
              <w:bottom w:val="nil"/>
              <w:right w:val="nil"/>
              <w:tl2br w:val="nil"/>
              <w:tr2bl w:val="nil"/>
            </w:tcBorders>
            <w:tcMar>
              <w:left w:w="60" w:type="dxa"/>
              <w:right w:w="60" w:type="dxa"/>
            </w:tcMar>
            <w:vAlign w:val="bottom"/>
          </w:tcPr>
          <w:p w14:paraId="2144DD85" w14:textId="77777777" w:rsidR="00807FFE" w:rsidRDefault="00807FFE">
            <w:pPr>
              <w:pStyle w:val="DMETW36764BIPFAFVTSD"/>
              <w:rPr>
                <w:rFonts w:ascii="Verdana" w:eastAsia="Verdana" w:hAnsi="Verdana" w:cs="Verdana"/>
                <w:noProof/>
                <w:color w:val="000000"/>
                <w:lang w:bidi="en-GB"/>
              </w:rPr>
            </w:pPr>
            <w:bookmarkStart w:id="109" w:name="DOC_TBL00024_1_1"/>
            <w:bookmarkEnd w:id="109"/>
          </w:p>
        </w:tc>
        <w:tc>
          <w:tcPr>
            <w:tcW w:w="1878" w:type="dxa"/>
            <w:tcBorders>
              <w:top w:val="nil"/>
              <w:left w:val="nil"/>
              <w:bottom w:val="nil"/>
              <w:right w:val="nil"/>
              <w:tl2br w:val="nil"/>
              <w:tr2bl w:val="nil"/>
            </w:tcBorders>
            <w:tcMar>
              <w:left w:w="60" w:type="dxa"/>
              <w:right w:w="60" w:type="dxa"/>
            </w:tcMar>
            <w:vAlign w:val="bottom"/>
          </w:tcPr>
          <w:p w14:paraId="69F2E94B" w14:textId="77777777" w:rsidR="00807FFE" w:rsidRDefault="00807FFE">
            <w:pPr>
              <w:pStyle w:val="DMETW36764BIPFAFVTSD"/>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14:paraId="26ECC202" w14:textId="77777777" w:rsidR="00807FFE" w:rsidRDefault="00807FFE">
            <w:pPr>
              <w:pStyle w:val="DMETW36764BIPFAFVTSD"/>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14:paraId="63DB7F72" w14:textId="77777777" w:rsidR="00807FFE" w:rsidRDefault="00023E71">
            <w:pPr>
              <w:pStyle w:val="DMETW36764BIPFAFVTSD"/>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7891256" w14:textId="77777777">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14:paraId="1E6CD80D" w14:textId="77777777" w:rsidR="00807FFE" w:rsidRDefault="00807FFE">
            <w:pPr>
              <w:pStyle w:val="DMETW36764BIPFAFVTSD"/>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14:paraId="50A92CE2" w14:textId="77777777" w:rsidR="00807FFE" w:rsidRDefault="00023E71">
            <w:pPr>
              <w:pStyle w:val="DMETW36764BIPFAFVTSD"/>
              <w:jc w:val="right"/>
              <w:rPr>
                <w:rFonts w:ascii="Verdana" w:eastAsia="Verdana" w:hAnsi="Verdana" w:cs="Verdana"/>
                <w:noProof/>
                <w:color w:val="FFFFFF"/>
              </w:rPr>
            </w:pPr>
            <w:r>
              <w:rPr>
                <w:rFonts w:ascii="Verdana" w:eastAsia="Verdana" w:hAnsi="Verdana" w:cs="Verdana"/>
                <w:noProof/>
                <w:color w:val="FFFFFF"/>
              </w:rPr>
              <w:t>Note</w:t>
            </w:r>
          </w:p>
        </w:tc>
        <w:tc>
          <w:tcPr>
            <w:tcW w:w="1791" w:type="dxa"/>
            <w:tcBorders>
              <w:top w:val="nil"/>
              <w:left w:val="nil"/>
              <w:bottom w:val="nil"/>
              <w:right w:val="nil"/>
              <w:tl2br w:val="nil"/>
              <w:tr2bl w:val="nil"/>
            </w:tcBorders>
            <w:shd w:val="solid" w:color="016794" w:fill="FFFFFF"/>
            <w:tcMar>
              <w:left w:w="60" w:type="dxa"/>
              <w:right w:w="60" w:type="dxa"/>
            </w:tcMar>
            <w:vAlign w:val="center"/>
          </w:tcPr>
          <w:p w14:paraId="052BC2DB" w14:textId="77777777" w:rsidR="00807FFE" w:rsidRDefault="00023E71">
            <w:pPr>
              <w:pStyle w:val="DMETW36764BIPFAFVTSD"/>
              <w:jc w:val="right"/>
              <w:rPr>
                <w:rFonts w:ascii="Verdana" w:eastAsia="Verdana" w:hAnsi="Verdana" w:cs="Verdana"/>
                <w:noProof/>
                <w:color w:val="FFFFFF"/>
              </w:rPr>
            </w:pPr>
            <w:r>
              <w:rPr>
                <w:rFonts w:ascii="Verdana" w:eastAsia="Verdana" w:hAnsi="Verdana" w:cs="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14:paraId="7ADEFC7C" w14:textId="77777777" w:rsidR="00807FFE" w:rsidRDefault="00023E71">
            <w:pPr>
              <w:pStyle w:val="DMETW36764BIPFAFVTSD"/>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2DBCBAE0" w14:textId="77777777">
        <w:trPr>
          <w:trHeight w:val="255"/>
        </w:trPr>
        <w:tc>
          <w:tcPr>
            <w:tcW w:w="4600" w:type="dxa"/>
            <w:tcBorders>
              <w:top w:val="nil"/>
              <w:left w:val="nil"/>
              <w:bottom w:val="nil"/>
              <w:right w:val="nil"/>
              <w:tl2br w:val="nil"/>
              <w:tr2bl w:val="nil"/>
            </w:tcBorders>
            <w:tcMar>
              <w:left w:w="60" w:type="dxa"/>
              <w:right w:w="60" w:type="dxa"/>
            </w:tcMar>
            <w:vAlign w:val="center"/>
          </w:tcPr>
          <w:p w14:paraId="40915FA8" w14:textId="77777777" w:rsidR="00807FFE" w:rsidRDefault="00023E71">
            <w:pPr>
              <w:pStyle w:val="DMETW36764BIPFAFVTSD"/>
              <w:rPr>
                <w:rFonts w:ascii="Verdana" w:eastAsia="Verdana" w:hAnsi="Verdana" w:cs="Verdana"/>
                <w:i/>
                <w:noProof/>
                <w:color w:val="000000"/>
                <w:sz w:val="18"/>
              </w:rPr>
            </w:pPr>
            <w:r>
              <w:rPr>
                <w:rFonts w:ascii="Verdana" w:eastAsia="Verdana" w:hAnsi="Verdana" w:cs="Verdana"/>
                <w:i/>
                <w:noProof/>
                <w:color w:val="000000"/>
                <w:sz w:val="18"/>
              </w:rPr>
              <w:t>Financial assets at FVSD non-derivatives</w:t>
            </w:r>
          </w:p>
        </w:tc>
        <w:tc>
          <w:tcPr>
            <w:tcW w:w="1878" w:type="dxa"/>
            <w:tcBorders>
              <w:top w:val="nil"/>
              <w:left w:val="nil"/>
              <w:bottom w:val="nil"/>
              <w:right w:val="nil"/>
              <w:tl2br w:val="nil"/>
              <w:tr2bl w:val="nil"/>
            </w:tcBorders>
            <w:tcMar>
              <w:left w:w="60" w:type="dxa"/>
              <w:right w:w="60" w:type="dxa"/>
            </w:tcMar>
            <w:vAlign w:val="bottom"/>
          </w:tcPr>
          <w:p w14:paraId="240F97E2" w14:textId="77777777" w:rsidR="00807FFE" w:rsidRDefault="00023E71">
            <w:pPr>
              <w:pStyle w:val="DMETW36764BIPFAFVTSD"/>
              <w:jc w:val="right"/>
              <w:rPr>
                <w:rFonts w:ascii="Verdana" w:eastAsia="Verdana" w:hAnsi="Verdana" w:cs="Verdana"/>
                <w:i/>
                <w:noProof/>
                <w:color w:val="000000"/>
                <w:sz w:val="18"/>
              </w:rPr>
            </w:pPr>
            <w:r>
              <w:rPr>
                <w:rFonts w:ascii="Verdana" w:eastAsia="Verdana" w:hAnsi="Verdana" w:cs="Verdana"/>
                <w:i/>
                <w:noProof/>
                <w:color w:val="000000"/>
                <w:sz w:val="18"/>
              </w:rPr>
              <w:t>2.4.2.1</w:t>
            </w:r>
          </w:p>
        </w:tc>
        <w:tc>
          <w:tcPr>
            <w:tcW w:w="1791" w:type="dxa"/>
            <w:tcBorders>
              <w:top w:val="nil"/>
              <w:left w:val="nil"/>
              <w:bottom w:val="nil"/>
              <w:right w:val="nil"/>
              <w:tl2br w:val="nil"/>
              <w:tr2bl w:val="nil"/>
            </w:tcBorders>
            <w:tcMar>
              <w:left w:w="60" w:type="dxa"/>
              <w:right w:w="60" w:type="dxa"/>
            </w:tcMar>
            <w:vAlign w:val="bottom"/>
          </w:tcPr>
          <w:p w14:paraId="05428981" w14:textId="77777777" w:rsidR="00807FFE" w:rsidRDefault="00023E71">
            <w:pPr>
              <w:pStyle w:val="DMETW36764BIPFAFVTSD"/>
              <w:jc w:val="right"/>
              <w:rPr>
                <w:rFonts w:ascii="Verdana" w:eastAsia="Verdana" w:hAnsi="Verdana" w:cs="Verdana"/>
                <w:i/>
                <w:noProof/>
                <w:color w:val="000000"/>
                <w:sz w:val="18"/>
              </w:rPr>
            </w:pPr>
            <w:r>
              <w:rPr>
                <w:rFonts w:ascii="Verdana" w:eastAsia="Verdana" w:hAnsi="Verdana" w:cs="Verdana"/>
                <w:i/>
                <w:noProof/>
                <w:color w:val="000000"/>
                <w:sz w:val="18"/>
              </w:rPr>
              <w:t>51 080</w:t>
            </w:r>
          </w:p>
        </w:tc>
        <w:tc>
          <w:tcPr>
            <w:tcW w:w="1489" w:type="dxa"/>
            <w:tcBorders>
              <w:top w:val="nil"/>
              <w:left w:val="nil"/>
              <w:bottom w:val="nil"/>
              <w:right w:val="nil"/>
              <w:tl2br w:val="nil"/>
              <w:tr2bl w:val="nil"/>
            </w:tcBorders>
            <w:tcMar>
              <w:left w:w="60" w:type="dxa"/>
              <w:right w:w="60" w:type="dxa"/>
            </w:tcMar>
            <w:vAlign w:val="bottom"/>
          </w:tcPr>
          <w:p w14:paraId="64A1C984" w14:textId="77777777" w:rsidR="00807FFE" w:rsidRDefault="00023E71">
            <w:pPr>
              <w:pStyle w:val="DMETW36764BIPFAFVTSD"/>
              <w:jc w:val="right"/>
              <w:rPr>
                <w:rFonts w:ascii="Verdana" w:eastAsia="Verdana" w:hAnsi="Verdana" w:cs="Verdana"/>
                <w:i/>
                <w:noProof/>
                <w:color w:val="000000"/>
                <w:sz w:val="18"/>
                <w:lang w:bidi="en-GB"/>
              </w:rPr>
            </w:pPr>
            <w:r>
              <w:rPr>
                <w:rFonts w:ascii="Verdana" w:eastAsia="Verdana" w:hAnsi="Verdana" w:cs="Verdana"/>
                <w:i/>
                <w:noProof/>
                <w:color w:val="000000"/>
                <w:sz w:val="18"/>
              </w:rPr>
              <w:t>43 648</w:t>
            </w:r>
          </w:p>
        </w:tc>
      </w:tr>
      <w:tr w:rsidR="00807FFE" w14:paraId="73877DDD" w14:textId="77777777">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14:paraId="3C59E8C2" w14:textId="77777777" w:rsidR="00807FFE" w:rsidRDefault="00023E71">
            <w:pPr>
              <w:pStyle w:val="DMETW36764BIPFAFVTSD"/>
              <w:rPr>
                <w:rFonts w:ascii="Verdana" w:eastAsia="Verdana" w:hAnsi="Verdana" w:cs="Verdana"/>
                <w:i/>
                <w:noProof/>
                <w:color w:val="000000"/>
                <w:sz w:val="18"/>
              </w:rPr>
            </w:pPr>
            <w:r>
              <w:rPr>
                <w:rFonts w:ascii="Verdana" w:eastAsia="Verdana" w:hAnsi="Verdana" w:cs="Verdana"/>
                <w:i/>
                <w:noProof/>
                <w:color w:val="000000"/>
                <w:sz w:val="18"/>
              </w:rPr>
              <w:t xml:space="preserve">Financial assets at FVSD derivatives </w:t>
            </w:r>
          </w:p>
        </w:tc>
        <w:tc>
          <w:tcPr>
            <w:tcW w:w="1878" w:type="dxa"/>
            <w:tcBorders>
              <w:top w:val="nil"/>
              <w:left w:val="nil"/>
              <w:bottom w:val="single" w:sz="4" w:space="0" w:color="016794"/>
              <w:right w:val="nil"/>
              <w:tl2br w:val="nil"/>
              <w:tr2bl w:val="nil"/>
            </w:tcBorders>
            <w:tcMar>
              <w:left w:w="60" w:type="dxa"/>
              <w:right w:w="60" w:type="dxa"/>
            </w:tcMar>
            <w:vAlign w:val="bottom"/>
          </w:tcPr>
          <w:p w14:paraId="60433BF5" w14:textId="77777777" w:rsidR="00807FFE" w:rsidRDefault="00023E71">
            <w:pPr>
              <w:pStyle w:val="DMETW36764BIPFAFVTSD"/>
              <w:jc w:val="right"/>
              <w:rPr>
                <w:rFonts w:ascii="Verdana" w:eastAsia="Verdana" w:hAnsi="Verdana" w:cs="Verdana"/>
                <w:i/>
                <w:noProof/>
                <w:color w:val="000000"/>
                <w:sz w:val="18"/>
              </w:rPr>
            </w:pPr>
            <w:r>
              <w:rPr>
                <w:rFonts w:ascii="Verdana" w:eastAsia="Verdana" w:hAnsi="Verdana" w:cs="Verdana"/>
                <w:i/>
                <w:noProof/>
                <w:color w:val="000000"/>
                <w:sz w:val="18"/>
              </w:rPr>
              <w:t>2.4.2.2</w:t>
            </w:r>
          </w:p>
        </w:tc>
        <w:tc>
          <w:tcPr>
            <w:tcW w:w="1791" w:type="dxa"/>
            <w:tcBorders>
              <w:top w:val="nil"/>
              <w:left w:val="nil"/>
              <w:bottom w:val="single" w:sz="4" w:space="0" w:color="016794"/>
              <w:right w:val="nil"/>
              <w:tl2br w:val="nil"/>
              <w:tr2bl w:val="nil"/>
            </w:tcBorders>
            <w:tcMar>
              <w:left w:w="60" w:type="dxa"/>
              <w:right w:w="60" w:type="dxa"/>
            </w:tcMar>
            <w:vAlign w:val="bottom"/>
          </w:tcPr>
          <w:p w14:paraId="0E600BE9" w14:textId="77777777" w:rsidR="00807FFE" w:rsidRDefault="00023E71">
            <w:pPr>
              <w:pStyle w:val="DMETW36764BIPFAFVTSD"/>
              <w:jc w:val="right"/>
              <w:rPr>
                <w:rFonts w:ascii="Verdana" w:eastAsia="Verdana" w:hAnsi="Verdana" w:cs="Verdana"/>
                <w:i/>
                <w:noProof/>
                <w:color w:val="000000"/>
                <w:sz w:val="18"/>
              </w:rPr>
            </w:pPr>
            <w:r>
              <w:rPr>
                <w:rFonts w:ascii="Verdana" w:eastAsia="Verdana" w:hAnsi="Verdana" w:cs="Verdana"/>
                <w:i/>
                <w:noProof/>
                <w:color w:val="000000"/>
                <w:sz w:val="18"/>
              </w:rPr>
              <w:t>1 585</w:t>
            </w:r>
          </w:p>
        </w:tc>
        <w:tc>
          <w:tcPr>
            <w:tcW w:w="1489" w:type="dxa"/>
            <w:tcBorders>
              <w:top w:val="nil"/>
              <w:left w:val="nil"/>
              <w:bottom w:val="single" w:sz="4" w:space="0" w:color="016794"/>
              <w:right w:val="nil"/>
              <w:tl2br w:val="nil"/>
              <w:tr2bl w:val="nil"/>
            </w:tcBorders>
            <w:tcMar>
              <w:left w:w="60" w:type="dxa"/>
              <w:right w:w="60" w:type="dxa"/>
            </w:tcMar>
            <w:vAlign w:val="bottom"/>
          </w:tcPr>
          <w:p w14:paraId="15B59E52" w14:textId="77777777" w:rsidR="00807FFE" w:rsidRDefault="00023E71">
            <w:pPr>
              <w:pStyle w:val="DMETW36764BIPFAFVTSD"/>
              <w:jc w:val="right"/>
              <w:rPr>
                <w:rFonts w:ascii="Verdana" w:eastAsia="Verdana" w:hAnsi="Verdana" w:cs="Verdana"/>
                <w:i/>
                <w:noProof/>
                <w:color w:val="000000"/>
                <w:sz w:val="18"/>
                <w:lang w:bidi="en-GB"/>
              </w:rPr>
            </w:pPr>
            <w:r>
              <w:rPr>
                <w:rFonts w:ascii="Verdana" w:eastAsia="Verdana" w:hAnsi="Verdana" w:cs="Verdana"/>
                <w:i/>
                <w:noProof/>
                <w:color w:val="000000"/>
                <w:sz w:val="18"/>
              </w:rPr>
              <w:t>1 110</w:t>
            </w:r>
          </w:p>
        </w:tc>
      </w:tr>
      <w:tr w:rsidR="00807FFE" w14:paraId="63EBE305" w14:textId="77777777">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14:paraId="2FF46B77" w14:textId="77777777" w:rsidR="00807FFE" w:rsidRDefault="00023E71">
            <w:pPr>
              <w:pStyle w:val="DMETW36764BIPFAFVTSD"/>
              <w:rPr>
                <w:rFonts w:ascii="Verdana" w:eastAsia="Verdana" w:hAnsi="Verdana" w:cs="Verdana"/>
                <w:b/>
                <w:noProof/>
                <w:color w:val="000000"/>
                <w:sz w:val="18"/>
              </w:rPr>
            </w:pPr>
            <w:r>
              <w:rPr>
                <w:rFonts w:ascii="Verdana" w:eastAsia="Verdana" w:hAnsi="Verdana" w:cs="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14:paraId="4ECB8886" w14:textId="77777777" w:rsidR="00807FFE" w:rsidRDefault="00807FFE">
            <w:pPr>
              <w:pStyle w:val="DMETW36764BIPFAFVTSD"/>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14:paraId="714163C7" w14:textId="77777777" w:rsidR="00807FFE" w:rsidRDefault="00023E71">
            <w:pPr>
              <w:pStyle w:val="DMETW36764BIPFAFVTSD"/>
              <w:jc w:val="right"/>
              <w:rPr>
                <w:rFonts w:ascii="Verdana" w:eastAsia="Verdana" w:hAnsi="Verdana" w:cs="Verdana"/>
                <w:b/>
                <w:noProof/>
                <w:color w:val="000000"/>
                <w:sz w:val="18"/>
              </w:rPr>
            </w:pPr>
            <w:r>
              <w:rPr>
                <w:rFonts w:ascii="Verdana" w:eastAsia="Verdana" w:hAnsi="Verdana" w:cs="Verdana"/>
                <w:b/>
                <w:noProof/>
                <w:color w:val="000000"/>
                <w:sz w:val="18"/>
              </w:rPr>
              <w:t>52 665</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14:paraId="749DC718" w14:textId="77777777" w:rsidR="00807FFE" w:rsidRDefault="00023E71">
            <w:pPr>
              <w:pStyle w:val="DMETW36764BIPFAFVTSD"/>
              <w:jc w:val="right"/>
              <w:rPr>
                <w:rFonts w:ascii="Verdana" w:eastAsia="Verdana" w:hAnsi="Verdana" w:cs="Verdana"/>
                <w:b/>
                <w:noProof/>
                <w:color w:val="000000"/>
                <w:sz w:val="18"/>
                <w:lang w:bidi="en-GB"/>
              </w:rPr>
            </w:pPr>
            <w:r>
              <w:rPr>
                <w:rFonts w:ascii="Verdana" w:eastAsia="Verdana" w:hAnsi="Verdana" w:cs="Verdana"/>
                <w:b/>
                <w:noProof/>
                <w:color w:val="000000"/>
                <w:sz w:val="18"/>
              </w:rPr>
              <w:t>44 758</w:t>
            </w:r>
          </w:p>
        </w:tc>
      </w:tr>
      <w:tr w:rsidR="00807FFE" w14:paraId="6EECAEA1" w14:textId="77777777">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14:paraId="6B712808" w14:textId="77777777" w:rsidR="00807FFE" w:rsidRDefault="00023E71">
            <w:pPr>
              <w:pStyle w:val="DMETW36764BIPFAFVTSD"/>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878" w:type="dxa"/>
            <w:tcBorders>
              <w:top w:val="single" w:sz="4" w:space="0" w:color="016794"/>
              <w:left w:val="nil"/>
              <w:bottom w:val="nil"/>
              <w:right w:val="nil"/>
              <w:tl2br w:val="nil"/>
              <w:tr2bl w:val="nil"/>
            </w:tcBorders>
            <w:tcMar>
              <w:left w:w="60" w:type="dxa"/>
              <w:right w:w="60" w:type="dxa"/>
            </w:tcMar>
            <w:vAlign w:val="bottom"/>
          </w:tcPr>
          <w:p w14:paraId="6F19A65A" w14:textId="77777777" w:rsidR="00807FFE" w:rsidRDefault="00807FFE">
            <w:pPr>
              <w:pStyle w:val="DMETW36764BIPFAFVTSD"/>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14:paraId="460FB6D1" w14:textId="77777777" w:rsidR="00807FFE" w:rsidRDefault="00023E71">
            <w:pPr>
              <w:pStyle w:val="DMETW36764BIPFAFVTSD"/>
              <w:jc w:val="right"/>
              <w:rPr>
                <w:rFonts w:ascii="Verdana" w:eastAsia="Verdana" w:hAnsi="Verdana" w:cs="Verdana"/>
                <w:i/>
                <w:noProof/>
                <w:color w:val="016794"/>
                <w:sz w:val="18"/>
              </w:rPr>
            </w:pPr>
            <w:r>
              <w:rPr>
                <w:rFonts w:ascii="Verdana" w:eastAsia="Verdana" w:hAnsi="Verdana" w:cs="Verdana"/>
                <w:i/>
                <w:noProof/>
                <w:color w:val="016794"/>
                <w:sz w:val="18"/>
              </w:rPr>
              <w:t>47 919</w:t>
            </w:r>
          </w:p>
        </w:tc>
        <w:tc>
          <w:tcPr>
            <w:tcW w:w="1489" w:type="dxa"/>
            <w:tcBorders>
              <w:top w:val="single" w:sz="4" w:space="0" w:color="016794"/>
              <w:left w:val="nil"/>
              <w:bottom w:val="nil"/>
              <w:right w:val="nil"/>
              <w:tl2br w:val="nil"/>
              <w:tr2bl w:val="nil"/>
            </w:tcBorders>
            <w:tcMar>
              <w:left w:w="60" w:type="dxa"/>
              <w:right w:w="60" w:type="dxa"/>
            </w:tcMar>
            <w:vAlign w:val="bottom"/>
          </w:tcPr>
          <w:p w14:paraId="63E54DF5" w14:textId="77777777" w:rsidR="00807FFE" w:rsidRDefault="00023E71">
            <w:pPr>
              <w:pStyle w:val="DMETW36764BIPFAFVTSD"/>
              <w:jc w:val="right"/>
              <w:rPr>
                <w:rFonts w:ascii="Verdana" w:eastAsia="Verdana" w:hAnsi="Verdana" w:cs="Verdana"/>
                <w:i/>
                <w:noProof/>
                <w:color w:val="016794"/>
                <w:sz w:val="18"/>
                <w:lang w:bidi="en-GB"/>
              </w:rPr>
            </w:pPr>
            <w:r>
              <w:rPr>
                <w:rFonts w:ascii="Verdana" w:eastAsia="Verdana" w:hAnsi="Verdana" w:cs="Verdana"/>
                <w:i/>
                <w:noProof/>
                <w:color w:val="016794"/>
                <w:sz w:val="18"/>
              </w:rPr>
              <w:t>39 058</w:t>
            </w:r>
          </w:p>
        </w:tc>
      </w:tr>
      <w:tr w:rsidR="00807FFE" w14:paraId="2BD0D53D" w14:textId="77777777">
        <w:trPr>
          <w:trHeight w:val="255"/>
        </w:trPr>
        <w:tc>
          <w:tcPr>
            <w:tcW w:w="4600" w:type="dxa"/>
            <w:tcBorders>
              <w:top w:val="nil"/>
              <w:left w:val="nil"/>
              <w:bottom w:val="nil"/>
              <w:right w:val="nil"/>
              <w:tl2br w:val="nil"/>
              <w:tr2bl w:val="nil"/>
            </w:tcBorders>
            <w:tcMar>
              <w:left w:w="60" w:type="dxa"/>
              <w:right w:w="60" w:type="dxa"/>
            </w:tcMar>
            <w:vAlign w:val="center"/>
          </w:tcPr>
          <w:p w14:paraId="08F455A5" w14:textId="77777777" w:rsidR="00807FFE" w:rsidRDefault="00023E71">
            <w:pPr>
              <w:pStyle w:val="DMETW36764BIPFAFVTSD"/>
              <w:rPr>
                <w:rFonts w:ascii="Verdana" w:eastAsia="Verdana" w:hAnsi="Verdana" w:cs="Verdana"/>
                <w:i/>
                <w:noProof/>
                <w:color w:val="016794"/>
                <w:sz w:val="18"/>
              </w:rPr>
            </w:pPr>
            <w:r>
              <w:rPr>
                <w:rFonts w:ascii="Verdana" w:eastAsia="Verdana" w:hAnsi="Verdana" w:cs="Verdana"/>
                <w:i/>
                <w:noProof/>
                <w:color w:val="016794"/>
                <w:sz w:val="18"/>
              </w:rPr>
              <w:t>Current</w:t>
            </w:r>
          </w:p>
        </w:tc>
        <w:tc>
          <w:tcPr>
            <w:tcW w:w="1878" w:type="dxa"/>
            <w:tcBorders>
              <w:top w:val="nil"/>
              <w:left w:val="nil"/>
              <w:bottom w:val="nil"/>
              <w:right w:val="nil"/>
              <w:tl2br w:val="nil"/>
              <w:tr2bl w:val="nil"/>
            </w:tcBorders>
            <w:tcMar>
              <w:left w:w="60" w:type="dxa"/>
              <w:right w:w="60" w:type="dxa"/>
            </w:tcMar>
            <w:vAlign w:val="bottom"/>
          </w:tcPr>
          <w:p w14:paraId="208657DC" w14:textId="77777777" w:rsidR="00807FFE" w:rsidRDefault="00807FFE">
            <w:pPr>
              <w:pStyle w:val="DMETW36764BIPFAFVTSD"/>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14:paraId="5CE5603F" w14:textId="77777777" w:rsidR="00807FFE" w:rsidRDefault="00023E71">
            <w:pPr>
              <w:pStyle w:val="DMETW36764BIPFAFVTSD"/>
              <w:jc w:val="right"/>
              <w:rPr>
                <w:rFonts w:ascii="Verdana" w:eastAsia="Verdana" w:hAnsi="Verdana" w:cs="Verdana"/>
                <w:i/>
                <w:noProof/>
                <w:color w:val="016794"/>
                <w:sz w:val="18"/>
              </w:rPr>
            </w:pPr>
            <w:r>
              <w:rPr>
                <w:rFonts w:ascii="Verdana" w:eastAsia="Verdana" w:hAnsi="Verdana" w:cs="Verdana"/>
                <w:i/>
                <w:noProof/>
                <w:color w:val="016794"/>
                <w:sz w:val="18"/>
              </w:rPr>
              <w:t>4 746</w:t>
            </w:r>
          </w:p>
        </w:tc>
        <w:tc>
          <w:tcPr>
            <w:tcW w:w="1489" w:type="dxa"/>
            <w:tcBorders>
              <w:top w:val="nil"/>
              <w:left w:val="nil"/>
              <w:bottom w:val="nil"/>
              <w:right w:val="nil"/>
              <w:tl2br w:val="nil"/>
              <w:tr2bl w:val="nil"/>
            </w:tcBorders>
            <w:tcMar>
              <w:left w:w="60" w:type="dxa"/>
              <w:right w:w="60" w:type="dxa"/>
            </w:tcMar>
            <w:vAlign w:val="bottom"/>
          </w:tcPr>
          <w:p w14:paraId="66AA3C1B" w14:textId="77777777" w:rsidR="00807FFE" w:rsidRDefault="00023E71">
            <w:pPr>
              <w:pStyle w:val="DMETW36764BIPFAFVTSD"/>
              <w:jc w:val="right"/>
              <w:rPr>
                <w:rFonts w:ascii="Verdana" w:eastAsia="Verdana" w:hAnsi="Verdana" w:cs="Verdana"/>
                <w:i/>
                <w:noProof/>
                <w:color w:val="016794"/>
                <w:sz w:val="18"/>
              </w:rPr>
            </w:pPr>
            <w:r>
              <w:rPr>
                <w:rFonts w:ascii="Verdana" w:eastAsia="Verdana" w:hAnsi="Verdana" w:cs="Verdana"/>
                <w:i/>
                <w:noProof/>
                <w:color w:val="016794"/>
                <w:sz w:val="18"/>
              </w:rPr>
              <w:t>5 700</w:t>
            </w:r>
          </w:p>
        </w:tc>
      </w:tr>
    </w:tbl>
    <w:p w14:paraId="0591618D" w14:textId="77777777" w:rsidR="00A958E7" w:rsidRDefault="00023E71" w:rsidP="00172034">
      <w:pPr>
        <w:pStyle w:val="HEADER4NOTES"/>
        <w:numPr>
          <w:ilvl w:val="3"/>
          <w:numId w:val="15"/>
        </w:numPr>
        <w:rPr>
          <w:noProof/>
        </w:rPr>
      </w:pPr>
      <w:r w:rsidRPr="00C2397E">
        <w:rPr>
          <w:noProof/>
        </w:rPr>
        <w:t xml:space="preserve">Financial assets at FVSD non-derivatives </w:t>
      </w:r>
    </w:p>
    <w:p w14:paraId="35581047" w14:textId="77777777" w:rsidR="00C2397E" w:rsidRPr="003B3540" w:rsidRDefault="00023E71" w:rsidP="003B3540">
      <w:pPr>
        <w:pStyle w:val="HEADER5"/>
        <w:rPr>
          <w:noProof/>
        </w:rPr>
      </w:pPr>
      <w:r w:rsidRPr="003B3540">
        <w:rPr>
          <w:noProof/>
        </w:rPr>
        <w:t>Financial assets at FVSD non-derivatives by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rsidR="00807FFE" w14:paraId="07F6D480" w14:textId="77777777">
        <w:trPr>
          <w:trHeight w:val="255"/>
        </w:trPr>
        <w:tc>
          <w:tcPr>
            <w:tcW w:w="4600" w:type="dxa"/>
            <w:tcBorders>
              <w:top w:val="nil"/>
              <w:left w:val="nil"/>
              <w:bottom w:val="nil"/>
              <w:right w:val="nil"/>
              <w:tl2br w:val="nil"/>
              <w:tr2bl w:val="nil"/>
            </w:tcBorders>
            <w:tcMar>
              <w:left w:w="60" w:type="dxa"/>
              <w:right w:w="60" w:type="dxa"/>
            </w:tcMar>
            <w:vAlign w:val="bottom"/>
          </w:tcPr>
          <w:p w14:paraId="0E753429" w14:textId="77777777" w:rsidR="00807FFE" w:rsidRDefault="00807FFE">
            <w:pPr>
              <w:pStyle w:val="DMETW36764BIPFAFVNONDBT"/>
              <w:rPr>
                <w:rFonts w:ascii="Verdana" w:eastAsia="Verdana" w:hAnsi="Verdana" w:cs="Verdana"/>
                <w:noProof/>
                <w:color w:val="000000"/>
                <w:lang w:bidi="en-GB"/>
              </w:rPr>
            </w:pPr>
            <w:bookmarkStart w:id="110" w:name="DOC_TBL00013_1_1"/>
            <w:bookmarkEnd w:id="110"/>
          </w:p>
        </w:tc>
        <w:tc>
          <w:tcPr>
            <w:tcW w:w="1878" w:type="dxa"/>
            <w:tcBorders>
              <w:top w:val="nil"/>
              <w:left w:val="nil"/>
              <w:bottom w:val="nil"/>
              <w:right w:val="nil"/>
              <w:tl2br w:val="nil"/>
              <w:tr2bl w:val="nil"/>
            </w:tcBorders>
            <w:tcMar>
              <w:left w:w="60" w:type="dxa"/>
              <w:right w:w="60" w:type="dxa"/>
            </w:tcMar>
            <w:vAlign w:val="bottom"/>
          </w:tcPr>
          <w:p w14:paraId="415EBD7F" w14:textId="77777777" w:rsidR="00807FFE" w:rsidRDefault="00807FFE">
            <w:pPr>
              <w:pStyle w:val="DMETW36764BIPFAFVNONDBT"/>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14:paraId="6A98783E" w14:textId="77777777" w:rsidR="00807FFE" w:rsidRDefault="00807FFE">
            <w:pPr>
              <w:pStyle w:val="DMETW36764BIPFAFVNONDBT"/>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14:paraId="7649CAD2" w14:textId="77777777" w:rsidR="00807FFE" w:rsidRDefault="00023E71">
            <w:pPr>
              <w:pStyle w:val="DMETW36764BIPFAFVNONDBT"/>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BA8B281" w14:textId="77777777">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14:paraId="2342EFDE" w14:textId="77777777" w:rsidR="00807FFE" w:rsidRDefault="00807FFE">
            <w:pPr>
              <w:pStyle w:val="DMETW36764BIPFAFVNONDBT"/>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14:paraId="59F8E86B" w14:textId="77777777" w:rsidR="00807FFE" w:rsidRDefault="00807FFE">
            <w:pPr>
              <w:pStyle w:val="DMETW36764BIPFAFVNONDBT"/>
              <w:jc w:val="right"/>
              <w:rPr>
                <w:rFonts w:ascii="Verdana" w:eastAsia="Verdana" w:hAnsi="Verdana" w:cs="Verdana"/>
                <w:noProof/>
                <w:color w:val="FFFFFF"/>
              </w:rPr>
            </w:pPr>
          </w:p>
        </w:tc>
        <w:tc>
          <w:tcPr>
            <w:tcW w:w="1791" w:type="dxa"/>
            <w:tcBorders>
              <w:top w:val="nil"/>
              <w:left w:val="nil"/>
              <w:bottom w:val="nil"/>
              <w:right w:val="nil"/>
              <w:tl2br w:val="nil"/>
              <w:tr2bl w:val="nil"/>
            </w:tcBorders>
            <w:shd w:val="solid" w:color="016794" w:fill="FFFFFF"/>
            <w:tcMar>
              <w:left w:w="60" w:type="dxa"/>
              <w:right w:w="60" w:type="dxa"/>
            </w:tcMar>
            <w:vAlign w:val="center"/>
          </w:tcPr>
          <w:p w14:paraId="3CF949BB" w14:textId="77777777" w:rsidR="00807FFE" w:rsidRDefault="00023E71">
            <w:pPr>
              <w:pStyle w:val="DMETW36764BIPFAFVNONDBT"/>
              <w:jc w:val="right"/>
              <w:rPr>
                <w:rFonts w:ascii="Verdana" w:eastAsia="Verdana" w:hAnsi="Verdana" w:cs="Verdana"/>
                <w:noProof/>
                <w:color w:val="FFFFFF"/>
              </w:rPr>
            </w:pPr>
            <w:r>
              <w:rPr>
                <w:rFonts w:ascii="Verdana" w:eastAsia="Verdana" w:hAnsi="Verdana" w:cs="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14:paraId="428E6440" w14:textId="77777777" w:rsidR="00807FFE" w:rsidRDefault="00023E71">
            <w:pPr>
              <w:pStyle w:val="DMETW36764BIPFAFVNONDBT"/>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29811EE8" w14:textId="77777777">
        <w:trPr>
          <w:trHeight w:val="255"/>
        </w:trPr>
        <w:tc>
          <w:tcPr>
            <w:tcW w:w="4600" w:type="dxa"/>
            <w:tcBorders>
              <w:top w:val="nil"/>
              <w:left w:val="nil"/>
              <w:bottom w:val="nil"/>
              <w:right w:val="nil"/>
              <w:tl2br w:val="nil"/>
              <w:tr2bl w:val="nil"/>
            </w:tcBorders>
            <w:tcMar>
              <w:left w:w="60" w:type="dxa"/>
              <w:right w:w="60" w:type="dxa"/>
            </w:tcMar>
            <w:vAlign w:val="center"/>
          </w:tcPr>
          <w:p w14:paraId="41D4F51A" w14:textId="77777777" w:rsidR="00807FFE" w:rsidRDefault="00023E71">
            <w:pPr>
              <w:pStyle w:val="DMETW36764BIPFAFVNONDBT"/>
              <w:rPr>
                <w:rFonts w:ascii="Verdana" w:eastAsia="Verdana" w:hAnsi="Verdana" w:cs="Verdana"/>
                <w:i/>
                <w:noProof/>
                <w:color w:val="000000"/>
                <w:sz w:val="18"/>
              </w:rPr>
            </w:pPr>
            <w:r>
              <w:rPr>
                <w:rFonts w:ascii="Verdana" w:eastAsia="Verdana" w:hAnsi="Verdana" w:cs="Verdana"/>
                <w:i/>
                <w:noProof/>
                <w:color w:val="000000"/>
                <w:sz w:val="18"/>
              </w:rPr>
              <w:t>Debt securities</w:t>
            </w:r>
          </w:p>
        </w:tc>
        <w:tc>
          <w:tcPr>
            <w:tcW w:w="1878" w:type="dxa"/>
            <w:tcBorders>
              <w:top w:val="nil"/>
              <w:left w:val="nil"/>
              <w:bottom w:val="nil"/>
              <w:right w:val="nil"/>
              <w:tl2br w:val="nil"/>
              <w:tr2bl w:val="nil"/>
            </w:tcBorders>
            <w:tcMar>
              <w:left w:w="60" w:type="dxa"/>
              <w:right w:w="60" w:type="dxa"/>
            </w:tcMar>
            <w:vAlign w:val="bottom"/>
          </w:tcPr>
          <w:p w14:paraId="21CBB233" w14:textId="77777777" w:rsidR="00807FFE" w:rsidRDefault="00807FFE">
            <w:pPr>
              <w:pStyle w:val="DMETW36764BIPFAFVNONDBT"/>
              <w:jc w:val="right"/>
              <w:rPr>
                <w:rFonts w:ascii="Verdana" w:eastAsia="Verdana" w:hAnsi="Verdana" w:cs="Verdana"/>
                <w:i/>
                <w:noProof/>
                <w:color w:val="000000"/>
                <w:sz w:val="18"/>
              </w:rPr>
            </w:pPr>
          </w:p>
        </w:tc>
        <w:tc>
          <w:tcPr>
            <w:tcW w:w="1791" w:type="dxa"/>
            <w:tcBorders>
              <w:top w:val="nil"/>
              <w:left w:val="nil"/>
              <w:bottom w:val="nil"/>
              <w:right w:val="nil"/>
              <w:tl2br w:val="nil"/>
              <w:tr2bl w:val="nil"/>
            </w:tcBorders>
            <w:tcMar>
              <w:left w:w="60" w:type="dxa"/>
              <w:right w:w="60" w:type="dxa"/>
            </w:tcMar>
            <w:vAlign w:val="bottom"/>
          </w:tcPr>
          <w:p w14:paraId="1E801A82" w14:textId="77777777" w:rsidR="00807FFE" w:rsidRDefault="00023E71">
            <w:pPr>
              <w:pStyle w:val="DMETW36764BIPFAFVNONDBT"/>
              <w:jc w:val="right"/>
              <w:rPr>
                <w:rFonts w:ascii="Verdana" w:eastAsia="Verdana" w:hAnsi="Verdana" w:cs="Verdana"/>
                <w:i/>
                <w:noProof/>
                <w:color w:val="000000"/>
                <w:sz w:val="18"/>
              </w:rPr>
            </w:pPr>
            <w:r>
              <w:rPr>
                <w:rFonts w:ascii="Verdana" w:eastAsia="Verdana" w:hAnsi="Verdana" w:cs="Verdana"/>
                <w:i/>
                <w:noProof/>
                <w:color w:val="000000"/>
                <w:sz w:val="18"/>
              </w:rPr>
              <w:t>40 462</w:t>
            </w:r>
          </w:p>
        </w:tc>
        <w:tc>
          <w:tcPr>
            <w:tcW w:w="1489" w:type="dxa"/>
            <w:tcBorders>
              <w:top w:val="nil"/>
              <w:left w:val="nil"/>
              <w:bottom w:val="nil"/>
              <w:right w:val="nil"/>
              <w:tl2br w:val="nil"/>
              <w:tr2bl w:val="nil"/>
            </w:tcBorders>
            <w:tcMar>
              <w:left w:w="60" w:type="dxa"/>
              <w:right w:w="60" w:type="dxa"/>
            </w:tcMar>
            <w:vAlign w:val="bottom"/>
          </w:tcPr>
          <w:p w14:paraId="3385A7BF" w14:textId="77777777" w:rsidR="00807FFE" w:rsidRDefault="00023E71">
            <w:pPr>
              <w:pStyle w:val="DMETW36764BIPFAFVNONDBT"/>
              <w:jc w:val="right"/>
              <w:rPr>
                <w:rFonts w:ascii="Verdana" w:eastAsia="Verdana" w:hAnsi="Verdana" w:cs="Verdana"/>
                <w:i/>
                <w:noProof/>
                <w:color w:val="000000"/>
                <w:sz w:val="18"/>
                <w:lang w:bidi="en-GB"/>
              </w:rPr>
            </w:pPr>
            <w:r>
              <w:rPr>
                <w:rFonts w:ascii="Verdana" w:eastAsia="Verdana" w:hAnsi="Verdana" w:cs="Verdana"/>
                <w:i/>
                <w:noProof/>
                <w:color w:val="000000"/>
                <w:sz w:val="18"/>
              </w:rPr>
              <w:t>34 465</w:t>
            </w:r>
          </w:p>
        </w:tc>
      </w:tr>
      <w:tr w:rsidR="00807FFE" w14:paraId="35FA7CDA" w14:textId="77777777">
        <w:trPr>
          <w:trHeight w:val="255"/>
        </w:trPr>
        <w:tc>
          <w:tcPr>
            <w:tcW w:w="4600" w:type="dxa"/>
            <w:gridSpan w:val="2"/>
            <w:tcBorders>
              <w:top w:val="nil"/>
              <w:left w:val="nil"/>
              <w:bottom w:val="nil"/>
              <w:right w:val="nil"/>
              <w:tl2br w:val="nil"/>
              <w:tr2bl w:val="nil"/>
            </w:tcBorders>
            <w:tcMar>
              <w:left w:w="60" w:type="dxa"/>
              <w:right w:w="60" w:type="dxa"/>
            </w:tcMar>
            <w:vAlign w:val="center"/>
          </w:tcPr>
          <w:p w14:paraId="598B7FEC" w14:textId="77777777" w:rsidR="00807FFE" w:rsidRDefault="00023E71">
            <w:pPr>
              <w:pStyle w:val="DMETW36764BIPFAFVNONDBT"/>
              <w:rPr>
                <w:rFonts w:ascii="Verdana" w:eastAsia="Verdana" w:hAnsi="Verdana" w:cs="Verdana"/>
                <w:i/>
                <w:noProof/>
                <w:color w:val="000000"/>
                <w:sz w:val="18"/>
              </w:rPr>
            </w:pPr>
            <w:r>
              <w:rPr>
                <w:rFonts w:ascii="Verdana" w:eastAsia="Verdana" w:hAnsi="Verdana" w:cs="Verdana"/>
                <w:i/>
                <w:noProof/>
                <w:color w:val="000000"/>
                <w:sz w:val="18"/>
              </w:rPr>
              <w:t>MMFs, ETFs and investments in pooled portfolios</w:t>
            </w:r>
          </w:p>
        </w:tc>
        <w:tc>
          <w:tcPr>
            <w:tcW w:w="1791" w:type="dxa"/>
            <w:tcBorders>
              <w:top w:val="nil"/>
              <w:left w:val="nil"/>
              <w:bottom w:val="nil"/>
              <w:right w:val="nil"/>
              <w:tl2br w:val="nil"/>
              <w:tr2bl w:val="nil"/>
            </w:tcBorders>
            <w:tcMar>
              <w:left w:w="60" w:type="dxa"/>
              <w:right w:w="60" w:type="dxa"/>
            </w:tcMar>
            <w:vAlign w:val="bottom"/>
          </w:tcPr>
          <w:p w14:paraId="57B7722D" w14:textId="77777777" w:rsidR="00807FFE" w:rsidRDefault="00023E71">
            <w:pPr>
              <w:pStyle w:val="DMETW36764BIPFAFVNONDBT"/>
              <w:jc w:val="right"/>
              <w:rPr>
                <w:rFonts w:ascii="Verdana" w:eastAsia="Verdana" w:hAnsi="Verdana" w:cs="Verdana"/>
                <w:i/>
                <w:noProof/>
                <w:color w:val="000000"/>
                <w:sz w:val="18"/>
              </w:rPr>
            </w:pPr>
            <w:r>
              <w:rPr>
                <w:rFonts w:ascii="Verdana" w:eastAsia="Verdana" w:hAnsi="Verdana" w:cs="Verdana"/>
                <w:i/>
                <w:noProof/>
                <w:color w:val="000000"/>
                <w:sz w:val="18"/>
              </w:rPr>
              <w:t>6 812</w:t>
            </w:r>
          </w:p>
        </w:tc>
        <w:tc>
          <w:tcPr>
            <w:tcW w:w="1489" w:type="dxa"/>
            <w:tcBorders>
              <w:top w:val="nil"/>
              <w:left w:val="nil"/>
              <w:bottom w:val="nil"/>
              <w:right w:val="nil"/>
              <w:tl2br w:val="nil"/>
              <w:tr2bl w:val="nil"/>
            </w:tcBorders>
            <w:tcMar>
              <w:left w:w="60" w:type="dxa"/>
              <w:right w:w="60" w:type="dxa"/>
            </w:tcMar>
            <w:vAlign w:val="bottom"/>
          </w:tcPr>
          <w:p w14:paraId="33A40256" w14:textId="77777777" w:rsidR="00807FFE" w:rsidRDefault="00023E71">
            <w:pPr>
              <w:pStyle w:val="DMETW36764BIPFAFVNONDBT"/>
              <w:jc w:val="right"/>
              <w:rPr>
                <w:rFonts w:ascii="Verdana" w:eastAsia="Verdana" w:hAnsi="Verdana" w:cs="Verdana"/>
                <w:i/>
                <w:noProof/>
                <w:color w:val="000000"/>
                <w:sz w:val="18"/>
                <w:lang w:bidi="en-GB"/>
              </w:rPr>
            </w:pPr>
            <w:r>
              <w:rPr>
                <w:rFonts w:ascii="Verdana" w:eastAsia="Verdana" w:hAnsi="Verdana" w:cs="Verdana"/>
                <w:i/>
                <w:noProof/>
                <w:color w:val="000000"/>
                <w:sz w:val="18"/>
              </w:rPr>
              <w:t>5 975</w:t>
            </w:r>
          </w:p>
        </w:tc>
      </w:tr>
      <w:tr w:rsidR="00807FFE" w14:paraId="51B7BF3E" w14:textId="77777777">
        <w:trPr>
          <w:trHeight w:val="255"/>
        </w:trPr>
        <w:tc>
          <w:tcPr>
            <w:tcW w:w="4600" w:type="dxa"/>
            <w:tcBorders>
              <w:top w:val="nil"/>
              <w:left w:val="nil"/>
              <w:bottom w:val="nil"/>
              <w:right w:val="nil"/>
              <w:tl2br w:val="nil"/>
              <w:tr2bl w:val="nil"/>
            </w:tcBorders>
            <w:tcMar>
              <w:left w:w="60" w:type="dxa"/>
              <w:right w:w="60" w:type="dxa"/>
            </w:tcMar>
            <w:vAlign w:val="center"/>
          </w:tcPr>
          <w:p w14:paraId="65948857" w14:textId="77777777" w:rsidR="00807FFE" w:rsidRDefault="00023E71">
            <w:pPr>
              <w:pStyle w:val="DMETW36764BIPFAFVNONDBT"/>
              <w:rPr>
                <w:rFonts w:ascii="Verdana" w:eastAsia="Verdana" w:hAnsi="Verdana" w:cs="Verdana"/>
                <w:i/>
                <w:noProof/>
                <w:color w:val="000000"/>
                <w:sz w:val="18"/>
              </w:rPr>
            </w:pPr>
            <w:r>
              <w:rPr>
                <w:rFonts w:ascii="Verdana" w:eastAsia="Verdana" w:hAnsi="Verdana" w:cs="Verdana"/>
                <w:i/>
                <w:noProof/>
                <w:color w:val="000000"/>
                <w:sz w:val="18"/>
              </w:rPr>
              <w:t>Other equity investments</w:t>
            </w:r>
          </w:p>
        </w:tc>
        <w:tc>
          <w:tcPr>
            <w:tcW w:w="1878" w:type="dxa"/>
            <w:tcBorders>
              <w:top w:val="nil"/>
              <w:left w:val="nil"/>
              <w:bottom w:val="nil"/>
              <w:right w:val="nil"/>
              <w:tl2br w:val="nil"/>
              <w:tr2bl w:val="nil"/>
            </w:tcBorders>
            <w:tcMar>
              <w:left w:w="60" w:type="dxa"/>
              <w:right w:w="60" w:type="dxa"/>
            </w:tcMar>
            <w:vAlign w:val="bottom"/>
          </w:tcPr>
          <w:p w14:paraId="0E3F66F2" w14:textId="77777777" w:rsidR="00807FFE" w:rsidRDefault="00807FFE">
            <w:pPr>
              <w:pStyle w:val="DMETW36764BIPFAFVNONDBT"/>
              <w:jc w:val="right"/>
              <w:rPr>
                <w:rFonts w:ascii="Verdana" w:eastAsia="Verdana" w:hAnsi="Verdana" w:cs="Verdana"/>
                <w:i/>
                <w:noProof/>
                <w:color w:val="000000"/>
                <w:sz w:val="18"/>
              </w:rPr>
            </w:pPr>
          </w:p>
        </w:tc>
        <w:tc>
          <w:tcPr>
            <w:tcW w:w="1791" w:type="dxa"/>
            <w:tcBorders>
              <w:top w:val="nil"/>
              <w:left w:val="nil"/>
              <w:bottom w:val="nil"/>
              <w:right w:val="nil"/>
              <w:tl2br w:val="nil"/>
              <w:tr2bl w:val="nil"/>
            </w:tcBorders>
            <w:tcMar>
              <w:left w:w="60" w:type="dxa"/>
              <w:right w:w="60" w:type="dxa"/>
            </w:tcMar>
            <w:vAlign w:val="bottom"/>
          </w:tcPr>
          <w:p w14:paraId="315D16A0" w14:textId="77777777" w:rsidR="00807FFE" w:rsidRDefault="00023E71">
            <w:pPr>
              <w:pStyle w:val="DMETW36764BIPFAFVNONDBT"/>
              <w:jc w:val="right"/>
              <w:rPr>
                <w:rFonts w:ascii="Verdana" w:eastAsia="Verdana" w:hAnsi="Verdana" w:cs="Verdana"/>
                <w:i/>
                <w:noProof/>
                <w:color w:val="000000"/>
                <w:sz w:val="18"/>
              </w:rPr>
            </w:pPr>
            <w:r>
              <w:rPr>
                <w:rFonts w:ascii="Verdana" w:eastAsia="Verdana" w:hAnsi="Verdana" w:cs="Verdana"/>
                <w:i/>
                <w:noProof/>
                <w:color w:val="000000"/>
                <w:sz w:val="18"/>
              </w:rPr>
              <w:t>3 796</w:t>
            </w:r>
          </w:p>
        </w:tc>
        <w:tc>
          <w:tcPr>
            <w:tcW w:w="1489" w:type="dxa"/>
            <w:tcBorders>
              <w:top w:val="nil"/>
              <w:left w:val="nil"/>
              <w:bottom w:val="nil"/>
              <w:right w:val="nil"/>
              <w:tl2br w:val="nil"/>
              <w:tr2bl w:val="nil"/>
            </w:tcBorders>
            <w:tcMar>
              <w:left w:w="60" w:type="dxa"/>
              <w:right w:w="60" w:type="dxa"/>
            </w:tcMar>
            <w:vAlign w:val="bottom"/>
          </w:tcPr>
          <w:p w14:paraId="5B39C141" w14:textId="77777777" w:rsidR="00807FFE" w:rsidRDefault="00023E71">
            <w:pPr>
              <w:pStyle w:val="DMETW36764BIPFAFVNONDBT"/>
              <w:jc w:val="right"/>
              <w:rPr>
                <w:rFonts w:ascii="Verdana" w:eastAsia="Verdana" w:hAnsi="Verdana" w:cs="Verdana"/>
                <w:i/>
                <w:noProof/>
                <w:color w:val="000000"/>
                <w:sz w:val="18"/>
                <w:lang w:bidi="en-GB"/>
              </w:rPr>
            </w:pPr>
            <w:r>
              <w:rPr>
                <w:rFonts w:ascii="Verdana" w:eastAsia="Verdana" w:hAnsi="Verdana" w:cs="Verdana"/>
                <w:i/>
                <w:noProof/>
                <w:color w:val="000000"/>
                <w:sz w:val="18"/>
              </w:rPr>
              <w:t>3 201</w:t>
            </w:r>
          </w:p>
        </w:tc>
      </w:tr>
      <w:tr w:rsidR="00807FFE" w14:paraId="4150D6FF" w14:textId="77777777">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14:paraId="11308531" w14:textId="77777777" w:rsidR="00807FFE" w:rsidRDefault="00023E71">
            <w:pPr>
              <w:pStyle w:val="DMETW36764BIPFAFVNONDBT"/>
              <w:rPr>
                <w:rFonts w:ascii="Verdana" w:eastAsia="Verdana" w:hAnsi="Verdana" w:cs="Verdana"/>
                <w:i/>
                <w:noProof/>
                <w:color w:val="000000"/>
                <w:sz w:val="18"/>
              </w:rPr>
            </w:pPr>
            <w:r>
              <w:rPr>
                <w:rFonts w:ascii="Verdana" w:eastAsia="Verdana" w:hAnsi="Verdana" w:cs="Verdana"/>
                <w:i/>
                <w:noProof/>
                <w:color w:val="000000"/>
                <w:sz w:val="18"/>
              </w:rPr>
              <w:t>Loans</w:t>
            </w:r>
          </w:p>
        </w:tc>
        <w:tc>
          <w:tcPr>
            <w:tcW w:w="1878" w:type="dxa"/>
            <w:tcBorders>
              <w:top w:val="nil"/>
              <w:left w:val="nil"/>
              <w:bottom w:val="single" w:sz="4" w:space="0" w:color="016794"/>
              <w:right w:val="nil"/>
              <w:tl2br w:val="nil"/>
              <w:tr2bl w:val="nil"/>
            </w:tcBorders>
            <w:tcMar>
              <w:left w:w="60" w:type="dxa"/>
              <w:right w:w="60" w:type="dxa"/>
            </w:tcMar>
            <w:vAlign w:val="bottom"/>
          </w:tcPr>
          <w:p w14:paraId="0D727036" w14:textId="77777777" w:rsidR="00807FFE" w:rsidRDefault="00807FFE">
            <w:pPr>
              <w:pStyle w:val="DMETW36764BIPFAFVNONDBT"/>
              <w:rPr>
                <w:rFonts w:ascii="Verdana" w:eastAsia="Verdana" w:hAnsi="Verdana" w:cs="Verdana"/>
                <w:noProof/>
                <w:color w:val="000000"/>
              </w:rPr>
            </w:pPr>
          </w:p>
        </w:tc>
        <w:tc>
          <w:tcPr>
            <w:tcW w:w="1791" w:type="dxa"/>
            <w:tcBorders>
              <w:top w:val="nil"/>
              <w:left w:val="nil"/>
              <w:bottom w:val="single" w:sz="4" w:space="0" w:color="016794"/>
              <w:right w:val="nil"/>
              <w:tl2br w:val="nil"/>
              <w:tr2bl w:val="nil"/>
            </w:tcBorders>
            <w:tcMar>
              <w:left w:w="60" w:type="dxa"/>
              <w:right w:w="60" w:type="dxa"/>
            </w:tcMar>
            <w:vAlign w:val="bottom"/>
          </w:tcPr>
          <w:p w14:paraId="7A477F10" w14:textId="77777777" w:rsidR="00807FFE" w:rsidRDefault="00023E71">
            <w:pPr>
              <w:pStyle w:val="DMETW36764BIPFAFVNONDBT"/>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489" w:type="dxa"/>
            <w:tcBorders>
              <w:top w:val="nil"/>
              <w:left w:val="nil"/>
              <w:bottom w:val="single" w:sz="4" w:space="0" w:color="016794"/>
              <w:right w:val="nil"/>
              <w:tl2br w:val="nil"/>
              <w:tr2bl w:val="nil"/>
            </w:tcBorders>
            <w:tcMar>
              <w:left w:w="60" w:type="dxa"/>
              <w:right w:w="60" w:type="dxa"/>
            </w:tcMar>
            <w:vAlign w:val="bottom"/>
          </w:tcPr>
          <w:p w14:paraId="23E2728A" w14:textId="77777777" w:rsidR="00807FFE" w:rsidRDefault="00023E71">
            <w:pPr>
              <w:pStyle w:val="DMETW36764BIPFAFVNONDB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w:t>
            </w:r>
          </w:p>
        </w:tc>
      </w:tr>
      <w:tr w:rsidR="00807FFE" w14:paraId="276EBE35" w14:textId="77777777">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14:paraId="5554DDAF" w14:textId="77777777" w:rsidR="00807FFE" w:rsidRDefault="00023E71">
            <w:pPr>
              <w:pStyle w:val="DMETW36764BIPFAFVNONDBT"/>
              <w:rPr>
                <w:rFonts w:ascii="Verdana" w:eastAsia="Verdana" w:hAnsi="Verdana" w:cs="Verdana"/>
                <w:b/>
                <w:noProof/>
                <w:color w:val="000000"/>
                <w:sz w:val="18"/>
              </w:rPr>
            </w:pPr>
            <w:r>
              <w:rPr>
                <w:rFonts w:ascii="Verdana" w:eastAsia="Verdana" w:hAnsi="Verdana" w:cs="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14:paraId="33C975BD" w14:textId="77777777" w:rsidR="00807FFE" w:rsidRDefault="00807FFE">
            <w:pPr>
              <w:pStyle w:val="DMETW36764BIPFAFVNONDBT"/>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14:paraId="52B6B477" w14:textId="77777777" w:rsidR="00807FFE" w:rsidRDefault="00023E71">
            <w:pPr>
              <w:pStyle w:val="DMETW36764BIPFAFVNONDBT"/>
              <w:jc w:val="right"/>
              <w:rPr>
                <w:rFonts w:ascii="Verdana" w:eastAsia="Verdana" w:hAnsi="Verdana" w:cs="Verdana"/>
                <w:b/>
                <w:noProof/>
                <w:color w:val="000000"/>
                <w:sz w:val="18"/>
              </w:rPr>
            </w:pPr>
            <w:r>
              <w:rPr>
                <w:rFonts w:ascii="Verdana" w:eastAsia="Verdana" w:hAnsi="Verdana" w:cs="Verdana"/>
                <w:b/>
                <w:noProof/>
                <w:color w:val="000000"/>
                <w:sz w:val="18"/>
              </w:rPr>
              <w:t>51 080</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14:paraId="46362D25" w14:textId="77777777" w:rsidR="00807FFE" w:rsidRDefault="00023E71">
            <w:pPr>
              <w:pStyle w:val="DMETW36764BIPFAFVNONDBT"/>
              <w:jc w:val="right"/>
              <w:rPr>
                <w:rFonts w:ascii="Verdana" w:eastAsia="Verdana" w:hAnsi="Verdana" w:cs="Verdana"/>
                <w:b/>
                <w:noProof/>
                <w:color w:val="000000"/>
                <w:sz w:val="18"/>
                <w:lang w:bidi="en-GB"/>
              </w:rPr>
            </w:pPr>
            <w:r>
              <w:rPr>
                <w:rFonts w:ascii="Verdana" w:eastAsia="Verdana" w:hAnsi="Verdana" w:cs="Verdana"/>
                <w:b/>
                <w:noProof/>
                <w:color w:val="000000"/>
                <w:sz w:val="18"/>
              </w:rPr>
              <w:t>43 648</w:t>
            </w:r>
          </w:p>
        </w:tc>
      </w:tr>
      <w:tr w:rsidR="00807FFE" w14:paraId="072B9AA1" w14:textId="77777777">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14:paraId="5E83C1F5" w14:textId="77777777" w:rsidR="00807FFE" w:rsidRDefault="00023E71">
            <w:pPr>
              <w:pStyle w:val="DMETW36764BIPFAFVNONDBT"/>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878" w:type="dxa"/>
            <w:tcBorders>
              <w:top w:val="single" w:sz="4" w:space="0" w:color="016794"/>
              <w:left w:val="nil"/>
              <w:bottom w:val="nil"/>
              <w:right w:val="nil"/>
              <w:tl2br w:val="nil"/>
              <w:tr2bl w:val="nil"/>
            </w:tcBorders>
            <w:tcMar>
              <w:left w:w="60" w:type="dxa"/>
              <w:right w:w="60" w:type="dxa"/>
            </w:tcMar>
            <w:vAlign w:val="bottom"/>
          </w:tcPr>
          <w:p w14:paraId="7FB4B183" w14:textId="77777777" w:rsidR="00807FFE" w:rsidRDefault="00807FFE">
            <w:pPr>
              <w:pStyle w:val="DMETW36764BIPFAFVNONDBT"/>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14:paraId="520AE2CE" w14:textId="77777777" w:rsidR="00807FFE" w:rsidRDefault="00023E71">
            <w:pPr>
              <w:pStyle w:val="DMETW36764BIPFAFVNONDBT"/>
              <w:jc w:val="right"/>
              <w:rPr>
                <w:rFonts w:ascii="Verdana" w:eastAsia="Verdana" w:hAnsi="Verdana" w:cs="Verdana"/>
                <w:i/>
                <w:noProof/>
                <w:color w:val="016794"/>
                <w:sz w:val="18"/>
              </w:rPr>
            </w:pPr>
            <w:r>
              <w:rPr>
                <w:rFonts w:ascii="Verdana" w:eastAsia="Verdana" w:hAnsi="Verdana" w:cs="Verdana"/>
                <w:i/>
                <w:noProof/>
                <w:color w:val="016794"/>
                <w:sz w:val="18"/>
              </w:rPr>
              <w:t>46 350</w:t>
            </w:r>
          </w:p>
        </w:tc>
        <w:tc>
          <w:tcPr>
            <w:tcW w:w="1489" w:type="dxa"/>
            <w:tcBorders>
              <w:top w:val="single" w:sz="4" w:space="0" w:color="016794"/>
              <w:left w:val="nil"/>
              <w:bottom w:val="nil"/>
              <w:right w:val="nil"/>
              <w:tl2br w:val="nil"/>
              <w:tr2bl w:val="nil"/>
            </w:tcBorders>
            <w:tcMar>
              <w:left w:w="60" w:type="dxa"/>
              <w:right w:w="60" w:type="dxa"/>
            </w:tcMar>
            <w:vAlign w:val="bottom"/>
          </w:tcPr>
          <w:p w14:paraId="06ABC830" w14:textId="77777777" w:rsidR="00807FFE" w:rsidRDefault="00023E71">
            <w:pPr>
              <w:pStyle w:val="DMETW36764BIPFAFVNONDBT"/>
              <w:jc w:val="right"/>
              <w:rPr>
                <w:rFonts w:ascii="Verdana" w:eastAsia="Verdana" w:hAnsi="Verdana" w:cs="Verdana"/>
                <w:i/>
                <w:noProof/>
                <w:color w:val="016794"/>
                <w:sz w:val="18"/>
                <w:lang w:bidi="en-GB"/>
              </w:rPr>
            </w:pPr>
            <w:r>
              <w:rPr>
                <w:rFonts w:ascii="Verdana" w:eastAsia="Verdana" w:hAnsi="Verdana" w:cs="Verdana"/>
                <w:i/>
                <w:noProof/>
                <w:color w:val="016794"/>
                <w:sz w:val="18"/>
              </w:rPr>
              <w:t>37 948</w:t>
            </w:r>
          </w:p>
        </w:tc>
      </w:tr>
      <w:tr w:rsidR="00807FFE" w14:paraId="6E4F15AA" w14:textId="77777777">
        <w:trPr>
          <w:trHeight w:val="255"/>
        </w:trPr>
        <w:tc>
          <w:tcPr>
            <w:tcW w:w="4600" w:type="dxa"/>
            <w:tcBorders>
              <w:top w:val="nil"/>
              <w:left w:val="nil"/>
              <w:bottom w:val="nil"/>
              <w:right w:val="nil"/>
              <w:tl2br w:val="nil"/>
              <w:tr2bl w:val="nil"/>
            </w:tcBorders>
            <w:tcMar>
              <w:left w:w="60" w:type="dxa"/>
              <w:right w:w="60" w:type="dxa"/>
            </w:tcMar>
            <w:vAlign w:val="center"/>
          </w:tcPr>
          <w:p w14:paraId="2ED7C704" w14:textId="77777777" w:rsidR="00807FFE" w:rsidRDefault="00023E71">
            <w:pPr>
              <w:pStyle w:val="DMETW36764BIPFAFVNONDBT"/>
              <w:rPr>
                <w:rFonts w:ascii="Verdana" w:eastAsia="Verdana" w:hAnsi="Verdana" w:cs="Verdana"/>
                <w:i/>
                <w:noProof/>
                <w:color w:val="016794"/>
                <w:sz w:val="18"/>
              </w:rPr>
            </w:pPr>
            <w:r>
              <w:rPr>
                <w:rFonts w:ascii="Verdana" w:eastAsia="Verdana" w:hAnsi="Verdana" w:cs="Verdana"/>
                <w:i/>
                <w:noProof/>
                <w:color w:val="016794"/>
                <w:sz w:val="18"/>
              </w:rPr>
              <w:t>Current</w:t>
            </w:r>
          </w:p>
        </w:tc>
        <w:tc>
          <w:tcPr>
            <w:tcW w:w="1878" w:type="dxa"/>
            <w:tcBorders>
              <w:top w:val="nil"/>
              <w:left w:val="nil"/>
              <w:bottom w:val="nil"/>
              <w:right w:val="nil"/>
              <w:tl2br w:val="nil"/>
              <w:tr2bl w:val="nil"/>
            </w:tcBorders>
            <w:tcMar>
              <w:left w:w="60" w:type="dxa"/>
              <w:right w:w="60" w:type="dxa"/>
            </w:tcMar>
            <w:vAlign w:val="bottom"/>
          </w:tcPr>
          <w:p w14:paraId="26FAA498" w14:textId="77777777" w:rsidR="00807FFE" w:rsidRDefault="00807FFE">
            <w:pPr>
              <w:pStyle w:val="DMETW36764BIPFAFVNONDBT"/>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14:paraId="78892146" w14:textId="77777777" w:rsidR="00807FFE" w:rsidRDefault="00023E71">
            <w:pPr>
              <w:pStyle w:val="DMETW36764BIPFAFVNONDBT"/>
              <w:jc w:val="right"/>
              <w:rPr>
                <w:rFonts w:ascii="Verdana" w:eastAsia="Verdana" w:hAnsi="Verdana" w:cs="Verdana"/>
                <w:i/>
                <w:noProof/>
                <w:color w:val="016794"/>
                <w:sz w:val="18"/>
              </w:rPr>
            </w:pPr>
            <w:r>
              <w:rPr>
                <w:rFonts w:ascii="Verdana" w:eastAsia="Verdana" w:hAnsi="Verdana" w:cs="Verdana"/>
                <w:i/>
                <w:noProof/>
                <w:color w:val="016794"/>
                <w:sz w:val="18"/>
              </w:rPr>
              <w:t>4 730</w:t>
            </w:r>
          </w:p>
        </w:tc>
        <w:tc>
          <w:tcPr>
            <w:tcW w:w="1489" w:type="dxa"/>
            <w:tcBorders>
              <w:top w:val="nil"/>
              <w:left w:val="nil"/>
              <w:bottom w:val="nil"/>
              <w:right w:val="nil"/>
              <w:tl2br w:val="nil"/>
              <w:tr2bl w:val="nil"/>
            </w:tcBorders>
            <w:tcMar>
              <w:left w:w="60" w:type="dxa"/>
              <w:right w:w="60" w:type="dxa"/>
            </w:tcMar>
            <w:vAlign w:val="bottom"/>
          </w:tcPr>
          <w:p w14:paraId="3FCE7443" w14:textId="77777777" w:rsidR="00807FFE" w:rsidRDefault="00023E71">
            <w:pPr>
              <w:pStyle w:val="DMETW36764BIPFAFVNONDBT"/>
              <w:jc w:val="right"/>
              <w:rPr>
                <w:rFonts w:ascii="Verdana" w:eastAsia="Verdana" w:hAnsi="Verdana" w:cs="Verdana"/>
                <w:i/>
                <w:noProof/>
                <w:color w:val="016794"/>
                <w:sz w:val="18"/>
              </w:rPr>
            </w:pPr>
            <w:r>
              <w:rPr>
                <w:rFonts w:ascii="Verdana" w:eastAsia="Verdana" w:hAnsi="Verdana" w:cs="Verdana"/>
                <w:i/>
                <w:noProof/>
                <w:color w:val="016794"/>
                <w:sz w:val="18"/>
              </w:rPr>
              <w:t>5 700</w:t>
            </w:r>
          </w:p>
        </w:tc>
      </w:tr>
    </w:tbl>
    <w:p w14:paraId="54C06376" w14:textId="77777777" w:rsidR="006927F7" w:rsidRPr="00ED585C" w:rsidRDefault="00023E71" w:rsidP="00D54229">
      <w:pPr>
        <w:pStyle w:val="DGTextstand-alone"/>
      </w:pPr>
      <w:r>
        <w:t>D</w:t>
      </w:r>
      <w:r w:rsidR="00780553">
        <w:t xml:space="preserve">ebt securities </w:t>
      </w:r>
      <w:r w:rsidR="00780553" w:rsidRPr="00ED585C">
        <w:t xml:space="preserve">are mainly sovereign and corporate bonds. </w:t>
      </w:r>
      <w:r w:rsidR="00A43861" w:rsidRPr="00ED585C">
        <w:t xml:space="preserve">They </w:t>
      </w:r>
      <w:r w:rsidR="00780553" w:rsidRPr="00ED585C">
        <w:t>are held in the funds</w:t>
      </w:r>
      <w:r w:rsidR="0002334C" w:rsidRPr="00ED585C">
        <w:t xml:space="preserve"> (portfolios)</w:t>
      </w:r>
      <w:r w:rsidR="00A43861" w:rsidRPr="00ED585C">
        <w:t xml:space="preserve"> managed by the Comm</w:t>
      </w:r>
      <w:r w:rsidR="0098443A">
        <w:t>i</w:t>
      </w:r>
      <w:r w:rsidR="00A43861" w:rsidRPr="00ED585C">
        <w:t>ssion (mainly CPF</w:t>
      </w:r>
      <w:r w:rsidR="00BD18E5">
        <w:t xml:space="preserve"> and the Budget Fines Fund</w:t>
      </w:r>
      <w:r w:rsidR="00A43861" w:rsidRPr="00ED585C">
        <w:t xml:space="preserve"> </w:t>
      </w:r>
      <w:r w:rsidR="00BD18E5">
        <w:t>(</w:t>
      </w:r>
      <w:r w:rsidR="00A43861" w:rsidRPr="00ED585C">
        <w:t>BUFI</w:t>
      </w:r>
      <w:r w:rsidR="00BD18E5">
        <w:t>)</w:t>
      </w:r>
      <w:r w:rsidR="00A43861" w:rsidRPr="00ED585C">
        <w:t>)</w:t>
      </w:r>
      <w:r w:rsidR="00780553" w:rsidRPr="00ED585C">
        <w:t xml:space="preserve"> or by the EIB</w:t>
      </w:r>
      <w:r w:rsidR="00A43861" w:rsidRPr="00ED585C">
        <w:t xml:space="preserve"> </w:t>
      </w:r>
      <w:r w:rsidR="00780553" w:rsidRPr="00ED585C">
        <w:t>on</w:t>
      </w:r>
      <w:r w:rsidR="000760FB" w:rsidRPr="00ED585C">
        <w:t xml:space="preserve"> behalf of the</w:t>
      </w:r>
      <w:r w:rsidR="00780553" w:rsidRPr="00ED585C">
        <w:t xml:space="preserve"> EU</w:t>
      </w:r>
      <w:r w:rsidR="00A43861" w:rsidRPr="00ED585C">
        <w:t xml:space="preserve"> (</w:t>
      </w:r>
      <w:r w:rsidR="00777EA3" w:rsidRPr="00ED585C">
        <w:t xml:space="preserve">mainly </w:t>
      </w:r>
      <w:r w:rsidR="00BD18E5">
        <w:t>Horizon 2020 (</w:t>
      </w:r>
      <w:r w:rsidR="00A43861" w:rsidRPr="00ED585C">
        <w:t>H2020</w:t>
      </w:r>
      <w:r w:rsidR="00BD18E5">
        <w:t>) and the</w:t>
      </w:r>
      <w:r w:rsidR="00A43861" w:rsidRPr="00ED585C">
        <w:t xml:space="preserve"> Innovation Fund).</w:t>
      </w:r>
      <w:r w:rsidR="00780553" w:rsidRPr="00ED585C">
        <w:t xml:space="preserve"> </w:t>
      </w:r>
      <w:r w:rsidRPr="00ED585C">
        <w:t>Th</w:t>
      </w:r>
      <w:r w:rsidR="00A43861" w:rsidRPr="00ED585C">
        <w:t>e</w:t>
      </w:r>
      <w:r w:rsidR="000760FB" w:rsidRPr="00ED585C">
        <w:t xml:space="preserve"> portfolios</w:t>
      </w:r>
      <w:r w:rsidRPr="00ED585C">
        <w:t>’</w:t>
      </w:r>
      <w:r w:rsidR="00780553" w:rsidRPr="00ED585C">
        <w:t xml:space="preserve"> performance is evaluated on a fair value </w:t>
      </w:r>
      <w:r w:rsidR="00A43861" w:rsidRPr="00ED585C">
        <w:t xml:space="preserve">basis </w:t>
      </w:r>
      <w:r w:rsidR="00780553" w:rsidRPr="00ED585C">
        <w:t xml:space="preserve">(market value). </w:t>
      </w:r>
      <w:r w:rsidR="006927E7" w:rsidRPr="00ED585C">
        <w:t>As at 31 December 202</w:t>
      </w:r>
      <w:r w:rsidR="00D854E9">
        <w:t>5</w:t>
      </w:r>
      <w:r w:rsidR="006927E7" w:rsidRPr="00ED585C">
        <w:t>, the market value of securities lent within the securities lending program</w:t>
      </w:r>
      <w:r w:rsidRPr="00ED585C">
        <w:t>mes</w:t>
      </w:r>
      <w:r w:rsidR="006927E7" w:rsidRPr="00ED585C">
        <w:t xml:space="preserve"> amounts to </w:t>
      </w:r>
      <w:r w:rsidR="006927E7" w:rsidRPr="000B32BF">
        <w:t xml:space="preserve">EUR </w:t>
      </w:r>
      <w:r w:rsidRPr="000B32BF">
        <w:t>6.0</w:t>
      </w:r>
      <w:r w:rsidR="00B81074" w:rsidRPr="000B32BF">
        <w:t xml:space="preserve"> </w:t>
      </w:r>
      <w:r w:rsidRPr="000B32BF">
        <w:t>billion</w:t>
      </w:r>
      <w:r w:rsidR="006927E7" w:rsidRPr="000B32BF">
        <w:t xml:space="preserve"> </w:t>
      </w:r>
      <w:r w:rsidR="006927E7" w:rsidRPr="00F65C8B">
        <w:t xml:space="preserve">(EUR </w:t>
      </w:r>
      <w:r w:rsidR="004C03E9" w:rsidRPr="00F65C8B">
        <w:t>5.8</w:t>
      </w:r>
      <w:r w:rsidRPr="00F65C8B">
        <w:t xml:space="preserve"> billion</w:t>
      </w:r>
      <w:r w:rsidR="006927E7" w:rsidRPr="00F65C8B">
        <w:t xml:space="preserve"> in </w:t>
      </w:r>
      <w:r w:rsidR="004C03E9" w:rsidRPr="00F65C8B">
        <w:t>2024</w:t>
      </w:r>
      <w:r w:rsidR="006927E7" w:rsidRPr="00F65C8B">
        <w:t>).</w:t>
      </w:r>
      <w:r w:rsidR="0038036C" w:rsidRPr="00ED585C">
        <w:t xml:space="preserve"> Those securities lent are not derecognised from the EU’s balance sheet as the risks and rewards are still held by the EU.</w:t>
      </w:r>
    </w:p>
    <w:p w14:paraId="73B478CF" w14:textId="77777777" w:rsidR="006927F7" w:rsidRDefault="00023E71" w:rsidP="006927F7">
      <w:pPr>
        <w:pStyle w:val="DGTextstand-alone"/>
      </w:pPr>
      <w:r w:rsidRPr="00ED585C">
        <w:t xml:space="preserve">Money market funds (MMFs) are mutual funds that invest in short-term debt securities (e.g. the EIB unitary fund). The exchange-traded funds (ETFs) are </w:t>
      </w:r>
      <w:hyperlink r:id="rId81" w:tooltip="Investment fund" w:history="1">
        <w:r w:rsidR="006927F7" w:rsidRPr="00ED585C">
          <w:t>investment fund</w:t>
        </w:r>
      </w:hyperlink>
      <w:r w:rsidRPr="00ED585C">
        <w:t>s that are traded on </w:t>
      </w:r>
      <w:hyperlink r:id="rId82" w:tooltip="Stock exchange" w:history="1">
        <w:r w:rsidR="006927F7" w:rsidRPr="00ED585C">
          <w:t>stock exchanges</w:t>
        </w:r>
      </w:hyperlink>
      <w:r w:rsidRPr="00ED585C">
        <w:t>. They track indices</w:t>
      </w:r>
      <w:r w:rsidRPr="00541087">
        <w:t xml:space="preserve"> and hold assets such as </w:t>
      </w:r>
      <w:hyperlink r:id="rId83" w:tooltip="Stock" w:history="1">
        <w:r w:rsidR="006927F7" w:rsidRPr="00541087">
          <w:t>stocks</w:t>
        </w:r>
      </w:hyperlink>
      <w:r w:rsidRPr="00541087">
        <w:t>, </w:t>
      </w:r>
      <w:hyperlink r:id="rId84" w:tooltip="Bond (finance)" w:history="1">
        <w:r w:rsidR="006927F7" w:rsidRPr="00541087">
          <w:t>bonds</w:t>
        </w:r>
      </w:hyperlink>
      <w:r w:rsidRPr="00541087">
        <w:t>, </w:t>
      </w:r>
      <w:hyperlink r:id="rId85" w:tooltip="Currencies" w:history="1">
        <w:r w:rsidR="006927F7" w:rsidRPr="00541087">
          <w:t>currencies</w:t>
        </w:r>
      </w:hyperlink>
      <w:r w:rsidR="00BD18E5">
        <w:t xml:space="preserve"> and</w:t>
      </w:r>
      <w:r w:rsidRPr="00541087">
        <w:t> </w:t>
      </w:r>
      <w:hyperlink r:id="rId86" w:tooltip="Futures contracts" w:history="1">
        <w:r w:rsidR="006927F7" w:rsidRPr="00541087">
          <w:t>futures contracts</w:t>
        </w:r>
      </w:hyperlink>
      <w:r>
        <w:t xml:space="preserve">. The investments in pooled portfolios are </w:t>
      </w:r>
      <w:r w:rsidR="0099280D">
        <w:t xml:space="preserve">the </w:t>
      </w:r>
      <w:r>
        <w:t xml:space="preserve">EU funds of </w:t>
      </w:r>
      <w:r w:rsidR="00BD18E5">
        <w:t>Connecting Europe Fac</w:t>
      </w:r>
      <w:r>
        <w:t>i</w:t>
      </w:r>
      <w:r w:rsidR="00BD18E5">
        <w:t>lity (</w:t>
      </w:r>
      <w:r>
        <w:t>CEF</w:t>
      </w:r>
      <w:r w:rsidR="00BD18E5">
        <w:t>)</w:t>
      </w:r>
      <w:r>
        <w:t xml:space="preserve"> and H2020 programmes pooled together with Member States’ funds from </w:t>
      </w:r>
      <w:r w:rsidR="0002334C">
        <w:t xml:space="preserve">the </w:t>
      </w:r>
      <w:r>
        <w:t xml:space="preserve">NER 300 programme. They are used to provide guarantees to the EIB’s financing and investment operations. </w:t>
      </w:r>
    </w:p>
    <w:p w14:paraId="6D8BA052" w14:textId="1A324312" w:rsidR="00BA44A0" w:rsidRDefault="00023E71" w:rsidP="006927F7">
      <w:pPr>
        <w:pStyle w:val="DGTextstand-alone"/>
      </w:pPr>
      <w:r w:rsidRPr="00883D5A">
        <w:t>The</w:t>
      </w:r>
      <w:r w:rsidR="008479E6">
        <w:t xml:space="preserve"> </w:t>
      </w:r>
      <w:r w:rsidRPr="00883D5A">
        <w:t>‘</w:t>
      </w:r>
      <w:r>
        <w:t>O</w:t>
      </w:r>
      <w:r w:rsidRPr="00883D5A">
        <w:t xml:space="preserve">ther equity investments’ mainly refer to </w:t>
      </w:r>
      <w:r>
        <w:t>investing EU budget money – via implementing partners –</w:t>
      </w:r>
      <w:r w:rsidRPr="00883D5A">
        <w:t xml:space="preserve"> in venture capital </w:t>
      </w:r>
      <w:r w:rsidR="00201A52">
        <w:t>or other types of invest</w:t>
      </w:r>
      <w:r>
        <w:t xml:space="preserve">ment </w:t>
      </w:r>
      <w:r w:rsidRPr="00883D5A">
        <w:t>funds</w:t>
      </w:r>
      <w:r>
        <w:t xml:space="preserve"> fo</w:t>
      </w:r>
      <w:r w:rsidR="0099280D">
        <w:t>r pursuing EU policy objectives: f</w:t>
      </w:r>
      <w:r>
        <w:t xml:space="preserve">or example, </w:t>
      </w:r>
      <w:r w:rsidRPr="00883D5A">
        <w:t>enhancing access to finance for start up SMEs, research and innovation as well as infrastruc</w:t>
      </w:r>
      <w:r>
        <w:t xml:space="preserve">ture both inside and outside the EU. </w:t>
      </w:r>
    </w:p>
    <w:p w14:paraId="1543B872" w14:textId="77777777" w:rsidR="00BA44A0" w:rsidRDefault="00BA44A0">
      <w:pPr>
        <w:rPr>
          <w:rFonts w:ascii="Verdana" w:hAnsi="Verdana"/>
          <w:noProof/>
          <w:sz w:val="18"/>
          <w:szCs w:val="18"/>
          <w:lang w:eastAsia="en-US"/>
        </w:rPr>
      </w:pPr>
      <w:r>
        <w:rPr>
          <w:noProof/>
        </w:rPr>
        <w:br w:type="page"/>
      </w:r>
    </w:p>
    <w:p w14:paraId="20926533" w14:textId="77777777" w:rsidR="00212597" w:rsidRPr="003B3540" w:rsidRDefault="00023E71" w:rsidP="003B3540">
      <w:pPr>
        <w:pStyle w:val="HEADER5"/>
        <w:rPr>
          <w:noProof/>
        </w:rPr>
      </w:pPr>
      <w:r w:rsidRPr="003B3540">
        <w:rPr>
          <w:noProof/>
        </w:rPr>
        <w:t>Financial assets at FVSD non-derivatives by programme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2"/>
        <w:gridCol w:w="2214"/>
        <w:gridCol w:w="2112"/>
      </w:tblGrid>
      <w:tr w:rsidR="00807FFE" w14:paraId="0A5881BB"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2B410F4C" w14:textId="77777777" w:rsidR="00807FFE" w:rsidRDefault="00807FFE">
            <w:pPr>
              <w:pStyle w:val="DMETW36764BIPFAFVSDND"/>
              <w:rPr>
                <w:rFonts w:ascii="Verdana" w:eastAsia="Verdana" w:hAnsi="Verdana" w:cs="Verdana"/>
                <w:i/>
                <w:noProof/>
                <w:color w:val="FFFFFF"/>
                <w:sz w:val="16"/>
                <w:lang w:bidi="en-GB"/>
              </w:rPr>
            </w:pPr>
            <w:bookmarkStart w:id="111" w:name="DOC_TBL00014_1_1"/>
            <w:bookmarkEnd w:id="111"/>
          </w:p>
        </w:tc>
        <w:tc>
          <w:tcPr>
            <w:tcW w:w="2214" w:type="dxa"/>
            <w:tcBorders>
              <w:top w:val="nil"/>
              <w:left w:val="nil"/>
              <w:bottom w:val="nil"/>
              <w:right w:val="nil"/>
              <w:tl2br w:val="nil"/>
              <w:tr2bl w:val="nil"/>
            </w:tcBorders>
            <w:tcMar>
              <w:left w:w="60" w:type="dxa"/>
              <w:right w:w="60" w:type="dxa"/>
            </w:tcMar>
            <w:vAlign w:val="bottom"/>
          </w:tcPr>
          <w:p w14:paraId="79F4B22B" w14:textId="77777777" w:rsidR="00807FFE" w:rsidRDefault="00807FFE">
            <w:pPr>
              <w:pStyle w:val="DMETW36764BIPFAFVSDND"/>
              <w:rPr>
                <w:rFonts w:ascii="Verdana" w:eastAsia="Verdana" w:hAnsi="Verdana" w:cs="Verdana"/>
                <w:noProof/>
                <w:color w:val="000000"/>
              </w:rPr>
            </w:pPr>
          </w:p>
        </w:tc>
        <w:tc>
          <w:tcPr>
            <w:tcW w:w="2112" w:type="dxa"/>
            <w:tcBorders>
              <w:top w:val="nil"/>
              <w:left w:val="nil"/>
              <w:bottom w:val="nil"/>
              <w:right w:val="nil"/>
              <w:tl2br w:val="nil"/>
              <w:tr2bl w:val="nil"/>
            </w:tcBorders>
            <w:tcMar>
              <w:left w:w="60" w:type="dxa"/>
              <w:right w:w="60" w:type="dxa"/>
            </w:tcMar>
            <w:vAlign w:val="bottom"/>
          </w:tcPr>
          <w:p w14:paraId="3B641A7A" w14:textId="77777777" w:rsidR="00807FFE" w:rsidRDefault="00023E71">
            <w:pPr>
              <w:pStyle w:val="DMETW36764BIPFAFVSDND"/>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952D9DC" w14:textId="77777777">
        <w:trPr>
          <w:trHeight w:val="20"/>
        </w:trPr>
        <w:tc>
          <w:tcPr>
            <w:tcW w:w="5432" w:type="dxa"/>
            <w:tcBorders>
              <w:top w:val="nil"/>
              <w:left w:val="nil"/>
              <w:bottom w:val="nil"/>
              <w:right w:val="nil"/>
              <w:tl2br w:val="nil"/>
              <w:tr2bl w:val="nil"/>
            </w:tcBorders>
            <w:shd w:val="solid" w:color="016794" w:fill="FFFFFF"/>
            <w:tcMar>
              <w:left w:w="60" w:type="dxa"/>
              <w:right w:w="60" w:type="dxa"/>
            </w:tcMar>
            <w:vAlign w:val="center"/>
          </w:tcPr>
          <w:p w14:paraId="00759A62" w14:textId="77777777" w:rsidR="00807FFE" w:rsidRDefault="00807FFE">
            <w:pPr>
              <w:pStyle w:val="DMETW36764BIPFAFVSDND"/>
              <w:rPr>
                <w:rFonts w:ascii="Verdana" w:eastAsia="Verdana" w:hAnsi="Verdana" w:cs="Verdana"/>
                <w:noProof/>
                <w:color w:val="FFFFFF"/>
              </w:rPr>
            </w:pPr>
          </w:p>
        </w:tc>
        <w:tc>
          <w:tcPr>
            <w:tcW w:w="2214" w:type="dxa"/>
            <w:tcBorders>
              <w:top w:val="nil"/>
              <w:left w:val="nil"/>
              <w:bottom w:val="nil"/>
              <w:right w:val="nil"/>
              <w:tl2br w:val="nil"/>
              <w:tr2bl w:val="nil"/>
            </w:tcBorders>
            <w:shd w:val="solid" w:color="016794" w:fill="FFFFFF"/>
            <w:tcMar>
              <w:left w:w="60" w:type="dxa"/>
              <w:right w:w="60" w:type="dxa"/>
            </w:tcMar>
            <w:vAlign w:val="center"/>
          </w:tcPr>
          <w:p w14:paraId="3AB064F6" w14:textId="77777777" w:rsidR="00807FFE" w:rsidRDefault="00023E71">
            <w:pPr>
              <w:pStyle w:val="DMETW36764BIPFAFVSDND"/>
              <w:jc w:val="right"/>
              <w:rPr>
                <w:rFonts w:ascii="Verdana" w:eastAsia="Verdana" w:hAnsi="Verdana" w:cs="Verdana"/>
                <w:noProof/>
                <w:color w:val="FFFFFF"/>
              </w:rPr>
            </w:pPr>
            <w:r>
              <w:rPr>
                <w:rFonts w:ascii="Verdana" w:eastAsia="Verdana" w:hAnsi="Verdana" w:cs="Verdana"/>
                <w:noProof/>
                <w:color w:val="FFFFFF"/>
              </w:rPr>
              <w:t>31.12.2025</w:t>
            </w:r>
          </w:p>
        </w:tc>
        <w:tc>
          <w:tcPr>
            <w:tcW w:w="2112" w:type="dxa"/>
            <w:tcBorders>
              <w:top w:val="nil"/>
              <w:left w:val="nil"/>
              <w:bottom w:val="nil"/>
              <w:right w:val="nil"/>
              <w:tl2br w:val="nil"/>
              <w:tr2bl w:val="nil"/>
            </w:tcBorders>
            <w:shd w:val="solid" w:color="016794" w:fill="FFFFFF"/>
            <w:tcMar>
              <w:left w:w="60" w:type="dxa"/>
              <w:right w:w="60" w:type="dxa"/>
            </w:tcMar>
            <w:vAlign w:val="center"/>
          </w:tcPr>
          <w:p w14:paraId="1C1E1686" w14:textId="77777777" w:rsidR="00807FFE" w:rsidRDefault="00023E71">
            <w:pPr>
              <w:pStyle w:val="DMETW36764BIPFAFVSDND"/>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32DF6F7A"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0A7CBC32"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Common Provisioning Fund</w:t>
            </w:r>
          </w:p>
        </w:tc>
        <w:tc>
          <w:tcPr>
            <w:tcW w:w="2214" w:type="dxa"/>
            <w:tcBorders>
              <w:top w:val="nil"/>
              <w:left w:val="nil"/>
              <w:bottom w:val="nil"/>
              <w:right w:val="nil"/>
              <w:tl2br w:val="nil"/>
              <w:tr2bl w:val="nil"/>
            </w:tcBorders>
            <w:tcMar>
              <w:left w:w="60" w:type="dxa"/>
              <w:right w:w="60" w:type="dxa"/>
            </w:tcMar>
            <w:vAlign w:val="bottom"/>
          </w:tcPr>
          <w:p w14:paraId="6E4C7386"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27 018</w:t>
            </w:r>
          </w:p>
        </w:tc>
        <w:tc>
          <w:tcPr>
            <w:tcW w:w="2112" w:type="dxa"/>
            <w:tcBorders>
              <w:top w:val="nil"/>
              <w:left w:val="nil"/>
              <w:bottom w:val="nil"/>
              <w:right w:val="nil"/>
              <w:tl2br w:val="nil"/>
              <w:tr2bl w:val="nil"/>
            </w:tcBorders>
            <w:tcMar>
              <w:left w:w="60" w:type="dxa"/>
              <w:right w:w="60" w:type="dxa"/>
            </w:tcMar>
            <w:vAlign w:val="bottom"/>
          </w:tcPr>
          <w:p w14:paraId="05F8BFB6"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23 174</w:t>
            </w:r>
          </w:p>
        </w:tc>
      </w:tr>
      <w:tr w:rsidR="00807FFE" w14:paraId="2C440FC8"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40C4644D"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Innovation Fund</w:t>
            </w:r>
          </w:p>
        </w:tc>
        <w:tc>
          <w:tcPr>
            <w:tcW w:w="2214" w:type="dxa"/>
            <w:tcBorders>
              <w:top w:val="nil"/>
              <w:left w:val="nil"/>
              <w:bottom w:val="nil"/>
              <w:right w:val="nil"/>
              <w:tl2br w:val="nil"/>
              <w:tr2bl w:val="nil"/>
            </w:tcBorders>
            <w:tcMar>
              <w:left w:w="60" w:type="dxa"/>
              <w:right w:w="60" w:type="dxa"/>
            </w:tcMar>
            <w:vAlign w:val="bottom"/>
          </w:tcPr>
          <w:p w14:paraId="4948B4AA"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13 265</w:t>
            </w:r>
          </w:p>
        </w:tc>
        <w:tc>
          <w:tcPr>
            <w:tcW w:w="2112" w:type="dxa"/>
            <w:tcBorders>
              <w:top w:val="nil"/>
              <w:left w:val="nil"/>
              <w:bottom w:val="nil"/>
              <w:right w:val="nil"/>
              <w:tl2br w:val="nil"/>
              <w:tr2bl w:val="nil"/>
            </w:tcBorders>
            <w:tcMar>
              <w:left w:w="60" w:type="dxa"/>
              <w:right w:w="60" w:type="dxa"/>
            </w:tcMar>
            <w:vAlign w:val="bottom"/>
          </w:tcPr>
          <w:p w14:paraId="0547BDAC"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10 616</w:t>
            </w:r>
          </w:p>
        </w:tc>
      </w:tr>
      <w:tr w:rsidR="00807FFE" w14:paraId="76EE7512"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4A1E2A25"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Horizon 2020 and Horizon Europe</w:t>
            </w:r>
          </w:p>
        </w:tc>
        <w:tc>
          <w:tcPr>
            <w:tcW w:w="2214" w:type="dxa"/>
            <w:tcBorders>
              <w:top w:val="nil"/>
              <w:left w:val="nil"/>
              <w:bottom w:val="nil"/>
              <w:right w:val="nil"/>
              <w:tl2br w:val="nil"/>
              <w:tr2bl w:val="nil"/>
            </w:tcBorders>
            <w:tcMar>
              <w:left w:w="60" w:type="dxa"/>
              <w:right w:w="60" w:type="dxa"/>
            </w:tcMar>
            <w:vAlign w:val="bottom"/>
          </w:tcPr>
          <w:p w14:paraId="0243BA04"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4 286</w:t>
            </w:r>
          </w:p>
        </w:tc>
        <w:tc>
          <w:tcPr>
            <w:tcW w:w="2112" w:type="dxa"/>
            <w:tcBorders>
              <w:top w:val="nil"/>
              <w:left w:val="nil"/>
              <w:bottom w:val="nil"/>
              <w:right w:val="nil"/>
              <w:tl2br w:val="nil"/>
              <w:tr2bl w:val="nil"/>
            </w:tcBorders>
            <w:tcMar>
              <w:left w:w="60" w:type="dxa"/>
              <w:right w:w="60" w:type="dxa"/>
            </w:tcMar>
            <w:vAlign w:val="bottom"/>
          </w:tcPr>
          <w:p w14:paraId="7B43E67E"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3 968</w:t>
            </w:r>
          </w:p>
        </w:tc>
      </w:tr>
      <w:tr w:rsidR="00807FFE" w14:paraId="39CF1D08"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350E29B4"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BUFI investments</w:t>
            </w:r>
          </w:p>
        </w:tc>
        <w:tc>
          <w:tcPr>
            <w:tcW w:w="2214" w:type="dxa"/>
            <w:tcBorders>
              <w:top w:val="nil"/>
              <w:left w:val="nil"/>
              <w:bottom w:val="nil"/>
              <w:right w:val="nil"/>
              <w:tl2br w:val="nil"/>
              <w:tr2bl w:val="nil"/>
            </w:tcBorders>
            <w:tcMar>
              <w:left w:w="60" w:type="dxa"/>
              <w:right w:w="60" w:type="dxa"/>
            </w:tcMar>
            <w:vAlign w:val="bottom"/>
          </w:tcPr>
          <w:p w14:paraId="7B62A319"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2 662</w:t>
            </w:r>
          </w:p>
        </w:tc>
        <w:tc>
          <w:tcPr>
            <w:tcW w:w="2112" w:type="dxa"/>
            <w:tcBorders>
              <w:top w:val="nil"/>
              <w:left w:val="nil"/>
              <w:bottom w:val="nil"/>
              <w:right w:val="nil"/>
              <w:tl2br w:val="nil"/>
              <w:tr2bl w:val="nil"/>
            </w:tcBorders>
            <w:tcMar>
              <w:left w:w="60" w:type="dxa"/>
              <w:right w:w="60" w:type="dxa"/>
            </w:tcMar>
            <w:vAlign w:val="bottom"/>
          </w:tcPr>
          <w:p w14:paraId="1217E594"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2 141</w:t>
            </w:r>
          </w:p>
        </w:tc>
      </w:tr>
      <w:tr w:rsidR="00807FFE" w14:paraId="13F24A74"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59999392"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ECSC i.L.</w:t>
            </w:r>
          </w:p>
        </w:tc>
        <w:tc>
          <w:tcPr>
            <w:tcW w:w="2214" w:type="dxa"/>
            <w:tcBorders>
              <w:top w:val="nil"/>
              <w:left w:val="nil"/>
              <w:bottom w:val="nil"/>
              <w:right w:val="nil"/>
              <w:tl2br w:val="nil"/>
              <w:tr2bl w:val="nil"/>
            </w:tcBorders>
            <w:tcMar>
              <w:left w:w="60" w:type="dxa"/>
              <w:right w:w="60" w:type="dxa"/>
            </w:tcMar>
            <w:vAlign w:val="bottom"/>
          </w:tcPr>
          <w:p w14:paraId="73BF35CE"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1 187</w:t>
            </w:r>
          </w:p>
        </w:tc>
        <w:tc>
          <w:tcPr>
            <w:tcW w:w="2112" w:type="dxa"/>
            <w:tcBorders>
              <w:top w:val="nil"/>
              <w:left w:val="nil"/>
              <w:bottom w:val="nil"/>
              <w:right w:val="nil"/>
              <w:tl2br w:val="nil"/>
              <w:tr2bl w:val="nil"/>
            </w:tcBorders>
            <w:tcMar>
              <w:left w:w="60" w:type="dxa"/>
              <w:right w:w="60" w:type="dxa"/>
            </w:tcMar>
            <w:vAlign w:val="bottom"/>
          </w:tcPr>
          <w:p w14:paraId="09802403"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1 206</w:t>
            </w:r>
          </w:p>
        </w:tc>
      </w:tr>
      <w:tr w:rsidR="00807FFE" w14:paraId="0E78D04F"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511F02EE"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Connecting Europe Facility</w:t>
            </w:r>
          </w:p>
        </w:tc>
        <w:tc>
          <w:tcPr>
            <w:tcW w:w="2214" w:type="dxa"/>
            <w:tcBorders>
              <w:top w:val="nil"/>
              <w:left w:val="nil"/>
              <w:bottom w:val="nil"/>
              <w:right w:val="nil"/>
              <w:tl2br w:val="nil"/>
              <w:tr2bl w:val="nil"/>
            </w:tcBorders>
            <w:tcMar>
              <w:left w:w="60" w:type="dxa"/>
              <w:right w:w="60" w:type="dxa"/>
            </w:tcMar>
            <w:vAlign w:val="bottom"/>
          </w:tcPr>
          <w:p w14:paraId="2DC0468B"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 xml:space="preserve"> 683</w:t>
            </w:r>
          </w:p>
        </w:tc>
        <w:tc>
          <w:tcPr>
            <w:tcW w:w="2112" w:type="dxa"/>
            <w:tcBorders>
              <w:top w:val="nil"/>
              <w:left w:val="nil"/>
              <w:bottom w:val="nil"/>
              <w:right w:val="nil"/>
              <w:tl2br w:val="nil"/>
              <w:tr2bl w:val="nil"/>
            </w:tcBorders>
            <w:tcMar>
              <w:left w:w="60" w:type="dxa"/>
              <w:right w:w="60" w:type="dxa"/>
            </w:tcMar>
            <w:vAlign w:val="bottom"/>
          </w:tcPr>
          <w:p w14:paraId="445F136B"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716</w:t>
            </w:r>
          </w:p>
        </w:tc>
      </w:tr>
      <w:tr w:rsidR="00807FFE" w14:paraId="73233EC1"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4BDC1168"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EU SME Equity Facilities</w:t>
            </w:r>
          </w:p>
        </w:tc>
        <w:tc>
          <w:tcPr>
            <w:tcW w:w="2214" w:type="dxa"/>
            <w:tcBorders>
              <w:top w:val="nil"/>
              <w:left w:val="nil"/>
              <w:bottom w:val="nil"/>
              <w:right w:val="nil"/>
              <w:tl2br w:val="nil"/>
              <w:tr2bl w:val="nil"/>
            </w:tcBorders>
            <w:tcMar>
              <w:left w:w="60" w:type="dxa"/>
              <w:right w:w="60" w:type="dxa"/>
            </w:tcMar>
            <w:vAlign w:val="bottom"/>
          </w:tcPr>
          <w:p w14:paraId="5494B126"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 xml:space="preserve"> 433</w:t>
            </w:r>
          </w:p>
        </w:tc>
        <w:tc>
          <w:tcPr>
            <w:tcW w:w="2112" w:type="dxa"/>
            <w:tcBorders>
              <w:top w:val="nil"/>
              <w:left w:val="nil"/>
              <w:bottom w:val="nil"/>
              <w:right w:val="nil"/>
              <w:tl2br w:val="nil"/>
              <w:tr2bl w:val="nil"/>
            </w:tcBorders>
            <w:tcMar>
              <w:left w:w="60" w:type="dxa"/>
              <w:right w:w="60" w:type="dxa"/>
            </w:tcMar>
            <w:vAlign w:val="bottom"/>
          </w:tcPr>
          <w:p w14:paraId="675CEDFF"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453</w:t>
            </w:r>
          </w:p>
        </w:tc>
      </w:tr>
      <w:tr w:rsidR="00807FFE" w14:paraId="58F501E0"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2A2B5A44"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EBRD</w:t>
            </w:r>
          </w:p>
        </w:tc>
        <w:tc>
          <w:tcPr>
            <w:tcW w:w="2214" w:type="dxa"/>
            <w:tcBorders>
              <w:top w:val="nil"/>
              <w:left w:val="nil"/>
              <w:bottom w:val="nil"/>
              <w:right w:val="nil"/>
              <w:tl2br w:val="nil"/>
              <w:tr2bl w:val="nil"/>
            </w:tcBorders>
            <w:tcMar>
              <w:left w:w="60" w:type="dxa"/>
              <w:right w:w="60" w:type="dxa"/>
            </w:tcMar>
            <w:vAlign w:val="bottom"/>
          </w:tcPr>
          <w:p w14:paraId="5C32A8C2"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 xml:space="preserve"> 309</w:t>
            </w:r>
          </w:p>
        </w:tc>
        <w:tc>
          <w:tcPr>
            <w:tcW w:w="2112" w:type="dxa"/>
            <w:tcBorders>
              <w:top w:val="nil"/>
              <w:left w:val="nil"/>
              <w:bottom w:val="nil"/>
              <w:right w:val="nil"/>
              <w:tl2br w:val="nil"/>
              <w:tr2bl w:val="nil"/>
            </w:tcBorders>
            <w:tcMar>
              <w:left w:w="60" w:type="dxa"/>
              <w:right w:w="60" w:type="dxa"/>
            </w:tcMar>
            <w:vAlign w:val="bottom"/>
          </w:tcPr>
          <w:p w14:paraId="1E811450"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188</w:t>
            </w:r>
          </w:p>
        </w:tc>
      </w:tr>
      <w:tr w:rsidR="00807FFE" w14:paraId="30C9390B"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4A55CCC9"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European Fund for South East Europe</w:t>
            </w:r>
          </w:p>
        </w:tc>
        <w:tc>
          <w:tcPr>
            <w:tcW w:w="2214" w:type="dxa"/>
            <w:tcBorders>
              <w:top w:val="nil"/>
              <w:left w:val="nil"/>
              <w:bottom w:val="nil"/>
              <w:right w:val="nil"/>
              <w:tl2br w:val="nil"/>
              <w:tr2bl w:val="nil"/>
            </w:tcBorders>
            <w:tcMar>
              <w:left w:w="60" w:type="dxa"/>
              <w:right w:w="60" w:type="dxa"/>
            </w:tcMar>
            <w:vAlign w:val="bottom"/>
          </w:tcPr>
          <w:p w14:paraId="589E0FC3"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 xml:space="preserve"> 250</w:t>
            </w:r>
          </w:p>
        </w:tc>
        <w:tc>
          <w:tcPr>
            <w:tcW w:w="2112" w:type="dxa"/>
            <w:tcBorders>
              <w:top w:val="nil"/>
              <w:left w:val="nil"/>
              <w:bottom w:val="nil"/>
              <w:right w:val="nil"/>
              <w:tl2br w:val="nil"/>
              <w:tr2bl w:val="nil"/>
            </w:tcBorders>
            <w:tcMar>
              <w:left w:w="60" w:type="dxa"/>
              <w:right w:w="60" w:type="dxa"/>
            </w:tcMar>
            <w:vAlign w:val="bottom"/>
          </w:tcPr>
          <w:p w14:paraId="42CF9663"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243</w:t>
            </w:r>
          </w:p>
        </w:tc>
      </w:tr>
      <w:tr w:rsidR="00807FFE" w14:paraId="38FEC761"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329E361C"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EEAS local staff pension plan</w:t>
            </w:r>
          </w:p>
        </w:tc>
        <w:tc>
          <w:tcPr>
            <w:tcW w:w="2214" w:type="dxa"/>
            <w:tcBorders>
              <w:top w:val="nil"/>
              <w:left w:val="nil"/>
              <w:bottom w:val="nil"/>
              <w:right w:val="nil"/>
              <w:tl2br w:val="nil"/>
              <w:tr2bl w:val="nil"/>
            </w:tcBorders>
            <w:tcMar>
              <w:left w:w="60" w:type="dxa"/>
              <w:right w:w="60" w:type="dxa"/>
            </w:tcMar>
            <w:vAlign w:val="bottom"/>
          </w:tcPr>
          <w:p w14:paraId="7A8EA536"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 xml:space="preserve"> 152</w:t>
            </w:r>
          </w:p>
        </w:tc>
        <w:tc>
          <w:tcPr>
            <w:tcW w:w="2112" w:type="dxa"/>
            <w:tcBorders>
              <w:top w:val="nil"/>
              <w:left w:val="nil"/>
              <w:bottom w:val="nil"/>
              <w:right w:val="nil"/>
              <w:tl2br w:val="nil"/>
              <w:tr2bl w:val="nil"/>
            </w:tcBorders>
            <w:tcMar>
              <w:left w:w="60" w:type="dxa"/>
              <w:right w:w="60" w:type="dxa"/>
            </w:tcMar>
            <w:vAlign w:val="bottom"/>
          </w:tcPr>
          <w:p w14:paraId="4D650F0A"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128</w:t>
            </w:r>
          </w:p>
        </w:tc>
      </w:tr>
      <w:tr w:rsidR="00807FFE" w14:paraId="0D84B765"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2133986D"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Green for Growth Fund</w:t>
            </w:r>
          </w:p>
        </w:tc>
        <w:tc>
          <w:tcPr>
            <w:tcW w:w="2214" w:type="dxa"/>
            <w:tcBorders>
              <w:top w:val="nil"/>
              <w:left w:val="nil"/>
              <w:bottom w:val="nil"/>
              <w:right w:val="nil"/>
              <w:tl2br w:val="nil"/>
              <w:tr2bl w:val="nil"/>
            </w:tcBorders>
            <w:tcMar>
              <w:left w:w="60" w:type="dxa"/>
              <w:right w:w="60" w:type="dxa"/>
            </w:tcMar>
            <w:vAlign w:val="bottom"/>
          </w:tcPr>
          <w:p w14:paraId="536B4C50"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 xml:space="preserve"> 152</w:t>
            </w:r>
          </w:p>
        </w:tc>
        <w:tc>
          <w:tcPr>
            <w:tcW w:w="2112" w:type="dxa"/>
            <w:tcBorders>
              <w:top w:val="nil"/>
              <w:left w:val="nil"/>
              <w:bottom w:val="nil"/>
              <w:right w:val="nil"/>
              <w:tl2br w:val="nil"/>
              <w:tr2bl w:val="nil"/>
            </w:tcBorders>
            <w:tcMar>
              <w:left w:w="60" w:type="dxa"/>
              <w:right w:w="60" w:type="dxa"/>
            </w:tcMar>
            <w:vAlign w:val="bottom"/>
          </w:tcPr>
          <w:p w14:paraId="565B742D"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128</w:t>
            </w:r>
          </w:p>
        </w:tc>
      </w:tr>
      <w:tr w:rsidR="00807FFE" w14:paraId="07336A46"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377C5763"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Energy Efficiency Finance Facility</w:t>
            </w:r>
          </w:p>
        </w:tc>
        <w:tc>
          <w:tcPr>
            <w:tcW w:w="2214" w:type="dxa"/>
            <w:tcBorders>
              <w:top w:val="nil"/>
              <w:left w:val="nil"/>
              <w:bottom w:val="nil"/>
              <w:right w:val="nil"/>
              <w:tl2br w:val="nil"/>
              <w:tr2bl w:val="nil"/>
            </w:tcBorders>
            <w:tcMar>
              <w:left w:w="60" w:type="dxa"/>
              <w:right w:w="60" w:type="dxa"/>
            </w:tcMar>
            <w:vAlign w:val="bottom"/>
          </w:tcPr>
          <w:p w14:paraId="3831458F"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 xml:space="preserve"> 104</w:t>
            </w:r>
          </w:p>
        </w:tc>
        <w:tc>
          <w:tcPr>
            <w:tcW w:w="2112" w:type="dxa"/>
            <w:tcBorders>
              <w:top w:val="nil"/>
              <w:left w:val="nil"/>
              <w:bottom w:val="nil"/>
              <w:right w:val="nil"/>
              <w:tl2br w:val="nil"/>
              <w:tr2bl w:val="nil"/>
            </w:tcBorders>
            <w:tcMar>
              <w:left w:w="60" w:type="dxa"/>
              <w:right w:w="60" w:type="dxa"/>
            </w:tcMar>
            <w:vAlign w:val="bottom"/>
          </w:tcPr>
          <w:p w14:paraId="55465B8F"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103</w:t>
            </w:r>
          </w:p>
        </w:tc>
      </w:tr>
      <w:tr w:rsidR="00807FFE" w14:paraId="12C42B8E" w14:textId="77777777">
        <w:trPr>
          <w:trHeight w:val="20"/>
        </w:trPr>
        <w:tc>
          <w:tcPr>
            <w:tcW w:w="5432" w:type="dxa"/>
            <w:tcBorders>
              <w:top w:val="nil"/>
              <w:left w:val="nil"/>
              <w:bottom w:val="single" w:sz="4" w:space="0" w:color="016794"/>
              <w:right w:val="nil"/>
              <w:tl2br w:val="nil"/>
              <w:tr2bl w:val="nil"/>
            </w:tcBorders>
            <w:tcMar>
              <w:left w:w="60" w:type="dxa"/>
              <w:right w:w="60" w:type="dxa"/>
            </w:tcMar>
            <w:vAlign w:val="center"/>
          </w:tcPr>
          <w:p w14:paraId="5A80B36E" w14:textId="77777777" w:rsidR="00807FFE" w:rsidRDefault="00023E71">
            <w:pPr>
              <w:pStyle w:val="DMETW36764BIPFAFVSDND"/>
              <w:rPr>
                <w:rFonts w:ascii="Verdana" w:eastAsia="Verdana" w:hAnsi="Verdana" w:cs="Verdana"/>
                <w:i/>
                <w:noProof/>
                <w:color w:val="000000"/>
                <w:sz w:val="18"/>
              </w:rPr>
            </w:pPr>
            <w:r>
              <w:rPr>
                <w:rFonts w:ascii="Verdana" w:eastAsia="Verdana" w:hAnsi="Verdana" w:cs="Verdana"/>
                <w:i/>
                <w:noProof/>
                <w:color w:val="000000"/>
                <w:sz w:val="18"/>
              </w:rPr>
              <w:t>Other</w:t>
            </w:r>
          </w:p>
        </w:tc>
        <w:tc>
          <w:tcPr>
            <w:tcW w:w="2214" w:type="dxa"/>
            <w:tcBorders>
              <w:top w:val="nil"/>
              <w:left w:val="nil"/>
              <w:bottom w:val="single" w:sz="4" w:space="0" w:color="016794"/>
              <w:right w:val="nil"/>
              <w:tl2br w:val="nil"/>
              <w:tr2bl w:val="nil"/>
            </w:tcBorders>
            <w:tcMar>
              <w:left w:w="60" w:type="dxa"/>
              <w:right w:w="60" w:type="dxa"/>
            </w:tcMar>
            <w:vAlign w:val="bottom"/>
          </w:tcPr>
          <w:p w14:paraId="16705F0D" w14:textId="77777777" w:rsidR="00807FFE" w:rsidRDefault="00023E71">
            <w:pPr>
              <w:pStyle w:val="DMETW36764BIPFAFVSDND"/>
              <w:jc w:val="right"/>
              <w:rPr>
                <w:rFonts w:ascii="Verdana" w:eastAsia="Verdana" w:hAnsi="Verdana" w:cs="Verdana"/>
                <w:i/>
                <w:noProof/>
                <w:color w:val="000000"/>
                <w:sz w:val="18"/>
              </w:rPr>
            </w:pPr>
            <w:r>
              <w:rPr>
                <w:rFonts w:ascii="Verdana" w:eastAsia="Verdana" w:hAnsi="Verdana" w:cs="Verdana"/>
                <w:i/>
                <w:noProof/>
                <w:color w:val="000000"/>
                <w:sz w:val="18"/>
              </w:rPr>
              <w:t xml:space="preserve"> 581</w:t>
            </w:r>
          </w:p>
        </w:tc>
        <w:tc>
          <w:tcPr>
            <w:tcW w:w="2112" w:type="dxa"/>
            <w:tcBorders>
              <w:top w:val="nil"/>
              <w:left w:val="nil"/>
              <w:bottom w:val="single" w:sz="4" w:space="0" w:color="016794"/>
              <w:right w:val="nil"/>
              <w:tl2br w:val="nil"/>
              <w:tr2bl w:val="nil"/>
            </w:tcBorders>
            <w:tcMar>
              <w:left w:w="60" w:type="dxa"/>
              <w:right w:w="60" w:type="dxa"/>
            </w:tcMar>
            <w:vAlign w:val="bottom"/>
          </w:tcPr>
          <w:p w14:paraId="6FFB3243" w14:textId="77777777" w:rsidR="00807FFE" w:rsidRDefault="00023E71">
            <w:pPr>
              <w:pStyle w:val="DMETW36764BIPFAFVSDN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586</w:t>
            </w:r>
          </w:p>
        </w:tc>
      </w:tr>
      <w:tr w:rsidR="00807FFE" w14:paraId="2A6E7D1A" w14:textId="77777777">
        <w:trPr>
          <w:trHeight w:val="20"/>
        </w:trPr>
        <w:tc>
          <w:tcPr>
            <w:tcW w:w="5432" w:type="dxa"/>
            <w:tcBorders>
              <w:top w:val="single" w:sz="4" w:space="0" w:color="016794"/>
              <w:left w:val="nil"/>
              <w:bottom w:val="single" w:sz="4" w:space="0" w:color="016794"/>
              <w:right w:val="nil"/>
              <w:tl2br w:val="nil"/>
              <w:tr2bl w:val="nil"/>
            </w:tcBorders>
            <w:tcMar>
              <w:left w:w="60" w:type="dxa"/>
              <w:right w:w="60" w:type="dxa"/>
            </w:tcMar>
            <w:vAlign w:val="center"/>
          </w:tcPr>
          <w:p w14:paraId="0AC799C4" w14:textId="77777777" w:rsidR="00807FFE" w:rsidRDefault="00023E71">
            <w:pPr>
              <w:pStyle w:val="DMETW36764BIPFAFVSDND"/>
              <w:rPr>
                <w:rFonts w:ascii="Verdana" w:eastAsia="Verdana" w:hAnsi="Verdana" w:cs="Verdana"/>
                <w:b/>
                <w:noProof/>
                <w:color w:val="000000"/>
                <w:sz w:val="18"/>
              </w:rPr>
            </w:pPr>
            <w:r>
              <w:rPr>
                <w:rFonts w:ascii="Verdana" w:eastAsia="Verdana" w:hAnsi="Verdana" w:cs="Verdana"/>
                <w:b/>
                <w:noProof/>
                <w:color w:val="000000"/>
                <w:sz w:val="18"/>
              </w:rPr>
              <w:t>Total</w:t>
            </w:r>
          </w:p>
        </w:tc>
        <w:tc>
          <w:tcPr>
            <w:tcW w:w="2214" w:type="dxa"/>
            <w:tcBorders>
              <w:top w:val="single" w:sz="4" w:space="0" w:color="016794"/>
              <w:left w:val="nil"/>
              <w:bottom w:val="single" w:sz="4" w:space="0" w:color="016794"/>
              <w:right w:val="nil"/>
              <w:tl2br w:val="nil"/>
              <w:tr2bl w:val="nil"/>
            </w:tcBorders>
            <w:tcMar>
              <w:left w:w="60" w:type="dxa"/>
              <w:right w:w="60" w:type="dxa"/>
            </w:tcMar>
            <w:vAlign w:val="bottom"/>
          </w:tcPr>
          <w:p w14:paraId="2662AA01" w14:textId="77777777" w:rsidR="00807FFE" w:rsidRDefault="00023E71">
            <w:pPr>
              <w:pStyle w:val="DMETW36764BIPFAFVSDND"/>
              <w:jc w:val="right"/>
              <w:rPr>
                <w:rFonts w:ascii="Verdana" w:eastAsia="Verdana" w:hAnsi="Verdana" w:cs="Verdana"/>
                <w:b/>
                <w:noProof/>
                <w:color w:val="000000"/>
                <w:sz w:val="18"/>
              </w:rPr>
            </w:pPr>
            <w:r>
              <w:rPr>
                <w:rFonts w:ascii="Verdana" w:eastAsia="Verdana" w:hAnsi="Verdana" w:cs="Verdana"/>
                <w:b/>
                <w:noProof/>
                <w:color w:val="000000"/>
                <w:sz w:val="18"/>
              </w:rPr>
              <w:t>51 080</w:t>
            </w:r>
          </w:p>
        </w:tc>
        <w:tc>
          <w:tcPr>
            <w:tcW w:w="2112" w:type="dxa"/>
            <w:tcBorders>
              <w:top w:val="single" w:sz="4" w:space="0" w:color="016794"/>
              <w:left w:val="nil"/>
              <w:bottom w:val="single" w:sz="4" w:space="0" w:color="016794"/>
              <w:right w:val="nil"/>
              <w:tl2br w:val="nil"/>
              <w:tr2bl w:val="nil"/>
            </w:tcBorders>
            <w:tcMar>
              <w:left w:w="60" w:type="dxa"/>
              <w:right w:w="60" w:type="dxa"/>
            </w:tcMar>
            <w:vAlign w:val="bottom"/>
          </w:tcPr>
          <w:p w14:paraId="3220ABE0" w14:textId="77777777" w:rsidR="00807FFE" w:rsidRDefault="00023E71">
            <w:pPr>
              <w:pStyle w:val="DMETW36764BIPFAFVSDND"/>
              <w:jc w:val="right"/>
              <w:rPr>
                <w:rFonts w:ascii="Verdana" w:eastAsia="Verdana" w:hAnsi="Verdana" w:cs="Verdana"/>
                <w:b/>
                <w:noProof/>
                <w:color w:val="000000"/>
                <w:sz w:val="18"/>
                <w:lang w:bidi="en-GB"/>
              </w:rPr>
            </w:pPr>
            <w:r>
              <w:rPr>
                <w:rFonts w:ascii="Verdana" w:eastAsia="Verdana" w:hAnsi="Verdana" w:cs="Verdana"/>
                <w:b/>
                <w:noProof/>
                <w:color w:val="000000"/>
                <w:sz w:val="18"/>
              </w:rPr>
              <w:t>43 648</w:t>
            </w:r>
          </w:p>
        </w:tc>
      </w:tr>
      <w:tr w:rsidR="00807FFE" w14:paraId="40A1CCC4" w14:textId="77777777">
        <w:trPr>
          <w:trHeight w:val="20"/>
        </w:trPr>
        <w:tc>
          <w:tcPr>
            <w:tcW w:w="5432" w:type="dxa"/>
            <w:tcBorders>
              <w:top w:val="single" w:sz="4" w:space="0" w:color="016794"/>
              <w:left w:val="nil"/>
              <w:bottom w:val="nil"/>
              <w:right w:val="nil"/>
              <w:tl2br w:val="nil"/>
              <w:tr2bl w:val="nil"/>
            </w:tcBorders>
            <w:tcMar>
              <w:left w:w="60" w:type="dxa"/>
              <w:right w:w="60" w:type="dxa"/>
            </w:tcMar>
            <w:vAlign w:val="center"/>
          </w:tcPr>
          <w:p w14:paraId="6BC22848" w14:textId="77777777" w:rsidR="00807FFE" w:rsidRDefault="00023E71">
            <w:pPr>
              <w:pStyle w:val="DMETW36764BIPFAFVSDND"/>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2214" w:type="dxa"/>
            <w:tcBorders>
              <w:top w:val="single" w:sz="4" w:space="0" w:color="016794"/>
              <w:left w:val="nil"/>
              <w:bottom w:val="nil"/>
              <w:right w:val="nil"/>
              <w:tl2br w:val="nil"/>
              <w:tr2bl w:val="nil"/>
            </w:tcBorders>
            <w:tcMar>
              <w:left w:w="60" w:type="dxa"/>
              <w:right w:w="60" w:type="dxa"/>
            </w:tcMar>
            <w:vAlign w:val="bottom"/>
          </w:tcPr>
          <w:p w14:paraId="12904A32" w14:textId="77777777" w:rsidR="00807FFE" w:rsidRDefault="00023E71">
            <w:pPr>
              <w:pStyle w:val="DMETW36764BIPFAFVSDND"/>
              <w:jc w:val="right"/>
              <w:rPr>
                <w:rFonts w:ascii="Verdana" w:eastAsia="Verdana" w:hAnsi="Verdana" w:cs="Verdana"/>
                <w:i/>
                <w:noProof/>
                <w:color w:val="016794"/>
                <w:sz w:val="18"/>
              </w:rPr>
            </w:pPr>
            <w:r>
              <w:rPr>
                <w:rFonts w:ascii="Verdana" w:eastAsia="Verdana" w:hAnsi="Verdana" w:cs="Verdana"/>
                <w:i/>
                <w:noProof/>
                <w:color w:val="016794"/>
                <w:sz w:val="18"/>
              </w:rPr>
              <w:t>46 350</w:t>
            </w:r>
          </w:p>
        </w:tc>
        <w:tc>
          <w:tcPr>
            <w:tcW w:w="2112" w:type="dxa"/>
            <w:tcBorders>
              <w:top w:val="single" w:sz="4" w:space="0" w:color="016794"/>
              <w:left w:val="nil"/>
              <w:bottom w:val="nil"/>
              <w:right w:val="nil"/>
              <w:tl2br w:val="nil"/>
              <w:tr2bl w:val="nil"/>
            </w:tcBorders>
            <w:tcMar>
              <w:left w:w="60" w:type="dxa"/>
              <w:right w:w="60" w:type="dxa"/>
            </w:tcMar>
            <w:vAlign w:val="bottom"/>
          </w:tcPr>
          <w:p w14:paraId="447B1357" w14:textId="77777777" w:rsidR="00807FFE" w:rsidRDefault="00023E71">
            <w:pPr>
              <w:pStyle w:val="DMETW36764BIPFAFVSDND"/>
              <w:jc w:val="right"/>
              <w:rPr>
                <w:rFonts w:ascii="Verdana" w:eastAsia="Verdana" w:hAnsi="Verdana" w:cs="Verdana"/>
                <w:i/>
                <w:noProof/>
                <w:color w:val="016794"/>
                <w:sz w:val="18"/>
                <w:lang w:bidi="en-GB"/>
              </w:rPr>
            </w:pPr>
            <w:r>
              <w:rPr>
                <w:rFonts w:ascii="Verdana" w:eastAsia="Verdana" w:hAnsi="Verdana" w:cs="Verdana"/>
                <w:i/>
                <w:noProof/>
                <w:color w:val="016794"/>
                <w:sz w:val="18"/>
              </w:rPr>
              <w:t>37 948</w:t>
            </w:r>
          </w:p>
        </w:tc>
      </w:tr>
      <w:tr w:rsidR="00807FFE" w14:paraId="01988836" w14:textId="77777777">
        <w:trPr>
          <w:trHeight w:val="20"/>
        </w:trPr>
        <w:tc>
          <w:tcPr>
            <w:tcW w:w="5432" w:type="dxa"/>
            <w:tcBorders>
              <w:top w:val="nil"/>
              <w:left w:val="nil"/>
              <w:bottom w:val="nil"/>
              <w:right w:val="nil"/>
              <w:tl2br w:val="nil"/>
              <w:tr2bl w:val="nil"/>
            </w:tcBorders>
            <w:tcMar>
              <w:left w:w="60" w:type="dxa"/>
              <w:right w:w="60" w:type="dxa"/>
            </w:tcMar>
            <w:vAlign w:val="center"/>
          </w:tcPr>
          <w:p w14:paraId="1A396514" w14:textId="77777777" w:rsidR="00807FFE" w:rsidRDefault="00023E71">
            <w:pPr>
              <w:pStyle w:val="DMETW36764BIPFAFVSDND"/>
              <w:rPr>
                <w:rFonts w:ascii="Verdana" w:eastAsia="Verdana" w:hAnsi="Verdana" w:cs="Verdana"/>
                <w:i/>
                <w:noProof/>
                <w:color w:val="016794"/>
                <w:sz w:val="18"/>
              </w:rPr>
            </w:pPr>
            <w:r>
              <w:rPr>
                <w:rFonts w:ascii="Verdana" w:eastAsia="Verdana" w:hAnsi="Verdana" w:cs="Verdana"/>
                <w:i/>
                <w:noProof/>
                <w:color w:val="016794"/>
                <w:sz w:val="18"/>
              </w:rPr>
              <w:t>Current</w:t>
            </w:r>
          </w:p>
        </w:tc>
        <w:tc>
          <w:tcPr>
            <w:tcW w:w="2214" w:type="dxa"/>
            <w:tcBorders>
              <w:top w:val="nil"/>
              <w:left w:val="nil"/>
              <w:bottom w:val="nil"/>
              <w:right w:val="nil"/>
              <w:tl2br w:val="nil"/>
              <w:tr2bl w:val="nil"/>
            </w:tcBorders>
            <w:tcMar>
              <w:left w:w="60" w:type="dxa"/>
              <w:right w:w="60" w:type="dxa"/>
            </w:tcMar>
            <w:vAlign w:val="bottom"/>
          </w:tcPr>
          <w:p w14:paraId="26E77CFE" w14:textId="77777777" w:rsidR="00807FFE" w:rsidRDefault="00023E71">
            <w:pPr>
              <w:pStyle w:val="DMETW36764BIPFAFVSDND"/>
              <w:jc w:val="right"/>
              <w:rPr>
                <w:rFonts w:ascii="Verdana" w:eastAsia="Verdana" w:hAnsi="Verdana" w:cs="Verdana"/>
                <w:i/>
                <w:noProof/>
                <w:color w:val="016794"/>
                <w:sz w:val="18"/>
              </w:rPr>
            </w:pPr>
            <w:r>
              <w:rPr>
                <w:rFonts w:ascii="Verdana" w:eastAsia="Verdana" w:hAnsi="Verdana" w:cs="Verdana"/>
                <w:i/>
                <w:noProof/>
                <w:color w:val="016794"/>
                <w:sz w:val="18"/>
              </w:rPr>
              <w:t>4 730</w:t>
            </w:r>
          </w:p>
        </w:tc>
        <w:tc>
          <w:tcPr>
            <w:tcW w:w="2112" w:type="dxa"/>
            <w:tcBorders>
              <w:top w:val="nil"/>
              <w:left w:val="nil"/>
              <w:bottom w:val="nil"/>
              <w:right w:val="nil"/>
              <w:tl2br w:val="nil"/>
              <w:tr2bl w:val="nil"/>
            </w:tcBorders>
            <w:tcMar>
              <w:left w:w="60" w:type="dxa"/>
              <w:right w:w="60" w:type="dxa"/>
            </w:tcMar>
            <w:vAlign w:val="bottom"/>
          </w:tcPr>
          <w:p w14:paraId="19B2F61D" w14:textId="77777777" w:rsidR="00807FFE" w:rsidRDefault="00023E71">
            <w:pPr>
              <w:pStyle w:val="DMETW36764BIPFAFVSDND"/>
              <w:jc w:val="right"/>
              <w:rPr>
                <w:rFonts w:ascii="Verdana" w:eastAsia="Verdana" w:hAnsi="Verdana" w:cs="Verdana"/>
                <w:i/>
                <w:noProof/>
                <w:color w:val="016794"/>
                <w:sz w:val="18"/>
              </w:rPr>
            </w:pPr>
            <w:r>
              <w:rPr>
                <w:rFonts w:ascii="Verdana" w:eastAsia="Verdana" w:hAnsi="Verdana" w:cs="Verdana"/>
                <w:i/>
                <w:noProof/>
                <w:color w:val="016794"/>
                <w:sz w:val="18"/>
              </w:rPr>
              <w:t>5 700</w:t>
            </w:r>
          </w:p>
        </w:tc>
      </w:tr>
    </w:tbl>
    <w:p w14:paraId="53AE32A4" w14:textId="77777777" w:rsidR="00BD18E5" w:rsidRPr="00ED585C" w:rsidRDefault="00023E71" w:rsidP="00BD18E5">
      <w:pPr>
        <w:pStyle w:val="HEADER5"/>
        <w:spacing w:before="240"/>
        <w:rPr>
          <w:noProof/>
        </w:rPr>
      </w:pPr>
      <w:r w:rsidRPr="00ED585C">
        <w:rPr>
          <w:noProof/>
        </w:rPr>
        <w:t>Common Provisioning Fund (CPF)</w:t>
      </w:r>
    </w:p>
    <w:p w14:paraId="5CD9B22B" w14:textId="77777777" w:rsidR="00BD18E5" w:rsidRPr="00B7279D" w:rsidRDefault="00023E71" w:rsidP="008831ED">
      <w:pPr>
        <w:pStyle w:val="DGTextstand-alone"/>
      </w:pPr>
      <w:r w:rsidRPr="00ED585C">
        <w:t>The EU gives guarantees to financial partners for losses on equity investments and loans</w:t>
      </w:r>
      <w:r w:rsidRPr="00B7279D">
        <w:t xml:space="preserve"> (see </w:t>
      </w:r>
      <w:r>
        <w:t>N</w:t>
      </w:r>
      <w:r w:rsidRPr="00B7279D">
        <w:t xml:space="preserve">ote </w:t>
      </w:r>
      <w:r w:rsidRPr="00B7279D">
        <w:rPr>
          <w:b/>
          <w:bCs/>
        </w:rPr>
        <w:t>4.1</w:t>
      </w:r>
      <w:r w:rsidRPr="00B7279D">
        <w:t xml:space="preserve"> for EU budgetary guarantees). In accordance </w:t>
      </w:r>
      <w:r>
        <w:t>with</w:t>
      </w:r>
      <w:r w:rsidRPr="00B7279D">
        <w:t xml:space="preserve"> the legal acts, the EU budget gradually sets money aside in order to pay to the partners any losses covered by these guarantees. The EU budget also sets money aside to repay the borrowings in case of defaults </w:t>
      </w:r>
      <w:r>
        <w:t>on</w:t>
      </w:r>
      <w:r w:rsidR="00F65C8B" w:rsidRPr="00F65C8B">
        <w:t xml:space="preserve"> loans </w:t>
      </w:r>
      <w:r w:rsidR="00F65C8B">
        <w:t>under</w:t>
      </w:r>
      <w:r w:rsidRPr="00B7279D">
        <w:t xml:space="preserve"> MFA</w:t>
      </w:r>
      <w:r w:rsidR="00F65C8B">
        <w:t>,</w:t>
      </w:r>
      <w:r w:rsidRPr="00B7279D">
        <w:t xml:space="preserve"> Euratom</w:t>
      </w:r>
      <w:r w:rsidR="00F65C8B">
        <w:t>, Western Balkans and Moldova Facility</w:t>
      </w:r>
      <w:r w:rsidRPr="00B7279D">
        <w:t>.</w:t>
      </w:r>
    </w:p>
    <w:p w14:paraId="2694F2D7" w14:textId="77777777" w:rsidR="00BD18E5" w:rsidRPr="00ED585C" w:rsidRDefault="00023E71" w:rsidP="008831ED">
      <w:pPr>
        <w:pStyle w:val="DGTextstand-alone"/>
      </w:pPr>
      <w:r w:rsidRPr="00B7279D">
        <w:t xml:space="preserve">In compliance with the Financial Regulation, the Commission has set up the CPF to manage, in one common portfolio, the money it sets aside (‘provisioning’). The monies are invested in debt securities, money market funds and ETFs. In addition to the EU budget provisioning, the CPF receives recoveries from defaulted operations, the returns on its investments and the EU’s remuneration from the financial partners. The CPF may also receive voluntary contributions from Member States and other contributors that are – in this way – </w:t>
      </w:r>
      <w:r w:rsidRPr="00ED585C">
        <w:t>increasing the available EU budget guarantees.</w:t>
      </w:r>
    </w:p>
    <w:p w14:paraId="3B34E611" w14:textId="77777777" w:rsidR="00BD18E5" w:rsidRPr="00ED585C" w:rsidRDefault="00023E71" w:rsidP="008831ED">
      <w:pPr>
        <w:pStyle w:val="DGTextstand-alone"/>
      </w:pPr>
      <w:r w:rsidRPr="00ED585C">
        <w:t>The CPF allocates the incoming contributions into compartments depending on the contributing programme. The legal acts of the programmes set out the necessary provisioning for the guarantees provided. The EU budget pools these individually provisioned funds in the CPF so as to optimise the asset management</w:t>
      </w:r>
      <w:r w:rsidR="00D40161">
        <w:t>.</w:t>
      </w:r>
    </w:p>
    <w:p w14:paraId="776AEA59" w14:textId="77777777" w:rsidR="00C1731C" w:rsidRDefault="00023E71" w:rsidP="008831ED">
      <w:pPr>
        <w:pStyle w:val="DGTextstand-alone"/>
        <w:rPr>
          <w:b/>
        </w:rPr>
      </w:pPr>
      <w:r w:rsidRPr="00F65C8B">
        <w:t>As at 31 December 202</w:t>
      </w:r>
      <w:r w:rsidR="005C3D01" w:rsidRPr="00F65C8B">
        <w:t>5</w:t>
      </w:r>
      <w:r>
        <w:t>,</w:t>
      </w:r>
      <w:r w:rsidRPr="00F65C8B">
        <w:t xml:space="preserve"> the CPF</w:t>
      </w:r>
      <w:r>
        <w:t xml:space="preserve">’s non-derivative financial </w:t>
      </w:r>
      <w:r w:rsidRPr="00F65C8B">
        <w:t>assets</w:t>
      </w:r>
      <w:r>
        <w:t xml:space="preserve"> at FVSD </w:t>
      </w:r>
      <w:r w:rsidRPr="00F65C8B">
        <w:t xml:space="preserve">increased as the InvestEU, NDICI and Ukraine guarantees are building up the necessary provisions but also due to </w:t>
      </w:r>
      <w:r>
        <w:t>treasury</w:t>
      </w:r>
      <w:r w:rsidRPr="00F65C8B">
        <w:t xml:space="preserve"> gains of EUR 0.</w:t>
      </w:r>
      <w:r>
        <w:t>8</w:t>
      </w:r>
      <w:r w:rsidRPr="00F65C8B">
        <w:t xml:space="preserve"> billion. The total </w:t>
      </w:r>
      <w:r w:rsidR="00F65C8B" w:rsidRPr="00F65C8B">
        <w:t xml:space="preserve">non-derivative financial assets at FVSD </w:t>
      </w:r>
      <w:r w:rsidRPr="00F65C8B">
        <w:t>assets were EUR </w:t>
      </w:r>
      <w:r w:rsidR="005C3D01" w:rsidRPr="00F65C8B">
        <w:t>27.</w:t>
      </w:r>
      <w:r w:rsidR="00F65C8B" w:rsidRPr="00F65C8B">
        <w:t>0</w:t>
      </w:r>
      <w:r w:rsidRPr="00F65C8B">
        <w:t xml:space="preserve"> billion, out of which EUR </w:t>
      </w:r>
      <w:r w:rsidR="005C3D01" w:rsidRPr="00F65C8B">
        <w:t>22.8</w:t>
      </w:r>
      <w:r w:rsidRPr="00F65C8B">
        <w:t xml:space="preserve"> billion</w:t>
      </w:r>
      <w:r w:rsidR="005C3D01" w:rsidRPr="00F65C8B">
        <w:t xml:space="preserve"> </w:t>
      </w:r>
      <w:r w:rsidRPr="00F65C8B">
        <w:t>were invested in debt securities, and EUR 3.</w:t>
      </w:r>
      <w:r w:rsidR="005C3D01" w:rsidRPr="00F65C8B">
        <w:t>9</w:t>
      </w:r>
      <w:r w:rsidRPr="00F65C8B">
        <w:t xml:space="preserve"> billion</w:t>
      </w:r>
      <w:r w:rsidR="005C3D01" w:rsidRPr="00F65C8B">
        <w:t xml:space="preserve"> </w:t>
      </w:r>
      <w:r w:rsidRPr="00F65C8B">
        <w:t>in ETFs.</w:t>
      </w:r>
    </w:p>
    <w:p w14:paraId="5BAD3FCF" w14:textId="77777777" w:rsidR="00E968CE" w:rsidRPr="00E968CE" w:rsidRDefault="00023E71" w:rsidP="00450AB2">
      <w:pPr>
        <w:pStyle w:val="HEADER5"/>
        <w:spacing w:before="240"/>
        <w:rPr>
          <w:noProof/>
        </w:rPr>
      </w:pPr>
      <w:r w:rsidRPr="00E968CE">
        <w:rPr>
          <w:noProof/>
        </w:rPr>
        <w:t>Innovation Fund</w:t>
      </w:r>
      <w:r>
        <w:rPr>
          <w:noProof/>
        </w:rPr>
        <w:t xml:space="preserve"> (IF)</w:t>
      </w:r>
    </w:p>
    <w:p w14:paraId="2075BC32" w14:textId="77777777" w:rsidR="00C35B8B" w:rsidRDefault="00023E71" w:rsidP="00E968CE">
      <w:pPr>
        <w:pStyle w:val="DGTextstand-alone"/>
      </w:pPr>
      <w:r>
        <w:t xml:space="preserve">The Innovation Fund </w:t>
      </w:r>
      <w:r w:rsidR="00C25E25">
        <w:t>establishes</w:t>
      </w:r>
      <w:r w:rsidRPr="00C35B8B">
        <w:t xml:space="preserve"> a system for </w:t>
      </w:r>
      <w:r>
        <w:t xml:space="preserve">the trading of </w:t>
      </w:r>
      <w:r w:rsidRPr="00C35B8B">
        <w:t xml:space="preserve">greenhouse gas emission allowances within the Union. </w:t>
      </w:r>
      <w:r>
        <w:t xml:space="preserve">The purpose is to </w:t>
      </w:r>
      <w:r w:rsidR="005D158B">
        <w:t xml:space="preserve">use the revenue to </w:t>
      </w:r>
      <w:r>
        <w:t>s</w:t>
      </w:r>
      <w:r w:rsidR="005D158B">
        <w:t>upport</w:t>
      </w:r>
      <w:r w:rsidRPr="00C35B8B">
        <w:t xml:space="preserve"> innovation in low-carbon technologies and processes in certain economic sectors. The Innovation Fund </w:t>
      </w:r>
      <w:r w:rsidR="003D75CC">
        <w:t xml:space="preserve">receives </w:t>
      </w:r>
      <w:r w:rsidRPr="00C35B8B">
        <w:t>the revenue from</w:t>
      </w:r>
      <w:r>
        <w:t xml:space="preserve"> the progressive monetisation </w:t>
      </w:r>
      <w:r w:rsidRPr="00C35B8B">
        <w:t xml:space="preserve">of </w:t>
      </w:r>
      <w:r w:rsidR="00493E27" w:rsidRPr="00F65C8B">
        <w:t>530</w:t>
      </w:r>
      <w:r w:rsidRPr="00F65C8B">
        <w:t xml:space="preserve"> m</w:t>
      </w:r>
      <w:r w:rsidR="003D75CC" w:rsidRPr="00F65C8B">
        <w:t>illion</w:t>
      </w:r>
      <w:r w:rsidR="003D75CC" w:rsidRPr="00BA5919">
        <w:t xml:space="preserve"> </w:t>
      </w:r>
      <w:r w:rsidRPr="00BA5919">
        <w:t xml:space="preserve">of </w:t>
      </w:r>
      <w:r w:rsidR="003D75CC" w:rsidRPr="00BA5919">
        <w:t>allowances</w:t>
      </w:r>
      <w:r w:rsidR="003D75CC">
        <w:t xml:space="preserve"> and also </w:t>
      </w:r>
      <w:r w:rsidRPr="00C35B8B">
        <w:t xml:space="preserve">any unspent funds from the </w:t>
      </w:r>
      <w:r w:rsidRPr="00F65C8B">
        <w:t>300 million</w:t>
      </w:r>
      <w:r w:rsidRPr="00C35B8B">
        <w:t xml:space="preserve"> allowances available for NER300 programme (see </w:t>
      </w:r>
      <w:r>
        <w:t>N</w:t>
      </w:r>
      <w:r w:rsidRPr="00C35B8B">
        <w:t xml:space="preserve">ote </w:t>
      </w:r>
      <w:r w:rsidRPr="00C35B8B">
        <w:rPr>
          <w:b/>
        </w:rPr>
        <w:t>3.8</w:t>
      </w:r>
      <w:r w:rsidRPr="00C35B8B">
        <w:t xml:space="preserve">). </w:t>
      </w:r>
      <w:r w:rsidR="005D158B" w:rsidRPr="000D007F">
        <w:t>T</w:t>
      </w:r>
      <w:r w:rsidRPr="000D007F">
        <w:t xml:space="preserve">he EIB manages the </w:t>
      </w:r>
      <w:r w:rsidR="005D158B" w:rsidRPr="000D007F">
        <w:t>monies</w:t>
      </w:r>
      <w:r w:rsidR="008F6BEE" w:rsidRPr="000D007F">
        <w:t>, until they are used for the intended purpose,</w:t>
      </w:r>
      <w:r w:rsidR="005D158B" w:rsidRPr="000D007F">
        <w:t xml:space="preserve"> and invests </w:t>
      </w:r>
      <w:r w:rsidR="00F73FC4" w:rsidRPr="000D007F">
        <w:t>them</w:t>
      </w:r>
      <w:r w:rsidR="005D158B" w:rsidRPr="000D007F">
        <w:t xml:space="preserve"> in debt securities</w:t>
      </w:r>
      <w:r w:rsidR="00F73FC4" w:rsidRPr="000D007F">
        <w:t>.</w:t>
      </w:r>
      <w:r w:rsidR="000E296E" w:rsidRPr="000D007F">
        <w:t xml:space="preserve"> The increase in 202</w:t>
      </w:r>
      <w:r w:rsidR="00F65C8B">
        <w:t>5</w:t>
      </w:r>
      <w:r w:rsidR="000E296E" w:rsidRPr="000D007F">
        <w:t xml:space="preserve"> is </w:t>
      </w:r>
      <w:r w:rsidR="00F447E2" w:rsidRPr="000D007F">
        <w:t xml:space="preserve">mainly </w:t>
      </w:r>
      <w:r w:rsidR="000E296E" w:rsidRPr="000D007F">
        <w:t xml:space="preserve">due to </w:t>
      </w:r>
      <w:r w:rsidR="00F447E2" w:rsidRPr="000D007F">
        <w:t>incoming auctioning revenues</w:t>
      </w:r>
      <w:r w:rsidR="00663C87" w:rsidRPr="000D007F">
        <w:t>.</w:t>
      </w:r>
      <w:r w:rsidR="000E296E">
        <w:t xml:space="preserve"> </w:t>
      </w:r>
    </w:p>
    <w:p w14:paraId="5FC19564" w14:textId="77777777" w:rsidR="002C7C44" w:rsidRPr="00ED585C" w:rsidRDefault="00023E71" w:rsidP="002C7C44">
      <w:pPr>
        <w:pStyle w:val="HEADER5"/>
        <w:spacing w:before="240"/>
        <w:rPr>
          <w:noProof/>
        </w:rPr>
      </w:pPr>
      <w:r w:rsidRPr="00ED585C">
        <w:rPr>
          <w:noProof/>
        </w:rPr>
        <w:t>Horizon 2020 and Horizon Europe</w:t>
      </w:r>
    </w:p>
    <w:p w14:paraId="208D0542" w14:textId="77777777" w:rsidR="002C7C44" w:rsidRPr="00981B89" w:rsidRDefault="00023E71" w:rsidP="002C7C44">
      <w:pPr>
        <w:pStyle w:val="DGTextstand-alone"/>
        <w:spacing w:before="120"/>
      </w:pPr>
      <w:r w:rsidRPr="00ED585C">
        <w:t>Under the EU Regulation establishing Horizon 2020 – the Framework Programme for Research and Innovation (2014-2020)</w:t>
      </w:r>
      <w:r w:rsidRPr="000149E8">
        <w:t xml:space="preserve"> –</w:t>
      </w:r>
      <w:r w:rsidRPr="00ED585C">
        <w:t xml:space="preserve"> new financial instruments have been established in order to enhance access to finance to entities engaged in research and innovation (R&amp;I). These</w:t>
      </w:r>
      <w:r w:rsidRPr="00981B89">
        <w:t xml:space="preserve"> instruments are: </w:t>
      </w:r>
    </w:p>
    <w:p w14:paraId="5D0F65FA" w14:textId="77777777" w:rsidR="002C7C44" w:rsidRPr="00981B89" w:rsidRDefault="00023E71" w:rsidP="002C7C44">
      <w:pPr>
        <w:pStyle w:val="DGTextstand-alonedashesjustified"/>
      </w:pPr>
      <w:r w:rsidRPr="00981B89">
        <w:rPr>
          <w:i/>
        </w:rPr>
        <w:t>The InnovFin Loan and Guarantee Service for R&amp;I</w:t>
      </w:r>
      <w:r w:rsidRPr="00981B89">
        <w:t xml:space="preserve"> under which the Commission shares the financial risk related to a portfolio of new financing operations entered into by the EIB;</w:t>
      </w:r>
    </w:p>
    <w:p w14:paraId="32C82015" w14:textId="77777777" w:rsidR="002C7C44" w:rsidRPr="00981B89" w:rsidRDefault="00023E71" w:rsidP="002C7C44">
      <w:pPr>
        <w:pStyle w:val="DGTextstand-alonedashesjustified"/>
      </w:pPr>
      <w:r w:rsidRPr="00981B89">
        <w:rPr>
          <w:i/>
        </w:rPr>
        <w:t xml:space="preserve">The InnovFin SME Guarantee and the SME Initiative Uncapped Guarantee Instrument (SIUGI) </w:t>
      </w:r>
      <w:r w:rsidRPr="00981B89">
        <w:t>– guarantee</w:t>
      </w:r>
      <w:r>
        <w:t>s</w:t>
      </w:r>
      <w:r w:rsidRPr="00981B89">
        <w:t xml:space="preserve"> facilities managed by the EIF</w:t>
      </w:r>
      <w:r>
        <w:t>,</w:t>
      </w:r>
      <w:r w:rsidRPr="00981B89">
        <w:t xml:space="preserve"> providing guarantees and counter-guarantees to financial intermediaries for new portfolios of loans (under SIUGI the Commission shares the financial risk related to the guarantee given with Member States, EIF and EIB); </w:t>
      </w:r>
    </w:p>
    <w:p w14:paraId="42838D8F" w14:textId="77777777" w:rsidR="002C7C44" w:rsidRPr="00981B89" w:rsidRDefault="00023E71" w:rsidP="002C7C44">
      <w:pPr>
        <w:pStyle w:val="DGTextstand-alonedashesjustified"/>
      </w:pPr>
      <w:r w:rsidRPr="00981B89">
        <w:rPr>
          <w:i/>
        </w:rPr>
        <w:t>The InnovFin Equity Facility for R&amp;I</w:t>
      </w:r>
      <w:r w:rsidRPr="00981B89">
        <w:t xml:space="preserve"> providing for investments in venture capital funds which </w:t>
      </w:r>
      <w:r>
        <w:t>are</w:t>
      </w:r>
      <w:r w:rsidRPr="00981B89">
        <w:t xml:space="preserve"> managed by the EIF; and</w:t>
      </w:r>
    </w:p>
    <w:p w14:paraId="4BDA8F2D" w14:textId="77777777" w:rsidR="002C7C44" w:rsidRDefault="00023E71" w:rsidP="00E968CE">
      <w:pPr>
        <w:pStyle w:val="DGTextstand-alonedashesjustified"/>
      </w:pPr>
      <w:r w:rsidRPr="00981B89">
        <w:rPr>
          <w:i/>
        </w:rPr>
        <w:t xml:space="preserve">The EIC Fund (European Innovation Council Fund) </w:t>
      </w:r>
      <w:r w:rsidRPr="00981B89">
        <w:t xml:space="preserve">which provides equity financing to accelerate innovation and market deployment actions. The EIC fund </w:t>
      </w:r>
      <w:r>
        <w:t xml:space="preserve">is </w:t>
      </w:r>
      <w:r w:rsidRPr="00981B89">
        <w:t>funded f</w:t>
      </w:r>
      <w:r>
        <w:t xml:space="preserve">rom the Horizon Europe and H2020 </w:t>
      </w:r>
      <w:r w:rsidRPr="00981B89">
        <w:t>programme</w:t>
      </w:r>
      <w:r>
        <w:t xml:space="preserve">s. </w:t>
      </w:r>
    </w:p>
    <w:p w14:paraId="1AB37E3A" w14:textId="77777777" w:rsidR="00984B20" w:rsidRPr="008636BC" w:rsidRDefault="00023E71" w:rsidP="00450AB2">
      <w:pPr>
        <w:pStyle w:val="HEADER5"/>
        <w:spacing w:before="240"/>
        <w:rPr>
          <w:noProof/>
        </w:rPr>
      </w:pPr>
      <w:r w:rsidRPr="008636BC">
        <w:rPr>
          <w:noProof/>
        </w:rPr>
        <w:t>BUFI investments</w:t>
      </w:r>
    </w:p>
    <w:p w14:paraId="72FE387B" w14:textId="77777777" w:rsidR="00E968CE" w:rsidRPr="00976461" w:rsidRDefault="00023E71" w:rsidP="00E968CE">
      <w:pPr>
        <w:pStyle w:val="DGTextstand-alone"/>
        <w:spacing w:before="120" w:after="0"/>
      </w:pPr>
      <w:r w:rsidRPr="00976461">
        <w:t xml:space="preserve">The Commission has established the Budget Fines fund (‘BUFI’) for managing the money it provisionally receives for fines </w:t>
      </w:r>
      <w:r w:rsidR="00C91EC2">
        <w:t xml:space="preserve">issued to companies which are </w:t>
      </w:r>
      <w:r w:rsidRPr="00976461">
        <w:t>under appeal. Until the final court decision</w:t>
      </w:r>
      <w:r>
        <w:t xml:space="preserve"> on a given fine</w:t>
      </w:r>
      <w:r w:rsidRPr="00976461">
        <w:t xml:space="preserve">, the Commission invests the money </w:t>
      </w:r>
      <w:r>
        <w:t xml:space="preserve">in debt instruments. </w:t>
      </w:r>
    </w:p>
    <w:p w14:paraId="1DC9B67B" w14:textId="77777777" w:rsidR="00984B20" w:rsidRPr="008636BC" w:rsidRDefault="00023E71" w:rsidP="00450AB2">
      <w:pPr>
        <w:pStyle w:val="HEADER5"/>
        <w:spacing w:before="240"/>
        <w:rPr>
          <w:noProof/>
        </w:rPr>
      </w:pPr>
      <w:r w:rsidRPr="008636BC">
        <w:rPr>
          <w:noProof/>
        </w:rPr>
        <w:t>ECSC i</w:t>
      </w:r>
      <w:r>
        <w:rPr>
          <w:noProof/>
        </w:rPr>
        <w:t>.L.</w:t>
      </w:r>
    </w:p>
    <w:p w14:paraId="5E6A4075" w14:textId="77777777" w:rsidR="00E968CE" w:rsidRDefault="00023E71" w:rsidP="008831ED">
      <w:pPr>
        <w:pStyle w:val="DGTextstand-alone"/>
      </w:pPr>
      <w:r w:rsidRPr="00976461">
        <w:t>The ECSC Treaty expired on 23 July 2002 and all the ECSC assets were transferred to the European Union</w:t>
      </w:r>
      <w:r w:rsidR="00976024">
        <w:t xml:space="preserve">. They </w:t>
      </w:r>
      <w:r w:rsidRPr="00976461">
        <w:t>were earmarked for research in the sectors associated with the coal and steel industries</w:t>
      </w:r>
      <w:r w:rsidR="00807A83">
        <w:t xml:space="preserve">, for example breakthrough technologies that </w:t>
      </w:r>
      <w:r w:rsidR="00560398">
        <w:t>lead to near-zero-carbon steelmaking</w:t>
      </w:r>
      <w:r w:rsidRPr="00976461">
        <w:t>.</w:t>
      </w:r>
      <w:r>
        <w:t xml:space="preserve"> </w:t>
      </w:r>
      <w:r w:rsidR="00040735">
        <w:t>T</w:t>
      </w:r>
      <w:r w:rsidR="00560398">
        <w:t xml:space="preserve">he Commission </w:t>
      </w:r>
      <w:r>
        <w:t xml:space="preserve">invests </w:t>
      </w:r>
      <w:r w:rsidR="00560398">
        <w:t xml:space="preserve">the monies </w:t>
      </w:r>
      <w:r>
        <w:t>in</w:t>
      </w:r>
      <w:r w:rsidRPr="00976461">
        <w:t xml:space="preserve"> </w:t>
      </w:r>
      <w:r w:rsidR="00040735">
        <w:t xml:space="preserve">debt </w:t>
      </w:r>
      <w:r w:rsidR="00040735" w:rsidRPr="00ED585C">
        <w:t>securities, until they are granted for research</w:t>
      </w:r>
      <w:r w:rsidRPr="00ED585C">
        <w:t xml:space="preserve"> purposes</w:t>
      </w:r>
      <w:r w:rsidR="00040735" w:rsidRPr="00ED585C">
        <w:t xml:space="preserve">. </w:t>
      </w:r>
      <w:r w:rsidRPr="00ED585C">
        <w:t xml:space="preserve"> </w:t>
      </w:r>
    </w:p>
    <w:p w14:paraId="2D37B60D" w14:textId="77777777" w:rsidR="002C7C44" w:rsidRPr="008636BC" w:rsidRDefault="00023E71" w:rsidP="002C7C44">
      <w:pPr>
        <w:pStyle w:val="HEADER5"/>
        <w:spacing w:before="240"/>
        <w:rPr>
          <w:noProof/>
        </w:rPr>
      </w:pPr>
      <w:r w:rsidRPr="008636BC">
        <w:rPr>
          <w:noProof/>
        </w:rPr>
        <w:t>Connecting Europe Facility</w:t>
      </w:r>
    </w:p>
    <w:p w14:paraId="4D4FD9A1" w14:textId="77777777" w:rsidR="002C7C44" w:rsidRDefault="00023E71" w:rsidP="002C7C44">
      <w:pPr>
        <w:pStyle w:val="DGTextstand-alone"/>
        <w:spacing w:before="120"/>
      </w:pPr>
      <w:r w:rsidRPr="00981B89">
        <w:t xml:space="preserve">Pursuant to Regulation (EU) No </w:t>
      </w:r>
      <w:r>
        <w:t>1316/</w:t>
      </w:r>
      <w:r w:rsidRPr="00981B89">
        <w:t>201</w:t>
      </w:r>
      <w:r>
        <w:t>3 of the European Parliament and of the Council</w:t>
      </w:r>
      <w:r>
        <w:rPr>
          <w:rStyle w:val="FootnoteReference"/>
        </w:rPr>
        <w:footnoteReference w:id="32"/>
      </w:r>
      <w:r w:rsidRPr="00981B89">
        <w:t>, the Connecting Europe Facility (CEF) debt instrument has been established with the objective to facilitate infrastructure projects’ access to financing in the sectors of transport, telecommunications and energy. It is managed by the EIB under an agreement with the EU. It offers risk sharing for debt financing in the form of senior and subordinated debt or guarantee as well as support for project bonds</w:t>
      </w:r>
      <w:r>
        <w:t xml:space="preserve"> guaranteed by the EU</w:t>
      </w:r>
      <w:r w:rsidRPr="00981B89">
        <w:t xml:space="preserve">. </w:t>
      </w:r>
    </w:p>
    <w:p w14:paraId="0B5CC537" w14:textId="77777777" w:rsidR="002C7C44" w:rsidRPr="008636BC" w:rsidRDefault="00023E71" w:rsidP="002C7C44">
      <w:pPr>
        <w:pStyle w:val="HEADER5"/>
        <w:spacing w:before="240"/>
        <w:rPr>
          <w:noProof/>
        </w:rPr>
      </w:pPr>
      <w:r w:rsidRPr="008636BC">
        <w:rPr>
          <w:noProof/>
        </w:rPr>
        <w:t>EU SME Equity Facilities</w:t>
      </w:r>
    </w:p>
    <w:p w14:paraId="01068CA7" w14:textId="77777777" w:rsidR="002C7C44" w:rsidRPr="00ED585C" w:rsidRDefault="00023E71" w:rsidP="002C7C44">
      <w:pPr>
        <w:pStyle w:val="DGTextstand-alone"/>
        <w:spacing w:before="120" w:after="120"/>
      </w:pPr>
      <w:r w:rsidRPr="00981B89">
        <w:t>These are equity instruments financed by the COSME, CIP and MAP programmes and the Growth and Employment Initiative, under the trusteeship of the EIF, supporting the creation and financing of EU SMEs in their early (start-up) and growth stages by investing in suitable specialised venture capital funds.</w:t>
      </w:r>
    </w:p>
    <w:p w14:paraId="734E8296" w14:textId="77777777" w:rsidR="00984B20" w:rsidRPr="00ED585C" w:rsidRDefault="00023E71" w:rsidP="00450AB2">
      <w:pPr>
        <w:pStyle w:val="HEADER5"/>
        <w:spacing w:before="240"/>
        <w:rPr>
          <w:noProof/>
        </w:rPr>
      </w:pPr>
      <w:r w:rsidRPr="00ED585C">
        <w:rPr>
          <w:noProof/>
        </w:rPr>
        <w:t>European Bank for Reconstruction and Development</w:t>
      </w:r>
      <w:r>
        <w:rPr>
          <w:noProof/>
        </w:rPr>
        <w:t xml:space="preserve"> </w:t>
      </w:r>
    </w:p>
    <w:p w14:paraId="25F49CDF" w14:textId="77777777" w:rsidR="00984B20" w:rsidRPr="00ED585C" w:rsidRDefault="00023E71" w:rsidP="008831ED">
      <w:pPr>
        <w:pStyle w:val="DGTextstand-alone"/>
      </w:pPr>
      <w:r w:rsidRPr="00ED585C">
        <w:t>The EU holds a financial investment in the capital of the European Bank for Reconstruction and Development (EBRD)</w:t>
      </w:r>
      <w:r w:rsidR="0081751A">
        <w:t xml:space="preserve">. </w:t>
      </w:r>
      <w:r w:rsidR="0081751A" w:rsidRPr="00E43F31">
        <w:t>In 2025,</w:t>
      </w:r>
      <w:r w:rsidRPr="00E43F31">
        <w:t xml:space="preserve"> </w:t>
      </w:r>
      <w:r w:rsidR="0081751A" w:rsidRPr="00E43F31">
        <w:t xml:space="preserve">the </w:t>
      </w:r>
      <w:r w:rsidR="002C1DA0" w:rsidRPr="00E43F31">
        <w:t xml:space="preserve">EU </w:t>
      </w:r>
      <w:r w:rsidR="0081751A" w:rsidRPr="00E43F31">
        <w:t xml:space="preserve">increased its </w:t>
      </w:r>
      <w:r w:rsidR="002C1DA0" w:rsidRPr="00E43F31">
        <w:t>subscription,</w:t>
      </w:r>
      <w:r w:rsidR="0081751A" w:rsidRPr="00E43F31">
        <w:t xml:space="preserve"> purchasing additional 12</w:t>
      </w:r>
      <w:r>
        <w:t xml:space="preserve"> </w:t>
      </w:r>
      <w:r w:rsidR="0081751A" w:rsidRPr="00E43F31">
        <w:t xml:space="preserve">102 shares at par value of </w:t>
      </w:r>
      <w:r w:rsidR="002C1DA0" w:rsidRPr="00E43F31">
        <w:t xml:space="preserve">EUR </w:t>
      </w:r>
      <w:r w:rsidR="0081751A" w:rsidRPr="00E43F31">
        <w:t>10</w:t>
      </w:r>
      <w:r>
        <w:t xml:space="preserve"> </w:t>
      </w:r>
      <w:r w:rsidR="0081751A" w:rsidRPr="00E43F31">
        <w:t xml:space="preserve">000 per share. </w:t>
      </w:r>
      <w:r w:rsidR="002C1DA0" w:rsidRPr="00E43F31">
        <w:t xml:space="preserve">The </w:t>
      </w:r>
      <w:r w:rsidR="00E43F31">
        <w:t xml:space="preserve">total </w:t>
      </w:r>
      <w:r w:rsidR="002C1DA0" w:rsidRPr="00E43F31">
        <w:t>payment</w:t>
      </w:r>
      <w:r w:rsidR="00E43F31">
        <w:t xml:space="preserve"> of EUR 121 million</w:t>
      </w:r>
      <w:r w:rsidR="002C1DA0" w:rsidRPr="00E43F31">
        <w:t xml:space="preserve"> </w:t>
      </w:r>
      <w:r w:rsidR="00E43F31">
        <w:t>is to</w:t>
      </w:r>
      <w:r w:rsidR="002C1DA0" w:rsidRPr="00E43F31">
        <w:t xml:space="preserve"> be made in equal instalments over five years</w:t>
      </w:r>
      <w:r w:rsidR="00E43F31">
        <w:t>, with first instalment paid in 2025</w:t>
      </w:r>
      <w:r w:rsidR="002C1DA0" w:rsidRPr="00E43F31">
        <w:t xml:space="preserve">. </w:t>
      </w:r>
      <w:r w:rsidR="0081751A" w:rsidRPr="00E43F31">
        <w:t xml:space="preserve">As at </w:t>
      </w:r>
      <w:r w:rsidR="00E43F31">
        <w:t xml:space="preserve">31 </w:t>
      </w:r>
      <w:r w:rsidR="0081751A" w:rsidRPr="00E43F31">
        <w:t xml:space="preserve">December 2025, the </w:t>
      </w:r>
      <w:r w:rsidR="00E43F31">
        <w:t>C</w:t>
      </w:r>
      <w:r w:rsidR="0081751A" w:rsidRPr="00E43F31">
        <w:t>ommission holds 102</w:t>
      </w:r>
      <w:r>
        <w:t xml:space="preserve"> </w:t>
      </w:r>
      <w:r w:rsidR="0081751A" w:rsidRPr="00E43F31">
        <w:t xml:space="preserve">146 shares </w:t>
      </w:r>
      <w:r w:rsidRPr="00E43F31">
        <w:t>(202</w:t>
      </w:r>
      <w:r w:rsidR="0081751A" w:rsidRPr="00E43F31">
        <w:t>4</w:t>
      </w:r>
      <w:r w:rsidRPr="00E43F31">
        <w:t>: 90</w:t>
      </w:r>
      <w:r w:rsidR="005F4A6F" w:rsidRPr="00E43F31">
        <w:t> </w:t>
      </w:r>
      <w:r w:rsidRPr="00E43F31">
        <w:t xml:space="preserve">044 shares), representing </w:t>
      </w:r>
      <w:r w:rsidR="0081751A" w:rsidRPr="00E43F31">
        <w:t>3.04%</w:t>
      </w:r>
      <w:r w:rsidRPr="00E43F31">
        <w:t xml:space="preserve"> of the total subscribed share capital. </w:t>
      </w:r>
      <w:r w:rsidR="00E43F31">
        <w:t>In total, the</w:t>
      </w:r>
      <w:r w:rsidRPr="00E43F31">
        <w:t xml:space="preserve"> EU subscribed for EUR </w:t>
      </w:r>
      <w:r w:rsidR="002C1DA0" w:rsidRPr="00E43F31">
        <w:t>1</w:t>
      </w:r>
      <w:r>
        <w:t xml:space="preserve"> </w:t>
      </w:r>
      <w:r w:rsidR="002C1DA0" w:rsidRPr="00E43F31">
        <w:t>021</w:t>
      </w:r>
      <w:r w:rsidRPr="00E43F31">
        <w:t xml:space="preserve"> million of </w:t>
      </w:r>
      <w:r w:rsidR="00E43F31">
        <w:t xml:space="preserve">the EBRD’s </w:t>
      </w:r>
      <w:r w:rsidRPr="00E43F31">
        <w:t>share capital, out of which EUR 713 million is currently uncalled.</w:t>
      </w:r>
      <w:r w:rsidRPr="00ED585C">
        <w:t xml:space="preserve"> </w:t>
      </w:r>
    </w:p>
    <w:p w14:paraId="3432D714" w14:textId="77777777" w:rsidR="00CE304D" w:rsidRPr="008636BC" w:rsidRDefault="00023E71" w:rsidP="00450AB2">
      <w:pPr>
        <w:pStyle w:val="HEADER5"/>
        <w:spacing w:before="240"/>
        <w:rPr>
          <w:noProof/>
        </w:rPr>
      </w:pPr>
      <w:r w:rsidRPr="008636BC">
        <w:rPr>
          <w:noProof/>
        </w:rPr>
        <w:t xml:space="preserve">Fair value hierarchy of non-derivative financial assets at FVSD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2"/>
        <w:gridCol w:w="2214"/>
        <w:gridCol w:w="2112"/>
      </w:tblGrid>
      <w:tr w:rsidR="00807FFE" w14:paraId="4CF13FBD" w14:textId="77777777">
        <w:trPr>
          <w:trHeight w:val="255"/>
        </w:trPr>
        <w:tc>
          <w:tcPr>
            <w:tcW w:w="5432" w:type="dxa"/>
            <w:tcBorders>
              <w:top w:val="nil"/>
              <w:left w:val="nil"/>
              <w:bottom w:val="nil"/>
              <w:right w:val="nil"/>
              <w:tl2br w:val="nil"/>
              <w:tr2bl w:val="nil"/>
            </w:tcBorders>
            <w:tcMar>
              <w:left w:w="60" w:type="dxa"/>
              <w:right w:w="60" w:type="dxa"/>
            </w:tcMar>
            <w:vAlign w:val="bottom"/>
          </w:tcPr>
          <w:p w14:paraId="1D71D95C" w14:textId="77777777" w:rsidR="00807FFE" w:rsidRDefault="00807FFE">
            <w:pPr>
              <w:pStyle w:val="DMETW36764BIPFVH"/>
              <w:rPr>
                <w:rFonts w:ascii="Verdana" w:eastAsia="Verdana" w:hAnsi="Verdana" w:cs="Verdana"/>
                <w:noProof/>
                <w:color w:val="000000"/>
                <w:lang w:bidi="en-GB"/>
              </w:rPr>
            </w:pPr>
            <w:bookmarkStart w:id="112" w:name="DOC_TBL00015_1_1"/>
            <w:bookmarkEnd w:id="112"/>
          </w:p>
        </w:tc>
        <w:tc>
          <w:tcPr>
            <w:tcW w:w="2214" w:type="dxa"/>
            <w:tcBorders>
              <w:top w:val="nil"/>
              <w:left w:val="nil"/>
              <w:bottom w:val="nil"/>
              <w:right w:val="nil"/>
              <w:tl2br w:val="nil"/>
              <w:tr2bl w:val="nil"/>
            </w:tcBorders>
            <w:tcMar>
              <w:left w:w="60" w:type="dxa"/>
              <w:right w:w="60" w:type="dxa"/>
            </w:tcMar>
            <w:vAlign w:val="bottom"/>
          </w:tcPr>
          <w:p w14:paraId="33AC4FA7" w14:textId="77777777" w:rsidR="00807FFE" w:rsidRDefault="00807FFE">
            <w:pPr>
              <w:pStyle w:val="DMETW36764BIPFVH"/>
              <w:rPr>
                <w:rFonts w:ascii="Verdana" w:eastAsia="Verdana" w:hAnsi="Verdana" w:cs="Verdana"/>
                <w:noProof/>
                <w:color w:val="000000"/>
              </w:rPr>
            </w:pPr>
          </w:p>
        </w:tc>
        <w:tc>
          <w:tcPr>
            <w:tcW w:w="2112" w:type="dxa"/>
            <w:tcBorders>
              <w:top w:val="nil"/>
              <w:left w:val="nil"/>
              <w:bottom w:val="nil"/>
              <w:right w:val="nil"/>
              <w:tl2br w:val="nil"/>
              <w:tr2bl w:val="nil"/>
            </w:tcBorders>
            <w:tcMar>
              <w:left w:w="60" w:type="dxa"/>
              <w:right w:w="60" w:type="dxa"/>
            </w:tcMar>
            <w:vAlign w:val="bottom"/>
          </w:tcPr>
          <w:p w14:paraId="74787A1A" w14:textId="77777777" w:rsidR="00807FFE" w:rsidRDefault="00023E71">
            <w:pPr>
              <w:pStyle w:val="DMETW36764BIPFVH"/>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58DB347" w14:textId="77777777">
        <w:trPr>
          <w:trHeight w:val="255"/>
        </w:trPr>
        <w:tc>
          <w:tcPr>
            <w:tcW w:w="5432" w:type="dxa"/>
            <w:tcBorders>
              <w:top w:val="nil"/>
              <w:left w:val="nil"/>
              <w:bottom w:val="nil"/>
              <w:right w:val="nil"/>
              <w:tl2br w:val="nil"/>
              <w:tr2bl w:val="nil"/>
            </w:tcBorders>
            <w:shd w:val="solid" w:color="016794" w:fill="FFFFFF"/>
            <w:tcMar>
              <w:left w:w="60" w:type="dxa"/>
              <w:right w:w="60" w:type="dxa"/>
            </w:tcMar>
            <w:vAlign w:val="center"/>
          </w:tcPr>
          <w:p w14:paraId="5E271F15" w14:textId="77777777" w:rsidR="00807FFE" w:rsidRDefault="00023E71">
            <w:pPr>
              <w:pStyle w:val="DMETW36764BIPFVH"/>
              <w:rPr>
                <w:rFonts w:ascii="Verdana" w:eastAsia="Verdana" w:hAnsi="Verdana" w:cs="Verdana"/>
                <w:noProof/>
                <w:color w:val="FFFFFF"/>
              </w:rPr>
            </w:pPr>
            <w:r>
              <w:rPr>
                <w:rFonts w:ascii="Verdana" w:eastAsia="Verdana" w:hAnsi="Verdana" w:cs="Verdana"/>
                <w:noProof/>
                <w:color w:val="FFFFFF"/>
              </w:rPr>
              <w:t>Type of financial asset</w:t>
            </w:r>
          </w:p>
        </w:tc>
        <w:tc>
          <w:tcPr>
            <w:tcW w:w="2214" w:type="dxa"/>
            <w:tcBorders>
              <w:top w:val="nil"/>
              <w:left w:val="nil"/>
              <w:bottom w:val="nil"/>
              <w:right w:val="nil"/>
              <w:tl2br w:val="nil"/>
              <w:tr2bl w:val="nil"/>
            </w:tcBorders>
            <w:shd w:val="solid" w:color="016794" w:fill="FFFFFF"/>
            <w:tcMar>
              <w:left w:w="60" w:type="dxa"/>
              <w:right w:w="60" w:type="dxa"/>
            </w:tcMar>
            <w:vAlign w:val="center"/>
          </w:tcPr>
          <w:p w14:paraId="1DE05846" w14:textId="77777777" w:rsidR="00807FFE" w:rsidRDefault="00023E71">
            <w:pPr>
              <w:pStyle w:val="DMETW36764BIPFVH"/>
              <w:jc w:val="right"/>
              <w:rPr>
                <w:rFonts w:ascii="Verdana" w:eastAsia="Verdana" w:hAnsi="Verdana" w:cs="Verdana"/>
                <w:noProof/>
                <w:color w:val="FFFFFF"/>
              </w:rPr>
            </w:pPr>
            <w:r>
              <w:rPr>
                <w:rFonts w:ascii="Verdana" w:eastAsia="Verdana" w:hAnsi="Verdana" w:cs="Verdana"/>
                <w:noProof/>
                <w:color w:val="FFFFFF"/>
              </w:rPr>
              <w:t>31.12.2025</w:t>
            </w:r>
          </w:p>
        </w:tc>
        <w:tc>
          <w:tcPr>
            <w:tcW w:w="2112" w:type="dxa"/>
            <w:tcBorders>
              <w:top w:val="nil"/>
              <w:left w:val="nil"/>
              <w:bottom w:val="nil"/>
              <w:right w:val="nil"/>
              <w:tl2br w:val="nil"/>
              <w:tr2bl w:val="nil"/>
            </w:tcBorders>
            <w:shd w:val="solid" w:color="016794" w:fill="FFFFFF"/>
            <w:tcMar>
              <w:left w:w="60" w:type="dxa"/>
              <w:right w:w="60" w:type="dxa"/>
            </w:tcMar>
            <w:vAlign w:val="center"/>
          </w:tcPr>
          <w:p w14:paraId="42A741A2" w14:textId="77777777" w:rsidR="00807FFE" w:rsidRDefault="00023E71">
            <w:pPr>
              <w:pStyle w:val="DMETW36764BIPFVH"/>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5DA972E9" w14:textId="77777777">
        <w:trPr>
          <w:trHeight w:val="255"/>
        </w:trPr>
        <w:tc>
          <w:tcPr>
            <w:tcW w:w="5432" w:type="dxa"/>
            <w:tcBorders>
              <w:top w:val="nil"/>
              <w:left w:val="nil"/>
              <w:bottom w:val="nil"/>
              <w:right w:val="nil"/>
              <w:tl2br w:val="nil"/>
              <w:tr2bl w:val="nil"/>
            </w:tcBorders>
            <w:tcMar>
              <w:left w:w="60" w:type="dxa"/>
              <w:right w:w="60" w:type="dxa"/>
            </w:tcMar>
            <w:vAlign w:val="center"/>
          </w:tcPr>
          <w:p w14:paraId="482372F3" w14:textId="77777777" w:rsidR="00807FFE" w:rsidRDefault="00023E71">
            <w:pPr>
              <w:pStyle w:val="DMETW36764BIPFVH"/>
              <w:rPr>
                <w:rFonts w:ascii="Verdana" w:eastAsia="Verdana" w:hAnsi="Verdana" w:cs="Verdana"/>
                <w:i/>
                <w:noProof/>
                <w:color w:val="000000"/>
                <w:sz w:val="18"/>
              </w:rPr>
            </w:pPr>
            <w:r>
              <w:rPr>
                <w:rFonts w:ascii="Verdana" w:eastAsia="Verdana" w:hAnsi="Verdana" w:cs="Verdana"/>
                <w:i/>
                <w:noProof/>
                <w:color w:val="000000"/>
                <w:sz w:val="18"/>
              </w:rPr>
              <w:t>Level 1: Quoted prices in active markets</w:t>
            </w:r>
          </w:p>
        </w:tc>
        <w:tc>
          <w:tcPr>
            <w:tcW w:w="2214" w:type="dxa"/>
            <w:tcBorders>
              <w:top w:val="nil"/>
              <w:left w:val="nil"/>
              <w:bottom w:val="nil"/>
              <w:right w:val="nil"/>
              <w:tl2br w:val="nil"/>
              <w:tr2bl w:val="nil"/>
            </w:tcBorders>
            <w:tcMar>
              <w:left w:w="60" w:type="dxa"/>
              <w:right w:w="60" w:type="dxa"/>
            </w:tcMar>
            <w:vAlign w:val="center"/>
          </w:tcPr>
          <w:p w14:paraId="12FDAB0C" w14:textId="77777777" w:rsidR="00807FFE" w:rsidRDefault="00023E71">
            <w:pPr>
              <w:pStyle w:val="DMETW36764BIPFVH"/>
              <w:jc w:val="right"/>
              <w:rPr>
                <w:rFonts w:ascii="Verdana" w:eastAsia="Verdana" w:hAnsi="Verdana" w:cs="Verdana"/>
                <w:i/>
                <w:noProof/>
                <w:color w:val="000000"/>
                <w:sz w:val="18"/>
              </w:rPr>
            </w:pPr>
            <w:r>
              <w:rPr>
                <w:rFonts w:ascii="Verdana" w:eastAsia="Verdana" w:hAnsi="Verdana" w:cs="Verdana"/>
                <w:i/>
                <w:noProof/>
                <w:color w:val="000000"/>
                <w:sz w:val="18"/>
              </w:rPr>
              <w:t>44 447</w:t>
            </w:r>
          </w:p>
        </w:tc>
        <w:tc>
          <w:tcPr>
            <w:tcW w:w="2112" w:type="dxa"/>
            <w:tcBorders>
              <w:top w:val="nil"/>
              <w:left w:val="nil"/>
              <w:bottom w:val="nil"/>
              <w:right w:val="nil"/>
              <w:tl2br w:val="nil"/>
              <w:tr2bl w:val="nil"/>
            </w:tcBorders>
            <w:tcMar>
              <w:left w:w="60" w:type="dxa"/>
              <w:right w:w="60" w:type="dxa"/>
            </w:tcMar>
            <w:vAlign w:val="center"/>
          </w:tcPr>
          <w:p w14:paraId="2897ABE0" w14:textId="77777777" w:rsidR="00807FFE" w:rsidRDefault="00023E71">
            <w:pPr>
              <w:pStyle w:val="DMETW36764BIPFVH"/>
              <w:jc w:val="right"/>
              <w:rPr>
                <w:rFonts w:ascii="Verdana" w:eastAsia="Verdana" w:hAnsi="Verdana" w:cs="Verdana"/>
                <w:i/>
                <w:noProof/>
                <w:color w:val="000000"/>
                <w:sz w:val="18"/>
                <w:lang w:bidi="en-GB"/>
              </w:rPr>
            </w:pPr>
            <w:r>
              <w:rPr>
                <w:rFonts w:ascii="Verdana" w:eastAsia="Verdana" w:hAnsi="Verdana" w:cs="Verdana"/>
                <w:i/>
                <w:noProof/>
                <w:color w:val="000000"/>
                <w:sz w:val="18"/>
              </w:rPr>
              <w:t>37 559</w:t>
            </w:r>
          </w:p>
        </w:tc>
      </w:tr>
      <w:tr w:rsidR="00807FFE" w14:paraId="4B54A2D8" w14:textId="77777777">
        <w:trPr>
          <w:trHeight w:val="255"/>
        </w:trPr>
        <w:tc>
          <w:tcPr>
            <w:tcW w:w="5432" w:type="dxa"/>
            <w:tcBorders>
              <w:top w:val="nil"/>
              <w:left w:val="nil"/>
              <w:bottom w:val="nil"/>
              <w:right w:val="nil"/>
              <w:tl2br w:val="nil"/>
              <w:tr2bl w:val="nil"/>
            </w:tcBorders>
            <w:tcMar>
              <w:left w:w="60" w:type="dxa"/>
              <w:right w:w="60" w:type="dxa"/>
            </w:tcMar>
            <w:vAlign w:val="center"/>
          </w:tcPr>
          <w:p w14:paraId="48AA39DF" w14:textId="77777777" w:rsidR="00807FFE" w:rsidRDefault="00023E71">
            <w:pPr>
              <w:pStyle w:val="DMETW36764BIPFVH"/>
              <w:rPr>
                <w:rFonts w:ascii="Verdana" w:eastAsia="Verdana" w:hAnsi="Verdana" w:cs="Verdana"/>
                <w:i/>
                <w:noProof/>
                <w:color w:val="000000"/>
                <w:sz w:val="18"/>
              </w:rPr>
            </w:pPr>
            <w:r>
              <w:rPr>
                <w:rFonts w:ascii="Verdana" w:eastAsia="Verdana" w:hAnsi="Verdana" w:cs="Verdana"/>
                <w:i/>
                <w:noProof/>
                <w:color w:val="000000"/>
                <w:sz w:val="18"/>
              </w:rPr>
              <w:t>Level 2: Observable inputs other than quoted prices</w:t>
            </w:r>
          </w:p>
        </w:tc>
        <w:tc>
          <w:tcPr>
            <w:tcW w:w="2214" w:type="dxa"/>
            <w:tcBorders>
              <w:top w:val="nil"/>
              <w:left w:val="nil"/>
              <w:bottom w:val="nil"/>
              <w:right w:val="nil"/>
              <w:tl2br w:val="nil"/>
              <w:tr2bl w:val="nil"/>
            </w:tcBorders>
            <w:tcMar>
              <w:left w:w="60" w:type="dxa"/>
              <w:right w:w="60" w:type="dxa"/>
            </w:tcMar>
            <w:vAlign w:val="center"/>
          </w:tcPr>
          <w:p w14:paraId="457B0910" w14:textId="77777777" w:rsidR="00807FFE" w:rsidRDefault="00023E71">
            <w:pPr>
              <w:pStyle w:val="DMETW36764BIPFVH"/>
              <w:jc w:val="right"/>
              <w:rPr>
                <w:rFonts w:ascii="Verdana" w:eastAsia="Verdana" w:hAnsi="Verdana" w:cs="Verdana"/>
                <w:i/>
                <w:noProof/>
                <w:color w:val="000000"/>
                <w:sz w:val="18"/>
              </w:rPr>
            </w:pPr>
            <w:r>
              <w:rPr>
                <w:rFonts w:ascii="Verdana" w:eastAsia="Verdana" w:hAnsi="Verdana" w:cs="Verdana"/>
                <w:i/>
                <w:noProof/>
                <w:color w:val="000000"/>
                <w:sz w:val="18"/>
              </w:rPr>
              <w:t>3 150</w:t>
            </w:r>
          </w:p>
        </w:tc>
        <w:tc>
          <w:tcPr>
            <w:tcW w:w="2112" w:type="dxa"/>
            <w:tcBorders>
              <w:top w:val="nil"/>
              <w:left w:val="nil"/>
              <w:bottom w:val="nil"/>
              <w:right w:val="nil"/>
              <w:tl2br w:val="nil"/>
              <w:tr2bl w:val="nil"/>
            </w:tcBorders>
            <w:tcMar>
              <w:left w:w="60" w:type="dxa"/>
              <w:right w:w="60" w:type="dxa"/>
            </w:tcMar>
            <w:vAlign w:val="center"/>
          </w:tcPr>
          <w:p w14:paraId="1C17779E" w14:textId="77777777" w:rsidR="00807FFE" w:rsidRDefault="00023E71">
            <w:pPr>
              <w:pStyle w:val="DMETW36764BIPFVH"/>
              <w:jc w:val="right"/>
              <w:rPr>
                <w:rFonts w:ascii="Verdana" w:eastAsia="Verdana" w:hAnsi="Verdana" w:cs="Verdana"/>
                <w:i/>
                <w:noProof/>
                <w:color w:val="000000"/>
                <w:sz w:val="18"/>
                <w:lang w:bidi="en-GB"/>
              </w:rPr>
            </w:pPr>
            <w:r>
              <w:rPr>
                <w:rFonts w:ascii="Verdana" w:eastAsia="Verdana" w:hAnsi="Verdana" w:cs="Verdana"/>
                <w:i/>
                <w:noProof/>
                <w:color w:val="000000"/>
                <w:sz w:val="18"/>
              </w:rPr>
              <w:t>3 098</w:t>
            </w:r>
          </w:p>
        </w:tc>
      </w:tr>
      <w:tr w:rsidR="00807FFE" w14:paraId="7F8CEDE3" w14:textId="77777777">
        <w:trPr>
          <w:trHeight w:val="255"/>
        </w:trPr>
        <w:tc>
          <w:tcPr>
            <w:tcW w:w="5432" w:type="dxa"/>
            <w:tcBorders>
              <w:top w:val="nil"/>
              <w:left w:val="nil"/>
              <w:bottom w:val="single" w:sz="4" w:space="0" w:color="016794"/>
              <w:right w:val="nil"/>
              <w:tl2br w:val="nil"/>
              <w:tr2bl w:val="nil"/>
            </w:tcBorders>
            <w:tcMar>
              <w:left w:w="60" w:type="dxa"/>
              <w:right w:w="60" w:type="dxa"/>
            </w:tcMar>
            <w:vAlign w:val="center"/>
          </w:tcPr>
          <w:p w14:paraId="08F80606" w14:textId="77777777" w:rsidR="00807FFE" w:rsidRDefault="00023E71">
            <w:pPr>
              <w:pStyle w:val="DMETW36764BIPFVH"/>
              <w:rPr>
                <w:rFonts w:ascii="Verdana" w:eastAsia="Verdana" w:hAnsi="Verdana" w:cs="Verdana"/>
                <w:i/>
                <w:noProof/>
                <w:color w:val="000000"/>
                <w:sz w:val="18"/>
              </w:rPr>
            </w:pPr>
            <w:r>
              <w:rPr>
                <w:rFonts w:ascii="Verdana" w:eastAsia="Verdana" w:hAnsi="Verdana" w:cs="Verdana"/>
                <w:i/>
                <w:noProof/>
                <w:color w:val="000000"/>
                <w:sz w:val="18"/>
              </w:rPr>
              <w:t>Level 3: Valuation techniques with inputs not based on observable market data</w:t>
            </w:r>
          </w:p>
        </w:tc>
        <w:tc>
          <w:tcPr>
            <w:tcW w:w="2214" w:type="dxa"/>
            <w:tcBorders>
              <w:top w:val="nil"/>
              <w:left w:val="nil"/>
              <w:bottom w:val="single" w:sz="4" w:space="0" w:color="016794"/>
              <w:right w:val="nil"/>
              <w:tl2br w:val="nil"/>
              <w:tr2bl w:val="nil"/>
            </w:tcBorders>
            <w:tcMar>
              <w:left w:w="60" w:type="dxa"/>
              <w:right w:w="60" w:type="dxa"/>
            </w:tcMar>
            <w:vAlign w:val="center"/>
          </w:tcPr>
          <w:p w14:paraId="2E0BC795" w14:textId="77777777" w:rsidR="00807FFE" w:rsidRDefault="00023E71">
            <w:pPr>
              <w:pStyle w:val="DMETW36764BIPFVH"/>
              <w:jc w:val="right"/>
              <w:rPr>
                <w:rFonts w:ascii="Verdana" w:eastAsia="Verdana" w:hAnsi="Verdana" w:cs="Verdana"/>
                <w:i/>
                <w:noProof/>
                <w:color w:val="000000"/>
                <w:sz w:val="18"/>
              </w:rPr>
            </w:pPr>
            <w:r>
              <w:rPr>
                <w:rFonts w:ascii="Verdana" w:eastAsia="Verdana" w:hAnsi="Verdana" w:cs="Verdana"/>
                <w:i/>
                <w:noProof/>
                <w:color w:val="000000"/>
                <w:sz w:val="18"/>
              </w:rPr>
              <w:t>3 483</w:t>
            </w:r>
          </w:p>
        </w:tc>
        <w:tc>
          <w:tcPr>
            <w:tcW w:w="2112" w:type="dxa"/>
            <w:tcBorders>
              <w:top w:val="nil"/>
              <w:left w:val="nil"/>
              <w:bottom w:val="single" w:sz="4" w:space="0" w:color="016794"/>
              <w:right w:val="nil"/>
              <w:tl2br w:val="nil"/>
              <w:tr2bl w:val="nil"/>
            </w:tcBorders>
            <w:tcMar>
              <w:left w:w="60" w:type="dxa"/>
              <w:right w:w="60" w:type="dxa"/>
            </w:tcMar>
            <w:vAlign w:val="center"/>
          </w:tcPr>
          <w:p w14:paraId="14F469D6" w14:textId="77777777" w:rsidR="00807FFE" w:rsidRDefault="00023E71">
            <w:pPr>
              <w:pStyle w:val="DMETW36764BIPFVH"/>
              <w:jc w:val="right"/>
              <w:rPr>
                <w:rFonts w:ascii="Verdana" w:eastAsia="Verdana" w:hAnsi="Verdana" w:cs="Verdana"/>
                <w:i/>
                <w:noProof/>
                <w:color w:val="000000"/>
                <w:sz w:val="18"/>
                <w:lang w:bidi="en-GB"/>
              </w:rPr>
            </w:pPr>
            <w:r>
              <w:rPr>
                <w:rFonts w:ascii="Verdana" w:eastAsia="Verdana" w:hAnsi="Verdana" w:cs="Verdana"/>
                <w:i/>
                <w:noProof/>
                <w:color w:val="000000"/>
                <w:sz w:val="18"/>
              </w:rPr>
              <w:t>2 991</w:t>
            </w:r>
          </w:p>
        </w:tc>
      </w:tr>
      <w:tr w:rsidR="00807FFE" w14:paraId="4AABB18A" w14:textId="77777777">
        <w:trPr>
          <w:trHeight w:val="255"/>
        </w:trPr>
        <w:tc>
          <w:tcPr>
            <w:tcW w:w="5432" w:type="dxa"/>
            <w:tcBorders>
              <w:top w:val="single" w:sz="4" w:space="0" w:color="016794"/>
              <w:left w:val="nil"/>
              <w:bottom w:val="single" w:sz="4" w:space="0" w:color="016794"/>
              <w:right w:val="nil"/>
              <w:tl2br w:val="nil"/>
              <w:tr2bl w:val="nil"/>
            </w:tcBorders>
            <w:tcMar>
              <w:left w:w="60" w:type="dxa"/>
              <w:right w:w="60" w:type="dxa"/>
            </w:tcMar>
            <w:vAlign w:val="bottom"/>
          </w:tcPr>
          <w:p w14:paraId="5C8F11AD" w14:textId="77777777" w:rsidR="00807FFE" w:rsidRDefault="00023E71">
            <w:pPr>
              <w:pStyle w:val="DMETW36764BIPFVH"/>
              <w:rPr>
                <w:rFonts w:ascii="Verdana" w:eastAsia="Verdana" w:hAnsi="Verdana" w:cs="Verdana"/>
                <w:b/>
                <w:noProof/>
                <w:color w:val="000000"/>
                <w:sz w:val="18"/>
              </w:rPr>
            </w:pPr>
            <w:r>
              <w:rPr>
                <w:rFonts w:ascii="Verdana" w:eastAsia="Verdana" w:hAnsi="Verdana" w:cs="Verdana"/>
                <w:b/>
                <w:noProof/>
                <w:color w:val="000000"/>
                <w:sz w:val="18"/>
              </w:rPr>
              <w:t>Total</w:t>
            </w:r>
          </w:p>
        </w:tc>
        <w:tc>
          <w:tcPr>
            <w:tcW w:w="2214" w:type="dxa"/>
            <w:tcBorders>
              <w:top w:val="single" w:sz="4" w:space="0" w:color="016794"/>
              <w:left w:val="nil"/>
              <w:bottom w:val="single" w:sz="4" w:space="0" w:color="016794"/>
              <w:right w:val="nil"/>
              <w:tl2br w:val="nil"/>
              <w:tr2bl w:val="nil"/>
            </w:tcBorders>
            <w:tcMar>
              <w:left w:w="60" w:type="dxa"/>
              <w:right w:w="60" w:type="dxa"/>
            </w:tcMar>
            <w:vAlign w:val="bottom"/>
          </w:tcPr>
          <w:p w14:paraId="77A60F8F" w14:textId="77777777" w:rsidR="00807FFE" w:rsidRDefault="00023E71">
            <w:pPr>
              <w:pStyle w:val="DMETW36764BIPFVH"/>
              <w:jc w:val="right"/>
              <w:rPr>
                <w:rFonts w:ascii="Verdana" w:eastAsia="Verdana" w:hAnsi="Verdana" w:cs="Verdana"/>
                <w:b/>
                <w:noProof/>
                <w:color w:val="000000"/>
                <w:sz w:val="18"/>
              </w:rPr>
            </w:pPr>
            <w:r>
              <w:rPr>
                <w:rFonts w:ascii="Verdana" w:eastAsia="Verdana" w:hAnsi="Verdana" w:cs="Verdana"/>
                <w:b/>
                <w:noProof/>
                <w:color w:val="000000"/>
                <w:sz w:val="18"/>
              </w:rPr>
              <w:t>51 080</w:t>
            </w:r>
          </w:p>
        </w:tc>
        <w:tc>
          <w:tcPr>
            <w:tcW w:w="2112" w:type="dxa"/>
            <w:tcBorders>
              <w:top w:val="single" w:sz="4" w:space="0" w:color="016794"/>
              <w:left w:val="nil"/>
              <w:bottom w:val="single" w:sz="4" w:space="0" w:color="016794"/>
              <w:right w:val="nil"/>
              <w:tl2br w:val="nil"/>
              <w:tr2bl w:val="nil"/>
            </w:tcBorders>
            <w:tcMar>
              <w:left w:w="60" w:type="dxa"/>
              <w:right w:w="60" w:type="dxa"/>
            </w:tcMar>
            <w:vAlign w:val="bottom"/>
          </w:tcPr>
          <w:p w14:paraId="38AFC880" w14:textId="77777777" w:rsidR="00807FFE" w:rsidRDefault="00023E71">
            <w:pPr>
              <w:pStyle w:val="DMETW36764BIPFVH"/>
              <w:jc w:val="right"/>
              <w:rPr>
                <w:rFonts w:ascii="Verdana" w:eastAsia="Verdana" w:hAnsi="Verdana" w:cs="Verdana"/>
                <w:b/>
                <w:noProof/>
                <w:color w:val="000000"/>
                <w:sz w:val="18"/>
              </w:rPr>
            </w:pPr>
            <w:r>
              <w:rPr>
                <w:rFonts w:ascii="Verdana" w:eastAsia="Verdana" w:hAnsi="Verdana" w:cs="Verdana"/>
                <w:b/>
                <w:noProof/>
                <w:color w:val="000000"/>
                <w:sz w:val="18"/>
              </w:rPr>
              <w:t>43 648</w:t>
            </w:r>
          </w:p>
        </w:tc>
      </w:tr>
    </w:tbl>
    <w:p w14:paraId="37C6C935" w14:textId="77777777" w:rsidR="00474E02" w:rsidRDefault="00474E02" w:rsidP="006E5F30">
      <w:pPr>
        <w:pStyle w:val="HEADER5"/>
        <w:rPr>
          <w:noProof/>
        </w:rPr>
      </w:pPr>
    </w:p>
    <w:p w14:paraId="6021DA6E" w14:textId="083AF06B" w:rsidR="00BA44A0" w:rsidRDefault="00023E71" w:rsidP="002A2707">
      <w:pPr>
        <w:pStyle w:val="DGTextstand-alone"/>
      </w:pPr>
      <w:r w:rsidRPr="00ED585C">
        <w:t>During the period, there were no transfers between level 1 and level 2 of the fair value hierarchy.</w:t>
      </w:r>
    </w:p>
    <w:p w14:paraId="5825F437" w14:textId="77777777" w:rsidR="00BA44A0" w:rsidRDefault="00BA44A0">
      <w:pPr>
        <w:rPr>
          <w:rFonts w:ascii="Verdana" w:hAnsi="Verdana"/>
          <w:noProof/>
          <w:sz w:val="18"/>
          <w:szCs w:val="18"/>
          <w:lang w:eastAsia="en-US"/>
        </w:rPr>
      </w:pPr>
      <w:r>
        <w:rPr>
          <w:noProof/>
        </w:rPr>
        <w:br w:type="page"/>
      </w:r>
    </w:p>
    <w:p w14:paraId="0DC5A88C" w14:textId="77777777" w:rsidR="006E5F30" w:rsidRPr="008636BC" w:rsidRDefault="00023E71" w:rsidP="006E5F30">
      <w:pPr>
        <w:pStyle w:val="HEADER5"/>
        <w:rPr>
          <w:noProof/>
        </w:rPr>
      </w:pPr>
      <w:r w:rsidRPr="00ED585C">
        <w:rPr>
          <w:noProof/>
        </w:rPr>
        <w:t>Reconciliation of non-derivative financial assets measured using valuation techniques with inputs not</w:t>
      </w:r>
      <w:r w:rsidRPr="008636BC">
        <w:rPr>
          <w:noProof/>
        </w:rPr>
        <w:t xml:space="preserve"> based on observable market data (level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8"/>
        <w:gridCol w:w="3690"/>
      </w:tblGrid>
      <w:tr w:rsidR="00807FFE" w14:paraId="185CF35E" w14:textId="77777777">
        <w:trPr>
          <w:trHeight w:val="255"/>
        </w:trPr>
        <w:tc>
          <w:tcPr>
            <w:tcW w:w="6068" w:type="dxa"/>
            <w:tcBorders>
              <w:top w:val="nil"/>
              <w:left w:val="nil"/>
              <w:bottom w:val="nil"/>
              <w:right w:val="nil"/>
              <w:tl2br w:val="nil"/>
              <w:tr2bl w:val="nil"/>
            </w:tcBorders>
            <w:tcMar>
              <w:left w:w="60" w:type="dxa"/>
              <w:right w:w="60" w:type="dxa"/>
            </w:tcMar>
            <w:vAlign w:val="bottom"/>
          </w:tcPr>
          <w:p w14:paraId="72DFBCA0" w14:textId="77777777" w:rsidR="00807FFE" w:rsidRDefault="00807FFE">
            <w:pPr>
              <w:pStyle w:val="DMETW36627BIPRECONONDFA"/>
              <w:rPr>
                <w:rFonts w:ascii="Verdana" w:eastAsia="Verdana" w:hAnsi="Verdana" w:cs="Verdana"/>
                <w:noProof/>
                <w:color w:val="000000"/>
                <w:sz w:val="18"/>
                <w:lang w:bidi="en-GB"/>
              </w:rPr>
            </w:pPr>
            <w:bookmarkStart w:id="113" w:name="DOC_TBL00016_1_1"/>
            <w:bookmarkEnd w:id="113"/>
          </w:p>
        </w:tc>
        <w:tc>
          <w:tcPr>
            <w:tcW w:w="3690" w:type="dxa"/>
            <w:tcBorders>
              <w:top w:val="nil"/>
              <w:left w:val="nil"/>
              <w:bottom w:val="nil"/>
              <w:right w:val="nil"/>
              <w:tl2br w:val="nil"/>
              <w:tr2bl w:val="nil"/>
            </w:tcBorders>
            <w:tcMar>
              <w:left w:w="60" w:type="dxa"/>
              <w:right w:w="60" w:type="dxa"/>
            </w:tcMar>
            <w:vAlign w:val="bottom"/>
          </w:tcPr>
          <w:p w14:paraId="0C54480E" w14:textId="77777777" w:rsidR="00807FFE" w:rsidRDefault="00023E71">
            <w:pPr>
              <w:pStyle w:val="DMETW36627BIPRECONONDFA"/>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0CF97F2C" w14:textId="77777777">
        <w:trPr>
          <w:trHeight w:val="255"/>
        </w:trPr>
        <w:tc>
          <w:tcPr>
            <w:tcW w:w="6068" w:type="dxa"/>
            <w:tcBorders>
              <w:top w:val="nil"/>
              <w:left w:val="nil"/>
              <w:bottom w:val="nil"/>
              <w:right w:val="nil"/>
              <w:tl2br w:val="nil"/>
              <w:tr2bl w:val="nil"/>
            </w:tcBorders>
            <w:shd w:val="solid" w:color="016794" w:fill="FFFFFF"/>
            <w:tcMar>
              <w:left w:w="60" w:type="dxa"/>
              <w:right w:w="60" w:type="dxa"/>
            </w:tcMar>
            <w:vAlign w:val="center"/>
          </w:tcPr>
          <w:p w14:paraId="40F10C0E" w14:textId="77777777" w:rsidR="00807FFE" w:rsidRDefault="00023E71">
            <w:pPr>
              <w:pStyle w:val="DMETW36627BIPRECONONDFA"/>
              <w:rPr>
                <w:rFonts w:ascii="Verdana" w:eastAsia="Verdana" w:hAnsi="Verdana" w:cs="Verdana"/>
                <w:noProof/>
                <w:color w:val="FFFFFF"/>
                <w:sz w:val="18"/>
              </w:rPr>
            </w:pPr>
            <w:r>
              <w:rPr>
                <w:rFonts w:ascii="Verdana" w:eastAsia="Verdana" w:hAnsi="Verdana" w:cs="Verdana"/>
                <w:noProof/>
                <w:color w:val="FFFFFF"/>
                <w:sz w:val="18"/>
              </w:rPr>
              <w:t>Fair value movements</w:t>
            </w:r>
          </w:p>
        </w:tc>
        <w:tc>
          <w:tcPr>
            <w:tcW w:w="3690" w:type="dxa"/>
            <w:tcBorders>
              <w:top w:val="nil"/>
              <w:left w:val="nil"/>
              <w:bottom w:val="nil"/>
              <w:right w:val="nil"/>
              <w:tl2br w:val="nil"/>
              <w:tr2bl w:val="nil"/>
            </w:tcBorders>
            <w:shd w:val="solid" w:color="016794" w:fill="FFFFFF"/>
            <w:tcMar>
              <w:left w:w="60" w:type="dxa"/>
              <w:right w:w="60" w:type="dxa"/>
            </w:tcMar>
            <w:vAlign w:val="center"/>
          </w:tcPr>
          <w:p w14:paraId="7A6843AF" w14:textId="77777777" w:rsidR="00807FFE" w:rsidRDefault="00807FFE">
            <w:pPr>
              <w:pStyle w:val="DMETW36627BIPRECONONDFA"/>
              <w:rPr>
                <w:rFonts w:ascii="Verdana" w:eastAsia="Verdana" w:hAnsi="Verdana" w:cs="Verdana"/>
                <w:noProof/>
                <w:color w:val="FFFFFF"/>
                <w:sz w:val="18"/>
                <w:lang w:bidi="en-GB"/>
              </w:rPr>
            </w:pPr>
          </w:p>
        </w:tc>
      </w:tr>
      <w:tr w:rsidR="00807FFE" w14:paraId="311FE7D7"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5A90725B" w14:textId="77777777" w:rsidR="00807FFE" w:rsidRDefault="00023E71">
            <w:pPr>
              <w:pStyle w:val="DMETW36627BIPRECONONDFA"/>
              <w:rPr>
                <w:rFonts w:ascii="Verdana" w:eastAsia="Verdana" w:hAnsi="Verdana" w:cs="Verdana"/>
                <w:b/>
                <w:noProof/>
                <w:color w:val="000000"/>
                <w:sz w:val="18"/>
              </w:rPr>
            </w:pPr>
            <w:r>
              <w:rPr>
                <w:rFonts w:ascii="Verdana" w:eastAsia="Verdana" w:hAnsi="Verdana" w:cs="Verdana"/>
                <w:b/>
                <w:noProof/>
                <w:color w:val="000000"/>
                <w:sz w:val="18"/>
              </w:rPr>
              <w:t>Opening balance at 1.1.2025</w:t>
            </w:r>
          </w:p>
        </w:tc>
        <w:tc>
          <w:tcPr>
            <w:tcW w:w="3690" w:type="dxa"/>
            <w:tcBorders>
              <w:top w:val="nil"/>
              <w:left w:val="nil"/>
              <w:bottom w:val="nil"/>
              <w:right w:val="nil"/>
              <w:tl2br w:val="nil"/>
              <w:tr2bl w:val="nil"/>
            </w:tcBorders>
            <w:tcMar>
              <w:left w:w="60" w:type="dxa"/>
              <w:right w:w="60" w:type="dxa"/>
            </w:tcMar>
            <w:vAlign w:val="bottom"/>
          </w:tcPr>
          <w:p w14:paraId="727FEFD0" w14:textId="77777777" w:rsidR="00807FFE" w:rsidRDefault="00023E71">
            <w:pPr>
              <w:pStyle w:val="DMETW36627BIPRECONONDFA"/>
              <w:jc w:val="right"/>
              <w:rPr>
                <w:rFonts w:ascii="Verdana" w:eastAsia="Verdana" w:hAnsi="Verdana" w:cs="Verdana"/>
                <w:b/>
                <w:noProof/>
                <w:color w:val="000000"/>
                <w:sz w:val="18"/>
                <w:lang w:bidi="en-GB"/>
              </w:rPr>
            </w:pPr>
            <w:r>
              <w:rPr>
                <w:rFonts w:ascii="Verdana" w:eastAsia="Verdana" w:hAnsi="Verdana" w:cs="Verdana"/>
                <w:b/>
                <w:noProof/>
                <w:color w:val="000000"/>
                <w:sz w:val="18"/>
              </w:rPr>
              <w:t>2 991</w:t>
            </w:r>
          </w:p>
        </w:tc>
      </w:tr>
      <w:tr w:rsidR="00807FFE" w14:paraId="7370E145"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300DDE86" w14:textId="77777777" w:rsidR="00807FFE" w:rsidRDefault="00023E71">
            <w:pPr>
              <w:pStyle w:val="DMETW36627BIPRECONONDFA"/>
              <w:rPr>
                <w:rFonts w:ascii="Verdana" w:eastAsia="Verdana" w:hAnsi="Verdana" w:cs="Verdana"/>
                <w:i/>
                <w:noProof/>
                <w:color w:val="000000"/>
                <w:sz w:val="18"/>
              </w:rPr>
            </w:pPr>
            <w:r>
              <w:rPr>
                <w:rFonts w:ascii="Verdana" w:eastAsia="Verdana" w:hAnsi="Verdana" w:cs="Verdana"/>
                <w:i/>
                <w:noProof/>
                <w:color w:val="000000"/>
                <w:sz w:val="18"/>
              </w:rPr>
              <w:t>Investments during the period</w:t>
            </w:r>
          </w:p>
        </w:tc>
        <w:tc>
          <w:tcPr>
            <w:tcW w:w="3690" w:type="dxa"/>
            <w:tcBorders>
              <w:top w:val="nil"/>
              <w:left w:val="nil"/>
              <w:bottom w:val="nil"/>
              <w:right w:val="nil"/>
              <w:tl2br w:val="nil"/>
              <w:tr2bl w:val="nil"/>
            </w:tcBorders>
            <w:tcMar>
              <w:left w:w="60" w:type="dxa"/>
              <w:right w:w="60" w:type="dxa"/>
            </w:tcMar>
            <w:vAlign w:val="bottom"/>
          </w:tcPr>
          <w:p w14:paraId="1F1E9618" w14:textId="77777777" w:rsidR="00807FFE" w:rsidRDefault="00023E71">
            <w:pPr>
              <w:pStyle w:val="DMETW36627BIPRECONOND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699</w:t>
            </w:r>
          </w:p>
        </w:tc>
      </w:tr>
      <w:tr w:rsidR="00807FFE" w14:paraId="2C647CC6"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4C7F0A01" w14:textId="77777777" w:rsidR="00807FFE" w:rsidRDefault="00023E71">
            <w:pPr>
              <w:pStyle w:val="DMETW36627BIPRECONONDFA"/>
              <w:rPr>
                <w:rFonts w:ascii="Verdana" w:eastAsia="Verdana" w:hAnsi="Verdana" w:cs="Verdana"/>
                <w:i/>
                <w:noProof/>
                <w:color w:val="000000"/>
                <w:sz w:val="18"/>
              </w:rPr>
            </w:pPr>
            <w:r>
              <w:rPr>
                <w:rFonts w:ascii="Verdana" w:eastAsia="Verdana" w:hAnsi="Verdana" w:cs="Verdana"/>
                <w:i/>
                <w:noProof/>
                <w:color w:val="000000"/>
                <w:sz w:val="18"/>
              </w:rPr>
              <w:t>Capital repayments</w:t>
            </w:r>
          </w:p>
        </w:tc>
        <w:tc>
          <w:tcPr>
            <w:tcW w:w="3690" w:type="dxa"/>
            <w:tcBorders>
              <w:top w:val="nil"/>
              <w:left w:val="nil"/>
              <w:bottom w:val="nil"/>
              <w:right w:val="nil"/>
              <w:tl2br w:val="nil"/>
              <w:tr2bl w:val="nil"/>
            </w:tcBorders>
            <w:tcMar>
              <w:left w:w="60" w:type="dxa"/>
              <w:right w:w="60" w:type="dxa"/>
            </w:tcMar>
            <w:vAlign w:val="bottom"/>
          </w:tcPr>
          <w:p w14:paraId="40AF9E9B" w14:textId="77777777" w:rsidR="00807FFE" w:rsidRDefault="00023E71">
            <w:pPr>
              <w:pStyle w:val="DMETW36627BIPRECONOND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(97)</w:t>
            </w:r>
          </w:p>
        </w:tc>
      </w:tr>
      <w:tr w:rsidR="00807FFE" w14:paraId="1C524571"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261370F4" w14:textId="77777777" w:rsidR="00807FFE" w:rsidRDefault="00023E71">
            <w:pPr>
              <w:pStyle w:val="DMETW36627BIPRECONONDFA"/>
              <w:rPr>
                <w:rFonts w:ascii="Verdana" w:eastAsia="Verdana" w:hAnsi="Verdana" w:cs="Verdana"/>
                <w:i/>
                <w:noProof/>
                <w:color w:val="000000"/>
                <w:sz w:val="18"/>
              </w:rPr>
            </w:pPr>
            <w:r>
              <w:rPr>
                <w:rFonts w:ascii="Verdana" w:eastAsia="Verdana" w:hAnsi="Verdana" w:cs="Verdana"/>
                <w:i/>
                <w:noProof/>
                <w:color w:val="000000"/>
                <w:sz w:val="18"/>
              </w:rPr>
              <w:t xml:space="preserve">Revenues settled </w:t>
            </w:r>
          </w:p>
        </w:tc>
        <w:tc>
          <w:tcPr>
            <w:tcW w:w="3690" w:type="dxa"/>
            <w:tcBorders>
              <w:top w:val="nil"/>
              <w:left w:val="nil"/>
              <w:bottom w:val="nil"/>
              <w:right w:val="nil"/>
              <w:tl2br w:val="nil"/>
              <w:tr2bl w:val="nil"/>
            </w:tcBorders>
            <w:tcMar>
              <w:left w:w="60" w:type="dxa"/>
              <w:right w:w="60" w:type="dxa"/>
            </w:tcMar>
            <w:vAlign w:val="bottom"/>
          </w:tcPr>
          <w:p w14:paraId="52E0FCE2" w14:textId="77777777" w:rsidR="00807FFE" w:rsidRDefault="00023E71">
            <w:pPr>
              <w:pStyle w:val="DMETW36627BIPRECONOND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w:t>
            </w:r>
          </w:p>
        </w:tc>
      </w:tr>
      <w:tr w:rsidR="00807FFE" w14:paraId="36761B5D"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1B3EC3A4" w14:textId="77777777" w:rsidR="00807FFE" w:rsidRDefault="00023E71">
            <w:pPr>
              <w:pStyle w:val="DMETW36627BIPRECONONDFA"/>
              <w:rPr>
                <w:rFonts w:ascii="Verdana" w:eastAsia="Verdana" w:hAnsi="Verdana" w:cs="Verdana"/>
                <w:i/>
                <w:noProof/>
                <w:color w:val="000000"/>
                <w:sz w:val="18"/>
              </w:rPr>
            </w:pPr>
            <w:r>
              <w:rPr>
                <w:rFonts w:ascii="Verdana" w:eastAsia="Verdana" w:hAnsi="Verdana" w:cs="Verdana"/>
                <w:i/>
                <w:noProof/>
                <w:color w:val="000000"/>
                <w:sz w:val="18"/>
              </w:rPr>
              <w:t>Gains or losses for the period in surplus or deficit</w:t>
            </w:r>
          </w:p>
        </w:tc>
        <w:tc>
          <w:tcPr>
            <w:tcW w:w="3690" w:type="dxa"/>
            <w:tcBorders>
              <w:top w:val="nil"/>
              <w:left w:val="nil"/>
              <w:bottom w:val="nil"/>
              <w:right w:val="nil"/>
              <w:tl2br w:val="nil"/>
              <w:tr2bl w:val="nil"/>
            </w:tcBorders>
            <w:tcMar>
              <w:left w:w="60" w:type="dxa"/>
              <w:right w:w="60" w:type="dxa"/>
            </w:tcMar>
            <w:vAlign w:val="bottom"/>
          </w:tcPr>
          <w:p w14:paraId="51E417E9" w14:textId="77777777" w:rsidR="00807FFE" w:rsidRDefault="00023E71">
            <w:pPr>
              <w:pStyle w:val="DMETW36627BIPRECONOND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(90)</w:t>
            </w:r>
          </w:p>
        </w:tc>
      </w:tr>
      <w:tr w:rsidR="00807FFE" w14:paraId="3CE37E05"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6C0490D4" w14:textId="77777777" w:rsidR="00807FFE" w:rsidRDefault="00023E71">
            <w:pPr>
              <w:pStyle w:val="DMETW36627BIPRECONONDFA"/>
              <w:rPr>
                <w:rFonts w:ascii="Verdana" w:eastAsia="Verdana" w:hAnsi="Verdana" w:cs="Verdana"/>
                <w:i/>
                <w:noProof/>
                <w:color w:val="000000"/>
                <w:sz w:val="18"/>
              </w:rPr>
            </w:pPr>
            <w:r>
              <w:rPr>
                <w:rFonts w:ascii="Verdana" w:eastAsia="Verdana" w:hAnsi="Verdana" w:cs="Verdana"/>
                <w:i/>
                <w:noProof/>
                <w:color w:val="000000"/>
                <w:sz w:val="18"/>
              </w:rPr>
              <w:t xml:space="preserve">Transfers into level 3 </w:t>
            </w:r>
          </w:p>
        </w:tc>
        <w:tc>
          <w:tcPr>
            <w:tcW w:w="3690" w:type="dxa"/>
            <w:tcBorders>
              <w:top w:val="nil"/>
              <w:left w:val="nil"/>
              <w:bottom w:val="nil"/>
              <w:right w:val="nil"/>
              <w:tl2br w:val="nil"/>
              <w:tr2bl w:val="nil"/>
            </w:tcBorders>
            <w:tcMar>
              <w:left w:w="60" w:type="dxa"/>
              <w:right w:w="60" w:type="dxa"/>
            </w:tcMar>
            <w:vAlign w:val="bottom"/>
          </w:tcPr>
          <w:p w14:paraId="06351140" w14:textId="77777777" w:rsidR="00807FFE" w:rsidRDefault="00023E71">
            <w:pPr>
              <w:pStyle w:val="DMETW36627BIPRECONONDFA"/>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37803357"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7E666160" w14:textId="77777777" w:rsidR="00807FFE" w:rsidRDefault="00023E71">
            <w:pPr>
              <w:pStyle w:val="DMETW36627BIPRECONONDFA"/>
              <w:rPr>
                <w:rFonts w:ascii="Verdana" w:eastAsia="Verdana" w:hAnsi="Verdana" w:cs="Verdana"/>
                <w:i/>
                <w:noProof/>
                <w:color w:val="000000"/>
                <w:sz w:val="18"/>
              </w:rPr>
            </w:pPr>
            <w:r>
              <w:rPr>
                <w:rFonts w:ascii="Verdana" w:eastAsia="Verdana" w:hAnsi="Verdana" w:cs="Verdana"/>
                <w:i/>
                <w:noProof/>
                <w:color w:val="000000"/>
                <w:sz w:val="18"/>
              </w:rPr>
              <w:t xml:space="preserve">Transfers out of level 3 </w:t>
            </w:r>
          </w:p>
        </w:tc>
        <w:tc>
          <w:tcPr>
            <w:tcW w:w="3690" w:type="dxa"/>
            <w:tcBorders>
              <w:top w:val="nil"/>
              <w:left w:val="nil"/>
              <w:bottom w:val="nil"/>
              <w:right w:val="nil"/>
              <w:tl2br w:val="nil"/>
              <w:tr2bl w:val="nil"/>
            </w:tcBorders>
            <w:tcMar>
              <w:left w:w="60" w:type="dxa"/>
              <w:right w:w="60" w:type="dxa"/>
            </w:tcMar>
            <w:vAlign w:val="bottom"/>
          </w:tcPr>
          <w:p w14:paraId="38B29EBB" w14:textId="77777777" w:rsidR="00807FFE" w:rsidRDefault="00023E71">
            <w:pPr>
              <w:pStyle w:val="DMETW36627BIPRECONONDFA"/>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410E3696" w14:textId="77777777">
        <w:trPr>
          <w:trHeight w:val="255"/>
        </w:trPr>
        <w:tc>
          <w:tcPr>
            <w:tcW w:w="6068" w:type="dxa"/>
            <w:tcBorders>
              <w:top w:val="nil"/>
              <w:left w:val="nil"/>
              <w:bottom w:val="single" w:sz="4" w:space="0" w:color="016794"/>
              <w:right w:val="nil"/>
              <w:tl2br w:val="nil"/>
              <w:tr2bl w:val="nil"/>
            </w:tcBorders>
            <w:tcMar>
              <w:left w:w="60" w:type="dxa"/>
              <w:right w:w="60" w:type="dxa"/>
            </w:tcMar>
            <w:vAlign w:val="center"/>
          </w:tcPr>
          <w:p w14:paraId="4C3E6E6A" w14:textId="77777777" w:rsidR="00807FFE" w:rsidRDefault="00023E71">
            <w:pPr>
              <w:pStyle w:val="DMETW36627BIPRECONONDFA"/>
              <w:rPr>
                <w:rFonts w:ascii="Verdana" w:eastAsia="Verdana" w:hAnsi="Verdana" w:cs="Verdana"/>
                <w:i/>
                <w:noProof/>
                <w:color w:val="000000"/>
                <w:sz w:val="18"/>
              </w:rPr>
            </w:pPr>
            <w:r>
              <w:rPr>
                <w:rFonts w:ascii="Verdana" w:eastAsia="Verdana" w:hAnsi="Verdana" w:cs="Verdana"/>
                <w:i/>
                <w:noProof/>
                <w:color w:val="000000"/>
                <w:sz w:val="18"/>
              </w:rPr>
              <w:t>Other</w:t>
            </w:r>
          </w:p>
        </w:tc>
        <w:tc>
          <w:tcPr>
            <w:tcW w:w="3690" w:type="dxa"/>
            <w:tcBorders>
              <w:top w:val="nil"/>
              <w:left w:val="nil"/>
              <w:bottom w:val="single" w:sz="4" w:space="0" w:color="016794"/>
              <w:right w:val="nil"/>
              <w:tl2br w:val="nil"/>
              <w:tr2bl w:val="nil"/>
            </w:tcBorders>
            <w:tcMar>
              <w:left w:w="60" w:type="dxa"/>
              <w:right w:w="60" w:type="dxa"/>
            </w:tcMar>
            <w:vAlign w:val="bottom"/>
          </w:tcPr>
          <w:p w14:paraId="121EC23C" w14:textId="77777777" w:rsidR="00807FFE" w:rsidRDefault="00023E71">
            <w:pPr>
              <w:pStyle w:val="DMETW36627BIPRECONONDFA"/>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11F81297" w14:textId="77777777">
        <w:trPr>
          <w:trHeight w:val="255"/>
        </w:trPr>
        <w:tc>
          <w:tcPr>
            <w:tcW w:w="6068" w:type="dxa"/>
            <w:tcBorders>
              <w:top w:val="single" w:sz="4" w:space="0" w:color="016794"/>
              <w:left w:val="nil"/>
              <w:bottom w:val="single" w:sz="4" w:space="0" w:color="016794"/>
              <w:right w:val="nil"/>
              <w:tl2br w:val="nil"/>
              <w:tr2bl w:val="nil"/>
            </w:tcBorders>
            <w:tcMar>
              <w:left w:w="60" w:type="dxa"/>
              <w:right w:w="60" w:type="dxa"/>
            </w:tcMar>
            <w:vAlign w:val="center"/>
          </w:tcPr>
          <w:p w14:paraId="5950FA92" w14:textId="77777777" w:rsidR="00807FFE" w:rsidRDefault="00023E71">
            <w:pPr>
              <w:pStyle w:val="DMETW36627BIPRECONONDFA"/>
              <w:rPr>
                <w:rFonts w:ascii="Verdana" w:eastAsia="Verdana" w:hAnsi="Verdana" w:cs="Verdana"/>
                <w:b/>
                <w:noProof/>
                <w:color w:val="000000"/>
                <w:sz w:val="18"/>
              </w:rPr>
            </w:pPr>
            <w:r>
              <w:rPr>
                <w:rFonts w:ascii="Verdana" w:eastAsia="Verdana" w:hAnsi="Verdana" w:cs="Verdana"/>
                <w:b/>
                <w:noProof/>
                <w:color w:val="000000"/>
                <w:sz w:val="18"/>
              </w:rPr>
              <w:t>Closing balance at 31.12.2025</w:t>
            </w:r>
          </w:p>
        </w:tc>
        <w:tc>
          <w:tcPr>
            <w:tcW w:w="3690" w:type="dxa"/>
            <w:tcBorders>
              <w:top w:val="single" w:sz="4" w:space="0" w:color="016794"/>
              <w:left w:val="nil"/>
              <w:bottom w:val="single" w:sz="4" w:space="0" w:color="016794"/>
              <w:right w:val="nil"/>
              <w:tl2br w:val="nil"/>
              <w:tr2bl w:val="nil"/>
            </w:tcBorders>
            <w:tcMar>
              <w:left w:w="60" w:type="dxa"/>
              <w:right w:w="60" w:type="dxa"/>
            </w:tcMar>
            <w:vAlign w:val="bottom"/>
          </w:tcPr>
          <w:p w14:paraId="12A9AA54" w14:textId="77777777" w:rsidR="00807FFE" w:rsidRDefault="00023E71">
            <w:pPr>
              <w:pStyle w:val="DMETW36627BIPRECONONDFA"/>
              <w:jc w:val="right"/>
              <w:rPr>
                <w:rFonts w:ascii="Verdana" w:eastAsia="Verdana" w:hAnsi="Verdana" w:cs="Verdana"/>
                <w:b/>
                <w:noProof/>
                <w:color w:val="000000"/>
                <w:sz w:val="18"/>
              </w:rPr>
            </w:pPr>
            <w:r>
              <w:rPr>
                <w:rFonts w:ascii="Verdana" w:eastAsia="Verdana" w:hAnsi="Verdana" w:cs="Verdana"/>
                <w:b/>
                <w:noProof/>
                <w:color w:val="000000"/>
                <w:sz w:val="18"/>
              </w:rPr>
              <w:t>3 483</w:t>
            </w:r>
          </w:p>
        </w:tc>
      </w:tr>
    </w:tbl>
    <w:p w14:paraId="74EDD590" w14:textId="77777777" w:rsidR="008636BC" w:rsidRPr="008636BC" w:rsidRDefault="00023E71" w:rsidP="00172034">
      <w:pPr>
        <w:pStyle w:val="HEADER4NOTES"/>
        <w:numPr>
          <w:ilvl w:val="3"/>
          <w:numId w:val="15"/>
        </w:numPr>
        <w:rPr>
          <w:noProof/>
        </w:rPr>
      </w:pPr>
      <w:r w:rsidRPr="008636BC">
        <w:rPr>
          <w:noProof/>
        </w:rPr>
        <w:t>Financial assets and liabilities at FVSD derivatives</w:t>
      </w:r>
    </w:p>
    <w:p w14:paraId="6326E3AE" w14:textId="77777777" w:rsidR="006E5F30" w:rsidRDefault="00023E71" w:rsidP="008636BC">
      <w:pPr>
        <w:pStyle w:val="HEADER5"/>
        <w:rPr>
          <w:noProof/>
        </w:rPr>
      </w:pPr>
      <w:r w:rsidRPr="00AE3E25">
        <w:rPr>
          <w:noProof/>
        </w:rPr>
        <w:t xml:space="preserve">Financial assets </w:t>
      </w:r>
      <w:r>
        <w:rPr>
          <w:noProof/>
        </w:rPr>
        <w:t xml:space="preserve">and liabilities </w:t>
      </w:r>
      <w:r w:rsidRPr="00AE3E25">
        <w:rPr>
          <w:noProof/>
        </w:rPr>
        <w:t>at FVSD derivatives by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5"/>
        <w:gridCol w:w="1376"/>
        <w:gridCol w:w="1176"/>
        <w:gridCol w:w="1097"/>
        <w:gridCol w:w="1171"/>
        <w:gridCol w:w="850"/>
        <w:gridCol w:w="1193"/>
      </w:tblGrid>
      <w:tr w:rsidR="00807FFE" w14:paraId="128EFF60" w14:textId="77777777">
        <w:trPr>
          <w:trHeight w:val="255"/>
        </w:trPr>
        <w:tc>
          <w:tcPr>
            <w:tcW w:w="2895" w:type="dxa"/>
            <w:tcBorders>
              <w:top w:val="nil"/>
              <w:left w:val="nil"/>
              <w:bottom w:val="nil"/>
              <w:right w:val="nil"/>
              <w:tl2br w:val="nil"/>
              <w:tr2bl w:val="nil"/>
            </w:tcBorders>
            <w:tcMar>
              <w:left w:w="60" w:type="dxa"/>
              <w:right w:w="60" w:type="dxa"/>
            </w:tcMar>
            <w:vAlign w:val="bottom"/>
          </w:tcPr>
          <w:p w14:paraId="65F9797A" w14:textId="77777777" w:rsidR="00807FFE" w:rsidRDefault="00807FFE">
            <w:pPr>
              <w:pStyle w:val="DMETW36627BIPFAFVDBT"/>
              <w:rPr>
                <w:rFonts w:ascii="Verdana" w:eastAsia="Verdana" w:hAnsi="Verdana" w:cs="Verdana"/>
                <w:noProof/>
                <w:color w:val="000000"/>
                <w:sz w:val="18"/>
                <w:lang w:bidi="en-GB"/>
              </w:rPr>
            </w:pPr>
            <w:bookmarkStart w:id="114" w:name="DOC_TBL00017_1_1"/>
            <w:bookmarkEnd w:id="114"/>
          </w:p>
        </w:tc>
        <w:tc>
          <w:tcPr>
            <w:tcW w:w="1376" w:type="dxa"/>
            <w:tcBorders>
              <w:top w:val="nil"/>
              <w:left w:val="nil"/>
              <w:bottom w:val="nil"/>
              <w:right w:val="nil"/>
              <w:tl2br w:val="nil"/>
              <w:tr2bl w:val="nil"/>
            </w:tcBorders>
            <w:tcMar>
              <w:left w:w="60" w:type="dxa"/>
              <w:right w:w="60" w:type="dxa"/>
            </w:tcMar>
            <w:vAlign w:val="bottom"/>
          </w:tcPr>
          <w:p w14:paraId="2EB63369" w14:textId="77777777" w:rsidR="00807FFE" w:rsidRDefault="00807FFE">
            <w:pPr>
              <w:pStyle w:val="DMETW36627BIPFAFVDBT"/>
              <w:rPr>
                <w:rFonts w:ascii="Verdana" w:eastAsia="Verdana" w:hAnsi="Verdana" w:cs="Verdana"/>
                <w:noProof/>
                <w:color w:val="000000"/>
                <w:sz w:val="18"/>
              </w:rPr>
            </w:pPr>
          </w:p>
        </w:tc>
        <w:tc>
          <w:tcPr>
            <w:tcW w:w="1176" w:type="dxa"/>
            <w:tcBorders>
              <w:top w:val="nil"/>
              <w:left w:val="nil"/>
              <w:bottom w:val="nil"/>
              <w:right w:val="nil"/>
              <w:tl2br w:val="nil"/>
              <w:tr2bl w:val="nil"/>
            </w:tcBorders>
            <w:tcMar>
              <w:left w:w="60" w:type="dxa"/>
              <w:right w:w="60" w:type="dxa"/>
            </w:tcMar>
            <w:vAlign w:val="bottom"/>
          </w:tcPr>
          <w:p w14:paraId="1EDF00D0" w14:textId="77777777" w:rsidR="00807FFE" w:rsidRDefault="00807FFE">
            <w:pPr>
              <w:pStyle w:val="DMETW36627BIPFAFVDBT"/>
              <w:rPr>
                <w:rFonts w:ascii="Verdana" w:eastAsia="Verdana" w:hAnsi="Verdana" w:cs="Verdana"/>
                <w:noProof/>
                <w:color w:val="000000"/>
                <w:sz w:val="18"/>
              </w:rPr>
            </w:pPr>
          </w:p>
        </w:tc>
        <w:tc>
          <w:tcPr>
            <w:tcW w:w="1097" w:type="dxa"/>
            <w:tcBorders>
              <w:top w:val="nil"/>
              <w:left w:val="nil"/>
              <w:bottom w:val="nil"/>
              <w:right w:val="nil"/>
              <w:tl2br w:val="nil"/>
              <w:tr2bl w:val="nil"/>
            </w:tcBorders>
            <w:tcMar>
              <w:left w:w="60" w:type="dxa"/>
              <w:right w:w="60" w:type="dxa"/>
            </w:tcMar>
            <w:vAlign w:val="bottom"/>
          </w:tcPr>
          <w:p w14:paraId="6C2EF1D8" w14:textId="77777777" w:rsidR="00807FFE" w:rsidRDefault="00807FFE">
            <w:pPr>
              <w:pStyle w:val="DMETW36627BIPFAFVDBT"/>
              <w:rPr>
                <w:rFonts w:ascii="Verdana" w:eastAsia="Verdana" w:hAnsi="Verdana" w:cs="Verdana"/>
                <w:noProof/>
                <w:color w:val="000000"/>
                <w:sz w:val="18"/>
              </w:rPr>
            </w:pPr>
          </w:p>
        </w:tc>
        <w:tc>
          <w:tcPr>
            <w:tcW w:w="1171" w:type="dxa"/>
            <w:tcBorders>
              <w:top w:val="nil"/>
              <w:left w:val="nil"/>
              <w:bottom w:val="nil"/>
              <w:right w:val="nil"/>
              <w:tl2br w:val="nil"/>
              <w:tr2bl w:val="nil"/>
            </w:tcBorders>
            <w:tcMar>
              <w:left w:w="60" w:type="dxa"/>
              <w:right w:w="60" w:type="dxa"/>
            </w:tcMar>
            <w:vAlign w:val="bottom"/>
          </w:tcPr>
          <w:p w14:paraId="6000D3D8" w14:textId="77777777" w:rsidR="00807FFE" w:rsidRDefault="00807FFE">
            <w:pPr>
              <w:pStyle w:val="DMETW36627BIPFAFVDBT"/>
              <w:jc w:val="right"/>
              <w:rPr>
                <w:rFonts w:ascii="Verdana" w:eastAsia="Verdana" w:hAnsi="Verdana" w:cs="Verdana"/>
                <w:i/>
                <w:noProof/>
                <w:color w:val="000000"/>
                <w:sz w:val="18"/>
              </w:rPr>
            </w:pPr>
          </w:p>
        </w:tc>
        <w:tc>
          <w:tcPr>
            <w:tcW w:w="850" w:type="dxa"/>
            <w:tcBorders>
              <w:top w:val="nil"/>
              <w:left w:val="nil"/>
              <w:bottom w:val="nil"/>
              <w:right w:val="nil"/>
              <w:tl2br w:val="nil"/>
              <w:tr2bl w:val="nil"/>
            </w:tcBorders>
            <w:tcMar>
              <w:left w:w="60" w:type="dxa"/>
              <w:right w:w="60" w:type="dxa"/>
            </w:tcMar>
            <w:vAlign w:val="bottom"/>
          </w:tcPr>
          <w:p w14:paraId="1ACBE05C" w14:textId="77777777" w:rsidR="00807FFE" w:rsidRDefault="00807FFE">
            <w:pPr>
              <w:pStyle w:val="DMETW36627BIPFAFVDBT"/>
              <w:rPr>
                <w:rFonts w:ascii="Verdana" w:eastAsia="Verdana" w:hAnsi="Verdana" w:cs="Verdana"/>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14:paraId="1A6AE990" w14:textId="77777777" w:rsidR="00807FFE" w:rsidRDefault="00023E71">
            <w:pPr>
              <w:pStyle w:val="DMETW36627BIPFAFVDBT"/>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22598920" w14:textId="77777777">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14:paraId="12E7B2FC" w14:textId="77777777" w:rsidR="00807FFE" w:rsidRDefault="00023E71">
            <w:pPr>
              <w:pStyle w:val="DMETW36627BIPFAFVDBT"/>
              <w:rPr>
                <w:rFonts w:ascii="Verdana" w:eastAsia="Verdana" w:hAnsi="Verdana" w:cs="Verdana"/>
                <w:noProof/>
                <w:color w:val="FFFFFF"/>
                <w:sz w:val="18"/>
              </w:rPr>
            </w:pPr>
            <w:r>
              <w:rPr>
                <w:rFonts w:ascii="Verdana" w:eastAsia="Verdana" w:hAnsi="Verdana" w:cs="Verdana"/>
                <w:noProof/>
                <w:color w:val="FFFFFF"/>
                <w:sz w:val="18"/>
              </w:rPr>
              <w:t>Type of derivative</w:t>
            </w:r>
          </w:p>
        </w:tc>
        <w:tc>
          <w:tcPr>
            <w:tcW w:w="1376" w:type="dxa"/>
            <w:gridSpan w:val="3"/>
            <w:tcBorders>
              <w:top w:val="nil"/>
              <w:left w:val="nil"/>
              <w:bottom w:val="nil"/>
              <w:right w:val="nil"/>
              <w:tl2br w:val="nil"/>
              <w:tr2bl w:val="nil"/>
            </w:tcBorders>
            <w:shd w:val="solid" w:color="016794" w:fill="FFFFFF"/>
            <w:tcMar>
              <w:left w:w="60" w:type="dxa"/>
              <w:right w:w="60" w:type="dxa"/>
            </w:tcMar>
            <w:vAlign w:val="center"/>
          </w:tcPr>
          <w:p w14:paraId="5DCA2E5C" w14:textId="77777777" w:rsidR="00807FFE" w:rsidRDefault="00023E71">
            <w:pPr>
              <w:pStyle w:val="DMETW36627BIPFAFVDBT"/>
              <w:rPr>
                <w:rFonts w:ascii="Verdana" w:eastAsia="Verdana" w:hAnsi="Verdana" w:cs="Verdana"/>
                <w:noProof/>
                <w:color w:val="FFFFFF"/>
                <w:sz w:val="18"/>
              </w:rPr>
            </w:pPr>
            <w:r>
              <w:rPr>
                <w:rFonts w:ascii="Verdana" w:eastAsia="Verdana" w:hAnsi="Verdana" w:cs="Verdana"/>
                <w:noProof/>
                <w:color w:val="FFFFFF"/>
                <w:sz w:val="18"/>
              </w:rPr>
              <w:t>31.12.2025</w:t>
            </w:r>
          </w:p>
        </w:tc>
        <w:tc>
          <w:tcPr>
            <w:tcW w:w="1171" w:type="dxa"/>
            <w:gridSpan w:val="3"/>
            <w:tcBorders>
              <w:top w:val="nil"/>
              <w:left w:val="nil"/>
              <w:bottom w:val="nil"/>
              <w:right w:val="nil"/>
              <w:tl2br w:val="nil"/>
              <w:tr2bl w:val="nil"/>
            </w:tcBorders>
            <w:shd w:val="solid" w:color="016794" w:fill="FFFFFF"/>
            <w:tcMar>
              <w:left w:w="60" w:type="dxa"/>
              <w:right w:w="60" w:type="dxa"/>
            </w:tcMar>
            <w:vAlign w:val="center"/>
          </w:tcPr>
          <w:p w14:paraId="30615DD5" w14:textId="77777777" w:rsidR="00807FFE" w:rsidRDefault="00023E71">
            <w:pPr>
              <w:pStyle w:val="DMETW36627BIPFAFVDBT"/>
              <w:rPr>
                <w:rFonts w:ascii="Verdana" w:eastAsia="Verdana" w:hAnsi="Verdana" w:cs="Verdana"/>
                <w:noProof/>
                <w:color w:val="FFFFFF"/>
                <w:sz w:val="18"/>
                <w:lang w:bidi="en-GB"/>
              </w:rPr>
            </w:pPr>
            <w:r>
              <w:rPr>
                <w:rFonts w:ascii="Verdana" w:eastAsia="Verdana" w:hAnsi="Verdana" w:cs="Verdana"/>
                <w:noProof/>
                <w:color w:val="FFFFFF"/>
                <w:sz w:val="18"/>
              </w:rPr>
              <w:t>31.12.2024</w:t>
            </w:r>
          </w:p>
        </w:tc>
      </w:tr>
      <w:tr w:rsidR="00807FFE" w14:paraId="5C73BB98" w14:textId="77777777">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14:paraId="5FEE54CF" w14:textId="77777777" w:rsidR="00807FFE" w:rsidRDefault="00807FFE">
            <w:pPr>
              <w:pStyle w:val="DMETW36627BIPFAFVDBT"/>
              <w:rPr>
                <w:rFonts w:ascii="Verdana" w:eastAsia="Verdana" w:hAnsi="Verdana" w:cs="Verdana"/>
                <w:noProof/>
                <w:color w:val="FFFFFF"/>
                <w:sz w:val="18"/>
              </w:rPr>
            </w:pPr>
          </w:p>
        </w:tc>
        <w:tc>
          <w:tcPr>
            <w:tcW w:w="1376" w:type="dxa"/>
            <w:tcBorders>
              <w:top w:val="nil"/>
              <w:left w:val="nil"/>
              <w:bottom w:val="nil"/>
              <w:right w:val="nil"/>
              <w:tl2br w:val="nil"/>
              <w:tr2bl w:val="nil"/>
            </w:tcBorders>
            <w:shd w:val="solid" w:color="4C91D0" w:fill="FFFFFF"/>
            <w:tcMar>
              <w:left w:w="60" w:type="dxa"/>
              <w:right w:w="60" w:type="dxa"/>
            </w:tcMar>
            <w:vAlign w:val="center"/>
          </w:tcPr>
          <w:p w14:paraId="55386E47" w14:textId="77777777" w:rsidR="00807FFE" w:rsidRDefault="00023E71">
            <w:pPr>
              <w:pStyle w:val="DMETW36627BIPFAFVDBT"/>
              <w:jc w:val="right"/>
              <w:rPr>
                <w:rFonts w:ascii="Verdana" w:eastAsia="Verdana" w:hAnsi="Verdana" w:cs="Verdana"/>
                <w:noProof/>
                <w:color w:val="FFFFFF"/>
                <w:sz w:val="18"/>
              </w:rPr>
            </w:pPr>
            <w:r>
              <w:rPr>
                <w:rFonts w:ascii="Verdana" w:eastAsia="Verdana" w:hAnsi="Verdana" w:cs="Verdana"/>
                <w:noProof/>
                <w:color w:val="FFFFFF"/>
                <w:sz w:val="18"/>
              </w:rPr>
              <w:t xml:space="preserve">Notional amount </w:t>
            </w:r>
          </w:p>
        </w:tc>
        <w:tc>
          <w:tcPr>
            <w:tcW w:w="1176" w:type="dxa"/>
            <w:tcBorders>
              <w:top w:val="nil"/>
              <w:left w:val="nil"/>
              <w:bottom w:val="nil"/>
              <w:right w:val="nil"/>
              <w:tl2br w:val="nil"/>
              <w:tr2bl w:val="nil"/>
            </w:tcBorders>
            <w:shd w:val="solid" w:color="4C91D0" w:fill="FFFFFF"/>
            <w:tcMar>
              <w:left w:w="60" w:type="dxa"/>
              <w:right w:w="60" w:type="dxa"/>
            </w:tcMar>
            <w:vAlign w:val="center"/>
          </w:tcPr>
          <w:p w14:paraId="70EB74E7" w14:textId="77777777" w:rsidR="00807FFE" w:rsidRDefault="00023E71">
            <w:pPr>
              <w:pStyle w:val="DMETW36627BIPFAFVDBT"/>
              <w:jc w:val="right"/>
              <w:rPr>
                <w:rFonts w:ascii="Verdana" w:eastAsia="Verdana" w:hAnsi="Verdana" w:cs="Verdana"/>
                <w:noProof/>
                <w:color w:val="FFFFFF"/>
                <w:sz w:val="18"/>
              </w:rPr>
            </w:pPr>
            <w:r>
              <w:rPr>
                <w:rFonts w:ascii="Verdana" w:eastAsia="Verdana" w:hAnsi="Verdana" w:cs="Verdana"/>
                <w:noProof/>
                <w:color w:val="FFFFFF"/>
                <w:sz w:val="18"/>
              </w:rPr>
              <w:t>Fair Value Asset</w:t>
            </w:r>
          </w:p>
        </w:tc>
        <w:tc>
          <w:tcPr>
            <w:tcW w:w="1097" w:type="dxa"/>
            <w:tcBorders>
              <w:top w:val="nil"/>
              <w:left w:val="nil"/>
              <w:bottom w:val="nil"/>
              <w:right w:val="nil"/>
              <w:tl2br w:val="nil"/>
              <w:tr2bl w:val="nil"/>
            </w:tcBorders>
            <w:shd w:val="solid" w:color="4C91D0" w:fill="FFFFFF"/>
            <w:tcMar>
              <w:left w:w="60" w:type="dxa"/>
              <w:right w:w="60" w:type="dxa"/>
            </w:tcMar>
            <w:vAlign w:val="center"/>
          </w:tcPr>
          <w:p w14:paraId="13F0BD54" w14:textId="77777777" w:rsidR="00807FFE" w:rsidRDefault="00023E71">
            <w:pPr>
              <w:pStyle w:val="DMETW36627BIPFAFVDBT"/>
              <w:jc w:val="right"/>
              <w:rPr>
                <w:rFonts w:ascii="Verdana" w:eastAsia="Verdana" w:hAnsi="Verdana" w:cs="Verdana"/>
                <w:noProof/>
                <w:color w:val="FFFFFF"/>
                <w:sz w:val="18"/>
              </w:rPr>
            </w:pPr>
            <w:r>
              <w:rPr>
                <w:rFonts w:ascii="Verdana" w:eastAsia="Verdana" w:hAnsi="Verdana" w:cs="Verdana"/>
                <w:noProof/>
                <w:color w:val="FFFFFF"/>
                <w:sz w:val="18"/>
              </w:rPr>
              <w:t>Fair Value Liability</w:t>
            </w:r>
          </w:p>
        </w:tc>
        <w:tc>
          <w:tcPr>
            <w:tcW w:w="1171" w:type="dxa"/>
            <w:tcBorders>
              <w:top w:val="nil"/>
              <w:left w:val="nil"/>
              <w:bottom w:val="nil"/>
              <w:right w:val="nil"/>
              <w:tl2br w:val="nil"/>
              <w:tr2bl w:val="nil"/>
            </w:tcBorders>
            <w:shd w:val="solid" w:color="4C91D0" w:fill="FFFFFF"/>
            <w:tcMar>
              <w:left w:w="60" w:type="dxa"/>
              <w:right w:w="60" w:type="dxa"/>
            </w:tcMar>
            <w:vAlign w:val="center"/>
          </w:tcPr>
          <w:p w14:paraId="159BF94A" w14:textId="77777777" w:rsidR="00807FFE" w:rsidRDefault="00023E71">
            <w:pPr>
              <w:pStyle w:val="DMETW36627BIPFAFVDBT"/>
              <w:jc w:val="right"/>
              <w:rPr>
                <w:rFonts w:ascii="Verdana" w:eastAsia="Verdana" w:hAnsi="Verdana" w:cs="Verdana"/>
                <w:noProof/>
                <w:color w:val="FFFFFF"/>
                <w:sz w:val="18"/>
              </w:rPr>
            </w:pPr>
            <w:r>
              <w:rPr>
                <w:rFonts w:ascii="Verdana" w:eastAsia="Verdana" w:hAnsi="Verdana" w:cs="Verdana"/>
                <w:noProof/>
                <w:color w:val="FFFFFF"/>
                <w:sz w:val="18"/>
              </w:rPr>
              <w:t xml:space="preserve">Notional amount </w:t>
            </w:r>
          </w:p>
        </w:tc>
        <w:tc>
          <w:tcPr>
            <w:tcW w:w="850" w:type="dxa"/>
            <w:tcBorders>
              <w:top w:val="nil"/>
              <w:left w:val="nil"/>
              <w:bottom w:val="nil"/>
              <w:right w:val="nil"/>
              <w:tl2br w:val="nil"/>
              <w:tr2bl w:val="nil"/>
            </w:tcBorders>
            <w:shd w:val="solid" w:color="4C91D0" w:fill="FFFFFF"/>
            <w:tcMar>
              <w:left w:w="60" w:type="dxa"/>
              <w:right w:w="60" w:type="dxa"/>
            </w:tcMar>
            <w:vAlign w:val="center"/>
          </w:tcPr>
          <w:p w14:paraId="1BB74116" w14:textId="77777777" w:rsidR="00807FFE" w:rsidRDefault="00023E71">
            <w:pPr>
              <w:pStyle w:val="DMETW36627BIPFAFVDBT"/>
              <w:jc w:val="right"/>
              <w:rPr>
                <w:rFonts w:ascii="Verdana" w:eastAsia="Verdana" w:hAnsi="Verdana" w:cs="Verdana"/>
                <w:noProof/>
                <w:color w:val="FFFFFF"/>
                <w:sz w:val="18"/>
              </w:rPr>
            </w:pPr>
            <w:r>
              <w:rPr>
                <w:rFonts w:ascii="Verdana" w:eastAsia="Verdana" w:hAnsi="Verdana" w:cs="Verdana"/>
                <w:noProof/>
                <w:color w:val="FFFFFF"/>
                <w:sz w:val="18"/>
              </w:rPr>
              <w:t>Fair Value Asset</w:t>
            </w:r>
          </w:p>
        </w:tc>
        <w:tc>
          <w:tcPr>
            <w:tcW w:w="1193" w:type="dxa"/>
            <w:tcBorders>
              <w:top w:val="nil"/>
              <w:left w:val="nil"/>
              <w:bottom w:val="nil"/>
              <w:right w:val="nil"/>
              <w:tl2br w:val="nil"/>
              <w:tr2bl w:val="nil"/>
            </w:tcBorders>
            <w:shd w:val="solid" w:color="4C91D0" w:fill="FFFFFF"/>
            <w:tcMar>
              <w:left w:w="60" w:type="dxa"/>
              <w:right w:w="60" w:type="dxa"/>
            </w:tcMar>
            <w:vAlign w:val="center"/>
          </w:tcPr>
          <w:p w14:paraId="60489B1E" w14:textId="77777777" w:rsidR="00807FFE" w:rsidRDefault="00023E71">
            <w:pPr>
              <w:pStyle w:val="DMETW36627BIPFAFVDBT"/>
              <w:jc w:val="right"/>
              <w:rPr>
                <w:rFonts w:ascii="Verdana" w:eastAsia="Verdana" w:hAnsi="Verdana" w:cs="Verdana"/>
                <w:noProof/>
                <w:color w:val="FFFFFF"/>
                <w:sz w:val="18"/>
                <w:lang w:bidi="en-GB"/>
              </w:rPr>
            </w:pPr>
            <w:r>
              <w:rPr>
                <w:rFonts w:ascii="Verdana" w:eastAsia="Verdana" w:hAnsi="Verdana" w:cs="Verdana"/>
                <w:noProof/>
                <w:color w:val="FFFFFF"/>
                <w:sz w:val="18"/>
              </w:rPr>
              <w:t>Fair Value Liability</w:t>
            </w:r>
          </w:p>
        </w:tc>
      </w:tr>
      <w:tr w:rsidR="00807FFE" w14:paraId="142D9AB7"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5EF08D0F" w14:textId="77777777" w:rsidR="00807FFE" w:rsidRDefault="00023E71">
            <w:pPr>
              <w:pStyle w:val="DMETW36627BIPFAFVDBT"/>
              <w:rPr>
                <w:rFonts w:ascii="Verdana" w:eastAsia="Verdana" w:hAnsi="Verdana" w:cs="Verdana"/>
                <w:i/>
                <w:noProof/>
                <w:color w:val="000000"/>
                <w:sz w:val="18"/>
              </w:rPr>
            </w:pPr>
            <w:r>
              <w:rPr>
                <w:rFonts w:ascii="Verdana" w:eastAsia="Verdana" w:hAnsi="Verdana" w:cs="Verdana"/>
                <w:i/>
                <w:noProof/>
                <w:color w:val="000000"/>
                <w:sz w:val="18"/>
              </w:rPr>
              <w:t>Guarantee on equity portfolio</w:t>
            </w:r>
          </w:p>
        </w:tc>
        <w:tc>
          <w:tcPr>
            <w:tcW w:w="1376" w:type="dxa"/>
            <w:tcBorders>
              <w:top w:val="nil"/>
              <w:left w:val="nil"/>
              <w:bottom w:val="nil"/>
              <w:right w:val="nil"/>
              <w:tl2br w:val="nil"/>
              <w:tr2bl w:val="nil"/>
            </w:tcBorders>
            <w:tcMar>
              <w:left w:w="60" w:type="dxa"/>
              <w:right w:w="60" w:type="dxa"/>
            </w:tcMar>
            <w:vAlign w:val="bottom"/>
          </w:tcPr>
          <w:p w14:paraId="4D60664B"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6 951</w:t>
            </w:r>
          </w:p>
        </w:tc>
        <w:tc>
          <w:tcPr>
            <w:tcW w:w="1176" w:type="dxa"/>
            <w:tcBorders>
              <w:top w:val="nil"/>
              <w:left w:val="nil"/>
              <w:bottom w:val="nil"/>
              <w:right w:val="nil"/>
              <w:tl2br w:val="nil"/>
              <w:tr2bl w:val="nil"/>
            </w:tcBorders>
            <w:tcMar>
              <w:left w:w="60" w:type="dxa"/>
              <w:right w:w="60" w:type="dxa"/>
            </w:tcMar>
            <w:vAlign w:val="bottom"/>
          </w:tcPr>
          <w:p w14:paraId="06413007"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1 568</w:t>
            </w:r>
          </w:p>
        </w:tc>
        <w:tc>
          <w:tcPr>
            <w:tcW w:w="1097" w:type="dxa"/>
            <w:tcBorders>
              <w:top w:val="nil"/>
              <w:left w:val="nil"/>
              <w:bottom w:val="nil"/>
              <w:right w:val="nil"/>
              <w:tl2br w:val="nil"/>
              <w:tr2bl w:val="nil"/>
            </w:tcBorders>
            <w:tcMar>
              <w:left w:w="60" w:type="dxa"/>
              <w:right w:w="60" w:type="dxa"/>
            </w:tcMar>
            <w:vAlign w:val="bottom"/>
          </w:tcPr>
          <w:p w14:paraId="0DDC3BC9"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 xml:space="preserve"> (52)</w:t>
            </w:r>
          </w:p>
        </w:tc>
        <w:tc>
          <w:tcPr>
            <w:tcW w:w="1171" w:type="dxa"/>
            <w:tcBorders>
              <w:top w:val="nil"/>
              <w:left w:val="nil"/>
              <w:bottom w:val="nil"/>
              <w:right w:val="nil"/>
              <w:tl2br w:val="nil"/>
              <w:tr2bl w:val="nil"/>
            </w:tcBorders>
            <w:tcMar>
              <w:left w:w="60" w:type="dxa"/>
              <w:right w:w="60" w:type="dxa"/>
            </w:tcMar>
            <w:vAlign w:val="bottom"/>
          </w:tcPr>
          <w:p w14:paraId="54EE4D2F"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6 057</w:t>
            </w:r>
          </w:p>
        </w:tc>
        <w:tc>
          <w:tcPr>
            <w:tcW w:w="850" w:type="dxa"/>
            <w:tcBorders>
              <w:top w:val="nil"/>
              <w:left w:val="nil"/>
              <w:bottom w:val="nil"/>
              <w:right w:val="nil"/>
              <w:tl2br w:val="nil"/>
              <w:tr2bl w:val="nil"/>
            </w:tcBorders>
            <w:tcMar>
              <w:left w:w="60" w:type="dxa"/>
              <w:right w:w="60" w:type="dxa"/>
            </w:tcMar>
            <w:vAlign w:val="bottom"/>
          </w:tcPr>
          <w:p w14:paraId="5513E2A2"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1 110</w:t>
            </w:r>
          </w:p>
        </w:tc>
        <w:tc>
          <w:tcPr>
            <w:tcW w:w="1193" w:type="dxa"/>
            <w:tcBorders>
              <w:top w:val="nil"/>
              <w:left w:val="nil"/>
              <w:bottom w:val="nil"/>
              <w:right w:val="nil"/>
              <w:tl2br w:val="nil"/>
              <w:tr2bl w:val="nil"/>
            </w:tcBorders>
            <w:tcMar>
              <w:left w:w="60" w:type="dxa"/>
              <w:right w:w="60" w:type="dxa"/>
            </w:tcMar>
            <w:vAlign w:val="bottom"/>
          </w:tcPr>
          <w:p w14:paraId="76EA4387" w14:textId="77777777" w:rsidR="00807FFE" w:rsidRDefault="00023E71">
            <w:pPr>
              <w:pStyle w:val="DMETW36627BIPFAFVDB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(60)</w:t>
            </w:r>
          </w:p>
        </w:tc>
      </w:tr>
      <w:tr w:rsidR="00807FFE" w14:paraId="4C015533" w14:textId="77777777">
        <w:trPr>
          <w:trHeight w:val="255"/>
        </w:trPr>
        <w:tc>
          <w:tcPr>
            <w:tcW w:w="2895" w:type="dxa"/>
            <w:tcBorders>
              <w:top w:val="nil"/>
              <w:left w:val="nil"/>
              <w:bottom w:val="single" w:sz="4" w:space="0" w:color="016794"/>
              <w:right w:val="nil"/>
              <w:tl2br w:val="nil"/>
              <w:tr2bl w:val="nil"/>
            </w:tcBorders>
            <w:tcMar>
              <w:left w:w="60" w:type="dxa"/>
              <w:right w:w="60" w:type="dxa"/>
            </w:tcMar>
            <w:vAlign w:val="center"/>
          </w:tcPr>
          <w:p w14:paraId="34951DF2" w14:textId="77777777" w:rsidR="00807FFE" w:rsidRDefault="00023E71">
            <w:pPr>
              <w:pStyle w:val="DMETW36627BIPFAFVDBT"/>
              <w:rPr>
                <w:rFonts w:ascii="Verdana" w:eastAsia="Verdana" w:hAnsi="Verdana" w:cs="Verdana"/>
                <w:i/>
                <w:noProof/>
                <w:color w:val="000000"/>
                <w:sz w:val="18"/>
              </w:rPr>
            </w:pPr>
            <w:r>
              <w:rPr>
                <w:rFonts w:ascii="Verdana" w:eastAsia="Verdana" w:hAnsi="Verdana" w:cs="Verdana"/>
                <w:i/>
                <w:noProof/>
                <w:color w:val="000000"/>
                <w:sz w:val="18"/>
              </w:rPr>
              <w:t>FX derivatives</w:t>
            </w:r>
          </w:p>
        </w:tc>
        <w:tc>
          <w:tcPr>
            <w:tcW w:w="1376" w:type="dxa"/>
            <w:tcBorders>
              <w:top w:val="nil"/>
              <w:left w:val="nil"/>
              <w:bottom w:val="single" w:sz="4" w:space="0" w:color="016794"/>
              <w:right w:val="nil"/>
              <w:tl2br w:val="nil"/>
              <w:tr2bl w:val="nil"/>
            </w:tcBorders>
            <w:tcMar>
              <w:left w:w="60" w:type="dxa"/>
              <w:right w:w="60" w:type="dxa"/>
            </w:tcMar>
            <w:vAlign w:val="bottom"/>
          </w:tcPr>
          <w:p w14:paraId="57AAA0FC"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1 910</w:t>
            </w:r>
          </w:p>
        </w:tc>
        <w:tc>
          <w:tcPr>
            <w:tcW w:w="1176" w:type="dxa"/>
            <w:tcBorders>
              <w:top w:val="nil"/>
              <w:left w:val="nil"/>
              <w:bottom w:val="single" w:sz="4" w:space="0" w:color="016794"/>
              <w:right w:val="nil"/>
              <w:tl2br w:val="nil"/>
              <w:tr2bl w:val="nil"/>
            </w:tcBorders>
            <w:tcMar>
              <w:left w:w="60" w:type="dxa"/>
              <w:right w:w="60" w:type="dxa"/>
            </w:tcMar>
            <w:vAlign w:val="bottom"/>
          </w:tcPr>
          <w:p w14:paraId="47EEB5BE"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 xml:space="preserve"> 17</w:t>
            </w:r>
          </w:p>
        </w:tc>
        <w:tc>
          <w:tcPr>
            <w:tcW w:w="1097" w:type="dxa"/>
            <w:tcBorders>
              <w:top w:val="nil"/>
              <w:left w:val="nil"/>
              <w:bottom w:val="single" w:sz="4" w:space="0" w:color="016794"/>
              <w:right w:val="nil"/>
              <w:tl2br w:val="nil"/>
              <w:tr2bl w:val="nil"/>
            </w:tcBorders>
            <w:tcMar>
              <w:left w:w="60" w:type="dxa"/>
              <w:right w:w="60" w:type="dxa"/>
            </w:tcMar>
            <w:vAlign w:val="bottom"/>
          </w:tcPr>
          <w:p w14:paraId="2BBF1DD4"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171" w:type="dxa"/>
            <w:tcBorders>
              <w:top w:val="nil"/>
              <w:left w:val="nil"/>
              <w:bottom w:val="single" w:sz="4" w:space="0" w:color="016794"/>
              <w:right w:val="nil"/>
              <w:tl2br w:val="nil"/>
              <w:tr2bl w:val="nil"/>
            </w:tcBorders>
            <w:tcMar>
              <w:left w:w="60" w:type="dxa"/>
              <w:right w:w="60" w:type="dxa"/>
            </w:tcMar>
            <w:vAlign w:val="bottom"/>
          </w:tcPr>
          <w:p w14:paraId="5DE825C1"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2 417</w:t>
            </w:r>
          </w:p>
        </w:tc>
        <w:tc>
          <w:tcPr>
            <w:tcW w:w="850" w:type="dxa"/>
            <w:tcBorders>
              <w:top w:val="nil"/>
              <w:left w:val="nil"/>
              <w:bottom w:val="single" w:sz="4" w:space="0" w:color="016794"/>
              <w:right w:val="nil"/>
              <w:tl2br w:val="nil"/>
              <w:tr2bl w:val="nil"/>
            </w:tcBorders>
            <w:tcMar>
              <w:left w:w="60" w:type="dxa"/>
              <w:right w:w="60" w:type="dxa"/>
            </w:tcMar>
            <w:vAlign w:val="bottom"/>
          </w:tcPr>
          <w:p w14:paraId="2DFD51DA" w14:textId="77777777" w:rsidR="00807FFE" w:rsidRDefault="00023E71">
            <w:pPr>
              <w:pStyle w:val="DMETW36627BIPFAFVDBT"/>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93" w:type="dxa"/>
            <w:tcBorders>
              <w:top w:val="nil"/>
              <w:left w:val="nil"/>
              <w:bottom w:val="single" w:sz="4" w:space="0" w:color="016794"/>
              <w:right w:val="nil"/>
              <w:tl2br w:val="nil"/>
              <w:tr2bl w:val="nil"/>
            </w:tcBorders>
            <w:tcMar>
              <w:left w:w="60" w:type="dxa"/>
              <w:right w:w="60" w:type="dxa"/>
            </w:tcMar>
            <w:vAlign w:val="bottom"/>
          </w:tcPr>
          <w:p w14:paraId="6A39F1E2" w14:textId="77777777" w:rsidR="00807FFE" w:rsidRDefault="00023E71">
            <w:pPr>
              <w:pStyle w:val="DMETW36627BIPFAFVDB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(38)</w:t>
            </w:r>
          </w:p>
        </w:tc>
      </w:tr>
      <w:tr w:rsidR="00807FFE" w14:paraId="08D0AC04" w14:textId="77777777">
        <w:trPr>
          <w:trHeight w:val="255"/>
        </w:trPr>
        <w:tc>
          <w:tcPr>
            <w:tcW w:w="2895" w:type="dxa"/>
            <w:tcBorders>
              <w:top w:val="single" w:sz="4" w:space="0" w:color="016794"/>
              <w:left w:val="nil"/>
              <w:bottom w:val="single" w:sz="4" w:space="0" w:color="016794"/>
              <w:right w:val="nil"/>
              <w:tl2br w:val="nil"/>
              <w:tr2bl w:val="nil"/>
            </w:tcBorders>
            <w:tcMar>
              <w:left w:w="60" w:type="dxa"/>
              <w:right w:w="60" w:type="dxa"/>
            </w:tcMar>
            <w:vAlign w:val="center"/>
          </w:tcPr>
          <w:p w14:paraId="6A2E6728" w14:textId="77777777" w:rsidR="00807FFE" w:rsidRDefault="00023E71">
            <w:pPr>
              <w:pStyle w:val="DMETW36627BIPFAFVDBT"/>
              <w:rPr>
                <w:rFonts w:ascii="Verdana" w:eastAsia="Verdana" w:hAnsi="Verdana" w:cs="Verdana"/>
                <w:b/>
                <w:noProof/>
                <w:color w:val="000000"/>
                <w:sz w:val="18"/>
              </w:rPr>
            </w:pPr>
            <w:r>
              <w:rPr>
                <w:rFonts w:ascii="Verdana" w:eastAsia="Verdana" w:hAnsi="Verdana" w:cs="Verdana"/>
                <w:b/>
                <w:noProof/>
                <w:color w:val="000000"/>
                <w:sz w:val="18"/>
              </w:rPr>
              <w:t>Total</w:t>
            </w:r>
          </w:p>
        </w:tc>
        <w:tc>
          <w:tcPr>
            <w:tcW w:w="1376" w:type="dxa"/>
            <w:tcBorders>
              <w:top w:val="single" w:sz="4" w:space="0" w:color="016794"/>
              <w:left w:val="nil"/>
              <w:bottom w:val="single" w:sz="4" w:space="0" w:color="016794"/>
              <w:right w:val="nil"/>
              <w:tl2br w:val="nil"/>
              <w:tr2bl w:val="nil"/>
            </w:tcBorders>
            <w:tcMar>
              <w:left w:w="60" w:type="dxa"/>
              <w:right w:w="60" w:type="dxa"/>
            </w:tcMar>
            <w:vAlign w:val="bottom"/>
          </w:tcPr>
          <w:p w14:paraId="11385D60" w14:textId="77777777" w:rsidR="00807FFE" w:rsidRDefault="00023E71">
            <w:pPr>
              <w:pStyle w:val="DMETW36627BIPFAFVDBT"/>
              <w:jc w:val="right"/>
              <w:rPr>
                <w:rFonts w:ascii="Verdana" w:eastAsia="Verdana" w:hAnsi="Verdana" w:cs="Verdana"/>
                <w:b/>
                <w:noProof/>
                <w:color w:val="000000"/>
                <w:sz w:val="18"/>
              </w:rPr>
            </w:pPr>
            <w:r>
              <w:rPr>
                <w:rFonts w:ascii="Verdana" w:eastAsia="Verdana" w:hAnsi="Verdana" w:cs="Verdana"/>
                <w:b/>
                <w:noProof/>
                <w:color w:val="000000"/>
                <w:sz w:val="18"/>
              </w:rPr>
              <w:t>8 861</w:t>
            </w:r>
          </w:p>
        </w:tc>
        <w:tc>
          <w:tcPr>
            <w:tcW w:w="1176" w:type="dxa"/>
            <w:tcBorders>
              <w:top w:val="single" w:sz="4" w:space="0" w:color="016794"/>
              <w:left w:val="nil"/>
              <w:bottom w:val="single" w:sz="4" w:space="0" w:color="016794"/>
              <w:right w:val="nil"/>
              <w:tl2br w:val="nil"/>
              <w:tr2bl w:val="nil"/>
            </w:tcBorders>
            <w:tcMar>
              <w:left w:w="60" w:type="dxa"/>
              <w:right w:w="60" w:type="dxa"/>
            </w:tcMar>
            <w:vAlign w:val="bottom"/>
          </w:tcPr>
          <w:p w14:paraId="3A62D84F" w14:textId="77777777" w:rsidR="00807FFE" w:rsidRDefault="00023E71">
            <w:pPr>
              <w:pStyle w:val="DMETW36627BIPFAFVDBT"/>
              <w:jc w:val="right"/>
              <w:rPr>
                <w:rFonts w:ascii="Verdana" w:eastAsia="Verdana" w:hAnsi="Verdana" w:cs="Verdana"/>
                <w:b/>
                <w:noProof/>
                <w:color w:val="000000"/>
                <w:sz w:val="18"/>
              </w:rPr>
            </w:pPr>
            <w:r>
              <w:rPr>
                <w:rFonts w:ascii="Verdana" w:eastAsia="Verdana" w:hAnsi="Verdana" w:cs="Verdana"/>
                <w:b/>
                <w:noProof/>
                <w:color w:val="000000"/>
                <w:sz w:val="18"/>
              </w:rPr>
              <w:t>1 585</w:t>
            </w:r>
          </w:p>
        </w:tc>
        <w:tc>
          <w:tcPr>
            <w:tcW w:w="1097" w:type="dxa"/>
            <w:tcBorders>
              <w:top w:val="single" w:sz="4" w:space="0" w:color="016794"/>
              <w:left w:val="nil"/>
              <w:bottom w:val="single" w:sz="4" w:space="0" w:color="016794"/>
              <w:right w:val="nil"/>
              <w:tl2br w:val="nil"/>
              <w:tr2bl w:val="nil"/>
            </w:tcBorders>
            <w:tcMar>
              <w:left w:w="60" w:type="dxa"/>
              <w:right w:w="60" w:type="dxa"/>
            </w:tcMar>
            <w:vAlign w:val="bottom"/>
          </w:tcPr>
          <w:p w14:paraId="7D111D85" w14:textId="77777777" w:rsidR="00807FFE" w:rsidRDefault="00023E71">
            <w:pPr>
              <w:pStyle w:val="DMETW36627BIPFAFVDBT"/>
              <w:jc w:val="right"/>
              <w:rPr>
                <w:rFonts w:ascii="Verdana" w:eastAsia="Verdana" w:hAnsi="Verdana" w:cs="Verdana"/>
                <w:b/>
                <w:noProof/>
                <w:color w:val="000000"/>
                <w:sz w:val="18"/>
              </w:rPr>
            </w:pPr>
            <w:r>
              <w:rPr>
                <w:rFonts w:ascii="Verdana" w:eastAsia="Verdana" w:hAnsi="Verdana" w:cs="Verdana"/>
                <w:b/>
                <w:noProof/>
                <w:color w:val="000000"/>
                <w:sz w:val="18"/>
              </w:rPr>
              <w:t xml:space="preserve"> (62)</w:t>
            </w:r>
          </w:p>
        </w:tc>
        <w:tc>
          <w:tcPr>
            <w:tcW w:w="1171" w:type="dxa"/>
            <w:tcBorders>
              <w:top w:val="single" w:sz="4" w:space="0" w:color="016794"/>
              <w:left w:val="nil"/>
              <w:bottom w:val="single" w:sz="4" w:space="0" w:color="016794"/>
              <w:right w:val="nil"/>
              <w:tl2br w:val="nil"/>
              <w:tr2bl w:val="nil"/>
            </w:tcBorders>
            <w:tcMar>
              <w:left w:w="60" w:type="dxa"/>
              <w:right w:w="60" w:type="dxa"/>
            </w:tcMar>
            <w:vAlign w:val="bottom"/>
          </w:tcPr>
          <w:p w14:paraId="14A67AD2" w14:textId="77777777" w:rsidR="00807FFE" w:rsidRDefault="00023E71">
            <w:pPr>
              <w:pStyle w:val="DMETW36627BIPFAFVDBT"/>
              <w:jc w:val="right"/>
              <w:rPr>
                <w:rFonts w:ascii="Verdana" w:eastAsia="Verdana" w:hAnsi="Verdana" w:cs="Verdana"/>
                <w:b/>
                <w:noProof/>
                <w:color w:val="000000"/>
                <w:sz w:val="18"/>
              </w:rPr>
            </w:pPr>
            <w:r>
              <w:rPr>
                <w:rFonts w:ascii="Verdana" w:eastAsia="Verdana" w:hAnsi="Verdana" w:cs="Verdana"/>
                <w:b/>
                <w:noProof/>
                <w:color w:val="000000"/>
                <w:sz w:val="18"/>
              </w:rPr>
              <w:t>8 474</w:t>
            </w:r>
          </w:p>
        </w:tc>
        <w:tc>
          <w:tcPr>
            <w:tcW w:w="850" w:type="dxa"/>
            <w:tcBorders>
              <w:top w:val="single" w:sz="4" w:space="0" w:color="016794"/>
              <w:left w:val="nil"/>
              <w:bottom w:val="single" w:sz="4" w:space="0" w:color="016794"/>
              <w:right w:val="nil"/>
              <w:tl2br w:val="nil"/>
              <w:tr2bl w:val="nil"/>
            </w:tcBorders>
            <w:tcMar>
              <w:left w:w="60" w:type="dxa"/>
              <w:right w:w="60" w:type="dxa"/>
            </w:tcMar>
            <w:vAlign w:val="bottom"/>
          </w:tcPr>
          <w:p w14:paraId="51C2755F" w14:textId="77777777" w:rsidR="00807FFE" w:rsidRDefault="00023E71">
            <w:pPr>
              <w:pStyle w:val="DMETW36627BIPFAFVDBT"/>
              <w:jc w:val="right"/>
              <w:rPr>
                <w:rFonts w:ascii="Verdana" w:eastAsia="Verdana" w:hAnsi="Verdana" w:cs="Verdana"/>
                <w:b/>
                <w:noProof/>
                <w:color w:val="000000"/>
                <w:sz w:val="18"/>
              </w:rPr>
            </w:pPr>
            <w:r>
              <w:rPr>
                <w:rFonts w:ascii="Verdana" w:eastAsia="Verdana" w:hAnsi="Verdana" w:cs="Verdana"/>
                <w:b/>
                <w:noProof/>
                <w:color w:val="000000"/>
                <w:sz w:val="18"/>
              </w:rPr>
              <w:t>1 110</w:t>
            </w:r>
          </w:p>
        </w:tc>
        <w:tc>
          <w:tcPr>
            <w:tcW w:w="1193" w:type="dxa"/>
            <w:tcBorders>
              <w:top w:val="single" w:sz="4" w:space="0" w:color="016794"/>
              <w:left w:val="nil"/>
              <w:bottom w:val="single" w:sz="4" w:space="0" w:color="016794"/>
              <w:right w:val="nil"/>
              <w:tl2br w:val="nil"/>
              <w:tr2bl w:val="nil"/>
            </w:tcBorders>
            <w:tcMar>
              <w:left w:w="60" w:type="dxa"/>
              <w:right w:w="60" w:type="dxa"/>
            </w:tcMar>
            <w:vAlign w:val="bottom"/>
          </w:tcPr>
          <w:p w14:paraId="2C1DA85C" w14:textId="77777777" w:rsidR="00807FFE" w:rsidRDefault="00023E71">
            <w:pPr>
              <w:pStyle w:val="DMETW36627BIPFAFVDBT"/>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(98)</w:t>
            </w:r>
          </w:p>
        </w:tc>
      </w:tr>
      <w:tr w:rsidR="00807FFE" w14:paraId="27FF62BF" w14:textId="77777777">
        <w:trPr>
          <w:trHeight w:val="255"/>
        </w:trPr>
        <w:tc>
          <w:tcPr>
            <w:tcW w:w="2895" w:type="dxa"/>
            <w:tcBorders>
              <w:top w:val="single" w:sz="4" w:space="0" w:color="016794"/>
              <w:left w:val="nil"/>
              <w:bottom w:val="nil"/>
              <w:right w:val="nil"/>
              <w:tl2br w:val="nil"/>
              <w:tr2bl w:val="nil"/>
            </w:tcBorders>
            <w:tcMar>
              <w:left w:w="60" w:type="dxa"/>
              <w:right w:w="60" w:type="dxa"/>
            </w:tcMar>
            <w:vAlign w:val="center"/>
          </w:tcPr>
          <w:p w14:paraId="4863B9B8" w14:textId="77777777" w:rsidR="00807FFE" w:rsidRDefault="00023E71">
            <w:pPr>
              <w:pStyle w:val="DMETW36627BIPFAFVDBT"/>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376" w:type="dxa"/>
            <w:tcBorders>
              <w:top w:val="single" w:sz="4" w:space="0" w:color="016794"/>
              <w:left w:val="nil"/>
              <w:bottom w:val="nil"/>
              <w:right w:val="nil"/>
              <w:tl2br w:val="nil"/>
              <w:tr2bl w:val="nil"/>
            </w:tcBorders>
            <w:tcMar>
              <w:left w:w="60" w:type="dxa"/>
              <w:right w:w="60" w:type="dxa"/>
            </w:tcMar>
            <w:vAlign w:val="bottom"/>
          </w:tcPr>
          <w:p w14:paraId="34D89E63" w14:textId="77777777" w:rsidR="00807FFE" w:rsidRDefault="00807FFE">
            <w:pPr>
              <w:pStyle w:val="DMETW36627BIPFAFVDBT"/>
              <w:jc w:val="right"/>
              <w:rPr>
                <w:rFonts w:ascii="Verdana" w:eastAsia="Verdana" w:hAnsi="Verdana" w:cs="Verdana"/>
                <w:i/>
                <w:noProof/>
                <w:color w:val="016794"/>
                <w:sz w:val="18"/>
              </w:rPr>
            </w:pPr>
          </w:p>
        </w:tc>
        <w:tc>
          <w:tcPr>
            <w:tcW w:w="1176" w:type="dxa"/>
            <w:tcBorders>
              <w:top w:val="single" w:sz="4" w:space="0" w:color="016794"/>
              <w:left w:val="nil"/>
              <w:bottom w:val="nil"/>
              <w:right w:val="nil"/>
              <w:tl2br w:val="nil"/>
              <w:tr2bl w:val="nil"/>
            </w:tcBorders>
            <w:tcMar>
              <w:left w:w="60" w:type="dxa"/>
              <w:right w:w="60" w:type="dxa"/>
            </w:tcMar>
            <w:vAlign w:val="bottom"/>
          </w:tcPr>
          <w:p w14:paraId="75410DEF" w14:textId="77777777" w:rsidR="00807FFE" w:rsidRDefault="00023E71">
            <w:pPr>
              <w:pStyle w:val="DMETW36627BIPFAFVDBT"/>
              <w:jc w:val="right"/>
              <w:rPr>
                <w:rFonts w:ascii="Verdana" w:eastAsia="Verdana" w:hAnsi="Verdana" w:cs="Verdana"/>
                <w:i/>
                <w:noProof/>
                <w:color w:val="016794"/>
                <w:sz w:val="18"/>
              </w:rPr>
            </w:pPr>
            <w:r>
              <w:rPr>
                <w:rFonts w:ascii="Verdana" w:eastAsia="Verdana" w:hAnsi="Verdana" w:cs="Verdana"/>
                <w:i/>
                <w:noProof/>
                <w:color w:val="016794"/>
                <w:sz w:val="18"/>
              </w:rPr>
              <w:t>1 569</w:t>
            </w:r>
          </w:p>
        </w:tc>
        <w:tc>
          <w:tcPr>
            <w:tcW w:w="1097" w:type="dxa"/>
            <w:tcBorders>
              <w:top w:val="single" w:sz="4" w:space="0" w:color="016794"/>
              <w:left w:val="nil"/>
              <w:bottom w:val="nil"/>
              <w:right w:val="nil"/>
              <w:tl2br w:val="nil"/>
              <w:tr2bl w:val="nil"/>
            </w:tcBorders>
            <w:tcMar>
              <w:left w:w="60" w:type="dxa"/>
              <w:right w:w="60" w:type="dxa"/>
            </w:tcMar>
            <w:vAlign w:val="bottom"/>
          </w:tcPr>
          <w:p w14:paraId="5BC07F16" w14:textId="77777777" w:rsidR="00807FFE" w:rsidRDefault="00023E71">
            <w:pPr>
              <w:pStyle w:val="DMETW36627BIPFAFVDBT"/>
              <w:jc w:val="right"/>
              <w:rPr>
                <w:rFonts w:ascii="Verdana" w:eastAsia="Verdana" w:hAnsi="Verdana" w:cs="Verdana"/>
                <w:i/>
                <w:noProof/>
                <w:color w:val="016794"/>
                <w:sz w:val="18"/>
              </w:rPr>
            </w:pPr>
            <w:r>
              <w:rPr>
                <w:rFonts w:ascii="Verdana" w:eastAsia="Verdana" w:hAnsi="Verdana" w:cs="Verdana"/>
                <w:i/>
                <w:noProof/>
                <w:color w:val="016794"/>
                <w:sz w:val="18"/>
              </w:rPr>
              <w:t xml:space="preserve"> (9)</w:t>
            </w:r>
          </w:p>
        </w:tc>
        <w:tc>
          <w:tcPr>
            <w:tcW w:w="1171" w:type="dxa"/>
            <w:tcBorders>
              <w:top w:val="single" w:sz="4" w:space="0" w:color="016794"/>
              <w:left w:val="nil"/>
              <w:bottom w:val="nil"/>
              <w:right w:val="nil"/>
              <w:tl2br w:val="nil"/>
              <w:tr2bl w:val="nil"/>
            </w:tcBorders>
            <w:tcMar>
              <w:left w:w="60" w:type="dxa"/>
              <w:right w:w="60" w:type="dxa"/>
            </w:tcMar>
            <w:vAlign w:val="bottom"/>
          </w:tcPr>
          <w:p w14:paraId="02D8532D" w14:textId="77777777" w:rsidR="00807FFE" w:rsidRDefault="00807FFE">
            <w:pPr>
              <w:pStyle w:val="DMETW36627BIPFAFVDBT"/>
              <w:jc w:val="right"/>
              <w:rPr>
                <w:rFonts w:ascii="Verdana" w:eastAsia="Verdana" w:hAnsi="Verdana" w:cs="Verdana"/>
                <w:i/>
                <w:noProof/>
                <w:color w:val="016794"/>
                <w:sz w:val="18"/>
              </w:rPr>
            </w:pPr>
          </w:p>
        </w:tc>
        <w:tc>
          <w:tcPr>
            <w:tcW w:w="850" w:type="dxa"/>
            <w:tcBorders>
              <w:top w:val="single" w:sz="4" w:space="0" w:color="016794"/>
              <w:left w:val="nil"/>
              <w:bottom w:val="nil"/>
              <w:right w:val="nil"/>
              <w:tl2br w:val="nil"/>
              <w:tr2bl w:val="nil"/>
            </w:tcBorders>
            <w:tcMar>
              <w:left w:w="60" w:type="dxa"/>
              <w:right w:w="60" w:type="dxa"/>
            </w:tcMar>
            <w:vAlign w:val="bottom"/>
          </w:tcPr>
          <w:p w14:paraId="3FFB9334" w14:textId="77777777" w:rsidR="00807FFE" w:rsidRDefault="00023E71">
            <w:pPr>
              <w:pStyle w:val="DMETW36627BIPFAFVDBT"/>
              <w:jc w:val="right"/>
              <w:rPr>
                <w:rFonts w:ascii="Verdana" w:eastAsia="Verdana" w:hAnsi="Verdana" w:cs="Verdana"/>
                <w:i/>
                <w:noProof/>
                <w:color w:val="016794"/>
                <w:sz w:val="18"/>
              </w:rPr>
            </w:pPr>
            <w:r>
              <w:rPr>
                <w:rFonts w:ascii="Verdana" w:eastAsia="Verdana" w:hAnsi="Verdana" w:cs="Verdana"/>
                <w:i/>
                <w:noProof/>
                <w:color w:val="016794"/>
                <w:sz w:val="18"/>
              </w:rPr>
              <w:t>1 110</w:t>
            </w:r>
          </w:p>
        </w:tc>
        <w:tc>
          <w:tcPr>
            <w:tcW w:w="1193" w:type="dxa"/>
            <w:tcBorders>
              <w:top w:val="single" w:sz="4" w:space="0" w:color="016794"/>
              <w:left w:val="nil"/>
              <w:bottom w:val="nil"/>
              <w:right w:val="nil"/>
              <w:tl2br w:val="nil"/>
              <w:tr2bl w:val="nil"/>
            </w:tcBorders>
            <w:tcMar>
              <w:left w:w="60" w:type="dxa"/>
              <w:right w:w="60" w:type="dxa"/>
            </w:tcMar>
            <w:vAlign w:val="bottom"/>
          </w:tcPr>
          <w:p w14:paraId="314B1207" w14:textId="77777777" w:rsidR="00807FFE" w:rsidRDefault="00023E71">
            <w:pPr>
              <w:pStyle w:val="DMETW36627BIPFAFVDBT"/>
              <w:jc w:val="right"/>
              <w:rPr>
                <w:rFonts w:ascii="Verdana" w:eastAsia="Verdana" w:hAnsi="Verdana" w:cs="Verdana"/>
                <w:i/>
                <w:noProof/>
                <w:color w:val="016794"/>
                <w:sz w:val="18"/>
                <w:lang w:bidi="en-GB"/>
              </w:rPr>
            </w:pPr>
            <w:r>
              <w:rPr>
                <w:rFonts w:ascii="Verdana" w:eastAsia="Verdana" w:hAnsi="Verdana" w:cs="Verdana"/>
                <w:i/>
                <w:noProof/>
                <w:color w:val="016794"/>
                <w:sz w:val="18"/>
              </w:rPr>
              <w:t xml:space="preserve"> (13)</w:t>
            </w:r>
          </w:p>
        </w:tc>
      </w:tr>
      <w:tr w:rsidR="00807FFE" w14:paraId="3A89C2DA"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0B7C08D0" w14:textId="77777777" w:rsidR="00807FFE" w:rsidRDefault="00023E71">
            <w:pPr>
              <w:pStyle w:val="DMETW36627BIPFAFVDBT"/>
              <w:rPr>
                <w:rFonts w:ascii="Verdana" w:eastAsia="Verdana" w:hAnsi="Verdana" w:cs="Verdana"/>
                <w:i/>
                <w:noProof/>
                <w:color w:val="016794"/>
                <w:sz w:val="18"/>
              </w:rPr>
            </w:pPr>
            <w:r>
              <w:rPr>
                <w:rFonts w:ascii="Verdana" w:eastAsia="Verdana" w:hAnsi="Verdana" w:cs="Verdana"/>
                <w:i/>
                <w:noProof/>
                <w:color w:val="016794"/>
                <w:sz w:val="18"/>
              </w:rPr>
              <w:t>Current</w:t>
            </w:r>
          </w:p>
        </w:tc>
        <w:tc>
          <w:tcPr>
            <w:tcW w:w="1376" w:type="dxa"/>
            <w:tcBorders>
              <w:top w:val="nil"/>
              <w:left w:val="nil"/>
              <w:bottom w:val="nil"/>
              <w:right w:val="nil"/>
              <w:tl2br w:val="nil"/>
              <w:tr2bl w:val="nil"/>
            </w:tcBorders>
            <w:tcMar>
              <w:left w:w="60" w:type="dxa"/>
              <w:right w:w="60" w:type="dxa"/>
            </w:tcMar>
            <w:vAlign w:val="bottom"/>
          </w:tcPr>
          <w:p w14:paraId="306ADBB8" w14:textId="77777777" w:rsidR="00807FFE" w:rsidRDefault="00807FFE">
            <w:pPr>
              <w:pStyle w:val="DMETW36627BIPFAFVDBT"/>
              <w:jc w:val="right"/>
              <w:rPr>
                <w:rFonts w:ascii="Verdana" w:eastAsia="Verdana" w:hAnsi="Verdana" w:cs="Verdana"/>
                <w:i/>
                <w:noProof/>
                <w:color w:val="016794"/>
                <w:sz w:val="18"/>
              </w:rPr>
            </w:pPr>
          </w:p>
        </w:tc>
        <w:tc>
          <w:tcPr>
            <w:tcW w:w="1176" w:type="dxa"/>
            <w:tcBorders>
              <w:top w:val="nil"/>
              <w:left w:val="nil"/>
              <w:bottom w:val="nil"/>
              <w:right w:val="nil"/>
              <w:tl2br w:val="nil"/>
              <w:tr2bl w:val="nil"/>
            </w:tcBorders>
            <w:tcMar>
              <w:left w:w="60" w:type="dxa"/>
              <w:right w:w="60" w:type="dxa"/>
            </w:tcMar>
            <w:vAlign w:val="bottom"/>
          </w:tcPr>
          <w:p w14:paraId="0E7BF89D" w14:textId="77777777" w:rsidR="00807FFE" w:rsidRDefault="00023E71">
            <w:pPr>
              <w:pStyle w:val="DMETW36627BIPFAFVDBT"/>
              <w:jc w:val="right"/>
              <w:rPr>
                <w:rFonts w:ascii="Verdana" w:eastAsia="Verdana" w:hAnsi="Verdana" w:cs="Verdana"/>
                <w:i/>
                <w:noProof/>
                <w:color w:val="016794"/>
                <w:sz w:val="18"/>
              </w:rPr>
            </w:pPr>
            <w:r>
              <w:rPr>
                <w:rFonts w:ascii="Verdana" w:eastAsia="Verdana" w:hAnsi="Verdana" w:cs="Verdana"/>
                <w:i/>
                <w:noProof/>
                <w:color w:val="016794"/>
                <w:sz w:val="18"/>
              </w:rPr>
              <w:t xml:space="preserve"> 17</w:t>
            </w:r>
          </w:p>
        </w:tc>
        <w:tc>
          <w:tcPr>
            <w:tcW w:w="1097" w:type="dxa"/>
            <w:tcBorders>
              <w:top w:val="nil"/>
              <w:left w:val="nil"/>
              <w:bottom w:val="nil"/>
              <w:right w:val="nil"/>
              <w:tl2br w:val="nil"/>
              <w:tr2bl w:val="nil"/>
            </w:tcBorders>
            <w:tcMar>
              <w:left w:w="60" w:type="dxa"/>
              <w:right w:w="60" w:type="dxa"/>
            </w:tcMar>
            <w:vAlign w:val="bottom"/>
          </w:tcPr>
          <w:p w14:paraId="44FD5F8C" w14:textId="77777777" w:rsidR="00807FFE" w:rsidRDefault="00023E71">
            <w:pPr>
              <w:pStyle w:val="DMETW36627BIPFAFVDBT"/>
              <w:jc w:val="right"/>
              <w:rPr>
                <w:rFonts w:ascii="Verdana" w:eastAsia="Verdana" w:hAnsi="Verdana" w:cs="Verdana"/>
                <w:i/>
                <w:noProof/>
                <w:color w:val="016794"/>
                <w:sz w:val="18"/>
              </w:rPr>
            </w:pPr>
            <w:r>
              <w:rPr>
                <w:rFonts w:ascii="Verdana" w:eastAsia="Verdana" w:hAnsi="Verdana" w:cs="Verdana"/>
                <w:i/>
                <w:noProof/>
                <w:color w:val="016794"/>
                <w:sz w:val="18"/>
              </w:rPr>
              <w:t xml:space="preserve"> (53)</w:t>
            </w:r>
          </w:p>
        </w:tc>
        <w:tc>
          <w:tcPr>
            <w:tcW w:w="1171" w:type="dxa"/>
            <w:tcBorders>
              <w:top w:val="nil"/>
              <w:left w:val="nil"/>
              <w:bottom w:val="nil"/>
              <w:right w:val="nil"/>
              <w:tl2br w:val="nil"/>
              <w:tr2bl w:val="nil"/>
            </w:tcBorders>
            <w:tcMar>
              <w:left w:w="60" w:type="dxa"/>
              <w:right w:w="60" w:type="dxa"/>
            </w:tcMar>
            <w:vAlign w:val="bottom"/>
          </w:tcPr>
          <w:p w14:paraId="474766C2" w14:textId="77777777" w:rsidR="00807FFE" w:rsidRDefault="00807FFE">
            <w:pPr>
              <w:pStyle w:val="DMETW36627BIPFAFVDBT"/>
              <w:jc w:val="right"/>
              <w:rPr>
                <w:rFonts w:ascii="Verdana" w:eastAsia="Verdana" w:hAnsi="Verdana" w:cs="Verdana"/>
                <w:i/>
                <w:noProof/>
                <w:color w:val="016794"/>
                <w:sz w:val="18"/>
              </w:rPr>
            </w:pPr>
          </w:p>
        </w:tc>
        <w:tc>
          <w:tcPr>
            <w:tcW w:w="850" w:type="dxa"/>
            <w:tcBorders>
              <w:top w:val="nil"/>
              <w:left w:val="nil"/>
              <w:bottom w:val="nil"/>
              <w:right w:val="nil"/>
              <w:tl2br w:val="nil"/>
              <w:tr2bl w:val="nil"/>
            </w:tcBorders>
            <w:tcMar>
              <w:left w:w="60" w:type="dxa"/>
              <w:right w:w="60" w:type="dxa"/>
            </w:tcMar>
            <w:vAlign w:val="bottom"/>
          </w:tcPr>
          <w:p w14:paraId="193E05B5" w14:textId="77777777" w:rsidR="00807FFE" w:rsidRDefault="00023E71">
            <w:pPr>
              <w:pStyle w:val="DMETW36627BIPFAFVDBT"/>
              <w:jc w:val="right"/>
              <w:rPr>
                <w:rFonts w:ascii="Verdana" w:eastAsia="Verdana" w:hAnsi="Verdana" w:cs="Verdana"/>
                <w:i/>
                <w:noProof/>
                <w:color w:val="016794"/>
                <w:sz w:val="18"/>
              </w:rPr>
            </w:pPr>
            <w:r>
              <w:rPr>
                <w:rFonts w:ascii="Verdana" w:eastAsia="Verdana" w:hAnsi="Verdana" w:cs="Verdana"/>
                <w:i/>
                <w:noProof/>
                <w:color w:val="016794"/>
                <w:sz w:val="18"/>
              </w:rPr>
              <w:t>–</w:t>
            </w:r>
          </w:p>
        </w:tc>
        <w:tc>
          <w:tcPr>
            <w:tcW w:w="1193" w:type="dxa"/>
            <w:tcBorders>
              <w:top w:val="nil"/>
              <w:left w:val="nil"/>
              <w:bottom w:val="nil"/>
              <w:right w:val="nil"/>
              <w:tl2br w:val="nil"/>
              <w:tr2bl w:val="nil"/>
            </w:tcBorders>
            <w:tcMar>
              <w:left w:w="60" w:type="dxa"/>
              <w:right w:w="60" w:type="dxa"/>
            </w:tcMar>
            <w:vAlign w:val="bottom"/>
          </w:tcPr>
          <w:p w14:paraId="7B6DB370" w14:textId="77777777" w:rsidR="00807FFE" w:rsidRDefault="00023E71">
            <w:pPr>
              <w:pStyle w:val="DMETW36627BIPFAFVDBT"/>
              <w:jc w:val="right"/>
              <w:rPr>
                <w:rFonts w:ascii="Verdana" w:eastAsia="Verdana" w:hAnsi="Verdana" w:cs="Verdana"/>
                <w:i/>
                <w:noProof/>
                <w:color w:val="016794"/>
                <w:sz w:val="18"/>
              </w:rPr>
            </w:pPr>
            <w:r>
              <w:rPr>
                <w:rFonts w:ascii="Verdana" w:eastAsia="Verdana" w:hAnsi="Verdana" w:cs="Verdana"/>
                <w:i/>
                <w:noProof/>
                <w:color w:val="016794"/>
                <w:sz w:val="18"/>
              </w:rPr>
              <w:t xml:space="preserve"> (84)</w:t>
            </w:r>
          </w:p>
        </w:tc>
      </w:tr>
    </w:tbl>
    <w:p w14:paraId="25C701C9" w14:textId="77777777" w:rsidR="00AE3E25" w:rsidRPr="00AE3E25" w:rsidRDefault="00023E71" w:rsidP="00F52BB5">
      <w:pPr>
        <w:pStyle w:val="HEADER5"/>
        <w:spacing w:before="240"/>
        <w:rPr>
          <w:noProof/>
        </w:rPr>
      </w:pPr>
      <w:r w:rsidRPr="00AE3E25">
        <w:rPr>
          <w:noProof/>
        </w:rPr>
        <w:t>Guarantees on equity portfolios</w:t>
      </w:r>
    </w:p>
    <w:p w14:paraId="5E9C51A9" w14:textId="77777777" w:rsidR="00AE3E25" w:rsidRPr="00ED585C" w:rsidRDefault="00023E71" w:rsidP="00AE3E25">
      <w:pPr>
        <w:pStyle w:val="DGTextstand-alone"/>
      </w:pPr>
      <w:r w:rsidRPr="00AE3E25">
        <w:t xml:space="preserve">The heading ‘Guarantee on equity portfolio’ comprises guarantees given by the EU to financial institutions on portfolios of equity investments. These guarantees are classified as derivative financial instruments and accounted for as a financial asset or financial liability at </w:t>
      </w:r>
      <w:r>
        <w:t>FVSD</w:t>
      </w:r>
      <w:r w:rsidRPr="00AE3E25">
        <w:t xml:space="preserve"> since they </w:t>
      </w:r>
      <w:r w:rsidRPr="00ED585C">
        <w:t xml:space="preserve">do not meet the definition of a financial guarantee liability – see </w:t>
      </w:r>
      <w:r>
        <w:t>N</w:t>
      </w:r>
      <w:r w:rsidRPr="00ED585C">
        <w:t xml:space="preserve">ote </w:t>
      </w:r>
      <w:r w:rsidRPr="00ED585C">
        <w:rPr>
          <w:b/>
        </w:rPr>
        <w:t>1.5.12</w:t>
      </w:r>
      <w:r w:rsidRPr="00ED585C">
        <w:t>. The EU financial asset or liability is measured based on the value of the underlying investments.</w:t>
      </w:r>
    </w:p>
    <w:p w14:paraId="2DF5B1D6" w14:textId="77777777" w:rsidR="00F3460F" w:rsidRDefault="00023E71" w:rsidP="00F3460F">
      <w:pPr>
        <w:pStyle w:val="DGTextstand-alone"/>
      </w:pPr>
      <w:r w:rsidRPr="00ED585C">
        <w:t xml:space="preserve">The total amount represents mainly the EFSI guarantee given by the EU to the EIB Group with underlying equity investments disbursed by the EIB and EIF amounting to </w:t>
      </w:r>
      <w:r w:rsidRPr="00A642B4">
        <w:t xml:space="preserve">EUR </w:t>
      </w:r>
      <w:r w:rsidR="00D96949" w:rsidRPr="00A642B4">
        <w:t>3.</w:t>
      </w:r>
      <w:r>
        <w:t>6</w:t>
      </w:r>
      <w:r w:rsidR="00D96949" w:rsidRPr="00A642B4">
        <w:t xml:space="preserve"> billion </w:t>
      </w:r>
      <w:r w:rsidRPr="00A642B4">
        <w:t>(202</w:t>
      </w:r>
      <w:r w:rsidR="003514FB" w:rsidRPr="00A642B4">
        <w:t>4</w:t>
      </w:r>
      <w:r w:rsidRPr="00A642B4">
        <w:t>: EUR 3.</w:t>
      </w:r>
      <w:r w:rsidR="003514FB" w:rsidRPr="00A642B4">
        <w:t>8</w:t>
      </w:r>
      <w:r w:rsidRPr="00A642B4">
        <w:t xml:space="preserve"> billion).</w:t>
      </w:r>
      <w:r w:rsidRPr="00ED585C">
        <w:t xml:space="preserve"> The fair value of the EU guarantee on the EFSI equity portfolios totalled </w:t>
      </w:r>
      <w:r w:rsidRPr="00A642B4">
        <w:t>EUR</w:t>
      </w:r>
      <w:r w:rsidR="00B30826" w:rsidRPr="00A642B4">
        <w:t xml:space="preserve"> 1</w:t>
      </w:r>
      <w:r w:rsidR="00D96949" w:rsidRPr="00A642B4">
        <w:t>.</w:t>
      </w:r>
      <w:r>
        <w:t>4</w:t>
      </w:r>
      <w:r w:rsidR="00D96949" w:rsidRPr="00A642B4">
        <w:t xml:space="preserve"> billion</w:t>
      </w:r>
      <w:r w:rsidRPr="00A642B4">
        <w:t xml:space="preserve"> (202</w:t>
      </w:r>
      <w:r w:rsidR="009C6161" w:rsidRPr="00A642B4">
        <w:t>4</w:t>
      </w:r>
      <w:r w:rsidRPr="00A642B4">
        <w:t>: EUR 1.</w:t>
      </w:r>
      <w:r w:rsidR="009C6161" w:rsidRPr="00A642B4">
        <w:t>1</w:t>
      </w:r>
      <w:r w:rsidRPr="00A642B4">
        <w:t> billion).</w:t>
      </w:r>
    </w:p>
    <w:p w14:paraId="45B438BB" w14:textId="77777777" w:rsidR="004E41D2" w:rsidRPr="00AE3E25" w:rsidRDefault="00023E71" w:rsidP="004E41D2">
      <w:pPr>
        <w:pStyle w:val="HEADER5"/>
        <w:spacing w:before="240"/>
        <w:rPr>
          <w:noProof/>
        </w:rPr>
      </w:pPr>
      <w:r w:rsidRPr="00AE3E25">
        <w:rPr>
          <w:noProof/>
        </w:rPr>
        <w:t xml:space="preserve">Foreign </w:t>
      </w:r>
      <w:r w:rsidR="00D96949">
        <w:rPr>
          <w:noProof/>
        </w:rPr>
        <w:t>exchange</w:t>
      </w:r>
      <w:r w:rsidRPr="00AE3E25">
        <w:rPr>
          <w:noProof/>
        </w:rPr>
        <w:t xml:space="preserve"> </w:t>
      </w:r>
      <w:r>
        <w:rPr>
          <w:noProof/>
        </w:rPr>
        <w:t>derivatives</w:t>
      </w:r>
      <w:r w:rsidRPr="00AE3E25">
        <w:rPr>
          <w:noProof/>
        </w:rPr>
        <w:t xml:space="preserve"> </w:t>
      </w:r>
    </w:p>
    <w:p w14:paraId="2DF13D8B" w14:textId="77777777" w:rsidR="004E41D2" w:rsidRDefault="00023E71" w:rsidP="004E41D2">
      <w:pPr>
        <w:pStyle w:val="DGTextstand-alone"/>
      </w:pPr>
      <w:r w:rsidRPr="00AE3E25">
        <w:t xml:space="preserve">The EU enters into foreign currency forward contracts in order to hedge the foreign currency risk related to USD denominated debt securities </w:t>
      </w:r>
      <w:r>
        <w:t>held in the CPF</w:t>
      </w:r>
      <w:r w:rsidRPr="00AE3E25">
        <w:t>. Under the foreign currency forward contracts, the EU delivers the contractually agreed notional amount in foreign currency (</w:t>
      </w:r>
      <w:r>
        <w:t>‘</w:t>
      </w:r>
      <w:r w:rsidRPr="00AE3E25">
        <w:t>pay leg</w:t>
      </w:r>
      <w:r>
        <w:t>’</w:t>
      </w:r>
      <w:r w:rsidRPr="00AE3E25">
        <w:t>), as presented in the table above, and will receive the notional amount in EUR (</w:t>
      </w:r>
      <w:r>
        <w:t>‘</w:t>
      </w:r>
      <w:r w:rsidRPr="00AE3E25">
        <w:t>receive leg</w:t>
      </w:r>
      <w:r>
        <w:t>’</w:t>
      </w:r>
      <w:r w:rsidRPr="00AE3E25">
        <w:t xml:space="preserve">) at the maturity date. </w:t>
      </w:r>
    </w:p>
    <w:p w14:paraId="1AD2CEA5" w14:textId="41789094" w:rsidR="00BA44A0" w:rsidRDefault="00023E71" w:rsidP="00F3460F">
      <w:pPr>
        <w:pStyle w:val="DGTextstand-alone"/>
      </w:pPr>
      <w:r>
        <w:t xml:space="preserve">This heading also includes the effect of </w:t>
      </w:r>
      <w:r w:rsidR="00D96949">
        <w:t>foreign currency</w:t>
      </w:r>
      <w:r>
        <w:t xml:space="preserve"> risk </w:t>
      </w:r>
      <w:r w:rsidR="00D96949">
        <w:t xml:space="preserve">hedging activities under </w:t>
      </w:r>
      <w:r>
        <w:t xml:space="preserve">the </w:t>
      </w:r>
      <w:r w:rsidR="00D96949">
        <w:t>InvestEU guarantee and cases where the</w:t>
      </w:r>
      <w:r w:rsidR="009E1FB3" w:rsidRPr="006F4A2B">
        <w:t xml:space="preserve"> EU </w:t>
      </w:r>
      <w:r w:rsidR="009E1FB3">
        <w:t>guarantees foreign currency risk</w:t>
      </w:r>
      <w:r w:rsidR="00D96949">
        <w:t>.</w:t>
      </w:r>
    </w:p>
    <w:p w14:paraId="494F5428" w14:textId="77777777" w:rsidR="00BA44A0" w:rsidRDefault="00BA44A0">
      <w:pPr>
        <w:rPr>
          <w:rFonts w:ascii="Verdana" w:hAnsi="Verdana"/>
          <w:noProof/>
          <w:sz w:val="18"/>
          <w:szCs w:val="18"/>
          <w:lang w:eastAsia="en-US"/>
        </w:rPr>
      </w:pPr>
      <w:r>
        <w:rPr>
          <w:noProof/>
        </w:rPr>
        <w:br w:type="page"/>
      </w:r>
    </w:p>
    <w:p w14:paraId="244E5EEB" w14:textId="77777777" w:rsidR="00AE3E25" w:rsidRDefault="00023E71" w:rsidP="008636BC">
      <w:pPr>
        <w:pStyle w:val="HEADER5"/>
        <w:rPr>
          <w:noProof/>
        </w:rPr>
      </w:pPr>
      <w:r w:rsidRPr="00AE3E25">
        <w:rPr>
          <w:noProof/>
        </w:rPr>
        <w:t>Fair value hierarchy of derivative financial assets and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5"/>
        <w:gridCol w:w="1431"/>
        <w:gridCol w:w="1431"/>
        <w:gridCol w:w="1431"/>
        <w:gridCol w:w="1460"/>
      </w:tblGrid>
      <w:tr w:rsidR="00807FFE" w14:paraId="0B9AC633" w14:textId="77777777">
        <w:trPr>
          <w:trHeight w:val="255"/>
        </w:trPr>
        <w:tc>
          <w:tcPr>
            <w:tcW w:w="4005" w:type="dxa"/>
            <w:tcBorders>
              <w:top w:val="nil"/>
              <w:left w:val="nil"/>
              <w:bottom w:val="nil"/>
              <w:right w:val="nil"/>
              <w:tl2br w:val="nil"/>
              <w:tr2bl w:val="nil"/>
            </w:tcBorders>
            <w:tcMar>
              <w:left w:w="60" w:type="dxa"/>
              <w:right w:w="60" w:type="dxa"/>
            </w:tcMar>
            <w:vAlign w:val="bottom"/>
          </w:tcPr>
          <w:p w14:paraId="6D9C2214" w14:textId="77777777" w:rsidR="00807FFE" w:rsidRDefault="00807FFE">
            <w:pPr>
              <w:pStyle w:val="DMETW36627BIPFVHDFAL"/>
              <w:rPr>
                <w:rFonts w:ascii="Verdana" w:eastAsia="Verdana" w:hAnsi="Verdana" w:cs="Verdana"/>
                <w:noProof/>
                <w:color w:val="000000"/>
                <w:sz w:val="18"/>
                <w:lang w:bidi="en-GB"/>
              </w:rPr>
            </w:pPr>
            <w:bookmarkStart w:id="115" w:name="DOC_TBL00018_1_1"/>
            <w:bookmarkEnd w:id="115"/>
          </w:p>
        </w:tc>
        <w:tc>
          <w:tcPr>
            <w:tcW w:w="1431" w:type="dxa"/>
            <w:tcBorders>
              <w:top w:val="nil"/>
              <w:left w:val="nil"/>
              <w:bottom w:val="nil"/>
              <w:right w:val="nil"/>
              <w:tl2br w:val="nil"/>
              <w:tr2bl w:val="nil"/>
            </w:tcBorders>
            <w:tcMar>
              <w:left w:w="60" w:type="dxa"/>
              <w:right w:w="60" w:type="dxa"/>
            </w:tcMar>
            <w:vAlign w:val="bottom"/>
          </w:tcPr>
          <w:p w14:paraId="19D448C3" w14:textId="77777777" w:rsidR="00807FFE" w:rsidRDefault="00807FFE">
            <w:pPr>
              <w:pStyle w:val="DMETW36627BIPFVHDFAL"/>
              <w:rPr>
                <w:rFonts w:ascii="Verdana" w:eastAsia="Verdana" w:hAnsi="Verdana" w:cs="Verdana"/>
                <w:noProof/>
                <w:color w:val="000000"/>
                <w:sz w:val="18"/>
              </w:rPr>
            </w:pPr>
          </w:p>
        </w:tc>
        <w:tc>
          <w:tcPr>
            <w:tcW w:w="1431" w:type="dxa"/>
            <w:tcBorders>
              <w:top w:val="nil"/>
              <w:left w:val="nil"/>
              <w:bottom w:val="nil"/>
              <w:right w:val="nil"/>
              <w:tl2br w:val="nil"/>
              <w:tr2bl w:val="nil"/>
            </w:tcBorders>
            <w:tcMar>
              <w:left w:w="60" w:type="dxa"/>
              <w:right w:w="60" w:type="dxa"/>
            </w:tcMar>
            <w:vAlign w:val="bottom"/>
          </w:tcPr>
          <w:p w14:paraId="7FF81F1A" w14:textId="77777777" w:rsidR="00807FFE" w:rsidRDefault="00807FFE">
            <w:pPr>
              <w:pStyle w:val="DMETW36627BIPFVHDFAL"/>
              <w:rPr>
                <w:rFonts w:ascii="Verdana" w:eastAsia="Verdana" w:hAnsi="Verdana" w:cs="Verdana"/>
                <w:noProof/>
                <w:color w:val="000000"/>
                <w:sz w:val="18"/>
              </w:rPr>
            </w:pPr>
          </w:p>
        </w:tc>
        <w:tc>
          <w:tcPr>
            <w:tcW w:w="1431" w:type="dxa"/>
            <w:tcBorders>
              <w:top w:val="nil"/>
              <w:left w:val="nil"/>
              <w:bottom w:val="nil"/>
              <w:right w:val="nil"/>
              <w:tl2br w:val="nil"/>
              <w:tr2bl w:val="nil"/>
            </w:tcBorders>
            <w:tcMar>
              <w:left w:w="60" w:type="dxa"/>
              <w:right w:w="60" w:type="dxa"/>
            </w:tcMar>
            <w:vAlign w:val="bottom"/>
          </w:tcPr>
          <w:p w14:paraId="6CCE2679" w14:textId="77777777" w:rsidR="00807FFE" w:rsidRDefault="00807FFE">
            <w:pPr>
              <w:pStyle w:val="DMETW36627BIPFVHDFAL"/>
              <w:rPr>
                <w:rFonts w:ascii="Verdana" w:eastAsia="Verdana" w:hAnsi="Verdana" w:cs="Verdana"/>
                <w:noProof/>
                <w:color w:val="000000"/>
                <w:sz w:val="18"/>
              </w:rPr>
            </w:pPr>
          </w:p>
        </w:tc>
        <w:tc>
          <w:tcPr>
            <w:tcW w:w="1460" w:type="dxa"/>
            <w:tcBorders>
              <w:top w:val="nil"/>
              <w:left w:val="nil"/>
              <w:bottom w:val="nil"/>
              <w:right w:val="nil"/>
              <w:tl2br w:val="nil"/>
              <w:tr2bl w:val="nil"/>
            </w:tcBorders>
            <w:tcMar>
              <w:left w:w="60" w:type="dxa"/>
              <w:right w:w="60" w:type="dxa"/>
            </w:tcMar>
            <w:vAlign w:val="bottom"/>
          </w:tcPr>
          <w:p w14:paraId="3BA6DDE1" w14:textId="77777777" w:rsidR="00807FFE" w:rsidRDefault="00023E71">
            <w:pPr>
              <w:pStyle w:val="DMETW36627BIPFVHDFAL"/>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586276AF" w14:textId="77777777">
        <w:trPr>
          <w:trHeight w:val="255"/>
        </w:trPr>
        <w:tc>
          <w:tcPr>
            <w:tcW w:w="4005" w:type="dxa"/>
            <w:tcBorders>
              <w:top w:val="nil"/>
              <w:left w:val="nil"/>
              <w:bottom w:val="nil"/>
              <w:right w:val="nil"/>
              <w:tl2br w:val="nil"/>
              <w:tr2bl w:val="nil"/>
            </w:tcBorders>
            <w:shd w:val="solid" w:color="016794" w:fill="FFFFFF"/>
            <w:tcMar>
              <w:left w:w="60" w:type="dxa"/>
              <w:right w:w="60" w:type="dxa"/>
            </w:tcMar>
            <w:vAlign w:val="center"/>
          </w:tcPr>
          <w:p w14:paraId="4BB2549D" w14:textId="77777777" w:rsidR="00807FFE" w:rsidRDefault="00023E71">
            <w:pPr>
              <w:pStyle w:val="DMETW36627BIPFVHDFAL"/>
              <w:rPr>
                <w:rFonts w:ascii="Verdana" w:eastAsia="Verdana" w:hAnsi="Verdana" w:cs="Verdana"/>
                <w:noProof/>
                <w:color w:val="FFFFFF"/>
                <w:sz w:val="18"/>
              </w:rPr>
            </w:pPr>
            <w:r>
              <w:rPr>
                <w:rFonts w:ascii="Verdana" w:eastAsia="Verdana" w:hAnsi="Verdana" w:cs="Verdana"/>
                <w:noProof/>
                <w:color w:val="FFFFFF"/>
                <w:sz w:val="18"/>
              </w:rPr>
              <w:t>Type of derivative</w:t>
            </w:r>
          </w:p>
        </w:tc>
        <w:tc>
          <w:tcPr>
            <w:tcW w:w="1431" w:type="dxa"/>
            <w:tcBorders>
              <w:top w:val="nil"/>
              <w:left w:val="nil"/>
              <w:bottom w:val="nil"/>
              <w:right w:val="nil"/>
              <w:tl2br w:val="nil"/>
              <w:tr2bl w:val="nil"/>
            </w:tcBorders>
            <w:shd w:val="solid" w:color="016794" w:fill="FFFFFF"/>
            <w:tcMar>
              <w:left w:w="60" w:type="dxa"/>
              <w:right w:w="60" w:type="dxa"/>
            </w:tcMar>
            <w:vAlign w:val="center"/>
          </w:tcPr>
          <w:p w14:paraId="1364ECD2" w14:textId="77777777" w:rsidR="00807FFE" w:rsidRDefault="00023E71">
            <w:pPr>
              <w:pStyle w:val="DMETW36627BIPFVHDFAL"/>
              <w:jc w:val="center"/>
              <w:rPr>
                <w:rFonts w:ascii="Verdana" w:eastAsia="Verdana" w:hAnsi="Verdana" w:cs="Verdana"/>
                <w:noProof/>
                <w:color w:val="FFFFFF"/>
                <w:sz w:val="18"/>
              </w:rPr>
            </w:pPr>
            <w:r>
              <w:rPr>
                <w:rFonts w:ascii="Verdana" w:eastAsia="Verdana" w:hAnsi="Verdana" w:cs="Verdana"/>
                <w:noProof/>
                <w:color w:val="FFFFFF"/>
                <w:sz w:val="18"/>
              </w:rPr>
              <w:t>31.12.2025</w:t>
            </w:r>
          </w:p>
        </w:tc>
        <w:tc>
          <w:tcPr>
            <w:tcW w:w="1431" w:type="dxa"/>
            <w:tcBorders>
              <w:top w:val="nil"/>
              <w:left w:val="nil"/>
              <w:bottom w:val="nil"/>
              <w:right w:val="nil"/>
              <w:tl2br w:val="nil"/>
              <w:tr2bl w:val="nil"/>
            </w:tcBorders>
            <w:shd w:val="solid" w:color="016794" w:fill="FFFFFF"/>
            <w:tcMar>
              <w:left w:w="60" w:type="dxa"/>
              <w:right w:w="60" w:type="dxa"/>
            </w:tcMar>
            <w:vAlign w:val="center"/>
          </w:tcPr>
          <w:p w14:paraId="21DDE957" w14:textId="77777777" w:rsidR="00807FFE" w:rsidRDefault="00807FFE">
            <w:pPr>
              <w:pStyle w:val="DMETW36627BIPFVHDFAL"/>
              <w:jc w:val="center"/>
              <w:rPr>
                <w:rFonts w:ascii="Verdana" w:eastAsia="Verdana" w:hAnsi="Verdana" w:cs="Verdana"/>
                <w:noProof/>
                <w:color w:val="FFFFFF"/>
                <w:sz w:val="18"/>
              </w:rPr>
            </w:pPr>
          </w:p>
        </w:tc>
        <w:tc>
          <w:tcPr>
            <w:tcW w:w="1431" w:type="dxa"/>
            <w:tcBorders>
              <w:top w:val="nil"/>
              <w:left w:val="nil"/>
              <w:bottom w:val="nil"/>
              <w:right w:val="nil"/>
              <w:tl2br w:val="nil"/>
              <w:tr2bl w:val="nil"/>
            </w:tcBorders>
            <w:shd w:val="solid" w:color="016794" w:fill="FFFFFF"/>
            <w:tcMar>
              <w:left w:w="60" w:type="dxa"/>
              <w:right w:w="60" w:type="dxa"/>
            </w:tcMar>
            <w:vAlign w:val="center"/>
          </w:tcPr>
          <w:p w14:paraId="594D7928" w14:textId="77777777" w:rsidR="00807FFE" w:rsidRDefault="00023E71">
            <w:pPr>
              <w:pStyle w:val="DMETW36627BIPFVHDFAL"/>
              <w:jc w:val="center"/>
              <w:rPr>
                <w:rFonts w:ascii="Verdana" w:eastAsia="Verdana" w:hAnsi="Verdana" w:cs="Verdana"/>
                <w:noProof/>
                <w:color w:val="FFFFFF"/>
                <w:sz w:val="18"/>
              </w:rPr>
            </w:pPr>
            <w:r>
              <w:rPr>
                <w:rFonts w:ascii="Verdana" w:eastAsia="Verdana" w:hAnsi="Verdana" w:cs="Verdana"/>
                <w:noProof/>
                <w:color w:val="FFFFFF"/>
                <w:sz w:val="18"/>
              </w:rPr>
              <w:t>31.12.2024</w:t>
            </w:r>
          </w:p>
        </w:tc>
        <w:tc>
          <w:tcPr>
            <w:tcW w:w="1460" w:type="dxa"/>
            <w:tcBorders>
              <w:top w:val="nil"/>
              <w:left w:val="nil"/>
              <w:bottom w:val="nil"/>
              <w:right w:val="nil"/>
              <w:tl2br w:val="nil"/>
              <w:tr2bl w:val="nil"/>
            </w:tcBorders>
            <w:shd w:val="solid" w:color="016794" w:fill="FFFFFF"/>
            <w:tcMar>
              <w:left w:w="60" w:type="dxa"/>
              <w:right w:w="60" w:type="dxa"/>
            </w:tcMar>
            <w:vAlign w:val="center"/>
          </w:tcPr>
          <w:p w14:paraId="0C2DE979" w14:textId="77777777" w:rsidR="00807FFE" w:rsidRDefault="00807FFE">
            <w:pPr>
              <w:pStyle w:val="DMETW36627BIPFVHDFAL"/>
              <w:jc w:val="center"/>
              <w:rPr>
                <w:rFonts w:ascii="Verdana" w:eastAsia="Verdana" w:hAnsi="Verdana" w:cs="Verdana"/>
                <w:noProof/>
                <w:color w:val="FFFFFF"/>
                <w:sz w:val="18"/>
                <w:lang w:bidi="en-GB"/>
              </w:rPr>
            </w:pPr>
          </w:p>
        </w:tc>
      </w:tr>
      <w:tr w:rsidR="00807FFE" w14:paraId="568B853B" w14:textId="77777777">
        <w:trPr>
          <w:trHeight w:val="255"/>
        </w:trPr>
        <w:tc>
          <w:tcPr>
            <w:tcW w:w="4005" w:type="dxa"/>
            <w:tcBorders>
              <w:top w:val="nil"/>
              <w:left w:val="nil"/>
              <w:bottom w:val="nil"/>
              <w:right w:val="nil"/>
              <w:tl2br w:val="nil"/>
              <w:tr2bl w:val="nil"/>
            </w:tcBorders>
            <w:shd w:val="solid" w:color="016794" w:fill="FFFFFF"/>
            <w:tcMar>
              <w:left w:w="60" w:type="dxa"/>
              <w:right w:w="60" w:type="dxa"/>
            </w:tcMar>
            <w:vAlign w:val="center"/>
          </w:tcPr>
          <w:p w14:paraId="54700C76" w14:textId="77777777" w:rsidR="00807FFE" w:rsidRDefault="00807FFE">
            <w:pPr>
              <w:pStyle w:val="DMETW36627BIPFVHDFAL"/>
              <w:rPr>
                <w:rFonts w:ascii="Verdana" w:eastAsia="Verdana" w:hAnsi="Verdana" w:cs="Verdana"/>
                <w:noProof/>
                <w:color w:val="FFFFFF"/>
                <w:sz w:val="18"/>
              </w:rPr>
            </w:pPr>
          </w:p>
        </w:tc>
        <w:tc>
          <w:tcPr>
            <w:tcW w:w="1431" w:type="dxa"/>
            <w:tcBorders>
              <w:top w:val="nil"/>
              <w:left w:val="nil"/>
              <w:bottom w:val="nil"/>
              <w:right w:val="nil"/>
              <w:tl2br w:val="nil"/>
              <w:tr2bl w:val="nil"/>
            </w:tcBorders>
            <w:shd w:val="solid" w:color="4C91D0" w:fill="FFFFFF"/>
            <w:tcMar>
              <w:left w:w="60" w:type="dxa"/>
              <w:right w:w="60" w:type="dxa"/>
            </w:tcMar>
            <w:vAlign w:val="center"/>
          </w:tcPr>
          <w:p w14:paraId="699AF27E" w14:textId="77777777" w:rsidR="00807FFE" w:rsidRDefault="00023E71">
            <w:pPr>
              <w:pStyle w:val="DMETW36627BIPFVHDFAL"/>
              <w:jc w:val="right"/>
              <w:rPr>
                <w:rFonts w:ascii="Verdana" w:eastAsia="Verdana" w:hAnsi="Verdana" w:cs="Verdana"/>
                <w:noProof/>
                <w:color w:val="FFFFFF"/>
                <w:sz w:val="18"/>
              </w:rPr>
            </w:pPr>
            <w:r>
              <w:rPr>
                <w:rFonts w:ascii="Verdana" w:eastAsia="Verdana" w:hAnsi="Verdana" w:cs="Verdana"/>
                <w:noProof/>
                <w:color w:val="FFFFFF"/>
                <w:sz w:val="18"/>
              </w:rPr>
              <w:t xml:space="preserve">Fair Value  Asset </w:t>
            </w:r>
          </w:p>
        </w:tc>
        <w:tc>
          <w:tcPr>
            <w:tcW w:w="1431" w:type="dxa"/>
            <w:tcBorders>
              <w:top w:val="nil"/>
              <w:left w:val="nil"/>
              <w:bottom w:val="nil"/>
              <w:right w:val="nil"/>
              <w:tl2br w:val="nil"/>
              <w:tr2bl w:val="nil"/>
            </w:tcBorders>
            <w:shd w:val="solid" w:color="4C91D0" w:fill="FFFFFF"/>
            <w:tcMar>
              <w:left w:w="60" w:type="dxa"/>
              <w:right w:w="60" w:type="dxa"/>
            </w:tcMar>
            <w:vAlign w:val="center"/>
          </w:tcPr>
          <w:p w14:paraId="7855ADA0" w14:textId="77777777" w:rsidR="00807FFE" w:rsidRDefault="00023E71">
            <w:pPr>
              <w:pStyle w:val="DMETW36627BIPFVHDFAL"/>
              <w:jc w:val="right"/>
              <w:rPr>
                <w:rFonts w:ascii="Verdana" w:eastAsia="Verdana" w:hAnsi="Verdana" w:cs="Verdana"/>
                <w:noProof/>
                <w:color w:val="FFFFFF"/>
                <w:sz w:val="18"/>
              </w:rPr>
            </w:pPr>
            <w:r>
              <w:rPr>
                <w:rFonts w:ascii="Verdana" w:eastAsia="Verdana" w:hAnsi="Verdana" w:cs="Verdana"/>
                <w:noProof/>
                <w:color w:val="FFFFFF"/>
                <w:sz w:val="18"/>
              </w:rPr>
              <w:t xml:space="preserve">Fair Value Liability </w:t>
            </w:r>
          </w:p>
        </w:tc>
        <w:tc>
          <w:tcPr>
            <w:tcW w:w="1431" w:type="dxa"/>
            <w:tcBorders>
              <w:top w:val="nil"/>
              <w:left w:val="nil"/>
              <w:bottom w:val="nil"/>
              <w:right w:val="nil"/>
              <w:tl2br w:val="nil"/>
              <w:tr2bl w:val="nil"/>
            </w:tcBorders>
            <w:shd w:val="solid" w:color="4C91D0" w:fill="FFFFFF"/>
            <w:tcMar>
              <w:left w:w="60" w:type="dxa"/>
              <w:right w:w="60" w:type="dxa"/>
            </w:tcMar>
            <w:vAlign w:val="center"/>
          </w:tcPr>
          <w:p w14:paraId="09F2DBDF" w14:textId="77777777" w:rsidR="00807FFE" w:rsidRDefault="00023E71">
            <w:pPr>
              <w:pStyle w:val="DMETW36627BIPFVHDFAL"/>
              <w:jc w:val="right"/>
              <w:rPr>
                <w:rFonts w:ascii="Verdana" w:eastAsia="Verdana" w:hAnsi="Verdana" w:cs="Verdana"/>
                <w:noProof/>
                <w:color w:val="FFFFFF"/>
                <w:sz w:val="18"/>
              </w:rPr>
            </w:pPr>
            <w:r>
              <w:rPr>
                <w:rFonts w:ascii="Verdana" w:eastAsia="Verdana" w:hAnsi="Verdana" w:cs="Verdana"/>
                <w:noProof/>
                <w:color w:val="FFFFFF"/>
                <w:sz w:val="18"/>
              </w:rPr>
              <w:t xml:space="preserve">Fair Value Asset </w:t>
            </w:r>
          </w:p>
        </w:tc>
        <w:tc>
          <w:tcPr>
            <w:tcW w:w="1460" w:type="dxa"/>
            <w:tcBorders>
              <w:top w:val="nil"/>
              <w:left w:val="nil"/>
              <w:bottom w:val="nil"/>
              <w:right w:val="nil"/>
              <w:tl2br w:val="nil"/>
              <w:tr2bl w:val="nil"/>
            </w:tcBorders>
            <w:shd w:val="solid" w:color="4C91D0" w:fill="FFFFFF"/>
            <w:tcMar>
              <w:left w:w="60" w:type="dxa"/>
              <w:right w:w="60" w:type="dxa"/>
            </w:tcMar>
            <w:vAlign w:val="center"/>
          </w:tcPr>
          <w:p w14:paraId="44E9C085" w14:textId="77777777" w:rsidR="00807FFE" w:rsidRDefault="00023E71">
            <w:pPr>
              <w:pStyle w:val="DMETW36627BIPFVHDFAL"/>
              <w:jc w:val="right"/>
              <w:rPr>
                <w:rFonts w:ascii="Verdana" w:eastAsia="Verdana" w:hAnsi="Verdana" w:cs="Verdana"/>
                <w:noProof/>
                <w:color w:val="FFFFFF"/>
                <w:sz w:val="18"/>
                <w:lang w:bidi="en-GB"/>
              </w:rPr>
            </w:pPr>
            <w:r>
              <w:rPr>
                <w:rFonts w:ascii="Verdana" w:eastAsia="Verdana" w:hAnsi="Verdana" w:cs="Verdana"/>
                <w:noProof/>
                <w:color w:val="FFFFFF"/>
                <w:sz w:val="18"/>
              </w:rPr>
              <w:t xml:space="preserve">Fair Value Liability </w:t>
            </w:r>
          </w:p>
        </w:tc>
      </w:tr>
      <w:tr w:rsidR="00807FFE" w14:paraId="5AB28E20" w14:textId="77777777">
        <w:trPr>
          <w:trHeight w:val="255"/>
        </w:trPr>
        <w:tc>
          <w:tcPr>
            <w:tcW w:w="4005" w:type="dxa"/>
            <w:tcBorders>
              <w:top w:val="nil"/>
              <w:left w:val="nil"/>
              <w:bottom w:val="nil"/>
              <w:right w:val="nil"/>
              <w:tl2br w:val="nil"/>
              <w:tr2bl w:val="nil"/>
            </w:tcBorders>
            <w:tcMar>
              <w:left w:w="60" w:type="dxa"/>
              <w:right w:w="60" w:type="dxa"/>
            </w:tcMar>
            <w:vAlign w:val="center"/>
          </w:tcPr>
          <w:p w14:paraId="41831D3F" w14:textId="77777777" w:rsidR="00807FFE" w:rsidRDefault="00023E71">
            <w:pPr>
              <w:pStyle w:val="DMETW36627BIPFVHDFAL"/>
              <w:rPr>
                <w:rFonts w:ascii="Verdana" w:eastAsia="Verdana" w:hAnsi="Verdana" w:cs="Verdana"/>
                <w:i/>
                <w:noProof/>
                <w:color w:val="000000"/>
                <w:sz w:val="18"/>
              </w:rPr>
            </w:pPr>
            <w:r>
              <w:rPr>
                <w:rFonts w:ascii="Verdana" w:eastAsia="Verdana" w:hAnsi="Verdana" w:cs="Verdana"/>
                <w:i/>
                <w:noProof/>
                <w:color w:val="000000"/>
                <w:sz w:val="18"/>
              </w:rPr>
              <w:t>Level 1: Quoted prices in active markets</w:t>
            </w:r>
          </w:p>
        </w:tc>
        <w:tc>
          <w:tcPr>
            <w:tcW w:w="1431" w:type="dxa"/>
            <w:tcBorders>
              <w:top w:val="nil"/>
              <w:left w:val="nil"/>
              <w:bottom w:val="nil"/>
              <w:right w:val="nil"/>
              <w:tl2br w:val="nil"/>
              <w:tr2bl w:val="nil"/>
            </w:tcBorders>
            <w:tcMar>
              <w:left w:w="60" w:type="dxa"/>
              <w:right w:w="60" w:type="dxa"/>
            </w:tcMar>
            <w:vAlign w:val="center"/>
          </w:tcPr>
          <w:p w14:paraId="5E05DA8B"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tcBorders>
              <w:top w:val="nil"/>
              <w:left w:val="nil"/>
              <w:bottom w:val="nil"/>
              <w:right w:val="nil"/>
              <w:tl2br w:val="nil"/>
              <w:tr2bl w:val="nil"/>
            </w:tcBorders>
            <w:tcMar>
              <w:left w:w="60" w:type="dxa"/>
              <w:right w:w="60" w:type="dxa"/>
            </w:tcMar>
            <w:vAlign w:val="center"/>
          </w:tcPr>
          <w:p w14:paraId="219DEC7A"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tcBorders>
              <w:top w:val="nil"/>
              <w:left w:val="nil"/>
              <w:bottom w:val="nil"/>
              <w:right w:val="nil"/>
              <w:tl2br w:val="nil"/>
              <w:tr2bl w:val="nil"/>
            </w:tcBorders>
            <w:tcMar>
              <w:left w:w="60" w:type="dxa"/>
              <w:right w:w="60" w:type="dxa"/>
            </w:tcMar>
            <w:vAlign w:val="center"/>
          </w:tcPr>
          <w:p w14:paraId="4285BFF7"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60" w:type="dxa"/>
            <w:tcBorders>
              <w:top w:val="nil"/>
              <w:left w:val="nil"/>
              <w:bottom w:val="nil"/>
              <w:right w:val="nil"/>
              <w:tl2br w:val="nil"/>
              <w:tr2bl w:val="nil"/>
            </w:tcBorders>
            <w:tcMar>
              <w:left w:w="60" w:type="dxa"/>
              <w:right w:w="60" w:type="dxa"/>
            </w:tcMar>
            <w:vAlign w:val="center"/>
          </w:tcPr>
          <w:p w14:paraId="202230B0" w14:textId="77777777" w:rsidR="00807FFE" w:rsidRDefault="00023E71">
            <w:pPr>
              <w:pStyle w:val="DMETW36627BIPFVHDFAL"/>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10B153B0" w14:textId="77777777">
        <w:trPr>
          <w:trHeight w:val="255"/>
        </w:trPr>
        <w:tc>
          <w:tcPr>
            <w:tcW w:w="4005" w:type="dxa"/>
            <w:tcBorders>
              <w:top w:val="nil"/>
              <w:left w:val="nil"/>
              <w:bottom w:val="nil"/>
              <w:right w:val="nil"/>
              <w:tl2br w:val="nil"/>
              <w:tr2bl w:val="nil"/>
            </w:tcBorders>
            <w:tcMar>
              <w:left w:w="60" w:type="dxa"/>
              <w:right w:w="60" w:type="dxa"/>
            </w:tcMar>
            <w:vAlign w:val="center"/>
          </w:tcPr>
          <w:p w14:paraId="0F0358B0" w14:textId="77777777" w:rsidR="00807FFE" w:rsidRDefault="00023E71">
            <w:pPr>
              <w:pStyle w:val="DMETW36627BIPFVHDFAL"/>
              <w:rPr>
                <w:rFonts w:ascii="Verdana" w:eastAsia="Verdana" w:hAnsi="Verdana" w:cs="Verdana"/>
                <w:i/>
                <w:noProof/>
                <w:color w:val="000000"/>
                <w:sz w:val="18"/>
              </w:rPr>
            </w:pPr>
            <w:r>
              <w:rPr>
                <w:rFonts w:ascii="Verdana" w:eastAsia="Verdana" w:hAnsi="Verdana" w:cs="Verdana"/>
                <w:i/>
                <w:noProof/>
                <w:color w:val="000000"/>
                <w:sz w:val="18"/>
              </w:rPr>
              <w:t>Level 2: Observable inputs other than quoted prices</w:t>
            </w:r>
          </w:p>
        </w:tc>
        <w:tc>
          <w:tcPr>
            <w:tcW w:w="1431" w:type="dxa"/>
            <w:tcBorders>
              <w:top w:val="nil"/>
              <w:left w:val="nil"/>
              <w:bottom w:val="nil"/>
              <w:right w:val="nil"/>
              <w:tl2br w:val="nil"/>
              <w:tr2bl w:val="nil"/>
            </w:tcBorders>
            <w:tcMar>
              <w:left w:w="60" w:type="dxa"/>
              <w:right w:w="60" w:type="dxa"/>
            </w:tcMar>
            <w:vAlign w:val="center"/>
          </w:tcPr>
          <w:p w14:paraId="0E6E2378"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 xml:space="preserve"> 17</w:t>
            </w:r>
          </w:p>
        </w:tc>
        <w:tc>
          <w:tcPr>
            <w:tcW w:w="1431" w:type="dxa"/>
            <w:tcBorders>
              <w:top w:val="nil"/>
              <w:left w:val="nil"/>
              <w:bottom w:val="nil"/>
              <w:right w:val="nil"/>
              <w:tl2br w:val="nil"/>
              <w:tr2bl w:val="nil"/>
            </w:tcBorders>
            <w:tcMar>
              <w:left w:w="60" w:type="dxa"/>
              <w:right w:w="60" w:type="dxa"/>
            </w:tcMar>
            <w:vAlign w:val="center"/>
          </w:tcPr>
          <w:p w14:paraId="325369AB"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431" w:type="dxa"/>
            <w:tcBorders>
              <w:top w:val="nil"/>
              <w:left w:val="nil"/>
              <w:bottom w:val="nil"/>
              <w:right w:val="nil"/>
              <w:tl2br w:val="nil"/>
              <w:tr2bl w:val="nil"/>
            </w:tcBorders>
            <w:tcMar>
              <w:left w:w="60" w:type="dxa"/>
              <w:right w:w="60" w:type="dxa"/>
            </w:tcMar>
            <w:vAlign w:val="center"/>
          </w:tcPr>
          <w:p w14:paraId="45098C01"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60" w:type="dxa"/>
            <w:tcBorders>
              <w:top w:val="nil"/>
              <w:left w:val="nil"/>
              <w:bottom w:val="nil"/>
              <w:right w:val="nil"/>
              <w:tl2br w:val="nil"/>
              <w:tr2bl w:val="nil"/>
            </w:tcBorders>
            <w:tcMar>
              <w:left w:w="60" w:type="dxa"/>
              <w:right w:w="60" w:type="dxa"/>
            </w:tcMar>
            <w:vAlign w:val="center"/>
          </w:tcPr>
          <w:p w14:paraId="1A4CD5C3" w14:textId="77777777" w:rsidR="00807FFE" w:rsidRDefault="00023E71">
            <w:pPr>
              <w:pStyle w:val="DMETW36627BIPFVHDFA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(27)</w:t>
            </w:r>
          </w:p>
        </w:tc>
      </w:tr>
      <w:tr w:rsidR="00807FFE" w14:paraId="7786D2B0" w14:textId="77777777">
        <w:trPr>
          <w:trHeight w:val="255"/>
        </w:trPr>
        <w:tc>
          <w:tcPr>
            <w:tcW w:w="4005" w:type="dxa"/>
            <w:tcBorders>
              <w:top w:val="nil"/>
              <w:left w:val="nil"/>
              <w:bottom w:val="single" w:sz="4" w:space="0" w:color="016794"/>
              <w:right w:val="nil"/>
              <w:tl2br w:val="nil"/>
              <w:tr2bl w:val="nil"/>
            </w:tcBorders>
            <w:tcMar>
              <w:left w:w="60" w:type="dxa"/>
              <w:right w:w="60" w:type="dxa"/>
            </w:tcMar>
            <w:vAlign w:val="center"/>
          </w:tcPr>
          <w:p w14:paraId="7DE4431A" w14:textId="77777777" w:rsidR="00807FFE" w:rsidRDefault="00023E71">
            <w:pPr>
              <w:pStyle w:val="DMETW36627BIPFVHDFAL"/>
              <w:rPr>
                <w:rFonts w:ascii="Verdana" w:eastAsia="Verdana" w:hAnsi="Verdana" w:cs="Verdana"/>
                <w:i/>
                <w:noProof/>
                <w:color w:val="000000"/>
                <w:sz w:val="18"/>
              </w:rPr>
            </w:pPr>
            <w:r>
              <w:rPr>
                <w:rFonts w:ascii="Verdana" w:eastAsia="Verdana" w:hAnsi="Verdana" w:cs="Verdana"/>
                <w:i/>
                <w:noProof/>
                <w:color w:val="000000"/>
                <w:sz w:val="18"/>
              </w:rPr>
              <w:t>Level 3: Valuation techniques with inputs not based on observable market data</w:t>
            </w:r>
          </w:p>
        </w:tc>
        <w:tc>
          <w:tcPr>
            <w:tcW w:w="1431" w:type="dxa"/>
            <w:tcBorders>
              <w:top w:val="nil"/>
              <w:left w:val="nil"/>
              <w:bottom w:val="single" w:sz="4" w:space="0" w:color="016794"/>
              <w:right w:val="nil"/>
              <w:tl2br w:val="nil"/>
              <w:tr2bl w:val="nil"/>
            </w:tcBorders>
            <w:tcMar>
              <w:left w:w="60" w:type="dxa"/>
              <w:right w:w="60" w:type="dxa"/>
            </w:tcMar>
            <w:vAlign w:val="center"/>
          </w:tcPr>
          <w:p w14:paraId="38EF372E"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1 568</w:t>
            </w:r>
          </w:p>
        </w:tc>
        <w:tc>
          <w:tcPr>
            <w:tcW w:w="1431" w:type="dxa"/>
            <w:tcBorders>
              <w:top w:val="nil"/>
              <w:left w:val="nil"/>
              <w:bottom w:val="single" w:sz="4" w:space="0" w:color="016794"/>
              <w:right w:val="nil"/>
              <w:tl2br w:val="nil"/>
              <w:tr2bl w:val="nil"/>
            </w:tcBorders>
            <w:tcMar>
              <w:left w:w="60" w:type="dxa"/>
              <w:right w:w="60" w:type="dxa"/>
            </w:tcMar>
            <w:vAlign w:val="center"/>
          </w:tcPr>
          <w:p w14:paraId="4C24A791"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 xml:space="preserve"> (55)</w:t>
            </w:r>
          </w:p>
        </w:tc>
        <w:tc>
          <w:tcPr>
            <w:tcW w:w="1431" w:type="dxa"/>
            <w:tcBorders>
              <w:top w:val="nil"/>
              <w:left w:val="nil"/>
              <w:bottom w:val="single" w:sz="4" w:space="0" w:color="016794"/>
              <w:right w:val="nil"/>
              <w:tl2br w:val="nil"/>
              <w:tr2bl w:val="nil"/>
            </w:tcBorders>
            <w:tcMar>
              <w:left w:w="60" w:type="dxa"/>
              <w:right w:w="60" w:type="dxa"/>
            </w:tcMar>
            <w:vAlign w:val="center"/>
          </w:tcPr>
          <w:p w14:paraId="353D46EF" w14:textId="77777777" w:rsidR="00807FFE" w:rsidRDefault="00023E71">
            <w:pPr>
              <w:pStyle w:val="DMETW36627BIPFVHDFAL"/>
              <w:jc w:val="right"/>
              <w:rPr>
                <w:rFonts w:ascii="Verdana" w:eastAsia="Verdana" w:hAnsi="Verdana" w:cs="Verdana"/>
                <w:i/>
                <w:noProof/>
                <w:color w:val="000000"/>
                <w:sz w:val="18"/>
              </w:rPr>
            </w:pPr>
            <w:r>
              <w:rPr>
                <w:rFonts w:ascii="Verdana" w:eastAsia="Verdana" w:hAnsi="Verdana" w:cs="Verdana"/>
                <w:i/>
                <w:noProof/>
                <w:color w:val="000000"/>
                <w:sz w:val="18"/>
              </w:rPr>
              <w:t>1 110</w:t>
            </w:r>
          </w:p>
        </w:tc>
        <w:tc>
          <w:tcPr>
            <w:tcW w:w="1460" w:type="dxa"/>
            <w:tcBorders>
              <w:top w:val="nil"/>
              <w:left w:val="nil"/>
              <w:bottom w:val="single" w:sz="4" w:space="0" w:color="016794"/>
              <w:right w:val="nil"/>
              <w:tl2br w:val="nil"/>
              <w:tr2bl w:val="nil"/>
            </w:tcBorders>
            <w:tcMar>
              <w:left w:w="60" w:type="dxa"/>
              <w:right w:w="60" w:type="dxa"/>
            </w:tcMar>
            <w:vAlign w:val="center"/>
          </w:tcPr>
          <w:p w14:paraId="0AD70FD3" w14:textId="77777777" w:rsidR="00807FFE" w:rsidRDefault="00023E71">
            <w:pPr>
              <w:pStyle w:val="DMETW36627BIPFVHDFA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(71)</w:t>
            </w:r>
          </w:p>
        </w:tc>
      </w:tr>
      <w:tr w:rsidR="00807FFE" w14:paraId="1A98CBCC" w14:textId="77777777">
        <w:trPr>
          <w:trHeight w:val="255"/>
        </w:trPr>
        <w:tc>
          <w:tcPr>
            <w:tcW w:w="4005" w:type="dxa"/>
            <w:tcBorders>
              <w:top w:val="single" w:sz="4" w:space="0" w:color="016794"/>
              <w:left w:val="nil"/>
              <w:bottom w:val="single" w:sz="4" w:space="0" w:color="016794"/>
              <w:right w:val="nil"/>
              <w:tl2br w:val="nil"/>
              <w:tr2bl w:val="nil"/>
            </w:tcBorders>
            <w:tcMar>
              <w:left w:w="60" w:type="dxa"/>
              <w:right w:w="60" w:type="dxa"/>
            </w:tcMar>
            <w:vAlign w:val="center"/>
          </w:tcPr>
          <w:p w14:paraId="0A4D9D41" w14:textId="77777777" w:rsidR="00807FFE" w:rsidRDefault="00023E71">
            <w:pPr>
              <w:pStyle w:val="DMETW36627BIPFVHDFAL"/>
              <w:rPr>
                <w:rFonts w:ascii="Verdana" w:eastAsia="Verdana" w:hAnsi="Verdana" w:cs="Verdana"/>
                <w:b/>
                <w:noProof/>
                <w:color w:val="000000"/>
                <w:sz w:val="18"/>
              </w:rPr>
            </w:pPr>
            <w:r>
              <w:rPr>
                <w:rFonts w:ascii="Verdana" w:eastAsia="Verdana" w:hAnsi="Verdana" w:cs="Verdana"/>
                <w:b/>
                <w:noProof/>
                <w:color w:val="000000"/>
                <w:sz w:val="18"/>
              </w:rPr>
              <w:t>Total</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14:paraId="5E968F11" w14:textId="77777777" w:rsidR="00807FFE" w:rsidRDefault="00023E71">
            <w:pPr>
              <w:pStyle w:val="DMETW36627BIPFVHDFAL"/>
              <w:jc w:val="right"/>
              <w:rPr>
                <w:rFonts w:ascii="Verdana" w:eastAsia="Verdana" w:hAnsi="Verdana" w:cs="Verdana"/>
                <w:b/>
                <w:noProof/>
                <w:color w:val="000000"/>
                <w:sz w:val="18"/>
              </w:rPr>
            </w:pPr>
            <w:r>
              <w:rPr>
                <w:rFonts w:ascii="Verdana" w:eastAsia="Verdana" w:hAnsi="Verdana" w:cs="Verdana"/>
                <w:b/>
                <w:noProof/>
                <w:color w:val="000000"/>
                <w:sz w:val="18"/>
              </w:rPr>
              <w:t>1 585</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14:paraId="50FB71D1" w14:textId="77777777" w:rsidR="00807FFE" w:rsidRDefault="00023E71">
            <w:pPr>
              <w:pStyle w:val="DMETW36627BIPFVHDFAL"/>
              <w:jc w:val="right"/>
              <w:rPr>
                <w:rFonts w:ascii="Verdana" w:eastAsia="Verdana" w:hAnsi="Verdana" w:cs="Verdana"/>
                <w:b/>
                <w:noProof/>
                <w:color w:val="000000"/>
                <w:sz w:val="18"/>
              </w:rPr>
            </w:pPr>
            <w:r>
              <w:rPr>
                <w:rFonts w:ascii="Verdana" w:eastAsia="Verdana" w:hAnsi="Verdana" w:cs="Verdana"/>
                <w:b/>
                <w:noProof/>
                <w:color w:val="000000"/>
                <w:sz w:val="18"/>
              </w:rPr>
              <w:t xml:space="preserve"> (62)</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14:paraId="594A3551" w14:textId="77777777" w:rsidR="00807FFE" w:rsidRDefault="00023E71">
            <w:pPr>
              <w:pStyle w:val="DMETW36627BIPFVHDFAL"/>
              <w:jc w:val="right"/>
              <w:rPr>
                <w:rFonts w:ascii="Verdana" w:eastAsia="Verdana" w:hAnsi="Verdana" w:cs="Verdana"/>
                <w:b/>
                <w:noProof/>
                <w:color w:val="000000"/>
                <w:sz w:val="18"/>
              </w:rPr>
            </w:pPr>
            <w:r>
              <w:rPr>
                <w:rFonts w:ascii="Verdana" w:eastAsia="Verdana" w:hAnsi="Verdana" w:cs="Verdana"/>
                <w:b/>
                <w:noProof/>
                <w:color w:val="000000"/>
                <w:sz w:val="18"/>
              </w:rPr>
              <w:t>1 110</w:t>
            </w:r>
          </w:p>
        </w:tc>
        <w:tc>
          <w:tcPr>
            <w:tcW w:w="1460" w:type="dxa"/>
            <w:tcBorders>
              <w:top w:val="single" w:sz="4" w:space="0" w:color="016794"/>
              <w:left w:val="nil"/>
              <w:bottom w:val="single" w:sz="4" w:space="0" w:color="016794"/>
              <w:right w:val="nil"/>
              <w:tl2br w:val="nil"/>
              <w:tr2bl w:val="nil"/>
            </w:tcBorders>
            <w:tcMar>
              <w:left w:w="60" w:type="dxa"/>
              <w:right w:w="60" w:type="dxa"/>
            </w:tcMar>
            <w:vAlign w:val="center"/>
          </w:tcPr>
          <w:p w14:paraId="0EEC4ED4" w14:textId="77777777" w:rsidR="00807FFE" w:rsidRDefault="00023E71">
            <w:pPr>
              <w:pStyle w:val="DMETW36627BIPFVHDFAL"/>
              <w:jc w:val="right"/>
              <w:rPr>
                <w:rFonts w:ascii="Verdana" w:eastAsia="Verdana" w:hAnsi="Verdana" w:cs="Verdana"/>
                <w:b/>
                <w:noProof/>
                <w:color w:val="000000"/>
                <w:sz w:val="18"/>
              </w:rPr>
            </w:pPr>
            <w:r>
              <w:rPr>
                <w:rFonts w:ascii="Verdana" w:eastAsia="Verdana" w:hAnsi="Verdana" w:cs="Verdana"/>
                <w:b/>
                <w:noProof/>
                <w:color w:val="000000"/>
                <w:sz w:val="18"/>
              </w:rPr>
              <w:t xml:space="preserve"> (98)</w:t>
            </w:r>
          </w:p>
        </w:tc>
      </w:tr>
    </w:tbl>
    <w:p w14:paraId="72CF0E19" w14:textId="77777777" w:rsidR="00AE3E25" w:rsidRDefault="00023E71" w:rsidP="00AE3E25">
      <w:pPr>
        <w:pStyle w:val="DGTextstand-alone"/>
      </w:pPr>
      <w:r w:rsidRPr="00AE3E25">
        <w:t xml:space="preserve">During the period, there were no transfers between level 1 and level 2. Derivatives in </w:t>
      </w:r>
      <w:r>
        <w:t>fair value</w:t>
      </w:r>
      <w:r w:rsidRPr="00AE3E25">
        <w:t xml:space="preserve"> </w:t>
      </w:r>
      <w:r>
        <w:t>l</w:t>
      </w:r>
      <w:r w:rsidRPr="00AE3E25">
        <w:t xml:space="preserve">evel 3 include </w:t>
      </w:r>
      <w:r>
        <w:t xml:space="preserve">mainly </w:t>
      </w:r>
      <w:r w:rsidRPr="00AE3E25">
        <w:t>guarantees o</w:t>
      </w:r>
      <w:r>
        <w:t>n equity portfolios.</w:t>
      </w:r>
    </w:p>
    <w:p w14:paraId="0C5CCFBE" w14:textId="77777777" w:rsidR="0065210C" w:rsidRDefault="00023E71" w:rsidP="0065210C">
      <w:pPr>
        <w:pStyle w:val="HEADER5"/>
        <w:rPr>
          <w:bCs/>
          <w:noProof/>
        </w:rPr>
      </w:pPr>
      <w:r w:rsidRPr="004A0FDC">
        <w:rPr>
          <w:bCs/>
          <w:noProof/>
        </w:rPr>
        <w:t>Reconciliation of derivative financial assets and liabilities measured using valuation techniques with inputs not based on observable market data (Level 3)</w:t>
      </w:r>
    </w:p>
    <w:p w14:paraId="5F9A6CD6" w14:textId="77777777" w:rsidR="00D40161" w:rsidRPr="004A0FDC" w:rsidRDefault="00D40161" w:rsidP="0065210C">
      <w:pPr>
        <w:pStyle w:val="HEADER5"/>
        <w:rPr>
          <w:bCs/>
          <w:noProof/>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8"/>
        <w:gridCol w:w="3690"/>
      </w:tblGrid>
      <w:tr w:rsidR="00807FFE" w14:paraId="505CDD31" w14:textId="77777777">
        <w:trPr>
          <w:trHeight w:val="255"/>
        </w:trPr>
        <w:tc>
          <w:tcPr>
            <w:tcW w:w="6068" w:type="dxa"/>
            <w:tcBorders>
              <w:top w:val="nil"/>
              <w:left w:val="nil"/>
              <w:bottom w:val="nil"/>
              <w:right w:val="nil"/>
              <w:tl2br w:val="nil"/>
              <w:tr2bl w:val="nil"/>
            </w:tcBorders>
            <w:tcMar>
              <w:left w:w="60" w:type="dxa"/>
              <w:right w:w="60" w:type="dxa"/>
            </w:tcMar>
            <w:vAlign w:val="bottom"/>
          </w:tcPr>
          <w:p w14:paraId="424E2C27" w14:textId="77777777" w:rsidR="00807FFE" w:rsidRDefault="00807FFE">
            <w:pPr>
              <w:pStyle w:val="DMETW36627BIPRECODER"/>
              <w:rPr>
                <w:rFonts w:ascii="Verdana" w:eastAsia="Verdana" w:hAnsi="Verdana" w:cs="Verdana"/>
                <w:noProof/>
                <w:color w:val="000000"/>
                <w:sz w:val="18"/>
                <w:lang w:bidi="en-GB"/>
              </w:rPr>
            </w:pPr>
            <w:bookmarkStart w:id="116" w:name="DOC_TBL00025_1_1"/>
            <w:bookmarkEnd w:id="116"/>
          </w:p>
        </w:tc>
        <w:tc>
          <w:tcPr>
            <w:tcW w:w="3690" w:type="dxa"/>
            <w:tcBorders>
              <w:top w:val="nil"/>
              <w:left w:val="nil"/>
              <w:bottom w:val="nil"/>
              <w:right w:val="nil"/>
              <w:tl2br w:val="nil"/>
              <w:tr2bl w:val="nil"/>
            </w:tcBorders>
            <w:tcMar>
              <w:left w:w="60" w:type="dxa"/>
              <w:right w:w="60" w:type="dxa"/>
            </w:tcMar>
            <w:vAlign w:val="bottom"/>
          </w:tcPr>
          <w:p w14:paraId="4C00A8E9" w14:textId="77777777" w:rsidR="00807FFE" w:rsidRDefault="00023E71">
            <w:pPr>
              <w:pStyle w:val="DMETW36627BIPRECODER"/>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216BF73E" w14:textId="77777777">
        <w:trPr>
          <w:trHeight w:val="255"/>
        </w:trPr>
        <w:tc>
          <w:tcPr>
            <w:tcW w:w="6068" w:type="dxa"/>
            <w:tcBorders>
              <w:top w:val="nil"/>
              <w:left w:val="nil"/>
              <w:bottom w:val="nil"/>
              <w:right w:val="nil"/>
              <w:tl2br w:val="nil"/>
              <w:tr2bl w:val="nil"/>
            </w:tcBorders>
            <w:shd w:val="solid" w:color="016794" w:fill="FFFFFF"/>
            <w:tcMar>
              <w:left w:w="60" w:type="dxa"/>
              <w:right w:w="60" w:type="dxa"/>
            </w:tcMar>
            <w:vAlign w:val="center"/>
          </w:tcPr>
          <w:p w14:paraId="159E85E2" w14:textId="77777777" w:rsidR="00807FFE" w:rsidRDefault="00023E71">
            <w:pPr>
              <w:pStyle w:val="DMETW36627BIPRECODER"/>
              <w:rPr>
                <w:rFonts w:ascii="Verdana" w:eastAsia="Verdana" w:hAnsi="Verdana" w:cs="Verdana"/>
                <w:noProof/>
                <w:color w:val="FFFFFF"/>
                <w:sz w:val="18"/>
              </w:rPr>
            </w:pPr>
            <w:r>
              <w:rPr>
                <w:rFonts w:ascii="Verdana" w:eastAsia="Verdana" w:hAnsi="Verdana" w:cs="Verdana"/>
                <w:noProof/>
                <w:color w:val="FFFFFF"/>
                <w:sz w:val="18"/>
              </w:rPr>
              <w:t>Fair value movements</w:t>
            </w:r>
          </w:p>
        </w:tc>
        <w:tc>
          <w:tcPr>
            <w:tcW w:w="3690" w:type="dxa"/>
            <w:tcBorders>
              <w:top w:val="nil"/>
              <w:left w:val="nil"/>
              <w:bottom w:val="nil"/>
              <w:right w:val="nil"/>
              <w:tl2br w:val="nil"/>
              <w:tr2bl w:val="nil"/>
            </w:tcBorders>
            <w:shd w:val="solid" w:color="016794" w:fill="FFFFFF"/>
            <w:tcMar>
              <w:left w:w="60" w:type="dxa"/>
              <w:right w:w="60" w:type="dxa"/>
            </w:tcMar>
            <w:vAlign w:val="center"/>
          </w:tcPr>
          <w:p w14:paraId="7D82E3D9" w14:textId="77777777" w:rsidR="00807FFE" w:rsidRDefault="00807FFE">
            <w:pPr>
              <w:pStyle w:val="DMETW36627BIPRECODER"/>
              <w:rPr>
                <w:rFonts w:ascii="Verdana" w:eastAsia="Verdana" w:hAnsi="Verdana" w:cs="Verdana"/>
                <w:noProof/>
                <w:color w:val="FFFFFF"/>
                <w:sz w:val="18"/>
                <w:lang w:bidi="en-GB"/>
              </w:rPr>
            </w:pPr>
          </w:p>
        </w:tc>
      </w:tr>
      <w:tr w:rsidR="00807FFE" w14:paraId="1CCD8CB1"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45F8BF4B" w14:textId="77777777" w:rsidR="00807FFE" w:rsidRDefault="00023E71">
            <w:pPr>
              <w:pStyle w:val="DMETW36627BIPRECODER"/>
              <w:rPr>
                <w:rFonts w:ascii="Verdana" w:eastAsia="Verdana" w:hAnsi="Verdana" w:cs="Verdana"/>
                <w:b/>
                <w:noProof/>
                <w:color w:val="000000"/>
                <w:sz w:val="18"/>
              </w:rPr>
            </w:pPr>
            <w:r>
              <w:rPr>
                <w:rFonts w:ascii="Verdana" w:eastAsia="Verdana" w:hAnsi="Verdana" w:cs="Verdana"/>
                <w:b/>
                <w:noProof/>
                <w:color w:val="000000"/>
                <w:sz w:val="18"/>
              </w:rPr>
              <w:t>Opening balance asset/(liability) as at 1.1.2025</w:t>
            </w:r>
          </w:p>
        </w:tc>
        <w:tc>
          <w:tcPr>
            <w:tcW w:w="3690" w:type="dxa"/>
            <w:tcBorders>
              <w:top w:val="nil"/>
              <w:left w:val="nil"/>
              <w:bottom w:val="nil"/>
              <w:right w:val="nil"/>
              <w:tl2br w:val="nil"/>
              <w:tr2bl w:val="nil"/>
            </w:tcBorders>
            <w:tcMar>
              <w:left w:w="60" w:type="dxa"/>
              <w:right w:w="60" w:type="dxa"/>
            </w:tcMar>
            <w:vAlign w:val="center"/>
          </w:tcPr>
          <w:p w14:paraId="72CF7BCE" w14:textId="77777777" w:rsidR="00807FFE" w:rsidRDefault="00023E71">
            <w:pPr>
              <w:pStyle w:val="DMETW36627BIPRECODER"/>
              <w:jc w:val="right"/>
              <w:rPr>
                <w:rFonts w:ascii="Verdana" w:eastAsia="Verdana" w:hAnsi="Verdana" w:cs="Verdana"/>
                <w:b/>
                <w:noProof/>
                <w:color w:val="000000"/>
                <w:sz w:val="18"/>
                <w:lang w:bidi="en-GB"/>
              </w:rPr>
            </w:pPr>
            <w:r>
              <w:rPr>
                <w:rFonts w:ascii="Verdana" w:eastAsia="Verdana" w:hAnsi="Verdana" w:cs="Verdana"/>
                <w:b/>
                <w:noProof/>
                <w:color w:val="000000"/>
                <w:sz w:val="18"/>
              </w:rPr>
              <w:t>1 039</w:t>
            </w:r>
          </w:p>
        </w:tc>
      </w:tr>
      <w:tr w:rsidR="00807FFE" w14:paraId="3A4F9809"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149B29B6" w14:textId="77777777" w:rsidR="00807FFE" w:rsidRDefault="00023E71">
            <w:pPr>
              <w:pStyle w:val="DMETW36627BIPRECODER"/>
              <w:rPr>
                <w:rFonts w:ascii="Verdana" w:eastAsia="Verdana" w:hAnsi="Verdana" w:cs="Verdana"/>
                <w:i/>
                <w:noProof/>
                <w:color w:val="000000"/>
                <w:sz w:val="18"/>
              </w:rPr>
            </w:pPr>
            <w:r>
              <w:rPr>
                <w:rFonts w:ascii="Verdana" w:eastAsia="Verdana" w:hAnsi="Verdana" w:cs="Verdana"/>
                <w:i/>
                <w:noProof/>
                <w:color w:val="000000"/>
                <w:sz w:val="18"/>
              </w:rPr>
              <w:t>Guarantee call claims paid</w:t>
            </w:r>
          </w:p>
        </w:tc>
        <w:tc>
          <w:tcPr>
            <w:tcW w:w="3690" w:type="dxa"/>
            <w:tcBorders>
              <w:top w:val="nil"/>
              <w:left w:val="nil"/>
              <w:bottom w:val="nil"/>
              <w:right w:val="nil"/>
              <w:tl2br w:val="nil"/>
              <w:tr2bl w:val="nil"/>
            </w:tcBorders>
            <w:tcMar>
              <w:left w:w="60" w:type="dxa"/>
              <w:right w:w="60" w:type="dxa"/>
            </w:tcMar>
            <w:vAlign w:val="center"/>
          </w:tcPr>
          <w:p w14:paraId="1F9BE291" w14:textId="77777777" w:rsidR="00807FFE" w:rsidRDefault="00023E71">
            <w:pPr>
              <w:pStyle w:val="DMETW36627BIPRECOD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164</w:t>
            </w:r>
          </w:p>
        </w:tc>
      </w:tr>
      <w:tr w:rsidR="00807FFE" w14:paraId="6370C759"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1A88766D" w14:textId="77777777" w:rsidR="00807FFE" w:rsidRDefault="00023E71">
            <w:pPr>
              <w:pStyle w:val="DMETW36627BIPRECODER"/>
              <w:rPr>
                <w:rFonts w:ascii="Verdana" w:eastAsia="Verdana" w:hAnsi="Verdana" w:cs="Verdana"/>
                <w:i/>
                <w:noProof/>
                <w:color w:val="000000"/>
                <w:sz w:val="18"/>
              </w:rPr>
            </w:pPr>
            <w:r>
              <w:rPr>
                <w:rFonts w:ascii="Verdana" w:eastAsia="Verdana" w:hAnsi="Verdana" w:cs="Verdana"/>
                <w:i/>
                <w:noProof/>
                <w:color w:val="000000"/>
                <w:sz w:val="18"/>
              </w:rPr>
              <w:t>Guarantee calls returned</w:t>
            </w:r>
          </w:p>
        </w:tc>
        <w:tc>
          <w:tcPr>
            <w:tcW w:w="3690" w:type="dxa"/>
            <w:tcBorders>
              <w:top w:val="nil"/>
              <w:left w:val="nil"/>
              <w:bottom w:val="nil"/>
              <w:right w:val="nil"/>
              <w:tl2br w:val="nil"/>
              <w:tr2bl w:val="nil"/>
            </w:tcBorders>
            <w:tcMar>
              <w:left w:w="60" w:type="dxa"/>
              <w:right w:w="60" w:type="dxa"/>
            </w:tcMar>
            <w:vAlign w:val="center"/>
          </w:tcPr>
          <w:p w14:paraId="0033EF52" w14:textId="77777777" w:rsidR="00807FFE" w:rsidRDefault="00023E71">
            <w:pPr>
              <w:pStyle w:val="DMETW36627BIPRECOD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(44)</w:t>
            </w:r>
          </w:p>
        </w:tc>
      </w:tr>
      <w:tr w:rsidR="00807FFE" w14:paraId="3BD10C1E"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789C81C3" w14:textId="77777777" w:rsidR="00807FFE" w:rsidRDefault="00023E71">
            <w:pPr>
              <w:pStyle w:val="DMETW36627BIPRECODER"/>
              <w:rPr>
                <w:rFonts w:ascii="Verdana" w:eastAsia="Verdana" w:hAnsi="Verdana" w:cs="Verdana"/>
                <w:i/>
                <w:noProof/>
                <w:color w:val="000000"/>
                <w:sz w:val="18"/>
              </w:rPr>
            </w:pPr>
            <w:r>
              <w:rPr>
                <w:rFonts w:ascii="Verdana" w:eastAsia="Verdana" w:hAnsi="Verdana" w:cs="Verdana"/>
                <w:i/>
                <w:noProof/>
                <w:color w:val="000000"/>
                <w:sz w:val="18"/>
              </w:rPr>
              <w:t>Revenues from guarantee settled</w:t>
            </w:r>
          </w:p>
        </w:tc>
        <w:tc>
          <w:tcPr>
            <w:tcW w:w="3690" w:type="dxa"/>
            <w:tcBorders>
              <w:top w:val="nil"/>
              <w:left w:val="nil"/>
              <w:bottom w:val="nil"/>
              <w:right w:val="nil"/>
              <w:tl2br w:val="nil"/>
              <w:tr2bl w:val="nil"/>
            </w:tcBorders>
            <w:tcMar>
              <w:left w:w="60" w:type="dxa"/>
              <w:right w:w="60" w:type="dxa"/>
            </w:tcMar>
            <w:vAlign w:val="center"/>
          </w:tcPr>
          <w:p w14:paraId="272B1BAA" w14:textId="77777777" w:rsidR="00807FFE" w:rsidRDefault="00023E71">
            <w:pPr>
              <w:pStyle w:val="DMETW36627BIPRECOD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(154)</w:t>
            </w:r>
          </w:p>
        </w:tc>
      </w:tr>
      <w:tr w:rsidR="00807FFE" w14:paraId="36F773C2"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5DCAC00D" w14:textId="77777777" w:rsidR="00807FFE" w:rsidRDefault="00023E71">
            <w:pPr>
              <w:pStyle w:val="DMETW36627BIPRECODER"/>
              <w:rPr>
                <w:rFonts w:ascii="Verdana" w:eastAsia="Verdana" w:hAnsi="Verdana" w:cs="Verdana"/>
                <w:i/>
                <w:noProof/>
                <w:color w:val="000000"/>
                <w:sz w:val="18"/>
              </w:rPr>
            </w:pPr>
            <w:r>
              <w:rPr>
                <w:rFonts w:ascii="Verdana" w:eastAsia="Verdana" w:hAnsi="Verdana" w:cs="Verdana"/>
                <w:i/>
                <w:noProof/>
                <w:color w:val="000000"/>
                <w:sz w:val="18"/>
              </w:rPr>
              <w:t>Gains or losses for the period in surplus or deficit</w:t>
            </w:r>
          </w:p>
        </w:tc>
        <w:tc>
          <w:tcPr>
            <w:tcW w:w="3690" w:type="dxa"/>
            <w:tcBorders>
              <w:top w:val="nil"/>
              <w:left w:val="nil"/>
              <w:bottom w:val="nil"/>
              <w:right w:val="nil"/>
              <w:tl2br w:val="nil"/>
              <w:tr2bl w:val="nil"/>
            </w:tcBorders>
            <w:tcMar>
              <w:left w:w="60" w:type="dxa"/>
              <w:right w:w="60" w:type="dxa"/>
            </w:tcMar>
            <w:vAlign w:val="center"/>
          </w:tcPr>
          <w:p w14:paraId="463694CE" w14:textId="77777777" w:rsidR="00807FFE" w:rsidRDefault="00023E71">
            <w:pPr>
              <w:pStyle w:val="DMETW36627BIPRECOD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507</w:t>
            </w:r>
          </w:p>
        </w:tc>
      </w:tr>
      <w:tr w:rsidR="00807FFE" w14:paraId="18878ADA"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4E20B9E9" w14:textId="77777777" w:rsidR="00807FFE" w:rsidRDefault="00023E71">
            <w:pPr>
              <w:pStyle w:val="DMETW36627BIPRECODER"/>
              <w:rPr>
                <w:rFonts w:ascii="Verdana" w:eastAsia="Verdana" w:hAnsi="Verdana" w:cs="Verdana"/>
                <w:i/>
                <w:noProof/>
                <w:color w:val="000000"/>
                <w:sz w:val="18"/>
              </w:rPr>
            </w:pPr>
            <w:r>
              <w:rPr>
                <w:rFonts w:ascii="Verdana" w:eastAsia="Verdana" w:hAnsi="Verdana" w:cs="Verdana"/>
                <w:i/>
                <w:noProof/>
                <w:color w:val="000000"/>
                <w:sz w:val="18"/>
              </w:rPr>
              <w:t xml:space="preserve">Transfers into level 3 </w:t>
            </w:r>
          </w:p>
        </w:tc>
        <w:tc>
          <w:tcPr>
            <w:tcW w:w="3690" w:type="dxa"/>
            <w:tcBorders>
              <w:top w:val="nil"/>
              <w:left w:val="nil"/>
              <w:bottom w:val="nil"/>
              <w:right w:val="nil"/>
              <w:tl2br w:val="nil"/>
              <w:tr2bl w:val="nil"/>
            </w:tcBorders>
            <w:tcMar>
              <w:left w:w="60" w:type="dxa"/>
              <w:right w:w="60" w:type="dxa"/>
            </w:tcMar>
            <w:vAlign w:val="center"/>
          </w:tcPr>
          <w:p w14:paraId="5888F0B7" w14:textId="77777777" w:rsidR="00807FFE" w:rsidRDefault="00023E71">
            <w:pPr>
              <w:pStyle w:val="DMETW36627BIPRECODER"/>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0A8672C3" w14:textId="77777777">
        <w:trPr>
          <w:trHeight w:val="255"/>
        </w:trPr>
        <w:tc>
          <w:tcPr>
            <w:tcW w:w="6068" w:type="dxa"/>
            <w:tcBorders>
              <w:top w:val="nil"/>
              <w:left w:val="nil"/>
              <w:bottom w:val="nil"/>
              <w:right w:val="nil"/>
              <w:tl2br w:val="nil"/>
              <w:tr2bl w:val="nil"/>
            </w:tcBorders>
            <w:tcMar>
              <w:left w:w="60" w:type="dxa"/>
              <w:right w:w="60" w:type="dxa"/>
            </w:tcMar>
            <w:vAlign w:val="center"/>
          </w:tcPr>
          <w:p w14:paraId="22E69607" w14:textId="77777777" w:rsidR="00807FFE" w:rsidRDefault="00023E71">
            <w:pPr>
              <w:pStyle w:val="DMETW36627BIPRECODER"/>
              <w:rPr>
                <w:rFonts w:ascii="Verdana" w:eastAsia="Verdana" w:hAnsi="Verdana" w:cs="Verdana"/>
                <w:i/>
                <w:noProof/>
                <w:color w:val="000000"/>
                <w:sz w:val="18"/>
              </w:rPr>
            </w:pPr>
            <w:r>
              <w:rPr>
                <w:rFonts w:ascii="Verdana" w:eastAsia="Verdana" w:hAnsi="Verdana" w:cs="Verdana"/>
                <w:i/>
                <w:noProof/>
                <w:color w:val="000000"/>
                <w:sz w:val="18"/>
              </w:rPr>
              <w:t xml:space="preserve">Transfers out of level 3 </w:t>
            </w:r>
          </w:p>
        </w:tc>
        <w:tc>
          <w:tcPr>
            <w:tcW w:w="3690" w:type="dxa"/>
            <w:tcBorders>
              <w:top w:val="nil"/>
              <w:left w:val="nil"/>
              <w:bottom w:val="nil"/>
              <w:right w:val="nil"/>
              <w:tl2br w:val="nil"/>
              <w:tr2bl w:val="nil"/>
            </w:tcBorders>
            <w:tcMar>
              <w:left w:w="60" w:type="dxa"/>
              <w:right w:w="60" w:type="dxa"/>
            </w:tcMar>
            <w:vAlign w:val="center"/>
          </w:tcPr>
          <w:p w14:paraId="0316534D" w14:textId="77777777" w:rsidR="00807FFE" w:rsidRDefault="00023E71">
            <w:pPr>
              <w:pStyle w:val="DMETW36627BIPRECODER"/>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3171FCDC" w14:textId="77777777">
        <w:trPr>
          <w:trHeight w:val="255"/>
        </w:trPr>
        <w:tc>
          <w:tcPr>
            <w:tcW w:w="6068" w:type="dxa"/>
            <w:tcBorders>
              <w:top w:val="nil"/>
              <w:left w:val="nil"/>
              <w:bottom w:val="single" w:sz="4" w:space="0" w:color="016794"/>
              <w:right w:val="nil"/>
              <w:tl2br w:val="nil"/>
              <w:tr2bl w:val="nil"/>
            </w:tcBorders>
            <w:tcMar>
              <w:left w:w="60" w:type="dxa"/>
              <w:right w:w="60" w:type="dxa"/>
            </w:tcMar>
            <w:vAlign w:val="center"/>
          </w:tcPr>
          <w:p w14:paraId="62ED68C0" w14:textId="77777777" w:rsidR="00807FFE" w:rsidRDefault="00023E71">
            <w:pPr>
              <w:pStyle w:val="DMETW36627BIPRECODER"/>
              <w:rPr>
                <w:rFonts w:ascii="Verdana" w:eastAsia="Verdana" w:hAnsi="Verdana" w:cs="Verdana"/>
                <w:i/>
                <w:noProof/>
                <w:color w:val="000000"/>
                <w:sz w:val="18"/>
              </w:rPr>
            </w:pPr>
            <w:r>
              <w:rPr>
                <w:rFonts w:ascii="Verdana" w:eastAsia="Verdana" w:hAnsi="Verdana" w:cs="Verdana"/>
                <w:i/>
                <w:noProof/>
                <w:color w:val="000000"/>
                <w:sz w:val="18"/>
              </w:rPr>
              <w:t>Other</w:t>
            </w:r>
          </w:p>
        </w:tc>
        <w:tc>
          <w:tcPr>
            <w:tcW w:w="3690" w:type="dxa"/>
            <w:tcBorders>
              <w:top w:val="nil"/>
              <w:left w:val="nil"/>
              <w:bottom w:val="single" w:sz="4" w:space="0" w:color="016794"/>
              <w:right w:val="nil"/>
              <w:tl2br w:val="nil"/>
              <w:tr2bl w:val="nil"/>
            </w:tcBorders>
            <w:tcMar>
              <w:left w:w="60" w:type="dxa"/>
              <w:right w:w="60" w:type="dxa"/>
            </w:tcMar>
            <w:vAlign w:val="center"/>
          </w:tcPr>
          <w:p w14:paraId="48D86A47" w14:textId="77777777" w:rsidR="00807FFE" w:rsidRDefault="00023E71">
            <w:pPr>
              <w:pStyle w:val="DMETW36627BIPRECOD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(0)</w:t>
            </w:r>
          </w:p>
        </w:tc>
      </w:tr>
      <w:tr w:rsidR="00807FFE" w14:paraId="2D9C3243" w14:textId="77777777">
        <w:trPr>
          <w:trHeight w:val="255"/>
        </w:trPr>
        <w:tc>
          <w:tcPr>
            <w:tcW w:w="6068" w:type="dxa"/>
            <w:tcBorders>
              <w:top w:val="single" w:sz="4" w:space="0" w:color="016794"/>
              <w:left w:val="nil"/>
              <w:bottom w:val="single" w:sz="4" w:space="0" w:color="016794"/>
              <w:right w:val="nil"/>
              <w:tl2br w:val="nil"/>
              <w:tr2bl w:val="nil"/>
            </w:tcBorders>
            <w:tcMar>
              <w:left w:w="60" w:type="dxa"/>
              <w:right w:w="60" w:type="dxa"/>
            </w:tcMar>
            <w:vAlign w:val="center"/>
          </w:tcPr>
          <w:p w14:paraId="7CFE604E" w14:textId="77777777" w:rsidR="00807FFE" w:rsidRDefault="00023E71">
            <w:pPr>
              <w:pStyle w:val="DMETW36627BIPRECODER"/>
              <w:rPr>
                <w:rFonts w:ascii="Verdana" w:eastAsia="Verdana" w:hAnsi="Verdana" w:cs="Verdana"/>
                <w:b/>
                <w:noProof/>
                <w:color w:val="000000"/>
                <w:sz w:val="18"/>
              </w:rPr>
            </w:pPr>
            <w:r>
              <w:rPr>
                <w:rFonts w:ascii="Verdana" w:eastAsia="Verdana" w:hAnsi="Verdana" w:cs="Verdana"/>
                <w:b/>
                <w:noProof/>
                <w:color w:val="000000"/>
                <w:sz w:val="18"/>
              </w:rPr>
              <w:t>Closing balance at 31.12.2025</w:t>
            </w:r>
          </w:p>
        </w:tc>
        <w:tc>
          <w:tcPr>
            <w:tcW w:w="3690" w:type="dxa"/>
            <w:tcBorders>
              <w:top w:val="single" w:sz="4" w:space="0" w:color="016794"/>
              <w:left w:val="nil"/>
              <w:bottom w:val="single" w:sz="4" w:space="0" w:color="016794"/>
              <w:right w:val="nil"/>
              <w:tl2br w:val="nil"/>
              <w:tr2bl w:val="nil"/>
            </w:tcBorders>
            <w:tcMar>
              <w:left w:w="60" w:type="dxa"/>
              <w:right w:w="60" w:type="dxa"/>
            </w:tcMar>
            <w:vAlign w:val="bottom"/>
          </w:tcPr>
          <w:p w14:paraId="45C18F1D" w14:textId="77777777" w:rsidR="00807FFE" w:rsidRDefault="00023E71">
            <w:pPr>
              <w:pStyle w:val="DMETW36627BIPRECODER"/>
              <w:jc w:val="right"/>
              <w:rPr>
                <w:rFonts w:ascii="Verdana" w:eastAsia="Verdana" w:hAnsi="Verdana" w:cs="Verdana"/>
                <w:b/>
                <w:noProof/>
                <w:color w:val="000000"/>
                <w:sz w:val="18"/>
              </w:rPr>
            </w:pPr>
            <w:r>
              <w:rPr>
                <w:rFonts w:ascii="Verdana" w:eastAsia="Verdana" w:hAnsi="Verdana" w:cs="Verdana"/>
                <w:b/>
                <w:noProof/>
                <w:color w:val="000000"/>
                <w:sz w:val="18"/>
              </w:rPr>
              <w:t>1 513</w:t>
            </w:r>
          </w:p>
        </w:tc>
      </w:tr>
      <w:bookmarkEnd w:id="97"/>
    </w:tbl>
    <w:p w14:paraId="5C410F4D" w14:textId="77777777" w:rsidR="00186B2E" w:rsidRDefault="00186B2E" w:rsidP="00877DDB">
      <w:pPr>
        <w:pStyle w:val="DGTextstand-alone"/>
        <w:sectPr w:rsidR="00186B2E" w:rsidSect="00373886">
          <w:headerReference w:type="default" r:id="rId87"/>
          <w:footerReference w:type="default" r:id="rId88"/>
          <w:pgSz w:w="11906" w:h="16838"/>
          <w:pgMar w:top="1134" w:right="1134" w:bottom="1134" w:left="1134" w:header="709" w:footer="709" w:gutter="0"/>
          <w:cols w:space="708"/>
          <w:docGrid w:linePitch="360"/>
        </w:sectPr>
      </w:pPr>
    </w:p>
    <w:p w14:paraId="0610FD1D" w14:textId="77777777" w:rsidR="00F52BB5" w:rsidRDefault="00F52BB5">
      <w:pPr>
        <w:rPr>
          <w:rFonts w:ascii="Verdana" w:hAnsi="Verdana"/>
          <w:b/>
          <w:noProof/>
          <w:color w:val="016794"/>
          <w:sz w:val="28"/>
          <w:szCs w:val="28"/>
        </w:rPr>
      </w:pPr>
      <w:bookmarkStart w:id="117" w:name="_DMBM_36672"/>
      <w:r>
        <w:rPr>
          <w:noProof/>
        </w:rPr>
        <w:br w:type="page"/>
      </w:r>
    </w:p>
    <w:p w14:paraId="46F4EA71" w14:textId="4AF72345" w:rsidR="00F256E6" w:rsidRDefault="00023E71" w:rsidP="00172034">
      <w:pPr>
        <w:pStyle w:val="HEADER2NOTES"/>
        <w:numPr>
          <w:ilvl w:val="1"/>
          <w:numId w:val="15"/>
        </w:numPr>
        <w:rPr>
          <w:noProof/>
        </w:rPr>
      </w:pPr>
      <w:r w:rsidRPr="001007FE">
        <w:rPr>
          <w:noProof/>
        </w:rPr>
        <w:t>PRE-FINANCING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767"/>
        <w:gridCol w:w="2396"/>
        <w:gridCol w:w="2396"/>
      </w:tblGrid>
      <w:tr w:rsidR="00807FFE" w14:paraId="45D5CCCC" w14:textId="77777777">
        <w:trPr>
          <w:trHeight w:val="255"/>
        </w:trPr>
        <w:tc>
          <w:tcPr>
            <w:tcW w:w="4199" w:type="dxa"/>
            <w:tcBorders>
              <w:top w:val="nil"/>
              <w:left w:val="nil"/>
              <w:bottom w:val="nil"/>
              <w:right w:val="nil"/>
              <w:tl2br w:val="nil"/>
              <w:tr2bl w:val="nil"/>
            </w:tcBorders>
            <w:tcMar>
              <w:left w:w="60" w:type="dxa"/>
              <w:right w:w="60" w:type="dxa"/>
            </w:tcMar>
            <w:vAlign w:val="center"/>
          </w:tcPr>
          <w:p w14:paraId="3CD2D95A" w14:textId="77777777" w:rsidR="00807FFE" w:rsidRDefault="00807FFE">
            <w:pPr>
              <w:pStyle w:val="DMETW36765BIPPF"/>
              <w:rPr>
                <w:rFonts w:ascii="Verdana" w:eastAsia="Verdana" w:hAnsi="Verdana" w:cs="Verdana"/>
                <w:i/>
                <w:noProof/>
                <w:color w:val="FFFFFF"/>
                <w:sz w:val="16"/>
                <w:lang w:bidi="en-GB"/>
              </w:rPr>
            </w:pPr>
            <w:bookmarkStart w:id="118" w:name="DOC_TBL00026_1_1"/>
            <w:bookmarkEnd w:id="118"/>
          </w:p>
        </w:tc>
        <w:tc>
          <w:tcPr>
            <w:tcW w:w="767" w:type="dxa"/>
            <w:tcBorders>
              <w:top w:val="nil"/>
              <w:left w:val="nil"/>
              <w:bottom w:val="nil"/>
              <w:right w:val="nil"/>
              <w:tl2br w:val="nil"/>
              <w:tr2bl w:val="nil"/>
            </w:tcBorders>
            <w:tcMar>
              <w:left w:w="60" w:type="dxa"/>
              <w:right w:w="60" w:type="dxa"/>
            </w:tcMar>
            <w:vAlign w:val="bottom"/>
          </w:tcPr>
          <w:p w14:paraId="7FE92589" w14:textId="77777777" w:rsidR="00807FFE" w:rsidRDefault="00807FFE">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bottom"/>
          </w:tcPr>
          <w:p w14:paraId="2E5202CA" w14:textId="77777777" w:rsidR="00807FFE" w:rsidRDefault="00807FFE">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bottom"/>
          </w:tcPr>
          <w:p w14:paraId="1B41C957" w14:textId="77777777" w:rsidR="00807FFE" w:rsidRDefault="00023E71">
            <w:pPr>
              <w:pStyle w:val="DMETW36765BIPPF"/>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F2D6E38" w14:textId="77777777">
        <w:trPr>
          <w:trHeight w:val="255"/>
        </w:trPr>
        <w:tc>
          <w:tcPr>
            <w:tcW w:w="4199" w:type="dxa"/>
            <w:tcBorders>
              <w:top w:val="nil"/>
              <w:left w:val="nil"/>
              <w:bottom w:val="nil"/>
              <w:right w:val="nil"/>
              <w:tl2br w:val="nil"/>
              <w:tr2bl w:val="nil"/>
            </w:tcBorders>
            <w:shd w:val="solid" w:color="016794" w:fill="FFFFFF"/>
            <w:tcMar>
              <w:left w:w="60" w:type="dxa"/>
              <w:right w:w="60" w:type="dxa"/>
            </w:tcMar>
            <w:vAlign w:val="center"/>
          </w:tcPr>
          <w:p w14:paraId="361E7ECF" w14:textId="77777777" w:rsidR="00807FFE" w:rsidRDefault="00807FFE">
            <w:pPr>
              <w:pStyle w:val="DMETW36765BIPPF"/>
              <w:rPr>
                <w:rFonts w:ascii="Verdana" w:eastAsia="Verdana" w:hAnsi="Verdana" w:cs="Verdana"/>
                <w:noProof/>
                <w:color w:val="FFFFFF"/>
              </w:rPr>
            </w:pPr>
          </w:p>
        </w:tc>
        <w:tc>
          <w:tcPr>
            <w:tcW w:w="767" w:type="dxa"/>
            <w:tcBorders>
              <w:top w:val="nil"/>
              <w:left w:val="nil"/>
              <w:bottom w:val="nil"/>
              <w:right w:val="nil"/>
              <w:tl2br w:val="nil"/>
              <w:tr2bl w:val="nil"/>
            </w:tcBorders>
            <w:shd w:val="solid" w:color="016794" w:fill="FFFFFF"/>
            <w:tcMar>
              <w:left w:w="60" w:type="dxa"/>
              <w:right w:w="60" w:type="dxa"/>
            </w:tcMar>
            <w:vAlign w:val="center"/>
          </w:tcPr>
          <w:p w14:paraId="4AF396BA" w14:textId="77777777" w:rsidR="00807FFE" w:rsidRDefault="00023E71">
            <w:pPr>
              <w:pStyle w:val="DMETW36765BIPPF"/>
              <w:jc w:val="center"/>
              <w:rPr>
                <w:rFonts w:ascii="Verdana" w:eastAsia="Verdana" w:hAnsi="Verdana" w:cs="Verdana"/>
                <w:noProof/>
                <w:color w:val="FFFFFF"/>
              </w:rPr>
            </w:pPr>
            <w:r>
              <w:rPr>
                <w:rFonts w:ascii="Verdana" w:eastAsia="Verdana" w:hAnsi="Verdana" w:cs="Verdana"/>
                <w:noProof/>
                <w:color w:val="FFFFFF"/>
              </w:rPr>
              <w:t>Note</w:t>
            </w:r>
          </w:p>
        </w:tc>
        <w:tc>
          <w:tcPr>
            <w:tcW w:w="2396" w:type="dxa"/>
            <w:tcBorders>
              <w:top w:val="nil"/>
              <w:left w:val="nil"/>
              <w:bottom w:val="nil"/>
              <w:right w:val="nil"/>
              <w:tl2br w:val="nil"/>
              <w:tr2bl w:val="nil"/>
            </w:tcBorders>
            <w:shd w:val="solid" w:color="016794" w:fill="FFFFFF"/>
            <w:tcMar>
              <w:left w:w="60" w:type="dxa"/>
              <w:right w:w="60" w:type="dxa"/>
            </w:tcMar>
            <w:vAlign w:val="center"/>
          </w:tcPr>
          <w:p w14:paraId="7DEA3B01" w14:textId="77777777" w:rsidR="00807FFE" w:rsidRDefault="00023E71">
            <w:pPr>
              <w:pStyle w:val="DMETW36765BIPPF"/>
              <w:jc w:val="right"/>
              <w:rPr>
                <w:rFonts w:ascii="Verdana" w:eastAsia="Verdana" w:hAnsi="Verdana" w:cs="Verdana"/>
                <w:noProof/>
                <w:color w:val="FFFFFF"/>
              </w:rPr>
            </w:pPr>
            <w:r>
              <w:rPr>
                <w:rFonts w:ascii="Verdana" w:eastAsia="Verdana" w:hAnsi="Verdana" w:cs="Verdana"/>
                <w:noProof/>
                <w:color w:val="FFFFFF"/>
              </w:rPr>
              <w:t>31.12.2025</w:t>
            </w:r>
          </w:p>
        </w:tc>
        <w:tc>
          <w:tcPr>
            <w:tcW w:w="2396" w:type="dxa"/>
            <w:tcBorders>
              <w:top w:val="nil"/>
              <w:left w:val="nil"/>
              <w:bottom w:val="nil"/>
              <w:right w:val="nil"/>
              <w:tl2br w:val="nil"/>
              <w:tr2bl w:val="nil"/>
            </w:tcBorders>
            <w:shd w:val="solid" w:color="016794" w:fill="FFFFFF"/>
            <w:tcMar>
              <w:left w:w="60" w:type="dxa"/>
              <w:right w:w="60" w:type="dxa"/>
            </w:tcMar>
            <w:vAlign w:val="center"/>
          </w:tcPr>
          <w:p w14:paraId="1DE6829C" w14:textId="77777777" w:rsidR="00807FFE" w:rsidRDefault="00023E71">
            <w:pPr>
              <w:pStyle w:val="DMETW36765BIPPF"/>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CC37C09" w14:textId="77777777">
        <w:trPr>
          <w:trHeight w:val="255"/>
        </w:trPr>
        <w:tc>
          <w:tcPr>
            <w:tcW w:w="4199" w:type="dxa"/>
            <w:tcBorders>
              <w:top w:val="nil"/>
              <w:left w:val="nil"/>
              <w:bottom w:val="nil"/>
              <w:right w:val="nil"/>
              <w:tl2br w:val="nil"/>
              <w:tr2bl w:val="nil"/>
            </w:tcBorders>
            <w:tcMar>
              <w:left w:w="60" w:type="dxa"/>
              <w:right w:w="60" w:type="dxa"/>
            </w:tcMar>
            <w:vAlign w:val="center"/>
          </w:tcPr>
          <w:p w14:paraId="7CEA221F" w14:textId="77777777" w:rsidR="00807FFE" w:rsidRDefault="00023E71">
            <w:pPr>
              <w:pStyle w:val="DMETW36765BIPPF"/>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767" w:type="dxa"/>
            <w:tcBorders>
              <w:top w:val="nil"/>
              <w:left w:val="nil"/>
              <w:bottom w:val="nil"/>
              <w:right w:val="nil"/>
              <w:tl2br w:val="nil"/>
              <w:tr2bl w:val="nil"/>
            </w:tcBorders>
            <w:tcMar>
              <w:left w:w="60" w:type="dxa"/>
              <w:right w:w="60" w:type="dxa"/>
            </w:tcMar>
            <w:vAlign w:val="center"/>
          </w:tcPr>
          <w:p w14:paraId="3D2BFFEA" w14:textId="77777777" w:rsidR="00807FFE" w:rsidRDefault="00807FFE">
            <w:pPr>
              <w:pStyle w:val="DMETW36765BIPPF"/>
              <w:jc w:val="center"/>
              <w:rPr>
                <w:rFonts w:ascii="Verdana" w:eastAsia="Verdana" w:hAnsi="Verdana" w:cs="Verdana"/>
                <w:b/>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14:paraId="5C058933" w14:textId="77777777" w:rsidR="00807FFE" w:rsidRDefault="00807FFE">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center"/>
          </w:tcPr>
          <w:p w14:paraId="5B6D5785" w14:textId="77777777" w:rsidR="00807FFE" w:rsidRDefault="00807FFE">
            <w:pPr>
              <w:pStyle w:val="DMETW36765BIPPF"/>
              <w:rPr>
                <w:rFonts w:ascii="Arial" w:eastAsia="Arial" w:hAnsi="Arial" w:cs="Arial"/>
                <w:noProof/>
                <w:color w:val="000000"/>
                <w:lang w:bidi="en-GB"/>
              </w:rPr>
            </w:pPr>
          </w:p>
        </w:tc>
      </w:tr>
      <w:tr w:rsidR="00807FFE" w14:paraId="1CDEE5FA" w14:textId="77777777">
        <w:trPr>
          <w:trHeight w:val="255"/>
        </w:trPr>
        <w:tc>
          <w:tcPr>
            <w:tcW w:w="4199" w:type="dxa"/>
            <w:tcBorders>
              <w:top w:val="nil"/>
              <w:left w:val="nil"/>
              <w:bottom w:val="nil"/>
              <w:right w:val="nil"/>
              <w:tl2br w:val="nil"/>
              <w:tr2bl w:val="nil"/>
            </w:tcBorders>
            <w:tcMar>
              <w:left w:w="60" w:type="dxa"/>
              <w:right w:w="60" w:type="dxa"/>
            </w:tcMar>
            <w:vAlign w:val="center"/>
          </w:tcPr>
          <w:p w14:paraId="427A1C44" w14:textId="77777777" w:rsidR="00807FFE" w:rsidRDefault="00023E71">
            <w:pPr>
              <w:pStyle w:val="DMETW36765BIPPF"/>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767" w:type="dxa"/>
            <w:tcBorders>
              <w:top w:val="nil"/>
              <w:left w:val="nil"/>
              <w:bottom w:val="nil"/>
              <w:right w:val="nil"/>
              <w:tl2br w:val="nil"/>
              <w:tr2bl w:val="nil"/>
            </w:tcBorders>
            <w:tcMar>
              <w:left w:w="60" w:type="dxa"/>
              <w:right w:w="60" w:type="dxa"/>
            </w:tcMar>
            <w:vAlign w:val="center"/>
          </w:tcPr>
          <w:p w14:paraId="619B42FB" w14:textId="77777777" w:rsidR="00807FFE" w:rsidRDefault="00023E71">
            <w:pPr>
              <w:pStyle w:val="DMETW36765BIPPF"/>
              <w:jc w:val="center"/>
              <w:rPr>
                <w:rFonts w:ascii="Verdana" w:eastAsia="Verdana" w:hAnsi="Verdana" w:cs="Verdana"/>
                <w:i/>
                <w:noProof/>
                <w:color w:val="000000"/>
                <w:sz w:val="18"/>
              </w:rPr>
            </w:pPr>
            <w:r>
              <w:rPr>
                <w:rFonts w:ascii="Verdana" w:eastAsia="Verdana" w:hAnsi="Verdana" w:cs="Verdana"/>
                <w:i/>
                <w:noProof/>
                <w:color w:val="000000"/>
                <w:sz w:val="18"/>
              </w:rPr>
              <w:t>2.5.1</w:t>
            </w:r>
          </w:p>
        </w:tc>
        <w:tc>
          <w:tcPr>
            <w:tcW w:w="2396" w:type="dxa"/>
            <w:tcBorders>
              <w:top w:val="nil"/>
              <w:left w:val="nil"/>
              <w:bottom w:val="nil"/>
              <w:right w:val="nil"/>
              <w:tl2br w:val="nil"/>
              <w:tr2bl w:val="nil"/>
            </w:tcBorders>
            <w:tcMar>
              <w:left w:w="60" w:type="dxa"/>
              <w:right w:w="60" w:type="dxa"/>
            </w:tcMar>
            <w:vAlign w:val="center"/>
          </w:tcPr>
          <w:p w14:paraId="1C656EB4" w14:textId="77777777" w:rsidR="00807FFE" w:rsidRDefault="00023E71">
            <w:pPr>
              <w:pStyle w:val="DMETW36765BIPPF"/>
              <w:jc w:val="right"/>
              <w:rPr>
                <w:rFonts w:ascii="Verdana" w:eastAsia="Verdana" w:hAnsi="Verdana" w:cs="Verdana"/>
                <w:i/>
                <w:noProof/>
                <w:color w:val="000000"/>
                <w:sz w:val="18"/>
              </w:rPr>
            </w:pPr>
            <w:r>
              <w:rPr>
                <w:rFonts w:ascii="Verdana" w:eastAsia="Verdana" w:hAnsi="Verdana" w:cs="Verdana"/>
                <w:i/>
                <w:noProof/>
                <w:color w:val="000000"/>
                <w:sz w:val="18"/>
              </w:rPr>
              <w:t>36 000</w:t>
            </w:r>
          </w:p>
        </w:tc>
        <w:tc>
          <w:tcPr>
            <w:tcW w:w="2396" w:type="dxa"/>
            <w:tcBorders>
              <w:top w:val="nil"/>
              <w:left w:val="nil"/>
              <w:bottom w:val="nil"/>
              <w:right w:val="nil"/>
              <w:tl2br w:val="nil"/>
              <w:tr2bl w:val="nil"/>
            </w:tcBorders>
            <w:tcMar>
              <w:left w:w="60" w:type="dxa"/>
              <w:right w:w="60" w:type="dxa"/>
            </w:tcMar>
            <w:vAlign w:val="center"/>
          </w:tcPr>
          <w:p w14:paraId="7A54A8DB" w14:textId="77777777" w:rsidR="00807FFE" w:rsidRDefault="00023E71">
            <w:pPr>
              <w:pStyle w:val="DMETW36765BIPPF"/>
              <w:jc w:val="right"/>
              <w:rPr>
                <w:rFonts w:ascii="Verdana" w:eastAsia="Verdana" w:hAnsi="Verdana" w:cs="Verdana"/>
                <w:i/>
                <w:noProof/>
                <w:color w:val="000000"/>
                <w:sz w:val="18"/>
                <w:lang w:bidi="en-GB"/>
              </w:rPr>
            </w:pPr>
            <w:r>
              <w:rPr>
                <w:rFonts w:ascii="Verdana" w:eastAsia="Verdana" w:hAnsi="Verdana" w:cs="Verdana"/>
                <w:i/>
                <w:noProof/>
                <w:color w:val="000000"/>
                <w:sz w:val="18"/>
              </w:rPr>
              <w:t>39 093</w:t>
            </w:r>
          </w:p>
        </w:tc>
      </w:tr>
      <w:tr w:rsidR="00807FFE" w14:paraId="6B7F0B04" w14:textId="77777777">
        <w:trPr>
          <w:trHeight w:val="255"/>
        </w:trPr>
        <w:tc>
          <w:tcPr>
            <w:tcW w:w="4199" w:type="dxa"/>
            <w:tcBorders>
              <w:top w:val="nil"/>
              <w:left w:val="nil"/>
              <w:bottom w:val="nil"/>
              <w:right w:val="nil"/>
              <w:tl2br w:val="nil"/>
              <w:tr2bl w:val="nil"/>
            </w:tcBorders>
            <w:tcMar>
              <w:left w:w="60" w:type="dxa"/>
              <w:right w:w="60" w:type="dxa"/>
            </w:tcMar>
            <w:vAlign w:val="center"/>
          </w:tcPr>
          <w:p w14:paraId="2E296A95" w14:textId="77777777" w:rsidR="00807FFE" w:rsidRDefault="00023E71">
            <w:pPr>
              <w:pStyle w:val="DMETW36765BIPPF"/>
              <w:rPr>
                <w:rFonts w:ascii="Verdana" w:eastAsia="Verdana" w:hAnsi="Verdana" w:cs="Verdana"/>
                <w:i/>
                <w:noProof/>
                <w:color w:val="000000"/>
                <w:sz w:val="18"/>
              </w:rPr>
            </w:pPr>
            <w:r>
              <w:rPr>
                <w:rFonts w:ascii="Verdana" w:eastAsia="Verdana" w:hAnsi="Verdana" w:cs="Verdana"/>
                <w:i/>
                <w:noProof/>
                <w:color w:val="000000"/>
                <w:sz w:val="18"/>
              </w:rPr>
              <w:t>Other advances to Member States</w:t>
            </w:r>
          </w:p>
        </w:tc>
        <w:tc>
          <w:tcPr>
            <w:tcW w:w="767" w:type="dxa"/>
            <w:tcBorders>
              <w:top w:val="nil"/>
              <w:left w:val="nil"/>
              <w:bottom w:val="nil"/>
              <w:right w:val="nil"/>
              <w:tl2br w:val="nil"/>
              <w:tr2bl w:val="nil"/>
            </w:tcBorders>
            <w:tcMar>
              <w:left w:w="60" w:type="dxa"/>
              <w:right w:w="60" w:type="dxa"/>
            </w:tcMar>
            <w:vAlign w:val="center"/>
          </w:tcPr>
          <w:p w14:paraId="05EAA9E7" w14:textId="77777777" w:rsidR="00807FFE" w:rsidRDefault="00023E71">
            <w:pPr>
              <w:pStyle w:val="DMETW36765BIPPF"/>
              <w:jc w:val="center"/>
              <w:rPr>
                <w:rFonts w:ascii="Verdana" w:eastAsia="Verdana" w:hAnsi="Verdana" w:cs="Verdana"/>
                <w:i/>
                <w:noProof/>
                <w:color w:val="000000"/>
                <w:sz w:val="18"/>
              </w:rPr>
            </w:pPr>
            <w:r>
              <w:rPr>
                <w:rFonts w:ascii="Verdana" w:eastAsia="Verdana" w:hAnsi="Verdana" w:cs="Verdana"/>
                <w:i/>
                <w:noProof/>
                <w:color w:val="000000"/>
                <w:sz w:val="18"/>
              </w:rPr>
              <w:t>2.5.2</w:t>
            </w:r>
          </w:p>
        </w:tc>
        <w:tc>
          <w:tcPr>
            <w:tcW w:w="2396" w:type="dxa"/>
            <w:tcBorders>
              <w:top w:val="nil"/>
              <w:left w:val="nil"/>
              <w:bottom w:val="nil"/>
              <w:right w:val="nil"/>
              <w:tl2br w:val="nil"/>
              <w:tr2bl w:val="nil"/>
            </w:tcBorders>
            <w:tcMar>
              <w:left w:w="60" w:type="dxa"/>
              <w:right w:w="60" w:type="dxa"/>
            </w:tcMar>
            <w:vAlign w:val="center"/>
          </w:tcPr>
          <w:p w14:paraId="1684B93E" w14:textId="77777777" w:rsidR="00807FFE" w:rsidRDefault="00023E71">
            <w:pPr>
              <w:pStyle w:val="DMETW36765BIPPF"/>
              <w:jc w:val="right"/>
              <w:rPr>
                <w:rFonts w:ascii="Verdana" w:eastAsia="Verdana" w:hAnsi="Verdana" w:cs="Verdana"/>
                <w:i/>
                <w:noProof/>
                <w:color w:val="000000"/>
                <w:sz w:val="18"/>
              </w:rPr>
            </w:pPr>
            <w:r>
              <w:rPr>
                <w:rFonts w:ascii="Verdana" w:eastAsia="Verdana" w:hAnsi="Verdana" w:cs="Verdana"/>
                <w:i/>
                <w:noProof/>
                <w:color w:val="000000"/>
                <w:sz w:val="18"/>
              </w:rPr>
              <w:t>2 933</w:t>
            </w:r>
          </w:p>
        </w:tc>
        <w:tc>
          <w:tcPr>
            <w:tcW w:w="2396" w:type="dxa"/>
            <w:tcBorders>
              <w:top w:val="nil"/>
              <w:left w:val="nil"/>
              <w:bottom w:val="nil"/>
              <w:right w:val="nil"/>
              <w:tl2br w:val="nil"/>
              <w:tr2bl w:val="nil"/>
            </w:tcBorders>
            <w:tcMar>
              <w:left w:w="60" w:type="dxa"/>
              <w:right w:w="60" w:type="dxa"/>
            </w:tcMar>
            <w:vAlign w:val="center"/>
          </w:tcPr>
          <w:p w14:paraId="7CC34D72" w14:textId="77777777" w:rsidR="00807FFE" w:rsidRDefault="00023E71">
            <w:pPr>
              <w:pStyle w:val="DMETW36765BIPPF"/>
              <w:jc w:val="right"/>
              <w:rPr>
                <w:rFonts w:ascii="Verdana" w:eastAsia="Verdana" w:hAnsi="Verdana" w:cs="Verdana"/>
                <w:i/>
                <w:noProof/>
                <w:color w:val="000000"/>
                <w:sz w:val="18"/>
                <w:lang w:bidi="en-GB"/>
              </w:rPr>
            </w:pPr>
            <w:r>
              <w:rPr>
                <w:rFonts w:ascii="Verdana" w:eastAsia="Verdana" w:hAnsi="Verdana" w:cs="Verdana"/>
                <w:i/>
                <w:noProof/>
                <w:color w:val="000000"/>
                <w:sz w:val="18"/>
              </w:rPr>
              <w:t>1 682</w:t>
            </w:r>
          </w:p>
        </w:tc>
      </w:tr>
      <w:tr w:rsidR="00807FFE" w14:paraId="34DD216B" w14:textId="77777777">
        <w:trPr>
          <w:trHeight w:val="255"/>
        </w:trPr>
        <w:tc>
          <w:tcPr>
            <w:tcW w:w="4199" w:type="dxa"/>
            <w:tcBorders>
              <w:top w:val="nil"/>
              <w:left w:val="nil"/>
              <w:bottom w:val="nil"/>
              <w:right w:val="nil"/>
              <w:tl2br w:val="nil"/>
              <w:tr2bl w:val="nil"/>
            </w:tcBorders>
            <w:tcMar>
              <w:left w:w="60" w:type="dxa"/>
              <w:right w:w="60" w:type="dxa"/>
            </w:tcMar>
            <w:vAlign w:val="center"/>
          </w:tcPr>
          <w:p w14:paraId="03D69B5B" w14:textId="77777777" w:rsidR="00807FFE" w:rsidRDefault="00023E71">
            <w:pPr>
              <w:pStyle w:val="DMETW36765BIPPF"/>
              <w:rPr>
                <w:rFonts w:ascii="Verdana" w:eastAsia="Verdana" w:hAnsi="Verdana" w:cs="Verdana"/>
                <w:i/>
                <w:noProof/>
                <w:color w:val="000000"/>
                <w:sz w:val="18"/>
              </w:rPr>
            </w:pPr>
            <w:r>
              <w:rPr>
                <w:rFonts w:ascii="Verdana" w:eastAsia="Verdana" w:hAnsi="Verdana" w:cs="Verdana"/>
                <w:i/>
                <w:noProof/>
                <w:color w:val="000000"/>
                <w:sz w:val="18"/>
              </w:rPr>
              <w:t>Contribution to Trust Funds</w:t>
            </w:r>
          </w:p>
        </w:tc>
        <w:tc>
          <w:tcPr>
            <w:tcW w:w="767" w:type="dxa"/>
            <w:tcBorders>
              <w:top w:val="nil"/>
              <w:left w:val="nil"/>
              <w:bottom w:val="nil"/>
              <w:right w:val="nil"/>
              <w:tl2br w:val="nil"/>
              <w:tr2bl w:val="nil"/>
            </w:tcBorders>
            <w:tcMar>
              <w:left w:w="60" w:type="dxa"/>
              <w:right w:w="60" w:type="dxa"/>
            </w:tcMar>
            <w:vAlign w:val="center"/>
          </w:tcPr>
          <w:p w14:paraId="5B12B21F" w14:textId="77777777" w:rsidR="00807FFE" w:rsidRDefault="00807FFE">
            <w:pPr>
              <w:pStyle w:val="DMETW36765BIPPF"/>
              <w:jc w:val="center"/>
              <w:rPr>
                <w:rFonts w:ascii="Verdana" w:eastAsia="Verdana" w:hAnsi="Verdana" w:cs="Verdana"/>
                <w:i/>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14:paraId="774834B6" w14:textId="77777777" w:rsidR="00807FFE" w:rsidRDefault="00023E71">
            <w:pPr>
              <w:pStyle w:val="DMETW36765BIPPF"/>
              <w:jc w:val="right"/>
              <w:rPr>
                <w:rFonts w:ascii="Verdana" w:eastAsia="Verdana" w:hAnsi="Verdana" w:cs="Verdana"/>
                <w:i/>
                <w:noProof/>
                <w:color w:val="000000"/>
                <w:sz w:val="18"/>
              </w:rPr>
            </w:pPr>
            <w:r>
              <w:rPr>
                <w:rFonts w:ascii="Verdana" w:eastAsia="Verdana" w:hAnsi="Verdana" w:cs="Verdana"/>
                <w:i/>
                <w:noProof/>
                <w:color w:val="000000"/>
                <w:sz w:val="18"/>
              </w:rPr>
              <w:t xml:space="preserve"> 38</w:t>
            </w:r>
          </w:p>
        </w:tc>
        <w:tc>
          <w:tcPr>
            <w:tcW w:w="2396" w:type="dxa"/>
            <w:tcBorders>
              <w:top w:val="nil"/>
              <w:left w:val="nil"/>
              <w:bottom w:val="nil"/>
              <w:right w:val="nil"/>
              <w:tl2br w:val="nil"/>
              <w:tr2bl w:val="nil"/>
            </w:tcBorders>
            <w:tcMar>
              <w:left w:w="60" w:type="dxa"/>
              <w:right w:w="60" w:type="dxa"/>
            </w:tcMar>
            <w:vAlign w:val="center"/>
          </w:tcPr>
          <w:p w14:paraId="281B2813" w14:textId="77777777" w:rsidR="00807FFE" w:rsidRDefault="00023E71">
            <w:pPr>
              <w:pStyle w:val="DMETW36765BIPP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85</w:t>
            </w:r>
          </w:p>
        </w:tc>
      </w:tr>
      <w:tr w:rsidR="00807FFE" w14:paraId="596E8886" w14:textId="77777777">
        <w:trPr>
          <w:trHeight w:val="255"/>
        </w:trPr>
        <w:tc>
          <w:tcPr>
            <w:tcW w:w="4199" w:type="dxa"/>
            <w:tcBorders>
              <w:top w:val="nil"/>
              <w:left w:val="nil"/>
              <w:bottom w:val="nil"/>
              <w:right w:val="nil"/>
              <w:tl2br w:val="nil"/>
              <w:tr2bl w:val="nil"/>
            </w:tcBorders>
            <w:shd w:val="solid" w:color="CCE1EA" w:fill="FFFFFF"/>
            <w:tcMar>
              <w:left w:w="60" w:type="dxa"/>
              <w:right w:w="60" w:type="dxa"/>
            </w:tcMar>
            <w:vAlign w:val="center"/>
          </w:tcPr>
          <w:p w14:paraId="2257C869" w14:textId="77777777" w:rsidR="00807FFE" w:rsidRDefault="00807FFE">
            <w:pPr>
              <w:pStyle w:val="DMETW36765BIPPF"/>
              <w:rPr>
                <w:rFonts w:ascii="Verdana" w:eastAsia="Verdana" w:hAnsi="Verdana" w:cs="Verdana"/>
                <w:b/>
                <w:noProof/>
                <w:color w:val="000000"/>
                <w:sz w:val="18"/>
              </w:rPr>
            </w:pPr>
          </w:p>
        </w:tc>
        <w:tc>
          <w:tcPr>
            <w:tcW w:w="767" w:type="dxa"/>
            <w:tcBorders>
              <w:top w:val="nil"/>
              <w:left w:val="nil"/>
              <w:bottom w:val="nil"/>
              <w:right w:val="nil"/>
              <w:tl2br w:val="nil"/>
              <w:tr2bl w:val="nil"/>
            </w:tcBorders>
            <w:shd w:val="solid" w:color="CCE1EA" w:fill="FFFFFF"/>
            <w:tcMar>
              <w:left w:w="60" w:type="dxa"/>
              <w:right w:w="60" w:type="dxa"/>
            </w:tcMar>
            <w:vAlign w:val="center"/>
          </w:tcPr>
          <w:p w14:paraId="1CB02303" w14:textId="77777777" w:rsidR="00807FFE" w:rsidRDefault="00807FFE">
            <w:pPr>
              <w:pStyle w:val="DMETW36765BIPPF"/>
              <w:jc w:val="center"/>
              <w:rPr>
                <w:rFonts w:ascii="Verdana" w:eastAsia="Verdana" w:hAnsi="Verdana" w:cs="Verdana"/>
                <w:noProof/>
                <w:color w:val="000000"/>
                <w:sz w:val="18"/>
              </w:rPr>
            </w:pPr>
          </w:p>
        </w:tc>
        <w:tc>
          <w:tcPr>
            <w:tcW w:w="2396" w:type="dxa"/>
            <w:tcBorders>
              <w:top w:val="nil"/>
              <w:left w:val="nil"/>
              <w:bottom w:val="nil"/>
              <w:right w:val="nil"/>
              <w:tl2br w:val="nil"/>
              <w:tr2bl w:val="nil"/>
            </w:tcBorders>
            <w:shd w:val="solid" w:color="CCE1EA" w:fill="FFFFFF"/>
            <w:tcMar>
              <w:left w:w="60" w:type="dxa"/>
              <w:right w:w="60" w:type="dxa"/>
            </w:tcMar>
            <w:vAlign w:val="center"/>
          </w:tcPr>
          <w:p w14:paraId="2C3BECC7" w14:textId="77777777" w:rsidR="00807FFE" w:rsidRDefault="00023E71">
            <w:pPr>
              <w:pStyle w:val="DMETW36765BIPPF"/>
              <w:jc w:val="right"/>
              <w:rPr>
                <w:rFonts w:ascii="Verdana" w:eastAsia="Verdana" w:hAnsi="Verdana" w:cs="Verdana"/>
                <w:b/>
                <w:noProof/>
                <w:color w:val="000000"/>
                <w:sz w:val="18"/>
              </w:rPr>
            </w:pPr>
            <w:r>
              <w:rPr>
                <w:rFonts w:ascii="Verdana" w:eastAsia="Verdana" w:hAnsi="Verdana" w:cs="Verdana"/>
                <w:b/>
                <w:noProof/>
                <w:color w:val="000000"/>
                <w:sz w:val="18"/>
              </w:rPr>
              <w:t>38 971</w:t>
            </w:r>
          </w:p>
        </w:tc>
        <w:tc>
          <w:tcPr>
            <w:tcW w:w="2396" w:type="dxa"/>
            <w:tcBorders>
              <w:top w:val="nil"/>
              <w:left w:val="nil"/>
              <w:bottom w:val="nil"/>
              <w:right w:val="nil"/>
              <w:tl2br w:val="nil"/>
              <w:tr2bl w:val="nil"/>
            </w:tcBorders>
            <w:shd w:val="solid" w:color="CCE1EA" w:fill="FFFFFF"/>
            <w:tcMar>
              <w:left w:w="60" w:type="dxa"/>
              <w:right w:w="60" w:type="dxa"/>
            </w:tcMar>
            <w:vAlign w:val="center"/>
          </w:tcPr>
          <w:p w14:paraId="11F75B19" w14:textId="77777777" w:rsidR="00807FFE" w:rsidRDefault="00023E71">
            <w:pPr>
              <w:pStyle w:val="DMETW36765BIPPF"/>
              <w:jc w:val="right"/>
              <w:rPr>
                <w:rFonts w:ascii="Verdana" w:eastAsia="Verdana" w:hAnsi="Verdana" w:cs="Verdana"/>
                <w:b/>
                <w:noProof/>
                <w:color w:val="000000"/>
                <w:sz w:val="18"/>
                <w:lang w:bidi="en-GB"/>
              </w:rPr>
            </w:pPr>
            <w:r>
              <w:rPr>
                <w:rFonts w:ascii="Verdana" w:eastAsia="Verdana" w:hAnsi="Verdana" w:cs="Verdana"/>
                <w:b/>
                <w:noProof/>
                <w:color w:val="000000"/>
                <w:sz w:val="18"/>
              </w:rPr>
              <w:t>40 861</w:t>
            </w:r>
          </w:p>
        </w:tc>
      </w:tr>
      <w:tr w:rsidR="00807FFE" w14:paraId="7CE074D6" w14:textId="77777777">
        <w:trPr>
          <w:trHeight w:val="255"/>
        </w:trPr>
        <w:tc>
          <w:tcPr>
            <w:tcW w:w="4199" w:type="dxa"/>
            <w:tcBorders>
              <w:top w:val="nil"/>
              <w:left w:val="nil"/>
              <w:bottom w:val="nil"/>
              <w:right w:val="nil"/>
              <w:tl2br w:val="nil"/>
              <w:tr2bl w:val="nil"/>
            </w:tcBorders>
            <w:tcMar>
              <w:left w:w="60" w:type="dxa"/>
              <w:right w:w="60" w:type="dxa"/>
            </w:tcMar>
            <w:vAlign w:val="center"/>
          </w:tcPr>
          <w:p w14:paraId="00787099" w14:textId="77777777" w:rsidR="00807FFE" w:rsidRDefault="00023E71">
            <w:pPr>
              <w:pStyle w:val="DMETW36765BIPPF"/>
              <w:rPr>
                <w:rFonts w:ascii="Verdana" w:eastAsia="Verdana" w:hAnsi="Verdana" w:cs="Verdana"/>
                <w:b/>
                <w:noProof/>
                <w:color w:val="000000"/>
                <w:sz w:val="18"/>
              </w:rPr>
            </w:pPr>
            <w:r>
              <w:rPr>
                <w:rFonts w:ascii="Verdana" w:eastAsia="Verdana" w:hAnsi="Verdana" w:cs="Verdana"/>
                <w:b/>
                <w:noProof/>
                <w:color w:val="000000"/>
                <w:sz w:val="18"/>
              </w:rPr>
              <w:t>Current</w:t>
            </w:r>
          </w:p>
        </w:tc>
        <w:tc>
          <w:tcPr>
            <w:tcW w:w="767" w:type="dxa"/>
            <w:tcBorders>
              <w:top w:val="nil"/>
              <w:left w:val="nil"/>
              <w:bottom w:val="nil"/>
              <w:right w:val="nil"/>
              <w:tl2br w:val="nil"/>
              <w:tr2bl w:val="nil"/>
            </w:tcBorders>
            <w:tcMar>
              <w:left w:w="60" w:type="dxa"/>
              <w:right w:w="60" w:type="dxa"/>
            </w:tcMar>
            <w:vAlign w:val="center"/>
          </w:tcPr>
          <w:p w14:paraId="278450FC" w14:textId="77777777" w:rsidR="00807FFE" w:rsidRDefault="00807FFE">
            <w:pPr>
              <w:pStyle w:val="DMETW36765BIPPF"/>
              <w:jc w:val="center"/>
              <w:rPr>
                <w:rFonts w:ascii="Verdana" w:eastAsia="Verdana" w:hAnsi="Verdana" w:cs="Verdana"/>
                <w:b/>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14:paraId="1A239E41" w14:textId="77777777" w:rsidR="00807FFE" w:rsidRDefault="00807FFE">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center"/>
          </w:tcPr>
          <w:p w14:paraId="637AE643" w14:textId="77777777" w:rsidR="00807FFE" w:rsidRDefault="00807FFE">
            <w:pPr>
              <w:pStyle w:val="DMETW36765BIPPF"/>
              <w:rPr>
                <w:rFonts w:ascii="Arial" w:eastAsia="Arial" w:hAnsi="Arial" w:cs="Arial"/>
                <w:noProof/>
                <w:color w:val="000000"/>
                <w:lang w:bidi="en-GB"/>
              </w:rPr>
            </w:pPr>
          </w:p>
        </w:tc>
      </w:tr>
      <w:tr w:rsidR="00807FFE" w14:paraId="23C7E432" w14:textId="77777777">
        <w:trPr>
          <w:trHeight w:val="255"/>
        </w:trPr>
        <w:tc>
          <w:tcPr>
            <w:tcW w:w="4199" w:type="dxa"/>
            <w:tcBorders>
              <w:top w:val="nil"/>
              <w:left w:val="nil"/>
              <w:bottom w:val="nil"/>
              <w:right w:val="nil"/>
              <w:tl2br w:val="nil"/>
              <w:tr2bl w:val="nil"/>
            </w:tcBorders>
            <w:tcMar>
              <w:left w:w="60" w:type="dxa"/>
              <w:right w:w="60" w:type="dxa"/>
            </w:tcMar>
            <w:vAlign w:val="center"/>
          </w:tcPr>
          <w:p w14:paraId="49EF2BD4" w14:textId="77777777" w:rsidR="00807FFE" w:rsidRDefault="00023E71">
            <w:pPr>
              <w:pStyle w:val="DMETW36765BIPPF"/>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767" w:type="dxa"/>
            <w:tcBorders>
              <w:top w:val="nil"/>
              <w:left w:val="nil"/>
              <w:bottom w:val="nil"/>
              <w:right w:val="nil"/>
              <w:tl2br w:val="nil"/>
              <w:tr2bl w:val="nil"/>
            </w:tcBorders>
            <w:tcMar>
              <w:left w:w="60" w:type="dxa"/>
              <w:right w:w="60" w:type="dxa"/>
            </w:tcMar>
            <w:vAlign w:val="center"/>
          </w:tcPr>
          <w:p w14:paraId="7771480B" w14:textId="77777777" w:rsidR="00807FFE" w:rsidRDefault="00023E71">
            <w:pPr>
              <w:pStyle w:val="DMETW36765BIPPF"/>
              <w:jc w:val="center"/>
              <w:rPr>
                <w:rFonts w:ascii="Verdana" w:eastAsia="Verdana" w:hAnsi="Verdana" w:cs="Verdana"/>
                <w:i/>
                <w:noProof/>
                <w:color w:val="000000"/>
                <w:sz w:val="18"/>
              </w:rPr>
            </w:pPr>
            <w:r>
              <w:rPr>
                <w:rFonts w:ascii="Verdana" w:eastAsia="Verdana" w:hAnsi="Verdana" w:cs="Verdana"/>
                <w:i/>
                <w:noProof/>
                <w:color w:val="000000"/>
                <w:sz w:val="18"/>
              </w:rPr>
              <w:t>2.5.1</w:t>
            </w:r>
          </w:p>
        </w:tc>
        <w:tc>
          <w:tcPr>
            <w:tcW w:w="2396" w:type="dxa"/>
            <w:tcBorders>
              <w:top w:val="nil"/>
              <w:left w:val="nil"/>
              <w:bottom w:val="nil"/>
              <w:right w:val="nil"/>
              <w:tl2br w:val="nil"/>
              <w:tr2bl w:val="nil"/>
            </w:tcBorders>
            <w:tcMar>
              <w:left w:w="60" w:type="dxa"/>
              <w:right w:w="60" w:type="dxa"/>
            </w:tcMar>
            <w:vAlign w:val="center"/>
          </w:tcPr>
          <w:p w14:paraId="4FE5BAA4" w14:textId="77777777" w:rsidR="00807FFE" w:rsidRDefault="00023E71">
            <w:pPr>
              <w:pStyle w:val="DMETW36765BIPPF"/>
              <w:jc w:val="right"/>
              <w:rPr>
                <w:rFonts w:ascii="Verdana" w:eastAsia="Verdana" w:hAnsi="Verdana" w:cs="Verdana"/>
                <w:i/>
                <w:noProof/>
                <w:color w:val="000000"/>
                <w:sz w:val="18"/>
              </w:rPr>
            </w:pPr>
            <w:r>
              <w:rPr>
                <w:rFonts w:ascii="Verdana" w:eastAsia="Verdana" w:hAnsi="Verdana" w:cs="Verdana"/>
                <w:i/>
                <w:noProof/>
                <w:color w:val="000000"/>
                <w:sz w:val="18"/>
              </w:rPr>
              <w:t>35 298</w:t>
            </w:r>
          </w:p>
        </w:tc>
        <w:tc>
          <w:tcPr>
            <w:tcW w:w="2396" w:type="dxa"/>
            <w:tcBorders>
              <w:top w:val="nil"/>
              <w:left w:val="nil"/>
              <w:bottom w:val="nil"/>
              <w:right w:val="nil"/>
              <w:tl2br w:val="nil"/>
              <w:tr2bl w:val="nil"/>
            </w:tcBorders>
            <w:tcMar>
              <w:left w:w="60" w:type="dxa"/>
              <w:right w:w="60" w:type="dxa"/>
            </w:tcMar>
            <w:vAlign w:val="center"/>
          </w:tcPr>
          <w:p w14:paraId="3B360E1B" w14:textId="77777777" w:rsidR="00807FFE" w:rsidRDefault="00023E71">
            <w:pPr>
              <w:pStyle w:val="DMETW36765BIPPF"/>
              <w:jc w:val="right"/>
              <w:rPr>
                <w:rFonts w:ascii="Verdana" w:eastAsia="Verdana" w:hAnsi="Verdana" w:cs="Verdana"/>
                <w:i/>
                <w:noProof/>
                <w:color w:val="000000"/>
                <w:sz w:val="18"/>
                <w:lang w:bidi="en-GB"/>
              </w:rPr>
            </w:pPr>
            <w:r>
              <w:rPr>
                <w:rFonts w:ascii="Verdana" w:eastAsia="Verdana" w:hAnsi="Verdana" w:cs="Verdana"/>
                <w:i/>
                <w:noProof/>
                <w:color w:val="000000"/>
                <w:sz w:val="18"/>
              </w:rPr>
              <w:t>35 969</w:t>
            </w:r>
          </w:p>
        </w:tc>
      </w:tr>
      <w:tr w:rsidR="00807FFE" w14:paraId="061A081F" w14:textId="77777777">
        <w:trPr>
          <w:trHeight w:val="255"/>
        </w:trPr>
        <w:tc>
          <w:tcPr>
            <w:tcW w:w="4199" w:type="dxa"/>
            <w:tcBorders>
              <w:top w:val="nil"/>
              <w:left w:val="nil"/>
              <w:bottom w:val="nil"/>
              <w:right w:val="nil"/>
              <w:tl2br w:val="nil"/>
              <w:tr2bl w:val="nil"/>
            </w:tcBorders>
            <w:tcMar>
              <w:left w:w="60" w:type="dxa"/>
              <w:right w:w="60" w:type="dxa"/>
            </w:tcMar>
            <w:vAlign w:val="center"/>
          </w:tcPr>
          <w:p w14:paraId="468A2975" w14:textId="77777777" w:rsidR="00807FFE" w:rsidRDefault="00023E71">
            <w:pPr>
              <w:pStyle w:val="DMETW36765BIPPF"/>
              <w:rPr>
                <w:rFonts w:ascii="Verdana" w:eastAsia="Verdana" w:hAnsi="Verdana" w:cs="Verdana"/>
                <w:i/>
                <w:noProof/>
                <w:color w:val="000000"/>
                <w:sz w:val="18"/>
              </w:rPr>
            </w:pPr>
            <w:r>
              <w:rPr>
                <w:rFonts w:ascii="Verdana" w:eastAsia="Verdana" w:hAnsi="Verdana" w:cs="Verdana"/>
                <w:i/>
                <w:noProof/>
                <w:color w:val="000000"/>
                <w:sz w:val="18"/>
              </w:rPr>
              <w:t>Other advances to Member States</w:t>
            </w:r>
          </w:p>
        </w:tc>
        <w:tc>
          <w:tcPr>
            <w:tcW w:w="767" w:type="dxa"/>
            <w:tcBorders>
              <w:top w:val="nil"/>
              <w:left w:val="nil"/>
              <w:bottom w:val="nil"/>
              <w:right w:val="nil"/>
              <w:tl2br w:val="nil"/>
              <w:tr2bl w:val="nil"/>
            </w:tcBorders>
            <w:tcMar>
              <w:left w:w="60" w:type="dxa"/>
              <w:right w:w="60" w:type="dxa"/>
            </w:tcMar>
            <w:vAlign w:val="center"/>
          </w:tcPr>
          <w:p w14:paraId="3D65386F" w14:textId="77777777" w:rsidR="00807FFE" w:rsidRDefault="00023E71">
            <w:pPr>
              <w:pStyle w:val="DMETW36765BIPPF"/>
              <w:jc w:val="center"/>
              <w:rPr>
                <w:rFonts w:ascii="Verdana" w:eastAsia="Verdana" w:hAnsi="Verdana" w:cs="Verdana"/>
                <w:i/>
                <w:noProof/>
                <w:color w:val="000000"/>
                <w:sz w:val="18"/>
              </w:rPr>
            </w:pPr>
            <w:r>
              <w:rPr>
                <w:rFonts w:ascii="Verdana" w:eastAsia="Verdana" w:hAnsi="Verdana" w:cs="Verdana"/>
                <w:i/>
                <w:noProof/>
                <w:color w:val="000000"/>
                <w:sz w:val="18"/>
              </w:rPr>
              <w:t>2.5.2</w:t>
            </w:r>
          </w:p>
        </w:tc>
        <w:tc>
          <w:tcPr>
            <w:tcW w:w="2396" w:type="dxa"/>
            <w:tcBorders>
              <w:top w:val="nil"/>
              <w:left w:val="nil"/>
              <w:bottom w:val="nil"/>
              <w:right w:val="nil"/>
              <w:tl2br w:val="nil"/>
              <w:tr2bl w:val="nil"/>
            </w:tcBorders>
            <w:tcMar>
              <w:left w:w="60" w:type="dxa"/>
              <w:right w:w="60" w:type="dxa"/>
            </w:tcMar>
            <w:vAlign w:val="center"/>
          </w:tcPr>
          <w:p w14:paraId="6F32C660" w14:textId="77777777" w:rsidR="00807FFE" w:rsidRDefault="00023E71">
            <w:pPr>
              <w:pStyle w:val="DMETW36765BIPPF"/>
              <w:jc w:val="right"/>
              <w:rPr>
                <w:rFonts w:ascii="Verdana" w:eastAsia="Verdana" w:hAnsi="Verdana" w:cs="Verdana"/>
                <w:i/>
                <w:noProof/>
                <w:color w:val="000000"/>
                <w:sz w:val="18"/>
              </w:rPr>
            </w:pPr>
            <w:r>
              <w:rPr>
                <w:rFonts w:ascii="Verdana" w:eastAsia="Verdana" w:hAnsi="Verdana" w:cs="Verdana"/>
                <w:i/>
                <w:noProof/>
                <w:color w:val="000000"/>
                <w:sz w:val="18"/>
              </w:rPr>
              <w:t>2 477</w:t>
            </w:r>
          </w:p>
        </w:tc>
        <w:tc>
          <w:tcPr>
            <w:tcW w:w="2396" w:type="dxa"/>
            <w:tcBorders>
              <w:top w:val="nil"/>
              <w:left w:val="nil"/>
              <w:bottom w:val="nil"/>
              <w:right w:val="nil"/>
              <w:tl2br w:val="nil"/>
              <w:tr2bl w:val="nil"/>
            </w:tcBorders>
            <w:tcMar>
              <w:left w:w="60" w:type="dxa"/>
              <w:right w:w="60" w:type="dxa"/>
            </w:tcMar>
            <w:vAlign w:val="center"/>
          </w:tcPr>
          <w:p w14:paraId="09F138BB" w14:textId="77777777" w:rsidR="00807FFE" w:rsidRDefault="00023E71">
            <w:pPr>
              <w:pStyle w:val="DMETW36765BIPPF"/>
              <w:jc w:val="right"/>
              <w:rPr>
                <w:rFonts w:ascii="Verdana" w:eastAsia="Verdana" w:hAnsi="Verdana" w:cs="Verdana"/>
                <w:i/>
                <w:noProof/>
                <w:color w:val="000000"/>
                <w:sz w:val="18"/>
                <w:lang w:bidi="en-GB"/>
              </w:rPr>
            </w:pPr>
            <w:r>
              <w:rPr>
                <w:rFonts w:ascii="Verdana" w:eastAsia="Verdana" w:hAnsi="Verdana" w:cs="Verdana"/>
                <w:i/>
                <w:noProof/>
                <w:color w:val="000000"/>
                <w:sz w:val="18"/>
              </w:rPr>
              <w:t>2 089</w:t>
            </w:r>
          </w:p>
        </w:tc>
      </w:tr>
      <w:tr w:rsidR="00807FFE" w14:paraId="151CC6E4" w14:textId="77777777">
        <w:trPr>
          <w:trHeight w:val="255"/>
        </w:trPr>
        <w:tc>
          <w:tcPr>
            <w:tcW w:w="4199" w:type="dxa"/>
            <w:tcBorders>
              <w:top w:val="nil"/>
              <w:left w:val="nil"/>
              <w:bottom w:val="nil"/>
              <w:right w:val="nil"/>
              <w:tl2br w:val="nil"/>
              <w:tr2bl w:val="nil"/>
            </w:tcBorders>
            <w:shd w:val="solid" w:color="CCE1EA" w:fill="FFFFFF"/>
            <w:tcMar>
              <w:left w:w="60" w:type="dxa"/>
              <w:right w:w="60" w:type="dxa"/>
            </w:tcMar>
            <w:vAlign w:val="center"/>
          </w:tcPr>
          <w:p w14:paraId="2FB64ADB" w14:textId="77777777" w:rsidR="00807FFE" w:rsidRDefault="00807FFE">
            <w:pPr>
              <w:pStyle w:val="DMETW36765BIPPF"/>
              <w:rPr>
                <w:rFonts w:ascii="Verdana" w:eastAsia="Verdana" w:hAnsi="Verdana" w:cs="Verdana"/>
                <w:b/>
                <w:noProof/>
                <w:color w:val="000000"/>
                <w:sz w:val="18"/>
              </w:rPr>
            </w:pPr>
          </w:p>
        </w:tc>
        <w:tc>
          <w:tcPr>
            <w:tcW w:w="767" w:type="dxa"/>
            <w:tcBorders>
              <w:top w:val="nil"/>
              <w:left w:val="nil"/>
              <w:bottom w:val="nil"/>
              <w:right w:val="nil"/>
              <w:tl2br w:val="nil"/>
              <w:tr2bl w:val="nil"/>
            </w:tcBorders>
            <w:shd w:val="solid" w:color="CCE1EA" w:fill="FFFFFF"/>
            <w:tcMar>
              <w:left w:w="60" w:type="dxa"/>
              <w:right w:w="60" w:type="dxa"/>
            </w:tcMar>
            <w:vAlign w:val="center"/>
          </w:tcPr>
          <w:p w14:paraId="7F6272DF" w14:textId="77777777" w:rsidR="00807FFE" w:rsidRDefault="00807FFE">
            <w:pPr>
              <w:pStyle w:val="DMETW36765BIPPF"/>
              <w:jc w:val="center"/>
              <w:rPr>
                <w:rFonts w:ascii="Verdana" w:eastAsia="Verdana" w:hAnsi="Verdana" w:cs="Verdana"/>
                <w:noProof/>
                <w:color w:val="000000"/>
                <w:sz w:val="18"/>
              </w:rPr>
            </w:pPr>
          </w:p>
        </w:tc>
        <w:tc>
          <w:tcPr>
            <w:tcW w:w="2396" w:type="dxa"/>
            <w:tcBorders>
              <w:top w:val="nil"/>
              <w:left w:val="nil"/>
              <w:bottom w:val="nil"/>
              <w:right w:val="nil"/>
              <w:tl2br w:val="nil"/>
              <w:tr2bl w:val="nil"/>
            </w:tcBorders>
            <w:shd w:val="solid" w:color="CCE1EA" w:fill="FFFFFF"/>
            <w:tcMar>
              <w:left w:w="60" w:type="dxa"/>
              <w:right w:w="60" w:type="dxa"/>
            </w:tcMar>
            <w:vAlign w:val="center"/>
          </w:tcPr>
          <w:p w14:paraId="7EDDC181" w14:textId="77777777" w:rsidR="00807FFE" w:rsidRDefault="00023E71">
            <w:pPr>
              <w:pStyle w:val="DMETW36765BIPPF"/>
              <w:jc w:val="right"/>
              <w:rPr>
                <w:rFonts w:ascii="Verdana" w:eastAsia="Verdana" w:hAnsi="Verdana" w:cs="Verdana"/>
                <w:b/>
                <w:noProof/>
                <w:color w:val="000000"/>
                <w:sz w:val="18"/>
              </w:rPr>
            </w:pPr>
            <w:r>
              <w:rPr>
                <w:rFonts w:ascii="Verdana" w:eastAsia="Verdana" w:hAnsi="Verdana" w:cs="Verdana"/>
                <w:b/>
                <w:noProof/>
                <w:color w:val="000000"/>
                <w:sz w:val="18"/>
              </w:rPr>
              <w:t>37 775</w:t>
            </w:r>
          </w:p>
        </w:tc>
        <w:tc>
          <w:tcPr>
            <w:tcW w:w="2396" w:type="dxa"/>
            <w:tcBorders>
              <w:top w:val="nil"/>
              <w:left w:val="nil"/>
              <w:bottom w:val="nil"/>
              <w:right w:val="nil"/>
              <w:tl2br w:val="nil"/>
              <w:tr2bl w:val="nil"/>
            </w:tcBorders>
            <w:shd w:val="solid" w:color="CCE1EA" w:fill="FFFFFF"/>
            <w:tcMar>
              <w:left w:w="60" w:type="dxa"/>
              <w:right w:w="60" w:type="dxa"/>
            </w:tcMar>
            <w:vAlign w:val="center"/>
          </w:tcPr>
          <w:p w14:paraId="1C5572AB" w14:textId="77777777" w:rsidR="00807FFE" w:rsidRDefault="00023E71">
            <w:pPr>
              <w:pStyle w:val="DMETW36765BIPPF"/>
              <w:jc w:val="right"/>
              <w:rPr>
                <w:rFonts w:ascii="Verdana" w:eastAsia="Verdana" w:hAnsi="Verdana" w:cs="Verdana"/>
                <w:b/>
                <w:noProof/>
                <w:color w:val="000000"/>
                <w:sz w:val="18"/>
                <w:lang w:bidi="en-GB"/>
              </w:rPr>
            </w:pPr>
            <w:r>
              <w:rPr>
                <w:rFonts w:ascii="Verdana" w:eastAsia="Verdana" w:hAnsi="Verdana" w:cs="Verdana"/>
                <w:b/>
                <w:noProof/>
                <w:color w:val="000000"/>
                <w:sz w:val="18"/>
              </w:rPr>
              <w:t>38 058</w:t>
            </w:r>
          </w:p>
        </w:tc>
      </w:tr>
      <w:tr w:rsidR="00807FFE" w14:paraId="4CBA400C" w14:textId="77777777">
        <w:trPr>
          <w:trHeight w:val="255"/>
        </w:trPr>
        <w:tc>
          <w:tcPr>
            <w:tcW w:w="4199" w:type="dxa"/>
            <w:tcBorders>
              <w:top w:val="nil"/>
              <w:left w:val="nil"/>
              <w:bottom w:val="single" w:sz="4" w:space="0" w:color="016794"/>
              <w:right w:val="nil"/>
              <w:tl2br w:val="nil"/>
              <w:tr2bl w:val="nil"/>
            </w:tcBorders>
            <w:tcMar>
              <w:left w:w="60" w:type="dxa"/>
              <w:right w:w="60" w:type="dxa"/>
            </w:tcMar>
            <w:vAlign w:val="center"/>
          </w:tcPr>
          <w:p w14:paraId="0C06D839" w14:textId="77777777" w:rsidR="00807FFE" w:rsidRDefault="00023E71">
            <w:pPr>
              <w:pStyle w:val="DMETW36765BIPPF"/>
              <w:rPr>
                <w:rFonts w:ascii="Verdana" w:eastAsia="Verdana" w:hAnsi="Verdana" w:cs="Verdana"/>
                <w:b/>
                <w:noProof/>
                <w:color w:val="000000"/>
                <w:sz w:val="18"/>
              </w:rPr>
            </w:pPr>
            <w:r>
              <w:rPr>
                <w:rFonts w:ascii="Verdana" w:eastAsia="Verdana" w:hAnsi="Verdana" w:cs="Verdana"/>
                <w:b/>
                <w:noProof/>
                <w:color w:val="000000"/>
                <w:sz w:val="18"/>
              </w:rPr>
              <w:t>Total</w:t>
            </w:r>
          </w:p>
        </w:tc>
        <w:tc>
          <w:tcPr>
            <w:tcW w:w="767" w:type="dxa"/>
            <w:tcBorders>
              <w:top w:val="nil"/>
              <w:left w:val="nil"/>
              <w:bottom w:val="single" w:sz="4" w:space="0" w:color="016794"/>
              <w:right w:val="nil"/>
              <w:tl2br w:val="nil"/>
              <w:tr2bl w:val="nil"/>
            </w:tcBorders>
            <w:tcMar>
              <w:left w:w="60" w:type="dxa"/>
              <w:right w:w="60" w:type="dxa"/>
            </w:tcMar>
            <w:vAlign w:val="center"/>
          </w:tcPr>
          <w:p w14:paraId="7DA1A971" w14:textId="77777777" w:rsidR="00807FFE" w:rsidRDefault="00807FFE">
            <w:pPr>
              <w:pStyle w:val="DMETW36765BIPPF"/>
              <w:jc w:val="center"/>
              <w:rPr>
                <w:rFonts w:ascii="Verdana" w:eastAsia="Verdana" w:hAnsi="Verdana" w:cs="Verdana"/>
                <w:noProof/>
                <w:color w:val="000000"/>
                <w:sz w:val="18"/>
              </w:rPr>
            </w:pPr>
          </w:p>
        </w:tc>
        <w:tc>
          <w:tcPr>
            <w:tcW w:w="2396" w:type="dxa"/>
            <w:tcBorders>
              <w:top w:val="nil"/>
              <w:left w:val="nil"/>
              <w:bottom w:val="single" w:sz="4" w:space="0" w:color="016794"/>
              <w:right w:val="nil"/>
              <w:tl2br w:val="nil"/>
              <w:tr2bl w:val="nil"/>
            </w:tcBorders>
            <w:tcMar>
              <w:left w:w="60" w:type="dxa"/>
              <w:right w:w="60" w:type="dxa"/>
            </w:tcMar>
            <w:vAlign w:val="center"/>
          </w:tcPr>
          <w:p w14:paraId="3DEE50BB" w14:textId="77777777" w:rsidR="00807FFE" w:rsidRDefault="00023E71">
            <w:pPr>
              <w:pStyle w:val="DMETW36765BIPPF"/>
              <w:jc w:val="right"/>
              <w:rPr>
                <w:rFonts w:ascii="Verdana" w:eastAsia="Verdana" w:hAnsi="Verdana" w:cs="Verdana"/>
                <w:b/>
                <w:noProof/>
                <w:color w:val="000000"/>
                <w:sz w:val="18"/>
              </w:rPr>
            </w:pPr>
            <w:r>
              <w:rPr>
                <w:rFonts w:ascii="Verdana" w:eastAsia="Verdana" w:hAnsi="Verdana" w:cs="Verdana"/>
                <w:b/>
                <w:noProof/>
                <w:color w:val="000000"/>
                <w:sz w:val="18"/>
              </w:rPr>
              <w:t>76 746</w:t>
            </w:r>
          </w:p>
        </w:tc>
        <w:tc>
          <w:tcPr>
            <w:tcW w:w="2396" w:type="dxa"/>
            <w:tcBorders>
              <w:top w:val="nil"/>
              <w:left w:val="nil"/>
              <w:bottom w:val="single" w:sz="4" w:space="0" w:color="016794"/>
              <w:right w:val="nil"/>
              <w:tl2br w:val="nil"/>
              <w:tr2bl w:val="nil"/>
            </w:tcBorders>
            <w:tcMar>
              <w:left w:w="60" w:type="dxa"/>
              <w:right w:w="60" w:type="dxa"/>
            </w:tcMar>
            <w:vAlign w:val="center"/>
          </w:tcPr>
          <w:p w14:paraId="7A9BF95C" w14:textId="77777777" w:rsidR="00807FFE" w:rsidRDefault="00023E71">
            <w:pPr>
              <w:pStyle w:val="DMETW36765BIPPF"/>
              <w:jc w:val="right"/>
              <w:rPr>
                <w:rFonts w:ascii="Verdana" w:eastAsia="Verdana" w:hAnsi="Verdana" w:cs="Verdana"/>
                <w:b/>
                <w:noProof/>
                <w:color w:val="000000"/>
                <w:sz w:val="18"/>
              </w:rPr>
            </w:pPr>
            <w:r>
              <w:rPr>
                <w:rFonts w:ascii="Verdana" w:eastAsia="Verdana" w:hAnsi="Verdana" w:cs="Verdana"/>
                <w:b/>
                <w:noProof/>
                <w:color w:val="000000"/>
                <w:sz w:val="18"/>
              </w:rPr>
              <w:t>78 919</w:t>
            </w:r>
          </w:p>
        </w:tc>
      </w:tr>
    </w:tbl>
    <w:p w14:paraId="2037EF7E" w14:textId="77777777" w:rsidR="00F256E6" w:rsidRDefault="00023E71" w:rsidP="00DB7C34">
      <w:pPr>
        <w:pStyle w:val="DGTextstand-alone"/>
      </w:pPr>
      <w:r w:rsidRPr="007702CE">
        <w:t xml:space="preserve">The level of pre-financing in the various programmes must be sufficient to ensure the necessary funding for the beneficiary to </w:t>
      </w:r>
      <w:r>
        <w:t xml:space="preserve">initiate and advance </w:t>
      </w:r>
      <w:r w:rsidRPr="007702CE">
        <w:t xml:space="preserve">the project, while also safeguarding the financial interests of the EU and taking into consideration legal, operational and cost-effectiveness constraints. </w:t>
      </w:r>
    </w:p>
    <w:p w14:paraId="1CEB742A" w14:textId="77777777" w:rsidR="00DA505B" w:rsidRDefault="00023E71" w:rsidP="00172034">
      <w:pPr>
        <w:pStyle w:val="HEADER3NOTES"/>
        <w:numPr>
          <w:ilvl w:val="2"/>
          <w:numId w:val="15"/>
        </w:numPr>
        <w:rPr>
          <w:noProof/>
        </w:rPr>
      </w:pPr>
      <w:r>
        <w:rPr>
          <w:noProof/>
        </w:rPr>
        <w:t>Pre-financing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1"/>
        <w:gridCol w:w="1750"/>
        <w:gridCol w:w="1893"/>
        <w:gridCol w:w="1864"/>
      </w:tblGrid>
      <w:tr w:rsidR="00807FFE" w14:paraId="16DE0662" w14:textId="77777777">
        <w:trPr>
          <w:trHeight w:val="255"/>
        </w:trPr>
        <w:tc>
          <w:tcPr>
            <w:tcW w:w="4251" w:type="dxa"/>
            <w:tcBorders>
              <w:top w:val="nil"/>
              <w:left w:val="nil"/>
              <w:bottom w:val="nil"/>
              <w:right w:val="nil"/>
              <w:tl2br w:val="nil"/>
              <w:tr2bl w:val="nil"/>
            </w:tcBorders>
            <w:tcMar>
              <w:left w:w="60" w:type="dxa"/>
              <w:right w:w="60" w:type="dxa"/>
            </w:tcMar>
            <w:vAlign w:val="bottom"/>
          </w:tcPr>
          <w:p w14:paraId="0FD43C5D" w14:textId="77777777" w:rsidR="00807FFE" w:rsidRDefault="00807FFE">
            <w:pPr>
              <w:pStyle w:val="DMETW36765BIPPFD"/>
              <w:rPr>
                <w:rFonts w:ascii="Arial" w:eastAsia="Arial" w:hAnsi="Arial" w:cs="Arial"/>
                <w:noProof/>
                <w:color w:val="000000"/>
                <w:lang w:bidi="en-GB"/>
              </w:rPr>
            </w:pPr>
            <w:bookmarkStart w:id="119" w:name="DOC_TBL00027_1_1"/>
            <w:bookmarkEnd w:id="119"/>
          </w:p>
        </w:tc>
        <w:tc>
          <w:tcPr>
            <w:tcW w:w="1750" w:type="dxa"/>
            <w:tcBorders>
              <w:top w:val="nil"/>
              <w:left w:val="nil"/>
              <w:bottom w:val="nil"/>
              <w:right w:val="nil"/>
              <w:tl2br w:val="nil"/>
              <w:tr2bl w:val="nil"/>
            </w:tcBorders>
            <w:tcMar>
              <w:left w:w="60" w:type="dxa"/>
              <w:right w:w="60" w:type="dxa"/>
            </w:tcMar>
            <w:vAlign w:val="bottom"/>
          </w:tcPr>
          <w:p w14:paraId="5C1C6BBD" w14:textId="77777777" w:rsidR="00807FFE" w:rsidRDefault="00807FFE">
            <w:pPr>
              <w:pStyle w:val="DMETW36765BIPPFD"/>
              <w:rPr>
                <w:rFonts w:ascii="Arial" w:eastAsia="Arial" w:hAnsi="Arial" w:cs="Arial"/>
                <w:noProof/>
                <w:color w:val="000000"/>
              </w:rPr>
            </w:pPr>
          </w:p>
        </w:tc>
        <w:tc>
          <w:tcPr>
            <w:tcW w:w="1893" w:type="dxa"/>
            <w:tcBorders>
              <w:top w:val="nil"/>
              <w:left w:val="nil"/>
              <w:bottom w:val="nil"/>
              <w:right w:val="nil"/>
              <w:tl2br w:val="nil"/>
              <w:tr2bl w:val="nil"/>
            </w:tcBorders>
            <w:tcMar>
              <w:left w:w="60" w:type="dxa"/>
              <w:right w:w="60" w:type="dxa"/>
            </w:tcMar>
            <w:vAlign w:val="bottom"/>
          </w:tcPr>
          <w:p w14:paraId="495E1517" w14:textId="77777777" w:rsidR="00807FFE" w:rsidRDefault="00807FFE">
            <w:pPr>
              <w:pStyle w:val="DMETW36765BIPPFD"/>
              <w:rPr>
                <w:rFonts w:ascii="Arial" w:eastAsia="Arial" w:hAnsi="Arial" w:cs="Arial"/>
                <w:noProof/>
                <w:color w:val="000000"/>
              </w:rPr>
            </w:pPr>
          </w:p>
        </w:tc>
        <w:tc>
          <w:tcPr>
            <w:tcW w:w="1864" w:type="dxa"/>
            <w:tcBorders>
              <w:top w:val="nil"/>
              <w:left w:val="nil"/>
              <w:bottom w:val="nil"/>
              <w:right w:val="nil"/>
              <w:tl2br w:val="nil"/>
              <w:tr2bl w:val="nil"/>
            </w:tcBorders>
            <w:tcMar>
              <w:left w:w="60" w:type="dxa"/>
              <w:right w:w="60" w:type="dxa"/>
            </w:tcMar>
            <w:vAlign w:val="bottom"/>
          </w:tcPr>
          <w:p w14:paraId="395BEE9E"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C0A1511" w14:textId="77777777">
        <w:trPr>
          <w:trHeight w:val="255"/>
        </w:trPr>
        <w:tc>
          <w:tcPr>
            <w:tcW w:w="4251" w:type="dxa"/>
            <w:tcBorders>
              <w:top w:val="nil"/>
              <w:left w:val="nil"/>
              <w:bottom w:val="nil"/>
              <w:right w:val="nil"/>
              <w:tl2br w:val="nil"/>
              <w:tr2bl w:val="nil"/>
            </w:tcBorders>
            <w:shd w:val="solid" w:color="016794" w:fill="FFFFFF"/>
            <w:tcMar>
              <w:left w:w="60" w:type="dxa"/>
              <w:right w:w="60" w:type="dxa"/>
            </w:tcMar>
            <w:vAlign w:val="center"/>
          </w:tcPr>
          <w:p w14:paraId="5EA78F0D" w14:textId="77777777" w:rsidR="00807FFE" w:rsidRDefault="00807FFE">
            <w:pPr>
              <w:pStyle w:val="DMETW36765BIPPFD"/>
              <w:jc w:val="right"/>
              <w:rPr>
                <w:rFonts w:ascii="Verdana" w:eastAsia="Verdana" w:hAnsi="Verdana" w:cs="Verdana"/>
                <w:noProof/>
                <w:color w:val="FFFFFF"/>
                <w:sz w:val="16"/>
              </w:rPr>
            </w:pPr>
          </w:p>
        </w:tc>
        <w:tc>
          <w:tcPr>
            <w:tcW w:w="1750" w:type="dxa"/>
            <w:tcBorders>
              <w:top w:val="nil"/>
              <w:left w:val="nil"/>
              <w:bottom w:val="nil"/>
              <w:right w:val="nil"/>
              <w:tl2br w:val="nil"/>
              <w:tr2bl w:val="nil"/>
            </w:tcBorders>
            <w:shd w:val="solid" w:color="016794" w:fill="FFFFFF"/>
            <w:tcMar>
              <w:left w:w="60" w:type="dxa"/>
              <w:right w:w="60" w:type="dxa"/>
            </w:tcMar>
            <w:vAlign w:val="center"/>
          </w:tcPr>
          <w:p w14:paraId="5D27E16E" w14:textId="77777777" w:rsidR="00807FFE" w:rsidRDefault="00023E71">
            <w:pPr>
              <w:pStyle w:val="DMETW36765BIPPFD"/>
              <w:jc w:val="right"/>
              <w:rPr>
                <w:rFonts w:ascii="Verdana" w:eastAsia="Verdana" w:hAnsi="Verdana" w:cs="Verdana"/>
                <w:noProof/>
                <w:color w:val="FFFFFF"/>
                <w:sz w:val="16"/>
              </w:rPr>
            </w:pPr>
            <w:r>
              <w:rPr>
                <w:rFonts w:ascii="Verdana" w:eastAsia="Verdana" w:hAnsi="Verdana" w:cs="Verdana"/>
                <w:noProof/>
                <w:color w:val="FFFFFF"/>
                <w:sz w:val="16"/>
              </w:rPr>
              <w:t>Gross amount</w:t>
            </w:r>
          </w:p>
        </w:tc>
        <w:tc>
          <w:tcPr>
            <w:tcW w:w="1893" w:type="dxa"/>
            <w:tcBorders>
              <w:top w:val="nil"/>
              <w:left w:val="nil"/>
              <w:bottom w:val="nil"/>
              <w:right w:val="nil"/>
              <w:tl2br w:val="nil"/>
              <w:tr2bl w:val="nil"/>
            </w:tcBorders>
            <w:shd w:val="solid" w:color="016794" w:fill="FFFFFF"/>
            <w:tcMar>
              <w:left w:w="60" w:type="dxa"/>
              <w:right w:w="60" w:type="dxa"/>
            </w:tcMar>
            <w:vAlign w:val="center"/>
          </w:tcPr>
          <w:p w14:paraId="5E000E87" w14:textId="77777777" w:rsidR="00807FFE" w:rsidRDefault="00023E71">
            <w:pPr>
              <w:pStyle w:val="DMETW36765BIPPFD"/>
              <w:jc w:val="right"/>
              <w:rPr>
                <w:rFonts w:ascii="Verdana" w:eastAsia="Verdana" w:hAnsi="Verdana" w:cs="Verdana"/>
                <w:noProof/>
                <w:color w:val="FFFFFF"/>
                <w:sz w:val="16"/>
              </w:rPr>
            </w:pPr>
            <w:r>
              <w:rPr>
                <w:rFonts w:ascii="Verdana" w:eastAsia="Verdana" w:hAnsi="Verdana" w:cs="Verdana"/>
                <w:noProof/>
                <w:color w:val="FFFFFF"/>
                <w:sz w:val="16"/>
              </w:rPr>
              <w:t>Cleared via accruals</w:t>
            </w:r>
          </w:p>
        </w:tc>
        <w:tc>
          <w:tcPr>
            <w:tcW w:w="1864" w:type="dxa"/>
            <w:tcBorders>
              <w:top w:val="nil"/>
              <w:left w:val="nil"/>
              <w:bottom w:val="nil"/>
              <w:right w:val="nil"/>
              <w:tl2br w:val="nil"/>
              <w:tr2bl w:val="nil"/>
            </w:tcBorders>
            <w:shd w:val="solid" w:color="016794" w:fill="FFFFFF"/>
            <w:tcMar>
              <w:left w:w="60" w:type="dxa"/>
              <w:right w:w="60" w:type="dxa"/>
            </w:tcMar>
            <w:vAlign w:val="center"/>
          </w:tcPr>
          <w:p w14:paraId="433A3B84" w14:textId="77777777" w:rsidR="00807FFE" w:rsidRDefault="00023E71">
            <w:pPr>
              <w:pStyle w:val="DMETW36765BIPPFD"/>
              <w:jc w:val="right"/>
              <w:rPr>
                <w:rFonts w:ascii="Verdana" w:eastAsia="Verdana" w:hAnsi="Verdana" w:cs="Verdana"/>
                <w:noProof/>
                <w:color w:val="FFFFFF"/>
                <w:sz w:val="16"/>
                <w:lang w:bidi="en-GB"/>
              </w:rPr>
            </w:pPr>
            <w:r>
              <w:rPr>
                <w:rFonts w:ascii="Verdana" w:eastAsia="Verdana" w:hAnsi="Verdana" w:cs="Verdana"/>
                <w:noProof/>
                <w:color w:val="FFFFFF"/>
                <w:sz w:val="16"/>
              </w:rPr>
              <w:t>Net amount at 31.12.2025</w:t>
            </w:r>
          </w:p>
        </w:tc>
      </w:tr>
      <w:tr w:rsidR="00807FFE" w14:paraId="1AC17A9C"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19D6E60D" w14:textId="77777777" w:rsidR="00807FFE" w:rsidRDefault="00023E71">
            <w:pPr>
              <w:pStyle w:val="DMETW36765BIPPFD"/>
              <w:rPr>
                <w:rFonts w:ascii="Verdana" w:eastAsia="Verdana" w:hAnsi="Verdana" w:cs="Verdana"/>
                <w:b/>
                <w:noProof/>
                <w:color w:val="000000"/>
                <w:sz w:val="16"/>
              </w:rPr>
            </w:pPr>
            <w:r>
              <w:rPr>
                <w:rFonts w:ascii="Verdana" w:eastAsia="Verdana" w:hAnsi="Verdana" w:cs="Verdana"/>
                <w:b/>
                <w:noProof/>
                <w:color w:val="000000"/>
                <w:sz w:val="16"/>
              </w:rPr>
              <w:t xml:space="preserve"> Member States</w:t>
            </w:r>
          </w:p>
        </w:tc>
        <w:tc>
          <w:tcPr>
            <w:tcW w:w="1750" w:type="dxa"/>
            <w:tcBorders>
              <w:top w:val="nil"/>
              <w:left w:val="nil"/>
              <w:bottom w:val="nil"/>
              <w:right w:val="nil"/>
              <w:tl2br w:val="nil"/>
              <w:tr2bl w:val="nil"/>
            </w:tcBorders>
            <w:tcMar>
              <w:left w:w="60" w:type="dxa"/>
              <w:right w:w="60" w:type="dxa"/>
            </w:tcMar>
            <w:vAlign w:val="center"/>
          </w:tcPr>
          <w:p w14:paraId="64442F07" w14:textId="77777777" w:rsidR="00807FFE" w:rsidRDefault="00807FFE">
            <w:pPr>
              <w:pStyle w:val="DMETW36765BIPPFD"/>
              <w:jc w:val="right"/>
              <w:rPr>
                <w:rFonts w:ascii="Verdana" w:eastAsia="Verdana" w:hAnsi="Verdana" w:cs="Verdana"/>
                <w:b/>
                <w:noProof/>
                <w:color w:val="000000"/>
                <w:sz w:val="16"/>
              </w:rPr>
            </w:pPr>
          </w:p>
        </w:tc>
        <w:tc>
          <w:tcPr>
            <w:tcW w:w="1893" w:type="dxa"/>
            <w:tcBorders>
              <w:top w:val="nil"/>
              <w:left w:val="nil"/>
              <w:bottom w:val="nil"/>
              <w:right w:val="nil"/>
              <w:tl2br w:val="nil"/>
              <w:tr2bl w:val="nil"/>
            </w:tcBorders>
            <w:tcMar>
              <w:left w:w="60" w:type="dxa"/>
              <w:right w:w="60" w:type="dxa"/>
            </w:tcMar>
            <w:vAlign w:val="center"/>
          </w:tcPr>
          <w:p w14:paraId="26CD0320" w14:textId="77777777" w:rsidR="00807FFE" w:rsidRDefault="00807FFE">
            <w:pPr>
              <w:pStyle w:val="DMETW36765BIPPFD"/>
              <w:jc w:val="right"/>
              <w:rPr>
                <w:rFonts w:ascii="Verdana" w:eastAsia="Verdana" w:hAnsi="Verdana" w:cs="Verdana"/>
                <w:b/>
                <w:noProof/>
                <w:color w:val="000000"/>
                <w:sz w:val="16"/>
              </w:rPr>
            </w:pPr>
          </w:p>
        </w:tc>
        <w:tc>
          <w:tcPr>
            <w:tcW w:w="1864" w:type="dxa"/>
            <w:tcBorders>
              <w:top w:val="nil"/>
              <w:left w:val="nil"/>
              <w:bottom w:val="nil"/>
              <w:right w:val="nil"/>
              <w:tl2br w:val="nil"/>
              <w:tr2bl w:val="nil"/>
            </w:tcBorders>
            <w:tcMar>
              <w:left w:w="60" w:type="dxa"/>
              <w:right w:w="60" w:type="dxa"/>
            </w:tcMar>
            <w:vAlign w:val="center"/>
          </w:tcPr>
          <w:p w14:paraId="21FDA577" w14:textId="77777777" w:rsidR="00807FFE" w:rsidRDefault="00807FFE">
            <w:pPr>
              <w:pStyle w:val="DMETW36765BIPPFD"/>
              <w:jc w:val="right"/>
              <w:rPr>
                <w:rFonts w:ascii="Verdana" w:eastAsia="Verdana" w:hAnsi="Verdana" w:cs="Verdana"/>
                <w:b/>
                <w:noProof/>
                <w:color w:val="000000"/>
                <w:sz w:val="16"/>
                <w:lang w:bidi="en-GB"/>
              </w:rPr>
            </w:pPr>
          </w:p>
        </w:tc>
      </w:tr>
      <w:tr w:rsidR="00807FFE" w14:paraId="379FDCA5"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0B8964E1" w14:textId="77777777" w:rsidR="00807FFE" w:rsidRDefault="00023E71">
            <w:pPr>
              <w:pStyle w:val="DMETW36765BIPPFD"/>
              <w:rPr>
                <w:rFonts w:ascii="Verdana" w:eastAsia="Verdana" w:hAnsi="Verdana" w:cs="Verdana"/>
                <w:i/>
                <w:noProof/>
                <w:color w:val="000000"/>
                <w:sz w:val="16"/>
              </w:rPr>
            </w:pPr>
            <w:r>
              <w:rPr>
                <w:rFonts w:ascii="Verdana" w:eastAsia="Verdana" w:hAnsi="Verdana" w:cs="Verdana"/>
                <w:i/>
                <w:noProof/>
                <w:color w:val="000000"/>
                <w:sz w:val="16"/>
              </w:rPr>
              <w:t xml:space="preserve">     EAFRD &amp; other rural</w:t>
            </w:r>
          </w:p>
          <w:p w14:paraId="30EFB3AD" w14:textId="77777777" w:rsidR="00807FFE" w:rsidRDefault="00023E71">
            <w:pPr>
              <w:pStyle w:val="DMETW36765BIPPFD"/>
              <w:rPr>
                <w:rFonts w:ascii="Verdana" w:eastAsia="Verdana" w:hAnsi="Verdana" w:cs="Verdana"/>
                <w:i/>
                <w:noProof/>
                <w:color w:val="000000"/>
                <w:sz w:val="16"/>
              </w:rPr>
            </w:pPr>
            <w:r>
              <w:rPr>
                <w:rFonts w:ascii="Verdana" w:eastAsia="Verdana" w:hAnsi="Verdana" w:cs="Verdana"/>
                <w:i/>
                <w:noProof/>
                <w:color w:val="000000"/>
                <w:sz w:val="16"/>
              </w:rPr>
              <w:t xml:space="preserve">     development instruments</w:t>
            </w:r>
          </w:p>
        </w:tc>
        <w:tc>
          <w:tcPr>
            <w:tcW w:w="1750" w:type="dxa"/>
            <w:tcBorders>
              <w:top w:val="nil"/>
              <w:left w:val="nil"/>
              <w:bottom w:val="nil"/>
              <w:right w:val="nil"/>
              <w:tl2br w:val="nil"/>
              <w:tr2bl w:val="nil"/>
            </w:tcBorders>
            <w:tcMar>
              <w:left w:w="60" w:type="dxa"/>
              <w:right w:w="60" w:type="dxa"/>
            </w:tcMar>
            <w:vAlign w:val="center"/>
          </w:tcPr>
          <w:p w14:paraId="76CCC691"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3 605</w:t>
            </w:r>
          </w:p>
        </w:tc>
        <w:tc>
          <w:tcPr>
            <w:tcW w:w="1893" w:type="dxa"/>
            <w:tcBorders>
              <w:top w:val="nil"/>
              <w:left w:val="nil"/>
              <w:bottom w:val="nil"/>
              <w:right w:val="nil"/>
              <w:tl2br w:val="nil"/>
              <w:tr2bl w:val="nil"/>
            </w:tcBorders>
            <w:tcMar>
              <w:left w:w="60" w:type="dxa"/>
              <w:right w:w="60" w:type="dxa"/>
            </w:tcMar>
            <w:vAlign w:val="center"/>
          </w:tcPr>
          <w:p w14:paraId="28EA96E6"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(1 625)</w:t>
            </w:r>
          </w:p>
        </w:tc>
        <w:tc>
          <w:tcPr>
            <w:tcW w:w="1864" w:type="dxa"/>
            <w:tcBorders>
              <w:top w:val="nil"/>
              <w:left w:val="nil"/>
              <w:bottom w:val="nil"/>
              <w:right w:val="nil"/>
              <w:tl2br w:val="nil"/>
              <w:tr2bl w:val="nil"/>
            </w:tcBorders>
            <w:tcMar>
              <w:left w:w="60" w:type="dxa"/>
              <w:right w:w="60" w:type="dxa"/>
            </w:tcMar>
            <w:vAlign w:val="center"/>
          </w:tcPr>
          <w:p w14:paraId="4AABB086"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1 980</w:t>
            </w:r>
          </w:p>
        </w:tc>
      </w:tr>
      <w:tr w:rsidR="00807FFE" w14:paraId="35301979"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0AE0893A" w14:textId="77777777" w:rsidR="00807FFE" w:rsidRDefault="00023E71">
            <w:pPr>
              <w:pStyle w:val="DMETW36765BIPPFD"/>
              <w:rPr>
                <w:rFonts w:ascii="Verdana" w:eastAsia="Verdana" w:hAnsi="Verdana" w:cs="Verdana"/>
                <w:i/>
                <w:noProof/>
                <w:color w:val="000000"/>
                <w:sz w:val="16"/>
              </w:rPr>
            </w:pPr>
            <w:r>
              <w:rPr>
                <w:rFonts w:ascii="Verdana" w:eastAsia="Verdana" w:hAnsi="Verdana" w:cs="Verdana"/>
                <w:i/>
                <w:noProof/>
                <w:color w:val="000000"/>
                <w:sz w:val="16"/>
              </w:rPr>
              <w:t xml:space="preserve">     ERDF &amp; CF</w:t>
            </w:r>
          </w:p>
        </w:tc>
        <w:tc>
          <w:tcPr>
            <w:tcW w:w="1750" w:type="dxa"/>
            <w:tcBorders>
              <w:top w:val="nil"/>
              <w:left w:val="nil"/>
              <w:bottom w:val="nil"/>
              <w:right w:val="nil"/>
              <w:tl2br w:val="nil"/>
              <w:tr2bl w:val="nil"/>
            </w:tcBorders>
            <w:tcMar>
              <w:left w:w="60" w:type="dxa"/>
              <w:right w:w="60" w:type="dxa"/>
            </w:tcMar>
            <w:vAlign w:val="center"/>
          </w:tcPr>
          <w:p w14:paraId="62FD1D08"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29 858</w:t>
            </w:r>
          </w:p>
        </w:tc>
        <w:tc>
          <w:tcPr>
            <w:tcW w:w="1893" w:type="dxa"/>
            <w:tcBorders>
              <w:top w:val="nil"/>
              <w:left w:val="nil"/>
              <w:bottom w:val="nil"/>
              <w:right w:val="nil"/>
              <w:tl2br w:val="nil"/>
              <w:tr2bl w:val="nil"/>
            </w:tcBorders>
            <w:tcMar>
              <w:left w:w="60" w:type="dxa"/>
              <w:right w:w="60" w:type="dxa"/>
            </w:tcMar>
            <w:vAlign w:val="center"/>
          </w:tcPr>
          <w:p w14:paraId="234FA721"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(17 052)</w:t>
            </w:r>
          </w:p>
        </w:tc>
        <w:tc>
          <w:tcPr>
            <w:tcW w:w="1864" w:type="dxa"/>
            <w:tcBorders>
              <w:top w:val="nil"/>
              <w:left w:val="nil"/>
              <w:bottom w:val="nil"/>
              <w:right w:val="nil"/>
              <w:tl2br w:val="nil"/>
              <w:tr2bl w:val="nil"/>
            </w:tcBorders>
            <w:tcMar>
              <w:left w:w="60" w:type="dxa"/>
              <w:right w:w="60" w:type="dxa"/>
            </w:tcMar>
            <w:vAlign w:val="center"/>
          </w:tcPr>
          <w:p w14:paraId="41CB740E"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12 805</w:t>
            </w:r>
          </w:p>
        </w:tc>
      </w:tr>
      <w:tr w:rsidR="00807FFE" w14:paraId="4B67DCFA"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114E0F60" w14:textId="77777777" w:rsidR="00807FFE" w:rsidRDefault="00023E71">
            <w:pPr>
              <w:pStyle w:val="DMETW36765BIPPFD"/>
              <w:rPr>
                <w:rFonts w:ascii="Verdana" w:eastAsia="Verdana" w:hAnsi="Verdana" w:cs="Verdana"/>
                <w:i/>
                <w:noProof/>
                <w:color w:val="000000"/>
                <w:sz w:val="16"/>
              </w:rPr>
            </w:pPr>
            <w:r>
              <w:rPr>
                <w:rFonts w:ascii="Verdana" w:eastAsia="Verdana" w:hAnsi="Verdana" w:cs="Verdana"/>
                <w:i/>
                <w:noProof/>
                <w:color w:val="000000"/>
                <w:sz w:val="16"/>
              </w:rPr>
              <w:t xml:space="preserve">     ESF</w:t>
            </w:r>
          </w:p>
        </w:tc>
        <w:tc>
          <w:tcPr>
            <w:tcW w:w="1750" w:type="dxa"/>
            <w:tcBorders>
              <w:top w:val="nil"/>
              <w:left w:val="nil"/>
              <w:bottom w:val="nil"/>
              <w:right w:val="nil"/>
              <w:tl2br w:val="nil"/>
              <w:tr2bl w:val="nil"/>
            </w:tcBorders>
            <w:tcMar>
              <w:left w:w="60" w:type="dxa"/>
              <w:right w:w="60" w:type="dxa"/>
            </w:tcMar>
            <w:vAlign w:val="center"/>
          </w:tcPr>
          <w:p w14:paraId="7AB0963C"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9 997</w:t>
            </w:r>
          </w:p>
        </w:tc>
        <w:tc>
          <w:tcPr>
            <w:tcW w:w="1893" w:type="dxa"/>
            <w:tcBorders>
              <w:top w:val="nil"/>
              <w:left w:val="nil"/>
              <w:bottom w:val="nil"/>
              <w:right w:val="nil"/>
              <w:tl2br w:val="nil"/>
              <w:tr2bl w:val="nil"/>
            </w:tcBorders>
            <w:tcMar>
              <w:left w:w="60" w:type="dxa"/>
              <w:right w:w="60" w:type="dxa"/>
            </w:tcMar>
            <w:vAlign w:val="center"/>
          </w:tcPr>
          <w:p w14:paraId="63807D1F"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(6 560)</w:t>
            </w:r>
          </w:p>
        </w:tc>
        <w:tc>
          <w:tcPr>
            <w:tcW w:w="1864" w:type="dxa"/>
            <w:tcBorders>
              <w:top w:val="nil"/>
              <w:left w:val="nil"/>
              <w:bottom w:val="nil"/>
              <w:right w:val="nil"/>
              <w:tl2br w:val="nil"/>
              <w:tr2bl w:val="nil"/>
            </w:tcBorders>
            <w:tcMar>
              <w:left w:w="60" w:type="dxa"/>
              <w:right w:w="60" w:type="dxa"/>
            </w:tcMar>
            <w:vAlign w:val="center"/>
          </w:tcPr>
          <w:p w14:paraId="534CFBE2"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3 438</w:t>
            </w:r>
          </w:p>
        </w:tc>
      </w:tr>
      <w:tr w:rsidR="00807FFE" w14:paraId="05D5DB70"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6A952E6C" w14:textId="77777777" w:rsidR="00807FFE" w:rsidRDefault="00023E71">
            <w:pPr>
              <w:pStyle w:val="DMETW36765BIPPFD"/>
              <w:rPr>
                <w:rFonts w:ascii="Verdana" w:eastAsia="Verdana" w:hAnsi="Verdana" w:cs="Verdana"/>
                <w:i/>
                <w:noProof/>
                <w:color w:val="000000"/>
                <w:sz w:val="16"/>
              </w:rPr>
            </w:pPr>
            <w:r>
              <w:rPr>
                <w:rFonts w:ascii="Verdana" w:eastAsia="Verdana" w:hAnsi="Verdana" w:cs="Verdana"/>
                <w:i/>
                <w:noProof/>
                <w:color w:val="000000"/>
                <w:sz w:val="16"/>
              </w:rPr>
              <w:t xml:space="preserve">     RRF (NGEU)</w:t>
            </w:r>
          </w:p>
        </w:tc>
        <w:tc>
          <w:tcPr>
            <w:tcW w:w="1750" w:type="dxa"/>
            <w:tcBorders>
              <w:top w:val="nil"/>
              <w:left w:val="nil"/>
              <w:bottom w:val="nil"/>
              <w:right w:val="nil"/>
              <w:tl2br w:val="nil"/>
              <w:tr2bl w:val="nil"/>
            </w:tcBorders>
            <w:tcMar>
              <w:left w:w="60" w:type="dxa"/>
              <w:right w:w="60" w:type="dxa"/>
            </w:tcMar>
            <w:vAlign w:val="center"/>
          </w:tcPr>
          <w:p w14:paraId="7822C9A3"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13 626</w:t>
            </w:r>
          </w:p>
        </w:tc>
        <w:tc>
          <w:tcPr>
            <w:tcW w:w="1893" w:type="dxa"/>
            <w:tcBorders>
              <w:top w:val="nil"/>
              <w:left w:val="nil"/>
              <w:bottom w:val="nil"/>
              <w:right w:val="nil"/>
              <w:tl2br w:val="nil"/>
              <w:tr2bl w:val="nil"/>
            </w:tcBorders>
            <w:tcMar>
              <w:left w:w="60" w:type="dxa"/>
              <w:right w:w="60" w:type="dxa"/>
            </w:tcMar>
            <w:vAlign w:val="center"/>
          </w:tcPr>
          <w:p w14:paraId="699E5B56"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(3 392)</w:t>
            </w:r>
          </w:p>
        </w:tc>
        <w:tc>
          <w:tcPr>
            <w:tcW w:w="1864" w:type="dxa"/>
            <w:tcBorders>
              <w:top w:val="nil"/>
              <w:left w:val="nil"/>
              <w:bottom w:val="nil"/>
              <w:right w:val="nil"/>
              <w:tl2br w:val="nil"/>
              <w:tr2bl w:val="nil"/>
            </w:tcBorders>
            <w:tcMar>
              <w:left w:w="60" w:type="dxa"/>
              <w:right w:w="60" w:type="dxa"/>
            </w:tcMar>
            <w:vAlign w:val="center"/>
          </w:tcPr>
          <w:p w14:paraId="7B22EC72"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10 234</w:t>
            </w:r>
          </w:p>
        </w:tc>
      </w:tr>
      <w:tr w:rsidR="00807FFE" w14:paraId="57C5CB8A"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784FFB46" w14:textId="77777777" w:rsidR="00807FFE" w:rsidRDefault="00023E71">
            <w:pPr>
              <w:pStyle w:val="DMETW36765BIPPFD"/>
              <w:rPr>
                <w:rFonts w:ascii="Verdana" w:eastAsia="Verdana" w:hAnsi="Verdana" w:cs="Verdana"/>
                <w:i/>
                <w:noProof/>
                <w:color w:val="000000"/>
                <w:sz w:val="16"/>
              </w:rPr>
            </w:pPr>
            <w:r>
              <w:rPr>
                <w:rFonts w:ascii="Verdana" w:eastAsia="Verdana" w:hAnsi="Verdana" w:cs="Verdana"/>
                <w:i/>
                <w:noProof/>
                <w:color w:val="000000"/>
                <w:sz w:val="16"/>
              </w:rPr>
              <w:t xml:space="preserve">     Other</w:t>
            </w:r>
          </w:p>
        </w:tc>
        <w:tc>
          <w:tcPr>
            <w:tcW w:w="1750" w:type="dxa"/>
            <w:tcBorders>
              <w:top w:val="nil"/>
              <w:left w:val="nil"/>
              <w:bottom w:val="nil"/>
              <w:right w:val="nil"/>
              <w:tl2br w:val="nil"/>
              <w:tr2bl w:val="nil"/>
            </w:tcBorders>
            <w:tcMar>
              <w:left w:w="60" w:type="dxa"/>
              <w:right w:w="60" w:type="dxa"/>
            </w:tcMar>
            <w:vAlign w:val="center"/>
          </w:tcPr>
          <w:p w14:paraId="2F67B759"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21 022</w:t>
            </w:r>
          </w:p>
        </w:tc>
        <w:tc>
          <w:tcPr>
            <w:tcW w:w="1893" w:type="dxa"/>
            <w:tcBorders>
              <w:top w:val="nil"/>
              <w:left w:val="nil"/>
              <w:bottom w:val="nil"/>
              <w:right w:val="nil"/>
              <w:tl2br w:val="nil"/>
              <w:tr2bl w:val="nil"/>
            </w:tcBorders>
            <w:tcMar>
              <w:left w:w="60" w:type="dxa"/>
              <w:right w:w="60" w:type="dxa"/>
            </w:tcMar>
            <w:vAlign w:val="center"/>
          </w:tcPr>
          <w:p w14:paraId="38F1A22E"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(10 041)</w:t>
            </w:r>
          </w:p>
        </w:tc>
        <w:tc>
          <w:tcPr>
            <w:tcW w:w="1864" w:type="dxa"/>
            <w:tcBorders>
              <w:top w:val="nil"/>
              <w:left w:val="nil"/>
              <w:bottom w:val="nil"/>
              <w:right w:val="nil"/>
              <w:tl2br w:val="nil"/>
              <w:tr2bl w:val="nil"/>
            </w:tcBorders>
            <w:tcMar>
              <w:left w:w="60" w:type="dxa"/>
              <w:right w:w="60" w:type="dxa"/>
            </w:tcMar>
            <w:vAlign w:val="center"/>
          </w:tcPr>
          <w:p w14:paraId="28E7982D"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10 981</w:t>
            </w:r>
          </w:p>
        </w:tc>
      </w:tr>
      <w:tr w:rsidR="00807FFE" w14:paraId="0C3CBD3F"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5A1E5B20" w14:textId="77777777" w:rsidR="00807FFE" w:rsidRDefault="00023E71">
            <w:pPr>
              <w:pStyle w:val="DMETW36765BIPPFD"/>
              <w:rPr>
                <w:rFonts w:ascii="Verdana" w:eastAsia="Verdana" w:hAnsi="Verdana" w:cs="Verdana"/>
                <w:b/>
                <w:noProof/>
                <w:color w:val="000000"/>
                <w:sz w:val="16"/>
              </w:rPr>
            </w:pPr>
            <w:r>
              <w:rPr>
                <w:rFonts w:ascii="Verdana" w:eastAsia="Verdana" w:hAnsi="Verdana" w:cs="Verdana"/>
                <w:b/>
                <w:noProof/>
                <w:color w:val="000000"/>
                <w:sz w:val="16"/>
              </w:rPr>
              <w:t xml:space="preserve"> EFTA and third countries</w:t>
            </w:r>
          </w:p>
        </w:tc>
        <w:tc>
          <w:tcPr>
            <w:tcW w:w="1750" w:type="dxa"/>
            <w:tcBorders>
              <w:top w:val="nil"/>
              <w:left w:val="nil"/>
              <w:bottom w:val="nil"/>
              <w:right w:val="nil"/>
              <w:tl2br w:val="nil"/>
              <w:tr2bl w:val="nil"/>
            </w:tcBorders>
            <w:tcMar>
              <w:left w:w="60" w:type="dxa"/>
              <w:right w:w="60" w:type="dxa"/>
            </w:tcMar>
            <w:vAlign w:val="center"/>
          </w:tcPr>
          <w:p w14:paraId="599ACD57"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3 772</w:t>
            </w:r>
          </w:p>
        </w:tc>
        <w:tc>
          <w:tcPr>
            <w:tcW w:w="1893" w:type="dxa"/>
            <w:tcBorders>
              <w:top w:val="nil"/>
              <w:left w:val="nil"/>
              <w:bottom w:val="nil"/>
              <w:right w:val="nil"/>
              <w:tl2br w:val="nil"/>
              <w:tr2bl w:val="nil"/>
            </w:tcBorders>
            <w:tcMar>
              <w:left w:w="60" w:type="dxa"/>
              <w:right w:w="60" w:type="dxa"/>
            </w:tcMar>
            <w:vAlign w:val="center"/>
          </w:tcPr>
          <w:p w14:paraId="22C45FF8"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(2 710)</w:t>
            </w:r>
          </w:p>
        </w:tc>
        <w:tc>
          <w:tcPr>
            <w:tcW w:w="1864" w:type="dxa"/>
            <w:tcBorders>
              <w:top w:val="nil"/>
              <w:left w:val="nil"/>
              <w:bottom w:val="nil"/>
              <w:right w:val="nil"/>
              <w:tl2br w:val="nil"/>
              <w:tr2bl w:val="nil"/>
            </w:tcBorders>
            <w:tcMar>
              <w:left w:w="60" w:type="dxa"/>
              <w:right w:w="60" w:type="dxa"/>
            </w:tcMar>
            <w:vAlign w:val="center"/>
          </w:tcPr>
          <w:p w14:paraId="62A26D01"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1 062</w:t>
            </w:r>
          </w:p>
        </w:tc>
      </w:tr>
      <w:tr w:rsidR="00807FFE" w14:paraId="0F73B026"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1134D35C" w14:textId="77777777" w:rsidR="00807FFE" w:rsidRDefault="00023E71">
            <w:pPr>
              <w:pStyle w:val="DMETW36765BIPPFD"/>
              <w:rPr>
                <w:rFonts w:ascii="Verdana" w:eastAsia="Verdana" w:hAnsi="Verdana" w:cs="Verdana"/>
                <w:b/>
                <w:noProof/>
                <w:color w:val="000000"/>
                <w:sz w:val="16"/>
              </w:rPr>
            </w:pPr>
            <w:r>
              <w:rPr>
                <w:rFonts w:ascii="Verdana" w:eastAsia="Verdana" w:hAnsi="Verdana" w:cs="Verdana"/>
                <w:b/>
                <w:noProof/>
                <w:color w:val="000000"/>
                <w:sz w:val="16"/>
              </w:rPr>
              <w:t xml:space="preserve"> Private and public bodies</w:t>
            </w:r>
          </w:p>
        </w:tc>
        <w:tc>
          <w:tcPr>
            <w:tcW w:w="1750" w:type="dxa"/>
            <w:tcBorders>
              <w:top w:val="nil"/>
              <w:left w:val="nil"/>
              <w:bottom w:val="nil"/>
              <w:right w:val="nil"/>
              <w:tl2br w:val="nil"/>
              <w:tr2bl w:val="nil"/>
            </w:tcBorders>
            <w:tcMar>
              <w:left w:w="60" w:type="dxa"/>
              <w:right w:w="60" w:type="dxa"/>
            </w:tcMar>
            <w:vAlign w:val="center"/>
          </w:tcPr>
          <w:p w14:paraId="329D301D"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82 761</w:t>
            </w:r>
          </w:p>
        </w:tc>
        <w:tc>
          <w:tcPr>
            <w:tcW w:w="1893" w:type="dxa"/>
            <w:tcBorders>
              <w:top w:val="nil"/>
              <w:left w:val="nil"/>
              <w:bottom w:val="nil"/>
              <w:right w:val="nil"/>
              <w:tl2br w:val="nil"/>
              <w:tr2bl w:val="nil"/>
            </w:tcBorders>
            <w:tcMar>
              <w:left w:w="60" w:type="dxa"/>
              <w:right w:w="60" w:type="dxa"/>
            </w:tcMar>
            <w:vAlign w:val="center"/>
          </w:tcPr>
          <w:p w14:paraId="534B8B25"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(61 415)</w:t>
            </w:r>
          </w:p>
        </w:tc>
        <w:tc>
          <w:tcPr>
            <w:tcW w:w="1864" w:type="dxa"/>
            <w:tcBorders>
              <w:top w:val="nil"/>
              <w:left w:val="nil"/>
              <w:bottom w:val="nil"/>
              <w:right w:val="nil"/>
              <w:tl2br w:val="nil"/>
              <w:tr2bl w:val="nil"/>
            </w:tcBorders>
            <w:tcMar>
              <w:left w:w="60" w:type="dxa"/>
              <w:right w:w="60" w:type="dxa"/>
            </w:tcMar>
            <w:vAlign w:val="center"/>
          </w:tcPr>
          <w:p w14:paraId="1425F6A4"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21 346</w:t>
            </w:r>
          </w:p>
        </w:tc>
      </w:tr>
      <w:tr w:rsidR="00807FFE" w14:paraId="3144B91F" w14:textId="77777777">
        <w:trPr>
          <w:trHeight w:val="255"/>
        </w:trPr>
        <w:tc>
          <w:tcPr>
            <w:tcW w:w="4251" w:type="dxa"/>
            <w:tcBorders>
              <w:top w:val="nil"/>
              <w:left w:val="nil"/>
              <w:bottom w:val="single" w:sz="4" w:space="0" w:color="016794"/>
              <w:right w:val="nil"/>
              <w:tl2br w:val="nil"/>
              <w:tr2bl w:val="nil"/>
            </w:tcBorders>
            <w:tcMar>
              <w:left w:w="60" w:type="dxa"/>
              <w:right w:w="60" w:type="dxa"/>
            </w:tcMar>
            <w:vAlign w:val="center"/>
          </w:tcPr>
          <w:p w14:paraId="6439489E" w14:textId="77777777" w:rsidR="00807FFE" w:rsidRDefault="00023E71">
            <w:pPr>
              <w:pStyle w:val="DMETW36765BIPPFD"/>
              <w:rPr>
                <w:rFonts w:ascii="Verdana" w:eastAsia="Verdana" w:hAnsi="Verdana" w:cs="Verdana"/>
                <w:b/>
                <w:noProof/>
                <w:color w:val="000000"/>
                <w:sz w:val="16"/>
              </w:rPr>
            </w:pPr>
            <w:r>
              <w:rPr>
                <w:rFonts w:ascii="Verdana" w:eastAsia="Verdana" w:hAnsi="Verdana" w:cs="Verdana"/>
                <w:b/>
                <w:noProof/>
                <w:color w:val="000000"/>
                <w:sz w:val="16"/>
              </w:rPr>
              <w:t xml:space="preserve"> Other recipients</w:t>
            </w:r>
          </w:p>
        </w:tc>
        <w:tc>
          <w:tcPr>
            <w:tcW w:w="1750" w:type="dxa"/>
            <w:tcBorders>
              <w:top w:val="nil"/>
              <w:left w:val="nil"/>
              <w:bottom w:val="single" w:sz="4" w:space="0" w:color="016794"/>
              <w:right w:val="nil"/>
              <w:tl2br w:val="nil"/>
              <w:tr2bl w:val="nil"/>
            </w:tcBorders>
            <w:tcMar>
              <w:left w:w="60" w:type="dxa"/>
              <w:right w:w="60" w:type="dxa"/>
            </w:tcMar>
            <w:vAlign w:val="center"/>
          </w:tcPr>
          <w:p w14:paraId="04A3B2B0"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17 397</w:t>
            </w:r>
          </w:p>
        </w:tc>
        <w:tc>
          <w:tcPr>
            <w:tcW w:w="1893" w:type="dxa"/>
            <w:tcBorders>
              <w:top w:val="nil"/>
              <w:left w:val="nil"/>
              <w:bottom w:val="single" w:sz="4" w:space="0" w:color="016794"/>
              <w:right w:val="nil"/>
              <w:tl2br w:val="nil"/>
              <w:tr2bl w:val="nil"/>
            </w:tcBorders>
            <w:tcMar>
              <w:left w:w="60" w:type="dxa"/>
              <w:right w:w="60" w:type="dxa"/>
            </w:tcMar>
            <w:vAlign w:val="center"/>
          </w:tcPr>
          <w:p w14:paraId="170AC2E3" w14:textId="77777777" w:rsidR="00807FFE" w:rsidRDefault="00023E71">
            <w:pPr>
              <w:pStyle w:val="DMETW36765BIPPFD"/>
              <w:jc w:val="right"/>
              <w:rPr>
                <w:rFonts w:ascii="Verdana" w:eastAsia="Verdana" w:hAnsi="Verdana" w:cs="Verdana"/>
                <w:i/>
                <w:noProof/>
                <w:color w:val="000000"/>
                <w:sz w:val="16"/>
              </w:rPr>
            </w:pPr>
            <w:r>
              <w:rPr>
                <w:rFonts w:ascii="Verdana" w:eastAsia="Verdana" w:hAnsi="Verdana" w:cs="Verdana"/>
                <w:i/>
                <w:noProof/>
                <w:color w:val="000000"/>
                <w:sz w:val="16"/>
              </w:rPr>
              <w:t>(7 943)</w:t>
            </w:r>
          </w:p>
        </w:tc>
        <w:tc>
          <w:tcPr>
            <w:tcW w:w="1864" w:type="dxa"/>
            <w:tcBorders>
              <w:top w:val="nil"/>
              <w:left w:val="nil"/>
              <w:bottom w:val="single" w:sz="4" w:space="0" w:color="016794"/>
              <w:right w:val="nil"/>
              <w:tl2br w:val="nil"/>
              <w:tr2bl w:val="nil"/>
            </w:tcBorders>
            <w:tcMar>
              <w:left w:w="60" w:type="dxa"/>
              <w:right w:w="60" w:type="dxa"/>
            </w:tcMar>
            <w:vAlign w:val="center"/>
          </w:tcPr>
          <w:p w14:paraId="12E333BE" w14:textId="77777777" w:rsidR="00807FFE" w:rsidRDefault="00023E71">
            <w:pPr>
              <w:pStyle w:val="DMETW36765BIPPFD"/>
              <w:jc w:val="right"/>
              <w:rPr>
                <w:rFonts w:ascii="Verdana" w:eastAsia="Verdana" w:hAnsi="Verdana" w:cs="Verdana"/>
                <w:i/>
                <w:noProof/>
                <w:color w:val="000000"/>
                <w:sz w:val="16"/>
                <w:lang w:bidi="en-GB"/>
              </w:rPr>
            </w:pPr>
            <w:r>
              <w:rPr>
                <w:rFonts w:ascii="Verdana" w:eastAsia="Verdana" w:hAnsi="Verdana" w:cs="Verdana"/>
                <w:i/>
                <w:noProof/>
                <w:color w:val="000000"/>
                <w:sz w:val="16"/>
              </w:rPr>
              <w:t>9 454</w:t>
            </w:r>
          </w:p>
        </w:tc>
      </w:tr>
      <w:tr w:rsidR="00807FFE" w14:paraId="24C09C5C" w14:textId="77777777">
        <w:trPr>
          <w:trHeight w:val="255"/>
        </w:trPr>
        <w:tc>
          <w:tcPr>
            <w:tcW w:w="4251" w:type="dxa"/>
            <w:tcBorders>
              <w:top w:val="single" w:sz="4" w:space="0" w:color="016794"/>
              <w:left w:val="nil"/>
              <w:bottom w:val="single" w:sz="4" w:space="0" w:color="016794"/>
              <w:right w:val="nil"/>
              <w:tl2br w:val="nil"/>
              <w:tr2bl w:val="nil"/>
            </w:tcBorders>
            <w:tcMar>
              <w:left w:w="60" w:type="dxa"/>
              <w:right w:w="60" w:type="dxa"/>
            </w:tcMar>
            <w:vAlign w:val="center"/>
          </w:tcPr>
          <w:p w14:paraId="347E9D79" w14:textId="77777777" w:rsidR="00807FFE" w:rsidRDefault="00023E71">
            <w:pPr>
              <w:pStyle w:val="DMETW36765BIPPFD"/>
              <w:rPr>
                <w:rFonts w:ascii="Verdana" w:eastAsia="Verdana" w:hAnsi="Verdana" w:cs="Verdana"/>
                <w:b/>
                <w:noProof/>
                <w:color w:val="000000"/>
                <w:sz w:val="16"/>
              </w:rPr>
            </w:pPr>
            <w:r>
              <w:rPr>
                <w:rFonts w:ascii="Verdana" w:eastAsia="Verdana" w:hAnsi="Verdana" w:cs="Verdana"/>
                <w:b/>
                <w:noProof/>
                <w:color w:val="000000"/>
                <w:sz w:val="16"/>
              </w:rPr>
              <w:t>Total</w:t>
            </w:r>
          </w:p>
        </w:tc>
        <w:tc>
          <w:tcPr>
            <w:tcW w:w="1750" w:type="dxa"/>
            <w:tcBorders>
              <w:top w:val="single" w:sz="4" w:space="0" w:color="016794"/>
              <w:left w:val="nil"/>
              <w:bottom w:val="single" w:sz="4" w:space="0" w:color="016794"/>
              <w:right w:val="nil"/>
              <w:tl2br w:val="nil"/>
              <w:tr2bl w:val="nil"/>
            </w:tcBorders>
            <w:tcMar>
              <w:left w:w="60" w:type="dxa"/>
              <w:right w:w="60" w:type="dxa"/>
            </w:tcMar>
            <w:vAlign w:val="center"/>
          </w:tcPr>
          <w:p w14:paraId="786C022C" w14:textId="77777777" w:rsidR="00807FFE" w:rsidRDefault="00023E71">
            <w:pPr>
              <w:pStyle w:val="DMETW36765BIPPFD"/>
              <w:jc w:val="right"/>
              <w:rPr>
                <w:rFonts w:ascii="Verdana" w:eastAsia="Verdana" w:hAnsi="Verdana" w:cs="Verdana"/>
                <w:b/>
                <w:noProof/>
                <w:color w:val="000000"/>
                <w:sz w:val="18"/>
              </w:rPr>
            </w:pPr>
            <w:r>
              <w:rPr>
                <w:rFonts w:ascii="Verdana" w:eastAsia="Verdana" w:hAnsi="Verdana" w:cs="Verdana"/>
                <w:b/>
                <w:noProof/>
                <w:color w:val="000000"/>
                <w:sz w:val="18"/>
              </w:rPr>
              <w:t>182 038</w:t>
            </w:r>
          </w:p>
        </w:tc>
        <w:tc>
          <w:tcPr>
            <w:tcW w:w="1893" w:type="dxa"/>
            <w:tcBorders>
              <w:top w:val="single" w:sz="4" w:space="0" w:color="016794"/>
              <w:left w:val="nil"/>
              <w:bottom w:val="single" w:sz="4" w:space="0" w:color="016794"/>
              <w:right w:val="nil"/>
              <w:tl2br w:val="nil"/>
              <w:tr2bl w:val="nil"/>
            </w:tcBorders>
            <w:tcMar>
              <w:left w:w="60" w:type="dxa"/>
              <w:right w:w="60" w:type="dxa"/>
            </w:tcMar>
            <w:vAlign w:val="center"/>
          </w:tcPr>
          <w:p w14:paraId="629C3C4E" w14:textId="77777777" w:rsidR="00807FFE" w:rsidRDefault="00023E71">
            <w:pPr>
              <w:pStyle w:val="DMETW36765BIPPFD"/>
              <w:jc w:val="right"/>
              <w:rPr>
                <w:rFonts w:ascii="Verdana" w:eastAsia="Verdana" w:hAnsi="Verdana" w:cs="Verdana"/>
                <w:b/>
                <w:noProof/>
                <w:color w:val="000000"/>
                <w:sz w:val="18"/>
              </w:rPr>
            </w:pPr>
            <w:r>
              <w:rPr>
                <w:rFonts w:ascii="Verdana" w:eastAsia="Verdana" w:hAnsi="Verdana" w:cs="Verdana"/>
                <w:b/>
                <w:noProof/>
                <w:color w:val="000000"/>
                <w:sz w:val="18"/>
              </w:rPr>
              <w:t>(110 740)</w:t>
            </w:r>
          </w:p>
        </w:tc>
        <w:tc>
          <w:tcPr>
            <w:tcW w:w="1864" w:type="dxa"/>
            <w:tcBorders>
              <w:top w:val="single" w:sz="4" w:space="0" w:color="016794"/>
              <w:left w:val="nil"/>
              <w:bottom w:val="single" w:sz="4" w:space="0" w:color="016794"/>
              <w:right w:val="nil"/>
              <w:tl2br w:val="nil"/>
              <w:tr2bl w:val="nil"/>
            </w:tcBorders>
            <w:tcMar>
              <w:left w:w="60" w:type="dxa"/>
              <w:right w:w="60" w:type="dxa"/>
            </w:tcMar>
            <w:vAlign w:val="center"/>
          </w:tcPr>
          <w:p w14:paraId="1EC272F3" w14:textId="77777777" w:rsidR="00807FFE" w:rsidRDefault="00023E71">
            <w:pPr>
              <w:pStyle w:val="DMETW36765BIPPFD"/>
              <w:jc w:val="right"/>
              <w:rPr>
                <w:rFonts w:ascii="Verdana" w:eastAsia="Verdana" w:hAnsi="Verdana" w:cs="Verdana"/>
                <w:b/>
                <w:noProof/>
                <w:color w:val="000000"/>
                <w:sz w:val="18"/>
                <w:lang w:bidi="en-GB"/>
              </w:rPr>
            </w:pPr>
            <w:r>
              <w:rPr>
                <w:rFonts w:ascii="Verdana" w:eastAsia="Verdana" w:hAnsi="Verdana" w:cs="Verdana"/>
                <w:b/>
                <w:noProof/>
                <w:color w:val="000000"/>
                <w:sz w:val="18"/>
              </w:rPr>
              <w:t>71 299</w:t>
            </w:r>
          </w:p>
        </w:tc>
      </w:tr>
      <w:tr w:rsidR="00807FFE" w14:paraId="53533E1A" w14:textId="77777777">
        <w:trPr>
          <w:trHeight w:val="255"/>
        </w:trPr>
        <w:tc>
          <w:tcPr>
            <w:tcW w:w="4251" w:type="dxa"/>
            <w:tcBorders>
              <w:top w:val="single" w:sz="4" w:space="0" w:color="016794"/>
              <w:left w:val="nil"/>
              <w:bottom w:val="nil"/>
              <w:right w:val="nil"/>
              <w:tl2br w:val="nil"/>
              <w:tr2bl w:val="nil"/>
            </w:tcBorders>
            <w:tcMar>
              <w:left w:w="60" w:type="dxa"/>
              <w:right w:w="60" w:type="dxa"/>
            </w:tcMar>
            <w:vAlign w:val="center"/>
          </w:tcPr>
          <w:p w14:paraId="0C3B4539" w14:textId="77777777" w:rsidR="00807FFE" w:rsidRDefault="00023E71">
            <w:pPr>
              <w:pStyle w:val="DMETW36765BIPPFD"/>
              <w:rPr>
                <w:rFonts w:ascii="Verdana" w:eastAsia="Verdana" w:hAnsi="Verdana" w:cs="Verdana"/>
                <w:i/>
                <w:noProof/>
                <w:color w:val="016794"/>
                <w:sz w:val="16"/>
              </w:rPr>
            </w:pPr>
            <w:r>
              <w:rPr>
                <w:rFonts w:ascii="Verdana" w:eastAsia="Verdana" w:hAnsi="Verdana" w:cs="Verdana"/>
                <w:i/>
                <w:noProof/>
                <w:color w:val="016794"/>
                <w:sz w:val="16"/>
              </w:rPr>
              <w:t>Non-current</w:t>
            </w:r>
          </w:p>
        </w:tc>
        <w:tc>
          <w:tcPr>
            <w:tcW w:w="1750" w:type="dxa"/>
            <w:tcBorders>
              <w:top w:val="single" w:sz="4" w:space="0" w:color="016794"/>
              <w:left w:val="nil"/>
              <w:bottom w:val="nil"/>
              <w:right w:val="nil"/>
              <w:tl2br w:val="nil"/>
              <w:tr2bl w:val="nil"/>
            </w:tcBorders>
            <w:tcMar>
              <w:left w:w="60" w:type="dxa"/>
              <w:right w:w="60" w:type="dxa"/>
            </w:tcMar>
            <w:vAlign w:val="center"/>
          </w:tcPr>
          <w:p w14:paraId="58DB6057" w14:textId="77777777" w:rsidR="00807FFE" w:rsidRDefault="00023E71">
            <w:pPr>
              <w:pStyle w:val="DMETW36765BIPPFD"/>
              <w:jc w:val="right"/>
              <w:rPr>
                <w:rFonts w:ascii="Verdana" w:eastAsia="Verdana" w:hAnsi="Verdana" w:cs="Verdana"/>
                <w:i/>
                <w:noProof/>
                <w:color w:val="016794"/>
                <w:sz w:val="16"/>
              </w:rPr>
            </w:pPr>
            <w:r>
              <w:rPr>
                <w:rFonts w:ascii="Verdana" w:eastAsia="Verdana" w:hAnsi="Verdana" w:cs="Verdana"/>
                <w:i/>
                <w:noProof/>
                <w:color w:val="016794"/>
                <w:sz w:val="16"/>
              </w:rPr>
              <w:t>36 000</w:t>
            </w:r>
          </w:p>
        </w:tc>
        <w:tc>
          <w:tcPr>
            <w:tcW w:w="1893" w:type="dxa"/>
            <w:tcBorders>
              <w:top w:val="single" w:sz="4" w:space="0" w:color="016794"/>
              <w:left w:val="nil"/>
              <w:bottom w:val="nil"/>
              <w:right w:val="nil"/>
              <w:tl2br w:val="nil"/>
              <w:tr2bl w:val="nil"/>
            </w:tcBorders>
            <w:tcMar>
              <w:left w:w="60" w:type="dxa"/>
              <w:right w:w="60" w:type="dxa"/>
            </w:tcMar>
            <w:vAlign w:val="center"/>
          </w:tcPr>
          <w:p w14:paraId="730BD221" w14:textId="77777777" w:rsidR="00807FFE" w:rsidRDefault="00807FFE">
            <w:pPr>
              <w:pStyle w:val="DMETW36765BIPPFD"/>
              <w:jc w:val="right"/>
              <w:rPr>
                <w:rFonts w:ascii="Verdana" w:eastAsia="Verdana" w:hAnsi="Verdana" w:cs="Verdana"/>
                <w:i/>
                <w:noProof/>
                <w:color w:val="016794"/>
                <w:sz w:val="16"/>
              </w:rPr>
            </w:pPr>
          </w:p>
        </w:tc>
        <w:tc>
          <w:tcPr>
            <w:tcW w:w="1864" w:type="dxa"/>
            <w:tcBorders>
              <w:top w:val="single" w:sz="4" w:space="0" w:color="016794"/>
              <w:left w:val="nil"/>
              <w:bottom w:val="nil"/>
              <w:right w:val="nil"/>
              <w:tl2br w:val="nil"/>
              <w:tr2bl w:val="nil"/>
            </w:tcBorders>
            <w:tcMar>
              <w:left w:w="60" w:type="dxa"/>
              <w:right w:w="60" w:type="dxa"/>
            </w:tcMar>
            <w:vAlign w:val="center"/>
          </w:tcPr>
          <w:p w14:paraId="278924BD" w14:textId="77777777" w:rsidR="00807FFE" w:rsidRDefault="00023E71">
            <w:pPr>
              <w:pStyle w:val="DMETW36765BIPPFD"/>
              <w:jc w:val="right"/>
              <w:rPr>
                <w:rFonts w:ascii="Verdana" w:eastAsia="Verdana" w:hAnsi="Verdana" w:cs="Verdana"/>
                <w:i/>
                <w:noProof/>
                <w:color w:val="016794"/>
                <w:sz w:val="16"/>
                <w:lang w:bidi="en-GB"/>
              </w:rPr>
            </w:pPr>
            <w:r>
              <w:rPr>
                <w:rFonts w:ascii="Verdana" w:eastAsia="Verdana" w:hAnsi="Verdana" w:cs="Verdana"/>
                <w:i/>
                <w:noProof/>
                <w:color w:val="016794"/>
                <w:sz w:val="16"/>
              </w:rPr>
              <w:t>36 000</w:t>
            </w:r>
          </w:p>
        </w:tc>
      </w:tr>
      <w:tr w:rsidR="00807FFE" w14:paraId="6F044E7F" w14:textId="77777777">
        <w:trPr>
          <w:trHeight w:val="255"/>
        </w:trPr>
        <w:tc>
          <w:tcPr>
            <w:tcW w:w="4251" w:type="dxa"/>
            <w:tcBorders>
              <w:top w:val="nil"/>
              <w:left w:val="nil"/>
              <w:bottom w:val="nil"/>
              <w:right w:val="nil"/>
              <w:tl2br w:val="nil"/>
              <w:tr2bl w:val="nil"/>
            </w:tcBorders>
            <w:tcMar>
              <w:left w:w="60" w:type="dxa"/>
              <w:right w:w="60" w:type="dxa"/>
            </w:tcMar>
            <w:vAlign w:val="center"/>
          </w:tcPr>
          <w:p w14:paraId="3B824450" w14:textId="77777777" w:rsidR="00807FFE" w:rsidRDefault="00023E71">
            <w:pPr>
              <w:pStyle w:val="DMETW36765BIPPFD"/>
              <w:rPr>
                <w:rFonts w:ascii="Verdana" w:eastAsia="Verdana" w:hAnsi="Verdana" w:cs="Verdana"/>
                <w:i/>
                <w:noProof/>
                <w:color w:val="016794"/>
                <w:sz w:val="16"/>
              </w:rPr>
            </w:pPr>
            <w:r>
              <w:rPr>
                <w:rFonts w:ascii="Verdana" w:eastAsia="Verdana" w:hAnsi="Verdana" w:cs="Verdana"/>
                <w:i/>
                <w:noProof/>
                <w:color w:val="016794"/>
                <w:sz w:val="16"/>
              </w:rPr>
              <w:t>Current</w:t>
            </w:r>
          </w:p>
        </w:tc>
        <w:tc>
          <w:tcPr>
            <w:tcW w:w="1750" w:type="dxa"/>
            <w:tcBorders>
              <w:top w:val="nil"/>
              <w:left w:val="nil"/>
              <w:bottom w:val="nil"/>
              <w:right w:val="nil"/>
              <w:tl2br w:val="nil"/>
              <w:tr2bl w:val="nil"/>
            </w:tcBorders>
            <w:tcMar>
              <w:left w:w="60" w:type="dxa"/>
              <w:right w:w="60" w:type="dxa"/>
            </w:tcMar>
            <w:vAlign w:val="center"/>
          </w:tcPr>
          <w:p w14:paraId="0F8374E0" w14:textId="77777777" w:rsidR="00807FFE" w:rsidRDefault="00023E71">
            <w:pPr>
              <w:pStyle w:val="DMETW36765BIPPFD"/>
              <w:jc w:val="right"/>
              <w:rPr>
                <w:rFonts w:ascii="Verdana" w:eastAsia="Verdana" w:hAnsi="Verdana" w:cs="Verdana"/>
                <w:i/>
                <w:noProof/>
                <w:color w:val="016794"/>
                <w:sz w:val="16"/>
              </w:rPr>
            </w:pPr>
            <w:r>
              <w:rPr>
                <w:rFonts w:ascii="Verdana" w:eastAsia="Verdana" w:hAnsi="Verdana" w:cs="Verdana"/>
                <w:i/>
                <w:noProof/>
                <w:color w:val="016794"/>
                <w:sz w:val="16"/>
              </w:rPr>
              <w:t>146 038</w:t>
            </w:r>
          </w:p>
        </w:tc>
        <w:tc>
          <w:tcPr>
            <w:tcW w:w="1893" w:type="dxa"/>
            <w:tcBorders>
              <w:top w:val="nil"/>
              <w:left w:val="nil"/>
              <w:bottom w:val="nil"/>
              <w:right w:val="nil"/>
              <w:tl2br w:val="nil"/>
              <w:tr2bl w:val="nil"/>
            </w:tcBorders>
            <w:tcMar>
              <w:left w:w="60" w:type="dxa"/>
              <w:right w:w="60" w:type="dxa"/>
            </w:tcMar>
            <w:vAlign w:val="center"/>
          </w:tcPr>
          <w:p w14:paraId="4127779D" w14:textId="77777777" w:rsidR="00807FFE" w:rsidRDefault="00023E71">
            <w:pPr>
              <w:pStyle w:val="DMETW36765BIPPFD"/>
              <w:jc w:val="right"/>
              <w:rPr>
                <w:rFonts w:ascii="Verdana" w:eastAsia="Verdana" w:hAnsi="Verdana" w:cs="Verdana"/>
                <w:i/>
                <w:noProof/>
                <w:color w:val="016794"/>
                <w:sz w:val="16"/>
              </w:rPr>
            </w:pPr>
            <w:r>
              <w:rPr>
                <w:rFonts w:ascii="Verdana" w:eastAsia="Verdana" w:hAnsi="Verdana" w:cs="Verdana"/>
                <w:i/>
                <w:noProof/>
                <w:color w:val="016794"/>
                <w:sz w:val="16"/>
              </w:rPr>
              <w:t>(110 740)</w:t>
            </w:r>
          </w:p>
        </w:tc>
        <w:tc>
          <w:tcPr>
            <w:tcW w:w="1864" w:type="dxa"/>
            <w:tcBorders>
              <w:top w:val="nil"/>
              <w:left w:val="nil"/>
              <w:bottom w:val="nil"/>
              <w:right w:val="nil"/>
              <w:tl2br w:val="nil"/>
              <w:tr2bl w:val="nil"/>
            </w:tcBorders>
            <w:tcMar>
              <w:left w:w="60" w:type="dxa"/>
              <w:right w:w="60" w:type="dxa"/>
            </w:tcMar>
            <w:vAlign w:val="center"/>
          </w:tcPr>
          <w:p w14:paraId="22248B64" w14:textId="77777777" w:rsidR="00807FFE" w:rsidRDefault="00023E71">
            <w:pPr>
              <w:pStyle w:val="DMETW36765BIPPFD"/>
              <w:jc w:val="right"/>
              <w:rPr>
                <w:rFonts w:ascii="Verdana" w:eastAsia="Verdana" w:hAnsi="Verdana" w:cs="Verdana"/>
                <w:i/>
                <w:noProof/>
                <w:color w:val="016794"/>
                <w:sz w:val="16"/>
              </w:rPr>
            </w:pPr>
            <w:r>
              <w:rPr>
                <w:rFonts w:ascii="Verdana" w:eastAsia="Verdana" w:hAnsi="Verdana" w:cs="Verdana"/>
                <w:i/>
                <w:noProof/>
                <w:color w:val="016794"/>
                <w:sz w:val="16"/>
              </w:rPr>
              <w:t>35 298</w:t>
            </w:r>
          </w:p>
        </w:tc>
      </w:tr>
    </w:tbl>
    <w:p w14:paraId="13444FCE" w14:textId="5343AC83" w:rsidR="00F52BB5" w:rsidRDefault="00F52BB5" w:rsidP="00620536">
      <w:pPr>
        <w:pStyle w:val="DGTextstand-alone"/>
      </w:pPr>
    </w:p>
    <w:p w14:paraId="663E1087" w14:textId="77777777" w:rsidR="00F52BB5" w:rsidRDefault="00F52BB5">
      <w:pPr>
        <w:rPr>
          <w:rFonts w:ascii="Verdana" w:hAnsi="Verdana"/>
          <w:noProof/>
          <w:sz w:val="18"/>
          <w:szCs w:val="18"/>
          <w:lang w:eastAsia="en-US"/>
        </w:rPr>
      </w:pPr>
      <w:r>
        <w:rPr>
          <w:noProof/>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4"/>
        <w:gridCol w:w="1984"/>
        <w:gridCol w:w="1755"/>
        <w:gridCol w:w="1755"/>
      </w:tblGrid>
      <w:tr w:rsidR="00807FFE" w14:paraId="483632F0" w14:textId="77777777">
        <w:trPr>
          <w:trHeight w:val="255"/>
        </w:trPr>
        <w:tc>
          <w:tcPr>
            <w:tcW w:w="4264" w:type="dxa"/>
            <w:tcBorders>
              <w:top w:val="nil"/>
              <w:left w:val="nil"/>
              <w:bottom w:val="nil"/>
              <w:right w:val="nil"/>
              <w:tl2br w:val="nil"/>
              <w:tr2bl w:val="nil"/>
            </w:tcBorders>
            <w:tcMar>
              <w:left w:w="60" w:type="dxa"/>
              <w:right w:w="60" w:type="dxa"/>
            </w:tcMar>
            <w:vAlign w:val="bottom"/>
          </w:tcPr>
          <w:p w14:paraId="3EB65A71" w14:textId="77777777" w:rsidR="00807FFE" w:rsidRDefault="00807FFE">
            <w:pPr>
              <w:pStyle w:val="DMETW36765BIPPFDOLD"/>
              <w:rPr>
                <w:rFonts w:ascii="Arial" w:eastAsia="Arial" w:hAnsi="Arial" w:cs="Arial"/>
                <w:noProof/>
                <w:color w:val="000000"/>
                <w:lang w:bidi="en-GB"/>
              </w:rPr>
            </w:pPr>
            <w:bookmarkStart w:id="120" w:name="DOC_TBL00028_1_1"/>
            <w:bookmarkEnd w:id="120"/>
          </w:p>
        </w:tc>
        <w:tc>
          <w:tcPr>
            <w:tcW w:w="1984" w:type="dxa"/>
            <w:tcBorders>
              <w:top w:val="nil"/>
              <w:left w:val="nil"/>
              <w:bottom w:val="nil"/>
              <w:right w:val="nil"/>
              <w:tl2br w:val="nil"/>
              <w:tr2bl w:val="nil"/>
            </w:tcBorders>
            <w:tcMar>
              <w:left w:w="60" w:type="dxa"/>
              <w:right w:w="60" w:type="dxa"/>
            </w:tcMar>
            <w:vAlign w:val="bottom"/>
          </w:tcPr>
          <w:p w14:paraId="74B87B43" w14:textId="77777777" w:rsidR="00807FFE" w:rsidRDefault="00807FFE">
            <w:pPr>
              <w:pStyle w:val="DMETW36765BIPPFDOLD"/>
              <w:rPr>
                <w:rFonts w:ascii="Arial" w:eastAsia="Arial" w:hAnsi="Arial" w:cs="Arial"/>
                <w:noProof/>
                <w:color w:val="000000"/>
              </w:rPr>
            </w:pPr>
          </w:p>
        </w:tc>
        <w:tc>
          <w:tcPr>
            <w:tcW w:w="1755" w:type="dxa"/>
            <w:tcBorders>
              <w:top w:val="nil"/>
              <w:left w:val="nil"/>
              <w:bottom w:val="nil"/>
              <w:right w:val="nil"/>
              <w:tl2br w:val="nil"/>
              <w:tr2bl w:val="nil"/>
            </w:tcBorders>
            <w:tcMar>
              <w:left w:w="60" w:type="dxa"/>
              <w:right w:w="60" w:type="dxa"/>
            </w:tcMar>
            <w:vAlign w:val="bottom"/>
          </w:tcPr>
          <w:p w14:paraId="645DADDA" w14:textId="77777777" w:rsidR="00807FFE" w:rsidRDefault="00807FFE">
            <w:pPr>
              <w:pStyle w:val="DMETW36765BIPPFDOLD"/>
              <w:rPr>
                <w:rFonts w:ascii="Arial" w:eastAsia="Arial" w:hAnsi="Arial" w:cs="Arial"/>
                <w:noProof/>
                <w:color w:val="000000"/>
              </w:rPr>
            </w:pPr>
          </w:p>
        </w:tc>
        <w:tc>
          <w:tcPr>
            <w:tcW w:w="1755" w:type="dxa"/>
            <w:tcBorders>
              <w:top w:val="nil"/>
              <w:left w:val="nil"/>
              <w:bottom w:val="nil"/>
              <w:right w:val="nil"/>
              <w:tl2br w:val="nil"/>
              <w:tr2bl w:val="nil"/>
            </w:tcBorders>
            <w:tcMar>
              <w:left w:w="60" w:type="dxa"/>
              <w:right w:w="60" w:type="dxa"/>
            </w:tcMar>
            <w:vAlign w:val="bottom"/>
          </w:tcPr>
          <w:p w14:paraId="78E36F6A"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52B59B2" w14:textId="77777777">
        <w:trPr>
          <w:trHeight w:val="255"/>
        </w:trPr>
        <w:tc>
          <w:tcPr>
            <w:tcW w:w="4264" w:type="dxa"/>
            <w:tcBorders>
              <w:top w:val="nil"/>
              <w:left w:val="nil"/>
              <w:bottom w:val="nil"/>
              <w:right w:val="nil"/>
              <w:tl2br w:val="nil"/>
              <w:tr2bl w:val="nil"/>
            </w:tcBorders>
            <w:shd w:val="solid" w:color="016794" w:fill="FFFFFF"/>
            <w:tcMar>
              <w:left w:w="60" w:type="dxa"/>
              <w:right w:w="60" w:type="dxa"/>
            </w:tcMar>
            <w:vAlign w:val="center"/>
          </w:tcPr>
          <w:p w14:paraId="624CFDB9" w14:textId="77777777" w:rsidR="00807FFE" w:rsidRDefault="00807FFE">
            <w:pPr>
              <w:pStyle w:val="DMETW36765BIPPFDOLD"/>
              <w:jc w:val="right"/>
              <w:rPr>
                <w:rFonts w:ascii="Verdana" w:eastAsia="Verdana" w:hAnsi="Verdana" w:cs="Verdana"/>
                <w:noProof/>
                <w:color w:val="FFFFFF"/>
                <w:sz w:val="16"/>
              </w:rPr>
            </w:pPr>
          </w:p>
        </w:tc>
        <w:tc>
          <w:tcPr>
            <w:tcW w:w="1984" w:type="dxa"/>
            <w:tcBorders>
              <w:top w:val="nil"/>
              <w:left w:val="nil"/>
              <w:bottom w:val="nil"/>
              <w:right w:val="nil"/>
              <w:tl2br w:val="nil"/>
              <w:tr2bl w:val="nil"/>
            </w:tcBorders>
            <w:shd w:val="solid" w:color="016794" w:fill="FFFFFF"/>
            <w:tcMar>
              <w:left w:w="60" w:type="dxa"/>
              <w:right w:w="60" w:type="dxa"/>
            </w:tcMar>
            <w:vAlign w:val="center"/>
          </w:tcPr>
          <w:p w14:paraId="3EAE888F" w14:textId="77777777" w:rsidR="00807FFE" w:rsidRDefault="00023E71">
            <w:pPr>
              <w:pStyle w:val="DMETW36765BIPPFDOLD"/>
              <w:jc w:val="right"/>
              <w:rPr>
                <w:rFonts w:ascii="Verdana" w:eastAsia="Verdana" w:hAnsi="Verdana" w:cs="Verdana"/>
                <w:noProof/>
                <w:color w:val="FFFFFF"/>
                <w:sz w:val="16"/>
              </w:rPr>
            </w:pPr>
            <w:r>
              <w:rPr>
                <w:rFonts w:ascii="Verdana" w:eastAsia="Verdana" w:hAnsi="Verdana" w:cs="Verdana"/>
                <w:noProof/>
                <w:color w:val="FFFFFF"/>
                <w:sz w:val="16"/>
              </w:rPr>
              <w:t>Gross amount</w:t>
            </w:r>
          </w:p>
        </w:tc>
        <w:tc>
          <w:tcPr>
            <w:tcW w:w="1755" w:type="dxa"/>
            <w:tcBorders>
              <w:top w:val="nil"/>
              <w:left w:val="nil"/>
              <w:bottom w:val="nil"/>
              <w:right w:val="nil"/>
              <w:tl2br w:val="nil"/>
              <w:tr2bl w:val="nil"/>
            </w:tcBorders>
            <w:shd w:val="solid" w:color="016794" w:fill="FFFFFF"/>
            <w:tcMar>
              <w:left w:w="60" w:type="dxa"/>
              <w:right w:w="60" w:type="dxa"/>
            </w:tcMar>
            <w:vAlign w:val="center"/>
          </w:tcPr>
          <w:p w14:paraId="48B9B46F" w14:textId="77777777" w:rsidR="00807FFE" w:rsidRDefault="00023E71">
            <w:pPr>
              <w:pStyle w:val="DMETW36765BIPPFDOLD"/>
              <w:jc w:val="right"/>
              <w:rPr>
                <w:rFonts w:ascii="Verdana" w:eastAsia="Verdana" w:hAnsi="Verdana" w:cs="Verdana"/>
                <w:noProof/>
                <w:color w:val="FFFFFF"/>
                <w:sz w:val="16"/>
              </w:rPr>
            </w:pPr>
            <w:r>
              <w:rPr>
                <w:rFonts w:ascii="Verdana" w:eastAsia="Verdana" w:hAnsi="Verdana" w:cs="Verdana"/>
                <w:noProof/>
                <w:color w:val="FFFFFF"/>
                <w:sz w:val="16"/>
              </w:rPr>
              <w:t>Cleared via accruals</w:t>
            </w:r>
          </w:p>
        </w:tc>
        <w:tc>
          <w:tcPr>
            <w:tcW w:w="1755" w:type="dxa"/>
            <w:tcBorders>
              <w:top w:val="nil"/>
              <w:left w:val="nil"/>
              <w:bottom w:val="nil"/>
              <w:right w:val="nil"/>
              <w:tl2br w:val="nil"/>
              <w:tr2bl w:val="nil"/>
            </w:tcBorders>
            <w:shd w:val="solid" w:color="016794" w:fill="FFFFFF"/>
            <w:tcMar>
              <w:left w:w="60" w:type="dxa"/>
              <w:right w:w="60" w:type="dxa"/>
            </w:tcMar>
            <w:vAlign w:val="center"/>
          </w:tcPr>
          <w:p w14:paraId="174BE20A" w14:textId="77777777" w:rsidR="00807FFE" w:rsidRDefault="00023E71">
            <w:pPr>
              <w:pStyle w:val="DMETW36765BIPPFDOLD"/>
              <w:jc w:val="right"/>
              <w:rPr>
                <w:rFonts w:ascii="Verdana" w:eastAsia="Verdana" w:hAnsi="Verdana" w:cs="Verdana"/>
                <w:noProof/>
                <w:color w:val="FFFFFF"/>
                <w:sz w:val="16"/>
                <w:lang w:bidi="en-GB"/>
              </w:rPr>
            </w:pPr>
            <w:r>
              <w:rPr>
                <w:rFonts w:ascii="Verdana" w:eastAsia="Verdana" w:hAnsi="Verdana" w:cs="Verdana"/>
                <w:noProof/>
                <w:color w:val="FFFFFF"/>
                <w:sz w:val="16"/>
              </w:rPr>
              <w:t>Net amount at 31.12.2024</w:t>
            </w:r>
          </w:p>
        </w:tc>
      </w:tr>
      <w:tr w:rsidR="00807FFE" w14:paraId="797D3A19"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7B1CE71D" w14:textId="77777777" w:rsidR="00807FFE" w:rsidRDefault="00023E71">
            <w:pPr>
              <w:pStyle w:val="DMETW36765BIPPFDOLD"/>
              <w:rPr>
                <w:rFonts w:ascii="Verdana" w:eastAsia="Verdana" w:hAnsi="Verdana" w:cs="Verdana"/>
                <w:b/>
                <w:noProof/>
                <w:color w:val="000000"/>
                <w:sz w:val="16"/>
              </w:rPr>
            </w:pPr>
            <w:r>
              <w:rPr>
                <w:rFonts w:ascii="Verdana" w:eastAsia="Verdana" w:hAnsi="Verdana" w:cs="Verdana"/>
                <w:b/>
                <w:noProof/>
                <w:color w:val="000000"/>
                <w:sz w:val="16"/>
              </w:rPr>
              <w:t>Shared management</w:t>
            </w:r>
          </w:p>
        </w:tc>
        <w:tc>
          <w:tcPr>
            <w:tcW w:w="1984" w:type="dxa"/>
            <w:tcBorders>
              <w:top w:val="nil"/>
              <w:left w:val="nil"/>
              <w:bottom w:val="nil"/>
              <w:right w:val="nil"/>
              <w:tl2br w:val="nil"/>
              <w:tr2bl w:val="nil"/>
            </w:tcBorders>
            <w:tcMar>
              <w:left w:w="60" w:type="dxa"/>
              <w:right w:w="60" w:type="dxa"/>
            </w:tcMar>
            <w:vAlign w:val="center"/>
          </w:tcPr>
          <w:p w14:paraId="1EDB417E" w14:textId="77777777" w:rsidR="00807FFE" w:rsidRDefault="00807FFE">
            <w:pPr>
              <w:pStyle w:val="DMETW36765BIPPFDOLD"/>
              <w:jc w:val="right"/>
              <w:rPr>
                <w:rFonts w:ascii="Verdana" w:eastAsia="Verdana" w:hAnsi="Verdana" w:cs="Verdana"/>
                <w:b/>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14:paraId="5C6C3F49" w14:textId="77777777" w:rsidR="00807FFE" w:rsidRDefault="00807FFE">
            <w:pPr>
              <w:pStyle w:val="DMETW36765BIPPFDOLD"/>
              <w:jc w:val="right"/>
              <w:rPr>
                <w:rFonts w:ascii="Verdana" w:eastAsia="Verdana" w:hAnsi="Verdana" w:cs="Verdana"/>
                <w:b/>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14:paraId="3FC4BC6B" w14:textId="77777777" w:rsidR="00807FFE" w:rsidRDefault="00807FFE">
            <w:pPr>
              <w:pStyle w:val="DMETW36765BIPPFDOLD"/>
              <w:jc w:val="right"/>
              <w:rPr>
                <w:rFonts w:ascii="Verdana" w:eastAsia="Verdana" w:hAnsi="Verdana" w:cs="Verdana"/>
                <w:b/>
                <w:noProof/>
                <w:color w:val="000000"/>
                <w:sz w:val="16"/>
                <w:lang w:bidi="en-GB"/>
              </w:rPr>
            </w:pPr>
          </w:p>
        </w:tc>
      </w:tr>
      <w:tr w:rsidR="00807FFE" w14:paraId="2D251E1B"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542ABA21"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EAFRD &amp; other rural </w:t>
            </w:r>
          </w:p>
          <w:p w14:paraId="0633774F"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development instruments</w:t>
            </w:r>
          </w:p>
        </w:tc>
        <w:tc>
          <w:tcPr>
            <w:tcW w:w="1984" w:type="dxa"/>
            <w:tcBorders>
              <w:top w:val="nil"/>
              <w:left w:val="nil"/>
              <w:bottom w:val="nil"/>
              <w:right w:val="nil"/>
              <w:tl2br w:val="nil"/>
              <w:tr2bl w:val="nil"/>
            </w:tcBorders>
            <w:tcMar>
              <w:left w:w="60" w:type="dxa"/>
              <w:right w:w="60" w:type="dxa"/>
            </w:tcMar>
            <w:vAlign w:val="center"/>
          </w:tcPr>
          <w:p w14:paraId="7F74B3B7"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3 885</w:t>
            </w:r>
          </w:p>
        </w:tc>
        <w:tc>
          <w:tcPr>
            <w:tcW w:w="1755" w:type="dxa"/>
            <w:tcBorders>
              <w:top w:val="nil"/>
              <w:left w:val="nil"/>
              <w:bottom w:val="nil"/>
              <w:right w:val="nil"/>
              <w:tl2br w:val="nil"/>
              <w:tr2bl w:val="nil"/>
            </w:tcBorders>
            <w:tcMar>
              <w:left w:w="60" w:type="dxa"/>
              <w:right w:w="60" w:type="dxa"/>
            </w:tcMar>
            <w:vAlign w:val="center"/>
          </w:tcPr>
          <w:p w14:paraId="3B1F5F27"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 xml:space="preserve"> (840)</w:t>
            </w:r>
          </w:p>
        </w:tc>
        <w:tc>
          <w:tcPr>
            <w:tcW w:w="1755" w:type="dxa"/>
            <w:tcBorders>
              <w:top w:val="nil"/>
              <w:left w:val="nil"/>
              <w:bottom w:val="nil"/>
              <w:right w:val="nil"/>
              <w:tl2br w:val="nil"/>
              <w:tr2bl w:val="nil"/>
            </w:tcBorders>
            <w:tcMar>
              <w:left w:w="60" w:type="dxa"/>
              <w:right w:w="60" w:type="dxa"/>
            </w:tcMar>
            <w:vAlign w:val="center"/>
          </w:tcPr>
          <w:p w14:paraId="3D9235C2"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3 045</w:t>
            </w:r>
          </w:p>
        </w:tc>
      </w:tr>
      <w:tr w:rsidR="00807FFE" w14:paraId="6B0556FC"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0400C85B"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ERDF &amp; CF</w:t>
            </w:r>
          </w:p>
        </w:tc>
        <w:tc>
          <w:tcPr>
            <w:tcW w:w="1984" w:type="dxa"/>
            <w:tcBorders>
              <w:top w:val="nil"/>
              <w:left w:val="nil"/>
              <w:bottom w:val="nil"/>
              <w:right w:val="nil"/>
              <w:tl2br w:val="nil"/>
              <w:tr2bl w:val="nil"/>
            </w:tcBorders>
            <w:tcMar>
              <w:left w:w="60" w:type="dxa"/>
              <w:right w:w="60" w:type="dxa"/>
            </w:tcMar>
            <w:vAlign w:val="center"/>
          </w:tcPr>
          <w:p w14:paraId="2D12F6AB"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25 859</w:t>
            </w:r>
          </w:p>
        </w:tc>
        <w:tc>
          <w:tcPr>
            <w:tcW w:w="1755" w:type="dxa"/>
            <w:tcBorders>
              <w:top w:val="nil"/>
              <w:left w:val="nil"/>
              <w:bottom w:val="nil"/>
              <w:right w:val="nil"/>
              <w:tl2br w:val="nil"/>
              <w:tr2bl w:val="nil"/>
            </w:tcBorders>
            <w:tcMar>
              <w:left w:w="60" w:type="dxa"/>
              <w:right w:w="60" w:type="dxa"/>
            </w:tcMar>
            <w:vAlign w:val="center"/>
          </w:tcPr>
          <w:p w14:paraId="4B8DCD05"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(16 476)</w:t>
            </w:r>
          </w:p>
        </w:tc>
        <w:tc>
          <w:tcPr>
            <w:tcW w:w="1755" w:type="dxa"/>
            <w:tcBorders>
              <w:top w:val="nil"/>
              <w:left w:val="nil"/>
              <w:bottom w:val="nil"/>
              <w:right w:val="nil"/>
              <w:tl2br w:val="nil"/>
              <w:tr2bl w:val="nil"/>
            </w:tcBorders>
            <w:tcMar>
              <w:left w:w="60" w:type="dxa"/>
              <w:right w:w="60" w:type="dxa"/>
            </w:tcMar>
            <w:vAlign w:val="center"/>
          </w:tcPr>
          <w:p w14:paraId="19FF1CEC"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9 384</w:t>
            </w:r>
          </w:p>
        </w:tc>
      </w:tr>
      <w:tr w:rsidR="00807FFE" w14:paraId="6ADFD04A"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46E6E5CD"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ESF</w:t>
            </w:r>
          </w:p>
        </w:tc>
        <w:tc>
          <w:tcPr>
            <w:tcW w:w="1984" w:type="dxa"/>
            <w:tcBorders>
              <w:top w:val="nil"/>
              <w:left w:val="nil"/>
              <w:bottom w:val="nil"/>
              <w:right w:val="nil"/>
              <w:tl2br w:val="nil"/>
              <w:tr2bl w:val="nil"/>
            </w:tcBorders>
            <w:tcMar>
              <w:left w:w="60" w:type="dxa"/>
              <w:right w:w="60" w:type="dxa"/>
            </w:tcMar>
            <w:vAlign w:val="center"/>
          </w:tcPr>
          <w:p w14:paraId="230AC4D0"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9 437</w:t>
            </w:r>
          </w:p>
        </w:tc>
        <w:tc>
          <w:tcPr>
            <w:tcW w:w="1755" w:type="dxa"/>
            <w:tcBorders>
              <w:top w:val="nil"/>
              <w:left w:val="nil"/>
              <w:bottom w:val="nil"/>
              <w:right w:val="nil"/>
              <w:tl2br w:val="nil"/>
              <w:tr2bl w:val="nil"/>
            </w:tcBorders>
            <w:tcMar>
              <w:left w:w="60" w:type="dxa"/>
              <w:right w:w="60" w:type="dxa"/>
            </w:tcMar>
            <w:vAlign w:val="center"/>
          </w:tcPr>
          <w:p w14:paraId="6F2D2325"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(6 258)</w:t>
            </w:r>
          </w:p>
        </w:tc>
        <w:tc>
          <w:tcPr>
            <w:tcW w:w="1755" w:type="dxa"/>
            <w:tcBorders>
              <w:top w:val="nil"/>
              <w:left w:val="nil"/>
              <w:bottom w:val="nil"/>
              <w:right w:val="nil"/>
              <w:tl2br w:val="nil"/>
              <w:tr2bl w:val="nil"/>
            </w:tcBorders>
            <w:tcMar>
              <w:left w:w="60" w:type="dxa"/>
              <w:right w:w="60" w:type="dxa"/>
            </w:tcMar>
            <w:vAlign w:val="center"/>
          </w:tcPr>
          <w:p w14:paraId="31AA3C80"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3 180</w:t>
            </w:r>
          </w:p>
        </w:tc>
      </w:tr>
      <w:tr w:rsidR="00807FFE" w14:paraId="53135099" w14:textId="77777777">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14:paraId="2746A643"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Other</w:t>
            </w:r>
          </w:p>
        </w:tc>
        <w:tc>
          <w:tcPr>
            <w:tcW w:w="1984" w:type="dxa"/>
            <w:tcBorders>
              <w:top w:val="nil"/>
              <w:left w:val="nil"/>
              <w:bottom w:val="single" w:sz="4" w:space="0" w:color="016794"/>
              <w:right w:val="nil"/>
              <w:tl2br w:val="nil"/>
              <w:tr2bl w:val="nil"/>
            </w:tcBorders>
            <w:tcMar>
              <w:left w:w="60" w:type="dxa"/>
              <w:right w:w="60" w:type="dxa"/>
            </w:tcMar>
            <w:vAlign w:val="center"/>
          </w:tcPr>
          <w:p w14:paraId="5C652A16"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14 220</w:t>
            </w:r>
          </w:p>
        </w:tc>
        <w:tc>
          <w:tcPr>
            <w:tcW w:w="1755" w:type="dxa"/>
            <w:tcBorders>
              <w:top w:val="nil"/>
              <w:left w:val="nil"/>
              <w:bottom w:val="single" w:sz="4" w:space="0" w:color="016794"/>
              <w:right w:val="nil"/>
              <w:tl2br w:val="nil"/>
              <w:tr2bl w:val="nil"/>
            </w:tcBorders>
            <w:tcMar>
              <w:left w:w="60" w:type="dxa"/>
              <w:right w:w="60" w:type="dxa"/>
            </w:tcMar>
            <w:vAlign w:val="center"/>
          </w:tcPr>
          <w:p w14:paraId="300C6E5A"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(4 836)</w:t>
            </w:r>
          </w:p>
        </w:tc>
        <w:tc>
          <w:tcPr>
            <w:tcW w:w="1755" w:type="dxa"/>
            <w:tcBorders>
              <w:top w:val="nil"/>
              <w:left w:val="nil"/>
              <w:bottom w:val="single" w:sz="4" w:space="0" w:color="016794"/>
              <w:right w:val="nil"/>
              <w:tl2br w:val="nil"/>
              <w:tr2bl w:val="nil"/>
            </w:tcBorders>
            <w:tcMar>
              <w:left w:w="60" w:type="dxa"/>
              <w:right w:w="60" w:type="dxa"/>
            </w:tcMar>
            <w:vAlign w:val="center"/>
          </w:tcPr>
          <w:p w14:paraId="67F23CCC"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9 384</w:t>
            </w:r>
          </w:p>
        </w:tc>
      </w:tr>
      <w:tr w:rsidR="00807FFE" w14:paraId="28D61110" w14:textId="77777777">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14:paraId="2707EC67" w14:textId="77777777" w:rsidR="00807FFE" w:rsidRDefault="00807FFE">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14:paraId="7604F7B1" w14:textId="77777777" w:rsidR="00807FFE" w:rsidRDefault="00023E71">
            <w:pPr>
              <w:pStyle w:val="DMETW36765BIPPFDOLD"/>
              <w:jc w:val="right"/>
              <w:rPr>
                <w:rFonts w:ascii="Verdana" w:eastAsia="Verdana" w:hAnsi="Verdana" w:cs="Verdana"/>
                <w:b/>
                <w:noProof/>
                <w:color w:val="000000"/>
                <w:sz w:val="16"/>
              </w:rPr>
            </w:pPr>
            <w:r>
              <w:rPr>
                <w:rFonts w:ascii="Verdana" w:eastAsia="Verdana" w:hAnsi="Verdana" w:cs="Verdana"/>
                <w:b/>
                <w:noProof/>
                <w:color w:val="000000"/>
                <w:sz w:val="16"/>
              </w:rPr>
              <w:t>53 402</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14:paraId="379F3E0F" w14:textId="77777777" w:rsidR="00807FFE" w:rsidRDefault="00023E71">
            <w:pPr>
              <w:pStyle w:val="DMETW36765BIPPFDOLD"/>
              <w:jc w:val="right"/>
              <w:rPr>
                <w:rFonts w:ascii="Verdana" w:eastAsia="Verdana" w:hAnsi="Verdana" w:cs="Verdana"/>
                <w:b/>
                <w:noProof/>
                <w:color w:val="000000"/>
                <w:sz w:val="16"/>
              </w:rPr>
            </w:pPr>
            <w:r>
              <w:rPr>
                <w:rFonts w:ascii="Verdana" w:eastAsia="Verdana" w:hAnsi="Verdana" w:cs="Verdana"/>
                <w:b/>
                <w:noProof/>
                <w:color w:val="000000"/>
                <w:sz w:val="16"/>
              </w:rPr>
              <w:t>(28 409)</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14:paraId="731C898E" w14:textId="77777777" w:rsidR="00807FFE" w:rsidRDefault="00023E71">
            <w:pPr>
              <w:pStyle w:val="DMETW36765BIPPFDOLD"/>
              <w:jc w:val="right"/>
              <w:rPr>
                <w:rFonts w:ascii="Verdana" w:eastAsia="Verdana" w:hAnsi="Verdana" w:cs="Verdana"/>
                <w:b/>
                <w:noProof/>
                <w:color w:val="000000"/>
                <w:sz w:val="16"/>
                <w:lang w:bidi="en-GB"/>
              </w:rPr>
            </w:pPr>
            <w:r>
              <w:rPr>
                <w:rFonts w:ascii="Verdana" w:eastAsia="Verdana" w:hAnsi="Verdana" w:cs="Verdana"/>
                <w:b/>
                <w:noProof/>
                <w:color w:val="000000"/>
                <w:sz w:val="16"/>
              </w:rPr>
              <w:t>24 992</w:t>
            </w:r>
          </w:p>
        </w:tc>
      </w:tr>
      <w:tr w:rsidR="00807FFE" w14:paraId="76FDE98C" w14:textId="77777777">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14:paraId="37594BAF" w14:textId="77777777" w:rsidR="00807FFE" w:rsidRDefault="00023E71">
            <w:pPr>
              <w:pStyle w:val="DMETW36765BIPPFDOLD"/>
              <w:rPr>
                <w:rFonts w:ascii="Verdana" w:eastAsia="Verdana" w:hAnsi="Verdana" w:cs="Verdana"/>
                <w:b/>
                <w:noProof/>
                <w:color w:val="000000"/>
                <w:sz w:val="16"/>
              </w:rPr>
            </w:pPr>
            <w:r>
              <w:rPr>
                <w:rFonts w:ascii="Verdana" w:eastAsia="Verdana" w:hAnsi="Verdana" w:cs="Verdana"/>
                <w:b/>
                <w:noProof/>
                <w:color w:val="000000"/>
                <w:sz w:val="16"/>
              </w:rPr>
              <w:t>Direct Management</w:t>
            </w:r>
          </w:p>
        </w:tc>
        <w:tc>
          <w:tcPr>
            <w:tcW w:w="1984" w:type="dxa"/>
            <w:tcBorders>
              <w:top w:val="single" w:sz="4" w:space="0" w:color="016794"/>
              <w:left w:val="nil"/>
              <w:bottom w:val="nil"/>
              <w:right w:val="nil"/>
              <w:tl2br w:val="nil"/>
              <w:tr2bl w:val="nil"/>
            </w:tcBorders>
            <w:tcMar>
              <w:left w:w="60" w:type="dxa"/>
              <w:right w:w="60" w:type="dxa"/>
            </w:tcMar>
            <w:vAlign w:val="center"/>
          </w:tcPr>
          <w:p w14:paraId="77B94D3D" w14:textId="77777777" w:rsidR="00807FFE" w:rsidRDefault="00807FFE">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14:paraId="1AD5271B" w14:textId="77777777" w:rsidR="00807FFE" w:rsidRDefault="00807FFE">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14:paraId="7E49F9B7" w14:textId="77777777" w:rsidR="00807FFE" w:rsidRDefault="00807FFE">
            <w:pPr>
              <w:pStyle w:val="DMETW36765BIPPFDOLD"/>
              <w:jc w:val="right"/>
              <w:rPr>
                <w:rFonts w:ascii="Verdana" w:eastAsia="Verdana" w:hAnsi="Verdana" w:cs="Verdana"/>
                <w:b/>
                <w:noProof/>
                <w:color w:val="000000"/>
                <w:sz w:val="16"/>
                <w:lang w:bidi="en-GB"/>
              </w:rPr>
            </w:pPr>
          </w:p>
        </w:tc>
      </w:tr>
      <w:tr w:rsidR="00807FFE" w14:paraId="01522966"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05F59AAC"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Implemented by: </w:t>
            </w:r>
          </w:p>
        </w:tc>
        <w:tc>
          <w:tcPr>
            <w:tcW w:w="1984" w:type="dxa"/>
            <w:tcBorders>
              <w:top w:val="nil"/>
              <w:left w:val="nil"/>
              <w:bottom w:val="nil"/>
              <w:right w:val="nil"/>
              <w:tl2br w:val="nil"/>
              <w:tr2bl w:val="nil"/>
            </w:tcBorders>
            <w:tcMar>
              <w:left w:w="60" w:type="dxa"/>
              <w:right w:w="60" w:type="dxa"/>
            </w:tcMar>
            <w:vAlign w:val="center"/>
          </w:tcPr>
          <w:p w14:paraId="3A3B60DF" w14:textId="77777777" w:rsidR="00807FFE" w:rsidRDefault="00807FFE">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14:paraId="1300212F" w14:textId="77777777" w:rsidR="00807FFE" w:rsidRDefault="00807FFE">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14:paraId="0705B735" w14:textId="77777777" w:rsidR="00807FFE" w:rsidRDefault="00807FFE">
            <w:pPr>
              <w:pStyle w:val="DMETW36765BIPPFDOLD"/>
              <w:jc w:val="right"/>
              <w:rPr>
                <w:rFonts w:ascii="Verdana" w:eastAsia="Verdana" w:hAnsi="Verdana" w:cs="Verdana"/>
                <w:i/>
                <w:noProof/>
                <w:color w:val="000000"/>
                <w:sz w:val="16"/>
                <w:lang w:bidi="en-GB"/>
              </w:rPr>
            </w:pPr>
          </w:p>
        </w:tc>
      </w:tr>
      <w:tr w:rsidR="00807FFE" w14:paraId="5567A954"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480AE9EC"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Commission</w:t>
            </w:r>
          </w:p>
        </w:tc>
        <w:tc>
          <w:tcPr>
            <w:tcW w:w="1984" w:type="dxa"/>
            <w:tcBorders>
              <w:top w:val="nil"/>
              <w:left w:val="nil"/>
              <w:bottom w:val="nil"/>
              <w:right w:val="nil"/>
              <w:tl2br w:val="nil"/>
              <w:tr2bl w:val="nil"/>
            </w:tcBorders>
            <w:tcMar>
              <w:left w:w="60" w:type="dxa"/>
              <w:right w:w="60" w:type="dxa"/>
            </w:tcMar>
            <w:vAlign w:val="center"/>
          </w:tcPr>
          <w:p w14:paraId="65BCE198"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34 727</w:t>
            </w:r>
          </w:p>
        </w:tc>
        <w:tc>
          <w:tcPr>
            <w:tcW w:w="1755" w:type="dxa"/>
            <w:tcBorders>
              <w:top w:val="nil"/>
              <w:left w:val="nil"/>
              <w:bottom w:val="nil"/>
              <w:right w:val="nil"/>
              <w:tl2br w:val="nil"/>
              <w:tr2bl w:val="nil"/>
            </w:tcBorders>
            <w:tcMar>
              <w:left w:w="60" w:type="dxa"/>
              <w:right w:w="60" w:type="dxa"/>
            </w:tcMar>
            <w:vAlign w:val="center"/>
          </w:tcPr>
          <w:p w14:paraId="1A2767E0"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(14 289)</w:t>
            </w:r>
          </w:p>
        </w:tc>
        <w:tc>
          <w:tcPr>
            <w:tcW w:w="1755" w:type="dxa"/>
            <w:tcBorders>
              <w:top w:val="nil"/>
              <w:left w:val="nil"/>
              <w:bottom w:val="nil"/>
              <w:right w:val="nil"/>
              <w:tl2br w:val="nil"/>
              <w:tr2bl w:val="nil"/>
            </w:tcBorders>
            <w:tcMar>
              <w:left w:w="60" w:type="dxa"/>
              <w:right w:w="60" w:type="dxa"/>
            </w:tcMar>
            <w:vAlign w:val="center"/>
          </w:tcPr>
          <w:p w14:paraId="74C8C62D"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20 438</w:t>
            </w:r>
          </w:p>
        </w:tc>
      </w:tr>
      <w:tr w:rsidR="00807FFE" w14:paraId="7CB7028F"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04D7D476" w14:textId="77777777" w:rsidR="00807FFE" w:rsidRDefault="00023E71">
            <w:pPr>
              <w:pStyle w:val="DMETW36765BIPPFDOLD"/>
              <w:rPr>
                <w:rFonts w:ascii="Verdana" w:eastAsia="Verdana" w:hAnsi="Verdana" w:cs="Verdana"/>
                <w:i/>
                <w:noProof/>
                <w:color w:val="000000"/>
                <w:sz w:val="14"/>
              </w:rPr>
            </w:pPr>
            <w:r>
              <w:rPr>
                <w:rFonts w:ascii="Verdana" w:eastAsia="Verdana" w:hAnsi="Verdana" w:cs="Verdana"/>
                <w:i/>
                <w:noProof/>
                <w:color w:val="000000"/>
                <w:sz w:val="14"/>
              </w:rPr>
              <w:t xml:space="preserve">        of which RRF (NGEU)</w:t>
            </w:r>
          </w:p>
        </w:tc>
        <w:tc>
          <w:tcPr>
            <w:tcW w:w="1984" w:type="dxa"/>
            <w:tcBorders>
              <w:top w:val="nil"/>
              <w:left w:val="nil"/>
              <w:bottom w:val="nil"/>
              <w:right w:val="nil"/>
              <w:tl2br w:val="nil"/>
              <w:tr2bl w:val="nil"/>
            </w:tcBorders>
            <w:tcMar>
              <w:left w:w="60" w:type="dxa"/>
              <w:right w:w="60" w:type="dxa"/>
            </w:tcMar>
            <w:vAlign w:val="center"/>
          </w:tcPr>
          <w:p w14:paraId="66FE5748"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18 930</w:t>
            </w:r>
          </w:p>
        </w:tc>
        <w:tc>
          <w:tcPr>
            <w:tcW w:w="1755" w:type="dxa"/>
            <w:tcBorders>
              <w:top w:val="nil"/>
              <w:left w:val="nil"/>
              <w:bottom w:val="nil"/>
              <w:right w:val="nil"/>
              <w:tl2br w:val="nil"/>
              <w:tr2bl w:val="nil"/>
            </w:tcBorders>
            <w:tcMar>
              <w:left w:w="60" w:type="dxa"/>
              <w:right w:w="60" w:type="dxa"/>
            </w:tcMar>
            <w:vAlign w:val="center"/>
          </w:tcPr>
          <w:p w14:paraId="466749A3"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(3 541)</w:t>
            </w:r>
          </w:p>
        </w:tc>
        <w:tc>
          <w:tcPr>
            <w:tcW w:w="1755" w:type="dxa"/>
            <w:tcBorders>
              <w:top w:val="nil"/>
              <w:left w:val="nil"/>
              <w:bottom w:val="nil"/>
              <w:right w:val="nil"/>
              <w:tl2br w:val="nil"/>
              <w:tr2bl w:val="nil"/>
            </w:tcBorders>
            <w:tcMar>
              <w:left w:w="60" w:type="dxa"/>
              <w:right w:w="60" w:type="dxa"/>
            </w:tcMar>
            <w:vAlign w:val="center"/>
          </w:tcPr>
          <w:p w14:paraId="0380BBF3"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15 389</w:t>
            </w:r>
          </w:p>
        </w:tc>
      </w:tr>
      <w:tr w:rsidR="00807FFE" w14:paraId="7CA394CE"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13EA2B60"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EU executive agencies</w:t>
            </w:r>
          </w:p>
        </w:tc>
        <w:tc>
          <w:tcPr>
            <w:tcW w:w="1984" w:type="dxa"/>
            <w:tcBorders>
              <w:top w:val="nil"/>
              <w:left w:val="nil"/>
              <w:bottom w:val="nil"/>
              <w:right w:val="nil"/>
              <w:tl2br w:val="nil"/>
              <w:tr2bl w:val="nil"/>
            </w:tcBorders>
            <w:tcMar>
              <w:left w:w="60" w:type="dxa"/>
              <w:right w:w="60" w:type="dxa"/>
            </w:tcMar>
            <w:vAlign w:val="center"/>
          </w:tcPr>
          <w:p w14:paraId="198ECC6E"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40 693</w:t>
            </w:r>
          </w:p>
        </w:tc>
        <w:tc>
          <w:tcPr>
            <w:tcW w:w="1755" w:type="dxa"/>
            <w:tcBorders>
              <w:top w:val="nil"/>
              <w:left w:val="nil"/>
              <w:bottom w:val="nil"/>
              <w:right w:val="nil"/>
              <w:tl2br w:val="nil"/>
              <w:tr2bl w:val="nil"/>
            </w:tcBorders>
            <w:tcMar>
              <w:left w:w="60" w:type="dxa"/>
              <w:right w:w="60" w:type="dxa"/>
            </w:tcMar>
            <w:vAlign w:val="center"/>
          </w:tcPr>
          <w:p w14:paraId="1645678A"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(25 586)</w:t>
            </w:r>
          </w:p>
        </w:tc>
        <w:tc>
          <w:tcPr>
            <w:tcW w:w="1755" w:type="dxa"/>
            <w:tcBorders>
              <w:top w:val="nil"/>
              <w:left w:val="nil"/>
              <w:bottom w:val="nil"/>
              <w:right w:val="nil"/>
              <w:tl2br w:val="nil"/>
              <w:tr2bl w:val="nil"/>
            </w:tcBorders>
            <w:tcMar>
              <w:left w:w="60" w:type="dxa"/>
              <w:right w:w="60" w:type="dxa"/>
            </w:tcMar>
            <w:vAlign w:val="center"/>
          </w:tcPr>
          <w:p w14:paraId="7FA1C8DC"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15 107</w:t>
            </w:r>
          </w:p>
        </w:tc>
      </w:tr>
      <w:tr w:rsidR="00807FFE" w14:paraId="2F298BF6" w14:textId="77777777">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14:paraId="2A90B0D4"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Trust funds</w:t>
            </w:r>
          </w:p>
        </w:tc>
        <w:tc>
          <w:tcPr>
            <w:tcW w:w="1984" w:type="dxa"/>
            <w:tcBorders>
              <w:top w:val="nil"/>
              <w:left w:val="nil"/>
              <w:bottom w:val="single" w:sz="4" w:space="0" w:color="016794"/>
              <w:right w:val="nil"/>
              <w:tl2br w:val="nil"/>
              <w:tr2bl w:val="nil"/>
            </w:tcBorders>
            <w:tcMar>
              <w:left w:w="60" w:type="dxa"/>
              <w:right w:w="60" w:type="dxa"/>
            </w:tcMar>
            <w:vAlign w:val="center"/>
          </w:tcPr>
          <w:p w14:paraId="0BDC7096"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 xml:space="preserve"> 508</w:t>
            </w:r>
          </w:p>
        </w:tc>
        <w:tc>
          <w:tcPr>
            <w:tcW w:w="1755" w:type="dxa"/>
            <w:tcBorders>
              <w:top w:val="nil"/>
              <w:left w:val="nil"/>
              <w:bottom w:val="single" w:sz="4" w:space="0" w:color="016794"/>
              <w:right w:val="nil"/>
              <w:tl2br w:val="nil"/>
              <w:tr2bl w:val="nil"/>
            </w:tcBorders>
            <w:tcMar>
              <w:left w:w="60" w:type="dxa"/>
              <w:right w:w="60" w:type="dxa"/>
            </w:tcMar>
            <w:vAlign w:val="center"/>
          </w:tcPr>
          <w:p w14:paraId="22D7ED7B"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 xml:space="preserve"> (429)</w:t>
            </w:r>
          </w:p>
        </w:tc>
        <w:tc>
          <w:tcPr>
            <w:tcW w:w="1755" w:type="dxa"/>
            <w:tcBorders>
              <w:top w:val="nil"/>
              <w:left w:val="nil"/>
              <w:bottom w:val="single" w:sz="4" w:space="0" w:color="016794"/>
              <w:right w:val="nil"/>
              <w:tl2br w:val="nil"/>
              <w:tr2bl w:val="nil"/>
            </w:tcBorders>
            <w:tcMar>
              <w:left w:w="60" w:type="dxa"/>
              <w:right w:w="60" w:type="dxa"/>
            </w:tcMar>
            <w:vAlign w:val="center"/>
          </w:tcPr>
          <w:p w14:paraId="50BE49FF"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79</w:t>
            </w:r>
          </w:p>
        </w:tc>
      </w:tr>
      <w:tr w:rsidR="00807FFE" w14:paraId="38D1BDD5" w14:textId="77777777">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14:paraId="67EB2B6A" w14:textId="77777777" w:rsidR="00807FFE" w:rsidRDefault="00807FFE">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14:paraId="43ED738C" w14:textId="77777777" w:rsidR="00807FFE" w:rsidRDefault="00023E71">
            <w:pPr>
              <w:pStyle w:val="DMETW36765BIPPFDOLD"/>
              <w:jc w:val="right"/>
              <w:rPr>
                <w:rFonts w:ascii="Verdana" w:eastAsia="Verdana" w:hAnsi="Verdana" w:cs="Verdana"/>
                <w:b/>
                <w:noProof/>
                <w:color w:val="000000"/>
                <w:sz w:val="16"/>
              </w:rPr>
            </w:pPr>
            <w:r>
              <w:rPr>
                <w:rFonts w:ascii="Verdana" w:eastAsia="Verdana" w:hAnsi="Verdana" w:cs="Verdana"/>
                <w:b/>
                <w:noProof/>
                <w:color w:val="000000"/>
                <w:sz w:val="16"/>
              </w:rPr>
              <w:t>75 928</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14:paraId="0776AD3C" w14:textId="77777777" w:rsidR="00807FFE" w:rsidRDefault="00023E71">
            <w:pPr>
              <w:pStyle w:val="DMETW36765BIPPFDOLD"/>
              <w:jc w:val="right"/>
              <w:rPr>
                <w:rFonts w:ascii="Verdana" w:eastAsia="Verdana" w:hAnsi="Verdana" w:cs="Verdana"/>
                <w:b/>
                <w:noProof/>
                <w:color w:val="000000"/>
                <w:sz w:val="16"/>
              </w:rPr>
            </w:pPr>
            <w:r>
              <w:rPr>
                <w:rFonts w:ascii="Verdana" w:eastAsia="Verdana" w:hAnsi="Verdana" w:cs="Verdana"/>
                <w:b/>
                <w:noProof/>
                <w:color w:val="000000"/>
                <w:sz w:val="16"/>
              </w:rPr>
              <w:t>(40 304)</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14:paraId="6EE0956F" w14:textId="77777777" w:rsidR="00807FFE" w:rsidRDefault="00023E71">
            <w:pPr>
              <w:pStyle w:val="DMETW36765BIPPFDOLD"/>
              <w:jc w:val="right"/>
              <w:rPr>
                <w:rFonts w:ascii="Verdana" w:eastAsia="Verdana" w:hAnsi="Verdana" w:cs="Verdana"/>
                <w:b/>
                <w:noProof/>
                <w:color w:val="000000"/>
                <w:sz w:val="16"/>
                <w:lang w:bidi="en-GB"/>
              </w:rPr>
            </w:pPr>
            <w:r>
              <w:rPr>
                <w:rFonts w:ascii="Verdana" w:eastAsia="Verdana" w:hAnsi="Verdana" w:cs="Verdana"/>
                <w:b/>
                <w:noProof/>
                <w:color w:val="000000"/>
                <w:sz w:val="16"/>
              </w:rPr>
              <w:t>35 624</w:t>
            </w:r>
          </w:p>
        </w:tc>
      </w:tr>
      <w:tr w:rsidR="00807FFE" w14:paraId="382C1777" w14:textId="77777777">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14:paraId="616C6D9E" w14:textId="77777777" w:rsidR="00807FFE" w:rsidRDefault="00023E71">
            <w:pPr>
              <w:pStyle w:val="DMETW36765BIPPFDOLD"/>
              <w:rPr>
                <w:rFonts w:ascii="Verdana" w:eastAsia="Verdana" w:hAnsi="Verdana" w:cs="Verdana"/>
                <w:b/>
                <w:noProof/>
                <w:color w:val="000000"/>
                <w:sz w:val="16"/>
              </w:rPr>
            </w:pPr>
            <w:r>
              <w:rPr>
                <w:rFonts w:ascii="Verdana" w:eastAsia="Verdana" w:hAnsi="Verdana" w:cs="Verdana"/>
                <w:b/>
                <w:noProof/>
                <w:color w:val="000000"/>
                <w:sz w:val="16"/>
              </w:rPr>
              <w:t>Indirect Management</w:t>
            </w:r>
          </w:p>
        </w:tc>
        <w:tc>
          <w:tcPr>
            <w:tcW w:w="1984" w:type="dxa"/>
            <w:tcBorders>
              <w:top w:val="single" w:sz="4" w:space="0" w:color="016794"/>
              <w:left w:val="nil"/>
              <w:bottom w:val="nil"/>
              <w:right w:val="nil"/>
              <w:tl2br w:val="nil"/>
              <w:tr2bl w:val="nil"/>
            </w:tcBorders>
            <w:tcMar>
              <w:left w:w="60" w:type="dxa"/>
              <w:right w:w="60" w:type="dxa"/>
            </w:tcMar>
            <w:vAlign w:val="center"/>
          </w:tcPr>
          <w:p w14:paraId="17B62D0E" w14:textId="77777777" w:rsidR="00807FFE" w:rsidRDefault="00807FFE">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14:paraId="42EB1FB8" w14:textId="77777777" w:rsidR="00807FFE" w:rsidRDefault="00807FFE">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14:paraId="512CA112" w14:textId="77777777" w:rsidR="00807FFE" w:rsidRDefault="00807FFE">
            <w:pPr>
              <w:pStyle w:val="DMETW36765BIPPFDOLD"/>
              <w:jc w:val="right"/>
              <w:rPr>
                <w:rFonts w:ascii="Verdana" w:eastAsia="Verdana" w:hAnsi="Verdana" w:cs="Verdana"/>
                <w:b/>
                <w:noProof/>
                <w:color w:val="000000"/>
                <w:sz w:val="16"/>
                <w:lang w:bidi="en-GB"/>
              </w:rPr>
            </w:pPr>
          </w:p>
        </w:tc>
      </w:tr>
      <w:tr w:rsidR="00807FFE" w14:paraId="610B0237"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0E8D079A"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Implemented by:</w:t>
            </w:r>
          </w:p>
        </w:tc>
        <w:tc>
          <w:tcPr>
            <w:tcW w:w="1984" w:type="dxa"/>
            <w:tcBorders>
              <w:top w:val="nil"/>
              <w:left w:val="nil"/>
              <w:bottom w:val="nil"/>
              <w:right w:val="nil"/>
              <w:tl2br w:val="nil"/>
              <w:tr2bl w:val="nil"/>
            </w:tcBorders>
            <w:tcMar>
              <w:left w:w="60" w:type="dxa"/>
              <w:right w:w="60" w:type="dxa"/>
            </w:tcMar>
            <w:vAlign w:val="center"/>
          </w:tcPr>
          <w:p w14:paraId="53694A7A" w14:textId="77777777" w:rsidR="00807FFE" w:rsidRDefault="00807FFE">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14:paraId="095B189E" w14:textId="77777777" w:rsidR="00807FFE" w:rsidRDefault="00807FFE">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14:paraId="06CC2744" w14:textId="77777777" w:rsidR="00807FFE" w:rsidRDefault="00807FFE">
            <w:pPr>
              <w:pStyle w:val="DMETW36765BIPPFDOLD"/>
              <w:jc w:val="right"/>
              <w:rPr>
                <w:rFonts w:ascii="Verdana" w:eastAsia="Verdana" w:hAnsi="Verdana" w:cs="Verdana"/>
                <w:i/>
                <w:noProof/>
                <w:color w:val="000000"/>
                <w:sz w:val="16"/>
                <w:lang w:bidi="en-GB"/>
              </w:rPr>
            </w:pPr>
          </w:p>
        </w:tc>
      </w:tr>
      <w:tr w:rsidR="00807FFE" w14:paraId="65E793C6"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7E60DFC1"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Other EU agencies &amp; bodies</w:t>
            </w:r>
          </w:p>
        </w:tc>
        <w:tc>
          <w:tcPr>
            <w:tcW w:w="1984" w:type="dxa"/>
            <w:tcBorders>
              <w:top w:val="nil"/>
              <w:left w:val="nil"/>
              <w:bottom w:val="nil"/>
              <w:right w:val="nil"/>
              <w:tl2br w:val="nil"/>
              <w:tr2bl w:val="nil"/>
            </w:tcBorders>
            <w:tcMar>
              <w:left w:w="60" w:type="dxa"/>
              <w:right w:w="60" w:type="dxa"/>
            </w:tcMar>
            <w:vAlign w:val="center"/>
          </w:tcPr>
          <w:p w14:paraId="6574DEE8"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5 281</w:t>
            </w:r>
          </w:p>
        </w:tc>
        <w:tc>
          <w:tcPr>
            <w:tcW w:w="1755" w:type="dxa"/>
            <w:tcBorders>
              <w:top w:val="nil"/>
              <w:left w:val="nil"/>
              <w:bottom w:val="nil"/>
              <w:right w:val="nil"/>
              <w:tl2br w:val="nil"/>
              <w:tr2bl w:val="nil"/>
            </w:tcBorders>
            <w:tcMar>
              <w:left w:w="60" w:type="dxa"/>
              <w:right w:w="60" w:type="dxa"/>
            </w:tcMar>
            <w:vAlign w:val="center"/>
          </w:tcPr>
          <w:p w14:paraId="4F98446B"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(2 814)</w:t>
            </w:r>
          </w:p>
        </w:tc>
        <w:tc>
          <w:tcPr>
            <w:tcW w:w="1755" w:type="dxa"/>
            <w:tcBorders>
              <w:top w:val="nil"/>
              <w:left w:val="nil"/>
              <w:bottom w:val="nil"/>
              <w:right w:val="nil"/>
              <w:tl2br w:val="nil"/>
              <w:tr2bl w:val="nil"/>
            </w:tcBorders>
            <w:tcMar>
              <w:left w:w="60" w:type="dxa"/>
              <w:right w:w="60" w:type="dxa"/>
            </w:tcMar>
            <w:vAlign w:val="center"/>
          </w:tcPr>
          <w:p w14:paraId="1F85AA6B"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2 467</w:t>
            </w:r>
          </w:p>
        </w:tc>
      </w:tr>
      <w:tr w:rsidR="00807FFE" w14:paraId="1359EFD0"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001D0905"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Third countries</w:t>
            </w:r>
          </w:p>
        </w:tc>
        <w:tc>
          <w:tcPr>
            <w:tcW w:w="1984" w:type="dxa"/>
            <w:tcBorders>
              <w:top w:val="nil"/>
              <w:left w:val="nil"/>
              <w:bottom w:val="nil"/>
              <w:right w:val="nil"/>
              <w:tl2br w:val="nil"/>
              <w:tr2bl w:val="nil"/>
            </w:tcBorders>
            <w:tcMar>
              <w:left w:w="60" w:type="dxa"/>
              <w:right w:w="60" w:type="dxa"/>
            </w:tcMar>
            <w:vAlign w:val="center"/>
          </w:tcPr>
          <w:p w14:paraId="74EFC27B"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1 843</w:t>
            </w:r>
          </w:p>
        </w:tc>
        <w:tc>
          <w:tcPr>
            <w:tcW w:w="1755" w:type="dxa"/>
            <w:tcBorders>
              <w:top w:val="nil"/>
              <w:left w:val="nil"/>
              <w:bottom w:val="nil"/>
              <w:right w:val="nil"/>
              <w:tl2br w:val="nil"/>
              <w:tr2bl w:val="nil"/>
            </w:tcBorders>
            <w:tcMar>
              <w:left w:w="60" w:type="dxa"/>
              <w:right w:w="60" w:type="dxa"/>
            </w:tcMar>
            <w:vAlign w:val="center"/>
          </w:tcPr>
          <w:p w14:paraId="2D04D555"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(1 103)</w:t>
            </w:r>
          </w:p>
        </w:tc>
        <w:tc>
          <w:tcPr>
            <w:tcW w:w="1755" w:type="dxa"/>
            <w:tcBorders>
              <w:top w:val="nil"/>
              <w:left w:val="nil"/>
              <w:bottom w:val="nil"/>
              <w:right w:val="nil"/>
              <w:tl2br w:val="nil"/>
              <w:tr2bl w:val="nil"/>
            </w:tcBorders>
            <w:tcMar>
              <w:left w:w="60" w:type="dxa"/>
              <w:right w:w="60" w:type="dxa"/>
            </w:tcMar>
            <w:vAlign w:val="center"/>
          </w:tcPr>
          <w:p w14:paraId="2D78EE47"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739</w:t>
            </w:r>
          </w:p>
        </w:tc>
      </w:tr>
      <w:tr w:rsidR="00807FFE" w14:paraId="00D6F98A"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7C51C61E"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International organisations</w:t>
            </w:r>
          </w:p>
        </w:tc>
        <w:tc>
          <w:tcPr>
            <w:tcW w:w="1984" w:type="dxa"/>
            <w:tcBorders>
              <w:top w:val="nil"/>
              <w:left w:val="nil"/>
              <w:bottom w:val="nil"/>
              <w:right w:val="nil"/>
              <w:tl2br w:val="nil"/>
              <w:tr2bl w:val="nil"/>
            </w:tcBorders>
            <w:tcMar>
              <w:left w:w="60" w:type="dxa"/>
              <w:right w:w="60" w:type="dxa"/>
            </w:tcMar>
            <w:vAlign w:val="center"/>
          </w:tcPr>
          <w:p w14:paraId="682A58A5"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13 171</w:t>
            </w:r>
          </w:p>
        </w:tc>
        <w:tc>
          <w:tcPr>
            <w:tcW w:w="1755" w:type="dxa"/>
            <w:tcBorders>
              <w:top w:val="nil"/>
              <w:left w:val="nil"/>
              <w:bottom w:val="nil"/>
              <w:right w:val="nil"/>
              <w:tl2br w:val="nil"/>
              <w:tr2bl w:val="nil"/>
            </w:tcBorders>
            <w:tcMar>
              <w:left w:w="60" w:type="dxa"/>
              <w:right w:w="60" w:type="dxa"/>
            </w:tcMar>
            <w:vAlign w:val="center"/>
          </w:tcPr>
          <w:p w14:paraId="3B979393"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(8 839)</w:t>
            </w:r>
          </w:p>
        </w:tc>
        <w:tc>
          <w:tcPr>
            <w:tcW w:w="1755" w:type="dxa"/>
            <w:tcBorders>
              <w:top w:val="nil"/>
              <w:left w:val="nil"/>
              <w:bottom w:val="nil"/>
              <w:right w:val="nil"/>
              <w:tl2br w:val="nil"/>
              <w:tr2bl w:val="nil"/>
            </w:tcBorders>
            <w:tcMar>
              <w:left w:w="60" w:type="dxa"/>
              <w:right w:w="60" w:type="dxa"/>
            </w:tcMar>
            <w:vAlign w:val="center"/>
          </w:tcPr>
          <w:p w14:paraId="41053BE1"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4 333</w:t>
            </w:r>
          </w:p>
        </w:tc>
      </w:tr>
      <w:tr w:rsidR="00807FFE" w14:paraId="53F4E616" w14:textId="77777777">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14:paraId="522FCB98" w14:textId="77777777" w:rsidR="00807FFE" w:rsidRDefault="00023E71">
            <w:pPr>
              <w:pStyle w:val="DMETW36765BIPPFDOLD"/>
              <w:rPr>
                <w:rFonts w:ascii="Verdana" w:eastAsia="Verdana" w:hAnsi="Verdana" w:cs="Verdana"/>
                <w:i/>
                <w:noProof/>
                <w:color w:val="000000"/>
                <w:sz w:val="16"/>
              </w:rPr>
            </w:pPr>
            <w:r>
              <w:rPr>
                <w:rFonts w:ascii="Verdana" w:eastAsia="Verdana" w:hAnsi="Verdana" w:cs="Verdana"/>
                <w:i/>
                <w:noProof/>
                <w:color w:val="000000"/>
                <w:sz w:val="16"/>
              </w:rPr>
              <w:t xml:space="preserve">     Other entities</w:t>
            </w:r>
          </w:p>
        </w:tc>
        <w:tc>
          <w:tcPr>
            <w:tcW w:w="1984" w:type="dxa"/>
            <w:tcBorders>
              <w:top w:val="nil"/>
              <w:left w:val="nil"/>
              <w:bottom w:val="single" w:sz="4" w:space="0" w:color="016794"/>
              <w:right w:val="nil"/>
              <w:tl2br w:val="nil"/>
              <w:tr2bl w:val="nil"/>
            </w:tcBorders>
            <w:tcMar>
              <w:left w:w="60" w:type="dxa"/>
              <w:right w:w="60" w:type="dxa"/>
            </w:tcMar>
            <w:vAlign w:val="center"/>
          </w:tcPr>
          <w:p w14:paraId="0EA2635C"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19 295</w:t>
            </w:r>
          </w:p>
        </w:tc>
        <w:tc>
          <w:tcPr>
            <w:tcW w:w="1755" w:type="dxa"/>
            <w:tcBorders>
              <w:top w:val="nil"/>
              <w:left w:val="nil"/>
              <w:bottom w:val="single" w:sz="4" w:space="0" w:color="016794"/>
              <w:right w:val="nil"/>
              <w:tl2br w:val="nil"/>
              <w:tr2bl w:val="nil"/>
            </w:tcBorders>
            <w:tcMar>
              <w:left w:w="60" w:type="dxa"/>
              <w:right w:w="60" w:type="dxa"/>
            </w:tcMar>
            <w:vAlign w:val="center"/>
          </w:tcPr>
          <w:p w14:paraId="06CA76E6" w14:textId="77777777" w:rsidR="00807FFE" w:rsidRDefault="00023E71">
            <w:pPr>
              <w:pStyle w:val="DMETW36765BIPPFDOLD"/>
              <w:jc w:val="right"/>
              <w:rPr>
                <w:rFonts w:ascii="Verdana" w:eastAsia="Verdana" w:hAnsi="Verdana" w:cs="Verdana"/>
                <w:i/>
                <w:noProof/>
                <w:color w:val="000000"/>
                <w:sz w:val="16"/>
              </w:rPr>
            </w:pPr>
            <w:r>
              <w:rPr>
                <w:rFonts w:ascii="Verdana" w:eastAsia="Verdana" w:hAnsi="Verdana" w:cs="Verdana"/>
                <w:i/>
                <w:noProof/>
                <w:color w:val="000000"/>
                <w:sz w:val="16"/>
              </w:rPr>
              <w:t>(12 389)</w:t>
            </w:r>
          </w:p>
        </w:tc>
        <w:tc>
          <w:tcPr>
            <w:tcW w:w="1755" w:type="dxa"/>
            <w:tcBorders>
              <w:top w:val="nil"/>
              <w:left w:val="nil"/>
              <w:bottom w:val="single" w:sz="4" w:space="0" w:color="016794"/>
              <w:right w:val="nil"/>
              <w:tl2br w:val="nil"/>
              <w:tr2bl w:val="nil"/>
            </w:tcBorders>
            <w:tcMar>
              <w:left w:w="60" w:type="dxa"/>
              <w:right w:w="60" w:type="dxa"/>
            </w:tcMar>
            <w:vAlign w:val="center"/>
          </w:tcPr>
          <w:p w14:paraId="20400B0E" w14:textId="77777777" w:rsidR="00807FFE" w:rsidRDefault="00023E71">
            <w:pPr>
              <w:pStyle w:val="DMETW36765BIPPFDOLD"/>
              <w:jc w:val="right"/>
              <w:rPr>
                <w:rFonts w:ascii="Verdana" w:eastAsia="Verdana" w:hAnsi="Verdana" w:cs="Verdana"/>
                <w:i/>
                <w:noProof/>
                <w:color w:val="000000"/>
                <w:sz w:val="16"/>
                <w:lang w:bidi="en-GB"/>
              </w:rPr>
            </w:pPr>
            <w:r>
              <w:rPr>
                <w:rFonts w:ascii="Verdana" w:eastAsia="Verdana" w:hAnsi="Verdana" w:cs="Verdana"/>
                <w:i/>
                <w:noProof/>
                <w:color w:val="000000"/>
                <w:sz w:val="16"/>
              </w:rPr>
              <w:t>6 906</w:t>
            </w:r>
          </w:p>
        </w:tc>
      </w:tr>
      <w:tr w:rsidR="00807FFE" w14:paraId="54091816" w14:textId="77777777">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14:paraId="752BB733" w14:textId="77777777" w:rsidR="00807FFE" w:rsidRDefault="00807FFE">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14:paraId="29201E3C" w14:textId="77777777" w:rsidR="00807FFE" w:rsidRDefault="00023E71">
            <w:pPr>
              <w:pStyle w:val="DMETW36765BIPPFDOLD"/>
              <w:jc w:val="right"/>
              <w:rPr>
                <w:rFonts w:ascii="Verdana" w:eastAsia="Verdana" w:hAnsi="Verdana" w:cs="Verdana"/>
                <w:b/>
                <w:noProof/>
                <w:color w:val="000000"/>
                <w:sz w:val="16"/>
              </w:rPr>
            </w:pPr>
            <w:r>
              <w:rPr>
                <w:rFonts w:ascii="Verdana" w:eastAsia="Verdana" w:hAnsi="Verdana" w:cs="Verdana"/>
                <w:b/>
                <w:noProof/>
                <w:color w:val="000000"/>
                <w:sz w:val="16"/>
              </w:rPr>
              <w:t>39 590</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14:paraId="50349D44" w14:textId="77777777" w:rsidR="00807FFE" w:rsidRDefault="00023E71">
            <w:pPr>
              <w:pStyle w:val="DMETW36765BIPPFDOLD"/>
              <w:jc w:val="right"/>
              <w:rPr>
                <w:rFonts w:ascii="Verdana" w:eastAsia="Verdana" w:hAnsi="Verdana" w:cs="Verdana"/>
                <w:b/>
                <w:noProof/>
                <w:color w:val="000000"/>
                <w:sz w:val="16"/>
              </w:rPr>
            </w:pPr>
            <w:r>
              <w:rPr>
                <w:rFonts w:ascii="Verdana" w:eastAsia="Verdana" w:hAnsi="Verdana" w:cs="Verdana"/>
                <w:b/>
                <w:noProof/>
                <w:color w:val="000000"/>
                <w:sz w:val="16"/>
              </w:rPr>
              <w:t>(25 144)</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14:paraId="0D821FC2" w14:textId="77777777" w:rsidR="00807FFE" w:rsidRDefault="00023E71">
            <w:pPr>
              <w:pStyle w:val="DMETW36765BIPPFDOLD"/>
              <w:jc w:val="right"/>
              <w:rPr>
                <w:rFonts w:ascii="Verdana" w:eastAsia="Verdana" w:hAnsi="Verdana" w:cs="Verdana"/>
                <w:b/>
                <w:noProof/>
                <w:color w:val="000000"/>
                <w:sz w:val="16"/>
                <w:lang w:bidi="en-GB"/>
              </w:rPr>
            </w:pPr>
            <w:r>
              <w:rPr>
                <w:rFonts w:ascii="Verdana" w:eastAsia="Verdana" w:hAnsi="Verdana" w:cs="Verdana"/>
                <w:b/>
                <w:noProof/>
                <w:color w:val="000000"/>
                <w:sz w:val="16"/>
              </w:rPr>
              <w:t>14 446</w:t>
            </w:r>
          </w:p>
        </w:tc>
      </w:tr>
      <w:tr w:rsidR="00807FFE" w14:paraId="651E83D5" w14:textId="77777777">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14:paraId="7BEDF02F" w14:textId="77777777" w:rsidR="00807FFE" w:rsidRDefault="00023E71">
            <w:pPr>
              <w:pStyle w:val="DMETW36765BIPPFDOLD"/>
              <w:rPr>
                <w:rFonts w:ascii="Verdana" w:eastAsia="Verdana" w:hAnsi="Verdana" w:cs="Verdana"/>
                <w:b/>
                <w:noProof/>
                <w:color w:val="000000"/>
                <w:sz w:val="16"/>
              </w:rPr>
            </w:pPr>
            <w:r>
              <w:rPr>
                <w:rFonts w:ascii="Verdana" w:eastAsia="Verdana" w:hAnsi="Verdana" w:cs="Verdana"/>
                <w:b/>
                <w:noProof/>
                <w:color w:val="000000"/>
                <w:sz w:val="16"/>
              </w:rPr>
              <w:t>Total</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14:paraId="7224465D" w14:textId="77777777" w:rsidR="00807FFE" w:rsidRDefault="00023E71">
            <w:pPr>
              <w:pStyle w:val="DMETW36765BIPPFDOLD"/>
              <w:jc w:val="right"/>
              <w:rPr>
                <w:rFonts w:ascii="Verdana" w:eastAsia="Verdana" w:hAnsi="Verdana" w:cs="Verdana"/>
                <w:b/>
                <w:noProof/>
                <w:color w:val="000000"/>
                <w:sz w:val="16"/>
              </w:rPr>
            </w:pPr>
            <w:r>
              <w:rPr>
                <w:rFonts w:ascii="Verdana" w:eastAsia="Verdana" w:hAnsi="Verdana" w:cs="Verdana"/>
                <w:b/>
                <w:noProof/>
                <w:color w:val="000000"/>
                <w:sz w:val="16"/>
              </w:rPr>
              <w:t>168 920</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14:paraId="74AC5166" w14:textId="77777777" w:rsidR="00807FFE" w:rsidRDefault="00023E71">
            <w:pPr>
              <w:pStyle w:val="DMETW36765BIPPFDOLD"/>
              <w:jc w:val="right"/>
              <w:rPr>
                <w:rFonts w:ascii="Verdana" w:eastAsia="Verdana" w:hAnsi="Verdana" w:cs="Verdana"/>
                <w:b/>
                <w:noProof/>
                <w:color w:val="000000"/>
                <w:sz w:val="16"/>
              </w:rPr>
            </w:pPr>
            <w:r>
              <w:rPr>
                <w:rFonts w:ascii="Verdana" w:eastAsia="Verdana" w:hAnsi="Verdana" w:cs="Verdana"/>
                <w:b/>
                <w:noProof/>
                <w:color w:val="000000"/>
                <w:sz w:val="16"/>
              </w:rPr>
              <w:t>(93 858)</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14:paraId="11BB9A63" w14:textId="77777777" w:rsidR="00807FFE" w:rsidRDefault="00023E71">
            <w:pPr>
              <w:pStyle w:val="DMETW36765BIPPFDOLD"/>
              <w:jc w:val="right"/>
              <w:rPr>
                <w:rFonts w:ascii="Verdana" w:eastAsia="Verdana" w:hAnsi="Verdana" w:cs="Verdana"/>
                <w:b/>
                <w:noProof/>
                <w:color w:val="000000"/>
                <w:sz w:val="16"/>
                <w:lang w:bidi="en-GB"/>
              </w:rPr>
            </w:pPr>
            <w:r>
              <w:rPr>
                <w:rFonts w:ascii="Verdana" w:eastAsia="Verdana" w:hAnsi="Verdana" w:cs="Verdana"/>
                <w:b/>
                <w:noProof/>
                <w:color w:val="000000"/>
                <w:sz w:val="16"/>
              </w:rPr>
              <w:t>75 062</w:t>
            </w:r>
          </w:p>
        </w:tc>
      </w:tr>
      <w:tr w:rsidR="00807FFE" w14:paraId="21C67E24" w14:textId="77777777">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14:paraId="5EB4613D" w14:textId="77777777" w:rsidR="00807FFE" w:rsidRDefault="00023E71">
            <w:pPr>
              <w:pStyle w:val="DMETW36765BIPPFDOLD"/>
              <w:rPr>
                <w:rFonts w:ascii="Verdana" w:eastAsia="Verdana" w:hAnsi="Verdana" w:cs="Verdana"/>
                <w:i/>
                <w:noProof/>
                <w:color w:val="016794"/>
                <w:sz w:val="16"/>
              </w:rPr>
            </w:pPr>
            <w:r>
              <w:rPr>
                <w:rFonts w:ascii="Verdana" w:eastAsia="Verdana" w:hAnsi="Verdana" w:cs="Verdana"/>
                <w:i/>
                <w:noProof/>
                <w:color w:val="016794"/>
                <w:sz w:val="16"/>
              </w:rPr>
              <w:t>Non-current</w:t>
            </w:r>
          </w:p>
        </w:tc>
        <w:tc>
          <w:tcPr>
            <w:tcW w:w="1984" w:type="dxa"/>
            <w:tcBorders>
              <w:top w:val="single" w:sz="4" w:space="0" w:color="016794"/>
              <w:left w:val="nil"/>
              <w:bottom w:val="nil"/>
              <w:right w:val="nil"/>
              <w:tl2br w:val="nil"/>
              <w:tr2bl w:val="nil"/>
            </w:tcBorders>
            <w:tcMar>
              <w:left w:w="60" w:type="dxa"/>
              <w:right w:w="60" w:type="dxa"/>
            </w:tcMar>
            <w:vAlign w:val="center"/>
          </w:tcPr>
          <w:p w14:paraId="4903395A" w14:textId="77777777" w:rsidR="00807FFE" w:rsidRDefault="00023E71">
            <w:pPr>
              <w:pStyle w:val="DMETW36765BIPPFDOLD"/>
              <w:jc w:val="right"/>
              <w:rPr>
                <w:rFonts w:ascii="Verdana" w:eastAsia="Verdana" w:hAnsi="Verdana" w:cs="Verdana"/>
                <w:i/>
                <w:noProof/>
                <w:color w:val="016794"/>
                <w:sz w:val="16"/>
              </w:rPr>
            </w:pPr>
            <w:r>
              <w:rPr>
                <w:rFonts w:ascii="Verdana" w:eastAsia="Verdana" w:hAnsi="Verdana" w:cs="Verdana"/>
                <w:i/>
                <w:noProof/>
                <w:color w:val="016794"/>
                <w:sz w:val="16"/>
              </w:rPr>
              <w:t>39 093</w:t>
            </w:r>
          </w:p>
        </w:tc>
        <w:tc>
          <w:tcPr>
            <w:tcW w:w="1755" w:type="dxa"/>
            <w:tcBorders>
              <w:top w:val="single" w:sz="4" w:space="0" w:color="016794"/>
              <w:left w:val="nil"/>
              <w:bottom w:val="nil"/>
              <w:right w:val="nil"/>
              <w:tl2br w:val="nil"/>
              <w:tr2bl w:val="nil"/>
            </w:tcBorders>
            <w:tcMar>
              <w:left w:w="60" w:type="dxa"/>
              <w:right w:w="60" w:type="dxa"/>
            </w:tcMar>
            <w:vAlign w:val="center"/>
          </w:tcPr>
          <w:p w14:paraId="1BBC0385" w14:textId="77777777" w:rsidR="00807FFE" w:rsidRDefault="00023E71">
            <w:pPr>
              <w:pStyle w:val="DMETW36765BIPPFDOLD"/>
              <w:jc w:val="right"/>
              <w:rPr>
                <w:rFonts w:ascii="Verdana" w:eastAsia="Verdana" w:hAnsi="Verdana" w:cs="Verdana"/>
                <w:i/>
                <w:noProof/>
                <w:color w:val="016794"/>
                <w:sz w:val="16"/>
              </w:rPr>
            </w:pPr>
            <w:r>
              <w:rPr>
                <w:rFonts w:ascii="Verdana" w:eastAsia="Verdana" w:hAnsi="Verdana" w:cs="Verdana"/>
                <w:i/>
                <w:noProof/>
                <w:color w:val="016794"/>
                <w:sz w:val="16"/>
              </w:rPr>
              <w:t>–</w:t>
            </w:r>
          </w:p>
        </w:tc>
        <w:tc>
          <w:tcPr>
            <w:tcW w:w="1755" w:type="dxa"/>
            <w:tcBorders>
              <w:top w:val="single" w:sz="4" w:space="0" w:color="016794"/>
              <w:left w:val="nil"/>
              <w:bottom w:val="nil"/>
              <w:right w:val="nil"/>
              <w:tl2br w:val="nil"/>
              <w:tr2bl w:val="nil"/>
            </w:tcBorders>
            <w:tcMar>
              <w:left w:w="60" w:type="dxa"/>
              <w:right w:w="60" w:type="dxa"/>
            </w:tcMar>
            <w:vAlign w:val="center"/>
          </w:tcPr>
          <w:p w14:paraId="16DFC648" w14:textId="77777777" w:rsidR="00807FFE" w:rsidRDefault="00023E71">
            <w:pPr>
              <w:pStyle w:val="DMETW36765BIPPFDOLD"/>
              <w:jc w:val="right"/>
              <w:rPr>
                <w:rFonts w:ascii="Verdana" w:eastAsia="Verdana" w:hAnsi="Verdana" w:cs="Verdana"/>
                <w:i/>
                <w:noProof/>
                <w:color w:val="016794"/>
                <w:sz w:val="16"/>
                <w:lang w:bidi="en-GB"/>
              </w:rPr>
            </w:pPr>
            <w:r>
              <w:rPr>
                <w:rFonts w:ascii="Verdana" w:eastAsia="Verdana" w:hAnsi="Verdana" w:cs="Verdana"/>
                <w:i/>
                <w:noProof/>
                <w:color w:val="016794"/>
                <w:sz w:val="16"/>
              </w:rPr>
              <w:t>39 093</w:t>
            </w:r>
          </w:p>
        </w:tc>
      </w:tr>
      <w:tr w:rsidR="00807FFE" w14:paraId="7DDF1FDF" w14:textId="77777777">
        <w:trPr>
          <w:trHeight w:val="255"/>
        </w:trPr>
        <w:tc>
          <w:tcPr>
            <w:tcW w:w="4264" w:type="dxa"/>
            <w:tcBorders>
              <w:top w:val="nil"/>
              <w:left w:val="nil"/>
              <w:bottom w:val="nil"/>
              <w:right w:val="nil"/>
              <w:tl2br w:val="nil"/>
              <w:tr2bl w:val="nil"/>
            </w:tcBorders>
            <w:tcMar>
              <w:left w:w="60" w:type="dxa"/>
              <w:right w:w="60" w:type="dxa"/>
            </w:tcMar>
            <w:vAlign w:val="center"/>
          </w:tcPr>
          <w:p w14:paraId="56E1F794" w14:textId="77777777" w:rsidR="00807FFE" w:rsidRDefault="00023E71">
            <w:pPr>
              <w:pStyle w:val="DMETW36765BIPPFDOLD"/>
              <w:rPr>
                <w:rFonts w:ascii="Verdana" w:eastAsia="Verdana" w:hAnsi="Verdana" w:cs="Verdana"/>
                <w:i/>
                <w:noProof/>
                <w:color w:val="016794"/>
                <w:sz w:val="16"/>
              </w:rPr>
            </w:pPr>
            <w:r>
              <w:rPr>
                <w:rFonts w:ascii="Verdana" w:eastAsia="Verdana" w:hAnsi="Verdana" w:cs="Verdana"/>
                <w:i/>
                <w:noProof/>
                <w:color w:val="016794"/>
                <w:sz w:val="16"/>
              </w:rPr>
              <w:t>Current</w:t>
            </w:r>
          </w:p>
        </w:tc>
        <w:tc>
          <w:tcPr>
            <w:tcW w:w="1984" w:type="dxa"/>
            <w:tcBorders>
              <w:top w:val="nil"/>
              <w:left w:val="nil"/>
              <w:bottom w:val="nil"/>
              <w:right w:val="nil"/>
              <w:tl2br w:val="nil"/>
              <w:tr2bl w:val="nil"/>
            </w:tcBorders>
            <w:tcMar>
              <w:left w:w="60" w:type="dxa"/>
              <w:right w:w="60" w:type="dxa"/>
            </w:tcMar>
            <w:vAlign w:val="center"/>
          </w:tcPr>
          <w:p w14:paraId="35E3D410" w14:textId="77777777" w:rsidR="00807FFE" w:rsidRDefault="00023E71">
            <w:pPr>
              <w:pStyle w:val="DMETW36765BIPPFDOLD"/>
              <w:jc w:val="right"/>
              <w:rPr>
                <w:rFonts w:ascii="Verdana" w:eastAsia="Verdana" w:hAnsi="Verdana" w:cs="Verdana"/>
                <w:i/>
                <w:noProof/>
                <w:color w:val="016794"/>
                <w:sz w:val="16"/>
              </w:rPr>
            </w:pPr>
            <w:r>
              <w:rPr>
                <w:rFonts w:ascii="Verdana" w:eastAsia="Verdana" w:hAnsi="Verdana" w:cs="Verdana"/>
                <w:i/>
                <w:noProof/>
                <w:color w:val="016794"/>
                <w:sz w:val="16"/>
              </w:rPr>
              <w:t>129 826</w:t>
            </w:r>
          </w:p>
        </w:tc>
        <w:tc>
          <w:tcPr>
            <w:tcW w:w="1755" w:type="dxa"/>
            <w:tcBorders>
              <w:top w:val="nil"/>
              <w:left w:val="nil"/>
              <w:bottom w:val="nil"/>
              <w:right w:val="nil"/>
              <w:tl2br w:val="nil"/>
              <w:tr2bl w:val="nil"/>
            </w:tcBorders>
            <w:tcMar>
              <w:left w:w="60" w:type="dxa"/>
              <w:right w:w="60" w:type="dxa"/>
            </w:tcMar>
            <w:vAlign w:val="center"/>
          </w:tcPr>
          <w:p w14:paraId="004B47DA" w14:textId="77777777" w:rsidR="00807FFE" w:rsidRDefault="00023E71">
            <w:pPr>
              <w:pStyle w:val="DMETW36765BIPPFDOLD"/>
              <w:jc w:val="right"/>
              <w:rPr>
                <w:rFonts w:ascii="Verdana" w:eastAsia="Verdana" w:hAnsi="Verdana" w:cs="Verdana"/>
                <w:i/>
                <w:noProof/>
                <w:color w:val="016794"/>
                <w:sz w:val="16"/>
              </w:rPr>
            </w:pPr>
            <w:r>
              <w:rPr>
                <w:rFonts w:ascii="Verdana" w:eastAsia="Verdana" w:hAnsi="Verdana" w:cs="Verdana"/>
                <w:i/>
                <w:noProof/>
                <w:color w:val="016794"/>
                <w:sz w:val="16"/>
              </w:rPr>
              <w:t>(93 858)</w:t>
            </w:r>
          </w:p>
        </w:tc>
        <w:tc>
          <w:tcPr>
            <w:tcW w:w="1755" w:type="dxa"/>
            <w:tcBorders>
              <w:top w:val="nil"/>
              <w:left w:val="nil"/>
              <w:bottom w:val="nil"/>
              <w:right w:val="nil"/>
              <w:tl2br w:val="nil"/>
              <w:tr2bl w:val="nil"/>
            </w:tcBorders>
            <w:tcMar>
              <w:left w:w="60" w:type="dxa"/>
              <w:right w:w="60" w:type="dxa"/>
            </w:tcMar>
            <w:vAlign w:val="center"/>
          </w:tcPr>
          <w:p w14:paraId="63102819" w14:textId="77777777" w:rsidR="00807FFE" w:rsidRDefault="00023E71">
            <w:pPr>
              <w:pStyle w:val="DMETW36765BIPPFDOLD"/>
              <w:jc w:val="right"/>
              <w:rPr>
                <w:rFonts w:ascii="Verdana" w:eastAsia="Verdana" w:hAnsi="Verdana" w:cs="Verdana"/>
                <w:i/>
                <w:noProof/>
                <w:color w:val="016794"/>
                <w:sz w:val="16"/>
              </w:rPr>
            </w:pPr>
            <w:r>
              <w:rPr>
                <w:rFonts w:ascii="Verdana" w:eastAsia="Verdana" w:hAnsi="Verdana" w:cs="Verdana"/>
                <w:i/>
                <w:noProof/>
                <w:color w:val="016794"/>
                <w:sz w:val="16"/>
              </w:rPr>
              <w:t>35 969</w:t>
            </w:r>
          </w:p>
        </w:tc>
      </w:tr>
    </w:tbl>
    <w:p w14:paraId="0BB5BEE0" w14:textId="77777777" w:rsidR="00620536" w:rsidRDefault="00023E71" w:rsidP="00620536">
      <w:pPr>
        <w:pStyle w:val="DGTextstand-alone"/>
      </w:pPr>
      <w:r>
        <w:t xml:space="preserve">Pre-financing represents money paid out, and thus the implementation of payment appropriations. As explained in Note </w:t>
      </w:r>
      <w:r w:rsidRPr="009850F8">
        <w:rPr>
          <w:b/>
        </w:rPr>
        <w:t>1.5.7</w:t>
      </w:r>
      <w:r>
        <w:t xml:space="preserve">, these are advances and so not yet expensed. Thus while pre-financing reduces outstanding RAL (see Note </w:t>
      </w:r>
      <w:r w:rsidRPr="009850F8">
        <w:rPr>
          <w:b/>
        </w:rPr>
        <w:t>5.1</w:t>
      </w:r>
      <w:r>
        <w:t>) it represents expenses still to be accepted and recognised in the statement of financial performance.</w:t>
      </w:r>
    </w:p>
    <w:p w14:paraId="56684874" w14:textId="77777777" w:rsidR="00DA34D9" w:rsidRDefault="00023E71" w:rsidP="00DA34D9">
      <w:pPr>
        <w:pStyle w:val="DGTextstand-alone"/>
      </w:pPr>
      <w:r>
        <w:t>Regarding the pre-financing to Member States in the cohesion area (ERDF, CF, ESF) the increase is mainly linked to the new pre-financing payments that took place in 2025 and amounted to EUR 5.6 billion.</w:t>
      </w:r>
    </w:p>
    <w:p w14:paraId="79B06301" w14:textId="77777777" w:rsidR="00DA34D9" w:rsidRDefault="00023E71" w:rsidP="00DA34D9">
      <w:pPr>
        <w:pStyle w:val="DGTextstand-alone"/>
      </w:pPr>
      <w:r>
        <w:t>The pre-financing to Member States reported in “other” line concerns mainly the Just Transition fund (EUR 6.2 billion) and the Asylum, Migration and Integration Fund (EUR 1 billion).</w:t>
      </w:r>
    </w:p>
    <w:p w14:paraId="7ED30788" w14:textId="77777777" w:rsidR="00DA34D9" w:rsidRDefault="00023E71" w:rsidP="00DA34D9">
      <w:pPr>
        <w:pStyle w:val="DGTextstand-alone"/>
      </w:pPr>
      <w:r w:rsidRPr="00F10A73">
        <w:t>The non-re</w:t>
      </w:r>
      <w:r>
        <w:t>payable</w:t>
      </w:r>
      <w:r w:rsidRPr="00F10A73">
        <w:t xml:space="preserve"> support concerning the RRF instrument, which was reported under Direct management pre</w:t>
      </w:r>
      <w:r>
        <w:t>-</w:t>
      </w:r>
      <w:r w:rsidRPr="00F10A73">
        <w:t>financing in 2024, was EUR 10.2 billion net at year-end (2024: EUR 15.4 billion). The decrease is in line with the normal implementation of the programme, as no additional pre-financings were disbursed in 2025.</w:t>
      </w:r>
    </w:p>
    <w:p w14:paraId="00D4FB73" w14:textId="77777777" w:rsidR="00DA34D9" w:rsidRDefault="00023E71" w:rsidP="00DA34D9">
      <w:pPr>
        <w:pStyle w:val="DGTextstand-alone"/>
      </w:pPr>
      <w:r>
        <w:t>With regards to the pre-financing to public bodies (EUR 17.5 billion)  and private bodies (EUR 10.5 billion) paid by the Commission, the most significant amounts relate to the Research area (EUR 10.9 billion), the Neighbourhood, Development and Cooperation Instrument and its precursors (EUR 5 billion), Erasmus+ (EUR 4.6 billion) and the Connecting Europe Facility (EUR 1.2 billion).</w:t>
      </w:r>
    </w:p>
    <w:p w14:paraId="05BF14D1" w14:textId="77777777" w:rsidR="00F256E6" w:rsidRPr="00AD28FB" w:rsidRDefault="00023E71" w:rsidP="00F256E6">
      <w:pPr>
        <w:pStyle w:val="HEADER5"/>
        <w:rPr>
          <w:b/>
          <w:noProof/>
        </w:rPr>
      </w:pPr>
      <w:r w:rsidRPr="00AD28FB">
        <w:rPr>
          <w:noProof/>
        </w:rPr>
        <w:t>Guarantees received in respect of pre-financing</w:t>
      </w:r>
    </w:p>
    <w:p w14:paraId="0E8E4596" w14:textId="77777777" w:rsidR="0097115A" w:rsidRDefault="00023E71" w:rsidP="0097115A">
      <w:pPr>
        <w:pStyle w:val="DGTextstand-alone"/>
      </w:pPr>
      <w:r>
        <w:t>These are guarantees that the Commission requests in certain cases from beneficiaries that are not Member States when making advance payments (pre-financing). There are two values to disclose for this type of guarantee, the ‘nominal’ and the ‘on-going’ values. For the nominal value, the generating event is linked to the existence of the guarantee. For the on-going value, the guarantee’s generating event is the pre-</w:t>
      </w:r>
      <w:r w:rsidRPr="00041E2B">
        <w:t xml:space="preserve">financing payment made against the guarantee, then reduced by subsequent clearings. At 31 December </w:t>
      </w:r>
      <w:r w:rsidR="0079191C">
        <w:t xml:space="preserve">2025 </w:t>
      </w:r>
      <w:r w:rsidRPr="00041E2B">
        <w:t>the nominal value of guarantees received in respect of pre-financing amounted to EUR </w:t>
      </w:r>
      <w:r>
        <w:t>1.1 billion</w:t>
      </w:r>
      <w:r w:rsidRPr="00041E2B">
        <w:t>.</w:t>
      </w:r>
      <w:r>
        <w:t xml:space="preserve"> </w:t>
      </w:r>
    </w:p>
    <w:p w14:paraId="03103830" w14:textId="77777777" w:rsidR="0097115A" w:rsidRDefault="00023E71" w:rsidP="0097115A">
      <w:pPr>
        <w:pStyle w:val="DGTextstand-alone"/>
      </w:pPr>
      <w:r>
        <w:t>Certain pre-financing amounts paid out under the 7</w:t>
      </w:r>
      <w:r w:rsidRPr="00B03575">
        <w:rPr>
          <w:vertAlign w:val="superscript"/>
        </w:rPr>
        <w:t>th</w:t>
      </w:r>
      <w:r>
        <w:t xml:space="preserve"> Research Framework Programme for research and technological development (FP7) and under the Horizon 2020 </w:t>
      </w:r>
      <w:r w:rsidR="00160C18">
        <w:t>and Horizon Europe Programme</w:t>
      </w:r>
      <w:r>
        <w:t>s</w:t>
      </w:r>
      <w:r w:rsidR="00160C18">
        <w:t xml:space="preserve"> </w:t>
      </w:r>
      <w:r>
        <w:t xml:space="preserve">are effectively covered by </w:t>
      </w:r>
      <w:r w:rsidR="00160C18">
        <w:t>the</w:t>
      </w:r>
      <w:r>
        <w:t xml:space="preserve"> </w:t>
      </w:r>
      <w:r w:rsidR="00160C18">
        <w:t>Mutual Insurance Mechanism</w:t>
      </w:r>
      <w:r>
        <w:t xml:space="preserve"> (</w:t>
      </w:r>
      <w:r w:rsidR="00160C18">
        <w:t>MIM</w:t>
      </w:r>
      <w:r>
        <w:t>)</w:t>
      </w:r>
      <w:r w:rsidR="005B16F5">
        <w:t>, previously known as the Participants Guarantee Fund (PGF).</w:t>
      </w:r>
      <w:r>
        <w:t xml:space="preserve"> The </w:t>
      </w:r>
      <w:r w:rsidR="00013829">
        <w:t>MIM</w:t>
      </w:r>
      <w:r>
        <w:t xml:space="preserve"> is a mutual benefit instrument set up to cover the risks relating to non-payment of amounts by the beneficiaries during the implementation of the </w:t>
      </w:r>
      <w:r w:rsidR="00013829">
        <w:t xml:space="preserve">indirect </w:t>
      </w:r>
      <w:r>
        <w:t xml:space="preserve">actions </w:t>
      </w:r>
      <w:r w:rsidR="00013829">
        <w:t>under those programmes</w:t>
      </w:r>
      <w:r>
        <w:t xml:space="preserve">. All participants of indirect actions receiving a grant from the EU contribute 5% of the </w:t>
      </w:r>
      <w:r w:rsidR="003A0ED3">
        <w:t xml:space="preserve">maximum EU contribution </w:t>
      </w:r>
      <w:r>
        <w:t xml:space="preserve">to the </w:t>
      </w:r>
      <w:r w:rsidR="003A0ED3">
        <w:t>MIM</w:t>
      </w:r>
      <w:r w:rsidR="00950CDA">
        <w:t xml:space="preserve">'s capital, </w:t>
      </w:r>
      <w:r w:rsidR="00950CDA" w:rsidRPr="00074631">
        <w:t xml:space="preserve">which is invested in the financial markets </w:t>
      </w:r>
      <w:r>
        <w:t xml:space="preserve">by the Commission </w:t>
      </w:r>
      <w:r w:rsidR="00950CDA" w:rsidRPr="00074631">
        <w:t>in order to generate interest.</w:t>
      </w:r>
      <w:r w:rsidR="00950CDA">
        <w:t xml:space="preserve"> </w:t>
      </w:r>
      <w:r w:rsidR="00C967C2" w:rsidRPr="00074631">
        <w:t>The interest may be used to cover debts not honoured by a defaulting participant towards the Union</w:t>
      </w:r>
      <w:r w:rsidR="00C967C2">
        <w:t>.</w:t>
      </w:r>
      <w:r w:rsidR="00C967C2" w:rsidRPr="00074631">
        <w:t xml:space="preserve"> </w:t>
      </w:r>
      <w:r w:rsidR="00C967C2">
        <w:t>At the end of the indirect action the contribution</w:t>
      </w:r>
      <w:r>
        <w:t>s</w:t>
      </w:r>
      <w:r w:rsidR="00C967C2">
        <w:t xml:space="preserve"> </w:t>
      </w:r>
      <w:r w:rsidR="00E22612">
        <w:t xml:space="preserve">are paid back to </w:t>
      </w:r>
      <w:r w:rsidR="00C967C2">
        <w:t>the participants</w:t>
      </w:r>
      <w:r w:rsidR="00E22612">
        <w:t>.</w:t>
      </w:r>
      <w:r w:rsidR="00C00551">
        <w:t xml:space="preserve"> The EU (represented by the Commission) acts as an executive agent of the participants of the MIM, but the fund is owned by the participants. The MIM is thus a separate entity that is not consolidated in these EU annual accounts.</w:t>
      </w:r>
    </w:p>
    <w:p w14:paraId="20482F7C" w14:textId="77777777" w:rsidR="00025766" w:rsidRDefault="00023E71" w:rsidP="0097115A">
      <w:pPr>
        <w:pStyle w:val="DGTextstand-alone"/>
      </w:pPr>
      <w:r w:rsidRPr="00025766">
        <w:t>At 31 December 202</w:t>
      </w:r>
      <w:r>
        <w:t>5</w:t>
      </w:r>
      <w:r w:rsidRPr="00025766">
        <w:t>, pre-financing amounts covered by the MIM totalled EUR 3.0 billion (202</w:t>
      </w:r>
      <w:r>
        <w:t>4</w:t>
      </w:r>
      <w:r w:rsidRPr="00025766">
        <w:t>: EUR 3.0 billion). The MIM’s total assets, including financial assets managed by the Commission, amounted to EUR 3.2 billion (202</w:t>
      </w:r>
      <w:r>
        <w:t>4</w:t>
      </w:r>
      <w:r w:rsidRPr="00025766">
        <w:t>: EUR 3.</w:t>
      </w:r>
      <w:r>
        <w:t>2</w:t>
      </w:r>
      <w:r w:rsidRPr="00025766">
        <w:t xml:space="preserve"> billion).</w:t>
      </w:r>
    </w:p>
    <w:p w14:paraId="284DD428" w14:textId="77777777" w:rsidR="00F256E6" w:rsidRDefault="00023E71" w:rsidP="00172034">
      <w:pPr>
        <w:pStyle w:val="HEADER3NOTES"/>
        <w:numPr>
          <w:ilvl w:val="2"/>
          <w:numId w:val="15"/>
        </w:numPr>
        <w:rPr>
          <w:noProof/>
        </w:rPr>
      </w:pPr>
      <w:r w:rsidRPr="007702CE">
        <w:rPr>
          <w:noProof/>
        </w:rPr>
        <w:t>Other advances to Member States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102"/>
        <w:gridCol w:w="2103"/>
      </w:tblGrid>
      <w:tr w:rsidR="00807FFE" w14:paraId="09D21197" w14:textId="77777777">
        <w:trPr>
          <w:trHeight w:val="255"/>
        </w:trPr>
        <w:tc>
          <w:tcPr>
            <w:tcW w:w="5553" w:type="dxa"/>
            <w:tcBorders>
              <w:top w:val="nil"/>
              <w:left w:val="nil"/>
              <w:bottom w:val="nil"/>
              <w:right w:val="nil"/>
              <w:tl2br w:val="nil"/>
              <w:tr2bl w:val="nil"/>
            </w:tcBorders>
            <w:tcMar>
              <w:left w:w="60" w:type="dxa"/>
              <w:right w:w="60" w:type="dxa"/>
            </w:tcMar>
            <w:vAlign w:val="bottom"/>
          </w:tcPr>
          <w:p w14:paraId="4CD0C4C4" w14:textId="77777777" w:rsidR="00807FFE" w:rsidRDefault="00807FFE">
            <w:pPr>
              <w:pStyle w:val="DMETW36629BIPFEIAS"/>
              <w:rPr>
                <w:rFonts w:ascii="Arial" w:eastAsia="Arial" w:hAnsi="Arial" w:cs="Arial"/>
                <w:noProof/>
                <w:color w:val="000000"/>
                <w:lang w:bidi="en-GB"/>
              </w:rPr>
            </w:pPr>
            <w:bookmarkStart w:id="121" w:name="DOC_TBL00029_1_1"/>
            <w:bookmarkEnd w:id="121"/>
          </w:p>
        </w:tc>
        <w:tc>
          <w:tcPr>
            <w:tcW w:w="2102" w:type="dxa"/>
            <w:tcBorders>
              <w:top w:val="nil"/>
              <w:left w:val="nil"/>
              <w:bottom w:val="nil"/>
              <w:right w:val="nil"/>
              <w:tl2br w:val="nil"/>
              <w:tr2bl w:val="nil"/>
            </w:tcBorders>
            <w:tcMar>
              <w:left w:w="60" w:type="dxa"/>
              <w:right w:w="60" w:type="dxa"/>
            </w:tcMar>
            <w:vAlign w:val="bottom"/>
          </w:tcPr>
          <w:p w14:paraId="001982ED" w14:textId="77777777" w:rsidR="00807FFE" w:rsidRDefault="00807FFE">
            <w:pPr>
              <w:pStyle w:val="DMETW36629BIPFEIAS"/>
              <w:rPr>
                <w:rFonts w:ascii="Arial" w:eastAsia="Arial" w:hAnsi="Arial" w:cs="Arial"/>
                <w:noProof/>
                <w:color w:val="000000"/>
              </w:rPr>
            </w:pPr>
          </w:p>
        </w:tc>
        <w:tc>
          <w:tcPr>
            <w:tcW w:w="2103" w:type="dxa"/>
            <w:tcBorders>
              <w:top w:val="nil"/>
              <w:left w:val="nil"/>
              <w:bottom w:val="nil"/>
              <w:right w:val="nil"/>
              <w:tl2br w:val="nil"/>
              <w:tr2bl w:val="nil"/>
            </w:tcBorders>
            <w:tcMar>
              <w:left w:w="60" w:type="dxa"/>
              <w:right w:w="60" w:type="dxa"/>
            </w:tcMar>
            <w:vAlign w:val="bottom"/>
          </w:tcPr>
          <w:p w14:paraId="6DC06AE7" w14:textId="77777777" w:rsidR="00807FFE" w:rsidRDefault="00023E71">
            <w:pPr>
              <w:pStyle w:val="DMETW36629BIPFEIA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0D72088" w14:textId="77777777">
        <w:trPr>
          <w:trHeight w:val="255"/>
        </w:trPr>
        <w:tc>
          <w:tcPr>
            <w:tcW w:w="5553" w:type="dxa"/>
            <w:tcBorders>
              <w:top w:val="nil"/>
              <w:left w:val="nil"/>
              <w:bottom w:val="nil"/>
              <w:right w:val="nil"/>
              <w:tl2br w:val="nil"/>
              <w:tr2bl w:val="nil"/>
            </w:tcBorders>
            <w:shd w:val="solid" w:color="016794" w:fill="FFFFFF"/>
            <w:tcMar>
              <w:left w:w="60" w:type="dxa"/>
              <w:right w:w="60" w:type="dxa"/>
            </w:tcMar>
            <w:vAlign w:val="center"/>
          </w:tcPr>
          <w:p w14:paraId="5AF97DBC" w14:textId="77777777" w:rsidR="00807FFE" w:rsidRDefault="00807FFE">
            <w:pPr>
              <w:pStyle w:val="DMETW36629BIPFEIAS"/>
              <w:jc w:val="center"/>
              <w:rPr>
                <w:rFonts w:ascii="Verdana" w:eastAsia="Verdana" w:hAnsi="Verdana" w:cs="Verdana"/>
                <w:noProof/>
                <w:color w:val="FFFFFF"/>
              </w:rPr>
            </w:pPr>
          </w:p>
        </w:tc>
        <w:tc>
          <w:tcPr>
            <w:tcW w:w="2102" w:type="dxa"/>
            <w:tcBorders>
              <w:top w:val="nil"/>
              <w:left w:val="nil"/>
              <w:bottom w:val="nil"/>
              <w:right w:val="nil"/>
              <w:tl2br w:val="nil"/>
              <w:tr2bl w:val="nil"/>
            </w:tcBorders>
            <w:shd w:val="solid" w:color="016794" w:fill="FFFFFF"/>
            <w:tcMar>
              <w:left w:w="60" w:type="dxa"/>
              <w:right w:w="60" w:type="dxa"/>
            </w:tcMar>
            <w:vAlign w:val="center"/>
          </w:tcPr>
          <w:p w14:paraId="305971C2" w14:textId="77777777" w:rsidR="00807FFE" w:rsidRDefault="00023E71">
            <w:pPr>
              <w:pStyle w:val="DMETW36629BIPFEIAS"/>
              <w:jc w:val="right"/>
              <w:rPr>
                <w:rFonts w:ascii="Verdana" w:eastAsia="Verdana" w:hAnsi="Verdana" w:cs="Verdana"/>
                <w:noProof/>
                <w:color w:val="FFFFFF"/>
              </w:rPr>
            </w:pPr>
            <w:r>
              <w:rPr>
                <w:rFonts w:ascii="Verdana" w:eastAsia="Verdana" w:hAnsi="Verdana" w:cs="Verdana"/>
                <w:noProof/>
                <w:color w:val="FFFFFF"/>
              </w:rPr>
              <w:t>31.12.2025</w:t>
            </w:r>
          </w:p>
        </w:tc>
        <w:tc>
          <w:tcPr>
            <w:tcW w:w="2103" w:type="dxa"/>
            <w:tcBorders>
              <w:top w:val="nil"/>
              <w:left w:val="nil"/>
              <w:bottom w:val="nil"/>
              <w:right w:val="nil"/>
              <w:tl2br w:val="nil"/>
              <w:tr2bl w:val="nil"/>
            </w:tcBorders>
            <w:shd w:val="solid" w:color="016794" w:fill="FFFFFF"/>
            <w:tcMar>
              <w:left w:w="60" w:type="dxa"/>
              <w:right w:w="60" w:type="dxa"/>
            </w:tcMar>
            <w:vAlign w:val="center"/>
          </w:tcPr>
          <w:p w14:paraId="726DFEDC" w14:textId="77777777" w:rsidR="00807FFE" w:rsidRDefault="00023E71">
            <w:pPr>
              <w:pStyle w:val="DMETW36629BIPFEIA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5986449" w14:textId="77777777">
        <w:trPr>
          <w:trHeight w:val="255"/>
        </w:trPr>
        <w:tc>
          <w:tcPr>
            <w:tcW w:w="5553" w:type="dxa"/>
            <w:tcBorders>
              <w:top w:val="nil"/>
              <w:left w:val="nil"/>
              <w:bottom w:val="nil"/>
              <w:right w:val="nil"/>
              <w:tl2br w:val="nil"/>
              <w:tr2bl w:val="nil"/>
            </w:tcBorders>
            <w:tcMar>
              <w:left w:w="60" w:type="dxa"/>
              <w:right w:w="60" w:type="dxa"/>
            </w:tcMar>
            <w:vAlign w:val="center"/>
          </w:tcPr>
          <w:p w14:paraId="5807B661" w14:textId="77777777" w:rsidR="00807FFE" w:rsidRDefault="00023E71">
            <w:pPr>
              <w:pStyle w:val="DMETW36629BIPFEIAS"/>
              <w:rPr>
                <w:rFonts w:ascii="Verdana" w:eastAsia="Verdana" w:hAnsi="Verdana" w:cs="Verdana"/>
                <w:i/>
                <w:noProof/>
                <w:color w:val="000000"/>
                <w:sz w:val="18"/>
              </w:rPr>
            </w:pPr>
            <w:r>
              <w:rPr>
                <w:rFonts w:ascii="Verdana" w:eastAsia="Verdana" w:hAnsi="Verdana" w:cs="Verdana"/>
                <w:i/>
                <w:noProof/>
                <w:color w:val="000000"/>
                <w:sz w:val="18"/>
              </w:rPr>
              <w:t>Advances to Member States for financial instruments under shared management</w:t>
            </w:r>
          </w:p>
        </w:tc>
        <w:tc>
          <w:tcPr>
            <w:tcW w:w="2102" w:type="dxa"/>
            <w:tcBorders>
              <w:top w:val="nil"/>
              <w:left w:val="nil"/>
              <w:bottom w:val="nil"/>
              <w:right w:val="nil"/>
              <w:tl2br w:val="nil"/>
              <w:tr2bl w:val="nil"/>
            </w:tcBorders>
            <w:tcMar>
              <w:left w:w="60" w:type="dxa"/>
              <w:right w:w="60" w:type="dxa"/>
            </w:tcMar>
            <w:vAlign w:val="center"/>
          </w:tcPr>
          <w:p w14:paraId="3AEC9130" w14:textId="77777777" w:rsidR="00807FFE" w:rsidRDefault="00023E71">
            <w:pPr>
              <w:pStyle w:val="DMETW36629BIPFEIAS"/>
              <w:jc w:val="right"/>
              <w:rPr>
                <w:rFonts w:ascii="Verdana" w:eastAsia="Verdana" w:hAnsi="Verdana" w:cs="Verdana"/>
                <w:i/>
                <w:noProof/>
                <w:color w:val="000000"/>
                <w:sz w:val="18"/>
              </w:rPr>
            </w:pPr>
            <w:r>
              <w:rPr>
                <w:rFonts w:ascii="Verdana" w:eastAsia="Verdana" w:hAnsi="Verdana" w:cs="Verdana"/>
                <w:i/>
                <w:noProof/>
                <w:color w:val="000000"/>
                <w:sz w:val="18"/>
              </w:rPr>
              <w:t>3 750</w:t>
            </w:r>
          </w:p>
        </w:tc>
        <w:tc>
          <w:tcPr>
            <w:tcW w:w="2103" w:type="dxa"/>
            <w:tcBorders>
              <w:top w:val="nil"/>
              <w:left w:val="nil"/>
              <w:bottom w:val="nil"/>
              <w:right w:val="nil"/>
              <w:tl2br w:val="nil"/>
              <w:tr2bl w:val="nil"/>
            </w:tcBorders>
            <w:tcMar>
              <w:left w:w="60" w:type="dxa"/>
              <w:right w:w="60" w:type="dxa"/>
            </w:tcMar>
            <w:vAlign w:val="center"/>
          </w:tcPr>
          <w:p w14:paraId="208ABD99" w14:textId="77777777" w:rsidR="00807FFE" w:rsidRDefault="00023E71">
            <w:pPr>
              <w:pStyle w:val="DMETW36629BIPFEIAS"/>
              <w:jc w:val="right"/>
              <w:rPr>
                <w:rFonts w:ascii="Verdana" w:eastAsia="Verdana" w:hAnsi="Verdana" w:cs="Verdana"/>
                <w:i/>
                <w:noProof/>
                <w:color w:val="000000"/>
                <w:sz w:val="18"/>
                <w:lang w:bidi="en-GB"/>
              </w:rPr>
            </w:pPr>
            <w:r>
              <w:rPr>
                <w:rFonts w:ascii="Verdana" w:eastAsia="Verdana" w:hAnsi="Verdana" w:cs="Verdana"/>
                <w:i/>
                <w:noProof/>
                <w:color w:val="000000"/>
                <w:sz w:val="18"/>
              </w:rPr>
              <w:t>1 889</w:t>
            </w:r>
          </w:p>
        </w:tc>
      </w:tr>
      <w:tr w:rsidR="00807FFE" w14:paraId="38BB413E" w14:textId="77777777">
        <w:trPr>
          <w:trHeight w:val="255"/>
        </w:trPr>
        <w:tc>
          <w:tcPr>
            <w:tcW w:w="5553" w:type="dxa"/>
            <w:tcBorders>
              <w:top w:val="nil"/>
              <w:left w:val="nil"/>
              <w:bottom w:val="single" w:sz="4" w:space="0" w:color="016794"/>
              <w:right w:val="nil"/>
              <w:tl2br w:val="nil"/>
              <w:tr2bl w:val="nil"/>
            </w:tcBorders>
            <w:tcMar>
              <w:left w:w="60" w:type="dxa"/>
              <w:right w:w="60" w:type="dxa"/>
            </w:tcMar>
            <w:vAlign w:val="center"/>
          </w:tcPr>
          <w:p w14:paraId="424C05DB" w14:textId="77777777" w:rsidR="00807FFE" w:rsidRDefault="00023E71">
            <w:pPr>
              <w:pStyle w:val="DMETW36629BIPFEIAS"/>
              <w:rPr>
                <w:rFonts w:ascii="Verdana" w:eastAsia="Verdana" w:hAnsi="Verdana" w:cs="Verdana"/>
                <w:i/>
                <w:noProof/>
                <w:color w:val="000000"/>
                <w:sz w:val="18"/>
              </w:rPr>
            </w:pPr>
            <w:r>
              <w:rPr>
                <w:rFonts w:ascii="Verdana" w:eastAsia="Verdana" w:hAnsi="Verdana" w:cs="Verdana"/>
                <w:i/>
                <w:noProof/>
                <w:color w:val="000000"/>
                <w:sz w:val="18"/>
              </w:rPr>
              <w:t>Aid Schemes</w:t>
            </w:r>
          </w:p>
        </w:tc>
        <w:tc>
          <w:tcPr>
            <w:tcW w:w="2102" w:type="dxa"/>
            <w:tcBorders>
              <w:top w:val="nil"/>
              <w:left w:val="nil"/>
              <w:bottom w:val="single" w:sz="4" w:space="0" w:color="016794"/>
              <w:right w:val="nil"/>
              <w:tl2br w:val="nil"/>
              <w:tr2bl w:val="nil"/>
            </w:tcBorders>
            <w:tcMar>
              <w:left w:w="60" w:type="dxa"/>
              <w:right w:w="60" w:type="dxa"/>
            </w:tcMar>
            <w:vAlign w:val="center"/>
          </w:tcPr>
          <w:p w14:paraId="79898B61" w14:textId="77777777" w:rsidR="00807FFE" w:rsidRDefault="00023E71">
            <w:pPr>
              <w:pStyle w:val="DMETW36629BIPFEIAS"/>
              <w:jc w:val="right"/>
              <w:rPr>
                <w:rFonts w:ascii="Verdana" w:eastAsia="Verdana" w:hAnsi="Verdana" w:cs="Verdana"/>
                <w:i/>
                <w:noProof/>
                <w:color w:val="000000"/>
                <w:sz w:val="18"/>
              </w:rPr>
            </w:pPr>
            <w:r>
              <w:rPr>
                <w:rFonts w:ascii="Verdana" w:eastAsia="Verdana" w:hAnsi="Verdana" w:cs="Verdana"/>
                <w:i/>
                <w:noProof/>
                <w:color w:val="000000"/>
                <w:sz w:val="18"/>
              </w:rPr>
              <w:t>1 659</w:t>
            </w:r>
          </w:p>
        </w:tc>
        <w:tc>
          <w:tcPr>
            <w:tcW w:w="2103" w:type="dxa"/>
            <w:tcBorders>
              <w:top w:val="nil"/>
              <w:left w:val="nil"/>
              <w:bottom w:val="single" w:sz="4" w:space="0" w:color="016794"/>
              <w:right w:val="nil"/>
              <w:tl2br w:val="nil"/>
              <w:tr2bl w:val="nil"/>
            </w:tcBorders>
            <w:tcMar>
              <w:left w:w="60" w:type="dxa"/>
              <w:right w:w="60" w:type="dxa"/>
            </w:tcMar>
            <w:vAlign w:val="center"/>
          </w:tcPr>
          <w:p w14:paraId="2CB50CDD" w14:textId="77777777" w:rsidR="00807FFE" w:rsidRDefault="00023E71">
            <w:pPr>
              <w:pStyle w:val="DMETW36629BIPFEIAS"/>
              <w:jc w:val="right"/>
              <w:rPr>
                <w:rFonts w:ascii="Verdana" w:eastAsia="Verdana" w:hAnsi="Verdana" w:cs="Verdana"/>
                <w:i/>
                <w:noProof/>
                <w:color w:val="000000"/>
                <w:sz w:val="18"/>
                <w:lang w:bidi="en-GB"/>
              </w:rPr>
            </w:pPr>
            <w:r>
              <w:rPr>
                <w:rFonts w:ascii="Verdana" w:eastAsia="Verdana" w:hAnsi="Verdana" w:cs="Verdana"/>
                <w:i/>
                <w:noProof/>
                <w:color w:val="000000"/>
                <w:sz w:val="18"/>
              </w:rPr>
              <w:t>1 883</w:t>
            </w:r>
          </w:p>
        </w:tc>
      </w:tr>
      <w:tr w:rsidR="00807FFE" w14:paraId="5DC8F2D4" w14:textId="77777777">
        <w:trPr>
          <w:trHeight w:val="255"/>
        </w:trPr>
        <w:tc>
          <w:tcPr>
            <w:tcW w:w="5553" w:type="dxa"/>
            <w:tcBorders>
              <w:top w:val="single" w:sz="4" w:space="0" w:color="016794"/>
              <w:left w:val="nil"/>
              <w:bottom w:val="single" w:sz="4" w:space="0" w:color="016794"/>
              <w:right w:val="nil"/>
              <w:tl2br w:val="nil"/>
              <w:tr2bl w:val="nil"/>
            </w:tcBorders>
            <w:tcMar>
              <w:left w:w="60" w:type="dxa"/>
              <w:right w:w="60" w:type="dxa"/>
            </w:tcMar>
            <w:vAlign w:val="center"/>
          </w:tcPr>
          <w:p w14:paraId="02C2C1E4" w14:textId="77777777" w:rsidR="00807FFE" w:rsidRDefault="00023E71">
            <w:pPr>
              <w:pStyle w:val="DMETW36629BIPFEIAS"/>
              <w:rPr>
                <w:rFonts w:ascii="Verdana" w:eastAsia="Verdana" w:hAnsi="Verdana" w:cs="Verdana"/>
                <w:b/>
                <w:noProof/>
                <w:color w:val="000000"/>
                <w:sz w:val="18"/>
              </w:rPr>
            </w:pPr>
            <w:r>
              <w:rPr>
                <w:rFonts w:ascii="Verdana" w:eastAsia="Verdana" w:hAnsi="Verdana" w:cs="Verdana"/>
                <w:b/>
                <w:noProof/>
                <w:color w:val="000000"/>
                <w:sz w:val="18"/>
              </w:rPr>
              <w:t>Total</w:t>
            </w:r>
          </w:p>
        </w:tc>
        <w:tc>
          <w:tcPr>
            <w:tcW w:w="2102" w:type="dxa"/>
            <w:tcBorders>
              <w:top w:val="single" w:sz="4" w:space="0" w:color="016794"/>
              <w:left w:val="nil"/>
              <w:bottom w:val="single" w:sz="4" w:space="0" w:color="016794"/>
              <w:right w:val="nil"/>
              <w:tl2br w:val="nil"/>
              <w:tr2bl w:val="nil"/>
            </w:tcBorders>
            <w:tcMar>
              <w:left w:w="60" w:type="dxa"/>
              <w:right w:w="60" w:type="dxa"/>
            </w:tcMar>
            <w:vAlign w:val="center"/>
          </w:tcPr>
          <w:p w14:paraId="0494FD8E" w14:textId="77777777" w:rsidR="00807FFE" w:rsidRDefault="00023E71">
            <w:pPr>
              <w:pStyle w:val="DMETW36629BIPFEIAS"/>
              <w:jc w:val="right"/>
              <w:rPr>
                <w:rFonts w:ascii="Verdana" w:eastAsia="Verdana" w:hAnsi="Verdana" w:cs="Verdana"/>
                <w:b/>
                <w:noProof/>
                <w:color w:val="000000"/>
                <w:sz w:val="18"/>
              </w:rPr>
            </w:pPr>
            <w:r>
              <w:rPr>
                <w:rFonts w:ascii="Verdana" w:eastAsia="Verdana" w:hAnsi="Verdana" w:cs="Verdana"/>
                <w:b/>
                <w:noProof/>
                <w:color w:val="000000"/>
                <w:sz w:val="18"/>
              </w:rPr>
              <w:t>5 409</w:t>
            </w:r>
          </w:p>
        </w:tc>
        <w:tc>
          <w:tcPr>
            <w:tcW w:w="2103" w:type="dxa"/>
            <w:tcBorders>
              <w:top w:val="single" w:sz="4" w:space="0" w:color="016794"/>
              <w:left w:val="nil"/>
              <w:bottom w:val="single" w:sz="4" w:space="0" w:color="016794"/>
              <w:right w:val="nil"/>
              <w:tl2br w:val="nil"/>
              <w:tr2bl w:val="nil"/>
            </w:tcBorders>
            <w:tcMar>
              <w:left w:w="60" w:type="dxa"/>
              <w:right w:w="60" w:type="dxa"/>
            </w:tcMar>
            <w:vAlign w:val="center"/>
          </w:tcPr>
          <w:p w14:paraId="62CFED21" w14:textId="77777777" w:rsidR="00807FFE" w:rsidRDefault="00023E71">
            <w:pPr>
              <w:pStyle w:val="DMETW36629BIPFEIAS"/>
              <w:jc w:val="right"/>
              <w:rPr>
                <w:rFonts w:ascii="Verdana" w:eastAsia="Verdana" w:hAnsi="Verdana" w:cs="Verdana"/>
                <w:b/>
                <w:noProof/>
                <w:color w:val="000000"/>
                <w:sz w:val="18"/>
                <w:lang w:bidi="en-GB"/>
              </w:rPr>
            </w:pPr>
            <w:r>
              <w:rPr>
                <w:rFonts w:ascii="Verdana" w:eastAsia="Verdana" w:hAnsi="Verdana" w:cs="Verdana"/>
                <w:b/>
                <w:noProof/>
                <w:color w:val="000000"/>
                <w:sz w:val="18"/>
              </w:rPr>
              <w:t>3 772</w:t>
            </w:r>
          </w:p>
        </w:tc>
      </w:tr>
      <w:tr w:rsidR="00807FFE" w14:paraId="6F551048" w14:textId="77777777">
        <w:trPr>
          <w:trHeight w:val="255"/>
        </w:trPr>
        <w:tc>
          <w:tcPr>
            <w:tcW w:w="5553" w:type="dxa"/>
            <w:tcBorders>
              <w:top w:val="single" w:sz="4" w:space="0" w:color="016794"/>
              <w:left w:val="nil"/>
              <w:bottom w:val="nil"/>
              <w:right w:val="nil"/>
              <w:tl2br w:val="nil"/>
              <w:tr2bl w:val="nil"/>
            </w:tcBorders>
            <w:tcMar>
              <w:left w:w="60" w:type="dxa"/>
              <w:right w:w="60" w:type="dxa"/>
            </w:tcMar>
            <w:vAlign w:val="center"/>
          </w:tcPr>
          <w:p w14:paraId="0118967F" w14:textId="77777777" w:rsidR="00807FFE" w:rsidRDefault="00023E71">
            <w:pPr>
              <w:pStyle w:val="DMETW36629BIPFEIAS"/>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2102" w:type="dxa"/>
            <w:tcBorders>
              <w:top w:val="single" w:sz="4" w:space="0" w:color="016794"/>
              <w:left w:val="nil"/>
              <w:bottom w:val="nil"/>
              <w:right w:val="nil"/>
              <w:tl2br w:val="nil"/>
              <w:tr2bl w:val="nil"/>
            </w:tcBorders>
            <w:tcMar>
              <w:left w:w="60" w:type="dxa"/>
              <w:right w:w="60" w:type="dxa"/>
            </w:tcMar>
            <w:vAlign w:val="center"/>
          </w:tcPr>
          <w:p w14:paraId="275233B2" w14:textId="77777777" w:rsidR="00807FFE" w:rsidRDefault="00023E71">
            <w:pPr>
              <w:pStyle w:val="DMETW36629BIPFEIAS"/>
              <w:jc w:val="right"/>
              <w:rPr>
                <w:rFonts w:ascii="Verdana" w:eastAsia="Verdana" w:hAnsi="Verdana" w:cs="Verdana"/>
                <w:i/>
                <w:noProof/>
                <w:color w:val="016794"/>
                <w:sz w:val="18"/>
              </w:rPr>
            </w:pPr>
            <w:r>
              <w:rPr>
                <w:rFonts w:ascii="Verdana" w:eastAsia="Verdana" w:hAnsi="Verdana" w:cs="Verdana"/>
                <w:i/>
                <w:noProof/>
                <w:color w:val="016794"/>
                <w:sz w:val="18"/>
              </w:rPr>
              <w:t>2 933</w:t>
            </w:r>
          </w:p>
        </w:tc>
        <w:tc>
          <w:tcPr>
            <w:tcW w:w="2103" w:type="dxa"/>
            <w:tcBorders>
              <w:top w:val="single" w:sz="4" w:space="0" w:color="016794"/>
              <w:left w:val="nil"/>
              <w:bottom w:val="nil"/>
              <w:right w:val="nil"/>
              <w:tl2br w:val="nil"/>
              <w:tr2bl w:val="nil"/>
            </w:tcBorders>
            <w:tcMar>
              <w:left w:w="60" w:type="dxa"/>
              <w:right w:w="60" w:type="dxa"/>
            </w:tcMar>
            <w:vAlign w:val="center"/>
          </w:tcPr>
          <w:p w14:paraId="1795F7ED" w14:textId="77777777" w:rsidR="00807FFE" w:rsidRDefault="00023E71">
            <w:pPr>
              <w:pStyle w:val="DMETW36629BIPFEIAS"/>
              <w:jc w:val="right"/>
              <w:rPr>
                <w:rFonts w:ascii="Verdana" w:eastAsia="Verdana" w:hAnsi="Verdana" w:cs="Verdana"/>
                <w:i/>
                <w:noProof/>
                <w:color w:val="016794"/>
                <w:sz w:val="18"/>
                <w:lang w:bidi="en-GB"/>
              </w:rPr>
            </w:pPr>
            <w:r>
              <w:rPr>
                <w:rFonts w:ascii="Verdana" w:eastAsia="Verdana" w:hAnsi="Verdana" w:cs="Verdana"/>
                <w:i/>
                <w:noProof/>
                <w:color w:val="016794"/>
                <w:sz w:val="18"/>
              </w:rPr>
              <w:t>1 682</w:t>
            </w:r>
          </w:p>
        </w:tc>
      </w:tr>
      <w:tr w:rsidR="00807FFE" w14:paraId="7FAEAE59" w14:textId="77777777">
        <w:trPr>
          <w:trHeight w:val="255"/>
        </w:trPr>
        <w:tc>
          <w:tcPr>
            <w:tcW w:w="5553" w:type="dxa"/>
            <w:tcBorders>
              <w:top w:val="nil"/>
              <w:left w:val="nil"/>
              <w:bottom w:val="nil"/>
              <w:right w:val="nil"/>
              <w:tl2br w:val="nil"/>
              <w:tr2bl w:val="nil"/>
            </w:tcBorders>
            <w:tcMar>
              <w:left w:w="60" w:type="dxa"/>
              <w:right w:w="60" w:type="dxa"/>
            </w:tcMar>
            <w:vAlign w:val="center"/>
          </w:tcPr>
          <w:p w14:paraId="2D5E7FCC" w14:textId="77777777" w:rsidR="00807FFE" w:rsidRDefault="00023E71">
            <w:pPr>
              <w:pStyle w:val="DMETW36629BIPFEIAS"/>
              <w:rPr>
                <w:rFonts w:ascii="Verdana" w:eastAsia="Verdana" w:hAnsi="Verdana" w:cs="Verdana"/>
                <w:i/>
                <w:noProof/>
                <w:color w:val="016794"/>
                <w:sz w:val="18"/>
              </w:rPr>
            </w:pPr>
            <w:r>
              <w:rPr>
                <w:rFonts w:ascii="Verdana" w:eastAsia="Verdana" w:hAnsi="Verdana" w:cs="Verdana"/>
                <w:i/>
                <w:noProof/>
                <w:color w:val="016794"/>
                <w:sz w:val="18"/>
              </w:rPr>
              <w:t>Current</w:t>
            </w:r>
          </w:p>
        </w:tc>
        <w:tc>
          <w:tcPr>
            <w:tcW w:w="2102" w:type="dxa"/>
            <w:tcBorders>
              <w:top w:val="nil"/>
              <w:left w:val="nil"/>
              <w:bottom w:val="nil"/>
              <w:right w:val="nil"/>
              <w:tl2br w:val="nil"/>
              <w:tr2bl w:val="nil"/>
            </w:tcBorders>
            <w:tcMar>
              <w:left w:w="60" w:type="dxa"/>
              <w:right w:w="60" w:type="dxa"/>
            </w:tcMar>
            <w:vAlign w:val="center"/>
          </w:tcPr>
          <w:p w14:paraId="1D598B0E" w14:textId="77777777" w:rsidR="00807FFE" w:rsidRDefault="00023E71">
            <w:pPr>
              <w:pStyle w:val="DMETW36629BIPFEIAS"/>
              <w:jc w:val="right"/>
              <w:rPr>
                <w:rFonts w:ascii="Verdana" w:eastAsia="Verdana" w:hAnsi="Verdana" w:cs="Verdana"/>
                <w:i/>
                <w:noProof/>
                <w:color w:val="016794"/>
                <w:sz w:val="18"/>
              </w:rPr>
            </w:pPr>
            <w:r>
              <w:rPr>
                <w:rFonts w:ascii="Verdana" w:eastAsia="Verdana" w:hAnsi="Verdana" w:cs="Verdana"/>
                <w:i/>
                <w:noProof/>
                <w:color w:val="016794"/>
                <w:sz w:val="18"/>
              </w:rPr>
              <w:t>2 477</w:t>
            </w:r>
          </w:p>
        </w:tc>
        <w:tc>
          <w:tcPr>
            <w:tcW w:w="2103" w:type="dxa"/>
            <w:tcBorders>
              <w:top w:val="nil"/>
              <w:left w:val="nil"/>
              <w:bottom w:val="nil"/>
              <w:right w:val="nil"/>
              <w:tl2br w:val="nil"/>
              <w:tr2bl w:val="nil"/>
            </w:tcBorders>
            <w:tcMar>
              <w:left w:w="60" w:type="dxa"/>
              <w:right w:w="60" w:type="dxa"/>
            </w:tcMar>
            <w:vAlign w:val="center"/>
          </w:tcPr>
          <w:p w14:paraId="0F3858AD" w14:textId="77777777" w:rsidR="00807FFE" w:rsidRDefault="00023E71">
            <w:pPr>
              <w:pStyle w:val="DMETW36629BIPFEIAS"/>
              <w:jc w:val="right"/>
              <w:rPr>
                <w:rFonts w:ascii="Verdana" w:eastAsia="Verdana" w:hAnsi="Verdana" w:cs="Verdana"/>
                <w:i/>
                <w:noProof/>
                <w:color w:val="016794"/>
                <w:sz w:val="18"/>
              </w:rPr>
            </w:pPr>
            <w:r>
              <w:rPr>
                <w:rFonts w:ascii="Verdana" w:eastAsia="Verdana" w:hAnsi="Verdana" w:cs="Verdana"/>
                <w:i/>
                <w:noProof/>
                <w:color w:val="016794"/>
                <w:sz w:val="18"/>
              </w:rPr>
              <w:t>2 089</w:t>
            </w:r>
          </w:p>
        </w:tc>
      </w:tr>
    </w:tbl>
    <w:p w14:paraId="6B6393CD" w14:textId="77777777" w:rsidR="00F256E6" w:rsidRDefault="00F256E6" w:rsidP="00D64614">
      <w:pPr>
        <w:pStyle w:val="Heading8pNormalCentered"/>
        <w:jc w:val="both"/>
        <w:rPr>
          <w:rFonts w:eastAsia="Times New Roman"/>
          <w:color w:val="016794"/>
          <w:sz w:val="20"/>
          <w:szCs w:val="20"/>
          <w:lang w:eastAsia="en-GB"/>
        </w:rPr>
      </w:pPr>
    </w:p>
    <w:p w14:paraId="662A08E5" w14:textId="77777777" w:rsidR="00D64614" w:rsidRDefault="00D64614" w:rsidP="00D64614">
      <w:pPr>
        <w:pStyle w:val="Heading8pNormalCentered"/>
        <w:jc w:val="both"/>
        <w:rPr>
          <w:lang w:bidi="en-GB"/>
        </w:rPr>
      </w:pPr>
    </w:p>
    <w:p w14:paraId="75A428E8" w14:textId="77777777" w:rsidR="00F256E6" w:rsidRPr="00B92F19" w:rsidRDefault="00023E71" w:rsidP="00F256E6">
      <w:pPr>
        <w:pStyle w:val="HEADER5"/>
        <w:rPr>
          <w:noProof/>
        </w:rPr>
      </w:pPr>
      <w:r w:rsidRPr="00B92F19">
        <w:rPr>
          <w:noProof/>
        </w:rPr>
        <w:t>Advances to Member States for financial instruments under shared management</w:t>
      </w:r>
    </w:p>
    <w:p w14:paraId="35C245D1" w14:textId="77777777" w:rsidR="00F256E6" w:rsidRDefault="00023E71" w:rsidP="00F256E6">
      <w:pPr>
        <w:pStyle w:val="Textstand-alone"/>
      </w:pPr>
      <w:r w:rsidRPr="00E7481F">
        <w:t>Under the framework of the European Structural and Investment Funds (ESIF) programmes, it is possible to make advance payments from the EU budget to Member States so as to allow them to contribute to financial instruments (</w:t>
      </w:r>
      <w:r>
        <w:t xml:space="preserve">i.e. </w:t>
      </w:r>
      <w:r w:rsidRPr="00E7481F">
        <w:t xml:space="preserve">loans, equity investments or guarantees). These financial instruments are set up and managed under the responsibility of the Member States, not the Commission. Nevertheless, monies that are unused by these instruments at year-end </w:t>
      </w:r>
      <w:r>
        <w:t>remain</w:t>
      </w:r>
      <w:r w:rsidRPr="00E7481F">
        <w:t xml:space="preserve"> the property of the EU (as with all pre-financing) and are thus treated as an asset on the EU’s balance sheet.</w:t>
      </w:r>
    </w:p>
    <w:p w14:paraId="78FD2E60" w14:textId="77777777" w:rsidR="00F21CAD" w:rsidRDefault="00023E71" w:rsidP="0097115A">
      <w:pPr>
        <w:pStyle w:val="DGTextstand-alone"/>
      </w:pPr>
      <w:r w:rsidRPr="00F21CAD">
        <w:t xml:space="preserve">For cohesion area, out of EUR </w:t>
      </w:r>
      <w:r>
        <w:t>3 740</w:t>
      </w:r>
      <w:r w:rsidRPr="00F21CAD">
        <w:t xml:space="preserve"> million paid, it is estimated that EUR </w:t>
      </w:r>
      <w:r>
        <w:t>3</w:t>
      </w:r>
      <w:r w:rsidRPr="00F21CAD">
        <w:t xml:space="preserve"> </w:t>
      </w:r>
      <w:r>
        <w:t>661</w:t>
      </w:r>
      <w:r w:rsidRPr="00F21CAD">
        <w:t xml:space="preserve"> million was unused at 31 December 202</w:t>
      </w:r>
      <w:r>
        <w:t>5</w:t>
      </w:r>
      <w:r w:rsidRPr="00F21CAD">
        <w:t>.</w:t>
      </w:r>
    </w:p>
    <w:p w14:paraId="23E915B5" w14:textId="77777777" w:rsidR="0097115A" w:rsidRPr="00CB080E" w:rsidRDefault="00023E71" w:rsidP="0097115A">
      <w:pPr>
        <w:pStyle w:val="DGTextstand-alone"/>
      </w:pPr>
      <w:r>
        <w:t xml:space="preserve">For rural development, </w:t>
      </w:r>
      <w:r w:rsidRPr="006B0D66">
        <w:t>EUR </w:t>
      </w:r>
      <w:r w:rsidRPr="00F21CAD">
        <w:t>8</w:t>
      </w:r>
      <w:r>
        <w:t>9</w:t>
      </w:r>
      <w:r w:rsidR="0029747A" w:rsidRPr="006B0D66">
        <w:t xml:space="preserve"> </w:t>
      </w:r>
      <w:r w:rsidRPr="006B0D66">
        <w:t>million</w:t>
      </w:r>
      <w:r>
        <w:t xml:space="preserve"> remained unused at year-end.</w:t>
      </w:r>
    </w:p>
    <w:p w14:paraId="3FF28BE8" w14:textId="77777777" w:rsidR="00F256E6" w:rsidRPr="00E7481F" w:rsidRDefault="00023E71" w:rsidP="00F256E6">
      <w:pPr>
        <w:pStyle w:val="HEADER5"/>
        <w:rPr>
          <w:b/>
          <w:noProof/>
        </w:rPr>
      </w:pPr>
      <w:r w:rsidRPr="00E7481F">
        <w:rPr>
          <w:noProof/>
        </w:rPr>
        <w:t>Aid Schemes</w:t>
      </w:r>
    </w:p>
    <w:p w14:paraId="56EE243D" w14:textId="0DA91B44" w:rsidR="00F52BB5" w:rsidRDefault="00023E71" w:rsidP="00F256E6">
      <w:pPr>
        <w:pStyle w:val="Textstand-alone"/>
      </w:pPr>
      <w:r w:rsidRPr="00E7481F">
        <w:t xml:space="preserve">Similar to the above, </w:t>
      </w:r>
      <w:r w:rsidRPr="00C679D2">
        <w:t xml:space="preserve">reimbursed amounts </w:t>
      </w:r>
      <w:r w:rsidRPr="00D820BA">
        <w:rPr>
          <w:color w:val="000000" w:themeColor="text1"/>
        </w:rPr>
        <w:t xml:space="preserve">corresponding to advances </w:t>
      </w:r>
      <w:r w:rsidRPr="00E7481F">
        <w:t>paid by the Member States for various aid schemes (state aid, market measures of EAGF or investment measures of EA</w:t>
      </w:r>
      <w:r>
        <w:t>FRD) that were not used at year-end are recorded as assets (advances)</w:t>
      </w:r>
      <w:r w:rsidRPr="00E7481F">
        <w:t xml:space="preserve"> on the EU's balance sheet. The Commission has estimated the value of these advances based on information </w:t>
      </w:r>
      <w:r w:rsidRPr="006B0D66">
        <w:t>provided by the Member States; the resulting amounts are included under the Aid Schemes sub-heading above</w:t>
      </w:r>
      <w:r w:rsidRPr="00F21CAD">
        <w:t>.</w:t>
      </w:r>
      <w:r w:rsidR="0029747A" w:rsidRPr="00F21CAD">
        <w:t xml:space="preserve"> </w:t>
      </w:r>
      <w:r w:rsidRPr="00F21CAD">
        <w:t>In 202</w:t>
      </w:r>
      <w:r>
        <w:t>5</w:t>
      </w:r>
      <w:r w:rsidRPr="00F21CAD">
        <w:t xml:space="preserve">, </w:t>
      </w:r>
      <w:r>
        <w:t>an</w:t>
      </w:r>
      <w:r w:rsidRPr="00F21CAD">
        <w:t xml:space="preserve"> amount of EUR 1</w:t>
      </w:r>
      <w:r>
        <w:t> 397</w:t>
      </w:r>
      <w:r w:rsidRPr="00F21CAD">
        <w:t xml:space="preserve"> million relates to agriculture and rural development. For cohesion policy the unused amounts at year-end were estimated at EUR </w:t>
      </w:r>
      <w:r>
        <w:t>263</w:t>
      </w:r>
      <w:r w:rsidRPr="00F21CAD">
        <w:t xml:space="preserve"> million and relate to the MFF 2021-2027.</w:t>
      </w:r>
    </w:p>
    <w:p w14:paraId="2B87B20F" w14:textId="77777777" w:rsidR="00F52BB5" w:rsidRDefault="00F52BB5">
      <w:pPr>
        <w:rPr>
          <w:rFonts w:ascii="Verdana" w:hAnsi="Verdana"/>
          <w:noProof/>
          <w:sz w:val="18"/>
          <w:szCs w:val="18"/>
          <w:lang w:eastAsia="en-US"/>
        </w:rPr>
      </w:pPr>
      <w:r>
        <w:rPr>
          <w:noProof/>
        </w:rPr>
        <w:br w:type="page"/>
      </w:r>
    </w:p>
    <w:p w14:paraId="08F113A7" w14:textId="77777777" w:rsidR="00F256E6" w:rsidRDefault="00F256E6" w:rsidP="00FE545E">
      <w:pPr>
        <w:pStyle w:val="Textstand-alone"/>
        <w:spacing w:before="0" w:after="0"/>
      </w:pPr>
    </w:p>
    <w:bookmarkEnd w:id="117"/>
    <w:p w14:paraId="238B98D4" w14:textId="77777777" w:rsidR="00D85094" w:rsidRPr="00BC5A0F" w:rsidRDefault="00D85094" w:rsidP="00FE545E">
      <w:pPr>
        <w:pStyle w:val="Textstand-alone"/>
        <w:spacing w:before="0" w:after="0"/>
        <w:sectPr w:rsidR="00D85094" w:rsidRPr="00BC5A0F" w:rsidSect="00F256E6">
          <w:headerReference w:type="default" r:id="rId89"/>
          <w:footerReference w:type="default" r:id="rId90"/>
          <w:type w:val="continuous"/>
          <w:pgSz w:w="11906" w:h="16838"/>
          <w:pgMar w:top="1134" w:right="1134" w:bottom="1134" w:left="1134" w:header="709" w:footer="709" w:gutter="0"/>
          <w:cols w:space="708"/>
          <w:docGrid w:linePitch="360"/>
        </w:sectPr>
      </w:pPr>
    </w:p>
    <w:p w14:paraId="3D72C878" w14:textId="77777777" w:rsidR="00324012" w:rsidRDefault="00023E71" w:rsidP="00172034">
      <w:pPr>
        <w:pStyle w:val="HEADER2NOTES"/>
        <w:numPr>
          <w:ilvl w:val="1"/>
          <w:numId w:val="15"/>
        </w:numPr>
        <w:spacing w:before="0"/>
        <w:rPr>
          <w:noProof/>
        </w:rPr>
      </w:pPr>
      <w:bookmarkStart w:id="122" w:name="_DMBM_36720"/>
      <w:r w:rsidRPr="00AB6C89">
        <w:rPr>
          <w:noProof/>
        </w:rPr>
        <w:t>EXCHANGE RECEIVABLES AND NON-EXCHANGE</w:t>
      </w:r>
      <w:r w:rsidR="0041641C">
        <w:rPr>
          <w:noProof/>
        </w:rPr>
        <w:t xml:space="preserve"> </w:t>
      </w:r>
      <w:r w:rsidRPr="00AB6C89">
        <w:rPr>
          <w:noProof/>
        </w:rPr>
        <w:t>RECOVERABLES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687"/>
        <w:gridCol w:w="1687"/>
        <w:gridCol w:w="1995"/>
      </w:tblGrid>
      <w:tr w:rsidR="00807FFE" w14:paraId="5BE3ED9A"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77817A0F" w14:textId="77777777" w:rsidR="00807FFE" w:rsidRDefault="00807FFE">
            <w:pPr>
              <w:pStyle w:val="DMETW36745BIPERNER"/>
              <w:rPr>
                <w:rFonts w:ascii="Verdana" w:eastAsia="Verdana" w:hAnsi="Verdana" w:cs="Verdana"/>
                <w:i/>
                <w:noProof/>
                <w:color w:val="FFFFFF"/>
                <w:sz w:val="16"/>
                <w:lang w:bidi="en-GB"/>
              </w:rPr>
            </w:pPr>
            <w:bookmarkStart w:id="123" w:name="DOC_TBL00030_1_1"/>
            <w:bookmarkEnd w:id="123"/>
          </w:p>
        </w:tc>
        <w:tc>
          <w:tcPr>
            <w:tcW w:w="1687" w:type="dxa"/>
            <w:tcBorders>
              <w:top w:val="nil"/>
              <w:left w:val="nil"/>
              <w:bottom w:val="nil"/>
              <w:right w:val="nil"/>
              <w:tl2br w:val="nil"/>
              <w:tr2bl w:val="nil"/>
            </w:tcBorders>
            <w:tcMar>
              <w:left w:w="60" w:type="dxa"/>
              <w:right w:w="60" w:type="dxa"/>
            </w:tcMar>
            <w:vAlign w:val="bottom"/>
          </w:tcPr>
          <w:p w14:paraId="3D3482D1" w14:textId="77777777" w:rsidR="00807FFE" w:rsidRDefault="00807FFE">
            <w:pPr>
              <w:pStyle w:val="DMETW36745BIPERNER"/>
              <w:rPr>
                <w:rFonts w:ascii="Arial" w:eastAsia="Arial" w:hAnsi="Arial" w:cs="Arial"/>
                <w:noProof/>
                <w:color w:val="000000"/>
              </w:rPr>
            </w:pPr>
          </w:p>
        </w:tc>
        <w:tc>
          <w:tcPr>
            <w:tcW w:w="1687" w:type="dxa"/>
            <w:tcBorders>
              <w:top w:val="nil"/>
              <w:left w:val="nil"/>
              <w:bottom w:val="nil"/>
              <w:right w:val="nil"/>
              <w:tl2br w:val="nil"/>
              <w:tr2bl w:val="nil"/>
            </w:tcBorders>
            <w:tcMar>
              <w:left w:w="60" w:type="dxa"/>
              <w:right w:w="60" w:type="dxa"/>
            </w:tcMar>
            <w:vAlign w:val="bottom"/>
          </w:tcPr>
          <w:p w14:paraId="228B5F06" w14:textId="77777777" w:rsidR="00807FFE" w:rsidRDefault="00807FFE">
            <w:pPr>
              <w:pStyle w:val="DMETW36745BIPERNER"/>
              <w:rPr>
                <w:rFonts w:ascii="Arial" w:eastAsia="Arial" w:hAnsi="Arial" w:cs="Arial"/>
                <w:noProof/>
                <w:color w:val="000000"/>
              </w:rPr>
            </w:pPr>
          </w:p>
        </w:tc>
        <w:tc>
          <w:tcPr>
            <w:tcW w:w="1995" w:type="dxa"/>
            <w:tcBorders>
              <w:top w:val="nil"/>
              <w:left w:val="nil"/>
              <w:bottom w:val="nil"/>
              <w:right w:val="nil"/>
              <w:tl2br w:val="nil"/>
              <w:tr2bl w:val="nil"/>
            </w:tcBorders>
            <w:tcMar>
              <w:left w:w="60" w:type="dxa"/>
              <w:right w:w="60" w:type="dxa"/>
            </w:tcMar>
            <w:vAlign w:val="bottom"/>
          </w:tcPr>
          <w:p w14:paraId="57C92D83" w14:textId="77777777" w:rsidR="00807FFE" w:rsidRDefault="00023E71">
            <w:pPr>
              <w:pStyle w:val="DMETW36745BIPERNER"/>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6443768" w14:textId="77777777">
        <w:trPr>
          <w:trHeight w:val="255"/>
        </w:trPr>
        <w:tc>
          <w:tcPr>
            <w:tcW w:w="4389" w:type="dxa"/>
            <w:tcBorders>
              <w:top w:val="nil"/>
              <w:left w:val="nil"/>
              <w:bottom w:val="nil"/>
              <w:right w:val="nil"/>
              <w:tl2br w:val="nil"/>
              <w:tr2bl w:val="nil"/>
            </w:tcBorders>
            <w:shd w:val="solid" w:color="016794" w:fill="FFFFFF"/>
            <w:tcMar>
              <w:left w:w="60" w:type="dxa"/>
              <w:right w:w="60" w:type="dxa"/>
            </w:tcMar>
            <w:vAlign w:val="center"/>
          </w:tcPr>
          <w:p w14:paraId="521F262E" w14:textId="77777777" w:rsidR="00807FFE" w:rsidRDefault="00807FFE">
            <w:pPr>
              <w:pStyle w:val="DMETW36745BIPERNER"/>
              <w:rPr>
                <w:rFonts w:ascii="Verdana" w:eastAsia="Verdana" w:hAnsi="Verdana" w:cs="Verdana"/>
                <w:noProof/>
                <w:color w:val="FFFFFF"/>
              </w:rPr>
            </w:pPr>
          </w:p>
        </w:tc>
        <w:tc>
          <w:tcPr>
            <w:tcW w:w="1687" w:type="dxa"/>
            <w:tcBorders>
              <w:top w:val="nil"/>
              <w:left w:val="nil"/>
              <w:bottom w:val="nil"/>
              <w:right w:val="nil"/>
              <w:tl2br w:val="nil"/>
              <w:tr2bl w:val="nil"/>
            </w:tcBorders>
            <w:shd w:val="solid" w:color="016794" w:fill="FFFFFF"/>
            <w:tcMar>
              <w:left w:w="60" w:type="dxa"/>
              <w:right w:w="60" w:type="dxa"/>
            </w:tcMar>
            <w:vAlign w:val="center"/>
          </w:tcPr>
          <w:p w14:paraId="10088882" w14:textId="77777777" w:rsidR="00807FFE" w:rsidRDefault="00023E71">
            <w:pPr>
              <w:pStyle w:val="DMETW36745BIPERNER"/>
              <w:jc w:val="center"/>
              <w:rPr>
                <w:rFonts w:ascii="Verdana" w:eastAsia="Verdana" w:hAnsi="Verdana" w:cs="Verdana"/>
                <w:noProof/>
                <w:color w:val="FFFFFF"/>
              </w:rPr>
            </w:pPr>
            <w:r>
              <w:rPr>
                <w:rFonts w:ascii="Verdana" w:eastAsia="Verdana" w:hAnsi="Verdana" w:cs="Verdana"/>
                <w:noProof/>
                <w:color w:val="FFFFFF"/>
              </w:rPr>
              <w:t>Note</w:t>
            </w:r>
          </w:p>
        </w:tc>
        <w:tc>
          <w:tcPr>
            <w:tcW w:w="1687" w:type="dxa"/>
            <w:tcBorders>
              <w:top w:val="nil"/>
              <w:left w:val="nil"/>
              <w:bottom w:val="nil"/>
              <w:right w:val="nil"/>
              <w:tl2br w:val="nil"/>
              <w:tr2bl w:val="nil"/>
            </w:tcBorders>
            <w:shd w:val="solid" w:color="016794" w:fill="FFFFFF"/>
            <w:tcMar>
              <w:left w:w="60" w:type="dxa"/>
              <w:right w:w="60" w:type="dxa"/>
            </w:tcMar>
            <w:vAlign w:val="center"/>
          </w:tcPr>
          <w:p w14:paraId="326995E1" w14:textId="77777777" w:rsidR="00807FFE" w:rsidRDefault="00023E71">
            <w:pPr>
              <w:pStyle w:val="DMETW36745BIPERNER"/>
              <w:jc w:val="right"/>
              <w:rPr>
                <w:rFonts w:ascii="Verdana" w:eastAsia="Verdana" w:hAnsi="Verdana" w:cs="Verdana"/>
                <w:noProof/>
                <w:color w:val="FFFFFF"/>
              </w:rPr>
            </w:pPr>
            <w:r>
              <w:rPr>
                <w:rFonts w:ascii="Verdana" w:eastAsia="Verdana" w:hAnsi="Verdana" w:cs="Verdana"/>
                <w:noProof/>
                <w:color w:val="FFFFFF"/>
              </w:rPr>
              <w:t>31.12.2025</w:t>
            </w:r>
          </w:p>
        </w:tc>
        <w:tc>
          <w:tcPr>
            <w:tcW w:w="1995" w:type="dxa"/>
            <w:tcBorders>
              <w:top w:val="nil"/>
              <w:left w:val="nil"/>
              <w:bottom w:val="nil"/>
              <w:right w:val="nil"/>
              <w:tl2br w:val="nil"/>
              <w:tr2bl w:val="nil"/>
            </w:tcBorders>
            <w:shd w:val="solid" w:color="016794" w:fill="FFFFFF"/>
            <w:tcMar>
              <w:left w:w="60" w:type="dxa"/>
              <w:right w:w="60" w:type="dxa"/>
            </w:tcMar>
            <w:vAlign w:val="center"/>
          </w:tcPr>
          <w:p w14:paraId="17A7AA7D" w14:textId="77777777" w:rsidR="00807FFE" w:rsidRDefault="00023E71">
            <w:pPr>
              <w:pStyle w:val="DMETW36745BIPERNER"/>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66EA805"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520E5AE2" w14:textId="77777777" w:rsidR="00807FFE" w:rsidRDefault="00023E71">
            <w:pPr>
              <w:pStyle w:val="DMETW36745BIPERNER"/>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1687" w:type="dxa"/>
            <w:tcBorders>
              <w:top w:val="nil"/>
              <w:left w:val="nil"/>
              <w:bottom w:val="nil"/>
              <w:right w:val="nil"/>
              <w:tl2br w:val="nil"/>
              <w:tr2bl w:val="nil"/>
            </w:tcBorders>
            <w:tcMar>
              <w:left w:w="60" w:type="dxa"/>
              <w:right w:w="60" w:type="dxa"/>
            </w:tcMar>
            <w:vAlign w:val="center"/>
          </w:tcPr>
          <w:p w14:paraId="0BC18298" w14:textId="77777777" w:rsidR="00807FFE" w:rsidRDefault="00807FFE">
            <w:pPr>
              <w:pStyle w:val="DMETW36745BIPERNER"/>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14:paraId="19BBC9AD" w14:textId="77777777" w:rsidR="00807FFE" w:rsidRDefault="00807FFE">
            <w:pPr>
              <w:pStyle w:val="DMETW36745BIPERNER"/>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14:paraId="5434BE20" w14:textId="77777777" w:rsidR="00807FFE" w:rsidRDefault="00807FFE">
            <w:pPr>
              <w:pStyle w:val="DMETW36745BIPERNER"/>
              <w:rPr>
                <w:rFonts w:ascii="Verdana" w:eastAsia="Verdana" w:hAnsi="Verdana" w:cs="Verdana"/>
                <w:b/>
                <w:noProof/>
                <w:color w:val="000000"/>
                <w:sz w:val="18"/>
                <w:lang w:bidi="en-GB"/>
              </w:rPr>
            </w:pPr>
          </w:p>
        </w:tc>
      </w:tr>
      <w:tr w:rsidR="00807FFE" w14:paraId="573E107A"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5E308BDA" w14:textId="77777777" w:rsidR="00807FFE" w:rsidRDefault="00023E71">
            <w:pPr>
              <w:pStyle w:val="DMETW36745BIPERNER"/>
              <w:rPr>
                <w:rFonts w:ascii="Verdana" w:eastAsia="Verdana" w:hAnsi="Verdana" w:cs="Verdana"/>
                <w:i/>
                <w:noProof/>
                <w:color w:val="000000"/>
                <w:sz w:val="18"/>
              </w:rPr>
            </w:pPr>
            <w:r>
              <w:rPr>
                <w:rFonts w:ascii="Verdana" w:eastAsia="Verdana" w:hAnsi="Verdana" w:cs="Verdana"/>
                <w:i/>
                <w:noProof/>
                <w:color w:val="000000"/>
                <w:sz w:val="18"/>
              </w:rPr>
              <w:t>Recoverables from non-exchange transactions</w:t>
            </w:r>
          </w:p>
        </w:tc>
        <w:tc>
          <w:tcPr>
            <w:tcW w:w="1687" w:type="dxa"/>
            <w:tcBorders>
              <w:top w:val="nil"/>
              <w:left w:val="nil"/>
              <w:bottom w:val="nil"/>
              <w:right w:val="nil"/>
              <w:tl2br w:val="nil"/>
              <w:tr2bl w:val="nil"/>
            </w:tcBorders>
            <w:tcMar>
              <w:left w:w="60" w:type="dxa"/>
              <w:right w:w="60" w:type="dxa"/>
            </w:tcMar>
            <w:vAlign w:val="center"/>
          </w:tcPr>
          <w:p w14:paraId="07720157" w14:textId="77777777" w:rsidR="00807FFE" w:rsidRDefault="00023E71">
            <w:pPr>
              <w:pStyle w:val="DMETW36745BIPERNER"/>
              <w:jc w:val="center"/>
              <w:rPr>
                <w:rFonts w:ascii="Verdana" w:eastAsia="Verdana" w:hAnsi="Verdana" w:cs="Verdana"/>
                <w:i/>
                <w:noProof/>
                <w:color w:val="000000"/>
                <w:sz w:val="18"/>
              </w:rPr>
            </w:pPr>
            <w:r>
              <w:rPr>
                <w:rFonts w:ascii="Verdana" w:eastAsia="Verdana" w:hAnsi="Verdana" w:cs="Verdana"/>
                <w:i/>
                <w:noProof/>
                <w:color w:val="000000"/>
                <w:sz w:val="18"/>
              </w:rPr>
              <w:t>2.6.1</w:t>
            </w:r>
          </w:p>
        </w:tc>
        <w:tc>
          <w:tcPr>
            <w:tcW w:w="1687" w:type="dxa"/>
            <w:tcBorders>
              <w:top w:val="nil"/>
              <w:left w:val="nil"/>
              <w:bottom w:val="nil"/>
              <w:right w:val="nil"/>
              <w:tl2br w:val="nil"/>
              <w:tr2bl w:val="nil"/>
            </w:tcBorders>
            <w:tcMar>
              <w:left w:w="60" w:type="dxa"/>
              <w:right w:w="60" w:type="dxa"/>
            </w:tcMar>
            <w:vAlign w:val="bottom"/>
          </w:tcPr>
          <w:p w14:paraId="3BAA2399" w14:textId="77777777" w:rsidR="00807FFE" w:rsidRDefault="00023E71">
            <w:pPr>
              <w:pStyle w:val="DMETW36745BIPERNER"/>
              <w:jc w:val="right"/>
              <w:rPr>
                <w:rFonts w:ascii="Verdana" w:eastAsia="Verdana" w:hAnsi="Verdana" w:cs="Verdana"/>
                <w:i/>
                <w:noProof/>
                <w:color w:val="000000"/>
                <w:sz w:val="18"/>
              </w:rPr>
            </w:pPr>
            <w:r>
              <w:rPr>
                <w:rFonts w:ascii="Verdana" w:eastAsia="Verdana" w:hAnsi="Verdana" w:cs="Verdana"/>
                <w:i/>
                <w:noProof/>
                <w:color w:val="000000"/>
                <w:sz w:val="18"/>
              </w:rPr>
              <w:t>10 878</w:t>
            </w:r>
          </w:p>
        </w:tc>
        <w:tc>
          <w:tcPr>
            <w:tcW w:w="1995" w:type="dxa"/>
            <w:tcBorders>
              <w:top w:val="nil"/>
              <w:left w:val="nil"/>
              <w:bottom w:val="nil"/>
              <w:right w:val="nil"/>
              <w:tl2br w:val="nil"/>
              <w:tr2bl w:val="nil"/>
            </w:tcBorders>
            <w:tcMar>
              <w:left w:w="60" w:type="dxa"/>
              <w:right w:w="60" w:type="dxa"/>
            </w:tcMar>
            <w:vAlign w:val="bottom"/>
          </w:tcPr>
          <w:p w14:paraId="092478E1" w14:textId="77777777" w:rsidR="00807FFE" w:rsidRDefault="00023E71">
            <w:pPr>
              <w:pStyle w:val="DMETW36745BIPERNER"/>
              <w:jc w:val="right"/>
              <w:rPr>
                <w:rFonts w:ascii="Verdana" w:eastAsia="Verdana" w:hAnsi="Verdana" w:cs="Verdana"/>
                <w:i/>
                <w:noProof/>
                <w:color w:val="000000"/>
                <w:sz w:val="18"/>
                <w:lang w:bidi="en-GB"/>
              </w:rPr>
            </w:pPr>
            <w:r>
              <w:rPr>
                <w:rFonts w:ascii="Verdana" w:eastAsia="Verdana" w:hAnsi="Verdana" w:cs="Verdana"/>
                <w:i/>
                <w:noProof/>
                <w:color w:val="000000"/>
                <w:sz w:val="18"/>
              </w:rPr>
              <w:t>11 541</w:t>
            </w:r>
          </w:p>
        </w:tc>
      </w:tr>
      <w:tr w:rsidR="00807FFE" w14:paraId="64AA0DBC"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030AEFC4" w14:textId="77777777" w:rsidR="00807FFE" w:rsidRDefault="00023E71">
            <w:pPr>
              <w:pStyle w:val="DMETW36745BIPERNER"/>
              <w:rPr>
                <w:rFonts w:ascii="Verdana" w:eastAsia="Verdana" w:hAnsi="Verdana" w:cs="Verdana"/>
                <w:i/>
                <w:noProof/>
                <w:color w:val="000000"/>
                <w:sz w:val="18"/>
              </w:rPr>
            </w:pPr>
            <w:r>
              <w:rPr>
                <w:rFonts w:ascii="Verdana" w:eastAsia="Verdana" w:hAnsi="Verdana" w:cs="Verdana"/>
                <w:i/>
                <w:noProof/>
                <w:color w:val="000000"/>
                <w:sz w:val="18"/>
              </w:rPr>
              <w:t>Receivables from exchange transactions</w:t>
            </w:r>
          </w:p>
        </w:tc>
        <w:tc>
          <w:tcPr>
            <w:tcW w:w="1687" w:type="dxa"/>
            <w:tcBorders>
              <w:top w:val="nil"/>
              <w:left w:val="nil"/>
              <w:bottom w:val="nil"/>
              <w:right w:val="nil"/>
              <w:tl2br w:val="nil"/>
              <w:tr2bl w:val="nil"/>
            </w:tcBorders>
            <w:tcMar>
              <w:left w:w="60" w:type="dxa"/>
              <w:right w:w="60" w:type="dxa"/>
            </w:tcMar>
            <w:vAlign w:val="center"/>
          </w:tcPr>
          <w:p w14:paraId="559CE4B4" w14:textId="77777777" w:rsidR="00807FFE" w:rsidRDefault="00023E71">
            <w:pPr>
              <w:pStyle w:val="DMETW36745BIPERNER"/>
              <w:jc w:val="center"/>
              <w:rPr>
                <w:rFonts w:ascii="Verdana" w:eastAsia="Verdana" w:hAnsi="Verdana" w:cs="Verdana"/>
                <w:i/>
                <w:noProof/>
                <w:color w:val="000000"/>
                <w:sz w:val="18"/>
              </w:rPr>
            </w:pPr>
            <w:r>
              <w:rPr>
                <w:rFonts w:ascii="Verdana" w:eastAsia="Verdana" w:hAnsi="Verdana" w:cs="Verdana"/>
                <w:i/>
                <w:noProof/>
                <w:color w:val="000000"/>
                <w:sz w:val="18"/>
              </w:rPr>
              <w:t>2.6.2</w:t>
            </w:r>
          </w:p>
        </w:tc>
        <w:tc>
          <w:tcPr>
            <w:tcW w:w="1687" w:type="dxa"/>
            <w:tcBorders>
              <w:top w:val="nil"/>
              <w:left w:val="nil"/>
              <w:bottom w:val="nil"/>
              <w:right w:val="nil"/>
              <w:tl2br w:val="nil"/>
              <w:tr2bl w:val="nil"/>
            </w:tcBorders>
            <w:tcMar>
              <w:left w:w="60" w:type="dxa"/>
              <w:right w:w="60" w:type="dxa"/>
            </w:tcMar>
            <w:vAlign w:val="bottom"/>
          </w:tcPr>
          <w:p w14:paraId="7EFEB790" w14:textId="77777777" w:rsidR="00807FFE" w:rsidRDefault="00023E71">
            <w:pPr>
              <w:pStyle w:val="DMETW36745BIPERNER"/>
              <w:jc w:val="right"/>
              <w:rPr>
                <w:rFonts w:ascii="Verdana" w:eastAsia="Verdana" w:hAnsi="Verdana" w:cs="Verdana"/>
                <w:i/>
                <w:noProof/>
                <w:color w:val="000000"/>
                <w:sz w:val="18"/>
              </w:rPr>
            </w:pPr>
            <w:r>
              <w:rPr>
                <w:rFonts w:ascii="Verdana" w:eastAsia="Verdana" w:hAnsi="Verdana" w:cs="Verdana"/>
                <w:i/>
                <w:noProof/>
                <w:color w:val="000000"/>
                <w:sz w:val="18"/>
              </w:rPr>
              <w:t>1 786</w:t>
            </w:r>
          </w:p>
        </w:tc>
        <w:tc>
          <w:tcPr>
            <w:tcW w:w="1995" w:type="dxa"/>
            <w:tcBorders>
              <w:top w:val="nil"/>
              <w:left w:val="nil"/>
              <w:bottom w:val="nil"/>
              <w:right w:val="nil"/>
              <w:tl2br w:val="nil"/>
              <w:tr2bl w:val="nil"/>
            </w:tcBorders>
            <w:tcMar>
              <w:left w:w="60" w:type="dxa"/>
              <w:right w:w="60" w:type="dxa"/>
            </w:tcMar>
            <w:vAlign w:val="bottom"/>
          </w:tcPr>
          <w:p w14:paraId="0CD50EEB" w14:textId="77777777" w:rsidR="00807FFE" w:rsidRDefault="00023E71">
            <w:pPr>
              <w:pStyle w:val="DMETW36745BIPERNER"/>
              <w:jc w:val="right"/>
              <w:rPr>
                <w:rFonts w:ascii="Verdana" w:eastAsia="Verdana" w:hAnsi="Verdana" w:cs="Verdana"/>
                <w:i/>
                <w:noProof/>
                <w:color w:val="000000"/>
                <w:sz w:val="18"/>
                <w:lang w:bidi="en-GB"/>
              </w:rPr>
            </w:pPr>
            <w:r>
              <w:rPr>
                <w:rFonts w:ascii="Verdana" w:eastAsia="Verdana" w:hAnsi="Verdana" w:cs="Verdana"/>
                <w:i/>
                <w:noProof/>
                <w:color w:val="000000"/>
                <w:sz w:val="18"/>
              </w:rPr>
              <w:t>1 731</w:t>
            </w:r>
          </w:p>
        </w:tc>
      </w:tr>
      <w:tr w:rsidR="00807FFE" w14:paraId="26D777B3" w14:textId="77777777">
        <w:trPr>
          <w:trHeight w:val="255"/>
        </w:trPr>
        <w:tc>
          <w:tcPr>
            <w:tcW w:w="4389" w:type="dxa"/>
            <w:tcBorders>
              <w:top w:val="nil"/>
              <w:left w:val="nil"/>
              <w:bottom w:val="nil"/>
              <w:right w:val="nil"/>
              <w:tl2br w:val="nil"/>
              <w:tr2bl w:val="nil"/>
            </w:tcBorders>
            <w:shd w:val="solid" w:color="CCE1EA" w:fill="FFFFFF"/>
            <w:tcMar>
              <w:left w:w="60" w:type="dxa"/>
              <w:right w:w="60" w:type="dxa"/>
            </w:tcMar>
            <w:vAlign w:val="center"/>
          </w:tcPr>
          <w:p w14:paraId="6ADDC042" w14:textId="77777777" w:rsidR="00807FFE" w:rsidRDefault="00807FFE">
            <w:pPr>
              <w:pStyle w:val="DMETW36745BIPERNER"/>
              <w:rPr>
                <w:rFonts w:ascii="Verdana" w:eastAsia="Verdana" w:hAnsi="Verdana" w:cs="Verdana"/>
                <w:b/>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center"/>
          </w:tcPr>
          <w:p w14:paraId="58259172" w14:textId="77777777" w:rsidR="00807FFE" w:rsidRDefault="00807FFE">
            <w:pPr>
              <w:pStyle w:val="DMETW36745BIPERNER"/>
              <w:jc w:val="center"/>
              <w:rPr>
                <w:rFonts w:ascii="Verdana" w:eastAsia="Verdana" w:hAnsi="Verdana" w:cs="Verdana"/>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bottom"/>
          </w:tcPr>
          <w:p w14:paraId="3449AACA" w14:textId="77777777" w:rsidR="00807FFE" w:rsidRDefault="00023E71">
            <w:pPr>
              <w:pStyle w:val="DMETW36745BIPERNER"/>
              <w:jc w:val="right"/>
              <w:rPr>
                <w:rFonts w:ascii="Verdana" w:eastAsia="Verdana" w:hAnsi="Verdana" w:cs="Verdana"/>
                <w:b/>
                <w:noProof/>
                <w:color w:val="000000"/>
                <w:sz w:val="18"/>
              </w:rPr>
            </w:pPr>
            <w:r>
              <w:rPr>
                <w:rFonts w:ascii="Verdana" w:eastAsia="Verdana" w:hAnsi="Verdana" w:cs="Verdana"/>
                <w:b/>
                <w:noProof/>
                <w:color w:val="000000"/>
                <w:sz w:val="18"/>
              </w:rPr>
              <w:t>12 663</w:t>
            </w:r>
          </w:p>
        </w:tc>
        <w:tc>
          <w:tcPr>
            <w:tcW w:w="1995" w:type="dxa"/>
            <w:tcBorders>
              <w:top w:val="nil"/>
              <w:left w:val="nil"/>
              <w:bottom w:val="nil"/>
              <w:right w:val="nil"/>
              <w:tl2br w:val="nil"/>
              <w:tr2bl w:val="nil"/>
            </w:tcBorders>
            <w:shd w:val="solid" w:color="CCE1EA" w:fill="FFFFFF"/>
            <w:tcMar>
              <w:left w:w="60" w:type="dxa"/>
              <w:right w:w="60" w:type="dxa"/>
            </w:tcMar>
            <w:vAlign w:val="bottom"/>
          </w:tcPr>
          <w:p w14:paraId="0929E233" w14:textId="77777777" w:rsidR="00807FFE" w:rsidRDefault="00023E71">
            <w:pPr>
              <w:pStyle w:val="DMETW36745BIPERNER"/>
              <w:jc w:val="right"/>
              <w:rPr>
                <w:rFonts w:ascii="Verdana" w:eastAsia="Verdana" w:hAnsi="Verdana" w:cs="Verdana"/>
                <w:b/>
                <w:noProof/>
                <w:color w:val="000000"/>
                <w:sz w:val="18"/>
                <w:lang w:bidi="en-GB"/>
              </w:rPr>
            </w:pPr>
            <w:r>
              <w:rPr>
                <w:rFonts w:ascii="Verdana" w:eastAsia="Verdana" w:hAnsi="Verdana" w:cs="Verdana"/>
                <w:b/>
                <w:noProof/>
                <w:color w:val="000000"/>
                <w:sz w:val="18"/>
              </w:rPr>
              <w:t>13 272</w:t>
            </w:r>
          </w:p>
        </w:tc>
      </w:tr>
      <w:tr w:rsidR="00807FFE" w14:paraId="469318D2"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3317D835" w14:textId="77777777" w:rsidR="00807FFE" w:rsidRDefault="00023E71">
            <w:pPr>
              <w:pStyle w:val="DMETW36745BIPERNER"/>
              <w:rPr>
                <w:rFonts w:ascii="Verdana" w:eastAsia="Verdana" w:hAnsi="Verdana" w:cs="Verdana"/>
                <w:b/>
                <w:noProof/>
                <w:color w:val="000000"/>
                <w:sz w:val="18"/>
              </w:rPr>
            </w:pPr>
            <w:r>
              <w:rPr>
                <w:rFonts w:ascii="Verdana" w:eastAsia="Verdana" w:hAnsi="Verdana" w:cs="Verdana"/>
                <w:b/>
                <w:noProof/>
                <w:color w:val="000000"/>
                <w:sz w:val="18"/>
              </w:rPr>
              <w:t>Current</w:t>
            </w:r>
          </w:p>
        </w:tc>
        <w:tc>
          <w:tcPr>
            <w:tcW w:w="1687" w:type="dxa"/>
            <w:tcBorders>
              <w:top w:val="nil"/>
              <w:left w:val="nil"/>
              <w:bottom w:val="nil"/>
              <w:right w:val="nil"/>
              <w:tl2br w:val="nil"/>
              <w:tr2bl w:val="nil"/>
            </w:tcBorders>
            <w:tcMar>
              <w:left w:w="60" w:type="dxa"/>
              <w:right w:w="60" w:type="dxa"/>
            </w:tcMar>
            <w:vAlign w:val="center"/>
          </w:tcPr>
          <w:p w14:paraId="34CE3C5A" w14:textId="77777777" w:rsidR="00807FFE" w:rsidRDefault="00807FFE">
            <w:pPr>
              <w:pStyle w:val="DMETW36745BIPERNER"/>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14:paraId="66EE0D07" w14:textId="77777777" w:rsidR="00807FFE" w:rsidRDefault="00807FFE">
            <w:pPr>
              <w:pStyle w:val="DMETW36745BIPERNER"/>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14:paraId="5576B88F" w14:textId="77777777" w:rsidR="00807FFE" w:rsidRDefault="00807FFE">
            <w:pPr>
              <w:pStyle w:val="DMETW36745BIPERNER"/>
              <w:rPr>
                <w:rFonts w:ascii="Verdana" w:eastAsia="Verdana" w:hAnsi="Verdana" w:cs="Verdana"/>
                <w:b/>
                <w:noProof/>
                <w:color w:val="000000"/>
                <w:sz w:val="18"/>
                <w:lang w:bidi="en-GB"/>
              </w:rPr>
            </w:pPr>
          </w:p>
        </w:tc>
      </w:tr>
      <w:tr w:rsidR="00807FFE" w14:paraId="57114C95"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142C0616" w14:textId="77777777" w:rsidR="00807FFE" w:rsidRDefault="00023E71">
            <w:pPr>
              <w:pStyle w:val="DMETW36745BIPERNER"/>
              <w:rPr>
                <w:rFonts w:ascii="Verdana" w:eastAsia="Verdana" w:hAnsi="Verdana" w:cs="Verdana"/>
                <w:i/>
                <w:noProof/>
                <w:color w:val="000000"/>
                <w:sz w:val="18"/>
              </w:rPr>
            </w:pPr>
            <w:r>
              <w:rPr>
                <w:rFonts w:ascii="Verdana" w:eastAsia="Verdana" w:hAnsi="Verdana" w:cs="Verdana"/>
                <w:i/>
                <w:noProof/>
                <w:color w:val="000000"/>
                <w:sz w:val="18"/>
              </w:rPr>
              <w:t>Recoverables from non-exchange transactions</w:t>
            </w:r>
          </w:p>
        </w:tc>
        <w:tc>
          <w:tcPr>
            <w:tcW w:w="1687" w:type="dxa"/>
            <w:tcBorders>
              <w:top w:val="nil"/>
              <w:left w:val="nil"/>
              <w:bottom w:val="nil"/>
              <w:right w:val="nil"/>
              <w:tl2br w:val="nil"/>
              <w:tr2bl w:val="nil"/>
            </w:tcBorders>
            <w:tcMar>
              <w:left w:w="60" w:type="dxa"/>
              <w:right w:w="60" w:type="dxa"/>
            </w:tcMar>
            <w:vAlign w:val="center"/>
          </w:tcPr>
          <w:p w14:paraId="77F22CA4" w14:textId="77777777" w:rsidR="00807FFE" w:rsidRDefault="00023E71">
            <w:pPr>
              <w:pStyle w:val="DMETW36745BIPERNER"/>
              <w:jc w:val="center"/>
              <w:rPr>
                <w:rFonts w:ascii="Verdana" w:eastAsia="Verdana" w:hAnsi="Verdana" w:cs="Verdana"/>
                <w:i/>
                <w:noProof/>
                <w:color w:val="000000"/>
                <w:sz w:val="18"/>
              </w:rPr>
            </w:pPr>
            <w:r>
              <w:rPr>
                <w:rFonts w:ascii="Verdana" w:eastAsia="Verdana" w:hAnsi="Verdana" w:cs="Verdana"/>
                <w:i/>
                <w:noProof/>
                <w:color w:val="000000"/>
                <w:sz w:val="18"/>
              </w:rPr>
              <w:t>2.6.1</w:t>
            </w:r>
          </w:p>
        </w:tc>
        <w:tc>
          <w:tcPr>
            <w:tcW w:w="1687" w:type="dxa"/>
            <w:tcBorders>
              <w:top w:val="nil"/>
              <w:left w:val="nil"/>
              <w:bottom w:val="nil"/>
              <w:right w:val="nil"/>
              <w:tl2br w:val="nil"/>
              <w:tr2bl w:val="nil"/>
            </w:tcBorders>
            <w:tcMar>
              <w:left w:w="60" w:type="dxa"/>
              <w:right w:w="60" w:type="dxa"/>
            </w:tcMar>
            <w:vAlign w:val="bottom"/>
          </w:tcPr>
          <w:p w14:paraId="20A787B1" w14:textId="77777777" w:rsidR="00807FFE" w:rsidRDefault="00023E71">
            <w:pPr>
              <w:pStyle w:val="DMETW36745BIPERNER"/>
              <w:jc w:val="right"/>
              <w:rPr>
                <w:rFonts w:ascii="Verdana" w:eastAsia="Verdana" w:hAnsi="Verdana" w:cs="Verdana"/>
                <w:i/>
                <w:noProof/>
                <w:color w:val="000000"/>
                <w:sz w:val="18"/>
              </w:rPr>
            </w:pPr>
            <w:r>
              <w:rPr>
                <w:rFonts w:ascii="Verdana" w:eastAsia="Verdana" w:hAnsi="Verdana" w:cs="Verdana"/>
                <w:i/>
                <w:noProof/>
                <w:color w:val="000000"/>
                <w:sz w:val="18"/>
              </w:rPr>
              <w:t>18 952</w:t>
            </w:r>
          </w:p>
        </w:tc>
        <w:tc>
          <w:tcPr>
            <w:tcW w:w="1995" w:type="dxa"/>
            <w:tcBorders>
              <w:top w:val="nil"/>
              <w:left w:val="nil"/>
              <w:bottom w:val="nil"/>
              <w:right w:val="nil"/>
              <w:tl2br w:val="nil"/>
              <w:tr2bl w:val="nil"/>
            </w:tcBorders>
            <w:tcMar>
              <w:left w:w="60" w:type="dxa"/>
              <w:right w:w="60" w:type="dxa"/>
            </w:tcMar>
            <w:vAlign w:val="bottom"/>
          </w:tcPr>
          <w:p w14:paraId="560D4B5F" w14:textId="77777777" w:rsidR="00807FFE" w:rsidRDefault="00023E71">
            <w:pPr>
              <w:pStyle w:val="DMETW36745BIPERNER"/>
              <w:jc w:val="right"/>
              <w:rPr>
                <w:rFonts w:ascii="Verdana" w:eastAsia="Verdana" w:hAnsi="Verdana" w:cs="Verdana"/>
                <w:i/>
                <w:noProof/>
                <w:color w:val="000000"/>
                <w:sz w:val="18"/>
                <w:lang w:bidi="en-GB"/>
              </w:rPr>
            </w:pPr>
            <w:r>
              <w:rPr>
                <w:rFonts w:ascii="Verdana" w:eastAsia="Verdana" w:hAnsi="Verdana" w:cs="Verdana"/>
                <w:i/>
                <w:noProof/>
                <w:color w:val="000000"/>
                <w:sz w:val="18"/>
              </w:rPr>
              <w:t>16 529</w:t>
            </w:r>
          </w:p>
        </w:tc>
      </w:tr>
      <w:tr w:rsidR="00807FFE" w14:paraId="79857D45"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4DB3DE7F" w14:textId="77777777" w:rsidR="00807FFE" w:rsidRDefault="00023E71">
            <w:pPr>
              <w:pStyle w:val="DMETW36745BIPERNER"/>
              <w:rPr>
                <w:rFonts w:ascii="Verdana" w:eastAsia="Verdana" w:hAnsi="Verdana" w:cs="Verdana"/>
                <w:i/>
                <w:noProof/>
                <w:color w:val="000000"/>
                <w:sz w:val="18"/>
              </w:rPr>
            </w:pPr>
            <w:r>
              <w:rPr>
                <w:rFonts w:ascii="Verdana" w:eastAsia="Verdana" w:hAnsi="Verdana" w:cs="Verdana"/>
                <w:i/>
                <w:noProof/>
                <w:color w:val="000000"/>
                <w:sz w:val="18"/>
              </w:rPr>
              <w:t>Receivables from exchange transactions</w:t>
            </w:r>
          </w:p>
        </w:tc>
        <w:tc>
          <w:tcPr>
            <w:tcW w:w="1687" w:type="dxa"/>
            <w:tcBorders>
              <w:top w:val="nil"/>
              <w:left w:val="nil"/>
              <w:bottom w:val="nil"/>
              <w:right w:val="nil"/>
              <w:tl2br w:val="nil"/>
              <w:tr2bl w:val="nil"/>
            </w:tcBorders>
            <w:tcMar>
              <w:left w:w="60" w:type="dxa"/>
              <w:right w:w="60" w:type="dxa"/>
            </w:tcMar>
            <w:vAlign w:val="center"/>
          </w:tcPr>
          <w:p w14:paraId="086B9D56" w14:textId="77777777" w:rsidR="00807FFE" w:rsidRDefault="00023E71">
            <w:pPr>
              <w:pStyle w:val="DMETW36745BIPERNER"/>
              <w:jc w:val="center"/>
              <w:rPr>
                <w:rFonts w:ascii="Verdana" w:eastAsia="Verdana" w:hAnsi="Verdana" w:cs="Verdana"/>
                <w:i/>
                <w:noProof/>
                <w:color w:val="000000"/>
                <w:sz w:val="18"/>
              </w:rPr>
            </w:pPr>
            <w:r>
              <w:rPr>
                <w:rFonts w:ascii="Verdana" w:eastAsia="Verdana" w:hAnsi="Verdana" w:cs="Verdana"/>
                <w:i/>
                <w:noProof/>
                <w:color w:val="000000"/>
                <w:sz w:val="18"/>
              </w:rPr>
              <w:t>2.6.2</w:t>
            </w:r>
          </w:p>
        </w:tc>
        <w:tc>
          <w:tcPr>
            <w:tcW w:w="1687" w:type="dxa"/>
            <w:tcBorders>
              <w:top w:val="nil"/>
              <w:left w:val="nil"/>
              <w:bottom w:val="nil"/>
              <w:right w:val="nil"/>
              <w:tl2br w:val="nil"/>
              <w:tr2bl w:val="nil"/>
            </w:tcBorders>
            <w:tcMar>
              <w:left w:w="60" w:type="dxa"/>
              <w:right w:w="60" w:type="dxa"/>
            </w:tcMar>
            <w:vAlign w:val="bottom"/>
          </w:tcPr>
          <w:p w14:paraId="237F8EA3" w14:textId="77777777" w:rsidR="00807FFE" w:rsidRDefault="00023E71">
            <w:pPr>
              <w:pStyle w:val="DMETW36745BIPERNER"/>
              <w:jc w:val="right"/>
              <w:rPr>
                <w:rFonts w:ascii="Verdana" w:eastAsia="Verdana" w:hAnsi="Verdana" w:cs="Verdana"/>
                <w:i/>
                <w:noProof/>
                <w:color w:val="000000"/>
                <w:sz w:val="18"/>
              </w:rPr>
            </w:pPr>
            <w:r>
              <w:rPr>
                <w:rFonts w:ascii="Verdana" w:eastAsia="Verdana" w:hAnsi="Verdana" w:cs="Verdana"/>
                <w:i/>
                <w:noProof/>
                <w:color w:val="000000"/>
                <w:sz w:val="18"/>
              </w:rPr>
              <w:t>2 452</w:t>
            </w:r>
          </w:p>
        </w:tc>
        <w:tc>
          <w:tcPr>
            <w:tcW w:w="1995" w:type="dxa"/>
            <w:tcBorders>
              <w:top w:val="nil"/>
              <w:left w:val="nil"/>
              <w:bottom w:val="nil"/>
              <w:right w:val="nil"/>
              <w:tl2br w:val="nil"/>
              <w:tr2bl w:val="nil"/>
            </w:tcBorders>
            <w:tcMar>
              <w:left w:w="60" w:type="dxa"/>
              <w:right w:w="60" w:type="dxa"/>
            </w:tcMar>
            <w:vAlign w:val="bottom"/>
          </w:tcPr>
          <w:p w14:paraId="6F8FC500" w14:textId="77777777" w:rsidR="00807FFE" w:rsidRDefault="00023E71">
            <w:pPr>
              <w:pStyle w:val="DMETW36745BIPERNER"/>
              <w:jc w:val="right"/>
              <w:rPr>
                <w:rFonts w:ascii="Verdana" w:eastAsia="Verdana" w:hAnsi="Verdana" w:cs="Verdana"/>
                <w:i/>
                <w:noProof/>
                <w:color w:val="000000"/>
                <w:sz w:val="18"/>
                <w:lang w:bidi="en-GB"/>
              </w:rPr>
            </w:pPr>
            <w:r>
              <w:rPr>
                <w:rFonts w:ascii="Verdana" w:eastAsia="Verdana" w:hAnsi="Verdana" w:cs="Verdana"/>
                <w:i/>
                <w:noProof/>
                <w:color w:val="000000"/>
                <w:sz w:val="18"/>
              </w:rPr>
              <w:t>1 936</w:t>
            </w:r>
          </w:p>
        </w:tc>
      </w:tr>
      <w:tr w:rsidR="00807FFE" w14:paraId="29A9349B" w14:textId="77777777">
        <w:trPr>
          <w:trHeight w:val="255"/>
        </w:trPr>
        <w:tc>
          <w:tcPr>
            <w:tcW w:w="4389" w:type="dxa"/>
            <w:tcBorders>
              <w:top w:val="nil"/>
              <w:left w:val="nil"/>
              <w:bottom w:val="nil"/>
              <w:right w:val="nil"/>
              <w:tl2br w:val="nil"/>
              <w:tr2bl w:val="nil"/>
            </w:tcBorders>
            <w:shd w:val="solid" w:color="CCE1EA" w:fill="FFFFFF"/>
            <w:tcMar>
              <w:left w:w="60" w:type="dxa"/>
              <w:right w:w="60" w:type="dxa"/>
            </w:tcMar>
            <w:vAlign w:val="center"/>
          </w:tcPr>
          <w:p w14:paraId="1123AC0B" w14:textId="77777777" w:rsidR="00807FFE" w:rsidRDefault="00807FFE">
            <w:pPr>
              <w:pStyle w:val="DMETW36745BIPERNER"/>
              <w:rPr>
                <w:rFonts w:ascii="Verdana" w:eastAsia="Verdana" w:hAnsi="Verdana" w:cs="Verdana"/>
                <w:b/>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center"/>
          </w:tcPr>
          <w:p w14:paraId="208BCBBC" w14:textId="77777777" w:rsidR="00807FFE" w:rsidRDefault="00807FFE">
            <w:pPr>
              <w:pStyle w:val="DMETW36745BIPERNER"/>
              <w:jc w:val="center"/>
              <w:rPr>
                <w:rFonts w:ascii="Verdana" w:eastAsia="Verdana" w:hAnsi="Verdana" w:cs="Verdana"/>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bottom"/>
          </w:tcPr>
          <w:p w14:paraId="2E13A571" w14:textId="77777777" w:rsidR="00807FFE" w:rsidRDefault="00023E71">
            <w:pPr>
              <w:pStyle w:val="DMETW36745BIPERNER"/>
              <w:jc w:val="right"/>
              <w:rPr>
                <w:rFonts w:ascii="Verdana" w:eastAsia="Verdana" w:hAnsi="Verdana" w:cs="Verdana"/>
                <w:b/>
                <w:noProof/>
                <w:color w:val="000000"/>
                <w:sz w:val="18"/>
              </w:rPr>
            </w:pPr>
            <w:r>
              <w:rPr>
                <w:rFonts w:ascii="Verdana" w:eastAsia="Verdana" w:hAnsi="Verdana" w:cs="Verdana"/>
                <w:b/>
                <w:noProof/>
                <w:color w:val="000000"/>
                <w:sz w:val="18"/>
              </w:rPr>
              <w:t>21 404</w:t>
            </w:r>
          </w:p>
        </w:tc>
        <w:tc>
          <w:tcPr>
            <w:tcW w:w="1995" w:type="dxa"/>
            <w:tcBorders>
              <w:top w:val="nil"/>
              <w:left w:val="nil"/>
              <w:bottom w:val="nil"/>
              <w:right w:val="nil"/>
              <w:tl2br w:val="nil"/>
              <w:tr2bl w:val="nil"/>
            </w:tcBorders>
            <w:shd w:val="solid" w:color="CCE1EA" w:fill="FFFFFF"/>
            <w:tcMar>
              <w:left w:w="60" w:type="dxa"/>
              <w:right w:w="60" w:type="dxa"/>
            </w:tcMar>
            <w:vAlign w:val="bottom"/>
          </w:tcPr>
          <w:p w14:paraId="42BEB817" w14:textId="77777777" w:rsidR="00807FFE" w:rsidRDefault="00023E71">
            <w:pPr>
              <w:pStyle w:val="DMETW36745BIPERNER"/>
              <w:jc w:val="right"/>
              <w:rPr>
                <w:rFonts w:ascii="Verdana" w:eastAsia="Verdana" w:hAnsi="Verdana" w:cs="Verdana"/>
                <w:b/>
                <w:noProof/>
                <w:color w:val="000000"/>
                <w:sz w:val="18"/>
                <w:lang w:bidi="en-GB"/>
              </w:rPr>
            </w:pPr>
            <w:r>
              <w:rPr>
                <w:rFonts w:ascii="Verdana" w:eastAsia="Verdana" w:hAnsi="Verdana" w:cs="Verdana"/>
                <w:b/>
                <w:noProof/>
                <w:color w:val="000000"/>
                <w:sz w:val="18"/>
              </w:rPr>
              <w:t>18 465</w:t>
            </w:r>
          </w:p>
        </w:tc>
      </w:tr>
      <w:tr w:rsidR="00807FFE" w14:paraId="60FE6BCD" w14:textId="77777777">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14:paraId="5B53E783" w14:textId="77777777" w:rsidR="00807FFE" w:rsidRDefault="00023E71">
            <w:pPr>
              <w:pStyle w:val="DMETW36745BIPERNER"/>
              <w:rPr>
                <w:rFonts w:ascii="Verdana" w:eastAsia="Verdana" w:hAnsi="Verdana" w:cs="Verdana"/>
                <w:b/>
                <w:noProof/>
                <w:color w:val="000000"/>
                <w:sz w:val="18"/>
              </w:rPr>
            </w:pPr>
            <w:r>
              <w:rPr>
                <w:rFonts w:ascii="Verdana" w:eastAsia="Verdana" w:hAnsi="Verdana" w:cs="Verdana"/>
                <w:b/>
                <w:noProof/>
                <w:color w:val="000000"/>
                <w:sz w:val="18"/>
              </w:rPr>
              <w:t>Total</w:t>
            </w:r>
          </w:p>
        </w:tc>
        <w:tc>
          <w:tcPr>
            <w:tcW w:w="1687" w:type="dxa"/>
            <w:tcBorders>
              <w:top w:val="nil"/>
              <w:left w:val="nil"/>
              <w:bottom w:val="single" w:sz="4" w:space="0" w:color="016794"/>
              <w:right w:val="nil"/>
              <w:tl2br w:val="nil"/>
              <w:tr2bl w:val="nil"/>
            </w:tcBorders>
            <w:tcMar>
              <w:left w:w="60" w:type="dxa"/>
              <w:right w:w="60" w:type="dxa"/>
            </w:tcMar>
            <w:vAlign w:val="center"/>
          </w:tcPr>
          <w:p w14:paraId="3CE57830" w14:textId="77777777" w:rsidR="00807FFE" w:rsidRDefault="00807FFE">
            <w:pPr>
              <w:pStyle w:val="DMETW36745BIPERNER"/>
              <w:jc w:val="center"/>
              <w:rPr>
                <w:rFonts w:ascii="Verdana" w:eastAsia="Verdana" w:hAnsi="Verdana" w:cs="Verdana"/>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14:paraId="4A409CFB" w14:textId="77777777" w:rsidR="00807FFE" w:rsidRDefault="00023E71">
            <w:pPr>
              <w:pStyle w:val="DMETW36745BIPERNER"/>
              <w:jc w:val="right"/>
              <w:rPr>
                <w:rFonts w:ascii="Verdana" w:eastAsia="Verdana" w:hAnsi="Verdana" w:cs="Verdana"/>
                <w:b/>
                <w:noProof/>
                <w:color w:val="000000"/>
                <w:sz w:val="18"/>
              </w:rPr>
            </w:pPr>
            <w:r>
              <w:rPr>
                <w:rFonts w:ascii="Verdana" w:eastAsia="Verdana" w:hAnsi="Verdana" w:cs="Verdana"/>
                <w:b/>
                <w:noProof/>
                <w:color w:val="000000"/>
                <w:sz w:val="18"/>
              </w:rPr>
              <w:t>34 068</w:t>
            </w:r>
          </w:p>
        </w:tc>
        <w:tc>
          <w:tcPr>
            <w:tcW w:w="1995" w:type="dxa"/>
            <w:tcBorders>
              <w:top w:val="nil"/>
              <w:left w:val="nil"/>
              <w:bottom w:val="single" w:sz="4" w:space="0" w:color="016794"/>
              <w:right w:val="nil"/>
              <w:tl2br w:val="nil"/>
              <w:tr2bl w:val="nil"/>
            </w:tcBorders>
            <w:tcMar>
              <w:left w:w="60" w:type="dxa"/>
              <w:right w:w="60" w:type="dxa"/>
            </w:tcMar>
            <w:vAlign w:val="bottom"/>
          </w:tcPr>
          <w:p w14:paraId="2BD33754" w14:textId="77777777" w:rsidR="00807FFE" w:rsidRDefault="00023E71">
            <w:pPr>
              <w:pStyle w:val="DMETW36745BIPERNER"/>
              <w:jc w:val="right"/>
              <w:rPr>
                <w:rFonts w:ascii="Verdana" w:eastAsia="Verdana" w:hAnsi="Verdana" w:cs="Verdana"/>
                <w:b/>
                <w:noProof/>
                <w:color w:val="000000"/>
                <w:sz w:val="18"/>
              </w:rPr>
            </w:pPr>
            <w:r>
              <w:rPr>
                <w:rFonts w:ascii="Verdana" w:eastAsia="Verdana" w:hAnsi="Verdana" w:cs="Verdana"/>
                <w:b/>
                <w:noProof/>
                <w:color w:val="000000"/>
                <w:sz w:val="18"/>
              </w:rPr>
              <w:t>31 736</w:t>
            </w:r>
          </w:p>
        </w:tc>
      </w:tr>
    </w:tbl>
    <w:p w14:paraId="486481AB" w14:textId="77777777" w:rsidR="00324012" w:rsidRDefault="00023E71" w:rsidP="00F52BB5">
      <w:pPr>
        <w:pStyle w:val="HEADER3NOTES"/>
        <w:numPr>
          <w:ilvl w:val="2"/>
          <w:numId w:val="15"/>
        </w:numPr>
        <w:spacing w:after="120"/>
        <w:rPr>
          <w:noProof/>
        </w:rPr>
      </w:pPr>
      <w:r w:rsidRPr="007A13F2">
        <w:rPr>
          <w:noProof/>
        </w:rPr>
        <w:t>Recoverables from non-exchange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687"/>
        <w:gridCol w:w="1687"/>
        <w:gridCol w:w="1995"/>
      </w:tblGrid>
      <w:tr w:rsidR="00807FFE" w14:paraId="54CE1E69"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52CF4D98" w14:textId="77777777" w:rsidR="00807FFE" w:rsidRDefault="00807FFE">
            <w:pPr>
              <w:pStyle w:val="DMETW36745BIPRNET"/>
              <w:rPr>
                <w:rFonts w:ascii="Verdana" w:eastAsia="Verdana" w:hAnsi="Verdana" w:cs="Verdana"/>
                <w:i/>
                <w:noProof/>
                <w:color w:val="FFFFFF"/>
                <w:sz w:val="16"/>
                <w:lang w:bidi="en-GB"/>
              </w:rPr>
            </w:pPr>
            <w:bookmarkStart w:id="124" w:name="DOC_TBL00031_1_1"/>
            <w:bookmarkEnd w:id="124"/>
          </w:p>
        </w:tc>
        <w:tc>
          <w:tcPr>
            <w:tcW w:w="1687" w:type="dxa"/>
            <w:tcBorders>
              <w:top w:val="nil"/>
              <w:left w:val="nil"/>
              <w:bottom w:val="nil"/>
              <w:right w:val="nil"/>
              <w:tl2br w:val="nil"/>
              <w:tr2bl w:val="nil"/>
            </w:tcBorders>
            <w:tcMar>
              <w:left w:w="60" w:type="dxa"/>
              <w:right w:w="60" w:type="dxa"/>
            </w:tcMar>
            <w:vAlign w:val="bottom"/>
          </w:tcPr>
          <w:p w14:paraId="75E09D34" w14:textId="77777777" w:rsidR="00807FFE" w:rsidRDefault="00807FFE">
            <w:pPr>
              <w:pStyle w:val="DMETW36745BIPRNET"/>
              <w:rPr>
                <w:rFonts w:ascii="Arial" w:eastAsia="Arial" w:hAnsi="Arial" w:cs="Arial"/>
                <w:noProof/>
                <w:color w:val="000000"/>
              </w:rPr>
            </w:pPr>
          </w:p>
        </w:tc>
        <w:tc>
          <w:tcPr>
            <w:tcW w:w="1687" w:type="dxa"/>
            <w:tcBorders>
              <w:top w:val="nil"/>
              <w:left w:val="nil"/>
              <w:bottom w:val="nil"/>
              <w:right w:val="nil"/>
              <w:tl2br w:val="nil"/>
              <w:tr2bl w:val="nil"/>
            </w:tcBorders>
            <w:tcMar>
              <w:left w:w="60" w:type="dxa"/>
              <w:right w:w="60" w:type="dxa"/>
            </w:tcMar>
            <w:vAlign w:val="bottom"/>
          </w:tcPr>
          <w:p w14:paraId="44FBBDB0" w14:textId="77777777" w:rsidR="00807FFE" w:rsidRDefault="00807FFE">
            <w:pPr>
              <w:pStyle w:val="DMETW36745BIPRNET"/>
              <w:rPr>
                <w:rFonts w:ascii="Arial" w:eastAsia="Arial" w:hAnsi="Arial" w:cs="Arial"/>
                <w:noProof/>
                <w:color w:val="000000"/>
              </w:rPr>
            </w:pPr>
          </w:p>
        </w:tc>
        <w:tc>
          <w:tcPr>
            <w:tcW w:w="1995" w:type="dxa"/>
            <w:tcBorders>
              <w:top w:val="nil"/>
              <w:left w:val="nil"/>
              <w:bottom w:val="nil"/>
              <w:right w:val="nil"/>
              <w:tl2br w:val="nil"/>
              <w:tr2bl w:val="nil"/>
            </w:tcBorders>
            <w:tcMar>
              <w:left w:w="60" w:type="dxa"/>
              <w:right w:w="60" w:type="dxa"/>
            </w:tcMar>
            <w:vAlign w:val="bottom"/>
          </w:tcPr>
          <w:p w14:paraId="08A8F510" w14:textId="77777777" w:rsidR="00807FFE" w:rsidRDefault="00023E71">
            <w:pPr>
              <w:pStyle w:val="DMETW36745BIPRNET"/>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52F7BA9" w14:textId="77777777">
        <w:trPr>
          <w:trHeight w:val="255"/>
        </w:trPr>
        <w:tc>
          <w:tcPr>
            <w:tcW w:w="4389" w:type="dxa"/>
            <w:tcBorders>
              <w:top w:val="nil"/>
              <w:left w:val="nil"/>
              <w:bottom w:val="nil"/>
              <w:right w:val="nil"/>
              <w:tl2br w:val="nil"/>
              <w:tr2bl w:val="nil"/>
            </w:tcBorders>
            <w:shd w:val="solid" w:color="016794" w:fill="FFFFFF"/>
            <w:tcMar>
              <w:left w:w="60" w:type="dxa"/>
              <w:right w:w="60" w:type="dxa"/>
            </w:tcMar>
            <w:vAlign w:val="center"/>
          </w:tcPr>
          <w:p w14:paraId="02717372" w14:textId="77777777" w:rsidR="00807FFE" w:rsidRDefault="00807FFE">
            <w:pPr>
              <w:pStyle w:val="DMETW36745BIPRNET"/>
              <w:rPr>
                <w:rFonts w:ascii="Verdana" w:eastAsia="Verdana" w:hAnsi="Verdana" w:cs="Verdana"/>
                <w:noProof/>
                <w:color w:val="FFFFFF"/>
              </w:rPr>
            </w:pPr>
          </w:p>
        </w:tc>
        <w:tc>
          <w:tcPr>
            <w:tcW w:w="1687" w:type="dxa"/>
            <w:tcBorders>
              <w:top w:val="nil"/>
              <w:left w:val="nil"/>
              <w:bottom w:val="nil"/>
              <w:right w:val="nil"/>
              <w:tl2br w:val="nil"/>
              <w:tr2bl w:val="nil"/>
            </w:tcBorders>
            <w:shd w:val="solid" w:color="016794" w:fill="FFFFFF"/>
            <w:tcMar>
              <w:left w:w="60" w:type="dxa"/>
              <w:right w:w="60" w:type="dxa"/>
            </w:tcMar>
            <w:vAlign w:val="center"/>
          </w:tcPr>
          <w:p w14:paraId="556692F6" w14:textId="77777777" w:rsidR="00807FFE" w:rsidRDefault="00023E71">
            <w:pPr>
              <w:pStyle w:val="DMETW36745BIPRNET"/>
              <w:jc w:val="center"/>
              <w:rPr>
                <w:rFonts w:ascii="Verdana" w:eastAsia="Verdana" w:hAnsi="Verdana" w:cs="Verdana"/>
                <w:noProof/>
                <w:color w:val="FFFFFF"/>
              </w:rPr>
            </w:pPr>
            <w:r>
              <w:rPr>
                <w:rFonts w:ascii="Verdana" w:eastAsia="Verdana" w:hAnsi="Verdana" w:cs="Verdana"/>
                <w:noProof/>
                <w:color w:val="FFFFFF"/>
              </w:rPr>
              <w:t>Note</w:t>
            </w:r>
          </w:p>
        </w:tc>
        <w:tc>
          <w:tcPr>
            <w:tcW w:w="1687" w:type="dxa"/>
            <w:tcBorders>
              <w:top w:val="nil"/>
              <w:left w:val="nil"/>
              <w:bottom w:val="nil"/>
              <w:right w:val="nil"/>
              <w:tl2br w:val="nil"/>
              <w:tr2bl w:val="nil"/>
            </w:tcBorders>
            <w:shd w:val="solid" w:color="016794" w:fill="FFFFFF"/>
            <w:tcMar>
              <w:left w:w="60" w:type="dxa"/>
              <w:right w:w="60" w:type="dxa"/>
            </w:tcMar>
            <w:vAlign w:val="center"/>
          </w:tcPr>
          <w:p w14:paraId="5B20CA33" w14:textId="77777777" w:rsidR="00807FFE" w:rsidRDefault="00023E71">
            <w:pPr>
              <w:pStyle w:val="DMETW36745BIPRNET"/>
              <w:jc w:val="right"/>
              <w:rPr>
                <w:rFonts w:ascii="Verdana" w:eastAsia="Verdana" w:hAnsi="Verdana" w:cs="Verdana"/>
                <w:noProof/>
                <w:color w:val="FFFFFF"/>
              </w:rPr>
            </w:pPr>
            <w:r>
              <w:rPr>
                <w:rFonts w:ascii="Verdana" w:eastAsia="Verdana" w:hAnsi="Verdana" w:cs="Verdana"/>
                <w:noProof/>
                <w:color w:val="FFFFFF"/>
              </w:rPr>
              <w:t>31.12.2025</w:t>
            </w:r>
          </w:p>
        </w:tc>
        <w:tc>
          <w:tcPr>
            <w:tcW w:w="1995" w:type="dxa"/>
            <w:tcBorders>
              <w:top w:val="nil"/>
              <w:left w:val="nil"/>
              <w:bottom w:val="nil"/>
              <w:right w:val="nil"/>
              <w:tl2br w:val="nil"/>
              <w:tr2bl w:val="nil"/>
            </w:tcBorders>
            <w:shd w:val="solid" w:color="016794" w:fill="FFFFFF"/>
            <w:tcMar>
              <w:left w:w="60" w:type="dxa"/>
              <w:right w:w="60" w:type="dxa"/>
            </w:tcMar>
            <w:vAlign w:val="center"/>
          </w:tcPr>
          <w:p w14:paraId="13F9E76A" w14:textId="77777777" w:rsidR="00807FFE" w:rsidRDefault="00023E71">
            <w:pPr>
              <w:pStyle w:val="DMETW36745BIPRNET"/>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534CEFF6"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39A7FE67" w14:textId="77777777" w:rsidR="00807FFE" w:rsidRDefault="00023E71">
            <w:pPr>
              <w:pStyle w:val="DMETW36745BIPRNET"/>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1687" w:type="dxa"/>
            <w:tcBorders>
              <w:top w:val="nil"/>
              <w:left w:val="nil"/>
              <w:bottom w:val="nil"/>
              <w:right w:val="nil"/>
              <w:tl2br w:val="nil"/>
              <w:tr2bl w:val="nil"/>
            </w:tcBorders>
            <w:tcMar>
              <w:left w:w="60" w:type="dxa"/>
              <w:right w:w="60" w:type="dxa"/>
            </w:tcMar>
            <w:vAlign w:val="center"/>
          </w:tcPr>
          <w:p w14:paraId="7CD78091" w14:textId="77777777" w:rsidR="00807FFE" w:rsidRDefault="00807FFE">
            <w:pPr>
              <w:pStyle w:val="DMETW36745BIPRNET"/>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14:paraId="726C41FE" w14:textId="77777777" w:rsidR="00807FFE" w:rsidRDefault="00807FFE">
            <w:pPr>
              <w:pStyle w:val="DMETW36745BIPRNET"/>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14:paraId="3E2CAF46" w14:textId="77777777" w:rsidR="00807FFE" w:rsidRDefault="00807FFE">
            <w:pPr>
              <w:pStyle w:val="DMETW36745BIPRNET"/>
              <w:rPr>
                <w:rFonts w:ascii="Verdana" w:eastAsia="Verdana" w:hAnsi="Verdana" w:cs="Verdana"/>
                <w:b/>
                <w:noProof/>
                <w:color w:val="000000"/>
                <w:sz w:val="18"/>
                <w:lang w:bidi="en-GB"/>
              </w:rPr>
            </w:pPr>
          </w:p>
        </w:tc>
      </w:tr>
      <w:tr w:rsidR="00807FFE" w14:paraId="35DD5FC6"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499EA0E9"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Member States</w:t>
            </w:r>
          </w:p>
        </w:tc>
        <w:tc>
          <w:tcPr>
            <w:tcW w:w="1687" w:type="dxa"/>
            <w:tcBorders>
              <w:top w:val="nil"/>
              <w:left w:val="nil"/>
              <w:bottom w:val="nil"/>
              <w:right w:val="nil"/>
              <w:tl2br w:val="nil"/>
              <w:tr2bl w:val="nil"/>
            </w:tcBorders>
            <w:tcMar>
              <w:left w:w="60" w:type="dxa"/>
              <w:right w:w="60" w:type="dxa"/>
            </w:tcMar>
            <w:vAlign w:val="center"/>
          </w:tcPr>
          <w:p w14:paraId="658FDDBD" w14:textId="77777777" w:rsidR="00807FFE" w:rsidRDefault="00023E71">
            <w:pPr>
              <w:pStyle w:val="DMETW36745BIPRNET"/>
              <w:jc w:val="center"/>
              <w:rPr>
                <w:rFonts w:ascii="Verdana" w:eastAsia="Verdana" w:hAnsi="Verdana" w:cs="Verdana"/>
                <w:i/>
                <w:noProof/>
                <w:color w:val="000000"/>
                <w:sz w:val="18"/>
              </w:rPr>
            </w:pPr>
            <w:r>
              <w:rPr>
                <w:rFonts w:ascii="Verdana" w:eastAsia="Verdana" w:hAnsi="Verdana" w:cs="Verdana"/>
                <w:i/>
                <w:noProof/>
                <w:color w:val="000000"/>
                <w:sz w:val="18"/>
              </w:rPr>
              <w:t>2.6.1.1</w:t>
            </w:r>
          </w:p>
        </w:tc>
        <w:tc>
          <w:tcPr>
            <w:tcW w:w="1687" w:type="dxa"/>
            <w:tcBorders>
              <w:top w:val="nil"/>
              <w:left w:val="nil"/>
              <w:bottom w:val="nil"/>
              <w:right w:val="nil"/>
              <w:tl2br w:val="nil"/>
              <w:tr2bl w:val="nil"/>
            </w:tcBorders>
            <w:tcMar>
              <w:left w:w="60" w:type="dxa"/>
              <w:right w:w="60" w:type="dxa"/>
            </w:tcMar>
            <w:vAlign w:val="bottom"/>
          </w:tcPr>
          <w:p w14:paraId="5B3A865B"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597</w:t>
            </w:r>
          </w:p>
        </w:tc>
        <w:tc>
          <w:tcPr>
            <w:tcW w:w="1995" w:type="dxa"/>
            <w:tcBorders>
              <w:top w:val="nil"/>
              <w:left w:val="nil"/>
              <w:bottom w:val="nil"/>
              <w:right w:val="nil"/>
              <w:tl2br w:val="nil"/>
              <w:tr2bl w:val="nil"/>
            </w:tcBorders>
            <w:tcMar>
              <w:left w:w="60" w:type="dxa"/>
              <w:right w:w="60" w:type="dxa"/>
            </w:tcMar>
            <w:vAlign w:val="bottom"/>
          </w:tcPr>
          <w:p w14:paraId="6F414412"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275</w:t>
            </w:r>
          </w:p>
        </w:tc>
      </w:tr>
      <w:tr w:rsidR="00807FFE" w14:paraId="2606FB58"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08B004E0"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UK Withdrawal Agreement</w:t>
            </w:r>
          </w:p>
        </w:tc>
        <w:tc>
          <w:tcPr>
            <w:tcW w:w="1687" w:type="dxa"/>
            <w:tcBorders>
              <w:top w:val="nil"/>
              <w:left w:val="nil"/>
              <w:bottom w:val="nil"/>
              <w:right w:val="nil"/>
              <w:tl2br w:val="nil"/>
              <w:tr2bl w:val="nil"/>
            </w:tcBorders>
            <w:tcMar>
              <w:left w:w="60" w:type="dxa"/>
              <w:right w:w="60" w:type="dxa"/>
            </w:tcMar>
            <w:vAlign w:val="center"/>
          </w:tcPr>
          <w:p w14:paraId="63B7C5F6" w14:textId="77777777" w:rsidR="00807FFE" w:rsidRDefault="00023E71">
            <w:pPr>
              <w:pStyle w:val="DMETW36745BIPRNET"/>
              <w:jc w:val="center"/>
              <w:rPr>
                <w:rFonts w:ascii="Verdana" w:eastAsia="Verdana" w:hAnsi="Verdana" w:cs="Verdana"/>
                <w:i/>
                <w:noProof/>
                <w:color w:val="000000"/>
                <w:sz w:val="18"/>
              </w:rPr>
            </w:pPr>
            <w:r>
              <w:rPr>
                <w:rFonts w:ascii="Verdana" w:eastAsia="Verdana" w:hAnsi="Verdana" w:cs="Verdana"/>
                <w:i/>
                <w:noProof/>
                <w:color w:val="000000"/>
                <w:sz w:val="18"/>
              </w:rPr>
              <w:t>2.6.1.2</w:t>
            </w:r>
          </w:p>
        </w:tc>
        <w:tc>
          <w:tcPr>
            <w:tcW w:w="1687" w:type="dxa"/>
            <w:tcBorders>
              <w:top w:val="nil"/>
              <w:left w:val="nil"/>
              <w:bottom w:val="nil"/>
              <w:right w:val="nil"/>
              <w:tl2br w:val="nil"/>
              <w:tr2bl w:val="nil"/>
            </w:tcBorders>
            <w:tcMar>
              <w:left w:w="60" w:type="dxa"/>
              <w:right w:w="60" w:type="dxa"/>
            </w:tcMar>
            <w:vAlign w:val="bottom"/>
          </w:tcPr>
          <w:p w14:paraId="1C325E3D"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10 256</w:t>
            </w:r>
          </w:p>
        </w:tc>
        <w:tc>
          <w:tcPr>
            <w:tcW w:w="1995" w:type="dxa"/>
            <w:tcBorders>
              <w:top w:val="nil"/>
              <w:left w:val="nil"/>
              <w:bottom w:val="nil"/>
              <w:right w:val="nil"/>
              <w:tl2br w:val="nil"/>
              <w:tr2bl w:val="nil"/>
            </w:tcBorders>
            <w:tcMar>
              <w:left w:w="60" w:type="dxa"/>
              <w:right w:w="60" w:type="dxa"/>
            </w:tcMar>
            <w:vAlign w:val="bottom"/>
          </w:tcPr>
          <w:p w14:paraId="535604E7"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11 231</w:t>
            </w:r>
          </w:p>
        </w:tc>
      </w:tr>
      <w:tr w:rsidR="00807FFE" w14:paraId="681F7609"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74E5283F"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Accrued income and deferred charges</w:t>
            </w:r>
          </w:p>
        </w:tc>
        <w:tc>
          <w:tcPr>
            <w:tcW w:w="1687" w:type="dxa"/>
            <w:tcBorders>
              <w:top w:val="nil"/>
              <w:left w:val="nil"/>
              <w:bottom w:val="nil"/>
              <w:right w:val="nil"/>
              <w:tl2br w:val="nil"/>
              <w:tr2bl w:val="nil"/>
            </w:tcBorders>
            <w:tcMar>
              <w:left w:w="60" w:type="dxa"/>
              <w:right w:w="60" w:type="dxa"/>
            </w:tcMar>
            <w:vAlign w:val="center"/>
          </w:tcPr>
          <w:p w14:paraId="1645EB74" w14:textId="77777777" w:rsidR="00807FFE" w:rsidRDefault="00023E71">
            <w:pPr>
              <w:pStyle w:val="DMETW36745BIPRNET"/>
              <w:jc w:val="center"/>
              <w:rPr>
                <w:rFonts w:ascii="Verdana" w:eastAsia="Verdana" w:hAnsi="Verdana" w:cs="Verdana"/>
                <w:i/>
                <w:noProof/>
                <w:color w:val="000000"/>
                <w:sz w:val="18"/>
              </w:rPr>
            </w:pPr>
            <w:r>
              <w:rPr>
                <w:rFonts w:ascii="Verdana" w:eastAsia="Verdana" w:hAnsi="Verdana" w:cs="Verdana"/>
                <w:i/>
                <w:noProof/>
                <w:color w:val="000000"/>
                <w:sz w:val="18"/>
              </w:rPr>
              <w:t>2.6.1.4</w:t>
            </w:r>
          </w:p>
        </w:tc>
        <w:tc>
          <w:tcPr>
            <w:tcW w:w="1687" w:type="dxa"/>
            <w:tcBorders>
              <w:top w:val="nil"/>
              <w:left w:val="nil"/>
              <w:bottom w:val="nil"/>
              <w:right w:val="nil"/>
              <w:tl2br w:val="nil"/>
              <w:tr2bl w:val="nil"/>
            </w:tcBorders>
            <w:tcMar>
              <w:left w:w="60" w:type="dxa"/>
              <w:right w:w="60" w:type="dxa"/>
            </w:tcMar>
            <w:vAlign w:val="bottom"/>
          </w:tcPr>
          <w:p w14:paraId="136690A5"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995" w:type="dxa"/>
            <w:tcBorders>
              <w:top w:val="nil"/>
              <w:left w:val="nil"/>
              <w:bottom w:val="nil"/>
              <w:right w:val="nil"/>
              <w:tl2br w:val="nil"/>
              <w:tr2bl w:val="nil"/>
            </w:tcBorders>
            <w:tcMar>
              <w:left w:w="60" w:type="dxa"/>
              <w:right w:w="60" w:type="dxa"/>
            </w:tcMar>
            <w:vAlign w:val="bottom"/>
          </w:tcPr>
          <w:p w14:paraId="60C7B2B3"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w:t>
            </w:r>
          </w:p>
        </w:tc>
      </w:tr>
      <w:tr w:rsidR="00807FFE" w14:paraId="553B219B" w14:textId="77777777">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14:paraId="1A001E86"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Other recoverables</w:t>
            </w:r>
          </w:p>
        </w:tc>
        <w:tc>
          <w:tcPr>
            <w:tcW w:w="1687" w:type="dxa"/>
            <w:tcBorders>
              <w:top w:val="nil"/>
              <w:left w:val="nil"/>
              <w:bottom w:val="single" w:sz="4" w:space="0" w:color="016794"/>
              <w:right w:val="nil"/>
              <w:tl2br w:val="nil"/>
              <w:tr2bl w:val="nil"/>
            </w:tcBorders>
            <w:tcMar>
              <w:left w:w="60" w:type="dxa"/>
              <w:right w:w="60" w:type="dxa"/>
            </w:tcMar>
            <w:vAlign w:val="center"/>
          </w:tcPr>
          <w:p w14:paraId="119FB9B3" w14:textId="77777777" w:rsidR="00807FFE" w:rsidRDefault="00807FFE">
            <w:pPr>
              <w:pStyle w:val="DMETW36745BIPRNET"/>
              <w:jc w:val="center"/>
              <w:rPr>
                <w:rFonts w:ascii="Verdana" w:eastAsia="Verdana" w:hAnsi="Verdana" w:cs="Verdana"/>
                <w:i/>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14:paraId="37A3B24A"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995" w:type="dxa"/>
            <w:tcBorders>
              <w:top w:val="nil"/>
              <w:left w:val="nil"/>
              <w:bottom w:val="single" w:sz="4" w:space="0" w:color="016794"/>
              <w:right w:val="nil"/>
              <w:tl2br w:val="nil"/>
              <w:tr2bl w:val="nil"/>
            </w:tcBorders>
            <w:tcMar>
              <w:left w:w="60" w:type="dxa"/>
              <w:right w:w="60" w:type="dxa"/>
            </w:tcMar>
            <w:vAlign w:val="bottom"/>
          </w:tcPr>
          <w:p w14:paraId="1DFB8572"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w:t>
            </w:r>
          </w:p>
        </w:tc>
      </w:tr>
      <w:tr w:rsidR="00807FFE" w14:paraId="4A334872" w14:textId="77777777">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14:paraId="5885242E" w14:textId="77777777" w:rsidR="00807FFE" w:rsidRDefault="00807FFE">
            <w:pPr>
              <w:pStyle w:val="DMETW36745BIPRNET"/>
              <w:rPr>
                <w:rFonts w:ascii="Verdana" w:eastAsia="Verdana" w:hAnsi="Verdana" w:cs="Verdana"/>
                <w:i/>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14:paraId="06C9CFA2" w14:textId="77777777" w:rsidR="00807FFE" w:rsidRDefault="00807FFE">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14:paraId="072F21F1" w14:textId="77777777" w:rsidR="00807FFE" w:rsidRDefault="00023E71">
            <w:pPr>
              <w:pStyle w:val="DMETW36745BIPRNET"/>
              <w:jc w:val="right"/>
              <w:rPr>
                <w:rFonts w:ascii="Verdana" w:eastAsia="Verdana" w:hAnsi="Verdana" w:cs="Verdana"/>
                <w:b/>
                <w:noProof/>
                <w:color w:val="000000"/>
                <w:sz w:val="18"/>
              </w:rPr>
            </w:pPr>
            <w:r>
              <w:rPr>
                <w:rFonts w:ascii="Verdana" w:eastAsia="Verdana" w:hAnsi="Verdana" w:cs="Verdana"/>
                <w:b/>
                <w:noProof/>
                <w:color w:val="000000"/>
                <w:sz w:val="18"/>
              </w:rPr>
              <w:t>10 878</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14:paraId="3635D4D9" w14:textId="77777777" w:rsidR="00807FFE" w:rsidRDefault="00023E71">
            <w:pPr>
              <w:pStyle w:val="DMETW36745BIPRNET"/>
              <w:jc w:val="right"/>
              <w:rPr>
                <w:rFonts w:ascii="Verdana" w:eastAsia="Verdana" w:hAnsi="Verdana" w:cs="Verdana"/>
                <w:b/>
                <w:noProof/>
                <w:color w:val="000000"/>
                <w:sz w:val="18"/>
                <w:lang w:bidi="en-GB"/>
              </w:rPr>
            </w:pPr>
            <w:r>
              <w:rPr>
                <w:rFonts w:ascii="Verdana" w:eastAsia="Verdana" w:hAnsi="Verdana" w:cs="Verdana"/>
                <w:b/>
                <w:noProof/>
                <w:color w:val="000000"/>
                <w:sz w:val="18"/>
              </w:rPr>
              <w:t>11 541</w:t>
            </w:r>
          </w:p>
        </w:tc>
      </w:tr>
      <w:tr w:rsidR="00807FFE" w14:paraId="0C7D24FD" w14:textId="77777777">
        <w:trPr>
          <w:trHeight w:val="255"/>
        </w:trPr>
        <w:tc>
          <w:tcPr>
            <w:tcW w:w="4389" w:type="dxa"/>
            <w:tcBorders>
              <w:top w:val="single" w:sz="4" w:space="0" w:color="016794"/>
              <w:left w:val="nil"/>
              <w:bottom w:val="nil"/>
              <w:right w:val="nil"/>
              <w:tl2br w:val="nil"/>
              <w:tr2bl w:val="nil"/>
            </w:tcBorders>
            <w:tcMar>
              <w:left w:w="60" w:type="dxa"/>
              <w:right w:w="60" w:type="dxa"/>
            </w:tcMar>
            <w:vAlign w:val="center"/>
          </w:tcPr>
          <w:p w14:paraId="2C6F1F6C" w14:textId="77777777" w:rsidR="00807FFE" w:rsidRDefault="00023E71">
            <w:pPr>
              <w:pStyle w:val="DMETW36745BIPRNET"/>
              <w:rPr>
                <w:rFonts w:ascii="Verdana" w:eastAsia="Verdana" w:hAnsi="Verdana" w:cs="Verdana"/>
                <w:b/>
                <w:noProof/>
                <w:color w:val="000000"/>
                <w:sz w:val="18"/>
              </w:rPr>
            </w:pPr>
            <w:r>
              <w:rPr>
                <w:rFonts w:ascii="Verdana" w:eastAsia="Verdana" w:hAnsi="Verdana" w:cs="Verdana"/>
                <w:b/>
                <w:noProof/>
                <w:color w:val="000000"/>
                <w:sz w:val="18"/>
              </w:rPr>
              <w:t>Current</w:t>
            </w:r>
          </w:p>
        </w:tc>
        <w:tc>
          <w:tcPr>
            <w:tcW w:w="1687" w:type="dxa"/>
            <w:tcBorders>
              <w:top w:val="single" w:sz="4" w:space="0" w:color="016794"/>
              <w:left w:val="nil"/>
              <w:bottom w:val="nil"/>
              <w:right w:val="nil"/>
              <w:tl2br w:val="nil"/>
              <w:tr2bl w:val="nil"/>
            </w:tcBorders>
            <w:tcMar>
              <w:left w:w="60" w:type="dxa"/>
              <w:right w:w="60" w:type="dxa"/>
            </w:tcMar>
            <w:vAlign w:val="center"/>
          </w:tcPr>
          <w:p w14:paraId="3E153C30" w14:textId="77777777" w:rsidR="00807FFE" w:rsidRDefault="00807FFE">
            <w:pPr>
              <w:pStyle w:val="DMETW36745BIPRNET"/>
              <w:jc w:val="center"/>
              <w:rPr>
                <w:rFonts w:ascii="Verdana" w:eastAsia="Verdana" w:hAnsi="Verdana" w:cs="Verdana"/>
                <w:b/>
                <w:noProof/>
                <w:color w:val="000000"/>
                <w:sz w:val="18"/>
              </w:rPr>
            </w:pPr>
          </w:p>
        </w:tc>
        <w:tc>
          <w:tcPr>
            <w:tcW w:w="1687" w:type="dxa"/>
            <w:tcBorders>
              <w:top w:val="single" w:sz="4" w:space="0" w:color="016794"/>
              <w:left w:val="nil"/>
              <w:bottom w:val="nil"/>
              <w:right w:val="nil"/>
              <w:tl2br w:val="nil"/>
              <w:tr2bl w:val="nil"/>
            </w:tcBorders>
            <w:tcMar>
              <w:left w:w="60" w:type="dxa"/>
              <w:right w:w="60" w:type="dxa"/>
            </w:tcMar>
            <w:vAlign w:val="center"/>
          </w:tcPr>
          <w:p w14:paraId="4FB2E1FE" w14:textId="77777777" w:rsidR="00807FFE" w:rsidRDefault="00807FFE">
            <w:pPr>
              <w:pStyle w:val="DMETW36745BIPRNET"/>
              <w:rPr>
                <w:rFonts w:ascii="Verdana" w:eastAsia="Verdana" w:hAnsi="Verdana" w:cs="Verdana"/>
                <w:b/>
                <w:noProof/>
                <w:color w:val="000000"/>
                <w:sz w:val="18"/>
              </w:rPr>
            </w:pPr>
          </w:p>
        </w:tc>
        <w:tc>
          <w:tcPr>
            <w:tcW w:w="1995" w:type="dxa"/>
            <w:tcBorders>
              <w:top w:val="single" w:sz="4" w:space="0" w:color="016794"/>
              <w:left w:val="nil"/>
              <w:bottom w:val="nil"/>
              <w:right w:val="nil"/>
              <w:tl2br w:val="nil"/>
              <w:tr2bl w:val="nil"/>
            </w:tcBorders>
            <w:tcMar>
              <w:left w:w="60" w:type="dxa"/>
              <w:right w:w="60" w:type="dxa"/>
            </w:tcMar>
            <w:vAlign w:val="center"/>
          </w:tcPr>
          <w:p w14:paraId="1C949DF9" w14:textId="77777777" w:rsidR="00807FFE" w:rsidRDefault="00807FFE">
            <w:pPr>
              <w:pStyle w:val="DMETW36745BIPRNET"/>
              <w:rPr>
                <w:rFonts w:ascii="Verdana" w:eastAsia="Verdana" w:hAnsi="Verdana" w:cs="Verdana"/>
                <w:b/>
                <w:noProof/>
                <w:color w:val="000000"/>
                <w:sz w:val="18"/>
                <w:lang w:bidi="en-GB"/>
              </w:rPr>
            </w:pPr>
          </w:p>
        </w:tc>
      </w:tr>
      <w:tr w:rsidR="00807FFE" w14:paraId="044C573D"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3800B4FC"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Member States</w:t>
            </w:r>
          </w:p>
        </w:tc>
        <w:tc>
          <w:tcPr>
            <w:tcW w:w="1687" w:type="dxa"/>
            <w:tcBorders>
              <w:top w:val="nil"/>
              <w:left w:val="nil"/>
              <w:bottom w:val="nil"/>
              <w:right w:val="nil"/>
              <w:tl2br w:val="nil"/>
              <w:tr2bl w:val="nil"/>
            </w:tcBorders>
            <w:tcMar>
              <w:left w:w="60" w:type="dxa"/>
              <w:right w:w="60" w:type="dxa"/>
            </w:tcMar>
            <w:vAlign w:val="center"/>
          </w:tcPr>
          <w:p w14:paraId="0E2BEE6F" w14:textId="77777777" w:rsidR="00807FFE" w:rsidRDefault="00023E71">
            <w:pPr>
              <w:pStyle w:val="DMETW36745BIPRNET"/>
              <w:jc w:val="center"/>
              <w:rPr>
                <w:rFonts w:ascii="Verdana" w:eastAsia="Verdana" w:hAnsi="Verdana" w:cs="Verdana"/>
                <w:i/>
                <w:noProof/>
                <w:color w:val="000000"/>
                <w:sz w:val="18"/>
              </w:rPr>
            </w:pPr>
            <w:r>
              <w:rPr>
                <w:rFonts w:ascii="Verdana" w:eastAsia="Verdana" w:hAnsi="Verdana" w:cs="Verdana"/>
                <w:i/>
                <w:noProof/>
                <w:color w:val="000000"/>
                <w:sz w:val="18"/>
              </w:rPr>
              <w:t>2.6.1.1</w:t>
            </w:r>
          </w:p>
        </w:tc>
        <w:tc>
          <w:tcPr>
            <w:tcW w:w="1687" w:type="dxa"/>
            <w:tcBorders>
              <w:top w:val="nil"/>
              <w:left w:val="nil"/>
              <w:bottom w:val="nil"/>
              <w:right w:val="nil"/>
              <w:tl2br w:val="nil"/>
              <w:tr2bl w:val="nil"/>
            </w:tcBorders>
            <w:tcMar>
              <w:left w:w="60" w:type="dxa"/>
              <w:right w:w="60" w:type="dxa"/>
            </w:tcMar>
            <w:vAlign w:val="bottom"/>
          </w:tcPr>
          <w:p w14:paraId="4666C55B"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5 097</w:t>
            </w:r>
          </w:p>
        </w:tc>
        <w:tc>
          <w:tcPr>
            <w:tcW w:w="1995" w:type="dxa"/>
            <w:tcBorders>
              <w:top w:val="nil"/>
              <w:left w:val="nil"/>
              <w:bottom w:val="nil"/>
              <w:right w:val="nil"/>
              <w:tl2br w:val="nil"/>
              <w:tr2bl w:val="nil"/>
            </w:tcBorders>
            <w:tcMar>
              <w:left w:w="60" w:type="dxa"/>
              <w:right w:w="60" w:type="dxa"/>
            </w:tcMar>
            <w:vAlign w:val="bottom"/>
          </w:tcPr>
          <w:p w14:paraId="6FAE1444"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4 667</w:t>
            </w:r>
          </w:p>
        </w:tc>
      </w:tr>
      <w:tr w:rsidR="00807FFE" w14:paraId="40ACBBFC"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7FBB6D3D"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UK Withdrawal Agreement</w:t>
            </w:r>
          </w:p>
        </w:tc>
        <w:tc>
          <w:tcPr>
            <w:tcW w:w="1687" w:type="dxa"/>
            <w:tcBorders>
              <w:top w:val="nil"/>
              <w:left w:val="nil"/>
              <w:bottom w:val="nil"/>
              <w:right w:val="nil"/>
              <w:tl2br w:val="nil"/>
              <w:tr2bl w:val="nil"/>
            </w:tcBorders>
            <w:tcMar>
              <w:left w:w="60" w:type="dxa"/>
              <w:right w:w="60" w:type="dxa"/>
            </w:tcMar>
            <w:vAlign w:val="center"/>
          </w:tcPr>
          <w:p w14:paraId="545AB232" w14:textId="77777777" w:rsidR="00807FFE" w:rsidRDefault="00023E71">
            <w:pPr>
              <w:pStyle w:val="DMETW36745BIPRNET"/>
              <w:jc w:val="center"/>
              <w:rPr>
                <w:rFonts w:ascii="Verdana" w:eastAsia="Verdana" w:hAnsi="Verdana" w:cs="Verdana"/>
                <w:i/>
                <w:noProof/>
                <w:color w:val="000000"/>
                <w:sz w:val="18"/>
              </w:rPr>
            </w:pPr>
            <w:r>
              <w:rPr>
                <w:rFonts w:ascii="Verdana" w:eastAsia="Verdana" w:hAnsi="Verdana" w:cs="Verdana"/>
                <w:i/>
                <w:noProof/>
                <w:color w:val="000000"/>
                <w:sz w:val="18"/>
              </w:rPr>
              <w:t>2.6.1.2</w:t>
            </w:r>
          </w:p>
        </w:tc>
        <w:tc>
          <w:tcPr>
            <w:tcW w:w="1687" w:type="dxa"/>
            <w:tcBorders>
              <w:top w:val="nil"/>
              <w:left w:val="nil"/>
              <w:bottom w:val="nil"/>
              <w:right w:val="nil"/>
              <w:tl2br w:val="nil"/>
              <w:tr2bl w:val="nil"/>
            </w:tcBorders>
            <w:tcMar>
              <w:left w:w="60" w:type="dxa"/>
              <w:right w:w="60" w:type="dxa"/>
            </w:tcMar>
            <w:vAlign w:val="bottom"/>
          </w:tcPr>
          <w:p w14:paraId="36731DE1"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505</w:t>
            </w:r>
          </w:p>
        </w:tc>
        <w:tc>
          <w:tcPr>
            <w:tcW w:w="1995" w:type="dxa"/>
            <w:tcBorders>
              <w:top w:val="nil"/>
              <w:left w:val="nil"/>
              <w:bottom w:val="nil"/>
              <w:right w:val="nil"/>
              <w:tl2br w:val="nil"/>
              <w:tr2bl w:val="nil"/>
            </w:tcBorders>
            <w:tcMar>
              <w:left w:w="60" w:type="dxa"/>
              <w:right w:w="60" w:type="dxa"/>
            </w:tcMar>
            <w:vAlign w:val="bottom"/>
          </w:tcPr>
          <w:p w14:paraId="794E01EC"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1 530</w:t>
            </w:r>
          </w:p>
        </w:tc>
      </w:tr>
      <w:tr w:rsidR="00807FFE" w14:paraId="11E5C567"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3DB49920"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Fines imposed on companies</w:t>
            </w:r>
          </w:p>
        </w:tc>
        <w:tc>
          <w:tcPr>
            <w:tcW w:w="1687" w:type="dxa"/>
            <w:tcBorders>
              <w:top w:val="nil"/>
              <w:left w:val="nil"/>
              <w:bottom w:val="nil"/>
              <w:right w:val="nil"/>
              <w:tl2br w:val="nil"/>
              <w:tr2bl w:val="nil"/>
            </w:tcBorders>
            <w:tcMar>
              <w:left w:w="60" w:type="dxa"/>
              <w:right w:w="60" w:type="dxa"/>
            </w:tcMar>
            <w:vAlign w:val="center"/>
          </w:tcPr>
          <w:p w14:paraId="54632DA6" w14:textId="77777777" w:rsidR="00807FFE" w:rsidRDefault="00023E71">
            <w:pPr>
              <w:pStyle w:val="DMETW36745BIPRNET"/>
              <w:jc w:val="center"/>
              <w:rPr>
                <w:rFonts w:ascii="Verdana" w:eastAsia="Verdana" w:hAnsi="Verdana" w:cs="Verdana"/>
                <w:i/>
                <w:noProof/>
                <w:color w:val="000000"/>
                <w:sz w:val="18"/>
              </w:rPr>
            </w:pPr>
            <w:r>
              <w:rPr>
                <w:rFonts w:ascii="Verdana" w:eastAsia="Verdana" w:hAnsi="Verdana" w:cs="Verdana"/>
                <w:i/>
                <w:noProof/>
                <w:color w:val="000000"/>
                <w:sz w:val="18"/>
              </w:rPr>
              <w:t>2.6.1.3</w:t>
            </w:r>
          </w:p>
        </w:tc>
        <w:tc>
          <w:tcPr>
            <w:tcW w:w="1687" w:type="dxa"/>
            <w:tcBorders>
              <w:top w:val="nil"/>
              <w:left w:val="nil"/>
              <w:bottom w:val="nil"/>
              <w:right w:val="nil"/>
              <w:tl2br w:val="nil"/>
              <w:tr2bl w:val="nil"/>
            </w:tcBorders>
            <w:tcMar>
              <w:left w:w="60" w:type="dxa"/>
              <w:right w:w="60" w:type="dxa"/>
            </w:tcMar>
            <w:vAlign w:val="bottom"/>
          </w:tcPr>
          <w:p w14:paraId="7BDB2F04"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10 964</w:t>
            </w:r>
          </w:p>
        </w:tc>
        <w:tc>
          <w:tcPr>
            <w:tcW w:w="1995" w:type="dxa"/>
            <w:tcBorders>
              <w:top w:val="nil"/>
              <w:left w:val="nil"/>
              <w:bottom w:val="nil"/>
              <w:right w:val="nil"/>
              <w:tl2br w:val="nil"/>
              <w:tr2bl w:val="nil"/>
            </w:tcBorders>
            <w:tcMar>
              <w:left w:w="60" w:type="dxa"/>
              <w:right w:w="60" w:type="dxa"/>
            </w:tcMar>
            <w:vAlign w:val="bottom"/>
          </w:tcPr>
          <w:p w14:paraId="22A79402"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9 152</w:t>
            </w:r>
          </w:p>
        </w:tc>
      </w:tr>
      <w:tr w:rsidR="00807FFE" w14:paraId="40E4F7A6" w14:textId="77777777">
        <w:trPr>
          <w:trHeight w:val="255"/>
        </w:trPr>
        <w:tc>
          <w:tcPr>
            <w:tcW w:w="4389" w:type="dxa"/>
            <w:tcBorders>
              <w:top w:val="nil"/>
              <w:left w:val="nil"/>
              <w:bottom w:val="nil"/>
              <w:right w:val="nil"/>
              <w:tl2br w:val="nil"/>
              <w:tr2bl w:val="nil"/>
            </w:tcBorders>
            <w:tcMar>
              <w:left w:w="60" w:type="dxa"/>
              <w:right w:w="60" w:type="dxa"/>
            </w:tcMar>
            <w:vAlign w:val="center"/>
          </w:tcPr>
          <w:p w14:paraId="36D2CE7E"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Accrued income and deferred charges</w:t>
            </w:r>
          </w:p>
        </w:tc>
        <w:tc>
          <w:tcPr>
            <w:tcW w:w="1687" w:type="dxa"/>
            <w:tcBorders>
              <w:top w:val="nil"/>
              <w:left w:val="nil"/>
              <w:bottom w:val="nil"/>
              <w:right w:val="nil"/>
              <w:tl2br w:val="nil"/>
              <w:tr2bl w:val="nil"/>
            </w:tcBorders>
            <w:tcMar>
              <w:left w:w="60" w:type="dxa"/>
              <w:right w:w="60" w:type="dxa"/>
            </w:tcMar>
            <w:vAlign w:val="center"/>
          </w:tcPr>
          <w:p w14:paraId="50489BF4" w14:textId="77777777" w:rsidR="00807FFE" w:rsidRDefault="00023E71">
            <w:pPr>
              <w:pStyle w:val="DMETW36745BIPRNET"/>
              <w:jc w:val="center"/>
              <w:rPr>
                <w:rFonts w:ascii="Verdana" w:eastAsia="Verdana" w:hAnsi="Verdana" w:cs="Verdana"/>
                <w:i/>
                <w:noProof/>
                <w:color w:val="000000"/>
                <w:sz w:val="18"/>
              </w:rPr>
            </w:pPr>
            <w:r>
              <w:rPr>
                <w:rFonts w:ascii="Verdana" w:eastAsia="Verdana" w:hAnsi="Verdana" w:cs="Verdana"/>
                <w:i/>
                <w:noProof/>
                <w:color w:val="000000"/>
                <w:sz w:val="18"/>
              </w:rPr>
              <w:t>2.6.1.4</w:t>
            </w:r>
          </w:p>
        </w:tc>
        <w:tc>
          <w:tcPr>
            <w:tcW w:w="1687" w:type="dxa"/>
            <w:tcBorders>
              <w:top w:val="nil"/>
              <w:left w:val="nil"/>
              <w:bottom w:val="nil"/>
              <w:right w:val="nil"/>
              <w:tl2br w:val="nil"/>
              <w:tr2bl w:val="nil"/>
            </w:tcBorders>
            <w:tcMar>
              <w:left w:w="60" w:type="dxa"/>
              <w:right w:w="60" w:type="dxa"/>
            </w:tcMar>
            <w:vAlign w:val="bottom"/>
          </w:tcPr>
          <w:p w14:paraId="0C93B3DD"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2 269</w:t>
            </w:r>
          </w:p>
        </w:tc>
        <w:tc>
          <w:tcPr>
            <w:tcW w:w="1995" w:type="dxa"/>
            <w:tcBorders>
              <w:top w:val="nil"/>
              <w:left w:val="nil"/>
              <w:bottom w:val="nil"/>
              <w:right w:val="nil"/>
              <w:tl2br w:val="nil"/>
              <w:tr2bl w:val="nil"/>
            </w:tcBorders>
            <w:tcMar>
              <w:left w:w="60" w:type="dxa"/>
              <w:right w:w="60" w:type="dxa"/>
            </w:tcMar>
            <w:vAlign w:val="bottom"/>
          </w:tcPr>
          <w:p w14:paraId="1967DF0F"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1 085</w:t>
            </w:r>
          </w:p>
        </w:tc>
      </w:tr>
      <w:tr w:rsidR="00807FFE" w14:paraId="6B33B043" w14:textId="77777777">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14:paraId="2AFD73CC" w14:textId="77777777" w:rsidR="00807FFE" w:rsidRDefault="00023E71">
            <w:pPr>
              <w:pStyle w:val="DMETW36745BIPRNET"/>
              <w:rPr>
                <w:rFonts w:ascii="Verdana" w:eastAsia="Verdana" w:hAnsi="Verdana" w:cs="Verdana"/>
                <w:i/>
                <w:noProof/>
                <w:color w:val="000000"/>
                <w:sz w:val="18"/>
              </w:rPr>
            </w:pPr>
            <w:r>
              <w:rPr>
                <w:rFonts w:ascii="Verdana" w:eastAsia="Verdana" w:hAnsi="Verdana" w:cs="Verdana"/>
                <w:i/>
                <w:noProof/>
                <w:color w:val="000000"/>
                <w:sz w:val="18"/>
              </w:rPr>
              <w:t>Other recoverables</w:t>
            </w:r>
          </w:p>
        </w:tc>
        <w:tc>
          <w:tcPr>
            <w:tcW w:w="1687" w:type="dxa"/>
            <w:tcBorders>
              <w:top w:val="nil"/>
              <w:left w:val="nil"/>
              <w:bottom w:val="single" w:sz="4" w:space="0" w:color="016794"/>
              <w:right w:val="nil"/>
              <w:tl2br w:val="nil"/>
              <w:tr2bl w:val="nil"/>
            </w:tcBorders>
            <w:tcMar>
              <w:left w:w="60" w:type="dxa"/>
              <w:right w:w="60" w:type="dxa"/>
            </w:tcMar>
            <w:vAlign w:val="center"/>
          </w:tcPr>
          <w:p w14:paraId="58502071" w14:textId="77777777" w:rsidR="00807FFE" w:rsidRDefault="00807FFE">
            <w:pPr>
              <w:pStyle w:val="DMETW36745BIPRNET"/>
              <w:jc w:val="center"/>
              <w:rPr>
                <w:rFonts w:ascii="Verdana" w:eastAsia="Verdana" w:hAnsi="Verdana" w:cs="Verdana"/>
                <w:i/>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14:paraId="14F965E5" w14:textId="77777777" w:rsidR="00807FFE" w:rsidRDefault="00023E71">
            <w:pPr>
              <w:pStyle w:val="DMETW3674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117</w:t>
            </w:r>
          </w:p>
        </w:tc>
        <w:tc>
          <w:tcPr>
            <w:tcW w:w="1995" w:type="dxa"/>
            <w:tcBorders>
              <w:top w:val="nil"/>
              <w:left w:val="nil"/>
              <w:bottom w:val="single" w:sz="4" w:space="0" w:color="016794"/>
              <w:right w:val="nil"/>
              <w:tl2br w:val="nil"/>
              <w:tr2bl w:val="nil"/>
            </w:tcBorders>
            <w:tcMar>
              <w:left w:w="60" w:type="dxa"/>
              <w:right w:w="60" w:type="dxa"/>
            </w:tcMar>
            <w:vAlign w:val="bottom"/>
          </w:tcPr>
          <w:p w14:paraId="3EC6C9AC" w14:textId="77777777" w:rsidR="00807FFE" w:rsidRDefault="00023E71">
            <w:pPr>
              <w:pStyle w:val="DMETW36745BIPRN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94</w:t>
            </w:r>
          </w:p>
        </w:tc>
      </w:tr>
      <w:tr w:rsidR="00807FFE" w14:paraId="4556DEED" w14:textId="77777777">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14:paraId="38FDDFF2" w14:textId="77777777" w:rsidR="00807FFE" w:rsidRDefault="00807FFE">
            <w:pPr>
              <w:pStyle w:val="DMETW36745BIPRNET"/>
              <w:rPr>
                <w:rFonts w:ascii="Verdana" w:eastAsia="Verdana" w:hAnsi="Verdana" w:cs="Verdana"/>
                <w:i/>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14:paraId="7E850613" w14:textId="77777777" w:rsidR="00807FFE" w:rsidRDefault="00807FFE">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14:paraId="50470BD3" w14:textId="77777777" w:rsidR="00807FFE" w:rsidRDefault="00023E71">
            <w:pPr>
              <w:pStyle w:val="DMETW36745BIPRNET"/>
              <w:jc w:val="right"/>
              <w:rPr>
                <w:rFonts w:ascii="Verdana" w:eastAsia="Verdana" w:hAnsi="Verdana" w:cs="Verdana"/>
                <w:b/>
                <w:noProof/>
                <w:color w:val="000000"/>
                <w:sz w:val="18"/>
              </w:rPr>
            </w:pPr>
            <w:r>
              <w:rPr>
                <w:rFonts w:ascii="Verdana" w:eastAsia="Verdana" w:hAnsi="Verdana" w:cs="Verdana"/>
                <w:b/>
                <w:noProof/>
                <w:color w:val="000000"/>
                <w:sz w:val="18"/>
              </w:rPr>
              <w:t>18 952</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14:paraId="509D807B" w14:textId="77777777" w:rsidR="00807FFE" w:rsidRDefault="00023E71">
            <w:pPr>
              <w:pStyle w:val="DMETW36745BIPRNET"/>
              <w:jc w:val="right"/>
              <w:rPr>
                <w:rFonts w:ascii="Verdana" w:eastAsia="Verdana" w:hAnsi="Verdana" w:cs="Verdana"/>
                <w:b/>
                <w:noProof/>
                <w:color w:val="000000"/>
                <w:sz w:val="18"/>
                <w:lang w:bidi="en-GB"/>
              </w:rPr>
            </w:pPr>
            <w:r>
              <w:rPr>
                <w:rFonts w:ascii="Verdana" w:eastAsia="Verdana" w:hAnsi="Verdana" w:cs="Verdana"/>
                <w:b/>
                <w:noProof/>
                <w:color w:val="000000"/>
                <w:sz w:val="18"/>
              </w:rPr>
              <w:t>16 529</w:t>
            </w:r>
          </w:p>
        </w:tc>
      </w:tr>
      <w:tr w:rsidR="00807FFE" w14:paraId="2A7A2616" w14:textId="77777777">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14:paraId="30B307AF" w14:textId="77777777" w:rsidR="00807FFE" w:rsidRDefault="00023E71">
            <w:pPr>
              <w:pStyle w:val="DMETW36745BIPRNET"/>
              <w:rPr>
                <w:rFonts w:ascii="Verdana" w:eastAsia="Verdana" w:hAnsi="Verdana" w:cs="Verdana"/>
                <w:b/>
                <w:noProof/>
                <w:color w:val="000000"/>
                <w:sz w:val="18"/>
              </w:rPr>
            </w:pPr>
            <w:r>
              <w:rPr>
                <w:rFonts w:ascii="Verdana" w:eastAsia="Verdana" w:hAnsi="Verdana" w:cs="Verdana"/>
                <w:b/>
                <w:noProof/>
                <w:color w:val="000000"/>
                <w:sz w:val="18"/>
              </w:rPr>
              <w:t>Total</w:t>
            </w: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14:paraId="5F3A9964" w14:textId="77777777" w:rsidR="00807FFE" w:rsidRDefault="00807FFE">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14:paraId="661B82D8" w14:textId="77777777" w:rsidR="00807FFE" w:rsidRDefault="00023E71">
            <w:pPr>
              <w:pStyle w:val="DMETW36745BIPRNET"/>
              <w:jc w:val="right"/>
              <w:rPr>
                <w:rFonts w:ascii="Verdana" w:eastAsia="Verdana" w:hAnsi="Verdana" w:cs="Verdana"/>
                <w:b/>
                <w:noProof/>
                <w:color w:val="000000"/>
                <w:sz w:val="18"/>
              </w:rPr>
            </w:pPr>
            <w:r>
              <w:rPr>
                <w:rFonts w:ascii="Verdana" w:eastAsia="Verdana" w:hAnsi="Verdana" w:cs="Verdana"/>
                <w:b/>
                <w:noProof/>
                <w:color w:val="000000"/>
                <w:sz w:val="18"/>
              </w:rPr>
              <w:t>29 830</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14:paraId="4877796D" w14:textId="77777777" w:rsidR="00807FFE" w:rsidRDefault="00023E71">
            <w:pPr>
              <w:pStyle w:val="DMETW36745BIPRNET"/>
              <w:jc w:val="right"/>
              <w:rPr>
                <w:rFonts w:ascii="Verdana" w:eastAsia="Verdana" w:hAnsi="Verdana" w:cs="Verdana"/>
                <w:b/>
                <w:noProof/>
                <w:color w:val="000000"/>
                <w:sz w:val="18"/>
              </w:rPr>
            </w:pPr>
            <w:r>
              <w:rPr>
                <w:rFonts w:ascii="Verdana" w:eastAsia="Verdana" w:hAnsi="Verdana" w:cs="Verdana"/>
                <w:b/>
                <w:noProof/>
                <w:color w:val="000000"/>
                <w:sz w:val="18"/>
              </w:rPr>
              <w:t>28 070</w:t>
            </w:r>
          </w:p>
        </w:tc>
      </w:tr>
    </w:tbl>
    <w:p w14:paraId="363EF268" w14:textId="77777777" w:rsidR="00426779" w:rsidRDefault="00023E71" w:rsidP="00F52BB5">
      <w:pPr>
        <w:pStyle w:val="HEADER4NOTES"/>
        <w:numPr>
          <w:ilvl w:val="3"/>
          <w:numId w:val="15"/>
        </w:numPr>
        <w:spacing w:after="120"/>
        <w:rPr>
          <w:noProof/>
        </w:rPr>
      </w:pPr>
      <w:r w:rsidRPr="007A13F2">
        <w:rPr>
          <w:noProof/>
        </w:rPr>
        <w:t xml:space="preserve">Recoverables from </w:t>
      </w:r>
      <w:r w:rsidRPr="00A7502B">
        <w:rPr>
          <w:noProof/>
        </w:rPr>
        <w:t>Member</w:t>
      </w:r>
      <w:r w:rsidRPr="007A13F2">
        <w:rPr>
          <w:noProof/>
        </w:rPr>
        <w:t xml:space="preserve"> States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8"/>
        <w:gridCol w:w="1895"/>
        <w:gridCol w:w="1735"/>
      </w:tblGrid>
      <w:tr w:rsidR="00807FFE" w14:paraId="51541A95" w14:textId="77777777">
        <w:trPr>
          <w:trHeight w:val="255"/>
        </w:trPr>
        <w:tc>
          <w:tcPr>
            <w:tcW w:w="6128" w:type="dxa"/>
            <w:tcBorders>
              <w:top w:val="nil"/>
              <w:left w:val="nil"/>
              <w:bottom w:val="nil"/>
              <w:right w:val="nil"/>
              <w:tl2br w:val="nil"/>
              <w:tr2bl w:val="nil"/>
            </w:tcBorders>
            <w:tcMar>
              <w:left w:w="60" w:type="dxa"/>
              <w:right w:w="60" w:type="dxa"/>
            </w:tcMar>
            <w:vAlign w:val="bottom"/>
          </w:tcPr>
          <w:p w14:paraId="27E65640" w14:textId="77777777" w:rsidR="00807FFE" w:rsidRDefault="00807FFE">
            <w:pPr>
              <w:pStyle w:val="DMETW36746BIPRMS"/>
              <w:rPr>
                <w:rFonts w:ascii="Arial" w:eastAsia="Arial" w:hAnsi="Arial" w:cs="Arial"/>
                <w:noProof/>
                <w:color w:val="000000"/>
                <w:lang w:bidi="en-GB"/>
              </w:rPr>
            </w:pPr>
            <w:bookmarkStart w:id="125" w:name="DOC_TBL00032_1_1"/>
            <w:bookmarkEnd w:id="125"/>
          </w:p>
        </w:tc>
        <w:tc>
          <w:tcPr>
            <w:tcW w:w="1895" w:type="dxa"/>
            <w:tcBorders>
              <w:top w:val="nil"/>
              <w:left w:val="nil"/>
              <w:bottom w:val="nil"/>
              <w:right w:val="nil"/>
              <w:tl2br w:val="nil"/>
              <w:tr2bl w:val="nil"/>
            </w:tcBorders>
            <w:tcMar>
              <w:left w:w="60" w:type="dxa"/>
              <w:right w:w="60" w:type="dxa"/>
            </w:tcMar>
            <w:vAlign w:val="bottom"/>
          </w:tcPr>
          <w:p w14:paraId="4A87A041" w14:textId="77777777" w:rsidR="00807FFE" w:rsidRDefault="00807FFE">
            <w:pPr>
              <w:pStyle w:val="DMETW36746BIPRMS"/>
              <w:rPr>
                <w:rFonts w:ascii="Arial" w:eastAsia="Arial" w:hAnsi="Arial" w:cs="Arial"/>
                <w:noProof/>
                <w:color w:val="000000"/>
              </w:rPr>
            </w:pPr>
          </w:p>
        </w:tc>
        <w:tc>
          <w:tcPr>
            <w:tcW w:w="1735" w:type="dxa"/>
            <w:tcBorders>
              <w:top w:val="nil"/>
              <w:left w:val="nil"/>
              <w:bottom w:val="nil"/>
              <w:right w:val="nil"/>
              <w:tl2br w:val="nil"/>
              <w:tr2bl w:val="nil"/>
            </w:tcBorders>
            <w:tcMar>
              <w:left w:w="60" w:type="dxa"/>
              <w:right w:w="60" w:type="dxa"/>
            </w:tcMar>
            <w:vAlign w:val="bottom"/>
          </w:tcPr>
          <w:p w14:paraId="501BB0A2" w14:textId="77777777" w:rsidR="00807FFE" w:rsidRDefault="00023E71">
            <w:pPr>
              <w:pStyle w:val="DMETW36746BIPRM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A3C32E9" w14:textId="77777777">
        <w:trPr>
          <w:trHeight w:val="255"/>
        </w:trPr>
        <w:tc>
          <w:tcPr>
            <w:tcW w:w="6128" w:type="dxa"/>
            <w:tcBorders>
              <w:top w:val="nil"/>
              <w:left w:val="nil"/>
              <w:bottom w:val="nil"/>
              <w:right w:val="nil"/>
              <w:tl2br w:val="nil"/>
              <w:tr2bl w:val="nil"/>
            </w:tcBorders>
            <w:shd w:val="solid" w:color="016794" w:fill="FFFFFF"/>
            <w:tcMar>
              <w:left w:w="60" w:type="dxa"/>
              <w:right w:w="60" w:type="dxa"/>
            </w:tcMar>
            <w:vAlign w:val="center"/>
          </w:tcPr>
          <w:p w14:paraId="228C96E7" w14:textId="77777777" w:rsidR="00807FFE" w:rsidRDefault="00807FFE">
            <w:pPr>
              <w:pStyle w:val="DMETW36746BIPRMS"/>
              <w:jc w:val="right"/>
              <w:rPr>
                <w:rFonts w:ascii="Verdana" w:eastAsia="Verdana" w:hAnsi="Verdana" w:cs="Verdana"/>
                <w:noProof/>
                <w:color w:val="FFFFFF"/>
                <w:sz w:val="18"/>
              </w:rPr>
            </w:pPr>
          </w:p>
        </w:tc>
        <w:tc>
          <w:tcPr>
            <w:tcW w:w="1895" w:type="dxa"/>
            <w:tcBorders>
              <w:top w:val="nil"/>
              <w:left w:val="nil"/>
              <w:bottom w:val="nil"/>
              <w:right w:val="nil"/>
              <w:tl2br w:val="nil"/>
              <w:tr2bl w:val="nil"/>
            </w:tcBorders>
            <w:shd w:val="solid" w:color="016794" w:fill="FFFFFF"/>
            <w:tcMar>
              <w:left w:w="60" w:type="dxa"/>
              <w:right w:w="60" w:type="dxa"/>
            </w:tcMar>
            <w:vAlign w:val="center"/>
          </w:tcPr>
          <w:p w14:paraId="0685EE6B" w14:textId="77777777" w:rsidR="00807FFE" w:rsidRDefault="00023E71">
            <w:pPr>
              <w:pStyle w:val="DMETW36746BIPRMS"/>
              <w:jc w:val="right"/>
              <w:rPr>
                <w:rFonts w:ascii="Verdana" w:eastAsia="Verdana" w:hAnsi="Verdana" w:cs="Verdana"/>
                <w:noProof/>
                <w:color w:val="FFFFFF"/>
              </w:rPr>
            </w:pPr>
            <w:r>
              <w:rPr>
                <w:rFonts w:ascii="Verdana" w:eastAsia="Verdana" w:hAnsi="Verdana" w:cs="Verdana"/>
                <w:noProof/>
                <w:color w:val="FFFFFF"/>
              </w:rPr>
              <w:t>31.12.2025</w:t>
            </w:r>
          </w:p>
        </w:tc>
        <w:tc>
          <w:tcPr>
            <w:tcW w:w="1735" w:type="dxa"/>
            <w:tcBorders>
              <w:top w:val="nil"/>
              <w:left w:val="nil"/>
              <w:bottom w:val="nil"/>
              <w:right w:val="nil"/>
              <w:tl2br w:val="nil"/>
              <w:tr2bl w:val="nil"/>
            </w:tcBorders>
            <w:shd w:val="solid" w:color="016794" w:fill="FFFFFF"/>
            <w:tcMar>
              <w:left w:w="60" w:type="dxa"/>
              <w:right w:w="60" w:type="dxa"/>
            </w:tcMar>
            <w:vAlign w:val="center"/>
          </w:tcPr>
          <w:p w14:paraId="5B1831D2" w14:textId="77777777" w:rsidR="00807FFE" w:rsidRDefault="00023E71">
            <w:pPr>
              <w:pStyle w:val="DMETW36746BIPRM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4E6E300E" w14:textId="77777777">
        <w:trPr>
          <w:trHeight w:val="255"/>
        </w:trPr>
        <w:tc>
          <w:tcPr>
            <w:tcW w:w="6128" w:type="dxa"/>
            <w:tcBorders>
              <w:top w:val="nil"/>
              <w:left w:val="nil"/>
              <w:bottom w:val="nil"/>
              <w:right w:val="nil"/>
              <w:tl2br w:val="nil"/>
              <w:tr2bl w:val="nil"/>
            </w:tcBorders>
            <w:tcMar>
              <w:left w:w="60" w:type="dxa"/>
              <w:right w:w="60" w:type="dxa"/>
            </w:tcMar>
            <w:vAlign w:val="center"/>
          </w:tcPr>
          <w:p w14:paraId="0279E486" w14:textId="77777777" w:rsidR="00807FFE" w:rsidRDefault="00023E71">
            <w:pPr>
              <w:pStyle w:val="DMETW36746BIPRMS"/>
              <w:rPr>
                <w:rFonts w:ascii="Verdana" w:eastAsia="Verdana" w:hAnsi="Verdana" w:cs="Verdana"/>
                <w:i/>
                <w:noProof/>
                <w:color w:val="000000"/>
                <w:sz w:val="18"/>
              </w:rPr>
            </w:pPr>
            <w:r>
              <w:rPr>
                <w:rFonts w:ascii="Verdana" w:eastAsia="Verdana" w:hAnsi="Verdana" w:cs="Verdana"/>
                <w:i/>
                <w:noProof/>
                <w:color w:val="000000"/>
                <w:sz w:val="18"/>
              </w:rPr>
              <w:t>TOR A accounts</w:t>
            </w:r>
          </w:p>
        </w:tc>
        <w:tc>
          <w:tcPr>
            <w:tcW w:w="1895" w:type="dxa"/>
            <w:tcBorders>
              <w:top w:val="nil"/>
              <w:left w:val="nil"/>
              <w:bottom w:val="nil"/>
              <w:right w:val="nil"/>
              <w:tl2br w:val="nil"/>
              <w:tr2bl w:val="nil"/>
            </w:tcBorders>
            <w:tcMar>
              <w:left w:w="60" w:type="dxa"/>
              <w:right w:w="60" w:type="dxa"/>
            </w:tcMar>
            <w:vAlign w:val="center"/>
          </w:tcPr>
          <w:p w14:paraId="19408DEC" w14:textId="77777777" w:rsidR="00807FFE" w:rsidRDefault="00023E71">
            <w:pPr>
              <w:pStyle w:val="DMETW36746BIPRMS"/>
              <w:jc w:val="right"/>
              <w:rPr>
                <w:rFonts w:ascii="Verdana" w:eastAsia="Verdana" w:hAnsi="Verdana" w:cs="Verdana"/>
                <w:i/>
                <w:noProof/>
                <w:color w:val="000000"/>
                <w:sz w:val="18"/>
              </w:rPr>
            </w:pPr>
            <w:r>
              <w:rPr>
                <w:rFonts w:ascii="Verdana" w:eastAsia="Verdana" w:hAnsi="Verdana" w:cs="Verdana"/>
                <w:i/>
                <w:noProof/>
                <w:color w:val="000000"/>
                <w:sz w:val="18"/>
              </w:rPr>
              <w:t>3 652</w:t>
            </w:r>
          </w:p>
        </w:tc>
        <w:tc>
          <w:tcPr>
            <w:tcW w:w="1735" w:type="dxa"/>
            <w:tcBorders>
              <w:top w:val="nil"/>
              <w:left w:val="nil"/>
              <w:bottom w:val="nil"/>
              <w:right w:val="nil"/>
              <w:tl2br w:val="nil"/>
              <w:tr2bl w:val="nil"/>
            </w:tcBorders>
            <w:tcMar>
              <w:left w:w="60" w:type="dxa"/>
              <w:right w:w="60" w:type="dxa"/>
            </w:tcMar>
            <w:vAlign w:val="center"/>
          </w:tcPr>
          <w:p w14:paraId="5C9154C7" w14:textId="77777777" w:rsidR="00807FFE" w:rsidRDefault="00023E71">
            <w:pPr>
              <w:pStyle w:val="DMETW36746BIPRMS"/>
              <w:jc w:val="right"/>
              <w:rPr>
                <w:rFonts w:ascii="Verdana" w:eastAsia="Verdana" w:hAnsi="Verdana" w:cs="Verdana"/>
                <w:i/>
                <w:noProof/>
                <w:color w:val="000000"/>
                <w:sz w:val="18"/>
                <w:lang w:bidi="en-GB"/>
              </w:rPr>
            </w:pPr>
            <w:r>
              <w:rPr>
                <w:rFonts w:ascii="Verdana" w:eastAsia="Verdana" w:hAnsi="Verdana" w:cs="Verdana"/>
                <w:i/>
                <w:noProof/>
                <w:color w:val="000000"/>
                <w:sz w:val="18"/>
              </w:rPr>
              <w:t>3 277</w:t>
            </w:r>
          </w:p>
        </w:tc>
      </w:tr>
      <w:tr w:rsidR="00807FFE" w14:paraId="3C467116" w14:textId="77777777">
        <w:trPr>
          <w:trHeight w:val="255"/>
        </w:trPr>
        <w:tc>
          <w:tcPr>
            <w:tcW w:w="6128" w:type="dxa"/>
            <w:tcBorders>
              <w:top w:val="nil"/>
              <w:left w:val="nil"/>
              <w:bottom w:val="nil"/>
              <w:right w:val="nil"/>
              <w:tl2br w:val="nil"/>
              <w:tr2bl w:val="nil"/>
            </w:tcBorders>
            <w:tcMar>
              <w:left w:w="60" w:type="dxa"/>
              <w:right w:w="60" w:type="dxa"/>
            </w:tcMar>
            <w:vAlign w:val="center"/>
          </w:tcPr>
          <w:p w14:paraId="74367A26" w14:textId="77777777" w:rsidR="00807FFE" w:rsidRDefault="00023E71">
            <w:pPr>
              <w:pStyle w:val="DMETW36746BIPRMS"/>
              <w:rPr>
                <w:rFonts w:ascii="Verdana" w:eastAsia="Verdana" w:hAnsi="Verdana" w:cs="Verdana"/>
                <w:i/>
                <w:noProof/>
                <w:color w:val="000000"/>
                <w:sz w:val="18"/>
              </w:rPr>
            </w:pPr>
            <w:r>
              <w:rPr>
                <w:rFonts w:ascii="Verdana" w:eastAsia="Verdana" w:hAnsi="Verdana" w:cs="Verdana"/>
                <w:i/>
                <w:noProof/>
                <w:color w:val="000000"/>
                <w:sz w:val="18"/>
              </w:rPr>
              <w:t>TOR separate accounts</w:t>
            </w:r>
          </w:p>
        </w:tc>
        <w:tc>
          <w:tcPr>
            <w:tcW w:w="1895" w:type="dxa"/>
            <w:tcBorders>
              <w:top w:val="nil"/>
              <w:left w:val="nil"/>
              <w:bottom w:val="nil"/>
              <w:right w:val="nil"/>
              <w:tl2br w:val="nil"/>
              <w:tr2bl w:val="nil"/>
            </w:tcBorders>
            <w:tcMar>
              <w:left w:w="60" w:type="dxa"/>
              <w:right w:w="60" w:type="dxa"/>
            </w:tcMar>
            <w:vAlign w:val="center"/>
          </w:tcPr>
          <w:p w14:paraId="68F907AD" w14:textId="77777777" w:rsidR="00807FFE" w:rsidRDefault="00023E71">
            <w:pPr>
              <w:pStyle w:val="DMETW36746BIPRMS"/>
              <w:jc w:val="right"/>
              <w:rPr>
                <w:rFonts w:ascii="Verdana" w:eastAsia="Verdana" w:hAnsi="Verdana" w:cs="Verdana"/>
                <w:i/>
                <w:noProof/>
                <w:color w:val="000000"/>
                <w:sz w:val="18"/>
              </w:rPr>
            </w:pPr>
            <w:r>
              <w:rPr>
                <w:rFonts w:ascii="Verdana" w:eastAsia="Verdana" w:hAnsi="Verdana" w:cs="Verdana"/>
                <w:i/>
                <w:noProof/>
                <w:color w:val="000000"/>
                <w:sz w:val="18"/>
              </w:rPr>
              <w:t xml:space="preserve"> 868</w:t>
            </w:r>
          </w:p>
        </w:tc>
        <w:tc>
          <w:tcPr>
            <w:tcW w:w="1735" w:type="dxa"/>
            <w:tcBorders>
              <w:top w:val="nil"/>
              <w:left w:val="nil"/>
              <w:bottom w:val="nil"/>
              <w:right w:val="nil"/>
              <w:tl2br w:val="nil"/>
              <w:tr2bl w:val="nil"/>
            </w:tcBorders>
            <w:tcMar>
              <w:left w:w="60" w:type="dxa"/>
              <w:right w:w="60" w:type="dxa"/>
            </w:tcMar>
            <w:vAlign w:val="center"/>
          </w:tcPr>
          <w:p w14:paraId="34A86C10" w14:textId="77777777" w:rsidR="00807FFE" w:rsidRDefault="00023E71">
            <w:pPr>
              <w:pStyle w:val="DMETW36746BIPRM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849</w:t>
            </w:r>
          </w:p>
        </w:tc>
      </w:tr>
      <w:tr w:rsidR="00807FFE" w14:paraId="7B68D415" w14:textId="77777777">
        <w:trPr>
          <w:trHeight w:val="255"/>
        </w:trPr>
        <w:tc>
          <w:tcPr>
            <w:tcW w:w="6128" w:type="dxa"/>
            <w:tcBorders>
              <w:top w:val="nil"/>
              <w:left w:val="nil"/>
              <w:bottom w:val="nil"/>
              <w:right w:val="nil"/>
              <w:tl2br w:val="nil"/>
              <w:tr2bl w:val="nil"/>
            </w:tcBorders>
            <w:tcMar>
              <w:left w:w="60" w:type="dxa"/>
              <w:right w:w="60" w:type="dxa"/>
            </w:tcMar>
            <w:vAlign w:val="center"/>
          </w:tcPr>
          <w:p w14:paraId="756D3992" w14:textId="77777777" w:rsidR="00807FFE" w:rsidRDefault="00023E71">
            <w:pPr>
              <w:pStyle w:val="DMETW36746BIPRMS"/>
              <w:rPr>
                <w:rFonts w:ascii="Verdana" w:eastAsia="Verdana" w:hAnsi="Verdana" w:cs="Verdana"/>
                <w:i/>
                <w:noProof/>
                <w:color w:val="000000"/>
                <w:sz w:val="18"/>
              </w:rPr>
            </w:pPr>
            <w:r>
              <w:rPr>
                <w:rFonts w:ascii="Verdana" w:eastAsia="Verdana" w:hAnsi="Verdana" w:cs="Verdana"/>
                <w:i/>
                <w:noProof/>
                <w:color w:val="000000"/>
                <w:sz w:val="18"/>
              </w:rPr>
              <w:t>Own resources to be received</w:t>
            </w:r>
          </w:p>
        </w:tc>
        <w:tc>
          <w:tcPr>
            <w:tcW w:w="1895" w:type="dxa"/>
            <w:tcBorders>
              <w:top w:val="nil"/>
              <w:left w:val="nil"/>
              <w:bottom w:val="nil"/>
              <w:right w:val="nil"/>
              <w:tl2br w:val="nil"/>
              <w:tr2bl w:val="nil"/>
            </w:tcBorders>
            <w:tcMar>
              <w:left w:w="60" w:type="dxa"/>
              <w:right w:w="60" w:type="dxa"/>
            </w:tcMar>
            <w:vAlign w:val="center"/>
          </w:tcPr>
          <w:p w14:paraId="7A469B68" w14:textId="77777777" w:rsidR="00807FFE" w:rsidRDefault="00023E71">
            <w:pPr>
              <w:pStyle w:val="DMETW36746BIPRM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35" w:type="dxa"/>
            <w:tcBorders>
              <w:top w:val="nil"/>
              <w:left w:val="nil"/>
              <w:bottom w:val="nil"/>
              <w:right w:val="nil"/>
              <w:tl2br w:val="nil"/>
              <w:tr2bl w:val="nil"/>
            </w:tcBorders>
            <w:tcMar>
              <w:left w:w="60" w:type="dxa"/>
              <w:right w:w="60" w:type="dxa"/>
            </w:tcMar>
            <w:vAlign w:val="center"/>
          </w:tcPr>
          <w:p w14:paraId="01C4F147" w14:textId="77777777" w:rsidR="00807FFE" w:rsidRDefault="00023E71">
            <w:pPr>
              <w:pStyle w:val="DMETW36746BIPRM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139</w:t>
            </w:r>
          </w:p>
        </w:tc>
      </w:tr>
      <w:tr w:rsidR="00807FFE" w14:paraId="4CF2FC85" w14:textId="77777777">
        <w:trPr>
          <w:trHeight w:val="255"/>
        </w:trPr>
        <w:tc>
          <w:tcPr>
            <w:tcW w:w="6128" w:type="dxa"/>
            <w:tcBorders>
              <w:top w:val="nil"/>
              <w:left w:val="nil"/>
              <w:bottom w:val="nil"/>
              <w:right w:val="nil"/>
              <w:tl2br w:val="nil"/>
              <w:tr2bl w:val="nil"/>
            </w:tcBorders>
            <w:tcMar>
              <w:left w:w="60" w:type="dxa"/>
              <w:right w:w="60" w:type="dxa"/>
            </w:tcMar>
            <w:vAlign w:val="center"/>
          </w:tcPr>
          <w:p w14:paraId="7F9D18AC" w14:textId="77777777" w:rsidR="00807FFE" w:rsidRDefault="00023E71">
            <w:pPr>
              <w:pStyle w:val="DMETW36746BIPRMS"/>
              <w:rPr>
                <w:rFonts w:ascii="Verdana" w:eastAsia="Verdana" w:hAnsi="Verdana" w:cs="Verdana"/>
                <w:i/>
                <w:noProof/>
                <w:color w:val="000000"/>
                <w:sz w:val="18"/>
              </w:rPr>
            </w:pPr>
            <w:r>
              <w:rPr>
                <w:rFonts w:ascii="Verdana" w:eastAsia="Verdana" w:hAnsi="Verdana" w:cs="Verdana"/>
                <w:i/>
                <w:noProof/>
                <w:color w:val="000000"/>
                <w:sz w:val="18"/>
              </w:rPr>
              <w:t>Impairment</w:t>
            </w:r>
          </w:p>
        </w:tc>
        <w:tc>
          <w:tcPr>
            <w:tcW w:w="1895" w:type="dxa"/>
            <w:tcBorders>
              <w:top w:val="nil"/>
              <w:left w:val="nil"/>
              <w:bottom w:val="nil"/>
              <w:right w:val="nil"/>
              <w:tl2br w:val="nil"/>
              <w:tr2bl w:val="nil"/>
            </w:tcBorders>
            <w:tcMar>
              <w:left w:w="60" w:type="dxa"/>
              <w:right w:w="60" w:type="dxa"/>
            </w:tcMar>
            <w:vAlign w:val="center"/>
          </w:tcPr>
          <w:p w14:paraId="48C876BE" w14:textId="77777777" w:rsidR="00807FFE" w:rsidRDefault="00023E71">
            <w:pPr>
              <w:pStyle w:val="DMETW36746BIPRMS"/>
              <w:jc w:val="right"/>
              <w:rPr>
                <w:rFonts w:ascii="Verdana" w:eastAsia="Verdana" w:hAnsi="Verdana" w:cs="Verdana"/>
                <w:i/>
                <w:noProof/>
                <w:color w:val="000000"/>
                <w:sz w:val="18"/>
              </w:rPr>
            </w:pPr>
            <w:r>
              <w:rPr>
                <w:rFonts w:ascii="Verdana" w:eastAsia="Verdana" w:hAnsi="Verdana" w:cs="Verdana"/>
                <w:i/>
                <w:noProof/>
                <w:color w:val="000000"/>
                <w:sz w:val="18"/>
              </w:rPr>
              <w:t xml:space="preserve"> (535)</w:t>
            </w:r>
          </w:p>
        </w:tc>
        <w:tc>
          <w:tcPr>
            <w:tcW w:w="1735" w:type="dxa"/>
            <w:tcBorders>
              <w:top w:val="nil"/>
              <w:left w:val="nil"/>
              <w:bottom w:val="nil"/>
              <w:right w:val="nil"/>
              <w:tl2br w:val="nil"/>
              <w:tr2bl w:val="nil"/>
            </w:tcBorders>
            <w:tcMar>
              <w:left w:w="60" w:type="dxa"/>
              <w:right w:w="60" w:type="dxa"/>
            </w:tcMar>
            <w:vAlign w:val="center"/>
          </w:tcPr>
          <w:p w14:paraId="4D804564" w14:textId="77777777" w:rsidR="00807FFE" w:rsidRDefault="00023E71">
            <w:pPr>
              <w:pStyle w:val="DMETW36746BIPRM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(553)</w:t>
            </w:r>
          </w:p>
        </w:tc>
      </w:tr>
      <w:tr w:rsidR="00807FFE" w14:paraId="119519F8" w14:textId="77777777">
        <w:trPr>
          <w:trHeight w:val="255"/>
        </w:trPr>
        <w:tc>
          <w:tcPr>
            <w:tcW w:w="6128" w:type="dxa"/>
            <w:tcBorders>
              <w:top w:val="nil"/>
              <w:left w:val="nil"/>
              <w:bottom w:val="single" w:sz="4" w:space="0" w:color="016794"/>
              <w:right w:val="nil"/>
              <w:tl2br w:val="nil"/>
              <w:tr2bl w:val="nil"/>
            </w:tcBorders>
            <w:tcMar>
              <w:left w:w="60" w:type="dxa"/>
              <w:right w:w="60" w:type="dxa"/>
            </w:tcMar>
            <w:vAlign w:val="center"/>
          </w:tcPr>
          <w:p w14:paraId="20CE6970" w14:textId="77777777" w:rsidR="00807FFE" w:rsidRDefault="00023E71">
            <w:pPr>
              <w:pStyle w:val="DMETW36746BIPRMS"/>
              <w:rPr>
                <w:rFonts w:ascii="Verdana" w:eastAsia="Verdana" w:hAnsi="Verdana" w:cs="Verdana"/>
                <w:i/>
                <w:noProof/>
                <w:color w:val="000000"/>
                <w:sz w:val="18"/>
              </w:rPr>
            </w:pPr>
            <w:r>
              <w:rPr>
                <w:rFonts w:ascii="Verdana" w:eastAsia="Verdana" w:hAnsi="Verdana" w:cs="Verdana"/>
                <w:i/>
                <w:noProof/>
                <w:color w:val="000000"/>
                <w:sz w:val="18"/>
              </w:rPr>
              <w:t>Other</w:t>
            </w:r>
          </w:p>
        </w:tc>
        <w:tc>
          <w:tcPr>
            <w:tcW w:w="1895" w:type="dxa"/>
            <w:tcBorders>
              <w:top w:val="nil"/>
              <w:left w:val="nil"/>
              <w:bottom w:val="single" w:sz="4" w:space="0" w:color="016794"/>
              <w:right w:val="nil"/>
              <w:tl2br w:val="nil"/>
              <w:tr2bl w:val="nil"/>
            </w:tcBorders>
            <w:tcMar>
              <w:left w:w="60" w:type="dxa"/>
              <w:right w:w="60" w:type="dxa"/>
            </w:tcMar>
            <w:vAlign w:val="center"/>
          </w:tcPr>
          <w:p w14:paraId="29AFAF7A" w14:textId="77777777" w:rsidR="00807FFE" w:rsidRDefault="00023E71">
            <w:pPr>
              <w:pStyle w:val="DMETW36746BIPRM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35" w:type="dxa"/>
            <w:tcBorders>
              <w:top w:val="nil"/>
              <w:left w:val="nil"/>
              <w:bottom w:val="single" w:sz="4" w:space="0" w:color="016794"/>
              <w:right w:val="nil"/>
              <w:tl2br w:val="nil"/>
              <w:tr2bl w:val="nil"/>
            </w:tcBorders>
            <w:tcMar>
              <w:left w:w="60" w:type="dxa"/>
              <w:right w:w="60" w:type="dxa"/>
            </w:tcMar>
            <w:vAlign w:val="center"/>
          </w:tcPr>
          <w:p w14:paraId="53EBA13A" w14:textId="77777777" w:rsidR="00807FFE" w:rsidRDefault="00023E71">
            <w:pPr>
              <w:pStyle w:val="DMETW36746BIPRM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783942EC" w14:textId="77777777">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14:paraId="20120827" w14:textId="77777777" w:rsidR="00807FFE" w:rsidRDefault="00023E71">
            <w:pPr>
              <w:pStyle w:val="DMETW36746BIPRMS"/>
              <w:rPr>
                <w:rFonts w:ascii="Verdana" w:eastAsia="Verdana" w:hAnsi="Verdana" w:cs="Verdana"/>
                <w:b/>
                <w:noProof/>
                <w:color w:val="000000"/>
                <w:sz w:val="18"/>
              </w:rPr>
            </w:pPr>
            <w:r>
              <w:rPr>
                <w:rFonts w:ascii="Verdana" w:eastAsia="Verdana" w:hAnsi="Verdana" w:cs="Verdana"/>
                <w:b/>
                <w:noProof/>
                <w:color w:val="000000"/>
                <w:sz w:val="18"/>
              </w:rPr>
              <w:t>Own resources recoverables</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14:paraId="6ECF7776" w14:textId="77777777" w:rsidR="00807FFE" w:rsidRDefault="00023E71">
            <w:pPr>
              <w:pStyle w:val="DMETW36746BIPRMS"/>
              <w:jc w:val="right"/>
              <w:rPr>
                <w:rFonts w:ascii="Verdana" w:eastAsia="Verdana" w:hAnsi="Verdana" w:cs="Verdana"/>
                <w:b/>
                <w:noProof/>
                <w:color w:val="000000"/>
                <w:sz w:val="18"/>
              </w:rPr>
            </w:pPr>
            <w:r>
              <w:rPr>
                <w:rFonts w:ascii="Verdana" w:eastAsia="Verdana" w:hAnsi="Verdana" w:cs="Verdana"/>
                <w:b/>
                <w:noProof/>
                <w:color w:val="000000"/>
                <w:sz w:val="18"/>
              </w:rPr>
              <w:t>3 985</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14:paraId="2826EC05" w14:textId="77777777" w:rsidR="00807FFE" w:rsidRDefault="00023E71">
            <w:pPr>
              <w:pStyle w:val="DMETW36746BIPRMS"/>
              <w:jc w:val="right"/>
              <w:rPr>
                <w:rFonts w:ascii="Verdana" w:eastAsia="Verdana" w:hAnsi="Verdana" w:cs="Verdana"/>
                <w:b/>
                <w:noProof/>
                <w:color w:val="000000"/>
                <w:sz w:val="18"/>
                <w:lang w:bidi="en-GB"/>
              </w:rPr>
            </w:pPr>
            <w:r>
              <w:rPr>
                <w:rFonts w:ascii="Verdana" w:eastAsia="Verdana" w:hAnsi="Verdana" w:cs="Verdana"/>
                <w:b/>
                <w:noProof/>
                <w:color w:val="000000"/>
                <w:sz w:val="18"/>
              </w:rPr>
              <w:t>3 712</w:t>
            </w:r>
          </w:p>
        </w:tc>
      </w:tr>
      <w:tr w:rsidR="00807FFE" w14:paraId="2887829B" w14:textId="77777777">
        <w:trPr>
          <w:trHeight w:val="255"/>
        </w:trPr>
        <w:tc>
          <w:tcPr>
            <w:tcW w:w="6128" w:type="dxa"/>
            <w:tcBorders>
              <w:top w:val="single" w:sz="4" w:space="0" w:color="016794"/>
              <w:left w:val="nil"/>
              <w:bottom w:val="nil"/>
              <w:right w:val="nil"/>
              <w:tl2br w:val="nil"/>
              <w:tr2bl w:val="nil"/>
            </w:tcBorders>
            <w:tcMar>
              <w:left w:w="60" w:type="dxa"/>
              <w:right w:w="60" w:type="dxa"/>
            </w:tcMar>
            <w:vAlign w:val="center"/>
          </w:tcPr>
          <w:p w14:paraId="47C94009" w14:textId="77777777" w:rsidR="00807FFE" w:rsidRDefault="00023E71">
            <w:pPr>
              <w:pStyle w:val="DMETW36746BIPRMS"/>
              <w:rPr>
                <w:rFonts w:ascii="Verdana" w:eastAsia="Verdana" w:hAnsi="Verdana" w:cs="Verdana"/>
                <w:i/>
                <w:noProof/>
                <w:color w:val="000000"/>
                <w:sz w:val="18"/>
              </w:rPr>
            </w:pPr>
            <w:r>
              <w:rPr>
                <w:rFonts w:ascii="Verdana" w:eastAsia="Verdana" w:hAnsi="Verdana" w:cs="Verdana"/>
                <w:i/>
                <w:noProof/>
                <w:color w:val="000000"/>
                <w:sz w:val="18"/>
              </w:rPr>
              <w:t>European Agricultural Guarantee Fund (EAGF)</w:t>
            </w:r>
          </w:p>
        </w:tc>
        <w:tc>
          <w:tcPr>
            <w:tcW w:w="1895" w:type="dxa"/>
            <w:tcBorders>
              <w:top w:val="single" w:sz="4" w:space="0" w:color="016794"/>
              <w:left w:val="nil"/>
              <w:bottom w:val="nil"/>
              <w:right w:val="nil"/>
              <w:tl2br w:val="nil"/>
              <w:tr2bl w:val="nil"/>
            </w:tcBorders>
            <w:tcMar>
              <w:left w:w="60" w:type="dxa"/>
              <w:right w:w="60" w:type="dxa"/>
            </w:tcMar>
            <w:vAlign w:val="center"/>
          </w:tcPr>
          <w:p w14:paraId="0EAA6D1E" w14:textId="77777777" w:rsidR="00807FFE" w:rsidRDefault="00023E71">
            <w:pPr>
              <w:pStyle w:val="DMETW36746BIPRMS"/>
              <w:jc w:val="right"/>
              <w:rPr>
                <w:rFonts w:ascii="Verdana" w:eastAsia="Verdana" w:hAnsi="Verdana" w:cs="Verdana"/>
                <w:i/>
                <w:noProof/>
                <w:color w:val="000000"/>
                <w:sz w:val="18"/>
              </w:rPr>
            </w:pPr>
            <w:r>
              <w:rPr>
                <w:rFonts w:ascii="Verdana" w:eastAsia="Verdana" w:hAnsi="Verdana" w:cs="Verdana"/>
                <w:i/>
                <w:noProof/>
                <w:color w:val="000000"/>
                <w:sz w:val="18"/>
              </w:rPr>
              <w:t>1 802</w:t>
            </w:r>
          </w:p>
        </w:tc>
        <w:tc>
          <w:tcPr>
            <w:tcW w:w="1735" w:type="dxa"/>
            <w:tcBorders>
              <w:top w:val="single" w:sz="4" w:space="0" w:color="016794"/>
              <w:left w:val="nil"/>
              <w:bottom w:val="nil"/>
              <w:right w:val="nil"/>
              <w:tl2br w:val="nil"/>
              <w:tr2bl w:val="nil"/>
            </w:tcBorders>
            <w:tcMar>
              <w:left w:w="60" w:type="dxa"/>
              <w:right w:w="60" w:type="dxa"/>
            </w:tcMar>
            <w:vAlign w:val="center"/>
          </w:tcPr>
          <w:p w14:paraId="3B28D531" w14:textId="77777777" w:rsidR="00807FFE" w:rsidRDefault="00023E71">
            <w:pPr>
              <w:pStyle w:val="DMETW36746BIPRMS"/>
              <w:jc w:val="right"/>
              <w:rPr>
                <w:rFonts w:ascii="Verdana" w:eastAsia="Verdana" w:hAnsi="Verdana" w:cs="Verdana"/>
                <w:i/>
                <w:noProof/>
                <w:color w:val="000000"/>
                <w:sz w:val="18"/>
                <w:lang w:bidi="en-GB"/>
              </w:rPr>
            </w:pPr>
            <w:r>
              <w:rPr>
                <w:rFonts w:ascii="Verdana" w:eastAsia="Verdana" w:hAnsi="Verdana" w:cs="Verdana"/>
                <w:i/>
                <w:noProof/>
                <w:color w:val="000000"/>
                <w:sz w:val="18"/>
              </w:rPr>
              <w:t>1 534</w:t>
            </w:r>
          </w:p>
        </w:tc>
      </w:tr>
      <w:tr w:rsidR="00807FFE" w14:paraId="3F11D97F" w14:textId="77777777">
        <w:trPr>
          <w:trHeight w:val="255"/>
        </w:trPr>
        <w:tc>
          <w:tcPr>
            <w:tcW w:w="6128" w:type="dxa"/>
            <w:tcBorders>
              <w:top w:val="nil"/>
              <w:left w:val="nil"/>
              <w:bottom w:val="nil"/>
              <w:right w:val="nil"/>
              <w:tl2br w:val="nil"/>
              <w:tr2bl w:val="nil"/>
            </w:tcBorders>
            <w:tcMar>
              <w:left w:w="60" w:type="dxa"/>
              <w:right w:w="60" w:type="dxa"/>
            </w:tcMar>
            <w:vAlign w:val="center"/>
          </w:tcPr>
          <w:p w14:paraId="71AA4AEC" w14:textId="77777777" w:rsidR="00807FFE" w:rsidRDefault="00023E71">
            <w:pPr>
              <w:pStyle w:val="DMETW36746BIPRMS"/>
              <w:rPr>
                <w:rFonts w:ascii="Verdana" w:eastAsia="Verdana" w:hAnsi="Verdana" w:cs="Verdana"/>
                <w:i/>
                <w:noProof/>
                <w:color w:val="000000"/>
                <w:sz w:val="18"/>
              </w:rPr>
            </w:pPr>
            <w:r>
              <w:rPr>
                <w:rFonts w:ascii="Verdana" w:eastAsia="Verdana" w:hAnsi="Verdana" w:cs="Verdana"/>
                <w:i/>
                <w:noProof/>
                <w:color w:val="000000"/>
                <w:sz w:val="18"/>
              </w:rPr>
              <w:t>European Agricultural Fund for Rural Development (EAFRD) and other rural development instruments</w:t>
            </w:r>
          </w:p>
        </w:tc>
        <w:tc>
          <w:tcPr>
            <w:tcW w:w="1895" w:type="dxa"/>
            <w:tcBorders>
              <w:top w:val="nil"/>
              <w:left w:val="nil"/>
              <w:bottom w:val="nil"/>
              <w:right w:val="nil"/>
              <w:tl2br w:val="nil"/>
              <w:tr2bl w:val="nil"/>
            </w:tcBorders>
            <w:tcMar>
              <w:left w:w="60" w:type="dxa"/>
              <w:right w:w="60" w:type="dxa"/>
            </w:tcMar>
            <w:vAlign w:val="center"/>
          </w:tcPr>
          <w:p w14:paraId="2D093F0A" w14:textId="77777777" w:rsidR="00807FFE" w:rsidRDefault="00023E71">
            <w:pPr>
              <w:pStyle w:val="DMETW36746BIPRMS"/>
              <w:jc w:val="right"/>
              <w:rPr>
                <w:rFonts w:ascii="Verdana" w:eastAsia="Verdana" w:hAnsi="Verdana" w:cs="Verdana"/>
                <w:i/>
                <w:noProof/>
                <w:color w:val="000000"/>
                <w:sz w:val="18"/>
              </w:rPr>
            </w:pPr>
            <w:r>
              <w:rPr>
                <w:rFonts w:ascii="Verdana" w:eastAsia="Verdana" w:hAnsi="Verdana" w:cs="Verdana"/>
                <w:i/>
                <w:noProof/>
                <w:color w:val="000000"/>
                <w:sz w:val="18"/>
              </w:rPr>
              <w:t xml:space="preserve"> 222</w:t>
            </w:r>
          </w:p>
        </w:tc>
        <w:tc>
          <w:tcPr>
            <w:tcW w:w="1735" w:type="dxa"/>
            <w:tcBorders>
              <w:top w:val="nil"/>
              <w:left w:val="nil"/>
              <w:bottom w:val="nil"/>
              <w:right w:val="nil"/>
              <w:tl2br w:val="nil"/>
              <w:tr2bl w:val="nil"/>
            </w:tcBorders>
            <w:tcMar>
              <w:left w:w="60" w:type="dxa"/>
              <w:right w:w="60" w:type="dxa"/>
            </w:tcMar>
            <w:vAlign w:val="center"/>
          </w:tcPr>
          <w:p w14:paraId="56C42D7C" w14:textId="77777777" w:rsidR="00807FFE" w:rsidRDefault="00023E71">
            <w:pPr>
              <w:pStyle w:val="DMETW36746BIPRM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127</w:t>
            </w:r>
          </w:p>
        </w:tc>
      </w:tr>
      <w:tr w:rsidR="00807FFE" w14:paraId="10CA87BD" w14:textId="77777777">
        <w:trPr>
          <w:trHeight w:val="255"/>
        </w:trPr>
        <w:tc>
          <w:tcPr>
            <w:tcW w:w="6128" w:type="dxa"/>
            <w:tcBorders>
              <w:top w:val="nil"/>
              <w:left w:val="nil"/>
              <w:bottom w:val="single" w:sz="4" w:space="0" w:color="016794"/>
              <w:right w:val="nil"/>
              <w:tl2br w:val="nil"/>
              <w:tr2bl w:val="nil"/>
            </w:tcBorders>
            <w:tcMar>
              <w:left w:w="60" w:type="dxa"/>
              <w:right w:w="60" w:type="dxa"/>
            </w:tcMar>
            <w:vAlign w:val="center"/>
          </w:tcPr>
          <w:p w14:paraId="2AD1A2BF" w14:textId="77777777" w:rsidR="00807FFE" w:rsidRDefault="00023E71">
            <w:pPr>
              <w:pStyle w:val="DMETW36746BIPRMS"/>
              <w:rPr>
                <w:rFonts w:ascii="Verdana" w:eastAsia="Verdana" w:hAnsi="Verdana" w:cs="Verdana"/>
                <w:i/>
                <w:noProof/>
                <w:color w:val="000000"/>
                <w:sz w:val="18"/>
              </w:rPr>
            </w:pPr>
            <w:r>
              <w:rPr>
                <w:rFonts w:ascii="Verdana" w:eastAsia="Verdana" w:hAnsi="Verdana" w:cs="Verdana"/>
                <w:i/>
                <w:noProof/>
                <w:color w:val="000000"/>
                <w:sz w:val="18"/>
              </w:rPr>
              <w:t>Impairment</w:t>
            </w:r>
          </w:p>
        </w:tc>
        <w:tc>
          <w:tcPr>
            <w:tcW w:w="1895" w:type="dxa"/>
            <w:tcBorders>
              <w:top w:val="nil"/>
              <w:left w:val="nil"/>
              <w:bottom w:val="single" w:sz="4" w:space="0" w:color="016794"/>
              <w:right w:val="nil"/>
              <w:tl2br w:val="nil"/>
              <w:tr2bl w:val="nil"/>
            </w:tcBorders>
            <w:tcMar>
              <w:left w:w="60" w:type="dxa"/>
              <w:right w:w="60" w:type="dxa"/>
            </w:tcMar>
            <w:vAlign w:val="center"/>
          </w:tcPr>
          <w:p w14:paraId="475D4969" w14:textId="77777777" w:rsidR="00807FFE" w:rsidRDefault="00023E71">
            <w:pPr>
              <w:pStyle w:val="DMETW36746BIPRMS"/>
              <w:jc w:val="right"/>
              <w:rPr>
                <w:rFonts w:ascii="Verdana" w:eastAsia="Verdana" w:hAnsi="Verdana" w:cs="Verdana"/>
                <w:i/>
                <w:noProof/>
                <w:color w:val="000000"/>
                <w:sz w:val="18"/>
              </w:rPr>
            </w:pPr>
            <w:r>
              <w:rPr>
                <w:rFonts w:ascii="Verdana" w:eastAsia="Verdana" w:hAnsi="Verdana" w:cs="Verdana"/>
                <w:i/>
                <w:noProof/>
                <w:color w:val="000000"/>
                <w:sz w:val="18"/>
              </w:rPr>
              <w:t xml:space="preserve"> (607)</w:t>
            </w:r>
          </w:p>
        </w:tc>
        <w:tc>
          <w:tcPr>
            <w:tcW w:w="1735" w:type="dxa"/>
            <w:tcBorders>
              <w:top w:val="nil"/>
              <w:left w:val="nil"/>
              <w:bottom w:val="single" w:sz="4" w:space="0" w:color="016794"/>
              <w:right w:val="nil"/>
              <w:tl2br w:val="nil"/>
              <w:tr2bl w:val="nil"/>
            </w:tcBorders>
            <w:tcMar>
              <w:left w:w="60" w:type="dxa"/>
              <w:right w:w="60" w:type="dxa"/>
            </w:tcMar>
            <w:vAlign w:val="center"/>
          </w:tcPr>
          <w:p w14:paraId="60D61AAF" w14:textId="77777777" w:rsidR="00807FFE" w:rsidRDefault="00023E71">
            <w:pPr>
              <w:pStyle w:val="DMETW36746BIPRM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(741)</w:t>
            </w:r>
          </w:p>
        </w:tc>
      </w:tr>
      <w:tr w:rsidR="00807FFE" w14:paraId="7112F4BF" w14:textId="77777777">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14:paraId="44C6212C" w14:textId="77777777" w:rsidR="00807FFE" w:rsidRDefault="00023E71">
            <w:pPr>
              <w:pStyle w:val="DMETW36746BIPRMS"/>
              <w:rPr>
                <w:rFonts w:ascii="Verdana" w:eastAsia="Verdana" w:hAnsi="Verdana" w:cs="Verdana"/>
                <w:b/>
                <w:noProof/>
                <w:color w:val="000000"/>
                <w:sz w:val="18"/>
              </w:rPr>
            </w:pPr>
            <w:r>
              <w:rPr>
                <w:rFonts w:ascii="Verdana" w:eastAsia="Verdana" w:hAnsi="Verdana" w:cs="Verdana"/>
                <w:b/>
                <w:noProof/>
                <w:color w:val="000000"/>
                <w:sz w:val="18"/>
              </w:rPr>
              <w:t>EAGF and rural development recoverables</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14:paraId="7FF361B5" w14:textId="77777777" w:rsidR="00807FFE" w:rsidRDefault="00023E71">
            <w:pPr>
              <w:pStyle w:val="DMETW36746BIPRMS"/>
              <w:jc w:val="right"/>
              <w:rPr>
                <w:rFonts w:ascii="Verdana" w:eastAsia="Verdana" w:hAnsi="Verdana" w:cs="Verdana"/>
                <w:b/>
                <w:noProof/>
                <w:color w:val="000000"/>
                <w:sz w:val="18"/>
              </w:rPr>
            </w:pPr>
            <w:r>
              <w:rPr>
                <w:rFonts w:ascii="Verdana" w:eastAsia="Verdana" w:hAnsi="Verdana" w:cs="Verdana"/>
                <w:b/>
                <w:noProof/>
                <w:color w:val="000000"/>
                <w:sz w:val="18"/>
              </w:rPr>
              <w:t>1 417</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14:paraId="36F85CF5" w14:textId="77777777" w:rsidR="00807FFE" w:rsidRDefault="00023E71">
            <w:pPr>
              <w:pStyle w:val="DMETW36746BIPRM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920</w:t>
            </w:r>
          </w:p>
        </w:tc>
      </w:tr>
      <w:tr w:rsidR="00807FFE" w14:paraId="6C447AEA" w14:textId="77777777">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14:paraId="7F444A1B" w14:textId="77777777" w:rsidR="00807FFE" w:rsidRDefault="00023E71">
            <w:pPr>
              <w:pStyle w:val="DMETW36746BIPRMS"/>
              <w:rPr>
                <w:rFonts w:ascii="Verdana" w:eastAsia="Verdana" w:hAnsi="Verdana" w:cs="Verdana"/>
                <w:b/>
                <w:noProof/>
                <w:color w:val="000000"/>
                <w:sz w:val="18"/>
              </w:rPr>
            </w:pPr>
            <w:r>
              <w:rPr>
                <w:rFonts w:ascii="Verdana" w:eastAsia="Verdana" w:hAnsi="Verdana" w:cs="Verdana"/>
                <w:b/>
                <w:noProof/>
                <w:color w:val="000000"/>
                <w:sz w:val="18"/>
              </w:rPr>
              <w:t>Pre-financing recovery</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14:paraId="79DBDE6C" w14:textId="77777777" w:rsidR="00807FFE" w:rsidRDefault="00023E71">
            <w:pPr>
              <w:pStyle w:val="DMETW36746BIPRMS"/>
              <w:jc w:val="right"/>
              <w:rPr>
                <w:rFonts w:ascii="Verdana" w:eastAsia="Verdana" w:hAnsi="Verdana" w:cs="Verdana"/>
                <w:b/>
                <w:noProof/>
                <w:color w:val="000000"/>
                <w:sz w:val="18"/>
              </w:rPr>
            </w:pPr>
            <w:r>
              <w:rPr>
                <w:rFonts w:ascii="Verdana" w:eastAsia="Verdana" w:hAnsi="Verdana" w:cs="Verdana"/>
                <w:b/>
                <w:noProof/>
                <w:color w:val="000000"/>
                <w:sz w:val="18"/>
              </w:rPr>
              <w:t xml:space="preserve"> 21</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14:paraId="02F0D5BE" w14:textId="77777777" w:rsidR="00807FFE" w:rsidRDefault="00023E71">
            <w:pPr>
              <w:pStyle w:val="DMETW36746BIPRM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16</w:t>
            </w:r>
          </w:p>
        </w:tc>
      </w:tr>
      <w:tr w:rsidR="00807FFE" w14:paraId="4A211703" w14:textId="77777777">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14:paraId="1A2C5940" w14:textId="77777777" w:rsidR="00807FFE" w:rsidRDefault="00023E71">
            <w:pPr>
              <w:pStyle w:val="DMETW36746BIPRMS"/>
              <w:rPr>
                <w:rFonts w:ascii="Verdana" w:eastAsia="Verdana" w:hAnsi="Verdana" w:cs="Verdana"/>
                <w:b/>
                <w:noProof/>
                <w:color w:val="000000"/>
                <w:sz w:val="18"/>
              </w:rPr>
            </w:pPr>
            <w:r>
              <w:rPr>
                <w:rFonts w:ascii="Verdana" w:eastAsia="Verdana" w:hAnsi="Verdana" w:cs="Verdana"/>
                <w:b/>
                <w:noProof/>
                <w:color w:val="000000"/>
                <w:sz w:val="18"/>
              </w:rPr>
              <w:t>VAT paid and recoverable</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14:paraId="3268A892" w14:textId="77777777" w:rsidR="00807FFE" w:rsidRDefault="00023E71">
            <w:pPr>
              <w:pStyle w:val="DMETW36746BIPRMS"/>
              <w:jc w:val="right"/>
              <w:rPr>
                <w:rFonts w:ascii="Verdana" w:eastAsia="Verdana" w:hAnsi="Verdana" w:cs="Verdana"/>
                <w:b/>
                <w:noProof/>
                <w:color w:val="000000"/>
                <w:sz w:val="18"/>
              </w:rPr>
            </w:pPr>
            <w:r>
              <w:rPr>
                <w:rFonts w:ascii="Verdana" w:eastAsia="Verdana" w:hAnsi="Verdana" w:cs="Verdana"/>
                <w:b/>
                <w:noProof/>
                <w:color w:val="000000"/>
                <w:sz w:val="18"/>
              </w:rPr>
              <w:t xml:space="preserve"> 56</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14:paraId="7417A4FB" w14:textId="77777777" w:rsidR="00807FFE" w:rsidRDefault="00023E71">
            <w:pPr>
              <w:pStyle w:val="DMETW36746BIPRM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53</w:t>
            </w:r>
          </w:p>
        </w:tc>
      </w:tr>
      <w:tr w:rsidR="00807FFE" w14:paraId="0C566395" w14:textId="77777777">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14:paraId="727CA23B" w14:textId="77777777" w:rsidR="00807FFE" w:rsidRDefault="00023E71">
            <w:pPr>
              <w:pStyle w:val="DMETW36746BIPRMS"/>
              <w:rPr>
                <w:rFonts w:ascii="Verdana" w:eastAsia="Verdana" w:hAnsi="Verdana" w:cs="Verdana"/>
                <w:b/>
                <w:noProof/>
                <w:color w:val="000000"/>
                <w:sz w:val="18"/>
              </w:rPr>
            </w:pPr>
            <w:r>
              <w:rPr>
                <w:rFonts w:ascii="Verdana" w:eastAsia="Verdana" w:hAnsi="Verdana" w:cs="Verdana"/>
                <w:b/>
                <w:noProof/>
                <w:color w:val="000000"/>
                <w:sz w:val="18"/>
              </w:rPr>
              <w:t>Other recoverables from Member States</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14:paraId="3268B0F6" w14:textId="77777777" w:rsidR="00807FFE" w:rsidRDefault="00023E71">
            <w:pPr>
              <w:pStyle w:val="DMETW36746BIPRMS"/>
              <w:jc w:val="right"/>
              <w:rPr>
                <w:rFonts w:ascii="Verdana" w:eastAsia="Verdana" w:hAnsi="Verdana" w:cs="Verdana"/>
                <w:b/>
                <w:noProof/>
                <w:color w:val="000000"/>
                <w:sz w:val="18"/>
              </w:rPr>
            </w:pPr>
            <w:r>
              <w:rPr>
                <w:rFonts w:ascii="Verdana" w:eastAsia="Verdana" w:hAnsi="Verdana" w:cs="Verdana"/>
                <w:b/>
                <w:noProof/>
                <w:color w:val="000000"/>
                <w:sz w:val="18"/>
              </w:rPr>
              <w:t xml:space="preserve"> 215</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14:paraId="7559AD33" w14:textId="77777777" w:rsidR="00807FFE" w:rsidRDefault="00023E71">
            <w:pPr>
              <w:pStyle w:val="DMETW36746BIPRM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242</w:t>
            </w:r>
          </w:p>
        </w:tc>
      </w:tr>
      <w:tr w:rsidR="00807FFE" w14:paraId="19BA35FF" w14:textId="77777777">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14:paraId="69370DE3" w14:textId="77777777" w:rsidR="00807FFE" w:rsidRDefault="00023E71">
            <w:pPr>
              <w:pStyle w:val="DMETW36746BIPRMS"/>
              <w:rPr>
                <w:rFonts w:ascii="Verdana" w:eastAsia="Verdana" w:hAnsi="Verdana" w:cs="Verdana"/>
                <w:b/>
                <w:noProof/>
                <w:color w:val="000000"/>
                <w:sz w:val="18"/>
              </w:rPr>
            </w:pPr>
            <w:r>
              <w:rPr>
                <w:rFonts w:ascii="Verdana" w:eastAsia="Verdana" w:hAnsi="Verdana" w:cs="Verdana"/>
                <w:b/>
                <w:noProof/>
                <w:color w:val="000000"/>
                <w:sz w:val="18"/>
              </w:rPr>
              <w:t>Total</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14:paraId="001CB79A" w14:textId="77777777" w:rsidR="00807FFE" w:rsidRDefault="00023E71">
            <w:pPr>
              <w:pStyle w:val="DMETW36746BIPRMS"/>
              <w:jc w:val="right"/>
              <w:rPr>
                <w:rFonts w:ascii="Verdana" w:eastAsia="Verdana" w:hAnsi="Verdana" w:cs="Verdana"/>
                <w:b/>
                <w:noProof/>
                <w:color w:val="000000"/>
                <w:sz w:val="18"/>
              </w:rPr>
            </w:pPr>
            <w:r>
              <w:rPr>
                <w:rFonts w:ascii="Verdana" w:eastAsia="Verdana" w:hAnsi="Verdana" w:cs="Verdana"/>
                <w:b/>
                <w:noProof/>
                <w:color w:val="000000"/>
                <w:sz w:val="18"/>
              </w:rPr>
              <w:t>5 694</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14:paraId="68BC4544" w14:textId="77777777" w:rsidR="00807FFE" w:rsidRDefault="00023E71">
            <w:pPr>
              <w:pStyle w:val="DMETW36746BIPRMS"/>
              <w:jc w:val="right"/>
              <w:rPr>
                <w:rFonts w:ascii="Verdana" w:eastAsia="Verdana" w:hAnsi="Verdana" w:cs="Verdana"/>
                <w:b/>
                <w:noProof/>
                <w:color w:val="000000"/>
                <w:sz w:val="18"/>
                <w:lang w:bidi="en-GB"/>
              </w:rPr>
            </w:pPr>
            <w:r>
              <w:rPr>
                <w:rFonts w:ascii="Verdana" w:eastAsia="Verdana" w:hAnsi="Verdana" w:cs="Verdana"/>
                <w:b/>
                <w:noProof/>
                <w:color w:val="000000"/>
                <w:sz w:val="18"/>
              </w:rPr>
              <w:t>4 943</w:t>
            </w:r>
          </w:p>
        </w:tc>
      </w:tr>
      <w:tr w:rsidR="00807FFE" w14:paraId="5E3ED85D" w14:textId="77777777">
        <w:trPr>
          <w:trHeight w:val="255"/>
        </w:trPr>
        <w:tc>
          <w:tcPr>
            <w:tcW w:w="6128" w:type="dxa"/>
            <w:tcBorders>
              <w:top w:val="single" w:sz="4" w:space="0" w:color="016794"/>
              <w:left w:val="nil"/>
              <w:bottom w:val="nil"/>
              <w:right w:val="nil"/>
              <w:tl2br w:val="nil"/>
              <w:tr2bl w:val="nil"/>
            </w:tcBorders>
            <w:tcMar>
              <w:left w:w="60" w:type="dxa"/>
              <w:right w:w="60" w:type="dxa"/>
            </w:tcMar>
            <w:vAlign w:val="center"/>
          </w:tcPr>
          <w:p w14:paraId="17B635E8" w14:textId="77777777" w:rsidR="00807FFE" w:rsidRDefault="00023E71">
            <w:pPr>
              <w:pStyle w:val="DMETW36746BIPRMS"/>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895" w:type="dxa"/>
            <w:tcBorders>
              <w:top w:val="single" w:sz="4" w:space="0" w:color="016794"/>
              <w:left w:val="nil"/>
              <w:bottom w:val="nil"/>
              <w:right w:val="nil"/>
              <w:tl2br w:val="nil"/>
              <w:tr2bl w:val="nil"/>
            </w:tcBorders>
            <w:tcMar>
              <w:left w:w="60" w:type="dxa"/>
              <w:right w:w="60" w:type="dxa"/>
            </w:tcMar>
            <w:vAlign w:val="center"/>
          </w:tcPr>
          <w:p w14:paraId="443EB696" w14:textId="77777777" w:rsidR="00807FFE" w:rsidRDefault="00023E71">
            <w:pPr>
              <w:pStyle w:val="DMETW36746BIPRMS"/>
              <w:jc w:val="right"/>
              <w:rPr>
                <w:rFonts w:ascii="Verdana" w:eastAsia="Verdana" w:hAnsi="Verdana" w:cs="Verdana"/>
                <w:i/>
                <w:noProof/>
                <w:color w:val="016794"/>
                <w:sz w:val="18"/>
              </w:rPr>
            </w:pPr>
            <w:r>
              <w:rPr>
                <w:rFonts w:ascii="Verdana" w:eastAsia="Verdana" w:hAnsi="Verdana" w:cs="Verdana"/>
                <w:i/>
                <w:noProof/>
                <w:color w:val="016794"/>
                <w:sz w:val="18"/>
              </w:rPr>
              <w:t xml:space="preserve"> 597</w:t>
            </w:r>
          </w:p>
        </w:tc>
        <w:tc>
          <w:tcPr>
            <w:tcW w:w="1735" w:type="dxa"/>
            <w:tcBorders>
              <w:top w:val="single" w:sz="4" w:space="0" w:color="016794"/>
              <w:left w:val="nil"/>
              <w:bottom w:val="nil"/>
              <w:right w:val="nil"/>
              <w:tl2br w:val="nil"/>
              <w:tr2bl w:val="nil"/>
            </w:tcBorders>
            <w:tcMar>
              <w:left w:w="60" w:type="dxa"/>
              <w:right w:w="60" w:type="dxa"/>
            </w:tcMar>
            <w:vAlign w:val="center"/>
          </w:tcPr>
          <w:p w14:paraId="34EF5FE6" w14:textId="77777777" w:rsidR="00807FFE" w:rsidRDefault="00023E71">
            <w:pPr>
              <w:pStyle w:val="DMETW36746BIPRMS"/>
              <w:jc w:val="right"/>
              <w:rPr>
                <w:rFonts w:ascii="Verdana" w:eastAsia="Verdana" w:hAnsi="Verdana" w:cs="Verdana"/>
                <w:i/>
                <w:noProof/>
                <w:color w:val="016794"/>
                <w:sz w:val="18"/>
                <w:lang w:bidi="en-GB"/>
              </w:rPr>
            </w:pPr>
            <w:r>
              <w:rPr>
                <w:rFonts w:ascii="Verdana" w:eastAsia="Verdana" w:hAnsi="Verdana" w:cs="Verdana"/>
                <w:i/>
                <w:noProof/>
                <w:color w:val="016794"/>
                <w:sz w:val="18"/>
              </w:rPr>
              <w:t xml:space="preserve"> 275</w:t>
            </w:r>
          </w:p>
        </w:tc>
      </w:tr>
      <w:tr w:rsidR="00807FFE" w14:paraId="6F80EEC9" w14:textId="77777777">
        <w:trPr>
          <w:trHeight w:val="255"/>
        </w:trPr>
        <w:tc>
          <w:tcPr>
            <w:tcW w:w="6128" w:type="dxa"/>
            <w:tcBorders>
              <w:top w:val="nil"/>
              <w:left w:val="nil"/>
              <w:bottom w:val="nil"/>
              <w:right w:val="nil"/>
              <w:tl2br w:val="nil"/>
              <w:tr2bl w:val="nil"/>
            </w:tcBorders>
            <w:tcMar>
              <w:left w:w="60" w:type="dxa"/>
              <w:right w:w="60" w:type="dxa"/>
            </w:tcMar>
            <w:vAlign w:val="center"/>
          </w:tcPr>
          <w:p w14:paraId="2BFF5183" w14:textId="77777777" w:rsidR="00807FFE" w:rsidRDefault="00023E71">
            <w:pPr>
              <w:pStyle w:val="DMETW36746BIPRMS"/>
              <w:rPr>
                <w:rFonts w:ascii="Verdana" w:eastAsia="Verdana" w:hAnsi="Verdana" w:cs="Verdana"/>
                <w:i/>
                <w:noProof/>
                <w:color w:val="016794"/>
                <w:sz w:val="18"/>
              </w:rPr>
            </w:pPr>
            <w:r>
              <w:rPr>
                <w:rFonts w:ascii="Verdana" w:eastAsia="Verdana" w:hAnsi="Verdana" w:cs="Verdana"/>
                <w:i/>
                <w:noProof/>
                <w:color w:val="016794"/>
                <w:sz w:val="18"/>
              </w:rPr>
              <w:t>Current</w:t>
            </w:r>
          </w:p>
        </w:tc>
        <w:tc>
          <w:tcPr>
            <w:tcW w:w="1895" w:type="dxa"/>
            <w:tcBorders>
              <w:top w:val="nil"/>
              <w:left w:val="nil"/>
              <w:bottom w:val="nil"/>
              <w:right w:val="nil"/>
              <w:tl2br w:val="nil"/>
              <w:tr2bl w:val="nil"/>
            </w:tcBorders>
            <w:tcMar>
              <w:left w:w="60" w:type="dxa"/>
              <w:right w:w="60" w:type="dxa"/>
            </w:tcMar>
            <w:vAlign w:val="center"/>
          </w:tcPr>
          <w:p w14:paraId="7CE6CD60" w14:textId="77777777" w:rsidR="00807FFE" w:rsidRDefault="00023E71">
            <w:pPr>
              <w:pStyle w:val="DMETW36746BIPRMS"/>
              <w:jc w:val="right"/>
              <w:rPr>
                <w:rFonts w:ascii="Verdana" w:eastAsia="Verdana" w:hAnsi="Verdana" w:cs="Verdana"/>
                <w:i/>
                <w:noProof/>
                <w:color w:val="016794"/>
                <w:sz w:val="18"/>
              </w:rPr>
            </w:pPr>
            <w:r>
              <w:rPr>
                <w:rFonts w:ascii="Verdana" w:eastAsia="Verdana" w:hAnsi="Verdana" w:cs="Verdana"/>
                <w:i/>
                <w:noProof/>
                <w:color w:val="016794"/>
                <w:sz w:val="18"/>
              </w:rPr>
              <w:t>5 097</w:t>
            </w:r>
          </w:p>
        </w:tc>
        <w:tc>
          <w:tcPr>
            <w:tcW w:w="1735" w:type="dxa"/>
            <w:tcBorders>
              <w:top w:val="nil"/>
              <w:left w:val="nil"/>
              <w:bottom w:val="nil"/>
              <w:right w:val="nil"/>
              <w:tl2br w:val="nil"/>
              <w:tr2bl w:val="nil"/>
            </w:tcBorders>
            <w:tcMar>
              <w:left w:w="60" w:type="dxa"/>
              <w:right w:w="60" w:type="dxa"/>
            </w:tcMar>
            <w:vAlign w:val="center"/>
          </w:tcPr>
          <w:p w14:paraId="3D61E452" w14:textId="77777777" w:rsidR="00807FFE" w:rsidRDefault="00023E71">
            <w:pPr>
              <w:pStyle w:val="DMETW36746BIPRMS"/>
              <w:jc w:val="right"/>
              <w:rPr>
                <w:rFonts w:ascii="Verdana" w:eastAsia="Verdana" w:hAnsi="Verdana" w:cs="Verdana"/>
                <w:i/>
                <w:noProof/>
                <w:color w:val="016794"/>
                <w:sz w:val="18"/>
              </w:rPr>
            </w:pPr>
            <w:r>
              <w:rPr>
                <w:rFonts w:ascii="Verdana" w:eastAsia="Verdana" w:hAnsi="Verdana" w:cs="Verdana"/>
                <w:i/>
                <w:noProof/>
                <w:color w:val="016794"/>
                <w:sz w:val="18"/>
              </w:rPr>
              <w:t>4 667</w:t>
            </w:r>
          </w:p>
        </w:tc>
      </w:tr>
    </w:tbl>
    <w:p w14:paraId="40557C6C" w14:textId="77777777" w:rsidR="00A7502B" w:rsidRPr="004A7509" w:rsidRDefault="00023E71" w:rsidP="00A7502B">
      <w:pPr>
        <w:pStyle w:val="Textstand-alone"/>
        <w:rPr>
          <w:rFonts w:eastAsia="Calibri"/>
        </w:rPr>
      </w:pPr>
      <w:r w:rsidRPr="00D602AA">
        <w:rPr>
          <w:rFonts w:eastAsia="Calibri"/>
        </w:rPr>
        <w:t xml:space="preserve">The non-current amounts due from Member States relate mainly to non-executed conformity </w:t>
      </w:r>
      <w:r w:rsidRPr="004A7509">
        <w:rPr>
          <w:rFonts w:eastAsia="Calibri"/>
        </w:rPr>
        <w:t>clearance decisions for the European Agricultural Guarantee Fund (EAGF) as well as for the European Agricultural Fund for Rural Development (EAFRD). The amounts related to these decisions are being recovered in annual instalments.</w:t>
      </w:r>
    </w:p>
    <w:p w14:paraId="2A930830" w14:textId="77777777" w:rsidR="00A7502B" w:rsidRPr="00F47CA4" w:rsidRDefault="00023E71" w:rsidP="00A7502B">
      <w:pPr>
        <w:pStyle w:val="Textstand-alone"/>
        <w:rPr>
          <w:b/>
        </w:rPr>
      </w:pPr>
      <w:r w:rsidRPr="00C56ECC">
        <w:rPr>
          <w:color w:val="016794"/>
        </w:rPr>
        <w:t>Own resources recoverables</w:t>
      </w:r>
    </w:p>
    <w:p w14:paraId="65ADE1D1" w14:textId="77777777" w:rsidR="00D738EB" w:rsidRDefault="00023E71" w:rsidP="00D738EB">
      <w:pPr>
        <w:pStyle w:val="DGTextstand-alone"/>
      </w:pPr>
      <w:r>
        <w:t xml:space="preserve">The 'A accounts' refer to the monthly statements in which the Member States communicate the established traditional own resources (TOR) entitlements. The table lists the ‘A accounts’ amounts that have not yet been paid to the Commission. TOR are mainly customs duties collected by Member States on behalf of the Commission. </w:t>
      </w:r>
    </w:p>
    <w:p w14:paraId="5ABCFA99" w14:textId="77777777" w:rsidR="00BA23ED" w:rsidRDefault="00023E71" w:rsidP="00A87C13">
      <w:pPr>
        <w:pStyle w:val="DGTextstand-alone"/>
      </w:pPr>
      <w:r w:rsidRPr="00BA23ED">
        <w:t xml:space="preserve">The 'A accounts' have tended to have a level in the range of EUR 3 to 4 billion at year-end. In 2025, the amounts declared by the Member States are around the usual level. The final amount reflects to a great extent the customs duties established in November and December 2025. </w:t>
      </w:r>
    </w:p>
    <w:p w14:paraId="1EE69A19" w14:textId="77777777" w:rsidR="00A87C13" w:rsidRDefault="00023E71" w:rsidP="00A87C13">
      <w:pPr>
        <w:pStyle w:val="DGTextstand-alone"/>
      </w:pPr>
      <w:r>
        <w:t xml:space="preserve">Concerning the United Kingdom infringement case (Infringement No 2018/2008), on 8 March 2022, the Court issued the related judgement and confirmed that the UK had infringed its obligations to protect the Union budget. The case originated in a 2017 OLAF report, that found that importers in the UK had evaded a large amount of customs duties by using fictitious and false invoices and incorrect customs value declarations at the time of importation. </w:t>
      </w:r>
    </w:p>
    <w:p w14:paraId="0FB274BF" w14:textId="77777777" w:rsidR="00A87C13" w:rsidRDefault="00023E71" w:rsidP="00A87C13">
      <w:pPr>
        <w:pStyle w:val="DGTextstand-alone"/>
      </w:pPr>
      <w:r>
        <w:t xml:space="preserve">The Commission assessed the judgment, and particularly the comments of the Court with respect to the determination of the amounts due. Following a detailed analysis, the UK paid both principal and late interest amounts between 2022 and 2023 (EUR 1.6 billion for the principal and EUR 1.4 billion for late interest before the reduction of the UK share). </w:t>
      </w:r>
    </w:p>
    <w:p w14:paraId="4C3577B0" w14:textId="77777777" w:rsidR="00BA23ED" w:rsidRDefault="00023E71" w:rsidP="00D96156">
      <w:pPr>
        <w:pStyle w:val="DGTextstand-alone"/>
      </w:pPr>
      <w:r w:rsidRPr="00BA23ED">
        <w:t xml:space="preserve">Applying the same parameters for the calculation of the estimated TOR losses due for textiles and footwear imported from China at significantly understated value, Member States paid under reservation an amount of EUR 1.9 billion during 2021 and 2022. Following the closure of the undervaluation file regarding the UK in 2023, the Commission has been recalculating in cooperation with Member States their respective final amounts due in accordance with the Court ruling case C-213/19. In 2024 and 2025, the final amounts of principal and interest due have been agreed with several Member States and the respective cases have been closed. Clarifications with some Member States are still ongoing to establish the final amounts due. By 31 December 2025, the accounts are adjusted </w:t>
      </w:r>
      <w:r>
        <w:t xml:space="preserve">downward </w:t>
      </w:r>
      <w:r w:rsidRPr="00BA23ED">
        <w:t>by EUR 0.24 billion that reflects the revenue correction.</w:t>
      </w:r>
    </w:p>
    <w:p w14:paraId="3A3D6C89" w14:textId="77777777" w:rsidR="00BA23ED" w:rsidRDefault="00023E71" w:rsidP="00D738EB">
      <w:pPr>
        <w:pStyle w:val="DGTextstand-alone"/>
      </w:pPr>
      <w:r w:rsidRPr="00BA23ED">
        <w:t xml:space="preserve">The late payment interest due in relation to these cases is currently estimated to be EUR 0.3 billion at 31 December 2025 (see </w:t>
      </w:r>
      <w:r>
        <w:t>N</w:t>
      </w:r>
      <w:r w:rsidRPr="00BA23ED">
        <w:t xml:space="preserve">ote </w:t>
      </w:r>
      <w:r w:rsidRPr="00BA23ED">
        <w:rPr>
          <w:b/>
          <w:bCs/>
        </w:rPr>
        <w:t>2.6.2</w:t>
      </w:r>
      <w:r w:rsidRPr="00BA23ED">
        <w:t xml:space="preserve">). </w:t>
      </w:r>
    </w:p>
    <w:p w14:paraId="61799630" w14:textId="77777777" w:rsidR="00D738EB" w:rsidRDefault="00023E71" w:rsidP="00D738EB">
      <w:pPr>
        <w:pStyle w:val="DGTextstand-alone"/>
      </w:pPr>
      <w:r>
        <w:t>‘Separate accounts’ refers to established entitlements that have not been included in the 'A accounts', because they have not been recovered by Member States and no security (i.e. guarantee) has been provided (or security has been provided but the amounts are contested). These entitlements are subject to impairment based on information provided every year by the Member States. The impairment amounts represent generally a similar percentage of the principal amount at each year-end.</w:t>
      </w:r>
    </w:p>
    <w:p w14:paraId="1083A826" w14:textId="77777777" w:rsidR="00A7502B" w:rsidRDefault="00023E71" w:rsidP="00A7502B">
      <w:pPr>
        <w:pStyle w:val="Textstand-alone"/>
        <w:rPr>
          <w:b/>
        </w:rPr>
      </w:pPr>
      <w:r w:rsidRPr="00C56ECC">
        <w:rPr>
          <w:color w:val="016794"/>
        </w:rPr>
        <w:t>EAGF and Rural Development recoverables</w:t>
      </w:r>
    </w:p>
    <w:p w14:paraId="25D6852F" w14:textId="77777777" w:rsidR="00584A29" w:rsidRDefault="00023E71" w:rsidP="00A7502B">
      <w:pPr>
        <w:pStyle w:val="DGTextstand-alone"/>
      </w:pPr>
      <w:r w:rsidRPr="00127B7C">
        <w:t xml:space="preserve">This item primarily covers the </w:t>
      </w:r>
      <w:r>
        <w:t>amounts owed by Member States at 31 December 2025, as declared and certified by the Member States as at 15 October 2025. An estimation is made for the recoverables arising after this declaration and up to 31 December 2025. The Commission also estimates a write-down for the amounts owed by beneficiaries that are unlikely to be recovered. The fact that such an adjustment is made does not mean that the Commission is waiving future recovery of these amounts. A deduction of 20% is also included in the adjustment and corresponds to what Member States are allowed to retain to cover administrative costs.</w:t>
      </w:r>
    </w:p>
    <w:p w14:paraId="31C02B93" w14:textId="77777777" w:rsidR="00584A29" w:rsidRDefault="00023E71">
      <w:pPr>
        <w:rPr>
          <w:rFonts w:ascii="Verdana" w:eastAsia="Calibri" w:hAnsi="Verdana"/>
          <w:noProof/>
          <w:sz w:val="18"/>
          <w:szCs w:val="18"/>
        </w:rPr>
      </w:pPr>
      <w:r>
        <w:rPr>
          <w:noProof/>
        </w:rPr>
        <w:br w:type="page"/>
      </w:r>
    </w:p>
    <w:p w14:paraId="34547587" w14:textId="77777777" w:rsidR="00A7502B" w:rsidRDefault="00023E71" w:rsidP="00172034">
      <w:pPr>
        <w:pStyle w:val="HEADER4NOTES"/>
        <w:numPr>
          <w:ilvl w:val="3"/>
          <w:numId w:val="15"/>
        </w:numPr>
        <w:rPr>
          <w:noProof/>
        </w:rPr>
      </w:pPr>
      <w:r>
        <w:rPr>
          <w:noProof/>
        </w:rPr>
        <w:t>UK Withdrawal Agreement</w:t>
      </w:r>
    </w:p>
    <w:p w14:paraId="272D8EB1" w14:textId="77777777" w:rsidR="000C380E" w:rsidRDefault="00023E71" w:rsidP="000C380E">
      <w:pPr>
        <w:pStyle w:val="DGTextstand-alone"/>
        <w:spacing w:after="120"/>
      </w:pPr>
      <w:r>
        <w:t xml:space="preserve">The ‘Agreement on the withdrawal of the United Kingdom of Great Britain and Northern Ireland from the European Union and the European Atomic Energy Community’ (ref. 2019/C 384 I/01) (the ‘Withdrawal </w:t>
      </w:r>
      <w:r w:rsidRPr="00584A29">
        <w:t xml:space="preserve">Agreement’ or ‘WA’) signed between the EU and the UK </w:t>
      </w:r>
      <w:r w:rsidR="00B336B6" w:rsidRPr="00B336B6">
        <w:t>lays down</w:t>
      </w:r>
      <w:r w:rsidRPr="00584A29">
        <w:t xml:space="preserve"> various financial obligations </w:t>
      </w:r>
      <w:r w:rsidR="00B336B6">
        <w:t>for</w:t>
      </w:r>
      <w:r w:rsidRPr="00584A29">
        <w:t xml:space="preserve"> both parties. As at 31 December </w:t>
      </w:r>
      <w:r w:rsidR="009B2700">
        <w:t>202</w:t>
      </w:r>
      <w:r w:rsidR="00404E53">
        <w:t>5</w:t>
      </w:r>
      <w:r w:rsidRPr="00584A29">
        <w:t xml:space="preserve">, the net receivable from the UK based on these obligations amounted to EUR </w:t>
      </w:r>
      <w:r w:rsidR="00D02FCC">
        <w:t xml:space="preserve">10 </w:t>
      </w:r>
      <w:r>
        <w:t xml:space="preserve">761 </w:t>
      </w:r>
      <w:r w:rsidRPr="00584A29">
        <w:t>million (202</w:t>
      </w:r>
      <w:r w:rsidR="00404E53">
        <w:t>4</w:t>
      </w:r>
      <w:r w:rsidRPr="00584A29">
        <w:t xml:space="preserve">: EUR </w:t>
      </w:r>
      <w:r w:rsidR="00404E53">
        <w:t>12 762</w:t>
      </w:r>
      <w:r w:rsidRPr="00584A29">
        <w:t xml:space="preserve"> million), of which EUR </w:t>
      </w:r>
      <w:r>
        <w:t>505</w:t>
      </w:r>
      <w:r w:rsidRPr="00584A29">
        <w:t xml:space="preserve"> million </w:t>
      </w:r>
      <w:r w:rsidRPr="006F5B7A">
        <w:t xml:space="preserve">is to </w:t>
      </w:r>
      <w:r w:rsidRPr="006F6B4A">
        <w:t xml:space="preserve">be </w:t>
      </w:r>
      <w:r w:rsidR="00CD748F" w:rsidRPr="006F6B4A">
        <w:t>received</w:t>
      </w:r>
      <w:r>
        <w:t xml:space="preserve"> within the 12 months following the reporting date (202</w:t>
      </w:r>
      <w:r w:rsidR="00404E53">
        <w:t>4</w:t>
      </w:r>
      <w:r>
        <w:t xml:space="preserve">: EUR </w:t>
      </w:r>
      <w:r w:rsidR="00404E53">
        <w:t>1 530</w:t>
      </w:r>
      <w:r>
        <w:t xml:space="preserve">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1293"/>
        <w:gridCol w:w="1293"/>
        <w:gridCol w:w="1293"/>
        <w:gridCol w:w="1290"/>
        <w:gridCol w:w="1283"/>
      </w:tblGrid>
      <w:tr w:rsidR="00807FFE" w14:paraId="1F0D5E54" w14:textId="77777777">
        <w:trPr>
          <w:trHeight w:val="255"/>
        </w:trPr>
        <w:tc>
          <w:tcPr>
            <w:tcW w:w="3306" w:type="dxa"/>
            <w:tcBorders>
              <w:top w:val="nil"/>
              <w:left w:val="nil"/>
              <w:bottom w:val="nil"/>
              <w:right w:val="nil"/>
              <w:tl2br w:val="nil"/>
              <w:tr2bl w:val="nil"/>
            </w:tcBorders>
            <w:tcMar>
              <w:left w:w="60" w:type="dxa"/>
              <w:right w:w="60" w:type="dxa"/>
            </w:tcMar>
            <w:vAlign w:val="bottom"/>
          </w:tcPr>
          <w:p w14:paraId="19C7DD31" w14:textId="77777777" w:rsidR="00807FFE" w:rsidRDefault="00807FFE">
            <w:pPr>
              <w:pStyle w:val="DMETW36745BIPUKWA"/>
              <w:rPr>
                <w:rFonts w:ascii="Arial" w:eastAsia="Arial" w:hAnsi="Arial" w:cs="Arial"/>
                <w:noProof/>
                <w:color w:val="000000"/>
                <w:lang w:bidi="en-GB"/>
              </w:rPr>
            </w:pPr>
            <w:bookmarkStart w:id="126" w:name="DOC_TBL00033_1_1"/>
            <w:bookmarkEnd w:id="126"/>
          </w:p>
        </w:tc>
        <w:tc>
          <w:tcPr>
            <w:tcW w:w="1293" w:type="dxa"/>
            <w:tcBorders>
              <w:top w:val="nil"/>
              <w:left w:val="nil"/>
              <w:bottom w:val="nil"/>
              <w:right w:val="nil"/>
              <w:tl2br w:val="nil"/>
              <w:tr2bl w:val="nil"/>
            </w:tcBorders>
            <w:tcMar>
              <w:left w:w="60" w:type="dxa"/>
              <w:right w:w="60" w:type="dxa"/>
            </w:tcMar>
            <w:vAlign w:val="bottom"/>
          </w:tcPr>
          <w:p w14:paraId="237D5FD1" w14:textId="77777777" w:rsidR="00807FFE" w:rsidRDefault="00807FFE">
            <w:pPr>
              <w:pStyle w:val="DMETW36745BIPUKWA"/>
              <w:rPr>
                <w:rFonts w:ascii="Arial" w:eastAsia="Arial" w:hAnsi="Arial" w:cs="Arial"/>
                <w:noProof/>
                <w:color w:val="000000"/>
              </w:rPr>
            </w:pPr>
          </w:p>
        </w:tc>
        <w:tc>
          <w:tcPr>
            <w:tcW w:w="1293" w:type="dxa"/>
            <w:tcBorders>
              <w:top w:val="nil"/>
              <w:left w:val="nil"/>
              <w:bottom w:val="nil"/>
              <w:right w:val="nil"/>
              <w:tl2br w:val="nil"/>
              <w:tr2bl w:val="nil"/>
            </w:tcBorders>
            <w:tcMar>
              <w:left w:w="60" w:type="dxa"/>
              <w:right w:w="60" w:type="dxa"/>
            </w:tcMar>
            <w:vAlign w:val="bottom"/>
          </w:tcPr>
          <w:p w14:paraId="1BD1A58D" w14:textId="77777777" w:rsidR="00807FFE" w:rsidRDefault="00807FFE">
            <w:pPr>
              <w:pStyle w:val="DMETW36745BIPUKWA"/>
              <w:rPr>
                <w:rFonts w:cs="Calibri"/>
                <w:noProof/>
                <w:color w:val="000000"/>
                <w:sz w:val="22"/>
              </w:rPr>
            </w:pPr>
          </w:p>
        </w:tc>
        <w:tc>
          <w:tcPr>
            <w:tcW w:w="1293" w:type="dxa"/>
            <w:tcBorders>
              <w:top w:val="nil"/>
              <w:left w:val="nil"/>
              <w:bottom w:val="nil"/>
              <w:right w:val="nil"/>
              <w:tl2br w:val="nil"/>
              <w:tr2bl w:val="nil"/>
            </w:tcBorders>
            <w:tcMar>
              <w:left w:w="60" w:type="dxa"/>
              <w:right w:w="60" w:type="dxa"/>
            </w:tcMar>
            <w:vAlign w:val="bottom"/>
          </w:tcPr>
          <w:p w14:paraId="54C8D6C8" w14:textId="77777777" w:rsidR="00807FFE" w:rsidRDefault="00807FFE">
            <w:pPr>
              <w:pStyle w:val="DMETW36745BIPUKWA"/>
              <w:jc w:val="right"/>
              <w:rPr>
                <w:rFonts w:ascii="Verdana" w:eastAsia="Verdana" w:hAnsi="Verdana" w:cs="Verdana"/>
                <w:b/>
                <w:noProof/>
                <w:color w:val="000000"/>
                <w:sz w:val="18"/>
              </w:rPr>
            </w:pPr>
          </w:p>
        </w:tc>
        <w:tc>
          <w:tcPr>
            <w:tcW w:w="1290" w:type="dxa"/>
            <w:tcBorders>
              <w:top w:val="nil"/>
              <w:left w:val="nil"/>
              <w:bottom w:val="nil"/>
              <w:right w:val="nil"/>
              <w:tl2br w:val="nil"/>
              <w:tr2bl w:val="nil"/>
            </w:tcBorders>
            <w:tcMar>
              <w:left w:w="60" w:type="dxa"/>
              <w:right w:w="60" w:type="dxa"/>
            </w:tcMar>
            <w:vAlign w:val="bottom"/>
          </w:tcPr>
          <w:p w14:paraId="37E49837" w14:textId="77777777" w:rsidR="00807FFE" w:rsidRDefault="00807FFE">
            <w:pPr>
              <w:pStyle w:val="DMETW36745BIPUKWA"/>
              <w:rPr>
                <w:rFonts w:cs="Calibri"/>
                <w:noProof/>
                <w:color w:val="000000"/>
                <w:sz w:val="22"/>
              </w:rPr>
            </w:pPr>
          </w:p>
        </w:tc>
        <w:tc>
          <w:tcPr>
            <w:tcW w:w="1283" w:type="dxa"/>
            <w:tcBorders>
              <w:top w:val="nil"/>
              <w:left w:val="nil"/>
              <w:bottom w:val="nil"/>
              <w:right w:val="nil"/>
              <w:tl2br w:val="nil"/>
              <w:tr2bl w:val="nil"/>
            </w:tcBorders>
            <w:tcMar>
              <w:left w:w="60" w:type="dxa"/>
              <w:right w:w="60" w:type="dxa"/>
            </w:tcMar>
            <w:vAlign w:val="bottom"/>
          </w:tcPr>
          <w:p w14:paraId="57B03C7D" w14:textId="77777777" w:rsidR="00807FFE" w:rsidRDefault="00023E71">
            <w:pPr>
              <w:pStyle w:val="DMETW36745BIPUKWA"/>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7A88FA7" w14:textId="77777777">
        <w:trPr>
          <w:trHeight w:val="255"/>
        </w:trPr>
        <w:tc>
          <w:tcPr>
            <w:tcW w:w="3306" w:type="dxa"/>
            <w:tcBorders>
              <w:top w:val="nil"/>
              <w:left w:val="nil"/>
              <w:bottom w:val="nil"/>
              <w:right w:val="nil"/>
              <w:tl2br w:val="nil"/>
              <w:tr2bl w:val="nil"/>
            </w:tcBorders>
            <w:shd w:val="solid" w:color="016794" w:fill="FFFFFF"/>
            <w:tcMar>
              <w:left w:w="60" w:type="dxa"/>
              <w:right w:w="60" w:type="dxa"/>
            </w:tcMar>
            <w:vAlign w:val="center"/>
          </w:tcPr>
          <w:p w14:paraId="5EE88AF7" w14:textId="77777777" w:rsidR="00807FFE" w:rsidRDefault="00807FFE">
            <w:pPr>
              <w:pStyle w:val="DMETW36745BIPUKWA"/>
              <w:jc w:val="center"/>
              <w:rPr>
                <w:rFonts w:ascii="Verdana" w:eastAsia="Verdana" w:hAnsi="Verdana" w:cs="Verdana"/>
                <w:noProof/>
                <w:color w:val="FFFFFF"/>
              </w:rPr>
            </w:pPr>
          </w:p>
        </w:tc>
        <w:tc>
          <w:tcPr>
            <w:tcW w:w="1293" w:type="dxa"/>
            <w:tcBorders>
              <w:top w:val="nil"/>
              <w:left w:val="nil"/>
              <w:bottom w:val="nil"/>
              <w:right w:val="nil"/>
              <w:tl2br w:val="nil"/>
              <w:tr2bl w:val="nil"/>
            </w:tcBorders>
            <w:shd w:val="solid" w:color="016794" w:fill="FFFFFF"/>
            <w:tcMar>
              <w:left w:w="60" w:type="dxa"/>
              <w:right w:w="60" w:type="dxa"/>
            </w:tcMar>
            <w:vAlign w:val="center"/>
          </w:tcPr>
          <w:p w14:paraId="1A280664" w14:textId="77777777" w:rsidR="00807FFE" w:rsidRDefault="00023E71">
            <w:pPr>
              <w:pStyle w:val="DMETW36745BIPUKWA"/>
              <w:jc w:val="right"/>
              <w:rPr>
                <w:rFonts w:ascii="Verdana" w:eastAsia="Verdana" w:hAnsi="Verdana" w:cs="Verdana"/>
                <w:noProof/>
                <w:color w:val="FFFFFF"/>
              </w:rPr>
            </w:pPr>
            <w:r>
              <w:rPr>
                <w:rFonts w:ascii="Verdana" w:eastAsia="Verdana" w:hAnsi="Verdana" w:cs="Verdana"/>
                <w:noProof/>
                <w:color w:val="FFFFFF"/>
              </w:rPr>
              <w:t>Article 140</w:t>
            </w:r>
          </w:p>
        </w:tc>
        <w:tc>
          <w:tcPr>
            <w:tcW w:w="1293" w:type="dxa"/>
            <w:tcBorders>
              <w:top w:val="nil"/>
              <w:left w:val="nil"/>
              <w:bottom w:val="nil"/>
              <w:right w:val="nil"/>
              <w:tl2br w:val="nil"/>
              <w:tr2bl w:val="nil"/>
            </w:tcBorders>
            <w:shd w:val="solid" w:color="016794" w:fill="FFFFFF"/>
            <w:tcMar>
              <w:left w:w="60" w:type="dxa"/>
              <w:right w:w="60" w:type="dxa"/>
            </w:tcMar>
            <w:vAlign w:val="center"/>
          </w:tcPr>
          <w:p w14:paraId="0C89E9F2" w14:textId="77777777" w:rsidR="00807FFE" w:rsidRDefault="00023E71">
            <w:pPr>
              <w:pStyle w:val="DMETW36745BIPUKWA"/>
              <w:jc w:val="right"/>
              <w:rPr>
                <w:rFonts w:ascii="Verdana" w:eastAsia="Verdana" w:hAnsi="Verdana" w:cs="Verdana"/>
                <w:noProof/>
                <w:color w:val="FFFFFF"/>
              </w:rPr>
            </w:pPr>
            <w:r>
              <w:rPr>
                <w:rFonts w:ascii="Verdana" w:eastAsia="Verdana" w:hAnsi="Verdana" w:cs="Verdana"/>
                <w:noProof/>
                <w:color w:val="FFFFFF"/>
              </w:rPr>
              <w:t>Article 142</w:t>
            </w:r>
          </w:p>
        </w:tc>
        <w:tc>
          <w:tcPr>
            <w:tcW w:w="1293" w:type="dxa"/>
            <w:tcBorders>
              <w:top w:val="nil"/>
              <w:left w:val="nil"/>
              <w:bottom w:val="nil"/>
              <w:right w:val="nil"/>
              <w:tl2br w:val="nil"/>
              <w:tr2bl w:val="nil"/>
            </w:tcBorders>
            <w:shd w:val="solid" w:color="016794" w:fill="FFFFFF"/>
            <w:tcMar>
              <w:left w:w="60" w:type="dxa"/>
              <w:right w:w="60" w:type="dxa"/>
            </w:tcMar>
            <w:vAlign w:val="center"/>
          </w:tcPr>
          <w:p w14:paraId="21E0A48F" w14:textId="77777777" w:rsidR="00807FFE" w:rsidRDefault="00023E71">
            <w:pPr>
              <w:pStyle w:val="DMETW36745BIPUKWA"/>
              <w:jc w:val="right"/>
              <w:rPr>
                <w:rFonts w:ascii="Verdana" w:eastAsia="Verdana" w:hAnsi="Verdana" w:cs="Verdana"/>
                <w:noProof/>
                <w:color w:val="FFFFFF"/>
              </w:rPr>
            </w:pPr>
            <w:r>
              <w:rPr>
                <w:rFonts w:ascii="Verdana" w:eastAsia="Verdana" w:hAnsi="Verdana" w:cs="Verdana"/>
                <w:noProof/>
                <w:color w:val="FFFFFF"/>
              </w:rPr>
              <w:t>Other</w:t>
            </w:r>
          </w:p>
        </w:tc>
        <w:tc>
          <w:tcPr>
            <w:tcW w:w="1290" w:type="dxa"/>
            <w:tcBorders>
              <w:top w:val="nil"/>
              <w:left w:val="nil"/>
              <w:bottom w:val="nil"/>
              <w:right w:val="nil"/>
              <w:tl2br w:val="nil"/>
              <w:tr2bl w:val="nil"/>
            </w:tcBorders>
            <w:shd w:val="solid" w:color="016794" w:fill="FFFFFF"/>
            <w:tcMar>
              <w:left w:w="60" w:type="dxa"/>
              <w:right w:w="60" w:type="dxa"/>
            </w:tcMar>
            <w:vAlign w:val="center"/>
          </w:tcPr>
          <w:p w14:paraId="4215CBE7" w14:textId="77777777" w:rsidR="00807FFE" w:rsidRDefault="00023E71">
            <w:pPr>
              <w:pStyle w:val="DMETW36745BIPUKWA"/>
              <w:jc w:val="right"/>
              <w:rPr>
                <w:rFonts w:ascii="Verdana" w:eastAsia="Verdana" w:hAnsi="Verdana" w:cs="Verdana"/>
                <w:noProof/>
                <w:color w:val="FFFFFF"/>
              </w:rPr>
            </w:pPr>
            <w:r>
              <w:rPr>
                <w:rFonts w:ascii="Verdana" w:eastAsia="Verdana" w:hAnsi="Verdana" w:cs="Verdana"/>
                <w:noProof/>
                <w:color w:val="FFFFFF"/>
              </w:rPr>
              <w:t>31.12.2025</w:t>
            </w:r>
          </w:p>
        </w:tc>
        <w:tc>
          <w:tcPr>
            <w:tcW w:w="1283" w:type="dxa"/>
            <w:tcBorders>
              <w:top w:val="nil"/>
              <w:left w:val="nil"/>
              <w:bottom w:val="nil"/>
              <w:right w:val="nil"/>
              <w:tl2br w:val="nil"/>
              <w:tr2bl w:val="nil"/>
            </w:tcBorders>
            <w:shd w:val="solid" w:color="016794" w:fill="FFFFFF"/>
            <w:tcMar>
              <w:left w:w="60" w:type="dxa"/>
              <w:right w:w="60" w:type="dxa"/>
            </w:tcMar>
            <w:vAlign w:val="center"/>
          </w:tcPr>
          <w:p w14:paraId="593C4178" w14:textId="77777777" w:rsidR="00807FFE" w:rsidRDefault="00023E71">
            <w:pPr>
              <w:pStyle w:val="DMETW36745BIPUKWA"/>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7E734185" w14:textId="77777777">
        <w:trPr>
          <w:trHeight w:val="255"/>
        </w:trPr>
        <w:tc>
          <w:tcPr>
            <w:tcW w:w="3306" w:type="dxa"/>
            <w:tcBorders>
              <w:top w:val="nil"/>
              <w:left w:val="nil"/>
              <w:bottom w:val="nil"/>
              <w:right w:val="nil"/>
              <w:tl2br w:val="nil"/>
              <w:tr2bl w:val="nil"/>
            </w:tcBorders>
            <w:tcMar>
              <w:left w:w="60" w:type="dxa"/>
              <w:right w:w="60" w:type="dxa"/>
            </w:tcMar>
            <w:vAlign w:val="bottom"/>
          </w:tcPr>
          <w:p w14:paraId="189BEB90" w14:textId="77777777" w:rsidR="00807FFE" w:rsidRDefault="00023E71">
            <w:pPr>
              <w:pStyle w:val="DMETW36745BIPUKWA"/>
              <w:rPr>
                <w:rFonts w:ascii="Verdana" w:eastAsia="Verdana" w:hAnsi="Verdana" w:cs="Verdana"/>
                <w:i/>
                <w:noProof/>
                <w:color w:val="000000"/>
                <w:sz w:val="18"/>
              </w:rPr>
            </w:pPr>
            <w:r>
              <w:rPr>
                <w:rFonts w:ascii="Verdana" w:eastAsia="Verdana" w:hAnsi="Verdana" w:cs="Verdana"/>
                <w:i/>
                <w:noProof/>
                <w:color w:val="000000"/>
                <w:sz w:val="18"/>
              </w:rPr>
              <w:t>Due from the UK</w:t>
            </w:r>
          </w:p>
        </w:tc>
        <w:tc>
          <w:tcPr>
            <w:tcW w:w="1293" w:type="dxa"/>
            <w:tcBorders>
              <w:top w:val="nil"/>
              <w:left w:val="nil"/>
              <w:bottom w:val="nil"/>
              <w:right w:val="nil"/>
              <w:tl2br w:val="nil"/>
              <w:tr2bl w:val="nil"/>
            </w:tcBorders>
            <w:tcMar>
              <w:left w:w="60" w:type="dxa"/>
              <w:right w:w="60" w:type="dxa"/>
            </w:tcMar>
            <w:vAlign w:val="bottom"/>
          </w:tcPr>
          <w:p w14:paraId="30A8AA63" w14:textId="77777777" w:rsidR="00807FFE" w:rsidRDefault="00023E71">
            <w:pPr>
              <w:pStyle w:val="DMETW36745BIPUKWA"/>
              <w:jc w:val="right"/>
              <w:rPr>
                <w:rFonts w:ascii="Verdana" w:eastAsia="Verdana" w:hAnsi="Verdana" w:cs="Verdana"/>
                <w:i/>
                <w:noProof/>
                <w:color w:val="000000"/>
                <w:sz w:val="18"/>
              </w:rPr>
            </w:pPr>
            <w:r>
              <w:rPr>
                <w:rFonts w:ascii="Verdana" w:eastAsia="Verdana" w:hAnsi="Verdana" w:cs="Verdana"/>
                <w:i/>
                <w:noProof/>
                <w:color w:val="000000"/>
                <w:sz w:val="18"/>
              </w:rPr>
              <w:t>2 327</w:t>
            </w:r>
          </w:p>
        </w:tc>
        <w:tc>
          <w:tcPr>
            <w:tcW w:w="1293" w:type="dxa"/>
            <w:tcBorders>
              <w:top w:val="nil"/>
              <w:left w:val="nil"/>
              <w:bottom w:val="nil"/>
              <w:right w:val="nil"/>
              <w:tl2br w:val="nil"/>
              <w:tr2bl w:val="nil"/>
            </w:tcBorders>
            <w:tcMar>
              <w:left w:w="60" w:type="dxa"/>
              <w:right w:w="60" w:type="dxa"/>
            </w:tcMar>
            <w:vAlign w:val="bottom"/>
          </w:tcPr>
          <w:p w14:paraId="519D5ED9" w14:textId="77777777" w:rsidR="00807FFE" w:rsidRDefault="00023E71">
            <w:pPr>
              <w:pStyle w:val="DMETW36745BIPUKWA"/>
              <w:jc w:val="right"/>
              <w:rPr>
                <w:rFonts w:ascii="Verdana" w:eastAsia="Verdana" w:hAnsi="Verdana" w:cs="Verdana"/>
                <w:i/>
                <w:noProof/>
                <w:color w:val="000000"/>
                <w:sz w:val="18"/>
              </w:rPr>
            </w:pPr>
            <w:r>
              <w:rPr>
                <w:rFonts w:ascii="Verdana" w:eastAsia="Verdana" w:hAnsi="Verdana" w:cs="Verdana"/>
                <w:i/>
                <w:noProof/>
                <w:color w:val="000000"/>
                <w:sz w:val="18"/>
              </w:rPr>
              <w:t>9 599</w:t>
            </w:r>
          </w:p>
        </w:tc>
        <w:tc>
          <w:tcPr>
            <w:tcW w:w="1293" w:type="dxa"/>
            <w:tcBorders>
              <w:top w:val="nil"/>
              <w:left w:val="nil"/>
              <w:bottom w:val="nil"/>
              <w:right w:val="nil"/>
              <w:tl2br w:val="nil"/>
              <w:tr2bl w:val="nil"/>
            </w:tcBorders>
            <w:tcMar>
              <w:left w:w="60" w:type="dxa"/>
              <w:right w:w="60" w:type="dxa"/>
            </w:tcMar>
            <w:vAlign w:val="bottom"/>
          </w:tcPr>
          <w:p w14:paraId="1D4C7E3B" w14:textId="77777777" w:rsidR="00807FFE" w:rsidRDefault="00023E71">
            <w:pPr>
              <w:pStyle w:val="DMETW36745BIPUKWA"/>
              <w:jc w:val="right"/>
              <w:rPr>
                <w:rFonts w:ascii="Verdana" w:eastAsia="Verdana" w:hAnsi="Verdana" w:cs="Verdana"/>
                <w:i/>
                <w:noProof/>
                <w:color w:val="000000"/>
                <w:sz w:val="18"/>
              </w:rPr>
            </w:pPr>
            <w:r>
              <w:rPr>
                <w:rFonts w:ascii="Verdana" w:eastAsia="Verdana" w:hAnsi="Verdana" w:cs="Verdana"/>
                <w:i/>
                <w:noProof/>
                <w:color w:val="000000"/>
                <w:sz w:val="18"/>
              </w:rPr>
              <w:t xml:space="preserve"> 166</w:t>
            </w:r>
          </w:p>
        </w:tc>
        <w:tc>
          <w:tcPr>
            <w:tcW w:w="1290" w:type="dxa"/>
            <w:tcBorders>
              <w:top w:val="nil"/>
              <w:left w:val="nil"/>
              <w:bottom w:val="nil"/>
              <w:right w:val="nil"/>
              <w:tl2br w:val="nil"/>
              <w:tr2bl w:val="nil"/>
            </w:tcBorders>
            <w:tcMar>
              <w:left w:w="60" w:type="dxa"/>
              <w:right w:w="60" w:type="dxa"/>
            </w:tcMar>
            <w:vAlign w:val="bottom"/>
          </w:tcPr>
          <w:p w14:paraId="1A935748" w14:textId="77777777" w:rsidR="00807FFE" w:rsidRDefault="00023E71">
            <w:pPr>
              <w:pStyle w:val="DMETW36745BIPUKWA"/>
              <w:jc w:val="right"/>
              <w:rPr>
                <w:rFonts w:ascii="Verdana" w:eastAsia="Verdana" w:hAnsi="Verdana" w:cs="Verdana"/>
                <w:i/>
                <w:noProof/>
                <w:color w:val="000000"/>
                <w:sz w:val="18"/>
              </w:rPr>
            </w:pPr>
            <w:r>
              <w:rPr>
                <w:rFonts w:ascii="Verdana" w:eastAsia="Verdana" w:hAnsi="Verdana" w:cs="Verdana"/>
                <w:i/>
                <w:noProof/>
                <w:color w:val="000000"/>
                <w:sz w:val="18"/>
              </w:rPr>
              <w:t>12 092</w:t>
            </w:r>
          </w:p>
        </w:tc>
        <w:tc>
          <w:tcPr>
            <w:tcW w:w="1283" w:type="dxa"/>
            <w:tcBorders>
              <w:top w:val="nil"/>
              <w:left w:val="nil"/>
              <w:bottom w:val="nil"/>
              <w:right w:val="nil"/>
              <w:tl2br w:val="nil"/>
              <w:tr2bl w:val="nil"/>
            </w:tcBorders>
            <w:tcMar>
              <w:left w:w="60" w:type="dxa"/>
              <w:right w:w="60" w:type="dxa"/>
            </w:tcMar>
            <w:vAlign w:val="bottom"/>
          </w:tcPr>
          <w:p w14:paraId="21882153" w14:textId="77777777" w:rsidR="00807FFE" w:rsidRDefault="00023E71">
            <w:pPr>
              <w:pStyle w:val="DMETW36745BIPUKWA"/>
              <w:jc w:val="right"/>
              <w:rPr>
                <w:rFonts w:ascii="Verdana" w:eastAsia="Verdana" w:hAnsi="Verdana" w:cs="Verdana"/>
                <w:i/>
                <w:noProof/>
                <w:color w:val="000000"/>
                <w:sz w:val="18"/>
                <w:lang w:bidi="en-GB"/>
              </w:rPr>
            </w:pPr>
            <w:r>
              <w:rPr>
                <w:rFonts w:ascii="Verdana" w:eastAsia="Verdana" w:hAnsi="Verdana" w:cs="Verdana"/>
                <w:i/>
                <w:noProof/>
                <w:color w:val="000000"/>
                <w:sz w:val="18"/>
              </w:rPr>
              <w:t>14 683</w:t>
            </w:r>
          </w:p>
        </w:tc>
      </w:tr>
      <w:tr w:rsidR="00807FFE" w14:paraId="5A411580" w14:textId="77777777">
        <w:trPr>
          <w:trHeight w:val="255"/>
        </w:trPr>
        <w:tc>
          <w:tcPr>
            <w:tcW w:w="3306" w:type="dxa"/>
            <w:tcBorders>
              <w:top w:val="nil"/>
              <w:left w:val="nil"/>
              <w:bottom w:val="single" w:sz="4" w:space="0" w:color="016794"/>
              <w:right w:val="nil"/>
              <w:tl2br w:val="nil"/>
              <w:tr2bl w:val="nil"/>
            </w:tcBorders>
            <w:tcMar>
              <w:left w:w="60" w:type="dxa"/>
              <w:right w:w="60" w:type="dxa"/>
            </w:tcMar>
            <w:vAlign w:val="bottom"/>
          </w:tcPr>
          <w:p w14:paraId="26A57963" w14:textId="77777777" w:rsidR="00807FFE" w:rsidRDefault="00023E71">
            <w:pPr>
              <w:pStyle w:val="DMETW36745BIPUKWA"/>
              <w:rPr>
                <w:rFonts w:ascii="Verdana" w:eastAsia="Verdana" w:hAnsi="Verdana" w:cs="Verdana"/>
                <w:i/>
                <w:noProof/>
                <w:color w:val="000000"/>
                <w:sz w:val="18"/>
              </w:rPr>
            </w:pPr>
            <w:r>
              <w:rPr>
                <w:rFonts w:ascii="Verdana" w:eastAsia="Verdana" w:hAnsi="Verdana" w:cs="Verdana"/>
                <w:i/>
                <w:noProof/>
                <w:color w:val="000000"/>
                <w:sz w:val="18"/>
              </w:rPr>
              <w:t>Due to the UK</w:t>
            </w:r>
          </w:p>
        </w:tc>
        <w:tc>
          <w:tcPr>
            <w:tcW w:w="1293" w:type="dxa"/>
            <w:tcBorders>
              <w:top w:val="nil"/>
              <w:left w:val="nil"/>
              <w:bottom w:val="single" w:sz="4" w:space="0" w:color="016794"/>
              <w:right w:val="nil"/>
              <w:tl2br w:val="nil"/>
              <w:tr2bl w:val="nil"/>
            </w:tcBorders>
            <w:tcMar>
              <w:left w:w="60" w:type="dxa"/>
              <w:right w:w="60" w:type="dxa"/>
            </w:tcMar>
            <w:vAlign w:val="bottom"/>
          </w:tcPr>
          <w:p w14:paraId="352E9E5C" w14:textId="77777777" w:rsidR="00807FFE" w:rsidRDefault="00023E71">
            <w:pPr>
              <w:pStyle w:val="DMETW36745BIPUK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14:paraId="587E0FA1" w14:textId="77777777" w:rsidR="00807FFE" w:rsidRDefault="00023E71">
            <w:pPr>
              <w:pStyle w:val="DMETW36745BIPUK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14:paraId="772A7604" w14:textId="77777777" w:rsidR="00807FFE" w:rsidRDefault="00023E71">
            <w:pPr>
              <w:pStyle w:val="DMETW36745BIPUKWA"/>
              <w:jc w:val="right"/>
              <w:rPr>
                <w:rFonts w:ascii="Verdana" w:eastAsia="Verdana" w:hAnsi="Verdana" w:cs="Verdana"/>
                <w:i/>
                <w:noProof/>
                <w:color w:val="000000"/>
                <w:sz w:val="18"/>
              </w:rPr>
            </w:pPr>
            <w:r>
              <w:rPr>
                <w:rFonts w:ascii="Verdana" w:eastAsia="Verdana" w:hAnsi="Verdana" w:cs="Verdana"/>
                <w:i/>
                <w:noProof/>
                <w:color w:val="000000"/>
                <w:sz w:val="18"/>
              </w:rPr>
              <w:t>(1 331)</w:t>
            </w:r>
          </w:p>
        </w:tc>
        <w:tc>
          <w:tcPr>
            <w:tcW w:w="1290" w:type="dxa"/>
            <w:tcBorders>
              <w:top w:val="nil"/>
              <w:left w:val="nil"/>
              <w:bottom w:val="single" w:sz="4" w:space="0" w:color="016794"/>
              <w:right w:val="nil"/>
              <w:tl2br w:val="nil"/>
              <w:tr2bl w:val="nil"/>
            </w:tcBorders>
            <w:tcMar>
              <w:left w:w="60" w:type="dxa"/>
              <w:right w:w="60" w:type="dxa"/>
            </w:tcMar>
            <w:vAlign w:val="bottom"/>
          </w:tcPr>
          <w:p w14:paraId="32FE7230" w14:textId="77777777" w:rsidR="00807FFE" w:rsidRDefault="00023E71">
            <w:pPr>
              <w:pStyle w:val="DMETW36745BIPUKWA"/>
              <w:jc w:val="right"/>
              <w:rPr>
                <w:rFonts w:ascii="Verdana" w:eastAsia="Verdana" w:hAnsi="Verdana" w:cs="Verdana"/>
                <w:i/>
                <w:noProof/>
                <w:color w:val="000000"/>
                <w:sz w:val="18"/>
              </w:rPr>
            </w:pPr>
            <w:r>
              <w:rPr>
                <w:rFonts w:ascii="Verdana" w:eastAsia="Verdana" w:hAnsi="Verdana" w:cs="Verdana"/>
                <w:i/>
                <w:noProof/>
                <w:color w:val="000000"/>
                <w:sz w:val="18"/>
              </w:rPr>
              <w:t>(1 331)</w:t>
            </w:r>
          </w:p>
        </w:tc>
        <w:tc>
          <w:tcPr>
            <w:tcW w:w="1283" w:type="dxa"/>
            <w:tcBorders>
              <w:top w:val="nil"/>
              <w:left w:val="nil"/>
              <w:bottom w:val="single" w:sz="4" w:space="0" w:color="016794"/>
              <w:right w:val="nil"/>
              <w:tl2br w:val="nil"/>
              <w:tr2bl w:val="nil"/>
            </w:tcBorders>
            <w:tcMar>
              <w:left w:w="60" w:type="dxa"/>
              <w:right w:w="60" w:type="dxa"/>
            </w:tcMar>
            <w:vAlign w:val="bottom"/>
          </w:tcPr>
          <w:p w14:paraId="666F634B" w14:textId="77777777" w:rsidR="00807FFE" w:rsidRDefault="00023E71">
            <w:pPr>
              <w:pStyle w:val="DMETW36745BIPUKWA"/>
              <w:jc w:val="right"/>
              <w:rPr>
                <w:rFonts w:ascii="Verdana" w:eastAsia="Verdana" w:hAnsi="Verdana" w:cs="Verdana"/>
                <w:i/>
                <w:noProof/>
                <w:color w:val="000000"/>
                <w:sz w:val="18"/>
                <w:lang w:bidi="en-GB"/>
              </w:rPr>
            </w:pPr>
            <w:r>
              <w:rPr>
                <w:rFonts w:ascii="Verdana" w:eastAsia="Verdana" w:hAnsi="Verdana" w:cs="Verdana"/>
                <w:i/>
                <w:noProof/>
                <w:color w:val="000000"/>
                <w:sz w:val="18"/>
              </w:rPr>
              <w:t>(1 922)</w:t>
            </w:r>
          </w:p>
        </w:tc>
      </w:tr>
      <w:tr w:rsidR="00807FFE" w14:paraId="6CAEFE98" w14:textId="77777777">
        <w:trPr>
          <w:trHeight w:val="255"/>
        </w:trPr>
        <w:tc>
          <w:tcPr>
            <w:tcW w:w="3306" w:type="dxa"/>
            <w:tcBorders>
              <w:top w:val="single" w:sz="4" w:space="0" w:color="016794"/>
              <w:left w:val="nil"/>
              <w:bottom w:val="single" w:sz="4" w:space="0" w:color="016794"/>
              <w:right w:val="nil"/>
              <w:tl2br w:val="nil"/>
              <w:tr2bl w:val="nil"/>
            </w:tcBorders>
            <w:tcMar>
              <w:left w:w="60" w:type="dxa"/>
              <w:right w:w="60" w:type="dxa"/>
            </w:tcMar>
            <w:vAlign w:val="center"/>
          </w:tcPr>
          <w:p w14:paraId="0DE2C6DD" w14:textId="77777777" w:rsidR="00807FFE" w:rsidRDefault="00023E71">
            <w:pPr>
              <w:pStyle w:val="DMETW36745BIPUKWA"/>
              <w:rPr>
                <w:rFonts w:ascii="Verdana" w:eastAsia="Verdana" w:hAnsi="Verdana" w:cs="Verdana"/>
                <w:b/>
                <w:noProof/>
                <w:color w:val="000000"/>
                <w:sz w:val="18"/>
              </w:rPr>
            </w:pPr>
            <w:r>
              <w:rPr>
                <w:rFonts w:ascii="Verdana" w:eastAsia="Verdana" w:hAnsi="Verdana" w:cs="Verdana"/>
                <w:b/>
                <w:noProof/>
                <w:color w:val="000000"/>
                <w:sz w:val="18"/>
              </w:rPr>
              <w:t>Total</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14:paraId="4FF3CD53" w14:textId="77777777" w:rsidR="00807FFE" w:rsidRDefault="00023E71">
            <w:pPr>
              <w:pStyle w:val="DMETW36745BIPUKWA"/>
              <w:jc w:val="right"/>
              <w:rPr>
                <w:rFonts w:ascii="Verdana" w:eastAsia="Verdana" w:hAnsi="Verdana" w:cs="Verdana"/>
                <w:b/>
                <w:noProof/>
                <w:color w:val="000000"/>
                <w:sz w:val="18"/>
              </w:rPr>
            </w:pPr>
            <w:r>
              <w:rPr>
                <w:rFonts w:ascii="Verdana" w:eastAsia="Verdana" w:hAnsi="Verdana" w:cs="Verdana"/>
                <w:b/>
                <w:noProof/>
                <w:color w:val="000000"/>
                <w:sz w:val="18"/>
              </w:rPr>
              <w:t>2 327</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14:paraId="5718B61A" w14:textId="77777777" w:rsidR="00807FFE" w:rsidRDefault="00023E71">
            <w:pPr>
              <w:pStyle w:val="DMETW36745BIPUKWA"/>
              <w:jc w:val="right"/>
              <w:rPr>
                <w:rFonts w:ascii="Verdana" w:eastAsia="Verdana" w:hAnsi="Verdana" w:cs="Verdana"/>
                <w:b/>
                <w:noProof/>
                <w:color w:val="000000"/>
                <w:sz w:val="18"/>
              </w:rPr>
            </w:pPr>
            <w:r>
              <w:rPr>
                <w:rFonts w:ascii="Verdana" w:eastAsia="Verdana" w:hAnsi="Verdana" w:cs="Verdana"/>
                <w:b/>
                <w:noProof/>
                <w:color w:val="000000"/>
                <w:sz w:val="18"/>
              </w:rPr>
              <w:t>9 599</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14:paraId="6A0EF230" w14:textId="77777777" w:rsidR="00807FFE" w:rsidRDefault="00023E71">
            <w:pPr>
              <w:pStyle w:val="DMETW36745BIPUKWA"/>
              <w:jc w:val="right"/>
              <w:rPr>
                <w:rFonts w:ascii="Verdana" w:eastAsia="Verdana" w:hAnsi="Verdana" w:cs="Verdana"/>
                <w:b/>
                <w:noProof/>
                <w:color w:val="000000"/>
                <w:sz w:val="18"/>
              </w:rPr>
            </w:pPr>
            <w:r>
              <w:rPr>
                <w:rFonts w:ascii="Verdana" w:eastAsia="Verdana" w:hAnsi="Verdana" w:cs="Verdana"/>
                <w:b/>
                <w:noProof/>
                <w:color w:val="000000"/>
                <w:sz w:val="18"/>
              </w:rPr>
              <w:t>(1 165)</w:t>
            </w:r>
          </w:p>
        </w:tc>
        <w:tc>
          <w:tcPr>
            <w:tcW w:w="1290" w:type="dxa"/>
            <w:tcBorders>
              <w:top w:val="single" w:sz="4" w:space="0" w:color="016794"/>
              <w:left w:val="nil"/>
              <w:bottom w:val="single" w:sz="4" w:space="0" w:color="016794"/>
              <w:right w:val="nil"/>
              <w:tl2br w:val="nil"/>
              <w:tr2bl w:val="nil"/>
            </w:tcBorders>
            <w:tcMar>
              <w:left w:w="60" w:type="dxa"/>
              <w:right w:w="60" w:type="dxa"/>
            </w:tcMar>
            <w:vAlign w:val="bottom"/>
          </w:tcPr>
          <w:p w14:paraId="5A6E071C" w14:textId="77777777" w:rsidR="00807FFE" w:rsidRDefault="00023E71">
            <w:pPr>
              <w:pStyle w:val="DMETW36745BIPUKWA"/>
              <w:jc w:val="right"/>
              <w:rPr>
                <w:rFonts w:ascii="Verdana" w:eastAsia="Verdana" w:hAnsi="Verdana" w:cs="Verdana"/>
                <w:b/>
                <w:noProof/>
                <w:color w:val="000000"/>
                <w:sz w:val="18"/>
              </w:rPr>
            </w:pPr>
            <w:r>
              <w:rPr>
                <w:rFonts w:ascii="Verdana" w:eastAsia="Verdana" w:hAnsi="Verdana" w:cs="Verdana"/>
                <w:b/>
                <w:noProof/>
                <w:color w:val="000000"/>
                <w:sz w:val="18"/>
              </w:rPr>
              <w:t>10 761</w:t>
            </w:r>
          </w:p>
        </w:tc>
        <w:tc>
          <w:tcPr>
            <w:tcW w:w="1283" w:type="dxa"/>
            <w:tcBorders>
              <w:top w:val="single" w:sz="4" w:space="0" w:color="016794"/>
              <w:left w:val="nil"/>
              <w:bottom w:val="single" w:sz="4" w:space="0" w:color="016794"/>
              <w:right w:val="nil"/>
              <w:tl2br w:val="nil"/>
              <w:tr2bl w:val="nil"/>
            </w:tcBorders>
            <w:tcMar>
              <w:left w:w="60" w:type="dxa"/>
              <w:right w:w="60" w:type="dxa"/>
            </w:tcMar>
            <w:vAlign w:val="bottom"/>
          </w:tcPr>
          <w:p w14:paraId="4A1397AF" w14:textId="77777777" w:rsidR="00807FFE" w:rsidRDefault="00023E71">
            <w:pPr>
              <w:pStyle w:val="DMETW36745BIPUKWA"/>
              <w:jc w:val="right"/>
              <w:rPr>
                <w:rFonts w:ascii="Verdana" w:eastAsia="Verdana" w:hAnsi="Verdana" w:cs="Verdana"/>
                <w:b/>
                <w:noProof/>
                <w:color w:val="000000"/>
                <w:sz w:val="18"/>
                <w:lang w:bidi="en-GB"/>
              </w:rPr>
            </w:pPr>
            <w:r>
              <w:rPr>
                <w:rFonts w:ascii="Verdana" w:eastAsia="Verdana" w:hAnsi="Verdana" w:cs="Verdana"/>
                <w:b/>
                <w:noProof/>
                <w:color w:val="000000"/>
                <w:sz w:val="18"/>
              </w:rPr>
              <w:t>12 762</w:t>
            </w:r>
          </w:p>
        </w:tc>
      </w:tr>
      <w:tr w:rsidR="00807FFE" w14:paraId="54E2DF4E" w14:textId="77777777">
        <w:trPr>
          <w:trHeight w:val="255"/>
        </w:trPr>
        <w:tc>
          <w:tcPr>
            <w:tcW w:w="3306" w:type="dxa"/>
            <w:tcBorders>
              <w:top w:val="single" w:sz="4" w:space="0" w:color="016794"/>
              <w:left w:val="nil"/>
              <w:bottom w:val="nil"/>
              <w:right w:val="nil"/>
              <w:tl2br w:val="nil"/>
              <w:tr2bl w:val="nil"/>
            </w:tcBorders>
            <w:tcMar>
              <w:left w:w="60" w:type="dxa"/>
              <w:right w:w="60" w:type="dxa"/>
            </w:tcMar>
            <w:vAlign w:val="center"/>
          </w:tcPr>
          <w:p w14:paraId="106A0E40" w14:textId="77777777" w:rsidR="00807FFE" w:rsidRDefault="00023E71">
            <w:pPr>
              <w:pStyle w:val="DMETW36745BIPUKWA"/>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293" w:type="dxa"/>
            <w:tcBorders>
              <w:top w:val="single" w:sz="4" w:space="0" w:color="016794"/>
              <w:left w:val="nil"/>
              <w:bottom w:val="nil"/>
              <w:right w:val="nil"/>
              <w:tl2br w:val="nil"/>
              <w:tr2bl w:val="nil"/>
            </w:tcBorders>
            <w:tcMar>
              <w:left w:w="60" w:type="dxa"/>
              <w:right w:w="60" w:type="dxa"/>
            </w:tcMar>
            <w:vAlign w:val="bottom"/>
          </w:tcPr>
          <w:p w14:paraId="4FB158A2"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1 928</w:t>
            </w:r>
          </w:p>
        </w:tc>
        <w:tc>
          <w:tcPr>
            <w:tcW w:w="1293" w:type="dxa"/>
            <w:tcBorders>
              <w:top w:val="single" w:sz="4" w:space="0" w:color="016794"/>
              <w:left w:val="nil"/>
              <w:bottom w:val="nil"/>
              <w:right w:val="nil"/>
              <w:tl2br w:val="nil"/>
              <w:tr2bl w:val="nil"/>
            </w:tcBorders>
            <w:tcMar>
              <w:left w:w="60" w:type="dxa"/>
              <w:right w:w="60" w:type="dxa"/>
            </w:tcMar>
            <w:vAlign w:val="bottom"/>
          </w:tcPr>
          <w:p w14:paraId="61A21F35"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9 244</w:t>
            </w:r>
          </w:p>
        </w:tc>
        <w:tc>
          <w:tcPr>
            <w:tcW w:w="1293" w:type="dxa"/>
            <w:tcBorders>
              <w:top w:val="single" w:sz="4" w:space="0" w:color="016794"/>
              <w:left w:val="nil"/>
              <w:bottom w:val="nil"/>
              <w:right w:val="nil"/>
              <w:tl2br w:val="nil"/>
              <w:tr2bl w:val="nil"/>
            </w:tcBorders>
            <w:tcMar>
              <w:left w:w="60" w:type="dxa"/>
              <w:right w:w="60" w:type="dxa"/>
            </w:tcMar>
            <w:vAlign w:val="bottom"/>
          </w:tcPr>
          <w:p w14:paraId="239424B9"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 xml:space="preserve"> (915)</w:t>
            </w:r>
          </w:p>
        </w:tc>
        <w:tc>
          <w:tcPr>
            <w:tcW w:w="1290" w:type="dxa"/>
            <w:tcBorders>
              <w:top w:val="single" w:sz="4" w:space="0" w:color="016794"/>
              <w:left w:val="nil"/>
              <w:bottom w:val="nil"/>
              <w:right w:val="nil"/>
              <w:tl2br w:val="nil"/>
              <w:tr2bl w:val="nil"/>
            </w:tcBorders>
            <w:tcMar>
              <w:left w:w="60" w:type="dxa"/>
              <w:right w:w="60" w:type="dxa"/>
            </w:tcMar>
            <w:vAlign w:val="bottom"/>
          </w:tcPr>
          <w:p w14:paraId="05519957"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10 256</w:t>
            </w:r>
          </w:p>
        </w:tc>
        <w:tc>
          <w:tcPr>
            <w:tcW w:w="1283" w:type="dxa"/>
            <w:tcBorders>
              <w:top w:val="single" w:sz="4" w:space="0" w:color="016794"/>
              <w:left w:val="nil"/>
              <w:bottom w:val="nil"/>
              <w:right w:val="nil"/>
              <w:tl2br w:val="nil"/>
              <w:tr2bl w:val="nil"/>
            </w:tcBorders>
            <w:tcMar>
              <w:left w:w="60" w:type="dxa"/>
              <w:right w:w="60" w:type="dxa"/>
            </w:tcMar>
            <w:vAlign w:val="bottom"/>
          </w:tcPr>
          <w:p w14:paraId="267440B3" w14:textId="77777777" w:rsidR="00807FFE" w:rsidRDefault="00023E71">
            <w:pPr>
              <w:pStyle w:val="DMETW36745BIPUKWA"/>
              <w:jc w:val="right"/>
              <w:rPr>
                <w:rFonts w:ascii="Verdana" w:eastAsia="Verdana" w:hAnsi="Verdana" w:cs="Verdana"/>
                <w:i/>
                <w:noProof/>
                <w:color w:val="016794"/>
                <w:sz w:val="18"/>
                <w:lang w:bidi="en-GB"/>
              </w:rPr>
            </w:pPr>
            <w:r>
              <w:rPr>
                <w:rFonts w:ascii="Verdana" w:eastAsia="Verdana" w:hAnsi="Verdana" w:cs="Verdana"/>
                <w:i/>
                <w:noProof/>
                <w:color w:val="016794"/>
                <w:sz w:val="18"/>
              </w:rPr>
              <w:t>11 231</w:t>
            </w:r>
          </w:p>
        </w:tc>
      </w:tr>
      <w:tr w:rsidR="00807FFE" w14:paraId="4290DA89" w14:textId="77777777">
        <w:trPr>
          <w:trHeight w:val="255"/>
        </w:trPr>
        <w:tc>
          <w:tcPr>
            <w:tcW w:w="3306" w:type="dxa"/>
            <w:tcBorders>
              <w:top w:val="nil"/>
              <w:left w:val="nil"/>
              <w:bottom w:val="nil"/>
              <w:right w:val="nil"/>
              <w:tl2br w:val="nil"/>
              <w:tr2bl w:val="nil"/>
            </w:tcBorders>
            <w:tcMar>
              <w:left w:w="60" w:type="dxa"/>
              <w:right w:w="60" w:type="dxa"/>
            </w:tcMar>
            <w:vAlign w:val="center"/>
          </w:tcPr>
          <w:p w14:paraId="1E9D89BB" w14:textId="77777777" w:rsidR="00807FFE" w:rsidRDefault="00023E71">
            <w:pPr>
              <w:pStyle w:val="DMETW36745BIPUKWA"/>
              <w:rPr>
                <w:rFonts w:ascii="Verdana" w:eastAsia="Verdana" w:hAnsi="Verdana" w:cs="Verdana"/>
                <w:i/>
                <w:noProof/>
                <w:color w:val="016794"/>
                <w:sz w:val="18"/>
              </w:rPr>
            </w:pPr>
            <w:r>
              <w:rPr>
                <w:rFonts w:ascii="Verdana" w:eastAsia="Verdana" w:hAnsi="Verdana" w:cs="Verdana"/>
                <w:i/>
                <w:noProof/>
                <w:color w:val="016794"/>
                <w:sz w:val="18"/>
              </w:rPr>
              <w:t>Current</w:t>
            </w:r>
          </w:p>
        </w:tc>
        <w:tc>
          <w:tcPr>
            <w:tcW w:w="1293" w:type="dxa"/>
            <w:tcBorders>
              <w:top w:val="nil"/>
              <w:left w:val="nil"/>
              <w:bottom w:val="nil"/>
              <w:right w:val="nil"/>
              <w:tl2br w:val="nil"/>
              <w:tr2bl w:val="nil"/>
            </w:tcBorders>
            <w:tcMar>
              <w:left w:w="60" w:type="dxa"/>
              <w:right w:w="60" w:type="dxa"/>
            </w:tcMar>
            <w:vAlign w:val="bottom"/>
          </w:tcPr>
          <w:p w14:paraId="1CB98EF9"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 xml:space="preserve"> 399</w:t>
            </w:r>
          </w:p>
        </w:tc>
        <w:tc>
          <w:tcPr>
            <w:tcW w:w="1293" w:type="dxa"/>
            <w:tcBorders>
              <w:top w:val="nil"/>
              <w:left w:val="nil"/>
              <w:bottom w:val="nil"/>
              <w:right w:val="nil"/>
              <w:tl2br w:val="nil"/>
              <w:tr2bl w:val="nil"/>
            </w:tcBorders>
            <w:tcMar>
              <w:left w:w="60" w:type="dxa"/>
              <w:right w:w="60" w:type="dxa"/>
            </w:tcMar>
            <w:vAlign w:val="bottom"/>
          </w:tcPr>
          <w:p w14:paraId="15AE973D"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 xml:space="preserve"> 355</w:t>
            </w:r>
          </w:p>
        </w:tc>
        <w:tc>
          <w:tcPr>
            <w:tcW w:w="1293" w:type="dxa"/>
            <w:tcBorders>
              <w:top w:val="nil"/>
              <w:left w:val="nil"/>
              <w:bottom w:val="nil"/>
              <w:right w:val="nil"/>
              <w:tl2br w:val="nil"/>
              <w:tr2bl w:val="nil"/>
            </w:tcBorders>
            <w:tcMar>
              <w:left w:w="60" w:type="dxa"/>
              <w:right w:w="60" w:type="dxa"/>
            </w:tcMar>
            <w:vAlign w:val="bottom"/>
          </w:tcPr>
          <w:p w14:paraId="65ECBC26"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 xml:space="preserve"> (250)</w:t>
            </w:r>
          </w:p>
        </w:tc>
        <w:tc>
          <w:tcPr>
            <w:tcW w:w="1290" w:type="dxa"/>
            <w:tcBorders>
              <w:top w:val="nil"/>
              <w:left w:val="nil"/>
              <w:bottom w:val="nil"/>
              <w:right w:val="nil"/>
              <w:tl2br w:val="nil"/>
              <w:tr2bl w:val="nil"/>
            </w:tcBorders>
            <w:tcMar>
              <w:left w:w="60" w:type="dxa"/>
              <w:right w:w="60" w:type="dxa"/>
            </w:tcMar>
            <w:vAlign w:val="bottom"/>
          </w:tcPr>
          <w:p w14:paraId="45FAF876"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 xml:space="preserve"> 505</w:t>
            </w:r>
          </w:p>
        </w:tc>
        <w:tc>
          <w:tcPr>
            <w:tcW w:w="1283" w:type="dxa"/>
            <w:tcBorders>
              <w:top w:val="nil"/>
              <w:left w:val="nil"/>
              <w:bottom w:val="nil"/>
              <w:right w:val="nil"/>
              <w:tl2br w:val="nil"/>
              <w:tr2bl w:val="nil"/>
            </w:tcBorders>
            <w:tcMar>
              <w:left w:w="60" w:type="dxa"/>
              <w:right w:w="60" w:type="dxa"/>
            </w:tcMar>
            <w:vAlign w:val="bottom"/>
          </w:tcPr>
          <w:p w14:paraId="481AADF8" w14:textId="77777777" w:rsidR="00807FFE" w:rsidRDefault="00023E71">
            <w:pPr>
              <w:pStyle w:val="DMETW36745BIPUKWA"/>
              <w:jc w:val="right"/>
              <w:rPr>
                <w:rFonts w:ascii="Verdana" w:eastAsia="Verdana" w:hAnsi="Verdana" w:cs="Verdana"/>
                <w:i/>
                <w:noProof/>
                <w:color w:val="016794"/>
                <w:sz w:val="18"/>
              </w:rPr>
            </w:pPr>
            <w:r>
              <w:rPr>
                <w:rFonts w:ascii="Verdana" w:eastAsia="Verdana" w:hAnsi="Verdana" w:cs="Verdana"/>
                <w:i/>
                <w:noProof/>
                <w:color w:val="016794"/>
                <w:sz w:val="18"/>
              </w:rPr>
              <w:t>1 530</w:t>
            </w:r>
          </w:p>
        </w:tc>
      </w:tr>
    </w:tbl>
    <w:p w14:paraId="4A1C92A2" w14:textId="77777777" w:rsidR="007A3B17" w:rsidRPr="00A7502B" w:rsidRDefault="00023E71" w:rsidP="007A3B17">
      <w:pPr>
        <w:pStyle w:val="Textstand-alone"/>
        <w:rPr>
          <w:color w:val="016794"/>
        </w:rPr>
      </w:pPr>
      <w:r>
        <w:rPr>
          <w:color w:val="016794"/>
        </w:rPr>
        <w:t>Amount owed by the UK – Change against previous year</w:t>
      </w:r>
    </w:p>
    <w:p w14:paraId="45323B06" w14:textId="0E912C99" w:rsidR="008D234A" w:rsidRDefault="00023E71" w:rsidP="00D93E91">
      <w:pPr>
        <w:pStyle w:val="DGTextstand-alone"/>
        <w:spacing w:after="0"/>
      </w:pPr>
      <w:r>
        <w:t>The decrease of the net receivable of EUR 2 </w:t>
      </w:r>
      <w:r w:rsidR="006D3870">
        <w:t>0</w:t>
      </w:r>
      <w:r>
        <w:t>0</w:t>
      </w:r>
      <w:r w:rsidR="006D3870">
        <w:t>1</w:t>
      </w:r>
      <w:r>
        <w:t xml:space="preserve"> million (</w:t>
      </w:r>
      <w:r w:rsidRPr="007A3B17">
        <w:t>from EUR 12</w:t>
      </w:r>
      <w:r>
        <w:t> </w:t>
      </w:r>
      <w:r w:rsidRPr="007A3B17">
        <w:t xml:space="preserve">762 </w:t>
      </w:r>
      <w:r>
        <w:t>m</w:t>
      </w:r>
      <w:r w:rsidRPr="007A3B17">
        <w:t>illion at end 2024 to EUR 10</w:t>
      </w:r>
      <w:r>
        <w:t> 761</w:t>
      </w:r>
      <w:r w:rsidRPr="007A3B17">
        <w:t xml:space="preserve"> </w:t>
      </w:r>
      <w:r>
        <w:t>m</w:t>
      </w:r>
      <w:r w:rsidRPr="007A3B17">
        <w:t xml:space="preserve">illion at end 2025) </w:t>
      </w:r>
      <w:r>
        <w:t>is mainly due to the net payments received in 2025 (EUR 1 535 million) as well as a</w:t>
      </w:r>
      <w:r w:rsidR="00015093">
        <w:t xml:space="preserve"> non-cash adjustment of </w:t>
      </w:r>
      <w:r>
        <w:t>EUR 465 million.</w:t>
      </w:r>
      <w:r w:rsidR="00015093">
        <w:t xml:space="preserve"> </w:t>
      </w:r>
      <w:r>
        <w:t xml:space="preserve">This non-cash adjustment, which is booked as a net expense, is </w:t>
      </w:r>
      <w:r w:rsidR="00015093">
        <w:t>due to:</w:t>
      </w:r>
    </w:p>
    <w:p w14:paraId="330F3DC8" w14:textId="77777777" w:rsidR="008D234A" w:rsidRDefault="00023E71" w:rsidP="00172034">
      <w:pPr>
        <w:pStyle w:val="DGTextstand-alone"/>
        <w:numPr>
          <w:ilvl w:val="0"/>
          <w:numId w:val="21"/>
        </w:numPr>
        <w:spacing w:before="120" w:after="0"/>
        <w:ind w:left="357" w:hanging="357"/>
      </w:pPr>
      <w:r w:rsidRPr="008D234A">
        <w:t xml:space="preserve">the decrease of the </w:t>
      </w:r>
      <w:r>
        <w:t xml:space="preserve">amount owed by the UK under Article 142 for its </w:t>
      </w:r>
      <w:r w:rsidRPr="008D234A">
        <w:t>share of the outstanding valuations for PSEO and JSIS (EUR 529 million)</w:t>
      </w:r>
      <w:r>
        <w:t>;</w:t>
      </w:r>
    </w:p>
    <w:p w14:paraId="6AC1EB02" w14:textId="77777777" w:rsidR="008D234A" w:rsidRDefault="00023E71" w:rsidP="00172034">
      <w:pPr>
        <w:pStyle w:val="DGTextstand-alone"/>
        <w:numPr>
          <w:ilvl w:val="0"/>
          <w:numId w:val="21"/>
        </w:numPr>
        <w:spacing w:before="0" w:after="0"/>
        <w:ind w:left="357" w:hanging="357"/>
      </w:pPr>
      <w:r w:rsidRPr="008D234A">
        <w:t xml:space="preserve">the decrease of the amount </w:t>
      </w:r>
      <w:r>
        <w:t xml:space="preserve">owed by the UK </w:t>
      </w:r>
      <w:r w:rsidRPr="008D234A">
        <w:t xml:space="preserve">under Article 140 </w:t>
      </w:r>
      <w:r w:rsidR="00015093">
        <w:t xml:space="preserve">(EUR </w:t>
      </w:r>
      <w:r>
        <w:t>142</w:t>
      </w:r>
      <w:r w:rsidR="00015093">
        <w:t xml:space="preserve"> million) </w:t>
      </w:r>
      <w:r>
        <w:t xml:space="preserve">due to additional </w:t>
      </w:r>
      <w:r w:rsidR="00015093">
        <w:t xml:space="preserve">offsetting positions (EUR 58 million) </w:t>
      </w:r>
      <w:r>
        <w:t>and the adjustment of the estimated non-implementation (EUR 84 million);</w:t>
      </w:r>
    </w:p>
    <w:p w14:paraId="2C61A543" w14:textId="77777777" w:rsidR="008D234A" w:rsidRDefault="00023E71" w:rsidP="00172034">
      <w:pPr>
        <w:pStyle w:val="DGTextstand-alone"/>
        <w:numPr>
          <w:ilvl w:val="0"/>
          <w:numId w:val="21"/>
        </w:numPr>
        <w:spacing w:before="0" w:after="0"/>
        <w:ind w:left="357" w:hanging="357"/>
      </w:pPr>
      <w:r w:rsidRPr="008D234A">
        <w:t>the amount</w:t>
      </w:r>
      <w:r>
        <w:t>s</w:t>
      </w:r>
      <w:r w:rsidRPr="008D234A">
        <w:t xml:space="preserve"> owed to the UK </w:t>
      </w:r>
      <w:r w:rsidR="00015093">
        <w:t>under A</w:t>
      </w:r>
      <w:r w:rsidRPr="008D234A">
        <w:t>rticles 143 and 144 WA (EUR 198 million and EUR 43 million, respectively)</w:t>
      </w:r>
      <w:r>
        <w:t>;</w:t>
      </w:r>
    </w:p>
    <w:p w14:paraId="390DC6A5" w14:textId="77777777" w:rsidR="008D234A" w:rsidRDefault="00023E71" w:rsidP="00172034">
      <w:pPr>
        <w:pStyle w:val="DGTextstand-alone"/>
        <w:numPr>
          <w:ilvl w:val="0"/>
          <w:numId w:val="21"/>
        </w:numPr>
        <w:spacing w:before="0" w:after="0"/>
        <w:ind w:left="357" w:hanging="357"/>
      </w:pPr>
      <w:r>
        <w:t>the net decrease of the amount owed by the UK for legal cases under Article 147 (EUR 5 million)</w:t>
      </w:r>
      <w:r w:rsidR="00015093">
        <w:t xml:space="preserve">, comprising the amount owed by the UK for its share of the net amounts paid in 2025 of EUR 7 million and the decrease of the estimated amount owed by the UK </w:t>
      </w:r>
      <w:r w:rsidR="009A2184">
        <w:t>for legal cases not yet resolved</w:t>
      </w:r>
      <w:r>
        <w:t xml:space="preserve"> of EUR 12 million)</w:t>
      </w:r>
      <w:r w:rsidR="009A2184">
        <w:t>;</w:t>
      </w:r>
    </w:p>
    <w:p w14:paraId="608A7078" w14:textId="77777777" w:rsidR="008D234A" w:rsidRDefault="00023E71" w:rsidP="00015093">
      <w:pPr>
        <w:pStyle w:val="DGTextstand-alone"/>
        <w:spacing w:before="120" w:after="0"/>
      </w:pPr>
      <w:r>
        <w:t>counterbalanced by</w:t>
      </w:r>
    </w:p>
    <w:p w14:paraId="3A09A534" w14:textId="77777777" w:rsidR="008D234A" w:rsidRDefault="00023E71" w:rsidP="00172034">
      <w:pPr>
        <w:pStyle w:val="DGTextstand-alone"/>
        <w:numPr>
          <w:ilvl w:val="0"/>
          <w:numId w:val="21"/>
        </w:numPr>
        <w:spacing w:before="120" w:after="0"/>
        <w:ind w:left="357" w:hanging="357"/>
      </w:pPr>
      <w:bookmarkStart w:id="127" w:name="_Hlk228778745"/>
      <w:r>
        <w:t xml:space="preserve">the amount owed by the UK under Article 142 for its share of the net payments made from the Union budget in 2025 to the beneficiaries of the PSEO and to JSIS </w:t>
      </w:r>
      <w:r w:rsidRPr="008D234A">
        <w:t>(EUR 326 million)</w:t>
      </w:r>
      <w:bookmarkEnd w:id="127"/>
      <w:r>
        <w:t>;</w:t>
      </w:r>
    </w:p>
    <w:p w14:paraId="1F138E2A" w14:textId="77777777" w:rsidR="00D93E91" w:rsidRDefault="00023E71" w:rsidP="00172034">
      <w:pPr>
        <w:pStyle w:val="DGTextstand-alone"/>
        <w:numPr>
          <w:ilvl w:val="0"/>
          <w:numId w:val="21"/>
        </w:numPr>
        <w:spacing w:before="0" w:after="0"/>
        <w:ind w:left="357" w:hanging="357"/>
      </w:pPr>
      <w:r>
        <w:t xml:space="preserve">the decrease of the amount owed to the UK under Article 141 due to a </w:t>
      </w:r>
      <w:r w:rsidRPr="008D234A">
        <w:t xml:space="preserve">reduction of the measurement base of the UK’s share in fines (EUR </w:t>
      </w:r>
      <w:r>
        <w:t>109</w:t>
      </w:r>
      <w:r w:rsidRPr="008D234A">
        <w:t xml:space="preserve"> million)</w:t>
      </w:r>
      <w:r>
        <w:t>; and</w:t>
      </w:r>
    </w:p>
    <w:p w14:paraId="4C41A5AB" w14:textId="77777777" w:rsidR="008D234A" w:rsidRDefault="00023E71" w:rsidP="00172034">
      <w:pPr>
        <w:pStyle w:val="DGTextstand-alone"/>
        <w:numPr>
          <w:ilvl w:val="0"/>
          <w:numId w:val="21"/>
        </w:numPr>
        <w:spacing w:before="0" w:after="0"/>
        <w:ind w:left="357" w:hanging="357"/>
      </w:pPr>
      <w:r>
        <w:t xml:space="preserve">the increase of the amount owed by the UK under Article 136 due to the update of estimates and additional amounts </w:t>
      </w:r>
      <w:r w:rsidR="00015093">
        <w:t xml:space="preserve">(EUR </w:t>
      </w:r>
      <w:r>
        <w:t>17</w:t>
      </w:r>
      <w:r w:rsidR="00015093">
        <w:t xml:space="preserve"> million).</w:t>
      </w:r>
    </w:p>
    <w:p w14:paraId="0D7D64BF" w14:textId="77777777" w:rsidR="007E03B0" w:rsidRPr="00A7502B" w:rsidRDefault="00023E71" w:rsidP="007E03B0">
      <w:pPr>
        <w:pStyle w:val="Textstand-alone"/>
        <w:rPr>
          <w:color w:val="016794"/>
        </w:rPr>
      </w:pPr>
      <w:r>
        <w:rPr>
          <w:color w:val="016794"/>
        </w:rPr>
        <w:t>Amount to be paid within 12 months following the reporting date</w:t>
      </w:r>
    </w:p>
    <w:p w14:paraId="1E8E9BC7" w14:textId="77777777" w:rsidR="004F13D3" w:rsidRDefault="00023E71" w:rsidP="00D93E91">
      <w:pPr>
        <w:pStyle w:val="DGTextstand-alone"/>
        <w:spacing w:after="0"/>
      </w:pPr>
      <w:r>
        <w:t xml:space="preserve">The amount of EUR 505 million to be paid by the UK within the 12 months following the reporting date comprises </w:t>
      </w:r>
      <w:r w:rsidRPr="00023E71">
        <w:t xml:space="preserve">the remainder of the September 2025 invoice (EUR 338 million), the 2026 April invoice (EUR 78 million, including an expected adjustment of EUR </w:t>
      </w:r>
      <w:r w:rsidR="00295FCE" w:rsidRPr="00023E71">
        <w:t>27.9</w:t>
      </w:r>
      <w:r w:rsidRPr="00023E71">
        <w:t xml:space="preserve"> million related to Article 140), and the portion</w:t>
      </w:r>
      <w:r>
        <w:t xml:space="preserve"> of the estimated September 2026 invoice payable in October to December 2026 (EUR 89 million)</w:t>
      </w:r>
      <w:r w:rsidR="00295FCE">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52"/>
        <w:gridCol w:w="1951"/>
        <w:gridCol w:w="1952"/>
        <w:gridCol w:w="1952"/>
      </w:tblGrid>
      <w:tr w:rsidR="00807FFE" w14:paraId="3426CCF8" w14:textId="77777777" w:rsidTr="001D6FDA">
        <w:trPr>
          <w:trHeight w:val="255"/>
        </w:trPr>
        <w:tc>
          <w:tcPr>
            <w:tcW w:w="1951" w:type="dxa"/>
            <w:tcBorders>
              <w:top w:val="nil"/>
              <w:left w:val="nil"/>
              <w:bottom w:val="nil"/>
              <w:right w:val="nil"/>
            </w:tcBorders>
            <w:tcMar>
              <w:top w:w="0" w:type="dxa"/>
              <w:left w:w="60" w:type="dxa"/>
              <w:bottom w:w="0" w:type="dxa"/>
              <w:right w:w="60" w:type="dxa"/>
            </w:tcMar>
            <w:vAlign w:val="bottom"/>
          </w:tcPr>
          <w:p w14:paraId="5FFAD118" w14:textId="77777777" w:rsidR="000172F4" w:rsidRDefault="000172F4" w:rsidP="00D93E91">
            <w:pPr>
              <w:rPr>
                <w:rFonts w:ascii="Arial" w:hAnsi="Arial" w:cs="Arial"/>
                <w:noProof/>
                <w:color w:val="000000"/>
              </w:rPr>
            </w:pPr>
          </w:p>
        </w:tc>
        <w:tc>
          <w:tcPr>
            <w:tcW w:w="1952" w:type="dxa"/>
            <w:tcBorders>
              <w:top w:val="nil"/>
              <w:left w:val="nil"/>
              <w:bottom w:val="nil"/>
              <w:right w:val="nil"/>
            </w:tcBorders>
            <w:tcMar>
              <w:top w:w="0" w:type="dxa"/>
              <w:left w:w="60" w:type="dxa"/>
              <w:bottom w:w="0" w:type="dxa"/>
              <w:right w:w="60" w:type="dxa"/>
            </w:tcMar>
            <w:vAlign w:val="bottom"/>
          </w:tcPr>
          <w:p w14:paraId="34348194" w14:textId="77777777" w:rsidR="000172F4" w:rsidRDefault="000172F4" w:rsidP="00D93E91">
            <w:pPr>
              <w:jc w:val="right"/>
              <w:rPr>
                <w:noProof/>
                <w:color w:val="000000"/>
                <w:sz w:val="22"/>
              </w:rPr>
            </w:pPr>
          </w:p>
        </w:tc>
        <w:tc>
          <w:tcPr>
            <w:tcW w:w="1951" w:type="dxa"/>
            <w:tcBorders>
              <w:top w:val="nil"/>
              <w:left w:val="nil"/>
              <w:bottom w:val="nil"/>
              <w:right w:val="nil"/>
            </w:tcBorders>
            <w:tcMar>
              <w:top w:w="0" w:type="dxa"/>
              <w:left w:w="60" w:type="dxa"/>
              <w:bottom w:w="0" w:type="dxa"/>
              <w:right w:w="60" w:type="dxa"/>
            </w:tcMar>
            <w:vAlign w:val="bottom"/>
          </w:tcPr>
          <w:p w14:paraId="5D5BC7E8" w14:textId="77777777" w:rsidR="000172F4" w:rsidRDefault="000172F4" w:rsidP="00D93E91">
            <w:pPr>
              <w:jc w:val="right"/>
              <w:rPr>
                <w:rFonts w:ascii="Verdana" w:hAnsi="Verdana" w:cs="Verdana"/>
                <w:b/>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14:paraId="2510F184" w14:textId="77777777" w:rsidR="000172F4" w:rsidRDefault="000172F4" w:rsidP="00D93E91">
            <w:pPr>
              <w:jc w:val="right"/>
              <w:rPr>
                <w:noProof/>
                <w:color w:val="000000"/>
                <w:sz w:val="22"/>
              </w:rPr>
            </w:pPr>
          </w:p>
        </w:tc>
        <w:tc>
          <w:tcPr>
            <w:tcW w:w="1952" w:type="dxa"/>
            <w:tcBorders>
              <w:top w:val="nil"/>
              <w:left w:val="nil"/>
              <w:bottom w:val="nil"/>
              <w:right w:val="nil"/>
            </w:tcBorders>
            <w:tcMar>
              <w:top w:w="0" w:type="dxa"/>
              <w:left w:w="60" w:type="dxa"/>
              <w:bottom w:w="0" w:type="dxa"/>
              <w:right w:w="60" w:type="dxa"/>
            </w:tcMar>
            <w:vAlign w:val="bottom"/>
          </w:tcPr>
          <w:p w14:paraId="160E0D74" w14:textId="77777777" w:rsidR="000172F4" w:rsidRDefault="00023E71" w:rsidP="00D93E91">
            <w:pPr>
              <w:jc w:val="right"/>
              <w:rPr>
                <w:rFonts w:ascii="Verdana" w:hAnsi="Verdana" w:cs="Verdana"/>
                <w:i/>
                <w:noProof/>
                <w:color w:val="000000"/>
                <w:sz w:val="16"/>
              </w:rPr>
            </w:pPr>
            <w:r>
              <w:rPr>
                <w:rFonts w:ascii="Verdana" w:hAnsi="Verdana" w:cs="Verdana"/>
                <w:i/>
                <w:noProof/>
                <w:color w:val="000000"/>
                <w:sz w:val="16"/>
              </w:rPr>
              <w:t>EUR million</w:t>
            </w:r>
          </w:p>
        </w:tc>
      </w:tr>
      <w:tr w:rsidR="00807FFE" w14:paraId="77CB1246" w14:textId="77777777" w:rsidTr="001D6FDA">
        <w:trPr>
          <w:trHeight w:val="255"/>
        </w:trPr>
        <w:tc>
          <w:tcPr>
            <w:tcW w:w="1951" w:type="dxa"/>
            <w:tcBorders>
              <w:top w:val="nil"/>
              <w:left w:val="nil"/>
              <w:bottom w:val="nil"/>
              <w:right w:val="nil"/>
            </w:tcBorders>
            <w:shd w:val="clear" w:color="auto" w:fill="016794"/>
            <w:tcMar>
              <w:top w:w="0" w:type="dxa"/>
              <w:left w:w="60" w:type="dxa"/>
              <w:bottom w:w="0" w:type="dxa"/>
              <w:right w:w="60" w:type="dxa"/>
            </w:tcMar>
            <w:vAlign w:val="bottom"/>
          </w:tcPr>
          <w:p w14:paraId="4F9217EA" w14:textId="77777777" w:rsidR="001D6FDA" w:rsidRPr="001D6FDA" w:rsidRDefault="001D6FDA" w:rsidP="00D93E91">
            <w:pPr>
              <w:rPr>
                <w:rFonts w:ascii="Verdana" w:hAnsi="Verdana" w:cs="Arial"/>
                <w:b/>
                <w:bCs/>
                <w:noProof/>
                <w:color w:val="000000"/>
                <w:sz w:val="18"/>
                <w:szCs w:val="18"/>
              </w:rPr>
            </w:pP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14:paraId="32AC5356" w14:textId="77777777" w:rsidR="001D6FDA" w:rsidRPr="001D6FDA" w:rsidRDefault="00023E71" w:rsidP="00D93E91">
            <w:pPr>
              <w:jc w:val="right"/>
              <w:rPr>
                <w:rFonts w:ascii="Verdana" w:hAnsi="Verdana"/>
                <w:noProof/>
                <w:color w:val="FFFFFF" w:themeColor="background1"/>
                <w:sz w:val="18"/>
                <w:szCs w:val="18"/>
              </w:rPr>
            </w:pPr>
            <w:r w:rsidRPr="001D6FDA">
              <w:rPr>
                <w:rFonts w:ascii="Verdana" w:hAnsi="Verdana"/>
                <w:noProof/>
                <w:color w:val="FFFFFF" w:themeColor="background1"/>
                <w:sz w:val="18"/>
                <w:szCs w:val="18"/>
              </w:rPr>
              <w:t>Remainder September 2025</w:t>
            </w:r>
            <w:r w:rsidRPr="001D6FDA">
              <w:rPr>
                <w:rFonts w:ascii="Verdana" w:hAnsi="Verdana"/>
                <w:noProof/>
                <w:color w:val="FFFFFF" w:themeColor="background1"/>
                <w:sz w:val="18"/>
                <w:szCs w:val="18"/>
              </w:rPr>
              <w:br/>
              <w:t>invoice</w:t>
            </w:r>
          </w:p>
        </w:tc>
        <w:tc>
          <w:tcPr>
            <w:tcW w:w="1951" w:type="dxa"/>
            <w:tcBorders>
              <w:top w:val="nil"/>
              <w:left w:val="nil"/>
              <w:bottom w:val="nil"/>
              <w:right w:val="nil"/>
            </w:tcBorders>
            <w:shd w:val="clear" w:color="auto" w:fill="016794"/>
            <w:tcMar>
              <w:top w:w="0" w:type="dxa"/>
              <w:left w:w="60" w:type="dxa"/>
              <w:bottom w:w="0" w:type="dxa"/>
              <w:right w:w="60" w:type="dxa"/>
            </w:tcMar>
            <w:vAlign w:val="bottom"/>
          </w:tcPr>
          <w:p w14:paraId="1805D03A" w14:textId="77777777" w:rsidR="001D6FDA" w:rsidRPr="001D6FDA" w:rsidRDefault="00023E71" w:rsidP="00D93E91">
            <w:pPr>
              <w:jc w:val="right"/>
              <w:rPr>
                <w:rFonts w:ascii="Verdana" w:hAnsi="Verdana" w:cs="Verdana"/>
                <w:noProof/>
                <w:color w:val="FFFFFF" w:themeColor="background1"/>
                <w:sz w:val="18"/>
                <w:szCs w:val="18"/>
              </w:rPr>
            </w:pPr>
            <w:r w:rsidRPr="001D6FDA">
              <w:rPr>
                <w:rFonts w:ascii="Verdana" w:hAnsi="Verdana" w:cs="Verdana"/>
                <w:noProof/>
                <w:color w:val="FFFFFF" w:themeColor="background1"/>
                <w:sz w:val="18"/>
                <w:szCs w:val="18"/>
              </w:rPr>
              <w:br/>
              <w:t xml:space="preserve">April 2026 </w:t>
            </w:r>
            <w:r w:rsidRPr="001D6FDA">
              <w:rPr>
                <w:rFonts w:ascii="Verdana" w:hAnsi="Verdana" w:cs="Verdana"/>
                <w:noProof/>
                <w:color w:val="FFFFFF" w:themeColor="background1"/>
                <w:sz w:val="18"/>
                <w:szCs w:val="18"/>
              </w:rPr>
              <w:br/>
              <w:t>invoice</w:t>
            </w: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14:paraId="32120D93" w14:textId="77777777" w:rsidR="001D6FDA" w:rsidRPr="001D6FDA" w:rsidRDefault="00023E71" w:rsidP="00D93E91">
            <w:pPr>
              <w:jc w:val="right"/>
              <w:rPr>
                <w:rFonts w:ascii="Verdana" w:hAnsi="Verdana"/>
                <w:noProof/>
                <w:color w:val="FFFFFF" w:themeColor="background1"/>
                <w:sz w:val="18"/>
                <w:szCs w:val="18"/>
              </w:rPr>
            </w:pPr>
            <w:r w:rsidRPr="001D6FDA">
              <w:rPr>
                <w:rFonts w:ascii="Verdana" w:hAnsi="Verdana"/>
                <w:noProof/>
                <w:color w:val="FFFFFF" w:themeColor="background1"/>
                <w:sz w:val="18"/>
                <w:szCs w:val="18"/>
              </w:rPr>
              <w:t>Estimate</w:t>
            </w:r>
            <w:r w:rsidRPr="001D6FDA">
              <w:rPr>
                <w:rFonts w:ascii="Verdana" w:hAnsi="Verdana"/>
                <w:noProof/>
                <w:color w:val="FFFFFF" w:themeColor="background1"/>
                <w:sz w:val="18"/>
                <w:szCs w:val="18"/>
              </w:rPr>
              <w:br/>
              <w:t>September 2026</w:t>
            </w:r>
            <w:r w:rsidRPr="001D6FDA">
              <w:rPr>
                <w:rFonts w:ascii="Verdana" w:hAnsi="Verdana"/>
                <w:noProof/>
                <w:color w:val="FFFFFF" w:themeColor="background1"/>
                <w:sz w:val="18"/>
                <w:szCs w:val="18"/>
              </w:rPr>
              <w:br/>
              <w:t>invoice</w:t>
            </w:r>
            <w:r>
              <w:rPr>
                <w:rFonts w:ascii="Verdana" w:hAnsi="Verdana"/>
                <w:noProof/>
                <w:color w:val="FFFFFF" w:themeColor="background1"/>
                <w:sz w:val="18"/>
                <w:szCs w:val="18"/>
              </w:rPr>
              <w:br/>
              <w:t>(Oct.-Dec.portion)</w:t>
            </w:r>
            <w:r w:rsidRPr="001D6FDA">
              <w:rPr>
                <w:rFonts w:ascii="Verdana" w:hAnsi="Verdana"/>
                <w:noProof/>
                <w:color w:val="FFFFFF" w:themeColor="background1"/>
                <w:sz w:val="18"/>
                <w:szCs w:val="18"/>
              </w:rPr>
              <w:t xml:space="preserve"> </w:t>
            </w: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14:paraId="799F8555" w14:textId="77777777" w:rsidR="001D6FDA" w:rsidRPr="001D6FDA" w:rsidRDefault="00023E71" w:rsidP="00D93E91">
            <w:pPr>
              <w:jc w:val="right"/>
              <w:rPr>
                <w:rFonts w:ascii="Verdana" w:hAnsi="Verdana" w:cs="Verdana"/>
                <w:iCs/>
                <w:noProof/>
                <w:color w:val="000000"/>
                <w:sz w:val="18"/>
                <w:szCs w:val="18"/>
              </w:rPr>
            </w:pPr>
            <w:r w:rsidRPr="001D6FDA">
              <w:rPr>
                <w:rFonts w:ascii="Verdana" w:hAnsi="Verdana" w:cs="Verdana"/>
                <w:iCs/>
                <w:noProof/>
                <w:color w:val="FFFFFF" w:themeColor="background1"/>
                <w:sz w:val="18"/>
                <w:szCs w:val="18"/>
              </w:rPr>
              <w:t>Total</w:t>
            </w:r>
          </w:p>
        </w:tc>
      </w:tr>
      <w:tr w:rsidR="00807FFE" w14:paraId="22929B39" w14:textId="77777777">
        <w:trPr>
          <w:trHeight w:val="255"/>
        </w:trPr>
        <w:tc>
          <w:tcPr>
            <w:tcW w:w="1951" w:type="dxa"/>
            <w:tcBorders>
              <w:top w:val="nil"/>
              <w:left w:val="nil"/>
              <w:bottom w:val="nil"/>
              <w:right w:val="nil"/>
            </w:tcBorders>
            <w:tcMar>
              <w:top w:w="0" w:type="dxa"/>
              <w:left w:w="60" w:type="dxa"/>
              <w:bottom w:w="0" w:type="dxa"/>
              <w:right w:w="60" w:type="dxa"/>
            </w:tcMar>
            <w:vAlign w:val="bottom"/>
          </w:tcPr>
          <w:p w14:paraId="44890622" w14:textId="77777777" w:rsidR="001D6FDA" w:rsidRDefault="00023E71" w:rsidP="00D93E91">
            <w:pPr>
              <w:rPr>
                <w:rFonts w:ascii="Verdana" w:hAnsi="Verdana" w:cs="Verdana"/>
                <w:i/>
                <w:noProof/>
                <w:color w:val="000000"/>
                <w:sz w:val="18"/>
              </w:rPr>
            </w:pPr>
            <w:r>
              <w:rPr>
                <w:rFonts w:ascii="Verdana" w:hAnsi="Verdana" w:cs="Verdana"/>
                <w:i/>
                <w:noProof/>
                <w:color w:val="000000"/>
                <w:sz w:val="18"/>
              </w:rPr>
              <w:t>Article 136</w:t>
            </w:r>
          </w:p>
        </w:tc>
        <w:tc>
          <w:tcPr>
            <w:tcW w:w="1952" w:type="dxa"/>
            <w:tcBorders>
              <w:top w:val="nil"/>
              <w:left w:val="nil"/>
              <w:bottom w:val="nil"/>
              <w:right w:val="nil"/>
            </w:tcBorders>
            <w:tcMar>
              <w:top w:w="0" w:type="dxa"/>
              <w:left w:w="60" w:type="dxa"/>
              <w:bottom w:w="0" w:type="dxa"/>
              <w:right w:w="60" w:type="dxa"/>
            </w:tcMar>
            <w:vAlign w:val="bottom"/>
          </w:tcPr>
          <w:p w14:paraId="57BD262F" w14:textId="77777777" w:rsidR="001D6FDA" w:rsidRDefault="00023E71" w:rsidP="00D93E91">
            <w:pPr>
              <w:jc w:val="right"/>
              <w:rPr>
                <w:rFonts w:ascii="Verdana" w:hAnsi="Verdana" w:cs="Verdana"/>
                <w:i/>
                <w:noProof/>
                <w:color w:val="000000"/>
                <w:sz w:val="18"/>
              </w:rPr>
            </w:pPr>
            <w:r w:rsidRPr="001D6FDA">
              <w:rPr>
                <w:rFonts w:ascii="Verdana" w:hAnsi="Verdana" w:cs="Verdana"/>
                <w:i/>
                <w:noProof/>
                <w:color w:val="000000"/>
                <w:sz w:val="18"/>
              </w:rPr>
              <w:t>9</w:t>
            </w:r>
          </w:p>
        </w:tc>
        <w:tc>
          <w:tcPr>
            <w:tcW w:w="1951" w:type="dxa"/>
            <w:tcBorders>
              <w:top w:val="nil"/>
              <w:left w:val="nil"/>
              <w:bottom w:val="nil"/>
              <w:right w:val="nil"/>
            </w:tcBorders>
            <w:tcMar>
              <w:top w:w="0" w:type="dxa"/>
              <w:left w:w="60" w:type="dxa"/>
              <w:bottom w:w="0" w:type="dxa"/>
              <w:right w:w="60" w:type="dxa"/>
            </w:tcMar>
            <w:vAlign w:val="bottom"/>
          </w:tcPr>
          <w:p w14:paraId="0E6EBF21" w14:textId="77777777" w:rsidR="001D6FDA" w:rsidRPr="00BD66E1" w:rsidRDefault="00023E71" w:rsidP="00D93E91">
            <w:pPr>
              <w:jc w:val="right"/>
              <w:rPr>
                <w:rFonts w:ascii="Verdana" w:hAnsi="Verdana" w:cs="Verdana"/>
                <w:i/>
                <w:noProof/>
                <w:color w:val="000000"/>
                <w:sz w:val="18"/>
              </w:rPr>
            </w:pPr>
            <w:r w:rsidRPr="00BD66E1">
              <w:rPr>
                <w:rFonts w:ascii="Verdana" w:hAnsi="Verdana" w:cs="Verdana"/>
                <w:i/>
                <w:noProof/>
                <w:color w:val="000000"/>
                <w:sz w:val="18"/>
              </w:rPr>
              <w:t>122</w:t>
            </w:r>
          </w:p>
        </w:tc>
        <w:tc>
          <w:tcPr>
            <w:tcW w:w="1952" w:type="dxa"/>
            <w:tcBorders>
              <w:top w:val="nil"/>
              <w:left w:val="nil"/>
              <w:bottom w:val="nil"/>
              <w:right w:val="nil"/>
            </w:tcBorders>
            <w:tcMar>
              <w:top w:w="0" w:type="dxa"/>
              <w:left w:w="60" w:type="dxa"/>
              <w:bottom w:w="0" w:type="dxa"/>
              <w:right w:w="60" w:type="dxa"/>
            </w:tcMar>
            <w:vAlign w:val="bottom"/>
          </w:tcPr>
          <w:p w14:paraId="49A71799" w14:textId="77777777" w:rsidR="001D6FDA" w:rsidRDefault="001D6FDA" w:rsidP="00D93E91">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14:paraId="2A4134C8" w14:textId="77777777" w:rsidR="001D6FDA" w:rsidRDefault="00023E71" w:rsidP="00D93E91">
            <w:pPr>
              <w:jc w:val="right"/>
              <w:rPr>
                <w:rFonts w:ascii="Verdana" w:hAnsi="Verdana" w:cs="Verdana"/>
                <w:i/>
                <w:noProof/>
                <w:color w:val="000000"/>
                <w:sz w:val="18"/>
              </w:rPr>
            </w:pPr>
            <w:r>
              <w:rPr>
                <w:rFonts w:ascii="Verdana" w:hAnsi="Verdana" w:cs="Verdana"/>
                <w:i/>
                <w:noProof/>
                <w:color w:val="000000"/>
                <w:sz w:val="18"/>
              </w:rPr>
              <w:t>130</w:t>
            </w:r>
          </w:p>
        </w:tc>
      </w:tr>
      <w:tr w:rsidR="00807FFE" w14:paraId="463422B4" w14:textId="77777777">
        <w:trPr>
          <w:trHeight w:val="255"/>
        </w:trPr>
        <w:tc>
          <w:tcPr>
            <w:tcW w:w="1951" w:type="dxa"/>
            <w:tcBorders>
              <w:top w:val="nil"/>
              <w:left w:val="nil"/>
              <w:bottom w:val="nil"/>
              <w:right w:val="nil"/>
            </w:tcBorders>
            <w:tcMar>
              <w:top w:w="0" w:type="dxa"/>
              <w:left w:w="60" w:type="dxa"/>
              <w:bottom w:w="0" w:type="dxa"/>
              <w:right w:w="60" w:type="dxa"/>
            </w:tcMar>
            <w:vAlign w:val="bottom"/>
          </w:tcPr>
          <w:p w14:paraId="6D59A6E1" w14:textId="77777777" w:rsidR="001D6FDA" w:rsidRDefault="00023E71" w:rsidP="00D93E91">
            <w:pPr>
              <w:rPr>
                <w:rFonts w:ascii="Verdana" w:hAnsi="Verdana" w:cs="Verdana"/>
                <w:i/>
                <w:noProof/>
                <w:color w:val="000000"/>
                <w:sz w:val="18"/>
              </w:rPr>
            </w:pPr>
            <w:r>
              <w:rPr>
                <w:rFonts w:ascii="Verdana" w:hAnsi="Verdana" w:cs="Verdana"/>
                <w:i/>
                <w:noProof/>
                <w:color w:val="000000"/>
                <w:sz w:val="18"/>
              </w:rPr>
              <w:t>Article 140</w:t>
            </w:r>
          </w:p>
        </w:tc>
        <w:tc>
          <w:tcPr>
            <w:tcW w:w="1952" w:type="dxa"/>
            <w:tcBorders>
              <w:top w:val="nil"/>
              <w:left w:val="nil"/>
              <w:bottom w:val="nil"/>
              <w:right w:val="nil"/>
            </w:tcBorders>
            <w:tcMar>
              <w:top w:w="0" w:type="dxa"/>
              <w:left w:w="60" w:type="dxa"/>
              <w:bottom w:w="0" w:type="dxa"/>
              <w:right w:w="60" w:type="dxa"/>
            </w:tcMar>
            <w:vAlign w:val="bottom"/>
          </w:tcPr>
          <w:p w14:paraId="23640964" w14:textId="77777777" w:rsidR="001D6FDA" w:rsidRDefault="00023E71" w:rsidP="00D93E91">
            <w:pPr>
              <w:jc w:val="right"/>
              <w:rPr>
                <w:rFonts w:ascii="Verdana" w:hAnsi="Verdana" w:cs="Verdana"/>
                <w:i/>
                <w:noProof/>
                <w:color w:val="000000"/>
                <w:sz w:val="18"/>
              </w:rPr>
            </w:pPr>
            <w:r w:rsidRPr="001D6FDA">
              <w:rPr>
                <w:rFonts w:ascii="Verdana" w:hAnsi="Verdana" w:cs="Verdana"/>
                <w:i/>
                <w:noProof/>
                <w:color w:val="000000"/>
                <w:sz w:val="18"/>
              </w:rPr>
              <w:t>406</w:t>
            </w:r>
          </w:p>
        </w:tc>
        <w:tc>
          <w:tcPr>
            <w:tcW w:w="1951" w:type="dxa"/>
            <w:tcBorders>
              <w:top w:val="nil"/>
              <w:left w:val="nil"/>
              <w:bottom w:val="nil"/>
              <w:right w:val="nil"/>
            </w:tcBorders>
            <w:tcMar>
              <w:top w:w="0" w:type="dxa"/>
              <w:left w:w="60" w:type="dxa"/>
              <w:bottom w:w="0" w:type="dxa"/>
              <w:right w:w="60" w:type="dxa"/>
            </w:tcMar>
            <w:vAlign w:val="bottom"/>
          </w:tcPr>
          <w:p w14:paraId="4FC8FA59" w14:textId="77777777" w:rsidR="001D6FDA" w:rsidRPr="00BD66E1" w:rsidRDefault="00023E71" w:rsidP="00D93E91">
            <w:pPr>
              <w:jc w:val="right"/>
              <w:rPr>
                <w:rFonts w:ascii="Verdana" w:hAnsi="Verdana" w:cs="Verdana"/>
                <w:i/>
                <w:noProof/>
                <w:color w:val="000000"/>
                <w:sz w:val="18"/>
              </w:rPr>
            </w:pPr>
            <w:r>
              <w:rPr>
                <w:rFonts w:ascii="Verdana" w:hAnsi="Verdana" w:cs="Verdana"/>
                <w:i/>
                <w:noProof/>
                <w:color w:val="000000"/>
                <w:sz w:val="18"/>
              </w:rPr>
              <w:t>(</w:t>
            </w:r>
            <w:r w:rsidRPr="00BD66E1">
              <w:rPr>
                <w:rFonts w:ascii="Verdana" w:hAnsi="Verdana" w:cs="Verdana"/>
                <w:i/>
                <w:noProof/>
                <w:color w:val="000000"/>
                <w:sz w:val="18"/>
              </w:rPr>
              <w:t>136</w:t>
            </w:r>
            <w:r>
              <w:rPr>
                <w:rFonts w:ascii="Verdana" w:hAnsi="Verdana" w:cs="Verdana"/>
                <w:i/>
                <w:noProof/>
                <w:color w:val="000000"/>
                <w:sz w:val="18"/>
              </w:rPr>
              <w:t>)</w:t>
            </w:r>
          </w:p>
        </w:tc>
        <w:tc>
          <w:tcPr>
            <w:tcW w:w="1952" w:type="dxa"/>
            <w:tcBorders>
              <w:top w:val="nil"/>
              <w:left w:val="nil"/>
              <w:bottom w:val="nil"/>
              <w:right w:val="nil"/>
            </w:tcBorders>
            <w:tcMar>
              <w:top w:w="0" w:type="dxa"/>
              <w:left w:w="60" w:type="dxa"/>
              <w:bottom w:w="0" w:type="dxa"/>
              <w:right w:w="60" w:type="dxa"/>
            </w:tcMar>
            <w:vAlign w:val="bottom"/>
          </w:tcPr>
          <w:p w14:paraId="6C390AEF" w14:textId="77777777" w:rsidR="001D6FDA" w:rsidRDefault="00023E71" w:rsidP="00D93E91">
            <w:pPr>
              <w:jc w:val="right"/>
              <w:rPr>
                <w:rFonts w:ascii="Verdana" w:hAnsi="Verdana" w:cs="Verdana"/>
                <w:i/>
                <w:noProof/>
                <w:color w:val="000000"/>
                <w:sz w:val="18"/>
              </w:rPr>
            </w:pPr>
            <w:r w:rsidRPr="001D6FDA">
              <w:rPr>
                <w:rFonts w:ascii="Verdana" w:hAnsi="Verdana" w:cs="Verdana"/>
                <w:i/>
                <w:noProof/>
                <w:color w:val="000000"/>
                <w:sz w:val="18"/>
              </w:rPr>
              <w:t>129</w:t>
            </w:r>
          </w:p>
        </w:tc>
        <w:tc>
          <w:tcPr>
            <w:tcW w:w="1952" w:type="dxa"/>
            <w:tcBorders>
              <w:top w:val="nil"/>
              <w:left w:val="nil"/>
              <w:bottom w:val="nil"/>
              <w:right w:val="nil"/>
            </w:tcBorders>
            <w:tcMar>
              <w:top w:w="0" w:type="dxa"/>
              <w:left w:w="60" w:type="dxa"/>
              <w:bottom w:w="0" w:type="dxa"/>
              <w:right w:w="60" w:type="dxa"/>
            </w:tcMar>
            <w:vAlign w:val="bottom"/>
          </w:tcPr>
          <w:p w14:paraId="63657486" w14:textId="77777777" w:rsidR="001D6FDA" w:rsidRDefault="00023E71" w:rsidP="00D93E91">
            <w:pPr>
              <w:jc w:val="right"/>
              <w:rPr>
                <w:rFonts w:ascii="Verdana" w:hAnsi="Verdana" w:cs="Verdana"/>
                <w:i/>
                <w:noProof/>
                <w:color w:val="000000"/>
                <w:sz w:val="18"/>
              </w:rPr>
            </w:pPr>
            <w:r>
              <w:rPr>
                <w:rFonts w:ascii="Verdana" w:hAnsi="Verdana" w:cs="Verdana"/>
                <w:i/>
                <w:noProof/>
                <w:color w:val="000000"/>
                <w:sz w:val="18"/>
              </w:rPr>
              <w:t>399</w:t>
            </w:r>
          </w:p>
        </w:tc>
      </w:tr>
      <w:tr w:rsidR="00807FFE" w14:paraId="4A900899" w14:textId="77777777">
        <w:trPr>
          <w:trHeight w:val="255"/>
        </w:trPr>
        <w:tc>
          <w:tcPr>
            <w:tcW w:w="1951" w:type="dxa"/>
            <w:tcBorders>
              <w:top w:val="nil"/>
              <w:left w:val="nil"/>
              <w:bottom w:val="nil"/>
              <w:right w:val="nil"/>
            </w:tcBorders>
            <w:tcMar>
              <w:top w:w="0" w:type="dxa"/>
              <w:left w:w="60" w:type="dxa"/>
              <w:bottom w:w="0" w:type="dxa"/>
              <w:right w:w="60" w:type="dxa"/>
            </w:tcMar>
            <w:vAlign w:val="bottom"/>
          </w:tcPr>
          <w:p w14:paraId="59242E0D" w14:textId="77777777" w:rsidR="001D6FDA" w:rsidRDefault="00023E71" w:rsidP="00D93E91">
            <w:pPr>
              <w:rPr>
                <w:rFonts w:ascii="Verdana" w:hAnsi="Verdana" w:cs="Verdana"/>
                <w:i/>
                <w:noProof/>
                <w:color w:val="000000"/>
                <w:sz w:val="18"/>
              </w:rPr>
            </w:pPr>
            <w:r>
              <w:rPr>
                <w:rFonts w:ascii="Verdana" w:hAnsi="Verdana" w:cs="Verdana"/>
                <w:i/>
                <w:noProof/>
                <w:color w:val="000000"/>
                <w:sz w:val="18"/>
              </w:rPr>
              <w:t>Article 141</w:t>
            </w:r>
          </w:p>
        </w:tc>
        <w:tc>
          <w:tcPr>
            <w:tcW w:w="1952" w:type="dxa"/>
            <w:tcBorders>
              <w:top w:val="nil"/>
              <w:left w:val="nil"/>
              <w:bottom w:val="nil"/>
              <w:right w:val="nil"/>
            </w:tcBorders>
            <w:tcMar>
              <w:top w:w="0" w:type="dxa"/>
              <w:left w:w="60" w:type="dxa"/>
              <w:bottom w:w="0" w:type="dxa"/>
              <w:right w:w="60" w:type="dxa"/>
            </w:tcMar>
            <w:vAlign w:val="bottom"/>
          </w:tcPr>
          <w:p w14:paraId="5C07A0AE" w14:textId="77777777" w:rsidR="001D6FDA" w:rsidRDefault="00023E71" w:rsidP="00D93E91">
            <w:pPr>
              <w:jc w:val="right"/>
              <w:rPr>
                <w:rFonts w:ascii="Verdana" w:hAnsi="Verdana" w:cs="Verdana"/>
                <w:i/>
                <w:noProof/>
                <w:color w:val="000000"/>
                <w:sz w:val="18"/>
              </w:rPr>
            </w:pPr>
            <w:r>
              <w:rPr>
                <w:rFonts w:ascii="Verdana" w:hAnsi="Verdana" w:cs="Verdana"/>
                <w:i/>
                <w:noProof/>
                <w:color w:val="000000"/>
                <w:sz w:val="18"/>
              </w:rPr>
              <w:t>(</w:t>
            </w:r>
            <w:r w:rsidRPr="001D6FDA">
              <w:rPr>
                <w:rFonts w:ascii="Verdana" w:hAnsi="Verdana" w:cs="Verdana"/>
                <w:i/>
                <w:noProof/>
                <w:color w:val="000000"/>
                <w:sz w:val="18"/>
              </w:rPr>
              <w:t>95</w:t>
            </w:r>
            <w:r>
              <w:rPr>
                <w:rFonts w:ascii="Verdana" w:hAnsi="Verdana" w:cs="Verdana"/>
                <w:i/>
                <w:noProof/>
                <w:color w:val="000000"/>
                <w:sz w:val="18"/>
              </w:rPr>
              <w:t>)</w:t>
            </w:r>
          </w:p>
        </w:tc>
        <w:tc>
          <w:tcPr>
            <w:tcW w:w="1951" w:type="dxa"/>
            <w:tcBorders>
              <w:top w:val="nil"/>
              <w:left w:val="nil"/>
              <w:bottom w:val="nil"/>
              <w:right w:val="nil"/>
            </w:tcBorders>
            <w:tcMar>
              <w:top w:w="0" w:type="dxa"/>
              <w:left w:w="60" w:type="dxa"/>
              <w:bottom w:w="0" w:type="dxa"/>
              <w:right w:w="60" w:type="dxa"/>
            </w:tcMar>
            <w:vAlign w:val="bottom"/>
          </w:tcPr>
          <w:p w14:paraId="2BAC2BFF" w14:textId="77777777" w:rsidR="001D6FDA" w:rsidRPr="00BD66E1" w:rsidRDefault="001D6FDA" w:rsidP="00D93E91">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14:paraId="0720A7FD" w14:textId="77777777" w:rsidR="001D6FDA" w:rsidRDefault="00023E71" w:rsidP="00D93E91">
            <w:pPr>
              <w:jc w:val="right"/>
              <w:rPr>
                <w:rFonts w:ascii="Verdana" w:hAnsi="Verdana" w:cs="Verdana"/>
                <w:i/>
                <w:noProof/>
                <w:color w:val="000000"/>
                <w:sz w:val="18"/>
              </w:rPr>
            </w:pPr>
            <w:r>
              <w:rPr>
                <w:rFonts w:ascii="Verdana" w:hAnsi="Verdana" w:cs="Verdana"/>
                <w:i/>
                <w:noProof/>
                <w:color w:val="000000"/>
                <w:sz w:val="18"/>
              </w:rPr>
              <w:t>(50)</w:t>
            </w:r>
          </w:p>
        </w:tc>
        <w:tc>
          <w:tcPr>
            <w:tcW w:w="1952" w:type="dxa"/>
            <w:tcBorders>
              <w:top w:val="nil"/>
              <w:left w:val="nil"/>
              <w:bottom w:val="nil"/>
              <w:right w:val="nil"/>
            </w:tcBorders>
            <w:tcMar>
              <w:top w:w="0" w:type="dxa"/>
              <w:left w:w="60" w:type="dxa"/>
              <w:bottom w:w="0" w:type="dxa"/>
              <w:right w:w="60" w:type="dxa"/>
            </w:tcMar>
            <w:vAlign w:val="bottom"/>
          </w:tcPr>
          <w:p w14:paraId="0AD939EE" w14:textId="77777777" w:rsidR="001D6FDA" w:rsidRDefault="00023E71" w:rsidP="00D93E91">
            <w:pPr>
              <w:jc w:val="right"/>
              <w:rPr>
                <w:rFonts w:ascii="Verdana" w:hAnsi="Verdana" w:cs="Verdana"/>
                <w:i/>
                <w:noProof/>
                <w:color w:val="000000"/>
                <w:sz w:val="18"/>
              </w:rPr>
            </w:pPr>
            <w:r>
              <w:rPr>
                <w:rFonts w:ascii="Verdana" w:hAnsi="Verdana" w:cs="Verdana"/>
                <w:i/>
                <w:noProof/>
                <w:color w:val="000000"/>
                <w:sz w:val="18"/>
              </w:rPr>
              <w:t>(146)</w:t>
            </w:r>
          </w:p>
        </w:tc>
      </w:tr>
      <w:tr w:rsidR="00807FFE" w14:paraId="40CB2C3D" w14:textId="77777777">
        <w:trPr>
          <w:trHeight w:val="255"/>
        </w:trPr>
        <w:tc>
          <w:tcPr>
            <w:tcW w:w="1951" w:type="dxa"/>
            <w:tcBorders>
              <w:top w:val="nil"/>
              <w:left w:val="nil"/>
              <w:bottom w:val="nil"/>
              <w:right w:val="nil"/>
            </w:tcBorders>
            <w:tcMar>
              <w:top w:w="0" w:type="dxa"/>
              <w:left w:w="60" w:type="dxa"/>
              <w:bottom w:w="0" w:type="dxa"/>
              <w:right w:w="60" w:type="dxa"/>
            </w:tcMar>
            <w:vAlign w:val="bottom"/>
          </w:tcPr>
          <w:p w14:paraId="12A6A4B6" w14:textId="77777777" w:rsidR="001D6FDA" w:rsidRDefault="00023E71" w:rsidP="00D93E91">
            <w:pPr>
              <w:rPr>
                <w:rFonts w:ascii="Verdana" w:hAnsi="Verdana" w:cs="Verdana"/>
                <w:i/>
                <w:noProof/>
                <w:color w:val="000000"/>
                <w:sz w:val="18"/>
              </w:rPr>
            </w:pPr>
            <w:r>
              <w:rPr>
                <w:rFonts w:ascii="Verdana" w:hAnsi="Verdana" w:cs="Verdana"/>
                <w:i/>
                <w:noProof/>
                <w:color w:val="000000"/>
                <w:sz w:val="18"/>
              </w:rPr>
              <w:t>Article 142</w:t>
            </w:r>
          </w:p>
        </w:tc>
        <w:tc>
          <w:tcPr>
            <w:tcW w:w="1952" w:type="dxa"/>
            <w:tcBorders>
              <w:top w:val="nil"/>
              <w:left w:val="nil"/>
              <w:bottom w:val="nil"/>
              <w:right w:val="nil"/>
            </w:tcBorders>
            <w:tcMar>
              <w:top w:w="0" w:type="dxa"/>
              <w:left w:w="60" w:type="dxa"/>
              <w:bottom w:w="0" w:type="dxa"/>
              <w:right w:w="60" w:type="dxa"/>
            </w:tcMar>
            <w:vAlign w:val="bottom"/>
          </w:tcPr>
          <w:p w14:paraId="1E098667" w14:textId="77777777" w:rsidR="001D6FDA" w:rsidRDefault="00023E71" w:rsidP="00D93E91">
            <w:pPr>
              <w:jc w:val="right"/>
              <w:rPr>
                <w:rFonts w:ascii="Verdana" w:hAnsi="Verdana" w:cs="Verdana"/>
                <w:i/>
                <w:noProof/>
                <w:color w:val="000000"/>
                <w:sz w:val="18"/>
              </w:rPr>
            </w:pPr>
            <w:r w:rsidRPr="001D6FDA">
              <w:rPr>
                <w:rFonts w:ascii="Verdana" w:hAnsi="Verdana" w:cs="Verdana"/>
                <w:i/>
                <w:noProof/>
                <w:color w:val="000000"/>
                <w:sz w:val="18"/>
              </w:rPr>
              <w:t>18</w:t>
            </w:r>
          </w:p>
        </w:tc>
        <w:tc>
          <w:tcPr>
            <w:tcW w:w="1951" w:type="dxa"/>
            <w:tcBorders>
              <w:top w:val="nil"/>
              <w:left w:val="nil"/>
              <w:bottom w:val="nil"/>
              <w:right w:val="nil"/>
            </w:tcBorders>
            <w:tcMar>
              <w:top w:w="0" w:type="dxa"/>
              <w:left w:w="60" w:type="dxa"/>
              <w:bottom w:w="0" w:type="dxa"/>
              <w:right w:w="60" w:type="dxa"/>
            </w:tcMar>
            <w:vAlign w:val="bottom"/>
          </w:tcPr>
          <w:p w14:paraId="6E75DE4E" w14:textId="77777777" w:rsidR="001D6FDA" w:rsidRPr="00BD66E1" w:rsidRDefault="00023E71" w:rsidP="00D93E91">
            <w:pPr>
              <w:jc w:val="right"/>
              <w:rPr>
                <w:rFonts w:ascii="Verdana" w:hAnsi="Verdana" w:cs="Verdana"/>
                <w:i/>
                <w:noProof/>
                <w:color w:val="000000"/>
                <w:sz w:val="18"/>
              </w:rPr>
            </w:pPr>
            <w:r w:rsidRPr="00BD66E1">
              <w:rPr>
                <w:rFonts w:ascii="Verdana" w:hAnsi="Verdana" w:cs="Verdana"/>
                <w:i/>
                <w:noProof/>
                <w:color w:val="000000"/>
                <w:sz w:val="18"/>
              </w:rPr>
              <w:t>326</w:t>
            </w:r>
          </w:p>
        </w:tc>
        <w:tc>
          <w:tcPr>
            <w:tcW w:w="1952" w:type="dxa"/>
            <w:tcBorders>
              <w:top w:val="nil"/>
              <w:left w:val="nil"/>
              <w:bottom w:val="nil"/>
              <w:right w:val="nil"/>
            </w:tcBorders>
            <w:tcMar>
              <w:top w:w="0" w:type="dxa"/>
              <w:left w:w="60" w:type="dxa"/>
              <w:bottom w:w="0" w:type="dxa"/>
              <w:right w:w="60" w:type="dxa"/>
            </w:tcMar>
            <w:vAlign w:val="bottom"/>
          </w:tcPr>
          <w:p w14:paraId="3ADE3BB7" w14:textId="77777777" w:rsidR="001D6FDA" w:rsidRDefault="00023E71" w:rsidP="00D93E91">
            <w:pPr>
              <w:jc w:val="right"/>
              <w:rPr>
                <w:rFonts w:ascii="Verdana" w:hAnsi="Verdana" w:cs="Verdana"/>
                <w:i/>
                <w:noProof/>
                <w:color w:val="000000"/>
                <w:sz w:val="18"/>
              </w:rPr>
            </w:pPr>
            <w:r w:rsidRPr="001D6FDA">
              <w:rPr>
                <w:rFonts w:ascii="Verdana" w:hAnsi="Verdana" w:cs="Verdana"/>
                <w:i/>
                <w:noProof/>
                <w:color w:val="000000"/>
                <w:sz w:val="18"/>
              </w:rPr>
              <w:t>11</w:t>
            </w:r>
          </w:p>
        </w:tc>
        <w:tc>
          <w:tcPr>
            <w:tcW w:w="1952" w:type="dxa"/>
            <w:tcBorders>
              <w:top w:val="nil"/>
              <w:left w:val="nil"/>
              <w:bottom w:val="nil"/>
              <w:right w:val="nil"/>
            </w:tcBorders>
            <w:tcMar>
              <w:top w:w="0" w:type="dxa"/>
              <w:left w:w="60" w:type="dxa"/>
              <w:bottom w:w="0" w:type="dxa"/>
              <w:right w:w="60" w:type="dxa"/>
            </w:tcMar>
            <w:vAlign w:val="bottom"/>
          </w:tcPr>
          <w:p w14:paraId="7AA5AC2D" w14:textId="77777777" w:rsidR="001D6FDA" w:rsidRDefault="00023E71" w:rsidP="00D93E91">
            <w:pPr>
              <w:jc w:val="right"/>
              <w:rPr>
                <w:rFonts w:ascii="Verdana" w:hAnsi="Verdana" w:cs="Verdana"/>
                <w:i/>
                <w:noProof/>
                <w:color w:val="000000"/>
                <w:sz w:val="18"/>
              </w:rPr>
            </w:pPr>
            <w:r w:rsidRPr="001D6FDA">
              <w:rPr>
                <w:rFonts w:ascii="Verdana" w:hAnsi="Verdana" w:cs="Verdana"/>
                <w:i/>
                <w:noProof/>
                <w:color w:val="000000"/>
                <w:sz w:val="18"/>
              </w:rPr>
              <w:t>355</w:t>
            </w:r>
          </w:p>
        </w:tc>
      </w:tr>
      <w:tr w:rsidR="00807FFE" w14:paraId="1203F284" w14:textId="77777777">
        <w:trPr>
          <w:trHeight w:val="255"/>
        </w:trPr>
        <w:tc>
          <w:tcPr>
            <w:tcW w:w="1951" w:type="dxa"/>
            <w:tcBorders>
              <w:top w:val="nil"/>
              <w:left w:val="nil"/>
              <w:bottom w:val="nil"/>
              <w:right w:val="nil"/>
            </w:tcBorders>
            <w:tcMar>
              <w:top w:w="0" w:type="dxa"/>
              <w:left w:w="60" w:type="dxa"/>
              <w:bottom w:w="0" w:type="dxa"/>
              <w:right w:w="60" w:type="dxa"/>
            </w:tcMar>
            <w:vAlign w:val="bottom"/>
          </w:tcPr>
          <w:p w14:paraId="4D6CFD98" w14:textId="77777777" w:rsidR="001D6FDA" w:rsidRDefault="00023E71" w:rsidP="00D93E91">
            <w:pPr>
              <w:rPr>
                <w:rFonts w:ascii="Verdana" w:hAnsi="Verdana" w:cs="Verdana"/>
                <w:i/>
                <w:noProof/>
                <w:color w:val="000000"/>
                <w:sz w:val="18"/>
              </w:rPr>
            </w:pPr>
            <w:r>
              <w:rPr>
                <w:rFonts w:ascii="Verdana" w:hAnsi="Verdana" w:cs="Verdana"/>
                <w:i/>
                <w:noProof/>
                <w:color w:val="000000"/>
                <w:sz w:val="18"/>
              </w:rPr>
              <w:t>Article 143</w:t>
            </w:r>
          </w:p>
        </w:tc>
        <w:tc>
          <w:tcPr>
            <w:tcW w:w="1952" w:type="dxa"/>
            <w:tcBorders>
              <w:top w:val="nil"/>
              <w:left w:val="nil"/>
              <w:bottom w:val="nil"/>
              <w:right w:val="nil"/>
            </w:tcBorders>
            <w:tcMar>
              <w:top w:w="0" w:type="dxa"/>
              <w:left w:w="60" w:type="dxa"/>
              <w:bottom w:w="0" w:type="dxa"/>
              <w:right w:w="60" w:type="dxa"/>
            </w:tcMar>
            <w:vAlign w:val="bottom"/>
          </w:tcPr>
          <w:p w14:paraId="69499D76" w14:textId="77777777" w:rsidR="001D6FDA" w:rsidRDefault="001D6FDA" w:rsidP="00D93E91">
            <w:pPr>
              <w:jc w:val="right"/>
              <w:rPr>
                <w:rFonts w:ascii="Verdana" w:hAnsi="Verdana" w:cs="Verdana"/>
                <w:i/>
                <w:noProof/>
                <w:color w:val="000000"/>
                <w:sz w:val="18"/>
              </w:rPr>
            </w:pPr>
          </w:p>
        </w:tc>
        <w:tc>
          <w:tcPr>
            <w:tcW w:w="1951" w:type="dxa"/>
            <w:tcBorders>
              <w:top w:val="nil"/>
              <w:left w:val="nil"/>
              <w:bottom w:val="nil"/>
              <w:right w:val="nil"/>
            </w:tcBorders>
            <w:tcMar>
              <w:top w:w="0" w:type="dxa"/>
              <w:left w:w="60" w:type="dxa"/>
              <w:bottom w:w="0" w:type="dxa"/>
              <w:right w:w="60" w:type="dxa"/>
            </w:tcMar>
            <w:vAlign w:val="bottom"/>
          </w:tcPr>
          <w:p w14:paraId="482AB1A0" w14:textId="77777777" w:rsidR="001D6FDA" w:rsidRPr="00BD66E1" w:rsidRDefault="00023E71" w:rsidP="00D93E91">
            <w:pPr>
              <w:jc w:val="right"/>
              <w:rPr>
                <w:rFonts w:ascii="Verdana" w:hAnsi="Verdana" w:cs="Verdana"/>
                <w:i/>
                <w:noProof/>
                <w:color w:val="000000"/>
                <w:sz w:val="18"/>
              </w:rPr>
            </w:pPr>
            <w:r>
              <w:rPr>
                <w:rFonts w:ascii="Verdana" w:hAnsi="Verdana" w:cs="Verdana"/>
                <w:i/>
                <w:noProof/>
                <w:color w:val="000000"/>
                <w:sz w:val="18"/>
              </w:rPr>
              <w:t>(</w:t>
            </w:r>
            <w:r w:rsidRPr="00BD66E1">
              <w:rPr>
                <w:rFonts w:ascii="Verdana" w:hAnsi="Verdana" w:cs="Verdana"/>
                <w:i/>
                <w:noProof/>
                <w:color w:val="000000"/>
                <w:sz w:val="18"/>
              </w:rPr>
              <w:t>198</w:t>
            </w:r>
            <w:r>
              <w:rPr>
                <w:rFonts w:ascii="Verdana" w:hAnsi="Verdana" w:cs="Verdana"/>
                <w:i/>
                <w:noProof/>
                <w:color w:val="000000"/>
                <w:sz w:val="18"/>
              </w:rPr>
              <w:t>)</w:t>
            </w:r>
          </w:p>
        </w:tc>
        <w:tc>
          <w:tcPr>
            <w:tcW w:w="1952" w:type="dxa"/>
            <w:tcBorders>
              <w:top w:val="nil"/>
              <w:left w:val="nil"/>
              <w:bottom w:val="nil"/>
              <w:right w:val="nil"/>
            </w:tcBorders>
            <w:tcMar>
              <w:top w:w="0" w:type="dxa"/>
              <w:left w:w="60" w:type="dxa"/>
              <w:bottom w:w="0" w:type="dxa"/>
              <w:right w:w="60" w:type="dxa"/>
            </w:tcMar>
            <w:vAlign w:val="bottom"/>
          </w:tcPr>
          <w:p w14:paraId="28ED2756" w14:textId="77777777" w:rsidR="001D6FDA" w:rsidRDefault="001D6FDA" w:rsidP="00D93E91">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14:paraId="2D0ACA69" w14:textId="77777777" w:rsidR="001D6FDA" w:rsidRDefault="00023E71" w:rsidP="00D93E91">
            <w:pPr>
              <w:jc w:val="right"/>
              <w:rPr>
                <w:rFonts w:ascii="Verdana" w:hAnsi="Verdana" w:cs="Verdana"/>
                <w:i/>
                <w:noProof/>
                <w:color w:val="000000"/>
                <w:sz w:val="18"/>
              </w:rPr>
            </w:pPr>
            <w:r>
              <w:rPr>
                <w:rFonts w:ascii="Verdana" w:hAnsi="Verdana" w:cs="Verdana"/>
                <w:i/>
                <w:noProof/>
                <w:color w:val="000000"/>
                <w:sz w:val="18"/>
              </w:rPr>
              <w:t>(</w:t>
            </w:r>
            <w:r w:rsidRPr="001D6FDA">
              <w:rPr>
                <w:rFonts w:ascii="Verdana" w:hAnsi="Verdana" w:cs="Verdana"/>
                <w:i/>
                <w:noProof/>
                <w:color w:val="000000"/>
                <w:sz w:val="18"/>
              </w:rPr>
              <w:t>198</w:t>
            </w:r>
            <w:r>
              <w:rPr>
                <w:rFonts w:ascii="Verdana" w:hAnsi="Verdana" w:cs="Verdana"/>
                <w:i/>
                <w:noProof/>
                <w:color w:val="000000"/>
                <w:sz w:val="18"/>
              </w:rPr>
              <w:t>)</w:t>
            </w:r>
          </w:p>
        </w:tc>
      </w:tr>
      <w:tr w:rsidR="00807FFE" w14:paraId="34B43495" w14:textId="77777777">
        <w:trPr>
          <w:trHeight w:val="255"/>
        </w:trPr>
        <w:tc>
          <w:tcPr>
            <w:tcW w:w="1951" w:type="dxa"/>
            <w:tcBorders>
              <w:top w:val="nil"/>
              <w:left w:val="nil"/>
              <w:bottom w:val="nil"/>
              <w:right w:val="nil"/>
            </w:tcBorders>
            <w:tcMar>
              <w:top w:w="0" w:type="dxa"/>
              <w:left w:w="60" w:type="dxa"/>
              <w:bottom w:w="0" w:type="dxa"/>
              <w:right w:w="60" w:type="dxa"/>
            </w:tcMar>
            <w:vAlign w:val="bottom"/>
          </w:tcPr>
          <w:p w14:paraId="3C7B79A9" w14:textId="77777777" w:rsidR="001D6FDA" w:rsidRDefault="00023E71" w:rsidP="00D93E91">
            <w:pPr>
              <w:rPr>
                <w:rFonts w:ascii="Verdana" w:hAnsi="Verdana" w:cs="Verdana"/>
                <w:i/>
                <w:noProof/>
                <w:color w:val="000000"/>
                <w:sz w:val="18"/>
              </w:rPr>
            </w:pPr>
            <w:r>
              <w:rPr>
                <w:rFonts w:ascii="Verdana" w:hAnsi="Verdana" w:cs="Verdana"/>
                <w:i/>
                <w:noProof/>
                <w:color w:val="000000"/>
                <w:sz w:val="18"/>
              </w:rPr>
              <w:t>Article 144</w:t>
            </w:r>
          </w:p>
        </w:tc>
        <w:tc>
          <w:tcPr>
            <w:tcW w:w="1952" w:type="dxa"/>
            <w:tcBorders>
              <w:top w:val="nil"/>
              <w:left w:val="nil"/>
              <w:bottom w:val="nil"/>
              <w:right w:val="nil"/>
            </w:tcBorders>
            <w:tcMar>
              <w:top w:w="0" w:type="dxa"/>
              <w:left w:w="60" w:type="dxa"/>
              <w:bottom w:w="0" w:type="dxa"/>
              <w:right w:w="60" w:type="dxa"/>
            </w:tcMar>
            <w:vAlign w:val="bottom"/>
          </w:tcPr>
          <w:p w14:paraId="67F71BB6" w14:textId="77777777" w:rsidR="001D6FDA" w:rsidRDefault="001D6FDA" w:rsidP="00D93E91">
            <w:pPr>
              <w:jc w:val="right"/>
              <w:rPr>
                <w:rFonts w:ascii="Verdana" w:hAnsi="Verdana" w:cs="Verdana"/>
                <w:i/>
                <w:noProof/>
                <w:color w:val="000000"/>
                <w:sz w:val="18"/>
              </w:rPr>
            </w:pPr>
          </w:p>
        </w:tc>
        <w:tc>
          <w:tcPr>
            <w:tcW w:w="1951" w:type="dxa"/>
            <w:tcBorders>
              <w:top w:val="nil"/>
              <w:left w:val="nil"/>
              <w:bottom w:val="nil"/>
              <w:right w:val="nil"/>
            </w:tcBorders>
            <w:tcMar>
              <w:top w:w="0" w:type="dxa"/>
              <w:left w:w="60" w:type="dxa"/>
              <w:bottom w:w="0" w:type="dxa"/>
              <w:right w:w="60" w:type="dxa"/>
            </w:tcMar>
            <w:vAlign w:val="bottom"/>
          </w:tcPr>
          <w:p w14:paraId="0DEF14B9" w14:textId="77777777" w:rsidR="001D6FDA" w:rsidRPr="00BD66E1" w:rsidRDefault="00023E71" w:rsidP="00D93E91">
            <w:pPr>
              <w:jc w:val="right"/>
              <w:rPr>
                <w:rFonts w:ascii="Verdana" w:hAnsi="Verdana" w:cs="Verdana"/>
                <w:i/>
                <w:noProof/>
                <w:color w:val="000000"/>
                <w:sz w:val="18"/>
              </w:rPr>
            </w:pPr>
            <w:r>
              <w:rPr>
                <w:rFonts w:ascii="Verdana" w:hAnsi="Verdana" w:cs="Verdana"/>
                <w:i/>
                <w:noProof/>
                <w:color w:val="000000"/>
                <w:sz w:val="18"/>
              </w:rPr>
              <w:t>(</w:t>
            </w:r>
            <w:r w:rsidRPr="00BD66E1">
              <w:rPr>
                <w:rFonts w:ascii="Verdana" w:hAnsi="Verdana" w:cs="Verdana"/>
                <w:i/>
                <w:noProof/>
                <w:color w:val="000000"/>
                <w:sz w:val="18"/>
              </w:rPr>
              <w:t>43</w:t>
            </w:r>
            <w:r>
              <w:rPr>
                <w:rFonts w:ascii="Verdana" w:hAnsi="Verdana" w:cs="Verdana"/>
                <w:i/>
                <w:noProof/>
                <w:color w:val="000000"/>
                <w:sz w:val="18"/>
              </w:rPr>
              <w:t>)</w:t>
            </w:r>
          </w:p>
        </w:tc>
        <w:tc>
          <w:tcPr>
            <w:tcW w:w="1952" w:type="dxa"/>
            <w:tcBorders>
              <w:top w:val="nil"/>
              <w:left w:val="nil"/>
              <w:bottom w:val="nil"/>
              <w:right w:val="nil"/>
            </w:tcBorders>
            <w:tcMar>
              <w:top w:w="0" w:type="dxa"/>
              <w:left w:w="60" w:type="dxa"/>
              <w:bottom w:w="0" w:type="dxa"/>
              <w:right w:w="60" w:type="dxa"/>
            </w:tcMar>
            <w:vAlign w:val="bottom"/>
          </w:tcPr>
          <w:p w14:paraId="27FABD7F" w14:textId="77777777" w:rsidR="001D6FDA" w:rsidRDefault="001D6FDA" w:rsidP="00D93E91">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14:paraId="59448521" w14:textId="77777777" w:rsidR="001D6FDA" w:rsidRDefault="00023E71" w:rsidP="00D93E91">
            <w:pPr>
              <w:jc w:val="right"/>
              <w:rPr>
                <w:rFonts w:ascii="Verdana" w:hAnsi="Verdana" w:cs="Verdana"/>
                <w:i/>
                <w:noProof/>
                <w:color w:val="000000"/>
                <w:sz w:val="18"/>
              </w:rPr>
            </w:pPr>
            <w:r>
              <w:rPr>
                <w:rFonts w:ascii="Verdana" w:hAnsi="Verdana" w:cs="Verdana"/>
                <w:i/>
                <w:noProof/>
                <w:color w:val="000000"/>
                <w:sz w:val="18"/>
              </w:rPr>
              <w:t>(</w:t>
            </w:r>
            <w:r w:rsidRPr="001D6FDA">
              <w:rPr>
                <w:rFonts w:ascii="Verdana" w:hAnsi="Verdana" w:cs="Verdana"/>
                <w:i/>
                <w:noProof/>
                <w:color w:val="000000"/>
                <w:sz w:val="18"/>
              </w:rPr>
              <w:t>43</w:t>
            </w:r>
            <w:r>
              <w:rPr>
                <w:rFonts w:ascii="Verdana" w:hAnsi="Verdana" w:cs="Verdana"/>
                <w:i/>
                <w:noProof/>
                <w:color w:val="000000"/>
                <w:sz w:val="18"/>
              </w:rPr>
              <w:t>)</w:t>
            </w:r>
          </w:p>
        </w:tc>
      </w:tr>
      <w:tr w:rsidR="00807FFE" w14:paraId="307B74EC" w14:textId="77777777">
        <w:trPr>
          <w:trHeight w:val="255"/>
        </w:trPr>
        <w:tc>
          <w:tcPr>
            <w:tcW w:w="1951" w:type="dxa"/>
            <w:tcBorders>
              <w:top w:val="nil"/>
              <w:left w:val="nil"/>
              <w:bottom w:val="single" w:sz="8" w:space="0" w:color="016794"/>
              <w:right w:val="nil"/>
            </w:tcBorders>
            <w:tcMar>
              <w:top w:w="0" w:type="dxa"/>
              <w:left w:w="60" w:type="dxa"/>
              <w:bottom w:w="0" w:type="dxa"/>
              <w:right w:w="60" w:type="dxa"/>
            </w:tcMar>
            <w:vAlign w:val="bottom"/>
          </w:tcPr>
          <w:p w14:paraId="0051F9B2" w14:textId="77777777" w:rsidR="001D6FDA" w:rsidRDefault="00023E71" w:rsidP="00D93E91">
            <w:pPr>
              <w:rPr>
                <w:rFonts w:ascii="Verdana" w:hAnsi="Verdana" w:cs="Verdana"/>
                <w:i/>
                <w:noProof/>
                <w:color w:val="000000"/>
                <w:sz w:val="18"/>
              </w:rPr>
            </w:pPr>
            <w:r>
              <w:rPr>
                <w:rFonts w:ascii="Verdana" w:hAnsi="Verdana" w:cs="Verdana"/>
                <w:i/>
                <w:noProof/>
                <w:color w:val="000000"/>
                <w:sz w:val="18"/>
              </w:rPr>
              <w:t>Article 147</w:t>
            </w:r>
          </w:p>
        </w:tc>
        <w:tc>
          <w:tcPr>
            <w:tcW w:w="1952" w:type="dxa"/>
            <w:tcBorders>
              <w:top w:val="nil"/>
              <w:left w:val="nil"/>
              <w:bottom w:val="single" w:sz="8" w:space="0" w:color="016794"/>
              <w:right w:val="nil"/>
            </w:tcBorders>
            <w:tcMar>
              <w:top w:w="0" w:type="dxa"/>
              <w:left w:w="60" w:type="dxa"/>
              <w:bottom w:w="0" w:type="dxa"/>
              <w:right w:w="60" w:type="dxa"/>
            </w:tcMar>
            <w:vAlign w:val="bottom"/>
          </w:tcPr>
          <w:p w14:paraId="63E4D2AA" w14:textId="77777777" w:rsidR="001D6FDA" w:rsidRDefault="001D6FDA" w:rsidP="00D93E91">
            <w:pPr>
              <w:jc w:val="right"/>
              <w:rPr>
                <w:rFonts w:ascii="Verdana" w:hAnsi="Verdana" w:cs="Verdana"/>
                <w:i/>
                <w:noProof/>
                <w:color w:val="000000"/>
                <w:sz w:val="18"/>
              </w:rPr>
            </w:pPr>
          </w:p>
        </w:tc>
        <w:tc>
          <w:tcPr>
            <w:tcW w:w="1951" w:type="dxa"/>
            <w:tcBorders>
              <w:top w:val="nil"/>
              <w:left w:val="nil"/>
              <w:bottom w:val="single" w:sz="8" w:space="0" w:color="016794"/>
              <w:right w:val="nil"/>
            </w:tcBorders>
            <w:tcMar>
              <w:top w:w="0" w:type="dxa"/>
              <w:left w:w="60" w:type="dxa"/>
              <w:bottom w:w="0" w:type="dxa"/>
              <w:right w:w="60" w:type="dxa"/>
            </w:tcMar>
            <w:vAlign w:val="bottom"/>
          </w:tcPr>
          <w:p w14:paraId="5C72BC05" w14:textId="77777777" w:rsidR="001D6FDA" w:rsidRPr="00BD66E1" w:rsidRDefault="00023E71" w:rsidP="00D93E91">
            <w:pPr>
              <w:jc w:val="right"/>
              <w:rPr>
                <w:rFonts w:ascii="Verdana" w:hAnsi="Verdana" w:cs="Verdana"/>
                <w:i/>
                <w:noProof/>
                <w:color w:val="000000"/>
                <w:sz w:val="18"/>
              </w:rPr>
            </w:pPr>
            <w:r w:rsidRPr="00BD66E1">
              <w:rPr>
                <w:rFonts w:ascii="Verdana" w:hAnsi="Verdana" w:cs="Verdana"/>
                <w:i/>
                <w:noProof/>
                <w:color w:val="000000"/>
                <w:sz w:val="18"/>
              </w:rPr>
              <w:t>7</w:t>
            </w:r>
          </w:p>
        </w:tc>
        <w:tc>
          <w:tcPr>
            <w:tcW w:w="1952" w:type="dxa"/>
            <w:tcBorders>
              <w:top w:val="nil"/>
              <w:left w:val="nil"/>
              <w:bottom w:val="single" w:sz="8" w:space="0" w:color="016794"/>
              <w:right w:val="nil"/>
            </w:tcBorders>
            <w:tcMar>
              <w:top w:w="0" w:type="dxa"/>
              <w:left w:w="60" w:type="dxa"/>
              <w:bottom w:w="0" w:type="dxa"/>
              <w:right w:w="60" w:type="dxa"/>
            </w:tcMar>
            <w:vAlign w:val="bottom"/>
          </w:tcPr>
          <w:p w14:paraId="38A3E222" w14:textId="77777777" w:rsidR="001D6FDA" w:rsidRDefault="001D6FDA" w:rsidP="00D93E91">
            <w:pPr>
              <w:jc w:val="right"/>
              <w:rPr>
                <w:rFonts w:ascii="Verdana" w:hAnsi="Verdana" w:cs="Verdana"/>
                <w:i/>
                <w:noProof/>
                <w:color w:val="000000"/>
                <w:sz w:val="18"/>
              </w:rPr>
            </w:pPr>
          </w:p>
        </w:tc>
        <w:tc>
          <w:tcPr>
            <w:tcW w:w="1952" w:type="dxa"/>
            <w:tcBorders>
              <w:top w:val="nil"/>
              <w:left w:val="nil"/>
              <w:bottom w:val="single" w:sz="8" w:space="0" w:color="016794"/>
              <w:right w:val="nil"/>
            </w:tcBorders>
            <w:tcMar>
              <w:top w:w="0" w:type="dxa"/>
              <w:left w:w="60" w:type="dxa"/>
              <w:bottom w:w="0" w:type="dxa"/>
              <w:right w:w="60" w:type="dxa"/>
            </w:tcMar>
            <w:vAlign w:val="bottom"/>
          </w:tcPr>
          <w:p w14:paraId="022715C9" w14:textId="77777777" w:rsidR="001D6FDA" w:rsidRDefault="00023E71" w:rsidP="00D93E91">
            <w:pPr>
              <w:jc w:val="right"/>
              <w:rPr>
                <w:rFonts w:ascii="Verdana" w:hAnsi="Verdana" w:cs="Verdana"/>
                <w:i/>
                <w:noProof/>
                <w:color w:val="000000"/>
                <w:sz w:val="18"/>
              </w:rPr>
            </w:pPr>
            <w:r w:rsidRPr="001D6FDA">
              <w:rPr>
                <w:rFonts w:ascii="Verdana" w:hAnsi="Verdana" w:cs="Verdana"/>
                <w:i/>
                <w:noProof/>
                <w:color w:val="000000"/>
                <w:sz w:val="18"/>
              </w:rPr>
              <w:t>7</w:t>
            </w:r>
          </w:p>
        </w:tc>
      </w:tr>
      <w:tr w:rsidR="00807FFE" w14:paraId="002008DE" w14:textId="77777777">
        <w:trPr>
          <w:trHeight w:val="255"/>
        </w:trPr>
        <w:tc>
          <w:tcPr>
            <w:tcW w:w="1951" w:type="dxa"/>
            <w:tcBorders>
              <w:top w:val="single" w:sz="8" w:space="0" w:color="016794"/>
              <w:left w:val="nil"/>
              <w:bottom w:val="single" w:sz="8" w:space="0" w:color="016794"/>
              <w:right w:val="nil"/>
            </w:tcBorders>
            <w:tcMar>
              <w:top w:w="0" w:type="dxa"/>
              <w:left w:w="60" w:type="dxa"/>
              <w:bottom w:w="0" w:type="dxa"/>
              <w:right w:w="60" w:type="dxa"/>
            </w:tcMar>
            <w:vAlign w:val="center"/>
          </w:tcPr>
          <w:p w14:paraId="0B413E5B" w14:textId="77777777" w:rsidR="001D6FDA" w:rsidRDefault="00023E71" w:rsidP="00D93E91">
            <w:pPr>
              <w:rPr>
                <w:rFonts w:ascii="Verdana" w:hAnsi="Verdana" w:cs="Verdana"/>
                <w:b/>
                <w:noProof/>
                <w:color w:val="000000"/>
                <w:sz w:val="18"/>
              </w:rPr>
            </w:pPr>
            <w:r>
              <w:rPr>
                <w:rFonts w:ascii="Verdana" w:hAnsi="Verdana" w:cs="Verdana"/>
                <w:b/>
                <w:noProof/>
                <w:color w:val="000000"/>
                <w:sz w:val="18"/>
              </w:rPr>
              <w:t>Total</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14:paraId="6101F183" w14:textId="77777777" w:rsidR="001D6FDA" w:rsidRDefault="00023E71" w:rsidP="00D93E91">
            <w:pPr>
              <w:jc w:val="right"/>
              <w:rPr>
                <w:rFonts w:ascii="Verdana" w:hAnsi="Verdana" w:cs="Verdana"/>
                <w:b/>
                <w:noProof/>
                <w:color w:val="000000"/>
                <w:sz w:val="18"/>
              </w:rPr>
            </w:pPr>
            <w:r w:rsidRPr="001D6FDA">
              <w:rPr>
                <w:rFonts w:ascii="Verdana" w:hAnsi="Verdana" w:cs="Verdana"/>
                <w:b/>
                <w:noProof/>
                <w:color w:val="000000"/>
                <w:sz w:val="18"/>
              </w:rPr>
              <w:t>338</w:t>
            </w:r>
          </w:p>
        </w:tc>
        <w:tc>
          <w:tcPr>
            <w:tcW w:w="1951" w:type="dxa"/>
            <w:tcBorders>
              <w:top w:val="single" w:sz="8" w:space="0" w:color="016794"/>
              <w:left w:val="nil"/>
              <w:bottom w:val="single" w:sz="8" w:space="0" w:color="016794"/>
              <w:right w:val="nil"/>
            </w:tcBorders>
            <w:tcMar>
              <w:top w:w="0" w:type="dxa"/>
              <w:left w:w="60" w:type="dxa"/>
              <w:bottom w:w="0" w:type="dxa"/>
              <w:right w:w="60" w:type="dxa"/>
            </w:tcMar>
            <w:vAlign w:val="bottom"/>
          </w:tcPr>
          <w:p w14:paraId="229B213B" w14:textId="77777777" w:rsidR="001D6FDA" w:rsidRPr="00BD66E1" w:rsidRDefault="00023E71" w:rsidP="00D93E91">
            <w:pPr>
              <w:jc w:val="right"/>
              <w:rPr>
                <w:rFonts w:ascii="Verdana" w:hAnsi="Verdana" w:cs="Verdana"/>
                <w:b/>
                <w:noProof/>
                <w:color w:val="000000"/>
                <w:sz w:val="18"/>
              </w:rPr>
            </w:pPr>
            <w:r w:rsidRPr="00BD66E1">
              <w:rPr>
                <w:rFonts w:ascii="Verdana" w:hAnsi="Verdana" w:cs="Verdana"/>
                <w:b/>
                <w:noProof/>
                <w:color w:val="000000"/>
                <w:sz w:val="18"/>
              </w:rPr>
              <w:t>78</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14:paraId="3456AAD4" w14:textId="77777777" w:rsidR="001D6FDA" w:rsidRDefault="00023E71" w:rsidP="00D93E91">
            <w:pPr>
              <w:jc w:val="right"/>
              <w:rPr>
                <w:rFonts w:ascii="Verdana" w:hAnsi="Verdana" w:cs="Verdana"/>
                <w:b/>
                <w:noProof/>
                <w:color w:val="000000"/>
                <w:sz w:val="18"/>
              </w:rPr>
            </w:pPr>
            <w:r>
              <w:rPr>
                <w:rFonts w:ascii="Verdana" w:hAnsi="Verdana" w:cs="Verdana"/>
                <w:b/>
                <w:noProof/>
                <w:color w:val="000000"/>
                <w:sz w:val="18"/>
              </w:rPr>
              <w:t>89</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14:paraId="7BE44B0C" w14:textId="77777777" w:rsidR="001D6FDA" w:rsidRPr="001D6FDA" w:rsidRDefault="00023E71" w:rsidP="00D93E91">
            <w:pPr>
              <w:jc w:val="right"/>
              <w:rPr>
                <w:rFonts w:ascii="Verdana" w:hAnsi="Verdana" w:cs="Verdana"/>
                <w:b/>
                <w:bCs/>
                <w:iCs/>
                <w:noProof/>
                <w:color w:val="000000"/>
                <w:sz w:val="18"/>
              </w:rPr>
            </w:pPr>
            <w:r>
              <w:rPr>
                <w:rFonts w:ascii="Verdana" w:hAnsi="Verdana" w:cs="Verdana"/>
                <w:b/>
                <w:bCs/>
                <w:iCs/>
                <w:noProof/>
                <w:color w:val="000000"/>
                <w:sz w:val="18"/>
              </w:rPr>
              <w:t>505</w:t>
            </w:r>
          </w:p>
        </w:tc>
      </w:tr>
    </w:tbl>
    <w:p w14:paraId="6800E9B6" w14:textId="77777777" w:rsidR="003C5A5A" w:rsidRPr="00A7502B" w:rsidRDefault="00023E71" w:rsidP="003C5A5A">
      <w:pPr>
        <w:pStyle w:val="Textstand-alone"/>
        <w:rPr>
          <w:color w:val="016794"/>
        </w:rPr>
      </w:pPr>
      <w:r>
        <w:rPr>
          <w:color w:val="016794"/>
        </w:rPr>
        <w:t>UK share (Article 139)</w:t>
      </w:r>
    </w:p>
    <w:p w14:paraId="0612ECC0" w14:textId="77777777" w:rsidR="002758E2" w:rsidRDefault="00023E71" w:rsidP="000C380E">
      <w:pPr>
        <w:pStyle w:val="DGTextstand-alone"/>
      </w:pPr>
      <w:r>
        <w:t xml:space="preserve">According to Article 139, the UK's share of the financial obligations arising out of the WA </w:t>
      </w:r>
      <w:r w:rsidR="00B336B6">
        <w:t>is</w:t>
      </w:r>
      <w:r>
        <w:t xml:space="preserve"> a percentage calculated as the ratio between the own resources made available by the </w:t>
      </w:r>
      <w:r w:rsidR="006F77CC">
        <w:t>UK</w:t>
      </w:r>
      <w:r>
        <w:t xml:space="preserve"> in the years 2014 to 2020 and the own resources made available during that period by all Member States and the </w:t>
      </w:r>
      <w:r w:rsidR="006F77CC">
        <w:t>UK</w:t>
      </w:r>
      <w:r>
        <w:t xml:space="preserve"> </w:t>
      </w:r>
      <w:r w:rsidRPr="002758E2">
        <w:t>as adjusted by the amount communicated to the Member Sta</w:t>
      </w:r>
      <w:r>
        <w:t xml:space="preserve">tes before 1 February 2022. The final </w:t>
      </w:r>
      <w:r w:rsidR="006F77CC">
        <w:t>UK</w:t>
      </w:r>
      <w:r>
        <w:t xml:space="preserve"> share has</w:t>
      </w:r>
      <w:r w:rsidRPr="002758E2">
        <w:t xml:space="preserve"> been calculated as being </w:t>
      </w:r>
      <w:r>
        <w:t>12.431681219587700%.</w:t>
      </w:r>
    </w:p>
    <w:p w14:paraId="1F112664" w14:textId="77777777" w:rsidR="003C5A5A" w:rsidRDefault="00023E71" w:rsidP="003C5A5A">
      <w:pPr>
        <w:pStyle w:val="Textstand-alone"/>
        <w:rPr>
          <w:color w:val="016794"/>
        </w:rPr>
      </w:pPr>
      <w:r>
        <w:rPr>
          <w:color w:val="016794"/>
        </w:rPr>
        <w:t xml:space="preserve">Payments </w:t>
      </w:r>
      <w:r w:rsidR="00B07D85">
        <w:rPr>
          <w:color w:val="016794"/>
        </w:rPr>
        <w:t>under the Withdrawal Agreement</w:t>
      </w:r>
    </w:p>
    <w:p w14:paraId="6FFA9D59" w14:textId="77777777" w:rsidR="000C380E" w:rsidRDefault="00023E71" w:rsidP="000C380E">
      <w:pPr>
        <w:pStyle w:val="DGTextstand-alone"/>
      </w:pPr>
      <w:r>
        <w:t>The payment mechanism to be applied to the obligations provided for between the two parties is laid out in Article 148. In summary, the EU invoices the net amounts due from the UK in April and September of each year and the UK pays these on a monthly basis. The amounts reported in April of a given year are to be paid in four equal monthly instalments from June to September of that year. The amounts reported in September are to be paid in eight equal monthly instalments from October of that year to May of the following year. Since some amounts reported are necessarily based on forecasts and estimates, the reporting is updated each year based on actual figures.</w:t>
      </w:r>
    </w:p>
    <w:p w14:paraId="7C73430F" w14:textId="77777777" w:rsidR="00584A29" w:rsidRDefault="00023E71" w:rsidP="000C380E">
      <w:pPr>
        <w:pStyle w:val="Textstand-alone"/>
      </w:pPr>
      <w:r>
        <w:t xml:space="preserve">In </w:t>
      </w:r>
      <w:r w:rsidR="00B00DC4">
        <w:t>2025</w:t>
      </w:r>
      <w:r>
        <w:t xml:space="preserve"> the </w:t>
      </w:r>
      <w:r w:rsidR="00B336B6">
        <w:t xml:space="preserve">net </w:t>
      </w:r>
      <w:r>
        <w:t xml:space="preserve">amount reported </w:t>
      </w:r>
      <w:r w:rsidRPr="00584A29">
        <w:t xml:space="preserve">to the UK under Article 136, and Articles 140 to 147, was EUR </w:t>
      </w:r>
      <w:r w:rsidR="00B00DC4">
        <w:t>754</w:t>
      </w:r>
      <w:r w:rsidR="00134A33">
        <w:t xml:space="preserve"> </w:t>
      </w:r>
      <w:r w:rsidRPr="00584A29">
        <w:t>million (202</w:t>
      </w:r>
      <w:r w:rsidR="00B00DC4">
        <w:t>4</w:t>
      </w:r>
      <w:r w:rsidRPr="00584A29">
        <w:t xml:space="preserve">: EUR </w:t>
      </w:r>
      <w:r w:rsidR="00B00DC4">
        <w:t>377</w:t>
      </w:r>
      <w:r>
        <w:t xml:space="preserve"> million</w:t>
      </w:r>
      <w:r w:rsidRPr="00584A29">
        <w:t xml:space="preserve">), </w:t>
      </w:r>
      <w:r w:rsidRPr="007F3900">
        <w:t xml:space="preserve">of which EUR </w:t>
      </w:r>
      <w:r w:rsidR="00B00DC4" w:rsidRPr="007F3900">
        <w:t>213</w:t>
      </w:r>
      <w:r w:rsidRPr="007F3900">
        <w:t xml:space="preserve"> million</w:t>
      </w:r>
      <w:r w:rsidR="00B00DC4" w:rsidRPr="007F3900">
        <w:t xml:space="preserve"> </w:t>
      </w:r>
      <w:r w:rsidRPr="007F3900">
        <w:t xml:space="preserve">was reported in April 2025 and EUR </w:t>
      </w:r>
      <w:r w:rsidR="00B00DC4" w:rsidRPr="007F3900">
        <w:t>541</w:t>
      </w:r>
      <w:r w:rsidRPr="007F3900">
        <w:t xml:space="preserve"> million</w:t>
      </w:r>
      <w:r w:rsidR="00B00DC4" w:rsidRPr="007F3900">
        <w:t xml:space="preserve"> </w:t>
      </w:r>
      <w:r w:rsidRPr="007F3900">
        <w:t>was reported in September 202</w:t>
      </w:r>
      <w:r>
        <w:t>5</w:t>
      </w:r>
      <w:r w:rsidRPr="007F3900">
        <w:t xml:space="preserve"> (202</w:t>
      </w:r>
      <w:r w:rsidR="00B00DC4" w:rsidRPr="007F3900">
        <w:t>4</w:t>
      </w:r>
      <w:r w:rsidRPr="007F3900">
        <w:t xml:space="preserve">: EUR </w:t>
      </w:r>
      <w:r w:rsidR="00B00DC4" w:rsidRPr="007F3900">
        <w:t>1 414</w:t>
      </w:r>
      <w:r w:rsidRPr="007F3900">
        <w:t xml:space="preserve"> million</w:t>
      </w:r>
      <w:r w:rsidR="00B00DC4" w:rsidRPr="007F3900">
        <w:t xml:space="preserve"> (payable to the UK)</w:t>
      </w:r>
      <w:r w:rsidRPr="007F3900">
        <w:t xml:space="preserve"> and EUR </w:t>
      </w:r>
      <w:r w:rsidR="00B00DC4" w:rsidRPr="007F3900">
        <w:t>1 791</w:t>
      </w:r>
      <w:r w:rsidRPr="007F3900">
        <w:t xml:space="preserve"> million </w:t>
      </w:r>
      <w:r w:rsidR="00B00DC4" w:rsidRPr="007F3900">
        <w:t>(</w:t>
      </w:r>
      <w:r w:rsidRPr="007F3900">
        <w:t>payable by the UK</w:t>
      </w:r>
      <w:r w:rsidR="00B00DC4" w:rsidRPr="007F3900">
        <w:t>), respectively</w:t>
      </w:r>
      <w:r w:rsidRPr="007F3900">
        <w:t>).</w:t>
      </w:r>
    </w:p>
    <w:p w14:paraId="6CE08DA8" w14:textId="77777777" w:rsidR="0029635D" w:rsidRDefault="00023E71" w:rsidP="000C380E">
      <w:pPr>
        <w:pStyle w:val="Textstand-alone"/>
      </w:pPr>
      <w:r>
        <w:t xml:space="preserve">The total payments received in </w:t>
      </w:r>
      <w:r w:rsidR="00B00DC4">
        <w:t>2025</w:t>
      </w:r>
      <w:r>
        <w:t xml:space="preserve"> amounted to EUR </w:t>
      </w:r>
      <w:r w:rsidR="00B00DC4">
        <w:t>1 535</w:t>
      </w:r>
      <w:r>
        <w:t xml:space="preserve"> million (202</w:t>
      </w:r>
      <w:r w:rsidR="00B00DC4">
        <w:t>4</w:t>
      </w:r>
      <w:r>
        <w:t xml:space="preserve">: EUR </w:t>
      </w:r>
      <w:r w:rsidR="00B00DC4">
        <w:t>2 391</w:t>
      </w:r>
      <w:r>
        <w:t xml:space="preserve"> million). </w:t>
      </w:r>
      <w:r w:rsidR="00B336B6">
        <w:t>O</w:t>
      </w:r>
      <w:r>
        <w:t xml:space="preserve">f this amount, EUR </w:t>
      </w:r>
      <w:r w:rsidR="006431B4">
        <w:t>1 120</w:t>
      </w:r>
      <w:r w:rsidRPr="00D4207B">
        <w:t xml:space="preserve"> million</w:t>
      </w:r>
      <w:r>
        <w:t xml:space="preserve"> related to the remainder of the September 202</w:t>
      </w:r>
      <w:r w:rsidR="00B00DC4">
        <w:t>4</w:t>
      </w:r>
      <w:r>
        <w:t xml:space="preserve"> report and was paid by the UK in five equal instalments in the period </w:t>
      </w:r>
      <w:r w:rsidR="00B336B6">
        <w:t xml:space="preserve">from </w:t>
      </w:r>
      <w:r>
        <w:t>January to May 202</w:t>
      </w:r>
      <w:r w:rsidR="00B00DC4">
        <w:t>5</w:t>
      </w:r>
      <w:r>
        <w:t xml:space="preserve"> (202</w:t>
      </w:r>
      <w:r w:rsidR="00B00DC4">
        <w:t>4</w:t>
      </w:r>
      <w:r>
        <w:t xml:space="preserve">: </w:t>
      </w:r>
      <w:r w:rsidR="002E0BE3">
        <w:t xml:space="preserve">EUR </w:t>
      </w:r>
      <w:r w:rsidR="00B00DC4">
        <w:t>3 133</w:t>
      </w:r>
      <w:r w:rsidR="002E0BE3">
        <w:t xml:space="preserve"> million</w:t>
      </w:r>
      <w:r>
        <w:t xml:space="preserve">), </w:t>
      </w:r>
      <w:r w:rsidRPr="00D4207B">
        <w:t xml:space="preserve">EUR </w:t>
      </w:r>
      <w:r w:rsidR="006431B4">
        <w:t>213</w:t>
      </w:r>
      <w:r w:rsidR="002E0BE3">
        <w:t xml:space="preserve"> </w:t>
      </w:r>
      <w:r w:rsidRPr="00D4207B">
        <w:t>million</w:t>
      </w:r>
      <w:r w:rsidR="00E56D6B">
        <w:t xml:space="preserve"> </w:t>
      </w:r>
      <w:r>
        <w:t>related to the 202</w:t>
      </w:r>
      <w:r w:rsidR="00B00DC4">
        <w:t>5</w:t>
      </w:r>
      <w:r>
        <w:t xml:space="preserve"> April report and was paid </w:t>
      </w:r>
      <w:r w:rsidR="006431B4">
        <w:t>by</w:t>
      </w:r>
      <w:r w:rsidR="00E56D6B">
        <w:t xml:space="preserve"> the UK </w:t>
      </w:r>
      <w:r>
        <w:t xml:space="preserve">in four equal monthly instalments in the period </w:t>
      </w:r>
      <w:r w:rsidR="00B336B6">
        <w:t xml:space="preserve">from </w:t>
      </w:r>
      <w:r>
        <w:t>June to September 202</w:t>
      </w:r>
      <w:r w:rsidR="00B00DC4">
        <w:t>5</w:t>
      </w:r>
      <w:r>
        <w:t xml:space="preserve"> (202</w:t>
      </w:r>
      <w:r w:rsidR="00B00DC4">
        <w:t>4</w:t>
      </w:r>
      <w:r>
        <w:t xml:space="preserve">: EUR </w:t>
      </w:r>
      <w:r w:rsidR="00B00DC4">
        <w:t>1 414</w:t>
      </w:r>
      <w:r w:rsidR="002E0BE3" w:rsidRPr="00D4207B">
        <w:t xml:space="preserve"> </w:t>
      </w:r>
      <w:r>
        <w:t>million</w:t>
      </w:r>
      <w:r w:rsidR="00E56D6B">
        <w:t xml:space="preserve">, paid </w:t>
      </w:r>
      <w:r w:rsidR="006431B4">
        <w:t xml:space="preserve">to </w:t>
      </w:r>
      <w:r w:rsidR="00E56D6B">
        <w:t>the UK</w:t>
      </w:r>
      <w:r>
        <w:t xml:space="preserve">), and </w:t>
      </w:r>
      <w:r w:rsidRPr="00D4207B">
        <w:t xml:space="preserve">EUR </w:t>
      </w:r>
      <w:r w:rsidR="006431B4">
        <w:t>203</w:t>
      </w:r>
      <w:r w:rsidR="002E0BE3">
        <w:t xml:space="preserve"> </w:t>
      </w:r>
      <w:r w:rsidRPr="00D4207B">
        <w:t>million</w:t>
      </w:r>
      <w:r>
        <w:t xml:space="preserve"> related to the 202</w:t>
      </w:r>
      <w:r w:rsidR="00B00DC4">
        <w:t>5</w:t>
      </w:r>
      <w:r>
        <w:t xml:space="preserve"> September report and was paid </w:t>
      </w:r>
      <w:r w:rsidR="002B1494">
        <w:t xml:space="preserve">by the UK </w:t>
      </w:r>
      <w:r>
        <w:t xml:space="preserve">in three equal instalments in the period October to December </w:t>
      </w:r>
      <w:r w:rsidR="00E56D6B">
        <w:t>202</w:t>
      </w:r>
      <w:r w:rsidR="00B00DC4">
        <w:t>5</w:t>
      </w:r>
      <w:r w:rsidR="00E56D6B">
        <w:t xml:space="preserve"> </w:t>
      </w:r>
      <w:r>
        <w:t>(202</w:t>
      </w:r>
      <w:r w:rsidR="00B00DC4">
        <w:t>4</w:t>
      </w:r>
      <w:r>
        <w:t xml:space="preserve">: EUR </w:t>
      </w:r>
      <w:r w:rsidR="00B00DC4">
        <w:t>672</w:t>
      </w:r>
      <w:r>
        <w:t xml:space="preserve">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52"/>
        <w:gridCol w:w="1951"/>
        <w:gridCol w:w="1952"/>
        <w:gridCol w:w="1952"/>
      </w:tblGrid>
      <w:tr w:rsidR="00807FFE" w14:paraId="4185C67F" w14:textId="77777777">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bottom"/>
          </w:tcPr>
          <w:p w14:paraId="7DA765EE" w14:textId="77777777" w:rsidR="00807FFE" w:rsidRDefault="00807FFE">
            <w:pPr>
              <w:pStyle w:val="DMETW36745BIPPAYWA"/>
              <w:rPr>
                <w:rFonts w:ascii="Arial" w:eastAsia="Arial" w:hAnsi="Arial" w:cs="Arial"/>
                <w:noProof/>
                <w:color w:val="000000"/>
                <w:lang w:bidi="en-GB"/>
              </w:rPr>
            </w:pPr>
            <w:bookmarkStart w:id="128" w:name="DOC_TBL00034_1_1"/>
            <w:bookmarkEnd w:id="128"/>
          </w:p>
        </w:tc>
        <w:tc>
          <w:tcPr>
            <w:tcW w:w="1952" w:type="dxa"/>
            <w:tcBorders>
              <w:top w:val="nil"/>
              <w:left w:val="nil"/>
              <w:bottom w:val="single" w:sz="12" w:space="0" w:color="016794"/>
              <w:right w:val="nil"/>
              <w:tl2br w:val="nil"/>
              <w:tr2bl w:val="nil"/>
            </w:tcBorders>
            <w:tcMar>
              <w:left w:w="60" w:type="dxa"/>
              <w:right w:w="60" w:type="dxa"/>
            </w:tcMar>
            <w:vAlign w:val="bottom"/>
          </w:tcPr>
          <w:p w14:paraId="19FE5E10" w14:textId="77777777" w:rsidR="00807FFE" w:rsidRDefault="00807FFE">
            <w:pPr>
              <w:pStyle w:val="DMETW36745BIPPAYWA"/>
              <w:rPr>
                <w:rFonts w:ascii="Arial" w:eastAsia="Arial" w:hAnsi="Arial" w:cs="Arial"/>
                <w:noProof/>
                <w:color w:val="000000"/>
              </w:rPr>
            </w:pPr>
          </w:p>
        </w:tc>
        <w:tc>
          <w:tcPr>
            <w:tcW w:w="1951" w:type="dxa"/>
            <w:tcBorders>
              <w:top w:val="nil"/>
              <w:left w:val="nil"/>
              <w:bottom w:val="single" w:sz="12" w:space="0" w:color="016794"/>
              <w:right w:val="nil"/>
              <w:tl2br w:val="nil"/>
              <w:tr2bl w:val="nil"/>
            </w:tcBorders>
            <w:tcMar>
              <w:left w:w="60" w:type="dxa"/>
              <w:right w:w="60" w:type="dxa"/>
            </w:tcMar>
            <w:vAlign w:val="bottom"/>
          </w:tcPr>
          <w:p w14:paraId="4E6B565E" w14:textId="77777777" w:rsidR="00807FFE" w:rsidRDefault="00807FFE">
            <w:pPr>
              <w:pStyle w:val="DMETW36745BIPPAYWA"/>
              <w:jc w:val="right"/>
              <w:rPr>
                <w:rFonts w:ascii="Verdana" w:eastAsia="Verdana" w:hAnsi="Verdana" w:cs="Verdana"/>
                <w:b/>
                <w:noProof/>
                <w:color w:val="000000"/>
                <w:sz w:val="18"/>
              </w:rPr>
            </w:pPr>
          </w:p>
        </w:tc>
        <w:tc>
          <w:tcPr>
            <w:tcW w:w="1952" w:type="dxa"/>
            <w:tcBorders>
              <w:top w:val="nil"/>
              <w:left w:val="nil"/>
              <w:bottom w:val="single" w:sz="12" w:space="0" w:color="016794"/>
              <w:right w:val="nil"/>
              <w:tl2br w:val="nil"/>
              <w:tr2bl w:val="nil"/>
            </w:tcBorders>
            <w:tcMar>
              <w:left w:w="60" w:type="dxa"/>
              <w:right w:w="60" w:type="dxa"/>
            </w:tcMar>
            <w:vAlign w:val="bottom"/>
          </w:tcPr>
          <w:p w14:paraId="06DD23BA" w14:textId="77777777" w:rsidR="00807FFE" w:rsidRDefault="00807FFE">
            <w:pPr>
              <w:pStyle w:val="DMETW36745BIPPAYWA"/>
              <w:rPr>
                <w:rFonts w:cs="Calibri"/>
                <w:noProof/>
                <w:color w:val="000000"/>
                <w:sz w:val="22"/>
              </w:rPr>
            </w:pPr>
          </w:p>
        </w:tc>
        <w:tc>
          <w:tcPr>
            <w:tcW w:w="1952" w:type="dxa"/>
            <w:tcBorders>
              <w:top w:val="nil"/>
              <w:left w:val="nil"/>
              <w:bottom w:val="single" w:sz="12" w:space="0" w:color="016794"/>
              <w:right w:val="nil"/>
              <w:tl2br w:val="nil"/>
              <w:tr2bl w:val="nil"/>
            </w:tcBorders>
            <w:tcMar>
              <w:left w:w="60" w:type="dxa"/>
              <w:right w:w="60" w:type="dxa"/>
            </w:tcMar>
            <w:vAlign w:val="bottom"/>
          </w:tcPr>
          <w:p w14:paraId="6CB0464C" w14:textId="77777777" w:rsidR="00807FFE" w:rsidRDefault="00023E71">
            <w:pPr>
              <w:pStyle w:val="DMETW36745BIPPAYWA"/>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C87C80A" w14:textId="77777777">
        <w:trPr>
          <w:trHeight w:hRule="exact" w:val="1531"/>
        </w:trPr>
        <w:tc>
          <w:tcPr>
            <w:tcW w:w="1951" w:type="dxa"/>
            <w:tcBorders>
              <w:top w:val="single" w:sz="12" w:space="0" w:color="016794"/>
              <w:left w:val="nil"/>
              <w:bottom w:val="nil"/>
              <w:right w:val="nil"/>
              <w:tl2br w:val="nil"/>
              <w:tr2bl w:val="nil"/>
            </w:tcBorders>
            <w:shd w:val="solid" w:color="016794" w:fill="FFFFFF"/>
            <w:tcMar>
              <w:left w:w="60" w:type="dxa"/>
              <w:right w:w="60" w:type="dxa"/>
            </w:tcMar>
            <w:vAlign w:val="center"/>
          </w:tcPr>
          <w:p w14:paraId="441CDDC3" w14:textId="77777777" w:rsidR="00807FFE" w:rsidRDefault="00807FFE">
            <w:pPr>
              <w:pStyle w:val="DMETW36745BIPPAYWA"/>
              <w:jc w:val="right"/>
              <w:rPr>
                <w:rFonts w:ascii="Verdana" w:eastAsia="Verdana" w:hAnsi="Verdana" w:cs="Verdana"/>
                <w:noProof/>
                <w:color w:val="FFFFFF"/>
                <w:sz w:val="18"/>
              </w:rPr>
            </w:pPr>
          </w:p>
        </w:tc>
        <w:tc>
          <w:tcPr>
            <w:tcW w:w="1952" w:type="dxa"/>
            <w:tcBorders>
              <w:top w:val="single" w:sz="12" w:space="0" w:color="016794"/>
              <w:left w:val="nil"/>
              <w:bottom w:val="nil"/>
              <w:right w:val="nil"/>
              <w:tl2br w:val="nil"/>
              <w:tr2bl w:val="nil"/>
            </w:tcBorders>
            <w:shd w:val="solid" w:color="016794" w:fill="FFFFFF"/>
            <w:tcMar>
              <w:left w:w="60" w:type="dxa"/>
              <w:right w:w="60" w:type="dxa"/>
            </w:tcMar>
            <w:vAlign w:val="bottom"/>
          </w:tcPr>
          <w:p w14:paraId="227463B3"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Remainder of</w:t>
            </w:r>
          </w:p>
          <w:p w14:paraId="6621860B"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September 2024</w:t>
            </w:r>
          </w:p>
          <w:p w14:paraId="2F2040CB"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report:</w:t>
            </w:r>
          </w:p>
          <w:p w14:paraId="03627BB3" w14:textId="77777777" w:rsidR="00807FFE" w:rsidRDefault="00807FFE">
            <w:pPr>
              <w:pStyle w:val="DMETW36745BIPPAYWA"/>
              <w:jc w:val="right"/>
              <w:rPr>
                <w:rFonts w:ascii="Verdana" w:eastAsia="Verdana" w:hAnsi="Verdana" w:cs="Verdana"/>
                <w:noProof/>
                <w:color w:val="FFFFFF"/>
                <w:sz w:val="18"/>
              </w:rPr>
            </w:pPr>
          </w:p>
          <w:p w14:paraId="74302E3B"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(due and paid from January to May 2025)</w:t>
            </w:r>
          </w:p>
        </w:tc>
        <w:tc>
          <w:tcPr>
            <w:tcW w:w="1951" w:type="dxa"/>
            <w:tcBorders>
              <w:top w:val="single" w:sz="12" w:space="0" w:color="016794"/>
              <w:left w:val="nil"/>
              <w:bottom w:val="nil"/>
              <w:right w:val="nil"/>
              <w:tl2br w:val="nil"/>
              <w:tr2bl w:val="nil"/>
            </w:tcBorders>
            <w:shd w:val="solid" w:color="016794" w:fill="FFFFFF"/>
            <w:tcMar>
              <w:left w:w="60" w:type="dxa"/>
              <w:right w:w="60" w:type="dxa"/>
            </w:tcMar>
            <w:vAlign w:val="bottom"/>
          </w:tcPr>
          <w:p w14:paraId="776A9414"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April 2025</w:t>
            </w:r>
          </w:p>
          <w:p w14:paraId="4EBFACD7"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report:</w:t>
            </w:r>
          </w:p>
          <w:p w14:paraId="2A568B66" w14:textId="77777777" w:rsidR="00807FFE" w:rsidRDefault="00807FFE">
            <w:pPr>
              <w:pStyle w:val="DMETW36745BIPPAYWA"/>
              <w:jc w:val="right"/>
              <w:rPr>
                <w:rFonts w:ascii="Verdana" w:eastAsia="Verdana" w:hAnsi="Verdana" w:cs="Verdana"/>
                <w:noProof/>
                <w:color w:val="FFFFFF"/>
                <w:sz w:val="18"/>
              </w:rPr>
            </w:pPr>
          </w:p>
          <w:p w14:paraId="552E92FB"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(due and paid</w:t>
            </w:r>
          </w:p>
          <w:p w14:paraId="76C99999"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from June to</w:t>
            </w:r>
          </w:p>
          <w:p w14:paraId="2F166A6F"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September 2025)</w:t>
            </w:r>
          </w:p>
        </w:tc>
        <w:tc>
          <w:tcPr>
            <w:tcW w:w="1952" w:type="dxa"/>
            <w:tcBorders>
              <w:top w:val="single" w:sz="12" w:space="0" w:color="016794"/>
              <w:left w:val="nil"/>
              <w:bottom w:val="nil"/>
              <w:right w:val="nil"/>
              <w:tl2br w:val="nil"/>
              <w:tr2bl w:val="nil"/>
            </w:tcBorders>
            <w:shd w:val="solid" w:color="016794" w:fill="FFFFFF"/>
            <w:tcMar>
              <w:left w:w="60" w:type="dxa"/>
              <w:right w:w="60" w:type="dxa"/>
            </w:tcMar>
            <w:vAlign w:val="bottom"/>
          </w:tcPr>
          <w:p w14:paraId="09FDF4E0"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September 2025</w:t>
            </w:r>
          </w:p>
          <w:p w14:paraId="6EA7F2F7"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report:</w:t>
            </w:r>
          </w:p>
          <w:p w14:paraId="3C20D369" w14:textId="77777777" w:rsidR="00807FFE" w:rsidRDefault="00807FFE">
            <w:pPr>
              <w:pStyle w:val="DMETW36745BIPPAYWA"/>
              <w:jc w:val="right"/>
              <w:rPr>
                <w:rFonts w:ascii="Verdana" w:eastAsia="Verdana" w:hAnsi="Verdana" w:cs="Verdana"/>
                <w:noProof/>
                <w:color w:val="FFFFFF"/>
                <w:sz w:val="18"/>
              </w:rPr>
            </w:pPr>
          </w:p>
          <w:p w14:paraId="525B295A"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(due and paid</w:t>
            </w:r>
          </w:p>
          <w:p w14:paraId="0E4E431B"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from October to</w:t>
            </w:r>
          </w:p>
          <w:p w14:paraId="6B711B61"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December 2025)</w:t>
            </w:r>
          </w:p>
        </w:tc>
        <w:tc>
          <w:tcPr>
            <w:tcW w:w="1952" w:type="dxa"/>
            <w:tcBorders>
              <w:top w:val="single" w:sz="12" w:space="0" w:color="016794"/>
              <w:left w:val="nil"/>
              <w:bottom w:val="nil"/>
              <w:right w:val="nil"/>
              <w:tl2br w:val="nil"/>
              <w:tr2bl w:val="nil"/>
            </w:tcBorders>
            <w:shd w:val="solid" w:color="016794" w:fill="FFFFFF"/>
            <w:tcMar>
              <w:left w:w="60" w:type="dxa"/>
              <w:right w:w="60" w:type="dxa"/>
            </w:tcMar>
            <w:vAlign w:val="bottom"/>
          </w:tcPr>
          <w:p w14:paraId="6D343765"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Total</w:t>
            </w:r>
          </w:p>
          <w:p w14:paraId="073E11E9" w14:textId="77777777" w:rsidR="00807FFE" w:rsidRDefault="00023E71">
            <w:pPr>
              <w:pStyle w:val="DMETW36745BIPPAYWA"/>
              <w:jc w:val="right"/>
              <w:rPr>
                <w:rFonts w:ascii="Verdana" w:eastAsia="Verdana" w:hAnsi="Verdana" w:cs="Verdana"/>
                <w:noProof/>
                <w:color w:val="FFFFFF"/>
                <w:sz w:val="18"/>
              </w:rPr>
            </w:pPr>
            <w:r>
              <w:rPr>
                <w:rFonts w:ascii="Verdana" w:eastAsia="Verdana" w:hAnsi="Verdana" w:cs="Verdana"/>
                <w:noProof/>
                <w:color w:val="FFFFFF"/>
                <w:sz w:val="18"/>
              </w:rPr>
              <w:t>payments</w:t>
            </w:r>
          </w:p>
          <w:p w14:paraId="7341C0A1" w14:textId="77777777" w:rsidR="00807FFE" w:rsidRDefault="00023E71">
            <w:pPr>
              <w:pStyle w:val="DMETW36745BIPPAYWA"/>
              <w:jc w:val="right"/>
              <w:rPr>
                <w:rFonts w:ascii="Verdana" w:eastAsia="Verdana" w:hAnsi="Verdana" w:cs="Verdana"/>
                <w:noProof/>
                <w:color w:val="FFFFFF"/>
                <w:sz w:val="18"/>
                <w:lang w:bidi="en-GB"/>
              </w:rPr>
            </w:pPr>
            <w:r>
              <w:rPr>
                <w:rFonts w:ascii="Verdana" w:eastAsia="Verdana" w:hAnsi="Verdana" w:cs="Verdana"/>
                <w:noProof/>
                <w:color w:val="FFFFFF"/>
                <w:sz w:val="18"/>
              </w:rPr>
              <w:t>in 2025</w:t>
            </w:r>
          </w:p>
        </w:tc>
      </w:tr>
      <w:tr w:rsidR="00807FFE" w14:paraId="26BE5C87"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401202AC"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140</w:t>
            </w:r>
          </w:p>
        </w:tc>
        <w:tc>
          <w:tcPr>
            <w:tcW w:w="1952" w:type="dxa"/>
            <w:tcBorders>
              <w:top w:val="nil"/>
              <w:left w:val="nil"/>
              <w:bottom w:val="nil"/>
              <w:right w:val="nil"/>
              <w:tl2br w:val="nil"/>
              <w:tr2bl w:val="nil"/>
            </w:tcBorders>
            <w:tcMar>
              <w:left w:w="60" w:type="dxa"/>
              <w:right w:w="60" w:type="dxa"/>
            </w:tcMar>
            <w:vAlign w:val="bottom"/>
          </w:tcPr>
          <w:p w14:paraId="0DFD4E90"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1 119</w:t>
            </w:r>
          </w:p>
        </w:tc>
        <w:tc>
          <w:tcPr>
            <w:tcW w:w="1951" w:type="dxa"/>
            <w:tcBorders>
              <w:top w:val="nil"/>
              <w:left w:val="nil"/>
              <w:bottom w:val="nil"/>
              <w:right w:val="nil"/>
              <w:tl2br w:val="nil"/>
              <w:tr2bl w:val="nil"/>
            </w:tcBorders>
            <w:tcMar>
              <w:left w:w="60" w:type="dxa"/>
              <w:right w:w="60" w:type="dxa"/>
            </w:tcMar>
            <w:vAlign w:val="bottom"/>
          </w:tcPr>
          <w:p w14:paraId="49BBA821"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599</w:t>
            </w:r>
          </w:p>
        </w:tc>
        <w:tc>
          <w:tcPr>
            <w:tcW w:w="1952" w:type="dxa"/>
            <w:tcBorders>
              <w:top w:val="nil"/>
              <w:left w:val="nil"/>
              <w:bottom w:val="nil"/>
              <w:right w:val="nil"/>
              <w:tl2br w:val="nil"/>
              <w:tr2bl w:val="nil"/>
            </w:tcBorders>
            <w:tcMar>
              <w:left w:w="60" w:type="dxa"/>
              <w:right w:w="60" w:type="dxa"/>
            </w:tcMar>
            <w:vAlign w:val="center"/>
          </w:tcPr>
          <w:p w14:paraId="3F2DCE35"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244</w:t>
            </w:r>
          </w:p>
        </w:tc>
        <w:tc>
          <w:tcPr>
            <w:tcW w:w="1952" w:type="dxa"/>
            <w:tcBorders>
              <w:top w:val="nil"/>
              <w:left w:val="nil"/>
              <w:bottom w:val="nil"/>
              <w:right w:val="nil"/>
              <w:tl2br w:val="nil"/>
              <w:tr2bl w:val="nil"/>
            </w:tcBorders>
            <w:tcMar>
              <w:left w:w="60" w:type="dxa"/>
              <w:right w:w="60" w:type="dxa"/>
            </w:tcMar>
            <w:vAlign w:val="bottom"/>
          </w:tcPr>
          <w:p w14:paraId="5B4CA763"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1 963</w:t>
            </w:r>
          </w:p>
        </w:tc>
      </w:tr>
      <w:tr w:rsidR="00807FFE" w14:paraId="705AF3CE"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6FF07F88"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142</w:t>
            </w:r>
          </w:p>
        </w:tc>
        <w:tc>
          <w:tcPr>
            <w:tcW w:w="1952" w:type="dxa"/>
            <w:tcBorders>
              <w:top w:val="nil"/>
              <w:left w:val="nil"/>
              <w:bottom w:val="nil"/>
              <w:right w:val="nil"/>
              <w:tl2br w:val="nil"/>
              <w:tr2bl w:val="nil"/>
            </w:tcBorders>
            <w:tcMar>
              <w:left w:w="60" w:type="dxa"/>
              <w:right w:w="60" w:type="dxa"/>
            </w:tcMar>
            <w:vAlign w:val="bottom"/>
          </w:tcPr>
          <w:p w14:paraId="78597219"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18</w:t>
            </w:r>
          </w:p>
        </w:tc>
        <w:tc>
          <w:tcPr>
            <w:tcW w:w="1951" w:type="dxa"/>
            <w:tcBorders>
              <w:top w:val="nil"/>
              <w:left w:val="nil"/>
              <w:bottom w:val="nil"/>
              <w:right w:val="nil"/>
              <w:tl2br w:val="nil"/>
              <w:tr2bl w:val="nil"/>
            </w:tcBorders>
            <w:tcMar>
              <w:left w:w="60" w:type="dxa"/>
              <w:right w:w="60" w:type="dxa"/>
            </w:tcMar>
            <w:vAlign w:val="bottom"/>
          </w:tcPr>
          <w:p w14:paraId="1A7B264A"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305</w:t>
            </w:r>
          </w:p>
        </w:tc>
        <w:tc>
          <w:tcPr>
            <w:tcW w:w="1952" w:type="dxa"/>
            <w:tcBorders>
              <w:top w:val="nil"/>
              <w:left w:val="nil"/>
              <w:bottom w:val="nil"/>
              <w:right w:val="nil"/>
              <w:tl2br w:val="nil"/>
              <w:tr2bl w:val="nil"/>
            </w:tcBorders>
            <w:tcMar>
              <w:left w:w="60" w:type="dxa"/>
              <w:right w:w="60" w:type="dxa"/>
            </w:tcMar>
            <w:vAlign w:val="bottom"/>
          </w:tcPr>
          <w:p w14:paraId="0178AC72"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952" w:type="dxa"/>
            <w:tcBorders>
              <w:top w:val="nil"/>
              <w:left w:val="nil"/>
              <w:bottom w:val="nil"/>
              <w:right w:val="nil"/>
              <w:tl2br w:val="nil"/>
              <w:tr2bl w:val="nil"/>
            </w:tcBorders>
            <w:tcMar>
              <w:left w:w="60" w:type="dxa"/>
              <w:right w:w="60" w:type="dxa"/>
            </w:tcMar>
            <w:vAlign w:val="bottom"/>
          </w:tcPr>
          <w:p w14:paraId="0D7C3070"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334</w:t>
            </w:r>
          </w:p>
        </w:tc>
      </w:tr>
      <w:tr w:rsidR="00807FFE" w14:paraId="289AA221"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6C48173D"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136</w:t>
            </w:r>
          </w:p>
        </w:tc>
        <w:tc>
          <w:tcPr>
            <w:tcW w:w="1952" w:type="dxa"/>
            <w:tcBorders>
              <w:top w:val="nil"/>
              <w:left w:val="nil"/>
              <w:bottom w:val="nil"/>
              <w:right w:val="nil"/>
              <w:tl2br w:val="nil"/>
              <w:tr2bl w:val="nil"/>
            </w:tcBorders>
            <w:tcMar>
              <w:left w:w="60" w:type="dxa"/>
              <w:right w:w="60" w:type="dxa"/>
            </w:tcMar>
            <w:vAlign w:val="bottom"/>
          </w:tcPr>
          <w:p w14:paraId="24B068E3"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951" w:type="dxa"/>
            <w:tcBorders>
              <w:top w:val="nil"/>
              <w:left w:val="nil"/>
              <w:bottom w:val="nil"/>
              <w:right w:val="nil"/>
              <w:tl2br w:val="nil"/>
              <w:tr2bl w:val="nil"/>
            </w:tcBorders>
            <w:tcMar>
              <w:left w:w="60" w:type="dxa"/>
              <w:right w:w="60" w:type="dxa"/>
            </w:tcMar>
            <w:vAlign w:val="bottom"/>
          </w:tcPr>
          <w:p w14:paraId="1EB48B55"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14:paraId="0F51FE92"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952" w:type="dxa"/>
            <w:tcBorders>
              <w:top w:val="nil"/>
              <w:left w:val="nil"/>
              <w:bottom w:val="nil"/>
              <w:right w:val="nil"/>
              <w:tl2br w:val="nil"/>
              <w:tr2bl w:val="nil"/>
            </w:tcBorders>
            <w:tcMar>
              <w:left w:w="60" w:type="dxa"/>
              <w:right w:w="60" w:type="dxa"/>
            </w:tcMar>
            <w:vAlign w:val="bottom"/>
          </w:tcPr>
          <w:p w14:paraId="579FCD7A"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18</w:t>
            </w:r>
          </w:p>
        </w:tc>
      </w:tr>
      <w:tr w:rsidR="00807FFE" w14:paraId="2E1D9760" w14:textId="77777777">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center"/>
          </w:tcPr>
          <w:p w14:paraId="4F4A998A"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147</w:t>
            </w:r>
          </w:p>
        </w:tc>
        <w:tc>
          <w:tcPr>
            <w:tcW w:w="1952" w:type="dxa"/>
            <w:tcBorders>
              <w:top w:val="nil"/>
              <w:left w:val="nil"/>
              <w:bottom w:val="single" w:sz="12" w:space="0" w:color="016794"/>
              <w:right w:val="nil"/>
              <w:tl2br w:val="nil"/>
              <w:tr2bl w:val="nil"/>
            </w:tcBorders>
            <w:tcMar>
              <w:left w:w="60" w:type="dxa"/>
              <w:right w:w="60" w:type="dxa"/>
            </w:tcMar>
            <w:vAlign w:val="bottom"/>
          </w:tcPr>
          <w:p w14:paraId="7BF11CE5"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1" w:type="dxa"/>
            <w:tcBorders>
              <w:top w:val="nil"/>
              <w:left w:val="nil"/>
              <w:bottom w:val="single" w:sz="12" w:space="0" w:color="016794"/>
              <w:right w:val="nil"/>
              <w:tl2br w:val="nil"/>
              <w:tr2bl w:val="nil"/>
            </w:tcBorders>
            <w:tcMar>
              <w:left w:w="60" w:type="dxa"/>
              <w:right w:w="60" w:type="dxa"/>
            </w:tcMar>
            <w:vAlign w:val="bottom"/>
          </w:tcPr>
          <w:p w14:paraId="6BEE6E41"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69</w:t>
            </w:r>
          </w:p>
        </w:tc>
        <w:tc>
          <w:tcPr>
            <w:tcW w:w="1952" w:type="dxa"/>
            <w:tcBorders>
              <w:top w:val="nil"/>
              <w:left w:val="nil"/>
              <w:bottom w:val="single" w:sz="12" w:space="0" w:color="016794"/>
              <w:right w:val="nil"/>
              <w:tl2br w:val="nil"/>
              <w:tr2bl w:val="nil"/>
            </w:tcBorders>
            <w:tcMar>
              <w:left w:w="60" w:type="dxa"/>
              <w:right w:w="60" w:type="dxa"/>
            </w:tcMar>
            <w:vAlign w:val="bottom"/>
          </w:tcPr>
          <w:p w14:paraId="3508B790"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2" w:type="dxa"/>
            <w:tcBorders>
              <w:top w:val="nil"/>
              <w:left w:val="nil"/>
              <w:bottom w:val="single" w:sz="12" w:space="0" w:color="016794"/>
              <w:right w:val="nil"/>
              <w:tl2br w:val="nil"/>
              <w:tr2bl w:val="nil"/>
            </w:tcBorders>
            <w:tcMar>
              <w:left w:w="60" w:type="dxa"/>
              <w:right w:w="60" w:type="dxa"/>
            </w:tcMar>
            <w:vAlign w:val="bottom"/>
          </w:tcPr>
          <w:p w14:paraId="2A76E435"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69</w:t>
            </w:r>
          </w:p>
        </w:tc>
      </w:tr>
      <w:tr w:rsidR="00807FFE" w14:paraId="0019C1AF" w14:textId="77777777">
        <w:trPr>
          <w:trHeight w:hRule="exact" w:val="255"/>
        </w:trPr>
        <w:tc>
          <w:tcPr>
            <w:tcW w:w="1951" w:type="dxa"/>
            <w:tcBorders>
              <w:top w:val="single" w:sz="12" w:space="0" w:color="016794"/>
              <w:left w:val="nil"/>
              <w:bottom w:val="nil"/>
              <w:right w:val="nil"/>
              <w:tl2br w:val="nil"/>
              <w:tr2bl w:val="nil"/>
            </w:tcBorders>
            <w:tcMar>
              <w:left w:w="60" w:type="dxa"/>
              <w:right w:w="60" w:type="dxa"/>
            </w:tcMar>
            <w:vAlign w:val="center"/>
          </w:tcPr>
          <w:p w14:paraId="40451AB6" w14:textId="77777777" w:rsidR="00807FFE" w:rsidRDefault="00807FFE">
            <w:pPr>
              <w:pStyle w:val="DMETW36745BIPPAYWA"/>
              <w:rPr>
                <w:rFonts w:ascii="Verdana" w:eastAsia="Verdana" w:hAnsi="Verdana" w:cs="Verdana"/>
                <w:i/>
                <w:noProof/>
                <w:color w:val="016794"/>
                <w:sz w:val="18"/>
              </w:rPr>
            </w:pPr>
          </w:p>
        </w:tc>
        <w:tc>
          <w:tcPr>
            <w:tcW w:w="1952" w:type="dxa"/>
            <w:tcBorders>
              <w:top w:val="single" w:sz="12" w:space="0" w:color="016794"/>
              <w:left w:val="nil"/>
              <w:bottom w:val="nil"/>
              <w:right w:val="nil"/>
              <w:tl2br w:val="nil"/>
              <w:tr2bl w:val="nil"/>
            </w:tcBorders>
            <w:tcMar>
              <w:left w:w="60" w:type="dxa"/>
              <w:right w:w="60" w:type="dxa"/>
            </w:tcMar>
            <w:vAlign w:val="bottom"/>
          </w:tcPr>
          <w:p w14:paraId="361E93FB" w14:textId="77777777" w:rsidR="00807FFE" w:rsidRDefault="00023E71">
            <w:pPr>
              <w:pStyle w:val="DMETW36745BIPPAYWA"/>
              <w:jc w:val="right"/>
              <w:rPr>
                <w:rFonts w:ascii="Verdana" w:eastAsia="Verdana" w:hAnsi="Verdana" w:cs="Verdana"/>
                <w:i/>
                <w:noProof/>
                <w:color w:val="016794"/>
                <w:sz w:val="18"/>
              </w:rPr>
            </w:pPr>
            <w:r>
              <w:rPr>
                <w:rFonts w:ascii="Verdana" w:eastAsia="Verdana" w:hAnsi="Verdana" w:cs="Verdana"/>
                <w:i/>
                <w:noProof/>
                <w:color w:val="016794"/>
                <w:sz w:val="18"/>
              </w:rPr>
              <w:t>1 150</w:t>
            </w:r>
          </w:p>
        </w:tc>
        <w:tc>
          <w:tcPr>
            <w:tcW w:w="1951" w:type="dxa"/>
            <w:tcBorders>
              <w:top w:val="single" w:sz="12" w:space="0" w:color="016794"/>
              <w:left w:val="nil"/>
              <w:bottom w:val="nil"/>
              <w:right w:val="nil"/>
              <w:tl2br w:val="nil"/>
              <w:tr2bl w:val="nil"/>
            </w:tcBorders>
            <w:tcMar>
              <w:left w:w="60" w:type="dxa"/>
              <w:right w:w="60" w:type="dxa"/>
            </w:tcMar>
            <w:vAlign w:val="bottom"/>
          </w:tcPr>
          <w:p w14:paraId="4E1FD22F" w14:textId="77777777" w:rsidR="00807FFE" w:rsidRDefault="00023E71">
            <w:pPr>
              <w:pStyle w:val="DMETW36745BIPPAYWA"/>
              <w:jc w:val="right"/>
              <w:rPr>
                <w:rFonts w:ascii="Verdana" w:eastAsia="Verdana" w:hAnsi="Verdana" w:cs="Verdana"/>
                <w:i/>
                <w:noProof/>
                <w:color w:val="016794"/>
                <w:sz w:val="18"/>
              </w:rPr>
            </w:pPr>
            <w:r>
              <w:rPr>
                <w:rFonts w:ascii="Verdana" w:eastAsia="Verdana" w:hAnsi="Verdana" w:cs="Verdana"/>
                <w:i/>
                <w:noProof/>
                <w:color w:val="016794"/>
                <w:sz w:val="18"/>
              </w:rPr>
              <w:t xml:space="preserve"> 973</w:t>
            </w:r>
          </w:p>
        </w:tc>
        <w:tc>
          <w:tcPr>
            <w:tcW w:w="1952" w:type="dxa"/>
            <w:tcBorders>
              <w:top w:val="single" w:sz="12" w:space="0" w:color="016794"/>
              <w:left w:val="nil"/>
              <w:bottom w:val="nil"/>
              <w:right w:val="nil"/>
              <w:tl2br w:val="nil"/>
              <w:tr2bl w:val="nil"/>
            </w:tcBorders>
            <w:tcMar>
              <w:left w:w="60" w:type="dxa"/>
              <w:right w:w="60" w:type="dxa"/>
            </w:tcMar>
            <w:vAlign w:val="bottom"/>
          </w:tcPr>
          <w:p w14:paraId="35CF3249" w14:textId="77777777" w:rsidR="00807FFE" w:rsidRDefault="00023E71">
            <w:pPr>
              <w:pStyle w:val="DMETW36745BIPPAYWA"/>
              <w:jc w:val="right"/>
              <w:rPr>
                <w:rFonts w:ascii="Verdana" w:eastAsia="Verdana" w:hAnsi="Verdana" w:cs="Verdana"/>
                <w:i/>
                <w:noProof/>
                <w:color w:val="016794"/>
                <w:sz w:val="18"/>
              </w:rPr>
            </w:pPr>
            <w:r>
              <w:rPr>
                <w:rFonts w:ascii="Verdana" w:eastAsia="Verdana" w:hAnsi="Verdana" w:cs="Verdana"/>
                <w:i/>
                <w:noProof/>
                <w:color w:val="016794"/>
                <w:sz w:val="18"/>
              </w:rPr>
              <w:t xml:space="preserve"> 260</w:t>
            </w:r>
          </w:p>
        </w:tc>
        <w:tc>
          <w:tcPr>
            <w:tcW w:w="1952" w:type="dxa"/>
            <w:tcBorders>
              <w:top w:val="single" w:sz="12" w:space="0" w:color="016794"/>
              <w:left w:val="nil"/>
              <w:bottom w:val="nil"/>
              <w:right w:val="nil"/>
              <w:tl2br w:val="nil"/>
              <w:tr2bl w:val="nil"/>
            </w:tcBorders>
            <w:tcMar>
              <w:left w:w="60" w:type="dxa"/>
              <w:right w:w="60" w:type="dxa"/>
            </w:tcMar>
            <w:vAlign w:val="bottom"/>
          </w:tcPr>
          <w:p w14:paraId="68C8F2DC" w14:textId="77777777" w:rsidR="00807FFE" w:rsidRDefault="00023E71">
            <w:pPr>
              <w:pStyle w:val="DMETW36745BIPPAYWA"/>
              <w:jc w:val="right"/>
              <w:rPr>
                <w:rFonts w:ascii="Verdana" w:eastAsia="Verdana" w:hAnsi="Verdana" w:cs="Verdana"/>
                <w:i/>
                <w:noProof/>
                <w:color w:val="016794"/>
                <w:sz w:val="18"/>
                <w:lang w:bidi="en-GB"/>
              </w:rPr>
            </w:pPr>
            <w:r>
              <w:rPr>
                <w:rFonts w:ascii="Verdana" w:eastAsia="Verdana" w:hAnsi="Verdana" w:cs="Verdana"/>
                <w:i/>
                <w:noProof/>
                <w:color w:val="016794"/>
                <w:sz w:val="18"/>
              </w:rPr>
              <w:t>2 384</w:t>
            </w:r>
          </w:p>
        </w:tc>
      </w:tr>
      <w:tr w:rsidR="00807FFE" w14:paraId="6174BFCC"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77280F4B" w14:textId="77777777" w:rsidR="00807FFE" w:rsidRDefault="00807FFE">
            <w:pPr>
              <w:pStyle w:val="DMETW36745BIPPAYWA"/>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center"/>
          </w:tcPr>
          <w:p w14:paraId="56DF9D58" w14:textId="77777777" w:rsidR="00807FFE" w:rsidRDefault="00807FFE">
            <w:pPr>
              <w:pStyle w:val="DMETW36745BIPPAYWA"/>
              <w:rPr>
                <w:rFonts w:ascii="Verdana" w:eastAsia="Verdana" w:hAnsi="Verdana" w:cs="Verdana"/>
                <w:i/>
                <w:noProof/>
                <w:color w:val="000000"/>
                <w:sz w:val="18"/>
              </w:rPr>
            </w:pPr>
          </w:p>
        </w:tc>
        <w:tc>
          <w:tcPr>
            <w:tcW w:w="1951" w:type="dxa"/>
            <w:tcBorders>
              <w:top w:val="nil"/>
              <w:left w:val="nil"/>
              <w:bottom w:val="nil"/>
              <w:right w:val="nil"/>
              <w:tl2br w:val="nil"/>
              <w:tr2bl w:val="nil"/>
            </w:tcBorders>
            <w:tcMar>
              <w:left w:w="60" w:type="dxa"/>
              <w:right w:w="60" w:type="dxa"/>
            </w:tcMar>
            <w:vAlign w:val="center"/>
          </w:tcPr>
          <w:p w14:paraId="5BA40C36" w14:textId="77777777" w:rsidR="00807FFE" w:rsidRDefault="00807FFE">
            <w:pPr>
              <w:pStyle w:val="DMETW36745BIPPAYWA"/>
              <w:jc w:val="right"/>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center"/>
          </w:tcPr>
          <w:p w14:paraId="3F756C41" w14:textId="77777777" w:rsidR="00807FFE" w:rsidRDefault="00807FFE">
            <w:pPr>
              <w:pStyle w:val="DMETW36745BIPPAYWA"/>
              <w:jc w:val="right"/>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center"/>
          </w:tcPr>
          <w:p w14:paraId="16C6BE07" w14:textId="77777777" w:rsidR="00807FFE" w:rsidRDefault="00807FFE">
            <w:pPr>
              <w:pStyle w:val="DMETW36745BIPPAYWA"/>
              <w:jc w:val="right"/>
              <w:rPr>
                <w:rFonts w:ascii="Verdana" w:eastAsia="Verdana" w:hAnsi="Verdana" w:cs="Verdana"/>
                <w:i/>
                <w:noProof/>
                <w:color w:val="000000"/>
                <w:sz w:val="18"/>
                <w:lang w:bidi="en-GB"/>
              </w:rPr>
            </w:pPr>
          </w:p>
        </w:tc>
      </w:tr>
      <w:tr w:rsidR="00807FFE" w14:paraId="05FD21EB"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56EEEA39" w14:textId="77777777" w:rsidR="00807FFE" w:rsidRDefault="00807FFE">
            <w:pPr>
              <w:pStyle w:val="DMETW36745BIPPAYWA"/>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bottom"/>
          </w:tcPr>
          <w:p w14:paraId="269C62E0" w14:textId="77777777" w:rsidR="00807FFE" w:rsidRDefault="00807FFE">
            <w:pPr>
              <w:pStyle w:val="DMETW36745BIPPAYWA"/>
              <w:jc w:val="right"/>
              <w:rPr>
                <w:rFonts w:ascii="Verdana" w:eastAsia="Verdana" w:hAnsi="Verdana" w:cs="Verdana"/>
                <w:i/>
                <w:noProof/>
                <w:color w:val="000000"/>
                <w:sz w:val="18"/>
              </w:rPr>
            </w:pPr>
          </w:p>
        </w:tc>
        <w:tc>
          <w:tcPr>
            <w:tcW w:w="1951" w:type="dxa"/>
            <w:tcBorders>
              <w:top w:val="nil"/>
              <w:left w:val="nil"/>
              <w:bottom w:val="nil"/>
              <w:right w:val="nil"/>
              <w:tl2br w:val="nil"/>
              <w:tr2bl w:val="nil"/>
            </w:tcBorders>
            <w:tcMar>
              <w:left w:w="60" w:type="dxa"/>
              <w:right w:w="60" w:type="dxa"/>
            </w:tcMar>
            <w:vAlign w:val="bottom"/>
          </w:tcPr>
          <w:p w14:paraId="588A00DE" w14:textId="77777777" w:rsidR="00807FFE" w:rsidRDefault="00807FFE">
            <w:pPr>
              <w:pStyle w:val="DMETW36745BIPPAYWA"/>
              <w:jc w:val="right"/>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bottom"/>
          </w:tcPr>
          <w:p w14:paraId="41502827" w14:textId="77777777" w:rsidR="00807FFE" w:rsidRDefault="00807FFE">
            <w:pPr>
              <w:pStyle w:val="DMETW36745BIPPAYWA"/>
              <w:jc w:val="right"/>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bottom"/>
          </w:tcPr>
          <w:p w14:paraId="3B214266" w14:textId="77777777" w:rsidR="00807FFE" w:rsidRDefault="00807FFE">
            <w:pPr>
              <w:pStyle w:val="DMETW36745BIPPAYWA"/>
              <w:jc w:val="right"/>
              <w:rPr>
                <w:rFonts w:ascii="Verdana" w:eastAsia="Verdana" w:hAnsi="Verdana" w:cs="Verdana"/>
                <w:i/>
                <w:noProof/>
                <w:color w:val="000000"/>
                <w:sz w:val="18"/>
                <w:lang w:bidi="en-GB"/>
              </w:rPr>
            </w:pPr>
          </w:p>
        </w:tc>
      </w:tr>
      <w:tr w:rsidR="00807FFE" w14:paraId="1E6C34F6"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5B0AE632"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136</w:t>
            </w:r>
          </w:p>
        </w:tc>
        <w:tc>
          <w:tcPr>
            <w:tcW w:w="1952" w:type="dxa"/>
            <w:tcBorders>
              <w:top w:val="nil"/>
              <w:left w:val="nil"/>
              <w:bottom w:val="nil"/>
              <w:right w:val="nil"/>
              <w:tl2br w:val="nil"/>
              <w:tr2bl w:val="nil"/>
            </w:tcBorders>
            <w:tcMar>
              <w:left w:w="60" w:type="dxa"/>
              <w:right w:w="60" w:type="dxa"/>
            </w:tcMar>
            <w:vAlign w:val="bottom"/>
          </w:tcPr>
          <w:p w14:paraId="4C2E0459"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14:paraId="1C69B1A9"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(126)</w:t>
            </w:r>
          </w:p>
        </w:tc>
        <w:tc>
          <w:tcPr>
            <w:tcW w:w="1952" w:type="dxa"/>
            <w:tcBorders>
              <w:top w:val="nil"/>
              <w:left w:val="nil"/>
              <w:bottom w:val="nil"/>
              <w:right w:val="nil"/>
              <w:tl2br w:val="nil"/>
              <w:tr2bl w:val="nil"/>
            </w:tcBorders>
            <w:tcMar>
              <w:left w:w="60" w:type="dxa"/>
              <w:right w:w="60" w:type="dxa"/>
            </w:tcMar>
            <w:vAlign w:val="bottom"/>
          </w:tcPr>
          <w:p w14:paraId="1DD16661"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14:paraId="055163BE"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(126)</w:t>
            </w:r>
          </w:p>
        </w:tc>
      </w:tr>
      <w:tr w:rsidR="00807FFE" w14:paraId="789D63BB"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3838790A"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141</w:t>
            </w:r>
          </w:p>
        </w:tc>
        <w:tc>
          <w:tcPr>
            <w:tcW w:w="1952" w:type="dxa"/>
            <w:tcBorders>
              <w:top w:val="nil"/>
              <w:left w:val="nil"/>
              <w:bottom w:val="nil"/>
              <w:right w:val="nil"/>
              <w:tl2br w:val="nil"/>
              <w:tr2bl w:val="nil"/>
            </w:tcBorders>
            <w:tcMar>
              <w:left w:w="60" w:type="dxa"/>
              <w:right w:w="60" w:type="dxa"/>
            </w:tcMar>
            <w:vAlign w:val="bottom"/>
          </w:tcPr>
          <w:p w14:paraId="69884CE5"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(31)</w:t>
            </w:r>
          </w:p>
        </w:tc>
        <w:tc>
          <w:tcPr>
            <w:tcW w:w="1951" w:type="dxa"/>
            <w:tcBorders>
              <w:top w:val="nil"/>
              <w:left w:val="nil"/>
              <w:bottom w:val="nil"/>
              <w:right w:val="nil"/>
              <w:tl2br w:val="nil"/>
              <w:tr2bl w:val="nil"/>
            </w:tcBorders>
            <w:tcMar>
              <w:left w:w="60" w:type="dxa"/>
              <w:right w:w="60" w:type="dxa"/>
            </w:tcMar>
            <w:vAlign w:val="bottom"/>
          </w:tcPr>
          <w:p w14:paraId="2CFAEC59"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(343)</w:t>
            </w:r>
          </w:p>
        </w:tc>
        <w:tc>
          <w:tcPr>
            <w:tcW w:w="1952" w:type="dxa"/>
            <w:tcBorders>
              <w:top w:val="nil"/>
              <w:left w:val="nil"/>
              <w:bottom w:val="nil"/>
              <w:right w:val="nil"/>
              <w:tl2br w:val="nil"/>
              <w:tr2bl w:val="nil"/>
            </w:tcBorders>
            <w:tcMar>
              <w:left w:w="60" w:type="dxa"/>
              <w:right w:w="60" w:type="dxa"/>
            </w:tcMar>
            <w:vAlign w:val="bottom"/>
          </w:tcPr>
          <w:p w14:paraId="3149CF2D"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(57)</w:t>
            </w:r>
          </w:p>
        </w:tc>
        <w:tc>
          <w:tcPr>
            <w:tcW w:w="1952" w:type="dxa"/>
            <w:tcBorders>
              <w:top w:val="nil"/>
              <w:left w:val="nil"/>
              <w:bottom w:val="nil"/>
              <w:right w:val="nil"/>
              <w:tl2br w:val="nil"/>
              <w:tr2bl w:val="nil"/>
            </w:tcBorders>
            <w:tcMar>
              <w:left w:w="60" w:type="dxa"/>
              <w:right w:w="60" w:type="dxa"/>
            </w:tcMar>
            <w:vAlign w:val="bottom"/>
          </w:tcPr>
          <w:p w14:paraId="779DB7B4"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(431)</w:t>
            </w:r>
          </w:p>
        </w:tc>
      </w:tr>
      <w:tr w:rsidR="00807FFE" w14:paraId="7F176584"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4907FA23"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143</w:t>
            </w:r>
          </w:p>
        </w:tc>
        <w:tc>
          <w:tcPr>
            <w:tcW w:w="1952" w:type="dxa"/>
            <w:tcBorders>
              <w:top w:val="nil"/>
              <w:left w:val="nil"/>
              <w:bottom w:val="nil"/>
              <w:right w:val="nil"/>
              <w:tl2br w:val="nil"/>
              <w:tr2bl w:val="nil"/>
            </w:tcBorders>
            <w:tcMar>
              <w:left w:w="60" w:type="dxa"/>
              <w:right w:w="60" w:type="dxa"/>
            </w:tcMar>
            <w:vAlign w:val="bottom"/>
          </w:tcPr>
          <w:p w14:paraId="5213FEA2"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14:paraId="641C7899"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(191)</w:t>
            </w:r>
          </w:p>
        </w:tc>
        <w:tc>
          <w:tcPr>
            <w:tcW w:w="1952" w:type="dxa"/>
            <w:tcBorders>
              <w:top w:val="nil"/>
              <w:left w:val="nil"/>
              <w:bottom w:val="nil"/>
              <w:right w:val="nil"/>
              <w:tl2br w:val="nil"/>
              <w:tr2bl w:val="nil"/>
            </w:tcBorders>
            <w:tcMar>
              <w:left w:w="60" w:type="dxa"/>
              <w:right w:w="60" w:type="dxa"/>
            </w:tcMar>
            <w:vAlign w:val="bottom"/>
          </w:tcPr>
          <w:p w14:paraId="334B6711"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14:paraId="6EBDB6B6"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(191)</w:t>
            </w:r>
          </w:p>
        </w:tc>
      </w:tr>
      <w:tr w:rsidR="00807FFE" w14:paraId="0D8B9101"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3F9E6D78"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144</w:t>
            </w:r>
          </w:p>
        </w:tc>
        <w:tc>
          <w:tcPr>
            <w:tcW w:w="1952" w:type="dxa"/>
            <w:tcBorders>
              <w:top w:val="nil"/>
              <w:left w:val="nil"/>
              <w:bottom w:val="nil"/>
              <w:right w:val="nil"/>
              <w:tl2br w:val="nil"/>
              <w:tr2bl w:val="nil"/>
            </w:tcBorders>
            <w:tcMar>
              <w:left w:w="60" w:type="dxa"/>
              <w:right w:w="60" w:type="dxa"/>
            </w:tcMar>
            <w:vAlign w:val="bottom"/>
          </w:tcPr>
          <w:p w14:paraId="3BDA5974"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14:paraId="42A68E35"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(58)</w:t>
            </w:r>
          </w:p>
        </w:tc>
        <w:tc>
          <w:tcPr>
            <w:tcW w:w="1952" w:type="dxa"/>
            <w:tcBorders>
              <w:top w:val="nil"/>
              <w:left w:val="nil"/>
              <w:bottom w:val="nil"/>
              <w:right w:val="nil"/>
              <w:tl2br w:val="nil"/>
              <w:tr2bl w:val="nil"/>
            </w:tcBorders>
            <w:tcMar>
              <w:left w:w="60" w:type="dxa"/>
              <w:right w:w="60" w:type="dxa"/>
            </w:tcMar>
            <w:vAlign w:val="bottom"/>
          </w:tcPr>
          <w:p w14:paraId="0AAA63A5"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14:paraId="45BD62FE"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(58)</w:t>
            </w:r>
          </w:p>
        </w:tc>
      </w:tr>
      <w:tr w:rsidR="00807FFE" w14:paraId="4ACC99A5" w14:textId="77777777">
        <w:trPr>
          <w:trHeight w:hRule="exact" w:val="255"/>
        </w:trPr>
        <w:tc>
          <w:tcPr>
            <w:tcW w:w="1951" w:type="dxa"/>
            <w:tcBorders>
              <w:top w:val="nil"/>
              <w:left w:val="nil"/>
              <w:bottom w:val="nil"/>
              <w:right w:val="nil"/>
              <w:tl2br w:val="nil"/>
              <w:tr2bl w:val="nil"/>
            </w:tcBorders>
            <w:tcMar>
              <w:left w:w="60" w:type="dxa"/>
              <w:right w:w="60" w:type="dxa"/>
            </w:tcMar>
            <w:vAlign w:val="center"/>
          </w:tcPr>
          <w:p w14:paraId="3E4687F7"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145</w:t>
            </w:r>
          </w:p>
        </w:tc>
        <w:tc>
          <w:tcPr>
            <w:tcW w:w="1952" w:type="dxa"/>
            <w:tcBorders>
              <w:top w:val="nil"/>
              <w:left w:val="nil"/>
              <w:bottom w:val="nil"/>
              <w:right w:val="nil"/>
              <w:tl2br w:val="nil"/>
              <w:tr2bl w:val="nil"/>
            </w:tcBorders>
            <w:tcMar>
              <w:left w:w="60" w:type="dxa"/>
              <w:right w:w="60" w:type="dxa"/>
            </w:tcMar>
            <w:vAlign w:val="bottom"/>
          </w:tcPr>
          <w:p w14:paraId="32DAD5D7"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14:paraId="104A5B0C"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(37)</w:t>
            </w:r>
          </w:p>
        </w:tc>
        <w:tc>
          <w:tcPr>
            <w:tcW w:w="1952" w:type="dxa"/>
            <w:tcBorders>
              <w:top w:val="nil"/>
              <w:left w:val="nil"/>
              <w:bottom w:val="nil"/>
              <w:right w:val="nil"/>
              <w:tl2br w:val="nil"/>
              <w:tr2bl w:val="nil"/>
            </w:tcBorders>
            <w:tcMar>
              <w:left w:w="60" w:type="dxa"/>
              <w:right w:w="60" w:type="dxa"/>
            </w:tcMar>
            <w:vAlign w:val="bottom"/>
          </w:tcPr>
          <w:p w14:paraId="0F9388D8"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14:paraId="29F583C3"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(37)</w:t>
            </w:r>
          </w:p>
        </w:tc>
      </w:tr>
      <w:tr w:rsidR="00807FFE" w14:paraId="0C4A0CD7" w14:textId="77777777">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center"/>
          </w:tcPr>
          <w:p w14:paraId="262F258F" w14:textId="77777777" w:rsidR="00807FFE" w:rsidRDefault="00023E71">
            <w:pPr>
              <w:pStyle w:val="DMETW36745BIPPAYWA"/>
              <w:rPr>
                <w:rFonts w:ascii="Verdana" w:eastAsia="Verdana" w:hAnsi="Verdana" w:cs="Verdana"/>
                <w:i/>
                <w:noProof/>
                <w:color w:val="000000"/>
                <w:sz w:val="18"/>
              </w:rPr>
            </w:pPr>
            <w:r>
              <w:rPr>
                <w:rFonts w:ascii="Verdana" w:eastAsia="Verdana" w:hAnsi="Verdana" w:cs="Verdana"/>
                <w:i/>
                <w:noProof/>
                <w:color w:val="000000"/>
                <w:sz w:val="18"/>
              </w:rPr>
              <w:t>Article 146</w:t>
            </w:r>
          </w:p>
        </w:tc>
        <w:tc>
          <w:tcPr>
            <w:tcW w:w="1952" w:type="dxa"/>
            <w:tcBorders>
              <w:top w:val="nil"/>
              <w:left w:val="nil"/>
              <w:bottom w:val="single" w:sz="12" w:space="0" w:color="016794"/>
              <w:right w:val="nil"/>
              <w:tl2br w:val="nil"/>
              <w:tr2bl w:val="nil"/>
            </w:tcBorders>
            <w:tcMar>
              <w:left w:w="60" w:type="dxa"/>
              <w:right w:w="60" w:type="dxa"/>
            </w:tcMar>
            <w:vAlign w:val="bottom"/>
          </w:tcPr>
          <w:p w14:paraId="79C0B7E3"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1" w:type="dxa"/>
            <w:tcBorders>
              <w:top w:val="nil"/>
              <w:left w:val="nil"/>
              <w:bottom w:val="single" w:sz="12" w:space="0" w:color="016794"/>
              <w:right w:val="nil"/>
              <w:tl2br w:val="nil"/>
              <w:tr2bl w:val="nil"/>
            </w:tcBorders>
            <w:tcMar>
              <w:left w:w="60" w:type="dxa"/>
              <w:right w:w="60" w:type="dxa"/>
            </w:tcMar>
            <w:vAlign w:val="bottom"/>
          </w:tcPr>
          <w:p w14:paraId="715B709B"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952" w:type="dxa"/>
            <w:tcBorders>
              <w:top w:val="nil"/>
              <w:left w:val="nil"/>
              <w:bottom w:val="single" w:sz="12" w:space="0" w:color="016794"/>
              <w:right w:val="nil"/>
              <w:tl2br w:val="nil"/>
              <w:tr2bl w:val="nil"/>
            </w:tcBorders>
            <w:tcMar>
              <w:left w:w="60" w:type="dxa"/>
              <w:right w:w="60" w:type="dxa"/>
            </w:tcMar>
            <w:vAlign w:val="bottom"/>
          </w:tcPr>
          <w:p w14:paraId="5BFBCEF0" w14:textId="77777777" w:rsidR="00807FFE" w:rsidRDefault="00023E71">
            <w:pPr>
              <w:pStyle w:val="DMETW36745BIPPAYW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52" w:type="dxa"/>
            <w:tcBorders>
              <w:top w:val="nil"/>
              <w:left w:val="nil"/>
              <w:bottom w:val="single" w:sz="12" w:space="0" w:color="016794"/>
              <w:right w:val="nil"/>
              <w:tl2br w:val="nil"/>
              <w:tr2bl w:val="nil"/>
            </w:tcBorders>
            <w:tcMar>
              <w:left w:w="60" w:type="dxa"/>
              <w:right w:w="60" w:type="dxa"/>
            </w:tcMar>
            <w:vAlign w:val="bottom"/>
          </w:tcPr>
          <w:p w14:paraId="663EA4ED" w14:textId="77777777" w:rsidR="00807FFE" w:rsidRDefault="00023E71">
            <w:pPr>
              <w:pStyle w:val="DMETW36745BIPPAYW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w:t>
            </w:r>
          </w:p>
        </w:tc>
      </w:tr>
      <w:tr w:rsidR="00807FFE" w14:paraId="7F682021" w14:textId="77777777">
        <w:trPr>
          <w:trHeight w:hRule="exact" w:val="255"/>
        </w:trPr>
        <w:tc>
          <w:tcPr>
            <w:tcW w:w="1951" w:type="dxa"/>
            <w:tcBorders>
              <w:top w:val="single" w:sz="12" w:space="0" w:color="016794"/>
              <w:left w:val="nil"/>
              <w:bottom w:val="single" w:sz="12" w:space="0" w:color="016794"/>
              <w:right w:val="nil"/>
              <w:tl2br w:val="nil"/>
              <w:tr2bl w:val="nil"/>
            </w:tcBorders>
            <w:tcMar>
              <w:left w:w="60" w:type="dxa"/>
              <w:right w:w="60" w:type="dxa"/>
            </w:tcMar>
            <w:vAlign w:val="center"/>
          </w:tcPr>
          <w:p w14:paraId="0FDB476F" w14:textId="77777777" w:rsidR="00807FFE" w:rsidRDefault="00807FFE">
            <w:pPr>
              <w:pStyle w:val="DMETW36745BIPPAYWA"/>
              <w:rPr>
                <w:rFonts w:ascii="Verdana" w:eastAsia="Verdana" w:hAnsi="Verdana" w:cs="Verdana"/>
                <w:i/>
                <w:noProof/>
                <w:color w:val="016794"/>
                <w:sz w:val="18"/>
              </w:rPr>
            </w:pP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14:paraId="6A50310F" w14:textId="77777777" w:rsidR="00807FFE" w:rsidRDefault="00023E71">
            <w:pPr>
              <w:pStyle w:val="DMETW36745BIPPAYWA"/>
              <w:jc w:val="right"/>
              <w:rPr>
                <w:rFonts w:ascii="Verdana" w:eastAsia="Verdana" w:hAnsi="Verdana" w:cs="Verdana"/>
                <w:i/>
                <w:noProof/>
                <w:color w:val="016794"/>
                <w:sz w:val="18"/>
              </w:rPr>
            </w:pPr>
            <w:r>
              <w:rPr>
                <w:rFonts w:ascii="Verdana" w:eastAsia="Verdana" w:hAnsi="Verdana" w:cs="Verdana"/>
                <w:i/>
                <w:noProof/>
                <w:color w:val="016794"/>
                <w:sz w:val="18"/>
              </w:rPr>
              <w:t xml:space="preserve"> (31)</w:t>
            </w:r>
          </w:p>
        </w:tc>
        <w:tc>
          <w:tcPr>
            <w:tcW w:w="1951" w:type="dxa"/>
            <w:tcBorders>
              <w:top w:val="single" w:sz="12" w:space="0" w:color="016794"/>
              <w:left w:val="nil"/>
              <w:bottom w:val="single" w:sz="12" w:space="0" w:color="016794"/>
              <w:right w:val="nil"/>
              <w:tl2br w:val="nil"/>
              <w:tr2bl w:val="nil"/>
            </w:tcBorders>
            <w:tcMar>
              <w:left w:w="60" w:type="dxa"/>
              <w:right w:w="60" w:type="dxa"/>
            </w:tcMar>
            <w:vAlign w:val="bottom"/>
          </w:tcPr>
          <w:p w14:paraId="2176EE15" w14:textId="77777777" w:rsidR="00807FFE" w:rsidRDefault="00023E71">
            <w:pPr>
              <w:pStyle w:val="DMETW36745BIPPAYWA"/>
              <w:jc w:val="right"/>
              <w:rPr>
                <w:rFonts w:ascii="Verdana" w:eastAsia="Verdana" w:hAnsi="Verdana" w:cs="Verdana"/>
                <w:i/>
                <w:noProof/>
                <w:color w:val="016794"/>
                <w:sz w:val="18"/>
              </w:rPr>
            </w:pPr>
            <w:r>
              <w:rPr>
                <w:rFonts w:ascii="Verdana" w:eastAsia="Verdana" w:hAnsi="Verdana" w:cs="Verdana"/>
                <w:i/>
                <w:noProof/>
                <w:color w:val="016794"/>
                <w:sz w:val="18"/>
              </w:rPr>
              <w:t xml:space="preserve"> (760)</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14:paraId="6A98691A" w14:textId="77777777" w:rsidR="00807FFE" w:rsidRDefault="00023E71">
            <w:pPr>
              <w:pStyle w:val="DMETW36745BIPPAYWA"/>
              <w:jc w:val="right"/>
              <w:rPr>
                <w:rFonts w:ascii="Verdana" w:eastAsia="Verdana" w:hAnsi="Verdana" w:cs="Verdana"/>
                <w:i/>
                <w:noProof/>
                <w:color w:val="016794"/>
                <w:sz w:val="18"/>
              </w:rPr>
            </w:pPr>
            <w:r>
              <w:rPr>
                <w:rFonts w:ascii="Verdana" w:eastAsia="Verdana" w:hAnsi="Verdana" w:cs="Verdana"/>
                <w:i/>
                <w:noProof/>
                <w:color w:val="016794"/>
                <w:sz w:val="18"/>
              </w:rPr>
              <w:t xml:space="preserve"> (57)</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14:paraId="7405039A" w14:textId="77777777" w:rsidR="00807FFE" w:rsidRDefault="00023E71">
            <w:pPr>
              <w:pStyle w:val="DMETW36745BIPPAYWA"/>
              <w:jc w:val="right"/>
              <w:rPr>
                <w:rFonts w:ascii="Verdana" w:eastAsia="Verdana" w:hAnsi="Verdana" w:cs="Verdana"/>
                <w:i/>
                <w:noProof/>
                <w:color w:val="016794"/>
                <w:sz w:val="18"/>
                <w:lang w:bidi="en-GB"/>
              </w:rPr>
            </w:pPr>
            <w:r>
              <w:rPr>
                <w:rFonts w:ascii="Verdana" w:eastAsia="Verdana" w:hAnsi="Verdana" w:cs="Verdana"/>
                <w:i/>
                <w:noProof/>
                <w:color w:val="016794"/>
                <w:sz w:val="18"/>
              </w:rPr>
              <w:t xml:space="preserve"> (848)</w:t>
            </w:r>
          </w:p>
        </w:tc>
      </w:tr>
      <w:tr w:rsidR="00807FFE" w14:paraId="4C829F9F" w14:textId="77777777">
        <w:trPr>
          <w:trHeight w:hRule="exact" w:val="300"/>
        </w:trPr>
        <w:tc>
          <w:tcPr>
            <w:tcW w:w="1951" w:type="dxa"/>
            <w:tcBorders>
              <w:top w:val="single" w:sz="12" w:space="0" w:color="016794"/>
              <w:left w:val="nil"/>
              <w:bottom w:val="single" w:sz="12" w:space="0" w:color="016794"/>
              <w:right w:val="nil"/>
              <w:tl2br w:val="nil"/>
              <w:tr2bl w:val="nil"/>
            </w:tcBorders>
            <w:tcMar>
              <w:left w:w="60" w:type="dxa"/>
              <w:right w:w="60" w:type="dxa"/>
            </w:tcMar>
            <w:vAlign w:val="center"/>
          </w:tcPr>
          <w:p w14:paraId="58A5957C" w14:textId="77777777" w:rsidR="00807FFE" w:rsidRDefault="00023E71">
            <w:pPr>
              <w:pStyle w:val="DMETW36745BIPPAYWA"/>
              <w:rPr>
                <w:rFonts w:ascii="Verdana" w:eastAsia="Verdana" w:hAnsi="Verdana" w:cs="Verdana"/>
                <w:b/>
                <w:noProof/>
                <w:color w:val="000000"/>
                <w:sz w:val="18"/>
              </w:rPr>
            </w:pPr>
            <w:r>
              <w:rPr>
                <w:rFonts w:ascii="Verdana" w:eastAsia="Verdana" w:hAnsi="Verdana" w:cs="Verdana"/>
                <w:b/>
                <w:noProof/>
                <w:color w:val="000000"/>
                <w:sz w:val="18"/>
              </w:rPr>
              <w:t>Total</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14:paraId="6364ADDB" w14:textId="77777777" w:rsidR="00807FFE" w:rsidRDefault="00023E71">
            <w:pPr>
              <w:pStyle w:val="DMETW36745BIPPAYWA"/>
              <w:jc w:val="right"/>
              <w:rPr>
                <w:rFonts w:ascii="Verdana" w:eastAsia="Verdana" w:hAnsi="Verdana" w:cs="Verdana"/>
                <w:b/>
                <w:noProof/>
                <w:color w:val="000000"/>
                <w:sz w:val="18"/>
              </w:rPr>
            </w:pPr>
            <w:r>
              <w:rPr>
                <w:rFonts w:ascii="Verdana" w:eastAsia="Verdana" w:hAnsi="Verdana" w:cs="Verdana"/>
                <w:b/>
                <w:noProof/>
                <w:color w:val="000000"/>
                <w:sz w:val="18"/>
              </w:rPr>
              <w:t>1 120</w:t>
            </w:r>
          </w:p>
        </w:tc>
        <w:tc>
          <w:tcPr>
            <w:tcW w:w="1951" w:type="dxa"/>
            <w:tcBorders>
              <w:top w:val="single" w:sz="12" w:space="0" w:color="016794"/>
              <w:left w:val="nil"/>
              <w:bottom w:val="single" w:sz="12" w:space="0" w:color="016794"/>
              <w:right w:val="nil"/>
              <w:tl2br w:val="nil"/>
              <w:tr2bl w:val="nil"/>
            </w:tcBorders>
            <w:tcMar>
              <w:left w:w="60" w:type="dxa"/>
              <w:right w:w="60" w:type="dxa"/>
            </w:tcMar>
            <w:vAlign w:val="bottom"/>
          </w:tcPr>
          <w:p w14:paraId="286E9568" w14:textId="77777777" w:rsidR="00807FFE" w:rsidRDefault="00023E71">
            <w:pPr>
              <w:pStyle w:val="DMETW36745BIPPAYWA"/>
              <w:jc w:val="right"/>
              <w:rPr>
                <w:rFonts w:ascii="Verdana" w:eastAsia="Verdana" w:hAnsi="Verdana" w:cs="Verdana"/>
                <w:b/>
                <w:noProof/>
                <w:color w:val="000000"/>
                <w:sz w:val="18"/>
              </w:rPr>
            </w:pPr>
            <w:r>
              <w:rPr>
                <w:rFonts w:ascii="Verdana" w:eastAsia="Verdana" w:hAnsi="Verdana" w:cs="Verdana"/>
                <w:b/>
                <w:noProof/>
                <w:color w:val="000000"/>
                <w:sz w:val="18"/>
              </w:rPr>
              <w:t xml:space="preserve"> 213</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14:paraId="3566915F" w14:textId="77777777" w:rsidR="00807FFE" w:rsidRDefault="00023E71">
            <w:pPr>
              <w:pStyle w:val="DMETW36745BIPPAYWA"/>
              <w:jc w:val="right"/>
              <w:rPr>
                <w:rFonts w:ascii="Verdana" w:eastAsia="Verdana" w:hAnsi="Verdana" w:cs="Verdana"/>
                <w:b/>
                <w:noProof/>
                <w:color w:val="000000"/>
                <w:sz w:val="18"/>
              </w:rPr>
            </w:pPr>
            <w:r>
              <w:rPr>
                <w:rFonts w:ascii="Verdana" w:eastAsia="Verdana" w:hAnsi="Verdana" w:cs="Verdana"/>
                <w:b/>
                <w:noProof/>
                <w:color w:val="000000"/>
                <w:sz w:val="18"/>
              </w:rPr>
              <w:t xml:space="preserve"> 203</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14:paraId="3AE3B424" w14:textId="77777777" w:rsidR="00807FFE" w:rsidRDefault="00023E71">
            <w:pPr>
              <w:pStyle w:val="DMETW36745BIPPAYWA"/>
              <w:jc w:val="right"/>
              <w:rPr>
                <w:rFonts w:ascii="Verdana" w:eastAsia="Verdana" w:hAnsi="Verdana" w:cs="Verdana"/>
                <w:b/>
                <w:noProof/>
                <w:color w:val="000000"/>
                <w:sz w:val="18"/>
              </w:rPr>
            </w:pPr>
            <w:r>
              <w:rPr>
                <w:rFonts w:ascii="Verdana" w:eastAsia="Verdana" w:hAnsi="Verdana" w:cs="Verdana"/>
                <w:b/>
                <w:noProof/>
                <w:color w:val="000000"/>
                <w:sz w:val="18"/>
              </w:rPr>
              <w:t>1 535</w:t>
            </w:r>
          </w:p>
        </w:tc>
      </w:tr>
    </w:tbl>
    <w:p w14:paraId="4A3268BC" w14:textId="77777777" w:rsidR="003C5A5A" w:rsidRPr="006E1DF9" w:rsidRDefault="00023E71" w:rsidP="006E1DF9">
      <w:pPr>
        <w:pStyle w:val="DGTextstand-alone"/>
      </w:pPr>
      <w:r w:rsidRPr="00584A29">
        <w:t>The remaining balance of the September 202</w:t>
      </w:r>
      <w:r w:rsidR="006431B4">
        <w:t>5</w:t>
      </w:r>
      <w:r w:rsidRPr="00584A29">
        <w:t xml:space="preserve"> invoice at the end of the year, amounting to EUR </w:t>
      </w:r>
      <w:r w:rsidR="006431B4">
        <w:t>338</w:t>
      </w:r>
      <w:r w:rsidRPr="00584A29">
        <w:t xml:space="preserve"> million, </w:t>
      </w:r>
      <w:r w:rsidR="002A547B">
        <w:t xml:space="preserve">is </w:t>
      </w:r>
      <w:r w:rsidR="002A547B" w:rsidRPr="00671A2C">
        <w:t xml:space="preserve">payable </w:t>
      </w:r>
      <w:r w:rsidRPr="00671A2C">
        <w:t>by the UK in five</w:t>
      </w:r>
      <w:r w:rsidRPr="00584A29">
        <w:t xml:space="preserve"> equal monthly instalments in the period January to May 202</w:t>
      </w:r>
      <w:r w:rsidR="006431B4">
        <w:t>6</w:t>
      </w:r>
      <w:r w:rsidR="0029635D" w:rsidRPr="00584A29">
        <w:t xml:space="preserve"> (</w:t>
      </w:r>
      <w:r w:rsidR="0029635D" w:rsidRPr="00CD748F">
        <w:t>202</w:t>
      </w:r>
      <w:r w:rsidR="006431B4">
        <w:t>4</w:t>
      </w:r>
      <w:r w:rsidR="0029635D" w:rsidRPr="00CD748F">
        <w:t>:</w:t>
      </w:r>
      <w:r w:rsidR="0029635D" w:rsidRPr="00584A29">
        <w:t xml:space="preserve"> EUR </w:t>
      </w:r>
      <w:r w:rsidR="006431B4">
        <w:t xml:space="preserve">1 120 </w:t>
      </w:r>
      <w:r w:rsidR="0029635D" w:rsidRPr="00584A29">
        <w:t>million)</w:t>
      </w:r>
      <w:r w:rsidRPr="00584A29">
        <w:t>.</w:t>
      </w:r>
    </w:p>
    <w:p w14:paraId="18F78903" w14:textId="77777777" w:rsidR="00F52BB5" w:rsidRDefault="00F52BB5">
      <w:pPr>
        <w:rPr>
          <w:rFonts w:ascii="Verdana" w:hAnsi="Verdana"/>
          <w:noProof/>
          <w:color w:val="016794"/>
          <w:sz w:val="18"/>
          <w:szCs w:val="18"/>
          <w:lang w:eastAsia="en-US"/>
        </w:rPr>
      </w:pPr>
      <w:r>
        <w:rPr>
          <w:noProof/>
          <w:color w:val="016794"/>
        </w:rPr>
        <w:br w:type="page"/>
      </w:r>
    </w:p>
    <w:p w14:paraId="0AE8C333" w14:textId="1CB9A4E4" w:rsidR="003C5A5A" w:rsidRPr="00A7502B" w:rsidRDefault="00023E71" w:rsidP="003C5A5A">
      <w:pPr>
        <w:pStyle w:val="Textstand-alone"/>
        <w:rPr>
          <w:color w:val="016794"/>
        </w:rPr>
      </w:pPr>
      <w:r w:rsidRPr="00064F91">
        <w:rPr>
          <w:color w:val="016794"/>
        </w:rPr>
        <w:t xml:space="preserve">Article 140 – Outstanding </w:t>
      </w:r>
      <w:r w:rsidR="00B336B6">
        <w:rPr>
          <w:color w:val="016794"/>
        </w:rPr>
        <w:t>c</w:t>
      </w:r>
      <w:r w:rsidRPr="00064F91">
        <w:rPr>
          <w:color w:val="016794"/>
        </w:rPr>
        <w:t>ommitments</w:t>
      </w:r>
    </w:p>
    <w:p w14:paraId="1E953945" w14:textId="77777777" w:rsidR="00AE7B7D" w:rsidRDefault="00023E71" w:rsidP="00AE7B7D">
      <w:pPr>
        <w:pStyle w:val="DGTextstand-alone"/>
        <w:spacing w:after="120"/>
      </w:pPr>
      <w:r w:rsidRPr="00671A2C">
        <w:t xml:space="preserve">The UK has committed to pay to the EU its share of the outstanding budgetary commitments at 31 December 2020 (the ‘Brexit RAL’), as adjusted by the requirements of Article 140. At 31 December </w:t>
      </w:r>
      <w:r w:rsidR="00404E53">
        <w:t>2025</w:t>
      </w:r>
      <w:r w:rsidRPr="00671A2C">
        <w:t xml:space="preserve">, the total amount recognised as a receivable amounted to EUR </w:t>
      </w:r>
      <w:r>
        <w:t>2 327</w:t>
      </w:r>
      <w:r w:rsidRPr="00671A2C">
        <w:t xml:space="preserve"> million (202</w:t>
      </w:r>
      <w:r w:rsidR="00404E53">
        <w:t>4</w:t>
      </w:r>
      <w:r w:rsidRPr="00671A2C">
        <w:t xml:space="preserve">: EUR </w:t>
      </w:r>
      <w:r w:rsidR="00404E53" w:rsidRPr="00671A2C">
        <w:t>4 432</w:t>
      </w:r>
      <w:r w:rsidRPr="00671A2C">
        <w:t xml:space="preserve"> million), of which EUR </w:t>
      </w:r>
      <w:r>
        <w:t>399</w:t>
      </w:r>
      <w:r w:rsidRPr="00671A2C">
        <w:t xml:space="preserve"> million is payable within the 12 months following the year</w:t>
      </w:r>
      <w:r>
        <w:t>-</w:t>
      </w:r>
      <w:r w:rsidRPr="00671A2C">
        <w:t>end. The following table presents the main movements between the total amount recognised as a receivable at 31 December 202</w:t>
      </w:r>
      <w:r w:rsidR="00404E53">
        <w:t>4</w:t>
      </w:r>
      <w:r w:rsidRPr="00671A2C">
        <w:t xml:space="preserve"> and the total amount recognised as a receivable at 31 December 202</w:t>
      </w:r>
      <w:r w:rsidR="00404E53">
        <w:t>5</w:t>
      </w:r>
      <w:r w:rsidRPr="00671A2C">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6"/>
        <w:gridCol w:w="1902"/>
      </w:tblGrid>
      <w:tr w:rsidR="00807FFE" w14:paraId="0979DA67" w14:textId="77777777">
        <w:trPr>
          <w:trHeight w:hRule="exact" w:val="255"/>
        </w:trPr>
        <w:tc>
          <w:tcPr>
            <w:tcW w:w="7856" w:type="dxa"/>
            <w:tcBorders>
              <w:top w:val="nil"/>
              <w:left w:val="nil"/>
              <w:bottom w:val="nil"/>
              <w:right w:val="nil"/>
              <w:tl2br w:val="nil"/>
              <w:tr2bl w:val="nil"/>
            </w:tcBorders>
            <w:tcMar>
              <w:left w:w="60" w:type="dxa"/>
              <w:right w:w="60" w:type="dxa"/>
            </w:tcMar>
            <w:vAlign w:val="bottom"/>
          </w:tcPr>
          <w:p w14:paraId="5DC2D951" w14:textId="77777777" w:rsidR="00807FFE" w:rsidRDefault="00807FFE">
            <w:pPr>
              <w:pStyle w:val="DMETW36745BIPOComm"/>
              <w:rPr>
                <w:rFonts w:ascii="Arial" w:eastAsia="Arial" w:hAnsi="Arial" w:cs="Arial"/>
                <w:noProof/>
                <w:color w:val="000000"/>
                <w:lang w:bidi="en-GB"/>
              </w:rPr>
            </w:pPr>
            <w:bookmarkStart w:id="129" w:name="DOC_TBL00035_1_1"/>
            <w:bookmarkEnd w:id="129"/>
          </w:p>
        </w:tc>
        <w:tc>
          <w:tcPr>
            <w:tcW w:w="1902" w:type="dxa"/>
            <w:tcBorders>
              <w:top w:val="nil"/>
              <w:left w:val="nil"/>
              <w:bottom w:val="nil"/>
              <w:right w:val="nil"/>
              <w:tl2br w:val="nil"/>
              <w:tr2bl w:val="nil"/>
            </w:tcBorders>
            <w:tcMar>
              <w:left w:w="60" w:type="dxa"/>
              <w:right w:w="60" w:type="dxa"/>
            </w:tcMar>
            <w:vAlign w:val="bottom"/>
          </w:tcPr>
          <w:p w14:paraId="1717DCAF" w14:textId="77777777" w:rsidR="00807FFE" w:rsidRDefault="00023E71">
            <w:pPr>
              <w:pStyle w:val="DMETW36745BIPOComm"/>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4354480" w14:textId="77777777">
        <w:trPr>
          <w:trHeight w:hRule="exact" w:val="255"/>
        </w:trPr>
        <w:tc>
          <w:tcPr>
            <w:tcW w:w="7856" w:type="dxa"/>
            <w:tcBorders>
              <w:top w:val="nil"/>
              <w:left w:val="nil"/>
              <w:bottom w:val="single" w:sz="12" w:space="0" w:color="016794"/>
              <w:right w:val="nil"/>
              <w:tl2br w:val="nil"/>
              <w:tr2bl w:val="nil"/>
            </w:tcBorders>
            <w:shd w:val="solid" w:color="016794" w:fill="FFFFFF"/>
            <w:tcMar>
              <w:left w:w="60" w:type="dxa"/>
              <w:right w:w="60" w:type="dxa"/>
            </w:tcMar>
            <w:vAlign w:val="center"/>
          </w:tcPr>
          <w:p w14:paraId="22BC5712" w14:textId="77777777" w:rsidR="00807FFE" w:rsidRDefault="00807FFE">
            <w:pPr>
              <w:pStyle w:val="DMETW36745BIPOComm"/>
              <w:jc w:val="center"/>
              <w:rPr>
                <w:rFonts w:ascii="Verdana" w:eastAsia="Verdana" w:hAnsi="Verdana" w:cs="Verdana"/>
                <w:noProof/>
                <w:color w:val="FFFFFF"/>
              </w:rPr>
            </w:pPr>
          </w:p>
        </w:tc>
        <w:tc>
          <w:tcPr>
            <w:tcW w:w="1902" w:type="dxa"/>
            <w:tcBorders>
              <w:top w:val="nil"/>
              <w:left w:val="nil"/>
              <w:bottom w:val="single" w:sz="12" w:space="0" w:color="016794"/>
              <w:right w:val="nil"/>
              <w:tl2br w:val="nil"/>
              <w:tr2bl w:val="nil"/>
            </w:tcBorders>
            <w:shd w:val="solid" w:color="016794" w:fill="FFFFFF"/>
            <w:tcMar>
              <w:left w:w="60" w:type="dxa"/>
              <w:right w:w="60" w:type="dxa"/>
            </w:tcMar>
            <w:vAlign w:val="center"/>
          </w:tcPr>
          <w:p w14:paraId="2E65031D" w14:textId="77777777" w:rsidR="00807FFE" w:rsidRDefault="00807FFE">
            <w:pPr>
              <w:pStyle w:val="DMETW36745BIPOComm"/>
              <w:jc w:val="right"/>
              <w:rPr>
                <w:rFonts w:ascii="Verdana" w:eastAsia="Verdana" w:hAnsi="Verdana" w:cs="Verdana"/>
                <w:noProof/>
                <w:color w:val="FFFFFF"/>
                <w:lang w:bidi="en-GB"/>
              </w:rPr>
            </w:pPr>
          </w:p>
        </w:tc>
      </w:tr>
      <w:tr w:rsidR="00807FFE" w14:paraId="604D2D2A" w14:textId="77777777">
        <w:trPr>
          <w:trHeight w:hRule="exact" w:val="255"/>
        </w:trPr>
        <w:tc>
          <w:tcPr>
            <w:tcW w:w="7856"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3A91E1F4" w14:textId="77777777" w:rsidR="00807FFE" w:rsidRDefault="00023E71">
            <w:pPr>
              <w:pStyle w:val="DMETW36745BIPOComm"/>
              <w:rPr>
                <w:rFonts w:ascii="Verdana" w:eastAsia="Verdana" w:hAnsi="Verdana" w:cs="Verdana"/>
                <w:b/>
                <w:noProof/>
                <w:color w:val="000000"/>
                <w:sz w:val="18"/>
              </w:rPr>
            </w:pPr>
            <w:r>
              <w:rPr>
                <w:rFonts w:ascii="Verdana" w:eastAsia="Verdana" w:hAnsi="Verdana" w:cs="Verdana"/>
                <w:b/>
                <w:noProof/>
                <w:color w:val="000000"/>
                <w:sz w:val="18"/>
              </w:rPr>
              <w:t>Amount owed by the UK at 31.12.2024</w:t>
            </w:r>
          </w:p>
        </w:tc>
        <w:tc>
          <w:tcPr>
            <w:tcW w:w="1902" w:type="dxa"/>
            <w:tcBorders>
              <w:top w:val="single" w:sz="12" w:space="0" w:color="016794"/>
              <w:left w:val="nil"/>
              <w:bottom w:val="nil"/>
              <w:right w:val="nil"/>
              <w:tl2br w:val="nil"/>
              <w:tr2bl w:val="nil"/>
            </w:tcBorders>
            <w:tcMar>
              <w:left w:w="60" w:type="dxa"/>
              <w:right w:w="60" w:type="dxa"/>
            </w:tcMar>
            <w:vAlign w:val="center"/>
          </w:tcPr>
          <w:p w14:paraId="0996266F" w14:textId="77777777" w:rsidR="00807FFE" w:rsidRDefault="00023E71">
            <w:pPr>
              <w:pStyle w:val="DMETW36745BIPOComm"/>
              <w:jc w:val="right"/>
              <w:rPr>
                <w:rFonts w:ascii="Verdana" w:eastAsia="Verdana" w:hAnsi="Verdana" w:cs="Verdana"/>
                <w:b/>
                <w:noProof/>
                <w:color w:val="000000"/>
                <w:sz w:val="18"/>
                <w:lang w:bidi="en-GB"/>
              </w:rPr>
            </w:pPr>
            <w:r>
              <w:rPr>
                <w:rFonts w:ascii="Verdana" w:eastAsia="Verdana" w:hAnsi="Verdana" w:cs="Verdana"/>
                <w:b/>
                <w:noProof/>
                <w:color w:val="000000"/>
                <w:sz w:val="18"/>
              </w:rPr>
              <w:t>4 432</w:t>
            </w:r>
          </w:p>
        </w:tc>
      </w:tr>
      <w:tr w:rsidR="00807FFE" w14:paraId="1D5F2D43" w14:textId="77777777">
        <w:trPr>
          <w:trHeight w:hRule="exact" w:val="255"/>
        </w:trPr>
        <w:tc>
          <w:tcPr>
            <w:tcW w:w="7856"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0BCA90FB" w14:textId="77777777" w:rsidR="00807FFE" w:rsidRDefault="00023E71">
            <w:pPr>
              <w:pStyle w:val="DMETW36745BIPOComm"/>
              <w:rPr>
                <w:rFonts w:ascii="Verdana" w:eastAsia="Verdana" w:hAnsi="Verdana" w:cs="Verdana"/>
                <w:i/>
                <w:noProof/>
                <w:color w:val="000000"/>
                <w:sz w:val="18"/>
              </w:rPr>
            </w:pPr>
            <w:r>
              <w:rPr>
                <w:rFonts w:ascii="Verdana" w:eastAsia="Verdana" w:hAnsi="Verdana" w:cs="Verdana"/>
                <w:i/>
                <w:noProof/>
                <w:color w:val="000000"/>
                <w:sz w:val="18"/>
              </w:rPr>
              <w:t>Net financial corrections related to 2014-2020 or previous programme periods</w:t>
            </w:r>
          </w:p>
          <w:p w14:paraId="7528B629" w14:textId="77777777" w:rsidR="00807FFE" w:rsidRDefault="00023E71">
            <w:pPr>
              <w:pStyle w:val="DMETW36745BIPOComm"/>
              <w:rPr>
                <w:rFonts w:ascii="Verdana" w:eastAsia="Verdana" w:hAnsi="Verdana" w:cs="Verdana"/>
                <w:i/>
                <w:noProof/>
                <w:color w:val="000000"/>
                <w:sz w:val="18"/>
              </w:rPr>
            </w:pPr>
            <w:r>
              <w:rPr>
                <w:rFonts w:ascii="Verdana" w:eastAsia="Verdana" w:hAnsi="Verdana" w:cs="Verdana"/>
                <w:i/>
                <w:noProof/>
                <w:color w:val="000000"/>
                <w:sz w:val="18"/>
              </w:rPr>
              <w:t>(including adjustment of 2025 deductions)</w:t>
            </w:r>
          </w:p>
        </w:tc>
        <w:tc>
          <w:tcPr>
            <w:tcW w:w="1902" w:type="dxa"/>
            <w:tcBorders>
              <w:top w:val="nil"/>
              <w:left w:val="nil"/>
              <w:bottom w:val="single" w:sz="12" w:space="0" w:color="016794"/>
              <w:right w:val="nil"/>
              <w:tl2br w:val="nil"/>
              <w:tr2bl w:val="nil"/>
            </w:tcBorders>
            <w:tcMar>
              <w:left w:w="60" w:type="dxa"/>
              <w:right w:w="60" w:type="dxa"/>
            </w:tcMar>
            <w:vAlign w:val="center"/>
          </w:tcPr>
          <w:p w14:paraId="35E13FF3" w14:textId="77777777" w:rsidR="00807FFE" w:rsidRDefault="00023E71">
            <w:pPr>
              <w:pStyle w:val="DMETW36745BIPOCo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(58)</w:t>
            </w:r>
          </w:p>
        </w:tc>
      </w:tr>
      <w:tr w:rsidR="00807FFE" w14:paraId="73C41FCF" w14:textId="77777777">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14:paraId="675830F7" w14:textId="77777777" w:rsidR="00807FFE" w:rsidRDefault="00023E71">
            <w:pPr>
              <w:pStyle w:val="DMETW36745BIPOComm"/>
              <w:rPr>
                <w:rFonts w:ascii="Verdana" w:eastAsia="Verdana" w:hAnsi="Verdana" w:cs="Verdana"/>
                <w:i/>
                <w:noProof/>
                <w:color w:val="000000"/>
                <w:sz w:val="18"/>
              </w:rPr>
            </w:pPr>
            <w:r>
              <w:rPr>
                <w:rFonts w:ascii="Verdana" w:eastAsia="Verdana" w:hAnsi="Verdana" w:cs="Verdana"/>
                <w:i/>
                <w:noProof/>
                <w:color w:val="000000"/>
                <w:sz w:val="18"/>
              </w:rPr>
              <w:t>Own resources infringement procedures</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14:paraId="3D5B5477" w14:textId="77777777" w:rsidR="00807FFE" w:rsidRDefault="00023E71">
            <w:pPr>
              <w:pStyle w:val="DMETW36745BIPOCo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(0)</w:t>
            </w:r>
          </w:p>
        </w:tc>
      </w:tr>
      <w:tr w:rsidR="00807FFE" w14:paraId="0124A6B7" w14:textId="77777777">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14:paraId="46054C73" w14:textId="77777777" w:rsidR="00807FFE" w:rsidRDefault="00023E71">
            <w:pPr>
              <w:pStyle w:val="DMETW36745BIPOComm"/>
              <w:rPr>
                <w:rFonts w:ascii="Verdana" w:eastAsia="Verdana" w:hAnsi="Verdana" w:cs="Verdana"/>
                <w:i/>
                <w:noProof/>
                <w:color w:val="000000"/>
                <w:sz w:val="18"/>
              </w:rPr>
            </w:pPr>
            <w:r>
              <w:rPr>
                <w:rFonts w:ascii="Verdana" w:eastAsia="Verdana" w:hAnsi="Verdana" w:cs="Verdana"/>
                <w:i/>
                <w:noProof/>
                <w:color w:val="000000"/>
                <w:sz w:val="18"/>
              </w:rPr>
              <w:t>Net payments received from the UK in 2025</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14:paraId="5452A22E" w14:textId="77777777" w:rsidR="00807FFE" w:rsidRDefault="00023E71">
            <w:pPr>
              <w:pStyle w:val="DMETW36745BIPOComm"/>
              <w:jc w:val="right"/>
              <w:rPr>
                <w:rFonts w:ascii="Verdana" w:eastAsia="Verdana" w:hAnsi="Verdana" w:cs="Verdana"/>
                <w:i/>
                <w:noProof/>
                <w:color w:val="000000"/>
                <w:sz w:val="18"/>
                <w:lang w:bidi="en-GB"/>
              </w:rPr>
            </w:pPr>
            <w:r>
              <w:rPr>
                <w:rFonts w:ascii="Verdana" w:eastAsia="Verdana" w:hAnsi="Verdana" w:cs="Verdana"/>
                <w:i/>
                <w:noProof/>
                <w:color w:val="000000"/>
                <w:sz w:val="18"/>
              </w:rPr>
              <w:t>(1 963)</w:t>
            </w:r>
          </w:p>
        </w:tc>
      </w:tr>
      <w:tr w:rsidR="00807FFE" w14:paraId="3AA0A037" w14:textId="77777777">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14:paraId="761C7273" w14:textId="77777777" w:rsidR="00807FFE" w:rsidRDefault="00023E71">
            <w:pPr>
              <w:pStyle w:val="DMETW36745BIPOComm"/>
              <w:rPr>
                <w:rFonts w:ascii="Verdana" w:eastAsia="Verdana" w:hAnsi="Verdana" w:cs="Verdana"/>
                <w:i/>
                <w:noProof/>
                <w:color w:val="000000"/>
                <w:sz w:val="18"/>
              </w:rPr>
            </w:pPr>
            <w:r>
              <w:rPr>
                <w:rFonts w:ascii="Verdana" w:eastAsia="Verdana" w:hAnsi="Verdana" w:cs="Verdana"/>
                <w:i/>
                <w:noProof/>
                <w:color w:val="000000"/>
                <w:sz w:val="18"/>
              </w:rPr>
              <w:t>Adjustment of estimated non-implementation</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14:paraId="3C5F99EB" w14:textId="77777777" w:rsidR="00807FFE" w:rsidRDefault="00023E71">
            <w:pPr>
              <w:pStyle w:val="DMETW36745BIPOCo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(84)</w:t>
            </w:r>
          </w:p>
        </w:tc>
      </w:tr>
      <w:tr w:rsidR="00807FFE" w14:paraId="7BD39A6E" w14:textId="77777777">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14:paraId="3F2F41A3" w14:textId="77777777" w:rsidR="00807FFE" w:rsidRDefault="00023E71">
            <w:pPr>
              <w:pStyle w:val="DMETW36745BIPOComm"/>
              <w:rPr>
                <w:rFonts w:ascii="Verdana" w:eastAsia="Verdana" w:hAnsi="Verdana" w:cs="Verdana"/>
                <w:b/>
                <w:noProof/>
                <w:color w:val="000000"/>
                <w:sz w:val="18"/>
              </w:rPr>
            </w:pPr>
            <w:r>
              <w:rPr>
                <w:rFonts w:ascii="Verdana" w:eastAsia="Verdana" w:hAnsi="Verdana" w:cs="Verdana"/>
                <w:b/>
                <w:noProof/>
                <w:color w:val="000000"/>
                <w:sz w:val="18"/>
              </w:rPr>
              <w:t>Amount owed by the UK at 31.12.2025</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14:paraId="12F5D406" w14:textId="77777777" w:rsidR="00807FFE" w:rsidRDefault="00023E71">
            <w:pPr>
              <w:pStyle w:val="DMETW36745BIPOComm"/>
              <w:jc w:val="right"/>
              <w:rPr>
                <w:rFonts w:ascii="Verdana" w:eastAsia="Verdana" w:hAnsi="Verdana" w:cs="Verdana"/>
                <w:b/>
                <w:noProof/>
                <w:color w:val="000000"/>
                <w:sz w:val="18"/>
                <w:lang w:bidi="en-GB"/>
              </w:rPr>
            </w:pPr>
            <w:r>
              <w:rPr>
                <w:rFonts w:ascii="Verdana" w:eastAsia="Verdana" w:hAnsi="Verdana" w:cs="Verdana"/>
                <w:b/>
                <w:noProof/>
                <w:color w:val="000000"/>
                <w:sz w:val="18"/>
              </w:rPr>
              <w:t>2 327</w:t>
            </w:r>
          </w:p>
        </w:tc>
      </w:tr>
      <w:tr w:rsidR="00807FFE" w14:paraId="5823F71B" w14:textId="77777777">
        <w:trPr>
          <w:trHeight w:hRule="exact" w:val="255"/>
        </w:trPr>
        <w:tc>
          <w:tcPr>
            <w:tcW w:w="7856"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7FD86D43" w14:textId="77777777" w:rsidR="00807FFE" w:rsidRDefault="00023E71">
            <w:pPr>
              <w:pStyle w:val="DMETW36745BIPOComm"/>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902" w:type="dxa"/>
            <w:tcBorders>
              <w:top w:val="single" w:sz="12" w:space="0" w:color="016794"/>
              <w:left w:val="nil"/>
              <w:bottom w:val="nil"/>
              <w:right w:val="nil"/>
              <w:tl2br w:val="nil"/>
              <w:tr2bl w:val="nil"/>
            </w:tcBorders>
            <w:tcMar>
              <w:left w:w="60" w:type="dxa"/>
              <w:right w:w="60" w:type="dxa"/>
            </w:tcMar>
            <w:vAlign w:val="center"/>
          </w:tcPr>
          <w:p w14:paraId="2CE4948F" w14:textId="77777777" w:rsidR="00807FFE" w:rsidRDefault="00023E71">
            <w:pPr>
              <w:pStyle w:val="DMETW36745BIPOComm"/>
              <w:jc w:val="right"/>
              <w:rPr>
                <w:rFonts w:ascii="Verdana" w:eastAsia="Verdana" w:hAnsi="Verdana" w:cs="Verdana"/>
                <w:i/>
                <w:noProof/>
                <w:color w:val="016794"/>
                <w:sz w:val="18"/>
                <w:lang w:bidi="en-GB"/>
              </w:rPr>
            </w:pPr>
            <w:r>
              <w:rPr>
                <w:rFonts w:ascii="Verdana" w:eastAsia="Verdana" w:hAnsi="Verdana" w:cs="Verdana"/>
                <w:i/>
                <w:noProof/>
                <w:color w:val="016794"/>
                <w:sz w:val="18"/>
              </w:rPr>
              <w:t>1 928</w:t>
            </w:r>
          </w:p>
        </w:tc>
      </w:tr>
      <w:tr w:rsidR="00807FFE" w14:paraId="594ECEA8" w14:textId="77777777">
        <w:trPr>
          <w:trHeight w:hRule="exact" w:val="290"/>
        </w:trPr>
        <w:tc>
          <w:tcPr>
            <w:tcW w:w="7856" w:type="dxa"/>
            <w:tcBorders>
              <w:top w:val="nil"/>
              <w:left w:val="nil"/>
              <w:bottom w:val="nil"/>
              <w:right w:val="nil"/>
              <w:tl2br w:val="nil"/>
              <w:tr2bl w:val="nil"/>
            </w:tcBorders>
            <w:shd w:val="solid" w:color="FFFFFF" w:fill="FFFFFF"/>
            <w:tcMar>
              <w:left w:w="60" w:type="dxa"/>
              <w:right w:w="60" w:type="dxa"/>
            </w:tcMar>
            <w:vAlign w:val="center"/>
          </w:tcPr>
          <w:p w14:paraId="76CBB9BF" w14:textId="77777777" w:rsidR="00807FFE" w:rsidRDefault="00023E71">
            <w:pPr>
              <w:pStyle w:val="DMETW36745BIPOComm"/>
              <w:rPr>
                <w:rFonts w:ascii="Verdana" w:eastAsia="Verdana" w:hAnsi="Verdana" w:cs="Verdana"/>
                <w:i/>
                <w:noProof/>
                <w:color w:val="016794"/>
                <w:sz w:val="18"/>
              </w:rPr>
            </w:pPr>
            <w:r>
              <w:rPr>
                <w:rFonts w:ascii="Verdana" w:eastAsia="Verdana" w:hAnsi="Verdana" w:cs="Verdana"/>
                <w:i/>
                <w:noProof/>
                <w:color w:val="016794"/>
                <w:sz w:val="18"/>
              </w:rPr>
              <w:t>Current</w:t>
            </w:r>
          </w:p>
        </w:tc>
        <w:tc>
          <w:tcPr>
            <w:tcW w:w="1902" w:type="dxa"/>
            <w:tcBorders>
              <w:top w:val="nil"/>
              <w:left w:val="nil"/>
              <w:bottom w:val="nil"/>
              <w:right w:val="nil"/>
              <w:tl2br w:val="nil"/>
              <w:tr2bl w:val="nil"/>
            </w:tcBorders>
            <w:tcMar>
              <w:left w:w="60" w:type="dxa"/>
              <w:right w:w="60" w:type="dxa"/>
            </w:tcMar>
            <w:vAlign w:val="center"/>
          </w:tcPr>
          <w:p w14:paraId="00A1C6A8" w14:textId="77777777" w:rsidR="00807FFE" w:rsidRDefault="00023E71">
            <w:pPr>
              <w:pStyle w:val="DMETW36745BIPOComm"/>
              <w:jc w:val="right"/>
              <w:rPr>
                <w:rFonts w:ascii="Verdana" w:eastAsia="Verdana" w:hAnsi="Verdana" w:cs="Verdana"/>
                <w:i/>
                <w:noProof/>
                <w:color w:val="016794"/>
                <w:sz w:val="18"/>
              </w:rPr>
            </w:pPr>
            <w:r>
              <w:rPr>
                <w:rFonts w:ascii="Verdana" w:eastAsia="Verdana" w:hAnsi="Verdana" w:cs="Verdana"/>
                <w:i/>
                <w:noProof/>
                <w:color w:val="016794"/>
                <w:sz w:val="18"/>
              </w:rPr>
              <w:t xml:space="preserve"> 399</w:t>
            </w:r>
          </w:p>
        </w:tc>
      </w:tr>
    </w:tbl>
    <w:p w14:paraId="3F5AE2A4" w14:textId="77777777" w:rsidR="00A2089F" w:rsidRPr="00671A2C" w:rsidRDefault="00023E71" w:rsidP="00A2089F">
      <w:pPr>
        <w:pStyle w:val="DGTextstand-alone"/>
      </w:pPr>
      <w:r w:rsidRPr="00F502D0">
        <w:t xml:space="preserve">The year-on-year decrease of the total amount recognised as a receivable amounted to EUR 2 </w:t>
      </w:r>
      <w:r w:rsidR="00295FCE">
        <w:t>104</w:t>
      </w:r>
      <w:r w:rsidRPr="00F502D0">
        <w:t xml:space="preserve"> million (2024: EUR 3 909 million) and was mainly due to the payments received from the UK in 2025</w:t>
      </w:r>
      <w:r w:rsidRPr="00671A2C">
        <w:t>.</w:t>
      </w:r>
    </w:p>
    <w:p w14:paraId="1CB58A31" w14:textId="7B003315" w:rsidR="00A2089F" w:rsidRPr="00023E71" w:rsidRDefault="00023E71" w:rsidP="00A2089F">
      <w:pPr>
        <w:pStyle w:val="DGTextstand-alone"/>
      </w:pPr>
      <w:r w:rsidRPr="00023E71">
        <w:t xml:space="preserve">The amount to be paid within 12 months from the reporting date (EUR </w:t>
      </w:r>
      <w:r w:rsidR="00295FCE" w:rsidRPr="00023E71">
        <w:t>399</w:t>
      </w:r>
      <w:r w:rsidRPr="00023E71">
        <w:t xml:space="preserve"> million) comprises the remaining balance of the September 2025 invoice (EUR 406.5 million) payable by the UK in the period from January to May 2026, the amount invoiced in April 2026 (EUR </w:t>
      </w:r>
      <w:r w:rsidR="006C7B78">
        <w:t>136.3</w:t>
      </w:r>
      <w:r w:rsidRPr="00023E71">
        <w:t xml:space="preserve"> million, </w:t>
      </w:r>
      <w:r w:rsidR="00BE21EB">
        <w:t xml:space="preserve">including </w:t>
      </w:r>
      <w:r w:rsidR="00295FCE" w:rsidRPr="00023E71">
        <w:t xml:space="preserve">an expected adjustment of EUR 27.9 million) </w:t>
      </w:r>
      <w:r w:rsidRPr="00023E71">
        <w:t xml:space="preserve">payable </w:t>
      </w:r>
      <w:r w:rsidR="00295FCE" w:rsidRPr="00023E71">
        <w:t xml:space="preserve">to </w:t>
      </w:r>
      <w:r w:rsidRPr="00023E71">
        <w:t>the UK in the period from June to September 2026, and the part of the estimated amount to be invoiced in September 2026 payable by the UK in the period from October to December 2026 (EUR 128.9 million).</w:t>
      </w:r>
    </w:p>
    <w:p w14:paraId="7B8340C1" w14:textId="41839E3F" w:rsidR="00F502D0" w:rsidRPr="00023E71" w:rsidRDefault="00023E71" w:rsidP="00F502D0">
      <w:pPr>
        <w:pStyle w:val="DGTextstand-alone"/>
      </w:pPr>
      <w:r w:rsidRPr="00023E71">
        <w:t>The amount invoiced in April 2026 is composed of EUR 200.6 million relating to the UK’s share of the estimated RAL implementation in 2026, a negative amount of EUR </w:t>
      </w:r>
      <w:r w:rsidR="00BE21EB">
        <w:t>336.4</w:t>
      </w:r>
      <w:r w:rsidRPr="00023E71">
        <w:t> million</w:t>
      </w:r>
      <w:r w:rsidR="00BE21EB">
        <w:t xml:space="preserve"> (including an expected adjustment of EUR 27.9 million)</w:t>
      </w:r>
      <w:r w:rsidRPr="00023E71">
        <w:t xml:space="preserve"> relating to the adjustment of the UK’s share of the RAL due to implementation in 2025, and a negative amount of EUR 0.5 million relating to own resources infringement procedures.</w:t>
      </w:r>
    </w:p>
    <w:p w14:paraId="75582CD6" w14:textId="77777777" w:rsidR="00F502D0" w:rsidRPr="00671A2C" w:rsidRDefault="00023E71" w:rsidP="00F502D0">
      <w:pPr>
        <w:pStyle w:val="DGTextstand-alone"/>
      </w:pPr>
      <w:r w:rsidRPr="00023E71">
        <w:t>The estimated amount to be invoiced in September</w:t>
      </w:r>
      <w:r w:rsidRPr="00671A2C">
        <w:t xml:space="preserve"> 202</w:t>
      </w:r>
      <w:r>
        <w:t>6</w:t>
      </w:r>
      <w:r w:rsidRPr="00671A2C">
        <w:t xml:space="preserve"> and payable in the period October to December 202</w:t>
      </w:r>
      <w:r>
        <w:t>6</w:t>
      </w:r>
      <w:r w:rsidRPr="00671A2C">
        <w:t xml:space="preserve"> is made up of </w:t>
      </w:r>
      <w:r>
        <w:t>EUR 150.4 million</w:t>
      </w:r>
      <w:r w:rsidRPr="00671A2C">
        <w:t xml:space="preserve"> relating to the UK’s share of the estimated RAL implementation in 202</w:t>
      </w:r>
      <w:r>
        <w:t>6</w:t>
      </w:r>
      <w:r w:rsidRPr="00671A2C">
        <w:t xml:space="preserve"> and a negative amount of </w:t>
      </w:r>
      <w:r>
        <w:t>EUR 21.6 million</w:t>
      </w:r>
      <w:r w:rsidRPr="00671A2C">
        <w:t xml:space="preserve"> relating to the UK’s share of the estimated net financial corrections related to 2014-2020 or previous programme periods (including the adjustment of </w:t>
      </w:r>
      <w:r w:rsidRPr="00F502D0">
        <w:t xml:space="preserve">the 2025 </w:t>
      </w:r>
      <w:r w:rsidRPr="00671A2C">
        <w:t>deductions).</w:t>
      </w:r>
    </w:p>
    <w:p w14:paraId="52BD1057" w14:textId="77777777" w:rsidR="001D1A52" w:rsidRPr="00C519EF" w:rsidRDefault="00023E71" w:rsidP="00A2089F">
      <w:pPr>
        <w:pStyle w:val="DGTextstand-alone"/>
        <w:rPr>
          <w:color w:val="FF0000"/>
        </w:rPr>
      </w:pPr>
      <w:r w:rsidRPr="00DB78ED">
        <w:t>The estimated non-i</w:t>
      </w:r>
      <w:r w:rsidRPr="00FC4404">
        <w:t>mplementation has been adjusted by EUR 84 million to reflect the decommitments in 2025 as well as the future decommitments of the remaining stock of Brexit-RAL as estimated at year-end 2025.</w:t>
      </w:r>
    </w:p>
    <w:p w14:paraId="3A28CA86" w14:textId="77777777" w:rsidR="002E007F" w:rsidRPr="00A7502B" w:rsidRDefault="00023E71" w:rsidP="00A7502B">
      <w:pPr>
        <w:pStyle w:val="Textstand-alone"/>
        <w:rPr>
          <w:color w:val="016794"/>
        </w:rPr>
      </w:pPr>
      <w:r w:rsidRPr="00064F91">
        <w:rPr>
          <w:color w:val="016794"/>
        </w:rPr>
        <w:t>Article 142 – Union liabilities at end 2020</w:t>
      </w:r>
    </w:p>
    <w:p w14:paraId="49EE4641" w14:textId="69EC548F" w:rsidR="00F52BB5" w:rsidRDefault="00023E71" w:rsidP="00223A7D">
      <w:pPr>
        <w:pStyle w:val="DGTextstand-alone"/>
        <w:spacing w:after="120"/>
      </w:pPr>
      <w:r w:rsidRPr="001855E6">
        <w:t>The UK has committed to pay the EU its share of Union liabilities at end 2020 with the exception of liabilities: (a) with corresponding assets and (b) relating to the operation of the budget and the management of own resources (including amounts already covered by the outstanding commitments</w:t>
      </w:r>
      <w:r>
        <w:t xml:space="preserve">, </w:t>
      </w:r>
      <w:r w:rsidRPr="001855E6">
        <w:t>see Article 140</w:t>
      </w:r>
      <w:r>
        <w:t xml:space="preserve"> </w:t>
      </w:r>
      <w:r w:rsidRPr="001855E6">
        <w:t xml:space="preserve">above). The main amount here concerns the EU post-employment </w:t>
      </w:r>
      <w:r>
        <w:t xml:space="preserve">benefit liabilities </w:t>
      </w:r>
      <w:r w:rsidRPr="001855E6">
        <w:t>(pensions and sickness insurance) existing at 31</w:t>
      </w:r>
      <w:r>
        <w:t xml:space="preserve"> December 20</w:t>
      </w:r>
      <w:r w:rsidRPr="001855E6">
        <w:t>20</w:t>
      </w:r>
      <w:r>
        <w:t>.</w:t>
      </w:r>
    </w:p>
    <w:p w14:paraId="2A74EB42" w14:textId="77777777" w:rsidR="00F52BB5" w:rsidRDefault="00F52BB5">
      <w:pPr>
        <w:rPr>
          <w:rFonts w:ascii="Verdana" w:hAnsi="Verdana"/>
          <w:noProof/>
          <w:sz w:val="18"/>
          <w:szCs w:val="18"/>
          <w:lang w:eastAsia="en-US"/>
        </w:rPr>
      </w:pPr>
      <w:r>
        <w:rPr>
          <w:noProof/>
        </w:rPr>
        <w:br w:type="page"/>
      </w:r>
    </w:p>
    <w:p w14:paraId="550A01B4" w14:textId="77777777" w:rsidR="00223A7D" w:rsidRPr="00C9074B" w:rsidRDefault="00023E71" w:rsidP="00F52BB5">
      <w:pPr>
        <w:pStyle w:val="Textstand-alone"/>
        <w:spacing w:after="0"/>
        <w:rPr>
          <w:i/>
          <w:color w:val="016794"/>
        </w:rPr>
      </w:pPr>
      <w:r w:rsidRPr="00C9074B">
        <w:rPr>
          <w:i/>
          <w:color w:val="016794"/>
        </w:rPr>
        <w:t>Outstanding 2020 liabil</w:t>
      </w:r>
      <w:r>
        <w:rPr>
          <w:i/>
          <w:color w:val="016794"/>
        </w:rPr>
        <w:t>i</w:t>
      </w:r>
      <w:r w:rsidRPr="00C9074B">
        <w:rPr>
          <w:i/>
          <w:color w:val="016794"/>
        </w:rPr>
        <w:t>ties under Article 142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0"/>
        <w:gridCol w:w="1523"/>
        <w:gridCol w:w="1523"/>
        <w:gridCol w:w="1523"/>
        <w:gridCol w:w="1249"/>
      </w:tblGrid>
      <w:tr w:rsidR="00807FFE" w14:paraId="5CBE990D" w14:textId="77777777">
        <w:trPr>
          <w:trHeight w:val="255"/>
        </w:trPr>
        <w:tc>
          <w:tcPr>
            <w:tcW w:w="3940" w:type="dxa"/>
            <w:tcBorders>
              <w:top w:val="nil"/>
              <w:left w:val="nil"/>
              <w:bottom w:val="nil"/>
              <w:right w:val="nil"/>
              <w:tl2br w:val="nil"/>
              <w:tr2bl w:val="nil"/>
            </w:tcBorders>
            <w:tcMar>
              <w:left w:w="60" w:type="dxa"/>
              <w:right w:w="60" w:type="dxa"/>
            </w:tcMar>
            <w:vAlign w:val="bottom"/>
          </w:tcPr>
          <w:p w14:paraId="7BF04B47" w14:textId="77777777" w:rsidR="00807FFE" w:rsidRDefault="00807FFE">
            <w:pPr>
              <w:pStyle w:val="DMETW36745BIPUliab"/>
              <w:rPr>
                <w:rFonts w:ascii="Arial" w:eastAsia="Arial" w:hAnsi="Arial" w:cs="Arial"/>
                <w:noProof/>
                <w:color w:val="000000"/>
                <w:lang w:bidi="en-GB"/>
              </w:rPr>
            </w:pPr>
            <w:bookmarkStart w:id="130" w:name="DOC_TBL00036_1_1"/>
            <w:bookmarkEnd w:id="130"/>
          </w:p>
        </w:tc>
        <w:tc>
          <w:tcPr>
            <w:tcW w:w="1523" w:type="dxa"/>
            <w:tcBorders>
              <w:top w:val="nil"/>
              <w:left w:val="nil"/>
              <w:bottom w:val="nil"/>
              <w:right w:val="nil"/>
              <w:tl2br w:val="nil"/>
              <w:tr2bl w:val="nil"/>
            </w:tcBorders>
            <w:tcMar>
              <w:left w:w="60" w:type="dxa"/>
              <w:right w:w="60" w:type="dxa"/>
            </w:tcMar>
            <w:vAlign w:val="bottom"/>
          </w:tcPr>
          <w:p w14:paraId="4C84CA6B" w14:textId="77777777" w:rsidR="00807FFE" w:rsidRDefault="00807FFE">
            <w:pPr>
              <w:pStyle w:val="DMETW36745BIPUliab"/>
              <w:rPr>
                <w:rFonts w:ascii="Arial" w:eastAsia="Arial" w:hAnsi="Arial" w:cs="Arial"/>
                <w:noProof/>
                <w:color w:val="000000"/>
              </w:rPr>
            </w:pPr>
          </w:p>
        </w:tc>
        <w:tc>
          <w:tcPr>
            <w:tcW w:w="1523" w:type="dxa"/>
            <w:tcBorders>
              <w:top w:val="nil"/>
              <w:left w:val="nil"/>
              <w:bottom w:val="nil"/>
              <w:right w:val="nil"/>
              <w:tl2br w:val="nil"/>
              <w:tr2bl w:val="nil"/>
            </w:tcBorders>
            <w:tcMar>
              <w:left w:w="60" w:type="dxa"/>
              <w:right w:w="60" w:type="dxa"/>
            </w:tcMar>
            <w:vAlign w:val="bottom"/>
          </w:tcPr>
          <w:p w14:paraId="1D564CCE" w14:textId="77777777" w:rsidR="00807FFE" w:rsidRDefault="00807FFE">
            <w:pPr>
              <w:pStyle w:val="DMETW36745BIPUliab"/>
              <w:rPr>
                <w:rFonts w:cs="Calibri"/>
                <w:noProof/>
                <w:color w:val="000000"/>
                <w:sz w:val="22"/>
              </w:rPr>
            </w:pPr>
          </w:p>
        </w:tc>
        <w:tc>
          <w:tcPr>
            <w:tcW w:w="1523" w:type="dxa"/>
            <w:tcBorders>
              <w:top w:val="nil"/>
              <w:left w:val="nil"/>
              <w:bottom w:val="nil"/>
              <w:right w:val="nil"/>
              <w:tl2br w:val="nil"/>
              <w:tr2bl w:val="nil"/>
            </w:tcBorders>
            <w:tcMar>
              <w:left w:w="60" w:type="dxa"/>
              <w:right w:w="60" w:type="dxa"/>
            </w:tcMar>
            <w:vAlign w:val="bottom"/>
          </w:tcPr>
          <w:p w14:paraId="12CD3DD3" w14:textId="77777777" w:rsidR="00807FFE" w:rsidRDefault="00807FFE">
            <w:pPr>
              <w:pStyle w:val="DMETW36745BIPUliab"/>
              <w:jc w:val="right"/>
              <w:rPr>
                <w:rFonts w:ascii="Verdana" w:eastAsia="Verdana" w:hAnsi="Verdana" w:cs="Verdana"/>
                <w:b/>
                <w:noProof/>
                <w:color w:val="000000"/>
                <w:sz w:val="18"/>
              </w:rPr>
            </w:pPr>
          </w:p>
        </w:tc>
        <w:tc>
          <w:tcPr>
            <w:tcW w:w="1249" w:type="dxa"/>
            <w:tcBorders>
              <w:top w:val="nil"/>
              <w:left w:val="nil"/>
              <w:bottom w:val="nil"/>
              <w:right w:val="nil"/>
              <w:tl2br w:val="nil"/>
              <w:tr2bl w:val="nil"/>
            </w:tcBorders>
            <w:tcMar>
              <w:left w:w="60" w:type="dxa"/>
              <w:right w:w="60" w:type="dxa"/>
            </w:tcMar>
            <w:vAlign w:val="bottom"/>
          </w:tcPr>
          <w:p w14:paraId="66C989F6" w14:textId="77777777" w:rsidR="00807FFE" w:rsidRDefault="00023E71">
            <w:pPr>
              <w:pStyle w:val="DMETW36745BIPUliab"/>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D1634E3" w14:textId="77777777">
        <w:trPr>
          <w:trHeight w:val="255"/>
        </w:trPr>
        <w:tc>
          <w:tcPr>
            <w:tcW w:w="3940" w:type="dxa"/>
            <w:tcBorders>
              <w:top w:val="nil"/>
              <w:left w:val="nil"/>
              <w:bottom w:val="nil"/>
              <w:right w:val="nil"/>
              <w:tl2br w:val="nil"/>
              <w:tr2bl w:val="nil"/>
            </w:tcBorders>
            <w:shd w:val="solid" w:color="016794" w:fill="FFFFFF"/>
            <w:tcMar>
              <w:left w:w="60" w:type="dxa"/>
              <w:right w:w="60" w:type="dxa"/>
            </w:tcMar>
            <w:vAlign w:val="center"/>
          </w:tcPr>
          <w:p w14:paraId="17027D23" w14:textId="77777777" w:rsidR="00807FFE" w:rsidRDefault="00807FFE">
            <w:pPr>
              <w:pStyle w:val="DMETW36745BIPUliab"/>
              <w:jc w:val="center"/>
              <w:rPr>
                <w:rFonts w:ascii="Verdana" w:eastAsia="Verdana" w:hAnsi="Verdana" w:cs="Verdana"/>
                <w:noProof/>
                <w:color w:val="FFFFFF"/>
              </w:rPr>
            </w:pPr>
          </w:p>
        </w:tc>
        <w:tc>
          <w:tcPr>
            <w:tcW w:w="1523" w:type="dxa"/>
            <w:tcBorders>
              <w:top w:val="nil"/>
              <w:left w:val="nil"/>
              <w:bottom w:val="nil"/>
              <w:right w:val="nil"/>
              <w:tl2br w:val="nil"/>
              <w:tr2bl w:val="nil"/>
            </w:tcBorders>
            <w:shd w:val="solid" w:color="016794" w:fill="FFFFFF"/>
            <w:tcMar>
              <w:left w:w="60" w:type="dxa"/>
              <w:right w:w="60" w:type="dxa"/>
            </w:tcMar>
            <w:vAlign w:val="center"/>
          </w:tcPr>
          <w:p w14:paraId="55877364" w14:textId="77777777" w:rsidR="00807FFE" w:rsidRDefault="00023E71">
            <w:pPr>
              <w:pStyle w:val="DMETW36745BIPUliab"/>
              <w:jc w:val="right"/>
              <w:rPr>
                <w:rFonts w:ascii="Verdana" w:eastAsia="Verdana" w:hAnsi="Verdana" w:cs="Verdana"/>
                <w:noProof/>
                <w:color w:val="FFFFFF"/>
                <w:sz w:val="16"/>
              </w:rPr>
            </w:pPr>
            <w:r>
              <w:rPr>
                <w:rFonts w:ascii="Verdana" w:eastAsia="Verdana" w:hAnsi="Verdana" w:cs="Verdana"/>
                <w:noProof/>
                <w:color w:val="FFFFFF"/>
                <w:sz w:val="16"/>
              </w:rPr>
              <w:t>Pension Scheme of European Officials</w:t>
            </w:r>
          </w:p>
        </w:tc>
        <w:tc>
          <w:tcPr>
            <w:tcW w:w="1523" w:type="dxa"/>
            <w:tcBorders>
              <w:top w:val="nil"/>
              <w:left w:val="nil"/>
              <w:bottom w:val="nil"/>
              <w:right w:val="nil"/>
              <w:tl2br w:val="nil"/>
              <w:tr2bl w:val="nil"/>
            </w:tcBorders>
            <w:shd w:val="solid" w:color="016794" w:fill="FFFFFF"/>
            <w:tcMar>
              <w:left w:w="60" w:type="dxa"/>
              <w:right w:w="60" w:type="dxa"/>
            </w:tcMar>
            <w:vAlign w:val="center"/>
          </w:tcPr>
          <w:p w14:paraId="4862AEB3" w14:textId="77777777" w:rsidR="00807FFE" w:rsidRDefault="00023E71">
            <w:pPr>
              <w:pStyle w:val="DMETW36745BIPUliab"/>
              <w:jc w:val="right"/>
              <w:rPr>
                <w:rFonts w:ascii="Verdana" w:eastAsia="Verdana" w:hAnsi="Verdana" w:cs="Verdana"/>
                <w:noProof/>
                <w:color w:val="FFFFFF"/>
                <w:sz w:val="16"/>
              </w:rPr>
            </w:pPr>
            <w:r>
              <w:rPr>
                <w:rFonts w:ascii="Verdana" w:eastAsia="Verdana" w:hAnsi="Verdana" w:cs="Verdana"/>
                <w:noProof/>
                <w:color w:val="FFFFFF"/>
                <w:sz w:val="16"/>
              </w:rPr>
              <w:t>Joint Sickness Insurance Scheme</w:t>
            </w:r>
          </w:p>
        </w:tc>
        <w:tc>
          <w:tcPr>
            <w:tcW w:w="1523" w:type="dxa"/>
            <w:tcBorders>
              <w:top w:val="nil"/>
              <w:left w:val="nil"/>
              <w:bottom w:val="nil"/>
              <w:right w:val="nil"/>
              <w:tl2br w:val="nil"/>
              <w:tr2bl w:val="nil"/>
            </w:tcBorders>
            <w:shd w:val="solid" w:color="016794" w:fill="FFFFFF"/>
            <w:tcMar>
              <w:left w:w="60" w:type="dxa"/>
              <w:right w:w="60" w:type="dxa"/>
            </w:tcMar>
            <w:vAlign w:val="center"/>
          </w:tcPr>
          <w:p w14:paraId="0CD4EE09" w14:textId="77777777" w:rsidR="00807FFE" w:rsidRDefault="00023E71">
            <w:pPr>
              <w:pStyle w:val="DMETW36745BIPUliab"/>
              <w:jc w:val="right"/>
              <w:rPr>
                <w:rFonts w:ascii="Verdana" w:eastAsia="Verdana" w:hAnsi="Verdana" w:cs="Verdana"/>
                <w:noProof/>
                <w:color w:val="FFFFFF"/>
                <w:sz w:val="16"/>
              </w:rPr>
            </w:pPr>
            <w:r>
              <w:rPr>
                <w:rFonts w:ascii="Verdana" w:eastAsia="Verdana" w:hAnsi="Verdana" w:cs="Verdana"/>
                <w:noProof/>
                <w:color w:val="FFFFFF"/>
                <w:sz w:val="16"/>
              </w:rPr>
              <w:t>31.12.2025</w:t>
            </w:r>
          </w:p>
        </w:tc>
        <w:tc>
          <w:tcPr>
            <w:tcW w:w="1249" w:type="dxa"/>
            <w:tcBorders>
              <w:top w:val="nil"/>
              <w:left w:val="nil"/>
              <w:bottom w:val="nil"/>
              <w:right w:val="nil"/>
              <w:tl2br w:val="nil"/>
              <w:tr2bl w:val="nil"/>
            </w:tcBorders>
            <w:shd w:val="solid" w:color="016794" w:fill="FFFFFF"/>
            <w:tcMar>
              <w:left w:w="60" w:type="dxa"/>
              <w:right w:w="60" w:type="dxa"/>
            </w:tcMar>
            <w:vAlign w:val="center"/>
          </w:tcPr>
          <w:p w14:paraId="5FBC7D0D" w14:textId="77777777" w:rsidR="00807FFE" w:rsidRDefault="00023E71">
            <w:pPr>
              <w:pStyle w:val="DMETW36745BIPUliab"/>
              <w:jc w:val="right"/>
              <w:rPr>
                <w:rFonts w:ascii="Verdana" w:eastAsia="Verdana" w:hAnsi="Verdana" w:cs="Verdana"/>
                <w:noProof/>
                <w:color w:val="FFFFFF"/>
                <w:sz w:val="16"/>
                <w:lang w:bidi="en-GB"/>
              </w:rPr>
            </w:pPr>
            <w:r>
              <w:rPr>
                <w:rFonts w:ascii="Verdana" w:eastAsia="Verdana" w:hAnsi="Verdana" w:cs="Verdana"/>
                <w:noProof/>
                <w:color w:val="FFFFFF"/>
                <w:sz w:val="16"/>
              </w:rPr>
              <w:t>31.12.2024</w:t>
            </w:r>
          </w:p>
        </w:tc>
      </w:tr>
      <w:tr w:rsidR="00807FFE" w14:paraId="0E9881EC" w14:textId="77777777">
        <w:trPr>
          <w:trHeight w:val="255"/>
        </w:trPr>
        <w:tc>
          <w:tcPr>
            <w:tcW w:w="3940" w:type="dxa"/>
            <w:tcBorders>
              <w:top w:val="nil"/>
              <w:left w:val="nil"/>
              <w:bottom w:val="nil"/>
              <w:right w:val="nil"/>
              <w:tl2br w:val="nil"/>
              <w:tr2bl w:val="nil"/>
            </w:tcBorders>
            <w:tcMar>
              <w:left w:w="60" w:type="dxa"/>
              <w:right w:w="60" w:type="dxa"/>
            </w:tcMar>
            <w:vAlign w:val="center"/>
          </w:tcPr>
          <w:p w14:paraId="37F7C826" w14:textId="77777777" w:rsidR="00807FFE" w:rsidRDefault="00023E71">
            <w:pPr>
              <w:pStyle w:val="DMETW36745BIPUliab"/>
              <w:rPr>
                <w:rFonts w:ascii="Verdana" w:eastAsia="Verdana" w:hAnsi="Verdana" w:cs="Verdana"/>
                <w:i/>
                <w:noProof/>
                <w:color w:val="000000"/>
                <w:sz w:val="18"/>
              </w:rPr>
            </w:pPr>
            <w:r>
              <w:rPr>
                <w:rFonts w:ascii="Verdana" w:eastAsia="Verdana" w:hAnsi="Verdana" w:cs="Verdana"/>
                <w:i/>
                <w:noProof/>
                <w:color w:val="000000"/>
                <w:sz w:val="18"/>
              </w:rPr>
              <w:t>Outstanding 2020 liabilities</w:t>
            </w:r>
          </w:p>
        </w:tc>
        <w:tc>
          <w:tcPr>
            <w:tcW w:w="1523" w:type="dxa"/>
            <w:tcBorders>
              <w:top w:val="nil"/>
              <w:left w:val="nil"/>
              <w:bottom w:val="nil"/>
              <w:right w:val="nil"/>
              <w:tl2br w:val="nil"/>
              <w:tr2bl w:val="nil"/>
            </w:tcBorders>
            <w:tcMar>
              <w:left w:w="60" w:type="dxa"/>
              <w:right w:w="60" w:type="dxa"/>
            </w:tcMar>
            <w:vAlign w:val="bottom"/>
          </w:tcPr>
          <w:p w14:paraId="37C631EC" w14:textId="77777777" w:rsidR="00807FFE" w:rsidRDefault="00023E71">
            <w:pPr>
              <w:pStyle w:val="DMETW36745BIPUliab"/>
              <w:jc w:val="right"/>
              <w:rPr>
                <w:rFonts w:ascii="Verdana" w:eastAsia="Verdana" w:hAnsi="Verdana" w:cs="Verdana"/>
                <w:i/>
                <w:noProof/>
                <w:color w:val="000000"/>
                <w:sz w:val="18"/>
              </w:rPr>
            </w:pPr>
            <w:r>
              <w:rPr>
                <w:rFonts w:ascii="Verdana" w:eastAsia="Verdana" w:hAnsi="Verdana" w:cs="Verdana"/>
                <w:i/>
                <w:noProof/>
                <w:color w:val="000000"/>
                <w:sz w:val="18"/>
              </w:rPr>
              <w:t>68 944</w:t>
            </w:r>
          </w:p>
        </w:tc>
        <w:tc>
          <w:tcPr>
            <w:tcW w:w="1523" w:type="dxa"/>
            <w:tcBorders>
              <w:top w:val="nil"/>
              <w:left w:val="nil"/>
              <w:bottom w:val="nil"/>
              <w:right w:val="nil"/>
              <w:tl2br w:val="nil"/>
              <w:tr2bl w:val="nil"/>
            </w:tcBorders>
            <w:tcMar>
              <w:left w:w="60" w:type="dxa"/>
              <w:right w:w="60" w:type="dxa"/>
            </w:tcMar>
            <w:vAlign w:val="bottom"/>
          </w:tcPr>
          <w:p w14:paraId="4975F596" w14:textId="77777777" w:rsidR="00807FFE" w:rsidRDefault="00023E71">
            <w:pPr>
              <w:pStyle w:val="DMETW36745BIPUliab"/>
              <w:jc w:val="right"/>
              <w:rPr>
                <w:rFonts w:ascii="Verdana" w:eastAsia="Verdana" w:hAnsi="Verdana" w:cs="Verdana"/>
                <w:i/>
                <w:noProof/>
                <w:color w:val="000000"/>
                <w:sz w:val="18"/>
              </w:rPr>
            </w:pPr>
            <w:r>
              <w:rPr>
                <w:rFonts w:ascii="Verdana" w:eastAsia="Verdana" w:hAnsi="Verdana" w:cs="Verdana"/>
                <w:i/>
                <w:noProof/>
                <w:color w:val="000000"/>
                <w:sz w:val="18"/>
              </w:rPr>
              <w:t>4 326</w:t>
            </w:r>
          </w:p>
        </w:tc>
        <w:tc>
          <w:tcPr>
            <w:tcW w:w="1523" w:type="dxa"/>
            <w:tcBorders>
              <w:top w:val="nil"/>
              <w:left w:val="nil"/>
              <w:bottom w:val="nil"/>
              <w:right w:val="nil"/>
              <w:tl2br w:val="nil"/>
              <w:tr2bl w:val="nil"/>
            </w:tcBorders>
            <w:tcMar>
              <w:left w:w="60" w:type="dxa"/>
              <w:right w:w="60" w:type="dxa"/>
            </w:tcMar>
            <w:vAlign w:val="bottom"/>
          </w:tcPr>
          <w:p w14:paraId="4D5B66F0" w14:textId="77777777" w:rsidR="00807FFE" w:rsidRDefault="00023E71">
            <w:pPr>
              <w:pStyle w:val="DMETW36745BIPUliab"/>
              <w:jc w:val="right"/>
              <w:rPr>
                <w:rFonts w:ascii="Verdana" w:eastAsia="Verdana" w:hAnsi="Verdana" w:cs="Verdana"/>
                <w:i/>
                <w:noProof/>
                <w:color w:val="000000"/>
                <w:sz w:val="18"/>
              </w:rPr>
            </w:pPr>
            <w:r>
              <w:rPr>
                <w:rFonts w:ascii="Verdana" w:eastAsia="Verdana" w:hAnsi="Verdana" w:cs="Verdana"/>
                <w:i/>
                <w:noProof/>
                <w:color w:val="000000"/>
                <w:sz w:val="18"/>
              </w:rPr>
              <w:t>73 271</w:t>
            </w:r>
          </w:p>
        </w:tc>
        <w:tc>
          <w:tcPr>
            <w:tcW w:w="1249" w:type="dxa"/>
            <w:tcBorders>
              <w:top w:val="nil"/>
              <w:left w:val="nil"/>
              <w:bottom w:val="nil"/>
              <w:right w:val="nil"/>
              <w:tl2br w:val="nil"/>
              <w:tr2bl w:val="nil"/>
            </w:tcBorders>
            <w:tcMar>
              <w:left w:w="60" w:type="dxa"/>
              <w:right w:w="60" w:type="dxa"/>
            </w:tcMar>
            <w:vAlign w:val="bottom"/>
          </w:tcPr>
          <w:p w14:paraId="4688F129" w14:textId="77777777" w:rsidR="00807FFE" w:rsidRDefault="00023E71">
            <w:pPr>
              <w:pStyle w:val="DMETW36745BIPUliab"/>
              <w:jc w:val="right"/>
              <w:rPr>
                <w:rFonts w:ascii="Verdana" w:eastAsia="Verdana" w:hAnsi="Verdana" w:cs="Verdana"/>
                <w:i/>
                <w:noProof/>
                <w:color w:val="000000"/>
                <w:sz w:val="18"/>
                <w:lang w:bidi="en-GB"/>
              </w:rPr>
            </w:pPr>
            <w:r>
              <w:rPr>
                <w:rFonts w:ascii="Verdana" w:eastAsia="Verdana" w:hAnsi="Verdana" w:cs="Verdana"/>
                <w:i/>
                <w:noProof/>
                <w:color w:val="000000"/>
                <w:sz w:val="18"/>
              </w:rPr>
              <w:t>77 529</w:t>
            </w:r>
          </w:p>
        </w:tc>
      </w:tr>
      <w:tr w:rsidR="00807FFE" w14:paraId="774F1971" w14:textId="77777777">
        <w:trPr>
          <w:trHeight w:val="255"/>
        </w:trPr>
        <w:tc>
          <w:tcPr>
            <w:tcW w:w="3940" w:type="dxa"/>
            <w:tcBorders>
              <w:top w:val="nil"/>
              <w:left w:val="nil"/>
              <w:bottom w:val="single" w:sz="12" w:space="0" w:color="016794"/>
              <w:right w:val="nil"/>
              <w:tl2br w:val="nil"/>
              <w:tr2bl w:val="nil"/>
            </w:tcBorders>
            <w:tcMar>
              <w:left w:w="60" w:type="dxa"/>
              <w:right w:w="60" w:type="dxa"/>
            </w:tcMar>
            <w:vAlign w:val="center"/>
          </w:tcPr>
          <w:p w14:paraId="0BBCEDEA" w14:textId="77777777" w:rsidR="00807FFE" w:rsidRDefault="00023E71">
            <w:pPr>
              <w:pStyle w:val="DMETW36745BIPUliab"/>
              <w:rPr>
                <w:rFonts w:ascii="Verdana" w:eastAsia="Verdana" w:hAnsi="Verdana" w:cs="Verdana"/>
                <w:b/>
                <w:noProof/>
                <w:color w:val="000000"/>
                <w:sz w:val="18"/>
              </w:rPr>
            </w:pPr>
            <w:r>
              <w:rPr>
                <w:rFonts w:ascii="Verdana" w:eastAsia="Verdana" w:hAnsi="Verdana" w:cs="Verdana"/>
                <w:b/>
                <w:noProof/>
                <w:color w:val="000000"/>
                <w:sz w:val="18"/>
              </w:rPr>
              <w:t>UK Share</w:t>
            </w:r>
          </w:p>
        </w:tc>
        <w:tc>
          <w:tcPr>
            <w:tcW w:w="1523" w:type="dxa"/>
            <w:tcBorders>
              <w:top w:val="nil"/>
              <w:left w:val="nil"/>
              <w:bottom w:val="single" w:sz="12" w:space="0" w:color="016794"/>
              <w:right w:val="nil"/>
              <w:tl2br w:val="nil"/>
              <w:tr2bl w:val="nil"/>
            </w:tcBorders>
            <w:tcMar>
              <w:left w:w="60" w:type="dxa"/>
              <w:right w:w="60" w:type="dxa"/>
            </w:tcMar>
            <w:vAlign w:val="bottom"/>
          </w:tcPr>
          <w:p w14:paraId="69FFDFCE"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8 571</w:t>
            </w:r>
          </w:p>
        </w:tc>
        <w:tc>
          <w:tcPr>
            <w:tcW w:w="1523" w:type="dxa"/>
            <w:tcBorders>
              <w:top w:val="nil"/>
              <w:left w:val="nil"/>
              <w:bottom w:val="single" w:sz="12" w:space="0" w:color="016794"/>
              <w:right w:val="nil"/>
              <w:tl2br w:val="nil"/>
              <w:tr2bl w:val="nil"/>
            </w:tcBorders>
            <w:tcMar>
              <w:left w:w="60" w:type="dxa"/>
              <w:right w:w="60" w:type="dxa"/>
            </w:tcMar>
            <w:vAlign w:val="bottom"/>
          </w:tcPr>
          <w:p w14:paraId="1839CBB6"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 xml:space="preserve"> 538</w:t>
            </w:r>
          </w:p>
        </w:tc>
        <w:tc>
          <w:tcPr>
            <w:tcW w:w="1523" w:type="dxa"/>
            <w:tcBorders>
              <w:top w:val="nil"/>
              <w:left w:val="nil"/>
              <w:bottom w:val="single" w:sz="12" w:space="0" w:color="016794"/>
              <w:right w:val="nil"/>
              <w:tl2br w:val="nil"/>
              <w:tr2bl w:val="nil"/>
            </w:tcBorders>
            <w:tcMar>
              <w:left w:w="60" w:type="dxa"/>
              <w:right w:w="60" w:type="dxa"/>
            </w:tcMar>
            <w:vAlign w:val="bottom"/>
          </w:tcPr>
          <w:p w14:paraId="7C48D1D7"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9 109</w:t>
            </w:r>
          </w:p>
        </w:tc>
        <w:tc>
          <w:tcPr>
            <w:tcW w:w="1249" w:type="dxa"/>
            <w:tcBorders>
              <w:top w:val="nil"/>
              <w:left w:val="nil"/>
              <w:bottom w:val="single" w:sz="12" w:space="0" w:color="000000"/>
              <w:right w:val="nil"/>
              <w:tl2br w:val="nil"/>
              <w:tr2bl w:val="nil"/>
            </w:tcBorders>
            <w:tcMar>
              <w:left w:w="60" w:type="dxa"/>
              <w:right w:w="60" w:type="dxa"/>
            </w:tcMar>
            <w:vAlign w:val="bottom"/>
          </w:tcPr>
          <w:p w14:paraId="10A72550" w14:textId="77777777" w:rsidR="00807FFE" w:rsidRDefault="00023E71">
            <w:pPr>
              <w:pStyle w:val="DMETW36745BIPUliab"/>
              <w:jc w:val="right"/>
              <w:rPr>
                <w:rFonts w:ascii="Verdana" w:eastAsia="Verdana" w:hAnsi="Verdana" w:cs="Verdana"/>
                <w:b/>
                <w:noProof/>
                <w:color w:val="000000"/>
                <w:sz w:val="18"/>
                <w:lang w:bidi="en-GB"/>
              </w:rPr>
            </w:pPr>
            <w:r>
              <w:rPr>
                <w:rFonts w:ascii="Verdana" w:eastAsia="Verdana" w:hAnsi="Verdana" w:cs="Verdana"/>
                <w:b/>
                <w:noProof/>
                <w:color w:val="000000"/>
                <w:sz w:val="18"/>
              </w:rPr>
              <w:t>9 638</w:t>
            </w:r>
          </w:p>
        </w:tc>
      </w:tr>
      <w:tr w:rsidR="00807FFE" w14:paraId="23000CC8" w14:textId="77777777">
        <w:trPr>
          <w:trHeight w:val="255"/>
        </w:trPr>
        <w:tc>
          <w:tcPr>
            <w:tcW w:w="3940" w:type="dxa"/>
            <w:tcBorders>
              <w:top w:val="single" w:sz="12" w:space="0" w:color="016794"/>
              <w:left w:val="nil"/>
              <w:bottom w:val="single" w:sz="12" w:space="0" w:color="016794"/>
              <w:right w:val="nil"/>
              <w:tl2br w:val="nil"/>
              <w:tr2bl w:val="nil"/>
            </w:tcBorders>
            <w:tcMar>
              <w:left w:w="60" w:type="dxa"/>
              <w:right w:w="60" w:type="dxa"/>
            </w:tcMar>
            <w:vAlign w:val="center"/>
          </w:tcPr>
          <w:p w14:paraId="30900AC6" w14:textId="77777777" w:rsidR="00807FFE" w:rsidRDefault="00023E71">
            <w:pPr>
              <w:pStyle w:val="DMETW36745BIPUliab"/>
              <w:rPr>
                <w:rFonts w:ascii="Verdana" w:eastAsia="Verdana" w:hAnsi="Verdana" w:cs="Verdana"/>
                <w:b/>
                <w:noProof/>
                <w:color w:val="000000"/>
                <w:sz w:val="18"/>
              </w:rPr>
            </w:pPr>
            <w:r>
              <w:rPr>
                <w:rFonts w:ascii="Verdana" w:eastAsia="Verdana" w:hAnsi="Verdana" w:cs="Verdana"/>
                <w:b/>
                <w:noProof/>
                <w:color w:val="000000"/>
                <w:sz w:val="18"/>
              </w:rPr>
              <w:t>PSEO/JSIS contributions</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14:paraId="20FA1830"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315</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14:paraId="357E9D24"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12</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14:paraId="555F2E4A"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 xml:space="preserve"> 326</w:t>
            </w:r>
          </w:p>
        </w:tc>
        <w:tc>
          <w:tcPr>
            <w:tcW w:w="1249" w:type="dxa"/>
            <w:tcBorders>
              <w:top w:val="single" w:sz="12" w:space="0" w:color="000000"/>
              <w:left w:val="nil"/>
              <w:bottom w:val="single" w:sz="12" w:space="0" w:color="016794"/>
              <w:right w:val="nil"/>
              <w:tl2br w:val="nil"/>
              <w:tr2bl w:val="nil"/>
            </w:tcBorders>
            <w:tcMar>
              <w:left w:w="60" w:type="dxa"/>
              <w:right w:w="60" w:type="dxa"/>
            </w:tcMar>
            <w:vAlign w:val="bottom"/>
          </w:tcPr>
          <w:p w14:paraId="3F7FC046" w14:textId="77777777" w:rsidR="00807FFE" w:rsidRDefault="00023E71">
            <w:pPr>
              <w:pStyle w:val="DMETW36745BIPUliab"/>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305</w:t>
            </w:r>
          </w:p>
        </w:tc>
      </w:tr>
      <w:tr w:rsidR="00807FFE" w14:paraId="6D3D485B" w14:textId="77777777">
        <w:trPr>
          <w:trHeight w:val="255"/>
        </w:trPr>
        <w:tc>
          <w:tcPr>
            <w:tcW w:w="3940" w:type="dxa"/>
            <w:tcBorders>
              <w:top w:val="single" w:sz="12" w:space="0" w:color="016794"/>
              <w:left w:val="nil"/>
              <w:bottom w:val="single" w:sz="12" w:space="0" w:color="016794"/>
              <w:right w:val="nil"/>
              <w:tl2br w:val="nil"/>
              <w:tr2bl w:val="nil"/>
            </w:tcBorders>
            <w:tcMar>
              <w:left w:w="60" w:type="dxa"/>
              <w:right w:w="60" w:type="dxa"/>
            </w:tcMar>
            <w:vAlign w:val="center"/>
          </w:tcPr>
          <w:p w14:paraId="53F715D8" w14:textId="77777777" w:rsidR="00807FFE" w:rsidRDefault="00023E71">
            <w:pPr>
              <w:pStyle w:val="DMETW36745BIPUliab"/>
              <w:rPr>
                <w:rFonts w:ascii="Verdana" w:eastAsia="Verdana" w:hAnsi="Verdana" w:cs="Verdana"/>
                <w:b/>
                <w:noProof/>
                <w:color w:val="000000"/>
                <w:sz w:val="18"/>
              </w:rPr>
            </w:pPr>
            <w:r>
              <w:rPr>
                <w:rFonts w:ascii="Verdana" w:eastAsia="Verdana" w:hAnsi="Verdana" w:cs="Verdana"/>
                <w:b/>
                <w:noProof/>
                <w:color w:val="000000"/>
                <w:sz w:val="18"/>
              </w:rPr>
              <w:t>Total</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14:paraId="490DDA5B"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8 885</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14:paraId="337EBB90"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 xml:space="preserve"> 550</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14:paraId="1FEE495F" w14:textId="77777777" w:rsidR="00807FFE" w:rsidRDefault="00023E71">
            <w:pPr>
              <w:pStyle w:val="DMETW36745BIPUliab"/>
              <w:jc w:val="right"/>
              <w:rPr>
                <w:rFonts w:ascii="Verdana" w:eastAsia="Verdana" w:hAnsi="Verdana" w:cs="Verdana"/>
                <w:b/>
                <w:noProof/>
                <w:color w:val="000000"/>
                <w:sz w:val="18"/>
              </w:rPr>
            </w:pPr>
            <w:r>
              <w:rPr>
                <w:rFonts w:ascii="Verdana" w:eastAsia="Verdana" w:hAnsi="Verdana" w:cs="Verdana"/>
                <w:b/>
                <w:noProof/>
                <w:color w:val="000000"/>
                <w:sz w:val="18"/>
              </w:rPr>
              <w:t>9 435</w:t>
            </w:r>
          </w:p>
        </w:tc>
        <w:tc>
          <w:tcPr>
            <w:tcW w:w="1249" w:type="dxa"/>
            <w:tcBorders>
              <w:top w:val="single" w:sz="12" w:space="0" w:color="016794"/>
              <w:left w:val="nil"/>
              <w:bottom w:val="single" w:sz="12" w:space="0" w:color="016794"/>
              <w:right w:val="nil"/>
              <w:tl2br w:val="nil"/>
              <w:tr2bl w:val="nil"/>
            </w:tcBorders>
            <w:tcMar>
              <w:left w:w="60" w:type="dxa"/>
              <w:right w:w="60" w:type="dxa"/>
            </w:tcMar>
            <w:vAlign w:val="bottom"/>
          </w:tcPr>
          <w:p w14:paraId="138194FC" w14:textId="77777777" w:rsidR="00807FFE" w:rsidRDefault="00023E71">
            <w:pPr>
              <w:pStyle w:val="DMETW36745BIPUliab"/>
              <w:jc w:val="right"/>
              <w:rPr>
                <w:rFonts w:ascii="Verdana" w:eastAsia="Verdana" w:hAnsi="Verdana" w:cs="Verdana"/>
                <w:b/>
                <w:noProof/>
                <w:color w:val="000000"/>
                <w:sz w:val="18"/>
                <w:lang w:bidi="en-GB"/>
              </w:rPr>
            </w:pPr>
            <w:r>
              <w:rPr>
                <w:rFonts w:ascii="Verdana" w:eastAsia="Verdana" w:hAnsi="Verdana" w:cs="Verdana"/>
                <w:b/>
                <w:noProof/>
                <w:color w:val="000000"/>
                <w:sz w:val="18"/>
              </w:rPr>
              <w:t>9 943</w:t>
            </w:r>
          </w:p>
        </w:tc>
      </w:tr>
      <w:tr w:rsidR="00807FFE" w14:paraId="1D4E4754" w14:textId="77777777">
        <w:trPr>
          <w:trHeight w:val="255"/>
        </w:trPr>
        <w:tc>
          <w:tcPr>
            <w:tcW w:w="3940" w:type="dxa"/>
            <w:tcBorders>
              <w:top w:val="single" w:sz="12" w:space="0" w:color="016794"/>
              <w:left w:val="nil"/>
              <w:bottom w:val="nil"/>
              <w:right w:val="nil"/>
              <w:tl2br w:val="nil"/>
              <w:tr2bl w:val="nil"/>
            </w:tcBorders>
            <w:tcMar>
              <w:left w:w="60" w:type="dxa"/>
              <w:right w:w="60" w:type="dxa"/>
            </w:tcMar>
            <w:vAlign w:val="center"/>
          </w:tcPr>
          <w:p w14:paraId="630DCFD4" w14:textId="77777777" w:rsidR="00807FFE" w:rsidRDefault="00023E71">
            <w:pPr>
              <w:pStyle w:val="DMETW36745BIPUliab"/>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523" w:type="dxa"/>
            <w:tcBorders>
              <w:top w:val="single" w:sz="12" w:space="0" w:color="016794"/>
              <w:left w:val="nil"/>
              <w:bottom w:val="nil"/>
              <w:right w:val="nil"/>
              <w:tl2br w:val="nil"/>
              <w:tr2bl w:val="nil"/>
            </w:tcBorders>
            <w:tcMar>
              <w:left w:w="60" w:type="dxa"/>
              <w:right w:w="60" w:type="dxa"/>
            </w:tcMar>
            <w:vAlign w:val="bottom"/>
          </w:tcPr>
          <w:p w14:paraId="23EAF320" w14:textId="77777777" w:rsidR="00807FFE" w:rsidRDefault="00023E71">
            <w:pPr>
              <w:pStyle w:val="DMETW36745BIPUliab"/>
              <w:jc w:val="right"/>
              <w:rPr>
                <w:rFonts w:ascii="Verdana" w:eastAsia="Verdana" w:hAnsi="Verdana" w:cs="Verdana"/>
                <w:i/>
                <w:noProof/>
                <w:color w:val="016794"/>
                <w:sz w:val="18"/>
              </w:rPr>
            </w:pPr>
            <w:r>
              <w:rPr>
                <w:rFonts w:ascii="Verdana" w:eastAsia="Verdana" w:hAnsi="Verdana" w:cs="Verdana"/>
                <w:i/>
                <w:noProof/>
                <w:color w:val="016794"/>
                <w:sz w:val="18"/>
              </w:rPr>
              <w:t>8 571</w:t>
            </w:r>
          </w:p>
        </w:tc>
        <w:tc>
          <w:tcPr>
            <w:tcW w:w="1523" w:type="dxa"/>
            <w:tcBorders>
              <w:top w:val="single" w:sz="12" w:space="0" w:color="016794"/>
              <w:left w:val="nil"/>
              <w:bottom w:val="nil"/>
              <w:right w:val="nil"/>
              <w:tl2br w:val="nil"/>
              <w:tr2bl w:val="nil"/>
            </w:tcBorders>
            <w:tcMar>
              <w:left w:w="60" w:type="dxa"/>
              <w:right w:w="60" w:type="dxa"/>
            </w:tcMar>
            <w:vAlign w:val="bottom"/>
          </w:tcPr>
          <w:p w14:paraId="077DD6D0" w14:textId="77777777" w:rsidR="00807FFE" w:rsidRDefault="00023E71">
            <w:pPr>
              <w:pStyle w:val="DMETW36745BIPUliab"/>
              <w:jc w:val="right"/>
              <w:rPr>
                <w:rFonts w:ascii="Verdana" w:eastAsia="Verdana" w:hAnsi="Verdana" w:cs="Verdana"/>
                <w:i/>
                <w:noProof/>
                <w:color w:val="016794"/>
                <w:sz w:val="18"/>
              </w:rPr>
            </w:pPr>
            <w:r>
              <w:rPr>
                <w:rFonts w:ascii="Verdana" w:eastAsia="Verdana" w:hAnsi="Verdana" w:cs="Verdana"/>
                <w:i/>
                <w:noProof/>
                <w:color w:val="016794"/>
                <w:sz w:val="18"/>
              </w:rPr>
              <w:t xml:space="preserve"> 538</w:t>
            </w:r>
          </w:p>
        </w:tc>
        <w:tc>
          <w:tcPr>
            <w:tcW w:w="1523" w:type="dxa"/>
            <w:tcBorders>
              <w:top w:val="single" w:sz="12" w:space="0" w:color="016794"/>
              <w:left w:val="nil"/>
              <w:bottom w:val="nil"/>
              <w:right w:val="nil"/>
              <w:tl2br w:val="nil"/>
              <w:tr2bl w:val="nil"/>
            </w:tcBorders>
            <w:tcMar>
              <w:left w:w="60" w:type="dxa"/>
              <w:right w:w="60" w:type="dxa"/>
            </w:tcMar>
            <w:vAlign w:val="bottom"/>
          </w:tcPr>
          <w:p w14:paraId="01A6A848" w14:textId="77777777" w:rsidR="00807FFE" w:rsidRDefault="00023E71">
            <w:pPr>
              <w:pStyle w:val="DMETW36745BIPUliab"/>
              <w:jc w:val="right"/>
              <w:rPr>
                <w:rFonts w:ascii="Verdana" w:eastAsia="Verdana" w:hAnsi="Verdana" w:cs="Verdana"/>
                <w:i/>
                <w:noProof/>
                <w:color w:val="016794"/>
                <w:sz w:val="18"/>
              </w:rPr>
            </w:pPr>
            <w:r>
              <w:rPr>
                <w:rFonts w:ascii="Verdana" w:eastAsia="Verdana" w:hAnsi="Verdana" w:cs="Verdana"/>
                <w:i/>
                <w:noProof/>
                <w:color w:val="016794"/>
                <w:sz w:val="18"/>
              </w:rPr>
              <w:t>9 109</w:t>
            </w:r>
          </w:p>
        </w:tc>
        <w:tc>
          <w:tcPr>
            <w:tcW w:w="1249" w:type="dxa"/>
            <w:tcBorders>
              <w:top w:val="single" w:sz="12" w:space="0" w:color="016794"/>
              <w:left w:val="nil"/>
              <w:bottom w:val="nil"/>
              <w:right w:val="nil"/>
              <w:tl2br w:val="nil"/>
              <w:tr2bl w:val="nil"/>
            </w:tcBorders>
            <w:tcMar>
              <w:left w:w="60" w:type="dxa"/>
              <w:right w:w="60" w:type="dxa"/>
            </w:tcMar>
            <w:vAlign w:val="bottom"/>
          </w:tcPr>
          <w:p w14:paraId="719286E7" w14:textId="77777777" w:rsidR="00807FFE" w:rsidRDefault="00023E71">
            <w:pPr>
              <w:pStyle w:val="DMETW36745BIPUliab"/>
              <w:jc w:val="right"/>
              <w:rPr>
                <w:rFonts w:ascii="Verdana" w:eastAsia="Verdana" w:hAnsi="Verdana" w:cs="Verdana"/>
                <w:i/>
                <w:noProof/>
                <w:color w:val="016794"/>
                <w:sz w:val="18"/>
                <w:lang w:bidi="en-GB"/>
              </w:rPr>
            </w:pPr>
            <w:r>
              <w:rPr>
                <w:rFonts w:ascii="Verdana" w:eastAsia="Verdana" w:hAnsi="Verdana" w:cs="Verdana"/>
                <w:i/>
                <w:noProof/>
                <w:color w:val="016794"/>
                <w:sz w:val="18"/>
              </w:rPr>
              <w:t>9 638</w:t>
            </w:r>
          </w:p>
        </w:tc>
      </w:tr>
      <w:tr w:rsidR="00807FFE" w14:paraId="656D89C6" w14:textId="77777777">
        <w:trPr>
          <w:trHeight w:val="255"/>
        </w:trPr>
        <w:tc>
          <w:tcPr>
            <w:tcW w:w="3940" w:type="dxa"/>
            <w:tcBorders>
              <w:top w:val="nil"/>
              <w:left w:val="nil"/>
              <w:bottom w:val="nil"/>
              <w:right w:val="nil"/>
              <w:tl2br w:val="nil"/>
              <w:tr2bl w:val="nil"/>
            </w:tcBorders>
            <w:tcMar>
              <w:left w:w="60" w:type="dxa"/>
              <w:right w:w="60" w:type="dxa"/>
            </w:tcMar>
            <w:vAlign w:val="center"/>
          </w:tcPr>
          <w:p w14:paraId="5F1326D3" w14:textId="77777777" w:rsidR="00807FFE" w:rsidRDefault="00023E71">
            <w:pPr>
              <w:pStyle w:val="DMETW36745BIPUliab"/>
              <w:rPr>
                <w:rFonts w:ascii="Verdana" w:eastAsia="Verdana" w:hAnsi="Verdana" w:cs="Verdana"/>
                <w:i/>
                <w:noProof/>
                <w:color w:val="016794"/>
                <w:sz w:val="18"/>
              </w:rPr>
            </w:pPr>
            <w:r>
              <w:rPr>
                <w:rFonts w:ascii="Verdana" w:eastAsia="Verdana" w:hAnsi="Verdana" w:cs="Verdana"/>
                <w:i/>
                <w:noProof/>
                <w:color w:val="016794"/>
                <w:sz w:val="18"/>
              </w:rPr>
              <w:t>Current</w:t>
            </w:r>
          </w:p>
        </w:tc>
        <w:tc>
          <w:tcPr>
            <w:tcW w:w="1523" w:type="dxa"/>
            <w:tcBorders>
              <w:top w:val="nil"/>
              <w:left w:val="nil"/>
              <w:bottom w:val="nil"/>
              <w:right w:val="nil"/>
              <w:tl2br w:val="nil"/>
              <w:tr2bl w:val="nil"/>
            </w:tcBorders>
            <w:tcMar>
              <w:left w:w="60" w:type="dxa"/>
              <w:right w:w="60" w:type="dxa"/>
            </w:tcMar>
            <w:vAlign w:val="bottom"/>
          </w:tcPr>
          <w:p w14:paraId="7CC5472A" w14:textId="77777777" w:rsidR="00807FFE" w:rsidRDefault="00023E71">
            <w:pPr>
              <w:pStyle w:val="DMETW36745BIPUliab"/>
              <w:jc w:val="right"/>
              <w:rPr>
                <w:rFonts w:ascii="Verdana" w:eastAsia="Verdana" w:hAnsi="Verdana" w:cs="Verdana"/>
                <w:i/>
                <w:noProof/>
                <w:color w:val="016794"/>
                <w:sz w:val="18"/>
              </w:rPr>
            </w:pPr>
            <w:r>
              <w:rPr>
                <w:rFonts w:ascii="Verdana" w:eastAsia="Verdana" w:hAnsi="Verdana" w:cs="Verdana"/>
                <w:i/>
                <w:noProof/>
                <w:color w:val="016794"/>
                <w:sz w:val="18"/>
              </w:rPr>
              <w:t xml:space="preserve"> 315</w:t>
            </w:r>
          </w:p>
        </w:tc>
        <w:tc>
          <w:tcPr>
            <w:tcW w:w="1523" w:type="dxa"/>
            <w:tcBorders>
              <w:top w:val="nil"/>
              <w:left w:val="nil"/>
              <w:bottom w:val="nil"/>
              <w:right w:val="nil"/>
              <w:tl2br w:val="nil"/>
              <w:tr2bl w:val="nil"/>
            </w:tcBorders>
            <w:tcMar>
              <w:left w:w="60" w:type="dxa"/>
              <w:right w:w="60" w:type="dxa"/>
            </w:tcMar>
            <w:vAlign w:val="bottom"/>
          </w:tcPr>
          <w:p w14:paraId="37480048" w14:textId="77777777" w:rsidR="00807FFE" w:rsidRDefault="00023E71">
            <w:pPr>
              <w:pStyle w:val="DMETW36745BIPUliab"/>
              <w:jc w:val="right"/>
              <w:rPr>
                <w:rFonts w:ascii="Verdana" w:eastAsia="Verdana" w:hAnsi="Verdana" w:cs="Verdana"/>
                <w:i/>
                <w:noProof/>
                <w:color w:val="016794"/>
                <w:sz w:val="18"/>
              </w:rPr>
            </w:pPr>
            <w:r>
              <w:rPr>
                <w:rFonts w:ascii="Verdana" w:eastAsia="Verdana" w:hAnsi="Verdana" w:cs="Verdana"/>
                <w:i/>
                <w:noProof/>
                <w:color w:val="016794"/>
                <w:sz w:val="18"/>
              </w:rPr>
              <w:t xml:space="preserve"> 12</w:t>
            </w:r>
          </w:p>
        </w:tc>
        <w:tc>
          <w:tcPr>
            <w:tcW w:w="1523" w:type="dxa"/>
            <w:tcBorders>
              <w:top w:val="nil"/>
              <w:left w:val="nil"/>
              <w:bottom w:val="nil"/>
              <w:right w:val="nil"/>
              <w:tl2br w:val="nil"/>
              <w:tr2bl w:val="nil"/>
            </w:tcBorders>
            <w:tcMar>
              <w:left w:w="60" w:type="dxa"/>
              <w:right w:w="60" w:type="dxa"/>
            </w:tcMar>
            <w:vAlign w:val="bottom"/>
          </w:tcPr>
          <w:p w14:paraId="603FA4E5" w14:textId="77777777" w:rsidR="00807FFE" w:rsidRDefault="00023E71">
            <w:pPr>
              <w:pStyle w:val="DMETW36745BIPUliab"/>
              <w:jc w:val="right"/>
              <w:rPr>
                <w:rFonts w:ascii="Verdana" w:eastAsia="Verdana" w:hAnsi="Verdana" w:cs="Verdana"/>
                <w:i/>
                <w:noProof/>
                <w:color w:val="016794"/>
                <w:sz w:val="18"/>
              </w:rPr>
            </w:pPr>
            <w:r>
              <w:rPr>
                <w:rFonts w:ascii="Verdana" w:eastAsia="Verdana" w:hAnsi="Verdana" w:cs="Verdana"/>
                <w:i/>
                <w:noProof/>
                <w:color w:val="016794"/>
                <w:sz w:val="18"/>
              </w:rPr>
              <w:t xml:space="preserve"> 326</w:t>
            </w:r>
          </w:p>
        </w:tc>
        <w:tc>
          <w:tcPr>
            <w:tcW w:w="1249" w:type="dxa"/>
            <w:tcBorders>
              <w:top w:val="nil"/>
              <w:left w:val="nil"/>
              <w:bottom w:val="nil"/>
              <w:right w:val="nil"/>
              <w:tl2br w:val="nil"/>
              <w:tr2bl w:val="nil"/>
            </w:tcBorders>
            <w:tcMar>
              <w:left w:w="60" w:type="dxa"/>
              <w:right w:w="60" w:type="dxa"/>
            </w:tcMar>
            <w:vAlign w:val="bottom"/>
          </w:tcPr>
          <w:p w14:paraId="04A5BDC3" w14:textId="77777777" w:rsidR="00807FFE" w:rsidRDefault="00023E71">
            <w:pPr>
              <w:pStyle w:val="DMETW36745BIPUliab"/>
              <w:jc w:val="right"/>
              <w:rPr>
                <w:rFonts w:ascii="Verdana" w:eastAsia="Verdana" w:hAnsi="Verdana" w:cs="Verdana"/>
                <w:i/>
                <w:noProof/>
                <w:color w:val="016794"/>
                <w:sz w:val="18"/>
              </w:rPr>
            </w:pPr>
            <w:r>
              <w:rPr>
                <w:rFonts w:ascii="Verdana" w:eastAsia="Verdana" w:hAnsi="Verdana" w:cs="Verdana"/>
                <w:i/>
                <w:noProof/>
                <w:color w:val="016794"/>
                <w:sz w:val="18"/>
              </w:rPr>
              <w:t xml:space="preserve"> 305</w:t>
            </w:r>
          </w:p>
        </w:tc>
      </w:tr>
    </w:tbl>
    <w:p w14:paraId="364B6A04" w14:textId="77777777" w:rsidR="00223A7D" w:rsidRDefault="00023E71" w:rsidP="00223A7D">
      <w:pPr>
        <w:pStyle w:val="DGTextstand-alone"/>
      </w:pPr>
      <w:r>
        <w:t>According to the default payment mode laid out in Article 142</w:t>
      </w:r>
      <w:r w:rsidR="00622034">
        <w:t> </w:t>
      </w:r>
      <w:r>
        <w:t xml:space="preserve">(6), the UK </w:t>
      </w:r>
      <w:r w:rsidRPr="009F301A">
        <w:t>contribute</w:t>
      </w:r>
      <w:r>
        <w:t>s</w:t>
      </w:r>
      <w:r w:rsidRPr="009F301A">
        <w:t xml:space="preserve"> annually to the net payments made from the Union budget </w:t>
      </w:r>
      <w:r>
        <w:t xml:space="preserve">in the preceding year </w:t>
      </w:r>
      <w:r w:rsidRPr="009F301A">
        <w:t xml:space="preserve">to each beneficiary </w:t>
      </w:r>
      <w:r>
        <w:t xml:space="preserve">of the Pension Scheme of European Officials (PSEO) </w:t>
      </w:r>
      <w:r w:rsidRPr="009F301A">
        <w:t xml:space="preserve">and to the related contribution of the Union budget to the </w:t>
      </w:r>
      <w:r>
        <w:t>Joint Sickness Insurance Scheme (</w:t>
      </w:r>
      <w:r w:rsidRPr="009F301A">
        <w:t>JSIS</w:t>
      </w:r>
      <w:r>
        <w:t>)</w:t>
      </w:r>
      <w:r w:rsidRPr="009F301A">
        <w:t xml:space="preserve"> for each beneficiary or person who benefits through a beneficiary</w:t>
      </w:r>
      <w:r>
        <w:t xml:space="preserve">. The </w:t>
      </w:r>
      <w:r w:rsidR="00622034">
        <w:t xml:space="preserve">contributions are payable </w:t>
      </w:r>
      <w:r w:rsidRPr="00536E17">
        <w:t xml:space="preserve">in </w:t>
      </w:r>
      <w:r>
        <w:t xml:space="preserve">four </w:t>
      </w:r>
      <w:r w:rsidRPr="00536E17">
        <w:t>monthly in</w:t>
      </w:r>
      <w:r>
        <w:t>s</w:t>
      </w:r>
      <w:r w:rsidRPr="00536E17">
        <w:t xml:space="preserve">talments from </w:t>
      </w:r>
      <w:r>
        <w:t xml:space="preserve">June </w:t>
      </w:r>
      <w:r w:rsidRPr="00536E17">
        <w:t xml:space="preserve">to </w:t>
      </w:r>
      <w:r>
        <w:t xml:space="preserve">September of the respective </w:t>
      </w:r>
      <w:r w:rsidRPr="00536E17">
        <w:t>year</w:t>
      </w:r>
      <w:r>
        <w:t>.</w:t>
      </w:r>
    </w:p>
    <w:p w14:paraId="062EE350" w14:textId="77777777" w:rsidR="00223A7D" w:rsidRPr="000C0667" w:rsidRDefault="00023E71" w:rsidP="00223A7D">
      <w:pPr>
        <w:pStyle w:val="DGTextstand-alone"/>
      </w:pPr>
      <w:r w:rsidRPr="004C06F3">
        <w:t>The UK</w:t>
      </w:r>
      <w:r>
        <w:t>’s</w:t>
      </w:r>
      <w:r w:rsidRPr="004C06F3">
        <w:t xml:space="preserve"> share of the net payments made from the Union budget in 202</w:t>
      </w:r>
      <w:r w:rsidR="00A71EC2">
        <w:t>5</w:t>
      </w:r>
      <w:r w:rsidRPr="004C06F3">
        <w:t xml:space="preserve"> to the beneficiaries of the PSEO and to JSIS amounted to EUR </w:t>
      </w:r>
      <w:r w:rsidR="00A71EC2">
        <w:t>315</w:t>
      </w:r>
      <w:r w:rsidRPr="004C06F3">
        <w:t xml:space="preserve"> million and EUR </w:t>
      </w:r>
      <w:r w:rsidR="00A2089F" w:rsidRPr="004C06F3">
        <w:t>1</w:t>
      </w:r>
      <w:r w:rsidR="00A71EC2">
        <w:t>2</w:t>
      </w:r>
      <w:r w:rsidRPr="004C06F3">
        <w:t xml:space="preserve"> million, respectively. These amounts </w:t>
      </w:r>
      <w:r w:rsidRPr="00795038">
        <w:rPr>
          <w:color w:val="000000" w:themeColor="text1"/>
        </w:rPr>
        <w:t xml:space="preserve">were </w:t>
      </w:r>
      <w:r w:rsidRPr="004C06F3">
        <w:t>communicated to the UK as part of the April 202</w:t>
      </w:r>
      <w:r w:rsidR="00A71EC2">
        <w:t>6</w:t>
      </w:r>
      <w:r w:rsidRPr="004C06F3">
        <w:t xml:space="preserve"> invoice (and thus </w:t>
      </w:r>
      <w:r w:rsidR="00A71EC2">
        <w:t xml:space="preserve">will be </w:t>
      </w:r>
      <w:r w:rsidRPr="004C06F3">
        <w:t xml:space="preserve">payable </w:t>
      </w:r>
      <w:r w:rsidR="004C06F3">
        <w:t xml:space="preserve">by the UK </w:t>
      </w:r>
      <w:r w:rsidRPr="004C06F3">
        <w:t xml:space="preserve">in four equal monthly instalments in the period </w:t>
      </w:r>
      <w:r>
        <w:t xml:space="preserve">from </w:t>
      </w:r>
      <w:r w:rsidRPr="004C06F3">
        <w:t>June to September 202</w:t>
      </w:r>
      <w:r w:rsidR="00A71EC2">
        <w:t>6</w:t>
      </w:r>
      <w:r w:rsidRPr="004C06F3">
        <w:t>).</w:t>
      </w:r>
    </w:p>
    <w:p w14:paraId="4FD32EF5" w14:textId="77777777" w:rsidR="00425188" w:rsidRDefault="00023E71" w:rsidP="00F52BB5">
      <w:pPr>
        <w:pStyle w:val="DGTextstand-alone"/>
        <w:spacing w:after="120"/>
      </w:pPr>
      <w:r w:rsidRPr="004C06F3">
        <w:t>In addition, at 31 December 202</w:t>
      </w:r>
      <w:r w:rsidR="00A71EC2">
        <w:t>5</w:t>
      </w:r>
      <w:r w:rsidRPr="004C06F3">
        <w:t xml:space="preserve"> the outstanding 2020 UK liabilities under Article 142</w:t>
      </w:r>
      <w:r w:rsidR="005F10E8" w:rsidRPr="004C06F3">
        <w:t> </w:t>
      </w:r>
      <w:r w:rsidRPr="004C06F3">
        <w:t xml:space="preserve">(6), relating to the PSEO and the JSIS amounted to EUR </w:t>
      </w:r>
      <w:r w:rsidR="00A71EC2">
        <w:t>8 571</w:t>
      </w:r>
      <w:r w:rsidR="00514603" w:rsidRPr="004C06F3">
        <w:t xml:space="preserve"> </w:t>
      </w:r>
      <w:r w:rsidRPr="004C06F3">
        <w:t xml:space="preserve">million and EUR </w:t>
      </w:r>
      <w:r w:rsidR="00134EFB">
        <w:t>538</w:t>
      </w:r>
      <w:r w:rsidRPr="004C06F3">
        <w:t xml:space="preserve"> million, respectively (202</w:t>
      </w:r>
      <w:r w:rsidR="00A71EC2">
        <w:t>4</w:t>
      </w:r>
      <w:r w:rsidRPr="004C06F3">
        <w:t xml:space="preserve">: EUR </w:t>
      </w:r>
      <w:r w:rsidR="00A71EC2">
        <w:t>9</w:t>
      </w:r>
      <w:r>
        <w:t> </w:t>
      </w:r>
      <w:r w:rsidR="00A71EC2">
        <w:t>023</w:t>
      </w:r>
      <w:r w:rsidRPr="004C06F3">
        <w:t xml:space="preserve"> million and EUR </w:t>
      </w:r>
      <w:r w:rsidR="00A71EC2">
        <w:t>615</w:t>
      </w:r>
      <w:r w:rsidRPr="004C06F3">
        <w:t xml:space="preserve"> million). It is noted that while </w:t>
      </w:r>
      <w:r w:rsidR="00D54E80" w:rsidRPr="004C06F3">
        <w:t>actuar</w:t>
      </w:r>
      <w:r w:rsidR="00224283" w:rsidRPr="004C06F3">
        <w:t xml:space="preserve">ial </w:t>
      </w:r>
      <w:r w:rsidRPr="004C06F3">
        <w:t>losses</w:t>
      </w:r>
      <w:r w:rsidR="00622034" w:rsidRPr="004C06F3">
        <w:t xml:space="preserve"> (or </w:t>
      </w:r>
      <w:r w:rsidRPr="004C06F3">
        <w:t>gains</w:t>
      </w:r>
      <w:r w:rsidR="00622034" w:rsidRPr="004C06F3">
        <w:t>)</w:t>
      </w:r>
      <w:r w:rsidR="007B24EA" w:rsidRPr="004C06F3">
        <w:t xml:space="preserve"> </w:t>
      </w:r>
      <w:r w:rsidR="00224283" w:rsidRPr="004C06F3">
        <w:t xml:space="preserve">from changes in </w:t>
      </w:r>
      <w:r w:rsidR="00D30506" w:rsidRPr="004C06F3">
        <w:t xml:space="preserve">actuarial </w:t>
      </w:r>
      <w:r w:rsidR="00224283" w:rsidRPr="004C06F3">
        <w:t xml:space="preserve">assumptions </w:t>
      </w:r>
      <w:r w:rsidRPr="004C06F3">
        <w:t xml:space="preserve">impact the present value of the outstanding 2020 liabilities calculated on the basis of IPSAS 39/EAR 12, </w:t>
      </w:r>
      <w:r w:rsidR="00622034" w:rsidRPr="004C06F3">
        <w:t xml:space="preserve">they </w:t>
      </w:r>
      <w:r w:rsidRPr="004C06F3">
        <w:t>do not change either the amount of benefits that will have to be actually paid</w:t>
      </w:r>
      <w:r w:rsidR="00D54E80" w:rsidRPr="004C06F3">
        <w:t xml:space="preserve"> by the EU, </w:t>
      </w:r>
      <w:r w:rsidRPr="004C06F3">
        <w:t xml:space="preserve">or, by implication, the UK contributions to these payments as due under the default settlement mechanism </w:t>
      </w:r>
      <w:r>
        <w:t>set out in</w:t>
      </w:r>
      <w:r w:rsidRPr="004C06F3">
        <w:t xml:space="preserve"> Article 142 (6).</w:t>
      </w:r>
    </w:p>
    <w:p w14:paraId="73BD3E00" w14:textId="77777777" w:rsidR="00223A7D" w:rsidRPr="00C9074B" w:rsidRDefault="00023E71" w:rsidP="00F52BB5">
      <w:pPr>
        <w:pStyle w:val="Textstand-alone"/>
        <w:spacing w:before="120" w:after="120"/>
        <w:rPr>
          <w:i/>
          <w:color w:val="016794"/>
        </w:rPr>
      </w:pPr>
      <w:r w:rsidRPr="00C9074B">
        <w:rPr>
          <w:i/>
          <w:color w:val="016794"/>
        </w:rPr>
        <w:t>Outstanding 2020 liabil</w:t>
      </w:r>
      <w:r>
        <w:rPr>
          <w:i/>
          <w:color w:val="016794"/>
        </w:rPr>
        <w:t>i</w:t>
      </w:r>
      <w:r w:rsidRPr="00C9074B">
        <w:rPr>
          <w:i/>
          <w:color w:val="016794"/>
        </w:rPr>
        <w:t>ties under Article 142 (</w:t>
      </w:r>
      <w:r>
        <w:rPr>
          <w:i/>
          <w:color w:val="016794"/>
        </w:rPr>
        <w:t>5</w:t>
      </w:r>
      <w:r w:rsidRPr="00C9074B">
        <w:rPr>
          <w:i/>
          <w:color w:val="016794"/>
        </w:rPr>
        <w:t>)</w:t>
      </w:r>
    </w:p>
    <w:p w14:paraId="3E006D67" w14:textId="77777777" w:rsidR="00AE7B7D" w:rsidRDefault="00023E71" w:rsidP="00AE7B7D">
      <w:pPr>
        <w:pStyle w:val="DGTextstand-alone"/>
        <w:rPr>
          <w:strike/>
        </w:rPr>
      </w:pPr>
      <w:r>
        <w:t>According to Article 142 (5), the UK contributes to the liabilities relating to the other retirement (pension) schemes as they were recorded in the consolidated EU accounts for the 2020 financial year in 10 instalments starting on 31 October 2021 (with each annual instalment payable in eight monthly instalments from October to May the following year). These liabilities in the consolidated annual accounts of the Union for the 2020 financial year amounted to EUR 2 344 billion, resulting in a UK share at 31 December 2020 of EUR 291 million. Taking into account the amounts received from the UK up until the end of 202</w:t>
      </w:r>
      <w:r w:rsidR="00404E53">
        <w:t>5</w:t>
      </w:r>
      <w:r>
        <w:t>, totalling EUR 127 million, the outstanding UK’s share of the other retirement (pension) schemes had decreased to EUR 164 million at 31 December 2025, of which EUR 29 million is to be paid within the 12 months following the year-end</w:t>
      </w:r>
      <w:r w:rsidRPr="004C06F3">
        <w:t>.</w:t>
      </w:r>
    </w:p>
    <w:p w14:paraId="3171D55F" w14:textId="77777777" w:rsidR="00223A7D" w:rsidRDefault="00023E71" w:rsidP="00223A7D">
      <w:pPr>
        <w:pStyle w:val="DGTextstand-alone"/>
      </w:pPr>
      <w:r w:rsidRPr="002E007F">
        <w:t xml:space="preserve">For more information regarding the employee benefit </w:t>
      </w:r>
      <w:r>
        <w:t>schemes</w:t>
      </w:r>
      <w:r w:rsidRPr="002E007F">
        <w:t xml:space="preserve">, please see </w:t>
      </w:r>
      <w:r>
        <w:t>N</w:t>
      </w:r>
      <w:r w:rsidRPr="002E007F">
        <w:t xml:space="preserve">ote </w:t>
      </w:r>
      <w:r w:rsidRPr="00273632">
        <w:rPr>
          <w:b/>
        </w:rPr>
        <w:t>1.5.10</w:t>
      </w:r>
      <w:r>
        <w:t xml:space="preserve"> and Note </w:t>
      </w:r>
      <w:r w:rsidRPr="002E007F">
        <w:rPr>
          <w:b/>
        </w:rPr>
        <w:t>2.9</w:t>
      </w:r>
      <w:r w:rsidRPr="001855E6">
        <w:t>.</w:t>
      </w:r>
    </w:p>
    <w:p w14:paraId="771365E4" w14:textId="77777777" w:rsidR="00BB2A4D" w:rsidRDefault="00023E71" w:rsidP="00622034">
      <w:pPr>
        <w:pStyle w:val="Textstand-alone"/>
        <w:spacing w:after="0"/>
        <w:rPr>
          <w:color w:val="016794"/>
        </w:rPr>
      </w:pPr>
      <w:r w:rsidRPr="00A7502B">
        <w:rPr>
          <w:color w:val="016794"/>
        </w:rPr>
        <w:t>Other a</w:t>
      </w:r>
      <w:r>
        <w:rPr>
          <w:color w:val="016794"/>
        </w:rPr>
        <w:t>rticle</w:t>
      </w:r>
      <w:r w:rsidRPr="00A7502B">
        <w:rPr>
          <w:color w:val="016794"/>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2114"/>
        <w:gridCol w:w="2114"/>
      </w:tblGrid>
      <w:tr w:rsidR="00807FFE" w14:paraId="1A605A17" w14:textId="77777777">
        <w:trPr>
          <w:trHeight w:val="255"/>
        </w:trPr>
        <w:tc>
          <w:tcPr>
            <w:tcW w:w="5530" w:type="dxa"/>
            <w:tcBorders>
              <w:top w:val="nil"/>
              <w:left w:val="nil"/>
              <w:bottom w:val="nil"/>
              <w:right w:val="nil"/>
              <w:tl2br w:val="nil"/>
              <w:tr2bl w:val="nil"/>
            </w:tcBorders>
            <w:tcMar>
              <w:left w:w="60" w:type="dxa"/>
              <w:right w:w="60" w:type="dxa"/>
            </w:tcMar>
            <w:vAlign w:val="bottom"/>
          </w:tcPr>
          <w:p w14:paraId="3E38C780" w14:textId="77777777" w:rsidR="00807FFE" w:rsidRDefault="00807FFE">
            <w:pPr>
              <w:pStyle w:val="DMETW36745BIPOthAm"/>
              <w:rPr>
                <w:rFonts w:ascii="Arial" w:eastAsia="Arial" w:hAnsi="Arial" w:cs="Arial"/>
                <w:noProof/>
                <w:color w:val="000000"/>
                <w:lang w:bidi="en-GB"/>
              </w:rPr>
            </w:pPr>
            <w:bookmarkStart w:id="131" w:name="DOC_TBL00037_1_1"/>
            <w:bookmarkEnd w:id="131"/>
          </w:p>
        </w:tc>
        <w:tc>
          <w:tcPr>
            <w:tcW w:w="2114" w:type="dxa"/>
            <w:tcBorders>
              <w:top w:val="nil"/>
              <w:left w:val="nil"/>
              <w:bottom w:val="nil"/>
              <w:right w:val="nil"/>
              <w:tl2br w:val="nil"/>
              <w:tr2bl w:val="nil"/>
            </w:tcBorders>
            <w:tcMar>
              <w:left w:w="60" w:type="dxa"/>
              <w:right w:w="60" w:type="dxa"/>
            </w:tcMar>
            <w:vAlign w:val="bottom"/>
          </w:tcPr>
          <w:p w14:paraId="234A5417" w14:textId="77777777" w:rsidR="00807FFE" w:rsidRDefault="00807FFE">
            <w:pPr>
              <w:pStyle w:val="DMETW36745BIPOthAm"/>
              <w:rPr>
                <w:rFonts w:cs="Calibri"/>
                <w:noProof/>
                <w:color w:val="000000"/>
                <w:sz w:val="22"/>
              </w:rPr>
            </w:pPr>
          </w:p>
        </w:tc>
        <w:tc>
          <w:tcPr>
            <w:tcW w:w="2114" w:type="dxa"/>
            <w:tcBorders>
              <w:top w:val="nil"/>
              <w:left w:val="nil"/>
              <w:bottom w:val="nil"/>
              <w:right w:val="nil"/>
              <w:tl2br w:val="nil"/>
              <w:tr2bl w:val="nil"/>
            </w:tcBorders>
            <w:tcMar>
              <w:left w:w="60" w:type="dxa"/>
              <w:right w:w="60" w:type="dxa"/>
            </w:tcMar>
            <w:vAlign w:val="bottom"/>
          </w:tcPr>
          <w:p w14:paraId="7588C0FB" w14:textId="77777777" w:rsidR="00807FFE" w:rsidRDefault="00023E71">
            <w:pPr>
              <w:pStyle w:val="DMETW36745BIPOthAm"/>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4206D3A" w14:textId="77777777">
        <w:trPr>
          <w:trHeight w:val="255"/>
        </w:trPr>
        <w:tc>
          <w:tcPr>
            <w:tcW w:w="5530" w:type="dxa"/>
            <w:tcBorders>
              <w:top w:val="nil"/>
              <w:left w:val="nil"/>
              <w:bottom w:val="nil"/>
              <w:right w:val="nil"/>
              <w:tl2br w:val="nil"/>
              <w:tr2bl w:val="nil"/>
            </w:tcBorders>
            <w:shd w:val="solid" w:color="016794" w:fill="FFFFFF"/>
            <w:tcMar>
              <w:left w:w="60" w:type="dxa"/>
              <w:right w:w="60" w:type="dxa"/>
            </w:tcMar>
            <w:vAlign w:val="center"/>
          </w:tcPr>
          <w:p w14:paraId="7D6CF666" w14:textId="77777777" w:rsidR="00807FFE" w:rsidRDefault="00807FFE">
            <w:pPr>
              <w:pStyle w:val="DMETW36745BIPOthAm"/>
              <w:jc w:val="center"/>
              <w:rPr>
                <w:rFonts w:ascii="Verdana" w:eastAsia="Verdana" w:hAnsi="Verdana" w:cs="Verdana"/>
                <w:noProof/>
                <w:color w:val="FFFFFF"/>
              </w:rPr>
            </w:pPr>
          </w:p>
        </w:tc>
        <w:tc>
          <w:tcPr>
            <w:tcW w:w="2114" w:type="dxa"/>
            <w:tcBorders>
              <w:top w:val="nil"/>
              <w:left w:val="nil"/>
              <w:bottom w:val="nil"/>
              <w:right w:val="nil"/>
              <w:tl2br w:val="nil"/>
              <w:tr2bl w:val="nil"/>
            </w:tcBorders>
            <w:shd w:val="solid" w:color="016794" w:fill="FFFFFF"/>
            <w:tcMar>
              <w:left w:w="60" w:type="dxa"/>
              <w:right w:w="60" w:type="dxa"/>
            </w:tcMar>
            <w:vAlign w:val="center"/>
          </w:tcPr>
          <w:p w14:paraId="5835A349" w14:textId="77777777" w:rsidR="00807FFE" w:rsidRDefault="00023E71">
            <w:pPr>
              <w:pStyle w:val="DMETW36745BIPOthAm"/>
              <w:jc w:val="right"/>
              <w:rPr>
                <w:rFonts w:ascii="Verdana" w:eastAsia="Verdana" w:hAnsi="Verdana" w:cs="Verdana"/>
                <w:noProof/>
                <w:color w:val="FFFFFF"/>
              </w:rPr>
            </w:pPr>
            <w:r>
              <w:rPr>
                <w:rFonts w:ascii="Verdana" w:eastAsia="Verdana" w:hAnsi="Verdana" w:cs="Verdana"/>
                <w:noProof/>
                <w:color w:val="FFFFFF"/>
              </w:rPr>
              <w:t>31.12.2025</w:t>
            </w:r>
          </w:p>
        </w:tc>
        <w:tc>
          <w:tcPr>
            <w:tcW w:w="2114" w:type="dxa"/>
            <w:tcBorders>
              <w:top w:val="nil"/>
              <w:left w:val="nil"/>
              <w:bottom w:val="nil"/>
              <w:right w:val="nil"/>
              <w:tl2br w:val="nil"/>
              <w:tr2bl w:val="nil"/>
            </w:tcBorders>
            <w:shd w:val="solid" w:color="016794" w:fill="FFFFFF"/>
            <w:tcMar>
              <w:left w:w="60" w:type="dxa"/>
              <w:right w:w="60" w:type="dxa"/>
            </w:tcMar>
            <w:vAlign w:val="center"/>
          </w:tcPr>
          <w:p w14:paraId="1CC607A8" w14:textId="77777777" w:rsidR="00807FFE" w:rsidRDefault="00023E71">
            <w:pPr>
              <w:pStyle w:val="DMETW36745BIPOthAm"/>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62072535" w14:textId="77777777">
        <w:trPr>
          <w:trHeight w:val="255"/>
        </w:trPr>
        <w:tc>
          <w:tcPr>
            <w:tcW w:w="5530" w:type="dxa"/>
            <w:tcBorders>
              <w:top w:val="nil"/>
              <w:left w:val="nil"/>
              <w:bottom w:val="nil"/>
              <w:right w:val="nil"/>
              <w:tl2br w:val="nil"/>
              <w:tr2bl w:val="nil"/>
            </w:tcBorders>
            <w:tcMar>
              <w:left w:w="60" w:type="dxa"/>
              <w:right w:w="60" w:type="dxa"/>
            </w:tcMar>
            <w:vAlign w:val="center"/>
          </w:tcPr>
          <w:p w14:paraId="1B0B48ED" w14:textId="77777777" w:rsidR="00807FFE" w:rsidRDefault="00023E71">
            <w:pPr>
              <w:pStyle w:val="DMETW36745BIPOthAm"/>
              <w:rPr>
                <w:rFonts w:ascii="Verdana" w:eastAsia="Verdana" w:hAnsi="Verdana" w:cs="Verdana"/>
                <w:b/>
                <w:noProof/>
                <w:color w:val="000000"/>
                <w:sz w:val="18"/>
              </w:rPr>
            </w:pPr>
            <w:r>
              <w:rPr>
                <w:rFonts w:ascii="Verdana" w:eastAsia="Verdana" w:hAnsi="Verdana" w:cs="Verdana"/>
                <w:b/>
                <w:noProof/>
                <w:color w:val="000000"/>
                <w:sz w:val="18"/>
              </w:rPr>
              <w:t>Due from the UK:</w:t>
            </w:r>
          </w:p>
        </w:tc>
        <w:tc>
          <w:tcPr>
            <w:tcW w:w="2114" w:type="dxa"/>
            <w:tcBorders>
              <w:top w:val="nil"/>
              <w:left w:val="nil"/>
              <w:bottom w:val="nil"/>
              <w:right w:val="nil"/>
              <w:tl2br w:val="nil"/>
              <w:tr2bl w:val="nil"/>
            </w:tcBorders>
            <w:tcMar>
              <w:left w:w="60" w:type="dxa"/>
              <w:right w:w="60" w:type="dxa"/>
            </w:tcMar>
            <w:vAlign w:val="bottom"/>
          </w:tcPr>
          <w:p w14:paraId="1AF97382" w14:textId="77777777" w:rsidR="00807FFE" w:rsidRDefault="00807FFE">
            <w:pPr>
              <w:pStyle w:val="DMETW36745BIPOthAm"/>
              <w:jc w:val="right"/>
              <w:rPr>
                <w:rFonts w:ascii="Verdana" w:eastAsia="Verdana" w:hAnsi="Verdana" w:cs="Verdana"/>
                <w:i/>
                <w:noProof/>
                <w:color w:val="000000"/>
                <w:sz w:val="18"/>
              </w:rPr>
            </w:pPr>
          </w:p>
        </w:tc>
        <w:tc>
          <w:tcPr>
            <w:tcW w:w="2114" w:type="dxa"/>
            <w:tcBorders>
              <w:top w:val="nil"/>
              <w:left w:val="nil"/>
              <w:bottom w:val="nil"/>
              <w:right w:val="nil"/>
              <w:tl2br w:val="nil"/>
              <w:tr2bl w:val="nil"/>
            </w:tcBorders>
            <w:tcMar>
              <w:left w:w="60" w:type="dxa"/>
              <w:right w:w="60" w:type="dxa"/>
            </w:tcMar>
            <w:vAlign w:val="bottom"/>
          </w:tcPr>
          <w:p w14:paraId="6ED0F9AC" w14:textId="77777777" w:rsidR="00807FFE" w:rsidRDefault="00807FFE">
            <w:pPr>
              <w:pStyle w:val="DMETW36745BIPOthAm"/>
              <w:jc w:val="right"/>
              <w:rPr>
                <w:rFonts w:ascii="Verdana" w:eastAsia="Verdana" w:hAnsi="Verdana" w:cs="Verdana"/>
                <w:b/>
                <w:noProof/>
                <w:color w:val="000000"/>
                <w:sz w:val="18"/>
                <w:lang w:bidi="en-GB"/>
              </w:rPr>
            </w:pPr>
          </w:p>
        </w:tc>
      </w:tr>
      <w:tr w:rsidR="00807FFE" w14:paraId="1E0FC6E4" w14:textId="77777777">
        <w:trPr>
          <w:trHeight w:val="255"/>
        </w:trPr>
        <w:tc>
          <w:tcPr>
            <w:tcW w:w="5530" w:type="dxa"/>
            <w:tcBorders>
              <w:top w:val="nil"/>
              <w:left w:val="nil"/>
              <w:bottom w:val="nil"/>
              <w:right w:val="nil"/>
              <w:tl2br w:val="nil"/>
              <w:tr2bl w:val="nil"/>
            </w:tcBorders>
            <w:tcMar>
              <w:left w:w="60" w:type="dxa"/>
              <w:right w:w="60" w:type="dxa"/>
            </w:tcMar>
            <w:vAlign w:val="center"/>
          </w:tcPr>
          <w:p w14:paraId="472B477B" w14:textId="77777777" w:rsidR="00807FFE" w:rsidRDefault="00023E71">
            <w:pPr>
              <w:pStyle w:val="DMETW36745BIPOthAm"/>
              <w:ind w:left="200" w:firstLine="8"/>
              <w:rPr>
                <w:rFonts w:ascii="Verdana" w:eastAsia="Verdana" w:hAnsi="Verdana" w:cs="Verdana"/>
                <w:i/>
                <w:noProof/>
                <w:color w:val="000000"/>
                <w:sz w:val="18"/>
              </w:rPr>
            </w:pPr>
            <w:r>
              <w:rPr>
                <w:rFonts w:ascii="Verdana" w:eastAsia="Verdana" w:hAnsi="Verdana" w:cs="Verdana"/>
                <w:i/>
                <w:noProof/>
                <w:color w:val="000000"/>
                <w:sz w:val="18"/>
              </w:rPr>
              <w:t>Article 136</w:t>
            </w:r>
          </w:p>
        </w:tc>
        <w:tc>
          <w:tcPr>
            <w:tcW w:w="2114" w:type="dxa"/>
            <w:tcBorders>
              <w:top w:val="nil"/>
              <w:left w:val="nil"/>
              <w:bottom w:val="nil"/>
              <w:right w:val="nil"/>
              <w:tl2br w:val="nil"/>
              <w:tr2bl w:val="nil"/>
            </w:tcBorders>
            <w:tcMar>
              <w:left w:w="60" w:type="dxa"/>
              <w:right w:w="60" w:type="dxa"/>
            </w:tcMar>
            <w:vAlign w:val="bottom"/>
          </w:tcPr>
          <w:p w14:paraId="626222BB" w14:textId="77777777" w:rsidR="00807FFE" w:rsidRDefault="00023E71">
            <w:pPr>
              <w:pStyle w:val="DMETW36745BIPOthAm"/>
              <w:jc w:val="right"/>
              <w:rPr>
                <w:rFonts w:ascii="Verdana" w:eastAsia="Verdana" w:hAnsi="Verdana" w:cs="Verdana"/>
                <w:i/>
                <w:noProof/>
                <w:color w:val="000000"/>
                <w:sz w:val="18"/>
              </w:rPr>
            </w:pPr>
            <w:r>
              <w:rPr>
                <w:rFonts w:ascii="Verdana" w:eastAsia="Verdana" w:hAnsi="Verdana" w:cs="Verdana"/>
                <w:i/>
                <w:noProof/>
                <w:color w:val="000000"/>
                <w:sz w:val="18"/>
              </w:rPr>
              <w:t xml:space="preserve"> 133</w:t>
            </w:r>
          </w:p>
        </w:tc>
        <w:tc>
          <w:tcPr>
            <w:tcW w:w="2114" w:type="dxa"/>
            <w:tcBorders>
              <w:top w:val="nil"/>
              <w:left w:val="nil"/>
              <w:bottom w:val="nil"/>
              <w:right w:val="nil"/>
              <w:tl2br w:val="nil"/>
              <w:tr2bl w:val="nil"/>
            </w:tcBorders>
            <w:tcMar>
              <w:left w:w="60" w:type="dxa"/>
              <w:right w:w="60" w:type="dxa"/>
            </w:tcMar>
            <w:vAlign w:val="bottom"/>
          </w:tcPr>
          <w:p w14:paraId="69DB5319" w14:textId="77777777" w:rsidR="00807FFE" w:rsidRDefault="00023E71">
            <w:pPr>
              <w:pStyle w:val="DMETW36745BIPOthA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w:t>
            </w:r>
          </w:p>
        </w:tc>
      </w:tr>
      <w:tr w:rsidR="00807FFE" w14:paraId="7D562FC2" w14:textId="77777777">
        <w:trPr>
          <w:trHeight w:val="255"/>
        </w:trPr>
        <w:tc>
          <w:tcPr>
            <w:tcW w:w="5530" w:type="dxa"/>
            <w:tcBorders>
              <w:top w:val="nil"/>
              <w:left w:val="nil"/>
              <w:bottom w:val="single" w:sz="4" w:space="0" w:color="016794"/>
              <w:right w:val="nil"/>
              <w:tl2br w:val="nil"/>
              <w:tr2bl w:val="nil"/>
            </w:tcBorders>
            <w:tcMar>
              <w:left w:w="60" w:type="dxa"/>
              <w:right w:w="60" w:type="dxa"/>
            </w:tcMar>
            <w:vAlign w:val="center"/>
          </w:tcPr>
          <w:p w14:paraId="5E4DE661" w14:textId="77777777" w:rsidR="00807FFE" w:rsidRDefault="00023E71">
            <w:pPr>
              <w:pStyle w:val="DMETW36745BIPOthAm"/>
              <w:ind w:left="200" w:firstLine="8"/>
              <w:rPr>
                <w:rFonts w:ascii="Verdana" w:eastAsia="Verdana" w:hAnsi="Verdana" w:cs="Verdana"/>
                <w:i/>
                <w:noProof/>
                <w:color w:val="000000"/>
                <w:sz w:val="18"/>
              </w:rPr>
            </w:pPr>
            <w:r>
              <w:rPr>
                <w:rFonts w:ascii="Verdana" w:eastAsia="Verdana" w:hAnsi="Verdana" w:cs="Verdana"/>
                <w:i/>
                <w:noProof/>
                <w:color w:val="000000"/>
                <w:sz w:val="18"/>
              </w:rPr>
              <w:t>Article 147</w:t>
            </w:r>
          </w:p>
        </w:tc>
        <w:tc>
          <w:tcPr>
            <w:tcW w:w="2114" w:type="dxa"/>
            <w:tcBorders>
              <w:top w:val="nil"/>
              <w:left w:val="nil"/>
              <w:bottom w:val="single" w:sz="4" w:space="0" w:color="016794"/>
              <w:right w:val="nil"/>
              <w:tl2br w:val="nil"/>
              <w:tr2bl w:val="nil"/>
            </w:tcBorders>
            <w:tcMar>
              <w:left w:w="60" w:type="dxa"/>
              <w:right w:w="60" w:type="dxa"/>
            </w:tcMar>
            <w:vAlign w:val="bottom"/>
          </w:tcPr>
          <w:p w14:paraId="6D8BF100" w14:textId="77777777" w:rsidR="00807FFE" w:rsidRDefault="00023E71">
            <w:pPr>
              <w:pStyle w:val="DMETW36745BIPOthAm"/>
              <w:jc w:val="right"/>
              <w:rPr>
                <w:rFonts w:ascii="Verdana" w:eastAsia="Verdana" w:hAnsi="Verdana" w:cs="Verdana"/>
                <w:i/>
                <w:noProof/>
                <w:color w:val="000000"/>
                <w:sz w:val="18"/>
              </w:rPr>
            </w:pPr>
            <w:r>
              <w:rPr>
                <w:rFonts w:ascii="Verdana" w:eastAsia="Verdana" w:hAnsi="Verdana" w:cs="Verdana"/>
                <w:i/>
                <w:noProof/>
                <w:color w:val="000000"/>
                <w:sz w:val="18"/>
              </w:rPr>
              <w:t xml:space="preserve"> 33</w:t>
            </w:r>
          </w:p>
        </w:tc>
        <w:tc>
          <w:tcPr>
            <w:tcW w:w="2114" w:type="dxa"/>
            <w:tcBorders>
              <w:top w:val="nil"/>
              <w:left w:val="nil"/>
              <w:bottom w:val="single" w:sz="4" w:space="0" w:color="016794"/>
              <w:right w:val="nil"/>
              <w:tl2br w:val="nil"/>
              <w:tr2bl w:val="nil"/>
            </w:tcBorders>
            <w:tcMar>
              <w:left w:w="60" w:type="dxa"/>
              <w:right w:w="60" w:type="dxa"/>
            </w:tcMar>
            <w:vAlign w:val="bottom"/>
          </w:tcPr>
          <w:p w14:paraId="2CA97E11" w14:textId="77777777" w:rsidR="00807FFE" w:rsidRDefault="00023E71">
            <w:pPr>
              <w:pStyle w:val="DMETW36745BIPOthA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107</w:t>
            </w:r>
          </w:p>
        </w:tc>
      </w:tr>
      <w:tr w:rsidR="00807FFE" w14:paraId="4D50CA49" w14:textId="77777777">
        <w:trPr>
          <w:trHeight w:val="255"/>
        </w:trPr>
        <w:tc>
          <w:tcPr>
            <w:tcW w:w="5530" w:type="dxa"/>
            <w:tcBorders>
              <w:top w:val="single" w:sz="4" w:space="0" w:color="016794"/>
              <w:left w:val="nil"/>
              <w:bottom w:val="single" w:sz="4" w:space="0" w:color="016794"/>
              <w:right w:val="nil"/>
              <w:tl2br w:val="nil"/>
              <w:tr2bl w:val="nil"/>
            </w:tcBorders>
            <w:tcMar>
              <w:left w:w="60" w:type="dxa"/>
              <w:right w:w="60" w:type="dxa"/>
            </w:tcMar>
            <w:vAlign w:val="center"/>
          </w:tcPr>
          <w:p w14:paraId="6E7320A8" w14:textId="77777777" w:rsidR="00807FFE" w:rsidRDefault="00807FFE">
            <w:pPr>
              <w:pStyle w:val="DMETW36745BIPOthAm"/>
              <w:rPr>
                <w:rFonts w:ascii="Verdana" w:eastAsia="Verdana" w:hAnsi="Verdana" w:cs="Verdana"/>
                <w:b/>
                <w:noProof/>
                <w:color w:val="000000"/>
                <w:sz w:val="18"/>
              </w:rPr>
            </w:pP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14:paraId="51B8BE8C" w14:textId="77777777" w:rsidR="00807FFE" w:rsidRDefault="00023E71">
            <w:pPr>
              <w:pStyle w:val="DMETW36745BIPOthAm"/>
              <w:jc w:val="right"/>
              <w:rPr>
                <w:rFonts w:ascii="Verdana" w:eastAsia="Verdana" w:hAnsi="Verdana" w:cs="Verdana"/>
                <w:b/>
                <w:noProof/>
                <w:color w:val="000000"/>
                <w:sz w:val="18"/>
              </w:rPr>
            </w:pPr>
            <w:r>
              <w:rPr>
                <w:rFonts w:ascii="Verdana" w:eastAsia="Verdana" w:hAnsi="Verdana" w:cs="Verdana"/>
                <w:b/>
                <w:noProof/>
                <w:color w:val="000000"/>
                <w:sz w:val="18"/>
              </w:rPr>
              <w:t xml:space="preserve"> 166</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14:paraId="3772E1E4" w14:textId="77777777" w:rsidR="00807FFE" w:rsidRDefault="00023E71">
            <w:pPr>
              <w:pStyle w:val="DMETW36745BIPOthAm"/>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116</w:t>
            </w:r>
          </w:p>
        </w:tc>
      </w:tr>
      <w:tr w:rsidR="00807FFE" w14:paraId="4A4EF7BD" w14:textId="77777777">
        <w:trPr>
          <w:trHeight w:val="255"/>
        </w:trPr>
        <w:tc>
          <w:tcPr>
            <w:tcW w:w="5530" w:type="dxa"/>
            <w:tcBorders>
              <w:top w:val="single" w:sz="4" w:space="0" w:color="016794"/>
              <w:left w:val="nil"/>
              <w:bottom w:val="nil"/>
              <w:right w:val="nil"/>
              <w:tl2br w:val="nil"/>
              <w:tr2bl w:val="nil"/>
            </w:tcBorders>
            <w:tcMar>
              <w:left w:w="60" w:type="dxa"/>
              <w:right w:w="60" w:type="dxa"/>
            </w:tcMar>
            <w:vAlign w:val="center"/>
          </w:tcPr>
          <w:p w14:paraId="2F6D1FEC" w14:textId="77777777" w:rsidR="00807FFE" w:rsidRDefault="00023E71">
            <w:pPr>
              <w:pStyle w:val="DMETW36745BIPOthAm"/>
              <w:rPr>
                <w:rFonts w:ascii="Verdana" w:eastAsia="Verdana" w:hAnsi="Verdana" w:cs="Verdana"/>
                <w:b/>
                <w:noProof/>
                <w:color w:val="000000"/>
                <w:sz w:val="18"/>
              </w:rPr>
            </w:pPr>
            <w:r>
              <w:rPr>
                <w:rFonts w:ascii="Verdana" w:eastAsia="Verdana" w:hAnsi="Verdana" w:cs="Verdana"/>
                <w:b/>
                <w:noProof/>
                <w:color w:val="000000"/>
                <w:sz w:val="18"/>
              </w:rPr>
              <w:t>Due to the UK:</w:t>
            </w:r>
          </w:p>
        </w:tc>
        <w:tc>
          <w:tcPr>
            <w:tcW w:w="2114" w:type="dxa"/>
            <w:tcBorders>
              <w:top w:val="single" w:sz="4" w:space="0" w:color="016794"/>
              <w:left w:val="nil"/>
              <w:bottom w:val="nil"/>
              <w:right w:val="nil"/>
              <w:tl2br w:val="nil"/>
              <w:tr2bl w:val="nil"/>
            </w:tcBorders>
            <w:tcMar>
              <w:left w:w="60" w:type="dxa"/>
              <w:right w:w="60" w:type="dxa"/>
            </w:tcMar>
            <w:vAlign w:val="bottom"/>
          </w:tcPr>
          <w:p w14:paraId="086E6C91" w14:textId="77777777" w:rsidR="00807FFE" w:rsidRDefault="00807FFE">
            <w:pPr>
              <w:pStyle w:val="DMETW36745BIPOthAm"/>
              <w:jc w:val="right"/>
              <w:rPr>
                <w:rFonts w:ascii="Verdana" w:eastAsia="Verdana" w:hAnsi="Verdana" w:cs="Verdana"/>
                <w:i/>
                <w:noProof/>
                <w:color w:val="000000"/>
                <w:sz w:val="18"/>
              </w:rPr>
            </w:pPr>
          </w:p>
        </w:tc>
        <w:tc>
          <w:tcPr>
            <w:tcW w:w="2114" w:type="dxa"/>
            <w:tcBorders>
              <w:top w:val="single" w:sz="4" w:space="0" w:color="016794"/>
              <w:left w:val="nil"/>
              <w:bottom w:val="nil"/>
              <w:right w:val="nil"/>
              <w:tl2br w:val="nil"/>
              <w:tr2bl w:val="nil"/>
            </w:tcBorders>
            <w:tcMar>
              <w:left w:w="60" w:type="dxa"/>
              <w:right w:w="60" w:type="dxa"/>
            </w:tcMar>
            <w:vAlign w:val="bottom"/>
          </w:tcPr>
          <w:p w14:paraId="0F47A343" w14:textId="77777777" w:rsidR="00807FFE" w:rsidRDefault="00807FFE">
            <w:pPr>
              <w:pStyle w:val="DMETW36745BIPOthAm"/>
              <w:jc w:val="right"/>
              <w:rPr>
                <w:rFonts w:ascii="Verdana" w:eastAsia="Verdana" w:hAnsi="Verdana" w:cs="Verdana"/>
                <w:i/>
                <w:noProof/>
                <w:color w:val="000000"/>
                <w:sz w:val="18"/>
                <w:lang w:bidi="en-GB"/>
              </w:rPr>
            </w:pPr>
          </w:p>
        </w:tc>
      </w:tr>
      <w:tr w:rsidR="00807FFE" w14:paraId="2C6B13B9" w14:textId="77777777">
        <w:trPr>
          <w:trHeight w:val="255"/>
        </w:trPr>
        <w:tc>
          <w:tcPr>
            <w:tcW w:w="5530" w:type="dxa"/>
            <w:tcBorders>
              <w:top w:val="nil"/>
              <w:left w:val="nil"/>
              <w:bottom w:val="nil"/>
              <w:right w:val="nil"/>
              <w:tl2br w:val="nil"/>
              <w:tr2bl w:val="nil"/>
            </w:tcBorders>
            <w:tcMar>
              <w:left w:w="60" w:type="dxa"/>
              <w:right w:w="60" w:type="dxa"/>
            </w:tcMar>
            <w:vAlign w:val="center"/>
          </w:tcPr>
          <w:p w14:paraId="5282E28E" w14:textId="77777777" w:rsidR="00807FFE" w:rsidRDefault="00023E71">
            <w:pPr>
              <w:pStyle w:val="DMETW36745BIPOthAm"/>
              <w:ind w:left="200" w:firstLine="8"/>
              <w:rPr>
                <w:rFonts w:ascii="Verdana" w:eastAsia="Verdana" w:hAnsi="Verdana" w:cs="Verdana"/>
                <w:i/>
                <w:noProof/>
                <w:color w:val="000000"/>
                <w:sz w:val="18"/>
              </w:rPr>
            </w:pPr>
            <w:r>
              <w:rPr>
                <w:rFonts w:ascii="Verdana" w:eastAsia="Verdana" w:hAnsi="Verdana" w:cs="Verdana"/>
                <w:i/>
                <w:noProof/>
                <w:color w:val="000000"/>
                <w:sz w:val="18"/>
              </w:rPr>
              <w:t>Article 141</w:t>
            </w:r>
          </w:p>
        </w:tc>
        <w:tc>
          <w:tcPr>
            <w:tcW w:w="2114" w:type="dxa"/>
            <w:tcBorders>
              <w:top w:val="nil"/>
              <w:left w:val="nil"/>
              <w:bottom w:val="nil"/>
              <w:right w:val="nil"/>
              <w:tl2br w:val="nil"/>
              <w:tr2bl w:val="nil"/>
            </w:tcBorders>
            <w:tcMar>
              <w:left w:w="60" w:type="dxa"/>
              <w:right w:w="60" w:type="dxa"/>
            </w:tcMar>
            <w:vAlign w:val="bottom"/>
          </w:tcPr>
          <w:p w14:paraId="023A33B6" w14:textId="77777777" w:rsidR="00807FFE" w:rsidRDefault="00023E71">
            <w:pPr>
              <w:pStyle w:val="DMETW36745BIPOthAm"/>
              <w:jc w:val="right"/>
              <w:rPr>
                <w:rFonts w:ascii="Verdana" w:eastAsia="Verdana" w:hAnsi="Verdana" w:cs="Verdana"/>
                <w:i/>
                <w:noProof/>
                <w:color w:val="000000"/>
                <w:sz w:val="18"/>
              </w:rPr>
            </w:pPr>
            <w:r>
              <w:rPr>
                <w:rFonts w:ascii="Verdana" w:eastAsia="Verdana" w:hAnsi="Verdana" w:cs="Verdana"/>
                <w:i/>
                <w:noProof/>
                <w:color w:val="000000"/>
                <w:sz w:val="18"/>
              </w:rPr>
              <w:t>(1 090)</w:t>
            </w:r>
          </w:p>
        </w:tc>
        <w:tc>
          <w:tcPr>
            <w:tcW w:w="2114" w:type="dxa"/>
            <w:tcBorders>
              <w:top w:val="nil"/>
              <w:left w:val="nil"/>
              <w:bottom w:val="nil"/>
              <w:right w:val="nil"/>
              <w:tl2br w:val="nil"/>
              <w:tr2bl w:val="nil"/>
            </w:tcBorders>
            <w:tcMar>
              <w:left w:w="60" w:type="dxa"/>
              <w:right w:w="60" w:type="dxa"/>
            </w:tcMar>
            <w:vAlign w:val="bottom"/>
          </w:tcPr>
          <w:p w14:paraId="0DDE8398" w14:textId="77777777" w:rsidR="00807FFE" w:rsidRDefault="00023E71">
            <w:pPr>
              <w:pStyle w:val="DMETW36745BIPOthAm"/>
              <w:jc w:val="right"/>
              <w:rPr>
                <w:rFonts w:ascii="Verdana" w:eastAsia="Verdana" w:hAnsi="Verdana" w:cs="Verdana"/>
                <w:i/>
                <w:noProof/>
                <w:color w:val="000000"/>
                <w:sz w:val="18"/>
                <w:lang w:bidi="en-GB"/>
              </w:rPr>
            </w:pPr>
            <w:r>
              <w:rPr>
                <w:rFonts w:ascii="Verdana" w:eastAsia="Verdana" w:hAnsi="Verdana" w:cs="Verdana"/>
                <w:i/>
                <w:noProof/>
                <w:color w:val="000000"/>
                <w:sz w:val="18"/>
              </w:rPr>
              <w:t>(1 630)</w:t>
            </w:r>
          </w:p>
        </w:tc>
      </w:tr>
      <w:tr w:rsidR="00807FFE" w14:paraId="5E97443B" w14:textId="77777777">
        <w:trPr>
          <w:trHeight w:val="255"/>
        </w:trPr>
        <w:tc>
          <w:tcPr>
            <w:tcW w:w="5530" w:type="dxa"/>
            <w:tcBorders>
              <w:top w:val="nil"/>
              <w:left w:val="nil"/>
              <w:bottom w:val="nil"/>
              <w:right w:val="nil"/>
              <w:tl2br w:val="nil"/>
              <w:tr2bl w:val="nil"/>
            </w:tcBorders>
            <w:tcMar>
              <w:left w:w="60" w:type="dxa"/>
              <w:right w:w="60" w:type="dxa"/>
            </w:tcMar>
            <w:vAlign w:val="center"/>
          </w:tcPr>
          <w:p w14:paraId="22E05ED9" w14:textId="77777777" w:rsidR="00807FFE" w:rsidRDefault="00023E71">
            <w:pPr>
              <w:pStyle w:val="DMETW36745BIPOthAm"/>
              <w:ind w:left="200" w:firstLine="8"/>
              <w:rPr>
                <w:rFonts w:ascii="Verdana" w:eastAsia="Verdana" w:hAnsi="Verdana" w:cs="Verdana"/>
                <w:i/>
                <w:noProof/>
                <w:color w:val="000000"/>
                <w:sz w:val="18"/>
              </w:rPr>
            </w:pPr>
            <w:r>
              <w:rPr>
                <w:rFonts w:ascii="Verdana" w:eastAsia="Verdana" w:hAnsi="Verdana" w:cs="Verdana"/>
                <w:i/>
                <w:noProof/>
                <w:color w:val="000000"/>
                <w:sz w:val="18"/>
              </w:rPr>
              <w:t>Article 143</w:t>
            </w:r>
          </w:p>
        </w:tc>
        <w:tc>
          <w:tcPr>
            <w:tcW w:w="2114" w:type="dxa"/>
            <w:tcBorders>
              <w:top w:val="nil"/>
              <w:left w:val="nil"/>
              <w:bottom w:val="nil"/>
              <w:right w:val="nil"/>
              <w:tl2br w:val="nil"/>
              <w:tr2bl w:val="nil"/>
            </w:tcBorders>
            <w:tcMar>
              <w:left w:w="60" w:type="dxa"/>
              <w:right w:w="60" w:type="dxa"/>
            </w:tcMar>
            <w:vAlign w:val="bottom"/>
          </w:tcPr>
          <w:p w14:paraId="14A37EFB" w14:textId="77777777" w:rsidR="00807FFE" w:rsidRDefault="00023E71">
            <w:pPr>
              <w:pStyle w:val="DMETW36745BIPOthAm"/>
              <w:jc w:val="right"/>
              <w:rPr>
                <w:rFonts w:ascii="Verdana" w:eastAsia="Verdana" w:hAnsi="Verdana" w:cs="Verdana"/>
                <w:i/>
                <w:noProof/>
                <w:color w:val="000000"/>
                <w:sz w:val="18"/>
              </w:rPr>
            </w:pPr>
            <w:r>
              <w:rPr>
                <w:rFonts w:ascii="Verdana" w:eastAsia="Verdana" w:hAnsi="Verdana" w:cs="Verdana"/>
                <w:i/>
                <w:noProof/>
                <w:color w:val="000000"/>
                <w:sz w:val="18"/>
              </w:rPr>
              <w:t xml:space="preserve"> (198)</w:t>
            </w:r>
          </w:p>
        </w:tc>
        <w:tc>
          <w:tcPr>
            <w:tcW w:w="2114" w:type="dxa"/>
            <w:tcBorders>
              <w:top w:val="nil"/>
              <w:left w:val="nil"/>
              <w:bottom w:val="nil"/>
              <w:right w:val="nil"/>
              <w:tl2br w:val="nil"/>
              <w:tr2bl w:val="nil"/>
            </w:tcBorders>
            <w:tcMar>
              <w:left w:w="60" w:type="dxa"/>
              <w:right w:w="60" w:type="dxa"/>
            </w:tcMar>
            <w:vAlign w:val="bottom"/>
          </w:tcPr>
          <w:p w14:paraId="5F4B15FC" w14:textId="77777777" w:rsidR="00807FFE" w:rsidRDefault="00023E71">
            <w:pPr>
              <w:pStyle w:val="DMETW36745BIPOthA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(191)</w:t>
            </w:r>
          </w:p>
        </w:tc>
      </w:tr>
      <w:tr w:rsidR="00807FFE" w14:paraId="7ECC912C" w14:textId="77777777">
        <w:trPr>
          <w:trHeight w:val="255"/>
        </w:trPr>
        <w:tc>
          <w:tcPr>
            <w:tcW w:w="5530" w:type="dxa"/>
            <w:tcBorders>
              <w:top w:val="nil"/>
              <w:left w:val="nil"/>
              <w:bottom w:val="nil"/>
              <w:right w:val="nil"/>
              <w:tl2br w:val="nil"/>
              <w:tr2bl w:val="nil"/>
            </w:tcBorders>
            <w:tcMar>
              <w:left w:w="60" w:type="dxa"/>
              <w:right w:w="60" w:type="dxa"/>
            </w:tcMar>
            <w:vAlign w:val="center"/>
          </w:tcPr>
          <w:p w14:paraId="6C21638C" w14:textId="77777777" w:rsidR="00807FFE" w:rsidRDefault="00023E71">
            <w:pPr>
              <w:pStyle w:val="DMETW36745BIPOthAm"/>
              <w:ind w:left="200" w:firstLine="8"/>
              <w:rPr>
                <w:rFonts w:ascii="Verdana" w:eastAsia="Verdana" w:hAnsi="Verdana" w:cs="Verdana"/>
                <w:i/>
                <w:noProof/>
                <w:color w:val="000000"/>
                <w:sz w:val="18"/>
              </w:rPr>
            </w:pPr>
            <w:r>
              <w:rPr>
                <w:rFonts w:ascii="Verdana" w:eastAsia="Verdana" w:hAnsi="Verdana" w:cs="Verdana"/>
                <w:i/>
                <w:noProof/>
                <w:color w:val="000000"/>
                <w:sz w:val="18"/>
              </w:rPr>
              <w:t>Article 144</w:t>
            </w:r>
          </w:p>
        </w:tc>
        <w:tc>
          <w:tcPr>
            <w:tcW w:w="2114" w:type="dxa"/>
            <w:tcBorders>
              <w:top w:val="nil"/>
              <w:left w:val="nil"/>
              <w:bottom w:val="nil"/>
              <w:right w:val="nil"/>
              <w:tl2br w:val="nil"/>
              <w:tr2bl w:val="nil"/>
            </w:tcBorders>
            <w:tcMar>
              <w:left w:w="60" w:type="dxa"/>
              <w:right w:w="60" w:type="dxa"/>
            </w:tcMar>
            <w:vAlign w:val="bottom"/>
          </w:tcPr>
          <w:p w14:paraId="57F4E313" w14:textId="77777777" w:rsidR="00807FFE" w:rsidRDefault="00023E71">
            <w:pPr>
              <w:pStyle w:val="DMETW36745BIPOthAm"/>
              <w:jc w:val="right"/>
              <w:rPr>
                <w:rFonts w:ascii="Verdana" w:eastAsia="Verdana" w:hAnsi="Verdana" w:cs="Verdana"/>
                <w:i/>
                <w:noProof/>
                <w:color w:val="000000"/>
                <w:sz w:val="18"/>
              </w:rPr>
            </w:pPr>
            <w:r>
              <w:rPr>
                <w:rFonts w:ascii="Verdana" w:eastAsia="Verdana" w:hAnsi="Verdana" w:cs="Verdana"/>
                <w:i/>
                <w:noProof/>
                <w:color w:val="000000"/>
                <w:sz w:val="18"/>
              </w:rPr>
              <w:t xml:space="preserve"> (43)</w:t>
            </w:r>
          </w:p>
        </w:tc>
        <w:tc>
          <w:tcPr>
            <w:tcW w:w="2114" w:type="dxa"/>
            <w:tcBorders>
              <w:top w:val="nil"/>
              <w:left w:val="nil"/>
              <w:bottom w:val="nil"/>
              <w:right w:val="nil"/>
              <w:tl2br w:val="nil"/>
              <w:tr2bl w:val="nil"/>
            </w:tcBorders>
            <w:tcMar>
              <w:left w:w="60" w:type="dxa"/>
              <w:right w:w="60" w:type="dxa"/>
            </w:tcMar>
            <w:vAlign w:val="bottom"/>
          </w:tcPr>
          <w:p w14:paraId="68B83B6C" w14:textId="77777777" w:rsidR="00807FFE" w:rsidRDefault="00023E71">
            <w:pPr>
              <w:pStyle w:val="DMETW36745BIPOthA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(58)</w:t>
            </w:r>
          </w:p>
        </w:tc>
      </w:tr>
      <w:tr w:rsidR="00807FFE" w14:paraId="583239B6" w14:textId="77777777">
        <w:trPr>
          <w:trHeight w:val="255"/>
        </w:trPr>
        <w:tc>
          <w:tcPr>
            <w:tcW w:w="5530" w:type="dxa"/>
            <w:tcBorders>
              <w:top w:val="nil"/>
              <w:left w:val="nil"/>
              <w:bottom w:val="nil"/>
              <w:right w:val="nil"/>
              <w:tl2br w:val="nil"/>
              <w:tr2bl w:val="nil"/>
            </w:tcBorders>
            <w:tcMar>
              <w:left w:w="60" w:type="dxa"/>
              <w:right w:w="60" w:type="dxa"/>
            </w:tcMar>
            <w:vAlign w:val="center"/>
          </w:tcPr>
          <w:p w14:paraId="08EA3741" w14:textId="77777777" w:rsidR="00807FFE" w:rsidRDefault="00023E71">
            <w:pPr>
              <w:pStyle w:val="DMETW36745BIPOthAm"/>
              <w:ind w:left="200" w:firstLine="8"/>
              <w:rPr>
                <w:rFonts w:ascii="Verdana" w:eastAsia="Verdana" w:hAnsi="Verdana" w:cs="Verdana"/>
                <w:i/>
                <w:noProof/>
                <w:color w:val="000000"/>
                <w:sz w:val="18"/>
              </w:rPr>
            </w:pPr>
            <w:r>
              <w:rPr>
                <w:rFonts w:ascii="Verdana" w:eastAsia="Verdana" w:hAnsi="Verdana" w:cs="Verdana"/>
                <w:i/>
                <w:noProof/>
                <w:color w:val="000000"/>
                <w:sz w:val="18"/>
              </w:rPr>
              <w:t>Article 145</w:t>
            </w:r>
          </w:p>
        </w:tc>
        <w:tc>
          <w:tcPr>
            <w:tcW w:w="2114" w:type="dxa"/>
            <w:tcBorders>
              <w:top w:val="nil"/>
              <w:left w:val="nil"/>
              <w:bottom w:val="nil"/>
              <w:right w:val="nil"/>
              <w:tl2br w:val="nil"/>
              <w:tr2bl w:val="nil"/>
            </w:tcBorders>
            <w:tcMar>
              <w:left w:w="60" w:type="dxa"/>
              <w:right w:w="60" w:type="dxa"/>
            </w:tcMar>
            <w:vAlign w:val="bottom"/>
          </w:tcPr>
          <w:p w14:paraId="1C566C3E" w14:textId="77777777" w:rsidR="00807FFE" w:rsidRDefault="00023E71">
            <w:pPr>
              <w:pStyle w:val="DMETW36745BIPOthAm"/>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114" w:type="dxa"/>
            <w:tcBorders>
              <w:top w:val="nil"/>
              <w:left w:val="nil"/>
              <w:bottom w:val="nil"/>
              <w:right w:val="nil"/>
              <w:tl2br w:val="nil"/>
              <w:tr2bl w:val="nil"/>
            </w:tcBorders>
            <w:tcMar>
              <w:left w:w="60" w:type="dxa"/>
              <w:right w:w="60" w:type="dxa"/>
            </w:tcMar>
            <w:vAlign w:val="bottom"/>
          </w:tcPr>
          <w:p w14:paraId="3A833FC5" w14:textId="77777777" w:rsidR="00807FFE" w:rsidRDefault="00023E71">
            <w:pPr>
              <w:pStyle w:val="DMETW36745BIPOthA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(37)</w:t>
            </w:r>
          </w:p>
        </w:tc>
      </w:tr>
      <w:tr w:rsidR="00807FFE" w14:paraId="1A32C6CE" w14:textId="77777777">
        <w:trPr>
          <w:trHeight w:val="255"/>
        </w:trPr>
        <w:tc>
          <w:tcPr>
            <w:tcW w:w="5530" w:type="dxa"/>
            <w:tcBorders>
              <w:top w:val="nil"/>
              <w:left w:val="nil"/>
              <w:bottom w:val="single" w:sz="4" w:space="0" w:color="376194"/>
              <w:right w:val="nil"/>
              <w:tl2br w:val="nil"/>
              <w:tr2bl w:val="nil"/>
            </w:tcBorders>
            <w:tcMar>
              <w:left w:w="60" w:type="dxa"/>
              <w:right w:w="60" w:type="dxa"/>
            </w:tcMar>
            <w:vAlign w:val="center"/>
          </w:tcPr>
          <w:p w14:paraId="19DCF075" w14:textId="77777777" w:rsidR="00807FFE" w:rsidRDefault="00023E71">
            <w:pPr>
              <w:pStyle w:val="DMETW36745BIPOthAm"/>
              <w:ind w:left="200" w:firstLine="8"/>
              <w:rPr>
                <w:rFonts w:ascii="Verdana" w:eastAsia="Verdana" w:hAnsi="Verdana" w:cs="Verdana"/>
                <w:i/>
                <w:noProof/>
                <w:color w:val="000000"/>
                <w:sz w:val="18"/>
              </w:rPr>
            </w:pPr>
            <w:r>
              <w:rPr>
                <w:rFonts w:ascii="Verdana" w:eastAsia="Verdana" w:hAnsi="Verdana" w:cs="Verdana"/>
                <w:i/>
                <w:noProof/>
                <w:color w:val="000000"/>
                <w:sz w:val="18"/>
              </w:rPr>
              <w:t>Article 146</w:t>
            </w:r>
          </w:p>
        </w:tc>
        <w:tc>
          <w:tcPr>
            <w:tcW w:w="2114" w:type="dxa"/>
            <w:tcBorders>
              <w:top w:val="nil"/>
              <w:left w:val="nil"/>
              <w:bottom w:val="single" w:sz="4" w:space="0" w:color="376194"/>
              <w:right w:val="nil"/>
              <w:tl2br w:val="nil"/>
              <w:tr2bl w:val="nil"/>
            </w:tcBorders>
            <w:tcMar>
              <w:left w:w="60" w:type="dxa"/>
              <w:right w:w="60" w:type="dxa"/>
            </w:tcMar>
            <w:vAlign w:val="bottom"/>
          </w:tcPr>
          <w:p w14:paraId="4C017D36" w14:textId="77777777" w:rsidR="00807FFE" w:rsidRDefault="00023E71">
            <w:pPr>
              <w:pStyle w:val="DMETW36745BIPOthAm"/>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114" w:type="dxa"/>
            <w:tcBorders>
              <w:top w:val="nil"/>
              <w:left w:val="nil"/>
              <w:bottom w:val="single" w:sz="4" w:space="0" w:color="376194"/>
              <w:right w:val="nil"/>
              <w:tl2br w:val="nil"/>
              <w:tr2bl w:val="nil"/>
            </w:tcBorders>
            <w:tcMar>
              <w:left w:w="60" w:type="dxa"/>
              <w:right w:w="60" w:type="dxa"/>
            </w:tcMar>
            <w:vAlign w:val="bottom"/>
          </w:tcPr>
          <w:p w14:paraId="702D701C" w14:textId="77777777" w:rsidR="00807FFE" w:rsidRDefault="00023E71">
            <w:pPr>
              <w:pStyle w:val="DMETW36745BIPOthA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w:t>
            </w:r>
          </w:p>
        </w:tc>
      </w:tr>
      <w:tr w:rsidR="00807FFE" w14:paraId="750A777B" w14:textId="77777777">
        <w:trPr>
          <w:trHeight w:val="255"/>
        </w:trPr>
        <w:tc>
          <w:tcPr>
            <w:tcW w:w="5530" w:type="dxa"/>
            <w:tcBorders>
              <w:top w:val="single" w:sz="4" w:space="0" w:color="376194"/>
              <w:left w:val="nil"/>
              <w:bottom w:val="single" w:sz="4" w:space="0" w:color="016794"/>
              <w:right w:val="nil"/>
              <w:tl2br w:val="nil"/>
              <w:tr2bl w:val="nil"/>
            </w:tcBorders>
            <w:tcMar>
              <w:left w:w="60" w:type="dxa"/>
              <w:right w:w="60" w:type="dxa"/>
            </w:tcMar>
            <w:vAlign w:val="center"/>
          </w:tcPr>
          <w:p w14:paraId="29017E37" w14:textId="77777777" w:rsidR="00807FFE" w:rsidRDefault="00807FFE">
            <w:pPr>
              <w:pStyle w:val="DMETW36745BIPOthAm"/>
              <w:rPr>
                <w:rFonts w:ascii="Verdana" w:eastAsia="Verdana" w:hAnsi="Verdana" w:cs="Verdana"/>
                <w:b/>
                <w:noProof/>
                <w:color w:val="000000"/>
                <w:sz w:val="18"/>
              </w:rPr>
            </w:pPr>
          </w:p>
        </w:tc>
        <w:tc>
          <w:tcPr>
            <w:tcW w:w="2114" w:type="dxa"/>
            <w:tcBorders>
              <w:top w:val="single" w:sz="4" w:space="0" w:color="376194"/>
              <w:left w:val="nil"/>
              <w:bottom w:val="single" w:sz="4" w:space="0" w:color="016794"/>
              <w:right w:val="nil"/>
              <w:tl2br w:val="nil"/>
              <w:tr2bl w:val="nil"/>
            </w:tcBorders>
            <w:tcMar>
              <w:left w:w="60" w:type="dxa"/>
              <w:right w:w="60" w:type="dxa"/>
            </w:tcMar>
            <w:vAlign w:val="bottom"/>
          </w:tcPr>
          <w:p w14:paraId="3953D25B" w14:textId="77777777" w:rsidR="00807FFE" w:rsidRDefault="00023E71">
            <w:pPr>
              <w:pStyle w:val="DMETW36745BIPOthAm"/>
              <w:jc w:val="right"/>
              <w:rPr>
                <w:rFonts w:ascii="Verdana" w:eastAsia="Verdana" w:hAnsi="Verdana" w:cs="Verdana"/>
                <w:b/>
                <w:noProof/>
                <w:color w:val="000000"/>
                <w:sz w:val="18"/>
              </w:rPr>
            </w:pPr>
            <w:r>
              <w:rPr>
                <w:rFonts w:ascii="Verdana" w:eastAsia="Verdana" w:hAnsi="Verdana" w:cs="Verdana"/>
                <w:b/>
                <w:noProof/>
                <w:color w:val="000000"/>
                <w:sz w:val="18"/>
              </w:rPr>
              <w:t>(1 331)</w:t>
            </w:r>
          </w:p>
        </w:tc>
        <w:tc>
          <w:tcPr>
            <w:tcW w:w="2114" w:type="dxa"/>
            <w:tcBorders>
              <w:top w:val="single" w:sz="4" w:space="0" w:color="376194"/>
              <w:left w:val="nil"/>
              <w:bottom w:val="single" w:sz="4" w:space="0" w:color="016794"/>
              <w:right w:val="nil"/>
              <w:tl2br w:val="nil"/>
              <w:tr2bl w:val="nil"/>
            </w:tcBorders>
            <w:tcMar>
              <w:left w:w="60" w:type="dxa"/>
              <w:right w:w="60" w:type="dxa"/>
            </w:tcMar>
            <w:vAlign w:val="bottom"/>
          </w:tcPr>
          <w:p w14:paraId="5FB9C6BF" w14:textId="77777777" w:rsidR="00807FFE" w:rsidRDefault="00023E71">
            <w:pPr>
              <w:pStyle w:val="DMETW36745BIPOthAm"/>
              <w:jc w:val="right"/>
              <w:rPr>
                <w:rFonts w:ascii="Verdana" w:eastAsia="Verdana" w:hAnsi="Verdana" w:cs="Verdana"/>
                <w:b/>
                <w:noProof/>
                <w:color w:val="000000"/>
                <w:sz w:val="18"/>
                <w:lang w:bidi="en-GB"/>
              </w:rPr>
            </w:pPr>
            <w:r>
              <w:rPr>
                <w:rFonts w:ascii="Verdana" w:eastAsia="Verdana" w:hAnsi="Verdana" w:cs="Verdana"/>
                <w:b/>
                <w:noProof/>
                <w:color w:val="000000"/>
                <w:sz w:val="18"/>
              </w:rPr>
              <w:t>(1 922)</w:t>
            </w:r>
          </w:p>
        </w:tc>
      </w:tr>
      <w:tr w:rsidR="00807FFE" w14:paraId="5E37E403" w14:textId="77777777">
        <w:trPr>
          <w:trHeight w:val="255"/>
        </w:trPr>
        <w:tc>
          <w:tcPr>
            <w:tcW w:w="5530" w:type="dxa"/>
            <w:tcBorders>
              <w:top w:val="single" w:sz="4" w:space="0" w:color="016794"/>
              <w:left w:val="nil"/>
              <w:bottom w:val="single" w:sz="4" w:space="0" w:color="016794"/>
              <w:right w:val="nil"/>
              <w:tl2br w:val="nil"/>
              <w:tr2bl w:val="nil"/>
            </w:tcBorders>
            <w:tcMar>
              <w:left w:w="60" w:type="dxa"/>
              <w:right w:w="60" w:type="dxa"/>
            </w:tcMar>
            <w:vAlign w:val="center"/>
          </w:tcPr>
          <w:p w14:paraId="2D96B1AE" w14:textId="77777777" w:rsidR="00807FFE" w:rsidRDefault="00023E71">
            <w:pPr>
              <w:pStyle w:val="DMETW36745BIPOthAm"/>
              <w:rPr>
                <w:rFonts w:ascii="Verdana" w:eastAsia="Verdana" w:hAnsi="Verdana" w:cs="Verdana"/>
                <w:b/>
                <w:noProof/>
                <w:color w:val="000000"/>
                <w:sz w:val="18"/>
              </w:rPr>
            </w:pPr>
            <w:r>
              <w:rPr>
                <w:rFonts w:ascii="Verdana" w:eastAsia="Verdana" w:hAnsi="Verdana" w:cs="Verdana"/>
                <w:b/>
                <w:noProof/>
                <w:color w:val="000000"/>
                <w:sz w:val="18"/>
              </w:rPr>
              <w:t>Total</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14:paraId="092B2DC4" w14:textId="77777777" w:rsidR="00807FFE" w:rsidRDefault="00023E71">
            <w:pPr>
              <w:pStyle w:val="DMETW36745BIPOthAm"/>
              <w:jc w:val="right"/>
              <w:rPr>
                <w:rFonts w:ascii="Verdana" w:eastAsia="Verdana" w:hAnsi="Verdana" w:cs="Verdana"/>
                <w:b/>
                <w:noProof/>
                <w:color w:val="000000"/>
                <w:sz w:val="18"/>
              </w:rPr>
            </w:pPr>
            <w:r>
              <w:rPr>
                <w:rFonts w:ascii="Verdana" w:eastAsia="Verdana" w:hAnsi="Verdana" w:cs="Verdana"/>
                <w:b/>
                <w:noProof/>
                <w:color w:val="000000"/>
                <w:sz w:val="18"/>
              </w:rPr>
              <w:t>(1 165)</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14:paraId="58876B9A" w14:textId="77777777" w:rsidR="00807FFE" w:rsidRDefault="00023E71">
            <w:pPr>
              <w:pStyle w:val="DMETW36745BIPOthAm"/>
              <w:jc w:val="right"/>
              <w:rPr>
                <w:rFonts w:ascii="Verdana" w:eastAsia="Verdana" w:hAnsi="Verdana" w:cs="Verdana"/>
                <w:b/>
                <w:noProof/>
                <w:color w:val="000000"/>
                <w:sz w:val="18"/>
                <w:lang w:bidi="en-GB"/>
              </w:rPr>
            </w:pPr>
            <w:r>
              <w:rPr>
                <w:rFonts w:ascii="Verdana" w:eastAsia="Verdana" w:hAnsi="Verdana" w:cs="Verdana"/>
                <w:b/>
                <w:noProof/>
                <w:color w:val="000000"/>
                <w:sz w:val="18"/>
              </w:rPr>
              <w:t>(1 806)</w:t>
            </w:r>
          </w:p>
        </w:tc>
      </w:tr>
      <w:tr w:rsidR="00807FFE" w14:paraId="5BAC2A2F" w14:textId="77777777">
        <w:trPr>
          <w:trHeight w:val="255"/>
        </w:trPr>
        <w:tc>
          <w:tcPr>
            <w:tcW w:w="5530" w:type="dxa"/>
            <w:tcBorders>
              <w:top w:val="single" w:sz="4" w:space="0" w:color="016794"/>
              <w:left w:val="nil"/>
              <w:bottom w:val="nil"/>
              <w:right w:val="nil"/>
              <w:tl2br w:val="nil"/>
              <w:tr2bl w:val="nil"/>
            </w:tcBorders>
            <w:tcMar>
              <w:left w:w="60" w:type="dxa"/>
              <w:right w:w="60" w:type="dxa"/>
            </w:tcMar>
            <w:vAlign w:val="center"/>
          </w:tcPr>
          <w:p w14:paraId="2133249A" w14:textId="77777777" w:rsidR="00807FFE" w:rsidRDefault="00023E71">
            <w:pPr>
              <w:pStyle w:val="DMETW36745BIPOthAm"/>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2114" w:type="dxa"/>
            <w:tcBorders>
              <w:top w:val="single" w:sz="4" w:space="0" w:color="016794"/>
              <w:left w:val="nil"/>
              <w:bottom w:val="nil"/>
              <w:right w:val="nil"/>
              <w:tl2br w:val="nil"/>
              <w:tr2bl w:val="nil"/>
            </w:tcBorders>
            <w:tcMar>
              <w:left w:w="60" w:type="dxa"/>
              <w:right w:w="60" w:type="dxa"/>
            </w:tcMar>
            <w:vAlign w:val="bottom"/>
          </w:tcPr>
          <w:p w14:paraId="420FF5CC" w14:textId="77777777" w:rsidR="00807FFE" w:rsidRDefault="00023E71">
            <w:pPr>
              <w:pStyle w:val="DMETW36745BIPOthAm"/>
              <w:jc w:val="right"/>
              <w:rPr>
                <w:rFonts w:ascii="Verdana" w:eastAsia="Verdana" w:hAnsi="Verdana" w:cs="Verdana"/>
                <w:i/>
                <w:noProof/>
                <w:color w:val="016794"/>
                <w:sz w:val="18"/>
              </w:rPr>
            </w:pPr>
            <w:r>
              <w:rPr>
                <w:rFonts w:ascii="Verdana" w:eastAsia="Verdana" w:hAnsi="Verdana" w:cs="Verdana"/>
                <w:i/>
                <w:noProof/>
                <w:color w:val="016794"/>
                <w:sz w:val="18"/>
              </w:rPr>
              <w:t xml:space="preserve"> (915)</w:t>
            </w:r>
          </w:p>
        </w:tc>
        <w:tc>
          <w:tcPr>
            <w:tcW w:w="2114" w:type="dxa"/>
            <w:tcBorders>
              <w:top w:val="single" w:sz="4" w:space="0" w:color="016794"/>
              <w:left w:val="nil"/>
              <w:bottom w:val="nil"/>
              <w:right w:val="nil"/>
              <w:tl2br w:val="nil"/>
              <w:tr2bl w:val="nil"/>
            </w:tcBorders>
            <w:tcMar>
              <w:left w:w="60" w:type="dxa"/>
              <w:right w:w="60" w:type="dxa"/>
            </w:tcMar>
            <w:vAlign w:val="bottom"/>
          </w:tcPr>
          <w:p w14:paraId="79556261" w14:textId="77777777" w:rsidR="00807FFE" w:rsidRDefault="00023E71">
            <w:pPr>
              <w:pStyle w:val="DMETW36745BIPOthAm"/>
              <w:jc w:val="right"/>
              <w:rPr>
                <w:rFonts w:ascii="Verdana" w:eastAsia="Verdana" w:hAnsi="Verdana" w:cs="Verdana"/>
                <w:i/>
                <w:noProof/>
                <w:color w:val="016794"/>
                <w:sz w:val="18"/>
                <w:lang w:bidi="en-GB"/>
              </w:rPr>
            </w:pPr>
            <w:r>
              <w:rPr>
                <w:rFonts w:ascii="Verdana" w:eastAsia="Verdana" w:hAnsi="Verdana" w:cs="Verdana"/>
                <w:i/>
                <w:noProof/>
                <w:color w:val="016794"/>
                <w:sz w:val="18"/>
              </w:rPr>
              <w:t>(1 040)</w:t>
            </w:r>
          </w:p>
        </w:tc>
      </w:tr>
      <w:tr w:rsidR="00807FFE" w14:paraId="5097BC5D" w14:textId="77777777">
        <w:trPr>
          <w:trHeight w:val="255"/>
        </w:trPr>
        <w:tc>
          <w:tcPr>
            <w:tcW w:w="5530" w:type="dxa"/>
            <w:tcBorders>
              <w:top w:val="nil"/>
              <w:left w:val="nil"/>
              <w:bottom w:val="nil"/>
              <w:right w:val="nil"/>
              <w:tl2br w:val="nil"/>
              <w:tr2bl w:val="nil"/>
            </w:tcBorders>
            <w:tcMar>
              <w:left w:w="60" w:type="dxa"/>
              <w:right w:w="60" w:type="dxa"/>
            </w:tcMar>
            <w:vAlign w:val="center"/>
          </w:tcPr>
          <w:p w14:paraId="76DB2C28" w14:textId="77777777" w:rsidR="00807FFE" w:rsidRDefault="00023E71">
            <w:pPr>
              <w:pStyle w:val="DMETW36745BIPOthAm"/>
              <w:rPr>
                <w:rFonts w:ascii="Verdana" w:eastAsia="Verdana" w:hAnsi="Verdana" w:cs="Verdana"/>
                <w:i/>
                <w:noProof/>
                <w:color w:val="016794"/>
                <w:sz w:val="18"/>
              </w:rPr>
            </w:pPr>
            <w:r>
              <w:rPr>
                <w:rFonts w:ascii="Verdana" w:eastAsia="Verdana" w:hAnsi="Verdana" w:cs="Verdana"/>
                <w:i/>
                <w:noProof/>
                <w:color w:val="016794"/>
                <w:sz w:val="18"/>
              </w:rPr>
              <w:t>Current</w:t>
            </w:r>
          </w:p>
        </w:tc>
        <w:tc>
          <w:tcPr>
            <w:tcW w:w="2114" w:type="dxa"/>
            <w:tcBorders>
              <w:top w:val="nil"/>
              <w:left w:val="nil"/>
              <w:bottom w:val="nil"/>
              <w:right w:val="nil"/>
              <w:tl2br w:val="nil"/>
              <w:tr2bl w:val="nil"/>
            </w:tcBorders>
            <w:tcMar>
              <w:left w:w="60" w:type="dxa"/>
              <w:right w:w="60" w:type="dxa"/>
            </w:tcMar>
            <w:vAlign w:val="bottom"/>
          </w:tcPr>
          <w:p w14:paraId="5139E7A0" w14:textId="77777777" w:rsidR="00807FFE" w:rsidRDefault="00023E71">
            <w:pPr>
              <w:pStyle w:val="DMETW36745BIPOthAm"/>
              <w:jc w:val="right"/>
              <w:rPr>
                <w:rFonts w:ascii="Verdana" w:eastAsia="Verdana" w:hAnsi="Verdana" w:cs="Verdana"/>
                <w:i/>
                <w:noProof/>
                <w:color w:val="016794"/>
                <w:sz w:val="18"/>
              </w:rPr>
            </w:pPr>
            <w:r>
              <w:rPr>
                <w:rFonts w:ascii="Verdana" w:eastAsia="Verdana" w:hAnsi="Verdana" w:cs="Verdana"/>
                <w:i/>
                <w:noProof/>
                <w:color w:val="016794"/>
                <w:sz w:val="18"/>
              </w:rPr>
              <w:t xml:space="preserve"> (250)</w:t>
            </w:r>
          </w:p>
        </w:tc>
        <w:tc>
          <w:tcPr>
            <w:tcW w:w="2114" w:type="dxa"/>
            <w:tcBorders>
              <w:top w:val="nil"/>
              <w:left w:val="nil"/>
              <w:bottom w:val="nil"/>
              <w:right w:val="nil"/>
              <w:tl2br w:val="nil"/>
              <w:tr2bl w:val="nil"/>
            </w:tcBorders>
            <w:tcMar>
              <w:left w:w="60" w:type="dxa"/>
              <w:right w:w="60" w:type="dxa"/>
            </w:tcMar>
            <w:vAlign w:val="bottom"/>
          </w:tcPr>
          <w:p w14:paraId="3577D0F3" w14:textId="77777777" w:rsidR="00807FFE" w:rsidRDefault="00023E71">
            <w:pPr>
              <w:pStyle w:val="DMETW36745BIPOthAm"/>
              <w:jc w:val="right"/>
              <w:rPr>
                <w:rFonts w:ascii="Verdana" w:eastAsia="Verdana" w:hAnsi="Verdana" w:cs="Verdana"/>
                <w:i/>
                <w:noProof/>
                <w:color w:val="016794"/>
                <w:sz w:val="18"/>
              </w:rPr>
            </w:pPr>
            <w:r>
              <w:rPr>
                <w:rFonts w:ascii="Verdana" w:eastAsia="Verdana" w:hAnsi="Verdana" w:cs="Verdana"/>
                <w:i/>
                <w:noProof/>
                <w:color w:val="016794"/>
                <w:sz w:val="18"/>
              </w:rPr>
              <w:t xml:space="preserve"> (766)</w:t>
            </w:r>
          </w:p>
        </w:tc>
      </w:tr>
    </w:tbl>
    <w:p w14:paraId="68221D90" w14:textId="77777777" w:rsidR="007C7B47" w:rsidRPr="00F60F31" w:rsidRDefault="00023E71" w:rsidP="00A23B74">
      <w:pPr>
        <w:pStyle w:val="DGTextstand-alone"/>
        <w:spacing w:before="360"/>
        <w:rPr>
          <w:i/>
          <w:color w:val="016794"/>
        </w:rPr>
      </w:pPr>
      <w:r w:rsidRPr="00F60F31">
        <w:rPr>
          <w:i/>
          <w:color w:val="016794"/>
        </w:rPr>
        <w:t>Article 136 – Provisions applicable in relation to own resources</w:t>
      </w:r>
    </w:p>
    <w:p w14:paraId="7FD51F16" w14:textId="77777777" w:rsidR="007C6CF2" w:rsidRPr="00B425BA" w:rsidRDefault="00023E71" w:rsidP="007C6CF2">
      <w:pPr>
        <w:pStyle w:val="DGTextstand-alone"/>
      </w:pPr>
      <w:r w:rsidRPr="00134EFB">
        <w:t>Article 136 lays down the provisions applicable after 31 December 2020 in relation to own resources. The UK is entitled to receive its share or obliged to pay its share, as the case may be, where own resources relating to the financial years up to and including 2020 are to be made available, corrected or subject to adjustments after 31 December 2020. Thus, the UK is subject to any adjustments to VAT and GNI own resources that relate to the financial years up to and including 2020. However, these VAT and GNI adjustments will only be made if decided upon no later than 31 December 2028</w:t>
      </w:r>
      <w:r w:rsidR="008603FE" w:rsidRPr="00B425BA">
        <w:t>.</w:t>
      </w:r>
    </w:p>
    <w:p w14:paraId="2E167FE9" w14:textId="77777777" w:rsidR="007C6CF2" w:rsidRDefault="00023E71" w:rsidP="007C6CF2">
      <w:pPr>
        <w:pStyle w:val="DGTextstand-alone"/>
      </w:pPr>
      <w:r w:rsidRPr="00134EFB">
        <w:t>In accordance with Article 136 of the Withdrawal Agreement, the UK authorities continue to send monthly A account statements providing a summary of the amounts of traditional own resources due to the EU budget. These amounts (minus applicable retention rate) are included in the total amounts of the subsequent invoice referred to in Article 148 (2) of the Withdrawal Agreement (see next paragraph). If those amounts are paid late, interest is due under Article 12 of Regulation (EU, Euratom) No 609/2014</w:t>
      </w:r>
      <w:r w:rsidR="008603FE">
        <w:t>.</w:t>
      </w:r>
    </w:p>
    <w:p w14:paraId="3035DD4B" w14:textId="77777777" w:rsidR="00861CE0" w:rsidRPr="00861CE0" w:rsidRDefault="00023E71" w:rsidP="007C6CF2">
      <w:pPr>
        <w:pStyle w:val="DGTextstand-alone"/>
      </w:pPr>
      <w:r>
        <w:t>T</w:t>
      </w:r>
      <w:r w:rsidRPr="00B425BA">
        <w:t xml:space="preserve">he UK is </w:t>
      </w:r>
      <w:r>
        <w:t xml:space="preserve">therefore </w:t>
      </w:r>
      <w:r w:rsidRPr="00B425BA">
        <w:t>required to pay the traditional own resources collected by them after 28</w:t>
      </w:r>
      <w:r>
        <w:t> </w:t>
      </w:r>
      <w:r w:rsidRPr="00B425BA">
        <w:t>February</w:t>
      </w:r>
      <w:r>
        <w:t> </w:t>
      </w:r>
      <w:r w:rsidRPr="00B425BA">
        <w:t>2021, but relat</w:t>
      </w:r>
      <w:r>
        <w:t>ing</w:t>
      </w:r>
      <w:r w:rsidRPr="00B425BA">
        <w:t xml:space="preserve"> to the years 2020 and earlier. Their share of the total made available is to be deducted from this amount. The </w:t>
      </w:r>
      <w:r w:rsidRPr="00861CE0">
        <w:t xml:space="preserve">separate account for traditional own resources </w:t>
      </w:r>
      <w:r>
        <w:t xml:space="preserve">must </w:t>
      </w:r>
      <w:r w:rsidRPr="00861CE0">
        <w:t>be fully liquidated at 31</w:t>
      </w:r>
      <w:r>
        <w:t> </w:t>
      </w:r>
      <w:r w:rsidRPr="00861CE0">
        <w:t>December 2025</w:t>
      </w:r>
      <w:r w:rsidR="00134EFB">
        <w:t xml:space="preserve">. </w:t>
      </w:r>
      <w:r w:rsidR="00134EFB" w:rsidRPr="00134EFB">
        <w:t>Thus the UK will make available a share, calculated according to Article 136(3)f, of the outstanding amounts at that date that are not subject to European Commission inspection findings</w:t>
      </w:r>
      <w:r w:rsidRPr="00861CE0">
        <w:t>.</w:t>
      </w:r>
    </w:p>
    <w:p w14:paraId="1D77634F" w14:textId="77777777" w:rsidR="00F23EA6" w:rsidRDefault="00023E71" w:rsidP="00861CE0">
      <w:pPr>
        <w:pStyle w:val="DGTextstand-alone"/>
        <w:spacing w:after="0"/>
      </w:pPr>
      <w:r w:rsidRPr="00134EFB">
        <w:t xml:space="preserve">The net outstanding amount due from the UK at 31 December 2025 is EUR </w:t>
      </w:r>
      <w:r>
        <w:t xml:space="preserve">133 </w:t>
      </w:r>
      <w:r w:rsidRPr="00134EFB">
        <w:t xml:space="preserve">million (2024: EUR 8 million), of which EUR </w:t>
      </w:r>
      <w:r>
        <w:t xml:space="preserve">130 </w:t>
      </w:r>
      <w:r w:rsidRPr="00134EFB">
        <w:t>million will have to be paid by the UK within the 12 months following the year-end and EUR 2 million afterwards</w:t>
      </w:r>
      <w:r w:rsidR="008603FE">
        <w:t>.</w:t>
      </w:r>
    </w:p>
    <w:p w14:paraId="0829981B" w14:textId="77777777" w:rsidR="00F23EA6" w:rsidRDefault="00F23EA6">
      <w:pPr>
        <w:rPr>
          <w:rFonts w:ascii="Verdana" w:eastAsia="Calibri" w:hAnsi="Verdana"/>
          <w:noProof/>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9"/>
        <w:gridCol w:w="2699"/>
      </w:tblGrid>
      <w:tr w:rsidR="00807FFE" w14:paraId="7136C786" w14:textId="77777777">
        <w:trPr>
          <w:trHeight w:val="255"/>
        </w:trPr>
        <w:tc>
          <w:tcPr>
            <w:tcW w:w="7059" w:type="dxa"/>
            <w:tcBorders>
              <w:top w:val="nil"/>
              <w:left w:val="nil"/>
              <w:bottom w:val="nil"/>
              <w:right w:val="nil"/>
              <w:tl2br w:val="nil"/>
              <w:tr2bl w:val="nil"/>
            </w:tcBorders>
            <w:tcMar>
              <w:left w:w="60" w:type="dxa"/>
              <w:right w:w="60" w:type="dxa"/>
            </w:tcMar>
            <w:vAlign w:val="bottom"/>
          </w:tcPr>
          <w:p w14:paraId="3EBD0572" w14:textId="77777777" w:rsidR="00807FFE" w:rsidRDefault="00807FFE">
            <w:pPr>
              <w:pStyle w:val="DMETW36745BIPArt136"/>
              <w:rPr>
                <w:rFonts w:ascii="Arial" w:eastAsia="Arial" w:hAnsi="Arial" w:cs="Arial"/>
                <w:noProof/>
                <w:color w:val="000000"/>
                <w:lang w:bidi="en-GB"/>
              </w:rPr>
            </w:pPr>
            <w:bookmarkStart w:id="132" w:name="DOC_TBL00038_1_1"/>
            <w:bookmarkEnd w:id="132"/>
          </w:p>
        </w:tc>
        <w:tc>
          <w:tcPr>
            <w:tcW w:w="2699" w:type="dxa"/>
            <w:tcBorders>
              <w:top w:val="nil"/>
              <w:left w:val="nil"/>
              <w:bottom w:val="nil"/>
              <w:right w:val="nil"/>
              <w:tl2br w:val="nil"/>
              <w:tr2bl w:val="nil"/>
            </w:tcBorders>
            <w:tcMar>
              <w:left w:w="60" w:type="dxa"/>
              <w:right w:w="60" w:type="dxa"/>
            </w:tcMar>
            <w:vAlign w:val="bottom"/>
          </w:tcPr>
          <w:p w14:paraId="7486C4BF" w14:textId="77777777" w:rsidR="00807FFE" w:rsidRDefault="00023E71">
            <w:pPr>
              <w:pStyle w:val="DMETW36745BIPArt136"/>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493988F" w14:textId="77777777">
        <w:trPr>
          <w:trHeight w:val="255"/>
        </w:trPr>
        <w:tc>
          <w:tcPr>
            <w:tcW w:w="7059" w:type="dxa"/>
            <w:tcBorders>
              <w:top w:val="nil"/>
              <w:left w:val="nil"/>
              <w:bottom w:val="nil"/>
              <w:right w:val="nil"/>
              <w:tl2br w:val="nil"/>
              <w:tr2bl w:val="nil"/>
            </w:tcBorders>
            <w:shd w:val="solid" w:color="016794" w:fill="FFFFFF"/>
            <w:tcMar>
              <w:left w:w="60" w:type="dxa"/>
              <w:right w:w="60" w:type="dxa"/>
            </w:tcMar>
            <w:vAlign w:val="center"/>
          </w:tcPr>
          <w:p w14:paraId="5D914E7F" w14:textId="77777777" w:rsidR="00807FFE" w:rsidRDefault="00807FFE">
            <w:pPr>
              <w:pStyle w:val="DMETW36745BIPArt136"/>
              <w:jc w:val="center"/>
              <w:rPr>
                <w:rFonts w:ascii="Verdana" w:eastAsia="Verdana" w:hAnsi="Verdana" w:cs="Verdana"/>
                <w:noProof/>
                <w:color w:val="FFFFFF"/>
              </w:rPr>
            </w:pPr>
          </w:p>
        </w:tc>
        <w:tc>
          <w:tcPr>
            <w:tcW w:w="2699" w:type="dxa"/>
            <w:tcBorders>
              <w:top w:val="nil"/>
              <w:left w:val="nil"/>
              <w:bottom w:val="nil"/>
              <w:right w:val="nil"/>
              <w:tl2br w:val="nil"/>
              <w:tr2bl w:val="nil"/>
            </w:tcBorders>
            <w:shd w:val="solid" w:color="016794" w:fill="FFFFFF"/>
            <w:tcMar>
              <w:left w:w="60" w:type="dxa"/>
              <w:right w:w="60" w:type="dxa"/>
            </w:tcMar>
            <w:vAlign w:val="center"/>
          </w:tcPr>
          <w:p w14:paraId="2A7D50DB" w14:textId="77777777" w:rsidR="00807FFE" w:rsidRDefault="00807FFE">
            <w:pPr>
              <w:pStyle w:val="DMETW36745BIPArt136"/>
              <w:jc w:val="right"/>
              <w:rPr>
                <w:rFonts w:ascii="Verdana" w:eastAsia="Verdana" w:hAnsi="Verdana" w:cs="Verdana"/>
                <w:noProof/>
                <w:color w:val="FFFFFF"/>
                <w:lang w:bidi="en-GB"/>
              </w:rPr>
            </w:pPr>
          </w:p>
        </w:tc>
      </w:tr>
      <w:tr w:rsidR="00807FFE" w14:paraId="36EBE64F" w14:textId="77777777">
        <w:trPr>
          <w:trHeight w:val="255"/>
        </w:trPr>
        <w:tc>
          <w:tcPr>
            <w:tcW w:w="7059" w:type="dxa"/>
            <w:tcBorders>
              <w:top w:val="nil"/>
              <w:left w:val="nil"/>
              <w:bottom w:val="nil"/>
              <w:right w:val="nil"/>
              <w:tl2br w:val="nil"/>
              <w:tr2bl w:val="nil"/>
            </w:tcBorders>
            <w:tcMar>
              <w:left w:w="60" w:type="dxa"/>
              <w:right w:w="60" w:type="dxa"/>
            </w:tcMar>
            <w:vAlign w:val="center"/>
          </w:tcPr>
          <w:p w14:paraId="4D5065DD" w14:textId="77777777" w:rsidR="00807FFE" w:rsidRDefault="00023E71">
            <w:pPr>
              <w:pStyle w:val="DMETW36745BIPArt136"/>
              <w:rPr>
                <w:rFonts w:ascii="Verdana" w:eastAsia="Verdana" w:hAnsi="Verdana" w:cs="Verdana"/>
                <w:b/>
                <w:noProof/>
                <w:color w:val="000000"/>
                <w:sz w:val="18"/>
              </w:rPr>
            </w:pPr>
            <w:r>
              <w:rPr>
                <w:rFonts w:ascii="Verdana" w:eastAsia="Verdana" w:hAnsi="Verdana" w:cs="Verdana"/>
                <w:b/>
                <w:noProof/>
                <w:color w:val="000000"/>
                <w:sz w:val="18"/>
              </w:rPr>
              <w:t>Amount due to (-)/from (+) the UK at 31.12.2024</w:t>
            </w:r>
          </w:p>
        </w:tc>
        <w:tc>
          <w:tcPr>
            <w:tcW w:w="2699" w:type="dxa"/>
            <w:tcBorders>
              <w:top w:val="nil"/>
              <w:left w:val="nil"/>
              <w:bottom w:val="nil"/>
              <w:right w:val="nil"/>
              <w:tl2br w:val="nil"/>
              <w:tr2bl w:val="nil"/>
            </w:tcBorders>
            <w:tcMar>
              <w:left w:w="60" w:type="dxa"/>
              <w:right w:w="60" w:type="dxa"/>
            </w:tcMar>
            <w:vAlign w:val="bottom"/>
          </w:tcPr>
          <w:p w14:paraId="2060A6CE" w14:textId="77777777" w:rsidR="00807FFE" w:rsidRDefault="00023E71">
            <w:pPr>
              <w:pStyle w:val="DMETW36745BIPArt136"/>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8</w:t>
            </w:r>
          </w:p>
        </w:tc>
      </w:tr>
      <w:tr w:rsidR="00807FFE" w14:paraId="59D02D62" w14:textId="77777777">
        <w:trPr>
          <w:trHeight w:val="255"/>
        </w:trPr>
        <w:tc>
          <w:tcPr>
            <w:tcW w:w="7059" w:type="dxa"/>
            <w:tcBorders>
              <w:top w:val="nil"/>
              <w:left w:val="nil"/>
              <w:bottom w:val="nil"/>
              <w:right w:val="nil"/>
              <w:tl2br w:val="nil"/>
              <w:tr2bl w:val="nil"/>
            </w:tcBorders>
            <w:tcMar>
              <w:left w:w="60" w:type="dxa"/>
              <w:right w:w="60" w:type="dxa"/>
            </w:tcMar>
            <w:vAlign w:val="center"/>
          </w:tcPr>
          <w:p w14:paraId="12EF2464" w14:textId="77777777" w:rsidR="00807FFE" w:rsidRDefault="00023E71">
            <w:pPr>
              <w:pStyle w:val="DMETW36745BIPArt136"/>
              <w:rPr>
                <w:rFonts w:ascii="Verdana" w:eastAsia="Verdana" w:hAnsi="Verdana" w:cs="Verdana"/>
                <w:i/>
                <w:noProof/>
                <w:color w:val="000000"/>
                <w:sz w:val="18"/>
              </w:rPr>
            </w:pPr>
            <w:r>
              <w:rPr>
                <w:rFonts w:ascii="Verdana" w:eastAsia="Verdana" w:hAnsi="Verdana" w:cs="Verdana"/>
                <w:i/>
                <w:noProof/>
                <w:color w:val="000000"/>
                <w:sz w:val="18"/>
              </w:rPr>
              <w:t>Adjustment of estimate for amounts invoiced in 2025</w:t>
            </w:r>
          </w:p>
        </w:tc>
        <w:tc>
          <w:tcPr>
            <w:tcW w:w="2699" w:type="dxa"/>
            <w:tcBorders>
              <w:top w:val="nil"/>
              <w:left w:val="nil"/>
              <w:bottom w:val="nil"/>
              <w:right w:val="nil"/>
              <w:tl2br w:val="nil"/>
              <w:tr2bl w:val="nil"/>
            </w:tcBorders>
            <w:tcMar>
              <w:left w:w="60" w:type="dxa"/>
              <w:right w:w="60" w:type="dxa"/>
            </w:tcMar>
            <w:vAlign w:val="bottom"/>
          </w:tcPr>
          <w:p w14:paraId="7B53D2F0" w14:textId="77777777" w:rsidR="00807FFE" w:rsidRDefault="00023E71">
            <w:pPr>
              <w:pStyle w:val="DMETW36745BIPArt136"/>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14</w:t>
            </w:r>
          </w:p>
        </w:tc>
      </w:tr>
      <w:tr w:rsidR="00807FFE" w14:paraId="6F28FC69" w14:textId="77777777">
        <w:trPr>
          <w:trHeight w:val="255"/>
        </w:trPr>
        <w:tc>
          <w:tcPr>
            <w:tcW w:w="7059" w:type="dxa"/>
            <w:tcBorders>
              <w:top w:val="nil"/>
              <w:left w:val="nil"/>
              <w:bottom w:val="nil"/>
              <w:right w:val="nil"/>
              <w:tl2br w:val="nil"/>
              <w:tr2bl w:val="nil"/>
            </w:tcBorders>
            <w:tcMar>
              <w:left w:w="60" w:type="dxa"/>
              <w:right w:w="60" w:type="dxa"/>
            </w:tcMar>
            <w:vAlign w:val="center"/>
          </w:tcPr>
          <w:p w14:paraId="2269ED88" w14:textId="77777777" w:rsidR="00807FFE" w:rsidRDefault="00023E71">
            <w:pPr>
              <w:pStyle w:val="DMETW36745BIPArt136"/>
              <w:rPr>
                <w:rFonts w:ascii="Verdana" w:eastAsia="Verdana" w:hAnsi="Verdana" w:cs="Verdana"/>
                <w:i/>
                <w:noProof/>
                <w:color w:val="000000"/>
                <w:sz w:val="18"/>
              </w:rPr>
            </w:pPr>
            <w:r>
              <w:rPr>
                <w:rFonts w:ascii="Verdana" w:eastAsia="Verdana" w:hAnsi="Verdana" w:cs="Verdana"/>
                <w:i/>
                <w:noProof/>
                <w:color w:val="000000"/>
                <w:sz w:val="18"/>
              </w:rPr>
              <w:t>Payments made to the UK in 2025</w:t>
            </w:r>
          </w:p>
        </w:tc>
        <w:tc>
          <w:tcPr>
            <w:tcW w:w="2699" w:type="dxa"/>
            <w:tcBorders>
              <w:top w:val="nil"/>
              <w:left w:val="nil"/>
              <w:bottom w:val="nil"/>
              <w:right w:val="nil"/>
              <w:tl2br w:val="nil"/>
              <w:tr2bl w:val="nil"/>
            </w:tcBorders>
            <w:tcMar>
              <w:left w:w="60" w:type="dxa"/>
              <w:right w:w="60" w:type="dxa"/>
            </w:tcMar>
            <w:vAlign w:val="bottom"/>
          </w:tcPr>
          <w:p w14:paraId="54CA4795" w14:textId="77777777" w:rsidR="00807FFE" w:rsidRDefault="00023E71">
            <w:pPr>
              <w:pStyle w:val="DMETW36745BIPArt136"/>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107</w:t>
            </w:r>
          </w:p>
        </w:tc>
      </w:tr>
      <w:tr w:rsidR="00807FFE" w14:paraId="709A41C5" w14:textId="77777777">
        <w:trPr>
          <w:trHeight w:val="255"/>
        </w:trPr>
        <w:tc>
          <w:tcPr>
            <w:tcW w:w="7059" w:type="dxa"/>
            <w:tcBorders>
              <w:top w:val="nil"/>
              <w:left w:val="nil"/>
              <w:bottom w:val="nil"/>
              <w:right w:val="nil"/>
              <w:tl2br w:val="nil"/>
              <w:tr2bl w:val="nil"/>
            </w:tcBorders>
            <w:tcMar>
              <w:left w:w="60" w:type="dxa"/>
              <w:right w:w="60" w:type="dxa"/>
            </w:tcMar>
            <w:vAlign w:val="center"/>
          </w:tcPr>
          <w:p w14:paraId="12684DD2" w14:textId="77777777" w:rsidR="00807FFE" w:rsidRDefault="00023E71">
            <w:pPr>
              <w:pStyle w:val="DMETW36745BIPArt136"/>
              <w:rPr>
                <w:rFonts w:ascii="Verdana" w:eastAsia="Verdana" w:hAnsi="Verdana" w:cs="Verdana"/>
                <w:i/>
                <w:noProof/>
                <w:color w:val="000000"/>
                <w:sz w:val="18"/>
              </w:rPr>
            </w:pPr>
            <w:r>
              <w:rPr>
                <w:rFonts w:ascii="Verdana" w:eastAsia="Verdana" w:hAnsi="Verdana" w:cs="Verdana"/>
                <w:i/>
                <w:noProof/>
                <w:color w:val="000000"/>
                <w:sz w:val="18"/>
              </w:rPr>
              <w:t>VAT and GNI adjustments (balances exercise 2024)</w:t>
            </w:r>
          </w:p>
        </w:tc>
        <w:tc>
          <w:tcPr>
            <w:tcW w:w="2699" w:type="dxa"/>
            <w:tcBorders>
              <w:top w:val="nil"/>
              <w:left w:val="nil"/>
              <w:bottom w:val="nil"/>
              <w:right w:val="nil"/>
              <w:tl2br w:val="nil"/>
              <w:tr2bl w:val="nil"/>
            </w:tcBorders>
            <w:tcMar>
              <w:left w:w="60" w:type="dxa"/>
              <w:right w:w="60" w:type="dxa"/>
            </w:tcMar>
            <w:vAlign w:val="bottom"/>
          </w:tcPr>
          <w:p w14:paraId="467E2690" w14:textId="77777777" w:rsidR="00807FFE" w:rsidRDefault="00023E71">
            <w:pPr>
              <w:pStyle w:val="DMETW36745BIPArt136"/>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w:t>
            </w:r>
          </w:p>
        </w:tc>
      </w:tr>
      <w:tr w:rsidR="00807FFE" w14:paraId="67B23F70" w14:textId="77777777">
        <w:trPr>
          <w:trHeight w:val="255"/>
        </w:trPr>
        <w:tc>
          <w:tcPr>
            <w:tcW w:w="7059" w:type="dxa"/>
            <w:tcBorders>
              <w:top w:val="nil"/>
              <w:left w:val="nil"/>
              <w:bottom w:val="nil"/>
              <w:right w:val="nil"/>
              <w:tl2br w:val="nil"/>
              <w:tr2bl w:val="nil"/>
            </w:tcBorders>
            <w:tcMar>
              <w:left w:w="60" w:type="dxa"/>
              <w:right w:w="60" w:type="dxa"/>
            </w:tcMar>
            <w:vAlign w:val="center"/>
          </w:tcPr>
          <w:p w14:paraId="68DA0C23" w14:textId="77777777" w:rsidR="00807FFE" w:rsidRDefault="00023E71">
            <w:pPr>
              <w:pStyle w:val="DMETW36745BIPArt136"/>
              <w:rPr>
                <w:rFonts w:ascii="Verdana" w:eastAsia="Verdana" w:hAnsi="Verdana" w:cs="Verdana"/>
                <w:i/>
                <w:noProof/>
                <w:color w:val="000000"/>
                <w:sz w:val="18"/>
              </w:rPr>
            </w:pPr>
            <w:r>
              <w:rPr>
                <w:rFonts w:ascii="Verdana" w:eastAsia="Verdana" w:hAnsi="Verdana" w:cs="Verdana"/>
                <w:i/>
                <w:noProof/>
                <w:color w:val="000000"/>
                <w:sz w:val="18"/>
              </w:rPr>
              <w:t>Interest on late payment of UK traditional own resources and VAT own resources</w:t>
            </w:r>
          </w:p>
        </w:tc>
        <w:tc>
          <w:tcPr>
            <w:tcW w:w="2699" w:type="dxa"/>
            <w:tcBorders>
              <w:top w:val="nil"/>
              <w:left w:val="nil"/>
              <w:bottom w:val="nil"/>
              <w:right w:val="nil"/>
              <w:tl2br w:val="nil"/>
              <w:tr2bl w:val="nil"/>
            </w:tcBorders>
            <w:tcMar>
              <w:left w:w="60" w:type="dxa"/>
              <w:right w:w="60" w:type="dxa"/>
            </w:tcMar>
            <w:vAlign w:val="bottom"/>
          </w:tcPr>
          <w:p w14:paraId="1010985F" w14:textId="77777777" w:rsidR="00807FFE" w:rsidRDefault="00023E71">
            <w:pPr>
              <w:pStyle w:val="DMETW36745BIPArt136"/>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807FFE" w14:paraId="65BABB01" w14:textId="77777777">
        <w:trPr>
          <w:trHeight w:val="255"/>
        </w:trPr>
        <w:tc>
          <w:tcPr>
            <w:tcW w:w="7059" w:type="dxa"/>
            <w:tcBorders>
              <w:top w:val="nil"/>
              <w:left w:val="nil"/>
              <w:bottom w:val="nil"/>
              <w:right w:val="nil"/>
              <w:tl2br w:val="nil"/>
              <w:tr2bl w:val="nil"/>
            </w:tcBorders>
            <w:tcMar>
              <w:left w:w="60" w:type="dxa"/>
              <w:right w:w="60" w:type="dxa"/>
            </w:tcMar>
            <w:vAlign w:val="center"/>
          </w:tcPr>
          <w:p w14:paraId="3C389E1B" w14:textId="77777777" w:rsidR="00807FFE" w:rsidRDefault="00023E71">
            <w:pPr>
              <w:pStyle w:val="DMETW36745BIPArt136"/>
              <w:rPr>
                <w:rFonts w:ascii="Verdana" w:eastAsia="Verdana" w:hAnsi="Verdana" w:cs="Verdana"/>
                <w:i/>
                <w:noProof/>
                <w:color w:val="000000"/>
                <w:sz w:val="18"/>
              </w:rPr>
            </w:pPr>
            <w:r>
              <w:rPr>
                <w:rFonts w:ascii="Verdana" w:eastAsia="Verdana" w:hAnsi="Verdana" w:cs="Verdana"/>
                <w:i/>
                <w:noProof/>
                <w:color w:val="000000"/>
                <w:sz w:val="18"/>
              </w:rPr>
              <w:t>Share of the pending TOR in the UK separate account by 31 December 2025</w:t>
            </w:r>
          </w:p>
        </w:tc>
        <w:tc>
          <w:tcPr>
            <w:tcW w:w="2699" w:type="dxa"/>
            <w:tcBorders>
              <w:top w:val="nil"/>
              <w:left w:val="nil"/>
              <w:bottom w:val="nil"/>
              <w:right w:val="nil"/>
              <w:tl2br w:val="nil"/>
              <w:tr2bl w:val="nil"/>
            </w:tcBorders>
            <w:tcMar>
              <w:left w:w="60" w:type="dxa"/>
              <w:right w:w="60" w:type="dxa"/>
            </w:tcMar>
            <w:vAlign w:val="bottom"/>
          </w:tcPr>
          <w:p w14:paraId="6316334B" w14:textId="77777777" w:rsidR="00807FFE" w:rsidRDefault="00023E71">
            <w:pPr>
              <w:pStyle w:val="DMETW36745BIPArt136"/>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807FFE" w14:paraId="6B86704C" w14:textId="77777777">
        <w:trPr>
          <w:trHeight w:val="255"/>
        </w:trPr>
        <w:tc>
          <w:tcPr>
            <w:tcW w:w="7059" w:type="dxa"/>
            <w:tcBorders>
              <w:top w:val="nil"/>
              <w:left w:val="nil"/>
              <w:bottom w:val="nil"/>
              <w:right w:val="nil"/>
              <w:tl2br w:val="nil"/>
              <w:tr2bl w:val="nil"/>
            </w:tcBorders>
            <w:tcMar>
              <w:left w:w="60" w:type="dxa"/>
              <w:right w:w="60" w:type="dxa"/>
            </w:tcMar>
            <w:vAlign w:val="center"/>
          </w:tcPr>
          <w:p w14:paraId="47A511BE" w14:textId="77777777" w:rsidR="00807FFE" w:rsidRDefault="00023E71">
            <w:pPr>
              <w:pStyle w:val="DMETW36745BIPArt136"/>
              <w:rPr>
                <w:rFonts w:ascii="Verdana" w:eastAsia="Verdana" w:hAnsi="Verdana" w:cs="Verdana"/>
                <w:i/>
                <w:noProof/>
                <w:color w:val="000000"/>
                <w:sz w:val="18"/>
              </w:rPr>
            </w:pPr>
            <w:r>
              <w:rPr>
                <w:rFonts w:ascii="Verdana" w:eastAsia="Verdana" w:hAnsi="Verdana" w:cs="Verdana"/>
                <w:i/>
                <w:noProof/>
                <w:color w:val="000000"/>
                <w:sz w:val="18"/>
              </w:rPr>
              <w:t>UK net traditional own resources after 28 February 2021</w:t>
            </w:r>
          </w:p>
        </w:tc>
        <w:tc>
          <w:tcPr>
            <w:tcW w:w="2699" w:type="dxa"/>
            <w:tcBorders>
              <w:top w:val="nil"/>
              <w:left w:val="nil"/>
              <w:bottom w:val="nil"/>
              <w:right w:val="nil"/>
              <w:tl2br w:val="nil"/>
              <w:tr2bl w:val="nil"/>
            </w:tcBorders>
            <w:tcMar>
              <w:left w:w="60" w:type="dxa"/>
              <w:right w:w="60" w:type="dxa"/>
            </w:tcMar>
            <w:vAlign w:val="bottom"/>
          </w:tcPr>
          <w:p w14:paraId="22A693F2" w14:textId="77777777" w:rsidR="00807FFE" w:rsidRDefault="00023E71">
            <w:pPr>
              <w:pStyle w:val="DMETW36745BIPArt136"/>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807FFE" w14:paraId="7A38F3E2" w14:textId="77777777">
        <w:trPr>
          <w:trHeight w:val="255"/>
        </w:trPr>
        <w:tc>
          <w:tcPr>
            <w:tcW w:w="7059" w:type="dxa"/>
            <w:tcBorders>
              <w:top w:val="nil"/>
              <w:left w:val="nil"/>
              <w:bottom w:val="single" w:sz="12" w:space="0" w:color="016794"/>
              <w:right w:val="nil"/>
              <w:tl2br w:val="nil"/>
              <w:tr2bl w:val="nil"/>
            </w:tcBorders>
            <w:tcMar>
              <w:left w:w="60" w:type="dxa"/>
              <w:right w:w="60" w:type="dxa"/>
            </w:tcMar>
            <w:vAlign w:val="center"/>
          </w:tcPr>
          <w:p w14:paraId="1F8EF518" w14:textId="77777777" w:rsidR="00807FFE" w:rsidRDefault="00023E71">
            <w:pPr>
              <w:pStyle w:val="DMETW36745BIPArt136"/>
              <w:rPr>
                <w:rFonts w:ascii="Verdana" w:eastAsia="Verdana" w:hAnsi="Verdana" w:cs="Verdana"/>
                <w:i/>
                <w:noProof/>
                <w:color w:val="000000"/>
                <w:sz w:val="18"/>
              </w:rPr>
            </w:pPr>
            <w:r>
              <w:rPr>
                <w:rFonts w:ascii="Verdana" w:eastAsia="Verdana" w:hAnsi="Verdana" w:cs="Verdana"/>
                <w:i/>
                <w:noProof/>
                <w:color w:val="000000"/>
                <w:sz w:val="18"/>
              </w:rPr>
              <w:t>VAT and GNI adjustments (balances exercise 2025)</w:t>
            </w:r>
          </w:p>
        </w:tc>
        <w:tc>
          <w:tcPr>
            <w:tcW w:w="2699" w:type="dxa"/>
            <w:tcBorders>
              <w:top w:val="nil"/>
              <w:left w:val="nil"/>
              <w:bottom w:val="single" w:sz="12" w:space="0" w:color="016794"/>
              <w:right w:val="nil"/>
              <w:tl2br w:val="nil"/>
              <w:tr2bl w:val="nil"/>
            </w:tcBorders>
            <w:tcMar>
              <w:left w:w="60" w:type="dxa"/>
              <w:right w:w="60" w:type="dxa"/>
            </w:tcMar>
            <w:vAlign w:val="bottom"/>
          </w:tcPr>
          <w:p w14:paraId="4A5D5955" w14:textId="77777777" w:rsidR="00807FFE" w:rsidRDefault="00023E71">
            <w:pPr>
              <w:pStyle w:val="DMETW36745BIPArt136"/>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807FFE" w14:paraId="019A9C3F" w14:textId="77777777">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14:paraId="75F1156B" w14:textId="77777777" w:rsidR="00807FFE" w:rsidRDefault="00023E71">
            <w:pPr>
              <w:pStyle w:val="DMETW36745BIPArt136"/>
              <w:rPr>
                <w:rFonts w:ascii="Verdana" w:eastAsia="Verdana" w:hAnsi="Verdana" w:cs="Verdana"/>
                <w:b/>
                <w:noProof/>
                <w:color w:val="000000"/>
                <w:sz w:val="18"/>
              </w:rPr>
            </w:pPr>
            <w:r>
              <w:rPr>
                <w:rFonts w:ascii="Verdana" w:eastAsia="Verdana" w:hAnsi="Verdana" w:cs="Verdana"/>
                <w:b/>
                <w:noProof/>
                <w:color w:val="000000"/>
                <w:sz w:val="18"/>
              </w:rPr>
              <w:t>Amount due to (-)/from (+) the UK at 31.12.2025</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center"/>
          </w:tcPr>
          <w:p w14:paraId="3CCF8E80" w14:textId="77777777" w:rsidR="00807FFE" w:rsidRDefault="00023E71">
            <w:pPr>
              <w:pStyle w:val="DMETW36745BIPArt136"/>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133</w:t>
            </w:r>
          </w:p>
        </w:tc>
      </w:tr>
      <w:tr w:rsidR="00807FFE" w14:paraId="6342911F" w14:textId="77777777">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14:paraId="2368C4E7" w14:textId="77777777" w:rsidR="00807FFE" w:rsidRDefault="00023E71">
            <w:pPr>
              <w:pStyle w:val="DMETW36745BIPArt136"/>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bottom"/>
          </w:tcPr>
          <w:p w14:paraId="05568540" w14:textId="77777777" w:rsidR="00807FFE" w:rsidRDefault="00023E71">
            <w:pPr>
              <w:pStyle w:val="DMETW36745BIPArt136"/>
              <w:jc w:val="right"/>
              <w:rPr>
                <w:rFonts w:ascii="Verdana" w:eastAsia="Verdana" w:hAnsi="Verdana" w:cs="Verdana"/>
                <w:i/>
                <w:noProof/>
                <w:color w:val="016794"/>
                <w:sz w:val="18"/>
                <w:lang w:bidi="en-GB"/>
              </w:rPr>
            </w:pPr>
            <w:r>
              <w:rPr>
                <w:rFonts w:ascii="Verdana" w:eastAsia="Verdana" w:hAnsi="Verdana" w:cs="Verdana"/>
                <w:i/>
                <w:noProof/>
                <w:color w:val="016794"/>
                <w:sz w:val="18"/>
              </w:rPr>
              <w:t xml:space="preserve"> 2</w:t>
            </w:r>
          </w:p>
        </w:tc>
      </w:tr>
      <w:tr w:rsidR="00807FFE" w14:paraId="4FC4B17A" w14:textId="77777777">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14:paraId="0BC6428C" w14:textId="77777777" w:rsidR="00807FFE" w:rsidRDefault="00023E71">
            <w:pPr>
              <w:pStyle w:val="DMETW36745BIPArt136"/>
              <w:rPr>
                <w:rFonts w:ascii="Verdana" w:eastAsia="Verdana" w:hAnsi="Verdana" w:cs="Verdana"/>
                <w:i/>
                <w:noProof/>
                <w:color w:val="016794"/>
                <w:sz w:val="18"/>
              </w:rPr>
            </w:pPr>
            <w:r>
              <w:rPr>
                <w:rFonts w:ascii="Verdana" w:eastAsia="Verdana" w:hAnsi="Verdana" w:cs="Verdana"/>
                <w:i/>
                <w:noProof/>
                <w:color w:val="016794"/>
                <w:sz w:val="18"/>
              </w:rPr>
              <w:t>Current</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bottom"/>
          </w:tcPr>
          <w:p w14:paraId="4FF39C6C" w14:textId="77777777" w:rsidR="00807FFE" w:rsidRDefault="00023E71">
            <w:pPr>
              <w:pStyle w:val="DMETW36745BIPArt136"/>
              <w:jc w:val="right"/>
              <w:rPr>
                <w:rFonts w:ascii="Verdana" w:eastAsia="Verdana" w:hAnsi="Verdana" w:cs="Verdana"/>
                <w:i/>
                <w:noProof/>
                <w:color w:val="016794"/>
                <w:sz w:val="18"/>
              </w:rPr>
            </w:pPr>
            <w:r>
              <w:rPr>
                <w:rFonts w:ascii="Verdana" w:eastAsia="Verdana" w:hAnsi="Verdana" w:cs="Verdana"/>
                <w:i/>
                <w:noProof/>
                <w:color w:val="016794"/>
                <w:sz w:val="18"/>
              </w:rPr>
              <w:t xml:space="preserve"> 130</w:t>
            </w:r>
          </w:p>
        </w:tc>
      </w:tr>
    </w:tbl>
    <w:p w14:paraId="47D971C8" w14:textId="77777777" w:rsidR="006B376E" w:rsidRDefault="00023E71" w:rsidP="006B376E">
      <w:pPr>
        <w:pStyle w:val="DGTextstand-alone"/>
      </w:pPr>
      <w:r>
        <w:t>The amount presented under 'VAT and GNI adjustments (balances exercise 2024)' corresponds to the difference between the actual April 2026 invoice (EUR 109 million) and the estimate already included in the Brexit receivable at year-end 2024 (EUR 121 million).</w:t>
      </w:r>
    </w:p>
    <w:p w14:paraId="7BEEE509" w14:textId="77777777" w:rsidR="006B376E" w:rsidRDefault="00023E71" w:rsidP="006B376E">
      <w:pPr>
        <w:pStyle w:val="DGTextstand-alone"/>
      </w:pPr>
      <w:r>
        <w:t>The amount presented under the line items ‘Interest on late payment of UK traditional and VAT own resources’, ‘Share of the pending TOR in the UK separate account by 31 December 2025’, and ‘UK net traditional own resources after 28 February 2021’ corresponds to the further amounts invoiced in April 2026.</w:t>
      </w:r>
    </w:p>
    <w:p w14:paraId="16D5933E" w14:textId="77777777" w:rsidR="004A0474" w:rsidRDefault="00023E71" w:rsidP="006B376E">
      <w:pPr>
        <w:pStyle w:val="DGTextstand-alone"/>
      </w:pPr>
      <w:r>
        <w:t>The amount presented under 'VAT and GNI adjustments (balances exercise 2025)' corresponds to the estimated amount to be invoiced in April 2027.</w:t>
      </w:r>
    </w:p>
    <w:p w14:paraId="1A7E6680" w14:textId="77777777" w:rsidR="00CC1E4B" w:rsidRPr="00E605C2" w:rsidRDefault="00023E71" w:rsidP="00F60F31">
      <w:pPr>
        <w:pStyle w:val="DGTextstand-alone"/>
        <w:rPr>
          <w:i/>
          <w:color w:val="016794"/>
        </w:rPr>
      </w:pPr>
      <w:r w:rsidRPr="00A06D2B">
        <w:rPr>
          <w:i/>
          <w:color w:val="016794"/>
        </w:rPr>
        <w:t>Article 141 – Fines</w:t>
      </w:r>
    </w:p>
    <w:p w14:paraId="7E2F0015" w14:textId="77777777" w:rsidR="003735B6" w:rsidRPr="00C14E0B" w:rsidRDefault="00023E71" w:rsidP="00F60F31">
      <w:pPr>
        <w:pStyle w:val="DGTextstand-alone"/>
      </w:pPr>
      <w:r w:rsidRPr="003735B6">
        <w:t>The UK is entitled to its share of fines decided before 31 December 2020 and also those decided upon by the Union after 31 December 2020 in a procedure referred to in Article 92(1) when these become definitive. The amount of UK relevant fines which were outstanding at 31 December 2025 is EUR 7.</w:t>
      </w:r>
      <w:r>
        <w:t>6</w:t>
      </w:r>
      <w:r w:rsidRPr="003735B6">
        <w:t xml:space="preserve"> billion (2024: EUR 8.</w:t>
      </w:r>
      <w:r>
        <w:t>9</w:t>
      </w:r>
      <w:r w:rsidRPr="003735B6">
        <w:t xml:space="preserve"> billion). </w:t>
      </w:r>
      <w:r w:rsidRPr="00C14E0B">
        <w:t xml:space="preserve">The net decrease in these fines was EUR </w:t>
      </w:r>
      <w:r>
        <w:t>1.3</w:t>
      </w:r>
      <w:r w:rsidRPr="00C14E0B">
        <w:t xml:space="preserve"> billion (EUR 0.0 of fines issued in 2025 less EUR 0.4 billion of fines confirmed and paid, reduced or cancelled by court decisions less EUR 0.9 billion increase in impairment). The UK’s share of the UK relevant fines outstanding at 31 December 2025 is EUR 0.9 billion (2024: EUR 1.1 billion),</w:t>
      </w:r>
      <w:r w:rsidRPr="00C14E0B">
        <w:rPr>
          <w:rFonts w:ascii="Calibri" w:hAnsi="Calibri" w:cs="Calibri"/>
          <w:sz w:val="22"/>
          <w:szCs w:val="22"/>
          <w:shd w:val="clear" w:color="auto" w:fill="FFFFFF"/>
        </w:rPr>
        <w:t xml:space="preserve"> </w:t>
      </w:r>
      <w:r w:rsidRPr="00C14E0B">
        <w:t>out of which an amount of EUR 89 million will be included in the September 2026 invoice and paid to the UK in the period October 2026 to May 2027. In addition, the UK is entitled to its share of definitive fines which were no longer outstanding at 31 December 2025 (EUR 46 million, to be included in the September 2026 invoice and paid to the UK in the period October 2026 to May 2027) and its share of definitive fines that were invoiced in September 2025 but not yet paid at year-end (EUR 95 million, to be paid to the UK in the period January to May 2026). The total UK’s share of fines thus amounts to EUR 1.09 billion (2024: EUR 1.6 billion), of which EUR 146 million is to be paid within the 12 months following the reporting date (2024: EUR 431 million).</w:t>
      </w:r>
      <w:r w:rsidRPr="00C14E0B">
        <w:rPr>
          <w:strike/>
        </w:rPr>
        <w:t xml:space="preserve"> </w:t>
      </w:r>
    </w:p>
    <w:p w14:paraId="6C231FAF" w14:textId="77777777" w:rsidR="00CC1E4B" w:rsidRPr="00E605C2" w:rsidRDefault="00023E71" w:rsidP="00F60F31">
      <w:pPr>
        <w:pStyle w:val="DGTextstand-alone"/>
        <w:rPr>
          <w:i/>
          <w:color w:val="016794"/>
        </w:rPr>
      </w:pPr>
      <w:r w:rsidRPr="00F50FD4">
        <w:rPr>
          <w:i/>
          <w:color w:val="016794"/>
        </w:rPr>
        <w:t>Articles 143</w:t>
      </w:r>
      <w:r w:rsidR="00D54E80" w:rsidRPr="00F50FD4">
        <w:rPr>
          <w:i/>
          <w:color w:val="016794"/>
        </w:rPr>
        <w:t xml:space="preserve"> </w:t>
      </w:r>
      <w:r w:rsidRPr="00F50FD4">
        <w:rPr>
          <w:i/>
          <w:color w:val="016794"/>
        </w:rPr>
        <w:t xml:space="preserve">– </w:t>
      </w:r>
      <w:bookmarkStart w:id="133" w:name="_Hlk225780812"/>
      <w:r w:rsidRPr="00F50FD4">
        <w:rPr>
          <w:i/>
          <w:color w:val="016794"/>
        </w:rPr>
        <w:t>Contingent financial liabilities: loans for financial assistance, EFSI, EFSD &amp; ELM</w:t>
      </w:r>
      <w:bookmarkEnd w:id="133"/>
    </w:p>
    <w:p w14:paraId="1A8378BC" w14:textId="77777777" w:rsidR="005E4EFC" w:rsidRPr="00C519EF" w:rsidRDefault="00023E71" w:rsidP="00CC1E4B">
      <w:pPr>
        <w:pStyle w:val="DGTextstand-alone"/>
        <w:rPr>
          <w:color w:val="FF0000"/>
        </w:rPr>
      </w:pPr>
      <w:r>
        <w:t>Under</w:t>
      </w:r>
      <w:r w:rsidR="005D6E60" w:rsidRPr="005D6E60">
        <w:t xml:space="preserve"> this article the UK shall be liable to fund its share of the contingent liabilities of the EU in relation to its borrowing, lending and guarantee activities should these crystallise and should they not be covered by existing guarantee funds – see </w:t>
      </w:r>
      <w:r>
        <w:t>N</w:t>
      </w:r>
      <w:r w:rsidR="005D6E60" w:rsidRPr="005D6E60">
        <w:t xml:space="preserve">ote </w:t>
      </w:r>
      <w:r w:rsidR="005D6E60" w:rsidRPr="00FC0A5E">
        <w:rPr>
          <w:b/>
          <w:bCs/>
        </w:rPr>
        <w:t>4.1</w:t>
      </w:r>
      <w:r w:rsidR="005D6E60" w:rsidRPr="005D6E60">
        <w:t xml:space="preserve"> for the related contingent liabilities. The EU will refund to the UK amounts which the UK has already contributed to guarantee funds and which are no longer needed. The UK also has a right to the reflows from operations for which it shares the liability. At 31 December 2025 the amount to be paid to the UK, all within the next 12 months, is EUR 198.3 million (2024: EUR 190.6 million). This amount comprises the UK share of the recoveries and net revenues collected in 2025 (EUR 129.3 million), the excess in provisioning (EUR 42.6 million) and the revenue from asset management (EUR 26.5 million). It also comprises minus EUR 41 thousand of adjustments identified during the agreed-upon review procedures: adjustment for amount of outflows covered by the inflows generated by operations for ELM (EUR 49) and adjustments between 'pre-Brexit' and 'post-Brexit' inflows and outflows covered by the inflows generated by operations for EFSI (EUR 1,246); adjustment of the 2024 split of amounts of outstanding 'pre-Brexit' and 'post-Brexit' guaranteed operations for EFSI (</w:t>
      </w:r>
      <w:r>
        <w:t xml:space="preserve">minus </w:t>
      </w:r>
      <w:r w:rsidR="005D6E60" w:rsidRPr="005D6E60">
        <w:t>EUR 41,899</w:t>
      </w:r>
      <w:r w:rsidRPr="008B0A7D">
        <w:t>).</w:t>
      </w:r>
    </w:p>
    <w:p w14:paraId="40BB7706" w14:textId="77777777" w:rsidR="00CC1E4B" w:rsidRPr="008B0A7D" w:rsidRDefault="00023E71" w:rsidP="00F60F31">
      <w:pPr>
        <w:pStyle w:val="DGTextstand-alone"/>
        <w:rPr>
          <w:i/>
          <w:color w:val="016794"/>
        </w:rPr>
      </w:pPr>
      <w:r w:rsidRPr="008B0A7D">
        <w:rPr>
          <w:i/>
          <w:color w:val="016794"/>
        </w:rPr>
        <w:t>Articles 144 – Financial instruments</w:t>
      </w:r>
    </w:p>
    <w:p w14:paraId="72D1F9E4" w14:textId="77777777" w:rsidR="00C519EF" w:rsidRPr="00C519EF" w:rsidRDefault="00023E71" w:rsidP="00C519EF">
      <w:pPr>
        <w:pStyle w:val="DGTextstand-alone"/>
        <w:rPr>
          <w:color w:val="FF0000"/>
        </w:rPr>
      </w:pPr>
      <w:r w:rsidRPr="008B0A7D">
        <w:t xml:space="preserve">Under </w:t>
      </w:r>
      <w:r w:rsidR="005D6E60" w:rsidRPr="005D6E60">
        <w:t>this article, the EU has committed to refund to the UK its share of the reflows stemming from financial operations approved by the withdrawal date, as well as its share of the disbursements made to financial operations approved after the withdrawal date. At 31 December 2025 the amount to be paid to the UK, all within the next 12 months, is EUR 42.7 million (2024: EUR 57.9 million</w:t>
      </w:r>
      <w:r w:rsidRPr="008B0A7D">
        <w:t>).</w:t>
      </w:r>
    </w:p>
    <w:p w14:paraId="7C6CA26D" w14:textId="77777777" w:rsidR="00CC1E4B" w:rsidRPr="00E605C2" w:rsidRDefault="00023E71" w:rsidP="00F60F31">
      <w:pPr>
        <w:pStyle w:val="DGTextstand-alone"/>
        <w:rPr>
          <w:i/>
          <w:color w:val="016794"/>
        </w:rPr>
      </w:pPr>
      <w:r w:rsidRPr="00E605C2">
        <w:rPr>
          <w:i/>
          <w:color w:val="016794"/>
        </w:rPr>
        <w:t>Article 145 – European Coal and Steel Community in Liquidation (ECSC i.L.)</w:t>
      </w:r>
    </w:p>
    <w:p w14:paraId="6EA02083" w14:textId="77777777" w:rsidR="00CC1E4B" w:rsidRPr="00290E0B" w:rsidRDefault="00023E71" w:rsidP="00CC1E4B">
      <w:pPr>
        <w:pStyle w:val="DGTextstand-alone"/>
      </w:pPr>
      <w:r w:rsidRPr="008B0A7D">
        <w:t>The UK is entitled to its share of the net assets of ECSC i.L. at 31 December 2020, to be paid back in five instalments on 30 June each year, starting in 2021. The net assets of the ECSC i.L. at 31 December 2020 amounted to EUR 1.5 billion</w:t>
      </w:r>
      <w:r>
        <w:t>,</w:t>
      </w:r>
      <w:r w:rsidRPr="008B0A7D">
        <w:t xml:space="preserve"> of which the UK</w:t>
      </w:r>
      <w:r>
        <w:t>’s</w:t>
      </w:r>
      <w:r w:rsidRPr="008B0A7D">
        <w:t xml:space="preserve"> share is EUR 184 million. Following the payment of the </w:t>
      </w:r>
      <w:r w:rsidR="006431B4">
        <w:t xml:space="preserve">fifth and last </w:t>
      </w:r>
      <w:r w:rsidRPr="008B0A7D">
        <w:t>instalment of EUR 37 million in 202</w:t>
      </w:r>
      <w:r w:rsidR="006431B4">
        <w:t>5</w:t>
      </w:r>
      <w:r w:rsidRPr="008B0A7D">
        <w:t xml:space="preserve">, </w:t>
      </w:r>
      <w:r w:rsidRPr="00EB3448">
        <w:t>at 31 December 2025 the UK has repaid all its obligations in relation to this article</w:t>
      </w:r>
      <w:r w:rsidRPr="008B0A7D">
        <w:t>.</w:t>
      </w:r>
    </w:p>
    <w:p w14:paraId="100C379B" w14:textId="77777777" w:rsidR="00CC1E4B" w:rsidRPr="00E605C2" w:rsidRDefault="00023E71" w:rsidP="00F60F31">
      <w:pPr>
        <w:pStyle w:val="DGTextstand-alone"/>
        <w:rPr>
          <w:i/>
          <w:color w:val="016794"/>
        </w:rPr>
      </w:pPr>
      <w:r w:rsidRPr="00E605C2">
        <w:rPr>
          <w:i/>
          <w:color w:val="016794"/>
        </w:rPr>
        <w:t>Article 146 – Investment in the European Investment Fund (EIF)</w:t>
      </w:r>
    </w:p>
    <w:p w14:paraId="3FBDEC15" w14:textId="77777777" w:rsidR="00CC1E4B" w:rsidRPr="00513ED5" w:rsidRDefault="00023E71" w:rsidP="00CC1E4B">
      <w:pPr>
        <w:pStyle w:val="DGTextstand-alone"/>
      </w:pPr>
      <w:r w:rsidRPr="008B0A7D">
        <w:t>The UK is entitled to its share of the EU’s investment in the paid-in share capital of the EIF at 31 December 2020, to be paid back in five instalments on 30 June each year, starting in 2021. The EU’s investment in the EIF paid-in share capital at 31 December 2020 was EUR 267 million of which the UK</w:t>
      </w:r>
      <w:r>
        <w:t>’s</w:t>
      </w:r>
      <w:r w:rsidRPr="008B0A7D">
        <w:t xml:space="preserve"> share is EUR 33 million. Following the payment of the </w:t>
      </w:r>
      <w:r w:rsidR="006431B4">
        <w:t xml:space="preserve">fifth and last </w:t>
      </w:r>
      <w:r w:rsidRPr="008B0A7D">
        <w:t>instalment of EUR 6.6 million in 202</w:t>
      </w:r>
      <w:r w:rsidR="006431B4">
        <w:t>5</w:t>
      </w:r>
      <w:r w:rsidRPr="008B0A7D">
        <w:t xml:space="preserve">, </w:t>
      </w:r>
      <w:r w:rsidRPr="00EB3448">
        <w:t>at 31 December 2025 the UK has repaid all its obligations in relation to this article</w:t>
      </w:r>
      <w:r w:rsidRPr="008B0A7D">
        <w:t>.</w:t>
      </w:r>
    </w:p>
    <w:p w14:paraId="7416B300" w14:textId="77777777" w:rsidR="00CC1E4B" w:rsidRPr="00513ED5" w:rsidRDefault="00023E71" w:rsidP="00F60F31">
      <w:pPr>
        <w:pStyle w:val="DGTextstand-alone"/>
        <w:rPr>
          <w:i/>
          <w:color w:val="016794"/>
        </w:rPr>
      </w:pPr>
      <w:r w:rsidRPr="00513ED5">
        <w:rPr>
          <w:i/>
          <w:color w:val="016794"/>
        </w:rPr>
        <w:t>Article 147 – Legal cases</w:t>
      </w:r>
    </w:p>
    <w:p w14:paraId="25DDEAE2" w14:textId="263D2E97" w:rsidR="00FF7D10" w:rsidRDefault="00023E71" w:rsidP="00CC1E4B">
      <w:pPr>
        <w:pStyle w:val="DGTextstand-alone"/>
      </w:pPr>
      <w:r w:rsidRPr="008B0A7D">
        <w:t xml:space="preserve">The UK has committed to contribute its share of EU payments arising from legal cases concerning the financial interests of the Union </w:t>
      </w:r>
      <w:r>
        <w:t>which</w:t>
      </w:r>
      <w:r w:rsidRPr="008B0A7D">
        <w:t xml:space="preserve"> become due, provided the facts </w:t>
      </w:r>
      <w:r>
        <w:t>that constitute</w:t>
      </w:r>
      <w:r w:rsidRPr="008B0A7D">
        <w:t xml:space="preserve"> the subject matter of those cases occurred no later than 31</w:t>
      </w:r>
      <w:r>
        <w:t> </w:t>
      </w:r>
      <w:r w:rsidRPr="008B0A7D">
        <w:t>December</w:t>
      </w:r>
      <w:r>
        <w:t> </w:t>
      </w:r>
      <w:r w:rsidRPr="008B0A7D">
        <w:t>2020. Taking into account the provisions and accruals at year</w:t>
      </w:r>
      <w:r>
        <w:t>-</w:t>
      </w:r>
      <w:r w:rsidRPr="008B0A7D">
        <w:t xml:space="preserve">end, as well as actual payments made </w:t>
      </w:r>
      <w:r>
        <w:t xml:space="preserve">and received </w:t>
      </w:r>
      <w:r w:rsidRPr="008B0A7D">
        <w:t xml:space="preserve">by the EU for legal cases in </w:t>
      </w:r>
      <w:r>
        <w:t>2025,</w:t>
      </w:r>
      <w:r w:rsidRPr="008B0A7D">
        <w:t xml:space="preserve"> the</w:t>
      </w:r>
      <w:r>
        <w:t xml:space="preserve"> UK will have to pay an</w:t>
      </w:r>
      <w:r w:rsidRPr="008B0A7D">
        <w:t xml:space="preserve"> estimated </w:t>
      </w:r>
      <w:r>
        <w:t>EUR 33 million</w:t>
      </w:r>
      <w:r w:rsidRPr="008B0A7D">
        <w:t xml:space="preserve"> (202</w:t>
      </w:r>
      <w:r>
        <w:t>4</w:t>
      </w:r>
      <w:r w:rsidRPr="008B0A7D">
        <w:t xml:space="preserve">: </w:t>
      </w:r>
      <w:r>
        <w:t>EUR </w:t>
      </w:r>
      <w:r w:rsidRPr="008B0A7D">
        <w:t>107</w:t>
      </w:r>
      <w:r>
        <w:t> million</w:t>
      </w:r>
      <w:r w:rsidRPr="008B0A7D">
        <w:t xml:space="preserve">), of which </w:t>
      </w:r>
      <w:r>
        <w:t>EUR 7 million</w:t>
      </w:r>
      <w:r w:rsidRPr="008B0A7D">
        <w:t xml:space="preserve"> is to be paid within 12</w:t>
      </w:r>
      <w:r>
        <w:t> </w:t>
      </w:r>
      <w:r w:rsidRPr="008B0A7D">
        <w:t xml:space="preserve">months </w:t>
      </w:r>
      <w:r>
        <w:t xml:space="preserve">of </w:t>
      </w:r>
      <w:r w:rsidRPr="008B0A7D">
        <w:t>the reporting date.</w:t>
      </w:r>
    </w:p>
    <w:p w14:paraId="14312C6D" w14:textId="77777777" w:rsidR="00FF7D10" w:rsidRDefault="00FF7D10">
      <w:pPr>
        <w:rPr>
          <w:rFonts w:ascii="Verdana" w:hAnsi="Verdana"/>
          <w:noProof/>
          <w:sz w:val="18"/>
          <w:szCs w:val="18"/>
          <w:lang w:eastAsia="en-US"/>
        </w:rPr>
      </w:pPr>
      <w:r>
        <w:rPr>
          <w:noProof/>
        </w:rPr>
        <w:br w:type="page"/>
      </w:r>
    </w:p>
    <w:p w14:paraId="4D889886" w14:textId="77777777" w:rsidR="006929D7" w:rsidRDefault="00023E71" w:rsidP="00172034">
      <w:pPr>
        <w:pStyle w:val="HEADER4NOTES"/>
        <w:numPr>
          <w:ilvl w:val="3"/>
          <w:numId w:val="15"/>
        </w:numPr>
        <w:rPr>
          <w:noProof/>
        </w:rPr>
      </w:pPr>
      <w:r>
        <w:rPr>
          <w:noProof/>
        </w:rPr>
        <w:t>Recoverables from f</w:t>
      </w:r>
      <w:r w:rsidRPr="007A13F2">
        <w:rPr>
          <w:noProof/>
        </w:rPr>
        <w:t>ines</w:t>
      </w:r>
      <w:r>
        <w:rPr>
          <w:noProof/>
        </w:rPr>
        <w:t xml:space="preserve"> imposed on companies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2132"/>
        <w:gridCol w:w="2132"/>
      </w:tblGrid>
      <w:tr w:rsidR="00807FFE" w14:paraId="322CDD08" w14:textId="77777777">
        <w:trPr>
          <w:trHeight w:val="255"/>
        </w:trPr>
        <w:tc>
          <w:tcPr>
            <w:tcW w:w="5494" w:type="dxa"/>
            <w:tcBorders>
              <w:top w:val="nil"/>
              <w:left w:val="nil"/>
              <w:bottom w:val="nil"/>
              <w:right w:val="nil"/>
              <w:tl2br w:val="nil"/>
              <w:tr2bl w:val="nil"/>
            </w:tcBorders>
            <w:tcMar>
              <w:left w:w="60" w:type="dxa"/>
              <w:right w:w="60" w:type="dxa"/>
            </w:tcMar>
            <w:vAlign w:val="bottom"/>
          </w:tcPr>
          <w:p w14:paraId="0C501DE8" w14:textId="77777777" w:rsidR="00807FFE" w:rsidRDefault="00807FFE">
            <w:pPr>
              <w:pStyle w:val="DMETW36612BIPFINES"/>
              <w:rPr>
                <w:rFonts w:ascii="Arial" w:eastAsia="Arial" w:hAnsi="Arial" w:cs="Arial"/>
                <w:noProof/>
                <w:color w:val="000000"/>
                <w:lang w:bidi="en-GB"/>
              </w:rPr>
            </w:pPr>
            <w:bookmarkStart w:id="134" w:name="DOC_TBL00039_1_1"/>
            <w:bookmarkEnd w:id="134"/>
          </w:p>
        </w:tc>
        <w:tc>
          <w:tcPr>
            <w:tcW w:w="2132" w:type="dxa"/>
            <w:tcBorders>
              <w:top w:val="nil"/>
              <w:left w:val="nil"/>
              <w:bottom w:val="nil"/>
              <w:right w:val="nil"/>
              <w:tl2br w:val="nil"/>
              <w:tr2bl w:val="nil"/>
            </w:tcBorders>
            <w:tcMar>
              <w:left w:w="60" w:type="dxa"/>
              <w:right w:w="60" w:type="dxa"/>
            </w:tcMar>
            <w:vAlign w:val="bottom"/>
          </w:tcPr>
          <w:p w14:paraId="7897FCDC" w14:textId="77777777" w:rsidR="00807FFE" w:rsidRDefault="00807FFE">
            <w:pPr>
              <w:pStyle w:val="DMETW36612BIPFINES"/>
              <w:rPr>
                <w:rFonts w:ascii="Arial" w:eastAsia="Arial" w:hAnsi="Arial" w:cs="Arial"/>
                <w:noProof/>
                <w:color w:val="000000"/>
              </w:rPr>
            </w:pPr>
          </w:p>
        </w:tc>
        <w:tc>
          <w:tcPr>
            <w:tcW w:w="2132" w:type="dxa"/>
            <w:tcBorders>
              <w:top w:val="nil"/>
              <w:left w:val="nil"/>
              <w:bottom w:val="nil"/>
              <w:right w:val="nil"/>
              <w:tl2br w:val="nil"/>
              <w:tr2bl w:val="nil"/>
            </w:tcBorders>
            <w:tcMar>
              <w:left w:w="60" w:type="dxa"/>
              <w:right w:w="60" w:type="dxa"/>
            </w:tcMar>
            <w:vAlign w:val="bottom"/>
          </w:tcPr>
          <w:p w14:paraId="79CC6ADF" w14:textId="77777777" w:rsidR="00807FFE" w:rsidRDefault="00023E71">
            <w:pPr>
              <w:pStyle w:val="DMETW36612BIPFINE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06F71D8" w14:textId="77777777">
        <w:trPr>
          <w:trHeight w:val="255"/>
        </w:trPr>
        <w:tc>
          <w:tcPr>
            <w:tcW w:w="5494" w:type="dxa"/>
            <w:tcBorders>
              <w:top w:val="nil"/>
              <w:left w:val="nil"/>
              <w:bottom w:val="nil"/>
              <w:right w:val="nil"/>
              <w:tl2br w:val="nil"/>
              <w:tr2bl w:val="nil"/>
            </w:tcBorders>
            <w:shd w:val="solid" w:color="016794" w:fill="FFFFFF"/>
            <w:tcMar>
              <w:left w:w="60" w:type="dxa"/>
              <w:right w:w="60" w:type="dxa"/>
            </w:tcMar>
            <w:vAlign w:val="center"/>
          </w:tcPr>
          <w:p w14:paraId="7E2844A8" w14:textId="77777777" w:rsidR="00807FFE" w:rsidRDefault="00807FFE">
            <w:pPr>
              <w:pStyle w:val="DMETW36612BIPFINES"/>
              <w:jc w:val="center"/>
              <w:rPr>
                <w:rFonts w:ascii="Verdana" w:eastAsia="Verdana" w:hAnsi="Verdana" w:cs="Verdana"/>
                <w:noProof/>
                <w:color w:val="FFFFFF"/>
              </w:rPr>
            </w:pPr>
          </w:p>
        </w:tc>
        <w:tc>
          <w:tcPr>
            <w:tcW w:w="2132" w:type="dxa"/>
            <w:tcBorders>
              <w:top w:val="nil"/>
              <w:left w:val="nil"/>
              <w:bottom w:val="nil"/>
              <w:right w:val="nil"/>
              <w:tl2br w:val="nil"/>
              <w:tr2bl w:val="nil"/>
            </w:tcBorders>
            <w:shd w:val="solid" w:color="016794" w:fill="FFFFFF"/>
            <w:tcMar>
              <w:left w:w="60" w:type="dxa"/>
              <w:right w:w="60" w:type="dxa"/>
            </w:tcMar>
            <w:vAlign w:val="center"/>
          </w:tcPr>
          <w:p w14:paraId="69DEEF8B" w14:textId="77777777" w:rsidR="00807FFE" w:rsidRDefault="00023E71">
            <w:pPr>
              <w:pStyle w:val="DMETW36612BIPFINES"/>
              <w:jc w:val="right"/>
              <w:rPr>
                <w:rFonts w:ascii="Verdana" w:eastAsia="Verdana" w:hAnsi="Verdana" w:cs="Verdana"/>
                <w:noProof/>
                <w:color w:val="FFFFFF"/>
              </w:rPr>
            </w:pPr>
            <w:r>
              <w:rPr>
                <w:rFonts w:ascii="Verdana" w:eastAsia="Verdana" w:hAnsi="Verdana" w:cs="Verdana"/>
                <w:noProof/>
                <w:color w:val="FFFFFF"/>
              </w:rPr>
              <w:t>31.12.2025</w:t>
            </w:r>
          </w:p>
        </w:tc>
        <w:tc>
          <w:tcPr>
            <w:tcW w:w="2132" w:type="dxa"/>
            <w:tcBorders>
              <w:top w:val="nil"/>
              <w:left w:val="nil"/>
              <w:bottom w:val="nil"/>
              <w:right w:val="nil"/>
              <w:tl2br w:val="nil"/>
              <w:tr2bl w:val="nil"/>
            </w:tcBorders>
            <w:shd w:val="solid" w:color="016794" w:fill="FFFFFF"/>
            <w:tcMar>
              <w:left w:w="60" w:type="dxa"/>
              <w:right w:w="60" w:type="dxa"/>
            </w:tcMar>
            <w:vAlign w:val="center"/>
          </w:tcPr>
          <w:p w14:paraId="289893EB" w14:textId="77777777" w:rsidR="00807FFE" w:rsidRDefault="00023E71">
            <w:pPr>
              <w:pStyle w:val="DMETW36612BIPFINE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54C376A2"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4E6F2C48" w14:textId="77777777" w:rsidR="00807FFE" w:rsidRDefault="00023E71">
            <w:pPr>
              <w:pStyle w:val="DMETW36612BIPFINES"/>
              <w:rPr>
                <w:rFonts w:ascii="Verdana" w:eastAsia="Verdana" w:hAnsi="Verdana" w:cs="Verdana"/>
                <w:i/>
                <w:noProof/>
                <w:color w:val="000000"/>
                <w:sz w:val="18"/>
              </w:rPr>
            </w:pPr>
            <w:r>
              <w:rPr>
                <w:rFonts w:ascii="Verdana" w:eastAsia="Verdana" w:hAnsi="Verdana" w:cs="Verdana"/>
                <w:i/>
                <w:noProof/>
                <w:color w:val="000000"/>
                <w:sz w:val="18"/>
              </w:rPr>
              <w:t>Recoverable from fines gross amount</w:t>
            </w:r>
          </w:p>
        </w:tc>
        <w:tc>
          <w:tcPr>
            <w:tcW w:w="2132" w:type="dxa"/>
            <w:tcBorders>
              <w:top w:val="nil"/>
              <w:left w:val="nil"/>
              <w:bottom w:val="nil"/>
              <w:right w:val="nil"/>
              <w:tl2br w:val="nil"/>
              <w:tr2bl w:val="nil"/>
            </w:tcBorders>
            <w:tcMar>
              <w:left w:w="60" w:type="dxa"/>
              <w:right w:w="60" w:type="dxa"/>
            </w:tcMar>
            <w:vAlign w:val="center"/>
          </w:tcPr>
          <w:p w14:paraId="1A02A492" w14:textId="77777777" w:rsidR="00807FFE" w:rsidRDefault="00023E71">
            <w:pPr>
              <w:pStyle w:val="DMETW36612BIPFINES"/>
              <w:jc w:val="right"/>
              <w:rPr>
                <w:rFonts w:ascii="Verdana" w:eastAsia="Verdana" w:hAnsi="Verdana" w:cs="Verdana"/>
                <w:i/>
                <w:noProof/>
                <w:color w:val="000000"/>
                <w:sz w:val="18"/>
              </w:rPr>
            </w:pPr>
            <w:r>
              <w:rPr>
                <w:rFonts w:ascii="Verdana" w:eastAsia="Verdana" w:hAnsi="Verdana" w:cs="Verdana"/>
                <w:i/>
                <w:noProof/>
                <w:color w:val="000000"/>
                <w:sz w:val="18"/>
              </w:rPr>
              <w:t>15 604</w:t>
            </w:r>
          </w:p>
        </w:tc>
        <w:tc>
          <w:tcPr>
            <w:tcW w:w="2132" w:type="dxa"/>
            <w:tcBorders>
              <w:top w:val="nil"/>
              <w:left w:val="nil"/>
              <w:bottom w:val="nil"/>
              <w:right w:val="nil"/>
              <w:tl2br w:val="nil"/>
              <w:tr2bl w:val="nil"/>
            </w:tcBorders>
            <w:tcMar>
              <w:left w:w="60" w:type="dxa"/>
              <w:right w:w="60" w:type="dxa"/>
            </w:tcMar>
            <w:vAlign w:val="center"/>
          </w:tcPr>
          <w:p w14:paraId="72702EE2" w14:textId="77777777" w:rsidR="00807FFE" w:rsidRDefault="00023E71">
            <w:pPr>
              <w:pStyle w:val="DMETW36612BIPFINES"/>
              <w:jc w:val="right"/>
              <w:rPr>
                <w:rFonts w:ascii="Verdana" w:eastAsia="Verdana" w:hAnsi="Verdana" w:cs="Verdana"/>
                <w:i/>
                <w:noProof/>
                <w:color w:val="000000"/>
                <w:sz w:val="18"/>
                <w:lang w:bidi="en-GB"/>
              </w:rPr>
            </w:pPr>
            <w:r>
              <w:rPr>
                <w:rFonts w:ascii="Verdana" w:eastAsia="Verdana" w:hAnsi="Verdana" w:cs="Verdana"/>
                <w:i/>
                <w:noProof/>
                <w:color w:val="000000"/>
                <w:sz w:val="18"/>
              </w:rPr>
              <w:t>12 247</w:t>
            </w:r>
          </w:p>
        </w:tc>
      </w:tr>
      <w:tr w:rsidR="00807FFE" w14:paraId="47EAEE75"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69AAF94B" w14:textId="77777777" w:rsidR="00807FFE" w:rsidRDefault="00023E71">
            <w:pPr>
              <w:pStyle w:val="DMETW36612BIPFINES"/>
              <w:rPr>
                <w:rFonts w:ascii="Verdana" w:eastAsia="Verdana" w:hAnsi="Verdana" w:cs="Verdana"/>
                <w:i/>
                <w:noProof/>
                <w:color w:val="000000"/>
                <w:sz w:val="18"/>
              </w:rPr>
            </w:pPr>
            <w:r>
              <w:rPr>
                <w:rFonts w:ascii="Verdana" w:eastAsia="Verdana" w:hAnsi="Verdana" w:cs="Verdana"/>
                <w:i/>
                <w:noProof/>
                <w:color w:val="000000"/>
                <w:sz w:val="18"/>
              </w:rPr>
              <w:t>Provisional payments</w:t>
            </w:r>
          </w:p>
        </w:tc>
        <w:tc>
          <w:tcPr>
            <w:tcW w:w="2132" w:type="dxa"/>
            <w:tcBorders>
              <w:top w:val="nil"/>
              <w:left w:val="nil"/>
              <w:bottom w:val="nil"/>
              <w:right w:val="nil"/>
              <w:tl2br w:val="nil"/>
              <w:tr2bl w:val="nil"/>
            </w:tcBorders>
            <w:tcMar>
              <w:left w:w="60" w:type="dxa"/>
              <w:right w:w="60" w:type="dxa"/>
            </w:tcMar>
            <w:vAlign w:val="center"/>
          </w:tcPr>
          <w:p w14:paraId="5F2AA748" w14:textId="77777777" w:rsidR="00807FFE" w:rsidRDefault="00023E71">
            <w:pPr>
              <w:pStyle w:val="DMETW36612BIPFINES"/>
              <w:jc w:val="right"/>
              <w:rPr>
                <w:rFonts w:ascii="Verdana" w:eastAsia="Verdana" w:hAnsi="Verdana" w:cs="Verdana"/>
                <w:i/>
                <w:noProof/>
                <w:color w:val="000000"/>
                <w:sz w:val="18"/>
              </w:rPr>
            </w:pPr>
            <w:r>
              <w:rPr>
                <w:rFonts w:ascii="Verdana" w:eastAsia="Verdana" w:hAnsi="Verdana" w:cs="Verdana"/>
                <w:i/>
                <w:noProof/>
                <w:color w:val="000000"/>
                <w:sz w:val="18"/>
              </w:rPr>
              <w:t>(2 823)</w:t>
            </w:r>
          </w:p>
        </w:tc>
        <w:tc>
          <w:tcPr>
            <w:tcW w:w="2132" w:type="dxa"/>
            <w:tcBorders>
              <w:top w:val="nil"/>
              <w:left w:val="nil"/>
              <w:bottom w:val="nil"/>
              <w:right w:val="nil"/>
              <w:tl2br w:val="nil"/>
              <w:tr2bl w:val="nil"/>
            </w:tcBorders>
            <w:tcMar>
              <w:left w:w="60" w:type="dxa"/>
              <w:right w:w="60" w:type="dxa"/>
            </w:tcMar>
            <w:vAlign w:val="center"/>
          </w:tcPr>
          <w:p w14:paraId="02606AB9" w14:textId="77777777" w:rsidR="00807FFE" w:rsidRDefault="00023E71">
            <w:pPr>
              <w:pStyle w:val="DMETW36612BIPFINES"/>
              <w:jc w:val="right"/>
              <w:rPr>
                <w:rFonts w:ascii="Verdana" w:eastAsia="Verdana" w:hAnsi="Verdana" w:cs="Verdana"/>
                <w:i/>
                <w:noProof/>
                <w:color w:val="000000"/>
                <w:sz w:val="18"/>
                <w:lang w:bidi="en-GB"/>
              </w:rPr>
            </w:pPr>
            <w:r>
              <w:rPr>
                <w:rFonts w:ascii="Verdana" w:eastAsia="Verdana" w:hAnsi="Verdana" w:cs="Verdana"/>
                <w:i/>
                <w:noProof/>
                <w:color w:val="000000"/>
                <w:sz w:val="18"/>
              </w:rPr>
              <w:t>(2 161)</w:t>
            </w:r>
          </w:p>
        </w:tc>
      </w:tr>
      <w:tr w:rsidR="00807FFE" w14:paraId="1D180AE6" w14:textId="77777777">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14:paraId="1ACAE1A4" w14:textId="77777777" w:rsidR="00807FFE" w:rsidRDefault="00023E71">
            <w:pPr>
              <w:pStyle w:val="DMETW36612BIPFINES"/>
              <w:rPr>
                <w:rFonts w:ascii="Verdana" w:eastAsia="Verdana" w:hAnsi="Verdana" w:cs="Verdana"/>
                <w:i/>
                <w:noProof/>
                <w:color w:val="000000"/>
                <w:sz w:val="18"/>
              </w:rPr>
            </w:pPr>
            <w:r>
              <w:rPr>
                <w:rFonts w:ascii="Verdana" w:eastAsia="Verdana" w:hAnsi="Verdana" w:cs="Verdana"/>
                <w:i/>
                <w:noProof/>
                <w:color w:val="000000"/>
                <w:sz w:val="18"/>
              </w:rPr>
              <w:t>Impairment</w:t>
            </w:r>
          </w:p>
        </w:tc>
        <w:tc>
          <w:tcPr>
            <w:tcW w:w="2132" w:type="dxa"/>
            <w:tcBorders>
              <w:top w:val="nil"/>
              <w:left w:val="nil"/>
              <w:bottom w:val="single" w:sz="4" w:space="0" w:color="016794"/>
              <w:right w:val="nil"/>
              <w:tl2br w:val="nil"/>
              <w:tr2bl w:val="nil"/>
            </w:tcBorders>
            <w:tcMar>
              <w:left w:w="60" w:type="dxa"/>
              <w:right w:w="60" w:type="dxa"/>
            </w:tcMar>
            <w:vAlign w:val="center"/>
          </w:tcPr>
          <w:p w14:paraId="743F009B" w14:textId="77777777" w:rsidR="00807FFE" w:rsidRDefault="00023E71">
            <w:pPr>
              <w:pStyle w:val="DMETW36612BIPFINES"/>
              <w:jc w:val="right"/>
              <w:rPr>
                <w:rFonts w:ascii="Verdana" w:eastAsia="Verdana" w:hAnsi="Verdana" w:cs="Verdana"/>
                <w:i/>
                <w:noProof/>
                <w:color w:val="000000"/>
                <w:sz w:val="18"/>
              </w:rPr>
            </w:pPr>
            <w:r>
              <w:rPr>
                <w:rFonts w:ascii="Verdana" w:eastAsia="Verdana" w:hAnsi="Verdana" w:cs="Verdana"/>
                <w:i/>
                <w:noProof/>
                <w:color w:val="000000"/>
                <w:sz w:val="18"/>
              </w:rPr>
              <w:t>(1 817)</w:t>
            </w:r>
          </w:p>
        </w:tc>
        <w:tc>
          <w:tcPr>
            <w:tcW w:w="2132" w:type="dxa"/>
            <w:tcBorders>
              <w:top w:val="nil"/>
              <w:left w:val="nil"/>
              <w:bottom w:val="single" w:sz="4" w:space="0" w:color="016794"/>
              <w:right w:val="nil"/>
              <w:tl2br w:val="nil"/>
              <w:tr2bl w:val="nil"/>
            </w:tcBorders>
            <w:tcMar>
              <w:left w:w="60" w:type="dxa"/>
              <w:right w:w="60" w:type="dxa"/>
            </w:tcMar>
            <w:vAlign w:val="center"/>
          </w:tcPr>
          <w:p w14:paraId="300724B5" w14:textId="77777777" w:rsidR="00807FFE" w:rsidRDefault="00023E71">
            <w:pPr>
              <w:pStyle w:val="DMETW36612BIPF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(934)</w:t>
            </w:r>
          </w:p>
        </w:tc>
      </w:tr>
      <w:tr w:rsidR="00807FFE" w14:paraId="5ED14682" w14:textId="77777777">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14:paraId="3E66D68C" w14:textId="77777777" w:rsidR="00807FFE" w:rsidRDefault="00023E71">
            <w:pPr>
              <w:pStyle w:val="DMETW36612BIPFINES"/>
              <w:rPr>
                <w:rFonts w:ascii="Verdana" w:eastAsia="Verdana" w:hAnsi="Verdana" w:cs="Verdana"/>
                <w:b/>
                <w:noProof/>
                <w:color w:val="000000"/>
                <w:sz w:val="18"/>
              </w:rPr>
            </w:pPr>
            <w:r>
              <w:rPr>
                <w:rFonts w:ascii="Verdana" w:eastAsia="Verdana" w:hAnsi="Verdana" w:cs="Verdana"/>
                <w:b/>
                <w:noProof/>
                <w:color w:val="000000"/>
                <w:sz w:val="18"/>
              </w:rPr>
              <w:t>Total</w:t>
            </w:r>
          </w:p>
        </w:tc>
        <w:tc>
          <w:tcPr>
            <w:tcW w:w="2132" w:type="dxa"/>
            <w:tcBorders>
              <w:top w:val="single" w:sz="4" w:space="0" w:color="016794"/>
              <w:left w:val="nil"/>
              <w:bottom w:val="single" w:sz="4" w:space="0" w:color="016794"/>
              <w:right w:val="nil"/>
              <w:tl2br w:val="nil"/>
              <w:tr2bl w:val="nil"/>
            </w:tcBorders>
            <w:tcMar>
              <w:left w:w="60" w:type="dxa"/>
              <w:right w:w="60" w:type="dxa"/>
            </w:tcMar>
            <w:vAlign w:val="center"/>
          </w:tcPr>
          <w:p w14:paraId="0A418D28" w14:textId="77777777" w:rsidR="00807FFE" w:rsidRDefault="00023E71">
            <w:pPr>
              <w:pStyle w:val="DMETW36612BIPFINES"/>
              <w:jc w:val="right"/>
              <w:rPr>
                <w:rFonts w:ascii="Verdana" w:eastAsia="Verdana" w:hAnsi="Verdana" w:cs="Verdana"/>
                <w:b/>
                <w:noProof/>
                <w:color w:val="000000"/>
                <w:sz w:val="18"/>
              </w:rPr>
            </w:pPr>
            <w:r>
              <w:rPr>
                <w:rFonts w:ascii="Verdana" w:eastAsia="Verdana" w:hAnsi="Verdana" w:cs="Verdana"/>
                <w:b/>
                <w:noProof/>
                <w:color w:val="000000"/>
                <w:sz w:val="18"/>
              </w:rPr>
              <w:t>10 964</w:t>
            </w:r>
          </w:p>
        </w:tc>
        <w:tc>
          <w:tcPr>
            <w:tcW w:w="2132" w:type="dxa"/>
            <w:tcBorders>
              <w:top w:val="single" w:sz="4" w:space="0" w:color="016794"/>
              <w:left w:val="nil"/>
              <w:bottom w:val="single" w:sz="4" w:space="0" w:color="016794"/>
              <w:right w:val="nil"/>
              <w:tl2br w:val="nil"/>
              <w:tr2bl w:val="nil"/>
            </w:tcBorders>
            <w:tcMar>
              <w:left w:w="60" w:type="dxa"/>
              <w:right w:w="60" w:type="dxa"/>
            </w:tcMar>
            <w:vAlign w:val="center"/>
          </w:tcPr>
          <w:p w14:paraId="0FD0F846" w14:textId="77777777" w:rsidR="00807FFE" w:rsidRDefault="00023E71">
            <w:pPr>
              <w:pStyle w:val="DMETW36612BIPFINES"/>
              <w:jc w:val="right"/>
              <w:rPr>
                <w:rFonts w:ascii="Verdana" w:eastAsia="Verdana" w:hAnsi="Verdana" w:cs="Verdana"/>
                <w:b/>
                <w:noProof/>
                <w:color w:val="000000"/>
                <w:sz w:val="18"/>
                <w:lang w:bidi="en-GB"/>
              </w:rPr>
            </w:pPr>
            <w:r>
              <w:rPr>
                <w:rFonts w:ascii="Verdana" w:eastAsia="Verdana" w:hAnsi="Verdana" w:cs="Verdana"/>
                <w:b/>
                <w:noProof/>
                <w:color w:val="000000"/>
                <w:sz w:val="18"/>
              </w:rPr>
              <w:t>9 152</w:t>
            </w:r>
          </w:p>
        </w:tc>
      </w:tr>
      <w:tr w:rsidR="00807FFE" w14:paraId="3A6B404C" w14:textId="77777777">
        <w:trPr>
          <w:trHeight w:val="255"/>
        </w:trPr>
        <w:tc>
          <w:tcPr>
            <w:tcW w:w="5494" w:type="dxa"/>
            <w:tcBorders>
              <w:top w:val="single" w:sz="4" w:space="0" w:color="016794"/>
              <w:left w:val="nil"/>
              <w:bottom w:val="nil"/>
              <w:right w:val="nil"/>
              <w:tl2br w:val="nil"/>
              <w:tr2bl w:val="nil"/>
            </w:tcBorders>
            <w:tcMar>
              <w:left w:w="60" w:type="dxa"/>
              <w:right w:w="60" w:type="dxa"/>
            </w:tcMar>
            <w:vAlign w:val="center"/>
          </w:tcPr>
          <w:p w14:paraId="1D8AC218" w14:textId="77777777" w:rsidR="00807FFE" w:rsidRDefault="00023E71">
            <w:pPr>
              <w:pStyle w:val="DMETW36612BIPFINES"/>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2132" w:type="dxa"/>
            <w:tcBorders>
              <w:top w:val="single" w:sz="4" w:space="0" w:color="016794"/>
              <w:left w:val="nil"/>
              <w:bottom w:val="nil"/>
              <w:right w:val="nil"/>
              <w:tl2br w:val="nil"/>
              <w:tr2bl w:val="nil"/>
            </w:tcBorders>
            <w:tcMar>
              <w:left w:w="60" w:type="dxa"/>
              <w:right w:w="60" w:type="dxa"/>
            </w:tcMar>
            <w:vAlign w:val="center"/>
          </w:tcPr>
          <w:p w14:paraId="6F44D687" w14:textId="77777777" w:rsidR="00807FFE" w:rsidRDefault="00023E71">
            <w:pPr>
              <w:pStyle w:val="DMETW36612BIPFINES"/>
              <w:jc w:val="right"/>
              <w:rPr>
                <w:rFonts w:ascii="Verdana" w:eastAsia="Verdana" w:hAnsi="Verdana" w:cs="Verdana"/>
                <w:i/>
                <w:noProof/>
                <w:color w:val="016794"/>
                <w:sz w:val="18"/>
              </w:rPr>
            </w:pPr>
            <w:r>
              <w:rPr>
                <w:rFonts w:ascii="Verdana" w:eastAsia="Verdana" w:hAnsi="Verdana" w:cs="Verdana"/>
                <w:i/>
                <w:noProof/>
                <w:color w:val="016794"/>
                <w:sz w:val="18"/>
              </w:rPr>
              <w:t>–</w:t>
            </w:r>
          </w:p>
        </w:tc>
        <w:tc>
          <w:tcPr>
            <w:tcW w:w="2132" w:type="dxa"/>
            <w:tcBorders>
              <w:top w:val="single" w:sz="4" w:space="0" w:color="016794"/>
              <w:left w:val="nil"/>
              <w:bottom w:val="nil"/>
              <w:right w:val="nil"/>
              <w:tl2br w:val="nil"/>
              <w:tr2bl w:val="nil"/>
            </w:tcBorders>
            <w:tcMar>
              <w:left w:w="60" w:type="dxa"/>
              <w:right w:w="60" w:type="dxa"/>
            </w:tcMar>
            <w:vAlign w:val="center"/>
          </w:tcPr>
          <w:p w14:paraId="3EE6E1A5" w14:textId="77777777" w:rsidR="00807FFE" w:rsidRDefault="00023E71">
            <w:pPr>
              <w:pStyle w:val="DMETW36612BIPFINES"/>
              <w:jc w:val="right"/>
              <w:rPr>
                <w:rFonts w:ascii="Verdana" w:eastAsia="Verdana" w:hAnsi="Verdana" w:cs="Verdana"/>
                <w:i/>
                <w:noProof/>
                <w:color w:val="016794"/>
                <w:sz w:val="18"/>
                <w:lang w:bidi="en-GB"/>
              </w:rPr>
            </w:pPr>
            <w:r>
              <w:rPr>
                <w:rFonts w:ascii="Verdana" w:eastAsia="Verdana" w:hAnsi="Verdana" w:cs="Verdana"/>
                <w:i/>
                <w:noProof/>
                <w:color w:val="016794"/>
                <w:sz w:val="18"/>
              </w:rPr>
              <w:t>–</w:t>
            </w:r>
          </w:p>
        </w:tc>
      </w:tr>
      <w:tr w:rsidR="00807FFE" w14:paraId="0A38A4CE"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3F8E76C8" w14:textId="77777777" w:rsidR="00807FFE" w:rsidRDefault="00023E71">
            <w:pPr>
              <w:pStyle w:val="DMETW36612BIPFINES"/>
              <w:rPr>
                <w:rFonts w:ascii="Verdana" w:eastAsia="Verdana" w:hAnsi="Verdana" w:cs="Verdana"/>
                <w:i/>
                <w:noProof/>
                <w:color w:val="016794"/>
                <w:sz w:val="18"/>
              </w:rPr>
            </w:pPr>
            <w:r>
              <w:rPr>
                <w:rFonts w:ascii="Verdana" w:eastAsia="Verdana" w:hAnsi="Verdana" w:cs="Verdana"/>
                <w:i/>
                <w:noProof/>
                <w:color w:val="016794"/>
                <w:sz w:val="18"/>
              </w:rPr>
              <w:t>Current</w:t>
            </w:r>
          </w:p>
        </w:tc>
        <w:tc>
          <w:tcPr>
            <w:tcW w:w="2132" w:type="dxa"/>
            <w:tcBorders>
              <w:top w:val="nil"/>
              <w:left w:val="nil"/>
              <w:bottom w:val="nil"/>
              <w:right w:val="nil"/>
              <w:tl2br w:val="nil"/>
              <w:tr2bl w:val="nil"/>
            </w:tcBorders>
            <w:tcMar>
              <w:left w:w="60" w:type="dxa"/>
              <w:right w:w="60" w:type="dxa"/>
            </w:tcMar>
            <w:vAlign w:val="center"/>
          </w:tcPr>
          <w:p w14:paraId="576FA1F5" w14:textId="77777777" w:rsidR="00807FFE" w:rsidRDefault="00023E71">
            <w:pPr>
              <w:pStyle w:val="DMETW36612BIPFINES"/>
              <w:jc w:val="right"/>
              <w:rPr>
                <w:rFonts w:ascii="Verdana" w:eastAsia="Verdana" w:hAnsi="Verdana" w:cs="Verdana"/>
                <w:i/>
                <w:noProof/>
                <w:color w:val="016794"/>
                <w:sz w:val="18"/>
              </w:rPr>
            </w:pPr>
            <w:r>
              <w:rPr>
                <w:rFonts w:ascii="Verdana" w:eastAsia="Verdana" w:hAnsi="Verdana" w:cs="Verdana"/>
                <w:i/>
                <w:noProof/>
                <w:color w:val="016794"/>
                <w:sz w:val="18"/>
              </w:rPr>
              <w:t>10 964</w:t>
            </w:r>
          </w:p>
        </w:tc>
        <w:tc>
          <w:tcPr>
            <w:tcW w:w="2132" w:type="dxa"/>
            <w:tcBorders>
              <w:top w:val="nil"/>
              <w:left w:val="nil"/>
              <w:bottom w:val="nil"/>
              <w:right w:val="nil"/>
              <w:tl2br w:val="nil"/>
              <w:tr2bl w:val="nil"/>
            </w:tcBorders>
            <w:tcMar>
              <w:left w:w="60" w:type="dxa"/>
              <w:right w:w="60" w:type="dxa"/>
            </w:tcMar>
            <w:vAlign w:val="center"/>
          </w:tcPr>
          <w:p w14:paraId="70A522E5" w14:textId="77777777" w:rsidR="00807FFE" w:rsidRDefault="00023E71">
            <w:pPr>
              <w:pStyle w:val="DMETW36612BIPFINES"/>
              <w:jc w:val="right"/>
              <w:rPr>
                <w:rFonts w:ascii="Verdana" w:eastAsia="Verdana" w:hAnsi="Verdana" w:cs="Verdana"/>
                <w:i/>
                <w:noProof/>
                <w:color w:val="016794"/>
                <w:sz w:val="18"/>
              </w:rPr>
            </w:pPr>
            <w:r>
              <w:rPr>
                <w:rFonts w:ascii="Verdana" w:eastAsia="Verdana" w:hAnsi="Verdana" w:cs="Verdana"/>
                <w:i/>
                <w:noProof/>
                <w:color w:val="016794"/>
                <w:sz w:val="18"/>
              </w:rPr>
              <w:t>9 152</w:t>
            </w:r>
          </w:p>
        </w:tc>
      </w:tr>
    </w:tbl>
    <w:p w14:paraId="3A171ED2" w14:textId="77777777" w:rsidR="00AC023E" w:rsidRDefault="00023E71" w:rsidP="00AC023E">
      <w:pPr>
        <w:pStyle w:val="DGTextstand-alone"/>
      </w:pPr>
      <w:r>
        <w:t xml:space="preserve">Fines </w:t>
      </w:r>
      <w:r w:rsidR="00D8330C" w:rsidRPr="00D8330C">
        <w:t xml:space="preserve">imposed on companies include competition fines and </w:t>
      </w:r>
      <w:r>
        <w:t>other fines</w:t>
      </w:r>
      <w:r w:rsidR="00D8330C" w:rsidRPr="00D8330C">
        <w:t xml:space="preserve">. Fined companies who have launched or are planning to launch an appeal have an option to either make provisional payments or to provide bank guarantees to the Commission. For the total outstanding fines at year-end that are not covered by provisional or definitive payments, </w:t>
      </w:r>
      <w:r w:rsidRPr="003735B6">
        <w:t xml:space="preserve">EUR 10 729 million (2024: EUR 7 091 million) </w:t>
      </w:r>
      <w:r w:rsidR="00D8330C" w:rsidRPr="00D8330C">
        <w:t xml:space="preserve">of guarantees have been received as </w:t>
      </w:r>
      <w:r>
        <w:t>coverage.</w:t>
      </w:r>
    </w:p>
    <w:p w14:paraId="240629AB" w14:textId="77777777" w:rsidR="00AC023E" w:rsidRDefault="00023E71" w:rsidP="00AC023E">
      <w:pPr>
        <w:pStyle w:val="DGTextstand-alone"/>
      </w:pPr>
      <w:r>
        <w:t xml:space="preserve">Payments received from fined companies are held either as investments (see Note </w:t>
      </w:r>
      <w:r w:rsidRPr="00AC023E">
        <w:rPr>
          <w:b/>
          <w:bCs/>
        </w:rPr>
        <w:t>2.4.2.1</w:t>
      </w:r>
      <w:r>
        <w:t>) or on bank accounts (see N</w:t>
      </w:r>
      <w:r w:rsidRPr="00AC023E">
        <w:t>ote</w:t>
      </w:r>
      <w:r w:rsidRPr="00AC023E">
        <w:rPr>
          <w:b/>
          <w:bCs/>
        </w:rPr>
        <w:t xml:space="preserve"> 2.8</w:t>
      </w:r>
      <w:r>
        <w:t>).</w:t>
      </w:r>
    </w:p>
    <w:p w14:paraId="1B79549F" w14:textId="77777777" w:rsidR="00AC023E" w:rsidRDefault="00023E71" w:rsidP="00AC023E">
      <w:pPr>
        <w:pStyle w:val="DGTextstand-alone"/>
      </w:pPr>
      <w:r>
        <w:t>The amounts written down due to impairment reflect the Commission's case-by-case assessment of those fines not cashed or not covered by a guarantee, which the Commission expects not to recover, as well as cases reduced by the Courts.</w:t>
      </w:r>
    </w:p>
    <w:p w14:paraId="18B026E4" w14:textId="77777777" w:rsidR="00AC023E" w:rsidRDefault="00023E71" w:rsidP="00AC023E">
      <w:pPr>
        <w:pStyle w:val="DGTextstand-alone"/>
      </w:pPr>
      <w:r>
        <w:t xml:space="preserve">Revenue </w:t>
      </w:r>
      <w:r w:rsidR="00D8330C" w:rsidRPr="00D8330C">
        <w:t xml:space="preserve">from fines imposed on companies for the year totalled </w:t>
      </w:r>
      <w:r w:rsidRPr="003735B6">
        <w:t>EUR 4 80</w:t>
      </w:r>
      <w:r>
        <w:t>8</w:t>
      </w:r>
      <w:r w:rsidRPr="003735B6">
        <w:t xml:space="preserve"> million </w:t>
      </w:r>
      <w:r w:rsidR="00D8330C" w:rsidRPr="00D8330C">
        <w:t xml:space="preserve">(see </w:t>
      </w:r>
      <w:r>
        <w:t>N</w:t>
      </w:r>
      <w:r w:rsidR="00D8330C" w:rsidRPr="00D8330C">
        <w:t xml:space="preserve">ote </w:t>
      </w:r>
      <w:r w:rsidR="00D8330C" w:rsidRPr="007C6CF2">
        <w:rPr>
          <w:b/>
          <w:bCs/>
        </w:rPr>
        <w:t>3.5</w:t>
      </w:r>
      <w:r w:rsidR="00D8330C" w:rsidRPr="00D8330C">
        <w:t xml:space="preserve">) while expenses, i.e. reductions of fines by Court decisions, totalled EUR </w:t>
      </w:r>
      <w:r>
        <w:t>214</w:t>
      </w:r>
      <w:r w:rsidR="00D8330C" w:rsidRPr="00D8330C">
        <w:t xml:space="preserve"> million</w:t>
      </w:r>
      <w:r>
        <w:t xml:space="preserve"> (see Note </w:t>
      </w:r>
      <w:r w:rsidRPr="00AC023E">
        <w:rPr>
          <w:b/>
          <w:bCs/>
        </w:rPr>
        <w:t>3.16</w:t>
      </w:r>
      <w:r>
        <w:t>).</w:t>
      </w:r>
    </w:p>
    <w:p w14:paraId="38D0A51D" w14:textId="77777777" w:rsidR="00152806" w:rsidRDefault="00023E71" w:rsidP="00AC023E">
      <w:pPr>
        <w:pStyle w:val="DGTextstand-alone"/>
      </w:pPr>
      <w:r>
        <w:t xml:space="preserve">A contingent liability </w:t>
      </w:r>
      <w:r w:rsidR="00D8330C" w:rsidRPr="00D8330C">
        <w:t xml:space="preserve">of EUR 2 </w:t>
      </w:r>
      <w:r>
        <w:t>035</w:t>
      </w:r>
      <w:r w:rsidR="00D8330C" w:rsidRPr="00D8330C">
        <w:t xml:space="preserve"> million is disclosed for the possibility of having to pay back provisionally paid amounts to fined companies who are appealing or have the right to appeal the fines imposed on them</w:t>
      </w:r>
      <w:r>
        <w:t xml:space="preserve"> – see Note </w:t>
      </w:r>
      <w:r w:rsidRPr="00AC023E">
        <w:rPr>
          <w:b/>
          <w:bCs/>
        </w:rPr>
        <w:t>4.2.1</w:t>
      </w:r>
      <w:r>
        <w:t>.</w:t>
      </w:r>
    </w:p>
    <w:p w14:paraId="375B0A6D" w14:textId="77777777" w:rsidR="00324012" w:rsidRPr="007A13F2" w:rsidRDefault="00023E71" w:rsidP="00172034">
      <w:pPr>
        <w:pStyle w:val="HEADER4NOTES"/>
        <w:numPr>
          <w:ilvl w:val="3"/>
          <w:numId w:val="15"/>
        </w:numPr>
        <w:rPr>
          <w:noProof/>
        </w:rPr>
      </w:pPr>
      <w:r w:rsidRPr="007A13F2">
        <w:rPr>
          <w:noProof/>
        </w:rPr>
        <w:t>Accrued income and deferred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4"/>
        <w:gridCol w:w="1787"/>
        <w:gridCol w:w="1787"/>
      </w:tblGrid>
      <w:tr w:rsidR="00807FFE" w14:paraId="79BFAA32" w14:textId="77777777">
        <w:trPr>
          <w:trHeight w:val="255"/>
        </w:trPr>
        <w:tc>
          <w:tcPr>
            <w:tcW w:w="6184" w:type="dxa"/>
            <w:tcBorders>
              <w:top w:val="nil"/>
              <w:left w:val="nil"/>
              <w:bottom w:val="nil"/>
              <w:right w:val="nil"/>
              <w:tl2br w:val="nil"/>
              <w:tr2bl w:val="nil"/>
            </w:tcBorders>
            <w:tcMar>
              <w:left w:w="60" w:type="dxa"/>
              <w:right w:w="60" w:type="dxa"/>
            </w:tcMar>
            <w:vAlign w:val="bottom"/>
          </w:tcPr>
          <w:p w14:paraId="3AABB69D" w14:textId="77777777" w:rsidR="00807FFE" w:rsidRDefault="00807FFE">
            <w:pPr>
              <w:pStyle w:val="DMETW36747BIPAIDC"/>
              <w:rPr>
                <w:rFonts w:ascii="Arial" w:eastAsia="Arial" w:hAnsi="Arial" w:cs="Arial"/>
                <w:noProof/>
                <w:color w:val="000000"/>
                <w:lang w:bidi="en-GB"/>
              </w:rPr>
            </w:pPr>
            <w:bookmarkStart w:id="135" w:name="DOC_TBL00040_1_1"/>
            <w:bookmarkEnd w:id="135"/>
          </w:p>
        </w:tc>
        <w:tc>
          <w:tcPr>
            <w:tcW w:w="1787" w:type="dxa"/>
            <w:tcBorders>
              <w:top w:val="nil"/>
              <w:left w:val="nil"/>
              <w:bottom w:val="nil"/>
              <w:right w:val="nil"/>
              <w:tl2br w:val="nil"/>
              <w:tr2bl w:val="nil"/>
            </w:tcBorders>
            <w:tcMar>
              <w:left w:w="60" w:type="dxa"/>
              <w:right w:w="60" w:type="dxa"/>
            </w:tcMar>
            <w:vAlign w:val="bottom"/>
          </w:tcPr>
          <w:p w14:paraId="688975A8" w14:textId="77777777" w:rsidR="00807FFE" w:rsidRDefault="00807FFE">
            <w:pPr>
              <w:pStyle w:val="DMETW36747BIPAIDC"/>
              <w:rPr>
                <w:rFonts w:ascii="Arial" w:eastAsia="Arial" w:hAnsi="Arial" w:cs="Arial"/>
                <w:noProof/>
                <w:color w:val="000000"/>
              </w:rPr>
            </w:pPr>
          </w:p>
        </w:tc>
        <w:tc>
          <w:tcPr>
            <w:tcW w:w="1787" w:type="dxa"/>
            <w:tcBorders>
              <w:top w:val="nil"/>
              <w:left w:val="nil"/>
              <w:bottom w:val="nil"/>
              <w:right w:val="nil"/>
              <w:tl2br w:val="nil"/>
              <w:tr2bl w:val="nil"/>
            </w:tcBorders>
            <w:tcMar>
              <w:left w:w="60" w:type="dxa"/>
              <w:right w:w="60" w:type="dxa"/>
            </w:tcMar>
            <w:vAlign w:val="bottom"/>
          </w:tcPr>
          <w:p w14:paraId="7C7398F3" w14:textId="77777777" w:rsidR="00807FFE" w:rsidRDefault="00023E71">
            <w:pPr>
              <w:pStyle w:val="DMETW36747BIPAIDC"/>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49D236B" w14:textId="77777777">
        <w:trPr>
          <w:trHeight w:val="255"/>
        </w:trPr>
        <w:tc>
          <w:tcPr>
            <w:tcW w:w="6184" w:type="dxa"/>
            <w:tcBorders>
              <w:top w:val="nil"/>
              <w:left w:val="nil"/>
              <w:bottom w:val="nil"/>
              <w:right w:val="nil"/>
              <w:tl2br w:val="nil"/>
              <w:tr2bl w:val="nil"/>
            </w:tcBorders>
            <w:shd w:val="solid" w:color="016794" w:fill="FFFFFF"/>
            <w:tcMar>
              <w:left w:w="60" w:type="dxa"/>
              <w:right w:w="60" w:type="dxa"/>
            </w:tcMar>
            <w:vAlign w:val="center"/>
          </w:tcPr>
          <w:p w14:paraId="48F12D2F" w14:textId="77777777" w:rsidR="00807FFE" w:rsidRDefault="00807FFE">
            <w:pPr>
              <w:pStyle w:val="DMETW36747BIPAIDC"/>
              <w:jc w:val="right"/>
              <w:rPr>
                <w:rFonts w:ascii="Verdana" w:eastAsia="Verdana" w:hAnsi="Verdana" w:cs="Verdana"/>
                <w:noProof/>
                <w:color w:val="FFFFFF"/>
                <w:sz w:val="18"/>
              </w:rPr>
            </w:pPr>
          </w:p>
        </w:tc>
        <w:tc>
          <w:tcPr>
            <w:tcW w:w="1787" w:type="dxa"/>
            <w:tcBorders>
              <w:top w:val="nil"/>
              <w:left w:val="nil"/>
              <w:bottom w:val="nil"/>
              <w:right w:val="nil"/>
              <w:tl2br w:val="nil"/>
              <w:tr2bl w:val="nil"/>
            </w:tcBorders>
            <w:shd w:val="solid" w:color="016794" w:fill="FFFFFF"/>
            <w:tcMar>
              <w:left w:w="60" w:type="dxa"/>
              <w:right w:w="60" w:type="dxa"/>
            </w:tcMar>
            <w:vAlign w:val="center"/>
          </w:tcPr>
          <w:p w14:paraId="675F4900" w14:textId="77777777" w:rsidR="00807FFE" w:rsidRDefault="00023E71">
            <w:pPr>
              <w:pStyle w:val="DMETW36747BIPAIDC"/>
              <w:jc w:val="right"/>
              <w:rPr>
                <w:rFonts w:ascii="Verdana" w:eastAsia="Verdana" w:hAnsi="Verdana" w:cs="Verdana"/>
                <w:noProof/>
                <w:color w:val="FFFFFF"/>
              </w:rPr>
            </w:pPr>
            <w:r>
              <w:rPr>
                <w:rFonts w:ascii="Verdana" w:eastAsia="Verdana" w:hAnsi="Verdana" w:cs="Verdana"/>
                <w:noProof/>
                <w:color w:val="FFFFFF"/>
              </w:rPr>
              <w:t>31.12.2025</w:t>
            </w:r>
          </w:p>
        </w:tc>
        <w:tc>
          <w:tcPr>
            <w:tcW w:w="1787" w:type="dxa"/>
            <w:tcBorders>
              <w:top w:val="nil"/>
              <w:left w:val="nil"/>
              <w:bottom w:val="nil"/>
              <w:right w:val="nil"/>
              <w:tl2br w:val="nil"/>
              <w:tr2bl w:val="nil"/>
            </w:tcBorders>
            <w:shd w:val="solid" w:color="016794" w:fill="FFFFFF"/>
            <w:tcMar>
              <w:left w:w="60" w:type="dxa"/>
              <w:right w:w="60" w:type="dxa"/>
            </w:tcMar>
            <w:vAlign w:val="center"/>
          </w:tcPr>
          <w:p w14:paraId="4D80788A" w14:textId="77777777" w:rsidR="00807FFE" w:rsidRDefault="00023E71">
            <w:pPr>
              <w:pStyle w:val="DMETW36747BIPAIDC"/>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70FF4AF4" w14:textId="77777777">
        <w:trPr>
          <w:trHeight w:val="255"/>
        </w:trPr>
        <w:tc>
          <w:tcPr>
            <w:tcW w:w="6184" w:type="dxa"/>
            <w:tcBorders>
              <w:top w:val="nil"/>
              <w:left w:val="nil"/>
              <w:bottom w:val="nil"/>
              <w:right w:val="nil"/>
              <w:tl2br w:val="nil"/>
              <w:tr2bl w:val="nil"/>
            </w:tcBorders>
            <w:tcMar>
              <w:left w:w="60" w:type="dxa"/>
              <w:right w:w="60" w:type="dxa"/>
            </w:tcMar>
            <w:vAlign w:val="center"/>
          </w:tcPr>
          <w:p w14:paraId="2B649F2E" w14:textId="77777777" w:rsidR="00807FFE" w:rsidRDefault="00023E71">
            <w:pPr>
              <w:pStyle w:val="DMETW36747BIPAIDC"/>
              <w:rPr>
                <w:rFonts w:ascii="Verdana" w:eastAsia="Verdana" w:hAnsi="Verdana" w:cs="Verdana"/>
                <w:i/>
                <w:noProof/>
                <w:color w:val="000000"/>
                <w:sz w:val="18"/>
              </w:rPr>
            </w:pPr>
            <w:r>
              <w:rPr>
                <w:rFonts w:ascii="Verdana" w:eastAsia="Verdana" w:hAnsi="Verdana" w:cs="Verdana"/>
                <w:i/>
                <w:noProof/>
                <w:color w:val="000000"/>
                <w:sz w:val="18"/>
              </w:rPr>
              <w:t>Accrued income</w:t>
            </w:r>
          </w:p>
        </w:tc>
        <w:tc>
          <w:tcPr>
            <w:tcW w:w="1787" w:type="dxa"/>
            <w:tcBorders>
              <w:top w:val="nil"/>
              <w:left w:val="nil"/>
              <w:bottom w:val="nil"/>
              <w:right w:val="nil"/>
              <w:tl2br w:val="nil"/>
              <w:tr2bl w:val="nil"/>
            </w:tcBorders>
            <w:tcMar>
              <w:left w:w="60" w:type="dxa"/>
              <w:right w:w="60" w:type="dxa"/>
            </w:tcMar>
            <w:vAlign w:val="bottom"/>
          </w:tcPr>
          <w:p w14:paraId="4E3B8359" w14:textId="77777777" w:rsidR="00807FFE" w:rsidRDefault="00023E71">
            <w:pPr>
              <w:pStyle w:val="DMETW36747BIPAIDC"/>
              <w:jc w:val="right"/>
              <w:rPr>
                <w:rFonts w:ascii="Verdana" w:eastAsia="Verdana" w:hAnsi="Verdana" w:cs="Verdana"/>
                <w:i/>
                <w:noProof/>
                <w:color w:val="000000"/>
                <w:sz w:val="18"/>
              </w:rPr>
            </w:pPr>
            <w:r>
              <w:rPr>
                <w:rFonts w:ascii="Verdana" w:eastAsia="Verdana" w:hAnsi="Verdana" w:cs="Verdana"/>
                <w:i/>
                <w:noProof/>
                <w:color w:val="000000"/>
                <w:sz w:val="18"/>
              </w:rPr>
              <w:t>1 679</w:t>
            </w:r>
          </w:p>
        </w:tc>
        <w:tc>
          <w:tcPr>
            <w:tcW w:w="1787" w:type="dxa"/>
            <w:tcBorders>
              <w:top w:val="nil"/>
              <w:left w:val="nil"/>
              <w:bottom w:val="nil"/>
              <w:right w:val="nil"/>
              <w:tl2br w:val="nil"/>
              <w:tr2bl w:val="nil"/>
            </w:tcBorders>
            <w:tcMar>
              <w:left w:w="60" w:type="dxa"/>
              <w:right w:w="60" w:type="dxa"/>
            </w:tcMar>
            <w:vAlign w:val="bottom"/>
          </w:tcPr>
          <w:p w14:paraId="5C2ACCCA" w14:textId="77777777" w:rsidR="00807FFE" w:rsidRDefault="00023E71">
            <w:pPr>
              <w:pStyle w:val="DMETW36747BIPAID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756</w:t>
            </w:r>
          </w:p>
        </w:tc>
      </w:tr>
      <w:tr w:rsidR="00807FFE" w14:paraId="5D1842B8" w14:textId="77777777">
        <w:trPr>
          <w:trHeight w:val="255"/>
        </w:trPr>
        <w:tc>
          <w:tcPr>
            <w:tcW w:w="6184" w:type="dxa"/>
            <w:tcBorders>
              <w:top w:val="nil"/>
              <w:left w:val="nil"/>
              <w:bottom w:val="single" w:sz="4" w:space="0" w:color="016794"/>
              <w:right w:val="nil"/>
              <w:tl2br w:val="nil"/>
              <w:tr2bl w:val="nil"/>
            </w:tcBorders>
            <w:tcMar>
              <w:left w:w="60" w:type="dxa"/>
              <w:right w:w="60" w:type="dxa"/>
            </w:tcMar>
            <w:vAlign w:val="center"/>
          </w:tcPr>
          <w:p w14:paraId="0CEB7039" w14:textId="77777777" w:rsidR="00807FFE" w:rsidRDefault="00023E71">
            <w:pPr>
              <w:pStyle w:val="DMETW36747BIPAIDC"/>
              <w:rPr>
                <w:rFonts w:ascii="Verdana" w:eastAsia="Verdana" w:hAnsi="Verdana" w:cs="Verdana"/>
                <w:i/>
                <w:noProof/>
                <w:color w:val="000000"/>
                <w:sz w:val="18"/>
              </w:rPr>
            </w:pPr>
            <w:r>
              <w:rPr>
                <w:rFonts w:ascii="Verdana" w:eastAsia="Verdana" w:hAnsi="Verdana" w:cs="Verdana"/>
                <w:i/>
                <w:noProof/>
                <w:color w:val="000000"/>
                <w:sz w:val="18"/>
              </w:rPr>
              <w:t>Deferred charges relating to non-exchange transactions</w:t>
            </w:r>
          </w:p>
        </w:tc>
        <w:tc>
          <w:tcPr>
            <w:tcW w:w="1787" w:type="dxa"/>
            <w:tcBorders>
              <w:top w:val="nil"/>
              <w:left w:val="nil"/>
              <w:bottom w:val="single" w:sz="4" w:space="0" w:color="016794"/>
              <w:right w:val="nil"/>
              <w:tl2br w:val="nil"/>
              <w:tr2bl w:val="nil"/>
            </w:tcBorders>
            <w:tcMar>
              <w:left w:w="60" w:type="dxa"/>
              <w:right w:w="60" w:type="dxa"/>
            </w:tcMar>
            <w:vAlign w:val="bottom"/>
          </w:tcPr>
          <w:p w14:paraId="3F3CFEAB" w14:textId="77777777" w:rsidR="00807FFE" w:rsidRDefault="00023E71">
            <w:pPr>
              <w:pStyle w:val="DMETW36747BIPAIDC"/>
              <w:jc w:val="right"/>
              <w:rPr>
                <w:rFonts w:ascii="Verdana" w:eastAsia="Verdana" w:hAnsi="Verdana" w:cs="Verdana"/>
                <w:i/>
                <w:noProof/>
                <w:color w:val="000000"/>
                <w:sz w:val="18"/>
              </w:rPr>
            </w:pPr>
            <w:r>
              <w:rPr>
                <w:rFonts w:ascii="Verdana" w:eastAsia="Verdana" w:hAnsi="Verdana" w:cs="Verdana"/>
                <w:i/>
                <w:noProof/>
                <w:color w:val="000000"/>
                <w:sz w:val="18"/>
              </w:rPr>
              <w:t xml:space="preserve"> 591</w:t>
            </w:r>
          </w:p>
        </w:tc>
        <w:tc>
          <w:tcPr>
            <w:tcW w:w="1787" w:type="dxa"/>
            <w:tcBorders>
              <w:top w:val="nil"/>
              <w:left w:val="nil"/>
              <w:bottom w:val="single" w:sz="4" w:space="0" w:color="016794"/>
              <w:right w:val="nil"/>
              <w:tl2br w:val="nil"/>
              <w:tr2bl w:val="nil"/>
            </w:tcBorders>
            <w:tcMar>
              <w:left w:w="60" w:type="dxa"/>
              <w:right w:w="60" w:type="dxa"/>
            </w:tcMar>
            <w:vAlign w:val="bottom"/>
          </w:tcPr>
          <w:p w14:paraId="2202B64C" w14:textId="77777777" w:rsidR="00807FFE" w:rsidRDefault="00023E71">
            <w:pPr>
              <w:pStyle w:val="DMETW36747BIPAID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339</w:t>
            </w:r>
          </w:p>
        </w:tc>
      </w:tr>
      <w:tr w:rsidR="00807FFE" w14:paraId="528C9CD1" w14:textId="77777777">
        <w:trPr>
          <w:trHeight w:val="255"/>
        </w:trPr>
        <w:tc>
          <w:tcPr>
            <w:tcW w:w="6184" w:type="dxa"/>
            <w:tcBorders>
              <w:top w:val="single" w:sz="4" w:space="0" w:color="016794"/>
              <w:left w:val="nil"/>
              <w:bottom w:val="single" w:sz="4" w:space="0" w:color="016794"/>
              <w:right w:val="nil"/>
              <w:tl2br w:val="nil"/>
              <w:tr2bl w:val="nil"/>
            </w:tcBorders>
            <w:tcMar>
              <w:left w:w="60" w:type="dxa"/>
              <w:right w:w="60" w:type="dxa"/>
            </w:tcMar>
            <w:vAlign w:val="center"/>
          </w:tcPr>
          <w:p w14:paraId="06C48721" w14:textId="77777777" w:rsidR="00807FFE" w:rsidRDefault="00023E71">
            <w:pPr>
              <w:pStyle w:val="DMETW36747BIPAIDC"/>
              <w:rPr>
                <w:rFonts w:ascii="Verdana" w:eastAsia="Verdana" w:hAnsi="Verdana" w:cs="Verdana"/>
                <w:b/>
                <w:noProof/>
                <w:color w:val="000000"/>
                <w:sz w:val="18"/>
              </w:rPr>
            </w:pPr>
            <w:r>
              <w:rPr>
                <w:rFonts w:ascii="Verdana" w:eastAsia="Verdana" w:hAnsi="Verdana" w:cs="Verdana"/>
                <w:b/>
                <w:noProof/>
                <w:color w:val="000000"/>
                <w:sz w:val="18"/>
              </w:rPr>
              <w:t>Total</w:t>
            </w:r>
          </w:p>
        </w:tc>
        <w:tc>
          <w:tcPr>
            <w:tcW w:w="1787" w:type="dxa"/>
            <w:tcBorders>
              <w:top w:val="single" w:sz="4" w:space="0" w:color="016794"/>
              <w:left w:val="nil"/>
              <w:bottom w:val="single" w:sz="4" w:space="0" w:color="016794"/>
              <w:right w:val="nil"/>
              <w:tl2br w:val="nil"/>
              <w:tr2bl w:val="nil"/>
            </w:tcBorders>
            <w:tcMar>
              <w:left w:w="60" w:type="dxa"/>
              <w:right w:w="60" w:type="dxa"/>
            </w:tcMar>
            <w:vAlign w:val="bottom"/>
          </w:tcPr>
          <w:p w14:paraId="3C80C140" w14:textId="77777777" w:rsidR="00807FFE" w:rsidRDefault="00023E71">
            <w:pPr>
              <w:pStyle w:val="DMETW36747BIPAIDC"/>
              <w:jc w:val="right"/>
              <w:rPr>
                <w:rFonts w:ascii="Verdana" w:eastAsia="Verdana" w:hAnsi="Verdana" w:cs="Verdana"/>
                <w:b/>
                <w:noProof/>
                <w:color w:val="000000"/>
                <w:sz w:val="18"/>
              </w:rPr>
            </w:pPr>
            <w:r>
              <w:rPr>
                <w:rFonts w:ascii="Verdana" w:eastAsia="Verdana" w:hAnsi="Verdana" w:cs="Verdana"/>
                <w:b/>
                <w:noProof/>
                <w:color w:val="000000"/>
                <w:sz w:val="18"/>
              </w:rPr>
              <w:t>2 269</w:t>
            </w:r>
          </w:p>
        </w:tc>
        <w:tc>
          <w:tcPr>
            <w:tcW w:w="1787" w:type="dxa"/>
            <w:tcBorders>
              <w:top w:val="single" w:sz="4" w:space="0" w:color="016794"/>
              <w:left w:val="nil"/>
              <w:bottom w:val="single" w:sz="4" w:space="0" w:color="016794"/>
              <w:right w:val="nil"/>
              <w:tl2br w:val="nil"/>
              <w:tr2bl w:val="nil"/>
            </w:tcBorders>
            <w:tcMar>
              <w:left w:w="60" w:type="dxa"/>
              <w:right w:w="60" w:type="dxa"/>
            </w:tcMar>
            <w:vAlign w:val="bottom"/>
          </w:tcPr>
          <w:p w14:paraId="328279EF" w14:textId="77777777" w:rsidR="00807FFE" w:rsidRDefault="00023E71">
            <w:pPr>
              <w:pStyle w:val="DMETW36747BIPAIDC"/>
              <w:jc w:val="right"/>
              <w:rPr>
                <w:rFonts w:ascii="Verdana" w:eastAsia="Verdana" w:hAnsi="Verdana" w:cs="Verdana"/>
                <w:b/>
                <w:noProof/>
                <w:color w:val="000000"/>
                <w:sz w:val="18"/>
                <w:lang w:bidi="en-GB"/>
              </w:rPr>
            </w:pPr>
            <w:r>
              <w:rPr>
                <w:rFonts w:ascii="Verdana" w:eastAsia="Verdana" w:hAnsi="Verdana" w:cs="Verdana"/>
                <w:b/>
                <w:noProof/>
                <w:color w:val="000000"/>
                <w:sz w:val="18"/>
              </w:rPr>
              <w:t>1 095</w:t>
            </w:r>
          </w:p>
        </w:tc>
      </w:tr>
      <w:tr w:rsidR="00807FFE" w14:paraId="57C2F656" w14:textId="77777777">
        <w:trPr>
          <w:trHeight w:val="255"/>
        </w:trPr>
        <w:tc>
          <w:tcPr>
            <w:tcW w:w="6184" w:type="dxa"/>
            <w:tcBorders>
              <w:top w:val="single" w:sz="4" w:space="0" w:color="016794"/>
              <w:left w:val="nil"/>
              <w:bottom w:val="nil"/>
              <w:right w:val="nil"/>
              <w:tl2br w:val="nil"/>
              <w:tr2bl w:val="nil"/>
            </w:tcBorders>
            <w:tcMar>
              <w:left w:w="60" w:type="dxa"/>
              <w:right w:w="60" w:type="dxa"/>
            </w:tcMar>
            <w:vAlign w:val="center"/>
          </w:tcPr>
          <w:p w14:paraId="7768D357" w14:textId="77777777" w:rsidR="00807FFE" w:rsidRDefault="00023E71">
            <w:pPr>
              <w:pStyle w:val="DMETW36747BIPAIDC"/>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787" w:type="dxa"/>
            <w:tcBorders>
              <w:top w:val="single" w:sz="4" w:space="0" w:color="016794"/>
              <w:left w:val="nil"/>
              <w:bottom w:val="nil"/>
              <w:right w:val="nil"/>
              <w:tl2br w:val="nil"/>
              <w:tr2bl w:val="nil"/>
            </w:tcBorders>
            <w:tcMar>
              <w:left w:w="60" w:type="dxa"/>
              <w:right w:w="60" w:type="dxa"/>
            </w:tcMar>
            <w:vAlign w:val="bottom"/>
          </w:tcPr>
          <w:p w14:paraId="0B80B382" w14:textId="77777777" w:rsidR="00807FFE" w:rsidRDefault="00023E71">
            <w:pPr>
              <w:pStyle w:val="DMETW36747BIPAIDC"/>
              <w:jc w:val="right"/>
              <w:rPr>
                <w:rFonts w:ascii="Verdana" w:eastAsia="Verdana" w:hAnsi="Verdana" w:cs="Verdana"/>
                <w:i/>
                <w:noProof/>
                <w:color w:val="016794"/>
                <w:sz w:val="18"/>
              </w:rPr>
            </w:pPr>
            <w:r>
              <w:rPr>
                <w:rFonts w:ascii="Verdana" w:eastAsia="Verdana" w:hAnsi="Verdana" w:cs="Verdana"/>
                <w:i/>
                <w:noProof/>
                <w:color w:val="016794"/>
                <w:sz w:val="18"/>
              </w:rPr>
              <w:t xml:space="preserve"> 0</w:t>
            </w:r>
          </w:p>
        </w:tc>
        <w:tc>
          <w:tcPr>
            <w:tcW w:w="1787" w:type="dxa"/>
            <w:tcBorders>
              <w:top w:val="single" w:sz="4" w:space="0" w:color="016794"/>
              <w:left w:val="nil"/>
              <w:bottom w:val="nil"/>
              <w:right w:val="nil"/>
              <w:tl2br w:val="nil"/>
              <w:tr2bl w:val="nil"/>
            </w:tcBorders>
            <w:tcMar>
              <w:left w:w="60" w:type="dxa"/>
              <w:right w:w="60" w:type="dxa"/>
            </w:tcMar>
            <w:vAlign w:val="bottom"/>
          </w:tcPr>
          <w:p w14:paraId="6373424A" w14:textId="77777777" w:rsidR="00807FFE" w:rsidRDefault="00023E71">
            <w:pPr>
              <w:pStyle w:val="DMETW36747BIPAIDC"/>
              <w:jc w:val="right"/>
              <w:rPr>
                <w:rFonts w:ascii="Verdana" w:eastAsia="Verdana" w:hAnsi="Verdana" w:cs="Verdana"/>
                <w:i/>
                <w:noProof/>
                <w:color w:val="016794"/>
                <w:sz w:val="18"/>
                <w:lang w:bidi="en-GB"/>
              </w:rPr>
            </w:pPr>
            <w:r>
              <w:rPr>
                <w:rFonts w:ascii="Verdana" w:eastAsia="Verdana" w:hAnsi="Verdana" w:cs="Verdana"/>
                <w:i/>
                <w:noProof/>
                <w:color w:val="016794"/>
                <w:sz w:val="18"/>
              </w:rPr>
              <w:t xml:space="preserve"> 10</w:t>
            </w:r>
          </w:p>
        </w:tc>
      </w:tr>
      <w:tr w:rsidR="00807FFE" w14:paraId="41E8C4ED" w14:textId="77777777">
        <w:trPr>
          <w:trHeight w:val="255"/>
        </w:trPr>
        <w:tc>
          <w:tcPr>
            <w:tcW w:w="6184" w:type="dxa"/>
            <w:tcBorders>
              <w:top w:val="nil"/>
              <w:left w:val="nil"/>
              <w:bottom w:val="nil"/>
              <w:right w:val="nil"/>
              <w:tl2br w:val="nil"/>
              <w:tr2bl w:val="nil"/>
            </w:tcBorders>
            <w:tcMar>
              <w:left w:w="60" w:type="dxa"/>
              <w:right w:w="60" w:type="dxa"/>
            </w:tcMar>
            <w:vAlign w:val="center"/>
          </w:tcPr>
          <w:p w14:paraId="6D7118D5" w14:textId="77777777" w:rsidR="00807FFE" w:rsidRDefault="00023E71">
            <w:pPr>
              <w:pStyle w:val="DMETW36747BIPAIDC"/>
              <w:rPr>
                <w:rFonts w:ascii="Verdana" w:eastAsia="Verdana" w:hAnsi="Verdana" w:cs="Verdana"/>
                <w:i/>
                <w:noProof/>
                <w:color w:val="016794"/>
                <w:sz w:val="18"/>
              </w:rPr>
            </w:pPr>
            <w:r>
              <w:rPr>
                <w:rFonts w:ascii="Verdana" w:eastAsia="Verdana" w:hAnsi="Verdana" w:cs="Verdana"/>
                <w:i/>
                <w:noProof/>
                <w:color w:val="016794"/>
                <w:sz w:val="18"/>
              </w:rPr>
              <w:t>Current</w:t>
            </w:r>
          </w:p>
        </w:tc>
        <w:tc>
          <w:tcPr>
            <w:tcW w:w="1787" w:type="dxa"/>
            <w:tcBorders>
              <w:top w:val="nil"/>
              <w:left w:val="nil"/>
              <w:bottom w:val="nil"/>
              <w:right w:val="nil"/>
              <w:tl2br w:val="nil"/>
              <w:tr2bl w:val="nil"/>
            </w:tcBorders>
            <w:tcMar>
              <w:left w:w="60" w:type="dxa"/>
              <w:right w:w="60" w:type="dxa"/>
            </w:tcMar>
            <w:vAlign w:val="bottom"/>
          </w:tcPr>
          <w:p w14:paraId="26D28A2F" w14:textId="77777777" w:rsidR="00807FFE" w:rsidRDefault="00023E71">
            <w:pPr>
              <w:pStyle w:val="DMETW36747BIPAIDC"/>
              <w:jc w:val="right"/>
              <w:rPr>
                <w:rFonts w:ascii="Verdana" w:eastAsia="Verdana" w:hAnsi="Verdana" w:cs="Verdana"/>
                <w:i/>
                <w:noProof/>
                <w:color w:val="016794"/>
                <w:sz w:val="18"/>
              </w:rPr>
            </w:pPr>
            <w:r>
              <w:rPr>
                <w:rFonts w:ascii="Verdana" w:eastAsia="Verdana" w:hAnsi="Verdana" w:cs="Verdana"/>
                <w:i/>
                <w:noProof/>
                <w:color w:val="016794"/>
                <w:sz w:val="18"/>
              </w:rPr>
              <w:t>2 269</w:t>
            </w:r>
          </w:p>
        </w:tc>
        <w:tc>
          <w:tcPr>
            <w:tcW w:w="1787" w:type="dxa"/>
            <w:tcBorders>
              <w:top w:val="nil"/>
              <w:left w:val="nil"/>
              <w:bottom w:val="nil"/>
              <w:right w:val="nil"/>
              <w:tl2br w:val="nil"/>
              <w:tr2bl w:val="nil"/>
            </w:tcBorders>
            <w:tcMar>
              <w:left w:w="60" w:type="dxa"/>
              <w:right w:w="60" w:type="dxa"/>
            </w:tcMar>
            <w:vAlign w:val="bottom"/>
          </w:tcPr>
          <w:p w14:paraId="760BE8A4" w14:textId="77777777" w:rsidR="00807FFE" w:rsidRDefault="00023E71">
            <w:pPr>
              <w:pStyle w:val="DMETW36747BIPAIDC"/>
              <w:jc w:val="right"/>
              <w:rPr>
                <w:rFonts w:ascii="Verdana" w:eastAsia="Verdana" w:hAnsi="Verdana" w:cs="Verdana"/>
                <w:i/>
                <w:noProof/>
                <w:color w:val="016794"/>
                <w:sz w:val="18"/>
              </w:rPr>
            </w:pPr>
            <w:r>
              <w:rPr>
                <w:rFonts w:ascii="Verdana" w:eastAsia="Verdana" w:hAnsi="Verdana" w:cs="Verdana"/>
                <w:i/>
                <w:noProof/>
                <w:color w:val="016794"/>
                <w:sz w:val="18"/>
              </w:rPr>
              <w:t>1 085</w:t>
            </w:r>
          </w:p>
        </w:tc>
      </w:tr>
    </w:tbl>
    <w:p w14:paraId="19D7A0ED" w14:textId="5ADFDC20" w:rsidR="00FF7D10" w:rsidRDefault="00023E71" w:rsidP="008121BD">
      <w:pPr>
        <w:pStyle w:val="DGTextstand-alone"/>
        <w:rPr>
          <w:color w:val="000000" w:themeColor="text1"/>
        </w:rPr>
      </w:pPr>
      <w:r w:rsidRPr="00C57A80">
        <w:rPr>
          <w:color w:val="000000" w:themeColor="text1"/>
        </w:rPr>
        <w:t xml:space="preserve">Accrued </w:t>
      </w:r>
      <w:r>
        <w:rPr>
          <w:color w:val="000000" w:themeColor="text1"/>
        </w:rPr>
        <w:t xml:space="preserve">income </w:t>
      </w:r>
      <w:r w:rsidRPr="00657379">
        <w:rPr>
          <w:color w:val="000000" w:themeColor="text1"/>
        </w:rPr>
        <w:t xml:space="preserve">includes </w:t>
      </w:r>
      <w:r w:rsidRPr="00A566F1">
        <w:rPr>
          <w:color w:val="000000" w:themeColor="text1"/>
        </w:rPr>
        <w:t xml:space="preserve">EUR </w:t>
      </w:r>
      <w:r w:rsidRPr="00492A0E">
        <w:rPr>
          <w:color w:val="000000" w:themeColor="text1"/>
        </w:rPr>
        <w:t>0.3</w:t>
      </w:r>
      <w:r w:rsidRPr="00A566F1">
        <w:rPr>
          <w:color w:val="000000" w:themeColor="text1"/>
        </w:rPr>
        <w:t xml:space="preserve"> billion (202</w:t>
      </w:r>
      <w:r>
        <w:rPr>
          <w:color w:val="000000" w:themeColor="text1"/>
        </w:rPr>
        <w:t>4</w:t>
      </w:r>
      <w:r w:rsidRPr="00A566F1">
        <w:rPr>
          <w:color w:val="000000" w:themeColor="text1"/>
        </w:rPr>
        <w:t xml:space="preserve">: EUR </w:t>
      </w:r>
      <w:r>
        <w:rPr>
          <w:color w:val="000000" w:themeColor="text1"/>
        </w:rPr>
        <w:t>0.4</w:t>
      </w:r>
      <w:r w:rsidRPr="00A566F1">
        <w:rPr>
          <w:color w:val="000000" w:themeColor="text1"/>
        </w:rPr>
        <w:t xml:space="preserve"> billion) </w:t>
      </w:r>
      <w:r w:rsidR="00F05BC9" w:rsidRPr="00A566F1">
        <w:rPr>
          <w:color w:val="000000" w:themeColor="text1"/>
        </w:rPr>
        <w:t xml:space="preserve">that </w:t>
      </w:r>
      <w:r w:rsidRPr="00A566F1">
        <w:rPr>
          <w:color w:val="000000" w:themeColor="text1"/>
        </w:rPr>
        <w:t>the Commission expects to recover in the area of cohesion as a result of the examination and acceptance of the annual accounts submitted by the Member States.</w:t>
      </w:r>
      <w:r>
        <w:rPr>
          <w:color w:val="000000" w:themeColor="text1"/>
        </w:rPr>
        <w:t xml:space="preserve"> </w:t>
      </w:r>
    </w:p>
    <w:p w14:paraId="590CA0D3" w14:textId="77777777" w:rsidR="00FF7D10" w:rsidRDefault="00FF7D10">
      <w:pPr>
        <w:rPr>
          <w:rFonts w:ascii="Verdana" w:hAnsi="Verdana"/>
          <w:noProof/>
          <w:color w:val="000000" w:themeColor="text1"/>
          <w:sz w:val="18"/>
          <w:szCs w:val="18"/>
          <w:lang w:eastAsia="en-US"/>
        </w:rPr>
      </w:pPr>
      <w:r>
        <w:rPr>
          <w:noProof/>
          <w:color w:val="000000" w:themeColor="text1"/>
        </w:rPr>
        <w:br w:type="page"/>
      </w:r>
    </w:p>
    <w:p w14:paraId="00455C00" w14:textId="77777777" w:rsidR="00324012" w:rsidRDefault="00023E71" w:rsidP="00172034">
      <w:pPr>
        <w:pStyle w:val="HEADER3NOTES"/>
        <w:numPr>
          <w:ilvl w:val="2"/>
          <w:numId w:val="15"/>
        </w:numPr>
        <w:rPr>
          <w:noProof/>
        </w:rPr>
      </w:pPr>
      <w:r w:rsidRPr="007A13F2">
        <w:rPr>
          <w:noProof/>
        </w:rPr>
        <w:t>Receivables from 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2132"/>
        <w:gridCol w:w="2132"/>
      </w:tblGrid>
      <w:tr w:rsidR="00807FFE" w14:paraId="4C467CA6" w14:textId="77777777">
        <w:trPr>
          <w:trHeight w:val="255"/>
        </w:trPr>
        <w:tc>
          <w:tcPr>
            <w:tcW w:w="5494" w:type="dxa"/>
            <w:tcBorders>
              <w:top w:val="nil"/>
              <w:left w:val="nil"/>
              <w:bottom w:val="nil"/>
              <w:right w:val="nil"/>
              <w:tl2br w:val="nil"/>
              <w:tr2bl w:val="nil"/>
            </w:tcBorders>
            <w:tcMar>
              <w:left w:w="60" w:type="dxa"/>
              <w:right w:w="60" w:type="dxa"/>
            </w:tcMar>
            <w:vAlign w:val="bottom"/>
          </w:tcPr>
          <w:p w14:paraId="7FE70C71" w14:textId="77777777" w:rsidR="00807FFE" w:rsidRDefault="00807FFE">
            <w:pPr>
              <w:pStyle w:val="DMETW36745BIPRET"/>
              <w:rPr>
                <w:rFonts w:cs="Calibri"/>
                <w:noProof/>
                <w:color w:val="000000"/>
                <w:sz w:val="22"/>
                <w:lang w:bidi="en-GB"/>
              </w:rPr>
            </w:pPr>
            <w:bookmarkStart w:id="136" w:name="DOC_TBL00041_1_1"/>
            <w:bookmarkEnd w:id="136"/>
          </w:p>
        </w:tc>
        <w:tc>
          <w:tcPr>
            <w:tcW w:w="2132" w:type="dxa"/>
            <w:tcBorders>
              <w:top w:val="nil"/>
              <w:left w:val="nil"/>
              <w:bottom w:val="nil"/>
              <w:right w:val="nil"/>
              <w:tl2br w:val="nil"/>
              <w:tr2bl w:val="nil"/>
            </w:tcBorders>
            <w:tcMar>
              <w:left w:w="60" w:type="dxa"/>
              <w:right w:w="60" w:type="dxa"/>
            </w:tcMar>
            <w:vAlign w:val="bottom"/>
          </w:tcPr>
          <w:p w14:paraId="5DD53DD7" w14:textId="77777777" w:rsidR="00807FFE" w:rsidRDefault="00807FFE">
            <w:pPr>
              <w:pStyle w:val="DMETW36745BIPRET"/>
              <w:rPr>
                <w:rFonts w:cs="Calibri"/>
                <w:noProof/>
                <w:color w:val="000000"/>
                <w:sz w:val="22"/>
              </w:rPr>
            </w:pPr>
          </w:p>
        </w:tc>
        <w:tc>
          <w:tcPr>
            <w:tcW w:w="2132" w:type="dxa"/>
            <w:tcBorders>
              <w:top w:val="nil"/>
              <w:left w:val="nil"/>
              <w:bottom w:val="nil"/>
              <w:right w:val="nil"/>
              <w:tl2br w:val="nil"/>
              <w:tr2bl w:val="nil"/>
            </w:tcBorders>
            <w:tcMar>
              <w:left w:w="60" w:type="dxa"/>
              <w:right w:w="60" w:type="dxa"/>
            </w:tcMar>
            <w:vAlign w:val="bottom"/>
          </w:tcPr>
          <w:p w14:paraId="58B253D2" w14:textId="77777777" w:rsidR="00807FFE" w:rsidRDefault="00023E71">
            <w:pPr>
              <w:pStyle w:val="DMETW36745BIPRET"/>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4C103FB" w14:textId="77777777">
        <w:trPr>
          <w:trHeight w:val="255"/>
        </w:trPr>
        <w:tc>
          <w:tcPr>
            <w:tcW w:w="5494" w:type="dxa"/>
            <w:tcBorders>
              <w:top w:val="nil"/>
              <w:left w:val="nil"/>
              <w:bottom w:val="nil"/>
              <w:right w:val="nil"/>
              <w:tl2br w:val="nil"/>
              <w:tr2bl w:val="nil"/>
            </w:tcBorders>
            <w:shd w:val="solid" w:color="016794" w:fill="FFFFFF"/>
            <w:tcMar>
              <w:left w:w="60" w:type="dxa"/>
              <w:right w:w="60" w:type="dxa"/>
            </w:tcMar>
            <w:vAlign w:val="center"/>
          </w:tcPr>
          <w:p w14:paraId="4728D295" w14:textId="77777777" w:rsidR="00807FFE" w:rsidRDefault="00807FFE">
            <w:pPr>
              <w:pStyle w:val="DMETW36745BIPRET"/>
              <w:jc w:val="center"/>
              <w:rPr>
                <w:rFonts w:ascii="Verdana" w:eastAsia="Verdana" w:hAnsi="Verdana" w:cs="Verdana"/>
                <w:noProof/>
                <w:color w:val="FFFFFF"/>
              </w:rPr>
            </w:pPr>
          </w:p>
        </w:tc>
        <w:tc>
          <w:tcPr>
            <w:tcW w:w="2132" w:type="dxa"/>
            <w:tcBorders>
              <w:top w:val="nil"/>
              <w:left w:val="nil"/>
              <w:bottom w:val="nil"/>
              <w:right w:val="nil"/>
              <w:tl2br w:val="nil"/>
              <w:tr2bl w:val="nil"/>
            </w:tcBorders>
            <w:shd w:val="solid" w:color="016794" w:fill="FFFFFF"/>
            <w:tcMar>
              <w:left w:w="60" w:type="dxa"/>
              <w:right w:w="60" w:type="dxa"/>
            </w:tcMar>
            <w:vAlign w:val="center"/>
          </w:tcPr>
          <w:p w14:paraId="042375A6" w14:textId="77777777" w:rsidR="00807FFE" w:rsidRDefault="00023E71">
            <w:pPr>
              <w:pStyle w:val="DMETW36745BIPRET"/>
              <w:jc w:val="right"/>
              <w:rPr>
                <w:rFonts w:ascii="Verdana" w:eastAsia="Verdana" w:hAnsi="Verdana" w:cs="Verdana"/>
                <w:noProof/>
                <w:color w:val="FFFFFF"/>
              </w:rPr>
            </w:pPr>
            <w:r>
              <w:rPr>
                <w:rFonts w:ascii="Verdana" w:eastAsia="Verdana" w:hAnsi="Verdana" w:cs="Verdana"/>
                <w:noProof/>
                <w:color w:val="FFFFFF"/>
              </w:rPr>
              <w:t>31.12.2025</w:t>
            </w:r>
          </w:p>
        </w:tc>
        <w:tc>
          <w:tcPr>
            <w:tcW w:w="2132" w:type="dxa"/>
            <w:tcBorders>
              <w:top w:val="nil"/>
              <w:left w:val="nil"/>
              <w:bottom w:val="nil"/>
              <w:right w:val="nil"/>
              <w:tl2br w:val="nil"/>
              <w:tr2bl w:val="nil"/>
            </w:tcBorders>
            <w:shd w:val="solid" w:color="016794" w:fill="FFFFFF"/>
            <w:tcMar>
              <w:left w:w="60" w:type="dxa"/>
              <w:right w:w="60" w:type="dxa"/>
            </w:tcMar>
            <w:vAlign w:val="center"/>
          </w:tcPr>
          <w:p w14:paraId="5F651AC6" w14:textId="77777777" w:rsidR="00807FFE" w:rsidRDefault="00023E71">
            <w:pPr>
              <w:pStyle w:val="DMETW36745BIPRET"/>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7117FAAC"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3BC29D29" w14:textId="77777777" w:rsidR="00807FFE" w:rsidRDefault="00023E71">
            <w:pPr>
              <w:pStyle w:val="DMETW36745BIPRET"/>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2132" w:type="dxa"/>
            <w:tcBorders>
              <w:top w:val="nil"/>
              <w:left w:val="nil"/>
              <w:bottom w:val="nil"/>
              <w:right w:val="nil"/>
              <w:tl2br w:val="nil"/>
              <w:tr2bl w:val="nil"/>
            </w:tcBorders>
            <w:tcMar>
              <w:left w:w="60" w:type="dxa"/>
              <w:right w:w="60" w:type="dxa"/>
            </w:tcMar>
            <w:vAlign w:val="center"/>
          </w:tcPr>
          <w:p w14:paraId="3413F3BB" w14:textId="77777777" w:rsidR="00807FFE" w:rsidRDefault="00807FFE">
            <w:pPr>
              <w:pStyle w:val="DMETW36745BIPRET"/>
              <w:jc w:val="center"/>
              <w:rPr>
                <w:rFonts w:ascii="Verdana" w:eastAsia="Verdana" w:hAnsi="Verdana" w:cs="Verdana"/>
                <w:b/>
                <w:noProof/>
                <w:color w:val="000000"/>
                <w:sz w:val="18"/>
              </w:rPr>
            </w:pPr>
          </w:p>
        </w:tc>
        <w:tc>
          <w:tcPr>
            <w:tcW w:w="2132" w:type="dxa"/>
            <w:tcBorders>
              <w:top w:val="nil"/>
              <w:left w:val="nil"/>
              <w:bottom w:val="nil"/>
              <w:right w:val="nil"/>
              <w:tl2br w:val="nil"/>
              <w:tr2bl w:val="nil"/>
            </w:tcBorders>
            <w:tcMar>
              <w:left w:w="60" w:type="dxa"/>
              <w:right w:w="60" w:type="dxa"/>
            </w:tcMar>
            <w:vAlign w:val="center"/>
          </w:tcPr>
          <w:p w14:paraId="7C7A0B7F" w14:textId="77777777" w:rsidR="00807FFE" w:rsidRDefault="00807FFE">
            <w:pPr>
              <w:pStyle w:val="DMETW36745BIPRET"/>
              <w:rPr>
                <w:rFonts w:ascii="Verdana" w:eastAsia="Verdana" w:hAnsi="Verdana" w:cs="Verdana"/>
                <w:b/>
                <w:noProof/>
                <w:color w:val="000000"/>
                <w:sz w:val="18"/>
                <w:lang w:bidi="en-GB"/>
              </w:rPr>
            </w:pPr>
          </w:p>
        </w:tc>
      </w:tr>
      <w:tr w:rsidR="00807FFE" w14:paraId="72F72AA9"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3FF89C49"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Financial guarantee receivable</w:t>
            </w:r>
          </w:p>
        </w:tc>
        <w:tc>
          <w:tcPr>
            <w:tcW w:w="2132" w:type="dxa"/>
            <w:tcBorders>
              <w:top w:val="nil"/>
              <w:left w:val="nil"/>
              <w:bottom w:val="nil"/>
              <w:right w:val="nil"/>
              <w:tl2br w:val="nil"/>
              <w:tr2bl w:val="nil"/>
            </w:tcBorders>
            <w:tcMar>
              <w:left w:w="60" w:type="dxa"/>
              <w:right w:w="60" w:type="dxa"/>
            </w:tcMar>
            <w:vAlign w:val="bottom"/>
          </w:tcPr>
          <w:p w14:paraId="3F90637A"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1 359</w:t>
            </w:r>
          </w:p>
        </w:tc>
        <w:tc>
          <w:tcPr>
            <w:tcW w:w="2132" w:type="dxa"/>
            <w:tcBorders>
              <w:top w:val="nil"/>
              <w:left w:val="nil"/>
              <w:bottom w:val="nil"/>
              <w:right w:val="nil"/>
              <w:tl2br w:val="nil"/>
              <w:tr2bl w:val="nil"/>
            </w:tcBorders>
            <w:tcMar>
              <w:left w:w="60" w:type="dxa"/>
              <w:right w:w="60" w:type="dxa"/>
            </w:tcMar>
            <w:vAlign w:val="bottom"/>
          </w:tcPr>
          <w:p w14:paraId="214519B0"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1 324</w:t>
            </w:r>
          </w:p>
        </w:tc>
      </w:tr>
      <w:tr w:rsidR="00807FFE" w14:paraId="6678304E"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0F2C784E"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Late payment interest</w:t>
            </w:r>
          </w:p>
        </w:tc>
        <w:tc>
          <w:tcPr>
            <w:tcW w:w="2132" w:type="dxa"/>
            <w:tcBorders>
              <w:top w:val="nil"/>
              <w:left w:val="nil"/>
              <w:bottom w:val="nil"/>
              <w:right w:val="nil"/>
              <w:tl2br w:val="nil"/>
              <w:tr2bl w:val="nil"/>
            </w:tcBorders>
            <w:tcMar>
              <w:left w:w="60" w:type="dxa"/>
              <w:right w:w="60" w:type="dxa"/>
            </w:tcMar>
            <w:vAlign w:val="bottom"/>
          </w:tcPr>
          <w:p w14:paraId="380FF2D2"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 xml:space="preserve"> 319</w:t>
            </w:r>
          </w:p>
        </w:tc>
        <w:tc>
          <w:tcPr>
            <w:tcW w:w="2132" w:type="dxa"/>
            <w:tcBorders>
              <w:top w:val="nil"/>
              <w:left w:val="nil"/>
              <w:bottom w:val="nil"/>
              <w:right w:val="nil"/>
              <w:tl2br w:val="nil"/>
              <w:tr2bl w:val="nil"/>
            </w:tcBorders>
            <w:tcMar>
              <w:left w:w="60" w:type="dxa"/>
              <w:right w:w="60" w:type="dxa"/>
            </w:tcMar>
            <w:vAlign w:val="bottom"/>
          </w:tcPr>
          <w:p w14:paraId="56E33BC1"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323</w:t>
            </w:r>
          </w:p>
        </w:tc>
      </w:tr>
      <w:tr w:rsidR="00807FFE" w14:paraId="03518D07" w14:textId="77777777">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14:paraId="2BE20E55"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Other receivables</w:t>
            </w:r>
          </w:p>
        </w:tc>
        <w:tc>
          <w:tcPr>
            <w:tcW w:w="2132" w:type="dxa"/>
            <w:tcBorders>
              <w:top w:val="nil"/>
              <w:left w:val="nil"/>
              <w:bottom w:val="single" w:sz="4" w:space="0" w:color="016794"/>
              <w:right w:val="nil"/>
              <w:tl2br w:val="nil"/>
              <w:tr2bl w:val="nil"/>
            </w:tcBorders>
            <w:tcMar>
              <w:left w:w="60" w:type="dxa"/>
              <w:right w:w="60" w:type="dxa"/>
            </w:tcMar>
            <w:vAlign w:val="bottom"/>
          </w:tcPr>
          <w:p w14:paraId="1A4C9F3C"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 xml:space="preserve"> 108</w:t>
            </w:r>
          </w:p>
        </w:tc>
        <w:tc>
          <w:tcPr>
            <w:tcW w:w="2132" w:type="dxa"/>
            <w:tcBorders>
              <w:top w:val="nil"/>
              <w:left w:val="nil"/>
              <w:bottom w:val="single" w:sz="4" w:space="0" w:color="016794"/>
              <w:right w:val="nil"/>
              <w:tl2br w:val="nil"/>
              <w:tr2bl w:val="nil"/>
            </w:tcBorders>
            <w:tcMar>
              <w:left w:w="60" w:type="dxa"/>
              <w:right w:w="60" w:type="dxa"/>
            </w:tcMar>
            <w:vAlign w:val="bottom"/>
          </w:tcPr>
          <w:p w14:paraId="088577CC"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84</w:t>
            </w:r>
          </w:p>
        </w:tc>
      </w:tr>
      <w:tr w:rsidR="00807FFE" w14:paraId="5E18C2C8" w14:textId="77777777">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14:paraId="6A9BF6B2" w14:textId="77777777" w:rsidR="00807FFE" w:rsidRDefault="00807FFE">
            <w:pPr>
              <w:pStyle w:val="DMETW36745BIPRET"/>
              <w:jc w:val="center"/>
              <w:rPr>
                <w:rFonts w:ascii="Verdana" w:eastAsia="Verdana" w:hAnsi="Verdana" w:cs="Verdana"/>
                <w:noProof/>
                <w:color w:val="000000"/>
                <w:sz w:val="18"/>
              </w:rPr>
            </w:pP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14:paraId="7C53EA7F" w14:textId="77777777" w:rsidR="00807FFE" w:rsidRDefault="00023E71">
            <w:pPr>
              <w:pStyle w:val="DMETW36745BIPRET"/>
              <w:jc w:val="right"/>
              <w:rPr>
                <w:rFonts w:ascii="Verdana" w:eastAsia="Verdana" w:hAnsi="Verdana" w:cs="Verdana"/>
                <w:b/>
                <w:noProof/>
                <w:color w:val="000000"/>
                <w:sz w:val="18"/>
              </w:rPr>
            </w:pPr>
            <w:r>
              <w:rPr>
                <w:rFonts w:ascii="Verdana" w:eastAsia="Verdana" w:hAnsi="Verdana" w:cs="Verdana"/>
                <w:b/>
                <w:noProof/>
                <w:color w:val="000000"/>
                <w:sz w:val="18"/>
              </w:rPr>
              <w:t>1 786</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14:paraId="3A580731" w14:textId="77777777" w:rsidR="00807FFE" w:rsidRDefault="00023E71">
            <w:pPr>
              <w:pStyle w:val="DMETW36745BIPRET"/>
              <w:jc w:val="right"/>
              <w:rPr>
                <w:rFonts w:ascii="Verdana" w:eastAsia="Verdana" w:hAnsi="Verdana" w:cs="Verdana"/>
                <w:b/>
                <w:noProof/>
                <w:color w:val="000000"/>
                <w:sz w:val="18"/>
                <w:lang w:bidi="en-GB"/>
              </w:rPr>
            </w:pPr>
            <w:r>
              <w:rPr>
                <w:rFonts w:ascii="Verdana" w:eastAsia="Verdana" w:hAnsi="Verdana" w:cs="Verdana"/>
                <w:b/>
                <w:noProof/>
                <w:color w:val="000000"/>
                <w:sz w:val="18"/>
              </w:rPr>
              <w:t>1 731</w:t>
            </w:r>
          </w:p>
        </w:tc>
      </w:tr>
      <w:tr w:rsidR="00807FFE" w14:paraId="4C7428B7" w14:textId="77777777">
        <w:trPr>
          <w:trHeight w:val="255"/>
        </w:trPr>
        <w:tc>
          <w:tcPr>
            <w:tcW w:w="5494" w:type="dxa"/>
            <w:tcBorders>
              <w:top w:val="single" w:sz="4" w:space="0" w:color="016794"/>
              <w:left w:val="nil"/>
              <w:bottom w:val="nil"/>
              <w:right w:val="nil"/>
              <w:tl2br w:val="nil"/>
              <w:tr2bl w:val="nil"/>
            </w:tcBorders>
            <w:tcMar>
              <w:left w:w="60" w:type="dxa"/>
              <w:right w:w="60" w:type="dxa"/>
            </w:tcMar>
            <w:vAlign w:val="center"/>
          </w:tcPr>
          <w:p w14:paraId="76F566A4" w14:textId="77777777" w:rsidR="00807FFE" w:rsidRDefault="00023E71">
            <w:pPr>
              <w:pStyle w:val="DMETW36745BIPRET"/>
              <w:rPr>
                <w:rFonts w:ascii="Verdana" w:eastAsia="Verdana" w:hAnsi="Verdana" w:cs="Verdana"/>
                <w:b/>
                <w:noProof/>
                <w:color w:val="000000"/>
                <w:sz w:val="18"/>
              </w:rPr>
            </w:pPr>
            <w:r>
              <w:rPr>
                <w:rFonts w:ascii="Verdana" w:eastAsia="Verdana" w:hAnsi="Verdana" w:cs="Verdana"/>
                <w:b/>
                <w:noProof/>
                <w:color w:val="000000"/>
                <w:sz w:val="18"/>
              </w:rPr>
              <w:t>Current</w:t>
            </w:r>
          </w:p>
        </w:tc>
        <w:tc>
          <w:tcPr>
            <w:tcW w:w="2132" w:type="dxa"/>
            <w:tcBorders>
              <w:top w:val="single" w:sz="4" w:space="0" w:color="016794"/>
              <w:left w:val="nil"/>
              <w:bottom w:val="nil"/>
              <w:right w:val="nil"/>
              <w:tl2br w:val="nil"/>
              <w:tr2bl w:val="nil"/>
            </w:tcBorders>
            <w:tcMar>
              <w:left w:w="60" w:type="dxa"/>
              <w:right w:w="60" w:type="dxa"/>
            </w:tcMar>
            <w:vAlign w:val="center"/>
          </w:tcPr>
          <w:p w14:paraId="3F6FA8AD" w14:textId="77777777" w:rsidR="00807FFE" w:rsidRDefault="00807FFE">
            <w:pPr>
              <w:pStyle w:val="DMETW36745BIPRET"/>
              <w:jc w:val="center"/>
              <w:rPr>
                <w:rFonts w:ascii="Verdana" w:eastAsia="Verdana" w:hAnsi="Verdana" w:cs="Verdana"/>
                <w:b/>
                <w:noProof/>
                <w:color w:val="000000"/>
                <w:sz w:val="18"/>
              </w:rPr>
            </w:pPr>
          </w:p>
        </w:tc>
        <w:tc>
          <w:tcPr>
            <w:tcW w:w="2132" w:type="dxa"/>
            <w:tcBorders>
              <w:top w:val="single" w:sz="4" w:space="0" w:color="016794"/>
              <w:left w:val="nil"/>
              <w:bottom w:val="nil"/>
              <w:right w:val="nil"/>
              <w:tl2br w:val="nil"/>
              <w:tr2bl w:val="nil"/>
            </w:tcBorders>
            <w:tcMar>
              <w:left w:w="60" w:type="dxa"/>
              <w:right w:w="60" w:type="dxa"/>
            </w:tcMar>
            <w:vAlign w:val="center"/>
          </w:tcPr>
          <w:p w14:paraId="39A6BB81" w14:textId="77777777" w:rsidR="00807FFE" w:rsidRDefault="00807FFE">
            <w:pPr>
              <w:pStyle w:val="DMETW36745BIPRET"/>
              <w:rPr>
                <w:rFonts w:ascii="Verdana" w:eastAsia="Verdana" w:hAnsi="Verdana" w:cs="Verdana"/>
                <w:b/>
                <w:noProof/>
                <w:color w:val="000000"/>
                <w:sz w:val="18"/>
                <w:lang w:bidi="en-GB"/>
              </w:rPr>
            </w:pPr>
          </w:p>
        </w:tc>
      </w:tr>
      <w:tr w:rsidR="00807FFE" w14:paraId="01EFA5E6"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1F4AE10E"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Financial guarantee receivable</w:t>
            </w:r>
          </w:p>
        </w:tc>
        <w:tc>
          <w:tcPr>
            <w:tcW w:w="2132" w:type="dxa"/>
            <w:tcBorders>
              <w:top w:val="nil"/>
              <w:left w:val="nil"/>
              <w:bottom w:val="nil"/>
              <w:right w:val="nil"/>
              <w:tl2br w:val="nil"/>
              <w:tr2bl w:val="nil"/>
            </w:tcBorders>
            <w:tcMar>
              <w:left w:w="60" w:type="dxa"/>
              <w:right w:w="60" w:type="dxa"/>
            </w:tcMar>
            <w:vAlign w:val="bottom"/>
          </w:tcPr>
          <w:p w14:paraId="16A89122"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 xml:space="preserve"> 293</w:t>
            </w:r>
          </w:p>
        </w:tc>
        <w:tc>
          <w:tcPr>
            <w:tcW w:w="2132" w:type="dxa"/>
            <w:tcBorders>
              <w:top w:val="nil"/>
              <w:left w:val="nil"/>
              <w:bottom w:val="nil"/>
              <w:right w:val="nil"/>
              <w:tl2br w:val="nil"/>
              <w:tr2bl w:val="nil"/>
            </w:tcBorders>
            <w:tcMar>
              <w:left w:w="60" w:type="dxa"/>
              <w:right w:w="60" w:type="dxa"/>
            </w:tcMar>
            <w:vAlign w:val="bottom"/>
          </w:tcPr>
          <w:p w14:paraId="5BD47DEC"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306</w:t>
            </w:r>
          </w:p>
        </w:tc>
      </w:tr>
      <w:tr w:rsidR="00807FFE" w14:paraId="1C7FBF35"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61BC0FE4"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Customers</w:t>
            </w:r>
          </w:p>
        </w:tc>
        <w:tc>
          <w:tcPr>
            <w:tcW w:w="2132" w:type="dxa"/>
            <w:tcBorders>
              <w:top w:val="nil"/>
              <w:left w:val="nil"/>
              <w:bottom w:val="nil"/>
              <w:right w:val="nil"/>
              <w:tl2br w:val="nil"/>
              <w:tr2bl w:val="nil"/>
            </w:tcBorders>
            <w:tcMar>
              <w:left w:w="60" w:type="dxa"/>
              <w:right w:w="60" w:type="dxa"/>
            </w:tcMar>
            <w:vAlign w:val="bottom"/>
          </w:tcPr>
          <w:p w14:paraId="06BA8589"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 xml:space="preserve"> 349</w:t>
            </w:r>
          </w:p>
        </w:tc>
        <w:tc>
          <w:tcPr>
            <w:tcW w:w="2132" w:type="dxa"/>
            <w:tcBorders>
              <w:top w:val="nil"/>
              <w:left w:val="nil"/>
              <w:bottom w:val="nil"/>
              <w:right w:val="nil"/>
              <w:tl2br w:val="nil"/>
              <w:tr2bl w:val="nil"/>
            </w:tcBorders>
            <w:tcMar>
              <w:left w:w="60" w:type="dxa"/>
              <w:right w:w="60" w:type="dxa"/>
            </w:tcMar>
            <w:vAlign w:val="bottom"/>
          </w:tcPr>
          <w:p w14:paraId="3CA18BDF"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302</w:t>
            </w:r>
          </w:p>
        </w:tc>
      </w:tr>
      <w:tr w:rsidR="00807FFE" w14:paraId="09BEA0AC"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6BD71BE2"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Impairment on receivables from customers</w:t>
            </w:r>
          </w:p>
        </w:tc>
        <w:tc>
          <w:tcPr>
            <w:tcW w:w="2132" w:type="dxa"/>
            <w:tcBorders>
              <w:top w:val="nil"/>
              <w:left w:val="nil"/>
              <w:bottom w:val="nil"/>
              <w:right w:val="nil"/>
              <w:tl2br w:val="nil"/>
              <w:tr2bl w:val="nil"/>
            </w:tcBorders>
            <w:tcMar>
              <w:left w:w="60" w:type="dxa"/>
              <w:right w:w="60" w:type="dxa"/>
            </w:tcMar>
            <w:vAlign w:val="bottom"/>
          </w:tcPr>
          <w:p w14:paraId="36559FD1"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 xml:space="preserve"> (154)</w:t>
            </w:r>
          </w:p>
        </w:tc>
        <w:tc>
          <w:tcPr>
            <w:tcW w:w="2132" w:type="dxa"/>
            <w:tcBorders>
              <w:top w:val="nil"/>
              <w:left w:val="nil"/>
              <w:bottom w:val="nil"/>
              <w:right w:val="nil"/>
              <w:tl2br w:val="nil"/>
              <w:tr2bl w:val="nil"/>
            </w:tcBorders>
            <w:tcMar>
              <w:left w:w="60" w:type="dxa"/>
              <w:right w:w="60" w:type="dxa"/>
            </w:tcMar>
            <w:vAlign w:val="bottom"/>
          </w:tcPr>
          <w:p w14:paraId="0DE0F25D"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(136)</w:t>
            </w:r>
          </w:p>
        </w:tc>
      </w:tr>
      <w:tr w:rsidR="00807FFE" w14:paraId="06557C0C"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71269383"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Deferred charges relating to exchange transactions</w:t>
            </w:r>
          </w:p>
        </w:tc>
        <w:tc>
          <w:tcPr>
            <w:tcW w:w="2132" w:type="dxa"/>
            <w:tcBorders>
              <w:top w:val="nil"/>
              <w:left w:val="nil"/>
              <w:bottom w:val="nil"/>
              <w:right w:val="nil"/>
              <w:tl2br w:val="nil"/>
              <w:tr2bl w:val="nil"/>
            </w:tcBorders>
            <w:tcMar>
              <w:left w:w="60" w:type="dxa"/>
              <w:right w:w="60" w:type="dxa"/>
            </w:tcMar>
            <w:vAlign w:val="bottom"/>
          </w:tcPr>
          <w:p w14:paraId="6FF60F29"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 xml:space="preserve"> 411</w:t>
            </w:r>
          </w:p>
        </w:tc>
        <w:tc>
          <w:tcPr>
            <w:tcW w:w="2132" w:type="dxa"/>
            <w:tcBorders>
              <w:top w:val="nil"/>
              <w:left w:val="nil"/>
              <w:bottom w:val="nil"/>
              <w:right w:val="nil"/>
              <w:tl2br w:val="nil"/>
              <w:tr2bl w:val="nil"/>
            </w:tcBorders>
            <w:tcMar>
              <w:left w:w="60" w:type="dxa"/>
              <w:right w:w="60" w:type="dxa"/>
            </w:tcMar>
            <w:vAlign w:val="bottom"/>
          </w:tcPr>
          <w:p w14:paraId="4DB07A6D"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363</w:t>
            </w:r>
          </w:p>
        </w:tc>
      </w:tr>
      <w:tr w:rsidR="00807FFE" w14:paraId="3BFA7891" w14:textId="77777777">
        <w:trPr>
          <w:trHeight w:val="255"/>
        </w:trPr>
        <w:tc>
          <w:tcPr>
            <w:tcW w:w="5494" w:type="dxa"/>
            <w:tcBorders>
              <w:top w:val="nil"/>
              <w:left w:val="nil"/>
              <w:bottom w:val="nil"/>
              <w:right w:val="nil"/>
              <w:tl2br w:val="nil"/>
              <w:tr2bl w:val="nil"/>
            </w:tcBorders>
            <w:tcMar>
              <w:left w:w="60" w:type="dxa"/>
              <w:right w:w="60" w:type="dxa"/>
            </w:tcMar>
            <w:vAlign w:val="center"/>
          </w:tcPr>
          <w:p w14:paraId="188480AC"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Late payment interest</w:t>
            </w:r>
          </w:p>
        </w:tc>
        <w:tc>
          <w:tcPr>
            <w:tcW w:w="2132" w:type="dxa"/>
            <w:tcBorders>
              <w:top w:val="nil"/>
              <w:left w:val="nil"/>
              <w:bottom w:val="nil"/>
              <w:right w:val="nil"/>
              <w:tl2br w:val="nil"/>
              <w:tr2bl w:val="nil"/>
            </w:tcBorders>
            <w:tcMar>
              <w:left w:w="60" w:type="dxa"/>
              <w:right w:w="60" w:type="dxa"/>
            </w:tcMar>
            <w:vAlign w:val="bottom"/>
          </w:tcPr>
          <w:p w14:paraId="2E4915AF"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 xml:space="preserve"> 801</w:t>
            </w:r>
          </w:p>
        </w:tc>
        <w:tc>
          <w:tcPr>
            <w:tcW w:w="2132" w:type="dxa"/>
            <w:tcBorders>
              <w:top w:val="nil"/>
              <w:left w:val="nil"/>
              <w:bottom w:val="nil"/>
              <w:right w:val="nil"/>
              <w:tl2br w:val="nil"/>
              <w:tr2bl w:val="nil"/>
            </w:tcBorders>
            <w:tcMar>
              <w:left w:w="60" w:type="dxa"/>
              <w:right w:w="60" w:type="dxa"/>
            </w:tcMar>
            <w:vAlign w:val="bottom"/>
          </w:tcPr>
          <w:p w14:paraId="44D1B430"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761</w:t>
            </w:r>
          </w:p>
        </w:tc>
      </w:tr>
      <w:tr w:rsidR="00807FFE" w14:paraId="44D70A6B" w14:textId="77777777">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14:paraId="12F0386E" w14:textId="77777777" w:rsidR="00807FFE" w:rsidRDefault="00023E71">
            <w:pPr>
              <w:pStyle w:val="DMETW36745BIPRET"/>
              <w:rPr>
                <w:rFonts w:ascii="Verdana" w:eastAsia="Verdana" w:hAnsi="Verdana" w:cs="Verdana"/>
                <w:i/>
                <w:noProof/>
                <w:color w:val="000000"/>
                <w:sz w:val="18"/>
              </w:rPr>
            </w:pPr>
            <w:r>
              <w:rPr>
                <w:rFonts w:ascii="Verdana" w:eastAsia="Verdana" w:hAnsi="Verdana" w:cs="Verdana"/>
                <w:i/>
                <w:noProof/>
                <w:color w:val="000000"/>
                <w:sz w:val="18"/>
              </w:rPr>
              <w:t>Other</w:t>
            </w:r>
          </w:p>
        </w:tc>
        <w:tc>
          <w:tcPr>
            <w:tcW w:w="2132" w:type="dxa"/>
            <w:tcBorders>
              <w:top w:val="nil"/>
              <w:left w:val="nil"/>
              <w:bottom w:val="single" w:sz="4" w:space="0" w:color="016794"/>
              <w:right w:val="nil"/>
              <w:tl2br w:val="nil"/>
              <w:tr2bl w:val="nil"/>
            </w:tcBorders>
            <w:tcMar>
              <w:left w:w="60" w:type="dxa"/>
              <w:right w:w="60" w:type="dxa"/>
            </w:tcMar>
            <w:vAlign w:val="bottom"/>
          </w:tcPr>
          <w:p w14:paraId="24B1A110" w14:textId="77777777" w:rsidR="00807FFE" w:rsidRDefault="00023E71">
            <w:pPr>
              <w:pStyle w:val="DMETW36745BIPRET"/>
              <w:jc w:val="right"/>
              <w:rPr>
                <w:rFonts w:ascii="Verdana" w:eastAsia="Verdana" w:hAnsi="Verdana" w:cs="Verdana"/>
                <w:i/>
                <w:noProof/>
                <w:color w:val="000000"/>
                <w:sz w:val="18"/>
              </w:rPr>
            </w:pPr>
            <w:r>
              <w:rPr>
                <w:rFonts w:ascii="Verdana" w:eastAsia="Verdana" w:hAnsi="Verdana" w:cs="Verdana"/>
                <w:i/>
                <w:noProof/>
                <w:color w:val="000000"/>
                <w:sz w:val="18"/>
              </w:rPr>
              <w:t xml:space="preserve"> 753</w:t>
            </w:r>
          </w:p>
        </w:tc>
        <w:tc>
          <w:tcPr>
            <w:tcW w:w="2132" w:type="dxa"/>
            <w:tcBorders>
              <w:top w:val="nil"/>
              <w:left w:val="nil"/>
              <w:bottom w:val="single" w:sz="4" w:space="0" w:color="016794"/>
              <w:right w:val="nil"/>
              <w:tl2br w:val="nil"/>
              <w:tr2bl w:val="nil"/>
            </w:tcBorders>
            <w:tcMar>
              <w:left w:w="60" w:type="dxa"/>
              <w:right w:w="60" w:type="dxa"/>
            </w:tcMar>
            <w:vAlign w:val="bottom"/>
          </w:tcPr>
          <w:p w14:paraId="4D7CB921" w14:textId="77777777" w:rsidR="00807FFE" w:rsidRDefault="00023E71">
            <w:pPr>
              <w:pStyle w:val="DMETW36745BIPR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339</w:t>
            </w:r>
          </w:p>
        </w:tc>
      </w:tr>
      <w:tr w:rsidR="00807FFE" w14:paraId="0A1CF703" w14:textId="77777777">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14:paraId="08B78623" w14:textId="77777777" w:rsidR="00807FFE" w:rsidRDefault="00807FFE">
            <w:pPr>
              <w:pStyle w:val="DMETW36745BIPRET"/>
              <w:jc w:val="center"/>
              <w:rPr>
                <w:rFonts w:ascii="Verdana" w:eastAsia="Verdana" w:hAnsi="Verdana" w:cs="Verdana"/>
                <w:noProof/>
                <w:color w:val="000000"/>
                <w:sz w:val="18"/>
              </w:rPr>
            </w:pP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14:paraId="03A1A956" w14:textId="77777777" w:rsidR="00807FFE" w:rsidRDefault="00023E71">
            <w:pPr>
              <w:pStyle w:val="DMETW36745BIPRET"/>
              <w:jc w:val="right"/>
              <w:rPr>
                <w:rFonts w:ascii="Verdana" w:eastAsia="Verdana" w:hAnsi="Verdana" w:cs="Verdana"/>
                <w:b/>
                <w:noProof/>
                <w:color w:val="000000"/>
                <w:sz w:val="18"/>
              </w:rPr>
            </w:pPr>
            <w:r>
              <w:rPr>
                <w:rFonts w:ascii="Verdana" w:eastAsia="Verdana" w:hAnsi="Verdana" w:cs="Verdana"/>
                <w:b/>
                <w:noProof/>
                <w:color w:val="000000"/>
                <w:sz w:val="18"/>
              </w:rPr>
              <w:t>2 452</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14:paraId="6BE9F9B1" w14:textId="77777777" w:rsidR="00807FFE" w:rsidRDefault="00023E71">
            <w:pPr>
              <w:pStyle w:val="DMETW36745BIPRET"/>
              <w:jc w:val="right"/>
              <w:rPr>
                <w:rFonts w:ascii="Verdana" w:eastAsia="Verdana" w:hAnsi="Verdana" w:cs="Verdana"/>
                <w:b/>
                <w:noProof/>
                <w:color w:val="000000"/>
                <w:sz w:val="18"/>
                <w:lang w:bidi="en-GB"/>
              </w:rPr>
            </w:pPr>
            <w:r>
              <w:rPr>
                <w:rFonts w:ascii="Verdana" w:eastAsia="Verdana" w:hAnsi="Verdana" w:cs="Verdana"/>
                <w:b/>
                <w:noProof/>
                <w:color w:val="000000"/>
                <w:sz w:val="18"/>
              </w:rPr>
              <w:t>1 936</w:t>
            </w:r>
          </w:p>
        </w:tc>
      </w:tr>
      <w:tr w:rsidR="00807FFE" w14:paraId="49686027" w14:textId="77777777">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14:paraId="143CDD5F" w14:textId="77777777" w:rsidR="00807FFE" w:rsidRDefault="00023E71">
            <w:pPr>
              <w:pStyle w:val="DMETW36745BIPRET"/>
              <w:rPr>
                <w:rFonts w:ascii="Verdana" w:eastAsia="Verdana" w:hAnsi="Verdana" w:cs="Verdana"/>
                <w:b/>
                <w:noProof/>
                <w:color w:val="000000"/>
                <w:sz w:val="18"/>
              </w:rPr>
            </w:pPr>
            <w:r>
              <w:rPr>
                <w:rFonts w:ascii="Verdana" w:eastAsia="Verdana" w:hAnsi="Verdana" w:cs="Verdana"/>
                <w:b/>
                <w:noProof/>
                <w:color w:val="000000"/>
                <w:sz w:val="18"/>
              </w:rPr>
              <w:t>Total</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14:paraId="7E055096" w14:textId="77777777" w:rsidR="00807FFE" w:rsidRDefault="00023E71">
            <w:pPr>
              <w:pStyle w:val="DMETW36745BIPRET"/>
              <w:jc w:val="right"/>
              <w:rPr>
                <w:rFonts w:ascii="Verdana" w:eastAsia="Verdana" w:hAnsi="Verdana" w:cs="Verdana"/>
                <w:b/>
                <w:noProof/>
                <w:color w:val="000000"/>
                <w:sz w:val="18"/>
              </w:rPr>
            </w:pPr>
            <w:r>
              <w:rPr>
                <w:rFonts w:ascii="Verdana" w:eastAsia="Verdana" w:hAnsi="Verdana" w:cs="Verdana"/>
                <w:b/>
                <w:noProof/>
                <w:color w:val="000000"/>
                <w:sz w:val="18"/>
              </w:rPr>
              <w:t>4 238</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14:paraId="2CF18AD9" w14:textId="77777777" w:rsidR="00807FFE" w:rsidRDefault="00023E71">
            <w:pPr>
              <w:pStyle w:val="DMETW36745BIPRET"/>
              <w:jc w:val="right"/>
              <w:rPr>
                <w:rFonts w:ascii="Verdana" w:eastAsia="Verdana" w:hAnsi="Verdana" w:cs="Verdana"/>
                <w:b/>
                <w:noProof/>
                <w:color w:val="000000"/>
                <w:sz w:val="18"/>
              </w:rPr>
            </w:pPr>
            <w:r>
              <w:rPr>
                <w:rFonts w:ascii="Verdana" w:eastAsia="Verdana" w:hAnsi="Verdana" w:cs="Verdana"/>
                <w:b/>
                <w:noProof/>
                <w:color w:val="000000"/>
                <w:sz w:val="18"/>
              </w:rPr>
              <w:t>3 666</w:t>
            </w:r>
          </w:p>
        </w:tc>
      </w:tr>
    </w:tbl>
    <w:p w14:paraId="443D9049" w14:textId="77777777" w:rsidR="00155243" w:rsidRDefault="00023E71" w:rsidP="00155243">
      <w:pPr>
        <w:pStyle w:val="DGTextstand-alone"/>
      </w:pPr>
      <w:r w:rsidRPr="008B0A7D">
        <w:t xml:space="preserve">The financial guarantee contract (FGC) receivable represents the future remuneration </w:t>
      </w:r>
      <w:r w:rsidR="00A57EC8" w:rsidRPr="008B0A7D">
        <w:t xml:space="preserve">the EU expects to receive </w:t>
      </w:r>
      <w:r w:rsidRPr="008B0A7D">
        <w:t xml:space="preserve">for guarantees given. The majority of the EU guarantees </w:t>
      </w:r>
      <w:r w:rsidR="00EA43A6" w:rsidRPr="008B0A7D">
        <w:t>are</w:t>
      </w:r>
      <w:r w:rsidRPr="008B0A7D">
        <w:t xml:space="preserve"> non-remunerated or priced below the market rate. Therefore, the FGC receivable is significantly smaller than the FGC liability (see </w:t>
      </w:r>
      <w:r>
        <w:t>N</w:t>
      </w:r>
      <w:r w:rsidRPr="008B0A7D">
        <w:t xml:space="preserve">ote </w:t>
      </w:r>
      <w:r w:rsidRPr="008B0A7D">
        <w:rPr>
          <w:b/>
        </w:rPr>
        <w:t>2.11.2</w:t>
      </w:r>
      <w:r w:rsidRPr="008B0A7D">
        <w:t>). Out of the total amount of EUR 1 6</w:t>
      </w:r>
      <w:r>
        <w:t>51</w:t>
      </w:r>
      <w:r w:rsidRPr="008B0A7D">
        <w:t xml:space="preserve"> million of the FGC receivable as at 31 December 202</w:t>
      </w:r>
      <w:r>
        <w:t>5</w:t>
      </w:r>
      <w:r w:rsidRPr="008B0A7D">
        <w:t>, EUR 1 5</w:t>
      </w:r>
      <w:r>
        <w:t>64</w:t>
      </w:r>
      <w:r w:rsidRPr="008B0A7D">
        <w:t xml:space="preserve"> million </w:t>
      </w:r>
      <w:r w:rsidR="00EA43A6" w:rsidRPr="008B0A7D">
        <w:t>is</w:t>
      </w:r>
      <w:r w:rsidRPr="008B0A7D">
        <w:t xml:space="preserve"> classified as financial assets at FVSD (</w:t>
      </w:r>
      <w:r>
        <w:t>f</w:t>
      </w:r>
      <w:r w:rsidRPr="008B0A7D">
        <w:t xml:space="preserve">air value level </w:t>
      </w:r>
      <w:r w:rsidR="00253F17" w:rsidRPr="008B0A7D">
        <w:t>3</w:t>
      </w:r>
      <w:r w:rsidRPr="008B0A7D">
        <w:t>). Compared to the opening balance as at 1 January 202</w:t>
      </w:r>
      <w:r>
        <w:t>5</w:t>
      </w:r>
      <w:r w:rsidRPr="008B0A7D">
        <w:t xml:space="preserve"> of EUR </w:t>
      </w:r>
      <w:r>
        <w:t>1 629</w:t>
      </w:r>
      <w:r w:rsidRPr="008B0A7D">
        <w:t xml:space="preserve"> million</w:t>
      </w:r>
      <w:r w:rsidR="00EA43A6" w:rsidRPr="008B0A7D">
        <w:t>,</w:t>
      </w:r>
      <w:r w:rsidRPr="008B0A7D">
        <w:t xml:space="preserve"> the FGC receivable has </w:t>
      </w:r>
      <w:r>
        <w:t>in</w:t>
      </w:r>
      <w:r w:rsidRPr="008B0A7D">
        <w:t xml:space="preserve">creased </w:t>
      </w:r>
      <w:r>
        <w:t xml:space="preserve">in total </w:t>
      </w:r>
      <w:r w:rsidRPr="008B0A7D">
        <w:t xml:space="preserve">by </w:t>
      </w:r>
      <w:r w:rsidR="00A57EC8" w:rsidRPr="008B0A7D">
        <w:t>EUR</w:t>
      </w:r>
      <w:r w:rsidRPr="008B0A7D">
        <w:t> </w:t>
      </w:r>
      <w:r>
        <w:t>22</w:t>
      </w:r>
      <w:r w:rsidRPr="008B0A7D">
        <w:t> </w:t>
      </w:r>
      <w:r w:rsidR="00A57EC8" w:rsidRPr="008B0A7D">
        <w:t xml:space="preserve">million </w:t>
      </w:r>
      <w:r w:rsidRPr="00966D5F">
        <w:t xml:space="preserve">due </w:t>
      </w:r>
      <w:r>
        <w:t xml:space="preserve">to </w:t>
      </w:r>
      <w:r w:rsidRPr="00966D5F">
        <w:t>EUR 264 million</w:t>
      </w:r>
      <w:r w:rsidR="00A57EC8" w:rsidRPr="00966D5F">
        <w:t xml:space="preserve"> </w:t>
      </w:r>
      <w:r w:rsidRPr="00966D5F">
        <w:t xml:space="preserve">higher </w:t>
      </w:r>
      <w:r w:rsidR="00A57EC8" w:rsidRPr="00966D5F">
        <w:t>guarantee premiums</w:t>
      </w:r>
      <w:r w:rsidR="00DD22D0" w:rsidRPr="00966D5F">
        <w:t xml:space="preserve"> expected</w:t>
      </w:r>
      <w:r w:rsidR="00A57EC8" w:rsidRPr="00966D5F">
        <w:t xml:space="preserve"> to be received in the future</w:t>
      </w:r>
      <w:r>
        <w:t xml:space="preserve"> net of EUR 242 million guarantee premiums received during the year</w:t>
      </w:r>
      <w:r w:rsidR="00A57EC8" w:rsidRPr="00966D5F">
        <w:t>.</w:t>
      </w:r>
    </w:p>
    <w:p w14:paraId="08D50B60" w14:textId="77777777" w:rsidR="00E35F63" w:rsidRPr="00330CEC" w:rsidRDefault="00023E71" w:rsidP="00E35F63">
      <w:pPr>
        <w:pStyle w:val="DGTextstand-alone"/>
        <w:rPr>
          <w:strike/>
        </w:rPr>
      </w:pPr>
      <w:r w:rsidRPr="004A0ABD">
        <w:t xml:space="preserve">The late payment interest concerns mainly own resources cases and accrued interest </w:t>
      </w:r>
      <w:r>
        <w:t xml:space="preserve">on fines covered by </w:t>
      </w:r>
      <w:r w:rsidRPr="004A0ABD">
        <w:t>guarantees provided by fined companies.</w:t>
      </w:r>
      <w:r>
        <w:t xml:space="preserve"> </w:t>
      </w:r>
      <w:r w:rsidRPr="00971586">
        <w:t>The non-current amount (EUR 0.</w:t>
      </w:r>
      <w:r>
        <w:t>3</w:t>
      </w:r>
      <w:r w:rsidRPr="00971586">
        <w:t xml:space="preserve"> billion) relates to the cases still ongoing with the Member States</w:t>
      </w:r>
      <w:r>
        <w:t xml:space="preserve"> </w:t>
      </w:r>
      <w:r w:rsidRPr="00971586">
        <w:t xml:space="preserve">mentioned under </w:t>
      </w:r>
      <w:r>
        <w:t>N</w:t>
      </w:r>
      <w:r w:rsidRPr="00971586">
        <w:t xml:space="preserve">ote </w:t>
      </w:r>
      <w:r w:rsidRPr="00971586">
        <w:rPr>
          <w:b/>
          <w:bCs/>
        </w:rPr>
        <w:t>2.6.1.1</w:t>
      </w:r>
      <w:r w:rsidRPr="00971586">
        <w:t>.</w:t>
      </w:r>
    </w:p>
    <w:p w14:paraId="702226F5" w14:textId="77777777" w:rsidR="00E35F63" w:rsidRPr="00966D5F" w:rsidRDefault="00E35F63" w:rsidP="00155243">
      <w:pPr>
        <w:pStyle w:val="DGTextstand-alone"/>
      </w:pPr>
    </w:p>
    <w:bookmarkEnd w:id="122"/>
    <w:p w14:paraId="693D70F9" w14:textId="77777777" w:rsidR="00605F61" w:rsidRDefault="00605F61" w:rsidP="00400D3B">
      <w:pPr>
        <w:pStyle w:val="DGTextstand-alone"/>
        <w:sectPr w:rsidR="00605F61" w:rsidSect="00324012">
          <w:headerReference w:type="default" r:id="rId91"/>
          <w:footerReference w:type="default" r:id="rId92"/>
          <w:type w:val="continuous"/>
          <w:pgSz w:w="11906" w:h="16838"/>
          <w:pgMar w:top="1134" w:right="1134" w:bottom="1134" w:left="1134" w:header="709" w:footer="709" w:gutter="0"/>
          <w:cols w:space="708"/>
          <w:docGrid w:linePitch="360"/>
        </w:sectPr>
      </w:pPr>
    </w:p>
    <w:p w14:paraId="7523F6EA" w14:textId="77777777" w:rsidR="00F2364C" w:rsidRPr="005E37B9" w:rsidRDefault="00023E71" w:rsidP="00172034">
      <w:pPr>
        <w:pStyle w:val="HEADER2NOTES"/>
        <w:numPr>
          <w:ilvl w:val="1"/>
          <w:numId w:val="15"/>
        </w:numPr>
        <w:rPr>
          <w:noProof/>
        </w:rPr>
      </w:pPr>
      <w:bookmarkStart w:id="137" w:name="_DMBM_36676"/>
      <w:r w:rsidRPr="005E37B9">
        <w:rPr>
          <w:noProof/>
        </w:rPr>
        <w:t xml:space="preserve">INVENTORIES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4"/>
        <w:gridCol w:w="2392"/>
        <w:gridCol w:w="2392"/>
      </w:tblGrid>
      <w:tr w:rsidR="00807FFE" w14:paraId="22F25993" w14:textId="77777777">
        <w:trPr>
          <w:trHeight w:val="255"/>
        </w:trPr>
        <w:tc>
          <w:tcPr>
            <w:tcW w:w="4974" w:type="dxa"/>
            <w:tcBorders>
              <w:top w:val="nil"/>
              <w:left w:val="nil"/>
              <w:bottom w:val="nil"/>
              <w:right w:val="nil"/>
              <w:tl2br w:val="nil"/>
              <w:tr2bl w:val="nil"/>
            </w:tcBorders>
            <w:tcMar>
              <w:left w:w="60" w:type="dxa"/>
              <w:right w:w="60" w:type="dxa"/>
            </w:tcMar>
            <w:vAlign w:val="bottom"/>
          </w:tcPr>
          <w:p w14:paraId="7FC475E0" w14:textId="77777777" w:rsidR="00807FFE" w:rsidRDefault="00807FFE">
            <w:pPr>
              <w:pStyle w:val="DMETW36766BIPINV"/>
              <w:rPr>
                <w:rFonts w:ascii="Arial" w:eastAsia="Arial" w:hAnsi="Arial" w:cs="Arial"/>
                <w:noProof/>
                <w:color w:val="000000"/>
                <w:lang w:bidi="en-GB"/>
              </w:rPr>
            </w:pPr>
            <w:bookmarkStart w:id="138" w:name="DOC_TBL00042_1_1"/>
            <w:bookmarkEnd w:id="138"/>
          </w:p>
        </w:tc>
        <w:tc>
          <w:tcPr>
            <w:tcW w:w="2392" w:type="dxa"/>
            <w:tcBorders>
              <w:top w:val="nil"/>
              <w:left w:val="nil"/>
              <w:bottom w:val="nil"/>
              <w:right w:val="nil"/>
              <w:tl2br w:val="nil"/>
              <w:tr2bl w:val="nil"/>
            </w:tcBorders>
            <w:tcMar>
              <w:left w:w="60" w:type="dxa"/>
              <w:right w:w="60" w:type="dxa"/>
            </w:tcMar>
            <w:vAlign w:val="bottom"/>
          </w:tcPr>
          <w:p w14:paraId="2EEB10C8" w14:textId="77777777" w:rsidR="00807FFE" w:rsidRDefault="00807FFE">
            <w:pPr>
              <w:pStyle w:val="DMETW36766BIPINV"/>
              <w:rPr>
                <w:rFonts w:ascii="Arial" w:eastAsia="Arial" w:hAnsi="Arial" w:cs="Arial"/>
                <w:noProof/>
                <w:color w:val="000000"/>
              </w:rPr>
            </w:pPr>
          </w:p>
        </w:tc>
        <w:tc>
          <w:tcPr>
            <w:tcW w:w="2392" w:type="dxa"/>
            <w:tcBorders>
              <w:top w:val="nil"/>
              <w:left w:val="nil"/>
              <w:bottom w:val="nil"/>
              <w:right w:val="nil"/>
              <w:tl2br w:val="nil"/>
              <w:tr2bl w:val="nil"/>
            </w:tcBorders>
            <w:tcMar>
              <w:left w:w="60" w:type="dxa"/>
              <w:right w:w="60" w:type="dxa"/>
            </w:tcMar>
            <w:vAlign w:val="bottom"/>
          </w:tcPr>
          <w:p w14:paraId="0AEF8C9F" w14:textId="77777777" w:rsidR="00807FFE" w:rsidRDefault="00023E71">
            <w:pPr>
              <w:pStyle w:val="DMETW36766BIPINV"/>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53857E7" w14:textId="77777777">
        <w:trPr>
          <w:trHeight w:val="255"/>
        </w:trPr>
        <w:tc>
          <w:tcPr>
            <w:tcW w:w="4974" w:type="dxa"/>
            <w:tcBorders>
              <w:top w:val="nil"/>
              <w:left w:val="nil"/>
              <w:bottom w:val="nil"/>
              <w:right w:val="nil"/>
              <w:tl2br w:val="nil"/>
              <w:tr2bl w:val="nil"/>
            </w:tcBorders>
            <w:shd w:val="solid" w:color="016794" w:fill="FFFFFF"/>
            <w:tcMar>
              <w:left w:w="60" w:type="dxa"/>
              <w:right w:w="60" w:type="dxa"/>
            </w:tcMar>
            <w:vAlign w:val="center"/>
          </w:tcPr>
          <w:p w14:paraId="46631D84" w14:textId="77777777" w:rsidR="00807FFE" w:rsidRDefault="00807FFE">
            <w:pPr>
              <w:pStyle w:val="DMETW36766BIPINV"/>
              <w:jc w:val="right"/>
              <w:rPr>
                <w:rFonts w:ascii="Verdana" w:eastAsia="Verdana" w:hAnsi="Verdana" w:cs="Verdana"/>
                <w:noProof/>
                <w:color w:val="FFFFFF"/>
                <w:sz w:val="18"/>
              </w:rPr>
            </w:pPr>
          </w:p>
        </w:tc>
        <w:tc>
          <w:tcPr>
            <w:tcW w:w="2392" w:type="dxa"/>
            <w:tcBorders>
              <w:top w:val="nil"/>
              <w:left w:val="nil"/>
              <w:bottom w:val="nil"/>
              <w:right w:val="nil"/>
              <w:tl2br w:val="nil"/>
              <w:tr2bl w:val="nil"/>
            </w:tcBorders>
            <w:shd w:val="solid" w:color="016794" w:fill="FFFFFF"/>
            <w:tcMar>
              <w:left w:w="60" w:type="dxa"/>
              <w:right w:w="60" w:type="dxa"/>
            </w:tcMar>
            <w:vAlign w:val="center"/>
          </w:tcPr>
          <w:p w14:paraId="637024DF" w14:textId="77777777" w:rsidR="00807FFE" w:rsidRDefault="00023E71">
            <w:pPr>
              <w:pStyle w:val="DMETW36766BIPINV"/>
              <w:jc w:val="right"/>
              <w:rPr>
                <w:rFonts w:ascii="Verdana" w:eastAsia="Verdana" w:hAnsi="Verdana" w:cs="Verdana"/>
                <w:noProof/>
                <w:color w:val="FFFFFF"/>
              </w:rPr>
            </w:pPr>
            <w:r>
              <w:rPr>
                <w:rFonts w:ascii="Verdana" w:eastAsia="Verdana" w:hAnsi="Verdana" w:cs="Verdana"/>
                <w:noProof/>
                <w:color w:val="FFFFFF"/>
              </w:rPr>
              <w:t>31.12.2025</w:t>
            </w:r>
          </w:p>
        </w:tc>
        <w:tc>
          <w:tcPr>
            <w:tcW w:w="2392" w:type="dxa"/>
            <w:tcBorders>
              <w:top w:val="nil"/>
              <w:left w:val="nil"/>
              <w:bottom w:val="nil"/>
              <w:right w:val="nil"/>
              <w:tl2br w:val="nil"/>
              <w:tr2bl w:val="nil"/>
            </w:tcBorders>
            <w:shd w:val="solid" w:color="016794" w:fill="FFFFFF"/>
            <w:tcMar>
              <w:left w:w="60" w:type="dxa"/>
              <w:right w:w="60" w:type="dxa"/>
            </w:tcMar>
            <w:vAlign w:val="center"/>
          </w:tcPr>
          <w:p w14:paraId="604369A2" w14:textId="77777777" w:rsidR="00807FFE" w:rsidRDefault="00023E71">
            <w:pPr>
              <w:pStyle w:val="DMETW36766BIPINV"/>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89BD9DF" w14:textId="77777777">
        <w:trPr>
          <w:trHeight w:val="255"/>
        </w:trPr>
        <w:tc>
          <w:tcPr>
            <w:tcW w:w="4974" w:type="dxa"/>
            <w:tcBorders>
              <w:top w:val="nil"/>
              <w:left w:val="nil"/>
              <w:bottom w:val="nil"/>
              <w:right w:val="nil"/>
              <w:tl2br w:val="nil"/>
              <w:tr2bl w:val="nil"/>
            </w:tcBorders>
            <w:tcMar>
              <w:left w:w="60" w:type="dxa"/>
              <w:right w:w="60" w:type="dxa"/>
            </w:tcMar>
            <w:vAlign w:val="center"/>
          </w:tcPr>
          <w:p w14:paraId="2D90E98C" w14:textId="77777777" w:rsidR="00807FFE" w:rsidRDefault="00023E71">
            <w:pPr>
              <w:pStyle w:val="DMETW36766BIPINV"/>
              <w:rPr>
                <w:rFonts w:ascii="Verdana" w:eastAsia="Verdana" w:hAnsi="Verdana" w:cs="Verdana"/>
                <w:i/>
                <w:noProof/>
                <w:color w:val="000000"/>
                <w:sz w:val="18"/>
              </w:rPr>
            </w:pPr>
            <w:r>
              <w:rPr>
                <w:rFonts w:ascii="Verdana" w:eastAsia="Verdana" w:hAnsi="Verdana" w:cs="Verdana"/>
                <w:i/>
                <w:noProof/>
                <w:color w:val="000000"/>
                <w:sz w:val="18"/>
              </w:rPr>
              <w:t>Scientific materials</w:t>
            </w:r>
          </w:p>
        </w:tc>
        <w:tc>
          <w:tcPr>
            <w:tcW w:w="2392" w:type="dxa"/>
            <w:tcBorders>
              <w:top w:val="nil"/>
              <w:left w:val="nil"/>
              <w:bottom w:val="nil"/>
              <w:right w:val="nil"/>
              <w:tl2br w:val="nil"/>
              <w:tr2bl w:val="nil"/>
            </w:tcBorders>
            <w:tcMar>
              <w:left w:w="60" w:type="dxa"/>
              <w:right w:w="60" w:type="dxa"/>
            </w:tcMar>
            <w:vAlign w:val="bottom"/>
          </w:tcPr>
          <w:p w14:paraId="2B5C7547" w14:textId="77777777" w:rsidR="00807FFE" w:rsidRDefault="00023E71">
            <w:pPr>
              <w:pStyle w:val="DMETW36766BIPINV"/>
              <w:jc w:val="right"/>
              <w:rPr>
                <w:rFonts w:ascii="Verdana" w:eastAsia="Verdana" w:hAnsi="Verdana" w:cs="Verdana"/>
                <w:i/>
                <w:noProof/>
                <w:color w:val="000000"/>
                <w:sz w:val="18"/>
              </w:rPr>
            </w:pPr>
            <w:r>
              <w:rPr>
                <w:rFonts w:ascii="Verdana" w:eastAsia="Verdana" w:hAnsi="Verdana" w:cs="Verdana"/>
                <w:i/>
                <w:noProof/>
                <w:color w:val="000000"/>
                <w:sz w:val="18"/>
              </w:rPr>
              <w:t xml:space="preserve"> 58</w:t>
            </w:r>
          </w:p>
        </w:tc>
        <w:tc>
          <w:tcPr>
            <w:tcW w:w="2392" w:type="dxa"/>
            <w:tcBorders>
              <w:top w:val="nil"/>
              <w:left w:val="nil"/>
              <w:bottom w:val="nil"/>
              <w:right w:val="nil"/>
              <w:tl2br w:val="nil"/>
              <w:tr2bl w:val="nil"/>
            </w:tcBorders>
            <w:tcMar>
              <w:left w:w="60" w:type="dxa"/>
              <w:right w:w="60" w:type="dxa"/>
            </w:tcMar>
            <w:vAlign w:val="bottom"/>
          </w:tcPr>
          <w:p w14:paraId="150C0155" w14:textId="77777777" w:rsidR="00807FFE" w:rsidRDefault="00023E71">
            <w:pPr>
              <w:pStyle w:val="DMETW36766BIPIN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66</w:t>
            </w:r>
          </w:p>
        </w:tc>
      </w:tr>
      <w:tr w:rsidR="00807FFE" w14:paraId="0AF3119E" w14:textId="77777777">
        <w:trPr>
          <w:trHeight w:val="255"/>
        </w:trPr>
        <w:tc>
          <w:tcPr>
            <w:tcW w:w="4974" w:type="dxa"/>
            <w:tcBorders>
              <w:top w:val="nil"/>
              <w:left w:val="nil"/>
              <w:bottom w:val="nil"/>
              <w:right w:val="nil"/>
              <w:tl2br w:val="nil"/>
              <w:tr2bl w:val="nil"/>
            </w:tcBorders>
            <w:tcMar>
              <w:left w:w="60" w:type="dxa"/>
              <w:right w:w="60" w:type="dxa"/>
            </w:tcMar>
            <w:vAlign w:val="center"/>
          </w:tcPr>
          <w:p w14:paraId="5E01F822" w14:textId="77777777" w:rsidR="00807FFE" w:rsidRDefault="00023E71">
            <w:pPr>
              <w:pStyle w:val="DMETW36766BIPINV"/>
              <w:rPr>
                <w:rFonts w:ascii="Verdana" w:eastAsia="Verdana" w:hAnsi="Verdana" w:cs="Verdana"/>
                <w:i/>
                <w:noProof/>
                <w:color w:val="000000"/>
                <w:sz w:val="18"/>
              </w:rPr>
            </w:pPr>
            <w:r>
              <w:rPr>
                <w:rFonts w:ascii="Verdana" w:eastAsia="Verdana" w:hAnsi="Verdana" w:cs="Verdana"/>
                <w:i/>
                <w:noProof/>
                <w:color w:val="000000"/>
                <w:sz w:val="18"/>
              </w:rPr>
              <w:t>Other</w:t>
            </w:r>
          </w:p>
        </w:tc>
        <w:tc>
          <w:tcPr>
            <w:tcW w:w="2392" w:type="dxa"/>
            <w:tcBorders>
              <w:top w:val="nil"/>
              <w:left w:val="nil"/>
              <w:bottom w:val="nil"/>
              <w:right w:val="nil"/>
              <w:tl2br w:val="nil"/>
              <w:tr2bl w:val="nil"/>
            </w:tcBorders>
            <w:tcMar>
              <w:left w:w="60" w:type="dxa"/>
              <w:right w:w="60" w:type="dxa"/>
            </w:tcMar>
            <w:vAlign w:val="bottom"/>
          </w:tcPr>
          <w:p w14:paraId="0C990C11" w14:textId="77777777" w:rsidR="00807FFE" w:rsidRDefault="00023E71">
            <w:pPr>
              <w:pStyle w:val="DMETW36766BIPINV"/>
              <w:jc w:val="right"/>
              <w:rPr>
                <w:rFonts w:ascii="Verdana" w:eastAsia="Verdana" w:hAnsi="Verdana" w:cs="Verdana"/>
                <w:i/>
                <w:noProof/>
                <w:color w:val="000000"/>
                <w:sz w:val="18"/>
              </w:rPr>
            </w:pPr>
            <w:r>
              <w:rPr>
                <w:rFonts w:ascii="Verdana" w:eastAsia="Verdana" w:hAnsi="Verdana" w:cs="Verdana"/>
                <w:i/>
                <w:noProof/>
                <w:color w:val="000000"/>
                <w:sz w:val="18"/>
              </w:rPr>
              <w:t xml:space="preserve"> 22</w:t>
            </w:r>
          </w:p>
        </w:tc>
        <w:tc>
          <w:tcPr>
            <w:tcW w:w="2392" w:type="dxa"/>
            <w:tcBorders>
              <w:top w:val="nil"/>
              <w:left w:val="nil"/>
              <w:bottom w:val="nil"/>
              <w:right w:val="nil"/>
              <w:tl2br w:val="nil"/>
              <w:tr2bl w:val="nil"/>
            </w:tcBorders>
            <w:tcMar>
              <w:left w:w="60" w:type="dxa"/>
              <w:right w:w="60" w:type="dxa"/>
            </w:tcMar>
            <w:vAlign w:val="bottom"/>
          </w:tcPr>
          <w:p w14:paraId="6670A83D" w14:textId="77777777" w:rsidR="00807FFE" w:rsidRDefault="00023E71">
            <w:pPr>
              <w:pStyle w:val="DMETW36766BIPIN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w:t>
            </w:r>
          </w:p>
        </w:tc>
      </w:tr>
      <w:tr w:rsidR="00807FFE" w14:paraId="1B889AE5" w14:textId="77777777">
        <w:trPr>
          <w:trHeight w:val="255"/>
        </w:trPr>
        <w:tc>
          <w:tcPr>
            <w:tcW w:w="4974" w:type="dxa"/>
            <w:tcBorders>
              <w:top w:val="nil"/>
              <w:left w:val="nil"/>
              <w:bottom w:val="nil"/>
              <w:right w:val="nil"/>
              <w:tl2br w:val="nil"/>
              <w:tr2bl w:val="nil"/>
            </w:tcBorders>
            <w:shd w:val="solid" w:color="CCE1EA" w:fill="FFFFFF"/>
            <w:tcMar>
              <w:left w:w="60" w:type="dxa"/>
              <w:right w:w="60" w:type="dxa"/>
            </w:tcMar>
            <w:vAlign w:val="center"/>
          </w:tcPr>
          <w:p w14:paraId="29F78BA1" w14:textId="77777777" w:rsidR="00807FFE" w:rsidRDefault="00023E71">
            <w:pPr>
              <w:pStyle w:val="DMETW36766BIPINV"/>
              <w:rPr>
                <w:rFonts w:ascii="Verdana" w:eastAsia="Verdana" w:hAnsi="Verdana" w:cs="Verdana"/>
                <w:b/>
                <w:noProof/>
                <w:color w:val="000000"/>
                <w:sz w:val="18"/>
              </w:rPr>
            </w:pPr>
            <w:r>
              <w:rPr>
                <w:rFonts w:ascii="Verdana" w:eastAsia="Verdana" w:hAnsi="Verdana" w:cs="Verdana"/>
                <w:b/>
                <w:noProof/>
                <w:color w:val="000000"/>
                <w:sz w:val="18"/>
              </w:rPr>
              <w:t>Total</w:t>
            </w:r>
          </w:p>
        </w:tc>
        <w:tc>
          <w:tcPr>
            <w:tcW w:w="2392" w:type="dxa"/>
            <w:tcBorders>
              <w:top w:val="nil"/>
              <w:left w:val="nil"/>
              <w:bottom w:val="nil"/>
              <w:right w:val="nil"/>
              <w:tl2br w:val="nil"/>
              <w:tr2bl w:val="nil"/>
            </w:tcBorders>
            <w:shd w:val="solid" w:color="CCE1EA" w:fill="FFFFFF"/>
            <w:tcMar>
              <w:left w:w="60" w:type="dxa"/>
              <w:right w:w="60" w:type="dxa"/>
            </w:tcMar>
            <w:vAlign w:val="bottom"/>
          </w:tcPr>
          <w:p w14:paraId="18B45FEE" w14:textId="77777777" w:rsidR="00807FFE" w:rsidRDefault="00023E71">
            <w:pPr>
              <w:pStyle w:val="DMETW36766BIPINV"/>
              <w:jc w:val="right"/>
              <w:rPr>
                <w:rFonts w:ascii="Verdana" w:eastAsia="Verdana" w:hAnsi="Verdana" w:cs="Verdana"/>
                <w:b/>
                <w:noProof/>
                <w:color w:val="000000"/>
                <w:sz w:val="18"/>
              </w:rPr>
            </w:pPr>
            <w:r>
              <w:rPr>
                <w:rFonts w:ascii="Verdana" w:eastAsia="Verdana" w:hAnsi="Verdana" w:cs="Verdana"/>
                <w:b/>
                <w:noProof/>
                <w:color w:val="000000"/>
                <w:sz w:val="18"/>
              </w:rPr>
              <w:t xml:space="preserve"> 79</w:t>
            </w:r>
          </w:p>
        </w:tc>
        <w:tc>
          <w:tcPr>
            <w:tcW w:w="2392" w:type="dxa"/>
            <w:tcBorders>
              <w:top w:val="nil"/>
              <w:left w:val="nil"/>
              <w:bottom w:val="nil"/>
              <w:right w:val="nil"/>
              <w:tl2br w:val="nil"/>
              <w:tr2bl w:val="nil"/>
            </w:tcBorders>
            <w:shd w:val="solid" w:color="CCE1EA" w:fill="FFFFFF"/>
            <w:tcMar>
              <w:left w:w="60" w:type="dxa"/>
              <w:right w:w="60" w:type="dxa"/>
            </w:tcMar>
            <w:vAlign w:val="bottom"/>
          </w:tcPr>
          <w:p w14:paraId="5AD0E907" w14:textId="77777777" w:rsidR="00807FFE" w:rsidRDefault="00023E71">
            <w:pPr>
              <w:pStyle w:val="DMETW36766BIPINV"/>
              <w:jc w:val="right"/>
              <w:rPr>
                <w:rFonts w:ascii="Verdana" w:eastAsia="Verdana" w:hAnsi="Verdana" w:cs="Verdana"/>
                <w:b/>
                <w:noProof/>
                <w:color w:val="000000"/>
                <w:sz w:val="18"/>
              </w:rPr>
            </w:pPr>
            <w:r>
              <w:rPr>
                <w:rFonts w:ascii="Verdana" w:eastAsia="Verdana" w:hAnsi="Verdana" w:cs="Verdana"/>
                <w:b/>
                <w:noProof/>
                <w:color w:val="000000"/>
                <w:sz w:val="18"/>
              </w:rPr>
              <w:t xml:space="preserve"> 85</w:t>
            </w:r>
          </w:p>
        </w:tc>
      </w:tr>
    </w:tbl>
    <w:p w14:paraId="62AB0580" w14:textId="77777777" w:rsidR="00C1267D" w:rsidRPr="0018243A" w:rsidRDefault="00023E71" w:rsidP="00F404F5">
      <w:pPr>
        <w:pStyle w:val="Textstand-alone"/>
        <w:spacing w:before="0" w:after="0"/>
        <w:rPr>
          <w:lang w:val="fr-BE"/>
        </w:rPr>
        <w:sectPr w:rsidR="00C1267D" w:rsidRPr="0018243A">
          <w:headerReference w:type="default" r:id="rId93"/>
          <w:footerReference w:type="default" r:id="rId94"/>
          <w:type w:val="continuous"/>
          <w:pgSz w:w="11906" w:h="16838"/>
          <w:pgMar w:top="1134" w:right="1134" w:bottom="1134" w:left="1134" w:header="709" w:footer="709" w:gutter="0"/>
          <w:cols w:space="708"/>
          <w:docGrid w:linePitch="360"/>
        </w:sectPr>
      </w:pPr>
      <w:r>
        <w:rPr>
          <w:lang w:val="fr-BE"/>
        </w:rPr>
        <w:t xml:space="preserve"> </w:t>
      </w:r>
      <w:bookmarkEnd w:id="137"/>
    </w:p>
    <w:p w14:paraId="434A687F" w14:textId="77777777" w:rsidR="00FF7D10" w:rsidRDefault="00FF7D10">
      <w:pPr>
        <w:rPr>
          <w:rFonts w:ascii="Verdana" w:hAnsi="Verdana"/>
          <w:b/>
          <w:noProof/>
          <w:color w:val="016794"/>
          <w:sz w:val="28"/>
          <w:szCs w:val="28"/>
        </w:rPr>
      </w:pPr>
      <w:bookmarkStart w:id="139" w:name="_DMBM_36693"/>
      <w:r>
        <w:rPr>
          <w:noProof/>
        </w:rPr>
        <w:br w:type="page"/>
      </w:r>
    </w:p>
    <w:p w14:paraId="55FEF62F" w14:textId="0242447F" w:rsidR="00B231CF" w:rsidRDefault="00023E71" w:rsidP="00172034">
      <w:pPr>
        <w:pStyle w:val="HEADER2NOTES"/>
        <w:numPr>
          <w:ilvl w:val="1"/>
          <w:numId w:val="15"/>
        </w:numPr>
        <w:rPr>
          <w:noProof/>
        </w:rPr>
      </w:pPr>
      <w:r w:rsidRPr="00624F4F">
        <w:rPr>
          <w:noProof/>
        </w:rPr>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6"/>
        <w:gridCol w:w="1226"/>
        <w:gridCol w:w="1288"/>
        <w:gridCol w:w="1288"/>
      </w:tblGrid>
      <w:tr w:rsidR="00807FFE" w14:paraId="53D3AD87" w14:textId="77777777">
        <w:trPr>
          <w:trHeight w:hRule="exact" w:val="255"/>
        </w:trPr>
        <w:tc>
          <w:tcPr>
            <w:tcW w:w="5956" w:type="dxa"/>
            <w:tcBorders>
              <w:top w:val="nil"/>
              <w:left w:val="nil"/>
              <w:bottom w:val="nil"/>
              <w:right w:val="nil"/>
              <w:tl2br w:val="nil"/>
              <w:tr2bl w:val="nil"/>
            </w:tcBorders>
            <w:tcMar>
              <w:left w:w="60" w:type="dxa"/>
              <w:right w:w="60" w:type="dxa"/>
            </w:tcMar>
            <w:vAlign w:val="bottom"/>
          </w:tcPr>
          <w:p w14:paraId="31375E7D" w14:textId="77777777" w:rsidR="00807FFE" w:rsidRDefault="00807FFE">
            <w:pPr>
              <w:pStyle w:val="DMETW36767BIPCCE"/>
              <w:rPr>
                <w:rFonts w:ascii="Arial" w:eastAsia="Arial" w:hAnsi="Arial" w:cs="Arial"/>
                <w:noProof/>
                <w:color w:val="000000"/>
                <w:lang w:bidi="en-GB"/>
              </w:rPr>
            </w:pPr>
            <w:bookmarkStart w:id="140" w:name="DOC_TBL00043_1_1"/>
            <w:bookmarkEnd w:id="140"/>
          </w:p>
        </w:tc>
        <w:tc>
          <w:tcPr>
            <w:tcW w:w="1226" w:type="dxa"/>
            <w:tcBorders>
              <w:top w:val="nil"/>
              <w:left w:val="nil"/>
              <w:bottom w:val="nil"/>
              <w:right w:val="nil"/>
              <w:tl2br w:val="nil"/>
              <w:tr2bl w:val="nil"/>
            </w:tcBorders>
            <w:tcMar>
              <w:left w:w="60" w:type="dxa"/>
              <w:right w:w="60" w:type="dxa"/>
            </w:tcMar>
            <w:vAlign w:val="bottom"/>
          </w:tcPr>
          <w:p w14:paraId="3430AD17" w14:textId="77777777" w:rsidR="00807FFE" w:rsidRDefault="00807FFE">
            <w:pPr>
              <w:pStyle w:val="DMETW36767BIPCCE"/>
              <w:rPr>
                <w:rFonts w:ascii="Arial" w:eastAsia="Arial" w:hAnsi="Arial" w:cs="Arial"/>
                <w:noProof/>
                <w:color w:val="000000"/>
              </w:rPr>
            </w:pPr>
          </w:p>
        </w:tc>
        <w:tc>
          <w:tcPr>
            <w:tcW w:w="1288" w:type="dxa"/>
            <w:tcBorders>
              <w:top w:val="nil"/>
              <w:left w:val="nil"/>
              <w:bottom w:val="nil"/>
              <w:right w:val="nil"/>
              <w:tl2br w:val="nil"/>
              <w:tr2bl w:val="nil"/>
            </w:tcBorders>
            <w:tcMar>
              <w:left w:w="60" w:type="dxa"/>
              <w:right w:w="60" w:type="dxa"/>
            </w:tcMar>
            <w:vAlign w:val="bottom"/>
          </w:tcPr>
          <w:p w14:paraId="4A6D105D" w14:textId="77777777" w:rsidR="00807FFE" w:rsidRDefault="00807FFE">
            <w:pPr>
              <w:pStyle w:val="DMETW36767BIPCCE"/>
              <w:rPr>
                <w:rFonts w:ascii="Arial" w:eastAsia="Arial" w:hAnsi="Arial" w:cs="Arial"/>
                <w:noProof/>
                <w:color w:val="000000"/>
              </w:rPr>
            </w:pPr>
          </w:p>
        </w:tc>
        <w:tc>
          <w:tcPr>
            <w:tcW w:w="1288" w:type="dxa"/>
            <w:tcBorders>
              <w:top w:val="nil"/>
              <w:left w:val="nil"/>
              <w:bottom w:val="nil"/>
              <w:right w:val="nil"/>
              <w:tl2br w:val="nil"/>
              <w:tr2bl w:val="nil"/>
            </w:tcBorders>
            <w:tcMar>
              <w:left w:w="60" w:type="dxa"/>
              <w:right w:w="60" w:type="dxa"/>
            </w:tcMar>
            <w:vAlign w:val="bottom"/>
          </w:tcPr>
          <w:p w14:paraId="5519A4CA" w14:textId="77777777" w:rsidR="00807FFE" w:rsidRDefault="00023E71">
            <w:pPr>
              <w:pStyle w:val="DMETW36767BIPCCE"/>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99F49C7" w14:textId="77777777">
        <w:trPr>
          <w:trHeight w:hRule="exact" w:val="255"/>
        </w:trPr>
        <w:tc>
          <w:tcPr>
            <w:tcW w:w="5956" w:type="dxa"/>
            <w:tcBorders>
              <w:top w:val="nil"/>
              <w:left w:val="nil"/>
              <w:bottom w:val="nil"/>
              <w:right w:val="nil"/>
              <w:tl2br w:val="nil"/>
              <w:tr2bl w:val="nil"/>
            </w:tcBorders>
            <w:shd w:val="solid" w:color="016794" w:fill="FFFFFF"/>
            <w:tcMar>
              <w:left w:w="60" w:type="dxa"/>
              <w:right w:w="60" w:type="dxa"/>
            </w:tcMar>
            <w:vAlign w:val="center"/>
          </w:tcPr>
          <w:p w14:paraId="7AB4ED34" w14:textId="77777777" w:rsidR="00807FFE" w:rsidRDefault="00807FFE">
            <w:pPr>
              <w:pStyle w:val="DMETW36767BIPCCE"/>
              <w:jc w:val="right"/>
              <w:rPr>
                <w:rFonts w:ascii="Verdana" w:eastAsia="Verdana" w:hAnsi="Verdana" w:cs="Verdana"/>
                <w:noProof/>
                <w:color w:val="FFFFFF"/>
              </w:rPr>
            </w:pPr>
          </w:p>
        </w:tc>
        <w:tc>
          <w:tcPr>
            <w:tcW w:w="1226" w:type="dxa"/>
            <w:tcBorders>
              <w:top w:val="nil"/>
              <w:left w:val="nil"/>
              <w:bottom w:val="nil"/>
              <w:right w:val="nil"/>
              <w:tl2br w:val="nil"/>
              <w:tr2bl w:val="nil"/>
            </w:tcBorders>
            <w:shd w:val="solid" w:color="016794" w:fill="FFFFFF"/>
            <w:tcMar>
              <w:left w:w="60" w:type="dxa"/>
              <w:right w:w="60" w:type="dxa"/>
            </w:tcMar>
            <w:vAlign w:val="center"/>
          </w:tcPr>
          <w:p w14:paraId="09FCE9F1" w14:textId="77777777" w:rsidR="00807FFE" w:rsidRDefault="00023E71">
            <w:pPr>
              <w:pStyle w:val="DMETW36767BIPCCE"/>
              <w:jc w:val="center"/>
              <w:rPr>
                <w:rFonts w:ascii="Verdana" w:eastAsia="Verdana" w:hAnsi="Verdana" w:cs="Verdana"/>
                <w:noProof/>
                <w:color w:val="FFFFFF"/>
              </w:rPr>
            </w:pPr>
            <w:r>
              <w:rPr>
                <w:rFonts w:ascii="Verdana" w:eastAsia="Verdana" w:hAnsi="Verdana" w:cs="Verdana"/>
                <w:noProof/>
                <w:color w:val="FFFFFF"/>
              </w:rPr>
              <w:t>Note</w:t>
            </w:r>
          </w:p>
        </w:tc>
        <w:tc>
          <w:tcPr>
            <w:tcW w:w="1288" w:type="dxa"/>
            <w:tcBorders>
              <w:top w:val="nil"/>
              <w:left w:val="nil"/>
              <w:bottom w:val="nil"/>
              <w:right w:val="nil"/>
              <w:tl2br w:val="nil"/>
              <w:tr2bl w:val="nil"/>
            </w:tcBorders>
            <w:shd w:val="solid" w:color="016794" w:fill="FFFFFF"/>
            <w:tcMar>
              <w:left w:w="60" w:type="dxa"/>
              <w:right w:w="60" w:type="dxa"/>
            </w:tcMar>
            <w:vAlign w:val="center"/>
          </w:tcPr>
          <w:p w14:paraId="46A77461" w14:textId="77777777" w:rsidR="00807FFE" w:rsidRDefault="00023E71">
            <w:pPr>
              <w:pStyle w:val="DMETW36767BIPCCE"/>
              <w:jc w:val="right"/>
              <w:rPr>
                <w:rFonts w:ascii="Verdana" w:eastAsia="Verdana" w:hAnsi="Verdana" w:cs="Verdana"/>
                <w:noProof/>
                <w:color w:val="FFFFFF"/>
              </w:rPr>
            </w:pPr>
            <w:r>
              <w:rPr>
                <w:rFonts w:ascii="Verdana" w:eastAsia="Verdana" w:hAnsi="Verdana" w:cs="Verdana"/>
                <w:noProof/>
                <w:color w:val="FFFFFF"/>
              </w:rPr>
              <w:t>31.12.2025</w:t>
            </w:r>
          </w:p>
        </w:tc>
        <w:tc>
          <w:tcPr>
            <w:tcW w:w="1288" w:type="dxa"/>
            <w:tcBorders>
              <w:top w:val="nil"/>
              <w:left w:val="nil"/>
              <w:bottom w:val="nil"/>
              <w:right w:val="nil"/>
              <w:tl2br w:val="nil"/>
              <w:tr2bl w:val="nil"/>
            </w:tcBorders>
            <w:shd w:val="solid" w:color="016794" w:fill="FFFFFF"/>
            <w:tcMar>
              <w:left w:w="60" w:type="dxa"/>
              <w:right w:w="60" w:type="dxa"/>
            </w:tcMar>
            <w:vAlign w:val="center"/>
          </w:tcPr>
          <w:p w14:paraId="21287F10" w14:textId="77777777" w:rsidR="00807FFE" w:rsidRDefault="00023E71">
            <w:pPr>
              <w:pStyle w:val="DMETW36767BIPCCE"/>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24028AD" w14:textId="77777777">
        <w:trPr>
          <w:trHeight w:hRule="exact" w:val="255"/>
        </w:trPr>
        <w:tc>
          <w:tcPr>
            <w:tcW w:w="5956" w:type="dxa"/>
            <w:tcBorders>
              <w:top w:val="nil"/>
              <w:left w:val="nil"/>
              <w:bottom w:val="nil"/>
              <w:right w:val="nil"/>
              <w:tl2br w:val="nil"/>
              <w:tr2bl w:val="nil"/>
            </w:tcBorders>
            <w:tcMar>
              <w:left w:w="60" w:type="dxa"/>
              <w:right w:w="60" w:type="dxa"/>
            </w:tcMar>
            <w:vAlign w:val="center"/>
          </w:tcPr>
          <w:p w14:paraId="5EDE1D46" w14:textId="77777777" w:rsidR="00807FFE" w:rsidRDefault="00023E71">
            <w:pPr>
              <w:pStyle w:val="DMETW36767BIPCCE"/>
              <w:rPr>
                <w:rFonts w:ascii="Verdana" w:eastAsia="Verdana" w:hAnsi="Verdana" w:cs="Verdana"/>
                <w:i/>
                <w:noProof/>
                <w:color w:val="000000"/>
                <w:sz w:val="18"/>
              </w:rPr>
            </w:pPr>
            <w:r>
              <w:rPr>
                <w:rFonts w:ascii="Verdana" w:eastAsia="Verdana" w:hAnsi="Verdana" w:cs="Verdana"/>
                <w:i/>
                <w:noProof/>
                <w:color w:val="000000"/>
                <w:sz w:val="18"/>
              </w:rPr>
              <w:t>Accounts with Treasuries and Central Banks</w:t>
            </w:r>
          </w:p>
        </w:tc>
        <w:tc>
          <w:tcPr>
            <w:tcW w:w="1226" w:type="dxa"/>
            <w:tcBorders>
              <w:top w:val="nil"/>
              <w:left w:val="nil"/>
              <w:bottom w:val="nil"/>
              <w:right w:val="nil"/>
              <w:tl2br w:val="nil"/>
              <w:tr2bl w:val="nil"/>
            </w:tcBorders>
            <w:tcMar>
              <w:left w:w="60" w:type="dxa"/>
              <w:right w:w="60" w:type="dxa"/>
            </w:tcMar>
            <w:vAlign w:val="center"/>
          </w:tcPr>
          <w:p w14:paraId="0A15F94C" w14:textId="77777777" w:rsidR="00807FFE" w:rsidRDefault="00807FFE">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14:paraId="08099D8C" w14:textId="77777777" w:rsidR="00807FFE" w:rsidRDefault="00023E71">
            <w:pPr>
              <w:pStyle w:val="DMETW36767BIPCCE"/>
              <w:jc w:val="right"/>
              <w:rPr>
                <w:rFonts w:ascii="Verdana" w:eastAsia="Verdana" w:hAnsi="Verdana" w:cs="Verdana"/>
                <w:i/>
                <w:noProof/>
                <w:color w:val="000000"/>
                <w:sz w:val="18"/>
              </w:rPr>
            </w:pPr>
            <w:r>
              <w:rPr>
                <w:rFonts w:ascii="Verdana" w:eastAsia="Verdana" w:hAnsi="Verdana" w:cs="Verdana"/>
                <w:i/>
                <w:noProof/>
                <w:color w:val="000000"/>
                <w:sz w:val="18"/>
              </w:rPr>
              <w:t>31 755</w:t>
            </w:r>
          </w:p>
        </w:tc>
        <w:tc>
          <w:tcPr>
            <w:tcW w:w="1288" w:type="dxa"/>
            <w:tcBorders>
              <w:top w:val="nil"/>
              <w:left w:val="nil"/>
              <w:bottom w:val="nil"/>
              <w:right w:val="nil"/>
              <w:tl2br w:val="nil"/>
              <w:tr2bl w:val="nil"/>
            </w:tcBorders>
            <w:tcMar>
              <w:left w:w="60" w:type="dxa"/>
              <w:right w:w="60" w:type="dxa"/>
            </w:tcMar>
            <w:vAlign w:val="center"/>
          </w:tcPr>
          <w:p w14:paraId="73EDBB87" w14:textId="77777777" w:rsidR="00807FFE" w:rsidRDefault="00023E71">
            <w:pPr>
              <w:pStyle w:val="DMETW36767BIPCCE"/>
              <w:jc w:val="right"/>
              <w:rPr>
                <w:rFonts w:ascii="Verdana" w:eastAsia="Verdana" w:hAnsi="Verdana" w:cs="Verdana"/>
                <w:i/>
                <w:noProof/>
                <w:color w:val="000000"/>
                <w:sz w:val="18"/>
                <w:lang w:bidi="en-GB"/>
              </w:rPr>
            </w:pPr>
            <w:r>
              <w:rPr>
                <w:rFonts w:ascii="Verdana" w:eastAsia="Verdana" w:hAnsi="Verdana" w:cs="Verdana"/>
                <w:i/>
                <w:noProof/>
                <w:color w:val="000000"/>
                <w:sz w:val="18"/>
              </w:rPr>
              <w:t>24 059</w:t>
            </w:r>
          </w:p>
        </w:tc>
      </w:tr>
      <w:tr w:rsidR="00807FFE" w14:paraId="1130ED5C" w14:textId="77777777">
        <w:trPr>
          <w:trHeight w:hRule="exact" w:val="255"/>
        </w:trPr>
        <w:tc>
          <w:tcPr>
            <w:tcW w:w="5956" w:type="dxa"/>
            <w:tcBorders>
              <w:top w:val="nil"/>
              <w:left w:val="nil"/>
              <w:bottom w:val="nil"/>
              <w:right w:val="nil"/>
              <w:tl2br w:val="nil"/>
              <w:tr2bl w:val="nil"/>
            </w:tcBorders>
            <w:tcMar>
              <w:left w:w="60" w:type="dxa"/>
              <w:right w:w="60" w:type="dxa"/>
            </w:tcMar>
            <w:vAlign w:val="center"/>
          </w:tcPr>
          <w:p w14:paraId="7265276C" w14:textId="77777777" w:rsidR="00807FFE" w:rsidRDefault="00023E71">
            <w:pPr>
              <w:pStyle w:val="DMETW36767BIPCCE"/>
              <w:rPr>
                <w:rFonts w:ascii="Verdana" w:eastAsia="Verdana" w:hAnsi="Verdana" w:cs="Verdana"/>
                <w:i/>
                <w:noProof/>
                <w:color w:val="000000"/>
                <w:sz w:val="18"/>
              </w:rPr>
            </w:pPr>
            <w:r>
              <w:rPr>
                <w:rFonts w:ascii="Verdana" w:eastAsia="Verdana" w:hAnsi="Verdana" w:cs="Verdana"/>
                <w:i/>
                <w:noProof/>
                <w:color w:val="000000"/>
                <w:sz w:val="18"/>
              </w:rPr>
              <w:t>Current accounts</w:t>
            </w:r>
          </w:p>
        </w:tc>
        <w:tc>
          <w:tcPr>
            <w:tcW w:w="1226" w:type="dxa"/>
            <w:tcBorders>
              <w:top w:val="nil"/>
              <w:left w:val="nil"/>
              <w:bottom w:val="nil"/>
              <w:right w:val="nil"/>
              <w:tl2br w:val="nil"/>
              <w:tr2bl w:val="nil"/>
            </w:tcBorders>
            <w:tcMar>
              <w:left w:w="60" w:type="dxa"/>
              <w:right w:w="60" w:type="dxa"/>
            </w:tcMar>
            <w:vAlign w:val="center"/>
          </w:tcPr>
          <w:p w14:paraId="2DA64B61" w14:textId="77777777" w:rsidR="00807FFE" w:rsidRDefault="00807FFE">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14:paraId="5FA69D6E" w14:textId="77777777" w:rsidR="00807FFE" w:rsidRDefault="00023E71">
            <w:pPr>
              <w:pStyle w:val="DMETW36767BIPCCE"/>
              <w:jc w:val="right"/>
              <w:rPr>
                <w:rFonts w:ascii="Verdana" w:eastAsia="Verdana" w:hAnsi="Verdana" w:cs="Verdana"/>
                <w:i/>
                <w:noProof/>
                <w:color w:val="000000"/>
                <w:sz w:val="18"/>
              </w:rPr>
            </w:pPr>
            <w:r>
              <w:rPr>
                <w:rFonts w:ascii="Verdana" w:eastAsia="Verdana" w:hAnsi="Verdana" w:cs="Verdana"/>
                <w:i/>
                <w:noProof/>
                <w:color w:val="000000"/>
                <w:sz w:val="18"/>
              </w:rPr>
              <w:t>1 816</w:t>
            </w:r>
          </w:p>
        </w:tc>
        <w:tc>
          <w:tcPr>
            <w:tcW w:w="1288" w:type="dxa"/>
            <w:tcBorders>
              <w:top w:val="nil"/>
              <w:left w:val="nil"/>
              <w:bottom w:val="nil"/>
              <w:right w:val="nil"/>
              <w:tl2br w:val="nil"/>
              <w:tr2bl w:val="nil"/>
            </w:tcBorders>
            <w:tcMar>
              <w:left w:w="60" w:type="dxa"/>
              <w:right w:w="60" w:type="dxa"/>
            </w:tcMar>
            <w:vAlign w:val="center"/>
          </w:tcPr>
          <w:p w14:paraId="15F272F5" w14:textId="77777777" w:rsidR="00807FFE" w:rsidRDefault="00023E71">
            <w:pPr>
              <w:pStyle w:val="DMETW36767BIPCCE"/>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808</w:t>
            </w:r>
          </w:p>
        </w:tc>
      </w:tr>
      <w:tr w:rsidR="00807FFE" w14:paraId="2ED3C3E4" w14:textId="77777777">
        <w:trPr>
          <w:trHeight w:hRule="exact" w:val="255"/>
        </w:trPr>
        <w:tc>
          <w:tcPr>
            <w:tcW w:w="5956" w:type="dxa"/>
            <w:tcBorders>
              <w:top w:val="nil"/>
              <w:left w:val="nil"/>
              <w:bottom w:val="nil"/>
              <w:right w:val="nil"/>
              <w:tl2br w:val="nil"/>
              <w:tr2bl w:val="nil"/>
            </w:tcBorders>
            <w:tcMar>
              <w:left w:w="60" w:type="dxa"/>
              <w:right w:w="60" w:type="dxa"/>
            </w:tcMar>
            <w:vAlign w:val="center"/>
          </w:tcPr>
          <w:p w14:paraId="1D0E996C" w14:textId="77777777" w:rsidR="00807FFE" w:rsidRDefault="00023E71">
            <w:pPr>
              <w:pStyle w:val="DMETW36767BIPCCE"/>
              <w:rPr>
                <w:rFonts w:ascii="Verdana" w:eastAsia="Verdana" w:hAnsi="Verdana" w:cs="Verdana"/>
                <w:i/>
                <w:noProof/>
                <w:color w:val="000000"/>
                <w:sz w:val="18"/>
              </w:rPr>
            </w:pPr>
            <w:r>
              <w:rPr>
                <w:rFonts w:ascii="Verdana" w:eastAsia="Verdana" w:hAnsi="Verdana" w:cs="Verdana"/>
                <w:i/>
                <w:noProof/>
                <w:color w:val="000000"/>
                <w:sz w:val="18"/>
              </w:rPr>
              <w:t>Imprest accounts</w:t>
            </w:r>
          </w:p>
        </w:tc>
        <w:tc>
          <w:tcPr>
            <w:tcW w:w="1226" w:type="dxa"/>
            <w:tcBorders>
              <w:top w:val="nil"/>
              <w:left w:val="nil"/>
              <w:bottom w:val="nil"/>
              <w:right w:val="nil"/>
              <w:tl2br w:val="nil"/>
              <w:tr2bl w:val="nil"/>
            </w:tcBorders>
            <w:tcMar>
              <w:left w:w="60" w:type="dxa"/>
              <w:right w:w="60" w:type="dxa"/>
            </w:tcMar>
            <w:vAlign w:val="center"/>
          </w:tcPr>
          <w:p w14:paraId="54208426" w14:textId="77777777" w:rsidR="00807FFE" w:rsidRDefault="00807FFE">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14:paraId="7E7A7D51" w14:textId="77777777" w:rsidR="00807FFE" w:rsidRDefault="00023E71">
            <w:pPr>
              <w:pStyle w:val="DMETW36767BIPCCE"/>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288" w:type="dxa"/>
            <w:tcBorders>
              <w:top w:val="nil"/>
              <w:left w:val="nil"/>
              <w:bottom w:val="nil"/>
              <w:right w:val="nil"/>
              <w:tl2br w:val="nil"/>
              <w:tr2bl w:val="nil"/>
            </w:tcBorders>
            <w:tcMar>
              <w:left w:w="60" w:type="dxa"/>
              <w:right w:w="60" w:type="dxa"/>
            </w:tcMar>
            <w:vAlign w:val="center"/>
          </w:tcPr>
          <w:p w14:paraId="3C26929F" w14:textId="77777777" w:rsidR="00807FFE" w:rsidRDefault="00023E71">
            <w:pPr>
              <w:pStyle w:val="DMETW36767BIPCCE"/>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w:t>
            </w:r>
          </w:p>
        </w:tc>
      </w:tr>
      <w:tr w:rsidR="00807FFE" w14:paraId="7860E33A" w14:textId="77777777">
        <w:trPr>
          <w:trHeight w:hRule="exact" w:val="255"/>
        </w:trPr>
        <w:tc>
          <w:tcPr>
            <w:tcW w:w="5956" w:type="dxa"/>
            <w:tcBorders>
              <w:top w:val="nil"/>
              <w:left w:val="nil"/>
              <w:bottom w:val="nil"/>
              <w:right w:val="nil"/>
              <w:tl2br w:val="nil"/>
              <w:tr2bl w:val="nil"/>
            </w:tcBorders>
            <w:tcMar>
              <w:left w:w="60" w:type="dxa"/>
              <w:right w:w="60" w:type="dxa"/>
            </w:tcMar>
            <w:vAlign w:val="center"/>
          </w:tcPr>
          <w:p w14:paraId="0D0ECB69" w14:textId="77777777" w:rsidR="00807FFE" w:rsidRDefault="00023E71">
            <w:pPr>
              <w:pStyle w:val="DMETW36767BIPCCE"/>
              <w:rPr>
                <w:rFonts w:ascii="Verdana" w:eastAsia="Verdana" w:hAnsi="Verdana" w:cs="Verdana"/>
                <w:i/>
                <w:noProof/>
                <w:color w:val="000000"/>
                <w:sz w:val="18"/>
              </w:rPr>
            </w:pPr>
            <w:r>
              <w:rPr>
                <w:rFonts w:ascii="Verdana" w:eastAsia="Verdana" w:hAnsi="Verdana" w:cs="Verdana"/>
                <w:i/>
                <w:noProof/>
                <w:color w:val="000000"/>
                <w:sz w:val="18"/>
              </w:rPr>
              <w:t>Transfers (cash in transit)</w:t>
            </w:r>
          </w:p>
        </w:tc>
        <w:tc>
          <w:tcPr>
            <w:tcW w:w="1226" w:type="dxa"/>
            <w:tcBorders>
              <w:top w:val="nil"/>
              <w:left w:val="nil"/>
              <w:bottom w:val="nil"/>
              <w:right w:val="nil"/>
              <w:tl2br w:val="nil"/>
              <w:tr2bl w:val="nil"/>
            </w:tcBorders>
            <w:tcMar>
              <w:left w:w="60" w:type="dxa"/>
              <w:right w:w="60" w:type="dxa"/>
            </w:tcMar>
            <w:vAlign w:val="center"/>
          </w:tcPr>
          <w:p w14:paraId="0B9E3CDC" w14:textId="77777777" w:rsidR="00807FFE" w:rsidRDefault="00807FFE">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14:paraId="509182DC" w14:textId="77777777" w:rsidR="00807FFE" w:rsidRDefault="00023E71">
            <w:pPr>
              <w:pStyle w:val="DMETW36767BIPCCE"/>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288" w:type="dxa"/>
            <w:tcBorders>
              <w:top w:val="nil"/>
              <w:left w:val="nil"/>
              <w:bottom w:val="nil"/>
              <w:right w:val="nil"/>
              <w:tl2br w:val="nil"/>
              <w:tr2bl w:val="nil"/>
            </w:tcBorders>
            <w:tcMar>
              <w:left w:w="60" w:type="dxa"/>
              <w:right w:w="60" w:type="dxa"/>
            </w:tcMar>
            <w:vAlign w:val="center"/>
          </w:tcPr>
          <w:p w14:paraId="795621F0" w14:textId="77777777" w:rsidR="00807FFE" w:rsidRDefault="00023E71">
            <w:pPr>
              <w:pStyle w:val="DMETW36767BIPCCE"/>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4FA3CB06" w14:textId="77777777">
        <w:trPr>
          <w:trHeight w:hRule="exact" w:val="255"/>
        </w:trPr>
        <w:tc>
          <w:tcPr>
            <w:tcW w:w="5956" w:type="dxa"/>
            <w:tcBorders>
              <w:top w:val="nil"/>
              <w:left w:val="nil"/>
              <w:bottom w:val="single" w:sz="4" w:space="0" w:color="016794"/>
              <w:right w:val="nil"/>
              <w:tl2br w:val="nil"/>
              <w:tr2bl w:val="nil"/>
            </w:tcBorders>
            <w:tcMar>
              <w:left w:w="60" w:type="dxa"/>
              <w:right w:w="60" w:type="dxa"/>
            </w:tcMar>
            <w:vAlign w:val="center"/>
          </w:tcPr>
          <w:p w14:paraId="37FA2FC4" w14:textId="77777777" w:rsidR="00807FFE" w:rsidRDefault="00023E71">
            <w:pPr>
              <w:pStyle w:val="DMETW36767BIPCCE"/>
              <w:rPr>
                <w:rFonts w:ascii="Verdana" w:eastAsia="Verdana" w:hAnsi="Verdana" w:cs="Verdana"/>
                <w:i/>
                <w:noProof/>
                <w:color w:val="000000"/>
                <w:sz w:val="18"/>
              </w:rPr>
            </w:pPr>
            <w:r>
              <w:rPr>
                <w:rFonts w:ascii="Verdana" w:eastAsia="Verdana" w:hAnsi="Verdana" w:cs="Verdana"/>
                <w:i/>
                <w:noProof/>
                <w:color w:val="000000"/>
                <w:sz w:val="18"/>
              </w:rPr>
              <w:t>Other term deposits</w:t>
            </w:r>
          </w:p>
        </w:tc>
        <w:tc>
          <w:tcPr>
            <w:tcW w:w="1226" w:type="dxa"/>
            <w:tcBorders>
              <w:top w:val="nil"/>
              <w:left w:val="nil"/>
              <w:bottom w:val="single" w:sz="4" w:space="0" w:color="016794"/>
              <w:right w:val="nil"/>
              <w:tl2br w:val="nil"/>
              <w:tr2bl w:val="nil"/>
            </w:tcBorders>
            <w:tcMar>
              <w:left w:w="60" w:type="dxa"/>
              <w:right w:w="60" w:type="dxa"/>
            </w:tcMar>
            <w:vAlign w:val="center"/>
          </w:tcPr>
          <w:p w14:paraId="14074A3F" w14:textId="77777777" w:rsidR="00807FFE" w:rsidRDefault="00807FFE">
            <w:pPr>
              <w:pStyle w:val="DMETW36767BIPCCE"/>
              <w:jc w:val="center"/>
              <w:rPr>
                <w:rFonts w:ascii="Verdana" w:eastAsia="Verdana" w:hAnsi="Verdana" w:cs="Verdana"/>
                <w:i/>
                <w:noProof/>
                <w:color w:val="000000"/>
                <w:sz w:val="18"/>
              </w:rPr>
            </w:pPr>
          </w:p>
        </w:tc>
        <w:tc>
          <w:tcPr>
            <w:tcW w:w="1288" w:type="dxa"/>
            <w:tcBorders>
              <w:top w:val="nil"/>
              <w:left w:val="nil"/>
              <w:bottom w:val="single" w:sz="4" w:space="0" w:color="016794"/>
              <w:right w:val="nil"/>
              <w:tl2br w:val="nil"/>
              <w:tr2bl w:val="nil"/>
            </w:tcBorders>
            <w:tcMar>
              <w:left w:w="60" w:type="dxa"/>
              <w:right w:w="60" w:type="dxa"/>
            </w:tcMar>
            <w:vAlign w:val="center"/>
          </w:tcPr>
          <w:p w14:paraId="76B816C5" w14:textId="77777777" w:rsidR="00807FFE" w:rsidRDefault="00023E71">
            <w:pPr>
              <w:pStyle w:val="DMETW36767BIPCCE"/>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88" w:type="dxa"/>
            <w:tcBorders>
              <w:top w:val="nil"/>
              <w:left w:val="nil"/>
              <w:bottom w:val="single" w:sz="4" w:space="0" w:color="016794"/>
              <w:right w:val="nil"/>
              <w:tl2br w:val="nil"/>
              <w:tr2bl w:val="nil"/>
            </w:tcBorders>
            <w:tcMar>
              <w:left w:w="60" w:type="dxa"/>
              <w:right w:w="60" w:type="dxa"/>
            </w:tcMar>
            <w:vAlign w:val="center"/>
          </w:tcPr>
          <w:p w14:paraId="0F4E7323" w14:textId="77777777" w:rsidR="00807FFE" w:rsidRDefault="00023E71">
            <w:pPr>
              <w:pStyle w:val="DMETW36767BIPCCE"/>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734E9719" w14:textId="77777777">
        <w:trPr>
          <w:trHeight w:hRule="exact" w:val="25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14:paraId="59B07FB1" w14:textId="77777777" w:rsidR="00807FFE" w:rsidRDefault="00023E71">
            <w:pPr>
              <w:pStyle w:val="DMETW36767BIPCCE"/>
              <w:rPr>
                <w:rFonts w:ascii="Verdana" w:eastAsia="Verdana" w:hAnsi="Verdana" w:cs="Verdana"/>
                <w:b/>
                <w:noProof/>
                <w:color w:val="000000"/>
                <w:sz w:val="18"/>
              </w:rPr>
            </w:pPr>
            <w:r>
              <w:rPr>
                <w:rFonts w:ascii="Verdana" w:eastAsia="Verdana" w:hAnsi="Verdana" w:cs="Verdana"/>
                <w:b/>
                <w:noProof/>
                <w:color w:val="000000"/>
                <w:sz w:val="18"/>
              </w:rPr>
              <w:t>Bank accounts for budget implementation</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14:paraId="631F9353" w14:textId="77777777" w:rsidR="00807FFE" w:rsidRDefault="00023E71">
            <w:pPr>
              <w:pStyle w:val="DMETW36767BIPCCE"/>
              <w:jc w:val="center"/>
              <w:rPr>
                <w:rFonts w:ascii="Verdana" w:eastAsia="Verdana" w:hAnsi="Verdana" w:cs="Verdana"/>
                <w:i/>
                <w:noProof/>
                <w:color w:val="000000"/>
                <w:sz w:val="18"/>
              </w:rPr>
            </w:pPr>
            <w:r>
              <w:rPr>
                <w:rFonts w:ascii="Verdana" w:eastAsia="Verdana" w:hAnsi="Verdana" w:cs="Verdana"/>
                <w:i/>
                <w:noProof/>
                <w:color w:val="000000"/>
                <w:sz w:val="18"/>
              </w:rPr>
              <w:t>2.8.1</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4D63B1D1" w14:textId="77777777" w:rsidR="00807FFE" w:rsidRDefault="00023E71">
            <w:pPr>
              <w:pStyle w:val="DMETW36767BIPCCE"/>
              <w:jc w:val="right"/>
              <w:rPr>
                <w:rFonts w:ascii="Verdana" w:eastAsia="Verdana" w:hAnsi="Verdana" w:cs="Verdana"/>
                <w:b/>
                <w:noProof/>
                <w:color w:val="000000"/>
                <w:sz w:val="18"/>
              </w:rPr>
            </w:pPr>
            <w:r>
              <w:rPr>
                <w:rFonts w:ascii="Verdana" w:eastAsia="Verdana" w:hAnsi="Verdana" w:cs="Verdana"/>
                <w:b/>
                <w:noProof/>
                <w:color w:val="000000"/>
                <w:sz w:val="18"/>
              </w:rPr>
              <w:t>33 579</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04A97087" w14:textId="77777777" w:rsidR="00807FFE" w:rsidRDefault="00023E71">
            <w:pPr>
              <w:pStyle w:val="DMETW36767BIPCCE"/>
              <w:jc w:val="right"/>
              <w:rPr>
                <w:rFonts w:ascii="Verdana" w:eastAsia="Verdana" w:hAnsi="Verdana" w:cs="Verdana"/>
                <w:b/>
                <w:noProof/>
                <w:color w:val="000000"/>
                <w:sz w:val="18"/>
                <w:lang w:bidi="en-GB"/>
              </w:rPr>
            </w:pPr>
            <w:r>
              <w:rPr>
                <w:rFonts w:ascii="Verdana" w:eastAsia="Verdana" w:hAnsi="Verdana" w:cs="Verdana"/>
                <w:b/>
                <w:noProof/>
                <w:color w:val="000000"/>
                <w:sz w:val="18"/>
              </w:rPr>
              <w:t>24 877</w:t>
            </w:r>
          </w:p>
        </w:tc>
      </w:tr>
      <w:tr w:rsidR="00807FFE" w14:paraId="60B4D299" w14:textId="77777777">
        <w:trPr>
          <w:trHeight w:hRule="exact" w:val="255"/>
        </w:trPr>
        <w:tc>
          <w:tcPr>
            <w:tcW w:w="5956" w:type="dxa"/>
            <w:tcBorders>
              <w:top w:val="single" w:sz="4" w:space="0" w:color="016794"/>
              <w:left w:val="nil"/>
              <w:bottom w:val="nil"/>
              <w:right w:val="nil"/>
              <w:tl2br w:val="nil"/>
              <w:tr2bl w:val="nil"/>
            </w:tcBorders>
            <w:tcMar>
              <w:left w:w="60" w:type="dxa"/>
              <w:right w:w="60" w:type="dxa"/>
            </w:tcMar>
            <w:vAlign w:val="center"/>
          </w:tcPr>
          <w:p w14:paraId="290792CB" w14:textId="77777777" w:rsidR="00807FFE" w:rsidRDefault="00023E71">
            <w:pPr>
              <w:pStyle w:val="DMETW36767BIPCCE"/>
              <w:rPr>
                <w:rFonts w:ascii="Verdana" w:eastAsia="Verdana" w:hAnsi="Verdana" w:cs="Verdana"/>
                <w:i/>
                <w:noProof/>
                <w:color w:val="000000"/>
                <w:sz w:val="18"/>
              </w:rPr>
            </w:pPr>
            <w:r>
              <w:rPr>
                <w:rFonts w:ascii="Verdana" w:eastAsia="Verdana" w:hAnsi="Verdana" w:cs="Verdana"/>
                <w:i/>
                <w:noProof/>
                <w:color w:val="000000"/>
                <w:sz w:val="18"/>
              </w:rPr>
              <w:t>Accounts with Central Banks</w:t>
            </w:r>
          </w:p>
        </w:tc>
        <w:tc>
          <w:tcPr>
            <w:tcW w:w="1226" w:type="dxa"/>
            <w:tcBorders>
              <w:top w:val="single" w:sz="4" w:space="0" w:color="016794"/>
              <w:left w:val="nil"/>
              <w:bottom w:val="nil"/>
              <w:right w:val="nil"/>
              <w:tl2br w:val="nil"/>
              <w:tr2bl w:val="nil"/>
            </w:tcBorders>
            <w:tcMar>
              <w:left w:w="60" w:type="dxa"/>
              <w:right w:w="60" w:type="dxa"/>
            </w:tcMar>
            <w:vAlign w:val="bottom"/>
          </w:tcPr>
          <w:p w14:paraId="22974133" w14:textId="77777777" w:rsidR="00807FFE" w:rsidRDefault="00807FFE">
            <w:pPr>
              <w:pStyle w:val="DMETW36767BIPCCE"/>
              <w:rPr>
                <w:rFonts w:cs="Calibri"/>
                <w:noProof/>
                <w:color w:val="000000"/>
                <w:sz w:val="22"/>
              </w:rPr>
            </w:pPr>
          </w:p>
        </w:tc>
        <w:tc>
          <w:tcPr>
            <w:tcW w:w="1288" w:type="dxa"/>
            <w:tcBorders>
              <w:top w:val="single" w:sz="4" w:space="0" w:color="016794"/>
              <w:left w:val="nil"/>
              <w:bottom w:val="nil"/>
              <w:right w:val="nil"/>
              <w:tl2br w:val="nil"/>
              <w:tr2bl w:val="nil"/>
            </w:tcBorders>
            <w:tcMar>
              <w:left w:w="60" w:type="dxa"/>
              <w:right w:w="60" w:type="dxa"/>
            </w:tcMar>
            <w:vAlign w:val="center"/>
          </w:tcPr>
          <w:p w14:paraId="1FAD17FF" w14:textId="77777777" w:rsidR="00807FFE" w:rsidRDefault="00023E71">
            <w:pPr>
              <w:pStyle w:val="DMETW36767BIPCCE"/>
              <w:jc w:val="right"/>
              <w:rPr>
                <w:rFonts w:ascii="Verdana" w:eastAsia="Verdana" w:hAnsi="Verdana" w:cs="Verdana"/>
                <w:i/>
                <w:noProof/>
                <w:color w:val="000000"/>
                <w:sz w:val="18"/>
              </w:rPr>
            </w:pPr>
            <w:r>
              <w:rPr>
                <w:rFonts w:ascii="Verdana" w:eastAsia="Verdana" w:hAnsi="Verdana" w:cs="Verdana"/>
                <w:i/>
                <w:noProof/>
                <w:color w:val="000000"/>
                <w:sz w:val="18"/>
              </w:rPr>
              <w:t>23 596</w:t>
            </w:r>
          </w:p>
        </w:tc>
        <w:tc>
          <w:tcPr>
            <w:tcW w:w="1288" w:type="dxa"/>
            <w:tcBorders>
              <w:top w:val="single" w:sz="4" w:space="0" w:color="016794"/>
              <w:left w:val="nil"/>
              <w:bottom w:val="nil"/>
              <w:right w:val="nil"/>
              <w:tl2br w:val="nil"/>
              <w:tr2bl w:val="nil"/>
            </w:tcBorders>
            <w:tcMar>
              <w:left w:w="60" w:type="dxa"/>
              <w:right w:w="60" w:type="dxa"/>
            </w:tcMar>
            <w:vAlign w:val="center"/>
          </w:tcPr>
          <w:p w14:paraId="4E7E5CA4" w14:textId="77777777" w:rsidR="00807FFE" w:rsidRDefault="00023E71">
            <w:pPr>
              <w:pStyle w:val="DMETW36767BIPCCE"/>
              <w:jc w:val="right"/>
              <w:rPr>
                <w:rFonts w:ascii="Verdana" w:eastAsia="Verdana" w:hAnsi="Verdana" w:cs="Verdana"/>
                <w:i/>
                <w:noProof/>
                <w:color w:val="000000"/>
                <w:sz w:val="18"/>
                <w:lang w:bidi="en-GB"/>
              </w:rPr>
            </w:pPr>
            <w:r>
              <w:rPr>
                <w:rFonts w:ascii="Verdana" w:eastAsia="Verdana" w:hAnsi="Verdana" w:cs="Verdana"/>
                <w:i/>
                <w:noProof/>
                <w:color w:val="000000"/>
                <w:sz w:val="18"/>
              </w:rPr>
              <w:t>33 926</w:t>
            </w:r>
          </w:p>
        </w:tc>
      </w:tr>
      <w:tr w:rsidR="00807FFE" w14:paraId="69D40893" w14:textId="77777777">
        <w:trPr>
          <w:trHeight w:hRule="exact" w:val="255"/>
        </w:trPr>
        <w:tc>
          <w:tcPr>
            <w:tcW w:w="5956" w:type="dxa"/>
            <w:tcBorders>
              <w:top w:val="nil"/>
              <w:left w:val="nil"/>
              <w:bottom w:val="nil"/>
              <w:right w:val="nil"/>
              <w:tl2br w:val="nil"/>
              <w:tr2bl w:val="nil"/>
            </w:tcBorders>
            <w:tcMar>
              <w:left w:w="60" w:type="dxa"/>
              <w:right w:w="60" w:type="dxa"/>
            </w:tcMar>
            <w:vAlign w:val="center"/>
          </w:tcPr>
          <w:p w14:paraId="14001B51" w14:textId="77777777" w:rsidR="00807FFE" w:rsidRDefault="00023E71">
            <w:pPr>
              <w:pStyle w:val="DMETW36767BIPCCE"/>
              <w:rPr>
                <w:rFonts w:ascii="Verdana" w:eastAsia="Verdana" w:hAnsi="Verdana" w:cs="Verdana"/>
                <w:i/>
                <w:noProof/>
                <w:color w:val="000000"/>
                <w:sz w:val="18"/>
              </w:rPr>
            </w:pPr>
            <w:r>
              <w:rPr>
                <w:rFonts w:ascii="Verdana" w:eastAsia="Verdana" w:hAnsi="Verdana" w:cs="Verdana"/>
                <w:i/>
                <w:noProof/>
                <w:color w:val="000000"/>
                <w:sz w:val="18"/>
              </w:rPr>
              <w:t>Term deposits</w:t>
            </w:r>
          </w:p>
        </w:tc>
        <w:tc>
          <w:tcPr>
            <w:tcW w:w="1226" w:type="dxa"/>
            <w:tcBorders>
              <w:top w:val="nil"/>
              <w:left w:val="nil"/>
              <w:bottom w:val="nil"/>
              <w:right w:val="nil"/>
              <w:tl2br w:val="nil"/>
              <w:tr2bl w:val="nil"/>
            </w:tcBorders>
            <w:tcMar>
              <w:left w:w="60" w:type="dxa"/>
              <w:right w:w="60" w:type="dxa"/>
            </w:tcMar>
            <w:vAlign w:val="bottom"/>
          </w:tcPr>
          <w:p w14:paraId="63249CD5" w14:textId="77777777" w:rsidR="00807FFE" w:rsidRDefault="00807FFE">
            <w:pPr>
              <w:pStyle w:val="DMETW36767BIPCCE"/>
              <w:rPr>
                <w:rFonts w:cs="Calibri"/>
                <w:noProof/>
                <w:color w:val="000000"/>
                <w:sz w:val="22"/>
              </w:rPr>
            </w:pPr>
          </w:p>
        </w:tc>
        <w:tc>
          <w:tcPr>
            <w:tcW w:w="1288" w:type="dxa"/>
            <w:tcBorders>
              <w:top w:val="nil"/>
              <w:left w:val="nil"/>
              <w:bottom w:val="nil"/>
              <w:right w:val="nil"/>
              <w:tl2br w:val="nil"/>
              <w:tr2bl w:val="nil"/>
            </w:tcBorders>
            <w:tcMar>
              <w:left w:w="60" w:type="dxa"/>
              <w:right w:w="60" w:type="dxa"/>
            </w:tcMar>
            <w:vAlign w:val="center"/>
          </w:tcPr>
          <w:p w14:paraId="0EA1903E" w14:textId="77777777" w:rsidR="00807FFE" w:rsidRDefault="00023E71">
            <w:pPr>
              <w:pStyle w:val="DMETW36767BIPCCE"/>
              <w:jc w:val="right"/>
              <w:rPr>
                <w:rFonts w:ascii="Verdana" w:eastAsia="Verdana" w:hAnsi="Verdana" w:cs="Verdana"/>
                <w:i/>
                <w:noProof/>
                <w:color w:val="000000"/>
                <w:sz w:val="18"/>
              </w:rPr>
            </w:pPr>
            <w:r>
              <w:rPr>
                <w:rFonts w:ascii="Verdana" w:eastAsia="Verdana" w:hAnsi="Verdana" w:cs="Verdana"/>
                <w:i/>
                <w:noProof/>
                <w:color w:val="000000"/>
                <w:sz w:val="18"/>
              </w:rPr>
              <w:t>23 516</w:t>
            </w:r>
          </w:p>
        </w:tc>
        <w:tc>
          <w:tcPr>
            <w:tcW w:w="1288" w:type="dxa"/>
            <w:tcBorders>
              <w:top w:val="nil"/>
              <w:left w:val="nil"/>
              <w:bottom w:val="nil"/>
              <w:right w:val="nil"/>
              <w:tl2br w:val="nil"/>
              <w:tr2bl w:val="nil"/>
            </w:tcBorders>
            <w:tcMar>
              <w:left w:w="60" w:type="dxa"/>
              <w:right w:w="60" w:type="dxa"/>
            </w:tcMar>
            <w:vAlign w:val="center"/>
          </w:tcPr>
          <w:p w14:paraId="67274D79" w14:textId="77777777" w:rsidR="00807FFE" w:rsidRDefault="00023E71">
            <w:pPr>
              <w:pStyle w:val="DMETW36767BIPCCE"/>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5678652A" w14:textId="77777777">
        <w:trPr>
          <w:trHeight w:hRule="exact" w:val="255"/>
        </w:trPr>
        <w:tc>
          <w:tcPr>
            <w:tcW w:w="5956" w:type="dxa"/>
            <w:tcBorders>
              <w:top w:val="nil"/>
              <w:left w:val="nil"/>
              <w:bottom w:val="single" w:sz="4" w:space="0" w:color="016794"/>
              <w:right w:val="nil"/>
              <w:tl2br w:val="nil"/>
              <w:tr2bl w:val="nil"/>
            </w:tcBorders>
            <w:tcMar>
              <w:left w:w="60" w:type="dxa"/>
              <w:right w:w="60" w:type="dxa"/>
            </w:tcMar>
            <w:vAlign w:val="center"/>
          </w:tcPr>
          <w:p w14:paraId="0659E5A5" w14:textId="77777777" w:rsidR="00807FFE" w:rsidRDefault="00023E71">
            <w:pPr>
              <w:pStyle w:val="DMETW36767BIPCCE"/>
              <w:rPr>
                <w:rFonts w:ascii="Verdana" w:eastAsia="Verdana" w:hAnsi="Verdana" w:cs="Verdana"/>
                <w:i/>
                <w:noProof/>
                <w:color w:val="000000"/>
                <w:sz w:val="18"/>
              </w:rPr>
            </w:pPr>
            <w:r>
              <w:rPr>
                <w:rFonts w:ascii="Verdana" w:eastAsia="Verdana" w:hAnsi="Verdana" w:cs="Verdana"/>
                <w:i/>
                <w:noProof/>
                <w:color w:val="000000"/>
                <w:sz w:val="18"/>
              </w:rPr>
              <w:t>Reverse repo transactions</w:t>
            </w:r>
          </w:p>
        </w:tc>
        <w:tc>
          <w:tcPr>
            <w:tcW w:w="1226" w:type="dxa"/>
            <w:tcBorders>
              <w:top w:val="nil"/>
              <w:left w:val="nil"/>
              <w:bottom w:val="single" w:sz="4" w:space="0" w:color="016794"/>
              <w:right w:val="nil"/>
              <w:tl2br w:val="nil"/>
              <w:tr2bl w:val="nil"/>
            </w:tcBorders>
            <w:tcMar>
              <w:left w:w="60" w:type="dxa"/>
              <w:right w:w="60" w:type="dxa"/>
            </w:tcMar>
            <w:vAlign w:val="bottom"/>
          </w:tcPr>
          <w:p w14:paraId="41CB902E" w14:textId="77777777" w:rsidR="00807FFE" w:rsidRDefault="00807FFE">
            <w:pPr>
              <w:pStyle w:val="DMETW36767BIPCCE"/>
              <w:rPr>
                <w:rFonts w:cs="Calibri"/>
                <w:noProof/>
                <w:color w:val="000000"/>
                <w:sz w:val="22"/>
              </w:rPr>
            </w:pPr>
          </w:p>
        </w:tc>
        <w:tc>
          <w:tcPr>
            <w:tcW w:w="1288" w:type="dxa"/>
            <w:tcBorders>
              <w:top w:val="nil"/>
              <w:left w:val="nil"/>
              <w:bottom w:val="single" w:sz="4" w:space="0" w:color="016794"/>
              <w:right w:val="nil"/>
              <w:tl2br w:val="nil"/>
              <w:tr2bl w:val="nil"/>
            </w:tcBorders>
            <w:tcMar>
              <w:left w:w="60" w:type="dxa"/>
              <w:right w:w="60" w:type="dxa"/>
            </w:tcMar>
            <w:vAlign w:val="center"/>
          </w:tcPr>
          <w:p w14:paraId="3967191E" w14:textId="77777777" w:rsidR="00807FFE" w:rsidRDefault="00023E71">
            <w:pPr>
              <w:pStyle w:val="DMETW36767BIPCCE"/>
              <w:jc w:val="right"/>
              <w:rPr>
                <w:rFonts w:ascii="Verdana" w:eastAsia="Verdana" w:hAnsi="Verdana" w:cs="Verdana"/>
                <w:i/>
                <w:noProof/>
                <w:color w:val="000000"/>
                <w:sz w:val="18"/>
              </w:rPr>
            </w:pPr>
            <w:r>
              <w:rPr>
                <w:rFonts w:ascii="Verdana" w:eastAsia="Verdana" w:hAnsi="Verdana" w:cs="Verdana"/>
                <w:i/>
                <w:noProof/>
                <w:color w:val="000000"/>
                <w:sz w:val="18"/>
              </w:rPr>
              <w:t>18 115</w:t>
            </w:r>
          </w:p>
        </w:tc>
        <w:tc>
          <w:tcPr>
            <w:tcW w:w="1288" w:type="dxa"/>
            <w:tcBorders>
              <w:top w:val="nil"/>
              <w:left w:val="nil"/>
              <w:bottom w:val="single" w:sz="4" w:space="0" w:color="016794"/>
              <w:right w:val="nil"/>
              <w:tl2br w:val="nil"/>
              <w:tr2bl w:val="nil"/>
            </w:tcBorders>
            <w:tcMar>
              <w:left w:w="60" w:type="dxa"/>
              <w:right w:w="60" w:type="dxa"/>
            </w:tcMar>
            <w:vAlign w:val="center"/>
          </w:tcPr>
          <w:p w14:paraId="433B56A9" w14:textId="77777777" w:rsidR="00807FFE" w:rsidRDefault="00023E71">
            <w:pPr>
              <w:pStyle w:val="DMETW36767BIPCCE"/>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10070001" w14:textId="77777777">
        <w:trPr>
          <w:trHeight w:hRule="exact" w:val="25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14:paraId="63CDD8F1" w14:textId="77777777" w:rsidR="00807FFE" w:rsidRDefault="00023E71">
            <w:pPr>
              <w:pStyle w:val="DMETW36767BIPCCE"/>
              <w:rPr>
                <w:rFonts w:ascii="Verdana" w:eastAsia="Verdana" w:hAnsi="Verdana" w:cs="Verdana"/>
                <w:b/>
                <w:noProof/>
                <w:color w:val="000000"/>
                <w:sz w:val="18"/>
              </w:rPr>
            </w:pPr>
            <w:r>
              <w:rPr>
                <w:rFonts w:ascii="Verdana" w:eastAsia="Verdana" w:hAnsi="Verdana" w:cs="Verdana"/>
                <w:b/>
                <w:noProof/>
                <w:color w:val="000000"/>
                <w:sz w:val="18"/>
              </w:rPr>
              <w:t>Liquidity for unified funding</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14:paraId="6B0889D6" w14:textId="77777777" w:rsidR="00807FFE" w:rsidRDefault="00023E71">
            <w:pPr>
              <w:pStyle w:val="DMETW36767BIPCCE"/>
              <w:jc w:val="center"/>
              <w:rPr>
                <w:rFonts w:ascii="Verdana" w:eastAsia="Verdana" w:hAnsi="Verdana" w:cs="Verdana"/>
                <w:i/>
                <w:noProof/>
                <w:color w:val="000000"/>
                <w:sz w:val="18"/>
              </w:rPr>
            </w:pPr>
            <w:r>
              <w:rPr>
                <w:rFonts w:ascii="Verdana" w:eastAsia="Verdana" w:hAnsi="Verdana" w:cs="Verdana"/>
                <w:i/>
                <w:noProof/>
                <w:color w:val="000000"/>
                <w:sz w:val="18"/>
              </w:rPr>
              <w:t>2.8.2</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419CD359" w14:textId="77777777" w:rsidR="00807FFE" w:rsidRDefault="00023E71">
            <w:pPr>
              <w:pStyle w:val="DMETW36767BIPCCE"/>
              <w:jc w:val="right"/>
              <w:rPr>
                <w:rFonts w:ascii="Verdana" w:eastAsia="Verdana" w:hAnsi="Verdana" w:cs="Verdana"/>
                <w:b/>
                <w:noProof/>
                <w:color w:val="000000"/>
                <w:sz w:val="18"/>
              </w:rPr>
            </w:pPr>
            <w:r>
              <w:rPr>
                <w:rFonts w:ascii="Verdana" w:eastAsia="Verdana" w:hAnsi="Verdana" w:cs="Verdana"/>
                <w:b/>
                <w:noProof/>
                <w:color w:val="000000"/>
                <w:sz w:val="18"/>
              </w:rPr>
              <w:t>65 227</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3864D9DF" w14:textId="77777777" w:rsidR="00807FFE" w:rsidRDefault="00023E71">
            <w:pPr>
              <w:pStyle w:val="DMETW36767BIPCCE"/>
              <w:jc w:val="right"/>
              <w:rPr>
                <w:rFonts w:ascii="Verdana" w:eastAsia="Verdana" w:hAnsi="Verdana" w:cs="Verdana"/>
                <w:b/>
                <w:noProof/>
                <w:color w:val="000000"/>
                <w:sz w:val="18"/>
                <w:lang w:bidi="en-GB"/>
              </w:rPr>
            </w:pPr>
            <w:r>
              <w:rPr>
                <w:rFonts w:ascii="Verdana" w:eastAsia="Verdana" w:hAnsi="Verdana" w:cs="Verdana"/>
                <w:b/>
                <w:noProof/>
                <w:color w:val="000000"/>
                <w:sz w:val="18"/>
              </w:rPr>
              <w:t>33 926</w:t>
            </w:r>
          </w:p>
        </w:tc>
      </w:tr>
      <w:tr w:rsidR="00807FFE" w14:paraId="4546D11A" w14:textId="77777777">
        <w:trPr>
          <w:trHeight w:hRule="exact" w:val="31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14:paraId="7797DE7B" w14:textId="77777777" w:rsidR="00807FFE" w:rsidRDefault="00023E71">
            <w:pPr>
              <w:pStyle w:val="DMETW36767BIPCCE"/>
              <w:rPr>
                <w:rFonts w:ascii="Verdana" w:eastAsia="Verdana" w:hAnsi="Verdana" w:cs="Verdana"/>
                <w:b/>
                <w:noProof/>
                <w:color w:val="000000"/>
                <w:sz w:val="18"/>
              </w:rPr>
            </w:pPr>
            <w:r>
              <w:rPr>
                <w:rFonts w:ascii="Verdana" w:eastAsia="Verdana" w:hAnsi="Verdana" w:cs="Verdana"/>
                <w:b/>
                <w:noProof/>
                <w:color w:val="000000"/>
                <w:sz w:val="18"/>
              </w:rPr>
              <w:t>Financial instruments</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14:paraId="183F16C3" w14:textId="77777777" w:rsidR="00807FFE" w:rsidRDefault="00023E71">
            <w:pPr>
              <w:pStyle w:val="DMETW36767BIPCCE"/>
              <w:jc w:val="center"/>
              <w:rPr>
                <w:rFonts w:ascii="Verdana" w:eastAsia="Verdana" w:hAnsi="Verdana" w:cs="Verdana"/>
                <w:i/>
                <w:noProof/>
                <w:color w:val="000000"/>
                <w:sz w:val="18"/>
              </w:rPr>
            </w:pPr>
            <w:r>
              <w:rPr>
                <w:rFonts w:ascii="Verdana" w:eastAsia="Verdana" w:hAnsi="Verdana" w:cs="Verdana"/>
                <w:i/>
                <w:noProof/>
                <w:color w:val="000000"/>
                <w:sz w:val="18"/>
              </w:rPr>
              <w:t>2.8.3</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4758F6E7" w14:textId="77777777" w:rsidR="00807FFE" w:rsidRDefault="00023E71">
            <w:pPr>
              <w:pStyle w:val="DMETW36767BIPCCE"/>
              <w:jc w:val="right"/>
              <w:rPr>
                <w:rFonts w:ascii="Verdana" w:eastAsia="Verdana" w:hAnsi="Verdana" w:cs="Verdana"/>
                <w:b/>
                <w:noProof/>
                <w:color w:val="000000"/>
                <w:sz w:val="18"/>
              </w:rPr>
            </w:pPr>
            <w:r>
              <w:rPr>
                <w:rFonts w:ascii="Verdana" w:eastAsia="Verdana" w:hAnsi="Verdana" w:cs="Verdana"/>
                <w:b/>
                <w:noProof/>
                <w:color w:val="000000"/>
                <w:sz w:val="18"/>
              </w:rPr>
              <w:t>2 975</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3B04E15F" w14:textId="77777777" w:rsidR="00807FFE" w:rsidRDefault="00023E71">
            <w:pPr>
              <w:pStyle w:val="DMETW36767BIPCCE"/>
              <w:jc w:val="right"/>
              <w:rPr>
                <w:rFonts w:ascii="Verdana" w:eastAsia="Verdana" w:hAnsi="Verdana" w:cs="Verdana"/>
                <w:b/>
                <w:noProof/>
                <w:color w:val="000000"/>
                <w:sz w:val="18"/>
                <w:lang w:bidi="en-GB"/>
              </w:rPr>
            </w:pPr>
            <w:r>
              <w:rPr>
                <w:rFonts w:ascii="Verdana" w:eastAsia="Verdana" w:hAnsi="Verdana" w:cs="Verdana"/>
                <w:b/>
                <w:noProof/>
                <w:color w:val="000000"/>
                <w:sz w:val="18"/>
              </w:rPr>
              <w:t>2 758</w:t>
            </w:r>
          </w:p>
        </w:tc>
      </w:tr>
      <w:tr w:rsidR="00807FFE" w14:paraId="0853E023" w14:textId="77777777">
        <w:trPr>
          <w:trHeight w:hRule="exact" w:val="300"/>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14:paraId="48D0B93F" w14:textId="77777777" w:rsidR="00807FFE" w:rsidRDefault="00023E71">
            <w:pPr>
              <w:pStyle w:val="DMETW36767BIPCCE"/>
              <w:rPr>
                <w:rFonts w:ascii="Verdana" w:eastAsia="Verdana" w:hAnsi="Verdana" w:cs="Verdana"/>
                <w:b/>
                <w:noProof/>
                <w:color w:val="000000"/>
                <w:sz w:val="18"/>
              </w:rPr>
            </w:pPr>
            <w:r>
              <w:rPr>
                <w:rFonts w:ascii="Verdana" w:eastAsia="Verdana" w:hAnsi="Verdana" w:cs="Verdana"/>
                <w:b/>
                <w:noProof/>
                <w:color w:val="000000"/>
                <w:sz w:val="18"/>
              </w:rPr>
              <w:t>Fines</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14:paraId="0A5F87D2" w14:textId="77777777" w:rsidR="00807FFE" w:rsidRDefault="00023E71">
            <w:pPr>
              <w:pStyle w:val="DMETW36767BIPCCE"/>
              <w:jc w:val="center"/>
              <w:rPr>
                <w:rFonts w:ascii="Verdana" w:eastAsia="Verdana" w:hAnsi="Verdana" w:cs="Verdana"/>
                <w:i/>
                <w:noProof/>
                <w:color w:val="000000"/>
                <w:sz w:val="18"/>
              </w:rPr>
            </w:pPr>
            <w:r>
              <w:rPr>
                <w:rFonts w:ascii="Verdana" w:eastAsia="Verdana" w:hAnsi="Verdana" w:cs="Verdana"/>
                <w:i/>
                <w:noProof/>
                <w:color w:val="000000"/>
                <w:sz w:val="18"/>
              </w:rPr>
              <w:t>2.8.4</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0DEA4647" w14:textId="77777777" w:rsidR="00807FFE" w:rsidRDefault="00023E71">
            <w:pPr>
              <w:pStyle w:val="DMETW36767BIPCCE"/>
              <w:jc w:val="right"/>
              <w:rPr>
                <w:rFonts w:ascii="Verdana" w:eastAsia="Verdana" w:hAnsi="Verdana" w:cs="Verdana"/>
                <w:b/>
                <w:noProof/>
                <w:color w:val="000000"/>
                <w:sz w:val="18"/>
              </w:rPr>
            </w:pPr>
            <w:r>
              <w:rPr>
                <w:rFonts w:ascii="Verdana" w:eastAsia="Verdana" w:hAnsi="Verdana" w:cs="Verdana"/>
                <w:b/>
                <w:noProof/>
                <w:color w:val="000000"/>
                <w:sz w:val="18"/>
              </w:rPr>
              <w:t xml:space="preserve"> 237</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6F96D41A" w14:textId="77777777" w:rsidR="00807FFE" w:rsidRDefault="00023E71">
            <w:pPr>
              <w:pStyle w:val="DMETW36767BIPCCE"/>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134</w:t>
            </w:r>
          </w:p>
        </w:tc>
      </w:tr>
      <w:tr w:rsidR="00807FFE" w14:paraId="3CB9FA91" w14:textId="77777777">
        <w:trPr>
          <w:trHeight w:hRule="exact" w:val="300"/>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14:paraId="14CA4767" w14:textId="77777777" w:rsidR="00807FFE" w:rsidRDefault="00023E71">
            <w:pPr>
              <w:pStyle w:val="DMETW36767BIPCCE"/>
              <w:rPr>
                <w:rFonts w:ascii="Verdana" w:eastAsia="Verdana" w:hAnsi="Verdana" w:cs="Verdana"/>
                <w:b/>
                <w:noProof/>
                <w:color w:val="000000"/>
                <w:sz w:val="18"/>
              </w:rPr>
            </w:pPr>
            <w:r>
              <w:rPr>
                <w:rFonts w:ascii="Verdana" w:eastAsia="Verdana" w:hAnsi="Verdana" w:cs="Verdana"/>
                <w:b/>
                <w:noProof/>
                <w:color w:val="000000"/>
                <w:sz w:val="18"/>
              </w:rPr>
              <w:t>Other institutions, agencies and bodies</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14:paraId="2F220619" w14:textId="77777777" w:rsidR="00807FFE" w:rsidRDefault="00807FFE">
            <w:pPr>
              <w:pStyle w:val="DMETW36767BIPCCE"/>
              <w:jc w:val="center"/>
              <w:rPr>
                <w:rFonts w:ascii="Verdana" w:eastAsia="Verdana" w:hAnsi="Verdana" w:cs="Verdana"/>
                <w:i/>
                <w:noProof/>
                <w:color w:val="000000"/>
                <w:sz w:val="18"/>
              </w:rPr>
            </w:pP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4750B217" w14:textId="77777777" w:rsidR="00807FFE" w:rsidRDefault="00023E71">
            <w:pPr>
              <w:pStyle w:val="DMETW36767BIPCCE"/>
              <w:jc w:val="right"/>
              <w:rPr>
                <w:rFonts w:ascii="Verdana" w:eastAsia="Verdana" w:hAnsi="Verdana" w:cs="Verdana"/>
                <w:b/>
                <w:noProof/>
                <w:color w:val="000000"/>
                <w:sz w:val="18"/>
              </w:rPr>
            </w:pPr>
            <w:r>
              <w:rPr>
                <w:rFonts w:ascii="Verdana" w:eastAsia="Verdana" w:hAnsi="Verdana" w:cs="Verdana"/>
                <w:b/>
                <w:noProof/>
                <w:color w:val="000000"/>
                <w:sz w:val="18"/>
              </w:rPr>
              <w:t xml:space="preserve"> 988</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14:paraId="7DCD015B" w14:textId="77777777" w:rsidR="00807FFE" w:rsidRDefault="00023E71">
            <w:pPr>
              <w:pStyle w:val="DMETW36767BIPCCE"/>
              <w:jc w:val="right"/>
              <w:rPr>
                <w:rFonts w:ascii="Verdana" w:eastAsia="Verdana" w:hAnsi="Verdana" w:cs="Verdana"/>
                <w:b/>
                <w:noProof/>
                <w:color w:val="000000"/>
                <w:sz w:val="18"/>
                <w:lang w:bidi="en-GB"/>
              </w:rPr>
            </w:pPr>
            <w:r>
              <w:rPr>
                <w:rFonts w:ascii="Verdana" w:eastAsia="Verdana" w:hAnsi="Verdana" w:cs="Verdana"/>
                <w:b/>
                <w:noProof/>
                <w:color w:val="000000"/>
                <w:sz w:val="18"/>
              </w:rPr>
              <w:t>1 439</w:t>
            </w:r>
          </w:p>
        </w:tc>
      </w:tr>
      <w:tr w:rsidR="00807FFE" w14:paraId="668E6182" w14:textId="77777777">
        <w:trPr>
          <w:trHeight w:hRule="exact" w:val="300"/>
        </w:trPr>
        <w:tc>
          <w:tcPr>
            <w:tcW w:w="5956" w:type="dxa"/>
            <w:tcBorders>
              <w:top w:val="single" w:sz="4" w:space="0" w:color="016794"/>
              <w:left w:val="nil"/>
              <w:bottom w:val="nil"/>
              <w:right w:val="nil"/>
              <w:tl2br w:val="nil"/>
              <w:tr2bl w:val="nil"/>
            </w:tcBorders>
            <w:tcMar>
              <w:left w:w="60" w:type="dxa"/>
              <w:right w:w="60" w:type="dxa"/>
            </w:tcMar>
            <w:vAlign w:val="center"/>
          </w:tcPr>
          <w:p w14:paraId="45CE65EA" w14:textId="77777777" w:rsidR="00807FFE" w:rsidRDefault="00023E71">
            <w:pPr>
              <w:pStyle w:val="DMETW36767BIPCCE"/>
              <w:rPr>
                <w:rFonts w:ascii="Verdana" w:eastAsia="Verdana" w:hAnsi="Verdana" w:cs="Verdana"/>
                <w:b/>
                <w:noProof/>
                <w:color w:val="000000"/>
                <w:sz w:val="18"/>
              </w:rPr>
            </w:pPr>
            <w:r>
              <w:rPr>
                <w:rFonts w:ascii="Verdana" w:eastAsia="Verdana" w:hAnsi="Verdana" w:cs="Verdana"/>
                <w:b/>
                <w:noProof/>
                <w:color w:val="000000"/>
                <w:sz w:val="18"/>
              </w:rPr>
              <w:t>Trust funds</w:t>
            </w:r>
          </w:p>
        </w:tc>
        <w:tc>
          <w:tcPr>
            <w:tcW w:w="1226" w:type="dxa"/>
            <w:tcBorders>
              <w:top w:val="single" w:sz="4" w:space="0" w:color="016794"/>
              <w:left w:val="nil"/>
              <w:bottom w:val="nil"/>
              <w:right w:val="nil"/>
              <w:tl2br w:val="nil"/>
              <w:tr2bl w:val="nil"/>
            </w:tcBorders>
            <w:tcMar>
              <w:left w:w="60" w:type="dxa"/>
              <w:right w:w="60" w:type="dxa"/>
            </w:tcMar>
            <w:vAlign w:val="center"/>
          </w:tcPr>
          <w:p w14:paraId="1A28A8AA" w14:textId="77777777" w:rsidR="00807FFE" w:rsidRDefault="00807FFE">
            <w:pPr>
              <w:pStyle w:val="DMETW36767BIPCCE"/>
              <w:jc w:val="center"/>
              <w:rPr>
                <w:rFonts w:ascii="Verdana" w:eastAsia="Verdana" w:hAnsi="Verdana" w:cs="Verdana"/>
                <w:i/>
                <w:noProof/>
                <w:color w:val="000000"/>
                <w:sz w:val="18"/>
              </w:rPr>
            </w:pPr>
          </w:p>
        </w:tc>
        <w:tc>
          <w:tcPr>
            <w:tcW w:w="1288" w:type="dxa"/>
            <w:tcBorders>
              <w:top w:val="single" w:sz="4" w:space="0" w:color="016794"/>
              <w:left w:val="nil"/>
              <w:bottom w:val="nil"/>
              <w:right w:val="nil"/>
              <w:tl2br w:val="nil"/>
              <w:tr2bl w:val="nil"/>
            </w:tcBorders>
            <w:tcMar>
              <w:left w:w="60" w:type="dxa"/>
              <w:right w:w="60" w:type="dxa"/>
            </w:tcMar>
            <w:vAlign w:val="center"/>
          </w:tcPr>
          <w:p w14:paraId="24DB2F64" w14:textId="77777777" w:rsidR="00807FFE" w:rsidRDefault="00023E71">
            <w:pPr>
              <w:pStyle w:val="DMETW36767BIPCCE"/>
              <w:jc w:val="right"/>
              <w:rPr>
                <w:rFonts w:ascii="Verdana" w:eastAsia="Verdana" w:hAnsi="Verdana" w:cs="Verdana"/>
                <w:b/>
                <w:noProof/>
                <w:color w:val="000000"/>
                <w:sz w:val="18"/>
              </w:rPr>
            </w:pPr>
            <w:r>
              <w:rPr>
                <w:rFonts w:ascii="Verdana" w:eastAsia="Verdana" w:hAnsi="Verdana" w:cs="Verdana"/>
                <w:b/>
                <w:noProof/>
                <w:color w:val="000000"/>
                <w:sz w:val="18"/>
              </w:rPr>
              <w:t xml:space="preserve"> 35</w:t>
            </w:r>
          </w:p>
        </w:tc>
        <w:tc>
          <w:tcPr>
            <w:tcW w:w="1288" w:type="dxa"/>
            <w:tcBorders>
              <w:top w:val="single" w:sz="4" w:space="0" w:color="016794"/>
              <w:left w:val="nil"/>
              <w:bottom w:val="nil"/>
              <w:right w:val="nil"/>
              <w:tl2br w:val="nil"/>
              <w:tr2bl w:val="nil"/>
            </w:tcBorders>
            <w:tcMar>
              <w:left w:w="60" w:type="dxa"/>
              <w:right w:w="60" w:type="dxa"/>
            </w:tcMar>
            <w:vAlign w:val="center"/>
          </w:tcPr>
          <w:p w14:paraId="07B5DA8F" w14:textId="77777777" w:rsidR="00807FFE" w:rsidRDefault="00023E71">
            <w:pPr>
              <w:pStyle w:val="DMETW36767BIPCCE"/>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30</w:t>
            </w:r>
          </w:p>
        </w:tc>
      </w:tr>
      <w:tr w:rsidR="00807FFE" w14:paraId="4ED8C937" w14:textId="77777777">
        <w:trPr>
          <w:trHeight w:hRule="exact" w:val="290"/>
        </w:trPr>
        <w:tc>
          <w:tcPr>
            <w:tcW w:w="5956" w:type="dxa"/>
            <w:tcBorders>
              <w:top w:val="nil"/>
              <w:left w:val="nil"/>
              <w:bottom w:val="nil"/>
              <w:right w:val="nil"/>
              <w:tl2br w:val="nil"/>
              <w:tr2bl w:val="nil"/>
            </w:tcBorders>
            <w:shd w:val="solid" w:color="CCE1EA" w:fill="FFFFFF"/>
            <w:tcMar>
              <w:left w:w="60" w:type="dxa"/>
              <w:right w:w="60" w:type="dxa"/>
            </w:tcMar>
            <w:vAlign w:val="center"/>
          </w:tcPr>
          <w:p w14:paraId="7F3FB5F4" w14:textId="77777777" w:rsidR="00807FFE" w:rsidRDefault="00023E71">
            <w:pPr>
              <w:pStyle w:val="DMETW36767BIPCCE"/>
              <w:rPr>
                <w:rFonts w:ascii="Verdana" w:eastAsia="Verdana" w:hAnsi="Verdana" w:cs="Verdana"/>
                <w:b/>
                <w:noProof/>
                <w:color w:val="000000"/>
                <w:sz w:val="18"/>
              </w:rPr>
            </w:pPr>
            <w:r>
              <w:rPr>
                <w:rFonts w:ascii="Verdana" w:eastAsia="Verdana" w:hAnsi="Verdana" w:cs="Verdana"/>
                <w:b/>
                <w:noProof/>
                <w:color w:val="000000"/>
                <w:sz w:val="18"/>
              </w:rPr>
              <w:t>Total</w:t>
            </w:r>
          </w:p>
        </w:tc>
        <w:tc>
          <w:tcPr>
            <w:tcW w:w="1226" w:type="dxa"/>
            <w:tcBorders>
              <w:top w:val="nil"/>
              <w:left w:val="nil"/>
              <w:bottom w:val="nil"/>
              <w:right w:val="nil"/>
              <w:tl2br w:val="nil"/>
              <w:tr2bl w:val="nil"/>
            </w:tcBorders>
            <w:shd w:val="solid" w:color="CCE1EA" w:fill="FFFFFF"/>
            <w:tcMar>
              <w:left w:w="60" w:type="dxa"/>
              <w:right w:w="60" w:type="dxa"/>
            </w:tcMar>
            <w:vAlign w:val="center"/>
          </w:tcPr>
          <w:p w14:paraId="4A3449E6" w14:textId="77777777" w:rsidR="00807FFE" w:rsidRDefault="00807FFE">
            <w:pPr>
              <w:pStyle w:val="DMETW36767BIPCCE"/>
              <w:rPr>
                <w:rFonts w:ascii="Verdana" w:eastAsia="Verdana" w:hAnsi="Verdana" w:cs="Verdana"/>
                <w:b/>
                <w:noProof/>
                <w:color w:val="000000"/>
                <w:sz w:val="18"/>
              </w:rPr>
            </w:pPr>
          </w:p>
        </w:tc>
        <w:tc>
          <w:tcPr>
            <w:tcW w:w="1288" w:type="dxa"/>
            <w:tcBorders>
              <w:top w:val="nil"/>
              <w:left w:val="nil"/>
              <w:bottom w:val="nil"/>
              <w:right w:val="nil"/>
              <w:tl2br w:val="nil"/>
              <w:tr2bl w:val="nil"/>
            </w:tcBorders>
            <w:shd w:val="solid" w:color="CCE1EA" w:fill="FFFFFF"/>
            <w:tcMar>
              <w:left w:w="60" w:type="dxa"/>
              <w:right w:w="60" w:type="dxa"/>
            </w:tcMar>
            <w:vAlign w:val="center"/>
          </w:tcPr>
          <w:p w14:paraId="5303EAEC" w14:textId="77777777" w:rsidR="00807FFE" w:rsidRDefault="00023E71">
            <w:pPr>
              <w:pStyle w:val="DMETW36767BIPCCE"/>
              <w:jc w:val="right"/>
              <w:rPr>
                <w:rFonts w:ascii="Verdana" w:eastAsia="Verdana" w:hAnsi="Verdana" w:cs="Verdana"/>
                <w:b/>
                <w:noProof/>
                <w:color w:val="000000"/>
                <w:sz w:val="18"/>
              </w:rPr>
            </w:pPr>
            <w:r>
              <w:rPr>
                <w:rFonts w:ascii="Verdana" w:eastAsia="Verdana" w:hAnsi="Verdana" w:cs="Verdana"/>
                <w:b/>
                <w:noProof/>
                <w:color w:val="000000"/>
                <w:sz w:val="18"/>
              </w:rPr>
              <w:t>103 041</w:t>
            </w:r>
          </w:p>
        </w:tc>
        <w:tc>
          <w:tcPr>
            <w:tcW w:w="1288" w:type="dxa"/>
            <w:tcBorders>
              <w:top w:val="nil"/>
              <w:left w:val="nil"/>
              <w:bottom w:val="nil"/>
              <w:right w:val="nil"/>
              <w:tl2br w:val="nil"/>
              <w:tr2bl w:val="nil"/>
            </w:tcBorders>
            <w:shd w:val="solid" w:color="CCE1EA" w:fill="FFFFFF"/>
            <w:tcMar>
              <w:left w:w="60" w:type="dxa"/>
              <w:right w:w="60" w:type="dxa"/>
            </w:tcMar>
            <w:vAlign w:val="center"/>
          </w:tcPr>
          <w:p w14:paraId="58584EED" w14:textId="77777777" w:rsidR="00807FFE" w:rsidRDefault="00023E71">
            <w:pPr>
              <w:pStyle w:val="DMETW36767BIPCCE"/>
              <w:jc w:val="right"/>
              <w:rPr>
                <w:rFonts w:ascii="Verdana" w:eastAsia="Verdana" w:hAnsi="Verdana" w:cs="Verdana"/>
                <w:b/>
                <w:noProof/>
                <w:color w:val="000000"/>
                <w:sz w:val="18"/>
              </w:rPr>
            </w:pPr>
            <w:r>
              <w:rPr>
                <w:rFonts w:ascii="Verdana" w:eastAsia="Verdana" w:hAnsi="Verdana" w:cs="Verdana"/>
                <w:b/>
                <w:noProof/>
                <w:color w:val="000000"/>
                <w:sz w:val="18"/>
              </w:rPr>
              <w:t>63 163</w:t>
            </w:r>
          </w:p>
        </w:tc>
      </w:tr>
    </w:tbl>
    <w:p w14:paraId="6DAC2B21" w14:textId="77777777" w:rsidR="002B2FF8" w:rsidRDefault="00023E71" w:rsidP="00172034">
      <w:pPr>
        <w:pStyle w:val="HEADER3NOTES"/>
        <w:numPr>
          <w:ilvl w:val="2"/>
          <w:numId w:val="15"/>
        </w:numPr>
        <w:rPr>
          <w:noProof/>
        </w:rPr>
      </w:pPr>
      <w:r w:rsidRPr="00624F4F">
        <w:rPr>
          <w:noProof/>
        </w:rPr>
        <w:t>Bank accounts for budget implementation</w:t>
      </w:r>
    </w:p>
    <w:p w14:paraId="00FF7D44" w14:textId="77777777" w:rsidR="00186D64" w:rsidRDefault="00023E71" w:rsidP="00186D64">
      <w:pPr>
        <w:pStyle w:val="DGTextstand-alone"/>
      </w:pPr>
      <w:r w:rsidRPr="0075529B">
        <w:t xml:space="preserve">This heading covers the funds which the Commission keeps in its bank accounts in each Member State and EFTA country (treasury or central bank), as well as in commercial bank current accounts, imprest accounts and petty cash accounts. </w:t>
      </w:r>
    </w:p>
    <w:p w14:paraId="647538F2" w14:textId="77777777" w:rsidR="003C1665" w:rsidRDefault="00023E71" w:rsidP="00186D64">
      <w:pPr>
        <w:pStyle w:val="DGTextstand-alone"/>
      </w:pPr>
      <w:r w:rsidRPr="003C1665">
        <w:t>The Commission’s cash balances follow a cyclical pattern: inflows of resources (e.g., revenue collections) are typically followed by expenditures. This timing mismatch causes the balances to fluctuate throughout the year. A key feature of this cycle is that a significant portion of the year-end cash balance is used in early January to cover a major payment</w:t>
      </w:r>
      <w:r>
        <w:t xml:space="preserve">, </w:t>
      </w:r>
      <w:r w:rsidRPr="003C1665">
        <w:t>primarily for expenditure under the European Agricultural Guarantee Fund (EAGF).</w:t>
      </w:r>
    </w:p>
    <w:p w14:paraId="0016924E" w14:textId="77777777" w:rsidR="004214A6" w:rsidRDefault="00023E71" w:rsidP="00186D64">
      <w:pPr>
        <w:pStyle w:val="DGTextstand-alone"/>
      </w:pPr>
      <w:r w:rsidRPr="004214A6">
        <w:t>The difference in cash balance available at end 2025 compared to 2024 was mainly due to a higher carry-over of payment appropriations, notably for the European Solidarity Fund to cater for payments to several disaster-struck countries, the revenues collected from the auctioning of ETS allowances to finance the Social Climate Fund Plans starting in 2026</w:t>
      </w:r>
      <w:r>
        <w:t>,</w:t>
      </w:r>
      <w:r w:rsidRPr="004214A6">
        <w:t xml:space="preserve"> and a higher amount than budgeted of Traditional Own Resources. In addition, there was a somewhat slower pace in certain expenditures than forecasted.</w:t>
      </w:r>
    </w:p>
    <w:p w14:paraId="7CF778F9" w14:textId="77777777" w:rsidR="002B2FF8" w:rsidRPr="00624F4F" w:rsidRDefault="00023E71" w:rsidP="00172034">
      <w:pPr>
        <w:pStyle w:val="HEADER3NOTES"/>
        <w:numPr>
          <w:ilvl w:val="2"/>
          <w:numId w:val="15"/>
        </w:numPr>
        <w:rPr>
          <w:noProof/>
        </w:rPr>
      </w:pPr>
      <w:bookmarkStart w:id="141" w:name="_Hlk162374986"/>
      <w:r>
        <w:rPr>
          <w:noProof/>
        </w:rPr>
        <w:t>Liquidity for unified funding</w:t>
      </w:r>
    </w:p>
    <w:p w14:paraId="3CE8E2F7" w14:textId="77777777" w:rsidR="00B91340" w:rsidRDefault="00023E71" w:rsidP="00B91340">
      <w:pPr>
        <w:pStyle w:val="Textstand-alone"/>
      </w:pPr>
      <w:r>
        <w:t xml:space="preserve">Under the unified funding strategy, part of the proceeds from borrowings is either kept as cash or invested in short-term investments in order to serve the upcoming disbursement obligations. </w:t>
      </w:r>
    </w:p>
    <w:p w14:paraId="4D58049B" w14:textId="77777777" w:rsidR="00B91340" w:rsidRDefault="00023E71" w:rsidP="00B91340">
      <w:pPr>
        <w:pStyle w:val="Textstand-alone"/>
      </w:pPr>
      <w:r>
        <w:t xml:space="preserve">A reverse repurchase transaction is a cash lending operation agreed by the EU with a counterparty for a fixed period at a fixed interest rate. The length of the transaction is 7 or 14 days. As a collateral, the EU receives highly liquid bonds for the limited duration of the reversed repo operation </w:t>
      </w:r>
      <w:r w:rsidRPr="004214A6">
        <w:t xml:space="preserve">(EUR </w:t>
      </w:r>
      <w:r w:rsidR="004214A6" w:rsidRPr="004214A6">
        <w:t>18.1 billion</w:t>
      </w:r>
      <w:r w:rsidRPr="004214A6">
        <w:t xml:space="preserve"> as at 31 December 2025).</w:t>
      </w:r>
      <w:r>
        <w:t xml:space="preserve"> Since the risks and rewards of the collateral remain with the transferor, it is not recognised on the EU balance sheet.</w:t>
      </w:r>
    </w:p>
    <w:p w14:paraId="44B59735" w14:textId="77777777" w:rsidR="00B91340" w:rsidRDefault="00023E71" w:rsidP="00B91340">
      <w:pPr>
        <w:pStyle w:val="Textstand-alone"/>
      </w:pPr>
      <w:r>
        <w:t xml:space="preserve">The increased cash and cash equivalents balances at the end of 2025 are due to disbursements planned for the beginning of 2026 to finance the RRF and </w:t>
      </w:r>
      <w:bookmarkStart w:id="142" w:name="_Hlk225197736"/>
      <w:r>
        <w:t>SAFE</w:t>
      </w:r>
      <w:bookmarkEnd w:id="142"/>
      <w:r>
        <w:t xml:space="preserve"> programmes.</w:t>
      </w:r>
    </w:p>
    <w:bookmarkEnd w:id="141"/>
    <w:p w14:paraId="0576B17C" w14:textId="77777777" w:rsidR="00216B41" w:rsidRPr="00624F4F" w:rsidRDefault="00023E71" w:rsidP="00172034">
      <w:pPr>
        <w:pStyle w:val="HEADER3NOTES"/>
        <w:numPr>
          <w:ilvl w:val="2"/>
          <w:numId w:val="15"/>
        </w:numPr>
        <w:rPr>
          <w:noProof/>
        </w:rPr>
      </w:pPr>
      <w:r>
        <w:rPr>
          <w:noProof/>
        </w:rPr>
        <w:t>F</w:t>
      </w:r>
      <w:r w:rsidRPr="00624F4F">
        <w:rPr>
          <w:noProof/>
        </w:rPr>
        <w:t>inancial instruments</w:t>
      </w:r>
    </w:p>
    <w:p w14:paraId="3583A4BC" w14:textId="77777777" w:rsidR="00216B41" w:rsidRDefault="00023E71" w:rsidP="00216B41">
      <w:pPr>
        <w:pStyle w:val="Textstand-alone"/>
      </w:pPr>
      <w:r w:rsidRPr="000660C6">
        <w:t>Amounts shown under this heading primarily concern cash equivalents managed by fiduciaries on behalf of the Commission for the purpose of implementing financial instrument programmes funded by the EU budget</w:t>
      </w:r>
      <w:r w:rsidR="008B34AC" w:rsidRPr="000660C6">
        <w:t xml:space="preserve">: </w:t>
      </w:r>
      <w:r w:rsidRPr="000660C6">
        <w:t xml:space="preserve">EUR </w:t>
      </w:r>
      <w:r w:rsidR="004214A6">
        <w:t>2.0</w:t>
      </w:r>
      <w:r w:rsidRPr="000660C6">
        <w:t xml:space="preserve"> billion as at 31 December 202</w:t>
      </w:r>
      <w:r w:rsidR="004214A6">
        <w:t>5</w:t>
      </w:r>
      <w:r w:rsidRPr="000660C6">
        <w:t>, of which EUR 0.</w:t>
      </w:r>
      <w:r w:rsidR="004214A6">
        <w:t>8</w:t>
      </w:r>
      <w:r w:rsidRPr="000660C6">
        <w:t xml:space="preserve"> billion relates to </w:t>
      </w:r>
      <w:r>
        <w:t xml:space="preserve">the </w:t>
      </w:r>
      <w:r w:rsidRPr="000660C6">
        <w:t xml:space="preserve">EIC Fund – see </w:t>
      </w:r>
      <w:r>
        <w:t>N</w:t>
      </w:r>
      <w:r w:rsidRPr="000660C6">
        <w:t xml:space="preserve">ote </w:t>
      </w:r>
      <w:r w:rsidRPr="000660C6">
        <w:rPr>
          <w:b/>
        </w:rPr>
        <w:t>2.4.2.1</w:t>
      </w:r>
      <w:r w:rsidRPr="000660C6">
        <w:t xml:space="preserve">. </w:t>
      </w:r>
      <w:r w:rsidR="003C5595" w:rsidRPr="000660C6">
        <w:t>It</w:t>
      </w:r>
      <w:r w:rsidRPr="000660C6">
        <w:t xml:space="preserve"> also includes</w:t>
      </w:r>
      <w:r w:rsidR="003C5595" w:rsidRPr="000660C6">
        <w:t xml:space="preserve"> EUR 0.</w:t>
      </w:r>
      <w:r w:rsidRPr="000660C6">
        <w:t>8</w:t>
      </w:r>
      <w:r w:rsidR="003C5595" w:rsidRPr="000660C6">
        <w:t xml:space="preserve"> billion </w:t>
      </w:r>
      <w:r w:rsidRPr="000660C6">
        <w:t xml:space="preserve">cash equivalents (term deposits and short term commercial papers) belonging to the Innovation Fund managed by the EIB – see </w:t>
      </w:r>
      <w:r>
        <w:t>N</w:t>
      </w:r>
      <w:r w:rsidRPr="000660C6">
        <w:t xml:space="preserve">ote </w:t>
      </w:r>
      <w:r w:rsidRPr="000660C6">
        <w:rPr>
          <w:b/>
        </w:rPr>
        <w:t>2.4.</w:t>
      </w:r>
      <w:r w:rsidR="008B34AC" w:rsidRPr="000660C6">
        <w:rPr>
          <w:b/>
        </w:rPr>
        <w:t>2.</w:t>
      </w:r>
      <w:r w:rsidRPr="000660C6">
        <w:rPr>
          <w:b/>
        </w:rPr>
        <w:t>1.</w:t>
      </w:r>
      <w:r w:rsidRPr="000660C6">
        <w:t xml:space="preserve"> This heading does not cover the CPF related liquidity buffer (EUR 0.</w:t>
      </w:r>
      <w:r>
        <w:t>2</w:t>
      </w:r>
      <w:r w:rsidRPr="000660C6">
        <w:t xml:space="preserve"> billion as at 31 December 202</w:t>
      </w:r>
      <w:r>
        <w:t>5</w:t>
      </w:r>
      <w:r w:rsidRPr="000660C6">
        <w:t>), whi</w:t>
      </w:r>
      <w:r w:rsidR="008B34AC" w:rsidRPr="000660C6">
        <w:t>ch is held in the Commission’s central t</w:t>
      </w:r>
      <w:r w:rsidRPr="000660C6">
        <w:t xml:space="preserve">reasury. </w:t>
      </w:r>
      <w:r w:rsidR="008B34AC" w:rsidRPr="000660C6">
        <w:t>C</w:t>
      </w:r>
      <w:r w:rsidRPr="000660C6">
        <w:t>ash belonging to financial</w:t>
      </w:r>
      <w:r w:rsidRPr="001F3E56">
        <w:t xml:space="preserve"> instruments can only be used by the programmes concerned.</w:t>
      </w:r>
    </w:p>
    <w:p w14:paraId="16538D1A" w14:textId="77777777" w:rsidR="002B2FF8" w:rsidRPr="00624F4F" w:rsidRDefault="00023E71" w:rsidP="00172034">
      <w:pPr>
        <w:pStyle w:val="HEADER3NOTES"/>
        <w:numPr>
          <w:ilvl w:val="2"/>
          <w:numId w:val="15"/>
        </w:numPr>
        <w:rPr>
          <w:noProof/>
        </w:rPr>
      </w:pPr>
      <w:r>
        <w:rPr>
          <w:noProof/>
        </w:rPr>
        <w:t>F</w:t>
      </w:r>
      <w:r w:rsidRPr="00624F4F">
        <w:rPr>
          <w:noProof/>
        </w:rPr>
        <w:t>ines</w:t>
      </w:r>
    </w:p>
    <w:p w14:paraId="1E58D8E4" w14:textId="77777777" w:rsidR="004C6C15" w:rsidRDefault="00023E71" w:rsidP="004C6C15">
      <w:pPr>
        <w:pStyle w:val="Textstand-alone"/>
      </w:pPr>
      <w:r w:rsidRPr="000D6D8F">
        <w:t xml:space="preserve">This is cash received in connection with fines issued by the Commission to companies for which the case is still open. Where an appeal has been lodged or when it is unknown if an appeal will be made by the fined company, the underlying amount is shown as contingent liability in </w:t>
      </w:r>
      <w:r>
        <w:t>N</w:t>
      </w:r>
      <w:r w:rsidRPr="000D6D8F">
        <w:t xml:space="preserve">ote </w:t>
      </w:r>
      <w:r w:rsidRPr="000D6D8F">
        <w:rPr>
          <w:b/>
          <w:bCs/>
        </w:rPr>
        <w:t>4.2.1</w:t>
      </w:r>
      <w:r w:rsidRPr="000D6D8F">
        <w:t xml:space="preserve">. Since 2010, all provisionally cashed fines to companies </w:t>
      </w:r>
      <w:r>
        <w:t>have been</w:t>
      </w:r>
      <w:r w:rsidRPr="000D6D8F">
        <w:t xml:space="preserve"> managed by the Commission in the BUFI fund and invested in financial instruments categorised as financial assets at FVSD non-derivatives (see </w:t>
      </w:r>
      <w:r>
        <w:t>N</w:t>
      </w:r>
      <w:r w:rsidRPr="000D6D8F">
        <w:t xml:space="preserve">ote </w:t>
      </w:r>
      <w:r w:rsidRPr="000D6D8F">
        <w:rPr>
          <w:b/>
          <w:bCs/>
        </w:rPr>
        <w:t>2.4.2</w:t>
      </w:r>
      <w:r w:rsidRPr="000D6D8F">
        <w:t>), with some of the fund assets being cashed at year-end</w:t>
      </w:r>
      <w:r w:rsidRPr="001955D8">
        <w:t>.</w:t>
      </w:r>
      <w:r>
        <w:t xml:space="preserve"> </w:t>
      </w:r>
    </w:p>
    <w:p w14:paraId="51857061" w14:textId="77777777" w:rsidR="00E83835" w:rsidRPr="00A9244D" w:rsidRDefault="00023E71" w:rsidP="000A1D1D">
      <w:pPr>
        <w:pStyle w:val="Textstand-alone"/>
        <w:spacing w:after="0"/>
        <w:sectPr w:rsidR="00E83835" w:rsidRPr="00A9244D">
          <w:headerReference w:type="default" r:id="rId95"/>
          <w:footerReference w:type="default" r:id="rId96"/>
          <w:type w:val="continuous"/>
          <w:pgSz w:w="11906" w:h="16838"/>
          <w:pgMar w:top="1134" w:right="1134" w:bottom="1134" w:left="1134" w:header="709" w:footer="709" w:gutter="0"/>
          <w:cols w:space="708"/>
          <w:docGrid w:linePitch="360"/>
        </w:sectPr>
      </w:pPr>
      <w:r>
        <w:t xml:space="preserve"> </w:t>
      </w:r>
      <w:bookmarkEnd w:id="139"/>
    </w:p>
    <w:p w14:paraId="07351302" w14:textId="77777777" w:rsidR="00B231CF" w:rsidRDefault="00023E71" w:rsidP="003858EF">
      <w:pPr>
        <w:pStyle w:val="HEADERTABLE"/>
        <w:spacing w:after="0"/>
        <w:rPr>
          <w:noProof/>
          <w:lang w:val="fr-BE"/>
        </w:rPr>
      </w:pPr>
      <w:bookmarkStart w:id="143" w:name="_DMBM_36667"/>
      <w:r>
        <w:rPr>
          <w:noProof/>
          <w:lang w:val="fr-BE"/>
        </w:rPr>
        <w:t>LIABILITIES</w:t>
      </w:r>
    </w:p>
    <w:p w14:paraId="1A26D812" w14:textId="77777777" w:rsidR="00A15F0C" w:rsidRPr="00A15F0C" w:rsidRDefault="00023E71" w:rsidP="00703DFF">
      <w:pPr>
        <w:pStyle w:val="Textstand-alone"/>
        <w:spacing w:before="0" w:after="0"/>
        <w:rPr>
          <w:lang w:val="fr-BE"/>
        </w:rPr>
        <w:sectPr w:rsidR="00A15F0C" w:rsidRPr="00A15F0C">
          <w:headerReference w:type="default" r:id="rId97"/>
          <w:footerReference w:type="default" r:id="rId98"/>
          <w:pgSz w:w="11906" w:h="16838"/>
          <w:pgMar w:top="1134" w:right="1134" w:bottom="1134" w:left="1134" w:header="709" w:footer="709" w:gutter="0"/>
          <w:cols w:space="708"/>
          <w:docGrid w:linePitch="360"/>
        </w:sectPr>
      </w:pPr>
      <w:r>
        <w:rPr>
          <w:lang w:val="fr-BE"/>
        </w:rPr>
        <w:t xml:space="preserve"> </w:t>
      </w:r>
      <w:bookmarkEnd w:id="143"/>
    </w:p>
    <w:p w14:paraId="5F3BE1AF" w14:textId="77777777" w:rsidR="00BC0E8C" w:rsidRDefault="00023E71" w:rsidP="00172034">
      <w:pPr>
        <w:pStyle w:val="HEADER2NOTES"/>
        <w:numPr>
          <w:ilvl w:val="1"/>
          <w:numId w:val="15"/>
        </w:numPr>
        <w:spacing w:before="0"/>
        <w:rPr>
          <w:noProof/>
        </w:rPr>
      </w:pPr>
      <w:bookmarkStart w:id="144" w:name="_DMBM_36721"/>
      <w:r w:rsidRPr="002C6EBF">
        <w:rPr>
          <w:noProof/>
        </w:rPr>
        <w:t>PENSION AND OTHER EMPLOYEE BENEFITS</w:t>
      </w:r>
    </w:p>
    <w:p w14:paraId="174DEACA" w14:textId="77777777" w:rsidR="00BC0E8C" w:rsidRDefault="00023E71" w:rsidP="00172034">
      <w:pPr>
        <w:pStyle w:val="HEADER3NOTES"/>
        <w:numPr>
          <w:ilvl w:val="2"/>
          <w:numId w:val="15"/>
        </w:numPr>
        <w:rPr>
          <w:noProof/>
        </w:rPr>
      </w:pPr>
      <w:r w:rsidRPr="002C6EBF">
        <w:rPr>
          <w:noProof/>
        </w:rPr>
        <w:t>Net employee benefit scheme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9"/>
        <w:gridCol w:w="1401"/>
        <w:gridCol w:w="1402"/>
        <w:gridCol w:w="1402"/>
        <w:gridCol w:w="1402"/>
        <w:gridCol w:w="1402"/>
      </w:tblGrid>
      <w:tr w:rsidR="00807FFE" w14:paraId="2B30C109" w14:textId="77777777">
        <w:trPr>
          <w:trHeight w:val="255"/>
        </w:trPr>
        <w:tc>
          <w:tcPr>
            <w:tcW w:w="2749" w:type="dxa"/>
            <w:tcBorders>
              <w:top w:val="nil"/>
              <w:left w:val="nil"/>
              <w:bottom w:val="nil"/>
              <w:right w:val="nil"/>
              <w:tl2br w:val="nil"/>
              <w:tr2bl w:val="nil"/>
            </w:tcBorders>
            <w:tcMar>
              <w:left w:w="60" w:type="dxa"/>
              <w:right w:w="60" w:type="dxa"/>
            </w:tcMar>
            <w:vAlign w:val="bottom"/>
          </w:tcPr>
          <w:p w14:paraId="233516A9" w14:textId="77777777" w:rsidR="00807FFE" w:rsidRDefault="00807FFE">
            <w:pPr>
              <w:pStyle w:val="DMETW36768BIPPENS1"/>
              <w:rPr>
                <w:rFonts w:ascii="Arial" w:eastAsia="Arial" w:hAnsi="Arial" w:cs="Arial"/>
                <w:noProof/>
                <w:color w:val="000000"/>
                <w:lang w:bidi="en-GB"/>
              </w:rPr>
            </w:pPr>
            <w:bookmarkStart w:id="145" w:name="DOC_TBL00044_1_1"/>
            <w:bookmarkEnd w:id="145"/>
          </w:p>
        </w:tc>
        <w:tc>
          <w:tcPr>
            <w:tcW w:w="1401" w:type="dxa"/>
            <w:tcBorders>
              <w:top w:val="nil"/>
              <w:left w:val="nil"/>
              <w:bottom w:val="nil"/>
              <w:right w:val="nil"/>
              <w:tl2br w:val="nil"/>
              <w:tr2bl w:val="nil"/>
            </w:tcBorders>
            <w:tcMar>
              <w:left w:w="60" w:type="dxa"/>
              <w:right w:w="60" w:type="dxa"/>
            </w:tcMar>
            <w:vAlign w:val="bottom"/>
          </w:tcPr>
          <w:p w14:paraId="46B30B9D" w14:textId="77777777" w:rsidR="00807FFE" w:rsidRDefault="00807FFE">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14:paraId="5DD1650B" w14:textId="77777777" w:rsidR="00807FFE" w:rsidRDefault="00807FFE">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14:paraId="451E3D20" w14:textId="77777777" w:rsidR="00807FFE" w:rsidRDefault="00807FFE">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14:paraId="341BBE35" w14:textId="77777777" w:rsidR="00807FFE" w:rsidRDefault="00807FFE">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14:paraId="275CB8F8" w14:textId="77777777" w:rsidR="00807FFE" w:rsidRDefault="00023E71">
            <w:pPr>
              <w:pStyle w:val="DMETW36768BIPPENS1"/>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7A1C9D1" w14:textId="77777777">
        <w:trPr>
          <w:trHeight w:val="255"/>
        </w:trPr>
        <w:tc>
          <w:tcPr>
            <w:tcW w:w="2749" w:type="dxa"/>
            <w:tcBorders>
              <w:top w:val="nil"/>
              <w:left w:val="nil"/>
              <w:bottom w:val="nil"/>
              <w:right w:val="nil"/>
              <w:tl2br w:val="nil"/>
              <w:tr2bl w:val="nil"/>
            </w:tcBorders>
            <w:shd w:val="solid" w:color="016794" w:fill="FFFFFF"/>
            <w:tcMar>
              <w:left w:w="60" w:type="dxa"/>
              <w:right w:w="60" w:type="dxa"/>
            </w:tcMar>
            <w:vAlign w:val="center"/>
          </w:tcPr>
          <w:p w14:paraId="086A3FEE" w14:textId="77777777" w:rsidR="00807FFE" w:rsidRDefault="00807FFE">
            <w:pPr>
              <w:pStyle w:val="DMETW36768BIPPENS1"/>
              <w:jc w:val="right"/>
              <w:rPr>
                <w:rFonts w:ascii="Verdana" w:eastAsia="Verdana" w:hAnsi="Verdana" w:cs="Verdana"/>
                <w:noProof/>
                <w:color w:val="FFFFFF"/>
                <w:sz w:val="18"/>
              </w:rPr>
            </w:pPr>
          </w:p>
        </w:tc>
        <w:tc>
          <w:tcPr>
            <w:tcW w:w="1401" w:type="dxa"/>
            <w:tcBorders>
              <w:top w:val="nil"/>
              <w:left w:val="nil"/>
              <w:bottom w:val="nil"/>
              <w:right w:val="nil"/>
              <w:tl2br w:val="nil"/>
              <w:tr2bl w:val="nil"/>
            </w:tcBorders>
            <w:shd w:val="solid" w:color="016794" w:fill="FFFFFF"/>
            <w:tcMar>
              <w:left w:w="60" w:type="dxa"/>
              <w:right w:w="60" w:type="dxa"/>
            </w:tcMar>
          </w:tcPr>
          <w:p w14:paraId="6F232FC7" w14:textId="77777777" w:rsidR="00807FFE" w:rsidRDefault="00023E71">
            <w:pPr>
              <w:pStyle w:val="DMETW36768BIPPENS1"/>
              <w:jc w:val="right"/>
              <w:rPr>
                <w:rFonts w:ascii="Verdana" w:eastAsia="Verdana" w:hAnsi="Verdana" w:cs="Verdana"/>
                <w:noProof/>
                <w:color w:val="FFFFFF"/>
                <w:sz w:val="18"/>
              </w:rPr>
            </w:pPr>
            <w:r>
              <w:rPr>
                <w:rFonts w:ascii="Verdana" w:eastAsia="Verdana" w:hAnsi="Verdana" w:cs="Verdana"/>
                <w:noProof/>
                <w:color w:val="FFFFFF"/>
                <w:sz w:val="18"/>
              </w:rPr>
              <w:t>Pension Scheme of European Officials</w:t>
            </w:r>
          </w:p>
        </w:tc>
        <w:tc>
          <w:tcPr>
            <w:tcW w:w="1402" w:type="dxa"/>
            <w:tcBorders>
              <w:top w:val="nil"/>
              <w:left w:val="nil"/>
              <w:bottom w:val="nil"/>
              <w:right w:val="nil"/>
              <w:tl2br w:val="nil"/>
              <w:tr2bl w:val="nil"/>
            </w:tcBorders>
            <w:shd w:val="solid" w:color="016794" w:fill="FFFFFF"/>
            <w:tcMar>
              <w:left w:w="60" w:type="dxa"/>
              <w:right w:w="60" w:type="dxa"/>
            </w:tcMar>
          </w:tcPr>
          <w:p w14:paraId="33ECC67A" w14:textId="77777777" w:rsidR="00807FFE" w:rsidRDefault="00023E71">
            <w:pPr>
              <w:pStyle w:val="DMETW36768BIPPENS1"/>
              <w:jc w:val="right"/>
              <w:rPr>
                <w:rFonts w:ascii="Verdana" w:eastAsia="Verdana" w:hAnsi="Verdana" w:cs="Verdana"/>
                <w:noProof/>
                <w:color w:val="FFFFFF"/>
                <w:sz w:val="18"/>
              </w:rPr>
            </w:pPr>
            <w:r>
              <w:rPr>
                <w:rFonts w:ascii="Verdana" w:eastAsia="Verdana" w:hAnsi="Verdana" w:cs="Verdana"/>
                <w:noProof/>
                <w:color w:val="FFFFFF"/>
                <w:sz w:val="18"/>
              </w:rPr>
              <w:t>Other retirement benefit schemes</w:t>
            </w:r>
          </w:p>
        </w:tc>
        <w:tc>
          <w:tcPr>
            <w:tcW w:w="1402" w:type="dxa"/>
            <w:tcBorders>
              <w:top w:val="nil"/>
              <w:left w:val="nil"/>
              <w:bottom w:val="nil"/>
              <w:right w:val="nil"/>
              <w:tl2br w:val="nil"/>
              <w:tr2bl w:val="nil"/>
            </w:tcBorders>
            <w:shd w:val="solid" w:color="016794" w:fill="FFFFFF"/>
            <w:tcMar>
              <w:left w:w="60" w:type="dxa"/>
              <w:right w:w="60" w:type="dxa"/>
            </w:tcMar>
          </w:tcPr>
          <w:p w14:paraId="1D87006D" w14:textId="77777777" w:rsidR="00807FFE" w:rsidRDefault="00023E71">
            <w:pPr>
              <w:pStyle w:val="DMETW36768BIPPENS1"/>
              <w:jc w:val="right"/>
              <w:rPr>
                <w:rFonts w:ascii="Verdana" w:eastAsia="Verdana" w:hAnsi="Verdana" w:cs="Verdana"/>
                <w:noProof/>
                <w:color w:val="FFFFFF"/>
                <w:sz w:val="18"/>
              </w:rPr>
            </w:pPr>
            <w:r>
              <w:rPr>
                <w:rFonts w:ascii="Verdana" w:eastAsia="Verdana" w:hAnsi="Verdana" w:cs="Verdana"/>
                <w:noProof/>
                <w:color w:val="FFFFFF"/>
                <w:sz w:val="18"/>
              </w:rPr>
              <w:t>Joint Sickness Insurance Scheme</w:t>
            </w:r>
          </w:p>
        </w:tc>
        <w:tc>
          <w:tcPr>
            <w:tcW w:w="1402" w:type="dxa"/>
            <w:tcBorders>
              <w:top w:val="nil"/>
              <w:left w:val="nil"/>
              <w:bottom w:val="nil"/>
              <w:right w:val="nil"/>
              <w:tl2br w:val="nil"/>
              <w:tr2bl w:val="nil"/>
            </w:tcBorders>
            <w:shd w:val="solid" w:color="016794" w:fill="FFFFFF"/>
            <w:tcMar>
              <w:left w:w="60" w:type="dxa"/>
              <w:right w:w="60" w:type="dxa"/>
            </w:tcMar>
          </w:tcPr>
          <w:p w14:paraId="5F2821B9" w14:textId="77777777" w:rsidR="00807FFE" w:rsidRDefault="00023E71">
            <w:pPr>
              <w:pStyle w:val="DMETW36768BIPPENS1"/>
              <w:jc w:val="right"/>
              <w:rPr>
                <w:rFonts w:ascii="Verdana" w:eastAsia="Verdana" w:hAnsi="Verdana" w:cs="Verdana"/>
                <w:noProof/>
                <w:color w:val="FFFFFF"/>
                <w:sz w:val="18"/>
              </w:rPr>
            </w:pPr>
            <w:r>
              <w:rPr>
                <w:rFonts w:ascii="Verdana" w:eastAsia="Verdana" w:hAnsi="Verdana" w:cs="Verdana"/>
                <w:noProof/>
                <w:color w:val="FFFFFF"/>
                <w:sz w:val="18"/>
              </w:rPr>
              <w:t>31.12.2025  Total</w:t>
            </w:r>
          </w:p>
        </w:tc>
        <w:tc>
          <w:tcPr>
            <w:tcW w:w="1402" w:type="dxa"/>
            <w:tcBorders>
              <w:top w:val="nil"/>
              <w:left w:val="nil"/>
              <w:bottom w:val="nil"/>
              <w:right w:val="nil"/>
              <w:tl2br w:val="nil"/>
              <w:tr2bl w:val="nil"/>
            </w:tcBorders>
            <w:shd w:val="solid" w:color="016794" w:fill="FFFFFF"/>
            <w:tcMar>
              <w:left w:w="60" w:type="dxa"/>
              <w:right w:w="60" w:type="dxa"/>
            </w:tcMar>
          </w:tcPr>
          <w:p w14:paraId="21A2A507" w14:textId="77777777" w:rsidR="00807FFE" w:rsidRDefault="00023E71">
            <w:pPr>
              <w:pStyle w:val="DMETW36768BIPPENS1"/>
              <w:jc w:val="right"/>
              <w:rPr>
                <w:rFonts w:ascii="Verdana" w:eastAsia="Verdana" w:hAnsi="Verdana" w:cs="Verdana"/>
                <w:noProof/>
                <w:color w:val="FFFFFF"/>
                <w:sz w:val="18"/>
                <w:lang w:bidi="en-GB"/>
              </w:rPr>
            </w:pPr>
            <w:r>
              <w:rPr>
                <w:rFonts w:ascii="Verdana" w:eastAsia="Verdana" w:hAnsi="Verdana" w:cs="Verdana"/>
                <w:noProof/>
                <w:color w:val="FFFFFF"/>
                <w:sz w:val="18"/>
              </w:rPr>
              <w:t>31.12.2024  Total</w:t>
            </w:r>
          </w:p>
        </w:tc>
      </w:tr>
      <w:tr w:rsidR="00807FFE" w14:paraId="3504D603" w14:textId="77777777">
        <w:trPr>
          <w:trHeight w:val="255"/>
        </w:trPr>
        <w:tc>
          <w:tcPr>
            <w:tcW w:w="2749" w:type="dxa"/>
            <w:tcBorders>
              <w:top w:val="nil"/>
              <w:left w:val="nil"/>
              <w:bottom w:val="nil"/>
              <w:right w:val="nil"/>
              <w:tl2br w:val="nil"/>
              <w:tr2bl w:val="nil"/>
            </w:tcBorders>
            <w:tcMar>
              <w:left w:w="60" w:type="dxa"/>
              <w:right w:w="60" w:type="dxa"/>
            </w:tcMar>
            <w:vAlign w:val="center"/>
          </w:tcPr>
          <w:p w14:paraId="14C853AF" w14:textId="77777777" w:rsidR="00807FFE" w:rsidRDefault="00023E71">
            <w:pPr>
              <w:pStyle w:val="DMETW36768BIPPENS1"/>
              <w:rPr>
                <w:rFonts w:ascii="Verdana" w:eastAsia="Verdana" w:hAnsi="Verdana" w:cs="Verdana"/>
                <w:i/>
                <w:noProof/>
                <w:color w:val="000000"/>
                <w:sz w:val="18"/>
              </w:rPr>
            </w:pPr>
            <w:r>
              <w:rPr>
                <w:rFonts w:ascii="Verdana" w:eastAsia="Verdana" w:hAnsi="Verdana" w:cs="Verdana"/>
                <w:i/>
                <w:noProof/>
                <w:color w:val="000000"/>
                <w:sz w:val="18"/>
              </w:rPr>
              <w:t>Defined Benefit Obligation</w:t>
            </w:r>
          </w:p>
        </w:tc>
        <w:tc>
          <w:tcPr>
            <w:tcW w:w="1401" w:type="dxa"/>
            <w:tcBorders>
              <w:top w:val="nil"/>
              <w:left w:val="nil"/>
              <w:bottom w:val="nil"/>
              <w:right w:val="nil"/>
              <w:tl2br w:val="nil"/>
              <w:tr2bl w:val="nil"/>
            </w:tcBorders>
            <w:tcMar>
              <w:left w:w="60" w:type="dxa"/>
              <w:right w:w="60" w:type="dxa"/>
            </w:tcMar>
            <w:vAlign w:val="bottom"/>
          </w:tcPr>
          <w:p w14:paraId="643F24AF" w14:textId="77777777" w:rsidR="00807FFE" w:rsidRDefault="00023E71">
            <w:pPr>
              <w:pStyle w:val="DMETW36768BIPPENS1"/>
              <w:jc w:val="right"/>
              <w:rPr>
                <w:rFonts w:ascii="Verdana" w:eastAsia="Verdana" w:hAnsi="Verdana" w:cs="Verdana"/>
                <w:i/>
                <w:noProof/>
                <w:color w:val="000000"/>
                <w:sz w:val="18"/>
              </w:rPr>
            </w:pPr>
            <w:r>
              <w:rPr>
                <w:rFonts w:ascii="Verdana" w:eastAsia="Verdana" w:hAnsi="Verdana" w:cs="Verdana"/>
                <w:i/>
                <w:noProof/>
                <w:color w:val="000000"/>
                <w:sz w:val="18"/>
              </w:rPr>
              <w:t>83 998</w:t>
            </w:r>
          </w:p>
        </w:tc>
        <w:tc>
          <w:tcPr>
            <w:tcW w:w="1402" w:type="dxa"/>
            <w:tcBorders>
              <w:top w:val="nil"/>
              <w:left w:val="nil"/>
              <w:bottom w:val="nil"/>
              <w:right w:val="nil"/>
              <w:tl2br w:val="nil"/>
              <w:tr2bl w:val="nil"/>
            </w:tcBorders>
            <w:tcMar>
              <w:left w:w="60" w:type="dxa"/>
              <w:right w:w="60" w:type="dxa"/>
            </w:tcMar>
            <w:vAlign w:val="bottom"/>
          </w:tcPr>
          <w:p w14:paraId="656F2BAF" w14:textId="77777777" w:rsidR="00807FFE" w:rsidRDefault="00023E71">
            <w:pPr>
              <w:pStyle w:val="DMETW36768BIPPENS1"/>
              <w:jc w:val="right"/>
              <w:rPr>
                <w:rFonts w:ascii="Verdana" w:eastAsia="Verdana" w:hAnsi="Verdana" w:cs="Verdana"/>
                <w:i/>
                <w:noProof/>
                <w:color w:val="000000"/>
                <w:sz w:val="18"/>
              </w:rPr>
            </w:pPr>
            <w:r>
              <w:rPr>
                <w:rFonts w:ascii="Verdana" w:eastAsia="Verdana" w:hAnsi="Verdana" w:cs="Verdana"/>
                <w:i/>
                <w:noProof/>
                <w:color w:val="000000"/>
                <w:sz w:val="18"/>
              </w:rPr>
              <w:t>1 887</w:t>
            </w:r>
          </w:p>
        </w:tc>
        <w:tc>
          <w:tcPr>
            <w:tcW w:w="1402" w:type="dxa"/>
            <w:tcBorders>
              <w:top w:val="nil"/>
              <w:left w:val="nil"/>
              <w:bottom w:val="nil"/>
              <w:right w:val="nil"/>
              <w:tl2br w:val="nil"/>
              <w:tr2bl w:val="nil"/>
            </w:tcBorders>
            <w:tcMar>
              <w:left w:w="60" w:type="dxa"/>
              <w:right w:w="60" w:type="dxa"/>
            </w:tcMar>
            <w:vAlign w:val="bottom"/>
          </w:tcPr>
          <w:p w14:paraId="74EBB7CE" w14:textId="77777777" w:rsidR="00807FFE" w:rsidRDefault="00023E71">
            <w:pPr>
              <w:pStyle w:val="DMETW36768BIPPENS1"/>
              <w:jc w:val="right"/>
              <w:rPr>
                <w:rFonts w:ascii="Verdana" w:eastAsia="Verdana" w:hAnsi="Verdana" w:cs="Verdana"/>
                <w:i/>
                <w:noProof/>
                <w:color w:val="000000"/>
                <w:sz w:val="18"/>
              </w:rPr>
            </w:pPr>
            <w:r>
              <w:rPr>
                <w:rFonts w:ascii="Verdana" w:eastAsia="Verdana" w:hAnsi="Verdana" w:cs="Verdana"/>
                <w:i/>
                <w:noProof/>
                <w:color w:val="000000"/>
                <w:sz w:val="18"/>
              </w:rPr>
              <w:t>5 721</w:t>
            </w:r>
          </w:p>
        </w:tc>
        <w:tc>
          <w:tcPr>
            <w:tcW w:w="1402" w:type="dxa"/>
            <w:tcBorders>
              <w:top w:val="nil"/>
              <w:left w:val="nil"/>
              <w:bottom w:val="nil"/>
              <w:right w:val="nil"/>
              <w:tl2br w:val="nil"/>
              <w:tr2bl w:val="nil"/>
            </w:tcBorders>
            <w:tcMar>
              <w:left w:w="60" w:type="dxa"/>
              <w:right w:w="60" w:type="dxa"/>
            </w:tcMar>
            <w:vAlign w:val="bottom"/>
          </w:tcPr>
          <w:p w14:paraId="11F754DF" w14:textId="77777777" w:rsidR="00807FFE" w:rsidRDefault="00023E71">
            <w:pPr>
              <w:pStyle w:val="DMETW36768BIPPENS1"/>
              <w:jc w:val="right"/>
              <w:rPr>
                <w:rFonts w:ascii="Verdana" w:eastAsia="Verdana" w:hAnsi="Verdana" w:cs="Verdana"/>
                <w:i/>
                <w:noProof/>
                <w:color w:val="000000"/>
                <w:sz w:val="18"/>
              </w:rPr>
            </w:pPr>
            <w:r>
              <w:rPr>
                <w:rFonts w:ascii="Verdana" w:eastAsia="Verdana" w:hAnsi="Verdana" w:cs="Verdana"/>
                <w:i/>
                <w:noProof/>
                <w:color w:val="000000"/>
                <w:sz w:val="18"/>
              </w:rPr>
              <w:t>91 605</w:t>
            </w:r>
          </w:p>
        </w:tc>
        <w:tc>
          <w:tcPr>
            <w:tcW w:w="1402" w:type="dxa"/>
            <w:tcBorders>
              <w:top w:val="nil"/>
              <w:left w:val="nil"/>
              <w:bottom w:val="nil"/>
              <w:right w:val="nil"/>
              <w:tl2br w:val="nil"/>
              <w:tr2bl w:val="nil"/>
            </w:tcBorders>
            <w:tcMar>
              <w:left w:w="60" w:type="dxa"/>
              <w:right w:w="60" w:type="dxa"/>
            </w:tcMar>
            <w:vAlign w:val="bottom"/>
          </w:tcPr>
          <w:p w14:paraId="587FAC60" w14:textId="77777777" w:rsidR="00807FFE" w:rsidRDefault="00023E71">
            <w:pPr>
              <w:pStyle w:val="DMETW36768BIPPENS1"/>
              <w:jc w:val="right"/>
              <w:rPr>
                <w:rFonts w:ascii="Verdana" w:eastAsia="Verdana" w:hAnsi="Verdana" w:cs="Verdana"/>
                <w:i/>
                <w:noProof/>
                <w:color w:val="000000"/>
                <w:sz w:val="18"/>
                <w:lang w:bidi="en-GB"/>
              </w:rPr>
            </w:pPr>
            <w:r>
              <w:rPr>
                <w:rFonts w:ascii="Verdana" w:eastAsia="Verdana" w:hAnsi="Verdana" w:cs="Verdana"/>
                <w:i/>
                <w:noProof/>
                <w:color w:val="000000"/>
                <w:sz w:val="18"/>
              </w:rPr>
              <w:t>93 557</w:t>
            </w:r>
          </w:p>
        </w:tc>
      </w:tr>
      <w:tr w:rsidR="00807FFE" w14:paraId="5451BE22" w14:textId="77777777">
        <w:trPr>
          <w:trHeight w:val="255"/>
        </w:trPr>
        <w:tc>
          <w:tcPr>
            <w:tcW w:w="2749" w:type="dxa"/>
            <w:tcBorders>
              <w:top w:val="nil"/>
              <w:left w:val="nil"/>
              <w:bottom w:val="nil"/>
              <w:right w:val="nil"/>
              <w:tl2br w:val="nil"/>
              <w:tr2bl w:val="nil"/>
            </w:tcBorders>
            <w:tcMar>
              <w:left w:w="60" w:type="dxa"/>
              <w:right w:w="60" w:type="dxa"/>
            </w:tcMar>
            <w:vAlign w:val="center"/>
          </w:tcPr>
          <w:p w14:paraId="15930397" w14:textId="77777777" w:rsidR="00807FFE" w:rsidRDefault="00023E71">
            <w:pPr>
              <w:pStyle w:val="DMETW36768BIPPENS1"/>
              <w:rPr>
                <w:rFonts w:ascii="Verdana" w:eastAsia="Verdana" w:hAnsi="Verdana" w:cs="Verdana"/>
                <w:i/>
                <w:noProof/>
                <w:color w:val="000000"/>
                <w:sz w:val="18"/>
              </w:rPr>
            </w:pPr>
            <w:r>
              <w:rPr>
                <w:rFonts w:ascii="Verdana" w:eastAsia="Verdana" w:hAnsi="Verdana" w:cs="Verdana"/>
                <w:i/>
                <w:noProof/>
                <w:color w:val="000000"/>
                <w:sz w:val="18"/>
              </w:rPr>
              <w:t>Plan assets</w:t>
            </w:r>
          </w:p>
        </w:tc>
        <w:tc>
          <w:tcPr>
            <w:tcW w:w="1401" w:type="dxa"/>
            <w:tcBorders>
              <w:top w:val="nil"/>
              <w:left w:val="nil"/>
              <w:bottom w:val="nil"/>
              <w:right w:val="nil"/>
              <w:tl2br w:val="nil"/>
              <w:tr2bl w:val="nil"/>
            </w:tcBorders>
            <w:tcMar>
              <w:left w:w="60" w:type="dxa"/>
              <w:right w:w="60" w:type="dxa"/>
            </w:tcMar>
            <w:vAlign w:val="bottom"/>
          </w:tcPr>
          <w:p w14:paraId="43FD6ACF" w14:textId="77777777" w:rsidR="00807FFE" w:rsidRDefault="00023E71">
            <w:pPr>
              <w:pStyle w:val="DMETW36768BIPPENS1"/>
              <w:jc w:val="right"/>
              <w:rPr>
                <w:rFonts w:ascii="Verdana" w:eastAsia="Verdana" w:hAnsi="Verdana" w:cs="Verdana"/>
                <w:i/>
                <w:noProof/>
                <w:color w:val="000000"/>
                <w:sz w:val="18"/>
              </w:rPr>
            </w:pPr>
            <w:r>
              <w:rPr>
                <w:rFonts w:ascii="Verdana" w:eastAsia="Verdana" w:hAnsi="Verdana" w:cs="Verdana"/>
                <w:i/>
                <w:noProof/>
                <w:color w:val="000000"/>
                <w:sz w:val="18"/>
              </w:rPr>
              <w:t>N/A</w:t>
            </w:r>
          </w:p>
        </w:tc>
        <w:tc>
          <w:tcPr>
            <w:tcW w:w="1402" w:type="dxa"/>
            <w:tcBorders>
              <w:top w:val="nil"/>
              <w:left w:val="nil"/>
              <w:bottom w:val="nil"/>
              <w:right w:val="nil"/>
              <w:tl2br w:val="nil"/>
              <w:tr2bl w:val="nil"/>
            </w:tcBorders>
            <w:tcMar>
              <w:left w:w="60" w:type="dxa"/>
              <w:right w:w="60" w:type="dxa"/>
            </w:tcMar>
            <w:vAlign w:val="bottom"/>
          </w:tcPr>
          <w:p w14:paraId="6BF74E74" w14:textId="77777777" w:rsidR="00807FFE" w:rsidRDefault="00023E71">
            <w:pPr>
              <w:pStyle w:val="DMETW36768BIPPENS1"/>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402" w:type="dxa"/>
            <w:tcBorders>
              <w:top w:val="nil"/>
              <w:left w:val="nil"/>
              <w:bottom w:val="nil"/>
              <w:right w:val="nil"/>
              <w:tl2br w:val="nil"/>
              <w:tr2bl w:val="nil"/>
            </w:tcBorders>
            <w:tcMar>
              <w:left w:w="60" w:type="dxa"/>
              <w:right w:w="60" w:type="dxa"/>
            </w:tcMar>
            <w:vAlign w:val="bottom"/>
          </w:tcPr>
          <w:p w14:paraId="0989AE62" w14:textId="77777777" w:rsidR="00807FFE" w:rsidRDefault="00023E71">
            <w:pPr>
              <w:pStyle w:val="DMETW36768BIPPENS1"/>
              <w:jc w:val="right"/>
              <w:rPr>
                <w:rFonts w:ascii="Verdana" w:eastAsia="Verdana" w:hAnsi="Verdana" w:cs="Verdana"/>
                <w:i/>
                <w:noProof/>
                <w:color w:val="000000"/>
                <w:sz w:val="18"/>
              </w:rPr>
            </w:pPr>
            <w:r>
              <w:rPr>
                <w:rFonts w:ascii="Verdana" w:eastAsia="Verdana" w:hAnsi="Verdana" w:cs="Verdana"/>
                <w:i/>
                <w:noProof/>
                <w:color w:val="000000"/>
                <w:sz w:val="18"/>
              </w:rPr>
              <w:t xml:space="preserve"> (467)</w:t>
            </w:r>
          </w:p>
        </w:tc>
        <w:tc>
          <w:tcPr>
            <w:tcW w:w="1402" w:type="dxa"/>
            <w:tcBorders>
              <w:top w:val="nil"/>
              <w:left w:val="nil"/>
              <w:bottom w:val="nil"/>
              <w:right w:val="nil"/>
              <w:tl2br w:val="nil"/>
              <w:tr2bl w:val="nil"/>
            </w:tcBorders>
            <w:tcMar>
              <w:left w:w="60" w:type="dxa"/>
              <w:right w:w="60" w:type="dxa"/>
            </w:tcMar>
            <w:vAlign w:val="bottom"/>
          </w:tcPr>
          <w:p w14:paraId="01F38AFF" w14:textId="77777777" w:rsidR="00807FFE" w:rsidRDefault="00023E71">
            <w:pPr>
              <w:pStyle w:val="DMETW36768BIPPENS1"/>
              <w:jc w:val="right"/>
              <w:rPr>
                <w:rFonts w:ascii="Verdana" w:eastAsia="Verdana" w:hAnsi="Verdana" w:cs="Verdana"/>
                <w:i/>
                <w:noProof/>
                <w:color w:val="000000"/>
                <w:sz w:val="18"/>
              </w:rPr>
            </w:pPr>
            <w:r>
              <w:rPr>
                <w:rFonts w:ascii="Verdana" w:eastAsia="Verdana" w:hAnsi="Verdana" w:cs="Verdana"/>
                <w:i/>
                <w:noProof/>
                <w:color w:val="000000"/>
                <w:sz w:val="18"/>
              </w:rPr>
              <w:t xml:space="preserve"> (477)</w:t>
            </w:r>
          </w:p>
        </w:tc>
        <w:tc>
          <w:tcPr>
            <w:tcW w:w="1402" w:type="dxa"/>
            <w:tcBorders>
              <w:top w:val="nil"/>
              <w:left w:val="nil"/>
              <w:bottom w:val="nil"/>
              <w:right w:val="nil"/>
              <w:tl2br w:val="nil"/>
              <w:tr2bl w:val="nil"/>
            </w:tcBorders>
            <w:tcMar>
              <w:left w:w="60" w:type="dxa"/>
              <w:right w:w="60" w:type="dxa"/>
            </w:tcMar>
            <w:vAlign w:val="bottom"/>
          </w:tcPr>
          <w:p w14:paraId="7727FE3F" w14:textId="77777777" w:rsidR="00807FFE" w:rsidRDefault="00023E71">
            <w:pPr>
              <w:pStyle w:val="DMETW36768BIPPENS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(461)</w:t>
            </w:r>
          </w:p>
        </w:tc>
      </w:tr>
      <w:tr w:rsidR="00807FFE" w14:paraId="639489AF" w14:textId="77777777">
        <w:trPr>
          <w:trHeight w:val="255"/>
        </w:trPr>
        <w:tc>
          <w:tcPr>
            <w:tcW w:w="2749" w:type="dxa"/>
            <w:tcBorders>
              <w:top w:val="nil"/>
              <w:left w:val="nil"/>
              <w:bottom w:val="nil"/>
              <w:right w:val="nil"/>
              <w:tl2br w:val="nil"/>
              <w:tr2bl w:val="nil"/>
            </w:tcBorders>
            <w:shd w:val="solid" w:color="CCE1EA" w:fill="FFFFFF"/>
            <w:tcMar>
              <w:left w:w="60" w:type="dxa"/>
              <w:right w:w="60" w:type="dxa"/>
            </w:tcMar>
            <w:vAlign w:val="center"/>
          </w:tcPr>
          <w:p w14:paraId="5EF809DF" w14:textId="77777777" w:rsidR="00807FFE" w:rsidRDefault="00023E71">
            <w:pPr>
              <w:pStyle w:val="DMETW36768BIPPENS1"/>
              <w:rPr>
                <w:rFonts w:ascii="Verdana" w:eastAsia="Verdana" w:hAnsi="Verdana" w:cs="Verdana"/>
                <w:b/>
                <w:noProof/>
                <w:color w:val="000000"/>
                <w:sz w:val="18"/>
              </w:rPr>
            </w:pPr>
            <w:r>
              <w:rPr>
                <w:rFonts w:ascii="Verdana" w:eastAsia="Verdana" w:hAnsi="Verdana" w:cs="Verdana"/>
                <w:b/>
                <w:noProof/>
                <w:color w:val="000000"/>
                <w:sz w:val="18"/>
              </w:rPr>
              <w:t>Net liability</w:t>
            </w:r>
          </w:p>
        </w:tc>
        <w:tc>
          <w:tcPr>
            <w:tcW w:w="1401" w:type="dxa"/>
            <w:tcBorders>
              <w:top w:val="nil"/>
              <w:left w:val="nil"/>
              <w:bottom w:val="nil"/>
              <w:right w:val="nil"/>
              <w:tl2br w:val="nil"/>
              <w:tr2bl w:val="nil"/>
            </w:tcBorders>
            <w:shd w:val="solid" w:color="CCE1EA" w:fill="FFFFFF"/>
            <w:tcMar>
              <w:left w:w="60" w:type="dxa"/>
              <w:right w:w="60" w:type="dxa"/>
            </w:tcMar>
            <w:vAlign w:val="bottom"/>
          </w:tcPr>
          <w:p w14:paraId="6C9FA2F3" w14:textId="77777777" w:rsidR="00807FFE" w:rsidRDefault="00023E71">
            <w:pPr>
              <w:pStyle w:val="DMETW36768BIPPENS1"/>
              <w:jc w:val="right"/>
              <w:rPr>
                <w:rFonts w:ascii="Verdana" w:eastAsia="Verdana" w:hAnsi="Verdana" w:cs="Verdana"/>
                <w:b/>
                <w:noProof/>
                <w:color w:val="000000"/>
                <w:sz w:val="18"/>
              </w:rPr>
            </w:pPr>
            <w:r>
              <w:rPr>
                <w:rFonts w:ascii="Verdana" w:eastAsia="Verdana" w:hAnsi="Verdana" w:cs="Verdana"/>
                <w:b/>
                <w:noProof/>
                <w:color w:val="000000"/>
                <w:sz w:val="18"/>
              </w:rPr>
              <w:t>83 998</w:t>
            </w:r>
          </w:p>
        </w:tc>
        <w:tc>
          <w:tcPr>
            <w:tcW w:w="1402" w:type="dxa"/>
            <w:tcBorders>
              <w:top w:val="nil"/>
              <w:left w:val="nil"/>
              <w:bottom w:val="nil"/>
              <w:right w:val="nil"/>
              <w:tl2br w:val="nil"/>
              <w:tr2bl w:val="nil"/>
            </w:tcBorders>
            <w:shd w:val="solid" w:color="CCE1EA" w:fill="FFFFFF"/>
            <w:tcMar>
              <w:left w:w="60" w:type="dxa"/>
              <w:right w:w="60" w:type="dxa"/>
            </w:tcMar>
            <w:vAlign w:val="bottom"/>
          </w:tcPr>
          <w:p w14:paraId="433B368B" w14:textId="77777777" w:rsidR="00807FFE" w:rsidRDefault="00023E71">
            <w:pPr>
              <w:pStyle w:val="DMETW36768BIPPENS1"/>
              <w:jc w:val="right"/>
              <w:rPr>
                <w:rFonts w:ascii="Verdana" w:eastAsia="Verdana" w:hAnsi="Verdana" w:cs="Verdana"/>
                <w:b/>
                <w:noProof/>
                <w:color w:val="000000"/>
                <w:sz w:val="18"/>
              </w:rPr>
            </w:pPr>
            <w:r>
              <w:rPr>
                <w:rFonts w:ascii="Verdana" w:eastAsia="Verdana" w:hAnsi="Verdana" w:cs="Verdana"/>
                <w:b/>
                <w:noProof/>
                <w:color w:val="000000"/>
                <w:sz w:val="18"/>
              </w:rPr>
              <w:t>1 876</w:t>
            </w:r>
          </w:p>
        </w:tc>
        <w:tc>
          <w:tcPr>
            <w:tcW w:w="1402" w:type="dxa"/>
            <w:tcBorders>
              <w:top w:val="nil"/>
              <w:left w:val="nil"/>
              <w:bottom w:val="nil"/>
              <w:right w:val="nil"/>
              <w:tl2br w:val="nil"/>
              <w:tr2bl w:val="nil"/>
            </w:tcBorders>
            <w:shd w:val="solid" w:color="CCE1EA" w:fill="FFFFFF"/>
            <w:tcMar>
              <w:left w:w="60" w:type="dxa"/>
              <w:right w:w="60" w:type="dxa"/>
            </w:tcMar>
            <w:vAlign w:val="bottom"/>
          </w:tcPr>
          <w:p w14:paraId="51A84C7C" w14:textId="77777777" w:rsidR="00807FFE" w:rsidRDefault="00023E71">
            <w:pPr>
              <w:pStyle w:val="DMETW36768BIPPENS1"/>
              <w:jc w:val="right"/>
              <w:rPr>
                <w:rFonts w:ascii="Verdana" w:eastAsia="Verdana" w:hAnsi="Verdana" w:cs="Verdana"/>
                <w:b/>
                <w:noProof/>
                <w:color w:val="000000"/>
                <w:sz w:val="18"/>
              </w:rPr>
            </w:pPr>
            <w:r>
              <w:rPr>
                <w:rFonts w:ascii="Verdana" w:eastAsia="Verdana" w:hAnsi="Verdana" w:cs="Verdana"/>
                <w:b/>
                <w:noProof/>
                <w:color w:val="000000"/>
                <w:sz w:val="18"/>
              </w:rPr>
              <w:t>5 254</w:t>
            </w:r>
          </w:p>
        </w:tc>
        <w:tc>
          <w:tcPr>
            <w:tcW w:w="1402" w:type="dxa"/>
            <w:tcBorders>
              <w:top w:val="nil"/>
              <w:left w:val="nil"/>
              <w:bottom w:val="nil"/>
              <w:right w:val="nil"/>
              <w:tl2br w:val="nil"/>
              <w:tr2bl w:val="nil"/>
            </w:tcBorders>
            <w:shd w:val="solid" w:color="CCE1EA" w:fill="FFFFFF"/>
            <w:tcMar>
              <w:left w:w="60" w:type="dxa"/>
              <w:right w:w="60" w:type="dxa"/>
            </w:tcMar>
            <w:vAlign w:val="bottom"/>
          </w:tcPr>
          <w:p w14:paraId="408B10A8" w14:textId="77777777" w:rsidR="00807FFE" w:rsidRDefault="00023E71">
            <w:pPr>
              <w:pStyle w:val="DMETW36768BIPPENS1"/>
              <w:jc w:val="right"/>
              <w:rPr>
                <w:rFonts w:ascii="Verdana" w:eastAsia="Verdana" w:hAnsi="Verdana" w:cs="Verdana"/>
                <w:b/>
                <w:noProof/>
                <w:color w:val="000000"/>
                <w:sz w:val="18"/>
              </w:rPr>
            </w:pPr>
            <w:r>
              <w:rPr>
                <w:rFonts w:ascii="Verdana" w:eastAsia="Verdana" w:hAnsi="Verdana" w:cs="Verdana"/>
                <w:b/>
                <w:noProof/>
                <w:color w:val="000000"/>
                <w:sz w:val="18"/>
              </w:rPr>
              <w:t>91 128</w:t>
            </w:r>
          </w:p>
        </w:tc>
        <w:tc>
          <w:tcPr>
            <w:tcW w:w="1402" w:type="dxa"/>
            <w:tcBorders>
              <w:top w:val="nil"/>
              <w:left w:val="nil"/>
              <w:bottom w:val="nil"/>
              <w:right w:val="nil"/>
              <w:tl2br w:val="nil"/>
              <w:tr2bl w:val="nil"/>
            </w:tcBorders>
            <w:shd w:val="solid" w:color="CCE1EA" w:fill="FFFFFF"/>
            <w:tcMar>
              <w:left w:w="60" w:type="dxa"/>
              <w:right w:w="60" w:type="dxa"/>
            </w:tcMar>
            <w:vAlign w:val="bottom"/>
          </w:tcPr>
          <w:p w14:paraId="320ACE2E" w14:textId="77777777" w:rsidR="00807FFE" w:rsidRDefault="00023E71">
            <w:pPr>
              <w:pStyle w:val="DMETW36768BIPPENS1"/>
              <w:jc w:val="right"/>
              <w:rPr>
                <w:rFonts w:ascii="Verdana" w:eastAsia="Verdana" w:hAnsi="Verdana" w:cs="Verdana"/>
                <w:b/>
                <w:noProof/>
                <w:color w:val="000000"/>
                <w:sz w:val="18"/>
              </w:rPr>
            </w:pPr>
            <w:r>
              <w:rPr>
                <w:rFonts w:ascii="Verdana" w:eastAsia="Verdana" w:hAnsi="Verdana" w:cs="Verdana"/>
                <w:b/>
                <w:noProof/>
                <w:color w:val="000000"/>
                <w:sz w:val="18"/>
              </w:rPr>
              <w:t>93 096</w:t>
            </w:r>
          </w:p>
        </w:tc>
      </w:tr>
    </w:tbl>
    <w:p w14:paraId="5472E9A5" w14:textId="77777777" w:rsidR="00374A66" w:rsidRDefault="00023E71" w:rsidP="006709D8">
      <w:pPr>
        <w:pStyle w:val="DGTextstand-alone"/>
      </w:pPr>
      <w:r w:rsidRPr="00374A66">
        <w:t xml:space="preserve">The total employee benefits liability has remained relatively stable, the small decrease being primarily driven by a decrease in the net liability of the Joint Sickness Insurance Scheme (JSIS). This </w:t>
      </w:r>
      <w:r>
        <w:t>i</w:t>
      </w:r>
      <w:r w:rsidRPr="00374A66">
        <w:t xml:space="preserve">s due to an updated value of the trend of medical costs in the JSIS which </w:t>
      </w:r>
      <w:r>
        <w:t xml:space="preserve">has </w:t>
      </w:r>
      <w:r w:rsidRPr="00374A66">
        <w:t xml:space="preserve">led to actuarial gains due to changes in </w:t>
      </w:r>
      <w:r>
        <w:t xml:space="preserve">the </w:t>
      </w:r>
      <w:r w:rsidRPr="00374A66">
        <w:t xml:space="preserve">financial assumptions, thus reducing the total liability. Additionally, a very </w:t>
      </w:r>
      <w:r>
        <w:t>small</w:t>
      </w:r>
      <w:r w:rsidRPr="00374A66">
        <w:t xml:space="preserve"> decrease in the net liability was observed in the Pension Scheme of European Officials (PSEO), the largest scheme in place. The actuarial gains resulting from the increase in the PSEO real discount rate in the year were partially netted off by losses due to actuarial assumptions related to salary changes (see </w:t>
      </w:r>
      <w:r>
        <w:t>N</w:t>
      </w:r>
      <w:r w:rsidRPr="00374A66">
        <w:t xml:space="preserve">otes </w:t>
      </w:r>
      <w:r w:rsidRPr="00374A66">
        <w:rPr>
          <w:b/>
          <w:bCs/>
        </w:rPr>
        <w:t>2.9.2</w:t>
      </w:r>
      <w:r w:rsidRPr="00374A66">
        <w:t xml:space="preserve"> and </w:t>
      </w:r>
      <w:r w:rsidRPr="00374A66">
        <w:rPr>
          <w:b/>
          <w:bCs/>
        </w:rPr>
        <w:t>2.9.4</w:t>
      </w:r>
      <w:r w:rsidRPr="00374A66">
        <w:t xml:space="preserve">). It must be noted, however, that while an increase or a decrease in the real discount rate impacts the size of the liability at year-end, it does not change the amount of benefits that will have to be actually paid from the EU budget to the beneficiaries in future years. The additional decrease in the net PSEO liability due to actuarial gains from experience was netted off by an increase due to the annual current service cost and interest cost (unwinding of the liability discounting), reducing further the impact of the actuarial gains due to changes in </w:t>
      </w:r>
      <w:r>
        <w:t xml:space="preserve">the </w:t>
      </w:r>
      <w:r w:rsidRPr="00374A66">
        <w:t xml:space="preserve">financial assumptions on the total liability (see </w:t>
      </w:r>
      <w:r>
        <w:t>N</w:t>
      </w:r>
      <w:r w:rsidRPr="00374A66">
        <w:t xml:space="preserve">ote </w:t>
      </w:r>
      <w:r w:rsidRPr="00374A66">
        <w:rPr>
          <w:b/>
          <w:bCs/>
        </w:rPr>
        <w:t>2.9.2</w:t>
      </w:r>
      <w:r w:rsidRPr="00374A66">
        <w:t xml:space="preserve">). </w:t>
      </w:r>
    </w:p>
    <w:p w14:paraId="577A4E6F" w14:textId="77777777" w:rsidR="00BC0E8C" w:rsidRPr="006709D8" w:rsidRDefault="00023E71" w:rsidP="006709D8">
      <w:pPr>
        <w:pStyle w:val="DGTextstand-alone"/>
        <w:rPr>
          <w:color w:val="016794"/>
        </w:rPr>
      </w:pPr>
      <w:r w:rsidRPr="006709D8">
        <w:rPr>
          <w:color w:val="016794"/>
        </w:rPr>
        <w:t>Pension Scheme of European Officials</w:t>
      </w:r>
    </w:p>
    <w:p w14:paraId="0A1FDCF5" w14:textId="77777777" w:rsidR="00EC219D" w:rsidRDefault="00023E71" w:rsidP="00EC219D">
      <w:pPr>
        <w:pStyle w:val="DGTextstand-alone"/>
      </w:pPr>
      <w:bookmarkStart w:id="146" w:name="_Hlk193797087"/>
      <w:r w:rsidRPr="003B45D1">
        <w:t>This defined benefit obligation represents the present value of expected future payments that the EU is required to make, so as to settle the pension obligations resulting from employee service in the current and prior periods. The scheme is ongoing, and as such, all payments required to be made from the scheme on an annual basis are included in the EU budget each year</w:t>
      </w:r>
      <w:r>
        <w:t>.</w:t>
      </w:r>
    </w:p>
    <w:p w14:paraId="036C5450" w14:textId="77777777" w:rsidR="00EC219D" w:rsidRDefault="00023E71" w:rsidP="00EC219D">
      <w:pPr>
        <w:pStyle w:val="DGTextstand-alone"/>
      </w:pPr>
      <w:r>
        <w:t xml:space="preserve">In accordance with Article 83 of the Staff Regulations, the payment of the benefits provided for in the staff pension scheme constitutes a charge to the EU budget. The scheme is notionally funded, and the Member States guarantee the payment of these benefits </w:t>
      </w:r>
      <w:r w:rsidRPr="00D21E39">
        <w:t xml:space="preserve">collectively. A compulsory pension contribution is deducted from the basic salaries of active members, currently </w:t>
      </w:r>
      <w:r w:rsidRPr="00DB30AC">
        <w:t>1</w:t>
      </w:r>
      <w:r>
        <w:t>3</w:t>
      </w:r>
      <w:r w:rsidRPr="00DB30AC">
        <w:t>.1%.</w:t>
      </w:r>
      <w:r w:rsidRPr="00D21E39">
        <w:t xml:space="preserve"> These </w:t>
      </w:r>
      <w:r>
        <w:t xml:space="preserve">contributions are treated as budget revenue of the year and contribute to the funding of EU expenditure in general, see also Note </w:t>
      </w:r>
      <w:r w:rsidRPr="001D7399">
        <w:rPr>
          <w:b/>
        </w:rPr>
        <w:t>3.</w:t>
      </w:r>
      <w:r>
        <w:rPr>
          <w:b/>
        </w:rPr>
        <w:t>8</w:t>
      </w:r>
      <w:r>
        <w:t>.</w:t>
      </w:r>
    </w:p>
    <w:p w14:paraId="6DEB221A" w14:textId="77777777" w:rsidR="001D7399" w:rsidRDefault="00023E71" w:rsidP="00EC219D">
      <w:pPr>
        <w:pStyle w:val="DGTextstand-alone"/>
      </w:pPr>
      <w:r w:rsidRPr="003B45D1">
        <w:t>The liabilities of the pension scheme were assessed on the basis of the number of PSEO staff (active staff, retirees, former active staff now on invalidity and dependants of deceased staff) at 31 December 202</w:t>
      </w:r>
      <w:r>
        <w:t>5</w:t>
      </w:r>
      <w:r w:rsidRPr="003B45D1">
        <w:t xml:space="preserve"> and on the rules of the Staff Regulations applicable at this date. This valuation was carried out in accordance with the accounting provisions of IPSAS 39 (and therefore also EU accounting rule 12</w:t>
      </w:r>
      <w:bookmarkEnd w:id="146"/>
      <w:r w:rsidR="009E7E88">
        <w:t>).</w:t>
      </w:r>
    </w:p>
    <w:p w14:paraId="7088439E" w14:textId="77777777" w:rsidR="00BC0E8C" w:rsidRPr="006709D8" w:rsidRDefault="00023E71" w:rsidP="001D7399">
      <w:pPr>
        <w:pStyle w:val="DGTextstand-alone"/>
        <w:rPr>
          <w:color w:val="016794"/>
        </w:rPr>
      </w:pPr>
      <w:r w:rsidRPr="006709D8">
        <w:rPr>
          <w:color w:val="016794"/>
        </w:rPr>
        <w:t>Other retirement benefit schemes</w:t>
      </w:r>
    </w:p>
    <w:p w14:paraId="3696EE20" w14:textId="77777777" w:rsidR="001D7399" w:rsidRDefault="00023E71" w:rsidP="006709D8">
      <w:pPr>
        <w:pStyle w:val="DGTextstand-alone"/>
      </w:pPr>
      <w:r w:rsidRPr="001D7399">
        <w:t xml:space="preserve">This </w:t>
      </w:r>
      <w:r w:rsidR="00EC219D" w:rsidRPr="001D7399">
        <w:t>refers to the liability relating to the pension obligations towards Members and former Members of the Commission, the European Court of Justice and the Court of Auditors, the Council, the European Ombudsman and the European Data Protection Supervisor. Also included under this heading are liabilities relating to the pensions of Members of the European Parliament</w:t>
      </w:r>
      <w:r w:rsidR="009E7E88" w:rsidRPr="001D7399">
        <w:t>.</w:t>
      </w:r>
    </w:p>
    <w:p w14:paraId="573A007D" w14:textId="77777777" w:rsidR="00BC0E8C" w:rsidRPr="006709D8" w:rsidRDefault="00023E71" w:rsidP="006709D8">
      <w:pPr>
        <w:pStyle w:val="DGTextstand-alone"/>
        <w:rPr>
          <w:color w:val="016794"/>
        </w:rPr>
      </w:pPr>
      <w:r w:rsidRPr="006709D8">
        <w:rPr>
          <w:color w:val="016794"/>
        </w:rPr>
        <w:t>Joint Sickness Insurance Scheme</w:t>
      </w:r>
    </w:p>
    <w:p w14:paraId="6731A475" w14:textId="77777777" w:rsidR="00EC219D" w:rsidRDefault="00023E71" w:rsidP="00575F2B">
      <w:pPr>
        <w:pStyle w:val="HEADER5"/>
        <w:jc w:val="both"/>
        <w:rPr>
          <w:rFonts w:eastAsia="Calibri"/>
          <w:noProof/>
          <w:color w:val="auto"/>
          <w:lang w:eastAsia="en-US"/>
        </w:rPr>
      </w:pPr>
      <w:r w:rsidRPr="001D7399">
        <w:rPr>
          <w:rFonts w:eastAsia="Calibri"/>
          <w:noProof/>
          <w:color w:val="auto"/>
          <w:lang w:eastAsia="en-US"/>
        </w:rPr>
        <w:t xml:space="preserve">In </w:t>
      </w:r>
      <w:r w:rsidRPr="00EC219D">
        <w:rPr>
          <w:rFonts w:eastAsia="Calibri"/>
          <w:noProof/>
          <w:color w:val="auto"/>
          <w:lang w:eastAsia="en-US"/>
        </w:rPr>
        <w:t xml:space="preserve">addition to the above retirement benefit schemes, a valuation is made for the estimated liability that the EU has regarding the Joint Sickness Insurance Scheme (JSIS) in relation to healthcare costs, which must be paid during post-activity periods (net of their contributions). As stated in </w:t>
      </w:r>
      <w:r>
        <w:rPr>
          <w:rFonts w:eastAsia="Calibri"/>
          <w:noProof/>
          <w:color w:val="auto"/>
          <w:lang w:eastAsia="en-US"/>
        </w:rPr>
        <w:t>N</w:t>
      </w:r>
      <w:r w:rsidRPr="00EC219D">
        <w:rPr>
          <w:rFonts w:eastAsia="Calibri"/>
          <w:noProof/>
          <w:color w:val="auto"/>
          <w:lang w:eastAsia="en-US"/>
        </w:rPr>
        <w:t xml:space="preserve">ote </w:t>
      </w:r>
      <w:r w:rsidRPr="00EC219D">
        <w:rPr>
          <w:rFonts w:eastAsia="Calibri"/>
          <w:b/>
          <w:bCs/>
          <w:noProof/>
          <w:color w:val="auto"/>
          <w:lang w:eastAsia="en-US"/>
        </w:rPr>
        <w:t>1.5.10</w:t>
      </w:r>
      <w:r w:rsidRPr="00EC219D">
        <w:rPr>
          <w:rFonts w:eastAsia="Calibri"/>
          <w:noProof/>
          <w:color w:val="auto"/>
          <w:lang w:eastAsia="en-US"/>
        </w:rPr>
        <w:t>, the calculation of this liability takes account of the full active service period, ensuring that both the pension and the sickness insurance schemes of the staff’s post-employment plan are accounted for consistently.</w:t>
      </w:r>
    </w:p>
    <w:p w14:paraId="0388F3EF" w14:textId="77777777" w:rsidR="00A82FA8" w:rsidRDefault="00023E71" w:rsidP="00EC219D">
      <w:pPr>
        <w:pStyle w:val="HEADER5"/>
        <w:jc w:val="both"/>
        <w:rPr>
          <w:rFonts w:eastAsia="Calibri"/>
          <w:noProof/>
          <w:color w:val="auto"/>
          <w:lang w:eastAsia="en-US"/>
        </w:rPr>
      </w:pPr>
      <w:r w:rsidRPr="00EC219D">
        <w:rPr>
          <w:rFonts w:eastAsia="Calibri"/>
          <w:noProof/>
          <w:color w:val="auto"/>
          <w:lang w:eastAsia="en-US"/>
        </w:rPr>
        <w:t xml:space="preserve">Taking into account the obligation to faithfully present the economic substance of the underlying situation as required by both EAR and IPSAS, IPSAS 39 has not been interpreted in a stricter sense when attributing the benefits to the periods of service. If the service cost were to be accrued for the JSIS scheme fully over 10 years for all officials, as opposed to the period of active service of the employee, the impact of such an approach on the defined benefit obligation at year-end would be an increase of EUR </w:t>
      </w:r>
      <w:r>
        <w:rPr>
          <w:rFonts w:eastAsia="Calibri"/>
          <w:noProof/>
          <w:color w:val="auto"/>
          <w:lang w:eastAsia="en-US"/>
        </w:rPr>
        <w:t>0.8</w:t>
      </w:r>
      <w:r w:rsidRPr="00EC219D">
        <w:rPr>
          <w:rFonts w:eastAsia="Calibri"/>
          <w:noProof/>
          <w:color w:val="auto"/>
          <w:lang w:eastAsia="en-US"/>
        </w:rPr>
        <w:t xml:space="preserve"> billion. However, as already indicated, this stricter approach would not be compatible with the qualitative characteristic of faithful representation, and thus would not be deemed to provide reliable information in accordance with EAR 1 and the IPSAS Conceptual Framework. This estimate is highly sensitive to the evolution of current staff administrative status (in particular, the number of fixed-term contract members assumed to become officials in the future</w:t>
      </w:r>
      <w:r w:rsidR="00575F2B" w:rsidRPr="001D7399">
        <w:rPr>
          <w:rFonts w:eastAsia="Calibri"/>
          <w:noProof/>
          <w:color w:val="auto"/>
          <w:lang w:eastAsia="en-US"/>
        </w:rPr>
        <w:t>).</w:t>
      </w:r>
    </w:p>
    <w:p w14:paraId="3802BF03" w14:textId="77777777" w:rsidR="00BC0E8C" w:rsidRPr="006709D8" w:rsidRDefault="00023E71" w:rsidP="00172034">
      <w:pPr>
        <w:pStyle w:val="HEADER3NOTES"/>
        <w:numPr>
          <w:ilvl w:val="2"/>
          <w:numId w:val="15"/>
        </w:numPr>
        <w:rPr>
          <w:noProof/>
        </w:rPr>
      </w:pPr>
      <w:r w:rsidRPr="002C6EBF">
        <w:rPr>
          <w:noProof/>
        </w:rPr>
        <w:t>Movement in present value of employee benefits defined benefit obligation</w:t>
      </w:r>
    </w:p>
    <w:p w14:paraId="5C66AFDA" w14:textId="77777777" w:rsidR="00CF7BD9" w:rsidRDefault="00023E71" w:rsidP="00727BFD">
      <w:pPr>
        <w:pStyle w:val="DGTextstand-alone"/>
        <w:rPr>
          <w:lang w:bidi="en-GB"/>
        </w:rPr>
      </w:pPr>
      <w:r>
        <w:rPr>
          <w:lang w:bidi="en-GB"/>
        </w:rPr>
        <w:t>The present value of the defined benefit obligation is the discounted expected future payments required to settle the obligation resulting from employee service in the current and prior periods.</w:t>
      </w:r>
    </w:p>
    <w:p w14:paraId="6A752F43" w14:textId="77777777" w:rsidR="00BC0E8C" w:rsidRDefault="00023E71" w:rsidP="00727BFD">
      <w:pPr>
        <w:pStyle w:val="DGTextstand-alone"/>
        <w:rPr>
          <w:lang w:bidi="en-GB"/>
        </w:rPr>
      </w:pPr>
      <w:r>
        <w:rPr>
          <w:lang w:bidi="en-GB"/>
        </w:rPr>
        <w:t>An analysis of the current year movement in the defined benefit obligation is presented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0"/>
        <w:gridCol w:w="1615"/>
        <w:gridCol w:w="1615"/>
        <w:gridCol w:w="1616"/>
        <w:gridCol w:w="1152"/>
      </w:tblGrid>
      <w:tr w:rsidR="00807FFE" w14:paraId="68976101" w14:textId="77777777">
        <w:trPr>
          <w:trHeight w:val="255"/>
        </w:trPr>
        <w:tc>
          <w:tcPr>
            <w:tcW w:w="3760" w:type="dxa"/>
            <w:tcBorders>
              <w:top w:val="nil"/>
              <w:left w:val="nil"/>
              <w:bottom w:val="nil"/>
              <w:right w:val="nil"/>
              <w:tl2br w:val="nil"/>
              <w:tr2bl w:val="nil"/>
            </w:tcBorders>
            <w:tcMar>
              <w:left w:w="60" w:type="dxa"/>
              <w:right w:w="60" w:type="dxa"/>
            </w:tcMar>
            <w:vAlign w:val="bottom"/>
          </w:tcPr>
          <w:p w14:paraId="2CA2FADA" w14:textId="77777777" w:rsidR="00807FFE" w:rsidRDefault="00807FFE">
            <w:pPr>
              <w:pStyle w:val="DMETW36768BIPPENS2"/>
              <w:rPr>
                <w:rFonts w:ascii="Arial" w:eastAsia="Arial" w:hAnsi="Arial" w:cs="Arial"/>
                <w:noProof/>
                <w:color w:val="000000"/>
                <w:lang w:bidi="en-GB"/>
              </w:rPr>
            </w:pPr>
            <w:bookmarkStart w:id="147" w:name="DOC_TBL00045_1_1"/>
            <w:bookmarkEnd w:id="147"/>
          </w:p>
        </w:tc>
        <w:tc>
          <w:tcPr>
            <w:tcW w:w="1615" w:type="dxa"/>
            <w:tcBorders>
              <w:top w:val="nil"/>
              <w:left w:val="nil"/>
              <w:bottom w:val="nil"/>
              <w:right w:val="nil"/>
              <w:tl2br w:val="nil"/>
              <w:tr2bl w:val="nil"/>
            </w:tcBorders>
            <w:tcMar>
              <w:left w:w="60" w:type="dxa"/>
              <w:right w:w="60" w:type="dxa"/>
            </w:tcMar>
            <w:vAlign w:val="bottom"/>
          </w:tcPr>
          <w:p w14:paraId="037E4B0D" w14:textId="77777777" w:rsidR="00807FFE" w:rsidRDefault="00807FFE">
            <w:pPr>
              <w:pStyle w:val="DMETW36768BIPPENS2"/>
              <w:rPr>
                <w:rFonts w:ascii="Arial" w:eastAsia="Arial" w:hAnsi="Arial" w:cs="Arial"/>
                <w:noProof/>
                <w:color w:val="000000"/>
              </w:rPr>
            </w:pPr>
          </w:p>
        </w:tc>
        <w:tc>
          <w:tcPr>
            <w:tcW w:w="1615" w:type="dxa"/>
            <w:tcBorders>
              <w:top w:val="nil"/>
              <w:left w:val="nil"/>
              <w:bottom w:val="nil"/>
              <w:right w:val="nil"/>
              <w:tl2br w:val="nil"/>
              <w:tr2bl w:val="nil"/>
            </w:tcBorders>
            <w:tcMar>
              <w:left w:w="60" w:type="dxa"/>
              <w:right w:w="60" w:type="dxa"/>
            </w:tcMar>
            <w:vAlign w:val="bottom"/>
          </w:tcPr>
          <w:p w14:paraId="1F11DAA3" w14:textId="77777777" w:rsidR="00807FFE" w:rsidRDefault="00807FFE">
            <w:pPr>
              <w:pStyle w:val="DMETW36768BIPPENS2"/>
              <w:rPr>
                <w:rFonts w:ascii="Arial" w:eastAsia="Arial" w:hAnsi="Arial" w:cs="Arial"/>
                <w:noProof/>
                <w:color w:val="000000"/>
              </w:rPr>
            </w:pPr>
          </w:p>
        </w:tc>
        <w:tc>
          <w:tcPr>
            <w:tcW w:w="1616" w:type="dxa"/>
            <w:tcBorders>
              <w:top w:val="nil"/>
              <w:left w:val="nil"/>
              <w:bottom w:val="nil"/>
              <w:right w:val="nil"/>
              <w:tl2br w:val="nil"/>
              <w:tr2bl w:val="nil"/>
            </w:tcBorders>
            <w:tcMar>
              <w:left w:w="60" w:type="dxa"/>
              <w:right w:w="60" w:type="dxa"/>
            </w:tcMar>
            <w:vAlign w:val="bottom"/>
          </w:tcPr>
          <w:p w14:paraId="0AFD5970" w14:textId="77777777" w:rsidR="00807FFE" w:rsidRDefault="00807FFE">
            <w:pPr>
              <w:pStyle w:val="DMETW36768BIPPENS2"/>
              <w:rPr>
                <w:rFonts w:ascii="Arial" w:eastAsia="Arial" w:hAnsi="Arial" w:cs="Arial"/>
                <w:noProof/>
                <w:color w:val="000000"/>
              </w:rPr>
            </w:pPr>
          </w:p>
        </w:tc>
        <w:tc>
          <w:tcPr>
            <w:tcW w:w="1152" w:type="dxa"/>
            <w:tcBorders>
              <w:top w:val="nil"/>
              <w:left w:val="nil"/>
              <w:bottom w:val="nil"/>
              <w:right w:val="nil"/>
              <w:tl2br w:val="nil"/>
              <w:tr2bl w:val="nil"/>
            </w:tcBorders>
            <w:tcMar>
              <w:left w:w="60" w:type="dxa"/>
              <w:right w:w="60" w:type="dxa"/>
            </w:tcMar>
            <w:vAlign w:val="bottom"/>
          </w:tcPr>
          <w:p w14:paraId="345CD656" w14:textId="77777777" w:rsidR="00807FFE" w:rsidRDefault="00023E71">
            <w:pPr>
              <w:pStyle w:val="DMETW36768BIPPENS2"/>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452E78B" w14:textId="77777777">
        <w:trPr>
          <w:trHeight w:val="255"/>
        </w:trPr>
        <w:tc>
          <w:tcPr>
            <w:tcW w:w="3760" w:type="dxa"/>
            <w:tcBorders>
              <w:top w:val="nil"/>
              <w:left w:val="nil"/>
              <w:bottom w:val="nil"/>
              <w:right w:val="nil"/>
              <w:tl2br w:val="nil"/>
              <w:tr2bl w:val="nil"/>
            </w:tcBorders>
            <w:shd w:val="solid" w:color="016794" w:fill="FFFFFF"/>
            <w:tcMar>
              <w:left w:w="60" w:type="dxa"/>
              <w:right w:w="60" w:type="dxa"/>
            </w:tcMar>
            <w:vAlign w:val="center"/>
          </w:tcPr>
          <w:p w14:paraId="1271534F" w14:textId="77777777" w:rsidR="00807FFE" w:rsidRDefault="00807FFE">
            <w:pPr>
              <w:pStyle w:val="DMETW36768BIPPENS2"/>
              <w:jc w:val="right"/>
              <w:rPr>
                <w:rFonts w:ascii="Verdana" w:eastAsia="Verdana" w:hAnsi="Verdana" w:cs="Verdana"/>
                <w:noProof/>
                <w:color w:val="FFFFFF"/>
                <w:sz w:val="18"/>
              </w:rPr>
            </w:pPr>
          </w:p>
        </w:tc>
        <w:tc>
          <w:tcPr>
            <w:tcW w:w="1615" w:type="dxa"/>
            <w:tcBorders>
              <w:top w:val="nil"/>
              <w:left w:val="nil"/>
              <w:bottom w:val="nil"/>
              <w:right w:val="nil"/>
              <w:tl2br w:val="nil"/>
              <w:tr2bl w:val="nil"/>
            </w:tcBorders>
            <w:shd w:val="solid" w:color="016794" w:fill="FFFFFF"/>
            <w:tcMar>
              <w:left w:w="60" w:type="dxa"/>
              <w:right w:w="60" w:type="dxa"/>
            </w:tcMar>
          </w:tcPr>
          <w:p w14:paraId="2095BF6A" w14:textId="77777777" w:rsidR="00807FFE" w:rsidRDefault="00023E71">
            <w:pPr>
              <w:pStyle w:val="DMETW36768BIPPENS2"/>
              <w:jc w:val="right"/>
              <w:rPr>
                <w:rFonts w:ascii="Verdana" w:eastAsia="Verdana" w:hAnsi="Verdana" w:cs="Verdana"/>
                <w:noProof/>
                <w:color w:val="FFFFFF"/>
                <w:sz w:val="18"/>
              </w:rPr>
            </w:pPr>
            <w:r>
              <w:rPr>
                <w:rFonts w:ascii="Verdana" w:eastAsia="Verdana" w:hAnsi="Verdana" w:cs="Verdana"/>
                <w:noProof/>
                <w:color w:val="FFFFFF"/>
                <w:sz w:val="18"/>
              </w:rPr>
              <w:t xml:space="preserve">Pension Scheme of European Officials </w:t>
            </w:r>
          </w:p>
        </w:tc>
        <w:tc>
          <w:tcPr>
            <w:tcW w:w="1615" w:type="dxa"/>
            <w:tcBorders>
              <w:top w:val="nil"/>
              <w:left w:val="nil"/>
              <w:bottom w:val="nil"/>
              <w:right w:val="nil"/>
              <w:tl2br w:val="nil"/>
              <w:tr2bl w:val="nil"/>
            </w:tcBorders>
            <w:shd w:val="solid" w:color="016794" w:fill="FFFFFF"/>
            <w:tcMar>
              <w:left w:w="60" w:type="dxa"/>
              <w:right w:w="60" w:type="dxa"/>
            </w:tcMar>
          </w:tcPr>
          <w:p w14:paraId="2BDD0473" w14:textId="77777777" w:rsidR="00807FFE" w:rsidRDefault="00023E71">
            <w:pPr>
              <w:pStyle w:val="DMETW36768BIPPENS2"/>
              <w:jc w:val="right"/>
              <w:rPr>
                <w:rFonts w:ascii="Verdana" w:eastAsia="Verdana" w:hAnsi="Verdana" w:cs="Verdana"/>
                <w:noProof/>
                <w:color w:val="FFFFFF"/>
                <w:sz w:val="18"/>
              </w:rPr>
            </w:pPr>
            <w:r>
              <w:rPr>
                <w:rFonts w:ascii="Verdana" w:eastAsia="Verdana" w:hAnsi="Verdana" w:cs="Verdana"/>
                <w:noProof/>
                <w:color w:val="FFFFFF"/>
                <w:sz w:val="18"/>
              </w:rPr>
              <w:t>Other retirement benefit schemes</w:t>
            </w:r>
          </w:p>
        </w:tc>
        <w:tc>
          <w:tcPr>
            <w:tcW w:w="1616" w:type="dxa"/>
            <w:tcBorders>
              <w:top w:val="nil"/>
              <w:left w:val="nil"/>
              <w:bottom w:val="nil"/>
              <w:right w:val="nil"/>
              <w:tl2br w:val="nil"/>
              <w:tr2bl w:val="nil"/>
            </w:tcBorders>
            <w:shd w:val="solid" w:color="016794" w:fill="FFFFFF"/>
            <w:tcMar>
              <w:left w:w="60" w:type="dxa"/>
              <w:right w:w="60" w:type="dxa"/>
            </w:tcMar>
          </w:tcPr>
          <w:p w14:paraId="5900796E" w14:textId="77777777" w:rsidR="00807FFE" w:rsidRDefault="00023E71">
            <w:pPr>
              <w:pStyle w:val="DMETW36768BIPPENS2"/>
              <w:jc w:val="right"/>
              <w:rPr>
                <w:rFonts w:ascii="Verdana" w:eastAsia="Verdana" w:hAnsi="Verdana" w:cs="Verdana"/>
                <w:noProof/>
                <w:color w:val="FFFFFF"/>
                <w:sz w:val="18"/>
              </w:rPr>
            </w:pPr>
            <w:r>
              <w:rPr>
                <w:rFonts w:ascii="Verdana" w:eastAsia="Verdana" w:hAnsi="Verdana" w:cs="Verdana"/>
                <w:noProof/>
                <w:color w:val="FFFFFF"/>
                <w:sz w:val="18"/>
              </w:rPr>
              <w:t>Joint Sickness Insurance Scheme</w:t>
            </w:r>
          </w:p>
        </w:tc>
        <w:tc>
          <w:tcPr>
            <w:tcW w:w="1152" w:type="dxa"/>
            <w:tcBorders>
              <w:top w:val="nil"/>
              <w:left w:val="nil"/>
              <w:bottom w:val="nil"/>
              <w:right w:val="nil"/>
              <w:tl2br w:val="nil"/>
              <w:tr2bl w:val="nil"/>
            </w:tcBorders>
            <w:shd w:val="solid" w:color="016794" w:fill="FFFFFF"/>
            <w:tcMar>
              <w:left w:w="60" w:type="dxa"/>
              <w:right w:w="60" w:type="dxa"/>
            </w:tcMar>
          </w:tcPr>
          <w:p w14:paraId="023F6002" w14:textId="77777777" w:rsidR="00807FFE" w:rsidRDefault="00023E71">
            <w:pPr>
              <w:pStyle w:val="DMETW36768BIPPENS2"/>
              <w:jc w:val="right"/>
              <w:rPr>
                <w:rFonts w:ascii="Verdana" w:eastAsia="Verdana" w:hAnsi="Verdana" w:cs="Verdana"/>
                <w:noProof/>
                <w:color w:val="FFFFFF"/>
                <w:sz w:val="18"/>
                <w:lang w:bidi="en-GB"/>
              </w:rPr>
            </w:pPr>
            <w:r>
              <w:rPr>
                <w:rFonts w:ascii="Verdana" w:eastAsia="Verdana" w:hAnsi="Verdana" w:cs="Verdana"/>
                <w:noProof/>
                <w:color w:val="FFFFFF"/>
                <w:sz w:val="18"/>
              </w:rPr>
              <w:t>Total</w:t>
            </w:r>
          </w:p>
        </w:tc>
      </w:tr>
      <w:tr w:rsidR="00807FFE" w14:paraId="39ED02BE" w14:textId="77777777">
        <w:trPr>
          <w:trHeight w:val="255"/>
        </w:trPr>
        <w:tc>
          <w:tcPr>
            <w:tcW w:w="3760" w:type="dxa"/>
            <w:tcBorders>
              <w:top w:val="nil"/>
              <w:left w:val="nil"/>
              <w:bottom w:val="single" w:sz="4" w:space="0" w:color="016794"/>
              <w:right w:val="nil"/>
              <w:tl2br w:val="nil"/>
              <w:tr2bl w:val="nil"/>
            </w:tcBorders>
            <w:tcMar>
              <w:left w:w="60" w:type="dxa"/>
              <w:right w:w="60" w:type="dxa"/>
            </w:tcMar>
            <w:vAlign w:val="center"/>
          </w:tcPr>
          <w:p w14:paraId="0B89AFE5" w14:textId="77777777" w:rsidR="00807FFE" w:rsidRDefault="00023E71">
            <w:pPr>
              <w:pStyle w:val="DMETW36768BIPPENS2"/>
              <w:rPr>
                <w:rFonts w:ascii="Verdana" w:eastAsia="Verdana" w:hAnsi="Verdana" w:cs="Verdana"/>
                <w:b/>
                <w:noProof/>
                <w:color w:val="000000"/>
                <w:sz w:val="18"/>
              </w:rPr>
            </w:pPr>
            <w:r>
              <w:rPr>
                <w:rFonts w:ascii="Verdana" w:eastAsia="Verdana" w:hAnsi="Verdana" w:cs="Verdana"/>
                <w:b/>
                <w:noProof/>
                <w:color w:val="000000"/>
                <w:sz w:val="18"/>
              </w:rPr>
              <w:t>Present value as at 31.12.2024</w:t>
            </w:r>
          </w:p>
        </w:tc>
        <w:tc>
          <w:tcPr>
            <w:tcW w:w="1615" w:type="dxa"/>
            <w:tcBorders>
              <w:top w:val="nil"/>
              <w:left w:val="nil"/>
              <w:bottom w:val="single" w:sz="4" w:space="0" w:color="016794"/>
              <w:right w:val="nil"/>
              <w:tl2br w:val="nil"/>
              <w:tr2bl w:val="nil"/>
            </w:tcBorders>
            <w:tcMar>
              <w:left w:w="60" w:type="dxa"/>
              <w:right w:w="60" w:type="dxa"/>
            </w:tcMar>
            <w:vAlign w:val="center"/>
          </w:tcPr>
          <w:p w14:paraId="3C2D99FE" w14:textId="77777777" w:rsidR="00807FFE" w:rsidRDefault="00023E71">
            <w:pPr>
              <w:pStyle w:val="DMETW36768BIPPENS2"/>
              <w:jc w:val="right"/>
              <w:rPr>
                <w:rFonts w:ascii="Verdana" w:eastAsia="Verdana" w:hAnsi="Verdana" w:cs="Verdana"/>
                <w:b/>
                <w:noProof/>
                <w:color w:val="000000"/>
                <w:sz w:val="18"/>
              </w:rPr>
            </w:pPr>
            <w:r>
              <w:rPr>
                <w:rFonts w:ascii="Verdana" w:eastAsia="Verdana" w:hAnsi="Verdana" w:cs="Verdana"/>
                <w:b/>
                <w:noProof/>
                <w:color w:val="000000"/>
                <w:sz w:val="18"/>
              </w:rPr>
              <w:t>84 765</w:t>
            </w:r>
          </w:p>
        </w:tc>
        <w:tc>
          <w:tcPr>
            <w:tcW w:w="1615" w:type="dxa"/>
            <w:tcBorders>
              <w:top w:val="nil"/>
              <w:left w:val="nil"/>
              <w:bottom w:val="single" w:sz="4" w:space="0" w:color="016794"/>
              <w:right w:val="nil"/>
              <w:tl2br w:val="nil"/>
              <w:tr2bl w:val="nil"/>
            </w:tcBorders>
            <w:tcMar>
              <w:left w:w="60" w:type="dxa"/>
              <w:right w:w="60" w:type="dxa"/>
            </w:tcMar>
            <w:vAlign w:val="center"/>
          </w:tcPr>
          <w:p w14:paraId="3C7968C9" w14:textId="77777777" w:rsidR="00807FFE" w:rsidRDefault="00023E71">
            <w:pPr>
              <w:pStyle w:val="DMETW36768BIPPENS2"/>
              <w:jc w:val="right"/>
              <w:rPr>
                <w:rFonts w:ascii="Verdana" w:eastAsia="Verdana" w:hAnsi="Verdana" w:cs="Verdana"/>
                <w:b/>
                <w:noProof/>
                <w:color w:val="000000"/>
                <w:sz w:val="18"/>
              </w:rPr>
            </w:pPr>
            <w:r>
              <w:rPr>
                <w:rFonts w:ascii="Verdana" w:eastAsia="Verdana" w:hAnsi="Verdana" w:cs="Verdana"/>
                <w:b/>
                <w:noProof/>
                <w:color w:val="000000"/>
                <w:sz w:val="18"/>
              </w:rPr>
              <w:t>1 942</w:t>
            </w:r>
          </w:p>
        </w:tc>
        <w:tc>
          <w:tcPr>
            <w:tcW w:w="1616" w:type="dxa"/>
            <w:tcBorders>
              <w:top w:val="nil"/>
              <w:left w:val="nil"/>
              <w:bottom w:val="single" w:sz="4" w:space="0" w:color="016794"/>
              <w:right w:val="nil"/>
              <w:tl2br w:val="nil"/>
              <w:tr2bl w:val="nil"/>
            </w:tcBorders>
            <w:tcMar>
              <w:left w:w="60" w:type="dxa"/>
              <w:right w:w="60" w:type="dxa"/>
            </w:tcMar>
            <w:vAlign w:val="center"/>
          </w:tcPr>
          <w:p w14:paraId="18B5B3C0" w14:textId="77777777" w:rsidR="00807FFE" w:rsidRDefault="00023E71">
            <w:pPr>
              <w:pStyle w:val="DMETW36768BIPPENS2"/>
              <w:jc w:val="right"/>
              <w:rPr>
                <w:rFonts w:ascii="Verdana" w:eastAsia="Verdana" w:hAnsi="Verdana" w:cs="Verdana"/>
                <w:b/>
                <w:noProof/>
                <w:color w:val="000000"/>
                <w:sz w:val="18"/>
              </w:rPr>
            </w:pPr>
            <w:r>
              <w:rPr>
                <w:rFonts w:ascii="Verdana" w:eastAsia="Verdana" w:hAnsi="Verdana" w:cs="Verdana"/>
                <w:b/>
                <w:noProof/>
                <w:color w:val="000000"/>
                <w:sz w:val="18"/>
              </w:rPr>
              <w:t>6 850</w:t>
            </w:r>
          </w:p>
        </w:tc>
        <w:tc>
          <w:tcPr>
            <w:tcW w:w="1152" w:type="dxa"/>
            <w:tcBorders>
              <w:top w:val="nil"/>
              <w:left w:val="nil"/>
              <w:bottom w:val="single" w:sz="4" w:space="0" w:color="016794"/>
              <w:right w:val="nil"/>
              <w:tl2br w:val="nil"/>
              <w:tr2bl w:val="nil"/>
            </w:tcBorders>
            <w:tcMar>
              <w:left w:w="60" w:type="dxa"/>
              <w:right w:w="60" w:type="dxa"/>
            </w:tcMar>
            <w:vAlign w:val="center"/>
          </w:tcPr>
          <w:p w14:paraId="0DBD803B" w14:textId="77777777" w:rsidR="00807FFE" w:rsidRDefault="00023E71">
            <w:pPr>
              <w:pStyle w:val="DMETW36768BIPPENS2"/>
              <w:jc w:val="right"/>
              <w:rPr>
                <w:rFonts w:ascii="Verdana" w:eastAsia="Verdana" w:hAnsi="Verdana" w:cs="Verdana"/>
                <w:b/>
                <w:noProof/>
                <w:color w:val="000000"/>
                <w:sz w:val="18"/>
                <w:lang w:bidi="en-GB"/>
              </w:rPr>
            </w:pPr>
            <w:r>
              <w:rPr>
                <w:rFonts w:ascii="Verdana" w:eastAsia="Verdana" w:hAnsi="Verdana" w:cs="Verdana"/>
                <w:b/>
                <w:noProof/>
                <w:color w:val="000000"/>
                <w:sz w:val="18"/>
              </w:rPr>
              <w:t>93 557</w:t>
            </w:r>
          </w:p>
        </w:tc>
      </w:tr>
      <w:tr w:rsidR="00807FFE" w14:paraId="5C0D982A" w14:textId="77777777">
        <w:trPr>
          <w:trHeight w:val="255"/>
        </w:trPr>
        <w:tc>
          <w:tcPr>
            <w:tcW w:w="3760" w:type="dxa"/>
            <w:tcBorders>
              <w:top w:val="single" w:sz="4" w:space="0" w:color="016794"/>
              <w:left w:val="nil"/>
              <w:bottom w:val="nil"/>
              <w:right w:val="nil"/>
              <w:tl2br w:val="nil"/>
              <w:tr2bl w:val="nil"/>
            </w:tcBorders>
            <w:tcMar>
              <w:left w:w="60" w:type="dxa"/>
              <w:right w:w="60" w:type="dxa"/>
            </w:tcMar>
            <w:vAlign w:val="center"/>
          </w:tcPr>
          <w:p w14:paraId="548F0C69" w14:textId="77777777" w:rsidR="00807FFE" w:rsidRDefault="00023E71">
            <w:pPr>
              <w:pStyle w:val="DMETW36768BIPPENS2"/>
              <w:rPr>
                <w:rFonts w:ascii="Verdana" w:eastAsia="Verdana" w:hAnsi="Verdana" w:cs="Verdana"/>
                <w:b/>
                <w:noProof/>
                <w:color w:val="000000"/>
                <w:sz w:val="18"/>
              </w:rPr>
            </w:pPr>
            <w:r>
              <w:rPr>
                <w:rFonts w:ascii="Verdana" w:eastAsia="Verdana" w:hAnsi="Verdana" w:cs="Verdana"/>
                <w:b/>
                <w:noProof/>
                <w:color w:val="000000"/>
                <w:sz w:val="18"/>
              </w:rPr>
              <w:t>Recognised in statement of financial performance</w:t>
            </w:r>
          </w:p>
        </w:tc>
        <w:tc>
          <w:tcPr>
            <w:tcW w:w="1615" w:type="dxa"/>
            <w:tcBorders>
              <w:top w:val="single" w:sz="4" w:space="0" w:color="016794"/>
              <w:left w:val="nil"/>
              <w:bottom w:val="nil"/>
              <w:right w:val="nil"/>
              <w:tl2br w:val="nil"/>
              <w:tr2bl w:val="nil"/>
            </w:tcBorders>
            <w:tcMar>
              <w:left w:w="60" w:type="dxa"/>
              <w:right w:w="60" w:type="dxa"/>
            </w:tcMar>
            <w:vAlign w:val="center"/>
          </w:tcPr>
          <w:p w14:paraId="0EDC0CBC" w14:textId="77777777" w:rsidR="00807FFE" w:rsidRDefault="00807FFE">
            <w:pPr>
              <w:pStyle w:val="DMETW36768BIPPENS2"/>
              <w:rPr>
                <w:rFonts w:ascii="Verdana" w:eastAsia="Verdana" w:hAnsi="Verdana" w:cs="Verdana"/>
                <w:b/>
                <w:noProof/>
                <w:color w:val="000000"/>
                <w:sz w:val="18"/>
              </w:rPr>
            </w:pPr>
          </w:p>
        </w:tc>
        <w:tc>
          <w:tcPr>
            <w:tcW w:w="1615" w:type="dxa"/>
            <w:tcBorders>
              <w:top w:val="single" w:sz="4" w:space="0" w:color="016794"/>
              <w:left w:val="nil"/>
              <w:bottom w:val="nil"/>
              <w:right w:val="nil"/>
              <w:tl2br w:val="nil"/>
              <w:tr2bl w:val="nil"/>
            </w:tcBorders>
            <w:tcMar>
              <w:left w:w="60" w:type="dxa"/>
              <w:right w:w="60" w:type="dxa"/>
            </w:tcMar>
            <w:vAlign w:val="center"/>
          </w:tcPr>
          <w:p w14:paraId="2AE1540D" w14:textId="77777777" w:rsidR="00807FFE" w:rsidRDefault="00807FFE">
            <w:pPr>
              <w:pStyle w:val="DMETW36768BIPPENS2"/>
              <w:rPr>
                <w:rFonts w:ascii="Verdana" w:eastAsia="Verdana" w:hAnsi="Verdana" w:cs="Verdana"/>
                <w:b/>
                <w:noProof/>
                <w:color w:val="000000"/>
                <w:sz w:val="18"/>
              </w:rPr>
            </w:pPr>
          </w:p>
        </w:tc>
        <w:tc>
          <w:tcPr>
            <w:tcW w:w="1616" w:type="dxa"/>
            <w:tcBorders>
              <w:top w:val="single" w:sz="4" w:space="0" w:color="016794"/>
              <w:left w:val="nil"/>
              <w:bottom w:val="nil"/>
              <w:right w:val="nil"/>
              <w:tl2br w:val="nil"/>
              <w:tr2bl w:val="nil"/>
            </w:tcBorders>
            <w:tcMar>
              <w:left w:w="60" w:type="dxa"/>
              <w:right w:w="60" w:type="dxa"/>
            </w:tcMar>
            <w:vAlign w:val="center"/>
          </w:tcPr>
          <w:p w14:paraId="216242B4" w14:textId="77777777" w:rsidR="00807FFE" w:rsidRDefault="00807FFE">
            <w:pPr>
              <w:pStyle w:val="DMETW36768BIPPENS2"/>
              <w:rPr>
                <w:rFonts w:ascii="Verdana" w:eastAsia="Verdana" w:hAnsi="Verdana" w:cs="Verdana"/>
                <w:b/>
                <w:noProof/>
                <w:color w:val="000000"/>
                <w:sz w:val="18"/>
              </w:rPr>
            </w:pPr>
          </w:p>
        </w:tc>
        <w:tc>
          <w:tcPr>
            <w:tcW w:w="1152" w:type="dxa"/>
            <w:tcBorders>
              <w:top w:val="single" w:sz="4" w:space="0" w:color="016794"/>
              <w:left w:val="nil"/>
              <w:bottom w:val="nil"/>
              <w:right w:val="nil"/>
              <w:tl2br w:val="nil"/>
              <w:tr2bl w:val="nil"/>
            </w:tcBorders>
            <w:tcMar>
              <w:left w:w="60" w:type="dxa"/>
              <w:right w:w="60" w:type="dxa"/>
            </w:tcMar>
            <w:vAlign w:val="center"/>
          </w:tcPr>
          <w:p w14:paraId="51A5ADE9" w14:textId="77777777" w:rsidR="00807FFE" w:rsidRDefault="00807FFE">
            <w:pPr>
              <w:pStyle w:val="DMETW36768BIPPENS2"/>
              <w:rPr>
                <w:rFonts w:ascii="Verdana" w:eastAsia="Verdana" w:hAnsi="Verdana" w:cs="Verdana"/>
                <w:b/>
                <w:noProof/>
                <w:color w:val="000000"/>
                <w:sz w:val="18"/>
                <w:lang w:bidi="en-GB"/>
              </w:rPr>
            </w:pPr>
          </w:p>
        </w:tc>
      </w:tr>
      <w:tr w:rsidR="00807FFE" w14:paraId="2610283A" w14:textId="77777777">
        <w:trPr>
          <w:trHeight w:val="255"/>
        </w:trPr>
        <w:tc>
          <w:tcPr>
            <w:tcW w:w="3760" w:type="dxa"/>
            <w:tcBorders>
              <w:top w:val="nil"/>
              <w:left w:val="nil"/>
              <w:bottom w:val="nil"/>
              <w:right w:val="nil"/>
              <w:tl2br w:val="nil"/>
              <w:tr2bl w:val="nil"/>
            </w:tcBorders>
            <w:tcMar>
              <w:left w:w="60" w:type="dxa"/>
              <w:right w:w="60" w:type="dxa"/>
            </w:tcMar>
            <w:vAlign w:val="center"/>
          </w:tcPr>
          <w:p w14:paraId="109358E7"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Current Service Cost</w:t>
            </w:r>
          </w:p>
        </w:tc>
        <w:tc>
          <w:tcPr>
            <w:tcW w:w="1615" w:type="dxa"/>
            <w:tcBorders>
              <w:top w:val="nil"/>
              <w:left w:val="nil"/>
              <w:bottom w:val="nil"/>
              <w:right w:val="nil"/>
              <w:tl2br w:val="nil"/>
              <w:tr2bl w:val="nil"/>
            </w:tcBorders>
            <w:tcMar>
              <w:left w:w="60" w:type="dxa"/>
              <w:right w:w="60" w:type="dxa"/>
            </w:tcMar>
            <w:vAlign w:val="center"/>
          </w:tcPr>
          <w:p w14:paraId="7FC660FE"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2 874</w:t>
            </w:r>
          </w:p>
        </w:tc>
        <w:tc>
          <w:tcPr>
            <w:tcW w:w="1615" w:type="dxa"/>
            <w:tcBorders>
              <w:top w:val="nil"/>
              <w:left w:val="nil"/>
              <w:bottom w:val="nil"/>
              <w:right w:val="nil"/>
              <w:tl2br w:val="nil"/>
              <w:tr2bl w:val="nil"/>
            </w:tcBorders>
            <w:tcMar>
              <w:left w:w="60" w:type="dxa"/>
              <w:right w:w="60" w:type="dxa"/>
            </w:tcMar>
            <w:vAlign w:val="center"/>
          </w:tcPr>
          <w:p w14:paraId="7883F09F"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77</w:t>
            </w:r>
          </w:p>
        </w:tc>
        <w:tc>
          <w:tcPr>
            <w:tcW w:w="1616" w:type="dxa"/>
            <w:tcBorders>
              <w:top w:val="nil"/>
              <w:left w:val="nil"/>
              <w:bottom w:val="nil"/>
              <w:right w:val="nil"/>
              <w:tl2br w:val="nil"/>
              <w:tr2bl w:val="nil"/>
            </w:tcBorders>
            <w:tcMar>
              <w:left w:w="60" w:type="dxa"/>
              <w:right w:w="60" w:type="dxa"/>
            </w:tcMar>
            <w:vAlign w:val="center"/>
          </w:tcPr>
          <w:p w14:paraId="78B309CE"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241</w:t>
            </w:r>
          </w:p>
        </w:tc>
        <w:tc>
          <w:tcPr>
            <w:tcW w:w="1152" w:type="dxa"/>
            <w:tcBorders>
              <w:top w:val="nil"/>
              <w:left w:val="nil"/>
              <w:bottom w:val="nil"/>
              <w:right w:val="nil"/>
              <w:tl2br w:val="nil"/>
              <w:tr2bl w:val="nil"/>
            </w:tcBorders>
            <w:tcMar>
              <w:left w:w="60" w:type="dxa"/>
              <w:right w:w="60" w:type="dxa"/>
            </w:tcMar>
            <w:vAlign w:val="center"/>
          </w:tcPr>
          <w:p w14:paraId="078C2265" w14:textId="77777777" w:rsidR="00807FFE" w:rsidRDefault="00023E71">
            <w:pPr>
              <w:pStyle w:val="DMETW36768BIPPENS2"/>
              <w:jc w:val="right"/>
              <w:rPr>
                <w:rFonts w:ascii="Verdana" w:eastAsia="Verdana" w:hAnsi="Verdana" w:cs="Verdana"/>
                <w:i/>
                <w:noProof/>
                <w:color w:val="000000"/>
                <w:sz w:val="18"/>
                <w:lang w:bidi="en-GB"/>
              </w:rPr>
            </w:pPr>
            <w:r>
              <w:rPr>
                <w:rFonts w:ascii="Verdana" w:eastAsia="Verdana" w:hAnsi="Verdana" w:cs="Verdana"/>
                <w:i/>
                <w:noProof/>
                <w:color w:val="000000"/>
                <w:sz w:val="18"/>
              </w:rPr>
              <w:t>3 192</w:t>
            </w:r>
          </w:p>
        </w:tc>
      </w:tr>
      <w:tr w:rsidR="00807FFE" w14:paraId="5E4A1C12" w14:textId="77777777">
        <w:trPr>
          <w:trHeight w:val="255"/>
        </w:trPr>
        <w:tc>
          <w:tcPr>
            <w:tcW w:w="3760" w:type="dxa"/>
            <w:tcBorders>
              <w:top w:val="nil"/>
              <w:left w:val="nil"/>
              <w:bottom w:val="nil"/>
              <w:right w:val="nil"/>
              <w:tl2br w:val="nil"/>
              <w:tr2bl w:val="nil"/>
            </w:tcBorders>
            <w:tcMar>
              <w:left w:w="60" w:type="dxa"/>
              <w:right w:w="60" w:type="dxa"/>
            </w:tcMar>
            <w:vAlign w:val="center"/>
          </w:tcPr>
          <w:p w14:paraId="54E40100"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Interest cost</w:t>
            </w:r>
          </w:p>
        </w:tc>
        <w:tc>
          <w:tcPr>
            <w:tcW w:w="1615" w:type="dxa"/>
            <w:tcBorders>
              <w:top w:val="nil"/>
              <w:left w:val="nil"/>
              <w:bottom w:val="nil"/>
              <w:right w:val="nil"/>
              <w:tl2br w:val="nil"/>
              <w:tr2bl w:val="nil"/>
            </w:tcBorders>
            <w:tcMar>
              <w:left w:w="60" w:type="dxa"/>
              <w:right w:w="60" w:type="dxa"/>
            </w:tcMar>
            <w:vAlign w:val="center"/>
          </w:tcPr>
          <w:p w14:paraId="4A07453A"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2 794</w:t>
            </w:r>
          </w:p>
        </w:tc>
        <w:tc>
          <w:tcPr>
            <w:tcW w:w="1615" w:type="dxa"/>
            <w:tcBorders>
              <w:top w:val="nil"/>
              <w:left w:val="nil"/>
              <w:bottom w:val="nil"/>
              <w:right w:val="nil"/>
              <w:tl2br w:val="nil"/>
              <w:tr2bl w:val="nil"/>
            </w:tcBorders>
            <w:tcMar>
              <w:left w:w="60" w:type="dxa"/>
              <w:right w:w="60" w:type="dxa"/>
            </w:tcMar>
            <w:vAlign w:val="center"/>
          </w:tcPr>
          <w:p w14:paraId="13F78EF3"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63</w:t>
            </w:r>
          </w:p>
        </w:tc>
        <w:tc>
          <w:tcPr>
            <w:tcW w:w="1616" w:type="dxa"/>
            <w:tcBorders>
              <w:top w:val="nil"/>
              <w:left w:val="nil"/>
              <w:bottom w:val="nil"/>
              <w:right w:val="nil"/>
              <w:tl2br w:val="nil"/>
              <w:tr2bl w:val="nil"/>
            </w:tcBorders>
            <w:tcMar>
              <w:left w:w="60" w:type="dxa"/>
              <w:right w:w="60" w:type="dxa"/>
            </w:tcMar>
            <w:vAlign w:val="center"/>
          </w:tcPr>
          <w:p w14:paraId="1B33C1B1"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226</w:t>
            </w:r>
          </w:p>
        </w:tc>
        <w:tc>
          <w:tcPr>
            <w:tcW w:w="1152" w:type="dxa"/>
            <w:tcBorders>
              <w:top w:val="nil"/>
              <w:left w:val="nil"/>
              <w:bottom w:val="nil"/>
              <w:right w:val="nil"/>
              <w:tl2br w:val="nil"/>
              <w:tr2bl w:val="nil"/>
            </w:tcBorders>
            <w:tcMar>
              <w:left w:w="60" w:type="dxa"/>
              <w:right w:w="60" w:type="dxa"/>
            </w:tcMar>
            <w:vAlign w:val="center"/>
          </w:tcPr>
          <w:p w14:paraId="2B9A6CBB" w14:textId="77777777" w:rsidR="00807FFE" w:rsidRDefault="00023E71">
            <w:pPr>
              <w:pStyle w:val="DMETW36768BIPPENS2"/>
              <w:jc w:val="right"/>
              <w:rPr>
                <w:rFonts w:ascii="Verdana" w:eastAsia="Verdana" w:hAnsi="Verdana" w:cs="Verdana"/>
                <w:i/>
                <w:noProof/>
                <w:color w:val="000000"/>
                <w:sz w:val="18"/>
                <w:lang w:bidi="en-GB"/>
              </w:rPr>
            </w:pPr>
            <w:r>
              <w:rPr>
                <w:rFonts w:ascii="Verdana" w:eastAsia="Verdana" w:hAnsi="Verdana" w:cs="Verdana"/>
                <w:i/>
                <w:noProof/>
                <w:color w:val="000000"/>
                <w:sz w:val="18"/>
              </w:rPr>
              <w:t>3 083</w:t>
            </w:r>
          </w:p>
        </w:tc>
      </w:tr>
      <w:tr w:rsidR="00807FFE" w14:paraId="39D19F5A" w14:textId="77777777">
        <w:trPr>
          <w:trHeight w:val="255"/>
        </w:trPr>
        <w:tc>
          <w:tcPr>
            <w:tcW w:w="3760" w:type="dxa"/>
            <w:tcBorders>
              <w:top w:val="nil"/>
              <w:left w:val="nil"/>
              <w:bottom w:val="nil"/>
              <w:right w:val="nil"/>
              <w:tl2br w:val="nil"/>
              <w:tr2bl w:val="nil"/>
            </w:tcBorders>
            <w:tcMar>
              <w:left w:w="60" w:type="dxa"/>
              <w:right w:w="60" w:type="dxa"/>
            </w:tcMar>
            <w:vAlign w:val="center"/>
          </w:tcPr>
          <w:p w14:paraId="5C23CC15" w14:textId="77777777" w:rsidR="00807FFE" w:rsidRDefault="00023E71">
            <w:pPr>
              <w:pStyle w:val="DMETW36768BIPPENS2"/>
              <w:rPr>
                <w:rFonts w:ascii="Verdana" w:eastAsia="Verdana" w:hAnsi="Verdana" w:cs="Verdana"/>
                <w:b/>
                <w:noProof/>
                <w:color w:val="000000"/>
                <w:sz w:val="18"/>
              </w:rPr>
            </w:pPr>
            <w:r>
              <w:rPr>
                <w:rFonts w:ascii="Verdana" w:eastAsia="Verdana" w:hAnsi="Verdana" w:cs="Verdana"/>
                <w:b/>
                <w:noProof/>
                <w:color w:val="000000"/>
                <w:sz w:val="18"/>
              </w:rPr>
              <w:t>Recognised in net assets</w:t>
            </w:r>
          </w:p>
        </w:tc>
        <w:tc>
          <w:tcPr>
            <w:tcW w:w="1615" w:type="dxa"/>
            <w:tcBorders>
              <w:top w:val="nil"/>
              <w:left w:val="nil"/>
              <w:bottom w:val="nil"/>
              <w:right w:val="nil"/>
              <w:tl2br w:val="nil"/>
              <w:tr2bl w:val="nil"/>
            </w:tcBorders>
            <w:tcMar>
              <w:left w:w="60" w:type="dxa"/>
              <w:right w:w="60" w:type="dxa"/>
            </w:tcMar>
            <w:vAlign w:val="center"/>
          </w:tcPr>
          <w:p w14:paraId="645930E5" w14:textId="77777777" w:rsidR="00807FFE" w:rsidRDefault="00807FFE">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14:paraId="4CB5B747" w14:textId="77777777" w:rsidR="00807FFE" w:rsidRDefault="00807FFE">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14:paraId="724502D2" w14:textId="77777777" w:rsidR="00807FFE" w:rsidRDefault="00807FFE">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14:paraId="5C8A1EEF" w14:textId="77777777" w:rsidR="00807FFE" w:rsidRDefault="00807FFE">
            <w:pPr>
              <w:pStyle w:val="DMETW36768BIPPENS2"/>
              <w:rPr>
                <w:rFonts w:ascii="Verdana" w:eastAsia="Verdana" w:hAnsi="Verdana" w:cs="Verdana"/>
                <w:b/>
                <w:noProof/>
                <w:color w:val="000000"/>
                <w:sz w:val="18"/>
                <w:lang w:bidi="en-GB"/>
              </w:rPr>
            </w:pPr>
          </w:p>
        </w:tc>
      </w:tr>
      <w:tr w:rsidR="00807FFE" w14:paraId="730C46FD" w14:textId="77777777">
        <w:trPr>
          <w:trHeight w:val="255"/>
        </w:trPr>
        <w:tc>
          <w:tcPr>
            <w:tcW w:w="3760" w:type="dxa"/>
            <w:tcBorders>
              <w:top w:val="nil"/>
              <w:left w:val="nil"/>
              <w:bottom w:val="nil"/>
              <w:right w:val="nil"/>
              <w:tl2br w:val="nil"/>
              <w:tr2bl w:val="nil"/>
            </w:tcBorders>
            <w:tcMar>
              <w:left w:w="60" w:type="dxa"/>
              <w:right w:w="60" w:type="dxa"/>
            </w:tcMar>
            <w:vAlign w:val="center"/>
          </w:tcPr>
          <w:p w14:paraId="39DB0215"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Remeasurements in employee benefits liabilities</w:t>
            </w:r>
          </w:p>
        </w:tc>
        <w:tc>
          <w:tcPr>
            <w:tcW w:w="1615" w:type="dxa"/>
            <w:tcBorders>
              <w:top w:val="nil"/>
              <w:left w:val="nil"/>
              <w:bottom w:val="nil"/>
              <w:right w:val="nil"/>
              <w:tl2br w:val="nil"/>
              <w:tr2bl w:val="nil"/>
            </w:tcBorders>
            <w:tcMar>
              <w:left w:w="60" w:type="dxa"/>
              <w:right w:w="60" w:type="dxa"/>
            </w:tcMar>
            <w:vAlign w:val="center"/>
          </w:tcPr>
          <w:p w14:paraId="21EBB6EC" w14:textId="77777777" w:rsidR="00807FFE" w:rsidRDefault="00807FFE">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14:paraId="6AD546A9" w14:textId="77777777" w:rsidR="00807FFE" w:rsidRDefault="00807FFE">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14:paraId="1304B3D0" w14:textId="77777777" w:rsidR="00807FFE" w:rsidRDefault="00807FFE">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14:paraId="3672F420" w14:textId="77777777" w:rsidR="00807FFE" w:rsidRDefault="00807FFE">
            <w:pPr>
              <w:pStyle w:val="DMETW36768BIPPENS2"/>
              <w:rPr>
                <w:rFonts w:ascii="Verdana" w:eastAsia="Verdana" w:hAnsi="Verdana" w:cs="Verdana"/>
                <w:b/>
                <w:noProof/>
                <w:color w:val="000000"/>
                <w:sz w:val="18"/>
                <w:lang w:bidi="en-GB"/>
              </w:rPr>
            </w:pPr>
          </w:p>
        </w:tc>
      </w:tr>
      <w:tr w:rsidR="00807FFE" w14:paraId="7A7EE59C" w14:textId="77777777">
        <w:trPr>
          <w:trHeight w:val="255"/>
        </w:trPr>
        <w:tc>
          <w:tcPr>
            <w:tcW w:w="3760" w:type="dxa"/>
            <w:tcBorders>
              <w:top w:val="nil"/>
              <w:left w:val="nil"/>
              <w:bottom w:val="nil"/>
              <w:right w:val="nil"/>
              <w:tl2br w:val="nil"/>
              <w:tr2bl w:val="nil"/>
            </w:tcBorders>
            <w:tcMar>
              <w:left w:w="60" w:type="dxa"/>
              <w:right w:w="60" w:type="dxa"/>
            </w:tcMar>
            <w:vAlign w:val="center"/>
          </w:tcPr>
          <w:p w14:paraId="390C502C"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 xml:space="preserve">     Actuarial (gains)/losses from</w:t>
            </w:r>
          </w:p>
          <w:p w14:paraId="286C6FFE"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 xml:space="preserve">     experience</w:t>
            </w:r>
          </w:p>
        </w:tc>
        <w:tc>
          <w:tcPr>
            <w:tcW w:w="1615" w:type="dxa"/>
            <w:tcBorders>
              <w:top w:val="nil"/>
              <w:left w:val="nil"/>
              <w:bottom w:val="nil"/>
              <w:right w:val="nil"/>
              <w:tl2br w:val="nil"/>
              <w:tr2bl w:val="nil"/>
            </w:tcBorders>
            <w:tcMar>
              <w:left w:w="60" w:type="dxa"/>
              <w:right w:w="60" w:type="dxa"/>
            </w:tcMar>
            <w:vAlign w:val="center"/>
          </w:tcPr>
          <w:p w14:paraId="63112C1A"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(1 498)</w:t>
            </w:r>
          </w:p>
        </w:tc>
        <w:tc>
          <w:tcPr>
            <w:tcW w:w="1615" w:type="dxa"/>
            <w:tcBorders>
              <w:top w:val="nil"/>
              <w:left w:val="nil"/>
              <w:bottom w:val="nil"/>
              <w:right w:val="nil"/>
              <w:tl2br w:val="nil"/>
              <w:tr2bl w:val="nil"/>
            </w:tcBorders>
            <w:tcMar>
              <w:left w:w="60" w:type="dxa"/>
              <w:right w:w="60" w:type="dxa"/>
            </w:tcMar>
            <w:vAlign w:val="center"/>
          </w:tcPr>
          <w:p w14:paraId="24D5D091"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17</w:t>
            </w:r>
          </w:p>
        </w:tc>
        <w:tc>
          <w:tcPr>
            <w:tcW w:w="1616" w:type="dxa"/>
            <w:tcBorders>
              <w:top w:val="nil"/>
              <w:left w:val="nil"/>
              <w:bottom w:val="nil"/>
              <w:right w:val="nil"/>
              <w:tl2br w:val="nil"/>
              <w:tr2bl w:val="nil"/>
            </w:tcBorders>
            <w:tcMar>
              <w:left w:w="60" w:type="dxa"/>
              <w:right w:w="60" w:type="dxa"/>
            </w:tcMar>
            <w:vAlign w:val="center"/>
          </w:tcPr>
          <w:p w14:paraId="39AF0C77"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(202)</w:t>
            </w:r>
          </w:p>
        </w:tc>
        <w:tc>
          <w:tcPr>
            <w:tcW w:w="1152" w:type="dxa"/>
            <w:tcBorders>
              <w:top w:val="nil"/>
              <w:left w:val="nil"/>
              <w:bottom w:val="nil"/>
              <w:right w:val="nil"/>
              <w:tl2br w:val="nil"/>
              <w:tr2bl w:val="nil"/>
            </w:tcBorders>
            <w:tcMar>
              <w:left w:w="60" w:type="dxa"/>
              <w:right w:w="60" w:type="dxa"/>
            </w:tcMar>
            <w:vAlign w:val="center"/>
          </w:tcPr>
          <w:p w14:paraId="0B7DF724" w14:textId="77777777" w:rsidR="00807FFE" w:rsidRDefault="00023E71">
            <w:pPr>
              <w:pStyle w:val="DMETW36768BIPPENS2"/>
              <w:jc w:val="right"/>
              <w:rPr>
                <w:rFonts w:ascii="Verdana" w:eastAsia="Verdana" w:hAnsi="Verdana" w:cs="Verdana"/>
                <w:i/>
                <w:noProof/>
                <w:color w:val="000000"/>
                <w:sz w:val="18"/>
                <w:lang w:bidi="en-GB"/>
              </w:rPr>
            </w:pPr>
            <w:r>
              <w:rPr>
                <w:rFonts w:ascii="Verdana" w:eastAsia="Verdana" w:hAnsi="Verdana" w:cs="Verdana"/>
                <w:i/>
                <w:noProof/>
                <w:color w:val="000000"/>
                <w:sz w:val="18"/>
              </w:rPr>
              <w:t>(1 683)</w:t>
            </w:r>
          </w:p>
        </w:tc>
      </w:tr>
      <w:tr w:rsidR="00807FFE" w14:paraId="63F61294" w14:textId="77777777">
        <w:trPr>
          <w:trHeight w:val="255"/>
        </w:trPr>
        <w:tc>
          <w:tcPr>
            <w:tcW w:w="3760" w:type="dxa"/>
            <w:tcBorders>
              <w:top w:val="nil"/>
              <w:left w:val="nil"/>
              <w:bottom w:val="nil"/>
              <w:right w:val="nil"/>
              <w:tl2br w:val="nil"/>
              <w:tr2bl w:val="nil"/>
            </w:tcBorders>
            <w:tcMar>
              <w:left w:w="60" w:type="dxa"/>
              <w:right w:w="60" w:type="dxa"/>
            </w:tcMar>
            <w:vAlign w:val="center"/>
          </w:tcPr>
          <w:p w14:paraId="713B8116"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 xml:space="preserve">     Actuarial (gains)/losses from </w:t>
            </w:r>
          </w:p>
          <w:p w14:paraId="12D42D18"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 xml:space="preserve">     demographic assumptions</w:t>
            </w:r>
          </w:p>
        </w:tc>
        <w:tc>
          <w:tcPr>
            <w:tcW w:w="1615" w:type="dxa"/>
            <w:tcBorders>
              <w:top w:val="nil"/>
              <w:left w:val="nil"/>
              <w:bottom w:val="nil"/>
              <w:right w:val="nil"/>
              <w:tl2br w:val="nil"/>
              <w:tr2bl w:val="nil"/>
            </w:tcBorders>
            <w:tcMar>
              <w:left w:w="60" w:type="dxa"/>
              <w:right w:w="60" w:type="dxa"/>
            </w:tcMar>
            <w:vAlign w:val="center"/>
          </w:tcPr>
          <w:p w14:paraId="70D2AE2F"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237</w:t>
            </w:r>
          </w:p>
        </w:tc>
        <w:tc>
          <w:tcPr>
            <w:tcW w:w="1615" w:type="dxa"/>
            <w:tcBorders>
              <w:top w:val="nil"/>
              <w:left w:val="nil"/>
              <w:bottom w:val="nil"/>
              <w:right w:val="nil"/>
              <w:tl2br w:val="nil"/>
              <w:tr2bl w:val="nil"/>
            </w:tcBorders>
            <w:tcMar>
              <w:left w:w="60" w:type="dxa"/>
              <w:right w:w="60" w:type="dxa"/>
            </w:tcMar>
            <w:vAlign w:val="center"/>
          </w:tcPr>
          <w:p w14:paraId="5D713151"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616" w:type="dxa"/>
            <w:tcBorders>
              <w:top w:val="nil"/>
              <w:left w:val="nil"/>
              <w:bottom w:val="nil"/>
              <w:right w:val="nil"/>
              <w:tl2br w:val="nil"/>
              <w:tr2bl w:val="nil"/>
            </w:tcBorders>
            <w:tcMar>
              <w:left w:w="60" w:type="dxa"/>
              <w:right w:w="60" w:type="dxa"/>
            </w:tcMar>
            <w:vAlign w:val="center"/>
          </w:tcPr>
          <w:p w14:paraId="5A7DCE29"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1152" w:type="dxa"/>
            <w:tcBorders>
              <w:top w:val="nil"/>
              <w:left w:val="nil"/>
              <w:bottom w:val="nil"/>
              <w:right w:val="nil"/>
              <w:tl2br w:val="nil"/>
              <w:tr2bl w:val="nil"/>
            </w:tcBorders>
            <w:tcMar>
              <w:left w:w="60" w:type="dxa"/>
              <w:right w:w="60" w:type="dxa"/>
            </w:tcMar>
            <w:vAlign w:val="center"/>
          </w:tcPr>
          <w:p w14:paraId="275ADDA7" w14:textId="77777777" w:rsidR="00807FFE" w:rsidRDefault="00023E71">
            <w:pPr>
              <w:pStyle w:val="DMETW36768BIPPENS2"/>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259</w:t>
            </w:r>
          </w:p>
        </w:tc>
      </w:tr>
      <w:tr w:rsidR="00807FFE" w14:paraId="41648B9F" w14:textId="77777777">
        <w:trPr>
          <w:trHeight w:val="255"/>
        </w:trPr>
        <w:tc>
          <w:tcPr>
            <w:tcW w:w="3760" w:type="dxa"/>
            <w:tcBorders>
              <w:top w:val="nil"/>
              <w:left w:val="nil"/>
              <w:bottom w:val="nil"/>
              <w:right w:val="nil"/>
              <w:tl2br w:val="nil"/>
              <w:tr2bl w:val="nil"/>
            </w:tcBorders>
            <w:tcMar>
              <w:left w:w="60" w:type="dxa"/>
              <w:right w:w="60" w:type="dxa"/>
            </w:tcMar>
            <w:vAlign w:val="center"/>
          </w:tcPr>
          <w:p w14:paraId="72339978"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 xml:space="preserve">     Actuarial (gains)/losses from</w:t>
            </w:r>
          </w:p>
          <w:p w14:paraId="40938B67"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 xml:space="preserve">     financial assumptions</w:t>
            </w:r>
          </w:p>
        </w:tc>
        <w:tc>
          <w:tcPr>
            <w:tcW w:w="1615" w:type="dxa"/>
            <w:tcBorders>
              <w:top w:val="nil"/>
              <w:left w:val="nil"/>
              <w:bottom w:val="nil"/>
              <w:right w:val="nil"/>
              <w:tl2br w:val="nil"/>
              <w:tr2bl w:val="nil"/>
            </w:tcBorders>
            <w:tcMar>
              <w:left w:w="60" w:type="dxa"/>
              <w:right w:w="60" w:type="dxa"/>
            </w:tcMar>
            <w:vAlign w:val="center"/>
          </w:tcPr>
          <w:p w14:paraId="7757BD2A"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(2 608)</w:t>
            </w:r>
          </w:p>
        </w:tc>
        <w:tc>
          <w:tcPr>
            <w:tcW w:w="1615" w:type="dxa"/>
            <w:tcBorders>
              <w:top w:val="nil"/>
              <w:left w:val="nil"/>
              <w:bottom w:val="nil"/>
              <w:right w:val="nil"/>
              <w:tl2br w:val="nil"/>
              <w:tr2bl w:val="nil"/>
            </w:tcBorders>
            <w:tcMar>
              <w:left w:w="60" w:type="dxa"/>
              <w:right w:w="60" w:type="dxa"/>
            </w:tcMar>
            <w:vAlign w:val="center"/>
          </w:tcPr>
          <w:p w14:paraId="7C00F0C9"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(134)</w:t>
            </w:r>
          </w:p>
        </w:tc>
        <w:tc>
          <w:tcPr>
            <w:tcW w:w="1616" w:type="dxa"/>
            <w:tcBorders>
              <w:top w:val="nil"/>
              <w:left w:val="nil"/>
              <w:bottom w:val="nil"/>
              <w:right w:val="nil"/>
              <w:tl2br w:val="nil"/>
              <w:tr2bl w:val="nil"/>
            </w:tcBorders>
            <w:tcMar>
              <w:left w:w="60" w:type="dxa"/>
              <w:right w:w="60" w:type="dxa"/>
            </w:tcMar>
            <w:vAlign w:val="center"/>
          </w:tcPr>
          <w:p w14:paraId="4B224B07"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(1 270)</w:t>
            </w:r>
          </w:p>
        </w:tc>
        <w:tc>
          <w:tcPr>
            <w:tcW w:w="1152" w:type="dxa"/>
            <w:tcBorders>
              <w:top w:val="nil"/>
              <w:left w:val="nil"/>
              <w:bottom w:val="nil"/>
              <w:right w:val="nil"/>
              <w:tl2br w:val="nil"/>
              <w:tr2bl w:val="nil"/>
            </w:tcBorders>
            <w:tcMar>
              <w:left w:w="60" w:type="dxa"/>
              <w:right w:w="60" w:type="dxa"/>
            </w:tcMar>
            <w:vAlign w:val="center"/>
          </w:tcPr>
          <w:p w14:paraId="7DA516B1" w14:textId="77777777" w:rsidR="00807FFE" w:rsidRDefault="00023E71">
            <w:pPr>
              <w:pStyle w:val="DMETW36768BIPPENS2"/>
              <w:jc w:val="right"/>
              <w:rPr>
                <w:rFonts w:ascii="Verdana" w:eastAsia="Verdana" w:hAnsi="Verdana" w:cs="Verdana"/>
                <w:i/>
                <w:noProof/>
                <w:color w:val="000000"/>
                <w:sz w:val="18"/>
                <w:lang w:bidi="en-GB"/>
              </w:rPr>
            </w:pPr>
            <w:r>
              <w:rPr>
                <w:rFonts w:ascii="Verdana" w:eastAsia="Verdana" w:hAnsi="Verdana" w:cs="Verdana"/>
                <w:i/>
                <w:noProof/>
                <w:color w:val="000000"/>
                <w:sz w:val="18"/>
              </w:rPr>
              <w:t>(4 012)</w:t>
            </w:r>
          </w:p>
        </w:tc>
      </w:tr>
      <w:tr w:rsidR="00807FFE" w14:paraId="1AD19D55" w14:textId="77777777">
        <w:trPr>
          <w:trHeight w:val="255"/>
        </w:trPr>
        <w:tc>
          <w:tcPr>
            <w:tcW w:w="3760" w:type="dxa"/>
            <w:tcBorders>
              <w:top w:val="nil"/>
              <w:left w:val="nil"/>
              <w:bottom w:val="nil"/>
              <w:right w:val="nil"/>
              <w:tl2br w:val="nil"/>
              <w:tr2bl w:val="nil"/>
            </w:tcBorders>
            <w:tcMar>
              <w:left w:w="60" w:type="dxa"/>
              <w:right w:w="60" w:type="dxa"/>
            </w:tcMar>
            <w:vAlign w:val="center"/>
          </w:tcPr>
          <w:p w14:paraId="494D2E66" w14:textId="77777777" w:rsidR="00807FFE" w:rsidRDefault="00023E71">
            <w:pPr>
              <w:pStyle w:val="DMETW36768BIPPENS2"/>
              <w:rPr>
                <w:rFonts w:ascii="Verdana" w:eastAsia="Verdana" w:hAnsi="Verdana" w:cs="Verdana"/>
                <w:b/>
                <w:noProof/>
                <w:color w:val="000000"/>
                <w:sz w:val="18"/>
              </w:rPr>
            </w:pPr>
            <w:r>
              <w:rPr>
                <w:rFonts w:ascii="Verdana" w:eastAsia="Verdana" w:hAnsi="Verdana" w:cs="Verdana"/>
                <w:b/>
                <w:noProof/>
                <w:color w:val="000000"/>
                <w:sz w:val="18"/>
              </w:rPr>
              <w:t>Other</w:t>
            </w:r>
          </w:p>
        </w:tc>
        <w:tc>
          <w:tcPr>
            <w:tcW w:w="1615" w:type="dxa"/>
            <w:tcBorders>
              <w:top w:val="nil"/>
              <w:left w:val="nil"/>
              <w:bottom w:val="nil"/>
              <w:right w:val="nil"/>
              <w:tl2br w:val="nil"/>
              <w:tr2bl w:val="nil"/>
            </w:tcBorders>
            <w:tcMar>
              <w:left w:w="60" w:type="dxa"/>
              <w:right w:w="60" w:type="dxa"/>
            </w:tcMar>
            <w:vAlign w:val="center"/>
          </w:tcPr>
          <w:p w14:paraId="30F9DE84" w14:textId="77777777" w:rsidR="00807FFE" w:rsidRDefault="00807FFE">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14:paraId="7CDA3129" w14:textId="77777777" w:rsidR="00807FFE" w:rsidRDefault="00807FFE">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14:paraId="599CEF79" w14:textId="77777777" w:rsidR="00807FFE" w:rsidRDefault="00807FFE">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14:paraId="749BDF47" w14:textId="77777777" w:rsidR="00807FFE" w:rsidRDefault="00807FFE">
            <w:pPr>
              <w:pStyle w:val="DMETW36768BIPPENS2"/>
              <w:rPr>
                <w:rFonts w:ascii="Verdana" w:eastAsia="Verdana" w:hAnsi="Verdana" w:cs="Verdana"/>
                <w:b/>
                <w:noProof/>
                <w:color w:val="000000"/>
                <w:sz w:val="18"/>
                <w:lang w:bidi="en-GB"/>
              </w:rPr>
            </w:pPr>
          </w:p>
        </w:tc>
      </w:tr>
      <w:tr w:rsidR="00807FFE" w14:paraId="2A6C992F" w14:textId="77777777">
        <w:trPr>
          <w:trHeight w:val="255"/>
        </w:trPr>
        <w:tc>
          <w:tcPr>
            <w:tcW w:w="3760" w:type="dxa"/>
            <w:tcBorders>
              <w:top w:val="nil"/>
              <w:left w:val="nil"/>
              <w:bottom w:val="single" w:sz="4" w:space="0" w:color="016794"/>
              <w:right w:val="nil"/>
              <w:tl2br w:val="nil"/>
              <w:tr2bl w:val="nil"/>
            </w:tcBorders>
            <w:tcMar>
              <w:left w:w="60" w:type="dxa"/>
              <w:right w:w="60" w:type="dxa"/>
            </w:tcMar>
            <w:vAlign w:val="center"/>
          </w:tcPr>
          <w:p w14:paraId="768D8723" w14:textId="77777777" w:rsidR="00807FFE" w:rsidRDefault="00023E71">
            <w:pPr>
              <w:pStyle w:val="DMETW36768BIPPENS2"/>
              <w:rPr>
                <w:rFonts w:ascii="Verdana" w:eastAsia="Verdana" w:hAnsi="Verdana" w:cs="Verdana"/>
                <w:i/>
                <w:noProof/>
                <w:color w:val="000000"/>
                <w:sz w:val="18"/>
              </w:rPr>
            </w:pPr>
            <w:r>
              <w:rPr>
                <w:rFonts w:ascii="Verdana" w:eastAsia="Verdana" w:hAnsi="Verdana" w:cs="Verdana"/>
                <w:i/>
                <w:noProof/>
                <w:color w:val="000000"/>
                <w:sz w:val="18"/>
              </w:rPr>
              <w:t>Benefits paid</w:t>
            </w:r>
          </w:p>
        </w:tc>
        <w:tc>
          <w:tcPr>
            <w:tcW w:w="1615" w:type="dxa"/>
            <w:tcBorders>
              <w:top w:val="nil"/>
              <w:left w:val="nil"/>
              <w:bottom w:val="single" w:sz="4" w:space="0" w:color="016794"/>
              <w:right w:val="nil"/>
              <w:tl2br w:val="nil"/>
              <w:tr2bl w:val="nil"/>
            </w:tcBorders>
            <w:tcMar>
              <w:left w:w="60" w:type="dxa"/>
              <w:right w:w="60" w:type="dxa"/>
            </w:tcMar>
            <w:vAlign w:val="center"/>
          </w:tcPr>
          <w:p w14:paraId="2E8651F0"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(2 567)</w:t>
            </w:r>
          </w:p>
        </w:tc>
        <w:tc>
          <w:tcPr>
            <w:tcW w:w="1615" w:type="dxa"/>
            <w:tcBorders>
              <w:top w:val="nil"/>
              <w:left w:val="nil"/>
              <w:bottom w:val="single" w:sz="4" w:space="0" w:color="016794"/>
              <w:right w:val="nil"/>
              <w:tl2br w:val="nil"/>
              <w:tr2bl w:val="nil"/>
            </w:tcBorders>
            <w:tcMar>
              <w:left w:w="60" w:type="dxa"/>
              <w:right w:w="60" w:type="dxa"/>
            </w:tcMar>
            <w:vAlign w:val="center"/>
          </w:tcPr>
          <w:p w14:paraId="7202205A"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(84)</w:t>
            </w:r>
          </w:p>
        </w:tc>
        <w:tc>
          <w:tcPr>
            <w:tcW w:w="1616" w:type="dxa"/>
            <w:tcBorders>
              <w:top w:val="nil"/>
              <w:left w:val="nil"/>
              <w:bottom w:val="single" w:sz="4" w:space="0" w:color="016794"/>
              <w:right w:val="nil"/>
              <w:tl2br w:val="nil"/>
              <w:tr2bl w:val="nil"/>
            </w:tcBorders>
            <w:tcMar>
              <w:left w:w="60" w:type="dxa"/>
              <w:right w:w="60" w:type="dxa"/>
            </w:tcMar>
            <w:vAlign w:val="center"/>
          </w:tcPr>
          <w:p w14:paraId="56A0176D" w14:textId="77777777" w:rsidR="00807FFE" w:rsidRDefault="00023E71">
            <w:pPr>
              <w:pStyle w:val="DMETW36768BIPPENS2"/>
              <w:jc w:val="right"/>
              <w:rPr>
                <w:rFonts w:ascii="Verdana" w:eastAsia="Verdana" w:hAnsi="Verdana" w:cs="Verdana"/>
                <w:i/>
                <w:noProof/>
                <w:color w:val="000000"/>
                <w:sz w:val="18"/>
              </w:rPr>
            </w:pPr>
            <w:r>
              <w:rPr>
                <w:rFonts w:ascii="Verdana" w:eastAsia="Verdana" w:hAnsi="Verdana" w:cs="Verdana"/>
                <w:i/>
                <w:noProof/>
                <w:color w:val="000000"/>
                <w:sz w:val="18"/>
              </w:rPr>
              <w:t xml:space="preserve"> (140)</w:t>
            </w:r>
          </w:p>
        </w:tc>
        <w:tc>
          <w:tcPr>
            <w:tcW w:w="1152" w:type="dxa"/>
            <w:tcBorders>
              <w:top w:val="nil"/>
              <w:left w:val="nil"/>
              <w:bottom w:val="single" w:sz="4" w:space="0" w:color="016794"/>
              <w:right w:val="nil"/>
              <w:tl2br w:val="nil"/>
              <w:tr2bl w:val="nil"/>
            </w:tcBorders>
            <w:tcMar>
              <w:left w:w="60" w:type="dxa"/>
              <w:right w:w="60" w:type="dxa"/>
            </w:tcMar>
            <w:vAlign w:val="center"/>
          </w:tcPr>
          <w:p w14:paraId="56AF9ED1" w14:textId="77777777" w:rsidR="00807FFE" w:rsidRDefault="00023E71">
            <w:pPr>
              <w:pStyle w:val="DMETW36768BIPPENS2"/>
              <w:jc w:val="right"/>
              <w:rPr>
                <w:rFonts w:ascii="Verdana" w:eastAsia="Verdana" w:hAnsi="Verdana" w:cs="Verdana"/>
                <w:i/>
                <w:noProof/>
                <w:color w:val="000000"/>
                <w:sz w:val="18"/>
                <w:lang w:bidi="en-GB"/>
              </w:rPr>
            </w:pPr>
            <w:r>
              <w:rPr>
                <w:rFonts w:ascii="Verdana" w:eastAsia="Verdana" w:hAnsi="Verdana" w:cs="Verdana"/>
                <w:i/>
                <w:noProof/>
                <w:color w:val="000000"/>
                <w:sz w:val="18"/>
              </w:rPr>
              <w:t>(2 791)</w:t>
            </w:r>
          </w:p>
        </w:tc>
      </w:tr>
      <w:tr w:rsidR="00807FFE" w14:paraId="0AB6D3C2" w14:textId="77777777">
        <w:trPr>
          <w:trHeight w:val="255"/>
        </w:trPr>
        <w:tc>
          <w:tcPr>
            <w:tcW w:w="3760" w:type="dxa"/>
            <w:tcBorders>
              <w:top w:val="single" w:sz="4" w:space="0" w:color="016794"/>
              <w:left w:val="nil"/>
              <w:bottom w:val="single" w:sz="4" w:space="0" w:color="016794"/>
              <w:right w:val="nil"/>
              <w:tl2br w:val="nil"/>
              <w:tr2bl w:val="nil"/>
            </w:tcBorders>
            <w:tcMar>
              <w:left w:w="60" w:type="dxa"/>
              <w:right w:w="60" w:type="dxa"/>
            </w:tcMar>
            <w:vAlign w:val="center"/>
          </w:tcPr>
          <w:p w14:paraId="233D7113" w14:textId="77777777" w:rsidR="00807FFE" w:rsidRDefault="00023E71">
            <w:pPr>
              <w:pStyle w:val="DMETW36768BIPPENS2"/>
              <w:rPr>
                <w:rFonts w:ascii="Verdana" w:eastAsia="Verdana" w:hAnsi="Verdana" w:cs="Verdana"/>
                <w:b/>
                <w:noProof/>
                <w:color w:val="000000"/>
                <w:sz w:val="18"/>
              </w:rPr>
            </w:pPr>
            <w:r>
              <w:rPr>
                <w:rFonts w:ascii="Verdana" w:eastAsia="Verdana" w:hAnsi="Verdana" w:cs="Verdana"/>
                <w:b/>
                <w:noProof/>
                <w:color w:val="000000"/>
                <w:sz w:val="18"/>
              </w:rPr>
              <w:t>Present value as at 31.12.2025</w:t>
            </w:r>
          </w:p>
        </w:tc>
        <w:tc>
          <w:tcPr>
            <w:tcW w:w="1615" w:type="dxa"/>
            <w:tcBorders>
              <w:top w:val="single" w:sz="4" w:space="0" w:color="016794"/>
              <w:left w:val="nil"/>
              <w:bottom w:val="single" w:sz="4" w:space="0" w:color="016794"/>
              <w:right w:val="nil"/>
              <w:tl2br w:val="nil"/>
              <w:tr2bl w:val="nil"/>
            </w:tcBorders>
            <w:tcMar>
              <w:left w:w="60" w:type="dxa"/>
              <w:right w:w="60" w:type="dxa"/>
            </w:tcMar>
            <w:vAlign w:val="center"/>
          </w:tcPr>
          <w:p w14:paraId="0727A6F2" w14:textId="77777777" w:rsidR="00807FFE" w:rsidRDefault="00023E71">
            <w:pPr>
              <w:pStyle w:val="DMETW36768BIPPENS2"/>
              <w:jc w:val="right"/>
              <w:rPr>
                <w:rFonts w:ascii="Verdana" w:eastAsia="Verdana" w:hAnsi="Verdana" w:cs="Verdana"/>
                <w:b/>
                <w:noProof/>
                <w:color w:val="000000"/>
                <w:sz w:val="18"/>
              </w:rPr>
            </w:pPr>
            <w:r>
              <w:rPr>
                <w:rFonts w:ascii="Verdana" w:eastAsia="Verdana" w:hAnsi="Verdana" w:cs="Verdana"/>
                <w:b/>
                <w:noProof/>
                <w:color w:val="000000"/>
                <w:sz w:val="18"/>
              </w:rPr>
              <w:t>83 998</w:t>
            </w:r>
          </w:p>
        </w:tc>
        <w:tc>
          <w:tcPr>
            <w:tcW w:w="1615" w:type="dxa"/>
            <w:tcBorders>
              <w:top w:val="single" w:sz="4" w:space="0" w:color="016794"/>
              <w:left w:val="nil"/>
              <w:bottom w:val="single" w:sz="4" w:space="0" w:color="016794"/>
              <w:right w:val="nil"/>
              <w:tl2br w:val="nil"/>
              <w:tr2bl w:val="nil"/>
            </w:tcBorders>
            <w:tcMar>
              <w:left w:w="60" w:type="dxa"/>
              <w:right w:w="60" w:type="dxa"/>
            </w:tcMar>
            <w:vAlign w:val="center"/>
          </w:tcPr>
          <w:p w14:paraId="173C3881" w14:textId="77777777" w:rsidR="00807FFE" w:rsidRDefault="00023E71">
            <w:pPr>
              <w:pStyle w:val="DMETW36768BIPPENS2"/>
              <w:jc w:val="right"/>
              <w:rPr>
                <w:rFonts w:ascii="Verdana" w:eastAsia="Verdana" w:hAnsi="Verdana" w:cs="Verdana"/>
                <w:b/>
                <w:noProof/>
                <w:color w:val="000000"/>
                <w:sz w:val="18"/>
              </w:rPr>
            </w:pPr>
            <w:r>
              <w:rPr>
                <w:rFonts w:ascii="Verdana" w:eastAsia="Verdana" w:hAnsi="Verdana" w:cs="Verdana"/>
                <w:b/>
                <w:noProof/>
                <w:color w:val="000000"/>
                <w:sz w:val="18"/>
              </w:rPr>
              <w:t>1 887</w:t>
            </w:r>
          </w:p>
        </w:tc>
        <w:tc>
          <w:tcPr>
            <w:tcW w:w="1616" w:type="dxa"/>
            <w:tcBorders>
              <w:top w:val="single" w:sz="4" w:space="0" w:color="016794"/>
              <w:left w:val="nil"/>
              <w:bottom w:val="single" w:sz="4" w:space="0" w:color="016794"/>
              <w:right w:val="nil"/>
              <w:tl2br w:val="nil"/>
              <w:tr2bl w:val="nil"/>
            </w:tcBorders>
            <w:tcMar>
              <w:left w:w="60" w:type="dxa"/>
              <w:right w:w="60" w:type="dxa"/>
            </w:tcMar>
            <w:vAlign w:val="center"/>
          </w:tcPr>
          <w:p w14:paraId="7C50753E" w14:textId="77777777" w:rsidR="00807FFE" w:rsidRDefault="00023E71">
            <w:pPr>
              <w:pStyle w:val="DMETW36768BIPPENS2"/>
              <w:jc w:val="right"/>
              <w:rPr>
                <w:rFonts w:ascii="Verdana" w:eastAsia="Verdana" w:hAnsi="Verdana" w:cs="Verdana"/>
                <w:b/>
                <w:noProof/>
                <w:color w:val="000000"/>
                <w:sz w:val="18"/>
              </w:rPr>
            </w:pPr>
            <w:r>
              <w:rPr>
                <w:rFonts w:ascii="Verdana" w:eastAsia="Verdana" w:hAnsi="Verdana" w:cs="Verdana"/>
                <w:b/>
                <w:noProof/>
                <w:color w:val="000000"/>
                <w:sz w:val="18"/>
              </w:rPr>
              <w:t>5 721</w:t>
            </w:r>
          </w:p>
        </w:tc>
        <w:tc>
          <w:tcPr>
            <w:tcW w:w="1152" w:type="dxa"/>
            <w:tcBorders>
              <w:top w:val="single" w:sz="4" w:space="0" w:color="016794"/>
              <w:left w:val="nil"/>
              <w:bottom w:val="single" w:sz="4" w:space="0" w:color="016794"/>
              <w:right w:val="nil"/>
              <w:tl2br w:val="nil"/>
              <w:tr2bl w:val="nil"/>
            </w:tcBorders>
            <w:tcMar>
              <w:left w:w="60" w:type="dxa"/>
              <w:right w:w="60" w:type="dxa"/>
            </w:tcMar>
            <w:vAlign w:val="center"/>
          </w:tcPr>
          <w:p w14:paraId="35AEB732" w14:textId="77777777" w:rsidR="00807FFE" w:rsidRDefault="00023E71">
            <w:pPr>
              <w:pStyle w:val="DMETW36768BIPPENS2"/>
              <w:jc w:val="right"/>
              <w:rPr>
                <w:rFonts w:ascii="Verdana" w:eastAsia="Verdana" w:hAnsi="Verdana" w:cs="Verdana"/>
                <w:b/>
                <w:noProof/>
                <w:color w:val="000000"/>
                <w:sz w:val="18"/>
              </w:rPr>
            </w:pPr>
            <w:r>
              <w:rPr>
                <w:rFonts w:ascii="Verdana" w:eastAsia="Verdana" w:hAnsi="Verdana" w:cs="Verdana"/>
                <w:b/>
                <w:noProof/>
                <w:color w:val="000000"/>
                <w:sz w:val="18"/>
              </w:rPr>
              <w:t>91 605</w:t>
            </w:r>
          </w:p>
        </w:tc>
      </w:tr>
    </w:tbl>
    <w:p w14:paraId="22E65DBE" w14:textId="77777777" w:rsidR="00575F2B" w:rsidRPr="00575F2B" w:rsidRDefault="00023E71" w:rsidP="00575F2B">
      <w:pPr>
        <w:pStyle w:val="HEADER5"/>
        <w:spacing w:before="240"/>
        <w:jc w:val="both"/>
        <w:rPr>
          <w:rFonts w:eastAsia="Calibri"/>
          <w:noProof/>
          <w:color w:val="auto"/>
          <w:lang w:eastAsia="en-US"/>
        </w:rPr>
      </w:pPr>
      <w:r w:rsidRPr="0060120B">
        <w:rPr>
          <w:rFonts w:eastAsia="Calibri"/>
          <w:noProof/>
          <w:color w:val="auto"/>
          <w:lang w:eastAsia="en-US"/>
        </w:rPr>
        <w:t xml:space="preserve">Current </w:t>
      </w:r>
      <w:r w:rsidRPr="00575F2B">
        <w:rPr>
          <w:rFonts w:eastAsia="Calibri"/>
          <w:noProof/>
          <w:color w:val="auto"/>
          <w:lang w:eastAsia="en-US"/>
        </w:rPr>
        <w:t>service cost is the increase in the present value of the defined benefit obligation arising from current members' service in the current year.</w:t>
      </w:r>
    </w:p>
    <w:p w14:paraId="7AA71890" w14:textId="77777777" w:rsidR="00575F2B" w:rsidRPr="00575F2B" w:rsidRDefault="00023E71" w:rsidP="00575F2B">
      <w:pPr>
        <w:pStyle w:val="HEADER5"/>
        <w:spacing w:before="240"/>
        <w:jc w:val="both"/>
        <w:rPr>
          <w:rFonts w:eastAsia="Calibri"/>
          <w:noProof/>
          <w:color w:val="auto"/>
          <w:lang w:eastAsia="en-US"/>
        </w:rPr>
      </w:pPr>
      <w:r w:rsidRPr="00575F2B">
        <w:rPr>
          <w:rFonts w:eastAsia="Calibri"/>
          <w:noProof/>
          <w:color w:val="auto"/>
          <w:lang w:eastAsia="en-US"/>
        </w:rPr>
        <w:t xml:space="preserve">Interest cost refers to the increase during the period in the present value of the defined benefit obligation because the benefits are one period closer to settlement. </w:t>
      </w:r>
    </w:p>
    <w:p w14:paraId="776644A5" w14:textId="77777777" w:rsidR="00575F2B" w:rsidRPr="00575F2B" w:rsidRDefault="00023E71" w:rsidP="00575F2B">
      <w:pPr>
        <w:pStyle w:val="HEADER5"/>
        <w:spacing w:before="240"/>
        <w:jc w:val="both"/>
        <w:rPr>
          <w:rFonts w:eastAsia="Calibri"/>
          <w:noProof/>
          <w:color w:val="auto"/>
          <w:lang w:eastAsia="en-US"/>
        </w:rPr>
      </w:pPr>
      <w:r w:rsidRPr="00575F2B">
        <w:rPr>
          <w:rFonts w:eastAsia="Calibri"/>
          <w:noProof/>
          <w:color w:val="auto"/>
          <w:lang w:eastAsia="en-US"/>
        </w:rPr>
        <w:t>Actuarial gains and losses from experience refer to the effects of differences between what was expected according to the assumptions made in the previous year for 202</w:t>
      </w:r>
      <w:r>
        <w:rPr>
          <w:rFonts w:eastAsia="Calibri"/>
          <w:noProof/>
          <w:color w:val="auto"/>
          <w:lang w:eastAsia="en-US"/>
        </w:rPr>
        <w:t>5</w:t>
      </w:r>
      <w:r w:rsidRPr="00575F2B">
        <w:rPr>
          <w:rFonts w:eastAsia="Calibri"/>
          <w:noProof/>
          <w:color w:val="auto"/>
          <w:lang w:eastAsia="en-US"/>
        </w:rPr>
        <w:t xml:space="preserve"> and what really occurred in 202</w:t>
      </w:r>
      <w:r>
        <w:rPr>
          <w:rFonts w:eastAsia="Calibri"/>
          <w:noProof/>
          <w:color w:val="auto"/>
          <w:lang w:eastAsia="en-US"/>
        </w:rPr>
        <w:t>5</w:t>
      </w:r>
      <w:r w:rsidRPr="00575F2B">
        <w:rPr>
          <w:rFonts w:eastAsia="Calibri"/>
          <w:noProof/>
          <w:color w:val="auto"/>
          <w:lang w:eastAsia="en-US"/>
        </w:rPr>
        <w:t>. This item also reflects the impact of newcomers (staff members present in the current exercise but not in the previous one).</w:t>
      </w:r>
    </w:p>
    <w:p w14:paraId="2964635B" w14:textId="77777777" w:rsidR="00575F2B" w:rsidRPr="00575F2B" w:rsidRDefault="00023E71" w:rsidP="00575F2B">
      <w:pPr>
        <w:pStyle w:val="HEADER5"/>
        <w:spacing w:before="240"/>
        <w:jc w:val="both"/>
        <w:rPr>
          <w:rFonts w:eastAsia="Calibri"/>
          <w:noProof/>
          <w:color w:val="auto"/>
          <w:lang w:eastAsia="en-US"/>
        </w:rPr>
      </w:pPr>
      <w:r w:rsidRPr="00575F2B">
        <w:rPr>
          <w:rFonts w:eastAsia="Calibri"/>
          <w:noProof/>
          <w:color w:val="auto"/>
          <w:lang w:eastAsia="en-US"/>
        </w:rPr>
        <w:t>Actuarial gains and losses from changes in the values of the actuarial assumptions (demographic variables such as employee turnover and mortality and financial variables such as discount rates and expected salary increases) arise when the estimated values of those assumptions are updated in order to reflect the underlying conditions.</w:t>
      </w:r>
    </w:p>
    <w:p w14:paraId="0B4465D1" w14:textId="77777777" w:rsidR="006974DB" w:rsidRDefault="00023E71" w:rsidP="00575F2B">
      <w:pPr>
        <w:pStyle w:val="HEADER5"/>
        <w:spacing w:before="240"/>
        <w:jc w:val="both"/>
        <w:rPr>
          <w:rFonts w:eastAsia="Calibri"/>
          <w:noProof/>
          <w:color w:val="auto"/>
          <w:lang w:eastAsia="en-US"/>
        </w:rPr>
      </w:pPr>
      <w:r w:rsidRPr="00575F2B">
        <w:rPr>
          <w:rFonts w:eastAsia="Calibri"/>
          <w:noProof/>
          <w:color w:val="auto"/>
          <w:lang w:eastAsia="en-US"/>
        </w:rPr>
        <w:t>Benefits (for example, pensions or medical cost reimbursements) are paid during the year according to the rules of the scheme. These benefits paid lead to a decrease in the defined benefit obligation</w:t>
      </w:r>
      <w:r w:rsidRPr="0060120B">
        <w:rPr>
          <w:rFonts w:eastAsia="Calibri"/>
          <w:noProof/>
          <w:color w:val="auto"/>
          <w:lang w:eastAsia="en-US"/>
        </w:rPr>
        <w:t>.</w:t>
      </w:r>
    </w:p>
    <w:p w14:paraId="5A02A88A" w14:textId="77777777" w:rsidR="00575F2B" w:rsidRDefault="00575F2B" w:rsidP="00575F2B">
      <w:pPr>
        <w:pStyle w:val="HEADER5"/>
        <w:spacing w:before="240"/>
        <w:jc w:val="both"/>
        <w:rPr>
          <w:rFonts w:eastAsia="Calibri"/>
          <w:noProof/>
          <w:color w:val="auto"/>
          <w:lang w:eastAsia="en-US"/>
        </w:rPr>
      </w:pPr>
    </w:p>
    <w:p w14:paraId="33089704" w14:textId="77777777" w:rsidR="00575F2B" w:rsidRDefault="00575F2B" w:rsidP="00575F2B">
      <w:pPr>
        <w:pStyle w:val="HEADER5"/>
        <w:spacing w:before="240"/>
        <w:jc w:val="both"/>
        <w:rPr>
          <w:rFonts w:eastAsia="Calibri"/>
          <w:noProof/>
          <w:color w:val="auto"/>
          <w:lang w:eastAsia="en-US"/>
        </w:rPr>
      </w:pPr>
    </w:p>
    <w:p w14:paraId="6B9648F8" w14:textId="77777777" w:rsidR="003627AD" w:rsidRPr="006709D8" w:rsidRDefault="00023E71" w:rsidP="00172034">
      <w:pPr>
        <w:pStyle w:val="HEADER3NOTES"/>
        <w:numPr>
          <w:ilvl w:val="2"/>
          <w:numId w:val="15"/>
        </w:numPr>
        <w:rPr>
          <w:noProof/>
        </w:rPr>
      </w:pPr>
      <w:r w:rsidRPr="003627AD">
        <w:rPr>
          <w:noProof/>
        </w:rPr>
        <w:t>Plan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6"/>
        <w:gridCol w:w="1954"/>
        <w:gridCol w:w="1954"/>
        <w:gridCol w:w="1954"/>
      </w:tblGrid>
      <w:tr w:rsidR="00807FFE" w14:paraId="7831B052" w14:textId="77777777">
        <w:trPr>
          <w:trHeight w:val="255"/>
        </w:trPr>
        <w:tc>
          <w:tcPr>
            <w:tcW w:w="3896" w:type="dxa"/>
            <w:tcBorders>
              <w:top w:val="nil"/>
              <w:left w:val="nil"/>
              <w:bottom w:val="nil"/>
              <w:right w:val="nil"/>
              <w:tl2br w:val="nil"/>
              <w:tr2bl w:val="nil"/>
            </w:tcBorders>
            <w:tcMar>
              <w:left w:w="60" w:type="dxa"/>
              <w:right w:w="60" w:type="dxa"/>
            </w:tcMar>
            <w:vAlign w:val="bottom"/>
          </w:tcPr>
          <w:p w14:paraId="7F7A4E19" w14:textId="77777777" w:rsidR="00807FFE" w:rsidRDefault="00807FFE">
            <w:pPr>
              <w:pStyle w:val="DMETW36768BIPPENS3"/>
              <w:rPr>
                <w:rFonts w:ascii="Arial" w:eastAsia="Arial" w:hAnsi="Arial" w:cs="Arial"/>
                <w:noProof/>
                <w:color w:val="000000"/>
                <w:lang w:bidi="en-GB"/>
              </w:rPr>
            </w:pPr>
            <w:bookmarkStart w:id="148" w:name="DOC_TBL00046_1_1"/>
            <w:bookmarkEnd w:id="148"/>
          </w:p>
        </w:tc>
        <w:tc>
          <w:tcPr>
            <w:tcW w:w="1954" w:type="dxa"/>
            <w:tcBorders>
              <w:top w:val="nil"/>
              <w:left w:val="nil"/>
              <w:bottom w:val="nil"/>
              <w:right w:val="nil"/>
              <w:tl2br w:val="nil"/>
              <w:tr2bl w:val="nil"/>
            </w:tcBorders>
            <w:tcMar>
              <w:left w:w="60" w:type="dxa"/>
              <w:right w:w="60" w:type="dxa"/>
            </w:tcMar>
            <w:vAlign w:val="bottom"/>
          </w:tcPr>
          <w:p w14:paraId="1213069A" w14:textId="77777777" w:rsidR="00807FFE" w:rsidRDefault="00807FFE">
            <w:pPr>
              <w:pStyle w:val="DMETW36768BIPPENS3"/>
              <w:jc w:val="right"/>
              <w:rPr>
                <w:rFonts w:ascii="Verdana" w:eastAsia="Verdana" w:hAnsi="Verdana" w:cs="Verdana"/>
                <w:i/>
                <w:noProof/>
                <w:color w:val="000000"/>
                <w:sz w:val="16"/>
              </w:rPr>
            </w:pPr>
          </w:p>
        </w:tc>
        <w:tc>
          <w:tcPr>
            <w:tcW w:w="1954" w:type="dxa"/>
            <w:tcBorders>
              <w:top w:val="nil"/>
              <w:left w:val="nil"/>
              <w:bottom w:val="nil"/>
              <w:right w:val="nil"/>
              <w:tl2br w:val="nil"/>
              <w:tr2bl w:val="nil"/>
            </w:tcBorders>
            <w:tcMar>
              <w:left w:w="60" w:type="dxa"/>
              <w:right w:w="60" w:type="dxa"/>
            </w:tcMar>
            <w:vAlign w:val="bottom"/>
          </w:tcPr>
          <w:p w14:paraId="7EF0FC9C" w14:textId="77777777" w:rsidR="00807FFE" w:rsidRDefault="00807FFE">
            <w:pPr>
              <w:pStyle w:val="DMETW36768BIPPENS3"/>
              <w:jc w:val="right"/>
              <w:rPr>
                <w:rFonts w:ascii="Verdana" w:eastAsia="Verdana" w:hAnsi="Verdana" w:cs="Verdana"/>
                <w:i/>
                <w:noProof/>
                <w:color w:val="000000"/>
                <w:sz w:val="16"/>
              </w:rPr>
            </w:pPr>
          </w:p>
        </w:tc>
        <w:tc>
          <w:tcPr>
            <w:tcW w:w="1954" w:type="dxa"/>
            <w:tcBorders>
              <w:top w:val="nil"/>
              <w:left w:val="nil"/>
              <w:bottom w:val="nil"/>
              <w:right w:val="nil"/>
              <w:tl2br w:val="nil"/>
              <w:tr2bl w:val="nil"/>
            </w:tcBorders>
            <w:tcMar>
              <w:left w:w="60" w:type="dxa"/>
              <w:right w:w="60" w:type="dxa"/>
            </w:tcMar>
            <w:vAlign w:val="bottom"/>
          </w:tcPr>
          <w:p w14:paraId="7E17F57D" w14:textId="77777777" w:rsidR="00807FFE" w:rsidRDefault="00023E71">
            <w:pPr>
              <w:pStyle w:val="DMETW36768BIPPENS3"/>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20B2944" w14:textId="77777777">
        <w:trPr>
          <w:trHeight w:val="255"/>
        </w:trPr>
        <w:tc>
          <w:tcPr>
            <w:tcW w:w="3896" w:type="dxa"/>
            <w:tcBorders>
              <w:top w:val="nil"/>
              <w:left w:val="nil"/>
              <w:bottom w:val="nil"/>
              <w:right w:val="nil"/>
              <w:tl2br w:val="nil"/>
              <w:tr2bl w:val="nil"/>
            </w:tcBorders>
            <w:shd w:val="solid" w:color="016794" w:fill="FFFFFF"/>
            <w:tcMar>
              <w:left w:w="60" w:type="dxa"/>
              <w:right w:w="60" w:type="dxa"/>
            </w:tcMar>
            <w:vAlign w:val="center"/>
          </w:tcPr>
          <w:p w14:paraId="254639FE" w14:textId="77777777" w:rsidR="00807FFE" w:rsidRDefault="00807FFE">
            <w:pPr>
              <w:pStyle w:val="DMETW36768BIPPENS3"/>
              <w:jc w:val="right"/>
              <w:rPr>
                <w:rFonts w:ascii="Verdana" w:eastAsia="Verdana" w:hAnsi="Verdana" w:cs="Verdana"/>
                <w:noProof/>
                <w:color w:val="FFFFFF"/>
                <w:sz w:val="18"/>
              </w:rPr>
            </w:pPr>
          </w:p>
        </w:tc>
        <w:tc>
          <w:tcPr>
            <w:tcW w:w="1954" w:type="dxa"/>
            <w:tcBorders>
              <w:top w:val="nil"/>
              <w:left w:val="nil"/>
              <w:bottom w:val="nil"/>
              <w:right w:val="nil"/>
              <w:tl2br w:val="nil"/>
              <w:tr2bl w:val="nil"/>
            </w:tcBorders>
            <w:shd w:val="solid" w:color="016794" w:fill="FFFFFF"/>
            <w:tcMar>
              <w:left w:w="60" w:type="dxa"/>
              <w:right w:w="60" w:type="dxa"/>
            </w:tcMar>
          </w:tcPr>
          <w:p w14:paraId="122B9706" w14:textId="77777777" w:rsidR="00807FFE" w:rsidRDefault="00023E71">
            <w:pPr>
              <w:pStyle w:val="DMETW36768BIPPENS3"/>
              <w:jc w:val="right"/>
              <w:rPr>
                <w:rFonts w:ascii="Verdana" w:eastAsia="Verdana" w:hAnsi="Verdana" w:cs="Verdana"/>
                <w:noProof/>
                <w:color w:val="FFFFFF"/>
                <w:sz w:val="18"/>
              </w:rPr>
            </w:pPr>
            <w:r>
              <w:rPr>
                <w:rFonts w:ascii="Verdana" w:eastAsia="Verdana" w:hAnsi="Verdana" w:cs="Verdana"/>
                <w:noProof/>
                <w:color w:val="FFFFFF"/>
                <w:sz w:val="18"/>
              </w:rPr>
              <w:t>Other retirement benefit schemes</w:t>
            </w:r>
          </w:p>
        </w:tc>
        <w:tc>
          <w:tcPr>
            <w:tcW w:w="1954" w:type="dxa"/>
            <w:tcBorders>
              <w:top w:val="nil"/>
              <w:left w:val="nil"/>
              <w:bottom w:val="nil"/>
              <w:right w:val="nil"/>
              <w:tl2br w:val="nil"/>
              <w:tr2bl w:val="nil"/>
            </w:tcBorders>
            <w:shd w:val="solid" w:color="016794" w:fill="FFFFFF"/>
            <w:tcMar>
              <w:left w:w="60" w:type="dxa"/>
              <w:right w:w="60" w:type="dxa"/>
            </w:tcMar>
          </w:tcPr>
          <w:p w14:paraId="2D4D7B2D" w14:textId="77777777" w:rsidR="00807FFE" w:rsidRDefault="00023E71">
            <w:pPr>
              <w:pStyle w:val="DMETW36768BIPPENS3"/>
              <w:jc w:val="right"/>
              <w:rPr>
                <w:rFonts w:ascii="Verdana" w:eastAsia="Verdana" w:hAnsi="Verdana" w:cs="Verdana"/>
                <w:noProof/>
                <w:color w:val="FFFFFF"/>
                <w:sz w:val="18"/>
              </w:rPr>
            </w:pPr>
            <w:r>
              <w:rPr>
                <w:rFonts w:ascii="Verdana" w:eastAsia="Verdana" w:hAnsi="Verdana" w:cs="Verdana"/>
                <w:noProof/>
                <w:color w:val="FFFFFF"/>
                <w:sz w:val="18"/>
              </w:rPr>
              <w:t>Joint Sickness Insurance Scheme</w:t>
            </w:r>
          </w:p>
        </w:tc>
        <w:tc>
          <w:tcPr>
            <w:tcW w:w="1954" w:type="dxa"/>
            <w:tcBorders>
              <w:top w:val="nil"/>
              <w:left w:val="nil"/>
              <w:bottom w:val="nil"/>
              <w:right w:val="nil"/>
              <w:tl2br w:val="nil"/>
              <w:tr2bl w:val="nil"/>
            </w:tcBorders>
            <w:shd w:val="solid" w:color="016794" w:fill="FFFFFF"/>
            <w:tcMar>
              <w:left w:w="60" w:type="dxa"/>
              <w:right w:w="60" w:type="dxa"/>
            </w:tcMar>
          </w:tcPr>
          <w:p w14:paraId="107B3774" w14:textId="77777777" w:rsidR="00807FFE" w:rsidRDefault="00023E71">
            <w:pPr>
              <w:pStyle w:val="DMETW36768BIPPENS3"/>
              <w:jc w:val="right"/>
              <w:rPr>
                <w:rFonts w:ascii="Verdana" w:eastAsia="Verdana" w:hAnsi="Verdana" w:cs="Verdana"/>
                <w:noProof/>
                <w:color w:val="FFFFFF"/>
                <w:sz w:val="18"/>
                <w:lang w:bidi="en-GB"/>
              </w:rPr>
            </w:pPr>
            <w:r>
              <w:rPr>
                <w:rFonts w:ascii="Verdana" w:eastAsia="Verdana" w:hAnsi="Verdana" w:cs="Verdana"/>
                <w:noProof/>
                <w:color w:val="FFFFFF"/>
                <w:sz w:val="18"/>
              </w:rPr>
              <w:t>Total</w:t>
            </w:r>
          </w:p>
        </w:tc>
      </w:tr>
      <w:tr w:rsidR="00807FFE" w14:paraId="369E5B7F" w14:textId="77777777">
        <w:trPr>
          <w:trHeight w:val="255"/>
        </w:trPr>
        <w:tc>
          <w:tcPr>
            <w:tcW w:w="3896" w:type="dxa"/>
            <w:tcBorders>
              <w:top w:val="nil"/>
              <w:left w:val="nil"/>
              <w:bottom w:val="nil"/>
              <w:right w:val="nil"/>
              <w:tl2br w:val="nil"/>
              <w:tr2bl w:val="nil"/>
            </w:tcBorders>
            <w:tcMar>
              <w:left w:w="60" w:type="dxa"/>
              <w:right w:w="60" w:type="dxa"/>
            </w:tcMar>
            <w:vAlign w:val="center"/>
          </w:tcPr>
          <w:p w14:paraId="613B0485" w14:textId="77777777" w:rsidR="00807FFE" w:rsidRDefault="00023E71">
            <w:pPr>
              <w:pStyle w:val="DMETW36768BIPPENS3"/>
              <w:rPr>
                <w:rFonts w:ascii="Verdana" w:eastAsia="Verdana" w:hAnsi="Verdana" w:cs="Verdana"/>
                <w:b/>
                <w:noProof/>
                <w:color w:val="000000"/>
                <w:sz w:val="18"/>
              </w:rPr>
            </w:pPr>
            <w:r>
              <w:rPr>
                <w:rFonts w:ascii="Verdana" w:eastAsia="Verdana" w:hAnsi="Verdana" w:cs="Verdana"/>
                <w:b/>
                <w:noProof/>
                <w:color w:val="000000"/>
                <w:sz w:val="18"/>
              </w:rPr>
              <w:t>Present value as at 31.12.2024</w:t>
            </w:r>
          </w:p>
        </w:tc>
        <w:tc>
          <w:tcPr>
            <w:tcW w:w="1954" w:type="dxa"/>
            <w:tcBorders>
              <w:top w:val="nil"/>
              <w:left w:val="nil"/>
              <w:bottom w:val="nil"/>
              <w:right w:val="nil"/>
              <w:tl2br w:val="nil"/>
              <w:tr2bl w:val="nil"/>
            </w:tcBorders>
            <w:tcMar>
              <w:left w:w="60" w:type="dxa"/>
              <w:right w:w="60" w:type="dxa"/>
            </w:tcMar>
            <w:vAlign w:val="bottom"/>
          </w:tcPr>
          <w:p w14:paraId="302954F5" w14:textId="77777777" w:rsidR="00807FFE" w:rsidRDefault="00023E71">
            <w:pPr>
              <w:pStyle w:val="DMETW36768BIPPENS3"/>
              <w:jc w:val="right"/>
              <w:rPr>
                <w:rFonts w:ascii="Verdana" w:eastAsia="Verdana" w:hAnsi="Verdana" w:cs="Verdana"/>
                <w:b/>
                <w:noProof/>
                <w:color w:val="000000"/>
                <w:sz w:val="18"/>
              </w:rPr>
            </w:pPr>
            <w:r>
              <w:rPr>
                <w:rFonts w:ascii="Verdana" w:eastAsia="Verdana" w:hAnsi="Verdana" w:cs="Verdana"/>
                <w:b/>
                <w:noProof/>
                <w:color w:val="000000"/>
                <w:sz w:val="18"/>
              </w:rPr>
              <w:t xml:space="preserve"> 23</w:t>
            </w:r>
          </w:p>
        </w:tc>
        <w:tc>
          <w:tcPr>
            <w:tcW w:w="1954" w:type="dxa"/>
            <w:tcBorders>
              <w:top w:val="nil"/>
              <w:left w:val="nil"/>
              <w:bottom w:val="nil"/>
              <w:right w:val="nil"/>
              <w:tl2br w:val="nil"/>
              <w:tr2bl w:val="nil"/>
            </w:tcBorders>
            <w:tcMar>
              <w:left w:w="60" w:type="dxa"/>
              <w:right w:w="60" w:type="dxa"/>
            </w:tcMar>
            <w:vAlign w:val="bottom"/>
          </w:tcPr>
          <w:p w14:paraId="3CAD1166" w14:textId="77777777" w:rsidR="00807FFE" w:rsidRDefault="00023E71">
            <w:pPr>
              <w:pStyle w:val="DMETW36768BIPPENS3"/>
              <w:jc w:val="right"/>
              <w:rPr>
                <w:rFonts w:ascii="Verdana" w:eastAsia="Verdana" w:hAnsi="Verdana" w:cs="Verdana"/>
                <w:b/>
                <w:noProof/>
                <w:color w:val="000000"/>
                <w:sz w:val="18"/>
              </w:rPr>
            </w:pPr>
            <w:r>
              <w:rPr>
                <w:rFonts w:ascii="Verdana" w:eastAsia="Verdana" w:hAnsi="Verdana" w:cs="Verdana"/>
                <w:b/>
                <w:noProof/>
                <w:color w:val="000000"/>
                <w:sz w:val="18"/>
              </w:rPr>
              <w:t xml:space="preserve"> 438</w:t>
            </w:r>
          </w:p>
        </w:tc>
        <w:tc>
          <w:tcPr>
            <w:tcW w:w="1954" w:type="dxa"/>
            <w:tcBorders>
              <w:top w:val="nil"/>
              <w:left w:val="nil"/>
              <w:bottom w:val="nil"/>
              <w:right w:val="nil"/>
              <w:tl2br w:val="nil"/>
              <w:tr2bl w:val="nil"/>
            </w:tcBorders>
            <w:tcMar>
              <w:left w:w="60" w:type="dxa"/>
              <w:right w:w="60" w:type="dxa"/>
            </w:tcMar>
            <w:vAlign w:val="bottom"/>
          </w:tcPr>
          <w:p w14:paraId="56813A17" w14:textId="77777777" w:rsidR="00807FFE" w:rsidRDefault="00023E71">
            <w:pPr>
              <w:pStyle w:val="DMETW36768BIPPENS3"/>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461</w:t>
            </w:r>
          </w:p>
        </w:tc>
      </w:tr>
      <w:tr w:rsidR="00807FFE" w14:paraId="3306E28E" w14:textId="77777777">
        <w:trPr>
          <w:trHeight w:val="255"/>
        </w:trPr>
        <w:tc>
          <w:tcPr>
            <w:tcW w:w="3896" w:type="dxa"/>
            <w:tcBorders>
              <w:top w:val="nil"/>
              <w:left w:val="nil"/>
              <w:bottom w:val="single" w:sz="4" w:space="0" w:color="016794"/>
              <w:right w:val="nil"/>
              <w:tl2br w:val="nil"/>
              <w:tr2bl w:val="nil"/>
            </w:tcBorders>
            <w:tcMar>
              <w:left w:w="60" w:type="dxa"/>
              <w:right w:w="60" w:type="dxa"/>
            </w:tcMar>
            <w:vAlign w:val="center"/>
          </w:tcPr>
          <w:p w14:paraId="7428FA7D" w14:textId="77777777" w:rsidR="00807FFE" w:rsidRDefault="00023E71">
            <w:pPr>
              <w:pStyle w:val="DMETW36768BIPPENS3"/>
              <w:rPr>
                <w:rFonts w:ascii="Verdana" w:eastAsia="Verdana" w:hAnsi="Verdana" w:cs="Verdana"/>
                <w:i/>
                <w:noProof/>
                <w:color w:val="000000"/>
                <w:sz w:val="18"/>
              </w:rPr>
            </w:pPr>
            <w:r>
              <w:rPr>
                <w:rFonts w:ascii="Verdana" w:eastAsia="Verdana" w:hAnsi="Verdana" w:cs="Verdana"/>
                <w:i/>
                <w:noProof/>
                <w:color w:val="000000"/>
                <w:sz w:val="18"/>
              </w:rPr>
              <w:t>Net movement in plan assets</w:t>
            </w:r>
          </w:p>
        </w:tc>
        <w:tc>
          <w:tcPr>
            <w:tcW w:w="1954" w:type="dxa"/>
            <w:tcBorders>
              <w:top w:val="nil"/>
              <w:left w:val="nil"/>
              <w:bottom w:val="single" w:sz="4" w:space="0" w:color="016794"/>
              <w:right w:val="nil"/>
              <w:tl2br w:val="nil"/>
              <w:tr2bl w:val="nil"/>
            </w:tcBorders>
            <w:tcMar>
              <w:left w:w="60" w:type="dxa"/>
              <w:right w:w="60" w:type="dxa"/>
            </w:tcMar>
            <w:vAlign w:val="bottom"/>
          </w:tcPr>
          <w:p w14:paraId="631E8811" w14:textId="77777777" w:rsidR="00807FFE" w:rsidRDefault="00023E71">
            <w:pPr>
              <w:pStyle w:val="DMETW36768BIPPENS3"/>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954" w:type="dxa"/>
            <w:tcBorders>
              <w:top w:val="nil"/>
              <w:left w:val="nil"/>
              <w:bottom w:val="single" w:sz="4" w:space="0" w:color="016794"/>
              <w:right w:val="nil"/>
              <w:tl2br w:val="nil"/>
              <w:tr2bl w:val="nil"/>
            </w:tcBorders>
            <w:tcMar>
              <w:left w:w="60" w:type="dxa"/>
              <w:right w:w="60" w:type="dxa"/>
            </w:tcMar>
            <w:vAlign w:val="bottom"/>
          </w:tcPr>
          <w:p w14:paraId="2556DB5B" w14:textId="77777777" w:rsidR="00807FFE" w:rsidRDefault="00023E71">
            <w:pPr>
              <w:pStyle w:val="DMETW36768BIPPENS3"/>
              <w:jc w:val="right"/>
              <w:rPr>
                <w:rFonts w:ascii="Verdana" w:eastAsia="Verdana" w:hAnsi="Verdana" w:cs="Verdana"/>
                <w:i/>
                <w:noProof/>
                <w:color w:val="000000"/>
                <w:sz w:val="18"/>
              </w:rPr>
            </w:pPr>
            <w:r>
              <w:rPr>
                <w:rFonts w:ascii="Verdana" w:eastAsia="Verdana" w:hAnsi="Verdana" w:cs="Verdana"/>
                <w:i/>
                <w:noProof/>
                <w:color w:val="000000"/>
                <w:sz w:val="18"/>
              </w:rPr>
              <w:t xml:space="preserve"> 29</w:t>
            </w:r>
          </w:p>
        </w:tc>
        <w:tc>
          <w:tcPr>
            <w:tcW w:w="1954" w:type="dxa"/>
            <w:tcBorders>
              <w:top w:val="nil"/>
              <w:left w:val="nil"/>
              <w:bottom w:val="single" w:sz="4" w:space="0" w:color="016794"/>
              <w:right w:val="nil"/>
              <w:tl2br w:val="nil"/>
              <w:tr2bl w:val="nil"/>
            </w:tcBorders>
            <w:tcMar>
              <w:left w:w="60" w:type="dxa"/>
              <w:right w:w="60" w:type="dxa"/>
            </w:tcMar>
            <w:vAlign w:val="bottom"/>
          </w:tcPr>
          <w:p w14:paraId="1029EA1C" w14:textId="77777777" w:rsidR="00807FFE" w:rsidRDefault="00023E71">
            <w:pPr>
              <w:pStyle w:val="DMETW36768BIPPENS3"/>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w:t>
            </w:r>
          </w:p>
        </w:tc>
      </w:tr>
      <w:tr w:rsidR="00807FFE" w14:paraId="0A888C0D" w14:textId="77777777">
        <w:trPr>
          <w:trHeight w:val="255"/>
        </w:trPr>
        <w:tc>
          <w:tcPr>
            <w:tcW w:w="3896" w:type="dxa"/>
            <w:tcBorders>
              <w:top w:val="single" w:sz="4" w:space="0" w:color="016794"/>
              <w:left w:val="nil"/>
              <w:bottom w:val="single" w:sz="4" w:space="0" w:color="016794"/>
              <w:right w:val="nil"/>
              <w:tl2br w:val="nil"/>
              <w:tr2bl w:val="nil"/>
            </w:tcBorders>
            <w:tcMar>
              <w:left w:w="60" w:type="dxa"/>
              <w:right w:w="60" w:type="dxa"/>
            </w:tcMar>
            <w:vAlign w:val="center"/>
          </w:tcPr>
          <w:p w14:paraId="2A2E25C6" w14:textId="77777777" w:rsidR="00807FFE" w:rsidRDefault="00023E71">
            <w:pPr>
              <w:pStyle w:val="DMETW36768BIPPENS3"/>
              <w:rPr>
                <w:rFonts w:ascii="Verdana" w:eastAsia="Verdana" w:hAnsi="Verdana" w:cs="Verdana"/>
                <w:b/>
                <w:noProof/>
                <w:color w:val="000000"/>
                <w:sz w:val="18"/>
              </w:rPr>
            </w:pPr>
            <w:r>
              <w:rPr>
                <w:rFonts w:ascii="Verdana" w:eastAsia="Verdana" w:hAnsi="Verdana" w:cs="Verdana"/>
                <w:b/>
                <w:noProof/>
                <w:color w:val="000000"/>
                <w:sz w:val="18"/>
              </w:rPr>
              <w:t>Present value as at 31.12.2025</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14:paraId="476BDBA5" w14:textId="77777777" w:rsidR="00807FFE" w:rsidRDefault="00023E71">
            <w:pPr>
              <w:pStyle w:val="DMETW36768BIPPENS3"/>
              <w:jc w:val="right"/>
              <w:rPr>
                <w:rFonts w:ascii="Verdana" w:eastAsia="Verdana" w:hAnsi="Verdana" w:cs="Verdana"/>
                <w:b/>
                <w:noProof/>
                <w:color w:val="000000"/>
                <w:sz w:val="18"/>
              </w:rPr>
            </w:pPr>
            <w:r>
              <w:rPr>
                <w:rFonts w:ascii="Verdana" w:eastAsia="Verdana" w:hAnsi="Verdana" w:cs="Verdana"/>
                <w:b/>
                <w:noProof/>
                <w:color w:val="000000"/>
                <w:sz w:val="18"/>
              </w:rPr>
              <w:t xml:space="preserve"> 11</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14:paraId="0FD6240F" w14:textId="77777777" w:rsidR="00807FFE" w:rsidRDefault="00023E71">
            <w:pPr>
              <w:pStyle w:val="DMETW36768BIPPENS3"/>
              <w:jc w:val="right"/>
              <w:rPr>
                <w:rFonts w:ascii="Verdana" w:eastAsia="Verdana" w:hAnsi="Verdana" w:cs="Verdana"/>
                <w:b/>
                <w:noProof/>
                <w:color w:val="000000"/>
                <w:sz w:val="18"/>
              </w:rPr>
            </w:pPr>
            <w:r>
              <w:rPr>
                <w:rFonts w:ascii="Verdana" w:eastAsia="Verdana" w:hAnsi="Verdana" w:cs="Verdana"/>
                <w:b/>
                <w:noProof/>
                <w:color w:val="000000"/>
                <w:sz w:val="18"/>
              </w:rPr>
              <w:t xml:space="preserve"> 467</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14:paraId="25320222" w14:textId="77777777" w:rsidR="00807FFE" w:rsidRDefault="00023E71">
            <w:pPr>
              <w:pStyle w:val="DMETW36768BIPPENS3"/>
              <w:jc w:val="right"/>
              <w:rPr>
                <w:rFonts w:ascii="Verdana" w:eastAsia="Verdana" w:hAnsi="Verdana" w:cs="Verdana"/>
                <w:b/>
                <w:noProof/>
                <w:color w:val="000000"/>
                <w:sz w:val="18"/>
              </w:rPr>
            </w:pPr>
            <w:r>
              <w:rPr>
                <w:rFonts w:ascii="Verdana" w:eastAsia="Verdana" w:hAnsi="Verdana" w:cs="Verdana"/>
                <w:b/>
                <w:noProof/>
                <w:color w:val="000000"/>
                <w:sz w:val="18"/>
              </w:rPr>
              <w:t xml:space="preserve"> 477</w:t>
            </w:r>
          </w:p>
        </w:tc>
      </w:tr>
    </w:tbl>
    <w:p w14:paraId="33717CF4" w14:textId="77777777" w:rsidR="00BC0E8C" w:rsidRPr="002C6EBF" w:rsidRDefault="00023E71" w:rsidP="00172034">
      <w:pPr>
        <w:pStyle w:val="HEADER3NOTES"/>
        <w:numPr>
          <w:ilvl w:val="2"/>
          <w:numId w:val="15"/>
        </w:numPr>
        <w:rPr>
          <w:noProof/>
        </w:rPr>
      </w:pPr>
      <w:r w:rsidRPr="002C6EBF">
        <w:rPr>
          <w:noProof/>
        </w:rPr>
        <w:t xml:space="preserve">Actuarial assumptions </w:t>
      </w:r>
      <w:r>
        <w:rPr>
          <w:noProof/>
        </w:rPr>
        <w:t xml:space="preserve">– </w:t>
      </w:r>
      <w:r w:rsidRPr="002C6EBF">
        <w:rPr>
          <w:noProof/>
        </w:rPr>
        <w:t>employee benefits</w:t>
      </w:r>
    </w:p>
    <w:p w14:paraId="23D37941" w14:textId="77777777" w:rsidR="00BC0E8C" w:rsidRPr="002C6EBF" w:rsidRDefault="00023E71" w:rsidP="00BC0E8C">
      <w:pPr>
        <w:pStyle w:val="DGTextstand-alone"/>
        <w:rPr>
          <w:lang w:bidi="en-GB"/>
        </w:rPr>
      </w:pPr>
      <w:r w:rsidRPr="002C6EBF">
        <w:t>The princip</w:t>
      </w:r>
      <w:r>
        <w:t>al</w:t>
      </w:r>
      <w:r w:rsidRPr="002C6EBF">
        <w:t xml:space="preserve"> actuarial assumptions used in the valuation of the two main employee benefit schemes of the EU are shown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2435"/>
        <w:gridCol w:w="2435"/>
      </w:tblGrid>
      <w:tr w:rsidR="00807FFE" w14:paraId="7EC2BDC5" w14:textId="77777777">
        <w:trPr>
          <w:trHeigh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14:paraId="02DF7993" w14:textId="77777777" w:rsidR="00807FFE" w:rsidRDefault="00807FFE">
            <w:pPr>
              <w:pStyle w:val="DMETW36768BIPSPL"/>
              <w:jc w:val="right"/>
              <w:rPr>
                <w:rFonts w:ascii="Verdana" w:eastAsia="Verdana" w:hAnsi="Verdana" w:cs="Verdana"/>
                <w:noProof/>
                <w:color w:val="FFFFFF"/>
                <w:sz w:val="18"/>
                <w:lang w:bidi="en-GB"/>
              </w:rPr>
            </w:pPr>
            <w:bookmarkStart w:id="149" w:name="DOC_TBL00047_1_1"/>
            <w:bookmarkEnd w:id="149"/>
          </w:p>
        </w:tc>
        <w:tc>
          <w:tcPr>
            <w:tcW w:w="2435" w:type="dxa"/>
            <w:tcBorders>
              <w:top w:val="nil"/>
              <w:left w:val="nil"/>
              <w:bottom w:val="nil"/>
              <w:right w:val="nil"/>
              <w:tl2br w:val="nil"/>
              <w:tr2bl w:val="nil"/>
            </w:tcBorders>
            <w:shd w:val="solid" w:color="016794" w:fill="FFFFFF"/>
            <w:tcMar>
              <w:left w:w="60" w:type="dxa"/>
              <w:right w:w="60" w:type="dxa"/>
            </w:tcMar>
            <w:vAlign w:val="center"/>
          </w:tcPr>
          <w:p w14:paraId="5247B067" w14:textId="77777777" w:rsidR="00807FFE" w:rsidRDefault="00023E71">
            <w:pPr>
              <w:pStyle w:val="DMETW36768BIPSPL"/>
              <w:jc w:val="right"/>
              <w:rPr>
                <w:rFonts w:ascii="Verdana" w:eastAsia="Verdana" w:hAnsi="Verdana" w:cs="Verdana"/>
                <w:b/>
                <w:noProof/>
                <w:color w:val="FFFFFF"/>
                <w:sz w:val="18"/>
              </w:rPr>
            </w:pPr>
            <w:r>
              <w:rPr>
                <w:rFonts w:ascii="Verdana" w:eastAsia="Verdana" w:hAnsi="Verdana" w:cs="Verdana"/>
                <w:b/>
                <w:noProof/>
                <w:color w:val="FFFFFF"/>
                <w:sz w:val="18"/>
              </w:rPr>
              <w:t>2025</w:t>
            </w:r>
          </w:p>
        </w:tc>
        <w:tc>
          <w:tcPr>
            <w:tcW w:w="2435" w:type="dxa"/>
            <w:tcBorders>
              <w:top w:val="nil"/>
              <w:left w:val="nil"/>
              <w:bottom w:val="nil"/>
              <w:right w:val="nil"/>
              <w:tl2br w:val="nil"/>
              <w:tr2bl w:val="nil"/>
            </w:tcBorders>
            <w:shd w:val="solid" w:color="016794" w:fill="FFFFFF"/>
            <w:tcMar>
              <w:left w:w="60" w:type="dxa"/>
              <w:right w:w="60" w:type="dxa"/>
            </w:tcMar>
            <w:vAlign w:val="center"/>
          </w:tcPr>
          <w:p w14:paraId="23473B82" w14:textId="77777777" w:rsidR="00807FFE" w:rsidRDefault="00023E71">
            <w:pPr>
              <w:pStyle w:val="DMETW36768BIPSPL"/>
              <w:jc w:val="right"/>
              <w:rPr>
                <w:rFonts w:ascii="Verdana" w:eastAsia="Verdana" w:hAnsi="Verdana" w:cs="Verdana"/>
                <w:b/>
                <w:noProof/>
                <w:color w:val="FFFFFF"/>
                <w:sz w:val="18"/>
                <w:lang w:bidi="en-GB"/>
              </w:rPr>
            </w:pPr>
            <w:r>
              <w:rPr>
                <w:rFonts w:ascii="Verdana" w:eastAsia="Verdana" w:hAnsi="Verdana" w:cs="Verdana"/>
                <w:b/>
                <w:noProof/>
                <w:color w:val="FFFFFF"/>
                <w:sz w:val="18"/>
              </w:rPr>
              <w:t>2024</w:t>
            </w:r>
          </w:p>
        </w:tc>
      </w:tr>
      <w:tr w:rsidR="00807FFE" w14:paraId="4C9F605D"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0FF71CB7" w14:textId="77777777" w:rsidR="00807FFE" w:rsidRDefault="00023E71">
            <w:pPr>
              <w:pStyle w:val="DMETW36768BIPSPL"/>
              <w:rPr>
                <w:rFonts w:ascii="Verdana" w:eastAsia="Verdana" w:hAnsi="Verdana" w:cs="Verdana"/>
                <w:b/>
                <w:noProof/>
                <w:color w:val="000000"/>
                <w:sz w:val="18"/>
              </w:rPr>
            </w:pPr>
            <w:r>
              <w:rPr>
                <w:rFonts w:ascii="Verdana" w:eastAsia="Verdana" w:hAnsi="Verdana" w:cs="Verdana"/>
                <w:b/>
                <w:noProof/>
                <w:color w:val="000000"/>
                <w:sz w:val="18"/>
              </w:rPr>
              <w:t>Pension Scheme of European Officials</w:t>
            </w:r>
          </w:p>
        </w:tc>
        <w:tc>
          <w:tcPr>
            <w:tcW w:w="2435" w:type="dxa"/>
            <w:tcBorders>
              <w:top w:val="nil"/>
              <w:left w:val="nil"/>
              <w:bottom w:val="nil"/>
              <w:right w:val="nil"/>
              <w:tl2br w:val="nil"/>
              <w:tr2bl w:val="nil"/>
            </w:tcBorders>
            <w:tcMar>
              <w:left w:w="60" w:type="dxa"/>
              <w:right w:w="60" w:type="dxa"/>
            </w:tcMar>
            <w:vAlign w:val="center"/>
          </w:tcPr>
          <w:p w14:paraId="16154C8F" w14:textId="77777777" w:rsidR="00807FFE" w:rsidRDefault="00807FFE">
            <w:pPr>
              <w:pStyle w:val="DMETW36768BIPSPL"/>
              <w:jc w:val="right"/>
              <w:rPr>
                <w:rFonts w:ascii="Verdana" w:eastAsia="Verdana" w:hAnsi="Verdana" w:cs="Verdana"/>
                <w:b/>
                <w:noProof/>
                <w:color w:val="000000"/>
                <w:sz w:val="18"/>
              </w:rPr>
            </w:pPr>
          </w:p>
        </w:tc>
        <w:tc>
          <w:tcPr>
            <w:tcW w:w="2435" w:type="dxa"/>
            <w:tcBorders>
              <w:top w:val="nil"/>
              <w:left w:val="nil"/>
              <w:bottom w:val="nil"/>
              <w:right w:val="nil"/>
              <w:tl2br w:val="nil"/>
              <w:tr2bl w:val="nil"/>
            </w:tcBorders>
            <w:tcMar>
              <w:left w:w="60" w:type="dxa"/>
              <w:right w:w="60" w:type="dxa"/>
            </w:tcMar>
            <w:vAlign w:val="bottom"/>
          </w:tcPr>
          <w:p w14:paraId="4A26C6A4" w14:textId="77777777" w:rsidR="00807FFE" w:rsidRDefault="00807FFE">
            <w:pPr>
              <w:pStyle w:val="DMETW36768BIPSPL"/>
              <w:jc w:val="right"/>
              <w:rPr>
                <w:rFonts w:ascii="Verdana" w:eastAsia="Verdana" w:hAnsi="Verdana" w:cs="Verdana"/>
                <w:noProof/>
                <w:color w:val="000000"/>
                <w:sz w:val="18"/>
                <w:lang w:bidi="en-GB"/>
              </w:rPr>
            </w:pPr>
          </w:p>
        </w:tc>
      </w:tr>
      <w:tr w:rsidR="00807FFE" w14:paraId="2C8D8469"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1940A103"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 xml:space="preserve">Nominal discount rate </w:t>
            </w:r>
          </w:p>
        </w:tc>
        <w:tc>
          <w:tcPr>
            <w:tcW w:w="2435" w:type="dxa"/>
            <w:tcBorders>
              <w:top w:val="nil"/>
              <w:left w:val="nil"/>
              <w:bottom w:val="nil"/>
              <w:right w:val="nil"/>
              <w:tl2br w:val="nil"/>
              <w:tr2bl w:val="nil"/>
            </w:tcBorders>
            <w:tcMar>
              <w:left w:w="60" w:type="dxa"/>
              <w:right w:w="60" w:type="dxa"/>
            </w:tcMar>
            <w:vAlign w:val="center"/>
          </w:tcPr>
          <w:p w14:paraId="5F6D9FAB"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3.8%</w:t>
            </w:r>
          </w:p>
        </w:tc>
        <w:tc>
          <w:tcPr>
            <w:tcW w:w="2435" w:type="dxa"/>
            <w:tcBorders>
              <w:top w:val="nil"/>
              <w:left w:val="nil"/>
              <w:bottom w:val="nil"/>
              <w:right w:val="nil"/>
              <w:tl2br w:val="nil"/>
              <w:tr2bl w:val="nil"/>
            </w:tcBorders>
            <w:tcMar>
              <w:left w:w="60" w:type="dxa"/>
              <w:right w:w="60" w:type="dxa"/>
            </w:tcMar>
            <w:vAlign w:val="center"/>
          </w:tcPr>
          <w:p w14:paraId="0B934A13"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3.3%</w:t>
            </w:r>
          </w:p>
        </w:tc>
      </w:tr>
      <w:tr w:rsidR="00807FFE" w14:paraId="188BC960"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4C1D6AE3"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 xml:space="preserve">Expected inflation rate </w:t>
            </w:r>
          </w:p>
        </w:tc>
        <w:tc>
          <w:tcPr>
            <w:tcW w:w="2435" w:type="dxa"/>
            <w:tcBorders>
              <w:top w:val="nil"/>
              <w:left w:val="nil"/>
              <w:bottom w:val="nil"/>
              <w:right w:val="nil"/>
              <w:tl2br w:val="nil"/>
              <w:tr2bl w:val="nil"/>
            </w:tcBorders>
            <w:tcMar>
              <w:left w:w="60" w:type="dxa"/>
              <w:right w:w="60" w:type="dxa"/>
            </w:tcMar>
            <w:vAlign w:val="center"/>
          </w:tcPr>
          <w:p w14:paraId="1F9A6FE4"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2.0%</w:t>
            </w:r>
          </w:p>
        </w:tc>
        <w:tc>
          <w:tcPr>
            <w:tcW w:w="2435" w:type="dxa"/>
            <w:tcBorders>
              <w:top w:val="nil"/>
              <w:left w:val="nil"/>
              <w:bottom w:val="nil"/>
              <w:right w:val="nil"/>
              <w:tl2br w:val="nil"/>
              <w:tr2bl w:val="nil"/>
            </w:tcBorders>
            <w:tcMar>
              <w:left w:w="60" w:type="dxa"/>
              <w:right w:w="60" w:type="dxa"/>
            </w:tcMar>
            <w:vAlign w:val="center"/>
          </w:tcPr>
          <w:p w14:paraId="02C3471D"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2.0%</w:t>
            </w:r>
          </w:p>
        </w:tc>
      </w:tr>
      <w:tr w:rsidR="00807FFE" w14:paraId="1FF8EC80"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45B9374D"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Real discount rate</w:t>
            </w:r>
          </w:p>
        </w:tc>
        <w:tc>
          <w:tcPr>
            <w:tcW w:w="2435" w:type="dxa"/>
            <w:tcBorders>
              <w:top w:val="nil"/>
              <w:left w:val="nil"/>
              <w:bottom w:val="nil"/>
              <w:right w:val="nil"/>
              <w:tl2br w:val="nil"/>
              <w:tr2bl w:val="nil"/>
            </w:tcBorders>
            <w:tcMar>
              <w:left w:w="60" w:type="dxa"/>
              <w:right w:w="60" w:type="dxa"/>
            </w:tcMar>
            <w:vAlign w:val="center"/>
          </w:tcPr>
          <w:p w14:paraId="6D8B6421"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1.8%</w:t>
            </w:r>
          </w:p>
        </w:tc>
        <w:tc>
          <w:tcPr>
            <w:tcW w:w="2435" w:type="dxa"/>
            <w:tcBorders>
              <w:top w:val="nil"/>
              <w:left w:val="nil"/>
              <w:bottom w:val="nil"/>
              <w:right w:val="nil"/>
              <w:tl2br w:val="nil"/>
              <w:tr2bl w:val="nil"/>
            </w:tcBorders>
            <w:tcMar>
              <w:left w:w="60" w:type="dxa"/>
              <w:right w:w="60" w:type="dxa"/>
            </w:tcMar>
            <w:vAlign w:val="center"/>
          </w:tcPr>
          <w:p w14:paraId="178D3A0E"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1.3%</w:t>
            </w:r>
          </w:p>
        </w:tc>
      </w:tr>
      <w:tr w:rsidR="00807FFE" w14:paraId="46EA6CE5"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2B95B3EE"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Expected rate of future salary increases</w:t>
            </w:r>
          </w:p>
        </w:tc>
        <w:tc>
          <w:tcPr>
            <w:tcW w:w="2435" w:type="dxa"/>
            <w:tcBorders>
              <w:top w:val="nil"/>
              <w:left w:val="nil"/>
              <w:bottom w:val="nil"/>
              <w:right w:val="nil"/>
              <w:tl2br w:val="nil"/>
              <w:tr2bl w:val="nil"/>
            </w:tcBorders>
            <w:tcMar>
              <w:left w:w="60" w:type="dxa"/>
              <w:right w:w="60" w:type="dxa"/>
            </w:tcMar>
            <w:vAlign w:val="center"/>
          </w:tcPr>
          <w:p w14:paraId="29248B9A"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1.4%</w:t>
            </w:r>
          </w:p>
        </w:tc>
        <w:tc>
          <w:tcPr>
            <w:tcW w:w="2435" w:type="dxa"/>
            <w:tcBorders>
              <w:top w:val="nil"/>
              <w:left w:val="nil"/>
              <w:bottom w:val="nil"/>
              <w:right w:val="nil"/>
              <w:tl2br w:val="nil"/>
              <w:tr2bl w:val="nil"/>
            </w:tcBorders>
            <w:tcMar>
              <w:left w:w="60" w:type="dxa"/>
              <w:right w:w="60" w:type="dxa"/>
            </w:tcMar>
            <w:vAlign w:val="center"/>
          </w:tcPr>
          <w:p w14:paraId="7A0C5A20"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1.3%</w:t>
            </w:r>
          </w:p>
        </w:tc>
      </w:tr>
      <w:tr w:rsidR="00807FFE" w14:paraId="0C338397" w14:textId="77777777">
        <w:trPr>
          <w:trHeight w:val="255"/>
        </w:trPr>
        <w:tc>
          <w:tcPr>
            <w:tcW w:w="4888" w:type="dxa"/>
            <w:tcBorders>
              <w:top w:val="nil"/>
              <w:left w:val="nil"/>
              <w:bottom w:val="single" w:sz="4" w:space="0" w:color="016794"/>
              <w:right w:val="nil"/>
              <w:tl2br w:val="nil"/>
              <w:tr2bl w:val="nil"/>
            </w:tcBorders>
            <w:tcMar>
              <w:left w:w="60" w:type="dxa"/>
              <w:right w:w="60" w:type="dxa"/>
            </w:tcMar>
            <w:vAlign w:val="center"/>
          </w:tcPr>
          <w:p w14:paraId="2A605CFE"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Retirement age</w:t>
            </w:r>
          </w:p>
        </w:tc>
        <w:tc>
          <w:tcPr>
            <w:tcW w:w="2435" w:type="dxa"/>
            <w:tcBorders>
              <w:top w:val="nil"/>
              <w:left w:val="nil"/>
              <w:bottom w:val="single" w:sz="4" w:space="0" w:color="016794"/>
              <w:right w:val="nil"/>
              <w:tl2br w:val="nil"/>
              <w:tr2bl w:val="nil"/>
            </w:tcBorders>
            <w:tcMar>
              <w:left w:w="60" w:type="dxa"/>
              <w:right w:w="60" w:type="dxa"/>
            </w:tcMar>
            <w:vAlign w:val="bottom"/>
          </w:tcPr>
          <w:p w14:paraId="4DDC40E8"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63/64/66</w:t>
            </w:r>
          </w:p>
        </w:tc>
        <w:tc>
          <w:tcPr>
            <w:tcW w:w="2435" w:type="dxa"/>
            <w:tcBorders>
              <w:top w:val="nil"/>
              <w:left w:val="nil"/>
              <w:bottom w:val="single" w:sz="4" w:space="0" w:color="016794"/>
              <w:right w:val="nil"/>
              <w:tl2br w:val="nil"/>
              <w:tr2bl w:val="nil"/>
            </w:tcBorders>
            <w:tcMar>
              <w:left w:w="60" w:type="dxa"/>
              <w:right w:w="60" w:type="dxa"/>
            </w:tcMar>
            <w:vAlign w:val="bottom"/>
          </w:tcPr>
          <w:p w14:paraId="15B2ECCF"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63/64/66</w:t>
            </w:r>
          </w:p>
        </w:tc>
      </w:tr>
      <w:tr w:rsidR="00807FFE" w14:paraId="156F955F" w14:textId="77777777">
        <w:trPr>
          <w:trHeight w:val="255"/>
        </w:trPr>
        <w:tc>
          <w:tcPr>
            <w:tcW w:w="4888" w:type="dxa"/>
            <w:tcBorders>
              <w:top w:val="single" w:sz="4" w:space="0" w:color="016794"/>
              <w:left w:val="nil"/>
              <w:bottom w:val="nil"/>
              <w:right w:val="nil"/>
              <w:tl2br w:val="nil"/>
              <w:tr2bl w:val="nil"/>
            </w:tcBorders>
            <w:tcMar>
              <w:left w:w="60" w:type="dxa"/>
              <w:right w:w="60" w:type="dxa"/>
            </w:tcMar>
            <w:vAlign w:val="center"/>
          </w:tcPr>
          <w:p w14:paraId="2F4BE8C9" w14:textId="77777777" w:rsidR="00807FFE" w:rsidRDefault="00023E71">
            <w:pPr>
              <w:pStyle w:val="DMETW36768BIPSPL"/>
              <w:rPr>
                <w:rFonts w:ascii="Verdana" w:eastAsia="Verdana" w:hAnsi="Verdana" w:cs="Verdana"/>
                <w:b/>
                <w:noProof/>
                <w:color w:val="000000"/>
                <w:sz w:val="18"/>
              </w:rPr>
            </w:pPr>
            <w:r>
              <w:rPr>
                <w:rFonts w:ascii="Verdana" w:eastAsia="Verdana" w:hAnsi="Verdana" w:cs="Verdana"/>
                <w:b/>
                <w:noProof/>
                <w:color w:val="000000"/>
                <w:sz w:val="18"/>
              </w:rPr>
              <w:t>Joint Sickness Insurance Scheme</w:t>
            </w:r>
          </w:p>
        </w:tc>
        <w:tc>
          <w:tcPr>
            <w:tcW w:w="2435" w:type="dxa"/>
            <w:tcBorders>
              <w:top w:val="single" w:sz="4" w:space="0" w:color="016794"/>
              <w:left w:val="nil"/>
              <w:bottom w:val="nil"/>
              <w:right w:val="nil"/>
              <w:tl2br w:val="nil"/>
              <w:tr2bl w:val="nil"/>
            </w:tcBorders>
            <w:tcMar>
              <w:left w:w="60" w:type="dxa"/>
              <w:right w:w="60" w:type="dxa"/>
            </w:tcMar>
            <w:vAlign w:val="center"/>
          </w:tcPr>
          <w:p w14:paraId="0E2E31F4" w14:textId="77777777" w:rsidR="00807FFE" w:rsidRDefault="00807FFE">
            <w:pPr>
              <w:pStyle w:val="DMETW36768BIPSPL"/>
              <w:jc w:val="right"/>
              <w:rPr>
                <w:rFonts w:ascii="Verdana" w:eastAsia="Verdana" w:hAnsi="Verdana" w:cs="Verdana"/>
                <w:b/>
                <w:noProof/>
                <w:color w:val="000000"/>
                <w:sz w:val="18"/>
              </w:rPr>
            </w:pPr>
          </w:p>
        </w:tc>
        <w:tc>
          <w:tcPr>
            <w:tcW w:w="2435" w:type="dxa"/>
            <w:tcBorders>
              <w:top w:val="single" w:sz="4" w:space="0" w:color="016794"/>
              <w:left w:val="nil"/>
              <w:bottom w:val="nil"/>
              <w:right w:val="nil"/>
              <w:tl2br w:val="nil"/>
              <w:tr2bl w:val="nil"/>
            </w:tcBorders>
            <w:tcMar>
              <w:left w:w="60" w:type="dxa"/>
              <w:right w:w="60" w:type="dxa"/>
            </w:tcMar>
            <w:vAlign w:val="center"/>
          </w:tcPr>
          <w:p w14:paraId="1D3F0355" w14:textId="77777777" w:rsidR="00807FFE" w:rsidRDefault="00807FFE">
            <w:pPr>
              <w:pStyle w:val="DMETW36768BIPSPL"/>
              <w:jc w:val="right"/>
              <w:rPr>
                <w:rFonts w:ascii="Verdana" w:eastAsia="Verdana" w:hAnsi="Verdana" w:cs="Verdana"/>
                <w:b/>
                <w:noProof/>
                <w:color w:val="000000"/>
                <w:sz w:val="18"/>
                <w:lang w:bidi="en-GB"/>
              </w:rPr>
            </w:pPr>
          </w:p>
        </w:tc>
      </w:tr>
      <w:tr w:rsidR="00807FFE" w14:paraId="7834BEFD"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74C2078B"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 xml:space="preserve">Nominal discount rate </w:t>
            </w:r>
          </w:p>
        </w:tc>
        <w:tc>
          <w:tcPr>
            <w:tcW w:w="2435" w:type="dxa"/>
            <w:tcBorders>
              <w:top w:val="nil"/>
              <w:left w:val="nil"/>
              <w:bottom w:val="nil"/>
              <w:right w:val="nil"/>
              <w:tl2br w:val="nil"/>
              <w:tr2bl w:val="nil"/>
            </w:tcBorders>
            <w:tcMar>
              <w:left w:w="60" w:type="dxa"/>
              <w:right w:w="60" w:type="dxa"/>
            </w:tcMar>
            <w:vAlign w:val="center"/>
          </w:tcPr>
          <w:p w14:paraId="52A85BE0"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3.8%</w:t>
            </w:r>
          </w:p>
        </w:tc>
        <w:tc>
          <w:tcPr>
            <w:tcW w:w="2435" w:type="dxa"/>
            <w:tcBorders>
              <w:top w:val="nil"/>
              <w:left w:val="nil"/>
              <w:bottom w:val="nil"/>
              <w:right w:val="nil"/>
              <w:tl2br w:val="nil"/>
              <w:tr2bl w:val="nil"/>
            </w:tcBorders>
            <w:tcMar>
              <w:left w:w="60" w:type="dxa"/>
              <w:right w:w="60" w:type="dxa"/>
            </w:tcMar>
            <w:vAlign w:val="center"/>
          </w:tcPr>
          <w:p w14:paraId="1FD98E4C"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3.3%</w:t>
            </w:r>
          </w:p>
        </w:tc>
      </w:tr>
      <w:tr w:rsidR="00807FFE" w14:paraId="5128F2BD"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1A8FF7C2"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 xml:space="preserve">Expected inflation rate </w:t>
            </w:r>
          </w:p>
        </w:tc>
        <w:tc>
          <w:tcPr>
            <w:tcW w:w="2435" w:type="dxa"/>
            <w:tcBorders>
              <w:top w:val="nil"/>
              <w:left w:val="nil"/>
              <w:bottom w:val="nil"/>
              <w:right w:val="nil"/>
              <w:tl2br w:val="nil"/>
              <w:tr2bl w:val="nil"/>
            </w:tcBorders>
            <w:tcMar>
              <w:left w:w="60" w:type="dxa"/>
              <w:right w:w="60" w:type="dxa"/>
            </w:tcMar>
            <w:vAlign w:val="center"/>
          </w:tcPr>
          <w:p w14:paraId="20208D18"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2.0%</w:t>
            </w:r>
          </w:p>
        </w:tc>
        <w:tc>
          <w:tcPr>
            <w:tcW w:w="2435" w:type="dxa"/>
            <w:tcBorders>
              <w:top w:val="nil"/>
              <w:left w:val="nil"/>
              <w:bottom w:val="nil"/>
              <w:right w:val="nil"/>
              <w:tl2br w:val="nil"/>
              <w:tr2bl w:val="nil"/>
            </w:tcBorders>
            <w:tcMar>
              <w:left w:w="60" w:type="dxa"/>
              <w:right w:w="60" w:type="dxa"/>
            </w:tcMar>
            <w:vAlign w:val="center"/>
          </w:tcPr>
          <w:p w14:paraId="1BD18D5D"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2.0%</w:t>
            </w:r>
          </w:p>
        </w:tc>
      </w:tr>
      <w:tr w:rsidR="00807FFE" w14:paraId="09AB7919"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2AF52137"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Real discount rate</w:t>
            </w:r>
          </w:p>
        </w:tc>
        <w:tc>
          <w:tcPr>
            <w:tcW w:w="2435" w:type="dxa"/>
            <w:tcBorders>
              <w:top w:val="nil"/>
              <w:left w:val="nil"/>
              <w:bottom w:val="nil"/>
              <w:right w:val="nil"/>
              <w:tl2br w:val="nil"/>
              <w:tr2bl w:val="nil"/>
            </w:tcBorders>
            <w:tcMar>
              <w:left w:w="60" w:type="dxa"/>
              <w:right w:w="60" w:type="dxa"/>
            </w:tcMar>
            <w:vAlign w:val="center"/>
          </w:tcPr>
          <w:p w14:paraId="19080BAE"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1.8%</w:t>
            </w:r>
          </w:p>
        </w:tc>
        <w:tc>
          <w:tcPr>
            <w:tcW w:w="2435" w:type="dxa"/>
            <w:tcBorders>
              <w:top w:val="nil"/>
              <w:left w:val="nil"/>
              <w:bottom w:val="nil"/>
              <w:right w:val="nil"/>
              <w:tl2br w:val="nil"/>
              <w:tr2bl w:val="nil"/>
            </w:tcBorders>
            <w:tcMar>
              <w:left w:w="60" w:type="dxa"/>
              <w:right w:w="60" w:type="dxa"/>
            </w:tcMar>
            <w:vAlign w:val="center"/>
          </w:tcPr>
          <w:p w14:paraId="64B4DDBD"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1.3%</w:t>
            </w:r>
          </w:p>
        </w:tc>
      </w:tr>
      <w:tr w:rsidR="00807FFE" w14:paraId="2FBE1DE9"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12517AF8"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Expected rate of future salary increases</w:t>
            </w:r>
          </w:p>
        </w:tc>
        <w:tc>
          <w:tcPr>
            <w:tcW w:w="2435" w:type="dxa"/>
            <w:tcBorders>
              <w:top w:val="nil"/>
              <w:left w:val="nil"/>
              <w:bottom w:val="nil"/>
              <w:right w:val="nil"/>
              <w:tl2br w:val="nil"/>
              <w:tr2bl w:val="nil"/>
            </w:tcBorders>
            <w:tcMar>
              <w:left w:w="60" w:type="dxa"/>
              <w:right w:w="60" w:type="dxa"/>
            </w:tcMar>
            <w:vAlign w:val="center"/>
          </w:tcPr>
          <w:p w14:paraId="5AE72920"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1.4%</w:t>
            </w:r>
          </w:p>
        </w:tc>
        <w:tc>
          <w:tcPr>
            <w:tcW w:w="2435" w:type="dxa"/>
            <w:tcBorders>
              <w:top w:val="nil"/>
              <w:left w:val="nil"/>
              <w:bottom w:val="nil"/>
              <w:right w:val="nil"/>
              <w:tl2br w:val="nil"/>
              <w:tr2bl w:val="nil"/>
            </w:tcBorders>
            <w:tcMar>
              <w:left w:w="60" w:type="dxa"/>
              <w:right w:w="60" w:type="dxa"/>
            </w:tcMar>
            <w:vAlign w:val="center"/>
          </w:tcPr>
          <w:p w14:paraId="712190D5"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1.3%</w:t>
            </w:r>
          </w:p>
        </w:tc>
      </w:tr>
      <w:tr w:rsidR="00807FFE" w14:paraId="1C3B106D" w14:textId="77777777">
        <w:trPr>
          <w:trHeight w:val="255"/>
        </w:trPr>
        <w:tc>
          <w:tcPr>
            <w:tcW w:w="4888" w:type="dxa"/>
            <w:tcBorders>
              <w:top w:val="nil"/>
              <w:left w:val="nil"/>
              <w:bottom w:val="nil"/>
              <w:right w:val="nil"/>
              <w:tl2br w:val="nil"/>
              <w:tr2bl w:val="nil"/>
            </w:tcBorders>
            <w:tcMar>
              <w:left w:w="60" w:type="dxa"/>
              <w:right w:w="60" w:type="dxa"/>
            </w:tcMar>
            <w:vAlign w:val="center"/>
          </w:tcPr>
          <w:p w14:paraId="2B8E4817"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Medical cost trend rates</w:t>
            </w:r>
          </w:p>
        </w:tc>
        <w:tc>
          <w:tcPr>
            <w:tcW w:w="2435" w:type="dxa"/>
            <w:tcBorders>
              <w:top w:val="nil"/>
              <w:left w:val="nil"/>
              <w:bottom w:val="nil"/>
              <w:right w:val="nil"/>
              <w:tl2br w:val="nil"/>
              <w:tr2bl w:val="nil"/>
            </w:tcBorders>
            <w:tcMar>
              <w:left w:w="60" w:type="dxa"/>
              <w:right w:w="60" w:type="dxa"/>
            </w:tcMar>
            <w:vAlign w:val="center"/>
          </w:tcPr>
          <w:p w14:paraId="0C706909"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0.9%</w:t>
            </w:r>
          </w:p>
        </w:tc>
        <w:tc>
          <w:tcPr>
            <w:tcW w:w="2435" w:type="dxa"/>
            <w:tcBorders>
              <w:top w:val="nil"/>
              <w:left w:val="nil"/>
              <w:bottom w:val="nil"/>
              <w:right w:val="nil"/>
              <w:tl2br w:val="nil"/>
              <w:tr2bl w:val="nil"/>
            </w:tcBorders>
            <w:tcMar>
              <w:left w:w="60" w:type="dxa"/>
              <w:right w:w="60" w:type="dxa"/>
            </w:tcMar>
            <w:vAlign w:val="center"/>
          </w:tcPr>
          <w:p w14:paraId="4F7A271B" w14:textId="77777777" w:rsidR="00807FFE" w:rsidRDefault="00023E71">
            <w:pPr>
              <w:pStyle w:val="DMETW36768BIPSPL"/>
              <w:jc w:val="right"/>
              <w:rPr>
                <w:rFonts w:ascii="Verdana" w:eastAsia="Verdana" w:hAnsi="Verdana" w:cs="Verdana"/>
                <w:i/>
                <w:noProof/>
                <w:color w:val="000000"/>
                <w:sz w:val="18"/>
                <w:lang w:bidi="en-GB"/>
              </w:rPr>
            </w:pPr>
            <w:r>
              <w:rPr>
                <w:rFonts w:ascii="Verdana" w:eastAsia="Verdana" w:hAnsi="Verdana" w:cs="Verdana"/>
                <w:i/>
                <w:noProof/>
                <w:color w:val="000000"/>
                <w:sz w:val="18"/>
              </w:rPr>
              <w:t>1.6%</w:t>
            </w:r>
          </w:p>
        </w:tc>
      </w:tr>
      <w:tr w:rsidR="00807FFE" w14:paraId="541D2A30" w14:textId="77777777">
        <w:trPr>
          <w:trHeight w:val="255"/>
        </w:trPr>
        <w:tc>
          <w:tcPr>
            <w:tcW w:w="4888" w:type="dxa"/>
            <w:tcBorders>
              <w:top w:val="nil"/>
              <w:left w:val="nil"/>
              <w:bottom w:val="single" w:sz="4" w:space="0" w:color="016794"/>
              <w:right w:val="nil"/>
              <w:tl2br w:val="nil"/>
              <w:tr2bl w:val="nil"/>
            </w:tcBorders>
            <w:tcMar>
              <w:left w:w="60" w:type="dxa"/>
              <w:right w:w="60" w:type="dxa"/>
            </w:tcMar>
            <w:vAlign w:val="center"/>
          </w:tcPr>
          <w:p w14:paraId="20F1E25E" w14:textId="77777777" w:rsidR="00807FFE" w:rsidRDefault="00023E71">
            <w:pPr>
              <w:pStyle w:val="DMETW36768BIPSPL"/>
              <w:rPr>
                <w:rFonts w:ascii="Verdana" w:eastAsia="Verdana" w:hAnsi="Verdana" w:cs="Verdana"/>
                <w:i/>
                <w:noProof/>
                <w:color w:val="000000"/>
                <w:sz w:val="18"/>
              </w:rPr>
            </w:pPr>
            <w:r>
              <w:rPr>
                <w:rFonts w:ascii="Verdana" w:eastAsia="Verdana" w:hAnsi="Verdana" w:cs="Verdana"/>
                <w:i/>
                <w:noProof/>
                <w:color w:val="000000"/>
                <w:sz w:val="18"/>
              </w:rPr>
              <w:t>Retirement age</w:t>
            </w:r>
          </w:p>
        </w:tc>
        <w:tc>
          <w:tcPr>
            <w:tcW w:w="2435" w:type="dxa"/>
            <w:tcBorders>
              <w:top w:val="nil"/>
              <w:left w:val="nil"/>
              <w:bottom w:val="single" w:sz="4" w:space="0" w:color="016794"/>
              <w:right w:val="nil"/>
              <w:tl2br w:val="nil"/>
              <w:tr2bl w:val="nil"/>
            </w:tcBorders>
            <w:tcMar>
              <w:left w:w="60" w:type="dxa"/>
              <w:right w:w="60" w:type="dxa"/>
            </w:tcMar>
            <w:vAlign w:val="bottom"/>
          </w:tcPr>
          <w:p w14:paraId="7A85EF89"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63/64/66</w:t>
            </w:r>
          </w:p>
        </w:tc>
        <w:tc>
          <w:tcPr>
            <w:tcW w:w="2435" w:type="dxa"/>
            <w:tcBorders>
              <w:top w:val="nil"/>
              <w:left w:val="nil"/>
              <w:bottom w:val="single" w:sz="4" w:space="0" w:color="016794"/>
              <w:right w:val="nil"/>
              <w:tl2br w:val="nil"/>
              <w:tr2bl w:val="nil"/>
            </w:tcBorders>
            <w:tcMar>
              <w:left w:w="60" w:type="dxa"/>
              <w:right w:w="60" w:type="dxa"/>
            </w:tcMar>
            <w:vAlign w:val="bottom"/>
          </w:tcPr>
          <w:p w14:paraId="7F434E3B" w14:textId="77777777" w:rsidR="00807FFE" w:rsidRDefault="00023E71">
            <w:pPr>
              <w:pStyle w:val="DMETW36768BIPSPL"/>
              <w:jc w:val="right"/>
              <w:rPr>
                <w:rFonts w:ascii="Verdana" w:eastAsia="Verdana" w:hAnsi="Verdana" w:cs="Verdana"/>
                <w:i/>
                <w:noProof/>
                <w:color w:val="000000"/>
                <w:sz w:val="18"/>
              </w:rPr>
            </w:pPr>
            <w:r>
              <w:rPr>
                <w:rFonts w:ascii="Verdana" w:eastAsia="Verdana" w:hAnsi="Verdana" w:cs="Verdana"/>
                <w:i/>
                <w:noProof/>
                <w:color w:val="000000"/>
                <w:sz w:val="18"/>
              </w:rPr>
              <w:t>63/64/66</w:t>
            </w:r>
          </w:p>
        </w:tc>
      </w:tr>
    </w:tbl>
    <w:p w14:paraId="7DE85DE8" w14:textId="77777777" w:rsidR="00575F2B" w:rsidRDefault="00023E71" w:rsidP="00575F2B">
      <w:pPr>
        <w:pStyle w:val="DGTextstand-alone"/>
      </w:pPr>
      <w:r w:rsidRPr="001D7399">
        <w:t>Mortality rates for 202</w:t>
      </w:r>
      <w:r>
        <w:t>5</w:t>
      </w:r>
      <w:r w:rsidRPr="001D7399">
        <w:t xml:space="preserve"> are based on the</w:t>
      </w:r>
      <w:r>
        <w:t xml:space="preserve"> updated</w:t>
      </w:r>
      <w:r w:rsidRPr="001D7399">
        <w:t xml:space="preserve"> EU Civil Servants Life Table – EULT 20</w:t>
      </w:r>
      <w:r>
        <w:t>23</w:t>
      </w:r>
      <w:r w:rsidRPr="001D7399">
        <w:t xml:space="preserve">, incorporating a dynamic trend over </w:t>
      </w:r>
      <w:r>
        <w:t>the next</w:t>
      </w:r>
      <w:r w:rsidRPr="001D7399">
        <w:t xml:space="preserve"> </w:t>
      </w:r>
      <w:r>
        <w:t>18</w:t>
      </w:r>
      <w:r w:rsidRPr="001D7399">
        <w:t xml:space="preserve"> year</w:t>
      </w:r>
      <w:r>
        <w:t>s</w:t>
      </w:r>
      <w:r w:rsidRPr="001D7399">
        <w:t>.</w:t>
      </w:r>
    </w:p>
    <w:p w14:paraId="566791C1" w14:textId="77777777" w:rsidR="00A82FA8" w:rsidRDefault="00023E71" w:rsidP="00575F2B">
      <w:pPr>
        <w:pStyle w:val="DGTextstand-alone"/>
      </w:pPr>
      <w:r w:rsidRPr="001D7399">
        <w:t>The nominal discount rate is determined as the value of the Euro zero-coupon yield (with a maturity of 1</w:t>
      </w:r>
      <w:r>
        <w:t>7</w:t>
      </w:r>
      <w:r w:rsidRPr="001D7399">
        <w:t xml:space="preserve"> years as of December 202</w:t>
      </w:r>
      <w:r>
        <w:t>5</w:t>
      </w:r>
      <w:r w:rsidRPr="001D7399">
        <w:t xml:space="preserve"> for the PSEO, and </w:t>
      </w:r>
      <w:r>
        <w:t>17</w:t>
      </w:r>
      <w:r w:rsidRPr="001D7399">
        <w:t xml:space="preserve"> years for the Joint Sickness Insurance Scheme). The inflation rate used is the expected inflation rate over the equivalent period</w:t>
      </w:r>
      <w:r>
        <w:t>: the break-even inflation is retrieved</w:t>
      </w:r>
      <w:r w:rsidRPr="001D7399">
        <w:t xml:space="preserve"> by </w:t>
      </w:r>
      <w:r>
        <w:t>comparing the yields of inflation</w:t>
      </w:r>
      <w:r w:rsidRPr="001D7399">
        <w:t>-linked</w:t>
      </w:r>
      <w:r>
        <w:t xml:space="preserve"> and regular government</w:t>
      </w:r>
      <w:r w:rsidRPr="001D7399">
        <w:t xml:space="preserve"> bonds o</w:t>
      </w:r>
      <w:r>
        <w:t>f</w:t>
      </w:r>
      <w:r w:rsidRPr="001D7399">
        <w:t xml:space="preserve"> the</w:t>
      </w:r>
      <w:r>
        <w:t xml:space="preserve"> main</w:t>
      </w:r>
      <w:r w:rsidRPr="001D7399">
        <w:t xml:space="preserve"> European financial markets. The real discount rate is calculated from the nominal discount rate and the expected long-term inflation rate</w:t>
      </w:r>
      <w:r w:rsidR="009E7E88" w:rsidRPr="00A82FA8">
        <w:t>.</w:t>
      </w:r>
    </w:p>
    <w:p w14:paraId="5E4F7858" w14:textId="77777777" w:rsidR="00962BF6" w:rsidRDefault="00023E71" w:rsidP="00172034">
      <w:pPr>
        <w:pStyle w:val="HEADER3NOTES"/>
        <w:numPr>
          <w:ilvl w:val="2"/>
          <w:numId w:val="15"/>
        </w:numPr>
        <w:rPr>
          <w:noProof/>
        </w:rPr>
      </w:pPr>
      <w:r w:rsidRPr="00962BF6">
        <w:rPr>
          <w:noProof/>
        </w:rPr>
        <w:t>Sensitivity analys</w:t>
      </w:r>
      <w:r>
        <w:rPr>
          <w:noProof/>
        </w:rPr>
        <w:t>i</w:t>
      </w:r>
      <w:r w:rsidRPr="00962BF6">
        <w:rPr>
          <w:noProof/>
        </w:rPr>
        <w:t xml:space="preserve">s </w:t>
      </w:r>
    </w:p>
    <w:p w14:paraId="29C8C301" w14:textId="77777777" w:rsidR="003D0F4B" w:rsidRDefault="00023E71" w:rsidP="00BC0E8C">
      <w:pPr>
        <w:pStyle w:val="DGTextstand-alone"/>
      </w:pPr>
      <w:r w:rsidRPr="00E37836">
        <w:t xml:space="preserve">The sensitivity analysis is based on </w:t>
      </w:r>
      <w:r>
        <w:t>simulations,</w:t>
      </w:r>
      <w:r w:rsidRPr="00E37836">
        <w:t xml:space="preserve"> which change,</w:t>
      </w:r>
      <w:r>
        <w:t xml:space="preserve"> everything else being equal, </w:t>
      </w:r>
      <w:r w:rsidRPr="00E37836">
        <w:t>the value of the concerned assumptions</w:t>
      </w:r>
      <w:r>
        <w:t>.</w:t>
      </w:r>
    </w:p>
    <w:p w14:paraId="15EDBA95" w14:textId="77777777" w:rsidR="000F0076" w:rsidRDefault="00023E71" w:rsidP="006709D8">
      <w:pPr>
        <w:pStyle w:val="DGTextstand-alone"/>
        <w:rPr>
          <w:color w:val="016794"/>
          <w:lang w:eastAsia="en-GB"/>
        </w:rPr>
      </w:pPr>
      <w:r w:rsidRPr="00962BF6">
        <w:rPr>
          <w:color w:val="016794"/>
          <w:lang w:eastAsia="en-GB"/>
        </w:rPr>
        <w:t>Pension Scheme of European Officials sensitivity</w:t>
      </w:r>
    </w:p>
    <w:p w14:paraId="5C1BA8F7" w14:textId="77777777" w:rsidR="0029779D" w:rsidRPr="00D91AD4" w:rsidRDefault="00023E71" w:rsidP="000F0076">
      <w:pPr>
        <w:pStyle w:val="DGTextstand-alone"/>
        <w:rPr>
          <w:lang w:eastAsia="en-GB"/>
        </w:rPr>
      </w:pPr>
      <w:r w:rsidRPr="00962BF6">
        <w:rPr>
          <w:lang w:eastAsia="en-GB"/>
        </w:rPr>
        <w:t xml:space="preserve">A ten basis point (0.1%) change in the assumed </w:t>
      </w:r>
      <w:r>
        <w:rPr>
          <w:lang w:eastAsia="en-GB"/>
        </w:rPr>
        <w:t xml:space="preserve">real </w:t>
      </w:r>
      <w:r w:rsidRPr="00962BF6">
        <w:rPr>
          <w:lang w:eastAsia="en-GB"/>
        </w:rPr>
        <w:t>discount rate would have the following effects: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rsidR="00807FFE" w14:paraId="66BE41EF" w14:textId="77777777">
        <w:trPr>
          <w:trHeight w:val="255"/>
        </w:trPr>
        <w:tc>
          <w:tcPr>
            <w:tcW w:w="3229" w:type="dxa"/>
            <w:tcBorders>
              <w:top w:val="nil"/>
              <w:left w:val="nil"/>
              <w:bottom w:val="nil"/>
              <w:right w:val="nil"/>
              <w:tl2br w:val="nil"/>
              <w:tr2bl w:val="nil"/>
            </w:tcBorders>
            <w:tcMar>
              <w:left w:w="60" w:type="dxa"/>
              <w:right w:w="60" w:type="dxa"/>
            </w:tcMar>
            <w:vAlign w:val="bottom"/>
          </w:tcPr>
          <w:p w14:paraId="2C2DE678" w14:textId="77777777" w:rsidR="00807FFE" w:rsidRDefault="00807FFE">
            <w:pPr>
              <w:pStyle w:val="DMETW36768BIPPENS10"/>
              <w:rPr>
                <w:rFonts w:ascii="Arial" w:eastAsia="Arial" w:hAnsi="Arial" w:cs="Arial"/>
                <w:noProof/>
                <w:color w:val="000000"/>
                <w:lang w:bidi="en-GB"/>
              </w:rPr>
            </w:pPr>
            <w:bookmarkStart w:id="150" w:name="DOC_TBL00048_1_1"/>
            <w:bookmarkEnd w:id="150"/>
          </w:p>
        </w:tc>
        <w:tc>
          <w:tcPr>
            <w:tcW w:w="1633" w:type="dxa"/>
            <w:tcBorders>
              <w:top w:val="nil"/>
              <w:left w:val="nil"/>
              <w:bottom w:val="nil"/>
              <w:right w:val="nil"/>
              <w:tl2br w:val="nil"/>
              <w:tr2bl w:val="nil"/>
            </w:tcBorders>
            <w:tcMar>
              <w:left w:w="60" w:type="dxa"/>
              <w:right w:w="60" w:type="dxa"/>
            </w:tcMar>
            <w:vAlign w:val="bottom"/>
          </w:tcPr>
          <w:p w14:paraId="77EF6228" w14:textId="77777777" w:rsidR="00807FFE" w:rsidRDefault="00807FFE">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35958D32" w14:textId="77777777" w:rsidR="00807FFE" w:rsidRDefault="00807FFE">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455689F6" w14:textId="77777777" w:rsidR="00807FFE" w:rsidRDefault="00807FFE">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23F77132" w14:textId="77777777" w:rsidR="00807FFE" w:rsidRDefault="00023E71">
            <w:pPr>
              <w:pStyle w:val="DMETW36768BIPPENS10"/>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6FE72D3"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2BF46590" w14:textId="77777777" w:rsidR="00807FFE" w:rsidRDefault="00807FFE">
            <w:pPr>
              <w:pStyle w:val="DMETW36768BIPPENS10"/>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14:paraId="59E902D4" w14:textId="77777777" w:rsidR="00807FFE" w:rsidRDefault="00023E71">
            <w:pPr>
              <w:pStyle w:val="DMETW36768BIPPENS10"/>
              <w:jc w:val="center"/>
              <w:rPr>
                <w:rFonts w:ascii="Verdana" w:eastAsia="Verdana" w:hAnsi="Verdana" w:cs="Verdana"/>
                <w:noProof/>
                <w:color w:val="FFFFFF"/>
                <w:sz w:val="18"/>
              </w:rPr>
            </w:pPr>
            <w:r>
              <w:rPr>
                <w:rFonts w:ascii="Verdana" w:eastAsia="Verdana" w:hAnsi="Verdana" w:cs="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14:paraId="5B1E5DB9" w14:textId="77777777" w:rsidR="00807FFE" w:rsidRDefault="00023E71">
            <w:pPr>
              <w:pStyle w:val="DMETW36768BIPPENS10"/>
              <w:jc w:val="center"/>
              <w:rPr>
                <w:rFonts w:ascii="Verdana" w:eastAsia="Verdana" w:hAnsi="Verdana" w:cs="Verdana"/>
                <w:noProof/>
                <w:color w:val="FFFFFF"/>
                <w:sz w:val="18"/>
                <w:lang w:bidi="en-GB"/>
              </w:rPr>
            </w:pPr>
            <w:r>
              <w:rPr>
                <w:rFonts w:ascii="Verdana" w:eastAsia="Verdana" w:hAnsi="Verdana" w:cs="Verdana"/>
                <w:noProof/>
                <w:color w:val="FFFFFF"/>
                <w:sz w:val="18"/>
              </w:rPr>
              <w:t>2024</w:t>
            </w:r>
          </w:p>
        </w:tc>
      </w:tr>
      <w:tr w:rsidR="00807FFE" w14:paraId="4056D43E"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5A87E2B7" w14:textId="77777777" w:rsidR="00807FFE" w:rsidRDefault="00807FFE">
            <w:pPr>
              <w:pStyle w:val="DMETW36768BIPPENS10"/>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14:paraId="2A116D0F" w14:textId="77777777" w:rsidR="00807FFE" w:rsidRDefault="00023E71">
            <w:pPr>
              <w:pStyle w:val="DMETW36768BIPPENS10"/>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7991A579" w14:textId="77777777" w:rsidR="00807FFE" w:rsidRDefault="00023E71">
            <w:pPr>
              <w:pStyle w:val="DMETW36768BIPPENS10"/>
              <w:jc w:val="right"/>
              <w:rPr>
                <w:rFonts w:ascii="Verdana" w:eastAsia="Verdana" w:hAnsi="Verdana" w:cs="Verdana"/>
                <w:noProof/>
                <w:color w:val="FFFFFF"/>
                <w:sz w:val="18"/>
              </w:rPr>
            </w:pPr>
            <w:r>
              <w:rPr>
                <w:rFonts w:ascii="Verdana" w:eastAsia="Verdana" w:hAnsi="Verdana" w:cs="Verdana"/>
                <w:noProof/>
                <w:color w:val="FFFFFF"/>
                <w:sz w:val="18"/>
              </w:rPr>
              <w:t>Decrease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638608AB" w14:textId="77777777" w:rsidR="00807FFE" w:rsidRDefault="00023E71">
            <w:pPr>
              <w:pStyle w:val="DMETW36768BIPPENS10"/>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28076FC0" w14:textId="77777777" w:rsidR="00807FFE" w:rsidRDefault="00023E71">
            <w:pPr>
              <w:pStyle w:val="DMETW36768BIPPENS10"/>
              <w:jc w:val="right"/>
              <w:rPr>
                <w:rFonts w:ascii="Verdana" w:eastAsia="Verdana" w:hAnsi="Verdana" w:cs="Verdana"/>
                <w:noProof/>
                <w:color w:val="FFFFFF"/>
                <w:sz w:val="18"/>
                <w:lang w:bidi="en-GB"/>
              </w:rPr>
            </w:pPr>
            <w:r>
              <w:rPr>
                <w:rFonts w:ascii="Verdana" w:eastAsia="Verdana" w:hAnsi="Verdana" w:cs="Verdana"/>
                <w:noProof/>
                <w:color w:val="FFFFFF"/>
                <w:sz w:val="18"/>
              </w:rPr>
              <w:t>Decrease 0.1%</w:t>
            </w:r>
          </w:p>
        </w:tc>
      </w:tr>
      <w:tr w:rsidR="00807FFE" w14:paraId="3E0A6A83" w14:textId="77777777">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14:paraId="5E1930E7" w14:textId="77777777" w:rsidR="00807FFE" w:rsidRDefault="00023E71">
            <w:pPr>
              <w:pStyle w:val="DMETW36768BIPPENS10"/>
              <w:rPr>
                <w:rFonts w:ascii="Verdana" w:eastAsia="Verdana" w:hAnsi="Verdana" w:cs="Verdana"/>
                <w:i/>
                <w:noProof/>
                <w:color w:val="000000"/>
                <w:sz w:val="18"/>
              </w:rPr>
            </w:pPr>
            <w:r>
              <w:rPr>
                <w:rFonts w:ascii="Verdana" w:eastAsia="Verdana" w:hAnsi="Verdana" w:cs="Verdana"/>
                <w:i/>
                <w:noProof/>
                <w:color w:val="000000"/>
                <w:sz w:val="18"/>
              </w:rPr>
              <w:t>Defined benefit obligation</w:t>
            </w:r>
          </w:p>
        </w:tc>
        <w:tc>
          <w:tcPr>
            <w:tcW w:w="1633" w:type="dxa"/>
            <w:tcBorders>
              <w:top w:val="nil"/>
              <w:left w:val="nil"/>
              <w:bottom w:val="single" w:sz="4" w:space="0" w:color="016794"/>
              <w:right w:val="nil"/>
              <w:tl2br w:val="nil"/>
              <w:tr2bl w:val="nil"/>
            </w:tcBorders>
            <w:tcMar>
              <w:left w:w="60" w:type="dxa"/>
              <w:right w:w="60" w:type="dxa"/>
            </w:tcMar>
            <w:vAlign w:val="center"/>
          </w:tcPr>
          <w:p w14:paraId="0775FAB8" w14:textId="77777777" w:rsidR="00807FFE" w:rsidRDefault="00023E71">
            <w:pPr>
              <w:pStyle w:val="DMETW36768BIPPENS10"/>
              <w:jc w:val="right"/>
              <w:rPr>
                <w:rFonts w:ascii="Verdana" w:eastAsia="Verdana" w:hAnsi="Verdana" w:cs="Verdana"/>
                <w:i/>
                <w:noProof/>
                <w:color w:val="000000"/>
                <w:sz w:val="18"/>
              </w:rPr>
            </w:pPr>
            <w:r>
              <w:rPr>
                <w:rFonts w:ascii="Verdana" w:eastAsia="Verdana" w:hAnsi="Verdana" w:cs="Verdana"/>
                <w:i/>
                <w:noProof/>
                <w:color w:val="000000"/>
                <w:sz w:val="18"/>
              </w:rPr>
              <w:t>(1 436)</w:t>
            </w:r>
          </w:p>
        </w:tc>
        <w:tc>
          <w:tcPr>
            <w:tcW w:w="1632" w:type="dxa"/>
            <w:tcBorders>
              <w:top w:val="nil"/>
              <w:left w:val="nil"/>
              <w:bottom w:val="single" w:sz="4" w:space="0" w:color="016794"/>
              <w:right w:val="nil"/>
              <w:tl2br w:val="nil"/>
              <w:tr2bl w:val="nil"/>
            </w:tcBorders>
            <w:tcMar>
              <w:left w:w="60" w:type="dxa"/>
              <w:right w:w="60" w:type="dxa"/>
            </w:tcMar>
            <w:vAlign w:val="center"/>
          </w:tcPr>
          <w:p w14:paraId="54200E6E" w14:textId="77777777" w:rsidR="00807FFE" w:rsidRDefault="00023E71">
            <w:pPr>
              <w:pStyle w:val="DMETW36768BIPPENS10"/>
              <w:jc w:val="right"/>
              <w:rPr>
                <w:rFonts w:ascii="Verdana" w:eastAsia="Verdana" w:hAnsi="Verdana" w:cs="Verdana"/>
                <w:i/>
                <w:noProof/>
                <w:color w:val="000000"/>
                <w:sz w:val="18"/>
              </w:rPr>
            </w:pPr>
            <w:r>
              <w:rPr>
                <w:rFonts w:ascii="Verdana" w:eastAsia="Verdana" w:hAnsi="Verdana" w:cs="Verdana"/>
                <w:i/>
                <w:noProof/>
                <w:color w:val="000000"/>
                <w:sz w:val="18"/>
              </w:rPr>
              <w:t>1 474</w:t>
            </w:r>
          </w:p>
        </w:tc>
        <w:tc>
          <w:tcPr>
            <w:tcW w:w="1632" w:type="dxa"/>
            <w:tcBorders>
              <w:top w:val="nil"/>
              <w:left w:val="nil"/>
              <w:bottom w:val="single" w:sz="4" w:space="0" w:color="016794"/>
              <w:right w:val="nil"/>
              <w:tl2br w:val="nil"/>
              <w:tr2bl w:val="nil"/>
            </w:tcBorders>
            <w:tcMar>
              <w:left w:w="60" w:type="dxa"/>
              <w:right w:w="60" w:type="dxa"/>
            </w:tcMar>
            <w:vAlign w:val="center"/>
          </w:tcPr>
          <w:p w14:paraId="6CD66488" w14:textId="77777777" w:rsidR="00807FFE" w:rsidRDefault="00023E71">
            <w:pPr>
              <w:pStyle w:val="DMETW36768BIPPENS10"/>
              <w:jc w:val="right"/>
              <w:rPr>
                <w:rFonts w:ascii="Verdana" w:eastAsia="Verdana" w:hAnsi="Verdana" w:cs="Verdana"/>
                <w:i/>
                <w:noProof/>
                <w:color w:val="000000"/>
                <w:sz w:val="18"/>
              </w:rPr>
            </w:pPr>
            <w:r>
              <w:rPr>
                <w:rFonts w:ascii="Verdana" w:eastAsia="Verdana" w:hAnsi="Verdana" w:cs="Verdana"/>
                <w:i/>
                <w:noProof/>
                <w:color w:val="000000"/>
                <w:sz w:val="18"/>
              </w:rPr>
              <w:t>(1 516)</w:t>
            </w:r>
          </w:p>
        </w:tc>
        <w:tc>
          <w:tcPr>
            <w:tcW w:w="1632" w:type="dxa"/>
            <w:tcBorders>
              <w:top w:val="nil"/>
              <w:left w:val="nil"/>
              <w:bottom w:val="single" w:sz="4" w:space="0" w:color="016794"/>
              <w:right w:val="nil"/>
              <w:tl2br w:val="nil"/>
              <w:tr2bl w:val="nil"/>
            </w:tcBorders>
            <w:tcMar>
              <w:left w:w="60" w:type="dxa"/>
              <w:right w:w="60" w:type="dxa"/>
            </w:tcMar>
            <w:vAlign w:val="center"/>
          </w:tcPr>
          <w:p w14:paraId="77DB95B0" w14:textId="77777777" w:rsidR="00807FFE" w:rsidRDefault="00023E71">
            <w:pPr>
              <w:pStyle w:val="DMETW36768BIPPENS10"/>
              <w:jc w:val="right"/>
              <w:rPr>
                <w:rFonts w:ascii="Verdana" w:eastAsia="Verdana" w:hAnsi="Verdana" w:cs="Verdana"/>
                <w:i/>
                <w:noProof/>
                <w:color w:val="000000"/>
                <w:sz w:val="18"/>
              </w:rPr>
            </w:pPr>
            <w:r>
              <w:rPr>
                <w:rFonts w:ascii="Verdana" w:eastAsia="Verdana" w:hAnsi="Verdana" w:cs="Verdana"/>
                <w:i/>
                <w:noProof/>
                <w:color w:val="000000"/>
                <w:sz w:val="18"/>
              </w:rPr>
              <w:t>1 558</w:t>
            </w:r>
          </w:p>
        </w:tc>
      </w:tr>
    </w:tbl>
    <w:p w14:paraId="30A4FAE2" w14:textId="77777777" w:rsidR="00434E23" w:rsidRDefault="00434E23" w:rsidP="000F0076">
      <w:pPr>
        <w:pStyle w:val="DGTextstand-alone"/>
        <w:rPr>
          <w:lang w:bidi="en-GB"/>
        </w:rPr>
      </w:pPr>
    </w:p>
    <w:p w14:paraId="44397B08" w14:textId="77777777" w:rsidR="00434E23" w:rsidRDefault="00023E71">
      <w:pPr>
        <w:pBdr>
          <w:top w:val="nil"/>
          <w:left w:val="nil"/>
          <w:bottom w:val="nil"/>
          <w:right w:val="nil"/>
          <w:between w:val="nil"/>
          <w:bar w:val="nil"/>
        </w:pBdr>
        <w:rPr>
          <w:rFonts w:ascii="Verdana" w:eastAsia="Calibri" w:hAnsi="Verdana"/>
          <w:noProof/>
          <w:sz w:val="18"/>
          <w:szCs w:val="18"/>
          <w:lang w:bidi="en-GB"/>
        </w:rPr>
      </w:pPr>
      <w:r>
        <w:rPr>
          <w:noProof/>
          <w:lang w:bidi="en-GB"/>
        </w:rPr>
        <w:br w:type="page"/>
      </w:r>
    </w:p>
    <w:p w14:paraId="6C31ADF5" w14:textId="77777777" w:rsidR="000F0076" w:rsidRPr="007A61C3" w:rsidRDefault="00023E71" w:rsidP="000F0076">
      <w:pPr>
        <w:pStyle w:val="DGTextstand-alone"/>
        <w:rPr>
          <w:lang w:bidi="en-GB"/>
        </w:rPr>
      </w:pPr>
      <w:r w:rsidRPr="007A61C3">
        <w:rPr>
          <w:lang w:bidi="en-GB"/>
        </w:rPr>
        <w:t>A ten basis point (0.1%) change in expected salary increases would have the following effects: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rsidR="00807FFE" w14:paraId="79CC2036" w14:textId="77777777">
        <w:trPr>
          <w:trHeight w:val="255"/>
        </w:trPr>
        <w:tc>
          <w:tcPr>
            <w:tcW w:w="3229" w:type="dxa"/>
            <w:tcBorders>
              <w:top w:val="nil"/>
              <w:left w:val="nil"/>
              <w:bottom w:val="nil"/>
              <w:right w:val="nil"/>
              <w:tl2br w:val="nil"/>
              <w:tr2bl w:val="nil"/>
            </w:tcBorders>
            <w:tcMar>
              <w:left w:w="60" w:type="dxa"/>
              <w:right w:w="60" w:type="dxa"/>
            </w:tcMar>
            <w:vAlign w:val="bottom"/>
          </w:tcPr>
          <w:p w14:paraId="48EB77DB" w14:textId="77777777" w:rsidR="00807FFE" w:rsidRDefault="00807FFE">
            <w:pPr>
              <w:pStyle w:val="DMETW36768BIPPENS11"/>
              <w:rPr>
                <w:rFonts w:ascii="Arial" w:eastAsia="Arial" w:hAnsi="Arial" w:cs="Arial"/>
                <w:noProof/>
                <w:color w:val="000000"/>
                <w:lang w:bidi="en-GB"/>
              </w:rPr>
            </w:pPr>
            <w:bookmarkStart w:id="151" w:name="DOC_TBL00049_1_1"/>
            <w:bookmarkEnd w:id="151"/>
          </w:p>
        </w:tc>
        <w:tc>
          <w:tcPr>
            <w:tcW w:w="1633" w:type="dxa"/>
            <w:tcBorders>
              <w:top w:val="nil"/>
              <w:left w:val="nil"/>
              <w:bottom w:val="nil"/>
              <w:right w:val="nil"/>
              <w:tl2br w:val="nil"/>
              <w:tr2bl w:val="nil"/>
            </w:tcBorders>
            <w:tcMar>
              <w:left w:w="60" w:type="dxa"/>
              <w:right w:w="60" w:type="dxa"/>
            </w:tcMar>
            <w:vAlign w:val="bottom"/>
          </w:tcPr>
          <w:p w14:paraId="0C61DD1C" w14:textId="77777777" w:rsidR="00807FFE" w:rsidRDefault="00807FFE">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216C38C4" w14:textId="77777777" w:rsidR="00807FFE" w:rsidRDefault="00807FFE">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4FCA7684" w14:textId="77777777" w:rsidR="00807FFE" w:rsidRDefault="00807FFE">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25319274" w14:textId="77777777" w:rsidR="00807FFE" w:rsidRDefault="00023E71">
            <w:pPr>
              <w:pStyle w:val="DMETW36768BIPPENS11"/>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5063F6C"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26FCC10A" w14:textId="77777777" w:rsidR="00807FFE" w:rsidRDefault="00807FFE">
            <w:pPr>
              <w:pStyle w:val="DMETW36768BIPPENS11"/>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14:paraId="49865534" w14:textId="77777777" w:rsidR="00807FFE" w:rsidRDefault="00023E71">
            <w:pPr>
              <w:pStyle w:val="DMETW36768BIPPENS11"/>
              <w:jc w:val="center"/>
              <w:rPr>
                <w:rFonts w:ascii="Verdana" w:eastAsia="Verdana" w:hAnsi="Verdana" w:cs="Verdana"/>
                <w:noProof/>
                <w:color w:val="FFFFFF"/>
                <w:sz w:val="18"/>
              </w:rPr>
            </w:pPr>
            <w:r>
              <w:rPr>
                <w:rFonts w:ascii="Verdana" w:eastAsia="Verdana" w:hAnsi="Verdana" w:cs="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14:paraId="417F8B0D" w14:textId="77777777" w:rsidR="00807FFE" w:rsidRDefault="00023E71">
            <w:pPr>
              <w:pStyle w:val="DMETW36768BIPPENS11"/>
              <w:jc w:val="center"/>
              <w:rPr>
                <w:rFonts w:ascii="Verdana" w:eastAsia="Verdana" w:hAnsi="Verdana" w:cs="Verdana"/>
                <w:noProof/>
                <w:color w:val="FFFFFF"/>
                <w:sz w:val="18"/>
                <w:lang w:bidi="en-GB"/>
              </w:rPr>
            </w:pPr>
            <w:r>
              <w:rPr>
                <w:rFonts w:ascii="Verdana" w:eastAsia="Verdana" w:hAnsi="Verdana" w:cs="Verdana"/>
                <w:noProof/>
                <w:color w:val="FFFFFF"/>
                <w:sz w:val="18"/>
              </w:rPr>
              <w:t>2024</w:t>
            </w:r>
          </w:p>
        </w:tc>
      </w:tr>
      <w:tr w:rsidR="00807FFE" w14:paraId="38D0207D"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6BBBF9EF" w14:textId="77777777" w:rsidR="00807FFE" w:rsidRDefault="00807FFE">
            <w:pPr>
              <w:pStyle w:val="DMETW36768BIPPENS11"/>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14:paraId="25702EA7" w14:textId="77777777" w:rsidR="00807FFE" w:rsidRDefault="00023E71">
            <w:pPr>
              <w:pStyle w:val="DMETW36768BIPPENS11"/>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5BBA74A3" w14:textId="77777777" w:rsidR="00807FFE" w:rsidRDefault="00023E71">
            <w:pPr>
              <w:pStyle w:val="DMETW36768BIPPENS11"/>
              <w:jc w:val="right"/>
              <w:rPr>
                <w:rFonts w:ascii="Verdana" w:eastAsia="Verdana" w:hAnsi="Verdana" w:cs="Verdana"/>
                <w:noProof/>
                <w:color w:val="FFFFFF"/>
                <w:sz w:val="18"/>
              </w:rPr>
            </w:pPr>
            <w:r>
              <w:rPr>
                <w:rFonts w:ascii="Verdana" w:eastAsia="Verdana" w:hAnsi="Verdana" w:cs="Verdana"/>
                <w:noProof/>
                <w:color w:val="FFFFFF"/>
                <w:sz w:val="18"/>
              </w:rPr>
              <w:t>Decrease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1B19855B" w14:textId="77777777" w:rsidR="00807FFE" w:rsidRDefault="00023E71">
            <w:pPr>
              <w:pStyle w:val="DMETW36768BIPPENS11"/>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3D1DBC5D" w14:textId="77777777" w:rsidR="00807FFE" w:rsidRDefault="00023E71">
            <w:pPr>
              <w:pStyle w:val="DMETW36768BIPPENS11"/>
              <w:jc w:val="right"/>
              <w:rPr>
                <w:rFonts w:ascii="Verdana" w:eastAsia="Verdana" w:hAnsi="Verdana" w:cs="Verdana"/>
                <w:noProof/>
                <w:color w:val="FFFFFF"/>
                <w:sz w:val="18"/>
                <w:lang w:bidi="en-GB"/>
              </w:rPr>
            </w:pPr>
            <w:r>
              <w:rPr>
                <w:rFonts w:ascii="Verdana" w:eastAsia="Verdana" w:hAnsi="Verdana" w:cs="Verdana"/>
                <w:noProof/>
                <w:color w:val="FFFFFF"/>
                <w:sz w:val="18"/>
              </w:rPr>
              <w:t>Decrease 0.1%</w:t>
            </w:r>
          </w:p>
        </w:tc>
      </w:tr>
      <w:tr w:rsidR="00807FFE" w14:paraId="3C97FB45" w14:textId="77777777">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14:paraId="237B3A0C" w14:textId="77777777" w:rsidR="00807FFE" w:rsidRDefault="00023E71">
            <w:pPr>
              <w:pStyle w:val="DMETW36768BIPPENS11"/>
              <w:rPr>
                <w:rFonts w:ascii="Verdana" w:eastAsia="Verdana" w:hAnsi="Verdana" w:cs="Verdana"/>
                <w:i/>
                <w:noProof/>
                <w:color w:val="000000"/>
                <w:sz w:val="18"/>
              </w:rPr>
            </w:pPr>
            <w:r>
              <w:rPr>
                <w:rFonts w:ascii="Verdana" w:eastAsia="Verdana" w:hAnsi="Verdana" w:cs="Verdana"/>
                <w:i/>
                <w:noProof/>
                <w:color w:val="000000"/>
                <w:sz w:val="18"/>
              </w:rPr>
              <w:t>Defined benefit obligation</w:t>
            </w:r>
          </w:p>
        </w:tc>
        <w:tc>
          <w:tcPr>
            <w:tcW w:w="1633" w:type="dxa"/>
            <w:tcBorders>
              <w:top w:val="nil"/>
              <w:left w:val="nil"/>
              <w:bottom w:val="single" w:sz="4" w:space="0" w:color="016794"/>
              <w:right w:val="nil"/>
              <w:tl2br w:val="nil"/>
              <w:tr2bl w:val="nil"/>
            </w:tcBorders>
            <w:tcMar>
              <w:left w:w="60" w:type="dxa"/>
              <w:right w:w="60" w:type="dxa"/>
            </w:tcMar>
            <w:vAlign w:val="center"/>
          </w:tcPr>
          <w:p w14:paraId="496EA1A5" w14:textId="77777777" w:rsidR="00807FFE" w:rsidRDefault="00023E71">
            <w:pPr>
              <w:pStyle w:val="DMETW36768BIPPENS11"/>
              <w:jc w:val="right"/>
              <w:rPr>
                <w:rFonts w:ascii="Verdana" w:eastAsia="Verdana" w:hAnsi="Verdana" w:cs="Verdana"/>
                <w:i/>
                <w:noProof/>
                <w:color w:val="000000"/>
                <w:sz w:val="18"/>
              </w:rPr>
            </w:pPr>
            <w:r>
              <w:rPr>
                <w:rFonts w:ascii="Verdana" w:eastAsia="Verdana" w:hAnsi="Verdana" w:cs="Verdana"/>
                <w:i/>
                <w:noProof/>
                <w:color w:val="000000"/>
                <w:sz w:val="18"/>
              </w:rPr>
              <w:t>1 439</w:t>
            </w:r>
          </w:p>
        </w:tc>
        <w:tc>
          <w:tcPr>
            <w:tcW w:w="1632" w:type="dxa"/>
            <w:tcBorders>
              <w:top w:val="nil"/>
              <w:left w:val="nil"/>
              <w:bottom w:val="single" w:sz="4" w:space="0" w:color="016794"/>
              <w:right w:val="nil"/>
              <w:tl2br w:val="nil"/>
              <w:tr2bl w:val="nil"/>
            </w:tcBorders>
            <w:tcMar>
              <w:left w:w="60" w:type="dxa"/>
              <w:right w:w="60" w:type="dxa"/>
            </w:tcMar>
            <w:vAlign w:val="center"/>
          </w:tcPr>
          <w:p w14:paraId="343C1521" w14:textId="77777777" w:rsidR="00807FFE" w:rsidRDefault="00023E71">
            <w:pPr>
              <w:pStyle w:val="DMETW36768BIPPENS11"/>
              <w:jc w:val="right"/>
              <w:rPr>
                <w:rFonts w:ascii="Verdana" w:eastAsia="Verdana" w:hAnsi="Verdana" w:cs="Verdana"/>
                <w:i/>
                <w:noProof/>
                <w:color w:val="000000"/>
                <w:sz w:val="18"/>
              </w:rPr>
            </w:pPr>
            <w:r>
              <w:rPr>
                <w:rFonts w:ascii="Verdana" w:eastAsia="Verdana" w:hAnsi="Verdana" w:cs="Verdana"/>
                <w:i/>
                <w:noProof/>
                <w:color w:val="000000"/>
                <w:sz w:val="18"/>
              </w:rPr>
              <w:t>(1 404)</w:t>
            </w:r>
          </w:p>
        </w:tc>
        <w:tc>
          <w:tcPr>
            <w:tcW w:w="1632" w:type="dxa"/>
            <w:tcBorders>
              <w:top w:val="nil"/>
              <w:left w:val="nil"/>
              <w:bottom w:val="single" w:sz="4" w:space="0" w:color="016794"/>
              <w:right w:val="nil"/>
              <w:tl2br w:val="nil"/>
              <w:tr2bl w:val="nil"/>
            </w:tcBorders>
            <w:tcMar>
              <w:left w:w="60" w:type="dxa"/>
              <w:right w:w="60" w:type="dxa"/>
            </w:tcMar>
            <w:vAlign w:val="center"/>
          </w:tcPr>
          <w:p w14:paraId="000352D5" w14:textId="77777777" w:rsidR="00807FFE" w:rsidRDefault="00023E71">
            <w:pPr>
              <w:pStyle w:val="DMETW36768BIPPENS11"/>
              <w:jc w:val="right"/>
              <w:rPr>
                <w:rFonts w:ascii="Verdana" w:eastAsia="Verdana" w:hAnsi="Verdana" w:cs="Verdana"/>
                <w:i/>
                <w:noProof/>
                <w:color w:val="000000"/>
                <w:sz w:val="18"/>
              </w:rPr>
            </w:pPr>
            <w:r>
              <w:rPr>
                <w:rFonts w:ascii="Verdana" w:eastAsia="Verdana" w:hAnsi="Verdana" w:cs="Verdana"/>
                <w:i/>
                <w:noProof/>
                <w:color w:val="000000"/>
                <w:sz w:val="18"/>
              </w:rPr>
              <w:t>1 514</w:t>
            </w:r>
          </w:p>
        </w:tc>
        <w:tc>
          <w:tcPr>
            <w:tcW w:w="1632" w:type="dxa"/>
            <w:tcBorders>
              <w:top w:val="nil"/>
              <w:left w:val="nil"/>
              <w:bottom w:val="single" w:sz="4" w:space="0" w:color="016794"/>
              <w:right w:val="nil"/>
              <w:tl2br w:val="nil"/>
              <w:tr2bl w:val="nil"/>
            </w:tcBorders>
            <w:tcMar>
              <w:left w:w="60" w:type="dxa"/>
              <w:right w:w="60" w:type="dxa"/>
            </w:tcMar>
            <w:vAlign w:val="center"/>
          </w:tcPr>
          <w:p w14:paraId="1A8D5F91" w14:textId="77777777" w:rsidR="00807FFE" w:rsidRDefault="00023E71">
            <w:pPr>
              <w:pStyle w:val="DMETW36768BIPPENS11"/>
              <w:jc w:val="right"/>
              <w:rPr>
                <w:rFonts w:ascii="Verdana" w:eastAsia="Verdana" w:hAnsi="Verdana" w:cs="Verdana"/>
                <w:i/>
                <w:noProof/>
                <w:color w:val="000000"/>
                <w:sz w:val="18"/>
              </w:rPr>
            </w:pPr>
            <w:r>
              <w:rPr>
                <w:rFonts w:ascii="Verdana" w:eastAsia="Verdana" w:hAnsi="Verdana" w:cs="Verdana"/>
                <w:i/>
                <w:noProof/>
                <w:color w:val="000000"/>
                <w:sz w:val="18"/>
              </w:rPr>
              <w:t>(1 476)</w:t>
            </w:r>
          </w:p>
        </w:tc>
      </w:tr>
    </w:tbl>
    <w:p w14:paraId="2D8F5335" w14:textId="77777777" w:rsidR="000F0076" w:rsidRDefault="00023E71" w:rsidP="000F0076">
      <w:pPr>
        <w:pStyle w:val="DGTextstand-alone"/>
        <w:rPr>
          <w:lang w:bidi="en-GB"/>
        </w:rPr>
      </w:pPr>
      <w:r w:rsidRPr="007A61C3">
        <w:rPr>
          <w:lang w:bidi="en-GB"/>
        </w:rPr>
        <w:t>A one-year change in assumed retirement age would have the following effects: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1"/>
        <w:gridCol w:w="1820"/>
        <w:gridCol w:w="1819"/>
        <w:gridCol w:w="1819"/>
        <w:gridCol w:w="1819"/>
      </w:tblGrid>
      <w:tr w:rsidR="00807FFE" w14:paraId="3123F17A" w14:textId="77777777">
        <w:trPr>
          <w:trHeight w:val="255"/>
        </w:trPr>
        <w:tc>
          <w:tcPr>
            <w:tcW w:w="2481" w:type="dxa"/>
            <w:tcBorders>
              <w:top w:val="nil"/>
              <w:left w:val="nil"/>
              <w:bottom w:val="nil"/>
              <w:right w:val="nil"/>
              <w:tl2br w:val="nil"/>
              <w:tr2bl w:val="nil"/>
            </w:tcBorders>
            <w:tcMar>
              <w:left w:w="60" w:type="dxa"/>
              <w:right w:w="60" w:type="dxa"/>
            </w:tcMar>
            <w:vAlign w:val="bottom"/>
          </w:tcPr>
          <w:p w14:paraId="6E77DED5" w14:textId="77777777" w:rsidR="00807FFE" w:rsidRDefault="00807FFE">
            <w:pPr>
              <w:pStyle w:val="DMETW36768BIPPENS12"/>
              <w:rPr>
                <w:rFonts w:ascii="Arial" w:eastAsia="Arial" w:hAnsi="Arial" w:cs="Arial"/>
                <w:noProof/>
                <w:color w:val="000000"/>
                <w:lang w:bidi="en-GB"/>
              </w:rPr>
            </w:pPr>
            <w:bookmarkStart w:id="152" w:name="DOC_TBL00050_1_1"/>
            <w:bookmarkEnd w:id="152"/>
          </w:p>
        </w:tc>
        <w:tc>
          <w:tcPr>
            <w:tcW w:w="1820" w:type="dxa"/>
            <w:tcBorders>
              <w:top w:val="nil"/>
              <w:left w:val="nil"/>
              <w:bottom w:val="nil"/>
              <w:right w:val="nil"/>
              <w:tl2br w:val="nil"/>
              <w:tr2bl w:val="nil"/>
            </w:tcBorders>
            <w:tcMar>
              <w:left w:w="60" w:type="dxa"/>
              <w:right w:w="60" w:type="dxa"/>
            </w:tcMar>
            <w:vAlign w:val="bottom"/>
          </w:tcPr>
          <w:p w14:paraId="07AC95A2" w14:textId="77777777" w:rsidR="00807FFE" w:rsidRDefault="00807FFE">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14:paraId="02F50BE5" w14:textId="77777777" w:rsidR="00807FFE" w:rsidRDefault="00807FFE">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14:paraId="0DD611D5" w14:textId="77777777" w:rsidR="00807FFE" w:rsidRDefault="00807FFE">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14:paraId="6876D05A" w14:textId="77777777" w:rsidR="00807FFE" w:rsidRDefault="00023E71">
            <w:pPr>
              <w:pStyle w:val="DMETW36768BIPPENS12"/>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5BF7791" w14:textId="77777777">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14:paraId="4AF3948F" w14:textId="77777777" w:rsidR="00807FFE" w:rsidRDefault="00807FFE">
            <w:pPr>
              <w:pStyle w:val="DMETW36768BIPPENS12"/>
              <w:jc w:val="right"/>
              <w:rPr>
                <w:rFonts w:ascii="Verdana" w:eastAsia="Verdana" w:hAnsi="Verdana" w:cs="Verdana"/>
                <w:noProof/>
                <w:color w:val="FFFFFF"/>
                <w:sz w:val="18"/>
              </w:rPr>
            </w:pPr>
          </w:p>
        </w:tc>
        <w:tc>
          <w:tcPr>
            <w:tcW w:w="1820" w:type="dxa"/>
            <w:gridSpan w:val="2"/>
            <w:tcBorders>
              <w:top w:val="nil"/>
              <w:left w:val="nil"/>
              <w:bottom w:val="nil"/>
              <w:right w:val="nil"/>
              <w:tl2br w:val="nil"/>
              <w:tr2bl w:val="nil"/>
            </w:tcBorders>
            <w:shd w:val="solid" w:color="016794" w:fill="FFFFFF"/>
            <w:tcMar>
              <w:left w:w="60" w:type="dxa"/>
              <w:right w:w="60" w:type="dxa"/>
            </w:tcMar>
            <w:vAlign w:val="center"/>
          </w:tcPr>
          <w:p w14:paraId="7D971779" w14:textId="77777777" w:rsidR="00807FFE" w:rsidRDefault="00023E71">
            <w:pPr>
              <w:pStyle w:val="DMETW36768BIPPENS12"/>
              <w:jc w:val="center"/>
              <w:rPr>
                <w:rFonts w:ascii="Verdana" w:eastAsia="Verdana" w:hAnsi="Verdana" w:cs="Verdana"/>
                <w:noProof/>
                <w:color w:val="FFFFFF"/>
                <w:sz w:val="18"/>
              </w:rPr>
            </w:pPr>
            <w:r>
              <w:rPr>
                <w:rFonts w:ascii="Verdana" w:eastAsia="Verdana" w:hAnsi="Verdana" w:cs="Verdana"/>
                <w:noProof/>
                <w:color w:val="FFFFFF"/>
                <w:sz w:val="18"/>
              </w:rPr>
              <w:t>2025</w:t>
            </w:r>
          </w:p>
        </w:tc>
        <w:tc>
          <w:tcPr>
            <w:tcW w:w="1819" w:type="dxa"/>
            <w:gridSpan w:val="2"/>
            <w:tcBorders>
              <w:top w:val="nil"/>
              <w:left w:val="nil"/>
              <w:bottom w:val="nil"/>
              <w:right w:val="nil"/>
              <w:tl2br w:val="nil"/>
              <w:tr2bl w:val="nil"/>
            </w:tcBorders>
            <w:shd w:val="solid" w:color="016794" w:fill="FFFFFF"/>
            <w:tcMar>
              <w:left w:w="60" w:type="dxa"/>
              <w:right w:w="60" w:type="dxa"/>
            </w:tcMar>
            <w:vAlign w:val="center"/>
          </w:tcPr>
          <w:p w14:paraId="286C81E2" w14:textId="77777777" w:rsidR="00807FFE" w:rsidRDefault="00023E71">
            <w:pPr>
              <w:pStyle w:val="DMETW36768BIPPENS12"/>
              <w:jc w:val="center"/>
              <w:rPr>
                <w:rFonts w:ascii="Verdana" w:eastAsia="Verdana" w:hAnsi="Verdana" w:cs="Verdana"/>
                <w:noProof/>
                <w:color w:val="FFFFFF"/>
                <w:sz w:val="18"/>
                <w:lang w:bidi="en-GB"/>
              </w:rPr>
            </w:pPr>
            <w:r>
              <w:rPr>
                <w:rFonts w:ascii="Verdana" w:eastAsia="Verdana" w:hAnsi="Verdana" w:cs="Verdana"/>
                <w:noProof/>
                <w:color w:val="FFFFFF"/>
                <w:sz w:val="18"/>
              </w:rPr>
              <w:t>2024</w:t>
            </w:r>
          </w:p>
        </w:tc>
      </w:tr>
      <w:tr w:rsidR="00807FFE" w14:paraId="3D4782E7" w14:textId="77777777">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14:paraId="7D5AE5EA" w14:textId="77777777" w:rsidR="00807FFE" w:rsidRDefault="00807FFE">
            <w:pPr>
              <w:pStyle w:val="DMETW36768BIPPENS12"/>
              <w:jc w:val="right"/>
              <w:rPr>
                <w:rFonts w:ascii="Verdana" w:eastAsia="Verdana" w:hAnsi="Verdana" w:cs="Verdana"/>
                <w:noProof/>
                <w:color w:val="FFFFFF"/>
                <w:sz w:val="18"/>
              </w:rPr>
            </w:pPr>
          </w:p>
        </w:tc>
        <w:tc>
          <w:tcPr>
            <w:tcW w:w="1820" w:type="dxa"/>
            <w:tcBorders>
              <w:top w:val="nil"/>
              <w:left w:val="nil"/>
              <w:bottom w:val="nil"/>
              <w:right w:val="nil"/>
              <w:tl2br w:val="nil"/>
              <w:tr2bl w:val="nil"/>
            </w:tcBorders>
            <w:shd w:val="solid" w:color="016794" w:fill="FFFFFF"/>
            <w:tcMar>
              <w:left w:w="60" w:type="dxa"/>
              <w:right w:w="60" w:type="dxa"/>
            </w:tcMar>
            <w:vAlign w:val="center"/>
          </w:tcPr>
          <w:p w14:paraId="233345F5" w14:textId="77777777" w:rsidR="00807FFE" w:rsidRDefault="00023E71">
            <w:pPr>
              <w:pStyle w:val="DMETW36768BIPPENS12"/>
              <w:jc w:val="right"/>
              <w:rPr>
                <w:rFonts w:ascii="Verdana" w:eastAsia="Verdana" w:hAnsi="Verdana" w:cs="Verdana"/>
                <w:noProof/>
                <w:color w:val="FFFFFF"/>
                <w:sz w:val="18"/>
              </w:rPr>
            </w:pPr>
            <w:r>
              <w:rPr>
                <w:rFonts w:ascii="Verdana" w:eastAsia="Verdana" w:hAnsi="Verdana" w:cs="Verdana"/>
                <w:noProof/>
                <w:color w:val="FFFFFF"/>
                <w:sz w:val="18"/>
              </w:rPr>
              <w:t>One year increase</w:t>
            </w:r>
          </w:p>
        </w:tc>
        <w:tc>
          <w:tcPr>
            <w:tcW w:w="1819" w:type="dxa"/>
            <w:tcBorders>
              <w:top w:val="nil"/>
              <w:left w:val="nil"/>
              <w:bottom w:val="nil"/>
              <w:right w:val="nil"/>
              <w:tl2br w:val="nil"/>
              <w:tr2bl w:val="nil"/>
            </w:tcBorders>
            <w:shd w:val="solid" w:color="016794" w:fill="FFFFFF"/>
            <w:tcMar>
              <w:left w:w="60" w:type="dxa"/>
              <w:right w:w="60" w:type="dxa"/>
            </w:tcMar>
            <w:vAlign w:val="center"/>
          </w:tcPr>
          <w:p w14:paraId="010F9CE7" w14:textId="77777777" w:rsidR="00807FFE" w:rsidRDefault="00023E71">
            <w:pPr>
              <w:pStyle w:val="DMETW36768BIPPENS12"/>
              <w:jc w:val="right"/>
              <w:rPr>
                <w:rFonts w:ascii="Verdana" w:eastAsia="Verdana" w:hAnsi="Verdana" w:cs="Verdana"/>
                <w:noProof/>
                <w:color w:val="FFFFFF"/>
                <w:sz w:val="18"/>
              </w:rPr>
            </w:pPr>
            <w:r>
              <w:rPr>
                <w:rFonts w:ascii="Verdana" w:eastAsia="Verdana" w:hAnsi="Verdana" w:cs="Verdana"/>
                <w:noProof/>
                <w:color w:val="FFFFFF"/>
                <w:sz w:val="18"/>
              </w:rPr>
              <w:t>One year decrease</w:t>
            </w:r>
          </w:p>
        </w:tc>
        <w:tc>
          <w:tcPr>
            <w:tcW w:w="1819" w:type="dxa"/>
            <w:tcBorders>
              <w:top w:val="nil"/>
              <w:left w:val="nil"/>
              <w:bottom w:val="nil"/>
              <w:right w:val="nil"/>
              <w:tl2br w:val="nil"/>
              <w:tr2bl w:val="nil"/>
            </w:tcBorders>
            <w:shd w:val="solid" w:color="016794" w:fill="FFFFFF"/>
            <w:tcMar>
              <w:left w:w="60" w:type="dxa"/>
              <w:right w:w="60" w:type="dxa"/>
            </w:tcMar>
            <w:vAlign w:val="center"/>
          </w:tcPr>
          <w:p w14:paraId="4F02F5AD" w14:textId="77777777" w:rsidR="00807FFE" w:rsidRDefault="00023E71">
            <w:pPr>
              <w:pStyle w:val="DMETW36768BIPPENS12"/>
              <w:jc w:val="right"/>
              <w:rPr>
                <w:rFonts w:ascii="Verdana" w:eastAsia="Verdana" w:hAnsi="Verdana" w:cs="Verdana"/>
                <w:noProof/>
                <w:color w:val="FFFFFF"/>
                <w:sz w:val="18"/>
              </w:rPr>
            </w:pPr>
            <w:r>
              <w:rPr>
                <w:rFonts w:ascii="Verdana" w:eastAsia="Verdana" w:hAnsi="Verdana" w:cs="Verdana"/>
                <w:noProof/>
                <w:color w:val="FFFFFF"/>
                <w:sz w:val="18"/>
              </w:rPr>
              <w:t>One year increase</w:t>
            </w:r>
          </w:p>
        </w:tc>
        <w:tc>
          <w:tcPr>
            <w:tcW w:w="1819" w:type="dxa"/>
            <w:tcBorders>
              <w:top w:val="nil"/>
              <w:left w:val="nil"/>
              <w:bottom w:val="nil"/>
              <w:right w:val="nil"/>
              <w:tl2br w:val="nil"/>
              <w:tr2bl w:val="nil"/>
            </w:tcBorders>
            <w:shd w:val="solid" w:color="016794" w:fill="FFFFFF"/>
            <w:tcMar>
              <w:left w:w="60" w:type="dxa"/>
              <w:right w:w="60" w:type="dxa"/>
            </w:tcMar>
            <w:vAlign w:val="center"/>
          </w:tcPr>
          <w:p w14:paraId="3F97CAAF" w14:textId="77777777" w:rsidR="00807FFE" w:rsidRDefault="00023E71">
            <w:pPr>
              <w:pStyle w:val="DMETW36768BIPPENS12"/>
              <w:jc w:val="right"/>
              <w:rPr>
                <w:rFonts w:ascii="Verdana" w:eastAsia="Verdana" w:hAnsi="Verdana" w:cs="Verdana"/>
                <w:noProof/>
                <w:color w:val="FFFFFF"/>
                <w:sz w:val="18"/>
                <w:lang w:bidi="en-GB"/>
              </w:rPr>
            </w:pPr>
            <w:r>
              <w:rPr>
                <w:rFonts w:ascii="Verdana" w:eastAsia="Verdana" w:hAnsi="Verdana" w:cs="Verdana"/>
                <w:noProof/>
                <w:color w:val="FFFFFF"/>
                <w:sz w:val="18"/>
              </w:rPr>
              <w:t>One year decrease</w:t>
            </w:r>
          </w:p>
        </w:tc>
      </w:tr>
      <w:tr w:rsidR="00807FFE" w14:paraId="3D290B9A" w14:textId="77777777">
        <w:trPr>
          <w:trHeight w:val="255"/>
        </w:trPr>
        <w:tc>
          <w:tcPr>
            <w:tcW w:w="2481" w:type="dxa"/>
            <w:tcBorders>
              <w:top w:val="nil"/>
              <w:left w:val="nil"/>
              <w:bottom w:val="single" w:sz="4" w:space="0" w:color="016794"/>
              <w:right w:val="nil"/>
              <w:tl2br w:val="nil"/>
              <w:tr2bl w:val="nil"/>
            </w:tcBorders>
            <w:tcMar>
              <w:left w:w="60" w:type="dxa"/>
              <w:right w:w="60" w:type="dxa"/>
            </w:tcMar>
            <w:vAlign w:val="center"/>
          </w:tcPr>
          <w:p w14:paraId="7B759DE6" w14:textId="77777777" w:rsidR="00807FFE" w:rsidRDefault="00023E71">
            <w:pPr>
              <w:pStyle w:val="DMETW36768BIPPENS12"/>
              <w:rPr>
                <w:rFonts w:ascii="Verdana" w:eastAsia="Verdana" w:hAnsi="Verdana" w:cs="Verdana"/>
                <w:i/>
                <w:noProof/>
                <w:color w:val="000000"/>
                <w:sz w:val="18"/>
              </w:rPr>
            </w:pPr>
            <w:r>
              <w:rPr>
                <w:rFonts w:ascii="Verdana" w:eastAsia="Verdana" w:hAnsi="Verdana" w:cs="Verdana"/>
                <w:i/>
                <w:noProof/>
                <w:color w:val="000000"/>
                <w:sz w:val="18"/>
              </w:rPr>
              <w:t>Defined benefit obligation</w:t>
            </w:r>
          </w:p>
        </w:tc>
        <w:tc>
          <w:tcPr>
            <w:tcW w:w="1820" w:type="dxa"/>
            <w:tcBorders>
              <w:top w:val="nil"/>
              <w:left w:val="nil"/>
              <w:bottom w:val="single" w:sz="4" w:space="0" w:color="016794"/>
              <w:right w:val="nil"/>
              <w:tl2br w:val="nil"/>
              <w:tr2bl w:val="nil"/>
            </w:tcBorders>
            <w:tcMar>
              <w:left w:w="60" w:type="dxa"/>
              <w:right w:w="60" w:type="dxa"/>
            </w:tcMar>
            <w:vAlign w:val="center"/>
          </w:tcPr>
          <w:p w14:paraId="6A37736B" w14:textId="77777777" w:rsidR="00807FFE" w:rsidRDefault="00023E71">
            <w:pPr>
              <w:pStyle w:val="DMETW36768BIPPENS12"/>
              <w:jc w:val="right"/>
              <w:rPr>
                <w:rFonts w:ascii="Verdana" w:eastAsia="Verdana" w:hAnsi="Verdana" w:cs="Verdana"/>
                <w:i/>
                <w:noProof/>
                <w:color w:val="000000"/>
                <w:sz w:val="18"/>
              </w:rPr>
            </w:pPr>
            <w:r>
              <w:rPr>
                <w:rFonts w:ascii="Verdana" w:eastAsia="Verdana" w:hAnsi="Verdana" w:cs="Verdana"/>
                <w:i/>
                <w:noProof/>
                <w:color w:val="000000"/>
                <w:sz w:val="18"/>
              </w:rPr>
              <w:t xml:space="preserve"> (751)</w:t>
            </w:r>
          </w:p>
        </w:tc>
        <w:tc>
          <w:tcPr>
            <w:tcW w:w="1819" w:type="dxa"/>
            <w:tcBorders>
              <w:top w:val="nil"/>
              <w:left w:val="nil"/>
              <w:bottom w:val="single" w:sz="4" w:space="0" w:color="016794"/>
              <w:right w:val="nil"/>
              <w:tl2br w:val="nil"/>
              <w:tr2bl w:val="nil"/>
            </w:tcBorders>
            <w:tcMar>
              <w:left w:w="60" w:type="dxa"/>
              <w:right w:w="60" w:type="dxa"/>
            </w:tcMar>
            <w:vAlign w:val="center"/>
          </w:tcPr>
          <w:p w14:paraId="6C53BB3E" w14:textId="77777777" w:rsidR="00807FFE" w:rsidRDefault="00023E71">
            <w:pPr>
              <w:pStyle w:val="DMETW36768BIPPENS12"/>
              <w:jc w:val="right"/>
              <w:rPr>
                <w:rFonts w:ascii="Verdana" w:eastAsia="Verdana" w:hAnsi="Verdana" w:cs="Verdana"/>
                <w:i/>
                <w:noProof/>
                <w:color w:val="000000"/>
                <w:sz w:val="18"/>
              </w:rPr>
            </w:pPr>
            <w:r>
              <w:rPr>
                <w:rFonts w:ascii="Verdana" w:eastAsia="Verdana" w:hAnsi="Verdana" w:cs="Verdana"/>
                <w:i/>
                <w:noProof/>
                <w:color w:val="000000"/>
                <w:sz w:val="18"/>
              </w:rPr>
              <w:t>1 078</w:t>
            </w:r>
          </w:p>
        </w:tc>
        <w:tc>
          <w:tcPr>
            <w:tcW w:w="1819" w:type="dxa"/>
            <w:tcBorders>
              <w:top w:val="nil"/>
              <w:left w:val="nil"/>
              <w:bottom w:val="single" w:sz="4" w:space="0" w:color="016794"/>
              <w:right w:val="nil"/>
              <w:tl2br w:val="nil"/>
              <w:tr2bl w:val="nil"/>
            </w:tcBorders>
            <w:tcMar>
              <w:left w:w="60" w:type="dxa"/>
              <w:right w:w="60" w:type="dxa"/>
            </w:tcMar>
            <w:vAlign w:val="center"/>
          </w:tcPr>
          <w:p w14:paraId="63431E86" w14:textId="77777777" w:rsidR="00807FFE" w:rsidRDefault="00023E71">
            <w:pPr>
              <w:pStyle w:val="DMETW36768BIPPENS12"/>
              <w:jc w:val="right"/>
              <w:rPr>
                <w:rFonts w:ascii="Verdana" w:eastAsia="Verdana" w:hAnsi="Verdana" w:cs="Verdana"/>
                <w:i/>
                <w:noProof/>
                <w:color w:val="000000"/>
                <w:sz w:val="18"/>
              </w:rPr>
            </w:pPr>
            <w:r>
              <w:rPr>
                <w:rFonts w:ascii="Verdana" w:eastAsia="Verdana" w:hAnsi="Verdana" w:cs="Verdana"/>
                <w:i/>
                <w:noProof/>
                <w:color w:val="000000"/>
                <w:sz w:val="18"/>
              </w:rPr>
              <w:t xml:space="preserve"> (799)</w:t>
            </w:r>
          </w:p>
        </w:tc>
        <w:tc>
          <w:tcPr>
            <w:tcW w:w="1819" w:type="dxa"/>
            <w:tcBorders>
              <w:top w:val="nil"/>
              <w:left w:val="nil"/>
              <w:bottom w:val="single" w:sz="4" w:space="0" w:color="016794"/>
              <w:right w:val="nil"/>
              <w:tl2br w:val="nil"/>
              <w:tr2bl w:val="nil"/>
            </w:tcBorders>
            <w:tcMar>
              <w:left w:w="60" w:type="dxa"/>
              <w:right w:w="60" w:type="dxa"/>
            </w:tcMar>
            <w:vAlign w:val="center"/>
          </w:tcPr>
          <w:p w14:paraId="20F6F531" w14:textId="77777777" w:rsidR="00807FFE" w:rsidRDefault="00023E71">
            <w:pPr>
              <w:pStyle w:val="DMETW36768BIPPENS12"/>
              <w:jc w:val="right"/>
              <w:rPr>
                <w:rFonts w:ascii="Verdana" w:eastAsia="Verdana" w:hAnsi="Verdana" w:cs="Verdana"/>
                <w:i/>
                <w:noProof/>
                <w:color w:val="000000"/>
                <w:sz w:val="18"/>
              </w:rPr>
            </w:pPr>
            <w:r>
              <w:rPr>
                <w:rFonts w:ascii="Verdana" w:eastAsia="Verdana" w:hAnsi="Verdana" w:cs="Verdana"/>
                <w:i/>
                <w:noProof/>
                <w:color w:val="000000"/>
                <w:sz w:val="18"/>
              </w:rPr>
              <w:t>1 109</w:t>
            </w:r>
          </w:p>
        </w:tc>
      </w:tr>
    </w:tbl>
    <w:p w14:paraId="6AAEF2A0" w14:textId="77777777" w:rsidR="00962BF6" w:rsidRDefault="00023E71" w:rsidP="006709D8">
      <w:pPr>
        <w:pStyle w:val="DGTextstand-alone"/>
        <w:rPr>
          <w:color w:val="016794"/>
          <w:lang w:eastAsia="en-GB"/>
        </w:rPr>
      </w:pPr>
      <w:r w:rsidRPr="00962BF6">
        <w:rPr>
          <w:color w:val="016794"/>
          <w:lang w:eastAsia="en-GB"/>
        </w:rPr>
        <w:t>Joint Sickness Insurance Scheme sensitivity</w:t>
      </w:r>
    </w:p>
    <w:p w14:paraId="549EE29A" w14:textId="77777777" w:rsidR="00BC0E8C" w:rsidRPr="002C6EBF" w:rsidRDefault="00023E71" w:rsidP="00BC0E8C">
      <w:pPr>
        <w:pStyle w:val="DGTextstand-alone"/>
      </w:pPr>
      <w:r w:rsidRPr="00962BF6">
        <w:t>A ten basis point change in assumed medical cost trend rates would have the following effects: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rsidR="00807FFE" w14:paraId="1040B10C" w14:textId="77777777">
        <w:trPr>
          <w:trHeight w:val="255"/>
        </w:trPr>
        <w:tc>
          <w:tcPr>
            <w:tcW w:w="3229" w:type="dxa"/>
            <w:tcBorders>
              <w:top w:val="nil"/>
              <w:left w:val="nil"/>
              <w:bottom w:val="nil"/>
              <w:right w:val="nil"/>
              <w:tl2br w:val="nil"/>
              <w:tr2bl w:val="nil"/>
            </w:tcBorders>
            <w:tcMar>
              <w:left w:w="60" w:type="dxa"/>
              <w:right w:w="60" w:type="dxa"/>
            </w:tcMar>
            <w:vAlign w:val="bottom"/>
          </w:tcPr>
          <w:p w14:paraId="6E681F29" w14:textId="77777777" w:rsidR="00807FFE" w:rsidRDefault="00807FFE">
            <w:pPr>
              <w:pStyle w:val="DMETW36768BIPPENS6"/>
              <w:rPr>
                <w:rFonts w:ascii="Arial" w:eastAsia="Arial" w:hAnsi="Arial" w:cs="Arial"/>
                <w:noProof/>
                <w:color w:val="000000"/>
                <w:lang w:bidi="en-GB"/>
              </w:rPr>
            </w:pPr>
            <w:bookmarkStart w:id="153" w:name="DOC_TBL00051_1_1"/>
            <w:bookmarkEnd w:id="153"/>
          </w:p>
        </w:tc>
        <w:tc>
          <w:tcPr>
            <w:tcW w:w="1633" w:type="dxa"/>
            <w:tcBorders>
              <w:top w:val="nil"/>
              <w:left w:val="nil"/>
              <w:bottom w:val="nil"/>
              <w:right w:val="nil"/>
              <w:tl2br w:val="nil"/>
              <w:tr2bl w:val="nil"/>
            </w:tcBorders>
            <w:tcMar>
              <w:left w:w="60" w:type="dxa"/>
              <w:right w:w="60" w:type="dxa"/>
            </w:tcMar>
            <w:vAlign w:val="bottom"/>
          </w:tcPr>
          <w:p w14:paraId="2B805358" w14:textId="77777777" w:rsidR="00807FFE" w:rsidRDefault="00807FFE">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750A1CB9" w14:textId="77777777" w:rsidR="00807FFE" w:rsidRDefault="00807FFE">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1FFCE988" w14:textId="77777777" w:rsidR="00807FFE" w:rsidRDefault="00807FFE">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4497D7DA" w14:textId="77777777" w:rsidR="00807FFE" w:rsidRDefault="00023E71">
            <w:pPr>
              <w:pStyle w:val="DMETW36768BIPPENS6"/>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3B98DCF"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1CD4CD96" w14:textId="77777777" w:rsidR="00807FFE" w:rsidRDefault="00807FFE">
            <w:pPr>
              <w:pStyle w:val="DMETW36768BIPPENS6"/>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14:paraId="2ADFBE1F" w14:textId="77777777" w:rsidR="00807FFE" w:rsidRDefault="00023E71">
            <w:pPr>
              <w:pStyle w:val="DMETW36768BIPPENS6"/>
              <w:jc w:val="center"/>
              <w:rPr>
                <w:rFonts w:ascii="Verdana" w:eastAsia="Verdana" w:hAnsi="Verdana" w:cs="Verdana"/>
                <w:noProof/>
                <w:color w:val="FFFFFF"/>
                <w:sz w:val="18"/>
              </w:rPr>
            </w:pPr>
            <w:r>
              <w:rPr>
                <w:rFonts w:ascii="Verdana" w:eastAsia="Verdana" w:hAnsi="Verdana" w:cs="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14:paraId="648D81CD" w14:textId="77777777" w:rsidR="00807FFE" w:rsidRDefault="00023E71">
            <w:pPr>
              <w:pStyle w:val="DMETW36768BIPPENS6"/>
              <w:jc w:val="center"/>
              <w:rPr>
                <w:rFonts w:ascii="Verdana" w:eastAsia="Verdana" w:hAnsi="Verdana" w:cs="Verdana"/>
                <w:noProof/>
                <w:color w:val="FFFFFF"/>
                <w:sz w:val="18"/>
                <w:lang w:bidi="en-GB"/>
              </w:rPr>
            </w:pPr>
            <w:r>
              <w:rPr>
                <w:rFonts w:ascii="Verdana" w:eastAsia="Verdana" w:hAnsi="Verdana" w:cs="Verdana"/>
                <w:noProof/>
                <w:color w:val="FFFFFF"/>
                <w:sz w:val="18"/>
              </w:rPr>
              <w:t>2024</w:t>
            </w:r>
          </w:p>
        </w:tc>
      </w:tr>
      <w:tr w:rsidR="00807FFE" w14:paraId="15ED65ED"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20820D1A" w14:textId="77777777" w:rsidR="00807FFE" w:rsidRDefault="00807FFE">
            <w:pPr>
              <w:pStyle w:val="DMETW36768BIPPENS6"/>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14:paraId="383D5C30" w14:textId="77777777" w:rsidR="00807FFE" w:rsidRDefault="00023E71">
            <w:pPr>
              <w:pStyle w:val="DMETW36768BIPPENS6"/>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25066AB1" w14:textId="77777777" w:rsidR="00807FFE" w:rsidRDefault="00023E71">
            <w:pPr>
              <w:pStyle w:val="DMETW36768BIPPENS6"/>
              <w:jc w:val="right"/>
              <w:rPr>
                <w:rFonts w:ascii="Verdana" w:eastAsia="Verdana" w:hAnsi="Verdana" w:cs="Verdana"/>
                <w:noProof/>
                <w:color w:val="FFFFFF"/>
                <w:sz w:val="18"/>
              </w:rPr>
            </w:pPr>
            <w:r>
              <w:rPr>
                <w:rFonts w:ascii="Verdana" w:eastAsia="Verdana" w:hAnsi="Verdana" w:cs="Verdana"/>
                <w:noProof/>
                <w:color w:val="FFFFFF"/>
                <w:sz w:val="18"/>
              </w:rPr>
              <w:t>Decrease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0237C632" w14:textId="77777777" w:rsidR="00807FFE" w:rsidRDefault="00023E71">
            <w:pPr>
              <w:pStyle w:val="DMETW36768BIPPENS6"/>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30BB20FD" w14:textId="77777777" w:rsidR="00807FFE" w:rsidRDefault="00023E71">
            <w:pPr>
              <w:pStyle w:val="DMETW36768BIPPENS6"/>
              <w:jc w:val="right"/>
              <w:rPr>
                <w:rFonts w:ascii="Verdana" w:eastAsia="Verdana" w:hAnsi="Verdana" w:cs="Verdana"/>
                <w:noProof/>
                <w:color w:val="FFFFFF"/>
                <w:sz w:val="18"/>
                <w:lang w:bidi="en-GB"/>
              </w:rPr>
            </w:pPr>
            <w:r>
              <w:rPr>
                <w:rFonts w:ascii="Verdana" w:eastAsia="Verdana" w:hAnsi="Verdana" w:cs="Verdana"/>
                <w:noProof/>
                <w:color w:val="FFFFFF"/>
                <w:sz w:val="18"/>
              </w:rPr>
              <w:t>Decrease 0.1%</w:t>
            </w:r>
          </w:p>
        </w:tc>
      </w:tr>
      <w:tr w:rsidR="00807FFE" w14:paraId="47C9C6C1" w14:textId="77777777">
        <w:trPr>
          <w:trHeight w:val="255"/>
        </w:trPr>
        <w:tc>
          <w:tcPr>
            <w:tcW w:w="3229" w:type="dxa"/>
            <w:tcBorders>
              <w:top w:val="nil"/>
              <w:left w:val="nil"/>
              <w:bottom w:val="nil"/>
              <w:right w:val="nil"/>
              <w:tl2br w:val="nil"/>
              <w:tr2bl w:val="nil"/>
            </w:tcBorders>
            <w:tcMar>
              <w:left w:w="60" w:type="dxa"/>
              <w:right w:w="60" w:type="dxa"/>
            </w:tcMar>
            <w:vAlign w:val="center"/>
          </w:tcPr>
          <w:p w14:paraId="4F6C01AC" w14:textId="77777777" w:rsidR="00807FFE" w:rsidRDefault="00023E71">
            <w:pPr>
              <w:pStyle w:val="DMETW36768BIPPENS6"/>
              <w:rPr>
                <w:rFonts w:ascii="Verdana" w:eastAsia="Verdana" w:hAnsi="Verdana" w:cs="Verdana"/>
                <w:i/>
                <w:noProof/>
                <w:color w:val="000000"/>
                <w:sz w:val="18"/>
              </w:rPr>
            </w:pPr>
            <w:r>
              <w:rPr>
                <w:rFonts w:ascii="Verdana" w:eastAsia="Verdana" w:hAnsi="Verdana" w:cs="Verdana"/>
                <w:i/>
                <w:noProof/>
                <w:color w:val="000000"/>
                <w:sz w:val="18"/>
              </w:rPr>
              <w:t>The aggregate of the current service cost and interest cost components of net periodic post-employment medical costs</w:t>
            </w:r>
          </w:p>
        </w:tc>
        <w:tc>
          <w:tcPr>
            <w:tcW w:w="1633" w:type="dxa"/>
            <w:tcBorders>
              <w:top w:val="nil"/>
              <w:left w:val="nil"/>
              <w:bottom w:val="nil"/>
              <w:right w:val="nil"/>
              <w:tl2br w:val="nil"/>
              <w:tr2bl w:val="nil"/>
            </w:tcBorders>
            <w:tcMar>
              <w:left w:w="60" w:type="dxa"/>
              <w:right w:w="60" w:type="dxa"/>
            </w:tcMar>
            <w:vAlign w:val="center"/>
          </w:tcPr>
          <w:p w14:paraId="7D8915BF" w14:textId="77777777" w:rsidR="00807FFE" w:rsidRDefault="00023E71">
            <w:pPr>
              <w:pStyle w:val="DMETW36768BIPPENS6"/>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632" w:type="dxa"/>
            <w:tcBorders>
              <w:top w:val="nil"/>
              <w:left w:val="nil"/>
              <w:bottom w:val="nil"/>
              <w:right w:val="nil"/>
              <w:tl2br w:val="nil"/>
              <w:tr2bl w:val="nil"/>
            </w:tcBorders>
            <w:tcMar>
              <w:left w:w="60" w:type="dxa"/>
              <w:right w:w="60" w:type="dxa"/>
            </w:tcMar>
            <w:vAlign w:val="center"/>
          </w:tcPr>
          <w:p w14:paraId="0F1440AB" w14:textId="77777777" w:rsidR="00807FFE" w:rsidRDefault="00023E71">
            <w:pPr>
              <w:pStyle w:val="DMETW36768BIPPENS6"/>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632" w:type="dxa"/>
            <w:tcBorders>
              <w:top w:val="nil"/>
              <w:left w:val="nil"/>
              <w:bottom w:val="nil"/>
              <w:right w:val="nil"/>
              <w:tl2br w:val="nil"/>
              <w:tr2bl w:val="nil"/>
            </w:tcBorders>
            <w:tcMar>
              <w:left w:w="60" w:type="dxa"/>
              <w:right w:w="60" w:type="dxa"/>
            </w:tcMar>
            <w:vAlign w:val="center"/>
          </w:tcPr>
          <w:p w14:paraId="17019267" w14:textId="77777777" w:rsidR="00807FFE" w:rsidRDefault="00023E71">
            <w:pPr>
              <w:pStyle w:val="DMETW36768BIPPENS6"/>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632" w:type="dxa"/>
            <w:tcBorders>
              <w:top w:val="nil"/>
              <w:left w:val="nil"/>
              <w:bottom w:val="nil"/>
              <w:right w:val="nil"/>
              <w:tl2br w:val="nil"/>
              <w:tr2bl w:val="nil"/>
            </w:tcBorders>
            <w:tcMar>
              <w:left w:w="60" w:type="dxa"/>
              <w:right w:w="60" w:type="dxa"/>
            </w:tcMar>
            <w:vAlign w:val="center"/>
          </w:tcPr>
          <w:p w14:paraId="325A2853" w14:textId="77777777" w:rsidR="00807FFE" w:rsidRDefault="00023E71">
            <w:pPr>
              <w:pStyle w:val="DMETW36768BIPPENS6"/>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w:t>
            </w:r>
          </w:p>
        </w:tc>
      </w:tr>
      <w:tr w:rsidR="00807FFE" w14:paraId="0BF732C2" w14:textId="77777777">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14:paraId="22DAA259" w14:textId="77777777" w:rsidR="00807FFE" w:rsidRDefault="00023E71">
            <w:pPr>
              <w:pStyle w:val="DMETW36768BIPPENS6"/>
              <w:rPr>
                <w:rFonts w:ascii="Verdana" w:eastAsia="Verdana" w:hAnsi="Verdana" w:cs="Verdana"/>
                <w:i/>
                <w:noProof/>
                <w:color w:val="000000"/>
                <w:sz w:val="18"/>
              </w:rPr>
            </w:pPr>
            <w:r>
              <w:rPr>
                <w:rFonts w:ascii="Verdana" w:eastAsia="Verdana" w:hAnsi="Verdana" w:cs="Verdana"/>
                <w:i/>
                <w:noProof/>
                <w:color w:val="000000"/>
                <w:sz w:val="18"/>
              </w:rPr>
              <w:t>Defined benefit obligation</w:t>
            </w:r>
          </w:p>
        </w:tc>
        <w:tc>
          <w:tcPr>
            <w:tcW w:w="1633" w:type="dxa"/>
            <w:tcBorders>
              <w:top w:val="nil"/>
              <w:left w:val="nil"/>
              <w:bottom w:val="single" w:sz="4" w:space="0" w:color="016794"/>
              <w:right w:val="nil"/>
              <w:tl2br w:val="nil"/>
              <w:tr2bl w:val="nil"/>
            </w:tcBorders>
            <w:tcMar>
              <w:left w:w="60" w:type="dxa"/>
              <w:right w:w="60" w:type="dxa"/>
            </w:tcMar>
            <w:vAlign w:val="center"/>
          </w:tcPr>
          <w:p w14:paraId="3892E7B4" w14:textId="77777777" w:rsidR="00807FFE" w:rsidRDefault="00023E71">
            <w:pPr>
              <w:pStyle w:val="DMETW36768BIPPENS6"/>
              <w:jc w:val="right"/>
              <w:rPr>
                <w:rFonts w:ascii="Verdana" w:eastAsia="Verdana" w:hAnsi="Verdana" w:cs="Verdana"/>
                <w:i/>
                <w:noProof/>
                <w:color w:val="000000"/>
                <w:sz w:val="18"/>
              </w:rPr>
            </w:pPr>
            <w:r>
              <w:rPr>
                <w:rFonts w:ascii="Verdana" w:eastAsia="Verdana" w:hAnsi="Verdana" w:cs="Verdana"/>
                <w:i/>
                <w:noProof/>
                <w:color w:val="000000"/>
                <w:sz w:val="18"/>
              </w:rPr>
              <w:t xml:space="preserve"> 131</w:t>
            </w:r>
          </w:p>
        </w:tc>
        <w:tc>
          <w:tcPr>
            <w:tcW w:w="1632" w:type="dxa"/>
            <w:tcBorders>
              <w:top w:val="nil"/>
              <w:left w:val="nil"/>
              <w:bottom w:val="single" w:sz="4" w:space="0" w:color="016794"/>
              <w:right w:val="nil"/>
              <w:tl2br w:val="nil"/>
              <w:tr2bl w:val="nil"/>
            </w:tcBorders>
            <w:tcMar>
              <w:left w:w="60" w:type="dxa"/>
              <w:right w:w="60" w:type="dxa"/>
            </w:tcMar>
            <w:vAlign w:val="center"/>
          </w:tcPr>
          <w:p w14:paraId="76CFC725" w14:textId="77777777" w:rsidR="00807FFE" w:rsidRDefault="00023E71">
            <w:pPr>
              <w:pStyle w:val="DMETW36768BIPPENS6"/>
              <w:jc w:val="right"/>
              <w:rPr>
                <w:rFonts w:ascii="Verdana" w:eastAsia="Verdana" w:hAnsi="Verdana" w:cs="Verdana"/>
                <w:i/>
                <w:noProof/>
                <w:color w:val="000000"/>
                <w:sz w:val="18"/>
              </w:rPr>
            </w:pPr>
            <w:r>
              <w:rPr>
                <w:rFonts w:ascii="Verdana" w:eastAsia="Verdana" w:hAnsi="Verdana" w:cs="Verdana"/>
                <w:i/>
                <w:noProof/>
                <w:color w:val="000000"/>
                <w:sz w:val="18"/>
              </w:rPr>
              <w:t xml:space="preserve"> (127)</w:t>
            </w:r>
          </w:p>
        </w:tc>
        <w:tc>
          <w:tcPr>
            <w:tcW w:w="1632" w:type="dxa"/>
            <w:tcBorders>
              <w:top w:val="nil"/>
              <w:left w:val="nil"/>
              <w:bottom w:val="single" w:sz="4" w:space="0" w:color="016794"/>
              <w:right w:val="nil"/>
              <w:tl2br w:val="nil"/>
              <w:tr2bl w:val="nil"/>
            </w:tcBorders>
            <w:tcMar>
              <w:left w:w="60" w:type="dxa"/>
              <w:right w:w="60" w:type="dxa"/>
            </w:tcMar>
            <w:vAlign w:val="center"/>
          </w:tcPr>
          <w:p w14:paraId="1C17BFB8" w14:textId="77777777" w:rsidR="00807FFE" w:rsidRDefault="00023E71">
            <w:pPr>
              <w:pStyle w:val="DMETW36768BIPPENS6"/>
              <w:jc w:val="right"/>
              <w:rPr>
                <w:rFonts w:ascii="Verdana" w:eastAsia="Verdana" w:hAnsi="Verdana" w:cs="Verdana"/>
                <w:i/>
                <w:noProof/>
                <w:color w:val="000000"/>
                <w:sz w:val="18"/>
              </w:rPr>
            </w:pPr>
            <w:r>
              <w:rPr>
                <w:rFonts w:ascii="Verdana" w:eastAsia="Verdana" w:hAnsi="Verdana" w:cs="Verdana"/>
                <w:i/>
                <w:noProof/>
                <w:color w:val="000000"/>
                <w:sz w:val="18"/>
              </w:rPr>
              <w:t xml:space="preserve"> 166</w:t>
            </w:r>
          </w:p>
        </w:tc>
        <w:tc>
          <w:tcPr>
            <w:tcW w:w="1632" w:type="dxa"/>
            <w:tcBorders>
              <w:top w:val="nil"/>
              <w:left w:val="nil"/>
              <w:bottom w:val="single" w:sz="4" w:space="0" w:color="016794"/>
              <w:right w:val="nil"/>
              <w:tl2br w:val="nil"/>
              <w:tr2bl w:val="nil"/>
            </w:tcBorders>
            <w:tcMar>
              <w:left w:w="60" w:type="dxa"/>
              <w:right w:w="60" w:type="dxa"/>
            </w:tcMar>
            <w:vAlign w:val="center"/>
          </w:tcPr>
          <w:p w14:paraId="5622B143" w14:textId="77777777" w:rsidR="00807FFE" w:rsidRDefault="00023E71">
            <w:pPr>
              <w:pStyle w:val="DMETW36768BIPPENS6"/>
              <w:jc w:val="right"/>
              <w:rPr>
                <w:rFonts w:ascii="Verdana" w:eastAsia="Verdana" w:hAnsi="Verdana" w:cs="Verdana"/>
                <w:i/>
                <w:noProof/>
                <w:color w:val="000000"/>
                <w:sz w:val="18"/>
              </w:rPr>
            </w:pPr>
            <w:r>
              <w:rPr>
                <w:rFonts w:ascii="Verdana" w:eastAsia="Verdana" w:hAnsi="Verdana" w:cs="Verdana"/>
                <w:i/>
                <w:noProof/>
                <w:color w:val="000000"/>
                <w:sz w:val="18"/>
              </w:rPr>
              <w:t xml:space="preserve"> (162)</w:t>
            </w:r>
          </w:p>
        </w:tc>
      </w:tr>
    </w:tbl>
    <w:p w14:paraId="2562E0AB" w14:textId="77777777" w:rsidR="00BC0E8C" w:rsidRDefault="00023E71" w:rsidP="00BC0E8C">
      <w:pPr>
        <w:pStyle w:val="DGTextstand-alone"/>
        <w:rPr>
          <w:lang w:bidi="en-GB"/>
        </w:rPr>
      </w:pPr>
      <w:r w:rsidRPr="00962BF6">
        <w:rPr>
          <w:lang w:bidi="en-GB"/>
        </w:rPr>
        <w:t xml:space="preserve">A ten basis point (0.1%) change in the assumed </w:t>
      </w:r>
      <w:r>
        <w:rPr>
          <w:lang w:bidi="en-GB"/>
        </w:rPr>
        <w:t xml:space="preserve">nominal </w:t>
      </w:r>
      <w:r w:rsidRPr="00962BF6">
        <w:rPr>
          <w:lang w:bidi="en-GB"/>
        </w:rPr>
        <w:t>discount rate would have the following effects: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rsidR="00807FFE" w14:paraId="3AB07770" w14:textId="77777777">
        <w:trPr>
          <w:trHeight w:val="255"/>
        </w:trPr>
        <w:tc>
          <w:tcPr>
            <w:tcW w:w="3229" w:type="dxa"/>
            <w:tcBorders>
              <w:top w:val="nil"/>
              <w:left w:val="nil"/>
              <w:bottom w:val="nil"/>
              <w:right w:val="nil"/>
              <w:tl2br w:val="nil"/>
              <w:tr2bl w:val="nil"/>
            </w:tcBorders>
            <w:tcMar>
              <w:left w:w="60" w:type="dxa"/>
              <w:right w:w="60" w:type="dxa"/>
            </w:tcMar>
            <w:vAlign w:val="bottom"/>
          </w:tcPr>
          <w:p w14:paraId="5D51CFB2" w14:textId="77777777" w:rsidR="00807FFE" w:rsidRDefault="00807FFE">
            <w:pPr>
              <w:pStyle w:val="DMETW36768BIPPENS7"/>
              <w:rPr>
                <w:rFonts w:ascii="Arial" w:eastAsia="Arial" w:hAnsi="Arial" w:cs="Arial"/>
                <w:noProof/>
                <w:color w:val="000000"/>
                <w:lang w:bidi="en-GB"/>
              </w:rPr>
            </w:pPr>
            <w:bookmarkStart w:id="154" w:name="DOC_TBL00052_1_1"/>
            <w:bookmarkEnd w:id="154"/>
          </w:p>
        </w:tc>
        <w:tc>
          <w:tcPr>
            <w:tcW w:w="1633" w:type="dxa"/>
            <w:tcBorders>
              <w:top w:val="nil"/>
              <w:left w:val="nil"/>
              <w:bottom w:val="nil"/>
              <w:right w:val="nil"/>
              <w:tl2br w:val="nil"/>
              <w:tr2bl w:val="nil"/>
            </w:tcBorders>
            <w:tcMar>
              <w:left w:w="60" w:type="dxa"/>
              <w:right w:w="60" w:type="dxa"/>
            </w:tcMar>
            <w:vAlign w:val="bottom"/>
          </w:tcPr>
          <w:p w14:paraId="2699B5C2" w14:textId="77777777" w:rsidR="00807FFE" w:rsidRDefault="00807FFE">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71DEA200" w14:textId="77777777" w:rsidR="00807FFE" w:rsidRDefault="00807FFE">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04F9C1A1" w14:textId="77777777" w:rsidR="00807FFE" w:rsidRDefault="00807FFE">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7C85F90E" w14:textId="77777777" w:rsidR="00807FFE" w:rsidRDefault="00023E71">
            <w:pPr>
              <w:pStyle w:val="DMETW36768BIPPENS7"/>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2F0480D"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1EE2C627" w14:textId="77777777" w:rsidR="00807FFE" w:rsidRDefault="00807FFE">
            <w:pPr>
              <w:pStyle w:val="DMETW36768BIPPENS7"/>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14:paraId="7CD87E10" w14:textId="77777777" w:rsidR="00807FFE" w:rsidRDefault="00023E71">
            <w:pPr>
              <w:pStyle w:val="DMETW36768BIPPENS7"/>
              <w:jc w:val="center"/>
              <w:rPr>
                <w:rFonts w:ascii="Verdana" w:eastAsia="Verdana" w:hAnsi="Verdana" w:cs="Verdana"/>
                <w:noProof/>
                <w:color w:val="FFFFFF"/>
                <w:sz w:val="18"/>
              </w:rPr>
            </w:pPr>
            <w:r>
              <w:rPr>
                <w:rFonts w:ascii="Verdana" w:eastAsia="Verdana" w:hAnsi="Verdana" w:cs="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14:paraId="186918FC" w14:textId="77777777" w:rsidR="00807FFE" w:rsidRDefault="00023E71">
            <w:pPr>
              <w:pStyle w:val="DMETW36768BIPPENS7"/>
              <w:jc w:val="center"/>
              <w:rPr>
                <w:rFonts w:ascii="Verdana" w:eastAsia="Verdana" w:hAnsi="Verdana" w:cs="Verdana"/>
                <w:noProof/>
                <w:color w:val="FFFFFF"/>
                <w:sz w:val="18"/>
                <w:lang w:bidi="en-GB"/>
              </w:rPr>
            </w:pPr>
            <w:r>
              <w:rPr>
                <w:rFonts w:ascii="Verdana" w:eastAsia="Verdana" w:hAnsi="Verdana" w:cs="Verdana"/>
                <w:noProof/>
                <w:color w:val="FFFFFF"/>
                <w:sz w:val="18"/>
              </w:rPr>
              <w:t>2024</w:t>
            </w:r>
          </w:p>
        </w:tc>
      </w:tr>
      <w:tr w:rsidR="00807FFE" w14:paraId="76AD336B"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2708DFA9" w14:textId="77777777" w:rsidR="00807FFE" w:rsidRDefault="00807FFE">
            <w:pPr>
              <w:pStyle w:val="DMETW36768BIPPENS7"/>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14:paraId="1A790E12" w14:textId="77777777" w:rsidR="00807FFE" w:rsidRDefault="00023E71">
            <w:pPr>
              <w:pStyle w:val="DMETW36768BIPPENS7"/>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311D7A71" w14:textId="77777777" w:rsidR="00807FFE" w:rsidRDefault="00023E71">
            <w:pPr>
              <w:pStyle w:val="DMETW36768BIPPENS7"/>
              <w:jc w:val="right"/>
              <w:rPr>
                <w:rFonts w:ascii="Verdana" w:eastAsia="Verdana" w:hAnsi="Verdana" w:cs="Verdana"/>
                <w:noProof/>
                <w:color w:val="FFFFFF"/>
                <w:sz w:val="18"/>
              </w:rPr>
            </w:pPr>
            <w:r>
              <w:rPr>
                <w:rFonts w:ascii="Verdana" w:eastAsia="Verdana" w:hAnsi="Verdana" w:cs="Verdana"/>
                <w:noProof/>
                <w:color w:val="FFFFFF"/>
                <w:sz w:val="18"/>
              </w:rPr>
              <w:t>Decrease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52EF19D7" w14:textId="77777777" w:rsidR="00807FFE" w:rsidRDefault="00023E71">
            <w:pPr>
              <w:pStyle w:val="DMETW36768BIPPENS7"/>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39BF3050" w14:textId="77777777" w:rsidR="00807FFE" w:rsidRDefault="00023E71">
            <w:pPr>
              <w:pStyle w:val="DMETW36768BIPPENS7"/>
              <w:jc w:val="right"/>
              <w:rPr>
                <w:rFonts w:ascii="Verdana" w:eastAsia="Verdana" w:hAnsi="Verdana" w:cs="Verdana"/>
                <w:noProof/>
                <w:color w:val="FFFFFF"/>
                <w:sz w:val="18"/>
                <w:lang w:bidi="en-GB"/>
              </w:rPr>
            </w:pPr>
            <w:r>
              <w:rPr>
                <w:rFonts w:ascii="Verdana" w:eastAsia="Verdana" w:hAnsi="Verdana" w:cs="Verdana"/>
                <w:noProof/>
                <w:color w:val="FFFFFF"/>
                <w:sz w:val="18"/>
              </w:rPr>
              <w:t>Decrease 0.1%</w:t>
            </w:r>
          </w:p>
        </w:tc>
      </w:tr>
      <w:tr w:rsidR="00807FFE" w14:paraId="05DE3B55" w14:textId="77777777">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14:paraId="6D9A7F36" w14:textId="77777777" w:rsidR="00807FFE" w:rsidRDefault="00023E71">
            <w:pPr>
              <w:pStyle w:val="DMETW36768BIPPENS7"/>
              <w:rPr>
                <w:rFonts w:ascii="Verdana" w:eastAsia="Verdana" w:hAnsi="Verdana" w:cs="Verdana"/>
                <w:i/>
                <w:noProof/>
                <w:color w:val="000000"/>
                <w:sz w:val="18"/>
              </w:rPr>
            </w:pPr>
            <w:r>
              <w:rPr>
                <w:rFonts w:ascii="Verdana" w:eastAsia="Verdana" w:hAnsi="Verdana" w:cs="Verdana"/>
                <w:i/>
                <w:noProof/>
                <w:color w:val="000000"/>
                <w:sz w:val="18"/>
              </w:rPr>
              <w:t>Defined benefit obligation</w:t>
            </w:r>
          </w:p>
        </w:tc>
        <w:tc>
          <w:tcPr>
            <w:tcW w:w="1633" w:type="dxa"/>
            <w:tcBorders>
              <w:top w:val="nil"/>
              <w:left w:val="nil"/>
              <w:bottom w:val="single" w:sz="4" w:space="0" w:color="016794"/>
              <w:right w:val="nil"/>
              <w:tl2br w:val="nil"/>
              <w:tr2bl w:val="nil"/>
            </w:tcBorders>
            <w:tcMar>
              <w:left w:w="60" w:type="dxa"/>
              <w:right w:w="60" w:type="dxa"/>
            </w:tcMar>
            <w:vAlign w:val="center"/>
          </w:tcPr>
          <w:p w14:paraId="5B0F37D2" w14:textId="77777777" w:rsidR="00807FFE" w:rsidRDefault="00023E71">
            <w:pPr>
              <w:pStyle w:val="DMETW36768BIPPENS7"/>
              <w:jc w:val="right"/>
              <w:rPr>
                <w:rFonts w:ascii="Verdana" w:eastAsia="Verdana" w:hAnsi="Verdana" w:cs="Verdana"/>
                <w:i/>
                <w:noProof/>
                <w:color w:val="000000"/>
                <w:sz w:val="18"/>
              </w:rPr>
            </w:pPr>
            <w:r>
              <w:rPr>
                <w:rFonts w:ascii="Verdana" w:eastAsia="Verdana" w:hAnsi="Verdana" w:cs="Verdana"/>
                <w:i/>
                <w:noProof/>
                <w:color w:val="000000"/>
                <w:sz w:val="18"/>
              </w:rPr>
              <w:t xml:space="preserve"> (96)</w:t>
            </w:r>
          </w:p>
        </w:tc>
        <w:tc>
          <w:tcPr>
            <w:tcW w:w="1632" w:type="dxa"/>
            <w:tcBorders>
              <w:top w:val="nil"/>
              <w:left w:val="nil"/>
              <w:bottom w:val="single" w:sz="4" w:space="0" w:color="016794"/>
              <w:right w:val="nil"/>
              <w:tl2br w:val="nil"/>
              <w:tr2bl w:val="nil"/>
            </w:tcBorders>
            <w:tcMar>
              <w:left w:w="60" w:type="dxa"/>
              <w:right w:w="60" w:type="dxa"/>
            </w:tcMar>
            <w:vAlign w:val="center"/>
          </w:tcPr>
          <w:p w14:paraId="71DD6135" w14:textId="77777777" w:rsidR="00807FFE" w:rsidRDefault="00023E71">
            <w:pPr>
              <w:pStyle w:val="DMETW36768BIPPENS7"/>
              <w:jc w:val="right"/>
              <w:rPr>
                <w:rFonts w:ascii="Verdana" w:eastAsia="Verdana" w:hAnsi="Verdana" w:cs="Verdana"/>
                <w:i/>
                <w:noProof/>
                <w:color w:val="000000"/>
                <w:sz w:val="18"/>
              </w:rPr>
            </w:pPr>
            <w:r>
              <w:rPr>
                <w:rFonts w:ascii="Verdana" w:eastAsia="Verdana" w:hAnsi="Verdana" w:cs="Verdana"/>
                <w:i/>
                <w:noProof/>
                <w:color w:val="000000"/>
                <w:sz w:val="18"/>
              </w:rPr>
              <w:t xml:space="preserve"> 99</w:t>
            </w:r>
          </w:p>
        </w:tc>
        <w:tc>
          <w:tcPr>
            <w:tcW w:w="1632" w:type="dxa"/>
            <w:tcBorders>
              <w:top w:val="nil"/>
              <w:left w:val="nil"/>
              <w:bottom w:val="single" w:sz="4" w:space="0" w:color="016794"/>
              <w:right w:val="nil"/>
              <w:tl2br w:val="nil"/>
              <w:tr2bl w:val="nil"/>
            </w:tcBorders>
            <w:tcMar>
              <w:left w:w="60" w:type="dxa"/>
              <w:right w:w="60" w:type="dxa"/>
            </w:tcMar>
            <w:vAlign w:val="center"/>
          </w:tcPr>
          <w:p w14:paraId="54E71A00" w14:textId="77777777" w:rsidR="00807FFE" w:rsidRDefault="00023E71">
            <w:pPr>
              <w:pStyle w:val="DMETW36768BIPPENS7"/>
              <w:jc w:val="right"/>
              <w:rPr>
                <w:rFonts w:ascii="Verdana" w:eastAsia="Verdana" w:hAnsi="Verdana" w:cs="Verdana"/>
                <w:i/>
                <w:noProof/>
                <w:color w:val="000000"/>
                <w:sz w:val="18"/>
              </w:rPr>
            </w:pPr>
            <w:r>
              <w:rPr>
                <w:rFonts w:ascii="Verdana" w:eastAsia="Verdana" w:hAnsi="Verdana" w:cs="Verdana"/>
                <w:i/>
                <w:noProof/>
                <w:color w:val="000000"/>
                <w:sz w:val="18"/>
              </w:rPr>
              <w:t xml:space="preserve"> (130)</w:t>
            </w:r>
          </w:p>
        </w:tc>
        <w:tc>
          <w:tcPr>
            <w:tcW w:w="1632" w:type="dxa"/>
            <w:tcBorders>
              <w:top w:val="nil"/>
              <w:left w:val="nil"/>
              <w:bottom w:val="single" w:sz="4" w:space="0" w:color="016794"/>
              <w:right w:val="nil"/>
              <w:tl2br w:val="nil"/>
              <w:tr2bl w:val="nil"/>
            </w:tcBorders>
            <w:tcMar>
              <w:left w:w="60" w:type="dxa"/>
              <w:right w:w="60" w:type="dxa"/>
            </w:tcMar>
            <w:vAlign w:val="center"/>
          </w:tcPr>
          <w:p w14:paraId="40DD53A2" w14:textId="77777777" w:rsidR="00807FFE" w:rsidRDefault="00023E71">
            <w:pPr>
              <w:pStyle w:val="DMETW36768BIPPENS7"/>
              <w:jc w:val="right"/>
              <w:rPr>
                <w:rFonts w:ascii="Verdana" w:eastAsia="Verdana" w:hAnsi="Verdana" w:cs="Verdana"/>
                <w:i/>
                <w:noProof/>
                <w:color w:val="000000"/>
                <w:sz w:val="18"/>
              </w:rPr>
            </w:pPr>
            <w:r>
              <w:rPr>
                <w:rFonts w:ascii="Verdana" w:eastAsia="Verdana" w:hAnsi="Verdana" w:cs="Verdana"/>
                <w:i/>
                <w:noProof/>
                <w:color w:val="000000"/>
                <w:sz w:val="18"/>
              </w:rPr>
              <w:t xml:space="preserve"> 133</w:t>
            </w:r>
          </w:p>
        </w:tc>
      </w:tr>
    </w:tbl>
    <w:p w14:paraId="3996D850" w14:textId="77777777" w:rsidR="00F3538E" w:rsidRPr="007A61C3" w:rsidRDefault="00023E71" w:rsidP="00F3538E">
      <w:pPr>
        <w:pStyle w:val="DGTextstand-alone"/>
        <w:rPr>
          <w:lang w:bidi="en-GB"/>
        </w:rPr>
      </w:pPr>
      <w:r w:rsidRPr="007A61C3">
        <w:rPr>
          <w:lang w:bidi="en-GB"/>
        </w:rPr>
        <w:t>A ten basis point (0.1%) change in expected salary increases would have the following effects: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rsidR="00807FFE" w14:paraId="4103498F" w14:textId="77777777">
        <w:trPr>
          <w:trHeight w:val="255"/>
        </w:trPr>
        <w:tc>
          <w:tcPr>
            <w:tcW w:w="3229" w:type="dxa"/>
            <w:tcBorders>
              <w:top w:val="nil"/>
              <w:left w:val="nil"/>
              <w:bottom w:val="nil"/>
              <w:right w:val="nil"/>
              <w:tl2br w:val="nil"/>
              <w:tr2bl w:val="nil"/>
            </w:tcBorders>
            <w:tcMar>
              <w:left w:w="60" w:type="dxa"/>
              <w:right w:w="60" w:type="dxa"/>
            </w:tcMar>
            <w:vAlign w:val="bottom"/>
          </w:tcPr>
          <w:p w14:paraId="6AF543E3" w14:textId="77777777" w:rsidR="00807FFE" w:rsidRDefault="00807FFE">
            <w:pPr>
              <w:pStyle w:val="DMETW36768BIPPENS8"/>
              <w:rPr>
                <w:rFonts w:ascii="Arial" w:eastAsia="Arial" w:hAnsi="Arial" w:cs="Arial"/>
                <w:noProof/>
                <w:color w:val="000000"/>
                <w:lang w:bidi="en-GB"/>
              </w:rPr>
            </w:pPr>
            <w:bookmarkStart w:id="155" w:name="DOC_TBL00053_1_1"/>
            <w:bookmarkEnd w:id="155"/>
          </w:p>
        </w:tc>
        <w:tc>
          <w:tcPr>
            <w:tcW w:w="1633" w:type="dxa"/>
            <w:tcBorders>
              <w:top w:val="nil"/>
              <w:left w:val="nil"/>
              <w:bottom w:val="nil"/>
              <w:right w:val="nil"/>
              <w:tl2br w:val="nil"/>
              <w:tr2bl w:val="nil"/>
            </w:tcBorders>
            <w:tcMar>
              <w:left w:w="60" w:type="dxa"/>
              <w:right w:w="60" w:type="dxa"/>
            </w:tcMar>
            <w:vAlign w:val="bottom"/>
          </w:tcPr>
          <w:p w14:paraId="5E3A3899" w14:textId="77777777" w:rsidR="00807FFE" w:rsidRDefault="00807FFE">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7A9A3D64" w14:textId="77777777" w:rsidR="00807FFE" w:rsidRDefault="00807FFE">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0A32102E" w14:textId="77777777" w:rsidR="00807FFE" w:rsidRDefault="00807FFE">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14:paraId="3DA36916" w14:textId="77777777" w:rsidR="00807FFE" w:rsidRDefault="00023E71">
            <w:pPr>
              <w:pStyle w:val="DMETW36768BIPPENS8"/>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391CC65"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3629C140" w14:textId="77777777" w:rsidR="00807FFE" w:rsidRDefault="00807FFE">
            <w:pPr>
              <w:pStyle w:val="DMETW36768BIPPENS8"/>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14:paraId="7AE786F8" w14:textId="77777777" w:rsidR="00807FFE" w:rsidRDefault="00023E71">
            <w:pPr>
              <w:pStyle w:val="DMETW36768BIPPENS8"/>
              <w:jc w:val="center"/>
              <w:rPr>
                <w:rFonts w:ascii="Verdana" w:eastAsia="Verdana" w:hAnsi="Verdana" w:cs="Verdana"/>
                <w:noProof/>
                <w:color w:val="FFFFFF"/>
                <w:sz w:val="18"/>
              </w:rPr>
            </w:pPr>
            <w:r>
              <w:rPr>
                <w:rFonts w:ascii="Verdana" w:eastAsia="Verdana" w:hAnsi="Verdana" w:cs="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14:paraId="1F31C651" w14:textId="77777777" w:rsidR="00807FFE" w:rsidRDefault="00023E71">
            <w:pPr>
              <w:pStyle w:val="DMETW36768BIPPENS8"/>
              <w:jc w:val="center"/>
              <w:rPr>
                <w:rFonts w:ascii="Verdana" w:eastAsia="Verdana" w:hAnsi="Verdana" w:cs="Verdana"/>
                <w:noProof/>
                <w:color w:val="FFFFFF"/>
                <w:sz w:val="18"/>
                <w:lang w:bidi="en-GB"/>
              </w:rPr>
            </w:pPr>
            <w:r>
              <w:rPr>
                <w:rFonts w:ascii="Verdana" w:eastAsia="Verdana" w:hAnsi="Verdana" w:cs="Verdana"/>
                <w:noProof/>
                <w:color w:val="FFFFFF"/>
                <w:sz w:val="18"/>
              </w:rPr>
              <w:t>2024</w:t>
            </w:r>
          </w:p>
        </w:tc>
      </w:tr>
      <w:tr w:rsidR="00807FFE" w14:paraId="39290240" w14:textId="77777777">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14:paraId="1B5B16A9" w14:textId="77777777" w:rsidR="00807FFE" w:rsidRDefault="00807FFE">
            <w:pPr>
              <w:pStyle w:val="DMETW36768BIPPENS8"/>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14:paraId="10810E51" w14:textId="77777777" w:rsidR="00807FFE" w:rsidRDefault="00023E71">
            <w:pPr>
              <w:pStyle w:val="DMETW36768BIPPENS8"/>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420EE064" w14:textId="77777777" w:rsidR="00807FFE" w:rsidRDefault="00023E71">
            <w:pPr>
              <w:pStyle w:val="DMETW36768BIPPENS8"/>
              <w:jc w:val="right"/>
              <w:rPr>
                <w:rFonts w:ascii="Verdana" w:eastAsia="Verdana" w:hAnsi="Verdana" w:cs="Verdana"/>
                <w:noProof/>
                <w:color w:val="FFFFFF"/>
                <w:sz w:val="18"/>
              </w:rPr>
            </w:pPr>
            <w:r>
              <w:rPr>
                <w:rFonts w:ascii="Verdana" w:eastAsia="Verdana" w:hAnsi="Verdana" w:cs="Verdana"/>
                <w:noProof/>
                <w:color w:val="FFFFFF"/>
                <w:sz w:val="18"/>
              </w:rPr>
              <w:t>Decrease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4FC32130" w14:textId="77777777" w:rsidR="00807FFE" w:rsidRDefault="00023E71">
            <w:pPr>
              <w:pStyle w:val="DMETW36768BIPPENS8"/>
              <w:jc w:val="right"/>
              <w:rPr>
                <w:rFonts w:ascii="Verdana" w:eastAsia="Verdana" w:hAnsi="Verdana" w:cs="Verdana"/>
                <w:noProof/>
                <w:color w:val="FFFFFF"/>
                <w:sz w:val="18"/>
              </w:rPr>
            </w:pPr>
            <w:r>
              <w:rPr>
                <w:rFonts w:ascii="Verdana" w:eastAsia="Verdana" w:hAnsi="Verdana" w:cs="Verdana"/>
                <w:noProof/>
                <w:color w:val="FFFFFF"/>
                <w:sz w:val="18"/>
              </w:rPr>
              <w:t>Increase 0.1%</w:t>
            </w:r>
          </w:p>
        </w:tc>
        <w:tc>
          <w:tcPr>
            <w:tcW w:w="1632" w:type="dxa"/>
            <w:tcBorders>
              <w:top w:val="nil"/>
              <w:left w:val="nil"/>
              <w:bottom w:val="nil"/>
              <w:right w:val="nil"/>
              <w:tl2br w:val="nil"/>
              <w:tr2bl w:val="nil"/>
            </w:tcBorders>
            <w:shd w:val="solid" w:color="016794" w:fill="FFFFFF"/>
            <w:tcMar>
              <w:left w:w="60" w:type="dxa"/>
              <w:right w:w="60" w:type="dxa"/>
            </w:tcMar>
            <w:vAlign w:val="center"/>
          </w:tcPr>
          <w:p w14:paraId="0BDD0582" w14:textId="77777777" w:rsidR="00807FFE" w:rsidRDefault="00023E71">
            <w:pPr>
              <w:pStyle w:val="DMETW36768BIPPENS8"/>
              <w:jc w:val="right"/>
              <w:rPr>
                <w:rFonts w:ascii="Verdana" w:eastAsia="Verdana" w:hAnsi="Verdana" w:cs="Verdana"/>
                <w:noProof/>
                <w:color w:val="FFFFFF"/>
                <w:sz w:val="18"/>
                <w:lang w:bidi="en-GB"/>
              </w:rPr>
            </w:pPr>
            <w:r>
              <w:rPr>
                <w:rFonts w:ascii="Verdana" w:eastAsia="Verdana" w:hAnsi="Verdana" w:cs="Verdana"/>
                <w:noProof/>
                <w:color w:val="FFFFFF"/>
                <w:sz w:val="18"/>
              </w:rPr>
              <w:t>Decrease 0.1%</w:t>
            </w:r>
          </w:p>
        </w:tc>
      </w:tr>
      <w:tr w:rsidR="00807FFE" w14:paraId="236E802C" w14:textId="77777777">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14:paraId="754829AA" w14:textId="77777777" w:rsidR="00807FFE" w:rsidRDefault="00023E71">
            <w:pPr>
              <w:pStyle w:val="DMETW36768BIPPENS8"/>
              <w:rPr>
                <w:rFonts w:ascii="Verdana" w:eastAsia="Verdana" w:hAnsi="Verdana" w:cs="Verdana"/>
                <w:i/>
                <w:noProof/>
                <w:color w:val="000000"/>
                <w:sz w:val="18"/>
              </w:rPr>
            </w:pPr>
            <w:r>
              <w:rPr>
                <w:rFonts w:ascii="Verdana" w:eastAsia="Verdana" w:hAnsi="Verdana" w:cs="Verdana"/>
                <w:i/>
                <w:noProof/>
                <w:color w:val="000000"/>
                <w:sz w:val="18"/>
              </w:rPr>
              <w:t>Defined benefit obligation</w:t>
            </w:r>
          </w:p>
        </w:tc>
        <w:tc>
          <w:tcPr>
            <w:tcW w:w="1633" w:type="dxa"/>
            <w:tcBorders>
              <w:top w:val="nil"/>
              <w:left w:val="nil"/>
              <w:bottom w:val="single" w:sz="4" w:space="0" w:color="016794"/>
              <w:right w:val="nil"/>
              <w:tl2br w:val="nil"/>
              <w:tr2bl w:val="nil"/>
            </w:tcBorders>
            <w:tcMar>
              <w:left w:w="60" w:type="dxa"/>
              <w:right w:w="60" w:type="dxa"/>
            </w:tcMar>
            <w:vAlign w:val="center"/>
          </w:tcPr>
          <w:p w14:paraId="6C73457B" w14:textId="77777777" w:rsidR="00807FFE" w:rsidRDefault="00023E71">
            <w:pPr>
              <w:pStyle w:val="DMETW36768BIPPENS8"/>
              <w:jc w:val="right"/>
              <w:rPr>
                <w:rFonts w:ascii="Verdana" w:eastAsia="Verdana" w:hAnsi="Verdana" w:cs="Verdana"/>
                <w:i/>
                <w:noProof/>
                <w:color w:val="000000"/>
                <w:sz w:val="18"/>
              </w:rPr>
            </w:pPr>
            <w:r>
              <w:rPr>
                <w:rFonts w:ascii="Verdana" w:eastAsia="Verdana" w:hAnsi="Verdana" w:cs="Verdana"/>
                <w:i/>
                <w:noProof/>
                <w:color w:val="000000"/>
                <w:sz w:val="18"/>
              </w:rPr>
              <w:t xml:space="preserve"> (26)</w:t>
            </w:r>
          </w:p>
        </w:tc>
        <w:tc>
          <w:tcPr>
            <w:tcW w:w="1632" w:type="dxa"/>
            <w:tcBorders>
              <w:top w:val="nil"/>
              <w:left w:val="nil"/>
              <w:bottom w:val="single" w:sz="4" w:space="0" w:color="016794"/>
              <w:right w:val="nil"/>
              <w:tl2br w:val="nil"/>
              <w:tr2bl w:val="nil"/>
            </w:tcBorders>
            <w:tcMar>
              <w:left w:w="60" w:type="dxa"/>
              <w:right w:w="60" w:type="dxa"/>
            </w:tcMar>
            <w:vAlign w:val="center"/>
          </w:tcPr>
          <w:p w14:paraId="1D3D8116" w14:textId="77777777" w:rsidR="00807FFE" w:rsidRDefault="00023E71">
            <w:pPr>
              <w:pStyle w:val="DMETW36768BIPPENS8"/>
              <w:jc w:val="right"/>
              <w:rPr>
                <w:rFonts w:ascii="Verdana" w:eastAsia="Verdana" w:hAnsi="Verdana" w:cs="Verdana"/>
                <w:i/>
                <w:noProof/>
                <w:color w:val="000000"/>
                <w:sz w:val="18"/>
              </w:rPr>
            </w:pPr>
            <w:r>
              <w:rPr>
                <w:rFonts w:ascii="Verdana" w:eastAsia="Verdana" w:hAnsi="Verdana" w:cs="Verdana"/>
                <w:i/>
                <w:noProof/>
                <w:color w:val="000000"/>
                <w:sz w:val="18"/>
              </w:rPr>
              <w:t xml:space="preserve"> 25</w:t>
            </w:r>
          </w:p>
        </w:tc>
        <w:tc>
          <w:tcPr>
            <w:tcW w:w="1632" w:type="dxa"/>
            <w:tcBorders>
              <w:top w:val="nil"/>
              <w:left w:val="nil"/>
              <w:bottom w:val="single" w:sz="4" w:space="0" w:color="016794"/>
              <w:right w:val="nil"/>
              <w:tl2br w:val="nil"/>
              <w:tr2bl w:val="nil"/>
            </w:tcBorders>
            <w:tcMar>
              <w:left w:w="60" w:type="dxa"/>
              <w:right w:w="60" w:type="dxa"/>
            </w:tcMar>
            <w:vAlign w:val="center"/>
          </w:tcPr>
          <w:p w14:paraId="5B8DF724" w14:textId="77777777" w:rsidR="00807FFE" w:rsidRDefault="00023E71">
            <w:pPr>
              <w:pStyle w:val="DMETW36768BIPPENS8"/>
              <w:jc w:val="right"/>
              <w:rPr>
                <w:rFonts w:ascii="Verdana" w:eastAsia="Verdana" w:hAnsi="Verdana" w:cs="Verdana"/>
                <w:i/>
                <w:noProof/>
                <w:color w:val="000000"/>
                <w:sz w:val="18"/>
              </w:rPr>
            </w:pPr>
            <w:r>
              <w:rPr>
                <w:rFonts w:ascii="Verdana" w:eastAsia="Verdana" w:hAnsi="Verdana" w:cs="Verdana"/>
                <w:i/>
                <w:noProof/>
                <w:color w:val="000000"/>
                <w:sz w:val="18"/>
              </w:rPr>
              <w:t xml:space="preserve"> (27)</w:t>
            </w:r>
          </w:p>
        </w:tc>
        <w:tc>
          <w:tcPr>
            <w:tcW w:w="1632" w:type="dxa"/>
            <w:tcBorders>
              <w:top w:val="nil"/>
              <w:left w:val="nil"/>
              <w:bottom w:val="single" w:sz="4" w:space="0" w:color="016794"/>
              <w:right w:val="nil"/>
              <w:tl2br w:val="nil"/>
              <w:tr2bl w:val="nil"/>
            </w:tcBorders>
            <w:tcMar>
              <w:left w:w="60" w:type="dxa"/>
              <w:right w:w="60" w:type="dxa"/>
            </w:tcMar>
            <w:vAlign w:val="center"/>
          </w:tcPr>
          <w:p w14:paraId="704F0B39" w14:textId="77777777" w:rsidR="00807FFE" w:rsidRDefault="00023E71">
            <w:pPr>
              <w:pStyle w:val="DMETW36768BIPPENS8"/>
              <w:jc w:val="right"/>
              <w:rPr>
                <w:rFonts w:ascii="Verdana" w:eastAsia="Verdana" w:hAnsi="Verdana" w:cs="Verdana"/>
                <w:i/>
                <w:noProof/>
                <w:color w:val="000000"/>
                <w:sz w:val="18"/>
              </w:rPr>
            </w:pPr>
            <w:r>
              <w:rPr>
                <w:rFonts w:ascii="Verdana" w:eastAsia="Verdana" w:hAnsi="Verdana" w:cs="Verdana"/>
                <w:i/>
                <w:noProof/>
                <w:color w:val="000000"/>
                <w:sz w:val="18"/>
              </w:rPr>
              <w:t xml:space="preserve"> 26</w:t>
            </w:r>
          </w:p>
        </w:tc>
      </w:tr>
    </w:tbl>
    <w:p w14:paraId="6137D234" w14:textId="77777777" w:rsidR="00F3538E" w:rsidRPr="007A61C3" w:rsidRDefault="00023E71" w:rsidP="00F3538E">
      <w:pPr>
        <w:pStyle w:val="DGTextstand-alone"/>
        <w:rPr>
          <w:lang w:bidi="en-GB"/>
        </w:rPr>
      </w:pPr>
      <w:r w:rsidRPr="007A61C3">
        <w:rPr>
          <w:lang w:bidi="en-GB"/>
        </w:rPr>
        <w:t>A one-year change in assumed retirement age would have the following effects: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1"/>
        <w:gridCol w:w="1820"/>
        <w:gridCol w:w="1819"/>
        <w:gridCol w:w="1819"/>
        <w:gridCol w:w="1819"/>
      </w:tblGrid>
      <w:tr w:rsidR="00807FFE" w14:paraId="012F54AD" w14:textId="77777777">
        <w:trPr>
          <w:trHeight w:val="255"/>
        </w:trPr>
        <w:tc>
          <w:tcPr>
            <w:tcW w:w="2481" w:type="dxa"/>
            <w:tcBorders>
              <w:top w:val="nil"/>
              <w:left w:val="nil"/>
              <w:bottom w:val="nil"/>
              <w:right w:val="nil"/>
              <w:tl2br w:val="nil"/>
              <w:tr2bl w:val="nil"/>
            </w:tcBorders>
            <w:tcMar>
              <w:left w:w="60" w:type="dxa"/>
              <w:right w:w="60" w:type="dxa"/>
            </w:tcMar>
            <w:vAlign w:val="bottom"/>
          </w:tcPr>
          <w:p w14:paraId="3587F3E7" w14:textId="77777777" w:rsidR="00807FFE" w:rsidRDefault="00807FFE">
            <w:pPr>
              <w:pStyle w:val="DMETW36768BIPPENS9"/>
              <w:rPr>
                <w:rFonts w:ascii="Arial" w:eastAsia="Arial" w:hAnsi="Arial" w:cs="Arial"/>
                <w:noProof/>
                <w:color w:val="000000"/>
                <w:lang w:bidi="en-GB"/>
              </w:rPr>
            </w:pPr>
            <w:bookmarkStart w:id="156" w:name="DOC_TBL00054_1_1"/>
            <w:bookmarkEnd w:id="156"/>
          </w:p>
        </w:tc>
        <w:tc>
          <w:tcPr>
            <w:tcW w:w="1820" w:type="dxa"/>
            <w:tcBorders>
              <w:top w:val="nil"/>
              <w:left w:val="nil"/>
              <w:bottom w:val="nil"/>
              <w:right w:val="nil"/>
              <w:tl2br w:val="nil"/>
              <w:tr2bl w:val="nil"/>
            </w:tcBorders>
            <w:tcMar>
              <w:left w:w="60" w:type="dxa"/>
              <w:right w:w="60" w:type="dxa"/>
            </w:tcMar>
            <w:vAlign w:val="bottom"/>
          </w:tcPr>
          <w:p w14:paraId="3BA4A4AF" w14:textId="77777777" w:rsidR="00807FFE" w:rsidRDefault="00807FFE">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14:paraId="364E9728" w14:textId="77777777" w:rsidR="00807FFE" w:rsidRDefault="00807FFE">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14:paraId="00099B3F" w14:textId="77777777" w:rsidR="00807FFE" w:rsidRDefault="00807FFE">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14:paraId="0B957ED4" w14:textId="77777777" w:rsidR="00807FFE" w:rsidRDefault="00023E71">
            <w:pPr>
              <w:pStyle w:val="DMETW36768BIPPENS9"/>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D915FE9" w14:textId="77777777">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14:paraId="0FD020D3" w14:textId="77777777" w:rsidR="00807FFE" w:rsidRDefault="00807FFE">
            <w:pPr>
              <w:pStyle w:val="DMETW36768BIPPENS9"/>
              <w:jc w:val="right"/>
              <w:rPr>
                <w:rFonts w:ascii="Verdana" w:eastAsia="Verdana" w:hAnsi="Verdana" w:cs="Verdana"/>
                <w:noProof/>
                <w:color w:val="FFFFFF"/>
                <w:sz w:val="18"/>
              </w:rPr>
            </w:pPr>
          </w:p>
        </w:tc>
        <w:tc>
          <w:tcPr>
            <w:tcW w:w="1820" w:type="dxa"/>
            <w:gridSpan w:val="2"/>
            <w:tcBorders>
              <w:top w:val="nil"/>
              <w:left w:val="nil"/>
              <w:bottom w:val="nil"/>
              <w:right w:val="nil"/>
              <w:tl2br w:val="nil"/>
              <w:tr2bl w:val="nil"/>
            </w:tcBorders>
            <w:shd w:val="solid" w:color="016794" w:fill="FFFFFF"/>
            <w:tcMar>
              <w:left w:w="60" w:type="dxa"/>
              <w:right w:w="60" w:type="dxa"/>
            </w:tcMar>
            <w:vAlign w:val="center"/>
          </w:tcPr>
          <w:p w14:paraId="3E87F3DF" w14:textId="77777777" w:rsidR="00807FFE" w:rsidRDefault="00023E71">
            <w:pPr>
              <w:pStyle w:val="DMETW36768BIPPENS9"/>
              <w:jc w:val="center"/>
              <w:rPr>
                <w:rFonts w:ascii="Verdana" w:eastAsia="Verdana" w:hAnsi="Verdana" w:cs="Verdana"/>
                <w:noProof/>
                <w:color w:val="FFFFFF"/>
                <w:sz w:val="18"/>
              </w:rPr>
            </w:pPr>
            <w:r>
              <w:rPr>
                <w:rFonts w:ascii="Verdana" w:eastAsia="Verdana" w:hAnsi="Verdana" w:cs="Verdana"/>
                <w:noProof/>
                <w:color w:val="FFFFFF"/>
                <w:sz w:val="18"/>
              </w:rPr>
              <w:t>2025</w:t>
            </w:r>
          </w:p>
        </w:tc>
        <w:tc>
          <w:tcPr>
            <w:tcW w:w="1819" w:type="dxa"/>
            <w:gridSpan w:val="2"/>
            <w:tcBorders>
              <w:top w:val="nil"/>
              <w:left w:val="nil"/>
              <w:bottom w:val="nil"/>
              <w:right w:val="nil"/>
              <w:tl2br w:val="nil"/>
              <w:tr2bl w:val="nil"/>
            </w:tcBorders>
            <w:shd w:val="solid" w:color="016794" w:fill="FFFFFF"/>
            <w:tcMar>
              <w:left w:w="60" w:type="dxa"/>
              <w:right w:w="60" w:type="dxa"/>
            </w:tcMar>
            <w:vAlign w:val="center"/>
          </w:tcPr>
          <w:p w14:paraId="00A38E29" w14:textId="77777777" w:rsidR="00807FFE" w:rsidRDefault="00023E71">
            <w:pPr>
              <w:pStyle w:val="DMETW36768BIPPENS9"/>
              <w:jc w:val="center"/>
              <w:rPr>
                <w:rFonts w:ascii="Verdana" w:eastAsia="Verdana" w:hAnsi="Verdana" w:cs="Verdana"/>
                <w:noProof/>
                <w:color w:val="FFFFFF"/>
                <w:sz w:val="18"/>
                <w:lang w:bidi="en-GB"/>
              </w:rPr>
            </w:pPr>
            <w:r>
              <w:rPr>
                <w:rFonts w:ascii="Verdana" w:eastAsia="Verdana" w:hAnsi="Verdana" w:cs="Verdana"/>
                <w:noProof/>
                <w:color w:val="FFFFFF"/>
                <w:sz w:val="18"/>
              </w:rPr>
              <w:t>2024</w:t>
            </w:r>
          </w:p>
        </w:tc>
      </w:tr>
      <w:tr w:rsidR="00807FFE" w14:paraId="22CAB6B8" w14:textId="77777777">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14:paraId="6D193D24" w14:textId="77777777" w:rsidR="00807FFE" w:rsidRDefault="00807FFE">
            <w:pPr>
              <w:pStyle w:val="DMETW36768BIPPENS9"/>
              <w:jc w:val="right"/>
              <w:rPr>
                <w:rFonts w:ascii="Verdana" w:eastAsia="Verdana" w:hAnsi="Verdana" w:cs="Verdana"/>
                <w:noProof/>
                <w:color w:val="FFFFFF"/>
                <w:sz w:val="18"/>
              </w:rPr>
            </w:pPr>
          </w:p>
        </w:tc>
        <w:tc>
          <w:tcPr>
            <w:tcW w:w="1820" w:type="dxa"/>
            <w:tcBorders>
              <w:top w:val="nil"/>
              <w:left w:val="nil"/>
              <w:bottom w:val="nil"/>
              <w:right w:val="nil"/>
              <w:tl2br w:val="nil"/>
              <w:tr2bl w:val="nil"/>
            </w:tcBorders>
            <w:shd w:val="solid" w:color="016794" w:fill="FFFFFF"/>
            <w:tcMar>
              <w:left w:w="60" w:type="dxa"/>
              <w:right w:w="60" w:type="dxa"/>
            </w:tcMar>
            <w:vAlign w:val="center"/>
          </w:tcPr>
          <w:p w14:paraId="7C4B8F10" w14:textId="77777777" w:rsidR="00807FFE" w:rsidRDefault="00023E71">
            <w:pPr>
              <w:pStyle w:val="DMETW36768BIPPENS9"/>
              <w:jc w:val="right"/>
              <w:rPr>
                <w:rFonts w:ascii="Verdana" w:eastAsia="Verdana" w:hAnsi="Verdana" w:cs="Verdana"/>
                <w:noProof/>
                <w:color w:val="FFFFFF"/>
                <w:sz w:val="18"/>
              </w:rPr>
            </w:pPr>
            <w:r>
              <w:rPr>
                <w:rFonts w:ascii="Verdana" w:eastAsia="Verdana" w:hAnsi="Verdana" w:cs="Verdana"/>
                <w:noProof/>
                <w:color w:val="FFFFFF"/>
                <w:sz w:val="18"/>
              </w:rPr>
              <w:t>One year increase</w:t>
            </w:r>
          </w:p>
        </w:tc>
        <w:tc>
          <w:tcPr>
            <w:tcW w:w="1819" w:type="dxa"/>
            <w:tcBorders>
              <w:top w:val="nil"/>
              <w:left w:val="nil"/>
              <w:bottom w:val="nil"/>
              <w:right w:val="nil"/>
              <w:tl2br w:val="nil"/>
              <w:tr2bl w:val="nil"/>
            </w:tcBorders>
            <w:shd w:val="solid" w:color="016794" w:fill="FFFFFF"/>
            <w:tcMar>
              <w:left w:w="60" w:type="dxa"/>
              <w:right w:w="60" w:type="dxa"/>
            </w:tcMar>
            <w:vAlign w:val="center"/>
          </w:tcPr>
          <w:p w14:paraId="79BC6081" w14:textId="77777777" w:rsidR="00807FFE" w:rsidRDefault="00023E71">
            <w:pPr>
              <w:pStyle w:val="DMETW36768BIPPENS9"/>
              <w:jc w:val="right"/>
              <w:rPr>
                <w:rFonts w:ascii="Verdana" w:eastAsia="Verdana" w:hAnsi="Verdana" w:cs="Verdana"/>
                <w:noProof/>
                <w:color w:val="FFFFFF"/>
                <w:sz w:val="18"/>
              </w:rPr>
            </w:pPr>
            <w:r>
              <w:rPr>
                <w:rFonts w:ascii="Verdana" w:eastAsia="Verdana" w:hAnsi="Verdana" w:cs="Verdana"/>
                <w:noProof/>
                <w:color w:val="FFFFFF"/>
                <w:sz w:val="18"/>
              </w:rPr>
              <w:t>One year decrease</w:t>
            </w:r>
          </w:p>
        </w:tc>
        <w:tc>
          <w:tcPr>
            <w:tcW w:w="1819" w:type="dxa"/>
            <w:tcBorders>
              <w:top w:val="nil"/>
              <w:left w:val="nil"/>
              <w:bottom w:val="nil"/>
              <w:right w:val="nil"/>
              <w:tl2br w:val="nil"/>
              <w:tr2bl w:val="nil"/>
            </w:tcBorders>
            <w:shd w:val="solid" w:color="016794" w:fill="FFFFFF"/>
            <w:tcMar>
              <w:left w:w="60" w:type="dxa"/>
              <w:right w:w="60" w:type="dxa"/>
            </w:tcMar>
            <w:vAlign w:val="center"/>
          </w:tcPr>
          <w:p w14:paraId="4ACF3344" w14:textId="77777777" w:rsidR="00807FFE" w:rsidRDefault="00023E71">
            <w:pPr>
              <w:pStyle w:val="DMETW36768BIPPENS9"/>
              <w:jc w:val="right"/>
              <w:rPr>
                <w:rFonts w:ascii="Verdana" w:eastAsia="Verdana" w:hAnsi="Verdana" w:cs="Verdana"/>
                <w:noProof/>
                <w:color w:val="FFFFFF"/>
                <w:sz w:val="18"/>
              </w:rPr>
            </w:pPr>
            <w:r>
              <w:rPr>
                <w:rFonts w:ascii="Verdana" w:eastAsia="Verdana" w:hAnsi="Verdana" w:cs="Verdana"/>
                <w:noProof/>
                <w:color w:val="FFFFFF"/>
                <w:sz w:val="18"/>
              </w:rPr>
              <w:t>One year increase</w:t>
            </w:r>
          </w:p>
        </w:tc>
        <w:tc>
          <w:tcPr>
            <w:tcW w:w="1819" w:type="dxa"/>
            <w:tcBorders>
              <w:top w:val="nil"/>
              <w:left w:val="nil"/>
              <w:bottom w:val="nil"/>
              <w:right w:val="nil"/>
              <w:tl2br w:val="nil"/>
              <w:tr2bl w:val="nil"/>
            </w:tcBorders>
            <w:shd w:val="solid" w:color="016794" w:fill="FFFFFF"/>
            <w:tcMar>
              <w:left w:w="60" w:type="dxa"/>
              <w:right w:w="60" w:type="dxa"/>
            </w:tcMar>
            <w:vAlign w:val="center"/>
          </w:tcPr>
          <w:p w14:paraId="09EEA208" w14:textId="77777777" w:rsidR="00807FFE" w:rsidRDefault="00023E71">
            <w:pPr>
              <w:pStyle w:val="DMETW36768BIPPENS9"/>
              <w:jc w:val="right"/>
              <w:rPr>
                <w:rFonts w:ascii="Verdana" w:eastAsia="Verdana" w:hAnsi="Verdana" w:cs="Verdana"/>
                <w:noProof/>
                <w:color w:val="FFFFFF"/>
                <w:sz w:val="18"/>
                <w:lang w:bidi="en-GB"/>
              </w:rPr>
            </w:pPr>
            <w:r>
              <w:rPr>
                <w:rFonts w:ascii="Verdana" w:eastAsia="Verdana" w:hAnsi="Verdana" w:cs="Verdana"/>
                <w:noProof/>
                <w:color w:val="FFFFFF"/>
                <w:sz w:val="18"/>
              </w:rPr>
              <w:t>One year decrease</w:t>
            </w:r>
          </w:p>
        </w:tc>
      </w:tr>
      <w:tr w:rsidR="00807FFE" w14:paraId="53649DE4" w14:textId="77777777">
        <w:trPr>
          <w:trHeight w:val="255"/>
        </w:trPr>
        <w:tc>
          <w:tcPr>
            <w:tcW w:w="2481" w:type="dxa"/>
            <w:tcBorders>
              <w:top w:val="nil"/>
              <w:left w:val="nil"/>
              <w:bottom w:val="single" w:sz="4" w:space="0" w:color="016794"/>
              <w:right w:val="nil"/>
              <w:tl2br w:val="nil"/>
              <w:tr2bl w:val="nil"/>
            </w:tcBorders>
            <w:tcMar>
              <w:left w:w="60" w:type="dxa"/>
              <w:right w:w="60" w:type="dxa"/>
            </w:tcMar>
            <w:vAlign w:val="center"/>
          </w:tcPr>
          <w:p w14:paraId="55D071F5" w14:textId="77777777" w:rsidR="00807FFE" w:rsidRDefault="00023E71">
            <w:pPr>
              <w:pStyle w:val="DMETW36768BIPPENS9"/>
              <w:rPr>
                <w:rFonts w:ascii="Verdana" w:eastAsia="Verdana" w:hAnsi="Verdana" w:cs="Verdana"/>
                <w:i/>
                <w:noProof/>
                <w:color w:val="000000"/>
                <w:sz w:val="18"/>
              </w:rPr>
            </w:pPr>
            <w:r>
              <w:rPr>
                <w:rFonts w:ascii="Verdana" w:eastAsia="Verdana" w:hAnsi="Verdana" w:cs="Verdana"/>
                <w:i/>
                <w:noProof/>
                <w:color w:val="000000"/>
                <w:sz w:val="18"/>
              </w:rPr>
              <w:t>Defined benefit obligation</w:t>
            </w:r>
          </w:p>
        </w:tc>
        <w:tc>
          <w:tcPr>
            <w:tcW w:w="1820" w:type="dxa"/>
            <w:tcBorders>
              <w:top w:val="nil"/>
              <w:left w:val="nil"/>
              <w:bottom w:val="single" w:sz="4" w:space="0" w:color="016794"/>
              <w:right w:val="nil"/>
              <w:tl2br w:val="nil"/>
              <w:tr2bl w:val="nil"/>
            </w:tcBorders>
            <w:tcMar>
              <w:left w:w="60" w:type="dxa"/>
              <w:right w:w="60" w:type="dxa"/>
            </w:tcMar>
            <w:vAlign w:val="center"/>
          </w:tcPr>
          <w:p w14:paraId="38B097ED" w14:textId="77777777" w:rsidR="00807FFE" w:rsidRDefault="00023E71">
            <w:pPr>
              <w:pStyle w:val="DMETW36768BIPPENS9"/>
              <w:jc w:val="right"/>
              <w:rPr>
                <w:rFonts w:ascii="Verdana" w:eastAsia="Verdana" w:hAnsi="Verdana" w:cs="Verdana"/>
                <w:i/>
                <w:noProof/>
                <w:color w:val="000000"/>
                <w:sz w:val="18"/>
              </w:rPr>
            </w:pPr>
            <w:r>
              <w:rPr>
                <w:rFonts w:ascii="Verdana" w:eastAsia="Verdana" w:hAnsi="Verdana" w:cs="Verdana"/>
                <w:i/>
                <w:noProof/>
                <w:color w:val="000000"/>
                <w:sz w:val="18"/>
              </w:rPr>
              <w:t xml:space="preserve"> (150)</w:t>
            </w:r>
          </w:p>
        </w:tc>
        <w:tc>
          <w:tcPr>
            <w:tcW w:w="1819" w:type="dxa"/>
            <w:tcBorders>
              <w:top w:val="nil"/>
              <w:left w:val="nil"/>
              <w:bottom w:val="single" w:sz="4" w:space="0" w:color="016794"/>
              <w:right w:val="nil"/>
              <w:tl2br w:val="nil"/>
              <w:tr2bl w:val="nil"/>
            </w:tcBorders>
            <w:tcMar>
              <w:left w:w="60" w:type="dxa"/>
              <w:right w:w="60" w:type="dxa"/>
            </w:tcMar>
            <w:vAlign w:val="center"/>
          </w:tcPr>
          <w:p w14:paraId="69C1235B" w14:textId="77777777" w:rsidR="00807FFE" w:rsidRDefault="00023E71">
            <w:pPr>
              <w:pStyle w:val="DMETW36768BIPPENS9"/>
              <w:jc w:val="right"/>
              <w:rPr>
                <w:rFonts w:ascii="Verdana" w:eastAsia="Verdana" w:hAnsi="Verdana" w:cs="Verdana"/>
                <w:i/>
                <w:noProof/>
                <w:color w:val="000000"/>
                <w:sz w:val="18"/>
              </w:rPr>
            </w:pPr>
            <w:r>
              <w:rPr>
                <w:rFonts w:ascii="Verdana" w:eastAsia="Verdana" w:hAnsi="Verdana" w:cs="Verdana"/>
                <w:i/>
                <w:noProof/>
                <w:color w:val="000000"/>
                <w:sz w:val="18"/>
              </w:rPr>
              <w:t xml:space="preserve"> 161</w:t>
            </w:r>
          </w:p>
        </w:tc>
        <w:tc>
          <w:tcPr>
            <w:tcW w:w="1819" w:type="dxa"/>
            <w:tcBorders>
              <w:top w:val="nil"/>
              <w:left w:val="nil"/>
              <w:bottom w:val="single" w:sz="4" w:space="0" w:color="016794"/>
              <w:right w:val="nil"/>
              <w:tl2br w:val="nil"/>
              <w:tr2bl w:val="nil"/>
            </w:tcBorders>
            <w:tcMar>
              <w:left w:w="60" w:type="dxa"/>
              <w:right w:w="60" w:type="dxa"/>
            </w:tcMar>
            <w:vAlign w:val="center"/>
          </w:tcPr>
          <w:p w14:paraId="3176461B" w14:textId="77777777" w:rsidR="00807FFE" w:rsidRDefault="00023E71">
            <w:pPr>
              <w:pStyle w:val="DMETW36768BIPPENS9"/>
              <w:jc w:val="right"/>
              <w:rPr>
                <w:rFonts w:ascii="Verdana" w:eastAsia="Verdana" w:hAnsi="Verdana" w:cs="Verdana"/>
                <w:i/>
                <w:noProof/>
                <w:color w:val="000000"/>
                <w:sz w:val="18"/>
              </w:rPr>
            </w:pPr>
            <w:r>
              <w:rPr>
                <w:rFonts w:ascii="Verdana" w:eastAsia="Verdana" w:hAnsi="Verdana" w:cs="Verdana"/>
                <w:i/>
                <w:noProof/>
                <w:color w:val="000000"/>
                <w:sz w:val="18"/>
              </w:rPr>
              <w:t xml:space="preserve"> (185)</w:t>
            </w:r>
          </w:p>
        </w:tc>
        <w:tc>
          <w:tcPr>
            <w:tcW w:w="1819" w:type="dxa"/>
            <w:tcBorders>
              <w:top w:val="nil"/>
              <w:left w:val="nil"/>
              <w:bottom w:val="single" w:sz="4" w:space="0" w:color="016794"/>
              <w:right w:val="nil"/>
              <w:tl2br w:val="nil"/>
              <w:tr2bl w:val="nil"/>
            </w:tcBorders>
            <w:tcMar>
              <w:left w:w="60" w:type="dxa"/>
              <w:right w:w="60" w:type="dxa"/>
            </w:tcMar>
            <w:vAlign w:val="center"/>
          </w:tcPr>
          <w:p w14:paraId="216C50CD" w14:textId="77777777" w:rsidR="00807FFE" w:rsidRDefault="00023E71">
            <w:pPr>
              <w:pStyle w:val="DMETW36768BIPPENS9"/>
              <w:jc w:val="right"/>
              <w:rPr>
                <w:rFonts w:ascii="Verdana" w:eastAsia="Verdana" w:hAnsi="Verdana" w:cs="Verdana"/>
                <w:i/>
                <w:noProof/>
                <w:color w:val="000000"/>
                <w:sz w:val="18"/>
              </w:rPr>
            </w:pPr>
            <w:r>
              <w:rPr>
                <w:rFonts w:ascii="Verdana" w:eastAsia="Verdana" w:hAnsi="Verdana" w:cs="Verdana"/>
                <w:i/>
                <w:noProof/>
                <w:color w:val="000000"/>
                <w:sz w:val="18"/>
              </w:rPr>
              <w:t xml:space="preserve"> 197</w:t>
            </w:r>
          </w:p>
        </w:tc>
      </w:tr>
      <w:bookmarkEnd w:id="144"/>
    </w:tbl>
    <w:p w14:paraId="560A105D" w14:textId="77777777" w:rsidR="00416B24" w:rsidRPr="002C6EBF" w:rsidRDefault="00416B24" w:rsidP="00BC0E8C">
      <w:pPr>
        <w:pStyle w:val="DGTextstand-alone"/>
        <w:rPr>
          <w:lang w:bidi="en-GB"/>
        </w:rPr>
        <w:sectPr w:rsidR="00416B24" w:rsidRPr="002C6EBF" w:rsidSect="00BC0E8C">
          <w:headerReference w:type="default" r:id="rId99"/>
          <w:footerReference w:type="default" r:id="rId100"/>
          <w:type w:val="continuous"/>
          <w:pgSz w:w="11906" w:h="16838"/>
          <w:pgMar w:top="1134" w:right="1134" w:bottom="1134" w:left="1134" w:header="709" w:footer="709" w:gutter="0"/>
          <w:cols w:space="708"/>
          <w:docGrid w:linePitch="360"/>
        </w:sectPr>
      </w:pPr>
    </w:p>
    <w:p w14:paraId="5B22A623" w14:textId="77777777" w:rsidR="00B231CF" w:rsidRPr="00602570" w:rsidRDefault="00023E71" w:rsidP="00172034">
      <w:pPr>
        <w:pStyle w:val="HEADER2NOTES"/>
        <w:numPr>
          <w:ilvl w:val="1"/>
          <w:numId w:val="15"/>
        </w:numPr>
        <w:rPr>
          <w:noProof/>
        </w:rPr>
      </w:pPr>
      <w:bookmarkStart w:id="157" w:name="_DMBM_36685"/>
      <w:r w:rsidRPr="00602570">
        <w:rPr>
          <w:noProof/>
        </w:rPr>
        <w:t>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1300"/>
        <w:gridCol w:w="1106"/>
        <w:gridCol w:w="1106"/>
        <w:gridCol w:w="1040"/>
        <w:gridCol w:w="1055"/>
        <w:gridCol w:w="1213"/>
        <w:gridCol w:w="1245"/>
      </w:tblGrid>
      <w:tr w:rsidR="00807FFE" w14:paraId="1CBE69EF" w14:textId="77777777">
        <w:trPr>
          <w:trHeight w:val="255"/>
        </w:trPr>
        <w:tc>
          <w:tcPr>
            <w:tcW w:w="1693" w:type="dxa"/>
            <w:tcBorders>
              <w:top w:val="nil"/>
              <w:left w:val="nil"/>
              <w:bottom w:val="nil"/>
              <w:right w:val="nil"/>
              <w:tl2br w:val="nil"/>
              <w:tr2bl w:val="nil"/>
            </w:tcBorders>
            <w:tcMar>
              <w:left w:w="60" w:type="dxa"/>
              <w:right w:w="60" w:type="dxa"/>
            </w:tcMar>
            <w:vAlign w:val="bottom"/>
          </w:tcPr>
          <w:p w14:paraId="5B4C6B33" w14:textId="77777777" w:rsidR="00807FFE" w:rsidRDefault="00807FFE">
            <w:pPr>
              <w:pStyle w:val="DMETW36769BIPPROV"/>
              <w:rPr>
                <w:rFonts w:ascii="Arial" w:eastAsia="Arial" w:hAnsi="Arial" w:cs="Arial"/>
                <w:noProof/>
                <w:color w:val="000000"/>
                <w:lang w:bidi="en-GB"/>
              </w:rPr>
            </w:pPr>
            <w:bookmarkStart w:id="158" w:name="DOC_TBL00055_1_1"/>
            <w:bookmarkEnd w:id="158"/>
          </w:p>
        </w:tc>
        <w:tc>
          <w:tcPr>
            <w:tcW w:w="1300" w:type="dxa"/>
            <w:tcBorders>
              <w:top w:val="nil"/>
              <w:left w:val="nil"/>
              <w:bottom w:val="nil"/>
              <w:right w:val="nil"/>
              <w:tl2br w:val="nil"/>
              <w:tr2bl w:val="nil"/>
            </w:tcBorders>
            <w:tcMar>
              <w:left w:w="60" w:type="dxa"/>
              <w:right w:w="60" w:type="dxa"/>
            </w:tcMar>
            <w:vAlign w:val="bottom"/>
          </w:tcPr>
          <w:p w14:paraId="1DB95F3E" w14:textId="77777777" w:rsidR="00807FFE" w:rsidRDefault="00807FFE">
            <w:pPr>
              <w:pStyle w:val="DMETW36769BIPPROV"/>
              <w:rPr>
                <w:rFonts w:ascii="Arial" w:eastAsia="Arial" w:hAnsi="Arial" w:cs="Arial"/>
                <w:noProof/>
                <w:color w:val="000000"/>
              </w:rPr>
            </w:pPr>
          </w:p>
        </w:tc>
        <w:tc>
          <w:tcPr>
            <w:tcW w:w="1106" w:type="dxa"/>
            <w:tcBorders>
              <w:top w:val="nil"/>
              <w:left w:val="nil"/>
              <w:bottom w:val="nil"/>
              <w:right w:val="nil"/>
              <w:tl2br w:val="nil"/>
              <w:tr2bl w:val="nil"/>
            </w:tcBorders>
            <w:tcMar>
              <w:left w:w="60" w:type="dxa"/>
              <w:right w:w="60" w:type="dxa"/>
            </w:tcMar>
            <w:vAlign w:val="bottom"/>
          </w:tcPr>
          <w:p w14:paraId="6B878D96" w14:textId="77777777" w:rsidR="00807FFE" w:rsidRDefault="00807FFE">
            <w:pPr>
              <w:pStyle w:val="DMETW36769BIPPROV"/>
              <w:rPr>
                <w:rFonts w:ascii="Arial" w:eastAsia="Arial" w:hAnsi="Arial" w:cs="Arial"/>
                <w:noProof/>
                <w:color w:val="000000"/>
              </w:rPr>
            </w:pPr>
          </w:p>
        </w:tc>
        <w:tc>
          <w:tcPr>
            <w:tcW w:w="1106" w:type="dxa"/>
            <w:tcBorders>
              <w:top w:val="nil"/>
              <w:left w:val="nil"/>
              <w:bottom w:val="nil"/>
              <w:right w:val="nil"/>
              <w:tl2br w:val="nil"/>
              <w:tr2bl w:val="nil"/>
            </w:tcBorders>
            <w:tcMar>
              <w:left w:w="60" w:type="dxa"/>
              <w:right w:w="60" w:type="dxa"/>
            </w:tcMar>
            <w:vAlign w:val="bottom"/>
          </w:tcPr>
          <w:p w14:paraId="4A4F98F2" w14:textId="77777777" w:rsidR="00807FFE" w:rsidRDefault="00807FFE">
            <w:pPr>
              <w:pStyle w:val="DMETW36769BIPPROV"/>
              <w:rPr>
                <w:rFonts w:ascii="Arial" w:eastAsia="Arial" w:hAnsi="Arial" w:cs="Arial"/>
                <w:noProof/>
                <w:color w:val="000000"/>
              </w:rPr>
            </w:pPr>
          </w:p>
        </w:tc>
        <w:tc>
          <w:tcPr>
            <w:tcW w:w="1040" w:type="dxa"/>
            <w:tcBorders>
              <w:top w:val="nil"/>
              <w:left w:val="nil"/>
              <w:bottom w:val="nil"/>
              <w:right w:val="nil"/>
              <w:tl2br w:val="nil"/>
              <w:tr2bl w:val="nil"/>
            </w:tcBorders>
            <w:tcMar>
              <w:left w:w="60" w:type="dxa"/>
              <w:right w:w="60" w:type="dxa"/>
            </w:tcMar>
            <w:vAlign w:val="bottom"/>
          </w:tcPr>
          <w:p w14:paraId="6AAB53A7" w14:textId="77777777" w:rsidR="00807FFE" w:rsidRDefault="00807FFE">
            <w:pPr>
              <w:pStyle w:val="DMETW36769BIPPROV"/>
              <w:rPr>
                <w:rFonts w:ascii="Arial" w:eastAsia="Arial" w:hAnsi="Arial" w:cs="Arial"/>
                <w:noProof/>
                <w:color w:val="000000"/>
              </w:rPr>
            </w:pPr>
          </w:p>
        </w:tc>
        <w:tc>
          <w:tcPr>
            <w:tcW w:w="1055" w:type="dxa"/>
            <w:tcBorders>
              <w:top w:val="nil"/>
              <w:left w:val="nil"/>
              <w:bottom w:val="nil"/>
              <w:right w:val="nil"/>
              <w:tl2br w:val="nil"/>
              <w:tr2bl w:val="nil"/>
            </w:tcBorders>
            <w:tcMar>
              <w:left w:w="60" w:type="dxa"/>
              <w:right w:w="60" w:type="dxa"/>
            </w:tcMar>
            <w:vAlign w:val="bottom"/>
          </w:tcPr>
          <w:p w14:paraId="49B52268" w14:textId="77777777" w:rsidR="00807FFE" w:rsidRDefault="00807FFE">
            <w:pPr>
              <w:pStyle w:val="DMETW36769BIPPROV"/>
              <w:rPr>
                <w:rFonts w:ascii="Arial" w:eastAsia="Arial" w:hAnsi="Arial" w:cs="Arial"/>
                <w:noProof/>
                <w:color w:val="000000"/>
              </w:rPr>
            </w:pPr>
          </w:p>
        </w:tc>
        <w:tc>
          <w:tcPr>
            <w:tcW w:w="1213" w:type="dxa"/>
            <w:tcBorders>
              <w:top w:val="nil"/>
              <w:left w:val="nil"/>
              <w:bottom w:val="nil"/>
              <w:right w:val="nil"/>
              <w:tl2br w:val="nil"/>
              <w:tr2bl w:val="nil"/>
            </w:tcBorders>
            <w:tcMar>
              <w:left w:w="60" w:type="dxa"/>
              <w:right w:w="60" w:type="dxa"/>
            </w:tcMar>
            <w:vAlign w:val="bottom"/>
          </w:tcPr>
          <w:p w14:paraId="44F5C978" w14:textId="77777777" w:rsidR="00807FFE" w:rsidRDefault="00807FFE">
            <w:pPr>
              <w:pStyle w:val="DMETW36769BIPPROV"/>
              <w:rPr>
                <w:rFonts w:ascii="Arial" w:eastAsia="Arial" w:hAnsi="Arial" w:cs="Arial"/>
                <w:noProof/>
                <w:color w:val="000000"/>
              </w:rPr>
            </w:pPr>
          </w:p>
        </w:tc>
        <w:tc>
          <w:tcPr>
            <w:tcW w:w="1245" w:type="dxa"/>
            <w:tcBorders>
              <w:top w:val="nil"/>
              <w:left w:val="nil"/>
              <w:bottom w:val="nil"/>
              <w:right w:val="nil"/>
              <w:tl2br w:val="nil"/>
              <w:tr2bl w:val="nil"/>
            </w:tcBorders>
            <w:tcMar>
              <w:left w:w="60" w:type="dxa"/>
              <w:right w:w="60" w:type="dxa"/>
            </w:tcMar>
            <w:vAlign w:val="bottom"/>
          </w:tcPr>
          <w:p w14:paraId="243EEAB2" w14:textId="77777777" w:rsidR="00807FFE" w:rsidRDefault="00023E71">
            <w:pPr>
              <w:pStyle w:val="DMETW36769BIPPROV"/>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930B1B3" w14:textId="77777777">
        <w:trPr>
          <w:trHeight w:val="255"/>
        </w:trPr>
        <w:tc>
          <w:tcPr>
            <w:tcW w:w="1693" w:type="dxa"/>
            <w:tcBorders>
              <w:top w:val="nil"/>
              <w:left w:val="nil"/>
              <w:bottom w:val="nil"/>
              <w:right w:val="nil"/>
              <w:tl2br w:val="nil"/>
              <w:tr2bl w:val="nil"/>
            </w:tcBorders>
            <w:shd w:val="solid" w:color="016794" w:fill="FFFFFF"/>
            <w:tcMar>
              <w:left w:w="60" w:type="dxa"/>
              <w:right w:w="60" w:type="dxa"/>
            </w:tcMar>
            <w:vAlign w:val="center"/>
          </w:tcPr>
          <w:p w14:paraId="4FF2C34D" w14:textId="77777777" w:rsidR="00807FFE" w:rsidRDefault="00807FFE">
            <w:pPr>
              <w:pStyle w:val="DMETW36769BIPPROV"/>
              <w:jc w:val="right"/>
              <w:rPr>
                <w:rFonts w:ascii="Verdana" w:eastAsia="Verdana" w:hAnsi="Verdana" w:cs="Verdana"/>
                <w:noProof/>
                <w:color w:val="FFFFFF"/>
                <w:sz w:val="18"/>
              </w:rPr>
            </w:pPr>
          </w:p>
        </w:tc>
        <w:tc>
          <w:tcPr>
            <w:tcW w:w="1300" w:type="dxa"/>
            <w:tcBorders>
              <w:top w:val="nil"/>
              <w:left w:val="nil"/>
              <w:bottom w:val="nil"/>
              <w:right w:val="nil"/>
              <w:tl2br w:val="nil"/>
              <w:tr2bl w:val="nil"/>
            </w:tcBorders>
            <w:shd w:val="solid" w:color="016794" w:fill="FFFFFF"/>
            <w:tcMar>
              <w:left w:w="60" w:type="dxa"/>
              <w:right w:w="60" w:type="dxa"/>
            </w:tcMar>
          </w:tcPr>
          <w:p w14:paraId="2F3B33C5" w14:textId="77777777" w:rsidR="00807FFE" w:rsidRDefault="00023E71">
            <w:pPr>
              <w:pStyle w:val="DMETW36769BIPPROV"/>
              <w:jc w:val="right"/>
              <w:rPr>
                <w:rFonts w:ascii="Verdana" w:eastAsia="Verdana" w:hAnsi="Verdana" w:cs="Verdana"/>
                <w:noProof/>
                <w:color w:val="FFFFFF"/>
                <w:sz w:val="18"/>
              </w:rPr>
            </w:pPr>
            <w:r>
              <w:rPr>
                <w:rFonts w:ascii="Verdana" w:eastAsia="Verdana" w:hAnsi="Verdana" w:cs="Verdana"/>
                <w:noProof/>
                <w:color w:val="FFFFFF"/>
                <w:sz w:val="18"/>
              </w:rPr>
              <w:t>Amount at 31.12.2024</w:t>
            </w:r>
          </w:p>
        </w:tc>
        <w:tc>
          <w:tcPr>
            <w:tcW w:w="1106" w:type="dxa"/>
            <w:tcBorders>
              <w:top w:val="nil"/>
              <w:left w:val="nil"/>
              <w:bottom w:val="nil"/>
              <w:right w:val="nil"/>
              <w:tl2br w:val="nil"/>
              <w:tr2bl w:val="nil"/>
            </w:tcBorders>
            <w:shd w:val="solid" w:color="016794" w:fill="FFFFFF"/>
            <w:tcMar>
              <w:left w:w="60" w:type="dxa"/>
              <w:right w:w="60" w:type="dxa"/>
            </w:tcMar>
          </w:tcPr>
          <w:p w14:paraId="0D3DDB65" w14:textId="77777777" w:rsidR="00807FFE" w:rsidRDefault="00023E71">
            <w:pPr>
              <w:pStyle w:val="DMETW36769BIPPROV"/>
              <w:jc w:val="right"/>
              <w:rPr>
                <w:rFonts w:ascii="Verdana" w:eastAsia="Verdana" w:hAnsi="Verdana" w:cs="Verdana"/>
                <w:noProof/>
                <w:color w:val="FFFFFF"/>
                <w:sz w:val="18"/>
              </w:rPr>
            </w:pPr>
            <w:r>
              <w:rPr>
                <w:rFonts w:ascii="Verdana" w:eastAsia="Verdana" w:hAnsi="Verdana" w:cs="Verdana"/>
                <w:noProof/>
                <w:color w:val="FFFFFF"/>
                <w:sz w:val="18"/>
              </w:rPr>
              <w:t>Additional provisions</w:t>
            </w:r>
          </w:p>
        </w:tc>
        <w:tc>
          <w:tcPr>
            <w:tcW w:w="1106" w:type="dxa"/>
            <w:tcBorders>
              <w:top w:val="nil"/>
              <w:left w:val="nil"/>
              <w:bottom w:val="nil"/>
              <w:right w:val="nil"/>
              <w:tl2br w:val="nil"/>
              <w:tr2bl w:val="nil"/>
            </w:tcBorders>
            <w:shd w:val="solid" w:color="016794" w:fill="FFFFFF"/>
            <w:tcMar>
              <w:left w:w="60" w:type="dxa"/>
              <w:right w:w="60" w:type="dxa"/>
            </w:tcMar>
          </w:tcPr>
          <w:p w14:paraId="19166877" w14:textId="77777777" w:rsidR="00807FFE" w:rsidRDefault="00023E71">
            <w:pPr>
              <w:pStyle w:val="DMETW36769BIPPROV"/>
              <w:jc w:val="right"/>
              <w:rPr>
                <w:rFonts w:ascii="Verdana" w:eastAsia="Verdana" w:hAnsi="Verdana" w:cs="Verdana"/>
                <w:noProof/>
                <w:color w:val="FFFFFF"/>
                <w:sz w:val="18"/>
              </w:rPr>
            </w:pPr>
            <w:r>
              <w:rPr>
                <w:rFonts w:ascii="Verdana" w:eastAsia="Verdana" w:hAnsi="Verdana" w:cs="Verdana"/>
                <w:noProof/>
                <w:color w:val="FFFFFF"/>
                <w:sz w:val="18"/>
              </w:rPr>
              <w:t>Unused amounts reversed</w:t>
            </w:r>
          </w:p>
        </w:tc>
        <w:tc>
          <w:tcPr>
            <w:tcW w:w="1040" w:type="dxa"/>
            <w:tcBorders>
              <w:top w:val="nil"/>
              <w:left w:val="nil"/>
              <w:bottom w:val="nil"/>
              <w:right w:val="nil"/>
              <w:tl2br w:val="nil"/>
              <w:tr2bl w:val="nil"/>
            </w:tcBorders>
            <w:shd w:val="solid" w:color="016794" w:fill="FFFFFF"/>
            <w:tcMar>
              <w:left w:w="60" w:type="dxa"/>
              <w:right w:w="60" w:type="dxa"/>
            </w:tcMar>
          </w:tcPr>
          <w:p w14:paraId="0BB26E9B" w14:textId="77777777" w:rsidR="00807FFE" w:rsidRDefault="00023E71">
            <w:pPr>
              <w:pStyle w:val="DMETW36769BIPPROV"/>
              <w:jc w:val="right"/>
              <w:rPr>
                <w:rFonts w:ascii="Verdana" w:eastAsia="Verdana" w:hAnsi="Verdana" w:cs="Verdana"/>
                <w:noProof/>
                <w:color w:val="FFFFFF"/>
                <w:sz w:val="18"/>
              </w:rPr>
            </w:pPr>
            <w:r>
              <w:rPr>
                <w:rFonts w:ascii="Verdana" w:eastAsia="Verdana" w:hAnsi="Verdana" w:cs="Verdana"/>
                <w:noProof/>
                <w:color w:val="FFFFFF"/>
                <w:sz w:val="18"/>
              </w:rPr>
              <w:t>Amounts used</w:t>
            </w:r>
          </w:p>
        </w:tc>
        <w:tc>
          <w:tcPr>
            <w:tcW w:w="1055" w:type="dxa"/>
            <w:tcBorders>
              <w:top w:val="nil"/>
              <w:left w:val="nil"/>
              <w:bottom w:val="nil"/>
              <w:right w:val="nil"/>
              <w:tl2br w:val="nil"/>
              <w:tr2bl w:val="nil"/>
            </w:tcBorders>
            <w:shd w:val="solid" w:color="016794" w:fill="FFFFFF"/>
            <w:tcMar>
              <w:left w:w="60" w:type="dxa"/>
              <w:right w:w="60" w:type="dxa"/>
            </w:tcMar>
          </w:tcPr>
          <w:p w14:paraId="5749EDD3" w14:textId="77777777" w:rsidR="00807FFE" w:rsidRDefault="00023E71">
            <w:pPr>
              <w:pStyle w:val="DMETW36769BIPPROV"/>
              <w:jc w:val="right"/>
              <w:rPr>
                <w:rFonts w:ascii="Verdana" w:eastAsia="Verdana" w:hAnsi="Verdana" w:cs="Verdana"/>
                <w:noProof/>
                <w:color w:val="FFFFFF"/>
                <w:sz w:val="18"/>
              </w:rPr>
            </w:pPr>
            <w:r>
              <w:rPr>
                <w:rFonts w:ascii="Verdana" w:eastAsia="Verdana" w:hAnsi="Verdana" w:cs="Verdana"/>
                <w:noProof/>
                <w:color w:val="FFFFFF"/>
                <w:sz w:val="18"/>
              </w:rPr>
              <w:t>Transfer between categories</w:t>
            </w:r>
          </w:p>
        </w:tc>
        <w:tc>
          <w:tcPr>
            <w:tcW w:w="1213" w:type="dxa"/>
            <w:tcBorders>
              <w:top w:val="nil"/>
              <w:left w:val="nil"/>
              <w:bottom w:val="nil"/>
              <w:right w:val="nil"/>
              <w:tl2br w:val="nil"/>
              <w:tr2bl w:val="nil"/>
            </w:tcBorders>
            <w:shd w:val="solid" w:color="016794" w:fill="FFFFFF"/>
            <w:tcMar>
              <w:left w:w="60" w:type="dxa"/>
              <w:right w:w="60" w:type="dxa"/>
            </w:tcMar>
          </w:tcPr>
          <w:p w14:paraId="4A35965D" w14:textId="77777777" w:rsidR="00807FFE" w:rsidRDefault="00023E71">
            <w:pPr>
              <w:pStyle w:val="DMETW36769BIPPROV"/>
              <w:jc w:val="right"/>
              <w:rPr>
                <w:rFonts w:ascii="Verdana" w:eastAsia="Verdana" w:hAnsi="Verdana" w:cs="Verdana"/>
                <w:noProof/>
                <w:color w:val="FFFFFF"/>
                <w:sz w:val="18"/>
              </w:rPr>
            </w:pPr>
            <w:r>
              <w:rPr>
                <w:rFonts w:ascii="Verdana" w:eastAsia="Verdana" w:hAnsi="Verdana" w:cs="Verdana"/>
                <w:noProof/>
                <w:color w:val="FFFFFF"/>
                <w:sz w:val="18"/>
              </w:rPr>
              <w:t>Change in estimation</w:t>
            </w:r>
          </w:p>
        </w:tc>
        <w:tc>
          <w:tcPr>
            <w:tcW w:w="1245" w:type="dxa"/>
            <w:tcBorders>
              <w:top w:val="nil"/>
              <w:left w:val="nil"/>
              <w:bottom w:val="nil"/>
              <w:right w:val="nil"/>
              <w:tl2br w:val="nil"/>
              <w:tr2bl w:val="nil"/>
            </w:tcBorders>
            <w:shd w:val="solid" w:color="016794" w:fill="FFFFFF"/>
            <w:tcMar>
              <w:left w:w="60" w:type="dxa"/>
              <w:right w:w="60" w:type="dxa"/>
            </w:tcMar>
          </w:tcPr>
          <w:p w14:paraId="04D6380B" w14:textId="77777777" w:rsidR="00807FFE" w:rsidRDefault="00023E71">
            <w:pPr>
              <w:pStyle w:val="DMETW36769BIPPROV"/>
              <w:jc w:val="right"/>
              <w:rPr>
                <w:rFonts w:ascii="Verdana" w:eastAsia="Verdana" w:hAnsi="Verdana" w:cs="Verdana"/>
                <w:noProof/>
                <w:color w:val="FFFFFF"/>
                <w:sz w:val="18"/>
                <w:lang w:bidi="en-GB"/>
              </w:rPr>
            </w:pPr>
            <w:r>
              <w:rPr>
                <w:rFonts w:ascii="Verdana" w:eastAsia="Verdana" w:hAnsi="Verdana" w:cs="Verdana"/>
                <w:noProof/>
                <w:color w:val="FFFFFF"/>
                <w:sz w:val="18"/>
              </w:rPr>
              <w:t>Amount at 31.12.2025</w:t>
            </w:r>
          </w:p>
        </w:tc>
      </w:tr>
      <w:tr w:rsidR="00807FFE" w14:paraId="4BCB3A2F" w14:textId="77777777">
        <w:trPr>
          <w:trHeight w:val="255"/>
        </w:trPr>
        <w:tc>
          <w:tcPr>
            <w:tcW w:w="1693" w:type="dxa"/>
            <w:tcBorders>
              <w:top w:val="nil"/>
              <w:left w:val="nil"/>
              <w:bottom w:val="nil"/>
              <w:right w:val="nil"/>
              <w:tl2br w:val="nil"/>
              <w:tr2bl w:val="nil"/>
            </w:tcBorders>
            <w:tcMar>
              <w:left w:w="60" w:type="dxa"/>
              <w:right w:w="60" w:type="dxa"/>
            </w:tcMar>
            <w:vAlign w:val="center"/>
          </w:tcPr>
          <w:p w14:paraId="4C1DE03E" w14:textId="77777777" w:rsidR="00807FFE" w:rsidRDefault="00023E71">
            <w:pPr>
              <w:pStyle w:val="DMETW36769BIPPROV"/>
              <w:rPr>
                <w:rFonts w:ascii="Verdana" w:eastAsia="Verdana" w:hAnsi="Verdana" w:cs="Verdana"/>
                <w:i/>
                <w:noProof/>
                <w:color w:val="000000"/>
                <w:sz w:val="18"/>
              </w:rPr>
            </w:pPr>
            <w:r>
              <w:rPr>
                <w:rFonts w:ascii="Verdana" w:eastAsia="Verdana" w:hAnsi="Verdana" w:cs="Verdana"/>
                <w:i/>
                <w:noProof/>
                <w:color w:val="000000"/>
                <w:sz w:val="18"/>
              </w:rPr>
              <w:t>Legal cases:</w:t>
            </w:r>
          </w:p>
        </w:tc>
        <w:tc>
          <w:tcPr>
            <w:tcW w:w="1300" w:type="dxa"/>
            <w:tcBorders>
              <w:top w:val="nil"/>
              <w:left w:val="nil"/>
              <w:bottom w:val="nil"/>
              <w:right w:val="nil"/>
              <w:tl2br w:val="nil"/>
              <w:tr2bl w:val="nil"/>
            </w:tcBorders>
            <w:tcMar>
              <w:left w:w="60" w:type="dxa"/>
              <w:right w:w="60" w:type="dxa"/>
            </w:tcMar>
            <w:vAlign w:val="center"/>
          </w:tcPr>
          <w:p w14:paraId="3130778D" w14:textId="77777777" w:rsidR="00807FFE" w:rsidRDefault="00807FFE">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14:paraId="2B672B93" w14:textId="77777777" w:rsidR="00807FFE" w:rsidRDefault="00807FFE">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14:paraId="2FFF6797" w14:textId="77777777" w:rsidR="00807FFE" w:rsidRDefault="00807FFE">
            <w:pPr>
              <w:pStyle w:val="DMETW36769BIPPROV"/>
              <w:jc w:val="right"/>
              <w:rPr>
                <w:rFonts w:ascii="Verdana" w:eastAsia="Verdana" w:hAnsi="Verdana" w:cs="Verdana"/>
                <w:b/>
                <w:noProof/>
                <w:color w:val="000000"/>
                <w:sz w:val="18"/>
              </w:rPr>
            </w:pPr>
          </w:p>
        </w:tc>
        <w:tc>
          <w:tcPr>
            <w:tcW w:w="1040" w:type="dxa"/>
            <w:tcBorders>
              <w:top w:val="nil"/>
              <w:left w:val="nil"/>
              <w:bottom w:val="nil"/>
              <w:right w:val="nil"/>
              <w:tl2br w:val="nil"/>
              <w:tr2bl w:val="nil"/>
            </w:tcBorders>
            <w:tcMar>
              <w:left w:w="60" w:type="dxa"/>
              <w:right w:w="60" w:type="dxa"/>
            </w:tcMar>
            <w:vAlign w:val="center"/>
          </w:tcPr>
          <w:p w14:paraId="7435E6BE" w14:textId="77777777" w:rsidR="00807FFE" w:rsidRDefault="00807FFE">
            <w:pPr>
              <w:pStyle w:val="DMETW36769BIPPROV"/>
              <w:jc w:val="right"/>
              <w:rPr>
                <w:rFonts w:ascii="Verdana" w:eastAsia="Verdana" w:hAnsi="Verdana" w:cs="Verdana"/>
                <w:b/>
                <w:noProof/>
                <w:color w:val="000000"/>
                <w:sz w:val="18"/>
              </w:rPr>
            </w:pPr>
          </w:p>
        </w:tc>
        <w:tc>
          <w:tcPr>
            <w:tcW w:w="1055" w:type="dxa"/>
            <w:tcBorders>
              <w:top w:val="nil"/>
              <w:left w:val="nil"/>
              <w:bottom w:val="nil"/>
              <w:right w:val="nil"/>
              <w:tl2br w:val="nil"/>
              <w:tr2bl w:val="nil"/>
            </w:tcBorders>
            <w:tcMar>
              <w:left w:w="60" w:type="dxa"/>
              <w:right w:w="60" w:type="dxa"/>
            </w:tcMar>
            <w:vAlign w:val="center"/>
          </w:tcPr>
          <w:p w14:paraId="52E1ED86" w14:textId="77777777" w:rsidR="00807FFE" w:rsidRDefault="00807FFE">
            <w:pPr>
              <w:pStyle w:val="DMETW36769BIPPROV"/>
              <w:jc w:val="right"/>
              <w:rPr>
                <w:rFonts w:ascii="Verdana" w:eastAsia="Verdana" w:hAnsi="Verdana" w:cs="Verdana"/>
                <w:b/>
                <w:noProof/>
                <w:color w:val="000000"/>
                <w:sz w:val="18"/>
              </w:rPr>
            </w:pPr>
          </w:p>
        </w:tc>
        <w:tc>
          <w:tcPr>
            <w:tcW w:w="1213" w:type="dxa"/>
            <w:tcBorders>
              <w:top w:val="nil"/>
              <w:left w:val="nil"/>
              <w:bottom w:val="nil"/>
              <w:right w:val="nil"/>
              <w:tl2br w:val="nil"/>
              <w:tr2bl w:val="nil"/>
            </w:tcBorders>
            <w:tcMar>
              <w:left w:w="60" w:type="dxa"/>
              <w:right w:w="60" w:type="dxa"/>
            </w:tcMar>
            <w:vAlign w:val="center"/>
          </w:tcPr>
          <w:p w14:paraId="40621A1A" w14:textId="77777777" w:rsidR="00807FFE" w:rsidRDefault="00807FFE">
            <w:pPr>
              <w:pStyle w:val="DMETW36769BIPPROV"/>
              <w:jc w:val="right"/>
              <w:rPr>
                <w:rFonts w:ascii="Verdana" w:eastAsia="Verdana" w:hAnsi="Verdana" w:cs="Verdana"/>
                <w:b/>
                <w:noProof/>
                <w:color w:val="000000"/>
                <w:sz w:val="18"/>
              </w:rPr>
            </w:pPr>
          </w:p>
        </w:tc>
        <w:tc>
          <w:tcPr>
            <w:tcW w:w="1245" w:type="dxa"/>
            <w:tcBorders>
              <w:top w:val="nil"/>
              <w:left w:val="nil"/>
              <w:bottom w:val="nil"/>
              <w:right w:val="nil"/>
              <w:tl2br w:val="nil"/>
              <w:tr2bl w:val="nil"/>
            </w:tcBorders>
            <w:tcMar>
              <w:left w:w="60" w:type="dxa"/>
              <w:right w:w="60" w:type="dxa"/>
            </w:tcMar>
            <w:vAlign w:val="center"/>
          </w:tcPr>
          <w:p w14:paraId="0E902AEB" w14:textId="77777777" w:rsidR="00807FFE" w:rsidRDefault="00807FFE">
            <w:pPr>
              <w:pStyle w:val="DMETW36769BIPPROV"/>
              <w:jc w:val="right"/>
              <w:rPr>
                <w:rFonts w:ascii="Verdana" w:eastAsia="Verdana" w:hAnsi="Verdana" w:cs="Verdana"/>
                <w:b/>
                <w:noProof/>
                <w:color w:val="000000"/>
                <w:sz w:val="18"/>
                <w:lang w:bidi="en-GB"/>
              </w:rPr>
            </w:pPr>
          </w:p>
        </w:tc>
      </w:tr>
      <w:tr w:rsidR="00807FFE" w14:paraId="297EF67F" w14:textId="77777777">
        <w:trPr>
          <w:trHeight w:val="255"/>
        </w:trPr>
        <w:tc>
          <w:tcPr>
            <w:tcW w:w="1693" w:type="dxa"/>
            <w:tcBorders>
              <w:top w:val="nil"/>
              <w:left w:val="nil"/>
              <w:bottom w:val="nil"/>
              <w:right w:val="nil"/>
              <w:tl2br w:val="nil"/>
              <w:tr2bl w:val="nil"/>
            </w:tcBorders>
            <w:tcMar>
              <w:left w:w="60" w:type="dxa"/>
              <w:right w:w="60" w:type="dxa"/>
            </w:tcMar>
            <w:vAlign w:val="center"/>
          </w:tcPr>
          <w:p w14:paraId="4E83FB7C" w14:textId="77777777" w:rsidR="00807FFE" w:rsidRDefault="00023E71">
            <w:pPr>
              <w:pStyle w:val="DMETW36769BIPPROV"/>
              <w:rPr>
                <w:rFonts w:ascii="Verdana" w:eastAsia="Verdana" w:hAnsi="Verdana" w:cs="Verdana"/>
                <w:i/>
                <w:noProof/>
                <w:color w:val="000000"/>
                <w:sz w:val="18"/>
              </w:rPr>
            </w:pPr>
            <w:r>
              <w:rPr>
                <w:rFonts w:ascii="Verdana" w:eastAsia="Verdana" w:hAnsi="Verdana" w:cs="Verdana"/>
                <w:i/>
                <w:noProof/>
                <w:color w:val="000000"/>
                <w:sz w:val="18"/>
              </w:rPr>
              <w:t xml:space="preserve">     Agriculture</w:t>
            </w:r>
          </w:p>
        </w:tc>
        <w:tc>
          <w:tcPr>
            <w:tcW w:w="1300" w:type="dxa"/>
            <w:tcBorders>
              <w:top w:val="nil"/>
              <w:left w:val="nil"/>
              <w:bottom w:val="nil"/>
              <w:right w:val="nil"/>
              <w:tl2br w:val="nil"/>
              <w:tr2bl w:val="nil"/>
            </w:tcBorders>
            <w:tcMar>
              <w:left w:w="60" w:type="dxa"/>
              <w:right w:w="60" w:type="dxa"/>
            </w:tcMar>
            <w:vAlign w:val="center"/>
          </w:tcPr>
          <w:p w14:paraId="385398CB"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204</w:t>
            </w:r>
          </w:p>
        </w:tc>
        <w:tc>
          <w:tcPr>
            <w:tcW w:w="1106" w:type="dxa"/>
            <w:tcBorders>
              <w:top w:val="nil"/>
              <w:left w:val="nil"/>
              <w:bottom w:val="nil"/>
              <w:right w:val="nil"/>
              <w:tl2br w:val="nil"/>
              <w:tr2bl w:val="nil"/>
            </w:tcBorders>
            <w:tcMar>
              <w:left w:w="60" w:type="dxa"/>
              <w:right w:w="60" w:type="dxa"/>
            </w:tcMar>
            <w:vAlign w:val="center"/>
          </w:tcPr>
          <w:p w14:paraId="7A1967ED"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106" w:type="dxa"/>
            <w:tcBorders>
              <w:top w:val="nil"/>
              <w:left w:val="nil"/>
              <w:bottom w:val="nil"/>
              <w:right w:val="nil"/>
              <w:tl2br w:val="nil"/>
              <w:tr2bl w:val="nil"/>
            </w:tcBorders>
            <w:tcMar>
              <w:left w:w="60" w:type="dxa"/>
              <w:right w:w="60" w:type="dxa"/>
            </w:tcMar>
            <w:vAlign w:val="center"/>
          </w:tcPr>
          <w:p w14:paraId="3BB4FA8A"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(178)</w:t>
            </w:r>
          </w:p>
        </w:tc>
        <w:tc>
          <w:tcPr>
            <w:tcW w:w="1040" w:type="dxa"/>
            <w:tcBorders>
              <w:top w:val="nil"/>
              <w:left w:val="nil"/>
              <w:bottom w:val="nil"/>
              <w:right w:val="nil"/>
              <w:tl2br w:val="nil"/>
              <w:tr2bl w:val="nil"/>
            </w:tcBorders>
            <w:tcMar>
              <w:left w:w="60" w:type="dxa"/>
              <w:right w:w="60" w:type="dxa"/>
            </w:tcMar>
            <w:vAlign w:val="center"/>
          </w:tcPr>
          <w:p w14:paraId="28FC5B53"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5" w:type="dxa"/>
            <w:tcBorders>
              <w:top w:val="nil"/>
              <w:left w:val="nil"/>
              <w:bottom w:val="nil"/>
              <w:right w:val="nil"/>
              <w:tl2br w:val="nil"/>
              <w:tr2bl w:val="nil"/>
            </w:tcBorders>
            <w:tcMar>
              <w:left w:w="60" w:type="dxa"/>
              <w:right w:w="60" w:type="dxa"/>
            </w:tcMar>
            <w:vAlign w:val="center"/>
          </w:tcPr>
          <w:p w14:paraId="744834CC"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14:paraId="111E786A"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45" w:type="dxa"/>
            <w:tcBorders>
              <w:top w:val="nil"/>
              <w:left w:val="nil"/>
              <w:bottom w:val="nil"/>
              <w:right w:val="nil"/>
              <w:tl2br w:val="nil"/>
              <w:tr2bl w:val="nil"/>
            </w:tcBorders>
            <w:tcMar>
              <w:left w:w="60" w:type="dxa"/>
              <w:right w:w="60" w:type="dxa"/>
            </w:tcMar>
            <w:vAlign w:val="center"/>
          </w:tcPr>
          <w:p w14:paraId="58FE2930" w14:textId="77777777" w:rsidR="00807FFE" w:rsidRDefault="00023E71">
            <w:pPr>
              <w:pStyle w:val="DMETW36769BIPPRO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35</w:t>
            </w:r>
          </w:p>
        </w:tc>
      </w:tr>
      <w:tr w:rsidR="00807FFE" w14:paraId="47541ACD" w14:textId="77777777">
        <w:trPr>
          <w:trHeight w:val="255"/>
        </w:trPr>
        <w:tc>
          <w:tcPr>
            <w:tcW w:w="1693" w:type="dxa"/>
            <w:tcBorders>
              <w:top w:val="nil"/>
              <w:left w:val="nil"/>
              <w:bottom w:val="nil"/>
              <w:right w:val="nil"/>
              <w:tl2br w:val="nil"/>
              <w:tr2bl w:val="nil"/>
            </w:tcBorders>
            <w:tcMar>
              <w:left w:w="60" w:type="dxa"/>
              <w:right w:w="60" w:type="dxa"/>
            </w:tcMar>
            <w:vAlign w:val="center"/>
          </w:tcPr>
          <w:p w14:paraId="06C33ABC" w14:textId="77777777" w:rsidR="00807FFE" w:rsidRDefault="00023E71">
            <w:pPr>
              <w:pStyle w:val="DMETW36769BIPPROV"/>
              <w:rPr>
                <w:rFonts w:ascii="Verdana" w:eastAsia="Verdana" w:hAnsi="Verdana" w:cs="Verdana"/>
                <w:i/>
                <w:noProof/>
                <w:color w:val="000000"/>
                <w:sz w:val="18"/>
              </w:rPr>
            </w:pPr>
            <w:r>
              <w:rPr>
                <w:rFonts w:ascii="Verdana" w:eastAsia="Verdana" w:hAnsi="Verdana" w:cs="Verdana"/>
                <w:i/>
                <w:noProof/>
                <w:color w:val="000000"/>
                <w:sz w:val="18"/>
              </w:rPr>
              <w:t xml:space="preserve">     Other</w:t>
            </w:r>
          </w:p>
        </w:tc>
        <w:tc>
          <w:tcPr>
            <w:tcW w:w="1300" w:type="dxa"/>
            <w:tcBorders>
              <w:top w:val="nil"/>
              <w:left w:val="nil"/>
              <w:bottom w:val="nil"/>
              <w:right w:val="nil"/>
              <w:tl2br w:val="nil"/>
              <w:tr2bl w:val="nil"/>
            </w:tcBorders>
            <w:tcMar>
              <w:left w:w="60" w:type="dxa"/>
              <w:right w:w="60" w:type="dxa"/>
            </w:tcMar>
            <w:vAlign w:val="center"/>
          </w:tcPr>
          <w:p w14:paraId="0AB0F48C"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100</w:t>
            </w:r>
          </w:p>
        </w:tc>
        <w:tc>
          <w:tcPr>
            <w:tcW w:w="1106" w:type="dxa"/>
            <w:tcBorders>
              <w:top w:val="nil"/>
              <w:left w:val="nil"/>
              <w:bottom w:val="nil"/>
              <w:right w:val="nil"/>
              <w:tl2br w:val="nil"/>
              <w:tr2bl w:val="nil"/>
            </w:tcBorders>
            <w:tcMar>
              <w:left w:w="60" w:type="dxa"/>
              <w:right w:w="60" w:type="dxa"/>
            </w:tcMar>
            <w:vAlign w:val="center"/>
          </w:tcPr>
          <w:p w14:paraId="41A265D1"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149</w:t>
            </w:r>
          </w:p>
        </w:tc>
        <w:tc>
          <w:tcPr>
            <w:tcW w:w="1106" w:type="dxa"/>
            <w:tcBorders>
              <w:top w:val="nil"/>
              <w:left w:val="nil"/>
              <w:bottom w:val="nil"/>
              <w:right w:val="nil"/>
              <w:tl2br w:val="nil"/>
              <w:tr2bl w:val="nil"/>
            </w:tcBorders>
            <w:tcMar>
              <w:left w:w="60" w:type="dxa"/>
              <w:right w:w="60" w:type="dxa"/>
            </w:tcMar>
            <w:vAlign w:val="center"/>
          </w:tcPr>
          <w:p w14:paraId="0E28DD4B"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040" w:type="dxa"/>
            <w:tcBorders>
              <w:top w:val="nil"/>
              <w:left w:val="nil"/>
              <w:bottom w:val="nil"/>
              <w:right w:val="nil"/>
              <w:tl2br w:val="nil"/>
              <w:tr2bl w:val="nil"/>
            </w:tcBorders>
            <w:tcMar>
              <w:left w:w="60" w:type="dxa"/>
              <w:right w:w="60" w:type="dxa"/>
            </w:tcMar>
            <w:vAlign w:val="center"/>
          </w:tcPr>
          <w:p w14:paraId="50BE3BF8"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(59)</w:t>
            </w:r>
          </w:p>
        </w:tc>
        <w:tc>
          <w:tcPr>
            <w:tcW w:w="1055" w:type="dxa"/>
            <w:tcBorders>
              <w:top w:val="nil"/>
              <w:left w:val="nil"/>
              <w:bottom w:val="nil"/>
              <w:right w:val="nil"/>
              <w:tl2br w:val="nil"/>
              <w:tr2bl w:val="nil"/>
            </w:tcBorders>
            <w:tcMar>
              <w:left w:w="60" w:type="dxa"/>
              <w:right w:w="60" w:type="dxa"/>
            </w:tcMar>
            <w:vAlign w:val="center"/>
          </w:tcPr>
          <w:p w14:paraId="2D0F7C00"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14:paraId="4614DCD9"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245" w:type="dxa"/>
            <w:tcBorders>
              <w:top w:val="nil"/>
              <w:left w:val="nil"/>
              <w:bottom w:val="nil"/>
              <w:right w:val="nil"/>
              <w:tl2br w:val="nil"/>
              <w:tr2bl w:val="nil"/>
            </w:tcBorders>
            <w:tcMar>
              <w:left w:w="60" w:type="dxa"/>
              <w:right w:w="60" w:type="dxa"/>
            </w:tcMar>
            <w:vAlign w:val="center"/>
          </w:tcPr>
          <w:p w14:paraId="29694A4C" w14:textId="77777777" w:rsidR="00807FFE" w:rsidRDefault="00023E71">
            <w:pPr>
              <w:pStyle w:val="DMETW36769BIPPRO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182</w:t>
            </w:r>
          </w:p>
        </w:tc>
      </w:tr>
      <w:tr w:rsidR="00807FFE" w14:paraId="64FB692F" w14:textId="77777777">
        <w:trPr>
          <w:trHeight w:val="255"/>
        </w:trPr>
        <w:tc>
          <w:tcPr>
            <w:tcW w:w="1693" w:type="dxa"/>
            <w:tcBorders>
              <w:top w:val="nil"/>
              <w:left w:val="nil"/>
              <w:bottom w:val="nil"/>
              <w:right w:val="nil"/>
              <w:tl2br w:val="nil"/>
              <w:tr2bl w:val="nil"/>
            </w:tcBorders>
            <w:tcMar>
              <w:left w:w="60" w:type="dxa"/>
              <w:right w:w="60" w:type="dxa"/>
            </w:tcMar>
            <w:vAlign w:val="center"/>
          </w:tcPr>
          <w:p w14:paraId="00951879" w14:textId="77777777" w:rsidR="00807FFE" w:rsidRDefault="00023E71">
            <w:pPr>
              <w:pStyle w:val="DMETW36769BIPPROV"/>
              <w:rPr>
                <w:rFonts w:ascii="Verdana" w:eastAsia="Verdana" w:hAnsi="Verdana" w:cs="Verdana"/>
                <w:i/>
                <w:noProof/>
                <w:color w:val="000000"/>
                <w:sz w:val="18"/>
              </w:rPr>
            </w:pPr>
            <w:r>
              <w:rPr>
                <w:rFonts w:ascii="Verdana" w:eastAsia="Verdana" w:hAnsi="Verdana" w:cs="Verdana"/>
                <w:i/>
                <w:noProof/>
                <w:color w:val="000000"/>
                <w:sz w:val="18"/>
              </w:rPr>
              <w:t>Nuclear site dismantlement</w:t>
            </w:r>
          </w:p>
        </w:tc>
        <w:tc>
          <w:tcPr>
            <w:tcW w:w="1300" w:type="dxa"/>
            <w:tcBorders>
              <w:top w:val="nil"/>
              <w:left w:val="nil"/>
              <w:bottom w:val="nil"/>
              <w:right w:val="nil"/>
              <w:tl2br w:val="nil"/>
              <w:tr2bl w:val="nil"/>
            </w:tcBorders>
            <w:tcMar>
              <w:left w:w="60" w:type="dxa"/>
              <w:right w:w="60" w:type="dxa"/>
            </w:tcMar>
            <w:vAlign w:val="center"/>
          </w:tcPr>
          <w:p w14:paraId="72D87FF1"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1 796</w:t>
            </w:r>
          </w:p>
        </w:tc>
        <w:tc>
          <w:tcPr>
            <w:tcW w:w="1106" w:type="dxa"/>
            <w:tcBorders>
              <w:top w:val="nil"/>
              <w:left w:val="nil"/>
              <w:bottom w:val="nil"/>
              <w:right w:val="nil"/>
              <w:tl2br w:val="nil"/>
              <w:tr2bl w:val="nil"/>
            </w:tcBorders>
            <w:tcMar>
              <w:left w:w="60" w:type="dxa"/>
              <w:right w:w="60" w:type="dxa"/>
            </w:tcMar>
            <w:vAlign w:val="center"/>
          </w:tcPr>
          <w:p w14:paraId="76B14446"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06" w:type="dxa"/>
            <w:tcBorders>
              <w:top w:val="nil"/>
              <w:left w:val="nil"/>
              <w:bottom w:val="nil"/>
              <w:right w:val="nil"/>
              <w:tl2br w:val="nil"/>
              <w:tr2bl w:val="nil"/>
            </w:tcBorders>
            <w:tcMar>
              <w:left w:w="60" w:type="dxa"/>
              <w:right w:w="60" w:type="dxa"/>
            </w:tcMar>
            <w:vAlign w:val="center"/>
          </w:tcPr>
          <w:p w14:paraId="09952340"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40" w:type="dxa"/>
            <w:tcBorders>
              <w:top w:val="nil"/>
              <w:left w:val="nil"/>
              <w:bottom w:val="nil"/>
              <w:right w:val="nil"/>
              <w:tl2br w:val="nil"/>
              <w:tr2bl w:val="nil"/>
            </w:tcBorders>
            <w:tcMar>
              <w:left w:w="60" w:type="dxa"/>
              <w:right w:w="60" w:type="dxa"/>
            </w:tcMar>
            <w:vAlign w:val="center"/>
          </w:tcPr>
          <w:p w14:paraId="3975FE6E"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(53)</w:t>
            </w:r>
          </w:p>
        </w:tc>
        <w:tc>
          <w:tcPr>
            <w:tcW w:w="1055" w:type="dxa"/>
            <w:tcBorders>
              <w:top w:val="nil"/>
              <w:left w:val="nil"/>
              <w:bottom w:val="nil"/>
              <w:right w:val="nil"/>
              <w:tl2br w:val="nil"/>
              <w:tr2bl w:val="nil"/>
            </w:tcBorders>
            <w:tcMar>
              <w:left w:w="60" w:type="dxa"/>
              <w:right w:w="60" w:type="dxa"/>
            </w:tcMar>
            <w:vAlign w:val="center"/>
          </w:tcPr>
          <w:p w14:paraId="7EAE93EE"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14:paraId="0A6E06BA"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137</w:t>
            </w:r>
          </w:p>
        </w:tc>
        <w:tc>
          <w:tcPr>
            <w:tcW w:w="1245" w:type="dxa"/>
            <w:tcBorders>
              <w:top w:val="nil"/>
              <w:left w:val="nil"/>
              <w:bottom w:val="nil"/>
              <w:right w:val="nil"/>
              <w:tl2br w:val="nil"/>
              <w:tr2bl w:val="nil"/>
            </w:tcBorders>
            <w:tcMar>
              <w:left w:w="60" w:type="dxa"/>
              <w:right w:w="60" w:type="dxa"/>
            </w:tcMar>
            <w:vAlign w:val="center"/>
          </w:tcPr>
          <w:p w14:paraId="3A04CB63" w14:textId="77777777" w:rsidR="00807FFE" w:rsidRDefault="00023E71">
            <w:pPr>
              <w:pStyle w:val="DMETW36769BIPPROV"/>
              <w:jc w:val="right"/>
              <w:rPr>
                <w:rFonts w:ascii="Verdana" w:eastAsia="Verdana" w:hAnsi="Verdana" w:cs="Verdana"/>
                <w:i/>
                <w:noProof/>
                <w:color w:val="000000"/>
                <w:sz w:val="18"/>
                <w:lang w:bidi="en-GB"/>
              </w:rPr>
            </w:pPr>
            <w:r>
              <w:rPr>
                <w:rFonts w:ascii="Verdana" w:eastAsia="Verdana" w:hAnsi="Verdana" w:cs="Verdana"/>
                <w:i/>
                <w:noProof/>
                <w:color w:val="000000"/>
                <w:sz w:val="18"/>
              </w:rPr>
              <w:t>1 880</w:t>
            </w:r>
          </w:p>
        </w:tc>
      </w:tr>
      <w:tr w:rsidR="00807FFE" w14:paraId="00A5B77B" w14:textId="77777777">
        <w:trPr>
          <w:trHeight w:val="255"/>
        </w:trPr>
        <w:tc>
          <w:tcPr>
            <w:tcW w:w="1693" w:type="dxa"/>
            <w:tcBorders>
              <w:top w:val="nil"/>
              <w:left w:val="nil"/>
              <w:bottom w:val="nil"/>
              <w:right w:val="nil"/>
              <w:tl2br w:val="nil"/>
              <w:tr2bl w:val="nil"/>
            </w:tcBorders>
            <w:tcMar>
              <w:left w:w="60" w:type="dxa"/>
              <w:right w:w="60" w:type="dxa"/>
            </w:tcMar>
            <w:vAlign w:val="center"/>
          </w:tcPr>
          <w:p w14:paraId="1BFF1036" w14:textId="77777777" w:rsidR="00807FFE" w:rsidRDefault="00023E71">
            <w:pPr>
              <w:pStyle w:val="DMETW36769BIPPROV"/>
              <w:rPr>
                <w:rFonts w:ascii="Verdana" w:eastAsia="Verdana" w:hAnsi="Verdana" w:cs="Verdana"/>
                <w:i/>
                <w:noProof/>
                <w:color w:val="000000"/>
                <w:sz w:val="18"/>
              </w:rPr>
            </w:pPr>
            <w:r>
              <w:rPr>
                <w:rFonts w:ascii="Verdana" w:eastAsia="Verdana" w:hAnsi="Verdana" w:cs="Verdana"/>
                <w:i/>
                <w:noProof/>
                <w:color w:val="000000"/>
                <w:sz w:val="18"/>
              </w:rPr>
              <w:t>Financial</w:t>
            </w:r>
          </w:p>
        </w:tc>
        <w:tc>
          <w:tcPr>
            <w:tcW w:w="1300" w:type="dxa"/>
            <w:tcBorders>
              <w:top w:val="nil"/>
              <w:left w:val="nil"/>
              <w:bottom w:val="nil"/>
              <w:right w:val="nil"/>
              <w:tl2br w:val="nil"/>
              <w:tr2bl w:val="nil"/>
            </w:tcBorders>
            <w:tcMar>
              <w:left w:w="60" w:type="dxa"/>
              <w:right w:w="60" w:type="dxa"/>
            </w:tcMar>
            <w:vAlign w:val="center"/>
          </w:tcPr>
          <w:p w14:paraId="231D9CD2"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7 082</w:t>
            </w:r>
          </w:p>
        </w:tc>
        <w:tc>
          <w:tcPr>
            <w:tcW w:w="1106" w:type="dxa"/>
            <w:tcBorders>
              <w:top w:val="nil"/>
              <w:left w:val="nil"/>
              <w:bottom w:val="nil"/>
              <w:right w:val="nil"/>
              <w:tl2br w:val="nil"/>
              <w:tr2bl w:val="nil"/>
            </w:tcBorders>
            <w:tcMar>
              <w:left w:w="60" w:type="dxa"/>
              <w:right w:w="60" w:type="dxa"/>
            </w:tcMar>
            <w:vAlign w:val="center"/>
          </w:tcPr>
          <w:p w14:paraId="4215D66B"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06" w:type="dxa"/>
            <w:tcBorders>
              <w:top w:val="nil"/>
              <w:left w:val="nil"/>
              <w:bottom w:val="nil"/>
              <w:right w:val="nil"/>
              <w:tl2br w:val="nil"/>
              <w:tr2bl w:val="nil"/>
            </w:tcBorders>
            <w:tcMar>
              <w:left w:w="60" w:type="dxa"/>
              <w:right w:w="60" w:type="dxa"/>
            </w:tcMar>
            <w:vAlign w:val="center"/>
          </w:tcPr>
          <w:p w14:paraId="5ACF8E34"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(7 081)</w:t>
            </w:r>
          </w:p>
        </w:tc>
        <w:tc>
          <w:tcPr>
            <w:tcW w:w="1040" w:type="dxa"/>
            <w:tcBorders>
              <w:top w:val="nil"/>
              <w:left w:val="nil"/>
              <w:bottom w:val="nil"/>
              <w:right w:val="nil"/>
              <w:tl2br w:val="nil"/>
              <w:tr2bl w:val="nil"/>
            </w:tcBorders>
            <w:tcMar>
              <w:left w:w="60" w:type="dxa"/>
              <w:right w:w="60" w:type="dxa"/>
            </w:tcMar>
            <w:vAlign w:val="center"/>
          </w:tcPr>
          <w:p w14:paraId="678F37BB"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055" w:type="dxa"/>
            <w:tcBorders>
              <w:top w:val="nil"/>
              <w:left w:val="nil"/>
              <w:bottom w:val="nil"/>
              <w:right w:val="nil"/>
              <w:tl2br w:val="nil"/>
              <w:tr2bl w:val="nil"/>
            </w:tcBorders>
            <w:tcMar>
              <w:left w:w="60" w:type="dxa"/>
              <w:right w:w="60" w:type="dxa"/>
            </w:tcMar>
            <w:vAlign w:val="center"/>
          </w:tcPr>
          <w:p w14:paraId="7C59EEC6"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14:paraId="212A2D13"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45" w:type="dxa"/>
            <w:tcBorders>
              <w:top w:val="nil"/>
              <w:left w:val="nil"/>
              <w:bottom w:val="nil"/>
              <w:right w:val="nil"/>
              <w:tl2br w:val="nil"/>
              <w:tr2bl w:val="nil"/>
            </w:tcBorders>
            <w:tcMar>
              <w:left w:w="60" w:type="dxa"/>
              <w:right w:w="60" w:type="dxa"/>
            </w:tcMar>
            <w:vAlign w:val="center"/>
          </w:tcPr>
          <w:p w14:paraId="6A0FF137" w14:textId="77777777" w:rsidR="00807FFE" w:rsidRDefault="00023E71">
            <w:pPr>
              <w:pStyle w:val="DMETW36769BIPPRO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807FFE" w14:paraId="07AC9C70" w14:textId="77777777">
        <w:trPr>
          <w:trHeight w:val="255"/>
        </w:trPr>
        <w:tc>
          <w:tcPr>
            <w:tcW w:w="1693" w:type="dxa"/>
            <w:tcBorders>
              <w:top w:val="nil"/>
              <w:left w:val="nil"/>
              <w:bottom w:val="single" w:sz="4" w:space="0" w:color="016794"/>
              <w:right w:val="nil"/>
              <w:tl2br w:val="nil"/>
              <w:tr2bl w:val="nil"/>
            </w:tcBorders>
            <w:tcMar>
              <w:left w:w="60" w:type="dxa"/>
              <w:right w:w="60" w:type="dxa"/>
            </w:tcMar>
            <w:vAlign w:val="center"/>
          </w:tcPr>
          <w:p w14:paraId="707C9DC2" w14:textId="77777777" w:rsidR="00807FFE" w:rsidRDefault="00023E71">
            <w:pPr>
              <w:pStyle w:val="DMETW36769BIPPROV"/>
              <w:rPr>
                <w:rFonts w:ascii="Verdana" w:eastAsia="Verdana" w:hAnsi="Verdana" w:cs="Verdana"/>
                <w:i/>
                <w:noProof/>
                <w:color w:val="000000"/>
                <w:sz w:val="18"/>
              </w:rPr>
            </w:pPr>
            <w:r>
              <w:rPr>
                <w:rFonts w:ascii="Verdana" w:eastAsia="Verdana" w:hAnsi="Verdana" w:cs="Verdana"/>
                <w:i/>
                <w:noProof/>
                <w:color w:val="000000"/>
                <w:sz w:val="18"/>
              </w:rPr>
              <w:t>Other</w:t>
            </w:r>
          </w:p>
        </w:tc>
        <w:tc>
          <w:tcPr>
            <w:tcW w:w="1300" w:type="dxa"/>
            <w:tcBorders>
              <w:top w:val="nil"/>
              <w:left w:val="nil"/>
              <w:bottom w:val="single" w:sz="4" w:space="0" w:color="016794"/>
              <w:right w:val="nil"/>
              <w:tl2br w:val="nil"/>
              <w:tr2bl w:val="nil"/>
            </w:tcBorders>
            <w:tcMar>
              <w:left w:w="60" w:type="dxa"/>
              <w:right w:w="60" w:type="dxa"/>
            </w:tcMar>
            <w:vAlign w:val="center"/>
          </w:tcPr>
          <w:p w14:paraId="77BCFE88"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633</w:t>
            </w:r>
          </w:p>
        </w:tc>
        <w:tc>
          <w:tcPr>
            <w:tcW w:w="1106" w:type="dxa"/>
            <w:tcBorders>
              <w:top w:val="nil"/>
              <w:left w:val="nil"/>
              <w:bottom w:val="single" w:sz="4" w:space="0" w:color="016794"/>
              <w:right w:val="nil"/>
              <w:tl2br w:val="nil"/>
              <w:tr2bl w:val="nil"/>
            </w:tcBorders>
            <w:tcMar>
              <w:left w:w="60" w:type="dxa"/>
              <w:right w:w="60" w:type="dxa"/>
            </w:tcMar>
            <w:vAlign w:val="center"/>
          </w:tcPr>
          <w:p w14:paraId="287D91BB"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164</w:t>
            </w:r>
          </w:p>
        </w:tc>
        <w:tc>
          <w:tcPr>
            <w:tcW w:w="1106" w:type="dxa"/>
            <w:tcBorders>
              <w:top w:val="nil"/>
              <w:left w:val="nil"/>
              <w:bottom w:val="single" w:sz="4" w:space="0" w:color="016794"/>
              <w:right w:val="nil"/>
              <w:tl2br w:val="nil"/>
              <w:tr2bl w:val="nil"/>
            </w:tcBorders>
            <w:tcMar>
              <w:left w:w="60" w:type="dxa"/>
              <w:right w:w="60" w:type="dxa"/>
            </w:tcMar>
            <w:vAlign w:val="center"/>
          </w:tcPr>
          <w:p w14:paraId="744C832E"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(206)</w:t>
            </w:r>
          </w:p>
        </w:tc>
        <w:tc>
          <w:tcPr>
            <w:tcW w:w="1040" w:type="dxa"/>
            <w:tcBorders>
              <w:top w:val="nil"/>
              <w:left w:val="nil"/>
              <w:bottom w:val="single" w:sz="4" w:space="0" w:color="016794"/>
              <w:right w:val="nil"/>
              <w:tl2br w:val="nil"/>
              <w:tr2bl w:val="nil"/>
            </w:tcBorders>
            <w:tcMar>
              <w:left w:w="60" w:type="dxa"/>
              <w:right w:w="60" w:type="dxa"/>
            </w:tcMar>
            <w:vAlign w:val="center"/>
          </w:tcPr>
          <w:p w14:paraId="36516A28"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(17)</w:t>
            </w:r>
          </w:p>
        </w:tc>
        <w:tc>
          <w:tcPr>
            <w:tcW w:w="1055" w:type="dxa"/>
            <w:tcBorders>
              <w:top w:val="nil"/>
              <w:left w:val="nil"/>
              <w:bottom w:val="single" w:sz="4" w:space="0" w:color="016794"/>
              <w:right w:val="nil"/>
              <w:tl2br w:val="nil"/>
              <w:tr2bl w:val="nil"/>
            </w:tcBorders>
            <w:tcMar>
              <w:left w:w="60" w:type="dxa"/>
              <w:right w:w="60" w:type="dxa"/>
            </w:tcMar>
            <w:vAlign w:val="center"/>
          </w:tcPr>
          <w:p w14:paraId="6C62507A"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13" w:type="dxa"/>
            <w:tcBorders>
              <w:top w:val="nil"/>
              <w:left w:val="nil"/>
              <w:bottom w:val="single" w:sz="4" w:space="0" w:color="016794"/>
              <w:right w:val="nil"/>
              <w:tl2br w:val="nil"/>
              <w:tr2bl w:val="nil"/>
            </w:tcBorders>
            <w:tcMar>
              <w:left w:w="60" w:type="dxa"/>
              <w:right w:w="60" w:type="dxa"/>
            </w:tcMar>
            <w:vAlign w:val="center"/>
          </w:tcPr>
          <w:p w14:paraId="12B65142" w14:textId="77777777" w:rsidR="00807FFE" w:rsidRDefault="00023E71">
            <w:pPr>
              <w:pStyle w:val="DMETW36769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(61)</w:t>
            </w:r>
          </w:p>
        </w:tc>
        <w:tc>
          <w:tcPr>
            <w:tcW w:w="1245" w:type="dxa"/>
            <w:tcBorders>
              <w:top w:val="nil"/>
              <w:left w:val="nil"/>
              <w:bottom w:val="single" w:sz="4" w:space="0" w:color="016794"/>
              <w:right w:val="nil"/>
              <w:tl2br w:val="nil"/>
              <w:tr2bl w:val="nil"/>
            </w:tcBorders>
            <w:tcMar>
              <w:left w:w="60" w:type="dxa"/>
              <w:right w:w="60" w:type="dxa"/>
            </w:tcMar>
            <w:vAlign w:val="center"/>
          </w:tcPr>
          <w:p w14:paraId="77580B0B" w14:textId="77777777" w:rsidR="00807FFE" w:rsidRDefault="00023E71">
            <w:pPr>
              <w:pStyle w:val="DMETW36769BIPPRO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514</w:t>
            </w:r>
          </w:p>
        </w:tc>
      </w:tr>
      <w:tr w:rsidR="00807FFE" w14:paraId="73C75233" w14:textId="77777777">
        <w:trPr>
          <w:trHeight w:val="255"/>
        </w:trPr>
        <w:tc>
          <w:tcPr>
            <w:tcW w:w="1693" w:type="dxa"/>
            <w:tcBorders>
              <w:top w:val="single" w:sz="4" w:space="0" w:color="016794"/>
              <w:left w:val="nil"/>
              <w:bottom w:val="nil"/>
              <w:right w:val="nil"/>
              <w:tl2br w:val="nil"/>
              <w:tr2bl w:val="nil"/>
            </w:tcBorders>
            <w:tcMar>
              <w:left w:w="60" w:type="dxa"/>
              <w:right w:w="60" w:type="dxa"/>
            </w:tcMar>
            <w:vAlign w:val="center"/>
          </w:tcPr>
          <w:p w14:paraId="03FA167C" w14:textId="77777777" w:rsidR="00807FFE" w:rsidRDefault="00023E71">
            <w:pPr>
              <w:pStyle w:val="DMETW36769BIPPROV"/>
              <w:rPr>
                <w:rFonts w:ascii="Verdana" w:eastAsia="Verdana" w:hAnsi="Verdana" w:cs="Verdana"/>
                <w:b/>
                <w:noProof/>
                <w:color w:val="000000"/>
                <w:sz w:val="18"/>
              </w:rPr>
            </w:pPr>
            <w:r>
              <w:rPr>
                <w:rFonts w:ascii="Verdana" w:eastAsia="Verdana" w:hAnsi="Verdana" w:cs="Verdana"/>
                <w:b/>
                <w:noProof/>
                <w:color w:val="000000"/>
                <w:sz w:val="18"/>
              </w:rPr>
              <w:t>Total</w:t>
            </w:r>
          </w:p>
        </w:tc>
        <w:tc>
          <w:tcPr>
            <w:tcW w:w="1300" w:type="dxa"/>
            <w:tcBorders>
              <w:top w:val="single" w:sz="4" w:space="0" w:color="016794"/>
              <w:left w:val="nil"/>
              <w:bottom w:val="nil"/>
              <w:right w:val="nil"/>
              <w:tl2br w:val="nil"/>
              <w:tr2bl w:val="nil"/>
            </w:tcBorders>
            <w:tcMar>
              <w:left w:w="60" w:type="dxa"/>
              <w:right w:w="60" w:type="dxa"/>
            </w:tcMar>
            <w:vAlign w:val="center"/>
          </w:tcPr>
          <w:p w14:paraId="2C3D4374"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9 816</w:t>
            </w:r>
          </w:p>
        </w:tc>
        <w:tc>
          <w:tcPr>
            <w:tcW w:w="1106" w:type="dxa"/>
            <w:tcBorders>
              <w:top w:val="single" w:sz="4" w:space="0" w:color="016794"/>
              <w:left w:val="nil"/>
              <w:bottom w:val="nil"/>
              <w:right w:val="nil"/>
              <w:tl2br w:val="nil"/>
              <w:tr2bl w:val="nil"/>
            </w:tcBorders>
            <w:tcMar>
              <w:left w:w="60" w:type="dxa"/>
              <w:right w:w="60" w:type="dxa"/>
            </w:tcMar>
            <w:vAlign w:val="center"/>
          </w:tcPr>
          <w:p w14:paraId="455179A7"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323</w:t>
            </w:r>
          </w:p>
        </w:tc>
        <w:tc>
          <w:tcPr>
            <w:tcW w:w="1106" w:type="dxa"/>
            <w:tcBorders>
              <w:top w:val="single" w:sz="4" w:space="0" w:color="016794"/>
              <w:left w:val="nil"/>
              <w:bottom w:val="nil"/>
              <w:right w:val="nil"/>
              <w:tl2br w:val="nil"/>
              <w:tr2bl w:val="nil"/>
            </w:tcBorders>
            <w:tcMar>
              <w:left w:w="60" w:type="dxa"/>
              <w:right w:w="60" w:type="dxa"/>
            </w:tcMar>
            <w:vAlign w:val="center"/>
          </w:tcPr>
          <w:p w14:paraId="61B4E491"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(7 473)</w:t>
            </w:r>
          </w:p>
        </w:tc>
        <w:tc>
          <w:tcPr>
            <w:tcW w:w="1040" w:type="dxa"/>
            <w:tcBorders>
              <w:top w:val="single" w:sz="4" w:space="0" w:color="016794"/>
              <w:left w:val="nil"/>
              <w:bottom w:val="nil"/>
              <w:right w:val="nil"/>
              <w:tl2br w:val="nil"/>
              <w:tr2bl w:val="nil"/>
            </w:tcBorders>
            <w:tcMar>
              <w:left w:w="60" w:type="dxa"/>
              <w:right w:w="60" w:type="dxa"/>
            </w:tcMar>
            <w:vAlign w:val="center"/>
          </w:tcPr>
          <w:p w14:paraId="73B173E7"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(129)</w:t>
            </w:r>
          </w:p>
        </w:tc>
        <w:tc>
          <w:tcPr>
            <w:tcW w:w="1055" w:type="dxa"/>
            <w:tcBorders>
              <w:top w:val="single" w:sz="4" w:space="0" w:color="016794"/>
              <w:left w:val="nil"/>
              <w:bottom w:val="nil"/>
              <w:right w:val="nil"/>
              <w:tl2br w:val="nil"/>
              <w:tr2bl w:val="nil"/>
            </w:tcBorders>
            <w:tcMar>
              <w:left w:w="60" w:type="dxa"/>
              <w:right w:w="60" w:type="dxa"/>
            </w:tcMar>
            <w:vAlign w:val="center"/>
          </w:tcPr>
          <w:p w14:paraId="79B84DF7"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213" w:type="dxa"/>
            <w:tcBorders>
              <w:top w:val="single" w:sz="4" w:space="0" w:color="016794"/>
              <w:left w:val="nil"/>
              <w:bottom w:val="nil"/>
              <w:right w:val="nil"/>
              <w:tl2br w:val="nil"/>
              <w:tr2bl w:val="nil"/>
            </w:tcBorders>
            <w:tcMar>
              <w:left w:w="60" w:type="dxa"/>
              <w:right w:w="60" w:type="dxa"/>
            </w:tcMar>
            <w:vAlign w:val="center"/>
          </w:tcPr>
          <w:p w14:paraId="2E93F00C"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76</w:t>
            </w:r>
          </w:p>
        </w:tc>
        <w:tc>
          <w:tcPr>
            <w:tcW w:w="1245" w:type="dxa"/>
            <w:tcBorders>
              <w:top w:val="single" w:sz="4" w:space="0" w:color="016794"/>
              <w:left w:val="nil"/>
              <w:bottom w:val="nil"/>
              <w:right w:val="nil"/>
              <w:tl2br w:val="nil"/>
              <w:tr2bl w:val="nil"/>
            </w:tcBorders>
            <w:tcMar>
              <w:left w:w="60" w:type="dxa"/>
              <w:right w:w="60" w:type="dxa"/>
            </w:tcMar>
            <w:vAlign w:val="center"/>
          </w:tcPr>
          <w:p w14:paraId="7C6CC4D0" w14:textId="77777777" w:rsidR="00807FFE" w:rsidRDefault="00023E71">
            <w:pPr>
              <w:pStyle w:val="DMETW36769BIPPROV"/>
              <w:jc w:val="right"/>
              <w:rPr>
                <w:rFonts w:ascii="Verdana" w:eastAsia="Verdana" w:hAnsi="Verdana" w:cs="Verdana"/>
                <w:b/>
                <w:noProof/>
                <w:color w:val="000000"/>
                <w:sz w:val="18"/>
                <w:lang w:bidi="en-GB"/>
              </w:rPr>
            </w:pPr>
            <w:r>
              <w:rPr>
                <w:rFonts w:ascii="Verdana" w:eastAsia="Verdana" w:hAnsi="Verdana" w:cs="Verdana"/>
                <w:b/>
                <w:noProof/>
                <w:color w:val="000000"/>
                <w:sz w:val="18"/>
              </w:rPr>
              <w:t>2 613</w:t>
            </w:r>
          </w:p>
        </w:tc>
      </w:tr>
      <w:tr w:rsidR="00807FFE" w14:paraId="41A96BF8" w14:textId="77777777">
        <w:trPr>
          <w:trHeight w:val="255"/>
        </w:trPr>
        <w:tc>
          <w:tcPr>
            <w:tcW w:w="1693" w:type="dxa"/>
            <w:tcBorders>
              <w:top w:val="nil"/>
              <w:left w:val="nil"/>
              <w:bottom w:val="nil"/>
              <w:right w:val="nil"/>
              <w:tl2br w:val="nil"/>
              <w:tr2bl w:val="nil"/>
            </w:tcBorders>
            <w:shd w:val="solid" w:color="CCE1EA" w:fill="FFFFFF"/>
            <w:tcMar>
              <w:left w:w="60" w:type="dxa"/>
              <w:right w:w="60" w:type="dxa"/>
            </w:tcMar>
            <w:vAlign w:val="center"/>
          </w:tcPr>
          <w:p w14:paraId="40A96B6F" w14:textId="77777777" w:rsidR="00807FFE" w:rsidRDefault="00023E71">
            <w:pPr>
              <w:pStyle w:val="DMETW36769BIPPROV"/>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1300" w:type="dxa"/>
            <w:tcBorders>
              <w:top w:val="nil"/>
              <w:left w:val="nil"/>
              <w:bottom w:val="nil"/>
              <w:right w:val="nil"/>
              <w:tl2br w:val="nil"/>
              <w:tr2bl w:val="nil"/>
            </w:tcBorders>
            <w:shd w:val="solid" w:color="CCE1EA" w:fill="FFFFFF"/>
            <w:tcMar>
              <w:left w:w="60" w:type="dxa"/>
              <w:right w:w="60" w:type="dxa"/>
            </w:tcMar>
            <w:vAlign w:val="center"/>
          </w:tcPr>
          <w:p w14:paraId="3E8B535F"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2 280</w:t>
            </w:r>
          </w:p>
        </w:tc>
        <w:tc>
          <w:tcPr>
            <w:tcW w:w="1106" w:type="dxa"/>
            <w:tcBorders>
              <w:top w:val="nil"/>
              <w:left w:val="nil"/>
              <w:bottom w:val="nil"/>
              <w:right w:val="nil"/>
              <w:tl2br w:val="nil"/>
              <w:tr2bl w:val="nil"/>
            </w:tcBorders>
            <w:shd w:val="solid" w:color="CCE1EA" w:fill="FFFFFF"/>
            <w:tcMar>
              <w:left w:w="60" w:type="dxa"/>
              <w:right w:w="60" w:type="dxa"/>
            </w:tcMar>
            <w:vAlign w:val="center"/>
          </w:tcPr>
          <w:p w14:paraId="020A3962"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58</w:t>
            </w:r>
          </w:p>
        </w:tc>
        <w:tc>
          <w:tcPr>
            <w:tcW w:w="1106" w:type="dxa"/>
            <w:tcBorders>
              <w:top w:val="nil"/>
              <w:left w:val="nil"/>
              <w:bottom w:val="nil"/>
              <w:right w:val="nil"/>
              <w:tl2br w:val="nil"/>
              <w:tr2bl w:val="nil"/>
            </w:tcBorders>
            <w:shd w:val="solid" w:color="CCE1EA" w:fill="FFFFFF"/>
            <w:tcMar>
              <w:left w:w="60" w:type="dxa"/>
              <w:right w:w="60" w:type="dxa"/>
            </w:tcMar>
            <w:vAlign w:val="center"/>
          </w:tcPr>
          <w:p w14:paraId="5D481E38"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(181)</w:t>
            </w:r>
          </w:p>
        </w:tc>
        <w:tc>
          <w:tcPr>
            <w:tcW w:w="1040" w:type="dxa"/>
            <w:tcBorders>
              <w:top w:val="nil"/>
              <w:left w:val="nil"/>
              <w:bottom w:val="nil"/>
              <w:right w:val="nil"/>
              <w:tl2br w:val="nil"/>
              <w:tr2bl w:val="nil"/>
            </w:tcBorders>
            <w:shd w:val="solid" w:color="CCE1EA" w:fill="FFFFFF"/>
            <w:tcMar>
              <w:left w:w="60" w:type="dxa"/>
              <w:right w:w="60" w:type="dxa"/>
            </w:tcMar>
            <w:vAlign w:val="center"/>
          </w:tcPr>
          <w:p w14:paraId="32BC3E56"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(22)</w:t>
            </w:r>
          </w:p>
        </w:tc>
        <w:tc>
          <w:tcPr>
            <w:tcW w:w="1055" w:type="dxa"/>
            <w:tcBorders>
              <w:top w:val="nil"/>
              <w:left w:val="nil"/>
              <w:bottom w:val="nil"/>
              <w:right w:val="nil"/>
              <w:tl2br w:val="nil"/>
              <w:tr2bl w:val="nil"/>
            </w:tcBorders>
            <w:shd w:val="solid" w:color="CCE1EA" w:fill="FFFFFF"/>
            <w:tcMar>
              <w:left w:w="60" w:type="dxa"/>
              <w:right w:w="60" w:type="dxa"/>
            </w:tcMar>
            <w:vAlign w:val="center"/>
          </w:tcPr>
          <w:p w14:paraId="7AB03A9C"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(63)</w:t>
            </w:r>
          </w:p>
        </w:tc>
        <w:tc>
          <w:tcPr>
            <w:tcW w:w="1213" w:type="dxa"/>
            <w:tcBorders>
              <w:top w:val="nil"/>
              <w:left w:val="nil"/>
              <w:bottom w:val="nil"/>
              <w:right w:val="nil"/>
              <w:tl2br w:val="nil"/>
              <w:tr2bl w:val="nil"/>
            </w:tcBorders>
            <w:shd w:val="solid" w:color="CCE1EA" w:fill="FFFFFF"/>
            <w:tcMar>
              <w:left w:w="60" w:type="dxa"/>
              <w:right w:w="60" w:type="dxa"/>
            </w:tcMar>
            <w:vAlign w:val="center"/>
          </w:tcPr>
          <w:p w14:paraId="55C57CEA"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76</w:t>
            </w:r>
          </w:p>
        </w:tc>
        <w:tc>
          <w:tcPr>
            <w:tcW w:w="1245" w:type="dxa"/>
            <w:tcBorders>
              <w:top w:val="nil"/>
              <w:left w:val="nil"/>
              <w:bottom w:val="nil"/>
              <w:right w:val="nil"/>
              <w:tl2br w:val="nil"/>
              <w:tr2bl w:val="nil"/>
            </w:tcBorders>
            <w:shd w:val="solid" w:color="CCE1EA" w:fill="FFFFFF"/>
            <w:tcMar>
              <w:left w:w="60" w:type="dxa"/>
              <w:right w:w="60" w:type="dxa"/>
            </w:tcMar>
            <w:vAlign w:val="center"/>
          </w:tcPr>
          <w:p w14:paraId="1455FBCC" w14:textId="77777777" w:rsidR="00807FFE" w:rsidRDefault="00023E71">
            <w:pPr>
              <w:pStyle w:val="DMETW36769BIPPROV"/>
              <w:jc w:val="right"/>
              <w:rPr>
                <w:rFonts w:ascii="Verdana" w:eastAsia="Verdana" w:hAnsi="Verdana" w:cs="Verdana"/>
                <w:b/>
                <w:noProof/>
                <w:color w:val="000000"/>
                <w:sz w:val="18"/>
                <w:lang w:bidi="en-GB"/>
              </w:rPr>
            </w:pPr>
            <w:r>
              <w:rPr>
                <w:rFonts w:ascii="Verdana" w:eastAsia="Verdana" w:hAnsi="Verdana" w:cs="Verdana"/>
                <w:b/>
                <w:noProof/>
                <w:color w:val="000000"/>
                <w:sz w:val="18"/>
              </w:rPr>
              <w:t>2 149</w:t>
            </w:r>
          </w:p>
        </w:tc>
      </w:tr>
      <w:tr w:rsidR="00807FFE" w14:paraId="184A7740" w14:textId="77777777">
        <w:trPr>
          <w:trHeight w:val="255"/>
        </w:trPr>
        <w:tc>
          <w:tcPr>
            <w:tcW w:w="1693" w:type="dxa"/>
            <w:tcBorders>
              <w:top w:val="nil"/>
              <w:left w:val="nil"/>
              <w:bottom w:val="nil"/>
              <w:right w:val="nil"/>
              <w:tl2br w:val="nil"/>
              <w:tr2bl w:val="nil"/>
            </w:tcBorders>
            <w:tcMar>
              <w:left w:w="60" w:type="dxa"/>
              <w:right w:w="60" w:type="dxa"/>
            </w:tcMar>
            <w:vAlign w:val="center"/>
          </w:tcPr>
          <w:p w14:paraId="1B9FDF0A" w14:textId="77777777" w:rsidR="00807FFE" w:rsidRDefault="00807FFE">
            <w:pPr>
              <w:pStyle w:val="DMETW36769BIPPROV"/>
              <w:rPr>
                <w:rFonts w:ascii="Verdana" w:eastAsia="Verdana" w:hAnsi="Verdana" w:cs="Verdana"/>
                <w:b/>
                <w:noProof/>
                <w:color w:val="000000"/>
                <w:sz w:val="18"/>
              </w:rPr>
            </w:pPr>
          </w:p>
        </w:tc>
        <w:tc>
          <w:tcPr>
            <w:tcW w:w="1300" w:type="dxa"/>
            <w:tcBorders>
              <w:top w:val="nil"/>
              <w:left w:val="nil"/>
              <w:bottom w:val="nil"/>
              <w:right w:val="nil"/>
              <w:tl2br w:val="nil"/>
              <w:tr2bl w:val="nil"/>
            </w:tcBorders>
            <w:tcMar>
              <w:left w:w="60" w:type="dxa"/>
              <w:right w:w="60" w:type="dxa"/>
            </w:tcMar>
            <w:vAlign w:val="center"/>
          </w:tcPr>
          <w:p w14:paraId="5F3C4338" w14:textId="77777777" w:rsidR="00807FFE" w:rsidRDefault="00807FFE">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14:paraId="25EBAB37" w14:textId="77777777" w:rsidR="00807FFE" w:rsidRDefault="00807FFE">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14:paraId="5D1417B9" w14:textId="77777777" w:rsidR="00807FFE" w:rsidRDefault="00807FFE">
            <w:pPr>
              <w:pStyle w:val="DMETW36769BIPPROV"/>
              <w:jc w:val="right"/>
              <w:rPr>
                <w:rFonts w:ascii="Verdana" w:eastAsia="Verdana" w:hAnsi="Verdana" w:cs="Verdana"/>
                <w:b/>
                <w:noProof/>
                <w:color w:val="000000"/>
                <w:sz w:val="18"/>
              </w:rPr>
            </w:pPr>
          </w:p>
        </w:tc>
        <w:tc>
          <w:tcPr>
            <w:tcW w:w="1040" w:type="dxa"/>
            <w:tcBorders>
              <w:top w:val="nil"/>
              <w:left w:val="nil"/>
              <w:bottom w:val="nil"/>
              <w:right w:val="nil"/>
              <w:tl2br w:val="nil"/>
              <w:tr2bl w:val="nil"/>
            </w:tcBorders>
            <w:tcMar>
              <w:left w:w="60" w:type="dxa"/>
              <w:right w:w="60" w:type="dxa"/>
            </w:tcMar>
            <w:vAlign w:val="center"/>
          </w:tcPr>
          <w:p w14:paraId="66DEFDA1" w14:textId="77777777" w:rsidR="00807FFE" w:rsidRDefault="00807FFE">
            <w:pPr>
              <w:pStyle w:val="DMETW36769BIPPROV"/>
              <w:jc w:val="right"/>
              <w:rPr>
                <w:rFonts w:ascii="Verdana" w:eastAsia="Verdana" w:hAnsi="Verdana" w:cs="Verdana"/>
                <w:b/>
                <w:noProof/>
                <w:color w:val="000000"/>
                <w:sz w:val="18"/>
              </w:rPr>
            </w:pPr>
          </w:p>
        </w:tc>
        <w:tc>
          <w:tcPr>
            <w:tcW w:w="1055" w:type="dxa"/>
            <w:tcBorders>
              <w:top w:val="nil"/>
              <w:left w:val="nil"/>
              <w:bottom w:val="nil"/>
              <w:right w:val="nil"/>
              <w:tl2br w:val="nil"/>
              <w:tr2bl w:val="nil"/>
            </w:tcBorders>
            <w:tcMar>
              <w:left w:w="60" w:type="dxa"/>
              <w:right w:w="60" w:type="dxa"/>
            </w:tcMar>
            <w:vAlign w:val="center"/>
          </w:tcPr>
          <w:p w14:paraId="13B4F922" w14:textId="77777777" w:rsidR="00807FFE" w:rsidRDefault="00807FFE">
            <w:pPr>
              <w:pStyle w:val="DMETW36769BIPPROV"/>
              <w:jc w:val="right"/>
              <w:rPr>
                <w:rFonts w:ascii="Verdana" w:eastAsia="Verdana" w:hAnsi="Verdana" w:cs="Verdana"/>
                <w:b/>
                <w:noProof/>
                <w:color w:val="000000"/>
                <w:sz w:val="18"/>
              </w:rPr>
            </w:pPr>
          </w:p>
        </w:tc>
        <w:tc>
          <w:tcPr>
            <w:tcW w:w="1213" w:type="dxa"/>
            <w:tcBorders>
              <w:top w:val="nil"/>
              <w:left w:val="nil"/>
              <w:bottom w:val="nil"/>
              <w:right w:val="nil"/>
              <w:tl2br w:val="nil"/>
              <w:tr2bl w:val="nil"/>
            </w:tcBorders>
            <w:tcMar>
              <w:left w:w="60" w:type="dxa"/>
              <w:right w:w="60" w:type="dxa"/>
            </w:tcMar>
            <w:vAlign w:val="center"/>
          </w:tcPr>
          <w:p w14:paraId="20C6598E" w14:textId="77777777" w:rsidR="00807FFE" w:rsidRDefault="00807FFE">
            <w:pPr>
              <w:pStyle w:val="DMETW36769BIPPROV"/>
              <w:jc w:val="right"/>
              <w:rPr>
                <w:rFonts w:ascii="Verdana" w:eastAsia="Verdana" w:hAnsi="Verdana" w:cs="Verdana"/>
                <w:b/>
                <w:noProof/>
                <w:color w:val="000000"/>
                <w:sz w:val="18"/>
              </w:rPr>
            </w:pPr>
          </w:p>
        </w:tc>
        <w:tc>
          <w:tcPr>
            <w:tcW w:w="1245" w:type="dxa"/>
            <w:tcBorders>
              <w:top w:val="nil"/>
              <w:left w:val="nil"/>
              <w:bottom w:val="nil"/>
              <w:right w:val="nil"/>
              <w:tl2br w:val="nil"/>
              <w:tr2bl w:val="nil"/>
            </w:tcBorders>
            <w:tcMar>
              <w:left w:w="60" w:type="dxa"/>
              <w:right w:w="60" w:type="dxa"/>
            </w:tcMar>
            <w:vAlign w:val="center"/>
          </w:tcPr>
          <w:p w14:paraId="74666C02" w14:textId="77777777" w:rsidR="00807FFE" w:rsidRDefault="00807FFE">
            <w:pPr>
              <w:pStyle w:val="DMETW36769BIPPROV"/>
              <w:jc w:val="right"/>
              <w:rPr>
                <w:rFonts w:ascii="Verdana" w:eastAsia="Verdana" w:hAnsi="Verdana" w:cs="Verdana"/>
                <w:b/>
                <w:noProof/>
                <w:color w:val="000000"/>
                <w:sz w:val="18"/>
                <w:lang w:bidi="en-GB"/>
              </w:rPr>
            </w:pPr>
          </w:p>
        </w:tc>
      </w:tr>
      <w:tr w:rsidR="00807FFE" w14:paraId="6BB21588" w14:textId="77777777">
        <w:trPr>
          <w:trHeight w:val="255"/>
        </w:trPr>
        <w:tc>
          <w:tcPr>
            <w:tcW w:w="1693" w:type="dxa"/>
            <w:tcBorders>
              <w:top w:val="nil"/>
              <w:left w:val="nil"/>
              <w:bottom w:val="nil"/>
              <w:right w:val="nil"/>
              <w:tl2br w:val="nil"/>
              <w:tr2bl w:val="nil"/>
            </w:tcBorders>
            <w:shd w:val="solid" w:color="CCE1EA" w:fill="FFFFFF"/>
            <w:tcMar>
              <w:left w:w="60" w:type="dxa"/>
              <w:right w:w="60" w:type="dxa"/>
            </w:tcMar>
            <w:vAlign w:val="center"/>
          </w:tcPr>
          <w:p w14:paraId="7BCD82BA" w14:textId="77777777" w:rsidR="00807FFE" w:rsidRDefault="00023E71">
            <w:pPr>
              <w:pStyle w:val="DMETW36769BIPPROV"/>
              <w:rPr>
                <w:rFonts w:ascii="Verdana" w:eastAsia="Verdana" w:hAnsi="Verdana" w:cs="Verdana"/>
                <w:b/>
                <w:noProof/>
                <w:color w:val="000000"/>
                <w:sz w:val="18"/>
              </w:rPr>
            </w:pPr>
            <w:r>
              <w:rPr>
                <w:rFonts w:ascii="Verdana" w:eastAsia="Verdana" w:hAnsi="Verdana" w:cs="Verdana"/>
                <w:b/>
                <w:noProof/>
                <w:color w:val="000000"/>
                <w:sz w:val="18"/>
              </w:rPr>
              <w:t>Current</w:t>
            </w:r>
          </w:p>
        </w:tc>
        <w:tc>
          <w:tcPr>
            <w:tcW w:w="1300" w:type="dxa"/>
            <w:tcBorders>
              <w:top w:val="nil"/>
              <w:left w:val="nil"/>
              <w:bottom w:val="nil"/>
              <w:right w:val="nil"/>
              <w:tl2br w:val="nil"/>
              <w:tr2bl w:val="nil"/>
            </w:tcBorders>
            <w:shd w:val="solid" w:color="CCE1EA" w:fill="FFFFFF"/>
            <w:tcMar>
              <w:left w:w="60" w:type="dxa"/>
              <w:right w:w="60" w:type="dxa"/>
            </w:tcMar>
            <w:vAlign w:val="center"/>
          </w:tcPr>
          <w:p w14:paraId="161D076B"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7 536</w:t>
            </w:r>
          </w:p>
        </w:tc>
        <w:tc>
          <w:tcPr>
            <w:tcW w:w="1106" w:type="dxa"/>
            <w:tcBorders>
              <w:top w:val="nil"/>
              <w:left w:val="nil"/>
              <w:bottom w:val="nil"/>
              <w:right w:val="nil"/>
              <w:tl2br w:val="nil"/>
              <w:tr2bl w:val="nil"/>
            </w:tcBorders>
            <w:shd w:val="solid" w:color="CCE1EA" w:fill="FFFFFF"/>
            <w:tcMar>
              <w:left w:w="60" w:type="dxa"/>
              <w:right w:w="60" w:type="dxa"/>
            </w:tcMar>
            <w:vAlign w:val="center"/>
          </w:tcPr>
          <w:p w14:paraId="72B2526F"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265</w:t>
            </w:r>
          </w:p>
        </w:tc>
        <w:tc>
          <w:tcPr>
            <w:tcW w:w="1106" w:type="dxa"/>
            <w:tcBorders>
              <w:top w:val="nil"/>
              <w:left w:val="nil"/>
              <w:bottom w:val="nil"/>
              <w:right w:val="nil"/>
              <w:tl2br w:val="nil"/>
              <w:tr2bl w:val="nil"/>
            </w:tcBorders>
            <w:shd w:val="solid" w:color="CCE1EA" w:fill="FFFFFF"/>
            <w:tcMar>
              <w:left w:w="60" w:type="dxa"/>
              <w:right w:w="60" w:type="dxa"/>
            </w:tcMar>
            <w:vAlign w:val="center"/>
          </w:tcPr>
          <w:p w14:paraId="3E115FDD"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(7 292)</w:t>
            </w:r>
          </w:p>
        </w:tc>
        <w:tc>
          <w:tcPr>
            <w:tcW w:w="1040" w:type="dxa"/>
            <w:tcBorders>
              <w:top w:val="nil"/>
              <w:left w:val="nil"/>
              <w:bottom w:val="nil"/>
              <w:right w:val="nil"/>
              <w:tl2br w:val="nil"/>
              <w:tr2bl w:val="nil"/>
            </w:tcBorders>
            <w:shd w:val="solid" w:color="CCE1EA" w:fill="FFFFFF"/>
            <w:tcMar>
              <w:left w:w="60" w:type="dxa"/>
              <w:right w:w="60" w:type="dxa"/>
            </w:tcMar>
            <w:vAlign w:val="center"/>
          </w:tcPr>
          <w:p w14:paraId="3B977EB9"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(107)</w:t>
            </w:r>
          </w:p>
        </w:tc>
        <w:tc>
          <w:tcPr>
            <w:tcW w:w="1055" w:type="dxa"/>
            <w:tcBorders>
              <w:top w:val="nil"/>
              <w:left w:val="nil"/>
              <w:bottom w:val="nil"/>
              <w:right w:val="nil"/>
              <w:tl2br w:val="nil"/>
              <w:tr2bl w:val="nil"/>
            </w:tcBorders>
            <w:shd w:val="solid" w:color="CCE1EA" w:fill="FFFFFF"/>
            <w:tcMar>
              <w:left w:w="60" w:type="dxa"/>
              <w:right w:w="60" w:type="dxa"/>
            </w:tcMar>
            <w:vAlign w:val="center"/>
          </w:tcPr>
          <w:p w14:paraId="3DE54617"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63</w:t>
            </w:r>
          </w:p>
        </w:tc>
        <w:tc>
          <w:tcPr>
            <w:tcW w:w="1213" w:type="dxa"/>
            <w:tcBorders>
              <w:top w:val="nil"/>
              <w:left w:val="nil"/>
              <w:bottom w:val="nil"/>
              <w:right w:val="nil"/>
              <w:tl2br w:val="nil"/>
              <w:tr2bl w:val="nil"/>
            </w:tcBorders>
            <w:shd w:val="solid" w:color="CCE1EA" w:fill="FFFFFF"/>
            <w:tcMar>
              <w:left w:w="60" w:type="dxa"/>
              <w:right w:w="60" w:type="dxa"/>
            </w:tcMar>
            <w:vAlign w:val="center"/>
          </w:tcPr>
          <w:p w14:paraId="1FBEB3C1"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245" w:type="dxa"/>
            <w:tcBorders>
              <w:top w:val="nil"/>
              <w:left w:val="nil"/>
              <w:bottom w:val="nil"/>
              <w:right w:val="nil"/>
              <w:tl2br w:val="nil"/>
              <w:tr2bl w:val="nil"/>
            </w:tcBorders>
            <w:shd w:val="solid" w:color="CCE1EA" w:fill="FFFFFF"/>
            <w:tcMar>
              <w:left w:w="60" w:type="dxa"/>
              <w:right w:w="60" w:type="dxa"/>
            </w:tcMar>
            <w:vAlign w:val="center"/>
          </w:tcPr>
          <w:p w14:paraId="7202ACF5" w14:textId="77777777" w:rsidR="00807FFE" w:rsidRDefault="00023E71">
            <w:pPr>
              <w:pStyle w:val="DMETW36769BIPPROV"/>
              <w:jc w:val="right"/>
              <w:rPr>
                <w:rFonts w:ascii="Verdana" w:eastAsia="Verdana" w:hAnsi="Verdana" w:cs="Verdana"/>
                <w:b/>
                <w:noProof/>
                <w:color w:val="000000"/>
                <w:sz w:val="18"/>
              </w:rPr>
            </w:pPr>
            <w:r>
              <w:rPr>
                <w:rFonts w:ascii="Verdana" w:eastAsia="Verdana" w:hAnsi="Verdana" w:cs="Verdana"/>
                <w:b/>
                <w:noProof/>
                <w:color w:val="000000"/>
                <w:sz w:val="18"/>
              </w:rPr>
              <w:t xml:space="preserve"> 464</w:t>
            </w:r>
          </w:p>
        </w:tc>
      </w:tr>
    </w:tbl>
    <w:p w14:paraId="29F0FD37" w14:textId="77777777" w:rsidR="002C3225" w:rsidRPr="002C3225" w:rsidRDefault="00023E71" w:rsidP="005927D5">
      <w:pPr>
        <w:pStyle w:val="DGTextstand-alone"/>
      </w:pPr>
      <w:r w:rsidRPr="002C3225">
        <w:t xml:space="preserve">Provisions are </w:t>
      </w:r>
      <w:r>
        <w:t xml:space="preserve">reliably estimated </w:t>
      </w:r>
      <w:r w:rsidRPr="002C3225">
        <w:t>amounts</w:t>
      </w:r>
      <w:r>
        <w:t xml:space="preserve">, arising from past events, </w:t>
      </w:r>
      <w:r w:rsidRPr="002C3225">
        <w:t>that will probably have to be paid by the EU budget in the future.</w:t>
      </w:r>
    </w:p>
    <w:p w14:paraId="1D2EF5BC" w14:textId="77777777" w:rsidR="001E1ED5" w:rsidRPr="005927D5" w:rsidRDefault="00023E71" w:rsidP="006F7093">
      <w:pPr>
        <w:pStyle w:val="HEADER5"/>
        <w:spacing w:before="240" w:after="240"/>
        <w:rPr>
          <w:noProof/>
        </w:rPr>
      </w:pPr>
      <w:r>
        <w:rPr>
          <w:noProof/>
        </w:rPr>
        <w:t>Financial provisions</w:t>
      </w:r>
    </w:p>
    <w:p w14:paraId="2D95DD1A" w14:textId="47D7432F" w:rsidR="001E1ED5" w:rsidRPr="001E1ED5" w:rsidRDefault="00023E71" w:rsidP="00EC2DBC">
      <w:pPr>
        <w:pStyle w:val="HEADER5"/>
        <w:jc w:val="both"/>
        <w:rPr>
          <w:rFonts w:eastAsia="Calibri"/>
          <w:noProof/>
          <w:color w:val="auto"/>
          <w:lang w:eastAsia="en-US"/>
        </w:rPr>
      </w:pPr>
      <w:r>
        <w:rPr>
          <w:rFonts w:eastAsia="Calibri"/>
          <w:noProof/>
          <w:color w:val="auto"/>
          <w:lang w:eastAsia="en-US"/>
        </w:rPr>
        <w:t xml:space="preserve">In 2024, the EU has recognised EUR 7.1 billion of provisions for ECL on irrevocable loan commitment for MFA ULCM loan. The loan was fully disbursed to Ukraine in 2025, thus the provision was reversed and instead an impairment allowance was recognised as at 31 December 2025 – </w:t>
      </w:r>
      <w:r w:rsidRPr="004219B2">
        <w:rPr>
          <w:rFonts w:eastAsia="Calibri"/>
          <w:noProof/>
          <w:color w:val="auto"/>
          <w:lang w:eastAsia="en-US"/>
        </w:rPr>
        <w:t xml:space="preserve">see </w:t>
      </w:r>
      <w:r>
        <w:rPr>
          <w:rFonts w:eastAsia="Calibri"/>
          <w:noProof/>
          <w:color w:val="auto"/>
          <w:lang w:eastAsia="en-US"/>
        </w:rPr>
        <w:t>N</w:t>
      </w:r>
      <w:r w:rsidRPr="004219B2">
        <w:rPr>
          <w:rFonts w:eastAsia="Calibri"/>
          <w:noProof/>
          <w:color w:val="auto"/>
          <w:lang w:eastAsia="en-US"/>
        </w:rPr>
        <w:t>ote</w:t>
      </w:r>
      <w:r w:rsidRPr="004219B2">
        <w:rPr>
          <w:rFonts w:eastAsia="Calibri"/>
          <w:b/>
          <w:bCs/>
          <w:noProof/>
          <w:color w:val="auto"/>
          <w:lang w:eastAsia="en-US"/>
        </w:rPr>
        <w:t xml:space="preserve"> 2.4.1.1</w:t>
      </w:r>
      <w:r w:rsidR="003B7812">
        <w:rPr>
          <w:rFonts w:eastAsia="Calibri"/>
          <w:noProof/>
          <w:color w:val="auto"/>
          <w:lang w:eastAsia="en-US"/>
        </w:rPr>
        <w:t xml:space="preserve">. </w:t>
      </w:r>
    </w:p>
    <w:p w14:paraId="695003F0" w14:textId="77777777" w:rsidR="00FD56B3" w:rsidRPr="005927D5" w:rsidRDefault="00023E71" w:rsidP="007526E0">
      <w:pPr>
        <w:pStyle w:val="HEADER5"/>
        <w:spacing w:before="240"/>
        <w:rPr>
          <w:noProof/>
        </w:rPr>
      </w:pPr>
      <w:r w:rsidRPr="005927D5">
        <w:rPr>
          <w:noProof/>
        </w:rPr>
        <w:t>Legal cases</w:t>
      </w:r>
    </w:p>
    <w:p w14:paraId="3DB3F1B1" w14:textId="77777777" w:rsidR="00FD56B3" w:rsidRPr="004B606B" w:rsidRDefault="00023E71" w:rsidP="005927D5">
      <w:pPr>
        <w:pStyle w:val="DGTextstand-alone"/>
      </w:pPr>
      <w:r>
        <w:t xml:space="preserve">This is the estimate of amounts that will probably have to be paid out after the year-end in relation to a number of on-going legal cases. </w:t>
      </w:r>
      <w:r w:rsidRPr="002D67DD">
        <w:t xml:space="preserve">The Agriculture amounts relate to legal actions of Member States against conformity </w:t>
      </w:r>
      <w:r w:rsidRPr="00435FF8">
        <w:t>clearance decisions for the EAGF and the EAFRD</w:t>
      </w:r>
      <w:r w:rsidRPr="002D67DD">
        <w:t>.</w:t>
      </w:r>
      <w:r>
        <w:t xml:space="preserve"> </w:t>
      </w:r>
    </w:p>
    <w:p w14:paraId="3B4BF588" w14:textId="77777777" w:rsidR="00FD56B3" w:rsidRPr="009D43CF" w:rsidRDefault="00023E71" w:rsidP="007526E0">
      <w:pPr>
        <w:pStyle w:val="HEADER5"/>
        <w:spacing w:before="240"/>
        <w:rPr>
          <w:b/>
          <w:noProof/>
        </w:rPr>
      </w:pPr>
      <w:r w:rsidRPr="009D43CF">
        <w:rPr>
          <w:noProof/>
        </w:rPr>
        <w:t>Nuclear site dismantlement</w:t>
      </w:r>
    </w:p>
    <w:p w14:paraId="6C174143" w14:textId="77777777" w:rsidR="006640EA" w:rsidRDefault="00023E71" w:rsidP="006640EA">
      <w:pPr>
        <w:pStyle w:val="DGTextstand-alone"/>
      </w:pPr>
      <w:r>
        <w:t xml:space="preserve">As of 2017 the basis for the provision was updated as per the ‘JRC Decommissioning &amp; Waste Management Programme Strategy (D&amp;WMP) – Updated in 2017’. The review of the strategy, along with budget and staff needs, was conducted together with the independent D&amp;WMP Expert Group. It represents the best available estimate of the budget and staff needed to complete the decommissioning of the JRC sites of Geel, Karlsruhe and Petten. </w:t>
      </w:r>
      <w:r w:rsidRPr="00A21C45">
        <w:t>For the Ispra site, a revised cost estimate for decommissioning activities was developed in 2025 and is reflected in the provision.</w:t>
      </w:r>
    </w:p>
    <w:p w14:paraId="532FA5E5" w14:textId="77777777" w:rsidR="006640EA" w:rsidRDefault="00023E71" w:rsidP="006640EA">
      <w:pPr>
        <w:pStyle w:val="DGTextstand-alone"/>
      </w:pPr>
      <w:r>
        <w:t>In accordance with the EU accounting rules, this provision is indexed for inflation and then discounted to its net present value (using the euro swap curve). At 31 December 2025</w:t>
      </w:r>
      <w:r w:rsidRPr="00595A76">
        <w:t xml:space="preserve">, this resulted in a provision of </w:t>
      </w:r>
      <w:r>
        <w:t>EUR </w:t>
      </w:r>
      <w:r w:rsidRPr="00E3387F">
        <w:t xml:space="preserve">1 </w:t>
      </w:r>
      <w:r>
        <w:t>880</w:t>
      </w:r>
      <w:r w:rsidRPr="00E3387F">
        <w:t xml:space="preserve"> </w:t>
      </w:r>
      <w:r w:rsidRPr="00595A76">
        <w:t>million, split between amo</w:t>
      </w:r>
      <w:r>
        <w:t>unts expected to be used in 2026</w:t>
      </w:r>
      <w:r w:rsidRPr="00595A76">
        <w:t xml:space="preserve"> (</w:t>
      </w:r>
      <w:r>
        <w:t>EUR 45</w:t>
      </w:r>
      <w:r w:rsidRPr="00595A76">
        <w:t xml:space="preserve"> million) and afterwards (</w:t>
      </w:r>
      <w:r>
        <w:t>EUR 1 834</w:t>
      </w:r>
      <w:r w:rsidRPr="00595A76">
        <w:t xml:space="preserve"> million).</w:t>
      </w:r>
      <w:r>
        <w:t xml:space="preserve"> </w:t>
      </w:r>
    </w:p>
    <w:p w14:paraId="65FC1416" w14:textId="77777777" w:rsidR="006640EA" w:rsidRDefault="00023E71" w:rsidP="006640EA">
      <w:pPr>
        <w:pStyle w:val="DGTextstand-alone"/>
      </w:pPr>
      <w:r>
        <w:t>It must be noted that major uncertainties, inherent to the long term planning of nuclear decommissioning, could affect this estimate, which could significantly increase in the future. The main sources of uncertainty are related to the end state of the decommissioned site, nuclear materials, waste management and disposal aspects, incomplete or lacking definition of national regulatory frames, complicated and time-consuming licensing processes and future developments of the decommissioning industrial market.</w:t>
      </w:r>
    </w:p>
    <w:bookmarkEnd w:id="157"/>
    <w:p w14:paraId="129B7E4A" w14:textId="77777777" w:rsidR="004B50E0" w:rsidRPr="00FD56B3" w:rsidRDefault="004B50E0" w:rsidP="006D6934">
      <w:pPr>
        <w:pStyle w:val="DGTextstand-alone"/>
        <w:sectPr w:rsidR="004B50E0" w:rsidRPr="00FD56B3">
          <w:headerReference w:type="default" r:id="rId101"/>
          <w:footerReference w:type="default" r:id="rId102"/>
          <w:pgSz w:w="11906" w:h="16838"/>
          <w:pgMar w:top="1134" w:right="1134" w:bottom="1134" w:left="1134" w:header="709" w:footer="709" w:gutter="0"/>
          <w:cols w:space="708"/>
          <w:docGrid w:linePitch="360"/>
        </w:sectPr>
      </w:pPr>
    </w:p>
    <w:p w14:paraId="72489EBE" w14:textId="77777777" w:rsidR="009B75C1" w:rsidRDefault="00023E71" w:rsidP="00172034">
      <w:pPr>
        <w:pStyle w:val="HEADER2NOTES"/>
        <w:numPr>
          <w:ilvl w:val="1"/>
          <w:numId w:val="15"/>
        </w:numPr>
        <w:rPr>
          <w:noProof/>
        </w:rPr>
      </w:pPr>
      <w:bookmarkStart w:id="159" w:name="_DMBM_36681"/>
      <w:r w:rsidRPr="001578A7">
        <w:rPr>
          <w:noProof/>
        </w:rPr>
        <w:t>FINANCIAL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5"/>
        <w:gridCol w:w="1180"/>
        <w:gridCol w:w="1743"/>
        <w:gridCol w:w="1530"/>
      </w:tblGrid>
      <w:tr w:rsidR="00807FFE" w14:paraId="425FF89E"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66FED243" w14:textId="77777777" w:rsidR="00807FFE" w:rsidRDefault="00807FFE">
            <w:pPr>
              <w:pStyle w:val="DMETW36770BIPFINL"/>
              <w:rPr>
                <w:rFonts w:ascii="Verdana" w:eastAsia="Verdana" w:hAnsi="Verdana" w:cs="Verdana"/>
                <w:i/>
                <w:noProof/>
                <w:color w:val="FFFFFF"/>
                <w:sz w:val="18"/>
                <w:lang w:bidi="en-GB"/>
              </w:rPr>
            </w:pPr>
            <w:bookmarkStart w:id="160" w:name="DOC_TBL00056_1_1"/>
            <w:bookmarkEnd w:id="160"/>
          </w:p>
        </w:tc>
        <w:tc>
          <w:tcPr>
            <w:tcW w:w="1180" w:type="dxa"/>
            <w:tcBorders>
              <w:top w:val="nil"/>
              <w:left w:val="nil"/>
              <w:bottom w:val="nil"/>
              <w:right w:val="nil"/>
              <w:tl2br w:val="nil"/>
              <w:tr2bl w:val="nil"/>
            </w:tcBorders>
            <w:tcMar>
              <w:left w:w="60" w:type="dxa"/>
              <w:right w:w="60" w:type="dxa"/>
            </w:tcMar>
            <w:vAlign w:val="center"/>
          </w:tcPr>
          <w:p w14:paraId="58D53C44" w14:textId="77777777" w:rsidR="00807FFE" w:rsidRDefault="00807FFE">
            <w:pPr>
              <w:pStyle w:val="DMETW36770BIPFINL"/>
              <w:rPr>
                <w:rFonts w:ascii="Verdana" w:eastAsia="Verdana" w:hAnsi="Verdana" w:cs="Verdana"/>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14:paraId="0775D413" w14:textId="77777777" w:rsidR="00807FFE" w:rsidRDefault="00807FFE">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14:paraId="4E55886F" w14:textId="77777777" w:rsidR="00807FFE" w:rsidRDefault="00023E71">
            <w:pPr>
              <w:pStyle w:val="DMETW36770BIPFINL"/>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0BD73521" w14:textId="77777777">
        <w:trPr>
          <w:trHeight w:val="255"/>
        </w:trPr>
        <w:tc>
          <w:tcPr>
            <w:tcW w:w="5305" w:type="dxa"/>
            <w:tcBorders>
              <w:top w:val="nil"/>
              <w:left w:val="nil"/>
              <w:bottom w:val="nil"/>
              <w:right w:val="nil"/>
              <w:tl2br w:val="nil"/>
              <w:tr2bl w:val="nil"/>
            </w:tcBorders>
            <w:shd w:val="solid" w:color="016794" w:fill="FFFFFF"/>
            <w:tcMar>
              <w:left w:w="60" w:type="dxa"/>
              <w:right w:w="60" w:type="dxa"/>
            </w:tcMar>
            <w:vAlign w:val="center"/>
          </w:tcPr>
          <w:p w14:paraId="76D1AD9F" w14:textId="77777777" w:rsidR="00807FFE" w:rsidRDefault="00807FFE">
            <w:pPr>
              <w:pStyle w:val="DMETW36770BIPFINL"/>
              <w:rPr>
                <w:rFonts w:ascii="Verdana" w:eastAsia="Verdana" w:hAnsi="Verdana" w:cs="Verdana"/>
                <w:noProof/>
                <w:color w:val="FFFFFF"/>
                <w:sz w:val="18"/>
              </w:rPr>
            </w:pPr>
          </w:p>
        </w:tc>
        <w:tc>
          <w:tcPr>
            <w:tcW w:w="1180" w:type="dxa"/>
            <w:tcBorders>
              <w:top w:val="nil"/>
              <w:left w:val="nil"/>
              <w:bottom w:val="nil"/>
              <w:right w:val="nil"/>
              <w:tl2br w:val="nil"/>
              <w:tr2bl w:val="nil"/>
            </w:tcBorders>
            <w:shd w:val="solid" w:color="016794" w:fill="FFFFFF"/>
            <w:tcMar>
              <w:left w:w="60" w:type="dxa"/>
              <w:right w:w="60" w:type="dxa"/>
            </w:tcMar>
            <w:vAlign w:val="center"/>
          </w:tcPr>
          <w:p w14:paraId="64FEA000" w14:textId="77777777" w:rsidR="00807FFE" w:rsidRDefault="00023E71">
            <w:pPr>
              <w:pStyle w:val="DMETW36770BIPFINL"/>
              <w:jc w:val="center"/>
              <w:rPr>
                <w:rFonts w:ascii="Verdana" w:eastAsia="Verdana" w:hAnsi="Verdana" w:cs="Verdana"/>
                <w:noProof/>
                <w:color w:val="FFFFFF"/>
                <w:sz w:val="18"/>
              </w:rPr>
            </w:pPr>
            <w:r>
              <w:rPr>
                <w:rFonts w:ascii="Verdana" w:eastAsia="Verdana" w:hAnsi="Verdana" w:cs="Verdana"/>
                <w:noProof/>
                <w:color w:val="FFFFFF"/>
                <w:sz w:val="18"/>
              </w:rPr>
              <w:t>Note</w:t>
            </w:r>
          </w:p>
        </w:tc>
        <w:tc>
          <w:tcPr>
            <w:tcW w:w="1743" w:type="dxa"/>
            <w:tcBorders>
              <w:top w:val="nil"/>
              <w:left w:val="nil"/>
              <w:bottom w:val="nil"/>
              <w:right w:val="nil"/>
              <w:tl2br w:val="nil"/>
              <w:tr2bl w:val="nil"/>
            </w:tcBorders>
            <w:shd w:val="solid" w:color="016794" w:fill="FFFFFF"/>
            <w:tcMar>
              <w:left w:w="60" w:type="dxa"/>
              <w:right w:w="60" w:type="dxa"/>
            </w:tcMar>
            <w:vAlign w:val="center"/>
          </w:tcPr>
          <w:p w14:paraId="174D07EE" w14:textId="77777777" w:rsidR="00807FFE" w:rsidRDefault="00023E71">
            <w:pPr>
              <w:pStyle w:val="DMETW36770BIPFINL"/>
              <w:jc w:val="right"/>
              <w:rPr>
                <w:rFonts w:ascii="Verdana" w:eastAsia="Verdana" w:hAnsi="Verdana" w:cs="Verdana"/>
                <w:noProof/>
                <w:color w:val="FFFFFF"/>
                <w:sz w:val="18"/>
              </w:rPr>
            </w:pPr>
            <w:r>
              <w:rPr>
                <w:rFonts w:ascii="Verdana" w:eastAsia="Verdana" w:hAnsi="Verdana" w:cs="Verdana"/>
                <w:noProof/>
                <w:color w:val="FFFFFF"/>
                <w:sz w:val="18"/>
              </w:rPr>
              <w:t>31.12.2025</w:t>
            </w:r>
          </w:p>
        </w:tc>
        <w:tc>
          <w:tcPr>
            <w:tcW w:w="1530" w:type="dxa"/>
            <w:tcBorders>
              <w:top w:val="nil"/>
              <w:left w:val="nil"/>
              <w:bottom w:val="nil"/>
              <w:right w:val="nil"/>
              <w:tl2br w:val="nil"/>
              <w:tr2bl w:val="nil"/>
            </w:tcBorders>
            <w:shd w:val="solid" w:color="016794" w:fill="FFFFFF"/>
            <w:tcMar>
              <w:left w:w="60" w:type="dxa"/>
              <w:right w:w="60" w:type="dxa"/>
            </w:tcMar>
            <w:vAlign w:val="center"/>
          </w:tcPr>
          <w:p w14:paraId="0135E678" w14:textId="77777777" w:rsidR="00807FFE" w:rsidRDefault="00023E71">
            <w:pPr>
              <w:pStyle w:val="DMETW36770BIPFINL"/>
              <w:jc w:val="right"/>
              <w:rPr>
                <w:rFonts w:ascii="Verdana" w:eastAsia="Verdana" w:hAnsi="Verdana" w:cs="Verdana"/>
                <w:noProof/>
                <w:color w:val="FFFFFF"/>
                <w:sz w:val="18"/>
                <w:lang w:bidi="en-GB"/>
              </w:rPr>
            </w:pPr>
            <w:r>
              <w:rPr>
                <w:rFonts w:ascii="Verdana" w:eastAsia="Verdana" w:hAnsi="Verdana" w:cs="Verdana"/>
                <w:noProof/>
                <w:color w:val="FFFFFF"/>
                <w:sz w:val="18"/>
              </w:rPr>
              <w:t>31.12.2024</w:t>
            </w:r>
          </w:p>
        </w:tc>
      </w:tr>
      <w:tr w:rsidR="00807FFE" w14:paraId="6FC24EA7"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5A1DFAEB" w14:textId="77777777" w:rsidR="00807FFE" w:rsidRDefault="00023E71">
            <w:pPr>
              <w:pStyle w:val="DMETW36770BIPFINL"/>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1180" w:type="dxa"/>
            <w:tcBorders>
              <w:top w:val="nil"/>
              <w:left w:val="nil"/>
              <w:bottom w:val="nil"/>
              <w:right w:val="nil"/>
              <w:tl2br w:val="nil"/>
              <w:tr2bl w:val="nil"/>
            </w:tcBorders>
            <w:tcMar>
              <w:left w:w="60" w:type="dxa"/>
              <w:right w:w="60" w:type="dxa"/>
            </w:tcMar>
            <w:vAlign w:val="center"/>
          </w:tcPr>
          <w:p w14:paraId="4B2FFD19" w14:textId="77777777" w:rsidR="00807FFE" w:rsidRDefault="00807FFE">
            <w:pPr>
              <w:pStyle w:val="DMETW36770BIPFINL"/>
              <w:jc w:val="center"/>
              <w:rPr>
                <w:rFonts w:ascii="Verdana" w:eastAsia="Verdana" w:hAnsi="Verdana" w:cs="Verdana"/>
                <w:b/>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14:paraId="0B0D83A6" w14:textId="77777777" w:rsidR="00807FFE" w:rsidRDefault="00807FFE">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14:paraId="2080296F" w14:textId="77777777" w:rsidR="00807FFE" w:rsidRDefault="00807FFE">
            <w:pPr>
              <w:pStyle w:val="DMETW36770BIPFINL"/>
              <w:rPr>
                <w:rFonts w:ascii="Verdana" w:eastAsia="Verdana" w:hAnsi="Verdana" w:cs="Verdana"/>
                <w:noProof/>
                <w:color w:val="000000"/>
                <w:sz w:val="18"/>
                <w:lang w:bidi="en-GB"/>
              </w:rPr>
            </w:pPr>
          </w:p>
        </w:tc>
      </w:tr>
      <w:tr w:rsidR="00807FFE" w14:paraId="70D88EA9"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0C5059E0" w14:textId="77777777" w:rsidR="00807FFE" w:rsidRDefault="00023E71">
            <w:pPr>
              <w:pStyle w:val="DMETW36770BIPFINL"/>
              <w:rPr>
                <w:rFonts w:ascii="Verdana" w:eastAsia="Verdana" w:hAnsi="Verdana" w:cs="Verdana"/>
                <w:i/>
                <w:noProof/>
                <w:color w:val="000000"/>
                <w:sz w:val="18"/>
              </w:rPr>
            </w:pPr>
            <w:r>
              <w:rPr>
                <w:rFonts w:ascii="Verdana" w:eastAsia="Verdana" w:hAnsi="Verdana" w:cs="Verdana"/>
                <w:i/>
                <w:noProof/>
                <w:color w:val="000000"/>
                <w:sz w:val="18"/>
              </w:rPr>
              <w:t>Financial liabilities at amortised cost</w:t>
            </w:r>
          </w:p>
        </w:tc>
        <w:tc>
          <w:tcPr>
            <w:tcW w:w="1180" w:type="dxa"/>
            <w:tcBorders>
              <w:top w:val="nil"/>
              <w:left w:val="nil"/>
              <w:bottom w:val="nil"/>
              <w:right w:val="nil"/>
              <w:tl2br w:val="nil"/>
              <w:tr2bl w:val="nil"/>
            </w:tcBorders>
            <w:tcMar>
              <w:left w:w="60" w:type="dxa"/>
              <w:right w:w="60" w:type="dxa"/>
            </w:tcMar>
            <w:vAlign w:val="center"/>
          </w:tcPr>
          <w:p w14:paraId="0194ADF0" w14:textId="77777777" w:rsidR="00807FFE" w:rsidRDefault="00023E71">
            <w:pPr>
              <w:pStyle w:val="DMETW36770BIPFINL"/>
              <w:jc w:val="center"/>
              <w:rPr>
                <w:rFonts w:ascii="Verdana" w:eastAsia="Verdana" w:hAnsi="Verdana" w:cs="Verdana"/>
                <w:i/>
                <w:noProof/>
                <w:color w:val="000000"/>
                <w:sz w:val="18"/>
              </w:rPr>
            </w:pPr>
            <w:r>
              <w:rPr>
                <w:rFonts w:ascii="Verdana" w:eastAsia="Verdana" w:hAnsi="Verdana" w:cs="Verdana"/>
                <w:i/>
                <w:noProof/>
                <w:color w:val="000000"/>
                <w:sz w:val="18"/>
              </w:rPr>
              <w:t>2.11.1</w:t>
            </w:r>
          </w:p>
        </w:tc>
        <w:tc>
          <w:tcPr>
            <w:tcW w:w="1743" w:type="dxa"/>
            <w:tcBorders>
              <w:top w:val="nil"/>
              <w:left w:val="nil"/>
              <w:bottom w:val="nil"/>
              <w:right w:val="nil"/>
              <w:tl2br w:val="nil"/>
              <w:tr2bl w:val="nil"/>
            </w:tcBorders>
            <w:tcMar>
              <w:left w:w="60" w:type="dxa"/>
              <w:right w:w="60" w:type="dxa"/>
            </w:tcMar>
            <w:vAlign w:val="center"/>
          </w:tcPr>
          <w:p w14:paraId="3FE16F35" w14:textId="77777777" w:rsidR="00807FFE" w:rsidRDefault="00023E71">
            <w:pPr>
              <w:pStyle w:val="DMETW36770BIPFINL"/>
              <w:jc w:val="right"/>
              <w:rPr>
                <w:rFonts w:ascii="Verdana" w:eastAsia="Verdana" w:hAnsi="Verdana" w:cs="Verdana"/>
                <w:i/>
                <w:noProof/>
                <w:color w:val="000000"/>
                <w:sz w:val="18"/>
              </w:rPr>
            </w:pPr>
            <w:r>
              <w:rPr>
                <w:rFonts w:ascii="Verdana" w:eastAsia="Verdana" w:hAnsi="Verdana" w:cs="Verdana"/>
                <w:i/>
                <w:noProof/>
                <w:color w:val="000000"/>
                <w:sz w:val="18"/>
              </w:rPr>
              <w:t>643 928</w:t>
            </w:r>
          </w:p>
        </w:tc>
        <w:tc>
          <w:tcPr>
            <w:tcW w:w="1530" w:type="dxa"/>
            <w:tcBorders>
              <w:top w:val="nil"/>
              <w:left w:val="nil"/>
              <w:bottom w:val="nil"/>
              <w:right w:val="nil"/>
              <w:tl2br w:val="nil"/>
              <w:tr2bl w:val="nil"/>
            </w:tcBorders>
            <w:tcMar>
              <w:left w:w="60" w:type="dxa"/>
              <w:right w:w="60" w:type="dxa"/>
            </w:tcMar>
            <w:vAlign w:val="center"/>
          </w:tcPr>
          <w:p w14:paraId="467425BD" w14:textId="77777777" w:rsidR="00807FFE" w:rsidRDefault="00023E71">
            <w:pPr>
              <w:pStyle w:val="DMETW36770BIPFINL"/>
              <w:jc w:val="right"/>
              <w:rPr>
                <w:rFonts w:ascii="Verdana" w:eastAsia="Verdana" w:hAnsi="Verdana" w:cs="Verdana"/>
                <w:i/>
                <w:noProof/>
                <w:color w:val="000000"/>
                <w:sz w:val="18"/>
                <w:lang w:bidi="en-GB"/>
              </w:rPr>
            </w:pPr>
            <w:r>
              <w:rPr>
                <w:rFonts w:ascii="Verdana" w:eastAsia="Verdana" w:hAnsi="Verdana" w:cs="Verdana"/>
                <w:i/>
                <w:noProof/>
                <w:color w:val="000000"/>
                <w:sz w:val="18"/>
              </w:rPr>
              <w:t>539 522</w:t>
            </w:r>
          </w:p>
        </w:tc>
      </w:tr>
      <w:tr w:rsidR="00807FFE" w14:paraId="77780507"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3EE5E2C7" w14:textId="77777777" w:rsidR="00807FFE" w:rsidRDefault="00023E71">
            <w:pPr>
              <w:pStyle w:val="DMETW36770BIPFINL"/>
              <w:rPr>
                <w:rFonts w:ascii="Verdana" w:eastAsia="Verdana" w:hAnsi="Verdana" w:cs="Verdana"/>
                <w:i/>
                <w:noProof/>
                <w:color w:val="000000"/>
                <w:sz w:val="18"/>
              </w:rPr>
            </w:pPr>
            <w:r>
              <w:rPr>
                <w:rFonts w:ascii="Verdana" w:eastAsia="Verdana" w:hAnsi="Verdana" w:cs="Verdana"/>
                <w:i/>
                <w:noProof/>
                <w:color w:val="000000"/>
                <w:sz w:val="18"/>
              </w:rPr>
              <w:t>Financial liabilities at fair value through surplus or deficit</w:t>
            </w:r>
          </w:p>
        </w:tc>
        <w:tc>
          <w:tcPr>
            <w:tcW w:w="1180" w:type="dxa"/>
            <w:tcBorders>
              <w:top w:val="nil"/>
              <w:left w:val="nil"/>
              <w:bottom w:val="nil"/>
              <w:right w:val="nil"/>
              <w:tl2br w:val="nil"/>
              <w:tr2bl w:val="nil"/>
            </w:tcBorders>
            <w:tcMar>
              <w:left w:w="60" w:type="dxa"/>
              <w:right w:w="60" w:type="dxa"/>
            </w:tcMar>
            <w:vAlign w:val="center"/>
          </w:tcPr>
          <w:p w14:paraId="1439D007" w14:textId="77777777" w:rsidR="00807FFE" w:rsidRDefault="00023E71">
            <w:pPr>
              <w:pStyle w:val="DMETW36770BIPFINL"/>
              <w:jc w:val="center"/>
              <w:rPr>
                <w:rFonts w:ascii="Verdana" w:eastAsia="Verdana" w:hAnsi="Verdana" w:cs="Verdana"/>
                <w:i/>
                <w:noProof/>
                <w:color w:val="000000"/>
                <w:sz w:val="18"/>
              </w:rPr>
            </w:pPr>
            <w:r>
              <w:rPr>
                <w:rFonts w:ascii="Verdana" w:eastAsia="Verdana" w:hAnsi="Verdana" w:cs="Verdana"/>
                <w:i/>
                <w:noProof/>
                <w:color w:val="000000"/>
                <w:sz w:val="18"/>
              </w:rPr>
              <w:t>2.4.2.2</w:t>
            </w:r>
          </w:p>
        </w:tc>
        <w:tc>
          <w:tcPr>
            <w:tcW w:w="1743" w:type="dxa"/>
            <w:tcBorders>
              <w:top w:val="nil"/>
              <w:left w:val="nil"/>
              <w:bottom w:val="nil"/>
              <w:right w:val="nil"/>
              <w:tl2br w:val="nil"/>
              <w:tr2bl w:val="nil"/>
            </w:tcBorders>
            <w:tcMar>
              <w:left w:w="60" w:type="dxa"/>
              <w:right w:w="60" w:type="dxa"/>
            </w:tcMar>
            <w:vAlign w:val="center"/>
          </w:tcPr>
          <w:p w14:paraId="08EE46F5" w14:textId="77777777" w:rsidR="00807FFE" w:rsidRDefault="00023E71">
            <w:pPr>
              <w:pStyle w:val="DMETW36770BIPFINL"/>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530" w:type="dxa"/>
            <w:tcBorders>
              <w:top w:val="nil"/>
              <w:left w:val="nil"/>
              <w:bottom w:val="nil"/>
              <w:right w:val="nil"/>
              <w:tl2br w:val="nil"/>
              <w:tr2bl w:val="nil"/>
            </w:tcBorders>
            <w:tcMar>
              <w:left w:w="60" w:type="dxa"/>
              <w:right w:w="60" w:type="dxa"/>
            </w:tcMar>
            <w:vAlign w:val="center"/>
          </w:tcPr>
          <w:p w14:paraId="3824D123" w14:textId="77777777" w:rsidR="00807FFE" w:rsidRDefault="00023E71">
            <w:pPr>
              <w:pStyle w:val="DMETW36770BIPFI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w:t>
            </w:r>
          </w:p>
        </w:tc>
      </w:tr>
      <w:tr w:rsidR="00807FFE" w14:paraId="7891DD52"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5265CB2A" w14:textId="77777777" w:rsidR="00807FFE" w:rsidRDefault="00023E71">
            <w:pPr>
              <w:pStyle w:val="DMETW36770BIPFINL"/>
              <w:rPr>
                <w:rFonts w:ascii="Verdana" w:eastAsia="Verdana" w:hAnsi="Verdana" w:cs="Verdana"/>
                <w:i/>
                <w:noProof/>
                <w:color w:val="000000"/>
                <w:sz w:val="18"/>
              </w:rPr>
            </w:pPr>
            <w:r>
              <w:rPr>
                <w:rFonts w:ascii="Verdana" w:eastAsia="Verdana" w:hAnsi="Verdana" w:cs="Verdana"/>
                <w:i/>
                <w:noProof/>
                <w:color w:val="000000"/>
                <w:sz w:val="18"/>
              </w:rPr>
              <w:t>Financial guarantee liabilities</w:t>
            </w:r>
          </w:p>
        </w:tc>
        <w:tc>
          <w:tcPr>
            <w:tcW w:w="1180" w:type="dxa"/>
            <w:tcBorders>
              <w:top w:val="nil"/>
              <w:left w:val="nil"/>
              <w:bottom w:val="nil"/>
              <w:right w:val="nil"/>
              <w:tl2br w:val="nil"/>
              <w:tr2bl w:val="nil"/>
            </w:tcBorders>
            <w:tcMar>
              <w:left w:w="60" w:type="dxa"/>
              <w:right w:w="60" w:type="dxa"/>
            </w:tcMar>
            <w:vAlign w:val="center"/>
          </w:tcPr>
          <w:p w14:paraId="262FDA35" w14:textId="77777777" w:rsidR="00807FFE" w:rsidRDefault="00023E71">
            <w:pPr>
              <w:pStyle w:val="DMETW36770BIPFINL"/>
              <w:jc w:val="center"/>
              <w:rPr>
                <w:rFonts w:ascii="Verdana" w:eastAsia="Verdana" w:hAnsi="Verdana" w:cs="Verdana"/>
                <w:i/>
                <w:noProof/>
                <w:color w:val="000000"/>
                <w:sz w:val="18"/>
              </w:rPr>
            </w:pPr>
            <w:r>
              <w:rPr>
                <w:rFonts w:ascii="Verdana" w:eastAsia="Verdana" w:hAnsi="Verdana" w:cs="Verdana"/>
                <w:i/>
                <w:noProof/>
                <w:color w:val="000000"/>
                <w:sz w:val="18"/>
              </w:rPr>
              <w:t>2.11.2</w:t>
            </w:r>
          </w:p>
        </w:tc>
        <w:tc>
          <w:tcPr>
            <w:tcW w:w="1743" w:type="dxa"/>
            <w:tcBorders>
              <w:top w:val="nil"/>
              <w:left w:val="nil"/>
              <w:bottom w:val="nil"/>
              <w:right w:val="nil"/>
              <w:tl2br w:val="nil"/>
              <w:tr2bl w:val="nil"/>
            </w:tcBorders>
            <w:tcMar>
              <w:left w:w="60" w:type="dxa"/>
              <w:right w:w="60" w:type="dxa"/>
            </w:tcMar>
            <w:vAlign w:val="center"/>
          </w:tcPr>
          <w:p w14:paraId="14D2F5D4" w14:textId="77777777" w:rsidR="00807FFE" w:rsidRDefault="00023E71">
            <w:pPr>
              <w:pStyle w:val="DMETW36770BIPFINL"/>
              <w:jc w:val="right"/>
              <w:rPr>
                <w:rFonts w:ascii="Verdana" w:eastAsia="Verdana" w:hAnsi="Verdana" w:cs="Verdana"/>
                <w:i/>
                <w:noProof/>
                <w:color w:val="000000"/>
                <w:sz w:val="18"/>
              </w:rPr>
            </w:pPr>
            <w:r>
              <w:rPr>
                <w:rFonts w:ascii="Verdana" w:eastAsia="Verdana" w:hAnsi="Verdana" w:cs="Verdana"/>
                <w:i/>
                <w:noProof/>
                <w:color w:val="000000"/>
                <w:sz w:val="18"/>
              </w:rPr>
              <w:t xml:space="preserve"> 81</w:t>
            </w:r>
          </w:p>
        </w:tc>
        <w:tc>
          <w:tcPr>
            <w:tcW w:w="1530" w:type="dxa"/>
            <w:tcBorders>
              <w:top w:val="nil"/>
              <w:left w:val="nil"/>
              <w:bottom w:val="nil"/>
              <w:right w:val="nil"/>
              <w:tl2br w:val="nil"/>
              <w:tr2bl w:val="nil"/>
            </w:tcBorders>
            <w:tcMar>
              <w:left w:w="60" w:type="dxa"/>
              <w:right w:w="60" w:type="dxa"/>
            </w:tcMar>
            <w:vAlign w:val="center"/>
          </w:tcPr>
          <w:p w14:paraId="7C2D7FEF" w14:textId="77777777" w:rsidR="00807FFE" w:rsidRDefault="00023E71">
            <w:pPr>
              <w:pStyle w:val="DMETW36770BIPFI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39</w:t>
            </w:r>
          </w:p>
        </w:tc>
      </w:tr>
      <w:tr w:rsidR="00807FFE" w14:paraId="21BAE2C8" w14:textId="77777777">
        <w:trPr>
          <w:trHeight w:val="255"/>
        </w:trPr>
        <w:tc>
          <w:tcPr>
            <w:tcW w:w="5305" w:type="dxa"/>
            <w:tcBorders>
              <w:top w:val="nil"/>
              <w:left w:val="nil"/>
              <w:bottom w:val="nil"/>
              <w:right w:val="nil"/>
              <w:tl2br w:val="nil"/>
              <w:tr2bl w:val="nil"/>
            </w:tcBorders>
            <w:shd w:val="solid" w:color="CCE1EA" w:fill="FFFFFF"/>
            <w:tcMar>
              <w:left w:w="60" w:type="dxa"/>
              <w:right w:w="60" w:type="dxa"/>
            </w:tcMar>
            <w:vAlign w:val="center"/>
          </w:tcPr>
          <w:p w14:paraId="0EE48967" w14:textId="77777777" w:rsidR="00807FFE" w:rsidRDefault="00807FFE">
            <w:pPr>
              <w:pStyle w:val="DMETW36770BIPFINL"/>
              <w:rPr>
                <w:rFonts w:ascii="Verdana" w:eastAsia="Verdana" w:hAnsi="Verdana" w:cs="Verdana"/>
                <w:b/>
                <w:noProof/>
                <w:color w:val="000000"/>
                <w:sz w:val="18"/>
              </w:rPr>
            </w:pPr>
          </w:p>
        </w:tc>
        <w:tc>
          <w:tcPr>
            <w:tcW w:w="1180" w:type="dxa"/>
            <w:tcBorders>
              <w:top w:val="nil"/>
              <w:left w:val="nil"/>
              <w:bottom w:val="nil"/>
              <w:right w:val="nil"/>
              <w:tl2br w:val="nil"/>
              <w:tr2bl w:val="nil"/>
            </w:tcBorders>
            <w:shd w:val="solid" w:color="CCE1EA" w:fill="FFFFFF"/>
            <w:tcMar>
              <w:left w:w="60" w:type="dxa"/>
              <w:right w:w="60" w:type="dxa"/>
            </w:tcMar>
            <w:vAlign w:val="center"/>
          </w:tcPr>
          <w:p w14:paraId="7077FC92" w14:textId="77777777" w:rsidR="00807FFE" w:rsidRDefault="00807FFE">
            <w:pPr>
              <w:pStyle w:val="DMETW36770BIPFINL"/>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center"/>
          </w:tcPr>
          <w:p w14:paraId="46216A2B" w14:textId="77777777" w:rsidR="00807FFE" w:rsidRDefault="00023E71">
            <w:pPr>
              <w:pStyle w:val="DMETW36770BIPFINL"/>
              <w:jc w:val="right"/>
              <w:rPr>
                <w:rFonts w:ascii="Verdana" w:eastAsia="Verdana" w:hAnsi="Verdana" w:cs="Verdana"/>
                <w:b/>
                <w:noProof/>
                <w:color w:val="000000"/>
                <w:sz w:val="18"/>
              </w:rPr>
            </w:pPr>
            <w:r>
              <w:rPr>
                <w:rFonts w:ascii="Verdana" w:eastAsia="Verdana" w:hAnsi="Verdana" w:cs="Verdana"/>
                <w:b/>
                <w:noProof/>
                <w:color w:val="000000"/>
                <w:sz w:val="18"/>
              </w:rPr>
              <w:t>644 018</w:t>
            </w:r>
          </w:p>
        </w:tc>
        <w:tc>
          <w:tcPr>
            <w:tcW w:w="1530" w:type="dxa"/>
            <w:tcBorders>
              <w:top w:val="nil"/>
              <w:left w:val="nil"/>
              <w:bottom w:val="nil"/>
              <w:right w:val="nil"/>
              <w:tl2br w:val="nil"/>
              <w:tr2bl w:val="nil"/>
            </w:tcBorders>
            <w:shd w:val="solid" w:color="CCE1EA" w:fill="FFFFFF"/>
            <w:tcMar>
              <w:left w:w="60" w:type="dxa"/>
              <w:right w:w="60" w:type="dxa"/>
            </w:tcMar>
            <w:vAlign w:val="center"/>
          </w:tcPr>
          <w:p w14:paraId="0AF2DAA7" w14:textId="77777777" w:rsidR="00807FFE" w:rsidRDefault="00023E71">
            <w:pPr>
              <w:pStyle w:val="DMETW36770BIPFINL"/>
              <w:jc w:val="right"/>
              <w:rPr>
                <w:rFonts w:ascii="Verdana" w:eastAsia="Verdana" w:hAnsi="Verdana" w:cs="Verdana"/>
                <w:b/>
                <w:noProof/>
                <w:color w:val="000000"/>
                <w:sz w:val="18"/>
                <w:lang w:bidi="en-GB"/>
              </w:rPr>
            </w:pPr>
            <w:r>
              <w:rPr>
                <w:rFonts w:ascii="Verdana" w:eastAsia="Verdana" w:hAnsi="Verdana" w:cs="Verdana"/>
                <w:b/>
                <w:noProof/>
                <w:color w:val="000000"/>
                <w:sz w:val="18"/>
              </w:rPr>
              <w:t>539 575</w:t>
            </w:r>
          </w:p>
        </w:tc>
      </w:tr>
      <w:tr w:rsidR="00807FFE" w14:paraId="690B13F4"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199AC948" w14:textId="77777777" w:rsidR="00807FFE" w:rsidRDefault="00023E71">
            <w:pPr>
              <w:pStyle w:val="DMETW36770BIPFINL"/>
              <w:rPr>
                <w:rFonts w:ascii="Verdana" w:eastAsia="Verdana" w:hAnsi="Verdana" w:cs="Verdana"/>
                <w:b/>
                <w:noProof/>
                <w:color w:val="000000"/>
                <w:sz w:val="18"/>
              </w:rPr>
            </w:pPr>
            <w:r>
              <w:rPr>
                <w:rFonts w:ascii="Verdana" w:eastAsia="Verdana" w:hAnsi="Verdana" w:cs="Verdana"/>
                <w:b/>
                <w:noProof/>
                <w:color w:val="000000"/>
                <w:sz w:val="18"/>
              </w:rPr>
              <w:t>Current</w:t>
            </w:r>
          </w:p>
        </w:tc>
        <w:tc>
          <w:tcPr>
            <w:tcW w:w="1180" w:type="dxa"/>
            <w:tcBorders>
              <w:top w:val="nil"/>
              <w:left w:val="nil"/>
              <w:bottom w:val="nil"/>
              <w:right w:val="nil"/>
              <w:tl2br w:val="nil"/>
              <w:tr2bl w:val="nil"/>
            </w:tcBorders>
            <w:tcMar>
              <w:left w:w="60" w:type="dxa"/>
              <w:right w:w="60" w:type="dxa"/>
            </w:tcMar>
            <w:vAlign w:val="center"/>
          </w:tcPr>
          <w:p w14:paraId="62289297" w14:textId="77777777" w:rsidR="00807FFE" w:rsidRDefault="00807FFE">
            <w:pPr>
              <w:pStyle w:val="DMETW36770BIPFINL"/>
              <w:jc w:val="center"/>
              <w:rPr>
                <w:rFonts w:ascii="Verdana" w:eastAsia="Verdana" w:hAnsi="Verdana" w:cs="Verdana"/>
                <w:b/>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14:paraId="498C96FA" w14:textId="77777777" w:rsidR="00807FFE" w:rsidRDefault="00807FFE">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14:paraId="3188D2C8" w14:textId="77777777" w:rsidR="00807FFE" w:rsidRDefault="00807FFE">
            <w:pPr>
              <w:pStyle w:val="DMETW36770BIPFINL"/>
              <w:rPr>
                <w:rFonts w:ascii="Verdana" w:eastAsia="Verdana" w:hAnsi="Verdana" w:cs="Verdana"/>
                <w:noProof/>
                <w:color w:val="000000"/>
                <w:sz w:val="18"/>
                <w:lang w:bidi="en-GB"/>
              </w:rPr>
            </w:pPr>
          </w:p>
        </w:tc>
      </w:tr>
      <w:tr w:rsidR="00807FFE" w14:paraId="255ACF3F"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6909548D" w14:textId="77777777" w:rsidR="00807FFE" w:rsidRDefault="00023E71">
            <w:pPr>
              <w:pStyle w:val="DMETW36770BIPFINL"/>
              <w:rPr>
                <w:rFonts w:ascii="Verdana" w:eastAsia="Verdana" w:hAnsi="Verdana" w:cs="Verdana"/>
                <w:i/>
                <w:noProof/>
                <w:color w:val="000000"/>
                <w:sz w:val="18"/>
              </w:rPr>
            </w:pPr>
            <w:r>
              <w:rPr>
                <w:rFonts w:ascii="Verdana" w:eastAsia="Verdana" w:hAnsi="Verdana" w:cs="Verdana"/>
                <w:i/>
                <w:noProof/>
                <w:color w:val="000000"/>
                <w:sz w:val="18"/>
              </w:rPr>
              <w:t>Financial liabilities at amortised cost</w:t>
            </w:r>
          </w:p>
        </w:tc>
        <w:tc>
          <w:tcPr>
            <w:tcW w:w="1180" w:type="dxa"/>
            <w:tcBorders>
              <w:top w:val="nil"/>
              <w:left w:val="nil"/>
              <w:bottom w:val="nil"/>
              <w:right w:val="nil"/>
              <w:tl2br w:val="nil"/>
              <w:tr2bl w:val="nil"/>
            </w:tcBorders>
            <w:tcMar>
              <w:left w:w="60" w:type="dxa"/>
              <w:right w:w="60" w:type="dxa"/>
            </w:tcMar>
            <w:vAlign w:val="center"/>
          </w:tcPr>
          <w:p w14:paraId="25FD880E" w14:textId="77777777" w:rsidR="00807FFE" w:rsidRDefault="00023E71">
            <w:pPr>
              <w:pStyle w:val="DMETW36770BIPFINL"/>
              <w:jc w:val="center"/>
              <w:rPr>
                <w:rFonts w:ascii="Verdana" w:eastAsia="Verdana" w:hAnsi="Verdana" w:cs="Verdana"/>
                <w:i/>
                <w:noProof/>
                <w:color w:val="000000"/>
                <w:sz w:val="18"/>
              </w:rPr>
            </w:pPr>
            <w:r>
              <w:rPr>
                <w:rFonts w:ascii="Verdana" w:eastAsia="Verdana" w:hAnsi="Verdana" w:cs="Verdana"/>
                <w:i/>
                <w:noProof/>
                <w:color w:val="000000"/>
                <w:sz w:val="18"/>
              </w:rPr>
              <w:t>2.11.1</w:t>
            </w:r>
          </w:p>
        </w:tc>
        <w:tc>
          <w:tcPr>
            <w:tcW w:w="1743" w:type="dxa"/>
            <w:tcBorders>
              <w:top w:val="nil"/>
              <w:left w:val="nil"/>
              <w:bottom w:val="nil"/>
              <w:right w:val="nil"/>
              <w:tl2br w:val="nil"/>
              <w:tr2bl w:val="nil"/>
            </w:tcBorders>
            <w:tcMar>
              <w:left w:w="60" w:type="dxa"/>
              <w:right w:w="60" w:type="dxa"/>
            </w:tcMar>
            <w:vAlign w:val="center"/>
          </w:tcPr>
          <w:p w14:paraId="0A594AF8" w14:textId="77777777" w:rsidR="00807FFE" w:rsidRDefault="00023E71">
            <w:pPr>
              <w:pStyle w:val="DMETW36770BIPFINL"/>
              <w:jc w:val="right"/>
              <w:rPr>
                <w:rFonts w:ascii="Verdana" w:eastAsia="Verdana" w:hAnsi="Verdana" w:cs="Verdana"/>
                <w:i/>
                <w:noProof/>
                <w:color w:val="000000"/>
                <w:sz w:val="18"/>
              </w:rPr>
            </w:pPr>
            <w:r>
              <w:rPr>
                <w:rFonts w:ascii="Verdana" w:eastAsia="Verdana" w:hAnsi="Verdana" w:cs="Verdana"/>
                <w:i/>
                <w:noProof/>
                <w:color w:val="000000"/>
                <w:sz w:val="18"/>
              </w:rPr>
              <w:t>89 069</w:t>
            </w:r>
          </w:p>
        </w:tc>
        <w:tc>
          <w:tcPr>
            <w:tcW w:w="1530" w:type="dxa"/>
            <w:tcBorders>
              <w:top w:val="nil"/>
              <w:left w:val="nil"/>
              <w:bottom w:val="nil"/>
              <w:right w:val="nil"/>
              <w:tl2br w:val="nil"/>
              <w:tr2bl w:val="nil"/>
            </w:tcBorders>
            <w:tcMar>
              <w:left w:w="60" w:type="dxa"/>
              <w:right w:w="60" w:type="dxa"/>
            </w:tcMar>
            <w:vAlign w:val="center"/>
          </w:tcPr>
          <w:p w14:paraId="1E9DC351" w14:textId="77777777" w:rsidR="00807FFE" w:rsidRDefault="00023E71">
            <w:pPr>
              <w:pStyle w:val="DMETW36770BIPFINL"/>
              <w:jc w:val="right"/>
              <w:rPr>
                <w:rFonts w:ascii="Verdana" w:eastAsia="Verdana" w:hAnsi="Verdana" w:cs="Verdana"/>
                <w:i/>
                <w:noProof/>
                <w:color w:val="000000"/>
                <w:sz w:val="18"/>
                <w:lang w:bidi="en-GB"/>
              </w:rPr>
            </w:pPr>
            <w:r>
              <w:rPr>
                <w:rFonts w:ascii="Verdana" w:eastAsia="Verdana" w:hAnsi="Verdana" w:cs="Verdana"/>
                <w:i/>
                <w:noProof/>
                <w:color w:val="000000"/>
                <w:sz w:val="18"/>
              </w:rPr>
              <w:t>55 904</w:t>
            </w:r>
          </w:p>
        </w:tc>
      </w:tr>
      <w:tr w:rsidR="00807FFE" w14:paraId="3DC8E53A"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27CD6F0B" w14:textId="77777777" w:rsidR="00807FFE" w:rsidRDefault="00023E71">
            <w:pPr>
              <w:pStyle w:val="DMETW36770BIPFINL"/>
              <w:rPr>
                <w:rFonts w:ascii="Verdana" w:eastAsia="Verdana" w:hAnsi="Verdana" w:cs="Verdana"/>
                <w:i/>
                <w:noProof/>
                <w:color w:val="000000"/>
                <w:sz w:val="18"/>
              </w:rPr>
            </w:pPr>
            <w:r>
              <w:rPr>
                <w:rFonts w:ascii="Verdana" w:eastAsia="Verdana" w:hAnsi="Verdana" w:cs="Verdana"/>
                <w:i/>
                <w:noProof/>
                <w:color w:val="000000"/>
                <w:sz w:val="18"/>
              </w:rPr>
              <w:t>Financial liabilities at fair value through surplus or deficit</w:t>
            </w:r>
          </w:p>
        </w:tc>
        <w:tc>
          <w:tcPr>
            <w:tcW w:w="1180" w:type="dxa"/>
            <w:tcBorders>
              <w:top w:val="nil"/>
              <w:left w:val="nil"/>
              <w:bottom w:val="nil"/>
              <w:right w:val="nil"/>
              <w:tl2br w:val="nil"/>
              <w:tr2bl w:val="nil"/>
            </w:tcBorders>
            <w:tcMar>
              <w:left w:w="60" w:type="dxa"/>
              <w:right w:w="60" w:type="dxa"/>
            </w:tcMar>
            <w:vAlign w:val="center"/>
          </w:tcPr>
          <w:p w14:paraId="0F29B398" w14:textId="77777777" w:rsidR="00807FFE" w:rsidRDefault="00023E71">
            <w:pPr>
              <w:pStyle w:val="DMETW36770BIPFINL"/>
              <w:jc w:val="center"/>
              <w:rPr>
                <w:rFonts w:ascii="Verdana" w:eastAsia="Verdana" w:hAnsi="Verdana" w:cs="Verdana"/>
                <w:i/>
                <w:noProof/>
                <w:color w:val="000000"/>
                <w:sz w:val="18"/>
              </w:rPr>
            </w:pPr>
            <w:r>
              <w:rPr>
                <w:rFonts w:ascii="Verdana" w:eastAsia="Verdana" w:hAnsi="Verdana" w:cs="Verdana"/>
                <w:i/>
                <w:noProof/>
                <w:color w:val="000000"/>
                <w:sz w:val="18"/>
              </w:rPr>
              <w:t>2.4.2.2</w:t>
            </w:r>
          </w:p>
        </w:tc>
        <w:tc>
          <w:tcPr>
            <w:tcW w:w="1743" w:type="dxa"/>
            <w:tcBorders>
              <w:top w:val="nil"/>
              <w:left w:val="nil"/>
              <w:bottom w:val="nil"/>
              <w:right w:val="nil"/>
              <w:tl2br w:val="nil"/>
              <w:tr2bl w:val="nil"/>
            </w:tcBorders>
            <w:tcMar>
              <w:left w:w="60" w:type="dxa"/>
              <w:right w:w="60" w:type="dxa"/>
            </w:tcMar>
            <w:vAlign w:val="center"/>
          </w:tcPr>
          <w:p w14:paraId="4DDB8358" w14:textId="77777777" w:rsidR="00807FFE" w:rsidRDefault="00023E71">
            <w:pPr>
              <w:pStyle w:val="DMETW36770BIPFINL"/>
              <w:jc w:val="right"/>
              <w:rPr>
                <w:rFonts w:ascii="Verdana" w:eastAsia="Verdana" w:hAnsi="Verdana" w:cs="Verdana"/>
                <w:i/>
                <w:noProof/>
                <w:color w:val="000000"/>
                <w:sz w:val="18"/>
              </w:rPr>
            </w:pPr>
            <w:r>
              <w:rPr>
                <w:rFonts w:ascii="Verdana" w:eastAsia="Verdana" w:hAnsi="Verdana" w:cs="Verdana"/>
                <w:i/>
                <w:noProof/>
                <w:color w:val="000000"/>
                <w:sz w:val="18"/>
              </w:rPr>
              <w:t xml:space="preserve"> 53</w:t>
            </w:r>
          </w:p>
        </w:tc>
        <w:tc>
          <w:tcPr>
            <w:tcW w:w="1530" w:type="dxa"/>
            <w:tcBorders>
              <w:top w:val="nil"/>
              <w:left w:val="nil"/>
              <w:bottom w:val="nil"/>
              <w:right w:val="nil"/>
              <w:tl2br w:val="nil"/>
              <w:tr2bl w:val="nil"/>
            </w:tcBorders>
            <w:tcMar>
              <w:left w:w="60" w:type="dxa"/>
              <w:right w:w="60" w:type="dxa"/>
            </w:tcMar>
            <w:vAlign w:val="center"/>
          </w:tcPr>
          <w:p w14:paraId="794A987D" w14:textId="77777777" w:rsidR="00807FFE" w:rsidRDefault="00023E71">
            <w:pPr>
              <w:pStyle w:val="DMETW36770BIPFI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84</w:t>
            </w:r>
          </w:p>
        </w:tc>
      </w:tr>
      <w:tr w:rsidR="00807FFE" w14:paraId="4EF172AF" w14:textId="77777777">
        <w:trPr>
          <w:trHeight w:val="255"/>
        </w:trPr>
        <w:tc>
          <w:tcPr>
            <w:tcW w:w="5305" w:type="dxa"/>
            <w:tcBorders>
              <w:top w:val="nil"/>
              <w:left w:val="nil"/>
              <w:bottom w:val="nil"/>
              <w:right w:val="nil"/>
              <w:tl2br w:val="nil"/>
              <w:tr2bl w:val="nil"/>
            </w:tcBorders>
            <w:tcMar>
              <w:left w:w="60" w:type="dxa"/>
              <w:right w:w="60" w:type="dxa"/>
            </w:tcMar>
            <w:vAlign w:val="center"/>
          </w:tcPr>
          <w:p w14:paraId="5F0EB89C" w14:textId="77777777" w:rsidR="00807FFE" w:rsidRDefault="00023E71">
            <w:pPr>
              <w:pStyle w:val="DMETW36770BIPFINL"/>
              <w:rPr>
                <w:rFonts w:ascii="Verdana" w:eastAsia="Verdana" w:hAnsi="Verdana" w:cs="Verdana"/>
                <w:i/>
                <w:noProof/>
                <w:color w:val="000000"/>
                <w:sz w:val="18"/>
              </w:rPr>
            </w:pPr>
            <w:r>
              <w:rPr>
                <w:rFonts w:ascii="Verdana" w:eastAsia="Verdana" w:hAnsi="Verdana" w:cs="Verdana"/>
                <w:i/>
                <w:noProof/>
                <w:color w:val="000000"/>
                <w:sz w:val="18"/>
              </w:rPr>
              <w:t>Financial guarantee liabilities</w:t>
            </w:r>
          </w:p>
        </w:tc>
        <w:tc>
          <w:tcPr>
            <w:tcW w:w="1180" w:type="dxa"/>
            <w:tcBorders>
              <w:top w:val="nil"/>
              <w:left w:val="nil"/>
              <w:bottom w:val="nil"/>
              <w:right w:val="nil"/>
              <w:tl2br w:val="nil"/>
              <w:tr2bl w:val="nil"/>
            </w:tcBorders>
            <w:tcMar>
              <w:left w:w="60" w:type="dxa"/>
              <w:right w:w="60" w:type="dxa"/>
            </w:tcMar>
            <w:vAlign w:val="center"/>
          </w:tcPr>
          <w:p w14:paraId="52CD3102" w14:textId="77777777" w:rsidR="00807FFE" w:rsidRDefault="00023E71">
            <w:pPr>
              <w:pStyle w:val="DMETW36770BIPFINL"/>
              <w:jc w:val="center"/>
              <w:rPr>
                <w:rFonts w:ascii="Verdana" w:eastAsia="Verdana" w:hAnsi="Verdana" w:cs="Verdana"/>
                <w:i/>
                <w:noProof/>
                <w:color w:val="000000"/>
                <w:sz w:val="18"/>
              </w:rPr>
            </w:pPr>
            <w:r>
              <w:rPr>
                <w:rFonts w:ascii="Verdana" w:eastAsia="Verdana" w:hAnsi="Verdana" w:cs="Verdana"/>
                <w:i/>
                <w:noProof/>
                <w:color w:val="000000"/>
                <w:sz w:val="18"/>
              </w:rPr>
              <w:t>2.11.2</w:t>
            </w:r>
          </w:p>
        </w:tc>
        <w:tc>
          <w:tcPr>
            <w:tcW w:w="1743" w:type="dxa"/>
            <w:tcBorders>
              <w:top w:val="nil"/>
              <w:left w:val="nil"/>
              <w:bottom w:val="nil"/>
              <w:right w:val="nil"/>
              <w:tl2br w:val="nil"/>
              <w:tr2bl w:val="nil"/>
            </w:tcBorders>
            <w:tcMar>
              <w:left w:w="60" w:type="dxa"/>
              <w:right w:w="60" w:type="dxa"/>
            </w:tcMar>
            <w:vAlign w:val="center"/>
          </w:tcPr>
          <w:p w14:paraId="24DDE8A1" w14:textId="77777777" w:rsidR="00807FFE" w:rsidRDefault="00023E71">
            <w:pPr>
              <w:pStyle w:val="DMETW36770BIPFINL"/>
              <w:jc w:val="right"/>
              <w:rPr>
                <w:rFonts w:ascii="Verdana" w:eastAsia="Verdana" w:hAnsi="Verdana" w:cs="Verdana"/>
                <w:i/>
                <w:noProof/>
                <w:color w:val="000000"/>
                <w:sz w:val="18"/>
              </w:rPr>
            </w:pPr>
            <w:r>
              <w:rPr>
                <w:rFonts w:ascii="Verdana" w:eastAsia="Verdana" w:hAnsi="Verdana" w:cs="Verdana"/>
                <w:i/>
                <w:noProof/>
                <w:color w:val="000000"/>
                <w:sz w:val="18"/>
              </w:rPr>
              <w:t>7 647</w:t>
            </w:r>
          </w:p>
        </w:tc>
        <w:tc>
          <w:tcPr>
            <w:tcW w:w="1530" w:type="dxa"/>
            <w:tcBorders>
              <w:top w:val="nil"/>
              <w:left w:val="nil"/>
              <w:bottom w:val="nil"/>
              <w:right w:val="nil"/>
              <w:tl2br w:val="nil"/>
              <w:tr2bl w:val="nil"/>
            </w:tcBorders>
            <w:tcMar>
              <w:left w:w="60" w:type="dxa"/>
              <w:right w:w="60" w:type="dxa"/>
            </w:tcMar>
            <w:vAlign w:val="center"/>
          </w:tcPr>
          <w:p w14:paraId="7032263A" w14:textId="77777777" w:rsidR="00807FFE" w:rsidRDefault="00023E71">
            <w:pPr>
              <w:pStyle w:val="DMETW36770BIPFINL"/>
              <w:jc w:val="right"/>
              <w:rPr>
                <w:rFonts w:ascii="Verdana" w:eastAsia="Verdana" w:hAnsi="Verdana" w:cs="Verdana"/>
                <w:i/>
                <w:noProof/>
                <w:color w:val="000000"/>
                <w:sz w:val="18"/>
                <w:lang w:bidi="en-GB"/>
              </w:rPr>
            </w:pPr>
            <w:r>
              <w:rPr>
                <w:rFonts w:ascii="Verdana" w:eastAsia="Verdana" w:hAnsi="Verdana" w:cs="Verdana"/>
                <w:i/>
                <w:noProof/>
                <w:color w:val="000000"/>
                <w:sz w:val="18"/>
              </w:rPr>
              <w:t>6 340</w:t>
            </w:r>
          </w:p>
        </w:tc>
      </w:tr>
      <w:tr w:rsidR="00807FFE" w14:paraId="177F1FE6" w14:textId="77777777">
        <w:trPr>
          <w:trHeight w:val="255"/>
        </w:trPr>
        <w:tc>
          <w:tcPr>
            <w:tcW w:w="5305" w:type="dxa"/>
            <w:tcBorders>
              <w:top w:val="nil"/>
              <w:left w:val="nil"/>
              <w:bottom w:val="nil"/>
              <w:right w:val="nil"/>
              <w:tl2br w:val="nil"/>
              <w:tr2bl w:val="nil"/>
            </w:tcBorders>
            <w:shd w:val="solid" w:color="CCE1EA" w:fill="FFFFFF"/>
            <w:tcMar>
              <w:left w:w="60" w:type="dxa"/>
              <w:right w:w="60" w:type="dxa"/>
            </w:tcMar>
            <w:vAlign w:val="center"/>
          </w:tcPr>
          <w:p w14:paraId="1FC987E8" w14:textId="77777777" w:rsidR="00807FFE" w:rsidRDefault="00807FFE">
            <w:pPr>
              <w:pStyle w:val="DMETW36770BIPFINL"/>
              <w:rPr>
                <w:rFonts w:ascii="Verdana" w:eastAsia="Verdana" w:hAnsi="Verdana" w:cs="Verdana"/>
                <w:b/>
                <w:noProof/>
                <w:color w:val="000000"/>
                <w:sz w:val="18"/>
              </w:rPr>
            </w:pPr>
          </w:p>
        </w:tc>
        <w:tc>
          <w:tcPr>
            <w:tcW w:w="1180" w:type="dxa"/>
            <w:tcBorders>
              <w:top w:val="nil"/>
              <w:left w:val="nil"/>
              <w:bottom w:val="nil"/>
              <w:right w:val="nil"/>
              <w:tl2br w:val="nil"/>
              <w:tr2bl w:val="nil"/>
            </w:tcBorders>
            <w:shd w:val="solid" w:color="CCE1EA" w:fill="FFFFFF"/>
            <w:tcMar>
              <w:left w:w="60" w:type="dxa"/>
              <w:right w:w="60" w:type="dxa"/>
            </w:tcMar>
            <w:vAlign w:val="center"/>
          </w:tcPr>
          <w:p w14:paraId="116F8B14" w14:textId="77777777" w:rsidR="00807FFE" w:rsidRDefault="00807FFE">
            <w:pPr>
              <w:pStyle w:val="DMETW36770BIPFINL"/>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center"/>
          </w:tcPr>
          <w:p w14:paraId="7F372FCA" w14:textId="77777777" w:rsidR="00807FFE" w:rsidRDefault="00023E71">
            <w:pPr>
              <w:pStyle w:val="DMETW36770BIPFINL"/>
              <w:jc w:val="right"/>
              <w:rPr>
                <w:rFonts w:ascii="Verdana" w:eastAsia="Verdana" w:hAnsi="Verdana" w:cs="Verdana"/>
                <w:b/>
                <w:noProof/>
                <w:color w:val="000000"/>
                <w:sz w:val="18"/>
              </w:rPr>
            </w:pPr>
            <w:r>
              <w:rPr>
                <w:rFonts w:ascii="Verdana" w:eastAsia="Verdana" w:hAnsi="Verdana" w:cs="Verdana"/>
                <w:b/>
                <w:noProof/>
                <w:color w:val="000000"/>
                <w:sz w:val="18"/>
              </w:rPr>
              <w:t>96 769</w:t>
            </w:r>
          </w:p>
        </w:tc>
        <w:tc>
          <w:tcPr>
            <w:tcW w:w="1530" w:type="dxa"/>
            <w:tcBorders>
              <w:top w:val="nil"/>
              <w:left w:val="nil"/>
              <w:bottom w:val="nil"/>
              <w:right w:val="nil"/>
              <w:tl2br w:val="nil"/>
              <w:tr2bl w:val="nil"/>
            </w:tcBorders>
            <w:shd w:val="solid" w:color="CCE1EA" w:fill="FFFFFF"/>
            <w:tcMar>
              <w:left w:w="60" w:type="dxa"/>
              <w:right w:w="60" w:type="dxa"/>
            </w:tcMar>
            <w:vAlign w:val="center"/>
          </w:tcPr>
          <w:p w14:paraId="03315B10" w14:textId="77777777" w:rsidR="00807FFE" w:rsidRDefault="00023E71">
            <w:pPr>
              <w:pStyle w:val="DMETW36770BIPFINL"/>
              <w:jc w:val="right"/>
              <w:rPr>
                <w:rFonts w:ascii="Verdana" w:eastAsia="Verdana" w:hAnsi="Verdana" w:cs="Verdana"/>
                <w:b/>
                <w:noProof/>
                <w:color w:val="000000"/>
                <w:sz w:val="18"/>
                <w:lang w:bidi="en-GB"/>
              </w:rPr>
            </w:pPr>
            <w:r>
              <w:rPr>
                <w:rFonts w:ascii="Verdana" w:eastAsia="Verdana" w:hAnsi="Verdana" w:cs="Verdana"/>
                <w:b/>
                <w:noProof/>
                <w:color w:val="000000"/>
                <w:sz w:val="18"/>
              </w:rPr>
              <w:t>62 328</w:t>
            </w:r>
          </w:p>
        </w:tc>
      </w:tr>
      <w:tr w:rsidR="00807FFE" w14:paraId="772FFA89" w14:textId="77777777">
        <w:trPr>
          <w:trHeight w:val="255"/>
        </w:trPr>
        <w:tc>
          <w:tcPr>
            <w:tcW w:w="5305" w:type="dxa"/>
            <w:tcBorders>
              <w:top w:val="nil"/>
              <w:left w:val="nil"/>
              <w:bottom w:val="single" w:sz="4" w:space="0" w:color="016794"/>
              <w:right w:val="nil"/>
              <w:tl2br w:val="nil"/>
              <w:tr2bl w:val="nil"/>
            </w:tcBorders>
            <w:tcMar>
              <w:left w:w="60" w:type="dxa"/>
              <w:right w:w="60" w:type="dxa"/>
            </w:tcMar>
            <w:vAlign w:val="center"/>
          </w:tcPr>
          <w:p w14:paraId="02F77F0C" w14:textId="77777777" w:rsidR="00807FFE" w:rsidRDefault="00023E71">
            <w:pPr>
              <w:pStyle w:val="DMETW36770BIPFINL"/>
              <w:rPr>
                <w:rFonts w:ascii="Verdana" w:eastAsia="Verdana" w:hAnsi="Verdana" w:cs="Verdana"/>
                <w:b/>
                <w:noProof/>
                <w:color w:val="000000"/>
                <w:sz w:val="18"/>
              </w:rPr>
            </w:pPr>
            <w:r>
              <w:rPr>
                <w:rFonts w:ascii="Verdana" w:eastAsia="Verdana" w:hAnsi="Verdana" w:cs="Verdana"/>
                <w:b/>
                <w:noProof/>
                <w:color w:val="000000"/>
                <w:sz w:val="18"/>
              </w:rPr>
              <w:t>Total</w:t>
            </w:r>
          </w:p>
        </w:tc>
        <w:tc>
          <w:tcPr>
            <w:tcW w:w="1180" w:type="dxa"/>
            <w:tcBorders>
              <w:top w:val="nil"/>
              <w:left w:val="nil"/>
              <w:bottom w:val="single" w:sz="4" w:space="0" w:color="016794"/>
              <w:right w:val="nil"/>
              <w:tl2br w:val="nil"/>
              <w:tr2bl w:val="nil"/>
            </w:tcBorders>
            <w:tcMar>
              <w:left w:w="60" w:type="dxa"/>
              <w:right w:w="60" w:type="dxa"/>
            </w:tcMar>
            <w:vAlign w:val="center"/>
          </w:tcPr>
          <w:p w14:paraId="6BD19439" w14:textId="77777777" w:rsidR="00807FFE" w:rsidRDefault="00807FFE">
            <w:pPr>
              <w:pStyle w:val="DMETW36770BIPFINL"/>
              <w:jc w:val="center"/>
              <w:rPr>
                <w:rFonts w:ascii="Verdana" w:eastAsia="Verdana" w:hAnsi="Verdana" w:cs="Verdana"/>
                <w:noProof/>
                <w:color w:val="000000"/>
                <w:sz w:val="18"/>
              </w:rPr>
            </w:pPr>
          </w:p>
        </w:tc>
        <w:tc>
          <w:tcPr>
            <w:tcW w:w="1743" w:type="dxa"/>
            <w:tcBorders>
              <w:top w:val="nil"/>
              <w:left w:val="nil"/>
              <w:bottom w:val="single" w:sz="4" w:space="0" w:color="016794"/>
              <w:right w:val="nil"/>
              <w:tl2br w:val="nil"/>
              <w:tr2bl w:val="nil"/>
            </w:tcBorders>
            <w:tcMar>
              <w:left w:w="60" w:type="dxa"/>
              <w:right w:w="60" w:type="dxa"/>
            </w:tcMar>
            <w:vAlign w:val="center"/>
          </w:tcPr>
          <w:p w14:paraId="623036A2" w14:textId="77777777" w:rsidR="00807FFE" w:rsidRDefault="00023E71">
            <w:pPr>
              <w:pStyle w:val="DMETW36770BIPFINL"/>
              <w:jc w:val="right"/>
              <w:rPr>
                <w:rFonts w:ascii="Verdana" w:eastAsia="Verdana" w:hAnsi="Verdana" w:cs="Verdana"/>
                <w:b/>
                <w:noProof/>
                <w:color w:val="000000"/>
                <w:sz w:val="18"/>
              </w:rPr>
            </w:pPr>
            <w:r>
              <w:rPr>
                <w:rFonts w:ascii="Verdana" w:eastAsia="Verdana" w:hAnsi="Verdana" w:cs="Verdana"/>
                <w:b/>
                <w:noProof/>
                <w:color w:val="000000"/>
                <w:sz w:val="18"/>
              </w:rPr>
              <w:t>740 787</w:t>
            </w:r>
          </w:p>
        </w:tc>
        <w:tc>
          <w:tcPr>
            <w:tcW w:w="1530" w:type="dxa"/>
            <w:tcBorders>
              <w:top w:val="nil"/>
              <w:left w:val="nil"/>
              <w:bottom w:val="single" w:sz="4" w:space="0" w:color="016794"/>
              <w:right w:val="nil"/>
              <w:tl2br w:val="nil"/>
              <w:tr2bl w:val="nil"/>
            </w:tcBorders>
            <w:tcMar>
              <w:left w:w="60" w:type="dxa"/>
              <w:right w:w="60" w:type="dxa"/>
            </w:tcMar>
            <w:vAlign w:val="center"/>
          </w:tcPr>
          <w:p w14:paraId="6EACD338" w14:textId="77777777" w:rsidR="00807FFE" w:rsidRDefault="00023E71">
            <w:pPr>
              <w:pStyle w:val="DMETW36770BIPFINL"/>
              <w:jc w:val="right"/>
              <w:rPr>
                <w:rFonts w:ascii="Verdana" w:eastAsia="Verdana" w:hAnsi="Verdana" w:cs="Verdana"/>
                <w:b/>
                <w:noProof/>
                <w:color w:val="000000"/>
                <w:sz w:val="18"/>
              </w:rPr>
            </w:pPr>
            <w:r>
              <w:rPr>
                <w:rFonts w:ascii="Verdana" w:eastAsia="Verdana" w:hAnsi="Verdana" w:cs="Verdana"/>
                <w:b/>
                <w:noProof/>
                <w:color w:val="000000"/>
                <w:sz w:val="18"/>
              </w:rPr>
              <w:t>601 903</w:t>
            </w:r>
          </w:p>
        </w:tc>
      </w:tr>
    </w:tbl>
    <w:p w14:paraId="06AB48E4" w14:textId="77777777" w:rsidR="009B75C1" w:rsidRDefault="00023E71" w:rsidP="00172034">
      <w:pPr>
        <w:pStyle w:val="HEADER3NOTES"/>
        <w:numPr>
          <w:ilvl w:val="2"/>
          <w:numId w:val="15"/>
        </w:numPr>
        <w:rPr>
          <w:noProof/>
        </w:rPr>
      </w:pPr>
      <w:r w:rsidRPr="001578A7">
        <w:rPr>
          <w:noProof/>
        </w:rPr>
        <w:t xml:space="preserve">Financial liabilities at amortised cost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2"/>
        <w:gridCol w:w="1743"/>
        <w:gridCol w:w="1743"/>
        <w:gridCol w:w="1530"/>
      </w:tblGrid>
      <w:tr w:rsidR="00807FFE" w14:paraId="28693102" w14:textId="77777777">
        <w:trPr>
          <w:trHeight w:val="255"/>
        </w:trPr>
        <w:tc>
          <w:tcPr>
            <w:tcW w:w="4742" w:type="dxa"/>
            <w:tcBorders>
              <w:top w:val="nil"/>
              <w:left w:val="nil"/>
              <w:bottom w:val="nil"/>
              <w:right w:val="nil"/>
              <w:tl2br w:val="nil"/>
              <w:tr2bl w:val="nil"/>
            </w:tcBorders>
            <w:tcMar>
              <w:left w:w="60" w:type="dxa"/>
              <w:right w:w="60" w:type="dxa"/>
            </w:tcMar>
            <w:vAlign w:val="center"/>
          </w:tcPr>
          <w:p w14:paraId="741814B0" w14:textId="77777777" w:rsidR="00807FFE" w:rsidRDefault="00807FFE">
            <w:pPr>
              <w:pStyle w:val="DMETW36770BIPBORR"/>
              <w:rPr>
                <w:rFonts w:ascii="Verdana" w:eastAsia="Verdana" w:hAnsi="Verdana" w:cs="Verdana"/>
                <w:i/>
                <w:noProof/>
                <w:color w:val="FFFFFF"/>
                <w:sz w:val="18"/>
                <w:lang w:bidi="en-GB"/>
              </w:rPr>
            </w:pPr>
            <w:bookmarkStart w:id="161" w:name="DOC_TBL00057_1_1"/>
            <w:bookmarkEnd w:id="161"/>
          </w:p>
        </w:tc>
        <w:tc>
          <w:tcPr>
            <w:tcW w:w="1743" w:type="dxa"/>
            <w:tcBorders>
              <w:top w:val="nil"/>
              <w:left w:val="nil"/>
              <w:bottom w:val="nil"/>
              <w:right w:val="nil"/>
              <w:tl2br w:val="nil"/>
              <w:tr2bl w:val="nil"/>
            </w:tcBorders>
            <w:tcMar>
              <w:left w:w="60" w:type="dxa"/>
              <w:right w:w="60" w:type="dxa"/>
            </w:tcMar>
            <w:vAlign w:val="center"/>
          </w:tcPr>
          <w:p w14:paraId="5ADE972D" w14:textId="77777777" w:rsidR="00807FFE" w:rsidRDefault="00807FFE">
            <w:pPr>
              <w:pStyle w:val="DMETW36770BIPBORR"/>
              <w:rPr>
                <w:rFonts w:ascii="Verdana" w:eastAsia="Verdana" w:hAnsi="Verdana" w:cs="Verdana"/>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14:paraId="285A8146" w14:textId="77777777" w:rsidR="00807FFE" w:rsidRDefault="00807FFE">
            <w:pPr>
              <w:pStyle w:val="DMETW36770BIPBORR"/>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14:paraId="331E31CC" w14:textId="77777777" w:rsidR="00807FFE" w:rsidRDefault="00023E71">
            <w:pPr>
              <w:pStyle w:val="DMETW36770BIPBORR"/>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7A6A6DE2" w14:textId="77777777">
        <w:trPr>
          <w:trHeight w:val="255"/>
        </w:trPr>
        <w:tc>
          <w:tcPr>
            <w:tcW w:w="4742" w:type="dxa"/>
            <w:tcBorders>
              <w:top w:val="nil"/>
              <w:left w:val="nil"/>
              <w:bottom w:val="nil"/>
              <w:right w:val="nil"/>
              <w:tl2br w:val="nil"/>
              <w:tr2bl w:val="nil"/>
            </w:tcBorders>
            <w:shd w:val="solid" w:color="016794" w:fill="FFFFFF"/>
            <w:tcMar>
              <w:left w:w="60" w:type="dxa"/>
              <w:right w:w="60" w:type="dxa"/>
            </w:tcMar>
            <w:vAlign w:val="center"/>
          </w:tcPr>
          <w:p w14:paraId="6689E1A8" w14:textId="77777777" w:rsidR="00807FFE" w:rsidRDefault="00807FFE">
            <w:pPr>
              <w:pStyle w:val="DMETW36770BIPBORR"/>
              <w:rPr>
                <w:rFonts w:ascii="Verdana" w:eastAsia="Verdana" w:hAnsi="Verdana" w:cs="Verdana"/>
                <w:noProof/>
                <w:color w:val="FFFFFF"/>
                <w:sz w:val="18"/>
              </w:rPr>
            </w:pPr>
          </w:p>
        </w:tc>
        <w:tc>
          <w:tcPr>
            <w:tcW w:w="1743" w:type="dxa"/>
            <w:tcBorders>
              <w:top w:val="nil"/>
              <w:left w:val="nil"/>
              <w:bottom w:val="nil"/>
              <w:right w:val="nil"/>
              <w:tl2br w:val="nil"/>
              <w:tr2bl w:val="nil"/>
            </w:tcBorders>
            <w:shd w:val="solid" w:color="016794" w:fill="FFFFFF"/>
            <w:tcMar>
              <w:left w:w="60" w:type="dxa"/>
              <w:right w:w="60" w:type="dxa"/>
            </w:tcMar>
            <w:vAlign w:val="center"/>
          </w:tcPr>
          <w:p w14:paraId="52A2D241" w14:textId="77777777" w:rsidR="00807FFE" w:rsidRDefault="00023E71">
            <w:pPr>
              <w:pStyle w:val="DMETW36770BIPBORR"/>
              <w:jc w:val="center"/>
              <w:rPr>
                <w:rFonts w:ascii="Verdana" w:eastAsia="Verdana" w:hAnsi="Verdana" w:cs="Verdana"/>
                <w:noProof/>
                <w:color w:val="FFFFFF"/>
                <w:sz w:val="18"/>
              </w:rPr>
            </w:pPr>
            <w:r>
              <w:rPr>
                <w:rFonts w:ascii="Verdana" w:eastAsia="Verdana" w:hAnsi="Verdana" w:cs="Verdana"/>
                <w:noProof/>
                <w:color w:val="FFFFFF"/>
                <w:sz w:val="18"/>
              </w:rPr>
              <w:t>Note</w:t>
            </w:r>
          </w:p>
        </w:tc>
        <w:tc>
          <w:tcPr>
            <w:tcW w:w="1743" w:type="dxa"/>
            <w:tcBorders>
              <w:top w:val="nil"/>
              <w:left w:val="nil"/>
              <w:bottom w:val="nil"/>
              <w:right w:val="nil"/>
              <w:tl2br w:val="nil"/>
              <w:tr2bl w:val="nil"/>
            </w:tcBorders>
            <w:shd w:val="solid" w:color="016794" w:fill="FFFFFF"/>
            <w:tcMar>
              <w:left w:w="60" w:type="dxa"/>
              <w:right w:w="60" w:type="dxa"/>
            </w:tcMar>
            <w:vAlign w:val="center"/>
          </w:tcPr>
          <w:p w14:paraId="4B68FADA" w14:textId="77777777" w:rsidR="00807FFE" w:rsidRDefault="00023E71">
            <w:pPr>
              <w:pStyle w:val="DMETW36770BIPBORR"/>
              <w:jc w:val="right"/>
              <w:rPr>
                <w:rFonts w:ascii="Verdana" w:eastAsia="Verdana" w:hAnsi="Verdana" w:cs="Verdana"/>
                <w:noProof/>
                <w:color w:val="FFFFFF"/>
                <w:sz w:val="18"/>
              </w:rPr>
            </w:pPr>
            <w:r>
              <w:rPr>
                <w:rFonts w:ascii="Verdana" w:eastAsia="Verdana" w:hAnsi="Verdana" w:cs="Verdana"/>
                <w:noProof/>
                <w:color w:val="FFFFFF"/>
                <w:sz w:val="18"/>
              </w:rPr>
              <w:t>31.12.2025</w:t>
            </w:r>
          </w:p>
        </w:tc>
        <w:tc>
          <w:tcPr>
            <w:tcW w:w="1530" w:type="dxa"/>
            <w:tcBorders>
              <w:top w:val="nil"/>
              <w:left w:val="nil"/>
              <w:bottom w:val="nil"/>
              <w:right w:val="nil"/>
              <w:tl2br w:val="nil"/>
              <w:tr2bl w:val="nil"/>
            </w:tcBorders>
            <w:shd w:val="solid" w:color="016794" w:fill="FFFFFF"/>
            <w:tcMar>
              <w:left w:w="60" w:type="dxa"/>
              <w:right w:w="60" w:type="dxa"/>
            </w:tcMar>
            <w:vAlign w:val="center"/>
          </w:tcPr>
          <w:p w14:paraId="156C64F9" w14:textId="77777777" w:rsidR="00807FFE" w:rsidRDefault="00023E71">
            <w:pPr>
              <w:pStyle w:val="DMETW36770BIPBORR"/>
              <w:jc w:val="right"/>
              <w:rPr>
                <w:rFonts w:ascii="Verdana" w:eastAsia="Verdana" w:hAnsi="Verdana" w:cs="Verdana"/>
                <w:noProof/>
                <w:color w:val="FFFFFF"/>
                <w:sz w:val="18"/>
                <w:lang w:bidi="en-GB"/>
              </w:rPr>
            </w:pPr>
            <w:r>
              <w:rPr>
                <w:rFonts w:ascii="Verdana" w:eastAsia="Verdana" w:hAnsi="Verdana" w:cs="Verdana"/>
                <w:noProof/>
                <w:color w:val="FFFFFF"/>
                <w:sz w:val="18"/>
              </w:rPr>
              <w:t>31.12.2024</w:t>
            </w:r>
          </w:p>
        </w:tc>
      </w:tr>
      <w:tr w:rsidR="00807FFE" w14:paraId="1E3184CD" w14:textId="77777777">
        <w:trPr>
          <w:trHeight w:val="255"/>
        </w:trPr>
        <w:tc>
          <w:tcPr>
            <w:tcW w:w="4742" w:type="dxa"/>
            <w:tcBorders>
              <w:top w:val="nil"/>
              <w:left w:val="nil"/>
              <w:bottom w:val="nil"/>
              <w:right w:val="nil"/>
              <w:tl2br w:val="nil"/>
              <w:tr2bl w:val="nil"/>
            </w:tcBorders>
            <w:tcMar>
              <w:left w:w="60" w:type="dxa"/>
              <w:right w:w="60" w:type="dxa"/>
            </w:tcMar>
            <w:vAlign w:val="center"/>
          </w:tcPr>
          <w:p w14:paraId="6006779A" w14:textId="77777777" w:rsidR="00807FFE" w:rsidRDefault="00023E71">
            <w:pPr>
              <w:pStyle w:val="DMETW36770BIPBORR"/>
              <w:rPr>
                <w:rFonts w:ascii="Verdana" w:eastAsia="Verdana" w:hAnsi="Verdana" w:cs="Verdana"/>
                <w:i/>
                <w:noProof/>
                <w:color w:val="000000"/>
                <w:sz w:val="18"/>
              </w:rPr>
            </w:pPr>
            <w:r>
              <w:rPr>
                <w:rFonts w:ascii="Verdana" w:eastAsia="Verdana" w:hAnsi="Verdana" w:cs="Verdana"/>
                <w:i/>
                <w:noProof/>
                <w:color w:val="000000"/>
                <w:sz w:val="18"/>
              </w:rPr>
              <w:t xml:space="preserve">Borrowings </w:t>
            </w:r>
          </w:p>
        </w:tc>
        <w:tc>
          <w:tcPr>
            <w:tcW w:w="1743" w:type="dxa"/>
            <w:tcBorders>
              <w:top w:val="nil"/>
              <w:left w:val="nil"/>
              <w:bottom w:val="nil"/>
              <w:right w:val="nil"/>
              <w:tl2br w:val="nil"/>
              <w:tr2bl w:val="nil"/>
            </w:tcBorders>
            <w:tcMar>
              <w:left w:w="60" w:type="dxa"/>
              <w:right w:w="60" w:type="dxa"/>
            </w:tcMar>
            <w:vAlign w:val="center"/>
          </w:tcPr>
          <w:p w14:paraId="73273C90" w14:textId="77777777" w:rsidR="00807FFE" w:rsidRDefault="00023E71">
            <w:pPr>
              <w:pStyle w:val="DMETW36770BIPBORR"/>
              <w:jc w:val="center"/>
              <w:rPr>
                <w:rFonts w:ascii="Verdana" w:eastAsia="Verdana" w:hAnsi="Verdana" w:cs="Verdana"/>
                <w:i/>
                <w:noProof/>
                <w:color w:val="000000"/>
                <w:sz w:val="18"/>
              </w:rPr>
            </w:pPr>
            <w:r>
              <w:rPr>
                <w:rFonts w:ascii="Verdana" w:eastAsia="Verdana" w:hAnsi="Verdana" w:cs="Verdana"/>
                <w:i/>
                <w:noProof/>
                <w:color w:val="000000"/>
                <w:sz w:val="18"/>
              </w:rPr>
              <w:t>2.11.1.1</w:t>
            </w:r>
          </w:p>
        </w:tc>
        <w:tc>
          <w:tcPr>
            <w:tcW w:w="1743" w:type="dxa"/>
            <w:tcBorders>
              <w:top w:val="nil"/>
              <w:left w:val="nil"/>
              <w:bottom w:val="nil"/>
              <w:right w:val="nil"/>
              <w:tl2br w:val="nil"/>
              <w:tr2bl w:val="nil"/>
            </w:tcBorders>
            <w:tcMar>
              <w:left w:w="60" w:type="dxa"/>
              <w:right w:w="60" w:type="dxa"/>
            </w:tcMar>
            <w:vAlign w:val="center"/>
          </w:tcPr>
          <w:p w14:paraId="434B568D" w14:textId="77777777" w:rsidR="00807FFE" w:rsidRDefault="00023E71">
            <w:pPr>
              <w:pStyle w:val="DMETW36770BIPBORR"/>
              <w:jc w:val="right"/>
              <w:rPr>
                <w:rFonts w:ascii="Verdana" w:eastAsia="Verdana" w:hAnsi="Verdana" w:cs="Verdana"/>
                <w:i/>
                <w:noProof/>
                <w:color w:val="000000"/>
                <w:sz w:val="18"/>
              </w:rPr>
            </w:pPr>
            <w:r>
              <w:rPr>
                <w:rFonts w:ascii="Verdana" w:eastAsia="Verdana" w:hAnsi="Verdana" w:cs="Verdana"/>
                <w:i/>
                <w:noProof/>
                <w:color w:val="000000"/>
                <w:sz w:val="18"/>
              </w:rPr>
              <w:t>731 224</w:t>
            </w:r>
          </w:p>
        </w:tc>
        <w:tc>
          <w:tcPr>
            <w:tcW w:w="1530" w:type="dxa"/>
            <w:tcBorders>
              <w:top w:val="nil"/>
              <w:left w:val="nil"/>
              <w:bottom w:val="nil"/>
              <w:right w:val="nil"/>
              <w:tl2br w:val="nil"/>
              <w:tr2bl w:val="nil"/>
            </w:tcBorders>
            <w:tcMar>
              <w:left w:w="60" w:type="dxa"/>
              <w:right w:w="60" w:type="dxa"/>
            </w:tcMar>
            <w:vAlign w:val="center"/>
          </w:tcPr>
          <w:p w14:paraId="3C442AFA" w14:textId="77777777" w:rsidR="00807FFE" w:rsidRDefault="00023E71">
            <w:pPr>
              <w:pStyle w:val="DMETW36770BIPBORR"/>
              <w:jc w:val="right"/>
              <w:rPr>
                <w:rFonts w:ascii="Verdana" w:eastAsia="Verdana" w:hAnsi="Verdana" w:cs="Verdana"/>
                <w:i/>
                <w:noProof/>
                <w:color w:val="000000"/>
                <w:sz w:val="18"/>
                <w:lang w:bidi="en-GB"/>
              </w:rPr>
            </w:pPr>
            <w:r>
              <w:rPr>
                <w:rFonts w:ascii="Verdana" w:eastAsia="Verdana" w:hAnsi="Verdana" w:cs="Verdana"/>
                <w:i/>
                <w:noProof/>
                <w:color w:val="000000"/>
                <w:sz w:val="18"/>
              </w:rPr>
              <w:t>594 028</w:t>
            </w:r>
          </w:p>
        </w:tc>
      </w:tr>
      <w:tr w:rsidR="00807FFE" w14:paraId="7EEC7DC4" w14:textId="77777777">
        <w:trPr>
          <w:trHeight w:val="255"/>
        </w:trPr>
        <w:tc>
          <w:tcPr>
            <w:tcW w:w="4742" w:type="dxa"/>
            <w:tcBorders>
              <w:top w:val="nil"/>
              <w:left w:val="nil"/>
              <w:bottom w:val="single" w:sz="4" w:space="0" w:color="016794"/>
              <w:right w:val="nil"/>
              <w:tl2br w:val="nil"/>
              <w:tr2bl w:val="nil"/>
            </w:tcBorders>
            <w:tcMar>
              <w:left w:w="60" w:type="dxa"/>
              <w:right w:w="60" w:type="dxa"/>
            </w:tcMar>
            <w:vAlign w:val="center"/>
          </w:tcPr>
          <w:p w14:paraId="6CC066FD" w14:textId="77777777" w:rsidR="00807FFE" w:rsidRDefault="00023E71">
            <w:pPr>
              <w:pStyle w:val="DMETW36770BIPBORR"/>
              <w:rPr>
                <w:rFonts w:ascii="Verdana" w:eastAsia="Verdana" w:hAnsi="Verdana" w:cs="Verdana"/>
                <w:i/>
                <w:noProof/>
                <w:color w:val="000000"/>
                <w:sz w:val="18"/>
              </w:rPr>
            </w:pPr>
            <w:r>
              <w:rPr>
                <w:rFonts w:ascii="Verdana" w:eastAsia="Verdana" w:hAnsi="Verdana" w:cs="Verdana"/>
                <w:i/>
                <w:noProof/>
                <w:color w:val="000000"/>
                <w:sz w:val="18"/>
              </w:rPr>
              <w:t>Other financial liabilities</w:t>
            </w:r>
          </w:p>
        </w:tc>
        <w:tc>
          <w:tcPr>
            <w:tcW w:w="1743" w:type="dxa"/>
            <w:tcBorders>
              <w:top w:val="nil"/>
              <w:left w:val="nil"/>
              <w:bottom w:val="single" w:sz="4" w:space="0" w:color="016794"/>
              <w:right w:val="nil"/>
              <w:tl2br w:val="nil"/>
              <w:tr2bl w:val="nil"/>
            </w:tcBorders>
            <w:tcMar>
              <w:left w:w="60" w:type="dxa"/>
              <w:right w:w="60" w:type="dxa"/>
            </w:tcMar>
            <w:vAlign w:val="center"/>
          </w:tcPr>
          <w:p w14:paraId="2C3BF2CB" w14:textId="77777777" w:rsidR="00807FFE" w:rsidRDefault="00023E71">
            <w:pPr>
              <w:pStyle w:val="DMETW36770BIPBORR"/>
              <w:jc w:val="center"/>
              <w:rPr>
                <w:rFonts w:ascii="Verdana" w:eastAsia="Verdana" w:hAnsi="Verdana" w:cs="Verdana"/>
                <w:i/>
                <w:noProof/>
                <w:color w:val="000000"/>
                <w:sz w:val="18"/>
              </w:rPr>
            </w:pPr>
            <w:r>
              <w:rPr>
                <w:rFonts w:ascii="Verdana" w:eastAsia="Verdana" w:hAnsi="Verdana" w:cs="Verdana"/>
                <w:i/>
                <w:noProof/>
                <w:color w:val="000000"/>
                <w:sz w:val="18"/>
              </w:rPr>
              <w:t>2.11.1.2</w:t>
            </w:r>
          </w:p>
        </w:tc>
        <w:tc>
          <w:tcPr>
            <w:tcW w:w="1743" w:type="dxa"/>
            <w:tcBorders>
              <w:top w:val="nil"/>
              <w:left w:val="nil"/>
              <w:bottom w:val="single" w:sz="4" w:space="0" w:color="016794"/>
              <w:right w:val="nil"/>
              <w:tl2br w:val="nil"/>
              <w:tr2bl w:val="nil"/>
            </w:tcBorders>
            <w:tcMar>
              <w:left w:w="60" w:type="dxa"/>
              <w:right w:w="60" w:type="dxa"/>
            </w:tcMar>
            <w:vAlign w:val="center"/>
          </w:tcPr>
          <w:p w14:paraId="12DE2B64" w14:textId="77777777" w:rsidR="00807FFE" w:rsidRDefault="00023E71">
            <w:pPr>
              <w:pStyle w:val="DMETW36770BIPBORR"/>
              <w:jc w:val="right"/>
              <w:rPr>
                <w:rFonts w:ascii="Verdana" w:eastAsia="Verdana" w:hAnsi="Verdana" w:cs="Verdana"/>
                <w:i/>
                <w:noProof/>
                <w:color w:val="000000"/>
                <w:sz w:val="18"/>
              </w:rPr>
            </w:pPr>
            <w:r>
              <w:rPr>
                <w:rFonts w:ascii="Verdana" w:eastAsia="Verdana" w:hAnsi="Verdana" w:cs="Verdana"/>
                <w:i/>
                <w:noProof/>
                <w:color w:val="000000"/>
                <w:sz w:val="18"/>
              </w:rPr>
              <w:t>1 773</w:t>
            </w:r>
          </w:p>
        </w:tc>
        <w:tc>
          <w:tcPr>
            <w:tcW w:w="1530" w:type="dxa"/>
            <w:tcBorders>
              <w:top w:val="nil"/>
              <w:left w:val="nil"/>
              <w:bottom w:val="single" w:sz="4" w:space="0" w:color="016794"/>
              <w:right w:val="nil"/>
              <w:tl2br w:val="nil"/>
              <w:tr2bl w:val="nil"/>
            </w:tcBorders>
            <w:tcMar>
              <w:left w:w="60" w:type="dxa"/>
              <w:right w:w="60" w:type="dxa"/>
            </w:tcMar>
            <w:vAlign w:val="center"/>
          </w:tcPr>
          <w:p w14:paraId="70336667" w14:textId="77777777" w:rsidR="00807FFE" w:rsidRDefault="00023E71">
            <w:pPr>
              <w:pStyle w:val="DMETW36770BIPBORR"/>
              <w:jc w:val="right"/>
              <w:rPr>
                <w:rFonts w:ascii="Verdana" w:eastAsia="Verdana" w:hAnsi="Verdana" w:cs="Verdana"/>
                <w:i/>
                <w:noProof/>
                <w:color w:val="000000"/>
                <w:sz w:val="18"/>
                <w:lang w:bidi="en-GB"/>
              </w:rPr>
            </w:pPr>
            <w:r>
              <w:rPr>
                <w:rFonts w:ascii="Verdana" w:eastAsia="Verdana" w:hAnsi="Verdana" w:cs="Verdana"/>
                <w:i/>
                <w:noProof/>
                <w:color w:val="000000"/>
                <w:sz w:val="18"/>
              </w:rPr>
              <w:t>1 398</w:t>
            </w:r>
          </w:p>
        </w:tc>
      </w:tr>
      <w:tr w:rsidR="00807FFE" w14:paraId="6658B296" w14:textId="77777777">
        <w:trPr>
          <w:trHeight w:val="255"/>
        </w:trPr>
        <w:tc>
          <w:tcPr>
            <w:tcW w:w="4742" w:type="dxa"/>
            <w:tcBorders>
              <w:top w:val="single" w:sz="4" w:space="0" w:color="016794"/>
              <w:left w:val="nil"/>
              <w:bottom w:val="single" w:sz="4" w:space="0" w:color="016794"/>
              <w:right w:val="nil"/>
              <w:tl2br w:val="nil"/>
              <w:tr2bl w:val="nil"/>
            </w:tcBorders>
            <w:tcMar>
              <w:left w:w="60" w:type="dxa"/>
              <w:right w:w="60" w:type="dxa"/>
            </w:tcMar>
            <w:vAlign w:val="center"/>
          </w:tcPr>
          <w:p w14:paraId="51A1CE40" w14:textId="77777777" w:rsidR="00807FFE" w:rsidRDefault="00023E71">
            <w:pPr>
              <w:pStyle w:val="DMETW36770BIPBORR"/>
              <w:rPr>
                <w:rFonts w:ascii="Verdana" w:eastAsia="Verdana" w:hAnsi="Verdana" w:cs="Verdana"/>
                <w:b/>
                <w:noProof/>
                <w:color w:val="000000"/>
                <w:sz w:val="18"/>
              </w:rPr>
            </w:pPr>
            <w:r>
              <w:rPr>
                <w:rFonts w:ascii="Verdana" w:eastAsia="Verdana" w:hAnsi="Verdana" w:cs="Verdana"/>
                <w:b/>
                <w:noProof/>
                <w:color w:val="000000"/>
                <w:sz w:val="18"/>
              </w:rPr>
              <w:t>Total</w:t>
            </w:r>
          </w:p>
        </w:tc>
        <w:tc>
          <w:tcPr>
            <w:tcW w:w="1743" w:type="dxa"/>
            <w:tcBorders>
              <w:top w:val="single" w:sz="4" w:space="0" w:color="016794"/>
              <w:left w:val="nil"/>
              <w:bottom w:val="single" w:sz="4" w:space="0" w:color="016794"/>
              <w:right w:val="nil"/>
              <w:tl2br w:val="nil"/>
              <w:tr2bl w:val="nil"/>
            </w:tcBorders>
            <w:tcMar>
              <w:left w:w="60" w:type="dxa"/>
              <w:right w:w="60" w:type="dxa"/>
            </w:tcMar>
            <w:vAlign w:val="center"/>
          </w:tcPr>
          <w:p w14:paraId="47724571" w14:textId="77777777" w:rsidR="00807FFE" w:rsidRDefault="00807FFE">
            <w:pPr>
              <w:pStyle w:val="DMETW36770BIPBORR"/>
              <w:jc w:val="center"/>
              <w:rPr>
                <w:rFonts w:ascii="Verdana" w:eastAsia="Verdana" w:hAnsi="Verdana" w:cs="Verdana"/>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center"/>
          </w:tcPr>
          <w:p w14:paraId="05DED1E0" w14:textId="77777777" w:rsidR="00807FFE" w:rsidRDefault="00023E71">
            <w:pPr>
              <w:pStyle w:val="DMETW36770BIPBORR"/>
              <w:jc w:val="right"/>
              <w:rPr>
                <w:rFonts w:ascii="Verdana" w:eastAsia="Verdana" w:hAnsi="Verdana" w:cs="Verdana"/>
                <w:b/>
                <w:noProof/>
                <w:color w:val="000000"/>
                <w:sz w:val="18"/>
              </w:rPr>
            </w:pPr>
            <w:r>
              <w:rPr>
                <w:rFonts w:ascii="Verdana" w:eastAsia="Verdana" w:hAnsi="Verdana" w:cs="Verdana"/>
                <w:b/>
                <w:noProof/>
                <w:color w:val="000000"/>
                <w:sz w:val="18"/>
              </w:rPr>
              <w:t>732 997</w:t>
            </w:r>
          </w:p>
        </w:tc>
        <w:tc>
          <w:tcPr>
            <w:tcW w:w="1530" w:type="dxa"/>
            <w:tcBorders>
              <w:top w:val="single" w:sz="4" w:space="0" w:color="016794"/>
              <w:left w:val="nil"/>
              <w:bottom w:val="single" w:sz="4" w:space="0" w:color="016794"/>
              <w:right w:val="nil"/>
              <w:tl2br w:val="nil"/>
              <w:tr2bl w:val="nil"/>
            </w:tcBorders>
            <w:tcMar>
              <w:left w:w="60" w:type="dxa"/>
              <w:right w:w="60" w:type="dxa"/>
            </w:tcMar>
            <w:vAlign w:val="center"/>
          </w:tcPr>
          <w:p w14:paraId="50263F56" w14:textId="77777777" w:rsidR="00807FFE" w:rsidRDefault="00023E71">
            <w:pPr>
              <w:pStyle w:val="DMETW36770BIPBORR"/>
              <w:jc w:val="right"/>
              <w:rPr>
                <w:rFonts w:ascii="Verdana" w:eastAsia="Verdana" w:hAnsi="Verdana" w:cs="Verdana"/>
                <w:b/>
                <w:noProof/>
                <w:color w:val="000000"/>
                <w:sz w:val="18"/>
                <w:lang w:bidi="en-GB"/>
              </w:rPr>
            </w:pPr>
            <w:r>
              <w:rPr>
                <w:rFonts w:ascii="Verdana" w:eastAsia="Verdana" w:hAnsi="Verdana" w:cs="Verdana"/>
                <w:b/>
                <w:noProof/>
                <w:color w:val="000000"/>
                <w:sz w:val="18"/>
              </w:rPr>
              <w:t>595 426</w:t>
            </w:r>
          </w:p>
        </w:tc>
      </w:tr>
      <w:tr w:rsidR="00807FFE" w14:paraId="30E82257" w14:textId="77777777">
        <w:trPr>
          <w:trHeight w:val="255"/>
        </w:trPr>
        <w:tc>
          <w:tcPr>
            <w:tcW w:w="4742" w:type="dxa"/>
            <w:tcBorders>
              <w:top w:val="single" w:sz="4" w:space="0" w:color="016794"/>
              <w:left w:val="nil"/>
              <w:bottom w:val="nil"/>
              <w:right w:val="nil"/>
              <w:tl2br w:val="nil"/>
              <w:tr2bl w:val="nil"/>
            </w:tcBorders>
            <w:tcMar>
              <w:left w:w="60" w:type="dxa"/>
              <w:right w:w="60" w:type="dxa"/>
            </w:tcMar>
            <w:vAlign w:val="center"/>
          </w:tcPr>
          <w:p w14:paraId="73C8175B" w14:textId="77777777" w:rsidR="00807FFE" w:rsidRDefault="00023E71">
            <w:pPr>
              <w:pStyle w:val="DMETW36770BIPBORR"/>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743" w:type="dxa"/>
            <w:tcBorders>
              <w:top w:val="single" w:sz="4" w:space="0" w:color="016794"/>
              <w:left w:val="nil"/>
              <w:bottom w:val="nil"/>
              <w:right w:val="nil"/>
              <w:tl2br w:val="nil"/>
              <w:tr2bl w:val="nil"/>
            </w:tcBorders>
            <w:tcMar>
              <w:left w:w="60" w:type="dxa"/>
              <w:right w:w="60" w:type="dxa"/>
            </w:tcMar>
            <w:vAlign w:val="center"/>
          </w:tcPr>
          <w:p w14:paraId="5E34E95B" w14:textId="77777777" w:rsidR="00807FFE" w:rsidRDefault="00807FFE">
            <w:pPr>
              <w:pStyle w:val="DMETW36770BIPBORR"/>
              <w:jc w:val="center"/>
              <w:rPr>
                <w:rFonts w:ascii="Verdana" w:eastAsia="Verdana" w:hAnsi="Verdana" w:cs="Verdana"/>
                <w:i/>
                <w:noProof/>
                <w:color w:val="016794"/>
                <w:sz w:val="18"/>
              </w:rPr>
            </w:pPr>
          </w:p>
        </w:tc>
        <w:tc>
          <w:tcPr>
            <w:tcW w:w="1743" w:type="dxa"/>
            <w:tcBorders>
              <w:top w:val="single" w:sz="4" w:space="0" w:color="016794"/>
              <w:left w:val="nil"/>
              <w:bottom w:val="nil"/>
              <w:right w:val="nil"/>
              <w:tl2br w:val="nil"/>
              <w:tr2bl w:val="nil"/>
            </w:tcBorders>
            <w:tcMar>
              <w:left w:w="60" w:type="dxa"/>
              <w:right w:w="60" w:type="dxa"/>
            </w:tcMar>
            <w:vAlign w:val="center"/>
          </w:tcPr>
          <w:p w14:paraId="2EE92618" w14:textId="77777777" w:rsidR="00807FFE" w:rsidRDefault="00023E71">
            <w:pPr>
              <w:pStyle w:val="DMETW36770BIPBORR"/>
              <w:jc w:val="right"/>
              <w:rPr>
                <w:rFonts w:ascii="Verdana" w:eastAsia="Verdana" w:hAnsi="Verdana" w:cs="Verdana"/>
                <w:i/>
                <w:noProof/>
                <w:color w:val="016794"/>
                <w:sz w:val="18"/>
              </w:rPr>
            </w:pPr>
            <w:r>
              <w:rPr>
                <w:rFonts w:ascii="Verdana" w:eastAsia="Verdana" w:hAnsi="Verdana" w:cs="Verdana"/>
                <w:i/>
                <w:noProof/>
                <w:color w:val="016794"/>
                <w:sz w:val="18"/>
              </w:rPr>
              <w:t>643 928</w:t>
            </w:r>
          </w:p>
        </w:tc>
        <w:tc>
          <w:tcPr>
            <w:tcW w:w="1530" w:type="dxa"/>
            <w:tcBorders>
              <w:top w:val="single" w:sz="4" w:space="0" w:color="016794"/>
              <w:left w:val="nil"/>
              <w:bottom w:val="nil"/>
              <w:right w:val="nil"/>
              <w:tl2br w:val="nil"/>
              <w:tr2bl w:val="nil"/>
            </w:tcBorders>
            <w:tcMar>
              <w:left w:w="60" w:type="dxa"/>
              <w:right w:w="60" w:type="dxa"/>
            </w:tcMar>
            <w:vAlign w:val="center"/>
          </w:tcPr>
          <w:p w14:paraId="41673EFC" w14:textId="77777777" w:rsidR="00807FFE" w:rsidRDefault="00023E71">
            <w:pPr>
              <w:pStyle w:val="DMETW36770BIPBORR"/>
              <w:jc w:val="right"/>
              <w:rPr>
                <w:rFonts w:ascii="Verdana" w:eastAsia="Verdana" w:hAnsi="Verdana" w:cs="Verdana"/>
                <w:i/>
                <w:noProof/>
                <w:color w:val="016794"/>
                <w:sz w:val="18"/>
                <w:lang w:bidi="en-GB"/>
              </w:rPr>
            </w:pPr>
            <w:r>
              <w:rPr>
                <w:rFonts w:ascii="Verdana" w:eastAsia="Verdana" w:hAnsi="Verdana" w:cs="Verdana"/>
                <w:i/>
                <w:noProof/>
                <w:color w:val="016794"/>
                <w:sz w:val="18"/>
              </w:rPr>
              <w:t>539 522</w:t>
            </w:r>
          </w:p>
        </w:tc>
      </w:tr>
      <w:tr w:rsidR="00807FFE" w14:paraId="58F982B5" w14:textId="77777777">
        <w:trPr>
          <w:trHeight w:val="255"/>
        </w:trPr>
        <w:tc>
          <w:tcPr>
            <w:tcW w:w="4742" w:type="dxa"/>
            <w:tcBorders>
              <w:top w:val="nil"/>
              <w:left w:val="nil"/>
              <w:bottom w:val="nil"/>
              <w:right w:val="nil"/>
              <w:tl2br w:val="nil"/>
              <w:tr2bl w:val="nil"/>
            </w:tcBorders>
            <w:tcMar>
              <w:left w:w="60" w:type="dxa"/>
              <w:right w:w="60" w:type="dxa"/>
            </w:tcMar>
            <w:vAlign w:val="center"/>
          </w:tcPr>
          <w:p w14:paraId="547A2072" w14:textId="77777777" w:rsidR="00807FFE" w:rsidRDefault="00023E71">
            <w:pPr>
              <w:pStyle w:val="DMETW36770BIPBORR"/>
              <w:rPr>
                <w:rFonts w:ascii="Verdana" w:eastAsia="Verdana" w:hAnsi="Verdana" w:cs="Verdana"/>
                <w:i/>
                <w:noProof/>
                <w:color w:val="016794"/>
                <w:sz w:val="18"/>
              </w:rPr>
            </w:pPr>
            <w:r>
              <w:rPr>
                <w:rFonts w:ascii="Verdana" w:eastAsia="Verdana" w:hAnsi="Verdana" w:cs="Verdana"/>
                <w:i/>
                <w:noProof/>
                <w:color w:val="016794"/>
                <w:sz w:val="18"/>
              </w:rPr>
              <w:t>Current</w:t>
            </w:r>
          </w:p>
        </w:tc>
        <w:tc>
          <w:tcPr>
            <w:tcW w:w="1743" w:type="dxa"/>
            <w:tcBorders>
              <w:top w:val="nil"/>
              <w:left w:val="nil"/>
              <w:bottom w:val="nil"/>
              <w:right w:val="nil"/>
              <w:tl2br w:val="nil"/>
              <w:tr2bl w:val="nil"/>
            </w:tcBorders>
            <w:tcMar>
              <w:left w:w="60" w:type="dxa"/>
              <w:right w:w="60" w:type="dxa"/>
            </w:tcMar>
            <w:vAlign w:val="center"/>
          </w:tcPr>
          <w:p w14:paraId="6C3BA222" w14:textId="77777777" w:rsidR="00807FFE" w:rsidRDefault="00807FFE">
            <w:pPr>
              <w:pStyle w:val="DMETW36770BIPBORR"/>
              <w:jc w:val="center"/>
              <w:rPr>
                <w:rFonts w:ascii="Verdana" w:eastAsia="Verdana" w:hAnsi="Verdana" w:cs="Verdana"/>
                <w:i/>
                <w:noProof/>
                <w:color w:val="016794"/>
                <w:sz w:val="18"/>
              </w:rPr>
            </w:pPr>
          </w:p>
        </w:tc>
        <w:tc>
          <w:tcPr>
            <w:tcW w:w="1743" w:type="dxa"/>
            <w:tcBorders>
              <w:top w:val="nil"/>
              <w:left w:val="nil"/>
              <w:bottom w:val="nil"/>
              <w:right w:val="nil"/>
              <w:tl2br w:val="nil"/>
              <w:tr2bl w:val="nil"/>
            </w:tcBorders>
            <w:tcMar>
              <w:left w:w="60" w:type="dxa"/>
              <w:right w:w="60" w:type="dxa"/>
            </w:tcMar>
            <w:vAlign w:val="center"/>
          </w:tcPr>
          <w:p w14:paraId="46C7E1B2" w14:textId="77777777" w:rsidR="00807FFE" w:rsidRDefault="00023E71">
            <w:pPr>
              <w:pStyle w:val="DMETW36770BIPBORR"/>
              <w:jc w:val="right"/>
              <w:rPr>
                <w:rFonts w:ascii="Verdana" w:eastAsia="Verdana" w:hAnsi="Verdana" w:cs="Verdana"/>
                <w:i/>
                <w:noProof/>
                <w:color w:val="016794"/>
                <w:sz w:val="18"/>
              </w:rPr>
            </w:pPr>
            <w:r>
              <w:rPr>
                <w:rFonts w:ascii="Verdana" w:eastAsia="Verdana" w:hAnsi="Verdana" w:cs="Verdana"/>
                <w:i/>
                <w:noProof/>
                <w:color w:val="016794"/>
                <w:sz w:val="18"/>
              </w:rPr>
              <w:t>89 069</w:t>
            </w:r>
          </w:p>
        </w:tc>
        <w:tc>
          <w:tcPr>
            <w:tcW w:w="1530" w:type="dxa"/>
            <w:tcBorders>
              <w:top w:val="nil"/>
              <w:left w:val="nil"/>
              <w:bottom w:val="nil"/>
              <w:right w:val="nil"/>
              <w:tl2br w:val="nil"/>
              <w:tr2bl w:val="nil"/>
            </w:tcBorders>
            <w:tcMar>
              <w:left w:w="60" w:type="dxa"/>
              <w:right w:w="60" w:type="dxa"/>
            </w:tcMar>
            <w:vAlign w:val="center"/>
          </w:tcPr>
          <w:p w14:paraId="7D2A4081" w14:textId="77777777" w:rsidR="00807FFE" w:rsidRDefault="00023E71">
            <w:pPr>
              <w:pStyle w:val="DMETW36770BIPBORR"/>
              <w:jc w:val="right"/>
              <w:rPr>
                <w:rFonts w:ascii="Verdana" w:eastAsia="Verdana" w:hAnsi="Verdana" w:cs="Verdana"/>
                <w:i/>
                <w:noProof/>
                <w:color w:val="016794"/>
                <w:sz w:val="18"/>
              </w:rPr>
            </w:pPr>
            <w:r>
              <w:rPr>
                <w:rFonts w:ascii="Verdana" w:eastAsia="Verdana" w:hAnsi="Verdana" w:cs="Verdana"/>
                <w:i/>
                <w:noProof/>
                <w:color w:val="016794"/>
                <w:sz w:val="18"/>
              </w:rPr>
              <w:t>55 904</w:t>
            </w:r>
          </w:p>
        </w:tc>
      </w:tr>
    </w:tbl>
    <w:p w14:paraId="77183EAE" w14:textId="77777777" w:rsidR="00FA7118" w:rsidRDefault="00023E71" w:rsidP="00172034">
      <w:pPr>
        <w:pStyle w:val="HEADER4NOTES"/>
        <w:numPr>
          <w:ilvl w:val="3"/>
          <w:numId w:val="15"/>
        </w:numPr>
        <w:rPr>
          <w:noProof/>
        </w:rPr>
      </w:pPr>
      <w:r w:rsidRPr="00FF0A71">
        <w:rPr>
          <w:noProof/>
        </w:rPr>
        <w:t xml:space="preserve">Borrowings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1227"/>
        <w:gridCol w:w="992"/>
        <w:gridCol w:w="1134"/>
        <w:gridCol w:w="851"/>
        <w:gridCol w:w="850"/>
        <w:gridCol w:w="992"/>
        <w:gridCol w:w="1193"/>
      </w:tblGrid>
      <w:tr w:rsidR="00807FFE" w14:paraId="09C6592B" w14:textId="77777777">
        <w:trPr>
          <w:trHeight w:val="255"/>
        </w:trPr>
        <w:tc>
          <w:tcPr>
            <w:tcW w:w="2519" w:type="dxa"/>
            <w:tcBorders>
              <w:top w:val="nil"/>
              <w:left w:val="nil"/>
              <w:bottom w:val="nil"/>
              <w:right w:val="nil"/>
              <w:tl2br w:val="nil"/>
              <w:tr2bl w:val="nil"/>
            </w:tcBorders>
            <w:tcMar>
              <w:left w:w="60" w:type="dxa"/>
              <w:right w:w="60" w:type="dxa"/>
            </w:tcMar>
            <w:vAlign w:val="bottom"/>
          </w:tcPr>
          <w:p w14:paraId="78298CBF" w14:textId="77777777" w:rsidR="00807FFE" w:rsidRDefault="00807FFE">
            <w:pPr>
              <w:pStyle w:val="DMETW36633BIPLGFBF"/>
              <w:rPr>
                <w:rFonts w:ascii="Verdana" w:eastAsia="Verdana" w:hAnsi="Verdana" w:cs="Verdana"/>
                <w:noProof/>
                <w:color w:val="000000"/>
                <w:sz w:val="18"/>
                <w:lang w:bidi="en-GB"/>
              </w:rPr>
            </w:pPr>
            <w:bookmarkStart w:id="162" w:name="DOC_TBL00058_1_1"/>
            <w:bookmarkEnd w:id="162"/>
          </w:p>
        </w:tc>
        <w:tc>
          <w:tcPr>
            <w:tcW w:w="1227" w:type="dxa"/>
            <w:tcBorders>
              <w:top w:val="nil"/>
              <w:left w:val="nil"/>
              <w:bottom w:val="nil"/>
              <w:right w:val="nil"/>
              <w:tl2br w:val="nil"/>
              <w:tr2bl w:val="nil"/>
            </w:tcBorders>
            <w:tcMar>
              <w:left w:w="60" w:type="dxa"/>
              <w:right w:w="60" w:type="dxa"/>
            </w:tcMar>
            <w:vAlign w:val="bottom"/>
          </w:tcPr>
          <w:p w14:paraId="6D097F2F" w14:textId="77777777" w:rsidR="00807FFE" w:rsidRDefault="00807FFE">
            <w:pPr>
              <w:pStyle w:val="DMETW36633BIPLGFBF"/>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bottom"/>
          </w:tcPr>
          <w:p w14:paraId="20611B66" w14:textId="77777777" w:rsidR="00807FFE" w:rsidRDefault="00807FFE">
            <w:pPr>
              <w:pStyle w:val="DMETW36633BIPLGFBF"/>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14:paraId="4864CC21" w14:textId="77777777" w:rsidR="00807FFE" w:rsidRDefault="00807FFE">
            <w:pPr>
              <w:pStyle w:val="DMETW36633BIPLGFBF"/>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bottom"/>
          </w:tcPr>
          <w:p w14:paraId="5DF7F10B" w14:textId="77777777" w:rsidR="00807FFE" w:rsidRDefault="00807FFE">
            <w:pPr>
              <w:pStyle w:val="DMETW36633BIPLGFBF"/>
              <w:rPr>
                <w:rFonts w:ascii="Verdana" w:eastAsia="Verdana" w:hAnsi="Verdana" w:cs="Verdana"/>
                <w:noProof/>
                <w:color w:val="000000"/>
                <w:sz w:val="18"/>
              </w:rPr>
            </w:pPr>
          </w:p>
        </w:tc>
        <w:tc>
          <w:tcPr>
            <w:tcW w:w="850" w:type="dxa"/>
            <w:tcBorders>
              <w:top w:val="nil"/>
              <w:left w:val="nil"/>
              <w:bottom w:val="nil"/>
              <w:right w:val="nil"/>
              <w:tl2br w:val="nil"/>
              <w:tr2bl w:val="nil"/>
            </w:tcBorders>
            <w:tcMar>
              <w:left w:w="60" w:type="dxa"/>
              <w:right w:w="60" w:type="dxa"/>
            </w:tcMar>
            <w:vAlign w:val="center"/>
          </w:tcPr>
          <w:p w14:paraId="0BE711C9" w14:textId="77777777" w:rsidR="00807FFE" w:rsidRDefault="00807FFE">
            <w:pPr>
              <w:pStyle w:val="DMETW36633BIPLGFBF"/>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14:paraId="3AA1F6E1" w14:textId="77777777" w:rsidR="00807FFE" w:rsidRDefault="00807FFE">
            <w:pPr>
              <w:pStyle w:val="DMETW36633BIPLGFBF"/>
              <w:rPr>
                <w:rFonts w:ascii="Verdana" w:eastAsia="Verdana" w:hAnsi="Verdana" w:cs="Verdana"/>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14:paraId="7288EBAE" w14:textId="77777777" w:rsidR="00807FFE" w:rsidRDefault="00023E71">
            <w:pPr>
              <w:pStyle w:val="DMETW36633BIPLGFBF"/>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1862C1D2" w14:textId="77777777">
        <w:trPr>
          <w:trHeight w:val="255"/>
        </w:trPr>
        <w:tc>
          <w:tcPr>
            <w:tcW w:w="2519" w:type="dxa"/>
            <w:tcBorders>
              <w:top w:val="nil"/>
              <w:left w:val="nil"/>
              <w:bottom w:val="nil"/>
              <w:right w:val="nil"/>
              <w:tl2br w:val="nil"/>
              <w:tr2bl w:val="nil"/>
            </w:tcBorders>
            <w:shd w:val="solid" w:color="016794" w:fill="FFFFFF"/>
            <w:tcMar>
              <w:left w:w="60" w:type="dxa"/>
              <w:right w:w="60" w:type="dxa"/>
            </w:tcMar>
            <w:vAlign w:val="center"/>
          </w:tcPr>
          <w:p w14:paraId="195769EA" w14:textId="77777777" w:rsidR="00807FFE" w:rsidRDefault="00807FFE">
            <w:pPr>
              <w:pStyle w:val="DMETW36633BIPLGFBF"/>
              <w:jc w:val="right"/>
              <w:rPr>
                <w:rFonts w:ascii="Verdana" w:eastAsia="Verdana" w:hAnsi="Verdana" w:cs="Verdana"/>
                <w:noProof/>
                <w:color w:val="FFFFFF"/>
                <w:sz w:val="18"/>
              </w:rPr>
            </w:pPr>
          </w:p>
        </w:tc>
        <w:tc>
          <w:tcPr>
            <w:tcW w:w="1227" w:type="dxa"/>
            <w:tcBorders>
              <w:top w:val="nil"/>
              <w:left w:val="nil"/>
              <w:bottom w:val="nil"/>
              <w:right w:val="nil"/>
              <w:tl2br w:val="nil"/>
              <w:tr2bl w:val="nil"/>
            </w:tcBorders>
            <w:shd w:val="solid" w:color="016794" w:fill="FFFFFF"/>
            <w:tcMar>
              <w:left w:w="60" w:type="dxa"/>
              <w:right w:w="60" w:type="dxa"/>
            </w:tcMar>
            <w:vAlign w:val="center"/>
          </w:tcPr>
          <w:p w14:paraId="4986FEB0" w14:textId="77777777" w:rsidR="00807FFE" w:rsidRDefault="00023E71">
            <w:pPr>
              <w:pStyle w:val="DMETW36633BIPLGFBF"/>
              <w:jc w:val="right"/>
              <w:rPr>
                <w:rFonts w:ascii="Verdana" w:eastAsia="Verdana" w:hAnsi="Verdana" w:cs="Verdana"/>
                <w:noProof/>
                <w:color w:val="FFFFFF"/>
                <w:sz w:val="18"/>
              </w:rPr>
            </w:pPr>
            <w:r>
              <w:rPr>
                <w:rFonts w:ascii="Verdana" w:eastAsia="Verdana" w:hAnsi="Verdana" w:cs="Verdana"/>
                <w:noProof/>
                <w:color w:val="FFFFFF"/>
                <w:sz w:val="18"/>
              </w:rPr>
              <w:t>Unified Funding</w:t>
            </w:r>
          </w:p>
        </w:tc>
        <w:tc>
          <w:tcPr>
            <w:tcW w:w="992" w:type="dxa"/>
            <w:tcBorders>
              <w:top w:val="nil"/>
              <w:left w:val="nil"/>
              <w:bottom w:val="nil"/>
              <w:right w:val="nil"/>
              <w:tl2br w:val="nil"/>
              <w:tr2bl w:val="nil"/>
            </w:tcBorders>
            <w:shd w:val="solid" w:color="016794" w:fill="FFFFFF"/>
            <w:tcMar>
              <w:left w:w="60" w:type="dxa"/>
              <w:right w:w="60" w:type="dxa"/>
            </w:tcMar>
            <w:vAlign w:val="center"/>
          </w:tcPr>
          <w:p w14:paraId="5AE5871E" w14:textId="77777777" w:rsidR="00807FFE" w:rsidRDefault="00023E71">
            <w:pPr>
              <w:pStyle w:val="DMETW36633BIPLGFBF"/>
              <w:jc w:val="right"/>
              <w:rPr>
                <w:rFonts w:ascii="Verdana" w:eastAsia="Verdana" w:hAnsi="Verdana" w:cs="Verdana"/>
                <w:noProof/>
                <w:color w:val="FFFFFF"/>
                <w:sz w:val="18"/>
              </w:rPr>
            </w:pPr>
            <w:r>
              <w:rPr>
                <w:rFonts w:ascii="Verdana" w:eastAsia="Verdana" w:hAnsi="Verdana" w:cs="Verdana"/>
                <w:noProof/>
                <w:color w:val="FFFFFF"/>
                <w:sz w:val="18"/>
              </w:rPr>
              <w:t>SURE</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327D7A4B" w14:textId="77777777" w:rsidR="00807FFE" w:rsidRDefault="00023E71">
            <w:pPr>
              <w:pStyle w:val="DMETW36633BIPLGFBF"/>
              <w:jc w:val="right"/>
              <w:rPr>
                <w:rFonts w:ascii="Verdana" w:eastAsia="Verdana" w:hAnsi="Verdana" w:cs="Verdana"/>
                <w:noProof/>
                <w:color w:val="FFFFFF"/>
                <w:sz w:val="18"/>
              </w:rPr>
            </w:pPr>
            <w:r>
              <w:rPr>
                <w:rFonts w:ascii="Verdana" w:eastAsia="Verdana" w:hAnsi="Verdana" w:cs="Verdana"/>
                <w:noProof/>
                <w:color w:val="FFFFFF"/>
                <w:sz w:val="18"/>
              </w:rPr>
              <w:t>EFSM</w:t>
            </w:r>
          </w:p>
        </w:tc>
        <w:tc>
          <w:tcPr>
            <w:tcW w:w="851" w:type="dxa"/>
            <w:tcBorders>
              <w:top w:val="nil"/>
              <w:left w:val="nil"/>
              <w:bottom w:val="nil"/>
              <w:right w:val="nil"/>
              <w:tl2br w:val="nil"/>
              <w:tr2bl w:val="nil"/>
            </w:tcBorders>
            <w:shd w:val="solid" w:color="016794" w:fill="FFFFFF"/>
            <w:tcMar>
              <w:left w:w="60" w:type="dxa"/>
              <w:right w:w="60" w:type="dxa"/>
            </w:tcMar>
            <w:vAlign w:val="center"/>
          </w:tcPr>
          <w:p w14:paraId="12C95468" w14:textId="77777777" w:rsidR="00807FFE" w:rsidRDefault="00023E71">
            <w:pPr>
              <w:pStyle w:val="DMETW36633BIPLGFBF"/>
              <w:jc w:val="right"/>
              <w:rPr>
                <w:rFonts w:ascii="Verdana" w:eastAsia="Verdana" w:hAnsi="Verdana" w:cs="Verdana"/>
                <w:noProof/>
                <w:color w:val="FFFFFF"/>
                <w:sz w:val="18"/>
              </w:rPr>
            </w:pPr>
            <w:r>
              <w:rPr>
                <w:rFonts w:ascii="Verdana" w:eastAsia="Verdana" w:hAnsi="Verdana" w:cs="Verdana"/>
                <w:noProof/>
                <w:color w:val="FFFFFF"/>
                <w:sz w:val="18"/>
              </w:rPr>
              <w:t>BOP</w:t>
            </w:r>
          </w:p>
        </w:tc>
        <w:tc>
          <w:tcPr>
            <w:tcW w:w="850" w:type="dxa"/>
            <w:tcBorders>
              <w:top w:val="nil"/>
              <w:left w:val="nil"/>
              <w:bottom w:val="nil"/>
              <w:right w:val="nil"/>
              <w:tl2br w:val="nil"/>
              <w:tr2bl w:val="nil"/>
            </w:tcBorders>
            <w:shd w:val="solid" w:color="016794" w:fill="FFFFFF"/>
            <w:tcMar>
              <w:left w:w="60" w:type="dxa"/>
              <w:right w:w="60" w:type="dxa"/>
            </w:tcMar>
            <w:vAlign w:val="center"/>
          </w:tcPr>
          <w:p w14:paraId="50B7E65B" w14:textId="77777777" w:rsidR="00807FFE" w:rsidRDefault="00023E71">
            <w:pPr>
              <w:pStyle w:val="DMETW36633BIPLGFBF"/>
              <w:jc w:val="right"/>
              <w:rPr>
                <w:rFonts w:ascii="Verdana" w:eastAsia="Verdana" w:hAnsi="Verdana" w:cs="Verdana"/>
                <w:noProof/>
                <w:color w:val="FFFFFF"/>
                <w:sz w:val="18"/>
              </w:rPr>
            </w:pPr>
            <w:r>
              <w:rPr>
                <w:rFonts w:ascii="Verdana" w:eastAsia="Verdana" w:hAnsi="Verdana" w:cs="Verdana"/>
                <w:noProof/>
                <w:color w:val="FFFFFF"/>
                <w:sz w:val="18"/>
              </w:rPr>
              <w:t>MFA</w:t>
            </w:r>
          </w:p>
        </w:tc>
        <w:tc>
          <w:tcPr>
            <w:tcW w:w="992" w:type="dxa"/>
            <w:tcBorders>
              <w:top w:val="nil"/>
              <w:left w:val="nil"/>
              <w:bottom w:val="nil"/>
              <w:right w:val="nil"/>
              <w:tl2br w:val="nil"/>
              <w:tr2bl w:val="nil"/>
            </w:tcBorders>
            <w:shd w:val="solid" w:color="016794" w:fill="FFFFFF"/>
            <w:tcMar>
              <w:left w:w="60" w:type="dxa"/>
              <w:right w:w="60" w:type="dxa"/>
            </w:tcMar>
            <w:vAlign w:val="center"/>
          </w:tcPr>
          <w:p w14:paraId="3A0D2353" w14:textId="77777777" w:rsidR="00807FFE" w:rsidRDefault="00023E71">
            <w:pPr>
              <w:pStyle w:val="DMETW36633BIPLGFBF"/>
              <w:jc w:val="right"/>
              <w:rPr>
                <w:rFonts w:ascii="Verdana" w:eastAsia="Verdana" w:hAnsi="Verdana" w:cs="Verdana"/>
                <w:noProof/>
                <w:color w:val="FFFFFF"/>
                <w:sz w:val="18"/>
              </w:rPr>
            </w:pPr>
            <w:r>
              <w:rPr>
                <w:rFonts w:ascii="Verdana" w:eastAsia="Verdana" w:hAnsi="Verdana" w:cs="Verdana"/>
                <w:noProof/>
                <w:color w:val="FFFFFF"/>
                <w:sz w:val="18"/>
              </w:rPr>
              <w:t>Euratom</w:t>
            </w:r>
          </w:p>
        </w:tc>
        <w:tc>
          <w:tcPr>
            <w:tcW w:w="1193" w:type="dxa"/>
            <w:tcBorders>
              <w:top w:val="nil"/>
              <w:left w:val="nil"/>
              <w:bottom w:val="nil"/>
              <w:right w:val="nil"/>
              <w:tl2br w:val="nil"/>
              <w:tr2bl w:val="nil"/>
            </w:tcBorders>
            <w:shd w:val="solid" w:color="016794" w:fill="FFFFFF"/>
            <w:tcMar>
              <w:left w:w="60" w:type="dxa"/>
              <w:right w:w="60" w:type="dxa"/>
            </w:tcMar>
            <w:vAlign w:val="center"/>
          </w:tcPr>
          <w:p w14:paraId="25110111" w14:textId="77777777" w:rsidR="00807FFE" w:rsidRDefault="00023E71">
            <w:pPr>
              <w:pStyle w:val="DMETW36633BIPLGFBF"/>
              <w:jc w:val="right"/>
              <w:rPr>
                <w:rFonts w:ascii="Verdana" w:eastAsia="Verdana" w:hAnsi="Verdana" w:cs="Verdana"/>
                <w:noProof/>
                <w:color w:val="FFFFFF"/>
                <w:sz w:val="18"/>
                <w:lang w:bidi="en-GB"/>
              </w:rPr>
            </w:pPr>
            <w:r>
              <w:rPr>
                <w:rFonts w:ascii="Verdana" w:eastAsia="Verdana" w:hAnsi="Verdana" w:cs="Verdana"/>
                <w:noProof/>
                <w:color w:val="FFFFFF"/>
                <w:sz w:val="18"/>
              </w:rPr>
              <w:t>Total</w:t>
            </w:r>
          </w:p>
        </w:tc>
      </w:tr>
      <w:tr w:rsidR="00807FFE" w14:paraId="08039E53" w14:textId="77777777">
        <w:trPr>
          <w:trHeight w:val="255"/>
        </w:trPr>
        <w:tc>
          <w:tcPr>
            <w:tcW w:w="2519" w:type="dxa"/>
            <w:tcBorders>
              <w:top w:val="nil"/>
              <w:left w:val="nil"/>
              <w:bottom w:val="nil"/>
              <w:right w:val="nil"/>
              <w:tl2br w:val="nil"/>
              <w:tr2bl w:val="nil"/>
            </w:tcBorders>
            <w:tcMar>
              <w:left w:w="60" w:type="dxa"/>
              <w:right w:w="60" w:type="dxa"/>
            </w:tcMar>
            <w:vAlign w:val="center"/>
          </w:tcPr>
          <w:p w14:paraId="1FB24432" w14:textId="77777777" w:rsidR="00807FFE" w:rsidRDefault="00023E71">
            <w:pPr>
              <w:pStyle w:val="DMETW36633BIPLGFBF"/>
              <w:rPr>
                <w:rFonts w:ascii="Verdana" w:eastAsia="Verdana" w:hAnsi="Verdana" w:cs="Verdana"/>
                <w:i/>
                <w:noProof/>
                <w:color w:val="000000"/>
                <w:sz w:val="18"/>
              </w:rPr>
            </w:pPr>
            <w:r>
              <w:rPr>
                <w:rFonts w:ascii="Verdana" w:eastAsia="Verdana" w:hAnsi="Verdana" w:cs="Verdana"/>
                <w:i/>
                <w:noProof/>
                <w:color w:val="000000"/>
                <w:sz w:val="18"/>
              </w:rPr>
              <w:t>Total at 31.12.2024</w:t>
            </w:r>
          </w:p>
        </w:tc>
        <w:tc>
          <w:tcPr>
            <w:tcW w:w="1227" w:type="dxa"/>
            <w:tcBorders>
              <w:top w:val="nil"/>
              <w:left w:val="nil"/>
              <w:bottom w:val="nil"/>
              <w:right w:val="nil"/>
              <w:tl2br w:val="nil"/>
              <w:tr2bl w:val="nil"/>
            </w:tcBorders>
            <w:tcMar>
              <w:left w:w="60" w:type="dxa"/>
              <w:right w:w="60" w:type="dxa"/>
            </w:tcMar>
            <w:vAlign w:val="center"/>
          </w:tcPr>
          <w:p w14:paraId="14EF00C4"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437 628</w:t>
            </w:r>
          </w:p>
        </w:tc>
        <w:tc>
          <w:tcPr>
            <w:tcW w:w="992" w:type="dxa"/>
            <w:tcBorders>
              <w:top w:val="nil"/>
              <w:left w:val="nil"/>
              <w:bottom w:val="nil"/>
              <w:right w:val="nil"/>
              <w:tl2br w:val="nil"/>
              <w:tr2bl w:val="nil"/>
            </w:tcBorders>
            <w:tcMar>
              <w:left w:w="60" w:type="dxa"/>
              <w:right w:w="60" w:type="dxa"/>
            </w:tcMar>
            <w:vAlign w:val="center"/>
          </w:tcPr>
          <w:p w14:paraId="2FFD276F"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98 839</w:t>
            </w:r>
          </w:p>
        </w:tc>
        <w:tc>
          <w:tcPr>
            <w:tcW w:w="1134" w:type="dxa"/>
            <w:tcBorders>
              <w:top w:val="nil"/>
              <w:left w:val="nil"/>
              <w:bottom w:val="nil"/>
              <w:right w:val="nil"/>
              <w:tl2br w:val="nil"/>
              <w:tr2bl w:val="nil"/>
            </w:tcBorders>
            <w:tcMar>
              <w:left w:w="60" w:type="dxa"/>
              <w:right w:w="60" w:type="dxa"/>
            </w:tcMar>
            <w:vAlign w:val="center"/>
          </w:tcPr>
          <w:p w14:paraId="1DDEAB10"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42 297</w:t>
            </w:r>
          </w:p>
        </w:tc>
        <w:tc>
          <w:tcPr>
            <w:tcW w:w="851" w:type="dxa"/>
            <w:tcBorders>
              <w:top w:val="nil"/>
              <w:left w:val="nil"/>
              <w:bottom w:val="nil"/>
              <w:right w:val="nil"/>
              <w:tl2br w:val="nil"/>
              <w:tr2bl w:val="nil"/>
            </w:tcBorders>
            <w:tcMar>
              <w:left w:w="60" w:type="dxa"/>
              <w:right w:w="60" w:type="dxa"/>
            </w:tcMar>
            <w:vAlign w:val="center"/>
          </w:tcPr>
          <w:p w14:paraId="02554135"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201</w:t>
            </w:r>
          </w:p>
        </w:tc>
        <w:tc>
          <w:tcPr>
            <w:tcW w:w="850" w:type="dxa"/>
            <w:tcBorders>
              <w:top w:val="nil"/>
              <w:left w:val="nil"/>
              <w:bottom w:val="nil"/>
              <w:right w:val="nil"/>
              <w:tl2br w:val="nil"/>
              <w:tr2bl w:val="nil"/>
            </w:tcBorders>
            <w:tcMar>
              <w:left w:w="60" w:type="dxa"/>
              <w:right w:w="60" w:type="dxa"/>
            </w:tcMar>
            <w:vAlign w:val="center"/>
          </w:tcPr>
          <w:p w14:paraId="1BB3512B"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14 762</w:t>
            </w:r>
          </w:p>
        </w:tc>
        <w:tc>
          <w:tcPr>
            <w:tcW w:w="992" w:type="dxa"/>
            <w:tcBorders>
              <w:top w:val="nil"/>
              <w:left w:val="nil"/>
              <w:bottom w:val="nil"/>
              <w:right w:val="nil"/>
              <w:tl2br w:val="nil"/>
              <w:tr2bl w:val="nil"/>
            </w:tcBorders>
            <w:tcMar>
              <w:left w:w="60" w:type="dxa"/>
              <w:right w:w="60" w:type="dxa"/>
            </w:tcMar>
            <w:vAlign w:val="center"/>
          </w:tcPr>
          <w:p w14:paraId="493D99F7"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301</w:t>
            </w:r>
          </w:p>
        </w:tc>
        <w:tc>
          <w:tcPr>
            <w:tcW w:w="1193" w:type="dxa"/>
            <w:tcBorders>
              <w:top w:val="nil"/>
              <w:left w:val="nil"/>
              <w:bottom w:val="nil"/>
              <w:right w:val="nil"/>
              <w:tl2br w:val="nil"/>
              <w:tr2bl w:val="nil"/>
            </w:tcBorders>
            <w:tcMar>
              <w:left w:w="60" w:type="dxa"/>
              <w:right w:w="60" w:type="dxa"/>
            </w:tcMar>
            <w:vAlign w:val="center"/>
          </w:tcPr>
          <w:p w14:paraId="5B48842D" w14:textId="77777777" w:rsidR="00807FFE" w:rsidRDefault="00023E71">
            <w:pPr>
              <w:pStyle w:val="DMETW36633BIPLGFBF"/>
              <w:jc w:val="right"/>
              <w:rPr>
                <w:rFonts w:ascii="Verdana" w:eastAsia="Verdana" w:hAnsi="Verdana" w:cs="Verdana"/>
                <w:i/>
                <w:noProof/>
                <w:color w:val="000000"/>
                <w:sz w:val="18"/>
                <w:lang w:bidi="en-GB"/>
              </w:rPr>
            </w:pPr>
            <w:r>
              <w:rPr>
                <w:rFonts w:ascii="Verdana" w:eastAsia="Verdana" w:hAnsi="Verdana" w:cs="Verdana"/>
                <w:i/>
                <w:noProof/>
                <w:color w:val="000000"/>
                <w:sz w:val="18"/>
              </w:rPr>
              <w:t>594 028</w:t>
            </w:r>
          </w:p>
        </w:tc>
      </w:tr>
      <w:tr w:rsidR="00807FFE" w14:paraId="72ED9329" w14:textId="77777777">
        <w:trPr>
          <w:trHeight w:val="255"/>
        </w:trPr>
        <w:tc>
          <w:tcPr>
            <w:tcW w:w="2519" w:type="dxa"/>
            <w:tcBorders>
              <w:top w:val="nil"/>
              <w:left w:val="nil"/>
              <w:bottom w:val="nil"/>
              <w:right w:val="nil"/>
              <w:tl2br w:val="nil"/>
              <w:tr2bl w:val="nil"/>
            </w:tcBorders>
            <w:tcMar>
              <w:left w:w="60" w:type="dxa"/>
              <w:right w:w="60" w:type="dxa"/>
            </w:tcMar>
            <w:vAlign w:val="center"/>
          </w:tcPr>
          <w:p w14:paraId="0DDD7FD1" w14:textId="77777777" w:rsidR="00807FFE" w:rsidRDefault="00023E71">
            <w:pPr>
              <w:pStyle w:val="DMETW36633BIPLGFBF"/>
              <w:rPr>
                <w:rFonts w:ascii="Verdana" w:eastAsia="Verdana" w:hAnsi="Verdana" w:cs="Verdana"/>
                <w:i/>
                <w:noProof/>
                <w:color w:val="000000"/>
                <w:sz w:val="18"/>
              </w:rPr>
            </w:pPr>
            <w:r>
              <w:rPr>
                <w:rFonts w:ascii="Verdana" w:eastAsia="Verdana" w:hAnsi="Verdana" w:cs="Verdana"/>
                <w:i/>
                <w:noProof/>
                <w:color w:val="000000"/>
                <w:sz w:val="18"/>
              </w:rPr>
              <w:t>New borrowings - nominal</w:t>
            </w:r>
          </w:p>
        </w:tc>
        <w:tc>
          <w:tcPr>
            <w:tcW w:w="1227" w:type="dxa"/>
            <w:tcBorders>
              <w:top w:val="nil"/>
              <w:left w:val="nil"/>
              <w:bottom w:val="nil"/>
              <w:right w:val="nil"/>
              <w:tl2br w:val="nil"/>
              <w:tr2bl w:val="nil"/>
            </w:tcBorders>
            <w:tcMar>
              <w:left w:w="60" w:type="dxa"/>
              <w:right w:w="60" w:type="dxa"/>
            </w:tcMar>
            <w:vAlign w:val="center"/>
          </w:tcPr>
          <w:p w14:paraId="057D281B"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221 526</w:t>
            </w:r>
          </w:p>
        </w:tc>
        <w:tc>
          <w:tcPr>
            <w:tcW w:w="992" w:type="dxa"/>
            <w:tcBorders>
              <w:top w:val="nil"/>
              <w:left w:val="nil"/>
              <w:bottom w:val="nil"/>
              <w:right w:val="nil"/>
              <w:tl2br w:val="nil"/>
              <w:tr2bl w:val="nil"/>
            </w:tcBorders>
            <w:tcMar>
              <w:left w:w="60" w:type="dxa"/>
              <w:right w:w="60" w:type="dxa"/>
            </w:tcMar>
            <w:vAlign w:val="center"/>
          </w:tcPr>
          <w:p w14:paraId="2D78499C"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7AACA92E"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14:paraId="4CE33CCD"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0" w:type="dxa"/>
            <w:tcBorders>
              <w:top w:val="nil"/>
              <w:left w:val="nil"/>
              <w:bottom w:val="nil"/>
              <w:right w:val="nil"/>
              <w:tl2br w:val="nil"/>
              <w:tr2bl w:val="nil"/>
            </w:tcBorders>
            <w:tcMar>
              <w:left w:w="60" w:type="dxa"/>
              <w:right w:w="60" w:type="dxa"/>
            </w:tcMar>
            <w:vAlign w:val="center"/>
          </w:tcPr>
          <w:p w14:paraId="44A05E50"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14:paraId="574EF4BC"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93" w:type="dxa"/>
            <w:tcBorders>
              <w:top w:val="nil"/>
              <w:left w:val="nil"/>
              <w:bottom w:val="nil"/>
              <w:right w:val="nil"/>
              <w:tl2br w:val="nil"/>
              <w:tr2bl w:val="nil"/>
            </w:tcBorders>
            <w:tcMar>
              <w:left w:w="60" w:type="dxa"/>
              <w:right w:w="60" w:type="dxa"/>
            </w:tcMar>
            <w:vAlign w:val="center"/>
          </w:tcPr>
          <w:p w14:paraId="0B0FA9B1" w14:textId="77777777" w:rsidR="00807FFE" w:rsidRDefault="00023E71">
            <w:pPr>
              <w:pStyle w:val="DMETW36633BIPLGFBF"/>
              <w:jc w:val="right"/>
              <w:rPr>
                <w:rFonts w:ascii="Verdana" w:eastAsia="Verdana" w:hAnsi="Verdana" w:cs="Verdana"/>
                <w:i/>
                <w:noProof/>
                <w:color w:val="000000"/>
                <w:sz w:val="18"/>
                <w:lang w:bidi="en-GB"/>
              </w:rPr>
            </w:pPr>
            <w:r>
              <w:rPr>
                <w:rFonts w:ascii="Verdana" w:eastAsia="Verdana" w:hAnsi="Verdana" w:cs="Verdana"/>
                <w:i/>
                <w:noProof/>
                <w:color w:val="000000"/>
                <w:sz w:val="18"/>
              </w:rPr>
              <w:t>221 526</w:t>
            </w:r>
          </w:p>
        </w:tc>
      </w:tr>
      <w:tr w:rsidR="00807FFE" w14:paraId="34D3BA73" w14:textId="77777777">
        <w:trPr>
          <w:trHeight w:val="255"/>
        </w:trPr>
        <w:tc>
          <w:tcPr>
            <w:tcW w:w="2519" w:type="dxa"/>
            <w:tcBorders>
              <w:top w:val="nil"/>
              <w:left w:val="nil"/>
              <w:bottom w:val="nil"/>
              <w:right w:val="nil"/>
              <w:tl2br w:val="nil"/>
              <w:tr2bl w:val="nil"/>
            </w:tcBorders>
            <w:tcMar>
              <w:left w:w="60" w:type="dxa"/>
              <w:right w:w="60" w:type="dxa"/>
            </w:tcMar>
            <w:vAlign w:val="center"/>
          </w:tcPr>
          <w:p w14:paraId="1F337E03" w14:textId="77777777" w:rsidR="00807FFE" w:rsidRDefault="00023E71">
            <w:pPr>
              <w:pStyle w:val="DMETW36633BIPLGFBF"/>
              <w:rPr>
                <w:rFonts w:ascii="Verdana" w:eastAsia="Verdana" w:hAnsi="Verdana" w:cs="Verdana"/>
                <w:i/>
                <w:noProof/>
                <w:color w:val="000000"/>
                <w:sz w:val="18"/>
              </w:rPr>
            </w:pPr>
            <w:r>
              <w:rPr>
                <w:rFonts w:ascii="Verdana" w:eastAsia="Verdana" w:hAnsi="Verdana" w:cs="Verdana"/>
                <w:i/>
                <w:noProof/>
                <w:color w:val="000000"/>
                <w:sz w:val="18"/>
              </w:rPr>
              <w:t>Repayments</w:t>
            </w:r>
          </w:p>
        </w:tc>
        <w:tc>
          <w:tcPr>
            <w:tcW w:w="1227" w:type="dxa"/>
            <w:tcBorders>
              <w:top w:val="nil"/>
              <w:left w:val="nil"/>
              <w:bottom w:val="nil"/>
              <w:right w:val="nil"/>
              <w:tl2br w:val="nil"/>
              <w:tr2bl w:val="nil"/>
            </w:tcBorders>
            <w:tcMar>
              <w:left w:w="60" w:type="dxa"/>
              <w:right w:w="60" w:type="dxa"/>
            </w:tcMar>
            <w:vAlign w:val="center"/>
          </w:tcPr>
          <w:p w14:paraId="15760525"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(73 266)</w:t>
            </w:r>
          </w:p>
        </w:tc>
        <w:tc>
          <w:tcPr>
            <w:tcW w:w="992" w:type="dxa"/>
            <w:tcBorders>
              <w:top w:val="nil"/>
              <w:left w:val="nil"/>
              <w:bottom w:val="nil"/>
              <w:right w:val="nil"/>
              <w:tl2br w:val="nil"/>
              <w:tr2bl w:val="nil"/>
            </w:tcBorders>
            <w:tcMar>
              <w:left w:w="60" w:type="dxa"/>
              <w:right w:w="60" w:type="dxa"/>
            </w:tcMar>
            <w:vAlign w:val="center"/>
          </w:tcPr>
          <w:p w14:paraId="6BB01DED"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(8 000)</w:t>
            </w:r>
          </w:p>
        </w:tc>
        <w:tc>
          <w:tcPr>
            <w:tcW w:w="1134" w:type="dxa"/>
            <w:tcBorders>
              <w:top w:val="nil"/>
              <w:left w:val="nil"/>
              <w:bottom w:val="nil"/>
              <w:right w:val="nil"/>
              <w:tl2br w:val="nil"/>
              <w:tr2bl w:val="nil"/>
            </w:tcBorders>
            <w:tcMar>
              <w:left w:w="60" w:type="dxa"/>
              <w:right w:w="60" w:type="dxa"/>
            </w:tcMar>
            <w:vAlign w:val="center"/>
          </w:tcPr>
          <w:p w14:paraId="5E7903DC"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(2 400)</w:t>
            </w:r>
          </w:p>
        </w:tc>
        <w:tc>
          <w:tcPr>
            <w:tcW w:w="851" w:type="dxa"/>
            <w:tcBorders>
              <w:top w:val="nil"/>
              <w:left w:val="nil"/>
              <w:bottom w:val="nil"/>
              <w:right w:val="nil"/>
              <w:tl2br w:val="nil"/>
              <w:tr2bl w:val="nil"/>
            </w:tcBorders>
            <w:tcMar>
              <w:left w:w="60" w:type="dxa"/>
              <w:right w:w="60" w:type="dxa"/>
            </w:tcMar>
            <w:vAlign w:val="center"/>
          </w:tcPr>
          <w:p w14:paraId="6395E503"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(200)</w:t>
            </w:r>
          </w:p>
        </w:tc>
        <w:tc>
          <w:tcPr>
            <w:tcW w:w="850" w:type="dxa"/>
            <w:tcBorders>
              <w:top w:val="nil"/>
              <w:left w:val="nil"/>
              <w:bottom w:val="nil"/>
              <w:right w:val="nil"/>
              <w:tl2br w:val="nil"/>
              <w:tr2bl w:val="nil"/>
            </w:tcBorders>
            <w:tcMar>
              <w:left w:w="60" w:type="dxa"/>
              <w:right w:w="60" w:type="dxa"/>
            </w:tcMar>
            <w:vAlign w:val="center"/>
          </w:tcPr>
          <w:p w14:paraId="087F98FB"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992" w:type="dxa"/>
            <w:tcBorders>
              <w:top w:val="nil"/>
              <w:left w:val="nil"/>
              <w:bottom w:val="nil"/>
              <w:right w:val="nil"/>
              <w:tl2br w:val="nil"/>
              <w:tr2bl w:val="nil"/>
            </w:tcBorders>
            <w:tcMar>
              <w:left w:w="60" w:type="dxa"/>
              <w:right w:w="60" w:type="dxa"/>
            </w:tcMar>
            <w:vAlign w:val="center"/>
          </w:tcPr>
          <w:p w14:paraId="221C9673"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93" w:type="dxa"/>
            <w:tcBorders>
              <w:top w:val="nil"/>
              <w:left w:val="nil"/>
              <w:bottom w:val="nil"/>
              <w:right w:val="nil"/>
              <w:tl2br w:val="nil"/>
              <w:tr2bl w:val="nil"/>
            </w:tcBorders>
            <w:tcMar>
              <w:left w:w="60" w:type="dxa"/>
              <w:right w:w="60" w:type="dxa"/>
            </w:tcMar>
            <w:vAlign w:val="center"/>
          </w:tcPr>
          <w:p w14:paraId="3DC47545" w14:textId="77777777" w:rsidR="00807FFE" w:rsidRDefault="00023E71">
            <w:pPr>
              <w:pStyle w:val="DMETW36633BIPLGFBF"/>
              <w:jc w:val="right"/>
              <w:rPr>
                <w:rFonts w:ascii="Verdana" w:eastAsia="Verdana" w:hAnsi="Verdana" w:cs="Verdana"/>
                <w:i/>
                <w:noProof/>
                <w:color w:val="000000"/>
                <w:sz w:val="18"/>
                <w:lang w:bidi="en-GB"/>
              </w:rPr>
            </w:pPr>
            <w:r>
              <w:rPr>
                <w:rFonts w:ascii="Verdana" w:eastAsia="Verdana" w:hAnsi="Verdana" w:cs="Verdana"/>
                <w:i/>
                <w:noProof/>
                <w:color w:val="000000"/>
                <w:sz w:val="18"/>
              </w:rPr>
              <w:t>(83 886)</w:t>
            </w:r>
          </w:p>
        </w:tc>
      </w:tr>
      <w:tr w:rsidR="00807FFE" w14:paraId="6EC386F7" w14:textId="77777777">
        <w:trPr>
          <w:trHeight w:val="255"/>
        </w:trPr>
        <w:tc>
          <w:tcPr>
            <w:tcW w:w="2519" w:type="dxa"/>
            <w:tcBorders>
              <w:top w:val="nil"/>
              <w:left w:val="nil"/>
              <w:bottom w:val="nil"/>
              <w:right w:val="nil"/>
              <w:tl2br w:val="nil"/>
              <w:tr2bl w:val="nil"/>
            </w:tcBorders>
            <w:tcMar>
              <w:left w:w="60" w:type="dxa"/>
              <w:right w:w="60" w:type="dxa"/>
            </w:tcMar>
            <w:vAlign w:val="center"/>
          </w:tcPr>
          <w:p w14:paraId="39A49436" w14:textId="77777777" w:rsidR="00807FFE" w:rsidRDefault="00023E71">
            <w:pPr>
              <w:pStyle w:val="DMETW36633BIPLGFBF"/>
              <w:rPr>
                <w:rFonts w:ascii="Verdana" w:eastAsia="Verdana" w:hAnsi="Verdana" w:cs="Verdana"/>
                <w:i/>
                <w:noProof/>
                <w:color w:val="000000"/>
                <w:sz w:val="18"/>
              </w:rPr>
            </w:pPr>
            <w:r>
              <w:rPr>
                <w:rFonts w:ascii="Verdana" w:eastAsia="Verdana" w:hAnsi="Verdana" w:cs="Verdana"/>
                <w:i/>
                <w:noProof/>
                <w:color w:val="000000"/>
                <w:sz w:val="18"/>
              </w:rPr>
              <w:t>Changes in carrying amount</w:t>
            </w:r>
          </w:p>
        </w:tc>
        <w:tc>
          <w:tcPr>
            <w:tcW w:w="1227" w:type="dxa"/>
            <w:tcBorders>
              <w:top w:val="nil"/>
              <w:left w:val="nil"/>
              <w:bottom w:val="nil"/>
              <w:right w:val="nil"/>
              <w:tl2br w:val="nil"/>
              <w:tr2bl w:val="nil"/>
            </w:tcBorders>
            <w:tcMar>
              <w:left w:w="60" w:type="dxa"/>
              <w:right w:w="60" w:type="dxa"/>
            </w:tcMar>
            <w:vAlign w:val="center"/>
          </w:tcPr>
          <w:p w14:paraId="79D6AB90"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(300)</w:t>
            </w:r>
          </w:p>
        </w:tc>
        <w:tc>
          <w:tcPr>
            <w:tcW w:w="992" w:type="dxa"/>
            <w:tcBorders>
              <w:top w:val="nil"/>
              <w:left w:val="nil"/>
              <w:bottom w:val="nil"/>
              <w:right w:val="nil"/>
              <w:tl2br w:val="nil"/>
              <w:tr2bl w:val="nil"/>
            </w:tcBorders>
            <w:tcMar>
              <w:left w:w="60" w:type="dxa"/>
              <w:right w:w="60" w:type="dxa"/>
            </w:tcMar>
            <w:vAlign w:val="center"/>
          </w:tcPr>
          <w:p w14:paraId="3B80AC3F"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(135)</w:t>
            </w:r>
          </w:p>
        </w:tc>
        <w:tc>
          <w:tcPr>
            <w:tcW w:w="1134" w:type="dxa"/>
            <w:tcBorders>
              <w:top w:val="nil"/>
              <w:left w:val="nil"/>
              <w:bottom w:val="nil"/>
              <w:right w:val="nil"/>
              <w:tl2br w:val="nil"/>
              <w:tr2bl w:val="nil"/>
            </w:tcBorders>
            <w:tcMar>
              <w:left w:w="60" w:type="dxa"/>
              <w:right w:w="60" w:type="dxa"/>
            </w:tcMar>
            <w:vAlign w:val="center"/>
          </w:tcPr>
          <w:p w14:paraId="525CCD52"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851" w:type="dxa"/>
            <w:tcBorders>
              <w:top w:val="nil"/>
              <w:left w:val="nil"/>
              <w:bottom w:val="nil"/>
              <w:right w:val="nil"/>
              <w:tl2br w:val="nil"/>
              <w:tr2bl w:val="nil"/>
            </w:tcBorders>
            <w:tcMar>
              <w:left w:w="60" w:type="dxa"/>
              <w:right w:w="60" w:type="dxa"/>
            </w:tcMar>
            <w:vAlign w:val="center"/>
          </w:tcPr>
          <w:p w14:paraId="4D3D93DC"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850" w:type="dxa"/>
            <w:tcBorders>
              <w:top w:val="nil"/>
              <w:left w:val="nil"/>
              <w:bottom w:val="nil"/>
              <w:right w:val="nil"/>
              <w:tl2br w:val="nil"/>
              <w:tr2bl w:val="nil"/>
            </w:tcBorders>
            <w:tcMar>
              <w:left w:w="60" w:type="dxa"/>
              <w:right w:w="60" w:type="dxa"/>
            </w:tcMar>
            <w:vAlign w:val="center"/>
          </w:tcPr>
          <w:p w14:paraId="4E5E4D4A"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992" w:type="dxa"/>
            <w:tcBorders>
              <w:top w:val="nil"/>
              <w:left w:val="nil"/>
              <w:bottom w:val="nil"/>
              <w:right w:val="nil"/>
              <w:tl2br w:val="nil"/>
              <w:tr2bl w:val="nil"/>
            </w:tcBorders>
            <w:tcMar>
              <w:left w:w="60" w:type="dxa"/>
              <w:right w:w="60" w:type="dxa"/>
            </w:tcMar>
            <w:vAlign w:val="center"/>
          </w:tcPr>
          <w:p w14:paraId="12C7FF14"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193" w:type="dxa"/>
            <w:tcBorders>
              <w:top w:val="nil"/>
              <w:left w:val="nil"/>
              <w:bottom w:val="nil"/>
              <w:right w:val="nil"/>
              <w:tl2br w:val="nil"/>
              <w:tr2bl w:val="nil"/>
            </w:tcBorders>
            <w:tcMar>
              <w:left w:w="60" w:type="dxa"/>
              <w:right w:w="60" w:type="dxa"/>
            </w:tcMar>
            <w:vAlign w:val="center"/>
          </w:tcPr>
          <w:p w14:paraId="1D916B06" w14:textId="77777777" w:rsidR="00807FFE" w:rsidRDefault="00023E71">
            <w:pPr>
              <w:pStyle w:val="DMETW36633BIPLGFB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(443)</w:t>
            </w:r>
          </w:p>
        </w:tc>
      </w:tr>
      <w:tr w:rsidR="00807FFE" w14:paraId="7B1A11CD" w14:textId="77777777">
        <w:trPr>
          <w:trHeight w:val="255"/>
        </w:trPr>
        <w:tc>
          <w:tcPr>
            <w:tcW w:w="2519" w:type="dxa"/>
            <w:tcBorders>
              <w:top w:val="nil"/>
              <w:left w:val="nil"/>
              <w:bottom w:val="single" w:sz="4" w:space="0" w:color="016794"/>
              <w:right w:val="nil"/>
              <w:tl2br w:val="nil"/>
              <w:tr2bl w:val="nil"/>
            </w:tcBorders>
            <w:tcMar>
              <w:left w:w="60" w:type="dxa"/>
              <w:right w:w="60" w:type="dxa"/>
            </w:tcMar>
            <w:vAlign w:val="center"/>
          </w:tcPr>
          <w:p w14:paraId="5E1D9E00" w14:textId="77777777" w:rsidR="00807FFE" w:rsidRDefault="00023E71">
            <w:pPr>
              <w:pStyle w:val="DMETW36633BIPLGFBF"/>
              <w:rPr>
                <w:rFonts w:ascii="Verdana" w:eastAsia="Verdana" w:hAnsi="Verdana" w:cs="Verdana"/>
                <w:i/>
                <w:noProof/>
                <w:color w:val="000000"/>
                <w:sz w:val="18"/>
              </w:rPr>
            </w:pPr>
            <w:r>
              <w:rPr>
                <w:rFonts w:ascii="Verdana" w:eastAsia="Verdana" w:hAnsi="Verdana" w:cs="Verdana"/>
                <w:i/>
                <w:noProof/>
                <w:color w:val="000000"/>
                <w:sz w:val="18"/>
              </w:rPr>
              <w:t>Other movements</w:t>
            </w:r>
          </w:p>
        </w:tc>
        <w:tc>
          <w:tcPr>
            <w:tcW w:w="1227" w:type="dxa"/>
            <w:tcBorders>
              <w:top w:val="nil"/>
              <w:left w:val="nil"/>
              <w:bottom w:val="single" w:sz="4" w:space="0" w:color="016794"/>
              <w:right w:val="nil"/>
              <w:tl2br w:val="nil"/>
              <w:tr2bl w:val="nil"/>
            </w:tcBorders>
            <w:tcMar>
              <w:left w:w="60" w:type="dxa"/>
              <w:right w:w="60" w:type="dxa"/>
            </w:tcMar>
            <w:vAlign w:val="center"/>
          </w:tcPr>
          <w:p w14:paraId="314351F9"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2 500</w:t>
            </w:r>
          </w:p>
        </w:tc>
        <w:tc>
          <w:tcPr>
            <w:tcW w:w="992" w:type="dxa"/>
            <w:tcBorders>
              <w:top w:val="nil"/>
              <w:left w:val="nil"/>
              <w:bottom w:val="single" w:sz="4" w:space="0" w:color="016794"/>
              <w:right w:val="nil"/>
              <w:tl2br w:val="nil"/>
              <w:tr2bl w:val="nil"/>
            </w:tcBorders>
            <w:tcMar>
              <w:left w:w="60" w:type="dxa"/>
              <w:right w:w="60" w:type="dxa"/>
            </w:tcMar>
            <w:vAlign w:val="center"/>
          </w:tcPr>
          <w:p w14:paraId="7EAC8D7A"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single" w:sz="4" w:space="0" w:color="016794"/>
              <w:right w:val="nil"/>
              <w:tl2br w:val="nil"/>
              <w:tr2bl w:val="nil"/>
            </w:tcBorders>
            <w:tcMar>
              <w:left w:w="60" w:type="dxa"/>
              <w:right w:w="60" w:type="dxa"/>
            </w:tcMar>
            <w:vAlign w:val="center"/>
          </w:tcPr>
          <w:p w14:paraId="3CBC8139"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(2 500)</w:t>
            </w:r>
          </w:p>
        </w:tc>
        <w:tc>
          <w:tcPr>
            <w:tcW w:w="851" w:type="dxa"/>
            <w:tcBorders>
              <w:top w:val="nil"/>
              <w:left w:val="nil"/>
              <w:bottom w:val="single" w:sz="4" w:space="0" w:color="016794"/>
              <w:right w:val="nil"/>
              <w:tl2br w:val="nil"/>
              <w:tr2bl w:val="nil"/>
            </w:tcBorders>
            <w:tcMar>
              <w:left w:w="60" w:type="dxa"/>
              <w:right w:w="60" w:type="dxa"/>
            </w:tcMar>
            <w:vAlign w:val="center"/>
          </w:tcPr>
          <w:p w14:paraId="26B643F2"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0" w:type="dxa"/>
            <w:tcBorders>
              <w:top w:val="nil"/>
              <w:left w:val="nil"/>
              <w:bottom w:val="single" w:sz="4" w:space="0" w:color="016794"/>
              <w:right w:val="nil"/>
              <w:tl2br w:val="nil"/>
              <w:tr2bl w:val="nil"/>
            </w:tcBorders>
            <w:tcMar>
              <w:left w:w="60" w:type="dxa"/>
              <w:right w:w="60" w:type="dxa"/>
            </w:tcMar>
            <w:vAlign w:val="center"/>
          </w:tcPr>
          <w:p w14:paraId="39596565"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single" w:sz="4" w:space="0" w:color="016794"/>
              <w:right w:val="nil"/>
              <w:tl2br w:val="nil"/>
              <w:tr2bl w:val="nil"/>
            </w:tcBorders>
            <w:tcMar>
              <w:left w:w="60" w:type="dxa"/>
              <w:right w:w="60" w:type="dxa"/>
            </w:tcMar>
            <w:vAlign w:val="center"/>
          </w:tcPr>
          <w:p w14:paraId="35939C4C" w14:textId="77777777" w:rsidR="00807FFE" w:rsidRDefault="00023E71">
            <w:pPr>
              <w:pStyle w:val="DMETW36633BIPLGFB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93" w:type="dxa"/>
            <w:tcBorders>
              <w:top w:val="nil"/>
              <w:left w:val="nil"/>
              <w:bottom w:val="single" w:sz="4" w:space="0" w:color="016794"/>
              <w:right w:val="nil"/>
              <w:tl2br w:val="nil"/>
              <w:tr2bl w:val="nil"/>
            </w:tcBorders>
            <w:tcMar>
              <w:left w:w="60" w:type="dxa"/>
              <w:right w:w="60" w:type="dxa"/>
            </w:tcMar>
            <w:vAlign w:val="center"/>
          </w:tcPr>
          <w:p w14:paraId="7ADFE9D2" w14:textId="77777777" w:rsidR="00807FFE" w:rsidRDefault="00023E71">
            <w:pPr>
              <w:pStyle w:val="DMETW36633BIPLGFBF"/>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3410CD98" w14:textId="77777777">
        <w:trPr>
          <w:trHeight w:val="255"/>
        </w:trPr>
        <w:tc>
          <w:tcPr>
            <w:tcW w:w="2519" w:type="dxa"/>
            <w:tcBorders>
              <w:top w:val="single" w:sz="4" w:space="0" w:color="016794"/>
              <w:left w:val="nil"/>
              <w:bottom w:val="single" w:sz="4" w:space="0" w:color="016794"/>
              <w:right w:val="nil"/>
              <w:tl2br w:val="nil"/>
              <w:tr2bl w:val="nil"/>
            </w:tcBorders>
            <w:tcMar>
              <w:left w:w="60" w:type="dxa"/>
              <w:right w:w="60" w:type="dxa"/>
            </w:tcMar>
            <w:vAlign w:val="center"/>
          </w:tcPr>
          <w:p w14:paraId="3229D0B2" w14:textId="77777777" w:rsidR="00807FFE" w:rsidRDefault="00023E71">
            <w:pPr>
              <w:pStyle w:val="DMETW36633BIPLGFBF"/>
              <w:rPr>
                <w:rFonts w:ascii="Verdana" w:eastAsia="Verdana" w:hAnsi="Verdana" w:cs="Verdana"/>
                <w:b/>
                <w:noProof/>
                <w:color w:val="000000"/>
                <w:sz w:val="18"/>
              </w:rPr>
            </w:pPr>
            <w:r>
              <w:rPr>
                <w:rFonts w:ascii="Verdana" w:eastAsia="Verdana" w:hAnsi="Verdana" w:cs="Verdana"/>
                <w:b/>
                <w:noProof/>
                <w:color w:val="000000"/>
                <w:sz w:val="18"/>
              </w:rPr>
              <w:t>Total at 31.12.2025</w:t>
            </w:r>
          </w:p>
        </w:tc>
        <w:tc>
          <w:tcPr>
            <w:tcW w:w="1227" w:type="dxa"/>
            <w:tcBorders>
              <w:top w:val="single" w:sz="4" w:space="0" w:color="016794"/>
              <w:left w:val="nil"/>
              <w:bottom w:val="single" w:sz="4" w:space="0" w:color="016794"/>
              <w:right w:val="nil"/>
              <w:tl2br w:val="nil"/>
              <w:tr2bl w:val="nil"/>
            </w:tcBorders>
            <w:tcMar>
              <w:left w:w="60" w:type="dxa"/>
              <w:right w:w="60" w:type="dxa"/>
            </w:tcMar>
            <w:vAlign w:val="center"/>
          </w:tcPr>
          <w:p w14:paraId="093813CF" w14:textId="77777777" w:rsidR="00807FFE" w:rsidRDefault="00023E71">
            <w:pPr>
              <w:pStyle w:val="DMETW36633BIPLGFBF"/>
              <w:jc w:val="right"/>
              <w:rPr>
                <w:rFonts w:ascii="Verdana" w:eastAsia="Verdana" w:hAnsi="Verdana" w:cs="Verdana"/>
                <w:b/>
                <w:noProof/>
                <w:color w:val="000000"/>
                <w:sz w:val="18"/>
              </w:rPr>
            </w:pPr>
            <w:r>
              <w:rPr>
                <w:rFonts w:ascii="Verdana" w:eastAsia="Verdana" w:hAnsi="Verdana" w:cs="Verdana"/>
                <w:b/>
                <w:noProof/>
                <w:color w:val="000000"/>
                <w:sz w:val="18"/>
              </w:rPr>
              <w:t>588 088</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14:paraId="475CA931" w14:textId="77777777" w:rsidR="00807FFE" w:rsidRDefault="00023E71">
            <w:pPr>
              <w:pStyle w:val="DMETW36633BIPLGFBF"/>
              <w:jc w:val="right"/>
              <w:rPr>
                <w:rFonts w:ascii="Verdana" w:eastAsia="Verdana" w:hAnsi="Verdana" w:cs="Verdana"/>
                <w:b/>
                <w:noProof/>
                <w:color w:val="000000"/>
                <w:sz w:val="18"/>
              </w:rPr>
            </w:pPr>
            <w:r>
              <w:rPr>
                <w:rFonts w:ascii="Verdana" w:eastAsia="Verdana" w:hAnsi="Verdana" w:cs="Verdana"/>
                <w:b/>
                <w:noProof/>
                <w:color w:val="000000"/>
                <w:sz w:val="18"/>
              </w:rPr>
              <w:t>90 705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48D39118" w14:textId="77777777" w:rsidR="00807FFE" w:rsidRDefault="00023E71">
            <w:pPr>
              <w:pStyle w:val="DMETW36633BIPLGFBF"/>
              <w:jc w:val="right"/>
              <w:rPr>
                <w:rFonts w:ascii="Verdana" w:eastAsia="Verdana" w:hAnsi="Verdana" w:cs="Verdana"/>
                <w:b/>
                <w:noProof/>
                <w:color w:val="000000"/>
                <w:sz w:val="18"/>
              </w:rPr>
            </w:pPr>
            <w:r>
              <w:rPr>
                <w:rFonts w:ascii="Verdana" w:eastAsia="Verdana" w:hAnsi="Verdana" w:cs="Verdana"/>
                <w:b/>
                <w:noProof/>
                <w:color w:val="000000"/>
                <w:sz w:val="18"/>
              </w:rPr>
              <w:t>37 382</w:t>
            </w: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14:paraId="77722CD1" w14:textId="77777777" w:rsidR="00807FFE" w:rsidRDefault="00023E71">
            <w:pPr>
              <w:pStyle w:val="DMETW36633BIPLGFBF"/>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14:paraId="722E4BBA" w14:textId="77777777" w:rsidR="00807FFE" w:rsidRDefault="00023E71">
            <w:pPr>
              <w:pStyle w:val="DMETW36633BIPLGFBF"/>
              <w:jc w:val="right"/>
              <w:rPr>
                <w:rFonts w:ascii="Verdana" w:eastAsia="Verdana" w:hAnsi="Verdana" w:cs="Verdana"/>
                <w:b/>
                <w:noProof/>
                <w:color w:val="000000"/>
                <w:sz w:val="18"/>
              </w:rPr>
            </w:pPr>
            <w:r>
              <w:rPr>
                <w:rFonts w:ascii="Verdana" w:eastAsia="Verdana" w:hAnsi="Verdana" w:cs="Verdana"/>
                <w:b/>
                <w:noProof/>
                <w:color w:val="000000"/>
                <w:sz w:val="18"/>
              </w:rPr>
              <w:t>14 749</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14:paraId="751C1DDF" w14:textId="77777777" w:rsidR="00807FFE" w:rsidRDefault="00023E71">
            <w:pPr>
              <w:pStyle w:val="DMETW36633BIPLGFBF"/>
              <w:jc w:val="right"/>
              <w:rPr>
                <w:rFonts w:ascii="Verdana" w:eastAsia="Verdana" w:hAnsi="Verdana" w:cs="Verdana"/>
                <w:b/>
                <w:noProof/>
                <w:color w:val="000000"/>
                <w:sz w:val="18"/>
              </w:rPr>
            </w:pPr>
            <w:r>
              <w:rPr>
                <w:rFonts w:ascii="Verdana" w:eastAsia="Verdana" w:hAnsi="Verdana" w:cs="Verdana"/>
                <w:b/>
                <w:noProof/>
                <w:color w:val="000000"/>
                <w:sz w:val="18"/>
              </w:rPr>
              <w:t xml:space="preserve"> 301</w:t>
            </w:r>
          </w:p>
        </w:tc>
        <w:tc>
          <w:tcPr>
            <w:tcW w:w="1193" w:type="dxa"/>
            <w:tcBorders>
              <w:top w:val="single" w:sz="4" w:space="0" w:color="016794"/>
              <w:left w:val="nil"/>
              <w:bottom w:val="single" w:sz="4" w:space="0" w:color="016794"/>
              <w:right w:val="nil"/>
              <w:tl2br w:val="nil"/>
              <w:tr2bl w:val="nil"/>
            </w:tcBorders>
            <w:tcMar>
              <w:left w:w="60" w:type="dxa"/>
              <w:right w:w="60" w:type="dxa"/>
            </w:tcMar>
            <w:vAlign w:val="center"/>
          </w:tcPr>
          <w:p w14:paraId="52B2E53A" w14:textId="77777777" w:rsidR="00807FFE" w:rsidRDefault="00023E71">
            <w:pPr>
              <w:pStyle w:val="DMETW36633BIPLGFBF"/>
              <w:jc w:val="right"/>
              <w:rPr>
                <w:rFonts w:ascii="Verdana" w:eastAsia="Verdana" w:hAnsi="Verdana" w:cs="Verdana"/>
                <w:b/>
                <w:noProof/>
                <w:color w:val="000000"/>
                <w:sz w:val="18"/>
                <w:lang w:bidi="en-GB"/>
              </w:rPr>
            </w:pPr>
            <w:r>
              <w:rPr>
                <w:rFonts w:ascii="Verdana" w:eastAsia="Verdana" w:hAnsi="Verdana" w:cs="Verdana"/>
                <w:b/>
                <w:noProof/>
                <w:color w:val="000000"/>
                <w:sz w:val="18"/>
              </w:rPr>
              <w:t>731 224</w:t>
            </w:r>
          </w:p>
        </w:tc>
      </w:tr>
      <w:tr w:rsidR="00807FFE" w14:paraId="69865788" w14:textId="77777777">
        <w:trPr>
          <w:trHeight w:val="255"/>
        </w:trPr>
        <w:tc>
          <w:tcPr>
            <w:tcW w:w="2519" w:type="dxa"/>
            <w:tcBorders>
              <w:top w:val="single" w:sz="4" w:space="0" w:color="016794"/>
              <w:left w:val="nil"/>
              <w:bottom w:val="nil"/>
              <w:right w:val="nil"/>
              <w:tl2br w:val="nil"/>
              <w:tr2bl w:val="nil"/>
            </w:tcBorders>
            <w:tcMar>
              <w:left w:w="60" w:type="dxa"/>
              <w:right w:w="60" w:type="dxa"/>
            </w:tcMar>
            <w:vAlign w:val="center"/>
          </w:tcPr>
          <w:p w14:paraId="03AC0CCD" w14:textId="77777777" w:rsidR="00807FFE" w:rsidRDefault="00023E71">
            <w:pPr>
              <w:pStyle w:val="DMETW36633BIPLGFBF"/>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227" w:type="dxa"/>
            <w:tcBorders>
              <w:top w:val="single" w:sz="4" w:space="0" w:color="016794"/>
              <w:left w:val="nil"/>
              <w:bottom w:val="nil"/>
              <w:right w:val="nil"/>
              <w:tl2br w:val="nil"/>
              <w:tr2bl w:val="nil"/>
            </w:tcBorders>
            <w:tcMar>
              <w:left w:w="60" w:type="dxa"/>
              <w:right w:w="60" w:type="dxa"/>
            </w:tcMar>
            <w:vAlign w:val="bottom"/>
          </w:tcPr>
          <w:p w14:paraId="7A73BA02"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514 099</w:t>
            </w:r>
          </w:p>
        </w:tc>
        <w:tc>
          <w:tcPr>
            <w:tcW w:w="992" w:type="dxa"/>
            <w:tcBorders>
              <w:top w:val="single" w:sz="4" w:space="0" w:color="016794"/>
              <w:left w:val="nil"/>
              <w:bottom w:val="nil"/>
              <w:right w:val="nil"/>
              <w:tl2br w:val="nil"/>
              <w:tr2bl w:val="nil"/>
            </w:tcBorders>
            <w:tcMar>
              <w:left w:w="60" w:type="dxa"/>
              <w:right w:w="60" w:type="dxa"/>
            </w:tcMar>
            <w:vAlign w:val="bottom"/>
          </w:tcPr>
          <w:p w14:paraId="44B3DF01"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82 594</w:t>
            </w:r>
          </w:p>
        </w:tc>
        <w:tc>
          <w:tcPr>
            <w:tcW w:w="1134" w:type="dxa"/>
            <w:tcBorders>
              <w:top w:val="single" w:sz="4" w:space="0" w:color="016794"/>
              <w:left w:val="nil"/>
              <w:bottom w:val="nil"/>
              <w:right w:val="nil"/>
              <w:tl2br w:val="nil"/>
              <w:tr2bl w:val="nil"/>
            </w:tcBorders>
            <w:tcMar>
              <w:left w:w="60" w:type="dxa"/>
              <w:right w:w="60" w:type="dxa"/>
            </w:tcMar>
            <w:vAlign w:val="bottom"/>
          </w:tcPr>
          <w:p w14:paraId="437F0201"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30 818</w:t>
            </w:r>
          </w:p>
        </w:tc>
        <w:tc>
          <w:tcPr>
            <w:tcW w:w="851" w:type="dxa"/>
            <w:tcBorders>
              <w:top w:val="single" w:sz="4" w:space="0" w:color="016794"/>
              <w:left w:val="nil"/>
              <w:bottom w:val="nil"/>
              <w:right w:val="nil"/>
              <w:tl2br w:val="nil"/>
              <w:tr2bl w:val="nil"/>
            </w:tcBorders>
            <w:tcMar>
              <w:left w:w="60" w:type="dxa"/>
              <w:right w:w="60" w:type="dxa"/>
            </w:tcMar>
            <w:vAlign w:val="bottom"/>
          </w:tcPr>
          <w:p w14:paraId="7A7CB5A1"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w:t>
            </w:r>
          </w:p>
        </w:tc>
        <w:tc>
          <w:tcPr>
            <w:tcW w:w="850" w:type="dxa"/>
            <w:tcBorders>
              <w:top w:val="single" w:sz="4" w:space="0" w:color="016794"/>
              <w:left w:val="nil"/>
              <w:bottom w:val="nil"/>
              <w:right w:val="nil"/>
              <w:tl2br w:val="nil"/>
              <w:tr2bl w:val="nil"/>
            </w:tcBorders>
            <w:tcMar>
              <w:left w:w="60" w:type="dxa"/>
              <w:right w:w="60" w:type="dxa"/>
            </w:tcMar>
            <w:vAlign w:val="bottom"/>
          </w:tcPr>
          <w:p w14:paraId="1D50D674"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14 495</w:t>
            </w:r>
          </w:p>
        </w:tc>
        <w:tc>
          <w:tcPr>
            <w:tcW w:w="992" w:type="dxa"/>
            <w:tcBorders>
              <w:top w:val="single" w:sz="4" w:space="0" w:color="016794"/>
              <w:left w:val="nil"/>
              <w:bottom w:val="nil"/>
              <w:right w:val="nil"/>
              <w:tl2br w:val="nil"/>
              <w:tr2bl w:val="nil"/>
            </w:tcBorders>
            <w:tcMar>
              <w:left w:w="60" w:type="dxa"/>
              <w:right w:w="60" w:type="dxa"/>
            </w:tcMar>
            <w:vAlign w:val="bottom"/>
          </w:tcPr>
          <w:p w14:paraId="413FE872"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 xml:space="preserve"> 300</w:t>
            </w:r>
          </w:p>
        </w:tc>
        <w:tc>
          <w:tcPr>
            <w:tcW w:w="1193" w:type="dxa"/>
            <w:tcBorders>
              <w:top w:val="single" w:sz="4" w:space="0" w:color="016794"/>
              <w:left w:val="nil"/>
              <w:bottom w:val="nil"/>
              <w:right w:val="nil"/>
              <w:tl2br w:val="nil"/>
              <w:tr2bl w:val="nil"/>
            </w:tcBorders>
            <w:tcMar>
              <w:left w:w="60" w:type="dxa"/>
              <w:right w:w="60" w:type="dxa"/>
            </w:tcMar>
            <w:vAlign w:val="bottom"/>
          </w:tcPr>
          <w:p w14:paraId="4BC5421E" w14:textId="77777777" w:rsidR="00807FFE" w:rsidRDefault="00023E71">
            <w:pPr>
              <w:pStyle w:val="DMETW36633BIPLGFBF"/>
              <w:jc w:val="right"/>
              <w:rPr>
                <w:rFonts w:ascii="Verdana" w:eastAsia="Verdana" w:hAnsi="Verdana" w:cs="Verdana"/>
                <w:i/>
                <w:noProof/>
                <w:color w:val="016794"/>
                <w:sz w:val="18"/>
                <w:lang w:bidi="en-GB"/>
              </w:rPr>
            </w:pPr>
            <w:r>
              <w:rPr>
                <w:rFonts w:ascii="Verdana" w:eastAsia="Verdana" w:hAnsi="Verdana" w:cs="Verdana"/>
                <w:i/>
                <w:noProof/>
                <w:color w:val="016794"/>
                <w:sz w:val="18"/>
              </w:rPr>
              <w:t>642 305</w:t>
            </w:r>
          </w:p>
        </w:tc>
      </w:tr>
      <w:tr w:rsidR="00807FFE" w14:paraId="1DA71164" w14:textId="77777777">
        <w:trPr>
          <w:trHeight w:val="255"/>
        </w:trPr>
        <w:tc>
          <w:tcPr>
            <w:tcW w:w="2519" w:type="dxa"/>
            <w:tcBorders>
              <w:top w:val="nil"/>
              <w:left w:val="nil"/>
              <w:bottom w:val="nil"/>
              <w:right w:val="nil"/>
              <w:tl2br w:val="nil"/>
              <w:tr2bl w:val="nil"/>
            </w:tcBorders>
            <w:tcMar>
              <w:left w:w="60" w:type="dxa"/>
              <w:right w:w="60" w:type="dxa"/>
            </w:tcMar>
            <w:vAlign w:val="center"/>
          </w:tcPr>
          <w:p w14:paraId="61D8E60E" w14:textId="77777777" w:rsidR="00807FFE" w:rsidRDefault="00023E71">
            <w:pPr>
              <w:pStyle w:val="DMETW36633BIPLGFBF"/>
              <w:rPr>
                <w:rFonts w:ascii="Verdana" w:eastAsia="Verdana" w:hAnsi="Verdana" w:cs="Verdana"/>
                <w:i/>
                <w:noProof/>
                <w:color w:val="016794"/>
                <w:sz w:val="18"/>
              </w:rPr>
            </w:pPr>
            <w:r>
              <w:rPr>
                <w:rFonts w:ascii="Verdana" w:eastAsia="Verdana" w:hAnsi="Verdana" w:cs="Verdana"/>
                <w:i/>
                <w:noProof/>
                <w:color w:val="016794"/>
                <w:sz w:val="18"/>
              </w:rPr>
              <w:t>Current</w:t>
            </w:r>
          </w:p>
        </w:tc>
        <w:tc>
          <w:tcPr>
            <w:tcW w:w="1227" w:type="dxa"/>
            <w:tcBorders>
              <w:top w:val="nil"/>
              <w:left w:val="nil"/>
              <w:bottom w:val="nil"/>
              <w:right w:val="nil"/>
              <w:tl2br w:val="nil"/>
              <w:tr2bl w:val="nil"/>
            </w:tcBorders>
            <w:tcMar>
              <w:left w:w="60" w:type="dxa"/>
              <w:right w:w="60" w:type="dxa"/>
            </w:tcMar>
            <w:vAlign w:val="bottom"/>
          </w:tcPr>
          <w:p w14:paraId="58FE8545"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73 989</w:t>
            </w:r>
          </w:p>
        </w:tc>
        <w:tc>
          <w:tcPr>
            <w:tcW w:w="992" w:type="dxa"/>
            <w:tcBorders>
              <w:top w:val="nil"/>
              <w:left w:val="nil"/>
              <w:bottom w:val="nil"/>
              <w:right w:val="nil"/>
              <w:tl2br w:val="nil"/>
              <w:tr2bl w:val="nil"/>
            </w:tcBorders>
            <w:tcMar>
              <w:left w:w="60" w:type="dxa"/>
              <w:right w:w="60" w:type="dxa"/>
            </w:tcMar>
            <w:vAlign w:val="bottom"/>
          </w:tcPr>
          <w:p w14:paraId="374B8E45"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8 111</w:t>
            </w:r>
          </w:p>
        </w:tc>
        <w:tc>
          <w:tcPr>
            <w:tcW w:w="1134" w:type="dxa"/>
            <w:tcBorders>
              <w:top w:val="nil"/>
              <w:left w:val="nil"/>
              <w:bottom w:val="nil"/>
              <w:right w:val="nil"/>
              <w:tl2br w:val="nil"/>
              <w:tr2bl w:val="nil"/>
            </w:tcBorders>
            <w:tcMar>
              <w:left w:w="60" w:type="dxa"/>
              <w:right w:w="60" w:type="dxa"/>
            </w:tcMar>
            <w:vAlign w:val="bottom"/>
          </w:tcPr>
          <w:p w14:paraId="689DBD9D"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6 564</w:t>
            </w:r>
          </w:p>
        </w:tc>
        <w:tc>
          <w:tcPr>
            <w:tcW w:w="851" w:type="dxa"/>
            <w:tcBorders>
              <w:top w:val="nil"/>
              <w:left w:val="nil"/>
              <w:bottom w:val="nil"/>
              <w:right w:val="nil"/>
              <w:tl2br w:val="nil"/>
              <w:tr2bl w:val="nil"/>
            </w:tcBorders>
            <w:tcMar>
              <w:left w:w="60" w:type="dxa"/>
              <w:right w:w="60" w:type="dxa"/>
            </w:tcMar>
            <w:vAlign w:val="bottom"/>
          </w:tcPr>
          <w:p w14:paraId="068013FE"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w:t>
            </w:r>
          </w:p>
        </w:tc>
        <w:tc>
          <w:tcPr>
            <w:tcW w:w="850" w:type="dxa"/>
            <w:tcBorders>
              <w:top w:val="nil"/>
              <w:left w:val="nil"/>
              <w:bottom w:val="nil"/>
              <w:right w:val="nil"/>
              <w:tl2br w:val="nil"/>
              <w:tr2bl w:val="nil"/>
            </w:tcBorders>
            <w:tcMar>
              <w:left w:w="60" w:type="dxa"/>
              <w:right w:w="60" w:type="dxa"/>
            </w:tcMar>
            <w:vAlign w:val="bottom"/>
          </w:tcPr>
          <w:p w14:paraId="7A8BB696"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 xml:space="preserve"> 255</w:t>
            </w:r>
          </w:p>
        </w:tc>
        <w:tc>
          <w:tcPr>
            <w:tcW w:w="992" w:type="dxa"/>
            <w:tcBorders>
              <w:top w:val="nil"/>
              <w:left w:val="nil"/>
              <w:bottom w:val="nil"/>
              <w:right w:val="nil"/>
              <w:tl2br w:val="nil"/>
              <w:tr2bl w:val="nil"/>
            </w:tcBorders>
            <w:tcMar>
              <w:left w:w="60" w:type="dxa"/>
              <w:right w:w="60" w:type="dxa"/>
            </w:tcMar>
            <w:vAlign w:val="bottom"/>
          </w:tcPr>
          <w:p w14:paraId="5CE884FD"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 xml:space="preserve"> 0</w:t>
            </w:r>
          </w:p>
        </w:tc>
        <w:tc>
          <w:tcPr>
            <w:tcW w:w="1193" w:type="dxa"/>
            <w:tcBorders>
              <w:top w:val="nil"/>
              <w:left w:val="nil"/>
              <w:bottom w:val="nil"/>
              <w:right w:val="nil"/>
              <w:tl2br w:val="nil"/>
              <w:tr2bl w:val="nil"/>
            </w:tcBorders>
            <w:tcMar>
              <w:left w:w="60" w:type="dxa"/>
              <w:right w:w="60" w:type="dxa"/>
            </w:tcMar>
            <w:vAlign w:val="bottom"/>
          </w:tcPr>
          <w:p w14:paraId="5F42B859" w14:textId="77777777" w:rsidR="00807FFE" w:rsidRDefault="00023E71">
            <w:pPr>
              <w:pStyle w:val="DMETW36633BIPLGFBF"/>
              <w:jc w:val="right"/>
              <w:rPr>
                <w:rFonts w:ascii="Verdana" w:eastAsia="Verdana" w:hAnsi="Verdana" w:cs="Verdana"/>
                <w:i/>
                <w:noProof/>
                <w:color w:val="016794"/>
                <w:sz w:val="18"/>
              </w:rPr>
            </w:pPr>
            <w:r>
              <w:rPr>
                <w:rFonts w:ascii="Verdana" w:eastAsia="Verdana" w:hAnsi="Verdana" w:cs="Verdana"/>
                <w:i/>
                <w:noProof/>
                <w:color w:val="016794"/>
                <w:sz w:val="18"/>
              </w:rPr>
              <w:t>88 919</w:t>
            </w:r>
          </w:p>
        </w:tc>
      </w:tr>
    </w:tbl>
    <w:p w14:paraId="2D52E1C0" w14:textId="77777777" w:rsidR="00A85355" w:rsidRDefault="00A85355" w:rsidP="004E02E3">
      <w:pPr>
        <w:pStyle w:val="Textstand-alone"/>
      </w:pPr>
    </w:p>
    <w:p w14:paraId="5FAB53F8" w14:textId="77777777" w:rsidR="004E02E3" w:rsidRPr="0057083A" w:rsidRDefault="00023E71" w:rsidP="004E02E3">
      <w:pPr>
        <w:pStyle w:val="Textstand-alone"/>
      </w:pPr>
      <w:r w:rsidRPr="0057083A">
        <w:t xml:space="preserve">The </w:t>
      </w:r>
      <w:r w:rsidR="00714943" w:rsidRPr="0057083A">
        <w:t xml:space="preserve">nominal amount of </w:t>
      </w:r>
      <w:r w:rsidRPr="0057083A">
        <w:t xml:space="preserve">borrowings </w:t>
      </w:r>
      <w:r>
        <w:t>as at 31 December 202</w:t>
      </w:r>
      <w:r w:rsidR="00D549C4">
        <w:t>5</w:t>
      </w:r>
      <w:r>
        <w:t xml:space="preserve"> was</w:t>
      </w:r>
      <w:r w:rsidR="00714943" w:rsidRPr="0057083A">
        <w:t xml:space="preserve"> </w:t>
      </w:r>
      <w:r w:rsidR="008F1AC4" w:rsidRPr="0057083A">
        <w:t xml:space="preserve">EUR </w:t>
      </w:r>
      <w:bookmarkStart w:id="163" w:name="_Hlk225199148"/>
      <w:r w:rsidR="00D549C4">
        <w:t>738.9</w:t>
      </w:r>
      <w:r w:rsidR="008F1AC4" w:rsidRPr="0057083A">
        <w:t xml:space="preserve"> </w:t>
      </w:r>
      <w:bookmarkEnd w:id="163"/>
      <w:r w:rsidR="008F1AC4" w:rsidRPr="0057083A">
        <w:t>billion (202</w:t>
      </w:r>
      <w:r w:rsidR="00D549C4">
        <w:t>4</w:t>
      </w:r>
      <w:r w:rsidR="008F1AC4" w:rsidRPr="0057083A">
        <w:t>: EUR</w:t>
      </w:r>
      <w:r>
        <w:t> </w:t>
      </w:r>
      <w:r w:rsidR="00D549C4" w:rsidRPr="00D549C4">
        <w:t>601.3</w:t>
      </w:r>
      <w:r>
        <w:t> </w:t>
      </w:r>
      <w:r w:rsidR="008F1AC4" w:rsidRPr="0057083A">
        <w:t>billion)</w:t>
      </w:r>
      <w:r>
        <w:t>.</w:t>
      </w:r>
      <w:r w:rsidR="008F1AC4" w:rsidRPr="0057083A">
        <w:t xml:space="preserve"> </w:t>
      </w:r>
      <w:r>
        <w:t>The majority of these borrowings were</w:t>
      </w:r>
      <w:r w:rsidR="008F1AC4" w:rsidRPr="0057083A">
        <w:t xml:space="preserve"> </w:t>
      </w:r>
      <w:r w:rsidR="00616308" w:rsidRPr="0057083A">
        <w:t>long-term</w:t>
      </w:r>
      <w:r w:rsidRPr="0057083A">
        <w:t xml:space="preserve"> bond</w:t>
      </w:r>
      <w:r w:rsidR="008F1AC4" w:rsidRPr="0057083A">
        <w:t xml:space="preserve"> issuances</w:t>
      </w:r>
      <w:r w:rsidRPr="0057083A">
        <w:t xml:space="preserve">, </w:t>
      </w:r>
      <w:r w:rsidR="004754A3" w:rsidRPr="0057083A">
        <w:t>except for</w:t>
      </w:r>
      <w:r w:rsidR="008F1AC4" w:rsidRPr="0057083A">
        <w:t xml:space="preserve"> unified funding</w:t>
      </w:r>
      <w:r w:rsidR="004754A3" w:rsidRPr="0057083A">
        <w:t xml:space="preserve"> where </w:t>
      </w:r>
      <w:r w:rsidR="00A134C7" w:rsidRPr="0057083A">
        <w:t>short</w:t>
      </w:r>
      <w:r>
        <w:t>-</w:t>
      </w:r>
      <w:r w:rsidR="00A134C7" w:rsidRPr="0057083A">
        <w:t>term EU-</w:t>
      </w:r>
      <w:r>
        <w:t>B</w:t>
      </w:r>
      <w:r w:rsidR="00A134C7" w:rsidRPr="0057083A">
        <w:t>ills</w:t>
      </w:r>
      <w:r w:rsidR="00616308" w:rsidRPr="0057083A">
        <w:t xml:space="preserve"> of </w:t>
      </w:r>
      <w:r w:rsidR="004754A3" w:rsidRPr="0057083A">
        <w:t xml:space="preserve">EUR </w:t>
      </w:r>
      <w:r w:rsidR="00D549C4">
        <w:t>36</w:t>
      </w:r>
      <w:r w:rsidR="0005087D" w:rsidRPr="0057083A">
        <w:t>.</w:t>
      </w:r>
      <w:r w:rsidR="00D549C4">
        <w:t>8</w:t>
      </w:r>
      <w:r w:rsidR="004754A3" w:rsidRPr="0057083A">
        <w:t xml:space="preserve"> billion</w:t>
      </w:r>
      <w:r w:rsidR="00C43010" w:rsidRPr="0057083A">
        <w:t xml:space="preserve"> </w:t>
      </w:r>
      <w:r w:rsidRPr="0057083A">
        <w:t>(</w:t>
      </w:r>
      <w:r w:rsidR="00616308" w:rsidRPr="0057083A">
        <w:t>202</w:t>
      </w:r>
      <w:r w:rsidR="00D549C4">
        <w:t>4</w:t>
      </w:r>
      <w:r w:rsidR="00616308" w:rsidRPr="0057083A">
        <w:t xml:space="preserve">: </w:t>
      </w:r>
      <w:r w:rsidRPr="0057083A">
        <w:t>EU</w:t>
      </w:r>
      <w:r w:rsidR="00616308" w:rsidRPr="0057083A">
        <w:t xml:space="preserve">R </w:t>
      </w:r>
      <w:r w:rsidR="00D549C4" w:rsidRPr="0057083A">
        <w:t>23.1</w:t>
      </w:r>
      <w:r w:rsidR="00D549C4">
        <w:t xml:space="preserve"> </w:t>
      </w:r>
      <w:r w:rsidR="00616308" w:rsidRPr="0057083A">
        <w:t>billion</w:t>
      </w:r>
      <w:r w:rsidRPr="0057083A">
        <w:t>)</w:t>
      </w:r>
      <w:r>
        <w:t xml:space="preserve"> were also outstanding at year-end</w:t>
      </w:r>
      <w:r w:rsidRPr="0057083A">
        <w:t>. The net new</w:t>
      </w:r>
      <w:r w:rsidR="00BE5524" w:rsidRPr="0057083A">
        <w:t xml:space="preserve"> borrowing </w:t>
      </w:r>
      <w:r w:rsidRPr="0057083A">
        <w:t>in 202</w:t>
      </w:r>
      <w:r w:rsidR="00D549C4">
        <w:t>5</w:t>
      </w:r>
      <w:r w:rsidRPr="0057083A">
        <w:t xml:space="preserve"> was EUR </w:t>
      </w:r>
      <w:r w:rsidR="00D549C4">
        <w:t>137.6</w:t>
      </w:r>
      <w:r w:rsidRPr="0057083A">
        <w:t xml:space="preserve"> billion (nominal).</w:t>
      </w:r>
    </w:p>
    <w:p w14:paraId="4AC14D66" w14:textId="77777777" w:rsidR="00B17635" w:rsidRPr="0057083A" w:rsidRDefault="00023E71" w:rsidP="00B17635">
      <w:pPr>
        <w:pStyle w:val="Textstand-alone"/>
      </w:pPr>
      <w:r w:rsidRPr="0057083A">
        <w:t>T</w:t>
      </w:r>
      <w:r w:rsidR="004B5CF0" w:rsidRPr="0057083A">
        <w:t>he</w:t>
      </w:r>
      <w:r w:rsidR="006854AE" w:rsidRPr="0057083A">
        <w:t xml:space="preserve"> </w:t>
      </w:r>
      <w:r w:rsidR="00771CF3" w:rsidRPr="0057083A">
        <w:t xml:space="preserve">amounts </w:t>
      </w:r>
      <w:r>
        <w:t>borrowed for</w:t>
      </w:r>
      <w:r w:rsidR="00771CF3" w:rsidRPr="0057083A">
        <w:t xml:space="preserve"> </w:t>
      </w:r>
      <w:r w:rsidRPr="0057083A">
        <w:t>SURE, EFSM, Euratom</w:t>
      </w:r>
      <w:r w:rsidR="006854AE" w:rsidRPr="0057083A">
        <w:t xml:space="preserve"> </w:t>
      </w:r>
      <w:r w:rsidR="00834F6C" w:rsidRPr="0057083A">
        <w:t>and MFA loans signed before 202</w:t>
      </w:r>
      <w:r w:rsidR="00DA5B90" w:rsidRPr="0057083A">
        <w:t>3</w:t>
      </w:r>
      <w:r w:rsidR="00834F6C" w:rsidRPr="0057083A">
        <w:t xml:space="preserve"> </w:t>
      </w:r>
      <w:r w:rsidR="006854AE" w:rsidRPr="0057083A">
        <w:t xml:space="preserve">are </w:t>
      </w:r>
      <w:r w:rsidR="006B5652" w:rsidRPr="0057083A">
        <w:t>‘</w:t>
      </w:r>
      <w:r w:rsidR="006854AE" w:rsidRPr="0057083A">
        <w:t>back-to-back</w:t>
      </w:r>
      <w:r w:rsidR="00771CF3" w:rsidRPr="0057083A">
        <w:t>’ transactions</w:t>
      </w:r>
      <w:r>
        <w:t>,</w:t>
      </w:r>
      <w:r w:rsidR="00771CF3" w:rsidRPr="0057083A">
        <w:t xml:space="preserve"> </w:t>
      </w:r>
      <w:r w:rsidR="00A21BD4" w:rsidRPr="0057083A">
        <w:t xml:space="preserve">which means that the </w:t>
      </w:r>
      <w:r>
        <w:t>EU</w:t>
      </w:r>
      <w:r w:rsidR="00A21BD4" w:rsidRPr="0057083A">
        <w:t xml:space="preserve"> issues a </w:t>
      </w:r>
      <w:r>
        <w:t>dedicated</w:t>
      </w:r>
      <w:r w:rsidR="00A21BD4" w:rsidRPr="0057083A">
        <w:t xml:space="preserve"> bond to fund a </w:t>
      </w:r>
      <w:r>
        <w:t>specific</w:t>
      </w:r>
      <w:r w:rsidR="00A21BD4" w:rsidRPr="0057083A">
        <w:t xml:space="preserve"> loan </w:t>
      </w:r>
      <w:r w:rsidRPr="0057083A">
        <w:t>agreement</w:t>
      </w:r>
      <w:r w:rsidR="00A21BD4" w:rsidRPr="0057083A">
        <w:t xml:space="preserve"> </w:t>
      </w:r>
      <w:r>
        <w:t>at</w:t>
      </w:r>
      <w:r w:rsidR="00A21BD4" w:rsidRPr="0057083A">
        <w:t xml:space="preserve"> the same terms</w:t>
      </w:r>
      <w:r w:rsidR="00633041" w:rsidRPr="0057083A">
        <w:t xml:space="preserve"> and conditions</w:t>
      </w:r>
      <w:r w:rsidR="00A21BD4" w:rsidRPr="0057083A">
        <w:t xml:space="preserve"> </w:t>
      </w:r>
      <w:r w:rsidRPr="00266667">
        <w:t>–</w:t>
      </w:r>
      <w:r w:rsidR="006854AE" w:rsidRPr="0057083A">
        <w:t xml:space="preserve"> see </w:t>
      </w:r>
      <w:r>
        <w:t>N</w:t>
      </w:r>
      <w:r w:rsidR="006854AE" w:rsidRPr="0057083A">
        <w:t xml:space="preserve">ote </w:t>
      </w:r>
      <w:r w:rsidR="006854AE" w:rsidRPr="0057083A">
        <w:rPr>
          <w:b/>
        </w:rPr>
        <w:t>2.4.1.1</w:t>
      </w:r>
      <w:r w:rsidR="006854AE" w:rsidRPr="0057083A">
        <w:t>.</w:t>
      </w:r>
    </w:p>
    <w:p w14:paraId="74C32901" w14:textId="77777777" w:rsidR="00C010A8" w:rsidRPr="0057083A" w:rsidRDefault="00023E71" w:rsidP="00730683">
      <w:pPr>
        <w:pStyle w:val="Textstand-alone"/>
      </w:pPr>
      <w:r w:rsidRPr="0057083A">
        <w:t xml:space="preserve">The </w:t>
      </w:r>
      <w:r w:rsidR="004810BB" w:rsidRPr="0057083A">
        <w:t>‘</w:t>
      </w:r>
      <w:r w:rsidRPr="0057083A">
        <w:t>unified funding</w:t>
      </w:r>
      <w:r w:rsidR="004810BB" w:rsidRPr="0057083A">
        <w:t>’</w:t>
      </w:r>
      <w:r w:rsidR="00B545B7" w:rsidRPr="0057083A">
        <w:t xml:space="preserve"> financ</w:t>
      </w:r>
      <w:r w:rsidR="006854AE" w:rsidRPr="0057083A">
        <w:t>e</w:t>
      </w:r>
      <w:r w:rsidRPr="0057083A">
        <w:t>s</w:t>
      </w:r>
      <w:r w:rsidR="00B545B7" w:rsidRPr="0057083A">
        <w:t xml:space="preserve"> </w:t>
      </w:r>
      <w:r w:rsidR="00F35F43" w:rsidRPr="0057083A">
        <w:t xml:space="preserve">the </w:t>
      </w:r>
      <w:r>
        <w:t>RRF (including REPowerEU)</w:t>
      </w:r>
      <w:r w:rsidR="00F022C6" w:rsidRPr="0057083A">
        <w:t xml:space="preserve"> loans and non-repayable support</w:t>
      </w:r>
      <w:r>
        <w:t>,</w:t>
      </w:r>
      <w:r w:rsidR="00F022C6" w:rsidRPr="0057083A">
        <w:t xml:space="preserve"> as well as </w:t>
      </w:r>
      <w:r w:rsidR="00F35F43" w:rsidRPr="0057083A">
        <w:t xml:space="preserve">the </w:t>
      </w:r>
      <w:r w:rsidR="00834F6C" w:rsidRPr="0057083A">
        <w:t>Ukraine</w:t>
      </w:r>
      <w:r w:rsidR="00D549C4">
        <w:t>, Western Balkans and Moldova facilities</w:t>
      </w:r>
      <w:r w:rsidR="00834F6C" w:rsidRPr="0057083A">
        <w:t xml:space="preserve"> and MFA </w:t>
      </w:r>
      <w:r w:rsidR="00F35F43" w:rsidRPr="0057083A">
        <w:t xml:space="preserve">loans </w:t>
      </w:r>
      <w:r w:rsidR="003F0792" w:rsidRPr="0057083A">
        <w:t>signed</w:t>
      </w:r>
      <w:r w:rsidR="00834F6C" w:rsidRPr="0057083A">
        <w:t xml:space="preserve"> </w:t>
      </w:r>
      <w:r w:rsidR="000B3075" w:rsidRPr="0057083A">
        <w:t>as of 2023</w:t>
      </w:r>
      <w:r w:rsidR="003F0792" w:rsidRPr="0057083A">
        <w:t>.</w:t>
      </w:r>
      <w:r w:rsidR="00810248" w:rsidRPr="0057083A">
        <w:rPr>
          <w:rFonts w:cs="Arial"/>
          <w:sz w:val="20"/>
        </w:rPr>
        <w:t xml:space="preserve"> </w:t>
      </w:r>
      <w:r w:rsidR="006E41DD" w:rsidRPr="0057083A">
        <w:rPr>
          <w:rFonts w:cs="Arial"/>
          <w:sz w:val="20"/>
        </w:rPr>
        <w:t>T</w:t>
      </w:r>
      <w:r w:rsidRPr="0057083A">
        <w:t>he Commission uses a</w:t>
      </w:r>
      <w:r w:rsidR="006E41DD" w:rsidRPr="0057083A">
        <w:t xml:space="preserve"> </w:t>
      </w:r>
      <w:r w:rsidRPr="0057083A">
        <w:t xml:space="preserve">pooled funding approach where the </w:t>
      </w:r>
      <w:r>
        <w:t xml:space="preserve">individual </w:t>
      </w:r>
      <w:r w:rsidRPr="0057083A">
        <w:t>borrowings are not directly funding specific disbursements. Instead</w:t>
      </w:r>
      <w:r>
        <w:t>, the debt is issued according to an annual borrowing plan, with long term bonds and short-term bills. The Commission</w:t>
      </w:r>
      <w:r w:rsidRPr="002365B2">
        <w:rPr>
          <w:szCs w:val="24"/>
          <w:lang w:val="en-US"/>
        </w:rPr>
        <w:t xml:space="preserve"> </w:t>
      </w:r>
      <w:r>
        <w:rPr>
          <w:szCs w:val="24"/>
          <w:lang w:val="en-US"/>
        </w:rPr>
        <w:t xml:space="preserve">uses auctions and syndications to issue these securities. </w:t>
      </w:r>
      <w:r w:rsidRPr="00266667">
        <w:rPr>
          <w:szCs w:val="24"/>
          <w:lang w:val="en-US"/>
        </w:rPr>
        <w:t xml:space="preserve">It then passes on the costs, in line with the cost allocation methodology agreed with Member States, to the Member States </w:t>
      </w:r>
      <w:r w:rsidR="00D549C4">
        <w:rPr>
          <w:szCs w:val="24"/>
          <w:lang w:val="en-US"/>
        </w:rPr>
        <w:t xml:space="preserve">and other beneficiary countries </w:t>
      </w:r>
      <w:r w:rsidRPr="00266667">
        <w:rPr>
          <w:szCs w:val="24"/>
          <w:lang w:val="en-US"/>
        </w:rPr>
        <w:t xml:space="preserve">for the loans and to the EU budget for the non-repayable support. This funding flexibility also requires a liquidity buffer for an efficient liquidity management, see </w:t>
      </w:r>
      <w:r>
        <w:rPr>
          <w:szCs w:val="24"/>
          <w:lang w:val="en-US"/>
        </w:rPr>
        <w:t>N</w:t>
      </w:r>
      <w:r w:rsidRPr="00266667">
        <w:rPr>
          <w:szCs w:val="24"/>
          <w:lang w:val="en-US"/>
        </w:rPr>
        <w:t xml:space="preserve">ote </w:t>
      </w:r>
      <w:r w:rsidRPr="00266667">
        <w:rPr>
          <w:b/>
          <w:bCs/>
          <w:szCs w:val="24"/>
          <w:lang w:val="en-US"/>
        </w:rPr>
        <w:t>2.8.2</w:t>
      </w:r>
      <w:r w:rsidRPr="00266667">
        <w:rPr>
          <w:szCs w:val="24"/>
          <w:lang w:val="en-US"/>
        </w:rPr>
        <w:t xml:space="preserve">. In the context of the unified funding strategy, the Union issues short-term EU-Bills (3 to 12 months), which may be repaid during the same or following year. </w:t>
      </w:r>
      <w:r w:rsidRPr="00D549C4">
        <w:rPr>
          <w:szCs w:val="24"/>
          <w:lang w:val="en-US"/>
        </w:rPr>
        <w:t>The line ‘Repayments’ refers to EUR</w:t>
      </w:r>
      <w:r>
        <w:rPr>
          <w:szCs w:val="24"/>
          <w:lang w:val="en-US"/>
        </w:rPr>
        <w:t> </w:t>
      </w:r>
      <w:r w:rsidRPr="00D549C4">
        <w:rPr>
          <w:szCs w:val="24"/>
          <w:lang w:val="en-US"/>
        </w:rPr>
        <w:t>5</w:t>
      </w:r>
      <w:r w:rsidR="00D549C4" w:rsidRPr="00D549C4">
        <w:rPr>
          <w:szCs w:val="24"/>
          <w:lang w:val="en-US"/>
        </w:rPr>
        <w:t>5</w:t>
      </w:r>
      <w:r w:rsidRPr="00D549C4">
        <w:rPr>
          <w:szCs w:val="24"/>
          <w:lang w:val="en-US"/>
        </w:rPr>
        <w:t>.</w:t>
      </w:r>
      <w:r w:rsidR="00D549C4" w:rsidRPr="00D549C4">
        <w:rPr>
          <w:szCs w:val="24"/>
          <w:lang w:val="en-US"/>
        </w:rPr>
        <w:t>3</w:t>
      </w:r>
      <w:r w:rsidRPr="00D549C4">
        <w:rPr>
          <w:szCs w:val="24"/>
          <w:lang w:val="en-US"/>
        </w:rPr>
        <w:t xml:space="preserve"> billion of such short-term borrowings</w:t>
      </w:r>
      <w:r w:rsidR="0083085C" w:rsidRPr="00D549C4">
        <w:t>.</w:t>
      </w:r>
      <w:r w:rsidR="00682C87" w:rsidRPr="0057083A">
        <w:t xml:space="preserve"> </w:t>
      </w:r>
    </w:p>
    <w:p w14:paraId="7E08FB3A" w14:textId="77777777" w:rsidR="00730683" w:rsidRDefault="00023E71" w:rsidP="00730683">
      <w:pPr>
        <w:pStyle w:val="Textstand-alone"/>
      </w:pPr>
      <w:r w:rsidRPr="001578A7">
        <w:t xml:space="preserve">The </w:t>
      </w:r>
      <w:r w:rsidR="00DA7C04">
        <w:t>line ‘</w:t>
      </w:r>
      <w:r>
        <w:t>C</w:t>
      </w:r>
      <w:r w:rsidRPr="001578A7">
        <w:t>hanges in carrying amount</w:t>
      </w:r>
      <w:r w:rsidR="00DA7C04">
        <w:t>’</w:t>
      </w:r>
      <w:r w:rsidRPr="001578A7">
        <w:t xml:space="preserve"> correspond</w:t>
      </w:r>
      <w:r w:rsidR="00DA7C04">
        <w:t>s</w:t>
      </w:r>
      <w:r w:rsidRPr="001578A7">
        <w:t xml:space="preserve"> to </w:t>
      </w:r>
      <w:r w:rsidR="00C908B9">
        <w:t>the change in accrued interest and to</w:t>
      </w:r>
      <w:r w:rsidR="00851F2E">
        <w:t xml:space="preserve"> the change</w:t>
      </w:r>
      <w:r>
        <w:t>s</w:t>
      </w:r>
      <w:r w:rsidR="00851F2E">
        <w:t xml:space="preserve"> in premiums/discounts (new premiums/discounts and amortisation)</w:t>
      </w:r>
      <w:r w:rsidR="00851F2E" w:rsidRPr="00A93250">
        <w:t>.</w:t>
      </w:r>
      <w:r w:rsidR="00AC2BDD">
        <w:t xml:space="preserve"> </w:t>
      </w:r>
    </w:p>
    <w:p w14:paraId="399AE79E" w14:textId="77777777" w:rsidR="00D549C4" w:rsidRDefault="00023E71" w:rsidP="00730683">
      <w:pPr>
        <w:pStyle w:val="Textstand-alone"/>
      </w:pPr>
      <w:r>
        <w:t>The line ‘Other movements’ relates to a transfer of EUR 2.5 billion of bonds</w:t>
      </w:r>
      <w:r w:rsidR="001F663C">
        <w:t xml:space="preserve"> (nominal)</w:t>
      </w:r>
      <w:r>
        <w:t xml:space="preserve"> from the EFSM programme to the unified funding following the early repayment of two loans by Portugal</w:t>
      </w:r>
      <w:r w:rsidR="001F663C">
        <w:t xml:space="preserve"> – see </w:t>
      </w:r>
      <w:r>
        <w:t>N</w:t>
      </w:r>
      <w:r w:rsidR="001F663C">
        <w:t xml:space="preserve">ote </w:t>
      </w:r>
      <w:r w:rsidR="001F663C" w:rsidRPr="001F663C">
        <w:rPr>
          <w:b/>
          <w:bCs/>
        </w:rPr>
        <w:t>2.4.1.1</w:t>
      </w:r>
      <w:r>
        <w:t>.</w:t>
      </w:r>
    </w:p>
    <w:p w14:paraId="06B46282" w14:textId="77777777" w:rsidR="009B75C1" w:rsidRPr="001578A7" w:rsidRDefault="00023E71" w:rsidP="00730683">
      <w:pPr>
        <w:pStyle w:val="Textstand-alone"/>
      </w:pPr>
      <w:r w:rsidRPr="00450561">
        <w:t>T</w:t>
      </w:r>
      <w:r w:rsidR="004D7002" w:rsidRPr="00450561">
        <w:t xml:space="preserve">he repayment of the above borrowings </w:t>
      </w:r>
      <w:r w:rsidR="00AB2AA0">
        <w:t>is</w:t>
      </w:r>
      <w:r w:rsidR="004D7002" w:rsidRPr="00450561">
        <w:t xml:space="preserve"> ultimately guaranteed by the EU budget – see </w:t>
      </w:r>
      <w:r>
        <w:t>N</w:t>
      </w:r>
      <w:r w:rsidR="004D7002" w:rsidRPr="00450561">
        <w:t xml:space="preserve">ote </w:t>
      </w:r>
      <w:r w:rsidR="00387FCC" w:rsidRPr="00450561">
        <w:rPr>
          <w:b/>
        </w:rPr>
        <w:t>2.4.1.1</w:t>
      </w:r>
      <w:r>
        <w:t>.</w:t>
      </w:r>
      <w:r w:rsidR="00414C76">
        <w:t xml:space="preserve">  </w:t>
      </w:r>
    </w:p>
    <w:p w14:paraId="5133BAFD" w14:textId="77777777" w:rsidR="009B75C1" w:rsidRPr="001578A7" w:rsidRDefault="00023E71" w:rsidP="00172034">
      <w:pPr>
        <w:pStyle w:val="HEADER4NOTES"/>
        <w:numPr>
          <w:ilvl w:val="3"/>
          <w:numId w:val="15"/>
        </w:numPr>
        <w:rPr>
          <w:noProof/>
        </w:rPr>
      </w:pPr>
      <w:r w:rsidRPr="001578A7">
        <w:rPr>
          <w:noProof/>
        </w:rPr>
        <w:t>Other financial liabilities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8"/>
        <w:gridCol w:w="2000"/>
        <w:gridCol w:w="2000"/>
      </w:tblGrid>
      <w:tr w:rsidR="00807FFE" w14:paraId="54E1A120" w14:textId="77777777">
        <w:trPr>
          <w:trHeight w:val="255"/>
        </w:trPr>
        <w:tc>
          <w:tcPr>
            <w:tcW w:w="5758" w:type="dxa"/>
            <w:tcBorders>
              <w:top w:val="nil"/>
              <w:left w:val="nil"/>
              <w:bottom w:val="nil"/>
              <w:right w:val="nil"/>
              <w:tl2br w:val="nil"/>
              <w:tr2bl w:val="nil"/>
            </w:tcBorders>
            <w:tcMar>
              <w:left w:w="60" w:type="dxa"/>
              <w:right w:w="60" w:type="dxa"/>
            </w:tcMar>
            <w:vAlign w:val="bottom"/>
          </w:tcPr>
          <w:p w14:paraId="48996ABB" w14:textId="77777777" w:rsidR="00807FFE" w:rsidRDefault="00807FFE">
            <w:pPr>
              <w:pStyle w:val="DMETW36770BIPOthFinanL"/>
              <w:rPr>
                <w:rFonts w:ascii="Arial" w:eastAsia="Arial" w:hAnsi="Arial" w:cs="Arial"/>
                <w:noProof/>
                <w:color w:val="000000"/>
                <w:lang w:bidi="en-GB"/>
              </w:rPr>
            </w:pPr>
            <w:bookmarkStart w:id="164" w:name="DOC_TBL00059_1_1"/>
            <w:bookmarkEnd w:id="164"/>
          </w:p>
        </w:tc>
        <w:tc>
          <w:tcPr>
            <w:tcW w:w="2000" w:type="dxa"/>
            <w:tcBorders>
              <w:top w:val="nil"/>
              <w:left w:val="nil"/>
              <w:bottom w:val="nil"/>
              <w:right w:val="nil"/>
              <w:tl2br w:val="nil"/>
              <w:tr2bl w:val="nil"/>
            </w:tcBorders>
            <w:tcMar>
              <w:left w:w="60" w:type="dxa"/>
              <w:right w:w="60" w:type="dxa"/>
            </w:tcMar>
            <w:vAlign w:val="bottom"/>
          </w:tcPr>
          <w:p w14:paraId="40A05436" w14:textId="77777777" w:rsidR="00807FFE" w:rsidRDefault="00807FFE">
            <w:pPr>
              <w:pStyle w:val="DMETW36770BIPOthFinanL"/>
              <w:rPr>
                <w:rFonts w:ascii="Arial" w:eastAsia="Arial" w:hAnsi="Arial" w:cs="Arial"/>
                <w:noProof/>
                <w:color w:val="000000"/>
              </w:rPr>
            </w:pPr>
          </w:p>
        </w:tc>
        <w:tc>
          <w:tcPr>
            <w:tcW w:w="2000" w:type="dxa"/>
            <w:tcBorders>
              <w:top w:val="nil"/>
              <w:left w:val="nil"/>
              <w:bottom w:val="nil"/>
              <w:right w:val="nil"/>
              <w:tl2br w:val="nil"/>
              <w:tr2bl w:val="nil"/>
            </w:tcBorders>
            <w:tcMar>
              <w:left w:w="60" w:type="dxa"/>
              <w:right w:w="60" w:type="dxa"/>
            </w:tcMar>
            <w:vAlign w:val="bottom"/>
          </w:tcPr>
          <w:p w14:paraId="61CB7202" w14:textId="77777777" w:rsidR="00807FFE" w:rsidRDefault="00023E71">
            <w:pPr>
              <w:pStyle w:val="DMETW36770BIPOthFinanL"/>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925585D" w14:textId="77777777">
        <w:trPr>
          <w:trHeight w:val="255"/>
        </w:trPr>
        <w:tc>
          <w:tcPr>
            <w:tcW w:w="5758" w:type="dxa"/>
            <w:tcBorders>
              <w:top w:val="nil"/>
              <w:left w:val="nil"/>
              <w:bottom w:val="nil"/>
              <w:right w:val="nil"/>
              <w:tl2br w:val="nil"/>
              <w:tr2bl w:val="nil"/>
            </w:tcBorders>
            <w:shd w:val="solid" w:color="016794" w:fill="FFFFFF"/>
            <w:tcMar>
              <w:left w:w="60" w:type="dxa"/>
              <w:right w:w="60" w:type="dxa"/>
            </w:tcMar>
            <w:vAlign w:val="center"/>
          </w:tcPr>
          <w:p w14:paraId="6EEF1FC4" w14:textId="77777777" w:rsidR="00807FFE" w:rsidRDefault="00807FFE">
            <w:pPr>
              <w:pStyle w:val="DMETW36770BIPOthFinanL"/>
              <w:jc w:val="right"/>
              <w:rPr>
                <w:rFonts w:ascii="Verdana" w:eastAsia="Verdana" w:hAnsi="Verdana" w:cs="Verdana"/>
                <w:noProof/>
                <w:color w:val="FFFFFF"/>
              </w:rPr>
            </w:pPr>
          </w:p>
        </w:tc>
        <w:tc>
          <w:tcPr>
            <w:tcW w:w="2000" w:type="dxa"/>
            <w:tcBorders>
              <w:top w:val="nil"/>
              <w:left w:val="nil"/>
              <w:bottom w:val="nil"/>
              <w:right w:val="nil"/>
              <w:tl2br w:val="nil"/>
              <w:tr2bl w:val="nil"/>
            </w:tcBorders>
            <w:shd w:val="solid" w:color="016794" w:fill="FFFFFF"/>
            <w:tcMar>
              <w:left w:w="60" w:type="dxa"/>
              <w:right w:w="60" w:type="dxa"/>
            </w:tcMar>
            <w:vAlign w:val="center"/>
          </w:tcPr>
          <w:p w14:paraId="66A2858E" w14:textId="77777777" w:rsidR="00807FFE" w:rsidRDefault="00023E71">
            <w:pPr>
              <w:pStyle w:val="DMETW36770BIPOthFinanL"/>
              <w:jc w:val="right"/>
              <w:rPr>
                <w:rFonts w:ascii="Verdana" w:eastAsia="Verdana" w:hAnsi="Verdana" w:cs="Verdana"/>
                <w:noProof/>
                <w:color w:val="FFFFFF"/>
              </w:rPr>
            </w:pPr>
            <w:r>
              <w:rPr>
                <w:rFonts w:ascii="Verdana" w:eastAsia="Verdana" w:hAnsi="Verdana" w:cs="Verdana"/>
                <w:noProof/>
                <w:color w:val="FFFFFF"/>
              </w:rPr>
              <w:t>31.12.2025</w:t>
            </w:r>
          </w:p>
        </w:tc>
        <w:tc>
          <w:tcPr>
            <w:tcW w:w="2000" w:type="dxa"/>
            <w:tcBorders>
              <w:top w:val="nil"/>
              <w:left w:val="nil"/>
              <w:bottom w:val="nil"/>
              <w:right w:val="nil"/>
              <w:tl2br w:val="nil"/>
              <w:tr2bl w:val="nil"/>
            </w:tcBorders>
            <w:shd w:val="solid" w:color="016794" w:fill="FFFFFF"/>
            <w:tcMar>
              <w:left w:w="60" w:type="dxa"/>
              <w:right w:w="60" w:type="dxa"/>
            </w:tcMar>
            <w:vAlign w:val="center"/>
          </w:tcPr>
          <w:p w14:paraId="03EA9366" w14:textId="77777777" w:rsidR="00807FFE" w:rsidRDefault="00023E71">
            <w:pPr>
              <w:pStyle w:val="DMETW36770BIPOthFinanL"/>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C48EEC1" w14:textId="77777777">
        <w:trPr>
          <w:trHeight w:val="255"/>
        </w:trPr>
        <w:tc>
          <w:tcPr>
            <w:tcW w:w="5758" w:type="dxa"/>
            <w:tcBorders>
              <w:top w:val="nil"/>
              <w:left w:val="nil"/>
              <w:bottom w:val="nil"/>
              <w:right w:val="nil"/>
              <w:tl2br w:val="nil"/>
              <w:tr2bl w:val="nil"/>
            </w:tcBorders>
            <w:tcMar>
              <w:left w:w="60" w:type="dxa"/>
              <w:right w:w="60" w:type="dxa"/>
            </w:tcMar>
            <w:vAlign w:val="center"/>
          </w:tcPr>
          <w:p w14:paraId="08BBDD5A" w14:textId="77777777" w:rsidR="00807FFE" w:rsidRDefault="00023E71">
            <w:pPr>
              <w:pStyle w:val="DMETW36770BIPOthFinanL"/>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2000" w:type="dxa"/>
            <w:tcBorders>
              <w:top w:val="nil"/>
              <w:left w:val="nil"/>
              <w:bottom w:val="nil"/>
              <w:right w:val="nil"/>
              <w:tl2br w:val="nil"/>
              <w:tr2bl w:val="nil"/>
            </w:tcBorders>
            <w:tcMar>
              <w:left w:w="60" w:type="dxa"/>
              <w:right w:w="60" w:type="dxa"/>
            </w:tcMar>
            <w:vAlign w:val="center"/>
          </w:tcPr>
          <w:p w14:paraId="2A2778F3" w14:textId="77777777" w:rsidR="00807FFE" w:rsidRDefault="00807FFE">
            <w:pPr>
              <w:pStyle w:val="DMETW36770BIPOthFinanL"/>
              <w:jc w:val="right"/>
              <w:rPr>
                <w:rFonts w:ascii="Verdana" w:eastAsia="Verdana" w:hAnsi="Verdana" w:cs="Verdana"/>
                <w:b/>
                <w:noProof/>
                <w:color w:val="000000"/>
                <w:sz w:val="18"/>
              </w:rPr>
            </w:pPr>
          </w:p>
        </w:tc>
        <w:tc>
          <w:tcPr>
            <w:tcW w:w="2000" w:type="dxa"/>
            <w:tcBorders>
              <w:top w:val="nil"/>
              <w:left w:val="nil"/>
              <w:bottom w:val="nil"/>
              <w:right w:val="nil"/>
              <w:tl2br w:val="nil"/>
              <w:tr2bl w:val="nil"/>
            </w:tcBorders>
            <w:tcMar>
              <w:left w:w="60" w:type="dxa"/>
              <w:right w:w="60" w:type="dxa"/>
            </w:tcMar>
            <w:vAlign w:val="center"/>
          </w:tcPr>
          <w:p w14:paraId="4757BF0B" w14:textId="77777777" w:rsidR="00807FFE" w:rsidRDefault="00807FFE">
            <w:pPr>
              <w:pStyle w:val="DMETW36770BIPOthFinanL"/>
              <w:rPr>
                <w:rFonts w:ascii="Arial" w:eastAsia="Arial" w:hAnsi="Arial" w:cs="Arial"/>
                <w:noProof/>
                <w:color w:val="000000"/>
                <w:lang w:bidi="en-GB"/>
              </w:rPr>
            </w:pPr>
          </w:p>
        </w:tc>
      </w:tr>
      <w:tr w:rsidR="00807FFE" w14:paraId="6EBF5D14" w14:textId="77777777">
        <w:trPr>
          <w:trHeight w:val="255"/>
        </w:trPr>
        <w:tc>
          <w:tcPr>
            <w:tcW w:w="5758" w:type="dxa"/>
            <w:tcBorders>
              <w:top w:val="nil"/>
              <w:left w:val="nil"/>
              <w:bottom w:val="nil"/>
              <w:right w:val="nil"/>
              <w:tl2br w:val="nil"/>
              <w:tr2bl w:val="nil"/>
            </w:tcBorders>
            <w:tcMar>
              <w:left w:w="60" w:type="dxa"/>
              <w:right w:w="60" w:type="dxa"/>
            </w:tcMar>
            <w:vAlign w:val="center"/>
          </w:tcPr>
          <w:p w14:paraId="64FC08D9" w14:textId="77777777" w:rsidR="00807FFE" w:rsidRDefault="00023E71">
            <w:pPr>
              <w:pStyle w:val="DMETW36770BIPOthFinanL"/>
              <w:rPr>
                <w:rFonts w:ascii="Verdana" w:eastAsia="Verdana" w:hAnsi="Verdana" w:cs="Verdana"/>
                <w:i/>
                <w:noProof/>
                <w:color w:val="000000"/>
                <w:sz w:val="18"/>
              </w:rPr>
            </w:pPr>
            <w:r>
              <w:rPr>
                <w:rFonts w:ascii="Verdana" w:eastAsia="Verdana" w:hAnsi="Verdana" w:cs="Verdana"/>
                <w:i/>
                <w:noProof/>
                <w:color w:val="000000"/>
                <w:sz w:val="18"/>
              </w:rPr>
              <w:t>Finance lease liabilities</w:t>
            </w:r>
          </w:p>
        </w:tc>
        <w:tc>
          <w:tcPr>
            <w:tcW w:w="2000" w:type="dxa"/>
            <w:tcBorders>
              <w:top w:val="nil"/>
              <w:left w:val="nil"/>
              <w:bottom w:val="nil"/>
              <w:right w:val="nil"/>
              <w:tl2br w:val="nil"/>
              <w:tr2bl w:val="nil"/>
            </w:tcBorders>
            <w:tcMar>
              <w:left w:w="60" w:type="dxa"/>
              <w:right w:w="60" w:type="dxa"/>
            </w:tcMar>
            <w:vAlign w:val="center"/>
          </w:tcPr>
          <w:p w14:paraId="33EC6984" w14:textId="77777777" w:rsidR="00807FFE" w:rsidRDefault="00023E71">
            <w:pPr>
              <w:pStyle w:val="DMETW36770BIPOthFinanL"/>
              <w:jc w:val="right"/>
              <w:rPr>
                <w:rFonts w:ascii="Verdana" w:eastAsia="Verdana" w:hAnsi="Verdana" w:cs="Verdana"/>
                <w:i/>
                <w:noProof/>
                <w:color w:val="000000"/>
                <w:sz w:val="18"/>
              </w:rPr>
            </w:pPr>
            <w:r>
              <w:rPr>
                <w:rFonts w:ascii="Verdana" w:eastAsia="Verdana" w:hAnsi="Verdana" w:cs="Verdana"/>
                <w:i/>
                <w:noProof/>
                <w:color w:val="000000"/>
                <w:sz w:val="18"/>
              </w:rPr>
              <w:t xml:space="preserve"> 511</w:t>
            </w:r>
          </w:p>
        </w:tc>
        <w:tc>
          <w:tcPr>
            <w:tcW w:w="2000" w:type="dxa"/>
            <w:tcBorders>
              <w:top w:val="nil"/>
              <w:left w:val="nil"/>
              <w:bottom w:val="nil"/>
              <w:right w:val="nil"/>
              <w:tl2br w:val="nil"/>
              <w:tr2bl w:val="nil"/>
            </w:tcBorders>
            <w:tcMar>
              <w:left w:w="60" w:type="dxa"/>
              <w:right w:w="60" w:type="dxa"/>
            </w:tcMar>
            <w:vAlign w:val="center"/>
          </w:tcPr>
          <w:p w14:paraId="0F98AA06" w14:textId="77777777" w:rsidR="00807FFE" w:rsidRDefault="00023E71">
            <w:pPr>
              <w:pStyle w:val="DMETW36770BIPOthFina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605</w:t>
            </w:r>
          </w:p>
        </w:tc>
      </w:tr>
      <w:tr w:rsidR="00807FFE" w14:paraId="7DA520C1" w14:textId="77777777">
        <w:trPr>
          <w:trHeight w:val="255"/>
        </w:trPr>
        <w:tc>
          <w:tcPr>
            <w:tcW w:w="5758" w:type="dxa"/>
            <w:tcBorders>
              <w:top w:val="nil"/>
              <w:left w:val="nil"/>
              <w:bottom w:val="nil"/>
              <w:right w:val="nil"/>
              <w:tl2br w:val="nil"/>
              <w:tr2bl w:val="nil"/>
            </w:tcBorders>
            <w:tcMar>
              <w:left w:w="60" w:type="dxa"/>
              <w:right w:w="60" w:type="dxa"/>
            </w:tcMar>
            <w:vAlign w:val="center"/>
          </w:tcPr>
          <w:p w14:paraId="3E62AB3F" w14:textId="77777777" w:rsidR="00807FFE" w:rsidRDefault="00023E71">
            <w:pPr>
              <w:pStyle w:val="DMETW36770BIPOthFinanL"/>
              <w:rPr>
                <w:rFonts w:ascii="Verdana" w:eastAsia="Verdana" w:hAnsi="Verdana" w:cs="Verdana"/>
                <w:i/>
                <w:noProof/>
                <w:color w:val="000000"/>
                <w:sz w:val="18"/>
              </w:rPr>
            </w:pPr>
            <w:r>
              <w:rPr>
                <w:rFonts w:ascii="Verdana" w:eastAsia="Verdana" w:hAnsi="Verdana" w:cs="Verdana"/>
                <w:i/>
                <w:noProof/>
                <w:color w:val="000000"/>
                <w:sz w:val="18"/>
              </w:rPr>
              <w:t>Buildings paid for in instalments</w:t>
            </w:r>
          </w:p>
        </w:tc>
        <w:tc>
          <w:tcPr>
            <w:tcW w:w="2000" w:type="dxa"/>
            <w:tcBorders>
              <w:top w:val="nil"/>
              <w:left w:val="nil"/>
              <w:bottom w:val="nil"/>
              <w:right w:val="nil"/>
              <w:tl2br w:val="nil"/>
              <w:tr2bl w:val="nil"/>
            </w:tcBorders>
            <w:tcMar>
              <w:left w:w="60" w:type="dxa"/>
              <w:right w:w="60" w:type="dxa"/>
            </w:tcMar>
            <w:vAlign w:val="center"/>
          </w:tcPr>
          <w:p w14:paraId="6A5067C6" w14:textId="77777777" w:rsidR="00807FFE" w:rsidRDefault="00023E71">
            <w:pPr>
              <w:pStyle w:val="DMETW36770BIPOthFinanL"/>
              <w:jc w:val="right"/>
              <w:rPr>
                <w:rFonts w:ascii="Verdana" w:eastAsia="Verdana" w:hAnsi="Verdana" w:cs="Verdana"/>
                <w:i/>
                <w:noProof/>
                <w:color w:val="000000"/>
                <w:sz w:val="18"/>
              </w:rPr>
            </w:pPr>
            <w:r>
              <w:rPr>
                <w:rFonts w:ascii="Verdana" w:eastAsia="Verdana" w:hAnsi="Verdana" w:cs="Verdana"/>
                <w:i/>
                <w:noProof/>
                <w:color w:val="000000"/>
                <w:sz w:val="18"/>
              </w:rPr>
              <w:t xml:space="preserve"> 244</w:t>
            </w:r>
          </w:p>
        </w:tc>
        <w:tc>
          <w:tcPr>
            <w:tcW w:w="2000" w:type="dxa"/>
            <w:tcBorders>
              <w:top w:val="nil"/>
              <w:left w:val="nil"/>
              <w:bottom w:val="nil"/>
              <w:right w:val="nil"/>
              <w:tl2br w:val="nil"/>
              <w:tr2bl w:val="nil"/>
            </w:tcBorders>
            <w:tcMar>
              <w:left w:w="60" w:type="dxa"/>
              <w:right w:w="60" w:type="dxa"/>
            </w:tcMar>
            <w:vAlign w:val="center"/>
          </w:tcPr>
          <w:p w14:paraId="29AA199B" w14:textId="77777777" w:rsidR="00807FFE" w:rsidRDefault="00023E71">
            <w:pPr>
              <w:pStyle w:val="DMETW36770BIPOthFina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283</w:t>
            </w:r>
          </w:p>
        </w:tc>
      </w:tr>
      <w:tr w:rsidR="00807FFE" w14:paraId="65A7CB2C" w14:textId="77777777">
        <w:trPr>
          <w:trHeight w:val="255"/>
        </w:trPr>
        <w:tc>
          <w:tcPr>
            <w:tcW w:w="5758" w:type="dxa"/>
            <w:tcBorders>
              <w:top w:val="nil"/>
              <w:left w:val="nil"/>
              <w:bottom w:val="nil"/>
              <w:right w:val="nil"/>
              <w:tl2br w:val="nil"/>
              <w:tr2bl w:val="nil"/>
            </w:tcBorders>
            <w:tcMar>
              <w:left w:w="60" w:type="dxa"/>
              <w:right w:w="60" w:type="dxa"/>
            </w:tcMar>
            <w:vAlign w:val="center"/>
          </w:tcPr>
          <w:p w14:paraId="42E676F6" w14:textId="77777777" w:rsidR="00807FFE" w:rsidRDefault="00023E71">
            <w:pPr>
              <w:pStyle w:val="DMETW36770BIPOthFinanL"/>
              <w:rPr>
                <w:rFonts w:ascii="Verdana" w:eastAsia="Verdana" w:hAnsi="Verdana" w:cs="Verdana"/>
                <w:i/>
                <w:noProof/>
                <w:color w:val="000000"/>
                <w:sz w:val="18"/>
              </w:rPr>
            </w:pPr>
            <w:r>
              <w:rPr>
                <w:rFonts w:ascii="Verdana" w:eastAsia="Verdana" w:hAnsi="Verdana" w:cs="Verdana"/>
                <w:i/>
                <w:noProof/>
                <w:color w:val="000000"/>
                <w:sz w:val="18"/>
              </w:rPr>
              <w:t>Contributions with conditions</w:t>
            </w:r>
          </w:p>
        </w:tc>
        <w:tc>
          <w:tcPr>
            <w:tcW w:w="2000" w:type="dxa"/>
            <w:tcBorders>
              <w:top w:val="nil"/>
              <w:left w:val="nil"/>
              <w:bottom w:val="nil"/>
              <w:right w:val="nil"/>
              <w:tl2br w:val="nil"/>
              <w:tr2bl w:val="nil"/>
            </w:tcBorders>
            <w:tcMar>
              <w:left w:w="60" w:type="dxa"/>
              <w:right w:w="60" w:type="dxa"/>
            </w:tcMar>
            <w:vAlign w:val="center"/>
          </w:tcPr>
          <w:p w14:paraId="1E6E961C" w14:textId="77777777" w:rsidR="00807FFE" w:rsidRDefault="00023E71">
            <w:pPr>
              <w:pStyle w:val="DMETW36770BIPOthFinanL"/>
              <w:jc w:val="right"/>
              <w:rPr>
                <w:rFonts w:ascii="Verdana" w:eastAsia="Verdana" w:hAnsi="Verdana" w:cs="Verdana"/>
                <w:i/>
                <w:noProof/>
                <w:color w:val="000000"/>
                <w:sz w:val="18"/>
              </w:rPr>
            </w:pPr>
            <w:r>
              <w:rPr>
                <w:rFonts w:ascii="Verdana" w:eastAsia="Verdana" w:hAnsi="Verdana" w:cs="Verdana"/>
                <w:i/>
                <w:noProof/>
                <w:color w:val="000000"/>
                <w:sz w:val="18"/>
              </w:rPr>
              <w:t xml:space="preserve"> 617</w:t>
            </w:r>
          </w:p>
        </w:tc>
        <w:tc>
          <w:tcPr>
            <w:tcW w:w="2000" w:type="dxa"/>
            <w:tcBorders>
              <w:top w:val="nil"/>
              <w:left w:val="nil"/>
              <w:bottom w:val="nil"/>
              <w:right w:val="nil"/>
              <w:tl2br w:val="nil"/>
              <w:tr2bl w:val="nil"/>
            </w:tcBorders>
            <w:tcMar>
              <w:left w:w="60" w:type="dxa"/>
              <w:right w:w="60" w:type="dxa"/>
            </w:tcMar>
            <w:vAlign w:val="center"/>
          </w:tcPr>
          <w:p w14:paraId="13816260" w14:textId="77777777" w:rsidR="00807FFE" w:rsidRDefault="00023E71">
            <w:pPr>
              <w:pStyle w:val="DMETW36770BIPOthFina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234</w:t>
            </w:r>
          </w:p>
        </w:tc>
      </w:tr>
      <w:tr w:rsidR="00807FFE" w14:paraId="035F8C39" w14:textId="77777777">
        <w:trPr>
          <w:trHeight w:val="255"/>
        </w:trPr>
        <w:tc>
          <w:tcPr>
            <w:tcW w:w="5758" w:type="dxa"/>
            <w:tcBorders>
              <w:top w:val="nil"/>
              <w:left w:val="nil"/>
              <w:bottom w:val="single" w:sz="4" w:space="0" w:color="016794"/>
              <w:right w:val="nil"/>
              <w:tl2br w:val="nil"/>
              <w:tr2bl w:val="nil"/>
            </w:tcBorders>
            <w:tcMar>
              <w:left w:w="60" w:type="dxa"/>
              <w:right w:w="60" w:type="dxa"/>
            </w:tcMar>
            <w:vAlign w:val="center"/>
          </w:tcPr>
          <w:p w14:paraId="712A5011" w14:textId="77777777" w:rsidR="00807FFE" w:rsidRDefault="00023E71">
            <w:pPr>
              <w:pStyle w:val="DMETW36770BIPOthFinanL"/>
              <w:rPr>
                <w:rFonts w:ascii="Verdana" w:eastAsia="Verdana" w:hAnsi="Verdana" w:cs="Verdana"/>
                <w:i/>
                <w:noProof/>
                <w:color w:val="000000"/>
                <w:sz w:val="18"/>
              </w:rPr>
            </w:pPr>
            <w:r>
              <w:rPr>
                <w:rFonts w:ascii="Verdana" w:eastAsia="Verdana" w:hAnsi="Verdana" w:cs="Verdana"/>
                <w:i/>
                <w:noProof/>
                <w:color w:val="000000"/>
                <w:sz w:val="18"/>
              </w:rPr>
              <w:t>Other</w:t>
            </w:r>
          </w:p>
        </w:tc>
        <w:tc>
          <w:tcPr>
            <w:tcW w:w="2000" w:type="dxa"/>
            <w:tcBorders>
              <w:top w:val="nil"/>
              <w:left w:val="nil"/>
              <w:bottom w:val="single" w:sz="4" w:space="0" w:color="016794"/>
              <w:right w:val="nil"/>
              <w:tl2br w:val="nil"/>
              <w:tr2bl w:val="nil"/>
            </w:tcBorders>
            <w:tcMar>
              <w:left w:w="60" w:type="dxa"/>
              <w:right w:w="60" w:type="dxa"/>
            </w:tcMar>
            <w:vAlign w:val="center"/>
          </w:tcPr>
          <w:p w14:paraId="7F4E8A64" w14:textId="77777777" w:rsidR="00807FFE" w:rsidRDefault="00023E71">
            <w:pPr>
              <w:pStyle w:val="DMETW36770BIPOthFinanL"/>
              <w:jc w:val="right"/>
              <w:rPr>
                <w:rFonts w:ascii="Verdana" w:eastAsia="Verdana" w:hAnsi="Verdana" w:cs="Verdana"/>
                <w:i/>
                <w:noProof/>
                <w:color w:val="000000"/>
                <w:sz w:val="18"/>
              </w:rPr>
            </w:pPr>
            <w:r>
              <w:rPr>
                <w:rFonts w:ascii="Verdana" w:eastAsia="Verdana" w:hAnsi="Verdana" w:cs="Verdana"/>
                <w:i/>
                <w:noProof/>
                <w:color w:val="000000"/>
                <w:sz w:val="18"/>
              </w:rPr>
              <w:t xml:space="preserve"> 251</w:t>
            </w:r>
          </w:p>
        </w:tc>
        <w:tc>
          <w:tcPr>
            <w:tcW w:w="2000" w:type="dxa"/>
            <w:tcBorders>
              <w:top w:val="nil"/>
              <w:left w:val="nil"/>
              <w:bottom w:val="single" w:sz="4" w:space="0" w:color="016794"/>
              <w:right w:val="nil"/>
              <w:tl2br w:val="nil"/>
              <w:tr2bl w:val="nil"/>
            </w:tcBorders>
            <w:tcMar>
              <w:left w:w="60" w:type="dxa"/>
              <w:right w:w="60" w:type="dxa"/>
            </w:tcMar>
            <w:vAlign w:val="center"/>
          </w:tcPr>
          <w:p w14:paraId="03202607" w14:textId="77777777" w:rsidR="00807FFE" w:rsidRDefault="00023E71">
            <w:pPr>
              <w:pStyle w:val="DMETW36770BIPOthFina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134</w:t>
            </w:r>
          </w:p>
        </w:tc>
      </w:tr>
      <w:tr w:rsidR="00807FFE" w14:paraId="202F4222" w14:textId="77777777">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14:paraId="03932A99" w14:textId="77777777" w:rsidR="00807FFE" w:rsidRDefault="00807FFE">
            <w:pPr>
              <w:pStyle w:val="DMETW36770BIPOthFinanL"/>
              <w:jc w:val="center"/>
              <w:rPr>
                <w:rFonts w:ascii="Verdana" w:eastAsia="Verdana" w:hAnsi="Verdana" w:cs="Verdana"/>
                <w:noProof/>
                <w:color w:val="000000"/>
                <w:sz w:val="18"/>
              </w:rPr>
            </w:pP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14:paraId="3FD5E96B" w14:textId="77777777" w:rsidR="00807FFE" w:rsidRDefault="00023E71">
            <w:pPr>
              <w:pStyle w:val="DMETW36770BIPOthFinanL"/>
              <w:jc w:val="right"/>
              <w:rPr>
                <w:rFonts w:ascii="Verdana" w:eastAsia="Verdana" w:hAnsi="Verdana" w:cs="Verdana"/>
                <w:b/>
                <w:noProof/>
                <w:color w:val="000000"/>
                <w:sz w:val="18"/>
              </w:rPr>
            </w:pPr>
            <w:r>
              <w:rPr>
                <w:rFonts w:ascii="Verdana" w:eastAsia="Verdana" w:hAnsi="Verdana" w:cs="Verdana"/>
                <w:b/>
                <w:noProof/>
                <w:color w:val="000000"/>
                <w:sz w:val="18"/>
              </w:rPr>
              <w:t>1 623</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14:paraId="0C688126" w14:textId="77777777" w:rsidR="00807FFE" w:rsidRDefault="00023E71">
            <w:pPr>
              <w:pStyle w:val="DMETW36770BIPOthFinanL"/>
              <w:jc w:val="right"/>
              <w:rPr>
                <w:rFonts w:ascii="Verdana" w:eastAsia="Verdana" w:hAnsi="Verdana" w:cs="Verdana"/>
                <w:b/>
                <w:noProof/>
                <w:color w:val="000000"/>
                <w:sz w:val="18"/>
                <w:lang w:bidi="en-GB"/>
              </w:rPr>
            </w:pPr>
            <w:r>
              <w:rPr>
                <w:rFonts w:ascii="Verdana" w:eastAsia="Verdana" w:hAnsi="Verdana" w:cs="Verdana"/>
                <w:b/>
                <w:noProof/>
                <w:color w:val="000000"/>
                <w:sz w:val="18"/>
              </w:rPr>
              <w:t>1 256</w:t>
            </w:r>
          </w:p>
        </w:tc>
      </w:tr>
      <w:tr w:rsidR="00807FFE" w14:paraId="0A52B4E5" w14:textId="77777777">
        <w:trPr>
          <w:trHeight w:val="255"/>
        </w:trPr>
        <w:tc>
          <w:tcPr>
            <w:tcW w:w="5758" w:type="dxa"/>
            <w:tcBorders>
              <w:top w:val="single" w:sz="4" w:space="0" w:color="016794"/>
              <w:left w:val="nil"/>
              <w:bottom w:val="nil"/>
              <w:right w:val="nil"/>
              <w:tl2br w:val="nil"/>
              <w:tr2bl w:val="nil"/>
            </w:tcBorders>
            <w:tcMar>
              <w:left w:w="60" w:type="dxa"/>
              <w:right w:w="60" w:type="dxa"/>
            </w:tcMar>
            <w:vAlign w:val="center"/>
          </w:tcPr>
          <w:p w14:paraId="5008D616" w14:textId="77777777" w:rsidR="00807FFE" w:rsidRDefault="00023E71">
            <w:pPr>
              <w:pStyle w:val="DMETW36770BIPOthFinanL"/>
              <w:rPr>
                <w:rFonts w:ascii="Verdana" w:eastAsia="Verdana" w:hAnsi="Verdana" w:cs="Verdana"/>
                <w:b/>
                <w:noProof/>
                <w:color w:val="000000"/>
                <w:sz w:val="18"/>
              </w:rPr>
            </w:pPr>
            <w:r>
              <w:rPr>
                <w:rFonts w:ascii="Verdana" w:eastAsia="Verdana" w:hAnsi="Verdana" w:cs="Verdana"/>
                <w:b/>
                <w:noProof/>
                <w:color w:val="000000"/>
                <w:sz w:val="18"/>
              </w:rPr>
              <w:t>Current</w:t>
            </w:r>
          </w:p>
        </w:tc>
        <w:tc>
          <w:tcPr>
            <w:tcW w:w="2000" w:type="dxa"/>
            <w:tcBorders>
              <w:top w:val="single" w:sz="4" w:space="0" w:color="016794"/>
              <w:left w:val="nil"/>
              <w:bottom w:val="nil"/>
              <w:right w:val="nil"/>
              <w:tl2br w:val="nil"/>
              <w:tr2bl w:val="nil"/>
            </w:tcBorders>
            <w:tcMar>
              <w:left w:w="60" w:type="dxa"/>
              <w:right w:w="60" w:type="dxa"/>
            </w:tcMar>
            <w:vAlign w:val="center"/>
          </w:tcPr>
          <w:p w14:paraId="7E09EB9F" w14:textId="77777777" w:rsidR="00807FFE" w:rsidRDefault="00807FFE">
            <w:pPr>
              <w:pStyle w:val="DMETW36770BIPOthFinanL"/>
              <w:jc w:val="right"/>
              <w:rPr>
                <w:rFonts w:ascii="Verdana" w:eastAsia="Verdana" w:hAnsi="Verdana" w:cs="Verdana"/>
                <w:b/>
                <w:noProof/>
                <w:color w:val="000000"/>
                <w:sz w:val="18"/>
              </w:rPr>
            </w:pPr>
          </w:p>
        </w:tc>
        <w:tc>
          <w:tcPr>
            <w:tcW w:w="2000" w:type="dxa"/>
            <w:tcBorders>
              <w:top w:val="single" w:sz="4" w:space="0" w:color="016794"/>
              <w:left w:val="nil"/>
              <w:bottom w:val="nil"/>
              <w:right w:val="nil"/>
              <w:tl2br w:val="nil"/>
              <w:tr2bl w:val="nil"/>
            </w:tcBorders>
            <w:tcMar>
              <w:left w:w="60" w:type="dxa"/>
              <w:right w:w="60" w:type="dxa"/>
            </w:tcMar>
            <w:vAlign w:val="center"/>
          </w:tcPr>
          <w:p w14:paraId="5DA12699" w14:textId="77777777" w:rsidR="00807FFE" w:rsidRDefault="00807FFE">
            <w:pPr>
              <w:pStyle w:val="DMETW36770BIPOthFinanL"/>
              <w:rPr>
                <w:rFonts w:ascii="Arial" w:eastAsia="Arial" w:hAnsi="Arial" w:cs="Arial"/>
                <w:noProof/>
                <w:color w:val="000000"/>
                <w:lang w:bidi="en-GB"/>
              </w:rPr>
            </w:pPr>
          </w:p>
        </w:tc>
      </w:tr>
      <w:tr w:rsidR="00807FFE" w14:paraId="2B4016D9" w14:textId="77777777">
        <w:trPr>
          <w:trHeight w:val="255"/>
        </w:trPr>
        <w:tc>
          <w:tcPr>
            <w:tcW w:w="5758" w:type="dxa"/>
            <w:tcBorders>
              <w:top w:val="nil"/>
              <w:left w:val="nil"/>
              <w:bottom w:val="nil"/>
              <w:right w:val="nil"/>
              <w:tl2br w:val="nil"/>
              <w:tr2bl w:val="nil"/>
            </w:tcBorders>
            <w:tcMar>
              <w:left w:w="60" w:type="dxa"/>
              <w:right w:w="60" w:type="dxa"/>
            </w:tcMar>
            <w:vAlign w:val="center"/>
          </w:tcPr>
          <w:p w14:paraId="21F26B97" w14:textId="77777777" w:rsidR="00807FFE" w:rsidRDefault="00023E71">
            <w:pPr>
              <w:pStyle w:val="DMETW36770BIPOthFinanL"/>
              <w:rPr>
                <w:rFonts w:ascii="Verdana" w:eastAsia="Verdana" w:hAnsi="Verdana" w:cs="Verdana"/>
                <w:i/>
                <w:noProof/>
                <w:color w:val="000000"/>
                <w:sz w:val="18"/>
              </w:rPr>
            </w:pPr>
            <w:r>
              <w:rPr>
                <w:rFonts w:ascii="Verdana" w:eastAsia="Verdana" w:hAnsi="Verdana" w:cs="Verdana"/>
                <w:i/>
                <w:noProof/>
                <w:color w:val="000000"/>
                <w:sz w:val="18"/>
              </w:rPr>
              <w:t>Finance lease liabilities</w:t>
            </w:r>
          </w:p>
        </w:tc>
        <w:tc>
          <w:tcPr>
            <w:tcW w:w="2000" w:type="dxa"/>
            <w:tcBorders>
              <w:top w:val="nil"/>
              <w:left w:val="nil"/>
              <w:bottom w:val="nil"/>
              <w:right w:val="nil"/>
              <w:tl2br w:val="nil"/>
              <w:tr2bl w:val="nil"/>
            </w:tcBorders>
            <w:tcMar>
              <w:left w:w="60" w:type="dxa"/>
              <w:right w:w="60" w:type="dxa"/>
            </w:tcMar>
            <w:vAlign w:val="center"/>
          </w:tcPr>
          <w:p w14:paraId="6C1654BF" w14:textId="77777777" w:rsidR="00807FFE" w:rsidRDefault="00023E71">
            <w:pPr>
              <w:pStyle w:val="DMETW36770BIPOthFinanL"/>
              <w:jc w:val="right"/>
              <w:rPr>
                <w:rFonts w:ascii="Verdana" w:eastAsia="Verdana" w:hAnsi="Verdana" w:cs="Verdana"/>
                <w:i/>
                <w:noProof/>
                <w:color w:val="000000"/>
                <w:sz w:val="18"/>
              </w:rPr>
            </w:pPr>
            <w:r>
              <w:rPr>
                <w:rFonts w:ascii="Verdana" w:eastAsia="Verdana" w:hAnsi="Verdana" w:cs="Verdana"/>
                <w:i/>
                <w:noProof/>
                <w:color w:val="000000"/>
                <w:sz w:val="18"/>
              </w:rPr>
              <w:t xml:space="preserve"> 90</w:t>
            </w:r>
          </w:p>
        </w:tc>
        <w:tc>
          <w:tcPr>
            <w:tcW w:w="2000" w:type="dxa"/>
            <w:tcBorders>
              <w:top w:val="nil"/>
              <w:left w:val="nil"/>
              <w:bottom w:val="nil"/>
              <w:right w:val="nil"/>
              <w:tl2br w:val="nil"/>
              <w:tr2bl w:val="nil"/>
            </w:tcBorders>
            <w:tcMar>
              <w:left w:w="60" w:type="dxa"/>
              <w:right w:w="60" w:type="dxa"/>
            </w:tcMar>
            <w:vAlign w:val="center"/>
          </w:tcPr>
          <w:p w14:paraId="2FBE1BDF" w14:textId="77777777" w:rsidR="00807FFE" w:rsidRDefault="00023E71">
            <w:pPr>
              <w:pStyle w:val="DMETW36770BIPOthFina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79</w:t>
            </w:r>
          </w:p>
        </w:tc>
      </w:tr>
      <w:tr w:rsidR="00807FFE" w14:paraId="1902E070" w14:textId="77777777">
        <w:trPr>
          <w:trHeight w:val="255"/>
        </w:trPr>
        <w:tc>
          <w:tcPr>
            <w:tcW w:w="5758" w:type="dxa"/>
            <w:tcBorders>
              <w:top w:val="nil"/>
              <w:left w:val="nil"/>
              <w:bottom w:val="nil"/>
              <w:right w:val="nil"/>
              <w:tl2br w:val="nil"/>
              <w:tr2bl w:val="nil"/>
            </w:tcBorders>
            <w:tcMar>
              <w:left w:w="60" w:type="dxa"/>
              <w:right w:w="60" w:type="dxa"/>
            </w:tcMar>
            <w:vAlign w:val="center"/>
          </w:tcPr>
          <w:p w14:paraId="54B95EB1" w14:textId="77777777" w:rsidR="00807FFE" w:rsidRDefault="00023E71">
            <w:pPr>
              <w:pStyle w:val="DMETW36770BIPOthFinanL"/>
              <w:rPr>
                <w:rFonts w:ascii="Verdana" w:eastAsia="Verdana" w:hAnsi="Verdana" w:cs="Verdana"/>
                <w:i/>
                <w:noProof/>
                <w:color w:val="000000"/>
                <w:sz w:val="18"/>
              </w:rPr>
            </w:pPr>
            <w:r>
              <w:rPr>
                <w:rFonts w:ascii="Verdana" w:eastAsia="Verdana" w:hAnsi="Verdana" w:cs="Verdana"/>
                <w:i/>
                <w:noProof/>
                <w:color w:val="000000"/>
                <w:sz w:val="18"/>
              </w:rPr>
              <w:t>Buildings paid for in instalments</w:t>
            </w:r>
          </w:p>
        </w:tc>
        <w:tc>
          <w:tcPr>
            <w:tcW w:w="2000" w:type="dxa"/>
            <w:tcBorders>
              <w:top w:val="nil"/>
              <w:left w:val="nil"/>
              <w:bottom w:val="nil"/>
              <w:right w:val="nil"/>
              <w:tl2br w:val="nil"/>
              <w:tr2bl w:val="nil"/>
            </w:tcBorders>
            <w:tcMar>
              <w:left w:w="60" w:type="dxa"/>
              <w:right w:w="60" w:type="dxa"/>
            </w:tcMar>
            <w:vAlign w:val="center"/>
          </w:tcPr>
          <w:p w14:paraId="6672A0AA" w14:textId="77777777" w:rsidR="00807FFE" w:rsidRDefault="00023E71">
            <w:pPr>
              <w:pStyle w:val="DMETW36770BIPOthFinanL"/>
              <w:jc w:val="right"/>
              <w:rPr>
                <w:rFonts w:ascii="Verdana" w:eastAsia="Verdana" w:hAnsi="Verdana" w:cs="Verdana"/>
                <w:i/>
                <w:noProof/>
                <w:color w:val="000000"/>
                <w:sz w:val="18"/>
              </w:rPr>
            </w:pPr>
            <w:r>
              <w:rPr>
                <w:rFonts w:ascii="Verdana" w:eastAsia="Verdana" w:hAnsi="Verdana" w:cs="Verdana"/>
                <w:i/>
                <w:noProof/>
                <w:color w:val="000000"/>
                <w:sz w:val="18"/>
              </w:rPr>
              <w:t xml:space="preserve"> 57</w:t>
            </w:r>
          </w:p>
        </w:tc>
        <w:tc>
          <w:tcPr>
            <w:tcW w:w="2000" w:type="dxa"/>
            <w:tcBorders>
              <w:top w:val="nil"/>
              <w:left w:val="nil"/>
              <w:bottom w:val="nil"/>
              <w:right w:val="nil"/>
              <w:tl2br w:val="nil"/>
              <w:tr2bl w:val="nil"/>
            </w:tcBorders>
            <w:tcMar>
              <w:left w:w="60" w:type="dxa"/>
              <w:right w:w="60" w:type="dxa"/>
            </w:tcMar>
            <w:vAlign w:val="center"/>
          </w:tcPr>
          <w:p w14:paraId="568A76F8" w14:textId="77777777" w:rsidR="00807FFE" w:rsidRDefault="00023E71">
            <w:pPr>
              <w:pStyle w:val="DMETW36770BIPOthFina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55</w:t>
            </w:r>
          </w:p>
        </w:tc>
      </w:tr>
      <w:tr w:rsidR="00807FFE" w14:paraId="4D651870" w14:textId="77777777">
        <w:trPr>
          <w:trHeight w:val="255"/>
        </w:trPr>
        <w:tc>
          <w:tcPr>
            <w:tcW w:w="5758" w:type="dxa"/>
            <w:tcBorders>
              <w:top w:val="nil"/>
              <w:left w:val="nil"/>
              <w:bottom w:val="nil"/>
              <w:right w:val="nil"/>
              <w:tl2br w:val="nil"/>
              <w:tr2bl w:val="nil"/>
            </w:tcBorders>
            <w:tcMar>
              <w:left w:w="60" w:type="dxa"/>
              <w:right w:w="60" w:type="dxa"/>
            </w:tcMar>
            <w:vAlign w:val="center"/>
          </w:tcPr>
          <w:p w14:paraId="1E68E216" w14:textId="77777777" w:rsidR="00807FFE" w:rsidRDefault="00023E71">
            <w:pPr>
              <w:pStyle w:val="DMETW36770BIPOthFinanL"/>
              <w:rPr>
                <w:rFonts w:ascii="Verdana" w:eastAsia="Verdana" w:hAnsi="Verdana" w:cs="Verdana"/>
                <w:i/>
                <w:noProof/>
                <w:color w:val="000000"/>
                <w:sz w:val="18"/>
              </w:rPr>
            </w:pPr>
            <w:r>
              <w:rPr>
                <w:rFonts w:ascii="Verdana" w:eastAsia="Verdana" w:hAnsi="Verdana" w:cs="Verdana"/>
                <w:i/>
                <w:noProof/>
                <w:color w:val="000000"/>
                <w:sz w:val="18"/>
              </w:rPr>
              <w:t>Contributions with conditions</w:t>
            </w:r>
          </w:p>
        </w:tc>
        <w:tc>
          <w:tcPr>
            <w:tcW w:w="2000" w:type="dxa"/>
            <w:tcBorders>
              <w:top w:val="nil"/>
              <w:left w:val="nil"/>
              <w:bottom w:val="nil"/>
              <w:right w:val="nil"/>
              <w:tl2br w:val="nil"/>
              <w:tr2bl w:val="nil"/>
            </w:tcBorders>
            <w:tcMar>
              <w:left w:w="60" w:type="dxa"/>
              <w:right w:w="60" w:type="dxa"/>
            </w:tcMar>
            <w:vAlign w:val="center"/>
          </w:tcPr>
          <w:p w14:paraId="38B61EB7" w14:textId="77777777" w:rsidR="00807FFE" w:rsidRDefault="00023E71">
            <w:pPr>
              <w:pStyle w:val="DMETW36770BIPOthFinanL"/>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2000" w:type="dxa"/>
            <w:tcBorders>
              <w:top w:val="nil"/>
              <w:left w:val="nil"/>
              <w:bottom w:val="nil"/>
              <w:right w:val="nil"/>
              <w:tl2br w:val="nil"/>
              <w:tr2bl w:val="nil"/>
            </w:tcBorders>
            <w:tcMar>
              <w:left w:w="60" w:type="dxa"/>
              <w:right w:w="60" w:type="dxa"/>
            </w:tcMar>
            <w:vAlign w:val="center"/>
          </w:tcPr>
          <w:p w14:paraId="3DC51937" w14:textId="77777777" w:rsidR="00807FFE" w:rsidRDefault="00023E71">
            <w:pPr>
              <w:pStyle w:val="DMETW36770BIPOthFinan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w:t>
            </w:r>
          </w:p>
        </w:tc>
      </w:tr>
      <w:tr w:rsidR="00807FFE" w14:paraId="2D518FC7" w14:textId="77777777">
        <w:trPr>
          <w:trHeight w:val="255"/>
        </w:trPr>
        <w:tc>
          <w:tcPr>
            <w:tcW w:w="5758" w:type="dxa"/>
            <w:tcBorders>
              <w:top w:val="nil"/>
              <w:left w:val="nil"/>
              <w:bottom w:val="single" w:sz="4" w:space="0" w:color="016794"/>
              <w:right w:val="nil"/>
              <w:tl2br w:val="nil"/>
              <w:tr2bl w:val="nil"/>
            </w:tcBorders>
            <w:tcMar>
              <w:left w:w="60" w:type="dxa"/>
              <w:right w:w="60" w:type="dxa"/>
            </w:tcMar>
            <w:vAlign w:val="center"/>
          </w:tcPr>
          <w:p w14:paraId="3A676923" w14:textId="77777777" w:rsidR="00807FFE" w:rsidRDefault="00023E71">
            <w:pPr>
              <w:pStyle w:val="DMETW36770BIPOthFinanL"/>
              <w:rPr>
                <w:rFonts w:ascii="Verdana" w:eastAsia="Verdana" w:hAnsi="Verdana" w:cs="Verdana"/>
                <w:i/>
                <w:noProof/>
                <w:color w:val="000000"/>
                <w:sz w:val="18"/>
              </w:rPr>
            </w:pPr>
            <w:r>
              <w:rPr>
                <w:rFonts w:ascii="Verdana" w:eastAsia="Verdana" w:hAnsi="Verdana" w:cs="Verdana"/>
                <w:i/>
                <w:noProof/>
                <w:color w:val="000000"/>
                <w:sz w:val="18"/>
              </w:rPr>
              <w:t>Other</w:t>
            </w:r>
          </w:p>
        </w:tc>
        <w:tc>
          <w:tcPr>
            <w:tcW w:w="2000" w:type="dxa"/>
            <w:tcBorders>
              <w:top w:val="nil"/>
              <w:left w:val="nil"/>
              <w:bottom w:val="single" w:sz="4" w:space="0" w:color="016794"/>
              <w:right w:val="nil"/>
              <w:tl2br w:val="nil"/>
              <w:tr2bl w:val="nil"/>
            </w:tcBorders>
            <w:tcMar>
              <w:left w:w="60" w:type="dxa"/>
              <w:right w:w="60" w:type="dxa"/>
            </w:tcMar>
            <w:vAlign w:val="center"/>
          </w:tcPr>
          <w:p w14:paraId="2C39457F" w14:textId="77777777" w:rsidR="00807FFE" w:rsidRDefault="00023E71">
            <w:pPr>
              <w:pStyle w:val="DMETW36770BIPOthFinan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00" w:type="dxa"/>
            <w:tcBorders>
              <w:top w:val="nil"/>
              <w:left w:val="nil"/>
              <w:bottom w:val="single" w:sz="4" w:space="0" w:color="016794"/>
              <w:right w:val="nil"/>
              <w:tl2br w:val="nil"/>
              <w:tr2bl w:val="nil"/>
            </w:tcBorders>
            <w:tcMar>
              <w:left w:w="60" w:type="dxa"/>
              <w:right w:w="60" w:type="dxa"/>
            </w:tcMar>
            <w:vAlign w:val="center"/>
          </w:tcPr>
          <w:p w14:paraId="2C2BF48D" w14:textId="77777777" w:rsidR="00807FFE" w:rsidRDefault="00023E71">
            <w:pPr>
              <w:pStyle w:val="DMETW36770BIPOthFinanL"/>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18CAFB7D" w14:textId="77777777">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14:paraId="2D0594DE" w14:textId="77777777" w:rsidR="00807FFE" w:rsidRDefault="00807FFE">
            <w:pPr>
              <w:pStyle w:val="DMETW36770BIPOthFinanL"/>
              <w:jc w:val="center"/>
              <w:rPr>
                <w:rFonts w:ascii="Verdana" w:eastAsia="Verdana" w:hAnsi="Verdana" w:cs="Verdana"/>
                <w:noProof/>
                <w:color w:val="000000"/>
                <w:sz w:val="18"/>
              </w:rPr>
            </w:pP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14:paraId="4A2CDEBE" w14:textId="77777777" w:rsidR="00807FFE" w:rsidRDefault="00023E71">
            <w:pPr>
              <w:pStyle w:val="DMETW36770BIPOthFinanL"/>
              <w:jc w:val="right"/>
              <w:rPr>
                <w:rFonts w:ascii="Verdana" w:eastAsia="Verdana" w:hAnsi="Verdana" w:cs="Verdana"/>
                <w:b/>
                <w:noProof/>
                <w:color w:val="000000"/>
                <w:sz w:val="18"/>
              </w:rPr>
            </w:pPr>
            <w:r>
              <w:rPr>
                <w:rFonts w:ascii="Verdana" w:eastAsia="Verdana" w:hAnsi="Verdana" w:cs="Verdana"/>
                <w:b/>
                <w:noProof/>
                <w:color w:val="000000"/>
                <w:sz w:val="18"/>
              </w:rPr>
              <w:t xml:space="preserve"> 150</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14:paraId="3669ED8D" w14:textId="77777777" w:rsidR="00807FFE" w:rsidRDefault="00023E71">
            <w:pPr>
              <w:pStyle w:val="DMETW36770BIPOthFinan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142</w:t>
            </w:r>
          </w:p>
        </w:tc>
      </w:tr>
      <w:tr w:rsidR="00807FFE" w14:paraId="1F1E2EBB" w14:textId="77777777">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14:paraId="3E1EA5E7" w14:textId="77777777" w:rsidR="00807FFE" w:rsidRDefault="00023E71">
            <w:pPr>
              <w:pStyle w:val="DMETW36770BIPOthFinanL"/>
              <w:rPr>
                <w:rFonts w:ascii="Verdana" w:eastAsia="Verdana" w:hAnsi="Verdana" w:cs="Verdana"/>
                <w:b/>
                <w:noProof/>
                <w:color w:val="000000"/>
                <w:sz w:val="18"/>
              </w:rPr>
            </w:pPr>
            <w:r>
              <w:rPr>
                <w:rFonts w:ascii="Verdana" w:eastAsia="Verdana" w:hAnsi="Verdana" w:cs="Verdana"/>
                <w:b/>
                <w:noProof/>
                <w:color w:val="000000"/>
                <w:sz w:val="18"/>
              </w:rPr>
              <w:t>Total</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14:paraId="38CF714D" w14:textId="77777777" w:rsidR="00807FFE" w:rsidRDefault="00023E71">
            <w:pPr>
              <w:pStyle w:val="DMETW36770BIPOthFinanL"/>
              <w:jc w:val="right"/>
              <w:rPr>
                <w:rFonts w:ascii="Verdana" w:eastAsia="Verdana" w:hAnsi="Verdana" w:cs="Verdana"/>
                <w:b/>
                <w:noProof/>
                <w:color w:val="000000"/>
                <w:sz w:val="18"/>
              </w:rPr>
            </w:pPr>
            <w:r>
              <w:rPr>
                <w:rFonts w:ascii="Verdana" w:eastAsia="Verdana" w:hAnsi="Verdana" w:cs="Verdana"/>
                <w:b/>
                <w:noProof/>
                <w:color w:val="000000"/>
                <w:sz w:val="18"/>
              </w:rPr>
              <w:t>1 773</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14:paraId="093A5D69" w14:textId="77777777" w:rsidR="00807FFE" w:rsidRDefault="00023E71">
            <w:pPr>
              <w:pStyle w:val="DMETW36770BIPOthFinanL"/>
              <w:jc w:val="right"/>
              <w:rPr>
                <w:rFonts w:ascii="Verdana" w:eastAsia="Verdana" w:hAnsi="Verdana" w:cs="Verdana"/>
                <w:b/>
                <w:noProof/>
                <w:color w:val="000000"/>
                <w:sz w:val="18"/>
              </w:rPr>
            </w:pPr>
            <w:r>
              <w:rPr>
                <w:rFonts w:ascii="Verdana" w:eastAsia="Verdana" w:hAnsi="Verdana" w:cs="Verdana"/>
                <w:b/>
                <w:noProof/>
                <w:color w:val="000000"/>
                <w:sz w:val="18"/>
              </w:rPr>
              <w:t>1 398</w:t>
            </w:r>
          </w:p>
        </w:tc>
      </w:tr>
    </w:tbl>
    <w:p w14:paraId="63F38E81" w14:textId="77777777" w:rsidR="009B75C1" w:rsidRDefault="00023E71" w:rsidP="003D4FE6">
      <w:pPr>
        <w:pStyle w:val="HEADER5"/>
        <w:spacing w:before="360"/>
        <w:rPr>
          <w:noProof/>
        </w:rPr>
      </w:pPr>
      <w:r w:rsidRPr="00AB4F02">
        <w:rPr>
          <w:noProof/>
        </w:rPr>
        <w:t>Finance lease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1321"/>
        <w:gridCol w:w="1321"/>
        <w:gridCol w:w="1308"/>
        <w:gridCol w:w="1334"/>
      </w:tblGrid>
      <w:tr w:rsidR="00807FFE" w14:paraId="3B95237E" w14:textId="77777777">
        <w:trPr>
          <w:trHeight w:val="255"/>
        </w:trPr>
        <w:tc>
          <w:tcPr>
            <w:tcW w:w="4474" w:type="dxa"/>
            <w:tcBorders>
              <w:top w:val="nil"/>
              <w:left w:val="nil"/>
              <w:bottom w:val="nil"/>
              <w:right w:val="nil"/>
              <w:tl2br w:val="nil"/>
              <w:tr2bl w:val="nil"/>
            </w:tcBorders>
            <w:tcMar>
              <w:left w:w="60" w:type="dxa"/>
              <w:right w:w="60" w:type="dxa"/>
            </w:tcMar>
            <w:vAlign w:val="bottom"/>
          </w:tcPr>
          <w:p w14:paraId="11AECB26" w14:textId="77777777" w:rsidR="00807FFE" w:rsidRDefault="00807FFE">
            <w:pPr>
              <w:pStyle w:val="DMETW36772BIPFL"/>
              <w:rPr>
                <w:rFonts w:ascii="Arial" w:eastAsia="Arial" w:hAnsi="Arial" w:cs="Arial"/>
                <w:noProof/>
                <w:color w:val="000000"/>
                <w:lang w:bidi="en-GB"/>
              </w:rPr>
            </w:pPr>
            <w:bookmarkStart w:id="165" w:name="DOC_TBL00060_1_1"/>
            <w:bookmarkEnd w:id="165"/>
          </w:p>
        </w:tc>
        <w:tc>
          <w:tcPr>
            <w:tcW w:w="1321" w:type="dxa"/>
            <w:tcBorders>
              <w:top w:val="nil"/>
              <w:left w:val="nil"/>
              <w:bottom w:val="nil"/>
              <w:right w:val="nil"/>
              <w:tl2br w:val="nil"/>
              <w:tr2bl w:val="nil"/>
            </w:tcBorders>
            <w:tcMar>
              <w:left w:w="60" w:type="dxa"/>
              <w:right w:w="60" w:type="dxa"/>
            </w:tcMar>
            <w:vAlign w:val="bottom"/>
          </w:tcPr>
          <w:p w14:paraId="79B433F0" w14:textId="77777777" w:rsidR="00807FFE" w:rsidRDefault="00807FFE">
            <w:pPr>
              <w:pStyle w:val="DMETW36772BIPFL"/>
              <w:rPr>
                <w:rFonts w:ascii="Arial" w:eastAsia="Arial" w:hAnsi="Arial" w:cs="Arial"/>
                <w:noProof/>
                <w:color w:val="000000"/>
              </w:rPr>
            </w:pPr>
          </w:p>
        </w:tc>
        <w:tc>
          <w:tcPr>
            <w:tcW w:w="1321" w:type="dxa"/>
            <w:tcBorders>
              <w:top w:val="nil"/>
              <w:left w:val="nil"/>
              <w:bottom w:val="nil"/>
              <w:right w:val="nil"/>
              <w:tl2br w:val="nil"/>
              <w:tr2bl w:val="nil"/>
            </w:tcBorders>
            <w:tcMar>
              <w:left w:w="60" w:type="dxa"/>
              <w:right w:w="60" w:type="dxa"/>
            </w:tcMar>
            <w:vAlign w:val="bottom"/>
          </w:tcPr>
          <w:p w14:paraId="113974CD" w14:textId="77777777" w:rsidR="00807FFE" w:rsidRDefault="00807FFE">
            <w:pPr>
              <w:pStyle w:val="DMETW36772BIPFL"/>
              <w:rPr>
                <w:rFonts w:ascii="Arial" w:eastAsia="Arial" w:hAnsi="Arial" w:cs="Arial"/>
                <w:noProof/>
                <w:color w:val="000000"/>
              </w:rPr>
            </w:pPr>
          </w:p>
        </w:tc>
        <w:tc>
          <w:tcPr>
            <w:tcW w:w="1308" w:type="dxa"/>
            <w:tcBorders>
              <w:top w:val="nil"/>
              <w:left w:val="nil"/>
              <w:bottom w:val="nil"/>
              <w:right w:val="nil"/>
              <w:tl2br w:val="nil"/>
              <w:tr2bl w:val="nil"/>
            </w:tcBorders>
            <w:tcMar>
              <w:left w:w="60" w:type="dxa"/>
              <w:right w:w="60" w:type="dxa"/>
            </w:tcMar>
            <w:vAlign w:val="bottom"/>
          </w:tcPr>
          <w:p w14:paraId="6442A4A0" w14:textId="77777777" w:rsidR="00807FFE" w:rsidRDefault="00807FFE">
            <w:pPr>
              <w:pStyle w:val="DMETW36772BIPFL"/>
              <w:rPr>
                <w:rFonts w:ascii="Arial" w:eastAsia="Arial" w:hAnsi="Arial" w:cs="Arial"/>
                <w:noProof/>
                <w:color w:val="000000"/>
              </w:rPr>
            </w:pPr>
          </w:p>
        </w:tc>
        <w:tc>
          <w:tcPr>
            <w:tcW w:w="1334" w:type="dxa"/>
            <w:tcBorders>
              <w:top w:val="nil"/>
              <w:left w:val="nil"/>
              <w:bottom w:val="nil"/>
              <w:right w:val="nil"/>
              <w:tl2br w:val="nil"/>
              <w:tr2bl w:val="nil"/>
            </w:tcBorders>
            <w:tcMar>
              <w:left w:w="60" w:type="dxa"/>
              <w:right w:w="60" w:type="dxa"/>
            </w:tcMar>
            <w:vAlign w:val="bottom"/>
          </w:tcPr>
          <w:p w14:paraId="6BB28B41" w14:textId="77777777" w:rsidR="00807FFE" w:rsidRDefault="00023E71">
            <w:pPr>
              <w:pStyle w:val="DMETW36772BIPFL"/>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762390A" w14:textId="77777777">
        <w:trPr>
          <w:trHeight w:val="255"/>
        </w:trPr>
        <w:tc>
          <w:tcPr>
            <w:tcW w:w="4474" w:type="dxa"/>
            <w:tcBorders>
              <w:top w:val="nil"/>
              <w:left w:val="nil"/>
              <w:bottom w:val="nil"/>
              <w:right w:val="nil"/>
              <w:tl2br w:val="nil"/>
              <w:tr2bl w:val="nil"/>
            </w:tcBorders>
            <w:shd w:val="solid" w:color="016794" w:fill="FFFFFF"/>
            <w:tcMar>
              <w:left w:w="60" w:type="dxa"/>
              <w:right w:w="60" w:type="dxa"/>
            </w:tcMar>
            <w:vAlign w:val="center"/>
          </w:tcPr>
          <w:p w14:paraId="637F5B62" w14:textId="77777777" w:rsidR="00807FFE" w:rsidRDefault="00807FFE">
            <w:pPr>
              <w:pStyle w:val="DMETW36772BIPFL"/>
              <w:rPr>
                <w:rFonts w:ascii="Verdana" w:eastAsia="Verdana" w:hAnsi="Verdana" w:cs="Verdana"/>
                <w:noProof/>
                <w:color w:val="FFFFFF"/>
              </w:rPr>
            </w:pPr>
          </w:p>
        </w:tc>
        <w:tc>
          <w:tcPr>
            <w:tcW w:w="1321" w:type="dxa"/>
            <w:gridSpan w:val="4"/>
            <w:tcBorders>
              <w:top w:val="nil"/>
              <w:left w:val="nil"/>
              <w:bottom w:val="nil"/>
              <w:right w:val="nil"/>
              <w:tl2br w:val="nil"/>
              <w:tr2bl w:val="nil"/>
            </w:tcBorders>
            <w:shd w:val="solid" w:color="016794" w:fill="FFFFFF"/>
            <w:tcMar>
              <w:left w:w="60" w:type="dxa"/>
              <w:right w:w="60" w:type="dxa"/>
            </w:tcMar>
            <w:vAlign w:val="center"/>
          </w:tcPr>
          <w:p w14:paraId="27E1AACD" w14:textId="77777777" w:rsidR="00807FFE" w:rsidRDefault="00023E71">
            <w:pPr>
              <w:pStyle w:val="DMETW36772BIPFL"/>
              <w:jc w:val="center"/>
              <w:rPr>
                <w:rFonts w:ascii="Verdana" w:eastAsia="Verdana" w:hAnsi="Verdana" w:cs="Verdana"/>
                <w:noProof/>
                <w:color w:val="FFFFFF"/>
                <w:sz w:val="18"/>
                <w:lang w:bidi="en-GB"/>
              </w:rPr>
            </w:pPr>
            <w:r>
              <w:rPr>
                <w:rFonts w:ascii="Verdana" w:eastAsia="Verdana" w:hAnsi="Verdana" w:cs="Verdana"/>
                <w:noProof/>
                <w:color w:val="FFFFFF"/>
                <w:sz w:val="18"/>
              </w:rPr>
              <w:t>Future amounts to be paid</w:t>
            </w:r>
          </w:p>
        </w:tc>
      </w:tr>
      <w:tr w:rsidR="00807FFE" w14:paraId="64FD0BD5" w14:textId="77777777">
        <w:trPr>
          <w:trHeight w:val="255"/>
        </w:trPr>
        <w:tc>
          <w:tcPr>
            <w:tcW w:w="4474" w:type="dxa"/>
            <w:tcBorders>
              <w:top w:val="nil"/>
              <w:left w:val="nil"/>
              <w:bottom w:val="nil"/>
              <w:right w:val="nil"/>
              <w:tl2br w:val="nil"/>
              <w:tr2bl w:val="nil"/>
            </w:tcBorders>
            <w:shd w:val="solid" w:color="016794" w:fill="FFFFFF"/>
            <w:tcMar>
              <w:left w:w="60" w:type="dxa"/>
              <w:right w:w="60" w:type="dxa"/>
            </w:tcMar>
            <w:vAlign w:val="center"/>
          </w:tcPr>
          <w:p w14:paraId="2E3301CF" w14:textId="77777777" w:rsidR="00807FFE" w:rsidRDefault="00807FFE">
            <w:pPr>
              <w:pStyle w:val="DMETW36772BIPFL"/>
              <w:rPr>
                <w:rFonts w:ascii="Verdana" w:eastAsia="Verdana" w:hAnsi="Verdana" w:cs="Verdana"/>
                <w:noProof/>
                <w:color w:val="FFFFFF"/>
              </w:rPr>
            </w:pPr>
          </w:p>
        </w:tc>
        <w:tc>
          <w:tcPr>
            <w:tcW w:w="1321" w:type="dxa"/>
            <w:tcBorders>
              <w:top w:val="nil"/>
              <w:left w:val="nil"/>
              <w:bottom w:val="nil"/>
              <w:right w:val="nil"/>
              <w:tl2br w:val="nil"/>
              <w:tr2bl w:val="nil"/>
            </w:tcBorders>
            <w:shd w:val="solid" w:color="3486A9" w:fill="FFFFFF"/>
            <w:tcMar>
              <w:left w:w="60" w:type="dxa"/>
              <w:right w:w="60" w:type="dxa"/>
            </w:tcMar>
            <w:vAlign w:val="center"/>
          </w:tcPr>
          <w:p w14:paraId="75D93F7B" w14:textId="77777777" w:rsidR="00807FFE" w:rsidRDefault="00023E71">
            <w:pPr>
              <w:pStyle w:val="DMETW36772BIPFL"/>
              <w:jc w:val="right"/>
              <w:rPr>
                <w:rFonts w:ascii="Verdana" w:eastAsia="Verdana" w:hAnsi="Verdana" w:cs="Verdana"/>
                <w:noProof/>
                <w:color w:val="FFFFFF"/>
                <w:sz w:val="18"/>
              </w:rPr>
            </w:pPr>
            <w:r>
              <w:rPr>
                <w:rFonts w:ascii="Verdana" w:eastAsia="Verdana" w:hAnsi="Verdana" w:cs="Verdana"/>
                <w:noProof/>
                <w:color w:val="FFFFFF"/>
                <w:sz w:val="18"/>
              </w:rPr>
              <w:t>&lt; 1 year</w:t>
            </w:r>
          </w:p>
        </w:tc>
        <w:tc>
          <w:tcPr>
            <w:tcW w:w="1321" w:type="dxa"/>
            <w:tcBorders>
              <w:top w:val="nil"/>
              <w:left w:val="nil"/>
              <w:bottom w:val="nil"/>
              <w:right w:val="nil"/>
              <w:tl2br w:val="nil"/>
              <w:tr2bl w:val="nil"/>
            </w:tcBorders>
            <w:shd w:val="solid" w:color="3486A9" w:fill="FFFFFF"/>
            <w:tcMar>
              <w:left w:w="60" w:type="dxa"/>
              <w:right w:w="60" w:type="dxa"/>
            </w:tcMar>
            <w:vAlign w:val="center"/>
          </w:tcPr>
          <w:p w14:paraId="2A65575B" w14:textId="77777777" w:rsidR="00807FFE" w:rsidRDefault="00023E71">
            <w:pPr>
              <w:pStyle w:val="DMETW36772BIPFL"/>
              <w:jc w:val="right"/>
              <w:rPr>
                <w:rFonts w:ascii="Verdana" w:eastAsia="Verdana" w:hAnsi="Verdana" w:cs="Verdana"/>
                <w:noProof/>
                <w:color w:val="FFFFFF"/>
                <w:sz w:val="18"/>
              </w:rPr>
            </w:pPr>
            <w:r>
              <w:rPr>
                <w:rFonts w:ascii="Verdana" w:eastAsia="Verdana" w:hAnsi="Verdana" w:cs="Verdana"/>
                <w:noProof/>
                <w:color w:val="FFFFFF"/>
                <w:sz w:val="18"/>
              </w:rPr>
              <w:t>1-5 years</w:t>
            </w:r>
          </w:p>
        </w:tc>
        <w:tc>
          <w:tcPr>
            <w:tcW w:w="1308" w:type="dxa"/>
            <w:tcBorders>
              <w:top w:val="nil"/>
              <w:left w:val="nil"/>
              <w:bottom w:val="nil"/>
              <w:right w:val="nil"/>
              <w:tl2br w:val="nil"/>
              <w:tr2bl w:val="nil"/>
            </w:tcBorders>
            <w:shd w:val="solid" w:color="3486A9" w:fill="FFFFFF"/>
            <w:tcMar>
              <w:left w:w="60" w:type="dxa"/>
              <w:right w:w="60" w:type="dxa"/>
            </w:tcMar>
            <w:vAlign w:val="center"/>
          </w:tcPr>
          <w:p w14:paraId="0CD519B3" w14:textId="77777777" w:rsidR="00807FFE" w:rsidRDefault="00023E71">
            <w:pPr>
              <w:pStyle w:val="DMETW36772BIPFL"/>
              <w:jc w:val="right"/>
              <w:rPr>
                <w:rFonts w:ascii="Verdana" w:eastAsia="Verdana" w:hAnsi="Verdana" w:cs="Verdana"/>
                <w:noProof/>
                <w:color w:val="FFFFFF"/>
                <w:sz w:val="18"/>
              </w:rPr>
            </w:pPr>
            <w:r>
              <w:rPr>
                <w:rFonts w:ascii="Verdana" w:eastAsia="Verdana" w:hAnsi="Verdana" w:cs="Verdana"/>
                <w:noProof/>
                <w:color w:val="FFFFFF"/>
                <w:sz w:val="18"/>
              </w:rPr>
              <w:t>&gt; 5 years</w:t>
            </w:r>
          </w:p>
        </w:tc>
        <w:tc>
          <w:tcPr>
            <w:tcW w:w="1334" w:type="dxa"/>
            <w:tcBorders>
              <w:top w:val="nil"/>
              <w:left w:val="nil"/>
              <w:bottom w:val="nil"/>
              <w:right w:val="nil"/>
              <w:tl2br w:val="nil"/>
              <w:tr2bl w:val="nil"/>
            </w:tcBorders>
            <w:shd w:val="solid" w:color="3486A9" w:fill="FFFFFF"/>
            <w:tcMar>
              <w:left w:w="60" w:type="dxa"/>
              <w:right w:w="60" w:type="dxa"/>
            </w:tcMar>
            <w:vAlign w:val="center"/>
          </w:tcPr>
          <w:p w14:paraId="6647A11F" w14:textId="77777777" w:rsidR="00807FFE" w:rsidRDefault="00023E71">
            <w:pPr>
              <w:pStyle w:val="DMETW36772BIPFL"/>
              <w:jc w:val="right"/>
              <w:rPr>
                <w:rFonts w:ascii="Verdana" w:eastAsia="Verdana" w:hAnsi="Verdana" w:cs="Verdana"/>
                <w:noProof/>
                <w:color w:val="FFFFFF"/>
                <w:sz w:val="18"/>
                <w:lang w:bidi="en-GB"/>
              </w:rPr>
            </w:pPr>
            <w:r>
              <w:rPr>
                <w:rFonts w:ascii="Verdana" w:eastAsia="Verdana" w:hAnsi="Verdana" w:cs="Verdana"/>
                <w:noProof/>
                <w:color w:val="FFFFFF"/>
                <w:sz w:val="18"/>
              </w:rPr>
              <w:t>Total Liability</w:t>
            </w:r>
          </w:p>
        </w:tc>
      </w:tr>
      <w:tr w:rsidR="00807FFE" w14:paraId="1A713B01" w14:textId="77777777">
        <w:trPr>
          <w:trHeight w:val="255"/>
        </w:trPr>
        <w:tc>
          <w:tcPr>
            <w:tcW w:w="4474" w:type="dxa"/>
            <w:tcBorders>
              <w:top w:val="nil"/>
              <w:left w:val="nil"/>
              <w:bottom w:val="nil"/>
              <w:right w:val="nil"/>
              <w:tl2br w:val="nil"/>
              <w:tr2bl w:val="nil"/>
            </w:tcBorders>
            <w:tcMar>
              <w:left w:w="60" w:type="dxa"/>
              <w:right w:w="60" w:type="dxa"/>
            </w:tcMar>
            <w:vAlign w:val="center"/>
          </w:tcPr>
          <w:p w14:paraId="5ABBE7F5" w14:textId="77777777" w:rsidR="00807FFE" w:rsidRDefault="00023E71">
            <w:pPr>
              <w:pStyle w:val="DMETW36772BIPFL"/>
              <w:rPr>
                <w:rFonts w:ascii="Verdana" w:eastAsia="Verdana" w:hAnsi="Verdana" w:cs="Verdana"/>
                <w:i/>
                <w:noProof/>
                <w:color w:val="000000"/>
                <w:sz w:val="18"/>
              </w:rPr>
            </w:pPr>
            <w:r>
              <w:rPr>
                <w:rFonts w:ascii="Verdana" w:eastAsia="Verdana" w:hAnsi="Verdana" w:cs="Verdana"/>
                <w:i/>
                <w:noProof/>
                <w:color w:val="000000"/>
                <w:sz w:val="18"/>
              </w:rPr>
              <w:t>Land and buildings</w:t>
            </w:r>
          </w:p>
        </w:tc>
        <w:tc>
          <w:tcPr>
            <w:tcW w:w="1321" w:type="dxa"/>
            <w:tcBorders>
              <w:top w:val="nil"/>
              <w:left w:val="nil"/>
              <w:bottom w:val="nil"/>
              <w:right w:val="nil"/>
              <w:tl2br w:val="nil"/>
              <w:tr2bl w:val="nil"/>
            </w:tcBorders>
            <w:tcMar>
              <w:left w:w="60" w:type="dxa"/>
              <w:right w:w="60" w:type="dxa"/>
            </w:tcMar>
            <w:vAlign w:val="center"/>
          </w:tcPr>
          <w:p w14:paraId="75BE8C53"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87</w:t>
            </w:r>
          </w:p>
        </w:tc>
        <w:tc>
          <w:tcPr>
            <w:tcW w:w="1321" w:type="dxa"/>
            <w:tcBorders>
              <w:top w:val="nil"/>
              <w:left w:val="nil"/>
              <w:bottom w:val="nil"/>
              <w:right w:val="nil"/>
              <w:tl2br w:val="nil"/>
              <w:tr2bl w:val="nil"/>
            </w:tcBorders>
            <w:tcMar>
              <w:left w:w="60" w:type="dxa"/>
              <w:right w:w="60" w:type="dxa"/>
            </w:tcMar>
            <w:vAlign w:val="center"/>
          </w:tcPr>
          <w:p w14:paraId="2A1A42B1"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256</w:t>
            </w:r>
          </w:p>
        </w:tc>
        <w:tc>
          <w:tcPr>
            <w:tcW w:w="1308" w:type="dxa"/>
            <w:tcBorders>
              <w:top w:val="nil"/>
              <w:left w:val="nil"/>
              <w:bottom w:val="nil"/>
              <w:right w:val="nil"/>
              <w:tl2br w:val="nil"/>
              <w:tr2bl w:val="nil"/>
            </w:tcBorders>
            <w:tcMar>
              <w:left w:w="60" w:type="dxa"/>
              <w:right w:w="60" w:type="dxa"/>
            </w:tcMar>
            <w:vAlign w:val="center"/>
          </w:tcPr>
          <w:p w14:paraId="4C7D4190"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248</w:t>
            </w:r>
          </w:p>
        </w:tc>
        <w:tc>
          <w:tcPr>
            <w:tcW w:w="1334" w:type="dxa"/>
            <w:tcBorders>
              <w:top w:val="nil"/>
              <w:left w:val="nil"/>
              <w:bottom w:val="nil"/>
              <w:right w:val="nil"/>
              <w:tl2br w:val="nil"/>
              <w:tr2bl w:val="nil"/>
            </w:tcBorders>
            <w:tcMar>
              <w:left w:w="60" w:type="dxa"/>
              <w:right w:w="60" w:type="dxa"/>
            </w:tcMar>
            <w:vAlign w:val="center"/>
          </w:tcPr>
          <w:p w14:paraId="7C49132A" w14:textId="77777777" w:rsidR="00807FFE" w:rsidRDefault="00023E71">
            <w:pPr>
              <w:pStyle w:val="DMETW36772BIPF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592</w:t>
            </w:r>
          </w:p>
        </w:tc>
      </w:tr>
      <w:tr w:rsidR="00807FFE" w14:paraId="10D2AA49" w14:textId="77777777">
        <w:trPr>
          <w:trHeight w:val="255"/>
        </w:trPr>
        <w:tc>
          <w:tcPr>
            <w:tcW w:w="4474" w:type="dxa"/>
            <w:tcBorders>
              <w:top w:val="nil"/>
              <w:left w:val="nil"/>
              <w:bottom w:val="single" w:sz="4" w:space="0" w:color="016794"/>
              <w:right w:val="nil"/>
              <w:tl2br w:val="nil"/>
              <w:tr2bl w:val="nil"/>
            </w:tcBorders>
            <w:tcMar>
              <w:left w:w="60" w:type="dxa"/>
              <w:right w:w="60" w:type="dxa"/>
            </w:tcMar>
            <w:vAlign w:val="center"/>
          </w:tcPr>
          <w:p w14:paraId="04F15BE0" w14:textId="77777777" w:rsidR="00807FFE" w:rsidRDefault="00023E71">
            <w:pPr>
              <w:pStyle w:val="DMETW36772BIPFL"/>
              <w:rPr>
                <w:rFonts w:ascii="Verdana" w:eastAsia="Verdana" w:hAnsi="Verdana" w:cs="Verdana"/>
                <w:i/>
                <w:noProof/>
                <w:color w:val="000000"/>
                <w:sz w:val="18"/>
              </w:rPr>
            </w:pPr>
            <w:r>
              <w:rPr>
                <w:rFonts w:ascii="Verdana" w:eastAsia="Verdana" w:hAnsi="Verdana" w:cs="Verdana"/>
                <w:i/>
                <w:noProof/>
                <w:color w:val="000000"/>
                <w:sz w:val="18"/>
              </w:rPr>
              <w:t>Other fixed assets</w:t>
            </w:r>
          </w:p>
        </w:tc>
        <w:tc>
          <w:tcPr>
            <w:tcW w:w="1321" w:type="dxa"/>
            <w:tcBorders>
              <w:top w:val="nil"/>
              <w:left w:val="nil"/>
              <w:bottom w:val="single" w:sz="4" w:space="0" w:color="016794"/>
              <w:right w:val="nil"/>
              <w:tl2br w:val="nil"/>
              <w:tr2bl w:val="nil"/>
            </w:tcBorders>
            <w:tcMar>
              <w:left w:w="60" w:type="dxa"/>
              <w:right w:w="60" w:type="dxa"/>
            </w:tcMar>
            <w:vAlign w:val="center"/>
          </w:tcPr>
          <w:p w14:paraId="3A5E50EE"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321" w:type="dxa"/>
            <w:tcBorders>
              <w:top w:val="nil"/>
              <w:left w:val="nil"/>
              <w:bottom w:val="single" w:sz="4" w:space="0" w:color="016794"/>
              <w:right w:val="nil"/>
              <w:tl2br w:val="nil"/>
              <w:tr2bl w:val="nil"/>
            </w:tcBorders>
            <w:tcMar>
              <w:left w:w="60" w:type="dxa"/>
              <w:right w:w="60" w:type="dxa"/>
            </w:tcMar>
            <w:vAlign w:val="center"/>
          </w:tcPr>
          <w:p w14:paraId="4F5388E9"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308" w:type="dxa"/>
            <w:tcBorders>
              <w:top w:val="nil"/>
              <w:left w:val="nil"/>
              <w:bottom w:val="single" w:sz="4" w:space="0" w:color="016794"/>
              <w:right w:val="nil"/>
              <w:tl2br w:val="nil"/>
              <w:tr2bl w:val="nil"/>
            </w:tcBorders>
            <w:tcMar>
              <w:left w:w="60" w:type="dxa"/>
              <w:right w:w="60" w:type="dxa"/>
            </w:tcMar>
            <w:vAlign w:val="center"/>
          </w:tcPr>
          <w:p w14:paraId="52B8334D"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34" w:type="dxa"/>
            <w:tcBorders>
              <w:top w:val="nil"/>
              <w:left w:val="nil"/>
              <w:bottom w:val="single" w:sz="4" w:space="0" w:color="016794"/>
              <w:right w:val="nil"/>
              <w:tl2br w:val="nil"/>
              <w:tr2bl w:val="nil"/>
            </w:tcBorders>
            <w:tcMar>
              <w:left w:w="60" w:type="dxa"/>
              <w:right w:w="60" w:type="dxa"/>
            </w:tcMar>
            <w:vAlign w:val="center"/>
          </w:tcPr>
          <w:p w14:paraId="7F94F6F2" w14:textId="77777777" w:rsidR="00807FFE" w:rsidRDefault="00023E71">
            <w:pPr>
              <w:pStyle w:val="DMETW36772BIPF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w:t>
            </w:r>
          </w:p>
        </w:tc>
      </w:tr>
      <w:tr w:rsidR="00807FFE" w14:paraId="0421AE6C" w14:textId="77777777">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14:paraId="7CDB7C78" w14:textId="77777777" w:rsidR="00807FFE" w:rsidRDefault="00023E71">
            <w:pPr>
              <w:pStyle w:val="DMETW36772BIPFL"/>
              <w:rPr>
                <w:rFonts w:ascii="Verdana" w:eastAsia="Verdana" w:hAnsi="Verdana" w:cs="Verdana"/>
                <w:b/>
                <w:noProof/>
                <w:color w:val="000000"/>
                <w:sz w:val="18"/>
              </w:rPr>
            </w:pPr>
            <w:r>
              <w:rPr>
                <w:rFonts w:ascii="Verdana" w:eastAsia="Verdana" w:hAnsi="Verdana" w:cs="Verdana"/>
                <w:b/>
                <w:noProof/>
                <w:color w:val="000000"/>
                <w:sz w:val="18"/>
              </w:rPr>
              <w:t>Total at 31.12.2025</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14:paraId="0B431284" w14:textId="77777777" w:rsidR="00807FFE" w:rsidRDefault="00023E71">
            <w:pPr>
              <w:pStyle w:val="DMETW36772BIPFL"/>
              <w:jc w:val="right"/>
              <w:rPr>
                <w:rFonts w:ascii="Verdana" w:eastAsia="Verdana" w:hAnsi="Verdana" w:cs="Verdana"/>
                <w:b/>
                <w:noProof/>
                <w:color w:val="000000"/>
                <w:sz w:val="18"/>
              </w:rPr>
            </w:pPr>
            <w:r>
              <w:rPr>
                <w:rFonts w:ascii="Verdana" w:eastAsia="Verdana" w:hAnsi="Verdana" w:cs="Verdana"/>
                <w:b/>
                <w:noProof/>
                <w:color w:val="000000"/>
                <w:sz w:val="18"/>
              </w:rPr>
              <w:t xml:space="preserve"> 90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14:paraId="2729FC70" w14:textId="77777777" w:rsidR="00807FFE" w:rsidRDefault="00023E71">
            <w:pPr>
              <w:pStyle w:val="DMETW36772BIPFL"/>
              <w:jc w:val="right"/>
              <w:rPr>
                <w:rFonts w:ascii="Verdana" w:eastAsia="Verdana" w:hAnsi="Verdana" w:cs="Verdana"/>
                <w:b/>
                <w:noProof/>
                <w:color w:val="000000"/>
                <w:sz w:val="18"/>
              </w:rPr>
            </w:pPr>
            <w:r>
              <w:rPr>
                <w:rFonts w:ascii="Verdana" w:eastAsia="Verdana" w:hAnsi="Verdana" w:cs="Verdana"/>
                <w:b/>
                <w:noProof/>
                <w:color w:val="000000"/>
                <w:sz w:val="18"/>
              </w:rPr>
              <w:t xml:space="preserve"> 263</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14:paraId="10C62E28" w14:textId="77777777" w:rsidR="00807FFE" w:rsidRDefault="00023E71">
            <w:pPr>
              <w:pStyle w:val="DMETW36772BIPFL"/>
              <w:jc w:val="right"/>
              <w:rPr>
                <w:rFonts w:ascii="Verdana" w:eastAsia="Verdana" w:hAnsi="Verdana" w:cs="Verdana"/>
                <w:b/>
                <w:noProof/>
                <w:color w:val="000000"/>
                <w:sz w:val="18"/>
              </w:rPr>
            </w:pPr>
            <w:r>
              <w:rPr>
                <w:rFonts w:ascii="Verdana" w:eastAsia="Verdana" w:hAnsi="Verdana" w:cs="Verdana"/>
                <w:b/>
                <w:noProof/>
                <w:color w:val="000000"/>
                <w:sz w:val="18"/>
              </w:rPr>
              <w:t xml:space="preserve"> 248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14:paraId="1DE5635D" w14:textId="77777777" w:rsidR="00807FFE" w:rsidRDefault="00023E71">
            <w:pPr>
              <w:pStyle w:val="DMETW36772BIPF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601</w:t>
            </w:r>
          </w:p>
        </w:tc>
      </w:tr>
      <w:tr w:rsidR="00807FFE" w14:paraId="3E0E7257" w14:textId="77777777">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14:paraId="1B2D0B3A" w14:textId="77777777" w:rsidR="00807FFE" w:rsidRDefault="00023E71">
            <w:pPr>
              <w:pStyle w:val="DMETW36772BIPFL"/>
              <w:rPr>
                <w:rFonts w:ascii="Verdana" w:eastAsia="Verdana" w:hAnsi="Verdana" w:cs="Verdana"/>
                <w:i/>
                <w:noProof/>
                <w:color w:val="000000"/>
                <w:sz w:val="18"/>
              </w:rPr>
            </w:pPr>
            <w:r>
              <w:rPr>
                <w:rFonts w:ascii="Verdana" w:eastAsia="Verdana" w:hAnsi="Verdana" w:cs="Verdana"/>
                <w:i/>
                <w:noProof/>
                <w:color w:val="000000"/>
                <w:sz w:val="18"/>
              </w:rPr>
              <w:t>Interest element</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14:paraId="2A146712"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14:paraId="6BC2DD73"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64</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14:paraId="2DB682A9"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59</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14:paraId="4DBF46DD" w14:textId="77777777" w:rsidR="00807FFE" w:rsidRDefault="00023E71">
            <w:pPr>
              <w:pStyle w:val="DMETW36772BIPF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143</w:t>
            </w:r>
          </w:p>
        </w:tc>
      </w:tr>
      <w:tr w:rsidR="00807FFE" w14:paraId="5B0B5A8C" w14:textId="77777777">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14:paraId="4B453637" w14:textId="77777777" w:rsidR="00807FFE" w:rsidRDefault="00023E71">
            <w:pPr>
              <w:pStyle w:val="DMETW36772BIPFL"/>
              <w:rPr>
                <w:rFonts w:ascii="Verdana" w:eastAsia="Verdana" w:hAnsi="Verdana" w:cs="Verdana"/>
                <w:b/>
                <w:noProof/>
                <w:color w:val="000000"/>
                <w:sz w:val="18"/>
              </w:rPr>
            </w:pPr>
            <w:r>
              <w:rPr>
                <w:rFonts w:ascii="Verdana" w:eastAsia="Verdana" w:hAnsi="Verdana" w:cs="Verdana"/>
                <w:b/>
                <w:noProof/>
                <w:color w:val="000000"/>
                <w:sz w:val="18"/>
              </w:rPr>
              <w:t>Total future minimum lease payments at 31.12.2025</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14:paraId="393DC82D" w14:textId="77777777" w:rsidR="00807FFE" w:rsidRDefault="00023E71">
            <w:pPr>
              <w:pStyle w:val="DMETW36772BIPFL"/>
              <w:jc w:val="right"/>
              <w:rPr>
                <w:rFonts w:ascii="Verdana" w:eastAsia="Verdana" w:hAnsi="Verdana" w:cs="Verdana"/>
                <w:b/>
                <w:noProof/>
                <w:color w:val="000000"/>
                <w:sz w:val="18"/>
              </w:rPr>
            </w:pPr>
            <w:r>
              <w:rPr>
                <w:rFonts w:ascii="Verdana" w:eastAsia="Verdana" w:hAnsi="Verdana" w:cs="Verdana"/>
                <w:b/>
                <w:noProof/>
                <w:color w:val="000000"/>
                <w:sz w:val="18"/>
              </w:rPr>
              <w:t xml:space="preserve"> 110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14:paraId="12354B47" w14:textId="77777777" w:rsidR="00807FFE" w:rsidRDefault="00023E71">
            <w:pPr>
              <w:pStyle w:val="DMETW36772BIPFL"/>
              <w:jc w:val="right"/>
              <w:rPr>
                <w:rFonts w:ascii="Verdana" w:eastAsia="Verdana" w:hAnsi="Verdana" w:cs="Verdana"/>
                <w:b/>
                <w:noProof/>
                <w:color w:val="000000"/>
                <w:sz w:val="18"/>
              </w:rPr>
            </w:pPr>
            <w:r>
              <w:rPr>
                <w:rFonts w:ascii="Verdana" w:eastAsia="Verdana" w:hAnsi="Verdana" w:cs="Verdana"/>
                <w:b/>
                <w:noProof/>
                <w:color w:val="000000"/>
                <w:sz w:val="18"/>
              </w:rPr>
              <w:t xml:space="preserve"> 327</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14:paraId="2195AFF9" w14:textId="77777777" w:rsidR="00807FFE" w:rsidRDefault="00023E71">
            <w:pPr>
              <w:pStyle w:val="DMETW36772BIPFL"/>
              <w:jc w:val="right"/>
              <w:rPr>
                <w:rFonts w:ascii="Verdana" w:eastAsia="Verdana" w:hAnsi="Verdana" w:cs="Verdana"/>
                <w:b/>
                <w:noProof/>
                <w:color w:val="000000"/>
                <w:sz w:val="18"/>
              </w:rPr>
            </w:pPr>
            <w:r>
              <w:rPr>
                <w:rFonts w:ascii="Verdana" w:eastAsia="Verdana" w:hAnsi="Verdana" w:cs="Verdana"/>
                <w:b/>
                <w:noProof/>
                <w:color w:val="000000"/>
                <w:sz w:val="18"/>
              </w:rPr>
              <w:t xml:space="preserve"> 308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14:paraId="068C9A62" w14:textId="77777777" w:rsidR="00807FFE" w:rsidRDefault="00023E71">
            <w:pPr>
              <w:pStyle w:val="DMETW36772BIPF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744</w:t>
            </w:r>
          </w:p>
        </w:tc>
      </w:tr>
      <w:tr w:rsidR="00807FFE" w14:paraId="6FA6AC4F" w14:textId="77777777">
        <w:trPr>
          <w:trHeight w:val="255"/>
        </w:trPr>
        <w:tc>
          <w:tcPr>
            <w:tcW w:w="4474" w:type="dxa"/>
            <w:tcBorders>
              <w:top w:val="single" w:sz="4" w:space="0" w:color="016794"/>
              <w:left w:val="nil"/>
              <w:bottom w:val="nil"/>
              <w:right w:val="nil"/>
              <w:tl2br w:val="nil"/>
              <w:tr2bl w:val="nil"/>
            </w:tcBorders>
            <w:tcMar>
              <w:left w:w="60" w:type="dxa"/>
              <w:right w:w="60" w:type="dxa"/>
            </w:tcMar>
            <w:vAlign w:val="center"/>
          </w:tcPr>
          <w:p w14:paraId="5D9D887F" w14:textId="77777777" w:rsidR="00807FFE" w:rsidRDefault="00023E71">
            <w:pPr>
              <w:pStyle w:val="DMETW36772BIPFL"/>
              <w:rPr>
                <w:rFonts w:ascii="Verdana" w:eastAsia="Verdana" w:hAnsi="Verdana" w:cs="Verdana"/>
                <w:i/>
                <w:noProof/>
                <w:color w:val="000000"/>
                <w:sz w:val="18"/>
              </w:rPr>
            </w:pPr>
            <w:r>
              <w:rPr>
                <w:rFonts w:ascii="Verdana" w:eastAsia="Verdana" w:hAnsi="Verdana" w:cs="Verdana"/>
                <w:i/>
                <w:noProof/>
                <w:color w:val="000000"/>
                <w:sz w:val="18"/>
              </w:rPr>
              <w:t>Total future minimum lease payments at 31.12.2024</w:t>
            </w:r>
          </w:p>
        </w:tc>
        <w:tc>
          <w:tcPr>
            <w:tcW w:w="1321" w:type="dxa"/>
            <w:tcBorders>
              <w:top w:val="single" w:sz="4" w:space="0" w:color="016794"/>
              <w:left w:val="nil"/>
              <w:bottom w:val="nil"/>
              <w:right w:val="nil"/>
              <w:tl2br w:val="nil"/>
              <w:tr2bl w:val="nil"/>
            </w:tcBorders>
            <w:tcMar>
              <w:left w:w="60" w:type="dxa"/>
              <w:right w:w="60" w:type="dxa"/>
            </w:tcMar>
            <w:vAlign w:val="center"/>
          </w:tcPr>
          <w:p w14:paraId="7F8A4F98"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102</w:t>
            </w:r>
          </w:p>
        </w:tc>
        <w:tc>
          <w:tcPr>
            <w:tcW w:w="1321" w:type="dxa"/>
            <w:tcBorders>
              <w:top w:val="single" w:sz="4" w:space="0" w:color="016794"/>
              <w:left w:val="nil"/>
              <w:bottom w:val="nil"/>
              <w:right w:val="nil"/>
              <w:tl2br w:val="nil"/>
              <w:tr2bl w:val="nil"/>
            </w:tcBorders>
            <w:tcMar>
              <w:left w:w="60" w:type="dxa"/>
              <w:right w:w="60" w:type="dxa"/>
            </w:tcMar>
            <w:vAlign w:val="center"/>
          </w:tcPr>
          <w:p w14:paraId="781C63CA"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361</w:t>
            </w:r>
          </w:p>
        </w:tc>
        <w:tc>
          <w:tcPr>
            <w:tcW w:w="1308" w:type="dxa"/>
            <w:tcBorders>
              <w:top w:val="single" w:sz="4" w:space="0" w:color="016794"/>
              <w:left w:val="nil"/>
              <w:bottom w:val="nil"/>
              <w:right w:val="nil"/>
              <w:tl2br w:val="nil"/>
              <w:tr2bl w:val="nil"/>
            </w:tcBorders>
            <w:tcMar>
              <w:left w:w="60" w:type="dxa"/>
              <w:right w:w="60" w:type="dxa"/>
            </w:tcMar>
            <w:vAlign w:val="center"/>
          </w:tcPr>
          <w:p w14:paraId="742D3A09"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393</w:t>
            </w:r>
          </w:p>
        </w:tc>
        <w:tc>
          <w:tcPr>
            <w:tcW w:w="1334" w:type="dxa"/>
            <w:tcBorders>
              <w:top w:val="single" w:sz="4" w:space="0" w:color="016794"/>
              <w:left w:val="nil"/>
              <w:bottom w:val="nil"/>
              <w:right w:val="nil"/>
              <w:tl2br w:val="nil"/>
              <w:tr2bl w:val="nil"/>
            </w:tcBorders>
            <w:tcMar>
              <w:left w:w="60" w:type="dxa"/>
              <w:right w:w="60" w:type="dxa"/>
            </w:tcMar>
            <w:vAlign w:val="center"/>
          </w:tcPr>
          <w:p w14:paraId="06185CA4" w14:textId="77777777" w:rsidR="00807FFE" w:rsidRDefault="00023E71">
            <w:pPr>
              <w:pStyle w:val="DMETW36772BIPFL"/>
              <w:jc w:val="right"/>
              <w:rPr>
                <w:rFonts w:ascii="Verdana" w:eastAsia="Verdana" w:hAnsi="Verdana" w:cs="Verdana"/>
                <w:i/>
                <w:noProof/>
                <w:color w:val="000000"/>
                <w:sz w:val="18"/>
              </w:rPr>
            </w:pPr>
            <w:r>
              <w:rPr>
                <w:rFonts w:ascii="Verdana" w:eastAsia="Verdana" w:hAnsi="Verdana" w:cs="Verdana"/>
                <w:i/>
                <w:noProof/>
                <w:color w:val="000000"/>
                <w:sz w:val="18"/>
              </w:rPr>
              <w:t xml:space="preserve"> 856</w:t>
            </w:r>
          </w:p>
        </w:tc>
      </w:tr>
    </w:tbl>
    <w:p w14:paraId="682D3D65" w14:textId="77777777" w:rsidR="008263BF" w:rsidRPr="00AB4F02" w:rsidRDefault="008263BF" w:rsidP="009B75C1">
      <w:pPr>
        <w:pStyle w:val="HEADER5"/>
        <w:rPr>
          <w:noProof/>
        </w:rPr>
      </w:pPr>
    </w:p>
    <w:p w14:paraId="2A993EB5" w14:textId="77777777" w:rsidR="009B75C1" w:rsidRDefault="00023E71" w:rsidP="00981D13">
      <w:pPr>
        <w:pStyle w:val="DGTextstand-alone"/>
      </w:pPr>
      <w:r w:rsidRPr="001578A7">
        <w:t>The lease and building related amounts above will have to be funded by future budgets.</w:t>
      </w:r>
    </w:p>
    <w:p w14:paraId="540778A0" w14:textId="178A560F" w:rsidR="00FF7D10" w:rsidRDefault="00023E71" w:rsidP="00981D13">
      <w:pPr>
        <w:pStyle w:val="DGTextstand-alone"/>
      </w:pPr>
      <w:r>
        <w:t xml:space="preserve">Contributions with conditions relate to contributions from Member States and other donors to the EU programmes, in particular to InvestEU (see Note </w:t>
      </w:r>
      <w:r w:rsidRPr="002E43EE">
        <w:rPr>
          <w:b/>
          <w:bCs/>
        </w:rPr>
        <w:t>4.1.1</w:t>
      </w:r>
      <w:r>
        <w:t>), whereby the EU has an obligation to return any unused funds to the contributor.</w:t>
      </w:r>
    </w:p>
    <w:p w14:paraId="311442C2" w14:textId="77777777" w:rsidR="00FF7D10" w:rsidRDefault="00FF7D10">
      <w:pPr>
        <w:rPr>
          <w:rFonts w:ascii="Verdana" w:hAnsi="Verdana"/>
          <w:noProof/>
          <w:sz w:val="18"/>
          <w:szCs w:val="18"/>
          <w:lang w:eastAsia="en-US"/>
        </w:rPr>
      </w:pPr>
      <w:r>
        <w:rPr>
          <w:noProof/>
        </w:rPr>
        <w:br w:type="page"/>
      </w:r>
    </w:p>
    <w:p w14:paraId="3DAB67EB" w14:textId="77777777" w:rsidR="009B75C1" w:rsidRDefault="00023E71" w:rsidP="00172034">
      <w:pPr>
        <w:pStyle w:val="HEADER3NOTES"/>
        <w:numPr>
          <w:ilvl w:val="2"/>
          <w:numId w:val="15"/>
        </w:numPr>
        <w:rPr>
          <w:noProof/>
        </w:rPr>
      </w:pPr>
      <w:r w:rsidRPr="007B6D94">
        <w:rPr>
          <w:noProof/>
        </w:rPr>
        <w:t>Financial guarantee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5"/>
        <w:gridCol w:w="1843"/>
        <w:gridCol w:w="1701"/>
        <w:gridCol w:w="1843"/>
        <w:gridCol w:w="1476"/>
      </w:tblGrid>
      <w:tr w:rsidR="00807FFE" w14:paraId="5FCE751E"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73BE7B62" w14:textId="77777777" w:rsidR="00807FFE" w:rsidRDefault="00807FFE">
            <w:pPr>
              <w:pStyle w:val="DMETW36633BIPFGL"/>
              <w:rPr>
                <w:rFonts w:ascii="Verdana" w:eastAsia="Verdana" w:hAnsi="Verdana" w:cs="Verdana"/>
                <w:noProof/>
                <w:color w:val="000000"/>
                <w:sz w:val="18"/>
                <w:lang w:bidi="en-GB"/>
              </w:rPr>
            </w:pPr>
            <w:bookmarkStart w:id="166" w:name="DOC_TBL00061_1_1"/>
            <w:bookmarkEnd w:id="166"/>
          </w:p>
        </w:tc>
        <w:tc>
          <w:tcPr>
            <w:tcW w:w="1843" w:type="dxa"/>
            <w:tcBorders>
              <w:top w:val="nil"/>
              <w:left w:val="nil"/>
              <w:bottom w:val="nil"/>
              <w:right w:val="nil"/>
              <w:tl2br w:val="nil"/>
              <w:tr2bl w:val="nil"/>
            </w:tcBorders>
            <w:tcMar>
              <w:left w:w="60" w:type="dxa"/>
              <w:right w:w="60" w:type="dxa"/>
            </w:tcMar>
            <w:vAlign w:val="center"/>
          </w:tcPr>
          <w:p w14:paraId="6D9056B6" w14:textId="77777777" w:rsidR="00807FFE" w:rsidRDefault="00807FFE">
            <w:pPr>
              <w:pStyle w:val="DMETW36633BIPFGL"/>
              <w:rPr>
                <w:rFonts w:ascii="Verdana" w:eastAsia="Verdana" w:hAnsi="Verdana" w:cs="Verdana"/>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14:paraId="555B648D" w14:textId="77777777" w:rsidR="00807FFE" w:rsidRDefault="00807FFE">
            <w:pPr>
              <w:pStyle w:val="DMETW36633BIPFGL"/>
              <w:rPr>
                <w:rFonts w:ascii="Verdana" w:eastAsia="Verdana" w:hAnsi="Verdana" w:cs="Verdana"/>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14:paraId="2E2D465F" w14:textId="77777777" w:rsidR="00807FFE" w:rsidRDefault="00807FFE">
            <w:pPr>
              <w:pStyle w:val="DMETW36633BIPFGL"/>
              <w:rPr>
                <w:rFonts w:ascii="Verdana" w:eastAsia="Verdana" w:hAnsi="Verdana" w:cs="Verdana"/>
                <w:noProof/>
                <w:color w:val="000000"/>
                <w:sz w:val="18"/>
              </w:rPr>
            </w:pPr>
          </w:p>
        </w:tc>
        <w:tc>
          <w:tcPr>
            <w:tcW w:w="1476" w:type="dxa"/>
            <w:tcBorders>
              <w:top w:val="nil"/>
              <w:left w:val="nil"/>
              <w:bottom w:val="nil"/>
              <w:right w:val="nil"/>
              <w:tl2br w:val="nil"/>
              <w:tr2bl w:val="nil"/>
            </w:tcBorders>
            <w:tcMar>
              <w:left w:w="60" w:type="dxa"/>
              <w:right w:w="60" w:type="dxa"/>
            </w:tcMar>
            <w:vAlign w:val="bottom"/>
          </w:tcPr>
          <w:p w14:paraId="19F1797D"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7243B0B8" w14:textId="77777777">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14:paraId="0E6FEF65" w14:textId="77777777" w:rsidR="00807FFE" w:rsidRDefault="00807FFE">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14:paraId="773FB3F4"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31.12.2025</w:t>
            </w:r>
          </w:p>
        </w:tc>
        <w:tc>
          <w:tcPr>
            <w:tcW w:w="1701" w:type="dxa"/>
            <w:tcBorders>
              <w:top w:val="nil"/>
              <w:left w:val="nil"/>
              <w:bottom w:val="nil"/>
              <w:right w:val="nil"/>
              <w:tl2br w:val="nil"/>
              <w:tr2bl w:val="nil"/>
            </w:tcBorders>
            <w:shd w:val="solid" w:color="016794" w:fill="FFFFFF"/>
            <w:tcMar>
              <w:left w:w="60" w:type="dxa"/>
              <w:right w:w="60" w:type="dxa"/>
            </w:tcMar>
            <w:vAlign w:val="center"/>
          </w:tcPr>
          <w:p w14:paraId="61E795AB" w14:textId="77777777" w:rsidR="00807FFE" w:rsidRDefault="00807FFE">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14:paraId="0C65AF0B"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31.12.2024</w:t>
            </w:r>
          </w:p>
        </w:tc>
        <w:tc>
          <w:tcPr>
            <w:tcW w:w="1476" w:type="dxa"/>
            <w:tcBorders>
              <w:top w:val="nil"/>
              <w:left w:val="nil"/>
              <w:bottom w:val="nil"/>
              <w:right w:val="nil"/>
              <w:tl2br w:val="nil"/>
              <w:tr2bl w:val="nil"/>
            </w:tcBorders>
            <w:shd w:val="solid" w:color="016794" w:fill="FFFFFF"/>
            <w:tcMar>
              <w:left w:w="60" w:type="dxa"/>
              <w:right w:w="60" w:type="dxa"/>
            </w:tcMar>
            <w:vAlign w:val="center"/>
          </w:tcPr>
          <w:p w14:paraId="33F8FE61" w14:textId="77777777" w:rsidR="00807FFE" w:rsidRDefault="00807FFE">
            <w:pPr>
              <w:pStyle w:val="DMETW36633BIPFGL"/>
              <w:rPr>
                <w:rFonts w:ascii="Verdana" w:eastAsia="Verdana" w:hAnsi="Verdana" w:cs="Verdana"/>
                <w:noProof/>
                <w:color w:val="FFFFFF"/>
                <w:sz w:val="18"/>
                <w:lang w:bidi="en-GB"/>
              </w:rPr>
            </w:pPr>
          </w:p>
        </w:tc>
      </w:tr>
      <w:tr w:rsidR="00807FFE" w14:paraId="386096FA" w14:textId="77777777">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14:paraId="29DF68BF" w14:textId="77777777" w:rsidR="00807FFE" w:rsidRDefault="00807FFE">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14:paraId="7AC2426C"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 xml:space="preserve">Financial guarantee receivable </w:t>
            </w:r>
          </w:p>
          <w:p w14:paraId="097B1DAD"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(Note 2.6.2)</w:t>
            </w:r>
          </w:p>
        </w:tc>
        <w:tc>
          <w:tcPr>
            <w:tcW w:w="1701" w:type="dxa"/>
            <w:tcBorders>
              <w:top w:val="nil"/>
              <w:left w:val="nil"/>
              <w:bottom w:val="nil"/>
              <w:right w:val="nil"/>
              <w:tl2br w:val="nil"/>
              <w:tr2bl w:val="nil"/>
            </w:tcBorders>
            <w:shd w:val="solid" w:color="016794" w:fill="FFFFFF"/>
            <w:tcMar>
              <w:left w:w="60" w:type="dxa"/>
              <w:right w:w="60" w:type="dxa"/>
            </w:tcMar>
            <w:vAlign w:val="center"/>
          </w:tcPr>
          <w:p w14:paraId="532E33D0"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Financial guarantee</w:t>
            </w:r>
          </w:p>
          <w:p w14:paraId="2E8694B8"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 xml:space="preserve"> liability</w:t>
            </w:r>
          </w:p>
        </w:tc>
        <w:tc>
          <w:tcPr>
            <w:tcW w:w="1843" w:type="dxa"/>
            <w:tcBorders>
              <w:top w:val="nil"/>
              <w:left w:val="nil"/>
              <w:bottom w:val="nil"/>
              <w:right w:val="nil"/>
              <w:tl2br w:val="nil"/>
              <w:tr2bl w:val="nil"/>
            </w:tcBorders>
            <w:shd w:val="solid" w:color="016794" w:fill="FFFFFF"/>
            <w:tcMar>
              <w:left w:w="60" w:type="dxa"/>
              <w:right w:w="60" w:type="dxa"/>
            </w:tcMar>
            <w:vAlign w:val="center"/>
          </w:tcPr>
          <w:p w14:paraId="7C042EBB"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 xml:space="preserve">Financial guarantee receivable  </w:t>
            </w:r>
          </w:p>
          <w:p w14:paraId="4781BE9C"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(Note 2.6.2)</w:t>
            </w:r>
          </w:p>
        </w:tc>
        <w:tc>
          <w:tcPr>
            <w:tcW w:w="1476" w:type="dxa"/>
            <w:tcBorders>
              <w:top w:val="nil"/>
              <w:left w:val="nil"/>
              <w:bottom w:val="nil"/>
              <w:right w:val="nil"/>
              <w:tl2br w:val="nil"/>
              <w:tr2bl w:val="nil"/>
            </w:tcBorders>
            <w:shd w:val="solid" w:color="016794" w:fill="FFFFFF"/>
            <w:tcMar>
              <w:left w:w="60" w:type="dxa"/>
              <w:right w:w="60" w:type="dxa"/>
            </w:tcMar>
            <w:vAlign w:val="center"/>
          </w:tcPr>
          <w:p w14:paraId="577A381E" w14:textId="77777777" w:rsidR="00807FFE" w:rsidRDefault="00023E71">
            <w:pPr>
              <w:pStyle w:val="DMETW36633BIPFGL"/>
              <w:jc w:val="right"/>
              <w:rPr>
                <w:rFonts w:ascii="Verdana" w:eastAsia="Verdana" w:hAnsi="Verdana" w:cs="Verdana"/>
                <w:noProof/>
                <w:color w:val="FFFFFF"/>
                <w:sz w:val="18"/>
              </w:rPr>
            </w:pPr>
            <w:r>
              <w:rPr>
                <w:rFonts w:ascii="Verdana" w:eastAsia="Verdana" w:hAnsi="Verdana" w:cs="Verdana"/>
                <w:noProof/>
                <w:color w:val="FFFFFF"/>
                <w:sz w:val="18"/>
              </w:rPr>
              <w:t>Financial guarantee</w:t>
            </w:r>
          </w:p>
          <w:p w14:paraId="06C7C1C0" w14:textId="77777777" w:rsidR="00807FFE" w:rsidRDefault="00023E71">
            <w:pPr>
              <w:pStyle w:val="DMETW36633BIPFGL"/>
              <w:jc w:val="right"/>
              <w:rPr>
                <w:rFonts w:ascii="Verdana" w:eastAsia="Verdana" w:hAnsi="Verdana" w:cs="Verdana"/>
                <w:noProof/>
                <w:color w:val="FFFFFF"/>
                <w:sz w:val="18"/>
                <w:lang w:bidi="en-GB"/>
              </w:rPr>
            </w:pPr>
            <w:r>
              <w:rPr>
                <w:rFonts w:ascii="Verdana" w:eastAsia="Verdana" w:hAnsi="Verdana" w:cs="Verdana"/>
                <w:noProof/>
                <w:color w:val="FFFFFF"/>
                <w:sz w:val="18"/>
              </w:rPr>
              <w:t xml:space="preserve"> liability</w:t>
            </w:r>
          </w:p>
        </w:tc>
      </w:tr>
      <w:tr w:rsidR="00807FFE" w14:paraId="2BD50F8D"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6C8CBF72" w14:textId="77777777" w:rsidR="00807FFE" w:rsidRDefault="00023E71">
            <w:pPr>
              <w:pStyle w:val="DMETW36633BIPFGL"/>
              <w:rPr>
                <w:rFonts w:ascii="Verdana" w:eastAsia="Verdana" w:hAnsi="Verdana" w:cs="Verdana"/>
                <w:i/>
                <w:noProof/>
                <w:color w:val="016794"/>
                <w:sz w:val="18"/>
              </w:rPr>
            </w:pPr>
            <w:r>
              <w:rPr>
                <w:rFonts w:ascii="Verdana" w:eastAsia="Verdana" w:hAnsi="Verdana" w:cs="Verdana"/>
                <w:i/>
                <w:noProof/>
                <w:color w:val="016794"/>
                <w:sz w:val="18"/>
              </w:rPr>
              <w:t>EU budgetary guarantee programmes</w:t>
            </w:r>
          </w:p>
        </w:tc>
        <w:tc>
          <w:tcPr>
            <w:tcW w:w="1843" w:type="dxa"/>
            <w:tcBorders>
              <w:top w:val="nil"/>
              <w:left w:val="nil"/>
              <w:bottom w:val="nil"/>
              <w:right w:val="nil"/>
              <w:tl2br w:val="nil"/>
              <w:tr2bl w:val="nil"/>
            </w:tcBorders>
            <w:tcMar>
              <w:left w:w="60" w:type="dxa"/>
              <w:right w:w="60" w:type="dxa"/>
            </w:tcMar>
            <w:vAlign w:val="center"/>
          </w:tcPr>
          <w:p w14:paraId="6E997551" w14:textId="77777777" w:rsidR="00807FFE" w:rsidRDefault="00807FFE">
            <w:pPr>
              <w:pStyle w:val="DMETW36633BIPFGL"/>
              <w:jc w:val="right"/>
              <w:rPr>
                <w:rFonts w:ascii="Verdana" w:eastAsia="Verdana" w:hAnsi="Verdana" w:cs="Verdana"/>
                <w:i/>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14:paraId="10369CD7" w14:textId="77777777" w:rsidR="00807FFE" w:rsidRDefault="00807FFE">
            <w:pPr>
              <w:pStyle w:val="DMETW36633BIPFGL"/>
              <w:jc w:val="right"/>
              <w:rPr>
                <w:rFonts w:ascii="Verdana" w:eastAsia="Verdana" w:hAnsi="Verdana" w:cs="Verdana"/>
                <w:i/>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14:paraId="1A2B93B0" w14:textId="77777777" w:rsidR="00807FFE" w:rsidRDefault="00807FFE">
            <w:pPr>
              <w:pStyle w:val="DMETW36633BIPFGL"/>
              <w:jc w:val="right"/>
              <w:rPr>
                <w:rFonts w:ascii="Verdana" w:eastAsia="Verdana" w:hAnsi="Verdana" w:cs="Verdana"/>
                <w:i/>
                <w:noProof/>
                <w:color w:val="000000"/>
                <w:sz w:val="18"/>
              </w:rPr>
            </w:pPr>
          </w:p>
        </w:tc>
        <w:tc>
          <w:tcPr>
            <w:tcW w:w="1476" w:type="dxa"/>
            <w:tcBorders>
              <w:top w:val="nil"/>
              <w:left w:val="nil"/>
              <w:bottom w:val="nil"/>
              <w:right w:val="nil"/>
              <w:tl2br w:val="nil"/>
              <w:tr2bl w:val="nil"/>
            </w:tcBorders>
            <w:tcMar>
              <w:left w:w="60" w:type="dxa"/>
              <w:right w:w="60" w:type="dxa"/>
            </w:tcMar>
            <w:vAlign w:val="center"/>
          </w:tcPr>
          <w:p w14:paraId="14CD8787" w14:textId="77777777" w:rsidR="00807FFE" w:rsidRDefault="00807FFE">
            <w:pPr>
              <w:pStyle w:val="DMETW36633BIPFGL"/>
              <w:jc w:val="right"/>
              <w:rPr>
                <w:rFonts w:ascii="Verdana" w:eastAsia="Verdana" w:hAnsi="Verdana" w:cs="Verdana"/>
                <w:i/>
                <w:noProof/>
                <w:color w:val="000000"/>
                <w:sz w:val="18"/>
                <w:lang w:bidi="en-GB"/>
              </w:rPr>
            </w:pPr>
          </w:p>
        </w:tc>
      </w:tr>
      <w:tr w:rsidR="00807FFE" w14:paraId="764923A4"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27C24EF8"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EIB ELM guarantees</w:t>
            </w:r>
          </w:p>
        </w:tc>
        <w:tc>
          <w:tcPr>
            <w:tcW w:w="1843" w:type="dxa"/>
            <w:tcBorders>
              <w:top w:val="nil"/>
              <w:left w:val="nil"/>
              <w:bottom w:val="nil"/>
              <w:right w:val="nil"/>
              <w:tl2br w:val="nil"/>
              <w:tr2bl w:val="nil"/>
            </w:tcBorders>
            <w:tcMar>
              <w:left w:w="60" w:type="dxa"/>
              <w:right w:w="60" w:type="dxa"/>
            </w:tcMar>
            <w:vAlign w:val="center"/>
          </w:tcPr>
          <w:p w14:paraId="645C4327"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701" w:type="dxa"/>
            <w:tcBorders>
              <w:top w:val="nil"/>
              <w:left w:val="nil"/>
              <w:bottom w:val="nil"/>
              <w:right w:val="nil"/>
              <w:tl2br w:val="nil"/>
              <w:tr2bl w:val="nil"/>
            </w:tcBorders>
            <w:tcMar>
              <w:left w:w="60" w:type="dxa"/>
              <w:right w:w="60" w:type="dxa"/>
            </w:tcMar>
            <w:vAlign w:val="center"/>
          </w:tcPr>
          <w:p w14:paraId="42891ED0"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1 806</w:t>
            </w:r>
          </w:p>
        </w:tc>
        <w:tc>
          <w:tcPr>
            <w:tcW w:w="1843" w:type="dxa"/>
            <w:tcBorders>
              <w:top w:val="nil"/>
              <w:left w:val="nil"/>
              <w:bottom w:val="nil"/>
              <w:right w:val="nil"/>
              <w:tl2br w:val="nil"/>
              <w:tr2bl w:val="nil"/>
            </w:tcBorders>
            <w:tcMar>
              <w:left w:w="60" w:type="dxa"/>
              <w:right w:w="60" w:type="dxa"/>
            </w:tcMar>
            <w:vAlign w:val="center"/>
          </w:tcPr>
          <w:p w14:paraId="216FDDC4"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19</w:t>
            </w:r>
          </w:p>
        </w:tc>
        <w:tc>
          <w:tcPr>
            <w:tcW w:w="1476" w:type="dxa"/>
            <w:tcBorders>
              <w:top w:val="nil"/>
              <w:left w:val="nil"/>
              <w:bottom w:val="nil"/>
              <w:right w:val="nil"/>
              <w:tl2br w:val="nil"/>
              <w:tr2bl w:val="nil"/>
            </w:tcBorders>
            <w:tcMar>
              <w:left w:w="60" w:type="dxa"/>
              <w:right w:w="60" w:type="dxa"/>
            </w:tcMar>
            <w:vAlign w:val="center"/>
          </w:tcPr>
          <w:p w14:paraId="5B9B77A0"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1 862</w:t>
            </w:r>
          </w:p>
        </w:tc>
      </w:tr>
      <w:tr w:rsidR="00807FFE" w14:paraId="725E57EF"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6EE947B5"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 xml:space="preserve">EFSI guarantee </w:t>
            </w:r>
          </w:p>
        </w:tc>
        <w:tc>
          <w:tcPr>
            <w:tcW w:w="1843" w:type="dxa"/>
            <w:tcBorders>
              <w:top w:val="nil"/>
              <w:left w:val="nil"/>
              <w:bottom w:val="nil"/>
              <w:right w:val="nil"/>
              <w:tl2br w:val="nil"/>
              <w:tr2bl w:val="nil"/>
            </w:tcBorders>
            <w:tcMar>
              <w:left w:w="60" w:type="dxa"/>
              <w:right w:w="60" w:type="dxa"/>
            </w:tcMar>
            <w:vAlign w:val="center"/>
          </w:tcPr>
          <w:p w14:paraId="0670D1C9"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1 248</w:t>
            </w:r>
          </w:p>
        </w:tc>
        <w:tc>
          <w:tcPr>
            <w:tcW w:w="1701" w:type="dxa"/>
            <w:tcBorders>
              <w:top w:val="nil"/>
              <w:left w:val="nil"/>
              <w:bottom w:val="nil"/>
              <w:right w:val="nil"/>
              <w:tl2br w:val="nil"/>
              <w:tr2bl w:val="nil"/>
            </w:tcBorders>
            <w:tcMar>
              <w:left w:w="60" w:type="dxa"/>
              <w:right w:w="60" w:type="dxa"/>
            </w:tcMar>
            <w:vAlign w:val="center"/>
          </w:tcPr>
          <w:p w14:paraId="312CB635"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1 307</w:t>
            </w:r>
          </w:p>
        </w:tc>
        <w:tc>
          <w:tcPr>
            <w:tcW w:w="1843" w:type="dxa"/>
            <w:tcBorders>
              <w:top w:val="nil"/>
              <w:left w:val="nil"/>
              <w:bottom w:val="nil"/>
              <w:right w:val="nil"/>
              <w:tl2br w:val="nil"/>
              <w:tr2bl w:val="nil"/>
            </w:tcBorders>
            <w:tcMar>
              <w:left w:w="60" w:type="dxa"/>
              <w:right w:w="60" w:type="dxa"/>
            </w:tcMar>
            <w:vAlign w:val="center"/>
          </w:tcPr>
          <w:p w14:paraId="1B56CCD9"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1 345</w:t>
            </w:r>
          </w:p>
        </w:tc>
        <w:tc>
          <w:tcPr>
            <w:tcW w:w="1476" w:type="dxa"/>
            <w:tcBorders>
              <w:top w:val="nil"/>
              <w:left w:val="nil"/>
              <w:bottom w:val="nil"/>
              <w:right w:val="nil"/>
              <w:tl2br w:val="nil"/>
              <w:tr2bl w:val="nil"/>
            </w:tcBorders>
            <w:tcMar>
              <w:left w:w="60" w:type="dxa"/>
              <w:right w:w="60" w:type="dxa"/>
            </w:tcMar>
            <w:vAlign w:val="center"/>
          </w:tcPr>
          <w:p w14:paraId="6BFD6025"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1 402</w:t>
            </w:r>
          </w:p>
        </w:tc>
      </w:tr>
      <w:tr w:rsidR="00807FFE" w14:paraId="0B8A0A1C"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28606CA1"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EFSD guarantee</w:t>
            </w:r>
          </w:p>
        </w:tc>
        <w:tc>
          <w:tcPr>
            <w:tcW w:w="1843" w:type="dxa"/>
            <w:tcBorders>
              <w:top w:val="nil"/>
              <w:left w:val="nil"/>
              <w:bottom w:val="nil"/>
              <w:right w:val="nil"/>
              <w:tl2br w:val="nil"/>
              <w:tr2bl w:val="nil"/>
            </w:tcBorders>
            <w:tcMar>
              <w:left w:w="60" w:type="dxa"/>
              <w:right w:w="60" w:type="dxa"/>
            </w:tcMar>
            <w:vAlign w:val="center"/>
          </w:tcPr>
          <w:p w14:paraId="16341942"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701" w:type="dxa"/>
            <w:tcBorders>
              <w:top w:val="nil"/>
              <w:left w:val="nil"/>
              <w:bottom w:val="nil"/>
              <w:right w:val="nil"/>
              <w:tl2br w:val="nil"/>
              <w:tr2bl w:val="nil"/>
            </w:tcBorders>
            <w:tcMar>
              <w:left w:w="60" w:type="dxa"/>
              <w:right w:w="60" w:type="dxa"/>
            </w:tcMar>
            <w:vAlign w:val="center"/>
          </w:tcPr>
          <w:p w14:paraId="67B9B85D"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89</w:t>
            </w:r>
          </w:p>
        </w:tc>
        <w:tc>
          <w:tcPr>
            <w:tcW w:w="1843" w:type="dxa"/>
            <w:tcBorders>
              <w:top w:val="nil"/>
              <w:left w:val="nil"/>
              <w:bottom w:val="nil"/>
              <w:right w:val="nil"/>
              <w:tl2br w:val="nil"/>
              <w:tr2bl w:val="nil"/>
            </w:tcBorders>
            <w:tcMar>
              <w:left w:w="60" w:type="dxa"/>
              <w:right w:w="60" w:type="dxa"/>
            </w:tcMar>
            <w:vAlign w:val="center"/>
          </w:tcPr>
          <w:p w14:paraId="5AE2BB40"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476" w:type="dxa"/>
            <w:tcBorders>
              <w:top w:val="nil"/>
              <w:left w:val="nil"/>
              <w:bottom w:val="nil"/>
              <w:right w:val="nil"/>
              <w:tl2br w:val="nil"/>
              <w:tr2bl w:val="nil"/>
            </w:tcBorders>
            <w:tcMar>
              <w:left w:w="60" w:type="dxa"/>
              <w:right w:w="60" w:type="dxa"/>
            </w:tcMar>
            <w:vAlign w:val="center"/>
          </w:tcPr>
          <w:p w14:paraId="47365C91"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192</w:t>
            </w:r>
          </w:p>
        </w:tc>
      </w:tr>
      <w:tr w:rsidR="00807FFE" w14:paraId="6BAC68E8"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49B28912"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InvestEU guarantee</w:t>
            </w:r>
          </w:p>
        </w:tc>
        <w:tc>
          <w:tcPr>
            <w:tcW w:w="1843" w:type="dxa"/>
            <w:tcBorders>
              <w:top w:val="nil"/>
              <w:left w:val="nil"/>
              <w:bottom w:val="nil"/>
              <w:right w:val="nil"/>
              <w:tl2br w:val="nil"/>
              <w:tr2bl w:val="nil"/>
            </w:tcBorders>
            <w:tcMar>
              <w:left w:w="60" w:type="dxa"/>
              <w:right w:w="60" w:type="dxa"/>
            </w:tcMar>
            <w:vAlign w:val="center"/>
          </w:tcPr>
          <w:p w14:paraId="61415A85"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276</w:t>
            </w:r>
          </w:p>
        </w:tc>
        <w:tc>
          <w:tcPr>
            <w:tcW w:w="1701" w:type="dxa"/>
            <w:tcBorders>
              <w:top w:val="nil"/>
              <w:left w:val="nil"/>
              <w:bottom w:val="nil"/>
              <w:right w:val="nil"/>
              <w:tl2br w:val="nil"/>
              <w:tr2bl w:val="nil"/>
            </w:tcBorders>
            <w:tcMar>
              <w:left w:w="60" w:type="dxa"/>
              <w:right w:w="60" w:type="dxa"/>
            </w:tcMar>
            <w:vAlign w:val="center"/>
          </w:tcPr>
          <w:p w14:paraId="233A7822"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1 841</w:t>
            </w:r>
          </w:p>
        </w:tc>
        <w:tc>
          <w:tcPr>
            <w:tcW w:w="1843" w:type="dxa"/>
            <w:tcBorders>
              <w:top w:val="nil"/>
              <w:left w:val="nil"/>
              <w:bottom w:val="nil"/>
              <w:right w:val="nil"/>
              <w:tl2br w:val="nil"/>
              <w:tr2bl w:val="nil"/>
            </w:tcBorders>
            <w:tcMar>
              <w:left w:w="60" w:type="dxa"/>
              <w:right w:w="60" w:type="dxa"/>
            </w:tcMar>
            <w:vAlign w:val="center"/>
          </w:tcPr>
          <w:p w14:paraId="151F85B3"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190</w:t>
            </w:r>
          </w:p>
        </w:tc>
        <w:tc>
          <w:tcPr>
            <w:tcW w:w="1476" w:type="dxa"/>
            <w:tcBorders>
              <w:top w:val="nil"/>
              <w:left w:val="nil"/>
              <w:bottom w:val="nil"/>
              <w:right w:val="nil"/>
              <w:tl2br w:val="nil"/>
              <w:tr2bl w:val="nil"/>
            </w:tcBorders>
            <w:tcMar>
              <w:left w:w="60" w:type="dxa"/>
              <w:right w:w="60" w:type="dxa"/>
            </w:tcMar>
            <w:vAlign w:val="center"/>
          </w:tcPr>
          <w:p w14:paraId="7558D33B"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1 606</w:t>
            </w:r>
          </w:p>
        </w:tc>
      </w:tr>
      <w:tr w:rsidR="00807FFE" w14:paraId="66C443A5"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50416A77"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NDICI EU guarantee</w:t>
            </w:r>
          </w:p>
        </w:tc>
        <w:tc>
          <w:tcPr>
            <w:tcW w:w="1843" w:type="dxa"/>
            <w:tcBorders>
              <w:top w:val="nil"/>
              <w:left w:val="nil"/>
              <w:bottom w:val="nil"/>
              <w:right w:val="nil"/>
              <w:tl2br w:val="nil"/>
              <w:tr2bl w:val="nil"/>
            </w:tcBorders>
            <w:tcMar>
              <w:left w:w="60" w:type="dxa"/>
              <w:right w:w="60" w:type="dxa"/>
            </w:tcMar>
            <w:vAlign w:val="center"/>
          </w:tcPr>
          <w:p w14:paraId="789E3D81"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60</w:t>
            </w:r>
          </w:p>
        </w:tc>
        <w:tc>
          <w:tcPr>
            <w:tcW w:w="1701" w:type="dxa"/>
            <w:tcBorders>
              <w:top w:val="nil"/>
              <w:left w:val="nil"/>
              <w:bottom w:val="nil"/>
              <w:right w:val="nil"/>
              <w:tl2br w:val="nil"/>
              <w:tr2bl w:val="nil"/>
            </w:tcBorders>
            <w:tcMar>
              <w:left w:w="60" w:type="dxa"/>
              <w:right w:w="60" w:type="dxa"/>
            </w:tcMar>
            <w:vAlign w:val="center"/>
          </w:tcPr>
          <w:p w14:paraId="69AA7BBE"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915</w:t>
            </w:r>
          </w:p>
        </w:tc>
        <w:tc>
          <w:tcPr>
            <w:tcW w:w="1843" w:type="dxa"/>
            <w:tcBorders>
              <w:top w:val="nil"/>
              <w:left w:val="nil"/>
              <w:bottom w:val="nil"/>
              <w:right w:val="nil"/>
              <w:tl2br w:val="nil"/>
              <w:tr2bl w:val="nil"/>
            </w:tcBorders>
            <w:tcMar>
              <w:left w:w="60" w:type="dxa"/>
              <w:right w:w="60" w:type="dxa"/>
            </w:tcMar>
            <w:vAlign w:val="center"/>
          </w:tcPr>
          <w:p w14:paraId="4C5A07DB"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30</w:t>
            </w:r>
          </w:p>
        </w:tc>
        <w:tc>
          <w:tcPr>
            <w:tcW w:w="1476" w:type="dxa"/>
            <w:tcBorders>
              <w:top w:val="nil"/>
              <w:left w:val="nil"/>
              <w:bottom w:val="nil"/>
              <w:right w:val="nil"/>
              <w:tl2br w:val="nil"/>
              <w:tr2bl w:val="nil"/>
            </w:tcBorders>
            <w:tcMar>
              <w:left w:w="60" w:type="dxa"/>
              <w:right w:w="60" w:type="dxa"/>
            </w:tcMar>
            <w:vAlign w:val="center"/>
          </w:tcPr>
          <w:p w14:paraId="34EC429D"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582</w:t>
            </w:r>
          </w:p>
        </w:tc>
      </w:tr>
      <w:tr w:rsidR="00807FFE" w14:paraId="6A15383D"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1263FD24"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Ukraine guarantee</w:t>
            </w:r>
          </w:p>
        </w:tc>
        <w:tc>
          <w:tcPr>
            <w:tcW w:w="1843" w:type="dxa"/>
            <w:tcBorders>
              <w:top w:val="nil"/>
              <w:left w:val="nil"/>
              <w:bottom w:val="nil"/>
              <w:right w:val="nil"/>
              <w:tl2br w:val="nil"/>
              <w:tr2bl w:val="nil"/>
            </w:tcBorders>
            <w:tcMar>
              <w:left w:w="60" w:type="dxa"/>
              <w:right w:w="60" w:type="dxa"/>
            </w:tcMar>
            <w:vAlign w:val="center"/>
          </w:tcPr>
          <w:p w14:paraId="20F30CA5"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701" w:type="dxa"/>
            <w:tcBorders>
              <w:top w:val="nil"/>
              <w:left w:val="nil"/>
              <w:bottom w:val="nil"/>
              <w:right w:val="nil"/>
              <w:tl2br w:val="nil"/>
              <w:tr2bl w:val="nil"/>
            </w:tcBorders>
            <w:tcMar>
              <w:left w:w="60" w:type="dxa"/>
              <w:right w:w="60" w:type="dxa"/>
            </w:tcMar>
            <w:vAlign w:val="center"/>
          </w:tcPr>
          <w:p w14:paraId="2738E31F"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1 248</w:t>
            </w:r>
          </w:p>
        </w:tc>
        <w:tc>
          <w:tcPr>
            <w:tcW w:w="1843" w:type="dxa"/>
            <w:tcBorders>
              <w:top w:val="nil"/>
              <w:left w:val="nil"/>
              <w:bottom w:val="nil"/>
              <w:right w:val="nil"/>
              <w:tl2br w:val="nil"/>
              <w:tr2bl w:val="nil"/>
            </w:tcBorders>
            <w:tcMar>
              <w:left w:w="60" w:type="dxa"/>
              <w:right w:w="60" w:type="dxa"/>
            </w:tcMar>
            <w:vAlign w:val="center"/>
          </w:tcPr>
          <w:p w14:paraId="4C6DD32F"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476" w:type="dxa"/>
            <w:tcBorders>
              <w:top w:val="nil"/>
              <w:left w:val="nil"/>
              <w:bottom w:val="nil"/>
              <w:right w:val="nil"/>
              <w:tl2br w:val="nil"/>
              <w:tr2bl w:val="nil"/>
            </w:tcBorders>
            <w:tcMar>
              <w:left w:w="60" w:type="dxa"/>
              <w:right w:w="60" w:type="dxa"/>
            </w:tcMar>
            <w:vAlign w:val="center"/>
          </w:tcPr>
          <w:p w14:paraId="2C4B9162"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61</w:t>
            </w:r>
          </w:p>
        </w:tc>
      </w:tr>
      <w:tr w:rsidR="00807FFE" w14:paraId="22CB0CDD" w14:textId="77777777">
        <w:trPr>
          <w:trHeight w:val="255"/>
        </w:trPr>
        <w:tc>
          <w:tcPr>
            <w:tcW w:w="2895" w:type="dxa"/>
            <w:tcBorders>
              <w:top w:val="nil"/>
              <w:left w:val="nil"/>
              <w:bottom w:val="nil"/>
              <w:right w:val="nil"/>
              <w:tl2br w:val="nil"/>
              <w:tr2bl w:val="nil"/>
            </w:tcBorders>
            <w:shd w:val="solid" w:color="CCE1EA" w:fill="FFFFFF"/>
            <w:tcMar>
              <w:left w:w="60" w:type="dxa"/>
              <w:right w:w="60" w:type="dxa"/>
            </w:tcMar>
            <w:vAlign w:val="center"/>
          </w:tcPr>
          <w:p w14:paraId="4B1B5B9E" w14:textId="77777777" w:rsidR="00807FFE" w:rsidRDefault="00807FFE">
            <w:pPr>
              <w:pStyle w:val="DMETW36633BIPFGL"/>
              <w:rPr>
                <w:rFonts w:ascii="Verdana" w:eastAsia="Verdana" w:hAnsi="Verdana" w:cs="Verdana"/>
                <w:b/>
                <w:noProof/>
                <w:color w:val="000000"/>
                <w:sz w:val="18"/>
              </w:rPr>
            </w:pPr>
          </w:p>
        </w:tc>
        <w:tc>
          <w:tcPr>
            <w:tcW w:w="1843" w:type="dxa"/>
            <w:tcBorders>
              <w:top w:val="nil"/>
              <w:left w:val="nil"/>
              <w:bottom w:val="nil"/>
              <w:right w:val="nil"/>
              <w:tl2br w:val="nil"/>
              <w:tr2bl w:val="nil"/>
            </w:tcBorders>
            <w:shd w:val="solid" w:color="CCE1EA" w:fill="FFFFFF"/>
            <w:tcMar>
              <w:left w:w="60" w:type="dxa"/>
              <w:right w:w="60" w:type="dxa"/>
            </w:tcMar>
            <w:vAlign w:val="center"/>
          </w:tcPr>
          <w:p w14:paraId="7396A5F8"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1 629</w:t>
            </w:r>
          </w:p>
        </w:tc>
        <w:tc>
          <w:tcPr>
            <w:tcW w:w="1701" w:type="dxa"/>
            <w:tcBorders>
              <w:top w:val="nil"/>
              <w:left w:val="nil"/>
              <w:bottom w:val="nil"/>
              <w:right w:val="nil"/>
              <w:tl2br w:val="nil"/>
              <w:tr2bl w:val="nil"/>
            </w:tcBorders>
            <w:shd w:val="solid" w:color="CCE1EA" w:fill="FFFFFF"/>
            <w:tcMar>
              <w:left w:w="60" w:type="dxa"/>
              <w:right w:w="60" w:type="dxa"/>
            </w:tcMar>
            <w:vAlign w:val="center"/>
          </w:tcPr>
          <w:p w14:paraId="756A18AC"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7 205</w:t>
            </w:r>
          </w:p>
        </w:tc>
        <w:tc>
          <w:tcPr>
            <w:tcW w:w="1843" w:type="dxa"/>
            <w:tcBorders>
              <w:top w:val="nil"/>
              <w:left w:val="nil"/>
              <w:bottom w:val="nil"/>
              <w:right w:val="nil"/>
              <w:tl2br w:val="nil"/>
              <w:tr2bl w:val="nil"/>
            </w:tcBorders>
            <w:shd w:val="solid" w:color="CCE1EA" w:fill="FFFFFF"/>
            <w:tcMar>
              <w:left w:w="60" w:type="dxa"/>
              <w:right w:w="60" w:type="dxa"/>
            </w:tcMar>
            <w:vAlign w:val="center"/>
          </w:tcPr>
          <w:p w14:paraId="024168D0"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1 600</w:t>
            </w:r>
          </w:p>
        </w:tc>
        <w:tc>
          <w:tcPr>
            <w:tcW w:w="1476" w:type="dxa"/>
            <w:tcBorders>
              <w:top w:val="nil"/>
              <w:left w:val="nil"/>
              <w:bottom w:val="nil"/>
              <w:right w:val="nil"/>
              <w:tl2br w:val="nil"/>
              <w:tr2bl w:val="nil"/>
            </w:tcBorders>
            <w:shd w:val="solid" w:color="CCE1EA" w:fill="FFFFFF"/>
            <w:tcMar>
              <w:left w:w="60" w:type="dxa"/>
              <w:right w:w="60" w:type="dxa"/>
            </w:tcMar>
            <w:vAlign w:val="center"/>
          </w:tcPr>
          <w:p w14:paraId="225E9D73" w14:textId="77777777" w:rsidR="00807FFE" w:rsidRDefault="00023E71">
            <w:pPr>
              <w:pStyle w:val="DMETW36633BIPFGL"/>
              <w:jc w:val="right"/>
              <w:rPr>
                <w:rFonts w:ascii="Verdana" w:eastAsia="Verdana" w:hAnsi="Verdana" w:cs="Verdana"/>
                <w:b/>
                <w:noProof/>
                <w:color w:val="000000"/>
                <w:sz w:val="18"/>
                <w:lang w:bidi="en-GB"/>
              </w:rPr>
            </w:pPr>
            <w:r>
              <w:rPr>
                <w:rFonts w:ascii="Verdana" w:eastAsia="Verdana" w:hAnsi="Verdana" w:cs="Verdana"/>
                <w:b/>
                <w:noProof/>
                <w:color w:val="000000"/>
                <w:sz w:val="18"/>
              </w:rPr>
              <w:t>5 707</w:t>
            </w:r>
          </w:p>
        </w:tc>
      </w:tr>
      <w:tr w:rsidR="00807FFE" w14:paraId="27989121"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62B93AB9" w14:textId="77777777" w:rsidR="00807FFE" w:rsidRDefault="00023E71">
            <w:pPr>
              <w:pStyle w:val="DMETW36633BIPFGL"/>
              <w:rPr>
                <w:rFonts w:ascii="Verdana" w:eastAsia="Verdana" w:hAnsi="Verdana" w:cs="Verdana"/>
                <w:i/>
                <w:noProof/>
                <w:color w:val="016794"/>
                <w:sz w:val="18"/>
              </w:rPr>
            </w:pPr>
            <w:r>
              <w:rPr>
                <w:rFonts w:ascii="Verdana" w:eastAsia="Verdana" w:hAnsi="Verdana" w:cs="Verdana"/>
                <w:i/>
                <w:noProof/>
                <w:color w:val="016794"/>
                <w:sz w:val="18"/>
              </w:rPr>
              <w:t>EU financial instrument programmes</w:t>
            </w:r>
          </w:p>
        </w:tc>
        <w:tc>
          <w:tcPr>
            <w:tcW w:w="1843" w:type="dxa"/>
            <w:tcBorders>
              <w:top w:val="nil"/>
              <w:left w:val="nil"/>
              <w:bottom w:val="nil"/>
              <w:right w:val="nil"/>
              <w:tl2br w:val="nil"/>
              <w:tr2bl w:val="nil"/>
            </w:tcBorders>
            <w:tcMar>
              <w:left w:w="60" w:type="dxa"/>
              <w:right w:w="60" w:type="dxa"/>
            </w:tcMar>
            <w:vAlign w:val="center"/>
          </w:tcPr>
          <w:p w14:paraId="770EAD23" w14:textId="77777777" w:rsidR="00807FFE" w:rsidRDefault="00807FFE">
            <w:pPr>
              <w:pStyle w:val="DMETW36633BIPFGL"/>
              <w:jc w:val="right"/>
              <w:rPr>
                <w:rFonts w:ascii="Verdana" w:eastAsia="Verdana" w:hAnsi="Verdana" w:cs="Verdana"/>
                <w:i/>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14:paraId="09150111" w14:textId="77777777" w:rsidR="00807FFE" w:rsidRDefault="00807FFE">
            <w:pPr>
              <w:pStyle w:val="DMETW36633BIPFGL"/>
              <w:jc w:val="right"/>
              <w:rPr>
                <w:rFonts w:ascii="Verdana" w:eastAsia="Verdana" w:hAnsi="Verdana" w:cs="Verdana"/>
                <w:i/>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14:paraId="05D6ABA4" w14:textId="77777777" w:rsidR="00807FFE" w:rsidRDefault="00807FFE">
            <w:pPr>
              <w:pStyle w:val="DMETW36633BIPFGL"/>
              <w:jc w:val="right"/>
              <w:rPr>
                <w:rFonts w:ascii="Verdana" w:eastAsia="Verdana" w:hAnsi="Verdana" w:cs="Verdana"/>
                <w:i/>
                <w:noProof/>
                <w:color w:val="000000"/>
                <w:sz w:val="18"/>
              </w:rPr>
            </w:pPr>
          </w:p>
        </w:tc>
        <w:tc>
          <w:tcPr>
            <w:tcW w:w="1476" w:type="dxa"/>
            <w:tcBorders>
              <w:top w:val="nil"/>
              <w:left w:val="nil"/>
              <w:bottom w:val="nil"/>
              <w:right w:val="nil"/>
              <w:tl2br w:val="nil"/>
              <w:tr2bl w:val="nil"/>
            </w:tcBorders>
            <w:tcMar>
              <w:left w:w="60" w:type="dxa"/>
              <w:right w:w="60" w:type="dxa"/>
            </w:tcMar>
            <w:vAlign w:val="center"/>
          </w:tcPr>
          <w:p w14:paraId="17836A7A" w14:textId="77777777" w:rsidR="00807FFE" w:rsidRDefault="00807FFE">
            <w:pPr>
              <w:pStyle w:val="DMETW36633BIPFGL"/>
              <w:jc w:val="right"/>
              <w:rPr>
                <w:rFonts w:ascii="Verdana" w:eastAsia="Verdana" w:hAnsi="Verdana" w:cs="Verdana"/>
                <w:i/>
                <w:noProof/>
                <w:color w:val="000000"/>
                <w:sz w:val="18"/>
                <w:lang w:bidi="en-GB"/>
              </w:rPr>
            </w:pPr>
          </w:p>
        </w:tc>
      </w:tr>
      <w:tr w:rsidR="00807FFE" w14:paraId="425F8CCD"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23046B6B"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COSME</w:t>
            </w:r>
          </w:p>
        </w:tc>
        <w:tc>
          <w:tcPr>
            <w:tcW w:w="1843" w:type="dxa"/>
            <w:tcBorders>
              <w:top w:val="nil"/>
              <w:left w:val="nil"/>
              <w:bottom w:val="nil"/>
              <w:right w:val="nil"/>
              <w:tl2br w:val="nil"/>
              <w:tr2bl w:val="nil"/>
            </w:tcBorders>
            <w:tcMar>
              <w:left w:w="60" w:type="dxa"/>
              <w:right w:w="60" w:type="dxa"/>
            </w:tcMar>
            <w:vAlign w:val="center"/>
          </w:tcPr>
          <w:p w14:paraId="7B99A5D5"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01" w:type="dxa"/>
            <w:tcBorders>
              <w:top w:val="nil"/>
              <w:left w:val="nil"/>
              <w:bottom w:val="nil"/>
              <w:right w:val="nil"/>
              <w:tl2br w:val="nil"/>
              <w:tr2bl w:val="nil"/>
            </w:tcBorders>
            <w:tcMar>
              <w:left w:w="60" w:type="dxa"/>
              <w:right w:w="60" w:type="dxa"/>
            </w:tcMar>
            <w:vAlign w:val="center"/>
          </w:tcPr>
          <w:p w14:paraId="507BE4E6"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219</w:t>
            </w:r>
          </w:p>
        </w:tc>
        <w:tc>
          <w:tcPr>
            <w:tcW w:w="1843" w:type="dxa"/>
            <w:tcBorders>
              <w:top w:val="nil"/>
              <w:left w:val="nil"/>
              <w:bottom w:val="nil"/>
              <w:right w:val="nil"/>
              <w:tl2br w:val="nil"/>
              <w:tr2bl w:val="nil"/>
            </w:tcBorders>
            <w:tcMar>
              <w:left w:w="60" w:type="dxa"/>
              <w:right w:w="60" w:type="dxa"/>
            </w:tcMar>
            <w:vAlign w:val="center"/>
          </w:tcPr>
          <w:p w14:paraId="3C092399"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76" w:type="dxa"/>
            <w:tcBorders>
              <w:top w:val="nil"/>
              <w:left w:val="nil"/>
              <w:bottom w:val="nil"/>
              <w:right w:val="nil"/>
              <w:tl2br w:val="nil"/>
              <w:tr2bl w:val="nil"/>
            </w:tcBorders>
            <w:tcMar>
              <w:left w:w="60" w:type="dxa"/>
              <w:right w:w="60" w:type="dxa"/>
            </w:tcMar>
            <w:vAlign w:val="center"/>
          </w:tcPr>
          <w:p w14:paraId="45A76878"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304</w:t>
            </w:r>
          </w:p>
        </w:tc>
      </w:tr>
      <w:tr w:rsidR="00807FFE" w14:paraId="59C2D5AA"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66A959B4"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Horizon 2020</w:t>
            </w:r>
          </w:p>
        </w:tc>
        <w:tc>
          <w:tcPr>
            <w:tcW w:w="1843" w:type="dxa"/>
            <w:tcBorders>
              <w:top w:val="nil"/>
              <w:left w:val="nil"/>
              <w:bottom w:val="nil"/>
              <w:right w:val="nil"/>
              <w:tl2br w:val="nil"/>
              <w:tr2bl w:val="nil"/>
            </w:tcBorders>
            <w:tcMar>
              <w:left w:w="60" w:type="dxa"/>
              <w:right w:w="60" w:type="dxa"/>
            </w:tcMar>
            <w:vAlign w:val="center"/>
          </w:tcPr>
          <w:p w14:paraId="09E3484D"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701" w:type="dxa"/>
            <w:tcBorders>
              <w:top w:val="nil"/>
              <w:left w:val="nil"/>
              <w:bottom w:val="nil"/>
              <w:right w:val="nil"/>
              <w:tl2br w:val="nil"/>
              <w:tr2bl w:val="nil"/>
            </w:tcBorders>
            <w:tcMar>
              <w:left w:w="60" w:type="dxa"/>
              <w:right w:w="60" w:type="dxa"/>
            </w:tcMar>
            <w:vAlign w:val="center"/>
          </w:tcPr>
          <w:p w14:paraId="6F5979C0"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126</w:t>
            </w:r>
          </w:p>
        </w:tc>
        <w:tc>
          <w:tcPr>
            <w:tcW w:w="1843" w:type="dxa"/>
            <w:tcBorders>
              <w:top w:val="nil"/>
              <w:left w:val="nil"/>
              <w:bottom w:val="nil"/>
              <w:right w:val="nil"/>
              <w:tl2br w:val="nil"/>
              <w:tr2bl w:val="nil"/>
            </w:tcBorders>
            <w:tcMar>
              <w:left w:w="60" w:type="dxa"/>
              <w:right w:w="60" w:type="dxa"/>
            </w:tcMar>
            <w:vAlign w:val="center"/>
          </w:tcPr>
          <w:p w14:paraId="56A0BB67"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476" w:type="dxa"/>
            <w:tcBorders>
              <w:top w:val="nil"/>
              <w:left w:val="nil"/>
              <w:bottom w:val="nil"/>
              <w:right w:val="nil"/>
              <w:tl2br w:val="nil"/>
              <w:tr2bl w:val="nil"/>
            </w:tcBorders>
            <w:tcMar>
              <w:left w:w="60" w:type="dxa"/>
              <w:right w:w="60" w:type="dxa"/>
            </w:tcMar>
            <w:vAlign w:val="center"/>
          </w:tcPr>
          <w:p w14:paraId="6F42339C"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198</w:t>
            </w:r>
          </w:p>
        </w:tc>
      </w:tr>
      <w:tr w:rsidR="00807FFE" w14:paraId="6EEF47A9"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228BCD7A" w14:textId="77777777" w:rsidR="00807FFE" w:rsidRDefault="00023E71">
            <w:pPr>
              <w:pStyle w:val="DMETW36633BIPFGL"/>
              <w:rPr>
                <w:rFonts w:ascii="Verdana" w:eastAsia="Verdana" w:hAnsi="Verdana" w:cs="Verdana"/>
                <w:i/>
                <w:noProof/>
                <w:color w:val="000000"/>
                <w:sz w:val="18"/>
              </w:rPr>
            </w:pPr>
            <w:r>
              <w:rPr>
                <w:rFonts w:ascii="Verdana" w:eastAsia="Verdana" w:hAnsi="Verdana" w:cs="Verdana"/>
                <w:i/>
                <w:noProof/>
                <w:color w:val="000000"/>
                <w:sz w:val="18"/>
              </w:rPr>
              <w:t>Other</w:t>
            </w:r>
          </w:p>
        </w:tc>
        <w:tc>
          <w:tcPr>
            <w:tcW w:w="1843" w:type="dxa"/>
            <w:tcBorders>
              <w:top w:val="nil"/>
              <w:left w:val="nil"/>
              <w:bottom w:val="nil"/>
              <w:right w:val="nil"/>
              <w:tl2br w:val="nil"/>
              <w:tr2bl w:val="nil"/>
            </w:tcBorders>
            <w:tcMar>
              <w:left w:w="60" w:type="dxa"/>
              <w:right w:w="60" w:type="dxa"/>
            </w:tcMar>
            <w:vAlign w:val="center"/>
          </w:tcPr>
          <w:p w14:paraId="68567851"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18</w:t>
            </w:r>
          </w:p>
        </w:tc>
        <w:tc>
          <w:tcPr>
            <w:tcW w:w="1701" w:type="dxa"/>
            <w:tcBorders>
              <w:top w:val="nil"/>
              <w:left w:val="nil"/>
              <w:bottom w:val="nil"/>
              <w:right w:val="nil"/>
              <w:tl2br w:val="nil"/>
              <w:tr2bl w:val="nil"/>
            </w:tcBorders>
            <w:tcMar>
              <w:left w:w="60" w:type="dxa"/>
              <w:right w:w="60" w:type="dxa"/>
            </w:tcMar>
            <w:vAlign w:val="center"/>
          </w:tcPr>
          <w:p w14:paraId="5852A1B4"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179</w:t>
            </w:r>
          </w:p>
        </w:tc>
        <w:tc>
          <w:tcPr>
            <w:tcW w:w="1843" w:type="dxa"/>
            <w:tcBorders>
              <w:top w:val="nil"/>
              <w:left w:val="nil"/>
              <w:bottom w:val="nil"/>
              <w:right w:val="nil"/>
              <w:tl2br w:val="nil"/>
              <w:tr2bl w:val="nil"/>
            </w:tcBorders>
            <w:tcMar>
              <w:left w:w="60" w:type="dxa"/>
              <w:right w:w="60" w:type="dxa"/>
            </w:tcMar>
            <w:vAlign w:val="center"/>
          </w:tcPr>
          <w:p w14:paraId="75124DE7" w14:textId="77777777" w:rsidR="00807FFE" w:rsidRDefault="00023E71">
            <w:pPr>
              <w:pStyle w:val="DMETW36633BIPFGL"/>
              <w:jc w:val="right"/>
              <w:rPr>
                <w:rFonts w:ascii="Verdana" w:eastAsia="Verdana" w:hAnsi="Verdana" w:cs="Verdana"/>
                <w:i/>
                <w:noProof/>
                <w:color w:val="000000"/>
                <w:sz w:val="18"/>
              </w:rPr>
            </w:pPr>
            <w:r>
              <w:rPr>
                <w:rFonts w:ascii="Verdana" w:eastAsia="Verdana" w:hAnsi="Verdana" w:cs="Verdana"/>
                <w:i/>
                <w:noProof/>
                <w:color w:val="000000"/>
                <w:sz w:val="18"/>
              </w:rPr>
              <w:t xml:space="preserve"> 23</w:t>
            </w:r>
          </w:p>
        </w:tc>
        <w:tc>
          <w:tcPr>
            <w:tcW w:w="1476" w:type="dxa"/>
            <w:tcBorders>
              <w:top w:val="nil"/>
              <w:left w:val="nil"/>
              <w:bottom w:val="nil"/>
              <w:right w:val="nil"/>
              <w:tl2br w:val="nil"/>
              <w:tr2bl w:val="nil"/>
            </w:tcBorders>
            <w:tcMar>
              <w:left w:w="60" w:type="dxa"/>
              <w:right w:w="60" w:type="dxa"/>
            </w:tcMar>
            <w:vAlign w:val="center"/>
          </w:tcPr>
          <w:p w14:paraId="5A439D1D" w14:textId="77777777" w:rsidR="00807FFE" w:rsidRDefault="00023E71">
            <w:pPr>
              <w:pStyle w:val="DMETW36633BIPFG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171</w:t>
            </w:r>
          </w:p>
        </w:tc>
      </w:tr>
      <w:tr w:rsidR="00807FFE" w14:paraId="242CACA3" w14:textId="77777777">
        <w:trPr>
          <w:trHeight w:val="255"/>
        </w:trPr>
        <w:tc>
          <w:tcPr>
            <w:tcW w:w="2895" w:type="dxa"/>
            <w:tcBorders>
              <w:top w:val="nil"/>
              <w:left w:val="nil"/>
              <w:bottom w:val="nil"/>
              <w:right w:val="nil"/>
              <w:tl2br w:val="nil"/>
              <w:tr2bl w:val="nil"/>
            </w:tcBorders>
            <w:shd w:val="solid" w:color="CCE1EA" w:fill="FFFFFF"/>
            <w:tcMar>
              <w:left w:w="60" w:type="dxa"/>
              <w:right w:w="60" w:type="dxa"/>
            </w:tcMar>
            <w:vAlign w:val="center"/>
          </w:tcPr>
          <w:p w14:paraId="6C9D0E56" w14:textId="77777777" w:rsidR="00807FFE" w:rsidRDefault="00807FFE">
            <w:pPr>
              <w:pStyle w:val="DMETW36633BIPFGL"/>
              <w:rPr>
                <w:rFonts w:ascii="Verdana" w:eastAsia="Verdana" w:hAnsi="Verdana" w:cs="Verdana"/>
                <w:b/>
                <w:noProof/>
                <w:color w:val="000000"/>
                <w:sz w:val="18"/>
              </w:rPr>
            </w:pPr>
          </w:p>
        </w:tc>
        <w:tc>
          <w:tcPr>
            <w:tcW w:w="1843" w:type="dxa"/>
            <w:tcBorders>
              <w:top w:val="nil"/>
              <w:left w:val="nil"/>
              <w:bottom w:val="nil"/>
              <w:right w:val="nil"/>
              <w:tl2br w:val="nil"/>
              <w:tr2bl w:val="nil"/>
            </w:tcBorders>
            <w:shd w:val="solid" w:color="CCE1EA" w:fill="FFFFFF"/>
            <w:tcMar>
              <w:left w:w="60" w:type="dxa"/>
              <w:right w:w="60" w:type="dxa"/>
            </w:tcMar>
            <w:vAlign w:val="center"/>
          </w:tcPr>
          <w:p w14:paraId="603BE177"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 xml:space="preserve"> 22</w:t>
            </w:r>
          </w:p>
        </w:tc>
        <w:tc>
          <w:tcPr>
            <w:tcW w:w="1701" w:type="dxa"/>
            <w:tcBorders>
              <w:top w:val="nil"/>
              <w:left w:val="nil"/>
              <w:bottom w:val="nil"/>
              <w:right w:val="nil"/>
              <w:tl2br w:val="nil"/>
              <w:tr2bl w:val="nil"/>
            </w:tcBorders>
            <w:shd w:val="solid" w:color="CCE1EA" w:fill="FFFFFF"/>
            <w:tcMar>
              <w:left w:w="60" w:type="dxa"/>
              <w:right w:w="60" w:type="dxa"/>
            </w:tcMar>
            <w:vAlign w:val="center"/>
          </w:tcPr>
          <w:p w14:paraId="7445858B"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 xml:space="preserve"> 523</w:t>
            </w:r>
          </w:p>
        </w:tc>
        <w:tc>
          <w:tcPr>
            <w:tcW w:w="1843" w:type="dxa"/>
            <w:tcBorders>
              <w:top w:val="nil"/>
              <w:left w:val="nil"/>
              <w:bottom w:val="nil"/>
              <w:right w:val="nil"/>
              <w:tl2br w:val="nil"/>
              <w:tr2bl w:val="nil"/>
            </w:tcBorders>
            <w:shd w:val="solid" w:color="CCE1EA" w:fill="FFFFFF"/>
            <w:tcMar>
              <w:left w:w="60" w:type="dxa"/>
              <w:right w:w="60" w:type="dxa"/>
            </w:tcMar>
            <w:vAlign w:val="center"/>
          </w:tcPr>
          <w:p w14:paraId="2A21143E"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 xml:space="preserve"> 29</w:t>
            </w:r>
          </w:p>
        </w:tc>
        <w:tc>
          <w:tcPr>
            <w:tcW w:w="1476" w:type="dxa"/>
            <w:tcBorders>
              <w:top w:val="nil"/>
              <w:left w:val="nil"/>
              <w:bottom w:val="nil"/>
              <w:right w:val="nil"/>
              <w:tl2br w:val="nil"/>
              <w:tr2bl w:val="nil"/>
            </w:tcBorders>
            <w:shd w:val="solid" w:color="CCE1EA" w:fill="FFFFFF"/>
            <w:tcMar>
              <w:left w:w="60" w:type="dxa"/>
              <w:right w:w="60" w:type="dxa"/>
            </w:tcMar>
            <w:vAlign w:val="center"/>
          </w:tcPr>
          <w:p w14:paraId="521253FB" w14:textId="77777777" w:rsidR="00807FFE" w:rsidRDefault="00023E71">
            <w:pPr>
              <w:pStyle w:val="DMETW36633BIPFG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673</w:t>
            </w:r>
          </w:p>
        </w:tc>
      </w:tr>
      <w:tr w:rsidR="00807FFE" w14:paraId="168574C5" w14:textId="77777777">
        <w:trPr>
          <w:trHeight w:val="255"/>
        </w:trPr>
        <w:tc>
          <w:tcPr>
            <w:tcW w:w="2895" w:type="dxa"/>
            <w:tcBorders>
              <w:top w:val="nil"/>
              <w:left w:val="nil"/>
              <w:bottom w:val="single" w:sz="4" w:space="0" w:color="016794"/>
              <w:right w:val="nil"/>
              <w:tl2br w:val="nil"/>
              <w:tr2bl w:val="nil"/>
            </w:tcBorders>
            <w:tcMar>
              <w:left w:w="60" w:type="dxa"/>
              <w:right w:w="60" w:type="dxa"/>
            </w:tcMar>
            <w:vAlign w:val="center"/>
          </w:tcPr>
          <w:p w14:paraId="60E7A4A2" w14:textId="77777777" w:rsidR="00807FFE" w:rsidRDefault="00023E71">
            <w:pPr>
              <w:pStyle w:val="DMETW36633BIPFGL"/>
              <w:rPr>
                <w:rFonts w:ascii="Verdana" w:eastAsia="Verdana" w:hAnsi="Verdana" w:cs="Verdana"/>
                <w:b/>
                <w:noProof/>
                <w:color w:val="000000"/>
                <w:sz w:val="18"/>
              </w:rPr>
            </w:pPr>
            <w:r>
              <w:rPr>
                <w:rFonts w:ascii="Verdana" w:eastAsia="Verdana" w:hAnsi="Verdana" w:cs="Verdana"/>
                <w:b/>
                <w:noProof/>
                <w:color w:val="000000"/>
                <w:sz w:val="18"/>
              </w:rPr>
              <w:t>Total</w:t>
            </w:r>
          </w:p>
        </w:tc>
        <w:tc>
          <w:tcPr>
            <w:tcW w:w="1843" w:type="dxa"/>
            <w:tcBorders>
              <w:top w:val="nil"/>
              <w:left w:val="nil"/>
              <w:bottom w:val="single" w:sz="4" w:space="0" w:color="016794"/>
              <w:right w:val="nil"/>
              <w:tl2br w:val="nil"/>
              <w:tr2bl w:val="nil"/>
            </w:tcBorders>
            <w:tcMar>
              <w:left w:w="60" w:type="dxa"/>
              <w:right w:w="60" w:type="dxa"/>
            </w:tcMar>
            <w:vAlign w:val="bottom"/>
          </w:tcPr>
          <w:p w14:paraId="31A3B644"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1 651</w:t>
            </w:r>
          </w:p>
        </w:tc>
        <w:tc>
          <w:tcPr>
            <w:tcW w:w="1701" w:type="dxa"/>
            <w:tcBorders>
              <w:top w:val="nil"/>
              <w:left w:val="nil"/>
              <w:bottom w:val="single" w:sz="4" w:space="0" w:color="016794"/>
              <w:right w:val="nil"/>
              <w:tl2br w:val="nil"/>
              <w:tr2bl w:val="nil"/>
            </w:tcBorders>
            <w:tcMar>
              <w:left w:w="60" w:type="dxa"/>
              <w:right w:w="60" w:type="dxa"/>
            </w:tcMar>
            <w:vAlign w:val="bottom"/>
          </w:tcPr>
          <w:p w14:paraId="70941941"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7 729</w:t>
            </w:r>
          </w:p>
        </w:tc>
        <w:tc>
          <w:tcPr>
            <w:tcW w:w="1843" w:type="dxa"/>
            <w:tcBorders>
              <w:top w:val="nil"/>
              <w:left w:val="nil"/>
              <w:bottom w:val="single" w:sz="4" w:space="0" w:color="016794"/>
              <w:right w:val="nil"/>
              <w:tl2br w:val="nil"/>
              <w:tr2bl w:val="nil"/>
            </w:tcBorders>
            <w:tcMar>
              <w:left w:w="60" w:type="dxa"/>
              <w:right w:w="60" w:type="dxa"/>
            </w:tcMar>
            <w:vAlign w:val="bottom"/>
          </w:tcPr>
          <w:p w14:paraId="7C99C88C" w14:textId="77777777" w:rsidR="00807FFE" w:rsidRDefault="00023E71">
            <w:pPr>
              <w:pStyle w:val="DMETW36633BIPFGL"/>
              <w:jc w:val="right"/>
              <w:rPr>
                <w:rFonts w:ascii="Verdana" w:eastAsia="Verdana" w:hAnsi="Verdana" w:cs="Verdana"/>
                <w:b/>
                <w:noProof/>
                <w:color w:val="000000"/>
                <w:sz w:val="18"/>
              </w:rPr>
            </w:pPr>
            <w:r>
              <w:rPr>
                <w:rFonts w:ascii="Verdana" w:eastAsia="Verdana" w:hAnsi="Verdana" w:cs="Verdana"/>
                <w:b/>
                <w:noProof/>
                <w:color w:val="000000"/>
                <w:sz w:val="18"/>
              </w:rPr>
              <w:t>1 629</w:t>
            </w:r>
          </w:p>
        </w:tc>
        <w:tc>
          <w:tcPr>
            <w:tcW w:w="1476" w:type="dxa"/>
            <w:tcBorders>
              <w:top w:val="nil"/>
              <w:left w:val="nil"/>
              <w:bottom w:val="single" w:sz="4" w:space="0" w:color="016794"/>
              <w:right w:val="nil"/>
              <w:tl2br w:val="nil"/>
              <w:tr2bl w:val="nil"/>
            </w:tcBorders>
            <w:tcMar>
              <w:left w:w="60" w:type="dxa"/>
              <w:right w:w="60" w:type="dxa"/>
            </w:tcMar>
            <w:vAlign w:val="bottom"/>
          </w:tcPr>
          <w:p w14:paraId="32AF9F77" w14:textId="77777777" w:rsidR="00807FFE" w:rsidRDefault="00023E71">
            <w:pPr>
              <w:pStyle w:val="DMETW36633BIPFGL"/>
              <w:jc w:val="right"/>
              <w:rPr>
                <w:rFonts w:ascii="Verdana" w:eastAsia="Verdana" w:hAnsi="Verdana" w:cs="Verdana"/>
                <w:b/>
                <w:noProof/>
                <w:color w:val="000000"/>
                <w:sz w:val="18"/>
                <w:lang w:bidi="en-GB"/>
              </w:rPr>
            </w:pPr>
            <w:r>
              <w:rPr>
                <w:rFonts w:ascii="Verdana" w:eastAsia="Verdana" w:hAnsi="Verdana" w:cs="Verdana"/>
                <w:b/>
                <w:noProof/>
                <w:color w:val="000000"/>
                <w:sz w:val="18"/>
              </w:rPr>
              <w:t>6 379</w:t>
            </w:r>
          </w:p>
        </w:tc>
      </w:tr>
      <w:tr w:rsidR="00807FFE" w14:paraId="37869DC7" w14:textId="77777777">
        <w:trPr>
          <w:trHeight w:val="255"/>
        </w:trPr>
        <w:tc>
          <w:tcPr>
            <w:tcW w:w="2895" w:type="dxa"/>
            <w:tcBorders>
              <w:top w:val="single" w:sz="4" w:space="0" w:color="016794"/>
              <w:left w:val="nil"/>
              <w:bottom w:val="nil"/>
              <w:right w:val="nil"/>
              <w:tl2br w:val="nil"/>
              <w:tr2bl w:val="nil"/>
            </w:tcBorders>
            <w:tcMar>
              <w:left w:w="60" w:type="dxa"/>
              <w:right w:w="60" w:type="dxa"/>
            </w:tcMar>
            <w:vAlign w:val="center"/>
          </w:tcPr>
          <w:p w14:paraId="18DD698F" w14:textId="77777777" w:rsidR="00807FFE" w:rsidRDefault="00023E71">
            <w:pPr>
              <w:pStyle w:val="DMETW36633BIPFGL"/>
              <w:rPr>
                <w:rFonts w:ascii="Verdana" w:eastAsia="Verdana" w:hAnsi="Verdana" w:cs="Verdana"/>
                <w:i/>
                <w:noProof/>
                <w:color w:val="016794"/>
                <w:sz w:val="18"/>
              </w:rPr>
            </w:pPr>
            <w:r>
              <w:rPr>
                <w:rFonts w:ascii="Verdana" w:eastAsia="Verdana" w:hAnsi="Verdana" w:cs="Verdana"/>
                <w:i/>
                <w:noProof/>
                <w:color w:val="016794"/>
                <w:sz w:val="18"/>
              </w:rPr>
              <w:t>Non-current</w:t>
            </w:r>
          </w:p>
        </w:tc>
        <w:tc>
          <w:tcPr>
            <w:tcW w:w="1843" w:type="dxa"/>
            <w:tcBorders>
              <w:top w:val="single" w:sz="4" w:space="0" w:color="016794"/>
              <w:left w:val="nil"/>
              <w:bottom w:val="nil"/>
              <w:right w:val="nil"/>
              <w:tl2br w:val="nil"/>
              <w:tr2bl w:val="nil"/>
            </w:tcBorders>
            <w:tcMar>
              <w:left w:w="60" w:type="dxa"/>
              <w:right w:w="60" w:type="dxa"/>
            </w:tcMar>
            <w:vAlign w:val="bottom"/>
          </w:tcPr>
          <w:p w14:paraId="01274B13" w14:textId="77777777" w:rsidR="00807FFE" w:rsidRDefault="00023E71">
            <w:pPr>
              <w:pStyle w:val="DMETW36633BIPFGL"/>
              <w:jc w:val="right"/>
              <w:rPr>
                <w:rFonts w:ascii="Verdana" w:eastAsia="Verdana" w:hAnsi="Verdana" w:cs="Verdana"/>
                <w:i/>
                <w:noProof/>
                <w:color w:val="016794"/>
                <w:sz w:val="18"/>
              </w:rPr>
            </w:pPr>
            <w:r>
              <w:rPr>
                <w:rFonts w:ascii="Verdana" w:eastAsia="Verdana" w:hAnsi="Verdana" w:cs="Verdana"/>
                <w:i/>
                <w:noProof/>
                <w:color w:val="016794"/>
                <w:sz w:val="18"/>
              </w:rPr>
              <w:t>1 359</w:t>
            </w:r>
          </w:p>
        </w:tc>
        <w:tc>
          <w:tcPr>
            <w:tcW w:w="1701" w:type="dxa"/>
            <w:tcBorders>
              <w:top w:val="single" w:sz="4" w:space="0" w:color="016794"/>
              <w:left w:val="nil"/>
              <w:bottom w:val="nil"/>
              <w:right w:val="nil"/>
              <w:tl2br w:val="nil"/>
              <w:tr2bl w:val="nil"/>
            </w:tcBorders>
            <w:tcMar>
              <w:left w:w="60" w:type="dxa"/>
              <w:right w:w="60" w:type="dxa"/>
            </w:tcMar>
            <w:vAlign w:val="bottom"/>
          </w:tcPr>
          <w:p w14:paraId="5B77CD40" w14:textId="77777777" w:rsidR="00807FFE" w:rsidRDefault="00023E71">
            <w:pPr>
              <w:pStyle w:val="DMETW36633BIPFGL"/>
              <w:jc w:val="right"/>
              <w:rPr>
                <w:rFonts w:ascii="Verdana" w:eastAsia="Verdana" w:hAnsi="Verdana" w:cs="Verdana"/>
                <w:i/>
                <w:noProof/>
                <w:color w:val="016794"/>
                <w:sz w:val="18"/>
              </w:rPr>
            </w:pPr>
            <w:r>
              <w:rPr>
                <w:rFonts w:ascii="Verdana" w:eastAsia="Verdana" w:hAnsi="Verdana" w:cs="Verdana"/>
                <w:i/>
                <w:noProof/>
                <w:color w:val="016794"/>
                <w:sz w:val="18"/>
              </w:rPr>
              <w:t xml:space="preserve"> 81</w:t>
            </w:r>
          </w:p>
        </w:tc>
        <w:tc>
          <w:tcPr>
            <w:tcW w:w="1843" w:type="dxa"/>
            <w:tcBorders>
              <w:top w:val="single" w:sz="4" w:space="0" w:color="016794"/>
              <w:left w:val="nil"/>
              <w:bottom w:val="nil"/>
              <w:right w:val="nil"/>
              <w:tl2br w:val="nil"/>
              <w:tr2bl w:val="nil"/>
            </w:tcBorders>
            <w:tcMar>
              <w:left w:w="60" w:type="dxa"/>
              <w:right w:w="60" w:type="dxa"/>
            </w:tcMar>
            <w:vAlign w:val="bottom"/>
          </w:tcPr>
          <w:p w14:paraId="1E09F6AE" w14:textId="77777777" w:rsidR="00807FFE" w:rsidRDefault="00023E71">
            <w:pPr>
              <w:pStyle w:val="DMETW36633BIPFGL"/>
              <w:jc w:val="right"/>
              <w:rPr>
                <w:rFonts w:ascii="Verdana" w:eastAsia="Verdana" w:hAnsi="Verdana" w:cs="Verdana"/>
                <w:i/>
                <w:noProof/>
                <w:color w:val="016794"/>
                <w:sz w:val="18"/>
              </w:rPr>
            </w:pPr>
            <w:r>
              <w:rPr>
                <w:rFonts w:ascii="Verdana" w:eastAsia="Verdana" w:hAnsi="Verdana" w:cs="Verdana"/>
                <w:i/>
                <w:noProof/>
                <w:color w:val="016794"/>
                <w:sz w:val="18"/>
              </w:rPr>
              <w:t>1 324</w:t>
            </w:r>
          </w:p>
        </w:tc>
        <w:tc>
          <w:tcPr>
            <w:tcW w:w="1476" w:type="dxa"/>
            <w:tcBorders>
              <w:top w:val="single" w:sz="4" w:space="0" w:color="016794"/>
              <w:left w:val="nil"/>
              <w:bottom w:val="nil"/>
              <w:right w:val="nil"/>
              <w:tl2br w:val="nil"/>
              <w:tr2bl w:val="nil"/>
            </w:tcBorders>
            <w:tcMar>
              <w:left w:w="60" w:type="dxa"/>
              <w:right w:w="60" w:type="dxa"/>
            </w:tcMar>
            <w:vAlign w:val="bottom"/>
          </w:tcPr>
          <w:p w14:paraId="7F493BC3" w14:textId="77777777" w:rsidR="00807FFE" w:rsidRDefault="00023E71">
            <w:pPr>
              <w:pStyle w:val="DMETW36633BIPFGL"/>
              <w:jc w:val="right"/>
              <w:rPr>
                <w:rFonts w:ascii="Verdana" w:eastAsia="Verdana" w:hAnsi="Verdana" w:cs="Verdana"/>
                <w:i/>
                <w:noProof/>
                <w:color w:val="016794"/>
                <w:sz w:val="18"/>
                <w:lang w:bidi="en-GB"/>
              </w:rPr>
            </w:pPr>
            <w:r>
              <w:rPr>
                <w:rFonts w:ascii="Verdana" w:eastAsia="Verdana" w:hAnsi="Verdana" w:cs="Verdana"/>
                <w:i/>
                <w:noProof/>
                <w:color w:val="016794"/>
                <w:sz w:val="18"/>
              </w:rPr>
              <w:t xml:space="preserve"> 39</w:t>
            </w:r>
          </w:p>
        </w:tc>
      </w:tr>
      <w:tr w:rsidR="00807FFE" w14:paraId="33317BDD" w14:textId="77777777">
        <w:trPr>
          <w:trHeight w:val="255"/>
        </w:trPr>
        <w:tc>
          <w:tcPr>
            <w:tcW w:w="2895" w:type="dxa"/>
            <w:tcBorders>
              <w:top w:val="nil"/>
              <w:left w:val="nil"/>
              <w:bottom w:val="nil"/>
              <w:right w:val="nil"/>
              <w:tl2br w:val="nil"/>
              <w:tr2bl w:val="nil"/>
            </w:tcBorders>
            <w:tcMar>
              <w:left w:w="60" w:type="dxa"/>
              <w:right w:w="60" w:type="dxa"/>
            </w:tcMar>
            <w:vAlign w:val="center"/>
          </w:tcPr>
          <w:p w14:paraId="425FB189" w14:textId="77777777" w:rsidR="00807FFE" w:rsidRDefault="00023E71">
            <w:pPr>
              <w:pStyle w:val="DMETW36633BIPFGL"/>
              <w:rPr>
                <w:rFonts w:ascii="Verdana" w:eastAsia="Verdana" w:hAnsi="Verdana" w:cs="Verdana"/>
                <w:i/>
                <w:noProof/>
                <w:color w:val="016794"/>
                <w:sz w:val="18"/>
              </w:rPr>
            </w:pPr>
            <w:r>
              <w:rPr>
                <w:rFonts w:ascii="Verdana" w:eastAsia="Verdana" w:hAnsi="Verdana" w:cs="Verdana"/>
                <w:i/>
                <w:noProof/>
                <w:color w:val="016794"/>
                <w:sz w:val="18"/>
              </w:rPr>
              <w:t>Current</w:t>
            </w:r>
          </w:p>
        </w:tc>
        <w:tc>
          <w:tcPr>
            <w:tcW w:w="1843" w:type="dxa"/>
            <w:tcBorders>
              <w:top w:val="nil"/>
              <w:left w:val="nil"/>
              <w:bottom w:val="nil"/>
              <w:right w:val="nil"/>
              <w:tl2br w:val="nil"/>
              <w:tr2bl w:val="nil"/>
            </w:tcBorders>
            <w:tcMar>
              <w:left w:w="60" w:type="dxa"/>
              <w:right w:w="60" w:type="dxa"/>
            </w:tcMar>
            <w:vAlign w:val="bottom"/>
          </w:tcPr>
          <w:p w14:paraId="6C2AB13B" w14:textId="77777777" w:rsidR="00807FFE" w:rsidRDefault="00023E71">
            <w:pPr>
              <w:pStyle w:val="DMETW36633BIPFGL"/>
              <w:jc w:val="right"/>
              <w:rPr>
                <w:rFonts w:ascii="Verdana" w:eastAsia="Verdana" w:hAnsi="Verdana" w:cs="Verdana"/>
                <w:i/>
                <w:noProof/>
                <w:color w:val="016794"/>
                <w:sz w:val="18"/>
              </w:rPr>
            </w:pPr>
            <w:r>
              <w:rPr>
                <w:rFonts w:ascii="Verdana" w:eastAsia="Verdana" w:hAnsi="Verdana" w:cs="Verdana"/>
                <w:i/>
                <w:noProof/>
                <w:color w:val="016794"/>
                <w:sz w:val="18"/>
              </w:rPr>
              <w:t xml:space="preserve"> 293</w:t>
            </w:r>
          </w:p>
        </w:tc>
        <w:tc>
          <w:tcPr>
            <w:tcW w:w="1701" w:type="dxa"/>
            <w:tcBorders>
              <w:top w:val="nil"/>
              <w:left w:val="nil"/>
              <w:bottom w:val="nil"/>
              <w:right w:val="nil"/>
              <w:tl2br w:val="nil"/>
              <w:tr2bl w:val="nil"/>
            </w:tcBorders>
            <w:tcMar>
              <w:left w:w="60" w:type="dxa"/>
              <w:right w:w="60" w:type="dxa"/>
            </w:tcMar>
            <w:vAlign w:val="bottom"/>
          </w:tcPr>
          <w:p w14:paraId="3CDE03D1" w14:textId="77777777" w:rsidR="00807FFE" w:rsidRDefault="00023E71">
            <w:pPr>
              <w:pStyle w:val="DMETW36633BIPFGL"/>
              <w:jc w:val="right"/>
              <w:rPr>
                <w:rFonts w:ascii="Verdana" w:eastAsia="Verdana" w:hAnsi="Verdana" w:cs="Verdana"/>
                <w:i/>
                <w:noProof/>
                <w:color w:val="016794"/>
                <w:sz w:val="18"/>
              </w:rPr>
            </w:pPr>
            <w:r>
              <w:rPr>
                <w:rFonts w:ascii="Verdana" w:eastAsia="Verdana" w:hAnsi="Verdana" w:cs="Verdana"/>
                <w:i/>
                <w:noProof/>
                <w:color w:val="016794"/>
                <w:sz w:val="18"/>
              </w:rPr>
              <w:t>7 647</w:t>
            </w:r>
          </w:p>
        </w:tc>
        <w:tc>
          <w:tcPr>
            <w:tcW w:w="1843" w:type="dxa"/>
            <w:tcBorders>
              <w:top w:val="nil"/>
              <w:left w:val="nil"/>
              <w:bottom w:val="nil"/>
              <w:right w:val="nil"/>
              <w:tl2br w:val="nil"/>
              <w:tr2bl w:val="nil"/>
            </w:tcBorders>
            <w:tcMar>
              <w:left w:w="60" w:type="dxa"/>
              <w:right w:w="60" w:type="dxa"/>
            </w:tcMar>
            <w:vAlign w:val="bottom"/>
          </w:tcPr>
          <w:p w14:paraId="2C454B9C" w14:textId="77777777" w:rsidR="00807FFE" w:rsidRDefault="00023E71">
            <w:pPr>
              <w:pStyle w:val="DMETW36633BIPFGL"/>
              <w:jc w:val="right"/>
              <w:rPr>
                <w:rFonts w:ascii="Verdana" w:eastAsia="Verdana" w:hAnsi="Verdana" w:cs="Verdana"/>
                <w:i/>
                <w:noProof/>
                <w:color w:val="016794"/>
                <w:sz w:val="18"/>
              </w:rPr>
            </w:pPr>
            <w:r>
              <w:rPr>
                <w:rFonts w:ascii="Verdana" w:eastAsia="Verdana" w:hAnsi="Verdana" w:cs="Verdana"/>
                <w:i/>
                <w:noProof/>
                <w:color w:val="016794"/>
                <w:sz w:val="18"/>
              </w:rPr>
              <w:t xml:space="preserve"> 306</w:t>
            </w:r>
          </w:p>
        </w:tc>
        <w:tc>
          <w:tcPr>
            <w:tcW w:w="1476" w:type="dxa"/>
            <w:tcBorders>
              <w:top w:val="nil"/>
              <w:left w:val="nil"/>
              <w:bottom w:val="nil"/>
              <w:right w:val="nil"/>
              <w:tl2br w:val="nil"/>
              <w:tr2bl w:val="nil"/>
            </w:tcBorders>
            <w:tcMar>
              <w:left w:w="60" w:type="dxa"/>
              <w:right w:w="60" w:type="dxa"/>
            </w:tcMar>
            <w:vAlign w:val="bottom"/>
          </w:tcPr>
          <w:p w14:paraId="79725B9D" w14:textId="77777777" w:rsidR="00807FFE" w:rsidRDefault="00023E71">
            <w:pPr>
              <w:pStyle w:val="DMETW36633BIPFGL"/>
              <w:jc w:val="right"/>
              <w:rPr>
                <w:rFonts w:ascii="Verdana" w:eastAsia="Verdana" w:hAnsi="Verdana" w:cs="Verdana"/>
                <w:i/>
                <w:noProof/>
                <w:color w:val="016794"/>
                <w:sz w:val="18"/>
              </w:rPr>
            </w:pPr>
            <w:r>
              <w:rPr>
                <w:rFonts w:ascii="Verdana" w:eastAsia="Verdana" w:hAnsi="Verdana" w:cs="Verdana"/>
                <w:i/>
                <w:noProof/>
                <w:color w:val="016794"/>
                <w:sz w:val="18"/>
              </w:rPr>
              <w:t>6 340</w:t>
            </w:r>
          </w:p>
        </w:tc>
      </w:tr>
    </w:tbl>
    <w:p w14:paraId="0C69A16F" w14:textId="77777777" w:rsidR="00746ED2" w:rsidRDefault="00023E71" w:rsidP="00D8730D">
      <w:pPr>
        <w:pStyle w:val="DGTextstand-alone"/>
      </w:pPr>
      <w:r>
        <w:t xml:space="preserve">The EU applies the gross presentation of the financial guarantee contracts, where the revenues yet to be received under the guarantee are recognised as a </w:t>
      </w:r>
      <w:r w:rsidR="00005BDD">
        <w:t>fina</w:t>
      </w:r>
      <w:r>
        <w:t>n</w:t>
      </w:r>
      <w:r w:rsidR="00005BDD">
        <w:t>cial guarantee</w:t>
      </w:r>
      <w:r>
        <w:t xml:space="preserve"> receivable leg (presented under the exchange receivables heading – see Note </w:t>
      </w:r>
      <w:r w:rsidRPr="00D8730D">
        <w:rPr>
          <w:b/>
        </w:rPr>
        <w:t>2.6.2</w:t>
      </w:r>
      <w:r>
        <w:t xml:space="preserve">) and a </w:t>
      </w:r>
      <w:r w:rsidR="00005BDD">
        <w:t>fina</w:t>
      </w:r>
      <w:r>
        <w:t>n</w:t>
      </w:r>
      <w:r w:rsidR="00005BDD">
        <w:t>cial guarantee</w:t>
      </w:r>
      <w:r>
        <w:t xml:space="preserve"> liability is also recognised representing the </w:t>
      </w:r>
      <w:bookmarkStart w:id="167" w:name="_Hlk229776259"/>
      <w:r>
        <w:t xml:space="preserve">EU liability </w:t>
      </w:r>
      <w:bookmarkEnd w:id="167"/>
      <w:r>
        <w:t xml:space="preserve">for coverage of the future guarantee claims. </w:t>
      </w:r>
    </w:p>
    <w:p w14:paraId="4B62D220" w14:textId="77777777" w:rsidR="008100F5" w:rsidRDefault="00023E71" w:rsidP="00D8730D">
      <w:pPr>
        <w:pStyle w:val="DGTextstand-alone"/>
      </w:pPr>
      <w:r>
        <w:t>While, t</w:t>
      </w:r>
      <w:r w:rsidR="00160956" w:rsidRPr="007922B0">
        <w:t xml:space="preserve">he ELM </w:t>
      </w:r>
      <w:r>
        <w:t xml:space="preserve">and EFSI financial </w:t>
      </w:r>
      <w:r w:rsidR="00160956" w:rsidRPr="007922B0">
        <w:t>guarantee</w:t>
      </w:r>
      <w:r>
        <w:t xml:space="preserve"> liabilities </w:t>
      </w:r>
      <w:r w:rsidR="00160956" w:rsidRPr="007922B0">
        <w:t>remain significant</w:t>
      </w:r>
      <w:r>
        <w:t>, the guarantees under new programmes</w:t>
      </w:r>
      <w:r w:rsidR="004A7DCC">
        <w:t xml:space="preserve"> in this MFF</w:t>
      </w:r>
      <w:r>
        <w:t xml:space="preserve">, namely InvestEU, NDICI, and Ukraine guarantee started in 2024, continue to increase due to </w:t>
      </w:r>
      <w:r w:rsidR="004A7DCC">
        <w:t xml:space="preserve">signatures of </w:t>
      </w:r>
      <w:r>
        <w:t>new operations</w:t>
      </w:r>
      <w:r w:rsidR="004A7DCC">
        <w:t xml:space="preserve"> by the EU implementing partners </w:t>
      </w:r>
      <w:r w:rsidR="004A7DCC" w:rsidRPr="007922B0">
        <w:t xml:space="preserve">(see also </w:t>
      </w:r>
      <w:r>
        <w:t>N</w:t>
      </w:r>
      <w:r w:rsidR="004A7DCC" w:rsidRPr="007922B0">
        <w:t xml:space="preserve">ote </w:t>
      </w:r>
      <w:r w:rsidR="004A7DCC" w:rsidRPr="007922B0">
        <w:rPr>
          <w:b/>
        </w:rPr>
        <w:t>4.1.1</w:t>
      </w:r>
      <w:r w:rsidR="004A7DCC" w:rsidRPr="007922B0">
        <w:t>)</w:t>
      </w:r>
      <w:r>
        <w:t xml:space="preserve">. </w:t>
      </w:r>
    </w:p>
    <w:p w14:paraId="2923F54F" w14:textId="77777777" w:rsidR="004A7DCC" w:rsidRDefault="00023E71" w:rsidP="00D8730D">
      <w:pPr>
        <w:pStyle w:val="DGTextstand-alone"/>
      </w:pPr>
      <w:r>
        <w:t xml:space="preserve">Except for the EFSI guarantee, where </w:t>
      </w:r>
      <w:r w:rsidR="00160956" w:rsidRPr="007922B0">
        <w:t xml:space="preserve">the EU is entitled to an expected remuneration </w:t>
      </w:r>
      <w:r w:rsidRPr="00266667">
        <w:t>–</w:t>
      </w:r>
      <w:r>
        <w:t xml:space="preserve"> </w:t>
      </w:r>
      <w:r w:rsidR="00160956" w:rsidRPr="007922B0">
        <w:t xml:space="preserve">recognised as a </w:t>
      </w:r>
      <w:r w:rsidR="00005BDD" w:rsidRPr="007922B0">
        <w:t>fina</w:t>
      </w:r>
      <w:r w:rsidR="00160956" w:rsidRPr="007922B0">
        <w:t>n</w:t>
      </w:r>
      <w:r w:rsidR="00005BDD" w:rsidRPr="007922B0">
        <w:t>cial guarantee</w:t>
      </w:r>
      <w:r w:rsidR="00160956" w:rsidRPr="007922B0">
        <w:t xml:space="preserve"> receivable</w:t>
      </w:r>
      <w:r>
        <w:t xml:space="preserve"> </w:t>
      </w:r>
      <w:r w:rsidRPr="00266667">
        <w:t>–</w:t>
      </w:r>
      <w:r w:rsidR="00160956" w:rsidRPr="007922B0">
        <w:t xml:space="preserve"> covering to a large extent the liability, for the </w:t>
      </w:r>
      <w:r>
        <w:t xml:space="preserve">remaining programmes the </w:t>
      </w:r>
      <w:r w:rsidR="00160956" w:rsidRPr="007922B0">
        <w:t xml:space="preserve">expected revenues are covering only a small fraction of the guarantee. This is due to a high share of EU subsidisation </w:t>
      </w:r>
      <w:r>
        <w:t>for those programmes,</w:t>
      </w:r>
      <w:r w:rsidR="00160956">
        <w:t xml:space="preserve"> in particular those provided for higher-risk financing to SMEs or to the innovation sector</w:t>
      </w:r>
      <w:r>
        <w:t>, as well as guarantees for projects in developing countries</w:t>
      </w:r>
      <w:r w:rsidR="00160956">
        <w:t xml:space="preserve">. </w:t>
      </w:r>
    </w:p>
    <w:bookmarkEnd w:id="159"/>
    <w:p w14:paraId="6386AFD0" w14:textId="4F035F0C" w:rsidR="0027272E" w:rsidRDefault="0027272E">
      <w:pPr>
        <w:rPr>
          <w:rFonts w:ascii="Verdana" w:hAnsi="Verdana"/>
          <w:noProof/>
          <w:sz w:val="18"/>
          <w:szCs w:val="18"/>
          <w:lang w:eastAsia="en-US"/>
        </w:rPr>
      </w:pPr>
      <w:r>
        <w:rPr>
          <w:noProof/>
        </w:rPr>
        <w:br w:type="page"/>
      </w:r>
    </w:p>
    <w:p w14:paraId="4F621C4F" w14:textId="77777777" w:rsidR="007B6D94" w:rsidRPr="001578A7" w:rsidRDefault="007B6D94" w:rsidP="00D8730D">
      <w:pPr>
        <w:pStyle w:val="DGTextstand-alone"/>
        <w:sectPr w:rsidR="007B6D94" w:rsidRPr="001578A7" w:rsidSect="009B75C1">
          <w:headerReference w:type="default" r:id="rId103"/>
          <w:footerReference w:type="default" r:id="rId104"/>
          <w:pgSz w:w="11906" w:h="16838"/>
          <w:pgMar w:top="1134" w:right="1134" w:bottom="1134" w:left="1134" w:header="709" w:footer="709" w:gutter="0"/>
          <w:cols w:space="708"/>
          <w:docGrid w:linePitch="360"/>
        </w:sectPr>
      </w:pPr>
    </w:p>
    <w:p w14:paraId="4113AFC8" w14:textId="77777777" w:rsidR="00594DF5" w:rsidRPr="00527193" w:rsidRDefault="00023E71" w:rsidP="00172034">
      <w:pPr>
        <w:pStyle w:val="HEADER2NOTES"/>
        <w:numPr>
          <w:ilvl w:val="1"/>
          <w:numId w:val="15"/>
        </w:numPr>
        <w:rPr>
          <w:noProof/>
        </w:rPr>
      </w:pPr>
      <w:bookmarkStart w:id="168" w:name="_DMBM_36690"/>
      <w:r w:rsidRPr="00527193">
        <w:rPr>
          <w:noProof/>
        </w:rPr>
        <w:t>PAYABLES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6"/>
        <w:gridCol w:w="1179"/>
        <w:gridCol w:w="1179"/>
        <w:gridCol w:w="1278"/>
        <w:gridCol w:w="1179"/>
        <w:gridCol w:w="1179"/>
        <w:gridCol w:w="1278"/>
      </w:tblGrid>
      <w:tr w:rsidR="00807FFE" w14:paraId="09FE7600" w14:textId="77777777">
        <w:trPr>
          <w:trHeight w:val="255"/>
        </w:trPr>
        <w:tc>
          <w:tcPr>
            <w:tcW w:w="2486" w:type="dxa"/>
            <w:tcBorders>
              <w:top w:val="nil"/>
              <w:left w:val="nil"/>
              <w:bottom w:val="nil"/>
              <w:right w:val="nil"/>
              <w:tl2br w:val="nil"/>
              <w:tr2bl w:val="nil"/>
            </w:tcBorders>
            <w:tcMar>
              <w:left w:w="60" w:type="dxa"/>
              <w:right w:w="60" w:type="dxa"/>
            </w:tcMar>
            <w:vAlign w:val="bottom"/>
          </w:tcPr>
          <w:p w14:paraId="2B4B50BE" w14:textId="77777777" w:rsidR="00807FFE" w:rsidRDefault="00807FFE">
            <w:pPr>
              <w:pStyle w:val="DMETW36748BIPPAYAB"/>
              <w:rPr>
                <w:rFonts w:ascii="Arial" w:eastAsia="Arial" w:hAnsi="Arial" w:cs="Arial"/>
                <w:noProof/>
                <w:color w:val="000000"/>
                <w:lang w:bidi="en-GB"/>
              </w:rPr>
            </w:pPr>
            <w:bookmarkStart w:id="169" w:name="DOC_TBL00062_1_1"/>
            <w:bookmarkEnd w:id="169"/>
          </w:p>
        </w:tc>
        <w:tc>
          <w:tcPr>
            <w:tcW w:w="1179" w:type="dxa"/>
            <w:tcBorders>
              <w:top w:val="nil"/>
              <w:left w:val="nil"/>
              <w:bottom w:val="nil"/>
              <w:right w:val="nil"/>
              <w:tl2br w:val="nil"/>
              <w:tr2bl w:val="nil"/>
            </w:tcBorders>
            <w:tcMar>
              <w:left w:w="60" w:type="dxa"/>
              <w:right w:w="60" w:type="dxa"/>
            </w:tcMar>
            <w:vAlign w:val="bottom"/>
          </w:tcPr>
          <w:p w14:paraId="03654EA3" w14:textId="77777777" w:rsidR="00807FFE" w:rsidRDefault="00807FFE">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14:paraId="60866CE0" w14:textId="77777777" w:rsidR="00807FFE" w:rsidRDefault="00807FFE">
            <w:pPr>
              <w:pStyle w:val="DMETW36748BIPPAYAB"/>
              <w:rPr>
                <w:rFonts w:ascii="Arial" w:eastAsia="Arial" w:hAnsi="Arial" w:cs="Arial"/>
                <w:noProof/>
                <w:color w:val="000000"/>
              </w:rPr>
            </w:pPr>
          </w:p>
        </w:tc>
        <w:tc>
          <w:tcPr>
            <w:tcW w:w="1278" w:type="dxa"/>
            <w:tcBorders>
              <w:top w:val="nil"/>
              <w:left w:val="nil"/>
              <w:bottom w:val="nil"/>
              <w:right w:val="nil"/>
              <w:tl2br w:val="nil"/>
              <w:tr2bl w:val="nil"/>
            </w:tcBorders>
            <w:tcMar>
              <w:left w:w="60" w:type="dxa"/>
              <w:right w:w="60" w:type="dxa"/>
            </w:tcMar>
            <w:vAlign w:val="bottom"/>
          </w:tcPr>
          <w:p w14:paraId="200BA6EB" w14:textId="77777777" w:rsidR="00807FFE" w:rsidRDefault="00807FFE">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14:paraId="7A0F3B2B" w14:textId="77777777" w:rsidR="00807FFE" w:rsidRDefault="00807FFE">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14:paraId="355DCA7F" w14:textId="77777777" w:rsidR="00807FFE" w:rsidRDefault="00807FFE">
            <w:pPr>
              <w:pStyle w:val="DMETW36748BIPPAYAB"/>
              <w:rPr>
                <w:rFonts w:ascii="Arial" w:eastAsia="Arial" w:hAnsi="Arial" w:cs="Arial"/>
                <w:noProof/>
                <w:color w:val="000000"/>
              </w:rPr>
            </w:pPr>
          </w:p>
        </w:tc>
        <w:tc>
          <w:tcPr>
            <w:tcW w:w="1278" w:type="dxa"/>
            <w:tcBorders>
              <w:top w:val="nil"/>
              <w:left w:val="nil"/>
              <w:bottom w:val="nil"/>
              <w:right w:val="nil"/>
              <w:tl2br w:val="nil"/>
              <w:tr2bl w:val="nil"/>
            </w:tcBorders>
            <w:tcMar>
              <w:left w:w="60" w:type="dxa"/>
              <w:right w:w="60" w:type="dxa"/>
            </w:tcMar>
            <w:vAlign w:val="bottom"/>
          </w:tcPr>
          <w:p w14:paraId="6A2E36F0" w14:textId="77777777" w:rsidR="00807FFE" w:rsidRDefault="00023E71">
            <w:pPr>
              <w:pStyle w:val="DMETW36748BIPPAYAB"/>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3CD414F" w14:textId="77777777">
        <w:trPr>
          <w:trHeight w:val="255"/>
        </w:trPr>
        <w:tc>
          <w:tcPr>
            <w:tcW w:w="2486" w:type="dxa"/>
            <w:tcBorders>
              <w:top w:val="nil"/>
              <w:left w:val="nil"/>
              <w:bottom w:val="nil"/>
              <w:right w:val="nil"/>
              <w:tl2br w:val="nil"/>
              <w:tr2bl w:val="nil"/>
            </w:tcBorders>
            <w:shd w:val="solid" w:color="016794" w:fill="FFFFFF"/>
            <w:tcMar>
              <w:left w:w="60" w:type="dxa"/>
              <w:right w:w="60" w:type="dxa"/>
            </w:tcMar>
            <w:vAlign w:val="center"/>
          </w:tcPr>
          <w:p w14:paraId="02018531" w14:textId="77777777" w:rsidR="00807FFE" w:rsidRDefault="00807FFE">
            <w:pPr>
              <w:pStyle w:val="DMETW36748BIPPAYAB"/>
              <w:jc w:val="right"/>
              <w:rPr>
                <w:rFonts w:ascii="Verdana" w:eastAsia="Verdana" w:hAnsi="Verdana" w:cs="Verdana"/>
                <w:noProof/>
                <w:color w:val="FFFFFF"/>
                <w:sz w:val="16"/>
              </w:rPr>
            </w:pPr>
          </w:p>
        </w:tc>
        <w:tc>
          <w:tcPr>
            <w:tcW w:w="1179" w:type="dxa"/>
            <w:tcBorders>
              <w:top w:val="nil"/>
              <w:left w:val="nil"/>
              <w:bottom w:val="nil"/>
              <w:right w:val="nil"/>
              <w:tl2br w:val="nil"/>
              <w:tr2bl w:val="nil"/>
            </w:tcBorders>
            <w:shd w:val="solid" w:color="016794" w:fill="FFFFFF"/>
            <w:tcMar>
              <w:left w:w="60" w:type="dxa"/>
              <w:right w:w="60" w:type="dxa"/>
            </w:tcMar>
            <w:vAlign w:val="center"/>
          </w:tcPr>
          <w:p w14:paraId="0F5F5C34" w14:textId="77777777" w:rsidR="00807FFE" w:rsidRDefault="00023E71">
            <w:pPr>
              <w:pStyle w:val="DMETW36748BIPPAYAB"/>
              <w:jc w:val="right"/>
              <w:rPr>
                <w:rFonts w:ascii="Verdana" w:eastAsia="Verdana" w:hAnsi="Verdana" w:cs="Verdana"/>
                <w:noProof/>
                <w:color w:val="FFFFFF"/>
                <w:sz w:val="16"/>
              </w:rPr>
            </w:pPr>
            <w:r>
              <w:rPr>
                <w:rFonts w:ascii="Verdana" w:eastAsia="Verdana" w:hAnsi="Verdana" w:cs="Verdana"/>
                <w:noProof/>
                <w:color w:val="FFFFFF"/>
                <w:sz w:val="16"/>
              </w:rPr>
              <w:t>Gross Amount</w:t>
            </w:r>
          </w:p>
        </w:tc>
        <w:tc>
          <w:tcPr>
            <w:tcW w:w="1179" w:type="dxa"/>
            <w:tcBorders>
              <w:top w:val="nil"/>
              <w:left w:val="nil"/>
              <w:bottom w:val="nil"/>
              <w:right w:val="nil"/>
              <w:tl2br w:val="nil"/>
              <w:tr2bl w:val="nil"/>
            </w:tcBorders>
            <w:shd w:val="solid" w:color="016794" w:fill="FFFFFF"/>
            <w:tcMar>
              <w:left w:w="60" w:type="dxa"/>
              <w:right w:w="60" w:type="dxa"/>
            </w:tcMar>
            <w:vAlign w:val="center"/>
          </w:tcPr>
          <w:p w14:paraId="58610198" w14:textId="77777777" w:rsidR="00807FFE" w:rsidRDefault="00023E71">
            <w:pPr>
              <w:pStyle w:val="DMETW36748BIPPAYAB"/>
              <w:jc w:val="right"/>
              <w:rPr>
                <w:rFonts w:ascii="Verdana" w:eastAsia="Verdana" w:hAnsi="Verdana" w:cs="Verdana"/>
                <w:noProof/>
                <w:color w:val="FFFFFF"/>
                <w:sz w:val="16"/>
              </w:rPr>
            </w:pPr>
            <w:r>
              <w:rPr>
                <w:rFonts w:ascii="Verdana" w:eastAsia="Verdana" w:hAnsi="Verdana" w:cs="Verdana"/>
                <w:noProof/>
                <w:color w:val="FFFFFF"/>
                <w:sz w:val="16"/>
              </w:rPr>
              <w:t>Adjustments</w:t>
            </w:r>
          </w:p>
        </w:tc>
        <w:tc>
          <w:tcPr>
            <w:tcW w:w="1278" w:type="dxa"/>
            <w:tcBorders>
              <w:top w:val="nil"/>
              <w:left w:val="nil"/>
              <w:bottom w:val="nil"/>
              <w:right w:val="nil"/>
              <w:tl2br w:val="nil"/>
              <w:tr2bl w:val="nil"/>
            </w:tcBorders>
            <w:shd w:val="solid" w:color="016794" w:fill="FFFFFF"/>
            <w:tcMar>
              <w:left w:w="60" w:type="dxa"/>
              <w:right w:w="60" w:type="dxa"/>
            </w:tcMar>
            <w:vAlign w:val="center"/>
          </w:tcPr>
          <w:p w14:paraId="1C8718BC" w14:textId="77777777" w:rsidR="00807FFE" w:rsidRDefault="00023E71">
            <w:pPr>
              <w:pStyle w:val="DMETW36748BIPPAYAB"/>
              <w:jc w:val="right"/>
              <w:rPr>
                <w:rFonts w:ascii="Verdana" w:eastAsia="Verdana" w:hAnsi="Verdana" w:cs="Verdana"/>
                <w:noProof/>
                <w:color w:val="FFFFFF"/>
                <w:sz w:val="16"/>
              </w:rPr>
            </w:pPr>
            <w:r>
              <w:rPr>
                <w:rFonts w:ascii="Verdana" w:eastAsia="Verdana" w:hAnsi="Verdana" w:cs="Verdana"/>
                <w:noProof/>
                <w:color w:val="FFFFFF"/>
                <w:sz w:val="16"/>
              </w:rPr>
              <w:t>Net Amount at 31.12.2025</w:t>
            </w:r>
          </w:p>
        </w:tc>
        <w:tc>
          <w:tcPr>
            <w:tcW w:w="1179" w:type="dxa"/>
            <w:tcBorders>
              <w:top w:val="nil"/>
              <w:left w:val="nil"/>
              <w:bottom w:val="nil"/>
              <w:right w:val="nil"/>
              <w:tl2br w:val="nil"/>
              <w:tr2bl w:val="nil"/>
            </w:tcBorders>
            <w:shd w:val="solid" w:color="016794" w:fill="FFFFFF"/>
            <w:tcMar>
              <w:left w:w="60" w:type="dxa"/>
              <w:right w:w="60" w:type="dxa"/>
            </w:tcMar>
            <w:vAlign w:val="center"/>
          </w:tcPr>
          <w:p w14:paraId="05CCA916" w14:textId="77777777" w:rsidR="00807FFE" w:rsidRDefault="00023E71">
            <w:pPr>
              <w:pStyle w:val="DMETW36748BIPPAYAB"/>
              <w:jc w:val="right"/>
              <w:rPr>
                <w:rFonts w:ascii="Verdana" w:eastAsia="Verdana" w:hAnsi="Verdana" w:cs="Verdana"/>
                <w:noProof/>
                <w:color w:val="FFFFFF"/>
                <w:sz w:val="16"/>
              </w:rPr>
            </w:pPr>
            <w:r>
              <w:rPr>
                <w:rFonts w:ascii="Verdana" w:eastAsia="Verdana" w:hAnsi="Verdana" w:cs="Verdana"/>
                <w:noProof/>
                <w:color w:val="FFFFFF"/>
                <w:sz w:val="16"/>
              </w:rPr>
              <w:t>Gross Amount</w:t>
            </w:r>
          </w:p>
        </w:tc>
        <w:tc>
          <w:tcPr>
            <w:tcW w:w="1179" w:type="dxa"/>
            <w:tcBorders>
              <w:top w:val="nil"/>
              <w:left w:val="nil"/>
              <w:bottom w:val="nil"/>
              <w:right w:val="nil"/>
              <w:tl2br w:val="nil"/>
              <w:tr2bl w:val="nil"/>
            </w:tcBorders>
            <w:shd w:val="solid" w:color="016794" w:fill="FFFFFF"/>
            <w:tcMar>
              <w:left w:w="60" w:type="dxa"/>
              <w:right w:w="60" w:type="dxa"/>
            </w:tcMar>
            <w:vAlign w:val="center"/>
          </w:tcPr>
          <w:p w14:paraId="177F5ABB" w14:textId="77777777" w:rsidR="00807FFE" w:rsidRDefault="00023E71">
            <w:pPr>
              <w:pStyle w:val="DMETW36748BIPPAYAB"/>
              <w:jc w:val="right"/>
              <w:rPr>
                <w:rFonts w:ascii="Verdana" w:eastAsia="Verdana" w:hAnsi="Verdana" w:cs="Verdana"/>
                <w:noProof/>
                <w:color w:val="FFFFFF"/>
                <w:sz w:val="16"/>
              </w:rPr>
            </w:pPr>
            <w:r>
              <w:rPr>
                <w:rFonts w:ascii="Verdana" w:eastAsia="Verdana" w:hAnsi="Verdana" w:cs="Verdana"/>
                <w:noProof/>
                <w:color w:val="FFFFFF"/>
                <w:sz w:val="16"/>
              </w:rPr>
              <w:t>Adjustments</w:t>
            </w:r>
          </w:p>
        </w:tc>
        <w:tc>
          <w:tcPr>
            <w:tcW w:w="1278" w:type="dxa"/>
            <w:tcBorders>
              <w:top w:val="nil"/>
              <w:left w:val="nil"/>
              <w:bottom w:val="nil"/>
              <w:right w:val="nil"/>
              <w:tl2br w:val="nil"/>
              <w:tr2bl w:val="nil"/>
            </w:tcBorders>
            <w:shd w:val="solid" w:color="016794" w:fill="FFFFFF"/>
            <w:tcMar>
              <w:left w:w="60" w:type="dxa"/>
              <w:right w:w="60" w:type="dxa"/>
            </w:tcMar>
            <w:vAlign w:val="center"/>
          </w:tcPr>
          <w:p w14:paraId="0BC87215" w14:textId="77777777" w:rsidR="00807FFE" w:rsidRDefault="00023E71">
            <w:pPr>
              <w:pStyle w:val="DMETW36748BIPPAYAB"/>
              <w:jc w:val="right"/>
              <w:rPr>
                <w:rFonts w:ascii="Verdana" w:eastAsia="Verdana" w:hAnsi="Verdana" w:cs="Verdana"/>
                <w:noProof/>
                <w:color w:val="FFFFFF"/>
                <w:sz w:val="16"/>
                <w:lang w:bidi="en-GB"/>
              </w:rPr>
            </w:pPr>
            <w:r>
              <w:rPr>
                <w:rFonts w:ascii="Verdana" w:eastAsia="Verdana" w:hAnsi="Verdana" w:cs="Verdana"/>
                <w:noProof/>
                <w:color w:val="FFFFFF"/>
                <w:sz w:val="16"/>
              </w:rPr>
              <w:t>Net Amount at 31.12.2024</w:t>
            </w:r>
          </w:p>
        </w:tc>
      </w:tr>
      <w:tr w:rsidR="00807FFE" w14:paraId="73711520" w14:textId="77777777">
        <w:trPr>
          <w:trHeight w:val="255"/>
        </w:trPr>
        <w:tc>
          <w:tcPr>
            <w:tcW w:w="2486" w:type="dxa"/>
            <w:tcBorders>
              <w:top w:val="nil"/>
              <w:left w:val="nil"/>
              <w:bottom w:val="nil"/>
              <w:right w:val="nil"/>
              <w:tl2br w:val="nil"/>
              <w:tr2bl w:val="nil"/>
            </w:tcBorders>
            <w:tcMar>
              <w:left w:w="60" w:type="dxa"/>
              <w:right w:w="60" w:type="dxa"/>
            </w:tcMar>
            <w:vAlign w:val="center"/>
          </w:tcPr>
          <w:p w14:paraId="144F3796" w14:textId="77777777" w:rsidR="00807FFE" w:rsidRDefault="00023E71">
            <w:pPr>
              <w:pStyle w:val="DMETW36748BIPPAYAB"/>
              <w:rPr>
                <w:rFonts w:ascii="Verdana" w:eastAsia="Verdana" w:hAnsi="Verdana" w:cs="Verdana"/>
                <w:b/>
                <w:noProof/>
                <w:color w:val="000000"/>
                <w:sz w:val="16"/>
              </w:rPr>
            </w:pPr>
            <w:r>
              <w:rPr>
                <w:rFonts w:ascii="Verdana" w:eastAsia="Verdana" w:hAnsi="Verdana" w:cs="Verdana"/>
                <w:b/>
                <w:noProof/>
                <w:color w:val="000000"/>
                <w:sz w:val="16"/>
              </w:rPr>
              <w:t>Cost claims and invoices received from:</w:t>
            </w:r>
          </w:p>
        </w:tc>
        <w:tc>
          <w:tcPr>
            <w:tcW w:w="1179" w:type="dxa"/>
            <w:tcBorders>
              <w:top w:val="nil"/>
              <w:left w:val="nil"/>
              <w:bottom w:val="nil"/>
              <w:right w:val="nil"/>
              <w:tl2br w:val="nil"/>
              <w:tr2bl w:val="nil"/>
            </w:tcBorders>
            <w:tcMar>
              <w:left w:w="60" w:type="dxa"/>
              <w:right w:w="60" w:type="dxa"/>
            </w:tcMar>
            <w:vAlign w:val="center"/>
          </w:tcPr>
          <w:p w14:paraId="3E143EB3" w14:textId="77777777" w:rsidR="00807FFE" w:rsidRDefault="00807FFE">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14:paraId="29B61E43" w14:textId="77777777" w:rsidR="00807FFE" w:rsidRDefault="00807FFE">
            <w:pPr>
              <w:pStyle w:val="DMETW36748BIPPAYAB"/>
              <w:jc w:val="right"/>
              <w:rPr>
                <w:rFonts w:ascii="Verdana" w:eastAsia="Verdana" w:hAnsi="Verdana" w:cs="Verdana"/>
                <w:b/>
                <w:noProof/>
                <w:color w:val="000000"/>
                <w:sz w:val="16"/>
              </w:rPr>
            </w:pPr>
          </w:p>
        </w:tc>
        <w:tc>
          <w:tcPr>
            <w:tcW w:w="1278" w:type="dxa"/>
            <w:tcBorders>
              <w:top w:val="nil"/>
              <w:left w:val="nil"/>
              <w:bottom w:val="nil"/>
              <w:right w:val="single" w:sz="4" w:space="0" w:color="016794"/>
              <w:tl2br w:val="nil"/>
              <w:tr2bl w:val="nil"/>
            </w:tcBorders>
            <w:tcMar>
              <w:left w:w="60" w:type="dxa"/>
              <w:right w:w="60" w:type="dxa"/>
            </w:tcMar>
            <w:vAlign w:val="center"/>
          </w:tcPr>
          <w:p w14:paraId="4AB3C3E2" w14:textId="77777777" w:rsidR="00807FFE" w:rsidRDefault="00807FFE">
            <w:pPr>
              <w:pStyle w:val="DMETW36748BIPPAYAB"/>
              <w:jc w:val="right"/>
              <w:rPr>
                <w:rFonts w:ascii="Verdana" w:eastAsia="Verdana" w:hAnsi="Verdana" w:cs="Verdana"/>
                <w:b/>
                <w:noProof/>
                <w:color w:val="000000"/>
                <w:sz w:val="16"/>
              </w:rPr>
            </w:pPr>
          </w:p>
        </w:tc>
        <w:tc>
          <w:tcPr>
            <w:tcW w:w="1179" w:type="dxa"/>
            <w:tcBorders>
              <w:top w:val="nil"/>
              <w:left w:val="single" w:sz="4" w:space="0" w:color="016794"/>
              <w:bottom w:val="nil"/>
              <w:right w:val="nil"/>
              <w:tl2br w:val="nil"/>
              <w:tr2bl w:val="nil"/>
            </w:tcBorders>
            <w:tcMar>
              <w:left w:w="60" w:type="dxa"/>
              <w:right w:w="60" w:type="dxa"/>
            </w:tcMar>
            <w:vAlign w:val="center"/>
          </w:tcPr>
          <w:p w14:paraId="6D6EA33E" w14:textId="77777777" w:rsidR="00807FFE" w:rsidRDefault="00807FFE">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14:paraId="4879822D" w14:textId="77777777" w:rsidR="00807FFE" w:rsidRDefault="00807FFE">
            <w:pPr>
              <w:pStyle w:val="DMETW36748BIPPAYAB"/>
              <w:jc w:val="right"/>
              <w:rPr>
                <w:rFonts w:ascii="Verdana" w:eastAsia="Verdana" w:hAnsi="Verdana" w:cs="Verdana"/>
                <w:b/>
                <w:noProof/>
                <w:color w:val="000000"/>
                <w:sz w:val="16"/>
              </w:rPr>
            </w:pPr>
          </w:p>
        </w:tc>
        <w:tc>
          <w:tcPr>
            <w:tcW w:w="1278" w:type="dxa"/>
            <w:tcBorders>
              <w:top w:val="nil"/>
              <w:left w:val="nil"/>
              <w:bottom w:val="nil"/>
              <w:right w:val="nil"/>
              <w:tl2br w:val="nil"/>
              <w:tr2bl w:val="nil"/>
            </w:tcBorders>
            <w:tcMar>
              <w:left w:w="60" w:type="dxa"/>
              <w:right w:w="60" w:type="dxa"/>
            </w:tcMar>
            <w:vAlign w:val="center"/>
          </w:tcPr>
          <w:p w14:paraId="7883CD8A" w14:textId="77777777" w:rsidR="00807FFE" w:rsidRDefault="00807FFE">
            <w:pPr>
              <w:pStyle w:val="DMETW36748BIPPAYAB"/>
              <w:jc w:val="right"/>
              <w:rPr>
                <w:rFonts w:ascii="Verdana" w:eastAsia="Verdana" w:hAnsi="Verdana" w:cs="Verdana"/>
                <w:b/>
                <w:noProof/>
                <w:color w:val="000000"/>
                <w:sz w:val="16"/>
                <w:lang w:bidi="en-GB"/>
              </w:rPr>
            </w:pPr>
          </w:p>
        </w:tc>
      </w:tr>
      <w:tr w:rsidR="00807FFE" w14:paraId="7331B0CA" w14:textId="77777777">
        <w:trPr>
          <w:trHeight w:val="255"/>
        </w:trPr>
        <w:tc>
          <w:tcPr>
            <w:tcW w:w="2486" w:type="dxa"/>
            <w:tcBorders>
              <w:top w:val="nil"/>
              <w:left w:val="nil"/>
              <w:bottom w:val="nil"/>
              <w:right w:val="nil"/>
              <w:tl2br w:val="nil"/>
              <w:tr2bl w:val="nil"/>
            </w:tcBorders>
            <w:tcMar>
              <w:left w:w="60" w:type="dxa"/>
              <w:right w:w="60" w:type="dxa"/>
            </w:tcMar>
            <w:vAlign w:val="center"/>
          </w:tcPr>
          <w:p w14:paraId="54445F57" w14:textId="77777777" w:rsidR="00807FFE" w:rsidRDefault="00023E71">
            <w:pPr>
              <w:pStyle w:val="DMETW36748BIPPAYAB"/>
              <w:rPr>
                <w:rFonts w:ascii="Verdana" w:eastAsia="Verdana" w:hAnsi="Verdana" w:cs="Verdana"/>
                <w:i/>
                <w:noProof/>
                <w:color w:val="016794"/>
                <w:sz w:val="16"/>
              </w:rPr>
            </w:pPr>
            <w:r>
              <w:rPr>
                <w:rFonts w:ascii="Verdana" w:eastAsia="Verdana" w:hAnsi="Verdana" w:cs="Verdana"/>
                <w:i/>
                <w:noProof/>
                <w:color w:val="016794"/>
                <w:sz w:val="16"/>
              </w:rPr>
              <w:t>Member States</w:t>
            </w:r>
          </w:p>
        </w:tc>
        <w:tc>
          <w:tcPr>
            <w:tcW w:w="1179" w:type="dxa"/>
            <w:tcBorders>
              <w:top w:val="nil"/>
              <w:left w:val="nil"/>
              <w:bottom w:val="nil"/>
              <w:right w:val="nil"/>
              <w:tl2br w:val="nil"/>
              <w:tr2bl w:val="nil"/>
            </w:tcBorders>
            <w:tcMar>
              <w:left w:w="60" w:type="dxa"/>
              <w:right w:w="60" w:type="dxa"/>
            </w:tcMar>
            <w:vAlign w:val="center"/>
          </w:tcPr>
          <w:p w14:paraId="5E0A6A0A" w14:textId="77777777" w:rsidR="00807FFE" w:rsidRDefault="00807FFE">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14:paraId="5092EEE1" w14:textId="77777777" w:rsidR="00807FFE" w:rsidRDefault="00807FFE">
            <w:pPr>
              <w:pStyle w:val="DMETW36748BIPPAYAB"/>
              <w:jc w:val="right"/>
              <w:rPr>
                <w:rFonts w:ascii="Verdana" w:eastAsia="Verdana" w:hAnsi="Verdana" w:cs="Verdana"/>
                <w:b/>
                <w:noProof/>
                <w:color w:val="000000"/>
                <w:sz w:val="16"/>
              </w:rPr>
            </w:pPr>
          </w:p>
        </w:tc>
        <w:tc>
          <w:tcPr>
            <w:tcW w:w="1278" w:type="dxa"/>
            <w:tcBorders>
              <w:top w:val="nil"/>
              <w:left w:val="nil"/>
              <w:bottom w:val="nil"/>
              <w:right w:val="single" w:sz="4" w:space="0" w:color="016794"/>
              <w:tl2br w:val="nil"/>
              <w:tr2bl w:val="nil"/>
            </w:tcBorders>
            <w:tcMar>
              <w:left w:w="60" w:type="dxa"/>
              <w:right w:w="60" w:type="dxa"/>
            </w:tcMar>
            <w:vAlign w:val="center"/>
          </w:tcPr>
          <w:p w14:paraId="2FE30123" w14:textId="77777777" w:rsidR="00807FFE" w:rsidRDefault="00807FFE">
            <w:pPr>
              <w:pStyle w:val="DMETW36748BIPPAYAB"/>
              <w:jc w:val="right"/>
              <w:rPr>
                <w:rFonts w:ascii="Verdana" w:eastAsia="Verdana" w:hAnsi="Verdana" w:cs="Verdana"/>
                <w:b/>
                <w:noProof/>
                <w:color w:val="000000"/>
                <w:sz w:val="16"/>
              </w:rPr>
            </w:pPr>
          </w:p>
        </w:tc>
        <w:tc>
          <w:tcPr>
            <w:tcW w:w="1179" w:type="dxa"/>
            <w:tcBorders>
              <w:top w:val="nil"/>
              <w:left w:val="single" w:sz="4" w:space="0" w:color="016794"/>
              <w:bottom w:val="nil"/>
              <w:right w:val="nil"/>
              <w:tl2br w:val="nil"/>
              <w:tr2bl w:val="nil"/>
            </w:tcBorders>
            <w:tcMar>
              <w:left w:w="60" w:type="dxa"/>
              <w:right w:w="60" w:type="dxa"/>
            </w:tcMar>
            <w:vAlign w:val="center"/>
          </w:tcPr>
          <w:p w14:paraId="32AF5590" w14:textId="77777777" w:rsidR="00807FFE" w:rsidRDefault="00807FFE">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14:paraId="0B72317C" w14:textId="77777777" w:rsidR="00807FFE" w:rsidRDefault="00807FFE">
            <w:pPr>
              <w:pStyle w:val="DMETW36748BIPPAYAB"/>
              <w:jc w:val="right"/>
              <w:rPr>
                <w:rFonts w:ascii="Verdana" w:eastAsia="Verdana" w:hAnsi="Verdana" w:cs="Verdana"/>
                <w:b/>
                <w:noProof/>
                <w:color w:val="000000"/>
                <w:sz w:val="16"/>
              </w:rPr>
            </w:pPr>
          </w:p>
        </w:tc>
        <w:tc>
          <w:tcPr>
            <w:tcW w:w="1278" w:type="dxa"/>
            <w:tcBorders>
              <w:top w:val="nil"/>
              <w:left w:val="nil"/>
              <w:bottom w:val="nil"/>
              <w:right w:val="nil"/>
              <w:tl2br w:val="nil"/>
              <w:tr2bl w:val="nil"/>
            </w:tcBorders>
            <w:tcMar>
              <w:left w:w="60" w:type="dxa"/>
              <w:right w:w="60" w:type="dxa"/>
            </w:tcMar>
            <w:vAlign w:val="center"/>
          </w:tcPr>
          <w:p w14:paraId="36E1100E" w14:textId="77777777" w:rsidR="00807FFE" w:rsidRDefault="00807FFE">
            <w:pPr>
              <w:pStyle w:val="DMETW36748BIPPAYAB"/>
              <w:jc w:val="right"/>
              <w:rPr>
                <w:rFonts w:ascii="Verdana" w:eastAsia="Verdana" w:hAnsi="Verdana" w:cs="Verdana"/>
                <w:b/>
                <w:noProof/>
                <w:color w:val="000000"/>
                <w:sz w:val="16"/>
                <w:lang w:bidi="en-GB"/>
              </w:rPr>
            </w:pPr>
          </w:p>
        </w:tc>
      </w:tr>
      <w:tr w:rsidR="00807FFE" w14:paraId="4C621866" w14:textId="77777777">
        <w:trPr>
          <w:trHeight w:val="255"/>
        </w:trPr>
        <w:tc>
          <w:tcPr>
            <w:tcW w:w="2486" w:type="dxa"/>
            <w:tcBorders>
              <w:top w:val="nil"/>
              <w:left w:val="nil"/>
              <w:bottom w:val="nil"/>
              <w:right w:val="nil"/>
              <w:tl2br w:val="nil"/>
              <w:tr2bl w:val="nil"/>
            </w:tcBorders>
            <w:tcMar>
              <w:left w:w="60" w:type="dxa"/>
              <w:right w:w="60" w:type="dxa"/>
            </w:tcMar>
            <w:vAlign w:val="center"/>
          </w:tcPr>
          <w:p w14:paraId="54582F11" w14:textId="77777777" w:rsidR="00807FFE" w:rsidRDefault="00023E71">
            <w:pPr>
              <w:pStyle w:val="DMETW36748BIPPAYAB"/>
              <w:rPr>
                <w:rFonts w:ascii="Verdana" w:eastAsia="Verdana" w:hAnsi="Verdana" w:cs="Verdana"/>
                <w:i/>
                <w:noProof/>
                <w:color w:val="000000"/>
                <w:sz w:val="16"/>
              </w:rPr>
            </w:pPr>
            <w:r>
              <w:rPr>
                <w:rFonts w:ascii="Verdana" w:eastAsia="Verdana" w:hAnsi="Verdana" w:cs="Verdana"/>
                <w:i/>
                <w:noProof/>
                <w:color w:val="000000"/>
                <w:sz w:val="16"/>
              </w:rPr>
              <w:t>EAFRD &amp; other rural development instruments</w:t>
            </w:r>
          </w:p>
        </w:tc>
        <w:tc>
          <w:tcPr>
            <w:tcW w:w="1179" w:type="dxa"/>
            <w:tcBorders>
              <w:top w:val="nil"/>
              <w:left w:val="nil"/>
              <w:bottom w:val="nil"/>
              <w:right w:val="nil"/>
              <w:tl2br w:val="nil"/>
              <w:tr2bl w:val="nil"/>
            </w:tcBorders>
            <w:tcMar>
              <w:left w:w="60" w:type="dxa"/>
              <w:right w:w="60" w:type="dxa"/>
            </w:tcMar>
            <w:vAlign w:val="center"/>
          </w:tcPr>
          <w:p w14:paraId="5612786A"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1 892</w:t>
            </w:r>
          </w:p>
        </w:tc>
        <w:tc>
          <w:tcPr>
            <w:tcW w:w="1179" w:type="dxa"/>
            <w:tcBorders>
              <w:top w:val="nil"/>
              <w:left w:val="nil"/>
              <w:bottom w:val="nil"/>
              <w:right w:val="nil"/>
              <w:tl2br w:val="nil"/>
              <w:tr2bl w:val="nil"/>
            </w:tcBorders>
            <w:tcMar>
              <w:left w:w="60" w:type="dxa"/>
              <w:right w:w="60" w:type="dxa"/>
            </w:tcMar>
            <w:vAlign w:val="center"/>
          </w:tcPr>
          <w:p w14:paraId="1DA26129"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8" w:type="dxa"/>
            <w:tcBorders>
              <w:top w:val="nil"/>
              <w:left w:val="nil"/>
              <w:bottom w:val="nil"/>
              <w:right w:val="single" w:sz="4" w:space="0" w:color="016794"/>
              <w:tl2br w:val="nil"/>
              <w:tr2bl w:val="nil"/>
            </w:tcBorders>
            <w:tcMar>
              <w:left w:w="60" w:type="dxa"/>
              <w:right w:w="60" w:type="dxa"/>
            </w:tcMar>
            <w:vAlign w:val="center"/>
          </w:tcPr>
          <w:p w14:paraId="797635E3"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1 892</w:t>
            </w:r>
          </w:p>
        </w:tc>
        <w:tc>
          <w:tcPr>
            <w:tcW w:w="1179" w:type="dxa"/>
            <w:tcBorders>
              <w:top w:val="nil"/>
              <w:left w:val="single" w:sz="4" w:space="0" w:color="016794"/>
              <w:bottom w:val="nil"/>
              <w:right w:val="nil"/>
              <w:tl2br w:val="nil"/>
              <w:tr2bl w:val="nil"/>
            </w:tcBorders>
            <w:tcMar>
              <w:left w:w="60" w:type="dxa"/>
              <w:right w:w="60" w:type="dxa"/>
            </w:tcMar>
            <w:vAlign w:val="center"/>
          </w:tcPr>
          <w:p w14:paraId="46FE370E"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269</w:t>
            </w:r>
          </w:p>
        </w:tc>
        <w:tc>
          <w:tcPr>
            <w:tcW w:w="1179" w:type="dxa"/>
            <w:tcBorders>
              <w:top w:val="nil"/>
              <w:left w:val="nil"/>
              <w:bottom w:val="nil"/>
              <w:right w:val="nil"/>
              <w:tl2br w:val="nil"/>
              <w:tr2bl w:val="nil"/>
            </w:tcBorders>
            <w:tcMar>
              <w:left w:w="60" w:type="dxa"/>
              <w:right w:w="60" w:type="dxa"/>
            </w:tcMar>
            <w:vAlign w:val="center"/>
          </w:tcPr>
          <w:p w14:paraId="2192FC03"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278" w:type="dxa"/>
            <w:tcBorders>
              <w:top w:val="nil"/>
              <w:left w:val="nil"/>
              <w:bottom w:val="nil"/>
              <w:right w:val="nil"/>
              <w:tl2br w:val="nil"/>
              <w:tr2bl w:val="nil"/>
            </w:tcBorders>
            <w:tcMar>
              <w:left w:w="60" w:type="dxa"/>
              <w:right w:w="60" w:type="dxa"/>
            </w:tcMar>
            <w:vAlign w:val="center"/>
          </w:tcPr>
          <w:p w14:paraId="1EDAD675" w14:textId="77777777" w:rsidR="00807FFE" w:rsidRDefault="00023E71">
            <w:pPr>
              <w:pStyle w:val="DMETW36748BIPPAYAB"/>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269</w:t>
            </w:r>
          </w:p>
        </w:tc>
      </w:tr>
      <w:tr w:rsidR="00807FFE" w14:paraId="2070C3CF" w14:textId="77777777">
        <w:trPr>
          <w:trHeight w:val="255"/>
        </w:trPr>
        <w:tc>
          <w:tcPr>
            <w:tcW w:w="2486" w:type="dxa"/>
            <w:tcBorders>
              <w:top w:val="nil"/>
              <w:left w:val="nil"/>
              <w:bottom w:val="nil"/>
              <w:right w:val="nil"/>
              <w:tl2br w:val="nil"/>
              <w:tr2bl w:val="nil"/>
            </w:tcBorders>
            <w:tcMar>
              <w:left w:w="60" w:type="dxa"/>
              <w:right w:w="60" w:type="dxa"/>
            </w:tcMar>
            <w:vAlign w:val="center"/>
          </w:tcPr>
          <w:p w14:paraId="6A4EEF59" w14:textId="77777777" w:rsidR="00807FFE" w:rsidRDefault="00023E71">
            <w:pPr>
              <w:pStyle w:val="DMETW36748BIPPAYAB"/>
              <w:rPr>
                <w:rFonts w:ascii="Verdana" w:eastAsia="Verdana" w:hAnsi="Verdana" w:cs="Verdana"/>
                <w:i/>
                <w:noProof/>
                <w:color w:val="000000"/>
                <w:sz w:val="16"/>
              </w:rPr>
            </w:pPr>
            <w:r>
              <w:rPr>
                <w:rFonts w:ascii="Verdana" w:eastAsia="Verdana" w:hAnsi="Verdana" w:cs="Verdana"/>
                <w:i/>
                <w:noProof/>
                <w:color w:val="000000"/>
                <w:sz w:val="16"/>
              </w:rPr>
              <w:t>ERDF &amp; CF</w:t>
            </w:r>
          </w:p>
        </w:tc>
        <w:tc>
          <w:tcPr>
            <w:tcW w:w="1179" w:type="dxa"/>
            <w:tcBorders>
              <w:top w:val="nil"/>
              <w:left w:val="nil"/>
              <w:bottom w:val="nil"/>
              <w:right w:val="nil"/>
              <w:tl2br w:val="nil"/>
              <w:tr2bl w:val="nil"/>
            </w:tcBorders>
            <w:tcMar>
              <w:left w:w="60" w:type="dxa"/>
              <w:right w:w="60" w:type="dxa"/>
            </w:tcMar>
            <w:vAlign w:val="center"/>
          </w:tcPr>
          <w:p w14:paraId="7141118E"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13 463</w:t>
            </w:r>
          </w:p>
        </w:tc>
        <w:tc>
          <w:tcPr>
            <w:tcW w:w="1179" w:type="dxa"/>
            <w:tcBorders>
              <w:top w:val="nil"/>
              <w:left w:val="nil"/>
              <w:bottom w:val="nil"/>
              <w:right w:val="nil"/>
              <w:tl2br w:val="nil"/>
              <w:tr2bl w:val="nil"/>
            </w:tcBorders>
            <w:tcMar>
              <w:left w:w="60" w:type="dxa"/>
              <w:right w:w="60" w:type="dxa"/>
            </w:tcMar>
            <w:vAlign w:val="center"/>
          </w:tcPr>
          <w:p w14:paraId="684B67D3"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(2 250)</w:t>
            </w:r>
          </w:p>
        </w:tc>
        <w:tc>
          <w:tcPr>
            <w:tcW w:w="1278" w:type="dxa"/>
            <w:tcBorders>
              <w:top w:val="nil"/>
              <w:left w:val="nil"/>
              <w:bottom w:val="nil"/>
              <w:right w:val="single" w:sz="4" w:space="0" w:color="016794"/>
              <w:tl2br w:val="nil"/>
              <w:tr2bl w:val="nil"/>
            </w:tcBorders>
            <w:tcMar>
              <w:left w:w="60" w:type="dxa"/>
              <w:right w:w="60" w:type="dxa"/>
            </w:tcMar>
            <w:vAlign w:val="center"/>
          </w:tcPr>
          <w:p w14:paraId="2FDAF194"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11 213</w:t>
            </w:r>
          </w:p>
        </w:tc>
        <w:tc>
          <w:tcPr>
            <w:tcW w:w="1179" w:type="dxa"/>
            <w:tcBorders>
              <w:top w:val="nil"/>
              <w:left w:val="single" w:sz="4" w:space="0" w:color="016794"/>
              <w:bottom w:val="nil"/>
              <w:right w:val="nil"/>
              <w:tl2br w:val="nil"/>
              <w:tr2bl w:val="nil"/>
            </w:tcBorders>
            <w:tcMar>
              <w:left w:w="60" w:type="dxa"/>
              <w:right w:w="60" w:type="dxa"/>
            </w:tcMar>
            <w:vAlign w:val="center"/>
          </w:tcPr>
          <w:p w14:paraId="7D729221"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6 036</w:t>
            </w:r>
          </w:p>
        </w:tc>
        <w:tc>
          <w:tcPr>
            <w:tcW w:w="1179" w:type="dxa"/>
            <w:tcBorders>
              <w:top w:val="nil"/>
              <w:left w:val="nil"/>
              <w:bottom w:val="nil"/>
              <w:right w:val="nil"/>
              <w:tl2br w:val="nil"/>
              <w:tr2bl w:val="nil"/>
            </w:tcBorders>
            <w:tcMar>
              <w:left w:w="60" w:type="dxa"/>
              <w:right w:w="60" w:type="dxa"/>
            </w:tcMar>
            <w:vAlign w:val="center"/>
          </w:tcPr>
          <w:p w14:paraId="2F5CF440"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(2 258)</w:t>
            </w:r>
          </w:p>
        </w:tc>
        <w:tc>
          <w:tcPr>
            <w:tcW w:w="1278" w:type="dxa"/>
            <w:tcBorders>
              <w:top w:val="nil"/>
              <w:left w:val="nil"/>
              <w:bottom w:val="nil"/>
              <w:right w:val="nil"/>
              <w:tl2br w:val="nil"/>
              <w:tr2bl w:val="nil"/>
            </w:tcBorders>
            <w:tcMar>
              <w:left w:w="60" w:type="dxa"/>
              <w:right w:w="60" w:type="dxa"/>
            </w:tcMar>
            <w:vAlign w:val="center"/>
          </w:tcPr>
          <w:p w14:paraId="1C130342" w14:textId="77777777" w:rsidR="00807FFE" w:rsidRDefault="00023E71">
            <w:pPr>
              <w:pStyle w:val="DMETW36748BIPPAYAB"/>
              <w:jc w:val="right"/>
              <w:rPr>
                <w:rFonts w:ascii="Verdana" w:eastAsia="Verdana" w:hAnsi="Verdana" w:cs="Verdana"/>
                <w:i/>
                <w:noProof/>
                <w:color w:val="000000"/>
                <w:sz w:val="16"/>
                <w:lang w:bidi="en-GB"/>
              </w:rPr>
            </w:pPr>
            <w:r>
              <w:rPr>
                <w:rFonts w:ascii="Verdana" w:eastAsia="Verdana" w:hAnsi="Verdana" w:cs="Verdana"/>
                <w:i/>
                <w:noProof/>
                <w:color w:val="000000"/>
                <w:sz w:val="16"/>
              </w:rPr>
              <w:t>3 778</w:t>
            </w:r>
          </w:p>
        </w:tc>
      </w:tr>
      <w:tr w:rsidR="00807FFE" w14:paraId="39DA2FD6" w14:textId="77777777">
        <w:trPr>
          <w:trHeight w:val="255"/>
        </w:trPr>
        <w:tc>
          <w:tcPr>
            <w:tcW w:w="2486" w:type="dxa"/>
            <w:tcBorders>
              <w:top w:val="nil"/>
              <w:left w:val="nil"/>
              <w:bottom w:val="nil"/>
              <w:right w:val="nil"/>
              <w:tl2br w:val="nil"/>
              <w:tr2bl w:val="nil"/>
            </w:tcBorders>
            <w:tcMar>
              <w:left w:w="60" w:type="dxa"/>
              <w:right w:w="60" w:type="dxa"/>
            </w:tcMar>
            <w:vAlign w:val="center"/>
          </w:tcPr>
          <w:p w14:paraId="2114A4F5" w14:textId="77777777" w:rsidR="00807FFE" w:rsidRDefault="00023E71">
            <w:pPr>
              <w:pStyle w:val="DMETW36748BIPPAYAB"/>
              <w:rPr>
                <w:rFonts w:ascii="Verdana" w:eastAsia="Verdana" w:hAnsi="Verdana" w:cs="Verdana"/>
                <w:i/>
                <w:noProof/>
                <w:color w:val="000000"/>
                <w:sz w:val="16"/>
              </w:rPr>
            </w:pPr>
            <w:r>
              <w:rPr>
                <w:rFonts w:ascii="Verdana" w:eastAsia="Verdana" w:hAnsi="Verdana" w:cs="Verdana"/>
                <w:i/>
                <w:noProof/>
                <w:color w:val="000000"/>
                <w:sz w:val="16"/>
              </w:rPr>
              <w:t>ESF</w:t>
            </w:r>
          </w:p>
        </w:tc>
        <w:tc>
          <w:tcPr>
            <w:tcW w:w="1179" w:type="dxa"/>
            <w:tcBorders>
              <w:top w:val="nil"/>
              <w:left w:val="nil"/>
              <w:bottom w:val="nil"/>
              <w:right w:val="nil"/>
              <w:tl2br w:val="nil"/>
              <w:tr2bl w:val="nil"/>
            </w:tcBorders>
            <w:tcMar>
              <w:left w:w="60" w:type="dxa"/>
              <w:right w:w="60" w:type="dxa"/>
            </w:tcMar>
            <w:vAlign w:val="center"/>
          </w:tcPr>
          <w:p w14:paraId="30090CCB"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8 720</w:t>
            </w:r>
          </w:p>
        </w:tc>
        <w:tc>
          <w:tcPr>
            <w:tcW w:w="1179" w:type="dxa"/>
            <w:tcBorders>
              <w:top w:val="nil"/>
              <w:left w:val="nil"/>
              <w:bottom w:val="nil"/>
              <w:right w:val="nil"/>
              <w:tl2br w:val="nil"/>
              <w:tr2bl w:val="nil"/>
            </w:tcBorders>
            <w:tcMar>
              <w:left w:w="60" w:type="dxa"/>
              <w:right w:w="60" w:type="dxa"/>
            </w:tcMar>
            <w:vAlign w:val="center"/>
          </w:tcPr>
          <w:p w14:paraId="663C8DA7"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(557)</w:t>
            </w:r>
          </w:p>
        </w:tc>
        <w:tc>
          <w:tcPr>
            <w:tcW w:w="1278" w:type="dxa"/>
            <w:tcBorders>
              <w:top w:val="nil"/>
              <w:left w:val="nil"/>
              <w:bottom w:val="nil"/>
              <w:right w:val="single" w:sz="4" w:space="0" w:color="016794"/>
              <w:tl2br w:val="nil"/>
              <w:tr2bl w:val="nil"/>
            </w:tcBorders>
            <w:tcMar>
              <w:left w:w="60" w:type="dxa"/>
              <w:right w:w="60" w:type="dxa"/>
            </w:tcMar>
            <w:vAlign w:val="center"/>
          </w:tcPr>
          <w:p w14:paraId="3C132B91"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8 164</w:t>
            </w:r>
          </w:p>
        </w:tc>
        <w:tc>
          <w:tcPr>
            <w:tcW w:w="1179" w:type="dxa"/>
            <w:tcBorders>
              <w:top w:val="nil"/>
              <w:left w:val="single" w:sz="4" w:space="0" w:color="016794"/>
              <w:bottom w:val="nil"/>
              <w:right w:val="nil"/>
              <w:tl2br w:val="nil"/>
              <w:tr2bl w:val="nil"/>
            </w:tcBorders>
            <w:tcMar>
              <w:left w:w="60" w:type="dxa"/>
              <w:right w:w="60" w:type="dxa"/>
            </w:tcMar>
            <w:vAlign w:val="center"/>
          </w:tcPr>
          <w:p w14:paraId="467B22BB"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2 156</w:t>
            </w:r>
          </w:p>
        </w:tc>
        <w:tc>
          <w:tcPr>
            <w:tcW w:w="1179" w:type="dxa"/>
            <w:tcBorders>
              <w:top w:val="nil"/>
              <w:left w:val="nil"/>
              <w:bottom w:val="nil"/>
              <w:right w:val="nil"/>
              <w:tl2br w:val="nil"/>
              <w:tr2bl w:val="nil"/>
            </w:tcBorders>
            <w:tcMar>
              <w:left w:w="60" w:type="dxa"/>
              <w:right w:w="60" w:type="dxa"/>
            </w:tcMar>
            <w:vAlign w:val="center"/>
          </w:tcPr>
          <w:p w14:paraId="7CF03D97"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(447)</w:t>
            </w:r>
          </w:p>
        </w:tc>
        <w:tc>
          <w:tcPr>
            <w:tcW w:w="1278" w:type="dxa"/>
            <w:tcBorders>
              <w:top w:val="nil"/>
              <w:left w:val="nil"/>
              <w:bottom w:val="nil"/>
              <w:right w:val="nil"/>
              <w:tl2br w:val="nil"/>
              <w:tr2bl w:val="nil"/>
            </w:tcBorders>
            <w:tcMar>
              <w:left w:w="60" w:type="dxa"/>
              <w:right w:w="60" w:type="dxa"/>
            </w:tcMar>
            <w:vAlign w:val="center"/>
          </w:tcPr>
          <w:p w14:paraId="2777CC02" w14:textId="77777777" w:rsidR="00807FFE" w:rsidRDefault="00023E71">
            <w:pPr>
              <w:pStyle w:val="DMETW36748BIPPAYAB"/>
              <w:jc w:val="right"/>
              <w:rPr>
                <w:rFonts w:ascii="Verdana" w:eastAsia="Verdana" w:hAnsi="Verdana" w:cs="Verdana"/>
                <w:i/>
                <w:noProof/>
                <w:color w:val="000000"/>
                <w:sz w:val="16"/>
                <w:lang w:bidi="en-GB"/>
              </w:rPr>
            </w:pPr>
            <w:r>
              <w:rPr>
                <w:rFonts w:ascii="Verdana" w:eastAsia="Verdana" w:hAnsi="Verdana" w:cs="Verdana"/>
                <w:i/>
                <w:noProof/>
                <w:color w:val="000000"/>
                <w:sz w:val="16"/>
              </w:rPr>
              <w:t>1 708</w:t>
            </w:r>
          </w:p>
        </w:tc>
      </w:tr>
      <w:tr w:rsidR="00807FFE" w14:paraId="540BD670" w14:textId="77777777">
        <w:trPr>
          <w:trHeight w:val="255"/>
        </w:trPr>
        <w:tc>
          <w:tcPr>
            <w:tcW w:w="2486" w:type="dxa"/>
            <w:tcBorders>
              <w:top w:val="nil"/>
              <w:left w:val="nil"/>
              <w:bottom w:val="nil"/>
              <w:right w:val="nil"/>
              <w:tl2br w:val="nil"/>
              <w:tr2bl w:val="nil"/>
            </w:tcBorders>
            <w:tcMar>
              <w:left w:w="60" w:type="dxa"/>
              <w:right w:w="60" w:type="dxa"/>
            </w:tcMar>
            <w:vAlign w:val="center"/>
          </w:tcPr>
          <w:p w14:paraId="0269E6AF" w14:textId="77777777" w:rsidR="00807FFE" w:rsidRDefault="00023E71">
            <w:pPr>
              <w:pStyle w:val="DMETW36748BIPPAYAB"/>
              <w:rPr>
                <w:rFonts w:ascii="Verdana" w:eastAsia="Verdana" w:hAnsi="Verdana" w:cs="Verdana"/>
                <w:i/>
                <w:noProof/>
                <w:color w:val="000000"/>
                <w:sz w:val="16"/>
              </w:rPr>
            </w:pPr>
            <w:r>
              <w:rPr>
                <w:rFonts w:ascii="Verdana" w:eastAsia="Verdana" w:hAnsi="Verdana" w:cs="Verdana"/>
                <w:i/>
                <w:noProof/>
                <w:color w:val="000000"/>
                <w:sz w:val="16"/>
              </w:rPr>
              <w:t>RRF (NGEU)</w:t>
            </w:r>
          </w:p>
        </w:tc>
        <w:tc>
          <w:tcPr>
            <w:tcW w:w="1179" w:type="dxa"/>
            <w:tcBorders>
              <w:top w:val="nil"/>
              <w:left w:val="nil"/>
              <w:bottom w:val="nil"/>
              <w:right w:val="nil"/>
              <w:tl2br w:val="nil"/>
              <w:tr2bl w:val="nil"/>
            </w:tcBorders>
            <w:tcMar>
              <w:left w:w="60" w:type="dxa"/>
              <w:right w:w="60" w:type="dxa"/>
            </w:tcMar>
            <w:vAlign w:val="center"/>
          </w:tcPr>
          <w:p w14:paraId="33C3750F"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22 707</w:t>
            </w:r>
          </w:p>
        </w:tc>
        <w:tc>
          <w:tcPr>
            <w:tcW w:w="1179" w:type="dxa"/>
            <w:tcBorders>
              <w:top w:val="nil"/>
              <w:left w:val="nil"/>
              <w:bottom w:val="nil"/>
              <w:right w:val="nil"/>
              <w:tl2br w:val="nil"/>
              <w:tr2bl w:val="nil"/>
            </w:tcBorders>
            <w:tcMar>
              <w:left w:w="60" w:type="dxa"/>
              <w:right w:w="60" w:type="dxa"/>
            </w:tcMar>
            <w:vAlign w:val="center"/>
          </w:tcPr>
          <w:p w14:paraId="6C6E7DBE"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(1 646)</w:t>
            </w:r>
          </w:p>
        </w:tc>
        <w:tc>
          <w:tcPr>
            <w:tcW w:w="1278" w:type="dxa"/>
            <w:tcBorders>
              <w:top w:val="nil"/>
              <w:left w:val="nil"/>
              <w:bottom w:val="nil"/>
              <w:right w:val="single" w:sz="4" w:space="0" w:color="016794"/>
              <w:tl2br w:val="nil"/>
              <w:tr2bl w:val="nil"/>
            </w:tcBorders>
            <w:tcMar>
              <w:left w:w="60" w:type="dxa"/>
              <w:right w:w="60" w:type="dxa"/>
            </w:tcMar>
            <w:vAlign w:val="center"/>
          </w:tcPr>
          <w:p w14:paraId="65DAC2D4"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21 061</w:t>
            </w:r>
          </w:p>
        </w:tc>
        <w:tc>
          <w:tcPr>
            <w:tcW w:w="1179" w:type="dxa"/>
            <w:tcBorders>
              <w:top w:val="nil"/>
              <w:left w:val="single" w:sz="4" w:space="0" w:color="016794"/>
              <w:bottom w:val="nil"/>
              <w:right w:val="nil"/>
              <w:tl2br w:val="nil"/>
              <w:tr2bl w:val="nil"/>
            </w:tcBorders>
            <w:tcMar>
              <w:left w:w="60" w:type="dxa"/>
              <w:right w:w="60" w:type="dxa"/>
            </w:tcMar>
            <w:vAlign w:val="center"/>
          </w:tcPr>
          <w:p w14:paraId="147132EF"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28 016</w:t>
            </w:r>
          </w:p>
        </w:tc>
        <w:tc>
          <w:tcPr>
            <w:tcW w:w="1179" w:type="dxa"/>
            <w:tcBorders>
              <w:top w:val="nil"/>
              <w:left w:val="nil"/>
              <w:bottom w:val="nil"/>
              <w:right w:val="nil"/>
              <w:tl2br w:val="nil"/>
              <w:tr2bl w:val="nil"/>
            </w:tcBorders>
            <w:tcMar>
              <w:left w:w="60" w:type="dxa"/>
              <w:right w:w="60" w:type="dxa"/>
            </w:tcMar>
            <w:vAlign w:val="center"/>
          </w:tcPr>
          <w:p w14:paraId="55BBAE39"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(724)</w:t>
            </w:r>
          </w:p>
        </w:tc>
        <w:tc>
          <w:tcPr>
            <w:tcW w:w="1278" w:type="dxa"/>
            <w:tcBorders>
              <w:top w:val="nil"/>
              <w:left w:val="nil"/>
              <w:bottom w:val="nil"/>
              <w:right w:val="nil"/>
              <w:tl2br w:val="nil"/>
              <w:tr2bl w:val="nil"/>
            </w:tcBorders>
            <w:tcMar>
              <w:left w:w="60" w:type="dxa"/>
              <w:right w:w="60" w:type="dxa"/>
            </w:tcMar>
            <w:vAlign w:val="center"/>
          </w:tcPr>
          <w:p w14:paraId="1C17B1C7" w14:textId="77777777" w:rsidR="00807FFE" w:rsidRDefault="00023E71">
            <w:pPr>
              <w:pStyle w:val="DMETW36748BIPPAYAB"/>
              <w:jc w:val="right"/>
              <w:rPr>
                <w:rFonts w:ascii="Verdana" w:eastAsia="Verdana" w:hAnsi="Verdana" w:cs="Verdana"/>
                <w:i/>
                <w:noProof/>
                <w:color w:val="000000"/>
                <w:sz w:val="16"/>
                <w:lang w:bidi="en-GB"/>
              </w:rPr>
            </w:pPr>
            <w:r>
              <w:rPr>
                <w:rFonts w:ascii="Verdana" w:eastAsia="Verdana" w:hAnsi="Verdana" w:cs="Verdana"/>
                <w:i/>
                <w:noProof/>
                <w:color w:val="000000"/>
                <w:sz w:val="16"/>
              </w:rPr>
              <w:t>27 292</w:t>
            </w:r>
          </w:p>
        </w:tc>
      </w:tr>
      <w:tr w:rsidR="00807FFE" w14:paraId="7CDED02C" w14:textId="77777777">
        <w:trPr>
          <w:trHeight w:val="255"/>
        </w:trPr>
        <w:tc>
          <w:tcPr>
            <w:tcW w:w="2486" w:type="dxa"/>
            <w:tcBorders>
              <w:top w:val="nil"/>
              <w:left w:val="nil"/>
              <w:bottom w:val="nil"/>
              <w:right w:val="nil"/>
              <w:tl2br w:val="nil"/>
              <w:tr2bl w:val="nil"/>
            </w:tcBorders>
            <w:tcMar>
              <w:left w:w="60" w:type="dxa"/>
              <w:right w:w="60" w:type="dxa"/>
            </w:tcMar>
            <w:vAlign w:val="center"/>
          </w:tcPr>
          <w:p w14:paraId="652E7AE6" w14:textId="77777777" w:rsidR="00807FFE" w:rsidRDefault="00023E71">
            <w:pPr>
              <w:pStyle w:val="DMETW36748BIPPAYAB"/>
              <w:rPr>
                <w:rFonts w:ascii="Verdana" w:eastAsia="Verdana" w:hAnsi="Verdana" w:cs="Verdana"/>
                <w:i/>
                <w:noProof/>
                <w:color w:val="000000"/>
                <w:sz w:val="16"/>
              </w:rPr>
            </w:pPr>
            <w:r>
              <w:rPr>
                <w:rFonts w:ascii="Verdana" w:eastAsia="Verdana" w:hAnsi="Verdana" w:cs="Verdana"/>
                <w:i/>
                <w:noProof/>
                <w:color w:val="000000"/>
                <w:sz w:val="16"/>
              </w:rPr>
              <w:t>Other</w:t>
            </w:r>
          </w:p>
        </w:tc>
        <w:tc>
          <w:tcPr>
            <w:tcW w:w="1179" w:type="dxa"/>
            <w:tcBorders>
              <w:top w:val="nil"/>
              <w:left w:val="nil"/>
              <w:bottom w:val="nil"/>
              <w:right w:val="nil"/>
              <w:tl2br w:val="nil"/>
              <w:tr2bl w:val="nil"/>
            </w:tcBorders>
            <w:tcMar>
              <w:left w:w="60" w:type="dxa"/>
              <w:right w:w="60" w:type="dxa"/>
            </w:tcMar>
            <w:vAlign w:val="center"/>
          </w:tcPr>
          <w:p w14:paraId="432DBF31"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1 463</w:t>
            </w:r>
          </w:p>
        </w:tc>
        <w:tc>
          <w:tcPr>
            <w:tcW w:w="1179" w:type="dxa"/>
            <w:tcBorders>
              <w:top w:val="nil"/>
              <w:left w:val="nil"/>
              <w:bottom w:val="nil"/>
              <w:right w:val="nil"/>
              <w:tl2br w:val="nil"/>
              <w:tr2bl w:val="nil"/>
            </w:tcBorders>
            <w:tcMar>
              <w:left w:w="60" w:type="dxa"/>
              <w:right w:w="60" w:type="dxa"/>
            </w:tcMar>
            <w:vAlign w:val="center"/>
          </w:tcPr>
          <w:p w14:paraId="4D0C9B62"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(217)</w:t>
            </w:r>
          </w:p>
        </w:tc>
        <w:tc>
          <w:tcPr>
            <w:tcW w:w="1278" w:type="dxa"/>
            <w:tcBorders>
              <w:top w:val="nil"/>
              <w:left w:val="nil"/>
              <w:bottom w:val="nil"/>
              <w:right w:val="single" w:sz="4" w:space="0" w:color="016794"/>
              <w:tl2br w:val="nil"/>
              <w:tr2bl w:val="nil"/>
            </w:tcBorders>
            <w:tcMar>
              <w:left w:w="60" w:type="dxa"/>
              <w:right w:w="60" w:type="dxa"/>
            </w:tcMar>
            <w:vAlign w:val="center"/>
          </w:tcPr>
          <w:p w14:paraId="77B1DD9C"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1 247</w:t>
            </w:r>
          </w:p>
        </w:tc>
        <w:tc>
          <w:tcPr>
            <w:tcW w:w="1179" w:type="dxa"/>
            <w:tcBorders>
              <w:top w:val="nil"/>
              <w:left w:val="single" w:sz="4" w:space="0" w:color="016794"/>
              <w:bottom w:val="nil"/>
              <w:right w:val="nil"/>
              <w:tl2br w:val="nil"/>
              <w:tr2bl w:val="nil"/>
            </w:tcBorders>
            <w:tcMar>
              <w:left w:w="60" w:type="dxa"/>
              <w:right w:w="60" w:type="dxa"/>
            </w:tcMar>
            <w:vAlign w:val="center"/>
          </w:tcPr>
          <w:p w14:paraId="7D8F8FCC"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1 824</w:t>
            </w:r>
          </w:p>
        </w:tc>
        <w:tc>
          <w:tcPr>
            <w:tcW w:w="1179" w:type="dxa"/>
            <w:tcBorders>
              <w:top w:val="nil"/>
              <w:left w:val="nil"/>
              <w:bottom w:val="nil"/>
              <w:right w:val="nil"/>
              <w:tl2br w:val="nil"/>
              <w:tr2bl w:val="nil"/>
            </w:tcBorders>
            <w:tcMar>
              <w:left w:w="60" w:type="dxa"/>
              <w:right w:w="60" w:type="dxa"/>
            </w:tcMar>
            <w:vAlign w:val="center"/>
          </w:tcPr>
          <w:p w14:paraId="078C7522"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(318)</w:t>
            </w:r>
          </w:p>
        </w:tc>
        <w:tc>
          <w:tcPr>
            <w:tcW w:w="1278" w:type="dxa"/>
            <w:tcBorders>
              <w:top w:val="nil"/>
              <w:left w:val="nil"/>
              <w:bottom w:val="nil"/>
              <w:right w:val="nil"/>
              <w:tl2br w:val="nil"/>
              <w:tr2bl w:val="nil"/>
            </w:tcBorders>
            <w:tcMar>
              <w:left w:w="60" w:type="dxa"/>
              <w:right w:w="60" w:type="dxa"/>
            </w:tcMar>
            <w:vAlign w:val="center"/>
          </w:tcPr>
          <w:p w14:paraId="32763BBF" w14:textId="77777777" w:rsidR="00807FFE" w:rsidRDefault="00023E71">
            <w:pPr>
              <w:pStyle w:val="DMETW36748BIPPAYAB"/>
              <w:jc w:val="right"/>
              <w:rPr>
                <w:rFonts w:ascii="Verdana" w:eastAsia="Verdana" w:hAnsi="Verdana" w:cs="Verdana"/>
                <w:i/>
                <w:noProof/>
                <w:color w:val="000000"/>
                <w:sz w:val="16"/>
                <w:lang w:bidi="en-GB"/>
              </w:rPr>
            </w:pPr>
            <w:r>
              <w:rPr>
                <w:rFonts w:ascii="Verdana" w:eastAsia="Verdana" w:hAnsi="Verdana" w:cs="Verdana"/>
                <w:i/>
                <w:noProof/>
                <w:color w:val="000000"/>
                <w:sz w:val="16"/>
              </w:rPr>
              <w:t>1 506</w:t>
            </w:r>
          </w:p>
        </w:tc>
      </w:tr>
      <w:tr w:rsidR="00807FFE" w14:paraId="177E0F9B" w14:textId="77777777">
        <w:trPr>
          <w:trHeight w:val="255"/>
        </w:trPr>
        <w:tc>
          <w:tcPr>
            <w:tcW w:w="2486" w:type="dxa"/>
            <w:tcBorders>
              <w:top w:val="nil"/>
              <w:left w:val="nil"/>
              <w:bottom w:val="single" w:sz="4" w:space="0" w:color="016794"/>
              <w:right w:val="nil"/>
              <w:tl2br w:val="nil"/>
              <w:tr2bl w:val="nil"/>
            </w:tcBorders>
            <w:tcMar>
              <w:left w:w="60" w:type="dxa"/>
              <w:right w:w="60" w:type="dxa"/>
            </w:tcMar>
            <w:vAlign w:val="center"/>
          </w:tcPr>
          <w:p w14:paraId="0AE51442" w14:textId="77777777" w:rsidR="00807FFE" w:rsidRDefault="00023E71">
            <w:pPr>
              <w:pStyle w:val="DMETW36748BIPPAYAB"/>
              <w:rPr>
                <w:rFonts w:ascii="Verdana" w:eastAsia="Verdana" w:hAnsi="Verdana" w:cs="Verdana"/>
                <w:i/>
                <w:noProof/>
                <w:color w:val="016794"/>
                <w:sz w:val="16"/>
              </w:rPr>
            </w:pPr>
            <w:r>
              <w:rPr>
                <w:rFonts w:ascii="Verdana" w:eastAsia="Verdana" w:hAnsi="Verdana" w:cs="Verdana"/>
                <w:i/>
                <w:noProof/>
                <w:color w:val="016794"/>
                <w:sz w:val="16"/>
              </w:rPr>
              <w:t>Private and public entities</w:t>
            </w:r>
          </w:p>
        </w:tc>
        <w:tc>
          <w:tcPr>
            <w:tcW w:w="1179" w:type="dxa"/>
            <w:tcBorders>
              <w:top w:val="nil"/>
              <w:left w:val="nil"/>
              <w:bottom w:val="single" w:sz="4" w:space="0" w:color="016794"/>
              <w:right w:val="nil"/>
              <w:tl2br w:val="nil"/>
              <w:tr2bl w:val="nil"/>
            </w:tcBorders>
            <w:tcMar>
              <w:left w:w="60" w:type="dxa"/>
              <w:right w:w="60" w:type="dxa"/>
            </w:tcMar>
            <w:vAlign w:val="center"/>
          </w:tcPr>
          <w:p w14:paraId="1146ED97"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1 187</w:t>
            </w:r>
          </w:p>
        </w:tc>
        <w:tc>
          <w:tcPr>
            <w:tcW w:w="1179" w:type="dxa"/>
            <w:tcBorders>
              <w:top w:val="nil"/>
              <w:left w:val="nil"/>
              <w:bottom w:val="single" w:sz="4" w:space="0" w:color="016794"/>
              <w:right w:val="nil"/>
              <w:tl2br w:val="nil"/>
              <w:tr2bl w:val="nil"/>
            </w:tcBorders>
            <w:tcMar>
              <w:left w:w="60" w:type="dxa"/>
              <w:right w:w="60" w:type="dxa"/>
            </w:tcMar>
            <w:vAlign w:val="center"/>
          </w:tcPr>
          <w:p w14:paraId="69156383"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(15)</w:t>
            </w:r>
          </w:p>
        </w:tc>
        <w:tc>
          <w:tcPr>
            <w:tcW w:w="1278" w:type="dxa"/>
            <w:tcBorders>
              <w:top w:val="nil"/>
              <w:left w:val="nil"/>
              <w:bottom w:val="single" w:sz="4" w:space="0" w:color="016794"/>
              <w:right w:val="single" w:sz="4" w:space="0" w:color="016794"/>
              <w:tl2br w:val="nil"/>
              <w:tr2bl w:val="nil"/>
            </w:tcBorders>
            <w:tcMar>
              <w:left w:w="60" w:type="dxa"/>
              <w:right w:w="60" w:type="dxa"/>
            </w:tcMar>
            <w:vAlign w:val="center"/>
          </w:tcPr>
          <w:p w14:paraId="7497987D"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1 172</w:t>
            </w:r>
          </w:p>
        </w:tc>
        <w:tc>
          <w:tcPr>
            <w:tcW w:w="1179" w:type="dxa"/>
            <w:tcBorders>
              <w:top w:val="nil"/>
              <w:left w:val="single" w:sz="4" w:space="0" w:color="016794"/>
              <w:bottom w:val="single" w:sz="4" w:space="0" w:color="016794"/>
              <w:right w:val="nil"/>
              <w:tl2br w:val="nil"/>
              <w:tr2bl w:val="nil"/>
            </w:tcBorders>
            <w:tcMar>
              <w:left w:w="60" w:type="dxa"/>
              <w:right w:w="60" w:type="dxa"/>
            </w:tcMar>
            <w:vAlign w:val="center"/>
          </w:tcPr>
          <w:p w14:paraId="76C1F5EF"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1 957</w:t>
            </w:r>
          </w:p>
        </w:tc>
        <w:tc>
          <w:tcPr>
            <w:tcW w:w="1179" w:type="dxa"/>
            <w:tcBorders>
              <w:top w:val="nil"/>
              <w:left w:val="nil"/>
              <w:bottom w:val="single" w:sz="4" w:space="0" w:color="016794"/>
              <w:right w:val="nil"/>
              <w:tl2br w:val="nil"/>
              <w:tr2bl w:val="nil"/>
            </w:tcBorders>
            <w:tcMar>
              <w:left w:w="60" w:type="dxa"/>
              <w:right w:w="60" w:type="dxa"/>
            </w:tcMar>
            <w:vAlign w:val="center"/>
          </w:tcPr>
          <w:p w14:paraId="0A04BBDA" w14:textId="77777777" w:rsidR="00807FFE" w:rsidRDefault="00023E71">
            <w:pPr>
              <w:pStyle w:val="DMETW36748BIPPAYAB"/>
              <w:jc w:val="right"/>
              <w:rPr>
                <w:rFonts w:ascii="Verdana" w:eastAsia="Verdana" w:hAnsi="Verdana" w:cs="Verdana"/>
                <w:i/>
                <w:noProof/>
                <w:color w:val="000000"/>
                <w:sz w:val="16"/>
              </w:rPr>
            </w:pPr>
            <w:r>
              <w:rPr>
                <w:rFonts w:ascii="Verdana" w:eastAsia="Verdana" w:hAnsi="Verdana" w:cs="Verdana"/>
                <w:i/>
                <w:noProof/>
                <w:color w:val="000000"/>
                <w:sz w:val="16"/>
              </w:rPr>
              <w:t xml:space="preserve"> (334)</w:t>
            </w:r>
          </w:p>
        </w:tc>
        <w:tc>
          <w:tcPr>
            <w:tcW w:w="1278" w:type="dxa"/>
            <w:tcBorders>
              <w:top w:val="nil"/>
              <w:left w:val="nil"/>
              <w:bottom w:val="single" w:sz="4" w:space="0" w:color="016794"/>
              <w:right w:val="nil"/>
              <w:tl2br w:val="nil"/>
              <w:tr2bl w:val="nil"/>
            </w:tcBorders>
            <w:tcMar>
              <w:left w:w="60" w:type="dxa"/>
              <w:right w:w="60" w:type="dxa"/>
            </w:tcMar>
            <w:vAlign w:val="center"/>
          </w:tcPr>
          <w:p w14:paraId="72A74E91" w14:textId="77777777" w:rsidR="00807FFE" w:rsidRDefault="00023E71">
            <w:pPr>
              <w:pStyle w:val="DMETW36748BIPPAYAB"/>
              <w:jc w:val="right"/>
              <w:rPr>
                <w:rFonts w:ascii="Verdana" w:eastAsia="Verdana" w:hAnsi="Verdana" w:cs="Verdana"/>
                <w:i/>
                <w:noProof/>
                <w:color w:val="000000"/>
                <w:sz w:val="16"/>
                <w:lang w:bidi="en-GB"/>
              </w:rPr>
            </w:pPr>
            <w:r>
              <w:rPr>
                <w:rFonts w:ascii="Verdana" w:eastAsia="Verdana" w:hAnsi="Verdana" w:cs="Verdana"/>
                <w:i/>
                <w:noProof/>
                <w:color w:val="000000"/>
                <w:sz w:val="16"/>
              </w:rPr>
              <w:t>1 623</w:t>
            </w:r>
          </w:p>
        </w:tc>
      </w:tr>
      <w:tr w:rsidR="00807FFE" w14:paraId="27BE5137" w14:textId="77777777">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14:paraId="5A297BC2" w14:textId="77777777" w:rsidR="00807FFE" w:rsidRDefault="00023E71">
            <w:pPr>
              <w:pStyle w:val="DMETW36748BIPPAYAB"/>
              <w:rPr>
                <w:rFonts w:ascii="Verdana" w:eastAsia="Verdana" w:hAnsi="Verdana" w:cs="Verdana"/>
                <w:b/>
                <w:noProof/>
                <w:color w:val="000000"/>
                <w:sz w:val="16"/>
              </w:rPr>
            </w:pPr>
            <w:r>
              <w:rPr>
                <w:rFonts w:ascii="Verdana" w:eastAsia="Verdana" w:hAnsi="Verdana" w:cs="Verdana"/>
                <w:b/>
                <w:noProof/>
                <w:color w:val="000000"/>
                <w:sz w:val="16"/>
              </w:rPr>
              <w:t>Total cost claims and invoices received</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047DA223"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49 433</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62C1D854"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(4 684)</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14:paraId="4194F086"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44 749</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14:paraId="09DC0EA3"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40 258</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5A2A4167"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(4 082)</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14:paraId="221C037B" w14:textId="77777777" w:rsidR="00807FFE" w:rsidRDefault="00023E71">
            <w:pPr>
              <w:pStyle w:val="DMETW36748BIPPAYAB"/>
              <w:jc w:val="right"/>
              <w:rPr>
                <w:rFonts w:ascii="Verdana" w:eastAsia="Verdana" w:hAnsi="Verdana" w:cs="Verdana"/>
                <w:b/>
                <w:noProof/>
                <w:color w:val="000000"/>
                <w:sz w:val="16"/>
                <w:lang w:bidi="en-GB"/>
              </w:rPr>
            </w:pPr>
            <w:r>
              <w:rPr>
                <w:rFonts w:ascii="Verdana" w:eastAsia="Verdana" w:hAnsi="Verdana" w:cs="Verdana"/>
                <w:b/>
                <w:noProof/>
                <w:color w:val="000000"/>
                <w:sz w:val="16"/>
              </w:rPr>
              <w:t>36 176</w:t>
            </w:r>
          </w:p>
        </w:tc>
      </w:tr>
      <w:tr w:rsidR="00807FFE" w14:paraId="3DEADE34" w14:textId="77777777">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14:paraId="4B3E620D" w14:textId="77777777" w:rsidR="00807FFE" w:rsidRDefault="00023E71">
            <w:pPr>
              <w:pStyle w:val="DMETW36748BIPPAYAB"/>
              <w:rPr>
                <w:rFonts w:ascii="Verdana" w:eastAsia="Verdana" w:hAnsi="Verdana" w:cs="Verdana"/>
                <w:b/>
                <w:noProof/>
                <w:color w:val="000000"/>
                <w:sz w:val="16"/>
              </w:rPr>
            </w:pPr>
            <w:r>
              <w:rPr>
                <w:rFonts w:ascii="Verdana" w:eastAsia="Verdana" w:hAnsi="Verdana" w:cs="Verdana"/>
                <w:b/>
                <w:noProof/>
                <w:color w:val="000000"/>
                <w:sz w:val="16"/>
              </w:rPr>
              <w:t>EAGF</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334479F8"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15 344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6507F27D"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N/A</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14:paraId="7CEE859D"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15 344</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14:paraId="6588E0ED"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15 086</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4F29DEE8"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N/A</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14:paraId="145938F5" w14:textId="77777777" w:rsidR="00807FFE" w:rsidRDefault="00023E71">
            <w:pPr>
              <w:pStyle w:val="DMETW36748BIPPAYAB"/>
              <w:jc w:val="right"/>
              <w:rPr>
                <w:rFonts w:ascii="Verdana" w:eastAsia="Verdana" w:hAnsi="Verdana" w:cs="Verdana"/>
                <w:b/>
                <w:noProof/>
                <w:color w:val="000000"/>
                <w:sz w:val="16"/>
                <w:lang w:bidi="en-GB"/>
              </w:rPr>
            </w:pPr>
            <w:r>
              <w:rPr>
                <w:rFonts w:ascii="Verdana" w:eastAsia="Verdana" w:hAnsi="Verdana" w:cs="Verdana"/>
                <w:b/>
                <w:noProof/>
                <w:color w:val="000000"/>
                <w:sz w:val="16"/>
              </w:rPr>
              <w:t>15 086</w:t>
            </w:r>
          </w:p>
        </w:tc>
      </w:tr>
      <w:tr w:rsidR="00807FFE" w14:paraId="73343FF4" w14:textId="77777777">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14:paraId="765B4A80" w14:textId="77777777" w:rsidR="00807FFE" w:rsidRDefault="00023E71">
            <w:pPr>
              <w:pStyle w:val="DMETW36748BIPPAYAB"/>
              <w:rPr>
                <w:rFonts w:ascii="Verdana" w:eastAsia="Verdana" w:hAnsi="Verdana" w:cs="Verdana"/>
                <w:b/>
                <w:noProof/>
                <w:color w:val="000000"/>
                <w:sz w:val="16"/>
              </w:rPr>
            </w:pPr>
            <w:r>
              <w:rPr>
                <w:rFonts w:ascii="Verdana" w:eastAsia="Verdana" w:hAnsi="Verdana" w:cs="Verdana"/>
                <w:b/>
                <w:noProof/>
                <w:color w:val="000000"/>
                <w:sz w:val="16"/>
              </w:rPr>
              <w:t>Own resources payables</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274619FF"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 xml:space="preserve"> 47</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47600B1A"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N/A</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14:paraId="4A96B884"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 xml:space="preserve"> 47</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14:paraId="13317227"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6AF4FF9B"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N/A</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14:paraId="53FEDB69" w14:textId="77777777" w:rsidR="00807FFE" w:rsidRDefault="00023E71">
            <w:pPr>
              <w:pStyle w:val="DMETW36748BIPPAYAB"/>
              <w:jc w:val="right"/>
              <w:rPr>
                <w:rFonts w:ascii="Verdana" w:eastAsia="Verdana" w:hAnsi="Verdana" w:cs="Verdana"/>
                <w:b/>
                <w:noProof/>
                <w:color w:val="000000"/>
                <w:sz w:val="16"/>
                <w:lang w:bidi="en-GB"/>
              </w:rPr>
            </w:pPr>
            <w:r>
              <w:rPr>
                <w:rFonts w:ascii="Verdana" w:eastAsia="Verdana" w:hAnsi="Verdana" w:cs="Verdana"/>
                <w:b/>
                <w:noProof/>
                <w:color w:val="000000"/>
                <w:sz w:val="16"/>
              </w:rPr>
              <w:t>–</w:t>
            </w:r>
          </w:p>
        </w:tc>
      </w:tr>
      <w:tr w:rsidR="00807FFE" w14:paraId="79734E95" w14:textId="77777777">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14:paraId="36867AAA" w14:textId="77777777" w:rsidR="00807FFE" w:rsidRDefault="00023E71">
            <w:pPr>
              <w:pStyle w:val="DMETW36748BIPPAYAB"/>
              <w:rPr>
                <w:rFonts w:ascii="Verdana" w:eastAsia="Verdana" w:hAnsi="Verdana" w:cs="Verdana"/>
                <w:b/>
                <w:noProof/>
                <w:color w:val="000000"/>
                <w:sz w:val="16"/>
              </w:rPr>
            </w:pPr>
            <w:r>
              <w:rPr>
                <w:rFonts w:ascii="Verdana" w:eastAsia="Verdana" w:hAnsi="Verdana" w:cs="Verdana"/>
                <w:b/>
                <w:noProof/>
                <w:color w:val="000000"/>
                <w:sz w:val="16"/>
              </w:rPr>
              <w:t>Sundry payables</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601C8B85"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4 344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42215D42"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N/A</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14:paraId="1503950E"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4 344</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14:paraId="4579F907"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3 624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14:paraId="73534B32"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N/A</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14:paraId="5D78AC35" w14:textId="77777777" w:rsidR="00807FFE" w:rsidRDefault="00023E71">
            <w:pPr>
              <w:pStyle w:val="DMETW36748BIPPAYAB"/>
              <w:jc w:val="right"/>
              <w:rPr>
                <w:rFonts w:ascii="Verdana" w:eastAsia="Verdana" w:hAnsi="Verdana" w:cs="Verdana"/>
                <w:b/>
                <w:noProof/>
                <w:color w:val="000000"/>
                <w:sz w:val="16"/>
                <w:lang w:bidi="en-GB"/>
              </w:rPr>
            </w:pPr>
            <w:r>
              <w:rPr>
                <w:rFonts w:ascii="Verdana" w:eastAsia="Verdana" w:hAnsi="Verdana" w:cs="Verdana"/>
                <w:b/>
                <w:noProof/>
                <w:color w:val="000000"/>
                <w:sz w:val="16"/>
              </w:rPr>
              <w:t>3 624</w:t>
            </w:r>
          </w:p>
        </w:tc>
      </w:tr>
      <w:tr w:rsidR="00807FFE" w14:paraId="2D51FE9C" w14:textId="77777777">
        <w:trPr>
          <w:trHeight w:val="255"/>
        </w:trPr>
        <w:tc>
          <w:tcPr>
            <w:tcW w:w="2486" w:type="dxa"/>
            <w:tcBorders>
              <w:top w:val="single" w:sz="4" w:space="0" w:color="016794"/>
              <w:left w:val="nil"/>
              <w:bottom w:val="nil"/>
              <w:right w:val="nil"/>
              <w:tl2br w:val="nil"/>
              <w:tr2bl w:val="nil"/>
            </w:tcBorders>
            <w:tcMar>
              <w:left w:w="60" w:type="dxa"/>
              <w:right w:w="60" w:type="dxa"/>
            </w:tcMar>
            <w:vAlign w:val="center"/>
          </w:tcPr>
          <w:p w14:paraId="579AA875" w14:textId="77777777" w:rsidR="00807FFE" w:rsidRDefault="00023E71">
            <w:pPr>
              <w:pStyle w:val="DMETW36748BIPPAYAB"/>
              <w:rPr>
                <w:rFonts w:ascii="Verdana" w:eastAsia="Verdana" w:hAnsi="Verdana" w:cs="Verdana"/>
                <w:b/>
                <w:noProof/>
                <w:color w:val="000000"/>
                <w:sz w:val="16"/>
              </w:rPr>
            </w:pPr>
            <w:r>
              <w:rPr>
                <w:rFonts w:ascii="Verdana" w:eastAsia="Verdana" w:hAnsi="Verdana" w:cs="Verdana"/>
                <w:b/>
                <w:noProof/>
                <w:color w:val="000000"/>
                <w:sz w:val="16"/>
              </w:rPr>
              <w:t>Other</w:t>
            </w:r>
          </w:p>
        </w:tc>
        <w:tc>
          <w:tcPr>
            <w:tcW w:w="1179" w:type="dxa"/>
            <w:tcBorders>
              <w:top w:val="single" w:sz="4" w:space="0" w:color="016794"/>
              <w:left w:val="nil"/>
              <w:bottom w:val="nil"/>
              <w:right w:val="nil"/>
              <w:tl2br w:val="nil"/>
              <w:tr2bl w:val="nil"/>
            </w:tcBorders>
            <w:tcMar>
              <w:left w:w="60" w:type="dxa"/>
              <w:right w:w="60" w:type="dxa"/>
            </w:tcMar>
            <w:vAlign w:val="center"/>
          </w:tcPr>
          <w:p w14:paraId="633D73EF"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 xml:space="preserve"> 553</w:t>
            </w:r>
          </w:p>
        </w:tc>
        <w:tc>
          <w:tcPr>
            <w:tcW w:w="1179" w:type="dxa"/>
            <w:tcBorders>
              <w:top w:val="single" w:sz="4" w:space="0" w:color="016794"/>
              <w:left w:val="nil"/>
              <w:bottom w:val="nil"/>
              <w:right w:val="nil"/>
              <w:tl2br w:val="nil"/>
              <w:tr2bl w:val="nil"/>
            </w:tcBorders>
            <w:tcMar>
              <w:left w:w="60" w:type="dxa"/>
              <w:right w:w="60" w:type="dxa"/>
            </w:tcMar>
            <w:vAlign w:val="center"/>
          </w:tcPr>
          <w:p w14:paraId="47957316"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N/A</w:t>
            </w:r>
          </w:p>
        </w:tc>
        <w:tc>
          <w:tcPr>
            <w:tcW w:w="1278" w:type="dxa"/>
            <w:tcBorders>
              <w:top w:val="single" w:sz="4" w:space="0" w:color="016794"/>
              <w:left w:val="nil"/>
              <w:bottom w:val="nil"/>
              <w:right w:val="single" w:sz="4" w:space="0" w:color="016794"/>
              <w:tl2br w:val="nil"/>
              <w:tr2bl w:val="nil"/>
            </w:tcBorders>
            <w:tcMar>
              <w:left w:w="60" w:type="dxa"/>
              <w:right w:w="60" w:type="dxa"/>
            </w:tcMar>
            <w:vAlign w:val="center"/>
          </w:tcPr>
          <w:p w14:paraId="4B6CF5F9"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 xml:space="preserve"> 553</w:t>
            </w:r>
          </w:p>
        </w:tc>
        <w:tc>
          <w:tcPr>
            <w:tcW w:w="1179" w:type="dxa"/>
            <w:tcBorders>
              <w:top w:val="single" w:sz="4" w:space="0" w:color="016794"/>
              <w:left w:val="single" w:sz="4" w:space="0" w:color="016794"/>
              <w:bottom w:val="nil"/>
              <w:right w:val="nil"/>
              <w:tl2br w:val="nil"/>
              <w:tr2bl w:val="nil"/>
            </w:tcBorders>
            <w:tcMar>
              <w:left w:w="60" w:type="dxa"/>
              <w:right w:w="60" w:type="dxa"/>
            </w:tcMar>
            <w:vAlign w:val="center"/>
          </w:tcPr>
          <w:p w14:paraId="2E252946"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 xml:space="preserve"> 528</w:t>
            </w:r>
          </w:p>
        </w:tc>
        <w:tc>
          <w:tcPr>
            <w:tcW w:w="1179" w:type="dxa"/>
            <w:tcBorders>
              <w:top w:val="single" w:sz="4" w:space="0" w:color="016794"/>
              <w:left w:val="nil"/>
              <w:bottom w:val="nil"/>
              <w:right w:val="nil"/>
              <w:tl2br w:val="nil"/>
              <w:tr2bl w:val="nil"/>
            </w:tcBorders>
            <w:tcMar>
              <w:left w:w="60" w:type="dxa"/>
              <w:right w:w="60" w:type="dxa"/>
            </w:tcMar>
            <w:vAlign w:val="center"/>
          </w:tcPr>
          <w:p w14:paraId="62AD37C5"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N/A</w:t>
            </w:r>
          </w:p>
        </w:tc>
        <w:tc>
          <w:tcPr>
            <w:tcW w:w="1278" w:type="dxa"/>
            <w:tcBorders>
              <w:top w:val="single" w:sz="4" w:space="0" w:color="016794"/>
              <w:left w:val="nil"/>
              <w:bottom w:val="nil"/>
              <w:right w:val="nil"/>
              <w:tl2br w:val="nil"/>
              <w:tr2bl w:val="nil"/>
            </w:tcBorders>
            <w:tcMar>
              <w:left w:w="60" w:type="dxa"/>
              <w:right w:w="60" w:type="dxa"/>
            </w:tcMar>
            <w:vAlign w:val="center"/>
          </w:tcPr>
          <w:p w14:paraId="2A417C80" w14:textId="77777777" w:rsidR="00807FFE" w:rsidRDefault="00023E71">
            <w:pPr>
              <w:pStyle w:val="DMETW36748BIPPAYAB"/>
              <w:jc w:val="right"/>
              <w:rPr>
                <w:rFonts w:ascii="Verdana" w:eastAsia="Verdana" w:hAnsi="Verdana" w:cs="Verdana"/>
                <w:b/>
                <w:noProof/>
                <w:color w:val="000000"/>
                <w:sz w:val="16"/>
                <w:lang w:bidi="en-GB"/>
              </w:rPr>
            </w:pPr>
            <w:r>
              <w:rPr>
                <w:rFonts w:ascii="Verdana" w:eastAsia="Verdana" w:hAnsi="Verdana" w:cs="Verdana"/>
                <w:b/>
                <w:noProof/>
                <w:color w:val="000000"/>
                <w:sz w:val="16"/>
              </w:rPr>
              <w:t xml:space="preserve"> 528</w:t>
            </w:r>
          </w:p>
        </w:tc>
      </w:tr>
      <w:tr w:rsidR="00807FFE" w14:paraId="45D8FCE1" w14:textId="77777777">
        <w:trPr>
          <w:trHeight w:val="255"/>
        </w:trPr>
        <w:tc>
          <w:tcPr>
            <w:tcW w:w="2486" w:type="dxa"/>
            <w:tcBorders>
              <w:top w:val="nil"/>
              <w:left w:val="nil"/>
              <w:bottom w:val="nil"/>
              <w:right w:val="nil"/>
              <w:tl2br w:val="nil"/>
              <w:tr2bl w:val="nil"/>
            </w:tcBorders>
            <w:shd w:val="solid" w:color="CCE1EA" w:fill="FFFFFF"/>
            <w:tcMar>
              <w:left w:w="60" w:type="dxa"/>
              <w:right w:w="60" w:type="dxa"/>
            </w:tcMar>
            <w:vAlign w:val="center"/>
          </w:tcPr>
          <w:p w14:paraId="3DA184C8" w14:textId="77777777" w:rsidR="00807FFE" w:rsidRDefault="00023E71">
            <w:pPr>
              <w:pStyle w:val="DMETW36748BIPPAYAB"/>
              <w:rPr>
                <w:rFonts w:ascii="Verdana" w:eastAsia="Verdana" w:hAnsi="Verdana" w:cs="Verdana"/>
                <w:b/>
                <w:noProof/>
                <w:color w:val="000000"/>
                <w:sz w:val="16"/>
              </w:rPr>
            </w:pPr>
            <w:r>
              <w:rPr>
                <w:rFonts w:ascii="Verdana" w:eastAsia="Verdana" w:hAnsi="Verdana" w:cs="Verdana"/>
                <w:b/>
                <w:noProof/>
                <w:color w:val="000000"/>
                <w:sz w:val="16"/>
              </w:rPr>
              <w:t>Total</w:t>
            </w:r>
          </w:p>
        </w:tc>
        <w:tc>
          <w:tcPr>
            <w:tcW w:w="1179" w:type="dxa"/>
            <w:tcBorders>
              <w:top w:val="nil"/>
              <w:left w:val="nil"/>
              <w:bottom w:val="nil"/>
              <w:right w:val="nil"/>
              <w:tl2br w:val="nil"/>
              <w:tr2bl w:val="nil"/>
            </w:tcBorders>
            <w:shd w:val="solid" w:color="CCE1EA" w:fill="FFFFFF"/>
            <w:tcMar>
              <w:left w:w="60" w:type="dxa"/>
              <w:right w:w="60" w:type="dxa"/>
            </w:tcMar>
            <w:vAlign w:val="center"/>
          </w:tcPr>
          <w:p w14:paraId="786FCBE3"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69 721</w:t>
            </w:r>
          </w:p>
        </w:tc>
        <w:tc>
          <w:tcPr>
            <w:tcW w:w="1179" w:type="dxa"/>
            <w:tcBorders>
              <w:top w:val="nil"/>
              <w:left w:val="nil"/>
              <w:bottom w:val="nil"/>
              <w:right w:val="nil"/>
              <w:tl2br w:val="nil"/>
              <w:tr2bl w:val="nil"/>
            </w:tcBorders>
            <w:shd w:val="solid" w:color="CCE1EA" w:fill="FFFFFF"/>
            <w:tcMar>
              <w:left w:w="60" w:type="dxa"/>
              <w:right w:w="60" w:type="dxa"/>
            </w:tcMar>
            <w:vAlign w:val="center"/>
          </w:tcPr>
          <w:p w14:paraId="73EDBE7F"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(4 684)</w:t>
            </w:r>
          </w:p>
        </w:tc>
        <w:tc>
          <w:tcPr>
            <w:tcW w:w="1278" w:type="dxa"/>
            <w:tcBorders>
              <w:top w:val="nil"/>
              <w:left w:val="nil"/>
              <w:bottom w:val="nil"/>
              <w:right w:val="single" w:sz="4" w:space="0" w:color="016794"/>
              <w:tl2br w:val="nil"/>
              <w:tr2bl w:val="nil"/>
            </w:tcBorders>
            <w:shd w:val="solid" w:color="CCE1EA" w:fill="FFFFFF"/>
            <w:tcMar>
              <w:left w:w="60" w:type="dxa"/>
              <w:right w:w="60" w:type="dxa"/>
            </w:tcMar>
            <w:vAlign w:val="center"/>
          </w:tcPr>
          <w:p w14:paraId="02B1F1DF"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65 037</w:t>
            </w:r>
          </w:p>
        </w:tc>
        <w:tc>
          <w:tcPr>
            <w:tcW w:w="1179" w:type="dxa"/>
            <w:tcBorders>
              <w:top w:val="nil"/>
              <w:left w:val="single" w:sz="4" w:space="0" w:color="016794"/>
              <w:bottom w:val="nil"/>
              <w:right w:val="nil"/>
              <w:tl2br w:val="nil"/>
              <w:tr2bl w:val="nil"/>
            </w:tcBorders>
            <w:shd w:val="solid" w:color="CCE1EA" w:fill="FFFFFF"/>
            <w:tcMar>
              <w:left w:w="60" w:type="dxa"/>
              <w:right w:w="60" w:type="dxa"/>
            </w:tcMar>
            <w:vAlign w:val="center"/>
          </w:tcPr>
          <w:p w14:paraId="7F98A27E"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59 496</w:t>
            </w:r>
          </w:p>
        </w:tc>
        <w:tc>
          <w:tcPr>
            <w:tcW w:w="1179" w:type="dxa"/>
            <w:tcBorders>
              <w:top w:val="nil"/>
              <w:left w:val="nil"/>
              <w:bottom w:val="nil"/>
              <w:right w:val="nil"/>
              <w:tl2br w:val="nil"/>
              <w:tr2bl w:val="nil"/>
            </w:tcBorders>
            <w:shd w:val="solid" w:color="CCE1EA" w:fill="FFFFFF"/>
            <w:tcMar>
              <w:left w:w="60" w:type="dxa"/>
              <w:right w:w="60" w:type="dxa"/>
            </w:tcMar>
            <w:vAlign w:val="center"/>
          </w:tcPr>
          <w:p w14:paraId="1D9EBB9B"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(4 082)</w:t>
            </w:r>
          </w:p>
        </w:tc>
        <w:tc>
          <w:tcPr>
            <w:tcW w:w="1278" w:type="dxa"/>
            <w:tcBorders>
              <w:top w:val="nil"/>
              <w:left w:val="nil"/>
              <w:bottom w:val="nil"/>
              <w:right w:val="nil"/>
              <w:tl2br w:val="nil"/>
              <w:tr2bl w:val="nil"/>
            </w:tcBorders>
            <w:shd w:val="solid" w:color="CCE1EA" w:fill="FFFFFF"/>
            <w:tcMar>
              <w:left w:w="60" w:type="dxa"/>
              <w:right w:w="60" w:type="dxa"/>
            </w:tcMar>
            <w:vAlign w:val="center"/>
          </w:tcPr>
          <w:p w14:paraId="6D8FEF37" w14:textId="77777777" w:rsidR="00807FFE" w:rsidRDefault="00023E71">
            <w:pPr>
              <w:pStyle w:val="DMETW36748BIPPAYAB"/>
              <w:jc w:val="right"/>
              <w:rPr>
                <w:rFonts w:ascii="Verdana" w:eastAsia="Verdana" w:hAnsi="Verdana" w:cs="Verdana"/>
                <w:b/>
                <w:noProof/>
                <w:color w:val="000000"/>
                <w:sz w:val="16"/>
              </w:rPr>
            </w:pPr>
            <w:r>
              <w:rPr>
                <w:rFonts w:ascii="Verdana" w:eastAsia="Verdana" w:hAnsi="Verdana" w:cs="Verdana"/>
                <w:b/>
                <w:noProof/>
                <w:color w:val="000000"/>
                <w:sz w:val="16"/>
              </w:rPr>
              <w:t>55 414</w:t>
            </w:r>
          </w:p>
        </w:tc>
      </w:tr>
    </w:tbl>
    <w:p w14:paraId="306A0CCB" w14:textId="77777777" w:rsidR="005678AA" w:rsidRDefault="00023E71" w:rsidP="005678AA">
      <w:pPr>
        <w:pStyle w:val="DGTextstand-alone"/>
      </w:pPr>
      <w:r>
        <w:t>Payables include invoices and cost claims received but not yet paid at year-end. They are initially recognised at the time of the reception of the invoices or cost claims for the requested amounts. The payables are subsequently adjusted to reflect only the amounts accepted following review of costs, and the amounts estimated to be eligible. The amounts estimated to be non-eligible are included in the column ‘Adjustments’; the largest amounts concern the structural actions.</w:t>
      </w:r>
    </w:p>
    <w:p w14:paraId="6F79A567" w14:textId="77777777" w:rsidR="00C7627F" w:rsidRDefault="00023E71" w:rsidP="00C7627F">
      <w:pPr>
        <w:pStyle w:val="DGTextstand-alone"/>
        <w:spacing w:after="0"/>
      </w:pPr>
      <w:r>
        <w:t>The decrease in RRF payables by EUR 6.2 billion indicates that there were less payment requests received towards the end of the year for which the assessment of milestones and targets was still pending.</w:t>
      </w:r>
    </w:p>
    <w:p w14:paraId="28CB6292" w14:textId="77777777" w:rsidR="00C7627F" w:rsidRDefault="00023E71" w:rsidP="00C7627F">
      <w:pPr>
        <w:pStyle w:val="DGTextstand-alone"/>
        <w:spacing w:after="0"/>
      </w:pPr>
      <w:r>
        <w:t>The increase in EAFRD payables is due to 2025 being the final year of implementation of the previous programming period, with most programmes having reached the 95% ceiling. As a result, reimbursement of the related cost claims is suspended, which is reflected in the higher level of payables.</w:t>
      </w:r>
    </w:p>
    <w:p w14:paraId="1D914226" w14:textId="77777777" w:rsidR="00C7627F" w:rsidRDefault="00023E71" w:rsidP="00C7627F">
      <w:pPr>
        <w:pStyle w:val="DGTextstand-alone"/>
        <w:spacing w:after="0"/>
      </w:pPr>
      <w:r>
        <w:t>The increase in payables in the cohesion area is due to a higher number of cost claims having been received for payment by 31 December compared to the previous year, for which eligibility verification and payment were still pending.</w:t>
      </w:r>
    </w:p>
    <w:p w14:paraId="68A36DBD" w14:textId="77777777" w:rsidR="00965D4E" w:rsidRDefault="00023E71" w:rsidP="00965D4E">
      <w:pPr>
        <w:pStyle w:val="DGTextstand-alone"/>
        <w:spacing w:after="0"/>
      </w:pPr>
      <w:r>
        <w:t>T</w:t>
      </w:r>
      <w:r w:rsidR="00C74D19">
        <w:t xml:space="preserve">he </w:t>
      </w:r>
      <w:r>
        <w:t>CPR (</w:t>
      </w:r>
      <w:r w:rsidR="00C74D19">
        <w:t>Common Provisions Regulation</w:t>
      </w:r>
      <w:r w:rsidR="00A454A0">
        <w:t>s (EU)</w:t>
      </w:r>
      <w:r w:rsidR="00C74D19">
        <w:t xml:space="preserve"> </w:t>
      </w:r>
      <w:r w:rsidR="00A454A0">
        <w:t>1303/</w:t>
      </w:r>
      <w:r w:rsidR="00C74D19">
        <w:t>2013</w:t>
      </w:r>
      <w:r>
        <w:rPr>
          <w:rStyle w:val="FootnoteReference"/>
        </w:rPr>
        <w:footnoteReference w:id="33"/>
      </w:r>
      <w:r w:rsidR="00C74D19">
        <w:t xml:space="preserve"> </w:t>
      </w:r>
      <w:r>
        <w:t>and</w:t>
      </w:r>
      <w:r w:rsidR="00A454A0">
        <w:t xml:space="preserve"> (EU)</w:t>
      </w:r>
      <w:r>
        <w:t xml:space="preserve"> 2021/1060</w:t>
      </w:r>
      <w:r>
        <w:rPr>
          <w:rStyle w:val="FootnoteReference"/>
        </w:rPr>
        <w:footnoteReference w:id="34"/>
      </w:r>
      <w:r w:rsidR="00A454A0">
        <w:t xml:space="preserve"> of the European Parliament and of the Council</w:t>
      </w:r>
      <w:r w:rsidR="00C74D19">
        <w:t xml:space="preserve">) applicable to the Structural Funds (ERDF and ESF), the Cohesion Fund and to the European Maritime and Fisheries Fund (EMFF) foresees that the </w:t>
      </w:r>
      <w:r w:rsidR="00C74D19" w:rsidRPr="008D41AD">
        <w:t xml:space="preserve">EU budget is protected by means of a systematic retention </w:t>
      </w:r>
      <w:r>
        <w:t>on</w:t>
      </w:r>
      <w:r w:rsidR="00C74D19" w:rsidRPr="008D41AD">
        <w:t xml:space="preserve"> the interim payments made. By February following the end of the CPR accounting year (1 July – 30 June), the control cycle is complete, both through management verifications by the managing authorities and audits by the audit authorities. The Commission examines the assurance documents and the accounts provided by the relevant authorities in the Member States. The payment / recovery of the final balance is made only after this assessment is finalised and the accounts are accepted. The amount retained according to this provision at end </w:t>
      </w:r>
      <w:r w:rsidR="00DE11D3">
        <w:t xml:space="preserve">2025 </w:t>
      </w:r>
      <w:r w:rsidRPr="008D41AD">
        <w:t>totalled EUR </w:t>
      </w:r>
      <w:r w:rsidR="00DE11D3">
        <w:t xml:space="preserve">11.2 </w:t>
      </w:r>
      <w:r w:rsidRPr="008D41AD">
        <w:t>billion.</w:t>
      </w:r>
      <w:r w:rsidR="00C74D19" w:rsidRPr="008D41AD">
        <w:t xml:space="preserve"> A part of this amount (EUR</w:t>
      </w:r>
      <w:r>
        <w:t xml:space="preserve"> </w:t>
      </w:r>
      <w:r w:rsidR="00DE11D3">
        <w:t xml:space="preserve">1.3 </w:t>
      </w:r>
      <w:r w:rsidR="00C74D19" w:rsidRPr="008D41AD">
        <w:t>billion) is estimated as being non-eligible on the basis of the information provided by the Member States in their accounts and is also included in the column ‘Adjustments’.</w:t>
      </w:r>
    </w:p>
    <w:p w14:paraId="60B5E5DE" w14:textId="77777777" w:rsidR="00626B04" w:rsidRDefault="00023E71" w:rsidP="00943FC8">
      <w:pPr>
        <w:pStyle w:val="HEADER5"/>
        <w:spacing w:before="240"/>
        <w:rPr>
          <w:noProof/>
        </w:rPr>
      </w:pPr>
      <w:r>
        <w:rPr>
          <w:noProof/>
        </w:rPr>
        <w:t>Own Resources Payables</w:t>
      </w:r>
    </w:p>
    <w:p w14:paraId="3D40594E" w14:textId="77777777" w:rsidR="00453497" w:rsidRDefault="00023E71" w:rsidP="00B25CFC">
      <w:pPr>
        <w:pStyle w:val="DGTextstand-alone"/>
        <w:spacing w:after="0"/>
      </w:pPr>
      <w:r w:rsidRPr="00D866C7">
        <w:t>Own resources payables refer to Member States EU budget contributions to be reimbursed at year-end. Amending budgets are implemented according to Article 10a</w:t>
      </w:r>
      <w:r>
        <w:t xml:space="preserve"> </w:t>
      </w:r>
      <w:r w:rsidRPr="00D866C7">
        <w:t xml:space="preserve">(3) of Regulation </w:t>
      </w:r>
      <w:r w:rsidR="00024DF1">
        <w:t xml:space="preserve">(EU, Euratom) </w:t>
      </w:r>
      <w:r>
        <w:t>N</w:t>
      </w:r>
      <w:r w:rsidRPr="00D866C7">
        <w:t xml:space="preserve">o 609/2014. The </w:t>
      </w:r>
      <w:r>
        <w:t>balance at</w:t>
      </w:r>
      <w:r w:rsidRPr="00D866C7">
        <w:t xml:space="preserve"> 31 December 202</w:t>
      </w:r>
      <w:r>
        <w:t>5</w:t>
      </w:r>
      <w:r w:rsidRPr="00D866C7">
        <w:t xml:space="preserve"> was due to the adoption of the amending budget No </w:t>
      </w:r>
      <w:r>
        <w:t>3</w:t>
      </w:r>
      <w:r w:rsidRPr="00D866C7">
        <w:t>/202</w:t>
      </w:r>
      <w:r>
        <w:t>5</w:t>
      </w:r>
      <w:r w:rsidRPr="00D866C7">
        <w:t xml:space="preserve"> on 2</w:t>
      </w:r>
      <w:r>
        <w:t>6</w:t>
      </w:r>
      <w:r w:rsidRPr="00D866C7">
        <w:t xml:space="preserve"> November 202</w:t>
      </w:r>
      <w:r>
        <w:t>5</w:t>
      </w:r>
      <w:r w:rsidRPr="00D866C7">
        <w:t>. According to this legal provision, the resulting amounts were returned to the Member States on the first working day of January 202</w:t>
      </w:r>
      <w:r>
        <w:t>6</w:t>
      </w:r>
      <w:r w:rsidRPr="00D866C7">
        <w:t>.</w:t>
      </w:r>
    </w:p>
    <w:bookmarkEnd w:id="168"/>
    <w:p w14:paraId="68AECF23" w14:textId="77777777" w:rsidR="009A7841" w:rsidRDefault="009A7841" w:rsidP="00B25CFC">
      <w:pPr>
        <w:pStyle w:val="DGTextstand-alone"/>
        <w:spacing w:after="0"/>
        <w:sectPr w:rsidR="009A7841" w:rsidSect="00594DF5">
          <w:headerReference w:type="default" r:id="rId105"/>
          <w:footerReference w:type="default" r:id="rId106"/>
          <w:type w:val="continuous"/>
          <w:pgSz w:w="11906" w:h="16838"/>
          <w:pgMar w:top="1134" w:right="1134" w:bottom="1134" w:left="1134" w:header="709" w:footer="709" w:gutter="0"/>
          <w:cols w:space="708"/>
          <w:docGrid w:linePitch="360"/>
        </w:sectPr>
      </w:pPr>
    </w:p>
    <w:p w14:paraId="154D6EB3" w14:textId="77777777" w:rsidR="00B231CF" w:rsidRPr="009454BB" w:rsidRDefault="00023E71" w:rsidP="00172034">
      <w:pPr>
        <w:pStyle w:val="HEADER2NOTES"/>
        <w:numPr>
          <w:ilvl w:val="1"/>
          <w:numId w:val="15"/>
        </w:numPr>
        <w:rPr>
          <w:noProof/>
        </w:rPr>
      </w:pPr>
      <w:bookmarkStart w:id="170" w:name="_DMBM_36723"/>
      <w:r w:rsidRPr="009454BB">
        <w:rPr>
          <w:noProof/>
        </w:rPr>
        <w:t>ACCRUED CHARGES AND DEFERRED INCOME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4"/>
        <w:gridCol w:w="2072"/>
        <w:gridCol w:w="2072"/>
      </w:tblGrid>
      <w:tr w:rsidR="00807FFE" w14:paraId="4B3FAFB0" w14:textId="77777777">
        <w:trPr>
          <w:trHeight w:val="255"/>
        </w:trPr>
        <w:tc>
          <w:tcPr>
            <w:tcW w:w="5614" w:type="dxa"/>
            <w:tcBorders>
              <w:top w:val="nil"/>
              <w:left w:val="nil"/>
              <w:bottom w:val="nil"/>
              <w:right w:val="nil"/>
              <w:tl2br w:val="nil"/>
              <w:tr2bl w:val="nil"/>
            </w:tcBorders>
            <w:tcMar>
              <w:left w:w="60" w:type="dxa"/>
              <w:right w:w="60" w:type="dxa"/>
            </w:tcMar>
            <w:vAlign w:val="bottom"/>
          </w:tcPr>
          <w:p w14:paraId="569C7B9A" w14:textId="77777777" w:rsidR="00807FFE" w:rsidRDefault="00807FFE">
            <w:pPr>
              <w:pStyle w:val="DMETW36773BIPACCDEF"/>
              <w:rPr>
                <w:rFonts w:ascii="Arial" w:eastAsia="Arial" w:hAnsi="Arial" w:cs="Arial"/>
                <w:noProof/>
                <w:color w:val="000000"/>
                <w:lang w:bidi="en-GB"/>
              </w:rPr>
            </w:pPr>
            <w:bookmarkStart w:id="171" w:name="DOC_TBL00063_1_1"/>
            <w:bookmarkEnd w:id="171"/>
          </w:p>
        </w:tc>
        <w:tc>
          <w:tcPr>
            <w:tcW w:w="2072" w:type="dxa"/>
            <w:tcBorders>
              <w:top w:val="nil"/>
              <w:left w:val="nil"/>
              <w:bottom w:val="nil"/>
              <w:right w:val="nil"/>
              <w:tl2br w:val="nil"/>
              <w:tr2bl w:val="nil"/>
            </w:tcBorders>
            <w:tcMar>
              <w:left w:w="60" w:type="dxa"/>
              <w:right w:w="60" w:type="dxa"/>
            </w:tcMar>
            <w:vAlign w:val="bottom"/>
          </w:tcPr>
          <w:p w14:paraId="4C3EB416" w14:textId="77777777" w:rsidR="00807FFE" w:rsidRDefault="00807FFE">
            <w:pPr>
              <w:pStyle w:val="DMETW36773BIPACCDEF"/>
              <w:rPr>
                <w:rFonts w:ascii="Arial" w:eastAsia="Arial" w:hAnsi="Arial" w:cs="Arial"/>
                <w:noProof/>
                <w:color w:val="000000"/>
              </w:rPr>
            </w:pPr>
          </w:p>
        </w:tc>
        <w:tc>
          <w:tcPr>
            <w:tcW w:w="2072" w:type="dxa"/>
            <w:tcBorders>
              <w:top w:val="nil"/>
              <w:left w:val="nil"/>
              <w:bottom w:val="nil"/>
              <w:right w:val="nil"/>
              <w:tl2br w:val="nil"/>
              <w:tr2bl w:val="nil"/>
            </w:tcBorders>
            <w:tcMar>
              <w:left w:w="60" w:type="dxa"/>
              <w:right w:w="60" w:type="dxa"/>
            </w:tcMar>
            <w:vAlign w:val="bottom"/>
          </w:tcPr>
          <w:p w14:paraId="1C8F9479" w14:textId="77777777" w:rsidR="00807FFE" w:rsidRDefault="00023E71">
            <w:pPr>
              <w:pStyle w:val="DMETW36773BIPACCDEF"/>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3F617FD" w14:textId="77777777">
        <w:trPr>
          <w:trHeight w:val="255"/>
        </w:trPr>
        <w:tc>
          <w:tcPr>
            <w:tcW w:w="5614" w:type="dxa"/>
            <w:tcBorders>
              <w:top w:val="nil"/>
              <w:left w:val="nil"/>
              <w:bottom w:val="nil"/>
              <w:right w:val="nil"/>
              <w:tl2br w:val="nil"/>
              <w:tr2bl w:val="nil"/>
            </w:tcBorders>
            <w:shd w:val="solid" w:color="016794" w:fill="FFFFFF"/>
            <w:tcMar>
              <w:left w:w="60" w:type="dxa"/>
              <w:right w:w="60" w:type="dxa"/>
            </w:tcMar>
            <w:vAlign w:val="center"/>
          </w:tcPr>
          <w:p w14:paraId="6543C296" w14:textId="77777777" w:rsidR="00807FFE" w:rsidRDefault="00807FFE">
            <w:pPr>
              <w:pStyle w:val="DMETW36773BIPACCDEF"/>
              <w:jc w:val="right"/>
              <w:rPr>
                <w:rFonts w:ascii="Verdana" w:eastAsia="Verdana" w:hAnsi="Verdana" w:cs="Verdana"/>
                <w:noProof/>
                <w:color w:val="FFFFFF"/>
                <w:sz w:val="18"/>
              </w:rPr>
            </w:pPr>
          </w:p>
        </w:tc>
        <w:tc>
          <w:tcPr>
            <w:tcW w:w="2072" w:type="dxa"/>
            <w:tcBorders>
              <w:top w:val="nil"/>
              <w:left w:val="nil"/>
              <w:bottom w:val="nil"/>
              <w:right w:val="nil"/>
              <w:tl2br w:val="nil"/>
              <w:tr2bl w:val="nil"/>
            </w:tcBorders>
            <w:shd w:val="solid" w:color="016794" w:fill="FFFFFF"/>
            <w:tcMar>
              <w:left w:w="60" w:type="dxa"/>
              <w:right w:w="60" w:type="dxa"/>
            </w:tcMar>
            <w:vAlign w:val="center"/>
          </w:tcPr>
          <w:p w14:paraId="738CD18D" w14:textId="77777777" w:rsidR="00807FFE" w:rsidRDefault="00023E71">
            <w:pPr>
              <w:pStyle w:val="DMETW36773BIPACCDEF"/>
              <w:jc w:val="right"/>
              <w:rPr>
                <w:rFonts w:ascii="Verdana" w:eastAsia="Verdana" w:hAnsi="Verdana" w:cs="Verdana"/>
                <w:noProof/>
                <w:color w:val="FFFFFF"/>
              </w:rPr>
            </w:pPr>
            <w:r>
              <w:rPr>
                <w:rFonts w:ascii="Verdana" w:eastAsia="Verdana" w:hAnsi="Verdana" w:cs="Verdana"/>
                <w:noProof/>
                <w:color w:val="FFFFFF"/>
              </w:rPr>
              <w:t>31.12.2025</w:t>
            </w:r>
          </w:p>
        </w:tc>
        <w:tc>
          <w:tcPr>
            <w:tcW w:w="2072" w:type="dxa"/>
            <w:tcBorders>
              <w:top w:val="nil"/>
              <w:left w:val="nil"/>
              <w:bottom w:val="nil"/>
              <w:right w:val="nil"/>
              <w:tl2br w:val="nil"/>
              <w:tr2bl w:val="nil"/>
            </w:tcBorders>
            <w:shd w:val="solid" w:color="016794" w:fill="FFFFFF"/>
            <w:tcMar>
              <w:left w:w="60" w:type="dxa"/>
              <w:right w:w="60" w:type="dxa"/>
            </w:tcMar>
            <w:vAlign w:val="center"/>
          </w:tcPr>
          <w:p w14:paraId="7C4FFEFD" w14:textId="77777777" w:rsidR="00807FFE" w:rsidRDefault="00023E71">
            <w:pPr>
              <w:pStyle w:val="DMETW36773BIPACCDEF"/>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0CAACC4" w14:textId="77777777">
        <w:trPr>
          <w:trHeight w:val="255"/>
        </w:trPr>
        <w:tc>
          <w:tcPr>
            <w:tcW w:w="5614" w:type="dxa"/>
            <w:tcBorders>
              <w:top w:val="nil"/>
              <w:left w:val="nil"/>
              <w:bottom w:val="nil"/>
              <w:right w:val="nil"/>
              <w:tl2br w:val="nil"/>
              <w:tr2bl w:val="nil"/>
            </w:tcBorders>
            <w:tcMar>
              <w:left w:w="60" w:type="dxa"/>
              <w:right w:w="60" w:type="dxa"/>
            </w:tcMar>
            <w:vAlign w:val="center"/>
          </w:tcPr>
          <w:p w14:paraId="330303ED" w14:textId="77777777" w:rsidR="00807FFE" w:rsidRDefault="00023E71">
            <w:pPr>
              <w:pStyle w:val="DMETW36773BIPACCDEF"/>
              <w:rPr>
                <w:rFonts w:ascii="Verdana" w:eastAsia="Verdana" w:hAnsi="Verdana" w:cs="Verdana"/>
                <w:i/>
                <w:noProof/>
                <w:color w:val="000000"/>
                <w:sz w:val="18"/>
              </w:rPr>
            </w:pPr>
            <w:r>
              <w:rPr>
                <w:rFonts w:ascii="Verdana" w:eastAsia="Verdana" w:hAnsi="Verdana" w:cs="Verdana"/>
                <w:i/>
                <w:noProof/>
                <w:color w:val="000000"/>
                <w:sz w:val="18"/>
              </w:rPr>
              <w:t>Accrued charges</w:t>
            </w:r>
          </w:p>
        </w:tc>
        <w:tc>
          <w:tcPr>
            <w:tcW w:w="2072" w:type="dxa"/>
            <w:tcBorders>
              <w:top w:val="nil"/>
              <w:left w:val="nil"/>
              <w:bottom w:val="nil"/>
              <w:right w:val="nil"/>
              <w:tl2br w:val="nil"/>
              <w:tr2bl w:val="nil"/>
            </w:tcBorders>
            <w:tcMar>
              <w:left w:w="60" w:type="dxa"/>
              <w:right w:w="60" w:type="dxa"/>
            </w:tcMar>
            <w:vAlign w:val="bottom"/>
          </w:tcPr>
          <w:p w14:paraId="15BA6BB9" w14:textId="77777777" w:rsidR="00807FFE" w:rsidRDefault="00023E71">
            <w:pPr>
              <w:pStyle w:val="DMETW36773BIPACCDEF"/>
              <w:jc w:val="right"/>
              <w:rPr>
                <w:rFonts w:ascii="Verdana" w:eastAsia="Verdana" w:hAnsi="Verdana" w:cs="Verdana"/>
                <w:i/>
                <w:noProof/>
                <w:color w:val="000000"/>
                <w:sz w:val="18"/>
              </w:rPr>
            </w:pPr>
            <w:r>
              <w:rPr>
                <w:rFonts w:ascii="Verdana" w:eastAsia="Verdana" w:hAnsi="Verdana" w:cs="Verdana"/>
                <w:i/>
                <w:noProof/>
                <w:color w:val="000000"/>
                <w:sz w:val="18"/>
              </w:rPr>
              <w:t>76 785</w:t>
            </w:r>
          </w:p>
        </w:tc>
        <w:tc>
          <w:tcPr>
            <w:tcW w:w="2072" w:type="dxa"/>
            <w:tcBorders>
              <w:top w:val="nil"/>
              <w:left w:val="nil"/>
              <w:bottom w:val="nil"/>
              <w:right w:val="nil"/>
              <w:tl2br w:val="nil"/>
              <w:tr2bl w:val="nil"/>
            </w:tcBorders>
            <w:tcMar>
              <w:left w:w="60" w:type="dxa"/>
              <w:right w:w="60" w:type="dxa"/>
            </w:tcMar>
            <w:vAlign w:val="bottom"/>
          </w:tcPr>
          <w:p w14:paraId="2BC35CC5" w14:textId="77777777" w:rsidR="00807FFE" w:rsidRDefault="00023E71">
            <w:pPr>
              <w:pStyle w:val="DMETW36773BIPACCDEF"/>
              <w:jc w:val="right"/>
              <w:rPr>
                <w:rFonts w:ascii="Verdana" w:eastAsia="Verdana" w:hAnsi="Verdana" w:cs="Verdana"/>
                <w:i/>
                <w:noProof/>
                <w:color w:val="000000"/>
                <w:sz w:val="18"/>
                <w:lang w:bidi="en-GB"/>
              </w:rPr>
            </w:pPr>
            <w:r>
              <w:rPr>
                <w:rFonts w:ascii="Verdana" w:eastAsia="Verdana" w:hAnsi="Verdana" w:cs="Verdana"/>
                <w:i/>
                <w:noProof/>
                <w:color w:val="000000"/>
                <w:sz w:val="18"/>
              </w:rPr>
              <w:t>66 792</w:t>
            </w:r>
          </w:p>
        </w:tc>
      </w:tr>
      <w:tr w:rsidR="00807FFE" w14:paraId="297DCCC5" w14:textId="77777777">
        <w:trPr>
          <w:trHeight w:val="255"/>
        </w:trPr>
        <w:tc>
          <w:tcPr>
            <w:tcW w:w="5614" w:type="dxa"/>
            <w:tcBorders>
              <w:top w:val="nil"/>
              <w:left w:val="nil"/>
              <w:bottom w:val="nil"/>
              <w:right w:val="nil"/>
              <w:tl2br w:val="nil"/>
              <w:tr2bl w:val="nil"/>
            </w:tcBorders>
            <w:tcMar>
              <w:left w:w="60" w:type="dxa"/>
              <w:right w:w="60" w:type="dxa"/>
            </w:tcMar>
            <w:vAlign w:val="center"/>
          </w:tcPr>
          <w:p w14:paraId="7A527B58" w14:textId="77777777" w:rsidR="00807FFE" w:rsidRDefault="00023E71">
            <w:pPr>
              <w:pStyle w:val="DMETW36773BIPACCDEF"/>
              <w:rPr>
                <w:rFonts w:ascii="Verdana" w:eastAsia="Verdana" w:hAnsi="Verdana" w:cs="Verdana"/>
                <w:i/>
                <w:noProof/>
                <w:color w:val="000000"/>
                <w:sz w:val="18"/>
              </w:rPr>
            </w:pPr>
            <w:r>
              <w:rPr>
                <w:rFonts w:ascii="Verdana" w:eastAsia="Verdana" w:hAnsi="Verdana" w:cs="Verdana"/>
                <w:i/>
                <w:noProof/>
                <w:color w:val="000000"/>
                <w:sz w:val="18"/>
              </w:rPr>
              <w:t>Deferred income</w:t>
            </w:r>
          </w:p>
        </w:tc>
        <w:tc>
          <w:tcPr>
            <w:tcW w:w="2072" w:type="dxa"/>
            <w:tcBorders>
              <w:top w:val="nil"/>
              <w:left w:val="nil"/>
              <w:bottom w:val="nil"/>
              <w:right w:val="nil"/>
              <w:tl2br w:val="nil"/>
              <w:tr2bl w:val="nil"/>
            </w:tcBorders>
            <w:tcMar>
              <w:left w:w="60" w:type="dxa"/>
              <w:right w:w="60" w:type="dxa"/>
            </w:tcMar>
            <w:vAlign w:val="bottom"/>
          </w:tcPr>
          <w:p w14:paraId="4952DC40" w14:textId="77777777" w:rsidR="00807FFE" w:rsidRDefault="00023E71">
            <w:pPr>
              <w:pStyle w:val="DMETW36773BIPACCDEF"/>
              <w:jc w:val="right"/>
              <w:rPr>
                <w:rFonts w:ascii="Verdana" w:eastAsia="Verdana" w:hAnsi="Verdana" w:cs="Verdana"/>
                <w:i/>
                <w:noProof/>
                <w:color w:val="000000"/>
                <w:sz w:val="18"/>
              </w:rPr>
            </w:pPr>
            <w:r>
              <w:rPr>
                <w:rFonts w:ascii="Verdana" w:eastAsia="Verdana" w:hAnsi="Verdana" w:cs="Verdana"/>
                <w:i/>
                <w:noProof/>
                <w:color w:val="000000"/>
                <w:sz w:val="18"/>
              </w:rPr>
              <w:t xml:space="preserve"> 197</w:t>
            </w:r>
          </w:p>
        </w:tc>
        <w:tc>
          <w:tcPr>
            <w:tcW w:w="2072" w:type="dxa"/>
            <w:tcBorders>
              <w:top w:val="nil"/>
              <w:left w:val="nil"/>
              <w:bottom w:val="nil"/>
              <w:right w:val="nil"/>
              <w:tl2br w:val="nil"/>
              <w:tr2bl w:val="nil"/>
            </w:tcBorders>
            <w:tcMar>
              <w:left w:w="60" w:type="dxa"/>
              <w:right w:w="60" w:type="dxa"/>
            </w:tcMar>
            <w:vAlign w:val="bottom"/>
          </w:tcPr>
          <w:p w14:paraId="0AD85D3E" w14:textId="77777777" w:rsidR="00807FFE" w:rsidRDefault="00023E71">
            <w:pPr>
              <w:pStyle w:val="DMETW36773BIPACCDE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159</w:t>
            </w:r>
          </w:p>
        </w:tc>
      </w:tr>
      <w:tr w:rsidR="00807FFE" w14:paraId="79758D1B" w14:textId="77777777">
        <w:trPr>
          <w:trHeight w:val="255"/>
        </w:trPr>
        <w:tc>
          <w:tcPr>
            <w:tcW w:w="5614" w:type="dxa"/>
            <w:tcBorders>
              <w:top w:val="nil"/>
              <w:left w:val="nil"/>
              <w:bottom w:val="nil"/>
              <w:right w:val="nil"/>
              <w:tl2br w:val="nil"/>
              <w:tr2bl w:val="nil"/>
            </w:tcBorders>
            <w:tcMar>
              <w:left w:w="60" w:type="dxa"/>
              <w:right w:w="60" w:type="dxa"/>
            </w:tcMar>
            <w:vAlign w:val="center"/>
          </w:tcPr>
          <w:p w14:paraId="5A2572B6" w14:textId="77777777" w:rsidR="00807FFE" w:rsidRDefault="00023E71">
            <w:pPr>
              <w:pStyle w:val="DMETW36773BIPACCDEF"/>
              <w:rPr>
                <w:rFonts w:ascii="Verdana" w:eastAsia="Verdana" w:hAnsi="Verdana" w:cs="Verdana"/>
                <w:i/>
                <w:noProof/>
                <w:color w:val="000000"/>
                <w:sz w:val="18"/>
              </w:rPr>
            </w:pPr>
            <w:r>
              <w:rPr>
                <w:rFonts w:ascii="Verdana" w:eastAsia="Verdana" w:hAnsi="Verdana" w:cs="Verdana"/>
                <w:i/>
                <w:noProof/>
                <w:color w:val="000000"/>
                <w:sz w:val="18"/>
              </w:rPr>
              <w:t>Other</w:t>
            </w:r>
          </w:p>
        </w:tc>
        <w:tc>
          <w:tcPr>
            <w:tcW w:w="2072" w:type="dxa"/>
            <w:tcBorders>
              <w:top w:val="nil"/>
              <w:left w:val="nil"/>
              <w:bottom w:val="nil"/>
              <w:right w:val="nil"/>
              <w:tl2br w:val="nil"/>
              <w:tr2bl w:val="nil"/>
            </w:tcBorders>
            <w:tcMar>
              <w:left w:w="60" w:type="dxa"/>
              <w:right w:w="60" w:type="dxa"/>
            </w:tcMar>
            <w:vAlign w:val="bottom"/>
          </w:tcPr>
          <w:p w14:paraId="69AEA574" w14:textId="77777777" w:rsidR="00807FFE" w:rsidRDefault="00023E71">
            <w:pPr>
              <w:pStyle w:val="DMETW36773BIPACCDEF"/>
              <w:jc w:val="right"/>
              <w:rPr>
                <w:rFonts w:ascii="Verdana" w:eastAsia="Verdana" w:hAnsi="Verdana" w:cs="Verdana"/>
                <w:i/>
                <w:noProof/>
                <w:color w:val="000000"/>
                <w:sz w:val="18"/>
              </w:rPr>
            </w:pPr>
            <w:r>
              <w:rPr>
                <w:rFonts w:ascii="Verdana" w:eastAsia="Verdana" w:hAnsi="Verdana" w:cs="Verdana"/>
                <w:i/>
                <w:noProof/>
                <w:color w:val="000000"/>
                <w:sz w:val="18"/>
              </w:rPr>
              <w:t xml:space="preserve"> 66</w:t>
            </w:r>
          </w:p>
        </w:tc>
        <w:tc>
          <w:tcPr>
            <w:tcW w:w="2072" w:type="dxa"/>
            <w:tcBorders>
              <w:top w:val="nil"/>
              <w:left w:val="nil"/>
              <w:bottom w:val="nil"/>
              <w:right w:val="nil"/>
              <w:tl2br w:val="nil"/>
              <w:tr2bl w:val="nil"/>
            </w:tcBorders>
            <w:tcMar>
              <w:left w:w="60" w:type="dxa"/>
              <w:right w:w="60" w:type="dxa"/>
            </w:tcMar>
            <w:vAlign w:val="bottom"/>
          </w:tcPr>
          <w:p w14:paraId="6C0E3E36" w14:textId="77777777" w:rsidR="00807FFE" w:rsidRDefault="00023E71">
            <w:pPr>
              <w:pStyle w:val="DMETW36773BIPACCDE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140</w:t>
            </w:r>
          </w:p>
        </w:tc>
      </w:tr>
      <w:tr w:rsidR="00807FFE" w14:paraId="174473C0" w14:textId="77777777">
        <w:trPr>
          <w:trHeight w:val="255"/>
        </w:trPr>
        <w:tc>
          <w:tcPr>
            <w:tcW w:w="5614" w:type="dxa"/>
            <w:tcBorders>
              <w:top w:val="nil"/>
              <w:left w:val="nil"/>
              <w:bottom w:val="nil"/>
              <w:right w:val="nil"/>
              <w:tl2br w:val="nil"/>
              <w:tr2bl w:val="nil"/>
            </w:tcBorders>
            <w:shd w:val="solid" w:color="CCE1EA" w:fill="FFFFFF"/>
            <w:tcMar>
              <w:left w:w="60" w:type="dxa"/>
              <w:right w:w="60" w:type="dxa"/>
            </w:tcMar>
            <w:vAlign w:val="center"/>
          </w:tcPr>
          <w:p w14:paraId="2DB34FCD" w14:textId="77777777" w:rsidR="00807FFE" w:rsidRDefault="00023E71">
            <w:pPr>
              <w:pStyle w:val="DMETW36773BIPACCDEF"/>
              <w:rPr>
                <w:rFonts w:ascii="Verdana" w:eastAsia="Verdana" w:hAnsi="Verdana" w:cs="Verdana"/>
                <w:b/>
                <w:noProof/>
                <w:color w:val="000000"/>
                <w:sz w:val="18"/>
              </w:rPr>
            </w:pPr>
            <w:r>
              <w:rPr>
                <w:rFonts w:ascii="Verdana" w:eastAsia="Verdana" w:hAnsi="Verdana" w:cs="Verdana"/>
                <w:b/>
                <w:noProof/>
                <w:color w:val="000000"/>
                <w:sz w:val="18"/>
              </w:rPr>
              <w:t>Total</w:t>
            </w:r>
          </w:p>
        </w:tc>
        <w:tc>
          <w:tcPr>
            <w:tcW w:w="2072" w:type="dxa"/>
            <w:tcBorders>
              <w:top w:val="nil"/>
              <w:left w:val="nil"/>
              <w:bottom w:val="nil"/>
              <w:right w:val="nil"/>
              <w:tl2br w:val="nil"/>
              <w:tr2bl w:val="nil"/>
            </w:tcBorders>
            <w:shd w:val="solid" w:color="CCE1EA" w:fill="FFFFFF"/>
            <w:tcMar>
              <w:left w:w="60" w:type="dxa"/>
              <w:right w:w="60" w:type="dxa"/>
            </w:tcMar>
            <w:vAlign w:val="bottom"/>
          </w:tcPr>
          <w:p w14:paraId="53094336" w14:textId="77777777" w:rsidR="00807FFE" w:rsidRDefault="00023E71">
            <w:pPr>
              <w:pStyle w:val="DMETW36773BIPACCDEF"/>
              <w:jc w:val="right"/>
              <w:rPr>
                <w:rFonts w:ascii="Verdana" w:eastAsia="Verdana" w:hAnsi="Verdana" w:cs="Verdana"/>
                <w:b/>
                <w:noProof/>
                <w:color w:val="000000"/>
                <w:sz w:val="18"/>
              </w:rPr>
            </w:pPr>
            <w:r>
              <w:rPr>
                <w:rFonts w:ascii="Verdana" w:eastAsia="Verdana" w:hAnsi="Verdana" w:cs="Verdana"/>
                <w:b/>
                <w:noProof/>
                <w:color w:val="000000"/>
                <w:sz w:val="18"/>
              </w:rPr>
              <w:t>77 048</w:t>
            </w:r>
          </w:p>
        </w:tc>
        <w:tc>
          <w:tcPr>
            <w:tcW w:w="2072" w:type="dxa"/>
            <w:tcBorders>
              <w:top w:val="nil"/>
              <w:left w:val="nil"/>
              <w:bottom w:val="nil"/>
              <w:right w:val="nil"/>
              <w:tl2br w:val="nil"/>
              <w:tr2bl w:val="nil"/>
            </w:tcBorders>
            <w:shd w:val="solid" w:color="CCE1EA" w:fill="FFFFFF"/>
            <w:tcMar>
              <w:left w:w="60" w:type="dxa"/>
              <w:right w:w="60" w:type="dxa"/>
            </w:tcMar>
            <w:vAlign w:val="bottom"/>
          </w:tcPr>
          <w:p w14:paraId="2564635B" w14:textId="77777777" w:rsidR="00807FFE" w:rsidRDefault="00023E71">
            <w:pPr>
              <w:pStyle w:val="DMETW36773BIPACCDEF"/>
              <w:jc w:val="right"/>
              <w:rPr>
                <w:rFonts w:ascii="Verdana" w:eastAsia="Verdana" w:hAnsi="Verdana" w:cs="Verdana"/>
                <w:b/>
                <w:noProof/>
                <w:color w:val="000000"/>
                <w:sz w:val="18"/>
              </w:rPr>
            </w:pPr>
            <w:r>
              <w:rPr>
                <w:rFonts w:ascii="Verdana" w:eastAsia="Verdana" w:hAnsi="Verdana" w:cs="Verdana"/>
                <w:b/>
                <w:noProof/>
                <w:color w:val="000000"/>
                <w:sz w:val="18"/>
              </w:rPr>
              <w:t>67 091</w:t>
            </w:r>
          </w:p>
        </w:tc>
      </w:tr>
    </w:tbl>
    <w:p w14:paraId="3819507C" w14:textId="77777777" w:rsidR="00C9276D" w:rsidRPr="00C9276D" w:rsidRDefault="00023E71" w:rsidP="00D712A0">
      <w:pPr>
        <w:pStyle w:val="DGTextstand-alone"/>
      </w:pPr>
      <w:r w:rsidRPr="00C9276D">
        <w:t>The split of accrued charges is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6"/>
        <w:gridCol w:w="1741"/>
        <w:gridCol w:w="1741"/>
      </w:tblGrid>
      <w:tr w:rsidR="00807FFE" w14:paraId="485FA31F" w14:textId="77777777">
        <w:trPr>
          <w:trHeight w:hRule="exact" w:val="255"/>
        </w:trPr>
        <w:tc>
          <w:tcPr>
            <w:tcW w:w="6276" w:type="dxa"/>
            <w:tcBorders>
              <w:top w:val="nil"/>
              <w:left w:val="nil"/>
              <w:bottom w:val="nil"/>
              <w:right w:val="nil"/>
              <w:tl2br w:val="nil"/>
              <w:tr2bl w:val="nil"/>
            </w:tcBorders>
            <w:tcMar>
              <w:left w:w="60" w:type="dxa"/>
              <w:right w:w="60" w:type="dxa"/>
            </w:tcMar>
            <w:vAlign w:val="bottom"/>
          </w:tcPr>
          <w:p w14:paraId="3E3186AE" w14:textId="77777777" w:rsidR="00807FFE" w:rsidRDefault="00807FFE">
            <w:pPr>
              <w:pStyle w:val="DMETW36773BIPACDISPLIT"/>
              <w:rPr>
                <w:rFonts w:ascii="Arial" w:eastAsia="Arial" w:hAnsi="Arial" w:cs="Arial"/>
                <w:noProof/>
                <w:color w:val="000000"/>
                <w:lang w:bidi="en-GB"/>
              </w:rPr>
            </w:pPr>
            <w:bookmarkStart w:id="172" w:name="DOC_TBL00064_1_1"/>
            <w:bookmarkEnd w:id="172"/>
          </w:p>
        </w:tc>
        <w:tc>
          <w:tcPr>
            <w:tcW w:w="1741" w:type="dxa"/>
            <w:tcBorders>
              <w:top w:val="nil"/>
              <w:left w:val="nil"/>
              <w:bottom w:val="nil"/>
              <w:right w:val="nil"/>
              <w:tl2br w:val="nil"/>
              <w:tr2bl w:val="nil"/>
            </w:tcBorders>
            <w:tcMar>
              <w:left w:w="60" w:type="dxa"/>
              <w:right w:w="60" w:type="dxa"/>
            </w:tcMar>
            <w:vAlign w:val="bottom"/>
          </w:tcPr>
          <w:p w14:paraId="0D088EB1" w14:textId="77777777" w:rsidR="00807FFE" w:rsidRDefault="00807FFE">
            <w:pPr>
              <w:pStyle w:val="DMETW36773BIPACDISPLIT"/>
              <w:rPr>
                <w:rFonts w:ascii="Arial" w:eastAsia="Arial" w:hAnsi="Arial" w:cs="Arial"/>
                <w:noProof/>
                <w:color w:val="000000"/>
              </w:rPr>
            </w:pPr>
          </w:p>
        </w:tc>
        <w:tc>
          <w:tcPr>
            <w:tcW w:w="1741" w:type="dxa"/>
            <w:tcBorders>
              <w:top w:val="nil"/>
              <w:left w:val="nil"/>
              <w:bottom w:val="nil"/>
              <w:right w:val="nil"/>
              <w:tl2br w:val="nil"/>
              <w:tr2bl w:val="nil"/>
            </w:tcBorders>
            <w:tcMar>
              <w:left w:w="60" w:type="dxa"/>
              <w:right w:w="60" w:type="dxa"/>
            </w:tcMar>
            <w:vAlign w:val="bottom"/>
          </w:tcPr>
          <w:p w14:paraId="1C56C8BC" w14:textId="77777777" w:rsidR="00807FFE" w:rsidRDefault="00023E71">
            <w:pPr>
              <w:pStyle w:val="DMETW36773BIPACDISPLIT"/>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505E309" w14:textId="77777777">
        <w:trPr>
          <w:trHeight w:hRule="exact" w:val="255"/>
        </w:trPr>
        <w:tc>
          <w:tcPr>
            <w:tcW w:w="6276" w:type="dxa"/>
            <w:tcBorders>
              <w:top w:val="nil"/>
              <w:left w:val="nil"/>
              <w:bottom w:val="nil"/>
              <w:right w:val="nil"/>
              <w:tl2br w:val="nil"/>
              <w:tr2bl w:val="nil"/>
            </w:tcBorders>
            <w:shd w:val="solid" w:color="016794" w:fill="FFFFFF"/>
            <w:tcMar>
              <w:left w:w="60" w:type="dxa"/>
              <w:right w:w="60" w:type="dxa"/>
            </w:tcMar>
            <w:vAlign w:val="center"/>
          </w:tcPr>
          <w:p w14:paraId="1801B966" w14:textId="77777777" w:rsidR="00807FFE" w:rsidRDefault="00807FFE">
            <w:pPr>
              <w:pStyle w:val="DMETW36773BIPACDISPLIT"/>
              <w:jc w:val="right"/>
              <w:rPr>
                <w:rFonts w:ascii="Verdana" w:eastAsia="Verdana" w:hAnsi="Verdana" w:cs="Verdana"/>
                <w:noProof/>
                <w:color w:val="FFFFFF"/>
                <w:sz w:val="18"/>
              </w:rPr>
            </w:pPr>
          </w:p>
        </w:tc>
        <w:tc>
          <w:tcPr>
            <w:tcW w:w="1741" w:type="dxa"/>
            <w:tcBorders>
              <w:top w:val="nil"/>
              <w:left w:val="nil"/>
              <w:bottom w:val="nil"/>
              <w:right w:val="nil"/>
              <w:tl2br w:val="nil"/>
              <w:tr2bl w:val="nil"/>
            </w:tcBorders>
            <w:shd w:val="solid" w:color="016794" w:fill="FFFFFF"/>
            <w:tcMar>
              <w:left w:w="60" w:type="dxa"/>
              <w:right w:w="60" w:type="dxa"/>
            </w:tcMar>
            <w:vAlign w:val="center"/>
          </w:tcPr>
          <w:p w14:paraId="15324F6E" w14:textId="77777777" w:rsidR="00807FFE" w:rsidRDefault="00023E71">
            <w:pPr>
              <w:pStyle w:val="DMETW36773BIPACDISPLIT"/>
              <w:jc w:val="right"/>
              <w:rPr>
                <w:rFonts w:ascii="Verdana" w:eastAsia="Verdana" w:hAnsi="Verdana" w:cs="Verdana"/>
                <w:noProof/>
                <w:color w:val="FFFFFF"/>
              </w:rPr>
            </w:pPr>
            <w:r>
              <w:rPr>
                <w:rFonts w:ascii="Verdana" w:eastAsia="Verdana" w:hAnsi="Verdana" w:cs="Verdana"/>
                <w:noProof/>
                <w:color w:val="FFFFFF"/>
              </w:rPr>
              <w:t>31.12.2025</w:t>
            </w:r>
          </w:p>
        </w:tc>
        <w:tc>
          <w:tcPr>
            <w:tcW w:w="1741" w:type="dxa"/>
            <w:tcBorders>
              <w:top w:val="nil"/>
              <w:left w:val="nil"/>
              <w:bottom w:val="nil"/>
              <w:right w:val="nil"/>
              <w:tl2br w:val="nil"/>
              <w:tr2bl w:val="nil"/>
            </w:tcBorders>
            <w:shd w:val="solid" w:color="016794" w:fill="FFFFFF"/>
            <w:tcMar>
              <w:left w:w="60" w:type="dxa"/>
              <w:right w:w="60" w:type="dxa"/>
            </w:tcMar>
            <w:vAlign w:val="center"/>
          </w:tcPr>
          <w:p w14:paraId="461DEC7A" w14:textId="77777777" w:rsidR="00807FFE" w:rsidRDefault="00023E71">
            <w:pPr>
              <w:pStyle w:val="DMETW36773BIPACDISPLIT"/>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76F7DC27" w14:textId="77777777">
        <w:trPr>
          <w:trHeight w:hRule="exact" w:val="255"/>
        </w:trPr>
        <w:tc>
          <w:tcPr>
            <w:tcW w:w="6276" w:type="dxa"/>
            <w:tcBorders>
              <w:top w:val="nil"/>
              <w:left w:val="nil"/>
              <w:bottom w:val="nil"/>
              <w:right w:val="nil"/>
              <w:tl2br w:val="nil"/>
              <w:tr2bl w:val="nil"/>
            </w:tcBorders>
            <w:tcMar>
              <w:left w:w="60" w:type="dxa"/>
              <w:right w:w="60" w:type="dxa"/>
            </w:tcMar>
            <w:vAlign w:val="center"/>
          </w:tcPr>
          <w:p w14:paraId="4DE37429" w14:textId="77777777" w:rsidR="00807FFE" w:rsidRDefault="00023E71">
            <w:pPr>
              <w:pStyle w:val="DMETW36773BIPACDISPLIT"/>
              <w:rPr>
                <w:rFonts w:ascii="Verdana" w:eastAsia="Verdana" w:hAnsi="Verdana" w:cs="Verdana"/>
                <w:i/>
                <w:noProof/>
                <w:color w:val="000000"/>
                <w:sz w:val="18"/>
              </w:rPr>
            </w:pPr>
            <w:r>
              <w:rPr>
                <w:rFonts w:ascii="Verdana" w:eastAsia="Verdana" w:hAnsi="Verdana" w:cs="Verdana"/>
                <w:i/>
                <w:noProof/>
                <w:color w:val="000000"/>
                <w:sz w:val="18"/>
              </w:rPr>
              <w:t>RRF (NGEU)</w:t>
            </w:r>
          </w:p>
        </w:tc>
        <w:tc>
          <w:tcPr>
            <w:tcW w:w="1741" w:type="dxa"/>
            <w:tcBorders>
              <w:top w:val="nil"/>
              <w:left w:val="nil"/>
              <w:bottom w:val="nil"/>
              <w:right w:val="nil"/>
              <w:tl2br w:val="nil"/>
              <w:tr2bl w:val="nil"/>
            </w:tcBorders>
            <w:tcMar>
              <w:left w:w="60" w:type="dxa"/>
              <w:right w:w="60" w:type="dxa"/>
            </w:tcMar>
            <w:vAlign w:val="bottom"/>
          </w:tcPr>
          <w:p w14:paraId="29EC22F6" w14:textId="77777777" w:rsidR="00807FFE" w:rsidRDefault="00023E71">
            <w:pPr>
              <w:pStyle w:val="DMETW36773BIPACDISPLIT"/>
              <w:jc w:val="right"/>
              <w:rPr>
                <w:rFonts w:ascii="Verdana" w:eastAsia="Verdana" w:hAnsi="Verdana" w:cs="Verdana"/>
                <w:i/>
                <w:noProof/>
                <w:color w:val="000000"/>
                <w:sz w:val="18"/>
              </w:rPr>
            </w:pPr>
            <w:r>
              <w:rPr>
                <w:rFonts w:ascii="Verdana" w:eastAsia="Verdana" w:hAnsi="Verdana" w:cs="Verdana"/>
                <w:i/>
                <w:noProof/>
                <w:color w:val="000000"/>
                <w:sz w:val="18"/>
              </w:rPr>
              <w:t>12 688</w:t>
            </w:r>
          </w:p>
        </w:tc>
        <w:tc>
          <w:tcPr>
            <w:tcW w:w="1741" w:type="dxa"/>
            <w:tcBorders>
              <w:top w:val="nil"/>
              <w:left w:val="nil"/>
              <w:bottom w:val="nil"/>
              <w:right w:val="nil"/>
              <w:tl2br w:val="nil"/>
              <w:tr2bl w:val="nil"/>
            </w:tcBorders>
            <w:tcMar>
              <w:left w:w="60" w:type="dxa"/>
              <w:right w:w="60" w:type="dxa"/>
            </w:tcMar>
            <w:vAlign w:val="bottom"/>
          </w:tcPr>
          <w:p w14:paraId="6305F794" w14:textId="77777777" w:rsidR="00807FFE" w:rsidRDefault="00023E71">
            <w:pPr>
              <w:pStyle w:val="DMETW36773BIPACDISPLIT"/>
              <w:jc w:val="right"/>
              <w:rPr>
                <w:rFonts w:ascii="Verdana" w:eastAsia="Verdana" w:hAnsi="Verdana" w:cs="Verdana"/>
                <w:i/>
                <w:noProof/>
                <w:color w:val="000000"/>
                <w:sz w:val="18"/>
                <w:lang w:bidi="en-GB"/>
              </w:rPr>
            </w:pPr>
            <w:r>
              <w:rPr>
                <w:rFonts w:ascii="Verdana" w:eastAsia="Verdana" w:hAnsi="Verdana" w:cs="Verdana"/>
                <w:i/>
                <w:noProof/>
                <w:color w:val="000000"/>
                <w:sz w:val="18"/>
              </w:rPr>
              <w:t>4 371</w:t>
            </w:r>
          </w:p>
        </w:tc>
      </w:tr>
      <w:tr w:rsidR="00807FFE" w14:paraId="5B4BD6F5" w14:textId="77777777">
        <w:trPr>
          <w:trHeight w:hRule="exact" w:val="255"/>
        </w:trPr>
        <w:tc>
          <w:tcPr>
            <w:tcW w:w="6276" w:type="dxa"/>
            <w:tcBorders>
              <w:top w:val="nil"/>
              <w:left w:val="nil"/>
              <w:bottom w:val="nil"/>
              <w:right w:val="nil"/>
              <w:tl2br w:val="nil"/>
              <w:tr2bl w:val="nil"/>
            </w:tcBorders>
            <w:tcMar>
              <w:left w:w="60" w:type="dxa"/>
              <w:right w:w="60" w:type="dxa"/>
            </w:tcMar>
            <w:vAlign w:val="center"/>
          </w:tcPr>
          <w:p w14:paraId="1DC5B9E2" w14:textId="77777777" w:rsidR="00807FFE" w:rsidRDefault="00023E71">
            <w:pPr>
              <w:pStyle w:val="DMETW36773BIPACDISPLIT"/>
              <w:rPr>
                <w:rFonts w:ascii="Verdana" w:eastAsia="Verdana" w:hAnsi="Verdana" w:cs="Verdana"/>
                <w:i/>
                <w:noProof/>
                <w:color w:val="000000"/>
                <w:sz w:val="18"/>
              </w:rPr>
            </w:pPr>
            <w:r>
              <w:rPr>
                <w:rFonts w:ascii="Verdana" w:eastAsia="Verdana" w:hAnsi="Verdana" w:cs="Verdana"/>
                <w:i/>
                <w:noProof/>
                <w:color w:val="000000"/>
                <w:sz w:val="18"/>
              </w:rPr>
              <w:t>EAGF</w:t>
            </w:r>
          </w:p>
        </w:tc>
        <w:tc>
          <w:tcPr>
            <w:tcW w:w="1741" w:type="dxa"/>
            <w:tcBorders>
              <w:top w:val="nil"/>
              <w:left w:val="nil"/>
              <w:bottom w:val="nil"/>
              <w:right w:val="nil"/>
              <w:tl2br w:val="nil"/>
              <w:tr2bl w:val="nil"/>
            </w:tcBorders>
            <w:tcMar>
              <w:left w:w="60" w:type="dxa"/>
              <w:right w:w="60" w:type="dxa"/>
            </w:tcMar>
            <w:vAlign w:val="bottom"/>
          </w:tcPr>
          <w:p w14:paraId="4578D45D" w14:textId="77777777" w:rsidR="00807FFE" w:rsidRDefault="00023E71">
            <w:pPr>
              <w:pStyle w:val="DMETW36773BIPACDISPLIT"/>
              <w:jc w:val="right"/>
              <w:rPr>
                <w:rFonts w:ascii="Verdana" w:eastAsia="Verdana" w:hAnsi="Verdana" w:cs="Verdana"/>
                <w:i/>
                <w:noProof/>
                <w:color w:val="000000"/>
                <w:sz w:val="18"/>
              </w:rPr>
            </w:pPr>
            <w:r>
              <w:rPr>
                <w:rFonts w:ascii="Verdana" w:eastAsia="Verdana" w:hAnsi="Verdana" w:cs="Verdana"/>
                <w:i/>
                <w:noProof/>
                <w:color w:val="000000"/>
                <w:sz w:val="18"/>
              </w:rPr>
              <w:t>25 337</w:t>
            </w:r>
          </w:p>
        </w:tc>
        <w:tc>
          <w:tcPr>
            <w:tcW w:w="1741" w:type="dxa"/>
            <w:tcBorders>
              <w:top w:val="nil"/>
              <w:left w:val="nil"/>
              <w:bottom w:val="nil"/>
              <w:right w:val="nil"/>
              <w:tl2br w:val="nil"/>
              <w:tr2bl w:val="nil"/>
            </w:tcBorders>
            <w:tcMar>
              <w:left w:w="60" w:type="dxa"/>
              <w:right w:w="60" w:type="dxa"/>
            </w:tcMar>
            <w:vAlign w:val="bottom"/>
          </w:tcPr>
          <w:p w14:paraId="4777D5A4" w14:textId="77777777" w:rsidR="00807FFE" w:rsidRDefault="00023E71">
            <w:pPr>
              <w:pStyle w:val="DMETW36773BIPACDISPLIT"/>
              <w:jc w:val="right"/>
              <w:rPr>
                <w:rFonts w:ascii="Verdana" w:eastAsia="Verdana" w:hAnsi="Verdana" w:cs="Verdana"/>
                <w:i/>
                <w:noProof/>
                <w:color w:val="000000"/>
                <w:sz w:val="18"/>
                <w:lang w:bidi="en-GB"/>
              </w:rPr>
            </w:pPr>
            <w:r>
              <w:rPr>
                <w:rFonts w:ascii="Verdana" w:eastAsia="Verdana" w:hAnsi="Verdana" w:cs="Verdana"/>
                <w:i/>
                <w:noProof/>
                <w:color w:val="000000"/>
                <w:sz w:val="18"/>
              </w:rPr>
              <w:t>25 586</w:t>
            </w:r>
          </w:p>
        </w:tc>
      </w:tr>
      <w:tr w:rsidR="00807FFE" w14:paraId="27C4C91F" w14:textId="77777777">
        <w:trPr>
          <w:trHeight w:hRule="exact" w:val="255"/>
        </w:trPr>
        <w:tc>
          <w:tcPr>
            <w:tcW w:w="6276" w:type="dxa"/>
            <w:tcBorders>
              <w:top w:val="nil"/>
              <w:left w:val="nil"/>
              <w:bottom w:val="nil"/>
              <w:right w:val="nil"/>
              <w:tl2br w:val="nil"/>
              <w:tr2bl w:val="nil"/>
            </w:tcBorders>
            <w:tcMar>
              <w:left w:w="60" w:type="dxa"/>
              <w:right w:w="60" w:type="dxa"/>
            </w:tcMar>
            <w:vAlign w:val="center"/>
          </w:tcPr>
          <w:p w14:paraId="078261CE" w14:textId="77777777" w:rsidR="00807FFE" w:rsidRDefault="00023E71">
            <w:pPr>
              <w:pStyle w:val="DMETW36773BIPACDISPLIT"/>
              <w:rPr>
                <w:rFonts w:ascii="Verdana" w:eastAsia="Verdana" w:hAnsi="Verdana" w:cs="Verdana"/>
                <w:i/>
                <w:noProof/>
                <w:color w:val="000000"/>
                <w:sz w:val="18"/>
              </w:rPr>
            </w:pPr>
            <w:r>
              <w:rPr>
                <w:rFonts w:ascii="Verdana" w:eastAsia="Verdana" w:hAnsi="Verdana" w:cs="Verdana"/>
                <w:i/>
                <w:noProof/>
                <w:color w:val="000000"/>
                <w:sz w:val="18"/>
              </w:rPr>
              <w:t>EAFRD and other rural development instruments</w:t>
            </w:r>
          </w:p>
        </w:tc>
        <w:tc>
          <w:tcPr>
            <w:tcW w:w="1741" w:type="dxa"/>
            <w:tcBorders>
              <w:top w:val="nil"/>
              <w:left w:val="nil"/>
              <w:bottom w:val="nil"/>
              <w:right w:val="nil"/>
              <w:tl2br w:val="nil"/>
              <w:tr2bl w:val="nil"/>
            </w:tcBorders>
            <w:tcMar>
              <w:left w:w="60" w:type="dxa"/>
              <w:right w:w="60" w:type="dxa"/>
            </w:tcMar>
            <w:vAlign w:val="bottom"/>
          </w:tcPr>
          <w:p w14:paraId="2FEEC56C" w14:textId="77777777" w:rsidR="00807FFE" w:rsidRDefault="00023E71">
            <w:pPr>
              <w:pStyle w:val="DMETW36773BIPACDISPLIT"/>
              <w:jc w:val="right"/>
              <w:rPr>
                <w:rFonts w:ascii="Verdana" w:eastAsia="Verdana" w:hAnsi="Verdana" w:cs="Verdana"/>
                <w:i/>
                <w:noProof/>
                <w:color w:val="000000"/>
                <w:sz w:val="18"/>
              </w:rPr>
            </w:pPr>
            <w:r>
              <w:rPr>
                <w:rFonts w:ascii="Verdana" w:eastAsia="Verdana" w:hAnsi="Verdana" w:cs="Verdana"/>
                <w:i/>
                <w:noProof/>
                <w:color w:val="000000"/>
                <w:sz w:val="18"/>
              </w:rPr>
              <w:t>15 786</w:t>
            </w:r>
          </w:p>
        </w:tc>
        <w:tc>
          <w:tcPr>
            <w:tcW w:w="1741" w:type="dxa"/>
            <w:tcBorders>
              <w:top w:val="nil"/>
              <w:left w:val="nil"/>
              <w:bottom w:val="nil"/>
              <w:right w:val="nil"/>
              <w:tl2br w:val="nil"/>
              <w:tr2bl w:val="nil"/>
            </w:tcBorders>
            <w:tcMar>
              <w:left w:w="60" w:type="dxa"/>
              <w:right w:w="60" w:type="dxa"/>
            </w:tcMar>
            <w:vAlign w:val="bottom"/>
          </w:tcPr>
          <w:p w14:paraId="761892CD" w14:textId="77777777" w:rsidR="00807FFE" w:rsidRDefault="00023E71">
            <w:pPr>
              <w:pStyle w:val="DMETW36773BIPACDISPLIT"/>
              <w:jc w:val="right"/>
              <w:rPr>
                <w:rFonts w:ascii="Verdana" w:eastAsia="Verdana" w:hAnsi="Verdana" w:cs="Verdana"/>
                <w:i/>
                <w:noProof/>
                <w:color w:val="000000"/>
                <w:sz w:val="18"/>
                <w:lang w:bidi="en-GB"/>
              </w:rPr>
            </w:pPr>
            <w:r>
              <w:rPr>
                <w:rFonts w:ascii="Verdana" w:eastAsia="Verdana" w:hAnsi="Verdana" w:cs="Verdana"/>
                <w:i/>
                <w:noProof/>
                <w:color w:val="000000"/>
                <w:sz w:val="18"/>
              </w:rPr>
              <w:t>17 374</w:t>
            </w:r>
          </w:p>
        </w:tc>
      </w:tr>
      <w:tr w:rsidR="00807FFE" w14:paraId="63BF82F2" w14:textId="77777777">
        <w:trPr>
          <w:trHeight w:hRule="exact" w:val="255"/>
        </w:trPr>
        <w:tc>
          <w:tcPr>
            <w:tcW w:w="6276" w:type="dxa"/>
            <w:tcBorders>
              <w:top w:val="nil"/>
              <w:left w:val="nil"/>
              <w:bottom w:val="nil"/>
              <w:right w:val="nil"/>
              <w:tl2br w:val="nil"/>
              <w:tr2bl w:val="nil"/>
            </w:tcBorders>
            <w:tcMar>
              <w:left w:w="60" w:type="dxa"/>
              <w:right w:w="60" w:type="dxa"/>
            </w:tcMar>
            <w:vAlign w:val="center"/>
          </w:tcPr>
          <w:p w14:paraId="43646D79" w14:textId="77777777" w:rsidR="00807FFE" w:rsidRDefault="00023E71">
            <w:pPr>
              <w:pStyle w:val="DMETW36773BIPACDISPLIT"/>
              <w:rPr>
                <w:rFonts w:ascii="Verdana" w:eastAsia="Verdana" w:hAnsi="Verdana" w:cs="Verdana"/>
                <w:i/>
                <w:noProof/>
                <w:color w:val="000000"/>
                <w:sz w:val="18"/>
              </w:rPr>
            </w:pPr>
            <w:r>
              <w:rPr>
                <w:rFonts w:ascii="Verdana" w:eastAsia="Verdana" w:hAnsi="Verdana" w:cs="Verdana"/>
                <w:i/>
                <w:noProof/>
                <w:color w:val="000000"/>
                <w:sz w:val="18"/>
              </w:rPr>
              <w:t>ERDF and CF</w:t>
            </w:r>
          </w:p>
        </w:tc>
        <w:tc>
          <w:tcPr>
            <w:tcW w:w="1741" w:type="dxa"/>
            <w:tcBorders>
              <w:top w:val="nil"/>
              <w:left w:val="nil"/>
              <w:bottom w:val="nil"/>
              <w:right w:val="nil"/>
              <w:tl2br w:val="nil"/>
              <w:tr2bl w:val="nil"/>
            </w:tcBorders>
            <w:tcMar>
              <w:left w:w="60" w:type="dxa"/>
              <w:right w:w="60" w:type="dxa"/>
            </w:tcMar>
            <w:vAlign w:val="bottom"/>
          </w:tcPr>
          <w:p w14:paraId="7EC8922C" w14:textId="77777777" w:rsidR="00807FFE" w:rsidRDefault="00023E71">
            <w:pPr>
              <w:pStyle w:val="DMETW36773BIPACDISPLIT"/>
              <w:jc w:val="right"/>
              <w:rPr>
                <w:rFonts w:ascii="Verdana" w:eastAsia="Verdana" w:hAnsi="Verdana" w:cs="Verdana"/>
                <w:i/>
                <w:noProof/>
                <w:color w:val="000000"/>
                <w:sz w:val="18"/>
              </w:rPr>
            </w:pPr>
            <w:r>
              <w:rPr>
                <w:rFonts w:ascii="Verdana" w:eastAsia="Verdana" w:hAnsi="Verdana" w:cs="Verdana"/>
                <w:i/>
                <w:noProof/>
                <w:color w:val="000000"/>
                <w:sz w:val="18"/>
              </w:rPr>
              <w:t>3 670</w:t>
            </w:r>
          </w:p>
        </w:tc>
        <w:tc>
          <w:tcPr>
            <w:tcW w:w="1741" w:type="dxa"/>
            <w:tcBorders>
              <w:top w:val="nil"/>
              <w:left w:val="nil"/>
              <w:bottom w:val="nil"/>
              <w:right w:val="nil"/>
              <w:tl2br w:val="nil"/>
              <w:tr2bl w:val="nil"/>
            </w:tcBorders>
            <w:tcMar>
              <w:left w:w="60" w:type="dxa"/>
              <w:right w:w="60" w:type="dxa"/>
            </w:tcMar>
            <w:vAlign w:val="bottom"/>
          </w:tcPr>
          <w:p w14:paraId="6F9C8C4E" w14:textId="77777777" w:rsidR="00807FFE" w:rsidRDefault="00023E71">
            <w:pPr>
              <w:pStyle w:val="DMETW36773BIPACDISPLIT"/>
              <w:jc w:val="right"/>
              <w:rPr>
                <w:rFonts w:ascii="Verdana" w:eastAsia="Verdana" w:hAnsi="Verdana" w:cs="Verdana"/>
                <w:i/>
                <w:noProof/>
                <w:color w:val="000000"/>
                <w:sz w:val="18"/>
                <w:lang w:bidi="en-GB"/>
              </w:rPr>
            </w:pPr>
            <w:r>
              <w:rPr>
                <w:rFonts w:ascii="Verdana" w:eastAsia="Verdana" w:hAnsi="Verdana" w:cs="Verdana"/>
                <w:i/>
                <w:noProof/>
                <w:color w:val="000000"/>
                <w:sz w:val="18"/>
              </w:rPr>
              <w:t>3 101</w:t>
            </w:r>
          </w:p>
        </w:tc>
      </w:tr>
      <w:tr w:rsidR="00807FFE" w14:paraId="1A623269" w14:textId="77777777">
        <w:trPr>
          <w:trHeight w:hRule="exact" w:val="255"/>
        </w:trPr>
        <w:tc>
          <w:tcPr>
            <w:tcW w:w="6276" w:type="dxa"/>
            <w:tcBorders>
              <w:top w:val="nil"/>
              <w:left w:val="nil"/>
              <w:bottom w:val="nil"/>
              <w:right w:val="nil"/>
              <w:tl2br w:val="nil"/>
              <w:tr2bl w:val="nil"/>
            </w:tcBorders>
            <w:tcMar>
              <w:left w:w="60" w:type="dxa"/>
              <w:right w:w="60" w:type="dxa"/>
            </w:tcMar>
            <w:vAlign w:val="center"/>
          </w:tcPr>
          <w:p w14:paraId="450F6C6F" w14:textId="77777777" w:rsidR="00807FFE" w:rsidRDefault="00023E71">
            <w:pPr>
              <w:pStyle w:val="DMETW36773BIPACDISPLIT"/>
              <w:rPr>
                <w:rFonts w:ascii="Verdana" w:eastAsia="Verdana" w:hAnsi="Verdana" w:cs="Verdana"/>
                <w:i/>
                <w:noProof/>
                <w:color w:val="000000"/>
                <w:sz w:val="18"/>
              </w:rPr>
            </w:pPr>
            <w:r>
              <w:rPr>
                <w:rFonts w:ascii="Verdana" w:eastAsia="Verdana" w:hAnsi="Verdana" w:cs="Verdana"/>
                <w:i/>
                <w:noProof/>
                <w:color w:val="000000"/>
                <w:sz w:val="18"/>
              </w:rPr>
              <w:t>ESF</w:t>
            </w:r>
          </w:p>
        </w:tc>
        <w:tc>
          <w:tcPr>
            <w:tcW w:w="1741" w:type="dxa"/>
            <w:tcBorders>
              <w:top w:val="nil"/>
              <w:left w:val="nil"/>
              <w:bottom w:val="nil"/>
              <w:right w:val="nil"/>
              <w:tl2br w:val="nil"/>
              <w:tr2bl w:val="nil"/>
            </w:tcBorders>
            <w:tcMar>
              <w:left w:w="60" w:type="dxa"/>
              <w:right w:w="60" w:type="dxa"/>
            </w:tcMar>
            <w:vAlign w:val="bottom"/>
          </w:tcPr>
          <w:p w14:paraId="7BBFB516" w14:textId="77777777" w:rsidR="00807FFE" w:rsidRDefault="00023E71">
            <w:pPr>
              <w:pStyle w:val="DMETW36773BIPACDISPLIT"/>
              <w:jc w:val="right"/>
              <w:rPr>
                <w:rFonts w:ascii="Verdana" w:eastAsia="Verdana" w:hAnsi="Verdana" w:cs="Verdana"/>
                <w:i/>
                <w:noProof/>
                <w:color w:val="000000"/>
                <w:sz w:val="18"/>
              </w:rPr>
            </w:pPr>
            <w:r>
              <w:rPr>
                <w:rFonts w:ascii="Verdana" w:eastAsia="Verdana" w:hAnsi="Verdana" w:cs="Verdana"/>
                <w:i/>
                <w:noProof/>
                <w:color w:val="000000"/>
                <w:sz w:val="18"/>
              </w:rPr>
              <w:t>2 929</w:t>
            </w:r>
          </w:p>
        </w:tc>
        <w:tc>
          <w:tcPr>
            <w:tcW w:w="1741" w:type="dxa"/>
            <w:tcBorders>
              <w:top w:val="nil"/>
              <w:left w:val="nil"/>
              <w:bottom w:val="nil"/>
              <w:right w:val="nil"/>
              <w:tl2br w:val="nil"/>
              <w:tr2bl w:val="nil"/>
            </w:tcBorders>
            <w:tcMar>
              <w:left w:w="60" w:type="dxa"/>
              <w:right w:w="60" w:type="dxa"/>
            </w:tcMar>
            <w:vAlign w:val="bottom"/>
          </w:tcPr>
          <w:p w14:paraId="04931A3C" w14:textId="77777777" w:rsidR="00807FFE" w:rsidRDefault="00023E71">
            <w:pPr>
              <w:pStyle w:val="DMETW36773BIPACDISPLIT"/>
              <w:jc w:val="right"/>
              <w:rPr>
                <w:rFonts w:ascii="Verdana" w:eastAsia="Verdana" w:hAnsi="Verdana" w:cs="Verdana"/>
                <w:i/>
                <w:noProof/>
                <w:color w:val="000000"/>
                <w:sz w:val="18"/>
                <w:lang w:bidi="en-GB"/>
              </w:rPr>
            </w:pPr>
            <w:r>
              <w:rPr>
                <w:rFonts w:ascii="Verdana" w:eastAsia="Verdana" w:hAnsi="Verdana" w:cs="Verdana"/>
                <w:i/>
                <w:noProof/>
                <w:color w:val="000000"/>
                <w:sz w:val="18"/>
              </w:rPr>
              <w:t>2 318</w:t>
            </w:r>
          </w:p>
        </w:tc>
      </w:tr>
      <w:tr w:rsidR="00807FFE" w14:paraId="7D4E3561" w14:textId="77777777">
        <w:trPr>
          <w:trHeight w:hRule="exact" w:val="255"/>
        </w:trPr>
        <w:tc>
          <w:tcPr>
            <w:tcW w:w="6276" w:type="dxa"/>
            <w:tcBorders>
              <w:top w:val="nil"/>
              <w:left w:val="nil"/>
              <w:bottom w:val="single" w:sz="4" w:space="0" w:color="016794"/>
              <w:right w:val="nil"/>
              <w:tl2br w:val="nil"/>
              <w:tr2bl w:val="nil"/>
            </w:tcBorders>
            <w:tcMar>
              <w:left w:w="60" w:type="dxa"/>
              <w:right w:w="60" w:type="dxa"/>
            </w:tcMar>
            <w:vAlign w:val="center"/>
          </w:tcPr>
          <w:p w14:paraId="4434ABFA" w14:textId="77777777" w:rsidR="00807FFE" w:rsidRDefault="00023E71">
            <w:pPr>
              <w:pStyle w:val="DMETW36773BIPACDISPLIT"/>
              <w:rPr>
                <w:rFonts w:ascii="Verdana" w:eastAsia="Verdana" w:hAnsi="Verdana" w:cs="Verdana"/>
                <w:i/>
                <w:noProof/>
                <w:color w:val="000000"/>
                <w:sz w:val="18"/>
              </w:rPr>
            </w:pPr>
            <w:r>
              <w:rPr>
                <w:rFonts w:ascii="Verdana" w:eastAsia="Verdana" w:hAnsi="Verdana" w:cs="Verdana"/>
                <w:i/>
                <w:noProof/>
                <w:color w:val="000000"/>
                <w:sz w:val="18"/>
              </w:rPr>
              <w:t>Other</w:t>
            </w:r>
          </w:p>
        </w:tc>
        <w:tc>
          <w:tcPr>
            <w:tcW w:w="1741" w:type="dxa"/>
            <w:tcBorders>
              <w:top w:val="nil"/>
              <w:left w:val="nil"/>
              <w:bottom w:val="single" w:sz="4" w:space="0" w:color="016794"/>
              <w:right w:val="nil"/>
              <w:tl2br w:val="nil"/>
              <w:tr2bl w:val="nil"/>
            </w:tcBorders>
            <w:tcMar>
              <w:left w:w="60" w:type="dxa"/>
              <w:right w:w="60" w:type="dxa"/>
            </w:tcMar>
            <w:vAlign w:val="bottom"/>
          </w:tcPr>
          <w:p w14:paraId="33B67AC0" w14:textId="77777777" w:rsidR="00807FFE" w:rsidRDefault="00023E71">
            <w:pPr>
              <w:pStyle w:val="DMETW36773BIPACDISPLIT"/>
              <w:jc w:val="right"/>
              <w:rPr>
                <w:rFonts w:ascii="Verdana" w:eastAsia="Verdana" w:hAnsi="Verdana" w:cs="Verdana"/>
                <w:i/>
                <w:noProof/>
                <w:color w:val="000000"/>
                <w:sz w:val="18"/>
              </w:rPr>
            </w:pPr>
            <w:r>
              <w:rPr>
                <w:rFonts w:ascii="Verdana" w:eastAsia="Verdana" w:hAnsi="Verdana" w:cs="Verdana"/>
                <w:i/>
                <w:noProof/>
                <w:color w:val="000000"/>
                <w:sz w:val="18"/>
              </w:rPr>
              <w:t>16 376</w:t>
            </w:r>
          </w:p>
        </w:tc>
        <w:tc>
          <w:tcPr>
            <w:tcW w:w="1741" w:type="dxa"/>
            <w:tcBorders>
              <w:top w:val="nil"/>
              <w:left w:val="nil"/>
              <w:bottom w:val="single" w:sz="4" w:space="0" w:color="016794"/>
              <w:right w:val="nil"/>
              <w:tl2br w:val="nil"/>
              <w:tr2bl w:val="nil"/>
            </w:tcBorders>
            <w:tcMar>
              <w:left w:w="60" w:type="dxa"/>
              <w:right w:w="60" w:type="dxa"/>
            </w:tcMar>
            <w:vAlign w:val="bottom"/>
          </w:tcPr>
          <w:p w14:paraId="7A8FE4EC" w14:textId="77777777" w:rsidR="00807FFE" w:rsidRDefault="00023E71">
            <w:pPr>
              <w:pStyle w:val="DMETW36773BIPACDISPLIT"/>
              <w:jc w:val="right"/>
              <w:rPr>
                <w:rFonts w:ascii="Verdana" w:eastAsia="Verdana" w:hAnsi="Verdana" w:cs="Verdana"/>
                <w:i/>
                <w:noProof/>
                <w:color w:val="000000"/>
                <w:sz w:val="18"/>
                <w:lang w:bidi="en-GB"/>
              </w:rPr>
            </w:pPr>
            <w:r>
              <w:rPr>
                <w:rFonts w:ascii="Verdana" w:eastAsia="Verdana" w:hAnsi="Verdana" w:cs="Verdana"/>
                <w:i/>
                <w:noProof/>
                <w:color w:val="000000"/>
                <w:sz w:val="18"/>
              </w:rPr>
              <w:t>14 042</w:t>
            </w:r>
          </w:p>
        </w:tc>
      </w:tr>
      <w:tr w:rsidR="00807FFE" w14:paraId="3BBC10B4" w14:textId="77777777">
        <w:trPr>
          <w:trHeight w:hRule="exact" w:val="255"/>
        </w:trPr>
        <w:tc>
          <w:tcPr>
            <w:tcW w:w="6276" w:type="dxa"/>
            <w:tcBorders>
              <w:top w:val="single" w:sz="4" w:space="0" w:color="016794"/>
              <w:left w:val="nil"/>
              <w:bottom w:val="single" w:sz="4" w:space="0" w:color="016794"/>
              <w:right w:val="nil"/>
              <w:tl2br w:val="nil"/>
              <w:tr2bl w:val="nil"/>
            </w:tcBorders>
            <w:tcMar>
              <w:left w:w="60" w:type="dxa"/>
              <w:right w:w="60" w:type="dxa"/>
            </w:tcMar>
            <w:vAlign w:val="center"/>
          </w:tcPr>
          <w:p w14:paraId="3C62CFFC" w14:textId="77777777" w:rsidR="00807FFE" w:rsidRDefault="00023E71">
            <w:pPr>
              <w:pStyle w:val="DMETW36773BIPACDISPLIT"/>
              <w:rPr>
                <w:rFonts w:ascii="Verdana" w:eastAsia="Verdana" w:hAnsi="Verdana" w:cs="Verdana"/>
                <w:b/>
                <w:noProof/>
                <w:color w:val="000000"/>
                <w:sz w:val="18"/>
              </w:rPr>
            </w:pPr>
            <w:r>
              <w:rPr>
                <w:rFonts w:ascii="Verdana" w:eastAsia="Verdana" w:hAnsi="Verdana" w:cs="Verdana"/>
                <w:b/>
                <w:noProof/>
                <w:color w:val="000000"/>
                <w:sz w:val="18"/>
              </w:rPr>
              <w:t>Total</w:t>
            </w:r>
          </w:p>
        </w:tc>
        <w:tc>
          <w:tcPr>
            <w:tcW w:w="1741" w:type="dxa"/>
            <w:tcBorders>
              <w:top w:val="single" w:sz="4" w:space="0" w:color="016794"/>
              <w:left w:val="nil"/>
              <w:bottom w:val="single" w:sz="4" w:space="0" w:color="016794"/>
              <w:right w:val="nil"/>
              <w:tl2br w:val="nil"/>
              <w:tr2bl w:val="nil"/>
            </w:tcBorders>
            <w:tcMar>
              <w:left w:w="60" w:type="dxa"/>
              <w:right w:w="60" w:type="dxa"/>
            </w:tcMar>
            <w:vAlign w:val="bottom"/>
          </w:tcPr>
          <w:p w14:paraId="35D1D93A" w14:textId="77777777" w:rsidR="00807FFE" w:rsidRDefault="00023E71">
            <w:pPr>
              <w:pStyle w:val="DMETW36773BIPACDISPLIT"/>
              <w:jc w:val="right"/>
              <w:rPr>
                <w:rFonts w:ascii="Verdana" w:eastAsia="Verdana" w:hAnsi="Verdana" w:cs="Verdana"/>
                <w:b/>
                <w:noProof/>
                <w:color w:val="000000"/>
                <w:sz w:val="18"/>
              </w:rPr>
            </w:pPr>
            <w:r>
              <w:rPr>
                <w:rFonts w:ascii="Verdana" w:eastAsia="Verdana" w:hAnsi="Verdana" w:cs="Verdana"/>
                <w:b/>
                <w:noProof/>
                <w:color w:val="000000"/>
                <w:sz w:val="18"/>
              </w:rPr>
              <w:t>76 785</w:t>
            </w:r>
          </w:p>
        </w:tc>
        <w:tc>
          <w:tcPr>
            <w:tcW w:w="1741" w:type="dxa"/>
            <w:tcBorders>
              <w:top w:val="single" w:sz="4" w:space="0" w:color="016794"/>
              <w:left w:val="nil"/>
              <w:bottom w:val="single" w:sz="4" w:space="0" w:color="016794"/>
              <w:right w:val="nil"/>
              <w:tl2br w:val="nil"/>
              <w:tr2bl w:val="nil"/>
            </w:tcBorders>
            <w:tcMar>
              <w:left w:w="60" w:type="dxa"/>
              <w:right w:w="60" w:type="dxa"/>
            </w:tcMar>
            <w:vAlign w:val="bottom"/>
          </w:tcPr>
          <w:p w14:paraId="4E876860" w14:textId="77777777" w:rsidR="00807FFE" w:rsidRDefault="00023E71">
            <w:pPr>
              <w:pStyle w:val="DMETW36773BIPACDISPLIT"/>
              <w:jc w:val="right"/>
              <w:rPr>
                <w:rFonts w:ascii="Verdana" w:eastAsia="Verdana" w:hAnsi="Verdana" w:cs="Verdana"/>
                <w:b/>
                <w:noProof/>
                <w:color w:val="000000"/>
                <w:sz w:val="18"/>
              </w:rPr>
            </w:pPr>
            <w:r>
              <w:rPr>
                <w:rFonts w:ascii="Verdana" w:eastAsia="Verdana" w:hAnsi="Verdana" w:cs="Verdana"/>
                <w:b/>
                <w:noProof/>
                <w:color w:val="000000"/>
                <w:sz w:val="18"/>
              </w:rPr>
              <w:t>66 792</w:t>
            </w:r>
          </w:p>
        </w:tc>
      </w:tr>
    </w:tbl>
    <w:p w14:paraId="38D99D76" w14:textId="77777777" w:rsidR="004106D7" w:rsidRPr="00621446" w:rsidRDefault="00023E71" w:rsidP="009B2483">
      <w:pPr>
        <w:pStyle w:val="DGTextstand-alone"/>
        <w:spacing w:after="0"/>
        <w:rPr>
          <w:strike/>
        </w:rPr>
      </w:pPr>
      <w:r w:rsidRPr="00347CD4">
        <w:t>Accrued charges refer to recognised expenses for which the Union has still to receive cost claims.</w:t>
      </w:r>
      <w:r>
        <w:t xml:space="preserve">  The biggest movement concerns RRF, where the increase is reflecting the pace of implementation of this instrument, as the estimate is based on the short term payments forecast. For EAFRD, Member States declared higher expenditures under programmes from the previous MFF period, as it was the final year of implementation, leading to a decrease in accruals.</w:t>
      </w:r>
    </w:p>
    <w:p w14:paraId="0F7A8A11" w14:textId="77777777" w:rsidR="006900AE" w:rsidRDefault="00023E71" w:rsidP="0022007E">
      <w:pPr>
        <w:pStyle w:val="DGTextstand-alone"/>
        <w:spacing w:after="0"/>
        <w:sectPr w:rsidR="006900AE">
          <w:headerReference w:type="default" r:id="rId107"/>
          <w:footerReference w:type="default" r:id="rId108"/>
          <w:type w:val="continuous"/>
          <w:pgSz w:w="11906" w:h="16838"/>
          <w:pgMar w:top="1134" w:right="1134" w:bottom="1134" w:left="1134" w:header="709" w:footer="709" w:gutter="0"/>
          <w:cols w:space="708"/>
          <w:docGrid w:linePitch="360"/>
        </w:sectPr>
      </w:pPr>
      <w:r>
        <w:t xml:space="preserve"> </w:t>
      </w:r>
      <w:bookmarkEnd w:id="170"/>
    </w:p>
    <w:p w14:paraId="6B0F6B9D" w14:textId="77777777" w:rsidR="00D271C3" w:rsidRDefault="00023E71" w:rsidP="00D271C3">
      <w:pPr>
        <w:pStyle w:val="HEADERTABLE"/>
        <w:rPr>
          <w:noProof/>
          <w:lang w:val="fr-BE"/>
        </w:rPr>
      </w:pPr>
      <w:bookmarkStart w:id="173" w:name="_DMBM_36696"/>
      <w:r>
        <w:rPr>
          <w:noProof/>
          <w:lang w:val="fr-BE"/>
        </w:rPr>
        <w:t>NET ASSETS</w:t>
      </w:r>
    </w:p>
    <w:p w14:paraId="49A06424" w14:textId="77777777" w:rsidR="00D271C3" w:rsidRPr="005818DE" w:rsidRDefault="00023E71" w:rsidP="00172034">
      <w:pPr>
        <w:pStyle w:val="HEADER2NOTES"/>
        <w:numPr>
          <w:ilvl w:val="1"/>
          <w:numId w:val="15"/>
        </w:numPr>
        <w:rPr>
          <w:noProof/>
        </w:rPr>
      </w:pPr>
      <w:r w:rsidRPr="005818DE">
        <w:rPr>
          <w:noProof/>
        </w:rPr>
        <w:t>RESERVES</w:t>
      </w:r>
    </w:p>
    <w:p w14:paraId="292E8788" w14:textId="77777777" w:rsidR="00D271C3" w:rsidRDefault="00023E71" w:rsidP="002062AB">
      <w:pPr>
        <w:pStyle w:val="DGTextstand-alone"/>
        <w:spacing w:after="0"/>
      </w:pPr>
      <w:bookmarkStart w:id="174" w:name="DOC_TBL00003_1_1_0"/>
      <w:bookmarkEnd w:id="174"/>
      <w:r w:rsidRPr="00135C89">
        <w:t xml:space="preserve">The amount </w:t>
      </w:r>
      <w:r>
        <w:t xml:space="preserve">of the EU reserves are EUR 941 million (EUR 986 million in 2024). This amount </w:t>
      </w:r>
      <w:r w:rsidRPr="00135C89">
        <w:t xml:space="preserve">relates primarily to </w:t>
      </w:r>
      <w:r w:rsidRPr="00C500FA">
        <w:t>the reserves of the ECSC i</w:t>
      </w:r>
      <w:r w:rsidR="00AA4C84" w:rsidRPr="00C500FA">
        <w:t>.</w:t>
      </w:r>
      <w:r w:rsidRPr="00C500FA">
        <w:t>L</w:t>
      </w:r>
      <w:r w:rsidR="00AA4C84" w:rsidRPr="00C500FA">
        <w:t>.</w:t>
      </w:r>
      <w:r>
        <w:t xml:space="preserve">, totalling </w:t>
      </w:r>
      <w:r w:rsidRPr="00C500FA">
        <w:t>EUR 5</w:t>
      </w:r>
      <w:r>
        <w:t>33</w:t>
      </w:r>
      <w:r w:rsidRPr="00C500FA">
        <w:t> million</w:t>
      </w:r>
      <w:r>
        <w:t xml:space="preserve"> (</w:t>
      </w:r>
      <w:r w:rsidRPr="002C52AE">
        <w:rPr>
          <w:lang w:val="en-IE"/>
        </w:rPr>
        <w:t>EUR 593 million</w:t>
      </w:r>
      <w:r>
        <w:rPr>
          <w:lang w:val="en-IE"/>
        </w:rPr>
        <w:t xml:space="preserve"> in 2024</w:t>
      </w:r>
      <w:r w:rsidRPr="00C500FA">
        <w:t>) for the assets of the Research Fund for Coal and Steel, which were created in the context of the winding-up of the ECSC i</w:t>
      </w:r>
      <w:r w:rsidR="00AA4C84" w:rsidRPr="00C500FA">
        <w:t>.L.</w:t>
      </w:r>
      <w:r>
        <w:t xml:space="preserve"> This also relates </w:t>
      </w:r>
      <w:r w:rsidRPr="00C500FA">
        <w:t>to the reserve fund of the European Union Intellectual Property Office</w:t>
      </w:r>
      <w:r w:rsidR="00111E23" w:rsidRPr="00C500FA">
        <w:t>, ensuring the continuity of its operations</w:t>
      </w:r>
      <w:r>
        <w:t>, amounting to</w:t>
      </w:r>
      <w:r w:rsidR="00111E23" w:rsidRPr="00C500FA">
        <w:t xml:space="preserve"> </w:t>
      </w:r>
      <w:r w:rsidRPr="00C500FA">
        <w:t>EUR 29</w:t>
      </w:r>
      <w:r>
        <w:t>2</w:t>
      </w:r>
      <w:r w:rsidRPr="00C500FA">
        <w:t> million</w:t>
      </w:r>
      <w:r>
        <w:t xml:space="preserve"> (</w:t>
      </w:r>
      <w:r w:rsidRPr="002C52AE">
        <w:rPr>
          <w:lang w:val="en-IE"/>
        </w:rPr>
        <w:t>EUR 293 million</w:t>
      </w:r>
      <w:r>
        <w:rPr>
          <w:lang w:val="en-IE"/>
        </w:rPr>
        <w:t xml:space="preserve"> in 2024</w:t>
      </w:r>
      <w:r w:rsidRPr="00C500FA">
        <w:t>).</w:t>
      </w:r>
    </w:p>
    <w:p w14:paraId="791226B3" w14:textId="77777777" w:rsidR="00AB545C" w:rsidRDefault="00023E71" w:rsidP="00172034">
      <w:pPr>
        <w:pStyle w:val="HEADER2NOTES"/>
        <w:numPr>
          <w:ilvl w:val="1"/>
          <w:numId w:val="15"/>
        </w:numPr>
        <w:rPr>
          <w:noProof/>
        </w:rPr>
      </w:pPr>
      <w:r w:rsidRPr="005A46C1">
        <w:rPr>
          <w:noProof/>
        </w:rPr>
        <w:t>AMOUNTS TO BE CALLED FROM MEMBER STATES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6"/>
        <w:gridCol w:w="3342"/>
      </w:tblGrid>
      <w:tr w:rsidR="00807FFE" w14:paraId="67D9CD56" w14:textId="77777777">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bottom"/>
          </w:tcPr>
          <w:p w14:paraId="48638701" w14:textId="77777777" w:rsidR="00807FFE" w:rsidRDefault="00807FFE">
            <w:pPr>
              <w:pStyle w:val="DMETW36774BIPMEMST1"/>
              <w:jc w:val="right"/>
              <w:rPr>
                <w:rFonts w:ascii="Verdana" w:eastAsia="Verdana" w:hAnsi="Verdana" w:cs="Verdana"/>
                <w:i/>
                <w:noProof/>
                <w:color w:val="000000"/>
                <w:sz w:val="16"/>
                <w:lang w:bidi="en-GB"/>
              </w:rPr>
            </w:pPr>
            <w:bookmarkStart w:id="175" w:name="DOC_TBL00065_1_1"/>
            <w:bookmarkEnd w:id="175"/>
          </w:p>
        </w:tc>
        <w:tc>
          <w:tcPr>
            <w:tcW w:w="3342" w:type="dxa"/>
            <w:tcBorders>
              <w:top w:val="nil"/>
              <w:left w:val="nil"/>
              <w:bottom w:val="nil"/>
              <w:right w:val="nil"/>
              <w:tl2br w:val="nil"/>
              <w:tr2bl w:val="nil"/>
            </w:tcBorders>
            <w:shd w:val="solid" w:color="FFFFFF" w:fill="FFFFFF"/>
            <w:tcMar>
              <w:left w:w="60" w:type="dxa"/>
              <w:right w:w="60" w:type="dxa"/>
            </w:tcMar>
            <w:vAlign w:val="bottom"/>
          </w:tcPr>
          <w:p w14:paraId="2D3F1372" w14:textId="77777777" w:rsidR="00807FFE" w:rsidRDefault="00023E71">
            <w:pPr>
              <w:pStyle w:val="DMETW36774BIPMEMST1"/>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7EAEABE" w14:textId="77777777">
        <w:trPr>
          <w:trHeight w:hRule="exact" w:val="255"/>
        </w:trPr>
        <w:tc>
          <w:tcPr>
            <w:tcW w:w="6416" w:type="dxa"/>
            <w:tcBorders>
              <w:top w:val="nil"/>
              <w:left w:val="nil"/>
              <w:bottom w:val="nil"/>
              <w:right w:val="nil"/>
              <w:tl2br w:val="nil"/>
              <w:tr2bl w:val="nil"/>
            </w:tcBorders>
            <w:shd w:val="solid" w:color="016794" w:fill="FFFFFF"/>
            <w:tcMar>
              <w:left w:w="60" w:type="dxa"/>
              <w:right w:w="60" w:type="dxa"/>
            </w:tcMar>
            <w:vAlign w:val="center"/>
          </w:tcPr>
          <w:p w14:paraId="29A73CAD" w14:textId="77777777" w:rsidR="00807FFE" w:rsidRDefault="00807FFE">
            <w:pPr>
              <w:pStyle w:val="DMETW36774BIPMEMST1"/>
              <w:jc w:val="right"/>
              <w:rPr>
                <w:rFonts w:ascii="Verdana" w:eastAsia="Verdana" w:hAnsi="Verdana" w:cs="Verdana"/>
                <w:noProof/>
                <w:color w:val="FFFFFF"/>
              </w:rPr>
            </w:pPr>
          </w:p>
        </w:tc>
        <w:tc>
          <w:tcPr>
            <w:tcW w:w="3342" w:type="dxa"/>
            <w:tcBorders>
              <w:top w:val="nil"/>
              <w:left w:val="nil"/>
              <w:bottom w:val="nil"/>
              <w:right w:val="nil"/>
              <w:tl2br w:val="nil"/>
              <w:tr2bl w:val="nil"/>
            </w:tcBorders>
            <w:shd w:val="solid" w:color="016794" w:fill="FFFFFF"/>
            <w:tcMar>
              <w:left w:w="60" w:type="dxa"/>
              <w:right w:w="60" w:type="dxa"/>
            </w:tcMar>
            <w:vAlign w:val="center"/>
          </w:tcPr>
          <w:p w14:paraId="0FCF89EC" w14:textId="77777777" w:rsidR="00807FFE" w:rsidRDefault="00807FFE">
            <w:pPr>
              <w:pStyle w:val="DMETW36774BIPMEMST1"/>
              <w:jc w:val="right"/>
              <w:rPr>
                <w:rFonts w:ascii="Verdana" w:eastAsia="Verdana" w:hAnsi="Verdana" w:cs="Verdana"/>
                <w:noProof/>
                <w:color w:val="FFFFFF"/>
                <w:lang w:bidi="en-GB"/>
              </w:rPr>
            </w:pPr>
          </w:p>
        </w:tc>
      </w:tr>
      <w:tr w:rsidR="00807FFE" w14:paraId="334D724A" w14:textId="77777777">
        <w:trPr>
          <w:trHeight w:hRule="exact" w:val="255"/>
        </w:trPr>
        <w:tc>
          <w:tcPr>
            <w:tcW w:w="6416" w:type="dxa"/>
            <w:tcBorders>
              <w:top w:val="nil"/>
              <w:left w:val="nil"/>
              <w:bottom w:val="nil"/>
              <w:right w:val="nil"/>
              <w:tl2br w:val="nil"/>
              <w:tr2bl w:val="nil"/>
            </w:tcBorders>
            <w:shd w:val="solid" w:color="CCE1EA" w:fill="FFFFFF"/>
            <w:tcMar>
              <w:left w:w="60" w:type="dxa"/>
              <w:right w:w="60" w:type="dxa"/>
            </w:tcMar>
            <w:vAlign w:val="center"/>
          </w:tcPr>
          <w:p w14:paraId="7A3C43DA" w14:textId="77777777" w:rsidR="00807FFE" w:rsidRDefault="00023E71">
            <w:pPr>
              <w:pStyle w:val="DMETW36774BIPMEMST1"/>
              <w:rPr>
                <w:rFonts w:ascii="Verdana" w:eastAsia="Verdana" w:hAnsi="Verdana" w:cs="Verdana"/>
                <w:b/>
                <w:noProof/>
                <w:color w:val="000000"/>
                <w:sz w:val="18"/>
              </w:rPr>
            </w:pPr>
            <w:r>
              <w:rPr>
                <w:rFonts w:ascii="Verdana" w:eastAsia="Verdana" w:hAnsi="Verdana" w:cs="Verdana"/>
                <w:b/>
                <w:noProof/>
                <w:color w:val="000000"/>
                <w:sz w:val="18"/>
              </w:rPr>
              <w:t>Amounts to be called from Member States at 31.12.2024</w:t>
            </w:r>
          </w:p>
        </w:tc>
        <w:tc>
          <w:tcPr>
            <w:tcW w:w="3342" w:type="dxa"/>
            <w:tcBorders>
              <w:top w:val="nil"/>
              <w:left w:val="nil"/>
              <w:bottom w:val="nil"/>
              <w:right w:val="nil"/>
              <w:tl2br w:val="nil"/>
              <w:tr2bl w:val="nil"/>
            </w:tcBorders>
            <w:shd w:val="solid" w:color="CCE1EA" w:fill="FFFFFF"/>
            <w:tcMar>
              <w:left w:w="60" w:type="dxa"/>
              <w:right w:w="60" w:type="dxa"/>
            </w:tcMar>
            <w:vAlign w:val="center"/>
          </w:tcPr>
          <w:p w14:paraId="7503F150" w14:textId="77777777" w:rsidR="00807FFE" w:rsidRDefault="00023E71">
            <w:pPr>
              <w:pStyle w:val="DMETW36774BIPMEMST1"/>
              <w:jc w:val="right"/>
              <w:rPr>
                <w:rFonts w:ascii="Verdana" w:eastAsia="Verdana" w:hAnsi="Verdana" w:cs="Verdana"/>
                <w:b/>
                <w:noProof/>
                <w:color w:val="000000"/>
                <w:sz w:val="18"/>
                <w:lang w:bidi="en-GB"/>
              </w:rPr>
            </w:pPr>
            <w:r>
              <w:rPr>
                <w:rFonts w:ascii="Verdana" w:eastAsia="Verdana" w:hAnsi="Verdana" w:cs="Verdana"/>
                <w:b/>
                <w:noProof/>
                <w:color w:val="000000"/>
                <w:sz w:val="18"/>
              </w:rPr>
              <w:t>309 810</w:t>
            </w:r>
          </w:p>
        </w:tc>
      </w:tr>
      <w:tr w:rsidR="00807FFE" w14:paraId="5FA437EF" w14:textId="77777777">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14:paraId="3D264DD6" w14:textId="77777777" w:rsidR="00807FFE" w:rsidRDefault="00023E71">
            <w:pPr>
              <w:pStyle w:val="DMETW36774BIPMEMST1"/>
              <w:rPr>
                <w:rFonts w:ascii="Verdana" w:eastAsia="Verdana" w:hAnsi="Verdana" w:cs="Verdana"/>
                <w:i/>
                <w:noProof/>
                <w:color w:val="000000"/>
                <w:sz w:val="18"/>
              </w:rPr>
            </w:pPr>
            <w:r>
              <w:rPr>
                <w:rFonts w:ascii="Verdana" w:eastAsia="Verdana" w:hAnsi="Verdana" w:cs="Verdana"/>
                <w:i/>
                <w:noProof/>
                <w:color w:val="000000"/>
                <w:sz w:val="18"/>
              </w:rPr>
              <w:t>2024 budget result credited to Member States</w:t>
            </w:r>
          </w:p>
        </w:tc>
        <w:tc>
          <w:tcPr>
            <w:tcW w:w="3342" w:type="dxa"/>
            <w:tcBorders>
              <w:top w:val="nil"/>
              <w:left w:val="nil"/>
              <w:bottom w:val="nil"/>
              <w:right w:val="nil"/>
              <w:tl2br w:val="nil"/>
              <w:tr2bl w:val="nil"/>
            </w:tcBorders>
            <w:shd w:val="solid" w:color="FFFFFF" w:fill="FFFFFF"/>
            <w:tcMar>
              <w:left w:w="60" w:type="dxa"/>
              <w:right w:w="60" w:type="dxa"/>
            </w:tcMar>
            <w:vAlign w:val="center"/>
          </w:tcPr>
          <w:p w14:paraId="0184D321" w14:textId="77777777" w:rsidR="00807FFE" w:rsidRDefault="00023E71">
            <w:pPr>
              <w:pStyle w:val="DMETW36774BIPMEMST1"/>
              <w:jc w:val="right"/>
              <w:rPr>
                <w:rFonts w:ascii="Verdana" w:eastAsia="Verdana" w:hAnsi="Verdana" w:cs="Verdana"/>
                <w:i/>
                <w:noProof/>
                <w:color w:val="000000"/>
                <w:sz w:val="18"/>
                <w:lang w:bidi="en-GB"/>
              </w:rPr>
            </w:pPr>
            <w:r>
              <w:rPr>
                <w:rFonts w:ascii="Verdana" w:eastAsia="Verdana" w:hAnsi="Verdana" w:cs="Verdana"/>
                <w:i/>
                <w:noProof/>
                <w:color w:val="000000"/>
                <w:sz w:val="18"/>
              </w:rPr>
              <w:t>1 348</w:t>
            </w:r>
          </w:p>
        </w:tc>
      </w:tr>
      <w:tr w:rsidR="00807FFE" w14:paraId="243EA695" w14:textId="77777777">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14:paraId="3A02A657" w14:textId="77777777" w:rsidR="00807FFE" w:rsidRDefault="00023E71">
            <w:pPr>
              <w:pStyle w:val="DMETW36774BIPMEMST1"/>
              <w:rPr>
                <w:rFonts w:ascii="Verdana" w:eastAsia="Verdana" w:hAnsi="Verdana" w:cs="Verdana"/>
                <w:i/>
                <w:noProof/>
                <w:color w:val="000000"/>
                <w:sz w:val="18"/>
              </w:rPr>
            </w:pPr>
            <w:r>
              <w:rPr>
                <w:rFonts w:ascii="Verdana" w:eastAsia="Verdana" w:hAnsi="Verdana" w:cs="Verdana"/>
                <w:i/>
                <w:noProof/>
                <w:color w:val="000000"/>
                <w:sz w:val="18"/>
              </w:rPr>
              <w:t>Remeasurements in employee benefits liabilities</w:t>
            </w:r>
          </w:p>
        </w:tc>
        <w:tc>
          <w:tcPr>
            <w:tcW w:w="3342" w:type="dxa"/>
            <w:tcBorders>
              <w:top w:val="nil"/>
              <w:left w:val="nil"/>
              <w:bottom w:val="nil"/>
              <w:right w:val="nil"/>
              <w:tl2br w:val="nil"/>
              <w:tr2bl w:val="nil"/>
            </w:tcBorders>
            <w:shd w:val="solid" w:color="FFFFFF" w:fill="FFFFFF"/>
            <w:tcMar>
              <w:left w:w="60" w:type="dxa"/>
              <w:right w:w="60" w:type="dxa"/>
            </w:tcMar>
            <w:vAlign w:val="center"/>
          </w:tcPr>
          <w:p w14:paraId="12B426BC" w14:textId="77777777" w:rsidR="00807FFE" w:rsidRDefault="00023E71">
            <w:pPr>
              <w:pStyle w:val="DMETW36774BIPMEMST1"/>
              <w:jc w:val="right"/>
              <w:rPr>
                <w:rFonts w:ascii="Verdana" w:eastAsia="Verdana" w:hAnsi="Verdana" w:cs="Verdana"/>
                <w:i/>
                <w:noProof/>
                <w:color w:val="000000"/>
                <w:sz w:val="18"/>
                <w:lang w:bidi="en-GB"/>
              </w:rPr>
            </w:pPr>
            <w:r>
              <w:rPr>
                <w:rFonts w:ascii="Verdana" w:eastAsia="Verdana" w:hAnsi="Verdana" w:cs="Verdana"/>
                <w:i/>
                <w:noProof/>
                <w:color w:val="000000"/>
                <w:sz w:val="18"/>
              </w:rPr>
              <w:t>(5 603)</w:t>
            </w:r>
          </w:p>
        </w:tc>
      </w:tr>
      <w:tr w:rsidR="00807FFE" w14:paraId="48BD3D00" w14:textId="77777777">
        <w:trPr>
          <w:trHeight w:hRule="exact" w:val="255"/>
        </w:trPr>
        <w:tc>
          <w:tcPr>
            <w:tcW w:w="6416" w:type="dxa"/>
            <w:tcBorders>
              <w:top w:val="nil"/>
              <w:left w:val="nil"/>
              <w:bottom w:val="nil"/>
              <w:right w:val="nil"/>
              <w:tl2br w:val="nil"/>
              <w:tr2bl w:val="nil"/>
            </w:tcBorders>
            <w:tcMar>
              <w:left w:w="60" w:type="dxa"/>
              <w:right w:w="60" w:type="dxa"/>
            </w:tcMar>
            <w:vAlign w:val="bottom"/>
          </w:tcPr>
          <w:p w14:paraId="12896305" w14:textId="77777777" w:rsidR="00807FFE" w:rsidRDefault="00023E71">
            <w:pPr>
              <w:pStyle w:val="DMETW36774BIPMEMST1"/>
              <w:rPr>
                <w:rFonts w:ascii="Arial" w:eastAsia="Arial" w:hAnsi="Arial" w:cs="Arial"/>
                <w:i/>
                <w:noProof/>
                <w:color w:val="000000"/>
              </w:rPr>
            </w:pPr>
            <w:r>
              <w:rPr>
                <w:rFonts w:ascii="Arial" w:eastAsia="Arial" w:hAnsi="Arial" w:cs="Arial"/>
                <w:i/>
                <w:noProof/>
                <w:color w:val="000000"/>
              </w:rPr>
              <w:t>Other</w:t>
            </w:r>
          </w:p>
        </w:tc>
        <w:tc>
          <w:tcPr>
            <w:tcW w:w="3342" w:type="dxa"/>
            <w:tcBorders>
              <w:top w:val="nil"/>
              <w:left w:val="nil"/>
              <w:bottom w:val="nil"/>
              <w:right w:val="nil"/>
              <w:tl2br w:val="nil"/>
              <w:tr2bl w:val="nil"/>
            </w:tcBorders>
            <w:shd w:val="solid" w:color="FFFFFF" w:fill="FFFFFF"/>
            <w:tcMar>
              <w:left w:w="60" w:type="dxa"/>
              <w:right w:w="60" w:type="dxa"/>
            </w:tcMar>
            <w:vAlign w:val="center"/>
          </w:tcPr>
          <w:p w14:paraId="3BA875D5" w14:textId="77777777" w:rsidR="00807FFE" w:rsidRDefault="00023E71">
            <w:pPr>
              <w:pStyle w:val="DMETW36774BIPMEMST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(85)</w:t>
            </w:r>
          </w:p>
        </w:tc>
      </w:tr>
      <w:tr w:rsidR="00807FFE" w14:paraId="0B38D1C2" w14:textId="77777777">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14:paraId="1EDA13ED" w14:textId="77777777" w:rsidR="00807FFE" w:rsidRDefault="00023E71">
            <w:pPr>
              <w:pStyle w:val="DMETW36774BIPMEMST1"/>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3342" w:type="dxa"/>
            <w:tcBorders>
              <w:top w:val="nil"/>
              <w:left w:val="nil"/>
              <w:bottom w:val="nil"/>
              <w:right w:val="nil"/>
              <w:tl2br w:val="nil"/>
              <w:tr2bl w:val="nil"/>
            </w:tcBorders>
            <w:shd w:val="solid" w:color="FFFFFF" w:fill="FFFFFF"/>
            <w:tcMar>
              <w:left w:w="60" w:type="dxa"/>
              <w:right w:w="60" w:type="dxa"/>
            </w:tcMar>
            <w:vAlign w:val="center"/>
          </w:tcPr>
          <w:p w14:paraId="2F3B264B" w14:textId="77777777" w:rsidR="00807FFE" w:rsidRDefault="00023E71">
            <w:pPr>
              <w:pStyle w:val="DMETW36774BIPMEMST1"/>
              <w:jc w:val="right"/>
              <w:rPr>
                <w:rFonts w:ascii="Verdana" w:eastAsia="Verdana" w:hAnsi="Verdana" w:cs="Verdana"/>
                <w:i/>
                <w:noProof/>
                <w:color w:val="000000"/>
                <w:sz w:val="18"/>
                <w:lang w:bidi="en-GB"/>
              </w:rPr>
            </w:pPr>
            <w:r>
              <w:rPr>
                <w:rFonts w:ascii="Verdana" w:eastAsia="Verdana" w:hAnsi="Verdana" w:cs="Verdana"/>
                <w:i/>
                <w:noProof/>
                <w:color w:val="000000"/>
                <w:sz w:val="18"/>
              </w:rPr>
              <w:t>54 639</w:t>
            </w:r>
          </w:p>
        </w:tc>
      </w:tr>
      <w:tr w:rsidR="00807FFE" w14:paraId="077C10B8" w14:textId="77777777">
        <w:trPr>
          <w:trHeight w:hRule="exact" w:val="255"/>
        </w:trPr>
        <w:tc>
          <w:tcPr>
            <w:tcW w:w="6416" w:type="dxa"/>
            <w:tcBorders>
              <w:top w:val="nil"/>
              <w:left w:val="nil"/>
              <w:bottom w:val="nil"/>
              <w:right w:val="nil"/>
              <w:tl2br w:val="nil"/>
              <w:tr2bl w:val="nil"/>
            </w:tcBorders>
            <w:shd w:val="solid" w:color="CCE1EA" w:fill="FFFFFF"/>
            <w:tcMar>
              <w:left w:w="60" w:type="dxa"/>
              <w:right w:w="60" w:type="dxa"/>
            </w:tcMar>
            <w:vAlign w:val="center"/>
          </w:tcPr>
          <w:p w14:paraId="1DD3B008" w14:textId="77777777" w:rsidR="00807FFE" w:rsidRDefault="00023E71">
            <w:pPr>
              <w:pStyle w:val="DMETW36774BIPMEMST1"/>
              <w:rPr>
                <w:rFonts w:ascii="Verdana" w:eastAsia="Verdana" w:hAnsi="Verdana" w:cs="Verdana"/>
                <w:b/>
                <w:noProof/>
                <w:color w:val="000000"/>
                <w:sz w:val="18"/>
              </w:rPr>
            </w:pPr>
            <w:r>
              <w:rPr>
                <w:rFonts w:ascii="Verdana" w:eastAsia="Verdana" w:hAnsi="Verdana" w:cs="Verdana"/>
                <w:b/>
                <w:noProof/>
                <w:color w:val="000000"/>
                <w:sz w:val="18"/>
              </w:rPr>
              <w:t>Total amounts to be called from Member States at 31.12.2025</w:t>
            </w:r>
          </w:p>
        </w:tc>
        <w:tc>
          <w:tcPr>
            <w:tcW w:w="3342" w:type="dxa"/>
            <w:tcBorders>
              <w:top w:val="nil"/>
              <w:left w:val="nil"/>
              <w:bottom w:val="nil"/>
              <w:right w:val="nil"/>
              <w:tl2br w:val="nil"/>
              <w:tr2bl w:val="nil"/>
            </w:tcBorders>
            <w:shd w:val="solid" w:color="CCE1EA" w:fill="FFFFFF"/>
            <w:tcMar>
              <w:left w:w="60" w:type="dxa"/>
              <w:right w:w="60" w:type="dxa"/>
            </w:tcMar>
            <w:vAlign w:val="center"/>
          </w:tcPr>
          <w:p w14:paraId="5D14F15B" w14:textId="77777777" w:rsidR="00807FFE" w:rsidRDefault="00023E71">
            <w:pPr>
              <w:pStyle w:val="DMETW36774BIPMEMST1"/>
              <w:jc w:val="right"/>
              <w:rPr>
                <w:rFonts w:ascii="Verdana" w:eastAsia="Verdana" w:hAnsi="Verdana" w:cs="Verdana"/>
                <w:b/>
                <w:noProof/>
                <w:color w:val="000000"/>
                <w:sz w:val="18"/>
              </w:rPr>
            </w:pPr>
            <w:r>
              <w:rPr>
                <w:rFonts w:ascii="Verdana" w:eastAsia="Verdana" w:hAnsi="Verdana" w:cs="Verdana"/>
                <w:b/>
                <w:noProof/>
                <w:color w:val="000000"/>
                <w:sz w:val="18"/>
              </w:rPr>
              <w:t>360 108</w:t>
            </w:r>
          </w:p>
        </w:tc>
      </w:tr>
    </w:tbl>
    <w:p w14:paraId="3D9A2275" w14:textId="77777777" w:rsidR="00AB545C" w:rsidRDefault="00023E71" w:rsidP="00AB545C">
      <w:pPr>
        <w:pStyle w:val="DGTextstand-alone"/>
      </w:pPr>
      <w:r>
        <w:t xml:space="preserve">This amount represents that part of the expenses incurred by the EU up to 31 December that must be funded by future budgets. Many expenses are recognised under accrual accounting rules in the year N although they may be actually paid in year N+1 (or later) and therefore funded using the budget of year N+1 (or later). The inclusion in the accounts of these liabilities coupled with the fact that the corresponding amounts are financed from future budgets, results in liabilities greatly exceeding assets at the year-end. The most significant amounts to be highlighted concern </w:t>
      </w:r>
      <w:r w:rsidRPr="007B6726">
        <w:t>the borrowings in relation to non-repayable support taken out under NGEU, EAGF activities and employee benefit liabilities.</w:t>
      </w:r>
    </w:p>
    <w:p w14:paraId="5D28C482" w14:textId="77777777" w:rsidR="00AB545C" w:rsidRDefault="00023E71" w:rsidP="00AB545C">
      <w:pPr>
        <w:pStyle w:val="DGTextstand-alone"/>
      </w:pPr>
      <w:r>
        <w:t>It should also be noted that the above has no effect on the budget result – budget revenue should always equal or exceed budget expenditure and any excess of revenue is returned to Member States.</w:t>
      </w:r>
    </w:p>
    <w:p w14:paraId="00079F8C" w14:textId="77777777" w:rsidR="00AB545C" w:rsidRDefault="00023E71" w:rsidP="00AB545C">
      <w:pPr>
        <w:pStyle w:val="DGTextstand-alone"/>
        <w:spacing w:before="0" w:after="0"/>
      </w:pPr>
      <w:r>
        <w:t>The remeasurements in employee benefits liabilities relate to actuarial gains and losses arising from the actuarial valuation of these liabilities.</w:t>
      </w:r>
    </w:p>
    <w:p w14:paraId="3F807C0D" w14:textId="77777777" w:rsidR="00124328" w:rsidRDefault="00124328" w:rsidP="00AB545C">
      <w:pPr>
        <w:pStyle w:val="DGTextstand-alone"/>
        <w:spacing w:before="0" w:after="0"/>
      </w:pPr>
    </w:p>
    <w:p w14:paraId="3F23CF6C" w14:textId="77777777" w:rsidR="00124328" w:rsidRDefault="00023E71" w:rsidP="00AB545C">
      <w:pPr>
        <w:pStyle w:val="DGTextstand-alone"/>
        <w:spacing w:before="0" w:after="0"/>
      </w:pPr>
      <w:r w:rsidRPr="003940A3">
        <w:t xml:space="preserve">The considerable increase of the amounts to be called from Member States </w:t>
      </w:r>
      <w:r>
        <w:t xml:space="preserve">in the past years </w:t>
      </w:r>
      <w:r w:rsidRPr="003940A3">
        <w:t xml:space="preserve">is primarily due to the </w:t>
      </w:r>
      <w:r w:rsidR="003940A3" w:rsidRPr="003940A3">
        <w:t xml:space="preserve">borrowings in relation to non-repayable support </w:t>
      </w:r>
      <w:r w:rsidRPr="003940A3">
        <w:t>taken out under NGEU</w:t>
      </w:r>
      <w:r>
        <w:t xml:space="preserve"> in this period</w:t>
      </w:r>
      <w:r w:rsidRPr="003940A3">
        <w:t>.</w:t>
      </w:r>
    </w:p>
    <w:p w14:paraId="5BD93B66" w14:textId="77777777" w:rsidR="002062AB" w:rsidRPr="005378E7" w:rsidRDefault="00023E71" w:rsidP="00AB545C">
      <w:pPr>
        <w:pStyle w:val="DGTextstand-alone"/>
        <w:spacing w:before="0" w:after="0"/>
        <w:sectPr w:rsidR="002062AB" w:rsidRPr="005378E7" w:rsidSect="00D271C3">
          <w:headerReference w:type="default" r:id="rId109"/>
          <w:footerReference w:type="default" r:id="rId110"/>
          <w:pgSz w:w="11906" w:h="16838"/>
          <w:pgMar w:top="1134" w:right="1134" w:bottom="1134" w:left="1134" w:header="709" w:footer="709" w:gutter="0"/>
          <w:cols w:space="708"/>
          <w:docGrid w:linePitch="360"/>
        </w:sectPr>
      </w:pPr>
      <w:r>
        <w:t xml:space="preserve"> </w:t>
      </w:r>
      <w:bookmarkEnd w:id="173"/>
    </w:p>
    <w:p w14:paraId="37C897BD" w14:textId="77777777" w:rsidR="005C7214" w:rsidRPr="005C7214" w:rsidRDefault="00023E71" w:rsidP="0027272E">
      <w:pPr>
        <w:pStyle w:val="HEADER1NOTES"/>
        <w:jc w:val="left"/>
        <w:rPr>
          <w:noProof/>
        </w:rPr>
        <w:sectPr w:rsidR="005C7214" w:rsidRPr="005C7214">
          <w:headerReference w:type="default" r:id="rId111"/>
          <w:footerReference w:type="default" r:id="rId112"/>
          <w:pgSz w:w="11906" w:h="16838"/>
          <w:pgMar w:top="1134" w:right="1134" w:bottom="1134" w:left="1134" w:header="709" w:footer="709" w:gutter="0"/>
          <w:cols w:space="708"/>
          <w:docGrid w:linePitch="360"/>
        </w:sectPr>
      </w:pPr>
      <w:bookmarkStart w:id="176" w:name="_Toc232438940"/>
      <w:bookmarkStart w:id="177" w:name="_DMBM_36707"/>
      <w:r w:rsidRPr="005C7214">
        <w:rPr>
          <w:noProof/>
        </w:rPr>
        <w:t xml:space="preserve">NOTES TO THE STATEMENT OF FINANCIAL </w:t>
      </w:r>
      <w:r>
        <w:rPr>
          <w:noProof/>
        </w:rPr>
        <w:t>PERFORMANCE</w:t>
      </w:r>
      <w:bookmarkEnd w:id="176"/>
      <w:r>
        <w:rPr>
          <w:noProof/>
        </w:rPr>
        <w:t xml:space="preserve"> </w:t>
      </w:r>
      <w:bookmarkEnd w:id="177"/>
    </w:p>
    <w:p w14:paraId="257205C7" w14:textId="77777777" w:rsidR="00573285" w:rsidRPr="007C6049" w:rsidRDefault="00023E71" w:rsidP="009B28D7">
      <w:pPr>
        <w:pStyle w:val="HEADERTABLE"/>
        <w:rPr>
          <w:noProof/>
        </w:rPr>
      </w:pPr>
      <w:bookmarkStart w:id="178" w:name="_DMBM_36722"/>
      <w:r w:rsidRPr="007C6049">
        <w:rPr>
          <w:noProof/>
        </w:rPr>
        <w:t>REVENUE</w:t>
      </w:r>
    </w:p>
    <w:p w14:paraId="22546E26" w14:textId="77777777" w:rsidR="009B28D7" w:rsidRPr="007C6049" w:rsidRDefault="00023E71" w:rsidP="00B325EA">
      <w:pPr>
        <w:pStyle w:val="HEADERTABLE"/>
        <w:spacing w:after="0"/>
        <w:rPr>
          <w:noProof/>
        </w:rPr>
      </w:pPr>
      <w:r w:rsidRPr="007C6049">
        <w:rPr>
          <w:noProof/>
        </w:rPr>
        <w:t>REVENUE FROM NON-EXCHANGE TRANSACTIONS:</w:t>
      </w:r>
      <w:r>
        <w:rPr>
          <w:noProof/>
        </w:rPr>
        <w:br/>
      </w:r>
      <w:r w:rsidRPr="007C6049">
        <w:rPr>
          <w:noProof/>
        </w:rPr>
        <w:t>OWN RESOURCES</w:t>
      </w:r>
    </w:p>
    <w:p w14:paraId="1C126CE4" w14:textId="77777777" w:rsidR="00E51842"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GNI RESOURCES</w:t>
      </w:r>
    </w:p>
    <w:p w14:paraId="09E82C71" w14:textId="77777777" w:rsidR="00E51842" w:rsidRDefault="00023E71" w:rsidP="00060470">
      <w:pPr>
        <w:pStyle w:val="DGTextstand-alone"/>
        <w:spacing w:after="0"/>
      </w:pPr>
      <w:r>
        <w:rPr>
          <w:rFonts w:cs="Verdana"/>
          <w:color w:val="000000"/>
          <w:lang w:val="en-US"/>
        </w:rPr>
        <w:t>Own</w:t>
      </w:r>
      <w:r w:rsidRPr="00073471">
        <w:t xml:space="preserve"> </w:t>
      </w:r>
      <w:r w:rsidRPr="00073471">
        <w:rPr>
          <w:rFonts w:cs="Verdana"/>
          <w:color w:val="000000"/>
          <w:lang w:val="en-US"/>
        </w:rPr>
        <w:t xml:space="preserve">resources revenue is the primary element of the EU's operational revenue. GNI (gross national income) revenue is the most significant of the four categories of own resources. A uniform percentage is levied on the GNI of each Member State. The GNI revenue balances revenue and expenditure, i.e. it funds the part of the budget that is not covered by other sources of </w:t>
      </w:r>
      <w:r w:rsidRPr="00563F1C">
        <w:rPr>
          <w:rFonts w:cs="Verdana"/>
          <w:color w:val="000000"/>
          <w:lang w:val="en-US"/>
        </w:rPr>
        <w:t xml:space="preserve">income. The </w:t>
      </w:r>
      <w:r>
        <w:rPr>
          <w:rFonts w:cs="Verdana"/>
          <w:color w:val="000000"/>
          <w:lang w:val="en-US"/>
        </w:rPr>
        <w:t>increase</w:t>
      </w:r>
      <w:r w:rsidRPr="00563F1C">
        <w:rPr>
          <w:rFonts w:cs="Verdana"/>
          <w:color w:val="000000"/>
          <w:lang w:val="en-US"/>
        </w:rPr>
        <w:t xml:space="preserve"> of GNI revenue in 202</w:t>
      </w:r>
      <w:r>
        <w:rPr>
          <w:rFonts w:cs="Verdana"/>
          <w:color w:val="000000"/>
          <w:lang w:val="en-US"/>
        </w:rPr>
        <w:t>5</w:t>
      </w:r>
      <w:r w:rsidRPr="00563F1C">
        <w:rPr>
          <w:rFonts w:cs="Verdana"/>
          <w:color w:val="000000"/>
          <w:lang w:val="en-US"/>
        </w:rPr>
        <w:t xml:space="preserve"> compared to 202</w:t>
      </w:r>
      <w:r>
        <w:rPr>
          <w:rFonts w:cs="Verdana"/>
          <w:color w:val="000000"/>
          <w:lang w:val="en-US"/>
        </w:rPr>
        <w:t>4</w:t>
      </w:r>
      <w:r w:rsidRPr="00563F1C">
        <w:rPr>
          <w:rFonts w:cs="Verdana"/>
          <w:color w:val="000000"/>
          <w:lang w:val="en-US"/>
        </w:rPr>
        <w:t xml:space="preserve"> </w:t>
      </w:r>
      <w:r>
        <w:rPr>
          <w:rFonts w:cs="Verdana"/>
          <w:color w:val="000000"/>
          <w:lang w:val="en-US"/>
        </w:rPr>
        <w:t>is explained to a great extent by a rise of</w:t>
      </w:r>
      <w:r w:rsidRPr="00563F1C">
        <w:rPr>
          <w:rFonts w:cs="Verdana"/>
          <w:color w:val="000000"/>
          <w:lang w:val="en-US"/>
        </w:rPr>
        <w:t xml:space="preserve"> the payment appropriations</w:t>
      </w:r>
      <w:r>
        <w:rPr>
          <w:rFonts w:cs="Verdana"/>
          <w:color w:val="000000"/>
          <w:lang w:val="en-US"/>
        </w:rPr>
        <w:t xml:space="preserve"> needs</w:t>
      </w:r>
      <w:r w:rsidRPr="00563F1C">
        <w:rPr>
          <w:rFonts w:cs="Verdana"/>
          <w:color w:val="000000"/>
          <w:lang w:val="en-US"/>
        </w:rPr>
        <w:t>.</w:t>
      </w:r>
      <w:r w:rsidRPr="008B55DC">
        <w:t xml:space="preserve"> </w:t>
      </w:r>
    </w:p>
    <w:p w14:paraId="2AFD94B6" w14:textId="77777777" w:rsidR="00E51842"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TRADITIONAL OWN RESOURCES</w:t>
      </w:r>
    </w:p>
    <w:p w14:paraId="5D3EE3A8" w14:textId="77777777" w:rsidR="00E51842" w:rsidRPr="0057750E" w:rsidRDefault="00023E71" w:rsidP="00060470">
      <w:pPr>
        <w:pStyle w:val="DGTextstand-alone"/>
        <w:spacing w:after="0"/>
      </w:pPr>
      <w:r w:rsidRPr="008B55DC">
        <w:t xml:space="preserve">Traditional own resources </w:t>
      </w:r>
      <w:r w:rsidR="00B6009B">
        <w:t xml:space="preserve">relate </w:t>
      </w:r>
      <w:r>
        <w:t xml:space="preserve">mainly </w:t>
      </w:r>
      <w:r w:rsidR="00B6009B">
        <w:t>to</w:t>
      </w:r>
      <w:r w:rsidRPr="008B55DC">
        <w:t xml:space="preserve"> custom</w:t>
      </w:r>
      <w:r>
        <w:t>s</w:t>
      </w:r>
      <w:r w:rsidRPr="008B55DC">
        <w:t xml:space="preserve"> duties </w:t>
      </w:r>
      <w:r w:rsidR="00B6009B">
        <w:t xml:space="preserve">where </w:t>
      </w:r>
      <w:r w:rsidRPr="008B55DC">
        <w:t>Member States retain,</w:t>
      </w:r>
      <w:r w:rsidR="00766F60">
        <w:t xml:space="preserve"> by way of collection costs, 2</w:t>
      </w:r>
      <w:r>
        <w:t>5</w:t>
      </w:r>
      <w:r w:rsidRPr="008B55DC">
        <w:t xml:space="preserve">% of </w:t>
      </w:r>
      <w:r w:rsidR="00B6009B">
        <w:t>the amounts</w:t>
      </w:r>
      <w:r w:rsidRPr="008B55DC">
        <w:t xml:space="preserve">, </w:t>
      </w:r>
      <w:r w:rsidR="00B6009B">
        <w:t>so</w:t>
      </w:r>
      <w:r w:rsidRPr="008B55DC">
        <w:t xml:space="preserve"> the above </w:t>
      </w:r>
      <w:r w:rsidR="00B6009B">
        <w:t>figures</w:t>
      </w:r>
      <w:r w:rsidRPr="008B55DC">
        <w:t xml:space="preserve"> are net of this </w:t>
      </w:r>
      <w:r w:rsidRPr="00563F1C">
        <w:t>deduction</w:t>
      </w:r>
      <w:r w:rsidR="00563F1C" w:rsidRPr="00563F1C">
        <w:t xml:space="preserve">. </w:t>
      </w:r>
      <w:r w:rsidRPr="00563F1C">
        <w:t>The level of import duties reflects essentially the combination of fluctuations in the value of imports from outside the EU and changes in the common tariff, which has been lowered on many occasions following the negotiations within the World Trade Organisation (WTO), and specific agreements granting tariff preferences to certain trading partners or to certain products. The level thus depends also on the general economic situation, the level of world prices and the impact of exchange rates.</w:t>
      </w:r>
    </w:p>
    <w:p w14:paraId="50B08031" w14:textId="77777777" w:rsidR="00E51842"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VAT RESOURCES</w:t>
      </w:r>
    </w:p>
    <w:p w14:paraId="1E32C1AD" w14:textId="77777777" w:rsidR="00E51842" w:rsidRDefault="00023E71" w:rsidP="00E51842">
      <w:pPr>
        <w:pStyle w:val="DGTextstand-alone"/>
        <w:spacing w:after="0"/>
        <w:rPr>
          <w:color w:val="000000" w:themeColor="text1"/>
        </w:rPr>
      </w:pPr>
      <w:r>
        <w:rPr>
          <w:rFonts w:cs="Verdana"/>
          <w:color w:val="000000"/>
          <w:lang w:val="en-US"/>
        </w:rPr>
        <w:t>The VAT own resource is calculated based on Member States’ VAT bases, which are harmonised for this purpose in accordance with EU rules. A uniform call rate of 0.30 % applies to each Member State’s total amount of VAT receipts collected for all taxable supplies divided by the weighted average VAT rate. The VAT base is capped at 50 % of each Member State’s GNI.</w:t>
      </w:r>
    </w:p>
    <w:p w14:paraId="1C3CD694" w14:textId="77777777" w:rsidR="0008753E"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PLASTICS OWN RESOURCES</w:t>
      </w:r>
    </w:p>
    <w:p w14:paraId="65009F3D" w14:textId="77777777" w:rsidR="0008753E" w:rsidRPr="002F4905" w:rsidRDefault="00023E71" w:rsidP="0008753E">
      <w:pPr>
        <w:pStyle w:val="DGTextstand-alone"/>
      </w:pPr>
      <w:r w:rsidRPr="0008753E">
        <w:t xml:space="preserve">A uniform call rate of EUR 0.80 per kilogram applies to the weight of plastic packaging waste generated in each Member State that is not recycled. The plastic packaging waste that is not recycled in a given year is calculated as the difference between the plastic packaging waste generated and the plastic packaging waste recycled in that year in a Member State. Bulgaria, </w:t>
      </w:r>
      <w:r w:rsidRPr="00420B78">
        <w:t>Czechia</w:t>
      </w:r>
      <w:r w:rsidRPr="0008753E">
        <w:t xml:space="preserve">, Estonia, Greece, Spain, Croatia, Italy, Cyprus, Latvia, Lithuania, Hungary, Malta, Poland, Portugal, Romania, Slovenia and Slovakia are entitled to specific annual lump sum reductions in their respective plastics own resource contributions. This </w:t>
      </w:r>
      <w:r>
        <w:t>relatively</w:t>
      </w:r>
      <w:r w:rsidRPr="0008753E">
        <w:t xml:space="preserve"> new own resource was introduced in 2021 with the entry into force of the new Own Resources Decision </w:t>
      </w:r>
      <w:r w:rsidR="00C1205F">
        <w:t xml:space="preserve">(Council Decision (EU, Euratom) </w:t>
      </w:r>
      <w:r w:rsidRPr="0008753E">
        <w:t>2020/2053</w:t>
      </w:r>
      <w:r>
        <w:t>)</w:t>
      </w:r>
      <w:r>
        <w:rPr>
          <w:rStyle w:val="FootnoteReference"/>
        </w:rPr>
        <w:footnoteReference w:id="35"/>
      </w:r>
      <w:r w:rsidRPr="0008753E">
        <w:t>.</w:t>
      </w:r>
    </w:p>
    <w:p w14:paraId="470F67B9" w14:textId="77777777" w:rsidR="0027272E" w:rsidRDefault="0027272E">
      <w:pPr>
        <w:rPr>
          <w:rFonts w:ascii="Verdana" w:hAnsi="Verdana"/>
          <w:b/>
          <w:noProof/>
          <w:color w:val="016794"/>
          <w:sz w:val="28"/>
          <w:szCs w:val="28"/>
        </w:rPr>
      </w:pPr>
      <w:r>
        <w:rPr>
          <w:noProof/>
        </w:rPr>
        <w:br w:type="page"/>
      </w:r>
    </w:p>
    <w:p w14:paraId="63E9DF32" w14:textId="01E4F173" w:rsidR="00E51842" w:rsidRPr="007C6049" w:rsidRDefault="00023E71" w:rsidP="00827459">
      <w:pPr>
        <w:pStyle w:val="HEADERTABLE"/>
        <w:spacing w:before="360" w:after="360"/>
        <w:rPr>
          <w:noProof/>
        </w:rPr>
      </w:pPr>
      <w:r w:rsidRPr="007C6049">
        <w:rPr>
          <w:noProof/>
        </w:rPr>
        <w:t>REVENUE FROM NON-EXCHANGE TRANSACTIONS:</w:t>
      </w:r>
      <w:r>
        <w:rPr>
          <w:noProof/>
        </w:rPr>
        <w:br/>
      </w:r>
      <w:r w:rsidRPr="007C6049">
        <w:rPr>
          <w:noProof/>
        </w:rPr>
        <w:t>TRANSFERS</w:t>
      </w:r>
    </w:p>
    <w:p w14:paraId="1E245A8E" w14:textId="77777777" w:rsidR="00E51842"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FINES</w:t>
      </w:r>
    </w:p>
    <w:p w14:paraId="73B2C7CF" w14:textId="77777777" w:rsidR="00F75307" w:rsidRDefault="00023E71" w:rsidP="00F75307">
      <w:pPr>
        <w:pStyle w:val="DGTextstand-alone"/>
        <w:spacing w:after="0"/>
      </w:pPr>
      <w:r w:rsidRPr="00034B64">
        <w:t xml:space="preserve">Revenue of </w:t>
      </w:r>
      <w:r>
        <w:t>EUR 5</w:t>
      </w:r>
      <w:r w:rsidRPr="00323303">
        <w:t xml:space="preserve"> </w:t>
      </w:r>
      <w:r>
        <w:t>370</w:t>
      </w:r>
      <w:r w:rsidRPr="00323303">
        <w:t xml:space="preserve"> million (202</w:t>
      </w:r>
      <w:r>
        <w:t>4</w:t>
      </w:r>
      <w:r w:rsidRPr="00323303">
        <w:t xml:space="preserve">: </w:t>
      </w:r>
      <w:r>
        <w:t>EUR 4 039</w:t>
      </w:r>
      <w:r w:rsidRPr="00323303">
        <w:t xml:space="preserve"> million) </w:t>
      </w:r>
      <w:r w:rsidRPr="00034B64">
        <w:t>relates mainly to fines the Commission has imposed on companies for breach</w:t>
      </w:r>
      <w:r>
        <w:t>ing</w:t>
      </w:r>
      <w:r w:rsidRPr="00034B64">
        <w:t xml:space="preserve"> EU competition rules </w:t>
      </w:r>
      <w:r w:rsidRPr="00323303">
        <w:t xml:space="preserve">(EUR </w:t>
      </w:r>
      <w:r>
        <w:t>3</w:t>
      </w:r>
      <w:r w:rsidRPr="00323303">
        <w:t xml:space="preserve"> </w:t>
      </w:r>
      <w:r>
        <w:t>971</w:t>
      </w:r>
      <w:r w:rsidRPr="00323303">
        <w:t xml:space="preserve"> million)</w:t>
      </w:r>
      <w:r>
        <w:t xml:space="preserve"> and </w:t>
      </w:r>
      <w:r w:rsidRPr="00E452E9">
        <w:t>other fines imposed on companies (EUR 837 million)</w:t>
      </w:r>
      <w:r>
        <w:t>.</w:t>
      </w:r>
    </w:p>
    <w:p w14:paraId="4E04E97A" w14:textId="77777777" w:rsidR="00E51842"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RECOVERY OF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6"/>
        <w:gridCol w:w="1778"/>
        <w:gridCol w:w="2074"/>
      </w:tblGrid>
      <w:tr w:rsidR="00807FFE" w14:paraId="78C3BD51" w14:textId="77777777">
        <w:trPr>
          <w:trHeight w:hRule="exact" w:val="255"/>
        </w:trPr>
        <w:tc>
          <w:tcPr>
            <w:tcW w:w="5906" w:type="dxa"/>
            <w:tcBorders>
              <w:top w:val="nil"/>
              <w:left w:val="nil"/>
              <w:bottom w:val="nil"/>
              <w:right w:val="nil"/>
              <w:tl2br w:val="nil"/>
              <w:tr2bl w:val="nil"/>
            </w:tcBorders>
            <w:tcMar>
              <w:left w:w="60" w:type="dxa"/>
              <w:right w:w="60" w:type="dxa"/>
            </w:tcMar>
            <w:vAlign w:val="bottom"/>
          </w:tcPr>
          <w:p w14:paraId="2D7DD52C" w14:textId="77777777" w:rsidR="00807FFE" w:rsidRDefault="00807FFE">
            <w:pPr>
              <w:pStyle w:val="DMETW36775BIPRECOVEXP"/>
              <w:rPr>
                <w:rFonts w:ascii="Arial" w:eastAsia="Arial" w:hAnsi="Arial" w:cs="Arial"/>
                <w:noProof/>
                <w:color w:val="000000"/>
                <w:lang w:bidi="en-GB"/>
              </w:rPr>
            </w:pPr>
            <w:bookmarkStart w:id="179" w:name="DOC_TBL00066_1_1"/>
            <w:bookmarkEnd w:id="179"/>
          </w:p>
        </w:tc>
        <w:tc>
          <w:tcPr>
            <w:tcW w:w="1778" w:type="dxa"/>
            <w:tcBorders>
              <w:top w:val="nil"/>
              <w:left w:val="nil"/>
              <w:bottom w:val="nil"/>
              <w:right w:val="nil"/>
              <w:tl2br w:val="nil"/>
              <w:tr2bl w:val="nil"/>
            </w:tcBorders>
            <w:tcMar>
              <w:left w:w="60" w:type="dxa"/>
              <w:right w:w="60" w:type="dxa"/>
            </w:tcMar>
            <w:vAlign w:val="bottom"/>
          </w:tcPr>
          <w:p w14:paraId="4F67C962" w14:textId="77777777" w:rsidR="00807FFE" w:rsidRDefault="00807FFE">
            <w:pPr>
              <w:pStyle w:val="DMETW36775BIPRECOVEXP"/>
              <w:rPr>
                <w:rFonts w:ascii="Arial" w:eastAsia="Arial" w:hAnsi="Arial" w:cs="Arial"/>
                <w:noProof/>
                <w:color w:val="000000"/>
              </w:rPr>
            </w:pPr>
          </w:p>
        </w:tc>
        <w:tc>
          <w:tcPr>
            <w:tcW w:w="2074" w:type="dxa"/>
            <w:tcBorders>
              <w:top w:val="nil"/>
              <w:left w:val="nil"/>
              <w:bottom w:val="nil"/>
              <w:right w:val="nil"/>
              <w:tl2br w:val="nil"/>
              <w:tr2bl w:val="nil"/>
            </w:tcBorders>
            <w:tcMar>
              <w:left w:w="60" w:type="dxa"/>
              <w:right w:w="60" w:type="dxa"/>
            </w:tcMar>
            <w:vAlign w:val="bottom"/>
          </w:tcPr>
          <w:p w14:paraId="5BA58A9E" w14:textId="77777777" w:rsidR="00807FFE" w:rsidRDefault="00023E71">
            <w:pPr>
              <w:pStyle w:val="DMETW36775BIPRECOVEXP"/>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C374F2C" w14:textId="77777777">
        <w:trPr>
          <w:trHeight w:hRule="exact" w:val="255"/>
        </w:trPr>
        <w:tc>
          <w:tcPr>
            <w:tcW w:w="5906" w:type="dxa"/>
            <w:tcBorders>
              <w:top w:val="nil"/>
              <w:left w:val="nil"/>
              <w:bottom w:val="nil"/>
              <w:right w:val="nil"/>
              <w:tl2br w:val="nil"/>
              <w:tr2bl w:val="nil"/>
            </w:tcBorders>
            <w:shd w:val="solid" w:color="016794" w:fill="FFFFFF"/>
            <w:tcMar>
              <w:left w:w="60" w:type="dxa"/>
              <w:right w:w="60" w:type="dxa"/>
            </w:tcMar>
            <w:vAlign w:val="center"/>
          </w:tcPr>
          <w:p w14:paraId="0842B82D" w14:textId="77777777" w:rsidR="00807FFE" w:rsidRDefault="00807FFE">
            <w:pPr>
              <w:pStyle w:val="DMETW36775BIPRECOVEXP"/>
              <w:jc w:val="right"/>
              <w:rPr>
                <w:rFonts w:ascii="Verdana" w:eastAsia="Verdana" w:hAnsi="Verdana" w:cs="Verdana"/>
                <w:noProof/>
                <w:color w:val="FFFFFF"/>
              </w:rPr>
            </w:pPr>
          </w:p>
        </w:tc>
        <w:tc>
          <w:tcPr>
            <w:tcW w:w="1778" w:type="dxa"/>
            <w:tcBorders>
              <w:top w:val="nil"/>
              <w:left w:val="nil"/>
              <w:bottom w:val="nil"/>
              <w:right w:val="nil"/>
              <w:tl2br w:val="nil"/>
              <w:tr2bl w:val="nil"/>
            </w:tcBorders>
            <w:shd w:val="solid" w:color="016794" w:fill="FFFFFF"/>
            <w:tcMar>
              <w:left w:w="60" w:type="dxa"/>
              <w:right w:w="60" w:type="dxa"/>
            </w:tcMar>
            <w:vAlign w:val="center"/>
          </w:tcPr>
          <w:p w14:paraId="02A0519F" w14:textId="77777777" w:rsidR="00807FFE" w:rsidRDefault="00023E71">
            <w:pPr>
              <w:pStyle w:val="DMETW36775BIPRECOVEXP"/>
              <w:jc w:val="right"/>
              <w:rPr>
                <w:rFonts w:ascii="Verdana" w:eastAsia="Verdana" w:hAnsi="Verdana" w:cs="Verdana"/>
                <w:noProof/>
                <w:color w:val="FFFFFF"/>
              </w:rPr>
            </w:pPr>
            <w:r>
              <w:rPr>
                <w:rFonts w:ascii="Verdana" w:eastAsia="Verdana" w:hAnsi="Verdana" w:cs="Verdana"/>
                <w:noProof/>
                <w:color w:val="FFFFFF"/>
              </w:rPr>
              <w:t>2025</w:t>
            </w:r>
          </w:p>
        </w:tc>
        <w:tc>
          <w:tcPr>
            <w:tcW w:w="2074" w:type="dxa"/>
            <w:tcBorders>
              <w:top w:val="nil"/>
              <w:left w:val="nil"/>
              <w:bottom w:val="nil"/>
              <w:right w:val="nil"/>
              <w:tl2br w:val="nil"/>
              <w:tr2bl w:val="nil"/>
            </w:tcBorders>
            <w:shd w:val="solid" w:color="016794" w:fill="FFFFFF"/>
            <w:tcMar>
              <w:left w:w="60" w:type="dxa"/>
              <w:right w:w="60" w:type="dxa"/>
            </w:tcMar>
            <w:vAlign w:val="center"/>
          </w:tcPr>
          <w:p w14:paraId="5B67E7DF" w14:textId="77777777" w:rsidR="00807FFE" w:rsidRDefault="00023E71">
            <w:pPr>
              <w:pStyle w:val="DMETW36775BIPRECOVEXP"/>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1D06EC2B" w14:textId="77777777">
        <w:trPr>
          <w:trHeight w:hRule="exact" w:val="255"/>
        </w:trPr>
        <w:tc>
          <w:tcPr>
            <w:tcW w:w="5906" w:type="dxa"/>
            <w:tcBorders>
              <w:top w:val="nil"/>
              <w:left w:val="nil"/>
              <w:bottom w:val="nil"/>
              <w:right w:val="nil"/>
              <w:tl2br w:val="nil"/>
              <w:tr2bl w:val="nil"/>
            </w:tcBorders>
            <w:tcMar>
              <w:left w:w="60" w:type="dxa"/>
              <w:right w:w="60" w:type="dxa"/>
            </w:tcMar>
            <w:vAlign w:val="center"/>
          </w:tcPr>
          <w:p w14:paraId="30E530D0" w14:textId="77777777" w:rsidR="00807FFE" w:rsidRDefault="00023E71">
            <w:pPr>
              <w:pStyle w:val="DMETW36775BIPRECOVEXP"/>
              <w:rPr>
                <w:rFonts w:ascii="Verdana" w:eastAsia="Verdana" w:hAnsi="Verdana" w:cs="Verdana"/>
                <w:i/>
                <w:noProof/>
                <w:color w:val="000000"/>
                <w:sz w:val="18"/>
              </w:rPr>
            </w:pPr>
            <w:r>
              <w:rPr>
                <w:rFonts w:ascii="Verdana" w:eastAsia="Verdana" w:hAnsi="Verdana" w:cs="Verdana"/>
                <w:i/>
                <w:noProof/>
                <w:color w:val="000000"/>
                <w:sz w:val="18"/>
              </w:rPr>
              <w:t>Expenses delegated to Member States</w:t>
            </w:r>
          </w:p>
        </w:tc>
        <w:tc>
          <w:tcPr>
            <w:tcW w:w="1778" w:type="dxa"/>
            <w:tcBorders>
              <w:top w:val="nil"/>
              <w:left w:val="nil"/>
              <w:bottom w:val="nil"/>
              <w:right w:val="nil"/>
              <w:tl2br w:val="nil"/>
              <w:tr2bl w:val="nil"/>
            </w:tcBorders>
            <w:tcMar>
              <w:left w:w="60" w:type="dxa"/>
              <w:right w:w="60" w:type="dxa"/>
            </w:tcMar>
            <w:vAlign w:val="center"/>
          </w:tcPr>
          <w:p w14:paraId="638E6FA1" w14:textId="77777777" w:rsidR="00807FFE" w:rsidRDefault="00023E71">
            <w:pPr>
              <w:pStyle w:val="DMETW36775BIPRECOVEXP"/>
              <w:jc w:val="right"/>
              <w:rPr>
                <w:rFonts w:ascii="Verdana" w:eastAsia="Verdana" w:hAnsi="Verdana" w:cs="Verdana"/>
                <w:i/>
                <w:noProof/>
                <w:color w:val="000000"/>
                <w:sz w:val="18"/>
              </w:rPr>
            </w:pPr>
            <w:r>
              <w:rPr>
                <w:rFonts w:ascii="Verdana" w:eastAsia="Verdana" w:hAnsi="Verdana" w:cs="Verdana"/>
                <w:i/>
                <w:noProof/>
                <w:color w:val="000000"/>
                <w:sz w:val="18"/>
              </w:rPr>
              <w:t>1 291</w:t>
            </w:r>
          </w:p>
        </w:tc>
        <w:tc>
          <w:tcPr>
            <w:tcW w:w="2074" w:type="dxa"/>
            <w:tcBorders>
              <w:top w:val="nil"/>
              <w:left w:val="nil"/>
              <w:bottom w:val="nil"/>
              <w:right w:val="nil"/>
              <w:tl2br w:val="nil"/>
              <w:tr2bl w:val="nil"/>
            </w:tcBorders>
            <w:tcMar>
              <w:left w:w="60" w:type="dxa"/>
              <w:right w:w="60" w:type="dxa"/>
            </w:tcMar>
            <w:vAlign w:val="center"/>
          </w:tcPr>
          <w:p w14:paraId="6A5D6C0C" w14:textId="77777777" w:rsidR="00807FFE" w:rsidRDefault="00023E71">
            <w:pPr>
              <w:pStyle w:val="DMETW36775BIPRECOV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755</w:t>
            </w:r>
          </w:p>
        </w:tc>
      </w:tr>
      <w:tr w:rsidR="00807FFE" w14:paraId="3165636A" w14:textId="77777777">
        <w:trPr>
          <w:trHeight w:hRule="exact" w:val="255"/>
        </w:trPr>
        <w:tc>
          <w:tcPr>
            <w:tcW w:w="5906" w:type="dxa"/>
            <w:tcBorders>
              <w:top w:val="nil"/>
              <w:left w:val="nil"/>
              <w:bottom w:val="nil"/>
              <w:right w:val="nil"/>
              <w:tl2br w:val="nil"/>
              <w:tr2bl w:val="nil"/>
            </w:tcBorders>
            <w:tcMar>
              <w:left w:w="60" w:type="dxa"/>
              <w:right w:w="60" w:type="dxa"/>
            </w:tcMar>
            <w:vAlign w:val="center"/>
          </w:tcPr>
          <w:p w14:paraId="2D9EDF00" w14:textId="77777777" w:rsidR="00807FFE" w:rsidRDefault="00023E71">
            <w:pPr>
              <w:pStyle w:val="DMETW36775BIPRECOVEXP"/>
              <w:rPr>
                <w:rFonts w:ascii="Verdana" w:eastAsia="Verdana" w:hAnsi="Verdana" w:cs="Verdana"/>
                <w:i/>
                <w:noProof/>
                <w:color w:val="000000"/>
                <w:sz w:val="18"/>
              </w:rPr>
            </w:pPr>
            <w:r>
              <w:rPr>
                <w:rFonts w:ascii="Verdana" w:eastAsia="Verdana" w:hAnsi="Verdana" w:cs="Verdana"/>
                <w:i/>
                <w:noProof/>
                <w:color w:val="000000"/>
                <w:sz w:val="18"/>
              </w:rPr>
              <w:t>Grants</w:t>
            </w:r>
          </w:p>
        </w:tc>
        <w:tc>
          <w:tcPr>
            <w:tcW w:w="1778" w:type="dxa"/>
            <w:tcBorders>
              <w:top w:val="nil"/>
              <w:left w:val="nil"/>
              <w:bottom w:val="nil"/>
              <w:right w:val="nil"/>
              <w:tl2br w:val="nil"/>
              <w:tr2bl w:val="nil"/>
            </w:tcBorders>
            <w:tcMar>
              <w:left w:w="60" w:type="dxa"/>
              <w:right w:w="60" w:type="dxa"/>
            </w:tcMar>
            <w:vAlign w:val="center"/>
          </w:tcPr>
          <w:p w14:paraId="42DDD160" w14:textId="77777777" w:rsidR="00807FFE" w:rsidRDefault="00023E71">
            <w:pPr>
              <w:pStyle w:val="DMETW36775BIPRECOVEXP"/>
              <w:jc w:val="right"/>
              <w:rPr>
                <w:rFonts w:ascii="Verdana" w:eastAsia="Verdana" w:hAnsi="Verdana" w:cs="Verdana"/>
                <w:i/>
                <w:noProof/>
                <w:color w:val="000000"/>
                <w:sz w:val="18"/>
              </w:rPr>
            </w:pPr>
            <w:r>
              <w:rPr>
                <w:rFonts w:ascii="Verdana" w:eastAsia="Verdana" w:hAnsi="Verdana" w:cs="Verdana"/>
                <w:i/>
                <w:noProof/>
                <w:color w:val="000000"/>
                <w:sz w:val="18"/>
              </w:rPr>
              <w:t xml:space="preserve"> 34</w:t>
            </w:r>
          </w:p>
        </w:tc>
        <w:tc>
          <w:tcPr>
            <w:tcW w:w="2074" w:type="dxa"/>
            <w:tcBorders>
              <w:top w:val="nil"/>
              <w:left w:val="nil"/>
              <w:bottom w:val="nil"/>
              <w:right w:val="nil"/>
              <w:tl2br w:val="nil"/>
              <w:tr2bl w:val="nil"/>
            </w:tcBorders>
            <w:tcMar>
              <w:left w:w="60" w:type="dxa"/>
              <w:right w:w="60" w:type="dxa"/>
            </w:tcMar>
            <w:vAlign w:val="center"/>
          </w:tcPr>
          <w:p w14:paraId="52B62990" w14:textId="77777777" w:rsidR="00807FFE" w:rsidRDefault="00023E71">
            <w:pPr>
              <w:pStyle w:val="DMETW36775BIPRECOV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157</w:t>
            </w:r>
          </w:p>
        </w:tc>
      </w:tr>
      <w:tr w:rsidR="00807FFE" w14:paraId="7738719B" w14:textId="77777777">
        <w:trPr>
          <w:trHeight w:hRule="exact" w:val="255"/>
        </w:trPr>
        <w:tc>
          <w:tcPr>
            <w:tcW w:w="5906" w:type="dxa"/>
            <w:tcBorders>
              <w:top w:val="nil"/>
              <w:left w:val="nil"/>
              <w:bottom w:val="nil"/>
              <w:right w:val="nil"/>
              <w:tl2br w:val="nil"/>
              <w:tr2bl w:val="nil"/>
            </w:tcBorders>
            <w:tcMar>
              <w:left w:w="60" w:type="dxa"/>
              <w:right w:w="60" w:type="dxa"/>
            </w:tcMar>
            <w:vAlign w:val="center"/>
          </w:tcPr>
          <w:p w14:paraId="19A394C7" w14:textId="77777777" w:rsidR="00807FFE" w:rsidRDefault="00023E71">
            <w:pPr>
              <w:pStyle w:val="DMETW36775BIPRECOVEXP"/>
              <w:rPr>
                <w:rFonts w:ascii="Verdana" w:eastAsia="Verdana" w:hAnsi="Verdana" w:cs="Verdana"/>
                <w:i/>
                <w:noProof/>
                <w:color w:val="000000"/>
                <w:sz w:val="18"/>
              </w:rPr>
            </w:pPr>
            <w:r>
              <w:rPr>
                <w:rFonts w:ascii="Verdana" w:eastAsia="Verdana" w:hAnsi="Verdana" w:cs="Verdana"/>
                <w:i/>
                <w:noProof/>
                <w:color w:val="000000"/>
                <w:sz w:val="18"/>
              </w:rPr>
              <w:t>Contributions/Delegation agreements</w:t>
            </w:r>
          </w:p>
        </w:tc>
        <w:tc>
          <w:tcPr>
            <w:tcW w:w="1778" w:type="dxa"/>
            <w:tcBorders>
              <w:top w:val="nil"/>
              <w:left w:val="nil"/>
              <w:bottom w:val="nil"/>
              <w:right w:val="nil"/>
              <w:tl2br w:val="nil"/>
              <w:tr2bl w:val="nil"/>
            </w:tcBorders>
            <w:tcMar>
              <w:left w:w="60" w:type="dxa"/>
              <w:right w:w="60" w:type="dxa"/>
            </w:tcMar>
            <w:vAlign w:val="center"/>
          </w:tcPr>
          <w:p w14:paraId="338F63C5" w14:textId="77777777" w:rsidR="00807FFE" w:rsidRDefault="00023E71">
            <w:pPr>
              <w:pStyle w:val="DMETW36775BIPRECOVEXP"/>
              <w:jc w:val="right"/>
              <w:rPr>
                <w:rFonts w:ascii="Verdana" w:eastAsia="Verdana" w:hAnsi="Verdana" w:cs="Verdana"/>
                <w:i/>
                <w:noProof/>
                <w:color w:val="000000"/>
                <w:sz w:val="18"/>
              </w:rPr>
            </w:pPr>
            <w:r>
              <w:rPr>
                <w:rFonts w:ascii="Verdana" w:eastAsia="Verdana" w:hAnsi="Verdana" w:cs="Verdana"/>
                <w:i/>
                <w:noProof/>
                <w:color w:val="000000"/>
                <w:sz w:val="18"/>
              </w:rPr>
              <w:t xml:space="preserve"> 50</w:t>
            </w:r>
          </w:p>
        </w:tc>
        <w:tc>
          <w:tcPr>
            <w:tcW w:w="2074" w:type="dxa"/>
            <w:tcBorders>
              <w:top w:val="nil"/>
              <w:left w:val="nil"/>
              <w:bottom w:val="nil"/>
              <w:right w:val="nil"/>
              <w:tl2br w:val="nil"/>
              <w:tr2bl w:val="nil"/>
            </w:tcBorders>
            <w:tcMar>
              <w:left w:w="60" w:type="dxa"/>
              <w:right w:w="60" w:type="dxa"/>
            </w:tcMar>
            <w:vAlign w:val="center"/>
          </w:tcPr>
          <w:p w14:paraId="1EF34F5D" w14:textId="77777777" w:rsidR="00807FFE" w:rsidRDefault="00023E71">
            <w:pPr>
              <w:pStyle w:val="DMETW36775BIPRECOV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44</w:t>
            </w:r>
          </w:p>
        </w:tc>
      </w:tr>
      <w:tr w:rsidR="00807FFE" w14:paraId="33812C1F" w14:textId="77777777">
        <w:trPr>
          <w:trHeight w:hRule="exact" w:val="255"/>
        </w:trPr>
        <w:tc>
          <w:tcPr>
            <w:tcW w:w="5906" w:type="dxa"/>
            <w:tcBorders>
              <w:top w:val="nil"/>
              <w:left w:val="nil"/>
              <w:bottom w:val="nil"/>
              <w:right w:val="nil"/>
              <w:tl2br w:val="nil"/>
              <w:tr2bl w:val="nil"/>
            </w:tcBorders>
            <w:tcMar>
              <w:left w:w="60" w:type="dxa"/>
              <w:right w:w="60" w:type="dxa"/>
            </w:tcMar>
            <w:vAlign w:val="center"/>
          </w:tcPr>
          <w:p w14:paraId="4B6B4ACF" w14:textId="77777777" w:rsidR="00807FFE" w:rsidRDefault="00023E71">
            <w:pPr>
              <w:pStyle w:val="DMETW36775BIPRECOVEXP"/>
              <w:rPr>
                <w:rFonts w:ascii="Verdana" w:eastAsia="Verdana" w:hAnsi="Verdana" w:cs="Verdana"/>
                <w:i/>
                <w:noProof/>
                <w:color w:val="000000"/>
                <w:sz w:val="18"/>
              </w:rPr>
            </w:pPr>
            <w:r>
              <w:rPr>
                <w:rFonts w:ascii="Verdana" w:eastAsia="Verdana" w:hAnsi="Verdana" w:cs="Verdana"/>
                <w:i/>
                <w:noProof/>
                <w:color w:val="000000"/>
                <w:sz w:val="18"/>
              </w:rPr>
              <w:t>Other</w:t>
            </w:r>
          </w:p>
        </w:tc>
        <w:tc>
          <w:tcPr>
            <w:tcW w:w="1778" w:type="dxa"/>
            <w:tcBorders>
              <w:top w:val="nil"/>
              <w:left w:val="nil"/>
              <w:bottom w:val="nil"/>
              <w:right w:val="nil"/>
              <w:tl2br w:val="nil"/>
              <w:tr2bl w:val="nil"/>
            </w:tcBorders>
            <w:tcMar>
              <w:left w:w="60" w:type="dxa"/>
              <w:right w:w="60" w:type="dxa"/>
            </w:tcMar>
            <w:vAlign w:val="center"/>
          </w:tcPr>
          <w:p w14:paraId="6E21B8A5" w14:textId="77777777" w:rsidR="00807FFE" w:rsidRDefault="00023E71">
            <w:pPr>
              <w:pStyle w:val="DMETW36775BIPRECOVEXP"/>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2074" w:type="dxa"/>
            <w:tcBorders>
              <w:top w:val="nil"/>
              <w:left w:val="nil"/>
              <w:bottom w:val="nil"/>
              <w:right w:val="nil"/>
              <w:tl2br w:val="nil"/>
              <w:tr2bl w:val="nil"/>
            </w:tcBorders>
            <w:tcMar>
              <w:left w:w="60" w:type="dxa"/>
              <w:right w:w="60" w:type="dxa"/>
            </w:tcMar>
            <w:vAlign w:val="center"/>
          </w:tcPr>
          <w:p w14:paraId="1EB57CCB" w14:textId="77777777" w:rsidR="00807FFE" w:rsidRDefault="00023E71">
            <w:pPr>
              <w:pStyle w:val="DMETW36775BIPRECOVEXP"/>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50597F88" w14:textId="77777777">
        <w:trPr>
          <w:trHeight w:hRule="exact" w:val="255"/>
        </w:trPr>
        <w:tc>
          <w:tcPr>
            <w:tcW w:w="5906" w:type="dxa"/>
            <w:tcBorders>
              <w:top w:val="nil"/>
              <w:left w:val="nil"/>
              <w:bottom w:val="nil"/>
              <w:right w:val="nil"/>
              <w:tl2br w:val="nil"/>
              <w:tr2bl w:val="nil"/>
            </w:tcBorders>
            <w:shd w:val="solid" w:color="CCE1EA" w:fill="FFFFFF"/>
            <w:tcMar>
              <w:left w:w="60" w:type="dxa"/>
              <w:right w:w="60" w:type="dxa"/>
            </w:tcMar>
            <w:vAlign w:val="center"/>
          </w:tcPr>
          <w:p w14:paraId="7D8679D3" w14:textId="77777777" w:rsidR="00807FFE" w:rsidRDefault="00023E71">
            <w:pPr>
              <w:pStyle w:val="DMETW36775BIPRECOVEXP"/>
              <w:rPr>
                <w:rFonts w:ascii="Verdana" w:eastAsia="Verdana" w:hAnsi="Verdana" w:cs="Verdana"/>
                <w:b/>
                <w:noProof/>
                <w:color w:val="000000"/>
                <w:sz w:val="18"/>
              </w:rPr>
            </w:pPr>
            <w:r>
              <w:rPr>
                <w:rFonts w:ascii="Verdana" w:eastAsia="Verdana" w:hAnsi="Verdana" w:cs="Verdana"/>
                <w:b/>
                <w:noProof/>
                <w:color w:val="000000"/>
                <w:sz w:val="18"/>
              </w:rPr>
              <w:t>Total</w:t>
            </w:r>
          </w:p>
        </w:tc>
        <w:tc>
          <w:tcPr>
            <w:tcW w:w="1778" w:type="dxa"/>
            <w:tcBorders>
              <w:top w:val="nil"/>
              <w:left w:val="nil"/>
              <w:bottom w:val="nil"/>
              <w:right w:val="nil"/>
              <w:tl2br w:val="nil"/>
              <w:tr2bl w:val="nil"/>
            </w:tcBorders>
            <w:shd w:val="solid" w:color="CCE1EA" w:fill="FFFFFF"/>
            <w:tcMar>
              <w:left w:w="60" w:type="dxa"/>
              <w:right w:w="60" w:type="dxa"/>
            </w:tcMar>
            <w:vAlign w:val="center"/>
          </w:tcPr>
          <w:p w14:paraId="2AFC8851" w14:textId="77777777" w:rsidR="00807FFE" w:rsidRDefault="00023E71">
            <w:pPr>
              <w:pStyle w:val="DMETW36775BIPRECOVEXP"/>
              <w:jc w:val="right"/>
              <w:rPr>
                <w:rFonts w:ascii="Verdana" w:eastAsia="Verdana" w:hAnsi="Verdana" w:cs="Verdana"/>
                <w:b/>
                <w:noProof/>
                <w:color w:val="000000"/>
                <w:sz w:val="18"/>
              </w:rPr>
            </w:pPr>
            <w:r>
              <w:rPr>
                <w:rFonts w:ascii="Verdana" w:eastAsia="Verdana" w:hAnsi="Verdana" w:cs="Verdana"/>
                <w:b/>
                <w:noProof/>
                <w:color w:val="000000"/>
                <w:sz w:val="18"/>
              </w:rPr>
              <w:t>1 376</w:t>
            </w:r>
          </w:p>
        </w:tc>
        <w:tc>
          <w:tcPr>
            <w:tcW w:w="2074" w:type="dxa"/>
            <w:tcBorders>
              <w:top w:val="nil"/>
              <w:left w:val="nil"/>
              <w:bottom w:val="nil"/>
              <w:right w:val="nil"/>
              <w:tl2br w:val="nil"/>
              <w:tr2bl w:val="nil"/>
            </w:tcBorders>
            <w:shd w:val="solid" w:color="CCE1EA" w:fill="FFFFFF"/>
            <w:tcMar>
              <w:left w:w="60" w:type="dxa"/>
              <w:right w:w="60" w:type="dxa"/>
            </w:tcMar>
            <w:vAlign w:val="center"/>
          </w:tcPr>
          <w:p w14:paraId="35065E39" w14:textId="77777777" w:rsidR="00807FFE" w:rsidRDefault="00023E71">
            <w:pPr>
              <w:pStyle w:val="DMETW36775BIPRECOVEXP"/>
              <w:jc w:val="right"/>
              <w:rPr>
                <w:rFonts w:ascii="Verdana" w:eastAsia="Verdana" w:hAnsi="Verdana" w:cs="Verdana"/>
                <w:b/>
                <w:noProof/>
                <w:color w:val="000000"/>
                <w:sz w:val="18"/>
              </w:rPr>
            </w:pPr>
            <w:r>
              <w:rPr>
                <w:rFonts w:ascii="Verdana" w:eastAsia="Verdana" w:hAnsi="Verdana" w:cs="Verdana"/>
                <w:b/>
                <w:noProof/>
                <w:color w:val="000000"/>
                <w:sz w:val="18"/>
              </w:rPr>
              <w:t xml:space="preserve"> 957</w:t>
            </w:r>
          </w:p>
        </w:tc>
      </w:tr>
    </w:tbl>
    <w:p w14:paraId="4F70E2DE" w14:textId="77777777" w:rsidR="00E51842" w:rsidRDefault="00023E71" w:rsidP="00E51842">
      <w:pPr>
        <w:pStyle w:val="DGTextstand-alone"/>
      </w:pPr>
      <w:r w:rsidRPr="00E23FF2">
        <w:t>This heading mainly represents the recovery orders issued by the Commission that are cashed or offset against (i.e. deducted from) subsequent payments recorded in the Commission's accounting system</w:t>
      </w:r>
      <w:r>
        <w:t xml:space="preserve">. The recovery orders are issued </w:t>
      </w:r>
      <w:r w:rsidRPr="00E23FF2">
        <w:t xml:space="preserve">so as to recover expenditure previously paid out from the </w:t>
      </w:r>
      <w:r>
        <w:t>EU</w:t>
      </w:r>
      <w:r w:rsidRPr="00E23FF2">
        <w:t xml:space="preserve"> budget. Recoveries are based on controls, audits or eligibility analysis and therefore, </w:t>
      </w:r>
      <w:r>
        <w:t>t</w:t>
      </w:r>
      <w:r w:rsidRPr="00974AA5">
        <w:t xml:space="preserve">hese operations protect the </w:t>
      </w:r>
      <w:r w:rsidRPr="00CE6656">
        <w:t>EU budget from expenditure incurred in breach of law</w:t>
      </w:r>
      <w:r>
        <w:t>.</w:t>
      </w:r>
    </w:p>
    <w:p w14:paraId="38BC4287" w14:textId="77777777" w:rsidR="00E51842" w:rsidRDefault="00023E71" w:rsidP="00E51842">
      <w:pPr>
        <w:pStyle w:val="DGTextstand-alone"/>
      </w:pPr>
      <w:r>
        <w:t>Recovery orders issued by Member States to beneficiaries of EAGF expenditure, as well as the variation of accrued income estimations from the previous year-end to the current year-end, are also included.</w:t>
      </w:r>
    </w:p>
    <w:p w14:paraId="295113C1" w14:textId="77777777" w:rsidR="00E51842" w:rsidRDefault="00023E71" w:rsidP="009C453C">
      <w:pPr>
        <w:pStyle w:val="Textstand-alone"/>
        <w:spacing w:before="0"/>
      </w:pPr>
      <w:r>
        <w:t xml:space="preserve">The amounts included in the above table represent revenue earned through the issuance of recovery orders. For this reason, these figures cannot and do not show the full extent of the measures taken to protect the EU budget, particularly for cohesion policy where specific mechanisms are in place to ensure the correction of ineligible expenditure, most of which do not involve the issuance of a recovery order. </w:t>
      </w:r>
      <w:r w:rsidR="00EA3302">
        <w:t xml:space="preserve">The EU budget is also protected by </w:t>
      </w:r>
      <w:r>
        <w:t>withdrawals</w:t>
      </w:r>
      <w:r w:rsidR="00EA3302">
        <w:t xml:space="preserve"> of expenditure</w:t>
      </w:r>
      <w:r>
        <w:t xml:space="preserve"> and recoveries of pre-financing. Recoveries linked to expenses delegated to Member States </w:t>
      </w:r>
      <w:r w:rsidRPr="00754D28">
        <w:rPr>
          <w:rStyle w:val="DGTextstand-aloneChar"/>
        </w:rPr>
        <w:t>make up the bulk of the total:</w:t>
      </w:r>
    </w:p>
    <w:p w14:paraId="266F9D5E" w14:textId="77777777" w:rsidR="00E51842" w:rsidRPr="00754D28" w:rsidRDefault="00023E71" w:rsidP="00E51842">
      <w:pPr>
        <w:pStyle w:val="HEADER5"/>
        <w:rPr>
          <w:noProof/>
        </w:rPr>
      </w:pPr>
      <w:r w:rsidRPr="00754D28">
        <w:rPr>
          <w:noProof/>
        </w:rPr>
        <w:t>Agriculture: EAGF and rural development</w:t>
      </w:r>
    </w:p>
    <w:p w14:paraId="22F4F937" w14:textId="77777777" w:rsidR="00E51842" w:rsidRDefault="00023E71" w:rsidP="00E51842">
      <w:pPr>
        <w:pStyle w:val="DGTextstand-alone"/>
      </w:pPr>
      <w:r>
        <w:t>In the framework of the EAGF and the EAFRD, amounts accounted for as revenue of the year under this heading are financial corrections of the year and reimbursements declared by Member States and recovered during the year, as well as the net increase in the outstanding amounts declared by Member States to be recovered at year-end concerning fraud and irregularities.</w:t>
      </w:r>
      <w:r w:rsidR="00EA3302">
        <w:t xml:space="preserve"> </w:t>
      </w:r>
    </w:p>
    <w:p w14:paraId="2B097332" w14:textId="77777777" w:rsidR="00E51842" w:rsidRPr="00754D28" w:rsidRDefault="00023E71" w:rsidP="00E51842">
      <w:pPr>
        <w:pStyle w:val="HEADER5"/>
        <w:rPr>
          <w:noProof/>
        </w:rPr>
      </w:pPr>
      <w:r w:rsidRPr="00754D28">
        <w:rPr>
          <w:noProof/>
        </w:rPr>
        <w:t>Cohesion policy</w:t>
      </w:r>
    </w:p>
    <w:p w14:paraId="24951231" w14:textId="77777777" w:rsidR="0028738B" w:rsidRDefault="00023E71" w:rsidP="00E51842">
      <w:pPr>
        <w:pStyle w:val="DGTextstand-alone"/>
        <w:spacing w:after="0"/>
        <w:rPr>
          <w:color w:val="000000" w:themeColor="text1"/>
        </w:rPr>
      </w:pPr>
      <w:r w:rsidRPr="002A62A9">
        <w:rPr>
          <w:color w:val="000000" w:themeColor="text1"/>
        </w:rPr>
        <w:t xml:space="preserve">The main amounts related to cohesion policy </w:t>
      </w:r>
      <w:r>
        <w:rPr>
          <w:color w:val="000000" w:themeColor="text1"/>
        </w:rPr>
        <w:t xml:space="preserve">are amounts </w:t>
      </w:r>
      <w:r w:rsidRPr="00EA3302">
        <w:rPr>
          <w:color w:val="000000" w:themeColor="text1"/>
        </w:rPr>
        <w:t>that the Commission expects to recover from the Member States. The recovery</w:t>
      </w:r>
      <w:r w:rsidRPr="002A62A9">
        <w:rPr>
          <w:color w:val="000000" w:themeColor="text1"/>
        </w:rPr>
        <w:t xml:space="preserve"> will be </w:t>
      </w:r>
      <w:r w:rsidRPr="00563F1C">
        <w:rPr>
          <w:color w:val="000000" w:themeColor="text1"/>
        </w:rPr>
        <w:t>made following the examination and acceptance of the annual accounts submitted by the Member States in early 202</w:t>
      </w:r>
      <w:r w:rsidRPr="00DC6327">
        <w:rPr>
          <w:color w:val="000000" w:themeColor="text1"/>
          <w:lang w:val="en-IE"/>
        </w:rPr>
        <w:t>6</w:t>
      </w:r>
      <w:r w:rsidRPr="00563F1C">
        <w:rPr>
          <w:color w:val="000000" w:themeColor="text1"/>
        </w:rPr>
        <w:t>.</w:t>
      </w:r>
      <w:r w:rsidRPr="002A62A9">
        <w:rPr>
          <w:color w:val="000000" w:themeColor="text1"/>
        </w:rPr>
        <w:t xml:space="preserve"> The amounts to be recovered represent essentially the difference between amounts initially declared as eligible during the accounting year and the amounts confirmed as eligible in the annual accounts of the Member States. A low amount means that the controls in place at Member State level enabled the detection of ineligibl</w:t>
      </w:r>
      <w:r>
        <w:rPr>
          <w:color w:val="000000" w:themeColor="text1"/>
        </w:rPr>
        <w:t xml:space="preserve">e amounts early in the process. </w:t>
      </w:r>
    </w:p>
    <w:p w14:paraId="05E7B127" w14:textId="77777777" w:rsidR="00336515"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UK WITHDRAWAL AGREEMENT</w:t>
      </w:r>
    </w:p>
    <w:p w14:paraId="2483E65C" w14:textId="77777777" w:rsidR="00336515" w:rsidRDefault="00023E71" w:rsidP="00336515">
      <w:pPr>
        <w:pStyle w:val="DGTextstand-alone"/>
      </w:pPr>
      <w:bookmarkStart w:id="180" w:name="_Hlk162264662"/>
      <w:r>
        <w:t>This revenue</w:t>
      </w:r>
      <w:r w:rsidRPr="003C01C7">
        <w:t xml:space="preserve"> relates to the net amounts owed by the UK under the </w:t>
      </w:r>
      <w:r>
        <w:t>Withdrawal Agreement signed following its departure from the Union in 2020 (see Note</w:t>
      </w:r>
      <w:r w:rsidRPr="14159C98">
        <w:rPr>
          <w:b/>
          <w:bCs/>
        </w:rPr>
        <w:t xml:space="preserve"> 2.6.1.2</w:t>
      </w:r>
      <w:r>
        <w:t xml:space="preserve">), adjusted each year in accordance with the requirements of the Agreement. In 2025, there was no revenue resulting fom the UK Withdrawal Agreement; instead an expense </w:t>
      </w:r>
      <w:r w:rsidR="00F0595A">
        <w:t>of EUR </w:t>
      </w:r>
      <w:r>
        <w:t>465</w:t>
      </w:r>
      <w:r w:rsidR="00F0595A">
        <w:t xml:space="preserve"> </w:t>
      </w:r>
      <w:r>
        <w:t>million was recognised</w:t>
      </w:r>
      <w:r w:rsidRPr="00582EEC">
        <w:t>.</w:t>
      </w:r>
    </w:p>
    <w:bookmarkEnd w:id="180"/>
    <w:p w14:paraId="08BC296B" w14:textId="77777777" w:rsidR="00E51842"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OTHER REVENUE FROM NON-EXCHANGE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9"/>
        <w:gridCol w:w="1511"/>
        <w:gridCol w:w="2258"/>
      </w:tblGrid>
      <w:tr w:rsidR="00807FFE" w14:paraId="62479C9F" w14:textId="77777777">
        <w:trPr>
          <w:trHeight w:hRule="exact" w:val="255"/>
        </w:trPr>
        <w:tc>
          <w:tcPr>
            <w:tcW w:w="5989" w:type="dxa"/>
            <w:tcBorders>
              <w:top w:val="nil"/>
              <w:left w:val="nil"/>
              <w:bottom w:val="nil"/>
              <w:right w:val="nil"/>
              <w:tl2br w:val="nil"/>
              <w:tr2bl w:val="nil"/>
            </w:tcBorders>
            <w:tcMar>
              <w:left w:w="60" w:type="dxa"/>
              <w:right w:w="60" w:type="dxa"/>
            </w:tcMar>
            <w:vAlign w:val="bottom"/>
          </w:tcPr>
          <w:p w14:paraId="358DB3EE" w14:textId="77777777" w:rsidR="00807FFE" w:rsidRDefault="00807FFE">
            <w:pPr>
              <w:pStyle w:val="DMETW36749BIPONER"/>
              <w:rPr>
                <w:rFonts w:ascii="Arial" w:eastAsia="Arial" w:hAnsi="Arial" w:cs="Arial"/>
                <w:noProof/>
                <w:color w:val="000000"/>
                <w:lang w:bidi="en-GB"/>
              </w:rPr>
            </w:pPr>
            <w:bookmarkStart w:id="181" w:name="DOC_TBL00067_1_1"/>
            <w:bookmarkEnd w:id="181"/>
          </w:p>
        </w:tc>
        <w:tc>
          <w:tcPr>
            <w:tcW w:w="1511" w:type="dxa"/>
            <w:tcBorders>
              <w:top w:val="nil"/>
              <w:left w:val="nil"/>
              <w:bottom w:val="nil"/>
              <w:right w:val="nil"/>
              <w:tl2br w:val="nil"/>
              <w:tr2bl w:val="nil"/>
            </w:tcBorders>
            <w:tcMar>
              <w:left w:w="60" w:type="dxa"/>
              <w:right w:w="60" w:type="dxa"/>
            </w:tcMar>
            <w:vAlign w:val="bottom"/>
          </w:tcPr>
          <w:p w14:paraId="183C84EF" w14:textId="77777777" w:rsidR="00807FFE" w:rsidRDefault="00807FFE">
            <w:pPr>
              <w:pStyle w:val="DMETW36749BIPONER"/>
              <w:rPr>
                <w:rFonts w:ascii="Arial" w:eastAsia="Arial" w:hAnsi="Arial" w:cs="Arial"/>
                <w:noProof/>
                <w:color w:val="000000"/>
              </w:rPr>
            </w:pPr>
          </w:p>
        </w:tc>
        <w:tc>
          <w:tcPr>
            <w:tcW w:w="2258" w:type="dxa"/>
            <w:tcBorders>
              <w:top w:val="nil"/>
              <w:left w:val="nil"/>
              <w:bottom w:val="nil"/>
              <w:right w:val="nil"/>
              <w:tl2br w:val="nil"/>
              <w:tr2bl w:val="nil"/>
            </w:tcBorders>
            <w:tcMar>
              <w:left w:w="60" w:type="dxa"/>
              <w:right w:w="60" w:type="dxa"/>
            </w:tcMar>
            <w:vAlign w:val="bottom"/>
          </w:tcPr>
          <w:p w14:paraId="64C485A3" w14:textId="77777777" w:rsidR="00807FFE" w:rsidRDefault="00023E71">
            <w:pPr>
              <w:pStyle w:val="DMETW36749BIPONER"/>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80E2561" w14:textId="77777777">
        <w:trPr>
          <w:trHeight w:hRule="exact" w:val="255"/>
        </w:trPr>
        <w:tc>
          <w:tcPr>
            <w:tcW w:w="5989" w:type="dxa"/>
            <w:tcBorders>
              <w:top w:val="nil"/>
              <w:left w:val="nil"/>
              <w:bottom w:val="nil"/>
              <w:right w:val="nil"/>
              <w:tl2br w:val="nil"/>
              <w:tr2bl w:val="nil"/>
            </w:tcBorders>
            <w:shd w:val="solid" w:color="016794" w:fill="FFFFFF"/>
            <w:tcMar>
              <w:left w:w="60" w:type="dxa"/>
              <w:right w:w="60" w:type="dxa"/>
            </w:tcMar>
            <w:vAlign w:val="center"/>
          </w:tcPr>
          <w:p w14:paraId="70507ADE" w14:textId="77777777" w:rsidR="00807FFE" w:rsidRDefault="00807FFE">
            <w:pPr>
              <w:pStyle w:val="DMETW36749BIPONER"/>
              <w:jc w:val="right"/>
              <w:rPr>
                <w:rFonts w:ascii="Verdana" w:eastAsia="Verdana" w:hAnsi="Verdana" w:cs="Verdana"/>
                <w:noProof/>
                <w:color w:val="FFFFFF"/>
              </w:rPr>
            </w:pPr>
          </w:p>
        </w:tc>
        <w:tc>
          <w:tcPr>
            <w:tcW w:w="1511" w:type="dxa"/>
            <w:tcBorders>
              <w:top w:val="nil"/>
              <w:left w:val="nil"/>
              <w:bottom w:val="nil"/>
              <w:right w:val="nil"/>
              <w:tl2br w:val="nil"/>
              <w:tr2bl w:val="nil"/>
            </w:tcBorders>
            <w:shd w:val="solid" w:color="016794" w:fill="FFFFFF"/>
            <w:tcMar>
              <w:left w:w="60" w:type="dxa"/>
              <w:right w:w="60" w:type="dxa"/>
            </w:tcMar>
            <w:vAlign w:val="center"/>
          </w:tcPr>
          <w:p w14:paraId="5A868132" w14:textId="77777777" w:rsidR="00807FFE" w:rsidRDefault="00023E71">
            <w:pPr>
              <w:pStyle w:val="DMETW36749BIPONER"/>
              <w:jc w:val="right"/>
              <w:rPr>
                <w:rFonts w:ascii="Verdana" w:eastAsia="Verdana" w:hAnsi="Verdana" w:cs="Verdana"/>
                <w:noProof/>
                <w:color w:val="FFFFFF"/>
              </w:rPr>
            </w:pPr>
            <w:r>
              <w:rPr>
                <w:rFonts w:ascii="Verdana" w:eastAsia="Verdana" w:hAnsi="Verdana" w:cs="Verdana"/>
                <w:noProof/>
                <w:color w:val="FFFFFF"/>
              </w:rPr>
              <w:t>2025</w:t>
            </w:r>
          </w:p>
        </w:tc>
        <w:tc>
          <w:tcPr>
            <w:tcW w:w="2258" w:type="dxa"/>
            <w:tcBorders>
              <w:top w:val="nil"/>
              <w:left w:val="nil"/>
              <w:bottom w:val="nil"/>
              <w:right w:val="nil"/>
              <w:tl2br w:val="nil"/>
              <w:tr2bl w:val="nil"/>
            </w:tcBorders>
            <w:shd w:val="solid" w:color="016794" w:fill="FFFFFF"/>
            <w:tcMar>
              <w:left w:w="60" w:type="dxa"/>
              <w:right w:w="60" w:type="dxa"/>
            </w:tcMar>
            <w:vAlign w:val="center"/>
          </w:tcPr>
          <w:p w14:paraId="75174064" w14:textId="77777777" w:rsidR="00807FFE" w:rsidRDefault="00023E71">
            <w:pPr>
              <w:pStyle w:val="DMETW36749BIPONER"/>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19C8DCEF"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71BCC730"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Contributions from Member States:</w:t>
            </w:r>
          </w:p>
        </w:tc>
        <w:tc>
          <w:tcPr>
            <w:tcW w:w="1511" w:type="dxa"/>
            <w:tcBorders>
              <w:top w:val="nil"/>
              <w:left w:val="nil"/>
              <w:bottom w:val="nil"/>
              <w:right w:val="nil"/>
              <w:tl2br w:val="nil"/>
              <w:tr2bl w:val="nil"/>
            </w:tcBorders>
            <w:tcMar>
              <w:left w:w="60" w:type="dxa"/>
              <w:right w:w="60" w:type="dxa"/>
            </w:tcMar>
            <w:vAlign w:val="center"/>
          </w:tcPr>
          <w:p w14:paraId="72326B2E" w14:textId="77777777" w:rsidR="00807FFE" w:rsidRDefault="00807FFE">
            <w:pPr>
              <w:pStyle w:val="DMETW36749BIPONER"/>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14:paraId="1346AF89" w14:textId="77777777" w:rsidR="00807FFE" w:rsidRDefault="00807FFE">
            <w:pPr>
              <w:pStyle w:val="DMETW36749BIPONER"/>
              <w:jc w:val="right"/>
              <w:rPr>
                <w:rFonts w:ascii="Verdana" w:eastAsia="Verdana" w:hAnsi="Verdana" w:cs="Verdana"/>
                <w:i/>
                <w:noProof/>
                <w:color w:val="000000"/>
                <w:sz w:val="18"/>
                <w:lang w:bidi="en-GB"/>
              </w:rPr>
            </w:pPr>
          </w:p>
        </w:tc>
      </w:tr>
      <w:tr w:rsidR="00807FFE" w14:paraId="5AC4ED74"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49D07F36"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 xml:space="preserve">     Innovation Fund</w:t>
            </w:r>
          </w:p>
        </w:tc>
        <w:tc>
          <w:tcPr>
            <w:tcW w:w="1511" w:type="dxa"/>
            <w:tcBorders>
              <w:top w:val="nil"/>
              <w:left w:val="nil"/>
              <w:bottom w:val="nil"/>
              <w:right w:val="nil"/>
              <w:tl2br w:val="nil"/>
              <w:tr2bl w:val="nil"/>
            </w:tcBorders>
            <w:tcMar>
              <w:left w:w="60" w:type="dxa"/>
              <w:right w:w="60" w:type="dxa"/>
            </w:tcMar>
            <w:vAlign w:val="center"/>
          </w:tcPr>
          <w:p w14:paraId="5EAD11E8"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2 614</w:t>
            </w:r>
          </w:p>
        </w:tc>
        <w:tc>
          <w:tcPr>
            <w:tcW w:w="2258" w:type="dxa"/>
            <w:tcBorders>
              <w:top w:val="nil"/>
              <w:left w:val="nil"/>
              <w:bottom w:val="nil"/>
              <w:right w:val="nil"/>
              <w:tl2br w:val="nil"/>
              <w:tr2bl w:val="nil"/>
            </w:tcBorders>
            <w:tcMar>
              <w:left w:w="60" w:type="dxa"/>
              <w:right w:w="60" w:type="dxa"/>
            </w:tcMar>
            <w:vAlign w:val="center"/>
          </w:tcPr>
          <w:p w14:paraId="3094E293"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2 297</w:t>
            </w:r>
          </w:p>
        </w:tc>
      </w:tr>
      <w:tr w:rsidR="00807FFE" w14:paraId="0F60926C"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4FD662FE"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 xml:space="preserve">     RePowerEU</w:t>
            </w:r>
          </w:p>
        </w:tc>
        <w:tc>
          <w:tcPr>
            <w:tcW w:w="1511" w:type="dxa"/>
            <w:tcBorders>
              <w:top w:val="nil"/>
              <w:left w:val="nil"/>
              <w:bottom w:val="nil"/>
              <w:right w:val="nil"/>
              <w:tl2br w:val="nil"/>
              <w:tr2bl w:val="nil"/>
            </w:tcBorders>
            <w:tcMar>
              <w:left w:w="60" w:type="dxa"/>
              <w:right w:w="60" w:type="dxa"/>
            </w:tcMar>
            <w:vAlign w:val="center"/>
          </w:tcPr>
          <w:p w14:paraId="6EA07AAB"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6 360</w:t>
            </w:r>
          </w:p>
        </w:tc>
        <w:tc>
          <w:tcPr>
            <w:tcW w:w="2258" w:type="dxa"/>
            <w:tcBorders>
              <w:top w:val="nil"/>
              <w:left w:val="nil"/>
              <w:bottom w:val="nil"/>
              <w:right w:val="nil"/>
              <w:tl2br w:val="nil"/>
              <w:tr2bl w:val="nil"/>
            </w:tcBorders>
            <w:tcMar>
              <w:left w:w="60" w:type="dxa"/>
              <w:right w:w="60" w:type="dxa"/>
            </w:tcMar>
            <w:vAlign w:val="center"/>
          </w:tcPr>
          <w:p w14:paraId="1D8EEE81"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5 869</w:t>
            </w:r>
          </w:p>
        </w:tc>
      </w:tr>
      <w:tr w:rsidR="00807FFE" w14:paraId="0FB1EB9F"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06DDFE9F"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 xml:space="preserve">     Social Climate Fund</w:t>
            </w:r>
          </w:p>
        </w:tc>
        <w:tc>
          <w:tcPr>
            <w:tcW w:w="1511" w:type="dxa"/>
            <w:tcBorders>
              <w:top w:val="nil"/>
              <w:left w:val="nil"/>
              <w:bottom w:val="nil"/>
              <w:right w:val="nil"/>
              <w:tl2br w:val="nil"/>
              <w:tr2bl w:val="nil"/>
            </w:tcBorders>
            <w:tcMar>
              <w:left w:w="60" w:type="dxa"/>
              <w:right w:w="60" w:type="dxa"/>
            </w:tcMar>
            <w:vAlign w:val="center"/>
          </w:tcPr>
          <w:p w14:paraId="0D7DD4E2"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3 668</w:t>
            </w:r>
          </w:p>
        </w:tc>
        <w:tc>
          <w:tcPr>
            <w:tcW w:w="2258" w:type="dxa"/>
            <w:tcBorders>
              <w:top w:val="nil"/>
              <w:left w:val="nil"/>
              <w:bottom w:val="nil"/>
              <w:right w:val="nil"/>
              <w:tl2br w:val="nil"/>
              <w:tr2bl w:val="nil"/>
            </w:tcBorders>
            <w:tcMar>
              <w:left w:w="60" w:type="dxa"/>
              <w:right w:w="60" w:type="dxa"/>
            </w:tcMar>
            <w:vAlign w:val="bottom"/>
          </w:tcPr>
          <w:p w14:paraId="2F5CA1A4" w14:textId="77777777" w:rsidR="00807FFE" w:rsidRDefault="00023E71">
            <w:pPr>
              <w:pStyle w:val="DMETW36749BIPONER"/>
              <w:jc w:val="right"/>
              <w:rPr>
                <w:rFonts w:cs="Calibri"/>
                <w:noProof/>
                <w:color w:val="000000"/>
                <w:lang w:bidi="en-GB"/>
              </w:rPr>
            </w:pPr>
            <w:r>
              <w:rPr>
                <w:rFonts w:cs="Calibri"/>
                <w:noProof/>
                <w:color w:val="000000"/>
              </w:rPr>
              <w:t>-</w:t>
            </w:r>
          </w:p>
        </w:tc>
      </w:tr>
      <w:tr w:rsidR="00807FFE" w14:paraId="7AD332F4"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37A8DA79"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 xml:space="preserve">     External aid</w:t>
            </w:r>
          </w:p>
        </w:tc>
        <w:tc>
          <w:tcPr>
            <w:tcW w:w="1511" w:type="dxa"/>
            <w:tcBorders>
              <w:top w:val="nil"/>
              <w:left w:val="nil"/>
              <w:bottom w:val="nil"/>
              <w:right w:val="nil"/>
              <w:tl2br w:val="nil"/>
              <w:tr2bl w:val="nil"/>
            </w:tcBorders>
            <w:tcMar>
              <w:left w:w="60" w:type="dxa"/>
              <w:right w:w="60" w:type="dxa"/>
            </w:tcMar>
            <w:vAlign w:val="center"/>
          </w:tcPr>
          <w:p w14:paraId="63D23822"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1 001</w:t>
            </w:r>
          </w:p>
        </w:tc>
        <w:tc>
          <w:tcPr>
            <w:tcW w:w="2258" w:type="dxa"/>
            <w:tcBorders>
              <w:top w:val="nil"/>
              <w:left w:val="nil"/>
              <w:bottom w:val="nil"/>
              <w:right w:val="nil"/>
              <w:tl2br w:val="nil"/>
              <w:tr2bl w:val="nil"/>
            </w:tcBorders>
            <w:tcMar>
              <w:left w:w="60" w:type="dxa"/>
              <w:right w:w="60" w:type="dxa"/>
            </w:tcMar>
            <w:vAlign w:val="center"/>
          </w:tcPr>
          <w:p w14:paraId="12C06AF0"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671</w:t>
            </w:r>
          </w:p>
        </w:tc>
      </w:tr>
      <w:tr w:rsidR="00807FFE" w14:paraId="4147AA44"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1356BC92"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 xml:space="preserve">     Invest EU</w:t>
            </w:r>
          </w:p>
        </w:tc>
        <w:tc>
          <w:tcPr>
            <w:tcW w:w="1511" w:type="dxa"/>
            <w:tcBorders>
              <w:top w:val="nil"/>
              <w:left w:val="nil"/>
              <w:bottom w:val="nil"/>
              <w:right w:val="nil"/>
              <w:tl2br w:val="nil"/>
              <w:tr2bl w:val="nil"/>
            </w:tcBorders>
            <w:tcMar>
              <w:left w:w="60" w:type="dxa"/>
              <w:right w:w="60" w:type="dxa"/>
            </w:tcMar>
            <w:vAlign w:val="center"/>
          </w:tcPr>
          <w:p w14:paraId="018CDF52"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 xml:space="preserve"> 58</w:t>
            </w:r>
          </w:p>
        </w:tc>
        <w:tc>
          <w:tcPr>
            <w:tcW w:w="2258" w:type="dxa"/>
            <w:tcBorders>
              <w:top w:val="nil"/>
              <w:left w:val="nil"/>
              <w:bottom w:val="nil"/>
              <w:right w:val="nil"/>
              <w:tl2br w:val="nil"/>
              <w:tr2bl w:val="nil"/>
            </w:tcBorders>
            <w:tcMar>
              <w:left w:w="60" w:type="dxa"/>
              <w:right w:w="60" w:type="dxa"/>
            </w:tcMar>
            <w:vAlign w:val="center"/>
          </w:tcPr>
          <w:p w14:paraId="145FFBB2"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207</w:t>
            </w:r>
          </w:p>
        </w:tc>
      </w:tr>
      <w:tr w:rsidR="00807FFE" w14:paraId="6F6CD495"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755BC66F"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Staff taxes and contributions</w:t>
            </w:r>
          </w:p>
        </w:tc>
        <w:tc>
          <w:tcPr>
            <w:tcW w:w="1511" w:type="dxa"/>
            <w:tcBorders>
              <w:top w:val="nil"/>
              <w:left w:val="nil"/>
              <w:bottom w:val="nil"/>
              <w:right w:val="nil"/>
              <w:tl2br w:val="nil"/>
              <w:tr2bl w:val="nil"/>
            </w:tcBorders>
            <w:tcMar>
              <w:left w:w="60" w:type="dxa"/>
              <w:right w:w="60" w:type="dxa"/>
            </w:tcMar>
            <w:vAlign w:val="center"/>
          </w:tcPr>
          <w:p w14:paraId="5CD87CAB"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1 882</w:t>
            </w:r>
          </w:p>
        </w:tc>
        <w:tc>
          <w:tcPr>
            <w:tcW w:w="2258" w:type="dxa"/>
            <w:tcBorders>
              <w:top w:val="nil"/>
              <w:left w:val="nil"/>
              <w:bottom w:val="nil"/>
              <w:right w:val="nil"/>
              <w:tl2br w:val="nil"/>
              <w:tr2bl w:val="nil"/>
            </w:tcBorders>
            <w:tcMar>
              <w:left w:w="60" w:type="dxa"/>
              <w:right w:w="60" w:type="dxa"/>
            </w:tcMar>
            <w:vAlign w:val="center"/>
          </w:tcPr>
          <w:p w14:paraId="78339F22"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1 754</w:t>
            </w:r>
          </w:p>
        </w:tc>
      </w:tr>
      <w:tr w:rsidR="00807FFE" w14:paraId="79BA7C9B"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3D24546F"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Contribution from other entities to the EC</w:t>
            </w:r>
          </w:p>
        </w:tc>
        <w:tc>
          <w:tcPr>
            <w:tcW w:w="1511" w:type="dxa"/>
            <w:tcBorders>
              <w:top w:val="nil"/>
              <w:left w:val="nil"/>
              <w:bottom w:val="nil"/>
              <w:right w:val="nil"/>
              <w:tl2br w:val="nil"/>
              <w:tr2bl w:val="nil"/>
            </w:tcBorders>
            <w:tcMar>
              <w:left w:w="60" w:type="dxa"/>
              <w:right w:w="60" w:type="dxa"/>
            </w:tcMar>
            <w:vAlign w:val="center"/>
          </w:tcPr>
          <w:p w14:paraId="35C80D5A"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3 293</w:t>
            </w:r>
          </w:p>
        </w:tc>
        <w:tc>
          <w:tcPr>
            <w:tcW w:w="2258" w:type="dxa"/>
            <w:tcBorders>
              <w:top w:val="nil"/>
              <w:left w:val="nil"/>
              <w:bottom w:val="nil"/>
              <w:right w:val="nil"/>
              <w:tl2br w:val="nil"/>
              <w:tr2bl w:val="nil"/>
            </w:tcBorders>
            <w:tcMar>
              <w:left w:w="60" w:type="dxa"/>
              <w:right w:w="60" w:type="dxa"/>
            </w:tcMar>
            <w:vAlign w:val="bottom"/>
          </w:tcPr>
          <w:p w14:paraId="56B5062B"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524</w:t>
            </w:r>
          </w:p>
        </w:tc>
      </w:tr>
      <w:tr w:rsidR="00807FFE" w14:paraId="18935E8A" w14:textId="77777777">
        <w:trPr>
          <w:trHeight w:hRule="exact" w:val="260"/>
        </w:trPr>
        <w:tc>
          <w:tcPr>
            <w:tcW w:w="5989" w:type="dxa"/>
            <w:tcBorders>
              <w:top w:val="nil"/>
              <w:left w:val="nil"/>
              <w:bottom w:val="nil"/>
              <w:right w:val="nil"/>
              <w:tl2br w:val="nil"/>
              <w:tr2bl w:val="nil"/>
            </w:tcBorders>
            <w:tcMar>
              <w:left w:w="60" w:type="dxa"/>
              <w:right w:w="60" w:type="dxa"/>
            </w:tcMar>
            <w:vAlign w:val="center"/>
          </w:tcPr>
          <w:p w14:paraId="024B301D"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Contribution from EFTA, third countries and accession countries</w:t>
            </w:r>
          </w:p>
        </w:tc>
        <w:tc>
          <w:tcPr>
            <w:tcW w:w="1511" w:type="dxa"/>
            <w:tcBorders>
              <w:top w:val="nil"/>
              <w:left w:val="nil"/>
              <w:bottom w:val="nil"/>
              <w:right w:val="nil"/>
              <w:tl2br w:val="nil"/>
              <w:tr2bl w:val="nil"/>
            </w:tcBorders>
            <w:tcMar>
              <w:left w:w="60" w:type="dxa"/>
              <w:right w:w="60" w:type="dxa"/>
            </w:tcMar>
            <w:vAlign w:val="center"/>
          </w:tcPr>
          <w:p w14:paraId="198167EF"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4 874</w:t>
            </w:r>
          </w:p>
        </w:tc>
        <w:tc>
          <w:tcPr>
            <w:tcW w:w="2258" w:type="dxa"/>
            <w:tcBorders>
              <w:top w:val="nil"/>
              <w:left w:val="nil"/>
              <w:bottom w:val="nil"/>
              <w:right w:val="nil"/>
              <w:tl2br w:val="nil"/>
              <w:tr2bl w:val="nil"/>
            </w:tcBorders>
            <w:tcMar>
              <w:left w:w="60" w:type="dxa"/>
              <w:right w:w="60" w:type="dxa"/>
            </w:tcMar>
            <w:vAlign w:val="center"/>
          </w:tcPr>
          <w:p w14:paraId="147CF36D"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4 527</w:t>
            </w:r>
          </w:p>
        </w:tc>
      </w:tr>
      <w:tr w:rsidR="00807FFE" w14:paraId="48F2B16D"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689E819D"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Transfer of assets</w:t>
            </w:r>
          </w:p>
        </w:tc>
        <w:tc>
          <w:tcPr>
            <w:tcW w:w="1511" w:type="dxa"/>
            <w:tcBorders>
              <w:top w:val="nil"/>
              <w:left w:val="nil"/>
              <w:bottom w:val="nil"/>
              <w:right w:val="nil"/>
              <w:tl2br w:val="nil"/>
              <w:tr2bl w:val="nil"/>
            </w:tcBorders>
            <w:tcMar>
              <w:left w:w="60" w:type="dxa"/>
              <w:right w:w="60" w:type="dxa"/>
            </w:tcMar>
            <w:vAlign w:val="center"/>
          </w:tcPr>
          <w:p w14:paraId="23DF47B1"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258" w:type="dxa"/>
            <w:tcBorders>
              <w:top w:val="nil"/>
              <w:left w:val="nil"/>
              <w:bottom w:val="nil"/>
              <w:right w:val="nil"/>
              <w:tl2br w:val="nil"/>
              <w:tr2bl w:val="nil"/>
            </w:tcBorders>
            <w:tcMar>
              <w:left w:w="60" w:type="dxa"/>
              <w:right w:w="60" w:type="dxa"/>
            </w:tcMar>
            <w:vAlign w:val="center"/>
          </w:tcPr>
          <w:p w14:paraId="47CE1B1B"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307</w:t>
            </w:r>
          </w:p>
        </w:tc>
      </w:tr>
      <w:tr w:rsidR="00807FFE" w14:paraId="2FE4675B" w14:textId="77777777">
        <w:trPr>
          <w:trHeight w:hRule="exact" w:val="255"/>
        </w:trPr>
        <w:tc>
          <w:tcPr>
            <w:tcW w:w="5989" w:type="dxa"/>
            <w:tcBorders>
              <w:top w:val="nil"/>
              <w:left w:val="nil"/>
              <w:bottom w:val="nil"/>
              <w:right w:val="nil"/>
              <w:tl2br w:val="nil"/>
              <w:tr2bl w:val="nil"/>
            </w:tcBorders>
            <w:tcMar>
              <w:left w:w="60" w:type="dxa"/>
              <w:right w:w="60" w:type="dxa"/>
            </w:tcMar>
            <w:vAlign w:val="center"/>
          </w:tcPr>
          <w:p w14:paraId="218D7B8A"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Budgetary adjustments</w:t>
            </w:r>
          </w:p>
        </w:tc>
        <w:tc>
          <w:tcPr>
            <w:tcW w:w="1511" w:type="dxa"/>
            <w:tcBorders>
              <w:top w:val="nil"/>
              <w:left w:val="nil"/>
              <w:bottom w:val="nil"/>
              <w:right w:val="nil"/>
              <w:tl2br w:val="nil"/>
              <w:tr2bl w:val="nil"/>
            </w:tcBorders>
            <w:tcMar>
              <w:left w:w="60" w:type="dxa"/>
              <w:right w:w="60" w:type="dxa"/>
            </w:tcMar>
            <w:vAlign w:val="center"/>
          </w:tcPr>
          <w:p w14:paraId="4BC927E9"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(5 811)</w:t>
            </w:r>
          </w:p>
        </w:tc>
        <w:tc>
          <w:tcPr>
            <w:tcW w:w="2258" w:type="dxa"/>
            <w:tcBorders>
              <w:top w:val="nil"/>
              <w:left w:val="nil"/>
              <w:bottom w:val="nil"/>
              <w:right w:val="nil"/>
              <w:tl2br w:val="nil"/>
              <w:tr2bl w:val="nil"/>
            </w:tcBorders>
            <w:tcMar>
              <w:left w:w="60" w:type="dxa"/>
              <w:right w:w="60" w:type="dxa"/>
            </w:tcMar>
            <w:vAlign w:val="center"/>
          </w:tcPr>
          <w:p w14:paraId="7F0CFA1F"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(6 169)</w:t>
            </w:r>
          </w:p>
        </w:tc>
      </w:tr>
      <w:tr w:rsidR="00807FFE" w14:paraId="6735D797" w14:textId="77777777">
        <w:trPr>
          <w:trHeight w:hRule="exact" w:val="270"/>
        </w:trPr>
        <w:tc>
          <w:tcPr>
            <w:tcW w:w="5989" w:type="dxa"/>
            <w:tcBorders>
              <w:top w:val="nil"/>
              <w:left w:val="nil"/>
              <w:bottom w:val="nil"/>
              <w:right w:val="nil"/>
              <w:tl2br w:val="nil"/>
              <w:tr2bl w:val="nil"/>
            </w:tcBorders>
            <w:tcMar>
              <w:left w:w="60" w:type="dxa"/>
              <w:right w:w="60" w:type="dxa"/>
            </w:tcMar>
            <w:vAlign w:val="center"/>
          </w:tcPr>
          <w:p w14:paraId="685DDDB5"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Adjustment of provisions</w:t>
            </w:r>
          </w:p>
        </w:tc>
        <w:tc>
          <w:tcPr>
            <w:tcW w:w="1511" w:type="dxa"/>
            <w:tcBorders>
              <w:top w:val="nil"/>
              <w:left w:val="nil"/>
              <w:bottom w:val="nil"/>
              <w:right w:val="nil"/>
              <w:tl2br w:val="nil"/>
              <w:tr2bl w:val="nil"/>
            </w:tcBorders>
            <w:tcMar>
              <w:left w:w="60" w:type="dxa"/>
              <w:right w:w="60" w:type="dxa"/>
            </w:tcMar>
            <w:vAlign w:val="center"/>
          </w:tcPr>
          <w:p w14:paraId="740F45D0"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 xml:space="preserve"> 459</w:t>
            </w:r>
          </w:p>
        </w:tc>
        <w:tc>
          <w:tcPr>
            <w:tcW w:w="2258" w:type="dxa"/>
            <w:tcBorders>
              <w:top w:val="nil"/>
              <w:left w:val="nil"/>
              <w:bottom w:val="nil"/>
              <w:right w:val="nil"/>
              <w:tl2br w:val="nil"/>
              <w:tr2bl w:val="nil"/>
            </w:tcBorders>
            <w:tcMar>
              <w:left w:w="60" w:type="dxa"/>
              <w:right w:w="60" w:type="dxa"/>
            </w:tcMar>
            <w:vAlign w:val="center"/>
          </w:tcPr>
          <w:p w14:paraId="08F62D55"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426</w:t>
            </w:r>
          </w:p>
        </w:tc>
      </w:tr>
      <w:tr w:rsidR="00807FFE" w14:paraId="53812740" w14:textId="77777777">
        <w:trPr>
          <w:trHeight w:hRule="exact" w:val="266"/>
        </w:trPr>
        <w:tc>
          <w:tcPr>
            <w:tcW w:w="5989" w:type="dxa"/>
            <w:tcBorders>
              <w:top w:val="nil"/>
              <w:left w:val="nil"/>
              <w:bottom w:val="nil"/>
              <w:right w:val="nil"/>
              <w:tl2br w:val="nil"/>
              <w:tr2bl w:val="nil"/>
            </w:tcBorders>
            <w:tcMar>
              <w:left w:w="60" w:type="dxa"/>
              <w:right w:w="60" w:type="dxa"/>
            </w:tcMar>
            <w:vAlign w:val="center"/>
          </w:tcPr>
          <w:p w14:paraId="179CA129" w14:textId="77777777" w:rsidR="00807FFE" w:rsidRDefault="00023E71">
            <w:pPr>
              <w:pStyle w:val="DMETW36749BIPONER"/>
              <w:rPr>
                <w:rFonts w:ascii="Verdana" w:eastAsia="Verdana" w:hAnsi="Verdana" w:cs="Verdana"/>
                <w:i/>
                <w:noProof/>
                <w:color w:val="000000"/>
                <w:sz w:val="18"/>
              </w:rPr>
            </w:pPr>
            <w:r>
              <w:rPr>
                <w:rFonts w:ascii="Verdana" w:eastAsia="Verdana" w:hAnsi="Verdana" w:cs="Verdana"/>
                <w:i/>
                <w:noProof/>
                <w:color w:val="000000"/>
                <w:sz w:val="18"/>
              </w:rPr>
              <w:t>Other</w:t>
            </w:r>
          </w:p>
        </w:tc>
        <w:tc>
          <w:tcPr>
            <w:tcW w:w="1511" w:type="dxa"/>
            <w:tcBorders>
              <w:top w:val="nil"/>
              <w:left w:val="nil"/>
              <w:bottom w:val="nil"/>
              <w:right w:val="nil"/>
              <w:tl2br w:val="nil"/>
              <w:tr2bl w:val="nil"/>
            </w:tcBorders>
            <w:tcMar>
              <w:left w:w="60" w:type="dxa"/>
              <w:right w:w="60" w:type="dxa"/>
            </w:tcMar>
            <w:vAlign w:val="center"/>
          </w:tcPr>
          <w:p w14:paraId="6EDF6B8C" w14:textId="77777777" w:rsidR="00807FFE" w:rsidRDefault="00023E71">
            <w:pPr>
              <w:pStyle w:val="DMETW36749BIPONER"/>
              <w:jc w:val="right"/>
              <w:rPr>
                <w:rFonts w:ascii="Verdana" w:eastAsia="Verdana" w:hAnsi="Verdana" w:cs="Verdana"/>
                <w:i/>
                <w:noProof/>
                <w:color w:val="000000"/>
                <w:sz w:val="18"/>
              </w:rPr>
            </w:pPr>
            <w:r>
              <w:rPr>
                <w:rFonts w:ascii="Verdana" w:eastAsia="Verdana" w:hAnsi="Verdana" w:cs="Verdana"/>
                <w:i/>
                <w:noProof/>
                <w:color w:val="000000"/>
                <w:sz w:val="18"/>
              </w:rPr>
              <w:t xml:space="preserve"> 175</w:t>
            </w:r>
          </w:p>
        </w:tc>
        <w:tc>
          <w:tcPr>
            <w:tcW w:w="2258" w:type="dxa"/>
            <w:tcBorders>
              <w:top w:val="nil"/>
              <w:left w:val="nil"/>
              <w:bottom w:val="nil"/>
              <w:right w:val="nil"/>
              <w:tl2br w:val="nil"/>
              <w:tr2bl w:val="nil"/>
            </w:tcBorders>
            <w:tcMar>
              <w:left w:w="60" w:type="dxa"/>
              <w:right w:w="60" w:type="dxa"/>
            </w:tcMar>
            <w:vAlign w:val="center"/>
          </w:tcPr>
          <w:p w14:paraId="0C2DC8E8" w14:textId="77777777" w:rsidR="00807FFE" w:rsidRDefault="00023E71">
            <w:pPr>
              <w:pStyle w:val="DMETW36749BIPON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261</w:t>
            </w:r>
          </w:p>
        </w:tc>
      </w:tr>
      <w:tr w:rsidR="00807FFE" w14:paraId="609A6AFB" w14:textId="77777777">
        <w:trPr>
          <w:trHeight w:hRule="exact" w:val="266"/>
        </w:trPr>
        <w:tc>
          <w:tcPr>
            <w:tcW w:w="5989" w:type="dxa"/>
            <w:tcBorders>
              <w:top w:val="nil"/>
              <w:left w:val="nil"/>
              <w:bottom w:val="nil"/>
              <w:right w:val="nil"/>
              <w:tl2br w:val="nil"/>
              <w:tr2bl w:val="nil"/>
            </w:tcBorders>
            <w:shd w:val="solid" w:color="CCE1EA" w:fill="FFFFFF"/>
            <w:tcMar>
              <w:left w:w="60" w:type="dxa"/>
              <w:right w:w="60" w:type="dxa"/>
            </w:tcMar>
            <w:vAlign w:val="center"/>
          </w:tcPr>
          <w:p w14:paraId="1CCB9A38" w14:textId="77777777" w:rsidR="00807FFE" w:rsidRDefault="00023E71">
            <w:pPr>
              <w:pStyle w:val="DMETW36749BIPONER"/>
              <w:rPr>
                <w:rFonts w:ascii="Verdana" w:eastAsia="Verdana" w:hAnsi="Verdana" w:cs="Verdana"/>
                <w:b/>
                <w:noProof/>
                <w:color w:val="000000"/>
                <w:sz w:val="18"/>
              </w:rPr>
            </w:pPr>
            <w:r>
              <w:rPr>
                <w:rFonts w:ascii="Verdana" w:eastAsia="Verdana" w:hAnsi="Verdana" w:cs="Verdana"/>
                <w:b/>
                <w:noProof/>
                <w:color w:val="000000"/>
                <w:sz w:val="18"/>
              </w:rPr>
              <w:t>Total</w:t>
            </w:r>
          </w:p>
        </w:tc>
        <w:tc>
          <w:tcPr>
            <w:tcW w:w="1511" w:type="dxa"/>
            <w:tcBorders>
              <w:top w:val="nil"/>
              <w:left w:val="nil"/>
              <w:bottom w:val="nil"/>
              <w:right w:val="nil"/>
              <w:tl2br w:val="nil"/>
              <w:tr2bl w:val="nil"/>
            </w:tcBorders>
            <w:shd w:val="solid" w:color="CCE1EA" w:fill="FFFFFF"/>
            <w:tcMar>
              <w:left w:w="60" w:type="dxa"/>
              <w:right w:w="60" w:type="dxa"/>
            </w:tcMar>
            <w:vAlign w:val="center"/>
          </w:tcPr>
          <w:p w14:paraId="49E81343" w14:textId="77777777" w:rsidR="00807FFE" w:rsidRDefault="00023E71">
            <w:pPr>
              <w:pStyle w:val="DMETW36749BIPONER"/>
              <w:jc w:val="right"/>
              <w:rPr>
                <w:rFonts w:ascii="Verdana" w:eastAsia="Verdana" w:hAnsi="Verdana" w:cs="Verdana"/>
                <w:b/>
                <w:noProof/>
                <w:color w:val="000000"/>
                <w:sz w:val="18"/>
              </w:rPr>
            </w:pPr>
            <w:r>
              <w:rPr>
                <w:rFonts w:ascii="Verdana" w:eastAsia="Verdana" w:hAnsi="Verdana" w:cs="Verdana"/>
                <w:b/>
                <w:noProof/>
                <w:color w:val="000000"/>
                <w:sz w:val="18"/>
              </w:rPr>
              <w:t>18 572</w:t>
            </w:r>
          </w:p>
        </w:tc>
        <w:tc>
          <w:tcPr>
            <w:tcW w:w="2258" w:type="dxa"/>
            <w:tcBorders>
              <w:top w:val="nil"/>
              <w:left w:val="nil"/>
              <w:bottom w:val="nil"/>
              <w:right w:val="nil"/>
              <w:tl2br w:val="nil"/>
              <w:tr2bl w:val="nil"/>
            </w:tcBorders>
            <w:shd w:val="solid" w:color="CCE1EA" w:fill="FFFFFF"/>
            <w:tcMar>
              <w:left w:w="60" w:type="dxa"/>
              <w:right w:w="60" w:type="dxa"/>
            </w:tcMar>
            <w:vAlign w:val="center"/>
          </w:tcPr>
          <w:p w14:paraId="6737BEAA" w14:textId="77777777" w:rsidR="00807FFE" w:rsidRDefault="00023E71">
            <w:pPr>
              <w:pStyle w:val="DMETW36749BIPONER"/>
              <w:jc w:val="right"/>
              <w:rPr>
                <w:rFonts w:ascii="Verdana" w:eastAsia="Verdana" w:hAnsi="Verdana" w:cs="Verdana"/>
                <w:b/>
                <w:noProof/>
                <w:color w:val="000000"/>
                <w:sz w:val="18"/>
              </w:rPr>
            </w:pPr>
            <w:r>
              <w:rPr>
                <w:rFonts w:ascii="Verdana" w:eastAsia="Verdana" w:hAnsi="Verdana" w:cs="Verdana"/>
                <w:b/>
                <w:noProof/>
                <w:color w:val="000000"/>
                <w:sz w:val="18"/>
              </w:rPr>
              <w:t>10 673</w:t>
            </w:r>
          </w:p>
        </w:tc>
      </w:tr>
    </w:tbl>
    <w:p w14:paraId="1F06F641" w14:textId="77777777" w:rsidR="00DC6327" w:rsidRPr="00BC3EB4" w:rsidRDefault="00023E71" w:rsidP="00B55CD3">
      <w:pPr>
        <w:pStyle w:val="DGTextstand-alone"/>
        <w:spacing w:after="0"/>
        <w:rPr>
          <w:lang w:val="en-IE"/>
        </w:rPr>
      </w:pPr>
      <w:r w:rsidRPr="00DC6327">
        <w:t>Contributions from Member States to the Innovation Fund are revenues relating mainly to the sale of emission allowances that are to be used to support innovation in low-carbon technologies. The increase compared to 2024 is linked mainly to an increase in the carbon price. The auctioning revenue generated under the ETS allowances was also used to provide additional support to Member States through REPowerEU chapters (EUR 6.4 billion) as well as to finance the Social Climate Fund, which will provide financial support to Member States for the measures and investments included in their Social Climate Plans for the period 2026-2032 (EUR 3.7 billion). Contributions from Member States for external aid include primarily the interest rate contributions for the MFA+ loans to Ukraine (EUR 0.6 billion).</w:t>
      </w:r>
    </w:p>
    <w:p w14:paraId="6921D1A2" w14:textId="77777777" w:rsidR="002661E6" w:rsidRDefault="00023E71" w:rsidP="00B55CD3">
      <w:pPr>
        <w:pStyle w:val="DGTextstand-alone"/>
        <w:spacing w:after="0"/>
      </w:pPr>
      <w:r>
        <w:t xml:space="preserve">Staff taxes and contributions revenue relate primarily to the deductions from staff salaries. Retirement </w:t>
      </w:r>
      <w:r w:rsidRPr="00B35FEA">
        <w:t>contributions and income tax represent the substantial amounts within th</w:t>
      </w:r>
      <w:r>
        <w:t>is</w:t>
      </w:r>
      <w:r w:rsidRPr="00B35FEA">
        <w:t xml:space="preserve"> category.</w:t>
      </w:r>
    </w:p>
    <w:p w14:paraId="517432A1" w14:textId="77777777" w:rsidR="00B55CD3" w:rsidRPr="00C60F60" w:rsidRDefault="00023E71" w:rsidP="00B55CD3">
      <w:pPr>
        <w:pStyle w:val="DGTextstand-alone"/>
        <w:spacing w:after="0"/>
      </w:pPr>
      <w:r w:rsidRPr="00563F1C">
        <w:t xml:space="preserve">Contributions from EFTA countries amount to </w:t>
      </w:r>
      <w:r w:rsidRPr="00DC6327">
        <w:t>EUR 1.5</w:t>
      </w:r>
      <w:r>
        <w:t xml:space="preserve"> billion</w:t>
      </w:r>
      <w:r w:rsidRPr="00563F1C">
        <w:t xml:space="preserve"> and contributions from third countries </w:t>
      </w:r>
      <w:r>
        <w:t xml:space="preserve">and accession countries </w:t>
      </w:r>
      <w:r w:rsidRPr="00563F1C">
        <w:t>mainly include financial contributions to Horizon Europe (</w:t>
      </w:r>
      <w:r w:rsidRPr="00DC6327">
        <w:t>EUR 2.8 billion</w:t>
      </w:r>
      <w:r w:rsidRPr="00563F1C">
        <w:t>).</w:t>
      </w:r>
    </w:p>
    <w:p w14:paraId="71C73136" w14:textId="77777777" w:rsidR="00C60F60" w:rsidRPr="00C60F60" w:rsidRDefault="00023E71" w:rsidP="00111DB6">
      <w:pPr>
        <w:pStyle w:val="DGTextstand-alone"/>
        <w:spacing w:after="0"/>
      </w:pPr>
      <w:r w:rsidRPr="0013667B">
        <w:t>The budgetary adjustment is mainly linked to the adjustments in the VAT and GNI-based own resources from previous financial years. With this operation, the Commission redistributes the total VAT and GNI balances, positive or negative, to the Member States in accordance with their GNI key.</w:t>
      </w:r>
      <w:r w:rsidR="00563F1C" w:rsidRPr="0013667B">
        <w:t xml:space="preserve"> </w:t>
      </w:r>
      <w:r>
        <w:t xml:space="preserve">The </w:t>
      </w:r>
      <w:r>
        <w:rPr>
          <w:lang w:val="en-IE"/>
        </w:rPr>
        <w:t>slight increase</w:t>
      </w:r>
      <w:r>
        <w:t xml:space="preserve"> is mainly linked to</w:t>
      </w:r>
      <w:r w:rsidRPr="008B0EBB">
        <w:t xml:space="preserve"> </w:t>
      </w:r>
      <w:r>
        <w:t>higher</w:t>
      </w:r>
      <w:r w:rsidRPr="008B0EBB">
        <w:t xml:space="preserve"> budget surplus from the previous year </w:t>
      </w:r>
      <w:r>
        <w:t>partially offset by</w:t>
      </w:r>
      <w:r w:rsidRPr="008B0EBB">
        <w:t xml:space="preserve"> higher amounts to be re-distributed for GNI</w:t>
      </w:r>
      <w:r>
        <w:t xml:space="preserve">, </w:t>
      </w:r>
      <w:r w:rsidRPr="008B0EBB">
        <w:t>VAT</w:t>
      </w:r>
      <w:r>
        <w:t xml:space="preserve"> and </w:t>
      </w:r>
      <w:r w:rsidRPr="008B0EBB">
        <w:t>Plastics own resources</w:t>
      </w:r>
      <w:r>
        <w:t>.</w:t>
      </w:r>
      <w:r w:rsidRPr="008B0EBB">
        <w:t xml:space="preserve"> </w:t>
      </w:r>
    </w:p>
    <w:p w14:paraId="16B3CDB8" w14:textId="77777777" w:rsidR="0027272E" w:rsidRDefault="0027272E">
      <w:pPr>
        <w:rPr>
          <w:rFonts w:ascii="Verdana" w:hAnsi="Verdana"/>
          <w:b/>
          <w:noProof/>
          <w:color w:val="016794"/>
          <w:sz w:val="28"/>
          <w:szCs w:val="28"/>
          <w:lang w:val="en-US"/>
        </w:rPr>
      </w:pPr>
      <w:r>
        <w:rPr>
          <w:noProof/>
          <w:lang w:val="en-US"/>
        </w:rPr>
        <w:br w:type="page"/>
      </w:r>
    </w:p>
    <w:p w14:paraId="01B7E5F3" w14:textId="3C334A3D" w:rsidR="007C6049" w:rsidRPr="00F36B36" w:rsidRDefault="00023E71" w:rsidP="00060470">
      <w:pPr>
        <w:pStyle w:val="HEADERTABLE"/>
        <w:spacing w:before="360" w:after="360"/>
        <w:rPr>
          <w:noProof/>
          <w:lang w:val="en-US"/>
        </w:rPr>
      </w:pPr>
      <w:r w:rsidRPr="00F36B36">
        <w:rPr>
          <w:noProof/>
          <w:lang w:val="en-US"/>
        </w:rPr>
        <w:t>REVENUE FROM EXCHANGE TRANSACTIONS</w:t>
      </w:r>
    </w:p>
    <w:p w14:paraId="06FD3C2D" w14:textId="77777777" w:rsidR="007C6049"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FINANCIAL REVENUE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3"/>
        <w:gridCol w:w="1257"/>
        <w:gridCol w:w="1358"/>
      </w:tblGrid>
      <w:tr w:rsidR="00807FFE" w14:paraId="5547B900"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bottom"/>
          </w:tcPr>
          <w:p w14:paraId="3BFA33DC" w14:textId="77777777" w:rsidR="00807FFE" w:rsidRDefault="00807FFE">
            <w:pPr>
              <w:pStyle w:val="DMETW36759BIPFINREV"/>
              <w:rPr>
                <w:rFonts w:ascii="Arial" w:eastAsia="Arial" w:hAnsi="Arial" w:cs="Arial"/>
                <w:noProof/>
                <w:color w:val="000000"/>
                <w:lang w:bidi="en-GB"/>
              </w:rPr>
            </w:pPr>
            <w:bookmarkStart w:id="182" w:name="DOC_TBL00068_1_1"/>
            <w:bookmarkEnd w:id="182"/>
          </w:p>
        </w:tc>
        <w:tc>
          <w:tcPr>
            <w:tcW w:w="1257" w:type="dxa"/>
            <w:tcBorders>
              <w:top w:val="nil"/>
              <w:left w:val="nil"/>
              <w:bottom w:val="nil"/>
              <w:right w:val="nil"/>
              <w:tl2br w:val="nil"/>
              <w:tr2bl w:val="nil"/>
            </w:tcBorders>
            <w:shd w:val="solid" w:color="FFFFFF" w:fill="FFFFFF"/>
            <w:tcMar>
              <w:left w:w="60" w:type="dxa"/>
              <w:right w:w="60" w:type="dxa"/>
            </w:tcMar>
            <w:vAlign w:val="bottom"/>
          </w:tcPr>
          <w:p w14:paraId="08A46186" w14:textId="77777777" w:rsidR="00807FFE" w:rsidRDefault="00807FFE">
            <w:pPr>
              <w:pStyle w:val="DMETW36759BIPFINREV"/>
              <w:rPr>
                <w:rFonts w:ascii="Arial" w:eastAsia="Arial" w:hAnsi="Arial" w:cs="Arial"/>
                <w:noProof/>
                <w:color w:val="000000"/>
              </w:rPr>
            </w:pPr>
          </w:p>
        </w:tc>
        <w:tc>
          <w:tcPr>
            <w:tcW w:w="1358" w:type="dxa"/>
            <w:tcBorders>
              <w:top w:val="nil"/>
              <w:left w:val="nil"/>
              <w:bottom w:val="nil"/>
              <w:right w:val="nil"/>
              <w:tl2br w:val="nil"/>
              <w:tr2bl w:val="nil"/>
            </w:tcBorders>
            <w:shd w:val="solid" w:color="FFFFFF" w:fill="FFFFFF"/>
            <w:tcMar>
              <w:left w:w="60" w:type="dxa"/>
              <w:right w:w="60" w:type="dxa"/>
            </w:tcMar>
            <w:vAlign w:val="bottom"/>
          </w:tcPr>
          <w:p w14:paraId="253DF75F" w14:textId="77777777" w:rsidR="00807FFE" w:rsidRDefault="00023E71">
            <w:pPr>
              <w:pStyle w:val="DMETW36759BIPFINREV"/>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3400441" w14:textId="77777777">
        <w:trPr>
          <w:trHeight w:hRule="exact" w:val="255"/>
        </w:trPr>
        <w:tc>
          <w:tcPr>
            <w:tcW w:w="7143" w:type="dxa"/>
            <w:tcBorders>
              <w:top w:val="nil"/>
              <w:left w:val="nil"/>
              <w:bottom w:val="nil"/>
              <w:right w:val="nil"/>
              <w:tl2br w:val="nil"/>
              <w:tr2bl w:val="nil"/>
            </w:tcBorders>
            <w:shd w:val="solid" w:color="016794" w:fill="FFFFFF"/>
            <w:tcMar>
              <w:left w:w="60" w:type="dxa"/>
              <w:right w:w="60" w:type="dxa"/>
            </w:tcMar>
            <w:vAlign w:val="center"/>
          </w:tcPr>
          <w:p w14:paraId="3B910566" w14:textId="77777777" w:rsidR="00807FFE" w:rsidRDefault="00807FFE">
            <w:pPr>
              <w:pStyle w:val="DMETW36759BIPFINREV"/>
              <w:jc w:val="right"/>
              <w:rPr>
                <w:rFonts w:ascii="Verdana" w:eastAsia="Verdana" w:hAnsi="Verdana" w:cs="Verdana"/>
                <w:noProof/>
                <w:color w:val="FFFFFF"/>
              </w:rPr>
            </w:pPr>
          </w:p>
        </w:tc>
        <w:tc>
          <w:tcPr>
            <w:tcW w:w="1257" w:type="dxa"/>
            <w:tcBorders>
              <w:top w:val="nil"/>
              <w:left w:val="nil"/>
              <w:bottom w:val="nil"/>
              <w:right w:val="nil"/>
              <w:tl2br w:val="nil"/>
              <w:tr2bl w:val="nil"/>
            </w:tcBorders>
            <w:shd w:val="solid" w:color="016794" w:fill="FFFFFF"/>
            <w:tcMar>
              <w:left w:w="60" w:type="dxa"/>
              <w:right w:w="60" w:type="dxa"/>
            </w:tcMar>
            <w:vAlign w:val="center"/>
          </w:tcPr>
          <w:p w14:paraId="4588F013" w14:textId="77777777" w:rsidR="00807FFE" w:rsidRDefault="00023E71">
            <w:pPr>
              <w:pStyle w:val="DMETW36759BIPFINREV"/>
              <w:jc w:val="right"/>
              <w:rPr>
                <w:rFonts w:ascii="Verdana" w:eastAsia="Verdana" w:hAnsi="Verdana" w:cs="Verdana"/>
                <w:noProof/>
                <w:color w:val="FFFFFF"/>
              </w:rPr>
            </w:pPr>
            <w:r>
              <w:rPr>
                <w:rFonts w:ascii="Verdana" w:eastAsia="Verdana" w:hAnsi="Verdana" w:cs="Verdana"/>
                <w:noProof/>
                <w:color w:val="FFFFFF"/>
              </w:rPr>
              <w:t>2025</w:t>
            </w:r>
          </w:p>
        </w:tc>
        <w:tc>
          <w:tcPr>
            <w:tcW w:w="1358" w:type="dxa"/>
            <w:tcBorders>
              <w:top w:val="nil"/>
              <w:left w:val="nil"/>
              <w:bottom w:val="nil"/>
              <w:right w:val="nil"/>
              <w:tl2br w:val="nil"/>
              <w:tr2bl w:val="nil"/>
            </w:tcBorders>
            <w:shd w:val="solid" w:color="016794" w:fill="FFFFFF"/>
            <w:tcMar>
              <w:left w:w="60" w:type="dxa"/>
              <w:right w:w="60" w:type="dxa"/>
            </w:tcMar>
            <w:vAlign w:val="center"/>
          </w:tcPr>
          <w:p w14:paraId="316ED076" w14:textId="77777777" w:rsidR="00807FFE" w:rsidRDefault="00023E71">
            <w:pPr>
              <w:pStyle w:val="DMETW36759BIPFINREV"/>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6CA61A07"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49EFECBB"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Interest on:</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1459A7D7" w14:textId="77777777" w:rsidR="00807FFE" w:rsidRDefault="00807FFE">
            <w:pPr>
              <w:pStyle w:val="DMETW36759BIPFINREV"/>
              <w:jc w:val="right"/>
              <w:rPr>
                <w:rFonts w:ascii="Verdana" w:eastAsia="Verdana" w:hAnsi="Verdana" w:cs="Verdana"/>
                <w:i/>
                <w:noProof/>
                <w:color w:val="000000"/>
                <w:sz w:val="18"/>
              </w:rPr>
            </w:pP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4E88AEC8" w14:textId="77777777" w:rsidR="00807FFE" w:rsidRDefault="00807FFE">
            <w:pPr>
              <w:pStyle w:val="DMETW36759BIPFINREV"/>
              <w:jc w:val="right"/>
              <w:rPr>
                <w:rFonts w:ascii="Verdana" w:eastAsia="Verdana" w:hAnsi="Verdana" w:cs="Verdana"/>
                <w:i/>
                <w:noProof/>
                <w:color w:val="000000"/>
                <w:sz w:val="18"/>
                <w:lang w:bidi="en-GB"/>
              </w:rPr>
            </w:pPr>
          </w:p>
        </w:tc>
      </w:tr>
      <w:tr w:rsidR="00807FFE" w14:paraId="67B133B9"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3B41638C"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 xml:space="preserve">     Loans</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5694C601"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5 720</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247CED88"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4 129</w:t>
            </w:r>
          </w:p>
        </w:tc>
      </w:tr>
      <w:tr w:rsidR="00807FFE" w14:paraId="73B250FC"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141A3EB0"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 xml:space="preserve">     Cash &amp; cash equivalents</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4DE3B0CA"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1 823</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330220D5"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1 726</w:t>
            </w:r>
          </w:p>
        </w:tc>
      </w:tr>
      <w:tr w:rsidR="00807FFE" w14:paraId="610F53C9"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1AD9C9F0"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 xml:space="preserve">     Late payments</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3024AF5D"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 xml:space="preserve"> 237</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0A685EF3"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224</w:t>
            </w:r>
          </w:p>
        </w:tc>
      </w:tr>
      <w:tr w:rsidR="00807FFE" w14:paraId="7D214F3A"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240E391D"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 xml:space="preserve">     Borrowings</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50B1C103"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 xml:space="preserve"> 217</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4E4661C3"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228</w:t>
            </w:r>
          </w:p>
        </w:tc>
      </w:tr>
      <w:tr w:rsidR="00807FFE" w14:paraId="2490689E"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01E958AA"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 xml:space="preserve">     Other </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6FFB1725"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 xml:space="preserve"> 39</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0EB3D8CA"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38</w:t>
            </w:r>
          </w:p>
        </w:tc>
      </w:tr>
      <w:tr w:rsidR="00807FFE" w14:paraId="680C6BB7" w14:textId="77777777">
        <w:trPr>
          <w:trHeight w:hRule="exact" w:val="255"/>
        </w:trPr>
        <w:tc>
          <w:tcPr>
            <w:tcW w:w="7143" w:type="dxa"/>
            <w:tcBorders>
              <w:top w:val="nil"/>
              <w:left w:val="nil"/>
              <w:bottom w:val="nil"/>
              <w:right w:val="nil"/>
              <w:tl2br w:val="nil"/>
              <w:tr2bl w:val="nil"/>
            </w:tcBorders>
            <w:tcMar>
              <w:left w:w="60" w:type="dxa"/>
              <w:right w:w="60" w:type="dxa"/>
            </w:tcMar>
            <w:vAlign w:val="center"/>
          </w:tcPr>
          <w:p w14:paraId="530A47D2"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Revenue from FGCs</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4C7215A3"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1 245</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4FB4D998"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971</w:t>
            </w:r>
          </w:p>
        </w:tc>
      </w:tr>
      <w:tr w:rsidR="00807FFE" w14:paraId="34ACA106" w14:textId="77777777">
        <w:trPr>
          <w:trHeight w:hRule="exact" w:val="255"/>
        </w:trPr>
        <w:tc>
          <w:tcPr>
            <w:tcW w:w="7143" w:type="dxa"/>
            <w:tcBorders>
              <w:top w:val="nil"/>
              <w:left w:val="nil"/>
              <w:bottom w:val="nil"/>
              <w:right w:val="nil"/>
              <w:tl2br w:val="nil"/>
              <w:tr2bl w:val="nil"/>
            </w:tcBorders>
            <w:tcMar>
              <w:left w:w="60" w:type="dxa"/>
              <w:right w:w="60" w:type="dxa"/>
            </w:tcMar>
            <w:vAlign w:val="center"/>
          </w:tcPr>
          <w:p w14:paraId="3F8D40F8"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Gains on financial assets or liabilities at FVSD:</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29023CBE" w14:textId="77777777" w:rsidR="00807FFE" w:rsidRDefault="00807FFE">
            <w:pPr>
              <w:pStyle w:val="DMETW36759BIPFINREV"/>
              <w:jc w:val="right"/>
              <w:rPr>
                <w:rFonts w:ascii="Verdana" w:eastAsia="Verdana" w:hAnsi="Verdana" w:cs="Verdana"/>
                <w:i/>
                <w:noProof/>
                <w:color w:val="000000"/>
                <w:sz w:val="18"/>
              </w:rPr>
            </w:pP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55E105E9" w14:textId="77777777" w:rsidR="00807FFE" w:rsidRDefault="00807FFE">
            <w:pPr>
              <w:pStyle w:val="DMETW36759BIPFINREV"/>
              <w:jc w:val="right"/>
              <w:rPr>
                <w:rFonts w:ascii="Verdana" w:eastAsia="Verdana" w:hAnsi="Verdana" w:cs="Verdana"/>
                <w:i/>
                <w:noProof/>
                <w:color w:val="000000"/>
                <w:sz w:val="18"/>
                <w:lang w:bidi="en-GB"/>
              </w:rPr>
            </w:pPr>
          </w:p>
        </w:tc>
      </w:tr>
      <w:tr w:rsidR="00807FFE" w14:paraId="1BA0CBC3" w14:textId="77777777">
        <w:trPr>
          <w:trHeight w:hRule="exact" w:val="255"/>
        </w:trPr>
        <w:tc>
          <w:tcPr>
            <w:tcW w:w="7143" w:type="dxa"/>
            <w:tcBorders>
              <w:top w:val="nil"/>
              <w:left w:val="nil"/>
              <w:bottom w:val="nil"/>
              <w:right w:val="nil"/>
              <w:tl2br w:val="nil"/>
              <w:tr2bl w:val="nil"/>
            </w:tcBorders>
            <w:tcMar>
              <w:left w:w="60" w:type="dxa"/>
              <w:right w:w="60" w:type="dxa"/>
            </w:tcMar>
            <w:vAlign w:val="center"/>
          </w:tcPr>
          <w:p w14:paraId="5DAA33CD"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 xml:space="preserve">     Non-derivatives </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65922A65"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1 357</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33714640"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1 490</w:t>
            </w:r>
          </w:p>
        </w:tc>
      </w:tr>
      <w:tr w:rsidR="00807FFE" w14:paraId="50B3BB47" w14:textId="77777777">
        <w:trPr>
          <w:trHeight w:hRule="exact" w:val="255"/>
        </w:trPr>
        <w:tc>
          <w:tcPr>
            <w:tcW w:w="7143" w:type="dxa"/>
            <w:tcBorders>
              <w:top w:val="nil"/>
              <w:left w:val="nil"/>
              <w:bottom w:val="nil"/>
              <w:right w:val="nil"/>
              <w:tl2br w:val="nil"/>
              <w:tr2bl w:val="nil"/>
            </w:tcBorders>
            <w:tcMar>
              <w:left w:w="60" w:type="dxa"/>
              <w:right w:w="60" w:type="dxa"/>
            </w:tcMar>
            <w:vAlign w:val="center"/>
          </w:tcPr>
          <w:p w14:paraId="02B5A866"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 xml:space="preserve">     Derivatives</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0E09F925"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 xml:space="preserve"> 772</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2FA7BABD"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165</w:t>
            </w:r>
          </w:p>
        </w:tc>
      </w:tr>
      <w:tr w:rsidR="00807FFE" w14:paraId="47B42855"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1A246BBC"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Derecognition gain from loans</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0245D614"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4C327B61"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6F3B27DD"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657C2B87"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Dividends</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679ED466"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53473EA5"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31</w:t>
            </w:r>
          </w:p>
        </w:tc>
      </w:tr>
      <w:tr w:rsidR="00807FFE" w14:paraId="4E9ED048" w14:textId="77777777">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14:paraId="4B754704" w14:textId="77777777" w:rsidR="00807FFE" w:rsidRDefault="00023E71">
            <w:pPr>
              <w:pStyle w:val="DMETW36759BIPFINREV"/>
              <w:rPr>
                <w:rFonts w:ascii="Verdana" w:eastAsia="Verdana" w:hAnsi="Verdana" w:cs="Verdana"/>
                <w:i/>
                <w:noProof/>
                <w:color w:val="000000"/>
                <w:sz w:val="18"/>
              </w:rPr>
            </w:pPr>
            <w:r>
              <w:rPr>
                <w:rFonts w:ascii="Verdana" w:eastAsia="Verdana" w:hAnsi="Verdana" w:cs="Verdana"/>
                <w:i/>
                <w:noProof/>
                <w:color w:val="000000"/>
                <w:sz w:val="18"/>
              </w:rPr>
              <w:t>Other</w:t>
            </w:r>
          </w:p>
        </w:tc>
        <w:tc>
          <w:tcPr>
            <w:tcW w:w="1257" w:type="dxa"/>
            <w:tcBorders>
              <w:top w:val="nil"/>
              <w:left w:val="nil"/>
              <w:bottom w:val="nil"/>
              <w:right w:val="nil"/>
              <w:tl2br w:val="nil"/>
              <w:tr2bl w:val="nil"/>
            </w:tcBorders>
            <w:shd w:val="solid" w:color="FFFFFF" w:fill="FFFFFF"/>
            <w:tcMar>
              <w:left w:w="60" w:type="dxa"/>
              <w:right w:w="60" w:type="dxa"/>
            </w:tcMar>
            <w:vAlign w:val="center"/>
          </w:tcPr>
          <w:p w14:paraId="6D32367F" w14:textId="77777777" w:rsidR="00807FFE" w:rsidRDefault="00023E71">
            <w:pPr>
              <w:pStyle w:val="DMETW36759BIPFINREV"/>
              <w:jc w:val="right"/>
              <w:rPr>
                <w:rFonts w:ascii="Verdana" w:eastAsia="Verdana" w:hAnsi="Verdana" w:cs="Verdana"/>
                <w:i/>
                <w:noProof/>
                <w:color w:val="000000"/>
                <w:sz w:val="18"/>
              </w:rPr>
            </w:pPr>
            <w:r>
              <w:rPr>
                <w:rFonts w:ascii="Verdana" w:eastAsia="Verdana" w:hAnsi="Verdana" w:cs="Verdana"/>
                <w:i/>
                <w:noProof/>
                <w:color w:val="000000"/>
                <w:sz w:val="18"/>
              </w:rPr>
              <w:t xml:space="preserve"> 202</w:t>
            </w:r>
          </w:p>
        </w:tc>
        <w:tc>
          <w:tcPr>
            <w:tcW w:w="1358" w:type="dxa"/>
            <w:tcBorders>
              <w:top w:val="nil"/>
              <w:left w:val="nil"/>
              <w:bottom w:val="nil"/>
              <w:right w:val="nil"/>
              <w:tl2br w:val="nil"/>
              <w:tr2bl w:val="nil"/>
            </w:tcBorders>
            <w:shd w:val="solid" w:color="FFFFFF" w:fill="FFFFFF"/>
            <w:tcMar>
              <w:left w:w="60" w:type="dxa"/>
              <w:right w:w="60" w:type="dxa"/>
            </w:tcMar>
            <w:vAlign w:val="center"/>
          </w:tcPr>
          <w:p w14:paraId="3A61A25E" w14:textId="77777777" w:rsidR="00807FFE" w:rsidRDefault="00023E71">
            <w:pPr>
              <w:pStyle w:val="DMETW36759BIPFIN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807FFE" w14:paraId="5622AC3E" w14:textId="77777777">
        <w:trPr>
          <w:trHeight w:hRule="exact" w:val="255"/>
        </w:trPr>
        <w:tc>
          <w:tcPr>
            <w:tcW w:w="7143" w:type="dxa"/>
            <w:tcBorders>
              <w:top w:val="nil"/>
              <w:left w:val="nil"/>
              <w:bottom w:val="nil"/>
              <w:right w:val="nil"/>
              <w:tl2br w:val="nil"/>
              <w:tr2bl w:val="nil"/>
            </w:tcBorders>
            <w:shd w:val="solid" w:color="CCE1EA" w:fill="FFFFFF"/>
            <w:tcMar>
              <w:left w:w="60" w:type="dxa"/>
              <w:right w:w="60" w:type="dxa"/>
            </w:tcMar>
            <w:vAlign w:val="center"/>
          </w:tcPr>
          <w:p w14:paraId="3DA935B8" w14:textId="77777777" w:rsidR="00807FFE" w:rsidRDefault="00023E71">
            <w:pPr>
              <w:pStyle w:val="DMETW36759BIPFINREV"/>
              <w:rPr>
                <w:rFonts w:ascii="Verdana" w:eastAsia="Verdana" w:hAnsi="Verdana" w:cs="Verdana"/>
                <w:b/>
                <w:noProof/>
                <w:color w:val="000000"/>
                <w:sz w:val="18"/>
              </w:rPr>
            </w:pPr>
            <w:r>
              <w:rPr>
                <w:rFonts w:ascii="Verdana" w:eastAsia="Verdana" w:hAnsi="Verdana" w:cs="Verdana"/>
                <w:b/>
                <w:noProof/>
                <w:color w:val="000000"/>
                <w:sz w:val="18"/>
              </w:rPr>
              <w:t>Total</w:t>
            </w:r>
          </w:p>
        </w:tc>
        <w:tc>
          <w:tcPr>
            <w:tcW w:w="1257" w:type="dxa"/>
            <w:tcBorders>
              <w:top w:val="nil"/>
              <w:left w:val="nil"/>
              <w:bottom w:val="nil"/>
              <w:right w:val="nil"/>
              <w:tl2br w:val="nil"/>
              <w:tr2bl w:val="nil"/>
            </w:tcBorders>
            <w:shd w:val="solid" w:color="CCE1EA" w:fill="FFFFFF"/>
            <w:tcMar>
              <w:left w:w="60" w:type="dxa"/>
              <w:right w:w="60" w:type="dxa"/>
            </w:tcMar>
            <w:vAlign w:val="center"/>
          </w:tcPr>
          <w:p w14:paraId="1F7EAC56" w14:textId="77777777" w:rsidR="00807FFE" w:rsidRDefault="00023E71">
            <w:pPr>
              <w:pStyle w:val="DMETW36759BIPFINREV"/>
              <w:jc w:val="right"/>
              <w:rPr>
                <w:rFonts w:ascii="Verdana" w:eastAsia="Verdana" w:hAnsi="Verdana" w:cs="Verdana"/>
                <w:b/>
                <w:noProof/>
                <w:color w:val="000000"/>
                <w:sz w:val="18"/>
              </w:rPr>
            </w:pPr>
            <w:r>
              <w:rPr>
                <w:rFonts w:ascii="Verdana" w:eastAsia="Verdana" w:hAnsi="Verdana" w:cs="Verdana"/>
                <w:b/>
                <w:noProof/>
                <w:color w:val="000000"/>
                <w:sz w:val="18"/>
              </w:rPr>
              <w:t>11 646</w:t>
            </w:r>
          </w:p>
        </w:tc>
        <w:tc>
          <w:tcPr>
            <w:tcW w:w="1358" w:type="dxa"/>
            <w:tcBorders>
              <w:top w:val="nil"/>
              <w:left w:val="nil"/>
              <w:bottom w:val="nil"/>
              <w:right w:val="nil"/>
              <w:tl2br w:val="nil"/>
              <w:tr2bl w:val="nil"/>
            </w:tcBorders>
            <w:shd w:val="solid" w:color="CCE1EA" w:fill="FFFFFF"/>
            <w:tcMar>
              <w:left w:w="60" w:type="dxa"/>
              <w:right w:w="60" w:type="dxa"/>
            </w:tcMar>
            <w:vAlign w:val="center"/>
          </w:tcPr>
          <w:p w14:paraId="59A62693" w14:textId="77777777" w:rsidR="00807FFE" w:rsidRDefault="00023E71">
            <w:pPr>
              <w:pStyle w:val="DMETW36759BIPFINREV"/>
              <w:jc w:val="right"/>
              <w:rPr>
                <w:rFonts w:ascii="Verdana" w:eastAsia="Verdana" w:hAnsi="Verdana" w:cs="Verdana"/>
                <w:b/>
                <w:noProof/>
                <w:color w:val="000000"/>
                <w:sz w:val="18"/>
              </w:rPr>
            </w:pPr>
            <w:r>
              <w:rPr>
                <w:rFonts w:ascii="Verdana" w:eastAsia="Verdana" w:hAnsi="Verdana" w:cs="Verdana"/>
                <w:b/>
                <w:noProof/>
                <w:color w:val="000000"/>
                <w:sz w:val="18"/>
              </w:rPr>
              <w:t>9 005</w:t>
            </w:r>
          </w:p>
        </w:tc>
      </w:tr>
    </w:tbl>
    <w:p w14:paraId="0B36B45F" w14:textId="77777777" w:rsidR="006822A4" w:rsidRDefault="00023E71" w:rsidP="00060470">
      <w:pPr>
        <w:pStyle w:val="Textstand-alone"/>
        <w:spacing w:after="0"/>
        <w:rPr>
          <w:rFonts w:eastAsia="Calibri"/>
        </w:rPr>
      </w:pPr>
      <w:r w:rsidRPr="00B970B8">
        <w:rPr>
          <w:rFonts w:eastAsia="Calibri"/>
        </w:rPr>
        <w:t xml:space="preserve">Interest revenue </w:t>
      </w:r>
      <w:r w:rsidRPr="00BA5EB1">
        <w:rPr>
          <w:rFonts w:eastAsia="Calibri"/>
        </w:rPr>
        <w:t xml:space="preserve">on late payments stems </w:t>
      </w:r>
      <w:r w:rsidRPr="00420B78">
        <w:rPr>
          <w:rFonts w:eastAsia="Calibri"/>
        </w:rPr>
        <w:t xml:space="preserve">mainly from fines and own resources contributions due and not paid on time. </w:t>
      </w:r>
    </w:p>
    <w:p w14:paraId="4CB25EED" w14:textId="77777777" w:rsidR="00577436" w:rsidRPr="00F91BF8" w:rsidRDefault="00023E71" w:rsidP="00382BFA">
      <w:pPr>
        <w:pStyle w:val="Textstand-alone"/>
        <w:spacing w:after="0"/>
        <w:rPr>
          <w:b/>
        </w:rPr>
      </w:pPr>
      <w:r>
        <w:t xml:space="preserve">The </w:t>
      </w:r>
      <w:r w:rsidR="006B34F2">
        <w:t xml:space="preserve">interests </w:t>
      </w:r>
      <w:r w:rsidR="006B34F2" w:rsidRPr="00F91BF8">
        <w:t xml:space="preserve">on loans have increased </w:t>
      </w:r>
      <w:r w:rsidRPr="00F91BF8">
        <w:t>main</w:t>
      </w:r>
      <w:r w:rsidR="006B34F2" w:rsidRPr="00F91BF8">
        <w:t xml:space="preserve">ly </w:t>
      </w:r>
      <w:r w:rsidR="001F45A4" w:rsidRPr="00F91BF8">
        <w:t xml:space="preserve">because of </w:t>
      </w:r>
      <w:r w:rsidR="00630AEB">
        <w:t xml:space="preserve">new loans under </w:t>
      </w:r>
      <w:r w:rsidR="001F45A4" w:rsidRPr="00F91BF8">
        <w:t>RRF/REPowerEU</w:t>
      </w:r>
      <w:r w:rsidR="00382BFA" w:rsidRPr="00F91BF8">
        <w:t>,</w:t>
      </w:r>
      <w:r w:rsidR="001F45A4" w:rsidRPr="00F91BF8">
        <w:t xml:space="preserve"> MFA</w:t>
      </w:r>
      <w:r w:rsidR="00382BFA" w:rsidRPr="00F91BF8">
        <w:t xml:space="preserve"> and Ukraine Facility</w:t>
      </w:r>
      <w:r w:rsidR="001F45A4" w:rsidRPr="00F91BF8">
        <w:t xml:space="preserve">. For </w:t>
      </w:r>
      <w:r w:rsidRPr="00F91BF8">
        <w:t xml:space="preserve">RRF/REPower </w:t>
      </w:r>
      <w:r w:rsidR="001F45A4" w:rsidRPr="00F91BF8">
        <w:t xml:space="preserve">the interests were </w:t>
      </w:r>
      <w:r w:rsidR="00630AEB">
        <w:t>EUR 3.1</w:t>
      </w:r>
      <w:r w:rsidR="00B930E9" w:rsidRPr="00F91BF8">
        <w:t xml:space="preserve"> billion </w:t>
      </w:r>
      <w:r w:rsidR="00BC5F35" w:rsidRPr="00F91BF8">
        <w:t>in 202</w:t>
      </w:r>
      <w:r w:rsidR="00630AEB">
        <w:t>5</w:t>
      </w:r>
      <w:r w:rsidR="00BC5F35" w:rsidRPr="00F91BF8">
        <w:t xml:space="preserve"> compared </w:t>
      </w:r>
      <w:r w:rsidR="001F45A4" w:rsidRPr="00F91BF8">
        <w:t>t</w:t>
      </w:r>
      <w:r w:rsidR="00B930E9" w:rsidRPr="00F91BF8">
        <w:t xml:space="preserve">o EUR </w:t>
      </w:r>
      <w:r w:rsidR="00630AEB">
        <w:t>2.0 billion</w:t>
      </w:r>
      <w:r w:rsidR="00B930E9" w:rsidRPr="00F91BF8">
        <w:t xml:space="preserve"> </w:t>
      </w:r>
      <w:r>
        <w:t xml:space="preserve">in the previous </w:t>
      </w:r>
      <w:r w:rsidR="00B930E9" w:rsidRPr="00F91BF8">
        <w:t>year. The</w:t>
      </w:r>
      <w:r w:rsidR="00BE439B" w:rsidRPr="00F91BF8">
        <w:t>re were new disbursements in 202</w:t>
      </w:r>
      <w:r w:rsidR="00630AEB">
        <w:t>5</w:t>
      </w:r>
      <w:r w:rsidR="00F40626" w:rsidRPr="00F91BF8">
        <w:t xml:space="preserve"> and </w:t>
      </w:r>
      <w:r w:rsidR="00BE439B" w:rsidRPr="00F91BF8">
        <w:t>the disbursements of the second half of 202</w:t>
      </w:r>
      <w:r w:rsidR="00630AEB">
        <w:t>4</w:t>
      </w:r>
      <w:r w:rsidR="00BE439B" w:rsidRPr="00F91BF8">
        <w:t xml:space="preserve"> earned a full year’s interest in 202</w:t>
      </w:r>
      <w:r w:rsidR="00630AEB">
        <w:t>5</w:t>
      </w:r>
      <w:r w:rsidR="00BE439B" w:rsidRPr="00F91BF8">
        <w:t xml:space="preserve">. </w:t>
      </w:r>
      <w:r w:rsidR="001F45A4" w:rsidRPr="00F91BF8">
        <w:t xml:space="preserve">For </w:t>
      </w:r>
      <w:r w:rsidRPr="00F91BF8">
        <w:t xml:space="preserve">MFA </w:t>
      </w:r>
      <w:r w:rsidR="001F45A4" w:rsidRPr="00F91BF8">
        <w:t xml:space="preserve">the interests were </w:t>
      </w:r>
      <w:r w:rsidRPr="00F91BF8">
        <w:t>E</w:t>
      </w:r>
      <w:r w:rsidR="002C2AFC" w:rsidRPr="00F91BF8">
        <w:t xml:space="preserve">UR </w:t>
      </w:r>
      <w:r w:rsidR="00BC4BC8">
        <w:t>1.</w:t>
      </w:r>
      <w:r>
        <w:t>1</w:t>
      </w:r>
      <w:r w:rsidR="00BC4BC8">
        <w:t xml:space="preserve"> billion </w:t>
      </w:r>
      <w:r w:rsidR="003F66DE" w:rsidRPr="00F91BF8">
        <w:t>compared to EUR</w:t>
      </w:r>
      <w:r w:rsidR="00BC4BC8">
        <w:t> </w:t>
      </w:r>
      <w:r w:rsidR="003F66DE" w:rsidRPr="00F91BF8">
        <w:t>0.</w:t>
      </w:r>
      <w:r w:rsidR="00BC4BC8">
        <w:t>8</w:t>
      </w:r>
      <w:r w:rsidR="00134220" w:rsidRPr="00F91BF8">
        <w:t xml:space="preserve"> </w:t>
      </w:r>
      <w:r w:rsidR="003F66DE" w:rsidRPr="00F91BF8">
        <w:t xml:space="preserve">billion </w:t>
      </w:r>
      <w:r>
        <w:t>in 202</w:t>
      </w:r>
      <w:r w:rsidR="00BC4BC8">
        <w:t>4</w:t>
      </w:r>
      <w:r w:rsidRPr="00F91BF8">
        <w:t>. The increase mainly comes from MFA</w:t>
      </w:r>
      <w:r w:rsidR="00BC4BC8">
        <w:t xml:space="preserve"> ULCM</w:t>
      </w:r>
      <w:r w:rsidRPr="00F91BF8">
        <w:t xml:space="preserve"> disbursements of 202</w:t>
      </w:r>
      <w:r w:rsidR="00BC4BC8">
        <w:t>4</w:t>
      </w:r>
      <w:r w:rsidRPr="00F91BF8">
        <w:t>.</w:t>
      </w:r>
      <w:r w:rsidR="00382BFA" w:rsidRPr="00F91BF8">
        <w:rPr>
          <w:b/>
        </w:rPr>
        <w:t xml:space="preserve"> </w:t>
      </w:r>
      <w:r w:rsidR="00382BFA" w:rsidRPr="00F91BF8">
        <w:t xml:space="preserve">For </w:t>
      </w:r>
      <w:r w:rsidRPr="00F91BF8">
        <w:t>U</w:t>
      </w:r>
      <w:r w:rsidR="00AB2DED" w:rsidRPr="00F91BF8">
        <w:t xml:space="preserve">kraine Facility </w:t>
      </w:r>
      <w:r w:rsidR="00382BFA" w:rsidRPr="00F91BF8">
        <w:t xml:space="preserve">the interests were </w:t>
      </w:r>
      <w:r w:rsidR="006E26B7" w:rsidRPr="00F91BF8">
        <w:t>EUR 0.</w:t>
      </w:r>
      <w:r w:rsidR="00630AEB">
        <w:t>5</w:t>
      </w:r>
      <w:r w:rsidR="006E26B7" w:rsidRPr="00F91BF8">
        <w:t xml:space="preserve"> billion</w:t>
      </w:r>
      <w:r w:rsidR="00A654B3" w:rsidRPr="00F91BF8">
        <w:t xml:space="preserve">, </w:t>
      </w:r>
      <w:r w:rsidR="00630AEB">
        <w:t xml:space="preserve">comparing to EUR 0.2 billion in 2024, where </w:t>
      </w:r>
      <w:r w:rsidR="00A654B3" w:rsidRPr="00F91BF8">
        <w:t xml:space="preserve">disbursements </w:t>
      </w:r>
      <w:r w:rsidR="00630AEB">
        <w:t xml:space="preserve">only started </w:t>
      </w:r>
      <w:r w:rsidRPr="00F91BF8">
        <w:t>during the second semester.</w:t>
      </w:r>
    </w:p>
    <w:p w14:paraId="71F08FB3" w14:textId="77777777" w:rsidR="000A6B1E" w:rsidRPr="00F91BF8" w:rsidRDefault="00023E71" w:rsidP="00060470">
      <w:pPr>
        <w:pStyle w:val="Textstand-alone"/>
        <w:spacing w:after="0"/>
      </w:pPr>
      <w:r w:rsidRPr="00F91BF8">
        <w:t xml:space="preserve">Interest revenue from cash and cash equivalents </w:t>
      </w:r>
      <w:r w:rsidR="006363C1">
        <w:t>consist</w:t>
      </w:r>
      <w:r>
        <w:t>s</w:t>
      </w:r>
      <w:r w:rsidR="006363C1">
        <w:t xml:space="preserve"> mainly </w:t>
      </w:r>
      <w:r w:rsidR="00BC755A" w:rsidRPr="00F91BF8">
        <w:t>of</w:t>
      </w:r>
      <w:r w:rsidRPr="00F91BF8">
        <w:t xml:space="preserve"> EUR 1.</w:t>
      </w:r>
      <w:r>
        <w:t xml:space="preserve">6 billion of </w:t>
      </w:r>
      <w:r w:rsidRPr="00F91BF8">
        <w:t>interest on the</w:t>
      </w:r>
      <w:r w:rsidR="00630AEB">
        <w:t xml:space="preserve"> liquidity holdings for the unified funding (placements on</w:t>
      </w:r>
      <w:r w:rsidRPr="00F91BF8">
        <w:t xml:space="preserve"> bank account held at the EC</w:t>
      </w:r>
      <w:r w:rsidR="00BC755A" w:rsidRPr="00F91BF8">
        <w:t>B</w:t>
      </w:r>
      <w:r w:rsidR="00630AEB">
        <w:t>, short-term deposits and reverse repo transactions)</w:t>
      </w:r>
      <w:r w:rsidRPr="00F91BF8">
        <w:t xml:space="preserve"> </w:t>
      </w:r>
      <w:r w:rsidR="00630AEB">
        <w:t xml:space="preserve">- </w:t>
      </w:r>
      <w:r w:rsidRPr="00F91BF8">
        <w:t xml:space="preserve">see </w:t>
      </w:r>
      <w:r>
        <w:t>N</w:t>
      </w:r>
      <w:r w:rsidRPr="00F91BF8">
        <w:t xml:space="preserve">ote </w:t>
      </w:r>
      <w:r w:rsidRPr="00F91BF8">
        <w:rPr>
          <w:b/>
          <w:bCs/>
        </w:rPr>
        <w:t>2.8.2</w:t>
      </w:r>
      <w:r w:rsidRPr="00F91BF8">
        <w:t xml:space="preserve">. </w:t>
      </w:r>
    </w:p>
    <w:p w14:paraId="34C5AB8E" w14:textId="77777777" w:rsidR="007C6049" w:rsidRPr="00F91BF8" w:rsidRDefault="00023E71" w:rsidP="00060470">
      <w:pPr>
        <w:pStyle w:val="Textstand-alone"/>
        <w:spacing w:after="0"/>
      </w:pPr>
      <w:r w:rsidRPr="00F91BF8">
        <w:t xml:space="preserve">Interest revenue from borrowings </w:t>
      </w:r>
      <w:r>
        <w:t xml:space="preserve">are </w:t>
      </w:r>
      <w:r w:rsidRPr="00F91BF8">
        <w:t xml:space="preserve">mainly </w:t>
      </w:r>
      <w:r w:rsidR="006363C1">
        <w:t>related</w:t>
      </w:r>
      <w:r w:rsidRPr="00F91BF8">
        <w:t xml:space="preserve"> to SURE </w:t>
      </w:r>
      <w:r>
        <w:t>and results from</w:t>
      </w:r>
      <w:r w:rsidRPr="00F91BF8">
        <w:t xml:space="preserve"> the negative effective interest</w:t>
      </w:r>
      <w:r w:rsidR="002E6AA6" w:rsidRPr="00F91BF8">
        <w:t xml:space="preserve"> rates for certain </w:t>
      </w:r>
      <w:r w:rsidR="005963B2" w:rsidRPr="00F91BF8">
        <w:t xml:space="preserve">past </w:t>
      </w:r>
      <w:r w:rsidR="006E26B7" w:rsidRPr="00F91BF8">
        <w:t>issuances</w:t>
      </w:r>
      <w:r w:rsidRPr="00F91BF8">
        <w:t xml:space="preserve">. </w:t>
      </w:r>
    </w:p>
    <w:p w14:paraId="1E534539" w14:textId="77777777" w:rsidR="001007D5" w:rsidRPr="00F91BF8" w:rsidRDefault="00023E71" w:rsidP="001007D5">
      <w:pPr>
        <w:pStyle w:val="Textstand-alone"/>
        <w:spacing w:after="0"/>
      </w:pPr>
      <w:r w:rsidRPr="00F91BF8">
        <w:t xml:space="preserve">Revenue from financial guarantee contracts </w:t>
      </w:r>
      <w:r w:rsidR="0033782A" w:rsidRPr="00F91BF8">
        <w:t xml:space="preserve">relates primarily to the </w:t>
      </w:r>
      <w:r w:rsidR="009F111D" w:rsidRPr="00F91BF8">
        <w:t>amorti</w:t>
      </w:r>
      <w:r w:rsidRPr="00F91BF8">
        <w:t>s</w:t>
      </w:r>
      <w:r w:rsidR="009F111D" w:rsidRPr="00F91BF8">
        <w:t>ation of th</w:t>
      </w:r>
      <w:r w:rsidR="00684C34" w:rsidRPr="00F91BF8">
        <w:t>e financial guarantee liabilities</w:t>
      </w:r>
      <w:r w:rsidRPr="00F91BF8">
        <w:t>. It can be interpreted as a release of the EU from guarantee liabilities for the period the EU was standing ready to compensate the holders of the guarantees for their credit losses. Thus, the revenue recognition for financial guarantees reflects the passage of time and the guaranteed volume. The amortisations apply to both types of guarantees, those which are remunerated</w:t>
      </w:r>
      <w:r w:rsidR="00A54C60" w:rsidRPr="00F91BF8">
        <w:t xml:space="preserve"> and</w:t>
      </w:r>
      <w:r w:rsidRPr="00F91BF8">
        <w:t xml:space="preserve"> those for which the EU charges no or nominal remuneration (see </w:t>
      </w:r>
      <w:r>
        <w:t>N</w:t>
      </w:r>
      <w:r w:rsidRPr="00F91BF8">
        <w:t xml:space="preserve">ote </w:t>
      </w:r>
      <w:r w:rsidRPr="00F91BF8">
        <w:rPr>
          <w:b/>
        </w:rPr>
        <w:t>2.11.2</w:t>
      </w:r>
      <w:r w:rsidRPr="00F91BF8">
        <w:t>). Out of the remunerated gua</w:t>
      </w:r>
      <w:r w:rsidR="00A54C60" w:rsidRPr="00F91BF8">
        <w:t>rantees, the most significant is</w:t>
      </w:r>
      <w:r w:rsidRPr="00F91BF8">
        <w:t xml:space="preserve"> the EFSI guarantee provided to the EIB for the Infrastructure and Innovation Window (‘IIW’) debt portfolio</w:t>
      </w:r>
      <w:r w:rsidR="000B3817" w:rsidRPr="00F91BF8">
        <w:t xml:space="preserve"> and </w:t>
      </w:r>
      <w:r w:rsidRPr="00F91BF8">
        <w:t xml:space="preserve">combined with InvestEU debt portfolios (see </w:t>
      </w:r>
      <w:r>
        <w:t>N</w:t>
      </w:r>
      <w:r w:rsidRPr="00F91BF8">
        <w:t xml:space="preserve">ote </w:t>
      </w:r>
      <w:r w:rsidRPr="00F91BF8">
        <w:rPr>
          <w:b/>
        </w:rPr>
        <w:t>4.1.1</w:t>
      </w:r>
      <w:r w:rsidR="00A54C60" w:rsidRPr="00F91BF8">
        <w:t>). In 202</w:t>
      </w:r>
      <w:r>
        <w:t>5</w:t>
      </w:r>
      <w:r w:rsidRPr="00F91BF8">
        <w:t>, the revenue earned by the EFSI guarantee in relation to those combined debt portfolios amounted to EUR </w:t>
      </w:r>
      <w:r w:rsidR="009B2DE4" w:rsidRPr="00F91BF8">
        <w:t>2</w:t>
      </w:r>
      <w:r>
        <w:t>0</w:t>
      </w:r>
      <w:r w:rsidR="000B3817" w:rsidRPr="00F91BF8">
        <w:t>2</w:t>
      </w:r>
      <w:r w:rsidRPr="00F91BF8">
        <w:t xml:space="preserve"> million.</w:t>
      </w:r>
    </w:p>
    <w:p w14:paraId="7B935EFD" w14:textId="77777777" w:rsidR="008C6FBB" w:rsidRDefault="00023E71" w:rsidP="001007D5">
      <w:pPr>
        <w:pStyle w:val="Textstand-alone"/>
        <w:spacing w:after="0"/>
      </w:pPr>
      <w:r w:rsidRPr="00F91BF8">
        <w:t xml:space="preserve">The revenue related to financial guarantee contracts of EUR </w:t>
      </w:r>
      <w:r w:rsidR="00381CB4">
        <w:t>1</w:t>
      </w:r>
      <w:r>
        <w:t xml:space="preserve"> </w:t>
      </w:r>
      <w:r w:rsidR="00381CB4">
        <w:t>245</w:t>
      </w:r>
      <w:r w:rsidRPr="00F91BF8">
        <w:t xml:space="preserve"> million is offset by impairment losses for financial guarantee liabilities amounting to EUR</w:t>
      </w:r>
      <w:r>
        <w:t> 1 199</w:t>
      </w:r>
      <w:r w:rsidRPr="00F91BF8">
        <w:t xml:space="preserve"> million relating to</w:t>
      </w:r>
      <w:r w:rsidR="0080291B" w:rsidRPr="00F91BF8">
        <w:t>:</w:t>
      </w:r>
      <w:r w:rsidRPr="00F91BF8">
        <w:t xml:space="preserve"> guarantee calls net of recoveries of EUR </w:t>
      </w:r>
      <w:r w:rsidR="00381CB4">
        <w:t>683</w:t>
      </w:r>
      <w:r w:rsidRPr="00F91BF8">
        <w:t xml:space="preserve"> million and unrealised impairment </w:t>
      </w:r>
      <w:r w:rsidR="007E5CF0" w:rsidRPr="00F91BF8">
        <w:t>losses</w:t>
      </w:r>
      <w:r w:rsidRPr="00F91BF8">
        <w:t xml:space="preserve"> </w:t>
      </w:r>
      <w:r w:rsidR="0080291B" w:rsidRPr="00F91BF8">
        <w:t xml:space="preserve">of </w:t>
      </w:r>
      <w:r w:rsidRPr="00F91BF8">
        <w:t xml:space="preserve">EUR </w:t>
      </w:r>
      <w:r w:rsidR="00381CB4">
        <w:t>516</w:t>
      </w:r>
      <w:r w:rsidRPr="00F91BF8">
        <w:t xml:space="preserve"> million (see </w:t>
      </w:r>
      <w:r>
        <w:t>N</w:t>
      </w:r>
      <w:r w:rsidRPr="00F91BF8">
        <w:t xml:space="preserve">otes </w:t>
      </w:r>
      <w:r w:rsidRPr="00F91BF8">
        <w:rPr>
          <w:b/>
        </w:rPr>
        <w:t xml:space="preserve">3.15 </w:t>
      </w:r>
      <w:r w:rsidRPr="00F91BF8">
        <w:t xml:space="preserve">and </w:t>
      </w:r>
      <w:r w:rsidRPr="00F91BF8">
        <w:rPr>
          <w:b/>
        </w:rPr>
        <w:t>6.6</w:t>
      </w:r>
      <w:r w:rsidRPr="00F91BF8">
        <w:t xml:space="preserve">). In addition, the EU has subsidised financial guarantee programmes </w:t>
      </w:r>
      <w:r>
        <w:t xml:space="preserve">for </w:t>
      </w:r>
      <w:r w:rsidRPr="00F91BF8">
        <w:t>EUR</w:t>
      </w:r>
      <w:r>
        <w:t> </w:t>
      </w:r>
      <w:r w:rsidR="007E5CF0" w:rsidRPr="00F91BF8">
        <w:t>1</w:t>
      </w:r>
      <w:r>
        <w:t> </w:t>
      </w:r>
      <w:r w:rsidR="00381CB4">
        <w:t>942</w:t>
      </w:r>
      <w:r w:rsidRPr="00F91BF8">
        <w:t xml:space="preserve"> million by charging no or below market rate guarantee premiums (</w:t>
      </w:r>
      <w:r w:rsidR="000B3817" w:rsidRPr="00F91BF8">
        <w:t xml:space="preserve">see </w:t>
      </w:r>
      <w:r>
        <w:t>N</w:t>
      </w:r>
      <w:r w:rsidRPr="00F91BF8">
        <w:t xml:space="preserve">ote </w:t>
      </w:r>
      <w:r w:rsidRPr="00F91BF8">
        <w:rPr>
          <w:b/>
        </w:rPr>
        <w:t>3.15</w:t>
      </w:r>
      <w:r w:rsidRPr="00F91BF8">
        <w:t xml:space="preserve">). </w:t>
      </w:r>
      <w:bookmarkStart w:id="183" w:name="_Hlk161871777"/>
      <w:r w:rsidRPr="00F91BF8">
        <w:t xml:space="preserve">In total, the net result from financial guarantee programmes is a deficit of EUR </w:t>
      </w:r>
      <w:r w:rsidR="00381CB4">
        <w:t>1 896</w:t>
      </w:r>
      <w:r w:rsidRPr="00F91BF8">
        <w:t xml:space="preserve"> million</w:t>
      </w:r>
      <w:r w:rsidR="000B3817" w:rsidRPr="00F91BF8">
        <w:t>.</w:t>
      </w:r>
    </w:p>
    <w:p w14:paraId="5FB01475" w14:textId="77777777" w:rsidR="00C7529E" w:rsidRDefault="00023E71" w:rsidP="001007D5">
      <w:pPr>
        <w:pStyle w:val="Textstand-alone"/>
        <w:spacing w:after="0"/>
      </w:pPr>
      <w:r w:rsidRPr="00F91BF8">
        <w:t xml:space="preserve">The gain from non-derivative financial assets at FVSD </w:t>
      </w:r>
      <w:r w:rsidR="00DB76A2" w:rsidRPr="00F91BF8">
        <w:t>mainly refers to</w:t>
      </w:r>
      <w:r w:rsidR="00855C84" w:rsidRPr="00F91BF8">
        <w:t xml:space="preserve"> the CPF (EUR 0.</w:t>
      </w:r>
      <w:r w:rsidR="00712A2B">
        <w:t>8</w:t>
      </w:r>
      <w:r w:rsidR="00855C84" w:rsidRPr="00F91BF8">
        <w:t xml:space="preserve"> billion) and the Innovation Fund (EUR 0.</w:t>
      </w:r>
      <w:r w:rsidR="00DB76A2" w:rsidRPr="00F91BF8">
        <w:t>3</w:t>
      </w:r>
      <w:r w:rsidR="00855C84" w:rsidRPr="00F91BF8">
        <w:t xml:space="preserve"> billion). </w:t>
      </w:r>
      <w:r w:rsidR="00DB76A2" w:rsidRPr="00F91BF8">
        <w:t xml:space="preserve">The interest rate cuts have impacted positively </w:t>
      </w:r>
      <w:r w:rsidR="00E750B5" w:rsidRPr="00F91BF8">
        <w:t>the fair value of the securities</w:t>
      </w:r>
      <w:r w:rsidR="005C2124" w:rsidRPr="00F91BF8">
        <w:t>.</w:t>
      </w:r>
      <w:r w:rsidR="005C2124">
        <w:t xml:space="preserve"> </w:t>
      </w:r>
    </w:p>
    <w:p w14:paraId="010DB2C9" w14:textId="77777777" w:rsidR="00426096" w:rsidRPr="00093BCE" w:rsidRDefault="00023E71" w:rsidP="001007D5">
      <w:pPr>
        <w:pStyle w:val="Textstand-alone"/>
        <w:spacing w:after="0"/>
      </w:pPr>
      <w:r w:rsidRPr="00426096">
        <w:t xml:space="preserve">The derecognition </w:t>
      </w:r>
      <w:r>
        <w:t>gain</w:t>
      </w:r>
      <w:r w:rsidRPr="00426096">
        <w:t xml:space="preserve"> on loans relates to an early repayment of EUR </w:t>
      </w:r>
      <w:r>
        <w:t>1.8</w:t>
      </w:r>
      <w:r w:rsidRPr="00426096">
        <w:t xml:space="preserve"> billion EFSM loan by Portugal at the market value of the underlying bond – see </w:t>
      </w:r>
      <w:r>
        <w:t>N</w:t>
      </w:r>
      <w:r w:rsidRPr="00426096">
        <w:t xml:space="preserve">ote </w:t>
      </w:r>
      <w:r w:rsidRPr="00426096">
        <w:rPr>
          <w:b/>
          <w:bCs/>
        </w:rPr>
        <w:t>2.4.1.1</w:t>
      </w:r>
      <w:r w:rsidRPr="00426096">
        <w:t>.</w:t>
      </w:r>
    </w:p>
    <w:bookmarkEnd w:id="183"/>
    <w:p w14:paraId="05907A2D" w14:textId="77777777" w:rsidR="007C6049" w:rsidRPr="00C64A0B" w:rsidRDefault="00023E71" w:rsidP="00172034">
      <w:pPr>
        <w:numPr>
          <w:ilvl w:val="1"/>
          <w:numId w:val="15"/>
        </w:numPr>
        <w:tabs>
          <w:tab w:val="left" w:pos="907"/>
        </w:tabs>
        <w:spacing w:before="360" w:after="360"/>
        <w:rPr>
          <w:rFonts w:ascii="Verdana" w:hAnsi="Verdana"/>
          <w:b/>
          <w:noProof/>
          <w:color w:val="016794"/>
          <w:sz w:val="28"/>
          <w:szCs w:val="28"/>
        </w:rPr>
      </w:pPr>
      <w:r w:rsidRPr="00C64A0B">
        <w:rPr>
          <w:rFonts w:ascii="Verdana" w:hAnsi="Verdana"/>
          <w:b/>
          <w:noProof/>
          <w:color w:val="016794"/>
          <w:sz w:val="28"/>
          <w:szCs w:val="28"/>
        </w:rPr>
        <w:t>OTHER REVENUE FROM 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4"/>
        <w:gridCol w:w="1517"/>
        <w:gridCol w:w="1517"/>
      </w:tblGrid>
      <w:tr w:rsidR="00807FFE" w14:paraId="4F9B3C8D" w14:textId="77777777">
        <w:trPr>
          <w:trHeight w:val="255"/>
        </w:trPr>
        <w:tc>
          <w:tcPr>
            <w:tcW w:w="6724" w:type="dxa"/>
            <w:tcBorders>
              <w:top w:val="nil"/>
              <w:left w:val="nil"/>
              <w:bottom w:val="nil"/>
              <w:right w:val="nil"/>
              <w:tl2br w:val="nil"/>
              <w:tr2bl w:val="nil"/>
            </w:tcBorders>
            <w:tcMar>
              <w:left w:w="60" w:type="dxa"/>
              <w:right w:w="60" w:type="dxa"/>
            </w:tcMar>
            <w:vAlign w:val="bottom"/>
          </w:tcPr>
          <w:p w14:paraId="12ABC9D2" w14:textId="77777777" w:rsidR="00807FFE" w:rsidRDefault="00807FFE">
            <w:pPr>
              <w:pStyle w:val="DMETW36776BIPOER"/>
              <w:rPr>
                <w:rFonts w:ascii="Arial" w:eastAsia="Arial" w:hAnsi="Arial" w:cs="Arial"/>
                <w:noProof/>
                <w:color w:val="000000"/>
                <w:lang w:bidi="en-GB"/>
              </w:rPr>
            </w:pPr>
            <w:bookmarkStart w:id="184" w:name="DOC_TBL00069_1_1"/>
            <w:bookmarkEnd w:id="184"/>
          </w:p>
        </w:tc>
        <w:tc>
          <w:tcPr>
            <w:tcW w:w="1517" w:type="dxa"/>
            <w:tcBorders>
              <w:top w:val="nil"/>
              <w:left w:val="nil"/>
              <w:bottom w:val="nil"/>
              <w:right w:val="nil"/>
              <w:tl2br w:val="nil"/>
              <w:tr2bl w:val="nil"/>
            </w:tcBorders>
            <w:tcMar>
              <w:left w:w="60" w:type="dxa"/>
              <w:right w:w="60" w:type="dxa"/>
            </w:tcMar>
            <w:vAlign w:val="bottom"/>
          </w:tcPr>
          <w:p w14:paraId="636A4879" w14:textId="77777777" w:rsidR="00807FFE" w:rsidRDefault="00807FFE">
            <w:pPr>
              <w:pStyle w:val="DMETW36776BIPOER"/>
              <w:rPr>
                <w:rFonts w:ascii="Arial" w:eastAsia="Arial" w:hAnsi="Arial" w:cs="Arial"/>
                <w:noProof/>
                <w:color w:val="000000"/>
              </w:rPr>
            </w:pPr>
          </w:p>
        </w:tc>
        <w:tc>
          <w:tcPr>
            <w:tcW w:w="1517" w:type="dxa"/>
            <w:tcBorders>
              <w:top w:val="nil"/>
              <w:left w:val="nil"/>
              <w:bottom w:val="nil"/>
              <w:right w:val="nil"/>
              <w:tl2br w:val="nil"/>
              <w:tr2bl w:val="nil"/>
            </w:tcBorders>
            <w:tcMar>
              <w:left w:w="60" w:type="dxa"/>
              <w:right w:w="60" w:type="dxa"/>
            </w:tcMar>
            <w:vAlign w:val="bottom"/>
          </w:tcPr>
          <w:p w14:paraId="7F6B39F4" w14:textId="77777777" w:rsidR="00807FFE" w:rsidRDefault="00023E71">
            <w:pPr>
              <w:pStyle w:val="DMETW36776BIPOER"/>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B963A7D" w14:textId="77777777">
        <w:trPr>
          <w:trHeight w:val="255"/>
        </w:trPr>
        <w:tc>
          <w:tcPr>
            <w:tcW w:w="6724" w:type="dxa"/>
            <w:tcBorders>
              <w:top w:val="nil"/>
              <w:left w:val="nil"/>
              <w:bottom w:val="nil"/>
              <w:right w:val="nil"/>
              <w:tl2br w:val="nil"/>
              <w:tr2bl w:val="nil"/>
            </w:tcBorders>
            <w:shd w:val="solid" w:color="016794" w:fill="FFFFFF"/>
            <w:tcMar>
              <w:left w:w="60" w:type="dxa"/>
              <w:right w:w="60" w:type="dxa"/>
            </w:tcMar>
            <w:vAlign w:val="center"/>
          </w:tcPr>
          <w:p w14:paraId="116ED141" w14:textId="77777777" w:rsidR="00807FFE" w:rsidRDefault="00807FFE">
            <w:pPr>
              <w:pStyle w:val="DMETW36776BIPOER"/>
              <w:jc w:val="right"/>
              <w:rPr>
                <w:rFonts w:ascii="Verdana" w:eastAsia="Verdana" w:hAnsi="Verdana" w:cs="Verdana"/>
                <w:noProof/>
                <w:color w:val="FFFFFF"/>
              </w:rPr>
            </w:pPr>
          </w:p>
        </w:tc>
        <w:tc>
          <w:tcPr>
            <w:tcW w:w="1517" w:type="dxa"/>
            <w:tcBorders>
              <w:top w:val="nil"/>
              <w:left w:val="nil"/>
              <w:bottom w:val="nil"/>
              <w:right w:val="nil"/>
              <w:tl2br w:val="nil"/>
              <w:tr2bl w:val="nil"/>
            </w:tcBorders>
            <w:shd w:val="solid" w:color="016794" w:fill="FFFFFF"/>
            <w:tcMar>
              <w:left w:w="60" w:type="dxa"/>
              <w:right w:w="60" w:type="dxa"/>
            </w:tcMar>
            <w:vAlign w:val="center"/>
          </w:tcPr>
          <w:p w14:paraId="635E70E5" w14:textId="77777777" w:rsidR="00807FFE" w:rsidRDefault="00023E71">
            <w:pPr>
              <w:pStyle w:val="DMETW36776BIPOER"/>
              <w:jc w:val="right"/>
              <w:rPr>
                <w:rFonts w:ascii="Verdana" w:eastAsia="Verdana" w:hAnsi="Verdana" w:cs="Verdana"/>
                <w:noProof/>
                <w:color w:val="FFFFFF"/>
              </w:rPr>
            </w:pPr>
            <w:r>
              <w:rPr>
                <w:rFonts w:ascii="Verdana" w:eastAsia="Verdana" w:hAnsi="Verdana" w:cs="Verdana"/>
                <w:noProof/>
                <w:color w:val="FFFFFF"/>
              </w:rPr>
              <w:t>2025</w:t>
            </w:r>
          </w:p>
        </w:tc>
        <w:tc>
          <w:tcPr>
            <w:tcW w:w="1517" w:type="dxa"/>
            <w:tcBorders>
              <w:top w:val="nil"/>
              <w:left w:val="nil"/>
              <w:bottom w:val="nil"/>
              <w:right w:val="nil"/>
              <w:tl2br w:val="nil"/>
              <w:tr2bl w:val="nil"/>
            </w:tcBorders>
            <w:shd w:val="solid" w:color="016794" w:fill="FFFFFF"/>
            <w:tcMar>
              <w:left w:w="60" w:type="dxa"/>
              <w:right w:w="60" w:type="dxa"/>
            </w:tcMar>
            <w:vAlign w:val="center"/>
          </w:tcPr>
          <w:p w14:paraId="391DE991" w14:textId="77777777" w:rsidR="00807FFE" w:rsidRDefault="00023E71">
            <w:pPr>
              <w:pStyle w:val="DMETW36776BIPOER"/>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6FC84F42" w14:textId="77777777">
        <w:trPr>
          <w:trHeight w:val="255"/>
        </w:trPr>
        <w:tc>
          <w:tcPr>
            <w:tcW w:w="6724" w:type="dxa"/>
            <w:tcBorders>
              <w:top w:val="nil"/>
              <w:left w:val="nil"/>
              <w:bottom w:val="nil"/>
              <w:right w:val="nil"/>
              <w:tl2br w:val="nil"/>
              <w:tr2bl w:val="nil"/>
            </w:tcBorders>
            <w:tcMar>
              <w:left w:w="60" w:type="dxa"/>
              <w:right w:w="60" w:type="dxa"/>
            </w:tcMar>
            <w:vAlign w:val="center"/>
          </w:tcPr>
          <w:p w14:paraId="5D4EACF1" w14:textId="77777777" w:rsidR="00807FFE" w:rsidRDefault="00023E71">
            <w:pPr>
              <w:pStyle w:val="DMETW36776BIPOER"/>
              <w:rPr>
                <w:rFonts w:ascii="Verdana" w:eastAsia="Verdana" w:hAnsi="Verdana" w:cs="Verdana"/>
                <w:i/>
                <w:noProof/>
                <w:color w:val="000000"/>
                <w:sz w:val="18"/>
              </w:rPr>
            </w:pPr>
            <w:r>
              <w:rPr>
                <w:rFonts w:ascii="Verdana" w:eastAsia="Verdana" w:hAnsi="Verdana" w:cs="Verdana"/>
                <w:i/>
                <w:noProof/>
                <w:color w:val="000000"/>
                <w:sz w:val="18"/>
              </w:rPr>
              <w:t>Fee revenue for rendering of services (agencies)</w:t>
            </w:r>
          </w:p>
        </w:tc>
        <w:tc>
          <w:tcPr>
            <w:tcW w:w="1517" w:type="dxa"/>
            <w:tcBorders>
              <w:top w:val="nil"/>
              <w:left w:val="nil"/>
              <w:bottom w:val="nil"/>
              <w:right w:val="nil"/>
              <w:tl2br w:val="nil"/>
              <w:tr2bl w:val="nil"/>
            </w:tcBorders>
            <w:tcMar>
              <w:left w:w="60" w:type="dxa"/>
              <w:right w:w="60" w:type="dxa"/>
            </w:tcMar>
            <w:vAlign w:val="center"/>
          </w:tcPr>
          <w:p w14:paraId="2E4D8A18" w14:textId="77777777" w:rsidR="00807FFE" w:rsidRDefault="00023E71">
            <w:pPr>
              <w:pStyle w:val="DMETW36776BIPOER"/>
              <w:jc w:val="right"/>
              <w:rPr>
                <w:rFonts w:ascii="Verdana" w:eastAsia="Verdana" w:hAnsi="Verdana" w:cs="Verdana"/>
                <w:i/>
                <w:noProof/>
                <w:color w:val="000000"/>
                <w:sz w:val="18"/>
              </w:rPr>
            </w:pPr>
            <w:r>
              <w:rPr>
                <w:rFonts w:ascii="Verdana" w:eastAsia="Verdana" w:hAnsi="Verdana" w:cs="Verdana"/>
                <w:i/>
                <w:noProof/>
                <w:color w:val="000000"/>
                <w:sz w:val="18"/>
              </w:rPr>
              <w:t xml:space="preserve"> 927</w:t>
            </w:r>
          </w:p>
        </w:tc>
        <w:tc>
          <w:tcPr>
            <w:tcW w:w="1517" w:type="dxa"/>
            <w:tcBorders>
              <w:top w:val="nil"/>
              <w:left w:val="nil"/>
              <w:bottom w:val="nil"/>
              <w:right w:val="nil"/>
              <w:tl2br w:val="nil"/>
              <w:tr2bl w:val="nil"/>
            </w:tcBorders>
            <w:tcMar>
              <w:left w:w="60" w:type="dxa"/>
              <w:right w:w="60" w:type="dxa"/>
            </w:tcMar>
            <w:vAlign w:val="center"/>
          </w:tcPr>
          <w:p w14:paraId="6FB78DD0" w14:textId="77777777" w:rsidR="00807FFE" w:rsidRDefault="00023E71">
            <w:pPr>
              <w:pStyle w:val="DMETW36776BIPO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855</w:t>
            </w:r>
          </w:p>
        </w:tc>
      </w:tr>
      <w:tr w:rsidR="00807FFE" w14:paraId="5DF145A5" w14:textId="77777777">
        <w:trPr>
          <w:trHeight w:val="255"/>
        </w:trPr>
        <w:tc>
          <w:tcPr>
            <w:tcW w:w="6724" w:type="dxa"/>
            <w:tcBorders>
              <w:top w:val="nil"/>
              <w:left w:val="nil"/>
              <w:bottom w:val="nil"/>
              <w:right w:val="nil"/>
              <w:tl2br w:val="nil"/>
              <w:tr2bl w:val="nil"/>
            </w:tcBorders>
            <w:tcMar>
              <w:left w:w="60" w:type="dxa"/>
              <w:right w:w="60" w:type="dxa"/>
            </w:tcMar>
            <w:vAlign w:val="center"/>
          </w:tcPr>
          <w:p w14:paraId="729589FD" w14:textId="77777777" w:rsidR="00807FFE" w:rsidRDefault="00023E71">
            <w:pPr>
              <w:pStyle w:val="DMETW36776BIPOER"/>
              <w:rPr>
                <w:rFonts w:ascii="Verdana" w:eastAsia="Verdana" w:hAnsi="Verdana" w:cs="Verdana"/>
                <w:i/>
                <w:noProof/>
                <w:color w:val="000000"/>
                <w:sz w:val="18"/>
              </w:rPr>
            </w:pPr>
            <w:r>
              <w:rPr>
                <w:rFonts w:ascii="Verdana" w:eastAsia="Verdana" w:hAnsi="Verdana" w:cs="Verdana"/>
                <w:i/>
                <w:noProof/>
                <w:color w:val="000000"/>
                <w:sz w:val="18"/>
              </w:rPr>
              <w:t>Foreign exchange gains</w:t>
            </w:r>
          </w:p>
        </w:tc>
        <w:tc>
          <w:tcPr>
            <w:tcW w:w="1517" w:type="dxa"/>
            <w:tcBorders>
              <w:top w:val="nil"/>
              <w:left w:val="nil"/>
              <w:bottom w:val="nil"/>
              <w:right w:val="nil"/>
              <w:tl2br w:val="nil"/>
              <w:tr2bl w:val="nil"/>
            </w:tcBorders>
            <w:tcMar>
              <w:left w:w="60" w:type="dxa"/>
              <w:right w:w="60" w:type="dxa"/>
            </w:tcMar>
            <w:vAlign w:val="center"/>
          </w:tcPr>
          <w:p w14:paraId="6DDBA837" w14:textId="77777777" w:rsidR="00807FFE" w:rsidRDefault="00023E71">
            <w:pPr>
              <w:pStyle w:val="DMETW36776BIPOER"/>
              <w:jc w:val="right"/>
              <w:rPr>
                <w:rFonts w:ascii="Verdana" w:eastAsia="Verdana" w:hAnsi="Verdana" w:cs="Verdana"/>
                <w:i/>
                <w:noProof/>
                <w:color w:val="000000"/>
                <w:sz w:val="18"/>
              </w:rPr>
            </w:pPr>
            <w:r>
              <w:rPr>
                <w:rFonts w:ascii="Verdana" w:eastAsia="Verdana" w:hAnsi="Verdana" w:cs="Verdana"/>
                <w:i/>
                <w:noProof/>
                <w:color w:val="000000"/>
                <w:sz w:val="18"/>
              </w:rPr>
              <w:t xml:space="preserve"> 490</w:t>
            </w:r>
          </w:p>
        </w:tc>
        <w:tc>
          <w:tcPr>
            <w:tcW w:w="1517" w:type="dxa"/>
            <w:tcBorders>
              <w:top w:val="nil"/>
              <w:left w:val="nil"/>
              <w:bottom w:val="nil"/>
              <w:right w:val="nil"/>
              <w:tl2br w:val="nil"/>
              <w:tr2bl w:val="nil"/>
            </w:tcBorders>
            <w:tcMar>
              <w:left w:w="60" w:type="dxa"/>
              <w:right w:w="60" w:type="dxa"/>
            </w:tcMar>
            <w:vAlign w:val="center"/>
          </w:tcPr>
          <w:p w14:paraId="1ED1492F" w14:textId="77777777" w:rsidR="00807FFE" w:rsidRDefault="00023E71">
            <w:pPr>
              <w:pStyle w:val="DMETW36776BIPO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325</w:t>
            </w:r>
          </w:p>
        </w:tc>
      </w:tr>
      <w:tr w:rsidR="00807FFE" w14:paraId="0E31BE25" w14:textId="77777777">
        <w:trPr>
          <w:trHeight w:val="255"/>
        </w:trPr>
        <w:tc>
          <w:tcPr>
            <w:tcW w:w="6724" w:type="dxa"/>
            <w:tcBorders>
              <w:top w:val="nil"/>
              <w:left w:val="nil"/>
              <w:bottom w:val="nil"/>
              <w:right w:val="nil"/>
              <w:tl2br w:val="nil"/>
              <w:tr2bl w:val="nil"/>
            </w:tcBorders>
            <w:tcMar>
              <w:left w:w="60" w:type="dxa"/>
              <w:right w:w="60" w:type="dxa"/>
            </w:tcMar>
            <w:vAlign w:val="center"/>
          </w:tcPr>
          <w:p w14:paraId="0C09C647" w14:textId="77777777" w:rsidR="00807FFE" w:rsidRDefault="00023E71">
            <w:pPr>
              <w:pStyle w:val="DMETW36776BIPOER"/>
              <w:rPr>
                <w:rFonts w:ascii="Verdana" w:eastAsia="Verdana" w:hAnsi="Verdana" w:cs="Verdana"/>
                <w:i/>
                <w:noProof/>
                <w:color w:val="000000"/>
                <w:sz w:val="18"/>
              </w:rPr>
            </w:pPr>
            <w:r>
              <w:rPr>
                <w:rFonts w:ascii="Verdana" w:eastAsia="Verdana" w:hAnsi="Verdana" w:cs="Verdana"/>
                <w:i/>
                <w:noProof/>
                <w:color w:val="000000"/>
                <w:sz w:val="18"/>
              </w:rPr>
              <w:t>Sales of goods</w:t>
            </w:r>
          </w:p>
        </w:tc>
        <w:tc>
          <w:tcPr>
            <w:tcW w:w="1517" w:type="dxa"/>
            <w:tcBorders>
              <w:top w:val="nil"/>
              <w:left w:val="nil"/>
              <w:bottom w:val="nil"/>
              <w:right w:val="nil"/>
              <w:tl2br w:val="nil"/>
              <w:tr2bl w:val="nil"/>
            </w:tcBorders>
            <w:tcMar>
              <w:left w:w="60" w:type="dxa"/>
              <w:right w:w="60" w:type="dxa"/>
            </w:tcMar>
            <w:vAlign w:val="center"/>
          </w:tcPr>
          <w:p w14:paraId="6E084484" w14:textId="77777777" w:rsidR="00807FFE" w:rsidRDefault="00023E71">
            <w:pPr>
              <w:pStyle w:val="DMETW36776BIPOER"/>
              <w:jc w:val="right"/>
              <w:rPr>
                <w:rFonts w:ascii="Verdana" w:eastAsia="Verdana" w:hAnsi="Verdana" w:cs="Verdana"/>
                <w:i/>
                <w:noProof/>
                <w:color w:val="000000"/>
                <w:sz w:val="18"/>
              </w:rPr>
            </w:pPr>
            <w:r>
              <w:rPr>
                <w:rFonts w:ascii="Verdana" w:eastAsia="Verdana" w:hAnsi="Verdana" w:cs="Verdana"/>
                <w:i/>
                <w:noProof/>
                <w:color w:val="000000"/>
                <w:sz w:val="18"/>
              </w:rPr>
              <w:t xml:space="preserve"> 64</w:t>
            </w:r>
          </w:p>
        </w:tc>
        <w:tc>
          <w:tcPr>
            <w:tcW w:w="1517" w:type="dxa"/>
            <w:tcBorders>
              <w:top w:val="nil"/>
              <w:left w:val="nil"/>
              <w:bottom w:val="nil"/>
              <w:right w:val="nil"/>
              <w:tl2br w:val="nil"/>
              <w:tr2bl w:val="nil"/>
            </w:tcBorders>
            <w:tcMar>
              <w:left w:w="60" w:type="dxa"/>
              <w:right w:w="60" w:type="dxa"/>
            </w:tcMar>
            <w:vAlign w:val="center"/>
          </w:tcPr>
          <w:p w14:paraId="4E397B08" w14:textId="77777777" w:rsidR="00807FFE" w:rsidRDefault="00023E71">
            <w:pPr>
              <w:pStyle w:val="DMETW36776BIPO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58</w:t>
            </w:r>
          </w:p>
        </w:tc>
      </w:tr>
      <w:tr w:rsidR="00807FFE" w14:paraId="4CF35A70" w14:textId="77777777">
        <w:trPr>
          <w:trHeight w:val="255"/>
        </w:trPr>
        <w:tc>
          <w:tcPr>
            <w:tcW w:w="6724" w:type="dxa"/>
            <w:tcBorders>
              <w:top w:val="nil"/>
              <w:left w:val="nil"/>
              <w:bottom w:val="nil"/>
              <w:right w:val="nil"/>
              <w:tl2br w:val="nil"/>
              <w:tr2bl w:val="nil"/>
            </w:tcBorders>
            <w:tcMar>
              <w:left w:w="60" w:type="dxa"/>
              <w:right w:w="60" w:type="dxa"/>
            </w:tcMar>
            <w:vAlign w:val="center"/>
          </w:tcPr>
          <w:p w14:paraId="25585BEC" w14:textId="77777777" w:rsidR="00807FFE" w:rsidRDefault="00023E71">
            <w:pPr>
              <w:pStyle w:val="DMETW36776BIPOER"/>
              <w:rPr>
                <w:rFonts w:ascii="Verdana" w:eastAsia="Verdana" w:hAnsi="Verdana" w:cs="Verdana"/>
                <w:i/>
                <w:noProof/>
                <w:color w:val="000000"/>
                <w:sz w:val="18"/>
              </w:rPr>
            </w:pPr>
            <w:r>
              <w:rPr>
                <w:rFonts w:ascii="Verdana" w:eastAsia="Verdana" w:hAnsi="Verdana" w:cs="Verdana"/>
                <w:i/>
                <w:noProof/>
                <w:color w:val="000000"/>
                <w:sz w:val="18"/>
              </w:rPr>
              <w:t>Share of net result of EIF</w:t>
            </w:r>
          </w:p>
        </w:tc>
        <w:tc>
          <w:tcPr>
            <w:tcW w:w="1517" w:type="dxa"/>
            <w:tcBorders>
              <w:top w:val="nil"/>
              <w:left w:val="nil"/>
              <w:bottom w:val="nil"/>
              <w:right w:val="nil"/>
              <w:tl2br w:val="nil"/>
              <w:tr2bl w:val="nil"/>
            </w:tcBorders>
            <w:tcMar>
              <w:left w:w="60" w:type="dxa"/>
              <w:right w:w="60" w:type="dxa"/>
            </w:tcMar>
            <w:vAlign w:val="center"/>
          </w:tcPr>
          <w:p w14:paraId="49CB3557" w14:textId="77777777" w:rsidR="00807FFE" w:rsidRDefault="00023E71">
            <w:pPr>
              <w:pStyle w:val="DMETW36776BIPOER"/>
              <w:jc w:val="right"/>
              <w:rPr>
                <w:rFonts w:ascii="Verdana" w:eastAsia="Verdana" w:hAnsi="Verdana" w:cs="Verdana"/>
                <w:i/>
                <w:noProof/>
                <w:color w:val="000000"/>
                <w:sz w:val="18"/>
              </w:rPr>
            </w:pPr>
            <w:r>
              <w:rPr>
                <w:rFonts w:ascii="Verdana" w:eastAsia="Verdana" w:hAnsi="Verdana" w:cs="Verdana"/>
                <w:i/>
                <w:noProof/>
                <w:color w:val="000000"/>
                <w:sz w:val="18"/>
              </w:rPr>
              <w:t xml:space="preserve"> 69</w:t>
            </w:r>
          </w:p>
        </w:tc>
        <w:tc>
          <w:tcPr>
            <w:tcW w:w="1517" w:type="dxa"/>
            <w:tcBorders>
              <w:top w:val="nil"/>
              <w:left w:val="nil"/>
              <w:bottom w:val="nil"/>
              <w:right w:val="nil"/>
              <w:tl2br w:val="nil"/>
              <w:tr2bl w:val="nil"/>
            </w:tcBorders>
            <w:tcMar>
              <w:left w:w="60" w:type="dxa"/>
              <w:right w:w="60" w:type="dxa"/>
            </w:tcMar>
            <w:vAlign w:val="center"/>
          </w:tcPr>
          <w:p w14:paraId="13CA24D2" w14:textId="77777777" w:rsidR="00807FFE" w:rsidRDefault="00023E71">
            <w:pPr>
              <w:pStyle w:val="DMETW36776BIPO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83</w:t>
            </w:r>
          </w:p>
        </w:tc>
      </w:tr>
      <w:tr w:rsidR="00807FFE" w14:paraId="43BEB913" w14:textId="77777777">
        <w:trPr>
          <w:trHeight w:val="255"/>
        </w:trPr>
        <w:tc>
          <w:tcPr>
            <w:tcW w:w="6724" w:type="dxa"/>
            <w:tcBorders>
              <w:top w:val="nil"/>
              <w:left w:val="nil"/>
              <w:bottom w:val="nil"/>
              <w:right w:val="nil"/>
              <w:tl2br w:val="nil"/>
              <w:tr2bl w:val="nil"/>
            </w:tcBorders>
            <w:tcMar>
              <w:left w:w="60" w:type="dxa"/>
              <w:right w:w="60" w:type="dxa"/>
            </w:tcMar>
            <w:vAlign w:val="center"/>
          </w:tcPr>
          <w:p w14:paraId="2EE165D6" w14:textId="77777777" w:rsidR="00807FFE" w:rsidRDefault="00023E71">
            <w:pPr>
              <w:pStyle w:val="DMETW36776BIPOER"/>
              <w:rPr>
                <w:rFonts w:ascii="Verdana" w:eastAsia="Verdana" w:hAnsi="Verdana" w:cs="Verdana"/>
                <w:i/>
                <w:noProof/>
                <w:color w:val="000000"/>
                <w:sz w:val="18"/>
              </w:rPr>
            </w:pPr>
            <w:r>
              <w:rPr>
                <w:rFonts w:ascii="Verdana" w:eastAsia="Verdana" w:hAnsi="Verdana" w:cs="Verdana"/>
                <w:i/>
                <w:noProof/>
                <w:color w:val="000000"/>
                <w:sz w:val="18"/>
              </w:rPr>
              <w:t>Fixed assets related revenue</w:t>
            </w:r>
          </w:p>
        </w:tc>
        <w:tc>
          <w:tcPr>
            <w:tcW w:w="1517" w:type="dxa"/>
            <w:tcBorders>
              <w:top w:val="nil"/>
              <w:left w:val="nil"/>
              <w:bottom w:val="nil"/>
              <w:right w:val="nil"/>
              <w:tl2br w:val="nil"/>
              <w:tr2bl w:val="nil"/>
            </w:tcBorders>
            <w:tcMar>
              <w:left w:w="60" w:type="dxa"/>
              <w:right w:w="60" w:type="dxa"/>
            </w:tcMar>
            <w:vAlign w:val="center"/>
          </w:tcPr>
          <w:p w14:paraId="180C92D8" w14:textId="77777777" w:rsidR="00807FFE" w:rsidRDefault="00023E71">
            <w:pPr>
              <w:pStyle w:val="DMETW36776BIPOER"/>
              <w:jc w:val="right"/>
              <w:rPr>
                <w:rFonts w:ascii="Verdana" w:eastAsia="Verdana" w:hAnsi="Verdana" w:cs="Verdana"/>
                <w:i/>
                <w:noProof/>
                <w:color w:val="000000"/>
                <w:sz w:val="18"/>
              </w:rPr>
            </w:pPr>
            <w:r>
              <w:rPr>
                <w:rFonts w:ascii="Verdana" w:eastAsia="Verdana" w:hAnsi="Verdana" w:cs="Verdana"/>
                <w:i/>
                <w:noProof/>
                <w:color w:val="000000"/>
                <w:sz w:val="18"/>
              </w:rPr>
              <w:t xml:space="preserve"> 230</w:t>
            </w:r>
          </w:p>
        </w:tc>
        <w:tc>
          <w:tcPr>
            <w:tcW w:w="1517" w:type="dxa"/>
            <w:tcBorders>
              <w:top w:val="nil"/>
              <w:left w:val="nil"/>
              <w:bottom w:val="nil"/>
              <w:right w:val="nil"/>
              <w:tl2br w:val="nil"/>
              <w:tr2bl w:val="nil"/>
            </w:tcBorders>
            <w:tcMar>
              <w:left w:w="60" w:type="dxa"/>
              <w:right w:w="60" w:type="dxa"/>
            </w:tcMar>
            <w:vAlign w:val="center"/>
          </w:tcPr>
          <w:p w14:paraId="356A229D" w14:textId="77777777" w:rsidR="00807FFE" w:rsidRDefault="00023E71">
            <w:pPr>
              <w:pStyle w:val="DMETW36776BIPO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907</w:t>
            </w:r>
          </w:p>
        </w:tc>
      </w:tr>
      <w:tr w:rsidR="00807FFE" w14:paraId="5926CEB7" w14:textId="77777777">
        <w:trPr>
          <w:trHeight w:val="255"/>
        </w:trPr>
        <w:tc>
          <w:tcPr>
            <w:tcW w:w="6724" w:type="dxa"/>
            <w:tcBorders>
              <w:top w:val="nil"/>
              <w:left w:val="nil"/>
              <w:bottom w:val="nil"/>
              <w:right w:val="nil"/>
              <w:tl2br w:val="nil"/>
              <w:tr2bl w:val="nil"/>
            </w:tcBorders>
            <w:tcMar>
              <w:left w:w="60" w:type="dxa"/>
              <w:right w:w="60" w:type="dxa"/>
            </w:tcMar>
            <w:vAlign w:val="center"/>
          </w:tcPr>
          <w:p w14:paraId="06CEF828" w14:textId="77777777" w:rsidR="00807FFE" w:rsidRDefault="00023E71">
            <w:pPr>
              <w:pStyle w:val="DMETW36776BIPOER"/>
              <w:rPr>
                <w:rFonts w:ascii="Verdana" w:eastAsia="Verdana" w:hAnsi="Verdana" w:cs="Verdana"/>
                <w:i/>
                <w:noProof/>
                <w:color w:val="000000"/>
                <w:sz w:val="18"/>
              </w:rPr>
            </w:pPr>
            <w:r>
              <w:rPr>
                <w:rFonts w:ascii="Verdana" w:eastAsia="Verdana" w:hAnsi="Verdana" w:cs="Verdana"/>
                <w:i/>
                <w:noProof/>
                <w:color w:val="000000"/>
                <w:sz w:val="18"/>
              </w:rPr>
              <w:t>Other</w:t>
            </w:r>
          </w:p>
        </w:tc>
        <w:tc>
          <w:tcPr>
            <w:tcW w:w="1517" w:type="dxa"/>
            <w:tcBorders>
              <w:top w:val="nil"/>
              <w:left w:val="nil"/>
              <w:bottom w:val="nil"/>
              <w:right w:val="nil"/>
              <w:tl2br w:val="nil"/>
              <w:tr2bl w:val="nil"/>
            </w:tcBorders>
            <w:tcMar>
              <w:left w:w="60" w:type="dxa"/>
              <w:right w:w="60" w:type="dxa"/>
            </w:tcMar>
            <w:vAlign w:val="center"/>
          </w:tcPr>
          <w:p w14:paraId="4D12B95F" w14:textId="77777777" w:rsidR="00807FFE" w:rsidRDefault="00023E71">
            <w:pPr>
              <w:pStyle w:val="DMETW36776BIPOER"/>
              <w:jc w:val="right"/>
              <w:rPr>
                <w:rFonts w:ascii="Verdana" w:eastAsia="Verdana" w:hAnsi="Verdana" w:cs="Verdana"/>
                <w:i/>
                <w:noProof/>
                <w:color w:val="000000"/>
                <w:sz w:val="18"/>
              </w:rPr>
            </w:pPr>
            <w:r>
              <w:rPr>
                <w:rFonts w:ascii="Verdana" w:eastAsia="Verdana" w:hAnsi="Verdana" w:cs="Verdana"/>
                <w:i/>
                <w:noProof/>
                <w:color w:val="000000"/>
                <w:sz w:val="18"/>
              </w:rPr>
              <w:t xml:space="preserve"> 720</w:t>
            </w:r>
          </w:p>
        </w:tc>
        <w:tc>
          <w:tcPr>
            <w:tcW w:w="1517" w:type="dxa"/>
            <w:tcBorders>
              <w:top w:val="nil"/>
              <w:left w:val="nil"/>
              <w:bottom w:val="nil"/>
              <w:right w:val="nil"/>
              <w:tl2br w:val="nil"/>
              <w:tr2bl w:val="nil"/>
            </w:tcBorders>
            <w:tcMar>
              <w:left w:w="60" w:type="dxa"/>
              <w:right w:w="60" w:type="dxa"/>
            </w:tcMar>
            <w:vAlign w:val="center"/>
          </w:tcPr>
          <w:p w14:paraId="625E5D1B" w14:textId="77777777" w:rsidR="00807FFE" w:rsidRDefault="00023E71">
            <w:pPr>
              <w:pStyle w:val="DMETW36776BIPO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364</w:t>
            </w:r>
          </w:p>
        </w:tc>
      </w:tr>
      <w:tr w:rsidR="00807FFE" w14:paraId="45D5C027" w14:textId="77777777">
        <w:trPr>
          <w:trHeight w:val="255"/>
        </w:trPr>
        <w:tc>
          <w:tcPr>
            <w:tcW w:w="6724" w:type="dxa"/>
            <w:tcBorders>
              <w:top w:val="nil"/>
              <w:left w:val="nil"/>
              <w:bottom w:val="nil"/>
              <w:right w:val="nil"/>
              <w:tl2br w:val="nil"/>
              <w:tr2bl w:val="nil"/>
            </w:tcBorders>
            <w:shd w:val="solid" w:color="CCE1EA" w:fill="FFFFFF"/>
            <w:tcMar>
              <w:left w:w="60" w:type="dxa"/>
              <w:right w:w="60" w:type="dxa"/>
            </w:tcMar>
            <w:vAlign w:val="center"/>
          </w:tcPr>
          <w:p w14:paraId="40D530A0" w14:textId="77777777" w:rsidR="00807FFE" w:rsidRDefault="00023E71">
            <w:pPr>
              <w:pStyle w:val="DMETW36776BIPOER"/>
              <w:rPr>
                <w:rFonts w:ascii="Verdana" w:eastAsia="Verdana" w:hAnsi="Verdana" w:cs="Verdana"/>
                <w:b/>
                <w:noProof/>
                <w:color w:val="000000"/>
                <w:sz w:val="18"/>
              </w:rPr>
            </w:pPr>
            <w:r>
              <w:rPr>
                <w:rFonts w:ascii="Verdana" w:eastAsia="Verdana" w:hAnsi="Verdana" w:cs="Verdana"/>
                <w:b/>
                <w:noProof/>
                <w:color w:val="000000"/>
                <w:sz w:val="18"/>
              </w:rPr>
              <w:t>Total</w:t>
            </w:r>
          </w:p>
        </w:tc>
        <w:tc>
          <w:tcPr>
            <w:tcW w:w="1517" w:type="dxa"/>
            <w:tcBorders>
              <w:top w:val="nil"/>
              <w:left w:val="nil"/>
              <w:bottom w:val="nil"/>
              <w:right w:val="nil"/>
              <w:tl2br w:val="nil"/>
              <w:tr2bl w:val="nil"/>
            </w:tcBorders>
            <w:shd w:val="solid" w:color="CCE1EA" w:fill="FFFFFF"/>
            <w:tcMar>
              <w:left w:w="60" w:type="dxa"/>
              <w:right w:w="60" w:type="dxa"/>
            </w:tcMar>
            <w:vAlign w:val="center"/>
          </w:tcPr>
          <w:p w14:paraId="4DB7446A" w14:textId="77777777" w:rsidR="00807FFE" w:rsidRDefault="00023E71">
            <w:pPr>
              <w:pStyle w:val="DMETW36776BIPOER"/>
              <w:jc w:val="right"/>
              <w:rPr>
                <w:rFonts w:ascii="Verdana" w:eastAsia="Verdana" w:hAnsi="Verdana" w:cs="Verdana"/>
                <w:b/>
                <w:noProof/>
                <w:color w:val="000000"/>
                <w:sz w:val="18"/>
              </w:rPr>
            </w:pPr>
            <w:r>
              <w:rPr>
                <w:rFonts w:ascii="Verdana" w:eastAsia="Verdana" w:hAnsi="Verdana" w:cs="Verdana"/>
                <w:b/>
                <w:noProof/>
                <w:color w:val="000000"/>
                <w:sz w:val="18"/>
              </w:rPr>
              <w:t>2 500</w:t>
            </w:r>
          </w:p>
        </w:tc>
        <w:tc>
          <w:tcPr>
            <w:tcW w:w="1517" w:type="dxa"/>
            <w:tcBorders>
              <w:top w:val="nil"/>
              <w:left w:val="nil"/>
              <w:bottom w:val="nil"/>
              <w:right w:val="nil"/>
              <w:tl2br w:val="nil"/>
              <w:tr2bl w:val="nil"/>
            </w:tcBorders>
            <w:shd w:val="solid" w:color="CCE1EA" w:fill="FFFFFF"/>
            <w:tcMar>
              <w:left w:w="60" w:type="dxa"/>
              <w:right w:w="60" w:type="dxa"/>
            </w:tcMar>
            <w:vAlign w:val="center"/>
          </w:tcPr>
          <w:p w14:paraId="0AC86BA1" w14:textId="77777777" w:rsidR="00807FFE" w:rsidRDefault="00023E71">
            <w:pPr>
              <w:pStyle w:val="DMETW36776BIPOER"/>
              <w:jc w:val="right"/>
              <w:rPr>
                <w:rFonts w:ascii="Verdana" w:eastAsia="Verdana" w:hAnsi="Verdana" w:cs="Verdana"/>
                <w:b/>
                <w:noProof/>
                <w:color w:val="000000"/>
                <w:sz w:val="18"/>
              </w:rPr>
            </w:pPr>
            <w:r>
              <w:rPr>
                <w:rFonts w:ascii="Verdana" w:eastAsia="Verdana" w:hAnsi="Verdana" w:cs="Verdana"/>
                <w:b/>
                <w:noProof/>
                <w:color w:val="000000"/>
                <w:sz w:val="18"/>
              </w:rPr>
              <w:t>2 592</w:t>
            </w:r>
          </w:p>
        </w:tc>
      </w:tr>
    </w:tbl>
    <w:p w14:paraId="343968A4" w14:textId="77777777" w:rsidR="004E2F0C" w:rsidRDefault="00023E71" w:rsidP="004E2F0C">
      <w:pPr>
        <w:pStyle w:val="DGTextstand-alone"/>
        <w:spacing w:after="0"/>
      </w:pPr>
      <w:r>
        <w:t>Fee revenue for rendering of services mainly includes marketing authorisation fees charged by the European Medicines Agency and trademark fees collected by the European Union Intellectual Property Office.</w:t>
      </w:r>
    </w:p>
    <w:p w14:paraId="0136D61E" w14:textId="77777777" w:rsidR="00827459" w:rsidRPr="00E51842" w:rsidRDefault="00023E71" w:rsidP="00983D3B">
      <w:pPr>
        <w:pStyle w:val="DGTextstand-alone"/>
        <w:spacing w:after="0"/>
        <w:sectPr w:rsidR="00827459" w:rsidRPr="00E51842">
          <w:headerReference w:type="default" r:id="rId113"/>
          <w:footerReference w:type="default" r:id="rId114"/>
          <w:type w:val="continuous"/>
          <w:pgSz w:w="11906" w:h="16838"/>
          <w:pgMar w:top="1134" w:right="1134" w:bottom="1134" w:left="1134" w:header="709" w:footer="709" w:gutter="0"/>
          <w:cols w:space="708"/>
          <w:docGrid w:linePitch="360"/>
        </w:sectPr>
      </w:pPr>
      <w:r>
        <w:t xml:space="preserve"> </w:t>
      </w:r>
      <w:bookmarkEnd w:id="178"/>
    </w:p>
    <w:p w14:paraId="2FC0DC4B" w14:textId="77777777" w:rsidR="003816B7" w:rsidRPr="00B333B5" w:rsidRDefault="00023E71" w:rsidP="005724A6">
      <w:pPr>
        <w:pStyle w:val="HEADERTABLE"/>
        <w:spacing w:before="360" w:after="360"/>
        <w:rPr>
          <w:noProof/>
        </w:rPr>
        <w:sectPr w:rsidR="003816B7" w:rsidRPr="00B333B5">
          <w:headerReference w:type="default" r:id="rId115"/>
          <w:footerReference w:type="default" r:id="rId116"/>
          <w:type w:val="continuous"/>
          <w:pgSz w:w="11906" w:h="16838"/>
          <w:pgMar w:top="1134" w:right="1134" w:bottom="1134" w:left="1134" w:header="709" w:footer="709" w:gutter="0"/>
          <w:cols w:space="708"/>
          <w:docGrid w:linePitch="360"/>
        </w:sectPr>
      </w:pPr>
      <w:bookmarkStart w:id="185" w:name="_DMBM_36679"/>
      <w:r w:rsidRPr="00B333B5">
        <w:rPr>
          <w:noProof/>
        </w:rPr>
        <w:t xml:space="preserve">EXPENSES </w:t>
      </w:r>
      <w:bookmarkEnd w:id="185"/>
    </w:p>
    <w:p w14:paraId="14D00736" w14:textId="77777777" w:rsidR="00856FF7" w:rsidRDefault="00023E71" w:rsidP="00172034">
      <w:pPr>
        <w:pStyle w:val="HEADER2NOTES"/>
        <w:numPr>
          <w:ilvl w:val="1"/>
          <w:numId w:val="15"/>
        </w:numPr>
        <w:rPr>
          <w:noProof/>
        </w:rPr>
      </w:pPr>
      <w:bookmarkStart w:id="186" w:name="_DMBM_36713"/>
      <w:r>
        <w:rPr>
          <w:noProof/>
        </w:rPr>
        <w:t>DELEGATED TO MEMBER STATES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rsidR="00807FFE" w14:paraId="73F50A13" w14:textId="77777777">
        <w:trPr>
          <w:trHeight w:val="255"/>
        </w:trPr>
        <w:tc>
          <w:tcPr>
            <w:tcW w:w="6048" w:type="dxa"/>
            <w:tcBorders>
              <w:top w:val="nil"/>
              <w:left w:val="nil"/>
              <w:bottom w:val="nil"/>
              <w:right w:val="nil"/>
              <w:tl2br w:val="nil"/>
              <w:tr2bl w:val="nil"/>
            </w:tcBorders>
            <w:tcMar>
              <w:left w:w="60" w:type="dxa"/>
              <w:right w:w="60" w:type="dxa"/>
            </w:tcMar>
            <w:vAlign w:val="bottom"/>
          </w:tcPr>
          <w:p w14:paraId="0BB1590E" w14:textId="77777777" w:rsidR="00807FFE" w:rsidRDefault="00807FFE">
            <w:pPr>
              <w:pStyle w:val="DMETW36750BIPMS"/>
              <w:rPr>
                <w:rFonts w:ascii="Arial" w:eastAsia="Arial" w:hAnsi="Arial" w:cs="Arial"/>
                <w:noProof/>
                <w:color w:val="000000"/>
                <w:lang w:bidi="en-GB"/>
              </w:rPr>
            </w:pPr>
            <w:bookmarkStart w:id="187" w:name="DOC_TBL00070_1_1"/>
            <w:bookmarkEnd w:id="187"/>
          </w:p>
        </w:tc>
        <w:tc>
          <w:tcPr>
            <w:tcW w:w="1807" w:type="dxa"/>
            <w:tcBorders>
              <w:top w:val="nil"/>
              <w:left w:val="nil"/>
              <w:bottom w:val="nil"/>
              <w:right w:val="nil"/>
              <w:tl2br w:val="nil"/>
              <w:tr2bl w:val="nil"/>
            </w:tcBorders>
            <w:tcMar>
              <w:left w:w="60" w:type="dxa"/>
              <w:right w:w="60" w:type="dxa"/>
            </w:tcMar>
            <w:vAlign w:val="bottom"/>
          </w:tcPr>
          <w:p w14:paraId="2DB23349" w14:textId="77777777" w:rsidR="00807FFE" w:rsidRDefault="00807FFE">
            <w:pPr>
              <w:pStyle w:val="DMETW36750BIPMS"/>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14:paraId="28663467" w14:textId="77777777" w:rsidR="00807FFE" w:rsidRDefault="00023E71">
            <w:pPr>
              <w:pStyle w:val="DMETW36750BIPM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76272AC" w14:textId="77777777">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14:paraId="1A907B5F" w14:textId="77777777" w:rsidR="00807FFE" w:rsidRDefault="00807FFE">
            <w:pPr>
              <w:pStyle w:val="DMETW36750BIPMS"/>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14:paraId="33D99C24" w14:textId="77777777" w:rsidR="00807FFE" w:rsidRDefault="00023E71">
            <w:pPr>
              <w:pStyle w:val="DMETW36750BIPMS"/>
              <w:jc w:val="right"/>
              <w:rPr>
                <w:rFonts w:ascii="Verdana" w:eastAsia="Verdana" w:hAnsi="Verdana" w:cs="Verdana"/>
                <w:noProof/>
                <w:color w:val="FFFFFF"/>
              </w:rPr>
            </w:pPr>
            <w:r>
              <w:rPr>
                <w:rFonts w:ascii="Verdana" w:eastAsia="Verdana" w:hAnsi="Verdana" w:cs="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14:paraId="3E47E67F" w14:textId="77777777" w:rsidR="00807FFE" w:rsidRDefault="00023E71">
            <w:pPr>
              <w:pStyle w:val="DMETW36750BIPMS"/>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7D9D9914" w14:textId="77777777">
        <w:trPr>
          <w:trHeight w:val="255"/>
        </w:trPr>
        <w:tc>
          <w:tcPr>
            <w:tcW w:w="6048" w:type="dxa"/>
            <w:tcBorders>
              <w:top w:val="nil"/>
              <w:left w:val="nil"/>
              <w:bottom w:val="nil"/>
              <w:right w:val="nil"/>
              <w:tl2br w:val="nil"/>
              <w:tr2bl w:val="nil"/>
            </w:tcBorders>
            <w:tcMar>
              <w:left w:w="60" w:type="dxa"/>
              <w:right w:w="60" w:type="dxa"/>
            </w:tcMar>
            <w:vAlign w:val="center"/>
          </w:tcPr>
          <w:p w14:paraId="46D616D6" w14:textId="77777777" w:rsidR="00807FFE" w:rsidRDefault="00023E71">
            <w:pPr>
              <w:pStyle w:val="DMETW36750BIPMS"/>
              <w:rPr>
                <w:rFonts w:ascii="Verdana" w:eastAsia="Verdana" w:hAnsi="Verdana" w:cs="Verdana"/>
                <w:i/>
                <w:noProof/>
                <w:color w:val="000000"/>
                <w:sz w:val="18"/>
              </w:rPr>
            </w:pPr>
            <w:r>
              <w:rPr>
                <w:rFonts w:ascii="Verdana" w:eastAsia="Verdana" w:hAnsi="Verdana" w:cs="Verdana"/>
                <w:i/>
                <w:noProof/>
                <w:color w:val="000000"/>
                <w:sz w:val="18"/>
              </w:rPr>
              <w:t>European Agricultural Guarantee Fund</w:t>
            </w:r>
          </w:p>
        </w:tc>
        <w:tc>
          <w:tcPr>
            <w:tcW w:w="1807" w:type="dxa"/>
            <w:tcBorders>
              <w:top w:val="nil"/>
              <w:left w:val="nil"/>
              <w:bottom w:val="nil"/>
              <w:right w:val="nil"/>
              <w:tl2br w:val="nil"/>
              <w:tr2bl w:val="nil"/>
            </w:tcBorders>
            <w:tcMar>
              <w:left w:w="60" w:type="dxa"/>
              <w:right w:w="60" w:type="dxa"/>
            </w:tcMar>
            <w:vAlign w:val="center"/>
          </w:tcPr>
          <w:p w14:paraId="1E36EE3B" w14:textId="77777777" w:rsidR="00807FFE" w:rsidRDefault="00023E71">
            <w:pPr>
              <w:pStyle w:val="DMETW36750BIPMS"/>
              <w:jc w:val="right"/>
              <w:rPr>
                <w:rFonts w:ascii="Verdana" w:eastAsia="Verdana" w:hAnsi="Verdana" w:cs="Verdana"/>
                <w:i/>
                <w:noProof/>
                <w:color w:val="000000"/>
                <w:sz w:val="18"/>
              </w:rPr>
            </w:pPr>
            <w:r>
              <w:rPr>
                <w:rFonts w:ascii="Verdana" w:eastAsia="Verdana" w:hAnsi="Verdana" w:cs="Verdana"/>
                <w:i/>
                <w:noProof/>
                <w:color w:val="000000"/>
                <w:sz w:val="18"/>
              </w:rPr>
              <w:t>40 914</w:t>
            </w:r>
          </w:p>
        </w:tc>
        <w:tc>
          <w:tcPr>
            <w:tcW w:w="1903" w:type="dxa"/>
            <w:tcBorders>
              <w:top w:val="nil"/>
              <w:left w:val="nil"/>
              <w:bottom w:val="nil"/>
              <w:right w:val="nil"/>
              <w:tl2br w:val="nil"/>
              <w:tr2bl w:val="nil"/>
            </w:tcBorders>
            <w:tcMar>
              <w:left w:w="60" w:type="dxa"/>
              <w:right w:w="60" w:type="dxa"/>
            </w:tcMar>
            <w:vAlign w:val="center"/>
          </w:tcPr>
          <w:p w14:paraId="3C5E02C8" w14:textId="77777777" w:rsidR="00807FFE" w:rsidRDefault="00023E71">
            <w:pPr>
              <w:pStyle w:val="DMETW36750BIPMS"/>
              <w:jc w:val="right"/>
              <w:rPr>
                <w:rFonts w:ascii="Verdana" w:eastAsia="Verdana" w:hAnsi="Verdana" w:cs="Verdana"/>
                <w:i/>
                <w:noProof/>
                <w:color w:val="000000"/>
                <w:sz w:val="18"/>
                <w:lang w:bidi="en-GB"/>
              </w:rPr>
            </w:pPr>
            <w:r>
              <w:rPr>
                <w:rFonts w:ascii="Verdana" w:eastAsia="Verdana" w:hAnsi="Verdana" w:cs="Verdana"/>
                <w:i/>
                <w:noProof/>
                <w:color w:val="000000"/>
                <w:sz w:val="18"/>
              </w:rPr>
              <w:t>40 267</w:t>
            </w:r>
          </w:p>
        </w:tc>
      </w:tr>
      <w:tr w:rsidR="00807FFE" w14:paraId="7EF5454D" w14:textId="77777777">
        <w:trPr>
          <w:trHeight w:val="255"/>
        </w:trPr>
        <w:tc>
          <w:tcPr>
            <w:tcW w:w="6048" w:type="dxa"/>
            <w:tcBorders>
              <w:top w:val="nil"/>
              <w:left w:val="nil"/>
              <w:bottom w:val="nil"/>
              <w:right w:val="nil"/>
              <w:tl2br w:val="nil"/>
              <w:tr2bl w:val="nil"/>
            </w:tcBorders>
            <w:tcMar>
              <w:left w:w="60" w:type="dxa"/>
              <w:right w:w="60" w:type="dxa"/>
            </w:tcMar>
            <w:vAlign w:val="center"/>
          </w:tcPr>
          <w:p w14:paraId="2206A015" w14:textId="77777777" w:rsidR="00807FFE" w:rsidRDefault="00023E71">
            <w:pPr>
              <w:pStyle w:val="DMETW36750BIPMS"/>
              <w:rPr>
                <w:rFonts w:ascii="Verdana" w:eastAsia="Verdana" w:hAnsi="Verdana" w:cs="Verdana"/>
                <w:i/>
                <w:noProof/>
                <w:color w:val="000000"/>
                <w:sz w:val="18"/>
              </w:rPr>
            </w:pPr>
            <w:r>
              <w:rPr>
                <w:rFonts w:ascii="Verdana" w:eastAsia="Verdana" w:hAnsi="Verdana" w:cs="Verdana"/>
                <w:i/>
                <w:noProof/>
                <w:color w:val="000000"/>
                <w:sz w:val="18"/>
              </w:rPr>
              <w:t>European Agricultural Fund for Rural Development and other rural development instruments</w:t>
            </w:r>
          </w:p>
        </w:tc>
        <w:tc>
          <w:tcPr>
            <w:tcW w:w="1807" w:type="dxa"/>
            <w:tcBorders>
              <w:top w:val="nil"/>
              <w:left w:val="nil"/>
              <w:bottom w:val="nil"/>
              <w:right w:val="nil"/>
              <w:tl2br w:val="nil"/>
              <w:tr2bl w:val="nil"/>
            </w:tcBorders>
            <w:tcMar>
              <w:left w:w="60" w:type="dxa"/>
              <w:right w:w="60" w:type="dxa"/>
            </w:tcMar>
            <w:vAlign w:val="center"/>
          </w:tcPr>
          <w:p w14:paraId="73381D5E" w14:textId="77777777" w:rsidR="00807FFE" w:rsidRDefault="00023E71">
            <w:pPr>
              <w:pStyle w:val="DMETW36750BIPMS"/>
              <w:jc w:val="right"/>
              <w:rPr>
                <w:rFonts w:ascii="Verdana" w:eastAsia="Verdana" w:hAnsi="Verdana" w:cs="Verdana"/>
                <w:i/>
                <w:noProof/>
                <w:color w:val="000000"/>
                <w:sz w:val="18"/>
              </w:rPr>
            </w:pPr>
            <w:r>
              <w:rPr>
                <w:rFonts w:ascii="Verdana" w:eastAsia="Verdana" w:hAnsi="Verdana" w:cs="Verdana"/>
                <w:i/>
                <w:noProof/>
                <w:color w:val="000000"/>
                <w:sz w:val="18"/>
              </w:rPr>
              <w:t>17 017</w:t>
            </w:r>
          </w:p>
        </w:tc>
        <w:tc>
          <w:tcPr>
            <w:tcW w:w="1903" w:type="dxa"/>
            <w:tcBorders>
              <w:top w:val="nil"/>
              <w:left w:val="nil"/>
              <w:bottom w:val="nil"/>
              <w:right w:val="nil"/>
              <w:tl2br w:val="nil"/>
              <w:tr2bl w:val="nil"/>
            </w:tcBorders>
            <w:tcMar>
              <w:left w:w="60" w:type="dxa"/>
              <w:right w:w="60" w:type="dxa"/>
            </w:tcMar>
            <w:vAlign w:val="center"/>
          </w:tcPr>
          <w:p w14:paraId="4ACB93E3" w14:textId="77777777" w:rsidR="00807FFE" w:rsidRDefault="00023E71">
            <w:pPr>
              <w:pStyle w:val="DMETW36750BIPMS"/>
              <w:jc w:val="right"/>
              <w:rPr>
                <w:rFonts w:ascii="Verdana" w:eastAsia="Verdana" w:hAnsi="Verdana" w:cs="Verdana"/>
                <w:i/>
                <w:noProof/>
                <w:color w:val="000000"/>
                <w:sz w:val="18"/>
                <w:lang w:bidi="en-GB"/>
              </w:rPr>
            </w:pPr>
            <w:r>
              <w:rPr>
                <w:rFonts w:ascii="Verdana" w:eastAsia="Verdana" w:hAnsi="Verdana" w:cs="Verdana"/>
                <w:i/>
                <w:noProof/>
                <w:color w:val="000000"/>
                <w:sz w:val="18"/>
              </w:rPr>
              <w:t>14 779</w:t>
            </w:r>
          </w:p>
        </w:tc>
      </w:tr>
      <w:tr w:rsidR="00807FFE" w14:paraId="72C11928" w14:textId="77777777">
        <w:trPr>
          <w:trHeight w:val="255"/>
        </w:trPr>
        <w:tc>
          <w:tcPr>
            <w:tcW w:w="6048" w:type="dxa"/>
            <w:tcBorders>
              <w:top w:val="nil"/>
              <w:left w:val="nil"/>
              <w:bottom w:val="nil"/>
              <w:right w:val="nil"/>
              <w:tl2br w:val="nil"/>
              <w:tr2bl w:val="nil"/>
            </w:tcBorders>
            <w:tcMar>
              <w:left w:w="60" w:type="dxa"/>
              <w:right w:w="60" w:type="dxa"/>
            </w:tcMar>
            <w:vAlign w:val="center"/>
          </w:tcPr>
          <w:p w14:paraId="22709303" w14:textId="77777777" w:rsidR="00807FFE" w:rsidRDefault="00023E71">
            <w:pPr>
              <w:pStyle w:val="DMETW36750BIPMS"/>
              <w:rPr>
                <w:rFonts w:ascii="Verdana" w:eastAsia="Verdana" w:hAnsi="Verdana" w:cs="Verdana"/>
                <w:i/>
                <w:noProof/>
                <w:color w:val="000000"/>
                <w:sz w:val="18"/>
              </w:rPr>
            </w:pPr>
            <w:r>
              <w:rPr>
                <w:rFonts w:ascii="Verdana" w:eastAsia="Verdana" w:hAnsi="Verdana" w:cs="Verdana"/>
                <w:i/>
                <w:noProof/>
                <w:color w:val="000000"/>
                <w:sz w:val="18"/>
              </w:rPr>
              <w:t>European Regional Development Fund and Cohesion Fund</w:t>
            </w:r>
          </w:p>
        </w:tc>
        <w:tc>
          <w:tcPr>
            <w:tcW w:w="1807" w:type="dxa"/>
            <w:tcBorders>
              <w:top w:val="nil"/>
              <w:left w:val="nil"/>
              <w:bottom w:val="nil"/>
              <w:right w:val="nil"/>
              <w:tl2br w:val="nil"/>
              <w:tr2bl w:val="nil"/>
            </w:tcBorders>
            <w:tcMar>
              <w:left w:w="60" w:type="dxa"/>
              <w:right w:w="60" w:type="dxa"/>
            </w:tcMar>
            <w:vAlign w:val="center"/>
          </w:tcPr>
          <w:p w14:paraId="53C48D44" w14:textId="77777777" w:rsidR="00807FFE" w:rsidRDefault="00023E71">
            <w:pPr>
              <w:pStyle w:val="DMETW36750BIPMS"/>
              <w:jc w:val="right"/>
              <w:rPr>
                <w:rFonts w:ascii="Verdana" w:eastAsia="Verdana" w:hAnsi="Verdana" w:cs="Verdana"/>
                <w:i/>
                <w:noProof/>
                <w:color w:val="000000"/>
                <w:sz w:val="18"/>
              </w:rPr>
            </w:pPr>
            <w:r>
              <w:rPr>
                <w:rFonts w:ascii="Verdana" w:eastAsia="Verdana" w:hAnsi="Verdana" w:cs="Verdana"/>
                <w:i/>
                <w:noProof/>
                <w:color w:val="000000"/>
                <w:sz w:val="18"/>
              </w:rPr>
              <w:t>31 032</w:t>
            </w:r>
          </w:p>
        </w:tc>
        <w:tc>
          <w:tcPr>
            <w:tcW w:w="1903" w:type="dxa"/>
            <w:tcBorders>
              <w:top w:val="nil"/>
              <w:left w:val="nil"/>
              <w:bottom w:val="nil"/>
              <w:right w:val="nil"/>
              <w:tl2br w:val="nil"/>
              <w:tr2bl w:val="nil"/>
            </w:tcBorders>
            <w:tcMar>
              <w:left w:w="60" w:type="dxa"/>
              <w:right w:w="60" w:type="dxa"/>
            </w:tcMar>
            <w:vAlign w:val="center"/>
          </w:tcPr>
          <w:p w14:paraId="366C45DE" w14:textId="77777777" w:rsidR="00807FFE" w:rsidRDefault="00023E71">
            <w:pPr>
              <w:pStyle w:val="DMETW36750BIPMS"/>
              <w:jc w:val="right"/>
              <w:rPr>
                <w:rFonts w:ascii="Verdana" w:eastAsia="Verdana" w:hAnsi="Verdana" w:cs="Verdana"/>
                <w:i/>
                <w:noProof/>
                <w:color w:val="000000"/>
                <w:sz w:val="18"/>
                <w:lang w:bidi="en-GB"/>
              </w:rPr>
            </w:pPr>
            <w:r>
              <w:rPr>
                <w:rFonts w:ascii="Verdana" w:eastAsia="Verdana" w:hAnsi="Verdana" w:cs="Verdana"/>
                <w:i/>
                <w:noProof/>
                <w:color w:val="000000"/>
                <w:sz w:val="18"/>
              </w:rPr>
              <w:t>28 833</w:t>
            </w:r>
          </w:p>
        </w:tc>
      </w:tr>
      <w:tr w:rsidR="00807FFE" w14:paraId="390F8AA9" w14:textId="77777777">
        <w:trPr>
          <w:trHeight w:val="255"/>
        </w:trPr>
        <w:tc>
          <w:tcPr>
            <w:tcW w:w="6048" w:type="dxa"/>
            <w:tcBorders>
              <w:top w:val="nil"/>
              <w:left w:val="nil"/>
              <w:bottom w:val="nil"/>
              <w:right w:val="nil"/>
              <w:tl2br w:val="nil"/>
              <w:tr2bl w:val="nil"/>
            </w:tcBorders>
            <w:tcMar>
              <w:left w:w="60" w:type="dxa"/>
              <w:right w:w="60" w:type="dxa"/>
            </w:tcMar>
            <w:vAlign w:val="center"/>
          </w:tcPr>
          <w:p w14:paraId="74EF069E" w14:textId="77777777" w:rsidR="00807FFE" w:rsidRDefault="00023E71">
            <w:pPr>
              <w:pStyle w:val="DMETW36750BIPMS"/>
              <w:rPr>
                <w:rFonts w:ascii="Verdana" w:eastAsia="Verdana" w:hAnsi="Verdana" w:cs="Verdana"/>
                <w:i/>
                <w:noProof/>
                <w:color w:val="000000"/>
                <w:sz w:val="18"/>
              </w:rPr>
            </w:pPr>
            <w:r>
              <w:rPr>
                <w:rFonts w:ascii="Verdana" w:eastAsia="Verdana" w:hAnsi="Verdana" w:cs="Verdana"/>
                <w:i/>
                <w:noProof/>
                <w:color w:val="000000"/>
                <w:sz w:val="18"/>
              </w:rPr>
              <w:t>European Social Fund</w:t>
            </w:r>
          </w:p>
        </w:tc>
        <w:tc>
          <w:tcPr>
            <w:tcW w:w="1807" w:type="dxa"/>
            <w:tcBorders>
              <w:top w:val="nil"/>
              <w:left w:val="nil"/>
              <w:bottom w:val="nil"/>
              <w:right w:val="nil"/>
              <w:tl2br w:val="nil"/>
              <w:tr2bl w:val="nil"/>
            </w:tcBorders>
            <w:tcMar>
              <w:left w:w="60" w:type="dxa"/>
              <w:right w:w="60" w:type="dxa"/>
            </w:tcMar>
            <w:vAlign w:val="center"/>
          </w:tcPr>
          <w:p w14:paraId="10DDDB9B" w14:textId="77777777" w:rsidR="00807FFE" w:rsidRDefault="00023E71">
            <w:pPr>
              <w:pStyle w:val="DMETW36750BIPMS"/>
              <w:jc w:val="right"/>
              <w:rPr>
                <w:rFonts w:ascii="Verdana" w:eastAsia="Verdana" w:hAnsi="Verdana" w:cs="Verdana"/>
                <w:i/>
                <w:noProof/>
                <w:color w:val="000000"/>
                <w:sz w:val="18"/>
              </w:rPr>
            </w:pPr>
            <w:r>
              <w:rPr>
                <w:rFonts w:ascii="Verdana" w:eastAsia="Verdana" w:hAnsi="Verdana" w:cs="Verdana"/>
                <w:i/>
                <w:noProof/>
                <w:color w:val="000000"/>
                <w:sz w:val="18"/>
              </w:rPr>
              <w:t>17 308</w:t>
            </w:r>
          </w:p>
        </w:tc>
        <w:tc>
          <w:tcPr>
            <w:tcW w:w="1903" w:type="dxa"/>
            <w:tcBorders>
              <w:top w:val="nil"/>
              <w:left w:val="nil"/>
              <w:bottom w:val="nil"/>
              <w:right w:val="nil"/>
              <w:tl2br w:val="nil"/>
              <w:tr2bl w:val="nil"/>
            </w:tcBorders>
            <w:tcMar>
              <w:left w:w="60" w:type="dxa"/>
              <w:right w:w="60" w:type="dxa"/>
            </w:tcMar>
            <w:vAlign w:val="center"/>
          </w:tcPr>
          <w:p w14:paraId="2A3E74B2" w14:textId="77777777" w:rsidR="00807FFE" w:rsidRDefault="00023E71">
            <w:pPr>
              <w:pStyle w:val="DMETW36750BIPMS"/>
              <w:jc w:val="right"/>
              <w:rPr>
                <w:rFonts w:ascii="Verdana" w:eastAsia="Verdana" w:hAnsi="Verdana" w:cs="Verdana"/>
                <w:i/>
                <w:noProof/>
                <w:color w:val="000000"/>
                <w:sz w:val="18"/>
                <w:lang w:bidi="en-GB"/>
              </w:rPr>
            </w:pPr>
            <w:r>
              <w:rPr>
                <w:rFonts w:ascii="Verdana" w:eastAsia="Verdana" w:hAnsi="Verdana" w:cs="Verdana"/>
                <w:i/>
                <w:noProof/>
                <w:color w:val="000000"/>
                <w:sz w:val="18"/>
              </w:rPr>
              <w:t>18 037</w:t>
            </w:r>
          </w:p>
        </w:tc>
      </w:tr>
      <w:tr w:rsidR="00807FFE" w14:paraId="2B52DD31" w14:textId="77777777">
        <w:trPr>
          <w:trHeight w:val="255"/>
        </w:trPr>
        <w:tc>
          <w:tcPr>
            <w:tcW w:w="6048" w:type="dxa"/>
            <w:tcBorders>
              <w:top w:val="nil"/>
              <w:left w:val="nil"/>
              <w:bottom w:val="nil"/>
              <w:right w:val="nil"/>
              <w:tl2br w:val="nil"/>
              <w:tr2bl w:val="nil"/>
            </w:tcBorders>
            <w:tcMar>
              <w:left w:w="60" w:type="dxa"/>
              <w:right w:w="60" w:type="dxa"/>
            </w:tcMar>
            <w:vAlign w:val="center"/>
          </w:tcPr>
          <w:p w14:paraId="24473F80" w14:textId="77777777" w:rsidR="00807FFE" w:rsidRDefault="00023E71">
            <w:pPr>
              <w:pStyle w:val="DMETW36750BIPMS"/>
              <w:rPr>
                <w:rFonts w:ascii="Verdana" w:eastAsia="Verdana" w:hAnsi="Verdana" w:cs="Verdana"/>
                <w:i/>
                <w:noProof/>
                <w:color w:val="000000"/>
                <w:sz w:val="18"/>
              </w:rPr>
            </w:pPr>
            <w:r>
              <w:rPr>
                <w:rFonts w:ascii="Verdana" w:eastAsia="Verdana" w:hAnsi="Verdana" w:cs="Verdana"/>
                <w:i/>
                <w:noProof/>
                <w:color w:val="000000"/>
                <w:sz w:val="18"/>
              </w:rPr>
              <w:t>Other</w:t>
            </w:r>
          </w:p>
        </w:tc>
        <w:tc>
          <w:tcPr>
            <w:tcW w:w="1807" w:type="dxa"/>
            <w:tcBorders>
              <w:top w:val="nil"/>
              <w:left w:val="nil"/>
              <w:bottom w:val="nil"/>
              <w:right w:val="nil"/>
              <w:tl2br w:val="nil"/>
              <w:tr2bl w:val="nil"/>
            </w:tcBorders>
            <w:tcMar>
              <w:left w:w="60" w:type="dxa"/>
              <w:right w:w="60" w:type="dxa"/>
            </w:tcMar>
            <w:vAlign w:val="center"/>
          </w:tcPr>
          <w:p w14:paraId="5C5BDDA0" w14:textId="77777777" w:rsidR="00807FFE" w:rsidRDefault="00023E71">
            <w:pPr>
              <w:pStyle w:val="DMETW36750BIPMS"/>
              <w:jc w:val="right"/>
              <w:rPr>
                <w:rFonts w:ascii="Verdana" w:eastAsia="Verdana" w:hAnsi="Verdana" w:cs="Verdana"/>
                <w:i/>
                <w:noProof/>
                <w:color w:val="000000"/>
                <w:sz w:val="18"/>
              </w:rPr>
            </w:pPr>
            <w:r>
              <w:rPr>
                <w:rFonts w:ascii="Verdana" w:eastAsia="Verdana" w:hAnsi="Verdana" w:cs="Verdana"/>
                <w:i/>
                <w:noProof/>
                <w:color w:val="000000"/>
                <w:sz w:val="18"/>
              </w:rPr>
              <w:t>4 514</w:t>
            </w:r>
          </w:p>
        </w:tc>
        <w:tc>
          <w:tcPr>
            <w:tcW w:w="1903" w:type="dxa"/>
            <w:tcBorders>
              <w:top w:val="nil"/>
              <w:left w:val="nil"/>
              <w:bottom w:val="nil"/>
              <w:right w:val="nil"/>
              <w:tl2br w:val="nil"/>
              <w:tr2bl w:val="nil"/>
            </w:tcBorders>
            <w:tcMar>
              <w:left w:w="60" w:type="dxa"/>
              <w:right w:w="60" w:type="dxa"/>
            </w:tcMar>
            <w:vAlign w:val="center"/>
          </w:tcPr>
          <w:p w14:paraId="4B5231F2" w14:textId="77777777" w:rsidR="00807FFE" w:rsidRDefault="00023E71">
            <w:pPr>
              <w:pStyle w:val="DMETW36750BIPMS"/>
              <w:jc w:val="right"/>
              <w:rPr>
                <w:rFonts w:ascii="Verdana" w:eastAsia="Verdana" w:hAnsi="Verdana" w:cs="Verdana"/>
                <w:i/>
                <w:noProof/>
                <w:color w:val="000000"/>
                <w:sz w:val="18"/>
                <w:lang w:bidi="en-GB"/>
              </w:rPr>
            </w:pPr>
            <w:r>
              <w:rPr>
                <w:rFonts w:ascii="Verdana" w:eastAsia="Verdana" w:hAnsi="Verdana" w:cs="Verdana"/>
                <w:i/>
                <w:noProof/>
                <w:color w:val="000000"/>
                <w:sz w:val="18"/>
              </w:rPr>
              <w:t>3 854</w:t>
            </w:r>
          </w:p>
        </w:tc>
      </w:tr>
      <w:tr w:rsidR="00807FFE" w14:paraId="7C615779" w14:textId="77777777">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14:paraId="24FC7732" w14:textId="77777777" w:rsidR="00807FFE" w:rsidRDefault="00023E71">
            <w:pPr>
              <w:pStyle w:val="DMETW36750BIPMS"/>
              <w:rPr>
                <w:rFonts w:ascii="Verdana" w:eastAsia="Verdana" w:hAnsi="Verdana" w:cs="Verdana"/>
                <w:b/>
                <w:noProof/>
                <w:color w:val="000000"/>
                <w:sz w:val="18"/>
              </w:rPr>
            </w:pPr>
            <w:r>
              <w:rPr>
                <w:rFonts w:ascii="Verdana" w:eastAsia="Verdana" w:hAnsi="Verdana" w:cs="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bottom"/>
          </w:tcPr>
          <w:p w14:paraId="04757D34" w14:textId="77777777" w:rsidR="00807FFE" w:rsidRDefault="00023E71">
            <w:pPr>
              <w:pStyle w:val="DMETW36750BIPMS"/>
              <w:jc w:val="right"/>
              <w:rPr>
                <w:rFonts w:ascii="Verdana" w:eastAsia="Verdana" w:hAnsi="Verdana" w:cs="Verdana"/>
                <w:b/>
                <w:noProof/>
                <w:color w:val="000000"/>
                <w:sz w:val="18"/>
              </w:rPr>
            </w:pPr>
            <w:r>
              <w:rPr>
                <w:rFonts w:ascii="Verdana" w:eastAsia="Verdana" w:hAnsi="Verdana" w:cs="Verdana"/>
                <w:b/>
                <w:noProof/>
                <w:color w:val="000000"/>
                <w:sz w:val="18"/>
              </w:rPr>
              <w:t>110 784</w:t>
            </w:r>
          </w:p>
        </w:tc>
        <w:tc>
          <w:tcPr>
            <w:tcW w:w="1903" w:type="dxa"/>
            <w:tcBorders>
              <w:top w:val="nil"/>
              <w:left w:val="nil"/>
              <w:bottom w:val="nil"/>
              <w:right w:val="nil"/>
              <w:tl2br w:val="nil"/>
              <w:tr2bl w:val="nil"/>
            </w:tcBorders>
            <w:shd w:val="solid" w:color="CCE1EA" w:fill="FFFFFF"/>
            <w:tcMar>
              <w:left w:w="60" w:type="dxa"/>
              <w:right w:w="60" w:type="dxa"/>
            </w:tcMar>
            <w:vAlign w:val="bottom"/>
          </w:tcPr>
          <w:p w14:paraId="2A50E4AC" w14:textId="77777777" w:rsidR="00807FFE" w:rsidRDefault="00023E71">
            <w:pPr>
              <w:pStyle w:val="DMETW36750BIPMS"/>
              <w:jc w:val="right"/>
              <w:rPr>
                <w:rFonts w:ascii="Verdana" w:eastAsia="Verdana" w:hAnsi="Verdana" w:cs="Verdana"/>
                <w:b/>
                <w:noProof/>
                <w:color w:val="000000"/>
                <w:sz w:val="18"/>
              </w:rPr>
            </w:pPr>
            <w:r>
              <w:rPr>
                <w:rFonts w:ascii="Verdana" w:eastAsia="Verdana" w:hAnsi="Verdana" w:cs="Verdana"/>
                <w:b/>
                <w:noProof/>
                <w:color w:val="000000"/>
                <w:sz w:val="18"/>
              </w:rPr>
              <w:t>105 770</w:t>
            </w:r>
          </w:p>
        </w:tc>
      </w:tr>
    </w:tbl>
    <w:p w14:paraId="3D65B79D" w14:textId="77777777" w:rsidR="00067AF8" w:rsidRDefault="00023E71" w:rsidP="00084DFA">
      <w:pPr>
        <w:pStyle w:val="DGTextstand-alone"/>
      </w:pPr>
      <w:r w:rsidRPr="004B0EEE">
        <w:t xml:space="preserve">The increase concerns cohesion policy (ERDF, CF) where almost all expenses (EUR 28.1 billion) relate to the 2021- 2027 programming period, </w:t>
      </w:r>
      <w:r>
        <w:t>with</w:t>
      </w:r>
      <w:r w:rsidRPr="004B0EEE">
        <w:t xml:space="preserve"> activities </w:t>
      </w:r>
      <w:r>
        <w:t>continuing</w:t>
      </w:r>
      <w:r w:rsidRPr="004B0EEE">
        <w:t xml:space="preserve"> to advance. There has also been an increase in expenditures declared under the CAP strategic plans, which continue their progression.</w:t>
      </w:r>
    </w:p>
    <w:p w14:paraId="0241E937" w14:textId="77777777" w:rsidR="00477673" w:rsidRPr="00477673" w:rsidRDefault="00023E71" w:rsidP="00477673">
      <w:pPr>
        <w:pStyle w:val="DGTextstand-alone"/>
      </w:pPr>
      <w:r w:rsidRPr="002335A1">
        <w:t xml:space="preserve">Other expenses </w:t>
      </w:r>
      <w:r w:rsidRPr="00B8735D">
        <w:t>mainly relate to the</w:t>
      </w:r>
      <w:r>
        <w:t xml:space="preserve"> Just Transition Fund (EUR 1.4 billion), the</w:t>
      </w:r>
      <w:r w:rsidRPr="00B8735D">
        <w:t xml:space="preserve"> European Maritime and Fisheries Fund (EUR 0.8 billion), Asylum and Migration (EUR </w:t>
      </w:r>
      <w:r>
        <w:t>0.6</w:t>
      </w:r>
      <w:r w:rsidRPr="00B8735D">
        <w:t xml:space="preserve"> billion), as well as the European Union Solidarity Fund (EUR 0.</w:t>
      </w:r>
      <w:r>
        <w:t>8</w:t>
      </w:r>
      <w:r w:rsidRPr="00B8735D">
        <w:t xml:space="preserve"> billion</w:t>
      </w:r>
      <w:r w:rsidRPr="002335A1">
        <w:t>).</w:t>
      </w:r>
    </w:p>
    <w:p w14:paraId="359C9B07" w14:textId="77777777" w:rsidR="00067AF8" w:rsidRDefault="00023E71" w:rsidP="00172034">
      <w:pPr>
        <w:pStyle w:val="HEADER2NOTES"/>
        <w:numPr>
          <w:ilvl w:val="1"/>
          <w:numId w:val="15"/>
        </w:numPr>
        <w:rPr>
          <w:noProof/>
        </w:rPr>
      </w:pPr>
      <w:r w:rsidRPr="00067AF8">
        <w:rPr>
          <w:noProof/>
        </w:rPr>
        <w:t>TRANSFERS INCLUDING GRANTS AND BUDGET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rsidR="00807FFE" w14:paraId="39988529" w14:textId="77777777">
        <w:trPr>
          <w:trHeight w:val="255"/>
        </w:trPr>
        <w:tc>
          <w:tcPr>
            <w:tcW w:w="6048" w:type="dxa"/>
            <w:tcBorders>
              <w:top w:val="nil"/>
              <w:left w:val="nil"/>
              <w:bottom w:val="nil"/>
              <w:right w:val="nil"/>
              <w:tl2br w:val="nil"/>
              <w:tr2bl w:val="nil"/>
            </w:tcBorders>
            <w:tcMar>
              <w:left w:w="60" w:type="dxa"/>
              <w:right w:w="60" w:type="dxa"/>
            </w:tcMar>
            <w:vAlign w:val="bottom"/>
          </w:tcPr>
          <w:p w14:paraId="53F4304A" w14:textId="77777777" w:rsidR="00807FFE" w:rsidRDefault="00807FFE">
            <w:pPr>
              <w:pStyle w:val="DMETW36750BIPGR"/>
              <w:rPr>
                <w:rFonts w:ascii="Arial" w:eastAsia="Arial" w:hAnsi="Arial" w:cs="Arial"/>
                <w:noProof/>
                <w:color w:val="000000"/>
                <w:lang w:bidi="en-GB"/>
              </w:rPr>
            </w:pPr>
            <w:bookmarkStart w:id="188" w:name="DOC_TBL00071_1_1"/>
            <w:bookmarkEnd w:id="188"/>
          </w:p>
        </w:tc>
        <w:tc>
          <w:tcPr>
            <w:tcW w:w="1807" w:type="dxa"/>
            <w:tcBorders>
              <w:top w:val="nil"/>
              <w:left w:val="nil"/>
              <w:bottom w:val="nil"/>
              <w:right w:val="nil"/>
              <w:tl2br w:val="nil"/>
              <w:tr2bl w:val="nil"/>
            </w:tcBorders>
            <w:tcMar>
              <w:left w:w="60" w:type="dxa"/>
              <w:right w:w="60" w:type="dxa"/>
            </w:tcMar>
            <w:vAlign w:val="bottom"/>
          </w:tcPr>
          <w:p w14:paraId="59ED6212" w14:textId="77777777" w:rsidR="00807FFE" w:rsidRDefault="00807FFE">
            <w:pPr>
              <w:pStyle w:val="DMETW36750BIPGR"/>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14:paraId="02D8288E" w14:textId="77777777" w:rsidR="00807FFE" w:rsidRDefault="00023E71">
            <w:pPr>
              <w:pStyle w:val="DMETW36750BIPGR"/>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49B4986" w14:textId="77777777">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14:paraId="2B394ADE" w14:textId="77777777" w:rsidR="00807FFE" w:rsidRDefault="00807FFE">
            <w:pPr>
              <w:pStyle w:val="DMETW36750BIPGR"/>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14:paraId="4FF9F061" w14:textId="77777777" w:rsidR="00807FFE" w:rsidRDefault="00023E71">
            <w:pPr>
              <w:pStyle w:val="DMETW36750BIPGR"/>
              <w:jc w:val="right"/>
              <w:rPr>
                <w:rFonts w:ascii="Verdana" w:eastAsia="Verdana" w:hAnsi="Verdana" w:cs="Verdana"/>
                <w:noProof/>
                <w:color w:val="FFFFFF"/>
              </w:rPr>
            </w:pPr>
            <w:r>
              <w:rPr>
                <w:rFonts w:ascii="Verdana" w:eastAsia="Verdana" w:hAnsi="Verdana" w:cs="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14:paraId="428788E3" w14:textId="77777777" w:rsidR="00807FFE" w:rsidRDefault="00023E71">
            <w:pPr>
              <w:pStyle w:val="DMETW36750BIPGR"/>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1A264352" w14:textId="77777777">
        <w:trPr>
          <w:trHeight w:val="255"/>
        </w:trPr>
        <w:tc>
          <w:tcPr>
            <w:tcW w:w="6048" w:type="dxa"/>
            <w:tcBorders>
              <w:top w:val="nil"/>
              <w:left w:val="nil"/>
              <w:bottom w:val="nil"/>
              <w:right w:val="nil"/>
              <w:tl2br w:val="nil"/>
              <w:tr2bl w:val="nil"/>
            </w:tcBorders>
            <w:tcMar>
              <w:left w:w="60" w:type="dxa"/>
              <w:right w:w="60" w:type="dxa"/>
            </w:tcMar>
            <w:vAlign w:val="center"/>
          </w:tcPr>
          <w:p w14:paraId="34608A73" w14:textId="77777777" w:rsidR="00807FFE" w:rsidRDefault="00023E71">
            <w:pPr>
              <w:pStyle w:val="DMETW36750BIPGR"/>
              <w:rPr>
                <w:rFonts w:ascii="Verdana" w:eastAsia="Verdana" w:hAnsi="Verdana" w:cs="Verdana"/>
                <w:i/>
                <w:noProof/>
                <w:color w:val="000000"/>
                <w:sz w:val="18"/>
              </w:rPr>
            </w:pPr>
            <w:r>
              <w:rPr>
                <w:rFonts w:ascii="Verdana" w:eastAsia="Verdana" w:hAnsi="Verdana" w:cs="Verdana"/>
                <w:i/>
                <w:noProof/>
                <w:color w:val="000000"/>
                <w:sz w:val="18"/>
              </w:rPr>
              <w:t>Recovery &amp; Resilience Facility</w:t>
            </w:r>
          </w:p>
        </w:tc>
        <w:tc>
          <w:tcPr>
            <w:tcW w:w="1807" w:type="dxa"/>
            <w:tcBorders>
              <w:top w:val="nil"/>
              <w:left w:val="nil"/>
              <w:bottom w:val="nil"/>
              <w:right w:val="nil"/>
              <w:tl2br w:val="nil"/>
              <w:tr2bl w:val="nil"/>
            </w:tcBorders>
            <w:tcMar>
              <w:left w:w="60" w:type="dxa"/>
              <w:right w:w="60" w:type="dxa"/>
            </w:tcMar>
            <w:vAlign w:val="center"/>
          </w:tcPr>
          <w:p w14:paraId="76AC1F69" w14:textId="77777777" w:rsidR="00807FFE" w:rsidRDefault="00023E71">
            <w:pPr>
              <w:pStyle w:val="DMETW36750BIPGR"/>
              <w:jc w:val="right"/>
              <w:rPr>
                <w:rFonts w:ascii="Verdana" w:eastAsia="Verdana" w:hAnsi="Verdana" w:cs="Verdana"/>
                <w:i/>
                <w:noProof/>
                <w:color w:val="000000"/>
                <w:sz w:val="18"/>
              </w:rPr>
            </w:pPr>
            <w:r>
              <w:rPr>
                <w:rFonts w:ascii="Verdana" w:eastAsia="Verdana" w:hAnsi="Verdana" w:cs="Verdana"/>
                <w:i/>
                <w:noProof/>
                <w:color w:val="000000"/>
                <w:sz w:val="18"/>
              </w:rPr>
              <w:t>46 815</w:t>
            </w:r>
          </w:p>
        </w:tc>
        <w:tc>
          <w:tcPr>
            <w:tcW w:w="1903" w:type="dxa"/>
            <w:tcBorders>
              <w:top w:val="nil"/>
              <w:left w:val="nil"/>
              <w:bottom w:val="nil"/>
              <w:right w:val="nil"/>
              <w:tl2br w:val="nil"/>
              <w:tr2bl w:val="nil"/>
            </w:tcBorders>
            <w:tcMar>
              <w:left w:w="60" w:type="dxa"/>
              <w:right w:w="60" w:type="dxa"/>
            </w:tcMar>
            <w:vAlign w:val="center"/>
          </w:tcPr>
          <w:p w14:paraId="443E03D8" w14:textId="77777777" w:rsidR="00807FFE" w:rsidRDefault="00023E71">
            <w:pPr>
              <w:pStyle w:val="DMETW36750BIPGR"/>
              <w:jc w:val="right"/>
              <w:rPr>
                <w:rFonts w:ascii="Verdana" w:eastAsia="Verdana" w:hAnsi="Verdana" w:cs="Verdana"/>
                <w:i/>
                <w:noProof/>
                <w:color w:val="000000"/>
                <w:sz w:val="18"/>
                <w:lang w:bidi="en-GB"/>
              </w:rPr>
            </w:pPr>
            <w:r>
              <w:rPr>
                <w:rFonts w:ascii="Verdana" w:eastAsia="Verdana" w:hAnsi="Verdana" w:cs="Verdana"/>
                <w:i/>
                <w:noProof/>
                <w:color w:val="000000"/>
                <w:sz w:val="18"/>
              </w:rPr>
              <w:t>65 787</w:t>
            </w:r>
          </w:p>
        </w:tc>
      </w:tr>
      <w:tr w:rsidR="00807FFE" w14:paraId="385D3C28" w14:textId="77777777">
        <w:trPr>
          <w:trHeight w:val="255"/>
        </w:trPr>
        <w:tc>
          <w:tcPr>
            <w:tcW w:w="6048" w:type="dxa"/>
            <w:tcBorders>
              <w:top w:val="nil"/>
              <w:left w:val="nil"/>
              <w:bottom w:val="nil"/>
              <w:right w:val="nil"/>
              <w:tl2br w:val="nil"/>
              <w:tr2bl w:val="nil"/>
            </w:tcBorders>
            <w:tcMar>
              <w:left w:w="60" w:type="dxa"/>
              <w:right w:w="60" w:type="dxa"/>
            </w:tcMar>
            <w:vAlign w:val="center"/>
          </w:tcPr>
          <w:p w14:paraId="48F17010" w14:textId="77777777" w:rsidR="00807FFE" w:rsidRDefault="00023E71">
            <w:pPr>
              <w:pStyle w:val="DMETW36750BIPGR"/>
              <w:rPr>
                <w:rFonts w:ascii="Verdana" w:eastAsia="Verdana" w:hAnsi="Verdana" w:cs="Verdana"/>
                <w:i/>
                <w:noProof/>
                <w:color w:val="000000"/>
                <w:sz w:val="18"/>
              </w:rPr>
            </w:pPr>
            <w:r>
              <w:rPr>
                <w:rFonts w:ascii="Verdana" w:eastAsia="Verdana" w:hAnsi="Verdana" w:cs="Verdana"/>
                <w:i/>
                <w:noProof/>
                <w:color w:val="000000"/>
                <w:sz w:val="18"/>
              </w:rPr>
              <w:t>Other</w:t>
            </w:r>
          </w:p>
        </w:tc>
        <w:tc>
          <w:tcPr>
            <w:tcW w:w="1807" w:type="dxa"/>
            <w:tcBorders>
              <w:top w:val="nil"/>
              <w:left w:val="nil"/>
              <w:bottom w:val="nil"/>
              <w:right w:val="nil"/>
              <w:tl2br w:val="nil"/>
              <w:tr2bl w:val="nil"/>
            </w:tcBorders>
            <w:tcMar>
              <w:left w:w="60" w:type="dxa"/>
              <w:right w:w="60" w:type="dxa"/>
            </w:tcMar>
            <w:vAlign w:val="center"/>
          </w:tcPr>
          <w:p w14:paraId="7164F664" w14:textId="77777777" w:rsidR="00807FFE" w:rsidRDefault="00023E71">
            <w:pPr>
              <w:pStyle w:val="DMETW36750BIPGR"/>
              <w:jc w:val="right"/>
              <w:rPr>
                <w:rFonts w:ascii="Verdana" w:eastAsia="Verdana" w:hAnsi="Verdana" w:cs="Verdana"/>
                <w:i/>
                <w:noProof/>
                <w:color w:val="000000"/>
                <w:sz w:val="18"/>
              </w:rPr>
            </w:pPr>
            <w:r>
              <w:rPr>
                <w:rFonts w:ascii="Verdana" w:eastAsia="Verdana" w:hAnsi="Verdana" w:cs="Verdana"/>
                <w:i/>
                <w:noProof/>
                <w:color w:val="000000"/>
                <w:sz w:val="18"/>
              </w:rPr>
              <w:t>32 025</w:t>
            </w:r>
          </w:p>
        </w:tc>
        <w:tc>
          <w:tcPr>
            <w:tcW w:w="1903" w:type="dxa"/>
            <w:tcBorders>
              <w:top w:val="nil"/>
              <w:left w:val="nil"/>
              <w:bottom w:val="nil"/>
              <w:right w:val="nil"/>
              <w:tl2br w:val="nil"/>
              <w:tr2bl w:val="nil"/>
            </w:tcBorders>
            <w:tcMar>
              <w:left w:w="60" w:type="dxa"/>
              <w:right w:w="60" w:type="dxa"/>
            </w:tcMar>
            <w:vAlign w:val="center"/>
          </w:tcPr>
          <w:p w14:paraId="494D5FB3" w14:textId="77777777" w:rsidR="00807FFE" w:rsidRDefault="00023E71">
            <w:pPr>
              <w:pStyle w:val="DMETW36750BIPGR"/>
              <w:jc w:val="right"/>
              <w:rPr>
                <w:rFonts w:ascii="Verdana" w:eastAsia="Verdana" w:hAnsi="Verdana" w:cs="Verdana"/>
                <w:i/>
                <w:noProof/>
                <w:color w:val="000000"/>
                <w:sz w:val="18"/>
                <w:lang w:bidi="en-GB"/>
              </w:rPr>
            </w:pPr>
            <w:r>
              <w:rPr>
                <w:rFonts w:ascii="Verdana" w:eastAsia="Verdana" w:hAnsi="Verdana" w:cs="Verdana"/>
                <w:i/>
                <w:noProof/>
                <w:color w:val="000000"/>
                <w:sz w:val="18"/>
              </w:rPr>
              <w:t>32 992</w:t>
            </w:r>
          </w:p>
        </w:tc>
      </w:tr>
      <w:tr w:rsidR="00807FFE" w14:paraId="1C778D54" w14:textId="77777777">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14:paraId="6BD9941C" w14:textId="77777777" w:rsidR="00807FFE" w:rsidRDefault="00023E71">
            <w:pPr>
              <w:pStyle w:val="DMETW36750BIPGR"/>
              <w:rPr>
                <w:rFonts w:ascii="Verdana" w:eastAsia="Verdana" w:hAnsi="Verdana" w:cs="Verdana"/>
                <w:b/>
                <w:noProof/>
                <w:color w:val="000000"/>
                <w:sz w:val="18"/>
              </w:rPr>
            </w:pPr>
            <w:r>
              <w:rPr>
                <w:rFonts w:ascii="Verdana" w:eastAsia="Verdana" w:hAnsi="Verdana" w:cs="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center"/>
          </w:tcPr>
          <w:p w14:paraId="1513DE40" w14:textId="77777777" w:rsidR="00807FFE" w:rsidRDefault="00023E71">
            <w:pPr>
              <w:pStyle w:val="DMETW36750BIPGR"/>
              <w:jc w:val="right"/>
              <w:rPr>
                <w:rFonts w:ascii="Verdana" w:eastAsia="Verdana" w:hAnsi="Verdana" w:cs="Verdana"/>
                <w:b/>
                <w:noProof/>
                <w:color w:val="000000"/>
                <w:sz w:val="18"/>
              </w:rPr>
            </w:pPr>
            <w:r>
              <w:rPr>
                <w:rFonts w:ascii="Verdana" w:eastAsia="Verdana" w:hAnsi="Verdana" w:cs="Verdana"/>
                <w:b/>
                <w:noProof/>
                <w:color w:val="000000"/>
                <w:sz w:val="18"/>
              </w:rPr>
              <w:t>78 841</w:t>
            </w:r>
          </w:p>
        </w:tc>
        <w:tc>
          <w:tcPr>
            <w:tcW w:w="1903" w:type="dxa"/>
            <w:tcBorders>
              <w:top w:val="nil"/>
              <w:left w:val="nil"/>
              <w:bottom w:val="nil"/>
              <w:right w:val="nil"/>
              <w:tl2br w:val="nil"/>
              <w:tr2bl w:val="nil"/>
            </w:tcBorders>
            <w:shd w:val="solid" w:color="CCE1EA" w:fill="FFFFFF"/>
            <w:tcMar>
              <w:left w:w="60" w:type="dxa"/>
              <w:right w:w="60" w:type="dxa"/>
            </w:tcMar>
            <w:vAlign w:val="center"/>
          </w:tcPr>
          <w:p w14:paraId="3641FC44" w14:textId="77777777" w:rsidR="00807FFE" w:rsidRDefault="00023E71">
            <w:pPr>
              <w:pStyle w:val="DMETW36750BIPGR"/>
              <w:jc w:val="right"/>
              <w:rPr>
                <w:rFonts w:ascii="Verdana" w:eastAsia="Verdana" w:hAnsi="Verdana" w:cs="Verdana"/>
                <w:b/>
                <w:noProof/>
                <w:color w:val="000000"/>
                <w:sz w:val="18"/>
              </w:rPr>
            </w:pPr>
            <w:r>
              <w:rPr>
                <w:rFonts w:ascii="Verdana" w:eastAsia="Verdana" w:hAnsi="Verdana" w:cs="Verdana"/>
                <w:b/>
                <w:noProof/>
                <w:color w:val="000000"/>
                <w:sz w:val="18"/>
              </w:rPr>
              <w:t>98 779</w:t>
            </w:r>
          </w:p>
        </w:tc>
      </w:tr>
    </w:tbl>
    <w:p w14:paraId="31759414" w14:textId="77777777" w:rsidR="00471218" w:rsidRDefault="00023E71" w:rsidP="00471218">
      <w:pPr>
        <w:pStyle w:val="DGTextstand-alone"/>
        <w:spacing w:after="0"/>
      </w:pPr>
      <w:r>
        <w:t>Despite the significant decrease in RRF expenses, the implementation of milestones and targets continues to progress.</w:t>
      </w:r>
    </w:p>
    <w:p w14:paraId="06BE7E76" w14:textId="77777777" w:rsidR="00067AF8" w:rsidRDefault="00023E71" w:rsidP="00471218">
      <w:pPr>
        <w:pStyle w:val="DGTextstand-alone"/>
        <w:spacing w:after="0"/>
      </w:pPr>
      <w:r>
        <w:t>The rest of the expenses related to transfers concern the implementation of Research Policy (EUR 10 billion) and External Actions, which include the Neighbourhood Development and International Cooperation Instrument and its precursors (EUR 3.1 billion), as well as the Humanitarian aid operations (EUR 1.1 billion). A further EUR 4.6 billion relates to the Connecting Europe Facility, the common infrastructure fund to deploy smart networks in the area of transport, energy and telecommunications.</w:t>
      </w:r>
    </w:p>
    <w:p w14:paraId="55063B60" w14:textId="77777777" w:rsidR="00067AF8" w:rsidRDefault="00023E71" w:rsidP="00172034">
      <w:pPr>
        <w:pStyle w:val="HEADER2NOTES"/>
        <w:numPr>
          <w:ilvl w:val="1"/>
          <w:numId w:val="15"/>
        </w:numPr>
        <w:rPr>
          <w:noProof/>
        </w:rPr>
      </w:pPr>
      <w:r w:rsidRPr="00067AF8">
        <w:rPr>
          <w:noProof/>
        </w:rPr>
        <w:t>CONTRIBUTION AGREEMENTS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rsidR="00807FFE" w14:paraId="0F2F3624" w14:textId="77777777">
        <w:trPr>
          <w:trHeight w:val="255"/>
        </w:trPr>
        <w:tc>
          <w:tcPr>
            <w:tcW w:w="6048" w:type="dxa"/>
            <w:tcBorders>
              <w:top w:val="nil"/>
              <w:left w:val="nil"/>
              <w:bottom w:val="nil"/>
              <w:right w:val="nil"/>
              <w:tl2br w:val="nil"/>
              <w:tr2bl w:val="nil"/>
            </w:tcBorders>
            <w:tcMar>
              <w:left w:w="60" w:type="dxa"/>
              <w:right w:w="60" w:type="dxa"/>
            </w:tcMar>
            <w:vAlign w:val="bottom"/>
          </w:tcPr>
          <w:p w14:paraId="6B20A8CA" w14:textId="77777777" w:rsidR="00807FFE" w:rsidRDefault="00807FFE">
            <w:pPr>
              <w:pStyle w:val="DMETW36750BIPCT"/>
              <w:rPr>
                <w:rFonts w:ascii="Arial" w:eastAsia="Arial" w:hAnsi="Arial" w:cs="Arial"/>
                <w:noProof/>
                <w:color w:val="000000"/>
                <w:lang w:bidi="en-GB"/>
              </w:rPr>
            </w:pPr>
            <w:bookmarkStart w:id="189" w:name="DOC_TBL00072_1_1"/>
            <w:bookmarkEnd w:id="189"/>
          </w:p>
        </w:tc>
        <w:tc>
          <w:tcPr>
            <w:tcW w:w="1807" w:type="dxa"/>
            <w:tcBorders>
              <w:top w:val="nil"/>
              <w:left w:val="nil"/>
              <w:bottom w:val="nil"/>
              <w:right w:val="nil"/>
              <w:tl2br w:val="nil"/>
              <w:tr2bl w:val="nil"/>
            </w:tcBorders>
            <w:tcMar>
              <w:left w:w="60" w:type="dxa"/>
              <w:right w:w="60" w:type="dxa"/>
            </w:tcMar>
            <w:vAlign w:val="bottom"/>
          </w:tcPr>
          <w:p w14:paraId="5EF84232" w14:textId="77777777" w:rsidR="00807FFE" w:rsidRDefault="00807FFE">
            <w:pPr>
              <w:pStyle w:val="DMETW36750BIPCT"/>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14:paraId="751058E5" w14:textId="77777777" w:rsidR="00807FFE" w:rsidRDefault="00023E71">
            <w:pPr>
              <w:pStyle w:val="DMETW36750BIPCT"/>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2B747BB" w14:textId="77777777">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14:paraId="213CBAC1" w14:textId="77777777" w:rsidR="00807FFE" w:rsidRDefault="00807FFE">
            <w:pPr>
              <w:pStyle w:val="DMETW36750BIPCT"/>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14:paraId="31D53004" w14:textId="77777777" w:rsidR="00807FFE" w:rsidRDefault="00023E71">
            <w:pPr>
              <w:pStyle w:val="DMETW36750BIPCT"/>
              <w:jc w:val="right"/>
              <w:rPr>
                <w:rFonts w:ascii="Verdana" w:eastAsia="Verdana" w:hAnsi="Verdana" w:cs="Verdana"/>
                <w:noProof/>
                <w:color w:val="FFFFFF"/>
              </w:rPr>
            </w:pPr>
            <w:r>
              <w:rPr>
                <w:rFonts w:ascii="Verdana" w:eastAsia="Verdana" w:hAnsi="Verdana" w:cs="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14:paraId="5A9FE23E" w14:textId="77777777" w:rsidR="00807FFE" w:rsidRDefault="00023E71">
            <w:pPr>
              <w:pStyle w:val="DMETW36750BIPCT"/>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40AECCC0" w14:textId="77777777">
        <w:trPr>
          <w:trHeight w:val="255"/>
        </w:trPr>
        <w:tc>
          <w:tcPr>
            <w:tcW w:w="6048" w:type="dxa"/>
            <w:tcBorders>
              <w:top w:val="nil"/>
              <w:left w:val="nil"/>
              <w:bottom w:val="nil"/>
              <w:right w:val="nil"/>
              <w:tl2br w:val="nil"/>
              <w:tr2bl w:val="nil"/>
            </w:tcBorders>
            <w:tcMar>
              <w:left w:w="60" w:type="dxa"/>
              <w:right w:w="60" w:type="dxa"/>
            </w:tcMar>
            <w:vAlign w:val="center"/>
          </w:tcPr>
          <w:p w14:paraId="0C47974B" w14:textId="77777777" w:rsidR="00807FFE" w:rsidRDefault="00023E71">
            <w:pPr>
              <w:pStyle w:val="DMETW36750BIPCT"/>
              <w:rPr>
                <w:rFonts w:ascii="Verdana" w:eastAsia="Verdana" w:hAnsi="Verdana" w:cs="Verdana"/>
                <w:i/>
                <w:noProof/>
                <w:color w:val="000000"/>
                <w:sz w:val="18"/>
              </w:rPr>
            </w:pPr>
            <w:r>
              <w:rPr>
                <w:rFonts w:ascii="Verdana" w:eastAsia="Verdana" w:hAnsi="Verdana" w:cs="Verdana"/>
                <w:i/>
                <w:noProof/>
                <w:color w:val="000000"/>
                <w:sz w:val="18"/>
              </w:rPr>
              <w:t>Contributions</w:t>
            </w:r>
          </w:p>
        </w:tc>
        <w:tc>
          <w:tcPr>
            <w:tcW w:w="1807" w:type="dxa"/>
            <w:tcBorders>
              <w:top w:val="nil"/>
              <w:left w:val="nil"/>
              <w:bottom w:val="nil"/>
              <w:right w:val="nil"/>
              <w:tl2br w:val="nil"/>
              <w:tr2bl w:val="nil"/>
            </w:tcBorders>
            <w:tcMar>
              <w:left w:w="60" w:type="dxa"/>
              <w:right w:w="60" w:type="dxa"/>
            </w:tcMar>
            <w:vAlign w:val="center"/>
          </w:tcPr>
          <w:p w14:paraId="3183E13A" w14:textId="77777777" w:rsidR="00807FFE" w:rsidRDefault="00023E71">
            <w:pPr>
              <w:pStyle w:val="DMETW36750BIPCT"/>
              <w:jc w:val="right"/>
              <w:rPr>
                <w:rFonts w:ascii="Verdana" w:eastAsia="Verdana" w:hAnsi="Verdana" w:cs="Verdana"/>
                <w:i/>
                <w:noProof/>
                <w:color w:val="000000"/>
                <w:sz w:val="18"/>
              </w:rPr>
            </w:pPr>
            <w:r>
              <w:rPr>
                <w:rFonts w:ascii="Verdana" w:eastAsia="Verdana" w:hAnsi="Verdana" w:cs="Verdana"/>
                <w:i/>
                <w:noProof/>
                <w:color w:val="000000"/>
                <w:sz w:val="18"/>
              </w:rPr>
              <w:t>13 200</w:t>
            </w:r>
          </w:p>
        </w:tc>
        <w:tc>
          <w:tcPr>
            <w:tcW w:w="1903" w:type="dxa"/>
            <w:tcBorders>
              <w:top w:val="nil"/>
              <w:left w:val="nil"/>
              <w:bottom w:val="nil"/>
              <w:right w:val="nil"/>
              <w:tl2br w:val="nil"/>
              <w:tr2bl w:val="nil"/>
            </w:tcBorders>
            <w:tcMar>
              <w:left w:w="60" w:type="dxa"/>
              <w:right w:w="60" w:type="dxa"/>
            </w:tcMar>
            <w:vAlign w:val="center"/>
          </w:tcPr>
          <w:p w14:paraId="2B6444C4" w14:textId="77777777" w:rsidR="00807FFE" w:rsidRDefault="00023E71">
            <w:pPr>
              <w:pStyle w:val="DMETW36750BIPCT"/>
              <w:jc w:val="right"/>
              <w:rPr>
                <w:rFonts w:ascii="Verdana" w:eastAsia="Verdana" w:hAnsi="Verdana" w:cs="Verdana"/>
                <w:i/>
                <w:noProof/>
                <w:color w:val="000000"/>
                <w:sz w:val="18"/>
                <w:lang w:bidi="en-GB"/>
              </w:rPr>
            </w:pPr>
            <w:r>
              <w:rPr>
                <w:rFonts w:ascii="Verdana" w:eastAsia="Verdana" w:hAnsi="Verdana" w:cs="Verdana"/>
                <w:i/>
                <w:noProof/>
                <w:color w:val="000000"/>
                <w:sz w:val="18"/>
              </w:rPr>
              <w:t>16 820</w:t>
            </w:r>
          </w:p>
        </w:tc>
      </w:tr>
      <w:tr w:rsidR="00807FFE" w14:paraId="5698A9A4" w14:textId="77777777">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14:paraId="0CF1A869" w14:textId="77777777" w:rsidR="00807FFE" w:rsidRDefault="00023E71">
            <w:pPr>
              <w:pStyle w:val="DMETW36750BIPCT"/>
              <w:rPr>
                <w:rFonts w:ascii="Verdana" w:eastAsia="Verdana" w:hAnsi="Verdana" w:cs="Verdana"/>
                <w:b/>
                <w:noProof/>
                <w:color w:val="000000"/>
                <w:sz w:val="18"/>
              </w:rPr>
            </w:pPr>
            <w:r>
              <w:rPr>
                <w:rFonts w:ascii="Verdana" w:eastAsia="Verdana" w:hAnsi="Verdana" w:cs="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center"/>
          </w:tcPr>
          <w:p w14:paraId="2DD682A3" w14:textId="77777777" w:rsidR="00807FFE" w:rsidRDefault="00023E71">
            <w:pPr>
              <w:pStyle w:val="DMETW36750BIPCT"/>
              <w:jc w:val="right"/>
              <w:rPr>
                <w:rFonts w:ascii="Verdana" w:eastAsia="Verdana" w:hAnsi="Verdana" w:cs="Verdana"/>
                <w:b/>
                <w:noProof/>
                <w:color w:val="000000"/>
                <w:sz w:val="18"/>
              </w:rPr>
            </w:pPr>
            <w:r>
              <w:rPr>
                <w:rFonts w:ascii="Verdana" w:eastAsia="Verdana" w:hAnsi="Verdana" w:cs="Verdana"/>
                <w:b/>
                <w:noProof/>
                <w:color w:val="000000"/>
                <w:sz w:val="18"/>
              </w:rPr>
              <w:t>13 200</w:t>
            </w:r>
          </w:p>
        </w:tc>
        <w:tc>
          <w:tcPr>
            <w:tcW w:w="1903" w:type="dxa"/>
            <w:tcBorders>
              <w:top w:val="nil"/>
              <w:left w:val="nil"/>
              <w:bottom w:val="nil"/>
              <w:right w:val="nil"/>
              <w:tl2br w:val="nil"/>
              <w:tr2bl w:val="nil"/>
            </w:tcBorders>
            <w:shd w:val="solid" w:color="CCE1EA" w:fill="FFFFFF"/>
            <w:tcMar>
              <w:left w:w="60" w:type="dxa"/>
              <w:right w:w="60" w:type="dxa"/>
            </w:tcMar>
            <w:vAlign w:val="center"/>
          </w:tcPr>
          <w:p w14:paraId="195E6D6D" w14:textId="77777777" w:rsidR="00807FFE" w:rsidRDefault="00023E71">
            <w:pPr>
              <w:pStyle w:val="DMETW36750BIPCT"/>
              <w:jc w:val="right"/>
              <w:rPr>
                <w:rFonts w:ascii="Verdana" w:eastAsia="Verdana" w:hAnsi="Verdana" w:cs="Verdana"/>
                <w:b/>
                <w:noProof/>
                <w:color w:val="000000"/>
                <w:sz w:val="18"/>
              </w:rPr>
            </w:pPr>
            <w:r>
              <w:rPr>
                <w:rFonts w:ascii="Verdana" w:eastAsia="Verdana" w:hAnsi="Verdana" w:cs="Verdana"/>
                <w:b/>
                <w:noProof/>
                <w:color w:val="000000"/>
                <w:sz w:val="18"/>
              </w:rPr>
              <w:t>16 820</w:t>
            </w:r>
          </w:p>
        </w:tc>
      </w:tr>
    </w:tbl>
    <w:p w14:paraId="39B0D783" w14:textId="77777777" w:rsidR="00067AF8" w:rsidRDefault="00023E71" w:rsidP="007915D5">
      <w:pPr>
        <w:pStyle w:val="DGTextstand-alone"/>
      </w:pPr>
      <w:r w:rsidRPr="00471218">
        <w:t>Expenses related to contribution agreements concern mainly the Neighbourhood, Development and Cooperation Instrument and its precursors (EUR 4.5 billion), the space programmes (EUR 3.2 billion), Erasmus+ (EUR 2.9 billion) and the Research Policy (EUR 1.9 billion).</w:t>
      </w:r>
    </w:p>
    <w:bookmarkEnd w:id="186"/>
    <w:p w14:paraId="50489BC0" w14:textId="77777777" w:rsidR="00397D0D" w:rsidRDefault="00397D0D" w:rsidP="007915D5">
      <w:pPr>
        <w:pStyle w:val="DGTextstand-alone"/>
        <w:sectPr w:rsidR="00397D0D">
          <w:headerReference w:type="default" r:id="rId117"/>
          <w:footerReference w:type="default" r:id="rId118"/>
          <w:type w:val="continuous"/>
          <w:pgSz w:w="11906" w:h="16838"/>
          <w:pgMar w:top="1134" w:right="1134" w:bottom="1134" w:left="1134" w:header="709" w:footer="709" w:gutter="0"/>
          <w:cols w:space="708"/>
          <w:docGrid w:linePitch="360"/>
        </w:sectPr>
      </w:pPr>
    </w:p>
    <w:p w14:paraId="0C8BE274" w14:textId="77777777" w:rsidR="00B231CF" w:rsidRPr="00EC600E" w:rsidRDefault="00023E71" w:rsidP="00172034">
      <w:pPr>
        <w:pStyle w:val="HEADER2NOTES"/>
        <w:numPr>
          <w:ilvl w:val="1"/>
          <w:numId w:val="15"/>
        </w:numPr>
        <w:rPr>
          <w:noProof/>
        </w:rPr>
      </w:pPr>
      <w:bookmarkStart w:id="190" w:name="_DMBM_36704"/>
      <w:r w:rsidRPr="00EC600E">
        <w:rPr>
          <w:noProof/>
        </w:rPr>
        <w:t>STAFF AND PENSION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2"/>
        <w:gridCol w:w="1963"/>
        <w:gridCol w:w="1963"/>
      </w:tblGrid>
      <w:tr w:rsidR="00807FFE" w14:paraId="402B6F12" w14:textId="77777777">
        <w:trPr>
          <w:trHeight w:val="255"/>
        </w:trPr>
        <w:tc>
          <w:tcPr>
            <w:tcW w:w="5832" w:type="dxa"/>
            <w:tcBorders>
              <w:top w:val="nil"/>
              <w:left w:val="nil"/>
              <w:bottom w:val="nil"/>
              <w:right w:val="nil"/>
              <w:tl2br w:val="nil"/>
              <w:tr2bl w:val="nil"/>
            </w:tcBorders>
            <w:tcMar>
              <w:left w:w="60" w:type="dxa"/>
              <w:right w:w="60" w:type="dxa"/>
            </w:tcMar>
            <w:vAlign w:val="bottom"/>
          </w:tcPr>
          <w:p w14:paraId="6D7B3D7A" w14:textId="77777777" w:rsidR="00807FFE" w:rsidRDefault="00807FFE">
            <w:pPr>
              <w:pStyle w:val="DMETW36777BIPSPC"/>
              <w:rPr>
                <w:rFonts w:ascii="Arial" w:eastAsia="Arial" w:hAnsi="Arial" w:cs="Arial"/>
                <w:noProof/>
                <w:color w:val="000000"/>
                <w:lang w:bidi="en-GB"/>
              </w:rPr>
            </w:pPr>
            <w:bookmarkStart w:id="191" w:name="DOC_TBL00073_1_1"/>
            <w:bookmarkEnd w:id="191"/>
          </w:p>
        </w:tc>
        <w:tc>
          <w:tcPr>
            <w:tcW w:w="1963" w:type="dxa"/>
            <w:tcBorders>
              <w:top w:val="nil"/>
              <w:left w:val="nil"/>
              <w:bottom w:val="nil"/>
              <w:right w:val="nil"/>
              <w:tl2br w:val="nil"/>
              <w:tr2bl w:val="nil"/>
            </w:tcBorders>
            <w:tcMar>
              <w:left w:w="60" w:type="dxa"/>
              <w:right w:w="60" w:type="dxa"/>
            </w:tcMar>
            <w:vAlign w:val="bottom"/>
          </w:tcPr>
          <w:p w14:paraId="2BF25A26" w14:textId="77777777" w:rsidR="00807FFE" w:rsidRDefault="00807FFE">
            <w:pPr>
              <w:pStyle w:val="DMETW36777BIPSPC"/>
              <w:rPr>
                <w:rFonts w:ascii="Arial" w:eastAsia="Arial" w:hAnsi="Arial" w:cs="Arial"/>
                <w:noProof/>
                <w:color w:val="000000"/>
              </w:rPr>
            </w:pPr>
          </w:p>
        </w:tc>
        <w:tc>
          <w:tcPr>
            <w:tcW w:w="1963" w:type="dxa"/>
            <w:tcBorders>
              <w:top w:val="nil"/>
              <w:left w:val="nil"/>
              <w:bottom w:val="nil"/>
              <w:right w:val="nil"/>
              <w:tl2br w:val="nil"/>
              <w:tr2bl w:val="nil"/>
            </w:tcBorders>
            <w:tcMar>
              <w:left w:w="60" w:type="dxa"/>
              <w:right w:w="60" w:type="dxa"/>
            </w:tcMar>
            <w:vAlign w:val="bottom"/>
          </w:tcPr>
          <w:p w14:paraId="0B791BC8" w14:textId="77777777" w:rsidR="00807FFE" w:rsidRDefault="00023E71">
            <w:pPr>
              <w:pStyle w:val="DMETW36777BIPSPC"/>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C77111E" w14:textId="77777777">
        <w:trPr>
          <w:trHeight w:val="255"/>
        </w:trPr>
        <w:tc>
          <w:tcPr>
            <w:tcW w:w="5832" w:type="dxa"/>
            <w:tcBorders>
              <w:top w:val="nil"/>
              <w:left w:val="nil"/>
              <w:bottom w:val="nil"/>
              <w:right w:val="nil"/>
              <w:tl2br w:val="nil"/>
              <w:tr2bl w:val="nil"/>
            </w:tcBorders>
            <w:shd w:val="solid" w:color="016794" w:fill="FFFFFF"/>
            <w:tcMar>
              <w:left w:w="60" w:type="dxa"/>
              <w:right w:w="60" w:type="dxa"/>
            </w:tcMar>
            <w:vAlign w:val="center"/>
          </w:tcPr>
          <w:p w14:paraId="5D50CDD8" w14:textId="77777777" w:rsidR="00807FFE" w:rsidRDefault="00807FFE">
            <w:pPr>
              <w:pStyle w:val="DMETW36777BIPSPC"/>
              <w:jc w:val="right"/>
              <w:rPr>
                <w:rFonts w:ascii="Verdana" w:eastAsia="Verdana" w:hAnsi="Verdana" w:cs="Verdana"/>
                <w:noProof/>
                <w:color w:val="FFFFFF"/>
              </w:rPr>
            </w:pPr>
          </w:p>
        </w:tc>
        <w:tc>
          <w:tcPr>
            <w:tcW w:w="1963" w:type="dxa"/>
            <w:tcBorders>
              <w:top w:val="nil"/>
              <w:left w:val="nil"/>
              <w:bottom w:val="nil"/>
              <w:right w:val="nil"/>
              <w:tl2br w:val="nil"/>
              <w:tr2bl w:val="nil"/>
            </w:tcBorders>
            <w:shd w:val="solid" w:color="016794" w:fill="FFFFFF"/>
            <w:tcMar>
              <w:left w:w="60" w:type="dxa"/>
              <w:right w:w="60" w:type="dxa"/>
            </w:tcMar>
            <w:vAlign w:val="center"/>
          </w:tcPr>
          <w:p w14:paraId="7FF5BC2B" w14:textId="77777777" w:rsidR="00807FFE" w:rsidRDefault="00023E71">
            <w:pPr>
              <w:pStyle w:val="DMETW36777BIPSPC"/>
              <w:jc w:val="right"/>
              <w:rPr>
                <w:rFonts w:ascii="Verdana" w:eastAsia="Verdana" w:hAnsi="Verdana" w:cs="Verdana"/>
                <w:noProof/>
                <w:color w:val="FFFFFF"/>
              </w:rPr>
            </w:pPr>
            <w:r>
              <w:rPr>
                <w:rFonts w:ascii="Verdana" w:eastAsia="Verdana" w:hAnsi="Verdana" w:cs="Verdana"/>
                <w:noProof/>
                <w:color w:val="FFFFFF"/>
              </w:rPr>
              <w:t>2025</w:t>
            </w:r>
          </w:p>
        </w:tc>
        <w:tc>
          <w:tcPr>
            <w:tcW w:w="1963" w:type="dxa"/>
            <w:tcBorders>
              <w:top w:val="nil"/>
              <w:left w:val="nil"/>
              <w:bottom w:val="nil"/>
              <w:right w:val="nil"/>
              <w:tl2br w:val="nil"/>
              <w:tr2bl w:val="nil"/>
            </w:tcBorders>
            <w:shd w:val="solid" w:color="016794" w:fill="FFFFFF"/>
            <w:tcMar>
              <w:left w:w="60" w:type="dxa"/>
              <w:right w:w="60" w:type="dxa"/>
            </w:tcMar>
            <w:vAlign w:val="center"/>
          </w:tcPr>
          <w:p w14:paraId="1140C29F" w14:textId="77777777" w:rsidR="00807FFE" w:rsidRDefault="00023E71">
            <w:pPr>
              <w:pStyle w:val="DMETW36777BIPSPC"/>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76DDEA60" w14:textId="77777777">
        <w:trPr>
          <w:trHeight w:val="255"/>
        </w:trPr>
        <w:tc>
          <w:tcPr>
            <w:tcW w:w="5832" w:type="dxa"/>
            <w:tcBorders>
              <w:top w:val="nil"/>
              <w:left w:val="nil"/>
              <w:bottom w:val="nil"/>
              <w:right w:val="nil"/>
              <w:tl2br w:val="nil"/>
              <w:tr2bl w:val="nil"/>
            </w:tcBorders>
            <w:tcMar>
              <w:left w:w="60" w:type="dxa"/>
              <w:right w:w="60" w:type="dxa"/>
            </w:tcMar>
            <w:vAlign w:val="center"/>
          </w:tcPr>
          <w:p w14:paraId="7ED8B769" w14:textId="77777777" w:rsidR="00807FFE" w:rsidRDefault="00023E71">
            <w:pPr>
              <w:pStyle w:val="DMETW36777BIPSPC"/>
              <w:rPr>
                <w:rFonts w:ascii="Verdana" w:eastAsia="Verdana" w:hAnsi="Verdana" w:cs="Verdana"/>
                <w:i/>
                <w:noProof/>
                <w:color w:val="000000"/>
                <w:sz w:val="18"/>
              </w:rPr>
            </w:pPr>
            <w:r>
              <w:rPr>
                <w:rFonts w:ascii="Verdana" w:eastAsia="Verdana" w:hAnsi="Verdana" w:cs="Verdana"/>
                <w:i/>
                <w:noProof/>
                <w:color w:val="000000"/>
                <w:sz w:val="18"/>
              </w:rPr>
              <w:t>Staff costs</w:t>
            </w:r>
          </w:p>
        </w:tc>
        <w:tc>
          <w:tcPr>
            <w:tcW w:w="1963" w:type="dxa"/>
            <w:tcBorders>
              <w:top w:val="nil"/>
              <w:left w:val="nil"/>
              <w:bottom w:val="nil"/>
              <w:right w:val="nil"/>
              <w:tl2br w:val="nil"/>
              <w:tr2bl w:val="nil"/>
            </w:tcBorders>
            <w:tcMar>
              <w:left w:w="60" w:type="dxa"/>
              <w:right w:w="60" w:type="dxa"/>
            </w:tcMar>
            <w:vAlign w:val="center"/>
          </w:tcPr>
          <w:p w14:paraId="5B013FBD" w14:textId="77777777" w:rsidR="00807FFE" w:rsidRDefault="00023E71">
            <w:pPr>
              <w:pStyle w:val="DMETW36777BIPSPC"/>
              <w:jc w:val="right"/>
              <w:rPr>
                <w:rFonts w:ascii="Verdana" w:eastAsia="Verdana" w:hAnsi="Verdana" w:cs="Verdana"/>
                <w:i/>
                <w:noProof/>
                <w:color w:val="000000"/>
                <w:sz w:val="18"/>
              </w:rPr>
            </w:pPr>
            <w:r>
              <w:rPr>
                <w:rFonts w:ascii="Verdana" w:eastAsia="Verdana" w:hAnsi="Verdana" w:cs="Verdana"/>
                <w:i/>
                <w:noProof/>
                <w:color w:val="000000"/>
                <w:sz w:val="18"/>
              </w:rPr>
              <w:t>9 679</w:t>
            </w:r>
          </w:p>
        </w:tc>
        <w:tc>
          <w:tcPr>
            <w:tcW w:w="1963" w:type="dxa"/>
            <w:tcBorders>
              <w:top w:val="nil"/>
              <w:left w:val="nil"/>
              <w:bottom w:val="nil"/>
              <w:right w:val="nil"/>
              <w:tl2br w:val="nil"/>
              <w:tr2bl w:val="nil"/>
            </w:tcBorders>
            <w:tcMar>
              <w:left w:w="60" w:type="dxa"/>
              <w:right w:w="60" w:type="dxa"/>
            </w:tcMar>
            <w:vAlign w:val="center"/>
          </w:tcPr>
          <w:p w14:paraId="59F71498" w14:textId="77777777" w:rsidR="00807FFE" w:rsidRDefault="00023E71">
            <w:pPr>
              <w:pStyle w:val="DMETW36777BIPSPC"/>
              <w:jc w:val="right"/>
              <w:rPr>
                <w:rFonts w:ascii="Verdana" w:eastAsia="Verdana" w:hAnsi="Verdana" w:cs="Verdana"/>
                <w:i/>
                <w:noProof/>
                <w:color w:val="000000"/>
                <w:sz w:val="18"/>
                <w:lang w:bidi="en-GB"/>
              </w:rPr>
            </w:pPr>
            <w:r>
              <w:rPr>
                <w:rFonts w:ascii="Verdana" w:eastAsia="Verdana" w:hAnsi="Verdana" w:cs="Verdana"/>
                <w:i/>
                <w:noProof/>
                <w:color w:val="000000"/>
                <w:sz w:val="18"/>
              </w:rPr>
              <w:t>9 070</w:t>
            </w:r>
          </w:p>
        </w:tc>
      </w:tr>
      <w:tr w:rsidR="00807FFE" w14:paraId="48E77E08" w14:textId="77777777">
        <w:trPr>
          <w:trHeight w:val="255"/>
        </w:trPr>
        <w:tc>
          <w:tcPr>
            <w:tcW w:w="5832" w:type="dxa"/>
            <w:tcBorders>
              <w:top w:val="nil"/>
              <w:left w:val="nil"/>
              <w:bottom w:val="nil"/>
              <w:right w:val="nil"/>
              <w:tl2br w:val="nil"/>
              <w:tr2bl w:val="nil"/>
            </w:tcBorders>
            <w:tcMar>
              <w:left w:w="60" w:type="dxa"/>
              <w:right w:w="60" w:type="dxa"/>
            </w:tcMar>
            <w:vAlign w:val="center"/>
          </w:tcPr>
          <w:p w14:paraId="3A7558F1" w14:textId="77777777" w:rsidR="00807FFE" w:rsidRDefault="00023E71">
            <w:pPr>
              <w:pStyle w:val="DMETW36777BIPSPC"/>
              <w:rPr>
                <w:rFonts w:ascii="Verdana" w:eastAsia="Verdana" w:hAnsi="Verdana" w:cs="Verdana"/>
                <w:i/>
                <w:noProof/>
                <w:color w:val="000000"/>
                <w:sz w:val="18"/>
              </w:rPr>
            </w:pPr>
            <w:r>
              <w:rPr>
                <w:rFonts w:ascii="Verdana" w:eastAsia="Verdana" w:hAnsi="Verdana" w:cs="Verdana"/>
                <w:i/>
                <w:noProof/>
                <w:color w:val="000000"/>
                <w:sz w:val="18"/>
              </w:rPr>
              <w:t>Pension costs</w:t>
            </w:r>
          </w:p>
        </w:tc>
        <w:tc>
          <w:tcPr>
            <w:tcW w:w="1963" w:type="dxa"/>
            <w:tcBorders>
              <w:top w:val="nil"/>
              <w:left w:val="nil"/>
              <w:bottom w:val="nil"/>
              <w:right w:val="nil"/>
              <w:tl2br w:val="nil"/>
              <w:tr2bl w:val="nil"/>
            </w:tcBorders>
            <w:tcMar>
              <w:left w:w="60" w:type="dxa"/>
              <w:right w:w="60" w:type="dxa"/>
            </w:tcMar>
            <w:vAlign w:val="center"/>
          </w:tcPr>
          <w:p w14:paraId="42E1D6F7" w14:textId="77777777" w:rsidR="00807FFE" w:rsidRDefault="00023E71">
            <w:pPr>
              <w:pStyle w:val="DMETW36777BIPSPC"/>
              <w:jc w:val="right"/>
              <w:rPr>
                <w:rFonts w:ascii="Verdana" w:eastAsia="Verdana" w:hAnsi="Verdana" w:cs="Verdana"/>
                <w:i/>
                <w:noProof/>
                <w:color w:val="000000"/>
                <w:sz w:val="18"/>
              </w:rPr>
            </w:pPr>
            <w:r>
              <w:rPr>
                <w:rFonts w:ascii="Verdana" w:eastAsia="Verdana" w:hAnsi="Verdana" w:cs="Verdana"/>
                <w:i/>
                <w:noProof/>
                <w:color w:val="000000"/>
                <w:sz w:val="18"/>
              </w:rPr>
              <w:t>6 275</w:t>
            </w:r>
          </w:p>
        </w:tc>
        <w:tc>
          <w:tcPr>
            <w:tcW w:w="1963" w:type="dxa"/>
            <w:tcBorders>
              <w:top w:val="nil"/>
              <w:left w:val="nil"/>
              <w:bottom w:val="nil"/>
              <w:right w:val="nil"/>
              <w:tl2br w:val="nil"/>
              <w:tr2bl w:val="nil"/>
            </w:tcBorders>
            <w:tcMar>
              <w:left w:w="60" w:type="dxa"/>
              <w:right w:w="60" w:type="dxa"/>
            </w:tcMar>
            <w:vAlign w:val="center"/>
          </w:tcPr>
          <w:p w14:paraId="6D008B28" w14:textId="77777777" w:rsidR="00807FFE" w:rsidRDefault="00023E71">
            <w:pPr>
              <w:pStyle w:val="DMETW36777BIPSPC"/>
              <w:jc w:val="right"/>
              <w:rPr>
                <w:rFonts w:ascii="Verdana" w:eastAsia="Verdana" w:hAnsi="Verdana" w:cs="Verdana"/>
                <w:i/>
                <w:noProof/>
                <w:color w:val="000000"/>
                <w:sz w:val="18"/>
                <w:lang w:bidi="en-GB"/>
              </w:rPr>
            </w:pPr>
            <w:r>
              <w:rPr>
                <w:rFonts w:ascii="Verdana" w:eastAsia="Verdana" w:hAnsi="Verdana" w:cs="Verdana"/>
                <w:i/>
                <w:noProof/>
                <w:color w:val="000000"/>
                <w:sz w:val="18"/>
              </w:rPr>
              <w:t>5 896</w:t>
            </w:r>
          </w:p>
        </w:tc>
      </w:tr>
      <w:tr w:rsidR="00807FFE" w14:paraId="1C3E069B" w14:textId="77777777">
        <w:trPr>
          <w:trHeight w:val="255"/>
        </w:trPr>
        <w:tc>
          <w:tcPr>
            <w:tcW w:w="5832" w:type="dxa"/>
            <w:tcBorders>
              <w:top w:val="nil"/>
              <w:left w:val="nil"/>
              <w:bottom w:val="nil"/>
              <w:right w:val="nil"/>
              <w:tl2br w:val="nil"/>
              <w:tr2bl w:val="nil"/>
            </w:tcBorders>
            <w:shd w:val="solid" w:color="CCE1EA" w:fill="FFFFFF"/>
            <w:tcMar>
              <w:left w:w="60" w:type="dxa"/>
              <w:right w:w="60" w:type="dxa"/>
            </w:tcMar>
            <w:vAlign w:val="center"/>
          </w:tcPr>
          <w:p w14:paraId="73DAE686" w14:textId="77777777" w:rsidR="00807FFE" w:rsidRDefault="00023E71">
            <w:pPr>
              <w:pStyle w:val="DMETW36777BIPSPC"/>
              <w:rPr>
                <w:rFonts w:ascii="Verdana" w:eastAsia="Verdana" w:hAnsi="Verdana" w:cs="Verdana"/>
                <w:b/>
                <w:noProof/>
                <w:color w:val="000000"/>
                <w:sz w:val="18"/>
              </w:rPr>
            </w:pPr>
            <w:r>
              <w:rPr>
                <w:rFonts w:ascii="Verdana" w:eastAsia="Verdana" w:hAnsi="Verdana" w:cs="Verdana"/>
                <w:b/>
                <w:noProof/>
                <w:color w:val="000000"/>
                <w:sz w:val="18"/>
              </w:rPr>
              <w:t>Total</w:t>
            </w:r>
          </w:p>
        </w:tc>
        <w:tc>
          <w:tcPr>
            <w:tcW w:w="1963" w:type="dxa"/>
            <w:tcBorders>
              <w:top w:val="nil"/>
              <w:left w:val="nil"/>
              <w:bottom w:val="nil"/>
              <w:right w:val="nil"/>
              <w:tl2br w:val="nil"/>
              <w:tr2bl w:val="nil"/>
            </w:tcBorders>
            <w:shd w:val="solid" w:color="CCE1EA" w:fill="FFFFFF"/>
            <w:tcMar>
              <w:left w:w="60" w:type="dxa"/>
              <w:right w:w="60" w:type="dxa"/>
            </w:tcMar>
            <w:vAlign w:val="center"/>
          </w:tcPr>
          <w:p w14:paraId="2FCA98EB" w14:textId="77777777" w:rsidR="00807FFE" w:rsidRDefault="00023E71">
            <w:pPr>
              <w:pStyle w:val="DMETW36777BIPSPC"/>
              <w:jc w:val="right"/>
              <w:rPr>
                <w:rFonts w:ascii="Verdana" w:eastAsia="Verdana" w:hAnsi="Verdana" w:cs="Verdana"/>
                <w:b/>
                <w:noProof/>
                <w:color w:val="000000"/>
                <w:sz w:val="18"/>
              </w:rPr>
            </w:pPr>
            <w:r>
              <w:rPr>
                <w:rFonts w:ascii="Verdana" w:eastAsia="Verdana" w:hAnsi="Verdana" w:cs="Verdana"/>
                <w:b/>
                <w:noProof/>
                <w:color w:val="000000"/>
                <w:sz w:val="18"/>
              </w:rPr>
              <w:t>15 954</w:t>
            </w:r>
          </w:p>
        </w:tc>
        <w:tc>
          <w:tcPr>
            <w:tcW w:w="1963" w:type="dxa"/>
            <w:tcBorders>
              <w:top w:val="nil"/>
              <w:left w:val="nil"/>
              <w:bottom w:val="nil"/>
              <w:right w:val="nil"/>
              <w:tl2br w:val="nil"/>
              <w:tr2bl w:val="nil"/>
            </w:tcBorders>
            <w:shd w:val="solid" w:color="CCE1EA" w:fill="FFFFFF"/>
            <w:tcMar>
              <w:left w:w="60" w:type="dxa"/>
              <w:right w:w="60" w:type="dxa"/>
            </w:tcMar>
            <w:vAlign w:val="center"/>
          </w:tcPr>
          <w:p w14:paraId="0A593B21" w14:textId="77777777" w:rsidR="00807FFE" w:rsidRDefault="00023E71">
            <w:pPr>
              <w:pStyle w:val="DMETW36777BIPSPC"/>
              <w:jc w:val="right"/>
              <w:rPr>
                <w:rFonts w:ascii="Verdana" w:eastAsia="Verdana" w:hAnsi="Verdana" w:cs="Verdana"/>
                <w:b/>
                <w:noProof/>
                <w:color w:val="000000"/>
                <w:sz w:val="18"/>
              </w:rPr>
            </w:pPr>
            <w:r>
              <w:rPr>
                <w:rFonts w:ascii="Verdana" w:eastAsia="Verdana" w:hAnsi="Verdana" w:cs="Verdana"/>
                <w:b/>
                <w:noProof/>
                <w:color w:val="000000"/>
                <w:sz w:val="18"/>
              </w:rPr>
              <w:t>14 966</w:t>
            </w:r>
          </w:p>
        </w:tc>
      </w:tr>
    </w:tbl>
    <w:p w14:paraId="129022D5" w14:textId="77777777" w:rsidR="00022AB1" w:rsidRDefault="00023E71" w:rsidP="00842C91">
      <w:pPr>
        <w:pStyle w:val="DGTextstand-alone"/>
        <w:spacing w:after="0"/>
        <w:sectPr w:rsidR="00022AB1">
          <w:headerReference w:type="default" r:id="rId119"/>
          <w:footerReference w:type="default" r:id="rId120"/>
          <w:type w:val="continuous"/>
          <w:pgSz w:w="11906" w:h="16838"/>
          <w:pgMar w:top="1134" w:right="1134" w:bottom="1134" w:left="1134" w:header="709" w:footer="709" w:gutter="0"/>
          <w:cols w:space="708"/>
          <w:docGrid w:linePitch="360"/>
        </w:sectPr>
      </w:pPr>
      <w:r w:rsidRPr="00A3066F">
        <w:t xml:space="preserve">Pension costs represent elements of the movements that have arisen following the actuarial valuation of the </w:t>
      </w:r>
      <w:r>
        <w:t xml:space="preserve">employee benefits liabilities other than those recognised in net assets. They do not therefore represent actual pension payments of the year, which are significantly lower at EUR 2.8 billion. </w:t>
      </w:r>
      <w:bookmarkEnd w:id="190"/>
    </w:p>
    <w:p w14:paraId="3E94F389" w14:textId="77777777" w:rsidR="00B231CF" w:rsidRPr="0041260C" w:rsidRDefault="00023E71" w:rsidP="00172034">
      <w:pPr>
        <w:pStyle w:val="HEADER2NOTES"/>
        <w:numPr>
          <w:ilvl w:val="1"/>
          <w:numId w:val="15"/>
        </w:numPr>
        <w:rPr>
          <w:noProof/>
        </w:rPr>
      </w:pPr>
      <w:bookmarkStart w:id="192" w:name="_DMBM_36677"/>
      <w:r w:rsidRPr="0041260C">
        <w:rPr>
          <w:noProof/>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6"/>
        <w:gridCol w:w="1626"/>
        <w:gridCol w:w="1626"/>
      </w:tblGrid>
      <w:tr w:rsidR="00807FFE" w14:paraId="625D9B08"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bottom"/>
          </w:tcPr>
          <w:p w14:paraId="734FA469" w14:textId="77777777" w:rsidR="00807FFE" w:rsidRDefault="00807FFE">
            <w:pPr>
              <w:pStyle w:val="DMETW36760BIPFINEXP"/>
              <w:rPr>
                <w:rFonts w:ascii="Arial" w:eastAsia="Arial" w:hAnsi="Arial" w:cs="Arial"/>
                <w:noProof/>
                <w:color w:val="000000"/>
                <w:lang w:bidi="en-GB"/>
              </w:rPr>
            </w:pPr>
            <w:bookmarkStart w:id="193" w:name="DOC_TBL00074_1_1"/>
            <w:bookmarkEnd w:id="193"/>
          </w:p>
        </w:tc>
        <w:tc>
          <w:tcPr>
            <w:tcW w:w="1626" w:type="dxa"/>
            <w:tcBorders>
              <w:top w:val="nil"/>
              <w:left w:val="nil"/>
              <w:bottom w:val="nil"/>
              <w:right w:val="nil"/>
              <w:tl2br w:val="nil"/>
              <w:tr2bl w:val="nil"/>
            </w:tcBorders>
            <w:shd w:val="solid" w:color="FFFFFF" w:fill="FFFFFF"/>
            <w:tcMar>
              <w:left w:w="60" w:type="dxa"/>
              <w:right w:w="60" w:type="dxa"/>
            </w:tcMar>
            <w:vAlign w:val="bottom"/>
          </w:tcPr>
          <w:p w14:paraId="51634196" w14:textId="77777777" w:rsidR="00807FFE" w:rsidRDefault="00807FFE">
            <w:pPr>
              <w:pStyle w:val="DMETW36760BIPFINEXP"/>
              <w:rPr>
                <w:rFonts w:ascii="Arial" w:eastAsia="Arial" w:hAnsi="Arial" w:cs="Arial"/>
                <w:noProof/>
                <w:color w:val="000000"/>
              </w:rPr>
            </w:pPr>
          </w:p>
        </w:tc>
        <w:tc>
          <w:tcPr>
            <w:tcW w:w="1626" w:type="dxa"/>
            <w:tcBorders>
              <w:top w:val="nil"/>
              <w:left w:val="nil"/>
              <w:bottom w:val="nil"/>
              <w:right w:val="nil"/>
              <w:tl2br w:val="nil"/>
              <w:tr2bl w:val="nil"/>
            </w:tcBorders>
            <w:shd w:val="solid" w:color="FFFFFF" w:fill="FFFFFF"/>
            <w:tcMar>
              <w:left w:w="60" w:type="dxa"/>
              <w:right w:w="60" w:type="dxa"/>
            </w:tcMar>
            <w:vAlign w:val="bottom"/>
          </w:tcPr>
          <w:p w14:paraId="67D7F1A1" w14:textId="77777777" w:rsidR="00807FFE" w:rsidRDefault="00023E71">
            <w:pPr>
              <w:pStyle w:val="DMETW36760BIPFINEXP"/>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3DFD852" w14:textId="77777777">
        <w:trPr>
          <w:trHeight w:hRule="exact" w:val="255"/>
        </w:trPr>
        <w:tc>
          <w:tcPr>
            <w:tcW w:w="6506" w:type="dxa"/>
            <w:tcBorders>
              <w:top w:val="nil"/>
              <w:left w:val="nil"/>
              <w:bottom w:val="nil"/>
              <w:right w:val="nil"/>
              <w:tl2br w:val="nil"/>
              <w:tr2bl w:val="nil"/>
            </w:tcBorders>
            <w:shd w:val="solid" w:color="016794" w:fill="FFFFFF"/>
            <w:tcMar>
              <w:left w:w="60" w:type="dxa"/>
              <w:right w:w="60" w:type="dxa"/>
            </w:tcMar>
            <w:vAlign w:val="center"/>
          </w:tcPr>
          <w:p w14:paraId="3C11712D" w14:textId="77777777" w:rsidR="00807FFE" w:rsidRDefault="00807FFE">
            <w:pPr>
              <w:pStyle w:val="DMETW36760BIPFINEXP"/>
              <w:jc w:val="right"/>
              <w:rPr>
                <w:rFonts w:ascii="Verdana" w:eastAsia="Verdana" w:hAnsi="Verdana" w:cs="Verdana"/>
                <w:noProof/>
                <w:color w:val="FFFFFF"/>
                <w:sz w:val="18"/>
              </w:rPr>
            </w:pPr>
          </w:p>
        </w:tc>
        <w:tc>
          <w:tcPr>
            <w:tcW w:w="1626" w:type="dxa"/>
            <w:tcBorders>
              <w:top w:val="nil"/>
              <w:left w:val="nil"/>
              <w:bottom w:val="nil"/>
              <w:right w:val="nil"/>
              <w:tl2br w:val="nil"/>
              <w:tr2bl w:val="nil"/>
            </w:tcBorders>
            <w:shd w:val="solid" w:color="016794" w:fill="FFFFFF"/>
            <w:tcMar>
              <w:left w:w="60" w:type="dxa"/>
              <w:right w:w="60" w:type="dxa"/>
            </w:tcMar>
            <w:vAlign w:val="center"/>
          </w:tcPr>
          <w:p w14:paraId="042F9B13" w14:textId="77777777" w:rsidR="00807FFE" w:rsidRDefault="00023E71">
            <w:pPr>
              <w:pStyle w:val="DMETW36760BIPFINEXP"/>
              <w:jc w:val="right"/>
              <w:rPr>
                <w:rFonts w:ascii="Verdana" w:eastAsia="Verdana" w:hAnsi="Verdana" w:cs="Verdana"/>
                <w:noProof/>
                <w:color w:val="FFFFFF"/>
              </w:rPr>
            </w:pPr>
            <w:r>
              <w:rPr>
                <w:rFonts w:ascii="Verdana" w:eastAsia="Verdana" w:hAnsi="Verdana" w:cs="Verdana"/>
                <w:noProof/>
                <w:color w:val="FFFFFF"/>
              </w:rPr>
              <w:t>2025</w:t>
            </w:r>
          </w:p>
        </w:tc>
        <w:tc>
          <w:tcPr>
            <w:tcW w:w="1626" w:type="dxa"/>
            <w:tcBorders>
              <w:top w:val="nil"/>
              <w:left w:val="nil"/>
              <w:bottom w:val="nil"/>
              <w:right w:val="nil"/>
              <w:tl2br w:val="nil"/>
              <w:tr2bl w:val="nil"/>
            </w:tcBorders>
            <w:shd w:val="solid" w:color="016794" w:fill="FFFFFF"/>
            <w:tcMar>
              <w:left w:w="60" w:type="dxa"/>
              <w:right w:w="60" w:type="dxa"/>
            </w:tcMar>
            <w:vAlign w:val="center"/>
          </w:tcPr>
          <w:p w14:paraId="315CE592" w14:textId="77777777" w:rsidR="00807FFE" w:rsidRDefault="00023E71">
            <w:pPr>
              <w:pStyle w:val="DMETW36760BIPFINEXP"/>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74AFD527"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4D7AAA2A"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Interest expenses:</w:t>
            </w:r>
          </w:p>
        </w:tc>
        <w:tc>
          <w:tcPr>
            <w:tcW w:w="1626" w:type="dxa"/>
            <w:tcBorders>
              <w:top w:val="nil"/>
              <w:left w:val="nil"/>
              <w:bottom w:val="nil"/>
              <w:right w:val="nil"/>
              <w:tl2br w:val="nil"/>
              <w:tr2bl w:val="nil"/>
            </w:tcBorders>
            <w:shd w:val="solid" w:color="FFFFFF" w:fill="FFFFFF"/>
            <w:tcMar>
              <w:left w:w="60" w:type="dxa"/>
              <w:right w:w="60" w:type="dxa"/>
            </w:tcMar>
            <w:vAlign w:val="center"/>
          </w:tcPr>
          <w:p w14:paraId="75DEE811" w14:textId="77777777" w:rsidR="00807FFE" w:rsidRDefault="00807FFE">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14:paraId="0379DA14" w14:textId="77777777" w:rsidR="00807FFE" w:rsidRDefault="00807FFE">
            <w:pPr>
              <w:pStyle w:val="DMETW36760BIPFINEXP"/>
              <w:jc w:val="right"/>
              <w:rPr>
                <w:rFonts w:ascii="Verdana" w:eastAsia="Verdana" w:hAnsi="Verdana" w:cs="Verdana"/>
                <w:i/>
                <w:noProof/>
                <w:color w:val="000000"/>
                <w:sz w:val="18"/>
                <w:lang w:bidi="en-GB"/>
              </w:rPr>
            </w:pPr>
          </w:p>
        </w:tc>
      </w:tr>
      <w:tr w:rsidR="00807FFE" w14:paraId="699456D8"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18913999"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     Borrowings</w:t>
            </w:r>
          </w:p>
        </w:tc>
        <w:tc>
          <w:tcPr>
            <w:tcW w:w="1626" w:type="dxa"/>
            <w:tcBorders>
              <w:top w:val="nil"/>
              <w:left w:val="nil"/>
              <w:bottom w:val="nil"/>
              <w:right w:val="nil"/>
              <w:tl2br w:val="nil"/>
              <w:tr2bl w:val="nil"/>
            </w:tcBorders>
            <w:tcMar>
              <w:left w:w="60" w:type="dxa"/>
              <w:right w:w="60" w:type="dxa"/>
            </w:tcMar>
            <w:vAlign w:val="bottom"/>
          </w:tcPr>
          <w:p w14:paraId="165B62F3"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14 037</w:t>
            </w:r>
          </w:p>
        </w:tc>
        <w:tc>
          <w:tcPr>
            <w:tcW w:w="1626" w:type="dxa"/>
            <w:tcBorders>
              <w:top w:val="nil"/>
              <w:left w:val="nil"/>
              <w:bottom w:val="nil"/>
              <w:right w:val="nil"/>
              <w:tl2br w:val="nil"/>
              <w:tr2bl w:val="nil"/>
            </w:tcBorders>
            <w:tcMar>
              <w:left w:w="60" w:type="dxa"/>
              <w:right w:w="60" w:type="dxa"/>
            </w:tcMar>
            <w:vAlign w:val="bottom"/>
          </w:tcPr>
          <w:p w14:paraId="4AEFB8E0"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9 780</w:t>
            </w:r>
          </w:p>
        </w:tc>
      </w:tr>
      <w:tr w:rsidR="00807FFE" w14:paraId="6C699A25"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7AD484C4"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     Loans</w:t>
            </w:r>
          </w:p>
        </w:tc>
        <w:tc>
          <w:tcPr>
            <w:tcW w:w="1626" w:type="dxa"/>
            <w:tcBorders>
              <w:top w:val="nil"/>
              <w:left w:val="nil"/>
              <w:bottom w:val="nil"/>
              <w:right w:val="nil"/>
              <w:tl2br w:val="nil"/>
              <w:tr2bl w:val="nil"/>
            </w:tcBorders>
            <w:tcMar>
              <w:left w:w="60" w:type="dxa"/>
              <w:right w:w="60" w:type="dxa"/>
            </w:tcMar>
            <w:vAlign w:val="bottom"/>
          </w:tcPr>
          <w:p w14:paraId="45F64D69"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 xml:space="preserve"> 148</w:t>
            </w:r>
          </w:p>
        </w:tc>
        <w:tc>
          <w:tcPr>
            <w:tcW w:w="1626" w:type="dxa"/>
            <w:tcBorders>
              <w:top w:val="nil"/>
              <w:left w:val="nil"/>
              <w:bottom w:val="nil"/>
              <w:right w:val="nil"/>
              <w:tl2br w:val="nil"/>
              <w:tr2bl w:val="nil"/>
            </w:tcBorders>
            <w:tcMar>
              <w:left w:w="60" w:type="dxa"/>
              <w:right w:w="60" w:type="dxa"/>
            </w:tcMar>
            <w:vAlign w:val="bottom"/>
          </w:tcPr>
          <w:p w14:paraId="150498E1"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159</w:t>
            </w:r>
          </w:p>
        </w:tc>
      </w:tr>
      <w:tr w:rsidR="00807FFE" w14:paraId="19DE4DD8"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2A4B764D"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     Finance leases</w:t>
            </w:r>
          </w:p>
        </w:tc>
        <w:tc>
          <w:tcPr>
            <w:tcW w:w="1626" w:type="dxa"/>
            <w:tcBorders>
              <w:top w:val="nil"/>
              <w:left w:val="nil"/>
              <w:bottom w:val="nil"/>
              <w:right w:val="nil"/>
              <w:tl2br w:val="nil"/>
              <w:tr2bl w:val="nil"/>
            </w:tcBorders>
            <w:tcMar>
              <w:left w:w="60" w:type="dxa"/>
              <w:right w:w="60" w:type="dxa"/>
            </w:tcMar>
            <w:vAlign w:val="bottom"/>
          </w:tcPr>
          <w:p w14:paraId="2C06415D"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 xml:space="preserve"> 26</w:t>
            </w:r>
          </w:p>
        </w:tc>
        <w:tc>
          <w:tcPr>
            <w:tcW w:w="1626" w:type="dxa"/>
            <w:tcBorders>
              <w:top w:val="nil"/>
              <w:left w:val="nil"/>
              <w:bottom w:val="nil"/>
              <w:right w:val="nil"/>
              <w:tl2br w:val="nil"/>
              <w:tr2bl w:val="nil"/>
            </w:tcBorders>
            <w:tcMar>
              <w:left w:w="60" w:type="dxa"/>
              <w:right w:w="60" w:type="dxa"/>
            </w:tcMar>
            <w:vAlign w:val="bottom"/>
          </w:tcPr>
          <w:p w14:paraId="07065B04"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31</w:t>
            </w:r>
          </w:p>
        </w:tc>
      </w:tr>
      <w:tr w:rsidR="00807FFE" w14:paraId="1C7C0300"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005D2373"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     Other</w:t>
            </w:r>
          </w:p>
        </w:tc>
        <w:tc>
          <w:tcPr>
            <w:tcW w:w="1626" w:type="dxa"/>
            <w:tcBorders>
              <w:top w:val="nil"/>
              <w:left w:val="nil"/>
              <w:bottom w:val="nil"/>
              <w:right w:val="nil"/>
              <w:tl2br w:val="nil"/>
              <w:tr2bl w:val="nil"/>
            </w:tcBorders>
            <w:shd w:val="solid" w:color="FFFFFF" w:fill="FFFFFF"/>
            <w:tcMar>
              <w:left w:w="60" w:type="dxa"/>
              <w:right w:w="60" w:type="dxa"/>
            </w:tcMar>
            <w:vAlign w:val="center"/>
          </w:tcPr>
          <w:p w14:paraId="1025AD4D"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 xml:space="preserve"> 42</w:t>
            </w:r>
          </w:p>
        </w:tc>
        <w:tc>
          <w:tcPr>
            <w:tcW w:w="1626" w:type="dxa"/>
            <w:tcBorders>
              <w:top w:val="nil"/>
              <w:left w:val="nil"/>
              <w:bottom w:val="nil"/>
              <w:right w:val="nil"/>
              <w:tl2br w:val="nil"/>
              <w:tr2bl w:val="nil"/>
            </w:tcBorders>
            <w:tcMar>
              <w:left w:w="60" w:type="dxa"/>
              <w:right w:w="60" w:type="dxa"/>
            </w:tcMar>
            <w:vAlign w:val="center"/>
          </w:tcPr>
          <w:p w14:paraId="10761122"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32</w:t>
            </w:r>
          </w:p>
        </w:tc>
      </w:tr>
      <w:tr w:rsidR="00807FFE" w14:paraId="06838EBE"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5C8BE521"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FGCs – subsidised remuneration</w:t>
            </w:r>
          </w:p>
        </w:tc>
        <w:tc>
          <w:tcPr>
            <w:tcW w:w="1626" w:type="dxa"/>
            <w:tcBorders>
              <w:top w:val="nil"/>
              <w:left w:val="nil"/>
              <w:bottom w:val="nil"/>
              <w:right w:val="nil"/>
              <w:tl2br w:val="nil"/>
              <w:tr2bl w:val="nil"/>
            </w:tcBorders>
            <w:tcMar>
              <w:left w:w="60" w:type="dxa"/>
              <w:right w:w="60" w:type="dxa"/>
            </w:tcMar>
            <w:vAlign w:val="bottom"/>
          </w:tcPr>
          <w:p w14:paraId="7DE21600"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1 942</w:t>
            </w:r>
          </w:p>
        </w:tc>
        <w:tc>
          <w:tcPr>
            <w:tcW w:w="1626" w:type="dxa"/>
            <w:tcBorders>
              <w:top w:val="nil"/>
              <w:left w:val="nil"/>
              <w:bottom w:val="nil"/>
              <w:right w:val="nil"/>
              <w:tl2br w:val="nil"/>
              <w:tr2bl w:val="nil"/>
            </w:tcBorders>
            <w:tcMar>
              <w:left w:w="60" w:type="dxa"/>
              <w:right w:w="60" w:type="dxa"/>
            </w:tcMar>
            <w:vAlign w:val="bottom"/>
          </w:tcPr>
          <w:p w14:paraId="6572F73B"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1 156</w:t>
            </w:r>
          </w:p>
        </w:tc>
      </w:tr>
      <w:tr w:rsidR="00807FFE" w14:paraId="76F2E938"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0007CF9E"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Net impairment losses on:</w:t>
            </w:r>
          </w:p>
        </w:tc>
        <w:tc>
          <w:tcPr>
            <w:tcW w:w="1626" w:type="dxa"/>
            <w:tcBorders>
              <w:top w:val="nil"/>
              <w:left w:val="nil"/>
              <w:bottom w:val="nil"/>
              <w:right w:val="nil"/>
              <w:tl2br w:val="nil"/>
              <w:tr2bl w:val="nil"/>
            </w:tcBorders>
            <w:shd w:val="solid" w:color="FFFFFF" w:fill="FFFFFF"/>
            <w:tcMar>
              <w:left w:w="60" w:type="dxa"/>
              <w:right w:w="60" w:type="dxa"/>
            </w:tcMar>
            <w:vAlign w:val="center"/>
          </w:tcPr>
          <w:p w14:paraId="46B4838A" w14:textId="77777777" w:rsidR="00807FFE" w:rsidRDefault="00807FFE">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14:paraId="1627263F" w14:textId="77777777" w:rsidR="00807FFE" w:rsidRDefault="00807FFE">
            <w:pPr>
              <w:pStyle w:val="DMETW36760BIPFINEXP"/>
              <w:jc w:val="right"/>
              <w:rPr>
                <w:rFonts w:ascii="Verdana" w:eastAsia="Verdana" w:hAnsi="Verdana" w:cs="Verdana"/>
                <w:i/>
                <w:noProof/>
                <w:color w:val="000000"/>
                <w:sz w:val="18"/>
                <w:lang w:bidi="en-GB"/>
              </w:rPr>
            </w:pPr>
          </w:p>
        </w:tc>
      </w:tr>
      <w:tr w:rsidR="00807FFE" w14:paraId="05A8F49C"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5FE9FB3C"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     Financial guarantee contracts</w:t>
            </w:r>
          </w:p>
        </w:tc>
        <w:tc>
          <w:tcPr>
            <w:tcW w:w="1626" w:type="dxa"/>
            <w:tcBorders>
              <w:top w:val="nil"/>
              <w:left w:val="nil"/>
              <w:bottom w:val="nil"/>
              <w:right w:val="nil"/>
              <w:tl2br w:val="nil"/>
              <w:tr2bl w:val="nil"/>
            </w:tcBorders>
            <w:tcMar>
              <w:left w:w="60" w:type="dxa"/>
              <w:right w:w="60" w:type="dxa"/>
            </w:tcMar>
            <w:vAlign w:val="bottom"/>
          </w:tcPr>
          <w:p w14:paraId="2E580A3C"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1 199</w:t>
            </w:r>
          </w:p>
        </w:tc>
        <w:tc>
          <w:tcPr>
            <w:tcW w:w="1626" w:type="dxa"/>
            <w:tcBorders>
              <w:top w:val="nil"/>
              <w:left w:val="nil"/>
              <w:bottom w:val="nil"/>
              <w:right w:val="nil"/>
              <w:tl2br w:val="nil"/>
              <w:tr2bl w:val="nil"/>
            </w:tcBorders>
            <w:tcMar>
              <w:left w:w="60" w:type="dxa"/>
              <w:right w:w="60" w:type="dxa"/>
            </w:tcMar>
            <w:vAlign w:val="bottom"/>
          </w:tcPr>
          <w:p w14:paraId="028D66AF"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474</w:t>
            </w:r>
          </w:p>
        </w:tc>
      </w:tr>
      <w:tr w:rsidR="00807FFE" w14:paraId="530A40D3"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3DBCBE85"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     Loans, loan commitments and receivables</w:t>
            </w:r>
          </w:p>
        </w:tc>
        <w:tc>
          <w:tcPr>
            <w:tcW w:w="1626" w:type="dxa"/>
            <w:tcBorders>
              <w:top w:val="nil"/>
              <w:left w:val="nil"/>
              <w:bottom w:val="nil"/>
              <w:right w:val="nil"/>
              <w:tl2br w:val="nil"/>
              <w:tr2bl w:val="nil"/>
            </w:tcBorders>
            <w:tcMar>
              <w:left w:w="60" w:type="dxa"/>
              <w:right w:w="60" w:type="dxa"/>
            </w:tcMar>
            <w:vAlign w:val="bottom"/>
          </w:tcPr>
          <w:p w14:paraId="0CE5C77B"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8 066</w:t>
            </w:r>
          </w:p>
        </w:tc>
        <w:tc>
          <w:tcPr>
            <w:tcW w:w="1626" w:type="dxa"/>
            <w:tcBorders>
              <w:top w:val="nil"/>
              <w:left w:val="nil"/>
              <w:bottom w:val="nil"/>
              <w:right w:val="nil"/>
              <w:tl2br w:val="nil"/>
              <w:tr2bl w:val="nil"/>
            </w:tcBorders>
            <w:tcMar>
              <w:left w:w="60" w:type="dxa"/>
              <w:right w:w="60" w:type="dxa"/>
            </w:tcMar>
            <w:vAlign w:val="bottom"/>
          </w:tcPr>
          <w:p w14:paraId="662275B3"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14 134</w:t>
            </w:r>
          </w:p>
        </w:tc>
      </w:tr>
      <w:tr w:rsidR="00807FFE" w14:paraId="0BCCEB4D"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4B65AE9A"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Loss on financial assets or liabilities at FVSD:</w:t>
            </w:r>
          </w:p>
        </w:tc>
        <w:tc>
          <w:tcPr>
            <w:tcW w:w="1626" w:type="dxa"/>
            <w:tcBorders>
              <w:top w:val="nil"/>
              <w:left w:val="nil"/>
              <w:bottom w:val="nil"/>
              <w:right w:val="nil"/>
              <w:tl2br w:val="nil"/>
              <w:tr2bl w:val="nil"/>
            </w:tcBorders>
            <w:shd w:val="solid" w:color="FFFFFF" w:fill="FFFFFF"/>
            <w:tcMar>
              <w:left w:w="60" w:type="dxa"/>
              <w:right w:w="60" w:type="dxa"/>
            </w:tcMar>
            <w:vAlign w:val="center"/>
          </w:tcPr>
          <w:p w14:paraId="16E81C85" w14:textId="77777777" w:rsidR="00807FFE" w:rsidRDefault="00807FFE">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14:paraId="619AD43C" w14:textId="77777777" w:rsidR="00807FFE" w:rsidRDefault="00807FFE">
            <w:pPr>
              <w:pStyle w:val="DMETW36760BIPFINEXP"/>
              <w:jc w:val="right"/>
              <w:rPr>
                <w:rFonts w:ascii="Verdana" w:eastAsia="Verdana" w:hAnsi="Verdana" w:cs="Verdana"/>
                <w:i/>
                <w:noProof/>
                <w:color w:val="000000"/>
                <w:sz w:val="18"/>
                <w:lang w:bidi="en-GB"/>
              </w:rPr>
            </w:pPr>
          </w:p>
        </w:tc>
      </w:tr>
      <w:tr w:rsidR="00807FFE" w14:paraId="262207F8"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4F6B92DB"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     Non-derivatives</w:t>
            </w:r>
          </w:p>
        </w:tc>
        <w:tc>
          <w:tcPr>
            <w:tcW w:w="1626" w:type="dxa"/>
            <w:tcBorders>
              <w:top w:val="nil"/>
              <w:left w:val="nil"/>
              <w:bottom w:val="nil"/>
              <w:right w:val="nil"/>
              <w:tl2br w:val="nil"/>
              <w:tr2bl w:val="nil"/>
            </w:tcBorders>
            <w:tcMar>
              <w:left w:w="60" w:type="dxa"/>
              <w:right w:w="60" w:type="dxa"/>
            </w:tcMar>
            <w:vAlign w:val="bottom"/>
          </w:tcPr>
          <w:p w14:paraId="6CEDCA00"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 xml:space="preserve"> 170</w:t>
            </w:r>
          </w:p>
        </w:tc>
        <w:tc>
          <w:tcPr>
            <w:tcW w:w="1626" w:type="dxa"/>
            <w:tcBorders>
              <w:top w:val="nil"/>
              <w:left w:val="nil"/>
              <w:bottom w:val="nil"/>
              <w:right w:val="nil"/>
              <w:tl2br w:val="nil"/>
              <w:tr2bl w:val="nil"/>
            </w:tcBorders>
            <w:tcMar>
              <w:left w:w="60" w:type="dxa"/>
              <w:right w:w="60" w:type="dxa"/>
            </w:tcMar>
            <w:vAlign w:val="bottom"/>
          </w:tcPr>
          <w:p w14:paraId="796B5829"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153</w:t>
            </w:r>
          </w:p>
        </w:tc>
      </w:tr>
      <w:tr w:rsidR="00807FFE" w14:paraId="39A24842"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02987E4E"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     Derivatives</w:t>
            </w:r>
          </w:p>
        </w:tc>
        <w:tc>
          <w:tcPr>
            <w:tcW w:w="1626" w:type="dxa"/>
            <w:tcBorders>
              <w:top w:val="nil"/>
              <w:left w:val="nil"/>
              <w:bottom w:val="nil"/>
              <w:right w:val="nil"/>
              <w:tl2br w:val="nil"/>
              <w:tr2bl w:val="nil"/>
            </w:tcBorders>
            <w:tcMar>
              <w:left w:w="60" w:type="dxa"/>
              <w:right w:w="60" w:type="dxa"/>
            </w:tcMar>
            <w:vAlign w:val="bottom"/>
          </w:tcPr>
          <w:p w14:paraId="2F321535"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 xml:space="preserve"> 153</w:t>
            </w:r>
          </w:p>
        </w:tc>
        <w:tc>
          <w:tcPr>
            <w:tcW w:w="1626" w:type="dxa"/>
            <w:tcBorders>
              <w:top w:val="nil"/>
              <w:left w:val="nil"/>
              <w:bottom w:val="nil"/>
              <w:right w:val="nil"/>
              <w:tl2br w:val="nil"/>
              <w:tr2bl w:val="nil"/>
            </w:tcBorders>
            <w:tcMar>
              <w:left w:w="60" w:type="dxa"/>
              <w:right w:w="60" w:type="dxa"/>
            </w:tcMar>
            <w:vAlign w:val="bottom"/>
          </w:tcPr>
          <w:p w14:paraId="2F6465CD"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252</w:t>
            </w:r>
          </w:p>
        </w:tc>
      </w:tr>
      <w:tr w:rsidR="00807FFE" w14:paraId="3E59F95D"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21BADD33"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Modification loss</w:t>
            </w:r>
          </w:p>
        </w:tc>
        <w:tc>
          <w:tcPr>
            <w:tcW w:w="1626" w:type="dxa"/>
            <w:tcBorders>
              <w:top w:val="nil"/>
              <w:left w:val="nil"/>
              <w:bottom w:val="nil"/>
              <w:right w:val="nil"/>
              <w:tl2br w:val="nil"/>
              <w:tr2bl w:val="nil"/>
            </w:tcBorders>
            <w:tcMar>
              <w:left w:w="60" w:type="dxa"/>
              <w:right w:w="60" w:type="dxa"/>
            </w:tcMar>
            <w:vAlign w:val="bottom"/>
          </w:tcPr>
          <w:p w14:paraId="18C4C379"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1 131</w:t>
            </w:r>
          </w:p>
        </w:tc>
        <w:tc>
          <w:tcPr>
            <w:tcW w:w="1626" w:type="dxa"/>
            <w:tcBorders>
              <w:top w:val="nil"/>
              <w:left w:val="nil"/>
              <w:bottom w:val="nil"/>
              <w:right w:val="nil"/>
              <w:tl2br w:val="nil"/>
              <w:tr2bl w:val="nil"/>
            </w:tcBorders>
            <w:tcMar>
              <w:left w:w="60" w:type="dxa"/>
              <w:right w:w="60" w:type="dxa"/>
            </w:tcMar>
            <w:vAlign w:val="bottom"/>
          </w:tcPr>
          <w:p w14:paraId="4F8BB98B"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763</w:t>
            </w:r>
          </w:p>
        </w:tc>
      </w:tr>
      <w:tr w:rsidR="00807FFE" w14:paraId="74A5D864" w14:textId="77777777">
        <w:trPr>
          <w:trHeight w:hRule="exact" w:val="255"/>
        </w:trPr>
        <w:tc>
          <w:tcPr>
            <w:tcW w:w="6506" w:type="dxa"/>
            <w:tcBorders>
              <w:top w:val="nil"/>
              <w:left w:val="nil"/>
              <w:bottom w:val="nil"/>
              <w:right w:val="nil"/>
              <w:tl2br w:val="nil"/>
              <w:tr2bl w:val="nil"/>
            </w:tcBorders>
            <w:tcMar>
              <w:left w:w="60" w:type="dxa"/>
              <w:right w:w="60" w:type="dxa"/>
            </w:tcMar>
            <w:vAlign w:val="center"/>
          </w:tcPr>
          <w:p w14:paraId="1CC045E5"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Derecognition loss on loans</w:t>
            </w:r>
          </w:p>
        </w:tc>
        <w:tc>
          <w:tcPr>
            <w:tcW w:w="1626" w:type="dxa"/>
            <w:tcBorders>
              <w:top w:val="nil"/>
              <w:left w:val="nil"/>
              <w:bottom w:val="nil"/>
              <w:right w:val="nil"/>
              <w:tl2br w:val="nil"/>
              <w:tr2bl w:val="nil"/>
            </w:tcBorders>
            <w:tcMar>
              <w:left w:w="60" w:type="dxa"/>
              <w:right w:w="60" w:type="dxa"/>
            </w:tcMar>
            <w:vAlign w:val="bottom"/>
          </w:tcPr>
          <w:p w14:paraId="17462541"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 xml:space="preserve"> 94</w:t>
            </w:r>
          </w:p>
        </w:tc>
        <w:tc>
          <w:tcPr>
            <w:tcW w:w="1626" w:type="dxa"/>
            <w:tcBorders>
              <w:top w:val="nil"/>
              <w:left w:val="nil"/>
              <w:bottom w:val="nil"/>
              <w:right w:val="nil"/>
              <w:tl2br w:val="nil"/>
              <w:tr2bl w:val="nil"/>
            </w:tcBorders>
            <w:tcMar>
              <w:left w:w="60" w:type="dxa"/>
              <w:right w:w="60" w:type="dxa"/>
            </w:tcMar>
            <w:vAlign w:val="bottom"/>
          </w:tcPr>
          <w:p w14:paraId="790FF7E4"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5B8BF02A" w14:textId="77777777">
        <w:trPr>
          <w:trHeight w:hRule="exact" w:val="255"/>
        </w:trPr>
        <w:tc>
          <w:tcPr>
            <w:tcW w:w="6506" w:type="dxa"/>
            <w:tcBorders>
              <w:top w:val="nil"/>
              <w:left w:val="nil"/>
              <w:bottom w:val="nil"/>
              <w:right w:val="nil"/>
              <w:tl2br w:val="nil"/>
              <w:tr2bl w:val="nil"/>
            </w:tcBorders>
            <w:tcMar>
              <w:left w:w="60" w:type="dxa"/>
              <w:right w:w="60" w:type="dxa"/>
            </w:tcMar>
            <w:vAlign w:val="center"/>
          </w:tcPr>
          <w:p w14:paraId="196B6A31"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Funding costs guaranteed</w:t>
            </w:r>
          </w:p>
        </w:tc>
        <w:tc>
          <w:tcPr>
            <w:tcW w:w="1626" w:type="dxa"/>
            <w:tcBorders>
              <w:top w:val="nil"/>
              <w:left w:val="nil"/>
              <w:bottom w:val="nil"/>
              <w:right w:val="nil"/>
              <w:tl2br w:val="nil"/>
              <w:tr2bl w:val="nil"/>
            </w:tcBorders>
            <w:tcMar>
              <w:left w:w="60" w:type="dxa"/>
              <w:right w:w="60" w:type="dxa"/>
            </w:tcMar>
            <w:vAlign w:val="bottom"/>
          </w:tcPr>
          <w:p w14:paraId="48D5A900"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 xml:space="preserve"> 119</w:t>
            </w:r>
          </w:p>
        </w:tc>
        <w:tc>
          <w:tcPr>
            <w:tcW w:w="1626" w:type="dxa"/>
            <w:tcBorders>
              <w:top w:val="nil"/>
              <w:left w:val="nil"/>
              <w:bottom w:val="nil"/>
              <w:right w:val="nil"/>
              <w:tl2br w:val="nil"/>
              <w:tr2bl w:val="nil"/>
            </w:tcBorders>
            <w:tcMar>
              <w:left w:w="60" w:type="dxa"/>
              <w:right w:w="60" w:type="dxa"/>
            </w:tcMar>
            <w:vAlign w:val="bottom"/>
          </w:tcPr>
          <w:p w14:paraId="47C13E9D"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151</w:t>
            </w:r>
          </w:p>
        </w:tc>
      </w:tr>
      <w:tr w:rsidR="00807FFE" w14:paraId="29583D54" w14:textId="77777777">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14:paraId="22896103" w14:textId="77777777" w:rsidR="00807FFE" w:rsidRDefault="00023E71">
            <w:pPr>
              <w:pStyle w:val="DMETW36760BIPFINEXP"/>
              <w:rPr>
                <w:rFonts w:ascii="Verdana" w:eastAsia="Verdana" w:hAnsi="Verdana" w:cs="Verdana"/>
                <w:i/>
                <w:noProof/>
                <w:color w:val="000000"/>
                <w:sz w:val="18"/>
              </w:rPr>
            </w:pPr>
            <w:r>
              <w:rPr>
                <w:rFonts w:ascii="Verdana" w:eastAsia="Verdana" w:hAnsi="Verdana" w:cs="Verdana"/>
                <w:i/>
                <w:noProof/>
                <w:color w:val="000000"/>
                <w:sz w:val="18"/>
              </w:rPr>
              <w:t xml:space="preserve">Other </w:t>
            </w:r>
          </w:p>
        </w:tc>
        <w:tc>
          <w:tcPr>
            <w:tcW w:w="1626" w:type="dxa"/>
            <w:tcBorders>
              <w:top w:val="nil"/>
              <w:left w:val="nil"/>
              <w:bottom w:val="nil"/>
              <w:right w:val="nil"/>
              <w:tl2br w:val="nil"/>
              <w:tr2bl w:val="nil"/>
            </w:tcBorders>
            <w:tcMar>
              <w:left w:w="60" w:type="dxa"/>
              <w:right w:w="60" w:type="dxa"/>
            </w:tcMar>
            <w:vAlign w:val="bottom"/>
          </w:tcPr>
          <w:p w14:paraId="0B5B7D32" w14:textId="77777777" w:rsidR="00807FFE" w:rsidRDefault="00023E71">
            <w:pPr>
              <w:pStyle w:val="DMETW36760BIPFINEXP"/>
              <w:jc w:val="right"/>
              <w:rPr>
                <w:rFonts w:ascii="Verdana" w:eastAsia="Verdana" w:hAnsi="Verdana" w:cs="Verdana"/>
                <w:i/>
                <w:noProof/>
                <w:color w:val="000000"/>
                <w:sz w:val="18"/>
              </w:rPr>
            </w:pPr>
            <w:r>
              <w:rPr>
                <w:rFonts w:ascii="Verdana" w:eastAsia="Verdana" w:hAnsi="Verdana" w:cs="Verdana"/>
                <w:i/>
                <w:noProof/>
                <w:color w:val="000000"/>
                <w:sz w:val="18"/>
              </w:rPr>
              <w:t xml:space="preserve"> 28</w:t>
            </w:r>
          </w:p>
        </w:tc>
        <w:tc>
          <w:tcPr>
            <w:tcW w:w="1626" w:type="dxa"/>
            <w:tcBorders>
              <w:top w:val="nil"/>
              <w:left w:val="nil"/>
              <w:bottom w:val="nil"/>
              <w:right w:val="nil"/>
              <w:tl2br w:val="nil"/>
              <w:tr2bl w:val="nil"/>
            </w:tcBorders>
            <w:tcMar>
              <w:left w:w="60" w:type="dxa"/>
              <w:right w:w="60" w:type="dxa"/>
            </w:tcMar>
            <w:vAlign w:val="bottom"/>
          </w:tcPr>
          <w:p w14:paraId="4FDE971E" w14:textId="77777777" w:rsidR="00807FFE" w:rsidRDefault="00023E71">
            <w:pPr>
              <w:pStyle w:val="DMETW36760BIPFIN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140</w:t>
            </w:r>
          </w:p>
        </w:tc>
      </w:tr>
      <w:tr w:rsidR="00807FFE" w14:paraId="3CB3463B" w14:textId="77777777">
        <w:trPr>
          <w:trHeight w:hRule="exact" w:val="250"/>
        </w:trPr>
        <w:tc>
          <w:tcPr>
            <w:tcW w:w="6506" w:type="dxa"/>
            <w:tcBorders>
              <w:top w:val="nil"/>
              <w:left w:val="nil"/>
              <w:bottom w:val="nil"/>
              <w:right w:val="nil"/>
              <w:tl2br w:val="nil"/>
              <w:tr2bl w:val="nil"/>
            </w:tcBorders>
            <w:shd w:val="solid" w:color="CCE1EA" w:fill="FFFFFF"/>
            <w:tcMar>
              <w:left w:w="60" w:type="dxa"/>
              <w:right w:w="60" w:type="dxa"/>
            </w:tcMar>
            <w:vAlign w:val="center"/>
          </w:tcPr>
          <w:p w14:paraId="39359AC7" w14:textId="77777777" w:rsidR="00807FFE" w:rsidRDefault="00023E71">
            <w:pPr>
              <w:pStyle w:val="DMETW36760BIPFINEXP"/>
              <w:rPr>
                <w:rFonts w:ascii="Verdana" w:eastAsia="Verdana" w:hAnsi="Verdana" w:cs="Verdana"/>
                <w:b/>
                <w:noProof/>
                <w:color w:val="000000"/>
                <w:sz w:val="18"/>
              </w:rPr>
            </w:pPr>
            <w:r>
              <w:rPr>
                <w:rFonts w:ascii="Verdana" w:eastAsia="Verdana" w:hAnsi="Verdana" w:cs="Verdana"/>
                <w:b/>
                <w:noProof/>
                <w:color w:val="000000"/>
                <w:sz w:val="18"/>
              </w:rPr>
              <w:t>Total</w:t>
            </w:r>
          </w:p>
        </w:tc>
        <w:tc>
          <w:tcPr>
            <w:tcW w:w="1626" w:type="dxa"/>
            <w:tcBorders>
              <w:top w:val="nil"/>
              <w:left w:val="nil"/>
              <w:bottom w:val="nil"/>
              <w:right w:val="nil"/>
              <w:tl2br w:val="nil"/>
              <w:tr2bl w:val="nil"/>
            </w:tcBorders>
            <w:shd w:val="solid" w:color="CCE1EA" w:fill="FFFFFF"/>
            <w:tcMar>
              <w:left w:w="60" w:type="dxa"/>
              <w:right w:w="60" w:type="dxa"/>
            </w:tcMar>
            <w:vAlign w:val="center"/>
          </w:tcPr>
          <w:p w14:paraId="587FA746" w14:textId="77777777" w:rsidR="00807FFE" w:rsidRDefault="00023E71">
            <w:pPr>
              <w:pStyle w:val="DMETW36760BIPFINEXP"/>
              <w:jc w:val="right"/>
              <w:rPr>
                <w:rFonts w:ascii="Verdana" w:eastAsia="Verdana" w:hAnsi="Verdana" w:cs="Verdana"/>
                <w:b/>
                <w:noProof/>
                <w:color w:val="000000"/>
                <w:sz w:val="18"/>
              </w:rPr>
            </w:pPr>
            <w:r>
              <w:rPr>
                <w:rFonts w:ascii="Verdana" w:eastAsia="Verdana" w:hAnsi="Verdana" w:cs="Verdana"/>
                <w:b/>
                <w:noProof/>
                <w:color w:val="000000"/>
                <w:sz w:val="18"/>
              </w:rPr>
              <w:t>27 156</w:t>
            </w:r>
          </w:p>
        </w:tc>
        <w:tc>
          <w:tcPr>
            <w:tcW w:w="1626" w:type="dxa"/>
            <w:tcBorders>
              <w:top w:val="nil"/>
              <w:left w:val="nil"/>
              <w:bottom w:val="nil"/>
              <w:right w:val="nil"/>
              <w:tl2br w:val="nil"/>
              <w:tr2bl w:val="nil"/>
            </w:tcBorders>
            <w:shd w:val="solid" w:color="CCE1EA" w:fill="FFFFFF"/>
            <w:tcMar>
              <w:left w:w="60" w:type="dxa"/>
              <w:right w:w="60" w:type="dxa"/>
            </w:tcMar>
            <w:vAlign w:val="center"/>
          </w:tcPr>
          <w:p w14:paraId="3441003F" w14:textId="77777777" w:rsidR="00807FFE" w:rsidRDefault="00023E71">
            <w:pPr>
              <w:pStyle w:val="DMETW36760BIPFINEXP"/>
              <w:jc w:val="right"/>
              <w:rPr>
                <w:rFonts w:ascii="Verdana" w:eastAsia="Verdana" w:hAnsi="Verdana" w:cs="Verdana"/>
                <w:b/>
                <w:noProof/>
                <w:color w:val="000000"/>
                <w:sz w:val="18"/>
              </w:rPr>
            </w:pPr>
            <w:r>
              <w:rPr>
                <w:rFonts w:ascii="Verdana" w:eastAsia="Verdana" w:hAnsi="Verdana" w:cs="Verdana"/>
                <w:b/>
                <w:noProof/>
                <w:color w:val="000000"/>
                <w:sz w:val="18"/>
              </w:rPr>
              <w:t>27 226</w:t>
            </w:r>
          </w:p>
        </w:tc>
      </w:tr>
    </w:tbl>
    <w:p w14:paraId="449A1B00" w14:textId="77777777" w:rsidR="00524B1E" w:rsidRPr="00CE72FB" w:rsidRDefault="00023E71" w:rsidP="00524B1E">
      <w:pPr>
        <w:pStyle w:val="DGTextstand-alone"/>
        <w:spacing w:after="0"/>
      </w:pPr>
      <w:r w:rsidRPr="00CE72FB">
        <w:t xml:space="preserve">The </w:t>
      </w:r>
      <w:r>
        <w:t>EUR </w:t>
      </w:r>
      <w:r w:rsidRPr="00CE72FB">
        <w:t>4</w:t>
      </w:r>
      <w:r w:rsidR="001C3391">
        <w:t>.3</w:t>
      </w:r>
      <w:r>
        <w:t> billion</w:t>
      </w:r>
      <w:r w:rsidRPr="00CE72FB">
        <w:t xml:space="preserve"> increase in the borrowing expenses </w:t>
      </w:r>
      <w:r>
        <w:t>stems</w:t>
      </w:r>
      <w:r w:rsidRPr="00CE72FB">
        <w:t xml:space="preserve"> from the unified funding</w:t>
      </w:r>
      <w:r>
        <w:t xml:space="preserve"> activities, for which t</w:t>
      </w:r>
      <w:r w:rsidRPr="00CE72FB">
        <w:t xml:space="preserve">he interests were </w:t>
      </w:r>
      <w:r>
        <w:t>EUR </w:t>
      </w:r>
      <w:r w:rsidR="00904FF9">
        <w:t xml:space="preserve">12.7 </w:t>
      </w:r>
      <w:r>
        <w:t>billion</w:t>
      </w:r>
      <w:r w:rsidRPr="00CE72FB">
        <w:t xml:space="preserve"> compared to </w:t>
      </w:r>
      <w:r>
        <w:t>EUR </w:t>
      </w:r>
      <w:r w:rsidR="001C3391" w:rsidRPr="00CE72FB">
        <w:t>8.4</w:t>
      </w:r>
      <w:r w:rsidR="001C3391">
        <w:t> </w:t>
      </w:r>
      <w:r>
        <w:t>billion</w:t>
      </w:r>
      <w:r w:rsidRPr="00CE72FB">
        <w:t xml:space="preserve"> </w:t>
      </w:r>
      <w:r>
        <w:t>in the previous</w:t>
      </w:r>
      <w:r w:rsidRPr="00CE72FB">
        <w:t xml:space="preserve"> year. Th</w:t>
      </w:r>
      <w:r>
        <w:t>e reasons for th</w:t>
      </w:r>
      <w:r w:rsidRPr="00CE72FB">
        <w:t xml:space="preserve">is </w:t>
      </w:r>
      <w:r>
        <w:t>are</w:t>
      </w:r>
      <w:r w:rsidRPr="00CE72FB">
        <w:t xml:space="preserve"> new borrowings in 202</w:t>
      </w:r>
      <w:r w:rsidR="00904FF9">
        <w:t>5</w:t>
      </w:r>
      <w:r w:rsidRPr="00CE72FB">
        <w:t xml:space="preserve"> and </w:t>
      </w:r>
      <w:r>
        <w:t>due to the fact that</w:t>
      </w:r>
      <w:r w:rsidRPr="00CE72FB">
        <w:t xml:space="preserve"> the issuances of the second semester 202</w:t>
      </w:r>
      <w:r w:rsidR="00904FF9">
        <w:t>4</w:t>
      </w:r>
      <w:r w:rsidRPr="00CE72FB">
        <w:t>, beared a full year’s interest in 202</w:t>
      </w:r>
      <w:r w:rsidR="00904FF9">
        <w:t>5</w:t>
      </w:r>
      <w:r w:rsidRPr="00CE72FB">
        <w:t xml:space="preserve">. </w:t>
      </w:r>
    </w:p>
    <w:p w14:paraId="670AB979" w14:textId="77777777" w:rsidR="00524B1E" w:rsidRPr="00CE72FB" w:rsidRDefault="00023E71" w:rsidP="00524B1E">
      <w:pPr>
        <w:pStyle w:val="DGTextstand-alone"/>
        <w:spacing w:after="0"/>
      </w:pPr>
      <w:r w:rsidRPr="00CE72FB">
        <w:t>The interest expense on loans is the result of certain SURE transactions, where funds borrowed at times of negative interest rates, were lent ‘back-to-back’ to the M</w:t>
      </w:r>
      <w:r>
        <w:t xml:space="preserve">ember </w:t>
      </w:r>
      <w:r w:rsidRPr="00CE72FB">
        <w:t>S</w:t>
      </w:r>
      <w:r>
        <w:t>tates</w:t>
      </w:r>
      <w:r w:rsidRPr="00CE72FB">
        <w:t>, with the same terms</w:t>
      </w:r>
      <w:r>
        <w:t xml:space="preserve"> and conditions</w:t>
      </w:r>
      <w:r w:rsidRPr="00CE72FB">
        <w:t>.</w:t>
      </w:r>
    </w:p>
    <w:p w14:paraId="217A3512" w14:textId="77777777" w:rsidR="00524B1E" w:rsidRPr="00CE72FB" w:rsidRDefault="00023E71" w:rsidP="00524B1E">
      <w:pPr>
        <w:pStyle w:val="DGTextstand-alone"/>
      </w:pPr>
      <w:r w:rsidRPr="00CE72FB">
        <w:t>For more details on expenses related to financial guarantees</w:t>
      </w:r>
      <w:r>
        <w:t xml:space="preserve"> (FGC)</w:t>
      </w:r>
      <w:r w:rsidRPr="00CE72FB">
        <w:t xml:space="preserve">, see </w:t>
      </w:r>
      <w:r>
        <w:t>N</w:t>
      </w:r>
      <w:r w:rsidRPr="00CE72FB">
        <w:t xml:space="preserve">ote </w:t>
      </w:r>
      <w:r w:rsidRPr="00CE72FB">
        <w:rPr>
          <w:b/>
        </w:rPr>
        <w:t>3.9</w:t>
      </w:r>
      <w:r w:rsidRPr="00CE72FB">
        <w:t>.</w:t>
      </w:r>
    </w:p>
    <w:p w14:paraId="6852AC68" w14:textId="77777777" w:rsidR="00524B1E" w:rsidRPr="00CE72FB" w:rsidRDefault="00023E71" w:rsidP="00524B1E">
      <w:pPr>
        <w:pStyle w:val="DGTextstand-alone"/>
      </w:pPr>
      <w:r w:rsidRPr="00CE72FB">
        <w:t xml:space="preserve">The net impairment losses </w:t>
      </w:r>
      <w:r>
        <w:t xml:space="preserve">on loans, loan commitments and receivables </w:t>
      </w:r>
      <w:r w:rsidRPr="00CE72FB">
        <w:t>m</w:t>
      </w:r>
      <w:r>
        <w:t>ainly</w:t>
      </w:r>
      <w:r w:rsidRPr="00CE72FB">
        <w:t xml:space="preserve"> relate to the ECL </w:t>
      </w:r>
      <w:r>
        <w:t>on the Ukraine Facility and</w:t>
      </w:r>
      <w:r w:rsidRPr="00CE72FB">
        <w:t xml:space="preserve"> MFA ULCM</w:t>
      </w:r>
      <w:r>
        <w:t xml:space="preserve"> loans disbursed in 2025</w:t>
      </w:r>
      <w:r w:rsidRPr="00CE72FB">
        <w:t xml:space="preserve">. See </w:t>
      </w:r>
      <w:r>
        <w:t>N</w:t>
      </w:r>
      <w:r w:rsidRPr="00CE72FB">
        <w:t xml:space="preserve">otes </w:t>
      </w:r>
      <w:r w:rsidRPr="00CE72FB">
        <w:rPr>
          <w:b/>
        </w:rPr>
        <w:t>2.4.1.1</w:t>
      </w:r>
      <w:r>
        <w:rPr>
          <w:b/>
        </w:rPr>
        <w:t xml:space="preserve"> </w:t>
      </w:r>
      <w:r w:rsidRPr="00CE72FB">
        <w:t xml:space="preserve">and </w:t>
      </w:r>
      <w:r w:rsidRPr="00CE72FB">
        <w:rPr>
          <w:b/>
        </w:rPr>
        <w:t>6.6</w:t>
      </w:r>
      <w:r w:rsidRPr="00CE72FB">
        <w:t>.</w:t>
      </w:r>
    </w:p>
    <w:p w14:paraId="46AD0CD0" w14:textId="77777777" w:rsidR="00F27E40" w:rsidRDefault="00023E71" w:rsidP="00524B1E">
      <w:pPr>
        <w:pStyle w:val="DGTextstand-alone"/>
      </w:pPr>
      <w:r w:rsidRPr="00CE72FB">
        <w:t>The modification loss relates to the interest rate subsidy granted to Ukraine for the MFA+</w:t>
      </w:r>
      <w:r>
        <w:t xml:space="preserve">, </w:t>
      </w:r>
      <w:r w:rsidRPr="00CE72FB">
        <w:t>exceptional MFA</w:t>
      </w:r>
      <w:r>
        <w:t xml:space="preserve"> and Ukraine Facility loans – s</w:t>
      </w:r>
      <w:r w:rsidRPr="004E17DD">
        <w:t xml:space="preserve">ee </w:t>
      </w:r>
      <w:r>
        <w:t>N</w:t>
      </w:r>
      <w:r w:rsidRPr="004E17DD">
        <w:t xml:space="preserve">ote </w:t>
      </w:r>
      <w:r w:rsidRPr="004E17DD">
        <w:rPr>
          <w:b/>
          <w:bCs/>
        </w:rPr>
        <w:t>2.4.1.1</w:t>
      </w:r>
      <w:r w:rsidRPr="004E17DD">
        <w:t>.</w:t>
      </w:r>
    </w:p>
    <w:p w14:paraId="77D16B24" w14:textId="77777777" w:rsidR="00750410" w:rsidRPr="004E17DD" w:rsidRDefault="00023E71" w:rsidP="00524B1E">
      <w:pPr>
        <w:pStyle w:val="DGTextstand-alone"/>
        <w:rPr>
          <w:b/>
          <w:bCs/>
        </w:rPr>
      </w:pPr>
      <w:r>
        <w:t xml:space="preserve">The derecognition loss on loans relates to an early repayment of EUR 0.7 billion EFSM loan by Portugal at the market value of the underlying bond – see Note </w:t>
      </w:r>
      <w:r w:rsidRPr="00203A50">
        <w:rPr>
          <w:b/>
          <w:bCs/>
        </w:rPr>
        <w:t>2.4.1.1</w:t>
      </w:r>
      <w:r>
        <w:t>.</w:t>
      </w:r>
    </w:p>
    <w:p w14:paraId="38082D47" w14:textId="77777777" w:rsidR="003622CB" w:rsidRPr="003622CB" w:rsidRDefault="00023E71" w:rsidP="00FD6C63">
      <w:pPr>
        <w:pStyle w:val="DGTextstand-alone"/>
      </w:pPr>
      <w:r w:rsidRPr="003622CB">
        <w:t xml:space="preserve">The funding costs guaranteed are costs born by </w:t>
      </w:r>
      <w:r>
        <w:t>the implementing</w:t>
      </w:r>
      <w:r w:rsidRPr="003622CB">
        <w:t xml:space="preserve"> partners to fund equity investments guaranteed by the EU. Based on the guarantee agreements, the EU guarantees these costs, together with the associated equity investments.</w:t>
      </w:r>
    </w:p>
    <w:bookmarkEnd w:id="192"/>
    <w:p w14:paraId="2CBDD788" w14:textId="77777777" w:rsidR="00310F0D" w:rsidRPr="00AB004D" w:rsidRDefault="00310F0D" w:rsidP="00310F0D">
      <w:pPr>
        <w:pStyle w:val="DGTextstand-alone"/>
        <w:sectPr w:rsidR="00310F0D" w:rsidRPr="00AB004D">
          <w:headerReference w:type="default" r:id="rId121"/>
          <w:footerReference w:type="default" r:id="rId122"/>
          <w:type w:val="continuous"/>
          <w:pgSz w:w="11906" w:h="16838"/>
          <w:pgMar w:top="1134" w:right="1134" w:bottom="1134" w:left="1134" w:header="709" w:footer="709" w:gutter="0"/>
          <w:cols w:space="708"/>
          <w:docGrid w:linePitch="360"/>
        </w:sectPr>
      </w:pPr>
    </w:p>
    <w:p w14:paraId="0A0254FA" w14:textId="77777777" w:rsidR="00E23F66" w:rsidRDefault="00023E71" w:rsidP="00172034">
      <w:pPr>
        <w:pStyle w:val="HEADER2NOTES"/>
        <w:numPr>
          <w:ilvl w:val="1"/>
          <w:numId w:val="15"/>
        </w:numPr>
        <w:spacing w:before="0"/>
        <w:rPr>
          <w:noProof/>
        </w:rPr>
      </w:pPr>
      <w:bookmarkStart w:id="194" w:name="_DMBM_36699"/>
      <w:r>
        <w:rPr>
          <w:noProof/>
        </w:rPr>
        <w:t xml:space="preserve">PROCUREMENT, ADMINISTRATIVE AND </w:t>
      </w:r>
      <w:r w:rsidRPr="009B16CF">
        <w:rPr>
          <w:noProof/>
        </w:rPr>
        <w:t>OTHER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0"/>
        <w:gridCol w:w="1599"/>
        <w:gridCol w:w="1489"/>
      </w:tblGrid>
      <w:tr w:rsidR="00807FFE" w14:paraId="1BA1C3DC" w14:textId="77777777">
        <w:trPr>
          <w:trHeight w:val="255"/>
        </w:trPr>
        <w:tc>
          <w:tcPr>
            <w:tcW w:w="6670" w:type="dxa"/>
            <w:tcBorders>
              <w:top w:val="nil"/>
              <w:left w:val="nil"/>
              <w:bottom w:val="nil"/>
              <w:right w:val="nil"/>
              <w:tl2br w:val="nil"/>
              <w:tr2bl w:val="nil"/>
            </w:tcBorders>
            <w:tcMar>
              <w:left w:w="60" w:type="dxa"/>
              <w:right w:w="60" w:type="dxa"/>
            </w:tcMar>
            <w:vAlign w:val="bottom"/>
          </w:tcPr>
          <w:p w14:paraId="1682A2C3" w14:textId="77777777" w:rsidR="00807FFE" w:rsidRDefault="00807FFE">
            <w:pPr>
              <w:pStyle w:val="DMETW36751BIPOE"/>
              <w:rPr>
                <w:rFonts w:ascii="Arial" w:eastAsia="Arial" w:hAnsi="Arial" w:cs="Arial"/>
                <w:noProof/>
                <w:color w:val="000000"/>
                <w:lang w:bidi="en-GB"/>
              </w:rPr>
            </w:pPr>
            <w:bookmarkStart w:id="195" w:name="DOC_TBL00075_1_1"/>
            <w:bookmarkEnd w:id="195"/>
          </w:p>
        </w:tc>
        <w:tc>
          <w:tcPr>
            <w:tcW w:w="1599" w:type="dxa"/>
            <w:tcBorders>
              <w:top w:val="nil"/>
              <w:left w:val="nil"/>
              <w:bottom w:val="nil"/>
              <w:right w:val="nil"/>
              <w:tl2br w:val="nil"/>
              <w:tr2bl w:val="nil"/>
            </w:tcBorders>
            <w:tcMar>
              <w:left w:w="60" w:type="dxa"/>
              <w:right w:w="60" w:type="dxa"/>
            </w:tcMar>
            <w:vAlign w:val="bottom"/>
          </w:tcPr>
          <w:p w14:paraId="2CAABF33" w14:textId="77777777" w:rsidR="00807FFE" w:rsidRDefault="00807FFE">
            <w:pPr>
              <w:pStyle w:val="DMETW36751BIPOE"/>
              <w:rPr>
                <w:rFonts w:ascii="Arial" w:eastAsia="Arial" w:hAnsi="Arial" w:cs="Arial"/>
                <w:noProof/>
                <w:color w:val="000000"/>
              </w:rPr>
            </w:pPr>
          </w:p>
        </w:tc>
        <w:tc>
          <w:tcPr>
            <w:tcW w:w="1489" w:type="dxa"/>
            <w:tcBorders>
              <w:top w:val="nil"/>
              <w:left w:val="nil"/>
              <w:bottom w:val="nil"/>
              <w:right w:val="nil"/>
              <w:tl2br w:val="nil"/>
              <w:tr2bl w:val="nil"/>
            </w:tcBorders>
            <w:tcMar>
              <w:left w:w="60" w:type="dxa"/>
              <w:right w:w="60" w:type="dxa"/>
            </w:tcMar>
            <w:vAlign w:val="bottom"/>
          </w:tcPr>
          <w:p w14:paraId="2D75CF63" w14:textId="77777777" w:rsidR="00807FFE" w:rsidRDefault="00023E71">
            <w:pPr>
              <w:pStyle w:val="DMETW36751BIPOE"/>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103E77C" w14:textId="77777777">
        <w:trPr>
          <w:trHeight w:val="255"/>
        </w:trPr>
        <w:tc>
          <w:tcPr>
            <w:tcW w:w="6670" w:type="dxa"/>
            <w:tcBorders>
              <w:top w:val="nil"/>
              <w:left w:val="nil"/>
              <w:bottom w:val="nil"/>
              <w:right w:val="nil"/>
              <w:tl2br w:val="nil"/>
              <w:tr2bl w:val="nil"/>
            </w:tcBorders>
            <w:shd w:val="solid" w:color="016794" w:fill="FFFFFF"/>
            <w:tcMar>
              <w:left w:w="60" w:type="dxa"/>
              <w:right w:w="60" w:type="dxa"/>
            </w:tcMar>
            <w:vAlign w:val="center"/>
          </w:tcPr>
          <w:p w14:paraId="27E39FEC" w14:textId="77777777" w:rsidR="00807FFE" w:rsidRDefault="00807FFE">
            <w:pPr>
              <w:pStyle w:val="DMETW36751BIPOE"/>
              <w:jc w:val="right"/>
              <w:rPr>
                <w:rFonts w:ascii="Verdana" w:eastAsia="Verdana" w:hAnsi="Verdana" w:cs="Verdana"/>
                <w:noProof/>
                <w:color w:val="FFFFFF"/>
              </w:rPr>
            </w:pPr>
          </w:p>
        </w:tc>
        <w:tc>
          <w:tcPr>
            <w:tcW w:w="1599" w:type="dxa"/>
            <w:tcBorders>
              <w:top w:val="nil"/>
              <w:left w:val="nil"/>
              <w:bottom w:val="nil"/>
              <w:right w:val="nil"/>
              <w:tl2br w:val="nil"/>
              <w:tr2bl w:val="nil"/>
            </w:tcBorders>
            <w:shd w:val="solid" w:color="016794" w:fill="FFFFFF"/>
            <w:tcMar>
              <w:left w:w="60" w:type="dxa"/>
              <w:right w:w="60" w:type="dxa"/>
            </w:tcMar>
            <w:vAlign w:val="center"/>
          </w:tcPr>
          <w:p w14:paraId="627AE1C5" w14:textId="77777777" w:rsidR="00807FFE" w:rsidRDefault="00023E71">
            <w:pPr>
              <w:pStyle w:val="DMETW36751BIPOE"/>
              <w:jc w:val="right"/>
              <w:rPr>
                <w:rFonts w:ascii="Verdana" w:eastAsia="Verdana" w:hAnsi="Verdana" w:cs="Verdana"/>
                <w:noProof/>
                <w:color w:val="FFFFFF"/>
              </w:rPr>
            </w:pPr>
            <w:r>
              <w:rPr>
                <w:rFonts w:ascii="Verdana" w:eastAsia="Verdana" w:hAnsi="Verdana" w:cs="Verdana"/>
                <w:noProof/>
                <w:color w:val="FFFFFF"/>
              </w:rPr>
              <w:t>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14:paraId="1F3435E2" w14:textId="77777777" w:rsidR="00807FFE" w:rsidRDefault="00023E71">
            <w:pPr>
              <w:pStyle w:val="DMETW36751BIPOE"/>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63F77D79" w14:textId="77777777">
        <w:trPr>
          <w:trHeight w:val="255"/>
        </w:trPr>
        <w:tc>
          <w:tcPr>
            <w:tcW w:w="6670" w:type="dxa"/>
            <w:tcBorders>
              <w:top w:val="nil"/>
              <w:left w:val="nil"/>
              <w:bottom w:val="nil"/>
              <w:right w:val="nil"/>
              <w:tl2br w:val="nil"/>
              <w:tr2bl w:val="nil"/>
            </w:tcBorders>
            <w:tcMar>
              <w:left w:w="60" w:type="dxa"/>
              <w:right w:w="60" w:type="dxa"/>
            </w:tcMar>
            <w:vAlign w:val="center"/>
          </w:tcPr>
          <w:p w14:paraId="7DD4455A" w14:textId="77777777" w:rsidR="00807FFE" w:rsidRDefault="00023E71">
            <w:pPr>
              <w:pStyle w:val="DMETW36751BIPOE"/>
              <w:rPr>
                <w:rFonts w:ascii="Verdana" w:eastAsia="Verdana" w:hAnsi="Verdana" w:cs="Verdana"/>
                <w:i/>
                <w:noProof/>
                <w:color w:val="000000"/>
                <w:sz w:val="18"/>
              </w:rPr>
            </w:pPr>
            <w:r>
              <w:rPr>
                <w:rFonts w:ascii="Verdana" w:eastAsia="Verdana" w:hAnsi="Verdana" w:cs="Verdana"/>
                <w:i/>
                <w:noProof/>
                <w:color w:val="000000"/>
                <w:sz w:val="18"/>
              </w:rPr>
              <w:t>Administrative, IT and other expenses</w:t>
            </w:r>
          </w:p>
        </w:tc>
        <w:tc>
          <w:tcPr>
            <w:tcW w:w="1599" w:type="dxa"/>
            <w:tcBorders>
              <w:top w:val="nil"/>
              <w:left w:val="nil"/>
              <w:bottom w:val="nil"/>
              <w:right w:val="nil"/>
              <w:tl2br w:val="nil"/>
              <w:tr2bl w:val="nil"/>
            </w:tcBorders>
            <w:tcMar>
              <w:left w:w="60" w:type="dxa"/>
              <w:right w:w="60" w:type="dxa"/>
            </w:tcMar>
            <w:vAlign w:val="center"/>
          </w:tcPr>
          <w:p w14:paraId="53758E92" w14:textId="77777777" w:rsidR="00807FFE" w:rsidRDefault="00023E71">
            <w:pPr>
              <w:pStyle w:val="DMETW36751BIPOE"/>
              <w:jc w:val="right"/>
              <w:rPr>
                <w:rFonts w:ascii="Verdana" w:eastAsia="Verdana" w:hAnsi="Verdana" w:cs="Verdana"/>
                <w:i/>
                <w:noProof/>
                <w:color w:val="000000"/>
                <w:sz w:val="18"/>
              </w:rPr>
            </w:pPr>
            <w:r>
              <w:rPr>
                <w:rFonts w:ascii="Verdana" w:eastAsia="Verdana" w:hAnsi="Verdana" w:cs="Verdana"/>
                <w:i/>
                <w:noProof/>
                <w:color w:val="000000"/>
                <w:sz w:val="18"/>
              </w:rPr>
              <w:t>6 687</w:t>
            </w:r>
          </w:p>
        </w:tc>
        <w:tc>
          <w:tcPr>
            <w:tcW w:w="1489" w:type="dxa"/>
            <w:tcBorders>
              <w:top w:val="nil"/>
              <w:left w:val="nil"/>
              <w:bottom w:val="nil"/>
              <w:right w:val="nil"/>
              <w:tl2br w:val="nil"/>
              <w:tr2bl w:val="nil"/>
            </w:tcBorders>
            <w:tcMar>
              <w:left w:w="60" w:type="dxa"/>
              <w:right w:w="60" w:type="dxa"/>
            </w:tcMar>
            <w:vAlign w:val="center"/>
          </w:tcPr>
          <w:p w14:paraId="5FEB6110" w14:textId="77777777" w:rsidR="00807FFE" w:rsidRDefault="00023E71">
            <w:pPr>
              <w:pStyle w:val="DMETW36751BIPOE"/>
              <w:jc w:val="right"/>
              <w:rPr>
                <w:rFonts w:ascii="Verdana" w:eastAsia="Verdana" w:hAnsi="Verdana" w:cs="Verdana"/>
                <w:i/>
                <w:noProof/>
                <w:color w:val="000000"/>
                <w:sz w:val="18"/>
                <w:lang w:bidi="en-GB"/>
              </w:rPr>
            </w:pPr>
            <w:r>
              <w:rPr>
                <w:rFonts w:ascii="Verdana" w:eastAsia="Verdana" w:hAnsi="Verdana" w:cs="Verdana"/>
                <w:i/>
                <w:noProof/>
                <w:color w:val="000000"/>
                <w:sz w:val="18"/>
              </w:rPr>
              <w:t>3 956</w:t>
            </w:r>
          </w:p>
        </w:tc>
      </w:tr>
      <w:tr w:rsidR="00807FFE" w14:paraId="29D18519" w14:textId="77777777">
        <w:trPr>
          <w:trHeight w:val="255"/>
        </w:trPr>
        <w:tc>
          <w:tcPr>
            <w:tcW w:w="6670" w:type="dxa"/>
            <w:tcBorders>
              <w:top w:val="nil"/>
              <w:left w:val="nil"/>
              <w:bottom w:val="nil"/>
              <w:right w:val="nil"/>
              <w:tl2br w:val="nil"/>
              <w:tr2bl w:val="nil"/>
            </w:tcBorders>
            <w:tcMar>
              <w:left w:w="60" w:type="dxa"/>
              <w:right w:w="60" w:type="dxa"/>
            </w:tcMar>
            <w:vAlign w:val="center"/>
          </w:tcPr>
          <w:p w14:paraId="289582EB" w14:textId="77777777" w:rsidR="00807FFE" w:rsidRDefault="00023E71">
            <w:pPr>
              <w:pStyle w:val="DMETW36751BIPOE"/>
              <w:rPr>
                <w:rFonts w:ascii="Verdana" w:eastAsia="Verdana" w:hAnsi="Verdana" w:cs="Verdana"/>
                <w:i/>
                <w:noProof/>
                <w:color w:val="000000"/>
                <w:sz w:val="18"/>
              </w:rPr>
            </w:pPr>
            <w:r>
              <w:rPr>
                <w:rFonts w:ascii="Verdana" w:eastAsia="Verdana" w:hAnsi="Verdana" w:cs="Verdana"/>
                <w:i/>
                <w:noProof/>
                <w:color w:val="000000"/>
                <w:sz w:val="18"/>
              </w:rPr>
              <w:t>Fixed assets related expenses and Land and buildings management expenses</w:t>
            </w:r>
          </w:p>
        </w:tc>
        <w:tc>
          <w:tcPr>
            <w:tcW w:w="1599" w:type="dxa"/>
            <w:tcBorders>
              <w:top w:val="nil"/>
              <w:left w:val="nil"/>
              <w:bottom w:val="nil"/>
              <w:right w:val="nil"/>
              <w:tl2br w:val="nil"/>
              <w:tr2bl w:val="nil"/>
            </w:tcBorders>
            <w:tcMar>
              <w:left w:w="60" w:type="dxa"/>
              <w:right w:w="60" w:type="dxa"/>
            </w:tcMar>
            <w:vAlign w:val="center"/>
          </w:tcPr>
          <w:p w14:paraId="0ACC43CC" w14:textId="77777777" w:rsidR="00807FFE" w:rsidRDefault="00023E71">
            <w:pPr>
              <w:pStyle w:val="DMETW36751BIPOE"/>
              <w:jc w:val="right"/>
              <w:rPr>
                <w:rFonts w:ascii="Verdana" w:eastAsia="Verdana" w:hAnsi="Verdana" w:cs="Verdana"/>
                <w:i/>
                <w:noProof/>
                <w:color w:val="000000"/>
                <w:sz w:val="18"/>
              </w:rPr>
            </w:pPr>
            <w:r>
              <w:rPr>
                <w:rFonts w:ascii="Verdana" w:eastAsia="Verdana" w:hAnsi="Verdana" w:cs="Verdana"/>
                <w:i/>
                <w:noProof/>
                <w:color w:val="000000"/>
                <w:sz w:val="18"/>
              </w:rPr>
              <w:t>2 164</w:t>
            </w:r>
          </w:p>
        </w:tc>
        <w:tc>
          <w:tcPr>
            <w:tcW w:w="1489" w:type="dxa"/>
            <w:tcBorders>
              <w:top w:val="nil"/>
              <w:left w:val="nil"/>
              <w:bottom w:val="nil"/>
              <w:right w:val="nil"/>
              <w:tl2br w:val="nil"/>
              <w:tr2bl w:val="nil"/>
            </w:tcBorders>
            <w:tcMar>
              <w:left w:w="60" w:type="dxa"/>
              <w:right w:w="60" w:type="dxa"/>
            </w:tcMar>
            <w:vAlign w:val="center"/>
          </w:tcPr>
          <w:p w14:paraId="59519517" w14:textId="77777777" w:rsidR="00807FFE" w:rsidRDefault="00023E71">
            <w:pPr>
              <w:pStyle w:val="DMETW36751BIPOE"/>
              <w:jc w:val="right"/>
              <w:rPr>
                <w:rFonts w:ascii="Verdana" w:eastAsia="Verdana" w:hAnsi="Verdana" w:cs="Verdana"/>
                <w:i/>
                <w:noProof/>
                <w:color w:val="000000"/>
                <w:sz w:val="18"/>
                <w:lang w:bidi="en-GB"/>
              </w:rPr>
            </w:pPr>
            <w:r>
              <w:rPr>
                <w:rFonts w:ascii="Verdana" w:eastAsia="Verdana" w:hAnsi="Verdana" w:cs="Verdana"/>
                <w:i/>
                <w:noProof/>
                <w:color w:val="000000"/>
                <w:sz w:val="18"/>
              </w:rPr>
              <w:t>2 662</w:t>
            </w:r>
          </w:p>
        </w:tc>
      </w:tr>
      <w:tr w:rsidR="00807FFE" w14:paraId="38E9F13A" w14:textId="77777777">
        <w:trPr>
          <w:trHeight w:val="255"/>
        </w:trPr>
        <w:tc>
          <w:tcPr>
            <w:tcW w:w="6670" w:type="dxa"/>
            <w:tcBorders>
              <w:top w:val="nil"/>
              <w:left w:val="nil"/>
              <w:bottom w:val="nil"/>
              <w:right w:val="nil"/>
              <w:tl2br w:val="nil"/>
              <w:tr2bl w:val="nil"/>
            </w:tcBorders>
            <w:tcMar>
              <w:left w:w="60" w:type="dxa"/>
              <w:right w:w="60" w:type="dxa"/>
            </w:tcMar>
            <w:vAlign w:val="center"/>
          </w:tcPr>
          <w:p w14:paraId="65EBDF94" w14:textId="77777777" w:rsidR="00807FFE" w:rsidRDefault="00023E71">
            <w:pPr>
              <w:pStyle w:val="DMETW36751BIPOE"/>
              <w:rPr>
                <w:rFonts w:ascii="Verdana" w:eastAsia="Verdana" w:hAnsi="Verdana" w:cs="Verdana"/>
                <w:i/>
                <w:noProof/>
                <w:color w:val="000000"/>
                <w:sz w:val="18"/>
              </w:rPr>
            </w:pPr>
            <w:r>
              <w:rPr>
                <w:rFonts w:ascii="Verdana" w:eastAsia="Verdana" w:hAnsi="Verdana" w:cs="Verdana"/>
                <w:i/>
                <w:noProof/>
                <w:color w:val="000000"/>
                <w:sz w:val="18"/>
              </w:rPr>
              <w:t>Foreign exchange losses</w:t>
            </w:r>
          </w:p>
        </w:tc>
        <w:tc>
          <w:tcPr>
            <w:tcW w:w="1599" w:type="dxa"/>
            <w:tcBorders>
              <w:top w:val="nil"/>
              <w:left w:val="nil"/>
              <w:bottom w:val="nil"/>
              <w:right w:val="nil"/>
              <w:tl2br w:val="nil"/>
              <w:tr2bl w:val="nil"/>
            </w:tcBorders>
            <w:tcMar>
              <w:left w:w="60" w:type="dxa"/>
              <w:right w:w="60" w:type="dxa"/>
            </w:tcMar>
            <w:vAlign w:val="center"/>
          </w:tcPr>
          <w:p w14:paraId="24ED2641" w14:textId="77777777" w:rsidR="00807FFE" w:rsidRDefault="00023E71">
            <w:pPr>
              <w:pStyle w:val="DMETW36751BIPOE"/>
              <w:jc w:val="right"/>
              <w:rPr>
                <w:rFonts w:ascii="Verdana" w:eastAsia="Verdana" w:hAnsi="Verdana" w:cs="Verdana"/>
                <w:i/>
                <w:noProof/>
                <w:color w:val="000000"/>
                <w:sz w:val="18"/>
              </w:rPr>
            </w:pPr>
            <w:r>
              <w:rPr>
                <w:rFonts w:ascii="Verdana" w:eastAsia="Verdana" w:hAnsi="Verdana" w:cs="Verdana"/>
                <w:i/>
                <w:noProof/>
                <w:color w:val="000000"/>
                <w:sz w:val="18"/>
              </w:rPr>
              <w:t xml:space="preserve"> 621</w:t>
            </w:r>
          </w:p>
        </w:tc>
        <w:tc>
          <w:tcPr>
            <w:tcW w:w="1489" w:type="dxa"/>
            <w:tcBorders>
              <w:top w:val="nil"/>
              <w:left w:val="nil"/>
              <w:bottom w:val="nil"/>
              <w:right w:val="nil"/>
              <w:tl2br w:val="nil"/>
              <w:tr2bl w:val="nil"/>
            </w:tcBorders>
            <w:tcMar>
              <w:left w:w="60" w:type="dxa"/>
              <w:right w:w="60" w:type="dxa"/>
            </w:tcMar>
            <w:vAlign w:val="center"/>
          </w:tcPr>
          <w:p w14:paraId="38E15E43" w14:textId="77777777" w:rsidR="00807FFE" w:rsidRDefault="00023E71">
            <w:pPr>
              <w:pStyle w:val="DMETW36751BIPOE"/>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282</w:t>
            </w:r>
          </w:p>
        </w:tc>
      </w:tr>
      <w:tr w:rsidR="00807FFE" w14:paraId="4F071161" w14:textId="77777777">
        <w:trPr>
          <w:trHeight w:val="255"/>
        </w:trPr>
        <w:tc>
          <w:tcPr>
            <w:tcW w:w="6670" w:type="dxa"/>
            <w:tcBorders>
              <w:top w:val="nil"/>
              <w:left w:val="nil"/>
              <w:bottom w:val="nil"/>
              <w:right w:val="nil"/>
              <w:tl2br w:val="nil"/>
              <w:tr2bl w:val="nil"/>
            </w:tcBorders>
            <w:tcMar>
              <w:left w:w="60" w:type="dxa"/>
              <w:right w:w="60" w:type="dxa"/>
            </w:tcMar>
            <w:vAlign w:val="center"/>
          </w:tcPr>
          <w:p w14:paraId="01D82374" w14:textId="77777777" w:rsidR="00807FFE" w:rsidRDefault="00023E71">
            <w:pPr>
              <w:pStyle w:val="DMETW36751BIPOE"/>
              <w:rPr>
                <w:rFonts w:ascii="Verdana" w:eastAsia="Verdana" w:hAnsi="Verdana" w:cs="Verdana"/>
                <w:i/>
                <w:noProof/>
                <w:color w:val="000000"/>
                <w:sz w:val="18"/>
              </w:rPr>
            </w:pPr>
            <w:r>
              <w:rPr>
                <w:rFonts w:ascii="Verdana" w:eastAsia="Verdana" w:hAnsi="Verdana" w:cs="Verdana"/>
                <w:i/>
                <w:noProof/>
                <w:color w:val="000000"/>
                <w:sz w:val="18"/>
              </w:rPr>
              <w:t>Operating lease expenses</w:t>
            </w:r>
          </w:p>
        </w:tc>
        <w:tc>
          <w:tcPr>
            <w:tcW w:w="1599" w:type="dxa"/>
            <w:tcBorders>
              <w:top w:val="nil"/>
              <w:left w:val="nil"/>
              <w:bottom w:val="nil"/>
              <w:right w:val="nil"/>
              <w:tl2br w:val="nil"/>
              <w:tr2bl w:val="nil"/>
            </w:tcBorders>
            <w:tcMar>
              <w:left w:w="60" w:type="dxa"/>
              <w:right w:w="60" w:type="dxa"/>
            </w:tcMar>
            <w:vAlign w:val="center"/>
          </w:tcPr>
          <w:p w14:paraId="5BD4C366" w14:textId="77777777" w:rsidR="00807FFE" w:rsidRDefault="00023E71">
            <w:pPr>
              <w:pStyle w:val="DMETW36751BIPOE"/>
              <w:jc w:val="right"/>
              <w:rPr>
                <w:rFonts w:ascii="Verdana" w:eastAsia="Verdana" w:hAnsi="Verdana" w:cs="Verdana"/>
                <w:i/>
                <w:noProof/>
                <w:color w:val="000000"/>
                <w:sz w:val="18"/>
              </w:rPr>
            </w:pPr>
            <w:r>
              <w:rPr>
                <w:rFonts w:ascii="Verdana" w:eastAsia="Verdana" w:hAnsi="Verdana" w:cs="Verdana"/>
                <w:i/>
                <w:noProof/>
                <w:color w:val="000000"/>
                <w:sz w:val="18"/>
              </w:rPr>
              <w:t xml:space="preserve"> 589</w:t>
            </w:r>
          </w:p>
        </w:tc>
        <w:tc>
          <w:tcPr>
            <w:tcW w:w="1489" w:type="dxa"/>
            <w:tcBorders>
              <w:top w:val="nil"/>
              <w:left w:val="nil"/>
              <w:bottom w:val="nil"/>
              <w:right w:val="nil"/>
              <w:tl2br w:val="nil"/>
              <w:tr2bl w:val="nil"/>
            </w:tcBorders>
            <w:tcMar>
              <w:left w:w="60" w:type="dxa"/>
              <w:right w:w="60" w:type="dxa"/>
            </w:tcMar>
            <w:vAlign w:val="center"/>
          </w:tcPr>
          <w:p w14:paraId="0C590AFC" w14:textId="77777777" w:rsidR="00807FFE" w:rsidRDefault="00023E71">
            <w:pPr>
              <w:pStyle w:val="DMETW36751BIPOE"/>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560</w:t>
            </w:r>
          </w:p>
        </w:tc>
      </w:tr>
      <w:tr w:rsidR="00807FFE" w14:paraId="0FDB571D" w14:textId="77777777">
        <w:trPr>
          <w:trHeight w:val="255"/>
        </w:trPr>
        <w:tc>
          <w:tcPr>
            <w:tcW w:w="6670" w:type="dxa"/>
            <w:tcBorders>
              <w:top w:val="nil"/>
              <w:left w:val="nil"/>
              <w:bottom w:val="nil"/>
              <w:right w:val="nil"/>
              <w:tl2br w:val="nil"/>
              <w:tr2bl w:val="nil"/>
            </w:tcBorders>
            <w:tcMar>
              <w:left w:w="60" w:type="dxa"/>
              <w:right w:w="60" w:type="dxa"/>
            </w:tcMar>
            <w:vAlign w:val="center"/>
          </w:tcPr>
          <w:p w14:paraId="5D329A0B" w14:textId="77777777" w:rsidR="00807FFE" w:rsidRDefault="00023E71">
            <w:pPr>
              <w:pStyle w:val="DMETW36751BIPOE"/>
              <w:rPr>
                <w:rFonts w:ascii="Verdana" w:eastAsia="Verdana" w:hAnsi="Verdana" w:cs="Verdana"/>
                <w:i/>
                <w:noProof/>
                <w:color w:val="000000"/>
                <w:sz w:val="18"/>
              </w:rPr>
            </w:pPr>
            <w:r>
              <w:rPr>
                <w:rFonts w:ascii="Verdana" w:eastAsia="Verdana" w:hAnsi="Verdana" w:cs="Verdana"/>
                <w:i/>
                <w:noProof/>
                <w:color w:val="000000"/>
                <w:sz w:val="18"/>
              </w:rPr>
              <w:t>Adjustment of provisions</w:t>
            </w:r>
          </w:p>
        </w:tc>
        <w:tc>
          <w:tcPr>
            <w:tcW w:w="1599" w:type="dxa"/>
            <w:tcBorders>
              <w:top w:val="nil"/>
              <w:left w:val="nil"/>
              <w:bottom w:val="nil"/>
              <w:right w:val="nil"/>
              <w:tl2br w:val="nil"/>
              <w:tr2bl w:val="nil"/>
            </w:tcBorders>
            <w:tcMar>
              <w:left w:w="60" w:type="dxa"/>
              <w:right w:w="60" w:type="dxa"/>
            </w:tcMar>
            <w:vAlign w:val="center"/>
          </w:tcPr>
          <w:p w14:paraId="794C6FBC" w14:textId="77777777" w:rsidR="00807FFE" w:rsidRDefault="00023E71">
            <w:pPr>
              <w:pStyle w:val="DMETW36751BIPOE"/>
              <w:jc w:val="right"/>
              <w:rPr>
                <w:rFonts w:ascii="Verdana" w:eastAsia="Verdana" w:hAnsi="Verdana" w:cs="Verdana"/>
                <w:i/>
                <w:noProof/>
                <w:color w:val="000000"/>
                <w:sz w:val="18"/>
              </w:rPr>
            </w:pPr>
            <w:r>
              <w:rPr>
                <w:rFonts w:ascii="Verdana" w:eastAsia="Verdana" w:hAnsi="Verdana" w:cs="Verdana"/>
                <w:i/>
                <w:noProof/>
                <w:color w:val="000000"/>
                <w:sz w:val="18"/>
              </w:rPr>
              <w:t xml:space="preserve"> 458</w:t>
            </w:r>
          </w:p>
        </w:tc>
        <w:tc>
          <w:tcPr>
            <w:tcW w:w="1489" w:type="dxa"/>
            <w:tcBorders>
              <w:top w:val="nil"/>
              <w:left w:val="nil"/>
              <w:bottom w:val="nil"/>
              <w:right w:val="nil"/>
              <w:tl2br w:val="nil"/>
              <w:tr2bl w:val="nil"/>
            </w:tcBorders>
            <w:tcMar>
              <w:left w:w="60" w:type="dxa"/>
              <w:right w:w="60" w:type="dxa"/>
            </w:tcMar>
            <w:vAlign w:val="center"/>
          </w:tcPr>
          <w:p w14:paraId="0467740A" w14:textId="77777777" w:rsidR="00807FFE" w:rsidRDefault="00023E71">
            <w:pPr>
              <w:pStyle w:val="DMETW36751BIPOE"/>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415</w:t>
            </w:r>
          </w:p>
        </w:tc>
      </w:tr>
      <w:tr w:rsidR="00807FFE" w14:paraId="63F5906D" w14:textId="77777777">
        <w:trPr>
          <w:trHeight w:val="255"/>
        </w:trPr>
        <w:tc>
          <w:tcPr>
            <w:tcW w:w="6670" w:type="dxa"/>
            <w:tcBorders>
              <w:top w:val="nil"/>
              <w:left w:val="nil"/>
              <w:bottom w:val="nil"/>
              <w:right w:val="nil"/>
              <w:tl2br w:val="nil"/>
              <w:tr2bl w:val="nil"/>
            </w:tcBorders>
            <w:tcMar>
              <w:left w:w="60" w:type="dxa"/>
              <w:right w:w="60" w:type="dxa"/>
            </w:tcMar>
            <w:vAlign w:val="center"/>
          </w:tcPr>
          <w:p w14:paraId="6CA99ED7" w14:textId="77777777" w:rsidR="00807FFE" w:rsidRDefault="00023E71">
            <w:pPr>
              <w:pStyle w:val="DMETW36751BIPOE"/>
              <w:rPr>
                <w:rFonts w:ascii="Verdana" w:eastAsia="Verdana" w:hAnsi="Verdana" w:cs="Verdana"/>
                <w:i/>
                <w:noProof/>
                <w:color w:val="000000"/>
                <w:sz w:val="18"/>
              </w:rPr>
            </w:pPr>
            <w:r>
              <w:rPr>
                <w:rFonts w:ascii="Verdana" w:eastAsia="Verdana" w:hAnsi="Verdana" w:cs="Verdana"/>
                <w:i/>
                <w:noProof/>
                <w:color w:val="000000"/>
                <w:sz w:val="18"/>
              </w:rPr>
              <w:t>Reduction of fines by Court decision</w:t>
            </w:r>
          </w:p>
        </w:tc>
        <w:tc>
          <w:tcPr>
            <w:tcW w:w="1599" w:type="dxa"/>
            <w:tcBorders>
              <w:top w:val="nil"/>
              <w:left w:val="nil"/>
              <w:bottom w:val="nil"/>
              <w:right w:val="nil"/>
              <w:tl2br w:val="nil"/>
              <w:tr2bl w:val="nil"/>
            </w:tcBorders>
            <w:tcMar>
              <w:left w:w="60" w:type="dxa"/>
              <w:right w:w="60" w:type="dxa"/>
            </w:tcMar>
            <w:vAlign w:val="center"/>
          </w:tcPr>
          <w:p w14:paraId="423F9DDC" w14:textId="77777777" w:rsidR="00807FFE" w:rsidRDefault="00023E71">
            <w:pPr>
              <w:pStyle w:val="DMETW36751BIPOE"/>
              <w:jc w:val="right"/>
              <w:rPr>
                <w:rFonts w:ascii="Verdana" w:eastAsia="Verdana" w:hAnsi="Verdana" w:cs="Verdana"/>
                <w:i/>
                <w:noProof/>
                <w:color w:val="000000"/>
                <w:sz w:val="18"/>
              </w:rPr>
            </w:pPr>
            <w:r>
              <w:rPr>
                <w:rFonts w:ascii="Verdana" w:eastAsia="Verdana" w:hAnsi="Verdana" w:cs="Verdana"/>
                <w:i/>
                <w:noProof/>
                <w:color w:val="000000"/>
                <w:sz w:val="18"/>
              </w:rPr>
              <w:t xml:space="preserve"> 214</w:t>
            </w:r>
          </w:p>
        </w:tc>
        <w:tc>
          <w:tcPr>
            <w:tcW w:w="1489" w:type="dxa"/>
            <w:tcBorders>
              <w:top w:val="nil"/>
              <w:left w:val="nil"/>
              <w:bottom w:val="nil"/>
              <w:right w:val="nil"/>
              <w:tl2br w:val="nil"/>
              <w:tr2bl w:val="nil"/>
            </w:tcBorders>
            <w:tcMar>
              <w:left w:w="60" w:type="dxa"/>
              <w:right w:w="60" w:type="dxa"/>
            </w:tcMar>
            <w:vAlign w:val="center"/>
          </w:tcPr>
          <w:p w14:paraId="1D97CF39" w14:textId="77777777" w:rsidR="00807FFE" w:rsidRDefault="00023E71">
            <w:pPr>
              <w:pStyle w:val="DMETW36751BIPOE"/>
              <w:jc w:val="right"/>
              <w:rPr>
                <w:rFonts w:ascii="Verdana" w:eastAsia="Verdana" w:hAnsi="Verdana" w:cs="Verdana"/>
                <w:i/>
                <w:noProof/>
                <w:color w:val="000000"/>
                <w:sz w:val="18"/>
                <w:lang w:bidi="en-GB"/>
              </w:rPr>
            </w:pPr>
            <w:r>
              <w:rPr>
                <w:rFonts w:ascii="Verdana" w:eastAsia="Verdana" w:hAnsi="Verdana" w:cs="Verdana"/>
                <w:i/>
                <w:noProof/>
                <w:color w:val="000000"/>
                <w:sz w:val="18"/>
              </w:rPr>
              <w:t>1 123</w:t>
            </w:r>
          </w:p>
        </w:tc>
      </w:tr>
      <w:tr w:rsidR="00807FFE" w14:paraId="6D9E6FF0" w14:textId="77777777">
        <w:trPr>
          <w:trHeight w:val="255"/>
        </w:trPr>
        <w:tc>
          <w:tcPr>
            <w:tcW w:w="6670" w:type="dxa"/>
            <w:tcBorders>
              <w:top w:val="nil"/>
              <w:left w:val="nil"/>
              <w:bottom w:val="nil"/>
              <w:right w:val="nil"/>
              <w:tl2br w:val="nil"/>
              <w:tr2bl w:val="nil"/>
            </w:tcBorders>
            <w:shd w:val="solid" w:color="CCE1EA" w:fill="FFFFFF"/>
            <w:tcMar>
              <w:left w:w="60" w:type="dxa"/>
              <w:right w:w="60" w:type="dxa"/>
            </w:tcMar>
            <w:vAlign w:val="center"/>
          </w:tcPr>
          <w:p w14:paraId="5EB293D1" w14:textId="77777777" w:rsidR="00807FFE" w:rsidRDefault="00023E71">
            <w:pPr>
              <w:pStyle w:val="DMETW36751BIPOE"/>
              <w:rPr>
                <w:rFonts w:ascii="Verdana" w:eastAsia="Verdana" w:hAnsi="Verdana" w:cs="Verdana"/>
                <w:b/>
                <w:noProof/>
                <w:color w:val="000000"/>
                <w:sz w:val="18"/>
              </w:rPr>
            </w:pPr>
            <w:r>
              <w:rPr>
                <w:rFonts w:ascii="Verdana" w:eastAsia="Verdana" w:hAnsi="Verdana" w:cs="Verdana"/>
                <w:b/>
                <w:noProof/>
                <w:color w:val="000000"/>
                <w:sz w:val="18"/>
              </w:rPr>
              <w:t>Total</w:t>
            </w:r>
          </w:p>
        </w:tc>
        <w:tc>
          <w:tcPr>
            <w:tcW w:w="1599" w:type="dxa"/>
            <w:tcBorders>
              <w:top w:val="nil"/>
              <w:left w:val="nil"/>
              <w:bottom w:val="nil"/>
              <w:right w:val="nil"/>
              <w:tl2br w:val="nil"/>
              <w:tr2bl w:val="nil"/>
            </w:tcBorders>
            <w:shd w:val="solid" w:color="CCE1EA" w:fill="FFFFFF"/>
            <w:tcMar>
              <w:left w:w="60" w:type="dxa"/>
              <w:right w:w="60" w:type="dxa"/>
            </w:tcMar>
            <w:vAlign w:val="center"/>
          </w:tcPr>
          <w:p w14:paraId="03DD9A30" w14:textId="77777777" w:rsidR="00807FFE" w:rsidRDefault="00023E71">
            <w:pPr>
              <w:pStyle w:val="DMETW36751BIPOE"/>
              <w:jc w:val="right"/>
              <w:rPr>
                <w:rFonts w:ascii="Verdana" w:eastAsia="Verdana" w:hAnsi="Verdana" w:cs="Verdana"/>
                <w:b/>
                <w:noProof/>
                <w:color w:val="000000"/>
                <w:sz w:val="18"/>
              </w:rPr>
            </w:pPr>
            <w:r>
              <w:rPr>
                <w:rFonts w:ascii="Verdana" w:eastAsia="Verdana" w:hAnsi="Verdana" w:cs="Verdana"/>
                <w:b/>
                <w:noProof/>
                <w:color w:val="000000"/>
                <w:sz w:val="18"/>
              </w:rPr>
              <w:t>10 733</w:t>
            </w:r>
          </w:p>
        </w:tc>
        <w:tc>
          <w:tcPr>
            <w:tcW w:w="1489" w:type="dxa"/>
            <w:tcBorders>
              <w:top w:val="nil"/>
              <w:left w:val="nil"/>
              <w:bottom w:val="nil"/>
              <w:right w:val="nil"/>
              <w:tl2br w:val="nil"/>
              <w:tr2bl w:val="nil"/>
            </w:tcBorders>
            <w:shd w:val="solid" w:color="CCE1EA" w:fill="FFFFFF"/>
            <w:tcMar>
              <w:left w:w="60" w:type="dxa"/>
              <w:right w:w="60" w:type="dxa"/>
            </w:tcMar>
            <w:vAlign w:val="center"/>
          </w:tcPr>
          <w:p w14:paraId="6770CE12" w14:textId="77777777" w:rsidR="00807FFE" w:rsidRDefault="00023E71">
            <w:pPr>
              <w:pStyle w:val="DMETW36751BIPOE"/>
              <w:jc w:val="right"/>
              <w:rPr>
                <w:rFonts w:ascii="Verdana" w:eastAsia="Verdana" w:hAnsi="Verdana" w:cs="Verdana"/>
                <w:b/>
                <w:noProof/>
                <w:color w:val="000000"/>
                <w:sz w:val="18"/>
              </w:rPr>
            </w:pPr>
            <w:r>
              <w:rPr>
                <w:rFonts w:ascii="Verdana" w:eastAsia="Verdana" w:hAnsi="Verdana" w:cs="Verdana"/>
                <w:b/>
                <w:noProof/>
                <w:color w:val="000000"/>
                <w:sz w:val="18"/>
              </w:rPr>
              <w:t>8 997</w:t>
            </w:r>
          </w:p>
        </w:tc>
      </w:tr>
    </w:tbl>
    <w:p w14:paraId="72393D80" w14:textId="77777777" w:rsidR="00957CE4" w:rsidRDefault="00023E71" w:rsidP="00E23F66">
      <w:pPr>
        <w:pStyle w:val="DGTextstand-alone"/>
      </w:pPr>
      <w:r w:rsidRPr="00DF0E28">
        <w:t>Administrative, IT and other expenses primarily include consultancy expenses (EUR 1.5 billion), IT related expenses (EUR 1.3 billion)  and various running costs (EUR 2.3 billion), for example office supplies, events, conferences and communication expenses.</w:t>
      </w:r>
    </w:p>
    <w:p w14:paraId="18F94652" w14:textId="77777777" w:rsidR="000F4560" w:rsidRDefault="00023E71" w:rsidP="00E23F66">
      <w:pPr>
        <w:pStyle w:val="DGTextstand-alone"/>
      </w:pPr>
      <w:r>
        <w:t>L</w:t>
      </w:r>
      <w:r w:rsidRPr="00E452E9">
        <w:t xml:space="preserve">ine ‘Reduction of fines by Court decision’ shows a lower amount in 2025 compared to 2024 </w:t>
      </w:r>
      <w:r>
        <w:t>as</w:t>
      </w:r>
      <w:r w:rsidRPr="00E452E9">
        <w:t xml:space="preserve">  fines of relatively smaller amounts were cancelled in 2025 compared to 2024 (where a</w:t>
      </w:r>
      <w:r w:rsidRPr="00E452E9">
        <w:rPr>
          <w:lang w:val="en-IE"/>
        </w:rPr>
        <w:t xml:space="preserve"> EUR 432 million fine was written off because </w:t>
      </w:r>
      <w:r w:rsidRPr="00E452E9">
        <w:t xml:space="preserve">the Commission withdrew the fining decision imposed on Illumina / Grail in a merger proceeding,  and  a EUR 684 </w:t>
      </w:r>
      <w:r>
        <w:t xml:space="preserve">million </w:t>
      </w:r>
      <w:r w:rsidRPr="00E452E9">
        <w:t>fine  imposed in 2009 on Intel  was partially writ</w:t>
      </w:r>
      <w:r>
        <w:t>t</w:t>
      </w:r>
      <w:r w:rsidRPr="00E452E9">
        <w:t>en-off  as a result of a Court of Justice decision issued in October 2024)</w:t>
      </w:r>
      <w:r>
        <w:t>.</w:t>
      </w:r>
    </w:p>
    <w:p w14:paraId="2E0B8424" w14:textId="77777777" w:rsidR="00E23F66" w:rsidRDefault="00023E71" w:rsidP="00E23F66">
      <w:pPr>
        <w:pStyle w:val="DGTextstand-alone"/>
      </w:pPr>
      <w:r w:rsidRPr="00FE47F4">
        <w:t>The aggregate amount of research and development expenditure recognised as an expense during 202</w:t>
      </w:r>
      <w:r>
        <w:t>5</w:t>
      </w:r>
      <w:r w:rsidRPr="00FE47F4">
        <w:t xml:space="preserve"> is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6"/>
        <w:gridCol w:w="1506"/>
        <w:gridCol w:w="1506"/>
      </w:tblGrid>
      <w:tr w:rsidR="00807FFE" w14:paraId="52E68BB8" w14:textId="77777777">
        <w:trPr>
          <w:trHeight w:val="255"/>
        </w:trPr>
        <w:tc>
          <w:tcPr>
            <w:tcW w:w="6746" w:type="dxa"/>
            <w:tcBorders>
              <w:top w:val="nil"/>
              <w:left w:val="nil"/>
              <w:bottom w:val="nil"/>
              <w:right w:val="nil"/>
              <w:tl2br w:val="nil"/>
              <w:tr2bl w:val="nil"/>
            </w:tcBorders>
            <w:tcMar>
              <w:left w:w="60" w:type="dxa"/>
              <w:right w:w="60" w:type="dxa"/>
            </w:tcMar>
            <w:vAlign w:val="bottom"/>
          </w:tcPr>
          <w:p w14:paraId="0AD93671" w14:textId="77777777" w:rsidR="00807FFE" w:rsidRDefault="00807FFE">
            <w:pPr>
              <w:pStyle w:val="DMETW36751BIPRD"/>
              <w:rPr>
                <w:rFonts w:ascii="Arial" w:eastAsia="Arial" w:hAnsi="Arial" w:cs="Arial"/>
                <w:noProof/>
                <w:color w:val="000000"/>
                <w:lang w:bidi="en-GB"/>
              </w:rPr>
            </w:pPr>
            <w:bookmarkStart w:id="196" w:name="DOC_TBL00076_1_1"/>
            <w:bookmarkEnd w:id="196"/>
          </w:p>
        </w:tc>
        <w:tc>
          <w:tcPr>
            <w:tcW w:w="1506" w:type="dxa"/>
            <w:tcBorders>
              <w:top w:val="nil"/>
              <w:left w:val="nil"/>
              <w:bottom w:val="nil"/>
              <w:right w:val="nil"/>
              <w:tl2br w:val="nil"/>
              <w:tr2bl w:val="nil"/>
            </w:tcBorders>
            <w:tcMar>
              <w:left w:w="60" w:type="dxa"/>
              <w:right w:w="60" w:type="dxa"/>
            </w:tcMar>
            <w:vAlign w:val="bottom"/>
          </w:tcPr>
          <w:p w14:paraId="4A0A4CF7" w14:textId="77777777" w:rsidR="00807FFE" w:rsidRDefault="00807FFE">
            <w:pPr>
              <w:pStyle w:val="DMETW36751BIPRD"/>
              <w:rPr>
                <w:rFonts w:ascii="Arial" w:eastAsia="Arial" w:hAnsi="Arial" w:cs="Arial"/>
                <w:noProof/>
                <w:color w:val="000000"/>
              </w:rPr>
            </w:pPr>
          </w:p>
        </w:tc>
        <w:tc>
          <w:tcPr>
            <w:tcW w:w="1506" w:type="dxa"/>
            <w:tcBorders>
              <w:top w:val="nil"/>
              <w:left w:val="nil"/>
              <w:bottom w:val="nil"/>
              <w:right w:val="nil"/>
              <w:tl2br w:val="nil"/>
              <w:tr2bl w:val="nil"/>
            </w:tcBorders>
            <w:tcMar>
              <w:left w:w="60" w:type="dxa"/>
              <w:right w:w="60" w:type="dxa"/>
            </w:tcMar>
            <w:vAlign w:val="bottom"/>
          </w:tcPr>
          <w:p w14:paraId="08377740" w14:textId="77777777" w:rsidR="00807FFE" w:rsidRDefault="00023E71">
            <w:pPr>
              <w:pStyle w:val="DMETW36751BIPRD"/>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4DB7F04" w14:textId="77777777">
        <w:trPr>
          <w:trHeight w:val="255"/>
        </w:trPr>
        <w:tc>
          <w:tcPr>
            <w:tcW w:w="6746" w:type="dxa"/>
            <w:tcBorders>
              <w:top w:val="nil"/>
              <w:left w:val="nil"/>
              <w:bottom w:val="nil"/>
              <w:right w:val="nil"/>
              <w:tl2br w:val="nil"/>
              <w:tr2bl w:val="nil"/>
            </w:tcBorders>
            <w:shd w:val="solid" w:color="016794" w:fill="FFFFFF"/>
            <w:tcMar>
              <w:left w:w="60" w:type="dxa"/>
              <w:right w:w="60" w:type="dxa"/>
            </w:tcMar>
            <w:vAlign w:val="center"/>
          </w:tcPr>
          <w:p w14:paraId="718AF7E5" w14:textId="77777777" w:rsidR="00807FFE" w:rsidRDefault="00807FFE">
            <w:pPr>
              <w:pStyle w:val="DMETW36751BIPRD"/>
              <w:jc w:val="right"/>
              <w:rPr>
                <w:rFonts w:ascii="Verdana" w:eastAsia="Verdana" w:hAnsi="Verdana" w:cs="Verdana"/>
                <w:noProof/>
                <w:color w:val="FFFFFF"/>
              </w:rPr>
            </w:pPr>
          </w:p>
        </w:tc>
        <w:tc>
          <w:tcPr>
            <w:tcW w:w="1506" w:type="dxa"/>
            <w:tcBorders>
              <w:top w:val="nil"/>
              <w:left w:val="nil"/>
              <w:bottom w:val="nil"/>
              <w:right w:val="nil"/>
              <w:tl2br w:val="nil"/>
              <w:tr2bl w:val="nil"/>
            </w:tcBorders>
            <w:shd w:val="solid" w:color="016794" w:fill="FFFFFF"/>
            <w:tcMar>
              <w:left w:w="60" w:type="dxa"/>
              <w:right w:w="60" w:type="dxa"/>
            </w:tcMar>
            <w:vAlign w:val="center"/>
          </w:tcPr>
          <w:p w14:paraId="7B54F52A" w14:textId="77777777" w:rsidR="00807FFE" w:rsidRDefault="00023E71">
            <w:pPr>
              <w:pStyle w:val="DMETW36751BIPRD"/>
              <w:jc w:val="right"/>
              <w:rPr>
                <w:rFonts w:ascii="Verdana" w:eastAsia="Verdana" w:hAnsi="Verdana" w:cs="Verdana"/>
                <w:noProof/>
                <w:color w:val="FFFFFF"/>
              </w:rPr>
            </w:pPr>
            <w:r>
              <w:rPr>
                <w:rFonts w:ascii="Verdana" w:eastAsia="Verdana" w:hAnsi="Verdana" w:cs="Verdana"/>
                <w:noProof/>
                <w:color w:val="FFFFFF"/>
              </w:rPr>
              <w:t>2025</w:t>
            </w:r>
          </w:p>
        </w:tc>
        <w:tc>
          <w:tcPr>
            <w:tcW w:w="1506" w:type="dxa"/>
            <w:tcBorders>
              <w:top w:val="nil"/>
              <w:left w:val="nil"/>
              <w:bottom w:val="nil"/>
              <w:right w:val="nil"/>
              <w:tl2br w:val="nil"/>
              <w:tr2bl w:val="nil"/>
            </w:tcBorders>
            <w:shd w:val="solid" w:color="016794" w:fill="FFFFFF"/>
            <w:tcMar>
              <w:left w:w="60" w:type="dxa"/>
              <w:right w:w="60" w:type="dxa"/>
            </w:tcMar>
            <w:vAlign w:val="center"/>
          </w:tcPr>
          <w:p w14:paraId="054E3888" w14:textId="77777777" w:rsidR="00807FFE" w:rsidRDefault="00023E71">
            <w:pPr>
              <w:pStyle w:val="DMETW36751BIPRD"/>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0192B882" w14:textId="77777777">
        <w:trPr>
          <w:trHeight w:val="255"/>
        </w:trPr>
        <w:tc>
          <w:tcPr>
            <w:tcW w:w="6746" w:type="dxa"/>
            <w:tcBorders>
              <w:top w:val="nil"/>
              <w:left w:val="nil"/>
              <w:bottom w:val="nil"/>
              <w:right w:val="nil"/>
              <w:tl2br w:val="nil"/>
              <w:tr2bl w:val="nil"/>
            </w:tcBorders>
            <w:tcMar>
              <w:left w:w="60" w:type="dxa"/>
              <w:right w:w="60" w:type="dxa"/>
            </w:tcMar>
            <w:vAlign w:val="center"/>
          </w:tcPr>
          <w:p w14:paraId="13A48C7B" w14:textId="77777777" w:rsidR="00807FFE" w:rsidRDefault="00023E71">
            <w:pPr>
              <w:pStyle w:val="DMETW36751BIPRD"/>
              <w:rPr>
                <w:rFonts w:ascii="Verdana" w:eastAsia="Verdana" w:hAnsi="Verdana" w:cs="Verdana"/>
                <w:i/>
                <w:noProof/>
                <w:color w:val="000000"/>
                <w:sz w:val="18"/>
              </w:rPr>
            </w:pPr>
            <w:r>
              <w:rPr>
                <w:rFonts w:ascii="Verdana" w:eastAsia="Verdana" w:hAnsi="Verdana" w:cs="Verdana"/>
                <w:i/>
                <w:noProof/>
                <w:color w:val="000000"/>
                <w:sz w:val="18"/>
              </w:rPr>
              <w:t>Research costs</w:t>
            </w:r>
          </w:p>
        </w:tc>
        <w:tc>
          <w:tcPr>
            <w:tcW w:w="1506" w:type="dxa"/>
            <w:tcBorders>
              <w:top w:val="nil"/>
              <w:left w:val="nil"/>
              <w:bottom w:val="nil"/>
              <w:right w:val="nil"/>
              <w:tl2br w:val="nil"/>
              <w:tr2bl w:val="nil"/>
            </w:tcBorders>
            <w:tcMar>
              <w:left w:w="60" w:type="dxa"/>
              <w:right w:w="60" w:type="dxa"/>
            </w:tcMar>
            <w:vAlign w:val="center"/>
          </w:tcPr>
          <w:p w14:paraId="2AADFDDC" w14:textId="77777777" w:rsidR="00807FFE" w:rsidRDefault="00023E71">
            <w:pPr>
              <w:pStyle w:val="DMETW36751BIPRD"/>
              <w:jc w:val="right"/>
              <w:rPr>
                <w:rFonts w:ascii="Verdana" w:eastAsia="Verdana" w:hAnsi="Verdana" w:cs="Verdana"/>
                <w:i/>
                <w:noProof/>
                <w:color w:val="000000"/>
                <w:sz w:val="18"/>
              </w:rPr>
            </w:pPr>
            <w:r>
              <w:rPr>
                <w:rFonts w:ascii="Verdana" w:eastAsia="Verdana" w:hAnsi="Verdana" w:cs="Verdana"/>
                <w:i/>
                <w:noProof/>
                <w:color w:val="000000"/>
                <w:sz w:val="18"/>
              </w:rPr>
              <w:t xml:space="preserve"> 468</w:t>
            </w:r>
          </w:p>
        </w:tc>
        <w:tc>
          <w:tcPr>
            <w:tcW w:w="1506" w:type="dxa"/>
            <w:tcBorders>
              <w:top w:val="nil"/>
              <w:left w:val="nil"/>
              <w:bottom w:val="nil"/>
              <w:right w:val="nil"/>
              <w:tl2br w:val="nil"/>
              <w:tr2bl w:val="nil"/>
            </w:tcBorders>
            <w:tcMar>
              <w:left w:w="60" w:type="dxa"/>
              <w:right w:w="60" w:type="dxa"/>
            </w:tcMar>
            <w:vAlign w:val="center"/>
          </w:tcPr>
          <w:p w14:paraId="6FF0BD15" w14:textId="77777777" w:rsidR="00807FFE" w:rsidRDefault="00023E71">
            <w:pPr>
              <w:pStyle w:val="DMETW36751BIPR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479</w:t>
            </w:r>
          </w:p>
        </w:tc>
      </w:tr>
      <w:tr w:rsidR="00807FFE" w14:paraId="055325EC" w14:textId="77777777">
        <w:trPr>
          <w:trHeight w:val="255"/>
        </w:trPr>
        <w:tc>
          <w:tcPr>
            <w:tcW w:w="6746" w:type="dxa"/>
            <w:tcBorders>
              <w:top w:val="nil"/>
              <w:left w:val="nil"/>
              <w:bottom w:val="single" w:sz="4" w:space="0" w:color="016794"/>
              <w:right w:val="nil"/>
              <w:tl2br w:val="nil"/>
              <w:tr2bl w:val="nil"/>
            </w:tcBorders>
            <w:tcMar>
              <w:left w:w="60" w:type="dxa"/>
              <w:right w:w="60" w:type="dxa"/>
            </w:tcMar>
            <w:vAlign w:val="center"/>
          </w:tcPr>
          <w:p w14:paraId="74BCF9A9" w14:textId="77777777" w:rsidR="00807FFE" w:rsidRDefault="00023E71">
            <w:pPr>
              <w:pStyle w:val="DMETW36751BIPRD"/>
              <w:rPr>
                <w:rFonts w:ascii="Verdana" w:eastAsia="Verdana" w:hAnsi="Verdana" w:cs="Verdana"/>
                <w:i/>
                <w:noProof/>
                <w:color w:val="000000"/>
                <w:sz w:val="18"/>
              </w:rPr>
            </w:pPr>
            <w:r>
              <w:rPr>
                <w:rFonts w:ascii="Verdana" w:eastAsia="Verdana" w:hAnsi="Verdana" w:cs="Verdana"/>
                <w:i/>
                <w:noProof/>
                <w:color w:val="000000"/>
                <w:sz w:val="18"/>
              </w:rPr>
              <w:t>Non-capitalised development costs</w:t>
            </w:r>
          </w:p>
        </w:tc>
        <w:tc>
          <w:tcPr>
            <w:tcW w:w="1506" w:type="dxa"/>
            <w:tcBorders>
              <w:top w:val="nil"/>
              <w:left w:val="nil"/>
              <w:bottom w:val="single" w:sz="4" w:space="0" w:color="016794"/>
              <w:right w:val="nil"/>
              <w:tl2br w:val="nil"/>
              <w:tr2bl w:val="nil"/>
            </w:tcBorders>
            <w:tcMar>
              <w:left w:w="60" w:type="dxa"/>
              <w:right w:w="60" w:type="dxa"/>
            </w:tcMar>
            <w:vAlign w:val="center"/>
          </w:tcPr>
          <w:p w14:paraId="10C2CF92" w14:textId="77777777" w:rsidR="00807FFE" w:rsidRDefault="00023E71">
            <w:pPr>
              <w:pStyle w:val="DMETW36751BIPRD"/>
              <w:jc w:val="right"/>
              <w:rPr>
                <w:rFonts w:ascii="Verdana" w:eastAsia="Verdana" w:hAnsi="Verdana" w:cs="Verdana"/>
                <w:i/>
                <w:noProof/>
                <w:color w:val="000000"/>
                <w:sz w:val="18"/>
              </w:rPr>
            </w:pPr>
            <w:r>
              <w:rPr>
                <w:rFonts w:ascii="Verdana" w:eastAsia="Verdana" w:hAnsi="Verdana" w:cs="Verdana"/>
                <w:i/>
                <w:noProof/>
                <w:color w:val="000000"/>
                <w:sz w:val="18"/>
              </w:rPr>
              <w:t xml:space="preserve"> 127</w:t>
            </w:r>
          </w:p>
        </w:tc>
        <w:tc>
          <w:tcPr>
            <w:tcW w:w="1506" w:type="dxa"/>
            <w:tcBorders>
              <w:top w:val="nil"/>
              <w:left w:val="nil"/>
              <w:bottom w:val="single" w:sz="4" w:space="0" w:color="016794"/>
              <w:right w:val="nil"/>
              <w:tl2br w:val="nil"/>
              <w:tr2bl w:val="nil"/>
            </w:tcBorders>
            <w:tcMar>
              <w:left w:w="60" w:type="dxa"/>
              <w:right w:w="60" w:type="dxa"/>
            </w:tcMar>
            <w:vAlign w:val="center"/>
          </w:tcPr>
          <w:p w14:paraId="1CA1C6C5" w14:textId="77777777" w:rsidR="00807FFE" w:rsidRDefault="00023E71">
            <w:pPr>
              <w:pStyle w:val="DMETW36751BIPR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119</w:t>
            </w:r>
          </w:p>
        </w:tc>
      </w:tr>
      <w:tr w:rsidR="00807FFE" w14:paraId="795FFD24" w14:textId="77777777">
        <w:trPr>
          <w:trHeight w:val="255"/>
        </w:trPr>
        <w:tc>
          <w:tcPr>
            <w:tcW w:w="6746" w:type="dxa"/>
            <w:tcBorders>
              <w:top w:val="single" w:sz="4" w:space="0" w:color="016794"/>
              <w:left w:val="nil"/>
              <w:bottom w:val="single" w:sz="4" w:space="0" w:color="016794"/>
              <w:right w:val="nil"/>
              <w:tl2br w:val="nil"/>
              <w:tr2bl w:val="nil"/>
            </w:tcBorders>
            <w:tcMar>
              <w:left w:w="60" w:type="dxa"/>
              <w:right w:w="60" w:type="dxa"/>
            </w:tcMar>
            <w:vAlign w:val="center"/>
          </w:tcPr>
          <w:p w14:paraId="61E2849B" w14:textId="77777777" w:rsidR="00807FFE" w:rsidRDefault="00023E71">
            <w:pPr>
              <w:pStyle w:val="DMETW36751BIPRD"/>
              <w:rPr>
                <w:rFonts w:ascii="Verdana" w:eastAsia="Verdana" w:hAnsi="Verdana" w:cs="Verdana"/>
                <w:b/>
                <w:noProof/>
                <w:color w:val="000000"/>
                <w:sz w:val="18"/>
              </w:rPr>
            </w:pPr>
            <w:r>
              <w:rPr>
                <w:rFonts w:ascii="Verdana" w:eastAsia="Verdana" w:hAnsi="Verdana" w:cs="Verdana"/>
                <w:b/>
                <w:noProof/>
                <w:color w:val="000000"/>
                <w:sz w:val="18"/>
              </w:rPr>
              <w:t>Total</w:t>
            </w:r>
          </w:p>
        </w:tc>
        <w:tc>
          <w:tcPr>
            <w:tcW w:w="1506" w:type="dxa"/>
            <w:tcBorders>
              <w:top w:val="single" w:sz="4" w:space="0" w:color="016794"/>
              <w:left w:val="nil"/>
              <w:bottom w:val="single" w:sz="4" w:space="0" w:color="016794"/>
              <w:right w:val="nil"/>
              <w:tl2br w:val="nil"/>
              <w:tr2bl w:val="nil"/>
            </w:tcBorders>
            <w:tcMar>
              <w:left w:w="60" w:type="dxa"/>
              <w:right w:w="60" w:type="dxa"/>
            </w:tcMar>
            <w:vAlign w:val="center"/>
          </w:tcPr>
          <w:p w14:paraId="4A061F26" w14:textId="77777777" w:rsidR="00807FFE" w:rsidRDefault="00023E71">
            <w:pPr>
              <w:pStyle w:val="DMETW36751BIPRD"/>
              <w:jc w:val="right"/>
              <w:rPr>
                <w:rFonts w:ascii="Verdana" w:eastAsia="Verdana" w:hAnsi="Verdana" w:cs="Verdana"/>
                <w:b/>
                <w:noProof/>
                <w:color w:val="000000"/>
                <w:sz w:val="18"/>
              </w:rPr>
            </w:pPr>
            <w:r>
              <w:rPr>
                <w:rFonts w:ascii="Verdana" w:eastAsia="Verdana" w:hAnsi="Verdana" w:cs="Verdana"/>
                <w:b/>
                <w:noProof/>
                <w:color w:val="000000"/>
                <w:sz w:val="18"/>
              </w:rPr>
              <w:t xml:space="preserve"> 594</w:t>
            </w:r>
          </w:p>
        </w:tc>
        <w:tc>
          <w:tcPr>
            <w:tcW w:w="1506" w:type="dxa"/>
            <w:tcBorders>
              <w:top w:val="single" w:sz="4" w:space="0" w:color="016794"/>
              <w:left w:val="nil"/>
              <w:bottom w:val="single" w:sz="4" w:space="0" w:color="016794"/>
              <w:right w:val="nil"/>
              <w:tl2br w:val="nil"/>
              <w:tr2bl w:val="nil"/>
            </w:tcBorders>
            <w:tcMar>
              <w:left w:w="60" w:type="dxa"/>
              <w:right w:w="60" w:type="dxa"/>
            </w:tcMar>
            <w:vAlign w:val="center"/>
          </w:tcPr>
          <w:p w14:paraId="67E5E3C5" w14:textId="77777777" w:rsidR="00807FFE" w:rsidRDefault="00023E71">
            <w:pPr>
              <w:pStyle w:val="DMETW36751BIPRD"/>
              <w:jc w:val="right"/>
              <w:rPr>
                <w:rFonts w:ascii="Verdana" w:eastAsia="Verdana" w:hAnsi="Verdana" w:cs="Verdana"/>
                <w:b/>
                <w:noProof/>
                <w:color w:val="000000"/>
                <w:sz w:val="18"/>
              </w:rPr>
            </w:pPr>
            <w:r>
              <w:rPr>
                <w:rFonts w:ascii="Verdana" w:eastAsia="Verdana" w:hAnsi="Verdana" w:cs="Verdana"/>
                <w:b/>
                <w:noProof/>
                <w:color w:val="000000"/>
                <w:sz w:val="18"/>
              </w:rPr>
              <w:t xml:space="preserve"> 598</w:t>
            </w:r>
          </w:p>
        </w:tc>
      </w:tr>
    </w:tbl>
    <w:p w14:paraId="727F4297" w14:textId="77777777" w:rsidR="00E23F66" w:rsidRDefault="00023E71" w:rsidP="00186438">
      <w:pPr>
        <w:pStyle w:val="DGTextstand-alone"/>
        <w:spacing w:before="0" w:after="0"/>
        <w:sectPr w:rsidR="00E23F66" w:rsidSect="00E23F66">
          <w:headerReference w:type="default" r:id="rId123"/>
          <w:footerReference w:type="default" r:id="rId124"/>
          <w:type w:val="continuous"/>
          <w:pgSz w:w="11906" w:h="16838"/>
          <w:pgMar w:top="1134" w:right="1134" w:bottom="1134" w:left="1134" w:header="709" w:footer="709" w:gutter="0"/>
          <w:cols w:space="708"/>
          <w:docGrid w:linePitch="360"/>
        </w:sectPr>
      </w:pPr>
      <w:r>
        <w:t xml:space="preserve"> </w:t>
      </w:r>
      <w:bookmarkEnd w:id="194"/>
    </w:p>
    <w:p w14:paraId="172A8615" w14:textId="77777777" w:rsidR="00B231CF" w:rsidRDefault="00023E71" w:rsidP="00172034">
      <w:pPr>
        <w:pStyle w:val="HEADER2NOTES"/>
        <w:numPr>
          <w:ilvl w:val="1"/>
          <w:numId w:val="15"/>
        </w:numPr>
        <w:spacing w:after="0"/>
        <w:rPr>
          <w:noProof/>
        </w:rPr>
      </w:pPr>
      <w:bookmarkStart w:id="197" w:name="_DMBM_36710"/>
      <w:r w:rsidRPr="0047726B">
        <w:rPr>
          <w:noProof/>
        </w:rPr>
        <w:t>SEGMENT REPORTING BY MAIN SPENDING AREAS</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0"/>
        <w:gridCol w:w="1134"/>
        <w:gridCol w:w="1276"/>
        <w:gridCol w:w="1134"/>
        <w:gridCol w:w="1134"/>
        <w:gridCol w:w="1134"/>
        <w:gridCol w:w="1089"/>
        <w:gridCol w:w="1462"/>
        <w:gridCol w:w="1134"/>
        <w:gridCol w:w="1334"/>
        <w:gridCol w:w="1216"/>
      </w:tblGrid>
      <w:tr w:rsidR="00807FFE" w14:paraId="2E84FB93" w14:textId="77777777">
        <w:trPr>
          <w:trHeight w:hRule="exact" w:val="227"/>
        </w:trPr>
        <w:tc>
          <w:tcPr>
            <w:tcW w:w="2470" w:type="dxa"/>
            <w:tcBorders>
              <w:top w:val="nil"/>
              <w:left w:val="nil"/>
              <w:bottom w:val="nil"/>
              <w:right w:val="nil"/>
              <w:tl2br w:val="nil"/>
              <w:tr2bl w:val="nil"/>
            </w:tcBorders>
            <w:tcMar>
              <w:left w:w="60" w:type="dxa"/>
              <w:right w:w="60" w:type="dxa"/>
            </w:tcMar>
            <w:vAlign w:val="bottom"/>
          </w:tcPr>
          <w:p w14:paraId="55668468" w14:textId="77777777" w:rsidR="00807FFE" w:rsidRDefault="00807FFE">
            <w:pPr>
              <w:pStyle w:val="DMETW36752BIPSEGREP"/>
              <w:rPr>
                <w:rFonts w:ascii="Arial" w:eastAsia="Arial" w:hAnsi="Arial" w:cs="Arial"/>
                <w:noProof/>
                <w:color w:val="000000"/>
                <w:lang w:bidi="en-GB"/>
              </w:rPr>
            </w:pPr>
            <w:bookmarkStart w:id="198" w:name="DOC_TBL00077_1_1"/>
            <w:bookmarkEnd w:id="198"/>
          </w:p>
        </w:tc>
        <w:tc>
          <w:tcPr>
            <w:tcW w:w="1134" w:type="dxa"/>
            <w:tcBorders>
              <w:top w:val="nil"/>
              <w:left w:val="nil"/>
              <w:bottom w:val="nil"/>
              <w:right w:val="nil"/>
              <w:tl2br w:val="nil"/>
              <w:tr2bl w:val="nil"/>
            </w:tcBorders>
            <w:tcMar>
              <w:left w:w="60" w:type="dxa"/>
              <w:right w:w="60" w:type="dxa"/>
            </w:tcMar>
            <w:vAlign w:val="bottom"/>
          </w:tcPr>
          <w:p w14:paraId="58F26D23" w14:textId="77777777" w:rsidR="00807FFE" w:rsidRDefault="00807FFE">
            <w:pPr>
              <w:pStyle w:val="DMETW36752BIPSEGREP"/>
              <w:rPr>
                <w:rFonts w:ascii="Arial" w:eastAsia="Arial" w:hAnsi="Arial" w:cs="Arial"/>
                <w:noProof/>
                <w:color w:val="000000"/>
              </w:rPr>
            </w:pPr>
          </w:p>
        </w:tc>
        <w:tc>
          <w:tcPr>
            <w:tcW w:w="1276" w:type="dxa"/>
            <w:tcBorders>
              <w:top w:val="nil"/>
              <w:left w:val="nil"/>
              <w:bottom w:val="nil"/>
              <w:right w:val="nil"/>
              <w:tl2br w:val="nil"/>
              <w:tr2bl w:val="nil"/>
            </w:tcBorders>
            <w:tcMar>
              <w:left w:w="60" w:type="dxa"/>
              <w:right w:w="60" w:type="dxa"/>
            </w:tcMar>
            <w:vAlign w:val="bottom"/>
          </w:tcPr>
          <w:p w14:paraId="6751AC02" w14:textId="77777777" w:rsidR="00807FFE" w:rsidRDefault="00807FFE">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14:paraId="4340AFD4" w14:textId="77777777" w:rsidR="00807FFE" w:rsidRDefault="00807FFE">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14:paraId="23A62F76" w14:textId="77777777" w:rsidR="00807FFE" w:rsidRDefault="00807FFE">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14:paraId="3977745F" w14:textId="77777777" w:rsidR="00807FFE" w:rsidRDefault="00807FFE">
            <w:pPr>
              <w:pStyle w:val="DMETW36752BIPSEGREP"/>
              <w:rPr>
                <w:rFonts w:ascii="Arial" w:eastAsia="Arial" w:hAnsi="Arial" w:cs="Arial"/>
                <w:noProof/>
                <w:color w:val="000000"/>
              </w:rPr>
            </w:pPr>
          </w:p>
        </w:tc>
        <w:tc>
          <w:tcPr>
            <w:tcW w:w="1089" w:type="dxa"/>
            <w:tcBorders>
              <w:top w:val="nil"/>
              <w:left w:val="nil"/>
              <w:bottom w:val="nil"/>
              <w:right w:val="nil"/>
              <w:tl2br w:val="nil"/>
              <w:tr2bl w:val="nil"/>
            </w:tcBorders>
            <w:tcMar>
              <w:left w:w="60" w:type="dxa"/>
              <w:right w:w="60" w:type="dxa"/>
            </w:tcMar>
            <w:vAlign w:val="bottom"/>
          </w:tcPr>
          <w:p w14:paraId="36B82453" w14:textId="77777777" w:rsidR="00807FFE" w:rsidRDefault="00807FFE">
            <w:pPr>
              <w:pStyle w:val="DMETW36752BIPSEGREP"/>
              <w:rPr>
                <w:rFonts w:ascii="Arial" w:eastAsia="Arial" w:hAnsi="Arial" w:cs="Arial"/>
                <w:noProof/>
                <w:color w:val="000000"/>
              </w:rPr>
            </w:pPr>
          </w:p>
        </w:tc>
        <w:tc>
          <w:tcPr>
            <w:tcW w:w="1462" w:type="dxa"/>
            <w:tcBorders>
              <w:top w:val="nil"/>
              <w:left w:val="nil"/>
              <w:bottom w:val="nil"/>
              <w:right w:val="nil"/>
              <w:tl2br w:val="nil"/>
              <w:tr2bl w:val="nil"/>
            </w:tcBorders>
            <w:tcMar>
              <w:left w:w="60" w:type="dxa"/>
              <w:right w:w="60" w:type="dxa"/>
            </w:tcMar>
            <w:vAlign w:val="bottom"/>
          </w:tcPr>
          <w:p w14:paraId="51564663" w14:textId="77777777" w:rsidR="00807FFE" w:rsidRDefault="00807FFE">
            <w:pPr>
              <w:pStyle w:val="DMETW36752BIPSEGREP"/>
              <w:rPr>
                <w:rFonts w:cs="Calibri"/>
                <w:noProof/>
                <w:color w:val="000000"/>
              </w:rPr>
            </w:pPr>
          </w:p>
        </w:tc>
        <w:tc>
          <w:tcPr>
            <w:tcW w:w="1134" w:type="dxa"/>
            <w:tcBorders>
              <w:top w:val="nil"/>
              <w:left w:val="nil"/>
              <w:bottom w:val="nil"/>
              <w:right w:val="nil"/>
              <w:tl2br w:val="nil"/>
              <w:tr2bl w:val="nil"/>
            </w:tcBorders>
            <w:tcMar>
              <w:left w:w="60" w:type="dxa"/>
              <w:right w:w="60" w:type="dxa"/>
            </w:tcMar>
            <w:vAlign w:val="bottom"/>
          </w:tcPr>
          <w:p w14:paraId="75D733AE" w14:textId="77777777" w:rsidR="00807FFE" w:rsidRDefault="00807FFE">
            <w:pPr>
              <w:pStyle w:val="DMETW36752BIPSEGREP"/>
              <w:rPr>
                <w:rFonts w:cs="Calibri"/>
                <w:noProof/>
                <w:color w:val="000000"/>
              </w:rPr>
            </w:pPr>
          </w:p>
        </w:tc>
        <w:tc>
          <w:tcPr>
            <w:tcW w:w="1334" w:type="dxa"/>
            <w:tcBorders>
              <w:top w:val="nil"/>
              <w:left w:val="nil"/>
              <w:bottom w:val="nil"/>
              <w:right w:val="nil"/>
              <w:tl2br w:val="nil"/>
              <w:tr2bl w:val="nil"/>
            </w:tcBorders>
            <w:tcMar>
              <w:left w:w="60" w:type="dxa"/>
              <w:right w:w="60" w:type="dxa"/>
            </w:tcMar>
            <w:vAlign w:val="bottom"/>
          </w:tcPr>
          <w:p w14:paraId="5BE693BE" w14:textId="77777777" w:rsidR="00807FFE" w:rsidRDefault="00807FFE">
            <w:pPr>
              <w:pStyle w:val="DMETW36752BIPSEGREP"/>
              <w:jc w:val="right"/>
              <w:rPr>
                <w:rFonts w:ascii="Verdana" w:eastAsia="Verdana" w:hAnsi="Verdana" w:cs="Verdana"/>
                <w:i/>
                <w:noProof/>
                <w:color w:val="000000"/>
                <w:sz w:val="16"/>
              </w:rPr>
            </w:pPr>
          </w:p>
        </w:tc>
        <w:tc>
          <w:tcPr>
            <w:tcW w:w="1216" w:type="dxa"/>
            <w:tcBorders>
              <w:top w:val="nil"/>
              <w:left w:val="nil"/>
              <w:bottom w:val="nil"/>
              <w:right w:val="nil"/>
              <w:tl2br w:val="nil"/>
              <w:tr2bl w:val="nil"/>
            </w:tcBorders>
            <w:tcMar>
              <w:left w:w="60" w:type="dxa"/>
              <w:right w:w="60" w:type="dxa"/>
            </w:tcMar>
            <w:vAlign w:val="bottom"/>
          </w:tcPr>
          <w:p w14:paraId="37BED1D7"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F11156E" w14:textId="77777777">
        <w:trPr>
          <w:trHeight w:hRule="exact" w:val="1051"/>
        </w:trPr>
        <w:tc>
          <w:tcPr>
            <w:tcW w:w="2470" w:type="dxa"/>
            <w:tcBorders>
              <w:top w:val="nil"/>
              <w:left w:val="nil"/>
              <w:bottom w:val="nil"/>
              <w:right w:val="nil"/>
              <w:tl2br w:val="nil"/>
              <w:tr2bl w:val="nil"/>
            </w:tcBorders>
            <w:shd w:val="solid" w:color="016794" w:fill="FFFFFF"/>
            <w:tcMar>
              <w:left w:w="60" w:type="dxa"/>
              <w:right w:w="60" w:type="dxa"/>
            </w:tcMar>
            <w:vAlign w:val="center"/>
          </w:tcPr>
          <w:p w14:paraId="3EB40168" w14:textId="77777777" w:rsidR="00807FFE" w:rsidRDefault="00807FFE">
            <w:pPr>
              <w:pStyle w:val="DMETW36752BIPSEGREP"/>
              <w:jc w:val="center"/>
              <w:rPr>
                <w:rFonts w:ascii="Verdana" w:eastAsia="Verdana" w:hAnsi="Verdana" w:cs="Verdana"/>
                <w:noProof/>
                <w:color w:val="FFFFFF"/>
                <w:sz w:val="16"/>
              </w:rPr>
            </w:pP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1AA6C5CE"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Agricultural Funds</w:t>
            </w:r>
          </w:p>
        </w:tc>
        <w:tc>
          <w:tcPr>
            <w:tcW w:w="1276" w:type="dxa"/>
            <w:tcBorders>
              <w:top w:val="nil"/>
              <w:left w:val="nil"/>
              <w:bottom w:val="nil"/>
              <w:right w:val="nil"/>
              <w:tl2br w:val="nil"/>
              <w:tr2bl w:val="nil"/>
            </w:tcBorders>
            <w:shd w:val="solid" w:color="016794" w:fill="FFFFFF"/>
            <w:tcMar>
              <w:left w:w="60" w:type="dxa"/>
              <w:right w:w="60" w:type="dxa"/>
            </w:tcMar>
            <w:vAlign w:val="center"/>
          </w:tcPr>
          <w:p w14:paraId="0AFF2D35"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Cohesion and  other Structural Funds</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7A75F4A9"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RRF and financial activities</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1A37F042"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Research &amp; Innovation</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6F08C700"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External action</w:t>
            </w:r>
          </w:p>
        </w:tc>
        <w:tc>
          <w:tcPr>
            <w:tcW w:w="1089" w:type="dxa"/>
            <w:tcBorders>
              <w:top w:val="nil"/>
              <w:left w:val="nil"/>
              <w:bottom w:val="nil"/>
              <w:right w:val="nil"/>
              <w:tl2br w:val="nil"/>
              <w:tr2bl w:val="nil"/>
            </w:tcBorders>
            <w:shd w:val="solid" w:color="016794" w:fill="FFFFFF"/>
            <w:tcMar>
              <w:left w:w="60" w:type="dxa"/>
              <w:right w:w="60" w:type="dxa"/>
            </w:tcMar>
            <w:vAlign w:val="center"/>
          </w:tcPr>
          <w:p w14:paraId="3EC73F97"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Green Transition and Public Health</w:t>
            </w:r>
          </w:p>
        </w:tc>
        <w:tc>
          <w:tcPr>
            <w:tcW w:w="1462" w:type="dxa"/>
            <w:tcBorders>
              <w:top w:val="nil"/>
              <w:left w:val="nil"/>
              <w:bottom w:val="nil"/>
              <w:right w:val="nil"/>
              <w:tl2br w:val="nil"/>
              <w:tr2bl w:val="nil"/>
            </w:tcBorders>
            <w:shd w:val="solid" w:color="016794" w:fill="FFFFFF"/>
            <w:tcMar>
              <w:left w:w="60" w:type="dxa"/>
              <w:right w:w="60" w:type="dxa"/>
            </w:tcMar>
            <w:vAlign w:val="center"/>
          </w:tcPr>
          <w:p w14:paraId="7CDF4F9B"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Other policies *</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1DFDDFA7"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Total EC</w:t>
            </w:r>
          </w:p>
        </w:tc>
        <w:tc>
          <w:tcPr>
            <w:tcW w:w="1334" w:type="dxa"/>
            <w:tcBorders>
              <w:top w:val="nil"/>
              <w:left w:val="nil"/>
              <w:bottom w:val="nil"/>
              <w:right w:val="nil"/>
              <w:tl2br w:val="nil"/>
              <w:tr2bl w:val="nil"/>
            </w:tcBorders>
            <w:shd w:val="solid" w:color="016794" w:fill="FFFFFF"/>
            <w:tcMar>
              <w:left w:w="60" w:type="dxa"/>
              <w:right w:w="60" w:type="dxa"/>
            </w:tcMar>
            <w:vAlign w:val="center"/>
          </w:tcPr>
          <w:p w14:paraId="2F79C457" w14:textId="77777777" w:rsidR="00807FFE" w:rsidRDefault="00023E71">
            <w:pPr>
              <w:pStyle w:val="DMETW36752BIPSEGREP"/>
              <w:jc w:val="center"/>
              <w:rPr>
                <w:rFonts w:ascii="Verdana" w:eastAsia="Verdana" w:hAnsi="Verdana" w:cs="Verdana"/>
                <w:noProof/>
                <w:color w:val="FFFFFF"/>
                <w:sz w:val="16"/>
              </w:rPr>
            </w:pPr>
            <w:r>
              <w:rPr>
                <w:rFonts w:ascii="Verdana" w:eastAsia="Verdana" w:hAnsi="Verdana" w:cs="Verdana"/>
                <w:noProof/>
                <w:color w:val="FFFFFF"/>
                <w:sz w:val="16"/>
              </w:rPr>
              <w:t>Other EU Institutions and Agencies</w:t>
            </w:r>
          </w:p>
        </w:tc>
        <w:tc>
          <w:tcPr>
            <w:tcW w:w="1216" w:type="dxa"/>
            <w:tcBorders>
              <w:top w:val="nil"/>
              <w:left w:val="nil"/>
              <w:bottom w:val="nil"/>
              <w:right w:val="nil"/>
              <w:tl2br w:val="nil"/>
              <w:tr2bl w:val="nil"/>
            </w:tcBorders>
            <w:shd w:val="solid" w:color="016794" w:fill="FFFFFF"/>
            <w:tcMar>
              <w:left w:w="60" w:type="dxa"/>
              <w:right w:w="60" w:type="dxa"/>
            </w:tcMar>
            <w:vAlign w:val="center"/>
          </w:tcPr>
          <w:p w14:paraId="6D6DF9B2" w14:textId="77777777" w:rsidR="00807FFE" w:rsidRDefault="00023E71">
            <w:pPr>
              <w:pStyle w:val="DMETW36752BIPSEGREP"/>
              <w:jc w:val="center"/>
              <w:rPr>
                <w:rFonts w:ascii="Verdana" w:eastAsia="Verdana" w:hAnsi="Verdana" w:cs="Verdana"/>
                <w:noProof/>
                <w:color w:val="FFFFFF"/>
                <w:sz w:val="16"/>
                <w:lang w:bidi="en-GB"/>
              </w:rPr>
            </w:pPr>
            <w:r>
              <w:rPr>
                <w:rFonts w:ascii="Verdana" w:eastAsia="Verdana" w:hAnsi="Verdana" w:cs="Verdana"/>
                <w:noProof/>
                <w:color w:val="FFFFFF"/>
                <w:sz w:val="16"/>
              </w:rPr>
              <w:t>Total EU</w:t>
            </w:r>
          </w:p>
        </w:tc>
      </w:tr>
      <w:tr w:rsidR="00807FFE" w14:paraId="001C510C"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3D6FE8DD"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GNI resources</w:t>
            </w:r>
          </w:p>
        </w:tc>
        <w:tc>
          <w:tcPr>
            <w:tcW w:w="1134" w:type="dxa"/>
            <w:tcBorders>
              <w:top w:val="nil"/>
              <w:left w:val="nil"/>
              <w:bottom w:val="nil"/>
              <w:right w:val="nil"/>
              <w:tl2br w:val="nil"/>
              <w:tr2bl w:val="nil"/>
            </w:tcBorders>
            <w:tcMar>
              <w:left w:w="60" w:type="dxa"/>
              <w:right w:w="60" w:type="dxa"/>
            </w:tcMar>
            <w:vAlign w:val="center"/>
          </w:tcPr>
          <w:p w14:paraId="0945403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40BCBD2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3B1EFE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7C4CCC6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94B603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4BB6158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23650B8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106 342</w:t>
            </w:r>
          </w:p>
        </w:tc>
        <w:tc>
          <w:tcPr>
            <w:tcW w:w="1134" w:type="dxa"/>
            <w:tcBorders>
              <w:top w:val="nil"/>
              <w:left w:val="nil"/>
              <w:bottom w:val="nil"/>
              <w:right w:val="nil"/>
              <w:tl2br w:val="nil"/>
              <w:tr2bl w:val="nil"/>
            </w:tcBorders>
            <w:tcMar>
              <w:left w:w="60" w:type="dxa"/>
              <w:right w:w="60" w:type="dxa"/>
            </w:tcMar>
            <w:vAlign w:val="center"/>
          </w:tcPr>
          <w:p w14:paraId="7677FCF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106 342</w:t>
            </w:r>
          </w:p>
        </w:tc>
        <w:tc>
          <w:tcPr>
            <w:tcW w:w="1334" w:type="dxa"/>
            <w:tcBorders>
              <w:top w:val="nil"/>
              <w:left w:val="nil"/>
              <w:bottom w:val="nil"/>
              <w:right w:val="nil"/>
              <w:tl2br w:val="nil"/>
              <w:tr2bl w:val="nil"/>
            </w:tcBorders>
            <w:tcMar>
              <w:left w:w="60" w:type="dxa"/>
              <w:right w:w="60" w:type="dxa"/>
            </w:tcMar>
            <w:vAlign w:val="center"/>
          </w:tcPr>
          <w:p w14:paraId="742FFE58"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703D70C6"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106 342</w:t>
            </w:r>
          </w:p>
        </w:tc>
      </w:tr>
      <w:tr w:rsidR="00807FFE" w14:paraId="6DEECF94"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595DE93D"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Traditional own resources</w:t>
            </w:r>
          </w:p>
        </w:tc>
        <w:tc>
          <w:tcPr>
            <w:tcW w:w="1134" w:type="dxa"/>
            <w:tcBorders>
              <w:top w:val="nil"/>
              <w:left w:val="nil"/>
              <w:bottom w:val="nil"/>
              <w:right w:val="nil"/>
              <w:tl2br w:val="nil"/>
              <w:tr2bl w:val="nil"/>
            </w:tcBorders>
            <w:tcMar>
              <w:left w:w="60" w:type="dxa"/>
              <w:right w:w="60" w:type="dxa"/>
            </w:tcMar>
            <w:vAlign w:val="center"/>
          </w:tcPr>
          <w:p w14:paraId="02C9A5A1"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0CE3B28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1644E93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6CB3E3B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4C3316D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5F0113C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4761481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23 436</w:t>
            </w:r>
          </w:p>
        </w:tc>
        <w:tc>
          <w:tcPr>
            <w:tcW w:w="1134" w:type="dxa"/>
            <w:tcBorders>
              <w:top w:val="nil"/>
              <w:left w:val="nil"/>
              <w:bottom w:val="nil"/>
              <w:right w:val="nil"/>
              <w:tl2br w:val="nil"/>
              <w:tr2bl w:val="nil"/>
            </w:tcBorders>
            <w:tcMar>
              <w:left w:w="60" w:type="dxa"/>
              <w:right w:w="60" w:type="dxa"/>
            </w:tcMar>
            <w:vAlign w:val="center"/>
          </w:tcPr>
          <w:p w14:paraId="7A1738B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23 436</w:t>
            </w:r>
          </w:p>
        </w:tc>
        <w:tc>
          <w:tcPr>
            <w:tcW w:w="1334" w:type="dxa"/>
            <w:tcBorders>
              <w:top w:val="nil"/>
              <w:left w:val="nil"/>
              <w:bottom w:val="nil"/>
              <w:right w:val="nil"/>
              <w:tl2br w:val="nil"/>
              <w:tr2bl w:val="nil"/>
            </w:tcBorders>
            <w:tcMar>
              <w:left w:w="60" w:type="dxa"/>
              <w:right w:w="60" w:type="dxa"/>
            </w:tcMar>
            <w:vAlign w:val="center"/>
          </w:tcPr>
          <w:p w14:paraId="67E71A8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27F144F2"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23 436</w:t>
            </w:r>
          </w:p>
        </w:tc>
      </w:tr>
      <w:tr w:rsidR="00807FFE" w14:paraId="4D1740A1"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7D9E4E88"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VAT</w:t>
            </w:r>
          </w:p>
        </w:tc>
        <w:tc>
          <w:tcPr>
            <w:tcW w:w="1134" w:type="dxa"/>
            <w:tcBorders>
              <w:top w:val="nil"/>
              <w:left w:val="nil"/>
              <w:bottom w:val="nil"/>
              <w:right w:val="nil"/>
              <w:tl2br w:val="nil"/>
              <w:tr2bl w:val="nil"/>
            </w:tcBorders>
            <w:tcMar>
              <w:left w:w="60" w:type="dxa"/>
              <w:right w:w="60" w:type="dxa"/>
            </w:tcMar>
            <w:vAlign w:val="center"/>
          </w:tcPr>
          <w:p w14:paraId="3D37BBA8"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1E26E67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5563185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55A9067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506AB72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290274B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5E4581BA"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25 728</w:t>
            </w:r>
          </w:p>
        </w:tc>
        <w:tc>
          <w:tcPr>
            <w:tcW w:w="1134" w:type="dxa"/>
            <w:tcBorders>
              <w:top w:val="nil"/>
              <w:left w:val="nil"/>
              <w:bottom w:val="nil"/>
              <w:right w:val="nil"/>
              <w:tl2br w:val="nil"/>
              <w:tr2bl w:val="nil"/>
            </w:tcBorders>
            <w:tcMar>
              <w:left w:w="60" w:type="dxa"/>
              <w:right w:w="60" w:type="dxa"/>
            </w:tcMar>
            <w:vAlign w:val="center"/>
          </w:tcPr>
          <w:p w14:paraId="2B8E9B3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25 728</w:t>
            </w:r>
          </w:p>
        </w:tc>
        <w:tc>
          <w:tcPr>
            <w:tcW w:w="1334" w:type="dxa"/>
            <w:tcBorders>
              <w:top w:val="nil"/>
              <w:left w:val="nil"/>
              <w:bottom w:val="nil"/>
              <w:right w:val="nil"/>
              <w:tl2br w:val="nil"/>
              <w:tr2bl w:val="nil"/>
            </w:tcBorders>
            <w:tcMar>
              <w:left w:w="60" w:type="dxa"/>
              <w:right w:w="60" w:type="dxa"/>
            </w:tcMar>
            <w:vAlign w:val="center"/>
          </w:tcPr>
          <w:p w14:paraId="18E5038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24C5A352"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25 728</w:t>
            </w:r>
          </w:p>
        </w:tc>
      </w:tr>
      <w:tr w:rsidR="00807FFE" w14:paraId="239ADA27"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1017310A"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Plastics own resources</w:t>
            </w:r>
          </w:p>
        </w:tc>
        <w:tc>
          <w:tcPr>
            <w:tcW w:w="1134" w:type="dxa"/>
            <w:tcBorders>
              <w:top w:val="nil"/>
              <w:left w:val="nil"/>
              <w:bottom w:val="nil"/>
              <w:right w:val="nil"/>
              <w:tl2br w:val="nil"/>
              <w:tr2bl w:val="nil"/>
            </w:tcBorders>
            <w:tcMar>
              <w:left w:w="60" w:type="dxa"/>
              <w:right w:w="60" w:type="dxa"/>
            </w:tcMar>
            <w:vAlign w:val="center"/>
          </w:tcPr>
          <w:p w14:paraId="64C10A3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5CB2126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3678261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3A5A678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39423C5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3D12E74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19401FD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7 524</w:t>
            </w:r>
          </w:p>
        </w:tc>
        <w:tc>
          <w:tcPr>
            <w:tcW w:w="1134" w:type="dxa"/>
            <w:tcBorders>
              <w:top w:val="nil"/>
              <w:left w:val="nil"/>
              <w:bottom w:val="nil"/>
              <w:right w:val="nil"/>
              <w:tl2br w:val="nil"/>
              <w:tr2bl w:val="nil"/>
            </w:tcBorders>
            <w:tcMar>
              <w:left w:w="60" w:type="dxa"/>
              <w:right w:w="60" w:type="dxa"/>
            </w:tcMar>
            <w:vAlign w:val="center"/>
          </w:tcPr>
          <w:p w14:paraId="4C12045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7 524</w:t>
            </w:r>
          </w:p>
        </w:tc>
        <w:tc>
          <w:tcPr>
            <w:tcW w:w="1334" w:type="dxa"/>
            <w:tcBorders>
              <w:top w:val="nil"/>
              <w:left w:val="nil"/>
              <w:bottom w:val="nil"/>
              <w:right w:val="nil"/>
              <w:tl2br w:val="nil"/>
              <w:tr2bl w:val="nil"/>
            </w:tcBorders>
            <w:tcMar>
              <w:left w:w="60" w:type="dxa"/>
              <w:right w:w="60" w:type="dxa"/>
            </w:tcMar>
            <w:vAlign w:val="center"/>
          </w:tcPr>
          <w:p w14:paraId="6A3CA4B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3388D687"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7 524</w:t>
            </w:r>
          </w:p>
        </w:tc>
      </w:tr>
      <w:tr w:rsidR="00807FFE" w14:paraId="0FEEFD59"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06AFCD3C"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Fines</w:t>
            </w:r>
          </w:p>
        </w:tc>
        <w:tc>
          <w:tcPr>
            <w:tcW w:w="1134" w:type="dxa"/>
            <w:tcBorders>
              <w:top w:val="nil"/>
              <w:left w:val="nil"/>
              <w:bottom w:val="nil"/>
              <w:right w:val="nil"/>
              <w:tl2br w:val="nil"/>
              <w:tr2bl w:val="nil"/>
            </w:tcBorders>
            <w:tcMar>
              <w:left w:w="60" w:type="dxa"/>
              <w:right w:w="60" w:type="dxa"/>
            </w:tcMar>
            <w:vAlign w:val="center"/>
          </w:tcPr>
          <w:p w14:paraId="216119B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25244DA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7CC501F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CEA8228"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358</w:t>
            </w:r>
          </w:p>
        </w:tc>
        <w:tc>
          <w:tcPr>
            <w:tcW w:w="1134" w:type="dxa"/>
            <w:tcBorders>
              <w:top w:val="nil"/>
              <w:left w:val="nil"/>
              <w:bottom w:val="nil"/>
              <w:right w:val="nil"/>
              <w:tl2br w:val="nil"/>
              <w:tr2bl w:val="nil"/>
            </w:tcBorders>
            <w:tcMar>
              <w:left w:w="60" w:type="dxa"/>
              <w:right w:w="60" w:type="dxa"/>
            </w:tcMar>
            <w:vAlign w:val="center"/>
          </w:tcPr>
          <w:p w14:paraId="3B900F6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20AA9D5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101</w:t>
            </w:r>
          </w:p>
        </w:tc>
        <w:tc>
          <w:tcPr>
            <w:tcW w:w="1462" w:type="dxa"/>
            <w:tcBorders>
              <w:top w:val="nil"/>
              <w:left w:val="nil"/>
              <w:bottom w:val="nil"/>
              <w:right w:val="nil"/>
              <w:tl2br w:val="nil"/>
              <w:tr2bl w:val="nil"/>
            </w:tcBorders>
            <w:tcMar>
              <w:left w:w="60" w:type="dxa"/>
              <w:right w:w="60" w:type="dxa"/>
            </w:tcMar>
            <w:vAlign w:val="center"/>
          </w:tcPr>
          <w:p w14:paraId="4C6390D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4 912</w:t>
            </w:r>
          </w:p>
        </w:tc>
        <w:tc>
          <w:tcPr>
            <w:tcW w:w="1134" w:type="dxa"/>
            <w:tcBorders>
              <w:top w:val="nil"/>
              <w:left w:val="nil"/>
              <w:bottom w:val="nil"/>
              <w:right w:val="nil"/>
              <w:tl2br w:val="nil"/>
              <w:tr2bl w:val="nil"/>
            </w:tcBorders>
            <w:tcMar>
              <w:left w:w="60" w:type="dxa"/>
              <w:right w:w="60" w:type="dxa"/>
            </w:tcMar>
            <w:vAlign w:val="center"/>
          </w:tcPr>
          <w:p w14:paraId="22B8475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5 370</w:t>
            </w:r>
          </w:p>
        </w:tc>
        <w:tc>
          <w:tcPr>
            <w:tcW w:w="1334" w:type="dxa"/>
            <w:tcBorders>
              <w:top w:val="nil"/>
              <w:left w:val="nil"/>
              <w:bottom w:val="nil"/>
              <w:right w:val="nil"/>
              <w:tl2br w:val="nil"/>
              <w:tr2bl w:val="nil"/>
            </w:tcBorders>
            <w:tcMar>
              <w:left w:w="60" w:type="dxa"/>
              <w:right w:w="60" w:type="dxa"/>
            </w:tcMar>
            <w:vAlign w:val="center"/>
          </w:tcPr>
          <w:p w14:paraId="1295E08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1AD246B3"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5 370</w:t>
            </w:r>
          </w:p>
        </w:tc>
      </w:tr>
      <w:tr w:rsidR="00807FFE" w14:paraId="0EEBE395"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5E79FB46"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Recovery of expenses</w:t>
            </w:r>
          </w:p>
        </w:tc>
        <w:tc>
          <w:tcPr>
            <w:tcW w:w="1134" w:type="dxa"/>
            <w:tcBorders>
              <w:top w:val="nil"/>
              <w:left w:val="nil"/>
              <w:bottom w:val="nil"/>
              <w:right w:val="nil"/>
              <w:tl2br w:val="nil"/>
              <w:tr2bl w:val="nil"/>
            </w:tcBorders>
            <w:tcMar>
              <w:left w:w="60" w:type="dxa"/>
              <w:right w:w="60" w:type="dxa"/>
            </w:tcMar>
            <w:vAlign w:val="center"/>
          </w:tcPr>
          <w:p w14:paraId="08A9924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948</w:t>
            </w:r>
          </w:p>
        </w:tc>
        <w:tc>
          <w:tcPr>
            <w:tcW w:w="1276" w:type="dxa"/>
            <w:tcBorders>
              <w:top w:val="nil"/>
              <w:left w:val="nil"/>
              <w:bottom w:val="nil"/>
              <w:right w:val="nil"/>
              <w:tl2br w:val="nil"/>
              <w:tr2bl w:val="nil"/>
            </w:tcBorders>
            <w:tcMar>
              <w:left w:w="60" w:type="dxa"/>
              <w:right w:w="60" w:type="dxa"/>
            </w:tcMar>
            <w:vAlign w:val="center"/>
          </w:tcPr>
          <w:p w14:paraId="6C5CC20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348</w:t>
            </w:r>
          </w:p>
        </w:tc>
        <w:tc>
          <w:tcPr>
            <w:tcW w:w="1134" w:type="dxa"/>
            <w:tcBorders>
              <w:top w:val="nil"/>
              <w:left w:val="nil"/>
              <w:bottom w:val="nil"/>
              <w:right w:val="nil"/>
              <w:tl2br w:val="nil"/>
              <w:tr2bl w:val="nil"/>
            </w:tcBorders>
            <w:tcMar>
              <w:left w:w="60" w:type="dxa"/>
              <w:right w:w="60" w:type="dxa"/>
            </w:tcMar>
            <w:vAlign w:val="center"/>
          </w:tcPr>
          <w:p w14:paraId="3D8D188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68F3E37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21</w:t>
            </w:r>
          </w:p>
        </w:tc>
        <w:tc>
          <w:tcPr>
            <w:tcW w:w="1134" w:type="dxa"/>
            <w:tcBorders>
              <w:top w:val="nil"/>
              <w:left w:val="nil"/>
              <w:bottom w:val="nil"/>
              <w:right w:val="nil"/>
              <w:tl2br w:val="nil"/>
              <w:tr2bl w:val="nil"/>
            </w:tcBorders>
            <w:tcMar>
              <w:left w:w="60" w:type="dxa"/>
              <w:right w:w="60" w:type="dxa"/>
            </w:tcMar>
            <w:vAlign w:val="center"/>
          </w:tcPr>
          <w:p w14:paraId="6F6A2AF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12</w:t>
            </w:r>
          </w:p>
        </w:tc>
        <w:tc>
          <w:tcPr>
            <w:tcW w:w="1089" w:type="dxa"/>
            <w:tcBorders>
              <w:top w:val="nil"/>
              <w:left w:val="nil"/>
              <w:bottom w:val="nil"/>
              <w:right w:val="nil"/>
              <w:tl2br w:val="nil"/>
              <w:tr2bl w:val="nil"/>
            </w:tcBorders>
            <w:tcMar>
              <w:left w:w="60" w:type="dxa"/>
              <w:right w:w="60" w:type="dxa"/>
            </w:tcMar>
            <w:vAlign w:val="center"/>
          </w:tcPr>
          <w:p w14:paraId="56FE29C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462" w:type="dxa"/>
            <w:tcBorders>
              <w:top w:val="nil"/>
              <w:left w:val="nil"/>
              <w:bottom w:val="nil"/>
              <w:right w:val="nil"/>
              <w:tl2br w:val="nil"/>
              <w:tr2bl w:val="nil"/>
            </w:tcBorders>
            <w:tcMar>
              <w:left w:w="60" w:type="dxa"/>
              <w:right w:w="60" w:type="dxa"/>
            </w:tcMar>
            <w:vAlign w:val="center"/>
          </w:tcPr>
          <w:p w14:paraId="6F969DF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37</w:t>
            </w:r>
          </w:p>
        </w:tc>
        <w:tc>
          <w:tcPr>
            <w:tcW w:w="1134" w:type="dxa"/>
            <w:tcBorders>
              <w:top w:val="nil"/>
              <w:left w:val="nil"/>
              <w:bottom w:val="nil"/>
              <w:right w:val="nil"/>
              <w:tl2br w:val="nil"/>
              <w:tr2bl w:val="nil"/>
            </w:tcBorders>
            <w:tcMar>
              <w:left w:w="60" w:type="dxa"/>
              <w:right w:w="60" w:type="dxa"/>
            </w:tcMar>
            <w:vAlign w:val="center"/>
          </w:tcPr>
          <w:p w14:paraId="0037470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1 365</w:t>
            </w:r>
          </w:p>
        </w:tc>
        <w:tc>
          <w:tcPr>
            <w:tcW w:w="1334" w:type="dxa"/>
            <w:tcBorders>
              <w:top w:val="nil"/>
              <w:left w:val="nil"/>
              <w:bottom w:val="nil"/>
              <w:right w:val="nil"/>
              <w:tl2br w:val="nil"/>
              <w:tr2bl w:val="nil"/>
            </w:tcBorders>
            <w:tcMar>
              <w:left w:w="60" w:type="dxa"/>
              <w:right w:w="60" w:type="dxa"/>
            </w:tcMar>
            <w:vAlign w:val="center"/>
          </w:tcPr>
          <w:p w14:paraId="63ABBA6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10</w:t>
            </w:r>
          </w:p>
        </w:tc>
        <w:tc>
          <w:tcPr>
            <w:tcW w:w="1216" w:type="dxa"/>
            <w:tcBorders>
              <w:top w:val="nil"/>
              <w:left w:val="nil"/>
              <w:bottom w:val="nil"/>
              <w:right w:val="nil"/>
              <w:tl2br w:val="nil"/>
              <w:tr2bl w:val="nil"/>
            </w:tcBorders>
            <w:tcMar>
              <w:left w:w="60" w:type="dxa"/>
              <w:right w:w="60" w:type="dxa"/>
            </w:tcMar>
            <w:vAlign w:val="center"/>
          </w:tcPr>
          <w:p w14:paraId="4E1B7888"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1 376</w:t>
            </w:r>
          </w:p>
        </w:tc>
      </w:tr>
      <w:tr w:rsidR="00807FFE" w14:paraId="693BC332"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0A868D5E"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UK Withdrawal Agreement</w:t>
            </w:r>
          </w:p>
        </w:tc>
        <w:tc>
          <w:tcPr>
            <w:tcW w:w="1134" w:type="dxa"/>
            <w:tcBorders>
              <w:top w:val="nil"/>
              <w:left w:val="nil"/>
              <w:bottom w:val="nil"/>
              <w:right w:val="nil"/>
              <w:tl2br w:val="nil"/>
              <w:tr2bl w:val="nil"/>
            </w:tcBorders>
            <w:tcMar>
              <w:left w:w="60" w:type="dxa"/>
              <w:right w:w="60" w:type="dxa"/>
            </w:tcMar>
            <w:vAlign w:val="center"/>
          </w:tcPr>
          <w:p w14:paraId="66EA188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3DBAE00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4531849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17B7C3F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7FE47B11"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7B5233C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1B9A772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0FD8C1E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34" w:type="dxa"/>
            <w:tcBorders>
              <w:top w:val="nil"/>
              <w:left w:val="nil"/>
              <w:bottom w:val="nil"/>
              <w:right w:val="nil"/>
              <w:tl2br w:val="nil"/>
              <w:tr2bl w:val="nil"/>
            </w:tcBorders>
            <w:tcMar>
              <w:left w:w="60" w:type="dxa"/>
              <w:right w:w="60" w:type="dxa"/>
            </w:tcMar>
            <w:vAlign w:val="center"/>
          </w:tcPr>
          <w:p w14:paraId="09933BA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7064E1EA"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w:t>
            </w:r>
          </w:p>
        </w:tc>
      </w:tr>
      <w:tr w:rsidR="00807FFE" w14:paraId="0E95F39F"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34BC324D"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Other</w:t>
            </w:r>
          </w:p>
        </w:tc>
        <w:tc>
          <w:tcPr>
            <w:tcW w:w="1134" w:type="dxa"/>
            <w:tcBorders>
              <w:top w:val="nil"/>
              <w:left w:val="nil"/>
              <w:bottom w:val="nil"/>
              <w:right w:val="nil"/>
              <w:tl2br w:val="nil"/>
              <w:tr2bl w:val="nil"/>
            </w:tcBorders>
            <w:tcMar>
              <w:left w:w="60" w:type="dxa"/>
              <w:right w:w="60" w:type="dxa"/>
            </w:tcMar>
            <w:vAlign w:val="center"/>
          </w:tcPr>
          <w:p w14:paraId="32E2855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319</w:t>
            </w:r>
          </w:p>
        </w:tc>
        <w:tc>
          <w:tcPr>
            <w:tcW w:w="1276" w:type="dxa"/>
            <w:tcBorders>
              <w:top w:val="nil"/>
              <w:left w:val="nil"/>
              <w:bottom w:val="nil"/>
              <w:right w:val="nil"/>
              <w:tl2br w:val="nil"/>
              <w:tr2bl w:val="nil"/>
            </w:tcBorders>
            <w:tcMar>
              <w:left w:w="60" w:type="dxa"/>
              <w:right w:w="60" w:type="dxa"/>
            </w:tcMar>
            <w:vAlign w:val="center"/>
          </w:tcPr>
          <w:p w14:paraId="372264D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3 792</w:t>
            </w:r>
          </w:p>
        </w:tc>
        <w:tc>
          <w:tcPr>
            <w:tcW w:w="1134" w:type="dxa"/>
            <w:tcBorders>
              <w:top w:val="nil"/>
              <w:left w:val="nil"/>
              <w:bottom w:val="nil"/>
              <w:right w:val="nil"/>
              <w:tl2br w:val="nil"/>
              <w:tr2bl w:val="nil"/>
            </w:tcBorders>
            <w:tcMar>
              <w:left w:w="60" w:type="dxa"/>
              <w:right w:w="60" w:type="dxa"/>
            </w:tcMar>
            <w:vAlign w:val="center"/>
          </w:tcPr>
          <w:p w14:paraId="3D83B78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6 360</w:t>
            </w:r>
          </w:p>
        </w:tc>
        <w:tc>
          <w:tcPr>
            <w:tcW w:w="1134" w:type="dxa"/>
            <w:tcBorders>
              <w:top w:val="nil"/>
              <w:left w:val="nil"/>
              <w:bottom w:val="nil"/>
              <w:right w:val="nil"/>
              <w:tl2br w:val="nil"/>
              <w:tr2bl w:val="nil"/>
            </w:tcBorders>
            <w:tcMar>
              <w:left w:w="60" w:type="dxa"/>
              <w:right w:w="60" w:type="dxa"/>
            </w:tcMar>
            <w:vAlign w:val="center"/>
          </w:tcPr>
          <w:p w14:paraId="012519C1"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3 884</w:t>
            </w:r>
          </w:p>
        </w:tc>
        <w:tc>
          <w:tcPr>
            <w:tcW w:w="1134" w:type="dxa"/>
            <w:tcBorders>
              <w:top w:val="nil"/>
              <w:left w:val="nil"/>
              <w:bottom w:val="nil"/>
              <w:right w:val="nil"/>
              <w:tl2br w:val="nil"/>
              <w:tr2bl w:val="nil"/>
            </w:tcBorders>
            <w:tcMar>
              <w:left w:w="60" w:type="dxa"/>
              <w:right w:w="60" w:type="dxa"/>
            </w:tcMar>
            <w:vAlign w:val="center"/>
          </w:tcPr>
          <w:p w14:paraId="0759B4D1"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593</w:t>
            </w:r>
          </w:p>
        </w:tc>
        <w:tc>
          <w:tcPr>
            <w:tcW w:w="1089" w:type="dxa"/>
            <w:tcBorders>
              <w:top w:val="nil"/>
              <w:left w:val="nil"/>
              <w:bottom w:val="nil"/>
              <w:right w:val="nil"/>
              <w:tl2br w:val="nil"/>
              <w:tr2bl w:val="nil"/>
            </w:tcBorders>
            <w:tcMar>
              <w:left w:w="60" w:type="dxa"/>
              <w:right w:w="60" w:type="dxa"/>
            </w:tcMar>
            <w:vAlign w:val="center"/>
          </w:tcPr>
          <w:p w14:paraId="177A762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2 952</w:t>
            </w:r>
          </w:p>
        </w:tc>
        <w:tc>
          <w:tcPr>
            <w:tcW w:w="1462" w:type="dxa"/>
            <w:tcBorders>
              <w:top w:val="nil"/>
              <w:left w:val="nil"/>
              <w:bottom w:val="nil"/>
              <w:right w:val="nil"/>
              <w:tl2br w:val="nil"/>
              <w:tr2bl w:val="nil"/>
            </w:tcBorders>
            <w:tcMar>
              <w:left w:w="60" w:type="dxa"/>
              <w:right w:w="60" w:type="dxa"/>
            </w:tcMar>
            <w:vAlign w:val="center"/>
          </w:tcPr>
          <w:p w14:paraId="50131B9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(4 590)</w:t>
            </w:r>
          </w:p>
        </w:tc>
        <w:tc>
          <w:tcPr>
            <w:tcW w:w="1134" w:type="dxa"/>
            <w:tcBorders>
              <w:top w:val="nil"/>
              <w:left w:val="nil"/>
              <w:bottom w:val="nil"/>
              <w:right w:val="nil"/>
              <w:tl2br w:val="nil"/>
              <w:tr2bl w:val="nil"/>
            </w:tcBorders>
            <w:tcMar>
              <w:left w:w="60" w:type="dxa"/>
              <w:right w:w="60" w:type="dxa"/>
            </w:tcMar>
            <w:vAlign w:val="center"/>
          </w:tcPr>
          <w:p w14:paraId="0816E74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13 310</w:t>
            </w:r>
          </w:p>
        </w:tc>
        <w:tc>
          <w:tcPr>
            <w:tcW w:w="1334" w:type="dxa"/>
            <w:tcBorders>
              <w:top w:val="nil"/>
              <w:left w:val="nil"/>
              <w:bottom w:val="nil"/>
              <w:right w:val="nil"/>
              <w:tl2br w:val="nil"/>
              <w:tr2bl w:val="nil"/>
            </w:tcBorders>
            <w:tcMar>
              <w:left w:w="60" w:type="dxa"/>
              <w:right w:w="60" w:type="dxa"/>
            </w:tcMar>
            <w:vAlign w:val="center"/>
          </w:tcPr>
          <w:p w14:paraId="71B4835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5 262</w:t>
            </w:r>
          </w:p>
        </w:tc>
        <w:tc>
          <w:tcPr>
            <w:tcW w:w="1216" w:type="dxa"/>
            <w:tcBorders>
              <w:top w:val="nil"/>
              <w:left w:val="nil"/>
              <w:bottom w:val="nil"/>
              <w:right w:val="nil"/>
              <w:tl2br w:val="nil"/>
              <w:tr2bl w:val="nil"/>
            </w:tcBorders>
            <w:tcMar>
              <w:left w:w="60" w:type="dxa"/>
              <w:right w:w="60" w:type="dxa"/>
            </w:tcMar>
            <w:vAlign w:val="center"/>
          </w:tcPr>
          <w:p w14:paraId="351F5894"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18 572</w:t>
            </w:r>
          </w:p>
        </w:tc>
      </w:tr>
      <w:tr w:rsidR="00807FFE" w14:paraId="23AF4F6F" w14:textId="77777777">
        <w:trPr>
          <w:trHeight w:hRule="exact" w:val="410"/>
        </w:trPr>
        <w:tc>
          <w:tcPr>
            <w:tcW w:w="2470" w:type="dxa"/>
            <w:tcBorders>
              <w:top w:val="nil"/>
              <w:left w:val="nil"/>
              <w:bottom w:val="nil"/>
              <w:right w:val="nil"/>
              <w:tl2br w:val="nil"/>
              <w:tr2bl w:val="nil"/>
            </w:tcBorders>
            <w:tcMar>
              <w:left w:w="60" w:type="dxa"/>
              <w:right w:w="60" w:type="dxa"/>
            </w:tcMar>
            <w:vAlign w:val="center"/>
          </w:tcPr>
          <w:p w14:paraId="29AFC3AD" w14:textId="77777777" w:rsidR="00807FFE" w:rsidRDefault="00023E71">
            <w:pPr>
              <w:pStyle w:val="DMETW36752BIPSEGREP"/>
              <w:rPr>
                <w:rFonts w:ascii="Verdana" w:eastAsia="Verdana" w:hAnsi="Verdana" w:cs="Verdana"/>
                <w:b/>
                <w:noProof/>
                <w:color w:val="000000"/>
                <w:sz w:val="16"/>
              </w:rPr>
            </w:pPr>
            <w:r>
              <w:rPr>
                <w:rFonts w:ascii="Verdana" w:eastAsia="Verdana" w:hAnsi="Verdana" w:cs="Verdana"/>
                <w:b/>
                <w:noProof/>
                <w:color w:val="000000"/>
                <w:sz w:val="16"/>
              </w:rPr>
              <w:t>Non-Exchange Revenue</w:t>
            </w:r>
          </w:p>
        </w:tc>
        <w:tc>
          <w:tcPr>
            <w:tcW w:w="1134" w:type="dxa"/>
            <w:tcBorders>
              <w:top w:val="nil"/>
              <w:left w:val="nil"/>
              <w:bottom w:val="nil"/>
              <w:right w:val="nil"/>
              <w:tl2br w:val="nil"/>
              <w:tr2bl w:val="nil"/>
            </w:tcBorders>
            <w:tcMar>
              <w:left w:w="60" w:type="dxa"/>
              <w:right w:w="60" w:type="dxa"/>
            </w:tcMar>
            <w:vAlign w:val="center"/>
          </w:tcPr>
          <w:p w14:paraId="56F27E11"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1 268</w:t>
            </w:r>
          </w:p>
        </w:tc>
        <w:tc>
          <w:tcPr>
            <w:tcW w:w="1276" w:type="dxa"/>
            <w:tcBorders>
              <w:top w:val="nil"/>
              <w:left w:val="nil"/>
              <w:bottom w:val="nil"/>
              <w:right w:val="nil"/>
              <w:tl2br w:val="nil"/>
              <w:tr2bl w:val="nil"/>
            </w:tcBorders>
            <w:tcMar>
              <w:left w:w="60" w:type="dxa"/>
              <w:right w:w="60" w:type="dxa"/>
            </w:tcMar>
            <w:vAlign w:val="center"/>
          </w:tcPr>
          <w:p w14:paraId="2FDB3130"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4 139</w:t>
            </w:r>
          </w:p>
        </w:tc>
        <w:tc>
          <w:tcPr>
            <w:tcW w:w="1134" w:type="dxa"/>
            <w:tcBorders>
              <w:top w:val="nil"/>
              <w:left w:val="nil"/>
              <w:bottom w:val="nil"/>
              <w:right w:val="nil"/>
              <w:tl2br w:val="nil"/>
              <w:tr2bl w:val="nil"/>
            </w:tcBorders>
            <w:tcMar>
              <w:left w:w="60" w:type="dxa"/>
              <w:right w:w="60" w:type="dxa"/>
            </w:tcMar>
            <w:vAlign w:val="center"/>
          </w:tcPr>
          <w:p w14:paraId="06FABE35"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6 360</w:t>
            </w:r>
          </w:p>
        </w:tc>
        <w:tc>
          <w:tcPr>
            <w:tcW w:w="1134" w:type="dxa"/>
            <w:tcBorders>
              <w:top w:val="nil"/>
              <w:left w:val="nil"/>
              <w:bottom w:val="nil"/>
              <w:right w:val="nil"/>
              <w:tl2br w:val="nil"/>
              <w:tr2bl w:val="nil"/>
            </w:tcBorders>
            <w:tcMar>
              <w:left w:w="60" w:type="dxa"/>
              <w:right w:w="60" w:type="dxa"/>
            </w:tcMar>
            <w:vAlign w:val="center"/>
          </w:tcPr>
          <w:p w14:paraId="5C5F9A78"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4 262</w:t>
            </w:r>
          </w:p>
        </w:tc>
        <w:tc>
          <w:tcPr>
            <w:tcW w:w="1134" w:type="dxa"/>
            <w:tcBorders>
              <w:top w:val="nil"/>
              <w:left w:val="nil"/>
              <w:bottom w:val="nil"/>
              <w:right w:val="nil"/>
              <w:tl2br w:val="nil"/>
              <w:tr2bl w:val="nil"/>
            </w:tcBorders>
            <w:tcMar>
              <w:left w:w="60" w:type="dxa"/>
              <w:right w:w="60" w:type="dxa"/>
            </w:tcMar>
            <w:vAlign w:val="center"/>
          </w:tcPr>
          <w:p w14:paraId="5AB5D5AB"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 xml:space="preserve"> 605</w:t>
            </w:r>
          </w:p>
        </w:tc>
        <w:tc>
          <w:tcPr>
            <w:tcW w:w="1089" w:type="dxa"/>
            <w:tcBorders>
              <w:top w:val="nil"/>
              <w:left w:val="nil"/>
              <w:bottom w:val="nil"/>
              <w:right w:val="nil"/>
              <w:tl2br w:val="nil"/>
              <w:tr2bl w:val="nil"/>
            </w:tcBorders>
            <w:tcMar>
              <w:left w:w="60" w:type="dxa"/>
              <w:right w:w="60" w:type="dxa"/>
            </w:tcMar>
            <w:vAlign w:val="center"/>
          </w:tcPr>
          <w:p w14:paraId="0CD2E66D"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3 053</w:t>
            </w:r>
          </w:p>
        </w:tc>
        <w:tc>
          <w:tcPr>
            <w:tcW w:w="1462" w:type="dxa"/>
            <w:tcBorders>
              <w:top w:val="nil"/>
              <w:left w:val="nil"/>
              <w:bottom w:val="nil"/>
              <w:right w:val="nil"/>
              <w:tl2br w:val="nil"/>
              <w:tr2bl w:val="nil"/>
            </w:tcBorders>
            <w:tcMar>
              <w:left w:w="60" w:type="dxa"/>
              <w:right w:w="60" w:type="dxa"/>
            </w:tcMar>
            <w:vAlign w:val="center"/>
          </w:tcPr>
          <w:p w14:paraId="11DEAD41"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163 389</w:t>
            </w:r>
          </w:p>
        </w:tc>
        <w:tc>
          <w:tcPr>
            <w:tcW w:w="1134" w:type="dxa"/>
            <w:tcBorders>
              <w:top w:val="nil"/>
              <w:left w:val="nil"/>
              <w:bottom w:val="nil"/>
              <w:right w:val="nil"/>
              <w:tl2br w:val="nil"/>
              <w:tr2bl w:val="nil"/>
            </w:tcBorders>
            <w:tcMar>
              <w:left w:w="60" w:type="dxa"/>
              <w:right w:w="60" w:type="dxa"/>
            </w:tcMar>
            <w:vAlign w:val="center"/>
          </w:tcPr>
          <w:p w14:paraId="26A95F4C"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183 077</w:t>
            </w:r>
          </w:p>
        </w:tc>
        <w:tc>
          <w:tcPr>
            <w:tcW w:w="1334" w:type="dxa"/>
            <w:tcBorders>
              <w:top w:val="nil"/>
              <w:left w:val="nil"/>
              <w:bottom w:val="nil"/>
              <w:right w:val="nil"/>
              <w:tl2br w:val="nil"/>
              <w:tr2bl w:val="nil"/>
            </w:tcBorders>
            <w:tcMar>
              <w:left w:w="60" w:type="dxa"/>
              <w:right w:w="60" w:type="dxa"/>
            </w:tcMar>
            <w:vAlign w:val="center"/>
          </w:tcPr>
          <w:p w14:paraId="4AB9A16E"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5 272</w:t>
            </w:r>
          </w:p>
        </w:tc>
        <w:tc>
          <w:tcPr>
            <w:tcW w:w="1216" w:type="dxa"/>
            <w:tcBorders>
              <w:top w:val="nil"/>
              <w:left w:val="nil"/>
              <w:bottom w:val="nil"/>
              <w:right w:val="nil"/>
              <w:tl2br w:val="nil"/>
              <w:tr2bl w:val="nil"/>
            </w:tcBorders>
            <w:tcMar>
              <w:left w:w="60" w:type="dxa"/>
              <w:right w:w="60" w:type="dxa"/>
            </w:tcMar>
            <w:vAlign w:val="center"/>
          </w:tcPr>
          <w:p w14:paraId="4E72C2FD" w14:textId="77777777" w:rsidR="00807FFE" w:rsidRDefault="00023E71">
            <w:pPr>
              <w:pStyle w:val="DMETW36752BIPSEGREP"/>
              <w:jc w:val="right"/>
              <w:rPr>
                <w:rFonts w:ascii="Verdana" w:eastAsia="Verdana" w:hAnsi="Verdana" w:cs="Verdana"/>
                <w:b/>
                <w:noProof/>
                <w:color w:val="000000"/>
                <w:sz w:val="16"/>
                <w:lang w:bidi="en-GB"/>
              </w:rPr>
            </w:pPr>
            <w:r>
              <w:rPr>
                <w:rFonts w:ascii="Verdana" w:eastAsia="Verdana" w:hAnsi="Verdana" w:cs="Verdana"/>
                <w:b/>
                <w:noProof/>
                <w:color w:val="000000"/>
                <w:sz w:val="16"/>
              </w:rPr>
              <w:t>188 348</w:t>
            </w:r>
          </w:p>
        </w:tc>
      </w:tr>
      <w:tr w:rsidR="00807FFE" w14:paraId="43C10985"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178721E7"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Financial revenue</w:t>
            </w:r>
          </w:p>
        </w:tc>
        <w:tc>
          <w:tcPr>
            <w:tcW w:w="1134" w:type="dxa"/>
            <w:tcBorders>
              <w:top w:val="nil"/>
              <w:left w:val="nil"/>
              <w:bottom w:val="nil"/>
              <w:right w:val="nil"/>
              <w:tl2br w:val="nil"/>
              <w:tr2bl w:val="nil"/>
            </w:tcBorders>
            <w:tcMar>
              <w:left w:w="60" w:type="dxa"/>
              <w:right w:w="60" w:type="dxa"/>
            </w:tcMar>
            <w:vAlign w:val="center"/>
          </w:tcPr>
          <w:p w14:paraId="362C66D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276" w:type="dxa"/>
            <w:tcBorders>
              <w:top w:val="nil"/>
              <w:left w:val="nil"/>
              <w:bottom w:val="nil"/>
              <w:right w:val="nil"/>
              <w:tl2br w:val="nil"/>
              <w:tr2bl w:val="nil"/>
            </w:tcBorders>
            <w:tcMar>
              <w:left w:w="60" w:type="dxa"/>
              <w:right w:w="60" w:type="dxa"/>
            </w:tcMar>
            <w:vAlign w:val="center"/>
          </w:tcPr>
          <w:p w14:paraId="6071603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w:t>
            </w:r>
          </w:p>
        </w:tc>
        <w:tc>
          <w:tcPr>
            <w:tcW w:w="1134" w:type="dxa"/>
            <w:tcBorders>
              <w:top w:val="nil"/>
              <w:left w:val="nil"/>
              <w:bottom w:val="nil"/>
              <w:right w:val="nil"/>
              <w:tl2br w:val="nil"/>
              <w:tr2bl w:val="nil"/>
            </w:tcBorders>
            <w:tcMar>
              <w:left w:w="60" w:type="dxa"/>
              <w:right w:w="60" w:type="dxa"/>
            </w:tcMar>
            <w:vAlign w:val="center"/>
          </w:tcPr>
          <w:p w14:paraId="7884838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16 506</w:t>
            </w:r>
          </w:p>
        </w:tc>
        <w:tc>
          <w:tcPr>
            <w:tcW w:w="1134" w:type="dxa"/>
            <w:tcBorders>
              <w:top w:val="nil"/>
              <w:left w:val="nil"/>
              <w:bottom w:val="nil"/>
              <w:right w:val="nil"/>
              <w:tl2br w:val="nil"/>
              <w:tr2bl w:val="nil"/>
            </w:tcBorders>
            <w:tcMar>
              <w:left w:w="60" w:type="dxa"/>
              <w:right w:w="60" w:type="dxa"/>
            </w:tcMar>
            <w:vAlign w:val="center"/>
          </w:tcPr>
          <w:p w14:paraId="0EB6CDA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1 844</w:t>
            </w:r>
          </w:p>
        </w:tc>
        <w:tc>
          <w:tcPr>
            <w:tcW w:w="1134" w:type="dxa"/>
            <w:tcBorders>
              <w:top w:val="nil"/>
              <w:left w:val="nil"/>
              <w:bottom w:val="nil"/>
              <w:right w:val="nil"/>
              <w:tl2br w:val="nil"/>
              <w:tr2bl w:val="nil"/>
            </w:tcBorders>
            <w:tcMar>
              <w:left w:w="60" w:type="dxa"/>
              <w:right w:w="60" w:type="dxa"/>
            </w:tcMar>
            <w:vAlign w:val="center"/>
          </w:tcPr>
          <w:p w14:paraId="15FD349A"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(258)</w:t>
            </w:r>
          </w:p>
        </w:tc>
        <w:tc>
          <w:tcPr>
            <w:tcW w:w="1089" w:type="dxa"/>
            <w:tcBorders>
              <w:top w:val="nil"/>
              <w:left w:val="nil"/>
              <w:bottom w:val="nil"/>
              <w:right w:val="nil"/>
              <w:tl2br w:val="nil"/>
              <w:tr2bl w:val="nil"/>
            </w:tcBorders>
            <w:tcMar>
              <w:left w:w="60" w:type="dxa"/>
              <w:right w:w="60" w:type="dxa"/>
            </w:tcMar>
            <w:vAlign w:val="center"/>
          </w:tcPr>
          <w:p w14:paraId="2DD7A7C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340</w:t>
            </w:r>
          </w:p>
        </w:tc>
        <w:tc>
          <w:tcPr>
            <w:tcW w:w="1462" w:type="dxa"/>
            <w:tcBorders>
              <w:top w:val="nil"/>
              <w:left w:val="nil"/>
              <w:bottom w:val="nil"/>
              <w:right w:val="nil"/>
              <w:tl2br w:val="nil"/>
              <w:tr2bl w:val="nil"/>
            </w:tcBorders>
            <w:tcMar>
              <w:left w:w="60" w:type="dxa"/>
              <w:right w:w="60" w:type="dxa"/>
            </w:tcMar>
            <w:vAlign w:val="center"/>
          </w:tcPr>
          <w:p w14:paraId="454B463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(6 856)</w:t>
            </w:r>
          </w:p>
        </w:tc>
        <w:tc>
          <w:tcPr>
            <w:tcW w:w="1134" w:type="dxa"/>
            <w:tcBorders>
              <w:top w:val="nil"/>
              <w:left w:val="nil"/>
              <w:bottom w:val="nil"/>
              <w:right w:val="nil"/>
              <w:tl2br w:val="nil"/>
              <w:tr2bl w:val="nil"/>
            </w:tcBorders>
            <w:tcMar>
              <w:left w:w="60" w:type="dxa"/>
              <w:right w:w="60" w:type="dxa"/>
            </w:tcMar>
            <w:vAlign w:val="center"/>
          </w:tcPr>
          <w:p w14:paraId="73D29C0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11 579</w:t>
            </w:r>
          </w:p>
        </w:tc>
        <w:tc>
          <w:tcPr>
            <w:tcW w:w="1334" w:type="dxa"/>
            <w:tcBorders>
              <w:top w:val="nil"/>
              <w:left w:val="nil"/>
              <w:bottom w:val="nil"/>
              <w:right w:val="nil"/>
              <w:tl2br w:val="nil"/>
              <w:tr2bl w:val="nil"/>
            </w:tcBorders>
            <w:tcMar>
              <w:left w:w="60" w:type="dxa"/>
              <w:right w:w="60" w:type="dxa"/>
            </w:tcMar>
            <w:vAlign w:val="center"/>
          </w:tcPr>
          <w:p w14:paraId="71B89AC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68</w:t>
            </w:r>
          </w:p>
        </w:tc>
        <w:tc>
          <w:tcPr>
            <w:tcW w:w="1216" w:type="dxa"/>
            <w:tcBorders>
              <w:top w:val="nil"/>
              <w:left w:val="nil"/>
              <w:bottom w:val="nil"/>
              <w:right w:val="nil"/>
              <w:tl2br w:val="nil"/>
              <w:tr2bl w:val="nil"/>
            </w:tcBorders>
            <w:tcMar>
              <w:left w:w="60" w:type="dxa"/>
              <w:right w:w="60" w:type="dxa"/>
            </w:tcMar>
            <w:vAlign w:val="center"/>
          </w:tcPr>
          <w:p w14:paraId="52167CDD"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11 646</w:t>
            </w:r>
          </w:p>
        </w:tc>
      </w:tr>
      <w:tr w:rsidR="00807FFE" w14:paraId="238F073E"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5F9707FC"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Other</w:t>
            </w:r>
          </w:p>
        </w:tc>
        <w:tc>
          <w:tcPr>
            <w:tcW w:w="1134" w:type="dxa"/>
            <w:tcBorders>
              <w:top w:val="nil"/>
              <w:left w:val="nil"/>
              <w:bottom w:val="nil"/>
              <w:right w:val="nil"/>
              <w:tl2br w:val="nil"/>
              <w:tr2bl w:val="nil"/>
            </w:tcBorders>
            <w:tcMar>
              <w:left w:w="60" w:type="dxa"/>
              <w:right w:w="60" w:type="dxa"/>
            </w:tcMar>
            <w:vAlign w:val="center"/>
          </w:tcPr>
          <w:p w14:paraId="401A322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(5)</w:t>
            </w:r>
          </w:p>
        </w:tc>
        <w:tc>
          <w:tcPr>
            <w:tcW w:w="1276" w:type="dxa"/>
            <w:tcBorders>
              <w:top w:val="nil"/>
              <w:left w:val="nil"/>
              <w:bottom w:val="nil"/>
              <w:right w:val="nil"/>
              <w:tl2br w:val="nil"/>
              <w:tr2bl w:val="nil"/>
            </w:tcBorders>
            <w:tcMar>
              <w:left w:w="60" w:type="dxa"/>
              <w:right w:w="60" w:type="dxa"/>
            </w:tcMar>
            <w:vAlign w:val="center"/>
          </w:tcPr>
          <w:p w14:paraId="4801DED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(4)</w:t>
            </w:r>
          </w:p>
        </w:tc>
        <w:tc>
          <w:tcPr>
            <w:tcW w:w="1134" w:type="dxa"/>
            <w:tcBorders>
              <w:top w:val="nil"/>
              <w:left w:val="nil"/>
              <w:bottom w:val="nil"/>
              <w:right w:val="nil"/>
              <w:tl2br w:val="nil"/>
              <w:tr2bl w:val="nil"/>
            </w:tcBorders>
            <w:tcMar>
              <w:left w:w="60" w:type="dxa"/>
              <w:right w:w="60" w:type="dxa"/>
            </w:tcMar>
            <w:vAlign w:val="center"/>
          </w:tcPr>
          <w:p w14:paraId="0ACE1F6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142</w:t>
            </w:r>
          </w:p>
        </w:tc>
        <w:tc>
          <w:tcPr>
            <w:tcW w:w="1134" w:type="dxa"/>
            <w:tcBorders>
              <w:top w:val="nil"/>
              <w:left w:val="nil"/>
              <w:bottom w:val="nil"/>
              <w:right w:val="nil"/>
              <w:tl2br w:val="nil"/>
              <w:tr2bl w:val="nil"/>
            </w:tcBorders>
            <w:tcMar>
              <w:left w:w="60" w:type="dxa"/>
              <w:right w:w="60" w:type="dxa"/>
            </w:tcMar>
            <w:vAlign w:val="center"/>
          </w:tcPr>
          <w:p w14:paraId="209717E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344</w:t>
            </w:r>
          </w:p>
        </w:tc>
        <w:tc>
          <w:tcPr>
            <w:tcW w:w="1134" w:type="dxa"/>
            <w:tcBorders>
              <w:top w:val="nil"/>
              <w:left w:val="nil"/>
              <w:bottom w:val="nil"/>
              <w:right w:val="nil"/>
              <w:tl2br w:val="nil"/>
              <w:tr2bl w:val="nil"/>
            </w:tcBorders>
            <w:tcMar>
              <w:left w:w="60" w:type="dxa"/>
              <w:right w:w="60" w:type="dxa"/>
            </w:tcMar>
            <w:vAlign w:val="center"/>
          </w:tcPr>
          <w:p w14:paraId="5F7C7A7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183</w:t>
            </w:r>
          </w:p>
        </w:tc>
        <w:tc>
          <w:tcPr>
            <w:tcW w:w="1089" w:type="dxa"/>
            <w:tcBorders>
              <w:top w:val="nil"/>
              <w:left w:val="nil"/>
              <w:bottom w:val="nil"/>
              <w:right w:val="nil"/>
              <w:tl2br w:val="nil"/>
              <w:tr2bl w:val="nil"/>
            </w:tcBorders>
            <w:tcMar>
              <w:left w:w="60" w:type="dxa"/>
              <w:right w:w="60" w:type="dxa"/>
            </w:tcMar>
            <w:vAlign w:val="center"/>
          </w:tcPr>
          <w:p w14:paraId="4574067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(40)</w:t>
            </w:r>
          </w:p>
        </w:tc>
        <w:tc>
          <w:tcPr>
            <w:tcW w:w="1462" w:type="dxa"/>
            <w:tcBorders>
              <w:top w:val="nil"/>
              <w:left w:val="nil"/>
              <w:bottom w:val="nil"/>
              <w:right w:val="nil"/>
              <w:tl2br w:val="nil"/>
              <w:tr2bl w:val="nil"/>
            </w:tcBorders>
            <w:tcMar>
              <w:left w:w="60" w:type="dxa"/>
              <w:right w:w="60" w:type="dxa"/>
            </w:tcMar>
            <w:vAlign w:val="center"/>
          </w:tcPr>
          <w:p w14:paraId="0F29FDF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823</w:t>
            </w:r>
          </w:p>
        </w:tc>
        <w:tc>
          <w:tcPr>
            <w:tcW w:w="1134" w:type="dxa"/>
            <w:tcBorders>
              <w:top w:val="nil"/>
              <w:left w:val="nil"/>
              <w:bottom w:val="nil"/>
              <w:right w:val="nil"/>
              <w:tl2br w:val="nil"/>
              <w:tr2bl w:val="nil"/>
            </w:tcBorders>
            <w:tcMar>
              <w:left w:w="60" w:type="dxa"/>
              <w:right w:w="60" w:type="dxa"/>
            </w:tcMar>
            <w:vAlign w:val="center"/>
          </w:tcPr>
          <w:p w14:paraId="5901DA8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1 443</w:t>
            </w:r>
          </w:p>
        </w:tc>
        <w:tc>
          <w:tcPr>
            <w:tcW w:w="1334" w:type="dxa"/>
            <w:tcBorders>
              <w:top w:val="nil"/>
              <w:left w:val="nil"/>
              <w:bottom w:val="nil"/>
              <w:right w:val="nil"/>
              <w:tl2br w:val="nil"/>
              <w:tr2bl w:val="nil"/>
            </w:tcBorders>
            <w:tcMar>
              <w:left w:w="60" w:type="dxa"/>
              <w:right w:w="60" w:type="dxa"/>
            </w:tcMar>
            <w:vAlign w:val="center"/>
          </w:tcPr>
          <w:p w14:paraId="37296468"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1 057</w:t>
            </w:r>
          </w:p>
        </w:tc>
        <w:tc>
          <w:tcPr>
            <w:tcW w:w="1216" w:type="dxa"/>
            <w:tcBorders>
              <w:top w:val="nil"/>
              <w:left w:val="nil"/>
              <w:bottom w:val="nil"/>
              <w:right w:val="nil"/>
              <w:tl2br w:val="nil"/>
              <w:tr2bl w:val="nil"/>
            </w:tcBorders>
            <w:tcMar>
              <w:left w:w="60" w:type="dxa"/>
              <w:right w:w="60" w:type="dxa"/>
            </w:tcMar>
            <w:vAlign w:val="center"/>
          </w:tcPr>
          <w:p w14:paraId="49FDAAD2"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2 500</w:t>
            </w:r>
          </w:p>
        </w:tc>
      </w:tr>
      <w:tr w:rsidR="00807FFE" w14:paraId="24CEFB21" w14:textId="77777777">
        <w:trPr>
          <w:trHeight w:hRule="exact" w:val="331"/>
        </w:trPr>
        <w:tc>
          <w:tcPr>
            <w:tcW w:w="2470" w:type="dxa"/>
            <w:tcBorders>
              <w:top w:val="nil"/>
              <w:left w:val="nil"/>
              <w:bottom w:val="single" w:sz="4" w:space="0" w:color="016794"/>
              <w:right w:val="nil"/>
              <w:tl2br w:val="nil"/>
              <w:tr2bl w:val="nil"/>
            </w:tcBorders>
            <w:tcMar>
              <w:left w:w="60" w:type="dxa"/>
              <w:right w:w="60" w:type="dxa"/>
            </w:tcMar>
            <w:vAlign w:val="center"/>
          </w:tcPr>
          <w:p w14:paraId="41159DE8" w14:textId="77777777" w:rsidR="00807FFE" w:rsidRDefault="00023E71">
            <w:pPr>
              <w:pStyle w:val="DMETW36752BIPSEGREP"/>
              <w:rPr>
                <w:rFonts w:ascii="Verdana" w:eastAsia="Verdana" w:hAnsi="Verdana" w:cs="Verdana"/>
                <w:b/>
                <w:noProof/>
                <w:color w:val="000000"/>
                <w:sz w:val="16"/>
              </w:rPr>
            </w:pPr>
            <w:r>
              <w:rPr>
                <w:rFonts w:ascii="Verdana" w:eastAsia="Verdana" w:hAnsi="Verdana" w:cs="Verdana"/>
                <w:b/>
                <w:noProof/>
                <w:color w:val="000000"/>
                <w:sz w:val="16"/>
              </w:rPr>
              <w:t>Exchange Revenue</w:t>
            </w:r>
          </w:p>
        </w:tc>
        <w:tc>
          <w:tcPr>
            <w:tcW w:w="1134" w:type="dxa"/>
            <w:tcBorders>
              <w:top w:val="nil"/>
              <w:left w:val="nil"/>
              <w:bottom w:val="single" w:sz="4" w:space="0" w:color="016794"/>
              <w:right w:val="nil"/>
              <w:tl2br w:val="nil"/>
              <w:tr2bl w:val="nil"/>
            </w:tcBorders>
            <w:tcMar>
              <w:left w:w="60" w:type="dxa"/>
              <w:right w:w="60" w:type="dxa"/>
            </w:tcMar>
            <w:vAlign w:val="center"/>
          </w:tcPr>
          <w:p w14:paraId="75579296"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 xml:space="preserve"> (5)</w:t>
            </w:r>
          </w:p>
        </w:tc>
        <w:tc>
          <w:tcPr>
            <w:tcW w:w="1276" w:type="dxa"/>
            <w:tcBorders>
              <w:top w:val="nil"/>
              <w:left w:val="nil"/>
              <w:bottom w:val="single" w:sz="4" w:space="0" w:color="016794"/>
              <w:right w:val="nil"/>
              <w:tl2br w:val="nil"/>
              <w:tr2bl w:val="nil"/>
            </w:tcBorders>
            <w:tcMar>
              <w:left w:w="60" w:type="dxa"/>
              <w:right w:w="60" w:type="dxa"/>
            </w:tcMar>
            <w:vAlign w:val="center"/>
          </w:tcPr>
          <w:p w14:paraId="3B9F855F"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 xml:space="preserve"> (3)</w:t>
            </w:r>
          </w:p>
        </w:tc>
        <w:tc>
          <w:tcPr>
            <w:tcW w:w="1134" w:type="dxa"/>
            <w:tcBorders>
              <w:top w:val="nil"/>
              <w:left w:val="nil"/>
              <w:bottom w:val="single" w:sz="4" w:space="0" w:color="016794"/>
              <w:right w:val="nil"/>
              <w:tl2br w:val="nil"/>
              <w:tr2bl w:val="nil"/>
            </w:tcBorders>
            <w:tcMar>
              <w:left w:w="60" w:type="dxa"/>
              <w:right w:w="60" w:type="dxa"/>
            </w:tcMar>
            <w:vAlign w:val="center"/>
          </w:tcPr>
          <w:p w14:paraId="71CC512B"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16 649</w:t>
            </w:r>
          </w:p>
        </w:tc>
        <w:tc>
          <w:tcPr>
            <w:tcW w:w="1134" w:type="dxa"/>
            <w:tcBorders>
              <w:top w:val="nil"/>
              <w:left w:val="nil"/>
              <w:bottom w:val="single" w:sz="4" w:space="0" w:color="016794"/>
              <w:right w:val="nil"/>
              <w:tl2br w:val="nil"/>
              <w:tr2bl w:val="nil"/>
            </w:tcBorders>
            <w:tcMar>
              <w:left w:w="60" w:type="dxa"/>
              <w:right w:w="60" w:type="dxa"/>
            </w:tcMar>
            <w:vAlign w:val="center"/>
          </w:tcPr>
          <w:p w14:paraId="4652DFA6"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2 188</w:t>
            </w:r>
          </w:p>
        </w:tc>
        <w:tc>
          <w:tcPr>
            <w:tcW w:w="1134" w:type="dxa"/>
            <w:tcBorders>
              <w:top w:val="nil"/>
              <w:left w:val="nil"/>
              <w:bottom w:val="single" w:sz="4" w:space="0" w:color="016794"/>
              <w:right w:val="nil"/>
              <w:tl2br w:val="nil"/>
              <w:tr2bl w:val="nil"/>
            </w:tcBorders>
            <w:tcMar>
              <w:left w:w="60" w:type="dxa"/>
              <w:right w:w="60" w:type="dxa"/>
            </w:tcMar>
            <w:vAlign w:val="center"/>
          </w:tcPr>
          <w:p w14:paraId="745AB50C"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 xml:space="preserve"> (74)</w:t>
            </w:r>
          </w:p>
        </w:tc>
        <w:tc>
          <w:tcPr>
            <w:tcW w:w="1089" w:type="dxa"/>
            <w:tcBorders>
              <w:top w:val="nil"/>
              <w:left w:val="nil"/>
              <w:bottom w:val="single" w:sz="4" w:space="0" w:color="016794"/>
              <w:right w:val="nil"/>
              <w:tl2br w:val="nil"/>
              <w:tr2bl w:val="nil"/>
            </w:tcBorders>
            <w:tcMar>
              <w:left w:w="60" w:type="dxa"/>
              <w:right w:w="60" w:type="dxa"/>
            </w:tcMar>
            <w:vAlign w:val="center"/>
          </w:tcPr>
          <w:p w14:paraId="56E09414"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 xml:space="preserve"> 300</w:t>
            </w:r>
          </w:p>
        </w:tc>
        <w:tc>
          <w:tcPr>
            <w:tcW w:w="1462" w:type="dxa"/>
            <w:tcBorders>
              <w:top w:val="nil"/>
              <w:left w:val="nil"/>
              <w:bottom w:val="single" w:sz="4" w:space="0" w:color="016794"/>
              <w:right w:val="nil"/>
              <w:tl2br w:val="nil"/>
              <w:tr2bl w:val="nil"/>
            </w:tcBorders>
            <w:tcMar>
              <w:left w:w="60" w:type="dxa"/>
              <w:right w:w="60" w:type="dxa"/>
            </w:tcMar>
            <w:vAlign w:val="center"/>
          </w:tcPr>
          <w:p w14:paraId="009DB3E3"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(6 033)</w:t>
            </w:r>
          </w:p>
        </w:tc>
        <w:tc>
          <w:tcPr>
            <w:tcW w:w="1134" w:type="dxa"/>
            <w:tcBorders>
              <w:top w:val="nil"/>
              <w:left w:val="nil"/>
              <w:bottom w:val="single" w:sz="4" w:space="0" w:color="016794"/>
              <w:right w:val="nil"/>
              <w:tl2br w:val="nil"/>
              <w:tr2bl w:val="nil"/>
            </w:tcBorders>
            <w:tcMar>
              <w:left w:w="60" w:type="dxa"/>
              <w:right w:w="60" w:type="dxa"/>
            </w:tcMar>
            <w:vAlign w:val="center"/>
          </w:tcPr>
          <w:p w14:paraId="3D0ABF2A"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13 021</w:t>
            </w:r>
          </w:p>
        </w:tc>
        <w:tc>
          <w:tcPr>
            <w:tcW w:w="1334" w:type="dxa"/>
            <w:tcBorders>
              <w:top w:val="nil"/>
              <w:left w:val="nil"/>
              <w:bottom w:val="single" w:sz="4" w:space="0" w:color="016794"/>
              <w:right w:val="nil"/>
              <w:tl2br w:val="nil"/>
              <w:tr2bl w:val="nil"/>
            </w:tcBorders>
            <w:tcMar>
              <w:left w:w="60" w:type="dxa"/>
              <w:right w:w="60" w:type="dxa"/>
            </w:tcMar>
            <w:vAlign w:val="center"/>
          </w:tcPr>
          <w:p w14:paraId="605494D6"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1 125</w:t>
            </w:r>
          </w:p>
        </w:tc>
        <w:tc>
          <w:tcPr>
            <w:tcW w:w="1216" w:type="dxa"/>
            <w:tcBorders>
              <w:top w:val="nil"/>
              <w:left w:val="nil"/>
              <w:bottom w:val="single" w:sz="4" w:space="0" w:color="016794"/>
              <w:right w:val="nil"/>
              <w:tl2br w:val="nil"/>
              <w:tr2bl w:val="nil"/>
            </w:tcBorders>
            <w:tcMar>
              <w:left w:w="60" w:type="dxa"/>
              <w:right w:w="60" w:type="dxa"/>
            </w:tcMar>
            <w:vAlign w:val="center"/>
          </w:tcPr>
          <w:p w14:paraId="27DEAE3C" w14:textId="77777777" w:rsidR="00807FFE" w:rsidRDefault="00023E71">
            <w:pPr>
              <w:pStyle w:val="DMETW36752BIPSEGREP"/>
              <w:jc w:val="right"/>
              <w:rPr>
                <w:rFonts w:ascii="Verdana" w:eastAsia="Verdana" w:hAnsi="Verdana" w:cs="Verdana"/>
                <w:b/>
                <w:noProof/>
                <w:color w:val="000000"/>
                <w:sz w:val="16"/>
                <w:lang w:bidi="en-GB"/>
              </w:rPr>
            </w:pPr>
            <w:r>
              <w:rPr>
                <w:rFonts w:ascii="Verdana" w:eastAsia="Verdana" w:hAnsi="Verdana" w:cs="Verdana"/>
                <w:b/>
                <w:noProof/>
                <w:color w:val="000000"/>
                <w:sz w:val="16"/>
              </w:rPr>
              <w:t>14 146</w:t>
            </w:r>
          </w:p>
        </w:tc>
      </w:tr>
      <w:tr w:rsidR="00807FFE" w14:paraId="5D6CDB4D" w14:textId="77777777">
        <w:trPr>
          <w:trHeight w:hRule="exact" w:val="256"/>
        </w:trPr>
        <w:tc>
          <w:tcPr>
            <w:tcW w:w="2470" w:type="dxa"/>
            <w:tcBorders>
              <w:top w:val="single" w:sz="4" w:space="0" w:color="016794"/>
              <w:left w:val="nil"/>
              <w:bottom w:val="single" w:sz="4" w:space="0" w:color="016794"/>
              <w:right w:val="nil"/>
              <w:tl2br w:val="nil"/>
              <w:tr2bl w:val="nil"/>
            </w:tcBorders>
            <w:tcMar>
              <w:left w:w="60" w:type="dxa"/>
              <w:right w:w="60" w:type="dxa"/>
            </w:tcMar>
            <w:vAlign w:val="center"/>
          </w:tcPr>
          <w:p w14:paraId="3384F7D5" w14:textId="77777777" w:rsidR="00807FFE" w:rsidRDefault="00023E71">
            <w:pPr>
              <w:pStyle w:val="DMETW36752BIPSEGREP"/>
              <w:rPr>
                <w:rFonts w:ascii="Verdana" w:eastAsia="Verdana" w:hAnsi="Verdana" w:cs="Verdana"/>
                <w:b/>
                <w:noProof/>
                <w:color w:val="000000"/>
                <w:sz w:val="16"/>
              </w:rPr>
            </w:pPr>
            <w:r>
              <w:rPr>
                <w:rFonts w:ascii="Verdana" w:eastAsia="Verdana" w:hAnsi="Verdana" w:cs="Verdana"/>
                <w:b/>
                <w:noProof/>
                <w:color w:val="000000"/>
                <w:sz w:val="16"/>
              </w:rPr>
              <w:t>Total revenue</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0F246DDD"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1 263</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14:paraId="039775B4"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4 136</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648B39A1"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23 009</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4C2EBB04"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6 450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37C96703"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 xml:space="preserve"> 531</w:t>
            </w:r>
          </w:p>
        </w:tc>
        <w:tc>
          <w:tcPr>
            <w:tcW w:w="1089" w:type="dxa"/>
            <w:tcBorders>
              <w:top w:val="single" w:sz="4" w:space="0" w:color="016794"/>
              <w:left w:val="nil"/>
              <w:bottom w:val="single" w:sz="4" w:space="0" w:color="016794"/>
              <w:right w:val="nil"/>
              <w:tl2br w:val="nil"/>
              <w:tr2bl w:val="nil"/>
            </w:tcBorders>
            <w:tcMar>
              <w:left w:w="60" w:type="dxa"/>
              <w:right w:w="60" w:type="dxa"/>
            </w:tcMar>
            <w:vAlign w:val="center"/>
          </w:tcPr>
          <w:p w14:paraId="4481C0C5"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3 353</w:t>
            </w:r>
          </w:p>
        </w:tc>
        <w:tc>
          <w:tcPr>
            <w:tcW w:w="1462" w:type="dxa"/>
            <w:tcBorders>
              <w:top w:val="single" w:sz="4" w:space="0" w:color="016794"/>
              <w:left w:val="nil"/>
              <w:bottom w:val="single" w:sz="4" w:space="0" w:color="016794"/>
              <w:right w:val="nil"/>
              <w:tl2br w:val="nil"/>
              <w:tr2bl w:val="nil"/>
            </w:tcBorders>
            <w:tcMar>
              <w:left w:w="60" w:type="dxa"/>
              <w:right w:w="60" w:type="dxa"/>
            </w:tcMar>
            <w:vAlign w:val="center"/>
          </w:tcPr>
          <w:p w14:paraId="40CD27DF"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157 355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197F7BD8"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196 098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14:paraId="4ABEBB2D"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6 397</w:t>
            </w:r>
          </w:p>
        </w:tc>
        <w:tc>
          <w:tcPr>
            <w:tcW w:w="1216" w:type="dxa"/>
            <w:tcBorders>
              <w:top w:val="single" w:sz="4" w:space="0" w:color="016794"/>
              <w:left w:val="nil"/>
              <w:bottom w:val="single" w:sz="4" w:space="0" w:color="016794"/>
              <w:right w:val="nil"/>
              <w:tl2br w:val="nil"/>
              <w:tr2bl w:val="nil"/>
            </w:tcBorders>
            <w:tcMar>
              <w:left w:w="60" w:type="dxa"/>
              <w:right w:w="60" w:type="dxa"/>
            </w:tcMar>
            <w:vAlign w:val="center"/>
          </w:tcPr>
          <w:p w14:paraId="121F7F8C" w14:textId="77777777" w:rsidR="00807FFE" w:rsidRDefault="00023E71">
            <w:pPr>
              <w:pStyle w:val="DMETW36752BIPSEGREP"/>
              <w:jc w:val="right"/>
              <w:rPr>
                <w:rFonts w:ascii="Verdana" w:eastAsia="Verdana" w:hAnsi="Verdana" w:cs="Verdana"/>
                <w:b/>
                <w:noProof/>
                <w:color w:val="000000"/>
                <w:sz w:val="16"/>
                <w:lang w:bidi="en-GB"/>
              </w:rPr>
            </w:pPr>
            <w:r>
              <w:rPr>
                <w:rFonts w:ascii="Verdana" w:eastAsia="Verdana" w:hAnsi="Verdana" w:cs="Verdana"/>
                <w:b/>
                <w:noProof/>
                <w:color w:val="000000"/>
                <w:sz w:val="16"/>
              </w:rPr>
              <w:t>202 495</w:t>
            </w:r>
          </w:p>
        </w:tc>
      </w:tr>
      <w:tr w:rsidR="00807FFE" w14:paraId="0675D4C0" w14:textId="77777777">
        <w:trPr>
          <w:trHeight w:hRule="exact" w:val="509"/>
        </w:trPr>
        <w:tc>
          <w:tcPr>
            <w:tcW w:w="2470" w:type="dxa"/>
            <w:tcBorders>
              <w:top w:val="single" w:sz="4" w:space="0" w:color="016794"/>
              <w:left w:val="nil"/>
              <w:bottom w:val="nil"/>
              <w:right w:val="nil"/>
              <w:tl2br w:val="nil"/>
              <w:tr2bl w:val="nil"/>
            </w:tcBorders>
            <w:tcMar>
              <w:left w:w="60" w:type="dxa"/>
              <w:right w:w="60" w:type="dxa"/>
            </w:tcMar>
            <w:vAlign w:val="center"/>
          </w:tcPr>
          <w:p w14:paraId="3425F0B7"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Expenses delegated to Member States</w:t>
            </w:r>
          </w:p>
        </w:tc>
        <w:tc>
          <w:tcPr>
            <w:tcW w:w="1134" w:type="dxa"/>
            <w:tcBorders>
              <w:top w:val="single" w:sz="4" w:space="0" w:color="016794"/>
              <w:left w:val="nil"/>
              <w:bottom w:val="nil"/>
              <w:right w:val="nil"/>
              <w:tl2br w:val="nil"/>
              <w:tr2bl w:val="nil"/>
            </w:tcBorders>
            <w:tcMar>
              <w:left w:w="60" w:type="dxa"/>
              <w:right w:w="60" w:type="dxa"/>
            </w:tcMar>
            <w:vAlign w:val="center"/>
          </w:tcPr>
          <w:p w14:paraId="2E906ADB" w14:textId="77777777" w:rsidR="00807FFE" w:rsidRDefault="00807FFE">
            <w:pPr>
              <w:pStyle w:val="DMETW36752BIPSEGREP"/>
              <w:jc w:val="right"/>
              <w:rPr>
                <w:rFonts w:ascii="Verdana" w:eastAsia="Verdana" w:hAnsi="Verdana" w:cs="Verdana"/>
                <w:i/>
                <w:noProof/>
                <w:color w:val="000000"/>
                <w:sz w:val="16"/>
              </w:rPr>
            </w:pPr>
          </w:p>
        </w:tc>
        <w:tc>
          <w:tcPr>
            <w:tcW w:w="1276" w:type="dxa"/>
            <w:tcBorders>
              <w:top w:val="single" w:sz="4" w:space="0" w:color="016794"/>
              <w:left w:val="nil"/>
              <w:bottom w:val="nil"/>
              <w:right w:val="nil"/>
              <w:tl2br w:val="nil"/>
              <w:tr2bl w:val="nil"/>
            </w:tcBorders>
            <w:tcMar>
              <w:left w:w="60" w:type="dxa"/>
              <w:right w:w="60" w:type="dxa"/>
            </w:tcMar>
            <w:vAlign w:val="center"/>
          </w:tcPr>
          <w:p w14:paraId="75602D3F" w14:textId="77777777" w:rsidR="00807FFE" w:rsidRDefault="00807FFE">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14:paraId="05B4B3FD" w14:textId="77777777" w:rsidR="00807FFE" w:rsidRDefault="00807FFE">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14:paraId="0069AC2F" w14:textId="77777777" w:rsidR="00807FFE" w:rsidRDefault="00807FFE">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14:paraId="70FF2E2F" w14:textId="77777777" w:rsidR="00807FFE" w:rsidRDefault="00807FFE">
            <w:pPr>
              <w:pStyle w:val="DMETW36752BIPSEGREP"/>
              <w:jc w:val="right"/>
              <w:rPr>
                <w:rFonts w:ascii="Verdana" w:eastAsia="Verdana" w:hAnsi="Verdana" w:cs="Verdana"/>
                <w:i/>
                <w:noProof/>
                <w:color w:val="000000"/>
                <w:sz w:val="16"/>
              </w:rPr>
            </w:pPr>
          </w:p>
        </w:tc>
        <w:tc>
          <w:tcPr>
            <w:tcW w:w="1089" w:type="dxa"/>
            <w:tcBorders>
              <w:top w:val="single" w:sz="4" w:space="0" w:color="016794"/>
              <w:left w:val="nil"/>
              <w:bottom w:val="nil"/>
              <w:right w:val="nil"/>
              <w:tl2br w:val="nil"/>
              <w:tr2bl w:val="nil"/>
            </w:tcBorders>
            <w:tcMar>
              <w:left w:w="60" w:type="dxa"/>
              <w:right w:w="60" w:type="dxa"/>
            </w:tcMar>
            <w:vAlign w:val="center"/>
          </w:tcPr>
          <w:p w14:paraId="089BBA3D" w14:textId="77777777" w:rsidR="00807FFE" w:rsidRDefault="00807FFE">
            <w:pPr>
              <w:pStyle w:val="DMETW36752BIPSEGREP"/>
              <w:jc w:val="right"/>
              <w:rPr>
                <w:rFonts w:ascii="Verdana" w:eastAsia="Verdana" w:hAnsi="Verdana" w:cs="Verdana"/>
                <w:i/>
                <w:noProof/>
                <w:color w:val="000000"/>
                <w:sz w:val="16"/>
              </w:rPr>
            </w:pPr>
          </w:p>
        </w:tc>
        <w:tc>
          <w:tcPr>
            <w:tcW w:w="1462" w:type="dxa"/>
            <w:tcBorders>
              <w:top w:val="single" w:sz="4" w:space="0" w:color="016794"/>
              <w:left w:val="nil"/>
              <w:bottom w:val="nil"/>
              <w:right w:val="nil"/>
              <w:tl2br w:val="nil"/>
              <w:tr2bl w:val="nil"/>
            </w:tcBorders>
            <w:tcMar>
              <w:left w:w="60" w:type="dxa"/>
              <w:right w:w="60" w:type="dxa"/>
            </w:tcMar>
            <w:vAlign w:val="center"/>
          </w:tcPr>
          <w:p w14:paraId="59446D15" w14:textId="77777777" w:rsidR="00807FFE" w:rsidRDefault="00807FFE">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14:paraId="31199DF0" w14:textId="77777777" w:rsidR="00807FFE" w:rsidRDefault="00807FFE">
            <w:pPr>
              <w:pStyle w:val="DMETW36752BIPSEGREP"/>
              <w:jc w:val="right"/>
              <w:rPr>
                <w:rFonts w:ascii="Verdana" w:eastAsia="Verdana" w:hAnsi="Verdana" w:cs="Verdana"/>
                <w:i/>
                <w:noProof/>
                <w:color w:val="000000"/>
                <w:sz w:val="16"/>
              </w:rPr>
            </w:pPr>
          </w:p>
        </w:tc>
        <w:tc>
          <w:tcPr>
            <w:tcW w:w="1334" w:type="dxa"/>
            <w:tcBorders>
              <w:top w:val="single" w:sz="4" w:space="0" w:color="016794"/>
              <w:left w:val="nil"/>
              <w:bottom w:val="nil"/>
              <w:right w:val="nil"/>
              <w:tl2br w:val="nil"/>
              <w:tr2bl w:val="nil"/>
            </w:tcBorders>
            <w:tcMar>
              <w:left w:w="60" w:type="dxa"/>
              <w:right w:w="60" w:type="dxa"/>
            </w:tcMar>
            <w:vAlign w:val="center"/>
          </w:tcPr>
          <w:p w14:paraId="3ECCDBD3" w14:textId="77777777" w:rsidR="00807FFE" w:rsidRDefault="00807FFE">
            <w:pPr>
              <w:pStyle w:val="DMETW36752BIPSEGREP"/>
              <w:jc w:val="right"/>
              <w:rPr>
                <w:rFonts w:ascii="Verdana" w:eastAsia="Verdana" w:hAnsi="Verdana" w:cs="Verdana"/>
                <w:i/>
                <w:noProof/>
                <w:color w:val="000000"/>
                <w:sz w:val="16"/>
              </w:rPr>
            </w:pPr>
          </w:p>
        </w:tc>
        <w:tc>
          <w:tcPr>
            <w:tcW w:w="1216" w:type="dxa"/>
            <w:tcBorders>
              <w:top w:val="single" w:sz="4" w:space="0" w:color="016794"/>
              <w:left w:val="nil"/>
              <w:bottom w:val="nil"/>
              <w:right w:val="nil"/>
              <w:tl2br w:val="nil"/>
              <w:tr2bl w:val="nil"/>
            </w:tcBorders>
            <w:tcMar>
              <w:left w:w="60" w:type="dxa"/>
              <w:right w:w="60" w:type="dxa"/>
            </w:tcMar>
            <w:vAlign w:val="center"/>
          </w:tcPr>
          <w:p w14:paraId="541A0D1C" w14:textId="77777777" w:rsidR="00807FFE" w:rsidRDefault="00807FFE">
            <w:pPr>
              <w:pStyle w:val="DMETW36752BIPSEGREP"/>
              <w:jc w:val="right"/>
              <w:rPr>
                <w:rFonts w:ascii="Verdana" w:eastAsia="Verdana" w:hAnsi="Verdana" w:cs="Verdana"/>
                <w:i/>
                <w:noProof/>
                <w:color w:val="000000"/>
                <w:sz w:val="16"/>
                <w:lang w:bidi="en-GB"/>
              </w:rPr>
            </w:pPr>
          </w:p>
        </w:tc>
      </w:tr>
      <w:tr w:rsidR="00807FFE" w14:paraId="413AF2FF"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716F7A9A"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 xml:space="preserve">     EAGF</w:t>
            </w:r>
          </w:p>
        </w:tc>
        <w:tc>
          <w:tcPr>
            <w:tcW w:w="1134" w:type="dxa"/>
            <w:tcBorders>
              <w:top w:val="nil"/>
              <w:left w:val="nil"/>
              <w:bottom w:val="nil"/>
              <w:right w:val="nil"/>
              <w:tl2br w:val="nil"/>
              <w:tr2bl w:val="nil"/>
            </w:tcBorders>
            <w:tcMar>
              <w:left w:w="60" w:type="dxa"/>
              <w:right w:w="60" w:type="dxa"/>
            </w:tcMar>
            <w:vAlign w:val="center"/>
          </w:tcPr>
          <w:p w14:paraId="5CBF504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(40 914)</w:t>
            </w:r>
          </w:p>
        </w:tc>
        <w:tc>
          <w:tcPr>
            <w:tcW w:w="1276" w:type="dxa"/>
            <w:tcBorders>
              <w:top w:val="nil"/>
              <w:left w:val="nil"/>
              <w:bottom w:val="nil"/>
              <w:right w:val="nil"/>
              <w:tl2br w:val="nil"/>
              <w:tr2bl w:val="nil"/>
            </w:tcBorders>
            <w:tcMar>
              <w:left w:w="60" w:type="dxa"/>
              <w:right w:w="60" w:type="dxa"/>
            </w:tcMar>
            <w:vAlign w:val="center"/>
          </w:tcPr>
          <w:p w14:paraId="32773751"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291E68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5244D90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3646A62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4F61F4D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7BFBF7C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0C5CCB2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(40 914)</w:t>
            </w:r>
          </w:p>
        </w:tc>
        <w:tc>
          <w:tcPr>
            <w:tcW w:w="1334" w:type="dxa"/>
            <w:tcBorders>
              <w:top w:val="nil"/>
              <w:left w:val="nil"/>
              <w:bottom w:val="nil"/>
              <w:right w:val="nil"/>
              <w:tl2br w:val="nil"/>
              <w:tr2bl w:val="nil"/>
            </w:tcBorders>
            <w:tcMar>
              <w:left w:w="60" w:type="dxa"/>
              <w:right w:w="60" w:type="dxa"/>
            </w:tcMar>
            <w:vAlign w:val="center"/>
          </w:tcPr>
          <w:p w14:paraId="5EE9A25A"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44065014"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(40 914)</w:t>
            </w:r>
          </w:p>
        </w:tc>
      </w:tr>
      <w:tr w:rsidR="00807FFE" w14:paraId="729D15DE"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0D88F16A"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 xml:space="preserve">     EAFRD &amp; other</w:t>
            </w:r>
          </w:p>
        </w:tc>
        <w:tc>
          <w:tcPr>
            <w:tcW w:w="1134" w:type="dxa"/>
            <w:tcBorders>
              <w:top w:val="nil"/>
              <w:left w:val="nil"/>
              <w:bottom w:val="nil"/>
              <w:right w:val="nil"/>
              <w:tl2br w:val="nil"/>
              <w:tr2bl w:val="nil"/>
            </w:tcBorders>
            <w:tcMar>
              <w:left w:w="60" w:type="dxa"/>
              <w:right w:w="60" w:type="dxa"/>
            </w:tcMar>
            <w:vAlign w:val="center"/>
          </w:tcPr>
          <w:p w14:paraId="59A21BA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(17 017)</w:t>
            </w:r>
          </w:p>
        </w:tc>
        <w:tc>
          <w:tcPr>
            <w:tcW w:w="1276" w:type="dxa"/>
            <w:tcBorders>
              <w:top w:val="nil"/>
              <w:left w:val="nil"/>
              <w:bottom w:val="nil"/>
              <w:right w:val="nil"/>
              <w:tl2br w:val="nil"/>
              <w:tr2bl w:val="nil"/>
            </w:tcBorders>
            <w:tcMar>
              <w:left w:w="60" w:type="dxa"/>
              <w:right w:w="60" w:type="dxa"/>
            </w:tcMar>
            <w:vAlign w:val="center"/>
          </w:tcPr>
          <w:p w14:paraId="3B0B3BE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3905877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42A16A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7DB3D04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7649CB78"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080FA3B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5B089DB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(17 017)</w:t>
            </w:r>
          </w:p>
        </w:tc>
        <w:tc>
          <w:tcPr>
            <w:tcW w:w="1334" w:type="dxa"/>
            <w:tcBorders>
              <w:top w:val="nil"/>
              <w:left w:val="nil"/>
              <w:bottom w:val="nil"/>
              <w:right w:val="nil"/>
              <w:tl2br w:val="nil"/>
              <w:tr2bl w:val="nil"/>
            </w:tcBorders>
            <w:tcMar>
              <w:left w:w="60" w:type="dxa"/>
              <w:right w:w="60" w:type="dxa"/>
            </w:tcMar>
            <w:vAlign w:val="center"/>
          </w:tcPr>
          <w:p w14:paraId="74964C9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45052D06"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(17 017)</w:t>
            </w:r>
          </w:p>
        </w:tc>
      </w:tr>
      <w:tr w:rsidR="00807FFE" w14:paraId="052BE078"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0F5CEBEC"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 xml:space="preserve">     ERDF &amp; CF</w:t>
            </w:r>
          </w:p>
        </w:tc>
        <w:tc>
          <w:tcPr>
            <w:tcW w:w="1134" w:type="dxa"/>
            <w:tcBorders>
              <w:top w:val="nil"/>
              <w:left w:val="nil"/>
              <w:bottom w:val="nil"/>
              <w:right w:val="nil"/>
              <w:tl2br w:val="nil"/>
              <w:tr2bl w:val="nil"/>
            </w:tcBorders>
            <w:tcMar>
              <w:left w:w="60" w:type="dxa"/>
              <w:right w:w="60" w:type="dxa"/>
            </w:tcMar>
            <w:vAlign w:val="center"/>
          </w:tcPr>
          <w:p w14:paraId="7AD3836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1F64782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(31 032)</w:t>
            </w:r>
          </w:p>
        </w:tc>
        <w:tc>
          <w:tcPr>
            <w:tcW w:w="1134" w:type="dxa"/>
            <w:tcBorders>
              <w:top w:val="nil"/>
              <w:left w:val="nil"/>
              <w:bottom w:val="nil"/>
              <w:right w:val="nil"/>
              <w:tl2br w:val="nil"/>
              <w:tr2bl w:val="nil"/>
            </w:tcBorders>
            <w:tcMar>
              <w:left w:w="60" w:type="dxa"/>
              <w:right w:w="60" w:type="dxa"/>
            </w:tcMar>
            <w:vAlign w:val="center"/>
          </w:tcPr>
          <w:p w14:paraId="6C63696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3CD0904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83CD72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4117C731"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4841879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14FB1E5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(31 032)</w:t>
            </w:r>
          </w:p>
        </w:tc>
        <w:tc>
          <w:tcPr>
            <w:tcW w:w="1334" w:type="dxa"/>
            <w:tcBorders>
              <w:top w:val="nil"/>
              <w:left w:val="nil"/>
              <w:bottom w:val="nil"/>
              <w:right w:val="nil"/>
              <w:tl2br w:val="nil"/>
              <w:tr2bl w:val="nil"/>
            </w:tcBorders>
            <w:tcMar>
              <w:left w:w="60" w:type="dxa"/>
              <w:right w:w="60" w:type="dxa"/>
            </w:tcMar>
            <w:vAlign w:val="center"/>
          </w:tcPr>
          <w:p w14:paraId="00C8E1A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35868868"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(31 032)</w:t>
            </w:r>
          </w:p>
        </w:tc>
      </w:tr>
      <w:tr w:rsidR="00807FFE" w14:paraId="2AF5FCCC"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7F4EFCA2"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 xml:space="preserve">     ESF</w:t>
            </w:r>
          </w:p>
        </w:tc>
        <w:tc>
          <w:tcPr>
            <w:tcW w:w="1134" w:type="dxa"/>
            <w:tcBorders>
              <w:top w:val="nil"/>
              <w:left w:val="nil"/>
              <w:bottom w:val="nil"/>
              <w:right w:val="nil"/>
              <w:tl2br w:val="nil"/>
              <w:tr2bl w:val="nil"/>
            </w:tcBorders>
            <w:tcMar>
              <w:left w:w="60" w:type="dxa"/>
              <w:right w:w="60" w:type="dxa"/>
            </w:tcMar>
            <w:vAlign w:val="center"/>
          </w:tcPr>
          <w:p w14:paraId="143ED70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49CBEAE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(17 308)</w:t>
            </w:r>
          </w:p>
        </w:tc>
        <w:tc>
          <w:tcPr>
            <w:tcW w:w="1134" w:type="dxa"/>
            <w:tcBorders>
              <w:top w:val="nil"/>
              <w:left w:val="nil"/>
              <w:bottom w:val="nil"/>
              <w:right w:val="nil"/>
              <w:tl2br w:val="nil"/>
              <w:tr2bl w:val="nil"/>
            </w:tcBorders>
            <w:tcMar>
              <w:left w:w="60" w:type="dxa"/>
              <w:right w:w="60" w:type="dxa"/>
            </w:tcMar>
            <w:vAlign w:val="center"/>
          </w:tcPr>
          <w:p w14:paraId="2EFF851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1BA0E59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0695D5B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3D337B0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7B02CCC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35779C7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(17 308)</w:t>
            </w:r>
          </w:p>
        </w:tc>
        <w:tc>
          <w:tcPr>
            <w:tcW w:w="1334" w:type="dxa"/>
            <w:tcBorders>
              <w:top w:val="nil"/>
              <w:left w:val="nil"/>
              <w:bottom w:val="nil"/>
              <w:right w:val="nil"/>
              <w:tl2br w:val="nil"/>
              <w:tr2bl w:val="nil"/>
            </w:tcBorders>
            <w:tcMar>
              <w:left w:w="60" w:type="dxa"/>
              <w:right w:w="60" w:type="dxa"/>
            </w:tcMar>
            <w:vAlign w:val="center"/>
          </w:tcPr>
          <w:p w14:paraId="48BAE39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44B9E794"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(17 308)</w:t>
            </w:r>
          </w:p>
        </w:tc>
      </w:tr>
      <w:tr w:rsidR="00807FFE" w14:paraId="02889D93"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39EFE465"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 xml:space="preserve">     Other</w:t>
            </w:r>
          </w:p>
        </w:tc>
        <w:tc>
          <w:tcPr>
            <w:tcW w:w="1134" w:type="dxa"/>
            <w:tcBorders>
              <w:top w:val="nil"/>
              <w:left w:val="nil"/>
              <w:bottom w:val="nil"/>
              <w:right w:val="nil"/>
              <w:tl2br w:val="nil"/>
              <w:tr2bl w:val="nil"/>
            </w:tcBorders>
            <w:tcMar>
              <w:left w:w="60" w:type="dxa"/>
              <w:right w:w="60" w:type="dxa"/>
            </w:tcMar>
            <w:vAlign w:val="center"/>
          </w:tcPr>
          <w:p w14:paraId="4319B8B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4CCFAC3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(3 081)</w:t>
            </w:r>
          </w:p>
        </w:tc>
        <w:tc>
          <w:tcPr>
            <w:tcW w:w="1134" w:type="dxa"/>
            <w:tcBorders>
              <w:top w:val="nil"/>
              <w:left w:val="nil"/>
              <w:bottom w:val="nil"/>
              <w:right w:val="nil"/>
              <w:tl2br w:val="nil"/>
              <w:tr2bl w:val="nil"/>
            </w:tcBorders>
            <w:tcMar>
              <w:left w:w="60" w:type="dxa"/>
              <w:right w:w="60" w:type="dxa"/>
            </w:tcMar>
            <w:vAlign w:val="center"/>
          </w:tcPr>
          <w:p w14:paraId="560E266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77E4EDC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482BE6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46CEC6B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05AB144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(1 432)</w:t>
            </w:r>
          </w:p>
        </w:tc>
        <w:tc>
          <w:tcPr>
            <w:tcW w:w="1134" w:type="dxa"/>
            <w:tcBorders>
              <w:top w:val="nil"/>
              <w:left w:val="nil"/>
              <w:bottom w:val="nil"/>
              <w:right w:val="nil"/>
              <w:tl2br w:val="nil"/>
              <w:tr2bl w:val="nil"/>
            </w:tcBorders>
            <w:tcMar>
              <w:left w:w="60" w:type="dxa"/>
              <w:right w:w="60" w:type="dxa"/>
            </w:tcMar>
            <w:vAlign w:val="center"/>
          </w:tcPr>
          <w:p w14:paraId="0F35DCE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(4 514)</w:t>
            </w:r>
          </w:p>
        </w:tc>
        <w:tc>
          <w:tcPr>
            <w:tcW w:w="1334" w:type="dxa"/>
            <w:tcBorders>
              <w:top w:val="nil"/>
              <w:left w:val="nil"/>
              <w:bottom w:val="nil"/>
              <w:right w:val="nil"/>
              <w:tl2br w:val="nil"/>
              <w:tr2bl w:val="nil"/>
            </w:tcBorders>
            <w:tcMar>
              <w:left w:w="60" w:type="dxa"/>
              <w:right w:w="60" w:type="dxa"/>
            </w:tcMar>
            <w:vAlign w:val="center"/>
          </w:tcPr>
          <w:p w14:paraId="2068867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64FABF45"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(4 514)</w:t>
            </w:r>
          </w:p>
        </w:tc>
      </w:tr>
      <w:tr w:rsidR="00807FFE" w14:paraId="774F8F5A" w14:textId="77777777">
        <w:trPr>
          <w:trHeight w:hRule="exact" w:val="703"/>
        </w:trPr>
        <w:tc>
          <w:tcPr>
            <w:tcW w:w="2470" w:type="dxa"/>
            <w:tcBorders>
              <w:top w:val="nil"/>
              <w:left w:val="nil"/>
              <w:bottom w:val="nil"/>
              <w:right w:val="nil"/>
              <w:tl2br w:val="nil"/>
              <w:tr2bl w:val="nil"/>
            </w:tcBorders>
            <w:tcMar>
              <w:left w:w="60" w:type="dxa"/>
              <w:right w:w="60" w:type="dxa"/>
            </w:tcMar>
            <w:vAlign w:val="center"/>
          </w:tcPr>
          <w:p w14:paraId="4E11CC45"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Transfers incl. grants and budget support</w:t>
            </w:r>
          </w:p>
        </w:tc>
        <w:tc>
          <w:tcPr>
            <w:tcW w:w="1134" w:type="dxa"/>
            <w:tcBorders>
              <w:top w:val="nil"/>
              <w:left w:val="nil"/>
              <w:bottom w:val="nil"/>
              <w:right w:val="nil"/>
              <w:tl2br w:val="nil"/>
              <w:tr2bl w:val="nil"/>
            </w:tcBorders>
            <w:tcMar>
              <w:left w:w="60" w:type="dxa"/>
              <w:right w:w="60" w:type="dxa"/>
            </w:tcMar>
            <w:vAlign w:val="center"/>
          </w:tcPr>
          <w:p w14:paraId="1BD651EE" w14:textId="77777777" w:rsidR="00807FFE" w:rsidRDefault="00807FFE">
            <w:pPr>
              <w:pStyle w:val="DMETW36752BIPSEGREP"/>
              <w:jc w:val="right"/>
              <w:rPr>
                <w:rFonts w:ascii="Verdana" w:eastAsia="Verdana" w:hAnsi="Verdana" w:cs="Verdana"/>
                <w:i/>
                <w:noProof/>
                <w:color w:val="000000"/>
                <w:sz w:val="16"/>
              </w:rPr>
            </w:pPr>
          </w:p>
        </w:tc>
        <w:tc>
          <w:tcPr>
            <w:tcW w:w="1276" w:type="dxa"/>
            <w:tcBorders>
              <w:top w:val="nil"/>
              <w:left w:val="nil"/>
              <w:bottom w:val="nil"/>
              <w:right w:val="nil"/>
              <w:tl2br w:val="nil"/>
              <w:tr2bl w:val="nil"/>
            </w:tcBorders>
            <w:tcMar>
              <w:left w:w="60" w:type="dxa"/>
              <w:right w:w="60" w:type="dxa"/>
            </w:tcMar>
            <w:vAlign w:val="center"/>
          </w:tcPr>
          <w:p w14:paraId="0811E04C" w14:textId="77777777" w:rsidR="00807FFE" w:rsidRDefault="00807FFE">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14:paraId="30D66601" w14:textId="77777777" w:rsidR="00807FFE" w:rsidRDefault="00807FFE">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14:paraId="2C13F627" w14:textId="77777777" w:rsidR="00807FFE" w:rsidRDefault="00807FFE">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14:paraId="14D6FC14" w14:textId="77777777" w:rsidR="00807FFE" w:rsidRDefault="00807FFE">
            <w:pPr>
              <w:pStyle w:val="DMETW36752BIPSEGREP"/>
              <w:jc w:val="right"/>
              <w:rPr>
                <w:rFonts w:ascii="Verdana" w:eastAsia="Verdana" w:hAnsi="Verdana" w:cs="Verdana"/>
                <w:i/>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169150CD" w14:textId="77777777" w:rsidR="00807FFE" w:rsidRDefault="00807FFE">
            <w:pPr>
              <w:pStyle w:val="DMETW36752BIPSEGREP"/>
              <w:jc w:val="right"/>
              <w:rPr>
                <w:rFonts w:ascii="Verdana" w:eastAsia="Verdana" w:hAnsi="Verdana" w:cs="Verdana"/>
                <w:i/>
                <w:noProof/>
                <w:color w:val="000000"/>
                <w:sz w:val="16"/>
              </w:rPr>
            </w:pPr>
          </w:p>
        </w:tc>
        <w:tc>
          <w:tcPr>
            <w:tcW w:w="1462" w:type="dxa"/>
            <w:tcBorders>
              <w:top w:val="nil"/>
              <w:left w:val="nil"/>
              <w:bottom w:val="nil"/>
              <w:right w:val="nil"/>
              <w:tl2br w:val="nil"/>
              <w:tr2bl w:val="nil"/>
            </w:tcBorders>
            <w:tcMar>
              <w:left w:w="60" w:type="dxa"/>
              <w:right w:w="60" w:type="dxa"/>
            </w:tcMar>
            <w:vAlign w:val="center"/>
          </w:tcPr>
          <w:p w14:paraId="5FD5918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1F3CC5B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34" w:type="dxa"/>
            <w:tcBorders>
              <w:top w:val="nil"/>
              <w:left w:val="nil"/>
              <w:bottom w:val="nil"/>
              <w:right w:val="nil"/>
              <w:tl2br w:val="nil"/>
              <w:tr2bl w:val="nil"/>
            </w:tcBorders>
            <w:tcMar>
              <w:left w:w="60" w:type="dxa"/>
              <w:right w:w="60" w:type="dxa"/>
            </w:tcMar>
            <w:vAlign w:val="center"/>
          </w:tcPr>
          <w:p w14:paraId="7979662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4151B9BE" w14:textId="77777777" w:rsidR="00807FFE" w:rsidRDefault="00807FFE">
            <w:pPr>
              <w:pStyle w:val="DMETW36752BIPSEGREP"/>
              <w:jc w:val="right"/>
              <w:rPr>
                <w:rFonts w:ascii="Verdana" w:eastAsia="Verdana" w:hAnsi="Verdana" w:cs="Verdana"/>
                <w:i/>
                <w:noProof/>
                <w:color w:val="000000"/>
                <w:sz w:val="16"/>
                <w:lang w:bidi="en-GB"/>
              </w:rPr>
            </w:pPr>
          </w:p>
        </w:tc>
      </w:tr>
      <w:tr w:rsidR="00807FFE" w14:paraId="7FA73100"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423B6E06"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 xml:space="preserve">     RRF</w:t>
            </w:r>
          </w:p>
        </w:tc>
        <w:tc>
          <w:tcPr>
            <w:tcW w:w="1134" w:type="dxa"/>
            <w:tcBorders>
              <w:top w:val="nil"/>
              <w:left w:val="nil"/>
              <w:bottom w:val="nil"/>
              <w:right w:val="nil"/>
              <w:tl2br w:val="nil"/>
              <w:tr2bl w:val="nil"/>
            </w:tcBorders>
            <w:tcMar>
              <w:left w:w="60" w:type="dxa"/>
              <w:right w:w="60" w:type="dxa"/>
            </w:tcMar>
            <w:vAlign w:val="center"/>
          </w:tcPr>
          <w:p w14:paraId="7CF8BF9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6DDB9EE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1D6D19F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(46 815)</w:t>
            </w:r>
          </w:p>
        </w:tc>
        <w:tc>
          <w:tcPr>
            <w:tcW w:w="1134" w:type="dxa"/>
            <w:tcBorders>
              <w:top w:val="nil"/>
              <w:left w:val="nil"/>
              <w:bottom w:val="nil"/>
              <w:right w:val="nil"/>
              <w:tl2br w:val="nil"/>
              <w:tr2bl w:val="nil"/>
            </w:tcBorders>
            <w:tcMar>
              <w:left w:w="60" w:type="dxa"/>
              <w:right w:w="60" w:type="dxa"/>
            </w:tcMar>
            <w:vAlign w:val="center"/>
          </w:tcPr>
          <w:p w14:paraId="7D898B7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0B84EAA"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59AEA21A"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1B8DB13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5D34DF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(46 815)</w:t>
            </w:r>
          </w:p>
        </w:tc>
        <w:tc>
          <w:tcPr>
            <w:tcW w:w="1334" w:type="dxa"/>
            <w:tcBorders>
              <w:top w:val="nil"/>
              <w:left w:val="nil"/>
              <w:bottom w:val="nil"/>
              <w:right w:val="nil"/>
              <w:tl2br w:val="nil"/>
              <w:tr2bl w:val="nil"/>
            </w:tcBorders>
            <w:tcMar>
              <w:left w:w="60" w:type="dxa"/>
              <w:right w:w="60" w:type="dxa"/>
            </w:tcMar>
            <w:vAlign w:val="center"/>
          </w:tcPr>
          <w:p w14:paraId="3661BF5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5EF532B5"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(46 815)</w:t>
            </w:r>
          </w:p>
        </w:tc>
      </w:tr>
      <w:tr w:rsidR="00807FFE" w14:paraId="17CFDBBC"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4C0FD8BE"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 xml:space="preserve">     Other</w:t>
            </w:r>
          </w:p>
        </w:tc>
        <w:tc>
          <w:tcPr>
            <w:tcW w:w="1134" w:type="dxa"/>
            <w:tcBorders>
              <w:top w:val="nil"/>
              <w:left w:val="nil"/>
              <w:bottom w:val="nil"/>
              <w:right w:val="nil"/>
              <w:tl2br w:val="nil"/>
              <w:tr2bl w:val="nil"/>
            </w:tcBorders>
            <w:tcMar>
              <w:left w:w="60" w:type="dxa"/>
              <w:right w:w="60" w:type="dxa"/>
            </w:tcMar>
            <w:vAlign w:val="center"/>
          </w:tcPr>
          <w:p w14:paraId="16FAC1B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(38)</w:t>
            </w:r>
          </w:p>
        </w:tc>
        <w:tc>
          <w:tcPr>
            <w:tcW w:w="1276" w:type="dxa"/>
            <w:tcBorders>
              <w:top w:val="nil"/>
              <w:left w:val="nil"/>
              <w:bottom w:val="nil"/>
              <w:right w:val="nil"/>
              <w:tl2br w:val="nil"/>
              <w:tr2bl w:val="nil"/>
            </w:tcBorders>
            <w:tcMar>
              <w:left w:w="60" w:type="dxa"/>
              <w:right w:w="60" w:type="dxa"/>
            </w:tcMar>
            <w:vAlign w:val="center"/>
          </w:tcPr>
          <w:p w14:paraId="2CE6A1B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(203)</w:t>
            </w:r>
          </w:p>
        </w:tc>
        <w:tc>
          <w:tcPr>
            <w:tcW w:w="1134" w:type="dxa"/>
            <w:tcBorders>
              <w:top w:val="nil"/>
              <w:left w:val="nil"/>
              <w:bottom w:val="nil"/>
              <w:right w:val="nil"/>
              <w:tl2br w:val="nil"/>
              <w:tr2bl w:val="nil"/>
            </w:tcBorders>
            <w:tcMar>
              <w:left w:w="60" w:type="dxa"/>
              <w:right w:w="60" w:type="dxa"/>
            </w:tcMar>
            <w:vAlign w:val="center"/>
          </w:tcPr>
          <w:p w14:paraId="26D786B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(1 489)</w:t>
            </w:r>
          </w:p>
        </w:tc>
        <w:tc>
          <w:tcPr>
            <w:tcW w:w="1134" w:type="dxa"/>
            <w:tcBorders>
              <w:top w:val="nil"/>
              <w:left w:val="nil"/>
              <w:bottom w:val="nil"/>
              <w:right w:val="nil"/>
              <w:tl2br w:val="nil"/>
              <w:tr2bl w:val="nil"/>
            </w:tcBorders>
            <w:tcMar>
              <w:left w:w="60" w:type="dxa"/>
              <w:right w:w="60" w:type="dxa"/>
            </w:tcMar>
            <w:vAlign w:val="center"/>
          </w:tcPr>
          <w:p w14:paraId="3558A12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(18 938)</w:t>
            </w:r>
          </w:p>
        </w:tc>
        <w:tc>
          <w:tcPr>
            <w:tcW w:w="1134" w:type="dxa"/>
            <w:tcBorders>
              <w:top w:val="nil"/>
              <w:left w:val="nil"/>
              <w:bottom w:val="nil"/>
              <w:right w:val="nil"/>
              <w:tl2br w:val="nil"/>
              <w:tr2bl w:val="nil"/>
            </w:tcBorders>
            <w:tcMar>
              <w:left w:w="60" w:type="dxa"/>
              <w:right w:w="60" w:type="dxa"/>
            </w:tcMar>
            <w:vAlign w:val="center"/>
          </w:tcPr>
          <w:p w14:paraId="242C351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(5 901)</w:t>
            </w:r>
          </w:p>
        </w:tc>
        <w:tc>
          <w:tcPr>
            <w:tcW w:w="1089" w:type="dxa"/>
            <w:tcBorders>
              <w:top w:val="nil"/>
              <w:left w:val="nil"/>
              <w:bottom w:val="nil"/>
              <w:right w:val="nil"/>
              <w:tl2br w:val="nil"/>
              <w:tr2bl w:val="nil"/>
            </w:tcBorders>
            <w:tcMar>
              <w:left w:w="60" w:type="dxa"/>
              <w:right w:w="60" w:type="dxa"/>
            </w:tcMar>
            <w:vAlign w:val="center"/>
          </w:tcPr>
          <w:p w14:paraId="4EFE2D0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(104)</w:t>
            </w:r>
          </w:p>
        </w:tc>
        <w:tc>
          <w:tcPr>
            <w:tcW w:w="1462" w:type="dxa"/>
            <w:tcBorders>
              <w:top w:val="nil"/>
              <w:left w:val="nil"/>
              <w:bottom w:val="nil"/>
              <w:right w:val="nil"/>
              <w:tl2br w:val="nil"/>
              <w:tr2bl w:val="nil"/>
            </w:tcBorders>
            <w:tcMar>
              <w:left w:w="60" w:type="dxa"/>
              <w:right w:w="60" w:type="dxa"/>
            </w:tcMar>
            <w:vAlign w:val="center"/>
          </w:tcPr>
          <w:p w14:paraId="0811D4F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(1 615)</w:t>
            </w:r>
          </w:p>
        </w:tc>
        <w:tc>
          <w:tcPr>
            <w:tcW w:w="1134" w:type="dxa"/>
            <w:tcBorders>
              <w:top w:val="nil"/>
              <w:left w:val="nil"/>
              <w:bottom w:val="nil"/>
              <w:right w:val="nil"/>
              <w:tl2br w:val="nil"/>
              <w:tr2bl w:val="nil"/>
            </w:tcBorders>
            <w:tcMar>
              <w:left w:w="60" w:type="dxa"/>
              <w:right w:w="60" w:type="dxa"/>
            </w:tcMar>
            <w:vAlign w:val="center"/>
          </w:tcPr>
          <w:p w14:paraId="2F249BE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(28 289)</w:t>
            </w:r>
          </w:p>
        </w:tc>
        <w:tc>
          <w:tcPr>
            <w:tcW w:w="1334" w:type="dxa"/>
            <w:tcBorders>
              <w:top w:val="nil"/>
              <w:left w:val="nil"/>
              <w:bottom w:val="nil"/>
              <w:right w:val="nil"/>
              <w:tl2br w:val="nil"/>
              <w:tr2bl w:val="nil"/>
            </w:tcBorders>
            <w:tcMar>
              <w:left w:w="60" w:type="dxa"/>
              <w:right w:w="60" w:type="dxa"/>
            </w:tcMar>
            <w:vAlign w:val="center"/>
          </w:tcPr>
          <w:p w14:paraId="2A7E4E1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(3 737)</w:t>
            </w:r>
          </w:p>
        </w:tc>
        <w:tc>
          <w:tcPr>
            <w:tcW w:w="1216" w:type="dxa"/>
            <w:tcBorders>
              <w:top w:val="nil"/>
              <w:left w:val="nil"/>
              <w:bottom w:val="nil"/>
              <w:right w:val="nil"/>
              <w:tl2br w:val="nil"/>
              <w:tr2bl w:val="nil"/>
            </w:tcBorders>
            <w:tcMar>
              <w:left w:w="60" w:type="dxa"/>
              <w:right w:w="60" w:type="dxa"/>
            </w:tcMar>
            <w:vAlign w:val="center"/>
          </w:tcPr>
          <w:p w14:paraId="4A862896"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(32 025)</w:t>
            </w:r>
          </w:p>
        </w:tc>
      </w:tr>
      <w:tr w:rsidR="00807FFE" w14:paraId="68910D00"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1C2D7B96"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Contribution agreements, including EU bodies</w:t>
            </w:r>
          </w:p>
        </w:tc>
        <w:tc>
          <w:tcPr>
            <w:tcW w:w="1134" w:type="dxa"/>
            <w:tcBorders>
              <w:top w:val="nil"/>
              <w:left w:val="nil"/>
              <w:bottom w:val="nil"/>
              <w:right w:val="nil"/>
              <w:tl2br w:val="nil"/>
              <w:tr2bl w:val="nil"/>
            </w:tcBorders>
            <w:tcMar>
              <w:left w:w="60" w:type="dxa"/>
              <w:right w:w="60" w:type="dxa"/>
            </w:tcMar>
            <w:vAlign w:val="center"/>
          </w:tcPr>
          <w:p w14:paraId="17EAFD7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(124)</w:t>
            </w:r>
          </w:p>
        </w:tc>
        <w:tc>
          <w:tcPr>
            <w:tcW w:w="1276" w:type="dxa"/>
            <w:tcBorders>
              <w:top w:val="nil"/>
              <w:left w:val="nil"/>
              <w:bottom w:val="nil"/>
              <w:right w:val="nil"/>
              <w:tl2br w:val="nil"/>
              <w:tr2bl w:val="nil"/>
            </w:tcBorders>
            <w:tcMar>
              <w:left w:w="60" w:type="dxa"/>
              <w:right w:w="60" w:type="dxa"/>
            </w:tcMar>
            <w:vAlign w:val="center"/>
          </w:tcPr>
          <w:p w14:paraId="2D0B6FA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(546)</w:t>
            </w:r>
          </w:p>
        </w:tc>
        <w:tc>
          <w:tcPr>
            <w:tcW w:w="1134" w:type="dxa"/>
            <w:tcBorders>
              <w:top w:val="nil"/>
              <w:left w:val="nil"/>
              <w:bottom w:val="nil"/>
              <w:right w:val="nil"/>
              <w:tl2br w:val="nil"/>
              <w:tr2bl w:val="nil"/>
            </w:tcBorders>
            <w:tcMar>
              <w:left w:w="60" w:type="dxa"/>
              <w:right w:w="60" w:type="dxa"/>
            </w:tcMar>
            <w:vAlign w:val="center"/>
          </w:tcPr>
          <w:p w14:paraId="2AC6A82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197</w:t>
            </w:r>
          </w:p>
        </w:tc>
        <w:tc>
          <w:tcPr>
            <w:tcW w:w="1134" w:type="dxa"/>
            <w:tcBorders>
              <w:top w:val="nil"/>
              <w:left w:val="nil"/>
              <w:bottom w:val="nil"/>
              <w:right w:val="nil"/>
              <w:tl2br w:val="nil"/>
              <w:tr2bl w:val="nil"/>
            </w:tcBorders>
            <w:tcMar>
              <w:left w:w="60" w:type="dxa"/>
              <w:right w:w="60" w:type="dxa"/>
            </w:tcMar>
            <w:vAlign w:val="center"/>
          </w:tcPr>
          <w:p w14:paraId="222D447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(5 159)</w:t>
            </w:r>
          </w:p>
        </w:tc>
        <w:tc>
          <w:tcPr>
            <w:tcW w:w="1134" w:type="dxa"/>
            <w:tcBorders>
              <w:top w:val="nil"/>
              <w:left w:val="nil"/>
              <w:bottom w:val="nil"/>
              <w:right w:val="nil"/>
              <w:tl2br w:val="nil"/>
              <w:tr2bl w:val="nil"/>
            </w:tcBorders>
            <w:tcMar>
              <w:left w:w="60" w:type="dxa"/>
              <w:right w:w="60" w:type="dxa"/>
            </w:tcMar>
            <w:vAlign w:val="center"/>
          </w:tcPr>
          <w:p w14:paraId="3DA79B5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(7 190)</w:t>
            </w:r>
          </w:p>
        </w:tc>
        <w:tc>
          <w:tcPr>
            <w:tcW w:w="1089" w:type="dxa"/>
            <w:tcBorders>
              <w:top w:val="nil"/>
              <w:left w:val="nil"/>
              <w:bottom w:val="nil"/>
              <w:right w:val="nil"/>
              <w:tl2br w:val="nil"/>
              <w:tr2bl w:val="nil"/>
            </w:tcBorders>
            <w:tcMar>
              <w:left w:w="60" w:type="dxa"/>
              <w:right w:w="60" w:type="dxa"/>
            </w:tcMar>
            <w:vAlign w:val="center"/>
          </w:tcPr>
          <w:p w14:paraId="61FE13FE"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(526)</w:t>
            </w:r>
          </w:p>
        </w:tc>
        <w:tc>
          <w:tcPr>
            <w:tcW w:w="1462" w:type="dxa"/>
            <w:tcBorders>
              <w:top w:val="nil"/>
              <w:left w:val="nil"/>
              <w:bottom w:val="nil"/>
              <w:right w:val="nil"/>
              <w:tl2br w:val="nil"/>
              <w:tr2bl w:val="nil"/>
            </w:tcBorders>
            <w:tcMar>
              <w:left w:w="60" w:type="dxa"/>
              <w:right w:w="60" w:type="dxa"/>
            </w:tcMar>
            <w:vAlign w:val="center"/>
          </w:tcPr>
          <w:p w14:paraId="6B51DF7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(5 988)</w:t>
            </w:r>
          </w:p>
        </w:tc>
        <w:tc>
          <w:tcPr>
            <w:tcW w:w="1134" w:type="dxa"/>
            <w:tcBorders>
              <w:top w:val="nil"/>
              <w:left w:val="nil"/>
              <w:bottom w:val="nil"/>
              <w:right w:val="nil"/>
              <w:tl2br w:val="nil"/>
              <w:tr2bl w:val="nil"/>
            </w:tcBorders>
            <w:tcMar>
              <w:left w:w="60" w:type="dxa"/>
              <w:right w:w="60" w:type="dxa"/>
            </w:tcMar>
            <w:vAlign w:val="center"/>
          </w:tcPr>
          <w:p w14:paraId="3EF7FE6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(19 337)</w:t>
            </w:r>
          </w:p>
        </w:tc>
        <w:tc>
          <w:tcPr>
            <w:tcW w:w="1334" w:type="dxa"/>
            <w:tcBorders>
              <w:top w:val="nil"/>
              <w:left w:val="nil"/>
              <w:bottom w:val="nil"/>
              <w:right w:val="nil"/>
              <w:tl2br w:val="nil"/>
              <w:tr2bl w:val="nil"/>
            </w:tcBorders>
            <w:tcMar>
              <w:left w:w="60" w:type="dxa"/>
              <w:right w:w="60" w:type="dxa"/>
            </w:tcMar>
            <w:vAlign w:val="center"/>
          </w:tcPr>
          <w:p w14:paraId="4AE690C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6 137</w:t>
            </w:r>
          </w:p>
        </w:tc>
        <w:tc>
          <w:tcPr>
            <w:tcW w:w="1216" w:type="dxa"/>
            <w:tcBorders>
              <w:top w:val="nil"/>
              <w:left w:val="nil"/>
              <w:bottom w:val="nil"/>
              <w:right w:val="nil"/>
              <w:tl2br w:val="nil"/>
              <w:tr2bl w:val="nil"/>
            </w:tcBorders>
            <w:tcMar>
              <w:left w:w="60" w:type="dxa"/>
              <w:right w:w="60" w:type="dxa"/>
            </w:tcMar>
            <w:vAlign w:val="center"/>
          </w:tcPr>
          <w:p w14:paraId="0A4DDFD8"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(13 200)</w:t>
            </w:r>
          </w:p>
        </w:tc>
      </w:tr>
      <w:tr w:rsidR="00807FFE" w14:paraId="2FFA360A" w14:textId="77777777">
        <w:trPr>
          <w:trHeight w:hRule="exact" w:val="170"/>
        </w:trPr>
        <w:tc>
          <w:tcPr>
            <w:tcW w:w="2470" w:type="dxa"/>
            <w:tcBorders>
              <w:top w:val="nil"/>
              <w:left w:val="nil"/>
              <w:bottom w:val="nil"/>
              <w:right w:val="nil"/>
              <w:tl2br w:val="nil"/>
              <w:tr2bl w:val="nil"/>
            </w:tcBorders>
            <w:tcMar>
              <w:left w:w="60" w:type="dxa"/>
              <w:right w:w="60" w:type="dxa"/>
            </w:tcMar>
            <w:vAlign w:val="center"/>
          </w:tcPr>
          <w:p w14:paraId="1FACA74C"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Staff and pension costs</w:t>
            </w:r>
          </w:p>
        </w:tc>
        <w:tc>
          <w:tcPr>
            <w:tcW w:w="1134" w:type="dxa"/>
            <w:tcBorders>
              <w:top w:val="nil"/>
              <w:left w:val="nil"/>
              <w:bottom w:val="nil"/>
              <w:right w:val="nil"/>
              <w:tl2br w:val="nil"/>
              <w:tr2bl w:val="nil"/>
            </w:tcBorders>
            <w:tcMar>
              <w:left w:w="60" w:type="dxa"/>
              <w:right w:w="60" w:type="dxa"/>
            </w:tcMar>
            <w:vAlign w:val="center"/>
          </w:tcPr>
          <w:p w14:paraId="3D9AD07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w:t>
            </w:r>
          </w:p>
        </w:tc>
        <w:tc>
          <w:tcPr>
            <w:tcW w:w="1276" w:type="dxa"/>
            <w:tcBorders>
              <w:top w:val="nil"/>
              <w:left w:val="nil"/>
              <w:bottom w:val="nil"/>
              <w:right w:val="nil"/>
              <w:tl2br w:val="nil"/>
              <w:tr2bl w:val="nil"/>
            </w:tcBorders>
            <w:tcMar>
              <w:left w:w="60" w:type="dxa"/>
              <w:right w:w="60" w:type="dxa"/>
            </w:tcMar>
            <w:vAlign w:val="center"/>
          </w:tcPr>
          <w:p w14:paraId="773C7ED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w:t>
            </w:r>
          </w:p>
        </w:tc>
        <w:tc>
          <w:tcPr>
            <w:tcW w:w="1134" w:type="dxa"/>
            <w:tcBorders>
              <w:top w:val="nil"/>
              <w:left w:val="nil"/>
              <w:bottom w:val="nil"/>
              <w:right w:val="nil"/>
              <w:tl2br w:val="nil"/>
              <w:tr2bl w:val="nil"/>
            </w:tcBorders>
            <w:tcMar>
              <w:left w:w="60" w:type="dxa"/>
              <w:right w:w="60" w:type="dxa"/>
            </w:tcMar>
            <w:vAlign w:val="center"/>
          </w:tcPr>
          <w:p w14:paraId="66DA992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6B325D0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w:t>
            </w:r>
          </w:p>
        </w:tc>
        <w:tc>
          <w:tcPr>
            <w:tcW w:w="1134" w:type="dxa"/>
            <w:tcBorders>
              <w:top w:val="nil"/>
              <w:left w:val="nil"/>
              <w:bottom w:val="nil"/>
              <w:right w:val="nil"/>
              <w:tl2br w:val="nil"/>
              <w:tr2bl w:val="nil"/>
            </w:tcBorders>
            <w:tcMar>
              <w:left w:w="60" w:type="dxa"/>
              <w:right w:w="60" w:type="dxa"/>
            </w:tcMar>
            <w:vAlign w:val="center"/>
          </w:tcPr>
          <w:p w14:paraId="06280361"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14:paraId="4816634D"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w:t>
            </w:r>
          </w:p>
        </w:tc>
        <w:tc>
          <w:tcPr>
            <w:tcW w:w="1462" w:type="dxa"/>
            <w:tcBorders>
              <w:top w:val="nil"/>
              <w:left w:val="nil"/>
              <w:bottom w:val="nil"/>
              <w:right w:val="nil"/>
              <w:tl2br w:val="nil"/>
              <w:tr2bl w:val="nil"/>
            </w:tcBorders>
            <w:tcMar>
              <w:left w:w="60" w:type="dxa"/>
              <w:right w:w="60" w:type="dxa"/>
            </w:tcMar>
            <w:vAlign w:val="center"/>
          </w:tcPr>
          <w:p w14:paraId="1DEC4A41"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(10 695)</w:t>
            </w:r>
          </w:p>
        </w:tc>
        <w:tc>
          <w:tcPr>
            <w:tcW w:w="1134" w:type="dxa"/>
            <w:tcBorders>
              <w:top w:val="nil"/>
              <w:left w:val="nil"/>
              <w:bottom w:val="nil"/>
              <w:right w:val="nil"/>
              <w:tl2br w:val="nil"/>
              <w:tr2bl w:val="nil"/>
            </w:tcBorders>
            <w:tcMar>
              <w:left w:w="60" w:type="dxa"/>
              <w:right w:w="60" w:type="dxa"/>
            </w:tcMar>
            <w:vAlign w:val="center"/>
          </w:tcPr>
          <w:p w14:paraId="0CE96BD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(10 694)</w:t>
            </w:r>
          </w:p>
        </w:tc>
        <w:tc>
          <w:tcPr>
            <w:tcW w:w="1334" w:type="dxa"/>
            <w:tcBorders>
              <w:top w:val="nil"/>
              <w:left w:val="nil"/>
              <w:bottom w:val="nil"/>
              <w:right w:val="nil"/>
              <w:tl2br w:val="nil"/>
              <w:tr2bl w:val="nil"/>
            </w:tcBorders>
            <w:tcMar>
              <w:left w:w="60" w:type="dxa"/>
              <w:right w:w="60" w:type="dxa"/>
            </w:tcMar>
            <w:vAlign w:val="center"/>
          </w:tcPr>
          <w:p w14:paraId="71DA005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(5 260)</w:t>
            </w:r>
          </w:p>
        </w:tc>
        <w:tc>
          <w:tcPr>
            <w:tcW w:w="1216" w:type="dxa"/>
            <w:tcBorders>
              <w:top w:val="nil"/>
              <w:left w:val="nil"/>
              <w:bottom w:val="nil"/>
              <w:right w:val="nil"/>
              <w:tl2br w:val="nil"/>
              <w:tr2bl w:val="nil"/>
            </w:tcBorders>
            <w:tcMar>
              <w:left w:w="60" w:type="dxa"/>
              <w:right w:w="60" w:type="dxa"/>
            </w:tcMar>
            <w:vAlign w:val="center"/>
          </w:tcPr>
          <w:p w14:paraId="534C44DA"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(15 954)</w:t>
            </w:r>
          </w:p>
        </w:tc>
      </w:tr>
      <w:tr w:rsidR="00807FFE" w14:paraId="4577706B" w14:textId="77777777">
        <w:trPr>
          <w:trHeight w:hRule="exact" w:val="298"/>
        </w:trPr>
        <w:tc>
          <w:tcPr>
            <w:tcW w:w="2470" w:type="dxa"/>
            <w:tcBorders>
              <w:top w:val="nil"/>
              <w:left w:val="nil"/>
              <w:bottom w:val="nil"/>
              <w:right w:val="nil"/>
              <w:tl2br w:val="nil"/>
              <w:tr2bl w:val="nil"/>
            </w:tcBorders>
            <w:tcMar>
              <w:left w:w="60" w:type="dxa"/>
              <w:right w:w="60" w:type="dxa"/>
            </w:tcMar>
            <w:vAlign w:val="center"/>
          </w:tcPr>
          <w:p w14:paraId="2CF7E51E"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Finance costs</w:t>
            </w:r>
          </w:p>
        </w:tc>
        <w:tc>
          <w:tcPr>
            <w:tcW w:w="1134" w:type="dxa"/>
            <w:tcBorders>
              <w:top w:val="nil"/>
              <w:left w:val="nil"/>
              <w:bottom w:val="nil"/>
              <w:right w:val="nil"/>
              <w:tl2br w:val="nil"/>
              <w:tr2bl w:val="nil"/>
            </w:tcBorders>
            <w:tcMar>
              <w:left w:w="60" w:type="dxa"/>
              <w:right w:w="60" w:type="dxa"/>
            </w:tcMar>
            <w:vAlign w:val="center"/>
          </w:tcPr>
          <w:p w14:paraId="3D1D6E5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(7)</w:t>
            </w:r>
          </w:p>
        </w:tc>
        <w:tc>
          <w:tcPr>
            <w:tcW w:w="1276" w:type="dxa"/>
            <w:tcBorders>
              <w:top w:val="nil"/>
              <w:left w:val="nil"/>
              <w:bottom w:val="nil"/>
              <w:right w:val="nil"/>
              <w:tl2br w:val="nil"/>
              <w:tr2bl w:val="nil"/>
            </w:tcBorders>
            <w:tcMar>
              <w:left w:w="60" w:type="dxa"/>
              <w:right w:w="60" w:type="dxa"/>
            </w:tcMar>
            <w:vAlign w:val="center"/>
          </w:tcPr>
          <w:p w14:paraId="2D1DD8A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0</w:t>
            </w:r>
          </w:p>
        </w:tc>
        <w:tc>
          <w:tcPr>
            <w:tcW w:w="1134" w:type="dxa"/>
            <w:tcBorders>
              <w:top w:val="nil"/>
              <w:left w:val="nil"/>
              <w:bottom w:val="nil"/>
              <w:right w:val="nil"/>
              <w:tl2br w:val="nil"/>
              <w:tr2bl w:val="nil"/>
            </w:tcBorders>
            <w:tcMar>
              <w:left w:w="60" w:type="dxa"/>
              <w:right w:w="60" w:type="dxa"/>
            </w:tcMar>
            <w:vAlign w:val="center"/>
          </w:tcPr>
          <w:p w14:paraId="6D0DD74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(22 718)</w:t>
            </w:r>
          </w:p>
        </w:tc>
        <w:tc>
          <w:tcPr>
            <w:tcW w:w="1134" w:type="dxa"/>
            <w:tcBorders>
              <w:top w:val="nil"/>
              <w:left w:val="nil"/>
              <w:bottom w:val="nil"/>
              <w:right w:val="nil"/>
              <w:tl2br w:val="nil"/>
              <w:tr2bl w:val="nil"/>
            </w:tcBorders>
            <w:tcMar>
              <w:left w:w="60" w:type="dxa"/>
              <w:right w:w="60" w:type="dxa"/>
            </w:tcMar>
            <w:vAlign w:val="center"/>
          </w:tcPr>
          <w:p w14:paraId="4708EA1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(1 658)</w:t>
            </w:r>
          </w:p>
        </w:tc>
        <w:tc>
          <w:tcPr>
            <w:tcW w:w="1134" w:type="dxa"/>
            <w:tcBorders>
              <w:top w:val="nil"/>
              <w:left w:val="nil"/>
              <w:bottom w:val="nil"/>
              <w:right w:val="nil"/>
              <w:tl2br w:val="nil"/>
              <w:tr2bl w:val="nil"/>
            </w:tcBorders>
            <w:tcMar>
              <w:left w:w="60" w:type="dxa"/>
              <w:right w:w="60" w:type="dxa"/>
            </w:tcMar>
            <w:vAlign w:val="center"/>
          </w:tcPr>
          <w:p w14:paraId="3C08E419"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(1 943)</w:t>
            </w:r>
          </w:p>
        </w:tc>
        <w:tc>
          <w:tcPr>
            <w:tcW w:w="1089" w:type="dxa"/>
            <w:tcBorders>
              <w:top w:val="nil"/>
              <w:left w:val="nil"/>
              <w:bottom w:val="nil"/>
              <w:right w:val="nil"/>
              <w:tl2br w:val="nil"/>
              <w:tr2bl w:val="nil"/>
            </w:tcBorders>
            <w:tcMar>
              <w:left w:w="60" w:type="dxa"/>
              <w:right w:w="60" w:type="dxa"/>
            </w:tcMar>
            <w:vAlign w:val="center"/>
          </w:tcPr>
          <w:p w14:paraId="3C235CF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w:t>
            </w:r>
          </w:p>
        </w:tc>
        <w:tc>
          <w:tcPr>
            <w:tcW w:w="1462" w:type="dxa"/>
            <w:tcBorders>
              <w:top w:val="nil"/>
              <w:left w:val="nil"/>
              <w:bottom w:val="nil"/>
              <w:right w:val="nil"/>
              <w:tl2br w:val="nil"/>
              <w:tr2bl w:val="nil"/>
            </w:tcBorders>
            <w:tcMar>
              <w:left w:w="60" w:type="dxa"/>
              <w:right w:w="60" w:type="dxa"/>
            </w:tcMar>
            <w:vAlign w:val="center"/>
          </w:tcPr>
          <w:p w14:paraId="33B226F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(773)</w:t>
            </w:r>
          </w:p>
        </w:tc>
        <w:tc>
          <w:tcPr>
            <w:tcW w:w="1134" w:type="dxa"/>
            <w:tcBorders>
              <w:top w:val="nil"/>
              <w:left w:val="nil"/>
              <w:bottom w:val="nil"/>
              <w:right w:val="nil"/>
              <w:tl2br w:val="nil"/>
              <w:tr2bl w:val="nil"/>
            </w:tcBorders>
            <w:tcMar>
              <w:left w:w="60" w:type="dxa"/>
              <w:right w:w="60" w:type="dxa"/>
            </w:tcMar>
            <w:vAlign w:val="center"/>
          </w:tcPr>
          <w:p w14:paraId="548D337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(27 100)</w:t>
            </w:r>
          </w:p>
        </w:tc>
        <w:tc>
          <w:tcPr>
            <w:tcW w:w="1334" w:type="dxa"/>
            <w:tcBorders>
              <w:top w:val="nil"/>
              <w:left w:val="nil"/>
              <w:bottom w:val="nil"/>
              <w:right w:val="nil"/>
              <w:tl2br w:val="nil"/>
              <w:tr2bl w:val="nil"/>
            </w:tcBorders>
            <w:tcMar>
              <w:left w:w="60" w:type="dxa"/>
              <w:right w:w="60" w:type="dxa"/>
            </w:tcMar>
            <w:vAlign w:val="center"/>
          </w:tcPr>
          <w:p w14:paraId="47FC0105"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(56)</w:t>
            </w:r>
          </w:p>
        </w:tc>
        <w:tc>
          <w:tcPr>
            <w:tcW w:w="1216" w:type="dxa"/>
            <w:tcBorders>
              <w:top w:val="nil"/>
              <w:left w:val="nil"/>
              <w:bottom w:val="nil"/>
              <w:right w:val="nil"/>
              <w:tl2br w:val="nil"/>
              <w:tr2bl w:val="nil"/>
            </w:tcBorders>
            <w:tcMar>
              <w:left w:w="60" w:type="dxa"/>
              <w:right w:w="60" w:type="dxa"/>
            </w:tcMar>
            <w:vAlign w:val="center"/>
          </w:tcPr>
          <w:p w14:paraId="29BFFDC6"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(27 156)</w:t>
            </w:r>
          </w:p>
        </w:tc>
      </w:tr>
      <w:tr w:rsidR="00807FFE" w14:paraId="42622770" w14:textId="77777777">
        <w:trPr>
          <w:trHeight w:hRule="exact" w:val="287"/>
        </w:trPr>
        <w:tc>
          <w:tcPr>
            <w:tcW w:w="2470" w:type="dxa"/>
            <w:tcBorders>
              <w:top w:val="nil"/>
              <w:left w:val="nil"/>
              <w:bottom w:val="nil"/>
              <w:right w:val="nil"/>
              <w:tl2br w:val="nil"/>
              <w:tr2bl w:val="nil"/>
            </w:tcBorders>
            <w:tcMar>
              <w:left w:w="60" w:type="dxa"/>
              <w:right w:w="60" w:type="dxa"/>
            </w:tcMar>
            <w:vAlign w:val="center"/>
          </w:tcPr>
          <w:p w14:paraId="12208A65"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UK Withdrawal Agreement</w:t>
            </w:r>
          </w:p>
        </w:tc>
        <w:tc>
          <w:tcPr>
            <w:tcW w:w="1134" w:type="dxa"/>
            <w:tcBorders>
              <w:top w:val="nil"/>
              <w:left w:val="nil"/>
              <w:bottom w:val="nil"/>
              <w:right w:val="nil"/>
              <w:tl2br w:val="nil"/>
              <w:tr2bl w:val="nil"/>
            </w:tcBorders>
            <w:tcMar>
              <w:left w:w="60" w:type="dxa"/>
              <w:right w:w="60" w:type="dxa"/>
            </w:tcMar>
            <w:vAlign w:val="center"/>
          </w:tcPr>
          <w:p w14:paraId="056A102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14:paraId="50FA31E8"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295982A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69F5ED5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14:paraId="1A9E6CE2"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4AC3EAE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14:paraId="591665D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(465)</w:t>
            </w:r>
          </w:p>
        </w:tc>
        <w:tc>
          <w:tcPr>
            <w:tcW w:w="1134" w:type="dxa"/>
            <w:tcBorders>
              <w:top w:val="nil"/>
              <w:left w:val="nil"/>
              <w:bottom w:val="nil"/>
              <w:right w:val="nil"/>
              <w:tl2br w:val="nil"/>
              <w:tr2bl w:val="nil"/>
            </w:tcBorders>
            <w:tcMar>
              <w:left w:w="60" w:type="dxa"/>
              <w:right w:w="60" w:type="dxa"/>
            </w:tcMar>
            <w:vAlign w:val="center"/>
          </w:tcPr>
          <w:p w14:paraId="4B4EF553"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(465)</w:t>
            </w:r>
          </w:p>
        </w:tc>
        <w:tc>
          <w:tcPr>
            <w:tcW w:w="1334" w:type="dxa"/>
            <w:tcBorders>
              <w:top w:val="nil"/>
              <w:left w:val="nil"/>
              <w:bottom w:val="nil"/>
              <w:right w:val="nil"/>
              <w:tl2br w:val="nil"/>
              <w:tr2bl w:val="nil"/>
            </w:tcBorders>
            <w:tcMar>
              <w:left w:w="60" w:type="dxa"/>
              <w:right w:w="60" w:type="dxa"/>
            </w:tcMar>
            <w:vAlign w:val="center"/>
          </w:tcPr>
          <w:p w14:paraId="2F265EC6"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14:paraId="6E0EA1CD"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(465)</w:t>
            </w:r>
          </w:p>
        </w:tc>
      </w:tr>
      <w:tr w:rsidR="00807FFE" w14:paraId="310F1810" w14:textId="77777777">
        <w:trPr>
          <w:trHeight w:hRule="exact" w:val="420"/>
        </w:trPr>
        <w:tc>
          <w:tcPr>
            <w:tcW w:w="2470" w:type="dxa"/>
            <w:tcBorders>
              <w:top w:val="nil"/>
              <w:left w:val="nil"/>
              <w:bottom w:val="single" w:sz="4" w:space="0" w:color="016794"/>
              <w:right w:val="nil"/>
              <w:tl2br w:val="nil"/>
              <w:tr2bl w:val="nil"/>
            </w:tcBorders>
            <w:tcMar>
              <w:left w:w="60" w:type="dxa"/>
              <w:right w:w="60" w:type="dxa"/>
            </w:tcMar>
            <w:vAlign w:val="center"/>
          </w:tcPr>
          <w:p w14:paraId="4A8FD82B" w14:textId="77777777" w:rsidR="00807FFE" w:rsidRDefault="00023E71">
            <w:pPr>
              <w:pStyle w:val="DMETW36752BIPSEGREP"/>
              <w:rPr>
                <w:rFonts w:ascii="Verdana" w:eastAsia="Verdana" w:hAnsi="Verdana" w:cs="Verdana"/>
                <w:i/>
                <w:noProof/>
                <w:color w:val="000000"/>
                <w:sz w:val="16"/>
              </w:rPr>
            </w:pPr>
            <w:r>
              <w:rPr>
                <w:rFonts w:ascii="Verdana" w:eastAsia="Verdana" w:hAnsi="Verdana" w:cs="Verdana"/>
                <w:i/>
                <w:noProof/>
                <w:color w:val="000000"/>
                <w:sz w:val="16"/>
              </w:rPr>
              <w:t>Procurement, admin.and other exp.</w:t>
            </w:r>
          </w:p>
        </w:tc>
        <w:tc>
          <w:tcPr>
            <w:tcW w:w="1134" w:type="dxa"/>
            <w:tcBorders>
              <w:top w:val="nil"/>
              <w:left w:val="nil"/>
              <w:bottom w:val="single" w:sz="4" w:space="0" w:color="016794"/>
              <w:right w:val="nil"/>
              <w:tl2br w:val="nil"/>
              <w:tr2bl w:val="nil"/>
            </w:tcBorders>
            <w:tcMar>
              <w:left w:w="60" w:type="dxa"/>
              <w:right w:w="60" w:type="dxa"/>
            </w:tcMar>
            <w:vAlign w:val="center"/>
          </w:tcPr>
          <w:p w14:paraId="0B64B35B"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(54)</w:t>
            </w:r>
          </w:p>
        </w:tc>
        <w:tc>
          <w:tcPr>
            <w:tcW w:w="1276" w:type="dxa"/>
            <w:tcBorders>
              <w:top w:val="nil"/>
              <w:left w:val="nil"/>
              <w:bottom w:val="single" w:sz="4" w:space="0" w:color="016794"/>
              <w:right w:val="nil"/>
              <w:tl2br w:val="nil"/>
              <w:tr2bl w:val="nil"/>
            </w:tcBorders>
            <w:tcMar>
              <w:left w:w="60" w:type="dxa"/>
              <w:right w:w="60" w:type="dxa"/>
            </w:tcMar>
            <w:vAlign w:val="center"/>
          </w:tcPr>
          <w:p w14:paraId="31415358"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(141)</w:t>
            </w:r>
          </w:p>
        </w:tc>
        <w:tc>
          <w:tcPr>
            <w:tcW w:w="1134" w:type="dxa"/>
            <w:tcBorders>
              <w:top w:val="nil"/>
              <w:left w:val="nil"/>
              <w:bottom w:val="single" w:sz="4" w:space="0" w:color="016794"/>
              <w:right w:val="nil"/>
              <w:tl2br w:val="nil"/>
              <w:tr2bl w:val="nil"/>
            </w:tcBorders>
            <w:tcMar>
              <w:left w:w="60" w:type="dxa"/>
              <w:right w:w="60" w:type="dxa"/>
            </w:tcMar>
            <w:vAlign w:val="center"/>
          </w:tcPr>
          <w:p w14:paraId="32273408"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(62)</w:t>
            </w:r>
          </w:p>
        </w:tc>
        <w:tc>
          <w:tcPr>
            <w:tcW w:w="1134" w:type="dxa"/>
            <w:tcBorders>
              <w:top w:val="nil"/>
              <w:left w:val="nil"/>
              <w:bottom w:val="single" w:sz="4" w:space="0" w:color="016794"/>
              <w:right w:val="nil"/>
              <w:tl2br w:val="nil"/>
              <w:tr2bl w:val="nil"/>
            </w:tcBorders>
            <w:tcMar>
              <w:left w:w="60" w:type="dxa"/>
              <w:right w:w="60" w:type="dxa"/>
            </w:tcMar>
            <w:vAlign w:val="center"/>
          </w:tcPr>
          <w:p w14:paraId="2503E150"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(2 260)</w:t>
            </w:r>
          </w:p>
        </w:tc>
        <w:tc>
          <w:tcPr>
            <w:tcW w:w="1134" w:type="dxa"/>
            <w:tcBorders>
              <w:top w:val="nil"/>
              <w:left w:val="nil"/>
              <w:bottom w:val="single" w:sz="4" w:space="0" w:color="016794"/>
              <w:right w:val="nil"/>
              <w:tl2br w:val="nil"/>
              <w:tr2bl w:val="nil"/>
            </w:tcBorders>
            <w:tcMar>
              <w:left w:w="60" w:type="dxa"/>
              <w:right w:w="60" w:type="dxa"/>
            </w:tcMar>
            <w:vAlign w:val="center"/>
          </w:tcPr>
          <w:p w14:paraId="20E77BB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(1 027)</w:t>
            </w:r>
          </w:p>
        </w:tc>
        <w:tc>
          <w:tcPr>
            <w:tcW w:w="1089" w:type="dxa"/>
            <w:tcBorders>
              <w:top w:val="nil"/>
              <w:left w:val="nil"/>
              <w:bottom w:val="single" w:sz="4" w:space="0" w:color="016794"/>
              <w:right w:val="nil"/>
              <w:tl2br w:val="nil"/>
              <w:tr2bl w:val="nil"/>
            </w:tcBorders>
            <w:tcMar>
              <w:left w:w="60" w:type="dxa"/>
              <w:right w:w="60" w:type="dxa"/>
            </w:tcMar>
            <w:vAlign w:val="center"/>
          </w:tcPr>
          <w:p w14:paraId="6B81605C"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 xml:space="preserve"> (316)</w:t>
            </w:r>
          </w:p>
        </w:tc>
        <w:tc>
          <w:tcPr>
            <w:tcW w:w="1462" w:type="dxa"/>
            <w:tcBorders>
              <w:top w:val="nil"/>
              <w:left w:val="nil"/>
              <w:bottom w:val="single" w:sz="4" w:space="0" w:color="016794"/>
              <w:right w:val="nil"/>
              <w:tl2br w:val="nil"/>
              <w:tr2bl w:val="nil"/>
            </w:tcBorders>
            <w:tcMar>
              <w:left w:w="60" w:type="dxa"/>
              <w:right w:w="60" w:type="dxa"/>
            </w:tcMar>
            <w:vAlign w:val="center"/>
          </w:tcPr>
          <w:p w14:paraId="5D5A9D8F"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(3 563)</w:t>
            </w:r>
          </w:p>
        </w:tc>
        <w:tc>
          <w:tcPr>
            <w:tcW w:w="1134" w:type="dxa"/>
            <w:tcBorders>
              <w:top w:val="nil"/>
              <w:left w:val="nil"/>
              <w:bottom w:val="single" w:sz="4" w:space="0" w:color="016794"/>
              <w:right w:val="nil"/>
              <w:tl2br w:val="nil"/>
              <w:tr2bl w:val="nil"/>
            </w:tcBorders>
            <w:tcMar>
              <w:left w:w="60" w:type="dxa"/>
              <w:right w:w="60" w:type="dxa"/>
            </w:tcMar>
            <w:vAlign w:val="center"/>
          </w:tcPr>
          <w:p w14:paraId="785B65C4"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(7 423)</w:t>
            </w:r>
          </w:p>
        </w:tc>
        <w:tc>
          <w:tcPr>
            <w:tcW w:w="1334" w:type="dxa"/>
            <w:tcBorders>
              <w:top w:val="nil"/>
              <w:left w:val="nil"/>
              <w:bottom w:val="single" w:sz="4" w:space="0" w:color="016794"/>
              <w:right w:val="nil"/>
              <w:tl2br w:val="nil"/>
              <w:tr2bl w:val="nil"/>
            </w:tcBorders>
            <w:tcMar>
              <w:left w:w="60" w:type="dxa"/>
              <w:right w:w="60" w:type="dxa"/>
            </w:tcMar>
            <w:vAlign w:val="center"/>
          </w:tcPr>
          <w:p w14:paraId="655C02D7" w14:textId="77777777" w:rsidR="00807FFE" w:rsidRDefault="00023E71">
            <w:pPr>
              <w:pStyle w:val="DMETW36752BIPSEGREP"/>
              <w:jc w:val="right"/>
              <w:rPr>
                <w:rFonts w:ascii="Verdana" w:eastAsia="Verdana" w:hAnsi="Verdana" w:cs="Verdana"/>
                <w:i/>
                <w:noProof/>
                <w:color w:val="000000"/>
                <w:sz w:val="16"/>
              </w:rPr>
            </w:pPr>
            <w:r>
              <w:rPr>
                <w:rFonts w:ascii="Verdana" w:eastAsia="Verdana" w:hAnsi="Verdana" w:cs="Verdana"/>
                <w:i/>
                <w:noProof/>
                <w:color w:val="000000"/>
                <w:sz w:val="16"/>
              </w:rPr>
              <w:t>(3 310)</w:t>
            </w:r>
          </w:p>
        </w:tc>
        <w:tc>
          <w:tcPr>
            <w:tcW w:w="1216" w:type="dxa"/>
            <w:tcBorders>
              <w:top w:val="nil"/>
              <w:left w:val="nil"/>
              <w:bottom w:val="single" w:sz="4" w:space="0" w:color="016794"/>
              <w:right w:val="nil"/>
              <w:tl2br w:val="nil"/>
              <w:tr2bl w:val="nil"/>
            </w:tcBorders>
            <w:tcMar>
              <w:left w:w="60" w:type="dxa"/>
              <w:right w:w="60" w:type="dxa"/>
            </w:tcMar>
            <w:vAlign w:val="center"/>
          </w:tcPr>
          <w:p w14:paraId="15E5EF04" w14:textId="77777777" w:rsidR="00807FFE" w:rsidRDefault="00023E71">
            <w:pPr>
              <w:pStyle w:val="DMETW36752BIPSEGREP"/>
              <w:jc w:val="right"/>
              <w:rPr>
                <w:rFonts w:ascii="Verdana" w:eastAsia="Verdana" w:hAnsi="Verdana" w:cs="Verdana"/>
                <w:i/>
                <w:noProof/>
                <w:color w:val="000000"/>
                <w:sz w:val="16"/>
                <w:lang w:bidi="en-GB"/>
              </w:rPr>
            </w:pPr>
            <w:r>
              <w:rPr>
                <w:rFonts w:ascii="Verdana" w:eastAsia="Verdana" w:hAnsi="Verdana" w:cs="Verdana"/>
                <w:i/>
                <w:noProof/>
                <w:color w:val="000000"/>
                <w:sz w:val="16"/>
              </w:rPr>
              <w:t>(10 733)</w:t>
            </w:r>
          </w:p>
        </w:tc>
      </w:tr>
      <w:tr w:rsidR="00807FFE" w14:paraId="3F4F1D0F" w14:textId="77777777">
        <w:trPr>
          <w:trHeight w:hRule="exact" w:val="249"/>
        </w:trPr>
        <w:tc>
          <w:tcPr>
            <w:tcW w:w="2470" w:type="dxa"/>
            <w:tcBorders>
              <w:top w:val="single" w:sz="4" w:space="0" w:color="016794"/>
              <w:left w:val="nil"/>
              <w:bottom w:val="nil"/>
              <w:right w:val="nil"/>
              <w:tl2br w:val="nil"/>
              <w:tr2bl w:val="nil"/>
            </w:tcBorders>
            <w:tcMar>
              <w:left w:w="60" w:type="dxa"/>
              <w:right w:w="60" w:type="dxa"/>
            </w:tcMar>
            <w:vAlign w:val="center"/>
          </w:tcPr>
          <w:p w14:paraId="2B1AECB7" w14:textId="77777777" w:rsidR="00807FFE" w:rsidRDefault="00023E71">
            <w:pPr>
              <w:pStyle w:val="DMETW36752BIPSEGREP"/>
              <w:rPr>
                <w:rFonts w:ascii="Verdana" w:eastAsia="Verdana" w:hAnsi="Verdana" w:cs="Verdana"/>
                <w:b/>
                <w:noProof/>
                <w:color w:val="000000"/>
                <w:sz w:val="16"/>
              </w:rPr>
            </w:pPr>
            <w:r>
              <w:rPr>
                <w:rFonts w:ascii="Verdana" w:eastAsia="Verdana" w:hAnsi="Verdana" w:cs="Verdana"/>
                <w:b/>
                <w:noProof/>
                <w:color w:val="000000"/>
                <w:sz w:val="16"/>
              </w:rPr>
              <w:t>Total expenses</w:t>
            </w:r>
          </w:p>
        </w:tc>
        <w:tc>
          <w:tcPr>
            <w:tcW w:w="1134" w:type="dxa"/>
            <w:tcBorders>
              <w:top w:val="single" w:sz="4" w:space="0" w:color="016794"/>
              <w:left w:val="nil"/>
              <w:bottom w:val="nil"/>
              <w:right w:val="nil"/>
              <w:tl2br w:val="nil"/>
              <w:tr2bl w:val="nil"/>
            </w:tcBorders>
            <w:tcMar>
              <w:left w:w="60" w:type="dxa"/>
              <w:right w:w="60" w:type="dxa"/>
            </w:tcMar>
            <w:vAlign w:val="center"/>
          </w:tcPr>
          <w:p w14:paraId="42F7E639"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(58 152)</w:t>
            </w:r>
          </w:p>
        </w:tc>
        <w:tc>
          <w:tcPr>
            <w:tcW w:w="1276" w:type="dxa"/>
            <w:tcBorders>
              <w:top w:val="single" w:sz="4" w:space="0" w:color="016794"/>
              <w:left w:val="nil"/>
              <w:bottom w:val="nil"/>
              <w:right w:val="nil"/>
              <w:tl2br w:val="nil"/>
              <w:tr2bl w:val="nil"/>
            </w:tcBorders>
            <w:tcMar>
              <w:left w:w="60" w:type="dxa"/>
              <w:right w:w="60" w:type="dxa"/>
            </w:tcMar>
            <w:vAlign w:val="center"/>
          </w:tcPr>
          <w:p w14:paraId="3B47E5F5"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(52 311)</w:t>
            </w:r>
          </w:p>
        </w:tc>
        <w:tc>
          <w:tcPr>
            <w:tcW w:w="1134" w:type="dxa"/>
            <w:tcBorders>
              <w:top w:val="single" w:sz="4" w:space="0" w:color="016794"/>
              <w:left w:val="nil"/>
              <w:bottom w:val="nil"/>
              <w:right w:val="nil"/>
              <w:tl2br w:val="nil"/>
              <w:tr2bl w:val="nil"/>
            </w:tcBorders>
            <w:tcMar>
              <w:left w:w="60" w:type="dxa"/>
              <w:right w:w="60" w:type="dxa"/>
            </w:tcMar>
            <w:vAlign w:val="center"/>
          </w:tcPr>
          <w:p w14:paraId="504DCC42"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(70 888)</w:t>
            </w:r>
          </w:p>
        </w:tc>
        <w:tc>
          <w:tcPr>
            <w:tcW w:w="1134" w:type="dxa"/>
            <w:tcBorders>
              <w:top w:val="single" w:sz="4" w:space="0" w:color="016794"/>
              <w:left w:val="nil"/>
              <w:bottom w:val="nil"/>
              <w:right w:val="nil"/>
              <w:tl2br w:val="nil"/>
              <w:tr2bl w:val="nil"/>
            </w:tcBorders>
            <w:tcMar>
              <w:left w:w="60" w:type="dxa"/>
              <w:right w:w="60" w:type="dxa"/>
            </w:tcMar>
            <w:vAlign w:val="center"/>
          </w:tcPr>
          <w:p w14:paraId="53A1DB2A"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(28 018)</w:t>
            </w:r>
          </w:p>
        </w:tc>
        <w:tc>
          <w:tcPr>
            <w:tcW w:w="1134" w:type="dxa"/>
            <w:tcBorders>
              <w:top w:val="single" w:sz="4" w:space="0" w:color="016794"/>
              <w:left w:val="nil"/>
              <w:bottom w:val="nil"/>
              <w:right w:val="nil"/>
              <w:tl2br w:val="nil"/>
              <w:tr2bl w:val="nil"/>
            </w:tcBorders>
            <w:tcMar>
              <w:left w:w="60" w:type="dxa"/>
              <w:right w:w="60" w:type="dxa"/>
            </w:tcMar>
            <w:vAlign w:val="center"/>
          </w:tcPr>
          <w:p w14:paraId="0361B646"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(16 062)</w:t>
            </w:r>
          </w:p>
        </w:tc>
        <w:tc>
          <w:tcPr>
            <w:tcW w:w="1089" w:type="dxa"/>
            <w:tcBorders>
              <w:top w:val="single" w:sz="4" w:space="0" w:color="016794"/>
              <w:left w:val="nil"/>
              <w:bottom w:val="nil"/>
              <w:right w:val="nil"/>
              <w:tl2br w:val="nil"/>
              <w:tr2bl w:val="nil"/>
            </w:tcBorders>
            <w:tcMar>
              <w:left w:w="60" w:type="dxa"/>
              <w:right w:w="60" w:type="dxa"/>
            </w:tcMar>
            <w:vAlign w:val="center"/>
          </w:tcPr>
          <w:p w14:paraId="569A5101"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 xml:space="preserve"> (946)</w:t>
            </w:r>
          </w:p>
        </w:tc>
        <w:tc>
          <w:tcPr>
            <w:tcW w:w="1462" w:type="dxa"/>
            <w:tcBorders>
              <w:top w:val="single" w:sz="4" w:space="0" w:color="016794"/>
              <w:left w:val="nil"/>
              <w:bottom w:val="nil"/>
              <w:right w:val="nil"/>
              <w:tl2br w:val="nil"/>
              <w:tr2bl w:val="nil"/>
            </w:tcBorders>
            <w:tcMar>
              <w:left w:w="60" w:type="dxa"/>
              <w:right w:w="60" w:type="dxa"/>
            </w:tcMar>
            <w:vAlign w:val="center"/>
          </w:tcPr>
          <w:p w14:paraId="79226854"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(24 531)</w:t>
            </w:r>
          </w:p>
        </w:tc>
        <w:tc>
          <w:tcPr>
            <w:tcW w:w="1134" w:type="dxa"/>
            <w:tcBorders>
              <w:top w:val="single" w:sz="4" w:space="0" w:color="016794"/>
              <w:left w:val="nil"/>
              <w:bottom w:val="nil"/>
              <w:right w:val="nil"/>
              <w:tl2br w:val="nil"/>
              <w:tr2bl w:val="nil"/>
            </w:tcBorders>
            <w:tcMar>
              <w:left w:w="60" w:type="dxa"/>
              <w:right w:w="60" w:type="dxa"/>
            </w:tcMar>
            <w:vAlign w:val="center"/>
          </w:tcPr>
          <w:p w14:paraId="38095DF8"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(250 907)</w:t>
            </w:r>
          </w:p>
        </w:tc>
        <w:tc>
          <w:tcPr>
            <w:tcW w:w="1334" w:type="dxa"/>
            <w:tcBorders>
              <w:top w:val="single" w:sz="4" w:space="0" w:color="016794"/>
              <w:left w:val="nil"/>
              <w:bottom w:val="nil"/>
              <w:right w:val="nil"/>
              <w:tl2br w:val="nil"/>
              <w:tr2bl w:val="nil"/>
            </w:tcBorders>
            <w:tcMar>
              <w:left w:w="60" w:type="dxa"/>
              <w:right w:w="60" w:type="dxa"/>
            </w:tcMar>
            <w:vAlign w:val="center"/>
          </w:tcPr>
          <w:p w14:paraId="5A66CBE2"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(6 226)</w:t>
            </w:r>
          </w:p>
        </w:tc>
        <w:tc>
          <w:tcPr>
            <w:tcW w:w="1216" w:type="dxa"/>
            <w:tcBorders>
              <w:top w:val="single" w:sz="4" w:space="0" w:color="016794"/>
              <w:left w:val="nil"/>
              <w:bottom w:val="nil"/>
              <w:right w:val="nil"/>
              <w:tl2br w:val="nil"/>
              <w:tr2bl w:val="nil"/>
            </w:tcBorders>
            <w:tcMar>
              <w:left w:w="60" w:type="dxa"/>
              <w:right w:w="60" w:type="dxa"/>
            </w:tcMar>
            <w:vAlign w:val="center"/>
          </w:tcPr>
          <w:p w14:paraId="34A8804F" w14:textId="77777777" w:rsidR="00807FFE" w:rsidRDefault="00023E71">
            <w:pPr>
              <w:pStyle w:val="DMETW36752BIPSEGREP"/>
              <w:jc w:val="right"/>
              <w:rPr>
                <w:rFonts w:ascii="Verdana" w:eastAsia="Verdana" w:hAnsi="Verdana" w:cs="Verdana"/>
                <w:b/>
                <w:noProof/>
                <w:color w:val="000000"/>
                <w:sz w:val="16"/>
                <w:lang w:bidi="en-GB"/>
              </w:rPr>
            </w:pPr>
            <w:r>
              <w:rPr>
                <w:rFonts w:ascii="Verdana" w:eastAsia="Verdana" w:hAnsi="Verdana" w:cs="Verdana"/>
                <w:b/>
                <w:noProof/>
                <w:color w:val="000000"/>
                <w:sz w:val="16"/>
              </w:rPr>
              <w:t>(257 134)</w:t>
            </w:r>
          </w:p>
        </w:tc>
      </w:tr>
      <w:tr w:rsidR="00807FFE" w14:paraId="64F26DA9" w14:textId="77777777">
        <w:trPr>
          <w:trHeight w:hRule="exact" w:val="255"/>
        </w:trPr>
        <w:tc>
          <w:tcPr>
            <w:tcW w:w="2470" w:type="dxa"/>
            <w:tcBorders>
              <w:top w:val="nil"/>
              <w:left w:val="nil"/>
              <w:bottom w:val="nil"/>
              <w:right w:val="nil"/>
              <w:tl2br w:val="nil"/>
              <w:tr2bl w:val="nil"/>
            </w:tcBorders>
            <w:shd w:val="solid" w:color="CCE1EA" w:fill="FFFFFF"/>
            <w:tcMar>
              <w:left w:w="60" w:type="dxa"/>
              <w:right w:w="60" w:type="dxa"/>
            </w:tcMar>
            <w:vAlign w:val="center"/>
          </w:tcPr>
          <w:p w14:paraId="591A916E" w14:textId="77777777" w:rsidR="00807FFE" w:rsidRDefault="00023E71">
            <w:pPr>
              <w:pStyle w:val="DMETW36752BIPSEGREP"/>
              <w:rPr>
                <w:rFonts w:ascii="Verdana" w:eastAsia="Verdana" w:hAnsi="Verdana" w:cs="Verdana"/>
                <w:b/>
                <w:noProof/>
                <w:color w:val="000000"/>
                <w:sz w:val="16"/>
              </w:rPr>
            </w:pPr>
            <w:r>
              <w:rPr>
                <w:rFonts w:ascii="Verdana" w:eastAsia="Verdana" w:hAnsi="Verdana" w:cs="Verdana"/>
                <w:b/>
                <w:noProof/>
                <w:color w:val="000000"/>
                <w:sz w:val="16"/>
              </w:rPr>
              <w:t>Economic result of the year</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6B49FFA7"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(56 889)</w:t>
            </w:r>
          </w:p>
        </w:tc>
        <w:tc>
          <w:tcPr>
            <w:tcW w:w="1276" w:type="dxa"/>
            <w:tcBorders>
              <w:top w:val="nil"/>
              <w:left w:val="nil"/>
              <w:bottom w:val="nil"/>
              <w:right w:val="nil"/>
              <w:tl2br w:val="nil"/>
              <w:tr2bl w:val="nil"/>
            </w:tcBorders>
            <w:shd w:val="solid" w:color="CCE1EA" w:fill="FFFFFF"/>
            <w:tcMar>
              <w:left w:w="60" w:type="dxa"/>
              <w:right w:w="60" w:type="dxa"/>
            </w:tcMar>
            <w:vAlign w:val="center"/>
          </w:tcPr>
          <w:p w14:paraId="10E18994"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(48 174)</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3767B96D"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(47 879)</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21414917"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(21 568)</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609DBD90"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(15 531)</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1E7E1EB9"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2 407</w:t>
            </w:r>
          </w:p>
        </w:tc>
        <w:tc>
          <w:tcPr>
            <w:tcW w:w="1462" w:type="dxa"/>
            <w:tcBorders>
              <w:top w:val="nil"/>
              <w:left w:val="nil"/>
              <w:bottom w:val="nil"/>
              <w:right w:val="nil"/>
              <w:tl2br w:val="nil"/>
              <w:tr2bl w:val="nil"/>
            </w:tcBorders>
            <w:shd w:val="solid" w:color="CCE1EA" w:fill="FFFFFF"/>
            <w:tcMar>
              <w:left w:w="60" w:type="dxa"/>
              <w:right w:w="60" w:type="dxa"/>
            </w:tcMar>
            <w:vAlign w:val="center"/>
          </w:tcPr>
          <w:p w14:paraId="676D57C7"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132 825</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68CD4C73"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(54 810)</w:t>
            </w:r>
          </w:p>
        </w:tc>
        <w:tc>
          <w:tcPr>
            <w:tcW w:w="1334" w:type="dxa"/>
            <w:tcBorders>
              <w:top w:val="nil"/>
              <w:left w:val="nil"/>
              <w:bottom w:val="nil"/>
              <w:right w:val="nil"/>
              <w:tl2br w:val="nil"/>
              <w:tr2bl w:val="nil"/>
            </w:tcBorders>
            <w:shd w:val="solid" w:color="CCE1EA" w:fill="FFFFFF"/>
            <w:tcMar>
              <w:left w:w="60" w:type="dxa"/>
              <w:right w:w="60" w:type="dxa"/>
            </w:tcMar>
            <w:vAlign w:val="center"/>
          </w:tcPr>
          <w:p w14:paraId="26FACBD8"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 xml:space="preserve"> 171</w:t>
            </w:r>
          </w:p>
        </w:tc>
        <w:tc>
          <w:tcPr>
            <w:tcW w:w="1216" w:type="dxa"/>
            <w:tcBorders>
              <w:top w:val="nil"/>
              <w:left w:val="nil"/>
              <w:bottom w:val="nil"/>
              <w:right w:val="nil"/>
              <w:tl2br w:val="nil"/>
              <w:tr2bl w:val="nil"/>
            </w:tcBorders>
            <w:shd w:val="solid" w:color="CCE1EA" w:fill="FFFFFF"/>
            <w:tcMar>
              <w:left w:w="60" w:type="dxa"/>
              <w:right w:w="60" w:type="dxa"/>
            </w:tcMar>
            <w:vAlign w:val="center"/>
          </w:tcPr>
          <w:p w14:paraId="7E6ADECE" w14:textId="77777777" w:rsidR="00807FFE" w:rsidRDefault="00023E71">
            <w:pPr>
              <w:pStyle w:val="DMETW36752BIPSEGREP"/>
              <w:jc w:val="right"/>
              <w:rPr>
                <w:rFonts w:ascii="Verdana" w:eastAsia="Verdana" w:hAnsi="Verdana" w:cs="Verdana"/>
                <w:b/>
                <w:noProof/>
                <w:color w:val="000000"/>
                <w:sz w:val="16"/>
              </w:rPr>
            </w:pPr>
            <w:r>
              <w:rPr>
                <w:rFonts w:ascii="Verdana" w:eastAsia="Verdana" w:hAnsi="Verdana" w:cs="Verdana"/>
                <w:b/>
                <w:noProof/>
                <w:color w:val="000000"/>
                <w:sz w:val="16"/>
              </w:rPr>
              <w:t>(54 639)</w:t>
            </w:r>
          </w:p>
        </w:tc>
      </w:tr>
    </w:tbl>
    <w:p w14:paraId="4365CABB" w14:textId="517FB230" w:rsidR="0047726B" w:rsidRPr="007D2B6D" w:rsidRDefault="00023E71" w:rsidP="0027272E">
      <w:pPr>
        <w:pStyle w:val="Textstand-alone"/>
        <w:tabs>
          <w:tab w:val="left" w:pos="170"/>
        </w:tabs>
        <w:spacing w:before="160" w:after="0"/>
        <w:ind w:left="170" w:hanging="170"/>
        <w:jc w:val="left"/>
        <w:rPr>
          <w:i/>
          <w:iCs/>
        </w:rPr>
        <w:sectPr w:rsidR="0047726B" w:rsidRPr="007D2B6D">
          <w:headerReference w:type="default" r:id="rId125"/>
          <w:footerReference w:type="default" r:id="rId126"/>
          <w:pgSz w:w="16838" w:h="11906" w:orient="landscape"/>
          <w:pgMar w:top="1134" w:right="1134" w:bottom="1134" w:left="1134" w:header="708" w:footer="708" w:gutter="0"/>
          <w:cols w:space="708"/>
          <w:docGrid w:linePitch="360"/>
        </w:sectPr>
      </w:pPr>
      <w:r w:rsidRPr="0027272E">
        <w:rPr>
          <w:sz w:val="16"/>
          <w:szCs w:val="16"/>
          <w:vertAlign w:val="superscript"/>
        </w:rPr>
        <w:t>*</w:t>
      </w:r>
      <w:r w:rsidR="0027272E" w:rsidRPr="0027272E">
        <w:rPr>
          <w:sz w:val="16"/>
          <w:szCs w:val="16"/>
        </w:rPr>
        <w:tab/>
      </w:r>
      <w:r w:rsidRPr="0027272E">
        <w:rPr>
          <w:i/>
          <w:iCs/>
          <w:sz w:val="16"/>
          <w:szCs w:val="16"/>
        </w:rPr>
        <w:t>Revenue presented under ‘Other policies’ mainly includes revenue from the EU’s own resources which falls under the universality principle and is used without distinction to finance all expenditure entered in the Union’s annual budget</w:t>
      </w:r>
      <w:r w:rsidRPr="007D2B6D">
        <w:rPr>
          <w:i/>
          <w:iCs/>
        </w:rPr>
        <w:t>.</w:t>
      </w:r>
      <w:bookmarkEnd w:id="197"/>
    </w:p>
    <w:p w14:paraId="331F35B6" w14:textId="77777777" w:rsidR="00A77B3E" w:rsidRDefault="00023E71" w:rsidP="00233057">
      <w:pPr>
        <w:pStyle w:val="HEADER2NOTES"/>
        <w:rPr>
          <w:noProof/>
        </w:rPr>
      </w:pPr>
      <w:bookmarkStart w:id="199" w:name="_DMBM_38211"/>
      <w:bookmarkStart w:id="200" w:name="_CSF_TOC_1_0"/>
      <w:r w:rsidRPr="007E1F77">
        <w:rPr>
          <w:noProof/>
        </w:rPr>
        <w:t>RECLASSIFICATION OF COMPARATIVE FIGURES IN THE STATEMENT OF FINANCIAL PERFORMANCE</w:t>
      </w:r>
    </w:p>
    <w:p w14:paraId="235FC6F1" w14:textId="77777777" w:rsidR="007E1F77" w:rsidRDefault="00023E71" w:rsidP="007E1F77">
      <w:pPr>
        <w:pStyle w:val="DGTextstand-alone"/>
      </w:pPr>
      <w:r w:rsidRPr="007E1F77">
        <w:t>As from the 2025 annual accounts, the main expenses in the Statement of financial performance are presented in a new structure, focusing on the type of instrument rather than the type of budget implementation (Shared Management, Direct Management, Indirect Management). As required by EU accounting rules, the 2024 comparative figures have been reclassified accordingly. The impact of the reclassification is illustrated below:</w:t>
      </w: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4"/>
        <w:gridCol w:w="1190"/>
        <w:gridCol w:w="1188"/>
        <w:gridCol w:w="1188"/>
        <w:gridCol w:w="1247"/>
        <w:gridCol w:w="1082"/>
        <w:gridCol w:w="1077"/>
        <w:gridCol w:w="1077"/>
        <w:gridCol w:w="1077"/>
        <w:gridCol w:w="1077"/>
        <w:gridCol w:w="1362"/>
      </w:tblGrid>
      <w:tr w:rsidR="00807FFE" w14:paraId="76F0BA9C" w14:textId="77777777" w:rsidTr="006E0AAA">
        <w:trPr>
          <w:trHeight w:val="255"/>
        </w:trPr>
        <w:tc>
          <w:tcPr>
            <w:tcW w:w="3004" w:type="dxa"/>
            <w:tcBorders>
              <w:top w:val="nil"/>
              <w:left w:val="nil"/>
              <w:bottom w:val="nil"/>
              <w:right w:val="nil"/>
              <w:tl2br w:val="nil"/>
              <w:tr2bl w:val="nil"/>
            </w:tcBorders>
            <w:tcMar>
              <w:left w:w="60" w:type="dxa"/>
              <w:right w:w="60" w:type="dxa"/>
            </w:tcMar>
            <w:vAlign w:val="center"/>
          </w:tcPr>
          <w:p w14:paraId="70E838EF" w14:textId="77777777" w:rsidR="00807FFE" w:rsidRDefault="00807FFE">
            <w:pPr>
              <w:pStyle w:val="DMETW38212BIPPLreclass"/>
              <w:rPr>
                <w:rFonts w:ascii="Verdana" w:eastAsia="Verdana" w:hAnsi="Verdana" w:cs="Verdana"/>
                <w:noProof/>
                <w:color w:val="000000"/>
                <w:sz w:val="14"/>
                <w:lang w:bidi="en-GB"/>
              </w:rPr>
            </w:pPr>
            <w:bookmarkStart w:id="201" w:name="DOC_TBL00078_1_1"/>
            <w:bookmarkEnd w:id="201"/>
          </w:p>
        </w:tc>
        <w:tc>
          <w:tcPr>
            <w:tcW w:w="1190" w:type="dxa"/>
            <w:tcBorders>
              <w:top w:val="nil"/>
              <w:left w:val="nil"/>
              <w:bottom w:val="nil"/>
              <w:right w:val="nil"/>
              <w:tl2br w:val="nil"/>
              <w:tr2bl w:val="nil"/>
            </w:tcBorders>
            <w:tcMar>
              <w:left w:w="60" w:type="dxa"/>
              <w:right w:w="60" w:type="dxa"/>
            </w:tcMar>
            <w:vAlign w:val="center"/>
          </w:tcPr>
          <w:p w14:paraId="17DD2D60" w14:textId="77777777" w:rsidR="00807FFE" w:rsidRDefault="00807FFE">
            <w:pPr>
              <w:pStyle w:val="DMETW38212BIPPLreclass"/>
              <w:rPr>
                <w:rFonts w:ascii="Verdana" w:eastAsia="Verdana" w:hAnsi="Verdana" w:cs="Verdana"/>
                <w:noProof/>
                <w:color w:val="000000"/>
                <w:sz w:val="14"/>
              </w:rPr>
            </w:pPr>
          </w:p>
        </w:tc>
        <w:tc>
          <w:tcPr>
            <w:tcW w:w="1188" w:type="dxa"/>
            <w:tcBorders>
              <w:top w:val="nil"/>
              <w:left w:val="nil"/>
              <w:bottom w:val="nil"/>
              <w:right w:val="nil"/>
              <w:tl2br w:val="nil"/>
              <w:tr2bl w:val="nil"/>
            </w:tcBorders>
            <w:tcMar>
              <w:left w:w="60" w:type="dxa"/>
              <w:right w:w="60" w:type="dxa"/>
            </w:tcMar>
            <w:vAlign w:val="center"/>
          </w:tcPr>
          <w:p w14:paraId="1B227BCB" w14:textId="77777777" w:rsidR="00807FFE" w:rsidRDefault="00807FFE">
            <w:pPr>
              <w:pStyle w:val="DMETW38212BIPPLreclass"/>
              <w:rPr>
                <w:rFonts w:ascii="Verdana" w:eastAsia="Verdana" w:hAnsi="Verdana" w:cs="Verdana"/>
                <w:noProof/>
                <w:color w:val="000000"/>
                <w:sz w:val="14"/>
              </w:rPr>
            </w:pPr>
          </w:p>
        </w:tc>
        <w:tc>
          <w:tcPr>
            <w:tcW w:w="1188" w:type="dxa"/>
            <w:tcBorders>
              <w:top w:val="nil"/>
              <w:left w:val="nil"/>
              <w:bottom w:val="nil"/>
              <w:right w:val="nil"/>
              <w:tl2br w:val="nil"/>
              <w:tr2bl w:val="nil"/>
            </w:tcBorders>
            <w:tcMar>
              <w:left w:w="60" w:type="dxa"/>
              <w:right w:w="60" w:type="dxa"/>
            </w:tcMar>
            <w:vAlign w:val="center"/>
          </w:tcPr>
          <w:p w14:paraId="14F3CBE7" w14:textId="77777777" w:rsidR="00807FFE" w:rsidRDefault="00807FFE">
            <w:pPr>
              <w:pStyle w:val="DMETW38212BIPPLreclass"/>
              <w:rPr>
                <w:rFonts w:ascii="Verdana" w:eastAsia="Verdana" w:hAnsi="Verdana" w:cs="Verdana"/>
                <w:noProof/>
                <w:color w:val="000000"/>
                <w:sz w:val="14"/>
              </w:rPr>
            </w:pPr>
          </w:p>
        </w:tc>
        <w:tc>
          <w:tcPr>
            <w:tcW w:w="1247" w:type="dxa"/>
            <w:tcBorders>
              <w:top w:val="nil"/>
              <w:left w:val="nil"/>
              <w:bottom w:val="nil"/>
              <w:right w:val="nil"/>
              <w:tl2br w:val="nil"/>
              <w:tr2bl w:val="nil"/>
            </w:tcBorders>
            <w:tcMar>
              <w:left w:w="60" w:type="dxa"/>
              <w:right w:w="60" w:type="dxa"/>
            </w:tcMar>
            <w:vAlign w:val="center"/>
          </w:tcPr>
          <w:p w14:paraId="67E21663" w14:textId="77777777" w:rsidR="00807FFE" w:rsidRDefault="00807FFE">
            <w:pPr>
              <w:pStyle w:val="DMETW38212BIPPLreclass"/>
              <w:rPr>
                <w:rFonts w:ascii="Verdana" w:eastAsia="Verdana" w:hAnsi="Verdana" w:cs="Verdana"/>
                <w:noProof/>
                <w:color w:val="000000"/>
                <w:sz w:val="14"/>
              </w:rPr>
            </w:pPr>
          </w:p>
        </w:tc>
        <w:tc>
          <w:tcPr>
            <w:tcW w:w="1082" w:type="dxa"/>
            <w:tcBorders>
              <w:top w:val="nil"/>
              <w:left w:val="nil"/>
              <w:bottom w:val="nil"/>
              <w:right w:val="nil"/>
              <w:tl2br w:val="nil"/>
              <w:tr2bl w:val="nil"/>
            </w:tcBorders>
            <w:tcMar>
              <w:left w:w="60" w:type="dxa"/>
              <w:right w:w="60" w:type="dxa"/>
            </w:tcMar>
            <w:vAlign w:val="center"/>
          </w:tcPr>
          <w:p w14:paraId="6781BA04" w14:textId="77777777" w:rsidR="00807FFE" w:rsidRDefault="00807FFE">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14:paraId="76CA146D" w14:textId="77777777" w:rsidR="00807FFE" w:rsidRDefault="00807FFE">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14:paraId="417E85CB" w14:textId="77777777" w:rsidR="00807FFE" w:rsidRDefault="00807FFE">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14:paraId="2DDFA1AD" w14:textId="77777777" w:rsidR="00807FFE" w:rsidRDefault="00807FFE">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14:paraId="774A3705" w14:textId="77777777" w:rsidR="00807FFE" w:rsidRDefault="00807FFE">
            <w:pPr>
              <w:pStyle w:val="DMETW38212BIPPLreclass"/>
              <w:rPr>
                <w:rFonts w:ascii="Verdana" w:eastAsia="Verdana" w:hAnsi="Verdana" w:cs="Verdana"/>
                <w:noProof/>
                <w:color w:val="000000"/>
                <w:sz w:val="14"/>
              </w:rPr>
            </w:pPr>
          </w:p>
        </w:tc>
        <w:tc>
          <w:tcPr>
            <w:tcW w:w="1362" w:type="dxa"/>
            <w:tcBorders>
              <w:top w:val="nil"/>
              <w:left w:val="nil"/>
              <w:bottom w:val="nil"/>
              <w:right w:val="nil"/>
              <w:tl2br w:val="nil"/>
              <w:tr2bl w:val="nil"/>
            </w:tcBorders>
            <w:tcMar>
              <w:left w:w="60" w:type="dxa"/>
              <w:right w:w="60" w:type="dxa"/>
            </w:tcMar>
            <w:vAlign w:val="center"/>
          </w:tcPr>
          <w:p w14:paraId="752DBE76" w14:textId="77777777" w:rsidR="00807FFE" w:rsidRDefault="00023E71">
            <w:pPr>
              <w:pStyle w:val="DMETW38212BIPPLreclass"/>
              <w:jc w:val="right"/>
              <w:rPr>
                <w:rFonts w:ascii="Verdana" w:eastAsia="Verdana" w:hAnsi="Verdana" w:cs="Verdana"/>
                <w:i/>
                <w:noProof/>
                <w:color w:val="000000"/>
                <w:sz w:val="14"/>
                <w:lang w:bidi="en-GB"/>
              </w:rPr>
            </w:pPr>
            <w:r>
              <w:rPr>
                <w:rFonts w:ascii="Verdana" w:eastAsia="Verdana" w:hAnsi="Verdana" w:cs="Verdana"/>
                <w:i/>
                <w:noProof/>
                <w:color w:val="000000"/>
                <w:sz w:val="14"/>
              </w:rPr>
              <w:t>EUR million</w:t>
            </w:r>
          </w:p>
        </w:tc>
      </w:tr>
      <w:tr w:rsidR="00807FFE" w14:paraId="4674AEDD" w14:textId="77777777" w:rsidTr="006E0AAA">
        <w:trPr>
          <w:trHeight w:val="255"/>
        </w:trPr>
        <w:tc>
          <w:tcPr>
            <w:tcW w:w="3004" w:type="dxa"/>
            <w:tcBorders>
              <w:top w:val="nil"/>
              <w:left w:val="nil"/>
              <w:bottom w:val="nil"/>
              <w:right w:val="nil"/>
              <w:tl2br w:val="nil"/>
              <w:tr2bl w:val="nil"/>
            </w:tcBorders>
            <w:shd w:val="solid" w:color="016794" w:fill="FFFFFF"/>
            <w:tcMar>
              <w:left w:w="60" w:type="dxa"/>
              <w:right w:w="60" w:type="dxa"/>
            </w:tcMar>
            <w:vAlign w:val="center"/>
          </w:tcPr>
          <w:p w14:paraId="0C33FBB8" w14:textId="77777777" w:rsidR="00807FFE" w:rsidRDefault="00807FFE">
            <w:pPr>
              <w:pStyle w:val="DMETW38212BIPPLreclass"/>
              <w:jc w:val="right"/>
              <w:rPr>
                <w:rFonts w:ascii="Verdana" w:eastAsia="Verdana" w:hAnsi="Verdana" w:cs="Verdana"/>
                <w:noProof/>
                <w:color w:val="FFFFFF"/>
                <w:sz w:val="16"/>
              </w:rPr>
            </w:pPr>
          </w:p>
        </w:tc>
        <w:tc>
          <w:tcPr>
            <w:tcW w:w="5895" w:type="dxa"/>
            <w:gridSpan w:val="5"/>
            <w:tcBorders>
              <w:top w:val="nil"/>
              <w:left w:val="nil"/>
              <w:bottom w:val="nil"/>
              <w:right w:val="nil"/>
              <w:tl2br w:val="nil"/>
              <w:tr2bl w:val="nil"/>
            </w:tcBorders>
            <w:shd w:val="solid" w:color="007BB8" w:fill="FFFFFF"/>
            <w:tcMar>
              <w:left w:w="60" w:type="dxa"/>
              <w:right w:w="60" w:type="dxa"/>
            </w:tcMar>
            <w:vAlign w:val="center"/>
          </w:tcPr>
          <w:p w14:paraId="414C7DDD" w14:textId="77777777" w:rsidR="00807FFE" w:rsidRDefault="00023E71">
            <w:pPr>
              <w:pStyle w:val="DMETW38212BIPPLreclass"/>
              <w:jc w:val="center"/>
              <w:rPr>
                <w:rFonts w:ascii="Verdana" w:eastAsia="Verdana" w:hAnsi="Verdana" w:cs="Verdana"/>
                <w:noProof/>
                <w:color w:val="FFFFFF"/>
                <w:sz w:val="16"/>
              </w:rPr>
            </w:pPr>
            <w:r>
              <w:rPr>
                <w:rFonts w:ascii="Verdana" w:eastAsia="Verdana" w:hAnsi="Verdana" w:cs="Verdana"/>
                <w:noProof/>
                <w:color w:val="FFFFFF"/>
                <w:sz w:val="16"/>
              </w:rPr>
              <w:t>Implemented by</w:t>
            </w:r>
          </w:p>
        </w:tc>
        <w:tc>
          <w:tcPr>
            <w:tcW w:w="1077" w:type="dxa"/>
            <w:tcBorders>
              <w:top w:val="nil"/>
              <w:left w:val="nil"/>
              <w:bottom w:val="nil"/>
              <w:right w:val="nil"/>
              <w:tl2br w:val="nil"/>
              <w:tr2bl w:val="nil"/>
            </w:tcBorders>
            <w:shd w:val="solid" w:color="016794" w:fill="FFFFFF"/>
            <w:tcMar>
              <w:left w:w="60" w:type="dxa"/>
              <w:right w:w="60" w:type="dxa"/>
            </w:tcMar>
            <w:vAlign w:val="center"/>
          </w:tcPr>
          <w:p w14:paraId="2E854DB8" w14:textId="77777777" w:rsidR="00807FFE" w:rsidRDefault="00807FFE">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14:paraId="4B035BCB" w14:textId="77777777" w:rsidR="00807FFE" w:rsidRDefault="00807FFE">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14:paraId="5AE54D51" w14:textId="77777777" w:rsidR="00807FFE" w:rsidRDefault="00807FFE">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14:paraId="29D3FCB6" w14:textId="77777777" w:rsidR="00807FFE" w:rsidRDefault="00807FFE">
            <w:pPr>
              <w:pStyle w:val="DMETW38212BIPPLreclass"/>
              <w:jc w:val="right"/>
              <w:rPr>
                <w:rFonts w:ascii="Verdana" w:eastAsia="Verdana" w:hAnsi="Verdana" w:cs="Verdana"/>
                <w:noProof/>
                <w:color w:val="FFFFFF"/>
                <w:sz w:val="16"/>
              </w:rPr>
            </w:pPr>
          </w:p>
        </w:tc>
        <w:tc>
          <w:tcPr>
            <w:tcW w:w="1362" w:type="dxa"/>
            <w:tcBorders>
              <w:top w:val="nil"/>
              <w:left w:val="nil"/>
              <w:bottom w:val="nil"/>
              <w:right w:val="nil"/>
              <w:tl2br w:val="nil"/>
              <w:tr2bl w:val="nil"/>
            </w:tcBorders>
            <w:shd w:val="solid" w:color="016794" w:fill="FFFFFF"/>
            <w:tcMar>
              <w:left w:w="60" w:type="dxa"/>
              <w:right w:w="60" w:type="dxa"/>
            </w:tcMar>
            <w:vAlign w:val="center"/>
          </w:tcPr>
          <w:p w14:paraId="44929541" w14:textId="77777777" w:rsidR="00807FFE" w:rsidRDefault="00807FFE">
            <w:pPr>
              <w:pStyle w:val="DMETW38212BIPPLreclass"/>
              <w:jc w:val="right"/>
              <w:rPr>
                <w:rFonts w:ascii="Verdana" w:eastAsia="Verdana" w:hAnsi="Verdana" w:cs="Verdana"/>
                <w:noProof/>
                <w:color w:val="FFFFFF"/>
                <w:sz w:val="16"/>
                <w:lang w:bidi="en-GB"/>
              </w:rPr>
            </w:pPr>
          </w:p>
        </w:tc>
      </w:tr>
      <w:tr w:rsidR="00807FFE" w14:paraId="00AC1A1A" w14:textId="77777777" w:rsidTr="006F6B0D">
        <w:trPr>
          <w:trHeight w:val="255"/>
        </w:trPr>
        <w:tc>
          <w:tcPr>
            <w:tcW w:w="3004" w:type="dxa"/>
            <w:tcBorders>
              <w:top w:val="nil"/>
              <w:left w:val="nil"/>
              <w:bottom w:val="nil"/>
              <w:right w:val="nil"/>
              <w:tl2br w:val="nil"/>
              <w:tr2bl w:val="nil"/>
            </w:tcBorders>
            <w:shd w:val="solid" w:color="016794" w:fill="FFFFFF"/>
            <w:tcMar>
              <w:left w:w="60" w:type="dxa"/>
              <w:right w:w="60" w:type="dxa"/>
            </w:tcMar>
            <w:vAlign w:val="center"/>
          </w:tcPr>
          <w:p w14:paraId="05651C5F" w14:textId="77777777" w:rsidR="00807FFE" w:rsidRDefault="00807FFE">
            <w:pPr>
              <w:pStyle w:val="DMETW38212BIPPLreclass"/>
              <w:jc w:val="right"/>
              <w:rPr>
                <w:rFonts w:ascii="Verdana" w:eastAsia="Verdana" w:hAnsi="Verdana" w:cs="Verdana"/>
                <w:noProof/>
                <w:color w:val="FFFFFF"/>
                <w:sz w:val="16"/>
              </w:rPr>
            </w:pPr>
          </w:p>
        </w:tc>
        <w:tc>
          <w:tcPr>
            <w:tcW w:w="1190" w:type="dxa"/>
            <w:tcBorders>
              <w:top w:val="nil"/>
              <w:left w:val="nil"/>
              <w:bottom w:val="nil"/>
              <w:right w:val="nil"/>
              <w:tl2br w:val="nil"/>
              <w:tr2bl w:val="nil"/>
            </w:tcBorders>
            <w:shd w:val="solid" w:color="007BB8" w:fill="FFFFFF"/>
            <w:tcMar>
              <w:left w:w="60" w:type="dxa"/>
              <w:right w:w="60" w:type="dxa"/>
            </w:tcMar>
            <w:vAlign w:val="center"/>
          </w:tcPr>
          <w:p w14:paraId="12FE11F3"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Shared</w:t>
            </w:r>
          </w:p>
          <w:p w14:paraId="38035BEA"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Mgmt.</w:t>
            </w:r>
          </w:p>
        </w:tc>
        <w:tc>
          <w:tcPr>
            <w:tcW w:w="1188" w:type="dxa"/>
            <w:tcBorders>
              <w:top w:val="nil"/>
              <w:left w:val="nil"/>
              <w:bottom w:val="nil"/>
              <w:right w:val="nil"/>
              <w:tl2br w:val="nil"/>
              <w:tr2bl w:val="nil"/>
            </w:tcBorders>
            <w:shd w:val="solid" w:color="007BB8" w:fill="FFFFFF"/>
            <w:tcMar>
              <w:left w:w="60" w:type="dxa"/>
              <w:right w:w="60" w:type="dxa"/>
            </w:tcMar>
            <w:vAlign w:val="center"/>
          </w:tcPr>
          <w:p w14:paraId="73E9E22B"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Direct</w:t>
            </w:r>
          </w:p>
          <w:p w14:paraId="6E96745E"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Mgmt.</w:t>
            </w:r>
          </w:p>
        </w:tc>
        <w:tc>
          <w:tcPr>
            <w:tcW w:w="3517" w:type="dxa"/>
            <w:gridSpan w:val="3"/>
            <w:tcBorders>
              <w:top w:val="nil"/>
              <w:left w:val="nil"/>
              <w:bottom w:val="nil"/>
              <w:right w:val="nil"/>
              <w:tl2br w:val="nil"/>
              <w:tr2bl w:val="nil"/>
            </w:tcBorders>
            <w:shd w:val="solid" w:color="007BB8" w:fill="FFFFFF"/>
            <w:tcMar>
              <w:left w:w="60" w:type="dxa"/>
              <w:right w:w="60" w:type="dxa"/>
            </w:tcMar>
            <w:vAlign w:val="center"/>
          </w:tcPr>
          <w:p w14:paraId="1CFB37F5" w14:textId="77777777" w:rsidR="00807FFE" w:rsidRDefault="00023E71">
            <w:pPr>
              <w:pStyle w:val="DMETW38212BIPPLreclass"/>
              <w:jc w:val="center"/>
              <w:rPr>
                <w:rFonts w:ascii="Verdana" w:eastAsia="Verdana" w:hAnsi="Verdana" w:cs="Verdana"/>
                <w:noProof/>
                <w:color w:val="FFFFFF"/>
                <w:sz w:val="16"/>
              </w:rPr>
            </w:pPr>
            <w:r>
              <w:rPr>
                <w:rFonts w:ascii="Verdana" w:eastAsia="Verdana" w:hAnsi="Verdana" w:cs="Verdana"/>
                <w:noProof/>
                <w:color w:val="FFFFFF"/>
                <w:sz w:val="16"/>
              </w:rPr>
              <w:t>Indirect</w:t>
            </w:r>
          </w:p>
          <w:p w14:paraId="6C9E6494" w14:textId="77777777" w:rsidR="00807FFE" w:rsidRDefault="00023E71">
            <w:pPr>
              <w:pStyle w:val="DMETW38212BIPPLreclass"/>
              <w:jc w:val="center"/>
              <w:rPr>
                <w:rFonts w:ascii="Verdana" w:eastAsia="Verdana" w:hAnsi="Verdana" w:cs="Verdana"/>
                <w:noProof/>
                <w:color w:val="FFFFFF"/>
                <w:sz w:val="16"/>
              </w:rPr>
            </w:pPr>
            <w:r>
              <w:rPr>
                <w:rFonts w:ascii="Verdana" w:eastAsia="Verdana" w:hAnsi="Verdana" w:cs="Verdana"/>
                <w:noProof/>
                <w:color w:val="FFFFFF"/>
                <w:sz w:val="16"/>
              </w:rPr>
              <w:t>Management</w:t>
            </w:r>
          </w:p>
        </w:tc>
        <w:tc>
          <w:tcPr>
            <w:tcW w:w="1077" w:type="dxa"/>
            <w:tcBorders>
              <w:top w:val="nil"/>
              <w:left w:val="nil"/>
              <w:bottom w:val="nil"/>
              <w:right w:val="nil"/>
              <w:tl2br w:val="nil"/>
              <w:tr2bl w:val="nil"/>
            </w:tcBorders>
            <w:shd w:val="solid" w:color="016794" w:fill="FFFFFF"/>
            <w:tcMar>
              <w:left w:w="60" w:type="dxa"/>
              <w:right w:w="60" w:type="dxa"/>
            </w:tcMar>
            <w:vAlign w:val="center"/>
          </w:tcPr>
          <w:p w14:paraId="138572E9" w14:textId="77777777" w:rsidR="00807FFE" w:rsidRDefault="00807FFE">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14:paraId="019612EA" w14:textId="77777777" w:rsidR="00807FFE" w:rsidRDefault="00807FFE">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14:paraId="75604C4F" w14:textId="77777777" w:rsidR="00807FFE" w:rsidRDefault="00807FFE">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14:paraId="0A5C6079" w14:textId="77777777" w:rsidR="00807FFE" w:rsidRDefault="00807FFE">
            <w:pPr>
              <w:pStyle w:val="DMETW38212BIPPLreclass"/>
              <w:jc w:val="right"/>
              <w:rPr>
                <w:rFonts w:ascii="Verdana" w:eastAsia="Verdana" w:hAnsi="Verdana" w:cs="Verdana"/>
                <w:noProof/>
                <w:color w:val="FFFFFF"/>
                <w:sz w:val="16"/>
              </w:rPr>
            </w:pPr>
          </w:p>
        </w:tc>
        <w:tc>
          <w:tcPr>
            <w:tcW w:w="1362" w:type="dxa"/>
            <w:tcBorders>
              <w:top w:val="nil"/>
              <w:left w:val="nil"/>
              <w:bottom w:val="nil"/>
              <w:right w:val="nil"/>
              <w:tl2br w:val="nil"/>
              <w:tr2bl w:val="nil"/>
            </w:tcBorders>
            <w:shd w:val="solid" w:color="016794" w:fill="FFFFFF"/>
            <w:tcMar>
              <w:left w:w="60" w:type="dxa"/>
              <w:right w:w="60" w:type="dxa"/>
            </w:tcMar>
            <w:vAlign w:val="center"/>
          </w:tcPr>
          <w:p w14:paraId="14EDC505" w14:textId="77777777" w:rsidR="00807FFE" w:rsidRDefault="00807FFE">
            <w:pPr>
              <w:pStyle w:val="DMETW38212BIPPLreclass"/>
              <w:jc w:val="right"/>
              <w:rPr>
                <w:rFonts w:ascii="Verdana" w:eastAsia="Verdana" w:hAnsi="Verdana" w:cs="Verdana"/>
                <w:noProof/>
                <w:color w:val="FFFFFF"/>
                <w:sz w:val="16"/>
                <w:lang w:bidi="en-GB"/>
              </w:rPr>
            </w:pPr>
          </w:p>
        </w:tc>
      </w:tr>
      <w:tr w:rsidR="006A5B4E" w14:paraId="67249017" w14:textId="77777777" w:rsidTr="006F6B0D">
        <w:trPr>
          <w:trHeight w:val="255"/>
        </w:trPr>
        <w:tc>
          <w:tcPr>
            <w:tcW w:w="3004" w:type="dxa"/>
            <w:tcBorders>
              <w:top w:val="nil"/>
              <w:left w:val="nil"/>
              <w:bottom w:val="single" w:sz="12" w:space="0" w:color="016794"/>
              <w:right w:val="nil"/>
              <w:tl2br w:val="nil"/>
              <w:tr2bl w:val="nil"/>
            </w:tcBorders>
            <w:shd w:val="solid" w:color="016794" w:fill="FFFFFF"/>
            <w:tcMar>
              <w:left w:w="60" w:type="dxa"/>
              <w:right w:w="60" w:type="dxa"/>
            </w:tcMar>
            <w:vAlign w:val="center"/>
          </w:tcPr>
          <w:p w14:paraId="6571FD48" w14:textId="77777777" w:rsidR="00807FFE" w:rsidRDefault="00807FFE">
            <w:pPr>
              <w:pStyle w:val="DMETW38212BIPPLreclass"/>
              <w:jc w:val="right"/>
              <w:rPr>
                <w:rFonts w:ascii="Verdana" w:eastAsia="Verdana" w:hAnsi="Verdana" w:cs="Verdana"/>
                <w:noProof/>
                <w:color w:val="FFFFFF"/>
                <w:sz w:val="16"/>
              </w:rPr>
            </w:pPr>
          </w:p>
        </w:tc>
        <w:tc>
          <w:tcPr>
            <w:tcW w:w="1190" w:type="dxa"/>
            <w:tcBorders>
              <w:top w:val="nil"/>
              <w:left w:val="nil"/>
              <w:bottom w:val="nil"/>
              <w:right w:val="nil"/>
              <w:tl2br w:val="nil"/>
              <w:tr2bl w:val="nil"/>
            </w:tcBorders>
            <w:shd w:val="solid" w:color="016794" w:fill="FFFFFF"/>
            <w:tcMar>
              <w:left w:w="60" w:type="dxa"/>
              <w:right w:w="60" w:type="dxa"/>
            </w:tcMar>
            <w:vAlign w:val="bottom"/>
          </w:tcPr>
          <w:p w14:paraId="610EA8F1"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Member</w:t>
            </w:r>
          </w:p>
          <w:p w14:paraId="0A741F8A"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States</w:t>
            </w:r>
          </w:p>
        </w:tc>
        <w:tc>
          <w:tcPr>
            <w:tcW w:w="1188" w:type="dxa"/>
            <w:tcBorders>
              <w:top w:val="nil"/>
              <w:left w:val="nil"/>
              <w:bottom w:val="nil"/>
              <w:right w:val="nil"/>
              <w:tl2br w:val="nil"/>
              <w:tr2bl w:val="nil"/>
            </w:tcBorders>
            <w:shd w:val="solid" w:color="016794" w:fill="FFFFFF"/>
            <w:tcMar>
              <w:left w:w="60" w:type="dxa"/>
              <w:right w:w="60" w:type="dxa"/>
            </w:tcMar>
            <w:vAlign w:val="bottom"/>
          </w:tcPr>
          <w:p w14:paraId="23EA9985"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Commission,</w:t>
            </w:r>
          </w:p>
          <w:p w14:paraId="7A10597B"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executive agencies and</w:t>
            </w:r>
          </w:p>
          <w:p w14:paraId="6045BF8A"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trust funds</w:t>
            </w:r>
          </w:p>
        </w:tc>
        <w:tc>
          <w:tcPr>
            <w:tcW w:w="1188" w:type="dxa"/>
            <w:tcBorders>
              <w:top w:val="nil"/>
              <w:left w:val="nil"/>
              <w:bottom w:val="nil"/>
              <w:right w:val="nil"/>
              <w:tl2br w:val="nil"/>
              <w:tr2bl w:val="nil"/>
            </w:tcBorders>
            <w:shd w:val="solid" w:color="016794" w:fill="FFFFFF"/>
            <w:tcMar>
              <w:left w:w="60" w:type="dxa"/>
              <w:right w:w="60" w:type="dxa"/>
            </w:tcMar>
            <w:vAlign w:val="bottom"/>
          </w:tcPr>
          <w:p w14:paraId="6ED1F4B6"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Other EU</w:t>
            </w:r>
          </w:p>
          <w:p w14:paraId="07A5D352"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agencies and</w:t>
            </w:r>
          </w:p>
          <w:p w14:paraId="7FA8A529"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bodies</w:t>
            </w:r>
          </w:p>
        </w:tc>
        <w:tc>
          <w:tcPr>
            <w:tcW w:w="1247" w:type="dxa"/>
            <w:tcBorders>
              <w:top w:val="nil"/>
              <w:left w:val="nil"/>
              <w:bottom w:val="nil"/>
              <w:right w:val="nil"/>
              <w:tl2br w:val="nil"/>
              <w:tr2bl w:val="nil"/>
            </w:tcBorders>
            <w:shd w:val="solid" w:color="016794" w:fill="FFFFFF"/>
            <w:tcMar>
              <w:left w:w="60" w:type="dxa"/>
              <w:right w:w="60" w:type="dxa"/>
            </w:tcMar>
            <w:vAlign w:val="bottom"/>
          </w:tcPr>
          <w:p w14:paraId="03D514D4"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Third countries</w:t>
            </w:r>
          </w:p>
          <w:p w14:paraId="208CB11B"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and international</w:t>
            </w:r>
          </w:p>
          <w:p w14:paraId="5073131A"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organisations</w:t>
            </w:r>
          </w:p>
        </w:tc>
        <w:tc>
          <w:tcPr>
            <w:tcW w:w="1082" w:type="dxa"/>
            <w:tcBorders>
              <w:top w:val="nil"/>
              <w:left w:val="nil"/>
              <w:bottom w:val="nil"/>
              <w:right w:val="nil"/>
              <w:tl2br w:val="nil"/>
              <w:tr2bl w:val="nil"/>
            </w:tcBorders>
            <w:shd w:val="solid" w:color="016794" w:fill="FFFFFF"/>
            <w:tcMar>
              <w:left w:w="60" w:type="dxa"/>
              <w:right w:w="60" w:type="dxa"/>
            </w:tcMar>
            <w:vAlign w:val="bottom"/>
          </w:tcPr>
          <w:p w14:paraId="69B0B26C"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Other</w:t>
            </w:r>
          </w:p>
          <w:p w14:paraId="3AB9BB3E"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entities</w:t>
            </w:r>
          </w:p>
        </w:tc>
        <w:tc>
          <w:tcPr>
            <w:tcW w:w="1077" w:type="dxa"/>
            <w:tcBorders>
              <w:top w:val="nil"/>
              <w:left w:val="nil"/>
              <w:bottom w:val="nil"/>
              <w:right w:val="nil"/>
              <w:tl2br w:val="nil"/>
              <w:tr2bl w:val="nil"/>
            </w:tcBorders>
            <w:shd w:val="solid" w:color="016794" w:fill="FFFFFF"/>
            <w:tcMar>
              <w:left w:w="60" w:type="dxa"/>
              <w:right w:w="60" w:type="dxa"/>
            </w:tcMar>
            <w:vAlign w:val="bottom"/>
          </w:tcPr>
          <w:p w14:paraId="0251037B"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Staff and</w:t>
            </w:r>
          </w:p>
          <w:p w14:paraId="78FF43DF"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pension costs</w:t>
            </w:r>
          </w:p>
        </w:tc>
        <w:tc>
          <w:tcPr>
            <w:tcW w:w="1077" w:type="dxa"/>
            <w:tcBorders>
              <w:top w:val="nil"/>
              <w:left w:val="nil"/>
              <w:bottom w:val="nil"/>
              <w:right w:val="nil"/>
              <w:tl2br w:val="nil"/>
              <w:tr2bl w:val="nil"/>
            </w:tcBorders>
            <w:shd w:val="solid" w:color="016794" w:fill="FFFFFF"/>
            <w:tcMar>
              <w:left w:w="60" w:type="dxa"/>
              <w:right w:w="60" w:type="dxa"/>
            </w:tcMar>
            <w:vAlign w:val="bottom"/>
          </w:tcPr>
          <w:p w14:paraId="73DBB913"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Finance</w:t>
            </w:r>
          </w:p>
          <w:p w14:paraId="4F57F06F"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costs</w:t>
            </w:r>
          </w:p>
        </w:tc>
        <w:tc>
          <w:tcPr>
            <w:tcW w:w="1077" w:type="dxa"/>
            <w:tcBorders>
              <w:top w:val="nil"/>
              <w:left w:val="nil"/>
              <w:bottom w:val="nil"/>
              <w:right w:val="nil"/>
              <w:tl2br w:val="nil"/>
              <w:tr2bl w:val="nil"/>
            </w:tcBorders>
            <w:shd w:val="solid" w:color="016794" w:fill="FFFFFF"/>
            <w:tcMar>
              <w:left w:w="60" w:type="dxa"/>
              <w:right w:w="60" w:type="dxa"/>
            </w:tcMar>
            <w:vAlign w:val="bottom"/>
          </w:tcPr>
          <w:p w14:paraId="7BAFA6C4"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UK Withdrawal</w:t>
            </w:r>
          </w:p>
          <w:p w14:paraId="1C9DA23E"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Agreement</w:t>
            </w:r>
          </w:p>
        </w:tc>
        <w:tc>
          <w:tcPr>
            <w:tcW w:w="1077" w:type="dxa"/>
            <w:tcBorders>
              <w:top w:val="nil"/>
              <w:left w:val="nil"/>
              <w:bottom w:val="nil"/>
              <w:right w:val="nil"/>
              <w:tl2br w:val="nil"/>
              <w:tr2bl w:val="nil"/>
            </w:tcBorders>
            <w:shd w:val="solid" w:color="016794" w:fill="FFFFFF"/>
            <w:tcMar>
              <w:left w:w="60" w:type="dxa"/>
              <w:right w:w="60" w:type="dxa"/>
            </w:tcMar>
            <w:vAlign w:val="bottom"/>
          </w:tcPr>
          <w:p w14:paraId="6665F3DF"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Other</w:t>
            </w:r>
          </w:p>
          <w:p w14:paraId="7049998F" w14:textId="77777777" w:rsidR="00807FFE" w:rsidRDefault="00023E71">
            <w:pPr>
              <w:pStyle w:val="DMETW38212BIPPLreclass"/>
              <w:jc w:val="right"/>
              <w:rPr>
                <w:rFonts w:ascii="Verdana" w:eastAsia="Verdana" w:hAnsi="Verdana" w:cs="Verdana"/>
                <w:noProof/>
                <w:color w:val="FFFFFF"/>
                <w:sz w:val="16"/>
              </w:rPr>
            </w:pPr>
            <w:r>
              <w:rPr>
                <w:rFonts w:ascii="Verdana" w:eastAsia="Verdana" w:hAnsi="Verdana" w:cs="Verdana"/>
                <w:noProof/>
                <w:color w:val="FFFFFF"/>
                <w:sz w:val="16"/>
              </w:rPr>
              <w:t>expenses</w:t>
            </w:r>
          </w:p>
        </w:tc>
        <w:tc>
          <w:tcPr>
            <w:tcW w:w="1362" w:type="dxa"/>
            <w:tcBorders>
              <w:top w:val="nil"/>
              <w:left w:val="nil"/>
              <w:bottom w:val="nil"/>
              <w:right w:val="nil"/>
              <w:tl2br w:val="nil"/>
              <w:tr2bl w:val="nil"/>
            </w:tcBorders>
            <w:shd w:val="solid" w:color="016794" w:fill="FFFFFF"/>
            <w:tcMar>
              <w:left w:w="60" w:type="dxa"/>
              <w:right w:w="60" w:type="dxa"/>
            </w:tcMar>
            <w:vAlign w:val="bottom"/>
          </w:tcPr>
          <w:p w14:paraId="52950433" w14:textId="77777777" w:rsidR="00807FFE" w:rsidRDefault="00023E71">
            <w:pPr>
              <w:pStyle w:val="DMETW38212BIPPLreclass"/>
              <w:jc w:val="right"/>
              <w:rPr>
                <w:rFonts w:ascii="Verdana" w:eastAsia="Verdana" w:hAnsi="Verdana" w:cs="Verdana"/>
                <w:b/>
                <w:noProof/>
                <w:color w:val="FFFFFF"/>
                <w:sz w:val="16"/>
              </w:rPr>
            </w:pPr>
            <w:r>
              <w:rPr>
                <w:rFonts w:ascii="Verdana" w:eastAsia="Verdana" w:hAnsi="Verdana" w:cs="Verdana"/>
                <w:b/>
                <w:noProof/>
                <w:color w:val="FFFFFF"/>
                <w:sz w:val="16"/>
              </w:rPr>
              <w:t>Total 2024</w:t>
            </w:r>
          </w:p>
          <w:p w14:paraId="39CEFF1B" w14:textId="77777777" w:rsidR="00807FFE" w:rsidRDefault="00023E71">
            <w:pPr>
              <w:pStyle w:val="DMETW38212BIPPLreclass"/>
              <w:jc w:val="right"/>
              <w:rPr>
                <w:rFonts w:ascii="Verdana" w:eastAsia="Verdana" w:hAnsi="Verdana" w:cs="Verdana"/>
                <w:b/>
                <w:noProof/>
                <w:color w:val="FFFFFF"/>
                <w:sz w:val="16"/>
              </w:rPr>
            </w:pPr>
            <w:r>
              <w:rPr>
                <w:rFonts w:ascii="Verdana" w:eastAsia="Verdana" w:hAnsi="Verdana" w:cs="Verdana"/>
                <w:b/>
                <w:noProof/>
                <w:color w:val="FFFFFF"/>
                <w:sz w:val="16"/>
              </w:rPr>
              <w:t>expenses</w:t>
            </w:r>
          </w:p>
          <w:p w14:paraId="551D7BD5" w14:textId="77777777" w:rsidR="00807FFE" w:rsidRDefault="00023E71">
            <w:pPr>
              <w:pStyle w:val="DMETW38212BIPPLreclass"/>
              <w:jc w:val="right"/>
              <w:rPr>
                <w:rFonts w:ascii="Verdana" w:eastAsia="Verdana" w:hAnsi="Verdana" w:cs="Verdana"/>
                <w:b/>
                <w:noProof/>
                <w:color w:val="FFFFFF"/>
                <w:sz w:val="16"/>
                <w:lang w:bidi="en-GB"/>
              </w:rPr>
            </w:pPr>
            <w:r>
              <w:rPr>
                <w:rFonts w:ascii="Verdana" w:eastAsia="Verdana" w:hAnsi="Verdana" w:cs="Verdana"/>
                <w:b/>
                <w:noProof/>
                <w:color w:val="FFFFFF"/>
                <w:sz w:val="16"/>
              </w:rPr>
              <w:t>(reclassified)</w:t>
            </w:r>
          </w:p>
        </w:tc>
      </w:tr>
      <w:tr w:rsidR="00807FFE" w14:paraId="3CAA34B5" w14:textId="77777777" w:rsidTr="006F6B0D">
        <w:trPr>
          <w:trHeight w:val="255"/>
        </w:trPr>
        <w:tc>
          <w:tcPr>
            <w:tcW w:w="3004"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00B8A9E9"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Delegated to Member States</w:t>
            </w:r>
          </w:p>
        </w:tc>
        <w:tc>
          <w:tcPr>
            <w:tcW w:w="1190" w:type="dxa"/>
            <w:tcBorders>
              <w:top w:val="nil"/>
              <w:left w:val="nil"/>
              <w:bottom w:val="nil"/>
              <w:right w:val="nil"/>
              <w:tl2br w:val="nil"/>
              <w:tr2bl w:val="nil"/>
            </w:tcBorders>
            <w:tcMar>
              <w:left w:w="60" w:type="dxa"/>
              <w:right w:w="60" w:type="dxa"/>
            </w:tcMar>
            <w:vAlign w:val="center"/>
          </w:tcPr>
          <w:p w14:paraId="475B042B"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(105 770)</w:t>
            </w:r>
          </w:p>
        </w:tc>
        <w:tc>
          <w:tcPr>
            <w:tcW w:w="1188" w:type="dxa"/>
            <w:tcBorders>
              <w:top w:val="nil"/>
              <w:left w:val="nil"/>
              <w:bottom w:val="nil"/>
              <w:right w:val="nil"/>
              <w:tl2br w:val="nil"/>
              <w:tr2bl w:val="nil"/>
            </w:tcBorders>
            <w:tcMar>
              <w:left w:w="60" w:type="dxa"/>
              <w:right w:w="60" w:type="dxa"/>
            </w:tcMar>
            <w:vAlign w:val="center"/>
          </w:tcPr>
          <w:p w14:paraId="09BBCC21"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0492B927" w14:textId="77777777" w:rsidR="00807FFE" w:rsidRDefault="00807FFE">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14:paraId="0BD5B243" w14:textId="77777777" w:rsidR="00807FFE" w:rsidRDefault="00807FFE">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14:paraId="20246472"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2F2E346B"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1A9DBFE5"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30D7718F"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542C4BB9" w14:textId="77777777" w:rsidR="00807FFE" w:rsidRDefault="00807FFE">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14:paraId="4261CAB4" w14:textId="77777777" w:rsidR="00807FFE" w:rsidRDefault="00023E71">
            <w:pPr>
              <w:pStyle w:val="DMETW38212BIPPLreclass"/>
              <w:jc w:val="right"/>
              <w:rPr>
                <w:rFonts w:ascii="Verdana" w:eastAsia="Verdana" w:hAnsi="Verdana" w:cs="Verdana"/>
                <w:i/>
                <w:noProof/>
                <w:color w:val="000000"/>
                <w:sz w:val="18"/>
                <w:lang w:bidi="en-GB"/>
              </w:rPr>
            </w:pPr>
            <w:r>
              <w:rPr>
                <w:rFonts w:ascii="Verdana" w:eastAsia="Verdana" w:hAnsi="Verdana" w:cs="Verdana"/>
                <w:i/>
                <w:noProof/>
                <w:color w:val="000000"/>
                <w:sz w:val="18"/>
              </w:rPr>
              <w:t>(105 770)</w:t>
            </w:r>
          </w:p>
        </w:tc>
      </w:tr>
      <w:tr w:rsidR="00807FFE" w14:paraId="6041FC32" w14:textId="77777777" w:rsidTr="006F6B0D">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14:paraId="68B4CB02"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Transfers including</w:t>
            </w:r>
          </w:p>
          <w:p w14:paraId="7ADD01F6"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grants and budget support</w:t>
            </w:r>
          </w:p>
        </w:tc>
        <w:tc>
          <w:tcPr>
            <w:tcW w:w="1190" w:type="dxa"/>
            <w:tcBorders>
              <w:top w:val="nil"/>
              <w:left w:val="nil"/>
              <w:bottom w:val="nil"/>
              <w:right w:val="nil"/>
              <w:tl2br w:val="nil"/>
              <w:tr2bl w:val="nil"/>
            </w:tcBorders>
            <w:tcMar>
              <w:left w:w="60" w:type="dxa"/>
              <w:right w:w="60" w:type="dxa"/>
            </w:tcMar>
            <w:vAlign w:val="center"/>
          </w:tcPr>
          <w:p w14:paraId="0BA12C56"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412E9D5C"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34579C27" w14:textId="77777777" w:rsidR="00807FFE" w:rsidRDefault="00807FFE">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14:paraId="200E53D2" w14:textId="77777777" w:rsidR="00807FFE" w:rsidRDefault="00807FFE">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14:paraId="60B255FC"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34999551"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03020611"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7FAF7225"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08BAE996" w14:textId="77777777" w:rsidR="00807FFE" w:rsidRDefault="00807FFE">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14:paraId="059FD884" w14:textId="28392BCE" w:rsidR="00807FFE" w:rsidRDefault="00807FFE">
            <w:pPr>
              <w:pStyle w:val="DMETW38212BIPPLreclass"/>
              <w:jc w:val="right"/>
              <w:rPr>
                <w:rFonts w:ascii="Verdana" w:eastAsia="Verdana" w:hAnsi="Verdana" w:cs="Verdana"/>
                <w:i/>
                <w:noProof/>
                <w:color w:val="000000"/>
                <w:sz w:val="18"/>
                <w:lang w:bidi="en-GB"/>
              </w:rPr>
            </w:pPr>
          </w:p>
        </w:tc>
      </w:tr>
      <w:tr w:rsidR="00807FFE" w14:paraId="350D24D7" w14:textId="77777777" w:rsidTr="006F6B0D">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14:paraId="5E74E580" w14:textId="77777777" w:rsidR="00807FFE" w:rsidRDefault="00023E71">
            <w:pPr>
              <w:pStyle w:val="DMETW38212BIPPLreclass"/>
              <w:ind w:left="200" w:firstLine="8"/>
              <w:rPr>
                <w:rFonts w:ascii="Verdana" w:eastAsia="Verdana" w:hAnsi="Verdana" w:cs="Verdana"/>
                <w:i/>
                <w:noProof/>
                <w:color w:val="000000"/>
                <w:sz w:val="16"/>
              </w:rPr>
            </w:pPr>
            <w:r>
              <w:rPr>
                <w:rFonts w:ascii="Verdana" w:eastAsia="Verdana" w:hAnsi="Verdana" w:cs="Verdana"/>
                <w:i/>
                <w:noProof/>
                <w:color w:val="000000"/>
                <w:sz w:val="16"/>
              </w:rPr>
              <w:t>RRF</w:t>
            </w:r>
          </w:p>
        </w:tc>
        <w:tc>
          <w:tcPr>
            <w:tcW w:w="1190" w:type="dxa"/>
            <w:tcBorders>
              <w:top w:val="nil"/>
              <w:left w:val="nil"/>
              <w:bottom w:val="nil"/>
              <w:right w:val="nil"/>
              <w:tl2br w:val="nil"/>
              <w:tr2bl w:val="nil"/>
            </w:tcBorders>
            <w:tcMar>
              <w:left w:w="60" w:type="dxa"/>
              <w:right w:w="60" w:type="dxa"/>
            </w:tcMar>
            <w:vAlign w:val="center"/>
          </w:tcPr>
          <w:p w14:paraId="45954973"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0B2F947A"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(65 787)</w:t>
            </w:r>
          </w:p>
        </w:tc>
        <w:tc>
          <w:tcPr>
            <w:tcW w:w="1188" w:type="dxa"/>
            <w:tcBorders>
              <w:top w:val="nil"/>
              <w:left w:val="nil"/>
              <w:bottom w:val="nil"/>
              <w:right w:val="nil"/>
              <w:tl2br w:val="nil"/>
              <w:tr2bl w:val="nil"/>
            </w:tcBorders>
            <w:tcMar>
              <w:left w:w="60" w:type="dxa"/>
              <w:right w:w="60" w:type="dxa"/>
            </w:tcMar>
            <w:vAlign w:val="center"/>
          </w:tcPr>
          <w:p w14:paraId="3B5FBBAD" w14:textId="77777777" w:rsidR="00807FFE" w:rsidRDefault="00807FFE">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14:paraId="62AFADE4" w14:textId="77777777" w:rsidR="00807FFE" w:rsidRDefault="00807FFE">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14:paraId="08AF0010"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3CA21F6F"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329CB2F3"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4089F503"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07893AAD" w14:textId="77777777" w:rsidR="00807FFE" w:rsidRDefault="00807FFE">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14:paraId="369CB65F" w14:textId="77777777" w:rsidR="00807FFE" w:rsidRDefault="00023E71">
            <w:pPr>
              <w:pStyle w:val="DMETW38212BIPPLreclass"/>
              <w:jc w:val="right"/>
              <w:rPr>
                <w:rFonts w:ascii="Verdana" w:eastAsia="Verdana" w:hAnsi="Verdana" w:cs="Verdana"/>
                <w:i/>
                <w:noProof/>
                <w:color w:val="000000"/>
                <w:sz w:val="18"/>
                <w:lang w:bidi="en-GB"/>
              </w:rPr>
            </w:pPr>
            <w:r>
              <w:rPr>
                <w:rFonts w:ascii="Verdana" w:eastAsia="Verdana" w:hAnsi="Verdana" w:cs="Verdana"/>
                <w:i/>
                <w:noProof/>
                <w:color w:val="000000"/>
                <w:sz w:val="18"/>
              </w:rPr>
              <w:t>(65 787)</w:t>
            </w:r>
          </w:p>
        </w:tc>
      </w:tr>
      <w:tr w:rsidR="00807FFE" w14:paraId="37C75B07" w14:textId="77777777" w:rsidTr="006F6B0D">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14:paraId="544B2D23" w14:textId="77777777" w:rsidR="00807FFE" w:rsidRDefault="00023E71">
            <w:pPr>
              <w:pStyle w:val="DMETW38212BIPPLreclass"/>
              <w:ind w:left="200" w:firstLine="8"/>
              <w:rPr>
                <w:rFonts w:ascii="Verdana" w:eastAsia="Verdana" w:hAnsi="Verdana" w:cs="Verdana"/>
                <w:i/>
                <w:noProof/>
                <w:color w:val="000000"/>
                <w:sz w:val="16"/>
              </w:rPr>
            </w:pPr>
            <w:r>
              <w:rPr>
                <w:rFonts w:ascii="Verdana" w:eastAsia="Verdana" w:hAnsi="Verdana" w:cs="Verdana"/>
                <w:i/>
                <w:noProof/>
                <w:color w:val="000000"/>
                <w:sz w:val="16"/>
              </w:rPr>
              <w:t>Other</w:t>
            </w:r>
          </w:p>
        </w:tc>
        <w:tc>
          <w:tcPr>
            <w:tcW w:w="1190" w:type="dxa"/>
            <w:tcBorders>
              <w:top w:val="nil"/>
              <w:left w:val="nil"/>
              <w:bottom w:val="nil"/>
              <w:right w:val="nil"/>
              <w:tl2br w:val="nil"/>
              <w:tr2bl w:val="nil"/>
            </w:tcBorders>
            <w:tcMar>
              <w:left w:w="60" w:type="dxa"/>
              <w:right w:w="60" w:type="dxa"/>
            </w:tcMar>
            <w:vAlign w:val="center"/>
          </w:tcPr>
          <w:p w14:paraId="630F7A2B"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63CEB762"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(32 992)</w:t>
            </w:r>
          </w:p>
        </w:tc>
        <w:tc>
          <w:tcPr>
            <w:tcW w:w="1188" w:type="dxa"/>
            <w:tcBorders>
              <w:top w:val="nil"/>
              <w:left w:val="nil"/>
              <w:bottom w:val="nil"/>
              <w:right w:val="nil"/>
              <w:tl2br w:val="nil"/>
              <w:tr2bl w:val="nil"/>
            </w:tcBorders>
            <w:tcMar>
              <w:left w:w="60" w:type="dxa"/>
              <w:right w:w="60" w:type="dxa"/>
            </w:tcMar>
            <w:vAlign w:val="center"/>
          </w:tcPr>
          <w:p w14:paraId="0C5E1CCC" w14:textId="77777777" w:rsidR="00807FFE" w:rsidRDefault="00807FFE">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14:paraId="11836AB2" w14:textId="77777777" w:rsidR="00807FFE" w:rsidRDefault="00807FFE">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14:paraId="79A0E50F"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2C806BB5"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55B0D0F3"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7B4CDE14"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4EF0A35F" w14:textId="77777777" w:rsidR="00807FFE" w:rsidRDefault="00807FFE">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14:paraId="00B841F7" w14:textId="77777777" w:rsidR="00807FFE" w:rsidRDefault="00023E71">
            <w:pPr>
              <w:pStyle w:val="DMETW38212BIPPLreclass"/>
              <w:jc w:val="right"/>
              <w:rPr>
                <w:rFonts w:ascii="Verdana" w:eastAsia="Verdana" w:hAnsi="Verdana" w:cs="Verdana"/>
                <w:i/>
                <w:noProof/>
                <w:color w:val="000000"/>
                <w:sz w:val="18"/>
                <w:lang w:bidi="en-GB"/>
              </w:rPr>
            </w:pPr>
            <w:r>
              <w:rPr>
                <w:rFonts w:ascii="Verdana" w:eastAsia="Verdana" w:hAnsi="Verdana" w:cs="Verdana"/>
                <w:i/>
                <w:noProof/>
                <w:color w:val="000000"/>
                <w:sz w:val="18"/>
              </w:rPr>
              <w:t>(32 992)</w:t>
            </w:r>
          </w:p>
        </w:tc>
      </w:tr>
      <w:tr w:rsidR="00807FFE" w14:paraId="0D4D8B5B" w14:textId="77777777" w:rsidTr="006F6B0D">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14:paraId="75FBDB28"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Contribution agreements</w:t>
            </w:r>
          </w:p>
          <w:p w14:paraId="5A137B00"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including EU bodies</w:t>
            </w:r>
          </w:p>
        </w:tc>
        <w:tc>
          <w:tcPr>
            <w:tcW w:w="1190" w:type="dxa"/>
            <w:tcBorders>
              <w:top w:val="nil"/>
              <w:left w:val="nil"/>
              <w:bottom w:val="nil"/>
              <w:right w:val="nil"/>
              <w:tl2br w:val="nil"/>
              <w:tr2bl w:val="nil"/>
            </w:tcBorders>
            <w:tcMar>
              <w:left w:w="60" w:type="dxa"/>
              <w:right w:w="60" w:type="dxa"/>
            </w:tcMar>
            <w:vAlign w:val="center"/>
          </w:tcPr>
          <w:p w14:paraId="38629760"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395618B0"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 xml:space="preserve"> (194)</w:t>
            </w:r>
          </w:p>
        </w:tc>
        <w:tc>
          <w:tcPr>
            <w:tcW w:w="1188" w:type="dxa"/>
            <w:tcBorders>
              <w:top w:val="nil"/>
              <w:left w:val="nil"/>
              <w:bottom w:val="nil"/>
              <w:right w:val="nil"/>
              <w:tl2br w:val="nil"/>
              <w:tr2bl w:val="nil"/>
            </w:tcBorders>
            <w:tcMar>
              <w:left w:w="60" w:type="dxa"/>
              <w:right w:w="60" w:type="dxa"/>
            </w:tcMar>
            <w:vAlign w:val="center"/>
          </w:tcPr>
          <w:p w14:paraId="36FDF779"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(4 388)</w:t>
            </w:r>
          </w:p>
        </w:tc>
        <w:tc>
          <w:tcPr>
            <w:tcW w:w="1247" w:type="dxa"/>
            <w:tcBorders>
              <w:top w:val="nil"/>
              <w:left w:val="nil"/>
              <w:bottom w:val="nil"/>
              <w:right w:val="nil"/>
              <w:tl2br w:val="nil"/>
              <w:tr2bl w:val="nil"/>
            </w:tcBorders>
            <w:tcMar>
              <w:left w:w="60" w:type="dxa"/>
              <w:right w:w="60" w:type="dxa"/>
            </w:tcMar>
            <w:vAlign w:val="center"/>
          </w:tcPr>
          <w:p w14:paraId="480BA723"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(6 639)</w:t>
            </w:r>
          </w:p>
        </w:tc>
        <w:tc>
          <w:tcPr>
            <w:tcW w:w="1082" w:type="dxa"/>
            <w:tcBorders>
              <w:top w:val="nil"/>
              <w:left w:val="nil"/>
              <w:bottom w:val="nil"/>
              <w:right w:val="nil"/>
              <w:tl2br w:val="nil"/>
              <w:tr2bl w:val="nil"/>
            </w:tcBorders>
            <w:tcMar>
              <w:left w:w="60" w:type="dxa"/>
              <w:right w:w="60" w:type="dxa"/>
            </w:tcMar>
            <w:vAlign w:val="center"/>
          </w:tcPr>
          <w:p w14:paraId="0217BCD0"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(5 599)</w:t>
            </w:r>
          </w:p>
        </w:tc>
        <w:tc>
          <w:tcPr>
            <w:tcW w:w="1077" w:type="dxa"/>
            <w:tcBorders>
              <w:top w:val="nil"/>
              <w:left w:val="nil"/>
              <w:bottom w:val="nil"/>
              <w:right w:val="nil"/>
              <w:tl2br w:val="nil"/>
              <w:tr2bl w:val="nil"/>
            </w:tcBorders>
            <w:tcMar>
              <w:left w:w="60" w:type="dxa"/>
              <w:right w:w="60" w:type="dxa"/>
            </w:tcMar>
            <w:vAlign w:val="center"/>
          </w:tcPr>
          <w:p w14:paraId="63B33BE5"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6E0DB335"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1EA0E221"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1D0FD8CB" w14:textId="77777777" w:rsidR="00807FFE" w:rsidRDefault="00807FFE">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14:paraId="03FC9E32" w14:textId="77777777" w:rsidR="00807FFE" w:rsidRDefault="00023E71">
            <w:pPr>
              <w:pStyle w:val="DMETW38212BIPPLreclass"/>
              <w:jc w:val="right"/>
              <w:rPr>
                <w:rFonts w:ascii="Verdana" w:eastAsia="Verdana" w:hAnsi="Verdana" w:cs="Verdana"/>
                <w:i/>
                <w:noProof/>
                <w:color w:val="000000"/>
                <w:sz w:val="18"/>
                <w:lang w:bidi="en-GB"/>
              </w:rPr>
            </w:pPr>
            <w:r>
              <w:rPr>
                <w:rFonts w:ascii="Verdana" w:eastAsia="Verdana" w:hAnsi="Verdana" w:cs="Verdana"/>
                <w:i/>
                <w:noProof/>
                <w:color w:val="000000"/>
                <w:sz w:val="18"/>
              </w:rPr>
              <w:t>(16 820)</w:t>
            </w:r>
          </w:p>
        </w:tc>
      </w:tr>
      <w:tr w:rsidR="00807FFE" w14:paraId="398A0C33" w14:textId="77777777" w:rsidTr="006F6B0D">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14:paraId="72E7D575"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Staff and pension costs</w:t>
            </w:r>
          </w:p>
        </w:tc>
        <w:tc>
          <w:tcPr>
            <w:tcW w:w="1190" w:type="dxa"/>
            <w:tcBorders>
              <w:top w:val="nil"/>
              <w:left w:val="nil"/>
              <w:bottom w:val="nil"/>
              <w:right w:val="nil"/>
              <w:tl2br w:val="nil"/>
              <w:tr2bl w:val="nil"/>
            </w:tcBorders>
            <w:tcMar>
              <w:left w:w="60" w:type="dxa"/>
              <w:right w:w="60" w:type="dxa"/>
            </w:tcMar>
            <w:vAlign w:val="center"/>
          </w:tcPr>
          <w:p w14:paraId="42F4DA92"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4671F0A0"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1C28FEF2" w14:textId="77777777" w:rsidR="00807FFE" w:rsidRDefault="00807FFE">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14:paraId="6BC95511" w14:textId="77777777" w:rsidR="00807FFE" w:rsidRDefault="00807FFE">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14:paraId="25D14E23"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69AF49FD"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(14 966)</w:t>
            </w:r>
          </w:p>
        </w:tc>
        <w:tc>
          <w:tcPr>
            <w:tcW w:w="1077" w:type="dxa"/>
            <w:tcBorders>
              <w:top w:val="nil"/>
              <w:left w:val="nil"/>
              <w:bottom w:val="nil"/>
              <w:right w:val="nil"/>
              <w:tl2br w:val="nil"/>
              <w:tr2bl w:val="nil"/>
            </w:tcBorders>
            <w:tcMar>
              <w:left w:w="60" w:type="dxa"/>
              <w:right w:w="60" w:type="dxa"/>
            </w:tcMar>
            <w:vAlign w:val="center"/>
          </w:tcPr>
          <w:p w14:paraId="04B64E5F"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60E955B9"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728A716C" w14:textId="77777777" w:rsidR="00807FFE" w:rsidRDefault="00807FFE">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14:paraId="442E268F" w14:textId="77777777" w:rsidR="00807FFE" w:rsidRDefault="00023E71">
            <w:pPr>
              <w:pStyle w:val="DMETW38212BIPPLreclass"/>
              <w:jc w:val="right"/>
              <w:rPr>
                <w:rFonts w:ascii="Verdana" w:eastAsia="Verdana" w:hAnsi="Verdana" w:cs="Verdana"/>
                <w:i/>
                <w:noProof/>
                <w:color w:val="000000"/>
                <w:sz w:val="18"/>
                <w:lang w:bidi="en-GB"/>
              </w:rPr>
            </w:pPr>
            <w:r>
              <w:rPr>
                <w:rFonts w:ascii="Verdana" w:eastAsia="Verdana" w:hAnsi="Verdana" w:cs="Verdana"/>
                <w:i/>
                <w:noProof/>
                <w:color w:val="000000"/>
                <w:sz w:val="18"/>
              </w:rPr>
              <w:t>(14 966)</w:t>
            </w:r>
          </w:p>
        </w:tc>
      </w:tr>
      <w:tr w:rsidR="00807FFE" w14:paraId="59B37C75" w14:textId="77777777" w:rsidTr="006F6B0D">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14:paraId="0002C89D"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Financial costs</w:t>
            </w:r>
          </w:p>
        </w:tc>
        <w:tc>
          <w:tcPr>
            <w:tcW w:w="1190" w:type="dxa"/>
            <w:tcBorders>
              <w:top w:val="nil"/>
              <w:left w:val="nil"/>
              <w:bottom w:val="nil"/>
              <w:right w:val="nil"/>
              <w:tl2br w:val="nil"/>
              <w:tr2bl w:val="nil"/>
            </w:tcBorders>
            <w:tcMar>
              <w:left w:w="60" w:type="dxa"/>
              <w:right w:w="60" w:type="dxa"/>
            </w:tcMar>
            <w:vAlign w:val="center"/>
          </w:tcPr>
          <w:p w14:paraId="05D6D879"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1E3B5E98"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66A8BD36" w14:textId="77777777" w:rsidR="00807FFE" w:rsidRDefault="00807FFE">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14:paraId="726FB919" w14:textId="77777777" w:rsidR="00807FFE" w:rsidRDefault="00807FFE">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14:paraId="431CF748"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49476118"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5264AAB0"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(27 226)</w:t>
            </w:r>
          </w:p>
        </w:tc>
        <w:tc>
          <w:tcPr>
            <w:tcW w:w="1077" w:type="dxa"/>
            <w:tcBorders>
              <w:top w:val="nil"/>
              <w:left w:val="nil"/>
              <w:bottom w:val="nil"/>
              <w:right w:val="nil"/>
              <w:tl2br w:val="nil"/>
              <w:tr2bl w:val="nil"/>
            </w:tcBorders>
            <w:tcMar>
              <w:left w:w="60" w:type="dxa"/>
              <w:right w:w="60" w:type="dxa"/>
            </w:tcMar>
            <w:vAlign w:val="center"/>
          </w:tcPr>
          <w:p w14:paraId="7AF4FB06"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234F1443" w14:textId="77777777" w:rsidR="00807FFE" w:rsidRDefault="00807FFE">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14:paraId="2BC90437" w14:textId="77777777" w:rsidR="00807FFE" w:rsidRDefault="00023E71">
            <w:pPr>
              <w:pStyle w:val="DMETW38212BIPPLreclass"/>
              <w:jc w:val="right"/>
              <w:rPr>
                <w:rFonts w:ascii="Verdana" w:eastAsia="Verdana" w:hAnsi="Verdana" w:cs="Verdana"/>
                <w:i/>
                <w:noProof/>
                <w:color w:val="000000"/>
                <w:sz w:val="18"/>
                <w:lang w:bidi="en-GB"/>
              </w:rPr>
            </w:pPr>
            <w:r>
              <w:rPr>
                <w:rFonts w:ascii="Verdana" w:eastAsia="Verdana" w:hAnsi="Verdana" w:cs="Verdana"/>
                <w:i/>
                <w:noProof/>
                <w:color w:val="000000"/>
                <w:sz w:val="18"/>
              </w:rPr>
              <w:t>(27 226)</w:t>
            </w:r>
          </w:p>
        </w:tc>
      </w:tr>
      <w:tr w:rsidR="00807FFE" w14:paraId="4056C756" w14:textId="77777777" w:rsidTr="006F6B0D">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14:paraId="55BA8379"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UK Withdrawal Agreement</w:t>
            </w:r>
          </w:p>
        </w:tc>
        <w:tc>
          <w:tcPr>
            <w:tcW w:w="1190" w:type="dxa"/>
            <w:tcBorders>
              <w:top w:val="nil"/>
              <w:left w:val="nil"/>
              <w:bottom w:val="nil"/>
              <w:right w:val="nil"/>
              <w:tl2br w:val="nil"/>
              <w:tr2bl w:val="nil"/>
            </w:tcBorders>
            <w:tcMar>
              <w:left w:w="60" w:type="dxa"/>
              <w:right w:w="60" w:type="dxa"/>
            </w:tcMar>
            <w:vAlign w:val="center"/>
          </w:tcPr>
          <w:p w14:paraId="6F52932B"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4DE4CD22" w14:textId="77777777" w:rsidR="00807FFE" w:rsidRDefault="00807FFE">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14:paraId="5D9E7C93" w14:textId="77777777" w:rsidR="00807FFE" w:rsidRDefault="00807FFE">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14:paraId="241DEA79" w14:textId="77777777" w:rsidR="00807FFE" w:rsidRDefault="00807FFE">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14:paraId="2AB8D9FB"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108F4A9A"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642DB64F" w14:textId="77777777" w:rsidR="00807FFE" w:rsidRDefault="00807FFE">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14:paraId="48B7CFA9"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 xml:space="preserve"> (315)</w:t>
            </w:r>
          </w:p>
        </w:tc>
        <w:tc>
          <w:tcPr>
            <w:tcW w:w="1077" w:type="dxa"/>
            <w:tcBorders>
              <w:top w:val="nil"/>
              <w:left w:val="nil"/>
              <w:bottom w:val="nil"/>
              <w:right w:val="nil"/>
              <w:tl2br w:val="nil"/>
              <w:tr2bl w:val="nil"/>
            </w:tcBorders>
            <w:tcMar>
              <w:left w:w="60" w:type="dxa"/>
              <w:right w:w="60" w:type="dxa"/>
            </w:tcMar>
            <w:vAlign w:val="center"/>
          </w:tcPr>
          <w:p w14:paraId="4EA673DD" w14:textId="77777777" w:rsidR="00807FFE" w:rsidRDefault="00807FFE">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14:paraId="62B7CD95" w14:textId="77777777" w:rsidR="00807FFE" w:rsidRDefault="00023E71">
            <w:pPr>
              <w:pStyle w:val="DMETW38212BIPPLreclas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(315)</w:t>
            </w:r>
          </w:p>
        </w:tc>
      </w:tr>
      <w:tr w:rsidR="006A5B4E" w14:paraId="51A199F2" w14:textId="77777777" w:rsidTr="006F6B0D">
        <w:trPr>
          <w:trHeight w:val="255"/>
        </w:trPr>
        <w:tc>
          <w:tcPr>
            <w:tcW w:w="3004"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5C2A11E5" w14:textId="77777777" w:rsidR="00807FFE" w:rsidRDefault="00023E71">
            <w:pPr>
              <w:pStyle w:val="DMETW38212BIPPLreclass"/>
              <w:rPr>
                <w:rFonts w:ascii="Verdana" w:eastAsia="Verdana" w:hAnsi="Verdana" w:cs="Verdana"/>
                <w:i/>
                <w:noProof/>
                <w:color w:val="000000"/>
                <w:sz w:val="16"/>
              </w:rPr>
            </w:pPr>
            <w:r>
              <w:rPr>
                <w:rFonts w:ascii="Verdana" w:eastAsia="Verdana" w:hAnsi="Verdana" w:cs="Verdana"/>
                <w:i/>
                <w:noProof/>
                <w:color w:val="000000"/>
                <w:sz w:val="16"/>
              </w:rPr>
              <w:t>Procurement, administrative and other expenses</w:t>
            </w:r>
          </w:p>
        </w:tc>
        <w:tc>
          <w:tcPr>
            <w:tcW w:w="1190"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54FD6E5C" w14:textId="77777777" w:rsidR="00807FFE" w:rsidRDefault="00807FFE">
            <w:pPr>
              <w:pStyle w:val="DMETW38212BIPPLreclass"/>
              <w:jc w:val="right"/>
              <w:rPr>
                <w:rFonts w:ascii="Verdana" w:eastAsia="Verdana" w:hAnsi="Verdana" w:cs="Verdana"/>
                <w:i/>
                <w:noProof/>
                <w:color w:val="000000"/>
                <w:sz w:val="16"/>
              </w:rPr>
            </w:pPr>
          </w:p>
        </w:tc>
        <w:tc>
          <w:tcPr>
            <w:tcW w:w="1188"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197F960B"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2</w:t>
            </w:r>
          </w:p>
        </w:tc>
        <w:tc>
          <w:tcPr>
            <w:tcW w:w="1188"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4EABD692" w14:textId="77777777" w:rsidR="00807FFE" w:rsidRDefault="00807FFE">
            <w:pPr>
              <w:pStyle w:val="DMETW38212BIPPLreclass"/>
              <w:jc w:val="right"/>
              <w:rPr>
                <w:rFonts w:ascii="Verdana" w:eastAsia="Verdana" w:hAnsi="Verdana" w:cs="Verdana"/>
                <w:i/>
                <w:noProof/>
                <w:color w:val="000000"/>
                <w:sz w:val="16"/>
              </w:rPr>
            </w:pPr>
          </w:p>
        </w:tc>
        <w:tc>
          <w:tcPr>
            <w:tcW w:w="1247"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3153902F" w14:textId="77777777" w:rsidR="00807FFE" w:rsidRDefault="00807FFE">
            <w:pPr>
              <w:pStyle w:val="DMETW38212BIPPLreclass"/>
              <w:jc w:val="right"/>
              <w:rPr>
                <w:rFonts w:ascii="Verdana" w:eastAsia="Verdana" w:hAnsi="Verdana" w:cs="Verdana"/>
                <w:i/>
                <w:noProof/>
                <w:color w:val="000000"/>
                <w:sz w:val="16"/>
              </w:rPr>
            </w:pPr>
          </w:p>
        </w:tc>
        <w:tc>
          <w:tcPr>
            <w:tcW w:w="1082"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6DCF1930" w14:textId="77777777" w:rsidR="00807FFE" w:rsidRDefault="00807FFE">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3D063688" w14:textId="77777777" w:rsidR="00807FFE" w:rsidRDefault="00807FFE">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3266CF0E" w14:textId="77777777" w:rsidR="00807FFE" w:rsidRDefault="00807FFE">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2D222926" w14:textId="77777777" w:rsidR="00807FFE" w:rsidRDefault="00807FFE">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12916136" w14:textId="77777777" w:rsidR="00807FFE" w:rsidRDefault="00023E71">
            <w:pPr>
              <w:pStyle w:val="DMETW38212BIPPLreclass"/>
              <w:jc w:val="right"/>
              <w:rPr>
                <w:rFonts w:ascii="Verdana" w:eastAsia="Verdana" w:hAnsi="Verdana" w:cs="Verdana"/>
                <w:i/>
                <w:noProof/>
                <w:color w:val="000000"/>
                <w:sz w:val="18"/>
              </w:rPr>
            </w:pPr>
            <w:r>
              <w:rPr>
                <w:rFonts w:ascii="Verdana" w:eastAsia="Verdana" w:hAnsi="Verdana" w:cs="Verdana"/>
                <w:i/>
                <w:noProof/>
                <w:color w:val="000000"/>
                <w:sz w:val="18"/>
              </w:rPr>
              <w:t>(8 999)</w:t>
            </w:r>
          </w:p>
        </w:tc>
        <w:tc>
          <w:tcPr>
            <w:tcW w:w="1362" w:type="dxa"/>
            <w:tcBorders>
              <w:top w:val="nil"/>
              <w:left w:val="nil"/>
              <w:bottom w:val="single" w:sz="12" w:space="0" w:color="016794"/>
              <w:right w:val="nil"/>
              <w:tl2br w:val="nil"/>
              <w:tr2bl w:val="nil"/>
            </w:tcBorders>
            <w:shd w:val="solid" w:color="FFFFFF" w:fill="FFFFFF"/>
            <w:tcMar>
              <w:left w:w="60" w:type="dxa"/>
              <w:right w:w="60" w:type="dxa"/>
            </w:tcMar>
            <w:vAlign w:val="center"/>
          </w:tcPr>
          <w:p w14:paraId="6E4B1640" w14:textId="77777777" w:rsidR="00807FFE" w:rsidRDefault="00023E71">
            <w:pPr>
              <w:pStyle w:val="DMETW38212BIPPLreclass"/>
              <w:jc w:val="right"/>
              <w:rPr>
                <w:rFonts w:ascii="Verdana" w:eastAsia="Verdana" w:hAnsi="Verdana" w:cs="Verdana"/>
                <w:i/>
                <w:noProof/>
                <w:color w:val="000000"/>
                <w:sz w:val="18"/>
                <w:lang w:bidi="en-GB"/>
              </w:rPr>
            </w:pPr>
            <w:r>
              <w:rPr>
                <w:rFonts w:ascii="Verdana" w:eastAsia="Verdana" w:hAnsi="Verdana" w:cs="Verdana"/>
                <w:i/>
                <w:noProof/>
                <w:color w:val="000000"/>
                <w:sz w:val="18"/>
              </w:rPr>
              <w:t>(8 997)</w:t>
            </w:r>
          </w:p>
        </w:tc>
      </w:tr>
      <w:tr w:rsidR="006A5B4E" w14:paraId="64EDBBEC" w14:textId="77777777" w:rsidTr="006F6B0D">
        <w:trPr>
          <w:trHeight w:val="255"/>
        </w:trPr>
        <w:tc>
          <w:tcPr>
            <w:tcW w:w="3004"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3F9BCD21" w14:textId="77777777" w:rsidR="00807FFE" w:rsidRDefault="00023E71">
            <w:pPr>
              <w:pStyle w:val="DMETW38212BIPPLreclass"/>
              <w:rPr>
                <w:rFonts w:ascii="Verdana" w:eastAsia="Verdana" w:hAnsi="Verdana" w:cs="Verdana"/>
                <w:b/>
                <w:noProof/>
                <w:color w:val="000000"/>
                <w:sz w:val="16"/>
              </w:rPr>
            </w:pPr>
            <w:r>
              <w:rPr>
                <w:rFonts w:ascii="Verdana" w:eastAsia="Verdana" w:hAnsi="Verdana" w:cs="Verdana"/>
                <w:b/>
                <w:noProof/>
                <w:color w:val="000000"/>
                <w:sz w:val="16"/>
              </w:rPr>
              <w:t>Total expenses</w:t>
            </w:r>
          </w:p>
        </w:tc>
        <w:tc>
          <w:tcPr>
            <w:tcW w:w="1190"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57193A43"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(105 770)</w:t>
            </w:r>
          </w:p>
        </w:tc>
        <w:tc>
          <w:tcPr>
            <w:tcW w:w="1188"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7DDCFCEB"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(98 971)</w:t>
            </w:r>
          </w:p>
        </w:tc>
        <w:tc>
          <w:tcPr>
            <w:tcW w:w="1188"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21DFC8BF"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(4 388)</w:t>
            </w:r>
          </w:p>
        </w:tc>
        <w:tc>
          <w:tcPr>
            <w:tcW w:w="1247"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21250727"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(6 639)</w:t>
            </w:r>
          </w:p>
        </w:tc>
        <w:tc>
          <w:tcPr>
            <w:tcW w:w="1082"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24902CC0"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(5 599)</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4A118376"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(14 966)</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1CED2B2C"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(27 226)</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519E00A3"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 xml:space="preserve"> (315)</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358B5C42"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(8 999)</w:t>
            </w:r>
          </w:p>
        </w:tc>
        <w:tc>
          <w:tcPr>
            <w:tcW w:w="1362" w:type="dxa"/>
            <w:tcBorders>
              <w:top w:val="single" w:sz="12" w:space="0" w:color="016794"/>
              <w:left w:val="nil"/>
              <w:bottom w:val="nil"/>
              <w:right w:val="nil"/>
              <w:tl2br w:val="nil"/>
              <w:tr2bl w:val="nil"/>
            </w:tcBorders>
            <w:shd w:val="solid" w:color="FFFFFF" w:fill="FFFFFF"/>
            <w:tcMar>
              <w:left w:w="60" w:type="dxa"/>
              <w:right w:w="60" w:type="dxa"/>
            </w:tcMar>
            <w:vAlign w:val="center"/>
          </w:tcPr>
          <w:p w14:paraId="3E5F3129" w14:textId="77777777" w:rsidR="00807FFE" w:rsidRDefault="00023E71">
            <w:pPr>
              <w:pStyle w:val="DMETW38212BIPPLreclass"/>
              <w:jc w:val="right"/>
              <w:rPr>
                <w:rFonts w:ascii="Verdana" w:eastAsia="Verdana" w:hAnsi="Verdana" w:cs="Verdana"/>
                <w:b/>
                <w:noProof/>
                <w:color w:val="000000"/>
                <w:sz w:val="18"/>
              </w:rPr>
            </w:pPr>
            <w:r>
              <w:rPr>
                <w:rFonts w:ascii="Verdana" w:eastAsia="Verdana" w:hAnsi="Verdana" w:cs="Verdana"/>
                <w:b/>
                <w:noProof/>
                <w:color w:val="000000"/>
                <w:sz w:val="18"/>
              </w:rPr>
              <w:t>(272 873)</w:t>
            </w:r>
          </w:p>
        </w:tc>
      </w:tr>
      <w:bookmarkEnd w:id="199"/>
    </w:tbl>
    <w:p w14:paraId="0F4F3843" w14:textId="77777777" w:rsidR="001C08E9" w:rsidRDefault="001C08E9" w:rsidP="007E1F77">
      <w:pPr>
        <w:pStyle w:val="DGTextstand-alone"/>
        <w:sectPr w:rsidR="001C08E9" w:rsidSect="001C08E9">
          <w:headerReference w:type="default" r:id="rId127"/>
          <w:footerReference w:type="default" r:id="rId128"/>
          <w:pgSz w:w="16840" w:h="11907" w:orient="landscape" w:code="9"/>
          <w:pgMar w:top="1134" w:right="1134" w:bottom="1134" w:left="1134" w:header="708" w:footer="708" w:gutter="0"/>
          <w:cols w:space="708"/>
          <w:docGrid w:linePitch="360"/>
        </w:sectPr>
      </w:pPr>
    </w:p>
    <w:p w14:paraId="6D2E088D" w14:textId="77777777" w:rsidR="009B5B10" w:rsidRPr="00C5372D" w:rsidRDefault="00023E71" w:rsidP="00172034">
      <w:pPr>
        <w:pStyle w:val="HEADER1NOTES"/>
        <w:numPr>
          <w:ilvl w:val="0"/>
          <w:numId w:val="15"/>
        </w:numPr>
        <w:rPr>
          <w:noProof/>
        </w:rPr>
      </w:pPr>
      <w:bookmarkStart w:id="202" w:name="_Toc232438941"/>
      <w:bookmarkStart w:id="203" w:name="_DMBM_36698"/>
      <w:bookmarkEnd w:id="200"/>
      <w:r w:rsidRPr="00C5372D">
        <w:rPr>
          <w:noProof/>
        </w:rPr>
        <w:t>CONTINGENT LIABILITIES AND ASSETS</w:t>
      </w:r>
      <w:bookmarkEnd w:id="202"/>
    </w:p>
    <w:p w14:paraId="1A0AFB7E" w14:textId="77777777" w:rsidR="00840702" w:rsidRDefault="00023E71" w:rsidP="00840702">
      <w:pPr>
        <w:pStyle w:val="DGTextstand-alone"/>
        <w:rPr>
          <w:b/>
        </w:rPr>
      </w:pPr>
      <w:r w:rsidRPr="008F19E4">
        <w:t xml:space="preserve">Contingent </w:t>
      </w:r>
      <w:r w:rsidRPr="00375B7F">
        <w:t xml:space="preserve">liabilities are possible future payment obligations for the EU that may arise due to past events or legally binding commitments taken but which will depend on future events not wholly under the control of the EU. They relate mainly to guarantees given and to legal risks. </w:t>
      </w:r>
      <w:r w:rsidRPr="000A309C">
        <w:rPr>
          <w:b/>
        </w:rPr>
        <w:t xml:space="preserve">All contingent liabilities, except those relating to fines, guarantees and financial instruments up to the level they are covered by funds (see </w:t>
      </w:r>
      <w:r>
        <w:rPr>
          <w:b/>
        </w:rPr>
        <w:t>N</w:t>
      </w:r>
      <w:r w:rsidRPr="000A309C">
        <w:rPr>
          <w:b/>
        </w:rPr>
        <w:t>ote 2.4.</w:t>
      </w:r>
      <w:r w:rsidR="00CE6AA9">
        <w:rPr>
          <w:b/>
        </w:rPr>
        <w:t>2.</w:t>
      </w:r>
      <w:r w:rsidRPr="000A309C">
        <w:rPr>
          <w:b/>
        </w:rPr>
        <w:t>1), would be financed, should they fall due, by the EU budget (and thus the EU Member States) in the years to come.</w:t>
      </w:r>
    </w:p>
    <w:p w14:paraId="325EC466" w14:textId="77777777" w:rsidR="007609ED" w:rsidRPr="00C5372D" w:rsidRDefault="00023E71" w:rsidP="00172034">
      <w:pPr>
        <w:pStyle w:val="HEADER2NOTES"/>
        <w:numPr>
          <w:ilvl w:val="1"/>
          <w:numId w:val="15"/>
        </w:numPr>
        <w:rPr>
          <w:noProof/>
        </w:rPr>
      </w:pPr>
      <w:r w:rsidRPr="00C5372D">
        <w:rPr>
          <w:noProof/>
        </w:rPr>
        <w:t xml:space="preserve">Guarantees given by </w:t>
      </w:r>
      <w:r w:rsidR="00EE3F75" w:rsidRPr="00C5372D">
        <w:rPr>
          <w:noProof/>
        </w:rPr>
        <w:t xml:space="preserve">the </w:t>
      </w:r>
      <w:r w:rsidRPr="00C5372D">
        <w:rPr>
          <w:noProof/>
        </w:rPr>
        <w:t>EU budget</w:t>
      </w:r>
    </w:p>
    <w:p w14:paraId="78A15CA9" w14:textId="77777777" w:rsidR="007609ED" w:rsidRPr="00C5372D" w:rsidRDefault="00023E71" w:rsidP="00172034">
      <w:pPr>
        <w:pStyle w:val="HEADER3NOTES"/>
        <w:numPr>
          <w:ilvl w:val="2"/>
          <w:numId w:val="15"/>
        </w:numPr>
        <w:rPr>
          <w:noProof/>
        </w:rPr>
      </w:pPr>
      <w:r w:rsidRPr="00C5372D">
        <w:rPr>
          <w:noProof/>
        </w:rPr>
        <w:t>Guarantees given under the EU budgetary guarantee programmes (nominal)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1178"/>
        <w:gridCol w:w="1174"/>
        <w:gridCol w:w="1174"/>
        <w:gridCol w:w="1344"/>
      </w:tblGrid>
      <w:tr w:rsidR="00807FFE" w14:paraId="370637DF" w14:textId="77777777">
        <w:trPr>
          <w:trHeight w:hRule="exact" w:val="255"/>
        </w:trPr>
        <w:tc>
          <w:tcPr>
            <w:tcW w:w="4888" w:type="dxa"/>
            <w:tcBorders>
              <w:top w:val="nil"/>
              <w:left w:val="nil"/>
              <w:bottom w:val="nil"/>
              <w:right w:val="nil"/>
              <w:tl2br w:val="nil"/>
              <w:tr2bl w:val="nil"/>
            </w:tcBorders>
            <w:tcMar>
              <w:left w:w="60" w:type="dxa"/>
              <w:right w:w="60" w:type="dxa"/>
            </w:tcMar>
            <w:vAlign w:val="bottom"/>
          </w:tcPr>
          <w:p w14:paraId="616CB6E7" w14:textId="77777777" w:rsidR="00807FFE" w:rsidRDefault="00807FFE">
            <w:pPr>
              <w:pStyle w:val="DMETW36639BIPGUARCY"/>
              <w:rPr>
                <w:rFonts w:ascii="Arial" w:eastAsia="Arial" w:hAnsi="Arial" w:cs="Arial"/>
                <w:noProof/>
                <w:color w:val="000000"/>
                <w:lang w:bidi="en-GB"/>
              </w:rPr>
            </w:pPr>
            <w:bookmarkStart w:id="204" w:name="DOC_TBL00079_1_1"/>
            <w:bookmarkEnd w:id="204"/>
          </w:p>
        </w:tc>
        <w:tc>
          <w:tcPr>
            <w:tcW w:w="1178" w:type="dxa"/>
            <w:tcBorders>
              <w:top w:val="nil"/>
              <w:left w:val="nil"/>
              <w:bottom w:val="nil"/>
              <w:right w:val="nil"/>
              <w:tl2br w:val="nil"/>
              <w:tr2bl w:val="nil"/>
            </w:tcBorders>
            <w:tcMar>
              <w:left w:w="60" w:type="dxa"/>
              <w:right w:w="60" w:type="dxa"/>
            </w:tcMar>
            <w:vAlign w:val="bottom"/>
          </w:tcPr>
          <w:p w14:paraId="22B1B155" w14:textId="77777777" w:rsidR="00807FFE" w:rsidRDefault="00807FFE">
            <w:pPr>
              <w:pStyle w:val="DMETW36639BIPGUARCY"/>
              <w:rPr>
                <w:rFonts w:ascii="Arial" w:eastAsia="Arial" w:hAnsi="Arial" w:cs="Arial"/>
                <w:noProof/>
                <w:color w:val="000000"/>
              </w:rPr>
            </w:pPr>
          </w:p>
        </w:tc>
        <w:tc>
          <w:tcPr>
            <w:tcW w:w="1174" w:type="dxa"/>
            <w:tcBorders>
              <w:top w:val="nil"/>
              <w:left w:val="nil"/>
              <w:bottom w:val="nil"/>
              <w:right w:val="nil"/>
              <w:tl2br w:val="nil"/>
              <w:tr2bl w:val="nil"/>
            </w:tcBorders>
            <w:tcMar>
              <w:left w:w="60" w:type="dxa"/>
              <w:right w:w="60" w:type="dxa"/>
            </w:tcMar>
            <w:vAlign w:val="bottom"/>
          </w:tcPr>
          <w:p w14:paraId="15ECD58F" w14:textId="77777777" w:rsidR="00807FFE" w:rsidRDefault="00807FFE">
            <w:pPr>
              <w:pStyle w:val="DMETW36639BIPGUARCY"/>
              <w:rPr>
                <w:rFonts w:ascii="Arial" w:eastAsia="Arial" w:hAnsi="Arial" w:cs="Arial"/>
                <w:noProof/>
                <w:color w:val="000000"/>
              </w:rPr>
            </w:pPr>
          </w:p>
        </w:tc>
        <w:tc>
          <w:tcPr>
            <w:tcW w:w="1174" w:type="dxa"/>
            <w:tcBorders>
              <w:top w:val="nil"/>
              <w:left w:val="nil"/>
              <w:bottom w:val="nil"/>
              <w:right w:val="nil"/>
              <w:tl2br w:val="nil"/>
              <w:tr2bl w:val="nil"/>
            </w:tcBorders>
            <w:tcMar>
              <w:left w:w="60" w:type="dxa"/>
              <w:right w:w="60" w:type="dxa"/>
            </w:tcMar>
            <w:vAlign w:val="bottom"/>
          </w:tcPr>
          <w:p w14:paraId="39C993F5" w14:textId="77777777" w:rsidR="00807FFE" w:rsidRDefault="00807FFE">
            <w:pPr>
              <w:pStyle w:val="DMETW36639BIPGUARCY"/>
              <w:jc w:val="right"/>
              <w:rPr>
                <w:rFonts w:ascii="Verdana" w:eastAsia="Verdana" w:hAnsi="Verdana" w:cs="Verdana"/>
                <w:i/>
                <w:noProof/>
                <w:color w:val="000000"/>
                <w:sz w:val="16"/>
              </w:rPr>
            </w:pPr>
          </w:p>
        </w:tc>
        <w:tc>
          <w:tcPr>
            <w:tcW w:w="1344" w:type="dxa"/>
            <w:tcBorders>
              <w:top w:val="nil"/>
              <w:left w:val="nil"/>
              <w:bottom w:val="nil"/>
              <w:right w:val="nil"/>
              <w:tl2br w:val="nil"/>
              <w:tr2bl w:val="nil"/>
            </w:tcBorders>
            <w:tcMar>
              <w:left w:w="60" w:type="dxa"/>
              <w:right w:w="60" w:type="dxa"/>
            </w:tcMar>
            <w:vAlign w:val="bottom"/>
          </w:tcPr>
          <w:p w14:paraId="053E0303" w14:textId="77777777" w:rsidR="00807FFE" w:rsidRDefault="00023E71">
            <w:pPr>
              <w:pStyle w:val="DMETW36639BIPGUARC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940E805" w14:textId="77777777">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14:paraId="049A3F2E" w14:textId="77777777" w:rsidR="00807FFE" w:rsidRDefault="00807FFE">
            <w:pPr>
              <w:pStyle w:val="DMETW36639BIPGUARCY"/>
              <w:jc w:val="center"/>
              <w:rPr>
                <w:rFonts w:ascii="Verdana" w:eastAsia="Verdana" w:hAnsi="Verdana" w:cs="Verdana"/>
                <w:noProof/>
                <w:color w:val="FFFFFF"/>
              </w:rPr>
            </w:pPr>
          </w:p>
        </w:tc>
        <w:tc>
          <w:tcPr>
            <w:tcW w:w="1178" w:type="dxa"/>
            <w:gridSpan w:val="4"/>
            <w:tcBorders>
              <w:top w:val="nil"/>
              <w:left w:val="nil"/>
              <w:bottom w:val="nil"/>
              <w:right w:val="nil"/>
              <w:tl2br w:val="nil"/>
              <w:tr2bl w:val="nil"/>
            </w:tcBorders>
            <w:shd w:val="solid" w:color="016794" w:fill="FFFFFF"/>
            <w:tcMar>
              <w:left w:w="60" w:type="dxa"/>
              <w:right w:w="60" w:type="dxa"/>
            </w:tcMar>
            <w:vAlign w:val="center"/>
          </w:tcPr>
          <w:p w14:paraId="2C768108" w14:textId="77777777" w:rsidR="00807FFE" w:rsidRDefault="00023E71">
            <w:pPr>
              <w:pStyle w:val="DMETW36639BIPGUARCY"/>
              <w:jc w:val="center"/>
              <w:rPr>
                <w:rFonts w:ascii="Verdana" w:eastAsia="Verdana" w:hAnsi="Verdana" w:cs="Verdana"/>
                <w:noProof/>
                <w:color w:val="FFFFFF"/>
                <w:lang w:bidi="en-GB"/>
              </w:rPr>
            </w:pPr>
            <w:r>
              <w:rPr>
                <w:rFonts w:ascii="Verdana" w:eastAsia="Verdana" w:hAnsi="Verdana" w:cs="Verdana"/>
                <w:noProof/>
                <w:color w:val="FFFFFF"/>
              </w:rPr>
              <w:t>31.12.2025</w:t>
            </w:r>
          </w:p>
        </w:tc>
      </w:tr>
      <w:tr w:rsidR="00807FFE" w14:paraId="034BA326" w14:textId="77777777">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14:paraId="2A11F909" w14:textId="77777777" w:rsidR="00807FFE" w:rsidRDefault="00807FFE">
            <w:pPr>
              <w:pStyle w:val="DMETW36639BIPGUARCY"/>
              <w:jc w:val="center"/>
              <w:rPr>
                <w:rFonts w:ascii="Verdana" w:eastAsia="Verdana" w:hAnsi="Verdana" w:cs="Verdana"/>
                <w:noProof/>
                <w:color w:val="FFFFFF"/>
              </w:rPr>
            </w:pPr>
          </w:p>
        </w:tc>
        <w:tc>
          <w:tcPr>
            <w:tcW w:w="1178" w:type="dxa"/>
            <w:gridSpan w:val="3"/>
            <w:tcBorders>
              <w:top w:val="nil"/>
              <w:left w:val="nil"/>
              <w:bottom w:val="nil"/>
              <w:right w:val="nil"/>
              <w:tl2br w:val="nil"/>
              <w:tr2bl w:val="nil"/>
            </w:tcBorders>
            <w:shd w:val="solid" w:color="016794" w:fill="FFFFFF"/>
            <w:tcMar>
              <w:left w:w="60" w:type="dxa"/>
              <w:right w:w="60" w:type="dxa"/>
            </w:tcMar>
            <w:vAlign w:val="center"/>
          </w:tcPr>
          <w:p w14:paraId="0E8B935B" w14:textId="77777777" w:rsidR="00807FFE" w:rsidRDefault="00023E71">
            <w:pPr>
              <w:pStyle w:val="DMETW36639BIPGUARCY"/>
              <w:jc w:val="center"/>
              <w:rPr>
                <w:rFonts w:ascii="Verdana" w:eastAsia="Verdana" w:hAnsi="Verdana" w:cs="Verdana"/>
                <w:noProof/>
                <w:color w:val="FFFFFF"/>
              </w:rPr>
            </w:pPr>
            <w:r>
              <w:rPr>
                <w:rFonts w:ascii="Verdana" w:eastAsia="Verdana" w:hAnsi="Verdana" w:cs="Verdana"/>
                <w:noProof/>
                <w:color w:val="FFFFFF"/>
              </w:rPr>
              <w:t>Guarantees given</w:t>
            </w:r>
          </w:p>
        </w:tc>
        <w:tc>
          <w:tcPr>
            <w:tcW w:w="1344" w:type="dxa"/>
            <w:vMerge w:val="restart"/>
            <w:tcBorders>
              <w:top w:val="nil"/>
              <w:left w:val="nil"/>
              <w:bottom w:val="nil"/>
              <w:right w:val="nil"/>
              <w:tl2br w:val="nil"/>
              <w:tr2bl w:val="nil"/>
            </w:tcBorders>
            <w:shd w:val="solid" w:color="016794" w:fill="FFFFFF"/>
            <w:tcMar>
              <w:left w:w="60" w:type="dxa"/>
              <w:right w:w="60" w:type="dxa"/>
            </w:tcMar>
            <w:vAlign w:val="center"/>
          </w:tcPr>
          <w:p w14:paraId="1BA0CFAB" w14:textId="77777777" w:rsidR="00807FFE" w:rsidRDefault="00023E71">
            <w:pPr>
              <w:pStyle w:val="DMETW36639BIPGUARCY"/>
              <w:jc w:val="center"/>
              <w:rPr>
                <w:rFonts w:ascii="Verdana" w:eastAsia="Verdana" w:hAnsi="Verdana" w:cs="Verdana"/>
                <w:noProof/>
                <w:color w:val="FFFFFF"/>
                <w:sz w:val="18"/>
                <w:lang w:bidi="en-GB"/>
              </w:rPr>
            </w:pPr>
            <w:r>
              <w:rPr>
                <w:rFonts w:ascii="Verdana" w:eastAsia="Verdana" w:hAnsi="Verdana" w:cs="Verdana"/>
                <w:noProof/>
                <w:color w:val="FFFFFF"/>
                <w:sz w:val="18"/>
              </w:rPr>
              <w:t>Assets provisioned*</w:t>
            </w:r>
          </w:p>
        </w:tc>
      </w:tr>
      <w:tr w:rsidR="00807FFE" w14:paraId="5DB1946B" w14:textId="77777777">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14:paraId="07BE9BFC" w14:textId="77777777" w:rsidR="00807FFE" w:rsidRDefault="00807FFE">
            <w:pPr>
              <w:pStyle w:val="DMETW36639BIPGUARCY"/>
              <w:jc w:val="center"/>
              <w:rPr>
                <w:rFonts w:ascii="Verdana" w:eastAsia="Verdana" w:hAnsi="Verdana" w:cs="Verdana"/>
                <w:noProof/>
                <w:color w:val="FFFFFF"/>
              </w:rPr>
            </w:pPr>
          </w:p>
        </w:tc>
        <w:tc>
          <w:tcPr>
            <w:tcW w:w="1178" w:type="dxa"/>
            <w:tcBorders>
              <w:top w:val="nil"/>
              <w:left w:val="nil"/>
              <w:bottom w:val="nil"/>
              <w:right w:val="nil"/>
              <w:tl2br w:val="nil"/>
              <w:tr2bl w:val="nil"/>
            </w:tcBorders>
            <w:shd w:val="solid" w:color="016794" w:fill="FFFFFF"/>
            <w:tcMar>
              <w:left w:w="60" w:type="dxa"/>
              <w:right w:w="60" w:type="dxa"/>
            </w:tcMar>
            <w:vAlign w:val="center"/>
          </w:tcPr>
          <w:p w14:paraId="3672C859" w14:textId="77777777" w:rsidR="00807FFE" w:rsidRDefault="00023E71">
            <w:pPr>
              <w:pStyle w:val="DMETW36639BIPGUARCY"/>
              <w:jc w:val="right"/>
              <w:rPr>
                <w:rFonts w:ascii="Verdana" w:eastAsia="Verdana" w:hAnsi="Verdana" w:cs="Verdana"/>
                <w:noProof/>
                <w:color w:val="FFFFFF"/>
                <w:sz w:val="18"/>
              </w:rPr>
            </w:pPr>
            <w:r>
              <w:rPr>
                <w:rFonts w:ascii="Verdana" w:eastAsia="Verdana" w:hAnsi="Verdana" w:cs="Verdana"/>
                <w:noProof/>
                <w:color w:val="FFFFFF"/>
                <w:sz w:val="18"/>
              </w:rPr>
              <w:t>Ceiling</w:t>
            </w:r>
          </w:p>
        </w:tc>
        <w:tc>
          <w:tcPr>
            <w:tcW w:w="1174" w:type="dxa"/>
            <w:tcBorders>
              <w:top w:val="nil"/>
              <w:left w:val="nil"/>
              <w:bottom w:val="nil"/>
              <w:right w:val="nil"/>
              <w:tl2br w:val="nil"/>
              <w:tr2bl w:val="nil"/>
            </w:tcBorders>
            <w:shd w:val="solid" w:color="016794" w:fill="FFFFFF"/>
            <w:tcMar>
              <w:left w:w="60" w:type="dxa"/>
              <w:right w:w="60" w:type="dxa"/>
            </w:tcMar>
            <w:vAlign w:val="center"/>
          </w:tcPr>
          <w:p w14:paraId="6C7CD8D5" w14:textId="77777777" w:rsidR="00807FFE" w:rsidRDefault="00023E71">
            <w:pPr>
              <w:pStyle w:val="DMETW36639BIPGUARCY"/>
              <w:jc w:val="right"/>
              <w:rPr>
                <w:rFonts w:ascii="Verdana" w:eastAsia="Verdana" w:hAnsi="Verdana" w:cs="Verdana"/>
                <w:noProof/>
                <w:color w:val="FFFFFF"/>
                <w:sz w:val="18"/>
              </w:rPr>
            </w:pPr>
            <w:r>
              <w:rPr>
                <w:rFonts w:ascii="Verdana" w:eastAsia="Verdana" w:hAnsi="Verdana" w:cs="Verdana"/>
                <w:noProof/>
                <w:color w:val="FFFFFF"/>
                <w:sz w:val="18"/>
              </w:rPr>
              <w:t>Signed</w:t>
            </w:r>
          </w:p>
        </w:tc>
        <w:tc>
          <w:tcPr>
            <w:tcW w:w="1174" w:type="dxa"/>
            <w:tcBorders>
              <w:top w:val="nil"/>
              <w:left w:val="nil"/>
              <w:bottom w:val="nil"/>
              <w:right w:val="nil"/>
              <w:tl2br w:val="nil"/>
              <w:tr2bl w:val="nil"/>
            </w:tcBorders>
            <w:shd w:val="solid" w:color="016794" w:fill="FFFFFF"/>
            <w:tcMar>
              <w:left w:w="60" w:type="dxa"/>
              <w:right w:w="60" w:type="dxa"/>
            </w:tcMar>
            <w:vAlign w:val="center"/>
          </w:tcPr>
          <w:p w14:paraId="0C97647C" w14:textId="77777777" w:rsidR="00807FFE" w:rsidRDefault="00023E71">
            <w:pPr>
              <w:pStyle w:val="DMETW36639BIPGUARCY"/>
              <w:jc w:val="right"/>
              <w:rPr>
                <w:rFonts w:ascii="Verdana" w:eastAsia="Verdana" w:hAnsi="Verdana" w:cs="Verdana"/>
                <w:noProof/>
                <w:color w:val="FFFFFF"/>
                <w:sz w:val="18"/>
                <w:lang w:bidi="en-GB"/>
              </w:rPr>
            </w:pPr>
            <w:r>
              <w:rPr>
                <w:rFonts w:ascii="Verdana" w:eastAsia="Verdana" w:hAnsi="Verdana" w:cs="Verdana"/>
                <w:noProof/>
                <w:color w:val="FFFFFF"/>
                <w:sz w:val="18"/>
              </w:rPr>
              <w:t>Disbursed</w:t>
            </w:r>
          </w:p>
        </w:tc>
        <w:tc>
          <w:tcPr>
            <w:tcW w:w="1335" w:type="dxa"/>
            <w:vMerge/>
            <w:tcBorders>
              <w:top w:val="nil"/>
              <w:left w:val="nil"/>
              <w:bottom w:val="nil"/>
              <w:right w:val="nil"/>
              <w:tl2br w:val="nil"/>
              <w:tr2bl w:val="nil"/>
            </w:tcBorders>
            <w:shd w:val="solid" w:color="016794" w:fill="FFFFFF"/>
            <w:tcMar>
              <w:left w:w="60" w:type="dxa"/>
              <w:right w:w="60" w:type="dxa"/>
            </w:tcMar>
            <w:vAlign w:val="center"/>
          </w:tcPr>
          <w:p w14:paraId="26F69B53" w14:textId="77777777" w:rsidR="00807FFE" w:rsidRDefault="00807FFE">
            <w:pPr>
              <w:pStyle w:val="DMETW36639BIPGUARCY"/>
              <w:jc w:val="center"/>
              <w:rPr>
                <w:rFonts w:ascii="Verdana" w:eastAsia="Verdana" w:hAnsi="Verdana" w:cs="Verdana"/>
                <w:noProof/>
                <w:color w:val="FFFFFF"/>
                <w:sz w:val="18"/>
              </w:rPr>
            </w:pPr>
          </w:p>
        </w:tc>
      </w:tr>
      <w:tr w:rsidR="00807FFE" w14:paraId="1692D90D" w14:textId="77777777">
        <w:trPr>
          <w:trHeight w:hRule="exact" w:val="255"/>
        </w:trPr>
        <w:tc>
          <w:tcPr>
            <w:tcW w:w="4888" w:type="dxa"/>
            <w:tcBorders>
              <w:top w:val="nil"/>
              <w:left w:val="nil"/>
              <w:bottom w:val="nil"/>
              <w:right w:val="nil"/>
              <w:tl2br w:val="nil"/>
              <w:tr2bl w:val="nil"/>
            </w:tcBorders>
            <w:tcMar>
              <w:left w:w="60" w:type="dxa"/>
              <w:right w:w="60" w:type="dxa"/>
            </w:tcMar>
            <w:vAlign w:val="center"/>
          </w:tcPr>
          <w:p w14:paraId="0097C1D7" w14:textId="77777777" w:rsidR="00807FFE" w:rsidRDefault="00023E71">
            <w:pPr>
              <w:pStyle w:val="DMETW36639BIPGUARCY"/>
              <w:rPr>
                <w:rFonts w:ascii="Verdana" w:eastAsia="Verdana" w:hAnsi="Verdana" w:cs="Verdana"/>
                <w:i/>
                <w:noProof/>
                <w:color w:val="000000"/>
                <w:sz w:val="18"/>
              </w:rPr>
            </w:pPr>
            <w:r>
              <w:rPr>
                <w:rFonts w:ascii="Verdana" w:eastAsia="Verdana" w:hAnsi="Verdana" w:cs="Verdana"/>
                <w:i/>
                <w:noProof/>
                <w:color w:val="000000"/>
                <w:sz w:val="18"/>
              </w:rPr>
              <w:t>EIB ELM guarantees</w:t>
            </w:r>
          </w:p>
        </w:tc>
        <w:tc>
          <w:tcPr>
            <w:tcW w:w="1178" w:type="dxa"/>
            <w:tcBorders>
              <w:top w:val="nil"/>
              <w:left w:val="nil"/>
              <w:bottom w:val="nil"/>
              <w:right w:val="nil"/>
              <w:tl2br w:val="nil"/>
              <w:tr2bl w:val="nil"/>
            </w:tcBorders>
            <w:tcMar>
              <w:left w:w="60" w:type="dxa"/>
              <w:right w:w="60" w:type="dxa"/>
            </w:tcMar>
            <w:vAlign w:val="bottom"/>
          </w:tcPr>
          <w:p w14:paraId="58F3F6F9"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20 880</w:t>
            </w:r>
          </w:p>
        </w:tc>
        <w:tc>
          <w:tcPr>
            <w:tcW w:w="1174" w:type="dxa"/>
            <w:tcBorders>
              <w:top w:val="nil"/>
              <w:left w:val="nil"/>
              <w:bottom w:val="nil"/>
              <w:right w:val="nil"/>
              <w:tl2br w:val="nil"/>
              <w:tr2bl w:val="nil"/>
            </w:tcBorders>
            <w:tcMar>
              <w:left w:w="60" w:type="dxa"/>
              <w:right w:w="60" w:type="dxa"/>
            </w:tcMar>
            <w:vAlign w:val="bottom"/>
          </w:tcPr>
          <w:p w14:paraId="22568C32"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20 880</w:t>
            </w:r>
          </w:p>
        </w:tc>
        <w:tc>
          <w:tcPr>
            <w:tcW w:w="1174" w:type="dxa"/>
            <w:tcBorders>
              <w:top w:val="nil"/>
              <w:left w:val="nil"/>
              <w:bottom w:val="nil"/>
              <w:right w:val="nil"/>
              <w:tl2br w:val="nil"/>
              <w:tr2bl w:val="nil"/>
            </w:tcBorders>
            <w:tcMar>
              <w:left w:w="60" w:type="dxa"/>
              <w:right w:w="60" w:type="dxa"/>
            </w:tcMar>
            <w:vAlign w:val="bottom"/>
          </w:tcPr>
          <w:p w14:paraId="6D4D2205"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16 826</w:t>
            </w:r>
          </w:p>
        </w:tc>
        <w:tc>
          <w:tcPr>
            <w:tcW w:w="1344" w:type="dxa"/>
            <w:tcBorders>
              <w:top w:val="nil"/>
              <w:left w:val="nil"/>
              <w:bottom w:val="nil"/>
              <w:right w:val="nil"/>
              <w:tl2br w:val="nil"/>
              <w:tr2bl w:val="nil"/>
            </w:tcBorders>
            <w:tcMar>
              <w:left w:w="60" w:type="dxa"/>
              <w:right w:w="60" w:type="dxa"/>
            </w:tcMar>
            <w:vAlign w:val="bottom"/>
          </w:tcPr>
          <w:p w14:paraId="431EFB13" w14:textId="77777777" w:rsidR="00807FFE" w:rsidRDefault="00023E71">
            <w:pPr>
              <w:pStyle w:val="DMETW36639BIPGUARCY"/>
              <w:jc w:val="right"/>
              <w:rPr>
                <w:rFonts w:ascii="Verdana" w:eastAsia="Verdana" w:hAnsi="Verdana" w:cs="Verdana"/>
                <w:i/>
                <w:noProof/>
                <w:color w:val="000000"/>
                <w:sz w:val="18"/>
                <w:lang w:bidi="en-GB"/>
              </w:rPr>
            </w:pPr>
            <w:r>
              <w:rPr>
                <w:rFonts w:ascii="Verdana" w:eastAsia="Verdana" w:hAnsi="Verdana" w:cs="Verdana"/>
                <w:i/>
                <w:noProof/>
                <w:color w:val="000000"/>
                <w:sz w:val="18"/>
              </w:rPr>
              <w:t>3 529</w:t>
            </w:r>
          </w:p>
        </w:tc>
      </w:tr>
      <w:tr w:rsidR="00807FFE" w14:paraId="21E46D63" w14:textId="77777777">
        <w:trPr>
          <w:trHeight w:hRule="exact" w:val="255"/>
        </w:trPr>
        <w:tc>
          <w:tcPr>
            <w:tcW w:w="4888" w:type="dxa"/>
            <w:tcBorders>
              <w:top w:val="nil"/>
              <w:left w:val="nil"/>
              <w:bottom w:val="nil"/>
              <w:right w:val="nil"/>
              <w:tl2br w:val="nil"/>
              <w:tr2bl w:val="nil"/>
            </w:tcBorders>
            <w:tcMar>
              <w:left w:w="60" w:type="dxa"/>
              <w:right w:w="60" w:type="dxa"/>
            </w:tcMar>
            <w:vAlign w:val="center"/>
          </w:tcPr>
          <w:p w14:paraId="1A9D96B3" w14:textId="77777777" w:rsidR="00807FFE" w:rsidRDefault="00023E71">
            <w:pPr>
              <w:pStyle w:val="DMETW36639BIPGUARCY"/>
              <w:rPr>
                <w:rFonts w:ascii="Verdana" w:eastAsia="Verdana" w:hAnsi="Verdana" w:cs="Verdana"/>
                <w:i/>
                <w:noProof/>
                <w:color w:val="000000"/>
                <w:sz w:val="18"/>
              </w:rPr>
            </w:pPr>
            <w:r>
              <w:rPr>
                <w:rFonts w:ascii="Verdana" w:eastAsia="Verdana" w:hAnsi="Verdana" w:cs="Verdana"/>
                <w:i/>
                <w:noProof/>
                <w:color w:val="000000"/>
                <w:sz w:val="18"/>
              </w:rPr>
              <w:t>EFSI guarantee</w:t>
            </w:r>
          </w:p>
        </w:tc>
        <w:tc>
          <w:tcPr>
            <w:tcW w:w="1178" w:type="dxa"/>
            <w:tcBorders>
              <w:top w:val="nil"/>
              <w:left w:val="nil"/>
              <w:bottom w:val="nil"/>
              <w:right w:val="nil"/>
              <w:tl2br w:val="nil"/>
              <w:tr2bl w:val="nil"/>
            </w:tcBorders>
            <w:tcMar>
              <w:left w:w="60" w:type="dxa"/>
              <w:right w:w="60" w:type="dxa"/>
            </w:tcMar>
            <w:vAlign w:val="bottom"/>
          </w:tcPr>
          <w:p w14:paraId="2AAB15BD"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25 119</w:t>
            </w:r>
          </w:p>
        </w:tc>
        <w:tc>
          <w:tcPr>
            <w:tcW w:w="1174" w:type="dxa"/>
            <w:tcBorders>
              <w:top w:val="nil"/>
              <w:left w:val="nil"/>
              <w:bottom w:val="nil"/>
              <w:right w:val="nil"/>
              <w:tl2br w:val="nil"/>
              <w:tr2bl w:val="nil"/>
            </w:tcBorders>
            <w:tcMar>
              <w:left w:w="60" w:type="dxa"/>
              <w:right w:w="60" w:type="dxa"/>
            </w:tcMar>
            <w:vAlign w:val="bottom"/>
          </w:tcPr>
          <w:p w14:paraId="006DBCCB"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21 449</w:t>
            </w:r>
          </w:p>
        </w:tc>
        <w:tc>
          <w:tcPr>
            <w:tcW w:w="1174" w:type="dxa"/>
            <w:tcBorders>
              <w:top w:val="nil"/>
              <w:left w:val="nil"/>
              <w:bottom w:val="nil"/>
              <w:right w:val="nil"/>
              <w:tl2br w:val="nil"/>
              <w:tr2bl w:val="nil"/>
            </w:tcBorders>
            <w:tcMar>
              <w:left w:w="60" w:type="dxa"/>
              <w:right w:w="60" w:type="dxa"/>
            </w:tcMar>
            <w:vAlign w:val="bottom"/>
          </w:tcPr>
          <w:p w14:paraId="0CF07604"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19 982</w:t>
            </w:r>
          </w:p>
        </w:tc>
        <w:tc>
          <w:tcPr>
            <w:tcW w:w="1344" w:type="dxa"/>
            <w:tcBorders>
              <w:top w:val="nil"/>
              <w:left w:val="nil"/>
              <w:bottom w:val="nil"/>
              <w:right w:val="nil"/>
              <w:tl2br w:val="nil"/>
              <w:tr2bl w:val="nil"/>
            </w:tcBorders>
            <w:tcMar>
              <w:left w:w="60" w:type="dxa"/>
              <w:right w:w="60" w:type="dxa"/>
            </w:tcMar>
            <w:vAlign w:val="bottom"/>
          </w:tcPr>
          <w:p w14:paraId="7FEC28C1" w14:textId="77777777" w:rsidR="00807FFE" w:rsidRDefault="00023E71">
            <w:pPr>
              <w:pStyle w:val="DMETW36639BIPGUARCY"/>
              <w:jc w:val="right"/>
              <w:rPr>
                <w:rFonts w:ascii="Verdana" w:eastAsia="Verdana" w:hAnsi="Verdana" w:cs="Verdana"/>
                <w:i/>
                <w:noProof/>
                <w:color w:val="000000"/>
                <w:sz w:val="18"/>
                <w:lang w:bidi="en-GB"/>
              </w:rPr>
            </w:pPr>
            <w:r>
              <w:rPr>
                <w:rFonts w:ascii="Verdana" w:eastAsia="Verdana" w:hAnsi="Verdana" w:cs="Verdana"/>
                <w:i/>
                <w:noProof/>
                <w:color w:val="000000"/>
                <w:sz w:val="18"/>
              </w:rPr>
              <w:t>9 234</w:t>
            </w:r>
          </w:p>
        </w:tc>
      </w:tr>
      <w:tr w:rsidR="00807FFE" w14:paraId="07532A3B" w14:textId="77777777">
        <w:trPr>
          <w:trHeight w:hRule="exact" w:val="255"/>
        </w:trPr>
        <w:tc>
          <w:tcPr>
            <w:tcW w:w="4888" w:type="dxa"/>
            <w:tcBorders>
              <w:top w:val="nil"/>
              <w:left w:val="nil"/>
              <w:bottom w:val="nil"/>
              <w:right w:val="nil"/>
              <w:tl2br w:val="nil"/>
              <w:tr2bl w:val="nil"/>
            </w:tcBorders>
            <w:tcMar>
              <w:left w:w="60" w:type="dxa"/>
              <w:right w:w="60" w:type="dxa"/>
            </w:tcMar>
            <w:vAlign w:val="center"/>
          </w:tcPr>
          <w:p w14:paraId="5345352C" w14:textId="77777777" w:rsidR="00807FFE" w:rsidRDefault="00023E71">
            <w:pPr>
              <w:pStyle w:val="DMETW36639BIPGUARCY"/>
              <w:rPr>
                <w:rFonts w:ascii="Verdana" w:eastAsia="Verdana" w:hAnsi="Verdana" w:cs="Verdana"/>
                <w:i/>
                <w:noProof/>
                <w:color w:val="000000"/>
                <w:sz w:val="18"/>
              </w:rPr>
            </w:pPr>
            <w:r>
              <w:rPr>
                <w:rFonts w:ascii="Verdana" w:eastAsia="Verdana" w:hAnsi="Verdana" w:cs="Verdana"/>
                <w:i/>
                <w:noProof/>
                <w:color w:val="000000"/>
                <w:sz w:val="18"/>
              </w:rPr>
              <w:t>EFSD guarantee</w:t>
            </w:r>
          </w:p>
        </w:tc>
        <w:tc>
          <w:tcPr>
            <w:tcW w:w="1178" w:type="dxa"/>
            <w:tcBorders>
              <w:top w:val="nil"/>
              <w:left w:val="nil"/>
              <w:bottom w:val="nil"/>
              <w:right w:val="nil"/>
              <w:tl2br w:val="nil"/>
              <w:tr2bl w:val="nil"/>
            </w:tcBorders>
            <w:tcMar>
              <w:left w:w="60" w:type="dxa"/>
              <w:right w:w="60" w:type="dxa"/>
            </w:tcMar>
            <w:vAlign w:val="bottom"/>
          </w:tcPr>
          <w:p w14:paraId="2115BA65"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 xml:space="preserve"> 583</w:t>
            </w:r>
          </w:p>
        </w:tc>
        <w:tc>
          <w:tcPr>
            <w:tcW w:w="1174" w:type="dxa"/>
            <w:tcBorders>
              <w:top w:val="nil"/>
              <w:left w:val="nil"/>
              <w:bottom w:val="nil"/>
              <w:right w:val="nil"/>
              <w:tl2br w:val="nil"/>
              <w:tr2bl w:val="nil"/>
            </w:tcBorders>
            <w:tcMar>
              <w:left w:w="60" w:type="dxa"/>
              <w:right w:w="60" w:type="dxa"/>
            </w:tcMar>
            <w:vAlign w:val="bottom"/>
          </w:tcPr>
          <w:p w14:paraId="599C6D43"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 xml:space="preserve"> 573</w:t>
            </w:r>
          </w:p>
        </w:tc>
        <w:tc>
          <w:tcPr>
            <w:tcW w:w="1174" w:type="dxa"/>
            <w:tcBorders>
              <w:top w:val="nil"/>
              <w:left w:val="nil"/>
              <w:bottom w:val="nil"/>
              <w:right w:val="nil"/>
              <w:tl2br w:val="nil"/>
              <w:tr2bl w:val="nil"/>
            </w:tcBorders>
            <w:tcMar>
              <w:left w:w="60" w:type="dxa"/>
              <w:right w:w="60" w:type="dxa"/>
            </w:tcMar>
            <w:vAlign w:val="bottom"/>
          </w:tcPr>
          <w:p w14:paraId="6118827F"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 xml:space="preserve"> 451</w:t>
            </w:r>
          </w:p>
        </w:tc>
        <w:tc>
          <w:tcPr>
            <w:tcW w:w="1344" w:type="dxa"/>
            <w:tcBorders>
              <w:top w:val="nil"/>
              <w:left w:val="nil"/>
              <w:bottom w:val="nil"/>
              <w:right w:val="nil"/>
              <w:tl2br w:val="nil"/>
              <w:tr2bl w:val="nil"/>
            </w:tcBorders>
            <w:tcMar>
              <w:left w:w="60" w:type="dxa"/>
              <w:right w:w="60" w:type="dxa"/>
            </w:tcMar>
            <w:vAlign w:val="bottom"/>
          </w:tcPr>
          <w:p w14:paraId="04533634" w14:textId="77777777" w:rsidR="00807FFE" w:rsidRDefault="00023E71">
            <w:pPr>
              <w:pStyle w:val="DMETW36639BIPGUARC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809</w:t>
            </w:r>
          </w:p>
        </w:tc>
      </w:tr>
      <w:tr w:rsidR="00807FFE" w14:paraId="00D20A01" w14:textId="77777777">
        <w:trPr>
          <w:trHeight w:hRule="exact" w:val="255"/>
        </w:trPr>
        <w:tc>
          <w:tcPr>
            <w:tcW w:w="4888" w:type="dxa"/>
            <w:tcBorders>
              <w:top w:val="nil"/>
              <w:left w:val="nil"/>
              <w:bottom w:val="nil"/>
              <w:right w:val="nil"/>
              <w:tl2br w:val="nil"/>
              <w:tr2bl w:val="nil"/>
            </w:tcBorders>
            <w:tcMar>
              <w:left w:w="60" w:type="dxa"/>
              <w:right w:w="60" w:type="dxa"/>
            </w:tcMar>
            <w:vAlign w:val="center"/>
          </w:tcPr>
          <w:p w14:paraId="1C87DBE6" w14:textId="77777777" w:rsidR="00807FFE" w:rsidRDefault="00023E71">
            <w:pPr>
              <w:pStyle w:val="DMETW36639BIPGUARCY"/>
              <w:rPr>
                <w:rFonts w:ascii="Verdana" w:eastAsia="Verdana" w:hAnsi="Verdana" w:cs="Verdana"/>
                <w:i/>
                <w:noProof/>
                <w:color w:val="000000"/>
                <w:sz w:val="18"/>
              </w:rPr>
            </w:pPr>
            <w:r>
              <w:rPr>
                <w:rFonts w:ascii="Verdana" w:eastAsia="Verdana" w:hAnsi="Verdana" w:cs="Verdana"/>
                <w:i/>
                <w:noProof/>
                <w:color w:val="000000"/>
                <w:sz w:val="18"/>
              </w:rPr>
              <w:t>InvestEU guarantee</w:t>
            </w:r>
          </w:p>
        </w:tc>
        <w:tc>
          <w:tcPr>
            <w:tcW w:w="1178" w:type="dxa"/>
            <w:tcBorders>
              <w:top w:val="nil"/>
              <w:left w:val="nil"/>
              <w:bottom w:val="nil"/>
              <w:right w:val="nil"/>
              <w:tl2br w:val="nil"/>
              <w:tr2bl w:val="nil"/>
            </w:tcBorders>
            <w:tcMar>
              <w:left w:w="60" w:type="dxa"/>
              <w:right w:w="60" w:type="dxa"/>
            </w:tcMar>
            <w:vAlign w:val="bottom"/>
          </w:tcPr>
          <w:p w14:paraId="230BBE74"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28 469</w:t>
            </w:r>
          </w:p>
        </w:tc>
        <w:tc>
          <w:tcPr>
            <w:tcW w:w="1174" w:type="dxa"/>
            <w:tcBorders>
              <w:top w:val="nil"/>
              <w:left w:val="nil"/>
              <w:bottom w:val="nil"/>
              <w:right w:val="nil"/>
              <w:tl2br w:val="nil"/>
              <w:tr2bl w:val="nil"/>
            </w:tcBorders>
            <w:tcMar>
              <w:left w:w="60" w:type="dxa"/>
              <w:right w:w="60" w:type="dxa"/>
            </w:tcMar>
            <w:vAlign w:val="bottom"/>
          </w:tcPr>
          <w:p w14:paraId="14962EF3"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15 519</w:t>
            </w:r>
          </w:p>
        </w:tc>
        <w:tc>
          <w:tcPr>
            <w:tcW w:w="1174" w:type="dxa"/>
            <w:tcBorders>
              <w:top w:val="nil"/>
              <w:left w:val="nil"/>
              <w:bottom w:val="nil"/>
              <w:right w:val="nil"/>
              <w:tl2br w:val="nil"/>
              <w:tr2bl w:val="nil"/>
            </w:tcBorders>
            <w:tcMar>
              <w:left w:w="60" w:type="dxa"/>
              <w:right w:w="60" w:type="dxa"/>
            </w:tcMar>
            <w:vAlign w:val="bottom"/>
          </w:tcPr>
          <w:p w14:paraId="6093ECB4"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6 010</w:t>
            </w:r>
          </w:p>
        </w:tc>
        <w:tc>
          <w:tcPr>
            <w:tcW w:w="1344" w:type="dxa"/>
            <w:tcBorders>
              <w:top w:val="nil"/>
              <w:left w:val="nil"/>
              <w:bottom w:val="nil"/>
              <w:right w:val="nil"/>
              <w:tl2br w:val="nil"/>
              <w:tr2bl w:val="nil"/>
            </w:tcBorders>
            <w:tcMar>
              <w:left w:w="60" w:type="dxa"/>
              <w:right w:w="60" w:type="dxa"/>
            </w:tcMar>
            <w:vAlign w:val="bottom"/>
          </w:tcPr>
          <w:p w14:paraId="25EC99B9" w14:textId="77777777" w:rsidR="00807FFE" w:rsidRDefault="00023E71">
            <w:pPr>
              <w:pStyle w:val="DMETW36639BIPGUARCY"/>
              <w:jc w:val="right"/>
              <w:rPr>
                <w:rFonts w:ascii="Verdana" w:eastAsia="Verdana" w:hAnsi="Verdana" w:cs="Verdana"/>
                <w:i/>
                <w:noProof/>
                <w:color w:val="000000"/>
                <w:sz w:val="18"/>
                <w:lang w:bidi="en-GB"/>
              </w:rPr>
            </w:pPr>
            <w:r>
              <w:rPr>
                <w:rFonts w:ascii="Verdana" w:eastAsia="Verdana" w:hAnsi="Verdana" w:cs="Verdana"/>
                <w:i/>
                <w:noProof/>
                <w:color w:val="000000"/>
                <w:sz w:val="18"/>
              </w:rPr>
              <w:t>8 912</w:t>
            </w:r>
          </w:p>
        </w:tc>
      </w:tr>
      <w:tr w:rsidR="00807FFE" w14:paraId="515692B5" w14:textId="77777777">
        <w:trPr>
          <w:trHeight w:hRule="exact" w:val="255"/>
        </w:trPr>
        <w:tc>
          <w:tcPr>
            <w:tcW w:w="4888" w:type="dxa"/>
            <w:tcBorders>
              <w:top w:val="nil"/>
              <w:left w:val="nil"/>
              <w:bottom w:val="nil"/>
              <w:right w:val="nil"/>
              <w:tl2br w:val="nil"/>
              <w:tr2bl w:val="nil"/>
            </w:tcBorders>
            <w:tcMar>
              <w:left w:w="60" w:type="dxa"/>
              <w:right w:w="60" w:type="dxa"/>
            </w:tcMar>
            <w:vAlign w:val="center"/>
          </w:tcPr>
          <w:p w14:paraId="14D679E5" w14:textId="77777777" w:rsidR="00807FFE" w:rsidRDefault="00023E71">
            <w:pPr>
              <w:pStyle w:val="DMETW36639BIPGUARCY"/>
              <w:rPr>
                <w:rFonts w:ascii="Verdana" w:eastAsia="Verdana" w:hAnsi="Verdana" w:cs="Verdana"/>
                <w:i/>
                <w:noProof/>
                <w:color w:val="000000"/>
                <w:sz w:val="18"/>
              </w:rPr>
            </w:pPr>
            <w:r>
              <w:rPr>
                <w:rFonts w:ascii="Verdana" w:eastAsia="Verdana" w:hAnsi="Verdana" w:cs="Verdana"/>
                <w:i/>
                <w:noProof/>
                <w:color w:val="000000"/>
                <w:sz w:val="18"/>
              </w:rPr>
              <w:t>NDICI external action guarantee</w:t>
            </w:r>
          </w:p>
        </w:tc>
        <w:tc>
          <w:tcPr>
            <w:tcW w:w="1178" w:type="dxa"/>
            <w:tcBorders>
              <w:top w:val="nil"/>
              <w:left w:val="nil"/>
              <w:bottom w:val="nil"/>
              <w:right w:val="nil"/>
              <w:tl2br w:val="nil"/>
              <w:tr2bl w:val="nil"/>
            </w:tcBorders>
            <w:tcMar>
              <w:left w:w="60" w:type="dxa"/>
              <w:right w:w="60" w:type="dxa"/>
            </w:tcMar>
            <w:vAlign w:val="bottom"/>
          </w:tcPr>
          <w:p w14:paraId="030EFC25"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33 965</w:t>
            </w:r>
          </w:p>
        </w:tc>
        <w:tc>
          <w:tcPr>
            <w:tcW w:w="1174" w:type="dxa"/>
            <w:tcBorders>
              <w:top w:val="nil"/>
              <w:left w:val="nil"/>
              <w:bottom w:val="nil"/>
              <w:right w:val="nil"/>
              <w:tl2br w:val="nil"/>
              <w:tr2bl w:val="nil"/>
            </w:tcBorders>
            <w:tcMar>
              <w:left w:w="60" w:type="dxa"/>
              <w:right w:w="60" w:type="dxa"/>
            </w:tcMar>
            <w:vAlign w:val="bottom"/>
          </w:tcPr>
          <w:p w14:paraId="70EBCE06"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16 461</w:t>
            </w:r>
          </w:p>
        </w:tc>
        <w:tc>
          <w:tcPr>
            <w:tcW w:w="1174" w:type="dxa"/>
            <w:tcBorders>
              <w:top w:val="nil"/>
              <w:left w:val="nil"/>
              <w:bottom w:val="nil"/>
              <w:right w:val="nil"/>
              <w:tl2br w:val="nil"/>
              <w:tr2bl w:val="nil"/>
            </w:tcBorders>
            <w:tcMar>
              <w:left w:w="60" w:type="dxa"/>
              <w:right w:w="60" w:type="dxa"/>
            </w:tcMar>
            <w:vAlign w:val="bottom"/>
          </w:tcPr>
          <w:p w14:paraId="214BB5AE"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2 949</w:t>
            </w:r>
          </w:p>
        </w:tc>
        <w:tc>
          <w:tcPr>
            <w:tcW w:w="1344" w:type="dxa"/>
            <w:tcBorders>
              <w:top w:val="nil"/>
              <w:left w:val="nil"/>
              <w:bottom w:val="nil"/>
              <w:right w:val="nil"/>
              <w:tl2br w:val="nil"/>
              <w:tr2bl w:val="nil"/>
            </w:tcBorders>
            <w:tcMar>
              <w:left w:w="60" w:type="dxa"/>
              <w:right w:w="60" w:type="dxa"/>
            </w:tcMar>
            <w:vAlign w:val="bottom"/>
          </w:tcPr>
          <w:p w14:paraId="70859FF6" w14:textId="77777777" w:rsidR="00807FFE" w:rsidRDefault="00023E71">
            <w:pPr>
              <w:pStyle w:val="DMETW36639BIPGUARCY"/>
              <w:jc w:val="right"/>
              <w:rPr>
                <w:rFonts w:ascii="Verdana" w:eastAsia="Verdana" w:hAnsi="Verdana" w:cs="Verdana"/>
                <w:i/>
                <w:noProof/>
                <w:color w:val="000000"/>
                <w:sz w:val="18"/>
                <w:lang w:bidi="en-GB"/>
              </w:rPr>
            </w:pPr>
            <w:r>
              <w:rPr>
                <w:rFonts w:ascii="Verdana" w:eastAsia="Verdana" w:hAnsi="Verdana" w:cs="Verdana"/>
                <w:i/>
                <w:noProof/>
                <w:color w:val="000000"/>
                <w:sz w:val="18"/>
              </w:rPr>
              <w:t>3 583</w:t>
            </w:r>
          </w:p>
        </w:tc>
      </w:tr>
      <w:tr w:rsidR="00807FFE" w14:paraId="019E0E07" w14:textId="77777777">
        <w:trPr>
          <w:trHeight w:hRule="exact" w:val="264"/>
        </w:trPr>
        <w:tc>
          <w:tcPr>
            <w:tcW w:w="4888" w:type="dxa"/>
            <w:tcBorders>
              <w:top w:val="nil"/>
              <w:left w:val="nil"/>
              <w:bottom w:val="nil"/>
              <w:right w:val="nil"/>
              <w:tl2br w:val="nil"/>
              <w:tr2bl w:val="nil"/>
            </w:tcBorders>
            <w:tcMar>
              <w:left w:w="60" w:type="dxa"/>
              <w:right w:w="60" w:type="dxa"/>
            </w:tcMar>
            <w:vAlign w:val="center"/>
          </w:tcPr>
          <w:p w14:paraId="01470ACA" w14:textId="77777777" w:rsidR="00807FFE" w:rsidRDefault="00023E71">
            <w:pPr>
              <w:pStyle w:val="DMETW36639BIPGUARCY"/>
              <w:rPr>
                <w:rFonts w:ascii="Verdana" w:eastAsia="Verdana" w:hAnsi="Verdana" w:cs="Verdana"/>
                <w:i/>
                <w:noProof/>
                <w:color w:val="000000"/>
                <w:sz w:val="18"/>
              </w:rPr>
            </w:pPr>
            <w:r>
              <w:rPr>
                <w:rFonts w:ascii="Verdana" w:eastAsia="Verdana" w:hAnsi="Verdana" w:cs="Verdana"/>
                <w:i/>
                <w:noProof/>
                <w:color w:val="000000"/>
                <w:sz w:val="18"/>
              </w:rPr>
              <w:t>Ukraine Guarantee</w:t>
            </w:r>
          </w:p>
        </w:tc>
        <w:tc>
          <w:tcPr>
            <w:tcW w:w="1178" w:type="dxa"/>
            <w:tcBorders>
              <w:top w:val="nil"/>
              <w:left w:val="nil"/>
              <w:bottom w:val="nil"/>
              <w:right w:val="nil"/>
              <w:tl2br w:val="nil"/>
              <w:tr2bl w:val="nil"/>
            </w:tcBorders>
            <w:tcMar>
              <w:left w:w="60" w:type="dxa"/>
              <w:right w:w="60" w:type="dxa"/>
            </w:tcMar>
            <w:vAlign w:val="bottom"/>
          </w:tcPr>
          <w:p w14:paraId="1D75A37A"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3 540</w:t>
            </w:r>
          </w:p>
        </w:tc>
        <w:tc>
          <w:tcPr>
            <w:tcW w:w="1174" w:type="dxa"/>
            <w:tcBorders>
              <w:top w:val="nil"/>
              <w:left w:val="nil"/>
              <w:bottom w:val="nil"/>
              <w:right w:val="nil"/>
              <w:tl2br w:val="nil"/>
              <w:tr2bl w:val="nil"/>
            </w:tcBorders>
            <w:tcMar>
              <w:left w:w="60" w:type="dxa"/>
              <w:right w:w="60" w:type="dxa"/>
            </w:tcMar>
            <w:vAlign w:val="bottom"/>
          </w:tcPr>
          <w:p w14:paraId="450D4CB9"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2 699</w:t>
            </w:r>
          </w:p>
        </w:tc>
        <w:tc>
          <w:tcPr>
            <w:tcW w:w="1174" w:type="dxa"/>
            <w:tcBorders>
              <w:top w:val="nil"/>
              <w:left w:val="nil"/>
              <w:bottom w:val="nil"/>
              <w:right w:val="nil"/>
              <w:tl2br w:val="nil"/>
              <w:tr2bl w:val="nil"/>
            </w:tcBorders>
            <w:tcMar>
              <w:left w:w="60" w:type="dxa"/>
              <w:right w:w="60" w:type="dxa"/>
            </w:tcMar>
            <w:vAlign w:val="bottom"/>
          </w:tcPr>
          <w:p w14:paraId="2A452C8A" w14:textId="77777777" w:rsidR="00807FFE" w:rsidRDefault="00023E71">
            <w:pPr>
              <w:pStyle w:val="DMETW36639BIPGUARCY"/>
              <w:jc w:val="right"/>
              <w:rPr>
                <w:rFonts w:ascii="Verdana" w:eastAsia="Verdana" w:hAnsi="Verdana" w:cs="Verdana"/>
                <w:i/>
                <w:noProof/>
                <w:color w:val="000000"/>
                <w:sz w:val="18"/>
              </w:rPr>
            </w:pPr>
            <w:r>
              <w:rPr>
                <w:rFonts w:ascii="Verdana" w:eastAsia="Verdana" w:hAnsi="Verdana" w:cs="Verdana"/>
                <w:i/>
                <w:noProof/>
                <w:color w:val="000000"/>
                <w:sz w:val="18"/>
              </w:rPr>
              <w:t>1 181</w:t>
            </w:r>
          </w:p>
        </w:tc>
        <w:tc>
          <w:tcPr>
            <w:tcW w:w="1344" w:type="dxa"/>
            <w:tcBorders>
              <w:top w:val="nil"/>
              <w:left w:val="nil"/>
              <w:bottom w:val="nil"/>
              <w:right w:val="nil"/>
              <w:tl2br w:val="nil"/>
              <w:tr2bl w:val="nil"/>
            </w:tcBorders>
            <w:tcMar>
              <w:left w:w="60" w:type="dxa"/>
              <w:right w:w="60" w:type="dxa"/>
            </w:tcMar>
            <w:vAlign w:val="bottom"/>
          </w:tcPr>
          <w:p w14:paraId="3ACA6554" w14:textId="77777777" w:rsidR="00807FFE" w:rsidRDefault="00023E71">
            <w:pPr>
              <w:pStyle w:val="DMETW36639BIPGUARC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614</w:t>
            </w:r>
          </w:p>
        </w:tc>
      </w:tr>
      <w:tr w:rsidR="00807FFE" w14:paraId="1FDA7477" w14:textId="77777777">
        <w:trPr>
          <w:trHeight w:hRule="exact" w:val="250"/>
        </w:trPr>
        <w:tc>
          <w:tcPr>
            <w:tcW w:w="4888" w:type="dxa"/>
            <w:tcBorders>
              <w:top w:val="nil"/>
              <w:left w:val="nil"/>
              <w:bottom w:val="nil"/>
              <w:right w:val="nil"/>
              <w:tl2br w:val="nil"/>
              <w:tr2bl w:val="nil"/>
            </w:tcBorders>
            <w:shd w:val="solid" w:color="CCE1EA" w:fill="FFFFFF"/>
            <w:tcMar>
              <w:left w:w="60" w:type="dxa"/>
              <w:right w:w="60" w:type="dxa"/>
            </w:tcMar>
            <w:vAlign w:val="center"/>
          </w:tcPr>
          <w:p w14:paraId="278CD319" w14:textId="77777777" w:rsidR="00807FFE" w:rsidRDefault="00023E71">
            <w:pPr>
              <w:pStyle w:val="DMETW36639BIPGUARCY"/>
              <w:rPr>
                <w:rFonts w:ascii="Verdana" w:eastAsia="Verdana" w:hAnsi="Verdana" w:cs="Verdana"/>
                <w:b/>
                <w:noProof/>
                <w:color w:val="000000"/>
                <w:sz w:val="18"/>
              </w:rPr>
            </w:pPr>
            <w:r>
              <w:rPr>
                <w:rFonts w:ascii="Verdana" w:eastAsia="Verdana" w:hAnsi="Verdana" w:cs="Verdana"/>
                <w:b/>
                <w:noProof/>
                <w:color w:val="000000"/>
                <w:sz w:val="18"/>
              </w:rPr>
              <w:t>Total</w:t>
            </w:r>
          </w:p>
        </w:tc>
        <w:tc>
          <w:tcPr>
            <w:tcW w:w="1178" w:type="dxa"/>
            <w:tcBorders>
              <w:top w:val="nil"/>
              <w:left w:val="nil"/>
              <w:bottom w:val="nil"/>
              <w:right w:val="nil"/>
              <w:tl2br w:val="nil"/>
              <w:tr2bl w:val="nil"/>
            </w:tcBorders>
            <w:shd w:val="solid" w:color="CCE1EA" w:fill="FFFFFF"/>
            <w:tcMar>
              <w:left w:w="60" w:type="dxa"/>
              <w:right w:w="60" w:type="dxa"/>
            </w:tcMar>
            <w:vAlign w:val="center"/>
          </w:tcPr>
          <w:p w14:paraId="608B3488" w14:textId="77777777" w:rsidR="00807FFE" w:rsidRDefault="00023E71">
            <w:pPr>
              <w:pStyle w:val="DMETW36639BIPGUARCY"/>
              <w:jc w:val="right"/>
              <w:rPr>
                <w:rFonts w:ascii="Verdana" w:eastAsia="Verdana" w:hAnsi="Verdana" w:cs="Verdana"/>
                <w:b/>
                <w:noProof/>
                <w:color w:val="000000"/>
                <w:sz w:val="18"/>
              </w:rPr>
            </w:pPr>
            <w:r>
              <w:rPr>
                <w:rFonts w:ascii="Verdana" w:eastAsia="Verdana" w:hAnsi="Verdana" w:cs="Verdana"/>
                <w:b/>
                <w:noProof/>
                <w:color w:val="000000"/>
                <w:sz w:val="18"/>
              </w:rPr>
              <w:t>112 556</w:t>
            </w:r>
          </w:p>
        </w:tc>
        <w:tc>
          <w:tcPr>
            <w:tcW w:w="1174" w:type="dxa"/>
            <w:tcBorders>
              <w:top w:val="nil"/>
              <w:left w:val="nil"/>
              <w:bottom w:val="nil"/>
              <w:right w:val="nil"/>
              <w:tl2br w:val="nil"/>
              <w:tr2bl w:val="nil"/>
            </w:tcBorders>
            <w:shd w:val="solid" w:color="CCE1EA" w:fill="FFFFFF"/>
            <w:tcMar>
              <w:left w:w="60" w:type="dxa"/>
              <w:right w:w="60" w:type="dxa"/>
            </w:tcMar>
            <w:vAlign w:val="center"/>
          </w:tcPr>
          <w:p w14:paraId="576B3190" w14:textId="77777777" w:rsidR="00807FFE" w:rsidRDefault="00023E71">
            <w:pPr>
              <w:pStyle w:val="DMETW36639BIPGUARCY"/>
              <w:jc w:val="right"/>
              <w:rPr>
                <w:rFonts w:ascii="Verdana" w:eastAsia="Verdana" w:hAnsi="Verdana" w:cs="Verdana"/>
                <w:b/>
                <w:noProof/>
                <w:color w:val="000000"/>
                <w:sz w:val="18"/>
              </w:rPr>
            </w:pPr>
            <w:r>
              <w:rPr>
                <w:rFonts w:ascii="Verdana" w:eastAsia="Verdana" w:hAnsi="Verdana" w:cs="Verdana"/>
                <w:b/>
                <w:noProof/>
                <w:color w:val="000000"/>
                <w:sz w:val="18"/>
              </w:rPr>
              <w:t>77 580</w:t>
            </w:r>
          </w:p>
        </w:tc>
        <w:tc>
          <w:tcPr>
            <w:tcW w:w="1174" w:type="dxa"/>
            <w:tcBorders>
              <w:top w:val="nil"/>
              <w:left w:val="nil"/>
              <w:bottom w:val="nil"/>
              <w:right w:val="nil"/>
              <w:tl2br w:val="nil"/>
              <w:tr2bl w:val="nil"/>
            </w:tcBorders>
            <w:shd w:val="solid" w:color="CCE1EA" w:fill="FFFFFF"/>
            <w:tcMar>
              <w:left w:w="60" w:type="dxa"/>
              <w:right w:w="60" w:type="dxa"/>
            </w:tcMar>
            <w:vAlign w:val="center"/>
          </w:tcPr>
          <w:p w14:paraId="465955E7" w14:textId="77777777" w:rsidR="00807FFE" w:rsidRDefault="00023E71">
            <w:pPr>
              <w:pStyle w:val="DMETW36639BIPGUARCY"/>
              <w:jc w:val="right"/>
              <w:rPr>
                <w:rFonts w:ascii="Verdana" w:eastAsia="Verdana" w:hAnsi="Verdana" w:cs="Verdana"/>
                <w:b/>
                <w:noProof/>
                <w:color w:val="000000"/>
                <w:sz w:val="18"/>
              </w:rPr>
            </w:pPr>
            <w:r>
              <w:rPr>
                <w:rFonts w:ascii="Verdana" w:eastAsia="Verdana" w:hAnsi="Verdana" w:cs="Verdana"/>
                <w:b/>
                <w:noProof/>
                <w:color w:val="000000"/>
                <w:sz w:val="18"/>
              </w:rPr>
              <w:t>47 399</w:t>
            </w:r>
          </w:p>
        </w:tc>
        <w:tc>
          <w:tcPr>
            <w:tcW w:w="1344" w:type="dxa"/>
            <w:tcBorders>
              <w:top w:val="nil"/>
              <w:left w:val="nil"/>
              <w:bottom w:val="nil"/>
              <w:right w:val="nil"/>
              <w:tl2br w:val="nil"/>
              <w:tr2bl w:val="nil"/>
            </w:tcBorders>
            <w:shd w:val="solid" w:color="CCE1EA" w:fill="FFFFFF"/>
            <w:tcMar>
              <w:left w:w="60" w:type="dxa"/>
              <w:right w:w="60" w:type="dxa"/>
            </w:tcMar>
            <w:vAlign w:val="center"/>
          </w:tcPr>
          <w:p w14:paraId="6C414AAB" w14:textId="77777777" w:rsidR="00807FFE" w:rsidRDefault="00023E71">
            <w:pPr>
              <w:pStyle w:val="DMETW36639BIPGUARCY"/>
              <w:jc w:val="right"/>
              <w:rPr>
                <w:rFonts w:ascii="Verdana" w:eastAsia="Verdana" w:hAnsi="Verdana" w:cs="Verdana"/>
                <w:b/>
                <w:noProof/>
                <w:color w:val="000000"/>
                <w:sz w:val="18"/>
              </w:rPr>
            </w:pPr>
            <w:r>
              <w:rPr>
                <w:rFonts w:ascii="Verdana" w:eastAsia="Verdana" w:hAnsi="Verdana" w:cs="Verdana"/>
                <w:b/>
                <w:noProof/>
                <w:color w:val="000000"/>
                <w:sz w:val="18"/>
              </w:rPr>
              <w:t>26 681</w:t>
            </w:r>
          </w:p>
        </w:tc>
      </w:tr>
    </w:tbl>
    <w:p w14:paraId="1AB2B3E7" w14:textId="77777777" w:rsidR="003E13FD" w:rsidRPr="00863372" w:rsidRDefault="00023E71" w:rsidP="005F633C">
      <w:pPr>
        <w:pStyle w:val="Textstand-alone"/>
        <w:spacing w:before="120"/>
        <w:ind w:left="113" w:hanging="113"/>
        <w:jc w:val="left"/>
      </w:pPr>
      <w:r w:rsidRPr="00F60ECA">
        <w:rPr>
          <w:i/>
          <w:sz w:val="14"/>
          <w:vertAlign w:val="superscript"/>
        </w:rPr>
        <w:t>*</w:t>
      </w:r>
      <w:r w:rsidRPr="00863372">
        <w:rPr>
          <w:i/>
          <w:sz w:val="14"/>
        </w:rPr>
        <w:t xml:space="preserve"> </w:t>
      </w:r>
      <w:bookmarkStart w:id="205" w:name="_Hlk168047288"/>
      <w:r w:rsidRPr="00863372">
        <w:rPr>
          <w:i/>
          <w:sz w:val="14"/>
        </w:rPr>
        <w:t xml:space="preserve">The EUR </w:t>
      </w:r>
      <w:r w:rsidR="00180CF1">
        <w:rPr>
          <w:i/>
          <w:sz w:val="14"/>
        </w:rPr>
        <w:t>3.</w:t>
      </w:r>
      <w:r>
        <w:rPr>
          <w:i/>
          <w:sz w:val="14"/>
        </w:rPr>
        <w:t>5</w:t>
      </w:r>
      <w:r w:rsidRPr="00863372">
        <w:rPr>
          <w:i/>
          <w:sz w:val="14"/>
        </w:rPr>
        <w:t xml:space="preserve"> </w:t>
      </w:r>
      <w:r>
        <w:rPr>
          <w:i/>
          <w:sz w:val="14"/>
        </w:rPr>
        <w:t>b</w:t>
      </w:r>
      <w:r w:rsidR="00FA6E2D">
        <w:rPr>
          <w:i/>
          <w:sz w:val="14"/>
        </w:rPr>
        <w:t>illio</w:t>
      </w:r>
      <w:r>
        <w:rPr>
          <w:i/>
          <w:sz w:val="14"/>
        </w:rPr>
        <w:t>n</w:t>
      </w:r>
      <w:r w:rsidRPr="00863372">
        <w:rPr>
          <w:i/>
          <w:sz w:val="14"/>
        </w:rPr>
        <w:t xml:space="preserve"> of assets provisioned for the EIB </w:t>
      </w:r>
      <w:r>
        <w:rPr>
          <w:i/>
          <w:sz w:val="14"/>
        </w:rPr>
        <w:t>ELM</w:t>
      </w:r>
      <w:r w:rsidRPr="00863372">
        <w:rPr>
          <w:i/>
          <w:sz w:val="14"/>
        </w:rPr>
        <w:t xml:space="preserve"> guarantee</w:t>
      </w:r>
      <w:r w:rsidR="00FA6E2D">
        <w:rPr>
          <w:i/>
          <w:sz w:val="14"/>
        </w:rPr>
        <w:t>s</w:t>
      </w:r>
      <w:r w:rsidRPr="00863372">
        <w:rPr>
          <w:i/>
          <w:sz w:val="14"/>
        </w:rPr>
        <w:t xml:space="preserve"> also cover </w:t>
      </w:r>
      <w:r w:rsidR="00180CF1">
        <w:rPr>
          <w:i/>
          <w:sz w:val="14"/>
        </w:rPr>
        <w:t xml:space="preserve">loans and related </w:t>
      </w:r>
      <w:r w:rsidRPr="00863372">
        <w:rPr>
          <w:i/>
          <w:sz w:val="14"/>
        </w:rPr>
        <w:t xml:space="preserve">borrowings under </w:t>
      </w:r>
      <w:r w:rsidR="00634BFF">
        <w:rPr>
          <w:i/>
          <w:sz w:val="14"/>
        </w:rPr>
        <w:t xml:space="preserve">legacy </w:t>
      </w:r>
      <w:r w:rsidRPr="00863372">
        <w:rPr>
          <w:i/>
          <w:sz w:val="14"/>
        </w:rPr>
        <w:t>M</w:t>
      </w:r>
      <w:r>
        <w:rPr>
          <w:i/>
          <w:sz w:val="14"/>
        </w:rPr>
        <w:t xml:space="preserve">FA and Euratom (see Note </w:t>
      </w:r>
      <w:r w:rsidR="00180CF1">
        <w:rPr>
          <w:i/>
          <w:sz w:val="14"/>
        </w:rPr>
        <w:t>2.4.1.1</w:t>
      </w:r>
      <w:r>
        <w:rPr>
          <w:i/>
          <w:sz w:val="14"/>
        </w:rPr>
        <w:t>).</w:t>
      </w:r>
      <w:bookmarkEnd w:id="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3"/>
        <w:gridCol w:w="1180"/>
        <w:gridCol w:w="1175"/>
        <w:gridCol w:w="1175"/>
        <w:gridCol w:w="1335"/>
      </w:tblGrid>
      <w:tr w:rsidR="00807FFE" w14:paraId="116A04C1" w14:textId="77777777">
        <w:trPr>
          <w:trHeight w:hRule="exact" w:val="255"/>
        </w:trPr>
        <w:tc>
          <w:tcPr>
            <w:tcW w:w="4893" w:type="dxa"/>
            <w:tcBorders>
              <w:top w:val="nil"/>
              <w:left w:val="nil"/>
              <w:bottom w:val="nil"/>
              <w:right w:val="nil"/>
              <w:tl2br w:val="nil"/>
              <w:tr2bl w:val="nil"/>
            </w:tcBorders>
            <w:tcMar>
              <w:left w:w="60" w:type="dxa"/>
              <w:right w:w="60" w:type="dxa"/>
            </w:tcMar>
            <w:vAlign w:val="bottom"/>
          </w:tcPr>
          <w:p w14:paraId="54AC6102" w14:textId="77777777" w:rsidR="00807FFE" w:rsidRDefault="00807FFE">
            <w:pPr>
              <w:pStyle w:val="DMETW36639BIPGUARPY"/>
              <w:rPr>
                <w:rFonts w:ascii="Arial" w:eastAsia="Arial" w:hAnsi="Arial" w:cs="Arial"/>
                <w:noProof/>
                <w:color w:val="000000"/>
                <w:lang w:bidi="en-GB"/>
              </w:rPr>
            </w:pPr>
            <w:bookmarkStart w:id="206" w:name="DOC_TBL00080_1_1"/>
            <w:bookmarkEnd w:id="206"/>
          </w:p>
        </w:tc>
        <w:tc>
          <w:tcPr>
            <w:tcW w:w="1180" w:type="dxa"/>
            <w:tcBorders>
              <w:top w:val="nil"/>
              <w:left w:val="nil"/>
              <w:bottom w:val="nil"/>
              <w:right w:val="nil"/>
              <w:tl2br w:val="nil"/>
              <w:tr2bl w:val="nil"/>
            </w:tcBorders>
            <w:tcMar>
              <w:left w:w="60" w:type="dxa"/>
              <w:right w:w="60" w:type="dxa"/>
            </w:tcMar>
            <w:vAlign w:val="bottom"/>
          </w:tcPr>
          <w:p w14:paraId="74127D7D" w14:textId="77777777" w:rsidR="00807FFE" w:rsidRDefault="00807FFE">
            <w:pPr>
              <w:pStyle w:val="DMETW36639BIPGUARPY"/>
              <w:rPr>
                <w:rFonts w:ascii="Arial" w:eastAsia="Arial" w:hAnsi="Arial" w:cs="Arial"/>
                <w:noProof/>
                <w:color w:val="000000"/>
              </w:rPr>
            </w:pPr>
          </w:p>
        </w:tc>
        <w:tc>
          <w:tcPr>
            <w:tcW w:w="1175" w:type="dxa"/>
            <w:tcBorders>
              <w:top w:val="nil"/>
              <w:left w:val="nil"/>
              <w:bottom w:val="nil"/>
              <w:right w:val="nil"/>
              <w:tl2br w:val="nil"/>
              <w:tr2bl w:val="nil"/>
            </w:tcBorders>
            <w:tcMar>
              <w:left w:w="60" w:type="dxa"/>
              <w:right w:w="60" w:type="dxa"/>
            </w:tcMar>
            <w:vAlign w:val="bottom"/>
          </w:tcPr>
          <w:p w14:paraId="0465169B" w14:textId="77777777" w:rsidR="00807FFE" w:rsidRDefault="00807FFE">
            <w:pPr>
              <w:pStyle w:val="DMETW36639BIPGUARPY"/>
              <w:rPr>
                <w:rFonts w:ascii="Arial" w:eastAsia="Arial" w:hAnsi="Arial" w:cs="Arial"/>
                <w:noProof/>
                <w:color w:val="000000"/>
              </w:rPr>
            </w:pPr>
          </w:p>
        </w:tc>
        <w:tc>
          <w:tcPr>
            <w:tcW w:w="1175" w:type="dxa"/>
            <w:tcBorders>
              <w:top w:val="nil"/>
              <w:left w:val="nil"/>
              <w:bottom w:val="nil"/>
              <w:right w:val="nil"/>
              <w:tl2br w:val="nil"/>
              <w:tr2bl w:val="nil"/>
            </w:tcBorders>
            <w:tcMar>
              <w:left w:w="60" w:type="dxa"/>
              <w:right w:w="60" w:type="dxa"/>
            </w:tcMar>
            <w:vAlign w:val="bottom"/>
          </w:tcPr>
          <w:p w14:paraId="3520E4E4" w14:textId="77777777" w:rsidR="00807FFE" w:rsidRDefault="00807FFE">
            <w:pPr>
              <w:pStyle w:val="DMETW36639BIPGUARPY"/>
              <w:jc w:val="right"/>
              <w:rPr>
                <w:rFonts w:ascii="Verdana" w:eastAsia="Verdana" w:hAnsi="Verdana" w:cs="Verdana"/>
                <w:i/>
                <w:noProof/>
                <w:color w:val="000000"/>
                <w:sz w:val="16"/>
              </w:rPr>
            </w:pPr>
          </w:p>
        </w:tc>
        <w:tc>
          <w:tcPr>
            <w:tcW w:w="1335" w:type="dxa"/>
            <w:tcBorders>
              <w:top w:val="nil"/>
              <w:left w:val="nil"/>
              <w:bottom w:val="nil"/>
              <w:right w:val="nil"/>
              <w:tl2br w:val="nil"/>
              <w:tr2bl w:val="nil"/>
            </w:tcBorders>
            <w:tcMar>
              <w:left w:w="60" w:type="dxa"/>
              <w:right w:w="60" w:type="dxa"/>
            </w:tcMar>
            <w:vAlign w:val="bottom"/>
          </w:tcPr>
          <w:p w14:paraId="49F9DB97" w14:textId="77777777" w:rsidR="00807FFE" w:rsidRDefault="00023E71">
            <w:pPr>
              <w:pStyle w:val="DMETW36639BIPGUARP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0DBCEB3" w14:textId="77777777">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14:paraId="2B450BDF" w14:textId="77777777" w:rsidR="00807FFE" w:rsidRDefault="00807FFE">
            <w:pPr>
              <w:pStyle w:val="DMETW36639BIPGUARPY"/>
              <w:jc w:val="center"/>
              <w:rPr>
                <w:rFonts w:ascii="Verdana" w:eastAsia="Verdana" w:hAnsi="Verdana" w:cs="Verdana"/>
                <w:noProof/>
                <w:color w:val="FFFFFF"/>
              </w:rPr>
            </w:pPr>
          </w:p>
        </w:tc>
        <w:tc>
          <w:tcPr>
            <w:tcW w:w="1180" w:type="dxa"/>
            <w:gridSpan w:val="4"/>
            <w:tcBorders>
              <w:top w:val="nil"/>
              <w:left w:val="nil"/>
              <w:bottom w:val="nil"/>
              <w:right w:val="nil"/>
              <w:tl2br w:val="nil"/>
              <w:tr2bl w:val="nil"/>
            </w:tcBorders>
            <w:shd w:val="solid" w:color="016794" w:fill="FFFFFF"/>
            <w:tcMar>
              <w:left w:w="60" w:type="dxa"/>
              <w:right w:w="60" w:type="dxa"/>
            </w:tcMar>
            <w:vAlign w:val="center"/>
          </w:tcPr>
          <w:p w14:paraId="12E546DA" w14:textId="77777777" w:rsidR="00807FFE" w:rsidRDefault="00023E71">
            <w:pPr>
              <w:pStyle w:val="DMETW36639BIPGUARPY"/>
              <w:jc w:val="center"/>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34F8E59" w14:textId="77777777">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14:paraId="0B9550AB" w14:textId="77777777" w:rsidR="00807FFE" w:rsidRDefault="00807FFE">
            <w:pPr>
              <w:pStyle w:val="DMETW36639BIPGUARPY"/>
              <w:jc w:val="center"/>
              <w:rPr>
                <w:rFonts w:ascii="Verdana" w:eastAsia="Verdana" w:hAnsi="Verdana" w:cs="Verdana"/>
                <w:noProof/>
                <w:color w:val="FFFFFF"/>
              </w:rPr>
            </w:pPr>
          </w:p>
        </w:tc>
        <w:tc>
          <w:tcPr>
            <w:tcW w:w="1180" w:type="dxa"/>
            <w:gridSpan w:val="3"/>
            <w:tcBorders>
              <w:top w:val="nil"/>
              <w:left w:val="nil"/>
              <w:bottom w:val="nil"/>
              <w:right w:val="nil"/>
              <w:tl2br w:val="nil"/>
              <w:tr2bl w:val="nil"/>
            </w:tcBorders>
            <w:shd w:val="solid" w:color="016794" w:fill="FFFFFF"/>
            <w:tcMar>
              <w:left w:w="60" w:type="dxa"/>
              <w:right w:w="60" w:type="dxa"/>
            </w:tcMar>
            <w:vAlign w:val="center"/>
          </w:tcPr>
          <w:p w14:paraId="7A4466F7" w14:textId="77777777" w:rsidR="00807FFE" w:rsidRDefault="00023E71">
            <w:pPr>
              <w:pStyle w:val="DMETW36639BIPGUARPY"/>
              <w:jc w:val="center"/>
              <w:rPr>
                <w:rFonts w:ascii="Verdana" w:eastAsia="Verdana" w:hAnsi="Verdana" w:cs="Verdana"/>
                <w:noProof/>
                <w:color w:val="FFFFFF"/>
              </w:rPr>
            </w:pPr>
            <w:r>
              <w:rPr>
                <w:rFonts w:ascii="Verdana" w:eastAsia="Verdana" w:hAnsi="Verdana" w:cs="Verdana"/>
                <w:noProof/>
                <w:color w:val="FFFFFF"/>
              </w:rPr>
              <w:t>Guarantees given</w:t>
            </w:r>
          </w:p>
        </w:tc>
        <w:tc>
          <w:tcPr>
            <w:tcW w:w="1335" w:type="dxa"/>
            <w:vMerge w:val="restart"/>
            <w:tcBorders>
              <w:top w:val="nil"/>
              <w:left w:val="nil"/>
              <w:bottom w:val="nil"/>
              <w:right w:val="nil"/>
              <w:tl2br w:val="nil"/>
              <w:tr2bl w:val="nil"/>
            </w:tcBorders>
            <w:shd w:val="solid" w:color="016794" w:fill="FFFFFF"/>
            <w:tcMar>
              <w:left w:w="60" w:type="dxa"/>
              <w:right w:w="60" w:type="dxa"/>
            </w:tcMar>
            <w:vAlign w:val="center"/>
          </w:tcPr>
          <w:p w14:paraId="2D2F1BF0" w14:textId="77777777" w:rsidR="00807FFE" w:rsidRDefault="00023E71">
            <w:pPr>
              <w:pStyle w:val="DMETW36639BIPGUARPY"/>
              <w:jc w:val="center"/>
              <w:rPr>
                <w:rFonts w:ascii="Verdana" w:eastAsia="Verdana" w:hAnsi="Verdana" w:cs="Verdana"/>
                <w:noProof/>
                <w:color w:val="FFFFFF"/>
                <w:sz w:val="18"/>
                <w:lang w:bidi="en-GB"/>
              </w:rPr>
            </w:pPr>
            <w:r>
              <w:rPr>
                <w:rFonts w:ascii="Verdana" w:eastAsia="Verdana" w:hAnsi="Verdana" w:cs="Verdana"/>
                <w:noProof/>
                <w:color w:val="FFFFFF"/>
                <w:sz w:val="18"/>
              </w:rPr>
              <w:t>Assets provisioned*</w:t>
            </w:r>
          </w:p>
        </w:tc>
      </w:tr>
      <w:tr w:rsidR="00807FFE" w14:paraId="65A562CD" w14:textId="77777777">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14:paraId="1E149CBD" w14:textId="77777777" w:rsidR="00807FFE" w:rsidRDefault="00807FFE">
            <w:pPr>
              <w:pStyle w:val="DMETW36639BIPGUARPY"/>
              <w:jc w:val="center"/>
              <w:rPr>
                <w:rFonts w:ascii="Verdana" w:eastAsia="Verdana" w:hAnsi="Verdana" w:cs="Verdana"/>
                <w:noProof/>
                <w:color w:val="FFFFFF"/>
              </w:rPr>
            </w:pPr>
          </w:p>
        </w:tc>
        <w:tc>
          <w:tcPr>
            <w:tcW w:w="1180" w:type="dxa"/>
            <w:tcBorders>
              <w:top w:val="nil"/>
              <w:left w:val="nil"/>
              <w:bottom w:val="nil"/>
              <w:right w:val="nil"/>
              <w:tl2br w:val="nil"/>
              <w:tr2bl w:val="nil"/>
            </w:tcBorders>
            <w:shd w:val="solid" w:color="016794" w:fill="FFFFFF"/>
            <w:tcMar>
              <w:left w:w="60" w:type="dxa"/>
              <w:right w:w="60" w:type="dxa"/>
            </w:tcMar>
            <w:vAlign w:val="center"/>
          </w:tcPr>
          <w:p w14:paraId="17CDBF2E" w14:textId="77777777" w:rsidR="00807FFE" w:rsidRDefault="00023E71">
            <w:pPr>
              <w:pStyle w:val="DMETW36639BIPGUARPY"/>
              <w:jc w:val="right"/>
              <w:rPr>
                <w:rFonts w:ascii="Verdana" w:eastAsia="Verdana" w:hAnsi="Verdana" w:cs="Verdana"/>
                <w:noProof/>
                <w:color w:val="FFFFFF"/>
                <w:sz w:val="18"/>
              </w:rPr>
            </w:pPr>
            <w:r>
              <w:rPr>
                <w:rFonts w:ascii="Verdana" w:eastAsia="Verdana" w:hAnsi="Verdana" w:cs="Verdana"/>
                <w:noProof/>
                <w:color w:val="FFFFFF"/>
                <w:sz w:val="18"/>
              </w:rPr>
              <w:t>Ceiling</w:t>
            </w:r>
          </w:p>
        </w:tc>
        <w:tc>
          <w:tcPr>
            <w:tcW w:w="1175" w:type="dxa"/>
            <w:tcBorders>
              <w:top w:val="nil"/>
              <w:left w:val="nil"/>
              <w:bottom w:val="nil"/>
              <w:right w:val="nil"/>
              <w:tl2br w:val="nil"/>
              <w:tr2bl w:val="nil"/>
            </w:tcBorders>
            <w:shd w:val="solid" w:color="016794" w:fill="FFFFFF"/>
            <w:tcMar>
              <w:left w:w="60" w:type="dxa"/>
              <w:right w:w="60" w:type="dxa"/>
            </w:tcMar>
            <w:vAlign w:val="center"/>
          </w:tcPr>
          <w:p w14:paraId="4B2BFAE3" w14:textId="77777777" w:rsidR="00807FFE" w:rsidRDefault="00023E71">
            <w:pPr>
              <w:pStyle w:val="DMETW36639BIPGUARPY"/>
              <w:jc w:val="right"/>
              <w:rPr>
                <w:rFonts w:ascii="Verdana" w:eastAsia="Verdana" w:hAnsi="Verdana" w:cs="Verdana"/>
                <w:noProof/>
                <w:color w:val="FFFFFF"/>
                <w:sz w:val="18"/>
              </w:rPr>
            </w:pPr>
            <w:r>
              <w:rPr>
                <w:rFonts w:ascii="Verdana" w:eastAsia="Verdana" w:hAnsi="Verdana" w:cs="Verdana"/>
                <w:noProof/>
                <w:color w:val="FFFFFF"/>
                <w:sz w:val="18"/>
              </w:rPr>
              <w:t>Signed</w:t>
            </w:r>
          </w:p>
        </w:tc>
        <w:tc>
          <w:tcPr>
            <w:tcW w:w="1175" w:type="dxa"/>
            <w:tcBorders>
              <w:top w:val="nil"/>
              <w:left w:val="nil"/>
              <w:bottom w:val="nil"/>
              <w:right w:val="nil"/>
              <w:tl2br w:val="nil"/>
              <w:tr2bl w:val="nil"/>
            </w:tcBorders>
            <w:shd w:val="solid" w:color="016794" w:fill="FFFFFF"/>
            <w:tcMar>
              <w:left w:w="60" w:type="dxa"/>
              <w:right w:w="60" w:type="dxa"/>
            </w:tcMar>
            <w:vAlign w:val="center"/>
          </w:tcPr>
          <w:p w14:paraId="7144B2A0" w14:textId="77777777" w:rsidR="00807FFE" w:rsidRDefault="00023E71">
            <w:pPr>
              <w:pStyle w:val="DMETW36639BIPGUARPY"/>
              <w:jc w:val="right"/>
              <w:rPr>
                <w:rFonts w:ascii="Verdana" w:eastAsia="Verdana" w:hAnsi="Verdana" w:cs="Verdana"/>
                <w:noProof/>
                <w:color w:val="FFFFFF"/>
                <w:sz w:val="18"/>
                <w:lang w:bidi="en-GB"/>
              </w:rPr>
            </w:pPr>
            <w:r>
              <w:rPr>
                <w:rFonts w:ascii="Verdana" w:eastAsia="Verdana" w:hAnsi="Verdana" w:cs="Verdana"/>
                <w:noProof/>
                <w:color w:val="FFFFFF"/>
                <w:sz w:val="18"/>
              </w:rPr>
              <w:t>Disbursed</w:t>
            </w:r>
          </w:p>
        </w:tc>
        <w:tc>
          <w:tcPr>
            <w:tcW w:w="1335" w:type="dxa"/>
            <w:vMerge/>
            <w:tcBorders>
              <w:top w:val="nil"/>
              <w:left w:val="nil"/>
              <w:bottom w:val="nil"/>
              <w:right w:val="nil"/>
              <w:tl2br w:val="nil"/>
              <w:tr2bl w:val="nil"/>
            </w:tcBorders>
            <w:shd w:val="solid" w:color="016794" w:fill="FFFFFF"/>
            <w:tcMar>
              <w:left w:w="60" w:type="dxa"/>
              <w:right w:w="60" w:type="dxa"/>
            </w:tcMar>
            <w:vAlign w:val="center"/>
          </w:tcPr>
          <w:p w14:paraId="73858DFF" w14:textId="77777777" w:rsidR="00807FFE" w:rsidRDefault="00807FFE">
            <w:pPr>
              <w:pStyle w:val="DMETW36639BIPGUARPY"/>
              <w:jc w:val="center"/>
              <w:rPr>
                <w:rFonts w:ascii="Verdana" w:eastAsia="Verdana" w:hAnsi="Verdana" w:cs="Verdana"/>
                <w:noProof/>
                <w:color w:val="FFFFFF"/>
                <w:sz w:val="18"/>
              </w:rPr>
            </w:pPr>
          </w:p>
        </w:tc>
      </w:tr>
      <w:tr w:rsidR="00807FFE" w14:paraId="011EB62B" w14:textId="77777777">
        <w:trPr>
          <w:trHeight w:hRule="exact" w:val="255"/>
        </w:trPr>
        <w:tc>
          <w:tcPr>
            <w:tcW w:w="4893" w:type="dxa"/>
            <w:tcBorders>
              <w:top w:val="nil"/>
              <w:left w:val="nil"/>
              <w:bottom w:val="nil"/>
              <w:right w:val="nil"/>
              <w:tl2br w:val="nil"/>
              <w:tr2bl w:val="nil"/>
            </w:tcBorders>
            <w:tcMar>
              <w:left w:w="60" w:type="dxa"/>
              <w:right w:w="60" w:type="dxa"/>
            </w:tcMar>
            <w:vAlign w:val="center"/>
          </w:tcPr>
          <w:p w14:paraId="14CC335C" w14:textId="77777777" w:rsidR="00807FFE" w:rsidRDefault="00023E71">
            <w:pPr>
              <w:pStyle w:val="DMETW36639BIPGUARPY"/>
              <w:rPr>
                <w:rFonts w:ascii="Verdana" w:eastAsia="Verdana" w:hAnsi="Verdana" w:cs="Verdana"/>
                <w:i/>
                <w:noProof/>
                <w:color w:val="000000"/>
                <w:sz w:val="18"/>
              </w:rPr>
            </w:pPr>
            <w:r>
              <w:rPr>
                <w:rFonts w:ascii="Verdana" w:eastAsia="Verdana" w:hAnsi="Verdana" w:cs="Verdana"/>
                <w:i/>
                <w:noProof/>
                <w:color w:val="000000"/>
                <w:sz w:val="18"/>
              </w:rPr>
              <w:t>EIB ELM guarantees</w:t>
            </w:r>
          </w:p>
        </w:tc>
        <w:tc>
          <w:tcPr>
            <w:tcW w:w="1180" w:type="dxa"/>
            <w:tcBorders>
              <w:top w:val="nil"/>
              <w:left w:val="nil"/>
              <w:bottom w:val="nil"/>
              <w:right w:val="nil"/>
              <w:tl2br w:val="nil"/>
              <w:tr2bl w:val="nil"/>
            </w:tcBorders>
            <w:tcMar>
              <w:left w:w="60" w:type="dxa"/>
              <w:right w:w="60" w:type="dxa"/>
            </w:tcMar>
            <w:vAlign w:val="bottom"/>
          </w:tcPr>
          <w:p w14:paraId="78DAFE93"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25 772</w:t>
            </w:r>
          </w:p>
        </w:tc>
        <w:tc>
          <w:tcPr>
            <w:tcW w:w="1175" w:type="dxa"/>
            <w:tcBorders>
              <w:top w:val="nil"/>
              <w:left w:val="nil"/>
              <w:bottom w:val="nil"/>
              <w:right w:val="nil"/>
              <w:tl2br w:val="nil"/>
              <w:tr2bl w:val="nil"/>
            </w:tcBorders>
            <w:tcMar>
              <w:left w:w="60" w:type="dxa"/>
              <w:right w:w="60" w:type="dxa"/>
            </w:tcMar>
            <w:vAlign w:val="bottom"/>
          </w:tcPr>
          <w:p w14:paraId="0465496A"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25 772</w:t>
            </w:r>
          </w:p>
        </w:tc>
        <w:tc>
          <w:tcPr>
            <w:tcW w:w="1175" w:type="dxa"/>
            <w:tcBorders>
              <w:top w:val="nil"/>
              <w:left w:val="nil"/>
              <w:bottom w:val="nil"/>
              <w:right w:val="nil"/>
              <w:tl2br w:val="nil"/>
              <w:tr2bl w:val="nil"/>
            </w:tcBorders>
            <w:tcMar>
              <w:left w:w="60" w:type="dxa"/>
              <w:right w:w="60" w:type="dxa"/>
            </w:tcMar>
            <w:vAlign w:val="bottom"/>
          </w:tcPr>
          <w:p w14:paraId="3CBE0C4C"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19 184</w:t>
            </w:r>
          </w:p>
        </w:tc>
        <w:tc>
          <w:tcPr>
            <w:tcW w:w="1335" w:type="dxa"/>
            <w:tcBorders>
              <w:top w:val="nil"/>
              <w:left w:val="nil"/>
              <w:bottom w:val="nil"/>
              <w:right w:val="nil"/>
              <w:tl2br w:val="nil"/>
              <w:tr2bl w:val="nil"/>
            </w:tcBorders>
            <w:tcMar>
              <w:left w:w="60" w:type="dxa"/>
              <w:right w:w="60" w:type="dxa"/>
            </w:tcMar>
            <w:vAlign w:val="bottom"/>
          </w:tcPr>
          <w:p w14:paraId="61EAA091" w14:textId="77777777" w:rsidR="00807FFE" w:rsidRDefault="00023E71">
            <w:pPr>
              <w:pStyle w:val="DMETW36639BIPGUARPY"/>
              <w:jc w:val="right"/>
              <w:rPr>
                <w:rFonts w:ascii="Verdana" w:eastAsia="Verdana" w:hAnsi="Verdana" w:cs="Verdana"/>
                <w:i/>
                <w:noProof/>
                <w:color w:val="000000"/>
                <w:sz w:val="18"/>
                <w:lang w:bidi="en-GB"/>
              </w:rPr>
            </w:pPr>
            <w:r>
              <w:rPr>
                <w:rFonts w:ascii="Verdana" w:eastAsia="Verdana" w:hAnsi="Verdana" w:cs="Verdana"/>
                <w:i/>
                <w:noProof/>
                <w:color w:val="000000"/>
                <w:sz w:val="18"/>
              </w:rPr>
              <w:t>3 400</w:t>
            </w:r>
          </w:p>
        </w:tc>
      </w:tr>
      <w:tr w:rsidR="00807FFE" w14:paraId="011C83AA" w14:textId="77777777">
        <w:trPr>
          <w:trHeight w:hRule="exact" w:val="255"/>
        </w:trPr>
        <w:tc>
          <w:tcPr>
            <w:tcW w:w="4893" w:type="dxa"/>
            <w:tcBorders>
              <w:top w:val="nil"/>
              <w:left w:val="nil"/>
              <w:bottom w:val="nil"/>
              <w:right w:val="nil"/>
              <w:tl2br w:val="nil"/>
              <w:tr2bl w:val="nil"/>
            </w:tcBorders>
            <w:tcMar>
              <w:left w:w="60" w:type="dxa"/>
              <w:right w:w="60" w:type="dxa"/>
            </w:tcMar>
            <w:vAlign w:val="center"/>
          </w:tcPr>
          <w:p w14:paraId="123F3AC8" w14:textId="77777777" w:rsidR="00807FFE" w:rsidRDefault="00023E71">
            <w:pPr>
              <w:pStyle w:val="DMETW36639BIPGUARPY"/>
              <w:rPr>
                <w:rFonts w:ascii="Verdana" w:eastAsia="Verdana" w:hAnsi="Verdana" w:cs="Verdana"/>
                <w:i/>
                <w:noProof/>
                <w:color w:val="000000"/>
                <w:sz w:val="18"/>
              </w:rPr>
            </w:pPr>
            <w:r>
              <w:rPr>
                <w:rFonts w:ascii="Verdana" w:eastAsia="Verdana" w:hAnsi="Verdana" w:cs="Verdana"/>
                <w:i/>
                <w:noProof/>
                <w:color w:val="000000"/>
                <w:sz w:val="18"/>
              </w:rPr>
              <w:t>EFSI guarantee</w:t>
            </w:r>
          </w:p>
        </w:tc>
        <w:tc>
          <w:tcPr>
            <w:tcW w:w="1180" w:type="dxa"/>
            <w:tcBorders>
              <w:top w:val="nil"/>
              <w:left w:val="nil"/>
              <w:bottom w:val="nil"/>
              <w:right w:val="nil"/>
              <w:tl2br w:val="nil"/>
              <w:tr2bl w:val="nil"/>
            </w:tcBorders>
            <w:tcMar>
              <w:left w:w="60" w:type="dxa"/>
              <w:right w:w="60" w:type="dxa"/>
            </w:tcMar>
            <w:vAlign w:val="bottom"/>
          </w:tcPr>
          <w:p w14:paraId="1EBED61D"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25 373</w:t>
            </w:r>
          </w:p>
        </w:tc>
        <w:tc>
          <w:tcPr>
            <w:tcW w:w="1175" w:type="dxa"/>
            <w:tcBorders>
              <w:top w:val="nil"/>
              <w:left w:val="nil"/>
              <w:bottom w:val="nil"/>
              <w:right w:val="nil"/>
              <w:tl2br w:val="nil"/>
              <w:tr2bl w:val="nil"/>
            </w:tcBorders>
            <w:tcMar>
              <w:left w:w="60" w:type="dxa"/>
              <w:right w:w="60" w:type="dxa"/>
            </w:tcMar>
            <w:vAlign w:val="bottom"/>
          </w:tcPr>
          <w:p w14:paraId="1A28D225"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22 998</w:t>
            </w:r>
          </w:p>
        </w:tc>
        <w:tc>
          <w:tcPr>
            <w:tcW w:w="1175" w:type="dxa"/>
            <w:tcBorders>
              <w:top w:val="nil"/>
              <w:left w:val="nil"/>
              <w:bottom w:val="nil"/>
              <w:right w:val="nil"/>
              <w:tl2br w:val="nil"/>
              <w:tr2bl w:val="nil"/>
            </w:tcBorders>
            <w:tcMar>
              <w:left w:w="60" w:type="dxa"/>
              <w:right w:w="60" w:type="dxa"/>
            </w:tcMar>
            <w:vAlign w:val="bottom"/>
          </w:tcPr>
          <w:p w14:paraId="2B1288BB"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21 033</w:t>
            </w:r>
          </w:p>
        </w:tc>
        <w:tc>
          <w:tcPr>
            <w:tcW w:w="1335" w:type="dxa"/>
            <w:tcBorders>
              <w:top w:val="nil"/>
              <w:left w:val="nil"/>
              <w:bottom w:val="nil"/>
              <w:right w:val="nil"/>
              <w:tl2br w:val="nil"/>
              <w:tr2bl w:val="nil"/>
            </w:tcBorders>
            <w:tcMar>
              <w:left w:w="60" w:type="dxa"/>
              <w:right w:w="60" w:type="dxa"/>
            </w:tcMar>
            <w:vAlign w:val="bottom"/>
          </w:tcPr>
          <w:p w14:paraId="0114415F" w14:textId="77777777" w:rsidR="00807FFE" w:rsidRDefault="00023E71">
            <w:pPr>
              <w:pStyle w:val="DMETW36639BIPGUARPY"/>
              <w:jc w:val="right"/>
              <w:rPr>
                <w:rFonts w:ascii="Verdana" w:eastAsia="Verdana" w:hAnsi="Verdana" w:cs="Verdana"/>
                <w:i/>
                <w:noProof/>
                <w:color w:val="000000"/>
                <w:sz w:val="18"/>
                <w:lang w:bidi="en-GB"/>
              </w:rPr>
            </w:pPr>
            <w:r>
              <w:rPr>
                <w:rFonts w:ascii="Verdana" w:eastAsia="Verdana" w:hAnsi="Verdana" w:cs="Verdana"/>
                <w:i/>
                <w:noProof/>
                <w:color w:val="000000"/>
                <w:sz w:val="18"/>
              </w:rPr>
              <w:t>8 941</w:t>
            </w:r>
          </w:p>
        </w:tc>
      </w:tr>
      <w:tr w:rsidR="00807FFE" w14:paraId="7EF0DE9C" w14:textId="77777777">
        <w:trPr>
          <w:trHeight w:hRule="exact" w:val="255"/>
        </w:trPr>
        <w:tc>
          <w:tcPr>
            <w:tcW w:w="4893" w:type="dxa"/>
            <w:tcBorders>
              <w:top w:val="nil"/>
              <w:left w:val="nil"/>
              <w:bottom w:val="nil"/>
              <w:right w:val="nil"/>
              <w:tl2br w:val="nil"/>
              <w:tr2bl w:val="nil"/>
            </w:tcBorders>
            <w:tcMar>
              <w:left w:w="60" w:type="dxa"/>
              <w:right w:w="60" w:type="dxa"/>
            </w:tcMar>
            <w:vAlign w:val="center"/>
          </w:tcPr>
          <w:p w14:paraId="3DF3B7AF" w14:textId="77777777" w:rsidR="00807FFE" w:rsidRDefault="00023E71">
            <w:pPr>
              <w:pStyle w:val="DMETW36639BIPGUARPY"/>
              <w:rPr>
                <w:rFonts w:ascii="Verdana" w:eastAsia="Verdana" w:hAnsi="Verdana" w:cs="Verdana"/>
                <w:i/>
                <w:noProof/>
                <w:color w:val="000000"/>
                <w:sz w:val="18"/>
              </w:rPr>
            </w:pPr>
            <w:r>
              <w:rPr>
                <w:rFonts w:ascii="Verdana" w:eastAsia="Verdana" w:hAnsi="Verdana" w:cs="Verdana"/>
                <w:i/>
                <w:noProof/>
                <w:color w:val="000000"/>
                <w:sz w:val="18"/>
              </w:rPr>
              <w:t>EFSD guarantee</w:t>
            </w:r>
          </w:p>
        </w:tc>
        <w:tc>
          <w:tcPr>
            <w:tcW w:w="1180" w:type="dxa"/>
            <w:tcBorders>
              <w:top w:val="nil"/>
              <w:left w:val="nil"/>
              <w:bottom w:val="nil"/>
              <w:right w:val="nil"/>
              <w:tl2br w:val="nil"/>
              <w:tr2bl w:val="nil"/>
            </w:tcBorders>
            <w:tcMar>
              <w:left w:w="60" w:type="dxa"/>
              <w:right w:w="60" w:type="dxa"/>
            </w:tcMar>
            <w:vAlign w:val="bottom"/>
          </w:tcPr>
          <w:p w14:paraId="49DA94A1"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 xml:space="preserve"> 759</w:t>
            </w:r>
          </w:p>
        </w:tc>
        <w:tc>
          <w:tcPr>
            <w:tcW w:w="1175" w:type="dxa"/>
            <w:tcBorders>
              <w:top w:val="nil"/>
              <w:left w:val="nil"/>
              <w:bottom w:val="nil"/>
              <w:right w:val="nil"/>
              <w:tl2br w:val="nil"/>
              <w:tr2bl w:val="nil"/>
            </w:tcBorders>
            <w:tcMar>
              <w:left w:w="60" w:type="dxa"/>
              <w:right w:w="60" w:type="dxa"/>
            </w:tcMar>
            <w:vAlign w:val="bottom"/>
          </w:tcPr>
          <w:p w14:paraId="6184C871"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 xml:space="preserve"> 667</w:t>
            </w:r>
          </w:p>
        </w:tc>
        <w:tc>
          <w:tcPr>
            <w:tcW w:w="1175" w:type="dxa"/>
            <w:tcBorders>
              <w:top w:val="nil"/>
              <w:left w:val="nil"/>
              <w:bottom w:val="nil"/>
              <w:right w:val="nil"/>
              <w:tl2br w:val="nil"/>
              <w:tr2bl w:val="nil"/>
            </w:tcBorders>
            <w:tcMar>
              <w:left w:w="60" w:type="dxa"/>
              <w:right w:w="60" w:type="dxa"/>
            </w:tcMar>
            <w:vAlign w:val="bottom"/>
          </w:tcPr>
          <w:p w14:paraId="3E0A7CBB"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 xml:space="preserve"> 521</w:t>
            </w:r>
          </w:p>
        </w:tc>
        <w:tc>
          <w:tcPr>
            <w:tcW w:w="1335" w:type="dxa"/>
            <w:tcBorders>
              <w:top w:val="nil"/>
              <w:left w:val="nil"/>
              <w:bottom w:val="nil"/>
              <w:right w:val="nil"/>
              <w:tl2br w:val="nil"/>
              <w:tr2bl w:val="nil"/>
            </w:tcBorders>
            <w:tcMar>
              <w:left w:w="60" w:type="dxa"/>
              <w:right w:w="60" w:type="dxa"/>
            </w:tcMar>
            <w:vAlign w:val="bottom"/>
          </w:tcPr>
          <w:p w14:paraId="335FD811" w14:textId="77777777" w:rsidR="00807FFE" w:rsidRDefault="00023E71">
            <w:pPr>
              <w:pStyle w:val="DMETW36639BIPGUARP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785</w:t>
            </w:r>
          </w:p>
        </w:tc>
      </w:tr>
      <w:tr w:rsidR="00807FFE" w14:paraId="390F1F47" w14:textId="77777777">
        <w:trPr>
          <w:trHeight w:hRule="exact" w:val="255"/>
        </w:trPr>
        <w:tc>
          <w:tcPr>
            <w:tcW w:w="4893" w:type="dxa"/>
            <w:tcBorders>
              <w:top w:val="nil"/>
              <w:left w:val="nil"/>
              <w:bottom w:val="nil"/>
              <w:right w:val="nil"/>
              <w:tl2br w:val="nil"/>
              <w:tr2bl w:val="nil"/>
            </w:tcBorders>
            <w:tcMar>
              <w:left w:w="60" w:type="dxa"/>
              <w:right w:w="60" w:type="dxa"/>
            </w:tcMar>
            <w:vAlign w:val="center"/>
          </w:tcPr>
          <w:p w14:paraId="79991016" w14:textId="77777777" w:rsidR="00807FFE" w:rsidRDefault="00023E71">
            <w:pPr>
              <w:pStyle w:val="DMETW36639BIPGUARPY"/>
              <w:rPr>
                <w:rFonts w:ascii="Verdana" w:eastAsia="Verdana" w:hAnsi="Verdana" w:cs="Verdana"/>
                <w:i/>
                <w:noProof/>
                <w:color w:val="000000"/>
                <w:sz w:val="18"/>
              </w:rPr>
            </w:pPr>
            <w:r>
              <w:rPr>
                <w:rFonts w:ascii="Verdana" w:eastAsia="Verdana" w:hAnsi="Verdana" w:cs="Verdana"/>
                <w:i/>
                <w:noProof/>
                <w:color w:val="000000"/>
                <w:sz w:val="18"/>
              </w:rPr>
              <w:t>InvestEU guarantee</w:t>
            </w:r>
          </w:p>
        </w:tc>
        <w:tc>
          <w:tcPr>
            <w:tcW w:w="1180" w:type="dxa"/>
            <w:tcBorders>
              <w:top w:val="nil"/>
              <w:left w:val="nil"/>
              <w:bottom w:val="nil"/>
              <w:right w:val="nil"/>
              <w:tl2br w:val="nil"/>
              <w:tr2bl w:val="nil"/>
            </w:tcBorders>
            <w:tcMar>
              <w:left w:w="60" w:type="dxa"/>
              <w:right w:w="60" w:type="dxa"/>
            </w:tcMar>
            <w:vAlign w:val="bottom"/>
          </w:tcPr>
          <w:p w14:paraId="000B214B"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27 042</w:t>
            </w:r>
          </w:p>
        </w:tc>
        <w:tc>
          <w:tcPr>
            <w:tcW w:w="1175" w:type="dxa"/>
            <w:tcBorders>
              <w:top w:val="nil"/>
              <w:left w:val="nil"/>
              <w:bottom w:val="nil"/>
              <w:right w:val="nil"/>
              <w:tl2br w:val="nil"/>
              <w:tr2bl w:val="nil"/>
            </w:tcBorders>
            <w:tcMar>
              <w:left w:w="60" w:type="dxa"/>
              <w:right w:w="60" w:type="dxa"/>
            </w:tcMar>
            <w:vAlign w:val="bottom"/>
          </w:tcPr>
          <w:p w14:paraId="4608F31E"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11 769</w:t>
            </w:r>
          </w:p>
        </w:tc>
        <w:tc>
          <w:tcPr>
            <w:tcW w:w="1175" w:type="dxa"/>
            <w:tcBorders>
              <w:top w:val="nil"/>
              <w:left w:val="nil"/>
              <w:bottom w:val="nil"/>
              <w:right w:val="nil"/>
              <w:tl2br w:val="nil"/>
              <w:tr2bl w:val="nil"/>
            </w:tcBorders>
            <w:tcMar>
              <w:left w:w="60" w:type="dxa"/>
              <w:right w:w="60" w:type="dxa"/>
            </w:tcMar>
            <w:vAlign w:val="bottom"/>
          </w:tcPr>
          <w:p w14:paraId="60639A91"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3 468</w:t>
            </w:r>
          </w:p>
        </w:tc>
        <w:tc>
          <w:tcPr>
            <w:tcW w:w="1335" w:type="dxa"/>
            <w:tcBorders>
              <w:top w:val="nil"/>
              <w:left w:val="nil"/>
              <w:bottom w:val="nil"/>
              <w:right w:val="nil"/>
              <w:tl2br w:val="nil"/>
              <w:tr2bl w:val="nil"/>
            </w:tcBorders>
            <w:tcMar>
              <w:left w:w="60" w:type="dxa"/>
              <w:right w:w="60" w:type="dxa"/>
            </w:tcMar>
            <w:vAlign w:val="bottom"/>
          </w:tcPr>
          <w:p w14:paraId="682D9DE4" w14:textId="77777777" w:rsidR="00807FFE" w:rsidRDefault="00023E71">
            <w:pPr>
              <w:pStyle w:val="DMETW36639BIPGUARPY"/>
              <w:jc w:val="right"/>
              <w:rPr>
                <w:rFonts w:ascii="Verdana" w:eastAsia="Verdana" w:hAnsi="Verdana" w:cs="Verdana"/>
                <w:i/>
                <w:noProof/>
                <w:color w:val="000000"/>
                <w:sz w:val="18"/>
                <w:lang w:bidi="en-GB"/>
              </w:rPr>
            </w:pPr>
            <w:r>
              <w:rPr>
                <w:rFonts w:ascii="Verdana" w:eastAsia="Verdana" w:hAnsi="Verdana" w:cs="Verdana"/>
                <w:i/>
                <w:noProof/>
                <w:color w:val="000000"/>
                <w:sz w:val="18"/>
              </w:rPr>
              <w:t>6 802</w:t>
            </w:r>
          </w:p>
        </w:tc>
      </w:tr>
      <w:tr w:rsidR="00807FFE" w14:paraId="5349B251" w14:textId="77777777">
        <w:trPr>
          <w:trHeight w:hRule="exact" w:val="255"/>
        </w:trPr>
        <w:tc>
          <w:tcPr>
            <w:tcW w:w="4893" w:type="dxa"/>
            <w:tcBorders>
              <w:top w:val="nil"/>
              <w:left w:val="nil"/>
              <w:bottom w:val="nil"/>
              <w:right w:val="nil"/>
              <w:tl2br w:val="nil"/>
              <w:tr2bl w:val="nil"/>
            </w:tcBorders>
            <w:tcMar>
              <w:left w:w="60" w:type="dxa"/>
              <w:right w:w="60" w:type="dxa"/>
            </w:tcMar>
            <w:vAlign w:val="center"/>
          </w:tcPr>
          <w:p w14:paraId="142FAC68" w14:textId="77777777" w:rsidR="00807FFE" w:rsidRDefault="00023E71">
            <w:pPr>
              <w:pStyle w:val="DMETW36639BIPGUARPY"/>
              <w:rPr>
                <w:rFonts w:ascii="Verdana" w:eastAsia="Verdana" w:hAnsi="Verdana" w:cs="Verdana"/>
                <w:i/>
                <w:noProof/>
                <w:color w:val="000000"/>
                <w:sz w:val="18"/>
              </w:rPr>
            </w:pPr>
            <w:r>
              <w:rPr>
                <w:rFonts w:ascii="Verdana" w:eastAsia="Verdana" w:hAnsi="Verdana" w:cs="Verdana"/>
                <w:i/>
                <w:noProof/>
                <w:color w:val="000000"/>
                <w:sz w:val="18"/>
              </w:rPr>
              <w:t>NDICI external action guarantee</w:t>
            </w:r>
          </w:p>
        </w:tc>
        <w:tc>
          <w:tcPr>
            <w:tcW w:w="1180" w:type="dxa"/>
            <w:tcBorders>
              <w:top w:val="nil"/>
              <w:left w:val="nil"/>
              <w:bottom w:val="nil"/>
              <w:right w:val="nil"/>
              <w:tl2br w:val="nil"/>
              <w:tr2bl w:val="nil"/>
            </w:tcBorders>
            <w:tcMar>
              <w:left w:w="60" w:type="dxa"/>
              <w:right w:w="60" w:type="dxa"/>
            </w:tcMar>
            <w:vAlign w:val="bottom"/>
          </w:tcPr>
          <w:p w14:paraId="03F5BB72"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30 173</w:t>
            </w:r>
          </w:p>
        </w:tc>
        <w:tc>
          <w:tcPr>
            <w:tcW w:w="1175" w:type="dxa"/>
            <w:tcBorders>
              <w:top w:val="nil"/>
              <w:left w:val="nil"/>
              <w:bottom w:val="nil"/>
              <w:right w:val="nil"/>
              <w:tl2br w:val="nil"/>
              <w:tr2bl w:val="nil"/>
            </w:tcBorders>
            <w:tcMar>
              <w:left w:w="60" w:type="dxa"/>
              <w:right w:w="60" w:type="dxa"/>
            </w:tcMar>
            <w:vAlign w:val="bottom"/>
          </w:tcPr>
          <w:p w14:paraId="0524B798"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11 228</w:t>
            </w:r>
          </w:p>
        </w:tc>
        <w:tc>
          <w:tcPr>
            <w:tcW w:w="1175" w:type="dxa"/>
            <w:tcBorders>
              <w:top w:val="nil"/>
              <w:left w:val="nil"/>
              <w:bottom w:val="nil"/>
              <w:right w:val="nil"/>
              <w:tl2br w:val="nil"/>
              <w:tr2bl w:val="nil"/>
            </w:tcBorders>
            <w:tcMar>
              <w:left w:w="60" w:type="dxa"/>
              <w:right w:w="60" w:type="dxa"/>
            </w:tcMar>
            <w:vAlign w:val="bottom"/>
          </w:tcPr>
          <w:p w14:paraId="6CA3F804"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1 341</w:t>
            </w:r>
          </w:p>
        </w:tc>
        <w:tc>
          <w:tcPr>
            <w:tcW w:w="1335" w:type="dxa"/>
            <w:tcBorders>
              <w:top w:val="nil"/>
              <w:left w:val="nil"/>
              <w:bottom w:val="nil"/>
              <w:right w:val="nil"/>
              <w:tl2br w:val="nil"/>
              <w:tr2bl w:val="nil"/>
            </w:tcBorders>
            <w:tcMar>
              <w:left w:w="60" w:type="dxa"/>
              <w:right w:w="60" w:type="dxa"/>
            </w:tcMar>
            <w:vAlign w:val="bottom"/>
          </w:tcPr>
          <w:p w14:paraId="696E9B53" w14:textId="77777777" w:rsidR="00807FFE" w:rsidRDefault="00023E71">
            <w:pPr>
              <w:pStyle w:val="DMETW36639BIPGUARPY"/>
              <w:jc w:val="right"/>
              <w:rPr>
                <w:rFonts w:ascii="Verdana" w:eastAsia="Verdana" w:hAnsi="Verdana" w:cs="Verdana"/>
                <w:i/>
                <w:noProof/>
                <w:color w:val="000000"/>
                <w:sz w:val="18"/>
                <w:lang w:bidi="en-GB"/>
              </w:rPr>
            </w:pPr>
            <w:r>
              <w:rPr>
                <w:rFonts w:ascii="Verdana" w:eastAsia="Verdana" w:hAnsi="Verdana" w:cs="Verdana"/>
                <w:i/>
                <w:noProof/>
                <w:color w:val="000000"/>
                <w:sz w:val="18"/>
              </w:rPr>
              <w:t>2 943</w:t>
            </w:r>
          </w:p>
        </w:tc>
      </w:tr>
      <w:tr w:rsidR="00807FFE" w14:paraId="7FAD0D41" w14:textId="77777777">
        <w:trPr>
          <w:trHeight w:hRule="exact" w:val="255"/>
        </w:trPr>
        <w:tc>
          <w:tcPr>
            <w:tcW w:w="4893" w:type="dxa"/>
            <w:tcBorders>
              <w:top w:val="nil"/>
              <w:left w:val="nil"/>
              <w:bottom w:val="nil"/>
              <w:right w:val="nil"/>
              <w:tl2br w:val="nil"/>
              <w:tr2bl w:val="nil"/>
            </w:tcBorders>
            <w:tcMar>
              <w:left w:w="60" w:type="dxa"/>
              <w:right w:w="60" w:type="dxa"/>
            </w:tcMar>
            <w:vAlign w:val="center"/>
          </w:tcPr>
          <w:p w14:paraId="4D4AAE3C" w14:textId="77777777" w:rsidR="00807FFE" w:rsidRDefault="00023E71">
            <w:pPr>
              <w:pStyle w:val="DMETW36639BIPGUARPY"/>
              <w:rPr>
                <w:rFonts w:ascii="Verdana" w:eastAsia="Verdana" w:hAnsi="Verdana" w:cs="Verdana"/>
                <w:i/>
                <w:noProof/>
                <w:color w:val="000000"/>
                <w:sz w:val="18"/>
              </w:rPr>
            </w:pPr>
            <w:r>
              <w:rPr>
                <w:rFonts w:ascii="Verdana" w:eastAsia="Verdana" w:hAnsi="Verdana" w:cs="Verdana"/>
                <w:i/>
                <w:noProof/>
                <w:color w:val="000000"/>
                <w:sz w:val="18"/>
              </w:rPr>
              <w:t>Ukraine Guarantee</w:t>
            </w:r>
          </w:p>
        </w:tc>
        <w:tc>
          <w:tcPr>
            <w:tcW w:w="1180" w:type="dxa"/>
            <w:tcBorders>
              <w:top w:val="nil"/>
              <w:left w:val="nil"/>
              <w:bottom w:val="nil"/>
              <w:right w:val="nil"/>
              <w:tl2br w:val="nil"/>
              <w:tr2bl w:val="nil"/>
            </w:tcBorders>
            <w:tcMar>
              <w:left w:w="60" w:type="dxa"/>
              <w:right w:w="60" w:type="dxa"/>
            </w:tcMar>
            <w:vAlign w:val="bottom"/>
          </w:tcPr>
          <w:p w14:paraId="450B0159"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 xml:space="preserve"> 790</w:t>
            </w:r>
          </w:p>
        </w:tc>
        <w:tc>
          <w:tcPr>
            <w:tcW w:w="1175" w:type="dxa"/>
            <w:tcBorders>
              <w:top w:val="nil"/>
              <w:left w:val="nil"/>
              <w:bottom w:val="nil"/>
              <w:right w:val="nil"/>
              <w:tl2br w:val="nil"/>
              <w:tr2bl w:val="nil"/>
            </w:tcBorders>
            <w:tcMar>
              <w:left w:w="60" w:type="dxa"/>
              <w:right w:w="60" w:type="dxa"/>
            </w:tcMar>
            <w:vAlign w:val="bottom"/>
          </w:tcPr>
          <w:p w14:paraId="523F8D18"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 xml:space="preserve"> 172</w:t>
            </w:r>
          </w:p>
        </w:tc>
        <w:tc>
          <w:tcPr>
            <w:tcW w:w="1175" w:type="dxa"/>
            <w:tcBorders>
              <w:top w:val="nil"/>
              <w:left w:val="nil"/>
              <w:bottom w:val="nil"/>
              <w:right w:val="nil"/>
              <w:tl2br w:val="nil"/>
              <w:tr2bl w:val="nil"/>
            </w:tcBorders>
            <w:tcMar>
              <w:left w:w="60" w:type="dxa"/>
              <w:right w:w="60" w:type="dxa"/>
            </w:tcMar>
            <w:vAlign w:val="bottom"/>
          </w:tcPr>
          <w:p w14:paraId="6B14C2C9" w14:textId="77777777" w:rsidR="00807FFE" w:rsidRDefault="00023E71">
            <w:pPr>
              <w:pStyle w:val="DMETW36639BIPGUARPY"/>
              <w:jc w:val="right"/>
              <w:rPr>
                <w:rFonts w:ascii="Verdana" w:eastAsia="Verdana" w:hAnsi="Verdana" w:cs="Verdana"/>
                <w:i/>
                <w:noProof/>
                <w:color w:val="000000"/>
                <w:sz w:val="18"/>
              </w:rPr>
            </w:pPr>
            <w:r>
              <w:rPr>
                <w:rFonts w:ascii="Verdana" w:eastAsia="Verdana" w:hAnsi="Verdana" w:cs="Verdana"/>
                <w:i/>
                <w:noProof/>
                <w:color w:val="000000"/>
                <w:sz w:val="18"/>
              </w:rPr>
              <w:t xml:space="preserve"> 132</w:t>
            </w:r>
          </w:p>
        </w:tc>
        <w:tc>
          <w:tcPr>
            <w:tcW w:w="1335" w:type="dxa"/>
            <w:tcBorders>
              <w:top w:val="nil"/>
              <w:left w:val="nil"/>
              <w:bottom w:val="nil"/>
              <w:right w:val="nil"/>
              <w:tl2br w:val="nil"/>
              <w:tr2bl w:val="nil"/>
            </w:tcBorders>
            <w:tcMar>
              <w:left w:w="60" w:type="dxa"/>
              <w:right w:w="60" w:type="dxa"/>
            </w:tcMar>
            <w:vAlign w:val="bottom"/>
          </w:tcPr>
          <w:p w14:paraId="16817688" w14:textId="77777777" w:rsidR="00807FFE" w:rsidRDefault="00023E71">
            <w:pPr>
              <w:pStyle w:val="DMETW36639BIPGUARP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202</w:t>
            </w:r>
          </w:p>
        </w:tc>
      </w:tr>
      <w:tr w:rsidR="00807FFE" w14:paraId="3A42456C" w14:textId="77777777">
        <w:trPr>
          <w:trHeight w:hRule="exact" w:val="250"/>
        </w:trPr>
        <w:tc>
          <w:tcPr>
            <w:tcW w:w="4893" w:type="dxa"/>
            <w:tcBorders>
              <w:top w:val="nil"/>
              <w:left w:val="nil"/>
              <w:bottom w:val="nil"/>
              <w:right w:val="nil"/>
              <w:tl2br w:val="nil"/>
              <w:tr2bl w:val="nil"/>
            </w:tcBorders>
            <w:shd w:val="solid" w:color="CCE1EA" w:fill="FFFFFF"/>
            <w:tcMar>
              <w:left w:w="60" w:type="dxa"/>
              <w:right w:w="60" w:type="dxa"/>
            </w:tcMar>
            <w:vAlign w:val="center"/>
          </w:tcPr>
          <w:p w14:paraId="2CE26C41" w14:textId="77777777" w:rsidR="00807FFE" w:rsidRDefault="00023E71">
            <w:pPr>
              <w:pStyle w:val="DMETW36639BIPGUARPY"/>
              <w:rPr>
                <w:rFonts w:ascii="Verdana" w:eastAsia="Verdana" w:hAnsi="Verdana" w:cs="Verdana"/>
                <w:b/>
                <w:noProof/>
                <w:color w:val="000000"/>
                <w:sz w:val="18"/>
              </w:rPr>
            </w:pPr>
            <w:r>
              <w:rPr>
                <w:rFonts w:ascii="Verdana" w:eastAsia="Verdana" w:hAnsi="Verdana" w:cs="Verdana"/>
                <w:b/>
                <w:noProof/>
                <w:color w:val="000000"/>
                <w:sz w:val="18"/>
              </w:rPr>
              <w:t>Total</w:t>
            </w:r>
          </w:p>
        </w:tc>
        <w:tc>
          <w:tcPr>
            <w:tcW w:w="1180" w:type="dxa"/>
            <w:tcBorders>
              <w:top w:val="nil"/>
              <w:left w:val="nil"/>
              <w:bottom w:val="nil"/>
              <w:right w:val="nil"/>
              <w:tl2br w:val="nil"/>
              <w:tr2bl w:val="nil"/>
            </w:tcBorders>
            <w:shd w:val="solid" w:color="CCE1EA" w:fill="FFFFFF"/>
            <w:tcMar>
              <w:left w:w="60" w:type="dxa"/>
              <w:right w:w="60" w:type="dxa"/>
            </w:tcMar>
            <w:vAlign w:val="center"/>
          </w:tcPr>
          <w:p w14:paraId="055FB3FD" w14:textId="77777777" w:rsidR="00807FFE" w:rsidRDefault="00023E71">
            <w:pPr>
              <w:pStyle w:val="DMETW36639BIPGUARPY"/>
              <w:jc w:val="right"/>
              <w:rPr>
                <w:rFonts w:ascii="Verdana" w:eastAsia="Verdana" w:hAnsi="Verdana" w:cs="Verdana"/>
                <w:b/>
                <w:noProof/>
                <w:color w:val="000000"/>
                <w:sz w:val="18"/>
              </w:rPr>
            </w:pPr>
            <w:r>
              <w:rPr>
                <w:rFonts w:ascii="Verdana" w:eastAsia="Verdana" w:hAnsi="Verdana" w:cs="Verdana"/>
                <w:b/>
                <w:noProof/>
                <w:color w:val="000000"/>
                <w:sz w:val="18"/>
              </w:rPr>
              <w:t>109 909</w:t>
            </w:r>
          </w:p>
        </w:tc>
        <w:tc>
          <w:tcPr>
            <w:tcW w:w="1175" w:type="dxa"/>
            <w:tcBorders>
              <w:top w:val="nil"/>
              <w:left w:val="nil"/>
              <w:bottom w:val="nil"/>
              <w:right w:val="nil"/>
              <w:tl2br w:val="nil"/>
              <w:tr2bl w:val="nil"/>
            </w:tcBorders>
            <w:shd w:val="solid" w:color="CCE1EA" w:fill="FFFFFF"/>
            <w:tcMar>
              <w:left w:w="60" w:type="dxa"/>
              <w:right w:w="60" w:type="dxa"/>
            </w:tcMar>
            <w:vAlign w:val="center"/>
          </w:tcPr>
          <w:p w14:paraId="43889121" w14:textId="77777777" w:rsidR="00807FFE" w:rsidRDefault="00023E71">
            <w:pPr>
              <w:pStyle w:val="DMETW36639BIPGUARPY"/>
              <w:jc w:val="right"/>
              <w:rPr>
                <w:rFonts w:ascii="Verdana" w:eastAsia="Verdana" w:hAnsi="Verdana" w:cs="Verdana"/>
                <w:b/>
                <w:noProof/>
                <w:color w:val="000000"/>
                <w:sz w:val="18"/>
              </w:rPr>
            </w:pPr>
            <w:r>
              <w:rPr>
                <w:rFonts w:ascii="Verdana" w:eastAsia="Verdana" w:hAnsi="Verdana" w:cs="Verdana"/>
                <w:b/>
                <w:noProof/>
                <w:color w:val="000000"/>
                <w:sz w:val="18"/>
              </w:rPr>
              <w:t>72 606</w:t>
            </w:r>
          </w:p>
        </w:tc>
        <w:tc>
          <w:tcPr>
            <w:tcW w:w="1175" w:type="dxa"/>
            <w:tcBorders>
              <w:top w:val="nil"/>
              <w:left w:val="nil"/>
              <w:bottom w:val="nil"/>
              <w:right w:val="nil"/>
              <w:tl2br w:val="nil"/>
              <w:tr2bl w:val="nil"/>
            </w:tcBorders>
            <w:shd w:val="solid" w:color="CCE1EA" w:fill="FFFFFF"/>
            <w:tcMar>
              <w:left w:w="60" w:type="dxa"/>
              <w:right w:w="60" w:type="dxa"/>
            </w:tcMar>
            <w:vAlign w:val="center"/>
          </w:tcPr>
          <w:p w14:paraId="69347CDF" w14:textId="77777777" w:rsidR="00807FFE" w:rsidRDefault="00023E71">
            <w:pPr>
              <w:pStyle w:val="DMETW36639BIPGUARPY"/>
              <w:jc w:val="right"/>
              <w:rPr>
                <w:rFonts w:ascii="Verdana" w:eastAsia="Verdana" w:hAnsi="Verdana" w:cs="Verdana"/>
                <w:b/>
                <w:noProof/>
                <w:color w:val="000000"/>
                <w:sz w:val="18"/>
              </w:rPr>
            </w:pPr>
            <w:r>
              <w:rPr>
                <w:rFonts w:ascii="Verdana" w:eastAsia="Verdana" w:hAnsi="Verdana" w:cs="Verdana"/>
                <w:b/>
                <w:noProof/>
                <w:color w:val="000000"/>
                <w:sz w:val="18"/>
              </w:rPr>
              <w:t>45 678</w:t>
            </w:r>
          </w:p>
        </w:tc>
        <w:tc>
          <w:tcPr>
            <w:tcW w:w="1335" w:type="dxa"/>
            <w:tcBorders>
              <w:top w:val="nil"/>
              <w:left w:val="nil"/>
              <w:bottom w:val="nil"/>
              <w:right w:val="nil"/>
              <w:tl2br w:val="nil"/>
              <w:tr2bl w:val="nil"/>
            </w:tcBorders>
            <w:shd w:val="solid" w:color="CCE1EA" w:fill="FFFFFF"/>
            <w:tcMar>
              <w:left w:w="60" w:type="dxa"/>
              <w:right w:w="60" w:type="dxa"/>
            </w:tcMar>
            <w:vAlign w:val="center"/>
          </w:tcPr>
          <w:p w14:paraId="1DA767B5" w14:textId="77777777" w:rsidR="00807FFE" w:rsidRDefault="00023E71">
            <w:pPr>
              <w:pStyle w:val="DMETW36639BIPGUARPY"/>
              <w:jc w:val="right"/>
              <w:rPr>
                <w:rFonts w:ascii="Verdana" w:eastAsia="Verdana" w:hAnsi="Verdana" w:cs="Verdana"/>
                <w:b/>
                <w:noProof/>
                <w:color w:val="000000"/>
                <w:sz w:val="18"/>
              </w:rPr>
            </w:pPr>
            <w:r>
              <w:rPr>
                <w:rFonts w:ascii="Verdana" w:eastAsia="Verdana" w:hAnsi="Verdana" w:cs="Verdana"/>
                <w:b/>
                <w:noProof/>
                <w:color w:val="000000"/>
                <w:sz w:val="18"/>
              </w:rPr>
              <w:t>23 073</w:t>
            </w:r>
          </w:p>
        </w:tc>
      </w:tr>
    </w:tbl>
    <w:p w14:paraId="1B6E22B1" w14:textId="77777777" w:rsidR="003E13FD" w:rsidRPr="00D56303" w:rsidRDefault="00023E71" w:rsidP="005F633C">
      <w:pPr>
        <w:pStyle w:val="Textstand-alone"/>
        <w:spacing w:before="120"/>
        <w:ind w:left="113" w:hanging="113"/>
        <w:jc w:val="left"/>
      </w:pPr>
      <w:r w:rsidRPr="00F60ECA">
        <w:rPr>
          <w:i/>
          <w:sz w:val="14"/>
          <w:vertAlign w:val="superscript"/>
        </w:rPr>
        <w:t>*</w:t>
      </w:r>
      <w:r w:rsidRPr="00863372">
        <w:rPr>
          <w:i/>
          <w:sz w:val="14"/>
        </w:rPr>
        <w:t xml:space="preserve"> </w:t>
      </w:r>
      <w:bookmarkStart w:id="207" w:name="_Hlk168047318"/>
      <w:r w:rsidRPr="00863372">
        <w:rPr>
          <w:i/>
          <w:sz w:val="14"/>
        </w:rPr>
        <w:t xml:space="preserve">The EUR </w:t>
      </w:r>
      <w:r>
        <w:rPr>
          <w:i/>
          <w:sz w:val="14"/>
        </w:rPr>
        <w:t>3.</w:t>
      </w:r>
      <w:r w:rsidR="003E0F15">
        <w:rPr>
          <w:i/>
          <w:sz w:val="14"/>
        </w:rPr>
        <w:t>4</w:t>
      </w:r>
      <w:r w:rsidRPr="00863372">
        <w:rPr>
          <w:i/>
          <w:sz w:val="14"/>
        </w:rPr>
        <w:t xml:space="preserve"> </w:t>
      </w:r>
      <w:r>
        <w:rPr>
          <w:i/>
          <w:sz w:val="14"/>
        </w:rPr>
        <w:t>b</w:t>
      </w:r>
      <w:r w:rsidR="00FA6E2D">
        <w:rPr>
          <w:i/>
          <w:sz w:val="14"/>
        </w:rPr>
        <w:t>illio</w:t>
      </w:r>
      <w:r>
        <w:rPr>
          <w:i/>
          <w:sz w:val="14"/>
        </w:rPr>
        <w:t>n</w:t>
      </w:r>
      <w:r w:rsidRPr="00863372">
        <w:rPr>
          <w:i/>
          <w:sz w:val="14"/>
        </w:rPr>
        <w:t xml:space="preserve"> of assets provisioned for the EIB </w:t>
      </w:r>
      <w:r>
        <w:rPr>
          <w:i/>
          <w:sz w:val="14"/>
        </w:rPr>
        <w:t>ELM</w:t>
      </w:r>
      <w:r w:rsidRPr="00863372">
        <w:rPr>
          <w:i/>
          <w:sz w:val="14"/>
        </w:rPr>
        <w:t xml:space="preserve"> guarantee</w:t>
      </w:r>
      <w:r w:rsidR="00FA6E2D">
        <w:rPr>
          <w:i/>
          <w:sz w:val="14"/>
        </w:rPr>
        <w:t>s</w:t>
      </w:r>
      <w:r w:rsidRPr="00863372">
        <w:rPr>
          <w:i/>
          <w:sz w:val="14"/>
        </w:rPr>
        <w:t xml:space="preserve"> also cover </w:t>
      </w:r>
      <w:r w:rsidR="00180CF1">
        <w:rPr>
          <w:i/>
          <w:sz w:val="14"/>
        </w:rPr>
        <w:t xml:space="preserve">loans and related </w:t>
      </w:r>
      <w:r w:rsidRPr="00863372">
        <w:rPr>
          <w:i/>
          <w:sz w:val="14"/>
        </w:rPr>
        <w:t xml:space="preserve">borrowings under </w:t>
      </w:r>
      <w:r w:rsidR="00634BFF">
        <w:rPr>
          <w:i/>
          <w:sz w:val="14"/>
        </w:rPr>
        <w:t xml:space="preserve">legacy </w:t>
      </w:r>
      <w:r w:rsidRPr="00863372">
        <w:rPr>
          <w:i/>
          <w:sz w:val="14"/>
        </w:rPr>
        <w:t>MFA and</w:t>
      </w:r>
      <w:r>
        <w:rPr>
          <w:i/>
          <w:sz w:val="14"/>
        </w:rPr>
        <w:t xml:space="preserve"> </w:t>
      </w:r>
      <w:r w:rsidRPr="00D56303">
        <w:rPr>
          <w:i/>
          <w:sz w:val="14"/>
        </w:rPr>
        <w:t xml:space="preserve">Euratom (see </w:t>
      </w:r>
      <w:r>
        <w:rPr>
          <w:i/>
          <w:sz w:val="14"/>
        </w:rPr>
        <w:t>N</w:t>
      </w:r>
      <w:r w:rsidRPr="00D56303">
        <w:rPr>
          <w:i/>
          <w:sz w:val="14"/>
        </w:rPr>
        <w:t xml:space="preserve">ote </w:t>
      </w:r>
      <w:r w:rsidR="00180CF1" w:rsidRPr="00D56303">
        <w:rPr>
          <w:i/>
          <w:sz w:val="14"/>
        </w:rPr>
        <w:t>2.4.1.1</w:t>
      </w:r>
      <w:bookmarkEnd w:id="207"/>
      <w:r w:rsidRPr="00D56303">
        <w:rPr>
          <w:i/>
          <w:sz w:val="14"/>
        </w:rPr>
        <w:t>).</w:t>
      </w:r>
    </w:p>
    <w:p w14:paraId="6B35ADB3" w14:textId="77777777" w:rsidR="007609ED" w:rsidRPr="00D56303" w:rsidRDefault="00023E71" w:rsidP="00375B7F">
      <w:pPr>
        <w:pStyle w:val="DGTextstand-alone"/>
      </w:pPr>
      <w:r w:rsidRPr="00D56303">
        <w:t xml:space="preserve">The </w:t>
      </w:r>
      <w:r w:rsidR="00375B7F" w:rsidRPr="00D56303">
        <w:t>above table</w:t>
      </w:r>
      <w:r w:rsidRPr="00D56303">
        <w:t>s</w:t>
      </w:r>
      <w:r w:rsidR="00375B7F" w:rsidRPr="00D56303">
        <w:t xml:space="preserve"> show the extent of the exposure of the EU budget to possible future payments linked to guarantees given to the EIB group or other financial institutions. Disbursed amounts represent the amounts already given to final beneficiaries, while signed amounts include these disbursed monies plus agreements already signed with beneficiaries or financial intermedia</w:t>
      </w:r>
      <w:r w:rsidR="00CF1E3D" w:rsidRPr="00D56303">
        <w:t xml:space="preserve">ries but not yet disbursed </w:t>
      </w:r>
      <w:r w:rsidR="00FA6E2D" w:rsidRPr="00D56303">
        <w:t xml:space="preserve">at year-end </w:t>
      </w:r>
      <w:r w:rsidR="00CF1E3D" w:rsidRPr="00D56303">
        <w:t>(EUR </w:t>
      </w:r>
      <w:r>
        <w:t>30.2</w:t>
      </w:r>
      <w:r w:rsidR="00180CF1" w:rsidRPr="00D56303">
        <w:t xml:space="preserve"> billion</w:t>
      </w:r>
      <w:r w:rsidR="00375B7F" w:rsidRPr="00D56303">
        <w:t>). The ceiling represents the total guarantee that the EU budget, and thus its Member States, have committed to cover, since in order to disclose the maximum</w:t>
      </w:r>
      <w:r w:rsidR="00CF1E3D" w:rsidRPr="00D56303">
        <w:t xml:space="preserve"> exposure faced by the EU at 31 </w:t>
      </w:r>
      <w:r w:rsidR="00375B7F" w:rsidRPr="00D56303">
        <w:t>December</w:t>
      </w:r>
      <w:r w:rsidR="00CF1E3D" w:rsidRPr="00D56303">
        <w:t> </w:t>
      </w:r>
      <w:r w:rsidR="00375B7F" w:rsidRPr="00D56303">
        <w:t>202</w:t>
      </w:r>
      <w:r>
        <w:t>5</w:t>
      </w:r>
      <w:r w:rsidR="00375B7F" w:rsidRPr="00D56303">
        <w:t>, operations authorised to be s</w:t>
      </w:r>
      <w:r w:rsidR="00CF1E3D" w:rsidRPr="00D56303">
        <w:t>igned but not yet signed (EUR </w:t>
      </w:r>
      <w:r w:rsidRPr="00D56303">
        <w:t>3</w:t>
      </w:r>
      <w:r>
        <w:t>5</w:t>
      </w:r>
      <w:r w:rsidR="00806F5B">
        <w:t>.0</w:t>
      </w:r>
      <w:r w:rsidR="00180CF1" w:rsidRPr="00D56303">
        <w:t xml:space="preserve"> billion</w:t>
      </w:r>
      <w:r w:rsidR="00375B7F" w:rsidRPr="00D56303">
        <w:t>)</w:t>
      </w:r>
      <w:r w:rsidR="0058789F" w:rsidRPr="00D56303">
        <w:t xml:space="preserve"> must be included</w:t>
      </w:r>
      <w:r w:rsidR="00375B7F" w:rsidRPr="00D56303">
        <w:t>.</w:t>
      </w:r>
    </w:p>
    <w:p w14:paraId="05559E39" w14:textId="77777777" w:rsidR="000A309C" w:rsidRDefault="00023E71" w:rsidP="00375B7F">
      <w:pPr>
        <w:pStyle w:val="DGTextstand-alone"/>
      </w:pPr>
      <w:r w:rsidRPr="00D56303">
        <w:t xml:space="preserve">Budgetary guarantee programmes are backed by provisions gradually </w:t>
      </w:r>
      <w:r w:rsidR="00FA6E2D" w:rsidRPr="00D56303">
        <w:t>built up</w:t>
      </w:r>
      <w:r w:rsidRPr="00D56303">
        <w:t xml:space="preserve"> from the budget and kept in the CPF</w:t>
      </w:r>
      <w:r w:rsidR="00202D4B" w:rsidRPr="00D56303">
        <w:t xml:space="preserve"> as a liquidity cushion to cover future guarantee calls (see </w:t>
      </w:r>
      <w:r>
        <w:t>N</w:t>
      </w:r>
      <w:r w:rsidR="00202D4B" w:rsidRPr="00D56303">
        <w:t xml:space="preserve">ote </w:t>
      </w:r>
      <w:r w:rsidR="00202D4B" w:rsidRPr="00D56303">
        <w:rPr>
          <w:b/>
        </w:rPr>
        <w:t>2.4.2.1</w:t>
      </w:r>
      <w:r w:rsidR="00202D4B" w:rsidRPr="00D56303">
        <w:t>)</w:t>
      </w:r>
      <w:r w:rsidRPr="00D56303">
        <w:t xml:space="preserve">. </w:t>
      </w:r>
      <w:r w:rsidR="001A1D16" w:rsidRPr="00D56303">
        <w:t xml:space="preserve">Please </w:t>
      </w:r>
      <w:r w:rsidR="00DA092A">
        <w:t>refer to</w:t>
      </w:r>
      <w:r w:rsidR="001A1D16" w:rsidRPr="00D56303">
        <w:t xml:space="preserve"> </w:t>
      </w:r>
      <w:r>
        <w:t>N</w:t>
      </w:r>
      <w:r w:rsidR="001A1D16" w:rsidRPr="00D56303">
        <w:t xml:space="preserve">ote </w:t>
      </w:r>
      <w:r w:rsidR="001A1D16" w:rsidRPr="00D56303">
        <w:rPr>
          <w:b/>
        </w:rPr>
        <w:t>6.2</w:t>
      </w:r>
      <w:r w:rsidR="00EE3F75" w:rsidRPr="00D56303">
        <w:t xml:space="preserve"> for </w:t>
      </w:r>
      <w:r w:rsidR="001A1D16" w:rsidRPr="00D56303">
        <w:t>the measures put in place to ensure that the provisioning is suffic</w:t>
      </w:r>
      <w:r>
        <w:t>i</w:t>
      </w:r>
      <w:r w:rsidR="001A1D16" w:rsidRPr="00D56303">
        <w:t xml:space="preserve">ent to cover the guarantee calls in </w:t>
      </w:r>
      <w:r w:rsidR="00EE3F75" w:rsidRPr="00D56303">
        <w:t xml:space="preserve">the </w:t>
      </w:r>
      <w:r w:rsidR="001A1D16" w:rsidRPr="00D56303">
        <w:t>medium term. Any losses incurred under the budg</w:t>
      </w:r>
      <w:r w:rsidR="0058789F" w:rsidRPr="00D56303">
        <w:t>e</w:t>
      </w:r>
      <w:r w:rsidR="001A1D16" w:rsidRPr="00D56303">
        <w:t>t</w:t>
      </w:r>
      <w:r w:rsidR="0058789F" w:rsidRPr="00D56303">
        <w:t>a</w:t>
      </w:r>
      <w:r w:rsidR="001A1D16" w:rsidRPr="00D56303">
        <w:t>ry guarantee programmes</w:t>
      </w:r>
      <w:r w:rsidR="0058789F" w:rsidRPr="00D56303">
        <w:t>,</w:t>
      </w:r>
      <w:r w:rsidR="001A1D16" w:rsidRPr="00D56303">
        <w:t xml:space="preserve"> above the provisioning set aside</w:t>
      </w:r>
      <w:r w:rsidR="0058789F" w:rsidRPr="00D56303">
        <w:t>,</w:t>
      </w:r>
      <w:r w:rsidR="001A1D16" w:rsidRPr="00D56303">
        <w:t xml:space="preserve"> would need in any case to be covered by future budgets. </w:t>
      </w:r>
      <w:r w:rsidR="00267521" w:rsidRPr="00D56303">
        <w:t xml:space="preserve">For </w:t>
      </w:r>
      <w:r>
        <w:t xml:space="preserve">the </w:t>
      </w:r>
      <w:r w:rsidR="00267521" w:rsidRPr="00D56303">
        <w:t>InvestEU Member State compartment, the EU also receive</w:t>
      </w:r>
      <w:r w:rsidR="00715C62" w:rsidRPr="00D56303">
        <w:t>s</w:t>
      </w:r>
      <w:r w:rsidR="00267521" w:rsidRPr="00D56303">
        <w:t xml:space="preserve"> </w:t>
      </w:r>
      <w:r w:rsidR="00715C62" w:rsidRPr="00D56303">
        <w:t xml:space="preserve">counter </w:t>
      </w:r>
      <w:r w:rsidR="00267521" w:rsidRPr="00D56303">
        <w:t>guarantees from the Member</w:t>
      </w:r>
      <w:r w:rsidR="00267521" w:rsidRPr="00254799">
        <w:t xml:space="preserve"> States</w:t>
      </w:r>
      <w:r w:rsidR="00715C62" w:rsidRPr="00254799">
        <w:t xml:space="preserve"> and EEA c</w:t>
      </w:r>
      <w:r w:rsidRPr="00254799">
        <w:t>o</w:t>
      </w:r>
      <w:r w:rsidR="00715C62" w:rsidRPr="00254799">
        <w:t>untries (see below).</w:t>
      </w:r>
    </w:p>
    <w:p w14:paraId="40A39D4A" w14:textId="77777777" w:rsidR="007609ED" w:rsidRPr="007C3F94" w:rsidRDefault="00023E71" w:rsidP="00375B7F">
      <w:pPr>
        <w:pStyle w:val="HEADER5"/>
        <w:rPr>
          <w:noProof/>
        </w:rPr>
      </w:pPr>
      <w:r w:rsidRPr="007C3F94">
        <w:rPr>
          <w:noProof/>
        </w:rPr>
        <w:t xml:space="preserve">EIB </w:t>
      </w:r>
      <w:r>
        <w:rPr>
          <w:noProof/>
        </w:rPr>
        <w:t>ELM</w:t>
      </w:r>
      <w:r w:rsidRPr="007C3F94">
        <w:rPr>
          <w:noProof/>
        </w:rPr>
        <w:t xml:space="preserve"> guarantees</w:t>
      </w:r>
    </w:p>
    <w:p w14:paraId="5FD5FCA4" w14:textId="77777777" w:rsidR="00FD683F" w:rsidRPr="00F50788" w:rsidRDefault="00023E71" w:rsidP="00FD683F">
      <w:pPr>
        <w:pStyle w:val="DGTextstand-alone"/>
      </w:pPr>
      <w:r w:rsidRPr="00F50788">
        <w:t>The EU budget guarantees loans signed and granted by the EIB from the EIB's own resources to third countries. At 31 December 202</w:t>
      </w:r>
      <w:r w:rsidR="00210C97" w:rsidRPr="00F50788">
        <w:t>5</w:t>
      </w:r>
      <w:r w:rsidRPr="00F50788">
        <w:t xml:space="preserve"> the amount of loans outstanding and covered by the EU guarantee totalled EUR </w:t>
      </w:r>
      <w:r w:rsidR="00DE01A2" w:rsidRPr="00F50788">
        <w:t>16 826</w:t>
      </w:r>
      <w:r w:rsidRPr="00F50788">
        <w:t> million. The EU budget guarantees:</w:t>
      </w:r>
    </w:p>
    <w:p w14:paraId="2F4A1AD6" w14:textId="77777777" w:rsidR="00FD683F" w:rsidRPr="00F50788" w:rsidRDefault="00023E71" w:rsidP="003D08C7">
      <w:pPr>
        <w:pStyle w:val="DGTextstand-alonedashesjustified"/>
      </w:pPr>
      <w:r w:rsidRPr="00F50788">
        <w:t>EUR </w:t>
      </w:r>
      <w:r w:rsidR="00DE01A2" w:rsidRPr="00F50788">
        <w:t>16 680</w:t>
      </w:r>
      <w:r w:rsidRPr="00F50788">
        <w:t> million via the Guarantee Fund for external actions compartment of the CPF; and</w:t>
      </w:r>
    </w:p>
    <w:p w14:paraId="48F455DD" w14:textId="77777777" w:rsidR="00FD683F" w:rsidRDefault="00023E71" w:rsidP="003D08C7">
      <w:pPr>
        <w:pStyle w:val="DGTextstand-alonedashesjustified"/>
      </w:pPr>
      <w:r w:rsidRPr="00F50788">
        <w:t>EUR </w:t>
      </w:r>
      <w:r w:rsidR="00DE01A2" w:rsidRPr="00F50788">
        <w:t>146</w:t>
      </w:r>
      <w:r w:rsidRPr="00F50788">
        <w:t xml:space="preserve"> million directly for loans granted to Member States before accession.</w:t>
      </w:r>
    </w:p>
    <w:p w14:paraId="608EDC1F" w14:textId="77777777" w:rsidR="00C55126" w:rsidRPr="00C55126" w:rsidRDefault="00023E71" w:rsidP="00C55126">
      <w:pPr>
        <w:pStyle w:val="DGTextstand-alone"/>
      </w:pPr>
      <w:r>
        <w:t>Included in the guarantees given as at 31 December 2025 are EUR 0.7 billion of signed but undisbursed loans for which future disbursements are conditional on approval by the EU (EUR 2.1 billion in 2024). The reduction since 2024, is partially due to the transfer of certain operations from the ELM to the Ukraine Guarantee.</w:t>
      </w:r>
    </w:p>
    <w:p w14:paraId="639F6D1F" w14:textId="77777777" w:rsidR="00FD683F" w:rsidRPr="00D56303" w:rsidRDefault="00023E71" w:rsidP="00FD683F">
      <w:pPr>
        <w:pStyle w:val="DGTextstand-alone"/>
      </w:pPr>
      <w:r w:rsidRPr="00D56303">
        <w:t>The EU ELM guarantee relating to loans granted by the EIB is limited to 65% of the outstanding balances for agreements signed after 2007 (mandates 2007-2013 and 2014-2021). For agreements made before 2007, the EU guarantee is limited to a percentage of the ceiling of the credit lines authorised, in most cases 65% but also 70%, 75% or 100%. Where the ceiling is not reached, the EU guarantee covers the full amount.</w:t>
      </w:r>
    </w:p>
    <w:p w14:paraId="762A329F" w14:textId="77777777" w:rsidR="00FD683F" w:rsidRPr="00D56303" w:rsidRDefault="00023E71" w:rsidP="00FD683F">
      <w:pPr>
        <w:pStyle w:val="DGTextstand-alone"/>
      </w:pPr>
      <w:r w:rsidRPr="00D56303">
        <w:t>With Decision (EU) 2018/412</w:t>
      </w:r>
      <w:r w:rsidR="000C6EFC" w:rsidRPr="00D56303">
        <w:t xml:space="preserve"> of the European Parliament an</w:t>
      </w:r>
      <w:r>
        <w:t>d</w:t>
      </w:r>
      <w:r w:rsidR="000C6EFC" w:rsidRPr="00D56303">
        <w:t xml:space="preserve"> of the Council</w:t>
      </w:r>
      <w:r>
        <w:rPr>
          <w:rStyle w:val="FootnoteReference"/>
        </w:rPr>
        <w:footnoteReference w:id="36"/>
      </w:r>
      <w:r w:rsidRPr="00D56303">
        <w:t xml:space="preserve">, a private sector lending mandate for projects directed to the long term economic resilience of refugees, migrants, host and transit communities under the EIB Resilience Initiative (‘ERI’) was set-up. The Union budget is remunerated for the risk taken in relation to guarantees granted for EIB financing operations under the ERI Private Mandate, which explains the premium receivable for the ELM guarantee, which is otherwise a non-remunerated guarantee (see </w:t>
      </w:r>
      <w:r>
        <w:t>N</w:t>
      </w:r>
      <w:r w:rsidRPr="00D56303">
        <w:t xml:space="preserve">ote </w:t>
      </w:r>
      <w:r w:rsidRPr="00D56303">
        <w:rPr>
          <w:b/>
        </w:rPr>
        <w:t>2.11.2</w:t>
      </w:r>
      <w:r w:rsidRPr="00D56303">
        <w:t>).</w:t>
      </w:r>
    </w:p>
    <w:p w14:paraId="4BE50156" w14:textId="77777777" w:rsidR="00FD683F" w:rsidRPr="00D56303" w:rsidRDefault="00023E71" w:rsidP="00FD683F">
      <w:pPr>
        <w:pStyle w:val="DGTextstand-alone"/>
        <w:rPr>
          <w:b/>
        </w:rPr>
      </w:pPr>
      <w:r w:rsidRPr="00D56303">
        <w:t>The ELM 2014-2020 mandate, which expired in 2021, was the last mandate under the Guarantee Fund for external actions. The new EIB mandate is covered by the External Action Guarantee set up by the NDICI Regulation.</w:t>
      </w:r>
    </w:p>
    <w:p w14:paraId="2B711896" w14:textId="77777777" w:rsidR="00FD683F" w:rsidRPr="00D56303" w:rsidRDefault="00023E71" w:rsidP="00FD683F">
      <w:pPr>
        <w:pStyle w:val="DGTextstand-alone"/>
      </w:pPr>
      <w:r w:rsidRPr="00D56303">
        <w:t xml:space="preserve">EU guarantee payments are made from the Guarantee Fund for external actions compartment of the CPF. </w:t>
      </w:r>
      <w:r w:rsidRPr="00F51162">
        <w:t xml:space="preserve">During 2025, the </w:t>
      </w:r>
      <w:r w:rsidR="00DE44AC" w:rsidRPr="00F51162">
        <w:t>recoveries received exceeded the guarantee</w:t>
      </w:r>
      <w:r w:rsidRPr="00F51162">
        <w:t xml:space="preserve"> calls </w:t>
      </w:r>
      <w:r w:rsidR="00DE44AC" w:rsidRPr="00F51162">
        <w:t xml:space="preserve">by EUR 0.3 million </w:t>
      </w:r>
      <w:r w:rsidRPr="00F51162">
        <w:t xml:space="preserve">(2024: </w:t>
      </w:r>
      <w:r w:rsidR="00DE44AC" w:rsidRPr="00F51162">
        <w:t xml:space="preserve">EU paid </w:t>
      </w:r>
      <w:r w:rsidRPr="00F51162">
        <w:t>EUR 11 million guarantee calls net of recoveries).</w:t>
      </w:r>
    </w:p>
    <w:p w14:paraId="2CC8EBE4" w14:textId="77777777" w:rsidR="007609ED" w:rsidRPr="00D56303" w:rsidRDefault="00023E71" w:rsidP="007609ED">
      <w:pPr>
        <w:pStyle w:val="HEADER5"/>
        <w:keepNext/>
        <w:rPr>
          <w:noProof/>
        </w:rPr>
      </w:pPr>
      <w:r w:rsidRPr="00D56303">
        <w:rPr>
          <w:noProof/>
        </w:rPr>
        <w:t>European Fund for Strategic Investments (EFSI) guarantee</w:t>
      </w:r>
    </w:p>
    <w:p w14:paraId="330E428D" w14:textId="77777777" w:rsidR="007609ED" w:rsidRPr="009243B9" w:rsidRDefault="00023E71" w:rsidP="007609ED">
      <w:pPr>
        <w:pStyle w:val="DGTextstand-alone"/>
      </w:pPr>
      <w:r w:rsidRPr="00D56303">
        <w:t>EFSI is an initiative that aims to increase the risk bearing capacity of the EIB Group by enabling the EIB to extend its investments in the EU. The objective of EFSI is to support additional investments in the EU and access to finance for small companies. The EU budget provides a guarantee of up to EUR 26 billion (‘EFSI EU guarantee’) under an agreement between</w:t>
      </w:r>
      <w:r w:rsidRPr="009243B9">
        <w:t xml:space="preserve"> the EU and the EIB, here</w:t>
      </w:r>
      <w:r>
        <w:t>in</w:t>
      </w:r>
      <w:r w:rsidRPr="009243B9">
        <w:t>after refer</w:t>
      </w:r>
      <w:r>
        <w:t>red to as the ‘EFSI Agreement’, in order to protect the EIB from potential losses it may suffer from its financing and investment operations</w:t>
      </w:r>
      <w:r w:rsidR="00EC0115">
        <w:t>.</w:t>
      </w:r>
    </w:p>
    <w:p w14:paraId="451BE1F4" w14:textId="77777777" w:rsidR="007609ED" w:rsidRPr="009243B9" w:rsidRDefault="00023E71" w:rsidP="007609ED">
      <w:pPr>
        <w:pStyle w:val="DGTextstand-alone"/>
      </w:pPr>
      <w:r w:rsidRPr="009243B9">
        <w:t xml:space="preserve">The EFSI operations are conducted within two windows: the Infrastructure and Innovation Window (IIW) implemented by the </w:t>
      </w:r>
      <w:r>
        <w:t>EIB (EFSI EU guarantee of EUR 19 </w:t>
      </w:r>
      <w:r w:rsidR="002803ED">
        <w:t>25</w:t>
      </w:r>
      <w:r>
        <w:t>0 million</w:t>
      </w:r>
      <w:r w:rsidRPr="009243B9">
        <w:t xml:space="preserve">) and the SME Window (SMEW) implemented by the EIF (EFSI EU guarantee of </w:t>
      </w:r>
      <w:r>
        <w:t>EUR 6 </w:t>
      </w:r>
      <w:r w:rsidR="002803ED">
        <w:t>7</w:t>
      </w:r>
      <w:r>
        <w:t>50 million</w:t>
      </w:r>
      <w:r w:rsidRPr="009243B9">
        <w:t>), both of which have a debt portfolio and an equity portfolio. The EIF acts under an agreement with the EIB on the basis of an EIB guarantee</w:t>
      </w:r>
      <w:r w:rsidR="00EC0115">
        <w:t>,</w:t>
      </w:r>
      <w:r w:rsidRPr="009243B9">
        <w:t xml:space="preserve"> which itself is counter-guaranteed by the EFSI EU Guarantee under the EFSI Agreement.</w:t>
      </w:r>
      <w:r>
        <w:t xml:space="preserve"> </w:t>
      </w:r>
      <w:r w:rsidRPr="008B5A12">
        <w:t xml:space="preserve">In order to enhance the efficiency of EU Guarantee and to increase its risk bearing capacity, a combination of two EFSI </w:t>
      </w:r>
      <w:r>
        <w:t>debt portfolios</w:t>
      </w:r>
      <w:r w:rsidRPr="008B5A12">
        <w:t xml:space="preserve"> with InvestEU became effective </w:t>
      </w:r>
      <w:r>
        <w:t>in</w:t>
      </w:r>
      <w:r w:rsidRPr="008B5A12">
        <w:t xml:space="preserve"> 2022. </w:t>
      </w:r>
      <w:r>
        <w:t>Any guarantee calls, recoveries and</w:t>
      </w:r>
      <w:r w:rsidRPr="008B5A12">
        <w:t xml:space="preserve"> </w:t>
      </w:r>
      <w:r>
        <w:t xml:space="preserve">revenues are distributed </w:t>
      </w:r>
      <w:r w:rsidRPr="008B5A12">
        <w:t>between the EFSI and the InvestEU Guarantee based on effective guaranteed allocations</w:t>
      </w:r>
      <w:r>
        <w:t>.</w:t>
      </w:r>
    </w:p>
    <w:p w14:paraId="59B83976" w14:textId="77777777" w:rsidR="007609ED" w:rsidRPr="009243B9" w:rsidRDefault="00023E71" w:rsidP="007609ED">
      <w:pPr>
        <w:pStyle w:val="DGTextstand-alone"/>
      </w:pPr>
      <w:r w:rsidRPr="00B84B51">
        <w:t>The EU and the EIB have distinct roles within EFSI. EFSI is established within the EIB</w:t>
      </w:r>
      <w:r>
        <w:t>,</w:t>
      </w:r>
      <w:r w:rsidRPr="00B84B51">
        <w:t xml:space="preserve"> who finance the operations (debt and equity investments) and, to do this, borrow the necessary funds on the capital markets. The EIB Group takes the investment decisions independently and manages the operations in accordance with its rules and procedures. The EU provides the guarantee for those operations, and covers losses incurred by the EIB up to the ceiling of this guarantee</w:t>
      </w:r>
      <w:r w:rsidR="003A57D7">
        <w:t>.</w:t>
      </w:r>
    </w:p>
    <w:p w14:paraId="0B814C52" w14:textId="77777777" w:rsidR="007609ED" w:rsidRDefault="00023E71" w:rsidP="007609ED">
      <w:pPr>
        <w:pStyle w:val="DGTextstand-alone"/>
      </w:pPr>
      <w:r w:rsidRPr="001F1771">
        <w:t>As the control criteria and accounting requirements for consolidation under the EU accounting rules (and IPSAS) are not met, the related guaranteed assets are not accounted for in the consolidated annual accounts of the EU.</w:t>
      </w:r>
    </w:p>
    <w:p w14:paraId="7A59A134" w14:textId="77777777" w:rsidR="00422ABB" w:rsidRPr="00D56303" w:rsidRDefault="00023E71" w:rsidP="007609ED">
      <w:pPr>
        <w:pStyle w:val="DGTextstand-alone"/>
      </w:pPr>
      <w:r w:rsidRPr="008F19E4">
        <w:t>The E</w:t>
      </w:r>
      <w:r>
        <w:t>U guarantee granted to the EIB G</w:t>
      </w:r>
      <w:r w:rsidRPr="008F19E4">
        <w:t>roup under EFSI is</w:t>
      </w:r>
      <w:r w:rsidR="00EC0115">
        <w:t xml:space="preserve"> </w:t>
      </w:r>
      <w:r w:rsidRPr="008F19E4">
        <w:t xml:space="preserve">accounted for as a financial guarantee liability in respect of the </w:t>
      </w:r>
      <w:r>
        <w:t xml:space="preserve">IIW </w:t>
      </w:r>
      <w:r w:rsidRPr="008F19E4">
        <w:t xml:space="preserve">debt </w:t>
      </w:r>
      <w:r w:rsidRPr="00D56303">
        <w:t xml:space="preserve">portfolio </w:t>
      </w:r>
      <w:r w:rsidR="00081CB0" w:rsidRPr="00D56303">
        <w:t xml:space="preserve">and </w:t>
      </w:r>
      <w:r w:rsidRPr="00D56303">
        <w:t xml:space="preserve">the SMEW debt portfolio </w:t>
      </w:r>
      <w:r w:rsidR="0064516F" w:rsidRPr="00D56303">
        <w:t xml:space="preserve">(see </w:t>
      </w:r>
      <w:r>
        <w:t>N</w:t>
      </w:r>
      <w:r w:rsidR="0064516F" w:rsidRPr="00D56303">
        <w:t xml:space="preserve">ote </w:t>
      </w:r>
      <w:r w:rsidR="0064516F" w:rsidRPr="00D56303">
        <w:rPr>
          <w:b/>
        </w:rPr>
        <w:t>2.</w:t>
      </w:r>
      <w:r w:rsidR="00081CB0" w:rsidRPr="00D56303">
        <w:rPr>
          <w:b/>
        </w:rPr>
        <w:t>11.</w:t>
      </w:r>
      <w:r w:rsidR="00EE3F75" w:rsidRPr="00D56303">
        <w:rPr>
          <w:b/>
        </w:rPr>
        <w:t>2</w:t>
      </w:r>
      <w:r w:rsidR="0064516F" w:rsidRPr="00D56303">
        <w:t xml:space="preserve">) </w:t>
      </w:r>
      <w:r w:rsidRPr="00D56303">
        <w:t xml:space="preserve">and as a derivative (financial asset or liability at fair value through surplus or deficit) for both equity portfolios (see </w:t>
      </w:r>
      <w:r>
        <w:t>N</w:t>
      </w:r>
      <w:r w:rsidRPr="00D56303">
        <w:t xml:space="preserve">ote </w:t>
      </w:r>
      <w:r w:rsidRPr="00D56303">
        <w:rPr>
          <w:b/>
        </w:rPr>
        <w:t>2.4.2</w:t>
      </w:r>
      <w:r w:rsidR="00081CB0" w:rsidRPr="00D56303">
        <w:rPr>
          <w:b/>
        </w:rPr>
        <w:t>.2</w:t>
      </w:r>
      <w:r w:rsidRPr="00D56303">
        <w:t xml:space="preserve">). The EFSI </w:t>
      </w:r>
      <w:r w:rsidR="00081CB0" w:rsidRPr="00D56303">
        <w:t>guarantee given</w:t>
      </w:r>
      <w:r w:rsidRPr="00D56303">
        <w:t xml:space="preserve"> includes operations of the COSME, H2020, CCS </w:t>
      </w:r>
      <w:r w:rsidR="00B84B51" w:rsidRPr="00D56303">
        <w:t xml:space="preserve">LGF </w:t>
      </w:r>
      <w:r w:rsidRPr="00D56303">
        <w:t xml:space="preserve">and EaSI programmes for the part covered by the EFSI EU guarantee under </w:t>
      </w:r>
      <w:r w:rsidR="00EE3F75" w:rsidRPr="00D56303">
        <w:t xml:space="preserve">the </w:t>
      </w:r>
      <w:r w:rsidRPr="00D56303">
        <w:t>SMEW debt portfolio</w:t>
      </w:r>
      <w:r w:rsidR="00081CB0" w:rsidRPr="00D56303">
        <w:t>.</w:t>
      </w:r>
    </w:p>
    <w:p w14:paraId="5B8A49AA" w14:textId="77777777" w:rsidR="004D40BD" w:rsidRPr="00D56303" w:rsidRDefault="00023E71" w:rsidP="007609ED">
      <w:pPr>
        <w:pStyle w:val="DGTextstand-alone"/>
      </w:pPr>
      <w:bookmarkStart w:id="208" w:name="_Hlk162276911"/>
      <w:r w:rsidRPr="00D56303">
        <w:t>During 202</w:t>
      </w:r>
      <w:r w:rsidR="00F51162">
        <w:t>5</w:t>
      </w:r>
      <w:r w:rsidR="006A1F10" w:rsidRPr="00D56303">
        <w:t xml:space="preserve">, </w:t>
      </w:r>
      <w:r w:rsidRPr="00D56303">
        <w:t xml:space="preserve">EUR </w:t>
      </w:r>
      <w:r w:rsidR="00F51162">
        <w:t>296</w:t>
      </w:r>
      <w:r w:rsidRPr="00D56303">
        <w:t xml:space="preserve"> million of net</w:t>
      </w:r>
      <w:r w:rsidR="007B607A" w:rsidRPr="00D56303">
        <w:t xml:space="preserve"> </w:t>
      </w:r>
      <w:r w:rsidR="006A1F10" w:rsidRPr="00D56303">
        <w:t xml:space="preserve">guarantee calls </w:t>
      </w:r>
      <w:r>
        <w:t>were</w:t>
      </w:r>
      <w:r w:rsidR="006A1F10" w:rsidRPr="00D56303">
        <w:t xml:space="preserve"> paid out from the EFSI compartment of the </w:t>
      </w:r>
      <w:r w:rsidR="00CE6AA9" w:rsidRPr="00D56303">
        <w:t>CPF</w:t>
      </w:r>
      <w:r w:rsidRPr="00D56303">
        <w:t>, including some guarantee calls incurred in previ</w:t>
      </w:r>
      <w:r w:rsidR="008D6769" w:rsidRPr="00D56303">
        <w:t>o</w:t>
      </w:r>
      <w:r w:rsidRPr="00D56303">
        <w:t>us years but temporarily covered by the EU revenues h</w:t>
      </w:r>
      <w:r>
        <w:t>e</w:t>
      </w:r>
      <w:r w:rsidRPr="00D56303">
        <w:t xml:space="preserve">ld on the EFSI settlement account at the EIB </w:t>
      </w:r>
      <w:r w:rsidR="006A1F10" w:rsidRPr="00D56303">
        <w:t>(202</w:t>
      </w:r>
      <w:r w:rsidR="00F51162">
        <w:t>4</w:t>
      </w:r>
      <w:r w:rsidR="006A1F10" w:rsidRPr="00D56303">
        <w:t xml:space="preserve">: </w:t>
      </w:r>
      <w:r w:rsidR="00D8139B" w:rsidRPr="00D56303">
        <w:t>EUR</w:t>
      </w:r>
      <w:r w:rsidR="00F51162">
        <w:t xml:space="preserve"> 151 m</w:t>
      </w:r>
      <w:r w:rsidR="00D8139B" w:rsidRPr="00D56303">
        <w:t>illion</w:t>
      </w:r>
      <w:r w:rsidR="006A1F10" w:rsidRPr="00D56303">
        <w:t>).</w:t>
      </w:r>
    </w:p>
    <w:bookmarkEnd w:id="208"/>
    <w:p w14:paraId="6338EFAC" w14:textId="77777777" w:rsidR="006F39EF" w:rsidRPr="00D56303" w:rsidRDefault="00023E71" w:rsidP="006F39EF">
      <w:pPr>
        <w:pStyle w:val="HEADER5"/>
        <w:keepNext/>
        <w:rPr>
          <w:noProof/>
        </w:rPr>
      </w:pPr>
      <w:r w:rsidRPr="00D56303">
        <w:rPr>
          <w:noProof/>
        </w:rPr>
        <w:t>European Fund for Sustainable Development (EFSD)</w:t>
      </w:r>
    </w:p>
    <w:p w14:paraId="1A4F8F6D" w14:textId="77777777" w:rsidR="00B0132E" w:rsidRPr="00D56303" w:rsidRDefault="00023E71" w:rsidP="006078FD">
      <w:pPr>
        <w:pStyle w:val="DGTextstand-alone"/>
      </w:pPr>
      <w:r w:rsidRPr="00D56303">
        <w:t>The European Fund for Sustainable Development, established by the EFSD Regulation</w:t>
      </w:r>
      <w:r>
        <w:rPr>
          <w:rStyle w:val="FootnoteReference"/>
        </w:rPr>
        <w:footnoteReference w:id="37"/>
      </w:r>
      <w:r w:rsidRPr="00D56303">
        <w:t>, is an initiative aiming to support investments in Africa and the European Neighbourhood as a means to contribute to the achievement of sustainable development and to address specific socio-economic root causes of migration. Under the EFSD Regulation, the EU was authorised to make available guarantees of EUR 1.5 billion (further increased by external contributions) to implementing partners for their investment and financing operations, in order to reduce their investment risks. The EFSD Guarantee is backed by the C</w:t>
      </w:r>
      <w:r w:rsidR="0058789F" w:rsidRPr="00D56303">
        <w:t>PF</w:t>
      </w:r>
      <w:r w:rsidRPr="00D56303">
        <w:t xml:space="preserve"> – see </w:t>
      </w:r>
      <w:r>
        <w:t>N</w:t>
      </w:r>
      <w:r w:rsidRPr="00D56303">
        <w:t xml:space="preserve">ote </w:t>
      </w:r>
      <w:r w:rsidRPr="00D56303">
        <w:rPr>
          <w:b/>
        </w:rPr>
        <w:t>2.4.</w:t>
      </w:r>
      <w:r w:rsidR="00EE3F75" w:rsidRPr="00D56303">
        <w:rPr>
          <w:b/>
        </w:rPr>
        <w:t>2</w:t>
      </w:r>
      <w:r w:rsidRPr="00D56303">
        <w:t>.</w:t>
      </w:r>
      <w:r w:rsidR="00CE6AA9" w:rsidRPr="00D56303">
        <w:rPr>
          <w:b/>
        </w:rPr>
        <w:t>1</w:t>
      </w:r>
      <w:r w:rsidR="00CE6AA9" w:rsidRPr="00D56303">
        <w:t>.</w:t>
      </w:r>
    </w:p>
    <w:p w14:paraId="793DF853" w14:textId="77777777" w:rsidR="00A73788" w:rsidRPr="00D56303" w:rsidRDefault="00023E71" w:rsidP="006078FD">
      <w:pPr>
        <w:pStyle w:val="DGTextstand-alone"/>
      </w:pPr>
      <w:bookmarkStart w:id="209" w:name="_Hlk137190078"/>
      <w:r w:rsidRPr="00D56303">
        <w:t>For one of the EFSD guarantee agreements (where the EU guarantees the capital adequacy of a currency hedging fund</w:t>
      </w:r>
      <w:r w:rsidR="00EF4512" w:rsidRPr="00D56303">
        <w:t xml:space="preserve"> for an amount of EUR 145 million</w:t>
      </w:r>
      <w:r w:rsidR="0021627A" w:rsidRPr="00D56303">
        <w:t>)</w:t>
      </w:r>
      <w:r w:rsidRPr="00D56303">
        <w:t>, in case of a guarantee call the EU holds a</w:t>
      </w:r>
      <w:r w:rsidR="00B1465B" w:rsidRPr="00D56303">
        <w:t> </w:t>
      </w:r>
      <w:r w:rsidRPr="00D56303">
        <w:t>reimbursement right to receive shares of the fund worth the amount paid.</w:t>
      </w:r>
      <w:bookmarkEnd w:id="209"/>
    </w:p>
    <w:p w14:paraId="596C7D0A" w14:textId="77777777" w:rsidR="00A73788" w:rsidRPr="00254799" w:rsidRDefault="00023E71" w:rsidP="00A73788">
      <w:pPr>
        <w:pStyle w:val="HEADER5"/>
        <w:keepNext/>
        <w:rPr>
          <w:noProof/>
        </w:rPr>
      </w:pPr>
      <w:r w:rsidRPr="00D56303">
        <w:rPr>
          <w:noProof/>
        </w:rPr>
        <w:t>NDICI external action guarantee</w:t>
      </w:r>
    </w:p>
    <w:p w14:paraId="3205D043" w14:textId="77777777" w:rsidR="00561ABF" w:rsidRPr="00D56303" w:rsidRDefault="00023E71" w:rsidP="00561ABF">
      <w:pPr>
        <w:pStyle w:val="DGTextstand-alone"/>
      </w:pPr>
      <w:r w:rsidRPr="00254799">
        <w:t>Regulation (EU) 2021/947 of the European Parliament and of the Council</w:t>
      </w:r>
      <w:r>
        <w:rPr>
          <w:rStyle w:val="FootnoteReference"/>
        </w:rPr>
        <w:footnoteReference w:id="38"/>
      </w:r>
      <w:r w:rsidRPr="00254799">
        <w:t xml:space="preserve">, established the Neighbourhood, Development and International Cooperation Instrument – Global Europe, including the European Fund for Sustainable Development Plus (the ‘EFSD+’) and the External Action Guarantee, for the period of the 2021-2027 MFF. </w:t>
      </w:r>
      <w:r w:rsidR="00690765">
        <w:t xml:space="preserve">The objective of EFSD+ is to promote sustainable </w:t>
      </w:r>
      <w:r w:rsidR="00690765" w:rsidRPr="00D56303">
        <w:t>investments in the EU’s partner countries.</w:t>
      </w:r>
    </w:p>
    <w:p w14:paraId="241355D6" w14:textId="77777777" w:rsidR="00561ABF" w:rsidRPr="00D56303" w:rsidRDefault="00023E71" w:rsidP="00561ABF">
      <w:pPr>
        <w:pStyle w:val="DGTextstand-alone"/>
      </w:pPr>
      <w:r w:rsidRPr="00D56303">
        <w:t xml:space="preserve">The External Action Guarantee supports the EFSD+ operations covered by budgetary guarantees, macro-financial assistance and loans to third countries. It is backed by the CPF – see </w:t>
      </w:r>
      <w:r>
        <w:t>N</w:t>
      </w:r>
      <w:r w:rsidRPr="00D56303">
        <w:t xml:space="preserve">ote </w:t>
      </w:r>
      <w:r w:rsidRPr="00D56303">
        <w:rPr>
          <w:b/>
        </w:rPr>
        <w:t>2.4.2</w:t>
      </w:r>
      <w:r w:rsidRPr="00D56303">
        <w:t>.</w:t>
      </w:r>
      <w:r w:rsidRPr="00D56303">
        <w:rPr>
          <w:b/>
        </w:rPr>
        <w:t>1</w:t>
      </w:r>
      <w:r w:rsidRPr="00D56303">
        <w:t>.</w:t>
      </w:r>
    </w:p>
    <w:p w14:paraId="14D0AEC3" w14:textId="77777777" w:rsidR="009E3507" w:rsidRDefault="00023E71" w:rsidP="00561ABF">
      <w:pPr>
        <w:pStyle w:val="DGTextstand-alone"/>
      </w:pPr>
      <w:r w:rsidRPr="00F737D0">
        <w:t>As at 31 December 2025</w:t>
      </w:r>
      <w:r w:rsidR="00E979BF" w:rsidRPr="00F737D0">
        <w:t>,</w:t>
      </w:r>
      <w:r w:rsidRPr="00F737D0">
        <w:t xml:space="preserve"> budgetary guarantee agreements were </w:t>
      </w:r>
      <w:r w:rsidR="00E979BF" w:rsidRPr="00F737D0">
        <w:t xml:space="preserve">effective </w:t>
      </w:r>
      <w:r w:rsidRPr="00F737D0">
        <w:t>for a</w:t>
      </w:r>
      <w:r w:rsidR="00E979BF" w:rsidRPr="00F737D0">
        <w:t> </w:t>
      </w:r>
      <w:r w:rsidRPr="00F737D0">
        <w:t xml:space="preserve">total </w:t>
      </w:r>
      <w:r w:rsidR="001B25EB" w:rsidRPr="00F737D0">
        <w:t xml:space="preserve">outstanding </w:t>
      </w:r>
      <w:r w:rsidRPr="00F737D0">
        <w:t>ceiling of EUR </w:t>
      </w:r>
      <w:r w:rsidR="00310868" w:rsidRPr="00F737D0">
        <w:t>3</w:t>
      </w:r>
      <w:r w:rsidRPr="00F737D0">
        <w:t>4.0 billion</w:t>
      </w:r>
      <w:r w:rsidR="00F737D0" w:rsidRPr="00F737D0">
        <w:t>, of which</w:t>
      </w:r>
      <w:r w:rsidRPr="00F737D0">
        <w:t xml:space="preserve"> EUR 2</w:t>
      </w:r>
      <w:r w:rsidR="003968BF" w:rsidRPr="00F737D0">
        <w:t>6.6</w:t>
      </w:r>
      <w:r w:rsidRPr="00F737D0">
        <w:t xml:space="preserve"> billion relates to </w:t>
      </w:r>
      <w:r w:rsidR="003968BF" w:rsidRPr="00F737D0">
        <w:t>guarantees provided to the EIB for their external lending to sovereign and sub-sovereign counterparts under NDICI Investment Windows 1 and 2</w:t>
      </w:r>
      <w:r>
        <w:t xml:space="preserve"> (successors of ELM)</w:t>
      </w:r>
      <w:r w:rsidRPr="00F737D0">
        <w:t>.</w:t>
      </w:r>
    </w:p>
    <w:p w14:paraId="24CD3546" w14:textId="77777777" w:rsidR="005C4303" w:rsidRPr="00D56303" w:rsidRDefault="00023E71" w:rsidP="005C4303">
      <w:pPr>
        <w:pStyle w:val="DGTextstand-alone"/>
      </w:pPr>
      <w:r w:rsidRPr="00D56303">
        <w:t xml:space="preserve">For one of the </w:t>
      </w:r>
      <w:r>
        <w:t>NDICI</w:t>
      </w:r>
      <w:r w:rsidRPr="00D56303">
        <w:t xml:space="preserve"> guarantee agreements (where the EU guarantees the capital adequacy of a currency hedging fund for an amount of EUR 1</w:t>
      </w:r>
      <w:r>
        <w:t>50</w:t>
      </w:r>
      <w:r w:rsidRPr="00D56303">
        <w:t xml:space="preserve"> million), in case of a guarantee call the EU holds a reimbursement right to receive shares of the fund worth the amount paid.</w:t>
      </w:r>
    </w:p>
    <w:p w14:paraId="6F818E60" w14:textId="77777777" w:rsidR="00AE3C6B" w:rsidRPr="00D56303" w:rsidRDefault="00023E71" w:rsidP="00AE3C6B">
      <w:pPr>
        <w:pStyle w:val="HEADER5"/>
        <w:keepNext/>
        <w:rPr>
          <w:noProof/>
        </w:rPr>
      </w:pPr>
      <w:r w:rsidRPr="00D56303">
        <w:rPr>
          <w:noProof/>
        </w:rPr>
        <w:t>InvestEU guarantee</w:t>
      </w:r>
    </w:p>
    <w:p w14:paraId="583FF1CF" w14:textId="77777777" w:rsidR="00C742CF" w:rsidRDefault="00023E71" w:rsidP="007017F0">
      <w:pPr>
        <w:pStyle w:val="DGTextstand-alone"/>
      </w:pPr>
      <w:r w:rsidRPr="00CA0B0C">
        <w:t xml:space="preserve">In 2025, the EU </w:t>
      </w:r>
      <w:r w:rsidR="009B451C" w:rsidRPr="00CA0B0C">
        <w:t>adopted</w:t>
      </w:r>
      <w:r w:rsidRPr="00CA0B0C">
        <w:t xml:space="preserve"> the revised InvestEU </w:t>
      </w:r>
      <w:r w:rsidR="009B451C" w:rsidRPr="00CA0B0C">
        <w:t>R</w:t>
      </w:r>
      <w:r w:rsidRPr="00CA0B0C">
        <w:t xml:space="preserve">egulation as part of the Omnibus II package. </w:t>
      </w:r>
      <w:r w:rsidR="009B451C" w:rsidRPr="00CA0B0C">
        <w:t>Under the revision, t</w:t>
      </w:r>
      <w:r w:rsidRPr="00CA0B0C">
        <w:t>he EU</w:t>
      </w:r>
      <w:r w:rsidR="009B451C" w:rsidRPr="00CA0B0C">
        <w:t xml:space="preserve"> budgetary</w:t>
      </w:r>
      <w:r w:rsidRPr="00CA0B0C">
        <w:t xml:space="preserve"> guarantee was increased </w:t>
      </w:r>
      <w:r w:rsidR="009B451C" w:rsidRPr="00CA0B0C">
        <w:t xml:space="preserve">by </w:t>
      </w:r>
      <w:r w:rsidRPr="00CA0B0C">
        <w:t xml:space="preserve">EUR </w:t>
      </w:r>
      <w:r w:rsidR="009B451C" w:rsidRPr="00CA0B0C">
        <w:t xml:space="preserve">2.9 billion, raising the total </w:t>
      </w:r>
      <w:r w:rsidRPr="00CA0B0C">
        <w:t>from EUR </w:t>
      </w:r>
      <w:r w:rsidR="005934E5" w:rsidRPr="00CA0B0C">
        <w:t>26.2</w:t>
      </w:r>
      <w:r w:rsidRPr="00CA0B0C">
        <w:t> </w:t>
      </w:r>
      <w:r w:rsidR="005934E5" w:rsidRPr="00CA0B0C">
        <w:t>billion</w:t>
      </w:r>
      <w:r w:rsidR="00476412" w:rsidRPr="00CA0B0C">
        <w:t xml:space="preserve"> </w:t>
      </w:r>
      <w:r w:rsidRPr="00CA0B0C">
        <w:t>to EUR 29.1</w:t>
      </w:r>
      <w:r w:rsidR="005934E5" w:rsidRPr="00CA0B0C">
        <w:t xml:space="preserve"> </w:t>
      </w:r>
      <w:r w:rsidRPr="00CA0B0C">
        <w:t>billion</w:t>
      </w:r>
      <w:r w:rsidR="00393CA0" w:rsidRPr="00CA0B0C">
        <w:t>.</w:t>
      </w:r>
    </w:p>
    <w:p w14:paraId="282C72A2" w14:textId="77777777" w:rsidR="00EE1E08" w:rsidRDefault="00023E71" w:rsidP="007017F0">
      <w:pPr>
        <w:pStyle w:val="DGTextstand-alone"/>
      </w:pPr>
      <w:r w:rsidRPr="00F26059">
        <w:t>Th</w:t>
      </w:r>
      <w:r w:rsidR="00393CA0">
        <w:t>is EU</w:t>
      </w:r>
      <w:r w:rsidRPr="00F26059">
        <w:t xml:space="preserve"> </w:t>
      </w:r>
      <w:r w:rsidR="00393CA0">
        <w:t>guarantee</w:t>
      </w:r>
      <w:r w:rsidRPr="00F26059">
        <w:t xml:space="preserve"> supports private and public investments in four policy areas</w:t>
      </w:r>
      <w:r>
        <w:t>: s</w:t>
      </w:r>
      <w:r w:rsidR="005934E5" w:rsidRPr="00AE3C6B">
        <w:t>usta</w:t>
      </w:r>
      <w:r w:rsidR="005934E5">
        <w:t xml:space="preserve">inable infrastructure, </w:t>
      </w:r>
      <w:r>
        <w:t>r</w:t>
      </w:r>
      <w:r w:rsidR="005934E5">
        <w:t>esearch</w:t>
      </w:r>
      <w:r w:rsidR="005934E5" w:rsidRPr="00AE3C6B">
        <w:t xml:space="preserve"> </w:t>
      </w:r>
      <w:r w:rsidR="005934E5">
        <w:t>i</w:t>
      </w:r>
      <w:r w:rsidR="005934E5" w:rsidRPr="00AE3C6B">
        <w:t xml:space="preserve">nnovation and digitalisation, </w:t>
      </w:r>
      <w:r>
        <w:t>s</w:t>
      </w:r>
      <w:r w:rsidR="005934E5" w:rsidRPr="00AE3C6B">
        <w:t xml:space="preserve">mall and medium-sized companies, and </w:t>
      </w:r>
      <w:r>
        <w:t>s</w:t>
      </w:r>
      <w:r w:rsidR="005934E5" w:rsidRPr="00AE3C6B">
        <w:t xml:space="preserve">ocial investment and skills. </w:t>
      </w:r>
      <w:r w:rsidR="005934E5">
        <w:t xml:space="preserve">Several financial partners like national promotional banks are </w:t>
      </w:r>
      <w:r w:rsidR="00E6566B">
        <w:t xml:space="preserve">receiving </w:t>
      </w:r>
      <w:r w:rsidR="005934E5">
        <w:t>the EU guarantee</w:t>
      </w:r>
      <w:r w:rsidR="00E2155F">
        <w:t xml:space="preserve">. </w:t>
      </w:r>
      <w:r w:rsidR="00A55C70" w:rsidRPr="00A55C70">
        <w:t>Th</w:t>
      </w:r>
      <w:r w:rsidR="004F5EDC">
        <w:t xml:space="preserve">ey </w:t>
      </w:r>
      <w:r w:rsidR="00E6566B">
        <w:t>support</w:t>
      </w:r>
      <w:r w:rsidR="004F5EDC">
        <w:t xml:space="preserve"> investments</w:t>
      </w:r>
      <w:r w:rsidR="00A52674">
        <w:t xml:space="preserve"> </w:t>
      </w:r>
      <w:r w:rsidR="004F5EDC">
        <w:t xml:space="preserve">by providing </w:t>
      </w:r>
      <w:r w:rsidR="00A52674">
        <w:t>loans</w:t>
      </w:r>
      <w:r w:rsidR="00895E58">
        <w:t>, guarantees</w:t>
      </w:r>
      <w:r w:rsidR="00A52674">
        <w:t xml:space="preserve"> or equity </w:t>
      </w:r>
      <w:r w:rsidR="004F5EDC">
        <w:t>capital</w:t>
      </w:r>
      <w:r w:rsidR="00895E58">
        <w:t>.</w:t>
      </w:r>
      <w:r w:rsidR="00A55C70">
        <w:t xml:space="preserve"> </w:t>
      </w:r>
      <w:r w:rsidR="00895E58">
        <w:t>F</w:t>
      </w:r>
      <w:r w:rsidR="00A55C70">
        <w:t>or example</w:t>
      </w:r>
      <w:r w:rsidR="00895E58">
        <w:t xml:space="preserve">, the </w:t>
      </w:r>
      <w:r w:rsidR="00DE28BC">
        <w:t>implementing</w:t>
      </w:r>
      <w:r w:rsidR="00895E58">
        <w:t xml:space="preserve"> partners can provide loans to SMEs</w:t>
      </w:r>
      <w:r w:rsidR="00B84880">
        <w:t xml:space="preserve">, </w:t>
      </w:r>
      <w:r w:rsidR="00895E58">
        <w:t xml:space="preserve">participate </w:t>
      </w:r>
      <w:r w:rsidR="00B84880">
        <w:t xml:space="preserve">in equity funds or </w:t>
      </w:r>
      <w:r w:rsidR="00E6566B">
        <w:t>give</w:t>
      </w:r>
      <w:r w:rsidR="00B84880">
        <w:t xml:space="preserve"> guarantees to commercial banks </w:t>
      </w:r>
      <w:r w:rsidR="00E6566B">
        <w:t xml:space="preserve">for </w:t>
      </w:r>
      <w:r w:rsidR="00B84880">
        <w:t>loans</w:t>
      </w:r>
      <w:r w:rsidR="00E6566B">
        <w:t xml:space="preserve"> they disburse</w:t>
      </w:r>
      <w:r w:rsidR="00B84880">
        <w:t xml:space="preserve">. </w:t>
      </w:r>
      <w:r w:rsidR="00AE184A">
        <w:t>The Commission can also allocate EU budget from other EU programmes</w:t>
      </w:r>
      <w:r w:rsidR="005934E5">
        <w:t xml:space="preserve"> to the InvestEU Fund,</w:t>
      </w:r>
      <w:r w:rsidR="00AE184A">
        <w:t xml:space="preserve"> </w:t>
      </w:r>
      <w:r w:rsidR="00CB0563">
        <w:t xml:space="preserve">for example </w:t>
      </w:r>
      <w:r w:rsidR="00000EA3">
        <w:t xml:space="preserve">from </w:t>
      </w:r>
      <w:r w:rsidR="00AE184A">
        <w:t>the HERA Invest (health), the European Space programme or the Catalyst (innovation).</w:t>
      </w:r>
    </w:p>
    <w:p w14:paraId="4C3681EC" w14:textId="77777777" w:rsidR="00ED6C8C" w:rsidRDefault="00023E71" w:rsidP="007017F0">
      <w:pPr>
        <w:pStyle w:val="DGTextstand-alone"/>
      </w:pPr>
      <w:r>
        <w:t>To create a capital buffer for the losses from guaranteed investments, the Commission</w:t>
      </w:r>
      <w:r w:rsidRPr="00AE3C6B">
        <w:t xml:space="preserve"> is gradually setting money aside (‘provisioning’) from the EU budget </w:t>
      </w:r>
      <w:r>
        <w:t>into the CPF</w:t>
      </w:r>
      <w:r w:rsidRPr="00AE3C6B">
        <w:t xml:space="preserve">. </w:t>
      </w:r>
      <w:r>
        <w:t>The InvestEU Regulation</w:t>
      </w:r>
      <w:r w:rsidRPr="00AE3C6B">
        <w:t xml:space="preserve"> </w:t>
      </w:r>
      <w:r>
        <w:t xml:space="preserve">has </w:t>
      </w:r>
      <w:r w:rsidRPr="00AE3C6B">
        <w:t xml:space="preserve">set the provisioning </w:t>
      </w:r>
      <w:r w:rsidR="00DE28BC">
        <w:t xml:space="preserve">rate </w:t>
      </w:r>
      <w:r w:rsidRPr="00AE3C6B">
        <w:t xml:space="preserve">at 40% of the </w:t>
      </w:r>
      <w:r>
        <w:t xml:space="preserve">EU </w:t>
      </w:r>
      <w:r w:rsidRPr="00AE3C6B">
        <w:t>guarant</w:t>
      </w:r>
      <w:r>
        <w:t>ee.</w:t>
      </w:r>
    </w:p>
    <w:p w14:paraId="6223291A" w14:textId="77777777" w:rsidR="00331B07" w:rsidRDefault="00023E71" w:rsidP="007017F0">
      <w:pPr>
        <w:pStyle w:val="DGTextstand-alone"/>
      </w:pPr>
      <w:r w:rsidRPr="00ED48D2">
        <w:t xml:space="preserve">The EU guarantee can </w:t>
      </w:r>
      <w:r w:rsidR="0021627A" w:rsidRPr="00ED48D2">
        <w:t>be</w:t>
      </w:r>
      <w:r w:rsidR="00ED48D2" w:rsidRPr="00ED48D2">
        <w:t xml:space="preserve"> further</w:t>
      </w:r>
      <w:r w:rsidR="0021627A" w:rsidRPr="00ED48D2">
        <w:t xml:space="preserve"> </w:t>
      </w:r>
      <w:r w:rsidRPr="00ED48D2">
        <w:t>increase</w:t>
      </w:r>
      <w:r w:rsidR="0021627A" w:rsidRPr="00ED48D2">
        <w:t>d</w:t>
      </w:r>
      <w:r w:rsidRPr="00ED48D2">
        <w:t xml:space="preserve">, </w:t>
      </w:r>
      <w:r w:rsidR="0021627A" w:rsidRPr="00ED48D2">
        <w:t>in addition</w:t>
      </w:r>
      <w:r w:rsidRPr="00ED48D2">
        <w:t xml:space="preserve"> to the EUR </w:t>
      </w:r>
      <w:r w:rsidR="00ED48D2" w:rsidRPr="00ED48D2">
        <w:t>29.1</w:t>
      </w:r>
      <w:r w:rsidRPr="00ED48D2">
        <w:t xml:space="preserve"> billion</w:t>
      </w:r>
      <w:r w:rsidRPr="00254799">
        <w:t xml:space="preserve"> mentioned above, with the backing from </w:t>
      </w:r>
      <w:r w:rsidR="00BC2BED" w:rsidRPr="00254799">
        <w:t>Member States and EEA countries</w:t>
      </w:r>
      <w:r w:rsidRPr="00254799">
        <w:t>.</w:t>
      </w:r>
      <w:r w:rsidR="00BC2BED" w:rsidRPr="00254799">
        <w:t xml:space="preserve"> </w:t>
      </w:r>
      <w:r w:rsidRPr="00254799">
        <w:t xml:space="preserve">They </w:t>
      </w:r>
      <w:r w:rsidR="00BC2BED" w:rsidRPr="00254799">
        <w:t xml:space="preserve">can contribute </w:t>
      </w:r>
      <w:r w:rsidR="00443D34" w:rsidRPr="00254799">
        <w:t xml:space="preserve">money </w:t>
      </w:r>
      <w:r w:rsidR="00BC2BED" w:rsidRPr="00254799">
        <w:t xml:space="preserve">from their Cohesion Policy, RRF </w:t>
      </w:r>
      <w:r w:rsidR="002063B2" w:rsidRPr="00254799">
        <w:t xml:space="preserve">funds </w:t>
      </w:r>
      <w:r w:rsidR="00BC2BED" w:rsidRPr="00254799">
        <w:t>or national bud</w:t>
      </w:r>
      <w:r w:rsidR="002063B2" w:rsidRPr="00254799">
        <w:t>gets</w:t>
      </w:r>
      <w:r w:rsidR="00BC2BED" w:rsidRPr="00254799">
        <w:t xml:space="preserve">. </w:t>
      </w:r>
      <w:r w:rsidR="00545875" w:rsidRPr="00254799">
        <w:t xml:space="preserve">For the </w:t>
      </w:r>
      <w:r w:rsidR="00180CF1" w:rsidRPr="00254799">
        <w:t xml:space="preserve">Member </w:t>
      </w:r>
      <w:r w:rsidR="00545875" w:rsidRPr="00254799">
        <w:t>S</w:t>
      </w:r>
      <w:r w:rsidR="00180CF1" w:rsidRPr="00254799">
        <w:t>tates</w:t>
      </w:r>
      <w:r w:rsidR="00545875" w:rsidRPr="00254799">
        <w:t>, t</w:t>
      </w:r>
      <w:r w:rsidR="00046A86" w:rsidRPr="00254799">
        <w:t>he provisioning</w:t>
      </w:r>
      <w:r w:rsidR="00545875" w:rsidRPr="00254799">
        <w:t xml:space="preserve"> is </w:t>
      </w:r>
      <w:r w:rsidR="00046A86" w:rsidRPr="00254799">
        <w:t>set on a case by case basis</w:t>
      </w:r>
      <w:r w:rsidR="00715C62" w:rsidRPr="00254799">
        <w:t>, while the additional EU guarantee backed from EEA countries is 40% provisioned with cash contributions</w:t>
      </w:r>
      <w:r w:rsidR="002405F9" w:rsidRPr="00254799">
        <w:t>.</w:t>
      </w:r>
      <w:r w:rsidR="00C86F85" w:rsidRPr="00254799">
        <w:t xml:space="preserve"> </w:t>
      </w:r>
      <w:r w:rsidR="0011282B" w:rsidRPr="00254799">
        <w:t xml:space="preserve">The cash from </w:t>
      </w:r>
      <w:r w:rsidR="0021627A" w:rsidRPr="00254799">
        <w:t xml:space="preserve">Member </w:t>
      </w:r>
      <w:r w:rsidR="0011282B" w:rsidRPr="00254799">
        <w:t>S</w:t>
      </w:r>
      <w:r w:rsidR="0021627A" w:rsidRPr="00254799">
        <w:t>tates</w:t>
      </w:r>
      <w:r w:rsidR="0011282B" w:rsidRPr="00254799">
        <w:t xml:space="preserve"> and EEA countries is</w:t>
      </w:r>
      <w:r w:rsidR="00E2263E" w:rsidRPr="00254799">
        <w:t xml:space="preserve"> </w:t>
      </w:r>
      <w:r w:rsidR="00C86F85" w:rsidRPr="00254799">
        <w:t>kept in the CPF</w:t>
      </w:r>
      <w:r w:rsidR="0011282B" w:rsidRPr="00254799">
        <w:t>.</w:t>
      </w:r>
      <w:r w:rsidR="00692820" w:rsidRPr="00254799">
        <w:t xml:space="preserve"> </w:t>
      </w:r>
      <w:r w:rsidR="0011282B" w:rsidRPr="00254799">
        <w:t>T</w:t>
      </w:r>
      <w:r w:rsidR="004316BD" w:rsidRPr="00254799">
        <w:t>he</w:t>
      </w:r>
      <w:r w:rsidR="002A7884" w:rsidRPr="00254799">
        <w:t xml:space="preserve"> non-provisioned amount</w:t>
      </w:r>
      <w:r w:rsidR="002405F9" w:rsidRPr="00254799">
        <w:t xml:space="preserve"> </w:t>
      </w:r>
      <w:r w:rsidR="004316BD" w:rsidRPr="00254799">
        <w:t xml:space="preserve">is </w:t>
      </w:r>
      <w:r w:rsidR="004316BD" w:rsidRPr="00D56303">
        <w:t>covered with counter guarantees from the M</w:t>
      </w:r>
      <w:r w:rsidR="0021627A" w:rsidRPr="00D56303">
        <w:t xml:space="preserve">ember </w:t>
      </w:r>
      <w:r w:rsidR="004316BD" w:rsidRPr="00D56303">
        <w:t>S</w:t>
      </w:r>
      <w:r w:rsidR="0021627A" w:rsidRPr="00D56303">
        <w:t>tates</w:t>
      </w:r>
      <w:r w:rsidR="002405F9" w:rsidRPr="00D56303">
        <w:t xml:space="preserve"> and the EEA countries</w:t>
      </w:r>
      <w:r w:rsidR="004316BD" w:rsidRPr="00D56303">
        <w:t>.</w:t>
      </w:r>
      <w:r w:rsidR="00046A86" w:rsidRPr="00D56303">
        <w:t xml:space="preserve"> </w:t>
      </w:r>
      <w:r w:rsidR="00C86F85" w:rsidRPr="00D56303">
        <w:t>At 31 December 202</w:t>
      </w:r>
      <w:r w:rsidR="00ED48D2">
        <w:t>5</w:t>
      </w:r>
      <w:r w:rsidR="00C86F85" w:rsidRPr="00D56303">
        <w:t>, the</w:t>
      </w:r>
      <w:r w:rsidR="00692820" w:rsidRPr="00D56303">
        <w:t>re we</w:t>
      </w:r>
      <w:r w:rsidR="00DF6C60" w:rsidRPr="00D56303">
        <w:t xml:space="preserve">re </w:t>
      </w:r>
      <w:r w:rsidR="00C86F85" w:rsidRPr="00D56303">
        <w:t xml:space="preserve">agreements with </w:t>
      </w:r>
      <w:r w:rsidR="00ED48D2">
        <w:t>eight</w:t>
      </w:r>
      <w:r w:rsidR="00C86F85" w:rsidRPr="00D56303">
        <w:t xml:space="preserve"> Member States and </w:t>
      </w:r>
      <w:r w:rsidR="00DF45B0" w:rsidRPr="00D56303">
        <w:t>two</w:t>
      </w:r>
      <w:r w:rsidR="00C86F85" w:rsidRPr="00D56303">
        <w:t xml:space="preserve"> EEA countries</w:t>
      </w:r>
      <w:r>
        <w:t xml:space="preserve"> for </w:t>
      </w:r>
      <w:r w:rsidR="00C86F85" w:rsidRPr="00D56303">
        <w:t>EUR</w:t>
      </w:r>
      <w:r w:rsidR="00DF45B0" w:rsidRPr="00D56303">
        <w:t> </w:t>
      </w:r>
      <w:r w:rsidR="00ED48D2">
        <w:t>3.3</w:t>
      </w:r>
      <w:r w:rsidR="00DF45B0" w:rsidRPr="00D56303">
        <w:t> </w:t>
      </w:r>
      <w:r w:rsidR="00C86F85" w:rsidRPr="00D56303">
        <w:t>billion,</w:t>
      </w:r>
      <w:r w:rsidR="00213FAD" w:rsidRPr="00D56303">
        <w:t xml:space="preserve"> out of </w:t>
      </w:r>
      <w:r w:rsidR="00C86F85" w:rsidRPr="00D56303">
        <w:t>which</w:t>
      </w:r>
      <w:r w:rsidR="00213FAD" w:rsidRPr="00D56303">
        <w:t xml:space="preserve"> </w:t>
      </w:r>
      <w:r w:rsidR="00594DDA" w:rsidRPr="00D56303">
        <w:t xml:space="preserve">EUR </w:t>
      </w:r>
      <w:r w:rsidR="00B50869" w:rsidRPr="00D56303">
        <w:t>2.</w:t>
      </w:r>
      <w:r w:rsidR="00ED48D2">
        <w:t>6</w:t>
      </w:r>
      <w:r w:rsidR="00594DDA" w:rsidRPr="00D56303">
        <w:t xml:space="preserve"> billion is to be backed </w:t>
      </w:r>
      <w:r w:rsidR="00715C62" w:rsidRPr="00D56303">
        <w:t>by</w:t>
      </w:r>
      <w:r w:rsidR="00594DDA" w:rsidRPr="00D56303">
        <w:t xml:space="preserve"> cash</w:t>
      </w:r>
      <w:r w:rsidR="00715C62" w:rsidRPr="00D56303">
        <w:t xml:space="preserve"> contribution</w:t>
      </w:r>
      <w:r>
        <w:t>s</w:t>
      </w:r>
      <w:r w:rsidR="00594DDA" w:rsidRPr="00D56303">
        <w:t xml:space="preserve"> and EUR 0.</w:t>
      </w:r>
      <w:r w:rsidR="00B50869" w:rsidRPr="00D56303">
        <w:t>6</w:t>
      </w:r>
      <w:r w:rsidR="00594DDA" w:rsidRPr="00D56303">
        <w:t xml:space="preserve"> billion with counter guarantees.</w:t>
      </w:r>
      <w:r>
        <w:t xml:space="preserve"> This amounts were used to sign </w:t>
      </w:r>
      <w:r w:rsidR="00C64983" w:rsidRPr="00D56303">
        <w:t xml:space="preserve">EUR </w:t>
      </w:r>
      <w:r w:rsidR="00ED48D2">
        <w:t>3.3</w:t>
      </w:r>
      <w:r w:rsidR="00C64983" w:rsidRPr="00D56303">
        <w:t xml:space="preserve"> billion of </w:t>
      </w:r>
      <w:r>
        <w:t xml:space="preserve">additional </w:t>
      </w:r>
      <w:r w:rsidR="00C64983" w:rsidRPr="00D56303">
        <w:t xml:space="preserve">guarantee agreements with several </w:t>
      </w:r>
      <w:r w:rsidRPr="00D56303">
        <w:t>implementing</w:t>
      </w:r>
      <w:r w:rsidR="00C64983" w:rsidRPr="00D56303">
        <w:t xml:space="preserve"> partners</w:t>
      </w:r>
      <w:r>
        <w:t xml:space="preserve"> to date</w:t>
      </w:r>
      <w:r w:rsidR="00C64983" w:rsidRPr="00D56303">
        <w:t>.</w:t>
      </w:r>
    </w:p>
    <w:p w14:paraId="79ECB9A3" w14:textId="77777777" w:rsidR="00C742CF" w:rsidRPr="00D56303" w:rsidRDefault="00023E71" w:rsidP="007017F0">
      <w:pPr>
        <w:pStyle w:val="DGTextstand-alone"/>
      </w:pPr>
      <w:r w:rsidRPr="00BD0B40">
        <w:t xml:space="preserve">During 2025, EUR 272 million of net guarantee calls were paid out from the InvestEU compartments of the CPF (2024: EUR </w:t>
      </w:r>
      <w:r w:rsidR="00BD0B40" w:rsidRPr="00BD0B40">
        <w:t>140</w:t>
      </w:r>
      <w:r w:rsidRPr="00BD0B40">
        <w:t xml:space="preserve"> million).</w:t>
      </w:r>
    </w:p>
    <w:p w14:paraId="099A9156" w14:textId="77777777" w:rsidR="007D7F3F" w:rsidRPr="00D56303" w:rsidRDefault="00023E71" w:rsidP="007D7F3F">
      <w:pPr>
        <w:pStyle w:val="HEADER5"/>
        <w:keepNext/>
        <w:rPr>
          <w:noProof/>
        </w:rPr>
      </w:pPr>
      <w:r w:rsidRPr="00D56303">
        <w:rPr>
          <w:noProof/>
        </w:rPr>
        <w:t>Ukraine guarantee</w:t>
      </w:r>
    </w:p>
    <w:p w14:paraId="09C6521C" w14:textId="77777777" w:rsidR="007D7F3F" w:rsidRPr="00D56303" w:rsidRDefault="00023E71" w:rsidP="007D7F3F">
      <w:pPr>
        <w:pStyle w:val="DGTextstand-alone"/>
      </w:pPr>
      <w:r w:rsidRPr="00D56303">
        <w:t>Following the Ukraine Facility Regulation, the EU has established the Ukraine Guarantee for a maximum guarantee capacity of EUR 7.8 billion, to boost investments for the recovery and reconstruction of Ukraine.</w:t>
      </w:r>
    </w:p>
    <w:p w14:paraId="1848A2B0" w14:textId="77777777" w:rsidR="007D7F3F" w:rsidRPr="00D56303" w:rsidRDefault="00023E71" w:rsidP="007D7F3F">
      <w:pPr>
        <w:pStyle w:val="DGTextstand-alone"/>
      </w:pPr>
      <w:r w:rsidRPr="00D56303">
        <w:t>As at 31 December 202</w:t>
      </w:r>
      <w:r w:rsidR="00A80F56">
        <w:t>5</w:t>
      </w:r>
      <w:r w:rsidRPr="00D56303">
        <w:t xml:space="preserve">, </w:t>
      </w:r>
      <w:r>
        <w:t>eight</w:t>
      </w:r>
      <w:r w:rsidR="00B43FB8" w:rsidRPr="00D56303">
        <w:t xml:space="preserve"> </w:t>
      </w:r>
      <w:r w:rsidRPr="00D56303">
        <w:t xml:space="preserve">budgetary </w:t>
      </w:r>
      <w:r w:rsidR="00B43FB8" w:rsidRPr="00D56303">
        <w:t xml:space="preserve">guarantee agreements were </w:t>
      </w:r>
      <w:r w:rsidRPr="00D56303">
        <w:t xml:space="preserve">signed and </w:t>
      </w:r>
      <w:r w:rsidR="00B43FB8" w:rsidRPr="00D56303">
        <w:t>effective</w:t>
      </w:r>
      <w:r w:rsidRPr="00D56303">
        <w:t xml:space="preserve"> </w:t>
      </w:r>
      <w:r w:rsidR="00AD13C9" w:rsidRPr="00D56303">
        <w:t>for</w:t>
      </w:r>
      <w:r w:rsidRPr="00D56303">
        <w:t xml:space="preserve"> the total cover limit of </w:t>
      </w:r>
      <w:r w:rsidR="00B43FB8" w:rsidRPr="00D56303">
        <w:t>EUR </w:t>
      </w:r>
      <w:r>
        <w:t>3.5</w:t>
      </w:r>
      <w:r w:rsidR="00B43FB8" w:rsidRPr="00D56303">
        <w:t xml:space="preserve"> billi</w:t>
      </w:r>
      <w:r w:rsidRPr="00D56303">
        <w:t>on.</w:t>
      </w:r>
    </w:p>
    <w:p w14:paraId="3595FB5A" w14:textId="77777777" w:rsidR="00594ADA" w:rsidRPr="009F6585" w:rsidRDefault="00023E71" w:rsidP="00594ADA">
      <w:pPr>
        <w:pStyle w:val="HEADER5"/>
        <w:keepNext/>
        <w:rPr>
          <w:noProof/>
        </w:rPr>
      </w:pPr>
      <w:r w:rsidRPr="00D56303">
        <w:rPr>
          <w:noProof/>
        </w:rPr>
        <w:t>UK obligations arising from its departure from</w:t>
      </w:r>
      <w:r w:rsidRPr="009F6585">
        <w:rPr>
          <w:noProof/>
        </w:rPr>
        <w:t xml:space="preserve"> the EU</w:t>
      </w:r>
    </w:p>
    <w:p w14:paraId="55D87520" w14:textId="77777777" w:rsidR="00CD0295" w:rsidRDefault="00023E71" w:rsidP="00CD0295">
      <w:pPr>
        <w:pStyle w:val="DGTextstand-alone"/>
        <w:spacing w:after="0"/>
      </w:pPr>
      <w:r w:rsidRPr="002A16DA">
        <w:t xml:space="preserve">In </w:t>
      </w:r>
      <w:r>
        <w:t>accordance with Article 143 of the Withdrawal Agreement, the UK shall be liable to the Union for its share of contingent financial liabilities related to EFSI, EFSD and the EIB external lending mandate operations approved by the withdrawal date, 31 January 2020. Article 143 requires that in case of a guarantee call for a financial operation that has been approved before the withdrawal date, the UK would be liable to the Union for its share of payments made by the Union under those operations, unless this could be covered by the UK share of provisioning held in the guarantee fund where this is relevant.</w:t>
      </w:r>
    </w:p>
    <w:p w14:paraId="6C1226C3" w14:textId="77777777" w:rsidR="00CD0295" w:rsidRDefault="00023E71" w:rsidP="00CD0295">
      <w:pPr>
        <w:pStyle w:val="DGTextstand-alone"/>
        <w:spacing w:after="0"/>
      </w:pPr>
      <w:r>
        <w:t>For EIB ELM loans, the value of the EU budgetary guarantee at the withdrawal date, for the operations approved by the withdrawal date, was EUR 33.7 billion. At 31 December 2025 this had changed to EUR 17.3 billion (2024: EUR 20.6 billion). The UK share of this contingent liability at 31 December 2025 is thus EUR 2.1 billion (31 December 2024: EUR 2.6 billion). As stated above however, any default on these loans is first covered by the Guarantee Fund for external actions compartment of the CPF and amounts would only be called from the UK if the UK provisioning for this fund, of EUR 244 million at 31 December 2025, was not sufficient.</w:t>
      </w:r>
    </w:p>
    <w:p w14:paraId="0F65F463" w14:textId="77777777" w:rsidR="00CD0295" w:rsidRDefault="00023E71" w:rsidP="00CD0295">
      <w:pPr>
        <w:pStyle w:val="DGTextstand-alone"/>
        <w:spacing w:after="0"/>
      </w:pPr>
      <w:r>
        <w:t>With respect to EFSI operations, the value of the EU budgetary guarantee at the withdrawal date, for the operations approved by the withdrawal date, was EUR 23.5 billion. At 31 December 2025 this remained at EUR 16.7 billion (2024: EUR 17.0 billion). The UK share of this contingent liability at 31 December 2025 is thus EUR 2.1 billion. Any guarantee calls under EFSI are first covered by the EFSI guarantee fund compartment of the CPF and amounts would only be called from the UK if the UK provisioning for this fund, of EUR 443 million at 31 December 2025, was not sufficient.</w:t>
      </w:r>
    </w:p>
    <w:p w14:paraId="555D4305" w14:textId="77777777" w:rsidR="00CD0295" w:rsidRDefault="00023E71" w:rsidP="00CD0295">
      <w:pPr>
        <w:pStyle w:val="DGTextstand-alone"/>
        <w:spacing w:after="0"/>
      </w:pPr>
      <w:r>
        <w:t>As no operations had been approved by the implementing partners in relation to the EFSD Guarantee before the withdrawal date, the UK has no obligations here.</w:t>
      </w:r>
    </w:p>
    <w:p w14:paraId="75E0F479" w14:textId="77777777" w:rsidR="00B66906" w:rsidRDefault="00023E71" w:rsidP="00CD0295">
      <w:pPr>
        <w:pStyle w:val="DGTextstand-alone"/>
        <w:spacing w:after="0"/>
      </w:pPr>
      <w:r>
        <w:t>The UK share of the payments made in 2025 for the operations approved on or after the withdrawal date and up to 31 December 2020 amounted to EUR 98 million (EUR 97 million for EFSI and EUR 1 million for ELM), reducing correspondingly the UK provisioning. The amount due to the UK in 2025 is EUR 198.3 million</w:t>
      </w:r>
      <w:r w:rsidRPr="00656DA0">
        <w:t xml:space="preserve"> (</w:t>
      </w:r>
      <w:r w:rsidRPr="00EE3F75">
        <w:t xml:space="preserve">see </w:t>
      </w:r>
      <w:r>
        <w:t>N</w:t>
      </w:r>
      <w:r w:rsidRPr="00EE3F75">
        <w:t xml:space="preserve">ote </w:t>
      </w:r>
      <w:r w:rsidRPr="00C815ED">
        <w:rPr>
          <w:b/>
          <w:bCs/>
        </w:rPr>
        <w:t>2.6.1.2</w:t>
      </w:r>
      <w:r w:rsidRPr="00CE1E95">
        <w:t>).</w:t>
      </w:r>
    </w:p>
    <w:p w14:paraId="520FC81B" w14:textId="77777777" w:rsidR="007609ED" w:rsidRPr="00C5372D" w:rsidRDefault="00023E71" w:rsidP="00172034">
      <w:pPr>
        <w:pStyle w:val="HEADER3NOTES"/>
        <w:numPr>
          <w:ilvl w:val="2"/>
          <w:numId w:val="15"/>
        </w:numPr>
        <w:rPr>
          <w:noProof/>
        </w:rPr>
      </w:pPr>
      <w:r w:rsidRPr="00C5372D">
        <w:rPr>
          <w:noProof/>
        </w:rPr>
        <w:t>Guarantees given under EU financial instrument programmes (nominal)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7"/>
        <w:gridCol w:w="2342"/>
        <w:gridCol w:w="1289"/>
      </w:tblGrid>
      <w:tr w:rsidR="00807FFE" w14:paraId="5931C4F7" w14:textId="77777777">
        <w:trPr>
          <w:trHeight w:val="255"/>
        </w:trPr>
        <w:tc>
          <w:tcPr>
            <w:tcW w:w="6127" w:type="dxa"/>
            <w:tcBorders>
              <w:top w:val="nil"/>
              <w:left w:val="nil"/>
              <w:bottom w:val="nil"/>
              <w:right w:val="nil"/>
              <w:tl2br w:val="nil"/>
              <w:tr2bl w:val="nil"/>
            </w:tcBorders>
            <w:tcMar>
              <w:left w:w="60" w:type="dxa"/>
              <w:right w:w="60" w:type="dxa"/>
            </w:tcMar>
            <w:vAlign w:val="bottom"/>
          </w:tcPr>
          <w:p w14:paraId="427CA147" w14:textId="77777777" w:rsidR="00807FFE" w:rsidRDefault="00807FFE">
            <w:pPr>
              <w:pStyle w:val="DMETW36638BIPINSGUA"/>
              <w:rPr>
                <w:rFonts w:ascii="Verdana" w:eastAsia="Verdana" w:hAnsi="Verdana" w:cs="Verdana"/>
                <w:noProof/>
                <w:color w:val="000000"/>
                <w:sz w:val="18"/>
                <w:lang w:bidi="en-GB"/>
              </w:rPr>
            </w:pPr>
            <w:bookmarkStart w:id="210" w:name="DOC_TBL00081_1_1"/>
            <w:bookmarkEnd w:id="210"/>
          </w:p>
        </w:tc>
        <w:tc>
          <w:tcPr>
            <w:tcW w:w="2342" w:type="dxa"/>
            <w:tcBorders>
              <w:top w:val="nil"/>
              <w:left w:val="nil"/>
              <w:bottom w:val="nil"/>
              <w:right w:val="nil"/>
              <w:tl2br w:val="nil"/>
              <w:tr2bl w:val="nil"/>
            </w:tcBorders>
            <w:tcMar>
              <w:left w:w="60" w:type="dxa"/>
              <w:right w:w="60" w:type="dxa"/>
            </w:tcMar>
            <w:vAlign w:val="bottom"/>
          </w:tcPr>
          <w:p w14:paraId="42440918" w14:textId="77777777" w:rsidR="00807FFE" w:rsidRDefault="00807FFE">
            <w:pPr>
              <w:pStyle w:val="DMETW36638BIPINSGUA"/>
              <w:jc w:val="right"/>
              <w:rPr>
                <w:rFonts w:ascii="Verdana" w:eastAsia="Verdana" w:hAnsi="Verdana" w:cs="Verdana"/>
                <w:i/>
                <w:noProof/>
                <w:color w:val="000000"/>
                <w:sz w:val="18"/>
              </w:rPr>
            </w:pPr>
          </w:p>
        </w:tc>
        <w:tc>
          <w:tcPr>
            <w:tcW w:w="1289" w:type="dxa"/>
            <w:tcBorders>
              <w:top w:val="nil"/>
              <w:left w:val="nil"/>
              <w:bottom w:val="nil"/>
              <w:right w:val="nil"/>
              <w:tl2br w:val="nil"/>
              <w:tr2bl w:val="nil"/>
            </w:tcBorders>
            <w:tcMar>
              <w:left w:w="60" w:type="dxa"/>
              <w:right w:w="60" w:type="dxa"/>
            </w:tcMar>
            <w:vAlign w:val="bottom"/>
          </w:tcPr>
          <w:p w14:paraId="471DB190" w14:textId="77777777" w:rsidR="00807FFE" w:rsidRDefault="00023E71">
            <w:pPr>
              <w:pStyle w:val="DMETW36638BIPINSGUA"/>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78E8FFDF" w14:textId="77777777">
        <w:trPr>
          <w:trHeight w:val="255"/>
        </w:trPr>
        <w:tc>
          <w:tcPr>
            <w:tcW w:w="6127" w:type="dxa"/>
            <w:tcBorders>
              <w:top w:val="nil"/>
              <w:left w:val="nil"/>
              <w:bottom w:val="nil"/>
              <w:right w:val="nil"/>
              <w:tl2br w:val="nil"/>
              <w:tr2bl w:val="nil"/>
            </w:tcBorders>
            <w:shd w:val="solid" w:color="016794" w:fill="FFFFFF"/>
            <w:tcMar>
              <w:left w:w="60" w:type="dxa"/>
              <w:right w:w="60" w:type="dxa"/>
            </w:tcMar>
            <w:vAlign w:val="center"/>
          </w:tcPr>
          <w:p w14:paraId="655E27E5" w14:textId="77777777" w:rsidR="00807FFE" w:rsidRDefault="00807FFE">
            <w:pPr>
              <w:pStyle w:val="DMETW36638BIPINSGUA"/>
              <w:rPr>
                <w:rFonts w:ascii="Verdana" w:eastAsia="Verdana" w:hAnsi="Verdana" w:cs="Verdana"/>
                <w:noProof/>
                <w:color w:val="FFFFFF"/>
                <w:sz w:val="18"/>
              </w:rPr>
            </w:pPr>
          </w:p>
        </w:tc>
        <w:tc>
          <w:tcPr>
            <w:tcW w:w="2342" w:type="dxa"/>
            <w:tcBorders>
              <w:top w:val="nil"/>
              <w:left w:val="nil"/>
              <w:bottom w:val="nil"/>
              <w:right w:val="nil"/>
              <w:tl2br w:val="nil"/>
              <w:tr2bl w:val="nil"/>
            </w:tcBorders>
            <w:shd w:val="solid" w:color="016794" w:fill="FFFFFF"/>
            <w:tcMar>
              <w:left w:w="60" w:type="dxa"/>
              <w:right w:w="60" w:type="dxa"/>
            </w:tcMar>
            <w:vAlign w:val="center"/>
          </w:tcPr>
          <w:p w14:paraId="682D792B" w14:textId="77777777" w:rsidR="00807FFE" w:rsidRDefault="00023E71">
            <w:pPr>
              <w:pStyle w:val="DMETW36638BIPINSGUA"/>
              <w:jc w:val="right"/>
              <w:rPr>
                <w:rFonts w:ascii="Verdana" w:eastAsia="Verdana" w:hAnsi="Verdana" w:cs="Verdana"/>
                <w:noProof/>
                <w:color w:val="FFFFFF"/>
                <w:sz w:val="18"/>
              </w:rPr>
            </w:pPr>
            <w:r>
              <w:rPr>
                <w:rFonts w:ascii="Verdana" w:eastAsia="Verdana" w:hAnsi="Verdana" w:cs="Verdana"/>
                <w:noProof/>
                <w:color w:val="FFFFFF"/>
                <w:sz w:val="18"/>
              </w:rPr>
              <w:t>31.12.2025</w:t>
            </w:r>
          </w:p>
        </w:tc>
        <w:tc>
          <w:tcPr>
            <w:tcW w:w="1289" w:type="dxa"/>
            <w:tcBorders>
              <w:top w:val="nil"/>
              <w:left w:val="nil"/>
              <w:bottom w:val="nil"/>
              <w:right w:val="nil"/>
              <w:tl2br w:val="nil"/>
              <w:tr2bl w:val="nil"/>
            </w:tcBorders>
            <w:shd w:val="solid" w:color="016794" w:fill="FFFFFF"/>
            <w:tcMar>
              <w:left w:w="60" w:type="dxa"/>
              <w:right w:w="60" w:type="dxa"/>
            </w:tcMar>
            <w:vAlign w:val="center"/>
          </w:tcPr>
          <w:p w14:paraId="338E65ED" w14:textId="77777777" w:rsidR="00807FFE" w:rsidRDefault="00023E71">
            <w:pPr>
              <w:pStyle w:val="DMETW36638BIPINSGUA"/>
              <w:jc w:val="right"/>
              <w:rPr>
                <w:rFonts w:ascii="Verdana" w:eastAsia="Verdana" w:hAnsi="Verdana" w:cs="Verdana"/>
                <w:noProof/>
                <w:color w:val="FFFFFF"/>
                <w:sz w:val="18"/>
                <w:lang w:bidi="en-GB"/>
              </w:rPr>
            </w:pPr>
            <w:r>
              <w:rPr>
                <w:rFonts w:ascii="Verdana" w:eastAsia="Verdana" w:hAnsi="Verdana" w:cs="Verdana"/>
                <w:noProof/>
                <w:color w:val="FFFFFF"/>
                <w:sz w:val="18"/>
              </w:rPr>
              <w:t>31.12.2024</w:t>
            </w:r>
          </w:p>
        </w:tc>
      </w:tr>
      <w:tr w:rsidR="00807FFE" w14:paraId="2B99615C" w14:textId="77777777">
        <w:trPr>
          <w:trHeight w:val="255"/>
        </w:trPr>
        <w:tc>
          <w:tcPr>
            <w:tcW w:w="6127" w:type="dxa"/>
            <w:tcBorders>
              <w:top w:val="nil"/>
              <w:left w:val="nil"/>
              <w:bottom w:val="nil"/>
              <w:right w:val="nil"/>
              <w:tl2br w:val="nil"/>
              <w:tr2bl w:val="nil"/>
            </w:tcBorders>
            <w:tcMar>
              <w:left w:w="60" w:type="dxa"/>
              <w:right w:w="60" w:type="dxa"/>
            </w:tcMar>
            <w:vAlign w:val="center"/>
          </w:tcPr>
          <w:p w14:paraId="1DAD18DB" w14:textId="77777777" w:rsidR="00807FFE" w:rsidRDefault="00023E71">
            <w:pPr>
              <w:pStyle w:val="DMETW36638BIPINSGUA"/>
              <w:rPr>
                <w:rFonts w:ascii="Verdana" w:eastAsia="Verdana" w:hAnsi="Verdana" w:cs="Verdana"/>
                <w:i/>
                <w:noProof/>
                <w:color w:val="000000"/>
                <w:sz w:val="18"/>
              </w:rPr>
            </w:pPr>
            <w:r>
              <w:rPr>
                <w:rFonts w:ascii="Verdana" w:eastAsia="Verdana" w:hAnsi="Verdana" w:cs="Verdana"/>
                <w:i/>
                <w:noProof/>
                <w:color w:val="000000"/>
                <w:sz w:val="18"/>
              </w:rPr>
              <w:t>Horizon 2020</w:t>
            </w:r>
          </w:p>
        </w:tc>
        <w:tc>
          <w:tcPr>
            <w:tcW w:w="2342" w:type="dxa"/>
            <w:tcBorders>
              <w:top w:val="nil"/>
              <w:left w:val="nil"/>
              <w:bottom w:val="nil"/>
              <w:right w:val="nil"/>
              <w:tl2br w:val="nil"/>
              <w:tr2bl w:val="nil"/>
            </w:tcBorders>
            <w:tcMar>
              <w:left w:w="60" w:type="dxa"/>
              <w:right w:w="60" w:type="dxa"/>
            </w:tcMar>
            <w:vAlign w:val="bottom"/>
          </w:tcPr>
          <w:p w14:paraId="149F535E" w14:textId="77777777" w:rsidR="00807FFE" w:rsidRDefault="00023E71">
            <w:pPr>
              <w:pStyle w:val="DMETW36638BIPINSGUA"/>
              <w:jc w:val="right"/>
              <w:rPr>
                <w:rFonts w:ascii="Verdana" w:eastAsia="Verdana" w:hAnsi="Verdana" w:cs="Verdana"/>
                <w:i/>
                <w:noProof/>
                <w:color w:val="000000"/>
                <w:sz w:val="18"/>
              </w:rPr>
            </w:pPr>
            <w:r>
              <w:rPr>
                <w:rFonts w:ascii="Verdana" w:eastAsia="Verdana" w:hAnsi="Verdana" w:cs="Verdana"/>
                <w:i/>
                <w:noProof/>
                <w:color w:val="000000"/>
                <w:sz w:val="18"/>
              </w:rPr>
              <w:t>2 027</w:t>
            </w:r>
          </w:p>
        </w:tc>
        <w:tc>
          <w:tcPr>
            <w:tcW w:w="1289" w:type="dxa"/>
            <w:tcBorders>
              <w:top w:val="nil"/>
              <w:left w:val="nil"/>
              <w:bottom w:val="nil"/>
              <w:right w:val="nil"/>
              <w:tl2br w:val="nil"/>
              <w:tr2bl w:val="nil"/>
            </w:tcBorders>
            <w:tcMar>
              <w:left w:w="60" w:type="dxa"/>
              <w:right w:w="60" w:type="dxa"/>
            </w:tcMar>
            <w:vAlign w:val="bottom"/>
          </w:tcPr>
          <w:p w14:paraId="3F4DED67" w14:textId="77777777" w:rsidR="00807FFE" w:rsidRDefault="00023E71">
            <w:pPr>
              <w:pStyle w:val="DMETW36638BIPINSGUA"/>
              <w:jc w:val="right"/>
              <w:rPr>
                <w:rFonts w:ascii="Verdana" w:eastAsia="Verdana" w:hAnsi="Verdana" w:cs="Verdana"/>
                <w:i/>
                <w:noProof/>
                <w:color w:val="000000"/>
                <w:sz w:val="18"/>
                <w:lang w:bidi="en-GB"/>
              </w:rPr>
            </w:pPr>
            <w:r>
              <w:rPr>
                <w:rFonts w:ascii="Verdana" w:eastAsia="Verdana" w:hAnsi="Verdana" w:cs="Verdana"/>
                <w:i/>
                <w:noProof/>
                <w:color w:val="000000"/>
                <w:sz w:val="18"/>
              </w:rPr>
              <w:t>2 145</w:t>
            </w:r>
          </w:p>
        </w:tc>
      </w:tr>
      <w:tr w:rsidR="00807FFE" w14:paraId="38CBFC27" w14:textId="77777777">
        <w:trPr>
          <w:trHeight w:val="255"/>
        </w:trPr>
        <w:tc>
          <w:tcPr>
            <w:tcW w:w="6127" w:type="dxa"/>
            <w:tcBorders>
              <w:top w:val="nil"/>
              <w:left w:val="nil"/>
              <w:bottom w:val="nil"/>
              <w:right w:val="nil"/>
              <w:tl2br w:val="nil"/>
              <w:tr2bl w:val="nil"/>
            </w:tcBorders>
            <w:tcMar>
              <w:left w:w="60" w:type="dxa"/>
              <w:right w:w="60" w:type="dxa"/>
            </w:tcMar>
            <w:vAlign w:val="center"/>
          </w:tcPr>
          <w:p w14:paraId="3638D134" w14:textId="77777777" w:rsidR="00807FFE" w:rsidRDefault="00023E71">
            <w:pPr>
              <w:pStyle w:val="DMETW36638BIPINSGUA"/>
              <w:rPr>
                <w:rFonts w:ascii="Verdana" w:eastAsia="Verdana" w:hAnsi="Verdana" w:cs="Verdana"/>
                <w:i/>
                <w:noProof/>
                <w:color w:val="000000"/>
                <w:sz w:val="18"/>
              </w:rPr>
            </w:pPr>
            <w:r>
              <w:rPr>
                <w:rFonts w:ascii="Verdana" w:eastAsia="Verdana" w:hAnsi="Verdana" w:cs="Verdana"/>
                <w:i/>
                <w:noProof/>
                <w:color w:val="000000"/>
                <w:sz w:val="18"/>
              </w:rPr>
              <w:t>Connecting Europe Facility</w:t>
            </w:r>
          </w:p>
        </w:tc>
        <w:tc>
          <w:tcPr>
            <w:tcW w:w="2342" w:type="dxa"/>
            <w:tcBorders>
              <w:top w:val="nil"/>
              <w:left w:val="nil"/>
              <w:bottom w:val="nil"/>
              <w:right w:val="nil"/>
              <w:tl2br w:val="nil"/>
              <w:tr2bl w:val="nil"/>
            </w:tcBorders>
            <w:tcMar>
              <w:left w:w="60" w:type="dxa"/>
              <w:right w:w="60" w:type="dxa"/>
            </w:tcMar>
            <w:vAlign w:val="bottom"/>
          </w:tcPr>
          <w:p w14:paraId="3CBE7602" w14:textId="77777777" w:rsidR="00807FFE" w:rsidRDefault="00023E71">
            <w:pPr>
              <w:pStyle w:val="DMETW36638BIPINSGUA"/>
              <w:jc w:val="right"/>
              <w:rPr>
                <w:rFonts w:ascii="Verdana" w:eastAsia="Verdana" w:hAnsi="Verdana" w:cs="Verdana"/>
                <w:i/>
                <w:noProof/>
                <w:color w:val="000000"/>
                <w:sz w:val="18"/>
              </w:rPr>
            </w:pPr>
            <w:r>
              <w:rPr>
                <w:rFonts w:ascii="Verdana" w:eastAsia="Verdana" w:hAnsi="Verdana" w:cs="Verdana"/>
                <w:i/>
                <w:noProof/>
                <w:color w:val="000000"/>
                <w:sz w:val="18"/>
              </w:rPr>
              <w:t xml:space="preserve"> 644</w:t>
            </w:r>
          </w:p>
        </w:tc>
        <w:tc>
          <w:tcPr>
            <w:tcW w:w="1289" w:type="dxa"/>
            <w:tcBorders>
              <w:top w:val="nil"/>
              <w:left w:val="nil"/>
              <w:bottom w:val="nil"/>
              <w:right w:val="nil"/>
              <w:tl2br w:val="nil"/>
              <w:tr2bl w:val="nil"/>
            </w:tcBorders>
            <w:tcMar>
              <w:left w:w="60" w:type="dxa"/>
              <w:right w:w="60" w:type="dxa"/>
            </w:tcMar>
            <w:vAlign w:val="bottom"/>
          </w:tcPr>
          <w:p w14:paraId="71C1F474" w14:textId="77777777" w:rsidR="00807FFE" w:rsidRDefault="00023E71">
            <w:pPr>
              <w:pStyle w:val="DMETW36638BIPINSGU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649</w:t>
            </w:r>
          </w:p>
        </w:tc>
      </w:tr>
      <w:tr w:rsidR="00807FFE" w14:paraId="4A4CCAA3" w14:textId="77777777">
        <w:trPr>
          <w:trHeight w:val="255"/>
        </w:trPr>
        <w:tc>
          <w:tcPr>
            <w:tcW w:w="6127" w:type="dxa"/>
            <w:tcBorders>
              <w:top w:val="nil"/>
              <w:left w:val="nil"/>
              <w:bottom w:val="nil"/>
              <w:right w:val="nil"/>
              <w:tl2br w:val="nil"/>
              <w:tr2bl w:val="nil"/>
            </w:tcBorders>
            <w:tcMar>
              <w:left w:w="60" w:type="dxa"/>
              <w:right w:w="60" w:type="dxa"/>
            </w:tcMar>
            <w:vAlign w:val="center"/>
          </w:tcPr>
          <w:p w14:paraId="0495414F" w14:textId="77777777" w:rsidR="00807FFE" w:rsidRDefault="00023E71">
            <w:pPr>
              <w:pStyle w:val="DMETW36638BIPINSGUA"/>
              <w:rPr>
                <w:rFonts w:ascii="Verdana" w:eastAsia="Verdana" w:hAnsi="Verdana" w:cs="Verdana"/>
                <w:i/>
                <w:noProof/>
                <w:color w:val="000000"/>
                <w:sz w:val="18"/>
              </w:rPr>
            </w:pPr>
            <w:r>
              <w:rPr>
                <w:rFonts w:ascii="Verdana" w:eastAsia="Verdana" w:hAnsi="Verdana" w:cs="Verdana"/>
                <w:i/>
                <w:noProof/>
                <w:color w:val="000000"/>
                <w:sz w:val="18"/>
              </w:rPr>
              <w:t>COSME</w:t>
            </w:r>
          </w:p>
        </w:tc>
        <w:tc>
          <w:tcPr>
            <w:tcW w:w="2342" w:type="dxa"/>
            <w:tcBorders>
              <w:top w:val="nil"/>
              <w:left w:val="nil"/>
              <w:bottom w:val="nil"/>
              <w:right w:val="nil"/>
              <w:tl2br w:val="nil"/>
              <w:tr2bl w:val="nil"/>
            </w:tcBorders>
            <w:tcMar>
              <w:left w:w="60" w:type="dxa"/>
              <w:right w:w="60" w:type="dxa"/>
            </w:tcMar>
            <w:vAlign w:val="bottom"/>
          </w:tcPr>
          <w:p w14:paraId="6CF71EB5" w14:textId="77777777" w:rsidR="00807FFE" w:rsidRDefault="00023E71">
            <w:pPr>
              <w:pStyle w:val="DMETW36638BIPINSGUA"/>
              <w:jc w:val="right"/>
              <w:rPr>
                <w:rFonts w:ascii="Verdana" w:eastAsia="Verdana" w:hAnsi="Verdana" w:cs="Verdana"/>
                <w:i/>
                <w:noProof/>
                <w:color w:val="000000"/>
                <w:sz w:val="18"/>
              </w:rPr>
            </w:pPr>
            <w:r>
              <w:rPr>
                <w:rFonts w:ascii="Verdana" w:eastAsia="Verdana" w:hAnsi="Verdana" w:cs="Verdana"/>
                <w:i/>
                <w:noProof/>
                <w:color w:val="000000"/>
                <w:sz w:val="18"/>
              </w:rPr>
              <w:t xml:space="preserve"> 236</w:t>
            </w:r>
          </w:p>
        </w:tc>
        <w:tc>
          <w:tcPr>
            <w:tcW w:w="1289" w:type="dxa"/>
            <w:tcBorders>
              <w:top w:val="nil"/>
              <w:left w:val="nil"/>
              <w:bottom w:val="nil"/>
              <w:right w:val="nil"/>
              <w:tl2br w:val="nil"/>
              <w:tr2bl w:val="nil"/>
            </w:tcBorders>
            <w:tcMar>
              <w:left w:w="60" w:type="dxa"/>
              <w:right w:w="60" w:type="dxa"/>
            </w:tcMar>
            <w:vAlign w:val="bottom"/>
          </w:tcPr>
          <w:p w14:paraId="5F61E9A2" w14:textId="77777777" w:rsidR="00807FFE" w:rsidRDefault="00023E71">
            <w:pPr>
              <w:pStyle w:val="DMETW36638BIPINSGU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378</w:t>
            </w:r>
          </w:p>
        </w:tc>
      </w:tr>
      <w:tr w:rsidR="00807FFE" w14:paraId="08A6516E" w14:textId="77777777">
        <w:trPr>
          <w:trHeight w:val="255"/>
        </w:trPr>
        <w:tc>
          <w:tcPr>
            <w:tcW w:w="6127" w:type="dxa"/>
            <w:tcBorders>
              <w:top w:val="nil"/>
              <w:left w:val="nil"/>
              <w:bottom w:val="nil"/>
              <w:right w:val="nil"/>
              <w:tl2br w:val="nil"/>
              <w:tr2bl w:val="nil"/>
            </w:tcBorders>
            <w:tcMar>
              <w:left w:w="60" w:type="dxa"/>
              <w:right w:w="60" w:type="dxa"/>
            </w:tcMar>
            <w:vAlign w:val="center"/>
          </w:tcPr>
          <w:p w14:paraId="7F06A06F" w14:textId="77777777" w:rsidR="00807FFE" w:rsidRDefault="00023E71">
            <w:pPr>
              <w:pStyle w:val="DMETW36638BIPINSGUA"/>
              <w:rPr>
                <w:rFonts w:ascii="Verdana" w:eastAsia="Verdana" w:hAnsi="Verdana" w:cs="Verdana"/>
                <w:i/>
                <w:noProof/>
                <w:color w:val="000000"/>
                <w:sz w:val="18"/>
              </w:rPr>
            </w:pPr>
            <w:r>
              <w:rPr>
                <w:rFonts w:ascii="Verdana" w:eastAsia="Verdana" w:hAnsi="Verdana" w:cs="Verdana"/>
                <w:i/>
                <w:noProof/>
                <w:color w:val="000000"/>
                <w:sz w:val="18"/>
              </w:rPr>
              <w:t>Other</w:t>
            </w:r>
          </w:p>
        </w:tc>
        <w:tc>
          <w:tcPr>
            <w:tcW w:w="2342" w:type="dxa"/>
            <w:tcBorders>
              <w:top w:val="nil"/>
              <w:left w:val="nil"/>
              <w:bottom w:val="nil"/>
              <w:right w:val="nil"/>
              <w:tl2br w:val="nil"/>
              <w:tr2bl w:val="nil"/>
            </w:tcBorders>
            <w:tcMar>
              <w:left w:w="60" w:type="dxa"/>
              <w:right w:w="60" w:type="dxa"/>
            </w:tcMar>
            <w:vAlign w:val="bottom"/>
          </w:tcPr>
          <w:p w14:paraId="3C45BEA1" w14:textId="77777777" w:rsidR="00807FFE" w:rsidRDefault="00023E71">
            <w:pPr>
              <w:pStyle w:val="DMETW36638BIPINSGUA"/>
              <w:jc w:val="right"/>
              <w:rPr>
                <w:rFonts w:ascii="Verdana" w:eastAsia="Verdana" w:hAnsi="Verdana" w:cs="Verdana"/>
                <w:i/>
                <w:noProof/>
                <w:color w:val="000000"/>
                <w:sz w:val="18"/>
              </w:rPr>
            </w:pPr>
            <w:r>
              <w:rPr>
                <w:rFonts w:ascii="Verdana" w:eastAsia="Verdana" w:hAnsi="Verdana" w:cs="Verdana"/>
                <w:i/>
                <w:noProof/>
                <w:color w:val="000000"/>
                <w:sz w:val="18"/>
              </w:rPr>
              <w:t xml:space="preserve"> 536</w:t>
            </w:r>
          </w:p>
        </w:tc>
        <w:tc>
          <w:tcPr>
            <w:tcW w:w="1289" w:type="dxa"/>
            <w:tcBorders>
              <w:top w:val="nil"/>
              <w:left w:val="nil"/>
              <w:bottom w:val="nil"/>
              <w:right w:val="nil"/>
              <w:tl2br w:val="nil"/>
              <w:tr2bl w:val="nil"/>
            </w:tcBorders>
            <w:tcMar>
              <w:left w:w="60" w:type="dxa"/>
              <w:right w:w="60" w:type="dxa"/>
            </w:tcMar>
            <w:vAlign w:val="bottom"/>
          </w:tcPr>
          <w:p w14:paraId="5AAF0D83" w14:textId="77777777" w:rsidR="00807FFE" w:rsidRDefault="00023E71">
            <w:pPr>
              <w:pStyle w:val="DMETW36638BIPINSGU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471</w:t>
            </w:r>
          </w:p>
        </w:tc>
      </w:tr>
      <w:tr w:rsidR="00807FFE" w14:paraId="2902F24E" w14:textId="77777777">
        <w:trPr>
          <w:trHeight w:val="255"/>
        </w:trPr>
        <w:tc>
          <w:tcPr>
            <w:tcW w:w="6127" w:type="dxa"/>
            <w:tcBorders>
              <w:top w:val="nil"/>
              <w:left w:val="nil"/>
              <w:bottom w:val="nil"/>
              <w:right w:val="nil"/>
              <w:tl2br w:val="nil"/>
              <w:tr2bl w:val="nil"/>
            </w:tcBorders>
            <w:shd w:val="solid" w:color="CCE1EA" w:fill="FFFFFF"/>
            <w:tcMar>
              <w:left w:w="60" w:type="dxa"/>
              <w:right w:w="60" w:type="dxa"/>
            </w:tcMar>
            <w:vAlign w:val="center"/>
          </w:tcPr>
          <w:p w14:paraId="6F8E9F95" w14:textId="77777777" w:rsidR="00807FFE" w:rsidRDefault="00023E71">
            <w:pPr>
              <w:pStyle w:val="DMETW36638BIPINSGUA"/>
              <w:rPr>
                <w:rFonts w:ascii="Verdana" w:eastAsia="Verdana" w:hAnsi="Verdana" w:cs="Verdana"/>
                <w:b/>
                <w:noProof/>
                <w:color w:val="000000"/>
                <w:sz w:val="18"/>
              </w:rPr>
            </w:pPr>
            <w:r>
              <w:rPr>
                <w:rFonts w:ascii="Verdana" w:eastAsia="Verdana" w:hAnsi="Verdana" w:cs="Verdana"/>
                <w:b/>
                <w:noProof/>
                <w:color w:val="000000"/>
                <w:sz w:val="18"/>
              </w:rPr>
              <w:t>Total</w:t>
            </w:r>
          </w:p>
        </w:tc>
        <w:tc>
          <w:tcPr>
            <w:tcW w:w="2342" w:type="dxa"/>
            <w:tcBorders>
              <w:top w:val="nil"/>
              <w:left w:val="nil"/>
              <w:bottom w:val="nil"/>
              <w:right w:val="nil"/>
              <w:tl2br w:val="nil"/>
              <w:tr2bl w:val="nil"/>
            </w:tcBorders>
            <w:shd w:val="solid" w:color="CCE1EA" w:fill="FFFFFF"/>
            <w:tcMar>
              <w:left w:w="60" w:type="dxa"/>
              <w:right w:w="60" w:type="dxa"/>
            </w:tcMar>
            <w:vAlign w:val="bottom"/>
          </w:tcPr>
          <w:p w14:paraId="4D8D00ED" w14:textId="77777777" w:rsidR="00807FFE" w:rsidRDefault="00023E71">
            <w:pPr>
              <w:pStyle w:val="DMETW36638BIPINSGUA"/>
              <w:jc w:val="right"/>
              <w:rPr>
                <w:rFonts w:ascii="Verdana" w:eastAsia="Verdana" w:hAnsi="Verdana" w:cs="Verdana"/>
                <w:b/>
                <w:noProof/>
                <w:color w:val="000000"/>
                <w:sz w:val="18"/>
              </w:rPr>
            </w:pPr>
            <w:r>
              <w:rPr>
                <w:rFonts w:ascii="Verdana" w:eastAsia="Verdana" w:hAnsi="Verdana" w:cs="Verdana"/>
                <w:b/>
                <w:noProof/>
                <w:color w:val="000000"/>
                <w:sz w:val="18"/>
              </w:rPr>
              <w:t>3 443</w:t>
            </w:r>
          </w:p>
        </w:tc>
        <w:tc>
          <w:tcPr>
            <w:tcW w:w="1289" w:type="dxa"/>
            <w:tcBorders>
              <w:top w:val="nil"/>
              <w:left w:val="nil"/>
              <w:bottom w:val="nil"/>
              <w:right w:val="nil"/>
              <w:tl2br w:val="nil"/>
              <w:tr2bl w:val="nil"/>
            </w:tcBorders>
            <w:shd w:val="solid" w:color="CCE1EA" w:fill="FFFFFF"/>
            <w:tcMar>
              <w:left w:w="60" w:type="dxa"/>
              <w:right w:w="60" w:type="dxa"/>
            </w:tcMar>
            <w:vAlign w:val="bottom"/>
          </w:tcPr>
          <w:p w14:paraId="35697038" w14:textId="77777777" w:rsidR="00807FFE" w:rsidRDefault="00023E71">
            <w:pPr>
              <w:pStyle w:val="DMETW36638BIPINSGUA"/>
              <w:jc w:val="right"/>
              <w:rPr>
                <w:rFonts w:ascii="Verdana" w:eastAsia="Verdana" w:hAnsi="Verdana" w:cs="Verdana"/>
                <w:b/>
                <w:noProof/>
                <w:color w:val="000000"/>
                <w:sz w:val="18"/>
              </w:rPr>
            </w:pPr>
            <w:r>
              <w:rPr>
                <w:rFonts w:ascii="Verdana" w:eastAsia="Verdana" w:hAnsi="Verdana" w:cs="Verdana"/>
                <w:b/>
                <w:noProof/>
                <w:color w:val="000000"/>
                <w:sz w:val="18"/>
              </w:rPr>
              <w:t>3 642</w:t>
            </w:r>
          </w:p>
        </w:tc>
      </w:tr>
    </w:tbl>
    <w:p w14:paraId="71166BA1" w14:textId="77777777" w:rsidR="00592806" w:rsidRDefault="00023E71" w:rsidP="00592806">
      <w:pPr>
        <w:pStyle w:val="DGTextstand-alone"/>
      </w:pPr>
      <w:r w:rsidRPr="008F19E4">
        <w:t xml:space="preserve">The </w:t>
      </w:r>
      <w:r w:rsidRPr="00E97A5A">
        <w:t xml:space="preserve">amounts </w:t>
      </w:r>
      <w:r>
        <w:t>in the above tab</w:t>
      </w:r>
      <w:r w:rsidR="00FA6E2D">
        <w:t>l</w:t>
      </w:r>
      <w:r>
        <w:t>e</w:t>
      </w:r>
      <w:r w:rsidRPr="00E97A5A">
        <w:t xml:space="preserve"> present the outstanding nominal amounts of the guarantees</w:t>
      </w:r>
      <w:r>
        <w:t xml:space="preserve"> given under the EU financial instruments programmes.</w:t>
      </w:r>
    </w:p>
    <w:p w14:paraId="042C02C4" w14:textId="77777777" w:rsidR="00E97A5A" w:rsidRDefault="00023E71" w:rsidP="007609ED">
      <w:pPr>
        <w:pStyle w:val="DGTextstand-alone"/>
      </w:pPr>
      <w:r w:rsidRPr="008F19E4">
        <w:t xml:space="preserve">As </w:t>
      </w:r>
      <w:r w:rsidR="00FA6E2D">
        <w:t>outlined</w:t>
      </w:r>
      <w:r w:rsidRPr="008F19E4">
        <w:t xml:space="preserve"> in Article </w:t>
      </w:r>
      <w:r>
        <w:t>213</w:t>
      </w:r>
      <w:r w:rsidRPr="008F19E4">
        <w:t>(</w:t>
      </w:r>
      <w:r>
        <w:t>1</w:t>
      </w:r>
      <w:r w:rsidRPr="008F19E4">
        <w:t xml:space="preserve">) FR, the budgetary expenditure linked to a financial instrument and the financial liability of the EU shall </w:t>
      </w:r>
      <w:r w:rsidRPr="00E97A5A">
        <w:rPr>
          <w:b/>
        </w:rPr>
        <w:t>in no case exceed the amount of the relevant budgetary commitment made for it</w:t>
      </w:r>
      <w:r w:rsidRPr="00062720">
        <w:rPr>
          <w:bCs/>
        </w:rPr>
        <w:t>,</w:t>
      </w:r>
      <w:r w:rsidRPr="008F19E4">
        <w:t xml:space="preserve"> thus </w:t>
      </w:r>
      <w:r w:rsidR="0021627A">
        <w:t>avoiding</w:t>
      </w:r>
      <w:r w:rsidRPr="008F19E4">
        <w:t xml:space="preserve"> contingent liabilities for the budget. In practi</w:t>
      </w:r>
      <w:r>
        <w:t>c</w:t>
      </w:r>
      <w:r w:rsidRPr="008F19E4">
        <w:t>e</w:t>
      </w:r>
      <w:r>
        <w:t>,</w:t>
      </w:r>
      <w:r w:rsidRPr="008F19E4">
        <w:t xml:space="preserve"> it means that these liabilities have a counterpart on the asset side of the balance sheet or are covered by the outstanding budgetary commitments not yet expensed.</w:t>
      </w:r>
    </w:p>
    <w:p w14:paraId="2772D5AC" w14:textId="77777777" w:rsidR="00E97A5A" w:rsidRPr="00E97A5A" w:rsidRDefault="00023E71" w:rsidP="00E97A5A">
      <w:pPr>
        <w:pStyle w:val="DGTextstand-alone"/>
      </w:pPr>
      <w:r w:rsidRPr="00E97A5A">
        <w:t xml:space="preserve">The COSME Loan Guarantee Facility (LGF) consists </w:t>
      </w:r>
      <w:r>
        <w:t>primarily</w:t>
      </w:r>
      <w:r w:rsidRPr="00E97A5A">
        <w:t xml:space="preserve"> of capped guarantees for portfolios of higher risk debt financing (mainly loans) offered by financial intermediaries to SMEs. The</w:t>
      </w:r>
      <w:r>
        <w:t xml:space="preserve"> COSME</w:t>
      </w:r>
      <w:r w:rsidRPr="00E97A5A">
        <w:t xml:space="preserve"> </w:t>
      </w:r>
      <w:r>
        <w:t>LGF</w:t>
      </w:r>
      <w:r w:rsidRPr="00E97A5A">
        <w:t xml:space="preserve"> is implemented by the EIF </w:t>
      </w:r>
      <w:r>
        <w:t>on behalf of the EU.</w:t>
      </w:r>
    </w:p>
    <w:p w14:paraId="7B7BF15C" w14:textId="77777777" w:rsidR="007609ED" w:rsidRDefault="00023E71" w:rsidP="00E97A5A">
      <w:pPr>
        <w:pStyle w:val="DGTextstand-alone"/>
      </w:pPr>
      <w:r w:rsidRPr="00E97A5A">
        <w:t xml:space="preserve">For more details on Horizon 2020 and </w:t>
      </w:r>
      <w:r>
        <w:t xml:space="preserve">the </w:t>
      </w:r>
      <w:r w:rsidRPr="00E97A5A">
        <w:t xml:space="preserve">Connecting Europe Facility see also </w:t>
      </w:r>
      <w:r>
        <w:t>N</w:t>
      </w:r>
      <w:r w:rsidRPr="00E97A5A">
        <w:t xml:space="preserve">ote </w:t>
      </w:r>
      <w:r w:rsidRPr="00E97A5A">
        <w:rPr>
          <w:b/>
        </w:rPr>
        <w:t>2.4.2.1</w:t>
      </w:r>
      <w:r w:rsidR="00FC44E2" w:rsidRPr="00E97A5A">
        <w:t>.</w:t>
      </w:r>
    </w:p>
    <w:p w14:paraId="5CE75A5F" w14:textId="77777777" w:rsidR="00D036EF" w:rsidRPr="00D26B76" w:rsidRDefault="00023E71" w:rsidP="00D036EF">
      <w:pPr>
        <w:pStyle w:val="HEADER5"/>
        <w:rPr>
          <w:noProof/>
        </w:rPr>
      </w:pPr>
      <w:r w:rsidRPr="00D26B76">
        <w:rPr>
          <w:noProof/>
        </w:rPr>
        <w:t>UK obligations arising from its departure from the EU</w:t>
      </w:r>
    </w:p>
    <w:p w14:paraId="3282C368" w14:textId="77777777" w:rsidR="00D036EF" w:rsidRPr="007C3F94" w:rsidRDefault="00023E71" w:rsidP="00D036EF">
      <w:pPr>
        <w:pStyle w:val="DGTextstand-alone"/>
      </w:pPr>
      <w:r w:rsidRPr="009F6585">
        <w:t>With regard</w:t>
      </w:r>
      <w:r w:rsidRPr="009F6585">
        <w:rPr>
          <w:lang w:val="en-US"/>
        </w:rPr>
        <w:t xml:space="preserve"> to the EU’s contingent liabilities for amounts approved by the withdrawal date in relation to EU financial instruments, including those above, should any of these contingencies crystalise, they would be covered by the EU budget using monies held on fiduciary accounts. Thus</w:t>
      </w:r>
      <w:r>
        <w:rPr>
          <w:lang w:val="en-US"/>
        </w:rPr>
        <w:t>,</w:t>
      </w:r>
      <w:r w:rsidRPr="009F6585">
        <w:rPr>
          <w:lang w:val="en-US"/>
        </w:rPr>
        <w:t xml:space="preserve"> in principle</w:t>
      </w:r>
      <w:r>
        <w:rPr>
          <w:lang w:val="en-US"/>
        </w:rPr>
        <w:t>,</w:t>
      </w:r>
      <w:r w:rsidRPr="009F6585">
        <w:rPr>
          <w:lang w:val="en-US"/>
        </w:rPr>
        <w:t xml:space="preserve"> no amounts would be called </w:t>
      </w:r>
      <w:r w:rsidRPr="00AE3C6B">
        <w:rPr>
          <w:lang w:val="en-US"/>
        </w:rPr>
        <w:t>from</w:t>
      </w:r>
      <w:r w:rsidRPr="009F6585">
        <w:rPr>
          <w:lang w:val="en-US"/>
        </w:rPr>
        <w:t xml:space="preserve"> the UK other than its share in the budgetary RAL as outlined under Article 140 of the WA – see </w:t>
      </w:r>
      <w:r>
        <w:rPr>
          <w:lang w:val="en-US"/>
        </w:rPr>
        <w:t>N</w:t>
      </w:r>
      <w:r w:rsidRPr="009F6585">
        <w:rPr>
          <w:lang w:val="en-US"/>
        </w:rPr>
        <w:t xml:space="preserve">ote </w:t>
      </w:r>
      <w:r w:rsidRPr="009F6585">
        <w:rPr>
          <w:b/>
          <w:lang w:val="en-US"/>
        </w:rPr>
        <w:t>2.6.1.2</w:t>
      </w:r>
      <w:r w:rsidRPr="009F6585">
        <w:rPr>
          <w:lang w:val="en-US"/>
        </w:rPr>
        <w:t>.</w:t>
      </w:r>
    </w:p>
    <w:p w14:paraId="5D8F3EE7" w14:textId="77777777" w:rsidR="00840702" w:rsidRPr="00C5372D" w:rsidRDefault="00023E71" w:rsidP="00172034">
      <w:pPr>
        <w:pStyle w:val="HEADER2NOTES"/>
        <w:numPr>
          <w:ilvl w:val="1"/>
          <w:numId w:val="15"/>
        </w:numPr>
        <w:rPr>
          <w:noProof/>
        </w:rPr>
      </w:pPr>
      <w:r w:rsidRPr="00C5372D">
        <w:rPr>
          <w:noProof/>
        </w:rPr>
        <w:t>Contingent liabilities relating to legal cases</w:t>
      </w:r>
    </w:p>
    <w:p w14:paraId="5B6D00C1" w14:textId="77777777" w:rsidR="007609ED" w:rsidRPr="00C5372D" w:rsidRDefault="00023E71" w:rsidP="00172034">
      <w:pPr>
        <w:pStyle w:val="HEADER3NOTES"/>
        <w:numPr>
          <w:ilvl w:val="2"/>
          <w:numId w:val="15"/>
        </w:numPr>
        <w:rPr>
          <w:noProof/>
        </w:rPr>
      </w:pPr>
      <w:r w:rsidRPr="00C5372D">
        <w:rPr>
          <w:noProof/>
        </w:rPr>
        <w:t>Legal cases in the area of fines</w:t>
      </w:r>
    </w:p>
    <w:p w14:paraId="7FC2C7F9" w14:textId="77777777" w:rsidR="00E23894" w:rsidRDefault="00023E71" w:rsidP="00E23894">
      <w:pPr>
        <w:pStyle w:val="DGTextstand-alone"/>
      </w:pPr>
      <w:r>
        <w:t xml:space="preserve">At 31 December 2025, the contingent liabilities relating to fines amounted to EUR 2 336 million (2024: EUR 2 178 million). This amount includes fines imposed on companies </w:t>
      </w:r>
      <w:r w:rsidRPr="008F1C4A">
        <w:t xml:space="preserve">(EUR 2 </w:t>
      </w:r>
      <w:r>
        <w:t>0</w:t>
      </w:r>
      <w:r w:rsidRPr="008F1C4A">
        <w:t>3</w:t>
      </w:r>
      <w:r>
        <w:t>5</w:t>
      </w:r>
      <w:r w:rsidRPr="008F1C4A">
        <w:t xml:space="preserve"> million, see </w:t>
      </w:r>
      <w:r>
        <w:t>N</w:t>
      </w:r>
      <w:r w:rsidRPr="008F1C4A">
        <w:t xml:space="preserve">ote </w:t>
      </w:r>
      <w:r w:rsidRPr="00DE4271">
        <w:rPr>
          <w:b/>
          <w:bCs/>
        </w:rPr>
        <w:t>2.6.1.3</w:t>
      </w:r>
      <w:r w:rsidRPr="008F1C4A">
        <w:t xml:space="preserve">) and fines imposed on Member States (EUR </w:t>
      </w:r>
      <w:r>
        <w:t>301</w:t>
      </w:r>
      <w:r w:rsidRPr="008F1C4A">
        <w:t xml:space="preserve"> million)</w:t>
      </w:r>
      <w:r>
        <w:t xml:space="preserve"> that have been provisionally paid and for which either an appeal has been lodged or for which it is unknown whether an appeal will be made. The contingent liability will be maintained until a judgement by the Court of Justice of the European Union is delivered or until the expiry of the period for appeal. Interest earned on provisional payments is included in the economic result of the year and also as a contingent liability to reflect the uncertainty of the Commission’s title to these amounts. Should the EU lose any of the cases relating to fines imposed, the amounts that have been provisionally received will be returned to the companies or Member States without budgetary impact. The amount of fines is only recognised as budgetary revenue when the fines are definitive (Article 107 FR).</w:t>
      </w:r>
    </w:p>
    <w:p w14:paraId="6E7E8FD1" w14:textId="77777777" w:rsidR="00840702" w:rsidRPr="00C5372D" w:rsidRDefault="00023E71" w:rsidP="00172034">
      <w:pPr>
        <w:pStyle w:val="HEADER3NOTES"/>
        <w:numPr>
          <w:ilvl w:val="2"/>
          <w:numId w:val="15"/>
        </w:numPr>
        <w:rPr>
          <w:noProof/>
        </w:rPr>
      </w:pPr>
      <w:r w:rsidRPr="00C5372D">
        <w:rPr>
          <w:noProof/>
        </w:rPr>
        <w:t>Other legal cases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6"/>
        <w:gridCol w:w="1686"/>
        <w:gridCol w:w="1686"/>
      </w:tblGrid>
      <w:tr w:rsidR="00807FFE" w14:paraId="42403076" w14:textId="77777777">
        <w:trPr>
          <w:trHeight w:val="255"/>
        </w:trPr>
        <w:tc>
          <w:tcPr>
            <w:tcW w:w="6386" w:type="dxa"/>
            <w:tcBorders>
              <w:top w:val="nil"/>
              <w:left w:val="nil"/>
              <w:bottom w:val="nil"/>
              <w:right w:val="nil"/>
              <w:tl2br w:val="nil"/>
              <w:tr2bl w:val="nil"/>
            </w:tcBorders>
            <w:tcMar>
              <w:left w:w="60" w:type="dxa"/>
              <w:right w:w="60" w:type="dxa"/>
            </w:tcMar>
            <w:vAlign w:val="bottom"/>
          </w:tcPr>
          <w:p w14:paraId="08604894" w14:textId="77777777" w:rsidR="00807FFE" w:rsidRDefault="00807FFE">
            <w:pPr>
              <w:pStyle w:val="DMETW36762BIPCL"/>
              <w:rPr>
                <w:rFonts w:ascii="Arial" w:eastAsia="Arial" w:hAnsi="Arial" w:cs="Arial"/>
                <w:noProof/>
                <w:color w:val="000000"/>
                <w:lang w:bidi="en-GB"/>
              </w:rPr>
            </w:pPr>
            <w:bookmarkStart w:id="211" w:name="DOC_TBL00082_1_1"/>
            <w:bookmarkEnd w:id="211"/>
          </w:p>
        </w:tc>
        <w:tc>
          <w:tcPr>
            <w:tcW w:w="1686" w:type="dxa"/>
            <w:tcBorders>
              <w:top w:val="nil"/>
              <w:left w:val="nil"/>
              <w:bottom w:val="nil"/>
              <w:right w:val="nil"/>
              <w:tl2br w:val="nil"/>
              <w:tr2bl w:val="nil"/>
            </w:tcBorders>
            <w:tcMar>
              <w:left w:w="60" w:type="dxa"/>
              <w:right w:w="60" w:type="dxa"/>
            </w:tcMar>
            <w:vAlign w:val="bottom"/>
          </w:tcPr>
          <w:p w14:paraId="70CD0EC9" w14:textId="77777777" w:rsidR="00807FFE" w:rsidRDefault="00807FFE">
            <w:pPr>
              <w:pStyle w:val="DMETW36762BIPCL"/>
              <w:rPr>
                <w:rFonts w:ascii="Arial" w:eastAsia="Arial" w:hAnsi="Arial" w:cs="Arial"/>
                <w:noProof/>
                <w:color w:val="000000"/>
              </w:rPr>
            </w:pPr>
          </w:p>
        </w:tc>
        <w:tc>
          <w:tcPr>
            <w:tcW w:w="1686" w:type="dxa"/>
            <w:tcBorders>
              <w:top w:val="nil"/>
              <w:left w:val="nil"/>
              <w:bottom w:val="nil"/>
              <w:right w:val="nil"/>
              <w:tl2br w:val="nil"/>
              <w:tr2bl w:val="nil"/>
            </w:tcBorders>
            <w:tcMar>
              <w:left w:w="60" w:type="dxa"/>
              <w:right w:w="60" w:type="dxa"/>
            </w:tcMar>
            <w:vAlign w:val="bottom"/>
          </w:tcPr>
          <w:p w14:paraId="05BD17A1" w14:textId="77777777" w:rsidR="00807FFE" w:rsidRDefault="00023E71">
            <w:pPr>
              <w:pStyle w:val="DMETW36762BIPCL"/>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090DABC" w14:textId="77777777">
        <w:trPr>
          <w:trHeight w:val="255"/>
        </w:trPr>
        <w:tc>
          <w:tcPr>
            <w:tcW w:w="6386" w:type="dxa"/>
            <w:tcBorders>
              <w:top w:val="nil"/>
              <w:left w:val="nil"/>
              <w:bottom w:val="nil"/>
              <w:right w:val="nil"/>
              <w:tl2br w:val="nil"/>
              <w:tr2bl w:val="nil"/>
            </w:tcBorders>
            <w:shd w:val="solid" w:color="016794" w:fill="FFFFFF"/>
            <w:tcMar>
              <w:left w:w="60" w:type="dxa"/>
              <w:right w:w="60" w:type="dxa"/>
            </w:tcMar>
            <w:vAlign w:val="center"/>
          </w:tcPr>
          <w:p w14:paraId="339008D1" w14:textId="77777777" w:rsidR="00807FFE" w:rsidRDefault="00807FFE">
            <w:pPr>
              <w:pStyle w:val="DMETW36762BIPCL"/>
              <w:jc w:val="right"/>
              <w:rPr>
                <w:rFonts w:ascii="Verdana" w:eastAsia="Verdana" w:hAnsi="Verdana" w:cs="Verdana"/>
                <w:noProof/>
                <w:color w:val="FFFFFF"/>
              </w:rPr>
            </w:pPr>
          </w:p>
        </w:tc>
        <w:tc>
          <w:tcPr>
            <w:tcW w:w="1686" w:type="dxa"/>
            <w:tcBorders>
              <w:top w:val="nil"/>
              <w:left w:val="nil"/>
              <w:bottom w:val="nil"/>
              <w:right w:val="nil"/>
              <w:tl2br w:val="nil"/>
              <w:tr2bl w:val="nil"/>
            </w:tcBorders>
            <w:shd w:val="solid" w:color="016794" w:fill="FFFFFF"/>
            <w:tcMar>
              <w:left w:w="60" w:type="dxa"/>
              <w:right w:w="60" w:type="dxa"/>
            </w:tcMar>
            <w:vAlign w:val="center"/>
          </w:tcPr>
          <w:p w14:paraId="37AF0D9F" w14:textId="77777777" w:rsidR="00807FFE" w:rsidRDefault="00023E71">
            <w:pPr>
              <w:pStyle w:val="DMETW36762BIPCL"/>
              <w:jc w:val="right"/>
              <w:rPr>
                <w:rFonts w:ascii="Verdana" w:eastAsia="Verdana" w:hAnsi="Verdana" w:cs="Verdana"/>
                <w:noProof/>
                <w:color w:val="FFFFFF"/>
              </w:rPr>
            </w:pPr>
            <w:r>
              <w:rPr>
                <w:rFonts w:ascii="Verdana" w:eastAsia="Verdana" w:hAnsi="Verdana" w:cs="Verdana"/>
                <w:noProof/>
                <w:color w:val="FFFFFF"/>
              </w:rPr>
              <w:t>31.12.2025</w:t>
            </w:r>
          </w:p>
        </w:tc>
        <w:tc>
          <w:tcPr>
            <w:tcW w:w="1686" w:type="dxa"/>
            <w:tcBorders>
              <w:top w:val="nil"/>
              <w:left w:val="nil"/>
              <w:bottom w:val="nil"/>
              <w:right w:val="nil"/>
              <w:tl2br w:val="nil"/>
              <w:tr2bl w:val="nil"/>
            </w:tcBorders>
            <w:shd w:val="solid" w:color="016794" w:fill="FFFFFF"/>
            <w:tcMar>
              <w:left w:w="60" w:type="dxa"/>
              <w:right w:w="60" w:type="dxa"/>
            </w:tcMar>
            <w:vAlign w:val="center"/>
          </w:tcPr>
          <w:p w14:paraId="51AA627B" w14:textId="77777777" w:rsidR="00807FFE" w:rsidRDefault="00023E71">
            <w:pPr>
              <w:pStyle w:val="DMETW36762BIPCL"/>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6429A9B8" w14:textId="77777777">
        <w:trPr>
          <w:trHeight w:val="255"/>
        </w:trPr>
        <w:tc>
          <w:tcPr>
            <w:tcW w:w="6386" w:type="dxa"/>
            <w:tcBorders>
              <w:top w:val="nil"/>
              <w:left w:val="nil"/>
              <w:bottom w:val="nil"/>
              <w:right w:val="nil"/>
              <w:tl2br w:val="nil"/>
              <w:tr2bl w:val="nil"/>
            </w:tcBorders>
            <w:tcMar>
              <w:left w:w="60" w:type="dxa"/>
              <w:right w:w="60" w:type="dxa"/>
            </w:tcMar>
            <w:vAlign w:val="center"/>
          </w:tcPr>
          <w:p w14:paraId="20240DCE" w14:textId="77777777" w:rsidR="00807FFE" w:rsidRDefault="00023E71">
            <w:pPr>
              <w:pStyle w:val="DMETW36762BIPCL"/>
              <w:rPr>
                <w:rFonts w:ascii="Verdana" w:eastAsia="Verdana" w:hAnsi="Verdana" w:cs="Verdana"/>
                <w:i/>
                <w:noProof/>
                <w:color w:val="000000"/>
                <w:sz w:val="18"/>
              </w:rPr>
            </w:pPr>
            <w:r>
              <w:rPr>
                <w:rFonts w:ascii="Verdana" w:eastAsia="Verdana" w:hAnsi="Verdana" w:cs="Verdana"/>
                <w:i/>
                <w:noProof/>
                <w:color w:val="000000"/>
                <w:sz w:val="18"/>
              </w:rPr>
              <w:t>Agriculture</w:t>
            </w:r>
          </w:p>
        </w:tc>
        <w:tc>
          <w:tcPr>
            <w:tcW w:w="1686" w:type="dxa"/>
            <w:tcBorders>
              <w:top w:val="nil"/>
              <w:left w:val="nil"/>
              <w:bottom w:val="nil"/>
              <w:right w:val="nil"/>
              <w:tl2br w:val="nil"/>
              <w:tr2bl w:val="nil"/>
            </w:tcBorders>
            <w:tcMar>
              <w:left w:w="60" w:type="dxa"/>
              <w:right w:w="60" w:type="dxa"/>
            </w:tcMar>
            <w:vAlign w:val="center"/>
          </w:tcPr>
          <w:p w14:paraId="22325175" w14:textId="77777777" w:rsidR="00807FFE" w:rsidRDefault="00023E71">
            <w:pPr>
              <w:pStyle w:val="DMETW36762BIPCL"/>
              <w:jc w:val="right"/>
              <w:rPr>
                <w:rFonts w:ascii="Verdana" w:eastAsia="Verdana" w:hAnsi="Verdana" w:cs="Verdana"/>
                <w:i/>
                <w:noProof/>
                <w:color w:val="000000"/>
                <w:sz w:val="18"/>
              </w:rPr>
            </w:pPr>
            <w:r>
              <w:rPr>
                <w:rFonts w:ascii="Verdana" w:eastAsia="Verdana" w:hAnsi="Verdana" w:cs="Verdana"/>
                <w:i/>
                <w:noProof/>
                <w:color w:val="000000"/>
                <w:sz w:val="18"/>
              </w:rPr>
              <w:t xml:space="preserve"> 617</w:t>
            </w:r>
          </w:p>
        </w:tc>
        <w:tc>
          <w:tcPr>
            <w:tcW w:w="1686" w:type="dxa"/>
            <w:tcBorders>
              <w:top w:val="nil"/>
              <w:left w:val="nil"/>
              <w:bottom w:val="nil"/>
              <w:right w:val="nil"/>
              <w:tl2br w:val="nil"/>
              <w:tr2bl w:val="nil"/>
            </w:tcBorders>
            <w:tcMar>
              <w:left w:w="60" w:type="dxa"/>
              <w:right w:w="60" w:type="dxa"/>
            </w:tcMar>
            <w:vAlign w:val="center"/>
          </w:tcPr>
          <w:p w14:paraId="7F6BC320" w14:textId="77777777" w:rsidR="00807FFE" w:rsidRDefault="00023E71">
            <w:pPr>
              <w:pStyle w:val="DMETW36762BIPC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77</w:t>
            </w:r>
          </w:p>
        </w:tc>
      </w:tr>
      <w:tr w:rsidR="00807FFE" w14:paraId="306F4001" w14:textId="77777777">
        <w:trPr>
          <w:trHeight w:val="255"/>
        </w:trPr>
        <w:tc>
          <w:tcPr>
            <w:tcW w:w="6386" w:type="dxa"/>
            <w:tcBorders>
              <w:top w:val="nil"/>
              <w:left w:val="nil"/>
              <w:bottom w:val="nil"/>
              <w:right w:val="nil"/>
              <w:tl2br w:val="nil"/>
              <w:tr2bl w:val="nil"/>
            </w:tcBorders>
            <w:tcMar>
              <w:left w:w="60" w:type="dxa"/>
              <w:right w:w="60" w:type="dxa"/>
            </w:tcMar>
            <w:vAlign w:val="center"/>
          </w:tcPr>
          <w:p w14:paraId="2D60E4DE" w14:textId="77777777" w:rsidR="00807FFE" w:rsidRDefault="00023E71">
            <w:pPr>
              <w:pStyle w:val="DMETW36762BIPCL"/>
              <w:rPr>
                <w:rFonts w:ascii="Verdana" w:eastAsia="Verdana" w:hAnsi="Verdana" w:cs="Verdana"/>
                <w:i/>
                <w:noProof/>
                <w:color w:val="000000"/>
                <w:sz w:val="18"/>
              </w:rPr>
            </w:pPr>
            <w:r>
              <w:rPr>
                <w:rFonts w:ascii="Verdana" w:eastAsia="Verdana" w:hAnsi="Verdana" w:cs="Verdana"/>
                <w:i/>
                <w:noProof/>
                <w:color w:val="000000"/>
                <w:sz w:val="18"/>
              </w:rPr>
              <w:t>Other</w:t>
            </w:r>
          </w:p>
        </w:tc>
        <w:tc>
          <w:tcPr>
            <w:tcW w:w="1686" w:type="dxa"/>
            <w:tcBorders>
              <w:top w:val="nil"/>
              <w:left w:val="nil"/>
              <w:bottom w:val="nil"/>
              <w:right w:val="nil"/>
              <w:tl2br w:val="nil"/>
              <w:tr2bl w:val="nil"/>
            </w:tcBorders>
            <w:tcMar>
              <w:left w:w="60" w:type="dxa"/>
              <w:right w:w="60" w:type="dxa"/>
            </w:tcMar>
            <w:vAlign w:val="center"/>
          </w:tcPr>
          <w:p w14:paraId="7938D723" w14:textId="77777777" w:rsidR="00807FFE" w:rsidRDefault="00023E71">
            <w:pPr>
              <w:pStyle w:val="DMETW36762BIPCL"/>
              <w:jc w:val="right"/>
              <w:rPr>
                <w:rFonts w:ascii="Verdana" w:eastAsia="Verdana" w:hAnsi="Verdana" w:cs="Verdana"/>
                <w:i/>
                <w:noProof/>
                <w:color w:val="000000"/>
                <w:sz w:val="18"/>
              </w:rPr>
            </w:pPr>
            <w:r>
              <w:rPr>
                <w:rFonts w:ascii="Verdana" w:eastAsia="Verdana" w:hAnsi="Verdana" w:cs="Verdana"/>
                <w:i/>
                <w:noProof/>
                <w:color w:val="000000"/>
                <w:sz w:val="18"/>
              </w:rPr>
              <w:t xml:space="preserve"> 157</w:t>
            </w:r>
          </w:p>
        </w:tc>
        <w:tc>
          <w:tcPr>
            <w:tcW w:w="1686" w:type="dxa"/>
            <w:tcBorders>
              <w:top w:val="nil"/>
              <w:left w:val="nil"/>
              <w:bottom w:val="nil"/>
              <w:right w:val="nil"/>
              <w:tl2br w:val="nil"/>
              <w:tr2bl w:val="nil"/>
            </w:tcBorders>
            <w:tcMar>
              <w:left w:w="60" w:type="dxa"/>
              <w:right w:w="60" w:type="dxa"/>
            </w:tcMar>
            <w:vAlign w:val="center"/>
          </w:tcPr>
          <w:p w14:paraId="14A2464A" w14:textId="77777777" w:rsidR="00807FFE" w:rsidRDefault="00023E71">
            <w:pPr>
              <w:pStyle w:val="DMETW36762BIPC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67</w:t>
            </w:r>
          </w:p>
        </w:tc>
      </w:tr>
      <w:tr w:rsidR="00807FFE" w14:paraId="68642571" w14:textId="77777777">
        <w:trPr>
          <w:trHeight w:val="255"/>
        </w:trPr>
        <w:tc>
          <w:tcPr>
            <w:tcW w:w="6386" w:type="dxa"/>
            <w:tcBorders>
              <w:top w:val="nil"/>
              <w:left w:val="nil"/>
              <w:bottom w:val="nil"/>
              <w:right w:val="nil"/>
              <w:tl2br w:val="nil"/>
              <w:tr2bl w:val="nil"/>
            </w:tcBorders>
            <w:shd w:val="solid" w:color="CCE1EA" w:fill="FFFFFF"/>
            <w:tcMar>
              <w:left w:w="60" w:type="dxa"/>
              <w:right w:w="60" w:type="dxa"/>
            </w:tcMar>
            <w:vAlign w:val="center"/>
          </w:tcPr>
          <w:p w14:paraId="36F725E7" w14:textId="77777777" w:rsidR="00807FFE" w:rsidRDefault="00023E71">
            <w:pPr>
              <w:pStyle w:val="DMETW36762BIPCL"/>
              <w:rPr>
                <w:rFonts w:ascii="Verdana" w:eastAsia="Verdana" w:hAnsi="Verdana" w:cs="Verdana"/>
                <w:b/>
                <w:noProof/>
                <w:color w:val="000000"/>
                <w:sz w:val="18"/>
              </w:rPr>
            </w:pPr>
            <w:r>
              <w:rPr>
                <w:rFonts w:ascii="Verdana" w:eastAsia="Verdana" w:hAnsi="Verdana" w:cs="Verdana"/>
                <w:b/>
                <w:noProof/>
                <w:color w:val="000000"/>
                <w:sz w:val="18"/>
              </w:rPr>
              <w:t>Total</w:t>
            </w:r>
          </w:p>
        </w:tc>
        <w:tc>
          <w:tcPr>
            <w:tcW w:w="1686" w:type="dxa"/>
            <w:tcBorders>
              <w:top w:val="nil"/>
              <w:left w:val="nil"/>
              <w:bottom w:val="nil"/>
              <w:right w:val="nil"/>
              <w:tl2br w:val="nil"/>
              <w:tr2bl w:val="nil"/>
            </w:tcBorders>
            <w:shd w:val="solid" w:color="CCE1EA" w:fill="FFFFFF"/>
            <w:tcMar>
              <w:left w:w="60" w:type="dxa"/>
              <w:right w:w="60" w:type="dxa"/>
            </w:tcMar>
            <w:vAlign w:val="center"/>
          </w:tcPr>
          <w:p w14:paraId="4275E9F5" w14:textId="77777777" w:rsidR="00807FFE" w:rsidRDefault="00023E71">
            <w:pPr>
              <w:pStyle w:val="DMETW36762BIPCL"/>
              <w:jc w:val="right"/>
              <w:rPr>
                <w:rFonts w:ascii="Verdana" w:eastAsia="Verdana" w:hAnsi="Verdana" w:cs="Verdana"/>
                <w:b/>
                <w:noProof/>
                <w:color w:val="000000"/>
                <w:sz w:val="18"/>
              </w:rPr>
            </w:pPr>
            <w:r>
              <w:rPr>
                <w:rFonts w:ascii="Verdana" w:eastAsia="Verdana" w:hAnsi="Verdana" w:cs="Verdana"/>
                <w:b/>
                <w:noProof/>
                <w:color w:val="000000"/>
                <w:sz w:val="18"/>
              </w:rPr>
              <w:t xml:space="preserve"> 774</w:t>
            </w:r>
          </w:p>
        </w:tc>
        <w:tc>
          <w:tcPr>
            <w:tcW w:w="1686" w:type="dxa"/>
            <w:tcBorders>
              <w:top w:val="nil"/>
              <w:left w:val="nil"/>
              <w:bottom w:val="nil"/>
              <w:right w:val="nil"/>
              <w:tl2br w:val="nil"/>
              <w:tr2bl w:val="nil"/>
            </w:tcBorders>
            <w:shd w:val="solid" w:color="CCE1EA" w:fill="FFFFFF"/>
            <w:tcMar>
              <w:left w:w="60" w:type="dxa"/>
              <w:right w:w="60" w:type="dxa"/>
            </w:tcMar>
            <w:vAlign w:val="center"/>
          </w:tcPr>
          <w:p w14:paraId="409D2A14" w14:textId="77777777" w:rsidR="00807FFE" w:rsidRDefault="00023E71">
            <w:pPr>
              <w:pStyle w:val="DMETW36762BIPCL"/>
              <w:jc w:val="right"/>
              <w:rPr>
                <w:rFonts w:ascii="Verdana" w:eastAsia="Verdana" w:hAnsi="Verdana" w:cs="Verdana"/>
                <w:b/>
                <w:noProof/>
                <w:color w:val="000000"/>
                <w:sz w:val="18"/>
              </w:rPr>
            </w:pPr>
            <w:r>
              <w:rPr>
                <w:rFonts w:ascii="Verdana" w:eastAsia="Verdana" w:hAnsi="Verdana" w:cs="Verdana"/>
                <w:b/>
                <w:noProof/>
                <w:color w:val="000000"/>
                <w:sz w:val="18"/>
              </w:rPr>
              <w:t xml:space="preserve"> 144</w:t>
            </w:r>
          </w:p>
        </w:tc>
      </w:tr>
    </w:tbl>
    <w:p w14:paraId="09AE6F78" w14:textId="77777777" w:rsidR="006F6B0D" w:rsidRDefault="006F6B0D" w:rsidP="007609ED">
      <w:pPr>
        <w:pStyle w:val="DGTextstand-alone"/>
        <w:spacing w:after="120"/>
        <w:rPr>
          <w:color w:val="016794"/>
          <w:szCs w:val="20"/>
        </w:rPr>
      </w:pPr>
    </w:p>
    <w:p w14:paraId="64FD5AA2" w14:textId="03F70778" w:rsidR="007609ED" w:rsidRPr="007C3F94" w:rsidRDefault="00023E71" w:rsidP="007609ED">
      <w:pPr>
        <w:pStyle w:val="DGTextstand-alone"/>
        <w:spacing w:after="120"/>
        <w:rPr>
          <w:color w:val="016794"/>
          <w:szCs w:val="20"/>
        </w:rPr>
      </w:pPr>
      <w:r w:rsidRPr="007C3F94">
        <w:rPr>
          <w:color w:val="016794"/>
          <w:szCs w:val="20"/>
        </w:rPr>
        <w:t>Agriculture</w:t>
      </w:r>
    </w:p>
    <w:p w14:paraId="668AD8FC" w14:textId="77777777" w:rsidR="007609ED" w:rsidRPr="008F19E4" w:rsidRDefault="00023E71" w:rsidP="007609ED">
      <w:pPr>
        <w:pStyle w:val="DGTextstand-alone"/>
      </w:pPr>
      <w:r w:rsidRPr="00DE1A1F">
        <w:t xml:space="preserve">These are contingent liabilities towards the Member States connected with EAGF and rural development conformity </w:t>
      </w:r>
      <w:r>
        <w:t>decisions</w:t>
      </w:r>
      <w:r w:rsidRPr="00DE1A1F">
        <w:t xml:space="preserve"> pending judgement of the Court of Justice. The determination of the final amount of the liability and the year in which the effect of successful appeals will be charged to the budget will depend on the length of the procedure before the Court.</w:t>
      </w:r>
    </w:p>
    <w:p w14:paraId="77B3171B" w14:textId="77777777" w:rsidR="007609ED" w:rsidRPr="007C3F94" w:rsidRDefault="00023E71" w:rsidP="007609ED">
      <w:pPr>
        <w:pStyle w:val="DGTextstand-alone"/>
        <w:spacing w:after="120"/>
        <w:rPr>
          <w:color w:val="016794"/>
          <w:szCs w:val="20"/>
        </w:rPr>
      </w:pPr>
      <w:r w:rsidRPr="007C3F94">
        <w:rPr>
          <w:color w:val="016794"/>
          <w:szCs w:val="20"/>
        </w:rPr>
        <w:t>Other legal cases</w:t>
      </w:r>
    </w:p>
    <w:p w14:paraId="2C8A65AA" w14:textId="77777777" w:rsidR="009F6585" w:rsidRPr="00695583" w:rsidRDefault="00023E71" w:rsidP="009F6585">
      <w:pPr>
        <w:pStyle w:val="DGTextstand-alone"/>
        <w:spacing w:after="0"/>
        <w:rPr>
          <w:bdr w:val="none" w:sz="0" w:space="0" w:color="auto" w:frame="1"/>
        </w:rPr>
      </w:pPr>
      <w:r w:rsidRPr="008F19E4">
        <w:t xml:space="preserve">This heading relates to actions for damages currently being brought against the EU, other legal disputes and the estimated legal costs. It should be noted that in an action for damages under Article </w:t>
      </w:r>
      <w:r>
        <w:t>340</w:t>
      </w:r>
      <w:r w:rsidRPr="008F19E4">
        <w:t xml:space="preserve"> </w:t>
      </w:r>
      <w:r>
        <w:t>TFEU,</w:t>
      </w:r>
      <w:r w:rsidRPr="008F19E4">
        <w:t xml:space="preserve"> the applicant must demonstrate a sufficiently serious breach by the institution of a rule of law intended to confer rights on individuals, real harm suffered by the applicant, and a direct causal link between the unlawful act and the harm</w:t>
      </w:r>
      <w:r w:rsidRPr="007473BA">
        <w:t>.</w:t>
      </w:r>
    </w:p>
    <w:p w14:paraId="546AF22A" w14:textId="77777777" w:rsidR="009F6585" w:rsidRPr="009F6585" w:rsidRDefault="00023E71" w:rsidP="00840702">
      <w:pPr>
        <w:pStyle w:val="DGTextstand-alone"/>
        <w:spacing w:after="120"/>
      </w:pPr>
      <w:r w:rsidRPr="00840702">
        <w:rPr>
          <w:color w:val="016794"/>
          <w:szCs w:val="20"/>
        </w:rPr>
        <w:t>UK obligations arising from its departure from the EU</w:t>
      </w:r>
    </w:p>
    <w:p w14:paraId="25D91312" w14:textId="77777777" w:rsidR="009F6585" w:rsidRPr="0066133E" w:rsidRDefault="00023E71" w:rsidP="009F6585">
      <w:pPr>
        <w:pStyle w:val="DGTextstand-alone"/>
        <w:spacing w:after="0"/>
      </w:pPr>
      <w:r w:rsidRPr="0066133E">
        <w:t xml:space="preserve">Under Article 147 of the WA, the United Kingdom shall be liable for its share of the payments required to discharge the contingent liabilities of the Union that become due in relation to legal cases concerning </w:t>
      </w:r>
      <w:r>
        <w:t xml:space="preserve">the </w:t>
      </w:r>
      <w:r w:rsidRPr="0066133E">
        <w:t xml:space="preserve">financial interests of the Union, provided that the facts forming the subject matter </w:t>
      </w:r>
      <w:r w:rsidRPr="001A06EB">
        <w:t xml:space="preserve">of those cases occurred no later than 31 December 2020. The estimated maximum UK exposure here is EUR </w:t>
      </w:r>
      <w:r>
        <w:t>80.6</w:t>
      </w:r>
      <w:r w:rsidRPr="001A06EB">
        <w:t xml:space="preserve"> million (202</w:t>
      </w:r>
      <w:r>
        <w:t>4</w:t>
      </w:r>
      <w:r w:rsidRPr="001A06EB">
        <w:t xml:space="preserve">: EUR </w:t>
      </w:r>
      <w:r>
        <w:t>15</w:t>
      </w:r>
      <w:r w:rsidRPr="001A06EB">
        <w:t xml:space="preserve"> </w:t>
      </w:r>
      <w:r w:rsidR="00662B16" w:rsidRPr="001A06EB">
        <w:t>m</w:t>
      </w:r>
      <w:r w:rsidRPr="001A06EB">
        <w:t>illion). For legal cases where it is considered probable that amounts will be</w:t>
      </w:r>
      <w:r w:rsidRPr="0066133E">
        <w:t xml:space="preserve"> paid from the EU budget (see </w:t>
      </w:r>
      <w:r>
        <w:t>N</w:t>
      </w:r>
      <w:r w:rsidRPr="0066133E">
        <w:t xml:space="preserve">ote </w:t>
      </w:r>
      <w:r w:rsidRPr="0066133E">
        <w:rPr>
          <w:b/>
        </w:rPr>
        <w:t>2.10</w:t>
      </w:r>
      <w:r w:rsidRPr="0066133E">
        <w:t xml:space="preserve">), the UK share is included as part of the overall amount due from the UK – see details under </w:t>
      </w:r>
      <w:r>
        <w:t>N</w:t>
      </w:r>
      <w:r w:rsidRPr="0066133E">
        <w:t xml:space="preserve">ote </w:t>
      </w:r>
      <w:r w:rsidRPr="0066133E">
        <w:rPr>
          <w:b/>
        </w:rPr>
        <w:t>2.6.1.2</w:t>
      </w:r>
      <w:r w:rsidRPr="0066133E">
        <w:t>.</w:t>
      </w:r>
    </w:p>
    <w:p w14:paraId="13BD5CE7" w14:textId="77777777" w:rsidR="00FF62DC" w:rsidRPr="00C5372D" w:rsidRDefault="00023E71" w:rsidP="00172034">
      <w:pPr>
        <w:pStyle w:val="HEADER2NOTES"/>
        <w:numPr>
          <w:ilvl w:val="1"/>
          <w:numId w:val="15"/>
        </w:numPr>
        <w:rPr>
          <w:noProof/>
        </w:rPr>
      </w:pPr>
      <w:r w:rsidRPr="00C5372D">
        <w:rPr>
          <w:noProof/>
        </w:rPr>
        <w:t>CONTINGENT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0"/>
        <w:gridCol w:w="1989"/>
        <w:gridCol w:w="1989"/>
      </w:tblGrid>
      <w:tr w:rsidR="00807FFE" w14:paraId="678F2530" w14:textId="77777777">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bottom"/>
          </w:tcPr>
          <w:p w14:paraId="62A1C8B5" w14:textId="77777777" w:rsidR="00807FFE" w:rsidRDefault="00807FFE">
            <w:pPr>
              <w:pStyle w:val="DMETW36762BIPCA"/>
              <w:rPr>
                <w:rFonts w:ascii="Arial" w:eastAsia="Arial" w:hAnsi="Arial" w:cs="Arial"/>
                <w:noProof/>
                <w:color w:val="000000"/>
                <w:lang w:bidi="en-GB"/>
              </w:rPr>
            </w:pPr>
            <w:bookmarkStart w:id="212" w:name="DOC_TBL00083_1_1"/>
            <w:bookmarkEnd w:id="212"/>
          </w:p>
        </w:tc>
        <w:tc>
          <w:tcPr>
            <w:tcW w:w="1989" w:type="dxa"/>
            <w:tcBorders>
              <w:top w:val="nil"/>
              <w:left w:val="nil"/>
              <w:bottom w:val="nil"/>
              <w:right w:val="nil"/>
              <w:tl2br w:val="nil"/>
              <w:tr2bl w:val="nil"/>
            </w:tcBorders>
            <w:shd w:val="solid" w:color="FFFFFF" w:fill="FFFFFF"/>
            <w:tcMar>
              <w:left w:w="60" w:type="dxa"/>
              <w:right w:w="60" w:type="dxa"/>
            </w:tcMar>
            <w:vAlign w:val="bottom"/>
          </w:tcPr>
          <w:p w14:paraId="739DA9D5" w14:textId="77777777" w:rsidR="00807FFE" w:rsidRDefault="00807FFE">
            <w:pPr>
              <w:pStyle w:val="DMETW36762BIPCA"/>
              <w:rPr>
                <w:rFonts w:ascii="Arial" w:eastAsia="Arial" w:hAnsi="Arial" w:cs="Arial"/>
                <w:noProof/>
                <w:color w:val="000000"/>
              </w:rPr>
            </w:pPr>
          </w:p>
        </w:tc>
        <w:tc>
          <w:tcPr>
            <w:tcW w:w="1989" w:type="dxa"/>
            <w:tcBorders>
              <w:top w:val="nil"/>
              <w:left w:val="nil"/>
              <w:bottom w:val="nil"/>
              <w:right w:val="nil"/>
              <w:tl2br w:val="nil"/>
              <w:tr2bl w:val="nil"/>
            </w:tcBorders>
            <w:shd w:val="solid" w:color="FFFFFF" w:fill="FFFFFF"/>
            <w:tcMar>
              <w:left w:w="60" w:type="dxa"/>
              <w:right w:w="60" w:type="dxa"/>
            </w:tcMar>
            <w:vAlign w:val="bottom"/>
          </w:tcPr>
          <w:p w14:paraId="028947AB" w14:textId="77777777" w:rsidR="00807FFE" w:rsidRDefault="00023E71">
            <w:pPr>
              <w:pStyle w:val="DMETW36762BIPCA"/>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ED6DD83" w14:textId="77777777">
        <w:trPr>
          <w:trHeight w:hRule="exact" w:val="255"/>
        </w:trPr>
        <w:tc>
          <w:tcPr>
            <w:tcW w:w="5780" w:type="dxa"/>
            <w:tcBorders>
              <w:top w:val="nil"/>
              <w:left w:val="nil"/>
              <w:bottom w:val="nil"/>
              <w:right w:val="nil"/>
              <w:tl2br w:val="nil"/>
              <w:tr2bl w:val="nil"/>
            </w:tcBorders>
            <w:shd w:val="solid" w:color="016794" w:fill="FFFFFF"/>
            <w:tcMar>
              <w:left w:w="60" w:type="dxa"/>
              <w:right w:w="60" w:type="dxa"/>
            </w:tcMar>
            <w:vAlign w:val="center"/>
          </w:tcPr>
          <w:p w14:paraId="799299DF" w14:textId="77777777" w:rsidR="00807FFE" w:rsidRDefault="00807FFE">
            <w:pPr>
              <w:pStyle w:val="DMETW36762BIPCA"/>
              <w:jc w:val="right"/>
              <w:rPr>
                <w:rFonts w:ascii="Verdana" w:eastAsia="Verdana" w:hAnsi="Verdana" w:cs="Verdana"/>
                <w:noProof/>
                <w:color w:val="FFFFFF"/>
              </w:rPr>
            </w:pPr>
          </w:p>
        </w:tc>
        <w:tc>
          <w:tcPr>
            <w:tcW w:w="1989" w:type="dxa"/>
            <w:tcBorders>
              <w:top w:val="nil"/>
              <w:left w:val="nil"/>
              <w:bottom w:val="nil"/>
              <w:right w:val="nil"/>
              <w:tl2br w:val="nil"/>
              <w:tr2bl w:val="nil"/>
            </w:tcBorders>
            <w:shd w:val="solid" w:color="016794" w:fill="FFFFFF"/>
            <w:tcMar>
              <w:left w:w="60" w:type="dxa"/>
              <w:right w:w="60" w:type="dxa"/>
            </w:tcMar>
            <w:vAlign w:val="center"/>
          </w:tcPr>
          <w:p w14:paraId="08260563" w14:textId="77777777" w:rsidR="00807FFE" w:rsidRDefault="00023E71">
            <w:pPr>
              <w:pStyle w:val="DMETW36762BIPCA"/>
              <w:jc w:val="right"/>
              <w:rPr>
                <w:rFonts w:ascii="Verdana" w:eastAsia="Verdana" w:hAnsi="Verdana" w:cs="Verdana"/>
                <w:noProof/>
                <w:color w:val="FFFFFF"/>
              </w:rPr>
            </w:pPr>
            <w:r>
              <w:rPr>
                <w:rFonts w:ascii="Verdana" w:eastAsia="Verdana" w:hAnsi="Verdana" w:cs="Verdana"/>
                <w:noProof/>
                <w:color w:val="FFFFFF"/>
              </w:rPr>
              <w:t>31.12.2025</w:t>
            </w:r>
          </w:p>
        </w:tc>
        <w:tc>
          <w:tcPr>
            <w:tcW w:w="1989" w:type="dxa"/>
            <w:tcBorders>
              <w:top w:val="nil"/>
              <w:left w:val="nil"/>
              <w:bottom w:val="nil"/>
              <w:right w:val="nil"/>
              <w:tl2br w:val="nil"/>
              <w:tr2bl w:val="nil"/>
            </w:tcBorders>
            <w:shd w:val="solid" w:color="016794" w:fill="FFFFFF"/>
            <w:tcMar>
              <w:left w:w="60" w:type="dxa"/>
              <w:right w:w="60" w:type="dxa"/>
            </w:tcMar>
            <w:vAlign w:val="center"/>
          </w:tcPr>
          <w:p w14:paraId="35A966BB" w14:textId="77777777" w:rsidR="00807FFE" w:rsidRDefault="00023E71">
            <w:pPr>
              <w:pStyle w:val="DMETW36762BIPCA"/>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74E08845" w14:textId="77777777">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14:paraId="53FCD2AA" w14:textId="77777777" w:rsidR="00807FFE" w:rsidRDefault="00023E71">
            <w:pPr>
              <w:pStyle w:val="DMETW36762BIPCA"/>
              <w:rPr>
                <w:rFonts w:ascii="Verdana" w:eastAsia="Verdana" w:hAnsi="Verdana" w:cs="Verdana"/>
                <w:i/>
                <w:noProof/>
                <w:color w:val="000000"/>
                <w:sz w:val="18"/>
              </w:rPr>
            </w:pPr>
            <w:r>
              <w:rPr>
                <w:rFonts w:ascii="Verdana" w:eastAsia="Verdana" w:hAnsi="Verdana" w:cs="Verdana"/>
                <w:i/>
                <w:noProof/>
                <w:color w:val="000000"/>
                <w:sz w:val="18"/>
              </w:rPr>
              <w:t>Guarantees received:</w:t>
            </w:r>
          </w:p>
        </w:tc>
        <w:tc>
          <w:tcPr>
            <w:tcW w:w="1989" w:type="dxa"/>
            <w:tcBorders>
              <w:top w:val="nil"/>
              <w:left w:val="nil"/>
              <w:bottom w:val="nil"/>
              <w:right w:val="nil"/>
              <w:tl2br w:val="nil"/>
              <w:tr2bl w:val="nil"/>
            </w:tcBorders>
            <w:shd w:val="solid" w:color="FFFFFF" w:fill="FFFFFF"/>
            <w:tcMar>
              <w:left w:w="60" w:type="dxa"/>
              <w:right w:w="60" w:type="dxa"/>
            </w:tcMar>
            <w:vAlign w:val="center"/>
          </w:tcPr>
          <w:p w14:paraId="252AA910" w14:textId="77777777" w:rsidR="00807FFE" w:rsidRDefault="00807FFE">
            <w:pPr>
              <w:pStyle w:val="DMETW36762BIPCA"/>
              <w:jc w:val="right"/>
              <w:rPr>
                <w:rFonts w:ascii="Verdana" w:eastAsia="Verdana" w:hAnsi="Verdana" w:cs="Verdana"/>
                <w:i/>
                <w:noProof/>
                <w:color w:val="000000"/>
                <w:sz w:val="18"/>
              </w:rPr>
            </w:pPr>
          </w:p>
        </w:tc>
        <w:tc>
          <w:tcPr>
            <w:tcW w:w="1989" w:type="dxa"/>
            <w:tcBorders>
              <w:top w:val="nil"/>
              <w:left w:val="nil"/>
              <w:bottom w:val="nil"/>
              <w:right w:val="nil"/>
              <w:tl2br w:val="nil"/>
              <w:tr2bl w:val="nil"/>
            </w:tcBorders>
            <w:shd w:val="solid" w:color="FFFFFF" w:fill="FFFFFF"/>
            <w:tcMar>
              <w:left w:w="60" w:type="dxa"/>
              <w:right w:w="60" w:type="dxa"/>
            </w:tcMar>
            <w:vAlign w:val="center"/>
          </w:tcPr>
          <w:p w14:paraId="70A49477" w14:textId="77777777" w:rsidR="00807FFE" w:rsidRDefault="00807FFE">
            <w:pPr>
              <w:pStyle w:val="DMETW36762BIPCA"/>
              <w:jc w:val="right"/>
              <w:rPr>
                <w:rFonts w:ascii="Verdana" w:eastAsia="Verdana" w:hAnsi="Verdana" w:cs="Verdana"/>
                <w:i/>
                <w:noProof/>
                <w:color w:val="000000"/>
                <w:sz w:val="18"/>
                <w:lang w:bidi="en-GB"/>
              </w:rPr>
            </w:pPr>
          </w:p>
        </w:tc>
      </w:tr>
      <w:tr w:rsidR="00807FFE" w14:paraId="3DCB9E44" w14:textId="77777777">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14:paraId="64D8C6C2" w14:textId="77777777" w:rsidR="00807FFE" w:rsidRDefault="00023E71">
            <w:pPr>
              <w:pStyle w:val="DMETW36762BIPCA"/>
              <w:rPr>
                <w:rFonts w:ascii="Verdana" w:eastAsia="Verdana" w:hAnsi="Verdana" w:cs="Verdana"/>
                <w:i/>
                <w:noProof/>
                <w:color w:val="000000"/>
                <w:sz w:val="18"/>
              </w:rPr>
            </w:pPr>
            <w:r>
              <w:rPr>
                <w:rFonts w:ascii="Verdana" w:eastAsia="Verdana" w:hAnsi="Verdana" w:cs="Verdana"/>
                <w:i/>
                <w:noProof/>
                <w:color w:val="000000"/>
                <w:sz w:val="18"/>
              </w:rPr>
              <w:t xml:space="preserve">     Performance guarantees</w:t>
            </w:r>
          </w:p>
        </w:tc>
        <w:tc>
          <w:tcPr>
            <w:tcW w:w="1989" w:type="dxa"/>
            <w:tcBorders>
              <w:top w:val="nil"/>
              <w:left w:val="nil"/>
              <w:bottom w:val="nil"/>
              <w:right w:val="nil"/>
              <w:tl2br w:val="nil"/>
              <w:tr2bl w:val="nil"/>
            </w:tcBorders>
            <w:shd w:val="solid" w:color="FFFFFF" w:fill="FFFFFF"/>
            <w:tcMar>
              <w:left w:w="60" w:type="dxa"/>
              <w:right w:w="60" w:type="dxa"/>
            </w:tcMar>
            <w:vAlign w:val="center"/>
          </w:tcPr>
          <w:p w14:paraId="6B4DFEE1" w14:textId="77777777" w:rsidR="00807FFE" w:rsidRDefault="00023E71">
            <w:pPr>
              <w:pStyle w:val="DMETW36762BIPCA"/>
              <w:jc w:val="right"/>
              <w:rPr>
                <w:rFonts w:ascii="Verdana" w:eastAsia="Verdana" w:hAnsi="Verdana" w:cs="Verdana"/>
                <w:i/>
                <w:noProof/>
                <w:color w:val="000000"/>
                <w:sz w:val="18"/>
              </w:rPr>
            </w:pPr>
            <w:r>
              <w:rPr>
                <w:rFonts w:ascii="Verdana" w:eastAsia="Verdana" w:hAnsi="Verdana" w:cs="Verdana"/>
                <w:i/>
                <w:noProof/>
                <w:color w:val="000000"/>
                <w:sz w:val="18"/>
              </w:rPr>
              <w:t xml:space="preserve"> 253</w:t>
            </w:r>
          </w:p>
        </w:tc>
        <w:tc>
          <w:tcPr>
            <w:tcW w:w="1989" w:type="dxa"/>
            <w:tcBorders>
              <w:top w:val="nil"/>
              <w:left w:val="nil"/>
              <w:bottom w:val="nil"/>
              <w:right w:val="nil"/>
              <w:tl2br w:val="nil"/>
              <w:tr2bl w:val="nil"/>
            </w:tcBorders>
            <w:shd w:val="solid" w:color="FFFFFF" w:fill="FFFFFF"/>
            <w:tcMar>
              <w:left w:w="60" w:type="dxa"/>
              <w:right w:w="60" w:type="dxa"/>
            </w:tcMar>
            <w:vAlign w:val="center"/>
          </w:tcPr>
          <w:p w14:paraId="2A37E7FD" w14:textId="77777777" w:rsidR="00807FFE" w:rsidRDefault="00023E71">
            <w:pPr>
              <w:pStyle w:val="DMETW36762BIPC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275</w:t>
            </w:r>
          </w:p>
        </w:tc>
      </w:tr>
      <w:tr w:rsidR="00807FFE" w14:paraId="0CB42446" w14:textId="77777777">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14:paraId="478369E0" w14:textId="77777777" w:rsidR="00807FFE" w:rsidRDefault="00023E71">
            <w:pPr>
              <w:pStyle w:val="DMETW36762BIPCA"/>
              <w:rPr>
                <w:rFonts w:ascii="Verdana" w:eastAsia="Verdana" w:hAnsi="Verdana" w:cs="Verdana"/>
                <w:i/>
                <w:noProof/>
                <w:color w:val="000000"/>
                <w:sz w:val="18"/>
              </w:rPr>
            </w:pPr>
            <w:r>
              <w:rPr>
                <w:rFonts w:ascii="Verdana" w:eastAsia="Verdana" w:hAnsi="Verdana" w:cs="Verdana"/>
                <w:i/>
                <w:noProof/>
                <w:color w:val="000000"/>
                <w:sz w:val="18"/>
              </w:rPr>
              <w:t xml:space="preserve">     Other guarantees</w:t>
            </w:r>
          </w:p>
        </w:tc>
        <w:tc>
          <w:tcPr>
            <w:tcW w:w="1989" w:type="dxa"/>
            <w:tcBorders>
              <w:top w:val="nil"/>
              <w:left w:val="nil"/>
              <w:bottom w:val="nil"/>
              <w:right w:val="nil"/>
              <w:tl2br w:val="nil"/>
              <w:tr2bl w:val="nil"/>
            </w:tcBorders>
            <w:shd w:val="solid" w:color="FFFFFF" w:fill="FFFFFF"/>
            <w:tcMar>
              <w:left w:w="60" w:type="dxa"/>
              <w:right w:w="60" w:type="dxa"/>
            </w:tcMar>
            <w:vAlign w:val="center"/>
          </w:tcPr>
          <w:p w14:paraId="178181AE" w14:textId="77777777" w:rsidR="00807FFE" w:rsidRDefault="00023E71">
            <w:pPr>
              <w:pStyle w:val="DMETW36762BIPCA"/>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989" w:type="dxa"/>
            <w:tcBorders>
              <w:top w:val="nil"/>
              <w:left w:val="nil"/>
              <w:bottom w:val="nil"/>
              <w:right w:val="nil"/>
              <w:tl2br w:val="nil"/>
              <w:tr2bl w:val="nil"/>
            </w:tcBorders>
            <w:shd w:val="solid" w:color="FFFFFF" w:fill="FFFFFF"/>
            <w:tcMar>
              <w:left w:w="60" w:type="dxa"/>
              <w:right w:w="60" w:type="dxa"/>
            </w:tcMar>
            <w:vAlign w:val="center"/>
          </w:tcPr>
          <w:p w14:paraId="5E58B8BD" w14:textId="77777777" w:rsidR="00807FFE" w:rsidRDefault="00023E71">
            <w:pPr>
              <w:pStyle w:val="DMETW36762BIPC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807FFE" w14:paraId="37830F86" w14:textId="77777777">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14:paraId="75E03D56" w14:textId="77777777" w:rsidR="00807FFE" w:rsidRDefault="00023E71">
            <w:pPr>
              <w:pStyle w:val="DMETW36762BIPCA"/>
              <w:rPr>
                <w:rFonts w:ascii="Verdana" w:eastAsia="Verdana" w:hAnsi="Verdana" w:cs="Verdana"/>
                <w:i/>
                <w:noProof/>
                <w:color w:val="000000"/>
                <w:sz w:val="18"/>
              </w:rPr>
            </w:pPr>
            <w:r>
              <w:rPr>
                <w:rFonts w:ascii="Verdana" w:eastAsia="Verdana" w:hAnsi="Verdana" w:cs="Verdana"/>
                <w:i/>
                <w:noProof/>
                <w:color w:val="000000"/>
                <w:sz w:val="18"/>
              </w:rPr>
              <w:t>Other contingent assets</w:t>
            </w:r>
          </w:p>
        </w:tc>
        <w:tc>
          <w:tcPr>
            <w:tcW w:w="1989" w:type="dxa"/>
            <w:tcBorders>
              <w:top w:val="nil"/>
              <w:left w:val="nil"/>
              <w:bottom w:val="nil"/>
              <w:right w:val="nil"/>
              <w:tl2br w:val="nil"/>
              <w:tr2bl w:val="nil"/>
            </w:tcBorders>
            <w:shd w:val="solid" w:color="FFFFFF" w:fill="FFFFFF"/>
            <w:tcMar>
              <w:left w:w="60" w:type="dxa"/>
              <w:right w:w="60" w:type="dxa"/>
            </w:tcMar>
            <w:vAlign w:val="center"/>
          </w:tcPr>
          <w:p w14:paraId="369DF704" w14:textId="77777777" w:rsidR="00807FFE" w:rsidRDefault="00023E71">
            <w:pPr>
              <w:pStyle w:val="DMETW36762BIPCA"/>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989" w:type="dxa"/>
            <w:tcBorders>
              <w:top w:val="nil"/>
              <w:left w:val="nil"/>
              <w:bottom w:val="nil"/>
              <w:right w:val="nil"/>
              <w:tl2br w:val="nil"/>
              <w:tr2bl w:val="nil"/>
            </w:tcBorders>
            <w:shd w:val="solid" w:color="FFFFFF" w:fill="FFFFFF"/>
            <w:tcMar>
              <w:left w:w="60" w:type="dxa"/>
              <w:right w:w="60" w:type="dxa"/>
            </w:tcMar>
            <w:vAlign w:val="center"/>
          </w:tcPr>
          <w:p w14:paraId="651A2825" w14:textId="77777777" w:rsidR="00807FFE" w:rsidRDefault="00023E71">
            <w:pPr>
              <w:pStyle w:val="DMETW36762BIPC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w:t>
            </w:r>
          </w:p>
        </w:tc>
      </w:tr>
      <w:tr w:rsidR="00807FFE" w14:paraId="01D0761D" w14:textId="77777777">
        <w:trPr>
          <w:trHeight w:hRule="exact" w:val="255"/>
        </w:trPr>
        <w:tc>
          <w:tcPr>
            <w:tcW w:w="5780" w:type="dxa"/>
            <w:tcBorders>
              <w:top w:val="nil"/>
              <w:left w:val="nil"/>
              <w:bottom w:val="nil"/>
              <w:right w:val="nil"/>
              <w:tl2br w:val="nil"/>
              <w:tr2bl w:val="nil"/>
            </w:tcBorders>
            <w:shd w:val="solid" w:color="CCE1EA" w:fill="FFFFFF"/>
            <w:tcMar>
              <w:left w:w="60" w:type="dxa"/>
              <w:right w:w="60" w:type="dxa"/>
            </w:tcMar>
            <w:vAlign w:val="center"/>
          </w:tcPr>
          <w:p w14:paraId="39F759BA" w14:textId="77777777" w:rsidR="00807FFE" w:rsidRDefault="00023E71">
            <w:pPr>
              <w:pStyle w:val="DMETW36762BIPCA"/>
              <w:rPr>
                <w:rFonts w:ascii="Verdana" w:eastAsia="Verdana" w:hAnsi="Verdana" w:cs="Verdana"/>
                <w:b/>
                <w:noProof/>
                <w:color w:val="000000"/>
                <w:sz w:val="18"/>
              </w:rPr>
            </w:pPr>
            <w:r>
              <w:rPr>
                <w:rFonts w:ascii="Verdana" w:eastAsia="Verdana" w:hAnsi="Verdana" w:cs="Verdana"/>
                <w:b/>
                <w:noProof/>
                <w:color w:val="000000"/>
                <w:sz w:val="18"/>
              </w:rPr>
              <w:t>Total</w:t>
            </w:r>
          </w:p>
        </w:tc>
        <w:tc>
          <w:tcPr>
            <w:tcW w:w="1989" w:type="dxa"/>
            <w:tcBorders>
              <w:top w:val="nil"/>
              <w:left w:val="nil"/>
              <w:bottom w:val="nil"/>
              <w:right w:val="nil"/>
              <w:tl2br w:val="nil"/>
              <w:tr2bl w:val="nil"/>
            </w:tcBorders>
            <w:shd w:val="solid" w:color="CCE1EA" w:fill="FFFFFF"/>
            <w:tcMar>
              <w:left w:w="60" w:type="dxa"/>
              <w:right w:w="60" w:type="dxa"/>
            </w:tcMar>
            <w:vAlign w:val="center"/>
          </w:tcPr>
          <w:p w14:paraId="613A0A70" w14:textId="77777777" w:rsidR="00807FFE" w:rsidRDefault="00023E71">
            <w:pPr>
              <w:pStyle w:val="DMETW36762BIPCA"/>
              <w:jc w:val="right"/>
              <w:rPr>
                <w:rFonts w:ascii="Verdana" w:eastAsia="Verdana" w:hAnsi="Verdana" w:cs="Verdana"/>
                <w:b/>
                <w:noProof/>
                <w:color w:val="000000"/>
                <w:sz w:val="18"/>
              </w:rPr>
            </w:pPr>
            <w:r>
              <w:rPr>
                <w:rFonts w:ascii="Verdana" w:eastAsia="Verdana" w:hAnsi="Verdana" w:cs="Verdana"/>
                <w:b/>
                <w:noProof/>
                <w:color w:val="000000"/>
                <w:sz w:val="18"/>
              </w:rPr>
              <w:t xml:space="preserve"> 269</w:t>
            </w:r>
          </w:p>
        </w:tc>
        <w:tc>
          <w:tcPr>
            <w:tcW w:w="1989" w:type="dxa"/>
            <w:tcBorders>
              <w:top w:val="nil"/>
              <w:left w:val="nil"/>
              <w:bottom w:val="nil"/>
              <w:right w:val="nil"/>
              <w:tl2br w:val="nil"/>
              <w:tr2bl w:val="nil"/>
            </w:tcBorders>
            <w:shd w:val="solid" w:color="CCE1EA" w:fill="FFFFFF"/>
            <w:tcMar>
              <w:left w:w="60" w:type="dxa"/>
              <w:right w:w="60" w:type="dxa"/>
            </w:tcMar>
            <w:vAlign w:val="center"/>
          </w:tcPr>
          <w:p w14:paraId="0AAF4AAD" w14:textId="77777777" w:rsidR="00807FFE" w:rsidRDefault="00023E71">
            <w:pPr>
              <w:pStyle w:val="DMETW36762BIPCA"/>
              <w:jc w:val="right"/>
              <w:rPr>
                <w:rFonts w:ascii="Verdana" w:eastAsia="Verdana" w:hAnsi="Verdana" w:cs="Verdana"/>
                <w:b/>
                <w:noProof/>
                <w:color w:val="000000"/>
                <w:sz w:val="18"/>
              </w:rPr>
            </w:pPr>
            <w:r>
              <w:rPr>
                <w:rFonts w:ascii="Verdana" w:eastAsia="Verdana" w:hAnsi="Verdana" w:cs="Verdana"/>
                <w:b/>
                <w:noProof/>
                <w:color w:val="000000"/>
                <w:sz w:val="18"/>
              </w:rPr>
              <w:t xml:space="preserve"> 295</w:t>
            </w:r>
          </w:p>
        </w:tc>
      </w:tr>
    </w:tbl>
    <w:p w14:paraId="354FF0E8" w14:textId="77777777" w:rsidR="007E2130" w:rsidRDefault="00023E71" w:rsidP="00FF62DC">
      <w:pPr>
        <w:pStyle w:val="DGTextstand-alone"/>
        <w:spacing w:after="0"/>
      </w:pPr>
      <w:r w:rsidRPr="008D72F5">
        <w:t>Performance guarantees are requested to ensure that beneficiaries of EU funding meet the obligations of their contracts with the EU.</w:t>
      </w:r>
    </w:p>
    <w:bookmarkEnd w:id="203"/>
    <w:p w14:paraId="56D9BADD" w14:textId="77777777" w:rsidR="0066133E" w:rsidRPr="008D72F5" w:rsidRDefault="0066133E" w:rsidP="00FF62DC">
      <w:pPr>
        <w:pStyle w:val="DGTextstand-alone"/>
        <w:spacing w:after="0"/>
        <w:sectPr w:rsidR="0066133E" w:rsidRPr="008D72F5">
          <w:headerReference w:type="even" r:id="rId129"/>
          <w:headerReference w:type="default" r:id="rId130"/>
          <w:footerReference w:type="even" r:id="rId131"/>
          <w:footerReference w:type="default" r:id="rId132"/>
          <w:headerReference w:type="first" r:id="rId133"/>
          <w:footerReference w:type="first" r:id="rId134"/>
          <w:type w:val="continuous"/>
          <w:pgSz w:w="11906" w:h="16838"/>
          <w:pgMar w:top="1134" w:right="1134" w:bottom="1134" w:left="1134" w:header="709" w:footer="709" w:gutter="0"/>
          <w:cols w:space="708"/>
          <w:docGrid w:linePitch="360"/>
        </w:sectPr>
      </w:pPr>
    </w:p>
    <w:p w14:paraId="79E2A52C" w14:textId="77777777" w:rsidR="00B231CF" w:rsidRDefault="00023E71" w:rsidP="00172034">
      <w:pPr>
        <w:pStyle w:val="HEADER1NOTES"/>
        <w:numPr>
          <w:ilvl w:val="0"/>
          <w:numId w:val="15"/>
        </w:numPr>
        <w:rPr>
          <w:noProof/>
        </w:rPr>
      </w:pPr>
      <w:bookmarkStart w:id="213" w:name="_Toc232438942"/>
      <w:bookmarkStart w:id="214" w:name="_DMBM_36668"/>
      <w:r w:rsidRPr="00CD585E">
        <w:rPr>
          <w:noProof/>
        </w:rPr>
        <w:t>BUDGETARY AND LEGAL COMMITMENTS</w:t>
      </w:r>
      <w:bookmarkEnd w:id="213"/>
    </w:p>
    <w:p w14:paraId="06E7709D" w14:textId="77777777" w:rsidR="000A7905" w:rsidRPr="00F17D5F" w:rsidRDefault="00023E71" w:rsidP="00F17D5F">
      <w:pPr>
        <w:pStyle w:val="DGTextstand-alone"/>
      </w:pPr>
      <w:r w:rsidRPr="00F17D5F">
        <w:t xml:space="preserve">This </w:t>
      </w:r>
      <w:r w:rsidRPr="00575161">
        <w:t>note provides information on the budgetary process and future funding needs and not on liabilities existing as at 31 December 202</w:t>
      </w:r>
      <w:r>
        <w:t>5</w:t>
      </w:r>
      <w:r w:rsidRPr="00575161">
        <w:t>.</w:t>
      </w:r>
    </w:p>
    <w:p w14:paraId="77D7F29A" w14:textId="77777777" w:rsidR="00EF1A8B" w:rsidRPr="00F17D5F" w:rsidRDefault="00023E71" w:rsidP="00F17D5F">
      <w:pPr>
        <w:pStyle w:val="DGTextstand-alone"/>
      </w:pPr>
      <w:r w:rsidRPr="00F17D5F">
        <w:t xml:space="preserve">The </w:t>
      </w:r>
      <w:r>
        <w:t>M</w:t>
      </w:r>
      <w:r w:rsidRPr="00F17D5F">
        <w:t xml:space="preserve">ultiannual </w:t>
      </w:r>
      <w:r>
        <w:t>F</w:t>
      </w:r>
      <w:r w:rsidRPr="00F17D5F">
        <w:t xml:space="preserve">inancial </w:t>
      </w:r>
      <w:r>
        <w:t>F</w:t>
      </w:r>
      <w:r w:rsidRPr="00F17D5F">
        <w:t xml:space="preserve">ramework (MFF) agreed by the Member States defines the programmes and sets out the heading ceilings for commitment appropriations and the total for payment appropriations within which the EU may enter into budgetary and legal commitments, and ultimately make payments for a period of 7 years – see </w:t>
      </w:r>
      <w:r>
        <w:t>T</w:t>
      </w:r>
      <w:r w:rsidRPr="00F17D5F">
        <w:t xml:space="preserve">able </w:t>
      </w:r>
      <w:r w:rsidRPr="000F6047">
        <w:rPr>
          <w:b/>
          <w:bCs/>
        </w:rPr>
        <w:t>3.2</w:t>
      </w:r>
      <w:r w:rsidRPr="00F17D5F">
        <w:t xml:space="preserve"> in the notes to the budgetary implementation reports.</w:t>
      </w:r>
    </w:p>
    <w:p w14:paraId="3282E74C" w14:textId="160369CA" w:rsidR="006F097B" w:rsidRPr="006E7EEF" w:rsidRDefault="00023E71" w:rsidP="00F17D5F">
      <w:pPr>
        <w:pStyle w:val="DGTextstand-alone"/>
      </w:pPr>
      <w:r w:rsidRPr="006E7EEF">
        <w:t>Legal commitments correspond to programmes, projects, agreements or contracts signed, thus legally binding the EU. A legal commitment is the act whereby the authorising officer enters or establishes an obligation (for the EU) which results in a charge (Article 2</w:t>
      </w:r>
      <w:r>
        <w:t xml:space="preserve"> </w:t>
      </w:r>
      <w:r w:rsidRPr="006E7EEF">
        <w:t>(3</w:t>
      </w:r>
      <w:r w:rsidR="00DA1F5F">
        <w:t>9</w:t>
      </w:r>
      <w:r w:rsidRPr="006E7EEF">
        <w:t>) FR).</w:t>
      </w:r>
    </w:p>
    <w:p w14:paraId="62F01112" w14:textId="77777777" w:rsidR="00EF1A8B" w:rsidRPr="00F17D5F" w:rsidRDefault="00023E71" w:rsidP="00F17D5F">
      <w:pPr>
        <w:pStyle w:val="DGTextstand-alone"/>
      </w:pPr>
      <w:r w:rsidRPr="006E7EEF">
        <w:t xml:space="preserve">A budgetary commitment is in principle made before the legal commitment, but for some multiannual programmes/projects it is the reverse, the relevant budgetary commitments being made in annual instalments, over several years, when the basic act so provides for. For example, for cohesion, Article </w:t>
      </w:r>
      <w:r w:rsidR="00130B55">
        <w:t>8</w:t>
      </w:r>
      <w:r w:rsidRPr="006E7EEF">
        <w:t xml:space="preserve">6 of </w:t>
      </w:r>
      <w:r w:rsidRPr="00130B55">
        <w:t>the Common Provisions Regu</w:t>
      </w:r>
      <w:r w:rsidR="00A25F7F">
        <w:t>lation (CPR) (Regulation (EU)</w:t>
      </w:r>
      <w:r w:rsidRPr="00130B55">
        <w:t xml:space="preserve"> </w:t>
      </w:r>
      <w:r w:rsidR="00130B55" w:rsidRPr="00130B55">
        <w:t>2021</w:t>
      </w:r>
      <w:r w:rsidRPr="00130B55">
        <w:t>/</w:t>
      </w:r>
      <w:r w:rsidR="00130B55" w:rsidRPr="00130B55">
        <w:t>1060</w:t>
      </w:r>
      <w:r w:rsidRPr="00130B55">
        <w:t>) provides</w:t>
      </w:r>
      <w:r w:rsidRPr="006E7EEF">
        <w:t xml:space="preserve"> that the decision of the Commission adopting a programme shall constitute a legal commitment within the meaning of the Financial Regulation but that the budgetary commitments of the Union in respect of each programme shall be made in annual instalments for each fund during the </w:t>
      </w:r>
      <w:r w:rsidRPr="00130B55">
        <w:t xml:space="preserve">period between 1 January </w:t>
      </w:r>
      <w:r w:rsidR="00130B55" w:rsidRPr="00130B55">
        <w:t>2021</w:t>
      </w:r>
      <w:r w:rsidRPr="00130B55">
        <w:t xml:space="preserve"> and 31 December </w:t>
      </w:r>
      <w:r w:rsidR="00130B55" w:rsidRPr="00130B55">
        <w:t>2027</w:t>
      </w:r>
      <w:r w:rsidRPr="00130B55">
        <w:t>. Other legal bases may contain similar provisions. For this</w:t>
      </w:r>
      <w:r w:rsidRPr="006E7EEF">
        <w:t xml:space="preserve"> reason, there </w:t>
      </w:r>
      <w:r>
        <w:t>are</w:t>
      </w:r>
      <w:r w:rsidRPr="006E7EEF">
        <w:t xml:space="preserve"> amounts that the EU has legally committed to pay, but where the budgetary commitment has not yet been made – see </w:t>
      </w:r>
      <w:r>
        <w:t>N</w:t>
      </w:r>
      <w:r w:rsidRPr="006E7EEF">
        <w:t xml:space="preserve">ote </w:t>
      </w:r>
      <w:r w:rsidRPr="006E7EEF">
        <w:rPr>
          <w:b/>
        </w:rPr>
        <w:t>5.2</w:t>
      </w:r>
      <w:r w:rsidRPr="006E7EEF">
        <w:t xml:space="preserve"> below.</w:t>
      </w:r>
    </w:p>
    <w:p w14:paraId="2ECBBDCD" w14:textId="77777777" w:rsidR="00FC6734" w:rsidRPr="00F17D5F" w:rsidRDefault="00023E71" w:rsidP="00F17D5F">
      <w:pPr>
        <w:pStyle w:val="DGTextstand-alone"/>
      </w:pPr>
      <w:r w:rsidRPr="00F17D5F">
        <w:t xml:space="preserve">If the budgetary commitment has been made but the subsequent payments are not yet </w:t>
      </w:r>
      <w:r>
        <w:t>made</w:t>
      </w:r>
      <w:r w:rsidRPr="00F17D5F">
        <w:t>, the amount of outstanding commitment</w:t>
      </w:r>
      <w:r>
        <w:t>s</w:t>
      </w:r>
      <w:r w:rsidRPr="00F17D5F">
        <w:t xml:space="preserve"> is called </w:t>
      </w:r>
      <w:r w:rsidR="00C802FD">
        <w:t>‘</w:t>
      </w:r>
      <w:r w:rsidRPr="00F17D5F">
        <w:t>Reste à Liquider</w:t>
      </w:r>
      <w:r w:rsidR="00C802FD">
        <w:t>’</w:t>
      </w:r>
      <w:r w:rsidRPr="00F17D5F">
        <w:t xml:space="preserve"> (RAL). This can represent programmes or projects, often multiannual, </w:t>
      </w:r>
      <w:r>
        <w:t xml:space="preserve">which are </w:t>
      </w:r>
      <w:r w:rsidRPr="00F17D5F">
        <w:t xml:space="preserve">signed </w:t>
      </w:r>
      <w:r>
        <w:t>and for which payments will only be made in later years</w:t>
      </w:r>
      <w:r w:rsidRPr="00F17D5F">
        <w:t xml:space="preserve">. They represent payment obligations for future years. </w:t>
      </w:r>
      <w:r>
        <w:t>As the financial statements are prepared on an accrual basis, whereas the budgetary implementation reports are prepared on a cash basis, part of the overall amount</w:t>
      </w:r>
      <w:r w:rsidRPr="00F17D5F">
        <w:t xml:space="preserve"> unpaid (RAL) has already been expensed and is recognised as a liability on the balance sheet (see </w:t>
      </w:r>
      <w:r>
        <w:t>N</w:t>
      </w:r>
      <w:r w:rsidRPr="00F17D5F">
        <w:t xml:space="preserve">otes </w:t>
      </w:r>
      <w:r w:rsidRPr="00B75164">
        <w:rPr>
          <w:b/>
        </w:rPr>
        <w:t>2.12</w:t>
      </w:r>
      <w:r w:rsidRPr="00F17D5F">
        <w:t xml:space="preserve"> and </w:t>
      </w:r>
      <w:r w:rsidRPr="00B75164">
        <w:rPr>
          <w:b/>
        </w:rPr>
        <w:t>2.13</w:t>
      </w:r>
      <w:r w:rsidRPr="00F17D5F">
        <w:t xml:space="preserve">). The calculation of these expenses is made based </w:t>
      </w:r>
      <w:r>
        <w:t xml:space="preserve">either </w:t>
      </w:r>
      <w:r w:rsidRPr="00F17D5F">
        <w:t xml:space="preserve">on cost claims/invoices received </w:t>
      </w:r>
      <w:r>
        <w:t>or</w:t>
      </w:r>
      <w:r w:rsidRPr="00F17D5F">
        <w:t xml:space="preserve"> on the estimated implementation of a programme or project where no claims have been notified yet to the EU</w:t>
      </w:r>
      <w:r>
        <w:t xml:space="preserve"> by the reporting date</w:t>
      </w:r>
      <w:r w:rsidRPr="00F17D5F">
        <w:t>. Once the payments relating to the RAL are made, the liability on the balance sheet is derecognised. The part of the RAL not expensed yet is not included under liabilities but is instead disclosed below</w:t>
      </w:r>
      <w:r>
        <w:t xml:space="preserve">, </w:t>
      </w:r>
      <w:r w:rsidRPr="00F17D5F">
        <w:t xml:space="preserve">see </w:t>
      </w:r>
      <w:r>
        <w:t>N</w:t>
      </w:r>
      <w:r w:rsidRPr="00F17D5F">
        <w:t xml:space="preserve">ote </w:t>
      </w:r>
      <w:r w:rsidRPr="00B75164">
        <w:rPr>
          <w:b/>
        </w:rPr>
        <w:t>5.1</w:t>
      </w:r>
      <w:r w:rsidRPr="00F17D5F">
        <w:t>.</w:t>
      </w:r>
    </w:p>
    <w:p w14:paraId="593D2847" w14:textId="77777777" w:rsidR="00596D7F" w:rsidRPr="00F17D5F" w:rsidRDefault="00023E71" w:rsidP="000E1674">
      <w:pPr>
        <w:pStyle w:val="DGTextstand-alone"/>
        <w:spacing w:after="0"/>
      </w:pPr>
      <w:r w:rsidRPr="00F17D5F">
        <w:t>The disclosures below thus represent amounts</w:t>
      </w:r>
      <w:r>
        <w:t xml:space="preserve"> at </w:t>
      </w:r>
      <w:r w:rsidRPr="00575161">
        <w:t>31 December 202</w:t>
      </w:r>
      <w:r>
        <w:t>5</w:t>
      </w:r>
      <w:r w:rsidRPr="00575161">
        <w:t xml:space="preserve"> that the EU has committed to pay based on the fulfilment of the contractual agreements and which are therefore intended to be funded by future EU budgets.</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0"/>
        <w:gridCol w:w="1383"/>
        <w:gridCol w:w="1383"/>
        <w:gridCol w:w="1384"/>
      </w:tblGrid>
      <w:tr w:rsidR="00807FFE" w14:paraId="3D8452D6" w14:textId="77777777">
        <w:trPr>
          <w:trHeight w:val="247"/>
        </w:trPr>
        <w:tc>
          <w:tcPr>
            <w:tcW w:w="5510" w:type="dxa"/>
            <w:tcBorders>
              <w:top w:val="nil"/>
              <w:left w:val="nil"/>
              <w:bottom w:val="nil"/>
              <w:right w:val="nil"/>
              <w:tl2br w:val="nil"/>
              <w:tr2bl w:val="nil"/>
            </w:tcBorders>
            <w:tcMar>
              <w:left w:w="60" w:type="dxa"/>
              <w:right w:w="60" w:type="dxa"/>
            </w:tcMar>
            <w:vAlign w:val="center"/>
          </w:tcPr>
          <w:p w14:paraId="1A3F1E96" w14:textId="77777777" w:rsidR="00807FFE" w:rsidRDefault="00807FFE">
            <w:pPr>
              <w:pStyle w:val="DMETW36763BIPOBULEG"/>
              <w:rPr>
                <w:rFonts w:ascii="Verdana" w:eastAsia="Verdana" w:hAnsi="Verdana" w:cs="Verdana"/>
                <w:i/>
                <w:noProof/>
                <w:color w:val="FFFFFF"/>
                <w:sz w:val="16"/>
                <w:lang w:bidi="en-GB"/>
              </w:rPr>
            </w:pPr>
            <w:bookmarkStart w:id="215" w:name="DOC_TBL00084_1_1"/>
            <w:bookmarkEnd w:id="215"/>
          </w:p>
        </w:tc>
        <w:tc>
          <w:tcPr>
            <w:tcW w:w="1383" w:type="dxa"/>
            <w:tcBorders>
              <w:top w:val="nil"/>
              <w:left w:val="nil"/>
              <w:bottom w:val="nil"/>
              <w:right w:val="nil"/>
              <w:tl2br w:val="nil"/>
              <w:tr2bl w:val="nil"/>
            </w:tcBorders>
            <w:tcMar>
              <w:left w:w="60" w:type="dxa"/>
              <w:right w:w="60" w:type="dxa"/>
            </w:tcMar>
            <w:vAlign w:val="bottom"/>
          </w:tcPr>
          <w:p w14:paraId="02851E76" w14:textId="77777777" w:rsidR="00807FFE" w:rsidRDefault="00807FFE">
            <w:pPr>
              <w:pStyle w:val="DMETW36763BIPOBULEG"/>
              <w:rPr>
                <w:rFonts w:ascii="Arial" w:eastAsia="Arial" w:hAnsi="Arial" w:cs="Arial"/>
                <w:noProof/>
                <w:color w:val="000000"/>
              </w:rPr>
            </w:pPr>
          </w:p>
        </w:tc>
        <w:tc>
          <w:tcPr>
            <w:tcW w:w="1383" w:type="dxa"/>
            <w:tcBorders>
              <w:top w:val="nil"/>
              <w:left w:val="nil"/>
              <w:bottom w:val="nil"/>
              <w:right w:val="nil"/>
              <w:tl2br w:val="nil"/>
              <w:tr2bl w:val="nil"/>
            </w:tcBorders>
            <w:tcMar>
              <w:left w:w="60" w:type="dxa"/>
              <w:right w:w="60" w:type="dxa"/>
            </w:tcMar>
            <w:vAlign w:val="bottom"/>
          </w:tcPr>
          <w:p w14:paraId="47EE50A9" w14:textId="77777777" w:rsidR="00807FFE" w:rsidRDefault="00807FFE">
            <w:pPr>
              <w:pStyle w:val="DMETW36763BIPOBULEG"/>
              <w:rPr>
                <w:rFonts w:ascii="Arial" w:eastAsia="Arial" w:hAnsi="Arial" w:cs="Arial"/>
                <w:noProof/>
                <w:color w:val="000000"/>
              </w:rPr>
            </w:pPr>
          </w:p>
        </w:tc>
        <w:tc>
          <w:tcPr>
            <w:tcW w:w="1384" w:type="dxa"/>
            <w:tcBorders>
              <w:top w:val="nil"/>
              <w:left w:val="nil"/>
              <w:bottom w:val="nil"/>
              <w:right w:val="nil"/>
              <w:tl2br w:val="nil"/>
              <w:tr2bl w:val="nil"/>
            </w:tcBorders>
            <w:tcMar>
              <w:left w:w="60" w:type="dxa"/>
              <w:right w:w="60" w:type="dxa"/>
            </w:tcMar>
            <w:vAlign w:val="bottom"/>
          </w:tcPr>
          <w:p w14:paraId="1C993B4A" w14:textId="77777777" w:rsidR="00807FFE" w:rsidRDefault="00023E71">
            <w:pPr>
              <w:pStyle w:val="DMETW36763BIPOBULEG"/>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B3D7B5D" w14:textId="77777777">
        <w:trPr>
          <w:trHeight w:val="247"/>
        </w:trPr>
        <w:tc>
          <w:tcPr>
            <w:tcW w:w="5510" w:type="dxa"/>
            <w:tcBorders>
              <w:top w:val="nil"/>
              <w:left w:val="nil"/>
              <w:bottom w:val="nil"/>
              <w:right w:val="nil"/>
              <w:tl2br w:val="nil"/>
              <w:tr2bl w:val="nil"/>
            </w:tcBorders>
            <w:shd w:val="solid" w:color="016794" w:fill="FFFFFF"/>
            <w:tcMar>
              <w:left w:w="60" w:type="dxa"/>
              <w:right w:w="60" w:type="dxa"/>
            </w:tcMar>
            <w:vAlign w:val="center"/>
          </w:tcPr>
          <w:p w14:paraId="186AA420" w14:textId="77777777" w:rsidR="00807FFE" w:rsidRDefault="00807FFE">
            <w:pPr>
              <w:pStyle w:val="DMETW36763BIPOBULEG"/>
              <w:rPr>
                <w:rFonts w:ascii="Verdana" w:eastAsia="Verdana" w:hAnsi="Verdana" w:cs="Verdana"/>
                <w:noProof/>
                <w:color w:val="FFFFFF"/>
              </w:rPr>
            </w:pPr>
          </w:p>
        </w:tc>
        <w:tc>
          <w:tcPr>
            <w:tcW w:w="1383" w:type="dxa"/>
            <w:tcBorders>
              <w:top w:val="nil"/>
              <w:left w:val="nil"/>
              <w:bottom w:val="nil"/>
              <w:right w:val="nil"/>
              <w:tl2br w:val="nil"/>
              <w:tr2bl w:val="nil"/>
            </w:tcBorders>
            <w:shd w:val="solid" w:color="016794" w:fill="FFFFFF"/>
            <w:tcMar>
              <w:left w:w="60" w:type="dxa"/>
              <w:right w:w="60" w:type="dxa"/>
            </w:tcMar>
            <w:vAlign w:val="center"/>
          </w:tcPr>
          <w:p w14:paraId="4E2724EF" w14:textId="77777777" w:rsidR="00807FFE" w:rsidRDefault="00023E71">
            <w:pPr>
              <w:pStyle w:val="DMETW36763BIPOBULEG"/>
              <w:jc w:val="center"/>
              <w:rPr>
                <w:rFonts w:ascii="Verdana" w:eastAsia="Verdana" w:hAnsi="Verdana" w:cs="Verdana"/>
                <w:noProof/>
                <w:color w:val="FFFFFF"/>
              </w:rPr>
            </w:pPr>
            <w:r>
              <w:rPr>
                <w:rFonts w:ascii="Verdana" w:eastAsia="Verdana" w:hAnsi="Verdana" w:cs="Verdana"/>
                <w:noProof/>
                <w:color w:val="FFFFFF"/>
              </w:rPr>
              <w:t>Note</w:t>
            </w:r>
          </w:p>
        </w:tc>
        <w:tc>
          <w:tcPr>
            <w:tcW w:w="1383" w:type="dxa"/>
            <w:tcBorders>
              <w:top w:val="nil"/>
              <w:left w:val="nil"/>
              <w:bottom w:val="nil"/>
              <w:right w:val="nil"/>
              <w:tl2br w:val="nil"/>
              <w:tr2bl w:val="nil"/>
            </w:tcBorders>
            <w:shd w:val="solid" w:color="016794" w:fill="FFFFFF"/>
            <w:tcMar>
              <w:left w:w="60" w:type="dxa"/>
              <w:right w:w="60" w:type="dxa"/>
            </w:tcMar>
            <w:vAlign w:val="center"/>
          </w:tcPr>
          <w:p w14:paraId="4EC0BF56" w14:textId="77777777" w:rsidR="00807FFE" w:rsidRDefault="00023E71">
            <w:pPr>
              <w:pStyle w:val="DMETW36763BIPOBULEG"/>
              <w:jc w:val="right"/>
              <w:rPr>
                <w:rFonts w:ascii="Verdana" w:eastAsia="Verdana" w:hAnsi="Verdana" w:cs="Verdana"/>
                <w:noProof/>
                <w:color w:val="FFFFFF"/>
              </w:rPr>
            </w:pPr>
            <w:r>
              <w:rPr>
                <w:rFonts w:ascii="Verdana" w:eastAsia="Verdana" w:hAnsi="Verdana" w:cs="Verdana"/>
                <w:noProof/>
                <w:color w:val="FFFFFF"/>
              </w:rPr>
              <w:t>31.12.2025</w:t>
            </w:r>
          </w:p>
        </w:tc>
        <w:tc>
          <w:tcPr>
            <w:tcW w:w="1384" w:type="dxa"/>
            <w:tcBorders>
              <w:top w:val="nil"/>
              <w:left w:val="nil"/>
              <w:bottom w:val="nil"/>
              <w:right w:val="nil"/>
              <w:tl2br w:val="nil"/>
              <w:tr2bl w:val="nil"/>
            </w:tcBorders>
            <w:shd w:val="solid" w:color="016794" w:fill="FFFFFF"/>
            <w:tcMar>
              <w:left w:w="60" w:type="dxa"/>
              <w:right w:w="60" w:type="dxa"/>
            </w:tcMar>
            <w:vAlign w:val="center"/>
          </w:tcPr>
          <w:p w14:paraId="53793044" w14:textId="77777777" w:rsidR="00807FFE" w:rsidRDefault="00023E71">
            <w:pPr>
              <w:pStyle w:val="DMETW36763BIPOBULEG"/>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006FABDE" w14:textId="77777777">
        <w:trPr>
          <w:trHeight w:val="247"/>
        </w:trPr>
        <w:tc>
          <w:tcPr>
            <w:tcW w:w="5510" w:type="dxa"/>
            <w:tcBorders>
              <w:top w:val="nil"/>
              <w:left w:val="nil"/>
              <w:bottom w:val="nil"/>
              <w:right w:val="nil"/>
              <w:tl2br w:val="nil"/>
              <w:tr2bl w:val="nil"/>
            </w:tcBorders>
            <w:tcMar>
              <w:left w:w="60" w:type="dxa"/>
              <w:right w:w="60" w:type="dxa"/>
            </w:tcMar>
            <w:vAlign w:val="center"/>
          </w:tcPr>
          <w:p w14:paraId="30B296BF" w14:textId="77777777" w:rsidR="00807FFE" w:rsidRDefault="00023E71">
            <w:pPr>
              <w:pStyle w:val="DMETW36763BIPOBULEG"/>
              <w:rPr>
                <w:rFonts w:ascii="Verdana" w:eastAsia="Verdana" w:hAnsi="Verdana" w:cs="Verdana"/>
                <w:i/>
                <w:noProof/>
                <w:color w:val="000000"/>
                <w:sz w:val="18"/>
              </w:rPr>
            </w:pPr>
            <w:r>
              <w:rPr>
                <w:rFonts w:ascii="Verdana" w:eastAsia="Verdana" w:hAnsi="Verdana" w:cs="Verdana"/>
                <w:i/>
                <w:noProof/>
                <w:color w:val="000000"/>
                <w:sz w:val="18"/>
              </w:rPr>
              <w:t>Outstanding budgetary commitments not yet expensed</w:t>
            </w:r>
          </w:p>
        </w:tc>
        <w:tc>
          <w:tcPr>
            <w:tcW w:w="1383" w:type="dxa"/>
            <w:tcBorders>
              <w:top w:val="nil"/>
              <w:left w:val="nil"/>
              <w:bottom w:val="nil"/>
              <w:right w:val="nil"/>
              <w:tl2br w:val="nil"/>
              <w:tr2bl w:val="nil"/>
            </w:tcBorders>
            <w:tcMar>
              <w:left w:w="60" w:type="dxa"/>
              <w:right w:w="60" w:type="dxa"/>
            </w:tcMar>
            <w:vAlign w:val="center"/>
          </w:tcPr>
          <w:p w14:paraId="4E4DEFE2" w14:textId="77777777" w:rsidR="00807FFE" w:rsidRDefault="00023E71">
            <w:pPr>
              <w:pStyle w:val="DMETW36763BIPOBULEG"/>
              <w:jc w:val="center"/>
              <w:rPr>
                <w:rFonts w:ascii="Verdana" w:eastAsia="Verdana" w:hAnsi="Verdana" w:cs="Verdana"/>
                <w:i/>
                <w:noProof/>
                <w:color w:val="000000"/>
                <w:sz w:val="18"/>
              </w:rPr>
            </w:pPr>
            <w:r>
              <w:rPr>
                <w:rFonts w:ascii="Verdana" w:eastAsia="Verdana" w:hAnsi="Verdana" w:cs="Verdana"/>
                <w:i/>
                <w:noProof/>
                <w:color w:val="000000"/>
                <w:sz w:val="18"/>
              </w:rPr>
              <w:t>5.1</w:t>
            </w:r>
          </w:p>
        </w:tc>
        <w:tc>
          <w:tcPr>
            <w:tcW w:w="1383" w:type="dxa"/>
            <w:tcBorders>
              <w:top w:val="nil"/>
              <w:left w:val="nil"/>
              <w:bottom w:val="nil"/>
              <w:right w:val="nil"/>
              <w:tl2br w:val="nil"/>
              <w:tr2bl w:val="nil"/>
            </w:tcBorders>
            <w:tcMar>
              <w:left w:w="60" w:type="dxa"/>
              <w:right w:w="60" w:type="dxa"/>
            </w:tcMar>
            <w:vAlign w:val="center"/>
          </w:tcPr>
          <w:p w14:paraId="1EF88A6B" w14:textId="77777777" w:rsidR="00807FFE" w:rsidRDefault="00023E71">
            <w:pPr>
              <w:pStyle w:val="DMETW36763BIPOBULEG"/>
              <w:jc w:val="right"/>
              <w:rPr>
                <w:rFonts w:ascii="Verdana" w:eastAsia="Verdana" w:hAnsi="Verdana" w:cs="Verdana"/>
                <w:i/>
                <w:noProof/>
                <w:color w:val="000000"/>
                <w:sz w:val="18"/>
              </w:rPr>
            </w:pPr>
            <w:r>
              <w:rPr>
                <w:rFonts w:ascii="Verdana" w:eastAsia="Verdana" w:hAnsi="Verdana" w:cs="Verdana"/>
                <w:i/>
                <w:noProof/>
                <w:color w:val="000000"/>
                <w:sz w:val="18"/>
              </w:rPr>
              <w:t>380 780</w:t>
            </w:r>
          </w:p>
        </w:tc>
        <w:tc>
          <w:tcPr>
            <w:tcW w:w="1384" w:type="dxa"/>
            <w:tcBorders>
              <w:top w:val="nil"/>
              <w:left w:val="nil"/>
              <w:bottom w:val="nil"/>
              <w:right w:val="nil"/>
              <w:tl2br w:val="nil"/>
              <w:tr2bl w:val="nil"/>
            </w:tcBorders>
            <w:tcMar>
              <w:left w:w="60" w:type="dxa"/>
              <w:right w:w="60" w:type="dxa"/>
            </w:tcMar>
            <w:vAlign w:val="center"/>
          </w:tcPr>
          <w:p w14:paraId="3FE2F221" w14:textId="77777777" w:rsidR="00807FFE" w:rsidRDefault="00023E71">
            <w:pPr>
              <w:pStyle w:val="DMETW36763BIPOBULEG"/>
              <w:jc w:val="right"/>
              <w:rPr>
                <w:rFonts w:ascii="Verdana" w:eastAsia="Verdana" w:hAnsi="Verdana" w:cs="Verdana"/>
                <w:i/>
                <w:noProof/>
                <w:color w:val="000000"/>
                <w:sz w:val="18"/>
                <w:lang w:bidi="en-GB"/>
              </w:rPr>
            </w:pPr>
            <w:r>
              <w:rPr>
                <w:rFonts w:ascii="Verdana" w:eastAsia="Verdana" w:hAnsi="Verdana" w:cs="Verdana"/>
                <w:i/>
                <w:noProof/>
                <w:color w:val="000000"/>
                <w:sz w:val="18"/>
              </w:rPr>
              <w:t>428 588</w:t>
            </w:r>
          </w:p>
        </w:tc>
      </w:tr>
      <w:tr w:rsidR="00807FFE" w14:paraId="035B80FD" w14:textId="77777777">
        <w:trPr>
          <w:trHeight w:val="247"/>
        </w:trPr>
        <w:tc>
          <w:tcPr>
            <w:tcW w:w="5510" w:type="dxa"/>
            <w:tcBorders>
              <w:top w:val="nil"/>
              <w:left w:val="nil"/>
              <w:bottom w:val="nil"/>
              <w:right w:val="nil"/>
              <w:tl2br w:val="nil"/>
              <w:tr2bl w:val="nil"/>
            </w:tcBorders>
            <w:tcMar>
              <w:left w:w="60" w:type="dxa"/>
              <w:right w:w="60" w:type="dxa"/>
            </w:tcMar>
            <w:vAlign w:val="center"/>
          </w:tcPr>
          <w:p w14:paraId="572108E3" w14:textId="77777777" w:rsidR="00807FFE" w:rsidRDefault="00023E71">
            <w:pPr>
              <w:pStyle w:val="DMETW36763BIPOBULEG"/>
              <w:rPr>
                <w:rFonts w:ascii="Verdana" w:eastAsia="Verdana" w:hAnsi="Verdana" w:cs="Verdana"/>
                <w:i/>
                <w:noProof/>
                <w:color w:val="000000"/>
                <w:sz w:val="18"/>
              </w:rPr>
            </w:pPr>
            <w:r>
              <w:rPr>
                <w:rFonts w:ascii="Verdana" w:eastAsia="Verdana" w:hAnsi="Verdana" w:cs="Verdana"/>
                <w:i/>
                <w:noProof/>
                <w:color w:val="000000"/>
                <w:sz w:val="18"/>
              </w:rPr>
              <w:t>Significant legal commitments</w:t>
            </w:r>
          </w:p>
        </w:tc>
        <w:tc>
          <w:tcPr>
            <w:tcW w:w="1383" w:type="dxa"/>
            <w:tcBorders>
              <w:top w:val="nil"/>
              <w:left w:val="nil"/>
              <w:bottom w:val="nil"/>
              <w:right w:val="nil"/>
              <w:tl2br w:val="nil"/>
              <w:tr2bl w:val="nil"/>
            </w:tcBorders>
            <w:tcMar>
              <w:left w:w="60" w:type="dxa"/>
              <w:right w:w="60" w:type="dxa"/>
            </w:tcMar>
            <w:vAlign w:val="center"/>
          </w:tcPr>
          <w:p w14:paraId="295ED0DF" w14:textId="77777777" w:rsidR="00807FFE" w:rsidRDefault="00023E71">
            <w:pPr>
              <w:pStyle w:val="DMETW36763BIPOBULEG"/>
              <w:jc w:val="center"/>
              <w:rPr>
                <w:rFonts w:ascii="Verdana" w:eastAsia="Verdana" w:hAnsi="Verdana" w:cs="Verdana"/>
                <w:i/>
                <w:noProof/>
                <w:color w:val="000000"/>
                <w:sz w:val="18"/>
              </w:rPr>
            </w:pPr>
            <w:r>
              <w:rPr>
                <w:rFonts w:ascii="Verdana" w:eastAsia="Verdana" w:hAnsi="Verdana" w:cs="Verdana"/>
                <w:i/>
                <w:noProof/>
                <w:color w:val="000000"/>
                <w:sz w:val="18"/>
              </w:rPr>
              <w:t>5.2</w:t>
            </w:r>
          </w:p>
        </w:tc>
        <w:tc>
          <w:tcPr>
            <w:tcW w:w="1383" w:type="dxa"/>
            <w:tcBorders>
              <w:top w:val="nil"/>
              <w:left w:val="nil"/>
              <w:bottom w:val="nil"/>
              <w:right w:val="nil"/>
              <w:tl2br w:val="nil"/>
              <w:tr2bl w:val="nil"/>
            </w:tcBorders>
            <w:tcMar>
              <w:left w:w="60" w:type="dxa"/>
              <w:right w:w="60" w:type="dxa"/>
            </w:tcMar>
            <w:vAlign w:val="center"/>
          </w:tcPr>
          <w:p w14:paraId="357FC93D" w14:textId="77777777" w:rsidR="00807FFE" w:rsidRDefault="00023E71">
            <w:pPr>
              <w:pStyle w:val="DMETW36763BIPOBULEG"/>
              <w:jc w:val="right"/>
              <w:rPr>
                <w:rFonts w:ascii="Verdana" w:eastAsia="Verdana" w:hAnsi="Verdana" w:cs="Verdana"/>
                <w:i/>
                <w:noProof/>
                <w:color w:val="000000"/>
                <w:sz w:val="18"/>
              </w:rPr>
            </w:pPr>
            <w:r>
              <w:rPr>
                <w:rFonts w:ascii="Verdana" w:eastAsia="Verdana" w:hAnsi="Verdana" w:cs="Verdana"/>
                <w:i/>
                <w:noProof/>
                <w:color w:val="000000"/>
                <w:sz w:val="18"/>
              </w:rPr>
              <w:t>180 699</w:t>
            </w:r>
          </w:p>
        </w:tc>
        <w:tc>
          <w:tcPr>
            <w:tcW w:w="1384" w:type="dxa"/>
            <w:tcBorders>
              <w:top w:val="nil"/>
              <w:left w:val="nil"/>
              <w:bottom w:val="nil"/>
              <w:right w:val="nil"/>
              <w:tl2br w:val="nil"/>
              <w:tr2bl w:val="nil"/>
            </w:tcBorders>
            <w:tcMar>
              <w:left w:w="60" w:type="dxa"/>
              <w:right w:w="60" w:type="dxa"/>
            </w:tcMar>
            <w:vAlign w:val="center"/>
          </w:tcPr>
          <w:p w14:paraId="0257F4EB" w14:textId="77777777" w:rsidR="00807FFE" w:rsidRDefault="00023E71">
            <w:pPr>
              <w:pStyle w:val="DMETW36763BIPOBULEG"/>
              <w:jc w:val="right"/>
              <w:rPr>
                <w:rFonts w:ascii="Verdana" w:eastAsia="Verdana" w:hAnsi="Verdana" w:cs="Verdana"/>
                <w:i/>
                <w:noProof/>
                <w:color w:val="000000"/>
                <w:sz w:val="18"/>
                <w:lang w:bidi="en-GB"/>
              </w:rPr>
            </w:pPr>
            <w:r>
              <w:rPr>
                <w:rFonts w:ascii="Verdana" w:eastAsia="Verdana" w:hAnsi="Verdana" w:cs="Verdana"/>
                <w:i/>
                <w:noProof/>
                <w:color w:val="000000"/>
                <w:sz w:val="18"/>
              </w:rPr>
              <w:t>257 256</w:t>
            </w:r>
          </w:p>
        </w:tc>
      </w:tr>
      <w:tr w:rsidR="00807FFE" w14:paraId="0F5E72CD" w14:textId="77777777">
        <w:trPr>
          <w:trHeight w:val="247"/>
        </w:trPr>
        <w:tc>
          <w:tcPr>
            <w:tcW w:w="5510" w:type="dxa"/>
            <w:tcBorders>
              <w:top w:val="nil"/>
              <w:left w:val="nil"/>
              <w:bottom w:val="nil"/>
              <w:right w:val="nil"/>
              <w:tl2br w:val="nil"/>
              <w:tr2bl w:val="nil"/>
            </w:tcBorders>
            <w:shd w:val="solid" w:color="CCE1EA" w:fill="FFFFFF"/>
            <w:tcMar>
              <w:left w:w="60" w:type="dxa"/>
              <w:right w:w="60" w:type="dxa"/>
            </w:tcMar>
            <w:vAlign w:val="center"/>
          </w:tcPr>
          <w:p w14:paraId="6870246E" w14:textId="77777777" w:rsidR="00807FFE" w:rsidRDefault="00023E71">
            <w:pPr>
              <w:pStyle w:val="DMETW36763BIPOBULEG"/>
              <w:rPr>
                <w:rFonts w:ascii="Verdana" w:eastAsia="Verdana" w:hAnsi="Verdana" w:cs="Verdana"/>
                <w:b/>
                <w:noProof/>
                <w:color w:val="000000"/>
                <w:sz w:val="18"/>
              </w:rPr>
            </w:pPr>
            <w:r>
              <w:rPr>
                <w:rFonts w:ascii="Verdana" w:eastAsia="Verdana" w:hAnsi="Verdana" w:cs="Verdana"/>
                <w:b/>
                <w:noProof/>
                <w:color w:val="000000"/>
                <w:sz w:val="18"/>
              </w:rPr>
              <w:t>Total</w:t>
            </w:r>
          </w:p>
        </w:tc>
        <w:tc>
          <w:tcPr>
            <w:tcW w:w="1383" w:type="dxa"/>
            <w:tcBorders>
              <w:top w:val="nil"/>
              <w:left w:val="nil"/>
              <w:bottom w:val="nil"/>
              <w:right w:val="nil"/>
              <w:tl2br w:val="nil"/>
              <w:tr2bl w:val="nil"/>
            </w:tcBorders>
            <w:shd w:val="solid" w:color="CCE1EA" w:fill="FFFFFF"/>
            <w:tcMar>
              <w:left w:w="60" w:type="dxa"/>
              <w:right w:w="60" w:type="dxa"/>
            </w:tcMar>
            <w:vAlign w:val="center"/>
          </w:tcPr>
          <w:p w14:paraId="31327B7A" w14:textId="77777777" w:rsidR="00807FFE" w:rsidRDefault="00807FFE">
            <w:pPr>
              <w:pStyle w:val="DMETW36763BIPOBULEG"/>
              <w:jc w:val="center"/>
              <w:rPr>
                <w:rFonts w:ascii="Verdana" w:eastAsia="Verdana" w:hAnsi="Verdana" w:cs="Verdana"/>
                <w:noProof/>
                <w:color w:val="000000"/>
                <w:sz w:val="18"/>
              </w:rPr>
            </w:pPr>
          </w:p>
        </w:tc>
        <w:tc>
          <w:tcPr>
            <w:tcW w:w="1383" w:type="dxa"/>
            <w:tcBorders>
              <w:top w:val="nil"/>
              <w:left w:val="nil"/>
              <w:bottom w:val="nil"/>
              <w:right w:val="nil"/>
              <w:tl2br w:val="nil"/>
              <w:tr2bl w:val="nil"/>
            </w:tcBorders>
            <w:shd w:val="solid" w:color="CCE1EA" w:fill="FFFFFF"/>
            <w:tcMar>
              <w:left w:w="60" w:type="dxa"/>
              <w:right w:w="60" w:type="dxa"/>
            </w:tcMar>
            <w:vAlign w:val="center"/>
          </w:tcPr>
          <w:p w14:paraId="78B7B49C" w14:textId="77777777" w:rsidR="00807FFE" w:rsidRDefault="00023E71">
            <w:pPr>
              <w:pStyle w:val="DMETW36763BIPOBULEG"/>
              <w:jc w:val="right"/>
              <w:rPr>
                <w:rFonts w:ascii="Verdana" w:eastAsia="Verdana" w:hAnsi="Verdana" w:cs="Verdana"/>
                <w:b/>
                <w:noProof/>
                <w:color w:val="000000"/>
                <w:sz w:val="18"/>
              </w:rPr>
            </w:pPr>
            <w:r>
              <w:rPr>
                <w:rFonts w:ascii="Verdana" w:eastAsia="Verdana" w:hAnsi="Verdana" w:cs="Verdana"/>
                <w:b/>
                <w:noProof/>
                <w:color w:val="000000"/>
                <w:sz w:val="18"/>
              </w:rPr>
              <w:t>561 479</w:t>
            </w:r>
          </w:p>
        </w:tc>
        <w:tc>
          <w:tcPr>
            <w:tcW w:w="1384" w:type="dxa"/>
            <w:tcBorders>
              <w:top w:val="nil"/>
              <w:left w:val="nil"/>
              <w:bottom w:val="nil"/>
              <w:right w:val="nil"/>
              <w:tl2br w:val="nil"/>
              <w:tr2bl w:val="nil"/>
            </w:tcBorders>
            <w:shd w:val="solid" w:color="CCE1EA" w:fill="FFFFFF"/>
            <w:tcMar>
              <w:left w:w="60" w:type="dxa"/>
              <w:right w:w="60" w:type="dxa"/>
            </w:tcMar>
            <w:vAlign w:val="center"/>
          </w:tcPr>
          <w:p w14:paraId="3A98B4D7" w14:textId="77777777" w:rsidR="00807FFE" w:rsidRDefault="00023E71">
            <w:pPr>
              <w:pStyle w:val="DMETW36763BIPOBULEG"/>
              <w:jc w:val="right"/>
              <w:rPr>
                <w:rFonts w:ascii="Verdana" w:eastAsia="Verdana" w:hAnsi="Verdana" w:cs="Verdana"/>
                <w:b/>
                <w:noProof/>
                <w:color w:val="000000"/>
                <w:sz w:val="18"/>
              </w:rPr>
            </w:pPr>
            <w:r>
              <w:rPr>
                <w:rFonts w:ascii="Verdana" w:eastAsia="Verdana" w:hAnsi="Verdana" w:cs="Verdana"/>
                <w:b/>
                <w:noProof/>
                <w:color w:val="000000"/>
                <w:sz w:val="18"/>
              </w:rPr>
              <w:t>685 844</w:t>
            </w:r>
          </w:p>
        </w:tc>
      </w:tr>
    </w:tbl>
    <w:p w14:paraId="3566DC05" w14:textId="77777777" w:rsidR="00EA0A7B" w:rsidRDefault="00023E71" w:rsidP="00172034">
      <w:pPr>
        <w:pStyle w:val="HEADER2NOTES"/>
        <w:numPr>
          <w:ilvl w:val="1"/>
          <w:numId w:val="15"/>
        </w:numPr>
        <w:rPr>
          <w:noProof/>
        </w:rPr>
      </w:pPr>
      <w:r w:rsidRPr="00CD585E">
        <w:rPr>
          <w:noProof/>
        </w:rPr>
        <w:t>OUTSTANDING BUDGETARY COMMITMENTS NOT YET EXPENSED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5"/>
        <w:gridCol w:w="1608"/>
        <w:gridCol w:w="1645"/>
      </w:tblGrid>
      <w:tr w:rsidR="00807FFE" w14:paraId="3221E40D" w14:textId="77777777">
        <w:trPr>
          <w:cantSplit/>
          <w:trHeight w:val="255"/>
        </w:trPr>
        <w:tc>
          <w:tcPr>
            <w:tcW w:w="6505" w:type="dxa"/>
            <w:tcBorders>
              <w:top w:val="nil"/>
              <w:left w:val="nil"/>
              <w:bottom w:val="nil"/>
              <w:right w:val="nil"/>
              <w:tl2br w:val="nil"/>
              <w:tr2bl w:val="nil"/>
            </w:tcBorders>
            <w:tcMar>
              <w:left w:w="60" w:type="dxa"/>
              <w:right w:w="60" w:type="dxa"/>
            </w:tcMar>
            <w:vAlign w:val="bottom"/>
          </w:tcPr>
          <w:p w14:paraId="46137279" w14:textId="77777777" w:rsidR="00807FFE" w:rsidRDefault="00807FFE">
            <w:pPr>
              <w:pStyle w:val="DMETW36763BIPOCNYE"/>
              <w:rPr>
                <w:rFonts w:ascii="Arial" w:eastAsia="Arial" w:hAnsi="Arial" w:cs="Arial"/>
                <w:noProof/>
                <w:color w:val="000000"/>
                <w:lang w:bidi="en-GB"/>
              </w:rPr>
            </w:pPr>
            <w:bookmarkStart w:id="216" w:name="DOC_TBL00085_1_1"/>
            <w:bookmarkEnd w:id="216"/>
          </w:p>
        </w:tc>
        <w:tc>
          <w:tcPr>
            <w:tcW w:w="1608" w:type="dxa"/>
            <w:tcBorders>
              <w:top w:val="nil"/>
              <w:left w:val="nil"/>
              <w:bottom w:val="nil"/>
              <w:right w:val="nil"/>
              <w:tl2br w:val="nil"/>
              <w:tr2bl w:val="nil"/>
            </w:tcBorders>
            <w:tcMar>
              <w:left w:w="60" w:type="dxa"/>
              <w:right w:w="60" w:type="dxa"/>
            </w:tcMar>
            <w:vAlign w:val="bottom"/>
          </w:tcPr>
          <w:p w14:paraId="731B70CF" w14:textId="77777777" w:rsidR="00807FFE" w:rsidRDefault="00807FFE">
            <w:pPr>
              <w:pStyle w:val="DMETW36763BIPOCNYE"/>
              <w:rPr>
                <w:rFonts w:ascii="Arial" w:eastAsia="Arial" w:hAnsi="Arial" w:cs="Arial"/>
                <w:noProof/>
                <w:color w:val="000000"/>
              </w:rPr>
            </w:pPr>
          </w:p>
        </w:tc>
        <w:tc>
          <w:tcPr>
            <w:tcW w:w="1645" w:type="dxa"/>
            <w:tcBorders>
              <w:top w:val="nil"/>
              <w:left w:val="nil"/>
              <w:bottom w:val="nil"/>
              <w:right w:val="nil"/>
              <w:tl2br w:val="nil"/>
              <w:tr2bl w:val="nil"/>
            </w:tcBorders>
            <w:tcMar>
              <w:left w:w="60" w:type="dxa"/>
              <w:right w:w="60" w:type="dxa"/>
            </w:tcMar>
            <w:vAlign w:val="bottom"/>
          </w:tcPr>
          <w:p w14:paraId="7EC3A1C4" w14:textId="77777777" w:rsidR="00807FFE" w:rsidRDefault="00023E71">
            <w:pPr>
              <w:pStyle w:val="DMETW36763BIPOCNYE"/>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6093772" w14:textId="77777777">
        <w:trPr>
          <w:cantSplit/>
          <w:trHeight w:val="255"/>
        </w:trPr>
        <w:tc>
          <w:tcPr>
            <w:tcW w:w="6505" w:type="dxa"/>
            <w:tcBorders>
              <w:top w:val="nil"/>
              <w:left w:val="nil"/>
              <w:bottom w:val="nil"/>
              <w:right w:val="nil"/>
              <w:tl2br w:val="nil"/>
              <w:tr2bl w:val="nil"/>
            </w:tcBorders>
            <w:shd w:val="solid" w:color="016794" w:fill="FFFFFF"/>
            <w:tcMar>
              <w:left w:w="60" w:type="dxa"/>
              <w:right w:w="60" w:type="dxa"/>
            </w:tcMar>
            <w:vAlign w:val="center"/>
          </w:tcPr>
          <w:p w14:paraId="59368656" w14:textId="77777777" w:rsidR="00807FFE" w:rsidRDefault="00807FFE">
            <w:pPr>
              <w:pStyle w:val="DMETW36763BIPOCNYE"/>
              <w:jc w:val="right"/>
              <w:rPr>
                <w:rFonts w:ascii="Verdana" w:eastAsia="Verdana" w:hAnsi="Verdana" w:cs="Verdana"/>
                <w:noProof/>
                <w:color w:val="FFFFFF"/>
              </w:rPr>
            </w:pPr>
          </w:p>
        </w:tc>
        <w:tc>
          <w:tcPr>
            <w:tcW w:w="1608" w:type="dxa"/>
            <w:tcBorders>
              <w:top w:val="nil"/>
              <w:left w:val="nil"/>
              <w:bottom w:val="nil"/>
              <w:right w:val="nil"/>
              <w:tl2br w:val="nil"/>
              <w:tr2bl w:val="nil"/>
            </w:tcBorders>
            <w:shd w:val="solid" w:color="016794" w:fill="FFFFFF"/>
            <w:tcMar>
              <w:left w:w="60" w:type="dxa"/>
              <w:right w:w="60" w:type="dxa"/>
            </w:tcMar>
            <w:vAlign w:val="center"/>
          </w:tcPr>
          <w:p w14:paraId="1BCC7340" w14:textId="77777777" w:rsidR="00807FFE" w:rsidRDefault="00023E71">
            <w:pPr>
              <w:pStyle w:val="DMETW36763BIPOCNYE"/>
              <w:jc w:val="right"/>
              <w:rPr>
                <w:rFonts w:ascii="Verdana" w:eastAsia="Verdana" w:hAnsi="Verdana" w:cs="Verdana"/>
                <w:noProof/>
                <w:color w:val="FFFFFF"/>
              </w:rPr>
            </w:pPr>
            <w:r>
              <w:rPr>
                <w:rFonts w:ascii="Verdana" w:eastAsia="Verdana" w:hAnsi="Verdana" w:cs="Verdana"/>
                <w:noProof/>
                <w:color w:val="FFFFFF"/>
              </w:rPr>
              <w:t>31.12.2025</w:t>
            </w:r>
          </w:p>
        </w:tc>
        <w:tc>
          <w:tcPr>
            <w:tcW w:w="1645" w:type="dxa"/>
            <w:tcBorders>
              <w:top w:val="nil"/>
              <w:left w:val="nil"/>
              <w:bottom w:val="nil"/>
              <w:right w:val="nil"/>
              <w:tl2br w:val="nil"/>
              <w:tr2bl w:val="nil"/>
            </w:tcBorders>
            <w:shd w:val="solid" w:color="016794" w:fill="FFFFFF"/>
            <w:tcMar>
              <w:left w:w="60" w:type="dxa"/>
              <w:right w:w="60" w:type="dxa"/>
            </w:tcMar>
            <w:vAlign w:val="center"/>
          </w:tcPr>
          <w:p w14:paraId="0D6E2835" w14:textId="77777777" w:rsidR="00807FFE" w:rsidRDefault="00023E71">
            <w:pPr>
              <w:pStyle w:val="DMETW36763BIPOCNYE"/>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3F895E22" w14:textId="77777777">
        <w:trPr>
          <w:trHeight w:val="255"/>
        </w:trPr>
        <w:tc>
          <w:tcPr>
            <w:tcW w:w="6505" w:type="dxa"/>
            <w:tcBorders>
              <w:top w:val="nil"/>
              <w:left w:val="nil"/>
              <w:bottom w:val="nil"/>
              <w:right w:val="nil"/>
              <w:tl2br w:val="nil"/>
              <w:tr2bl w:val="nil"/>
            </w:tcBorders>
            <w:tcMar>
              <w:left w:w="60" w:type="dxa"/>
              <w:right w:w="60" w:type="dxa"/>
            </w:tcMar>
            <w:vAlign w:val="center"/>
          </w:tcPr>
          <w:p w14:paraId="3AA0E11D" w14:textId="77777777" w:rsidR="00807FFE" w:rsidRDefault="00023E71">
            <w:pPr>
              <w:pStyle w:val="DMETW36763BIPOCNYE"/>
              <w:rPr>
                <w:rFonts w:ascii="Verdana" w:eastAsia="Verdana" w:hAnsi="Verdana" w:cs="Verdana"/>
                <w:i/>
                <w:noProof/>
                <w:color w:val="000000"/>
                <w:sz w:val="18"/>
              </w:rPr>
            </w:pPr>
            <w:r>
              <w:rPr>
                <w:rFonts w:ascii="Verdana" w:eastAsia="Verdana" w:hAnsi="Verdana" w:cs="Verdana"/>
                <w:i/>
                <w:noProof/>
                <w:color w:val="000000"/>
                <w:sz w:val="18"/>
              </w:rPr>
              <w:t>Outstanding budgetary commitments not yet expensed</w:t>
            </w:r>
          </w:p>
        </w:tc>
        <w:tc>
          <w:tcPr>
            <w:tcW w:w="1608" w:type="dxa"/>
            <w:tcBorders>
              <w:top w:val="nil"/>
              <w:left w:val="nil"/>
              <w:bottom w:val="nil"/>
              <w:right w:val="nil"/>
              <w:tl2br w:val="nil"/>
              <w:tr2bl w:val="nil"/>
            </w:tcBorders>
            <w:tcMar>
              <w:left w:w="60" w:type="dxa"/>
              <w:right w:w="60" w:type="dxa"/>
            </w:tcMar>
            <w:vAlign w:val="center"/>
          </w:tcPr>
          <w:p w14:paraId="48E8E110" w14:textId="77777777" w:rsidR="00807FFE" w:rsidRDefault="00023E71">
            <w:pPr>
              <w:pStyle w:val="DMETW36763BIPOCNYE"/>
              <w:jc w:val="right"/>
              <w:rPr>
                <w:rFonts w:ascii="Verdana" w:eastAsia="Verdana" w:hAnsi="Verdana" w:cs="Verdana"/>
                <w:i/>
                <w:noProof/>
                <w:color w:val="000000"/>
                <w:sz w:val="18"/>
              </w:rPr>
            </w:pPr>
            <w:r>
              <w:rPr>
                <w:rFonts w:ascii="Verdana" w:eastAsia="Verdana" w:hAnsi="Verdana" w:cs="Verdana"/>
                <w:i/>
                <w:noProof/>
                <w:color w:val="000000"/>
                <w:sz w:val="18"/>
              </w:rPr>
              <w:t>380 780</w:t>
            </w:r>
          </w:p>
        </w:tc>
        <w:tc>
          <w:tcPr>
            <w:tcW w:w="1645" w:type="dxa"/>
            <w:tcBorders>
              <w:top w:val="nil"/>
              <w:left w:val="nil"/>
              <w:bottom w:val="nil"/>
              <w:right w:val="nil"/>
              <w:tl2br w:val="nil"/>
              <w:tr2bl w:val="nil"/>
            </w:tcBorders>
            <w:tcMar>
              <w:left w:w="60" w:type="dxa"/>
              <w:right w:w="60" w:type="dxa"/>
            </w:tcMar>
            <w:vAlign w:val="center"/>
          </w:tcPr>
          <w:p w14:paraId="290F0040" w14:textId="77777777" w:rsidR="00807FFE" w:rsidRDefault="00023E71">
            <w:pPr>
              <w:pStyle w:val="DMETW36763BIPOCNYE"/>
              <w:jc w:val="right"/>
              <w:rPr>
                <w:rFonts w:ascii="Verdana" w:eastAsia="Verdana" w:hAnsi="Verdana" w:cs="Verdana"/>
                <w:i/>
                <w:noProof/>
                <w:color w:val="000000"/>
                <w:sz w:val="18"/>
              </w:rPr>
            </w:pPr>
            <w:r>
              <w:rPr>
                <w:rFonts w:ascii="Verdana" w:eastAsia="Verdana" w:hAnsi="Verdana" w:cs="Verdana"/>
                <w:i/>
                <w:noProof/>
                <w:color w:val="000000"/>
                <w:sz w:val="18"/>
              </w:rPr>
              <w:t>428 588</w:t>
            </w:r>
          </w:p>
        </w:tc>
      </w:tr>
    </w:tbl>
    <w:p w14:paraId="13ED11C0" w14:textId="529B5080" w:rsidR="00EA0A7B" w:rsidRPr="00575161" w:rsidRDefault="00023E71" w:rsidP="00F17D5F">
      <w:pPr>
        <w:pStyle w:val="DGTextstand-alone"/>
      </w:pPr>
      <w:r w:rsidRPr="00F17D5F">
        <w:t>The amount disclosed above is the budgetary RAL (</w:t>
      </w:r>
      <w:r w:rsidR="00C802FD">
        <w:t>‘</w:t>
      </w:r>
      <w:r w:rsidRPr="00575161">
        <w:t>Reste à Liquider</w:t>
      </w:r>
      <w:r w:rsidR="00C802FD" w:rsidRPr="00575161">
        <w:t>’</w:t>
      </w:r>
      <w:r w:rsidRPr="00575161">
        <w:t xml:space="preserve">) of </w:t>
      </w:r>
      <w:r w:rsidRPr="004754BE">
        <w:t>EUR 501 08</w:t>
      </w:r>
      <w:r w:rsidR="004904FE">
        <w:t>4</w:t>
      </w:r>
      <w:r w:rsidRPr="004754BE">
        <w:t xml:space="preserve"> million</w:t>
      </w:r>
      <w:r w:rsidRPr="00575161">
        <w:t xml:space="preserve"> (see table </w:t>
      </w:r>
      <w:r w:rsidR="00130B55" w:rsidRPr="000F6047">
        <w:rPr>
          <w:b/>
          <w:bCs/>
        </w:rPr>
        <w:t>6</w:t>
      </w:r>
      <w:r w:rsidRPr="000F6047">
        <w:rPr>
          <w:b/>
          <w:bCs/>
        </w:rPr>
        <w:t>.4</w:t>
      </w:r>
      <w:r w:rsidRPr="00575161">
        <w:t xml:space="preserve"> in the budgetary implementation reports), less related amounts that have been included as liabilities on the balance sheet and as expenses in the statement of financial performance. The budgetary RAL is an amount representing the open commitments for which payments and/or decommitments have not yet been made. This is the normal consequence of the existence of multiannual programmes.</w:t>
      </w:r>
      <w:r w:rsidR="001F60F8" w:rsidRPr="00575161">
        <w:t xml:space="preserve"> </w:t>
      </w:r>
    </w:p>
    <w:p w14:paraId="08CEAC99" w14:textId="77777777" w:rsidR="008D7DE0" w:rsidRPr="00CD585E" w:rsidRDefault="00023E71" w:rsidP="00F17D5F">
      <w:pPr>
        <w:pStyle w:val="DGTextstand-alone"/>
      </w:pPr>
      <w:r w:rsidRPr="00575161">
        <w:t>It should be noted that outstanding pre-financing advances at 31 December 202</w:t>
      </w:r>
      <w:r>
        <w:t>5</w:t>
      </w:r>
      <w:r w:rsidRPr="00575161">
        <w:t xml:space="preserve"> totalled </w:t>
      </w:r>
      <w:r w:rsidRPr="004E16EC">
        <w:t>EUR 78.3 billion</w:t>
      </w:r>
      <w:r w:rsidRPr="00575161">
        <w:t xml:space="preserve"> – see </w:t>
      </w:r>
      <w:r>
        <w:t>N</w:t>
      </w:r>
      <w:r w:rsidRPr="00575161">
        <w:t xml:space="preserve">ote </w:t>
      </w:r>
      <w:r w:rsidRPr="00575161">
        <w:rPr>
          <w:b/>
        </w:rPr>
        <w:t>2.5</w:t>
      </w:r>
      <w:r w:rsidRPr="00575161">
        <w:t>. This represents budgetary commitments that have been paid, decreasing the RAL, but where the amounts paid are still considered as belonging to the EU and not to the beneficiary, until the relevant contractual obligations are fulfilled. They are thus, like the RAL disclosed above, not yet expensed.</w:t>
      </w:r>
    </w:p>
    <w:p w14:paraId="7BC025BF" w14:textId="77777777" w:rsidR="00596D7F" w:rsidRPr="00CD585E" w:rsidRDefault="00023E71" w:rsidP="00172034">
      <w:pPr>
        <w:pStyle w:val="HEADER2NOTES"/>
        <w:numPr>
          <w:ilvl w:val="1"/>
          <w:numId w:val="15"/>
        </w:numPr>
        <w:rPr>
          <w:noProof/>
        </w:rPr>
      </w:pPr>
      <w:r w:rsidRPr="00CD585E">
        <w:rPr>
          <w:noProof/>
        </w:rPr>
        <w:t xml:space="preserve">SIGNIFICANT </w:t>
      </w:r>
      <w:r>
        <w:rPr>
          <w:noProof/>
        </w:rPr>
        <w:t>LEGAL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3"/>
        <w:gridCol w:w="2357"/>
        <w:gridCol w:w="2358"/>
      </w:tblGrid>
      <w:tr w:rsidR="00807FFE" w14:paraId="62AB7B87" w14:textId="77777777">
        <w:trPr>
          <w:trHeight w:hRule="exact" w:val="255"/>
        </w:trPr>
        <w:tc>
          <w:tcPr>
            <w:tcW w:w="5043" w:type="dxa"/>
            <w:tcBorders>
              <w:top w:val="nil"/>
              <w:left w:val="nil"/>
              <w:bottom w:val="nil"/>
              <w:right w:val="nil"/>
              <w:tl2br w:val="nil"/>
              <w:tr2bl w:val="nil"/>
            </w:tcBorders>
            <w:tcMar>
              <w:left w:w="60" w:type="dxa"/>
              <w:right w:w="60" w:type="dxa"/>
            </w:tcMar>
            <w:vAlign w:val="bottom"/>
          </w:tcPr>
          <w:p w14:paraId="15750B1F" w14:textId="77777777" w:rsidR="00807FFE" w:rsidRDefault="00807FFE">
            <w:pPr>
              <w:pStyle w:val="DMETW36763BIPLEGCOM"/>
              <w:rPr>
                <w:rFonts w:ascii="Arial" w:eastAsia="Arial" w:hAnsi="Arial" w:cs="Arial"/>
                <w:noProof/>
                <w:color w:val="000000"/>
                <w:lang w:bidi="en-GB"/>
              </w:rPr>
            </w:pPr>
            <w:bookmarkStart w:id="217" w:name="DOC_TBL00086_1_1"/>
            <w:bookmarkEnd w:id="217"/>
          </w:p>
        </w:tc>
        <w:tc>
          <w:tcPr>
            <w:tcW w:w="2357" w:type="dxa"/>
            <w:tcBorders>
              <w:top w:val="nil"/>
              <w:left w:val="nil"/>
              <w:bottom w:val="nil"/>
              <w:right w:val="nil"/>
              <w:tl2br w:val="nil"/>
              <w:tr2bl w:val="nil"/>
            </w:tcBorders>
            <w:tcMar>
              <w:left w:w="60" w:type="dxa"/>
              <w:right w:w="60" w:type="dxa"/>
            </w:tcMar>
            <w:vAlign w:val="bottom"/>
          </w:tcPr>
          <w:p w14:paraId="46386C1E" w14:textId="77777777" w:rsidR="00807FFE" w:rsidRDefault="00807FFE">
            <w:pPr>
              <w:pStyle w:val="DMETW36763BIPLEGCOM"/>
              <w:rPr>
                <w:rFonts w:ascii="Arial" w:eastAsia="Arial" w:hAnsi="Arial" w:cs="Arial"/>
                <w:noProof/>
                <w:color w:val="000000"/>
              </w:rPr>
            </w:pPr>
          </w:p>
        </w:tc>
        <w:tc>
          <w:tcPr>
            <w:tcW w:w="2358" w:type="dxa"/>
            <w:tcBorders>
              <w:top w:val="nil"/>
              <w:left w:val="nil"/>
              <w:bottom w:val="nil"/>
              <w:right w:val="nil"/>
              <w:tl2br w:val="nil"/>
              <w:tr2bl w:val="nil"/>
            </w:tcBorders>
            <w:tcMar>
              <w:left w:w="60" w:type="dxa"/>
              <w:right w:w="60" w:type="dxa"/>
            </w:tcMar>
            <w:vAlign w:val="bottom"/>
          </w:tcPr>
          <w:p w14:paraId="7D989C27" w14:textId="77777777" w:rsidR="00807FFE" w:rsidRDefault="00023E71">
            <w:pPr>
              <w:pStyle w:val="DMETW36763BIPLEGCOM"/>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926A3EB" w14:textId="77777777">
        <w:trPr>
          <w:trHeight w:hRule="exact" w:val="255"/>
        </w:trPr>
        <w:tc>
          <w:tcPr>
            <w:tcW w:w="5043" w:type="dxa"/>
            <w:tcBorders>
              <w:top w:val="nil"/>
              <w:left w:val="nil"/>
              <w:bottom w:val="nil"/>
              <w:right w:val="nil"/>
              <w:tl2br w:val="nil"/>
              <w:tr2bl w:val="nil"/>
            </w:tcBorders>
            <w:shd w:val="solid" w:color="016794" w:fill="FFFFFF"/>
            <w:tcMar>
              <w:left w:w="60" w:type="dxa"/>
              <w:right w:w="60" w:type="dxa"/>
            </w:tcMar>
            <w:vAlign w:val="center"/>
          </w:tcPr>
          <w:p w14:paraId="67AED184" w14:textId="77777777" w:rsidR="00807FFE" w:rsidRDefault="00807FFE">
            <w:pPr>
              <w:pStyle w:val="DMETW36763BIPLEGCOM"/>
              <w:jc w:val="right"/>
              <w:rPr>
                <w:rFonts w:ascii="Verdana" w:eastAsia="Verdana" w:hAnsi="Verdana" w:cs="Verdana"/>
                <w:noProof/>
                <w:color w:val="FFFFFF"/>
              </w:rPr>
            </w:pPr>
          </w:p>
        </w:tc>
        <w:tc>
          <w:tcPr>
            <w:tcW w:w="2357" w:type="dxa"/>
            <w:tcBorders>
              <w:top w:val="nil"/>
              <w:left w:val="nil"/>
              <w:bottom w:val="nil"/>
              <w:right w:val="nil"/>
              <w:tl2br w:val="nil"/>
              <w:tr2bl w:val="nil"/>
            </w:tcBorders>
            <w:shd w:val="solid" w:color="016794" w:fill="FFFFFF"/>
            <w:tcMar>
              <w:left w:w="60" w:type="dxa"/>
              <w:right w:w="60" w:type="dxa"/>
            </w:tcMar>
            <w:vAlign w:val="center"/>
          </w:tcPr>
          <w:p w14:paraId="38A8AF3D" w14:textId="77777777" w:rsidR="00807FFE" w:rsidRDefault="00023E71">
            <w:pPr>
              <w:pStyle w:val="DMETW36763BIPLEGCOM"/>
              <w:jc w:val="right"/>
              <w:rPr>
                <w:rFonts w:ascii="Verdana" w:eastAsia="Verdana" w:hAnsi="Verdana" w:cs="Verdana"/>
                <w:noProof/>
                <w:color w:val="FFFFFF"/>
              </w:rPr>
            </w:pPr>
            <w:r>
              <w:rPr>
                <w:rFonts w:ascii="Verdana" w:eastAsia="Verdana" w:hAnsi="Verdana" w:cs="Verdana"/>
                <w:noProof/>
                <w:color w:val="FFFFFF"/>
              </w:rPr>
              <w:t>31.12.2025</w:t>
            </w:r>
          </w:p>
        </w:tc>
        <w:tc>
          <w:tcPr>
            <w:tcW w:w="2358" w:type="dxa"/>
            <w:tcBorders>
              <w:top w:val="nil"/>
              <w:left w:val="nil"/>
              <w:bottom w:val="nil"/>
              <w:right w:val="nil"/>
              <w:tl2br w:val="nil"/>
              <w:tr2bl w:val="nil"/>
            </w:tcBorders>
            <w:shd w:val="solid" w:color="016794" w:fill="FFFFFF"/>
            <w:tcMar>
              <w:left w:w="60" w:type="dxa"/>
              <w:right w:w="60" w:type="dxa"/>
            </w:tcMar>
            <w:vAlign w:val="center"/>
          </w:tcPr>
          <w:p w14:paraId="3A577B6C" w14:textId="77777777" w:rsidR="00807FFE" w:rsidRDefault="00023E71">
            <w:pPr>
              <w:pStyle w:val="DMETW36763BIPLEGCOM"/>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49DDECF3"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6A6B455C"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Economic, Social and Territorial Cohesion</w:t>
            </w:r>
          </w:p>
        </w:tc>
        <w:tc>
          <w:tcPr>
            <w:tcW w:w="2357" w:type="dxa"/>
            <w:tcBorders>
              <w:top w:val="nil"/>
              <w:left w:val="nil"/>
              <w:bottom w:val="nil"/>
              <w:right w:val="nil"/>
              <w:tl2br w:val="nil"/>
              <w:tr2bl w:val="nil"/>
            </w:tcBorders>
            <w:tcMar>
              <w:left w:w="60" w:type="dxa"/>
              <w:right w:w="60" w:type="dxa"/>
            </w:tcMar>
            <w:vAlign w:val="center"/>
          </w:tcPr>
          <w:p w14:paraId="3050D634"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113 279</w:t>
            </w:r>
          </w:p>
        </w:tc>
        <w:tc>
          <w:tcPr>
            <w:tcW w:w="2358" w:type="dxa"/>
            <w:tcBorders>
              <w:top w:val="nil"/>
              <w:left w:val="nil"/>
              <w:bottom w:val="nil"/>
              <w:right w:val="nil"/>
              <w:tl2br w:val="nil"/>
              <w:tr2bl w:val="nil"/>
            </w:tcBorders>
            <w:tcMar>
              <w:left w:w="60" w:type="dxa"/>
              <w:right w:w="60" w:type="dxa"/>
            </w:tcMar>
            <w:vAlign w:val="center"/>
          </w:tcPr>
          <w:p w14:paraId="2836656E"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177 459</w:t>
            </w:r>
          </w:p>
        </w:tc>
      </w:tr>
      <w:tr w:rsidR="00807FFE" w14:paraId="4CB218C2"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61D804C3"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Natural Resources and Environment</w:t>
            </w:r>
          </w:p>
        </w:tc>
        <w:tc>
          <w:tcPr>
            <w:tcW w:w="2357" w:type="dxa"/>
            <w:tcBorders>
              <w:top w:val="nil"/>
              <w:left w:val="nil"/>
              <w:bottom w:val="nil"/>
              <w:right w:val="nil"/>
              <w:tl2br w:val="nil"/>
              <w:tr2bl w:val="nil"/>
            </w:tcBorders>
            <w:tcMar>
              <w:left w:w="60" w:type="dxa"/>
              <w:right w:w="60" w:type="dxa"/>
            </w:tcMar>
            <w:vAlign w:val="center"/>
          </w:tcPr>
          <w:p w14:paraId="373B888E"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30 946</w:t>
            </w:r>
          </w:p>
        </w:tc>
        <w:tc>
          <w:tcPr>
            <w:tcW w:w="2358" w:type="dxa"/>
            <w:tcBorders>
              <w:top w:val="nil"/>
              <w:left w:val="nil"/>
              <w:bottom w:val="nil"/>
              <w:right w:val="nil"/>
              <w:tl2br w:val="nil"/>
              <w:tr2bl w:val="nil"/>
            </w:tcBorders>
            <w:tcMar>
              <w:left w:w="60" w:type="dxa"/>
              <w:right w:w="60" w:type="dxa"/>
            </w:tcMar>
            <w:vAlign w:val="center"/>
          </w:tcPr>
          <w:p w14:paraId="01F26FA7"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46 659</w:t>
            </w:r>
          </w:p>
        </w:tc>
      </w:tr>
      <w:tr w:rsidR="00807FFE" w14:paraId="51EE4F88"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676CA211"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Migration and Border Management</w:t>
            </w:r>
          </w:p>
        </w:tc>
        <w:tc>
          <w:tcPr>
            <w:tcW w:w="2357" w:type="dxa"/>
            <w:tcBorders>
              <w:top w:val="nil"/>
              <w:left w:val="nil"/>
              <w:bottom w:val="nil"/>
              <w:right w:val="nil"/>
              <w:tl2br w:val="nil"/>
              <w:tr2bl w:val="nil"/>
            </w:tcBorders>
            <w:tcMar>
              <w:left w:w="60" w:type="dxa"/>
              <w:right w:w="60" w:type="dxa"/>
            </w:tcMar>
            <w:vAlign w:val="center"/>
          </w:tcPr>
          <w:p w14:paraId="4D9263FB"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4 657</w:t>
            </w:r>
          </w:p>
        </w:tc>
        <w:tc>
          <w:tcPr>
            <w:tcW w:w="2358" w:type="dxa"/>
            <w:tcBorders>
              <w:top w:val="nil"/>
              <w:left w:val="nil"/>
              <w:bottom w:val="nil"/>
              <w:right w:val="nil"/>
              <w:tl2br w:val="nil"/>
              <w:tr2bl w:val="nil"/>
            </w:tcBorders>
            <w:tcMar>
              <w:left w:w="60" w:type="dxa"/>
              <w:right w:w="60" w:type="dxa"/>
            </w:tcMar>
            <w:vAlign w:val="center"/>
          </w:tcPr>
          <w:p w14:paraId="04126D0D"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4 153</w:t>
            </w:r>
          </w:p>
        </w:tc>
      </w:tr>
      <w:tr w:rsidR="00807FFE" w14:paraId="4C1AD2C6"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3E6DFD02"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Security and Defence</w:t>
            </w:r>
          </w:p>
        </w:tc>
        <w:tc>
          <w:tcPr>
            <w:tcW w:w="2357" w:type="dxa"/>
            <w:tcBorders>
              <w:top w:val="nil"/>
              <w:left w:val="nil"/>
              <w:bottom w:val="nil"/>
              <w:right w:val="nil"/>
              <w:tl2br w:val="nil"/>
              <w:tr2bl w:val="nil"/>
            </w:tcBorders>
            <w:tcMar>
              <w:left w:w="60" w:type="dxa"/>
              <w:right w:w="60" w:type="dxa"/>
            </w:tcMar>
            <w:vAlign w:val="center"/>
          </w:tcPr>
          <w:p w14:paraId="1C8FFF15"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 xml:space="preserve"> 377</w:t>
            </w:r>
          </w:p>
        </w:tc>
        <w:tc>
          <w:tcPr>
            <w:tcW w:w="2358" w:type="dxa"/>
            <w:tcBorders>
              <w:top w:val="nil"/>
              <w:left w:val="nil"/>
              <w:bottom w:val="nil"/>
              <w:right w:val="nil"/>
              <w:tl2br w:val="nil"/>
              <w:tr2bl w:val="nil"/>
            </w:tcBorders>
            <w:tcMar>
              <w:left w:w="60" w:type="dxa"/>
              <w:right w:w="60" w:type="dxa"/>
            </w:tcMar>
            <w:vAlign w:val="center"/>
          </w:tcPr>
          <w:p w14:paraId="5B399BCC"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520</w:t>
            </w:r>
          </w:p>
        </w:tc>
      </w:tr>
      <w:tr w:rsidR="00807FFE" w14:paraId="5F0A3B6C"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3C14E4D3"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ITER</w:t>
            </w:r>
          </w:p>
        </w:tc>
        <w:tc>
          <w:tcPr>
            <w:tcW w:w="2357" w:type="dxa"/>
            <w:tcBorders>
              <w:top w:val="nil"/>
              <w:left w:val="nil"/>
              <w:bottom w:val="nil"/>
              <w:right w:val="nil"/>
              <w:tl2br w:val="nil"/>
              <w:tr2bl w:val="nil"/>
            </w:tcBorders>
            <w:tcMar>
              <w:left w:w="60" w:type="dxa"/>
              <w:right w:w="60" w:type="dxa"/>
            </w:tcMar>
            <w:vAlign w:val="center"/>
          </w:tcPr>
          <w:p w14:paraId="089B45E7"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10 291</w:t>
            </w:r>
          </w:p>
        </w:tc>
        <w:tc>
          <w:tcPr>
            <w:tcW w:w="2358" w:type="dxa"/>
            <w:tcBorders>
              <w:top w:val="nil"/>
              <w:left w:val="nil"/>
              <w:bottom w:val="nil"/>
              <w:right w:val="nil"/>
              <w:tl2br w:val="nil"/>
              <w:tr2bl w:val="nil"/>
            </w:tcBorders>
            <w:tcMar>
              <w:left w:w="60" w:type="dxa"/>
              <w:right w:w="60" w:type="dxa"/>
            </w:tcMar>
            <w:vAlign w:val="center"/>
          </w:tcPr>
          <w:p w14:paraId="47D55AD3"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9 898</w:t>
            </w:r>
          </w:p>
        </w:tc>
      </w:tr>
      <w:tr w:rsidR="00807FFE" w14:paraId="0777D31D"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26969838"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Connecting Europe Facility</w:t>
            </w:r>
          </w:p>
        </w:tc>
        <w:tc>
          <w:tcPr>
            <w:tcW w:w="2357" w:type="dxa"/>
            <w:tcBorders>
              <w:top w:val="nil"/>
              <w:left w:val="nil"/>
              <w:bottom w:val="nil"/>
              <w:right w:val="nil"/>
              <w:tl2br w:val="nil"/>
              <w:tr2bl w:val="nil"/>
            </w:tcBorders>
            <w:tcMar>
              <w:left w:w="60" w:type="dxa"/>
              <w:right w:w="60" w:type="dxa"/>
            </w:tcMar>
            <w:vAlign w:val="center"/>
          </w:tcPr>
          <w:p w14:paraId="7A5A6B17"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9 043</w:t>
            </w:r>
          </w:p>
        </w:tc>
        <w:tc>
          <w:tcPr>
            <w:tcW w:w="2358" w:type="dxa"/>
            <w:tcBorders>
              <w:top w:val="nil"/>
              <w:left w:val="nil"/>
              <w:bottom w:val="nil"/>
              <w:right w:val="nil"/>
              <w:tl2br w:val="nil"/>
              <w:tr2bl w:val="nil"/>
            </w:tcBorders>
            <w:tcMar>
              <w:left w:w="60" w:type="dxa"/>
              <w:right w:w="60" w:type="dxa"/>
            </w:tcMar>
            <w:vAlign w:val="center"/>
          </w:tcPr>
          <w:p w14:paraId="79CB4DE2"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7 313</w:t>
            </w:r>
          </w:p>
        </w:tc>
      </w:tr>
      <w:tr w:rsidR="00807FFE" w14:paraId="61A8AAEA"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1AEAA454"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Innovation Fund</w:t>
            </w:r>
          </w:p>
        </w:tc>
        <w:tc>
          <w:tcPr>
            <w:tcW w:w="2357" w:type="dxa"/>
            <w:tcBorders>
              <w:top w:val="nil"/>
              <w:left w:val="nil"/>
              <w:bottom w:val="nil"/>
              <w:right w:val="nil"/>
              <w:tl2br w:val="nil"/>
              <w:tr2bl w:val="nil"/>
            </w:tcBorders>
            <w:tcMar>
              <w:left w:w="60" w:type="dxa"/>
              <w:right w:w="60" w:type="dxa"/>
            </w:tcMar>
            <w:vAlign w:val="center"/>
          </w:tcPr>
          <w:p w14:paraId="36AEE51C"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4 779</w:t>
            </w:r>
          </w:p>
        </w:tc>
        <w:tc>
          <w:tcPr>
            <w:tcW w:w="2358" w:type="dxa"/>
            <w:tcBorders>
              <w:top w:val="nil"/>
              <w:left w:val="nil"/>
              <w:bottom w:val="nil"/>
              <w:right w:val="nil"/>
              <w:tl2br w:val="nil"/>
              <w:tr2bl w:val="nil"/>
            </w:tcBorders>
            <w:tcMar>
              <w:left w:w="60" w:type="dxa"/>
              <w:right w:w="60" w:type="dxa"/>
            </w:tcMar>
            <w:vAlign w:val="center"/>
          </w:tcPr>
          <w:p w14:paraId="6E983EA8"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521</w:t>
            </w:r>
          </w:p>
        </w:tc>
      </w:tr>
      <w:tr w:rsidR="00807FFE" w14:paraId="00EE64BA"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1EB1C4D4"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Space Programmes</w:t>
            </w:r>
          </w:p>
        </w:tc>
        <w:tc>
          <w:tcPr>
            <w:tcW w:w="2357" w:type="dxa"/>
            <w:tcBorders>
              <w:top w:val="nil"/>
              <w:left w:val="nil"/>
              <w:bottom w:val="nil"/>
              <w:right w:val="nil"/>
              <w:tl2br w:val="nil"/>
              <w:tr2bl w:val="nil"/>
            </w:tcBorders>
            <w:tcMar>
              <w:left w:w="60" w:type="dxa"/>
              <w:right w:w="60" w:type="dxa"/>
            </w:tcMar>
            <w:vAlign w:val="center"/>
          </w:tcPr>
          <w:p w14:paraId="24D8A91F"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1 838</w:t>
            </w:r>
          </w:p>
        </w:tc>
        <w:tc>
          <w:tcPr>
            <w:tcW w:w="2358" w:type="dxa"/>
            <w:tcBorders>
              <w:top w:val="nil"/>
              <w:left w:val="nil"/>
              <w:bottom w:val="nil"/>
              <w:right w:val="nil"/>
              <w:tl2br w:val="nil"/>
              <w:tr2bl w:val="nil"/>
            </w:tcBorders>
            <w:tcMar>
              <w:left w:w="60" w:type="dxa"/>
              <w:right w:w="60" w:type="dxa"/>
            </w:tcMar>
            <w:vAlign w:val="center"/>
          </w:tcPr>
          <w:p w14:paraId="26DCD544"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2 672</w:t>
            </w:r>
          </w:p>
        </w:tc>
      </w:tr>
      <w:tr w:rsidR="00807FFE" w14:paraId="35AA45D0"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549AF0F0"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Ukraine Facility</w:t>
            </w:r>
          </w:p>
        </w:tc>
        <w:tc>
          <w:tcPr>
            <w:tcW w:w="2357" w:type="dxa"/>
            <w:tcBorders>
              <w:top w:val="nil"/>
              <w:left w:val="nil"/>
              <w:bottom w:val="nil"/>
              <w:right w:val="nil"/>
              <w:tl2br w:val="nil"/>
              <w:tr2bl w:val="nil"/>
            </w:tcBorders>
            <w:tcMar>
              <w:left w:w="60" w:type="dxa"/>
              <w:right w:w="60" w:type="dxa"/>
            </w:tcMar>
            <w:vAlign w:val="center"/>
          </w:tcPr>
          <w:p w14:paraId="5719F7F6"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 xml:space="preserve"> 837</w:t>
            </w:r>
          </w:p>
        </w:tc>
        <w:tc>
          <w:tcPr>
            <w:tcW w:w="2358" w:type="dxa"/>
            <w:tcBorders>
              <w:top w:val="nil"/>
              <w:left w:val="nil"/>
              <w:bottom w:val="nil"/>
              <w:right w:val="nil"/>
              <w:tl2br w:val="nil"/>
              <w:tr2bl w:val="nil"/>
            </w:tcBorders>
            <w:tcMar>
              <w:left w:w="60" w:type="dxa"/>
              <w:right w:w="60" w:type="dxa"/>
            </w:tcMar>
            <w:vAlign w:val="center"/>
          </w:tcPr>
          <w:p w14:paraId="1A4A7654"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2 270</w:t>
            </w:r>
          </w:p>
        </w:tc>
      </w:tr>
      <w:tr w:rsidR="00807FFE" w14:paraId="0324FBEE"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60451979"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HorizonEU</w:t>
            </w:r>
          </w:p>
        </w:tc>
        <w:tc>
          <w:tcPr>
            <w:tcW w:w="2357" w:type="dxa"/>
            <w:tcBorders>
              <w:top w:val="nil"/>
              <w:left w:val="nil"/>
              <w:bottom w:val="nil"/>
              <w:right w:val="nil"/>
              <w:tl2br w:val="nil"/>
              <w:tr2bl w:val="nil"/>
            </w:tcBorders>
            <w:tcMar>
              <w:left w:w="60" w:type="dxa"/>
              <w:right w:w="60" w:type="dxa"/>
            </w:tcMar>
            <w:vAlign w:val="center"/>
          </w:tcPr>
          <w:p w14:paraId="55EF19C9"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 xml:space="preserve"> 365</w:t>
            </w:r>
          </w:p>
        </w:tc>
        <w:tc>
          <w:tcPr>
            <w:tcW w:w="2358" w:type="dxa"/>
            <w:tcBorders>
              <w:top w:val="nil"/>
              <w:left w:val="nil"/>
              <w:bottom w:val="nil"/>
              <w:right w:val="nil"/>
              <w:tl2br w:val="nil"/>
              <w:tr2bl w:val="nil"/>
            </w:tcBorders>
            <w:tcMar>
              <w:left w:w="60" w:type="dxa"/>
              <w:right w:w="60" w:type="dxa"/>
            </w:tcMar>
            <w:vAlign w:val="center"/>
          </w:tcPr>
          <w:p w14:paraId="50BD2443"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519</w:t>
            </w:r>
          </w:p>
        </w:tc>
      </w:tr>
      <w:tr w:rsidR="00807FFE" w14:paraId="4CF9F700"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3CE187EB"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Secure Connectivity Programme</w:t>
            </w:r>
          </w:p>
        </w:tc>
        <w:tc>
          <w:tcPr>
            <w:tcW w:w="2357" w:type="dxa"/>
            <w:tcBorders>
              <w:top w:val="nil"/>
              <w:left w:val="nil"/>
              <w:bottom w:val="nil"/>
              <w:right w:val="nil"/>
              <w:tl2br w:val="nil"/>
              <w:tr2bl w:val="nil"/>
            </w:tcBorders>
            <w:tcMar>
              <w:left w:w="60" w:type="dxa"/>
              <w:right w:w="60" w:type="dxa"/>
            </w:tcMar>
            <w:vAlign w:val="center"/>
          </w:tcPr>
          <w:p w14:paraId="33280D87"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 xml:space="preserve"> 253</w:t>
            </w:r>
          </w:p>
        </w:tc>
        <w:tc>
          <w:tcPr>
            <w:tcW w:w="2358" w:type="dxa"/>
            <w:tcBorders>
              <w:top w:val="nil"/>
              <w:left w:val="nil"/>
              <w:bottom w:val="nil"/>
              <w:right w:val="nil"/>
              <w:tl2br w:val="nil"/>
              <w:tr2bl w:val="nil"/>
            </w:tcBorders>
            <w:tcMar>
              <w:left w:w="60" w:type="dxa"/>
              <w:right w:w="60" w:type="dxa"/>
            </w:tcMar>
            <w:vAlign w:val="center"/>
          </w:tcPr>
          <w:p w14:paraId="229BC5A4"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631</w:t>
            </w:r>
          </w:p>
        </w:tc>
      </w:tr>
      <w:tr w:rsidR="00807FFE" w14:paraId="0876C787"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2C858D59"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Fisheries agreements</w:t>
            </w:r>
          </w:p>
        </w:tc>
        <w:tc>
          <w:tcPr>
            <w:tcW w:w="2357" w:type="dxa"/>
            <w:tcBorders>
              <w:top w:val="nil"/>
              <w:left w:val="nil"/>
              <w:bottom w:val="nil"/>
              <w:right w:val="nil"/>
              <w:tl2br w:val="nil"/>
              <w:tr2bl w:val="nil"/>
            </w:tcBorders>
            <w:tcMar>
              <w:left w:w="60" w:type="dxa"/>
              <w:right w:w="60" w:type="dxa"/>
            </w:tcMar>
            <w:vAlign w:val="center"/>
          </w:tcPr>
          <w:p w14:paraId="1A8C5AB6"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 xml:space="preserve"> 133</w:t>
            </w:r>
          </w:p>
        </w:tc>
        <w:tc>
          <w:tcPr>
            <w:tcW w:w="2358" w:type="dxa"/>
            <w:tcBorders>
              <w:top w:val="nil"/>
              <w:left w:val="nil"/>
              <w:bottom w:val="nil"/>
              <w:right w:val="nil"/>
              <w:tl2br w:val="nil"/>
              <w:tr2bl w:val="nil"/>
            </w:tcBorders>
            <w:tcMar>
              <w:left w:w="60" w:type="dxa"/>
              <w:right w:w="60" w:type="dxa"/>
            </w:tcMar>
            <w:vAlign w:val="center"/>
          </w:tcPr>
          <w:p w14:paraId="1580C79E"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234</w:t>
            </w:r>
          </w:p>
        </w:tc>
      </w:tr>
      <w:tr w:rsidR="00807FFE" w14:paraId="42342FBB"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4FD13253"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NDICI</w:t>
            </w:r>
          </w:p>
        </w:tc>
        <w:tc>
          <w:tcPr>
            <w:tcW w:w="2357" w:type="dxa"/>
            <w:tcBorders>
              <w:top w:val="nil"/>
              <w:left w:val="nil"/>
              <w:bottom w:val="nil"/>
              <w:right w:val="nil"/>
              <w:tl2br w:val="nil"/>
              <w:tr2bl w:val="nil"/>
            </w:tcBorders>
            <w:tcMar>
              <w:left w:w="60" w:type="dxa"/>
              <w:right w:w="60" w:type="dxa"/>
            </w:tcMar>
            <w:vAlign w:val="center"/>
          </w:tcPr>
          <w:p w14:paraId="27848168"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 xml:space="preserve"> 120</w:t>
            </w:r>
          </w:p>
        </w:tc>
        <w:tc>
          <w:tcPr>
            <w:tcW w:w="2358" w:type="dxa"/>
            <w:tcBorders>
              <w:top w:val="nil"/>
              <w:left w:val="nil"/>
              <w:bottom w:val="nil"/>
              <w:right w:val="nil"/>
              <w:tl2br w:val="nil"/>
              <w:tr2bl w:val="nil"/>
            </w:tcBorders>
            <w:tcMar>
              <w:left w:w="60" w:type="dxa"/>
              <w:right w:w="60" w:type="dxa"/>
            </w:tcMar>
            <w:vAlign w:val="center"/>
          </w:tcPr>
          <w:p w14:paraId="216531CC"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607917B2"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671803DB"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RESCUE</w:t>
            </w:r>
          </w:p>
        </w:tc>
        <w:tc>
          <w:tcPr>
            <w:tcW w:w="2357" w:type="dxa"/>
            <w:tcBorders>
              <w:top w:val="nil"/>
              <w:left w:val="nil"/>
              <w:bottom w:val="nil"/>
              <w:right w:val="nil"/>
              <w:tl2br w:val="nil"/>
              <w:tr2bl w:val="nil"/>
            </w:tcBorders>
            <w:tcMar>
              <w:left w:w="60" w:type="dxa"/>
              <w:right w:w="60" w:type="dxa"/>
            </w:tcMar>
            <w:vAlign w:val="center"/>
          </w:tcPr>
          <w:p w14:paraId="1F58CA1E"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 xml:space="preserve"> 91</w:t>
            </w:r>
          </w:p>
        </w:tc>
        <w:tc>
          <w:tcPr>
            <w:tcW w:w="2358" w:type="dxa"/>
            <w:tcBorders>
              <w:top w:val="nil"/>
              <w:left w:val="nil"/>
              <w:bottom w:val="nil"/>
              <w:right w:val="nil"/>
              <w:tl2br w:val="nil"/>
              <w:tr2bl w:val="nil"/>
            </w:tcBorders>
            <w:tcMar>
              <w:left w:w="60" w:type="dxa"/>
              <w:right w:w="60" w:type="dxa"/>
            </w:tcMar>
            <w:vAlign w:val="center"/>
          </w:tcPr>
          <w:p w14:paraId="2C4EA768"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106</w:t>
            </w:r>
          </w:p>
        </w:tc>
      </w:tr>
      <w:tr w:rsidR="00807FFE" w14:paraId="25C8341E"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208EFC7B"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Operating lease commitments</w:t>
            </w:r>
          </w:p>
        </w:tc>
        <w:tc>
          <w:tcPr>
            <w:tcW w:w="2357" w:type="dxa"/>
            <w:tcBorders>
              <w:top w:val="nil"/>
              <w:left w:val="nil"/>
              <w:bottom w:val="nil"/>
              <w:right w:val="nil"/>
              <w:tl2br w:val="nil"/>
              <w:tr2bl w:val="nil"/>
            </w:tcBorders>
            <w:tcMar>
              <w:left w:w="60" w:type="dxa"/>
              <w:right w:w="60" w:type="dxa"/>
            </w:tcMar>
            <w:vAlign w:val="center"/>
          </w:tcPr>
          <w:p w14:paraId="2878B4FB"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2 997</w:t>
            </w:r>
          </w:p>
        </w:tc>
        <w:tc>
          <w:tcPr>
            <w:tcW w:w="2358" w:type="dxa"/>
            <w:tcBorders>
              <w:top w:val="nil"/>
              <w:left w:val="nil"/>
              <w:bottom w:val="nil"/>
              <w:right w:val="nil"/>
              <w:tl2br w:val="nil"/>
              <w:tr2bl w:val="nil"/>
            </w:tcBorders>
            <w:tcMar>
              <w:left w:w="60" w:type="dxa"/>
              <w:right w:w="60" w:type="dxa"/>
            </w:tcMar>
            <w:vAlign w:val="center"/>
          </w:tcPr>
          <w:p w14:paraId="39C3C0CC"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2 721</w:t>
            </w:r>
          </w:p>
        </w:tc>
      </w:tr>
      <w:tr w:rsidR="00807FFE" w14:paraId="14CAA84F"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0C842CDB"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Other contractual commitments</w:t>
            </w:r>
          </w:p>
        </w:tc>
        <w:tc>
          <w:tcPr>
            <w:tcW w:w="2357" w:type="dxa"/>
            <w:tcBorders>
              <w:top w:val="nil"/>
              <w:left w:val="nil"/>
              <w:bottom w:val="nil"/>
              <w:right w:val="nil"/>
              <w:tl2br w:val="nil"/>
              <w:tr2bl w:val="nil"/>
            </w:tcBorders>
            <w:tcMar>
              <w:left w:w="60" w:type="dxa"/>
              <w:right w:w="60" w:type="dxa"/>
            </w:tcMar>
            <w:vAlign w:val="center"/>
          </w:tcPr>
          <w:p w14:paraId="45B98BC0"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 xml:space="preserve"> 692</w:t>
            </w:r>
          </w:p>
        </w:tc>
        <w:tc>
          <w:tcPr>
            <w:tcW w:w="2358" w:type="dxa"/>
            <w:tcBorders>
              <w:top w:val="nil"/>
              <w:left w:val="nil"/>
              <w:bottom w:val="nil"/>
              <w:right w:val="nil"/>
              <w:tl2br w:val="nil"/>
              <w:tr2bl w:val="nil"/>
            </w:tcBorders>
            <w:tcMar>
              <w:left w:w="60" w:type="dxa"/>
              <w:right w:w="60" w:type="dxa"/>
            </w:tcMar>
            <w:vAlign w:val="center"/>
          </w:tcPr>
          <w:p w14:paraId="7A331572"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856</w:t>
            </w:r>
          </w:p>
        </w:tc>
      </w:tr>
      <w:tr w:rsidR="00807FFE" w14:paraId="2A0C4837"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3DA795C6"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RRF non-repayable support commitments</w:t>
            </w:r>
          </w:p>
        </w:tc>
        <w:tc>
          <w:tcPr>
            <w:tcW w:w="2357" w:type="dxa"/>
            <w:tcBorders>
              <w:top w:val="nil"/>
              <w:left w:val="nil"/>
              <w:bottom w:val="nil"/>
              <w:right w:val="nil"/>
              <w:tl2br w:val="nil"/>
              <w:tr2bl w:val="nil"/>
            </w:tcBorders>
            <w:tcMar>
              <w:left w:w="60" w:type="dxa"/>
              <w:right w:w="60" w:type="dxa"/>
            </w:tcMar>
            <w:vAlign w:val="center"/>
          </w:tcPr>
          <w:p w14:paraId="612993CF"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358" w:type="dxa"/>
            <w:tcBorders>
              <w:top w:val="nil"/>
              <w:left w:val="nil"/>
              <w:bottom w:val="nil"/>
              <w:right w:val="nil"/>
              <w:tl2br w:val="nil"/>
              <w:tr2bl w:val="nil"/>
            </w:tcBorders>
            <w:tcMar>
              <w:left w:w="60" w:type="dxa"/>
              <w:right w:w="60" w:type="dxa"/>
            </w:tcMar>
            <w:vAlign w:val="center"/>
          </w:tcPr>
          <w:p w14:paraId="131865F6"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558</w:t>
            </w:r>
          </w:p>
        </w:tc>
      </w:tr>
      <w:tr w:rsidR="00807FFE" w14:paraId="7D3B7A67" w14:textId="77777777">
        <w:trPr>
          <w:trHeight w:hRule="exact" w:val="255"/>
        </w:trPr>
        <w:tc>
          <w:tcPr>
            <w:tcW w:w="5043" w:type="dxa"/>
            <w:tcBorders>
              <w:top w:val="nil"/>
              <w:left w:val="nil"/>
              <w:bottom w:val="nil"/>
              <w:right w:val="nil"/>
              <w:tl2br w:val="nil"/>
              <w:tr2bl w:val="nil"/>
            </w:tcBorders>
            <w:tcMar>
              <w:left w:w="60" w:type="dxa"/>
              <w:right w:w="60" w:type="dxa"/>
            </w:tcMar>
            <w:vAlign w:val="center"/>
          </w:tcPr>
          <w:p w14:paraId="343B2226" w14:textId="77777777" w:rsidR="00807FFE" w:rsidRDefault="00023E71">
            <w:pPr>
              <w:pStyle w:val="DMETW36763BIPLEGCOM"/>
              <w:rPr>
                <w:rFonts w:ascii="Verdana" w:eastAsia="Verdana" w:hAnsi="Verdana" w:cs="Verdana"/>
                <w:i/>
                <w:noProof/>
                <w:color w:val="000000"/>
                <w:sz w:val="18"/>
              </w:rPr>
            </w:pPr>
            <w:r>
              <w:rPr>
                <w:rFonts w:ascii="Verdana" w:eastAsia="Verdana" w:hAnsi="Verdana" w:cs="Verdana"/>
                <w:i/>
                <w:noProof/>
                <w:color w:val="000000"/>
                <w:sz w:val="18"/>
              </w:rPr>
              <w:t>EURATOM</w:t>
            </w:r>
          </w:p>
        </w:tc>
        <w:tc>
          <w:tcPr>
            <w:tcW w:w="2357" w:type="dxa"/>
            <w:tcBorders>
              <w:top w:val="nil"/>
              <w:left w:val="nil"/>
              <w:bottom w:val="nil"/>
              <w:right w:val="nil"/>
              <w:tl2br w:val="nil"/>
              <w:tr2bl w:val="nil"/>
            </w:tcBorders>
            <w:tcMar>
              <w:left w:w="60" w:type="dxa"/>
              <w:right w:w="60" w:type="dxa"/>
            </w:tcMar>
            <w:vAlign w:val="center"/>
          </w:tcPr>
          <w:p w14:paraId="5B99E02C" w14:textId="77777777" w:rsidR="00807FFE" w:rsidRDefault="00023E71">
            <w:pPr>
              <w:pStyle w:val="DMETW36763BIPLEGCOM"/>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358" w:type="dxa"/>
            <w:tcBorders>
              <w:top w:val="nil"/>
              <w:left w:val="nil"/>
              <w:bottom w:val="nil"/>
              <w:right w:val="nil"/>
              <w:tl2br w:val="nil"/>
              <w:tr2bl w:val="nil"/>
            </w:tcBorders>
            <w:tcMar>
              <w:left w:w="60" w:type="dxa"/>
              <w:right w:w="60" w:type="dxa"/>
            </w:tcMar>
            <w:vAlign w:val="center"/>
          </w:tcPr>
          <w:p w14:paraId="3939E60E" w14:textId="77777777" w:rsidR="00807FFE" w:rsidRDefault="00023E71">
            <w:pPr>
              <w:pStyle w:val="DMETW36763BIPLEGCO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166</w:t>
            </w:r>
          </w:p>
        </w:tc>
      </w:tr>
      <w:tr w:rsidR="00807FFE" w14:paraId="488803EB" w14:textId="77777777">
        <w:trPr>
          <w:trHeight w:hRule="exact" w:val="255"/>
        </w:trPr>
        <w:tc>
          <w:tcPr>
            <w:tcW w:w="5043" w:type="dxa"/>
            <w:tcBorders>
              <w:top w:val="nil"/>
              <w:left w:val="nil"/>
              <w:bottom w:val="nil"/>
              <w:right w:val="nil"/>
              <w:tl2br w:val="nil"/>
              <w:tr2bl w:val="nil"/>
            </w:tcBorders>
            <w:shd w:val="solid" w:color="CCE1EA" w:fill="FFFFFF"/>
            <w:tcMar>
              <w:left w:w="60" w:type="dxa"/>
              <w:right w:w="60" w:type="dxa"/>
            </w:tcMar>
            <w:vAlign w:val="center"/>
          </w:tcPr>
          <w:p w14:paraId="6DD3C105" w14:textId="77777777" w:rsidR="00807FFE" w:rsidRDefault="00023E71">
            <w:pPr>
              <w:pStyle w:val="DMETW36763BIPLEGCOM"/>
              <w:rPr>
                <w:rFonts w:ascii="Verdana" w:eastAsia="Verdana" w:hAnsi="Verdana" w:cs="Verdana"/>
                <w:b/>
                <w:noProof/>
                <w:color w:val="000000"/>
                <w:sz w:val="18"/>
              </w:rPr>
            </w:pPr>
            <w:r>
              <w:rPr>
                <w:rFonts w:ascii="Verdana" w:eastAsia="Verdana" w:hAnsi="Verdana" w:cs="Verdana"/>
                <w:b/>
                <w:noProof/>
                <w:color w:val="000000"/>
                <w:sz w:val="18"/>
              </w:rPr>
              <w:t>Total</w:t>
            </w:r>
          </w:p>
        </w:tc>
        <w:tc>
          <w:tcPr>
            <w:tcW w:w="2357" w:type="dxa"/>
            <w:tcBorders>
              <w:top w:val="nil"/>
              <w:left w:val="nil"/>
              <w:bottom w:val="nil"/>
              <w:right w:val="nil"/>
              <w:tl2br w:val="nil"/>
              <w:tr2bl w:val="nil"/>
            </w:tcBorders>
            <w:shd w:val="solid" w:color="CCE1EA" w:fill="FFFFFF"/>
            <w:tcMar>
              <w:left w:w="60" w:type="dxa"/>
              <w:right w:w="60" w:type="dxa"/>
            </w:tcMar>
            <w:vAlign w:val="center"/>
          </w:tcPr>
          <w:p w14:paraId="6FA0C38A" w14:textId="77777777" w:rsidR="00807FFE" w:rsidRDefault="00023E71">
            <w:pPr>
              <w:pStyle w:val="DMETW36763BIPLEGCOM"/>
              <w:jc w:val="right"/>
              <w:rPr>
                <w:rFonts w:ascii="Verdana" w:eastAsia="Verdana" w:hAnsi="Verdana" w:cs="Verdana"/>
                <w:b/>
                <w:noProof/>
                <w:color w:val="000000"/>
                <w:sz w:val="18"/>
              </w:rPr>
            </w:pPr>
            <w:r>
              <w:rPr>
                <w:rFonts w:ascii="Verdana" w:eastAsia="Verdana" w:hAnsi="Verdana" w:cs="Verdana"/>
                <w:b/>
                <w:noProof/>
                <w:color w:val="000000"/>
                <w:sz w:val="18"/>
              </w:rPr>
              <w:t>180 699</w:t>
            </w:r>
          </w:p>
        </w:tc>
        <w:tc>
          <w:tcPr>
            <w:tcW w:w="2358" w:type="dxa"/>
            <w:tcBorders>
              <w:top w:val="nil"/>
              <w:left w:val="nil"/>
              <w:bottom w:val="nil"/>
              <w:right w:val="nil"/>
              <w:tl2br w:val="nil"/>
              <w:tr2bl w:val="nil"/>
            </w:tcBorders>
            <w:shd w:val="solid" w:color="CCE1EA" w:fill="FFFFFF"/>
            <w:tcMar>
              <w:left w:w="60" w:type="dxa"/>
              <w:right w:w="60" w:type="dxa"/>
            </w:tcMar>
            <w:vAlign w:val="center"/>
          </w:tcPr>
          <w:p w14:paraId="057A868A" w14:textId="77777777" w:rsidR="00807FFE" w:rsidRDefault="00023E71">
            <w:pPr>
              <w:pStyle w:val="DMETW36763BIPLEGCOM"/>
              <w:jc w:val="right"/>
              <w:rPr>
                <w:rFonts w:ascii="Verdana" w:eastAsia="Verdana" w:hAnsi="Verdana" w:cs="Verdana"/>
                <w:b/>
                <w:noProof/>
                <w:color w:val="000000"/>
                <w:sz w:val="18"/>
              </w:rPr>
            </w:pPr>
            <w:r>
              <w:rPr>
                <w:rFonts w:ascii="Verdana" w:eastAsia="Verdana" w:hAnsi="Verdana" w:cs="Verdana"/>
                <w:b/>
                <w:noProof/>
                <w:color w:val="000000"/>
                <w:sz w:val="18"/>
              </w:rPr>
              <w:t>257 256</w:t>
            </w:r>
          </w:p>
        </w:tc>
      </w:tr>
    </w:tbl>
    <w:p w14:paraId="250B3985" w14:textId="77777777" w:rsidR="00A446A9" w:rsidRDefault="00023E71" w:rsidP="00F443A8">
      <w:pPr>
        <w:pStyle w:val="DGTextstand-alone"/>
        <w:spacing w:before="60"/>
        <w:ind w:left="113" w:hanging="113"/>
      </w:pPr>
      <w:r w:rsidRPr="006F6B0D">
        <w:rPr>
          <w:vertAlign w:val="superscript"/>
        </w:rPr>
        <w:t>*</w:t>
      </w:r>
      <w:r w:rsidRPr="00A82DA1">
        <w:t xml:space="preserve"> </w:t>
      </w:r>
      <w:r w:rsidRPr="00A82DA1">
        <w:rPr>
          <w:i/>
          <w:iCs/>
          <w:sz w:val="16"/>
          <w:szCs w:val="16"/>
        </w:rPr>
        <w:t>As of 2025, the Secure Connectivity Programme is presented separately from the Space Programmes, and thus the 2024 amount is also split accordingly</w:t>
      </w:r>
      <w:r w:rsidRPr="005C4D63">
        <w:rPr>
          <w:i/>
          <w:iCs/>
          <w:sz w:val="16"/>
          <w:szCs w:val="16"/>
        </w:rPr>
        <w:t>.</w:t>
      </w:r>
    </w:p>
    <w:p w14:paraId="3AAA736A" w14:textId="77777777" w:rsidR="00591C0B" w:rsidRPr="00F17D5F" w:rsidRDefault="00023E71" w:rsidP="006A54F9">
      <w:pPr>
        <w:pStyle w:val="DGTextstand-alone"/>
      </w:pPr>
      <w:r w:rsidRPr="00F17D5F">
        <w:t xml:space="preserve">These amounts reflect the long-term legal commitments that were not covered by commitment appropriations in the budget at year-end. These binding obligations will be budgeted </w:t>
      </w:r>
      <w:r>
        <w:t>and paid</w:t>
      </w:r>
      <w:r w:rsidRPr="00F17D5F">
        <w:t xml:space="preserve"> </w:t>
      </w:r>
      <w:r>
        <w:t>in future years</w:t>
      </w:r>
      <w:r w:rsidRPr="00F17D5F">
        <w:t>.</w:t>
      </w:r>
    </w:p>
    <w:p w14:paraId="381A8A04" w14:textId="77777777" w:rsidR="00776B48" w:rsidRPr="00F17D5F" w:rsidRDefault="00023E71" w:rsidP="006A54F9">
      <w:pPr>
        <w:pStyle w:val="DGTextstand-alone"/>
      </w:pPr>
      <w:r w:rsidRPr="00F17D5F">
        <w:t xml:space="preserve">Certain important programmes (see below) may be implemented by annual instalments according to Article </w:t>
      </w:r>
      <w:r>
        <w:t xml:space="preserve">112 </w:t>
      </w:r>
      <w:r w:rsidRPr="00F17D5F">
        <w:t>(</w:t>
      </w:r>
      <w:r>
        <w:t>2</w:t>
      </w:r>
      <w:r w:rsidRPr="00F17D5F">
        <w:t>) FR. This allows the EU to make legal commitments (sign grant agreements, delegation agreements and procurement contracts) in excess of the available commitment appropriations of a given year. Therefore a substantial amount of the overall allocation for the current MFF may be already committed. This applies in particular for the programmes</w:t>
      </w:r>
      <w:r>
        <w:t xml:space="preserve"> described below</w:t>
      </w:r>
      <w:r w:rsidRPr="00F17D5F">
        <w:t>:</w:t>
      </w:r>
    </w:p>
    <w:p w14:paraId="6D2D937E" w14:textId="77777777" w:rsidR="007D1951" w:rsidRPr="006A54F9" w:rsidRDefault="00023E71" w:rsidP="006A54F9">
      <w:pPr>
        <w:pStyle w:val="HEADER5"/>
        <w:rPr>
          <w:noProof/>
        </w:rPr>
      </w:pPr>
      <w:r w:rsidRPr="006A54F9">
        <w:rPr>
          <w:noProof/>
        </w:rPr>
        <w:t>Funds under shared management</w:t>
      </w:r>
    </w:p>
    <w:p w14:paraId="08803307" w14:textId="77777777" w:rsidR="000A3BBA" w:rsidRPr="006A54F9" w:rsidRDefault="00023E71" w:rsidP="008B60A7">
      <w:pPr>
        <w:pStyle w:val="DGTextstand-alone"/>
      </w:pPr>
      <w:r w:rsidRPr="006A54F9">
        <w:t xml:space="preserve">These are legal obligations that the EU has committed to pay when adopting the operational programmes related to shared management. The decision of the Commission adopting an operational programme constitutes a financing decision within the meaning of Article 110 FR and once notified to the Member State concerned, it represents a legal commitment within the meaning of that Regulation. </w:t>
      </w:r>
    </w:p>
    <w:p w14:paraId="39323689" w14:textId="77777777" w:rsidR="000A3BBA" w:rsidRPr="006A54F9" w:rsidRDefault="00023E71" w:rsidP="008B60A7">
      <w:pPr>
        <w:pStyle w:val="DGTextstand-alone"/>
      </w:pPr>
      <w:r w:rsidRPr="006A54F9">
        <w:t>Article 86</w:t>
      </w:r>
      <w:r>
        <w:t xml:space="preserve"> </w:t>
      </w:r>
      <w:r w:rsidRPr="006A54F9">
        <w:t xml:space="preserve">(2) of the Common Provisions Regulation (CPR) for </w:t>
      </w:r>
      <w:r w:rsidR="00241DA9" w:rsidRPr="006A54F9">
        <w:t>shared management funds</w:t>
      </w:r>
      <w:r w:rsidRPr="006A54F9">
        <w:t xml:space="preserve"> states: </w:t>
      </w:r>
    </w:p>
    <w:p w14:paraId="5662F8F0" w14:textId="77777777" w:rsidR="000A3BBA" w:rsidRPr="00E624D4" w:rsidRDefault="00023E71" w:rsidP="008B60A7">
      <w:pPr>
        <w:pStyle w:val="DGTextstand-alone"/>
        <w:rPr>
          <w:iCs/>
        </w:rPr>
      </w:pPr>
      <w:r w:rsidRPr="00E624D4">
        <w:rPr>
          <w:iCs/>
        </w:rPr>
        <w:t>‘The budgetary commitments of the Union in respect of each programme shall be made by the Commission in annual instalments for each Fund during the period between 1 January 2021 and 31 December 2027’.</w:t>
      </w:r>
    </w:p>
    <w:p w14:paraId="2DF500DB" w14:textId="77777777" w:rsidR="000E1674" w:rsidRDefault="00023E71" w:rsidP="008B60A7">
      <w:pPr>
        <w:pStyle w:val="DGTextstand-alone"/>
      </w:pPr>
      <w:r w:rsidRPr="006A54F9">
        <w:t xml:space="preserve">The </w:t>
      </w:r>
      <w:r w:rsidR="00241DA9" w:rsidRPr="006A54F9">
        <w:t xml:space="preserve">amounts disclosed on the first </w:t>
      </w:r>
      <w:r>
        <w:t>four</w:t>
      </w:r>
      <w:r w:rsidR="00241DA9" w:rsidRPr="006A54F9">
        <w:t xml:space="preserve"> lines of the table above relate to the Heading 2A (Economic, Social and Territorial Cohesion), Heading 3 (Natural Resources and Environment)</w:t>
      </w:r>
      <w:r>
        <w:t>,</w:t>
      </w:r>
      <w:r w:rsidR="00241DA9" w:rsidRPr="006A54F9">
        <w:t xml:space="preserve"> Heading 4 (Migration and Border Management) </w:t>
      </w:r>
      <w:r>
        <w:t xml:space="preserve">and Heading 5 (Security and Defence) </w:t>
      </w:r>
      <w:r w:rsidR="00241DA9" w:rsidRPr="006A54F9">
        <w:t xml:space="preserve">of the </w:t>
      </w:r>
      <w:r w:rsidR="00241DA9" w:rsidRPr="001355DE">
        <w:t>MF</w:t>
      </w:r>
      <w:r w:rsidRPr="001355DE">
        <w:t>F 2021-2027. They represent the outstanding amounts that the EU will commit budgetarily and then pay after 31 December 202</w:t>
      </w:r>
      <w:r>
        <w:t>5</w:t>
      </w:r>
      <w:r w:rsidRPr="001355DE">
        <w:t>.</w:t>
      </w:r>
      <w:r>
        <w:t xml:space="preserve"> </w:t>
      </w:r>
    </w:p>
    <w:p w14:paraId="49D0E720" w14:textId="77777777" w:rsidR="006F6B0D" w:rsidRDefault="006F6B0D">
      <w:pPr>
        <w:rPr>
          <w:rFonts w:ascii="Verdana" w:hAnsi="Verdana"/>
          <w:noProof/>
          <w:color w:val="016794"/>
          <w:sz w:val="18"/>
          <w:szCs w:val="18"/>
        </w:rPr>
      </w:pPr>
      <w:r>
        <w:rPr>
          <w:noProof/>
        </w:rPr>
        <w:br w:type="page"/>
      </w:r>
    </w:p>
    <w:p w14:paraId="2B2E9A17" w14:textId="458CE8EF" w:rsidR="006F5FB2" w:rsidRPr="00CD585E" w:rsidRDefault="00023E71" w:rsidP="006A54F9">
      <w:pPr>
        <w:pStyle w:val="HEADER5"/>
        <w:rPr>
          <w:noProof/>
        </w:rPr>
      </w:pPr>
      <w:r w:rsidRPr="00CD585E">
        <w:rPr>
          <w:noProof/>
        </w:rPr>
        <w:t>ITER – International Thermonuclear Experimental Reactor</w:t>
      </w:r>
    </w:p>
    <w:p w14:paraId="35DA379A" w14:textId="77777777" w:rsidR="006F5FB2" w:rsidRDefault="00023E71" w:rsidP="006A54F9">
      <w:pPr>
        <w:pStyle w:val="DGTextstand-alone"/>
      </w:pPr>
      <w:r w:rsidRPr="00CD585E">
        <w:t xml:space="preserve">These commitments are intended to cover </w:t>
      </w:r>
      <w:r>
        <w:t>the construction costs</w:t>
      </w:r>
      <w:r w:rsidRPr="00CD585E">
        <w:t xml:space="preserve"> of the ITER facilities. The EU (Euratom) contribution to ITER International is given through the Fusion for Energy Agency, including also the contributions from Member States and from Switzerland. ITER was created to manage and to encourage the exploitation of the ITER facilities, to promote public understanding and acceptance of fusion energy, and to undertake any other activities that are necessary to achieve its purpose. ITER involves the EU</w:t>
      </w:r>
      <w:r>
        <w:t xml:space="preserve"> together with various other countries.</w:t>
      </w:r>
    </w:p>
    <w:p w14:paraId="0F93E138" w14:textId="77777777" w:rsidR="00E46D5D" w:rsidRPr="00E46D5D" w:rsidRDefault="00023E71" w:rsidP="00E46D5D">
      <w:pPr>
        <w:pStyle w:val="HEADER5"/>
        <w:rPr>
          <w:noProof/>
        </w:rPr>
      </w:pPr>
      <w:r w:rsidRPr="00E46D5D">
        <w:rPr>
          <w:noProof/>
        </w:rPr>
        <w:t>Connecting Europe Facility (CEF2)</w:t>
      </w:r>
    </w:p>
    <w:p w14:paraId="3733E5C1" w14:textId="77777777" w:rsidR="00E46D5D" w:rsidRDefault="00023E71" w:rsidP="00E46D5D">
      <w:pPr>
        <w:pStyle w:val="DGTextstand-alone"/>
      </w:pPr>
      <w:r w:rsidRPr="00E46D5D">
        <w:t>The CEF2 provides financial assistance to trans-European networks in order to support projects of common interest in the sectors of transport, telecommunications and energy infrastructures. The legal commitments for the CEF programme cover an implementation period running from 2021 until 2027 for CEF Energy</w:t>
      </w:r>
      <w:r>
        <w:t xml:space="preserve"> and CEF Transport</w:t>
      </w:r>
      <w:r w:rsidRPr="00E46D5D">
        <w:t xml:space="preserve"> (with a possibility to be extended). The legal basis of these commitments is the Regulation (EU) 2021/1153</w:t>
      </w:r>
      <w:r>
        <w:rPr>
          <w:rStyle w:val="FootnoteReference"/>
        </w:rPr>
        <w:footnoteReference w:id="39"/>
      </w:r>
      <w:r w:rsidRPr="00E46D5D">
        <w:t xml:space="preserve"> with article 4.5 stating that ‘Budgetary commitments for actions extending over more than one financial year may be broken down into annual instalments, over two or more years’.</w:t>
      </w:r>
    </w:p>
    <w:p w14:paraId="5D01F0BB" w14:textId="77777777" w:rsidR="00C7550F" w:rsidRPr="00C7550F" w:rsidRDefault="00023E71" w:rsidP="00C7550F">
      <w:pPr>
        <w:pStyle w:val="HEADER5"/>
        <w:rPr>
          <w:noProof/>
        </w:rPr>
      </w:pPr>
      <w:r w:rsidRPr="00C7550F">
        <w:rPr>
          <w:noProof/>
        </w:rPr>
        <w:t xml:space="preserve">Innovation Fund </w:t>
      </w:r>
    </w:p>
    <w:p w14:paraId="2E7D2B0C" w14:textId="77777777" w:rsidR="00C7550F" w:rsidRPr="00C7550F" w:rsidRDefault="00023E71" w:rsidP="00C7550F">
      <w:pPr>
        <w:pStyle w:val="DGTextstand-alone"/>
      </w:pPr>
      <w:r w:rsidRPr="00C7550F">
        <w:t>The Directive 2023/959</w:t>
      </w:r>
      <w:r>
        <w:rPr>
          <w:vertAlign w:val="superscript"/>
        </w:rPr>
        <w:footnoteReference w:id="40"/>
      </w:r>
      <w:r w:rsidRPr="00C7550F">
        <w:t>, amending Directive 2003/87/EC establishing a system for greenhouse gas emission allowance trading within the Union and Decision (EU) 2015/1814 concerning the establishment and operation of a market stability reserve for the Union greenhouse gas emission trading system, provides in its article 10 Paragraph 8 that ‘Budgetary commitments for actions extending over more than one financial year may be broken down into annual instalments over several years.’ This provision is applicable for the new actions signed as from 2024, including the actions financed through calls for proposal or within a competitive bidding mechanism.</w:t>
      </w:r>
    </w:p>
    <w:p w14:paraId="12E94188" w14:textId="77777777" w:rsidR="00E46D5D" w:rsidRPr="00E46D5D" w:rsidRDefault="00023E71" w:rsidP="00E46D5D">
      <w:pPr>
        <w:pStyle w:val="HEADER5"/>
        <w:rPr>
          <w:noProof/>
        </w:rPr>
      </w:pPr>
      <w:r w:rsidRPr="00E46D5D">
        <w:rPr>
          <w:noProof/>
        </w:rPr>
        <w:t>Space</w:t>
      </w:r>
      <w:r>
        <w:rPr>
          <w:noProof/>
        </w:rPr>
        <w:t xml:space="preserve"> Programmes</w:t>
      </w:r>
    </w:p>
    <w:p w14:paraId="1983AD8A" w14:textId="77777777" w:rsidR="00E46D5D" w:rsidRDefault="00023E71" w:rsidP="00E46D5D">
      <w:pPr>
        <w:pStyle w:val="DGTextstand-alone"/>
      </w:pPr>
      <w:r w:rsidRPr="00C7550F">
        <w:t>The space programme includes the following components: Galileo, EGNOS, Copernicus, Govsatcom and SSA. The most significant are Galileo, which is developing the European Global Navigation Satellite System, and Copernicus, which is related to the European Earth observation. These commitments are made for the period until 2027. Based on Regulation (EU) 2021/696 of the European Parliament and of the Council</w:t>
      </w:r>
      <w:r>
        <w:rPr>
          <w:rStyle w:val="FootnoteReference"/>
        </w:rPr>
        <w:footnoteReference w:id="41"/>
      </w:r>
      <w:r w:rsidRPr="00C7550F">
        <w:t>, the Commission signed contribution agreements with the European Space Agency (ESA), EUMETSAT, Mercator and the European Centre for Medium Range weather forecasts. Article 11.6 of Regulation (EU) 2021/696 authorises the use of annual instalments.</w:t>
      </w:r>
    </w:p>
    <w:p w14:paraId="6BA54446" w14:textId="77777777" w:rsidR="005218C3" w:rsidRDefault="00023E71" w:rsidP="005218C3">
      <w:pPr>
        <w:pStyle w:val="HEADER5"/>
        <w:rPr>
          <w:noProof/>
        </w:rPr>
      </w:pPr>
      <w:r w:rsidRPr="00E46D5D">
        <w:rPr>
          <w:noProof/>
        </w:rPr>
        <w:t>Ukraine Facility</w:t>
      </w:r>
      <w:r>
        <w:rPr>
          <w:noProof/>
        </w:rPr>
        <w:t xml:space="preserve"> non-repayable support commitments</w:t>
      </w:r>
    </w:p>
    <w:p w14:paraId="3E3913A9" w14:textId="77777777" w:rsidR="005218C3" w:rsidRDefault="00023E71" w:rsidP="005218C3">
      <w:pPr>
        <w:pStyle w:val="DGTextstand-alone"/>
      </w:pPr>
      <w:r w:rsidRPr="00100008">
        <w:t>The U</w:t>
      </w:r>
      <w:r>
        <w:t xml:space="preserve">kraine </w:t>
      </w:r>
      <w:r w:rsidRPr="00100008">
        <w:t>F</w:t>
      </w:r>
      <w:r>
        <w:t>acility</w:t>
      </w:r>
      <w:r w:rsidRPr="00100008">
        <w:t xml:space="preserve"> was set up to support Ukraine in addressing its financing gap and recovery, reconstruction and modernisations needs. It was established by Regulation (EU) 2024/792 of the European Parliament and of the Council for the period 2024 to 2027. Pursuant to Article 6</w:t>
      </w:r>
      <w:r>
        <w:t xml:space="preserve"> </w:t>
      </w:r>
      <w:r w:rsidRPr="00100008">
        <w:t>(1)</w:t>
      </w:r>
      <w:r>
        <w:t xml:space="preserve"> </w:t>
      </w:r>
      <w:r w:rsidRPr="00100008">
        <w:t>of Regulation (EU) 2024/792</w:t>
      </w:r>
      <w:r>
        <w:rPr>
          <w:rStyle w:val="FootnoteReference"/>
        </w:rPr>
        <w:footnoteReference w:id="42"/>
      </w:r>
      <w:r w:rsidRPr="00100008">
        <w:t>, the resources for the implementation of the Facility shall be available through the Ukraine Reserve mobilised in the framework of the annual budgetary procedure in accordance with Article 10b of Regulation (EU, Euratom) 2020/2093. This appropriation finances support under three pillars (Ukraine Plan, Ukraine Investment Framework, Union Accession Assistance and Related Support Measures) in accordance with the indicative distribution laid down in the Regulation.</w:t>
      </w:r>
      <w:r>
        <w:t xml:space="preserve"> </w:t>
      </w:r>
      <w:r w:rsidRPr="00406EB7">
        <w:t xml:space="preserve">In 2025 there was an additional financial contribution made by Sweden – of SEK 750 000 000 (equivalent to EUR 67 </w:t>
      </w:r>
      <w:r>
        <w:t>million</w:t>
      </w:r>
      <w:r w:rsidRPr="00406EB7">
        <w:t>) – which increased the total non-repayable contribution from EUR 5.27 billion to EUR 5.337 billion. Addendum 1 to the UA Financing Agreement signed in November 2025 – in the form of exchange of letters – reflected the new aggregate principal amount of EUR 5</w:t>
      </w:r>
      <w:r>
        <w:t>.</w:t>
      </w:r>
      <w:r w:rsidRPr="00406EB7">
        <w:t xml:space="preserve">337 </w:t>
      </w:r>
      <w:r>
        <w:t>billion</w:t>
      </w:r>
      <w:r w:rsidRPr="00406EB7">
        <w:t xml:space="preserve"> for the period 2024-2027.</w:t>
      </w:r>
    </w:p>
    <w:p w14:paraId="2EB41954" w14:textId="77777777" w:rsidR="005218C3" w:rsidRDefault="00023E71" w:rsidP="005218C3">
      <w:pPr>
        <w:pStyle w:val="HEADER5"/>
        <w:rPr>
          <w:noProof/>
        </w:rPr>
      </w:pPr>
      <w:r w:rsidRPr="00F95E05">
        <w:rPr>
          <w:noProof/>
        </w:rPr>
        <w:t>Horizon Europe</w:t>
      </w:r>
    </w:p>
    <w:p w14:paraId="4E3C8AAD" w14:textId="77777777" w:rsidR="005218C3" w:rsidRDefault="00023E71" w:rsidP="005218C3">
      <w:pPr>
        <w:pStyle w:val="DGTextstand-alone"/>
      </w:pPr>
      <w:r w:rsidRPr="00C7550F">
        <w:t>These are amounts committed to the Horizon Europe programme for upstream secure connectivity activities, upstream and downstream activities for the various space components. These commitments are made for the period until 2027. Based on Regulation (EU) 2021/695</w:t>
      </w:r>
      <w:r>
        <w:rPr>
          <w:rStyle w:val="FootnoteReference"/>
        </w:rPr>
        <w:footnoteReference w:id="43"/>
      </w:r>
      <w:r w:rsidRPr="00C7550F">
        <w:t>, the Commission signed a contribution agreement with ESA. Article 12.8 of the Regulation authorises the use of annual instalments.</w:t>
      </w:r>
    </w:p>
    <w:p w14:paraId="03A0DC8D" w14:textId="77777777" w:rsidR="00520BA8" w:rsidRPr="00520BA8" w:rsidRDefault="00023E71" w:rsidP="00520BA8">
      <w:pPr>
        <w:pStyle w:val="HEADER5"/>
        <w:rPr>
          <w:noProof/>
        </w:rPr>
      </w:pPr>
      <w:r w:rsidRPr="00520BA8">
        <w:rPr>
          <w:noProof/>
        </w:rPr>
        <w:t>Secure Connectivity Programme</w:t>
      </w:r>
    </w:p>
    <w:p w14:paraId="4D39CE8F" w14:textId="77777777" w:rsidR="00520BA8" w:rsidRPr="00520BA8" w:rsidRDefault="00023E71" w:rsidP="00520BA8">
      <w:pPr>
        <w:pStyle w:val="DGTextstand-alone"/>
        <w:rPr>
          <w:lang w:val="en-IE"/>
        </w:rPr>
      </w:pPr>
      <w:r w:rsidRPr="00520BA8">
        <w:rPr>
          <w:lang w:val="en-IE"/>
        </w:rPr>
        <w:t>The Secure Connectivity Programme aims to improve EU communication services by developing and operating a multi-orbital connectivity infrastructure, based on a public-partnership model. It will ensure the provision of worldwide secure, flexible, and resilient satellite communication services to the Union and Member States governmental entities. In this respect, based on Regulation (EU) 2023/588) of the European Parliament and of the Council</w:t>
      </w:r>
      <w:r>
        <w:rPr>
          <w:rStyle w:val="FootnoteReference"/>
          <w:lang w:val="en-IE"/>
        </w:rPr>
        <w:footnoteReference w:id="44"/>
      </w:r>
      <w:r w:rsidRPr="00520BA8">
        <w:rPr>
          <w:lang w:val="en-IE"/>
        </w:rPr>
        <w:t>, a concession contract was awarded to a grouping of companies.</w:t>
      </w:r>
    </w:p>
    <w:p w14:paraId="3DB62CC6" w14:textId="77777777" w:rsidR="005218C3" w:rsidRPr="00E46D5D" w:rsidRDefault="00023E71" w:rsidP="005218C3">
      <w:pPr>
        <w:pStyle w:val="HEADER5"/>
        <w:rPr>
          <w:noProof/>
        </w:rPr>
      </w:pPr>
      <w:r w:rsidRPr="00E46D5D">
        <w:rPr>
          <w:noProof/>
        </w:rPr>
        <w:t>Fisheries agreements</w:t>
      </w:r>
    </w:p>
    <w:p w14:paraId="10E08631" w14:textId="77777777" w:rsidR="005218C3" w:rsidRPr="00E46D5D" w:rsidRDefault="00023E71" w:rsidP="005218C3">
      <w:pPr>
        <w:pStyle w:val="DGTextstand-alone"/>
      </w:pPr>
      <w:r w:rsidRPr="00E46D5D">
        <w:t>These represent commitments entered into with third countries for operations under international fisheries agreements up to 20</w:t>
      </w:r>
      <w:r>
        <w:t>32</w:t>
      </w:r>
      <w:r w:rsidRPr="00E46D5D">
        <w:t>. The commitments made are based on Council decisions for each third country and are considered specific international treaties with multiannual rights and obligations.</w:t>
      </w:r>
    </w:p>
    <w:p w14:paraId="1088CC9C" w14:textId="77777777" w:rsidR="00520BA8" w:rsidRPr="00520BA8" w:rsidRDefault="00023E71" w:rsidP="00520BA8">
      <w:pPr>
        <w:pStyle w:val="HEADER5"/>
        <w:rPr>
          <w:noProof/>
        </w:rPr>
      </w:pPr>
      <w:r w:rsidRPr="00520BA8">
        <w:rPr>
          <w:noProof/>
        </w:rPr>
        <w:t>The Neighbourhood, Development, and International Cooperation Instrument (NDICI)</w:t>
      </w:r>
    </w:p>
    <w:p w14:paraId="6B1E4919" w14:textId="77777777" w:rsidR="00520BA8" w:rsidRPr="00520BA8" w:rsidRDefault="00023E71" w:rsidP="00520BA8">
      <w:pPr>
        <w:pStyle w:val="DGTextstand-alone"/>
      </w:pPr>
      <w:r w:rsidRPr="00520BA8">
        <w:t>The main instrument of the European Union for external action for the 2021-2027 period. The funds are used for improvement of satellite communication services in some 3rd countries via a purchase of commercial services under the concession contract. The framework for contracts is established by Regulation (EU) 2021/947.</w:t>
      </w:r>
    </w:p>
    <w:p w14:paraId="03E7286A" w14:textId="77777777" w:rsidR="005218C3" w:rsidRDefault="00023E71" w:rsidP="005218C3">
      <w:pPr>
        <w:pStyle w:val="HEADER5"/>
        <w:rPr>
          <w:noProof/>
        </w:rPr>
      </w:pPr>
      <w:r>
        <w:rPr>
          <w:noProof/>
        </w:rPr>
        <w:t>RESCEU</w:t>
      </w:r>
    </w:p>
    <w:p w14:paraId="56062660" w14:textId="77777777" w:rsidR="005218C3" w:rsidRPr="00CC2275" w:rsidRDefault="00023E71" w:rsidP="005218C3">
      <w:pPr>
        <w:pStyle w:val="DGTextstand-alone"/>
      </w:pPr>
      <w:r>
        <w:t>R</w:t>
      </w:r>
      <w:r w:rsidRPr="00CC2275">
        <w:t>escEU is a European reserve of response assets and capabilities established under the Union Civil Protection Mechanism, as part of the 2019 legislative revision of Decision No 1313/2013/EU</w:t>
      </w:r>
      <w:r>
        <w:rPr>
          <w:rStyle w:val="FootnoteReference"/>
        </w:rPr>
        <w:footnoteReference w:id="45"/>
      </w:r>
      <w:r w:rsidRPr="00CC2275">
        <w:t xml:space="preserve">. The </w:t>
      </w:r>
      <w:r>
        <w:t>R</w:t>
      </w:r>
      <w:r w:rsidRPr="00CC2275">
        <w:t xml:space="preserve">escEU reserve was set up to act as a last resort when national capacities and those capacities committed in the European Civil Protection Pool are not able to ensure an effective response to the various kinds of disasters. The European Union finances those response capacities as a preparedness measure to make them available in case of need for response operations under the Union Civil Protection Mechanism. The priority domains of developing capacities under </w:t>
      </w:r>
      <w:r>
        <w:t>R</w:t>
      </w:r>
      <w:r w:rsidRPr="00CC2275">
        <w:t>escEU are the areas of aerial forest-firefighting, chemical, biological, radiological and nuclear incidents, emergency medical response, as well as transport and logistics.</w:t>
      </w:r>
    </w:p>
    <w:p w14:paraId="44FB0FBC" w14:textId="77777777" w:rsidR="00E46D5D" w:rsidRPr="00E46D5D" w:rsidRDefault="00023E71" w:rsidP="00E46D5D">
      <w:pPr>
        <w:pStyle w:val="HEADER5"/>
        <w:rPr>
          <w:noProof/>
        </w:rPr>
      </w:pPr>
      <w:r w:rsidRPr="00E46D5D">
        <w:rPr>
          <w:noProof/>
        </w:rPr>
        <w:t xml:space="preserve">RRF non-repayable support commitments </w:t>
      </w:r>
    </w:p>
    <w:p w14:paraId="6E97777C" w14:textId="77777777" w:rsidR="00E46D5D" w:rsidRPr="00E46D5D" w:rsidRDefault="00023E71" w:rsidP="00E46D5D">
      <w:pPr>
        <w:pStyle w:val="DGTextstand-alone"/>
      </w:pPr>
      <w:r w:rsidRPr="00E46D5D">
        <w:t>The RRF is a key programme of NGEU, the EU Recovery Instrument. It was established by Regulation (EU) 2021/241</w:t>
      </w:r>
      <w:r>
        <w:rPr>
          <w:rStyle w:val="FootnoteReference"/>
        </w:rPr>
        <w:footnoteReference w:id="46"/>
      </w:r>
      <w:r w:rsidR="00C54BAC">
        <w:t xml:space="preserve"> which</w:t>
      </w:r>
      <w:r w:rsidRPr="00E46D5D">
        <w:t xml:space="preserve"> finances reforms and investments in Member States from the start of the coronavirus pandemic in February 2020 until 2026. Article 23 of Regulation (EU) 2021/241 authorises the use of annual instalments. In 2023, the RRF was amended by Regulation (EU) 2023/435 to provide additional support to Member States through REPowerEU chapters for reforms and investments fostering independence, security and sustainability of the Union’s energy supply.</w:t>
      </w:r>
    </w:p>
    <w:p w14:paraId="56F205BE" w14:textId="77777777" w:rsidR="00A420BB" w:rsidRDefault="00A420BB" w:rsidP="00E46D5D">
      <w:pPr>
        <w:pStyle w:val="HEADER5"/>
        <w:rPr>
          <w:noProof/>
        </w:rPr>
      </w:pPr>
    </w:p>
    <w:p w14:paraId="4BA5BDD5" w14:textId="77777777" w:rsidR="00A420BB" w:rsidRDefault="00A420BB" w:rsidP="00E46D5D">
      <w:pPr>
        <w:pStyle w:val="HEADER5"/>
        <w:rPr>
          <w:noProof/>
        </w:rPr>
      </w:pPr>
    </w:p>
    <w:p w14:paraId="43CFC83B" w14:textId="1DD33BB1" w:rsidR="00E46D5D" w:rsidRPr="00E46D5D" w:rsidRDefault="00023E71" w:rsidP="00E46D5D">
      <w:pPr>
        <w:pStyle w:val="HEADER5"/>
        <w:rPr>
          <w:noProof/>
        </w:rPr>
      </w:pPr>
      <w:r w:rsidRPr="00E46D5D">
        <w:rPr>
          <w:noProof/>
        </w:rPr>
        <w:t>EURATOM</w:t>
      </w:r>
    </w:p>
    <w:p w14:paraId="154166C3" w14:textId="77777777" w:rsidR="00E46D5D" w:rsidRPr="00E46D5D" w:rsidRDefault="00023E71" w:rsidP="00E46D5D">
      <w:pPr>
        <w:pStyle w:val="DGTextstand-alone"/>
      </w:pPr>
      <w:r w:rsidRPr="00E46D5D">
        <w:t>EURATOM is a programme based on Council Regulation (Euratom) 2021/765</w:t>
      </w:r>
      <w:r>
        <w:rPr>
          <w:vertAlign w:val="superscript"/>
        </w:rPr>
        <w:footnoteReference w:id="47"/>
      </w:r>
      <w:r w:rsidRPr="00E46D5D">
        <w:t>. Article 4 of the regulation foresees the use of the annual instalments.</w:t>
      </w:r>
    </w:p>
    <w:p w14:paraId="09100CD4" w14:textId="77777777" w:rsidR="00E46D5D" w:rsidRPr="00E46D5D" w:rsidRDefault="00023E71" w:rsidP="00E46D5D">
      <w:pPr>
        <w:pStyle w:val="DGTextstand-alone"/>
      </w:pPr>
      <w:r w:rsidRPr="00E46D5D">
        <w:t>The general objective of the Programme is to pursue nuclear research and training activities, with an emphasis on the continuous improvement of nuclear safety, security and radiation protection, as well as to complement the achievement of Horizon Europe’s objectives inter alia in the context of the energy transition. The Euratom Programme provides research grants through competitive calls for proposals and to named beneficiaries.</w:t>
      </w:r>
    </w:p>
    <w:p w14:paraId="47C8C727" w14:textId="77777777" w:rsidR="00F92F62" w:rsidRPr="00CD585E" w:rsidRDefault="00023E71" w:rsidP="00F17D5F">
      <w:pPr>
        <w:pStyle w:val="HEADER5"/>
        <w:rPr>
          <w:noProof/>
        </w:rPr>
      </w:pPr>
      <w:r w:rsidRPr="00CD585E">
        <w:rPr>
          <w:noProof/>
        </w:rPr>
        <w:t>Operating lease commitments</w:t>
      </w:r>
    </w:p>
    <w:p w14:paraId="7C8D0E76" w14:textId="77777777" w:rsidR="00852841" w:rsidRPr="00F17D5F" w:rsidRDefault="00023E71" w:rsidP="00FD0957">
      <w:pPr>
        <w:pStyle w:val="DGTextstand-alone"/>
        <w:spacing w:after="0"/>
      </w:pPr>
      <w:r w:rsidRPr="00F17D5F">
        <w:t>Minimum amounts committed to be paid according to the underlying contracts during the remaining term of these lease contracts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1"/>
        <w:gridCol w:w="1641"/>
        <w:gridCol w:w="1642"/>
        <w:gridCol w:w="1642"/>
        <w:gridCol w:w="1642"/>
      </w:tblGrid>
      <w:tr w:rsidR="00807FFE" w14:paraId="79B718CC" w14:textId="77777777">
        <w:trPr>
          <w:trHeight w:val="255"/>
        </w:trPr>
        <w:tc>
          <w:tcPr>
            <w:tcW w:w="3191" w:type="dxa"/>
            <w:tcBorders>
              <w:top w:val="nil"/>
              <w:left w:val="nil"/>
              <w:bottom w:val="nil"/>
              <w:right w:val="nil"/>
              <w:tl2br w:val="nil"/>
              <w:tr2bl w:val="nil"/>
            </w:tcBorders>
            <w:shd w:val="solid" w:color="FFFFFF" w:fill="FFFFFF"/>
            <w:tcMar>
              <w:left w:w="60" w:type="dxa"/>
              <w:right w:w="60" w:type="dxa"/>
            </w:tcMar>
            <w:vAlign w:val="bottom"/>
          </w:tcPr>
          <w:p w14:paraId="4A70C944" w14:textId="77777777" w:rsidR="00807FFE" w:rsidRDefault="00807FFE">
            <w:pPr>
              <w:pStyle w:val="DMETW36761BIPPPERE"/>
              <w:rPr>
                <w:rFonts w:ascii="Arial" w:eastAsia="Arial" w:hAnsi="Arial" w:cs="Arial"/>
                <w:noProof/>
                <w:color w:val="000000"/>
                <w:lang w:bidi="en-GB"/>
              </w:rPr>
            </w:pPr>
            <w:bookmarkStart w:id="218" w:name="DOC_TBL00087_1_1"/>
            <w:bookmarkEnd w:id="218"/>
          </w:p>
        </w:tc>
        <w:tc>
          <w:tcPr>
            <w:tcW w:w="1641" w:type="dxa"/>
            <w:tcBorders>
              <w:top w:val="nil"/>
              <w:left w:val="nil"/>
              <w:bottom w:val="nil"/>
              <w:right w:val="nil"/>
              <w:tl2br w:val="nil"/>
              <w:tr2bl w:val="nil"/>
            </w:tcBorders>
            <w:shd w:val="solid" w:color="FFFFFF" w:fill="FFFFFF"/>
            <w:tcMar>
              <w:left w:w="60" w:type="dxa"/>
              <w:right w:w="60" w:type="dxa"/>
            </w:tcMar>
            <w:vAlign w:val="bottom"/>
          </w:tcPr>
          <w:p w14:paraId="63E60E0B" w14:textId="77777777" w:rsidR="00807FFE" w:rsidRDefault="00807FFE">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14:paraId="0BB59BC2" w14:textId="77777777" w:rsidR="00807FFE" w:rsidRDefault="00807FFE">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14:paraId="51251A32" w14:textId="77777777" w:rsidR="00807FFE" w:rsidRDefault="00807FFE">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14:paraId="176ADD43" w14:textId="77777777" w:rsidR="00807FFE" w:rsidRDefault="00023E71">
            <w:pPr>
              <w:pStyle w:val="DMETW36761BIPPPERE"/>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5E79617" w14:textId="77777777">
        <w:trPr>
          <w:trHeight w:val="255"/>
        </w:trPr>
        <w:tc>
          <w:tcPr>
            <w:tcW w:w="3191" w:type="dxa"/>
            <w:vMerge w:val="restart"/>
            <w:tcBorders>
              <w:top w:val="nil"/>
              <w:left w:val="nil"/>
              <w:bottom w:val="nil"/>
              <w:right w:val="nil"/>
              <w:tl2br w:val="nil"/>
              <w:tr2bl w:val="nil"/>
            </w:tcBorders>
            <w:shd w:val="solid" w:color="016794" w:fill="FFFFFF"/>
            <w:tcMar>
              <w:left w:w="60" w:type="dxa"/>
              <w:right w:w="60" w:type="dxa"/>
            </w:tcMar>
            <w:vAlign w:val="center"/>
          </w:tcPr>
          <w:p w14:paraId="003F3290" w14:textId="77777777" w:rsidR="00807FFE" w:rsidRDefault="00807FFE">
            <w:pPr>
              <w:pStyle w:val="DMETW36761BIPPPERE"/>
              <w:jc w:val="center"/>
              <w:rPr>
                <w:rFonts w:ascii="Verdana" w:eastAsia="Verdana" w:hAnsi="Verdana" w:cs="Verdana"/>
                <w:noProof/>
                <w:color w:val="FFFFFF"/>
              </w:rPr>
            </w:pPr>
          </w:p>
        </w:tc>
        <w:tc>
          <w:tcPr>
            <w:tcW w:w="1641" w:type="dxa"/>
            <w:gridSpan w:val="4"/>
            <w:tcBorders>
              <w:top w:val="nil"/>
              <w:left w:val="nil"/>
              <w:bottom w:val="nil"/>
              <w:right w:val="nil"/>
              <w:tl2br w:val="nil"/>
              <w:tr2bl w:val="nil"/>
            </w:tcBorders>
            <w:shd w:val="solid" w:color="016794" w:fill="FFFFFF"/>
            <w:tcMar>
              <w:left w:w="60" w:type="dxa"/>
              <w:right w:w="60" w:type="dxa"/>
            </w:tcMar>
            <w:vAlign w:val="center"/>
          </w:tcPr>
          <w:p w14:paraId="138379E2" w14:textId="77777777" w:rsidR="00807FFE" w:rsidRDefault="00023E71">
            <w:pPr>
              <w:pStyle w:val="DMETW36761BIPPPERE"/>
              <w:jc w:val="center"/>
              <w:rPr>
                <w:rFonts w:ascii="Verdana" w:eastAsia="Verdana" w:hAnsi="Verdana" w:cs="Verdana"/>
                <w:noProof/>
                <w:color w:val="FFFFFF"/>
                <w:lang w:bidi="en-GB"/>
              </w:rPr>
            </w:pPr>
            <w:r>
              <w:rPr>
                <w:rFonts w:ascii="Verdana" w:eastAsia="Verdana" w:hAnsi="Verdana" w:cs="Verdana"/>
                <w:noProof/>
                <w:color w:val="FFFFFF"/>
              </w:rPr>
              <w:t>Minimum lease payments</w:t>
            </w:r>
          </w:p>
        </w:tc>
      </w:tr>
      <w:tr w:rsidR="00807FFE" w14:paraId="29B39FD3" w14:textId="77777777">
        <w:trPr>
          <w:trHeight w:val="255"/>
        </w:trPr>
        <w:tc>
          <w:tcPr>
            <w:tcW w:w="3345" w:type="dxa"/>
            <w:vMerge/>
            <w:tcBorders>
              <w:top w:val="nil"/>
              <w:left w:val="nil"/>
              <w:bottom w:val="nil"/>
              <w:right w:val="nil"/>
              <w:tl2br w:val="nil"/>
              <w:tr2bl w:val="nil"/>
            </w:tcBorders>
            <w:shd w:val="solid" w:color="016794" w:fill="FFFFFF"/>
            <w:tcMar>
              <w:left w:w="60" w:type="dxa"/>
              <w:right w:w="60" w:type="dxa"/>
            </w:tcMar>
            <w:vAlign w:val="center"/>
          </w:tcPr>
          <w:p w14:paraId="1075C10A" w14:textId="77777777" w:rsidR="00807FFE" w:rsidRDefault="00807FFE">
            <w:pPr>
              <w:pStyle w:val="DMETW36761BIPPPERE"/>
              <w:jc w:val="center"/>
              <w:rPr>
                <w:rFonts w:ascii="Verdana" w:eastAsia="Verdana" w:hAnsi="Verdana" w:cs="Verdana"/>
                <w:noProof/>
                <w:color w:val="FFFFFF"/>
              </w:rPr>
            </w:pPr>
          </w:p>
        </w:tc>
        <w:tc>
          <w:tcPr>
            <w:tcW w:w="1641" w:type="dxa"/>
            <w:tcBorders>
              <w:top w:val="nil"/>
              <w:left w:val="nil"/>
              <w:bottom w:val="nil"/>
              <w:right w:val="nil"/>
              <w:tl2br w:val="nil"/>
              <w:tr2bl w:val="nil"/>
            </w:tcBorders>
            <w:shd w:val="solid" w:color="3486A9" w:fill="FFFFFF"/>
            <w:tcMar>
              <w:left w:w="60" w:type="dxa"/>
              <w:right w:w="60" w:type="dxa"/>
            </w:tcMar>
            <w:vAlign w:val="center"/>
          </w:tcPr>
          <w:p w14:paraId="107B49AB" w14:textId="77777777" w:rsidR="00807FFE" w:rsidRDefault="00023E71">
            <w:pPr>
              <w:pStyle w:val="DMETW36761BIPPPERE"/>
              <w:jc w:val="right"/>
              <w:rPr>
                <w:rFonts w:ascii="Verdana" w:eastAsia="Verdana" w:hAnsi="Verdana" w:cs="Verdana"/>
                <w:noProof/>
                <w:color w:val="FFFFFF"/>
              </w:rPr>
            </w:pPr>
            <w:r>
              <w:rPr>
                <w:rFonts w:ascii="Verdana" w:eastAsia="Verdana" w:hAnsi="Verdana" w:cs="Verdana"/>
                <w:noProof/>
                <w:color w:val="FFFFFF"/>
              </w:rPr>
              <w:t>&lt; 1 year</w:t>
            </w:r>
          </w:p>
        </w:tc>
        <w:tc>
          <w:tcPr>
            <w:tcW w:w="1642" w:type="dxa"/>
            <w:tcBorders>
              <w:top w:val="nil"/>
              <w:left w:val="nil"/>
              <w:bottom w:val="nil"/>
              <w:right w:val="nil"/>
              <w:tl2br w:val="nil"/>
              <w:tr2bl w:val="nil"/>
            </w:tcBorders>
            <w:shd w:val="solid" w:color="3486A9" w:fill="FFFFFF"/>
            <w:tcMar>
              <w:left w:w="60" w:type="dxa"/>
              <w:right w:w="60" w:type="dxa"/>
            </w:tcMar>
            <w:vAlign w:val="center"/>
          </w:tcPr>
          <w:p w14:paraId="64C5DEF7" w14:textId="77777777" w:rsidR="00807FFE" w:rsidRDefault="00023E71">
            <w:pPr>
              <w:pStyle w:val="DMETW36761BIPPPERE"/>
              <w:jc w:val="right"/>
              <w:rPr>
                <w:rFonts w:ascii="Verdana" w:eastAsia="Verdana" w:hAnsi="Verdana" w:cs="Verdana"/>
                <w:noProof/>
                <w:color w:val="FFFFFF"/>
              </w:rPr>
            </w:pPr>
            <w:r>
              <w:rPr>
                <w:rFonts w:ascii="Verdana" w:eastAsia="Verdana" w:hAnsi="Verdana" w:cs="Verdana"/>
                <w:noProof/>
                <w:color w:val="FFFFFF"/>
              </w:rPr>
              <w:t>1- 5 years</w:t>
            </w:r>
          </w:p>
        </w:tc>
        <w:tc>
          <w:tcPr>
            <w:tcW w:w="1642" w:type="dxa"/>
            <w:tcBorders>
              <w:top w:val="nil"/>
              <w:left w:val="nil"/>
              <w:bottom w:val="nil"/>
              <w:right w:val="nil"/>
              <w:tl2br w:val="nil"/>
              <w:tr2bl w:val="nil"/>
            </w:tcBorders>
            <w:shd w:val="solid" w:color="3486A9" w:fill="FFFFFF"/>
            <w:tcMar>
              <w:left w:w="60" w:type="dxa"/>
              <w:right w:w="60" w:type="dxa"/>
            </w:tcMar>
            <w:vAlign w:val="center"/>
          </w:tcPr>
          <w:p w14:paraId="16078C44" w14:textId="77777777" w:rsidR="00807FFE" w:rsidRDefault="00023E71">
            <w:pPr>
              <w:pStyle w:val="DMETW36761BIPPPERE"/>
              <w:jc w:val="right"/>
              <w:rPr>
                <w:rFonts w:ascii="Verdana" w:eastAsia="Verdana" w:hAnsi="Verdana" w:cs="Verdana"/>
                <w:noProof/>
                <w:color w:val="FFFFFF"/>
              </w:rPr>
            </w:pPr>
            <w:r>
              <w:rPr>
                <w:rFonts w:ascii="Verdana" w:eastAsia="Verdana" w:hAnsi="Verdana" w:cs="Verdana"/>
                <w:noProof/>
                <w:color w:val="FFFFFF"/>
              </w:rPr>
              <w:t>&gt; 5 years</w:t>
            </w:r>
          </w:p>
        </w:tc>
        <w:tc>
          <w:tcPr>
            <w:tcW w:w="1642" w:type="dxa"/>
            <w:tcBorders>
              <w:top w:val="nil"/>
              <w:left w:val="nil"/>
              <w:bottom w:val="nil"/>
              <w:right w:val="nil"/>
              <w:tl2br w:val="nil"/>
              <w:tr2bl w:val="nil"/>
            </w:tcBorders>
            <w:shd w:val="solid" w:color="3486A9" w:fill="FFFFFF"/>
            <w:tcMar>
              <w:left w:w="60" w:type="dxa"/>
              <w:right w:w="60" w:type="dxa"/>
            </w:tcMar>
            <w:vAlign w:val="center"/>
          </w:tcPr>
          <w:p w14:paraId="3A9CBAB6" w14:textId="77777777" w:rsidR="00807FFE" w:rsidRDefault="00023E71">
            <w:pPr>
              <w:pStyle w:val="DMETW36761BIPPPERE"/>
              <w:jc w:val="right"/>
              <w:rPr>
                <w:rFonts w:ascii="Verdana" w:eastAsia="Verdana" w:hAnsi="Verdana" w:cs="Verdana"/>
                <w:noProof/>
                <w:color w:val="FFFFFF"/>
                <w:lang w:bidi="en-GB"/>
              </w:rPr>
            </w:pPr>
            <w:r>
              <w:rPr>
                <w:rFonts w:ascii="Verdana" w:eastAsia="Verdana" w:hAnsi="Verdana" w:cs="Verdana"/>
                <w:noProof/>
                <w:color w:val="FFFFFF"/>
              </w:rPr>
              <w:t>Total</w:t>
            </w:r>
          </w:p>
        </w:tc>
      </w:tr>
      <w:tr w:rsidR="00807FFE" w14:paraId="18EE2400" w14:textId="77777777">
        <w:trPr>
          <w:trHeight w:val="255"/>
        </w:trPr>
        <w:tc>
          <w:tcPr>
            <w:tcW w:w="3191" w:type="dxa"/>
            <w:tcBorders>
              <w:top w:val="nil"/>
              <w:left w:val="nil"/>
              <w:bottom w:val="nil"/>
              <w:right w:val="nil"/>
              <w:tl2br w:val="nil"/>
              <w:tr2bl w:val="nil"/>
            </w:tcBorders>
            <w:shd w:val="solid" w:color="FFFFFF" w:fill="FFFFFF"/>
            <w:tcMar>
              <w:left w:w="60" w:type="dxa"/>
              <w:right w:w="60" w:type="dxa"/>
            </w:tcMar>
            <w:vAlign w:val="center"/>
          </w:tcPr>
          <w:p w14:paraId="6B0734F8" w14:textId="77777777" w:rsidR="00807FFE" w:rsidRDefault="00023E71">
            <w:pPr>
              <w:pStyle w:val="DMETW36761BIPPPERE"/>
              <w:rPr>
                <w:rFonts w:ascii="Verdana" w:eastAsia="Verdana" w:hAnsi="Verdana" w:cs="Verdana"/>
                <w:i/>
                <w:noProof/>
                <w:color w:val="000000"/>
                <w:sz w:val="18"/>
              </w:rPr>
            </w:pPr>
            <w:r>
              <w:rPr>
                <w:rFonts w:ascii="Verdana" w:eastAsia="Verdana" w:hAnsi="Verdana" w:cs="Verdana"/>
                <w:i/>
                <w:noProof/>
                <w:color w:val="000000"/>
                <w:sz w:val="18"/>
              </w:rPr>
              <w:t>Buildings</w:t>
            </w:r>
          </w:p>
        </w:tc>
        <w:tc>
          <w:tcPr>
            <w:tcW w:w="1641" w:type="dxa"/>
            <w:tcBorders>
              <w:top w:val="nil"/>
              <w:left w:val="nil"/>
              <w:bottom w:val="nil"/>
              <w:right w:val="nil"/>
              <w:tl2br w:val="nil"/>
              <w:tr2bl w:val="nil"/>
            </w:tcBorders>
            <w:shd w:val="solid" w:color="FFFFFF" w:fill="FFFFFF"/>
            <w:tcMar>
              <w:left w:w="60" w:type="dxa"/>
              <w:right w:w="60" w:type="dxa"/>
            </w:tcMar>
            <w:vAlign w:val="center"/>
          </w:tcPr>
          <w:p w14:paraId="0E880DB3" w14:textId="77777777" w:rsidR="00807FFE" w:rsidRDefault="00023E71">
            <w:pPr>
              <w:pStyle w:val="DMETW36761BIPPPERE"/>
              <w:jc w:val="right"/>
              <w:rPr>
                <w:rFonts w:ascii="Verdana" w:eastAsia="Verdana" w:hAnsi="Verdana" w:cs="Verdana"/>
                <w:i/>
                <w:noProof/>
                <w:color w:val="000000"/>
                <w:sz w:val="18"/>
              </w:rPr>
            </w:pPr>
            <w:r>
              <w:rPr>
                <w:rFonts w:ascii="Verdana" w:eastAsia="Verdana" w:hAnsi="Verdana" w:cs="Verdana"/>
                <w:i/>
                <w:noProof/>
                <w:color w:val="000000"/>
                <w:sz w:val="18"/>
              </w:rPr>
              <w:t xml:space="preserve"> 490</w:t>
            </w:r>
          </w:p>
        </w:tc>
        <w:tc>
          <w:tcPr>
            <w:tcW w:w="1642" w:type="dxa"/>
            <w:tcBorders>
              <w:top w:val="nil"/>
              <w:left w:val="nil"/>
              <w:bottom w:val="nil"/>
              <w:right w:val="nil"/>
              <w:tl2br w:val="nil"/>
              <w:tr2bl w:val="nil"/>
            </w:tcBorders>
            <w:shd w:val="solid" w:color="FFFFFF" w:fill="FFFFFF"/>
            <w:tcMar>
              <w:left w:w="60" w:type="dxa"/>
              <w:right w:w="60" w:type="dxa"/>
            </w:tcMar>
            <w:vAlign w:val="center"/>
          </w:tcPr>
          <w:p w14:paraId="14824C65" w14:textId="77777777" w:rsidR="00807FFE" w:rsidRDefault="00023E71">
            <w:pPr>
              <w:pStyle w:val="DMETW36761BIPPPERE"/>
              <w:jc w:val="right"/>
              <w:rPr>
                <w:rFonts w:ascii="Verdana" w:eastAsia="Verdana" w:hAnsi="Verdana" w:cs="Verdana"/>
                <w:i/>
                <w:noProof/>
                <w:color w:val="000000"/>
                <w:sz w:val="18"/>
              </w:rPr>
            </w:pPr>
            <w:r>
              <w:rPr>
                <w:rFonts w:ascii="Verdana" w:eastAsia="Verdana" w:hAnsi="Verdana" w:cs="Verdana"/>
                <w:i/>
                <w:noProof/>
                <w:color w:val="000000"/>
                <w:sz w:val="18"/>
              </w:rPr>
              <w:t>1 183</w:t>
            </w:r>
          </w:p>
        </w:tc>
        <w:tc>
          <w:tcPr>
            <w:tcW w:w="1642" w:type="dxa"/>
            <w:tcBorders>
              <w:top w:val="nil"/>
              <w:left w:val="nil"/>
              <w:bottom w:val="nil"/>
              <w:right w:val="nil"/>
              <w:tl2br w:val="nil"/>
              <w:tr2bl w:val="nil"/>
            </w:tcBorders>
            <w:shd w:val="solid" w:color="FFFFFF" w:fill="FFFFFF"/>
            <w:tcMar>
              <w:left w:w="60" w:type="dxa"/>
              <w:right w:w="60" w:type="dxa"/>
            </w:tcMar>
            <w:vAlign w:val="center"/>
          </w:tcPr>
          <w:p w14:paraId="65B9734A" w14:textId="77777777" w:rsidR="00807FFE" w:rsidRDefault="00023E71">
            <w:pPr>
              <w:pStyle w:val="DMETW36761BIPPPERE"/>
              <w:jc w:val="right"/>
              <w:rPr>
                <w:rFonts w:ascii="Verdana" w:eastAsia="Verdana" w:hAnsi="Verdana" w:cs="Verdana"/>
                <w:i/>
                <w:noProof/>
                <w:color w:val="000000"/>
                <w:sz w:val="18"/>
              </w:rPr>
            </w:pPr>
            <w:r>
              <w:rPr>
                <w:rFonts w:ascii="Verdana" w:eastAsia="Verdana" w:hAnsi="Verdana" w:cs="Verdana"/>
                <w:i/>
                <w:noProof/>
                <w:color w:val="000000"/>
                <w:sz w:val="18"/>
              </w:rPr>
              <w:t>1 267</w:t>
            </w:r>
          </w:p>
        </w:tc>
        <w:tc>
          <w:tcPr>
            <w:tcW w:w="1642" w:type="dxa"/>
            <w:tcBorders>
              <w:top w:val="nil"/>
              <w:left w:val="nil"/>
              <w:bottom w:val="nil"/>
              <w:right w:val="nil"/>
              <w:tl2br w:val="nil"/>
              <w:tr2bl w:val="nil"/>
            </w:tcBorders>
            <w:shd w:val="solid" w:color="FFFFFF" w:fill="FFFFFF"/>
            <w:tcMar>
              <w:left w:w="60" w:type="dxa"/>
              <w:right w:w="60" w:type="dxa"/>
            </w:tcMar>
            <w:vAlign w:val="center"/>
          </w:tcPr>
          <w:p w14:paraId="1688CB5B" w14:textId="77777777" w:rsidR="00807FFE" w:rsidRDefault="00023E71">
            <w:pPr>
              <w:pStyle w:val="DMETW36761BIPPPERE"/>
              <w:jc w:val="right"/>
              <w:rPr>
                <w:rFonts w:ascii="Verdana" w:eastAsia="Verdana" w:hAnsi="Verdana" w:cs="Verdana"/>
                <w:i/>
                <w:noProof/>
                <w:color w:val="000000"/>
                <w:sz w:val="18"/>
                <w:lang w:bidi="en-GB"/>
              </w:rPr>
            </w:pPr>
            <w:r>
              <w:rPr>
                <w:rFonts w:ascii="Verdana" w:eastAsia="Verdana" w:hAnsi="Verdana" w:cs="Verdana"/>
                <w:i/>
                <w:noProof/>
                <w:color w:val="000000"/>
                <w:sz w:val="18"/>
              </w:rPr>
              <w:t>2 939</w:t>
            </w:r>
          </w:p>
        </w:tc>
      </w:tr>
      <w:tr w:rsidR="00807FFE" w14:paraId="71D82CBC" w14:textId="77777777">
        <w:trPr>
          <w:trHeight w:val="255"/>
        </w:trPr>
        <w:tc>
          <w:tcPr>
            <w:tcW w:w="3191"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02E7C17C" w14:textId="77777777" w:rsidR="00807FFE" w:rsidRDefault="00023E71">
            <w:pPr>
              <w:pStyle w:val="DMETW36761BIPPPERE"/>
              <w:rPr>
                <w:rFonts w:ascii="Verdana" w:eastAsia="Verdana" w:hAnsi="Verdana" w:cs="Verdana"/>
                <w:i/>
                <w:noProof/>
                <w:color w:val="000000"/>
                <w:sz w:val="18"/>
              </w:rPr>
            </w:pPr>
            <w:r>
              <w:rPr>
                <w:rFonts w:ascii="Verdana" w:eastAsia="Verdana" w:hAnsi="Verdana" w:cs="Verdana"/>
                <w:i/>
                <w:noProof/>
                <w:color w:val="000000"/>
                <w:sz w:val="18"/>
              </w:rPr>
              <w:t>IT materials and other equipment</w:t>
            </w:r>
          </w:p>
        </w:tc>
        <w:tc>
          <w:tcPr>
            <w:tcW w:w="1641"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0FF66F57" w14:textId="77777777" w:rsidR="00807FFE" w:rsidRDefault="00023E71">
            <w:pPr>
              <w:pStyle w:val="DMETW36761BIPPPERE"/>
              <w:jc w:val="right"/>
              <w:rPr>
                <w:rFonts w:ascii="Verdana" w:eastAsia="Verdana" w:hAnsi="Verdana" w:cs="Verdana"/>
                <w:i/>
                <w:noProof/>
                <w:color w:val="000000"/>
                <w:sz w:val="18"/>
              </w:rPr>
            </w:pPr>
            <w:r>
              <w:rPr>
                <w:rFonts w:ascii="Verdana" w:eastAsia="Verdana" w:hAnsi="Verdana" w:cs="Verdana"/>
                <w:i/>
                <w:noProof/>
                <w:color w:val="000000"/>
                <w:sz w:val="18"/>
              </w:rPr>
              <w:t xml:space="preserve"> 14</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7C1A2669" w14:textId="77777777" w:rsidR="00807FFE" w:rsidRDefault="00023E71">
            <w:pPr>
              <w:pStyle w:val="DMETW36761BIPPPERE"/>
              <w:jc w:val="right"/>
              <w:rPr>
                <w:rFonts w:ascii="Verdana" w:eastAsia="Verdana" w:hAnsi="Verdana" w:cs="Verdana"/>
                <w:i/>
                <w:noProof/>
                <w:color w:val="000000"/>
                <w:sz w:val="18"/>
              </w:rPr>
            </w:pPr>
            <w:r>
              <w:rPr>
                <w:rFonts w:ascii="Verdana" w:eastAsia="Verdana" w:hAnsi="Verdana" w:cs="Verdana"/>
                <w:i/>
                <w:noProof/>
                <w:color w:val="000000"/>
                <w:sz w:val="18"/>
              </w:rPr>
              <w:t xml:space="preserve"> 37</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124077C5" w14:textId="77777777" w:rsidR="00807FFE" w:rsidRDefault="00023E71">
            <w:pPr>
              <w:pStyle w:val="DMETW36761BIPPPERE"/>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4E3F6A27" w14:textId="77777777" w:rsidR="00807FFE" w:rsidRDefault="00023E71">
            <w:pPr>
              <w:pStyle w:val="DMETW36761BIPPPERE"/>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58</w:t>
            </w:r>
          </w:p>
        </w:tc>
      </w:tr>
      <w:tr w:rsidR="00807FFE" w14:paraId="74FFC4D3" w14:textId="77777777">
        <w:trPr>
          <w:trHeight w:val="255"/>
        </w:trPr>
        <w:tc>
          <w:tcPr>
            <w:tcW w:w="319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0D392EF2" w14:textId="77777777" w:rsidR="00807FFE" w:rsidRDefault="00023E71">
            <w:pPr>
              <w:pStyle w:val="DMETW36761BIPPPERE"/>
              <w:rPr>
                <w:rFonts w:ascii="Verdana" w:eastAsia="Verdana" w:hAnsi="Verdana" w:cs="Verdana"/>
                <w:b/>
                <w:noProof/>
                <w:color w:val="000000"/>
                <w:sz w:val="18"/>
              </w:rPr>
            </w:pPr>
            <w:r>
              <w:rPr>
                <w:rFonts w:ascii="Verdana" w:eastAsia="Verdana" w:hAnsi="Verdana" w:cs="Verdana"/>
                <w:b/>
                <w:noProof/>
                <w:color w:val="000000"/>
                <w:sz w:val="18"/>
              </w:rPr>
              <w:t>Total</w:t>
            </w:r>
          </w:p>
        </w:tc>
        <w:tc>
          <w:tcPr>
            <w:tcW w:w="164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5CABD1F" w14:textId="77777777" w:rsidR="00807FFE" w:rsidRDefault="00023E71">
            <w:pPr>
              <w:pStyle w:val="DMETW36761BIPPPERE"/>
              <w:jc w:val="right"/>
              <w:rPr>
                <w:rFonts w:ascii="Verdana" w:eastAsia="Verdana" w:hAnsi="Verdana" w:cs="Verdana"/>
                <w:b/>
                <w:noProof/>
                <w:color w:val="000000"/>
                <w:sz w:val="18"/>
              </w:rPr>
            </w:pPr>
            <w:r>
              <w:rPr>
                <w:rFonts w:ascii="Verdana" w:eastAsia="Verdana" w:hAnsi="Verdana" w:cs="Verdana"/>
                <w:b/>
                <w:noProof/>
                <w:color w:val="000000"/>
                <w:sz w:val="18"/>
              </w:rPr>
              <w:t xml:space="preserve"> 504</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2DC64BD8" w14:textId="77777777" w:rsidR="00807FFE" w:rsidRDefault="00023E71">
            <w:pPr>
              <w:pStyle w:val="DMETW36761BIPPPERE"/>
              <w:jc w:val="right"/>
              <w:rPr>
                <w:rFonts w:ascii="Verdana" w:eastAsia="Verdana" w:hAnsi="Verdana" w:cs="Verdana"/>
                <w:b/>
                <w:noProof/>
                <w:color w:val="000000"/>
                <w:sz w:val="18"/>
              </w:rPr>
            </w:pPr>
            <w:r>
              <w:rPr>
                <w:rFonts w:ascii="Verdana" w:eastAsia="Verdana" w:hAnsi="Verdana" w:cs="Verdana"/>
                <w:b/>
                <w:noProof/>
                <w:color w:val="000000"/>
                <w:sz w:val="18"/>
              </w:rPr>
              <w:t>1 220</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2B58616E" w14:textId="77777777" w:rsidR="00807FFE" w:rsidRDefault="00023E71">
            <w:pPr>
              <w:pStyle w:val="DMETW36761BIPPPERE"/>
              <w:jc w:val="right"/>
              <w:rPr>
                <w:rFonts w:ascii="Verdana" w:eastAsia="Verdana" w:hAnsi="Verdana" w:cs="Verdana"/>
                <w:b/>
                <w:noProof/>
                <w:color w:val="000000"/>
                <w:sz w:val="18"/>
              </w:rPr>
            </w:pPr>
            <w:r>
              <w:rPr>
                <w:rFonts w:ascii="Verdana" w:eastAsia="Verdana" w:hAnsi="Verdana" w:cs="Verdana"/>
                <w:b/>
                <w:noProof/>
                <w:color w:val="000000"/>
                <w:sz w:val="18"/>
              </w:rPr>
              <w:t>1 273</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789E8922" w14:textId="77777777" w:rsidR="00807FFE" w:rsidRDefault="00023E71">
            <w:pPr>
              <w:pStyle w:val="DMETW36761BIPPPERE"/>
              <w:jc w:val="right"/>
              <w:rPr>
                <w:rFonts w:ascii="Verdana" w:eastAsia="Verdana" w:hAnsi="Verdana" w:cs="Verdana"/>
                <w:b/>
                <w:noProof/>
                <w:color w:val="000000"/>
                <w:sz w:val="18"/>
              </w:rPr>
            </w:pPr>
            <w:r>
              <w:rPr>
                <w:rFonts w:ascii="Verdana" w:eastAsia="Verdana" w:hAnsi="Verdana" w:cs="Verdana"/>
                <w:b/>
                <w:noProof/>
                <w:color w:val="000000"/>
                <w:sz w:val="18"/>
              </w:rPr>
              <w:t>2 997</w:t>
            </w:r>
          </w:p>
        </w:tc>
      </w:tr>
    </w:tbl>
    <w:p w14:paraId="132ECD03" w14:textId="77777777" w:rsidR="00F17D5F" w:rsidRDefault="00F17D5F" w:rsidP="00F17D5F">
      <w:pPr>
        <w:pStyle w:val="Heading7pNormalCentered"/>
        <w:rPr>
          <w:lang w:bidi="en-GB"/>
        </w:rPr>
      </w:pPr>
    </w:p>
    <w:p w14:paraId="057BB766" w14:textId="77777777" w:rsidR="00BE7DEE" w:rsidRDefault="00023E71" w:rsidP="00E11FDD">
      <w:pPr>
        <w:pStyle w:val="DGTextstand-alone"/>
      </w:pPr>
      <w:r>
        <w:t xml:space="preserve">In </w:t>
      </w:r>
      <w:r w:rsidR="00B82C36">
        <w:t xml:space="preserve">March 2019, in </w:t>
      </w:r>
      <w:r>
        <w:t>the context of the United Kingdom’s notification of its intention to withdraw from the EU, and as a result of Regulation (EU) 2018/1718</w:t>
      </w:r>
      <w:r>
        <w:rPr>
          <w:rStyle w:val="FootnoteReference"/>
        </w:rPr>
        <w:footnoteReference w:id="48"/>
      </w:r>
      <w:r>
        <w:t>, the seat of the European Medicines Agency (EMA) was relocated from London to Amsterdam. On 2 July 2019, the Agency reached an agreement with its landlord and since then has sublet its premises to a subtenant under conditions that are consistent with the ones of the headlease, including the sublease term that extends until the expiry of EMA’s headlease in June 2039.</w:t>
      </w:r>
    </w:p>
    <w:p w14:paraId="76376638" w14:textId="77777777" w:rsidR="00E11FDD" w:rsidRDefault="00023E71" w:rsidP="00E11FDD">
      <w:pPr>
        <w:pStyle w:val="DGTextstand-alone"/>
      </w:pPr>
      <w:r>
        <w:t xml:space="preserve">The amounts disclosed in the table above </w:t>
      </w:r>
      <w:r w:rsidRPr="00DA4A45">
        <w:t xml:space="preserve">include </w:t>
      </w:r>
      <w:r w:rsidRPr="008E0351">
        <w:t>EUR </w:t>
      </w:r>
      <w:r w:rsidR="006A444F" w:rsidRPr="008E0351">
        <w:t>3</w:t>
      </w:r>
      <w:r>
        <w:t>28</w:t>
      </w:r>
      <w:r w:rsidRPr="008E0351">
        <w:t xml:space="preserve"> million</w:t>
      </w:r>
      <w:r w:rsidRPr="00DA4A45">
        <w:t xml:space="preserve"> still due under</w:t>
      </w:r>
      <w:r>
        <w:t xml:space="preserve"> the headlease contract.</w:t>
      </w:r>
    </w:p>
    <w:p w14:paraId="46596BF4" w14:textId="77777777" w:rsidR="00F92F62" w:rsidRPr="00CD585E" w:rsidRDefault="00023E71" w:rsidP="00F17D5F">
      <w:pPr>
        <w:pStyle w:val="HEADER5"/>
        <w:rPr>
          <w:noProof/>
        </w:rPr>
      </w:pPr>
      <w:r w:rsidRPr="00CD585E">
        <w:rPr>
          <w:noProof/>
        </w:rPr>
        <w:t>Other contractual commitments</w:t>
      </w:r>
    </w:p>
    <w:p w14:paraId="6F8F41FC" w14:textId="77777777" w:rsidR="0080160E" w:rsidRDefault="00023E71" w:rsidP="00EC1660">
      <w:pPr>
        <w:pStyle w:val="DGTextstand-alone"/>
      </w:pPr>
      <w:r w:rsidRPr="00F17D5F">
        <w:t xml:space="preserve">The amounts included under this disclosure correspond to amounts committed to be paid during the term of the contracts. The most significant amount included here relates to </w:t>
      </w:r>
      <w:r>
        <w:t xml:space="preserve">a </w:t>
      </w:r>
      <w:r w:rsidRPr="00F17D5F">
        <w:t>building contract</w:t>
      </w:r>
      <w:r>
        <w:t xml:space="preserve"> (JMO2)</w:t>
      </w:r>
      <w:r w:rsidRPr="00F17D5F">
        <w:t xml:space="preserve"> of the </w:t>
      </w:r>
      <w:r>
        <w:t xml:space="preserve">Commission in </w:t>
      </w:r>
      <w:r w:rsidRPr="00102983">
        <w:t xml:space="preserve">Luxembourg </w:t>
      </w:r>
      <w:r w:rsidRPr="00130B55">
        <w:t>(EUR </w:t>
      </w:r>
      <w:r>
        <w:t>328</w:t>
      </w:r>
      <w:r w:rsidRPr="00130B55">
        <w:t> million).</w:t>
      </w:r>
    </w:p>
    <w:bookmarkEnd w:id="214"/>
    <w:p w14:paraId="65E35249" w14:textId="77777777" w:rsidR="00CD31B7" w:rsidRPr="00CD585E" w:rsidRDefault="00CD31B7" w:rsidP="00EC1660">
      <w:pPr>
        <w:pStyle w:val="DGTextstand-alone"/>
        <w:sectPr w:rsidR="00CD31B7" w:rsidRPr="00CD585E">
          <w:headerReference w:type="default" r:id="rId135"/>
          <w:footerReference w:type="default" r:id="rId136"/>
          <w:pgSz w:w="11906" w:h="16838"/>
          <w:pgMar w:top="1134" w:right="1134" w:bottom="1134" w:left="1134" w:header="709" w:footer="709" w:gutter="0"/>
          <w:cols w:space="708"/>
          <w:docGrid w:linePitch="360"/>
        </w:sectPr>
      </w:pPr>
    </w:p>
    <w:p w14:paraId="5CD8B088" w14:textId="77777777" w:rsidR="000C3655" w:rsidRDefault="00023E71" w:rsidP="00172034">
      <w:pPr>
        <w:pStyle w:val="HEADER1NOTES"/>
        <w:numPr>
          <w:ilvl w:val="0"/>
          <w:numId w:val="15"/>
        </w:numPr>
        <w:spacing w:after="360"/>
        <w:rPr>
          <w:noProof/>
        </w:rPr>
      </w:pPr>
      <w:bookmarkStart w:id="219" w:name="_Toc232438943"/>
      <w:bookmarkStart w:id="220" w:name="_DMBM_36711"/>
      <w:r w:rsidRPr="006B4AAE">
        <w:rPr>
          <w:noProof/>
        </w:rPr>
        <w:t>FINANCIAL RISK MANAGEMENT</w:t>
      </w:r>
      <w:bookmarkEnd w:id="219"/>
    </w:p>
    <w:p w14:paraId="7FF92E77" w14:textId="77777777" w:rsidR="008E6076" w:rsidRPr="00663F54" w:rsidRDefault="00023E71" w:rsidP="008E6076">
      <w:pPr>
        <w:pStyle w:val="DGTextstand-alone"/>
        <w:rPr>
          <w:lang w:val="en-IE" w:eastAsia="en-IE"/>
        </w:rPr>
      </w:pPr>
      <w:r w:rsidRPr="00663F54">
        <w:rPr>
          <w:lang w:val="en-IE" w:eastAsia="en-IE"/>
        </w:rPr>
        <w:t>The EU's financial risk management disclosures cover several key areas:</w:t>
      </w:r>
    </w:p>
    <w:p w14:paraId="15787C00" w14:textId="77777777" w:rsidR="008E6076" w:rsidRPr="009C47DC" w:rsidRDefault="00023E71" w:rsidP="00172034">
      <w:pPr>
        <w:pStyle w:val="DGTextstand-alonedashesjustified"/>
        <w:numPr>
          <w:ilvl w:val="0"/>
          <w:numId w:val="22"/>
        </w:numPr>
        <w:rPr>
          <w:lang w:eastAsia="en-GB"/>
        </w:rPr>
      </w:pPr>
      <w:r w:rsidRPr="6C204149">
        <w:rPr>
          <w:lang w:eastAsia="en-GB"/>
        </w:rPr>
        <w:t>The Commission's borrowing and lending activities for financial assistance through programmes like NGEU, EFSM, BOP, MFA, SURE, Ukraine Facility, Western Balkan Facility, Moldova Facility and Euratom.</w:t>
      </w:r>
    </w:p>
    <w:p w14:paraId="4A39CDB6" w14:textId="77777777" w:rsidR="008E6076" w:rsidRPr="009C47DC" w:rsidRDefault="00023E71" w:rsidP="00172034">
      <w:pPr>
        <w:pStyle w:val="DGTextstand-alonedashesjustified"/>
        <w:numPr>
          <w:ilvl w:val="0"/>
          <w:numId w:val="22"/>
        </w:numPr>
        <w:rPr>
          <w:lang w:eastAsia="en-GB"/>
        </w:rPr>
      </w:pPr>
      <w:r w:rsidRPr="009C47DC">
        <w:rPr>
          <w:lang w:eastAsia="en-GB"/>
        </w:rPr>
        <w:t>The Commission's treasury operations to execute the EU budget.</w:t>
      </w:r>
    </w:p>
    <w:p w14:paraId="2695A46C" w14:textId="77777777" w:rsidR="008E6076" w:rsidRPr="009C47DC" w:rsidRDefault="00023E71" w:rsidP="00172034">
      <w:pPr>
        <w:pStyle w:val="DGTextstand-alonedashesjustified"/>
        <w:numPr>
          <w:ilvl w:val="0"/>
          <w:numId w:val="22"/>
        </w:numPr>
        <w:rPr>
          <w:lang w:eastAsia="en-GB"/>
        </w:rPr>
      </w:pPr>
      <w:r w:rsidRPr="009C47DC">
        <w:rPr>
          <w:lang w:eastAsia="en-GB"/>
        </w:rPr>
        <w:t>Assets held in funds like the CPF, the ECSC i.L., and the BUFI portfolio.</w:t>
      </w:r>
    </w:p>
    <w:p w14:paraId="55D18CE3" w14:textId="77777777" w:rsidR="008E6076" w:rsidRPr="009C47DC" w:rsidRDefault="00023E71" w:rsidP="00172034">
      <w:pPr>
        <w:pStyle w:val="DGTextstand-alonedashesjustified"/>
        <w:numPr>
          <w:ilvl w:val="0"/>
          <w:numId w:val="22"/>
        </w:numPr>
        <w:rPr>
          <w:lang w:eastAsia="en-GB"/>
        </w:rPr>
      </w:pPr>
      <w:r w:rsidRPr="6C204149">
        <w:rPr>
          <w:lang w:eastAsia="en-GB"/>
        </w:rPr>
        <w:t>Financial instrument programmes.</w:t>
      </w:r>
      <w:r>
        <w:rPr>
          <w:rStyle w:val="FootnoteReference"/>
          <w:lang w:eastAsia="en-GB"/>
        </w:rPr>
        <w:footnoteReference w:id="49"/>
      </w:r>
    </w:p>
    <w:p w14:paraId="6316CF82" w14:textId="77777777" w:rsidR="008E6076" w:rsidRDefault="00023E71" w:rsidP="00172034">
      <w:pPr>
        <w:pStyle w:val="DGTextstand-alonedashesjustified"/>
        <w:numPr>
          <w:ilvl w:val="0"/>
          <w:numId w:val="22"/>
        </w:numPr>
        <w:rPr>
          <w:lang w:eastAsia="en-GB"/>
        </w:rPr>
      </w:pPr>
      <w:r w:rsidRPr="009C47DC">
        <w:rPr>
          <w:lang w:eastAsia="en-GB"/>
        </w:rPr>
        <w:t>EU budgetary guarantee programmes.</w:t>
      </w:r>
    </w:p>
    <w:p w14:paraId="7D238F68" w14:textId="77777777" w:rsidR="000C3655" w:rsidRDefault="00023E71" w:rsidP="00172034">
      <w:pPr>
        <w:pStyle w:val="HEADER2NOTES"/>
        <w:numPr>
          <w:ilvl w:val="1"/>
          <w:numId w:val="15"/>
        </w:numPr>
        <w:jc w:val="both"/>
        <w:rPr>
          <w:noProof/>
        </w:rPr>
      </w:pPr>
      <w:r w:rsidRPr="006B4AAE">
        <w:rPr>
          <w:noProof/>
        </w:rPr>
        <w:t xml:space="preserve">TYPES OF </w:t>
      </w:r>
      <w:r>
        <w:rPr>
          <w:noProof/>
        </w:rPr>
        <w:t xml:space="preserve">FINANCIAL </w:t>
      </w:r>
      <w:r w:rsidRPr="006B4AAE">
        <w:rPr>
          <w:noProof/>
        </w:rPr>
        <w:t>RISK</w:t>
      </w:r>
    </w:p>
    <w:p w14:paraId="5841792C" w14:textId="77777777" w:rsidR="008E6076" w:rsidRPr="0045588A" w:rsidRDefault="00023E71" w:rsidP="008E6076">
      <w:pPr>
        <w:pStyle w:val="DGTextstand-alone"/>
        <w:rPr>
          <w:lang w:val="en-IE" w:eastAsia="en-IE"/>
        </w:rPr>
      </w:pPr>
      <w:r w:rsidRPr="6C204149">
        <w:rPr>
          <w:lang w:val="en-IE" w:eastAsia="en-IE"/>
        </w:rPr>
        <w:t>The EU faces financial risks from its financial instruments:</w:t>
      </w:r>
    </w:p>
    <w:p w14:paraId="62D27881" w14:textId="77777777" w:rsidR="008E6076" w:rsidRPr="00663F54" w:rsidRDefault="00023E71" w:rsidP="008E6076">
      <w:pPr>
        <w:pStyle w:val="DGTextstand-alone"/>
        <w:spacing w:before="0"/>
        <w:rPr>
          <w:lang w:val="en-IE" w:eastAsia="en-IE"/>
        </w:rPr>
      </w:pPr>
      <w:r w:rsidRPr="00AA6ABD">
        <w:rPr>
          <w:b/>
          <w:bCs/>
          <w:lang w:val="en-IE" w:eastAsia="en-IE"/>
        </w:rPr>
        <w:t>Market risk</w:t>
      </w:r>
      <w:r w:rsidRPr="0045588A">
        <w:rPr>
          <w:lang w:val="en-IE" w:eastAsia="en-IE"/>
        </w:rPr>
        <w:t xml:space="preserve">: This is the uncertainty of investment value due to changes in market prices. It includes risks such as: </w:t>
      </w:r>
    </w:p>
    <w:p w14:paraId="3F65DFCE" w14:textId="77777777" w:rsidR="008E6076" w:rsidRPr="00AD3188" w:rsidRDefault="00023E71" w:rsidP="00172034">
      <w:pPr>
        <w:pStyle w:val="DGTextstand-alonedashesjustified"/>
        <w:numPr>
          <w:ilvl w:val="0"/>
          <w:numId w:val="22"/>
        </w:numPr>
        <w:rPr>
          <w:lang w:eastAsia="en-GB"/>
        </w:rPr>
      </w:pPr>
      <w:r w:rsidRPr="6C204149">
        <w:rPr>
          <w:i/>
          <w:iCs/>
          <w:lang w:eastAsia="en-GB"/>
        </w:rPr>
        <w:t>Currency risk</w:t>
      </w:r>
      <w:r w:rsidRPr="6C204149">
        <w:rPr>
          <w:lang w:eastAsia="en-GB"/>
        </w:rPr>
        <w:t xml:space="preserve">: Changes in exchange rates can affect the EU's operations and investments. </w:t>
      </w:r>
    </w:p>
    <w:p w14:paraId="4247ADBD" w14:textId="77777777" w:rsidR="008E6076" w:rsidRPr="00AD3188" w:rsidRDefault="00023E71" w:rsidP="00172034">
      <w:pPr>
        <w:pStyle w:val="DGTextstand-alonedashesjustified"/>
        <w:numPr>
          <w:ilvl w:val="0"/>
          <w:numId w:val="22"/>
        </w:numPr>
        <w:rPr>
          <w:lang w:eastAsia="en-GB"/>
        </w:rPr>
      </w:pPr>
      <w:r w:rsidRPr="6C204149">
        <w:rPr>
          <w:i/>
          <w:iCs/>
          <w:lang w:eastAsia="en-GB"/>
        </w:rPr>
        <w:t>Interest rate risk</w:t>
      </w:r>
      <w:r w:rsidRPr="6C204149">
        <w:rPr>
          <w:lang w:eastAsia="en-GB"/>
        </w:rPr>
        <w:t xml:space="preserve">: Higher interest rates can lower the value of certain investments, like bonds. </w:t>
      </w:r>
    </w:p>
    <w:p w14:paraId="52E10593" w14:textId="77777777" w:rsidR="008E6076" w:rsidRPr="00AD3188" w:rsidRDefault="00023E71" w:rsidP="00172034">
      <w:pPr>
        <w:pStyle w:val="DGTextstand-alonedashesjustified"/>
        <w:numPr>
          <w:ilvl w:val="0"/>
          <w:numId w:val="22"/>
        </w:numPr>
        <w:rPr>
          <w:lang w:eastAsia="en-GB"/>
        </w:rPr>
      </w:pPr>
      <w:r w:rsidRPr="00AD3188">
        <w:rPr>
          <w:i/>
          <w:iCs/>
          <w:lang w:eastAsia="en-GB"/>
        </w:rPr>
        <w:t>Other price risk</w:t>
      </w:r>
      <w:r w:rsidRPr="00AD3188">
        <w:rPr>
          <w:lang w:eastAsia="en-GB"/>
        </w:rPr>
        <w:t>: This includes various factors (other than interest rates and foreign exchange rates) that can affect investment values, such as changes in market prices or factors specific to individual investments.</w:t>
      </w:r>
    </w:p>
    <w:p w14:paraId="1D9FB10C" w14:textId="77777777" w:rsidR="008E6076" w:rsidRPr="0045588A" w:rsidRDefault="00023E71" w:rsidP="008E6076">
      <w:pPr>
        <w:pStyle w:val="DGTextstand-alone"/>
        <w:spacing w:after="0"/>
        <w:rPr>
          <w:lang w:val="en-IE" w:eastAsia="en-IE"/>
        </w:rPr>
      </w:pPr>
      <w:r w:rsidRPr="6C204149">
        <w:rPr>
          <w:b/>
          <w:bCs/>
          <w:lang w:val="en-IE" w:eastAsia="en-IE"/>
        </w:rPr>
        <w:t>Credit risk</w:t>
      </w:r>
      <w:r w:rsidRPr="6C204149">
        <w:rPr>
          <w:lang w:val="en-IE" w:eastAsia="en-IE"/>
        </w:rPr>
        <w:t>: This is the risk that a borrower won’t pay back a loan or meet their contractual obligations, leading to default events like delayed payments or bankruptcy.</w:t>
      </w:r>
    </w:p>
    <w:p w14:paraId="1257C845" w14:textId="77777777" w:rsidR="008E6076" w:rsidRPr="0045588A" w:rsidRDefault="00023E71" w:rsidP="008E6076">
      <w:pPr>
        <w:pStyle w:val="DGTextstand-alone"/>
        <w:spacing w:after="0"/>
        <w:rPr>
          <w:lang w:val="en-IE" w:eastAsia="en-IE"/>
        </w:rPr>
      </w:pPr>
      <w:r w:rsidRPr="2D93B946">
        <w:rPr>
          <w:b/>
          <w:bCs/>
          <w:lang w:val="en-IE" w:eastAsia="en-IE"/>
        </w:rPr>
        <w:t>Liquidity risk</w:t>
      </w:r>
      <w:r w:rsidRPr="2D93B946">
        <w:rPr>
          <w:lang w:val="en-IE" w:eastAsia="en-IE"/>
        </w:rPr>
        <w:t>: This is the risk that an EU entity w</w:t>
      </w:r>
      <w:r>
        <w:rPr>
          <w:lang w:val="en-IE" w:eastAsia="en-IE"/>
        </w:rPr>
        <w:t>on’</w:t>
      </w:r>
      <w:r w:rsidRPr="2D93B946">
        <w:rPr>
          <w:lang w:val="en-IE" w:eastAsia="en-IE"/>
        </w:rPr>
        <w:t>t have enough money or assets to meet its financial obligations.</w:t>
      </w:r>
    </w:p>
    <w:p w14:paraId="4CAAA74D" w14:textId="77777777" w:rsidR="000C3655" w:rsidRPr="006B4AAE" w:rsidRDefault="00023E71" w:rsidP="00172034">
      <w:pPr>
        <w:pStyle w:val="HEADER2NOTES"/>
        <w:numPr>
          <w:ilvl w:val="1"/>
          <w:numId w:val="15"/>
        </w:numPr>
        <w:jc w:val="both"/>
        <w:rPr>
          <w:noProof/>
        </w:rPr>
      </w:pPr>
      <w:r w:rsidRPr="006B4AAE">
        <w:rPr>
          <w:noProof/>
        </w:rPr>
        <w:t>RISK MANAGEMENT POLICIES</w:t>
      </w:r>
    </w:p>
    <w:p w14:paraId="49E12391" w14:textId="77777777" w:rsidR="00A87A92" w:rsidRDefault="00023E71" w:rsidP="006F6B0D">
      <w:pPr>
        <w:pStyle w:val="HEADER5"/>
        <w:spacing w:before="240" w:after="240"/>
        <w:rPr>
          <w:noProof/>
        </w:rPr>
      </w:pPr>
      <w:r>
        <w:rPr>
          <w:noProof/>
        </w:rPr>
        <w:t>Measurement of financial instruments</w:t>
      </w:r>
    </w:p>
    <w:p w14:paraId="5D1E4F69" w14:textId="77777777" w:rsidR="00A87A92" w:rsidRPr="0064492A" w:rsidRDefault="00023E71" w:rsidP="00A87A92">
      <w:pPr>
        <w:pStyle w:val="DGTextstand-alone"/>
        <w:spacing w:before="0"/>
        <w:rPr>
          <w:lang w:val="en-IE" w:eastAsia="en-IE"/>
        </w:rPr>
      </w:pPr>
      <w:r w:rsidRPr="0064492A">
        <w:rPr>
          <w:lang w:val="en-IE" w:eastAsia="en-IE"/>
        </w:rPr>
        <w:t xml:space="preserve">The following classes of financial assets and liabilities are not measured at fair value: </w:t>
      </w:r>
      <w:r>
        <w:rPr>
          <w:lang w:val="en-IE" w:eastAsia="en-IE"/>
        </w:rPr>
        <w:t>c</w:t>
      </w:r>
      <w:r w:rsidRPr="0064492A">
        <w:rPr>
          <w:lang w:val="en-IE" w:eastAsia="en-IE"/>
        </w:rPr>
        <w:t xml:space="preserve">ash and cash equivalents, </w:t>
      </w:r>
      <w:r>
        <w:rPr>
          <w:lang w:val="en-IE" w:eastAsia="en-IE"/>
        </w:rPr>
        <w:t>l</w:t>
      </w:r>
      <w:r w:rsidRPr="0064492A">
        <w:rPr>
          <w:lang w:val="en-IE" w:eastAsia="en-IE"/>
        </w:rPr>
        <w:t>oans</w:t>
      </w:r>
      <w:r>
        <w:rPr>
          <w:lang w:val="en-IE" w:eastAsia="en-IE"/>
        </w:rPr>
        <w:t xml:space="preserve"> at amortised cost</w:t>
      </w:r>
      <w:r w:rsidRPr="0064492A">
        <w:rPr>
          <w:lang w:val="en-IE" w:eastAsia="en-IE"/>
        </w:rPr>
        <w:t xml:space="preserve">, </w:t>
      </w:r>
      <w:r>
        <w:rPr>
          <w:lang w:val="en-IE" w:eastAsia="en-IE"/>
        </w:rPr>
        <w:t>e</w:t>
      </w:r>
      <w:r w:rsidRPr="0064492A">
        <w:rPr>
          <w:lang w:val="en-IE" w:eastAsia="en-IE"/>
        </w:rPr>
        <w:t xml:space="preserve">xchange receivables other than financial guarantee contract receivables when classified to financial assets at FVSD, </w:t>
      </w:r>
      <w:r>
        <w:rPr>
          <w:lang w:val="en-IE" w:eastAsia="en-IE"/>
        </w:rPr>
        <w:t>b</w:t>
      </w:r>
      <w:r w:rsidRPr="0064492A">
        <w:rPr>
          <w:lang w:val="en-IE" w:eastAsia="en-IE"/>
        </w:rPr>
        <w:t xml:space="preserve">orrowings, </w:t>
      </w:r>
      <w:r>
        <w:rPr>
          <w:lang w:val="en-IE" w:eastAsia="en-IE"/>
        </w:rPr>
        <w:t>f</w:t>
      </w:r>
      <w:r w:rsidRPr="0064492A">
        <w:rPr>
          <w:lang w:val="en-IE" w:eastAsia="en-IE"/>
        </w:rPr>
        <w:t>inancial guarantee contracts</w:t>
      </w:r>
      <w:r>
        <w:rPr>
          <w:lang w:val="en-IE" w:eastAsia="en-IE"/>
        </w:rPr>
        <w:t xml:space="preserve"> and</w:t>
      </w:r>
      <w:r w:rsidRPr="0064492A">
        <w:rPr>
          <w:lang w:val="en-IE" w:eastAsia="en-IE"/>
        </w:rPr>
        <w:t xml:space="preserve"> </w:t>
      </w:r>
      <w:r>
        <w:rPr>
          <w:lang w:val="en-IE" w:eastAsia="en-IE"/>
        </w:rPr>
        <w:t>o</w:t>
      </w:r>
      <w:r w:rsidRPr="0064492A">
        <w:rPr>
          <w:lang w:val="en-IE" w:eastAsia="en-IE"/>
        </w:rPr>
        <w:t>ther financial liabilities measured at amortised cost.</w:t>
      </w:r>
      <w:r>
        <w:rPr>
          <w:lang w:val="en-IE" w:eastAsia="en-IE"/>
        </w:rPr>
        <w:t xml:space="preserve"> </w:t>
      </w:r>
      <w:r w:rsidRPr="0064492A">
        <w:rPr>
          <w:lang w:val="en-IE" w:eastAsia="en-IE"/>
        </w:rPr>
        <w:t>The carrying amount of those financial assets and liabilities is considered to be a reasonable approximation of their fair value.</w:t>
      </w:r>
    </w:p>
    <w:p w14:paraId="6ED951E6" w14:textId="77777777" w:rsidR="00A87A92" w:rsidRDefault="00023E71" w:rsidP="006F6B0D">
      <w:pPr>
        <w:pStyle w:val="HEADER5"/>
        <w:spacing w:before="240" w:after="240"/>
        <w:rPr>
          <w:noProof/>
        </w:rPr>
      </w:pPr>
      <w:r>
        <w:rPr>
          <w:noProof/>
        </w:rPr>
        <w:t>Risk Governance for borrowing, debt management and related lending operations, budgetary guarantees and asset management operations</w:t>
      </w:r>
    </w:p>
    <w:p w14:paraId="2227CDD5" w14:textId="77777777" w:rsidR="00A87A92" w:rsidRPr="005779E6" w:rsidRDefault="00023E71" w:rsidP="00A87A92">
      <w:pPr>
        <w:pStyle w:val="DGTextstand-alone"/>
        <w:spacing w:before="0"/>
        <w:rPr>
          <w:lang w:val="en-IE" w:eastAsia="en-IE"/>
        </w:rPr>
      </w:pPr>
      <w:r w:rsidRPr="005779E6">
        <w:rPr>
          <w:lang w:val="en-IE" w:eastAsia="en-IE"/>
        </w:rPr>
        <w:t>The EU's risk management framework is designed to protect the Union's financial and reputational interests, while ensuring the sound management of its borrowing and lending operations</w:t>
      </w:r>
      <w:r>
        <w:rPr>
          <w:lang w:val="en-IE" w:eastAsia="en-IE"/>
        </w:rPr>
        <w:t>, its budgetary guarantees, financial instruments and its asset management operations</w:t>
      </w:r>
      <w:r w:rsidRPr="005779E6">
        <w:rPr>
          <w:lang w:val="en-IE" w:eastAsia="en-IE"/>
        </w:rPr>
        <w:t>. Although the European Commission is not a financial institution, it employs advanced risk management practices tailored to the EU's unique structure and programme requirements. The primary goal of the framework is to safeguard the Union's financial interests and maintain the integrity, transparency, and trustworthiness of its operations</w:t>
      </w:r>
      <w:r>
        <w:rPr>
          <w:lang w:val="en-IE" w:eastAsia="en-IE"/>
        </w:rPr>
        <w:t>.</w:t>
      </w:r>
    </w:p>
    <w:p w14:paraId="6C101FCB" w14:textId="77777777" w:rsidR="00A87A92" w:rsidRPr="005779E6" w:rsidRDefault="00023E71" w:rsidP="00A87A92">
      <w:pPr>
        <w:pStyle w:val="DGTextstand-alone"/>
        <w:spacing w:before="0"/>
        <w:rPr>
          <w:lang w:val="en-IE" w:eastAsia="en-IE"/>
        </w:rPr>
      </w:pPr>
      <w:r w:rsidRPr="005779E6">
        <w:rPr>
          <w:lang w:val="en-IE" w:eastAsia="en-IE"/>
        </w:rPr>
        <w:t>The framework, developed by the Chief Risk Officer (CRO), includes key policies such as the High-Level Risk and Compliance Policy, the Market and Funding Liquidity Risk Policy, and the Operational Risk Management Policy. The CRO sets hard and soft risk limits and Key Risk Indicators to monitor and evaluate risks.</w:t>
      </w:r>
    </w:p>
    <w:p w14:paraId="41A0B086" w14:textId="77777777" w:rsidR="00A87A92" w:rsidRPr="005779E6" w:rsidRDefault="00023E71" w:rsidP="00A87A92">
      <w:pPr>
        <w:pStyle w:val="DGTextstand-alone"/>
        <w:spacing w:before="0"/>
        <w:rPr>
          <w:lang w:val="en-IE" w:eastAsia="en-IE"/>
        </w:rPr>
      </w:pPr>
      <w:r w:rsidRPr="005779E6">
        <w:rPr>
          <w:lang w:val="en-IE" w:eastAsia="en-IE"/>
        </w:rPr>
        <w:t xml:space="preserve">Regular risk reports ensure compliance with limits, highlight risk exposures, and propose mitigation strategies. A </w:t>
      </w:r>
      <w:r>
        <w:rPr>
          <w:lang w:val="en-IE" w:eastAsia="en-IE"/>
        </w:rPr>
        <w:t>‘</w:t>
      </w:r>
      <w:r w:rsidRPr="005779E6">
        <w:rPr>
          <w:lang w:val="en-IE" w:eastAsia="en-IE"/>
        </w:rPr>
        <w:t>three lines of defence</w:t>
      </w:r>
      <w:r>
        <w:rPr>
          <w:lang w:val="en-IE" w:eastAsia="en-IE"/>
        </w:rPr>
        <w:t>’</w:t>
      </w:r>
      <w:r w:rsidRPr="005779E6">
        <w:rPr>
          <w:lang w:val="en-IE" w:eastAsia="en-IE"/>
        </w:rPr>
        <w:t xml:space="preserve"> model strengthens governance by segregating powers, defining authority, and clarifying roles in risk management and control.</w:t>
      </w:r>
    </w:p>
    <w:p w14:paraId="4CA0CF3C" w14:textId="77777777" w:rsidR="00A87A92" w:rsidRPr="005779E6" w:rsidRDefault="00023E71" w:rsidP="00A87A92">
      <w:pPr>
        <w:pStyle w:val="DGTextstand-alone"/>
        <w:spacing w:before="0"/>
        <w:rPr>
          <w:lang w:val="en-IE" w:eastAsia="en-IE"/>
        </w:rPr>
      </w:pPr>
      <w:r w:rsidRPr="005779E6">
        <w:rPr>
          <w:lang w:val="en-IE" w:eastAsia="en-IE"/>
        </w:rPr>
        <w:t>Supported by the Risk and Compliance Committee, the CRO implements the risk management framework via internal policies and procedures. This committee advises the CRO on risk-related matters</w:t>
      </w:r>
      <w:r>
        <w:rPr>
          <w:lang w:val="en-IE" w:eastAsia="en-IE"/>
        </w:rPr>
        <w:t>.</w:t>
      </w:r>
    </w:p>
    <w:p w14:paraId="503B005F" w14:textId="77777777" w:rsidR="00A87A92" w:rsidRPr="005779E6" w:rsidRDefault="00023E71" w:rsidP="00A87A92">
      <w:pPr>
        <w:pStyle w:val="DGTextstand-alone"/>
        <w:spacing w:before="0"/>
        <w:rPr>
          <w:lang w:val="en-IE" w:eastAsia="en-IE"/>
        </w:rPr>
      </w:pPr>
      <w:r w:rsidRPr="005779E6">
        <w:rPr>
          <w:lang w:val="en-IE" w:eastAsia="en-IE"/>
        </w:rPr>
        <w:t xml:space="preserve">The adoption of the </w:t>
      </w:r>
      <w:r w:rsidRPr="00A94530">
        <w:rPr>
          <w:rFonts w:eastAsia="Verdana" w:cs="Verdana"/>
          <w:color w:val="000000" w:themeColor="text1"/>
        </w:rPr>
        <w:t>Commission Decision</w:t>
      </w:r>
      <w:r w:rsidRPr="6C204149">
        <w:rPr>
          <w:i/>
          <w:iCs/>
        </w:rPr>
        <w:t xml:space="preserve"> (EU, Euratom) 2025/369</w:t>
      </w:r>
      <w:r>
        <w:rPr>
          <w:rStyle w:val="FootnoteReference"/>
          <w:i/>
          <w:iCs/>
        </w:rPr>
        <w:footnoteReference w:id="50"/>
      </w:r>
      <w:r w:rsidRPr="6C204149">
        <w:rPr>
          <w:rStyle w:val="FootnoteReference"/>
          <w:i/>
          <w:iCs/>
        </w:rPr>
        <w:t xml:space="preserve"> </w:t>
      </w:r>
      <w:r w:rsidRPr="6C204149">
        <w:rPr>
          <w:i/>
          <w:iCs/>
          <w:lang w:val="en-IE" w:eastAsia="en-IE"/>
        </w:rPr>
        <w:t xml:space="preserve">reasserted and </w:t>
      </w:r>
      <w:r w:rsidRPr="6C204149">
        <w:rPr>
          <w:lang w:val="en-IE" w:eastAsia="en-IE"/>
        </w:rPr>
        <w:t>expanded the CRO's responsibilities to oversee:</w:t>
      </w:r>
    </w:p>
    <w:p w14:paraId="028A129C" w14:textId="77777777" w:rsidR="00A87A92" w:rsidRPr="009C47DC" w:rsidRDefault="00023E71" w:rsidP="00172034">
      <w:pPr>
        <w:pStyle w:val="DGTextstand-alonedashesjustified"/>
        <w:numPr>
          <w:ilvl w:val="0"/>
          <w:numId w:val="22"/>
        </w:numPr>
        <w:rPr>
          <w:lang w:eastAsia="en-GB"/>
        </w:rPr>
      </w:pPr>
      <w:r w:rsidRPr="6C204149">
        <w:rPr>
          <w:i/>
          <w:iCs/>
          <w:lang w:val="en-IE"/>
        </w:rPr>
        <w:t>L</w:t>
      </w:r>
      <w:r w:rsidRPr="6C204149">
        <w:rPr>
          <w:i/>
          <w:iCs/>
        </w:rPr>
        <w:t>oans provided directly by the Union, whether provisioned or not</w:t>
      </w:r>
      <w:r w:rsidRPr="6C204149">
        <w:rPr>
          <w:lang w:eastAsia="en-GB"/>
        </w:rPr>
        <w:t>.</w:t>
      </w:r>
    </w:p>
    <w:p w14:paraId="05F892D6" w14:textId="77777777" w:rsidR="00A87A92" w:rsidRPr="009C47DC" w:rsidRDefault="00023E71" w:rsidP="00172034">
      <w:pPr>
        <w:pStyle w:val="DGTextstand-alonedashesjustified"/>
        <w:numPr>
          <w:ilvl w:val="0"/>
          <w:numId w:val="22"/>
        </w:numPr>
        <w:rPr>
          <w:lang w:eastAsia="en-GB"/>
        </w:rPr>
      </w:pPr>
      <w:r w:rsidRPr="6C204149">
        <w:rPr>
          <w:i/>
          <w:iCs/>
        </w:rPr>
        <w:t>Union’s budgetary guarantees covering operations on the basis of guarantee agreements with the implementing partners.</w:t>
      </w:r>
    </w:p>
    <w:p w14:paraId="2C25DD02" w14:textId="77777777" w:rsidR="00A87A92" w:rsidRPr="009C47DC" w:rsidRDefault="00023E71" w:rsidP="00172034">
      <w:pPr>
        <w:pStyle w:val="DGTextstand-alonedashesjustified"/>
        <w:numPr>
          <w:ilvl w:val="0"/>
          <w:numId w:val="22"/>
        </w:numPr>
        <w:rPr>
          <w:lang w:eastAsia="en-GB"/>
        </w:rPr>
      </w:pPr>
      <w:r w:rsidRPr="6C204149">
        <w:rPr>
          <w:i/>
          <w:iCs/>
        </w:rPr>
        <w:t>Debt issuance and debt management operations including related liquidity management operations</w:t>
      </w:r>
      <w:r w:rsidRPr="6C204149">
        <w:rPr>
          <w:lang w:eastAsia="en-GB"/>
        </w:rPr>
        <w:t>.</w:t>
      </w:r>
    </w:p>
    <w:p w14:paraId="439C6837" w14:textId="77777777" w:rsidR="00A87A92" w:rsidRPr="009C47DC" w:rsidRDefault="00023E71" w:rsidP="00172034">
      <w:pPr>
        <w:pStyle w:val="DGTextstand-alonedashesjustified"/>
        <w:numPr>
          <w:ilvl w:val="0"/>
          <w:numId w:val="22"/>
        </w:numPr>
        <w:spacing w:after="240"/>
        <w:ind w:left="714" w:hanging="357"/>
        <w:rPr>
          <w:lang w:eastAsia="en-GB"/>
        </w:rPr>
      </w:pPr>
      <w:r w:rsidRPr="6C204149">
        <w:rPr>
          <w:i/>
          <w:iCs/>
        </w:rPr>
        <w:t>Asset management operations and tasks related to the function of asset management designated services for outsourced portfolios management.</w:t>
      </w:r>
    </w:p>
    <w:p w14:paraId="6256D00C" w14:textId="77777777" w:rsidR="00A87A92" w:rsidRPr="005779E6" w:rsidRDefault="00023E71" w:rsidP="00A87A92">
      <w:pPr>
        <w:pStyle w:val="DGTextstand-alone"/>
        <w:spacing w:before="0"/>
        <w:rPr>
          <w:lang w:val="en-IE" w:eastAsia="en-IE"/>
        </w:rPr>
      </w:pPr>
      <w:r w:rsidRPr="005779E6">
        <w:rPr>
          <w:lang w:val="en-IE" w:eastAsia="en-IE"/>
        </w:rPr>
        <w:t>The CRO enjoys autonomy in carrying out their tasks and responsibilities, and reports to the Member of the College responsible for the Budget as per the Commission Implementing Decision (EU, Euratom) 2023/2825. This ensures independence in executing assigned tasks and responsibilities.</w:t>
      </w:r>
    </w:p>
    <w:p w14:paraId="37783839" w14:textId="77777777" w:rsidR="00A87A92" w:rsidRPr="0067779B" w:rsidRDefault="00023E71" w:rsidP="006F6B0D">
      <w:pPr>
        <w:pStyle w:val="HEADER5"/>
        <w:spacing w:before="240" w:after="240"/>
        <w:rPr>
          <w:noProof/>
        </w:rPr>
      </w:pPr>
      <w:r>
        <w:rPr>
          <w:noProof/>
        </w:rPr>
        <w:t xml:space="preserve">Borrowing and lending activities </w:t>
      </w:r>
    </w:p>
    <w:p w14:paraId="1A11B0B6" w14:textId="77777777" w:rsidR="00A87A92" w:rsidRPr="005779E6" w:rsidRDefault="00023E71" w:rsidP="00A87A92">
      <w:pPr>
        <w:pStyle w:val="DGTextstand-alone"/>
        <w:spacing w:before="0"/>
        <w:rPr>
          <w:lang w:val="en-IE" w:eastAsia="en-IE"/>
        </w:rPr>
      </w:pPr>
      <w:r w:rsidRPr="005779E6">
        <w:rPr>
          <w:lang w:val="en-IE" w:eastAsia="en-IE"/>
        </w:rPr>
        <w:t>The EU does not borrow money to fund its operational expenditure, except for the borrowing related to the NGEU.</w:t>
      </w:r>
    </w:p>
    <w:p w14:paraId="33B4ECF7" w14:textId="77777777" w:rsidR="00A87A92" w:rsidRPr="005779E6" w:rsidRDefault="00023E71" w:rsidP="00A87A92">
      <w:pPr>
        <w:pStyle w:val="DGTextstand-alone"/>
        <w:spacing w:before="0"/>
        <w:rPr>
          <w:lang w:val="en-IE" w:eastAsia="en-IE"/>
        </w:rPr>
      </w:pPr>
      <w:r w:rsidRPr="005779E6">
        <w:rPr>
          <w:lang w:val="en-IE" w:eastAsia="en-IE"/>
        </w:rPr>
        <w:t>The EU's borrowing and lending operations are managed in accordance with relevant regulations, decisions, and internal guidelines. Detailed manuals govern activities such as borrowings and loans, and the relevant units continuously assess financial and operational risks while ensuring compliance.</w:t>
      </w:r>
    </w:p>
    <w:p w14:paraId="3EF39812" w14:textId="77777777" w:rsidR="00A87A92" w:rsidRPr="005779E6" w:rsidRDefault="00023E71" w:rsidP="00A87A92">
      <w:pPr>
        <w:pStyle w:val="DGTextstand-alone"/>
        <w:spacing w:before="0"/>
        <w:rPr>
          <w:lang w:val="en-IE" w:eastAsia="en-IE"/>
        </w:rPr>
      </w:pPr>
      <w:r w:rsidRPr="005779E6">
        <w:rPr>
          <w:lang w:val="en-IE" w:eastAsia="en-IE"/>
        </w:rPr>
        <w:t xml:space="preserve">Historically, the EU's lending operations were financed through </w:t>
      </w:r>
      <w:r>
        <w:rPr>
          <w:lang w:val="en-IE" w:eastAsia="en-IE"/>
        </w:rPr>
        <w:t>‘</w:t>
      </w:r>
      <w:r w:rsidRPr="005779E6">
        <w:rPr>
          <w:lang w:val="en-IE" w:eastAsia="en-IE"/>
        </w:rPr>
        <w:t>back-to-back</w:t>
      </w:r>
      <w:r>
        <w:rPr>
          <w:lang w:val="en-IE" w:eastAsia="en-IE"/>
        </w:rPr>
        <w:t>’</w:t>
      </w:r>
      <w:r w:rsidRPr="005779E6">
        <w:rPr>
          <w:lang w:val="en-IE" w:eastAsia="en-IE"/>
        </w:rPr>
        <w:t xml:space="preserve"> borrowings, which minimi</w:t>
      </w:r>
      <w:r>
        <w:rPr>
          <w:lang w:val="en-IE" w:eastAsia="en-IE"/>
        </w:rPr>
        <w:t>s</w:t>
      </w:r>
      <w:r w:rsidRPr="005779E6">
        <w:rPr>
          <w:lang w:val="en-IE" w:eastAsia="en-IE"/>
        </w:rPr>
        <w:t xml:space="preserve">ed open interest rate or currency risks. However, as of 2021 the EU </w:t>
      </w:r>
      <w:r w:rsidR="0008531B">
        <w:rPr>
          <w:lang w:val="en-IE" w:eastAsia="en-IE"/>
        </w:rPr>
        <w:t>mainly</w:t>
      </w:r>
      <w:r w:rsidRPr="005779E6">
        <w:rPr>
          <w:lang w:val="en-IE" w:eastAsia="en-IE"/>
        </w:rPr>
        <w:t xml:space="preserve"> borrows money under a unified funding approach.</w:t>
      </w:r>
    </w:p>
    <w:p w14:paraId="221DCA4D" w14:textId="77777777" w:rsidR="00A87A92" w:rsidRPr="005779E6" w:rsidRDefault="00023E71" w:rsidP="00A87A92">
      <w:pPr>
        <w:pStyle w:val="DGTextstand-alone"/>
        <w:spacing w:before="0"/>
        <w:rPr>
          <w:lang w:val="en-IE" w:eastAsia="en-IE"/>
        </w:rPr>
      </w:pPr>
      <w:r w:rsidRPr="6C204149">
        <w:rPr>
          <w:lang w:val="en-IE" w:eastAsia="en-IE"/>
        </w:rPr>
        <w:t>The unified funding approach, originally developed for NGEU programme</w:t>
      </w:r>
      <w:r w:rsidR="00150B70">
        <w:rPr>
          <w:lang w:val="en-IE" w:eastAsia="en-IE"/>
        </w:rPr>
        <w:t>,</w:t>
      </w:r>
      <w:r w:rsidRPr="6C204149">
        <w:rPr>
          <w:lang w:val="en-IE" w:eastAsia="en-IE"/>
        </w:rPr>
        <w:t xml:space="preserve"> utilises various funding instruments and techniques to meet both long- and short-term funding needs. This includes the issuance of EU-branded bonds, replacing the previous practice of separate issuances for each programme. Since December 2022, this strategy has been expanded to MFA+ loans for Ukraine, in 2024 to Ukraine Facility programme and MFA loans, in 2025 to MFA ULCM loans to Ukraine, Western Balkan Facility and Moldova Facility programmes. The usage of unified funding approach is enhancing flexibility and cost efficiency and is the only funding approach to be used for future loan disbursements.</w:t>
      </w:r>
    </w:p>
    <w:p w14:paraId="6BE6A4B1" w14:textId="77777777" w:rsidR="00A87A92" w:rsidRPr="0067779B" w:rsidRDefault="00023E71" w:rsidP="006F6B0D">
      <w:pPr>
        <w:pStyle w:val="HEADER5"/>
        <w:spacing w:before="240" w:after="240"/>
        <w:rPr>
          <w:noProof/>
        </w:rPr>
      </w:pPr>
      <w:r>
        <w:rPr>
          <w:noProof/>
        </w:rPr>
        <w:t>Treasury</w:t>
      </w:r>
    </w:p>
    <w:p w14:paraId="0A490766" w14:textId="77777777" w:rsidR="00A87A92" w:rsidRPr="005779E6" w:rsidRDefault="00023E71" w:rsidP="00A87A92">
      <w:pPr>
        <w:pStyle w:val="DGTextstand-alone"/>
        <w:spacing w:before="0"/>
        <w:rPr>
          <w:lang w:val="en-IE" w:eastAsia="en-IE"/>
        </w:rPr>
      </w:pPr>
      <w:r w:rsidRPr="005779E6">
        <w:rPr>
          <w:lang w:val="en-IE" w:eastAsia="en-IE"/>
        </w:rPr>
        <w:t>The rules and principles for the management of the Commission's treasury operations are laid down in Council Regulation (EU, Euratom) No 609/2014</w:t>
      </w:r>
      <w:r>
        <w:rPr>
          <w:rStyle w:val="FootnoteReference"/>
          <w:lang w:val="en-IE" w:eastAsia="en-IE"/>
        </w:rPr>
        <w:footnoteReference w:id="51"/>
      </w:r>
      <w:r w:rsidRPr="005779E6">
        <w:rPr>
          <w:lang w:val="en-IE" w:eastAsia="en-IE"/>
        </w:rPr>
        <w:t>, as amended by Council Regulations (EU, Euratom) 2016/804</w:t>
      </w:r>
      <w:r>
        <w:rPr>
          <w:rStyle w:val="FootnoteReference"/>
          <w:lang w:val="en-IE" w:eastAsia="en-IE"/>
        </w:rPr>
        <w:footnoteReference w:id="52"/>
      </w:r>
      <w:r w:rsidRPr="005779E6">
        <w:rPr>
          <w:lang w:val="en-IE" w:eastAsia="en-IE"/>
        </w:rPr>
        <w:t xml:space="preserve"> and (EU, Euratom) 2022/615</w:t>
      </w:r>
      <w:r>
        <w:rPr>
          <w:rStyle w:val="FootnoteReference"/>
          <w:lang w:val="en-IE" w:eastAsia="en-IE"/>
        </w:rPr>
        <w:footnoteReference w:id="53"/>
      </w:r>
      <w:r w:rsidRPr="005779E6">
        <w:rPr>
          <w:lang w:val="en-IE" w:eastAsia="en-IE"/>
        </w:rPr>
        <w:t xml:space="preserve"> referred hereafter to the ‘Council Regulation (EU, Euratom) No 609/2014’) and in the Financial Regulation.</w:t>
      </w:r>
      <w:r>
        <w:rPr>
          <w:lang w:val="en-IE" w:eastAsia="en-IE"/>
        </w:rPr>
        <w:t xml:space="preserve"> </w:t>
      </w:r>
      <w:r w:rsidRPr="005779E6">
        <w:rPr>
          <w:lang w:val="en-IE" w:eastAsia="en-IE"/>
        </w:rPr>
        <w:t>The following main principles apply:</w:t>
      </w:r>
    </w:p>
    <w:p w14:paraId="2EAD9984" w14:textId="77777777" w:rsidR="00A87A92" w:rsidRPr="009C47DC" w:rsidRDefault="00023E71" w:rsidP="00172034">
      <w:pPr>
        <w:pStyle w:val="DGTextstand-alonedashesjustified"/>
        <w:numPr>
          <w:ilvl w:val="0"/>
          <w:numId w:val="22"/>
        </w:numPr>
        <w:rPr>
          <w:lang w:eastAsia="en-GB"/>
        </w:rPr>
      </w:pPr>
      <w:r w:rsidRPr="009C47DC">
        <w:rPr>
          <w:lang w:eastAsia="en-GB"/>
        </w:rPr>
        <w:t>Own resources are paid by the Member States into accounts opened for this purpose in the name of the Commission with the treasury or national central bank.</w:t>
      </w:r>
    </w:p>
    <w:p w14:paraId="54E71F0A" w14:textId="77777777" w:rsidR="00A87A92" w:rsidRPr="009C47DC" w:rsidRDefault="00023E71" w:rsidP="00172034">
      <w:pPr>
        <w:pStyle w:val="DGTextstand-alonedashesjustified"/>
        <w:numPr>
          <w:ilvl w:val="0"/>
          <w:numId w:val="22"/>
        </w:numPr>
        <w:rPr>
          <w:lang w:eastAsia="en-GB"/>
        </w:rPr>
      </w:pPr>
      <w:r w:rsidRPr="009C47DC">
        <w:rPr>
          <w:lang w:eastAsia="en-GB"/>
        </w:rPr>
        <w:t>Own resources are paid by Member States in their own national currencies, while the Commission's payments are mostly denominated in EUR.</w:t>
      </w:r>
    </w:p>
    <w:p w14:paraId="419EA46A" w14:textId="77777777" w:rsidR="00A87A92" w:rsidRPr="009C47DC" w:rsidRDefault="00023E71" w:rsidP="00172034">
      <w:pPr>
        <w:pStyle w:val="DGTextstand-alonedashesjustified"/>
        <w:numPr>
          <w:ilvl w:val="0"/>
          <w:numId w:val="22"/>
        </w:numPr>
        <w:rPr>
          <w:lang w:eastAsia="en-GB"/>
        </w:rPr>
      </w:pPr>
      <w:r w:rsidRPr="7FD3047F">
        <w:rPr>
          <w:lang w:eastAsia="en-GB"/>
        </w:rPr>
        <w:t>Bank accounts opened in the name of the Commission may not be overdrawn.</w:t>
      </w:r>
    </w:p>
    <w:p w14:paraId="7E1651EB" w14:textId="77777777" w:rsidR="00A87A92" w:rsidRPr="009C47DC" w:rsidRDefault="00023E71" w:rsidP="00172034">
      <w:pPr>
        <w:pStyle w:val="DGTextstand-alonedashesjustified"/>
        <w:numPr>
          <w:ilvl w:val="0"/>
          <w:numId w:val="22"/>
        </w:numPr>
        <w:spacing w:after="240"/>
        <w:ind w:left="714" w:hanging="357"/>
        <w:rPr>
          <w:lang w:eastAsia="en-GB"/>
        </w:rPr>
      </w:pPr>
      <w:r w:rsidRPr="009C47DC">
        <w:rPr>
          <w:lang w:eastAsia="en-GB"/>
        </w:rPr>
        <w:t>Funds held in bank accounts denominated in currencies other than EUR are either used for payments in the same currencies or periodically converted into EUR.</w:t>
      </w:r>
    </w:p>
    <w:p w14:paraId="3951954A" w14:textId="77777777" w:rsidR="00A87A92" w:rsidRPr="005779E6" w:rsidRDefault="00023E71" w:rsidP="00A87A92">
      <w:pPr>
        <w:pStyle w:val="DGTextstand-alone"/>
        <w:spacing w:before="0"/>
        <w:rPr>
          <w:lang w:val="en-IE" w:eastAsia="en-IE"/>
        </w:rPr>
      </w:pPr>
      <w:r w:rsidRPr="005779E6">
        <w:rPr>
          <w:lang w:val="en-IE" w:eastAsia="en-IE"/>
        </w:rPr>
        <w:t>In addition to the own resource accounts, other bank accounts are opened by the Commission with central banks and commercial banks for the purpose of executing payments and receiving receipts other than the Member State contributions to the budget.</w:t>
      </w:r>
    </w:p>
    <w:p w14:paraId="09D90789" w14:textId="77777777" w:rsidR="00A87A92" w:rsidRPr="005779E6" w:rsidRDefault="00023E71" w:rsidP="00A87A92">
      <w:pPr>
        <w:pStyle w:val="DGTextstand-alone"/>
        <w:spacing w:before="0"/>
        <w:rPr>
          <w:lang w:val="en-IE" w:eastAsia="en-IE"/>
        </w:rPr>
      </w:pPr>
      <w:r w:rsidRPr="005779E6">
        <w:rPr>
          <w:lang w:val="en-IE" w:eastAsia="en-IE"/>
        </w:rPr>
        <w:t>Treasury and payment operations are highly automated and rely on modern information systems. Procedures are applied to guarantee system security, segregate duties, and ensure compliance with the FR, internal control standards, and audit principles.</w:t>
      </w:r>
    </w:p>
    <w:p w14:paraId="6602C977" w14:textId="77777777" w:rsidR="00A87A92" w:rsidRPr="005779E6" w:rsidRDefault="00023E71" w:rsidP="00A87A92">
      <w:pPr>
        <w:pStyle w:val="DGTextstand-alone"/>
        <w:spacing w:before="0"/>
        <w:rPr>
          <w:lang w:val="en-IE" w:eastAsia="en-IE"/>
        </w:rPr>
      </w:pPr>
      <w:r w:rsidRPr="005779E6">
        <w:rPr>
          <w:lang w:val="en-IE" w:eastAsia="en-IE"/>
        </w:rPr>
        <w:t>Guidelines and procedures regulate the management of the Commission's treasury and payment operations, aiming to limit operational and financial risk and ensure adequate control. These guidelines cover areas such as payment execution, cash management, cash flow forecasting and business continuity. Compliance with them is monitored regularly.</w:t>
      </w:r>
    </w:p>
    <w:p w14:paraId="13F7CB00" w14:textId="77777777" w:rsidR="00A87A92" w:rsidRPr="0067779B" w:rsidRDefault="00023E71" w:rsidP="006F6B0D">
      <w:pPr>
        <w:pStyle w:val="HEADER5"/>
        <w:spacing w:before="240" w:after="240"/>
        <w:rPr>
          <w:noProof/>
        </w:rPr>
      </w:pPr>
      <w:r>
        <w:rPr>
          <w:noProof/>
        </w:rPr>
        <w:t>Asset management</w:t>
      </w:r>
    </w:p>
    <w:p w14:paraId="243380A4" w14:textId="77777777" w:rsidR="00A87A92" w:rsidRPr="005779E6" w:rsidRDefault="00023E71" w:rsidP="00A87A92">
      <w:pPr>
        <w:pStyle w:val="DGTextstand-alone"/>
        <w:spacing w:before="0"/>
        <w:rPr>
          <w:lang w:val="en-IE" w:eastAsia="en-IE"/>
        </w:rPr>
      </w:pPr>
      <w:r w:rsidRPr="005779E6">
        <w:rPr>
          <w:lang w:val="en-IE" w:eastAsia="en-IE"/>
        </w:rPr>
        <w:t>The control of the various risks related to the asset management activities is based on dedicated governance and working procedures adopted following benchmarking with the highest standards adopted by peer international institutions. These procedures, which were subject to various internal and external audits, ensure the achievement of a sound asset management.</w:t>
      </w:r>
    </w:p>
    <w:p w14:paraId="66DACB8C" w14:textId="77777777" w:rsidR="00A87A92" w:rsidRPr="005779E6" w:rsidRDefault="00023E71" w:rsidP="00A87A92">
      <w:pPr>
        <w:pStyle w:val="DGTextstand-alone"/>
        <w:spacing w:before="0"/>
        <w:rPr>
          <w:lang w:val="en-IE" w:eastAsia="en-IE"/>
        </w:rPr>
      </w:pPr>
      <w:r w:rsidRPr="6C204149">
        <w:rPr>
          <w:lang w:val="en-IE" w:eastAsia="en-IE"/>
        </w:rPr>
        <w:t>The Commission has put in place the appropriate governance to review and approve technical and strategic decisions in relation to asset management operations. The asset management operations are supervised by two committees: The Risk Committee, composed of representatives of DG BUDG and the Asset Management Board, composed of representatives of DG BUDG, DG ECFIN and DG FISMA. Technical decisions are discussed and approved in the Risk Committee, while strategic decisions are endorsed by the Risk Committee and Asset Management Board before final approval of the Director General of DG BUDG, in agreement with the Accounting Officer.</w:t>
      </w:r>
      <w:r>
        <w:rPr>
          <w:lang w:val="en-IE" w:eastAsia="en-IE"/>
        </w:rPr>
        <w:t xml:space="preserve"> </w:t>
      </w:r>
      <w:r w:rsidRPr="005779E6">
        <w:rPr>
          <w:lang w:val="en-IE" w:eastAsia="en-IE"/>
        </w:rPr>
        <w:t>The asset management governance guarantees clear delegation of decision-making and lines of accountability and adequate segregation of duties between Front Office, Risk Management and Back Office. The compliance procedures provide the framework for adequate rules for codes of conduct to manage potential personal conflicts of interest as well as rules to manage risks of insider trading.</w:t>
      </w:r>
    </w:p>
    <w:p w14:paraId="72BFADFF" w14:textId="77777777" w:rsidR="00A87A92" w:rsidRPr="005779E6" w:rsidRDefault="00023E71" w:rsidP="00A87A92">
      <w:pPr>
        <w:pStyle w:val="DGTextstand-alone"/>
        <w:spacing w:before="0"/>
        <w:rPr>
          <w:lang w:val="en-IE" w:eastAsia="en-IE"/>
        </w:rPr>
      </w:pPr>
      <w:r w:rsidRPr="005779E6">
        <w:rPr>
          <w:lang w:val="en-IE" w:eastAsia="en-IE"/>
        </w:rPr>
        <w:t>The Asset Management Guidelines and internal investment restrictions provide a solid internal control framework to ensure the safeguarding of assets. Securities are kept with our custodians in accordance with market best practices, while cash and deposits are placed with highly rated financial institutions. The safeguarding of financial assets is also assured by segregation of duties between the team responsible for initiation of securities deals and the back-office team responsible for their settlement and bank accounts reconciliation. An additional layer of control is assured by the accounting team during the monthly closure reconciliation process when the portfolio of securities is reconciled with the security custodian’s statement. Any settlement discrepancies and late payments caused by counterparties are followed by the bank accounts reconciliation and back-office teams.</w:t>
      </w:r>
    </w:p>
    <w:p w14:paraId="3E82FE4E" w14:textId="77777777" w:rsidR="00A87A92" w:rsidRPr="005779E6" w:rsidRDefault="00023E71" w:rsidP="00A87A92">
      <w:pPr>
        <w:pStyle w:val="DGTextstand-alone"/>
        <w:rPr>
          <w:lang w:val="en-IE" w:eastAsia="en-IE"/>
        </w:rPr>
      </w:pPr>
      <w:r w:rsidRPr="00386846">
        <w:rPr>
          <w:lang w:val="en-IE" w:eastAsia="en-IE"/>
        </w:rPr>
        <w:t>For the monitoring of the respect of the control framework, an exhaustive set of performance and risk metrics for the assets under management is reported periodically to the relevant stakeholders</w:t>
      </w:r>
      <w:r w:rsidRPr="2D93B946">
        <w:rPr>
          <w:lang w:val="en-IE" w:eastAsia="en-IE"/>
        </w:rPr>
        <w:t>.</w:t>
      </w:r>
    </w:p>
    <w:p w14:paraId="4262DB1D" w14:textId="77777777" w:rsidR="00A87A92" w:rsidRDefault="00023E71" w:rsidP="00A87A92">
      <w:pPr>
        <w:spacing w:before="100" w:beforeAutospacing="1" w:after="100" w:afterAutospacing="1"/>
        <w:rPr>
          <w:rFonts w:ascii="Verdana" w:hAnsi="Verdana"/>
          <w:noProof/>
          <w:color w:val="016794"/>
          <w:sz w:val="18"/>
          <w:szCs w:val="18"/>
        </w:rPr>
      </w:pPr>
      <w:r w:rsidRPr="6C204149">
        <w:rPr>
          <w:rFonts w:ascii="Verdana" w:hAnsi="Verdana"/>
          <w:noProof/>
          <w:sz w:val="18"/>
          <w:szCs w:val="18"/>
          <w:lang w:val="en-IE" w:eastAsia="en-IE"/>
        </w:rPr>
        <w:t>The asset management guidelines, risk and investment strategies define certain limits and restrictions to limit the exposure to credit risk of the portfolio, which is limited to investment grade, except for EU Member States exposure.</w:t>
      </w:r>
    </w:p>
    <w:p w14:paraId="3BD75446" w14:textId="77777777" w:rsidR="006F6B0D" w:rsidRDefault="006F6B0D">
      <w:pPr>
        <w:rPr>
          <w:rFonts w:ascii="Verdana" w:hAnsi="Verdana"/>
          <w:noProof/>
          <w:color w:val="016794"/>
          <w:sz w:val="18"/>
          <w:szCs w:val="18"/>
        </w:rPr>
      </w:pPr>
      <w:r>
        <w:rPr>
          <w:noProof/>
        </w:rPr>
        <w:br w:type="page"/>
      </w:r>
    </w:p>
    <w:p w14:paraId="657CCD23" w14:textId="026A1C96" w:rsidR="00A87A92" w:rsidRDefault="00023E71" w:rsidP="00A87A92">
      <w:pPr>
        <w:pStyle w:val="HEADER5"/>
        <w:rPr>
          <w:noProof/>
        </w:rPr>
      </w:pPr>
      <w:r>
        <w:rPr>
          <w:noProof/>
        </w:rPr>
        <w:t>Common Provisioning Fund</w:t>
      </w:r>
    </w:p>
    <w:p w14:paraId="7FD69D3D" w14:textId="77777777" w:rsidR="00A87A92" w:rsidRPr="00794460" w:rsidRDefault="00023E71" w:rsidP="00A87A92">
      <w:pPr>
        <w:pStyle w:val="DGTextstand-alone"/>
        <w:rPr>
          <w:lang w:val="en-IE" w:eastAsia="en-IE"/>
        </w:rPr>
      </w:pPr>
      <w:r w:rsidRPr="512C48DE">
        <w:rPr>
          <w:lang w:val="en-IE" w:eastAsia="en-IE"/>
        </w:rPr>
        <w:t>The CPF is managed according to the asset management guidelines set by the Commission, as per Decision C(2020)18</w:t>
      </w:r>
      <w:r>
        <w:rPr>
          <w:lang w:val="en-IE" w:eastAsia="en-IE"/>
        </w:rPr>
        <w:t>96</w:t>
      </w:r>
      <w:r w:rsidRPr="512C48DE">
        <w:rPr>
          <w:lang w:val="en-IE" w:eastAsia="en-IE"/>
        </w:rPr>
        <w:t xml:space="preserve"> of 25 March 2020</w:t>
      </w:r>
      <w:r>
        <w:rPr>
          <w:vertAlign w:val="superscript"/>
        </w:rPr>
        <w:footnoteReference w:id="54"/>
      </w:r>
      <w:r w:rsidRPr="512C48DE">
        <w:rPr>
          <w:lang w:val="en-IE" w:eastAsia="en-IE"/>
        </w:rPr>
        <w:t>. The Director General of DG BUDG is responsible for managing the CPF's financial assets.</w:t>
      </w:r>
    </w:p>
    <w:p w14:paraId="675B3215" w14:textId="77777777" w:rsidR="00A87A92" w:rsidRDefault="00023E71" w:rsidP="00A87A92">
      <w:pPr>
        <w:pStyle w:val="DGTextstand-alone"/>
        <w:rPr>
          <w:lang w:val="en-IE" w:eastAsia="en-IE"/>
        </w:rPr>
      </w:pPr>
      <w:r w:rsidRPr="512C48DE">
        <w:rPr>
          <w:lang w:val="en-IE" w:eastAsia="en-IE"/>
        </w:rPr>
        <w:t>The CPF's objective is to ensure the necessary liquidity to meet all required outflows, such as guarantee calls, fully and promptly, and to provide capital preservation over the investment horizon of the fund, with a high confidence level.</w:t>
      </w:r>
    </w:p>
    <w:p w14:paraId="309D3276" w14:textId="77777777" w:rsidR="00A87A92" w:rsidRDefault="00023E71" w:rsidP="00A87A92">
      <w:pPr>
        <w:pStyle w:val="DGTextstand-alone"/>
        <w:rPr>
          <w:lang w:val="en-IE" w:eastAsia="en-IE"/>
        </w:rPr>
      </w:pPr>
      <w:r w:rsidRPr="6C204149">
        <w:rPr>
          <w:lang w:val="en-IE" w:eastAsia="en-IE"/>
        </w:rPr>
        <w:t>The CPF portfolio is designed to be highly diversified across different asset classes, geographical areas, issuers, and maturities, in accordance with the asset management guidelines. As at 31 December 2025, the portfolio included investments in money market instruments, bonds</w:t>
      </w:r>
      <w:r w:rsidR="00150B70">
        <w:rPr>
          <w:lang w:val="en-IE" w:eastAsia="en-IE"/>
        </w:rPr>
        <w:t>,</w:t>
      </w:r>
      <w:r w:rsidRPr="6C204149">
        <w:rPr>
          <w:lang w:val="en-IE" w:eastAsia="en-IE"/>
        </w:rPr>
        <w:t xml:space="preserve"> as well as </w:t>
      </w:r>
      <w:r w:rsidR="00150B70">
        <w:rPr>
          <w:lang w:val="en-IE" w:eastAsia="en-IE"/>
        </w:rPr>
        <w:t xml:space="preserve">corporate </w:t>
      </w:r>
      <w:r w:rsidRPr="6C204149">
        <w:rPr>
          <w:lang w:val="en-IE" w:eastAsia="en-IE"/>
        </w:rPr>
        <w:t>bond</w:t>
      </w:r>
      <w:r w:rsidR="00150B70">
        <w:rPr>
          <w:lang w:val="en-IE" w:eastAsia="en-IE"/>
        </w:rPr>
        <w:t>s</w:t>
      </w:r>
      <w:r w:rsidRPr="6C204149">
        <w:rPr>
          <w:lang w:val="en-IE" w:eastAsia="en-IE"/>
        </w:rPr>
        <w:t xml:space="preserve"> and equity ETFs.</w:t>
      </w:r>
    </w:p>
    <w:p w14:paraId="19A5A2C0" w14:textId="77777777" w:rsidR="00A87A92" w:rsidRDefault="00023E71" w:rsidP="00A87A92">
      <w:pPr>
        <w:pStyle w:val="DGTextstand-alone"/>
        <w:rPr>
          <w:lang w:val="en-IE" w:eastAsia="en-IE"/>
        </w:rPr>
      </w:pPr>
      <w:r w:rsidRPr="4B0FC595">
        <w:rPr>
          <w:lang w:val="en-IE" w:eastAsia="en-IE"/>
        </w:rPr>
        <w:t>As the sole counterparty for all outstanding currency forwards as at 31 December 2025 is the Bank for International Settlements, no credit enhancements, such as collateral, netting agreements or guarantees are put in place as of this date. The maximum exposure to credit risk for foreign exchange derivatives having a positive fair value at the end of the reporting period is equal to the carrying amount on the balance sheet.</w:t>
      </w:r>
    </w:p>
    <w:p w14:paraId="026156FA" w14:textId="77777777" w:rsidR="00A87A92" w:rsidRPr="0067779B" w:rsidRDefault="00023E71" w:rsidP="00A87A92">
      <w:pPr>
        <w:pStyle w:val="HEADER5"/>
        <w:spacing w:before="240"/>
        <w:rPr>
          <w:noProof/>
        </w:rPr>
      </w:pPr>
      <w:r>
        <w:rPr>
          <w:noProof/>
        </w:rPr>
        <w:t>Fines</w:t>
      </w:r>
    </w:p>
    <w:p w14:paraId="6B526346" w14:textId="77777777" w:rsidR="00A87A92" w:rsidRPr="00C03F15" w:rsidRDefault="00023E71" w:rsidP="00A87A92">
      <w:pPr>
        <w:spacing w:before="100" w:beforeAutospacing="1" w:after="100" w:afterAutospacing="1"/>
        <w:rPr>
          <w:rFonts w:ascii="Verdana" w:hAnsi="Verdana"/>
          <w:i/>
          <w:iCs/>
          <w:noProof/>
          <w:sz w:val="18"/>
          <w:szCs w:val="18"/>
          <w:lang w:val="en-IE" w:eastAsia="en-IE"/>
        </w:rPr>
      </w:pPr>
      <w:r w:rsidRPr="00C03F15">
        <w:rPr>
          <w:rFonts w:ascii="Verdana" w:hAnsi="Verdana"/>
          <w:i/>
          <w:iCs/>
          <w:noProof/>
          <w:sz w:val="18"/>
          <w:szCs w:val="18"/>
          <w:lang w:val="en-IE" w:eastAsia="en-IE"/>
        </w:rPr>
        <w:t>Provisionally paid fines: BUFI portfolio</w:t>
      </w:r>
    </w:p>
    <w:p w14:paraId="52B765F3" w14:textId="77777777" w:rsidR="00A87A92" w:rsidRPr="000107D7" w:rsidRDefault="00023E71" w:rsidP="00A87A92">
      <w:pPr>
        <w:pStyle w:val="DGTextstand-alone"/>
        <w:rPr>
          <w:lang w:val="en-IE" w:eastAsia="en-IE"/>
        </w:rPr>
      </w:pPr>
      <w:r w:rsidRPr="686B27D5">
        <w:rPr>
          <w:lang w:val="en-IE" w:eastAsia="en-IE"/>
        </w:rPr>
        <w:t>Fines imposed and provisionally paid are invested in the BUFI portfolio.</w:t>
      </w:r>
    </w:p>
    <w:p w14:paraId="60CEECDF" w14:textId="77777777" w:rsidR="00A87A92" w:rsidRPr="000107D7" w:rsidRDefault="00023E71" w:rsidP="00A87A92">
      <w:pPr>
        <w:pStyle w:val="DGTextstand-alone"/>
        <w:rPr>
          <w:lang w:val="en-IE" w:eastAsia="en-IE"/>
        </w:rPr>
      </w:pPr>
      <w:r w:rsidRPr="6C204149">
        <w:rPr>
          <w:lang w:val="en-IE" w:eastAsia="en-IE"/>
        </w:rPr>
        <w:t>The Commission manages the BUFI portfolio in accordance with internal asset management guidelines and procedures. The objectives of the asset management activities are to:</w:t>
      </w:r>
    </w:p>
    <w:p w14:paraId="7D621FCB" w14:textId="77777777" w:rsidR="00A87A92" w:rsidRPr="009C47DC" w:rsidRDefault="00023E71" w:rsidP="00172034">
      <w:pPr>
        <w:pStyle w:val="DGTextstand-alonedashesjustified"/>
        <w:numPr>
          <w:ilvl w:val="0"/>
          <w:numId w:val="22"/>
        </w:numPr>
        <w:rPr>
          <w:lang w:eastAsia="en-GB"/>
        </w:rPr>
      </w:pPr>
      <w:r w:rsidRPr="009C47DC">
        <w:rPr>
          <w:lang w:eastAsia="en-GB"/>
        </w:rPr>
        <w:t>Ensure that the funds are easily available when needed;</w:t>
      </w:r>
    </w:p>
    <w:p w14:paraId="386AA775" w14:textId="77777777" w:rsidR="00A87A92" w:rsidRPr="009C47DC" w:rsidRDefault="00023E71" w:rsidP="00172034">
      <w:pPr>
        <w:pStyle w:val="DGTextstand-alonedashesjustified"/>
        <w:numPr>
          <w:ilvl w:val="0"/>
          <w:numId w:val="22"/>
        </w:numPr>
        <w:rPr>
          <w:lang w:eastAsia="en-GB"/>
        </w:rPr>
      </w:pPr>
      <w:r w:rsidRPr="6C204149">
        <w:rPr>
          <w:lang w:eastAsia="en-GB"/>
        </w:rPr>
        <w:t>Reduce risks associated with financial markets; aim to deliver a return that is in line with the BUFI Benchmark, while preserving the nominal amount for the fines.</w:t>
      </w:r>
    </w:p>
    <w:p w14:paraId="6EA6FEF4" w14:textId="77777777" w:rsidR="00A87A92" w:rsidRPr="00A94530" w:rsidRDefault="00023E71" w:rsidP="00A87A92">
      <w:pPr>
        <w:pStyle w:val="DGTextstand-alone"/>
        <w:rPr>
          <w:color w:val="000000" w:themeColor="text1"/>
          <w:lang w:val="en-IE" w:eastAsia="en-IE"/>
        </w:rPr>
      </w:pPr>
      <w:r w:rsidRPr="00A94530">
        <w:rPr>
          <w:rFonts w:eastAsia="Verdana" w:cs="Verdana"/>
          <w:color w:val="000000" w:themeColor="text1"/>
          <w:lang w:val="en-IE"/>
        </w:rPr>
        <w:t xml:space="preserve">In line with the asset management guidance as updated in December 2025 </w:t>
      </w:r>
      <w:r w:rsidRPr="00A94530">
        <w:rPr>
          <w:color w:val="000000" w:themeColor="text1"/>
          <w:lang w:val="en-IE" w:eastAsia="en-IE"/>
        </w:rPr>
        <w:t>investments in the BUFI portfolio are restricted to:</w:t>
      </w:r>
    </w:p>
    <w:p w14:paraId="178FD379" w14:textId="77777777" w:rsidR="00A87A92" w:rsidRPr="00A94530" w:rsidRDefault="00023E71" w:rsidP="00172034">
      <w:pPr>
        <w:pStyle w:val="DGTextstand-alonedashesjustified"/>
        <w:numPr>
          <w:ilvl w:val="0"/>
          <w:numId w:val="22"/>
        </w:numPr>
        <w:rPr>
          <w:rFonts w:eastAsia="Verdana" w:cs="Verdana"/>
          <w:color w:val="000000" w:themeColor="text1"/>
        </w:rPr>
      </w:pPr>
      <w:r w:rsidRPr="00A94530">
        <w:rPr>
          <w:rFonts w:eastAsia="Verdana" w:cs="Verdana"/>
          <w:color w:val="000000" w:themeColor="text1"/>
        </w:rPr>
        <w:t>Term deposits.</w:t>
      </w:r>
    </w:p>
    <w:p w14:paraId="03B0941D" w14:textId="77777777" w:rsidR="00A87A92" w:rsidRPr="00A94530" w:rsidRDefault="00023E71" w:rsidP="00172034">
      <w:pPr>
        <w:pStyle w:val="DGTextstand-alonedashesjustified"/>
        <w:numPr>
          <w:ilvl w:val="0"/>
          <w:numId w:val="22"/>
        </w:numPr>
        <w:rPr>
          <w:rFonts w:eastAsia="Verdana" w:cs="Verdana"/>
          <w:color w:val="000000" w:themeColor="text1"/>
        </w:rPr>
      </w:pPr>
      <w:r w:rsidRPr="00A94530">
        <w:rPr>
          <w:rFonts w:eastAsia="Verdana" w:cs="Verdana"/>
          <w:color w:val="000000" w:themeColor="text1"/>
        </w:rPr>
        <w:t>Money market instruments and money market funds.</w:t>
      </w:r>
    </w:p>
    <w:p w14:paraId="282ED722" w14:textId="77777777" w:rsidR="00A87A92" w:rsidRPr="00A94530" w:rsidRDefault="00023E71" w:rsidP="00172034">
      <w:pPr>
        <w:pStyle w:val="DGTextstand-alonedashesjustified"/>
        <w:numPr>
          <w:ilvl w:val="0"/>
          <w:numId w:val="22"/>
        </w:numPr>
        <w:rPr>
          <w:rFonts w:eastAsia="Verdana" w:cs="Verdana"/>
          <w:color w:val="000000" w:themeColor="text1"/>
        </w:rPr>
      </w:pPr>
      <w:r w:rsidRPr="00A94530">
        <w:rPr>
          <w:rFonts w:eastAsia="Verdana" w:cs="Verdana"/>
          <w:color w:val="000000" w:themeColor="text1"/>
        </w:rPr>
        <w:t>Debt instruments, such as bonds, bills and notes.</w:t>
      </w:r>
    </w:p>
    <w:p w14:paraId="27FFE87A" w14:textId="77777777" w:rsidR="00A87A92" w:rsidRPr="00A94530" w:rsidRDefault="00023E71" w:rsidP="00172034">
      <w:pPr>
        <w:pStyle w:val="DGTextstand-alonedashesjustified"/>
        <w:numPr>
          <w:ilvl w:val="0"/>
          <w:numId w:val="22"/>
        </w:numPr>
        <w:rPr>
          <w:rFonts w:eastAsia="Verdana" w:cs="Verdana"/>
          <w:color w:val="000000" w:themeColor="text1"/>
        </w:rPr>
      </w:pPr>
      <w:r w:rsidRPr="00A94530">
        <w:rPr>
          <w:rFonts w:eastAsia="Verdana" w:cs="Verdana"/>
          <w:color w:val="000000" w:themeColor="text1"/>
        </w:rPr>
        <w:t>Collective investment undertakings including exchange-traded funds which invest in equity or in debt instruments where maximum losses cannot exceed amounts invested.</w:t>
      </w:r>
    </w:p>
    <w:p w14:paraId="1F8661D8" w14:textId="77777777" w:rsidR="00A87A92" w:rsidRPr="00A94530" w:rsidRDefault="00023E71" w:rsidP="00172034">
      <w:pPr>
        <w:pStyle w:val="DGTextstand-alonedashesjustified"/>
        <w:numPr>
          <w:ilvl w:val="0"/>
          <w:numId w:val="22"/>
        </w:numPr>
        <w:rPr>
          <w:rFonts w:eastAsia="Verdana" w:cs="Verdana"/>
          <w:color w:val="000000" w:themeColor="text1"/>
        </w:rPr>
      </w:pPr>
      <w:r w:rsidRPr="00A94530">
        <w:rPr>
          <w:rFonts w:eastAsia="Verdana" w:cs="Verdana"/>
          <w:color w:val="000000" w:themeColor="text1"/>
        </w:rPr>
        <w:t>Repurchase agreements and reverse repurchase agreements.</w:t>
      </w:r>
    </w:p>
    <w:p w14:paraId="016466ED" w14:textId="77777777" w:rsidR="00A87A92" w:rsidRPr="00A94530" w:rsidRDefault="00023E71" w:rsidP="00172034">
      <w:pPr>
        <w:pStyle w:val="DGTextstand-alonedashesjustified"/>
        <w:numPr>
          <w:ilvl w:val="0"/>
          <w:numId w:val="22"/>
        </w:numPr>
        <w:spacing w:beforeAutospacing="1" w:afterAutospacing="1"/>
        <w:rPr>
          <w:rFonts w:eastAsia="Verdana" w:cs="Verdana"/>
          <w:color w:val="000000" w:themeColor="text1"/>
        </w:rPr>
      </w:pPr>
      <w:r w:rsidRPr="00A94530">
        <w:rPr>
          <w:rFonts w:eastAsia="Verdana" w:cs="Verdana"/>
          <w:color w:val="000000" w:themeColor="text1"/>
        </w:rPr>
        <w:t>Securities lending operations.</w:t>
      </w:r>
    </w:p>
    <w:p w14:paraId="03CD4235" w14:textId="77777777" w:rsidR="00A87A92" w:rsidRPr="000107D7" w:rsidRDefault="00023E71" w:rsidP="00A87A92">
      <w:pPr>
        <w:spacing w:before="100" w:beforeAutospacing="1" w:after="100" w:afterAutospacing="1"/>
        <w:rPr>
          <w:rFonts w:ascii="Verdana" w:hAnsi="Verdana"/>
          <w:i/>
          <w:iCs/>
          <w:noProof/>
          <w:sz w:val="18"/>
          <w:szCs w:val="18"/>
          <w:lang w:val="en-IE" w:eastAsia="en-IE"/>
        </w:rPr>
      </w:pPr>
      <w:r w:rsidRPr="00C03F15">
        <w:rPr>
          <w:rFonts w:ascii="Verdana" w:hAnsi="Verdana"/>
          <w:i/>
          <w:iCs/>
          <w:noProof/>
          <w:sz w:val="18"/>
          <w:szCs w:val="18"/>
          <w:lang w:val="en-IE" w:eastAsia="en-IE"/>
        </w:rPr>
        <w:t>Financial guarantees received</w:t>
      </w:r>
    </w:p>
    <w:p w14:paraId="74718FE4" w14:textId="77777777" w:rsidR="00A87A92" w:rsidRPr="00250507" w:rsidRDefault="00023E71" w:rsidP="00A87A92">
      <w:pPr>
        <w:pStyle w:val="DGTextstand-alone"/>
        <w:rPr>
          <w:lang w:val="en-IE" w:eastAsia="en-IE"/>
        </w:rPr>
      </w:pPr>
      <w:r w:rsidRPr="1D0DAAEE">
        <w:rPr>
          <w:lang w:val="en-IE" w:eastAsia="en-IE"/>
        </w:rPr>
        <w:t xml:space="preserve">The Commission holds significant amounts of guarantees issued by financial institutions in relation to fines imposed on companies breaching EU rules (see </w:t>
      </w:r>
      <w:r>
        <w:rPr>
          <w:lang w:val="en-IE" w:eastAsia="en-IE"/>
        </w:rPr>
        <w:t>N</w:t>
      </w:r>
      <w:r w:rsidRPr="1D0DAAEE">
        <w:rPr>
          <w:lang w:val="en-IE" w:eastAsia="en-IE"/>
        </w:rPr>
        <w:t xml:space="preserve">ote </w:t>
      </w:r>
      <w:r w:rsidRPr="005779E6">
        <w:rPr>
          <w:b/>
          <w:bCs/>
          <w:lang w:val="en-IE" w:eastAsia="en-IE"/>
        </w:rPr>
        <w:t>2.6.1.3</w:t>
      </w:r>
      <w:r w:rsidRPr="1D0DAAEE">
        <w:rPr>
          <w:lang w:val="en-IE" w:eastAsia="en-IE"/>
        </w:rPr>
        <w:t>). These guarantees are provided by fined companies as an alternative to making provisional payments.</w:t>
      </w:r>
    </w:p>
    <w:p w14:paraId="43AA22B5" w14:textId="77777777" w:rsidR="00A87A92" w:rsidRPr="00250507" w:rsidRDefault="00023E71" w:rsidP="00A87A92">
      <w:pPr>
        <w:pStyle w:val="DGTextstand-alone"/>
        <w:rPr>
          <w:lang w:val="en-IE" w:eastAsia="en-IE"/>
        </w:rPr>
      </w:pPr>
      <w:r w:rsidRPr="6C204149">
        <w:rPr>
          <w:lang w:val="en-IE" w:eastAsia="en-IE"/>
        </w:rPr>
        <w:t>The Commission manages these guarantees in compliance with its internal risk management policy. This policy ensures that financial and operational risks are regularly identified and evaluated, and that compliance with internal policies and procedures is checked on a regular basis.</w:t>
      </w:r>
    </w:p>
    <w:p w14:paraId="0A76EFE9" w14:textId="77777777" w:rsidR="006F6B0D" w:rsidRDefault="006F6B0D">
      <w:pPr>
        <w:rPr>
          <w:rFonts w:ascii="Verdana" w:hAnsi="Verdana"/>
          <w:noProof/>
          <w:color w:val="016794"/>
          <w:sz w:val="18"/>
          <w:szCs w:val="18"/>
        </w:rPr>
      </w:pPr>
      <w:r>
        <w:rPr>
          <w:noProof/>
        </w:rPr>
        <w:br w:type="page"/>
      </w:r>
    </w:p>
    <w:p w14:paraId="71026486" w14:textId="4EC8DA99" w:rsidR="00A87A92" w:rsidRPr="00A00A45" w:rsidRDefault="00023E71" w:rsidP="00A87A92">
      <w:pPr>
        <w:pStyle w:val="HEADER5"/>
        <w:spacing w:before="240"/>
        <w:rPr>
          <w:noProof/>
        </w:rPr>
      </w:pPr>
      <w:r>
        <w:rPr>
          <w:noProof/>
        </w:rPr>
        <w:t>EU budgetary guarantee programmes</w:t>
      </w:r>
    </w:p>
    <w:p w14:paraId="03D762AB" w14:textId="77777777" w:rsidR="00A87A92" w:rsidRDefault="00023E71" w:rsidP="00A87A92">
      <w:pPr>
        <w:pStyle w:val="DGTextstand-alone"/>
        <w:rPr>
          <w:lang w:val="en-IE" w:eastAsia="en-IE"/>
        </w:rPr>
      </w:pPr>
      <w:r w:rsidRPr="1D0DAAEE">
        <w:rPr>
          <w:lang w:val="en-IE" w:eastAsia="en-IE"/>
        </w:rPr>
        <w:t>The FR has implemented several safeguards to protect the EU budget against financial risks created by budgetary guarantees. These safeguards can be grouped into four main categories:</w:t>
      </w:r>
    </w:p>
    <w:p w14:paraId="78F0E281" w14:textId="77777777" w:rsidR="00A87A92" w:rsidRPr="00B91611" w:rsidRDefault="00023E71" w:rsidP="00172034">
      <w:pPr>
        <w:pStyle w:val="DGTextstand-alone"/>
        <w:numPr>
          <w:ilvl w:val="0"/>
          <w:numId w:val="23"/>
        </w:numPr>
        <w:rPr>
          <w:i/>
          <w:iCs/>
          <w:lang w:val="en-IE" w:eastAsia="en-IE"/>
        </w:rPr>
      </w:pPr>
      <w:r w:rsidRPr="00B91611">
        <w:rPr>
          <w:i/>
          <w:iCs/>
          <w:lang w:val="en-IE" w:eastAsia="en-IE"/>
        </w:rPr>
        <w:t>Measures to limit contingent liabilities</w:t>
      </w:r>
    </w:p>
    <w:p w14:paraId="4C2E6B65" w14:textId="77777777" w:rsidR="00A87A92" w:rsidRPr="00411363" w:rsidRDefault="00023E71" w:rsidP="00A87A92">
      <w:pPr>
        <w:pStyle w:val="DGTextstand-alone"/>
        <w:rPr>
          <w:lang w:val="en-IE" w:eastAsia="en-IE"/>
        </w:rPr>
      </w:pPr>
      <w:r w:rsidRPr="1D0DAAEE">
        <w:rPr>
          <w:lang w:val="en-IE" w:eastAsia="en-IE"/>
        </w:rPr>
        <w:t>The EU guarantee is capped in a clearly defined manner, and the financial liability cannot exceed the amount of the budgetary guarantee authori</w:t>
      </w:r>
      <w:r>
        <w:rPr>
          <w:lang w:val="en-IE" w:eastAsia="en-IE"/>
        </w:rPr>
        <w:t>s</w:t>
      </w:r>
      <w:r w:rsidRPr="1D0DAAEE">
        <w:rPr>
          <w:lang w:val="en-IE" w:eastAsia="en-IE"/>
        </w:rPr>
        <w:t>ed by its basic act. The contingent liability generated by a budgetary guarantee can only exceed the financial assets provided to cover the EU financial liability if this is provided for in the underlying basic act and under specific conditions.</w:t>
      </w:r>
    </w:p>
    <w:p w14:paraId="2BDAD756" w14:textId="77777777" w:rsidR="00A87A92" w:rsidRPr="00411363" w:rsidRDefault="00023E71" w:rsidP="00A87A92">
      <w:pPr>
        <w:pStyle w:val="DGTextstand-alone"/>
        <w:rPr>
          <w:lang w:val="en-IE" w:eastAsia="en-IE"/>
        </w:rPr>
      </w:pPr>
      <w:r w:rsidRPr="1D0DAAEE">
        <w:rPr>
          <w:lang w:val="en-IE" w:eastAsia="en-IE"/>
        </w:rPr>
        <w:t>The desired risk profile of the operations/financial products guaranteed by the EU is determined ex-ante, i.e. before the signature of the guarantee agreements.</w:t>
      </w:r>
    </w:p>
    <w:p w14:paraId="0583C953" w14:textId="77777777" w:rsidR="00A87A92" w:rsidRPr="00613118" w:rsidRDefault="00023E71" w:rsidP="00172034">
      <w:pPr>
        <w:pStyle w:val="DGTextstand-alone"/>
        <w:numPr>
          <w:ilvl w:val="0"/>
          <w:numId w:val="23"/>
        </w:numPr>
        <w:rPr>
          <w:i/>
          <w:iCs/>
          <w:lang w:val="en-IE" w:eastAsia="en-IE"/>
        </w:rPr>
      </w:pPr>
      <w:r w:rsidRPr="00613118">
        <w:rPr>
          <w:i/>
          <w:iCs/>
          <w:lang w:val="en-IE" w:eastAsia="en-IE"/>
        </w:rPr>
        <w:t>Measures concerning the selection of implementing partners</w:t>
      </w:r>
    </w:p>
    <w:p w14:paraId="2BCF28C8" w14:textId="77777777" w:rsidR="00A87A92" w:rsidRDefault="00023E71" w:rsidP="00A87A92">
      <w:pPr>
        <w:pStyle w:val="DGTextstand-alone"/>
        <w:rPr>
          <w:lang w:val="en-IE" w:eastAsia="en-IE"/>
        </w:rPr>
      </w:pPr>
      <w:r w:rsidRPr="1D0DAAEE">
        <w:rPr>
          <w:lang w:val="en-IE" w:eastAsia="en-IE"/>
        </w:rPr>
        <w:t>Budgetary guarantee programmes are implemented with reliable, pillar-assessed partners. These partners commit to using their own resources, ensuring alignment of interests with the EU.</w:t>
      </w:r>
    </w:p>
    <w:p w14:paraId="455C39E7" w14:textId="77777777" w:rsidR="00A87A92" w:rsidRPr="00613118" w:rsidRDefault="00023E71" w:rsidP="00172034">
      <w:pPr>
        <w:pStyle w:val="DGTextstand-alone"/>
        <w:numPr>
          <w:ilvl w:val="0"/>
          <w:numId w:val="23"/>
        </w:numPr>
        <w:rPr>
          <w:i/>
          <w:iCs/>
          <w:lang w:val="en-IE" w:eastAsia="en-IE"/>
        </w:rPr>
      </w:pPr>
      <w:r w:rsidRPr="00613118">
        <w:rPr>
          <w:i/>
          <w:iCs/>
          <w:lang w:val="en-IE" w:eastAsia="en-IE"/>
        </w:rPr>
        <w:t>Measures to ensure adequate ex-ante budgetary capacity to absorb guarantee calls</w:t>
      </w:r>
    </w:p>
    <w:p w14:paraId="7E262410" w14:textId="77777777" w:rsidR="00A87A92" w:rsidRPr="00411363" w:rsidRDefault="00023E71" w:rsidP="00A87A92">
      <w:pPr>
        <w:pStyle w:val="DGTextstand-alone"/>
        <w:rPr>
          <w:lang w:val="en-IE" w:eastAsia="en-IE"/>
        </w:rPr>
      </w:pPr>
      <w:r w:rsidRPr="1D0DAAEE">
        <w:rPr>
          <w:lang w:val="en-IE" w:eastAsia="en-IE"/>
        </w:rPr>
        <w:t>Budgetary guarantee programmes are backed by provisioned assets kept in the CPF. The provisioning rate is set in the basic act of each programme to allow the programming of budgetary appropriations to constitute a provision that would allow the absorption of losses without budgetary disruption.</w:t>
      </w:r>
      <w:r>
        <w:rPr>
          <w:lang w:val="en-IE" w:eastAsia="en-IE"/>
        </w:rPr>
        <w:t xml:space="preserve"> </w:t>
      </w:r>
      <w:r w:rsidRPr="1D0DAAEE">
        <w:rPr>
          <w:lang w:val="en-IE" w:eastAsia="en-IE"/>
        </w:rPr>
        <w:t>The Commission ensures annually that the provisioning rate is adequate and aligned with the FR principles and financial programming.</w:t>
      </w:r>
    </w:p>
    <w:p w14:paraId="18426F27" w14:textId="77777777" w:rsidR="00A87A92" w:rsidRPr="00613118" w:rsidRDefault="00023E71" w:rsidP="00172034">
      <w:pPr>
        <w:pStyle w:val="DGTextstand-alone"/>
        <w:numPr>
          <w:ilvl w:val="0"/>
          <w:numId w:val="23"/>
        </w:numPr>
        <w:rPr>
          <w:i/>
          <w:iCs/>
          <w:lang w:val="en-IE" w:eastAsia="en-IE"/>
        </w:rPr>
      </w:pPr>
      <w:r w:rsidRPr="00613118">
        <w:rPr>
          <w:i/>
          <w:iCs/>
          <w:lang w:val="en-IE" w:eastAsia="en-IE"/>
        </w:rPr>
        <w:t>Measures to deal with realised losses exceeding ex-ante estimation</w:t>
      </w:r>
    </w:p>
    <w:p w14:paraId="47AEF007" w14:textId="77777777" w:rsidR="00A87A92" w:rsidRPr="00411363" w:rsidRDefault="00023E71" w:rsidP="00A87A92">
      <w:pPr>
        <w:pStyle w:val="DGTextstand-alone"/>
        <w:rPr>
          <w:lang w:val="en-IE" w:eastAsia="en-IE"/>
        </w:rPr>
      </w:pPr>
      <w:r w:rsidRPr="1D0DAAEE">
        <w:rPr>
          <w:lang w:val="en-IE" w:eastAsia="en-IE"/>
        </w:rPr>
        <w:t>The FR includes two early warning thresholds (50% and 30% of the provisioning rate remaining available). These thresholds allow the Commission to anticipate potential exhaustion of the provisioning and evaluate whether to propose additional provisioning.</w:t>
      </w:r>
      <w:r>
        <w:rPr>
          <w:lang w:val="en-IE" w:eastAsia="en-IE"/>
        </w:rPr>
        <w:t xml:space="preserve"> </w:t>
      </w:r>
      <w:r w:rsidRPr="1D0DAAEE">
        <w:rPr>
          <w:lang w:val="en-IE" w:eastAsia="en-IE"/>
        </w:rPr>
        <w:t>In case of temporary additional liquidity needs, procedures are in place, including transfers between CPF compartments, use of central treasury liquidity, and use of available budgetary space.</w:t>
      </w:r>
    </w:p>
    <w:p w14:paraId="1D3B139D" w14:textId="77777777" w:rsidR="00A87A92" w:rsidRPr="002365B2" w:rsidRDefault="00023E71" w:rsidP="00A87A92">
      <w:pPr>
        <w:pStyle w:val="HEADER5"/>
        <w:spacing w:before="240"/>
        <w:rPr>
          <w:noProof/>
        </w:rPr>
      </w:pPr>
      <w:r w:rsidRPr="002365B2">
        <w:rPr>
          <w:noProof/>
        </w:rPr>
        <w:t>Financial instruments programmes</w:t>
      </w:r>
    </w:p>
    <w:p w14:paraId="7E6C240E" w14:textId="77777777" w:rsidR="00A87A92" w:rsidRPr="00411363" w:rsidRDefault="00023E71" w:rsidP="00A87A92">
      <w:pPr>
        <w:pStyle w:val="DGTextstand-alone"/>
        <w:rPr>
          <w:lang w:val="en-IE" w:eastAsia="en-IE"/>
        </w:rPr>
      </w:pPr>
      <w:r w:rsidRPr="6E6244D7">
        <w:rPr>
          <w:lang w:val="en-IE" w:eastAsia="en-IE"/>
        </w:rPr>
        <w:t xml:space="preserve">The EU's budget has relied on financial instrument programmes for many years. These programmes are used to finance riskier final recipients who have difficulty obtaining funding from commercial lenders/investors. The Commission delegates the implementation of these programmes to the EIB Group or other financial institutions through agreements with the Commission. See </w:t>
      </w:r>
      <w:r>
        <w:rPr>
          <w:lang w:val="en-IE" w:eastAsia="en-IE"/>
        </w:rPr>
        <w:t>N</w:t>
      </w:r>
      <w:r w:rsidRPr="6E6244D7">
        <w:rPr>
          <w:lang w:val="en-IE" w:eastAsia="en-IE"/>
        </w:rPr>
        <w:t xml:space="preserve">ote </w:t>
      </w:r>
      <w:r w:rsidRPr="6E6244D7">
        <w:rPr>
          <w:b/>
          <w:bCs/>
          <w:lang w:val="en-IE" w:eastAsia="en-IE"/>
        </w:rPr>
        <w:t xml:space="preserve">2.4.2.1 </w:t>
      </w:r>
      <w:r w:rsidRPr="6E6244D7">
        <w:rPr>
          <w:lang w:val="en-IE" w:eastAsia="en-IE"/>
        </w:rPr>
        <w:t>for examples of these.</w:t>
      </w:r>
    </w:p>
    <w:p w14:paraId="15B02BDE" w14:textId="77777777" w:rsidR="00A87A92" w:rsidRPr="00411363" w:rsidRDefault="00023E71" w:rsidP="00A87A92">
      <w:pPr>
        <w:pStyle w:val="DGTextstand-alone"/>
        <w:rPr>
          <w:lang w:val="en-IE" w:eastAsia="en-IE"/>
        </w:rPr>
      </w:pPr>
      <w:r w:rsidRPr="6C204149">
        <w:rPr>
          <w:lang w:val="en-IE" w:eastAsia="en-IE"/>
        </w:rPr>
        <w:t>Once a financial contribution to a financial instrument is committed, the necessary funds are transferred to a fiduciary account opened by the financial institution in its name but on behalf of the Commission or to the relevant CPF compartment for financial instruments in the form of guarantees used in blending operations. The financial institution may use these funds to provide loans, issue debt instruments, invest in equity instruments, or cover guarantee calls.</w:t>
      </w:r>
    </w:p>
    <w:p w14:paraId="228FA404" w14:textId="77777777" w:rsidR="00A87A92" w:rsidRPr="00411363" w:rsidRDefault="00023E71" w:rsidP="00A87A92">
      <w:pPr>
        <w:pStyle w:val="DGTextstand-alone"/>
        <w:rPr>
          <w:lang w:val="en-IE" w:eastAsia="en-IE"/>
        </w:rPr>
      </w:pPr>
      <w:r w:rsidRPr="1D0DAAEE">
        <w:rPr>
          <w:lang w:val="en-IE" w:eastAsia="en-IE"/>
        </w:rPr>
        <w:t>The risk associated with these financial instruments is limited to the ceiling set out in the underlying agreements, which is the budgeted amount foreseen for the instrument. As the Commission often bears the first loss, it is likely that some losses to the EU budget will occur.</w:t>
      </w:r>
    </w:p>
    <w:p w14:paraId="7B93E20D" w14:textId="77777777" w:rsidR="00A87A92" w:rsidRDefault="00023E71" w:rsidP="00A87A92">
      <w:pPr>
        <w:pStyle w:val="DGTextstand-alone"/>
        <w:spacing w:before="0"/>
        <w:rPr>
          <w:lang w:val="en-IE" w:eastAsia="en-IE"/>
        </w:rPr>
      </w:pPr>
      <w:r w:rsidRPr="1D0DAAEE">
        <w:rPr>
          <w:lang w:val="en-IE" w:eastAsia="en-IE"/>
        </w:rPr>
        <w:t>The Commission's agreements with financial institutions include strict conditions and obligations to ensure proper management and reporting of EU funds. The proceeds from financial instruments are generally reimbursed to the EU budget.</w:t>
      </w:r>
    </w:p>
    <w:p w14:paraId="7353FA31" w14:textId="0FDE6655" w:rsidR="006F6B0D" w:rsidRDefault="006F6B0D">
      <w:pPr>
        <w:rPr>
          <w:rFonts w:ascii="Verdana" w:hAnsi="Verdana"/>
          <w:noProof/>
          <w:sz w:val="18"/>
          <w:szCs w:val="18"/>
          <w:lang w:val="en-IE" w:eastAsia="en-IE"/>
        </w:rPr>
      </w:pPr>
      <w:r>
        <w:rPr>
          <w:rFonts w:ascii="Verdana" w:hAnsi="Verdana"/>
          <w:noProof/>
          <w:sz w:val="18"/>
          <w:szCs w:val="18"/>
          <w:lang w:val="en-IE" w:eastAsia="en-IE"/>
        </w:rPr>
        <w:br w:type="page"/>
      </w:r>
    </w:p>
    <w:p w14:paraId="77B2122C" w14:textId="77777777" w:rsidR="00ED146E" w:rsidRDefault="00023E71" w:rsidP="00172034">
      <w:pPr>
        <w:pStyle w:val="HEADER2NOTES"/>
        <w:numPr>
          <w:ilvl w:val="1"/>
          <w:numId w:val="15"/>
        </w:numPr>
        <w:spacing w:before="0" w:after="160"/>
        <w:jc w:val="both"/>
        <w:rPr>
          <w:noProof/>
        </w:rPr>
      </w:pPr>
      <w:r>
        <w:rPr>
          <w:noProof/>
        </w:rPr>
        <w:t>CURRENCY RISK</w:t>
      </w:r>
    </w:p>
    <w:p w14:paraId="0570233D" w14:textId="77777777" w:rsidR="00ED146E" w:rsidRPr="00557D0A" w:rsidRDefault="00023E71" w:rsidP="005779E6">
      <w:pPr>
        <w:pStyle w:val="HEADER5"/>
        <w:rPr>
          <w:noProof/>
        </w:rPr>
      </w:pPr>
      <w:r w:rsidRPr="00557D0A">
        <w:rPr>
          <w:noProof/>
        </w:rPr>
        <w:t>Financial instruments exposure of the EU to currency risk at year</w:t>
      </w:r>
      <w:r>
        <w:rPr>
          <w:noProof/>
        </w:rPr>
        <w:t>-</w:t>
      </w:r>
      <w:r w:rsidRPr="00557D0A">
        <w:rPr>
          <w:noProof/>
        </w:rPr>
        <w:t>end – net position</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8"/>
        <w:gridCol w:w="982"/>
        <w:gridCol w:w="981"/>
        <w:gridCol w:w="981"/>
        <w:gridCol w:w="842"/>
        <w:gridCol w:w="1121"/>
        <w:gridCol w:w="953"/>
        <w:gridCol w:w="1100"/>
      </w:tblGrid>
      <w:tr w:rsidR="00807FFE" w14:paraId="47E9EAC5" w14:textId="77777777">
        <w:trPr>
          <w:trHeight w:val="255"/>
        </w:trPr>
        <w:tc>
          <w:tcPr>
            <w:tcW w:w="2798" w:type="dxa"/>
            <w:tcBorders>
              <w:top w:val="nil"/>
              <w:left w:val="nil"/>
              <w:bottom w:val="nil"/>
              <w:right w:val="nil"/>
              <w:tl2br w:val="nil"/>
              <w:tr2bl w:val="nil"/>
            </w:tcBorders>
            <w:tcMar>
              <w:left w:w="60" w:type="dxa"/>
              <w:right w:w="60" w:type="dxa"/>
            </w:tcMar>
            <w:vAlign w:val="bottom"/>
          </w:tcPr>
          <w:p w14:paraId="3A049B60" w14:textId="77777777" w:rsidR="00807FFE" w:rsidRDefault="00807FFE">
            <w:pPr>
              <w:pStyle w:val="DMETW36753BIPCRCY"/>
              <w:rPr>
                <w:rFonts w:ascii="Arial" w:eastAsia="Arial" w:hAnsi="Arial" w:cs="Arial"/>
                <w:noProof/>
                <w:color w:val="000000"/>
                <w:lang w:bidi="en-GB"/>
              </w:rPr>
            </w:pPr>
            <w:bookmarkStart w:id="221" w:name="DOC_TBL00088_1_1"/>
            <w:bookmarkEnd w:id="221"/>
          </w:p>
        </w:tc>
        <w:tc>
          <w:tcPr>
            <w:tcW w:w="982" w:type="dxa"/>
            <w:tcBorders>
              <w:top w:val="nil"/>
              <w:left w:val="nil"/>
              <w:bottom w:val="nil"/>
              <w:right w:val="nil"/>
              <w:tl2br w:val="nil"/>
              <w:tr2bl w:val="nil"/>
            </w:tcBorders>
            <w:tcMar>
              <w:left w:w="60" w:type="dxa"/>
              <w:right w:w="60" w:type="dxa"/>
            </w:tcMar>
            <w:vAlign w:val="bottom"/>
          </w:tcPr>
          <w:p w14:paraId="5DC97EE6" w14:textId="77777777" w:rsidR="00807FFE" w:rsidRDefault="00807FFE">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14:paraId="16163345" w14:textId="77777777" w:rsidR="00807FFE" w:rsidRDefault="00807FFE">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14:paraId="6CB99F40" w14:textId="77777777" w:rsidR="00807FFE" w:rsidRDefault="00807FFE">
            <w:pPr>
              <w:pStyle w:val="DMETW36753BIPCRC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bottom"/>
          </w:tcPr>
          <w:p w14:paraId="281F5B81" w14:textId="77777777" w:rsidR="00807FFE" w:rsidRDefault="00807FFE">
            <w:pPr>
              <w:pStyle w:val="DMETW36753BIPCRC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bottom"/>
          </w:tcPr>
          <w:p w14:paraId="56062413" w14:textId="77777777" w:rsidR="00807FFE" w:rsidRDefault="00807FFE">
            <w:pPr>
              <w:pStyle w:val="DMETW36753BIPCRC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bottom"/>
          </w:tcPr>
          <w:p w14:paraId="44A2E04B" w14:textId="77777777" w:rsidR="00807FFE" w:rsidRDefault="00807FFE">
            <w:pPr>
              <w:pStyle w:val="DMETW36753BIPCRC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bottom"/>
          </w:tcPr>
          <w:p w14:paraId="37836C99" w14:textId="77777777" w:rsidR="00807FFE" w:rsidRDefault="00023E71">
            <w:pPr>
              <w:pStyle w:val="DMETW36753BIPCRC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355C9A00" w14:textId="77777777">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14:paraId="73E06274" w14:textId="77777777" w:rsidR="00807FFE" w:rsidRDefault="00807FFE">
            <w:pPr>
              <w:pStyle w:val="DMETW36753BIPCRCY"/>
              <w:jc w:val="right"/>
              <w:rPr>
                <w:rFonts w:ascii="Verdana" w:eastAsia="Verdana" w:hAnsi="Verdana" w:cs="Verdana"/>
                <w:noProof/>
                <w:color w:val="FFFFFF"/>
              </w:rPr>
            </w:pPr>
          </w:p>
        </w:tc>
        <w:tc>
          <w:tcPr>
            <w:tcW w:w="982" w:type="dxa"/>
            <w:gridSpan w:val="7"/>
            <w:tcBorders>
              <w:top w:val="nil"/>
              <w:left w:val="nil"/>
              <w:bottom w:val="nil"/>
              <w:right w:val="nil"/>
              <w:tl2br w:val="nil"/>
              <w:tr2bl w:val="nil"/>
            </w:tcBorders>
            <w:shd w:val="solid" w:color="016794" w:fill="FFFFFF"/>
            <w:tcMar>
              <w:left w:w="60" w:type="dxa"/>
              <w:right w:w="60" w:type="dxa"/>
            </w:tcMar>
            <w:vAlign w:val="center"/>
          </w:tcPr>
          <w:p w14:paraId="022DE2A6" w14:textId="77777777" w:rsidR="00807FFE" w:rsidRDefault="00023E71">
            <w:pPr>
              <w:pStyle w:val="DMETW36753BIPCRCY"/>
              <w:jc w:val="center"/>
              <w:rPr>
                <w:rFonts w:ascii="Verdana" w:eastAsia="Verdana" w:hAnsi="Verdana" w:cs="Verdana"/>
                <w:noProof/>
                <w:color w:val="FFFFFF"/>
                <w:lang w:bidi="en-GB"/>
              </w:rPr>
            </w:pPr>
            <w:r>
              <w:rPr>
                <w:rFonts w:ascii="Verdana" w:eastAsia="Verdana" w:hAnsi="Verdana" w:cs="Verdana"/>
                <w:noProof/>
                <w:color w:val="FFFFFF"/>
              </w:rPr>
              <w:t>31.12.2025</w:t>
            </w:r>
          </w:p>
        </w:tc>
      </w:tr>
      <w:tr w:rsidR="00807FFE" w14:paraId="6349A325" w14:textId="77777777">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14:paraId="3C8CC579" w14:textId="77777777" w:rsidR="00807FFE" w:rsidRDefault="00807FFE">
            <w:pPr>
              <w:pStyle w:val="DMETW36753BIPCRCY"/>
              <w:jc w:val="right"/>
              <w:rPr>
                <w:rFonts w:ascii="Verdana" w:eastAsia="Verdana" w:hAnsi="Verdana" w:cs="Verdana"/>
                <w:noProof/>
                <w:color w:val="FFFFFF"/>
              </w:rPr>
            </w:pPr>
          </w:p>
        </w:tc>
        <w:tc>
          <w:tcPr>
            <w:tcW w:w="982" w:type="dxa"/>
            <w:tcBorders>
              <w:top w:val="nil"/>
              <w:left w:val="nil"/>
              <w:bottom w:val="nil"/>
              <w:right w:val="nil"/>
              <w:tl2br w:val="nil"/>
              <w:tr2bl w:val="nil"/>
            </w:tcBorders>
            <w:shd w:val="solid" w:color="016794" w:fill="FFFFFF"/>
            <w:tcMar>
              <w:left w:w="60" w:type="dxa"/>
              <w:right w:w="60" w:type="dxa"/>
            </w:tcMar>
            <w:vAlign w:val="center"/>
          </w:tcPr>
          <w:p w14:paraId="7F808AC5" w14:textId="77777777" w:rsidR="00807FFE" w:rsidRDefault="00023E71">
            <w:pPr>
              <w:pStyle w:val="DMETW36753BIPCRCY"/>
              <w:jc w:val="right"/>
              <w:rPr>
                <w:rFonts w:ascii="Verdana" w:eastAsia="Verdana" w:hAnsi="Verdana" w:cs="Verdana"/>
                <w:noProof/>
                <w:color w:val="FFFFFF"/>
              </w:rPr>
            </w:pPr>
            <w:r>
              <w:rPr>
                <w:rFonts w:ascii="Verdana" w:eastAsia="Verdana" w:hAnsi="Verdana" w:cs="Verdana"/>
                <w:noProof/>
                <w:color w:val="FFFFFF"/>
              </w:rPr>
              <w:t>USD</w:t>
            </w:r>
          </w:p>
        </w:tc>
        <w:tc>
          <w:tcPr>
            <w:tcW w:w="981" w:type="dxa"/>
            <w:tcBorders>
              <w:top w:val="nil"/>
              <w:left w:val="nil"/>
              <w:bottom w:val="nil"/>
              <w:right w:val="nil"/>
              <w:tl2br w:val="nil"/>
              <w:tr2bl w:val="nil"/>
            </w:tcBorders>
            <w:shd w:val="solid" w:color="016794" w:fill="FFFFFF"/>
            <w:tcMar>
              <w:left w:w="60" w:type="dxa"/>
              <w:right w:w="60" w:type="dxa"/>
            </w:tcMar>
            <w:vAlign w:val="center"/>
          </w:tcPr>
          <w:p w14:paraId="0158A347" w14:textId="77777777" w:rsidR="00807FFE" w:rsidRDefault="00023E71">
            <w:pPr>
              <w:pStyle w:val="DMETW36753BIPCRCY"/>
              <w:jc w:val="right"/>
              <w:rPr>
                <w:rFonts w:ascii="Verdana" w:eastAsia="Verdana" w:hAnsi="Verdana" w:cs="Verdana"/>
                <w:noProof/>
                <w:color w:val="FFFFFF"/>
              </w:rPr>
            </w:pPr>
            <w:r>
              <w:rPr>
                <w:rFonts w:ascii="Verdana" w:eastAsia="Verdana" w:hAnsi="Verdana" w:cs="Verdana"/>
                <w:noProof/>
                <w:color w:val="FFFFFF"/>
              </w:rPr>
              <w:t>RON</w:t>
            </w:r>
          </w:p>
        </w:tc>
        <w:tc>
          <w:tcPr>
            <w:tcW w:w="981" w:type="dxa"/>
            <w:tcBorders>
              <w:top w:val="nil"/>
              <w:left w:val="nil"/>
              <w:bottom w:val="nil"/>
              <w:right w:val="nil"/>
              <w:tl2br w:val="nil"/>
              <w:tr2bl w:val="nil"/>
            </w:tcBorders>
            <w:shd w:val="solid" w:color="016794" w:fill="FFFFFF"/>
            <w:tcMar>
              <w:left w:w="60" w:type="dxa"/>
              <w:right w:w="60" w:type="dxa"/>
            </w:tcMar>
            <w:vAlign w:val="center"/>
          </w:tcPr>
          <w:p w14:paraId="407C8A13" w14:textId="77777777" w:rsidR="00807FFE" w:rsidRDefault="00023E71">
            <w:pPr>
              <w:pStyle w:val="DMETW36753BIPCRCY"/>
              <w:jc w:val="right"/>
              <w:rPr>
                <w:rFonts w:ascii="Verdana" w:eastAsia="Verdana" w:hAnsi="Verdana" w:cs="Verdana"/>
                <w:noProof/>
                <w:color w:val="FFFFFF"/>
              </w:rPr>
            </w:pPr>
            <w:r>
              <w:rPr>
                <w:rFonts w:ascii="Verdana" w:eastAsia="Verdana" w:hAnsi="Verdana" w:cs="Verdana"/>
                <w:noProof/>
                <w:color w:val="FFFFFF"/>
              </w:rPr>
              <w:t>PLN</w:t>
            </w:r>
          </w:p>
        </w:tc>
        <w:tc>
          <w:tcPr>
            <w:tcW w:w="842" w:type="dxa"/>
            <w:tcBorders>
              <w:top w:val="nil"/>
              <w:left w:val="nil"/>
              <w:bottom w:val="nil"/>
              <w:right w:val="nil"/>
              <w:tl2br w:val="nil"/>
              <w:tr2bl w:val="nil"/>
            </w:tcBorders>
            <w:shd w:val="solid" w:color="016794" w:fill="FFFFFF"/>
            <w:tcMar>
              <w:left w:w="60" w:type="dxa"/>
              <w:right w:w="60" w:type="dxa"/>
            </w:tcMar>
            <w:vAlign w:val="center"/>
          </w:tcPr>
          <w:p w14:paraId="04C9C5FC" w14:textId="77777777" w:rsidR="00807FFE" w:rsidRDefault="00023E71">
            <w:pPr>
              <w:pStyle w:val="DMETW36753BIPCRCY"/>
              <w:jc w:val="right"/>
              <w:rPr>
                <w:rFonts w:ascii="Verdana" w:eastAsia="Verdana" w:hAnsi="Verdana" w:cs="Verdana"/>
                <w:noProof/>
                <w:color w:val="FFFFFF"/>
              </w:rPr>
            </w:pPr>
            <w:r>
              <w:rPr>
                <w:rFonts w:ascii="Verdana" w:eastAsia="Verdana" w:hAnsi="Verdana" w:cs="Verdana"/>
                <w:noProof/>
                <w:color w:val="FFFFFF"/>
              </w:rPr>
              <w:t>SEK</w:t>
            </w:r>
          </w:p>
        </w:tc>
        <w:tc>
          <w:tcPr>
            <w:tcW w:w="1121" w:type="dxa"/>
            <w:tcBorders>
              <w:top w:val="nil"/>
              <w:left w:val="nil"/>
              <w:bottom w:val="nil"/>
              <w:right w:val="nil"/>
              <w:tl2br w:val="nil"/>
              <w:tr2bl w:val="nil"/>
            </w:tcBorders>
            <w:shd w:val="solid" w:color="016794" w:fill="FFFFFF"/>
            <w:tcMar>
              <w:left w:w="60" w:type="dxa"/>
              <w:right w:w="60" w:type="dxa"/>
            </w:tcMar>
            <w:vAlign w:val="center"/>
          </w:tcPr>
          <w:p w14:paraId="4BBD13A3" w14:textId="77777777" w:rsidR="00807FFE" w:rsidRDefault="00023E71">
            <w:pPr>
              <w:pStyle w:val="DMETW36753BIPCRCY"/>
              <w:jc w:val="right"/>
              <w:rPr>
                <w:rFonts w:ascii="Verdana" w:eastAsia="Verdana" w:hAnsi="Verdana" w:cs="Verdana"/>
                <w:noProof/>
                <w:color w:val="FFFFFF"/>
              </w:rPr>
            </w:pPr>
            <w:r>
              <w:rPr>
                <w:rFonts w:ascii="Verdana" w:eastAsia="Verdana" w:hAnsi="Verdana" w:cs="Verdana"/>
                <w:noProof/>
                <w:color w:val="FFFFFF"/>
              </w:rPr>
              <w:t>Other</w:t>
            </w:r>
          </w:p>
        </w:tc>
        <w:tc>
          <w:tcPr>
            <w:tcW w:w="953" w:type="dxa"/>
            <w:tcBorders>
              <w:top w:val="nil"/>
              <w:left w:val="nil"/>
              <w:bottom w:val="nil"/>
              <w:right w:val="nil"/>
              <w:tl2br w:val="nil"/>
              <w:tr2bl w:val="nil"/>
            </w:tcBorders>
            <w:shd w:val="solid" w:color="016794" w:fill="FFFFFF"/>
            <w:tcMar>
              <w:left w:w="60" w:type="dxa"/>
              <w:right w:w="60" w:type="dxa"/>
            </w:tcMar>
            <w:vAlign w:val="center"/>
          </w:tcPr>
          <w:p w14:paraId="2FA72BCF" w14:textId="77777777" w:rsidR="00807FFE" w:rsidRDefault="00023E71">
            <w:pPr>
              <w:pStyle w:val="DMETW36753BIPCRCY"/>
              <w:jc w:val="right"/>
              <w:rPr>
                <w:rFonts w:ascii="Verdana" w:eastAsia="Verdana" w:hAnsi="Verdana" w:cs="Verdana"/>
                <w:noProof/>
                <w:color w:val="FFFFFF"/>
              </w:rPr>
            </w:pPr>
            <w:r>
              <w:rPr>
                <w:rFonts w:ascii="Verdana" w:eastAsia="Verdana" w:hAnsi="Verdana" w:cs="Verdana"/>
                <w:noProof/>
                <w:color w:val="FFFFFF"/>
              </w:rPr>
              <w:t>EUR</w:t>
            </w:r>
          </w:p>
        </w:tc>
        <w:tc>
          <w:tcPr>
            <w:tcW w:w="1100" w:type="dxa"/>
            <w:tcBorders>
              <w:top w:val="nil"/>
              <w:left w:val="nil"/>
              <w:bottom w:val="nil"/>
              <w:right w:val="nil"/>
              <w:tl2br w:val="nil"/>
              <w:tr2bl w:val="nil"/>
            </w:tcBorders>
            <w:shd w:val="solid" w:color="016794" w:fill="FFFFFF"/>
            <w:tcMar>
              <w:left w:w="60" w:type="dxa"/>
              <w:right w:w="60" w:type="dxa"/>
            </w:tcMar>
            <w:vAlign w:val="center"/>
          </w:tcPr>
          <w:p w14:paraId="3B4864A3" w14:textId="77777777" w:rsidR="00807FFE" w:rsidRDefault="00023E71">
            <w:pPr>
              <w:pStyle w:val="DMETW36753BIPCRCY"/>
              <w:jc w:val="right"/>
              <w:rPr>
                <w:rFonts w:ascii="Verdana" w:eastAsia="Verdana" w:hAnsi="Verdana" w:cs="Verdana"/>
                <w:noProof/>
                <w:color w:val="FFFFFF"/>
                <w:lang w:bidi="en-GB"/>
              </w:rPr>
            </w:pPr>
            <w:r>
              <w:rPr>
                <w:rFonts w:ascii="Verdana" w:eastAsia="Verdana" w:hAnsi="Verdana" w:cs="Verdana"/>
                <w:noProof/>
                <w:color w:val="FFFFFF"/>
              </w:rPr>
              <w:t>Total</w:t>
            </w:r>
          </w:p>
        </w:tc>
      </w:tr>
      <w:tr w:rsidR="00807FFE" w14:paraId="0FF39DDC"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1B04ABCB" w14:textId="77777777" w:rsidR="00807FFE" w:rsidRDefault="00023E71">
            <w:pPr>
              <w:pStyle w:val="DMETW36753BIPCRCY"/>
              <w:rPr>
                <w:rFonts w:ascii="Verdana" w:eastAsia="Verdana" w:hAnsi="Verdana" w:cs="Verdana"/>
                <w:b/>
                <w:noProof/>
                <w:color w:val="000000"/>
                <w:sz w:val="18"/>
              </w:rPr>
            </w:pPr>
            <w:r>
              <w:rPr>
                <w:rFonts w:ascii="Verdana" w:eastAsia="Verdana" w:hAnsi="Verdana" w:cs="Verdana"/>
                <w:b/>
                <w:noProof/>
                <w:color w:val="000000"/>
                <w:sz w:val="18"/>
              </w:rPr>
              <w:t>Financial assets</w:t>
            </w:r>
          </w:p>
        </w:tc>
        <w:tc>
          <w:tcPr>
            <w:tcW w:w="982" w:type="dxa"/>
            <w:tcBorders>
              <w:top w:val="nil"/>
              <w:left w:val="nil"/>
              <w:bottom w:val="nil"/>
              <w:right w:val="nil"/>
              <w:tl2br w:val="nil"/>
              <w:tr2bl w:val="nil"/>
            </w:tcBorders>
            <w:tcMar>
              <w:left w:w="60" w:type="dxa"/>
              <w:right w:w="60" w:type="dxa"/>
            </w:tcMar>
            <w:vAlign w:val="center"/>
          </w:tcPr>
          <w:p w14:paraId="1D3F4D0F" w14:textId="77777777" w:rsidR="00807FFE" w:rsidRDefault="00807FFE">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14:paraId="207C08C6" w14:textId="77777777" w:rsidR="00807FFE" w:rsidRDefault="00807FFE">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14:paraId="516962FA" w14:textId="77777777" w:rsidR="00807FFE" w:rsidRDefault="00807FFE">
            <w:pPr>
              <w:pStyle w:val="DMETW36753BIPCRC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center"/>
          </w:tcPr>
          <w:p w14:paraId="530702DC" w14:textId="77777777" w:rsidR="00807FFE" w:rsidRDefault="00807FFE">
            <w:pPr>
              <w:pStyle w:val="DMETW36753BIPCRC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center"/>
          </w:tcPr>
          <w:p w14:paraId="4F059D4B" w14:textId="77777777" w:rsidR="00807FFE" w:rsidRDefault="00807FFE">
            <w:pPr>
              <w:pStyle w:val="DMETW36753BIPCRC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center"/>
          </w:tcPr>
          <w:p w14:paraId="25702B40" w14:textId="77777777" w:rsidR="00807FFE" w:rsidRDefault="00807FFE">
            <w:pPr>
              <w:pStyle w:val="DMETW36753BIPCRC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center"/>
          </w:tcPr>
          <w:p w14:paraId="5B380A65" w14:textId="77777777" w:rsidR="00807FFE" w:rsidRDefault="00807FFE">
            <w:pPr>
              <w:pStyle w:val="DMETW36753BIPCRCY"/>
              <w:rPr>
                <w:rFonts w:ascii="Arial" w:eastAsia="Arial" w:hAnsi="Arial" w:cs="Arial"/>
                <w:noProof/>
                <w:color w:val="000000"/>
                <w:lang w:bidi="en-GB"/>
              </w:rPr>
            </w:pPr>
          </w:p>
        </w:tc>
      </w:tr>
      <w:tr w:rsidR="00807FFE" w14:paraId="59514CCD"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0FFBBA3F" w14:textId="77777777" w:rsidR="00807FFE" w:rsidRDefault="00023E71">
            <w:pPr>
              <w:pStyle w:val="DMETW36753BIPCRCY"/>
              <w:rPr>
                <w:rFonts w:ascii="Verdana" w:eastAsia="Verdana" w:hAnsi="Verdana" w:cs="Verdana"/>
                <w:i/>
                <w:noProof/>
                <w:color w:val="000000"/>
                <w:sz w:val="18"/>
              </w:rPr>
            </w:pPr>
            <w:r>
              <w:rPr>
                <w:rFonts w:ascii="Verdana" w:eastAsia="Verdana" w:hAnsi="Verdana" w:cs="Verdana"/>
                <w:i/>
                <w:noProof/>
                <w:color w:val="000000"/>
                <w:sz w:val="18"/>
              </w:rPr>
              <w:t>Financial assets at AC*</w:t>
            </w:r>
          </w:p>
        </w:tc>
        <w:tc>
          <w:tcPr>
            <w:tcW w:w="982" w:type="dxa"/>
            <w:tcBorders>
              <w:top w:val="nil"/>
              <w:left w:val="nil"/>
              <w:bottom w:val="nil"/>
              <w:right w:val="nil"/>
              <w:tl2br w:val="nil"/>
              <w:tr2bl w:val="nil"/>
            </w:tcBorders>
            <w:tcMar>
              <w:left w:w="60" w:type="dxa"/>
              <w:right w:w="60" w:type="dxa"/>
            </w:tcMar>
            <w:vAlign w:val="center"/>
          </w:tcPr>
          <w:p w14:paraId="4724B4A4"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51</w:t>
            </w:r>
          </w:p>
        </w:tc>
        <w:tc>
          <w:tcPr>
            <w:tcW w:w="981" w:type="dxa"/>
            <w:tcBorders>
              <w:top w:val="nil"/>
              <w:left w:val="nil"/>
              <w:bottom w:val="nil"/>
              <w:right w:val="nil"/>
              <w:tl2br w:val="nil"/>
              <w:tr2bl w:val="nil"/>
            </w:tcBorders>
            <w:tcMar>
              <w:left w:w="60" w:type="dxa"/>
              <w:right w:w="60" w:type="dxa"/>
            </w:tcMar>
            <w:vAlign w:val="center"/>
          </w:tcPr>
          <w:p w14:paraId="6632C26E"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981" w:type="dxa"/>
            <w:tcBorders>
              <w:top w:val="nil"/>
              <w:left w:val="nil"/>
              <w:bottom w:val="nil"/>
              <w:right w:val="nil"/>
              <w:tl2br w:val="nil"/>
              <w:tr2bl w:val="nil"/>
            </w:tcBorders>
            <w:tcMar>
              <w:left w:w="60" w:type="dxa"/>
              <w:right w:w="60" w:type="dxa"/>
            </w:tcMar>
            <w:vAlign w:val="center"/>
          </w:tcPr>
          <w:p w14:paraId="4459E168"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14:paraId="47293EC1"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14:paraId="14594224"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953" w:type="dxa"/>
            <w:tcBorders>
              <w:top w:val="nil"/>
              <w:left w:val="nil"/>
              <w:bottom w:val="nil"/>
              <w:right w:val="nil"/>
              <w:tl2br w:val="nil"/>
              <w:tr2bl w:val="nil"/>
            </w:tcBorders>
            <w:tcMar>
              <w:left w:w="60" w:type="dxa"/>
              <w:right w:w="60" w:type="dxa"/>
            </w:tcMar>
            <w:vAlign w:val="center"/>
          </w:tcPr>
          <w:p w14:paraId="3F4B1241"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548</w:t>
            </w:r>
          </w:p>
        </w:tc>
        <w:tc>
          <w:tcPr>
            <w:tcW w:w="1100" w:type="dxa"/>
            <w:tcBorders>
              <w:top w:val="nil"/>
              <w:left w:val="nil"/>
              <w:bottom w:val="nil"/>
              <w:right w:val="nil"/>
              <w:tl2br w:val="nil"/>
              <w:tr2bl w:val="nil"/>
            </w:tcBorders>
            <w:tcMar>
              <w:left w:w="60" w:type="dxa"/>
              <w:right w:w="60" w:type="dxa"/>
            </w:tcMar>
            <w:vAlign w:val="center"/>
          </w:tcPr>
          <w:p w14:paraId="3E0823C7" w14:textId="77777777" w:rsidR="00807FFE" w:rsidRDefault="00023E71">
            <w:pPr>
              <w:pStyle w:val="DMETW36753BIPCRC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611</w:t>
            </w:r>
          </w:p>
        </w:tc>
      </w:tr>
      <w:tr w:rsidR="00807FFE" w14:paraId="0DD1E6AF"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1EFC4791" w14:textId="77777777" w:rsidR="00807FFE" w:rsidRDefault="00023E71">
            <w:pPr>
              <w:pStyle w:val="DMETW36753BIPCRCY"/>
              <w:rPr>
                <w:rFonts w:ascii="Verdana" w:eastAsia="Verdana" w:hAnsi="Verdana" w:cs="Verdana"/>
                <w:i/>
                <w:noProof/>
                <w:color w:val="000000"/>
                <w:sz w:val="18"/>
              </w:rPr>
            </w:pPr>
            <w:r>
              <w:rPr>
                <w:rFonts w:ascii="Verdana" w:eastAsia="Verdana" w:hAnsi="Verdana" w:cs="Verdana"/>
                <w:i/>
                <w:noProof/>
                <w:color w:val="000000"/>
                <w:sz w:val="18"/>
              </w:rPr>
              <w:t>Financial assets at FVSD</w:t>
            </w:r>
          </w:p>
        </w:tc>
        <w:tc>
          <w:tcPr>
            <w:tcW w:w="982" w:type="dxa"/>
            <w:tcBorders>
              <w:top w:val="nil"/>
              <w:left w:val="nil"/>
              <w:bottom w:val="nil"/>
              <w:right w:val="nil"/>
              <w:tl2br w:val="nil"/>
              <w:tr2bl w:val="nil"/>
            </w:tcBorders>
            <w:tcMar>
              <w:left w:w="60" w:type="dxa"/>
              <w:right w:w="60" w:type="dxa"/>
            </w:tcMar>
            <w:vAlign w:val="center"/>
          </w:tcPr>
          <w:p w14:paraId="4F523927" w14:textId="77777777" w:rsidR="00807FFE" w:rsidRDefault="00807FFE">
            <w:pPr>
              <w:pStyle w:val="DMETW36753BIPCRC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14:paraId="20675ED8" w14:textId="77777777" w:rsidR="00807FFE" w:rsidRDefault="00807FFE">
            <w:pPr>
              <w:pStyle w:val="DMETW36753BIPCRC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14:paraId="38AE377F" w14:textId="77777777" w:rsidR="00807FFE" w:rsidRDefault="00807FFE">
            <w:pPr>
              <w:pStyle w:val="DMETW36753BIPCRCY"/>
              <w:jc w:val="right"/>
              <w:rPr>
                <w:rFonts w:ascii="Verdana" w:eastAsia="Verdana" w:hAnsi="Verdana" w:cs="Verdana"/>
                <w:i/>
                <w:noProof/>
                <w:color w:val="000000"/>
                <w:sz w:val="18"/>
              </w:rPr>
            </w:pPr>
          </w:p>
        </w:tc>
        <w:tc>
          <w:tcPr>
            <w:tcW w:w="842" w:type="dxa"/>
            <w:tcBorders>
              <w:top w:val="nil"/>
              <w:left w:val="nil"/>
              <w:bottom w:val="nil"/>
              <w:right w:val="nil"/>
              <w:tl2br w:val="nil"/>
              <w:tr2bl w:val="nil"/>
            </w:tcBorders>
            <w:tcMar>
              <w:left w:w="60" w:type="dxa"/>
              <w:right w:w="60" w:type="dxa"/>
            </w:tcMar>
            <w:vAlign w:val="center"/>
          </w:tcPr>
          <w:p w14:paraId="0E93D15D" w14:textId="77777777" w:rsidR="00807FFE" w:rsidRDefault="00807FFE">
            <w:pPr>
              <w:pStyle w:val="DMETW36753BIPCRCY"/>
              <w:jc w:val="right"/>
              <w:rPr>
                <w:rFonts w:ascii="Verdana" w:eastAsia="Verdana" w:hAnsi="Verdana" w:cs="Verdana"/>
                <w:i/>
                <w:noProof/>
                <w:color w:val="000000"/>
                <w:sz w:val="18"/>
              </w:rPr>
            </w:pPr>
          </w:p>
        </w:tc>
        <w:tc>
          <w:tcPr>
            <w:tcW w:w="1121" w:type="dxa"/>
            <w:tcBorders>
              <w:top w:val="nil"/>
              <w:left w:val="nil"/>
              <w:bottom w:val="nil"/>
              <w:right w:val="nil"/>
              <w:tl2br w:val="nil"/>
              <w:tr2bl w:val="nil"/>
            </w:tcBorders>
            <w:tcMar>
              <w:left w:w="60" w:type="dxa"/>
              <w:right w:w="60" w:type="dxa"/>
            </w:tcMar>
            <w:vAlign w:val="center"/>
          </w:tcPr>
          <w:p w14:paraId="57D3A889" w14:textId="77777777" w:rsidR="00807FFE" w:rsidRDefault="00807FFE">
            <w:pPr>
              <w:pStyle w:val="DMETW36753BIPCRCY"/>
              <w:jc w:val="right"/>
              <w:rPr>
                <w:rFonts w:ascii="Verdana" w:eastAsia="Verdana" w:hAnsi="Verdana" w:cs="Verdana"/>
                <w:i/>
                <w:noProof/>
                <w:color w:val="000000"/>
                <w:sz w:val="18"/>
              </w:rPr>
            </w:pPr>
          </w:p>
        </w:tc>
        <w:tc>
          <w:tcPr>
            <w:tcW w:w="953" w:type="dxa"/>
            <w:tcBorders>
              <w:top w:val="nil"/>
              <w:left w:val="nil"/>
              <w:bottom w:val="nil"/>
              <w:right w:val="nil"/>
              <w:tl2br w:val="nil"/>
              <w:tr2bl w:val="nil"/>
            </w:tcBorders>
            <w:tcMar>
              <w:left w:w="60" w:type="dxa"/>
              <w:right w:w="60" w:type="dxa"/>
            </w:tcMar>
            <w:vAlign w:val="center"/>
          </w:tcPr>
          <w:p w14:paraId="6DF5821C" w14:textId="77777777" w:rsidR="00807FFE" w:rsidRDefault="00807FFE">
            <w:pPr>
              <w:pStyle w:val="DMETW36753BIPCRCY"/>
              <w:jc w:val="right"/>
              <w:rPr>
                <w:rFonts w:ascii="Verdana" w:eastAsia="Verdana" w:hAnsi="Verdana" w:cs="Verdana"/>
                <w:i/>
                <w:noProof/>
                <w:color w:val="000000"/>
                <w:sz w:val="18"/>
              </w:rPr>
            </w:pPr>
          </w:p>
        </w:tc>
        <w:tc>
          <w:tcPr>
            <w:tcW w:w="1100" w:type="dxa"/>
            <w:tcBorders>
              <w:top w:val="nil"/>
              <w:left w:val="nil"/>
              <w:bottom w:val="nil"/>
              <w:right w:val="nil"/>
              <w:tl2br w:val="nil"/>
              <w:tr2bl w:val="nil"/>
            </w:tcBorders>
            <w:tcMar>
              <w:left w:w="60" w:type="dxa"/>
              <w:right w:w="60" w:type="dxa"/>
            </w:tcMar>
            <w:vAlign w:val="center"/>
          </w:tcPr>
          <w:p w14:paraId="7E8D4D0D" w14:textId="77777777" w:rsidR="00807FFE" w:rsidRDefault="00807FFE">
            <w:pPr>
              <w:pStyle w:val="DMETW36753BIPCRCY"/>
              <w:jc w:val="right"/>
              <w:rPr>
                <w:rFonts w:ascii="Verdana" w:eastAsia="Verdana" w:hAnsi="Verdana" w:cs="Verdana"/>
                <w:i/>
                <w:noProof/>
                <w:color w:val="000000"/>
                <w:sz w:val="18"/>
                <w:lang w:bidi="en-GB"/>
              </w:rPr>
            </w:pPr>
          </w:p>
        </w:tc>
      </w:tr>
      <w:tr w:rsidR="00807FFE" w14:paraId="35E53BEB"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488B7DE6" w14:textId="77777777" w:rsidR="00807FFE" w:rsidRDefault="00023E71">
            <w:pPr>
              <w:pStyle w:val="DMETW36753BIPCRCY"/>
              <w:ind w:left="400" w:firstLine="15"/>
              <w:rPr>
                <w:rFonts w:ascii="Verdana" w:eastAsia="Verdana" w:hAnsi="Verdana" w:cs="Verdana"/>
                <w:i/>
                <w:noProof/>
                <w:color w:val="000000"/>
                <w:sz w:val="18"/>
              </w:rPr>
            </w:pPr>
            <w:r>
              <w:rPr>
                <w:rFonts w:ascii="Verdana" w:eastAsia="Verdana" w:hAnsi="Verdana" w:cs="Verdana"/>
                <w:i/>
                <w:noProof/>
                <w:color w:val="000000"/>
                <w:sz w:val="18"/>
              </w:rPr>
              <w:t>Non-derivatives</w:t>
            </w:r>
          </w:p>
        </w:tc>
        <w:tc>
          <w:tcPr>
            <w:tcW w:w="982" w:type="dxa"/>
            <w:tcBorders>
              <w:top w:val="nil"/>
              <w:left w:val="nil"/>
              <w:bottom w:val="nil"/>
              <w:right w:val="nil"/>
              <w:tl2br w:val="nil"/>
              <w:tr2bl w:val="nil"/>
            </w:tcBorders>
            <w:tcMar>
              <w:left w:w="60" w:type="dxa"/>
              <w:right w:w="60" w:type="dxa"/>
            </w:tcMar>
            <w:vAlign w:val="center"/>
          </w:tcPr>
          <w:p w14:paraId="2A69AE7B"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1 558</w:t>
            </w:r>
          </w:p>
        </w:tc>
        <w:tc>
          <w:tcPr>
            <w:tcW w:w="981" w:type="dxa"/>
            <w:tcBorders>
              <w:top w:val="nil"/>
              <w:left w:val="nil"/>
              <w:bottom w:val="nil"/>
              <w:right w:val="nil"/>
              <w:tl2br w:val="nil"/>
              <w:tr2bl w:val="nil"/>
            </w:tcBorders>
            <w:tcMar>
              <w:left w:w="60" w:type="dxa"/>
              <w:right w:w="60" w:type="dxa"/>
            </w:tcMar>
            <w:vAlign w:val="center"/>
          </w:tcPr>
          <w:p w14:paraId="33577AED"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14:paraId="3E13B28F"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14:paraId="14B5F756"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18</w:t>
            </w:r>
          </w:p>
        </w:tc>
        <w:tc>
          <w:tcPr>
            <w:tcW w:w="1121" w:type="dxa"/>
            <w:tcBorders>
              <w:top w:val="nil"/>
              <w:left w:val="nil"/>
              <w:bottom w:val="nil"/>
              <w:right w:val="nil"/>
              <w:tl2br w:val="nil"/>
              <w:tr2bl w:val="nil"/>
            </w:tcBorders>
            <w:tcMar>
              <w:left w:w="60" w:type="dxa"/>
              <w:right w:w="60" w:type="dxa"/>
            </w:tcMar>
            <w:vAlign w:val="center"/>
          </w:tcPr>
          <w:p w14:paraId="23DE5A7D"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124</w:t>
            </w:r>
          </w:p>
        </w:tc>
        <w:tc>
          <w:tcPr>
            <w:tcW w:w="953" w:type="dxa"/>
            <w:tcBorders>
              <w:top w:val="nil"/>
              <w:left w:val="nil"/>
              <w:bottom w:val="nil"/>
              <w:right w:val="nil"/>
              <w:tl2br w:val="nil"/>
              <w:tr2bl w:val="nil"/>
            </w:tcBorders>
            <w:tcMar>
              <w:left w:w="60" w:type="dxa"/>
              <w:right w:w="60" w:type="dxa"/>
            </w:tcMar>
            <w:vAlign w:val="center"/>
          </w:tcPr>
          <w:p w14:paraId="24422263"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49 380</w:t>
            </w:r>
          </w:p>
        </w:tc>
        <w:tc>
          <w:tcPr>
            <w:tcW w:w="1100" w:type="dxa"/>
            <w:tcBorders>
              <w:top w:val="nil"/>
              <w:left w:val="nil"/>
              <w:bottom w:val="nil"/>
              <w:right w:val="nil"/>
              <w:tl2br w:val="nil"/>
              <w:tr2bl w:val="nil"/>
            </w:tcBorders>
            <w:tcMar>
              <w:left w:w="60" w:type="dxa"/>
              <w:right w:w="60" w:type="dxa"/>
            </w:tcMar>
            <w:vAlign w:val="center"/>
          </w:tcPr>
          <w:p w14:paraId="182DF38E" w14:textId="77777777" w:rsidR="00807FFE" w:rsidRDefault="00023E71">
            <w:pPr>
              <w:pStyle w:val="DMETW36753BIPCRCY"/>
              <w:jc w:val="right"/>
              <w:rPr>
                <w:rFonts w:ascii="Verdana" w:eastAsia="Verdana" w:hAnsi="Verdana" w:cs="Verdana"/>
                <w:i/>
                <w:noProof/>
                <w:color w:val="000000"/>
                <w:sz w:val="18"/>
                <w:lang w:bidi="en-GB"/>
              </w:rPr>
            </w:pPr>
            <w:r>
              <w:rPr>
                <w:rFonts w:ascii="Verdana" w:eastAsia="Verdana" w:hAnsi="Verdana" w:cs="Verdana"/>
                <w:i/>
                <w:noProof/>
                <w:color w:val="000000"/>
                <w:sz w:val="18"/>
              </w:rPr>
              <w:t>51 080</w:t>
            </w:r>
          </w:p>
        </w:tc>
      </w:tr>
      <w:tr w:rsidR="00807FFE" w14:paraId="14919782"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36387C17" w14:textId="77777777" w:rsidR="00807FFE" w:rsidRDefault="00023E71">
            <w:pPr>
              <w:pStyle w:val="DMETW36753BIPCRCY"/>
              <w:ind w:left="400" w:firstLine="15"/>
              <w:rPr>
                <w:rFonts w:ascii="Verdana" w:eastAsia="Verdana" w:hAnsi="Verdana" w:cs="Verdana"/>
                <w:i/>
                <w:noProof/>
                <w:color w:val="000000"/>
                <w:sz w:val="18"/>
              </w:rPr>
            </w:pPr>
            <w:r>
              <w:rPr>
                <w:rFonts w:ascii="Verdana" w:eastAsia="Verdana" w:hAnsi="Verdana" w:cs="Verdana"/>
                <w:i/>
                <w:noProof/>
                <w:color w:val="000000"/>
                <w:sz w:val="18"/>
              </w:rPr>
              <w:t>Derivatives</w:t>
            </w:r>
          </w:p>
        </w:tc>
        <w:tc>
          <w:tcPr>
            <w:tcW w:w="982" w:type="dxa"/>
            <w:tcBorders>
              <w:top w:val="nil"/>
              <w:left w:val="nil"/>
              <w:bottom w:val="nil"/>
              <w:right w:val="nil"/>
              <w:tl2br w:val="nil"/>
              <w:tr2bl w:val="nil"/>
            </w:tcBorders>
            <w:tcMar>
              <w:left w:w="60" w:type="dxa"/>
              <w:right w:w="60" w:type="dxa"/>
            </w:tcMar>
            <w:vAlign w:val="center"/>
          </w:tcPr>
          <w:p w14:paraId="2FFD5067"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(1 122)</w:t>
            </w:r>
          </w:p>
        </w:tc>
        <w:tc>
          <w:tcPr>
            <w:tcW w:w="981" w:type="dxa"/>
            <w:tcBorders>
              <w:top w:val="nil"/>
              <w:left w:val="nil"/>
              <w:bottom w:val="nil"/>
              <w:right w:val="nil"/>
              <w:tl2br w:val="nil"/>
              <w:tr2bl w:val="nil"/>
            </w:tcBorders>
            <w:tcMar>
              <w:left w:w="60" w:type="dxa"/>
              <w:right w:w="60" w:type="dxa"/>
            </w:tcMar>
            <w:vAlign w:val="center"/>
          </w:tcPr>
          <w:p w14:paraId="2402554A"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87</w:t>
            </w:r>
          </w:p>
        </w:tc>
        <w:tc>
          <w:tcPr>
            <w:tcW w:w="981" w:type="dxa"/>
            <w:tcBorders>
              <w:top w:val="nil"/>
              <w:left w:val="nil"/>
              <w:bottom w:val="nil"/>
              <w:right w:val="nil"/>
              <w:tl2br w:val="nil"/>
              <w:tr2bl w:val="nil"/>
            </w:tcBorders>
            <w:tcMar>
              <w:left w:w="60" w:type="dxa"/>
              <w:right w:w="60" w:type="dxa"/>
            </w:tcMar>
            <w:vAlign w:val="center"/>
          </w:tcPr>
          <w:p w14:paraId="088EB182"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134</w:t>
            </w:r>
          </w:p>
        </w:tc>
        <w:tc>
          <w:tcPr>
            <w:tcW w:w="842" w:type="dxa"/>
            <w:tcBorders>
              <w:top w:val="nil"/>
              <w:left w:val="nil"/>
              <w:bottom w:val="nil"/>
              <w:right w:val="nil"/>
              <w:tl2br w:val="nil"/>
              <w:tr2bl w:val="nil"/>
            </w:tcBorders>
            <w:tcMar>
              <w:left w:w="60" w:type="dxa"/>
              <w:right w:w="60" w:type="dxa"/>
            </w:tcMar>
            <w:vAlign w:val="center"/>
          </w:tcPr>
          <w:p w14:paraId="653C6F7D"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93</w:t>
            </w:r>
          </w:p>
        </w:tc>
        <w:tc>
          <w:tcPr>
            <w:tcW w:w="1121" w:type="dxa"/>
            <w:tcBorders>
              <w:top w:val="nil"/>
              <w:left w:val="nil"/>
              <w:bottom w:val="nil"/>
              <w:right w:val="nil"/>
              <w:tl2br w:val="nil"/>
              <w:tr2bl w:val="nil"/>
            </w:tcBorders>
            <w:tcMar>
              <w:left w:w="60" w:type="dxa"/>
              <w:right w:w="60" w:type="dxa"/>
            </w:tcMar>
            <w:vAlign w:val="center"/>
          </w:tcPr>
          <w:p w14:paraId="5A8DEF24"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164</w:t>
            </w:r>
          </w:p>
        </w:tc>
        <w:tc>
          <w:tcPr>
            <w:tcW w:w="953" w:type="dxa"/>
            <w:tcBorders>
              <w:top w:val="nil"/>
              <w:left w:val="nil"/>
              <w:bottom w:val="nil"/>
              <w:right w:val="nil"/>
              <w:tl2br w:val="nil"/>
              <w:tr2bl w:val="nil"/>
            </w:tcBorders>
            <w:tcMar>
              <w:left w:w="60" w:type="dxa"/>
              <w:right w:w="60" w:type="dxa"/>
            </w:tcMar>
            <w:vAlign w:val="center"/>
          </w:tcPr>
          <w:p w14:paraId="121C2507"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2 229</w:t>
            </w:r>
          </w:p>
        </w:tc>
        <w:tc>
          <w:tcPr>
            <w:tcW w:w="1100" w:type="dxa"/>
            <w:tcBorders>
              <w:top w:val="nil"/>
              <w:left w:val="nil"/>
              <w:bottom w:val="nil"/>
              <w:right w:val="nil"/>
              <w:tl2br w:val="nil"/>
              <w:tr2bl w:val="nil"/>
            </w:tcBorders>
            <w:tcMar>
              <w:left w:w="60" w:type="dxa"/>
              <w:right w:w="60" w:type="dxa"/>
            </w:tcMar>
            <w:vAlign w:val="center"/>
          </w:tcPr>
          <w:p w14:paraId="5CC53510" w14:textId="77777777" w:rsidR="00807FFE" w:rsidRDefault="00023E71">
            <w:pPr>
              <w:pStyle w:val="DMETW36753BIPCRCY"/>
              <w:jc w:val="right"/>
              <w:rPr>
                <w:rFonts w:ascii="Verdana" w:eastAsia="Verdana" w:hAnsi="Verdana" w:cs="Verdana"/>
                <w:i/>
                <w:noProof/>
                <w:color w:val="000000"/>
                <w:sz w:val="18"/>
                <w:lang w:bidi="en-GB"/>
              </w:rPr>
            </w:pPr>
            <w:r>
              <w:rPr>
                <w:rFonts w:ascii="Verdana" w:eastAsia="Verdana" w:hAnsi="Verdana" w:cs="Verdana"/>
                <w:i/>
                <w:noProof/>
                <w:color w:val="000000"/>
                <w:sz w:val="18"/>
              </w:rPr>
              <w:t>1 585</w:t>
            </w:r>
          </w:p>
        </w:tc>
      </w:tr>
      <w:tr w:rsidR="00807FFE" w14:paraId="0D2AFB3E"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306E10E6" w14:textId="77777777" w:rsidR="00807FFE" w:rsidRDefault="00023E71">
            <w:pPr>
              <w:pStyle w:val="DMETW36753BIPCRCY"/>
              <w:rPr>
                <w:rFonts w:ascii="Verdana" w:eastAsia="Verdana" w:hAnsi="Verdana" w:cs="Verdana"/>
                <w:i/>
                <w:noProof/>
                <w:color w:val="000000"/>
                <w:sz w:val="18"/>
              </w:rPr>
            </w:pPr>
            <w:r>
              <w:rPr>
                <w:rFonts w:ascii="Verdana" w:eastAsia="Verdana" w:hAnsi="Verdana" w:cs="Verdana"/>
                <w:i/>
                <w:noProof/>
                <w:color w:val="000000"/>
                <w:sz w:val="18"/>
              </w:rPr>
              <w:t>Receivables**</w:t>
            </w:r>
          </w:p>
        </w:tc>
        <w:tc>
          <w:tcPr>
            <w:tcW w:w="982" w:type="dxa"/>
            <w:tcBorders>
              <w:top w:val="nil"/>
              <w:left w:val="nil"/>
              <w:bottom w:val="nil"/>
              <w:right w:val="nil"/>
              <w:tl2br w:val="nil"/>
              <w:tr2bl w:val="nil"/>
            </w:tcBorders>
            <w:tcMar>
              <w:left w:w="60" w:type="dxa"/>
              <w:right w:w="60" w:type="dxa"/>
            </w:tcMar>
            <w:vAlign w:val="center"/>
          </w:tcPr>
          <w:p w14:paraId="098B03A7"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138</w:t>
            </w:r>
          </w:p>
        </w:tc>
        <w:tc>
          <w:tcPr>
            <w:tcW w:w="981" w:type="dxa"/>
            <w:tcBorders>
              <w:top w:val="nil"/>
              <w:left w:val="nil"/>
              <w:bottom w:val="nil"/>
              <w:right w:val="nil"/>
              <w:tl2br w:val="nil"/>
              <w:tr2bl w:val="nil"/>
            </w:tcBorders>
            <w:tcMar>
              <w:left w:w="60" w:type="dxa"/>
              <w:right w:w="60" w:type="dxa"/>
            </w:tcMar>
            <w:vAlign w:val="center"/>
          </w:tcPr>
          <w:p w14:paraId="3517C4B5"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981" w:type="dxa"/>
            <w:tcBorders>
              <w:top w:val="nil"/>
              <w:left w:val="nil"/>
              <w:bottom w:val="nil"/>
              <w:right w:val="nil"/>
              <w:tl2br w:val="nil"/>
              <w:tr2bl w:val="nil"/>
            </w:tcBorders>
            <w:tcMar>
              <w:left w:w="60" w:type="dxa"/>
              <w:right w:w="60" w:type="dxa"/>
            </w:tcMar>
            <w:vAlign w:val="center"/>
          </w:tcPr>
          <w:p w14:paraId="6BE21F94"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84</w:t>
            </w:r>
          </w:p>
        </w:tc>
        <w:tc>
          <w:tcPr>
            <w:tcW w:w="842" w:type="dxa"/>
            <w:tcBorders>
              <w:top w:val="nil"/>
              <w:left w:val="nil"/>
              <w:bottom w:val="nil"/>
              <w:right w:val="nil"/>
              <w:tl2br w:val="nil"/>
              <w:tr2bl w:val="nil"/>
            </w:tcBorders>
            <w:tcMar>
              <w:left w:w="60" w:type="dxa"/>
              <w:right w:w="60" w:type="dxa"/>
            </w:tcMar>
            <w:vAlign w:val="center"/>
          </w:tcPr>
          <w:p w14:paraId="5CE26A13"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121" w:type="dxa"/>
            <w:tcBorders>
              <w:top w:val="nil"/>
              <w:left w:val="nil"/>
              <w:bottom w:val="nil"/>
              <w:right w:val="nil"/>
              <w:tl2br w:val="nil"/>
              <w:tr2bl w:val="nil"/>
            </w:tcBorders>
            <w:tcMar>
              <w:left w:w="60" w:type="dxa"/>
              <w:right w:w="60" w:type="dxa"/>
            </w:tcMar>
            <w:vAlign w:val="center"/>
          </w:tcPr>
          <w:p w14:paraId="750C37BC"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159</w:t>
            </w:r>
          </w:p>
        </w:tc>
        <w:tc>
          <w:tcPr>
            <w:tcW w:w="953" w:type="dxa"/>
            <w:tcBorders>
              <w:top w:val="nil"/>
              <w:left w:val="nil"/>
              <w:bottom w:val="nil"/>
              <w:right w:val="nil"/>
              <w:tl2br w:val="nil"/>
              <w:tr2bl w:val="nil"/>
            </w:tcBorders>
            <w:tcMar>
              <w:left w:w="60" w:type="dxa"/>
              <w:right w:w="60" w:type="dxa"/>
            </w:tcMar>
            <w:vAlign w:val="center"/>
          </w:tcPr>
          <w:p w14:paraId="70C32985"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3 351</w:t>
            </w:r>
          </w:p>
        </w:tc>
        <w:tc>
          <w:tcPr>
            <w:tcW w:w="1100" w:type="dxa"/>
            <w:tcBorders>
              <w:top w:val="nil"/>
              <w:left w:val="nil"/>
              <w:bottom w:val="nil"/>
              <w:right w:val="nil"/>
              <w:tl2br w:val="nil"/>
              <w:tr2bl w:val="nil"/>
            </w:tcBorders>
            <w:tcMar>
              <w:left w:w="60" w:type="dxa"/>
              <w:right w:w="60" w:type="dxa"/>
            </w:tcMar>
            <w:vAlign w:val="center"/>
          </w:tcPr>
          <w:p w14:paraId="0A1CC7D5" w14:textId="77777777" w:rsidR="00807FFE" w:rsidRDefault="00023E71">
            <w:pPr>
              <w:pStyle w:val="DMETW36753BIPCRCY"/>
              <w:jc w:val="right"/>
              <w:rPr>
                <w:rFonts w:ascii="Verdana" w:eastAsia="Verdana" w:hAnsi="Verdana" w:cs="Verdana"/>
                <w:i/>
                <w:noProof/>
                <w:color w:val="000000"/>
                <w:sz w:val="18"/>
                <w:lang w:bidi="en-GB"/>
              </w:rPr>
            </w:pPr>
            <w:r>
              <w:rPr>
                <w:rFonts w:ascii="Verdana" w:eastAsia="Verdana" w:hAnsi="Verdana" w:cs="Verdana"/>
                <w:i/>
                <w:noProof/>
                <w:color w:val="000000"/>
                <w:sz w:val="18"/>
              </w:rPr>
              <w:t>3 742</w:t>
            </w:r>
          </w:p>
        </w:tc>
      </w:tr>
      <w:tr w:rsidR="00807FFE" w14:paraId="49C6DAE8" w14:textId="77777777">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14:paraId="44F52A3A" w14:textId="77777777" w:rsidR="00807FFE" w:rsidRDefault="00023E71">
            <w:pPr>
              <w:pStyle w:val="DMETW36753BIPCRCY"/>
              <w:rPr>
                <w:rFonts w:ascii="Verdana" w:eastAsia="Verdana" w:hAnsi="Verdana" w:cs="Verdana"/>
                <w:i/>
                <w:noProof/>
                <w:color w:val="000000"/>
                <w:sz w:val="18"/>
              </w:rPr>
            </w:pPr>
            <w:r>
              <w:rPr>
                <w:rFonts w:ascii="Verdana" w:eastAsia="Verdana" w:hAnsi="Verdana" w:cs="Verdana"/>
                <w:i/>
                <w:noProof/>
                <w:color w:val="000000"/>
                <w:sz w:val="18"/>
              </w:rPr>
              <w:t>Cash and cash equivalents</w:t>
            </w:r>
          </w:p>
        </w:tc>
        <w:tc>
          <w:tcPr>
            <w:tcW w:w="982" w:type="dxa"/>
            <w:tcBorders>
              <w:top w:val="nil"/>
              <w:left w:val="nil"/>
              <w:bottom w:val="single" w:sz="4" w:space="0" w:color="016794"/>
              <w:right w:val="nil"/>
              <w:tl2br w:val="nil"/>
              <w:tr2bl w:val="nil"/>
            </w:tcBorders>
            <w:tcMar>
              <w:left w:w="60" w:type="dxa"/>
              <w:right w:w="60" w:type="dxa"/>
            </w:tcMar>
            <w:vAlign w:val="center"/>
          </w:tcPr>
          <w:p w14:paraId="0C61CF76"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219</w:t>
            </w:r>
          </w:p>
        </w:tc>
        <w:tc>
          <w:tcPr>
            <w:tcW w:w="981" w:type="dxa"/>
            <w:tcBorders>
              <w:top w:val="nil"/>
              <w:left w:val="nil"/>
              <w:bottom w:val="single" w:sz="4" w:space="0" w:color="016794"/>
              <w:right w:val="nil"/>
              <w:tl2br w:val="nil"/>
              <w:tr2bl w:val="nil"/>
            </w:tcBorders>
            <w:tcMar>
              <w:left w:w="60" w:type="dxa"/>
              <w:right w:w="60" w:type="dxa"/>
            </w:tcMar>
            <w:vAlign w:val="center"/>
          </w:tcPr>
          <w:p w14:paraId="1F6093EC"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594</w:t>
            </w:r>
          </w:p>
        </w:tc>
        <w:tc>
          <w:tcPr>
            <w:tcW w:w="981" w:type="dxa"/>
            <w:tcBorders>
              <w:top w:val="nil"/>
              <w:left w:val="nil"/>
              <w:bottom w:val="single" w:sz="4" w:space="0" w:color="016794"/>
              <w:right w:val="nil"/>
              <w:tl2br w:val="nil"/>
              <w:tr2bl w:val="nil"/>
            </w:tcBorders>
            <w:tcMar>
              <w:left w:w="60" w:type="dxa"/>
              <w:right w:w="60" w:type="dxa"/>
            </w:tcMar>
            <w:vAlign w:val="center"/>
          </w:tcPr>
          <w:p w14:paraId="57178519"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1 480</w:t>
            </w:r>
          </w:p>
        </w:tc>
        <w:tc>
          <w:tcPr>
            <w:tcW w:w="842" w:type="dxa"/>
            <w:tcBorders>
              <w:top w:val="nil"/>
              <w:left w:val="nil"/>
              <w:bottom w:val="single" w:sz="4" w:space="0" w:color="016794"/>
              <w:right w:val="nil"/>
              <w:tl2br w:val="nil"/>
              <w:tr2bl w:val="nil"/>
            </w:tcBorders>
            <w:tcMar>
              <w:left w:w="60" w:type="dxa"/>
              <w:right w:w="60" w:type="dxa"/>
            </w:tcMar>
            <w:vAlign w:val="center"/>
          </w:tcPr>
          <w:p w14:paraId="3C59EB0C"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612</w:t>
            </w:r>
          </w:p>
        </w:tc>
        <w:tc>
          <w:tcPr>
            <w:tcW w:w="1121" w:type="dxa"/>
            <w:tcBorders>
              <w:top w:val="nil"/>
              <w:left w:val="nil"/>
              <w:bottom w:val="single" w:sz="4" w:space="0" w:color="016794"/>
              <w:right w:val="nil"/>
              <w:tl2br w:val="nil"/>
              <w:tr2bl w:val="nil"/>
            </w:tcBorders>
            <w:tcMar>
              <w:left w:w="60" w:type="dxa"/>
              <w:right w:w="60" w:type="dxa"/>
            </w:tcMar>
            <w:vAlign w:val="center"/>
          </w:tcPr>
          <w:p w14:paraId="609AF277"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1 517</w:t>
            </w:r>
          </w:p>
        </w:tc>
        <w:tc>
          <w:tcPr>
            <w:tcW w:w="953" w:type="dxa"/>
            <w:tcBorders>
              <w:top w:val="nil"/>
              <w:left w:val="nil"/>
              <w:bottom w:val="single" w:sz="4" w:space="0" w:color="016794"/>
              <w:right w:val="nil"/>
              <w:tl2br w:val="nil"/>
              <w:tr2bl w:val="nil"/>
            </w:tcBorders>
            <w:tcMar>
              <w:left w:w="60" w:type="dxa"/>
              <w:right w:w="60" w:type="dxa"/>
            </w:tcMar>
            <w:vAlign w:val="center"/>
          </w:tcPr>
          <w:p w14:paraId="3354A788"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98 619</w:t>
            </w:r>
          </w:p>
        </w:tc>
        <w:tc>
          <w:tcPr>
            <w:tcW w:w="1100" w:type="dxa"/>
            <w:tcBorders>
              <w:top w:val="nil"/>
              <w:left w:val="nil"/>
              <w:bottom w:val="single" w:sz="4" w:space="0" w:color="016794"/>
              <w:right w:val="nil"/>
              <w:tl2br w:val="nil"/>
              <w:tr2bl w:val="nil"/>
            </w:tcBorders>
            <w:tcMar>
              <w:left w:w="60" w:type="dxa"/>
              <w:right w:w="60" w:type="dxa"/>
            </w:tcMar>
            <w:vAlign w:val="center"/>
          </w:tcPr>
          <w:p w14:paraId="51ABE040" w14:textId="77777777" w:rsidR="00807FFE" w:rsidRDefault="00023E71">
            <w:pPr>
              <w:pStyle w:val="DMETW36753BIPCRCY"/>
              <w:jc w:val="right"/>
              <w:rPr>
                <w:rFonts w:ascii="Verdana" w:eastAsia="Verdana" w:hAnsi="Verdana" w:cs="Verdana"/>
                <w:i/>
                <w:noProof/>
                <w:color w:val="000000"/>
                <w:sz w:val="18"/>
                <w:lang w:bidi="en-GB"/>
              </w:rPr>
            </w:pPr>
            <w:r>
              <w:rPr>
                <w:rFonts w:ascii="Verdana" w:eastAsia="Verdana" w:hAnsi="Verdana" w:cs="Verdana"/>
                <w:i/>
                <w:noProof/>
                <w:color w:val="000000"/>
                <w:sz w:val="18"/>
              </w:rPr>
              <w:t>103 041</w:t>
            </w:r>
          </w:p>
        </w:tc>
      </w:tr>
      <w:tr w:rsidR="00807FFE" w14:paraId="4E74FA17" w14:textId="77777777">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14:paraId="6CC8C015" w14:textId="77777777" w:rsidR="00807FFE" w:rsidRDefault="00807FFE">
            <w:pPr>
              <w:pStyle w:val="DMETW36753BIPCRC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14:paraId="6C7DE29B"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845</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346B539D"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694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147378E4"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1 698</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14:paraId="2CF187EA"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725</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14:paraId="48F7E19E"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1 972</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14:paraId="68973A6B"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154 127</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14:paraId="0CA91AC7" w14:textId="77777777" w:rsidR="00807FFE" w:rsidRDefault="00023E71">
            <w:pPr>
              <w:pStyle w:val="DMETW36753BIPCRCY"/>
              <w:jc w:val="right"/>
              <w:rPr>
                <w:rFonts w:ascii="Verdana" w:eastAsia="Verdana" w:hAnsi="Verdana" w:cs="Verdana"/>
                <w:b/>
                <w:noProof/>
                <w:color w:val="000000"/>
                <w:sz w:val="18"/>
                <w:lang w:bidi="en-GB"/>
              </w:rPr>
            </w:pPr>
            <w:r>
              <w:rPr>
                <w:rFonts w:ascii="Verdana" w:eastAsia="Verdana" w:hAnsi="Verdana" w:cs="Verdana"/>
                <w:b/>
                <w:noProof/>
                <w:color w:val="000000"/>
                <w:sz w:val="18"/>
              </w:rPr>
              <w:t>160 060</w:t>
            </w:r>
          </w:p>
        </w:tc>
      </w:tr>
      <w:tr w:rsidR="00807FFE" w14:paraId="1E2FEA7A" w14:textId="77777777">
        <w:trPr>
          <w:trHeight w:val="255"/>
        </w:trPr>
        <w:tc>
          <w:tcPr>
            <w:tcW w:w="2798" w:type="dxa"/>
            <w:tcBorders>
              <w:top w:val="single" w:sz="4" w:space="0" w:color="016794"/>
              <w:left w:val="nil"/>
              <w:bottom w:val="nil"/>
              <w:right w:val="nil"/>
              <w:tl2br w:val="nil"/>
              <w:tr2bl w:val="nil"/>
            </w:tcBorders>
            <w:tcMar>
              <w:left w:w="60" w:type="dxa"/>
              <w:right w:w="60" w:type="dxa"/>
            </w:tcMar>
            <w:vAlign w:val="center"/>
          </w:tcPr>
          <w:p w14:paraId="78AB2E3A" w14:textId="77777777" w:rsidR="00807FFE" w:rsidRDefault="00023E71">
            <w:pPr>
              <w:pStyle w:val="DMETW36753BIPCRCY"/>
              <w:rPr>
                <w:rFonts w:ascii="Verdana" w:eastAsia="Verdana" w:hAnsi="Verdana" w:cs="Verdana"/>
                <w:b/>
                <w:noProof/>
                <w:color w:val="000000"/>
                <w:sz w:val="18"/>
              </w:rPr>
            </w:pPr>
            <w:r>
              <w:rPr>
                <w:rFonts w:ascii="Verdana" w:eastAsia="Verdana" w:hAnsi="Verdana" w:cs="Verdana"/>
                <w:b/>
                <w:noProof/>
                <w:color w:val="000000"/>
                <w:sz w:val="18"/>
              </w:rPr>
              <w:t>Financial liabilities</w:t>
            </w:r>
          </w:p>
        </w:tc>
        <w:tc>
          <w:tcPr>
            <w:tcW w:w="982" w:type="dxa"/>
            <w:tcBorders>
              <w:top w:val="single" w:sz="4" w:space="0" w:color="016794"/>
              <w:left w:val="nil"/>
              <w:bottom w:val="nil"/>
              <w:right w:val="nil"/>
              <w:tl2br w:val="nil"/>
              <w:tr2bl w:val="nil"/>
            </w:tcBorders>
            <w:tcMar>
              <w:left w:w="60" w:type="dxa"/>
              <w:right w:w="60" w:type="dxa"/>
            </w:tcMar>
            <w:vAlign w:val="center"/>
          </w:tcPr>
          <w:p w14:paraId="5A195A29" w14:textId="77777777" w:rsidR="00807FFE" w:rsidRDefault="00807FFE">
            <w:pPr>
              <w:pStyle w:val="DMETW36753BIPCRC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14:paraId="19A4B0BC" w14:textId="77777777" w:rsidR="00807FFE" w:rsidRDefault="00807FFE">
            <w:pPr>
              <w:pStyle w:val="DMETW36753BIPCRC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14:paraId="5E1CEDF8" w14:textId="77777777" w:rsidR="00807FFE" w:rsidRDefault="00807FFE">
            <w:pPr>
              <w:pStyle w:val="DMETW36753BIPCRCY"/>
              <w:rPr>
                <w:rFonts w:ascii="Arial" w:eastAsia="Arial" w:hAnsi="Arial" w:cs="Arial"/>
                <w:noProof/>
                <w:color w:val="000000"/>
              </w:rPr>
            </w:pPr>
          </w:p>
        </w:tc>
        <w:tc>
          <w:tcPr>
            <w:tcW w:w="842" w:type="dxa"/>
            <w:tcBorders>
              <w:top w:val="single" w:sz="4" w:space="0" w:color="016794"/>
              <w:left w:val="nil"/>
              <w:bottom w:val="nil"/>
              <w:right w:val="nil"/>
              <w:tl2br w:val="nil"/>
              <w:tr2bl w:val="nil"/>
            </w:tcBorders>
            <w:tcMar>
              <w:left w:w="60" w:type="dxa"/>
              <w:right w:w="60" w:type="dxa"/>
            </w:tcMar>
            <w:vAlign w:val="center"/>
          </w:tcPr>
          <w:p w14:paraId="16E21C7C" w14:textId="77777777" w:rsidR="00807FFE" w:rsidRDefault="00807FFE">
            <w:pPr>
              <w:pStyle w:val="DMETW36753BIPCRCY"/>
              <w:rPr>
                <w:rFonts w:ascii="Arial" w:eastAsia="Arial" w:hAnsi="Arial" w:cs="Arial"/>
                <w:noProof/>
                <w:color w:val="000000"/>
              </w:rPr>
            </w:pPr>
          </w:p>
        </w:tc>
        <w:tc>
          <w:tcPr>
            <w:tcW w:w="1121" w:type="dxa"/>
            <w:tcBorders>
              <w:top w:val="single" w:sz="4" w:space="0" w:color="016794"/>
              <w:left w:val="nil"/>
              <w:bottom w:val="nil"/>
              <w:right w:val="nil"/>
              <w:tl2br w:val="nil"/>
              <w:tr2bl w:val="nil"/>
            </w:tcBorders>
            <w:tcMar>
              <w:left w:w="60" w:type="dxa"/>
              <w:right w:w="60" w:type="dxa"/>
            </w:tcMar>
            <w:vAlign w:val="center"/>
          </w:tcPr>
          <w:p w14:paraId="7B6B8F45" w14:textId="77777777" w:rsidR="00807FFE" w:rsidRDefault="00807FFE">
            <w:pPr>
              <w:pStyle w:val="DMETW36753BIPCRCY"/>
              <w:rPr>
                <w:rFonts w:ascii="Arial" w:eastAsia="Arial" w:hAnsi="Arial" w:cs="Arial"/>
                <w:noProof/>
                <w:color w:val="000000"/>
              </w:rPr>
            </w:pPr>
          </w:p>
        </w:tc>
        <w:tc>
          <w:tcPr>
            <w:tcW w:w="953" w:type="dxa"/>
            <w:tcBorders>
              <w:top w:val="single" w:sz="4" w:space="0" w:color="016794"/>
              <w:left w:val="nil"/>
              <w:bottom w:val="nil"/>
              <w:right w:val="nil"/>
              <w:tl2br w:val="nil"/>
              <w:tr2bl w:val="nil"/>
            </w:tcBorders>
            <w:tcMar>
              <w:left w:w="60" w:type="dxa"/>
              <w:right w:w="60" w:type="dxa"/>
            </w:tcMar>
            <w:vAlign w:val="center"/>
          </w:tcPr>
          <w:p w14:paraId="68643C2E" w14:textId="77777777" w:rsidR="00807FFE" w:rsidRDefault="00807FFE">
            <w:pPr>
              <w:pStyle w:val="DMETW36753BIPCRCY"/>
              <w:rPr>
                <w:rFonts w:ascii="Arial" w:eastAsia="Arial" w:hAnsi="Arial" w:cs="Arial"/>
                <w:noProof/>
                <w:color w:val="000000"/>
              </w:rPr>
            </w:pPr>
          </w:p>
        </w:tc>
        <w:tc>
          <w:tcPr>
            <w:tcW w:w="1100" w:type="dxa"/>
            <w:tcBorders>
              <w:top w:val="single" w:sz="4" w:space="0" w:color="016794"/>
              <w:left w:val="nil"/>
              <w:bottom w:val="nil"/>
              <w:right w:val="nil"/>
              <w:tl2br w:val="nil"/>
              <w:tr2bl w:val="nil"/>
            </w:tcBorders>
            <w:tcMar>
              <w:left w:w="60" w:type="dxa"/>
              <w:right w:w="60" w:type="dxa"/>
            </w:tcMar>
            <w:vAlign w:val="center"/>
          </w:tcPr>
          <w:p w14:paraId="6865A320" w14:textId="77777777" w:rsidR="00807FFE" w:rsidRDefault="00807FFE">
            <w:pPr>
              <w:pStyle w:val="DMETW36753BIPCRCY"/>
              <w:rPr>
                <w:rFonts w:ascii="Arial" w:eastAsia="Arial" w:hAnsi="Arial" w:cs="Arial"/>
                <w:b/>
                <w:noProof/>
                <w:color w:val="000000"/>
                <w:lang w:bidi="en-GB"/>
              </w:rPr>
            </w:pPr>
          </w:p>
        </w:tc>
      </w:tr>
      <w:tr w:rsidR="00807FFE" w14:paraId="594EFFAF"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2F431AB8" w14:textId="77777777" w:rsidR="00807FFE" w:rsidRDefault="00023E71">
            <w:pPr>
              <w:pStyle w:val="DMETW36753BIPCRCY"/>
              <w:rPr>
                <w:rFonts w:ascii="Verdana" w:eastAsia="Verdana" w:hAnsi="Verdana" w:cs="Verdana"/>
                <w:i/>
                <w:noProof/>
                <w:color w:val="000000"/>
                <w:sz w:val="18"/>
              </w:rPr>
            </w:pPr>
            <w:r>
              <w:rPr>
                <w:rFonts w:ascii="Verdana" w:eastAsia="Verdana" w:hAnsi="Verdana" w:cs="Verdana"/>
                <w:i/>
                <w:noProof/>
                <w:color w:val="000000"/>
                <w:sz w:val="18"/>
              </w:rPr>
              <w:t>Financial guarantee liability</w:t>
            </w:r>
          </w:p>
        </w:tc>
        <w:tc>
          <w:tcPr>
            <w:tcW w:w="982" w:type="dxa"/>
            <w:tcBorders>
              <w:top w:val="nil"/>
              <w:left w:val="nil"/>
              <w:bottom w:val="nil"/>
              <w:right w:val="nil"/>
              <w:tl2br w:val="nil"/>
              <w:tr2bl w:val="nil"/>
            </w:tcBorders>
            <w:tcMar>
              <w:left w:w="60" w:type="dxa"/>
              <w:right w:w="60" w:type="dxa"/>
            </w:tcMar>
            <w:vAlign w:val="center"/>
          </w:tcPr>
          <w:p w14:paraId="3C64DADD"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(469)</w:t>
            </w:r>
          </w:p>
        </w:tc>
        <w:tc>
          <w:tcPr>
            <w:tcW w:w="981" w:type="dxa"/>
            <w:tcBorders>
              <w:top w:val="nil"/>
              <w:left w:val="nil"/>
              <w:bottom w:val="nil"/>
              <w:right w:val="nil"/>
              <w:tl2br w:val="nil"/>
              <w:tr2bl w:val="nil"/>
            </w:tcBorders>
            <w:tcMar>
              <w:left w:w="60" w:type="dxa"/>
              <w:right w:w="60" w:type="dxa"/>
            </w:tcMar>
            <w:vAlign w:val="center"/>
          </w:tcPr>
          <w:p w14:paraId="042D17D8"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(51)</w:t>
            </w:r>
          </w:p>
        </w:tc>
        <w:tc>
          <w:tcPr>
            <w:tcW w:w="981" w:type="dxa"/>
            <w:tcBorders>
              <w:top w:val="nil"/>
              <w:left w:val="nil"/>
              <w:bottom w:val="nil"/>
              <w:right w:val="nil"/>
              <w:tl2br w:val="nil"/>
              <w:tr2bl w:val="nil"/>
            </w:tcBorders>
            <w:tcMar>
              <w:left w:w="60" w:type="dxa"/>
              <w:right w:w="60" w:type="dxa"/>
            </w:tcMar>
            <w:vAlign w:val="center"/>
          </w:tcPr>
          <w:p w14:paraId="50F87EDA"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(77)</w:t>
            </w:r>
          </w:p>
        </w:tc>
        <w:tc>
          <w:tcPr>
            <w:tcW w:w="842" w:type="dxa"/>
            <w:tcBorders>
              <w:top w:val="nil"/>
              <w:left w:val="nil"/>
              <w:bottom w:val="nil"/>
              <w:right w:val="nil"/>
              <w:tl2br w:val="nil"/>
              <w:tr2bl w:val="nil"/>
            </w:tcBorders>
            <w:tcMar>
              <w:left w:w="60" w:type="dxa"/>
              <w:right w:w="60" w:type="dxa"/>
            </w:tcMar>
            <w:vAlign w:val="center"/>
          </w:tcPr>
          <w:p w14:paraId="682752AD"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121" w:type="dxa"/>
            <w:tcBorders>
              <w:top w:val="nil"/>
              <w:left w:val="nil"/>
              <w:bottom w:val="nil"/>
              <w:right w:val="nil"/>
              <w:tl2br w:val="nil"/>
              <w:tr2bl w:val="nil"/>
            </w:tcBorders>
            <w:tcMar>
              <w:left w:w="60" w:type="dxa"/>
              <w:right w:w="60" w:type="dxa"/>
            </w:tcMar>
            <w:vAlign w:val="center"/>
          </w:tcPr>
          <w:p w14:paraId="479B9CC0"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(110)</w:t>
            </w:r>
          </w:p>
        </w:tc>
        <w:tc>
          <w:tcPr>
            <w:tcW w:w="953" w:type="dxa"/>
            <w:tcBorders>
              <w:top w:val="nil"/>
              <w:left w:val="nil"/>
              <w:bottom w:val="nil"/>
              <w:right w:val="nil"/>
              <w:tl2br w:val="nil"/>
              <w:tr2bl w:val="nil"/>
            </w:tcBorders>
            <w:tcMar>
              <w:left w:w="60" w:type="dxa"/>
              <w:right w:w="60" w:type="dxa"/>
            </w:tcMar>
            <w:vAlign w:val="center"/>
          </w:tcPr>
          <w:p w14:paraId="37D94CCA"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(7 012)</w:t>
            </w:r>
          </w:p>
        </w:tc>
        <w:tc>
          <w:tcPr>
            <w:tcW w:w="1100" w:type="dxa"/>
            <w:tcBorders>
              <w:top w:val="nil"/>
              <w:left w:val="nil"/>
              <w:bottom w:val="nil"/>
              <w:right w:val="nil"/>
              <w:tl2br w:val="nil"/>
              <w:tr2bl w:val="nil"/>
            </w:tcBorders>
            <w:tcMar>
              <w:left w:w="60" w:type="dxa"/>
              <w:right w:w="60" w:type="dxa"/>
            </w:tcMar>
            <w:vAlign w:val="center"/>
          </w:tcPr>
          <w:p w14:paraId="2663AF76" w14:textId="77777777" w:rsidR="00807FFE" w:rsidRDefault="00023E71">
            <w:pPr>
              <w:pStyle w:val="DMETW36753BIPCRCY"/>
              <w:jc w:val="right"/>
              <w:rPr>
                <w:rFonts w:ascii="Verdana" w:eastAsia="Verdana" w:hAnsi="Verdana" w:cs="Verdana"/>
                <w:i/>
                <w:noProof/>
                <w:color w:val="000000"/>
                <w:sz w:val="18"/>
                <w:lang w:bidi="en-GB"/>
              </w:rPr>
            </w:pPr>
            <w:r>
              <w:rPr>
                <w:rFonts w:ascii="Verdana" w:eastAsia="Verdana" w:hAnsi="Verdana" w:cs="Verdana"/>
                <w:i/>
                <w:noProof/>
                <w:color w:val="000000"/>
                <w:sz w:val="18"/>
              </w:rPr>
              <w:t>(7 729)</w:t>
            </w:r>
          </w:p>
        </w:tc>
      </w:tr>
      <w:tr w:rsidR="00807FFE" w14:paraId="3C01C078" w14:textId="77777777">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14:paraId="46B3B0CB" w14:textId="77777777" w:rsidR="00807FFE" w:rsidRDefault="00023E71">
            <w:pPr>
              <w:pStyle w:val="DMETW36753BIPCRCY"/>
              <w:rPr>
                <w:rFonts w:ascii="Verdana" w:eastAsia="Verdana" w:hAnsi="Verdana" w:cs="Verdana"/>
                <w:i/>
                <w:noProof/>
                <w:color w:val="000000"/>
                <w:sz w:val="18"/>
              </w:rPr>
            </w:pPr>
            <w:r>
              <w:rPr>
                <w:rFonts w:ascii="Verdana" w:eastAsia="Verdana" w:hAnsi="Verdana" w:cs="Verdana"/>
                <w:i/>
                <w:noProof/>
                <w:color w:val="000000"/>
                <w:sz w:val="18"/>
              </w:rPr>
              <w:t>Financial liabilities at FVSD</w:t>
            </w:r>
          </w:p>
        </w:tc>
        <w:tc>
          <w:tcPr>
            <w:tcW w:w="982" w:type="dxa"/>
            <w:tcBorders>
              <w:top w:val="nil"/>
              <w:left w:val="nil"/>
              <w:bottom w:val="single" w:sz="4" w:space="0" w:color="016794"/>
              <w:right w:val="nil"/>
              <w:tl2br w:val="nil"/>
              <w:tr2bl w:val="nil"/>
            </w:tcBorders>
            <w:tcMar>
              <w:left w:w="60" w:type="dxa"/>
              <w:right w:w="60" w:type="dxa"/>
            </w:tcMar>
            <w:vAlign w:val="center"/>
          </w:tcPr>
          <w:p w14:paraId="76923BE0"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981" w:type="dxa"/>
            <w:tcBorders>
              <w:top w:val="nil"/>
              <w:left w:val="nil"/>
              <w:bottom w:val="single" w:sz="4" w:space="0" w:color="016794"/>
              <w:right w:val="nil"/>
              <w:tl2br w:val="nil"/>
              <w:tr2bl w:val="nil"/>
            </w:tcBorders>
            <w:tcMar>
              <w:left w:w="60" w:type="dxa"/>
              <w:right w:w="60" w:type="dxa"/>
            </w:tcMar>
            <w:vAlign w:val="center"/>
          </w:tcPr>
          <w:p w14:paraId="6310024D"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221</w:t>
            </w:r>
          </w:p>
        </w:tc>
        <w:tc>
          <w:tcPr>
            <w:tcW w:w="981" w:type="dxa"/>
            <w:tcBorders>
              <w:top w:val="nil"/>
              <w:left w:val="nil"/>
              <w:bottom w:val="single" w:sz="4" w:space="0" w:color="016794"/>
              <w:right w:val="nil"/>
              <w:tl2br w:val="nil"/>
              <w:tr2bl w:val="nil"/>
            </w:tcBorders>
            <w:tcMar>
              <w:left w:w="60" w:type="dxa"/>
              <w:right w:w="60" w:type="dxa"/>
            </w:tcMar>
            <w:vAlign w:val="center"/>
          </w:tcPr>
          <w:p w14:paraId="78351C9C"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42" w:type="dxa"/>
            <w:tcBorders>
              <w:top w:val="nil"/>
              <w:left w:val="nil"/>
              <w:bottom w:val="single" w:sz="4" w:space="0" w:color="016794"/>
              <w:right w:val="nil"/>
              <w:tl2br w:val="nil"/>
              <w:tr2bl w:val="nil"/>
            </w:tcBorders>
            <w:tcMar>
              <w:left w:w="60" w:type="dxa"/>
              <w:right w:w="60" w:type="dxa"/>
            </w:tcMar>
            <w:vAlign w:val="center"/>
          </w:tcPr>
          <w:p w14:paraId="2897884E"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21" w:type="dxa"/>
            <w:tcBorders>
              <w:top w:val="nil"/>
              <w:left w:val="nil"/>
              <w:bottom w:val="single" w:sz="4" w:space="0" w:color="016794"/>
              <w:right w:val="nil"/>
              <w:tl2br w:val="nil"/>
              <w:tr2bl w:val="nil"/>
            </w:tcBorders>
            <w:tcMar>
              <w:left w:w="60" w:type="dxa"/>
              <w:right w:w="60" w:type="dxa"/>
            </w:tcMar>
            <w:vAlign w:val="center"/>
          </w:tcPr>
          <w:p w14:paraId="5854E716"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953" w:type="dxa"/>
            <w:tcBorders>
              <w:top w:val="nil"/>
              <w:left w:val="nil"/>
              <w:bottom w:val="single" w:sz="4" w:space="0" w:color="016794"/>
              <w:right w:val="nil"/>
              <w:tl2br w:val="nil"/>
              <w:tr2bl w:val="nil"/>
            </w:tcBorders>
            <w:tcMar>
              <w:left w:w="60" w:type="dxa"/>
              <w:right w:w="60" w:type="dxa"/>
            </w:tcMar>
            <w:vAlign w:val="center"/>
          </w:tcPr>
          <w:p w14:paraId="4C320D29" w14:textId="77777777" w:rsidR="00807FFE" w:rsidRDefault="00023E71">
            <w:pPr>
              <w:pStyle w:val="DMETW36753BIPCRCY"/>
              <w:jc w:val="right"/>
              <w:rPr>
                <w:rFonts w:ascii="Verdana" w:eastAsia="Verdana" w:hAnsi="Verdana" w:cs="Verdana"/>
                <w:i/>
                <w:noProof/>
                <w:color w:val="000000"/>
                <w:sz w:val="18"/>
              </w:rPr>
            </w:pPr>
            <w:r>
              <w:rPr>
                <w:rFonts w:ascii="Verdana" w:eastAsia="Verdana" w:hAnsi="Verdana" w:cs="Verdana"/>
                <w:i/>
                <w:noProof/>
                <w:color w:val="000000"/>
                <w:sz w:val="18"/>
              </w:rPr>
              <w:t xml:space="preserve"> (273)</w:t>
            </w:r>
          </w:p>
        </w:tc>
        <w:tc>
          <w:tcPr>
            <w:tcW w:w="1100" w:type="dxa"/>
            <w:tcBorders>
              <w:top w:val="nil"/>
              <w:left w:val="nil"/>
              <w:bottom w:val="single" w:sz="4" w:space="0" w:color="016794"/>
              <w:right w:val="nil"/>
              <w:tl2br w:val="nil"/>
              <w:tr2bl w:val="nil"/>
            </w:tcBorders>
            <w:tcMar>
              <w:left w:w="60" w:type="dxa"/>
              <w:right w:w="60" w:type="dxa"/>
            </w:tcMar>
            <w:vAlign w:val="center"/>
          </w:tcPr>
          <w:p w14:paraId="372FB363" w14:textId="77777777" w:rsidR="00807FFE" w:rsidRDefault="00023E71">
            <w:pPr>
              <w:pStyle w:val="DMETW36753BIPCRC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(62)</w:t>
            </w:r>
          </w:p>
        </w:tc>
      </w:tr>
      <w:tr w:rsidR="00807FFE" w14:paraId="649AF096" w14:textId="77777777">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14:paraId="2A419DD4" w14:textId="77777777" w:rsidR="00807FFE" w:rsidRDefault="00807FFE">
            <w:pPr>
              <w:pStyle w:val="DMETW36753BIPCRC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14:paraId="32508683"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(475)</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564527C8"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170</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3613F57B"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(77)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14:paraId="36BD30A6"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(9)</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14:paraId="1300164A"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(114)</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14:paraId="0563E163"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(7 285)</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14:paraId="63CA57E6" w14:textId="77777777" w:rsidR="00807FFE" w:rsidRDefault="00023E71">
            <w:pPr>
              <w:pStyle w:val="DMETW36753BIPCRCY"/>
              <w:jc w:val="right"/>
              <w:rPr>
                <w:rFonts w:ascii="Verdana" w:eastAsia="Verdana" w:hAnsi="Verdana" w:cs="Verdana"/>
                <w:b/>
                <w:noProof/>
                <w:color w:val="000000"/>
                <w:sz w:val="18"/>
                <w:lang w:bidi="en-GB"/>
              </w:rPr>
            </w:pPr>
            <w:r>
              <w:rPr>
                <w:rFonts w:ascii="Verdana" w:eastAsia="Verdana" w:hAnsi="Verdana" w:cs="Verdana"/>
                <w:b/>
                <w:noProof/>
                <w:color w:val="000000"/>
                <w:sz w:val="18"/>
              </w:rPr>
              <w:t>(7 790)</w:t>
            </w:r>
          </w:p>
        </w:tc>
      </w:tr>
      <w:tr w:rsidR="00807FFE" w14:paraId="0191DE83" w14:textId="77777777">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14:paraId="270CA91F" w14:textId="77777777" w:rsidR="00807FFE" w:rsidRDefault="00023E71">
            <w:pPr>
              <w:pStyle w:val="DMETW36753BIPCRCY"/>
              <w:rPr>
                <w:rFonts w:ascii="Verdana" w:eastAsia="Verdana" w:hAnsi="Verdana" w:cs="Verdana"/>
                <w:b/>
                <w:noProof/>
                <w:color w:val="000000"/>
                <w:sz w:val="18"/>
              </w:rPr>
            </w:pPr>
            <w:r>
              <w:rPr>
                <w:rFonts w:ascii="Verdana" w:eastAsia="Verdana" w:hAnsi="Verdana" w:cs="Verdana"/>
                <w:b/>
                <w:noProof/>
                <w:color w:val="000000"/>
                <w:sz w:val="18"/>
              </w:rPr>
              <w:t>Total</w:t>
            </w: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14:paraId="2BC0E30E"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369</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21D34CEE"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864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423B0CD2"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1 621</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14:paraId="6E679D44"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 xml:space="preserve"> 715</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14:paraId="180936C3"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1 858</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14:paraId="34869076"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146 842</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14:paraId="2960CC7F" w14:textId="77777777" w:rsidR="00807FFE" w:rsidRDefault="00023E71">
            <w:pPr>
              <w:pStyle w:val="DMETW36753BIPCRCY"/>
              <w:jc w:val="right"/>
              <w:rPr>
                <w:rFonts w:ascii="Verdana" w:eastAsia="Verdana" w:hAnsi="Verdana" w:cs="Verdana"/>
                <w:b/>
                <w:noProof/>
                <w:color w:val="000000"/>
                <w:sz w:val="18"/>
              </w:rPr>
            </w:pPr>
            <w:r>
              <w:rPr>
                <w:rFonts w:ascii="Verdana" w:eastAsia="Verdana" w:hAnsi="Verdana" w:cs="Verdana"/>
                <w:b/>
                <w:noProof/>
                <w:color w:val="000000"/>
                <w:sz w:val="18"/>
              </w:rPr>
              <w:t>152 269</w:t>
            </w:r>
          </w:p>
        </w:tc>
      </w:tr>
    </w:tbl>
    <w:p w14:paraId="5411E7CF" w14:textId="77777777" w:rsidR="000F7467" w:rsidRPr="00256267" w:rsidRDefault="000F7467" w:rsidP="00256267">
      <w:pPr>
        <w:pStyle w:val="Textstand-alone"/>
        <w:spacing w:before="60" w:after="60"/>
        <w:rPr>
          <w:iCs/>
          <w:sz w:val="12"/>
          <w:szCs w:val="12"/>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8"/>
        <w:gridCol w:w="982"/>
        <w:gridCol w:w="981"/>
        <w:gridCol w:w="981"/>
        <w:gridCol w:w="842"/>
        <w:gridCol w:w="1121"/>
        <w:gridCol w:w="953"/>
        <w:gridCol w:w="1100"/>
      </w:tblGrid>
      <w:tr w:rsidR="00807FFE" w14:paraId="2AC9EE67" w14:textId="77777777">
        <w:trPr>
          <w:trHeight w:val="255"/>
        </w:trPr>
        <w:tc>
          <w:tcPr>
            <w:tcW w:w="2798" w:type="dxa"/>
            <w:tcBorders>
              <w:top w:val="nil"/>
              <w:left w:val="nil"/>
              <w:bottom w:val="nil"/>
              <w:right w:val="nil"/>
              <w:tl2br w:val="nil"/>
              <w:tr2bl w:val="nil"/>
            </w:tcBorders>
            <w:tcMar>
              <w:left w:w="60" w:type="dxa"/>
              <w:right w:w="60" w:type="dxa"/>
            </w:tcMar>
            <w:vAlign w:val="bottom"/>
          </w:tcPr>
          <w:p w14:paraId="4DF6CE16" w14:textId="77777777" w:rsidR="00807FFE" w:rsidRDefault="00807FFE">
            <w:pPr>
              <w:pStyle w:val="DMETW36753BIPCRPY"/>
              <w:rPr>
                <w:rFonts w:ascii="Arial" w:eastAsia="Arial" w:hAnsi="Arial" w:cs="Arial"/>
                <w:noProof/>
                <w:color w:val="000000"/>
                <w:lang w:bidi="en-GB"/>
              </w:rPr>
            </w:pPr>
            <w:bookmarkStart w:id="222" w:name="DOC_TBL00089_1_1"/>
            <w:bookmarkEnd w:id="222"/>
          </w:p>
        </w:tc>
        <w:tc>
          <w:tcPr>
            <w:tcW w:w="982" w:type="dxa"/>
            <w:tcBorders>
              <w:top w:val="nil"/>
              <w:left w:val="nil"/>
              <w:bottom w:val="nil"/>
              <w:right w:val="nil"/>
              <w:tl2br w:val="nil"/>
              <w:tr2bl w:val="nil"/>
            </w:tcBorders>
            <w:tcMar>
              <w:left w:w="60" w:type="dxa"/>
              <w:right w:w="60" w:type="dxa"/>
            </w:tcMar>
            <w:vAlign w:val="bottom"/>
          </w:tcPr>
          <w:p w14:paraId="104CF7CA" w14:textId="77777777" w:rsidR="00807FFE" w:rsidRDefault="00807FFE">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14:paraId="73CAB308" w14:textId="77777777" w:rsidR="00807FFE" w:rsidRDefault="00807FFE">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14:paraId="42433204" w14:textId="77777777" w:rsidR="00807FFE" w:rsidRDefault="00807FFE">
            <w:pPr>
              <w:pStyle w:val="DMETW36753BIPCRP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bottom"/>
          </w:tcPr>
          <w:p w14:paraId="26E2A3E3" w14:textId="77777777" w:rsidR="00807FFE" w:rsidRDefault="00807FFE">
            <w:pPr>
              <w:pStyle w:val="DMETW36753BIPCRP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bottom"/>
          </w:tcPr>
          <w:p w14:paraId="5FB60C89" w14:textId="77777777" w:rsidR="00807FFE" w:rsidRDefault="00807FFE">
            <w:pPr>
              <w:pStyle w:val="DMETW36753BIPCRP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bottom"/>
          </w:tcPr>
          <w:p w14:paraId="660BD223" w14:textId="77777777" w:rsidR="00807FFE" w:rsidRDefault="00807FFE">
            <w:pPr>
              <w:pStyle w:val="DMETW36753BIPCRP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bottom"/>
          </w:tcPr>
          <w:p w14:paraId="6E8977E8" w14:textId="77777777" w:rsidR="00807FFE" w:rsidRDefault="00023E71">
            <w:pPr>
              <w:pStyle w:val="DMETW36753BIPCRP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D3B14AE" w14:textId="77777777">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14:paraId="1FCBA748" w14:textId="77777777" w:rsidR="00807FFE" w:rsidRDefault="00807FFE">
            <w:pPr>
              <w:pStyle w:val="DMETW36753BIPCRPY"/>
              <w:jc w:val="right"/>
              <w:rPr>
                <w:rFonts w:ascii="Verdana" w:eastAsia="Verdana" w:hAnsi="Verdana" w:cs="Verdana"/>
                <w:noProof/>
                <w:color w:val="FFFFFF"/>
              </w:rPr>
            </w:pPr>
          </w:p>
        </w:tc>
        <w:tc>
          <w:tcPr>
            <w:tcW w:w="982" w:type="dxa"/>
            <w:gridSpan w:val="7"/>
            <w:tcBorders>
              <w:top w:val="nil"/>
              <w:left w:val="nil"/>
              <w:bottom w:val="nil"/>
              <w:right w:val="nil"/>
              <w:tl2br w:val="nil"/>
              <w:tr2bl w:val="nil"/>
            </w:tcBorders>
            <w:shd w:val="solid" w:color="016794" w:fill="FFFFFF"/>
            <w:tcMar>
              <w:left w:w="60" w:type="dxa"/>
              <w:right w:w="60" w:type="dxa"/>
            </w:tcMar>
            <w:vAlign w:val="center"/>
          </w:tcPr>
          <w:p w14:paraId="62DD4208" w14:textId="77777777" w:rsidR="00807FFE" w:rsidRDefault="00023E71">
            <w:pPr>
              <w:pStyle w:val="DMETW36753BIPCRPY"/>
              <w:jc w:val="center"/>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457EBE95" w14:textId="77777777">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14:paraId="3E954701" w14:textId="77777777" w:rsidR="00807FFE" w:rsidRDefault="00807FFE">
            <w:pPr>
              <w:pStyle w:val="DMETW36753BIPCRPY"/>
              <w:jc w:val="right"/>
              <w:rPr>
                <w:rFonts w:ascii="Verdana" w:eastAsia="Verdana" w:hAnsi="Verdana" w:cs="Verdana"/>
                <w:noProof/>
                <w:color w:val="FFFFFF"/>
              </w:rPr>
            </w:pPr>
          </w:p>
        </w:tc>
        <w:tc>
          <w:tcPr>
            <w:tcW w:w="982" w:type="dxa"/>
            <w:tcBorders>
              <w:top w:val="nil"/>
              <w:left w:val="nil"/>
              <w:bottom w:val="nil"/>
              <w:right w:val="nil"/>
              <w:tl2br w:val="nil"/>
              <w:tr2bl w:val="nil"/>
            </w:tcBorders>
            <w:shd w:val="solid" w:color="016794" w:fill="FFFFFF"/>
            <w:tcMar>
              <w:left w:w="60" w:type="dxa"/>
              <w:right w:w="60" w:type="dxa"/>
            </w:tcMar>
            <w:vAlign w:val="center"/>
          </w:tcPr>
          <w:p w14:paraId="7FD1CB80" w14:textId="77777777" w:rsidR="00807FFE" w:rsidRDefault="00023E71">
            <w:pPr>
              <w:pStyle w:val="DMETW36753BIPCRPY"/>
              <w:jc w:val="right"/>
              <w:rPr>
                <w:rFonts w:ascii="Verdana" w:eastAsia="Verdana" w:hAnsi="Verdana" w:cs="Verdana"/>
                <w:noProof/>
                <w:color w:val="FFFFFF"/>
              </w:rPr>
            </w:pPr>
            <w:r>
              <w:rPr>
                <w:rFonts w:ascii="Verdana" w:eastAsia="Verdana" w:hAnsi="Verdana" w:cs="Verdana"/>
                <w:noProof/>
                <w:color w:val="FFFFFF"/>
              </w:rPr>
              <w:t>USD</w:t>
            </w:r>
          </w:p>
        </w:tc>
        <w:tc>
          <w:tcPr>
            <w:tcW w:w="981" w:type="dxa"/>
            <w:tcBorders>
              <w:top w:val="nil"/>
              <w:left w:val="nil"/>
              <w:bottom w:val="nil"/>
              <w:right w:val="nil"/>
              <w:tl2br w:val="nil"/>
              <w:tr2bl w:val="nil"/>
            </w:tcBorders>
            <w:shd w:val="solid" w:color="016794" w:fill="FFFFFF"/>
            <w:tcMar>
              <w:left w:w="60" w:type="dxa"/>
              <w:right w:w="60" w:type="dxa"/>
            </w:tcMar>
            <w:vAlign w:val="center"/>
          </w:tcPr>
          <w:p w14:paraId="2E78DB0C" w14:textId="77777777" w:rsidR="00807FFE" w:rsidRDefault="00023E71">
            <w:pPr>
              <w:pStyle w:val="DMETW36753BIPCRPY"/>
              <w:jc w:val="right"/>
              <w:rPr>
                <w:rFonts w:ascii="Verdana" w:eastAsia="Verdana" w:hAnsi="Verdana" w:cs="Verdana"/>
                <w:noProof/>
                <w:color w:val="FFFFFF"/>
              </w:rPr>
            </w:pPr>
            <w:r>
              <w:rPr>
                <w:rFonts w:ascii="Verdana" w:eastAsia="Verdana" w:hAnsi="Verdana" w:cs="Verdana"/>
                <w:noProof/>
                <w:color w:val="FFFFFF"/>
              </w:rPr>
              <w:t>RON</w:t>
            </w:r>
          </w:p>
        </w:tc>
        <w:tc>
          <w:tcPr>
            <w:tcW w:w="981" w:type="dxa"/>
            <w:tcBorders>
              <w:top w:val="nil"/>
              <w:left w:val="nil"/>
              <w:bottom w:val="nil"/>
              <w:right w:val="nil"/>
              <w:tl2br w:val="nil"/>
              <w:tr2bl w:val="nil"/>
            </w:tcBorders>
            <w:shd w:val="solid" w:color="016794" w:fill="FFFFFF"/>
            <w:tcMar>
              <w:left w:w="60" w:type="dxa"/>
              <w:right w:w="60" w:type="dxa"/>
            </w:tcMar>
            <w:vAlign w:val="center"/>
          </w:tcPr>
          <w:p w14:paraId="6D782469" w14:textId="77777777" w:rsidR="00807FFE" w:rsidRDefault="00023E71">
            <w:pPr>
              <w:pStyle w:val="DMETW36753BIPCRPY"/>
              <w:jc w:val="right"/>
              <w:rPr>
                <w:rFonts w:ascii="Verdana" w:eastAsia="Verdana" w:hAnsi="Verdana" w:cs="Verdana"/>
                <w:noProof/>
                <w:color w:val="FFFFFF"/>
              </w:rPr>
            </w:pPr>
            <w:r>
              <w:rPr>
                <w:rFonts w:ascii="Verdana" w:eastAsia="Verdana" w:hAnsi="Verdana" w:cs="Verdana"/>
                <w:noProof/>
                <w:color w:val="FFFFFF"/>
              </w:rPr>
              <w:t>PLN</w:t>
            </w:r>
          </w:p>
        </w:tc>
        <w:tc>
          <w:tcPr>
            <w:tcW w:w="842" w:type="dxa"/>
            <w:tcBorders>
              <w:top w:val="nil"/>
              <w:left w:val="nil"/>
              <w:bottom w:val="nil"/>
              <w:right w:val="nil"/>
              <w:tl2br w:val="nil"/>
              <w:tr2bl w:val="nil"/>
            </w:tcBorders>
            <w:shd w:val="solid" w:color="016794" w:fill="FFFFFF"/>
            <w:tcMar>
              <w:left w:w="60" w:type="dxa"/>
              <w:right w:w="60" w:type="dxa"/>
            </w:tcMar>
            <w:vAlign w:val="center"/>
          </w:tcPr>
          <w:p w14:paraId="3519D42B" w14:textId="77777777" w:rsidR="00807FFE" w:rsidRDefault="00023E71">
            <w:pPr>
              <w:pStyle w:val="DMETW36753BIPCRPY"/>
              <w:jc w:val="right"/>
              <w:rPr>
                <w:rFonts w:ascii="Verdana" w:eastAsia="Verdana" w:hAnsi="Verdana" w:cs="Verdana"/>
                <w:noProof/>
                <w:color w:val="FFFFFF"/>
              </w:rPr>
            </w:pPr>
            <w:r>
              <w:rPr>
                <w:rFonts w:ascii="Verdana" w:eastAsia="Verdana" w:hAnsi="Verdana" w:cs="Verdana"/>
                <w:noProof/>
                <w:color w:val="FFFFFF"/>
              </w:rPr>
              <w:t>SEK</w:t>
            </w:r>
          </w:p>
        </w:tc>
        <w:tc>
          <w:tcPr>
            <w:tcW w:w="1121" w:type="dxa"/>
            <w:tcBorders>
              <w:top w:val="nil"/>
              <w:left w:val="nil"/>
              <w:bottom w:val="nil"/>
              <w:right w:val="nil"/>
              <w:tl2br w:val="nil"/>
              <w:tr2bl w:val="nil"/>
            </w:tcBorders>
            <w:shd w:val="solid" w:color="016794" w:fill="FFFFFF"/>
            <w:tcMar>
              <w:left w:w="60" w:type="dxa"/>
              <w:right w:w="60" w:type="dxa"/>
            </w:tcMar>
            <w:vAlign w:val="center"/>
          </w:tcPr>
          <w:p w14:paraId="3AED518F" w14:textId="77777777" w:rsidR="00807FFE" w:rsidRDefault="00023E71">
            <w:pPr>
              <w:pStyle w:val="DMETW36753BIPCRPY"/>
              <w:jc w:val="right"/>
              <w:rPr>
                <w:rFonts w:ascii="Verdana" w:eastAsia="Verdana" w:hAnsi="Verdana" w:cs="Verdana"/>
                <w:noProof/>
                <w:color w:val="FFFFFF"/>
              </w:rPr>
            </w:pPr>
            <w:r>
              <w:rPr>
                <w:rFonts w:ascii="Verdana" w:eastAsia="Verdana" w:hAnsi="Verdana" w:cs="Verdana"/>
                <w:noProof/>
                <w:color w:val="FFFFFF"/>
              </w:rPr>
              <w:t>Other</w:t>
            </w:r>
          </w:p>
        </w:tc>
        <w:tc>
          <w:tcPr>
            <w:tcW w:w="953" w:type="dxa"/>
            <w:tcBorders>
              <w:top w:val="nil"/>
              <w:left w:val="nil"/>
              <w:bottom w:val="nil"/>
              <w:right w:val="nil"/>
              <w:tl2br w:val="nil"/>
              <w:tr2bl w:val="nil"/>
            </w:tcBorders>
            <w:shd w:val="solid" w:color="016794" w:fill="FFFFFF"/>
            <w:tcMar>
              <w:left w:w="60" w:type="dxa"/>
              <w:right w:w="60" w:type="dxa"/>
            </w:tcMar>
            <w:vAlign w:val="center"/>
          </w:tcPr>
          <w:p w14:paraId="3D5EAFEB" w14:textId="77777777" w:rsidR="00807FFE" w:rsidRDefault="00023E71">
            <w:pPr>
              <w:pStyle w:val="DMETW36753BIPCRPY"/>
              <w:jc w:val="right"/>
              <w:rPr>
                <w:rFonts w:ascii="Verdana" w:eastAsia="Verdana" w:hAnsi="Verdana" w:cs="Verdana"/>
                <w:noProof/>
                <w:color w:val="FFFFFF"/>
              </w:rPr>
            </w:pPr>
            <w:r>
              <w:rPr>
                <w:rFonts w:ascii="Verdana" w:eastAsia="Verdana" w:hAnsi="Verdana" w:cs="Verdana"/>
                <w:noProof/>
                <w:color w:val="FFFFFF"/>
              </w:rPr>
              <w:t>EUR</w:t>
            </w:r>
          </w:p>
        </w:tc>
        <w:tc>
          <w:tcPr>
            <w:tcW w:w="1100" w:type="dxa"/>
            <w:tcBorders>
              <w:top w:val="nil"/>
              <w:left w:val="nil"/>
              <w:bottom w:val="nil"/>
              <w:right w:val="nil"/>
              <w:tl2br w:val="nil"/>
              <w:tr2bl w:val="nil"/>
            </w:tcBorders>
            <w:shd w:val="solid" w:color="016794" w:fill="FFFFFF"/>
            <w:tcMar>
              <w:left w:w="60" w:type="dxa"/>
              <w:right w:w="60" w:type="dxa"/>
            </w:tcMar>
            <w:vAlign w:val="center"/>
          </w:tcPr>
          <w:p w14:paraId="748FA375" w14:textId="77777777" w:rsidR="00807FFE" w:rsidRDefault="00023E71">
            <w:pPr>
              <w:pStyle w:val="DMETW36753BIPCRPY"/>
              <w:jc w:val="right"/>
              <w:rPr>
                <w:rFonts w:ascii="Verdana" w:eastAsia="Verdana" w:hAnsi="Verdana" w:cs="Verdana"/>
                <w:noProof/>
                <w:color w:val="FFFFFF"/>
                <w:lang w:bidi="en-GB"/>
              </w:rPr>
            </w:pPr>
            <w:r>
              <w:rPr>
                <w:rFonts w:ascii="Verdana" w:eastAsia="Verdana" w:hAnsi="Verdana" w:cs="Verdana"/>
                <w:noProof/>
                <w:color w:val="FFFFFF"/>
              </w:rPr>
              <w:t>Total</w:t>
            </w:r>
          </w:p>
        </w:tc>
      </w:tr>
      <w:tr w:rsidR="00807FFE" w14:paraId="167B6CED"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2A62365E" w14:textId="77777777" w:rsidR="00807FFE" w:rsidRDefault="00023E71">
            <w:pPr>
              <w:pStyle w:val="DMETW36753BIPCRPY"/>
              <w:rPr>
                <w:rFonts w:ascii="Verdana" w:eastAsia="Verdana" w:hAnsi="Verdana" w:cs="Verdana"/>
                <w:b/>
                <w:noProof/>
                <w:color w:val="000000"/>
                <w:sz w:val="18"/>
              </w:rPr>
            </w:pPr>
            <w:r>
              <w:rPr>
                <w:rFonts w:ascii="Verdana" w:eastAsia="Verdana" w:hAnsi="Verdana" w:cs="Verdana"/>
                <w:b/>
                <w:noProof/>
                <w:color w:val="000000"/>
                <w:sz w:val="18"/>
              </w:rPr>
              <w:t>Financial assets</w:t>
            </w:r>
          </w:p>
        </w:tc>
        <w:tc>
          <w:tcPr>
            <w:tcW w:w="982" w:type="dxa"/>
            <w:tcBorders>
              <w:top w:val="nil"/>
              <w:left w:val="nil"/>
              <w:bottom w:val="nil"/>
              <w:right w:val="nil"/>
              <w:tl2br w:val="nil"/>
              <w:tr2bl w:val="nil"/>
            </w:tcBorders>
            <w:tcMar>
              <w:left w:w="60" w:type="dxa"/>
              <w:right w:w="60" w:type="dxa"/>
            </w:tcMar>
            <w:vAlign w:val="center"/>
          </w:tcPr>
          <w:p w14:paraId="14CC7EA1" w14:textId="77777777" w:rsidR="00807FFE" w:rsidRDefault="00807FFE">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14:paraId="0422AF19" w14:textId="77777777" w:rsidR="00807FFE" w:rsidRDefault="00807FFE">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14:paraId="41A405EF" w14:textId="77777777" w:rsidR="00807FFE" w:rsidRDefault="00807FFE">
            <w:pPr>
              <w:pStyle w:val="DMETW36753BIPCRP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center"/>
          </w:tcPr>
          <w:p w14:paraId="4C846FF9" w14:textId="77777777" w:rsidR="00807FFE" w:rsidRDefault="00807FFE">
            <w:pPr>
              <w:pStyle w:val="DMETW36753BIPCRP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center"/>
          </w:tcPr>
          <w:p w14:paraId="0FC88E9C" w14:textId="77777777" w:rsidR="00807FFE" w:rsidRDefault="00807FFE">
            <w:pPr>
              <w:pStyle w:val="DMETW36753BIPCRP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center"/>
          </w:tcPr>
          <w:p w14:paraId="1C13A069" w14:textId="77777777" w:rsidR="00807FFE" w:rsidRDefault="00807FFE">
            <w:pPr>
              <w:pStyle w:val="DMETW36753BIPCRP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center"/>
          </w:tcPr>
          <w:p w14:paraId="37FD964A" w14:textId="77777777" w:rsidR="00807FFE" w:rsidRDefault="00807FFE">
            <w:pPr>
              <w:pStyle w:val="DMETW36753BIPCRPY"/>
              <w:rPr>
                <w:rFonts w:ascii="Arial" w:eastAsia="Arial" w:hAnsi="Arial" w:cs="Arial"/>
                <w:noProof/>
                <w:color w:val="000000"/>
                <w:lang w:bidi="en-GB"/>
              </w:rPr>
            </w:pPr>
          </w:p>
        </w:tc>
      </w:tr>
      <w:tr w:rsidR="00807FFE" w14:paraId="1339119A"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180E83FC" w14:textId="77777777" w:rsidR="00807FFE" w:rsidRDefault="00023E71">
            <w:pPr>
              <w:pStyle w:val="DMETW36753BIPCRPY"/>
              <w:rPr>
                <w:rFonts w:ascii="Verdana" w:eastAsia="Verdana" w:hAnsi="Verdana" w:cs="Verdana"/>
                <w:i/>
                <w:noProof/>
                <w:color w:val="000000"/>
                <w:sz w:val="18"/>
              </w:rPr>
            </w:pPr>
            <w:r>
              <w:rPr>
                <w:rFonts w:ascii="Verdana" w:eastAsia="Verdana" w:hAnsi="Verdana" w:cs="Verdana"/>
                <w:i/>
                <w:noProof/>
                <w:color w:val="000000"/>
                <w:sz w:val="18"/>
              </w:rPr>
              <w:t>Financial assets at AC*</w:t>
            </w:r>
          </w:p>
        </w:tc>
        <w:tc>
          <w:tcPr>
            <w:tcW w:w="982" w:type="dxa"/>
            <w:tcBorders>
              <w:top w:val="nil"/>
              <w:left w:val="nil"/>
              <w:bottom w:val="nil"/>
              <w:right w:val="nil"/>
              <w:tl2br w:val="nil"/>
              <w:tr2bl w:val="nil"/>
            </w:tcBorders>
            <w:tcMar>
              <w:left w:w="60" w:type="dxa"/>
              <w:right w:w="60" w:type="dxa"/>
            </w:tcMar>
            <w:vAlign w:val="center"/>
          </w:tcPr>
          <w:p w14:paraId="7FEA23C0"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40</w:t>
            </w:r>
          </w:p>
        </w:tc>
        <w:tc>
          <w:tcPr>
            <w:tcW w:w="981" w:type="dxa"/>
            <w:tcBorders>
              <w:top w:val="nil"/>
              <w:left w:val="nil"/>
              <w:bottom w:val="nil"/>
              <w:right w:val="nil"/>
              <w:tl2br w:val="nil"/>
              <w:tr2bl w:val="nil"/>
            </w:tcBorders>
            <w:tcMar>
              <w:left w:w="60" w:type="dxa"/>
              <w:right w:w="60" w:type="dxa"/>
            </w:tcMar>
            <w:vAlign w:val="center"/>
          </w:tcPr>
          <w:p w14:paraId="546A6859"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981" w:type="dxa"/>
            <w:tcBorders>
              <w:top w:val="nil"/>
              <w:left w:val="nil"/>
              <w:bottom w:val="nil"/>
              <w:right w:val="nil"/>
              <w:tl2br w:val="nil"/>
              <w:tr2bl w:val="nil"/>
            </w:tcBorders>
            <w:tcMar>
              <w:left w:w="60" w:type="dxa"/>
              <w:right w:w="60" w:type="dxa"/>
            </w:tcMar>
            <w:vAlign w:val="center"/>
          </w:tcPr>
          <w:p w14:paraId="1131F1E1"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14:paraId="44190C85"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14:paraId="1002249C"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953" w:type="dxa"/>
            <w:tcBorders>
              <w:top w:val="nil"/>
              <w:left w:val="nil"/>
              <w:bottom w:val="nil"/>
              <w:right w:val="nil"/>
              <w:tl2br w:val="nil"/>
              <w:tr2bl w:val="nil"/>
            </w:tcBorders>
            <w:tcMar>
              <w:left w:w="60" w:type="dxa"/>
              <w:right w:w="60" w:type="dxa"/>
            </w:tcMar>
            <w:vAlign w:val="center"/>
          </w:tcPr>
          <w:p w14:paraId="3D43236D"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414</w:t>
            </w:r>
          </w:p>
        </w:tc>
        <w:tc>
          <w:tcPr>
            <w:tcW w:w="1100" w:type="dxa"/>
            <w:tcBorders>
              <w:top w:val="nil"/>
              <w:left w:val="nil"/>
              <w:bottom w:val="nil"/>
              <w:right w:val="nil"/>
              <w:tl2br w:val="nil"/>
              <w:tr2bl w:val="nil"/>
            </w:tcBorders>
            <w:tcMar>
              <w:left w:w="60" w:type="dxa"/>
              <w:right w:w="60" w:type="dxa"/>
            </w:tcMar>
            <w:vAlign w:val="center"/>
          </w:tcPr>
          <w:p w14:paraId="53B2F3A0" w14:textId="77777777" w:rsidR="00807FFE" w:rsidRDefault="00023E71">
            <w:pPr>
              <w:pStyle w:val="DMETW36753BIPCRP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466</w:t>
            </w:r>
          </w:p>
        </w:tc>
      </w:tr>
      <w:tr w:rsidR="00807FFE" w14:paraId="578D5001"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0F64F792" w14:textId="77777777" w:rsidR="00807FFE" w:rsidRDefault="00023E71">
            <w:pPr>
              <w:pStyle w:val="DMETW36753BIPCRPY"/>
              <w:rPr>
                <w:rFonts w:ascii="Verdana" w:eastAsia="Verdana" w:hAnsi="Verdana" w:cs="Verdana"/>
                <w:i/>
                <w:noProof/>
                <w:color w:val="000000"/>
                <w:sz w:val="18"/>
              </w:rPr>
            </w:pPr>
            <w:r>
              <w:rPr>
                <w:rFonts w:ascii="Verdana" w:eastAsia="Verdana" w:hAnsi="Verdana" w:cs="Verdana"/>
                <w:i/>
                <w:noProof/>
                <w:color w:val="000000"/>
                <w:sz w:val="18"/>
              </w:rPr>
              <w:t>Financial assets at FVSD</w:t>
            </w:r>
          </w:p>
        </w:tc>
        <w:tc>
          <w:tcPr>
            <w:tcW w:w="982" w:type="dxa"/>
            <w:tcBorders>
              <w:top w:val="nil"/>
              <w:left w:val="nil"/>
              <w:bottom w:val="nil"/>
              <w:right w:val="nil"/>
              <w:tl2br w:val="nil"/>
              <w:tr2bl w:val="nil"/>
            </w:tcBorders>
            <w:tcMar>
              <w:left w:w="60" w:type="dxa"/>
              <w:right w:w="60" w:type="dxa"/>
            </w:tcMar>
            <w:vAlign w:val="center"/>
          </w:tcPr>
          <w:p w14:paraId="2F7A5F7A" w14:textId="77777777" w:rsidR="00807FFE" w:rsidRDefault="00807FFE">
            <w:pPr>
              <w:pStyle w:val="DMETW36753BIPCRP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14:paraId="04AD9115" w14:textId="77777777" w:rsidR="00807FFE" w:rsidRDefault="00807FFE">
            <w:pPr>
              <w:pStyle w:val="DMETW36753BIPCRP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14:paraId="11A38A3B" w14:textId="77777777" w:rsidR="00807FFE" w:rsidRDefault="00807FFE">
            <w:pPr>
              <w:pStyle w:val="DMETW36753BIPCRPY"/>
              <w:jc w:val="right"/>
              <w:rPr>
                <w:rFonts w:ascii="Verdana" w:eastAsia="Verdana" w:hAnsi="Verdana" w:cs="Verdana"/>
                <w:i/>
                <w:noProof/>
                <w:color w:val="000000"/>
                <w:sz w:val="18"/>
              </w:rPr>
            </w:pPr>
          </w:p>
        </w:tc>
        <w:tc>
          <w:tcPr>
            <w:tcW w:w="842" w:type="dxa"/>
            <w:tcBorders>
              <w:top w:val="nil"/>
              <w:left w:val="nil"/>
              <w:bottom w:val="nil"/>
              <w:right w:val="nil"/>
              <w:tl2br w:val="nil"/>
              <w:tr2bl w:val="nil"/>
            </w:tcBorders>
            <w:tcMar>
              <w:left w:w="60" w:type="dxa"/>
              <w:right w:w="60" w:type="dxa"/>
            </w:tcMar>
            <w:vAlign w:val="center"/>
          </w:tcPr>
          <w:p w14:paraId="49FAA45E" w14:textId="77777777" w:rsidR="00807FFE" w:rsidRDefault="00807FFE">
            <w:pPr>
              <w:pStyle w:val="DMETW36753BIPCRPY"/>
              <w:jc w:val="right"/>
              <w:rPr>
                <w:rFonts w:ascii="Verdana" w:eastAsia="Verdana" w:hAnsi="Verdana" w:cs="Verdana"/>
                <w:i/>
                <w:noProof/>
                <w:color w:val="000000"/>
                <w:sz w:val="18"/>
              </w:rPr>
            </w:pPr>
          </w:p>
        </w:tc>
        <w:tc>
          <w:tcPr>
            <w:tcW w:w="1121" w:type="dxa"/>
            <w:tcBorders>
              <w:top w:val="nil"/>
              <w:left w:val="nil"/>
              <w:bottom w:val="nil"/>
              <w:right w:val="nil"/>
              <w:tl2br w:val="nil"/>
              <w:tr2bl w:val="nil"/>
            </w:tcBorders>
            <w:tcMar>
              <w:left w:w="60" w:type="dxa"/>
              <w:right w:w="60" w:type="dxa"/>
            </w:tcMar>
            <w:vAlign w:val="center"/>
          </w:tcPr>
          <w:p w14:paraId="2F808710" w14:textId="77777777" w:rsidR="00807FFE" w:rsidRDefault="00807FFE">
            <w:pPr>
              <w:pStyle w:val="DMETW36753BIPCRPY"/>
              <w:jc w:val="right"/>
              <w:rPr>
                <w:rFonts w:ascii="Verdana" w:eastAsia="Verdana" w:hAnsi="Verdana" w:cs="Verdana"/>
                <w:i/>
                <w:noProof/>
                <w:color w:val="000000"/>
                <w:sz w:val="18"/>
              </w:rPr>
            </w:pPr>
          </w:p>
        </w:tc>
        <w:tc>
          <w:tcPr>
            <w:tcW w:w="953" w:type="dxa"/>
            <w:tcBorders>
              <w:top w:val="nil"/>
              <w:left w:val="nil"/>
              <w:bottom w:val="nil"/>
              <w:right w:val="nil"/>
              <w:tl2br w:val="nil"/>
              <w:tr2bl w:val="nil"/>
            </w:tcBorders>
            <w:tcMar>
              <w:left w:w="60" w:type="dxa"/>
              <w:right w:w="60" w:type="dxa"/>
            </w:tcMar>
            <w:vAlign w:val="center"/>
          </w:tcPr>
          <w:p w14:paraId="70CA2D47" w14:textId="77777777" w:rsidR="00807FFE" w:rsidRDefault="00807FFE">
            <w:pPr>
              <w:pStyle w:val="DMETW36753BIPCRPY"/>
              <w:jc w:val="right"/>
              <w:rPr>
                <w:rFonts w:ascii="Verdana" w:eastAsia="Verdana" w:hAnsi="Verdana" w:cs="Verdana"/>
                <w:i/>
                <w:noProof/>
                <w:color w:val="000000"/>
                <w:sz w:val="18"/>
              </w:rPr>
            </w:pPr>
          </w:p>
        </w:tc>
        <w:tc>
          <w:tcPr>
            <w:tcW w:w="1100" w:type="dxa"/>
            <w:tcBorders>
              <w:top w:val="nil"/>
              <w:left w:val="nil"/>
              <w:bottom w:val="nil"/>
              <w:right w:val="nil"/>
              <w:tl2br w:val="nil"/>
              <w:tr2bl w:val="nil"/>
            </w:tcBorders>
            <w:tcMar>
              <w:left w:w="60" w:type="dxa"/>
              <w:right w:w="60" w:type="dxa"/>
            </w:tcMar>
            <w:vAlign w:val="center"/>
          </w:tcPr>
          <w:p w14:paraId="1737ED0A" w14:textId="77777777" w:rsidR="00807FFE" w:rsidRDefault="00807FFE">
            <w:pPr>
              <w:pStyle w:val="DMETW36753BIPCRPY"/>
              <w:jc w:val="right"/>
              <w:rPr>
                <w:rFonts w:ascii="Verdana" w:eastAsia="Verdana" w:hAnsi="Verdana" w:cs="Verdana"/>
                <w:i/>
                <w:noProof/>
                <w:color w:val="000000"/>
                <w:sz w:val="18"/>
                <w:lang w:bidi="en-GB"/>
              </w:rPr>
            </w:pPr>
          </w:p>
        </w:tc>
      </w:tr>
      <w:tr w:rsidR="00807FFE" w14:paraId="38BF478D"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6343191E" w14:textId="77777777" w:rsidR="00807FFE" w:rsidRDefault="00023E71">
            <w:pPr>
              <w:pStyle w:val="DMETW36753BIPCRPY"/>
              <w:ind w:left="400" w:firstLine="15"/>
              <w:rPr>
                <w:rFonts w:ascii="Verdana" w:eastAsia="Verdana" w:hAnsi="Verdana" w:cs="Verdana"/>
                <w:i/>
                <w:noProof/>
                <w:color w:val="000000"/>
                <w:sz w:val="18"/>
              </w:rPr>
            </w:pPr>
            <w:r>
              <w:rPr>
                <w:rFonts w:ascii="Verdana" w:eastAsia="Verdana" w:hAnsi="Verdana" w:cs="Verdana"/>
                <w:i/>
                <w:noProof/>
                <w:color w:val="000000"/>
                <w:sz w:val="18"/>
              </w:rPr>
              <w:t>Non-derivatives</w:t>
            </w:r>
          </w:p>
        </w:tc>
        <w:tc>
          <w:tcPr>
            <w:tcW w:w="982" w:type="dxa"/>
            <w:tcBorders>
              <w:top w:val="nil"/>
              <w:left w:val="nil"/>
              <w:bottom w:val="nil"/>
              <w:right w:val="nil"/>
              <w:tl2br w:val="nil"/>
              <w:tr2bl w:val="nil"/>
            </w:tcBorders>
            <w:tcMar>
              <w:left w:w="60" w:type="dxa"/>
              <w:right w:w="60" w:type="dxa"/>
            </w:tcMar>
            <w:vAlign w:val="center"/>
          </w:tcPr>
          <w:p w14:paraId="20277D2D"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2 148</w:t>
            </w:r>
          </w:p>
        </w:tc>
        <w:tc>
          <w:tcPr>
            <w:tcW w:w="981" w:type="dxa"/>
            <w:tcBorders>
              <w:top w:val="nil"/>
              <w:left w:val="nil"/>
              <w:bottom w:val="nil"/>
              <w:right w:val="nil"/>
              <w:tl2br w:val="nil"/>
              <w:tr2bl w:val="nil"/>
            </w:tcBorders>
            <w:tcMar>
              <w:left w:w="60" w:type="dxa"/>
              <w:right w:w="60" w:type="dxa"/>
            </w:tcMar>
            <w:vAlign w:val="center"/>
          </w:tcPr>
          <w:p w14:paraId="25F9E2B1"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14:paraId="7E7A74BE"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14:paraId="3ADD9210"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45</w:t>
            </w:r>
          </w:p>
        </w:tc>
        <w:tc>
          <w:tcPr>
            <w:tcW w:w="1121" w:type="dxa"/>
            <w:tcBorders>
              <w:top w:val="nil"/>
              <w:left w:val="nil"/>
              <w:bottom w:val="nil"/>
              <w:right w:val="nil"/>
              <w:tl2br w:val="nil"/>
              <w:tr2bl w:val="nil"/>
            </w:tcBorders>
            <w:tcMar>
              <w:left w:w="60" w:type="dxa"/>
              <w:right w:w="60" w:type="dxa"/>
            </w:tcMar>
            <w:vAlign w:val="center"/>
          </w:tcPr>
          <w:p w14:paraId="61393F29"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120</w:t>
            </w:r>
          </w:p>
        </w:tc>
        <w:tc>
          <w:tcPr>
            <w:tcW w:w="953" w:type="dxa"/>
            <w:tcBorders>
              <w:top w:val="nil"/>
              <w:left w:val="nil"/>
              <w:bottom w:val="nil"/>
              <w:right w:val="nil"/>
              <w:tl2br w:val="nil"/>
              <w:tr2bl w:val="nil"/>
            </w:tcBorders>
            <w:tcMar>
              <w:left w:w="60" w:type="dxa"/>
              <w:right w:w="60" w:type="dxa"/>
            </w:tcMar>
            <w:vAlign w:val="center"/>
          </w:tcPr>
          <w:p w14:paraId="6C38EF71"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41 336</w:t>
            </w:r>
          </w:p>
        </w:tc>
        <w:tc>
          <w:tcPr>
            <w:tcW w:w="1100" w:type="dxa"/>
            <w:tcBorders>
              <w:top w:val="nil"/>
              <w:left w:val="nil"/>
              <w:bottom w:val="nil"/>
              <w:right w:val="nil"/>
              <w:tl2br w:val="nil"/>
              <w:tr2bl w:val="nil"/>
            </w:tcBorders>
            <w:tcMar>
              <w:left w:w="60" w:type="dxa"/>
              <w:right w:w="60" w:type="dxa"/>
            </w:tcMar>
            <w:vAlign w:val="center"/>
          </w:tcPr>
          <w:p w14:paraId="5F46C34D" w14:textId="77777777" w:rsidR="00807FFE" w:rsidRDefault="00023E71">
            <w:pPr>
              <w:pStyle w:val="DMETW36753BIPCRPY"/>
              <w:jc w:val="right"/>
              <w:rPr>
                <w:rFonts w:ascii="Verdana" w:eastAsia="Verdana" w:hAnsi="Verdana" w:cs="Verdana"/>
                <w:i/>
                <w:noProof/>
                <w:color w:val="000000"/>
                <w:sz w:val="18"/>
                <w:lang w:bidi="en-GB"/>
              </w:rPr>
            </w:pPr>
            <w:r>
              <w:rPr>
                <w:rFonts w:ascii="Verdana" w:eastAsia="Verdana" w:hAnsi="Verdana" w:cs="Verdana"/>
                <w:i/>
                <w:noProof/>
                <w:color w:val="000000"/>
                <w:sz w:val="18"/>
              </w:rPr>
              <w:t>43 648</w:t>
            </w:r>
          </w:p>
        </w:tc>
      </w:tr>
      <w:tr w:rsidR="00807FFE" w14:paraId="314F550F"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1D28B940" w14:textId="77777777" w:rsidR="00807FFE" w:rsidRDefault="00023E71">
            <w:pPr>
              <w:pStyle w:val="DMETW36753BIPCRPY"/>
              <w:ind w:left="400" w:firstLine="15"/>
              <w:rPr>
                <w:rFonts w:ascii="Verdana" w:eastAsia="Verdana" w:hAnsi="Verdana" w:cs="Verdana"/>
                <w:i/>
                <w:noProof/>
                <w:color w:val="000000"/>
                <w:sz w:val="18"/>
              </w:rPr>
            </w:pPr>
            <w:r>
              <w:rPr>
                <w:rFonts w:ascii="Verdana" w:eastAsia="Verdana" w:hAnsi="Verdana" w:cs="Verdana"/>
                <w:i/>
                <w:noProof/>
                <w:color w:val="000000"/>
                <w:sz w:val="18"/>
              </w:rPr>
              <w:t>Derivatives</w:t>
            </w:r>
          </w:p>
        </w:tc>
        <w:tc>
          <w:tcPr>
            <w:tcW w:w="982" w:type="dxa"/>
            <w:tcBorders>
              <w:top w:val="nil"/>
              <w:left w:val="nil"/>
              <w:bottom w:val="nil"/>
              <w:right w:val="nil"/>
              <w:tl2br w:val="nil"/>
              <w:tr2bl w:val="nil"/>
            </w:tcBorders>
            <w:tcMar>
              <w:left w:w="60" w:type="dxa"/>
              <w:right w:w="60" w:type="dxa"/>
            </w:tcMar>
            <w:vAlign w:val="center"/>
          </w:tcPr>
          <w:p w14:paraId="3E579B99"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14:paraId="41F92422"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14:paraId="0DEC073E"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14:paraId="32DE95AA"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14:paraId="202060D1"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53" w:type="dxa"/>
            <w:tcBorders>
              <w:top w:val="nil"/>
              <w:left w:val="nil"/>
              <w:bottom w:val="nil"/>
              <w:right w:val="nil"/>
              <w:tl2br w:val="nil"/>
              <w:tr2bl w:val="nil"/>
            </w:tcBorders>
            <w:tcMar>
              <w:left w:w="60" w:type="dxa"/>
              <w:right w:w="60" w:type="dxa"/>
            </w:tcMar>
            <w:vAlign w:val="center"/>
          </w:tcPr>
          <w:p w14:paraId="152F0566"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1 110</w:t>
            </w:r>
          </w:p>
        </w:tc>
        <w:tc>
          <w:tcPr>
            <w:tcW w:w="1100" w:type="dxa"/>
            <w:tcBorders>
              <w:top w:val="nil"/>
              <w:left w:val="nil"/>
              <w:bottom w:val="nil"/>
              <w:right w:val="nil"/>
              <w:tl2br w:val="nil"/>
              <w:tr2bl w:val="nil"/>
            </w:tcBorders>
            <w:tcMar>
              <w:left w:w="60" w:type="dxa"/>
              <w:right w:w="60" w:type="dxa"/>
            </w:tcMar>
            <w:vAlign w:val="center"/>
          </w:tcPr>
          <w:p w14:paraId="47EEDADE" w14:textId="77777777" w:rsidR="00807FFE" w:rsidRDefault="00023E71">
            <w:pPr>
              <w:pStyle w:val="DMETW36753BIPCRPY"/>
              <w:jc w:val="right"/>
              <w:rPr>
                <w:rFonts w:ascii="Verdana" w:eastAsia="Verdana" w:hAnsi="Verdana" w:cs="Verdana"/>
                <w:i/>
                <w:noProof/>
                <w:color w:val="000000"/>
                <w:sz w:val="18"/>
                <w:lang w:bidi="en-GB"/>
              </w:rPr>
            </w:pPr>
            <w:r>
              <w:rPr>
                <w:rFonts w:ascii="Verdana" w:eastAsia="Verdana" w:hAnsi="Verdana" w:cs="Verdana"/>
                <w:i/>
                <w:noProof/>
                <w:color w:val="000000"/>
                <w:sz w:val="18"/>
              </w:rPr>
              <w:t>1 110</w:t>
            </w:r>
          </w:p>
        </w:tc>
      </w:tr>
      <w:tr w:rsidR="00807FFE" w14:paraId="69AE667D"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4B7EF531" w14:textId="77777777" w:rsidR="00807FFE" w:rsidRDefault="00023E71">
            <w:pPr>
              <w:pStyle w:val="DMETW36753BIPCRPY"/>
              <w:rPr>
                <w:rFonts w:ascii="Verdana" w:eastAsia="Verdana" w:hAnsi="Verdana" w:cs="Verdana"/>
                <w:i/>
                <w:noProof/>
                <w:color w:val="000000"/>
                <w:sz w:val="18"/>
              </w:rPr>
            </w:pPr>
            <w:r>
              <w:rPr>
                <w:rFonts w:ascii="Verdana" w:eastAsia="Verdana" w:hAnsi="Verdana" w:cs="Verdana"/>
                <w:i/>
                <w:noProof/>
                <w:color w:val="000000"/>
                <w:sz w:val="18"/>
              </w:rPr>
              <w:t>Receivables**</w:t>
            </w:r>
          </w:p>
        </w:tc>
        <w:tc>
          <w:tcPr>
            <w:tcW w:w="982" w:type="dxa"/>
            <w:tcBorders>
              <w:top w:val="nil"/>
              <w:left w:val="nil"/>
              <w:bottom w:val="nil"/>
              <w:right w:val="nil"/>
              <w:tl2br w:val="nil"/>
              <w:tr2bl w:val="nil"/>
            </w:tcBorders>
            <w:tcMar>
              <w:left w:w="60" w:type="dxa"/>
              <w:right w:w="60" w:type="dxa"/>
            </w:tcMar>
            <w:vAlign w:val="center"/>
          </w:tcPr>
          <w:p w14:paraId="60914359"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72</w:t>
            </w:r>
          </w:p>
        </w:tc>
        <w:tc>
          <w:tcPr>
            <w:tcW w:w="981" w:type="dxa"/>
            <w:tcBorders>
              <w:top w:val="nil"/>
              <w:left w:val="nil"/>
              <w:bottom w:val="nil"/>
              <w:right w:val="nil"/>
              <w:tl2br w:val="nil"/>
              <w:tr2bl w:val="nil"/>
            </w:tcBorders>
            <w:tcMar>
              <w:left w:w="60" w:type="dxa"/>
              <w:right w:w="60" w:type="dxa"/>
            </w:tcMar>
            <w:vAlign w:val="center"/>
          </w:tcPr>
          <w:p w14:paraId="3FD19269"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81" w:type="dxa"/>
            <w:tcBorders>
              <w:top w:val="nil"/>
              <w:left w:val="nil"/>
              <w:bottom w:val="nil"/>
              <w:right w:val="nil"/>
              <w:tl2br w:val="nil"/>
              <w:tr2bl w:val="nil"/>
            </w:tcBorders>
            <w:tcMar>
              <w:left w:w="60" w:type="dxa"/>
              <w:right w:w="60" w:type="dxa"/>
            </w:tcMar>
            <w:vAlign w:val="center"/>
          </w:tcPr>
          <w:p w14:paraId="65EAA141"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17</w:t>
            </w:r>
          </w:p>
        </w:tc>
        <w:tc>
          <w:tcPr>
            <w:tcW w:w="842" w:type="dxa"/>
            <w:tcBorders>
              <w:top w:val="nil"/>
              <w:left w:val="nil"/>
              <w:bottom w:val="nil"/>
              <w:right w:val="nil"/>
              <w:tl2br w:val="nil"/>
              <w:tr2bl w:val="nil"/>
            </w:tcBorders>
            <w:tcMar>
              <w:left w:w="60" w:type="dxa"/>
              <w:right w:w="60" w:type="dxa"/>
            </w:tcMar>
            <w:vAlign w:val="center"/>
          </w:tcPr>
          <w:p w14:paraId="75393604"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21" w:type="dxa"/>
            <w:tcBorders>
              <w:top w:val="nil"/>
              <w:left w:val="nil"/>
              <w:bottom w:val="nil"/>
              <w:right w:val="nil"/>
              <w:tl2br w:val="nil"/>
              <w:tr2bl w:val="nil"/>
            </w:tcBorders>
            <w:tcMar>
              <w:left w:w="60" w:type="dxa"/>
              <w:right w:w="60" w:type="dxa"/>
            </w:tcMar>
            <w:vAlign w:val="center"/>
          </w:tcPr>
          <w:p w14:paraId="2EDA3DE0"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111</w:t>
            </w:r>
          </w:p>
        </w:tc>
        <w:tc>
          <w:tcPr>
            <w:tcW w:w="953" w:type="dxa"/>
            <w:tcBorders>
              <w:top w:val="nil"/>
              <w:left w:val="nil"/>
              <w:bottom w:val="nil"/>
              <w:right w:val="nil"/>
              <w:tl2br w:val="nil"/>
              <w:tr2bl w:val="nil"/>
            </w:tcBorders>
            <w:tcMar>
              <w:left w:w="60" w:type="dxa"/>
              <w:right w:w="60" w:type="dxa"/>
            </w:tcMar>
            <w:vAlign w:val="center"/>
          </w:tcPr>
          <w:p w14:paraId="05848F1F"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3 039</w:t>
            </w:r>
          </w:p>
        </w:tc>
        <w:tc>
          <w:tcPr>
            <w:tcW w:w="1100" w:type="dxa"/>
            <w:tcBorders>
              <w:top w:val="nil"/>
              <w:left w:val="nil"/>
              <w:bottom w:val="nil"/>
              <w:right w:val="nil"/>
              <w:tl2br w:val="nil"/>
              <w:tr2bl w:val="nil"/>
            </w:tcBorders>
            <w:tcMar>
              <w:left w:w="60" w:type="dxa"/>
              <w:right w:w="60" w:type="dxa"/>
            </w:tcMar>
            <w:vAlign w:val="center"/>
          </w:tcPr>
          <w:p w14:paraId="49735C72" w14:textId="77777777" w:rsidR="00807FFE" w:rsidRDefault="00023E71">
            <w:pPr>
              <w:pStyle w:val="DMETW36753BIPCRPY"/>
              <w:jc w:val="right"/>
              <w:rPr>
                <w:rFonts w:ascii="Verdana" w:eastAsia="Verdana" w:hAnsi="Verdana" w:cs="Verdana"/>
                <w:i/>
                <w:noProof/>
                <w:color w:val="000000"/>
                <w:sz w:val="18"/>
                <w:lang w:bidi="en-GB"/>
              </w:rPr>
            </w:pPr>
            <w:r>
              <w:rPr>
                <w:rFonts w:ascii="Verdana" w:eastAsia="Verdana" w:hAnsi="Verdana" w:cs="Verdana"/>
                <w:i/>
                <w:noProof/>
                <w:color w:val="000000"/>
                <w:sz w:val="18"/>
              </w:rPr>
              <w:t>3 240</w:t>
            </w:r>
          </w:p>
        </w:tc>
      </w:tr>
      <w:tr w:rsidR="00807FFE" w14:paraId="1CE7E20E" w14:textId="77777777">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14:paraId="629ECAE2" w14:textId="77777777" w:rsidR="00807FFE" w:rsidRDefault="00023E71">
            <w:pPr>
              <w:pStyle w:val="DMETW36753BIPCRPY"/>
              <w:rPr>
                <w:rFonts w:ascii="Verdana" w:eastAsia="Verdana" w:hAnsi="Verdana" w:cs="Verdana"/>
                <w:i/>
                <w:noProof/>
                <w:color w:val="000000"/>
                <w:sz w:val="18"/>
              </w:rPr>
            </w:pPr>
            <w:r>
              <w:rPr>
                <w:rFonts w:ascii="Verdana" w:eastAsia="Verdana" w:hAnsi="Verdana" w:cs="Verdana"/>
                <w:i/>
                <w:noProof/>
                <w:color w:val="000000"/>
                <w:sz w:val="18"/>
              </w:rPr>
              <w:t>Cash and cash equivalents</w:t>
            </w:r>
          </w:p>
        </w:tc>
        <w:tc>
          <w:tcPr>
            <w:tcW w:w="982" w:type="dxa"/>
            <w:tcBorders>
              <w:top w:val="nil"/>
              <w:left w:val="nil"/>
              <w:bottom w:val="single" w:sz="4" w:space="0" w:color="016794"/>
              <w:right w:val="nil"/>
              <w:tl2br w:val="nil"/>
              <w:tr2bl w:val="nil"/>
            </w:tcBorders>
            <w:tcMar>
              <w:left w:w="60" w:type="dxa"/>
              <w:right w:w="60" w:type="dxa"/>
            </w:tcMar>
            <w:vAlign w:val="center"/>
          </w:tcPr>
          <w:p w14:paraId="00DA3B83"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111</w:t>
            </w:r>
          </w:p>
        </w:tc>
        <w:tc>
          <w:tcPr>
            <w:tcW w:w="981" w:type="dxa"/>
            <w:tcBorders>
              <w:top w:val="nil"/>
              <w:left w:val="nil"/>
              <w:bottom w:val="single" w:sz="4" w:space="0" w:color="016794"/>
              <w:right w:val="nil"/>
              <w:tl2br w:val="nil"/>
              <w:tr2bl w:val="nil"/>
            </w:tcBorders>
            <w:tcMar>
              <w:left w:w="60" w:type="dxa"/>
              <w:right w:w="60" w:type="dxa"/>
            </w:tcMar>
            <w:vAlign w:val="center"/>
          </w:tcPr>
          <w:p w14:paraId="4F29CA49"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258</w:t>
            </w:r>
          </w:p>
        </w:tc>
        <w:tc>
          <w:tcPr>
            <w:tcW w:w="981" w:type="dxa"/>
            <w:tcBorders>
              <w:top w:val="nil"/>
              <w:left w:val="nil"/>
              <w:bottom w:val="single" w:sz="4" w:space="0" w:color="016794"/>
              <w:right w:val="nil"/>
              <w:tl2br w:val="nil"/>
              <w:tr2bl w:val="nil"/>
            </w:tcBorders>
            <w:tcMar>
              <w:left w:w="60" w:type="dxa"/>
              <w:right w:w="60" w:type="dxa"/>
            </w:tcMar>
            <w:vAlign w:val="center"/>
          </w:tcPr>
          <w:p w14:paraId="1142271E"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573</w:t>
            </w:r>
          </w:p>
        </w:tc>
        <w:tc>
          <w:tcPr>
            <w:tcW w:w="842" w:type="dxa"/>
            <w:tcBorders>
              <w:top w:val="nil"/>
              <w:left w:val="nil"/>
              <w:bottom w:val="single" w:sz="4" w:space="0" w:color="016794"/>
              <w:right w:val="nil"/>
              <w:tl2br w:val="nil"/>
              <w:tr2bl w:val="nil"/>
            </w:tcBorders>
            <w:tcMar>
              <w:left w:w="60" w:type="dxa"/>
              <w:right w:w="60" w:type="dxa"/>
            </w:tcMar>
            <w:vAlign w:val="center"/>
          </w:tcPr>
          <w:p w14:paraId="31E36B9D"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314</w:t>
            </w:r>
          </w:p>
        </w:tc>
        <w:tc>
          <w:tcPr>
            <w:tcW w:w="1121" w:type="dxa"/>
            <w:tcBorders>
              <w:top w:val="nil"/>
              <w:left w:val="nil"/>
              <w:bottom w:val="single" w:sz="4" w:space="0" w:color="016794"/>
              <w:right w:val="nil"/>
              <w:tl2br w:val="nil"/>
              <w:tr2bl w:val="nil"/>
            </w:tcBorders>
            <w:tcMar>
              <w:left w:w="60" w:type="dxa"/>
              <w:right w:w="60" w:type="dxa"/>
            </w:tcMar>
            <w:vAlign w:val="center"/>
          </w:tcPr>
          <w:p w14:paraId="7CA424F9"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966</w:t>
            </w:r>
          </w:p>
        </w:tc>
        <w:tc>
          <w:tcPr>
            <w:tcW w:w="953" w:type="dxa"/>
            <w:tcBorders>
              <w:top w:val="nil"/>
              <w:left w:val="nil"/>
              <w:bottom w:val="single" w:sz="4" w:space="0" w:color="016794"/>
              <w:right w:val="nil"/>
              <w:tl2br w:val="nil"/>
              <w:tr2bl w:val="nil"/>
            </w:tcBorders>
            <w:tcMar>
              <w:left w:w="60" w:type="dxa"/>
              <w:right w:w="60" w:type="dxa"/>
            </w:tcMar>
            <w:vAlign w:val="center"/>
          </w:tcPr>
          <w:p w14:paraId="402B547A"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60 941</w:t>
            </w:r>
          </w:p>
        </w:tc>
        <w:tc>
          <w:tcPr>
            <w:tcW w:w="1100" w:type="dxa"/>
            <w:tcBorders>
              <w:top w:val="nil"/>
              <w:left w:val="nil"/>
              <w:bottom w:val="single" w:sz="4" w:space="0" w:color="016794"/>
              <w:right w:val="nil"/>
              <w:tl2br w:val="nil"/>
              <w:tr2bl w:val="nil"/>
            </w:tcBorders>
            <w:tcMar>
              <w:left w:w="60" w:type="dxa"/>
              <w:right w:w="60" w:type="dxa"/>
            </w:tcMar>
            <w:vAlign w:val="center"/>
          </w:tcPr>
          <w:p w14:paraId="59549513" w14:textId="77777777" w:rsidR="00807FFE" w:rsidRDefault="00023E71">
            <w:pPr>
              <w:pStyle w:val="DMETW36753BIPCRPY"/>
              <w:jc w:val="right"/>
              <w:rPr>
                <w:rFonts w:ascii="Verdana" w:eastAsia="Verdana" w:hAnsi="Verdana" w:cs="Verdana"/>
                <w:i/>
                <w:noProof/>
                <w:color w:val="000000"/>
                <w:sz w:val="18"/>
                <w:lang w:bidi="en-GB"/>
              </w:rPr>
            </w:pPr>
            <w:r>
              <w:rPr>
                <w:rFonts w:ascii="Verdana" w:eastAsia="Verdana" w:hAnsi="Verdana" w:cs="Verdana"/>
                <w:i/>
                <w:noProof/>
                <w:color w:val="000000"/>
                <w:sz w:val="18"/>
              </w:rPr>
              <w:t>63 163</w:t>
            </w:r>
          </w:p>
        </w:tc>
      </w:tr>
      <w:tr w:rsidR="00807FFE" w14:paraId="67B11740" w14:textId="77777777">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14:paraId="06D7F8FF" w14:textId="77777777" w:rsidR="00807FFE" w:rsidRDefault="00807FFE">
            <w:pPr>
              <w:pStyle w:val="DMETW36753BIPCRP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14:paraId="2678142C"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2 371</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67AAA50A"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264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188A4E4C"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590</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14:paraId="0CEA6F09"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360</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14:paraId="18B2734E"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1 204</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14:paraId="10FE324F"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106 839</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14:paraId="02DCB24E" w14:textId="77777777" w:rsidR="00807FFE" w:rsidRDefault="00023E71">
            <w:pPr>
              <w:pStyle w:val="DMETW36753BIPCRPY"/>
              <w:jc w:val="right"/>
              <w:rPr>
                <w:rFonts w:ascii="Verdana" w:eastAsia="Verdana" w:hAnsi="Verdana" w:cs="Verdana"/>
                <w:b/>
                <w:noProof/>
                <w:color w:val="000000"/>
                <w:sz w:val="18"/>
                <w:lang w:bidi="en-GB"/>
              </w:rPr>
            </w:pPr>
            <w:r>
              <w:rPr>
                <w:rFonts w:ascii="Verdana" w:eastAsia="Verdana" w:hAnsi="Verdana" w:cs="Verdana"/>
                <w:b/>
                <w:noProof/>
                <w:color w:val="000000"/>
                <w:sz w:val="18"/>
              </w:rPr>
              <w:t>111 628</w:t>
            </w:r>
          </w:p>
        </w:tc>
      </w:tr>
      <w:tr w:rsidR="00807FFE" w14:paraId="5DB09688" w14:textId="77777777">
        <w:trPr>
          <w:trHeight w:val="255"/>
        </w:trPr>
        <w:tc>
          <w:tcPr>
            <w:tcW w:w="2798" w:type="dxa"/>
            <w:tcBorders>
              <w:top w:val="single" w:sz="4" w:space="0" w:color="016794"/>
              <w:left w:val="nil"/>
              <w:bottom w:val="nil"/>
              <w:right w:val="nil"/>
              <w:tl2br w:val="nil"/>
              <w:tr2bl w:val="nil"/>
            </w:tcBorders>
            <w:tcMar>
              <w:left w:w="60" w:type="dxa"/>
              <w:right w:w="60" w:type="dxa"/>
            </w:tcMar>
            <w:vAlign w:val="center"/>
          </w:tcPr>
          <w:p w14:paraId="0FD5E5F2" w14:textId="77777777" w:rsidR="00807FFE" w:rsidRDefault="00023E71">
            <w:pPr>
              <w:pStyle w:val="DMETW36753BIPCRPY"/>
              <w:rPr>
                <w:rFonts w:ascii="Verdana" w:eastAsia="Verdana" w:hAnsi="Verdana" w:cs="Verdana"/>
                <w:b/>
                <w:noProof/>
                <w:color w:val="000000"/>
                <w:sz w:val="18"/>
              </w:rPr>
            </w:pPr>
            <w:r>
              <w:rPr>
                <w:rFonts w:ascii="Verdana" w:eastAsia="Verdana" w:hAnsi="Verdana" w:cs="Verdana"/>
                <w:b/>
                <w:noProof/>
                <w:color w:val="000000"/>
                <w:sz w:val="18"/>
              </w:rPr>
              <w:t>Financial liabilities</w:t>
            </w:r>
          </w:p>
        </w:tc>
        <w:tc>
          <w:tcPr>
            <w:tcW w:w="982" w:type="dxa"/>
            <w:tcBorders>
              <w:top w:val="single" w:sz="4" w:space="0" w:color="016794"/>
              <w:left w:val="nil"/>
              <w:bottom w:val="nil"/>
              <w:right w:val="nil"/>
              <w:tl2br w:val="nil"/>
              <w:tr2bl w:val="nil"/>
            </w:tcBorders>
            <w:tcMar>
              <w:left w:w="60" w:type="dxa"/>
              <w:right w:w="60" w:type="dxa"/>
            </w:tcMar>
            <w:vAlign w:val="center"/>
          </w:tcPr>
          <w:p w14:paraId="1BE32A6A" w14:textId="77777777" w:rsidR="00807FFE" w:rsidRDefault="00807FFE">
            <w:pPr>
              <w:pStyle w:val="DMETW36753BIPCRP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14:paraId="74DEF281" w14:textId="77777777" w:rsidR="00807FFE" w:rsidRDefault="00807FFE">
            <w:pPr>
              <w:pStyle w:val="DMETW36753BIPCRP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14:paraId="280A4270" w14:textId="77777777" w:rsidR="00807FFE" w:rsidRDefault="00807FFE">
            <w:pPr>
              <w:pStyle w:val="DMETW36753BIPCRPY"/>
              <w:rPr>
                <w:rFonts w:ascii="Arial" w:eastAsia="Arial" w:hAnsi="Arial" w:cs="Arial"/>
                <w:noProof/>
                <w:color w:val="000000"/>
              </w:rPr>
            </w:pPr>
          </w:p>
        </w:tc>
        <w:tc>
          <w:tcPr>
            <w:tcW w:w="842" w:type="dxa"/>
            <w:tcBorders>
              <w:top w:val="single" w:sz="4" w:space="0" w:color="016794"/>
              <w:left w:val="nil"/>
              <w:bottom w:val="nil"/>
              <w:right w:val="nil"/>
              <w:tl2br w:val="nil"/>
              <w:tr2bl w:val="nil"/>
            </w:tcBorders>
            <w:tcMar>
              <w:left w:w="60" w:type="dxa"/>
              <w:right w:w="60" w:type="dxa"/>
            </w:tcMar>
            <w:vAlign w:val="center"/>
          </w:tcPr>
          <w:p w14:paraId="2CA39B08" w14:textId="77777777" w:rsidR="00807FFE" w:rsidRDefault="00807FFE">
            <w:pPr>
              <w:pStyle w:val="DMETW36753BIPCRPY"/>
              <w:rPr>
                <w:rFonts w:ascii="Arial" w:eastAsia="Arial" w:hAnsi="Arial" w:cs="Arial"/>
                <w:noProof/>
                <w:color w:val="000000"/>
              </w:rPr>
            </w:pPr>
          </w:p>
        </w:tc>
        <w:tc>
          <w:tcPr>
            <w:tcW w:w="1121" w:type="dxa"/>
            <w:tcBorders>
              <w:top w:val="single" w:sz="4" w:space="0" w:color="016794"/>
              <w:left w:val="nil"/>
              <w:bottom w:val="nil"/>
              <w:right w:val="nil"/>
              <w:tl2br w:val="nil"/>
              <w:tr2bl w:val="nil"/>
            </w:tcBorders>
            <w:tcMar>
              <w:left w:w="60" w:type="dxa"/>
              <w:right w:w="60" w:type="dxa"/>
            </w:tcMar>
            <w:vAlign w:val="center"/>
          </w:tcPr>
          <w:p w14:paraId="1B7F3B4E" w14:textId="77777777" w:rsidR="00807FFE" w:rsidRDefault="00807FFE">
            <w:pPr>
              <w:pStyle w:val="DMETW36753BIPCRPY"/>
              <w:rPr>
                <w:rFonts w:ascii="Arial" w:eastAsia="Arial" w:hAnsi="Arial" w:cs="Arial"/>
                <w:noProof/>
                <w:color w:val="000000"/>
              </w:rPr>
            </w:pPr>
          </w:p>
        </w:tc>
        <w:tc>
          <w:tcPr>
            <w:tcW w:w="953" w:type="dxa"/>
            <w:tcBorders>
              <w:top w:val="single" w:sz="4" w:space="0" w:color="016794"/>
              <w:left w:val="nil"/>
              <w:bottom w:val="nil"/>
              <w:right w:val="nil"/>
              <w:tl2br w:val="nil"/>
              <w:tr2bl w:val="nil"/>
            </w:tcBorders>
            <w:tcMar>
              <w:left w:w="60" w:type="dxa"/>
              <w:right w:w="60" w:type="dxa"/>
            </w:tcMar>
            <w:vAlign w:val="center"/>
          </w:tcPr>
          <w:p w14:paraId="7B12D80E" w14:textId="77777777" w:rsidR="00807FFE" w:rsidRDefault="00807FFE">
            <w:pPr>
              <w:pStyle w:val="DMETW36753BIPCRPY"/>
              <w:rPr>
                <w:rFonts w:ascii="Arial" w:eastAsia="Arial" w:hAnsi="Arial" w:cs="Arial"/>
                <w:noProof/>
                <w:color w:val="000000"/>
              </w:rPr>
            </w:pPr>
          </w:p>
        </w:tc>
        <w:tc>
          <w:tcPr>
            <w:tcW w:w="1100" w:type="dxa"/>
            <w:tcBorders>
              <w:top w:val="single" w:sz="4" w:space="0" w:color="016794"/>
              <w:left w:val="nil"/>
              <w:bottom w:val="nil"/>
              <w:right w:val="nil"/>
              <w:tl2br w:val="nil"/>
              <w:tr2bl w:val="nil"/>
            </w:tcBorders>
            <w:tcMar>
              <w:left w:w="60" w:type="dxa"/>
              <w:right w:w="60" w:type="dxa"/>
            </w:tcMar>
            <w:vAlign w:val="center"/>
          </w:tcPr>
          <w:p w14:paraId="1CF77E2F" w14:textId="77777777" w:rsidR="00807FFE" w:rsidRDefault="00807FFE">
            <w:pPr>
              <w:pStyle w:val="DMETW36753BIPCRPY"/>
              <w:rPr>
                <w:rFonts w:ascii="Arial" w:eastAsia="Arial" w:hAnsi="Arial" w:cs="Arial"/>
                <w:b/>
                <w:noProof/>
                <w:color w:val="000000"/>
                <w:lang w:bidi="en-GB"/>
              </w:rPr>
            </w:pPr>
          </w:p>
        </w:tc>
      </w:tr>
      <w:tr w:rsidR="00807FFE" w14:paraId="4927E183" w14:textId="77777777">
        <w:trPr>
          <w:trHeight w:val="255"/>
        </w:trPr>
        <w:tc>
          <w:tcPr>
            <w:tcW w:w="2798" w:type="dxa"/>
            <w:tcBorders>
              <w:top w:val="nil"/>
              <w:left w:val="nil"/>
              <w:bottom w:val="nil"/>
              <w:right w:val="nil"/>
              <w:tl2br w:val="nil"/>
              <w:tr2bl w:val="nil"/>
            </w:tcBorders>
            <w:tcMar>
              <w:left w:w="60" w:type="dxa"/>
              <w:right w:w="60" w:type="dxa"/>
            </w:tcMar>
            <w:vAlign w:val="center"/>
          </w:tcPr>
          <w:p w14:paraId="5A8BC7DB" w14:textId="77777777" w:rsidR="00807FFE" w:rsidRDefault="00023E71">
            <w:pPr>
              <w:pStyle w:val="DMETW36753BIPCRPY"/>
              <w:rPr>
                <w:rFonts w:ascii="Verdana" w:eastAsia="Verdana" w:hAnsi="Verdana" w:cs="Verdana"/>
                <w:i/>
                <w:noProof/>
                <w:color w:val="000000"/>
                <w:sz w:val="18"/>
              </w:rPr>
            </w:pPr>
            <w:r>
              <w:rPr>
                <w:rFonts w:ascii="Verdana" w:eastAsia="Verdana" w:hAnsi="Verdana" w:cs="Verdana"/>
                <w:i/>
                <w:noProof/>
                <w:color w:val="000000"/>
                <w:sz w:val="18"/>
              </w:rPr>
              <w:t>Financial guarantee liability</w:t>
            </w:r>
          </w:p>
        </w:tc>
        <w:tc>
          <w:tcPr>
            <w:tcW w:w="982" w:type="dxa"/>
            <w:tcBorders>
              <w:top w:val="nil"/>
              <w:left w:val="nil"/>
              <w:bottom w:val="nil"/>
              <w:right w:val="nil"/>
              <w:tl2br w:val="nil"/>
              <w:tr2bl w:val="nil"/>
            </w:tcBorders>
            <w:tcMar>
              <w:left w:w="60" w:type="dxa"/>
              <w:right w:w="60" w:type="dxa"/>
            </w:tcMar>
            <w:vAlign w:val="center"/>
          </w:tcPr>
          <w:p w14:paraId="3F7EFE57"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(518)</w:t>
            </w:r>
          </w:p>
        </w:tc>
        <w:tc>
          <w:tcPr>
            <w:tcW w:w="981" w:type="dxa"/>
            <w:tcBorders>
              <w:top w:val="nil"/>
              <w:left w:val="nil"/>
              <w:bottom w:val="nil"/>
              <w:right w:val="nil"/>
              <w:tl2br w:val="nil"/>
              <w:tr2bl w:val="nil"/>
            </w:tcBorders>
            <w:tcMar>
              <w:left w:w="60" w:type="dxa"/>
              <w:right w:w="60" w:type="dxa"/>
            </w:tcMar>
            <w:vAlign w:val="center"/>
          </w:tcPr>
          <w:p w14:paraId="05F02B06"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(36)</w:t>
            </w:r>
          </w:p>
        </w:tc>
        <w:tc>
          <w:tcPr>
            <w:tcW w:w="981" w:type="dxa"/>
            <w:tcBorders>
              <w:top w:val="nil"/>
              <w:left w:val="nil"/>
              <w:bottom w:val="nil"/>
              <w:right w:val="nil"/>
              <w:tl2br w:val="nil"/>
              <w:tr2bl w:val="nil"/>
            </w:tcBorders>
            <w:tcMar>
              <w:left w:w="60" w:type="dxa"/>
              <w:right w:w="60" w:type="dxa"/>
            </w:tcMar>
            <w:vAlign w:val="center"/>
          </w:tcPr>
          <w:p w14:paraId="69AF295E"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(59)</w:t>
            </w:r>
          </w:p>
        </w:tc>
        <w:tc>
          <w:tcPr>
            <w:tcW w:w="842" w:type="dxa"/>
            <w:tcBorders>
              <w:top w:val="nil"/>
              <w:left w:val="nil"/>
              <w:bottom w:val="nil"/>
              <w:right w:val="nil"/>
              <w:tl2br w:val="nil"/>
              <w:tr2bl w:val="nil"/>
            </w:tcBorders>
            <w:tcMar>
              <w:left w:w="60" w:type="dxa"/>
              <w:right w:w="60" w:type="dxa"/>
            </w:tcMar>
            <w:vAlign w:val="center"/>
          </w:tcPr>
          <w:p w14:paraId="7FD2F115"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121" w:type="dxa"/>
            <w:tcBorders>
              <w:top w:val="nil"/>
              <w:left w:val="nil"/>
              <w:bottom w:val="nil"/>
              <w:right w:val="nil"/>
              <w:tl2br w:val="nil"/>
              <w:tr2bl w:val="nil"/>
            </w:tcBorders>
            <w:tcMar>
              <w:left w:w="60" w:type="dxa"/>
              <w:right w:w="60" w:type="dxa"/>
            </w:tcMar>
            <w:vAlign w:val="center"/>
          </w:tcPr>
          <w:p w14:paraId="5A77AF15"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(112)</w:t>
            </w:r>
          </w:p>
        </w:tc>
        <w:tc>
          <w:tcPr>
            <w:tcW w:w="953" w:type="dxa"/>
            <w:tcBorders>
              <w:top w:val="nil"/>
              <w:left w:val="nil"/>
              <w:bottom w:val="nil"/>
              <w:right w:val="nil"/>
              <w:tl2br w:val="nil"/>
              <w:tr2bl w:val="nil"/>
            </w:tcBorders>
            <w:tcMar>
              <w:left w:w="60" w:type="dxa"/>
              <w:right w:w="60" w:type="dxa"/>
            </w:tcMar>
            <w:vAlign w:val="center"/>
          </w:tcPr>
          <w:p w14:paraId="3C84AD98"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(5 643)</w:t>
            </w:r>
          </w:p>
        </w:tc>
        <w:tc>
          <w:tcPr>
            <w:tcW w:w="1100" w:type="dxa"/>
            <w:tcBorders>
              <w:top w:val="nil"/>
              <w:left w:val="nil"/>
              <w:bottom w:val="nil"/>
              <w:right w:val="nil"/>
              <w:tl2br w:val="nil"/>
              <w:tr2bl w:val="nil"/>
            </w:tcBorders>
            <w:tcMar>
              <w:left w:w="60" w:type="dxa"/>
              <w:right w:w="60" w:type="dxa"/>
            </w:tcMar>
            <w:vAlign w:val="center"/>
          </w:tcPr>
          <w:p w14:paraId="49046873" w14:textId="77777777" w:rsidR="00807FFE" w:rsidRDefault="00023E71">
            <w:pPr>
              <w:pStyle w:val="DMETW36753BIPCRPY"/>
              <w:jc w:val="right"/>
              <w:rPr>
                <w:rFonts w:ascii="Verdana" w:eastAsia="Verdana" w:hAnsi="Verdana" w:cs="Verdana"/>
                <w:i/>
                <w:noProof/>
                <w:color w:val="000000"/>
                <w:sz w:val="18"/>
                <w:lang w:bidi="en-GB"/>
              </w:rPr>
            </w:pPr>
            <w:r>
              <w:rPr>
                <w:rFonts w:ascii="Verdana" w:eastAsia="Verdana" w:hAnsi="Verdana" w:cs="Verdana"/>
                <w:i/>
                <w:noProof/>
                <w:color w:val="000000"/>
                <w:sz w:val="18"/>
              </w:rPr>
              <w:t>(6 379)</w:t>
            </w:r>
          </w:p>
        </w:tc>
      </w:tr>
      <w:tr w:rsidR="00807FFE" w14:paraId="451AE38C" w14:textId="77777777">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14:paraId="1A034159" w14:textId="77777777" w:rsidR="00807FFE" w:rsidRDefault="00023E71">
            <w:pPr>
              <w:pStyle w:val="DMETW36753BIPCRPY"/>
              <w:rPr>
                <w:rFonts w:ascii="Verdana" w:eastAsia="Verdana" w:hAnsi="Verdana" w:cs="Verdana"/>
                <w:i/>
                <w:noProof/>
                <w:color w:val="000000"/>
                <w:sz w:val="18"/>
              </w:rPr>
            </w:pPr>
            <w:r>
              <w:rPr>
                <w:rFonts w:ascii="Verdana" w:eastAsia="Verdana" w:hAnsi="Verdana" w:cs="Verdana"/>
                <w:i/>
                <w:noProof/>
                <w:color w:val="000000"/>
                <w:sz w:val="18"/>
              </w:rPr>
              <w:t>Financial liabilities at FVSD</w:t>
            </w:r>
          </w:p>
        </w:tc>
        <w:tc>
          <w:tcPr>
            <w:tcW w:w="982" w:type="dxa"/>
            <w:tcBorders>
              <w:top w:val="nil"/>
              <w:left w:val="nil"/>
              <w:bottom w:val="single" w:sz="4" w:space="0" w:color="016794"/>
              <w:right w:val="nil"/>
              <w:tl2br w:val="nil"/>
              <w:tr2bl w:val="nil"/>
            </w:tcBorders>
            <w:tcMar>
              <w:left w:w="60" w:type="dxa"/>
              <w:right w:w="60" w:type="dxa"/>
            </w:tcMar>
            <w:vAlign w:val="center"/>
          </w:tcPr>
          <w:p w14:paraId="09EEB63F"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(1 712)</w:t>
            </w:r>
          </w:p>
        </w:tc>
        <w:tc>
          <w:tcPr>
            <w:tcW w:w="981" w:type="dxa"/>
            <w:tcBorders>
              <w:top w:val="nil"/>
              <w:left w:val="nil"/>
              <w:bottom w:val="single" w:sz="4" w:space="0" w:color="016794"/>
              <w:right w:val="nil"/>
              <w:tl2br w:val="nil"/>
              <w:tr2bl w:val="nil"/>
            </w:tcBorders>
            <w:tcMar>
              <w:left w:w="60" w:type="dxa"/>
              <w:right w:w="60" w:type="dxa"/>
            </w:tcMar>
            <w:vAlign w:val="center"/>
          </w:tcPr>
          <w:p w14:paraId="25D24A3B"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285</w:t>
            </w:r>
          </w:p>
        </w:tc>
        <w:tc>
          <w:tcPr>
            <w:tcW w:w="981" w:type="dxa"/>
            <w:tcBorders>
              <w:top w:val="nil"/>
              <w:left w:val="nil"/>
              <w:bottom w:val="single" w:sz="4" w:space="0" w:color="016794"/>
              <w:right w:val="nil"/>
              <w:tl2br w:val="nil"/>
              <w:tr2bl w:val="nil"/>
            </w:tcBorders>
            <w:tcMar>
              <w:left w:w="60" w:type="dxa"/>
              <w:right w:w="60" w:type="dxa"/>
            </w:tcMar>
            <w:vAlign w:val="center"/>
          </w:tcPr>
          <w:p w14:paraId="0F768DE2"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76</w:t>
            </w:r>
          </w:p>
        </w:tc>
        <w:tc>
          <w:tcPr>
            <w:tcW w:w="842" w:type="dxa"/>
            <w:tcBorders>
              <w:top w:val="nil"/>
              <w:left w:val="nil"/>
              <w:bottom w:val="single" w:sz="4" w:space="0" w:color="016794"/>
              <w:right w:val="nil"/>
              <w:tl2br w:val="nil"/>
              <w:tr2bl w:val="nil"/>
            </w:tcBorders>
            <w:tcMar>
              <w:left w:w="60" w:type="dxa"/>
              <w:right w:w="60" w:type="dxa"/>
            </w:tcMar>
            <w:vAlign w:val="center"/>
          </w:tcPr>
          <w:p w14:paraId="522DBF6A"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75</w:t>
            </w:r>
          </w:p>
        </w:tc>
        <w:tc>
          <w:tcPr>
            <w:tcW w:w="1121" w:type="dxa"/>
            <w:tcBorders>
              <w:top w:val="nil"/>
              <w:left w:val="nil"/>
              <w:bottom w:val="single" w:sz="4" w:space="0" w:color="016794"/>
              <w:right w:val="nil"/>
              <w:tl2br w:val="nil"/>
              <w:tr2bl w:val="nil"/>
            </w:tcBorders>
            <w:tcMar>
              <w:left w:w="60" w:type="dxa"/>
              <w:right w:w="60" w:type="dxa"/>
            </w:tcMar>
            <w:vAlign w:val="center"/>
          </w:tcPr>
          <w:p w14:paraId="401514B5"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 xml:space="preserve"> 138</w:t>
            </w:r>
          </w:p>
        </w:tc>
        <w:tc>
          <w:tcPr>
            <w:tcW w:w="953" w:type="dxa"/>
            <w:tcBorders>
              <w:top w:val="nil"/>
              <w:left w:val="nil"/>
              <w:bottom w:val="single" w:sz="4" w:space="0" w:color="016794"/>
              <w:right w:val="nil"/>
              <w:tl2br w:val="nil"/>
              <w:tr2bl w:val="nil"/>
            </w:tcBorders>
            <w:tcMar>
              <w:left w:w="60" w:type="dxa"/>
              <w:right w:w="60" w:type="dxa"/>
            </w:tcMar>
            <w:vAlign w:val="center"/>
          </w:tcPr>
          <w:p w14:paraId="03C83D5F" w14:textId="77777777" w:rsidR="00807FFE" w:rsidRDefault="00023E71">
            <w:pPr>
              <w:pStyle w:val="DMETW36753BIPCRPY"/>
              <w:jc w:val="right"/>
              <w:rPr>
                <w:rFonts w:ascii="Verdana" w:eastAsia="Verdana" w:hAnsi="Verdana" w:cs="Verdana"/>
                <w:i/>
                <w:noProof/>
                <w:color w:val="000000"/>
                <w:sz w:val="18"/>
              </w:rPr>
            </w:pPr>
            <w:r>
              <w:rPr>
                <w:rFonts w:ascii="Verdana" w:eastAsia="Verdana" w:hAnsi="Verdana" w:cs="Verdana"/>
                <w:i/>
                <w:noProof/>
                <w:color w:val="000000"/>
                <w:sz w:val="18"/>
              </w:rPr>
              <w:t>1 040</w:t>
            </w:r>
          </w:p>
        </w:tc>
        <w:tc>
          <w:tcPr>
            <w:tcW w:w="1100" w:type="dxa"/>
            <w:tcBorders>
              <w:top w:val="nil"/>
              <w:left w:val="nil"/>
              <w:bottom w:val="single" w:sz="4" w:space="0" w:color="016794"/>
              <w:right w:val="nil"/>
              <w:tl2br w:val="nil"/>
              <w:tr2bl w:val="nil"/>
            </w:tcBorders>
            <w:tcMar>
              <w:left w:w="60" w:type="dxa"/>
              <w:right w:w="60" w:type="dxa"/>
            </w:tcMar>
            <w:vAlign w:val="center"/>
          </w:tcPr>
          <w:p w14:paraId="33E72248" w14:textId="77777777" w:rsidR="00807FFE" w:rsidRDefault="00023E71">
            <w:pPr>
              <w:pStyle w:val="DMETW36753BIPCRP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(98)</w:t>
            </w:r>
          </w:p>
        </w:tc>
      </w:tr>
      <w:tr w:rsidR="00807FFE" w14:paraId="003AB1AF" w14:textId="77777777">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14:paraId="33983EF6" w14:textId="77777777" w:rsidR="00807FFE" w:rsidRDefault="00807FFE">
            <w:pPr>
              <w:pStyle w:val="DMETW36753BIPCRP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14:paraId="72B439AF"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(2 230)</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0715D202"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248</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6B264BB3"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17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14:paraId="3732FBFA"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63</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14:paraId="39F979AA"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26</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14:paraId="32BD526A"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(4 603)</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14:paraId="240F7650" w14:textId="77777777" w:rsidR="00807FFE" w:rsidRDefault="00023E71">
            <w:pPr>
              <w:pStyle w:val="DMETW36753BIPCRPY"/>
              <w:jc w:val="right"/>
              <w:rPr>
                <w:rFonts w:ascii="Verdana" w:eastAsia="Verdana" w:hAnsi="Verdana" w:cs="Verdana"/>
                <w:b/>
                <w:noProof/>
                <w:color w:val="000000"/>
                <w:sz w:val="18"/>
                <w:lang w:bidi="en-GB"/>
              </w:rPr>
            </w:pPr>
            <w:r>
              <w:rPr>
                <w:rFonts w:ascii="Verdana" w:eastAsia="Verdana" w:hAnsi="Verdana" w:cs="Verdana"/>
                <w:b/>
                <w:noProof/>
                <w:color w:val="000000"/>
                <w:sz w:val="18"/>
              </w:rPr>
              <w:t>(6 477)</w:t>
            </w:r>
          </w:p>
        </w:tc>
      </w:tr>
      <w:tr w:rsidR="00807FFE" w14:paraId="520396AE" w14:textId="77777777">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14:paraId="66BF3926" w14:textId="77777777" w:rsidR="00807FFE" w:rsidRDefault="00023E71">
            <w:pPr>
              <w:pStyle w:val="DMETW36753BIPCRPY"/>
              <w:rPr>
                <w:rFonts w:ascii="Verdana" w:eastAsia="Verdana" w:hAnsi="Verdana" w:cs="Verdana"/>
                <w:b/>
                <w:noProof/>
                <w:color w:val="000000"/>
                <w:sz w:val="18"/>
              </w:rPr>
            </w:pPr>
            <w:r>
              <w:rPr>
                <w:rFonts w:ascii="Verdana" w:eastAsia="Verdana" w:hAnsi="Verdana" w:cs="Verdana"/>
                <w:b/>
                <w:noProof/>
                <w:color w:val="000000"/>
                <w:sz w:val="18"/>
              </w:rPr>
              <w:t>Total</w:t>
            </w: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14:paraId="510057F2"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141</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153AD1C8"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512</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14:paraId="0C8EAA98"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607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14:paraId="583340E4"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 xml:space="preserve"> 423</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14:paraId="414D4318"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1 230</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14:paraId="4C13C882"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102 237</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14:paraId="2E00066F" w14:textId="77777777" w:rsidR="00807FFE" w:rsidRDefault="00023E71">
            <w:pPr>
              <w:pStyle w:val="DMETW36753BIPCRPY"/>
              <w:jc w:val="right"/>
              <w:rPr>
                <w:rFonts w:ascii="Verdana" w:eastAsia="Verdana" w:hAnsi="Verdana" w:cs="Verdana"/>
                <w:b/>
                <w:noProof/>
                <w:color w:val="000000"/>
                <w:sz w:val="18"/>
              </w:rPr>
            </w:pPr>
            <w:r>
              <w:rPr>
                <w:rFonts w:ascii="Verdana" w:eastAsia="Verdana" w:hAnsi="Verdana" w:cs="Verdana"/>
                <w:b/>
                <w:noProof/>
                <w:color w:val="000000"/>
                <w:sz w:val="18"/>
              </w:rPr>
              <w:t>105 151</w:t>
            </w:r>
          </w:p>
        </w:tc>
      </w:tr>
    </w:tbl>
    <w:p w14:paraId="6EB8808D" w14:textId="77777777" w:rsidR="005779E6" w:rsidRDefault="00023E71" w:rsidP="005779E6">
      <w:pPr>
        <w:pStyle w:val="Textstand-alone"/>
        <w:tabs>
          <w:tab w:val="left" w:pos="142"/>
        </w:tabs>
        <w:spacing w:before="60" w:after="0"/>
        <w:ind w:left="142" w:hanging="142"/>
        <w:rPr>
          <w:i/>
          <w:sz w:val="14"/>
        </w:rPr>
      </w:pPr>
      <w:r w:rsidRPr="005779E6">
        <w:rPr>
          <w:i/>
          <w:sz w:val="14"/>
          <w:vertAlign w:val="superscript"/>
        </w:rPr>
        <w:t>*</w:t>
      </w:r>
      <w:r>
        <w:rPr>
          <w:i/>
          <w:sz w:val="14"/>
        </w:rPr>
        <w:tab/>
      </w:r>
      <w:r w:rsidR="005E13A9" w:rsidRPr="006C6C67">
        <w:rPr>
          <w:i/>
          <w:sz w:val="14"/>
        </w:rPr>
        <w:t xml:space="preserve">Excluding </w:t>
      </w:r>
      <w:r w:rsidR="005E13A9">
        <w:rPr>
          <w:i/>
          <w:sz w:val="14"/>
        </w:rPr>
        <w:t xml:space="preserve">loans </w:t>
      </w:r>
      <w:r w:rsidR="00150B70">
        <w:rPr>
          <w:i/>
          <w:sz w:val="14"/>
        </w:rPr>
        <w:t>to Member States and third countries</w:t>
      </w:r>
      <w:r w:rsidR="005E13A9" w:rsidRPr="006C6C67">
        <w:rPr>
          <w:i/>
          <w:sz w:val="14"/>
        </w:rPr>
        <w:t>.</w:t>
      </w:r>
    </w:p>
    <w:p w14:paraId="37289E47" w14:textId="77777777" w:rsidR="00BC0FF8" w:rsidRDefault="00023E71" w:rsidP="005779E6">
      <w:pPr>
        <w:pStyle w:val="Textstand-alone"/>
        <w:tabs>
          <w:tab w:val="left" w:pos="142"/>
        </w:tabs>
        <w:spacing w:before="0" w:after="0"/>
        <w:ind w:left="142" w:hanging="142"/>
        <w:rPr>
          <w:i/>
          <w:sz w:val="14"/>
        </w:rPr>
      </w:pPr>
      <w:r w:rsidRPr="005779E6">
        <w:rPr>
          <w:i/>
          <w:sz w:val="14"/>
          <w:vertAlign w:val="superscript"/>
        </w:rPr>
        <w:t>**</w:t>
      </w:r>
      <w:r>
        <w:rPr>
          <w:i/>
          <w:sz w:val="14"/>
        </w:rPr>
        <w:tab/>
      </w:r>
      <w:r w:rsidR="005E13A9" w:rsidRPr="006C6C67">
        <w:rPr>
          <w:i/>
          <w:sz w:val="14"/>
        </w:rPr>
        <w:t>Excluding deferred charges.</w:t>
      </w:r>
    </w:p>
    <w:p w14:paraId="2C4CE9C7" w14:textId="77777777" w:rsidR="00792ECE" w:rsidRPr="005779E6" w:rsidRDefault="00023E71" w:rsidP="00792ECE">
      <w:pPr>
        <w:pStyle w:val="DGTextstand-alone"/>
        <w:rPr>
          <w:lang w:val="en-IE" w:eastAsia="en-IE"/>
        </w:rPr>
      </w:pPr>
      <w:r w:rsidRPr="005779E6">
        <w:rPr>
          <w:lang w:val="en-IE" w:eastAsia="en-IE"/>
        </w:rPr>
        <w:t>If the EUR had strengthened or weakened against other currencies by 10%, then it would have had the following impact on the economic result:</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9"/>
        <w:gridCol w:w="1385"/>
        <w:gridCol w:w="1338"/>
        <w:gridCol w:w="1338"/>
        <w:gridCol w:w="1198"/>
      </w:tblGrid>
      <w:tr w:rsidR="00807FFE" w14:paraId="40186FBB" w14:textId="77777777">
        <w:trPr>
          <w:trHeight w:val="255"/>
        </w:trPr>
        <w:tc>
          <w:tcPr>
            <w:tcW w:w="4499" w:type="dxa"/>
            <w:tcBorders>
              <w:top w:val="nil"/>
              <w:left w:val="nil"/>
              <w:bottom w:val="nil"/>
              <w:right w:val="nil"/>
              <w:tl2br w:val="nil"/>
              <w:tr2bl w:val="nil"/>
            </w:tcBorders>
            <w:tcMar>
              <w:left w:w="60" w:type="dxa"/>
              <w:right w:w="60" w:type="dxa"/>
            </w:tcMar>
            <w:vAlign w:val="bottom"/>
          </w:tcPr>
          <w:p w14:paraId="1DB144EC" w14:textId="77777777" w:rsidR="00807FFE" w:rsidRDefault="00807FFE">
            <w:pPr>
              <w:pStyle w:val="DMETW36753BIPCYS"/>
              <w:rPr>
                <w:rFonts w:ascii="Arial" w:eastAsia="Arial" w:hAnsi="Arial" w:cs="Arial"/>
                <w:noProof/>
                <w:color w:val="000000"/>
                <w:lang w:bidi="en-GB"/>
              </w:rPr>
            </w:pPr>
            <w:bookmarkStart w:id="223" w:name="DOC_TBL00090_1_1"/>
            <w:bookmarkEnd w:id="223"/>
          </w:p>
        </w:tc>
        <w:tc>
          <w:tcPr>
            <w:tcW w:w="1385" w:type="dxa"/>
            <w:tcBorders>
              <w:top w:val="nil"/>
              <w:left w:val="nil"/>
              <w:bottom w:val="nil"/>
              <w:right w:val="nil"/>
              <w:tl2br w:val="nil"/>
              <w:tr2bl w:val="nil"/>
            </w:tcBorders>
            <w:tcMar>
              <w:left w:w="60" w:type="dxa"/>
              <w:right w:w="60" w:type="dxa"/>
            </w:tcMar>
            <w:vAlign w:val="bottom"/>
          </w:tcPr>
          <w:p w14:paraId="34ADCC1B" w14:textId="77777777" w:rsidR="00807FFE" w:rsidRDefault="00807FFE">
            <w:pPr>
              <w:pStyle w:val="DMETW36753BIPC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14:paraId="0A7BEE65" w14:textId="77777777" w:rsidR="00807FFE" w:rsidRDefault="00807FFE">
            <w:pPr>
              <w:pStyle w:val="DMETW36753BIPC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14:paraId="4F755036" w14:textId="77777777" w:rsidR="00807FFE" w:rsidRDefault="00807FFE">
            <w:pPr>
              <w:pStyle w:val="DMETW36753BIPCYS"/>
              <w:rPr>
                <w:rFonts w:ascii="Arial" w:eastAsia="Arial" w:hAnsi="Arial" w:cs="Arial"/>
                <w:noProof/>
                <w:color w:val="000000"/>
              </w:rPr>
            </w:pPr>
          </w:p>
        </w:tc>
        <w:tc>
          <w:tcPr>
            <w:tcW w:w="1198" w:type="dxa"/>
            <w:tcBorders>
              <w:top w:val="nil"/>
              <w:left w:val="nil"/>
              <w:bottom w:val="nil"/>
              <w:right w:val="nil"/>
              <w:tl2br w:val="nil"/>
              <w:tr2bl w:val="nil"/>
            </w:tcBorders>
            <w:tcMar>
              <w:left w:w="60" w:type="dxa"/>
              <w:right w:w="60" w:type="dxa"/>
            </w:tcMar>
            <w:vAlign w:val="bottom"/>
          </w:tcPr>
          <w:p w14:paraId="6293184F" w14:textId="77777777" w:rsidR="00807FFE" w:rsidRDefault="00023E71">
            <w:pPr>
              <w:pStyle w:val="DMETW36753BIPCY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8E1F0CA" w14:textId="77777777">
        <w:trPr>
          <w:trHeight w:val="255"/>
        </w:trPr>
        <w:tc>
          <w:tcPr>
            <w:tcW w:w="4499" w:type="dxa"/>
            <w:vMerge w:val="restart"/>
            <w:tcBorders>
              <w:top w:val="nil"/>
              <w:left w:val="nil"/>
              <w:bottom w:val="nil"/>
              <w:right w:val="nil"/>
              <w:tl2br w:val="nil"/>
              <w:tr2bl w:val="nil"/>
            </w:tcBorders>
            <w:shd w:val="solid" w:color="016794" w:fill="FFFFFF"/>
            <w:tcMar>
              <w:left w:w="60" w:type="dxa"/>
              <w:right w:w="60" w:type="dxa"/>
            </w:tcMar>
            <w:vAlign w:val="center"/>
          </w:tcPr>
          <w:p w14:paraId="04833B65" w14:textId="77777777" w:rsidR="00807FFE" w:rsidRDefault="00023E71">
            <w:pPr>
              <w:pStyle w:val="DMETW36753BIPCYS"/>
              <w:jc w:val="right"/>
              <w:rPr>
                <w:rFonts w:ascii="Verdana" w:eastAsia="Verdana" w:hAnsi="Verdana" w:cs="Verdana"/>
                <w:noProof/>
                <w:color w:val="FFFFFF"/>
              </w:rPr>
            </w:pPr>
            <w:r>
              <w:rPr>
                <w:rFonts w:ascii="Verdana" w:eastAsia="Verdana" w:hAnsi="Verdana" w:cs="Verdana"/>
                <w:noProof/>
                <w:color w:val="FFFFFF"/>
              </w:rPr>
              <w:t>FX Rate Increase (+)/</w:t>
            </w:r>
          </w:p>
          <w:p w14:paraId="398A38BB" w14:textId="77777777" w:rsidR="00807FFE" w:rsidRDefault="00023E71">
            <w:pPr>
              <w:pStyle w:val="DMETW36753BIPCYS"/>
              <w:jc w:val="right"/>
              <w:rPr>
                <w:rFonts w:ascii="Verdana" w:eastAsia="Verdana" w:hAnsi="Verdana" w:cs="Verdana"/>
                <w:noProof/>
                <w:color w:val="FFFFFF"/>
              </w:rPr>
            </w:pPr>
            <w:r>
              <w:rPr>
                <w:rFonts w:ascii="Verdana" w:eastAsia="Verdana" w:hAnsi="Verdana" w:cs="Verdana"/>
                <w:noProof/>
                <w:color w:val="FFFFFF"/>
              </w:rPr>
              <w:t>Decrease (-)</w:t>
            </w:r>
          </w:p>
        </w:tc>
        <w:tc>
          <w:tcPr>
            <w:tcW w:w="1385" w:type="dxa"/>
            <w:gridSpan w:val="4"/>
            <w:tcBorders>
              <w:top w:val="nil"/>
              <w:left w:val="nil"/>
              <w:bottom w:val="nil"/>
              <w:right w:val="nil"/>
              <w:tl2br w:val="nil"/>
              <w:tr2bl w:val="nil"/>
            </w:tcBorders>
            <w:shd w:val="solid" w:color="016794" w:fill="FFFFFF"/>
            <w:tcMar>
              <w:left w:w="60" w:type="dxa"/>
              <w:right w:w="60" w:type="dxa"/>
            </w:tcMar>
            <w:vAlign w:val="center"/>
          </w:tcPr>
          <w:p w14:paraId="06AF29C4" w14:textId="77777777" w:rsidR="00807FFE" w:rsidRDefault="00023E71">
            <w:pPr>
              <w:pStyle w:val="DMETW36753BIPCYS"/>
              <w:jc w:val="center"/>
              <w:rPr>
                <w:rFonts w:ascii="Verdana" w:eastAsia="Verdana" w:hAnsi="Verdana" w:cs="Verdana"/>
                <w:noProof/>
                <w:color w:val="FFFFFF"/>
                <w:lang w:bidi="en-GB"/>
              </w:rPr>
            </w:pPr>
            <w:r>
              <w:rPr>
                <w:rFonts w:ascii="Verdana" w:eastAsia="Verdana" w:hAnsi="Verdana" w:cs="Verdana"/>
                <w:noProof/>
                <w:color w:val="FFFFFF"/>
              </w:rPr>
              <w:t>2025</w:t>
            </w:r>
          </w:p>
        </w:tc>
      </w:tr>
      <w:tr w:rsidR="00807FFE" w14:paraId="3D128A07" w14:textId="77777777">
        <w:trPr>
          <w:trHeight w:val="255"/>
        </w:trPr>
        <w:tc>
          <w:tcPr>
            <w:tcW w:w="3930" w:type="dxa"/>
            <w:vMerge/>
            <w:tcBorders>
              <w:top w:val="nil"/>
              <w:left w:val="nil"/>
              <w:bottom w:val="nil"/>
              <w:right w:val="nil"/>
              <w:tl2br w:val="nil"/>
              <w:tr2bl w:val="nil"/>
            </w:tcBorders>
            <w:shd w:val="solid" w:color="016794" w:fill="FFFFFF"/>
            <w:tcMar>
              <w:left w:w="60" w:type="dxa"/>
              <w:right w:w="60" w:type="dxa"/>
            </w:tcMar>
            <w:vAlign w:val="center"/>
          </w:tcPr>
          <w:p w14:paraId="5EDF2BC7" w14:textId="77777777" w:rsidR="00807FFE" w:rsidRDefault="00807FFE">
            <w:pPr>
              <w:pStyle w:val="DMETW36753BIPCYS"/>
              <w:jc w:val="right"/>
              <w:rPr>
                <w:rFonts w:ascii="Verdana" w:eastAsia="Verdana" w:hAnsi="Verdana" w:cs="Verdana"/>
                <w:noProof/>
                <w:color w:val="FFFFFF"/>
              </w:rPr>
            </w:pPr>
          </w:p>
        </w:tc>
        <w:tc>
          <w:tcPr>
            <w:tcW w:w="1385" w:type="dxa"/>
            <w:tcBorders>
              <w:top w:val="nil"/>
              <w:left w:val="nil"/>
              <w:bottom w:val="nil"/>
              <w:right w:val="nil"/>
              <w:tl2br w:val="nil"/>
              <w:tr2bl w:val="nil"/>
            </w:tcBorders>
            <w:shd w:val="solid" w:color="016794" w:fill="FFFFFF"/>
            <w:tcMar>
              <w:left w:w="60" w:type="dxa"/>
              <w:right w:w="60" w:type="dxa"/>
            </w:tcMar>
            <w:vAlign w:val="center"/>
          </w:tcPr>
          <w:p w14:paraId="329F6C8D" w14:textId="77777777" w:rsidR="00807FFE" w:rsidRDefault="00023E71">
            <w:pPr>
              <w:pStyle w:val="DMETW36753BIPCYS"/>
              <w:jc w:val="right"/>
              <w:rPr>
                <w:rFonts w:ascii="Verdana" w:eastAsia="Verdana" w:hAnsi="Verdana" w:cs="Verdana"/>
                <w:noProof/>
                <w:color w:val="FFFFFF"/>
              </w:rPr>
            </w:pPr>
            <w:r>
              <w:rPr>
                <w:rFonts w:ascii="Verdana" w:eastAsia="Verdana" w:hAnsi="Verdana" w:cs="Verdana"/>
                <w:noProof/>
                <w:color w:val="FFFFFF"/>
              </w:rPr>
              <w:t>USD</w:t>
            </w:r>
          </w:p>
        </w:tc>
        <w:tc>
          <w:tcPr>
            <w:tcW w:w="1338" w:type="dxa"/>
            <w:tcBorders>
              <w:top w:val="nil"/>
              <w:left w:val="nil"/>
              <w:bottom w:val="nil"/>
              <w:right w:val="nil"/>
              <w:tl2br w:val="nil"/>
              <w:tr2bl w:val="nil"/>
            </w:tcBorders>
            <w:shd w:val="solid" w:color="016794" w:fill="FFFFFF"/>
            <w:tcMar>
              <w:left w:w="60" w:type="dxa"/>
              <w:right w:w="60" w:type="dxa"/>
            </w:tcMar>
            <w:vAlign w:val="center"/>
          </w:tcPr>
          <w:p w14:paraId="29142F59" w14:textId="77777777" w:rsidR="00807FFE" w:rsidRDefault="00023E71">
            <w:pPr>
              <w:pStyle w:val="DMETW36753BIPCYS"/>
              <w:jc w:val="right"/>
              <w:rPr>
                <w:rFonts w:ascii="Verdana" w:eastAsia="Verdana" w:hAnsi="Verdana" w:cs="Verdana"/>
                <w:noProof/>
                <w:color w:val="FFFFFF"/>
              </w:rPr>
            </w:pPr>
            <w:r>
              <w:rPr>
                <w:rFonts w:ascii="Verdana" w:eastAsia="Verdana" w:hAnsi="Verdana" w:cs="Verdana"/>
                <w:noProof/>
                <w:color w:val="FFFFFF"/>
              </w:rPr>
              <w:t>RON</w:t>
            </w:r>
          </w:p>
        </w:tc>
        <w:tc>
          <w:tcPr>
            <w:tcW w:w="1338" w:type="dxa"/>
            <w:tcBorders>
              <w:top w:val="nil"/>
              <w:left w:val="nil"/>
              <w:bottom w:val="nil"/>
              <w:right w:val="nil"/>
              <w:tl2br w:val="nil"/>
              <w:tr2bl w:val="nil"/>
            </w:tcBorders>
            <w:shd w:val="solid" w:color="016794" w:fill="FFFFFF"/>
            <w:tcMar>
              <w:left w:w="60" w:type="dxa"/>
              <w:right w:w="60" w:type="dxa"/>
            </w:tcMar>
            <w:vAlign w:val="center"/>
          </w:tcPr>
          <w:p w14:paraId="06691FCF" w14:textId="77777777" w:rsidR="00807FFE" w:rsidRDefault="00023E71">
            <w:pPr>
              <w:pStyle w:val="DMETW36753BIPCYS"/>
              <w:jc w:val="right"/>
              <w:rPr>
                <w:rFonts w:ascii="Verdana" w:eastAsia="Verdana" w:hAnsi="Verdana" w:cs="Verdana"/>
                <w:noProof/>
                <w:color w:val="FFFFFF"/>
              </w:rPr>
            </w:pPr>
            <w:r>
              <w:rPr>
                <w:rFonts w:ascii="Verdana" w:eastAsia="Verdana" w:hAnsi="Verdana" w:cs="Verdana"/>
                <w:noProof/>
                <w:color w:val="FFFFFF"/>
              </w:rPr>
              <w:t>PLN</w:t>
            </w:r>
          </w:p>
        </w:tc>
        <w:tc>
          <w:tcPr>
            <w:tcW w:w="1198" w:type="dxa"/>
            <w:tcBorders>
              <w:top w:val="nil"/>
              <w:left w:val="nil"/>
              <w:bottom w:val="nil"/>
              <w:right w:val="nil"/>
              <w:tl2br w:val="nil"/>
              <w:tr2bl w:val="nil"/>
            </w:tcBorders>
            <w:shd w:val="solid" w:color="016794" w:fill="FFFFFF"/>
            <w:tcMar>
              <w:left w:w="60" w:type="dxa"/>
              <w:right w:w="60" w:type="dxa"/>
            </w:tcMar>
            <w:vAlign w:val="center"/>
          </w:tcPr>
          <w:p w14:paraId="09F5FDB4" w14:textId="77777777" w:rsidR="00807FFE" w:rsidRDefault="00023E71">
            <w:pPr>
              <w:pStyle w:val="DMETW36753BIPCYS"/>
              <w:jc w:val="right"/>
              <w:rPr>
                <w:rFonts w:ascii="Verdana" w:eastAsia="Verdana" w:hAnsi="Verdana" w:cs="Verdana"/>
                <w:noProof/>
                <w:color w:val="FFFFFF"/>
                <w:lang w:bidi="en-GB"/>
              </w:rPr>
            </w:pPr>
            <w:r>
              <w:rPr>
                <w:rFonts w:ascii="Verdana" w:eastAsia="Verdana" w:hAnsi="Verdana" w:cs="Verdana"/>
                <w:noProof/>
                <w:color w:val="FFFFFF"/>
              </w:rPr>
              <w:t>SEK</w:t>
            </w:r>
          </w:p>
        </w:tc>
      </w:tr>
      <w:tr w:rsidR="00807FFE" w14:paraId="09F25265" w14:textId="77777777">
        <w:trPr>
          <w:trHeight w:val="255"/>
        </w:trPr>
        <w:tc>
          <w:tcPr>
            <w:tcW w:w="4499" w:type="dxa"/>
            <w:tcBorders>
              <w:top w:val="nil"/>
              <w:left w:val="nil"/>
              <w:bottom w:val="nil"/>
              <w:right w:val="nil"/>
              <w:tl2br w:val="nil"/>
              <w:tr2bl w:val="nil"/>
            </w:tcBorders>
            <w:tcMar>
              <w:left w:w="60" w:type="dxa"/>
              <w:right w:w="60" w:type="dxa"/>
            </w:tcMar>
            <w:vAlign w:val="center"/>
          </w:tcPr>
          <w:p w14:paraId="0B460BC2"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+10%</w:t>
            </w:r>
          </w:p>
        </w:tc>
        <w:tc>
          <w:tcPr>
            <w:tcW w:w="1385" w:type="dxa"/>
            <w:tcBorders>
              <w:top w:val="nil"/>
              <w:left w:val="nil"/>
              <w:bottom w:val="nil"/>
              <w:right w:val="nil"/>
              <w:tl2br w:val="nil"/>
              <w:tr2bl w:val="nil"/>
            </w:tcBorders>
            <w:tcMar>
              <w:left w:w="60" w:type="dxa"/>
              <w:right w:w="60" w:type="dxa"/>
            </w:tcMar>
            <w:vAlign w:val="center"/>
          </w:tcPr>
          <w:p w14:paraId="193DC375"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 xml:space="preserve"> (34)</w:t>
            </w:r>
          </w:p>
        </w:tc>
        <w:tc>
          <w:tcPr>
            <w:tcW w:w="1338" w:type="dxa"/>
            <w:tcBorders>
              <w:top w:val="nil"/>
              <w:left w:val="nil"/>
              <w:bottom w:val="nil"/>
              <w:right w:val="nil"/>
              <w:tl2br w:val="nil"/>
              <w:tr2bl w:val="nil"/>
            </w:tcBorders>
            <w:tcMar>
              <w:left w:w="60" w:type="dxa"/>
              <w:right w:w="60" w:type="dxa"/>
            </w:tcMar>
            <w:vAlign w:val="center"/>
          </w:tcPr>
          <w:p w14:paraId="718018E5"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 xml:space="preserve"> (79)</w:t>
            </w:r>
          </w:p>
        </w:tc>
        <w:tc>
          <w:tcPr>
            <w:tcW w:w="1338" w:type="dxa"/>
            <w:tcBorders>
              <w:top w:val="nil"/>
              <w:left w:val="nil"/>
              <w:bottom w:val="nil"/>
              <w:right w:val="nil"/>
              <w:tl2br w:val="nil"/>
              <w:tr2bl w:val="nil"/>
            </w:tcBorders>
            <w:tcMar>
              <w:left w:w="60" w:type="dxa"/>
              <w:right w:w="60" w:type="dxa"/>
            </w:tcMar>
            <w:vAlign w:val="center"/>
          </w:tcPr>
          <w:p w14:paraId="5A480EA3"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 xml:space="preserve"> (147)</w:t>
            </w:r>
          </w:p>
        </w:tc>
        <w:tc>
          <w:tcPr>
            <w:tcW w:w="1198" w:type="dxa"/>
            <w:tcBorders>
              <w:top w:val="nil"/>
              <w:left w:val="nil"/>
              <w:bottom w:val="nil"/>
              <w:right w:val="nil"/>
              <w:tl2br w:val="nil"/>
              <w:tr2bl w:val="nil"/>
            </w:tcBorders>
            <w:tcMar>
              <w:left w:w="60" w:type="dxa"/>
              <w:right w:w="60" w:type="dxa"/>
            </w:tcMar>
            <w:vAlign w:val="center"/>
          </w:tcPr>
          <w:p w14:paraId="19667063" w14:textId="77777777" w:rsidR="00807FFE" w:rsidRDefault="00023E71">
            <w:pPr>
              <w:pStyle w:val="DMETW36753BIPCY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(65)</w:t>
            </w:r>
          </w:p>
        </w:tc>
      </w:tr>
      <w:tr w:rsidR="00807FFE" w14:paraId="5F1FD19B" w14:textId="77777777">
        <w:trPr>
          <w:trHeight w:val="255"/>
        </w:trPr>
        <w:tc>
          <w:tcPr>
            <w:tcW w:w="4499" w:type="dxa"/>
            <w:tcBorders>
              <w:top w:val="nil"/>
              <w:left w:val="nil"/>
              <w:bottom w:val="nil"/>
              <w:right w:val="nil"/>
              <w:tl2br w:val="nil"/>
              <w:tr2bl w:val="nil"/>
            </w:tcBorders>
            <w:tcMar>
              <w:left w:w="60" w:type="dxa"/>
              <w:right w:w="60" w:type="dxa"/>
            </w:tcMar>
            <w:vAlign w:val="center"/>
          </w:tcPr>
          <w:p w14:paraId="304FAAA9"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-10%</w:t>
            </w:r>
          </w:p>
        </w:tc>
        <w:tc>
          <w:tcPr>
            <w:tcW w:w="1385" w:type="dxa"/>
            <w:tcBorders>
              <w:top w:val="nil"/>
              <w:left w:val="nil"/>
              <w:bottom w:val="nil"/>
              <w:right w:val="nil"/>
              <w:tl2br w:val="nil"/>
              <w:tr2bl w:val="nil"/>
            </w:tcBorders>
            <w:tcMar>
              <w:left w:w="60" w:type="dxa"/>
              <w:right w:w="60" w:type="dxa"/>
            </w:tcMar>
            <w:vAlign w:val="center"/>
          </w:tcPr>
          <w:p w14:paraId="7B52D12F"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 xml:space="preserve"> 41</w:t>
            </w:r>
          </w:p>
        </w:tc>
        <w:tc>
          <w:tcPr>
            <w:tcW w:w="1338" w:type="dxa"/>
            <w:tcBorders>
              <w:top w:val="nil"/>
              <w:left w:val="nil"/>
              <w:bottom w:val="nil"/>
              <w:right w:val="nil"/>
              <w:tl2br w:val="nil"/>
              <w:tr2bl w:val="nil"/>
            </w:tcBorders>
            <w:tcMar>
              <w:left w:w="60" w:type="dxa"/>
              <w:right w:w="60" w:type="dxa"/>
            </w:tcMar>
            <w:vAlign w:val="center"/>
          </w:tcPr>
          <w:p w14:paraId="332FF654"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 xml:space="preserve"> 96</w:t>
            </w:r>
          </w:p>
        </w:tc>
        <w:tc>
          <w:tcPr>
            <w:tcW w:w="1338" w:type="dxa"/>
            <w:tcBorders>
              <w:top w:val="nil"/>
              <w:left w:val="nil"/>
              <w:bottom w:val="nil"/>
              <w:right w:val="nil"/>
              <w:tl2br w:val="nil"/>
              <w:tr2bl w:val="nil"/>
            </w:tcBorders>
            <w:tcMar>
              <w:left w:w="60" w:type="dxa"/>
              <w:right w:w="60" w:type="dxa"/>
            </w:tcMar>
            <w:vAlign w:val="center"/>
          </w:tcPr>
          <w:p w14:paraId="5209D0E7"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 xml:space="preserve"> 180</w:t>
            </w:r>
          </w:p>
        </w:tc>
        <w:tc>
          <w:tcPr>
            <w:tcW w:w="1198" w:type="dxa"/>
            <w:tcBorders>
              <w:top w:val="nil"/>
              <w:left w:val="nil"/>
              <w:bottom w:val="nil"/>
              <w:right w:val="nil"/>
              <w:tl2br w:val="nil"/>
              <w:tr2bl w:val="nil"/>
            </w:tcBorders>
            <w:tcMar>
              <w:left w:w="60" w:type="dxa"/>
              <w:right w:w="60" w:type="dxa"/>
            </w:tcMar>
            <w:vAlign w:val="center"/>
          </w:tcPr>
          <w:p w14:paraId="5DA00655" w14:textId="77777777" w:rsidR="00807FFE" w:rsidRDefault="00023E71">
            <w:pPr>
              <w:pStyle w:val="DMETW36753BIPCYS"/>
              <w:jc w:val="right"/>
              <w:rPr>
                <w:rFonts w:ascii="Verdana" w:eastAsia="Verdana" w:hAnsi="Verdana" w:cs="Verdana"/>
                <w:i/>
                <w:noProof/>
                <w:color w:val="000000"/>
                <w:sz w:val="18"/>
              </w:rPr>
            </w:pPr>
            <w:r>
              <w:rPr>
                <w:rFonts w:ascii="Verdana" w:eastAsia="Verdana" w:hAnsi="Verdana" w:cs="Verdana"/>
                <w:i/>
                <w:noProof/>
                <w:color w:val="000000"/>
                <w:sz w:val="18"/>
              </w:rPr>
              <w:t xml:space="preserve"> 79</w:t>
            </w:r>
          </w:p>
        </w:tc>
      </w:tr>
    </w:tbl>
    <w:p w14:paraId="62B90245" w14:textId="77777777" w:rsidR="0089764D" w:rsidRPr="005779E6" w:rsidRDefault="0089764D" w:rsidP="005779E6">
      <w:pPr>
        <w:pStyle w:val="Textstand-alone"/>
        <w:spacing w:before="60" w:after="60"/>
        <w:rPr>
          <w:sz w:val="12"/>
          <w:szCs w:val="12"/>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9"/>
        <w:gridCol w:w="1385"/>
        <w:gridCol w:w="1338"/>
        <w:gridCol w:w="1338"/>
        <w:gridCol w:w="1198"/>
      </w:tblGrid>
      <w:tr w:rsidR="00807FFE" w14:paraId="260EB12A" w14:textId="77777777">
        <w:trPr>
          <w:trHeight w:val="255"/>
        </w:trPr>
        <w:tc>
          <w:tcPr>
            <w:tcW w:w="4499" w:type="dxa"/>
            <w:tcBorders>
              <w:top w:val="nil"/>
              <w:left w:val="nil"/>
              <w:bottom w:val="nil"/>
              <w:right w:val="nil"/>
              <w:tl2br w:val="nil"/>
              <w:tr2bl w:val="nil"/>
            </w:tcBorders>
            <w:tcMar>
              <w:left w:w="60" w:type="dxa"/>
              <w:right w:w="60" w:type="dxa"/>
            </w:tcMar>
            <w:vAlign w:val="bottom"/>
          </w:tcPr>
          <w:p w14:paraId="6E98FE89" w14:textId="77777777" w:rsidR="00807FFE" w:rsidRDefault="00807FFE">
            <w:pPr>
              <w:pStyle w:val="DMETW36753BIPPYS"/>
              <w:rPr>
                <w:rFonts w:ascii="Arial" w:eastAsia="Arial" w:hAnsi="Arial" w:cs="Arial"/>
                <w:noProof/>
                <w:color w:val="000000"/>
                <w:lang w:bidi="en-GB"/>
              </w:rPr>
            </w:pPr>
            <w:bookmarkStart w:id="224" w:name="DOC_TBL00091_1_1"/>
            <w:bookmarkEnd w:id="224"/>
          </w:p>
        </w:tc>
        <w:tc>
          <w:tcPr>
            <w:tcW w:w="1385" w:type="dxa"/>
            <w:tcBorders>
              <w:top w:val="nil"/>
              <w:left w:val="nil"/>
              <w:bottom w:val="nil"/>
              <w:right w:val="nil"/>
              <w:tl2br w:val="nil"/>
              <w:tr2bl w:val="nil"/>
            </w:tcBorders>
            <w:tcMar>
              <w:left w:w="60" w:type="dxa"/>
              <w:right w:w="60" w:type="dxa"/>
            </w:tcMar>
            <w:vAlign w:val="bottom"/>
          </w:tcPr>
          <w:p w14:paraId="7E69B611" w14:textId="77777777" w:rsidR="00807FFE" w:rsidRDefault="00807FFE">
            <w:pPr>
              <w:pStyle w:val="DMETW36753BIPP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14:paraId="387AA462" w14:textId="77777777" w:rsidR="00807FFE" w:rsidRDefault="00807FFE">
            <w:pPr>
              <w:pStyle w:val="DMETW36753BIPP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14:paraId="54012755" w14:textId="77777777" w:rsidR="00807FFE" w:rsidRDefault="00807FFE">
            <w:pPr>
              <w:pStyle w:val="DMETW36753BIPPYS"/>
              <w:rPr>
                <w:rFonts w:ascii="Arial" w:eastAsia="Arial" w:hAnsi="Arial" w:cs="Arial"/>
                <w:noProof/>
                <w:color w:val="000000"/>
              </w:rPr>
            </w:pPr>
          </w:p>
        </w:tc>
        <w:tc>
          <w:tcPr>
            <w:tcW w:w="1198" w:type="dxa"/>
            <w:tcBorders>
              <w:top w:val="nil"/>
              <w:left w:val="nil"/>
              <w:bottom w:val="nil"/>
              <w:right w:val="nil"/>
              <w:tl2br w:val="nil"/>
              <w:tr2bl w:val="nil"/>
            </w:tcBorders>
            <w:tcMar>
              <w:left w:w="60" w:type="dxa"/>
              <w:right w:w="60" w:type="dxa"/>
            </w:tcMar>
            <w:vAlign w:val="bottom"/>
          </w:tcPr>
          <w:p w14:paraId="4B4EB8A7" w14:textId="77777777" w:rsidR="00807FFE" w:rsidRDefault="00023E71">
            <w:pPr>
              <w:pStyle w:val="DMETW36753BIPPY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642CCAC" w14:textId="77777777">
        <w:trPr>
          <w:trHeight w:val="255"/>
        </w:trPr>
        <w:tc>
          <w:tcPr>
            <w:tcW w:w="4499" w:type="dxa"/>
            <w:vMerge w:val="restart"/>
            <w:tcBorders>
              <w:top w:val="nil"/>
              <w:left w:val="nil"/>
              <w:bottom w:val="nil"/>
              <w:right w:val="nil"/>
              <w:tl2br w:val="nil"/>
              <w:tr2bl w:val="nil"/>
            </w:tcBorders>
            <w:shd w:val="solid" w:color="016794" w:fill="FFFFFF"/>
            <w:tcMar>
              <w:left w:w="60" w:type="dxa"/>
              <w:right w:w="60" w:type="dxa"/>
            </w:tcMar>
            <w:vAlign w:val="center"/>
          </w:tcPr>
          <w:p w14:paraId="1CAF7193" w14:textId="77777777" w:rsidR="00807FFE" w:rsidRDefault="00023E71">
            <w:pPr>
              <w:pStyle w:val="DMETW36753BIPPYS"/>
              <w:jc w:val="right"/>
              <w:rPr>
                <w:rFonts w:ascii="Verdana" w:eastAsia="Verdana" w:hAnsi="Verdana" w:cs="Verdana"/>
                <w:noProof/>
                <w:color w:val="FFFFFF"/>
              </w:rPr>
            </w:pPr>
            <w:r>
              <w:rPr>
                <w:rFonts w:ascii="Verdana" w:eastAsia="Verdana" w:hAnsi="Verdana" w:cs="Verdana"/>
                <w:noProof/>
                <w:color w:val="FFFFFF"/>
              </w:rPr>
              <w:t>FX Rate Increase (+)/</w:t>
            </w:r>
          </w:p>
          <w:p w14:paraId="11A4DBAA" w14:textId="77777777" w:rsidR="00807FFE" w:rsidRDefault="00023E71">
            <w:pPr>
              <w:pStyle w:val="DMETW36753BIPPYS"/>
              <w:jc w:val="right"/>
              <w:rPr>
                <w:rFonts w:ascii="Verdana" w:eastAsia="Verdana" w:hAnsi="Verdana" w:cs="Verdana"/>
                <w:noProof/>
                <w:color w:val="FFFFFF"/>
              </w:rPr>
            </w:pPr>
            <w:r>
              <w:rPr>
                <w:rFonts w:ascii="Verdana" w:eastAsia="Verdana" w:hAnsi="Verdana" w:cs="Verdana"/>
                <w:noProof/>
                <w:color w:val="FFFFFF"/>
              </w:rPr>
              <w:t>Decrease (-)</w:t>
            </w:r>
          </w:p>
        </w:tc>
        <w:tc>
          <w:tcPr>
            <w:tcW w:w="1385" w:type="dxa"/>
            <w:gridSpan w:val="4"/>
            <w:tcBorders>
              <w:top w:val="nil"/>
              <w:left w:val="nil"/>
              <w:bottom w:val="nil"/>
              <w:right w:val="nil"/>
              <w:tl2br w:val="nil"/>
              <w:tr2bl w:val="nil"/>
            </w:tcBorders>
            <w:shd w:val="solid" w:color="016794" w:fill="FFFFFF"/>
            <w:tcMar>
              <w:left w:w="60" w:type="dxa"/>
              <w:right w:w="60" w:type="dxa"/>
            </w:tcMar>
            <w:vAlign w:val="center"/>
          </w:tcPr>
          <w:p w14:paraId="7C8BB244" w14:textId="77777777" w:rsidR="00807FFE" w:rsidRDefault="00023E71">
            <w:pPr>
              <w:pStyle w:val="DMETW36753BIPPYS"/>
              <w:jc w:val="center"/>
              <w:rPr>
                <w:rFonts w:ascii="Verdana" w:eastAsia="Verdana" w:hAnsi="Verdana" w:cs="Verdana"/>
                <w:noProof/>
                <w:color w:val="FFFFFF"/>
                <w:lang w:bidi="en-GB"/>
              </w:rPr>
            </w:pPr>
            <w:r>
              <w:rPr>
                <w:rFonts w:ascii="Verdana" w:eastAsia="Verdana" w:hAnsi="Verdana" w:cs="Verdana"/>
                <w:noProof/>
                <w:color w:val="FFFFFF"/>
              </w:rPr>
              <w:t>2024</w:t>
            </w:r>
          </w:p>
        </w:tc>
      </w:tr>
      <w:tr w:rsidR="00807FFE" w14:paraId="33BE8E76" w14:textId="77777777">
        <w:trPr>
          <w:trHeight w:val="255"/>
        </w:trPr>
        <w:tc>
          <w:tcPr>
            <w:tcW w:w="3930" w:type="dxa"/>
            <w:vMerge/>
            <w:tcBorders>
              <w:top w:val="nil"/>
              <w:left w:val="nil"/>
              <w:bottom w:val="nil"/>
              <w:right w:val="nil"/>
              <w:tl2br w:val="nil"/>
              <w:tr2bl w:val="nil"/>
            </w:tcBorders>
            <w:shd w:val="solid" w:color="016794" w:fill="FFFFFF"/>
            <w:tcMar>
              <w:left w:w="60" w:type="dxa"/>
              <w:right w:w="60" w:type="dxa"/>
            </w:tcMar>
            <w:vAlign w:val="center"/>
          </w:tcPr>
          <w:p w14:paraId="1BB2A09A" w14:textId="77777777" w:rsidR="00807FFE" w:rsidRDefault="00807FFE">
            <w:pPr>
              <w:pStyle w:val="DMETW36753BIPPYS"/>
              <w:jc w:val="right"/>
              <w:rPr>
                <w:rFonts w:ascii="Verdana" w:eastAsia="Verdana" w:hAnsi="Verdana" w:cs="Verdana"/>
                <w:noProof/>
                <w:color w:val="FFFFFF"/>
              </w:rPr>
            </w:pPr>
          </w:p>
        </w:tc>
        <w:tc>
          <w:tcPr>
            <w:tcW w:w="1385" w:type="dxa"/>
            <w:tcBorders>
              <w:top w:val="nil"/>
              <w:left w:val="nil"/>
              <w:bottom w:val="nil"/>
              <w:right w:val="nil"/>
              <w:tl2br w:val="nil"/>
              <w:tr2bl w:val="nil"/>
            </w:tcBorders>
            <w:shd w:val="solid" w:color="016794" w:fill="FFFFFF"/>
            <w:tcMar>
              <w:left w:w="60" w:type="dxa"/>
              <w:right w:w="60" w:type="dxa"/>
            </w:tcMar>
            <w:vAlign w:val="center"/>
          </w:tcPr>
          <w:p w14:paraId="2EC7FDAD" w14:textId="77777777" w:rsidR="00807FFE" w:rsidRDefault="00023E71">
            <w:pPr>
              <w:pStyle w:val="DMETW36753BIPPYS"/>
              <w:jc w:val="right"/>
              <w:rPr>
                <w:rFonts w:ascii="Verdana" w:eastAsia="Verdana" w:hAnsi="Verdana" w:cs="Verdana"/>
                <w:noProof/>
                <w:color w:val="FFFFFF"/>
              </w:rPr>
            </w:pPr>
            <w:r>
              <w:rPr>
                <w:rFonts w:ascii="Verdana" w:eastAsia="Verdana" w:hAnsi="Verdana" w:cs="Verdana"/>
                <w:noProof/>
                <w:color w:val="FFFFFF"/>
              </w:rPr>
              <w:t>USD</w:t>
            </w:r>
          </w:p>
        </w:tc>
        <w:tc>
          <w:tcPr>
            <w:tcW w:w="1338" w:type="dxa"/>
            <w:tcBorders>
              <w:top w:val="nil"/>
              <w:left w:val="nil"/>
              <w:bottom w:val="nil"/>
              <w:right w:val="nil"/>
              <w:tl2br w:val="nil"/>
              <w:tr2bl w:val="nil"/>
            </w:tcBorders>
            <w:shd w:val="solid" w:color="016794" w:fill="FFFFFF"/>
            <w:tcMar>
              <w:left w:w="60" w:type="dxa"/>
              <w:right w:w="60" w:type="dxa"/>
            </w:tcMar>
            <w:vAlign w:val="center"/>
          </w:tcPr>
          <w:p w14:paraId="495BA57F" w14:textId="77777777" w:rsidR="00807FFE" w:rsidRDefault="00023E71">
            <w:pPr>
              <w:pStyle w:val="DMETW36753BIPPYS"/>
              <w:jc w:val="right"/>
              <w:rPr>
                <w:rFonts w:ascii="Verdana" w:eastAsia="Verdana" w:hAnsi="Verdana" w:cs="Verdana"/>
                <w:noProof/>
                <w:color w:val="FFFFFF"/>
              </w:rPr>
            </w:pPr>
            <w:r>
              <w:rPr>
                <w:rFonts w:ascii="Verdana" w:eastAsia="Verdana" w:hAnsi="Verdana" w:cs="Verdana"/>
                <w:noProof/>
                <w:color w:val="FFFFFF"/>
              </w:rPr>
              <w:t>RON</w:t>
            </w:r>
          </w:p>
        </w:tc>
        <w:tc>
          <w:tcPr>
            <w:tcW w:w="1338" w:type="dxa"/>
            <w:tcBorders>
              <w:top w:val="nil"/>
              <w:left w:val="nil"/>
              <w:bottom w:val="nil"/>
              <w:right w:val="nil"/>
              <w:tl2br w:val="nil"/>
              <w:tr2bl w:val="nil"/>
            </w:tcBorders>
            <w:shd w:val="solid" w:color="016794" w:fill="FFFFFF"/>
            <w:tcMar>
              <w:left w:w="60" w:type="dxa"/>
              <w:right w:w="60" w:type="dxa"/>
            </w:tcMar>
            <w:vAlign w:val="center"/>
          </w:tcPr>
          <w:p w14:paraId="5BE8D632" w14:textId="77777777" w:rsidR="00807FFE" w:rsidRDefault="00023E71">
            <w:pPr>
              <w:pStyle w:val="DMETW36753BIPPYS"/>
              <w:jc w:val="right"/>
              <w:rPr>
                <w:rFonts w:ascii="Verdana" w:eastAsia="Verdana" w:hAnsi="Verdana" w:cs="Verdana"/>
                <w:noProof/>
                <w:color w:val="FFFFFF"/>
              </w:rPr>
            </w:pPr>
            <w:r>
              <w:rPr>
                <w:rFonts w:ascii="Verdana" w:eastAsia="Verdana" w:hAnsi="Verdana" w:cs="Verdana"/>
                <w:noProof/>
                <w:color w:val="FFFFFF"/>
              </w:rPr>
              <w:t>PLN</w:t>
            </w:r>
          </w:p>
        </w:tc>
        <w:tc>
          <w:tcPr>
            <w:tcW w:w="1198" w:type="dxa"/>
            <w:tcBorders>
              <w:top w:val="nil"/>
              <w:left w:val="nil"/>
              <w:bottom w:val="nil"/>
              <w:right w:val="nil"/>
              <w:tl2br w:val="nil"/>
              <w:tr2bl w:val="nil"/>
            </w:tcBorders>
            <w:shd w:val="solid" w:color="016794" w:fill="FFFFFF"/>
            <w:tcMar>
              <w:left w:w="60" w:type="dxa"/>
              <w:right w:w="60" w:type="dxa"/>
            </w:tcMar>
            <w:vAlign w:val="center"/>
          </w:tcPr>
          <w:p w14:paraId="0E6E2CEF" w14:textId="77777777" w:rsidR="00807FFE" w:rsidRDefault="00023E71">
            <w:pPr>
              <w:pStyle w:val="DMETW36753BIPPYS"/>
              <w:jc w:val="right"/>
              <w:rPr>
                <w:rFonts w:ascii="Verdana" w:eastAsia="Verdana" w:hAnsi="Verdana" w:cs="Verdana"/>
                <w:noProof/>
                <w:color w:val="FFFFFF"/>
                <w:lang w:bidi="en-GB"/>
              </w:rPr>
            </w:pPr>
            <w:r>
              <w:rPr>
                <w:rFonts w:ascii="Verdana" w:eastAsia="Verdana" w:hAnsi="Verdana" w:cs="Verdana"/>
                <w:noProof/>
                <w:color w:val="FFFFFF"/>
              </w:rPr>
              <w:t>SEK</w:t>
            </w:r>
          </w:p>
        </w:tc>
      </w:tr>
      <w:tr w:rsidR="00807FFE" w14:paraId="63FEFCF5" w14:textId="77777777">
        <w:trPr>
          <w:trHeight w:val="255"/>
        </w:trPr>
        <w:tc>
          <w:tcPr>
            <w:tcW w:w="4499" w:type="dxa"/>
            <w:tcBorders>
              <w:top w:val="nil"/>
              <w:left w:val="nil"/>
              <w:bottom w:val="nil"/>
              <w:right w:val="nil"/>
              <w:tl2br w:val="nil"/>
              <w:tr2bl w:val="nil"/>
            </w:tcBorders>
            <w:tcMar>
              <w:left w:w="60" w:type="dxa"/>
              <w:right w:w="60" w:type="dxa"/>
            </w:tcMar>
            <w:vAlign w:val="center"/>
          </w:tcPr>
          <w:p w14:paraId="306C2334"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+10%</w:t>
            </w:r>
          </w:p>
        </w:tc>
        <w:tc>
          <w:tcPr>
            <w:tcW w:w="1385" w:type="dxa"/>
            <w:tcBorders>
              <w:top w:val="nil"/>
              <w:left w:val="nil"/>
              <w:bottom w:val="nil"/>
              <w:right w:val="nil"/>
              <w:tl2br w:val="nil"/>
              <w:tr2bl w:val="nil"/>
            </w:tcBorders>
            <w:tcMar>
              <w:left w:w="60" w:type="dxa"/>
              <w:right w:w="60" w:type="dxa"/>
            </w:tcMar>
            <w:vAlign w:val="center"/>
          </w:tcPr>
          <w:p w14:paraId="3F8F4FAB"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338" w:type="dxa"/>
            <w:tcBorders>
              <w:top w:val="nil"/>
              <w:left w:val="nil"/>
              <w:bottom w:val="nil"/>
              <w:right w:val="nil"/>
              <w:tl2br w:val="nil"/>
              <w:tr2bl w:val="nil"/>
            </w:tcBorders>
            <w:tcMar>
              <w:left w:w="60" w:type="dxa"/>
              <w:right w:w="60" w:type="dxa"/>
            </w:tcMar>
            <w:vAlign w:val="center"/>
          </w:tcPr>
          <w:p w14:paraId="77F01B6C"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 xml:space="preserve"> (47)</w:t>
            </w:r>
          </w:p>
        </w:tc>
        <w:tc>
          <w:tcPr>
            <w:tcW w:w="1338" w:type="dxa"/>
            <w:tcBorders>
              <w:top w:val="nil"/>
              <w:left w:val="nil"/>
              <w:bottom w:val="nil"/>
              <w:right w:val="nil"/>
              <w:tl2br w:val="nil"/>
              <w:tr2bl w:val="nil"/>
            </w:tcBorders>
            <w:tcMar>
              <w:left w:w="60" w:type="dxa"/>
              <w:right w:w="60" w:type="dxa"/>
            </w:tcMar>
            <w:vAlign w:val="center"/>
          </w:tcPr>
          <w:p w14:paraId="5159094D"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 xml:space="preserve"> (55)</w:t>
            </w:r>
          </w:p>
        </w:tc>
        <w:tc>
          <w:tcPr>
            <w:tcW w:w="1198" w:type="dxa"/>
            <w:tcBorders>
              <w:top w:val="nil"/>
              <w:left w:val="nil"/>
              <w:bottom w:val="nil"/>
              <w:right w:val="nil"/>
              <w:tl2br w:val="nil"/>
              <w:tr2bl w:val="nil"/>
            </w:tcBorders>
            <w:tcMar>
              <w:left w:w="60" w:type="dxa"/>
              <w:right w:w="60" w:type="dxa"/>
            </w:tcMar>
            <w:vAlign w:val="center"/>
          </w:tcPr>
          <w:p w14:paraId="5FC6AD9B" w14:textId="77777777" w:rsidR="00807FFE" w:rsidRDefault="00023E71">
            <w:pPr>
              <w:pStyle w:val="DMETW36753BIPPY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(38)</w:t>
            </w:r>
          </w:p>
        </w:tc>
      </w:tr>
      <w:tr w:rsidR="00807FFE" w14:paraId="7F3F718B" w14:textId="77777777">
        <w:trPr>
          <w:trHeight w:val="255"/>
        </w:trPr>
        <w:tc>
          <w:tcPr>
            <w:tcW w:w="4499" w:type="dxa"/>
            <w:tcBorders>
              <w:top w:val="nil"/>
              <w:left w:val="nil"/>
              <w:bottom w:val="nil"/>
              <w:right w:val="nil"/>
              <w:tl2br w:val="nil"/>
              <w:tr2bl w:val="nil"/>
            </w:tcBorders>
            <w:tcMar>
              <w:left w:w="60" w:type="dxa"/>
              <w:right w:w="60" w:type="dxa"/>
            </w:tcMar>
            <w:vAlign w:val="center"/>
          </w:tcPr>
          <w:p w14:paraId="483B2130"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-10%</w:t>
            </w:r>
          </w:p>
        </w:tc>
        <w:tc>
          <w:tcPr>
            <w:tcW w:w="1385" w:type="dxa"/>
            <w:tcBorders>
              <w:top w:val="nil"/>
              <w:left w:val="nil"/>
              <w:bottom w:val="nil"/>
              <w:right w:val="nil"/>
              <w:tl2br w:val="nil"/>
              <w:tr2bl w:val="nil"/>
            </w:tcBorders>
            <w:tcMar>
              <w:left w:w="60" w:type="dxa"/>
              <w:right w:w="60" w:type="dxa"/>
            </w:tcMar>
            <w:vAlign w:val="center"/>
          </w:tcPr>
          <w:p w14:paraId="1F7514A4"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338" w:type="dxa"/>
            <w:tcBorders>
              <w:top w:val="nil"/>
              <w:left w:val="nil"/>
              <w:bottom w:val="nil"/>
              <w:right w:val="nil"/>
              <w:tl2br w:val="nil"/>
              <w:tr2bl w:val="nil"/>
            </w:tcBorders>
            <w:tcMar>
              <w:left w:w="60" w:type="dxa"/>
              <w:right w:w="60" w:type="dxa"/>
            </w:tcMar>
            <w:vAlign w:val="center"/>
          </w:tcPr>
          <w:p w14:paraId="69A5A820"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 xml:space="preserve"> 57</w:t>
            </w:r>
          </w:p>
        </w:tc>
        <w:tc>
          <w:tcPr>
            <w:tcW w:w="1338" w:type="dxa"/>
            <w:tcBorders>
              <w:top w:val="nil"/>
              <w:left w:val="nil"/>
              <w:bottom w:val="nil"/>
              <w:right w:val="nil"/>
              <w:tl2br w:val="nil"/>
              <w:tr2bl w:val="nil"/>
            </w:tcBorders>
            <w:tcMar>
              <w:left w:w="60" w:type="dxa"/>
              <w:right w:w="60" w:type="dxa"/>
            </w:tcMar>
            <w:vAlign w:val="center"/>
          </w:tcPr>
          <w:p w14:paraId="132FB795"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 xml:space="preserve"> 67</w:t>
            </w:r>
          </w:p>
        </w:tc>
        <w:tc>
          <w:tcPr>
            <w:tcW w:w="1198" w:type="dxa"/>
            <w:tcBorders>
              <w:top w:val="nil"/>
              <w:left w:val="nil"/>
              <w:bottom w:val="nil"/>
              <w:right w:val="nil"/>
              <w:tl2br w:val="nil"/>
              <w:tr2bl w:val="nil"/>
            </w:tcBorders>
            <w:tcMar>
              <w:left w:w="60" w:type="dxa"/>
              <w:right w:w="60" w:type="dxa"/>
            </w:tcMar>
            <w:vAlign w:val="center"/>
          </w:tcPr>
          <w:p w14:paraId="28A28E72" w14:textId="77777777" w:rsidR="00807FFE" w:rsidRDefault="00023E71">
            <w:pPr>
              <w:pStyle w:val="DMETW36753BIPPYS"/>
              <w:jc w:val="right"/>
              <w:rPr>
                <w:rFonts w:ascii="Verdana" w:eastAsia="Verdana" w:hAnsi="Verdana" w:cs="Verdana"/>
                <w:i/>
                <w:noProof/>
                <w:color w:val="000000"/>
                <w:sz w:val="18"/>
              </w:rPr>
            </w:pPr>
            <w:r>
              <w:rPr>
                <w:rFonts w:ascii="Verdana" w:eastAsia="Verdana" w:hAnsi="Verdana" w:cs="Verdana"/>
                <w:i/>
                <w:noProof/>
                <w:color w:val="000000"/>
                <w:sz w:val="18"/>
              </w:rPr>
              <w:t xml:space="preserve"> 47</w:t>
            </w:r>
          </w:p>
        </w:tc>
      </w:tr>
    </w:tbl>
    <w:p w14:paraId="3FF3E24C" w14:textId="77777777" w:rsidR="00792ECE" w:rsidRDefault="00792ECE" w:rsidP="00792ECE">
      <w:pPr>
        <w:pStyle w:val="HEADER5"/>
        <w:rPr>
          <w:noProof/>
        </w:rPr>
      </w:pPr>
    </w:p>
    <w:p w14:paraId="0A3D60BE" w14:textId="77777777" w:rsidR="00A87A92" w:rsidRDefault="00023E71" w:rsidP="00A87A92">
      <w:pPr>
        <w:pStyle w:val="HEADER5"/>
        <w:rPr>
          <w:noProof/>
        </w:rPr>
      </w:pPr>
      <w:r>
        <w:rPr>
          <w:noProof/>
        </w:rPr>
        <w:t>Borrowing and lending activities</w:t>
      </w:r>
    </w:p>
    <w:p w14:paraId="6FB51869" w14:textId="77777777" w:rsidR="00A87A92" w:rsidRPr="005779E6" w:rsidRDefault="00023E71" w:rsidP="00A87A92">
      <w:pPr>
        <w:pStyle w:val="DGTextstand-alone"/>
        <w:rPr>
          <w:lang w:val="en-IE" w:eastAsia="en-IE"/>
        </w:rPr>
      </w:pPr>
      <w:r w:rsidRPr="005779E6">
        <w:rPr>
          <w:lang w:val="en-IE" w:eastAsia="en-IE"/>
        </w:rPr>
        <w:t>Since all financial assets and liabilities of the EU are currently in EUR, the EU is not exposed to foreign currency risk.</w:t>
      </w:r>
    </w:p>
    <w:p w14:paraId="1176679D" w14:textId="77777777" w:rsidR="00A87A92" w:rsidRPr="00EA06E1" w:rsidRDefault="00023E71" w:rsidP="00A87A92">
      <w:pPr>
        <w:pStyle w:val="HEADER5"/>
        <w:spacing w:before="240"/>
        <w:rPr>
          <w:noProof/>
        </w:rPr>
      </w:pPr>
      <w:r>
        <w:rPr>
          <w:noProof/>
        </w:rPr>
        <w:t>Treasury</w:t>
      </w:r>
    </w:p>
    <w:p w14:paraId="0671A211" w14:textId="77777777" w:rsidR="00A87A92" w:rsidRPr="00411363" w:rsidRDefault="00023E71" w:rsidP="00A87A92">
      <w:pPr>
        <w:pStyle w:val="DGTextstand-alone"/>
        <w:rPr>
          <w:lang w:val="en-IE" w:eastAsia="en-IE"/>
        </w:rPr>
      </w:pPr>
      <w:r w:rsidRPr="1D0DAAEE">
        <w:rPr>
          <w:lang w:val="en-IE" w:eastAsia="en-IE"/>
        </w:rPr>
        <w:t>Own resources paid by Member States in currencies other than EUR are kept on the own resource’s accounts. When these funds are needed for payments, they are converted into EUR. In some cases, they are directly used for payments in the same currencies.</w:t>
      </w:r>
    </w:p>
    <w:p w14:paraId="50632A36" w14:textId="77777777" w:rsidR="00A87A92" w:rsidRPr="00411363" w:rsidRDefault="00023E71" w:rsidP="00A87A92">
      <w:pPr>
        <w:pStyle w:val="DGTextstand-alone"/>
        <w:rPr>
          <w:lang w:val="en-IE" w:eastAsia="en-IE"/>
        </w:rPr>
      </w:pPr>
      <w:r w:rsidRPr="6C204149">
        <w:rPr>
          <w:lang w:val="en-IE" w:eastAsia="en-IE"/>
        </w:rPr>
        <w:t>The Commission also holds accounts in EU currencies other than EUR, such as USD and GBP, with commercial banks to execute payments in these currencies. These accounts are replenished as needed</w:t>
      </w:r>
      <w:r w:rsidR="00150B70">
        <w:rPr>
          <w:lang w:val="en-IE" w:eastAsia="en-IE"/>
        </w:rPr>
        <w:t>,</w:t>
      </w:r>
      <w:r w:rsidRPr="6C204149">
        <w:rPr>
          <w:lang w:val="en-IE" w:eastAsia="en-IE"/>
        </w:rPr>
        <w:t xml:space="preserve"> which mitigates the currency risk.</w:t>
      </w:r>
    </w:p>
    <w:p w14:paraId="075730C3" w14:textId="77777777" w:rsidR="00A87A92" w:rsidRDefault="00023E71" w:rsidP="00A87A92">
      <w:pPr>
        <w:pStyle w:val="DGTextstand-alone"/>
        <w:rPr>
          <w:lang w:val="en-IE" w:eastAsia="en-IE"/>
        </w:rPr>
      </w:pPr>
      <w:r w:rsidRPr="1D0DAAEE">
        <w:rPr>
          <w:lang w:val="en-IE" w:eastAsia="en-IE"/>
        </w:rPr>
        <w:t xml:space="preserve">When miscellaneous receipts are received in currencies other than EUR, they are either transferred to Commission accounts in the same currencies or converted into EUR and transferred to accounts in EUR. </w:t>
      </w:r>
    </w:p>
    <w:p w14:paraId="36F665D5" w14:textId="77777777" w:rsidR="00A87A92" w:rsidRPr="0064492A" w:rsidRDefault="00023E71" w:rsidP="00A87A92">
      <w:pPr>
        <w:pStyle w:val="DGTextstand-alone"/>
        <w:rPr>
          <w:lang w:val="en-IE" w:eastAsia="en-IE"/>
        </w:rPr>
      </w:pPr>
      <w:r w:rsidRPr="1D0DAAEE">
        <w:rPr>
          <w:lang w:val="en-IE" w:eastAsia="en-IE"/>
        </w:rPr>
        <w:t>Imprest accounts in currencies other than EUR are replenished based on estimated short-term payment needs and are kept within their respective ceilings.</w:t>
      </w:r>
    </w:p>
    <w:p w14:paraId="25AD70AD" w14:textId="77777777" w:rsidR="00A87A92" w:rsidRPr="005E13A9" w:rsidRDefault="00023E71" w:rsidP="00A87A92">
      <w:pPr>
        <w:pStyle w:val="HEADER5"/>
        <w:spacing w:before="240"/>
        <w:rPr>
          <w:noProof/>
        </w:rPr>
      </w:pPr>
      <w:r>
        <w:rPr>
          <w:noProof/>
        </w:rPr>
        <w:t>Fines</w:t>
      </w:r>
    </w:p>
    <w:p w14:paraId="09C85D97" w14:textId="77777777" w:rsidR="00A87A92" w:rsidRPr="0064492A" w:rsidRDefault="00023E71" w:rsidP="00A87A92">
      <w:pPr>
        <w:pStyle w:val="DGTextstand-alone"/>
        <w:rPr>
          <w:lang w:val="en-IE" w:eastAsia="en-IE"/>
        </w:rPr>
      </w:pPr>
      <w:r w:rsidRPr="1D0DAAEE">
        <w:rPr>
          <w:lang w:val="en-IE" w:eastAsia="en-IE"/>
        </w:rPr>
        <w:t>All fines imposed, paid, or provisionally covered are in EUR, eliminating any foreign currency risk when they are held in the BUFI Fund.</w:t>
      </w:r>
    </w:p>
    <w:p w14:paraId="66BB1AEE" w14:textId="77777777" w:rsidR="00A87A92" w:rsidRPr="00023F4F" w:rsidRDefault="00023E71" w:rsidP="00A87A92">
      <w:pPr>
        <w:pStyle w:val="HEADER5"/>
        <w:spacing w:before="240"/>
        <w:rPr>
          <w:noProof/>
        </w:rPr>
      </w:pPr>
      <w:r>
        <w:rPr>
          <w:noProof/>
        </w:rPr>
        <w:t>Budgetary guarantees</w:t>
      </w:r>
    </w:p>
    <w:p w14:paraId="33051BB1" w14:textId="77777777" w:rsidR="00A87A92" w:rsidRPr="00411363" w:rsidRDefault="00023E71" w:rsidP="00A87A92">
      <w:pPr>
        <w:pStyle w:val="DGTextstand-alone"/>
        <w:rPr>
          <w:lang w:val="en-IE" w:eastAsia="en-IE"/>
        </w:rPr>
      </w:pPr>
      <w:r w:rsidRPr="6C204149">
        <w:rPr>
          <w:lang w:val="en-IE" w:eastAsia="en-IE"/>
        </w:rPr>
        <w:t>Budgetary guarantees are typically capped at a maximum amount in EUR. However, some underlying operations may be denominated in other currencies, such as USD or local currencies, in which case the EU may also cover FX losses.</w:t>
      </w:r>
    </w:p>
    <w:p w14:paraId="6604191C" w14:textId="77777777" w:rsidR="00A87A92" w:rsidRPr="00411363" w:rsidRDefault="00023E71" w:rsidP="00A87A92">
      <w:pPr>
        <w:pStyle w:val="DGTextstand-alone"/>
        <w:rPr>
          <w:lang w:val="en-IE" w:eastAsia="en-IE"/>
        </w:rPr>
      </w:pPr>
      <w:r w:rsidRPr="1D0DAAEE">
        <w:rPr>
          <w:lang w:val="en-IE" w:eastAsia="en-IE"/>
        </w:rPr>
        <w:t>The Commission considers currency risk when determining the provisioning needs for budgetary guarantees.</w:t>
      </w:r>
    </w:p>
    <w:p w14:paraId="46442FC6" w14:textId="77777777" w:rsidR="00A87A92" w:rsidRPr="00F375E0" w:rsidRDefault="00023E71" w:rsidP="00A87A92">
      <w:pPr>
        <w:pStyle w:val="HEADER5"/>
        <w:spacing w:before="240"/>
        <w:rPr>
          <w:noProof/>
        </w:rPr>
      </w:pPr>
      <w:r>
        <w:rPr>
          <w:noProof/>
        </w:rPr>
        <w:t>Common Provisioning Fund</w:t>
      </w:r>
    </w:p>
    <w:p w14:paraId="40E98849" w14:textId="77777777" w:rsidR="00A87A92" w:rsidRPr="00411363" w:rsidRDefault="00023E71" w:rsidP="00A87A92">
      <w:pPr>
        <w:pStyle w:val="DGTextstand-alone"/>
        <w:rPr>
          <w:lang w:val="en-IE" w:eastAsia="en-IE"/>
        </w:rPr>
      </w:pPr>
      <w:r w:rsidRPr="1D0DAAEE">
        <w:rPr>
          <w:lang w:val="en-IE" w:eastAsia="en-IE"/>
        </w:rPr>
        <w:t>The CPF operates in both EUR and USD. To manage currency risk, the CPF enters into foreign exchange forward contracts to hedge the market value of its USD investments, with the limit for maximum unhedged foreign exchange exposure set at 1% of the total portfolio value within the benchmark and annual strategy allocations, as defined in the relevant financial instruments.</w:t>
      </w:r>
    </w:p>
    <w:p w14:paraId="5A1E2BB0" w14:textId="77777777" w:rsidR="00BC0FF8" w:rsidRPr="00987A10" w:rsidRDefault="00023E71" w:rsidP="00792ECE">
      <w:pPr>
        <w:pStyle w:val="DGTextstand-alone"/>
        <w:rPr>
          <w:lang w:val="en-IE" w:eastAsia="en-IE"/>
        </w:rPr>
      </w:pPr>
      <w:r w:rsidRPr="1D0DAAEE">
        <w:rPr>
          <w:lang w:val="en-IE" w:eastAsia="en-IE"/>
        </w:rPr>
        <w:t xml:space="preserve">The CPF uses this hedging strategy to adjust or reverse the hedged position accordingly, as needed. However, the CPF does not hedge currency risk for subrogated loans (see </w:t>
      </w:r>
      <w:r>
        <w:rPr>
          <w:lang w:val="en-IE" w:eastAsia="en-IE"/>
        </w:rPr>
        <w:t>N</w:t>
      </w:r>
      <w:r w:rsidRPr="1D0DAAEE">
        <w:rPr>
          <w:lang w:val="en-IE" w:eastAsia="en-IE"/>
        </w:rPr>
        <w:t xml:space="preserve">ote </w:t>
      </w:r>
      <w:r w:rsidRPr="00B91611">
        <w:rPr>
          <w:b/>
          <w:bCs/>
          <w:lang w:val="en-IE" w:eastAsia="en-IE"/>
        </w:rPr>
        <w:t>2.4.1.2</w:t>
      </w:r>
      <w:r w:rsidRPr="1D0DAAEE">
        <w:rPr>
          <w:lang w:val="en-IE" w:eastAsia="en-IE"/>
        </w:rPr>
        <w:t>) that are carried in their original currency, which expose the EU to currency risk. For these loans, there are no activities to compensate for foreign currency variations, due to uncertainty relating to the loans' repayment timing</w:t>
      </w:r>
      <w:r w:rsidRPr="005779E6">
        <w:rPr>
          <w:lang w:val="en-IE" w:eastAsia="en-IE"/>
        </w:rPr>
        <w:t>.</w:t>
      </w:r>
    </w:p>
    <w:p w14:paraId="527EF09A" w14:textId="77777777" w:rsidR="006C343E" w:rsidRDefault="00023E71" w:rsidP="00172034">
      <w:pPr>
        <w:pStyle w:val="HEADER2NOTES"/>
        <w:numPr>
          <w:ilvl w:val="1"/>
          <w:numId w:val="15"/>
        </w:numPr>
        <w:jc w:val="both"/>
        <w:rPr>
          <w:noProof/>
        </w:rPr>
      </w:pPr>
      <w:r>
        <w:rPr>
          <w:noProof/>
        </w:rPr>
        <w:t>INTEREST RATE RISK</w:t>
      </w:r>
    </w:p>
    <w:p w14:paraId="6AE132D6" w14:textId="77777777" w:rsidR="006C343E" w:rsidRPr="005779E6" w:rsidRDefault="00023E71" w:rsidP="00B91611">
      <w:pPr>
        <w:pStyle w:val="DGTextstand-alone"/>
        <w:rPr>
          <w:lang w:val="en-IE" w:eastAsia="en-IE"/>
        </w:rPr>
      </w:pPr>
      <w:r w:rsidRPr="005779E6">
        <w:rPr>
          <w:lang w:val="en-IE" w:eastAsia="en-IE"/>
        </w:rPr>
        <w:t>The following table shows how a 1% change in interest rates (+/- 100 basis points) would affect the EU's economic result for debt securities</w:t>
      </w:r>
      <w:r w:rsidR="00903B55">
        <w:rPr>
          <w:lang w:val="en-IE" w:eastAsia="en-IE"/>
        </w:rPr>
        <w:t>, money market funds</w:t>
      </w:r>
      <w:r w:rsidRPr="005779E6">
        <w:rPr>
          <w:lang w:val="en-IE" w:eastAsia="en-IE"/>
        </w:rPr>
        <w:t xml:space="preserve"> and ETFs.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9"/>
        <w:gridCol w:w="2905"/>
        <w:gridCol w:w="2764"/>
      </w:tblGrid>
      <w:tr w:rsidR="00807FFE" w14:paraId="1F8C4F60" w14:textId="77777777">
        <w:trPr>
          <w:trHeight w:val="255"/>
        </w:trPr>
        <w:tc>
          <w:tcPr>
            <w:tcW w:w="4089" w:type="dxa"/>
            <w:tcBorders>
              <w:top w:val="nil"/>
              <w:left w:val="nil"/>
              <w:bottom w:val="nil"/>
              <w:right w:val="nil"/>
              <w:tl2br w:val="nil"/>
              <w:tr2bl w:val="nil"/>
            </w:tcBorders>
            <w:tcMar>
              <w:left w:w="60" w:type="dxa"/>
              <w:right w:w="60" w:type="dxa"/>
            </w:tcMar>
            <w:vAlign w:val="bottom"/>
          </w:tcPr>
          <w:p w14:paraId="5C683559" w14:textId="77777777" w:rsidR="00807FFE" w:rsidRDefault="00807FFE">
            <w:pPr>
              <w:pStyle w:val="DMETW36754BIPIRR"/>
              <w:rPr>
                <w:rFonts w:ascii="Arial" w:eastAsia="Arial" w:hAnsi="Arial" w:cs="Arial"/>
                <w:noProof/>
                <w:color w:val="000000"/>
                <w:lang w:bidi="en-GB"/>
              </w:rPr>
            </w:pPr>
            <w:bookmarkStart w:id="225" w:name="DOC_TBL00092_1_1"/>
            <w:bookmarkEnd w:id="225"/>
          </w:p>
        </w:tc>
        <w:tc>
          <w:tcPr>
            <w:tcW w:w="2905" w:type="dxa"/>
            <w:tcBorders>
              <w:top w:val="nil"/>
              <w:left w:val="nil"/>
              <w:bottom w:val="nil"/>
              <w:right w:val="nil"/>
              <w:tl2br w:val="nil"/>
              <w:tr2bl w:val="nil"/>
            </w:tcBorders>
            <w:tcMar>
              <w:left w:w="60" w:type="dxa"/>
              <w:right w:w="60" w:type="dxa"/>
            </w:tcMar>
            <w:vAlign w:val="bottom"/>
          </w:tcPr>
          <w:p w14:paraId="24D3900B" w14:textId="77777777" w:rsidR="00807FFE" w:rsidRDefault="00807FFE">
            <w:pPr>
              <w:pStyle w:val="DMETW36754BIPIRR"/>
              <w:rPr>
                <w:rFonts w:ascii="Arial" w:eastAsia="Arial" w:hAnsi="Arial" w:cs="Arial"/>
                <w:noProof/>
                <w:color w:val="000000"/>
              </w:rPr>
            </w:pPr>
          </w:p>
        </w:tc>
        <w:tc>
          <w:tcPr>
            <w:tcW w:w="2764" w:type="dxa"/>
            <w:tcBorders>
              <w:top w:val="nil"/>
              <w:left w:val="nil"/>
              <w:bottom w:val="nil"/>
              <w:right w:val="nil"/>
              <w:tl2br w:val="nil"/>
              <w:tr2bl w:val="nil"/>
            </w:tcBorders>
            <w:tcMar>
              <w:left w:w="60" w:type="dxa"/>
              <w:right w:w="60" w:type="dxa"/>
            </w:tcMar>
            <w:vAlign w:val="bottom"/>
          </w:tcPr>
          <w:p w14:paraId="6349C15F" w14:textId="77777777" w:rsidR="00807FFE" w:rsidRDefault="00023E71">
            <w:pPr>
              <w:pStyle w:val="DMETW36754BIPIRR"/>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1AE152F" w14:textId="77777777">
        <w:trPr>
          <w:trHeight w:val="255"/>
        </w:trPr>
        <w:tc>
          <w:tcPr>
            <w:tcW w:w="4089" w:type="dxa"/>
            <w:tcBorders>
              <w:top w:val="nil"/>
              <w:left w:val="nil"/>
              <w:bottom w:val="nil"/>
              <w:right w:val="nil"/>
              <w:tl2br w:val="nil"/>
              <w:tr2bl w:val="nil"/>
            </w:tcBorders>
            <w:shd w:val="solid" w:color="016794" w:fill="FFFFFF"/>
            <w:tcMar>
              <w:left w:w="60" w:type="dxa"/>
              <w:right w:w="60" w:type="dxa"/>
            </w:tcMar>
            <w:vAlign w:val="center"/>
          </w:tcPr>
          <w:p w14:paraId="64CDE4FF" w14:textId="77777777" w:rsidR="00807FFE" w:rsidRDefault="00807FFE">
            <w:pPr>
              <w:pStyle w:val="DMETW36754BIPIRR"/>
              <w:jc w:val="right"/>
              <w:rPr>
                <w:rFonts w:ascii="Verdana" w:eastAsia="Verdana" w:hAnsi="Verdana" w:cs="Verdana"/>
                <w:noProof/>
                <w:color w:val="FFFFFF"/>
              </w:rPr>
            </w:pPr>
          </w:p>
        </w:tc>
        <w:tc>
          <w:tcPr>
            <w:tcW w:w="2905" w:type="dxa"/>
            <w:tcBorders>
              <w:top w:val="nil"/>
              <w:left w:val="nil"/>
              <w:bottom w:val="nil"/>
              <w:right w:val="nil"/>
              <w:tl2br w:val="nil"/>
              <w:tr2bl w:val="nil"/>
            </w:tcBorders>
            <w:shd w:val="solid" w:color="016794" w:fill="FFFFFF"/>
            <w:tcMar>
              <w:left w:w="60" w:type="dxa"/>
              <w:right w:w="60" w:type="dxa"/>
            </w:tcMar>
            <w:vAlign w:val="center"/>
          </w:tcPr>
          <w:p w14:paraId="49D703A5" w14:textId="77777777" w:rsidR="00807FFE" w:rsidRDefault="00023E71">
            <w:pPr>
              <w:pStyle w:val="DMETW36754BIPIRR"/>
              <w:jc w:val="right"/>
              <w:rPr>
                <w:rFonts w:ascii="Verdana" w:eastAsia="Verdana" w:hAnsi="Verdana" w:cs="Verdana"/>
                <w:noProof/>
                <w:color w:val="FFFFFF"/>
              </w:rPr>
            </w:pPr>
            <w:r>
              <w:rPr>
                <w:rFonts w:ascii="Verdana" w:eastAsia="Verdana" w:hAnsi="Verdana" w:cs="Verdana"/>
                <w:noProof/>
                <w:color w:val="FFFFFF"/>
              </w:rPr>
              <w:t>Increase (+) / decrease (-) in basis points</w:t>
            </w:r>
          </w:p>
        </w:tc>
        <w:tc>
          <w:tcPr>
            <w:tcW w:w="2764" w:type="dxa"/>
            <w:tcBorders>
              <w:top w:val="nil"/>
              <w:left w:val="nil"/>
              <w:bottom w:val="nil"/>
              <w:right w:val="nil"/>
              <w:tl2br w:val="nil"/>
              <w:tr2bl w:val="nil"/>
            </w:tcBorders>
            <w:shd w:val="solid" w:color="016794" w:fill="FFFFFF"/>
            <w:tcMar>
              <w:left w:w="60" w:type="dxa"/>
              <w:right w:w="60" w:type="dxa"/>
            </w:tcMar>
            <w:vAlign w:val="center"/>
          </w:tcPr>
          <w:p w14:paraId="58B3B831" w14:textId="77777777" w:rsidR="00807FFE" w:rsidRDefault="00023E71">
            <w:pPr>
              <w:pStyle w:val="DMETW36754BIPIRR"/>
              <w:jc w:val="right"/>
              <w:rPr>
                <w:rFonts w:ascii="Verdana" w:eastAsia="Verdana" w:hAnsi="Verdana" w:cs="Verdana"/>
                <w:noProof/>
                <w:color w:val="FFFFFF"/>
                <w:lang w:bidi="en-GB"/>
              </w:rPr>
            </w:pPr>
            <w:r>
              <w:rPr>
                <w:rFonts w:ascii="Verdana" w:eastAsia="Verdana" w:hAnsi="Verdana" w:cs="Verdana"/>
                <w:noProof/>
                <w:color w:val="FFFFFF"/>
              </w:rPr>
              <w:t>Economic result</w:t>
            </w:r>
          </w:p>
        </w:tc>
      </w:tr>
      <w:tr w:rsidR="00807FFE" w14:paraId="6BFF30B5" w14:textId="77777777">
        <w:trPr>
          <w:trHeight w:val="255"/>
        </w:trPr>
        <w:tc>
          <w:tcPr>
            <w:tcW w:w="4089" w:type="dxa"/>
            <w:vMerge w:val="restart"/>
            <w:tcBorders>
              <w:top w:val="nil"/>
              <w:left w:val="nil"/>
              <w:bottom w:val="nil"/>
              <w:right w:val="nil"/>
              <w:tl2br w:val="nil"/>
              <w:tr2bl w:val="nil"/>
            </w:tcBorders>
            <w:tcMar>
              <w:left w:w="60" w:type="dxa"/>
              <w:right w:w="60" w:type="dxa"/>
            </w:tcMar>
            <w:vAlign w:val="center"/>
          </w:tcPr>
          <w:p w14:paraId="0E6F5656" w14:textId="77777777" w:rsidR="00807FFE" w:rsidRDefault="00023E71">
            <w:pPr>
              <w:pStyle w:val="DMETW36754BIPIRR"/>
              <w:rPr>
                <w:rFonts w:ascii="Verdana" w:eastAsia="Verdana" w:hAnsi="Verdana" w:cs="Verdana"/>
                <w:i/>
                <w:noProof/>
                <w:color w:val="000000"/>
                <w:sz w:val="18"/>
              </w:rPr>
            </w:pPr>
            <w:r>
              <w:rPr>
                <w:rFonts w:ascii="Verdana" w:eastAsia="Verdana" w:hAnsi="Verdana" w:cs="Verdana"/>
                <w:i/>
                <w:noProof/>
                <w:color w:val="000000"/>
                <w:sz w:val="18"/>
              </w:rPr>
              <w:t>2025: Financial assets at FVSD</w:t>
            </w:r>
          </w:p>
        </w:tc>
        <w:tc>
          <w:tcPr>
            <w:tcW w:w="2905" w:type="dxa"/>
            <w:tcBorders>
              <w:top w:val="nil"/>
              <w:left w:val="nil"/>
              <w:bottom w:val="nil"/>
              <w:right w:val="nil"/>
              <w:tl2br w:val="nil"/>
              <w:tr2bl w:val="nil"/>
            </w:tcBorders>
            <w:tcMar>
              <w:left w:w="60" w:type="dxa"/>
              <w:right w:w="60" w:type="dxa"/>
            </w:tcMar>
            <w:vAlign w:val="center"/>
          </w:tcPr>
          <w:p w14:paraId="604FE5CD" w14:textId="77777777" w:rsidR="00807FFE" w:rsidRDefault="00023E71">
            <w:pPr>
              <w:pStyle w:val="DMETW36754BIPIRR"/>
              <w:jc w:val="right"/>
              <w:rPr>
                <w:rFonts w:ascii="Verdana" w:eastAsia="Verdana" w:hAnsi="Verdana" w:cs="Verdana"/>
                <w:i/>
                <w:noProof/>
                <w:color w:val="000000"/>
                <w:sz w:val="18"/>
              </w:rPr>
            </w:pPr>
            <w:r>
              <w:rPr>
                <w:rFonts w:ascii="Verdana" w:eastAsia="Verdana" w:hAnsi="Verdana" w:cs="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14:paraId="742FE208" w14:textId="77777777" w:rsidR="00807FFE" w:rsidRDefault="00023E71">
            <w:pPr>
              <w:pStyle w:val="DMETW36754BIPIRR"/>
              <w:jc w:val="right"/>
              <w:rPr>
                <w:rFonts w:ascii="Verdana" w:eastAsia="Verdana" w:hAnsi="Verdana" w:cs="Verdana"/>
                <w:i/>
                <w:noProof/>
                <w:color w:val="000000"/>
                <w:sz w:val="18"/>
                <w:lang w:bidi="en-GB"/>
              </w:rPr>
            </w:pPr>
            <w:r>
              <w:rPr>
                <w:rFonts w:ascii="Verdana" w:eastAsia="Verdana" w:hAnsi="Verdana" w:cs="Verdana"/>
                <w:i/>
                <w:noProof/>
                <w:color w:val="000000"/>
                <w:sz w:val="18"/>
              </w:rPr>
              <w:t>(1 448)</w:t>
            </w:r>
          </w:p>
        </w:tc>
      </w:tr>
      <w:tr w:rsidR="00807FFE" w14:paraId="737017BF" w14:textId="77777777">
        <w:trPr>
          <w:trHeight w:val="255"/>
        </w:trPr>
        <w:tc>
          <w:tcPr>
            <w:tcW w:w="3930" w:type="dxa"/>
            <w:vMerge/>
            <w:tcBorders>
              <w:top w:val="nil"/>
              <w:left w:val="nil"/>
              <w:bottom w:val="nil"/>
              <w:right w:val="nil"/>
              <w:tl2br w:val="nil"/>
              <w:tr2bl w:val="nil"/>
            </w:tcBorders>
            <w:tcMar>
              <w:left w:w="60" w:type="dxa"/>
              <w:right w:w="60" w:type="dxa"/>
            </w:tcMar>
            <w:vAlign w:val="center"/>
          </w:tcPr>
          <w:p w14:paraId="37FC8DDC" w14:textId="77777777" w:rsidR="00807FFE" w:rsidRDefault="00807FFE">
            <w:pPr>
              <w:pStyle w:val="DMETW36754BIPIRR"/>
              <w:rPr>
                <w:rFonts w:ascii="Verdana" w:eastAsia="Verdana" w:hAnsi="Verdana" w:cs="Verdana"/>
                <w:i/>
                <w:noProof/>
                <w:color w:val="000000"/>
                <w:sz w:val="18"/>
              </w:rPr>
            </w:pPr>
          </w:p>
        </w:tc>
        <w:tc>
          <w:tcPr>
            <w:tcW w:w="2905" w:type="dxa"/>
            <w:tcBorders>
              <w:top w:val="nil"/>
              <w:left w:val="nil"/>
              <w:bottom w:val="nil"/>
              <w:right w:val="nil"/>
              <w:tl2br w:val="nil"/>
              <w:tr2bl w:val="nil"/>
            </w:tcBorders>
            <w:tcMar>
              <w:left w:w="60" w:type="dxa"/>
              <w:right w:w="60" w:type="dxa"/>
            </w:tcMar>
            <w:vAlign w:val="center"/>
          </w:tcPr>
          <w:p w14:paraId="6EDAFF5F" w14:textId="77777777" w:rsidR="00807FFE" w:rsidRDefault="00023E71">
            <w:pPr>
              <w:pStyle w:val="DMETW36754BIPIRR"/>
              <w:jc w:val="right"/>
              <w:rPr>
                <w:rFonts w:ascii="Verdana" w:eastAsia="Verdana" w:hAnsi="Verdana" w:cs="Verdana"/>
                <w:i/>
                <w:noProof/>
                <w:color w:val="000000"/>
                <w:sz w:val="18"/>
              </w:rPr>
            </w:pPr>
            <w:r>
              <w:rPr>
                <w:rFonts w:ascii="Verdana" w:eastAsia="Verdana" w:hAnsi="Verdana" w:cs="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14:paraId="6283C02B" w14:textId="77777777" w:rsidR="00807FFE" w:rsidRDefault="00023E71">
            <w:pPr>
              <w:pStyle w:val="DMETW36754BIPIRR"/>
              <w:jc w:val="right"/>
              <w:rPr>
                <w:rFonts w:ascii="Verdana" w:eastAsia="Verdana" w:hAnsi="Verdana" w:cs="Verdana"/>
                <w:i/>
                <w:noProof/>
                <w:color w:val="000000"/>
                <w:sz w:val="18"/>
                <w:lang w:bidi="en-GB"/>
              </w:rPr>
            </w:pPr>
            <w:r>
              <w:rPr>
                <w:rFonts w:ascii="Verdana" w:eastAsia="Verdana" w:hAnsi="Verdana" w:cs="Verdana"/>
                <w:i/>
                <w:noProof/>
                <w:color w:val="000000"/>
                <w:sz w:val="18"/>
              </w:rPr>
              <w:t>1 536</w:t>
            </w:r>
          </w:p>
        </w:tc>
      </w:tr>
      <w:tr w:rsidR="00807FFE" w14:paraId="48C0F055" w14:textId="77777777">
        <w:trPr>
          <w:trHeight w:val="255"/>
        </w:trPr>
        <w:tc>
          <w:tcPr>
            <w:tcW w:w="4089" w:type="dxa"/>
            <w:vMerge w:val="restart"/>
            <w:tcBorders>
              <w:top w:val="nil"/>
              <w:left w:val="nil"/>
              <w:bottom w:val="nil"/>
              <w:right w:val="nil"/>
              <w:tl2br w:val="nil"/>
              <w:tr2bl w:val="nil"/>
            </w:tcBorders>
            <w:tcMar>
              <w:left w:w="60" w:type="dxa"/>
              <w:right w:w="60" w:type="dxa"/>
            </w:tcMar>
            <w:vAlign w:val="center"/>
          </w:tcPr>
          <w:p w14:paraId="2E4BEA55" w14:textId="77777777" w:rsidR="00807FFE" w:rsidRDefault="00023E71">
            <w:pPr>
              <w:pStyle w:val="DMETW36754BIPIRR"/>
              <w:rPr>
                <w:rFonts w:ascii="Verdana" w:eastAsia="Verdana" w:hAnsi="Verdana" w:cs="Verdana"/>
                <w:i/>
                <w:noProof/>
                <w:color w:val="000000"/>
                <w:sz w:val="18"/>
              </w:rPr>
            </w:pPr>
            <w:r>
              <w:rPr>
                <w:rFonts w:ascii="Verdana" w:eastAsia="Verdana" w:hAnsi="Verdana" w:cs="Verdana"/>
                <w:i/>
                <w:noProof/>
                <w:color w:val="000000"/>
                <w:sz w:val="18"/>
              </w:rPr>
              <w:t>2024: Financial assets at FVSD</w:t>
            </w:r>
          </w:p>
        </w:tc>
        <w:tc>
          <w:tcPr>
            <w:tcW w:w="2905" w:type="dxa"/>
            <w:tcBorders>
              <w:top w:val="nil"/>
              <w:left w:val="nil"/>
              <w:bottom w:val="nil"/>
              <w:right w:val="nil"/>
              <w:tl2br w:val="nil"/>
              <w:tr2bl w:val="nil"/>
            </w:tcBorders>
            <w:tcMar>
              <w:left w:w="60" w:type="dxa"/>
              <w:right w:w="60" w:type="dxa"/>
            </w:tcMar>
            <w:vAlign w:val="center"/>
          </w:tcPr>
          <w:p w14:paraId="316980BE" w14:textId="77777777" w:rsidR="00807FFE" w:rsidRDefault="00023E71">
            <w:pPr>
              <w:pStyle w:val="DMETW36754BIPIRR"/>
              <w:jc w:val="right"/>
              <w:rPr>
                <w:rFonts w:ascii="Verdana" w:eastAsia="Verdana" w:hAnsi="Verdana" w:cs="Verdana"/>
                <w:i/>
                <w:noProof/>
                <w:color w:val="000000"/>
                <w:sz w:val="18"/>
              </w:rPr>
            </w:pPr>
            <w:r>
              <w:rPr>
                <w:rFonts w:ascii="Verdana" w:eastAsia="Verdana" w:hAnsi="Verdana" w:cs="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14:paraId="377CC5E7" w14:textId="77777777" w:rsidR="00807FFE" w:rsidRDefault="00023E71">
            <w:pPr>
              <w:pStyle w:val="DMETW36754BIPIRR"/>
              <w:jc w:val="right"/>
              <w:rPr>
                <w:rFonts w:ascii="Verdana" w:eastAsia="Verdana" w:hAnsi="Verdana" w:cs="Verdana"/>
                <w:i/>
                <w:noProof/>
                <w:color w:val="000000"/>
                <w:sz w:val="18"/>
                <w:lang w:bidi="en-GB"/>
              </w:rPr>
            </w:pPr>
            <w:r>
              <w:rPr>
                <w:rFonts w:ascii="Verdana" w:eastAsia="Verdana" w:hAnsi="Verdana" w:cs="Verdana"/>
                <w:i/>
                <w:noProof/>
                <w:color w:val="000000"/>
                <w:sz w:val="18"/>
              </w:rPr>
              <w:t>(1 172)</w:t>
            </w:r>
          </w:p>
        </w:tc>
      </w:tr>
      <w:tr w:rsidR="00807FFE" w14:paraId="68E040C9" w14:textId="77777777">
        <w:trPr>
          <w:trHeight w:val="255"/>
        </w:trPr>
        <w:tc>
          <w:tcPr>
            <w:tcW w:w="3930" w:type="dxa"/>
            <w:vMerge/>
            <w:tcBorders>
              <w:top w:val="nil"/>
              <w:left w:val="nil"/>
              <w:bottom w:val="nil"/>
              <w:right w:val="nil"/>
              <w:tl2br w:val="nil"/>
              <w:tr2bl w:val="nil"/>
            </w:tcBorders>
            <w:tcMar>
              <w:left w:w="60" w:type="dxa"/>
              <w:right w:w="60" w:type="dxa"/>
            </w:tcMar>
            <w:vAlign w:val="center"/>
          </w:tcPr>
          <w:p w14:paraId="2CD0B64F" w14:textId="77777777" w:rsidR="00807FFE" w:rsidRDefault="00807FFE">
            <w:pPr>
              <w:pStyle w:val="DMETW36754BIPIRR"/>
              <w:rPr>
                <w:rFonts w:ascii="Verdana" w:eastAsia="Verdana" w:hAnsi="Verdana" w:cs="Verdana"/>
                <w:i/>
                <w:noProof/>
                <w:color w:val="000000"/>
                <w:sz w:val="18"/>
              </w:rPr>
            </w:pPr>
          </w:p>
        </w:tc>
        <w:tc>
          <w:tcPr>
            <w:tcW w:w="2905" w:type="dxa"/>
            <w:tcBorders>
              <w:top w:val="nil"/>
              <w:left w:val="nil"/>
              <w:bottom w:val="nil"/>
              <w:right w:val="nil"/>
              <w:tl2br w:val="nil"/>
              <w:tr2bl w:val="nil"/>
            </w:tcBorders>
            <w:tcMar>
              <w:left w:w="60" w:type="dxa"/>
              <w:right w:w="60" w:type="dxa"/>
            </w:tcMar>
            <w:vAlign w:val="center"/>
          </w:tcPr>
          <w:p w14:paraId="5DEECED6" w14:textId="77777777" w:rsidR="00807FFE" w:rsidRDefault="00023E71">
            <w:pPr>
              <w:pStyle w:val="DMETW36754BIPIRR"/>
              <w:jc w:val="right"/>
              <w:rPr>
                <w:rFonts w:ascii="Verdana" w:eastAsia="Verdana" w:hAnsi="Verdana" w:cs="Verdana"/>
                <w:i/>
                <w:noProof/>
                <w:color w:val="000000"/>
                <w:sz w:val="18"/>
              </w:rPr>
            </w:pPr>
            <w:r>
              <w:rPr>
                <w:rFonts w:ascii="Verdana" w:eastAsia="Verdana" w:hAnsi="Verdana" w:cs="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14:paraId="2D81D54A" w14:textId="77777777" w:rsidR="00807FFE" w:rsidRDefault="00023E71">
            <w:pPr>
              <w:pStyle w:val="DMETW36754BIPIRR"/>
              <w:jc w:val="right"/>
              <w:rPr>
                <w:rFonts w:ascii="Verdana" w:eastAsia="Verdana" w:hAnsi="Verdana" w:cs="Verdana"/>
                <w:i/>
                <w:noProof/>
                <w:color w:val="000000"/>
                <w:sz w:val="18"/>
              </w:rPr>
            </w:pPr>
            <w:r>
              <w:rPr>
                <w:rFonts w:ascii="Verdana" w:eastAsia="Verdana" w:hAnsi="Verdana" w:cs="Verdana"/>
                <w:i/>
                <w:noProof/>
                <w:color w:val="000000"/>
                <w:sz w:val="18"/>
              </w:rPr>
              <w:t>1 246</w:t>
            </w:r>
          </w:p>
        </w:tc>
      </w:tr>
    </w:tbl>
    <w:p w14:paraId="7E22551A" w14:textId="77777777" w:rsidR="00A87A92" w:rsidRPr="005779E6" w:rsidRDefault="00023E71" w:rsidP="00A87A92">
      <w:pPr>
        <w:pStyle w:val="DGTextstand-alone"/>
        <w:rPr>
          <w:lang w:val="en-IE" w:eastAsia="en-IE"/>
        </w:rPr>
      </w:pPr>
      <w:r w:rsidRPr="005779E6">
        <w:rPr>
          <w:lang w:val="en-IE" w:eastAsia="en-IE"/>
        </w:rPr>
        <w:t>The sensitivity of a bond portfolio to interest rate changes increases with its duration. The duration of the main asset portfolios managed by the Commission is outlined below.</w:t>
      </w:r>
    </w:p>
    <w:p w14:paraId="71E9D02C" w14:textId="77777777" w:rsidR="006F6B0D" w:rsidRDefault="006F6B0D">
      <w:pPr>
        <w:rPr>
          <w:rFonts w:ascii="Verdana" w:hAnsi="Verdana"/>
          <w:noProof/>
          <w:color w:val="016794"/>
          <w:sz w:val="18"/>
          <w:szCs w:val="18"/>
        </w:rPr>
      </w:pPr>
      <w:r>
        <w:rPr>
          <w:noProof/>
        </w:rPr>
        <w:br w:type="page"/>
      </w:r>
    </w:p>
    <w:p w14:paraId="0627D0D7" w14:textId="7558FCDE" w:rsidR="00A87A92" w:rsidRPr="0067779B" w:rsidRDefault="00023E71" w:rsidP="00A87A92">
      <w:pPr>
        <w:pStyle w:val="HEADER5"/>
        <w:spacing w:before="240"/>
        <w:rPr>
          <w:noProof/>
        </w:rPr>
      </w:pPr>
      <w:r>
        <w:rPr>
          <w:noProof/>
        </w:rPr>
        <w:t>Borrowing and lending activities</w:t>
      </w:r>
    </w:p>
    <w:p w14:paraId="40838E77" w14:textId="77777777" w:rsidR="00A87A92" w:rsidRPr="00411363" w:rsidRDefault="00023E71" w:rsidP="00A87A92">
      <w:pPr>
        <w:pStyle w:val="DGTextstand-alone"/>
        <w:rPr>
          <w:lang w:val="en-IE" w:eastAsia="en-IE"/>
        </w:rPr>
      </w:pPr>
      <w:r w:rsidRPr="1D0DAAEE">
        <w:rPr>
          <w:lang w:val="en-IE" w:eastAsia="en-IE"/>
        </w:rPr>
        <w:t xml:space="preserve">Due to its borrowing and lending activities, the EU has significant interest-bearing assets and liabilities. </w:t>
      </w:r>
      <w:r w:rsidRPr="75A20F58">
        <w:rPr>
          <w:lang w:val="en-IE" w:eastAsia="en-IE"/>
        </w:rPr>
        <w:t>For</w:t>
      </w:r>
      <w:r w:rsidRPr="1D0DAAEE">
        <w:rPr>
          <w:lang w:val="en-IE" w:eastAsia="en-IE"/>
        </w:rPr>
        <w:t xml:space="preserve"> the </w:t>
      </w:r>
      <w:r w:rsidRPr="406302EC">
        <w:rPr>
          <w:lang w:val="en-IE" w:eastAsia="en-IE"/>
        </w:rPr>
        <w:t>legacy financial</w:t>
      </w:r>
      <w:r w:rsidRPr="1D0DAAEE">
        <w:rPr>
          <w:lang w:val="en-IE" w:eastAsia="en-IE"/>
        </w:rPr>
        <w:t xml:space="preserve"> assistance instruments</w:t>
      </w:r>
      <w:r w:rsidRPr="5D9144B9">
        <w:rPr>
          <w:lang w:val="en-IE" w:eastAsia="en-IE"/>
        </w:rPr>
        <w:t xml:space="preserve"> </w:t>
      </w:r>
      <w:r w:rsidRPr="0B68F9D7">
        <w:rPr>
          <w:lang w:val="en-IE" w:eastAsia="en-IE"/>
        </w:rPr>
        <w:t xml:space="preserve">under </w:t>
      </w:r>
      <w:r w:rsidRPr="1E54D12D">
        <w:rPr>
          <w:lang w:val="en-IE" w:eastAsia="en-IE"/>
        </w:rPr>
        <w:t>back-</w:t>
      </w:r>
      <w:r w:rsidRPr="69B6CCE8">
        <w:rPr>
          <w:lang w:val="en-IE" w:eastAsia="en-IE"/>
        </w:rPr>
        <w:t>to-back</w:t>
      </w:r>
      <w:r w:rsidRPr="4748F1DE">
        <w:rPr>
          <w:lang w:val="en-IE" w:eastAsia="en-IE"/>
        </w:rPr>
        <w:t xml:space="preserve"> approach</w:t>
      </w:r>
      <w:r w:rsidRPr="1D0DAAEE">
        <w:rPr>
          <w:lang w:val="en-IE" w:eastAsia="en-IE"/>
        </w:rPr>
        <w:t xml:space="preserve"> there is no interest rate risk since the borrowings are offset by equivalent loans at the same terms and conditions.</w:t>
      </w:r>
    </w:p>
    <w:p w14:paraId="11FD3437" w14:textId="77777777" w:rsidR="00A87A92" w:rsidRPr="00411363" w:rsidRDefault="00023E71" w:rsidP="00A87A92">
      <w:pPr>
        <w:pStyle w:val="DGTextstand-alone"/>
        <w:rPr>
          <w:lang w:val="en-IE" w:eastAsia="en-IE"/>
        </w:rPr>
      </w:pPr>
      <w:r w:rsidRPr="1D0DAAEE">
        <w:rPr>
          <w:lang w:val="en-IE" w:eastAsia="en-IE"/>
        </w:rPr>
        <w:t xml:space="preserve">For the unified funding approach interest rate risk is covered by implementing procedures and mechanisms that mitigate the risk. The underlying principle of the unified funding approach is to allocate the cost of funding and related costs to loan beneficiaries and the EU budget in a transparent, most cost-effective and equitable way, based on daily interest calculations. The unified funding is based on </w:t>
      </w:r>
      <w:r>
        <w:rPr>
          <w:lang w:val="en-IE" w:eastAsia="en-IE"/>
        </w:rPr>
        <w:t xml:space="preserve">the </w:t>
      </w:r>
      <w:r w:rsidRPr="1D0DAAEE">
        <w:rPr>
          <w:lang w:val="en-IE" w:eastAsia="en-IE"/>
        </w:rPr>
        <w:t xml:space="preserve">principle of full allocation of cost, so any interest cost coming from borrowing instruments, cash holding, or other investment instruments are fully reallocated and invoiced to loan beneficiaries as cost of funding or liquidity management costs. </w:t>
      </w:r>
    </w:p>
    <w:p w14:paraId="39C8D24F" w14:textId="77777777" w:rsidR="00A87A92" w:rsidRPr="00411363" w:rsidRDefault="00023E71" w:rsidP="00A87A92">
      <w:pPr>
        <w:pStyle w:val="DGTextstand-alone"/>
        <w:rPr>
          <w:lang w:val="en-IE" w:eastAsia="en-IE"/>
        </w:rPr>
      </w:pPr>
      <w:r w:rsidRPr="1D0DAAEE">
        <w:rPr>
          <w:lang w:val="en-IE" w:eastAsia="en-IE"/>
        </w:rPr>
        <w:t>The costs of funding are allocated to loan beneficiaries based on the outstanding amount of loans.</w:t>
      </w:r>
      <w:r>
        <w:rPr>
          <w:lang w:val="en-IE" w:eastAsia="en-IE"/>
        </w:rPr>
        <w:t xml:space="preserve"> </w:t>
      </w:r>
      <w:r w:rsidRPr="1D0DAAEE">
        <w:rPr>
          <w:lang w:val="en-IE" w:eastAsia="en-IE"/>
        </w:rPr>
        <w:t>Funding costs not allocated to loans or non-repayable support are invoiced to loan beneficiaries and the EU budget in the form of liquidity management costs, which can be positive or negative depending on the evolution of interest rates applied on cash balances.</w:t>
      </w:r>
    </w:p>
    <w:p w14:paraId="6839009B" w14:textId="77777777" w:rsidR="00A87A92" w:rsidRDefault="00023E71" w:rsidP="00A87A92">
      <w:pPr>
        <w:pStyle w:val="DGTextstand-alone"/>
        <w:rPr>
          <w:lang w:val="en-IE" w:eastAsia="en-IE"/>
        </w:rPr>
      </w:pPr>
      <w:r w:rsidRPr="6C204149">
        <w:rPr>
          <w:lang w:val="en-IE" w:eastAsia="en-IE"/>
        </w:rPr>
        <w:t xml:space="preserve">Under the unified funding approach, cash is held in an EU funding pool to maintain a defined safety buffer allowing for disbursements within short time, while avoiding excess balances. The safety buffer consists of cash at bank, money market term deposits with national banks and </w:t>
      </w:r>
      <w:r>
        <w:rPr>
          <w:lang w:val="en-IE" w:eastAsia="en-IE"/>
        </w:rPr>
        <w:t>state owned</w:t>
      </w:r>
      <w:r w:rsidRPr="6C204149">
        <w:rPr>
          <w:lang w:val="en-IE" w:eastAsia="en-IE"/>
        </w:rPr>
        <w:t xml:space="preserve"> financing agencies </w:t>
      </w:r>
      <w:r w:rsidR="0008531B">
        <w:rPr>
          <w:lang w:val="en-IE" w:eastAsia="en-IE"/>
        </w:rPr>
        <w:t>as well as</w:t>
      </w:r>
      <w:r w:rsidRPr="6C204149">
        <w:rPr>
          <w:lang w:val="en-IE" w:eastAsia="en-IE"/>
        </w:rPr>
        <w:t xml:space="preserve"> reverse repurchase </w:t>
      </w:r>
      <w:r w:rsidR="0008531B">
        <w:rPr>
          <w:lang w:val="en-IE" w:eastAsia="en-IE"/>
        </w:rPr>
        <w:t>transactions with a duration of 7 or 14 days</w:t>
      </w:r>
      <w:r w:rsidRPr="6C204149">
        <w:rPr>
          <w:lang w:val="en-IE" w:eastAsia="en-IE"/>
        </w:rPr>
        <w:t xml:space="preserve"> (see </w:t>
      </w:r>
      <w:r>
        <w:rPr>
          <w:lang w:val="en-IE" w:eastAsia="en-IE"/>
        </w:rPr>
        <w:t>N</w:t>
      </w:r>
      <w:r w:rsidRPr="00F05142">
        <w:rPr>
          <w:lang w:val="en-IE" w:eastAsia="en-IE"/>
        </w:rPr>
        <w:t>ote</w:t>
      </w:r>
      <w:r w:rsidRPr="00A94530">
        <w:rPr>
          <w:b/>
          <w:bCs/>
          <w:lang w:val="en-IE" w:eastAsia="en-IE"/>
        </w:rPr>
        <w:t xml:space="preserve"> 2.8.2</w:t>
      </w:r>
      <w:r w:rsidRPr="6C204149">
        <w:rPr>
          <w:lang w:val="en-IE" w:eastAsia="en-IE"/>
        </w:rPr>
        <w:t>).  The cash is mainly kept at the ECB where the euro money market short-term interest rate minus 20 basis points applies to any outstanding cash balance. Any revenues from cash holding and other investment instruments are part of liquidity management cost invoicing.</w:t>
      </w:r>
    </w:p>
    <w:p w14:paraId="6DD92754" w14:textId="77777777" w:rsidR="00A87A92" w:rsidRPr="0067779B" w:rsidRDefault="00023E71" w:rsidP="00A87A92">
      <w:pPr>
        <w:pStyle w:val="HEADER5"/>
        <w:spacing w:before="240"/>
        <w:rPr>
          <w:noProof/>
        </w:rPr>
      </w:pPr>
      <w:r>
        <w:rPr>
          <w:noProof/>
        </w:rPr>
        <w:t>Treasury</w:t>
      </w:r>
    </w:p>
    <w:p w14:paraId="3EC6A65F" w14:textId="77777777" w:rsidR="00A87A92" w:rsidRPr="00411363" w:rsidRDefault="00023E71" w:rsidP="00A87A92">
      <w:pPr>
        <w:pStyle w:val="DGTextstand-alone"/>
        <w:rPr>
          <w:lang w:val="en-IE" w:eastAsia="en-IE"/>
        </w:rPr>
      </w:pPr>
      <w:r w:rsidRPr="1D0DAAEE">
        <w:rPr>
          <w:lang w:val="en-IE" w:eastAsia="en-IE"/>
        </w:rPr>
        <w:t>The Commission has measures in place to ensure that interest earned on its bank accounts regularly reflects market interest rates and their possible fluctuations.</w:t>
      </w:r>
    </w:p>
    <w:p w14:paraId="65E950DE" w14:textId="77777777" w:rsidR="00A87A92" w:rsidRDefault="00023E71" w:rsidP="00A87A92">
      <w:pPr>
        <w:pStyle w:val="DGTextstand-alone"/>
        <w:rPr>
          <w:lang w:val="en-IE" w:eastAsia="en-IE"/>
        </w:rPr>
      </w:pPr>
      <w:r w:rsidRPr="1D0DAAEE">
        <w:rPr>
          <w:lang w:val="en-IE" w:eastAsia="en-IE"/>
        </w:rPr>
        <w:t xml:space="preserve">Own resources accounts are protected from any costs as they are free of any charge or interest in accordance with Article 9.1 of </w:t>
      </w:r>
      <w:r>
        <w:rPr>
          <w:lang w:val="en-IE" w:eastAsia="en-IE"/>
        </w:rPr>
        <w:t xml:space="preserve">Council </w:t>
      </w:r>
      <w:r w:rsidRPr="1D0DAAEE">
        <w:rPr>
          <w:lang w:val="en-IE" w:eastAsia="en-IE"/>
        </w:rPr>
        <w:t>Regulation (EU, Euratom) No 609/2014.</w:t>
      </w:r>
    </w:p>
    <w:p w14:paraId="42D043FE" w14:textId="77777777" w:rsidR="00A87A92" w:rsidRPr="00411363" w:rsidRDefault="00023E71" w:rsidP="00A87A92">
      <w:pPr>
        <w:pStyle w:val="DGTextstand-alone"/>
        <w:rPr>
          <w:lang w:val="en-IE" w:eastAsia="en-IE"/>
        </w:rPr>
      </w:pPr>
      <w:r w:rsidRPr="1D0DAAEE">
        <w:rPr>
          <w:lang w:val="en-IE" w:eastAsia="en-IE"/>
        </w:rPr>
        <w:t>Accounts opened with Member States treasuries for own resources receipts are non-interest bearing and free of charge. Accounts held with national central banks (own resources and other) may be remunerated at the official rates applied by each institution.</w:t>
      </w:r>
    </w:p>
    <w:p w14:paraId="4ACD3DF7" w14:textId="77777777" w:rsidR="00A87A92" w:rsidRPr="00411363" w:rsidRDefault="00023E71" w:rsidP="00A87A92">
      <w:pPr>
        <w:pStyle w:val="DGTextstand-alone"/>
        <w:rPr>
          <w:lang w:val="en-IE" w:eastAsia="en-IE"/>
        </w:rPr>
      </w:pPr>
      <w:r w:rsidRPr="6C204149">
        <w:rPr>
          <w:lang w:val="en-IE" w:eastAsia="en-IE"/>
        </w:rPr>
        <w:t>The Commission adapts its cash management procedures according to current market interest conditions.  A safety cash buffer is held on central deposit accounts based on a weekly funding from own resources accounts to cover payment needs for the implementation of the budget while avoiding excess balances.</w:t>
      </w:r>
    </w:p>
    <w:p w14:paraId="3ECF0CA4" w14:textId="77777777" w:rsidR="00A87A92" w:rsidRPr="00411363" w:rsidRDefault="00023E71" w:rsidP="00A87A92">
      <w:pPr>
        <w:pStyle w:val="DGTextstand-alone"/>
        <w:rPr>
          <w:lang w:val="en-IE" w:eastAsia="en-IE"/>
        </w:rPr>
      </w:pPr>
      <w:r w:rsidRPr="1D0DAAEE">
        <w:rPr>
          <w:lang w:val="en-IE" w:eastAsia="en-IE"/>
        </w:rPr>
        <w:t>Overnight balances held on commercial and central bank accounts earn interest daily, based on variable market rates with a contractual margin (positive or negative) applied.</w:t>
      </w:r>
    </w:p>
    <w:p w14:paraId="2824B63D" w14:textId="77777777" w:rsidR="00A87A92" w:rsidRPr="0067779B" w:rsidRDefault="00023E71" w:rsidP="00A87A92">
      <w:pPr>
        <w:pStyle w:val="HEADER5"/>
        <w:spacing w:before="240"/>
        <w:rPr>
          <w:noProof/>
        </w:rPr>
      </w:pPr>
      <w:r>
        <w:rPr>
          <w:noProof/>
        </w:rPr>
        <w:t>Fines</w:t>
      </w:r>
    </w:p>
    <w:p w14:paraId="237000A7" w14:textId="77777777" w:rsidR="00A87A92" w:rsidRPr="005779E6" w:rsidRDefault="00023E71" w:rsidP="00A87A92">
      <w:pPr>
        <w:pStyle w:val="DGTextstand-alone"/>
        <w:rPr>
          <w:lang w:val="en-IE" w:eastAsia="en-IE"/>
        </w:rPr>
      </w:pPr>
      <w:r w:rsidRPr="005779E6">
        <w:rPr>
          <w:lang w:val="en-IE" w:eastAsia="en-IE"/>
        </w:rPr>
        <w:t xml:space="preserve">The provisionally cashed fines are invested in a portfolio of long-term bonds with an average portfolio duration of </w:t>
      </w:r>
      <w:r w:rsidRPr="00D45513">
        <w:rPr>
          <w:lang w:val="en-IE" w:eastAsia="en-IE"/>
        </w:rPr>
        <w:t>1.81</w:t>
      </w:r>
      <w:r w:rsidRPr="005779E6">
        <w:rPr>
          <w:lang w:val="en-IE" w:eastAsia="en-IE"/>
        </w:rPr>
        <w:t xml:space="preserve"> years.</w:t>
      </w:r>
    </w:p>
    <w:p w14:paraId="1AD5CCE1" w14:textId="77777777" w:rsidR="00A87A92" w:rsidRPr="0067779B" w:rsidRDefault="00023E71" w:rsidP="00A87A92">
      <w:pPr>
        <w:pStyle w:val="HEADER5"/>
        <w:spacing w:before="240"/>
        <w:rPr>
          <w:noProof/>
        </w:rPr>
      </w:pPr>
      <w:r>
        <w:rPr>
          <w:noProof/>
        </w:rPr>
        <w:t>Common Provisioning Fund</w:t>
      </w:r>
    </w:p>
    <w:p w14:paraId="17218EC9" w14:textId="77777777" w:rsidR="00A87A92" w:rsidRPr="005779E6" w:rsidRDefault="00023E71" w:rsidP="00A87A92">
      <w:pPr>
        <w:pStyle w:val="DGTextstand-alone"/>
        <w:rPr>
          <w:lang w:val="en-IE" w:eastAsia="en-IE"/>
        </w:rPr>
      </w:pPr>
      <w:r w:rsidRPr="005779E6">
        <w:rPr>
          <w:lang w:val="en-IE" w:eastAsia="en-IE"/>
        </w:rPr>
        <w:t xml:space="preserve">The CPF portfolio has a total average duration of </w:t>
      </w:r>
      <w:r w:rsidRPr="00630B17">
        <w:rPr>
          <w:lang w:val="en-IE" w:eastAsia="en-IE"/>
        </w:rPr>
        <w:t>3.56</w:t>
      </w:r>
      <w:r w:rsidRPr="005779E6">
        <w:rPr>
          <w:lang w:val="en-IE" w:eastAsia="en-IE"/>
        </w:rPr>
        <w:t xml:space="preserve"> years.</w:t>
      </w:r>
    </w:p>
    <w:p w14:paraId="7D6F6D96" w14:textId="77777777" w:rsidR="00A87A92" w:rsidRPr="002365B2" w:rsidRDefault="00023E71" w:rsidP="00A87A92">
      <w:pPr>
        <w:pStyle w:val="HEADER5"/>
        <w:rPr>
          <w:noProof/>
        </w:rPr>
      </w:pPr>
      <w:r w:rsidRPr="6C204149">
        <w:rPr>
          <w:noProof/>
        </w:rPr>
        <w:t>ECSC i.L.</w:t>
      </w:r>
    </w:p>
    <w:p w14:paraId="36CC1904" w14:textId="557781AF" w:rsidR="006F6B0D" w:rsidRDefault="00023E71" w:rsidP="00792ECE">
      <w:pPr>
        <w:pStyle w:val="DGTextstand-alone"/>
        <w:rPr>
          <w:lang w:val="en-IE" w:eastAsia="en-IE"/>
        </w:rPr>
      </w:pPr>
      <w:r w:rsidRPr="777FBFAD">
        <w:rPr>
          <w:lang w:val="en-IE" w:eastAsia="en-IE"/>
        </w:rPr>
        <w:t xml:space="preserve">The ECSC i.L. amounts are invested in a long-term bond portfolio with an average duration of </w:t>
      </w:r>
      <w:r w:rsidRPr="00630B17">
        <w:rPr>
          <w:lang w:val="en-IE" w:eastAsia="en-IE"/>
        </w:rPr>
        <w:t>3.83</w:t>
      </w:r>
      <w:r w:rsidRPr="777FBFAD">
        <w:rPr>
          <w:lang w:val="en-IE" w:eastAsia="en-IE"/>
        </w:rPr>
        <w:t xml:space="preserve"> years</w:t>
      </w:r>
      <w:r w:rsidR="00096414" w:rsidRPr="005779E6">
        <w:rPr>
          <w:lang w:val="en-IE" w:eastAsia="en-IE"/>
        </w:rPr>
        <w:t>.</w:t>
      </w:r>
    </w:p>
    <w:p w14:paraId="64B6FEA6" w14:textId="77777777" w:rsidR="006F6B0D" w:rsidRDefault="006F6B0D">
      <w:pPr>
        <w:rPr>
          <w:rFonts w:ascii="Verdana" w:hAnsi="Verdana"/>
          <w:noProof/>
          <w:sz w:val="18"/>
          <w:szCs w:val="18"/>
          <w:lang w:val="en-IE" w:eastAsia="en-IE"/>
        </w:rPr>
      </w:pPr>
      <w:r>
        <w:rPr>
          <w:noProof/>
          <w:lang w:val="en-IE" w:eastAsia="en-IE"/>
        </w:rPr>
        <w:br w:type="page"/>
      </w:r>
    </w:p>
    <w:p w14:paraId="4EE87C4E" w14:textId="77777777" w:rsidR="00A175FD" w:rsidRPr="00D66002" w:rsidRDefault="00023E71" w:rsidP="00172034">
      <w:pPr>
        <w:pStyle w:val="HEADER2NOTES"/>
        <w:numPr>
          <w:ilvl w:val="1"/>
          <w:numId w:val="15"/>
        </w:numPr>
        <w:jc w:val="both"/>
        <w:rPr>
          <w:noProof/>
        </w:rPr>
      </w:pPr>
      <w:r>
        <w:rPr>
          <w:noProof/>
        </w:rPr>
        <w:t xml:space="preserve">OTHER </w:t>
      </w:r>
      <w:r w:rsidRPr="00595197">
        <w:rPr>
          <w:noProof/>
        </w:rPr>
        <w:t>PRICE</w:t>
      </w:r>
      <w:r>
        <w:rPr>
          <w:noProof/>
        </w:rPr>
        <w:t xml:space="preserve"> RISK</w:t>
      </w:r>
    </w:p>
    <w:p w14:paraId="47F58B9C" w14:textId="77777777" w:rsidR="00A87A92" w:rsidRPr="00FC50EA" w:rsidRDefault="00023E71" w:rsidP="00A87A92">
      <w:pPr>
        <w:pStyle w:val="DGTextstand-alone"/>
        <w:rPr>
          <w:lang w:val="en-IE" w:eastAsia="en-IE"/>
        </w:rPr>
      </w:pPr>
      <w:r w:rsidRPr="6C204149">
        <w:rPr>
          <w:lang w:val="en-IE" w:eastAsia="en-IE"/>
        </w:rPr>
        <w:t>As at 31 December 2025, the EU is exposed to equity risk from various investments, including:</w:t>
      </w:r>
    </w:p>
    <w:p w14:paraId="31F9C041" w14:textId="77777777" w:rsidR="00A87A92" w:rsidRPr="00256267" w:rsidRDefault="00023E71" w:rsidP="00172034">
      <w:pPr>
        <w:pStyle w:val="DGTextstand-alonedashesjustified"/>
        <w:numPr>
          <w:ilvl w:val="0"/>
          <w:numId w:val="22"/>
        </w:numPr>
        <w:rPr>
          <w:lang w:eastAsia="en-GB"/>
        </w:rPr>
      </w:pPr>
      <w:r w:rsidRPr="00256267">
        <w:rPr>
          <w:lang w:eastAsia="en-GB"/>
        </w:rPr>
        <w:t>Non-quoted equity investments (such as venture capital and other investment funds)</w:t>
      </w:r>
      <w:r>
        <w:rPr>
          <w:lang w:eastAsia="en-GB"/>
        </w:rPr>
        <w:t>;</w:t>
      </w:r>
    </w:p>
    <w:p w14:paraId="55515C9F" w14:textId="77777777" w:rsidR="00A87A92" w:rsidRPr="00256267" w:rsidRDefault="00023E71" w:rsidP="00172034">
      <w:pPr>
        <w:pStyle w:val="DGTextstand-alonedashesjustified"/>
        <w:numPr>
          <w:ilvl w:val="0"/>
          <w:numId w:val="22"/>
        </w:numPr>
        <w:rPr>
          <w:lang w:eastAsia="en-GB"/>
        </w:rPr>
      </w:pPr>
      <w:r w:rsidRPr="00256267">
        <w:rPr>
          <w:lang w:eastAsia="en-GB"/>
        </w:rPr>
        <w:t>Money market funds (such as the EIB Unitary Fund)</w:t>
      </w:r>
      <w:r>
        <w:rPr>
          <w:lang w:eastAsia="en-GB"/>
        </w:rPr>
        <w:t>;</w:t>
      </w:r>
    </w:p>
    <w:p w14:paraId="2D5B25E4" w14:textId="77777777" w:rsidR="00A87A92" w:rsidRPr="00256267" w:rsidRDefault="00023E71" w:rsidP="00172034">
      <w:pPr>
        <w:pStyle w:val="DGTextstand-alonedashesjustified"/>
        <w:numPr>
          <w:ilvl w:val="0"/>
          <w:numId w:val="22"/>
        </w:numPr>
        <w:rPr>
          <w:lang w:eastAsia="en-GB"/>
        </w:rPr>
      </w:pPr>
      <w:r w:rsidRPr="00256267">
        <w:rPr>
          <w:lang w:eastAsia="en-GB"/>
        </w:rPr>
        <w:t>ETFs</w:t>
      </w:r>
      <w:r>
        <w:rPr>
          <w:lang w:eastAsia="en-GB"/>
        </w:rPr>
        <w:t>;</w:t>
      </w:r>
    </w:p>
    <w:p w14:paraId="1CC96569" w14:textId="77777777" w:rsidR="00A87A92" w:rsidRPr="00256267" w:rsidRDefault="00023E71" w:rsidP="00172034">
      <w:pPr>
        <w:pStyle w:val="DGTextstand-alonedashesjustified"/>
        <w:numPr>
          <w:ilvl w:val="0"/>
          <w:numId w:val="22"/>
        </w:numPr>
        <w:rPr>
          <w:lang w:eastAsia="en-GB"/>
        </w:rPr>
      </w:pPr>
      <w:r w:rsidRPr="00256267">
        <w:rPr>
          <w:lang w:eastAsia="en-GB"/>
        </w:rPr>
        <w:t xml:space="preserve">Investments in pooled portfolios (see </w:t>
      </w:r>
      <w:r>
        <w:rPr>
          <w:lang w:eastAsia="en-GB"/>
        </w:rPr>
        <w:t>N</w:t>
      </w:r>
      <w:r w:rsidRPr="00256267">
        <w:rPr>
          <w:lang w:eastAsia="en-GB"/>
        </w:rPr>
        <w:t xml:space="preserve">ote </w:t>
      </w:r>
      <w:r w:rsidRPr="00256267">
        <w:rPr>
          <w:b/>
          <w:bCs/>
          <w:lang w:eastAsia="en-GB"/>
        </w:rPr>
        <w:t>2.4.2.1</w:t>
      </w:r>
      <w:r w:rsidRPr="00256267">
        <w:rPr>
          <w:lang w:eastAsia="en-GB"/>
        </w:rPr>
        <w:t>)</w:t>
      </w:r>
      <w:r>
        <w:rPr>
          <w:lang w:eastAsia="en-GB"/>
        </w:rPr>
        <w:t>.</w:t>
      </w:r>
    </w:p>
    <w:p w14:paraId="75442EDB" w14:textId="77777777" w:rsidR="00A87A92" w:rsidRPr="00FC50EA" w:rsidRDefault="00023E71" w:rsidP="00A87A92">
      <w:pPr>
        <w:pStyle w:val="DGTextstand-alone"/>
        <w:rPr>
          <w:lang w:val="en-IE" w:eastAsia="en-IE"/>
        </w:rPr>
      </w:pPr>
      <w:r w:rsidRPr="1D0DAAEE">
        <w:rPr>
          <w:lang w:val="en-IE" w:eastAsia="en-IE"/>
        </w:rPr>
        <w:t xml:space="preserve">The EU is also exposed to equity risk through guarantees covering non-quoted equity and quasi equity investments, which are treated as derivatives at fair value through surplus or deficit (see </w:t>
      </w:r>
      <w:r>
        <w:rPr>
          <w:lang w:val="en-IE" w:eastAsia="en-IE"/>
        </w:rPr>
        <w:t>N</w:t>
      </w:r>
      <w:r w:rsidRPr="1D0DAAEE">
        <w:rPr>
          <w:lang w:val="en-IE" w:eastAsia="en-IE"/>
        </w:rPr>
        <w:t xml:space="preserve">ote </w:t>
      </w:r>
      <w:r w:rsidRPr="009E580E">
        <w:rPr>
          <w:b/>
          <w:bCs/>
          <w:lang w:val="en-IE" w:eastAsia="en-IE"/>
        </w:rPr>
        <w:t>2.4.2.2</w:t>
      </w:r>
      <w:r w:rsidRPr="1D0DAAEE">
        <w:rPr>
          <w:lang w:val="en-IE" w:eastAsia="en-IE"/>
        </w:rPr>
        <w:t>).</w:t>
      </w:r>
    </w:p>
    <w:p w14:paraId="53C66CDC" w14:textId="77777777" w:rsidR="00A87A92" w:rsidRPr="00FC50EA" w:rsidRDefault="00023E71" w:rsidP="00A87A92">
      <w:pPr>
        <w:pStyle w:val="DGTextstand-alone"/>
        <w:rPr>
          <w:lang w:val="en-IE" w:eastAsia="en-IE"/>
        </w:rPr>
      </w:pPr>
      <w:r w:rsidRPr="1D0DAAEE">
        <w:rPr>
          <w:lang w:val="en-IE" w:eastAsia="en-IE"/>
        </w:rPr>
        <w:t>Equity price risk is the risk that the fair values of equity investments change due to fluctuations in equity prices and/or the value of guaranteed equity investments.</w:t>
      </w:r>
    </w:p>
    <w:p w14:paraId="7E4B23F0" w14:textId="77777777" w:rsidR="00A175FD" w:rsidRPr="005779E6" w:rsidRDefault="00023E71" w:rsidP="00A87A92">
      <w:pPr>
        <w:pStyle w:val="DGTextstand-alone"/>
        <w:rPr>
          <w:lang w:val="en-IE" w:eastAsia="en-IE"/>
        </w:rPr>
      </w:pPr>
      <w:r w:rsidRPr="005779E6">
        <w:rPr>
          <w:lang w:val="en-IE" w:eastAsia="en-IE"/>
        </w:rPr>
        <w:t>The effect on surplus or deficit of a 10% value increase or decrease of the above-mentioned instruments would be as follows</w:t>
      </w:r>
      <w:r w:rsidR="00BD0290" w:rsidRPr="005779E6">
        <w:rPr>
          <w:lang w:val="en-IE" w:eastAsia="en-IE"/>
        </w:rPr>
        <w:t>:</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6"/>
        <w:gridCol w:w="1731"/>
        <w:gridCol w:w="1731"/>
      </w:tblGrid>
      <w:tr w:rsidR="00807FFE" w14:paraId="5689D90D" w14:textId="77777777">
        <w:trPr>
          <w:trHeight w:val="255"/>
        </w:trPr>
        <w:tc>
          <w:tcPr>
            <w:tcW w:w="6296" w:type="dxa"/>
            <w:tcBorders>
              <w:top w:val="nil"/>
              <w:left w:val="nil"/>
              <w:bottom w:val="nil"/>
              <w:right w:val="nil"/>
              <w:tl2br w:val="nil"/>
              <w:tr2bl w:val="nil"/>
            </w:tcBorders>
            <w:tcMar>
              <w:left w:w="60" w:type="dxa"/>
              <w:right w:w="60" w:type="dxa"/>
            </w:tcMar>
            <w:vAlign w:val="center"/>
          </w:tcPr>
          <w:p w14:paraId="23AE9D3C" w14:textId="77777777" w:rsidR="00807FFE" w:rsidRDefault="00807FFE">
            <w:pPr>
              <w:pStyle w:val="DMETW36626BIPEQR"/>
              <w:rPr>
                <w:rFonts w:ascii="Verdana" w:eastAsia="Verdana" w:hAnsi="Verdana" w:cs="Verdana"/>
                <w:i/>
                <w:noProof/>
                <w:color w:val="FFFFFF"/>
                <w:sz w:val="18"/>
                <w:lang w:bidi="en-GB"/>
              </w:rPr>
            </w:pPr>
            <w:bookmarkStart w:id="226" w:name="DOC_TBL00093_1_1"/>
            <w:bookmarkEnd w:id="226"/>
          </w:p>
        </w:tc>
        <w:tc>
          <w:tcPr>
            <w:tcW w:w="1731" w:type="dxa"/>
            <w:tcBorders>
              <w:top w:val="nil"/>
              <w:left w:val="nil"/>
              <w:bottom w:val="nil"/>
              <w:right w:val="nil"/>
              <w:tl2br w:val="nil"/>
              <w:tr2bl w:val="nil"/>
            </w:tcBorders>
            <w:tcMar>
              <w:left w:w="60" w:type="dxa"/>
              <w:right w:w="60" w:type="dxa"/>
            </w:tcMar>
            <w:vAlign w:val="bottom"/>
          </w:tcPr>
          <w:p w14:paraId="7CD2C1C3" w14:textId="77777777" w:rsidR="00807FFE" w:rsidRDefault="00807FFE">
            <w:pPr>
              <w:pStyle w:val="DMETW36626BIPEQR"/>
              <w:rPr>
                <w:rFonts w:ascii="Verdana" w:eastAsia="Verdana" w:hAnsi="Verdana" w:cs="Verdana"/>
                <w:noProof/>
                <w:color w:val="000000"/>
                <w:sz w:val="18"/>
              </w:rPr>
            </w:pPr>
          </w:p>
        </w:tc>
        <w:tc>
          <w:tcPr>
            <w:tcW w:w="1731" w:type="dxa"/>
            <w:tcBorders>
              <w:top w:val="nil"/>
              <w:left w:val="nil"/>
              <w:bottom w:val="nil"/>
              <w:right w:val="nil"/>
              <w:tl2br w:val="nil"/>
              <w:tr2bl w:val="nil"/>
            </w:tcBorders>
            <w:tcMar>
              <w:left w:w="60" w:type="dxa"/>
              <w:right w:w="60" w:type="dxa"/>
            </w:tcMar>
            <w:vAlign w:val="bottom"/>
          </w:tcPr>
          <w:p w14:paraId="3C60542B" w14:textId="77777777" w:rsidR="00807FFE" w:rsidRDefault="00023E71">
            <w:pPr>
              <w:pStyle w:val="DMETW36626BIPEQR"/>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437AE2BB" w14:textId="77777777">
        <w:trPr>
          <w:trHeight w:val="255"/>
        </w:trPr>
        <w:tc>
          <w:tcPr>
            <w:tcW w:w="6296" w:type="dxa"/>
            <w:tcBorders>
              <w:top w:val="nil"/>
              <w:left w:val="nil"/>
              <w:bottom w:val="nil"/>
              <w:right w:val="nil"/>
              <w:tl2br w:val="nil"/>
              <w:tr2bl w:val="nil"/>
            </w:tcBorders>
            <w:shd w:val="solid" w:color="016794" w:fill="FFFFFF"/>
            <w:tcMar>
              <w:left w:w="60" w:type="dxa"/>
              <w:right w:w="60" w:type="dxa"/>
            </w:tcMar>
            <w:vAlign w:val="center"/>
          </w:tcPr>
          <w:p w14:paraId="0158A2FD" w14:textId="77777777" w:rsidR="00807FFE" w:rsidRDefault="00807FFE">
            <w:pPr>
              <w:pStyle w:val="DMETW36626BIPEQR"/>
              <w:rPr>
                <w:rFonts w:ascii="Verdana" w:eastAsia="Verdana" w:hAnsi="Verdana" w:cs="Verdana"/>
                <w:noProof/>
                <w:color w:val="FFFFFF"/>
                <w:sz w:val="18"/>
              </w:rPr>
            </w:pPr>
          </w:p>
        </w:tc>
        <w:tc>
          <w:tcPr>
            <w:tcW w:w="1731" w:type="dxa"/>
            <w:tcBorders>
              <w:top w:val="nil"/>
              <w:left w:val="nil"/>
              <w:bottom w:val="nil"/>
              <w:right w:val="nil"/>
              <w:tl2br w:val="nil"/>
              <w:tr2bl w:val="nil"/>
            </w:tcBorders>
            <w:shd w:val="solid" w:color="016794" w:fill="FFFFFF"/>
            <w:tcMar>
              <w:left w:w="60" w:type="dxa"/>
              <w:right w:w="60" w:type="dxa"/>
            </w:tcMar>
            <w:vAlign w:val="center"/>
          </w:tcPr>
          <w:p w14:paraId="40718087" w14:textId="77777777" w:rsidR="00807FFE" w:rsidRDefault="00023E71">
            <w:pPr>
              <w:pStyle w:val="DMETW36626BIPEQR"/>
              <w:jc w:val="right"/>
              <w:rPr>
                <w:rFonts w:ascii="Verdana" w:eastAsia="Verdana" w:hAnsi="Verdana" w:cs="Verdana"/>
                <w:noProof/>
                <w:color w:val="FFFFFF"/>
                <w:sz w:val="18"/>
              </w:rPr>
            </w:pPr>
            <w:r>
              <w:rPr>
                <w:rFonts w:ascii="Verdana" w:eastAsia="Verdana" w:hAnsi="Verdana" w:cs="Verdana"/>
                <w:noProof/>
                <w:color w:val="FFFFFF"/>
                <w:sz w:val="18"/>
              </w:rPr>
              <w:t>10%</w:t>
            </w:r>
          </w:p>
        </w:tc>
        <w:tc>
          <w:tcPr>
            <w:tcW w:w="1731" w:type="dxa"/>
            <w:tcBorders>
              <w:top w:val="nil"/>
              <w:left w:val="nil"/>
              <w:bottom w:val="nil"/>
              <w:right w:val="nil"/>
              <w:tl2br w:val="nil"/>
              <w:tr2bl w:val="nil"/>
            </w:tcBorders>
            <w:shd w:val="solid" w:color="016794" w:fill="FFFFFF"/>
            <w:tcMar>
              <w:left w:w="60" w:type="dxa"/>
              <w:right w:w="60" w:type="dxa"/>
            </w:tcMar>
            <w:vAlign w:val="center"/>
          </w:tcPr>
          <w:p w14:paraId="5D5C92DC" w14:textId="77777777" w:rsidR="00807FFE" w:rsidRDefault="00023E71">
            <w:pPr>
              <w:pStyle w:val="DMETW36626BIPEQR"/>
              <w:jc w:val="right"/>
              <w:rPr>
                <w:rFonts w:ascii="Verdana" w:eastAsia="Verdana" w:hAnsi="Verdana" w:cs="Verdana"/>
                <w:noProof/>
                <w:color w:val="FFFFFF"/>
                <w:sz w:val="18"/>
                <w:lang w:bidi="en-GB"/>
              </w:rPr>
            </w:pPr>
            <w:r>
              <w:rPr>
                <w:rFonts w:ascii="Verdana" w:eastAsia="Verdana" w:hAnsi="Verdana" w:cs="Verdana"/>
                <w:noProof/>
                <w:color w:val="FFFFFF"/>
                <w:sz w:val="18"/>
              </w:rPr>
              <w:t>(10)%</w:t>
            </w:r>
          </w:p>
        </w:tc>
      </w:tr>
      <w:tr w:rsidR="00807FFE" w14:paraId="305B6B37" w14:textId="77777777">
        <w:trPr>
          <w:trHeight w:val="255"/>
        </w:trPr>
        <w:tc>
          <w:tcPr>
            <w:tcW w:w="6296" w:type="dxa"/>
            <w:tcBorders>
              <w:top w:val="nil"/>
              <w:left w:val="nil"/>
              <w:bottom w:val="nil"/>
              <w:right w:val="nil"/>
              <w:tl2br w:val="nil"/>
              <w:tr2bl w:val="nil"/>
            </w:tcBorders>
            <w:tcMar>
              <w:left w:w="60" w:type="dxa"/>
              <w:right w:w="60" w:type="dxa"/>
            </w:tcMar>
            <w:vAlign w:val="center"/>
          </w:tcPr>
          <w:p w14:paraId="5C58ED7C" w14:textId="77777777" w:rsidR="00807FFE" w:rsidRDefault="00023E71">
            <w:pPr>
              <w:pStyle w:val="DMETW36626BIPEQR"/>
              <w:rPr>
                <w:rFonts w:ascii="Verdana" w:eastAsia="Verdana" w:hAnsi="Verdana" w:cs="Verdana"/>
                <w:i/>
                <w:noProof/>
                <w:color w:val="000000"/>
                <w:sz w:val="18"/>
              </w:rPr>
            </w:pPr>
            <w:r>
              <w:rPr>
                <w:rFonts w:ascii="Verdana" w:eastAsia="Verdana" w:hAnsi="Verdana" w:cs="Verdana"/>
                <w:i/>
                <w:noProof/>
                <w:color w:val="000000"/>
                <w:sz w:val="18"/>
              </w:rPr>
              <w:t>Equity investments</w:t>
            </w:r>
          </w:p>
        </w:tc>
        <w:tc>
          <w:tcPr>
            <w:tcW w:w="1731" w:type="dxa"/>
            <w:tcBorders>
              <w:top w:val="nil"/>
              <w:left w:val="nil"/>
              <w:bottom w:val="nil"/>
              <w:right w:val="nil"/>
              <w:tl2br w:val="nil"/>
              <w:tr2bl w:val="nil"/>
            </w:tcBorders>
            <w:tcMar>
              <w:left w:w="60" w:type="dxa"/>
              <w:right w:w="60" w:type="dxa"/>
            </w:tcMar>
            <w:vAlign w:val="center"/>
          </w:tcPr>
          <w:p w14:paraId="5A9B87CF" w14:textId="77777777" w:rsidR="00807FFE" w:rsidRDefault="00023E71">
            <w:pPr>
              <w:pStyle w:val="DMETW36626BIPEQR"/>
              <w:jc w:val="right"/>
              <w:rPr>
                <w:rFonts w:ascii="Verdana" w:eastAsia="Verdana" w:hAnsi="Verdana" w:cs="Verdana"/>
                <w:i/>
                <w:noProof/>
                <w:color w:val="000000"/>
                <w:sz w:val="18"/>
              </w:rPr>
            </w:pPr>
            <w:r>
              <w:rPr>
                <w:rFonts w:ascii="Verdana" w:eastAsia="Verdana" w:hAnsi="Verdana" w:cs="Verdana"/>
                <w:i/>
                <w:noProof/>
                <w:color w:val="000000"/>
                <w:sz w:val="18"/>
              </w:rPr>
              <w:t xml:space="preserve"> 380</w:t>
            </w:r>
          </w:p>
        </w:tc>
        <w:tc>
          <w:tcPr>
            <w:tcW w:w="1731" w:type="dxa"/>
            <w:tcBorders>
              <w:top w:val="nil"/>
              <w:left w:val="nil"/>
              <w:bottom w:val="nil"/>
              <w:right w:val="nil"/>
              <w:tl2br w:val="nil"/>
              <w:tr2bl w:val="nil"/>
            </w:tcBorders>
            <w:tcMar>
              <w:left w:w="60" w:type="dxa"/>
              <w:right w:w="60" w:type="dxa"/>
            </w:tcMar>
            <w:vAlign w:val="center"/>
          </w:tcPr>
          <w:p w14:paraId="1BB60145" w14:textId="77777777" w:rsidR="00807FFE" w:rsidRDefault="00023E71">
            <w:pPr>
              <w:pStyle w:val="DMETW36626BIPEQ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(380)</w:t>
            </w:r>
          </w:p>
        </w:tc>
      </w:tr>
      <w:tr w:rsidR="00807FFE" w14:paraId="6545FD42" w14:textId="77777777">
        <w:trPr>
          <w:trHeight w:val="255"/>
        </w:trPr>
        <w:tc>
          <w:tcPr>
            <w:tcW w:w="6296" w:type="dxa"/>
            <w:tcBorders>
              <w:top w:val="nil"/>
              <w:left w:val="nil"/>
              <w:bottom w:val="nil"/>
              <w:right w:val="nil"/>
              <w:tl2br w:val="nil"/>
              <w:tr2bl w:val="nil"/>
            </w:tcBorders>
            <w:tcMar>
              <w:left w:w="60" w:type="dxa"/>
              <w:right w:w="60" w:type="dxa"/>
            </w:tcMar>
            <w:vAlign w:val="bottom"/>
          </w:tcPr>
          <w:p w14:paraId="3E2CEAD5" w14:textId="77777777" w:rsidR="00807FFE" w:rsidRDefault="00023E71">
            <w:pPr>
              <w:pStyle w:val="DMETW36626BIPEQR"/>
              <w:rPr>
                <w:rFonts w:ascii="Verdana" w:eastAsia="Verdana" w:hAnsi="Verdana" w:cs="Verdana"/>
                <w:i/>
                <w:noProof/>
                <w:color w:val="000000"/>
                <w:sz w:val="18"/>
              </w:rPr>
            </w:pPr>
            <w:r>
              <w:rPr>
                <w:rFonts w:ascii="Verdana" w:eastAsia="Verdana" w:hAnsi="Verdana" w:cs="Verdana"/>
                <w:i/>
                <w:noProof/>
                <w:color w:val="000000"/>
                <w:sz w:val="18"/>
              </w:rPr>
              <w:t xml:space="preserve">MMFs, ETFs and investments in pooled portfolios </w:t>
            </w:r>
          </w:p>
        </w:tc>
        <w:tc>
          <w:tcPr>
            <w:tcW w:w="1731" w:type="dxa"/>
            <w:tcBorders>
              <w:top w:val="nil"/>
              <w:left w:val="nil"/>
              <w:bottom w:val="nil"/>
              <w:right w:val="nil"/>
              <w:tl2br w:val="nil"/>
              <w:tr2bl w:val="nil"/>
            </w:tcBorders>
            <w:tcMar>
              <w:left w:w="60" w:type="dxa"/>
              <w:right w:w="60" w:type="dxa"/>
            </w:tcMar>
            <w:vAlign w:val="center"/>
          </w:tcPr>
          <w:p w14:paraId="5C39BCA7" w14:textId="77777777" w:rsidR="00807FFE" w:rsidRDefault="00023E71">
            <w:pPr>
              <w:pStyle w:val="DMETW36626BIPEQR"/>
              <w:jc w:val="right"/>
              <w:rPr>
                <w:rFonts w:ascii="Verdana" w:eastAsia="Verdana" w:hAnsi="Verdana" w:cs="Verdana"/>
                <w:i/>
                <w:noProof/>
                <w:color w:val="000000"/>
                <w:sz w:val="18"/>
              </w:rPr>
            </w:pPr>
            <w:r>
              <w:rPr>
                <w:rFonts w:ascii="Verdana" w:eastAsia="Verdana" w:hAnsi="Verdana" w:cs="Verdana"/>
                <w:i/>
                <w:noProof/>
                <w:color w:val="000000"/>
                <w:sz w:val="18"/>
              </w:rPr>
              <w:t xml:space="preserve"> 681</w:t>
            </w:r>
          </w:p>
        </w:tc>
        <w:tc>
          <w:tcPr>
            <w:tcW w:w="1731" w:type="dxa"/>
            <w:tcBorders>
              <w:top w:val="nil"/>
              <w:left w:val="nil"/>
              <w:bottom w:val="nil"/>
              <w:right w:val="nil"/>
              <w:tl2br w:val="nil"/>
              <w:tr2bl w:val="nil"/>
            </w:tcBorders>
            <w:tcMar>
              <w:left w:w="60" w:type="dxa"/>
              <w:right w:w="60" w:type="dxa"/>
            </w:tcMar>
            <w:vAlign w:val="center"/>
          </w:tcPr>
          <w:p w14:paraId="2E073341" w14:textId="77777777" w:rsidR="00807FFE" w:rsidRDefault="00023E71">
            <w:pPr>
              <w:pStyle w:val="DMETW36626BIPEQ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(681)</w:t>
            </w:r>
          </w:p>
        </w:tc>
      </w:tr>
      <w:tr w:rsidR="00807FFE" w14:paraId="74FF26EF" w14:textId="77777777">
        <w:trPr>
          <w:trHeight w:val="255"/>
        </w:trPr>
        <w:tc>
          <w:tcPr>
            <w:tcW w:w="6296" w:type="dxa"/>
            <w:tcBorders>
              <w:top w:val="nil"/>
              <w:left w:val="nil"/>
              <w:bottom w:val="single" w:sz="4" w:space="0" w:color="016794"/>
              <w:right w:val="nil"/>
              <w:tl2br w:val="nil"/>
              <w:tr2bl w:val="nil"/>
            </w:tcBorders>
            <w:tcMar>
              <w:left w:w="60" w:type="dxa"/>
              <w:right w:w="60" w:type="dxa"/>
            </w:tcMar>
            <w:vAlign w:val="center"/>
          </w:tcPr>
          <w:p w14:paraId="4911B31B" w14:textId="77777777" w:rsidR="00807FFE" w:rsidRDefault="00023E71">
            <w:pPr>
              <w:pStyle w:val="DMETW36626BIPEQR"/>
              <w:rPr>
                <w:rFonts w:ascii="Verdana" w:eastAsia="Verdana" w:hAnsi="Verdana" w:cs="Verdana"/>
                <w:i/>
                <w:noProof/>
                <w:color w:val="000000"/>
                <w:sz w:val="18"/>
              </w:rPr>
            </w:pPr>
            <w:r>
              <w:rPr>
                <w:rFonts w:ascii="Verdana" w:eastAsia="Verdana" w:hAnsi="Verdana" w:cs="Verdana"/>
                <w:i/>
                <w:noProof/>
                <w:color w:val="000000"/>
                <w:sz w:val="18"/>
              </w:rPr>
              <w:t>Guarantees on equity*</w:t>
            </w:r>
          </w:p>
        </w:tc>
        <w:tc>
          <w:tcPr>
            <w:tcW w:w="1731" w:type="dxa"/>
            <w:tcBorders>
              <w:top w:val="nil"/>
              <w:left w:val="nil"/>
              <w:bottom w:val="single" w:sz="4" w:space="0" w:color="0070C0"/>
              <w:right w:val="nil"/>
              <w:tl2br w:val="nil"/>
              <w:tr2bl w:val="nil"/>
            </w:tcBorders>
            <w:tcMar>
              <w:left w:w="60" w:type="dxa"/>
              <w:right w:w="60" w:type="dxa"/>
            </w:tcMar>
            <w:vAlign w:val="center"/>
          </w:tcPr>
          <w:p w14:paraId="4710DC63" w14:textId="77777777" w:rsidR="00807FFE" w:rsidRDefault="00023E71">
            <w:pPr>
              <w:pStyle w:val="DMETW36626BIPEQR"/>
              <w:jc w:val="right"/>
              <w:rPr>
                <w:rFonts w:ascii="Verdana" w:eastAsia="Verdana" w:hAnsi="Verdana" w:cs="Verdana"/>
                <w:i/>
                <w:noProof/>
                <w:color w:val="000000"/>
                <w:sz w:val="18"/>
              </w:rPr>
            </w:pPr>
            <w:r>
              <w:rPr>
                <w:rFonts w:ascii="Verdana" w:eastAsia="Verdana" w:hAnsi="Verdana" w:cs="Verdana"/>
                <w:i/>
                <w:noProof/>
                <w:color w:val="000000"/>
                <w:sz w:val="18"/>
              </w:rPr>
              <w:t xml:space="preserve"> 695</w:t>
            </w:r>
          </w:p>
        </w:tc>
        <w:tc>
          <w:tcPr>
            <w:tcW w:w="1731" w:type="dxa"/>
            <w:tcBorders>
              <w:top w:val="nil"/>
              <w:left w:val="nil"/>
              <w:bottom w:val="single" w:sz="4" w:space="0" w:color="0070C0"/>
              <w:right w:val="nil"/>
              <w:tl2br w:val="nil"/>
              <w:tr2bl w:val="nil"/>
            </w:tcBorders>
            <w:tcMar>
              <w:left w:w="60" w:type="dxa"/>
              <w:right w:w="60" w:type="dxa"/>
            </w:tcMar>
            <w:vAlign w:val="center"/>
          </w:tcPr>
          <w:p w14:paraId="6CE3AA0A" w14:textId="77777777" w:rsidR="00807FFE" w:rsidRDefault="00023E71">
            <w:pPr>
              <w:pStyle w:val="DMETW36626BIPEQ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(695)</w:t>
            </w:r>
          </w:p>
        </w:tc>
      </w:tr>
      <w:tr w:rsidR="00807FFE" w14:paraId="30B16CB4" w14:textId="77777777">
        <w:trPr>
          <w:trHeight w:val="255"/>
        </w:trPr>
        <w:tc>
          <w:tcPr>
            <w:tcW w:w="6296" w:type="dxa"/>
            <w:tcBorders>
              <w:top w:val="single" w:sz="4" w:space="0" w:color="016794"/>
              <w:left w:val="nil"/>
              <w:bottom w:val="single" w:sz="4" w:space="0" w:color="016794"/>
              <w:right w:val="nil"/>
              <w:tl2br w:val="nil"/>
              <w:tr2bl w:val="nil"/>
            </w:tcBorders>
            <w:tcMar>
              <w:left w:w="60" w:type="dxa"/>
              <w:right w:w="60" w:type="dxa"/>
            </w:tcMar>
            <w:vAlign w:val="center"/>
          </w:tcPr>
          <w:p w14:paraId="7B858ED7" w14:textId="77777777" w:rsidR="00807FFE" w:rsidRDefault="00023E71">
            <w:pPr>
              <w:pStyle w:val="DMETW36626BIPEQR"/>
              <w:rPr>
                <w:rFonts w:ascii="Verdana" w:eastAsia="Verdana" w:hAnsi="Verdana" w:cs="Verdana"/>
                <w:b/>
                <w:noProof/>
                <w:color w:val="000000"/>
                <w:sz w:val="18"/>
              </w:rPr>
            </w:pPr>
            <w:r>
              <w:rPr>
                <w:rFonts w:ascii="Verdana" w:eastAsia="Verdana" w:hAnsi="Verdana" w:cs="Verdana"/>
                <w:b/>
                <w:noProof/>
                <w:color w:val="000000"/>
                <w:sz w:val="18"/>
              </w:rPr>
              <w:t>Total at 31.12.2025</w:t>
            </w:r>
          </w:p>
        </w:tc>
        <w:tc>
          <w:tcPr>
            <w:tcW w:w="1731" w:type="dxa"/>
            <w:tcBorders>
              <w:top w:val="single" w:sz="4" w:space="0" w:color="0070C0"/>
              <w:left w:val="nil"/>
              <w:bottom w:val="single" w:sz="4" w:space="0" w:color="016794"/>
              <w:right w:val="nil"/>
              <w:tl2br w:val="nil"/>
              <w:tr2bl w:val="nil"/>
            </w:tcBorders>
            <w:tcMar>
              <w:left w:w="60" w:type="dxa"/>
              <w:right w:w="60" w:type="dxa"/>
            </w:tcMar>
            <w:vAlign w:val="center"/>
          </w:tcPr>
          <w:p w14:paraId="4DC5BD39" w14:textId="77777777" w:rsidR="00807FFE" w:rsidRDefault="00023E71">
            <w:pPr>
              <w:pStyle w:val="DMETW36626BIPEQR"/>
              <w:jc w:val="right"/>
              <w:rPr>
                <w:rFonts w:ascii="Verdana" w:eastAsia="Verdana" w:hAnsi="Verdana" w:cs="Verdana"/>
                <w:b/>
                <w:noProof/>
                <w:color w:val="000000"/>
                <w:sz w:val="18"/>
              </w:rPr>
            </w:pPr>
            <w:r>
              <w:rPr>
                <w:rFonts w:ascii="Verdana" w:eastAsia="Verdana" w:hAnsi="Verdana" w:cs="Verdana"/>
                <w:b/>
                <w:noProof/>
                <w:color w:val="000000"/>
                <w:sz w:val="18"/>
              </w:rPr>
              <w:t>1 756</w:t>
            </w:r>
          </w:p>
        </w:tc>
        <w:tc>
          <w:tcPr>
            <w:tcW w:w="1731" w:type="dxa"/>
            <w:tcBorders>
              <w:top w:val="single" w:sz="4" w:space="0" w:color="0070C0"/>
              <w:left w:val="nil"/>
              <w:bottom w:val="single" w:sz="4" w:space="0" w:color="016794"/>
              <w:right w:val="nil"/>
              <w:tl2br w:val="nil"/>
              <w:tr2bl w:val="nil"/>
            </w:tcBorders>
            <w:tcMar>
              <w:left w:w="60" w:type="dxa"/>
              <w:right w:w="60" w:type="dxa"/>
            </w:tcMar>
            <w:vAlign w:val="center"/>
          </w:tcPr>
          <w:p w14:paraId="35F91BEF" w14:textId="77777777" w:rsidR="00807FFE" w:rsidRDefault="00023E71">
            <w:pPr>
              <w:pStyle w:val="DMETW36626BIPEQR"/>
              <w:jc w:val="right"/>
              <w:rPr>
                <w:rFonts w:ascii="Verdana" w:eastAsia="Verdana" w:hAnsi="Verdana" w:cs="Verdana"/>
                <w:b/>
                <w:noProof/>
                <w:color w:val="000000"/>
                <w:sz w:val="18"/>
                <w:lang w:bidi="en-GB"/>
              </w:rPr>
            </w:pPr>
            <w:r>
              <w:rPr>
                <w:rFonts w:ascii="Verdana" w:eastAsia="Verdana" w:hAnsi="Verdana" w:cs="Verdana"/>
                <w:b/>
                <w:noProof/>
                <w:color w:val="000000"/>
                <w:sz w:val="18"/>
              </w:rPr>
              <w:t>(1 756)</w:t>
            </w:r>
          </w:p>
        </w:tc>
      </w:tr>
      <w:tr w:rsidR="00807FFE" w14:paraId="48BA7DA7" w14:textId="77777777">
        <w:trPr>
          <w:trHeight w:val="255"/>
        </w:trPr>
        <w:tc>
          <w:tcPr>
            <w:tcW w:w="6296" w:type="dxa"/>
            <w:tcBorders>
              <w:top w:val="single" w:sz="4" w:space="0" w:color="016794"/>
              <w:left w:val="nil"/>
              <w:bottom w:val="nil"/>
              <w:right w:val="nil"/>
              <w:tl2br w:val="nil"/>
              <w:tr2bl w:val="nil"/>
            </w:tcBorders>
            <w:tcMar>
              <w:left w:w="60" w:type="dxa"/>
              <w:right w:w="60" w:type="dxa"/>
            </w:tcMar>
            <w:vAlign w:val="center"/>
          </w:tcPr>
          <w:p w14:paraId="21A3F6CE" w14:textId="77777777" w:rsidR="00807FFE" w:rsidRDefault="00023E71">
            <w:pPr>
              <w:pStyle w:val="DMETW36626BIPEQR"/>
              <w:rPr>
                <w:rFonts w:ascii="Verdana" w:eastAsia="Verdana" w:hAnsi="Verdana" w:cs="Verdana"/>
                <w:i/>
                <w:noProof/>
                <w:color w:val="000000"/>
                <w:sz w:val="18"/>
              </w:rPr>
            </w:pPr>
            <w:r>
              <w:rPr>
                <w:rFonts w:ascii="Verdana" w:eastAsia="Verdana" w:hAnsi="Verdana" w:cs="Verdana"/>
                <w:i/>
                <w:noProof/>
                <w:color w:val="000000"/>
                <w:sz w:val="18"/>
              </w:rPr>
              <w:t>Equity investments</w:t>
            </w:r>
          </w:p>
        </w:tc>
        <w:tc>
          <w:tcPr>
            <w:tcW w:w="1731" w:type="dxa"/>
            <w:tcBorders>
              <w:top w:val="single" w:sz="4" w:space="0" w:color="016794"/>
              <w:left w:val="nil"/>
              <w:bottom w:val="nil"/>
              <w:right w:val="nil"/>
              <w:tl2br w:val="nil"/>
              <w:tr2bl w:val="nil"/>
            </w:tcBorders>
            <w:tcMar>
              <w:left w:w="60" w:type="dxa"/>
              <w:right w:w="60" w:type="dxa"/>
            </w:tcMar>
            <w:vAlign w:val="center"/>
          </w:tcPr>
          <w:p w14:paraId="2A400644" w14:textId="77777777" w:rsidR="00807FFE" w:rsidRDefault="00023E71">
            <w:pPr>
              <w:pStyle w:val="DMETW36626BIPEQR"/>
              <w:jc w:val="right"/>
              <w:rPr>
                <w:rFonts w:ascii="Verdana" w:eastAsia="Verdana" w:hAnsi="Verdana" w:cs="Verdana"/>
                <w:i/>
                <w:noProof/>
                <w:color w:val="000000"/>
                <w:sz w:val="18"/>
              </w:rPr>
            </w:pPr>
            <w:r>
              <w:rPr>
                <w:rFonts w:ascii="Verdana" w:eastAsia="Verdana" w:hAnsi="Verdana" w:cs="Verdana"/>
                <w:i/>
                <w:noProof/>
                <w:color w:val="000000"/>
                <w:sz w:val="18"/>
              </w:rPr>
              <w:t xml:space="preserve"> 320</w:t>
            </w:r>
          </w:p>
        </w:tc>
        <w:tc>
          <w:tcPr>
            <w:tcW w:w="1731" w:type="dxa"/>
            <w:tcBorders>
              <w:top w:val="single" w:sz="4" w:space="0" w:color="016794"/>
              <w:left w:val="nil"/>
              <w:bottom w:val="nil"/>
              <w:right w:val="nil"/>
              <w:tl2br w:val="nil"/>
              <w:tr2bl w:val="nil"/>
            </w:tcBorders>
            <w:tcMar>
              <w:left w:w="60" w:type="dxa"/>
              <w:right w:w="60" w:type="dxa"/>
            </w:tcMar>
            <w:vAlign w:val="center"/>
          </w:tcPr>
          <w:p w14:paraId="753D38D7" w14:textId="77777777" w:rsidR="00807FFE" w:rsidRDefault="00023E71">
            <w:pPr>
              <w:pStyle w:val="DMETW36626BIPEQ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(320)</w:t>
            </w:r>
          </w:p>
        </w:tc>
      </w:tr>
      <w:tr w:rsidR="00807FFE" w14:paraId="3E3B0DB8" w14:textId="77777777">
        <w:trPr>
          <w:trHeight w:val="255"/>
        </w:trPr>
        <w:tc>
          <w:tcPr>
            <w:tcW w:w="6296" w:type="dxa"/>
            <w:tcBorders>
              <w:top w:val="nil"/>
              <w:left w:val="nil"/>
              <w:bottom w:val="nil"/>
              <w:right w:val="nil"/>
              <w:tl2br w:val="nil"/>
              <w:tr2bl w:val="nil"/>
            </w:tcBorders>
            <w:tcMar>
              <w:left w:w="60" w:type="dxa"/>
              <w:right w:w="60" w:type="dxa"/>
            </w:tcMar>
            <w:vAlign w:val="bottom"/>
          </w:tcPr>
          <w:p w14:paraId="357338B9" w14:textId="77777777" w:rsidR="00807FFE" w:rsidRDefault="00023E71">
            <w:pPr>
              <w:pStyle w:val="DMETW36626BIPEQR"/>
              <w:rPr>
                <w:rFonts w:ascii="Verdana" w:eastAsia="Verdana" w:hAnsi="Verdana" w:cs="Verdana"/>
                <w:i/>
                <w:noProof/>
                <w:color w:val="000000"/>
                <w:sz w:val="18"/>
              </w:rPr>
            </w:pPr>
            <w:r>
              <w:rPr>
                <w:rFonts w:ascii="Verdana" w:eastAsia="Verdana" w:hAnsi="Verdana" w:cs="Verdana"/>
                <w:i/>
                <w:noProof/>
                <w:color w:val="000000"/>
                <w:sz w:val="18"/>
              </w:rPr>
              <w:t xml:space="preserve">MMFs, ETFs and investments in pooled portfolios </w:t>
            </w:r>
          </w:p>
        </w:tc>
        <w:tc>
          <w:tcPr>
            <w:tcW w:w="1731" w:type="dxa"/>
            <w:tcBorders>
              <w:top w:val="nil"/>
              <w:left w:val="nil"/>
              <w:bottom w:val="nil"/>
              <w:right w:val="nil"/>
              <w:tl2br w:val="nil"/>
              <w:tr2bl w:val="nil"/>
            </w:tcBorders>
            <w:tcMar>
              <w:left w:w="60" w:type="dxa"/>
              <w:right w:w="60" w:type="dxa"/>
            </w:tcMar>
            <w:vAlign w:val="center"/>
          </w:tcPr>
          <w:p w14:paraId="2053EEDF" w14:textId="77777777" w:rsidR="00807FFE" w:rsidRDefault="00023E71">
            <w:pPr>
              <w:pStyle w:val="DMETW36626BIPEQR"/>
              <w:jc w:val="right"/>
              <w:rPr>
                <w:rFonts w:ascii="Verdana" w:eastAsia="Verdana" w:hAnsi="Verdana" w:cs="Verdana"/>
                <w:i/>
                <w:noProof/>
                <w:color w:val="000000"/>
                <w:sz w:val="18"/>
              </w:rPr>
            </w:pPr>
            <w:r>
              <w:rPr>
                <w:rFonts w:ascii="Verdana" w:eastAsia="Verdana" w:hAnsi="Verdana" w:cs="Verdana"/>
                <w:i/>
                <w:noProof/>
                <w:color w:val="000000"/>
                <w:sz w:val="18"/>
              </w:rPr>
              <w:t xml:space="preserve"> 598</w:t>
            </w:r>
          </w:p>
        </w:tc>
        <w:tc>
          <w:tcPr>
            <w:tcW w:w="1731" w:type="dxa"/>
            <w:tcBorders>
              <w:top w:val="nil"/>
              <w:left w:val="nil"/>
              <w:bottom w:val="nil"/>
              <w:right w:val="nil"/>
              <w:tl2br w:val="nil"/>
              <w:tr2bl w:val="nil"/>
            </w:tcBorders>
            <w:tcMar>
              <w:left w:w="60" w:type="dxa"/>
              <w:right w:w="60" w:type="dxa"/>
            </w:tcMar>
            <w:vAlign w:val="center"/>
          </w:tcPr>
          <w:p w14:paraId="4EFF966F" w14:textId="77777777" w:rsidR="00807FFE" w:rsidRDefault="00023E71">
            <w:pPr>
              <w:pStyle w:val="DMETW36626BIPEQ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(598)</w:t>
            </w:r>
          </w:p>
        </w:tc>
      </w:tr>
      <w:tr w:rsidR="00807FFE" w14:paraId="3562C409" w14:textId="77777777">
        <w:trPr>
          <w:trHeight w:val="255"/>
        </w:trPr>
        <w:tc>
          <w:tcPr>
            <w:tcW w:w="6296" w:type="dxa"/>
            <w:tcBorders>
              <w:top w:val="nil"/>
              <w:left w:val="nil"/>
              <w:bottom w:val="single" w:sz="4" w:space="0" w:color="016794"/>
              <w:right w:val="nil"/>
              <w:tl2br w:val="nil"/>
              <w:tr2bl w:val="nil"/>
            </w:tcBorders>
            <w:tcMar>
              <w:left w:w="60" w:type="dxa"/>
              <w:right w:w="60" w:type="dxa"/>
            </w:tcMar>
            <w:vAlign w:val="center"/>
          </w:tcPr>
          <w:p w14:paraId="7A8A2D2C" w14:textId="77777777" w:rsidR="00807FFE" w:rsidRDefault="00023E71">
            <w:pPr>
              <w:pStyle w:val="DMETW36626BIPEQR"/>
              <w:rPr>
                <w:rFonts w:ascii="Verdana" w:eastAsia="Verdana" w:hAnsi="Verdana" w:cs="Verdana"/>
                <w:i/>
                <w:noProof/>
                <w:color w:val="000000"/>
                <w:sz w:val="18"/>
              </w:rPr>
            </w:pPr>
            <w:r>
              <w:rPr>
                <w:rFonts w:ascii="Verdana" w:eastAsia="Verdana" w:hAnsi="Verdana" w:cs="Verdana"/>
                <w:i/>
                <w:noProof/>
                <w:color w:val="000000"/>
                <w:sz w:val="18"/>
              </w:rPr>
              <w:t>Guarantees on equity*</w:t>
            </w:r>
          </w:p>
        </w:tc>
        <w:tc>
          <w:tcPr>
            <w:tcW w:w="1731" w:type="dxa"/>
            <w:tcBorders>
              <w:top w:val="nil"/>
              <w:left w:val="nil"/>
              <w:bottom w:val="single" w:sz="4" w:space="0" w:color="016794"/>
              <w:right w:val="nil"/>
              <w:tl2br w:val="nil"/>
              <w:tr2bl w:val="nil"/>
            </w:tcBorders>
            <w:tcMar>
              <w:left w:w="60" w:type="dxa"/>
              <w:right w:w="60" w:type="dxa"/>
            </w:tcMar>
            <w:vAlign w:val="center"/>
          </w:tcPr>
          <w:p w14:paraId="21F3EF51" w14:textId="77777777" w:rsidR="00807FFE" w:rsidRDefault="00023E71">
            <w:pPr>
              <w:pStyle w:val="DMETW36626BIPEQR"/>
              <w:jc w:val="right"/>
              <w:rPr>
                <w:rFonts w:ascii="Verdana" w:eastAsia="Verdana" w:hAnsi="Verdana" w:cs="Verdana"/>
                <w:i/>
                <w:noProof/>
                <w:color w:val="000000"/>
                <w:sz w:val="18"/>
              </w:rPr>
            </w:pPr>
            <w:r>
              <w:rPr>
                <w:rFonts w:ascii="Verdana" w:eastAsia="Verdana" w:hAnsi="Verdana" w:cs="Verdana"/>
                <w:i/>
                <w:noProof/>
                <w:color w:val="000000"/>
                <w:sz w:val="18"/>
              </w:rPr>
              <w:t xml:space="preserve"> 606</w:t>
            </w:r>
          </w:p>
        </w:tc>
        <w:tc>
          <w:tcPr>
            <w:tcW w:w="1731" w:type="dxa"/>
            <w:tcBorders>
              <w:top w:val="nil"/>
              <w:left w:val="nil"/>
              <w:bottom w:val="single" w:sz="4" w:space="0" w:color="016794"/>
              <w:right w:val="nil"/>
              <w:tl2br w:val="nil"/>
              <w:tr2bl w:val="nil"/>
            </w:tcBorders>
            <w:tcMar>
              <w:left w:w="60" w:type="dxa"/>
              <w:right w:w="60" w:type="dxa"/>
            </w:tcMar>
            <w:vAlign w:val="center"/>
          </w:tcPr>
          <w:p w14:paraId="2630B37F" w14:textId="77777777" w:rsidR="00807FFE" w:rsidRDefault="00023E71">
            <w:pPr>
              <w:pStyle w:val="DMETW36626BIPEQ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(606)</w:t>
            </w:r>
          </w:p>
        </w:tc>
      </w:tr>
      <w:tr w:rsidR="00807FFE" w14:paraId="4A5257E2" w14:textId="77777777">
        <w:trPr>
          <w:trHeight w:val="255"/>
        </w:trPr>
        <w:tc>
          <w:tcPr>
            <w:tcW w:w="6296" w:type="dxa"/>
            <w:tcBorders>
              <w:top w:val="single" w:sz="4" w:space="0" w:color="016794"/>
              <w:left w:val="nil"/>
              <w:bottom w:val="single" w:sz="4" w:space="0" w:color="016794"/>
              <w:right w:val="nil"/>
              <w:tl2br w:val="nil"/>
              <w:tr2bl w:val="nil"/>
            </w:tcBorders>
            <w:tcMar>
              <w:left w:w="60" w:type="dxa"/>
              <w:right w:w="60" w:type="dxa"/>
            </w:tcMar>
            <w:vAlign w:val="center"/>
          </w:tcPr>
          <w:p w14:paraId="29077040" w14:textId="77777777" w:rsidR="00807FFE" w:rsidRDefault="00023E71">
            <w:pPr>
              <w:pStyle w:val="DMETW36626BIPEQR"/>
              <w:rPr>
                <w:rFonts w:ascii="Verdana" w:eastAsia="Verdana" w:hAnsi="Verdana" w:cs="Verdana"/>
                <w:b/>
                <w:noProof/>
                <w:color w:val="000000"/>
                <w:sz w:val="18"/>
              </w:rPr>
            </w:pPr>
            <w:r>
              <w:rPr>
                <w:rFonts w:ascii="Verdana" w:eastAsia="Verdana" w:hAnsi="Verdana" w:cs="Verdana"/>
                <w:b/>
                <w:noProof/>
                <w:color w:val="000000"/>
                <w:sz w:val="18"/>
              </w:rPr>
              <w:t>Total at 31.12.2024</w:t>
            </w:r>
          </w:p>
        </w:tc>
        <w:tc>
          <w:tcPr>
            <w:tcW w:w="1731" w:type="dxa"/>
            <w:tcBorders>
              <w:top w:val="single" w:sz="4" w:space="0" w:color="016794"/>
              <w:left w:val="nil"/>
              <w:bottom w:val="single" w:sz="4" w:space="0" w:color="016794"/>
              <w:right w:val="nil"/>
              <w:tl2br w:val="nil"/>
              <w:tr2bl w:val="nil"/>
            </w:tcBorders>
            <w:tcMar>
              <w:left w:w="60" w:type="dxa"/>
              <w:right w:w="60" w:type="dxa"/>
            </w:tcMar>
            <w:vAlign w:val="center"/>
          </w:tcPr>
          <w:p w14:paraId="1D6A1F12" w14:textId="77777777" w:rsidR="00807FFE" w:rsidRDefault="00023E71">
            <w:pPr>
              <w:pStyle w:val="DMETW36626BIPEQR"/>
              <w:jc w:val="right"/>
              <w:rPr>
                <w:rFonts w:ascii="Verdana" w:eastAsia="Verdana" w:hAnsi="Verdana" w:cs="Verdana"/>
                <w:b/>
                <w:noProof/>
                <w:color w:val="000000"/>
                <w:sz w:val="18"/>
              </w:rPr>
            </w:pPr>
            <w:r>
              <w:rPr>
                <w:rFonts w:ascii="Verdana" w:eastAsia="Verdana" w:hAnsi="Verdana" w:cs="Verdana"/>
                <w:b/>
                <w:noProof/>
                <w:color w:val="000000"/>
                <w:sz w:val="18"/>
              </w:rPr>
              <w:t>1 523</w:t>
            </w:r>
          </w:p>
        </w:tc>
        <w:tc>
          <w:tcPr>
            <w:tcW w:w="1731" w:type="dxa"/>
            <w:tcBorders>
              <w:top w:val="single" w:sz="4" w:space="0" w:color="016794"/>
              <w:left w:val="nil"/>
              <w:bottom w:val="single" w:sz="4" w:space="0" w:color="016794"/>
              <w:right w:val="nil"/>
              <w:tl2br w:val="nil"/>
              <w:tr2bl w:val="nil"/>
            </w:tcBorders>
            <w:tcMar>
              <w:left w:w="60" w:type="dxa"/>
              <w:right w:w="60" w:type="dxa"/>
            </w:tcMar>
            <w:vAlign w:val="center"/>
          </w:tcPr>
          <w:p w14:paraId="0B36A486" w14:textId="77777777" w:rsidR="00807FFE" w:rsidRDefault="00023E71">
            <w:pPr>
              <w:pStyle w:val="DMETW36626BIPEQR"/>
              <w:jc w:val="right"/>
              <w:rPr>
                <w:rFonts w:ascii="Verdana" w:eastAsia="Verdana" w:hAnsi="Verdana" w:cs="Verdana"/>
                <w:b/>
                <w:noProof/>
                <w:color w:val="000000"/>
                <w:sz w:val="18"/>
              </w:rPr>
            </w:pPr>
            <w:r>
              <w:rPr>
                <w:rFonts w:ascii="Verdana" w:eastAsia="Verdana" w:hAnsi="Verdana" w:cs="Verdana"/>
                <w:b/>
                <w:noProof/>
                <w:color w:val="000000"/>
                <w:sz w:val="18"/>
              </w:rPr>
              <w:t>(1 523)</w:t>
            </w:r>
          </w:p>
        </w:tc>
      </w:tr>
    </w:tbl>
    <w:p w14:paraId="54026393" w14:textId="77777777" w:rsidR="00A175FD" w:rsidRPr="00256267" w:rsidRDefault="00023E71" w:rsidP="00256267">
      <w:pPr>
        <w:pStyle w:val="DGTextstand-alone"/>
        <w:spacing w:before="60"/>
        <w:rPr>
          <w:i/>
          <w:iCs/>
          <w:sz w:val="14"/>
          <w:szCs w:val="14"/>
        </w:rPr>
      </w:pPr>
      <w:r w:rsidRPr="00256267">
        <w:rPr>
          <w:rFonts w:eastAsia="Verdana"/>
          <w:i/>
          <w:iCs/>
          <w:color w:val="000000"/>
          <w:sz w:val="14"/>
          <w:vertAlign w:val="superscript"/>
        </w:rPr>
        <w:t>*</w:t>
      </w:r>
      <w:r w:rsidRPr="00256267">
        <w:rPr>
          <w:i/>
          <w:iCs/>
          <w:sz w:val="14"/>
          <w:szCs w:val="14"/>
        </w:rPr>
        <w:t>The risk of guarantees on equity is based on the notional amount that is covered by the guarantee.</w:t>
      </w:r>
    </w:p>
    <w:p w14:paraId="7AB2DC82" w14:textId="77777777" w:rsidR="00A175FD" w:rsidRPr="006D49AA" w:rsidRDefault="00023E71" w:rsidP="00B91611">
      <w:pPr>
        <w:pStyle w:val="DGTextstand-alone"/>
        <w:rPr>
          <w:lang w:val="en-IE" w:eastAsia="en-IE"/>
        </w:rPr>
      </w:pPr>
      <w:r w:rsidRPr="00FC50EA">
        <w:rPr>
          <w:lang w:val="en-IE" w:eastAsia="en-IE"/>
        </w:rPr>
        <w:t>The E</w:t>
      </w:r>
      <w:r>
        <w:rPr>
          <w:lang w:val="en-IE" w:eastAsia="en-IE"/>
        </w:rPr>
        <w:t>U</w:t>
      </w:r>
      <w:r w:rsidRPr="00FC50EA">
        <w:rPr>
          <w:lang w:val="en-IE" w:eastAsia="en-IE"/>
        </w:rPr>
        <w:t xml:space="preserve"> invests in or guarantees unquoted assets, whose values are not publicly available. These assets are typically implemented by entrusted entities, which are experts in the industry and regularly assess and monitor their value</w:t>
      </w:r>
      <w:r w:rsidR="00BD0290" w:rsidRPr="00FC50EA">
        <w:rPr>
          <w:lang w:val="en-IE" w:eastAsia="en-IE"/>
        </w:rPr>
        <w:t>.</w:t>
      </w:r>
    </w:p>
    <w:p w14:paraId="3AC26CD3" w14:textId="77777777" w:rsidR="004C4A33" w:rsidRDefault="00023E71" w:rsidP="00172034">
      <w:pPr>
        <w:pStyle w:val="HEADER2NOTES"/>
        <w:numPr>
          <w:ilvl w:val="1"/>
          <w:numId w:val="15"/>
        </w:numPr>
        <w:jc w:val="both"/>
        <w:rPr>
          <w:noProof/>
        </w:rPr>
      </w:pPr>
      <w:r>
        <w:rPr>
          <w:noProof/>
        </w:rPr>
        <w:t>CREDIT RISK</w:t>
      </w:r>
    </w:p>
    <w:p w14:paraId="4FD5AF65" w14:textId="77777777" w:rsidR="004C4A33" w:rsidRDefault="00023E71" w:rsidP="005E13A9">
      <w:pPr>
        <w:pStyle w:val="HEADER5"/>
        <w:rPr>
          <w:noProof/>
        </w:rPr>
      </w:pPr>
      <w:r w:rsidRPr="004C4A33">
        <w:rPr>
          <w:noProof/>
        </w:rPr>
        <w:t>Maximum credit r</w:t>
      </w:r>
      <w:r>
        <w:rPr>
          <w:noProof/>
        </w:rPr>
        <w:t xml:space="preserve">isk exposure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7"/>
        <w:gridCol w:w="1843"/>
        <w:gridCol w:w="1618"/>
      </w:tblGrid>
      <w:tr w:rsidR="00807FFE" w14:paraId="2572267A" w14:textId="77777777">
        <w:trPr>
          <w:trHeight w:hRule="exact" w:val="255"/>
        </w:trPr>
        <w:tc>
          <w:tcPr>
            <w:tcW w:w="6297" w:type="dxa"/>
            <w:tcBorders>
              <w:top w:val="nil"/>
              <w:left w:val="nil"/>
              <w:bottom w:val="nil"/>
              <w:right w:val="nil"/>
              <w:tl2br w:val="nil"/>
              <w:tr2bl w:val="nil"/>
            </w:tcBorders>
            <w:tcMar>
              <w:left w:w="60" w:type="dxa"/>
              <w:right w:w="60" w:type="dxa"/>
            </w:tcMar>
            <w:vAlign w:val="bottom"/>
          </w:tcPr>
          <w:p w14:paraId="53B6A03D" w14:textId="77777777" w:rsidR="00807FFE" w:rsidRDefault="00807FFE">
            <w:pPr>
              <w:pStyle w:val="DMETW36755BIPCDTRCY"/>
              <w:rPr>
                <w:rFonts w:ascii="Verdana" w:eastAsia="Verdana" w:hAnsi="Verdana" w:cs="Verdana"/>
                <w:noProof/>
                <w:color w:val="000000"/>
                <w:lang w:bidi="en-GB"/>
              </w:rPr>
            </w:pPr>
            <w:bookmarkStart w:id="227" w:name="DOC_TBL00094_1_1"/>
            <w:bookmarkEnd w:id="227"/>
          </w:p>
        </w:tc>
        <w:tc>
          <w:tcPr>
            <w:tcW w:w="1843" w:type="dxa"/>
            <w:tcBorders>
              <w:top w:val="nil"/>
              <w:left w:val="nil"/>
              <w:bottom w:val="nil"/>
              <w:right w:val="nil"/>
              <w:tl2br w:val="nil"/>
              <w:tr2bl w:val="nil"/>
            </w:tcBorders>
            <w:tcMar>
              <w:left w:w="60" w:type="dxa"/>
              <w:right w:w="60" w:type="dxa"/>
            </w:tcMar>
            <w:vAlign w:val="bottom"/>
          </w:tcPr>
          <w:p w14:paraId="202E293E" w14:textId="77777777" w:rsidR="00807FFE" w:rsidRDefault="00807FFE">
            <w:pPr>
              <w:pStyle w:val="DMETW36755BIPCDTRCY"/>
              <w:jc w:val="right"/>
              <w:rPr>
                <w:rFonts w:ascii="Verdana" w:eastAsia="Verdana" w:hAnsi="Verdana" w:cs="Verdana"/>
                <w:i/>
                <w:noProof/>
                <w:color w:val="000000"/>
                <w:sz w:val="16"/>
              </w:rPr>
            </w:pPr>
          </w:p>
        </w:tc>
        <w:tc>
          <w:tcPr>
            <w:tcW w:w="1618" w:type="dxa"/>
            <w:tcBorders>
              <w:top w:val="nil"/>
              <w:left w:val="nil"/>
              <w:bottom w:val="nil"/>
              <w:right w:val="nil"/>
              <w:tl2br w:val="nil"/>
              <w:tr2bl w:val="nil"/>
            </w:tcBorders>
            <w:tcMar>
              <w:left w:w="60" w:type="dxa"/>
              <w:right w:w="60" w:type="dxa"/>
            </w:tcMar>
            <w:vAlign w:val="bottom"/>
          </w:tcPr>
          <w:p w14:paraId="25F0E446" w14:textId="77777777" w:rsidR="00807FFE" w:rsidRDefault="00023E71">
            <w:pPr>
              <w:pStyle w:val="DMETW36755BIPCDTRC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CDC8D69" w14:textId="77777777">
        <w:trPr>
          <w:trHeight w:hRule="exact" w:val="255"/>
        </w:trPr>
        <w:tc>
          <w:tcPr>
            <w:tcW w:w="6297" w:type="dxa"/>
            <w:tcBorders>
              <w:top w:val="nil"/>
              <w:left w:val="nil"/>
              <w:bottom w:val="nil"/>
              <w:right w:val="nil"/>
              <w:tl2br w:val="nil"/>
              <w:tr2bl w:val="nil"/>
            </w:tcBorders>
            <w:shd w:val="solid" w:color="016794" w:fill="FFFFFF"/>
            <w:tcMar>
              <w:left w:w="60" w:type="dxa"/>
              <w:right w:w="60" w:type="dxa"/>
            </w:tcMar>
            <w:vAlign w:val="center"/>
          </w:tcPr>
          <w:p w14:paraId="273AD004" w14:textId="77777777" w:rsidR="00807FFE" w:rsidRDefault="00807FFE">
            <w:pPr>
              <w:pStyle w:val="DMETW36755BIPCDTRCY"/>
              <w:rPr>
                <w:rFonts w:ascii="Verdana" w:eastAsia="Verdana" w:hAnsi="Verdana" w:cs="Verdana"/>
                <w:noProof/>
                <w:color w:val="FFFFFF"/>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14:paraId="164AFE0D" w14:textId="77777777" w:rsidR="00807FFE" w:rsidRDefault="00023E71">
            <w:pPr>
              <w:pStyle w:val="DMETW36755BIPCDTRCY"/>
              <w:jc w:val="right"/>
              <w:rPr>
                <w:rFonts w:ascii="Verdana" w:eastAsia="Verdana" w:hAnsi="Verdana" w:cs="Verdana"/>
                <w:noProof/>
                <w:color w:val="FFFFFF"/>
              </w:rPr>
            </w:pPr>
            <w:r>
              <w:rPr>
                <w:rFonts w:ascii="Verdana" w:eastAsia="Verdana" w:hAnsi="Verdana" w:cs="Verdana"/>
                <w:noProof/>
                <w:color w:val="FFFFFF"/>
              </w:rPr>
              <w:t>31.12.2025</w:t>
            </w:r>
          </w:p>
        </w:tc>
        <w:tc>
          <w:tcPr>
            <w:tcW w:w="1618" w:type="dxa"/>
            <w:tcBorders>
              <w:top w:val="nil"/>
              <w:left w:val="nil"/>
              <w:bottom w:val="nil"/>
              <w:right w:val="nil"/>
              <w:tl2br w:val="nil"/>
              <w:tr2bl w:val="nil"/>
            </w:tcBorders>
            <w:shd w:val="solid" w:color="016794" w:fill="FFFFFF"/>
            <w:tcMar>
              <w:left w:w="60" w:type="dxa"/>
              <w:right w:w="60" w:type="dxa"/>
            </w:tcMar>
            <w:vAlign w:val="center"/>
          </w:tcPr>
          <w:p w14:paraId="5600EEF8" w14:textId="77777777" w:rsidR="00807FFE" w:rsidRDefault="00023E71">
            <w:pPr>
              <w:pStyle w:val="DMETW36755BIPCDTRCY"/>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7AAA9389"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3429F5DF" w14:textId="77777777" w:rsidR="00807FFE" w:rsidRDefault="00023E71">
            <w:pPr>
              <w:pStyle w:val="DMETW36755BIPCDTRCY"/>
              <w:rPr>
                <w:rFonts w:ascii="Verdana" w:eastAsia="Verdana" w:hAnsi="Verdana" w:cs="Verdana"/>
                <w:b/>
                <w:noProof/>
                <w:color w:val="000000"/>
                <w:sz w:val="18"/>
              </w:rPr>
            </w:pPr>
            <w:r>
              <w:rPr>
                <w:rFonts w:ascii="Verdana" w:eastAsia="Verdana" w:hAnsi="Verdana" w:cs="Verdana"/>
                <w:b/>
                <w:noProof/>
                <w:color w:val="000000"/>
                <w:sz w:val="18"/>
              </w:rPr>
              <w:t>Financial assets</w:t>
            </w:r>
          </w:p>
        </w:tc>
        <w:tc>
          <w:tcPr>
            <w:tcW w:w="1843" w:type="dxa"/>
            <w:tcBorders>
              <w:top w:val="nil"/>
              <w:left w:val="nil"/>
              <w:bottom w:val="nil"/>
              <w:right w:val="nil"/>
              <w:tl2br w:val="nil"/>
              <w:tr2bl w:val="nil"/>
            </w:tcBorders>
            <w:tcMar>
              <w:left w:w="60" w:type="dxa"/>
              <w:right w:w="60" w:type="dxa"/>
            </w:tcMar>
            <w:vAlign w:val="center"/>
          </w:tcPr>
          <w:p w14:paraId="48CA4840" w14:textId="77777777" w:rsidR="00807FFE" w:rsidRDefault="00807FFE">
            <w:pPr>
              <w:pStyle w:val="DMETW36755BIPCDTRCY"/>
              <w:jc w:val="right"/>
              <w:rPr>
                <w:rFonts w:ascii="Verdana" w:eastAsia="Verdana" w:hAnsi="Verdana" w:cs="Verdana"/>
                <w:i/>
                <w:noProof/>
                <w:color w:val="000000"/>
                <w:sz w:val="18"/>
              </w:rPr>
            </w:pPr>
          </w:p>
        </w:tc>
        <w:tc>
          <w:tcPr>
            <w:tcW w:w="1618" w:type="dxa"/>
            <w:tcBorders>
              <w:top w:val="nil"/>
              <w:left w:val="nil"/>
              <w:bottom w:val="nil"/>
              <w:right w:val="nil"/>
              <w:tl2br w:val="nil"/>
              <w:tr2bl w:val="nil"/>
            </w:tcBorders>
            <w:tcMar>
              <w:left w:w="60" w:type="dxa"/>
              <w:right w:w="60" w:type="dxa"/>
            </w:tcMar>
            <w:vAlign w:val="center"/>
          </w:tcPr>
          <w:p w14:paraId="134289BB" w14:textId="77777777" w:rsidR="00807FFE" w:rsidRDefault="00807FFE">
            <w:pPr>
              <w:pStyle w:val="DMETW36755BIPCDTRCY"/>
              <w:jc w:val="right"/>
              <w:rPr>
                <w:rFonts w:ascii="Verdana" w:eastAsia="Verdana" w:hAnsi="Verdana" w:cs="Verdana"/>
                <w:i/>
                <w:noProof/>
                <w:color w:val="000000"/>
                <w:sz w:val="18"/>
                <w:lang w:bidi="en-GB"/>
              </w:rPr>
            </w:pPr>
          </w:p>
        </w:tc>
      </w:tr>
      <w:tr w:rsidR="00807FFE" w14:paraId="0531DF5A"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7CEAEF58" w14:textId="77777777" w:rsidR="00807FFE" w:rsidRDefault="00023E71">
            <w:pPr>
              <w:pStyle w:val="DMETW36755BIPCDTRCY"/>
              <w:rPr>
                <w:rFonts w:ascii="Verdana" w:eastAsia="Verdana" w:hAnsi="Verdana" w:cs="Verdana"/>
                <w:i/>
                <w:noProof/>
                <w:color w:val="000000"/>
                <w:sz w:val="18"/>
              </w:rPr>
            </w:pPr>
            <w:r>
              <w:rPr>
                <w:rFonts w:ascii="Verdana" w:eastAsia="Verdana" w:hAnsi="Verdana" w:cs="Verdana"/>
                <w:i/>
                <w:noProof/>
                <w:color w:val="000000"/>
                <w:sz w:val="18"/>
              </w:rPr>
              <w:t>Loans</w:t>
            </w:r>
          </w:p>
        </w:tc>
        <w:tc>
          <w:tcPr>
            <w:tcW w:w="1843" w:type="dxa"/>
            <w:tcBorders>
              <w:top w:val="nil"/>
              <w:left w:val="nil"/>
              <w:bottom w:val="nil"/>
              <w:right w:val="nil"/>
              <w:tl2br w:val="nil"/>
              <w:tr2bl w:val="nil"/>
            </w:tcBorders>
            <w:tcMar>
              <w:left w:w="60" w:type="dxa"/>
              <w:right w:w="60" w:type="dxa"/>
            </w:tcMar>
            <w:vAlign w:val="center"/>
          </w:tcPr>
          <w:p w14:paraId="5BECF77B" w14:textId="77777777" w:rsidR="00807FFE" w:rsidRDefault="00023E71">
            <w:pPr>
              <w:pStyle w:val="DMETW36755BIPCDTRCY"/>
              <w:jc w:val="right"/>
              <w:rPr>
                <w:rFonts w:ascii="Verdana" w:eastAsia="Verdana" w:hAnsi="Verdana" w:cs="Verdana"/>
                <w:i/>
                <w:noProof/>
                <w:color w:val="000000"/>
                <w:sz w:val="18"/>
              </w:rPr>
            </w:pPr>
            <w:r>
              <w:rPr>
                <w:rFonts w:ascii="Verdana" w:eastAsia="Verdana" w:hAnsi="Verdana" w:cs="Verdana"/>
                <w:i/>
                <w:noProof/>
                <w:color w:val="000000"/>
                <w:sz w:val="18"/>
              </w:rPr>
              <w:t>333 432</w:t>
            </w:r>
          </w:p>
        </w:tc>
        <w:tc>
          <w:tcPr>
            <w:tcW w:w="1618" w:type="dxa"/>
            <w:tcBorders>
              <w:top w:val="nil"/>
              <w:left w:val="nil"/>
              <w:bottom w:val="nil"/>
              <w:right w:val="nil"/>
              <w:tl2br w:val="nil"/>
              <w:tr2bl w:val="nil"/>
            </w:tcBorders>
            <w:tcMar>
              <w:left w:w="60" w:type="dxa"/>
              <w:right w:w="60" w:type="dxa"/>
            </w:tcMar>
            <w:vAlign w:val="center"/>
          </w:tcPr>
          <w:p w14:paraId="2CDF14E8" w14:textId="77777777" w:rsidR="00807FFE" w:rsidRDefault="00023E71">
            <w:pPr>
              <w:pStyle w:val="DMETW3675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283 580</w:t>
            </w:r>
          </w:p>
        </w:tc>
      </w:tr>
      <w:tr w:rsidR="00807FFE" w14:paraId="3629425B"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655235B7" w14:textId="77777777" w:rsidR="00807FFE" w:rsidRDefault="00023E71">
            <w:pPr>
              <w:pStyle w:val="DMETW36755BIPCDTRCY"/>
              <w:rPr>
                <w:rFonts w:ascii="Verdana" w:eastAsia="Verdana" w:hAnsi="Verdana" w:cs="Verdana"/>
                <w:i/>
                <w:noProof/>
                <w:color w:val="000000"/>
                <w:sz w:val="18"/>
              </w:rPr>
            </w:pPr>
            <w:r>
              <w:rPr>
                <w:rFonts w:ascii="Verdana" w:eastAsia="Verdana" w:hAnsi="Verdana" w:cs="Verdana"/>
                <w:i/>
                <w:noProof/>
                <w:color w:val="000000"/>
                <w:sz w:val="18"/>
              </w:rPr>
              <w:t>Cash and cash equivalents</w:t>
            </w:r>
          </w:p>
        </w:tc>
        <w:tc>
          <w:tcPr>
            <w:tcW w:w="1843" w:type="dxa"/>
            <w:tcBorders>
              <w:top w:val="nil"/>
              <w:left w:val="nil"/>
              <w:bottom w:val="nil"/>
              <w:right w:val="nil"/>
              <w:tl2br w:val="nil"/>
              <w:tr2bl w:val="nil"/>
            </w:tcBorders>
            <w:tcMar>
              <w:left w:w="60" w:type="dxa"/>
              <w:right w:w="60" w:type="dxa"/>
            </w:tcMar>
            <w:vAlign w:val="center"/>
          </w:tcPr>
          <w:p w14:paraId="1DE3AC43" w14:textId="77777777" w:rsidR="00807FFE" w:rsidRDefault="00023E71">
            <w:pPr>
              <w:pStyle w:val="DMETW36755BIPCDTRCY"/>
              <w:jc w:val="right"/>
              <w:rPr>
                <w:rFonts w:ascii="Verdana" w:eastAsia="Verdana" w:hAnsi="Verdana" w:cs="Verdana"/>
                <w:i/>
                <w:noProof/>
                <w:color w:val="000000"/>
                <w:sz w:val="18"/>
              </w:rPr>
            </w:pPr>
            <w:r>
              <w:rPr>
                <w:rFonts w:ascii="Verdana" w:eastAsia="Verdana" w:hAnsi="Verdana" w:cs="Verdana"/>
                <w:i/>
                <w:noProof/>
                <w:color w:val="000000"/>
                <w:sz w:val="18"/>
              </w:rPr>
              <w:t>103 041</w:t>
            </w:r>
          </w:p>
        </w:tc>
        <w:tc>
          <w:tcPr>
            <w:tcW w:w="1618" w:type="dxa"/>
            <w:tcBorders>
              <w:top w:val="nil"/>
              <w:left w:val="nil"/>
              <w:bottom w:val="nil"/>
              <w:right w:val="nil"/>
              <w:tl2br w:val="nil"/>
              <w:tr2bl w:val="nil"/>
            </w:tcBorders>
            <w:tcMar>
              <w:left w:w="60" w:type="dxa"/>
              <w:right w:w="60" w:type="dxa"/>
            </w:tcMar>
            <w:vAlign w:val="center"/>
          </w:tcPr>
          <w:p w14:paraId="425446B4" w14:textId="77777777" w:rsidR="00807FFE" w:rsidRDefault="00023E71">
            <w:pPr>
              <w:pStyle w:val="DMETW3675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63 163</w:t>
            </w:r>
          </w:p>
        </w:tc>
      </w:tr>
      <w:tr w:rsidR="00807FFE" w14:paraId="218DEB67"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67E3642A" w14:textId="77777777" w:rsidR="00807FFE" w:rsidRDefault="00023E71">
            <w:pPr>
              <w:pStyle w:val="DMETW36755BIPCDTRCY"/>
              <w:rPr>
                <w:rFonts w:ascii="Verdana" w:eastAsia="Verdana" w:hAnsi="Verdana" w:cs="Verdana"/>
                <w:i/>
                <w:noProof/>
                <w:color w:val="000000"/>
                <w:sz w:val="18"/>
              </w:rPr>
            </w:pPr>
            <w:r>
              <w:rPr>
                <w:rFonts w:ascii="Verdana" w:eastAsia="Verdana" w:hAnsi="Verdana" w:cs="Verdana"/>
                <w:i/>
                <w:noProof/>
                <w:color w:val="000000"/>
                <w:sz w:val="18"/>
              </w:rPr>
              <w:t>Exchange receivables*</w:t>
            </w:r>
          </w:p>
        </w:tc>
        <w:tc>
          <w:tcPr>
            <w:tcW w:w="1843" w:type="dxa"/>
            <w:tcBorders>
              <w:top w:val="nil"/>
              <w:left w:val="nil"/>
              <w:bottom w:val="nil"/>
              <w:right w:val="nil"/>
              <w:tl2br w:val="nil"/>
              <w:tr2bl w:val="nil"/>
            </w:tcBorders>
            <w:tcMar>
              <w:left w:w="60" w:type="dxa"/>
              <w:right w:w="60" w:type="dxa"/>
            </w:tcMar>
            <w:vAlign w:val="center"/>
          </w:tcPr>
          <w:p w14:paraId="19868790" w14:textId="77777777" w:rsidR="00807FFE" w:rsidRDefault="00023E71">
            <w:pPr>
              <w:pStyle w:val="DMETW36755BIPCDTRCY"/>
              <w:jc w:val="right"/>
              <w:rPr>
                <w:rFonts w:ascii="Verdana" w:eastAsia="Verdana" w:hAnsi="Verdana" w:cs="Verdana"/>
                <w:i/>
                <w:noProof/>
                <w:color w:val="000000"/>
                <w:sz w:val="18"/>
              </w:rPr>
            </w:pPr>
            <w:r>
              <w:rPr>
                <w:rFonts w:ascii="Verdana" w:eastAsia="Verdana" w:hAnsi="Verdana" w:cs="Verdana"/>
                <w:i/>
                <w:noProof/>
                <w:color w:val="000000"/>
                <w:sz w:val="18"/>
              </w:rPr>
              <w:t>3 742</w:t>
            </w:r>
          </w:p>
        </w:tc>
        <w:tc>
          <w:tcPr>
            <w:tcW w:w="1618" w:type="dxa"/>
            <w:tcBorders>
              <w:top w:val="nil"/>
              <w:left w:val="nil"/>
              <w:bottom w:val="nil"/>
              <w:right w:val="nil"/>
              <w:tl2br w:val="nil"/>
              <w:tr2bl w:val="nil"/>
            </w:tcBorders>
            <w:tcMar>
              <w:left w:w="60" w:type="dxa"/>
              <w:right w:w="60" w:type="dxa"/>
            </w:tcMar>
            <w:vAlign w:val="center"/>
          </w:tcPr>
          <w:p w14:paraId="590B4CCB" w14:textId="77777777" w:rsidR="00807FFE" w:rsidRDefault="00023E71">
            <w:pPr>
              <w:pStyle w:val="DMETW3675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3 240</w:t>
            </w:r>
          </w:p>
        </w:tc>
      </w:tr>
      <w:tr w:rsidR="00807FFE" w14:paraId="0CFB0980"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5C8C9839" w14:textId="77777777" w:rsidR="00807FFE" w:rsidRDefault="00023E71">
            <w:pPr>
              <w:pStyle w:val="DMETW36755BIPCDTRCY"/>
              <w:rPr>
                <w:rFonts w:ascii="Verdana" w:eastAsia="Verdana" w:hAnsi="Verdana" w:cs="Verdana"/>
                <w:i/>
                <w:noProof/>
                <w:color w:val="000000"/>
                <w:sz w:val="18"/>
              </w:rPr>
            </w:pPr>
            <w:r>
              <w:rPr>
                <w:rFonts w:ascii="Verdana" w:eastAsia="Verdana" w:hAnsi="Verdana" w:cs="Verdana"/>
                <w:i/>
                <w:noProof/>
                <w:color w:val="000000"/>
                <w:sz w:val="18"/>
              </w:rPr>
              <w:t>Financial assets at FVSD - debt securities</w:t>
            </w:r>
          </w:p>
        </w:tc>
        <w:tc>
          <w:tcPr>
            <w:tcW w:w="1843" w:type="dxa"/>
            <w:tcBorders>
              <w:top w:val="nil"/>
              <w:left w:val="nil"/>
              <w:bottom w:val="nil"/>
              <w:right w:val="nil"/>
              <w:tl2br w:val="nil"/>
              <w:tr2bl w:val="nil"/>
            </w:tcBorders>
            <w:tcMar>
              <w:left w:w="60" w:type="dxa"/>
              <w:right w:w="60" w:type="dxa"/>
            </w:tcMar>
            <w:vAlign w:val="center"/>
          </w:tcPr>
          <w:p w14:paraId="18B89954" w14:textId="77777777" w:rsidR="00807FFE" w:rsidRDefault="00023E71">
            <w:pPr>
              <w:pStyle w:val="DMETW36755BIPCDTRCY"/>
              <w:jc w:val="right"/>
              <w:rPr>
                <w:rFonts w:ascii="Verdana" w:eastAsia="Verdana" w:hAnsi="Verdana" w:cs="Verdana"/>
                <w:i/>
                <w:noProof/>
                <w:color w:val="000000"/>
                <w:sz w:val="18"/>
              </w:rPr>
            </w:pPr>
            <w:r>
              <w:rPr>
                <w:rFonts w:ascii="Verdana" w:eastAsia="Verdana" w:hAnsi="Verdana" w:cs="Verdana"/>
                <w:i/>
                <w:noProof/>
                <w:color w:val="000000"/>
                <w:sz w:val="18"/>
              </w:rPr>
              <w:t>40 462</w:t>
            </w:r>
          </w:p>
        </w:tc>
        <w:tc>
          <w:tcPr>
            <w:tcW w:w="1618" w:type="dxa"/>
            <w:tcBorders>
              <w:top w:val="nil"/>
              <w:left w:val="nil"/>
              <w:bottom w:val="nil"/>
              <w:right w:val="nil"/>
              <w:tl2br w:val="nil"/>
              <w:tr2bl w:val="nil"/>
            </w:tcBorders>
            <w:tcMar>
              <w:left w:w="60" w:type="dxa"/>
              <w:right w:w="60" w:type="dxa"/>
            </w:tcMar>
            <w:vAlign w:val="center"/>
          </w:tcPr>
          <w:p w14:paraId="7CDEDE17" w14:textId="77777777" w:rsidR="00807FFE" w:rsidRDefault="00023E71">
            <w:pPr>
              <w:pStyle w:val="DMETW3675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34 465</w:t>
            </w:r>
          </w:p>
        </w:tc>
      </w:tr>
      <w:tr w:rsidR="00807FFE" w14:paraId="53E46BC1"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15A831C5" w14:textId="77777777" w:rsidR="00807FFE" w:rsidRDefault="00023E71">
            <w:pPr>
              <w:pStyle w:val="DMETW36755BIPCDTRCY"/>
              <w:rPr>
                <w:rFonts w:ascii="Verdana" w:eastAsia="Verdana" w:hAnsi="Verdana" w:cs="Verdana"/>
                <w:i/>
                <w:noProof/>
                <w:color w:val="000000"/>
                <w:sz w:val="18"/>
              </w:rPr>
            </w:pPr>
            <w:r>
              <w:rPr>
                <w:rFonts w:ascii="Verdana" w:eastAsia="Verdana" w:hAnsi="Verdana" w:cs="Verdana"/>
                <w:i/>
                <w:noProof/>
                <w:color w:val="000000"/>
                <w:sz w:val="18"/>
              </w:rPr>
              <w:t>Financial assets at FVSD - derivatives</w:t>
            </w:r>
          </w:p>
        </w:tc>
        <w:tc>
          <w:tcPr>
            <w:tcW w:w="1843" w:type="dxa"/>
            <w:tcBorders>
              <w:top w:val="nil"/>
              <w:left w:val="nil"/>
              <w:bottom w:val="nil"/>
              <w:right w:val="nil"/>
              <w:tl2br w:val="nil"/>
              <w:tr2bl w:val="nil"/>
            </w:tcBorders>
            <w:tcMar>
              <w:left w:w="60" w:type="dxa"/>
              <w:right w:w="60" w:type="dxa"/>
            </w:tcMar>
            <w:vAlign w:val="center"/>
          </w:tcPr>
          <w:p w14:paraId="708A03DE" w14:textId="77777777" w:rsidR="00807FFE" w:rsidRDefault="00023E71">
            <w:pPr>
              <w:pStyle w:val="DMETW36755BIPCDTRCY"/>
              <w:jc w:val="right"/>
              <w:rPr>
                <w:rFonts w:ascii="Verdana" w:eastAsia="Verdana" w:hAnsi="Verdana" w:cs="Verdana"/>
                <w:i/>
                <w:noProof/>
                <w:color w:val="000000"/>
                <w:sz w:val="18"/>
              </w:rPr>
            </w:pPr>
            <w:r>
              <w:rPr>
                <w:rFonts w:ascii="Verdana" w:eastAsia="Verdana" w:hAnsi="Verdana" w:cs="Verdana"/>
                <w:i/>
                <w:noProof/>
                <w:color w:val="000000"/>
                <w:sz w:val="18"/>
              </w:rPr>
              <w:t>1 585</w:t>
            </w:r>
          </w:p>
        </w:tc>
        <w:tc>
          <w:tcPr>
            <w:tcW w:w="1618" w:type="dxa"/>
            <w:tcBorders>
              <w:top w:val="nil"/>
              <w:left w:val="nil"/>
              <w:bottom w:val="nil"/>
              <w:right w:val="nil"/>
              <w:tl2br w:val="nil"/>
              <w:tr2bl w:val="nil"/>
            </w:tcBorders>
            <w:tcMar>
              <w:left w:w="60" w:type="dxa"/>
              <w:right w:w="60" w:type="dxa"/>
            </w:tcMar>
            <w:vAlign w:val="center"/>
          </w:tcPr>
          <w:p w14:paraId="79C3496A" w14:textId="77777777" w:rsidR="00807FFE" w:rsidRDefault="00023E71">
            <w:pPr>
              <w:pStyle w:val="DMETW3675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1 110</w:t>
            </w:r>
          </w:p>
        </w:tc>
      </w:tr>
      <w:tr w:rsidR="00807FFE" w14:paraId="4E80F269"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7D06BBE1" w14:textId="77777777" w:rsidR="00807FFE" w:rsidRDefault="00023E71">
            <w:pPr>
              <w:pStyle w:val="DMETW36755BIPCDTRCY"/>
              <w:rPr>
                <w:rFonts w:ascii="Verdana" w:eastAsia="Verdana" w:hAnsi="Verdana" w:cs="Verdana"/>
                <w:i/>
                <w:noProof/>
                <w:color w:val="000000"/>
                <w:sz w:val="18"/>
              </w:rPr>
            </w:pPr>
            <w:r>
              <w:rPr>
                <w:rFonts w:ascii="Verdana" w:eastAsia="Verdana" w:hAnsi="Verdana" w:cs="Verdana"/>
                <w:i/>
                <w:noProof/>
                <w:color w:val="000000"/>
                <w:sz w:val="18"/>
              </w:rPr>
              <w:t>Financial assets at FVSD - loans</w:t>
            </w:r>
          </w:p>
        </w:tc>
        <w:tc>
          <w:tcPr>
            <w:tcW w:w="1843" w:type="dxa"/>
            <w:tcBorders>
              <w:top w:val="nil"/>
              <w:left w:val="nil"/>
              <w:bottom w:val="nil"/>
              <w:right w:val="nil"/>
              <w:tl2br w:val="nil"/>
              <w:tr2bl w:val="nil"/>
            </w:tcBorders>
            <w:tcMar>
              <w:left w:w="60" w:type="dxa"/>
              <w:right w:w="60" w:type="dxa"/>
            </w:tcMar>
            <w:vAlign w:val="center"/>
          </w:tcPr>
          <w:p w14:paraId="06628EBE" w14:textId="77777777" w:rsidR="00807FFE" w:rsidRDefault="00023E71">
            <w:pPr>
              <w:pStyle w:val="DMETW36755BIPCDTRCY"/>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618" w:type="dxa"/>
            <w:tcBorders>
              <w:top w:val="nil"/>
              <w:left w:val="nil"/>
              <w:bottom w:val="nil"/>
              <w:right w:val="nil"/>
              <w:tl2br w:val="nil"/>
              <w:tr2bl w:val="nil"/>
            </w:tcBorders>
            <w:tcMar>
              <w:left w:w="60" w:type="dxa"/>
              <w:right w:w="60" w:type="dxa"/>
            </w:tcMar>
            <w:vAlign w:val="center"/>
          </w:tcPr>
          <w:p w14:paraId="0E0AC700" w14:textId="77777777" w:rsidR="00807FFE" w:rsidRDefault="00023E71">
            <w:pPr>
              <w:pStyle w:val="DMETW3675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6F1FB3E3"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43E094D0" w14:textId="77777777" w:rsidR="00807FFE" w:rsidRDefault="00023E71">
            <w:pPr>
              <w:pStyle w:val="DMETW36755BIPCDTRCY"/>
              <w:rPr>
                <w:rFonts w:ascii="Verdana" w:eastAsia="Verdana" w:hAnsi="Verdana" w:cs="Verdana"/>
                <w:b/>
                <w:noProof/>
                <w:color w:val="000000"/>
                <w:sz w:val="18"/>
              </w:rPr>
            </w:pPr>
            <w:r>
              <w:rPr>
                <w:rFonts w:ascii="Verdana" w:eastAsia="Verdana" w:hAnsi="Verdana" w:cs="Verdana"/>
                <w:b/>
                <w:noProof/>
                <w:color w:val="000000"/>
                <w:sz w:val="18"/>
              </w:rPr>
              <w:t>Guarantees given and loan commitments</w:t>
            </w:r>
          </w:p>
        </w:tc>
        <w:tc>
          <w:tcPr>
            <w:tcW w:w="1843" w:type="dxa"/>
            <w:tcBorders>
              <w:top w:val="nil"/>
              <w:left w:val="nil"/>
              <w:bottom w:val="nil"/>
              <w:right w:val="nil"/>
              <w:tl2br w:val="nil"/>
              <w:tr2bl w:val="nil"/>
            </w:tcBorders>
            <w:tcMar>
              <w:left w:w="60" w:type="dxa"/>
              <w:right w:w="60" w:type="dxa"/>
            </w:tcMar>
            <w:vAlign w:val="center"/>
          </w:tcPr>
          <w:p w14:paraId="19B9D445" w14:textId="77777777" w:rsidR="00807FFE" w:rsidRDefault="00807FFE">
            <w:pPr>
              <w:pStyle w:val="DMETW36755BIPCDTRCY"/>
              <w:jc w:val="right"/>
              <w:rPr>
                <w:rFonts w:ascii="Verdana" w:eastAsia="Verdana" w:hAnsi="Verdana" w:cs="Verdana"/>
                <w:i/>
                <w:noProof/>
                <w:color w:val="000000"/>
                <w:sz w:val="18"/>
              </w:rPr>
            </w:pPr>
          </w:p>
        </w:tc>
        <w:tc>
          <w:tcPr>
            <w:tcW w:w="1618" w:type="dxa"/>
            <w:tcBorders>
              <w:top w:val="nil"/>
              <w:left w:val="nil"/>
              <w:bottom w:val="nil"/>
              <w:right w:val="nil"/>
              <w:tl2br w:val="nil"/>
              <w:tr2bl w:val="nil"/>
            </w:tcBorders>
            <w:tcMar>
              <w:left w:w="60" w:type="dxa"/>
              <w:right w:w="60" w:type="dxa"/>
            </w:tcMar>
            <w:vAlign w:val="center"/>
          </w:tcPr>
          <w:p w14:paraId="09111357" w14:textId="77777777" w:rsidR="00807FFE" w:rsidRDefault="00807FFE">
            <w:pPr>
              <w:pStyle w:val="DMETW36755BIPCDTRCY"/>
              <w:jc w:val="right"/>
              <w:rPr>
                <w:rFonts w:ascii="Verdana" w:eastAsia="Verdana" w:hAnsi="Verdana" w:cs="Verdana"/>
                <w:i/>
                <w:noProof/>
                <w:color w:val="000000"/>
                <w:sz w:val="18"/>
                <w:lang w:bidi="en-GB"/>
              </w:rPr>
            </w:pPr>
          </w:p>
        </w:tc>
      </w:tr>
      <w:tr w:rsidR="00807FFE" w14:paraId="7E25A396" w14:textId="77777777">
        <w:trPr>
          <w:trHeight w:hRule="exact" w:val="255"/>
        </w:trPr>
        <w:tc>
          <w:tcPr>
            <w:tcW w:w="6297" w:type="dxa"/>
            <w:tcBorders>
              <w:top w:val="nil"/>
              <w:left w:val="nil"/>
              <w:bottom w:val="nil"/>
              <w:right w:val="nil"/>
              <w:tl2br w:val="nil"/>
              <w:tr2bl w:val="nil"/>
            </w:tcBorders>
            <w:tcMar>
              <w:left w:w="60" w:type="dxa"/>
              <w:right w:w="60" w:type="dxa"/>
            </w:tcMar>
            <w:vAlign w:val="center"/>
          </w:tcPr>
          <w:p w14:paraId="2E451004" w14:textId="77777777" w:rsidR="00807FFE" w:rsidRDefault="00023E71">
            <w:pPr>
              <w:pStyle w:val="DMETW36755BIPCDTRCY"/>
              <w:rPr>
                <w:rFonts w:ascii="Verdana" w:eastAsia="Verdana" w:hAnsi="Verdana" w:cs="Verdana"/>
                <w:i/>
                <w:noProof/>
                <w:color w:val="000000"/>
                <w:sz w:val="18"/>
              </w:rPr>
            </w:pPr>
            <w:r>
              <w:rPr>
                <w:rFonts w:ascii="Verdana" w:eastAsia="Verdana" w:hAnsi="Verdana" w:cs="Verdana"/>
                <w:i/>
                <w:noProof/>
                <w:color w:val="000000"/>
                <w:sz w:val="18"/>
              </w:rPr>
              <w:t>FGCs</w:t>
            </w:r>
          </w:p>
        </w:tc>
        <w:tc>
          <w:tcPr>
            <w:tcW w:w="1843" w:type="dxa"/>
            <w:tcBorders>
              <w:top w:val="nil"/>
              <w:left w:val="nil"/>
              <w:bottom w:val="nil"/>
              <w:right w:val="nil"/>
              <w:tl2br w:val="nil"/>
              <w:tr2bl w:val="nil"/>
            </w:tcBorders>
            <w:tcMar>
              <w:left w:w="60" w:type="dxa"/>
              <w:right w:w="60" w:type="dxa"/>
            </w:tcMar>
            <w:vAlign w:val="center"/>
          </w:tcPr>
          <w:p w14:paraId="2A84295E" w14:textId="77777777" w:rsidR="00807FFE" w:rsidRDefault="00023E71">
            <w:pPr>
              <w:pStyle w:val="DMETW36755BIPCDTRCY"/>
              <w:jc w:val="right"/>
              <w:rPr>
                <w:rFonts w:ascii="Verdana" w:eastAsia="Verdana" w:hAnsi="Verdana" w:cs="Verdana"/>
                <w:i/>
                <w:noProof/>
                <w:color w:val="000000"/>
                <w:sz w:val="18"/>
              </w:rPr>
            </w:pPr>
            <w:r>
              <w:rPr>
                <w:rFonts w:ascii="Verdana" w:eastAsia="Verdana" w:hAnsi="Verdana" w:cs="Verdana"/>
                <w:i/>
                <w:noProof/>
                <w:color w:val="000000"/>
                <w:sz w:val="18"/>
              </w:rPr>
              <w:t>65 474</w:t>
            </w:r>
          </w:p>
        </w:tc>
        <w:tc>
          <w:tcPr>
            <w:tcW w:w="1618" w:type="dxa"/>
            <w:tcBorders>
              <w:top w:val="nil"/>
              <w:left w:val="nil"/>
              <w:bottom w:val="nil"/>
              <w:right w:val="nil"/>
              <w:tl2br w:val="nil"/>
              <w:tr2bl w:val="nil"/>
            </w:tcBorders>
            <w:tcMar>
              <w:left w:w="60" w:type="dxa"/>
              <w:right w:w="60" w:type="dxa"/>
            </w:tcMar>
            <w:vAlign w:val="center"/>
          </w:tcPr>
          <w:p w14:paraId="2B33D2AB" w14:textId="77777777" w:rsidR="00807FFE" w:rsidRDefault="00023E71">
            <w:pPr>
              <w:pStyle w:val="DMETW3675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60 857</w:t>
            </w:r>
          </w:p>
        </w:tc>
      </w:tr>
      <w:tr w:rsidR="00807FFE" w14:paraId="05E2A8EA" w14:textId="77777777">
        <w:trPr>
          <w:trHeight w:hRule="exact" w:val="255"/>
        </w:trPr>
        <w:tc>
          <w:tcPr>
            <w:tcW w:w="6297" w:type="dxa"/>
            <w:tcBorders>
              <w:top w:val="nil"/>
              <w:left w:val="nil"/>
              <w:bottom w:val="single" w:sz="4" w:space="0" w:color="016794"/>
              <w:right w:val="nil"/>
              <w:tl2br w:val="nil"/>
              <w:tr2bl w:val="nil"/>
            </w:tcBorders>
            <w:tcMar>
              <w:left w:w="60" w:type="dxa"/>
              <w:right w:w="60" w:type="dxa"/>
            </w:tcMar>
            <w:vAlign w:val="center"/>
          </w:tcPr>
          <w:p w14:paraId="0501BDE9" w14:textId="77777777" w:rsidR="00807FFE" w:rsidRDefault="00023E71">
            <w:pPr>
              <w:pStyle w:val="DMETW36755BIPCDTRCY"/>
              <w:rPr>
                <w:rFonts w:ascii="Verdana" w:eastAsia="Verdana" w:hAnsi="Verdana" w:cs="Verdana"/>
                <w:i/>
                <w:noProof/>
                <w:color w:val="000000"/>
                <w:sz w:val="18"/>
              </w:rPr>
            </w:pPr>
            <w:r>
              <w:rPr>
                <w:rFonts w:ascii="Verdana" w:eastAsia="Verdana" w:hAnsi="Verdana" w:cs="Verdana"/>
                <w:i/>
                <w:noProof/>
                <w:color w:val="000000"/>
                <w:sz w:val="18"/>
              </w:rPr>
              <w:t>Loan commitments</w:t>
            </w:r>
          </w:p>
        </w:tc>
        <w:tc>
          <w:tcPr>
            <w:tcW w:w="1843" w:type="dxa"/>
            <w:tcBorders>
              <w:top w:val="nil"/>
              <w:left w:val="nil"/>
              <w:bottom w:val="single" w:sz="4" w:space="0" w:color="016794"/>
              <w:right w:val="nil"/>
              <w:tl2br w:val="nil"/>
              <w:tr2bl w:val="nil"/>
            </w:tcBorders>
            <w:tcMar>
              <w:left w:w="60" w:type="dxa"/>
              <w:right w:w="60" w:type="dxa"/>
            </w:tcMar>
            <w:vAlign w:val="center"/>
          </w:tcPr>
          <w:p w14:paraId="2EDF5668" w14:textId="77777777" w:rsidR="00807FFE" w:rsidRDefault="00023E71">
            <w:pPr>
              <w:pStyle w:val="DMETW36755BIPCDTRCY"/>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618" w:type="dxa"/>
            <w:tcBorders>
              <w:top w:val="nil"/>
              <w:left w:val="nil"/>
              <w:bottom w:val="single" w:sz="4" w:space="0" w:color="016794"/>
              <w:right w:val="nil"/>
              <w:tl2br w:val="nil"/>
              <w:tr2bl w:val="nil"/>
            </w:tcBorders>
            <w:tcMar>
              <w:left w:w="60" w:type="dxa"/>
              <w:right w:w="60" w:type="dxa"/>
            </w:tcMar>
            <w:vAlign w:val="center"/>
          </w:tcPr>
          <w:p w14:paraId="4902A78D" w14:textId="77777777" w:rsidR="00807FFE" w:rsidRDefault="00023E71">
            <w:pPr>
              <w:pStyle w:val="DMETW3675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18 193</w:t>
            </w:r>
          </w:p>
        </w:tc>
      </w:tr>
      <w:tr w:rsidR="00807FFE" w14:paraId="650E49C8" w14:textId="77777777">
        <w:trPr>
          <w:trHeight w:hRule="exact" w:val="350"/>
        </w:trPr>
        <w:tc>
          <w:tcPr>
            <w:tcW w:w="6297" w:type="dxa"/>
            <w:tcBorders>
              <w:top w:val="single" w:sz="4" w:space="0" w:color="016794"/>
              <w:left w:val="nil"/>
              <w:bottom w:val="single" w:sz="4" w:space="0" w:color="016794"/>
              <w:right w:val="nil"/>
              <w:tl2br w:val="nil"/>
              <w:tr2bl w:val="nil"/>
            </w:tcBorders>
            <w:tcMar>
              <w:left w:w="60" w:type="dxa"/>
              <w:right w:w="60" w:type="dxa"/>
            </w:tcMar>
            <w:vAlign w:val="center"/>
          </w:tcPr>
          <w:p w14:paraId="6376C091" w14:textId="77777777" w:rsidR="00807FFE" w:rsidRDefault="00023E71">
            <w:pPr>
              <w:pStyle w:val="DMETW36755BIPCDTRCY"/>
              <w:rPr>
                <w:rFonts w:ascii="Verdana" w:eastAsia="Verdana" w:hAnsi="Verdana" w:cs="Verdana"/>
                <w:b/>
                <w:noProof/>
                <w:color w:val="000000"/>
                <w:sz w:val="18"/>
              </w:rPr>
            </w:pPr>
            <w:r>
              <w:rPr>
                <w:rFonts w:ascii="Verdana" w:eastAsia="Verdana" w:hAnsi="Verdana" w:cs="Verdana"/>
                <w:b/>
                <w:noProof/>
                <w:color w:val="000000"/>
                <w:sz w:val="18"/>
              </w:rPr>
              <w:t>Total</w:t>
            </w:r>
          </w:p>
        </w:tc>
        <w:tc>
          <w:tcPr>
            <w:tcW w:w="1843" w:type="dxa"/>
            <w:tcBorders>
              <w:top w:val="single" w:sz="4" w:space="0" w:color="016794"/>
              <w:left w:val="nil"/>
              <w:bottom w:val="single" w:sz="4" w:space="0" w:color="016794"/>
              <w:right w:val="nil"/>
              <w:tl2br w:val="nil"/>
              <w:tr2bl w:val="nil"/>
            </w:tcBorders>
            <w:tcMar>
              <w:left w:w="60" w:type="dxa"/>
              <w:right w:w="60" w:type="dxa"/>
            </w:tcMar>
            <w:vAlign w:val="center"/>
          </w:tcPr>
          <w:p w14:paraId="5DC67748" w14:textId="77777777" w:rsidR="00807FFE" w:rsidRDefault="00023E71">
            <w:pPr>
              <w:pStyle w:val="DMETW36755BIPCDTRCY"/>
              <w:jc w:val="right"/>
              <w:rPr>
                <w:rFonts w:ascii="Verdana" w:eastAsia="Verdana" w:hAnsi="Verdana" w:cs="Verdana"/>
                <w:b/>
                <w:noProof/>
                <w:color w:val="000000"/>
                <w:sz w:val="18"/>
              </w:rPr>
            </w:pPr>
            <w:r>
              <w:rPr>
                <w:rFonts w:ascii="Verdana" w:eastAsia="Verdana" w:hAnsi="Verdana" w:cs="Verdana"/>
                <w:b/>
                <w:noProof/>
                <w:color w:val="000000"/>
                <w:sz w:val="18"/>
              </w:rPr>
              <w:t>547 771</w:t>
            </w:r>
          </w:p>
        </w:tc>
        <w:tc>
          <w:tcPr>
            <w:tcW w:w="1618" w:type="dxa"/>
            <w:tcBorders>
              <w:top w:val="single" w:sz="4" w:space="0" w:color="016794"/>
              <w:left w:val="nil"/>
              <w:bottom w:val="single" w:sz="4" w:space="0" w:color="016794"/>
              <w:right w:val="nil"/>
              <w:tl2br w:val="nil"/>
              <w:tr2bl w:val="nil"/>
            </w:tcBorders>
            <w:tcMar>
              <w:left w:w="60" w:type="dxa"/>
              <w:right w:w="60" w:type="dxa"/>
            </w:tcMar>
            <w:vAlign w:val="center"/>
          </w:tcPr>
          <w:p w14:paraId="21DAE19F" w14:textId="77777777" w:rsidR="00807FFE" w:rsidRDefault="00023E71">
            <w:pPr>
              <w:pStyle w:val="DMETW36755BIPCDTRCY"/>
              <w:jc w:val="right"/>
              <w:rPr>
                <w:rFonts w:ascii="Verdana" w:eastAsia="Verdana" w:hAnsi="Verdana" w:cs="Verdana"/>
                <w:b/>
                <w:noProof/>
                <w:color w:val="000000"/>
                <w:sz w:val="18"/>
              </w:rPr>
            </w:pPr>
            <w:r>
              <w:rPr>
                <w:rFonts w:ascii="Verdana" w:eastAsia="Verdana" w:hAnsi="Verdana" w:cs="Verdana"/>
                <w:b/>
                <w:noProof/>
                <w:color w:val="000000"/>
                <w:sz w:val="18"/>
              </w:rPr>
              <w:t>464 607</w:t>
            </w:r>
          </w:p>
        </w:tc>
      </w:tr>
    </w:tbl>
    <w:p w14:paraId="70316042" w14:textId="77777777" w:rsidR="00865F69" w:rsidRDefault="00023E71" w:rsidP="00256267">
      <w:pPr>
        <w:pStyle w:val="Textstand-alone"/>
        <w:spacing w:before="60"/>
        <w:rPr>
          <w:i/>
          <w:sz w:val="14"/>
          <w:szCs w:val="14"/>
        </w:rPr>
      </w:pPr>
      <w:r w:rsidRPr="00256267">
        <w:rPr>
          <w:i/>
          <w:sz w:val="14"/>
          <w:szCs w:val="14"/>
          <w:vertAlign w:val="superscript"/>
        </w:rPr>
        <w:t>*</w:t>
      </w:r>
      <w:r w:rsidR="00256267">
        <w:rPr>
          <w:i/>
          <w:sz w:val="14"/>
          <w:szCs w:val="14"/>
        </w:rPr>
        <w:t>Ex</w:t>
      </w:r>
      <w:r w:rsidRPr="0014004F">
        <w:rPr>
          <w:i/>
          <w:sz w:val="14"/>
          <w:szCs w:val="14"/>
        </w:rPr>
        <w:t>cluding deferred charges</w:t>
      </w:r>
      <w:r w:rsidR="00256267">
        <w:rPr>
          <w:i/>
          <w:sz w:val="14"/>
          <w:szCs w:val="14"/>
        </w:rPr>
        <w:t>.</w:t>
      </w:r>
    </w:p>
    <w:p w14:paraId="3146C5AE" w14:textId="77777777" w:rsidR="00A8121F" w:rsidRPr="005779E6" w:rsidRDefault="00023E71" w:rsidP="00B91611">
      <w:pPr>
        <w:pStyle w:val="DGTextstand-alone"/>
        <w:rPr>
          <w:lang w:val="en-IE" w:eastAsia="en-IE"/>
        </w:rPr>
      </w:pPr>
      <w:r w:rsidRPr="6C204149">
        <w:rPr>
          <w:lang w:val="en-IE" w:eastAsia="en-IE"/>
        </w:rPr>
        <w:t xml:space="preserve">In addition, the EU is indirectly exposed to the credit risk through its investments in MMFs, corporate bond ETFs and pooled portfolios of debt securities (see </w:t>
      </w:r>
      <w:r>
        <w:rPr>
          <w:lang w:val="en-IE" w:eastAsia="en-IE"/>
        </w:rPr>
        <w:t>N</w:t>
      </w:r>
      <w:r w:rsidRPr="6C204149">
        <w:rPr>
          <w:lang w:val="en-IE" w:eastAsia="en-IE"/>
        </w:rPr>
        <w:t xml:space="preserve">ote </w:t>
      </w:r>
      <w:r w:rsidRPr="6C204149">
        <w:rPr>
          <w:b/>
          <w:bCs/>
          <w:lang w:val="en-IE" w:eastAsia="en-IE"/>
        </w:rPr>
        <w:t>2.4.2.1</w:t>
      </w:r>
      <w:r w:rsidRPr="6C204149">
        <w:rPr>
          <w:lang w:val="en-IE" w:eastAsia="en-IE"/>
        </w:rPr>
        <w:t xml:space="preserve">), which may impact their prices (see </w:t>
      </w:r>
      <w:r>
        <w:rPr>
          <w:lang w:val="en-IE" w:eastAsia="en-IE"/>
        </w:rPr>
        <w:t>N</w:t>
      </w:r>
      <w:r w:rsidRPr="6C204149">
        <w:rPr>
          <w:lang w:val="en-IE" w:eastAsia="en-IE"/>
        </w:rPr>
        <w:t xml:space="preserve">ote </w:t>
      </w:r>
      <w:r w:rsidRPr="6C204149">
        <w:rPr>
          <w:b/>
          <w:bCs/>
          <w:lang w:val="en-IE" w:eastAsia="en-IE"/>
        </w:rPr>
        <w:t>6.5</w:t>
      </w:r>
      <w:r w:rsidRPr="6C204149">
        <w:rPr>
          <w:lang w:val="en-IE" w:eastAsia="en-IE"/>
        </w:rPr>
        <w:t>)</w:t>
      </w:r>
      <w:r w:rsidR="00096414" w:rsidRPr="005779E6">
        <w:rPr>
          <w:lang w:val="en-IE" w:eastAsia="en-IE"/>
        </w:rPr>
        <w:t>.</w:t>
      </w:r>
    </w:p>
    <w:p w14:paraId="270FB0AD" w14:textId="77777777" w:rsidR="00865F69" w:rsidRDefault="00023E71" w:rsidP="00256267">
      <w:pPr>
        <w:pStyle w:val="HEADER5"/>
        <w:rPr>
          <w:noProof/>
        </w:rPr>
      </w:pPr>
      <w:r w:rsidRPr="00865F69">
        <w:rPr>
          <w:noProof/>
        </w:rPr>
        <w:t>Loa</w:t>
      </w:r>
      <w:r>
        <w:rPr>
          <w:noProof/>
        </w:rPr>
        <w:t xml:space="preserve">ns: credit quality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9"/>
        <w:gridCol w:w="1696"/>
        <w:gridCol w:w="1134"/>
        <w:gridCol w:w="1134"/>
        <w:gridCol w:w="1134"/>
        <w:gridCol w:w="1051"/>
      </w:tblGrid>
      <w:tr w:rsidR="00807FFE" w14:paraId="48CC8ACB"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1FF9AE73" w14:textId="77777777" w:rsidR="00807FFE" w:rsidRDefault="00807FFE">
            <w:pPr>
              <w:pStyle w:val="DMETW36755BIPLOCDQ"/>
              <w:rPr>
                <w:rFonts w:ascii="Verdana" w:eastAsia="Verdana" w:hAnsi="Verdana" w:cs="Verdana"/>
                <w:b/>
                <w:noProof/>
                <w:color w:val="000000"/>
                <w:sz w:val="18"/>
                <w:lang w:bidi="en-GB"/>
              </w:rPr>
            </w:pPr>
            <w:bookmarkStart w:id="228" w:name="DOC_TBL00095_1_1"/>
            <w:bookmarkEnd w:id="228"/>
          </w:p>
        </w:tc>
        <w:tc>
          <w:tcPr>
            <w:tcW w:w="1696" w:type="dxa"/>
            <w:tcBorders>
              <w:top w:val="nil"/>
              <w:left w:val="nil"/>
              <w:bottom w:val="nil"/>
              <w:right w:val="nil"/>
              <w:tl2br w:val="nil"/>
              <w:tr2bl w:val="nil"/>
            </w:tcBorders>
            <w:tcMar>
              <w:left w:w="60" w:type="dxa"/>
              <w:right w:w="60" w:type="dxa"/>
            </w:tcMar>
            <w:vAlign w:val="center"/>
          </w:tcPr>
          <w:p w14:paraId="48A634D7" w14:textId="77777777" w:rsidR="00807FFE" w:rsidRDefault="00807FFE">
            <w:pPr>
              <w:pStyle w:val="DMETW36755BIPLOCDQ"/>
              <w:jc w:val="right"/>
              <w:rPr>
                <w:rFonts w:ascii="Verdana" w:eastAsia="Verdana" w:hAnsi="Verdana" w:cs="Verdana"/>
                <w:noProof/>
                <w:color w:val="A8A8A8"/>
              </w:rPr>
            </w:pPr>
          </w:p>
        </w:tc>
        <w:tc>
          <w:tcPr>
            <w:tcW w:w="1134" w:type="dxa"/>
            <w:tcBorders>
              <w:top w:val="nil"/>
              <w:left w:val="nil"/>
              <w:bottom w:val="nil"/>
              <w:right w:val="nil"/>
              <w:tl2br w:val="nil"/>
              <w:tr2bl w:val="nil"/>
            </w:tcBorders>
            <w:tcMar>
              <w:left w:w="60" w:type="dxa"/>
              <w:right w:w="60" w:type="dxa"/>
            </w:tcMar>
            <w:vAlign w:val="center"/>
          </w:tcPr>
          <w:p w14:paraId="2B45E563" w14:textId="77777777" w:rsidR="00807FFE" w:rsidRDefault="00807FFE">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14:paraId="337DD32B" w14:textId="77777777" w:rsidR="00807FFE" w:rsidRDefault="00807FFE">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14:paraId="7D1AE80B" w14:textId="77777777" w:rsidR="00807FFE" w:rsidRDefault="00807FFE">
            <w:pPr>
              <w:pStyle w:val="DMETW36755BIPLOCDQ"/>
              <w:rPr>
                <w:rFonts w:ascii="Verdana" w:eastAsia="Verdana" w:hAnsi="Verdana" w:cs="Verdana"/>
                <w:noProof/>
                <w:color w:val="000000"/>
              </w:rPr>
            </w:pPr>
          </w:p>
        </w:tc>
        <w:tc>
          <w:tcPr>
            <w:tcW w:w="1051" w:type="dxa"/>
            <w:tcBorders>
              <w:top w:val="nil"/>
              <w:left w:val="nil"/>
              <w:bottom w:val="nil"/>
              <w:right w:val="nil"/>
              <w:tl2br w:val="nil"/>
              <w:tr2bl w:val="nil"/>
            </w:tcBorders>
            <w:tcMar>
              <w:left w:w="60" w:type="dxa"/>
              <w:right w:w="60" w:type="dxa"/>
            </w:tcMar>
            <w:vAlign w:val="bottom"/>
          </w:tcPr>
          <w:p w14:paraId="0C44DC85" w14:textId="77777777" w:rsidR="00807FFE" w:rsidRDefault="00023E71">
            <w:pPr>
              <w:pStyle w:val="DMETW36755BIPLOCDQ"/>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99334A3" w14:textId="77777777">
        <w:trPr>
          <w:trHeight w:hRule="exact" w:val="255"/>
        </w:trPr>
        <w:tc>
          <w:tcPr>
            <w:tcW w:w="3609" w:type="dxa"/>
            <w:gridSpan w:val="6"/>
            <w:tcBorders>
              <w:top w:val="nil"/>
              <w:left w:val="nil"/>
              <w:bottom w:val="nil"/>
              <w:right w:val="nil"/>
              <w:tl2br w:val="nil"/>
              <w:tr2bl w:val="nil"/>
            </w:tcBorders>
            <w:shd w:val="solid" w:color="016794" w:fill="FFFFFF"/>
            <w:tcMar>
              <w:left w:w="60" w:type="dxa"/>
              <w:right w:w="60" w:type="dxa"/>
            </w:tcMar>
            <w:vAlign w:val="center"/>
          </w:tcPr>
          <w:p w14:paraId="69F57B97" w14:textId="77777777" w:rsidR="00807FFE" w:rsidRDefault="00023E71">
            <w:pPr>
              <w:pStyle w:val="DMETW36755BIPLOCDQ"/>
              <w:jc w:val="center"/>
              <w:rPr>
                <w:rFonts w:ascii="Verdana" w:eastAsia="Verdana" w:hAnsi="Verdana" w:cs="Verdana"/>
                <w:noProof/>
                <w:color w:val="FFFFFF"/>
                <w:lang w:bidi="en-GB"/>
              </w:rPr>
            </w:pPr>
            <w:r>
              <w:rPr>
                <w:rFonts w:ascii="Verdana" w:eastAsia="Verdana" w:hAnsi="Verdana" w:cs="Verdana"/>
                <w:noProof/>
                <w:color w:val="FFFFFF"/>
              </w:rPr>
              <w:t>31.12.2025</w:t>
            </w:r>
          </w:p>
        </w:tc>
      </w:tr>
      <w:tr w:rsidR="00807FFE" w14:paraId="40BE4D5A" w14:textId="77777777">
        <w:trPr>
          <w:trHeight w:hRule="exact" w:val="360"/>
        </w:trPr>
        <w:tc>
          <w:tcPr>
            <w:tcW w:w="3609" w:type="dxa"/>
            <w:vMerge w:val="restart"/>
            <w:tcBorders>
              <w:top w:val="nil"/>
              <w:left w:val="nil"/>
              <w:bottom w:val="nil"/>
              <w:right w:val="nil"/>
              <w:tl2br w:val="nil"/>
              <w:tr2bl w:val="nil"/>
            </w:tcBorders>
            <w:shd w:val="solid" w:color="016794" w:fill="FFFFFF"/>
            <w:tcMar>
              <w:left w:w="60" w:type="dxa"/>
              <w:right w:w="60" w:type="dxa"/>
            </w:tcMar>
            <w:vAlign w:val="center"/>
          </w:tcPr>
          <w:p w14:paraId="6F571074" w14:textId="77777777" w:rsidR="00807FFE" w:rsidRDefault="00807FFE">
            <w:pPr>
              <w:pStyle w:val="DMETW36755BIPLOCDQ"/>
              <w:jc w:val="center"/>
              <w:rPr>
                <w:rFonts w:ascii="Verdana" w:eastAsia="Verdana" w:hAnsi="Verdana" w:cs="Verdana"/>
                <w:noProof/>
                <w:color w:val="FFFFFF"/>
              </w:rPr>
            </w:pPr>
          </w:p>
        </w:tc>
        <w:tc>
          <w:tcPr>
            <w:tcW w:w="1696" w:type="dxa"/>
            <w:vMerge w:val="restart"/>
            <w:tcBorders>
              <w:top w:val="nil"/>
              <w:left w:val="nil"/>
              <w:bottom w:val="nil"/>
              <w:right w:val="nil"/>
              <w:tl2br w:val="nil"/>
              <w:tr2bl w:val="nil"/>
            </w:tcBorders>
            <w:shd w:val="solid" w:color="016794" w:fill="FFFFFF"/>
            <w:tcMar>
              <w:left w:w="60" w:type="dxa"/>
              <w:right w:w="60" w:type="dxa"/>
            </w:tcMar>
            <w:vAlign w:val="center"/>
          </w:tcPr>
          <w:p w14:paraId="7A1F17AA" w14:textId="77777777" w:rsidR="00807FFE" w:rsidRDefault="00023E71">
            <w:pPr>
              <w:pStyle w:val="DMETW36755BIPLOCDQ"/>
              <w:jc w:val="right"/>
              <w:rPr>
                <w:rFonts w:ascii="Verdana" w:eastAsia="Verdana" w:hAnsi="Verdana" w:cs="Verdana"/>
                <w:noProof/>
                <w:color w:val="FFFFFF"/>
              </w:rPr>
            </w:pPr>
            <w:r>
              <w:rPr>
                <w:rFonts w:ascii="Verdana" w:eastAsia="Verdana" w:hAnsi="Verdana" w:cs="Verdana"/>
                <w:noProof/>
                <w:color w:val="FFFFFF"/>
              </w:rPr>
              <w:t xml:space="preserve">Stage 1 </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14:paraId="15DBD9C2" w14:textId="77777777" w:rsidR="00807FFE" w:rsidRDefault="00023E71">
            <w:pPr>
              <w:pStyle w:val="DMETW36755BIPLOCDQ"/>
              <w:jc w:val="right"/>
              <w:rPr>
                <w:rFonts w:ascii="Verdana" w:eastAsia="Verdana" w:hAnsi="Verdana" w:cs="Verdana"/>
                <w:noProof/>
                <w:color w:val="FFFFFF"/>
              </w:rPr>
            </w:pPr>
            <w:r>
              <w:rPr>
                <w:rFonts w:ascii="Verdana" w:eastAsia="Verdana" w:hAnsi="Verdana" w:cs="Verdana"/>
                <w:noProof/>
                <w:color w:val="FFFFFF"/>
              </w:rPr>
              <w:t>Stage 2</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14:paraId="2E3DAAD7" w14:textId="77777777" w:rsidR="00807FFE" w:rsidRDefault="00023E71">
            <w:pPr>
              <w:pStyle w:val="DMETW36755BIPLOCDQ"/>
              <w:jc w:val="right"/>
              <w:rPr>
                <w:rFonts w:ascii="Verdana" w:eastAsia="Verdana" w:hAnsi="Verdana" w:cs="Verdana"/>
                <w:noProof/>
                <w:color w:val="FFFFFF"/>
              </w:rPr>
            </w:pPr>
            <w:r>
              <w:rPr>
                <w:rFonts w:ascii="Verdana" w:eastAsia="Verdana" w:hAnsi="Verdana" w:cs="Verdana"/>
                <w:noProof/>
                <w:color w:val="FFFFFF"/>
              </w:rPr>
              <w:t>Stage 3</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14:paraId="0ECFB8E6" w14:textId="77777777" w:rsidR="00807FFE" w:rsidRDefault="00023E71">
            <w:pPr>
              <w:pStyle w:val="DMETW36755BIPLOCDQ"/>
              <w:jc w:val="right"/>
              <w:rPr>
                <w:rFonts w:ascii="Verdana" w:eastAsia="Verdana" w:hAnsi="Verdana" w:cs="Verdana"/>
                <w:noProof/>
                <w:color w:val="FFFFFF"/>
              </w:rPr>
            </w:pPr>
            <w:r>
              <w:rPr>
                <w:rFonts w:ascii="Verdana" w:eastAsia="Verdana" w:hAnsi="Verdana" w:cs="Verdana"/>
                <w:noProof/>
                <w:color w:val="FFFFFF"/>
              </w:rPr>
              <w:t>POCI</w:t>
            </w:r>
          </w:p>
        </w:tc>
        <w:tc>
          <w:tcPr>
            <w:tcW w:w="1051" w:type="dxa"/>
            <w:vMerge w:val="restart"/>
            <w:tcBorders>
              <w:top w:val="nil"/>
              <w:left w:val="nil"/>
              <w:bottom w:val="nil"/>
              <w:right w:val="nil"/>
              <w:tl2br w:val="nil"/>
              <w:tr2bl w:val="nil"/>
            </w:tcBorders>
            <w:shd w:val="solid" w:color="016794" w:fill="FFFFFF"/>
            <w:tcMar>
              <w:left w:w="60" w:type="dxa"/>
              <w:right w:w="60" w:type="dxa"/>
            </w:tcMar>
            <w:vAlign w:val="center"/>
          </w:tcPr>
          <w:p w14:paraId="51F50B46" w14:textId="77777777" w:rsidR="00807FFE" w:rsidRDefault="00023E71">
            <w:pPr>
              <w:pStyle w:val="DMETW36755BIPLOCDQ"/>
              <w:jc w:val="right"/>
              <w:rPr>
                <w:rFonts w:ascii="Verdana" w:eastAsia="Verdana" w:hAnsi="Verdana" w:cs="Verdana"/>
                <w:noProof/>
                <w:color w:val="FFFFFF"/>
                <w:lang w:bidi="en-GB"/>
              </w:rPr>
            </w:pPr>
            <w:r>
              <w:rPr>
                <w:rFonts w:ascii="Verdana" w:eastAsia="Verdana" w:hAnsi="Verdana" w:cs="Verdana"/>
                <w:noProof/>
                <w:color w:val="FFFFFF"/>
              </w:rPr>
              <w:t xml:space="preserve">Total </w:t>
            </w:r>
          </w:p>
        </w:tc>
      </w:tr>
      <w:tr w:rsidR="00807FFE" w14:paraId="31632A38" w14:textId="77777777">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14:paraId="5FAA5620" w14:textId="77777777" w:rsidR="00807FFE" w:rsidRDefault="00807FFE">
            <w:pPr>
              <w:pStyle w:val="DMETW36755BIPLOCDQ"/>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24B70110" w14:textId="77777777" w:rsidR="00807FFE" w:rsidRDefault="00807FFE">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1BB08AD2" w14:textId="77777777" w:rsidR="00807FFE" w:rsidRDefault="00807FFE">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5ECA631E" w14:textId="77777777" w:rsidR="00807FFE" w:rsidRDefault="00807FFE">
            <w:pPr>
              <w:pStyle w:val="DMETW36755BIPLOCDQ"/>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14:paraId="15496505" w14:textId="77777777" w:rsidR="00807FFE" w:rsidRDefault="00807FFE">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3BB5329B" w14:textId="77777777" w:rsidR="00807FFE" w:rsidRDefault="00807FFE">
            <w:pPr>
              <w:pStyle w:val="DMETW36755BIPLOCDQ"/>
              <w:jc w:val="right"/>
              <w:rPr>
                <w:rFonts w:ascii="Verdana" w:eastAsia="Verdana" w:hAnsi="Verdana" w:cs="Verdana"/>
                <w:noProof/>
                <w:color w:val="FFFFFF"/>
              </w:rPr>
            </w:pPr>
          </w:p>
        </w:tc>
      </w:tr>
      <w:tr w:rsidR="00807FFE" w14:paraId="31F852FB"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44576BE1" w14:textId="77777777" w:rsidR="00807FFE" w:rsidRDefault="00023E71">
            <w:pPr>
              <w:pStyle w:val="DMETW36755BIPLOCDQ"/>
              <w:rPr>
                <w:rFonts w:ascii="Verdana" w:eastAsia="Verdana" w:hAnsi="Verdana" w:cs="Verdana"/>
                <w:b/>
                <w:noProof/>
                <w:color w:val="000000"/>
                <w:sz w:val="18"/>
              </w:rPr>
            </w:pPr>
            <w:r>
              <w:rPr>
                <w:rFonts w:ascii="Verdana" w:eastAsia="Verdana" w:hAnsi="Verdana" w:cs="Verdana"/>
                <w:b/>
                <w:noProof/>
                <w:color w:val="000000"/>
                <w:sz w:val="18"/>
              </w:rPr>
              <w:t>Credit rating</w:t>
            </w:r>
          </w:p>
        </w:tc>
        <w:tc>
          <w:tcPr>
            <w:tcW w:w="1696" w:type="dxa"/>
            <w:tcBorders>
              <w:top w:val="nil"/>
              <w:left w:val="nil"/>
              <w:bottom w:val="nil"/>
              <w:right w:val="nil"/>
              <w:tl2br w:val="nil"/>
              <w:tr2bl w:val="nil"/>
            </w:tcBorders>
            <w:tcMar>
              <w:left w:w="60" w:type="dxa"/>
              <w:right w:w="60" w:type="dxa"/>
            </w:tcMar>
            <w:vAlign w:val="center"/>
          </w:tcPr>
          <w:p w14:paraId="68D25FCB" w14:textId="77777777" w:rsidR="00807FFE" w:rsidRDefault="00807FFE">
            <w:pPr>
              <w:pStyle w:val="DMETW36755BIPLOCDQ"/>
              <w:jc w:val="right"/>
              <w:rPr>
                <w:rFonts w:ascii="Verdana" w:eastAsia="Verdana" w:hAnsi="Verdana" w:cs="Verdana"/>
                <w:noProof/>
                <w:color w:val="A8A8A8"/>
              </w:rPr>
            </w:pPr>
          </w:p>
        </w:tc>
        <w:tc>
          <w:tcPr>
            <w:tcW w:w="1134" w:type="dxa"/>
            <w:tcBorders>
              <w:top w:val="nil"/>
              <w:left w:val="nil"/>
              <w:bottom w:val="nil"/>
              <w:right w:val="nil"/>
              <w:tl2br w:val="nil"/>
              <w:tr2bl w:val="nil"/>
            </w:tcBorders>
            <w:tcMar>
              <w:left w:w="60" w:type="dxa"/>
              <w:right w:w="60" w:type="dxa"/>
            </w:tcMar>
            <w:vAlign w:val="center"/>
          </w:tcPr>
          <w:p w14:paraId="69B1CC67" w14:textId="77777777" w:rsidR="00807FFE" w:rsidRDefault="00807FFE">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14:paraId="64FB8D91" w14:textId="77777777" w:rsidR="00807FFE" w:rsidRDefault="00807FFE">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14:paraId="2172E113" w14:textId="77777777" w:rsidR="00807FFE" w:rsidRDefault="00807FFE">
            <w:pPr>
              <w:pStyle w:val="DMETW36755BIPLOCDQ"/>
              <w:rPr>
                <w:rFonts w:ascii="Verdana" w:eastAsia="Verdana" w:hAnsi="Verdana" w:cs="Verdana"/>
                <w:noProof/>
                <w:color w:val="000000"/>
              </w:rPr>
            </w:pPr>
          </w:p>
        </w:tc>
        <w:tc>
          <w:tcPr>
            <w:tcW w:w="1051" w:type="dxa"/>
            <w:tcBorders>
              <w:top w:val="nil"/>
              <w:left w:val="nil"/>
              <w:bottom w:val="nil"/>
              <w:right w:val="nil"/>
              <w:tl2br w:val="nil"/>
              <w:tr2bl w:val="nil"/>
            </w:tcBorders>
            <w:tcMar>
              <w:left w:w="60" w:type="dxa"/>
              <w:right w:w="60" w:type="dxa"/>
            </w:tcMar>
            <w:vAlign w:val="center"/>
          </w:tcPr>
          <w:p w14:paraId="4F3150DF" w14:textId="77777777" w:rsidR="00807FFE" w:rsidRDefault="00807FFE">
            <w:pPr>
              <w:pStyle w:val="DMETW36755BIPLOCDQ"/>
              <w:rPr>
                <w:rFonts w:ascii="Verdana" w:eastAsia="Verdana" w:hAnsi="Verdana" w:cs="Verdana"/>
                <w:noProof/>
                <w:color w:val="000000"/>
                <w:lang w:bidi="en-GB"/>
              </w:rPr>
            </w:pPr>
          </w:p>
        </w:tc>
      </w:tr>
      <w:tr w:rsidR="00807FFE" w14:paraId="17F68637"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1E94241A" w14:textId="77777777" w:rsidR="00807FFE" w:rsidRDefault="00023E71">
            <w:pPr>
              <w:pStyle w:val="DMETW36755BIPLOCDQ"/>
              <w:rPr>
                <w:rFonts w:ascii="Verdana" w:eastAsia="Verdana" w:hAnsi="Verdana" w:cs="Verdana"/>
                <w:i/>
                <w:noProof/>
                <w:color w:val="000000"/>
                <w:sz w:val="18"/>
              </w:rPr>
            </w:pPr>
            <w:r>
              <w:rPr>
                <w:rFonts w:ascii="Verdana" w:eastAsia="Verdana" w:hAnsi="Verdana" w:cs="Verdana"/>
                <w:i/>
                <w:noProof/>
                <w:color w:val="000000"/>
                <w:sz w:val="18"/>
              </w:rPr>
              <w:t>Prime and high grade</w:t>
            </w:r>
          </w:p>
        </w:tc>
        <w:tc>
          <w:tcPr>
            <w:tcW w:w="1696" w:type="dxa"/>
            <w:tcBorders>
              <w:top w:val="nil"/>
              <w:left w:val="nil"/>
              <w:bottom w:val="nil"/>
              <w:right w:val="nil"/>
              <w:tl2br w:val="nil"/>
              <w:tr2bl w:val="nil"/>
            </w:tcBorders>
            <w:tcMar>
              <w:left w:w="60" w:type="dxa"/>
              <w:right w:w="60" w:type="dxa"/>
            </w:tcMar>
            <w:vAlign w:val="center"/>
          </w:tcPr>
          <w:p w14:paraId="3439C6C6"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33 176</w:t>
            </w:r>
          </w:p>
        </w:tc>
        <w:tc>
          <w:tcPr>
            <w:tcW w:w="1134" w:type="dxa"/>
            <w:tcBorders>
              <w:top w:val="nil"/>
              <w:left w:val="nil"/>
              <w:bottom w:val="nil"/>
              <w:right w:val="nil"/>
              <w:tl2br w:val="nil"/>
              <w:tr2bl w:val="nil"/>
            </w:tcBorders>
            <w:tcMar>
              <w:left w:w="60" w:type="dxa"/>
              <w:right w:w="60" w:type="dxa"/>
            </w:tcMar>
            <w:vAlign w:val="center"/>
          </w:tcPr>
          <w:p w14:paraId="278B5ECA"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28C04274"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72C21229"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14:paraId="1A3FADAD" w14:textId="77777777" w:rsidR="00807FFE" w:rsidRDefault="00023E71">
            <w:pPr>
              <w:pStyle w:val="DMETW36755BIPLOCDQ"/>
              <w:jc w:val="right"/>
              <w:rPr>
                <w:rFonts w:ascii="Verdana" w:eastAsia="Verdana" w:hAnsi="Verdana" w:cs="Verdana"/>
                <w:i/>
                <w:noProof/>
                <w:color w:val="000000"/>
                <w:sz w:val="18"/>
                <w:lang w:bidi="en-GB"/>
              </w:rPr>
            </w:pPr>
            <w:r>
              <w:rPr>
                <w:rFonts w:ascii="Verdana" w:eastAsia="Verdana" w:hAnsi="Verdana" w:cs="Verdana"/>
                <w:i/>
                <w:noProof/>
                <w:color w:val="000000"/>
                <w:sz w:val="18"/>
              </w:rPr>
              <w:t>33 176</w:t>
            </w:r>
          </w:p>
        </w:tc>
      </w:tr>
      <w:tr w:rsidR="00807FFE" w14:paraId="31EA36C0"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6787A094" w14:textId="77777777" w:rsidR="00807FFE" w:rsidRDefault="00023E71">
            <w:pPr>
              <w:pStyle w:val="DMETW36755BIPLOCDQ"/>
              <w:rPr>
                <w:rFonts w:ascii="Verdana" w:eastAsia="Verdana" w:hAnsi="Verdana" w:cs="Verdana"/>
                <w:i/>
                <w:noProof/>
                <w:color w:val="000000"/>
                <w:sz w:val="18"/>
              </w:rPr>
            </w:pPr>
            <w:r>
              <w:rPr>
                <w:rFonts w:ascii="Verdana" w:eastAsia="Verdana" w:hAnsi="Verdana" w:cs="Verdana"/>
                <w:i/>
                <w:noProof/>
                <w:color w:val="000000"/>
                <w:sz w:val="18"/>
              </w:rPr>
              <w:t>Upper medium grade</w:t>
            </w:r>
          </w:p>
        </w:tc>
        <w:tc>
          <w:tcPr>
            <w:tcW w:w="1696" w:type="dxa"/>
            <w:tcBorders>
              <w:top w:val="nil"/>
              <w:left w:val="nil"/>
              <w:bottom w:val="nil"/>
              <w:right w:val="nil"/>
              <w:tl2br w:val="nil"/>
              <w:tr2bl w:val="nil"/>
            </w:tcBorders>
            <w:tcMar>
              <w:left w:w="60" w:type="dxa"/>
              <w:right w:w="60" w:type="dxa"/>
            </w:tcMar>
            <w:vAlign w:val="center"/>
          </w:tcPr>
          <w:p w14:paraId="59283B3C"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102 243</w:t>
            </w:r>
          </w:p>
        </w:tc>
        <w:tc>
          <w:tcPr>
            <w:tcW w:w="1134" w:type="dxa"/>
            <w:tcBorders>
              <w:top w:val="nil"/>
              <w:left w:val="nil"/>
              <w:bottom w:val="nil"/>
              <w:right w:val="nil"/>
              <w:tl2br w:val="nil"/>
              <w:tr2bl w:val="nil"/>
            </w:tcBorders>
            <w:tcMar>
              <w:left w:w="60" w:type="dxa"/>
              <w:right w:w="60" w:type="dxa"/>
            </w:tcMar>
            <w:vAlign w:val="center"/>
          </w:tcPr>
          <w:p w14:paraId="77755518"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6B4E73ED"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3BC22ED4"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14:paraId="238B4BDE" w14:textId="77777777" w:rsidR="00807FFE" w:rsidRDefault="00023E71">
            <w:pPr>
              <w:pStyle w:val="DMETW36755BIPLOCDQ"/>
              <w:jc w:val="right"/>
              <w:rPr>
                <w:rFonts w:ascii="Verdana" w:eastAsia="Verdana" w:hAnsi="Verdana" w:cs="Verdana"/>
                <w:i/>
                <w:noProof/>
                <w:color w:val="000000"/>
                <w:sz w:val="18"/>
                <w:lang w:bidi="en-GB"/>
              </w:rPr>
            </w:pPr>
            <w:r>
              <w:rPr>
                <w:rFonts w:ascii="Verdana" w:eastAsia="Verdana" w:hAnsi="Verdana" w:cs="Verdana"/>
                <w:i/>
                <w:noProof/>
                <w:color w:val="000000"/>
                <w:sz w:val="18"/>
              </w:rPr>
              <w:t>102 243</w:t>
            </w:r>
          </w:p>
        </w:tc>
      </w:tr>
      <w:tr w:rsidR="00807FFE" w14:paraId="2C219959"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014338F3" w14:textId="77777777" w:rsidR="00807FFE" w:rsidRDefault="00023E71">
            <w:pPr>
              <w:pStyle w:val="DMETW36755BIPLOCDQ"/>
              <w:rPr>
                <w:rFonts w:ascii="Verdana" w:eastAsia="Verdana" w:hAnsi="Verdana" w:cs="Verdana"/>
                <w:i/>
                <w:noProof/>
                <w:color w:val="000000"/>
                <w:sz w:val="18"/>
              </w:rPr>
            </w:pPr>
            <w:r>
              <w:rPr>
                <w:rFonts w:ascii="Verdana" w:eastAsia="Verdana" w:hAnsi="Verdana" w:cs="Verdana"/>
                <w:i/>
                <w:noProof/>
                <w:color w:val="000000"/>
                <w:sz w:val="18"/>
              </w:rPr>
              <w:t>Lower medium grade</w:t>
            </w:r>
          </w:p>
        </w:tc>
        <w:tc>
          <w:tcPr>
            <w:tcW w:w="1696" w:type="dxa"/>
            <w:tcBorders>
              <w:top w:val="nil"/>
              <w:left w:val="nil"/>
              <w:bottom w:val="nil"/>
              <w:right w:val="nil"/>
              <w:tl2br w:val="nil"/>
              <w:tr2bl w:val="nil"/>
            </w:tcBorders>
            <w:tcMar>
              <w:left w:w="60" w:type="dxa"/>
              <w:right w:w="60" w:type="dxa"/>
            </w:tcMar>
            <w:vAlign w:val="center"/>
          </w:tcPr>
          <w:p w14:paraId="0AEC638D"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151 363</w:t>
            </w:r>
          </w:p>
        </w:tc>
        <w:tc>
          <w:tcPr>
            <w:tcW w:w="1134" w:type="dxa"/>
            <w:tcBorders>
              <w:top w:val="nil"/>
              <w:left w:val="nil"/>
              <w:bottom w:val="nil"/>
              <w:right w:val="nil"/>
              <w:tl2br w:val="nil"/>
              <w:tr2bl w:val="nil"/>
            </w:tcBorders>
            <w:tcMar>
              <w:left w:w="60" w:type="dxa"/>
              <w:right w:w="60" w:type="dxa"/>
            </w:tcMar>
            <w:vAlign w:val="center"/>
          </w:tcPr>
          <w:p w14:paraId="29B3BE37"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6F95067A"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14:paraId="43266B3F"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14:paraId="33ED27EE" w14:textId="77777777" w:rsidR="00807FFE" w:rsidRDefault="00023E71">
            <w:pPr>
              <w:pStyle w:val="DMETW36755BIPLOCDQ"/>
              <w:jc w:val="right"/>
              <w:rPr>
                <w:rFonts w:ascii="Verdana" w:eastAsia="Verdana" w:hAnsi="Verdana" w:cs="Verdana"/>
                <w:i/>
                <w:noProof/>
                <w:color w:val="000000"/>
                <w:sz w:val="18"/>
                <w:lang w:bidi="en-GB"/>
              </w:rPr>
            </w:pPr>
            <w:r>
              <w:rPr>
                <w:rFonts w:ascii="Verdana" w:eastAsia="Verdana" w:hAnsi="Verdana" w:cs="Verdana"/>
                <w:i/>
                <w:noProof/>
                <w:color w:val="000000"/>
                <w:sz w:val="18"/>
              </w:rPr>
              <w:t>151 363</w:t>
            </w:r>
          </w:p>
        </w:tc>
      </w:tr>
      <w:tr w:rsidR="00807FFE" w14:paraId="73A7B774" w14:textId="77777777">
        <w:trPr>
          <w:trHeight w:hRule="exact" w:val="360"/>
        </w:trPr>
        <w:tc>
          <w:tcPr>
            <w:tcW w:w="3609" w:type="dxa"/>
            <w:tcBorders>
              <w:top w:val="nil"/>
              <w:left w:val="nil"/>
              <w:bottom w:val="single" w:sz="4" w:space="0" w:color="016794"/>
              <w:right w:val="nil"/>
              <w:tl2br w:val="nil"/>
              <w:tr2bl w:val="nil"/>
            </w:tcBorders>
            <w:tcMar>
              <w:left w:w="60" w:type="dxa"/>
              <w:right w:w="60" w:type="dxa"/>
            </w:tcMar>
            <w:vAlign w:val="center"/>
          </w:tcPr>
          <w:p w14:paraId="2004B48A" w14:textId="77777777" w:rsidR="00807FFE" w:rsidRDefault="00023E71">
            <w:pPr>
              <w:pStyle w:val="DMETW36755BIPLOCDQ"/>
              <w:rPr>
                <w:rFonts w:ascii="Verdana" w:eastAsia="Verdana" w:hAnsi="Verdana" w:cs="Verdana"/>
                <w:i/>
                <w:noProof/>
                <w:color w:val="000000"/>
                <w:sz w:val="18"/>
              </w:rPr>
            </w:pPr>
            <w:r>
              <w:rPr>
                <w:rFonts w:ascii="Verdana" w:eastAsia="Verdana" w:hAnsi="Verdana" w:cs="Verdana"/>
                <w:i/>
                <w:noProof/>
                <w:color w:val="000000"/>
                <w:sz w:val="18"/>
              </w:rPr>
              <w:t>Non-investment grade (incl. default)</w:t>
            </w:r>
          </w:p>
        </w:tc>
        <w:tc>
          <w:tcPr>
            <w:tcW w:w="1696" w:type="dxa"/>
            <w:tcBorders>
              <w:top w:val="nil"/>
              <w:left w:val="nil"/>
              <w:bottom w:val="single" w:sz="4" w:space="0" w:color="016794"/>
              <w:right w:val="nil"/>
              <w:tl2br w:val="nil"/>
              <w:tr2bl w:val="nil"/>
            </w:tcBorders>
            <w:tcMar>
              <w:left w:w="60" w:type="dxa"/>
              <w:right w:w="60" w:type="dxa"/>
            </w:tcMar>
            <w:vAlign w:val="center"/>
          </w:tcPr>
          <w:p w14:paraId="6F8ED75D"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4 340</w:t>
            </w:r>
          </w:p>
        </w:tc>
        <w:tc>
          <w:tcPr>
            <w:tcW w:w="1134" w:type="dxa"/>
            <w:tcBorders>
              <w:top w:val="nil"/>
              <w:left w:val="nil"/>
              <w:bottom w:val="single" w:sz="4" w:space="0" w:color="016794"/>
              <w:right w:val="nil"/>
              <w:tl2br w:val="nil"/>
              <w:tr2bl w:val="nil"/>
            </w:tcBorders>
            <w:tcMar>
              <w:left w:w="60" w:type="dxa"/>
              <w:right w:w="60" w:type="dxa"/>
            </w:tcMar>
            <w:vAlign w:val="center"/>
          </w:tcPr>
          <w:p w14:paraId="55E904B1"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72 630</w:t>
            </w:r>
          </w:p>
        </w:tc>
        <w:tc>
          <w:tcPr>
            <w:tcW w:w="1134" w:type="dxa"/>
            <w:tcBorders>
              <w:top w:val="nil"/>
              <w:left w:val="nil"/>
              <w:bottom w:val="single" w:sz="4" w:space="0" w:color="016794"/>
              <w:right w:val="nil"/>
              <w:tl2br w:val="nil"/>
              <w:tr2bl w:val="nil"/>
            </w:tcBorders>
            <w:tcMar>
              <w:left w:w="60" w:type="dxa"/>
              <w:right w:w="60" w:type="dxa"/>
            </w:tcMar>
            <w:vAlign w:val="center"/>
          </w:tcPr>
          <w:p w14:paraId="6765E885"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 xml:space="preserve"> 28</w:t>
            </w:r>
          </w:p>
        </w:tc>
        <w:tc>
          <w:tcPr>
            <w:tcW w:w="1134" w:type="dxa"/>
            <w:tcBorders>
              <w:top w:val="nil"/>
              <w:left w:val="nil"/>
              <w:bottom w:val="single" w:sz="4" w:space="0" w:color="016794"/>
              <w:right w:val="nil"/>
              <w:tl2br w:val="nil"/>
              <w:tr2bl w:val="nil"/>
            </w:tcBorders>
            <w:tcMar>
              <w:left w:w="60" w:type="dxa"/>
              <w:right w:w="60" w:type="dxa"/>
            </w:tcMar>
            <w:vAlign w:val="center"/>
          </w:tcPr>
          <w:p w14:paraId="4B961793"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 xml:space="preserve"> 21</w:t>
            </w:r>
          </w:p>
        </w:tc>
        <w:tc>
          <w:tcPr>
            <w:tcW w:w="1051" w:type="dxa"/>
            <w:tcBorders>
              <w:top w:val="nil"/>
              <w:left w:val="nil"/>
              <w:bottom w:val="single" w:sz="4" w:space="0" w:color="016794"/>
              <w:right w:val="nil"/>
              <w:tl2br w:val="nil"/>
              <w:tr2bl w:val="nil"/>
            </w:tcBorders>
            <w:tcMar>
              <w:left w:w="60" w:type="dxa"/>
              <w:right w:w="60" w:type="dxa"/>
            </w:tcMar>
            <w:vAlign w:val="center"/>
          </w:tcPr>
          <w:p w14:paraId="58133366" w14:textId="77777777" w:rsidR="00807FFE" w:rsidRDefault="00023E71">
            <w:pPr>
              <w:pStyle w:val="DMETW36755BIPLOCDQ"/>
              <w:jc w:val="right"/>
              <w:rPr>
                <w:rFonts w:ascii="Verdana" w:eastAsia="Verdana" w:hAnsi="Verdana" w:cs="Verdana"/>
                <w:i/>
                <w:noProof/>
                <w:color w:val="000000"/>
                <w:sz w:val="18"/>
                <w:lang w:bidi="en-GB"/>
              </w:rPr>
            </w:pPr>
            <w:r>
              <w:rPr>
                <w:rFonts w:ascii="Verdana" w:eastAsia="Verdana" w:hAnsi="Verdana" w:cs="Verdana"/>
                <w:i/>
                <w:noProof/>
                <w:color w:val="000000"/>
                <w:sz w:val="18"/>
              </w:rPr>
              <w:t>77 019</w:t>
            </w:r>
          </w:p>
        </w:tc>
      </w:tr>
      <w:tr w:rsidR="00807FFE" w14:paraId="0E1A4E2F" w14:textId="77777777">
        <w:trPr>
          <w:trHeight w:hRule="exact" w:val="360"/>
        </w:trPr>
        <w:tc>
          <w:tcPr>
            <w:tcW w:w="3609" w:type="dxa"/>
            <w:tcBorders>
              <w:top w:val="single" w:sz="4" w:space="0" w:color="016794"/>
              <w:left w:val="nil"/>
              <w:bottom w:val="nil"/>
              <w:right w:val="nil"/>
              <w:tl2br w:val="nil"/>
              <w:tr2bl w:val="nil"/>
            </w:tcBorders>
            <w:tcMar>
              <w:left w:w="60" w:type="dxa"/>
              <w:right w:w="60" w:type="dxa"/>
            </w:tcMar>
            <w:vAlign w:val="center"/>
          </w:tcPr>
          <w:p w14:paraId="0435D076" w14:textId="77777777" w:rsidR="00807FFE" w:rsidRDefault="00023E71">
            <w:pPr>
              <w:pStyle w:val="DMETW36755BIPLOCDQ"/>
              <w:rPr>
                <w:rFonts w:ascii="Verdana" w:eastAsia="Verdana" w:hAnsi="Verdana" w:cs="Verdana"/>
                <w:b/>
                <w:noProof/>
                <w:color w:val="000000"/>
                <w:sz w:val="18"/>
              </w:rPr>
            </w:pPr>
            <w:r>
              <w:rPr>
                <w:rFonts w:ascii="Verdana" w:eastAsia="Verdana" w:hAnsi="Verdana" w:cs="Verdana"/>
                <w:b/>
                <w:noProof/>
                <w:color w:val="000000"/>
                <w:sz w:val="18"/>
              </w:rPr>
              <w:t>Gross carrying amount</w:t>
            </w:r>
          </w:p>
        </w:tc>
        <w:tc>
          <w:tcPr>
            <w:tcW w:w="1696" w:type="dxa"/>
            <w:tcBorders>
              <w:top w:val="single" w:sz="4" w:space="0" w:color="016794"/>
              <w:left w:val="nil"/>
              <w:bottom w:val="nil"/>
              <w:right w:val="nil"/>
              <w:tl2br w:val="nil"/>
              <w:tr2bl w:val="nil"/>
            </w:tcBorders>
            <w:tcMar>
              <w:left w:w="60" w:type="dxa"/>
              <w:right w:w="60" w:type="dxa"/>
            </w:tcMar>
            <w:vAlign w:val="center"/>
          </w:tcPr>
          <w:p w14:paraId="1F8AE0F6"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291 122</w:t>
            </w:r>
          </w:p>
        </w:tc>
        <w:tc>
          <w:tcPr>
            <w:tcW w:w="1134" w:type="dxa"/>
            <w:tcBorders>
              <w:top w:val="single" w:sz="4" w:space="0" w:color="016794"/>
              <w:left w:val="nil"/>
              <w:bottom w:val="nil"/>
              <w:right w:val="nil"/>
              <w:tl2br w:val="nil"/>
              <w:tr2bl w:val="nil"/>
            </w:tcBorders>
            <w:tcMar>
              <w:left w:w="60" w:type="dxa"/>
              <w:right w:w="60" w:type="dxa"/>
            </w:tcMar>
            <w:vAlign w:val="center"/>
          </w:tcPr>
          <w:p w14:paraId="2DE509A5"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72 630</w:t>
            </w:r>
          </w:p>
        </w:tc>
        <w:tc>
          <w:tcPr>
            <w:tcW w:w="1134" w:type="dxa"/>
            <w:tcBorders>
              <w:top w:val="single" w:sz="4" w:space="0" w:color="016794"/>
              <w:left w:val="nil"/>
              <w:bottom w:val="nil"/>
              <w:right w:val="nil"/>
              <w:tl2br w:val="nil"/>
              <w:tr2bl w:val="nil"/>
            </w:tcBorders>
            <w:tcMar>
              <w:left w:w="60" w:type="dxa"/>
              <w:right w:w="60" w:type="dxa"/>
            </w:tcMar>
            <w:vAlign w:val="center"/>
          </w:tcPr>
          <w:p w14:paraId="46AFD555"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 xml:space="preserve"> 28</w:t>
            </w:r>
          </w:p>
        </w:tc>
        <w:tc>
          <w:tcPr>
            <w:tcW w:w="1134" w:type="dxa"/>
            <w:tcBorders>
              <w:top w:val="single" w:sz="4" w:space="0" w:color="016794"/>
              <w:left w:val="nil"/>
              <w:bottom w:val="nil"/>
              <w:right w:val="nil"/>
              <w:tl2br w:val="nil"/>
              <w:tr2bl w:val="nil"/>
            </w:tcBorders>
            <w:tcMar>
              <w:left w:w="60" w:type="dxa"/>
              <w:right w:w="60" w:type="dxa"/>
            </w:tcMar>
            <w:vAlign w:val="center"/>
          </w:tcPr>
          <w:p w14:paraId="62980846"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 xml:space="preserve"> 21</w:t>
            </w:r>
          </w:p>
        </w:tc>
        <w:tc>
          <w:tcPr>
            <w:tcW w:w="1051" w:type="dxa"/>
            <w:tcBorders>
              <w:top w:val="single" w:sz="4" w:space="0" w:color="016794"/>
              <w:left w:val="nil"/>
              <w:bottom w:val="nil"/>
              <w:right w:val="nil"/>
              <w:tl2br w:val="nil"/>
              <w:tr2bl w:val="nil"/>
            </w:tcBorders>
            <w:tcMar>
              <w:left w:w="60" w:type="dxa"/>
              <w:right w:w="60" w:type="dxa"/>
            </w:tcMar>
            <w:vAlign w:val="center"/>
          </w:tcPr>
          <w:p w14:paraId="7D8262EE" w14:textId="77777777" w:rsidR="00807FFE" w:rsidRDefault="00023E71">
            <w:pPr>
              <w:pStyle w:val="DMETW36755BIPLOCDQ"/>
              <w:jc w:val="right"/>
              <w:rPr>
                <w:rFonts w:ascii="Verdana" w:eastAsia="Verdana" w:hAnsi="Verdana" w:cs="Verdana"/>
                <w:b/>
                <w:noProof/>
                <w:color w:val="000000"/>
                <w:sz w:val="18"/>
                <w:lang w:bidi="en-GB"/>
              </w:rPr>
            </w:pPr>
            <w:r>
              <w:rPr>
                <w:rFonts w:ascii="Verdana" w:eastAsia="Verdana" w:hAnsi="Verdana" w:cs="Verdana"/>
                <w:b/>
                <w:noProof/>
                <w:color w:val="000000"/>
                <w:sz w:val="18"/>
              </w:rPr>
              <w:t>363 801</w:t>
            </w:r>
          </w:p>
        </w:tc>
      </w:tr>
      <w:tr w:rsidR="00807FFE" w14:paraId="5F388EE5" w14:textId="77777777">
        <w:trPr>
          <w:trHeight w:hRule="exact" w:val="360"/>
        </w:trPr>
        <w:tc>
          <w:tcPr>
            <w:tcW w:w="3609" w:type="dxa"/>
            <w:tcBorders>
              <w:top w:val="nil"/>
              <w:left w:val="nil"/>
              <w:bottom w:val="single" w:sz="4" w:space="0" w:color="016794"/>
              <w:right w:val="nil"/>
              <w:tl2br w:val="nil"/>
              <w:tr2bl w:val="nil"/>
            </w:tcBorders>
            <w:tcMar>
              <w:left w:w="60" w:type="dxa"/>
              <w:right w:w="60" w:type="dxa"/>
            </w:tcMar>
            <w:vAlign w:val="center"/>
          </w:tcPr>
          <w:p w14:paraId="22360F28" w14:textId="77777777" w:rsidR="00807FFE" w:rsidRDefault="00023E71">
            <w:pPr>
              <w:pStyle w:val="DMETW36755BIPLOCDQ"/>
              <w:rPr>
                <w:rFonts w:ascii="Verdana" w:eastAsia="Verdana" w:hAnsi="Verdana" w:cs="Verdana"/>
                <w:i/>
                <w:noProof/>
                <w:color w:val="000000"/>
                <w:sz w:val="18"/>
              </w:rPr>
            </w:pPr>
            <w:r>
              <w:rPr>
                <w:rFonts w:ascii="Verdana" w:eastAsia="Verdana" w:hAnsi="Verdana" w:cs="Verdana"/>
                <w:i/>
                <w:noProof/>
                <w:color w:val="000000"/>
                <w:sz w:val="18"/>
              </w:rPr>
              <w:t>Minus loss allowance</w:t>
            </w:r>
          </w:p>
        </w:tc>
        <w:tc>
          <w:tcPr>
            <w:tcW w:w="1696" w:type="dxa"/>
            <w:tcBorders>
              <w:top w:val="nil"/>
              <w:left w:val="nil"/>
              <w:bottom w:val="single" w:sz="4" w:space="0" w:color="016794"/>
              <w:right w:val="nil"/>
              <w:tl2br w:val="nil"/>
              <w:tr2bl w:val="nil"/>
            </w:tcBorders>
            <w:tcMar>
              <w:left w:w="60" w:type="dxa"/>
              <w:right w:w="60" w:type="dxa"/>
            </w:tcMar>
            <w:vAlign w:val="center"/>
          </w:tcPr>
          <w:p w14:paraId="0EF04036"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134" w:type="dxa"/>
            <w:tcBorders>
              <w:top w:val="nil"/>
              <w:left w:val="nil"/>
              <w:bottom w:val="single" w:sz="4" w:space="0" w:color="016794"/>
              <w:right w:val="nil"/>
              <w:tl2br w:val="nil"/>
              <w:tr2bl w:val="nil"/>
            </w:tcBorders>
            <w:tcMar>
              <w:left w:w="60" w:type="dxa"/>
              <w:right w:w="60" w:type="dxa"/>
            </w:tcMar>
            <w:vAlign w:val="center"/>
          </w:tcPr>
          <w:p w14:paraId="31DC0074"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(30 357)</w:t>
            </w:r>
          </w:p>
        </w:tc>
        <w:tc>
          <w:tcPr>
            <w:tcW w:w="1134" w:type="dxa"/>
            <w:tcBorders>
              <w:top w:val="nil"/>
              <w:left w:val="nil"/>
              <w:bottom w:val="single" w:sz="4" w:space="0" w:color="016794"/>
              <w:right w:val="nil"/>
              <w:tl2br w:val="nil"/>
              <w:tr2bl w:val="nil"/>
            </w:tcBorders>
            <w:tcMar>
              <w:left w:w="60" w:type="dxa"/>
              <w:right w:w="60" w:type="dxa"/>
            </w:tcMar>
            <w:vAlign w:val="center"/>
          </w:tcPr>
          <w:p w14:paraId="600A3BC1"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134" w:type="dxa"/>
            <w:tcBorders>
              <w:top w:val="nil"/>
              <w:left w:val="nil"/>
              <w:bottom w:val="single" w:sz="4" w:space="0" w:color="016794"/>
              <w:right w:val="nil"/>
              <w:tl2br w:val="nil"/>
              <w:tr2bl w:val="nil"/>
            </w:tcBorders>
            <w:tcMar>
              <w:left w:w="60" w:type="dxa"/>
              <w:right w:w="60" w:type="dxa"/>
            </w:tcMar>
            <w:vAlign w:val="center"/>
          </w:tcPr>
          <w:p w14:paraId="03A33E3F" w14:textId="77777777" w:rsidR="00807FFE" w:rsidRDefault="00023E71">
            <w:pPr>
              <w:pStyle w:val="DMETW36755BIPLOCDQ"/>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051" w:type="dxa"/>
            <w:tcBorders>
              <w:top w:val="nil"/>
              <w:left w:val="nil"/>
              <w:bottom w:val="single" w:sz="4" w:space="0" w:color="016794"/>
              <w:right w:val="nil"/>
              <w:tl2br w:val="nil"/>
              <w:tr2bl w:val="nil"/>
            </w:tcBorders>
            <w:tcMar>
              <w:left w:w="60" w:type="dxa"/>
              <w:right w:w="60" w:type="dxa"/>
            </w:tcMar>
            <w:vAlign w:val="center"/>
          </w:tcPr>
          <w:p w14:paraId="2897B647" w14:textId="77777777" w:rsidR="00807FFE" w:rsidRDefault="00023E71">
            <w:pPr>
              <w:pStyle w:val="DMETW36755BIPLOCDQ"/>
              <w:jc w:val="right"/>
              <w:rPr>
                <w:rFonts w:ascii="Verdana" w:eastAsia="Verdana" w:hAnsi="Verdana" w:cs="Verdana"/>
                <w:i/>
                <w:noProof/>
                <w:color w:val="000000"/>
                <w:sz w:val="18"/>
                <w:lang w:bidi="en-GB"/>
              </w:rPr>
            </w:pPr>
            <w:r>
              <w:rPr>
                <w:rFonts w:ascii="Verdana" w:eastAsia="Verdana" w:hAnsi="Verdana" w:cs="Verdana"/>
                <w:i/>
                <w:noProof/>
                <w:color w:val="000000"/>
                <w:sz w:val="18"/>
              </w:rPr>
              <w:t>(30 369)</w:t>
            </w:r>
          </w:p>
        </w:tc>
      </w:tr>
      <w:tr w:rsidR="00807FFE" w14:paraId="12CBBB40" w14:textId="77777777">
        <w:trPr>
          <w:trHeight w:hRule="exact" w:val="360"/>
        </w:trPr>
        <w:tc>
          <w:tcPr>
            <w:tcW w:w="3609" w:type="dxa"/>
            <w:tcBorders>
              <w:top w:val="single" w:sz="4" w:space="0" w:color="016794"/>
              <w:left w:val="nil"/>
              <w:bottom w:val="single" w:sz="4" w:space="0" w:color="016794"/>
              <w:right w:val="nil"/>
              <w:tl2br w:val="nil"/>
              <w:tr2bl w:val="nil"/>
            </w:tcBorders>
            <w:tcMar>
              <w:left w:w="60" w:type="dxa"/>
              <w:right w:w="60" w:type="dxa"/>
            </w:tcMar>
            <w:vAlign w:val="center"/>
          </w:tcPr>
          <w:p w14:paraId="17CEBD83" w14:textId="77777777" w:rsidR="00807FFE" w:rsidRDefault="00023E71">
            <w:pPr>
              <w:pStyle w:val="DMETW36755BIPLOCDQ"/>
              <w:rPr>
                <w:rFonts w:ascii="Verdana" w:eastAsia="Verdana" w:hAnsi="Verdana" w:cs="Verdana"/>
                <w:b/>
                <w:noProof/>
                <w:color w:val="000000"/>
                <w:sz w:val="18"/>
              </w:rPr>
            </w:pPr>
            <w:r>
              <w:rPr>
                <w:rFonts w:ascii="Verdana" w:eastAsia="Verdana" w:hAnsi="Verdana" w:cs="Verdana"/>
                <w:b/>
                <w:noProof/>
                <w:color w:val="000000"/>
                <w:sz w:val="18"/>
              </w:rPr>
              <w:t xml:space="preserve">Net carrying amount </w:t>
            </w:r>
          </w:p>
        </w:tc>
        <w:tc>
          <w:tcPr>
            <w:tcW w:w="1696" w:type="dxa"/>
            <w:tcBorders>
              <w:top w:val="single" w:sz="4" w:space="0" w:color="016794"/>
              <w:left w:val="nil"/>
              <w:bottom w:val="single" w:sz="4" w:space="0" w:color="016794"/>
              <w:right w:val="nil"/>
              <w:tl2br w:val="nil"/>
              <w:tr2bl w:val="nil"/>
            </w:tcBorders>
            <w:tcMar>
              <w:left w:w="60" w:type="dxa"/>
              <w:right w:w="60" w:type="dxa"/>
            </w:tcMar>
            <w:vAlign w:val="center"/>
          </w:tcPr>
          <w:p w14:paraId="714907A7"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291 110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19B7934C"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42 273</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329A8761"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 xml:space="preserve"> 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6D4853A0"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 xml:space="preserve"> 45</w:t>
            </w:r>
          </w:p>
        </w:tc>
        <w:tc>
          <w:tcPr>
            <w:tcW w:w="1051" w:type="dxa"/>
            <w:tcBorders>
              <w:top w:val="single" w:sz="4" w:space="0" w:color="016794"/>
              <w:left w:val="nil"/>
              <w:bottom w:val="single" w:sz="4" w:space="0" w:color="016794"/>
              <w:right w:val="nil"/>
              <w:tl2br w:val="nil"/>
              <w:tr2bl w:val="nil"/>
            </w:tcBorders>
            <w:tcMar>
              <w:left w:w="60" w:type="dxa"/>
              <w:right w:w="60" w:type="dxa"/>
            </w:tcMar>
            <w:vAlign w:val="center"/>
          </w:tcPr>
          <w:p w14:paraId="0ABD1498" w14:textId="77777777" w:rsidR="00807FFE" w:rsidRDefault="00023E71">
            <w:pPr>
              <w:pStyle w:val="DMETW36755BIPLOCDQ"/>
              <w:jc w:val="right"/>
              <w:rPr>
                <w:rFonts w:ascii="Verdana" w:eastAsia="Verdana" w:hAnsi="Verdana" w:cs="Verdana"/>
                <w:b/>
                <w:noProof/>
                <w:color w:val="000000"/>
                <w:sz w:val="18"/>
              </w:rPr>
            </w:pPr>
            <w:r>
              <w:rPr>
                <w:rFonts w:ascii="Verdana" w:eastAsia="Verdana" w:hAnsi="Verdana" w:cs="Verdana"/>
                <w:b/>
                <w:noProof/>
                <w:color w:val="000000"/>
                <w:sz w:val="18"/>
              </w:rPr>
              <w:t>333 432</w:t>
            </w:r>
          </w:p>
        </w:tc>
      </w:tr>
    </w:tbl>
    <w:p w14:paraId="2CDB4A49" w14:textId="77777777" w:rsidR="00865F69" w:rsidRPr="005779E6" w:rsidRDefault="00865F69" w:rsidP="005779E6">
      <w:pPr>
        <w:spacing w:before="60" w:after="60"/>
        <w:rPr>
          <w:rFonts w:ascii="Verdana" w:hAnsi="Verdana"/>
          <w:noProof/>
          <w:sz w:val="12"/>
          <w:szCs w:val="12"/>
          <w:lang w:val="en-IE" w:eastAsia="en-IE"/>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9"/>
        <w:gridCol w:w="1140"/>
        <w:gridCol w:w="1140"/>
        <w:gridCol w:w="1140"/>
        <w:gridCol w:w="1589"/>
        <w:gridCol w:w="1140"/>
      </w:tblGrid>
      <w:tr w:rsidR="00807FFE" w14:paraId="2F864669"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73BDA9A9" w14:textId="77777777" w:rsidR="00807FFE" w:rsidRDefault="00807FFE">
            <w:pPr>
              <w:pStyle w:val="DMETW36755BIPLOCDQPY"/>
              <w:rPr>
                <w:rFonts w:ascii="Verdana" w:eastAsia="Verdana" w:hAnsi="Verdana" w:cs="Verdana"/>
                <w:b/>
                <w:noProof/>
                <w:color w:val="000000"/>
                <w:sz w:val="18"/>
                <w:lang w:bidi="en-GB"/>
              </w:rPr>
            </w:pPr>
            <w:bookmarkStart w:id="229" w:name="DOC_TBL00096_1_1"/>
            <w:bookmarkEnd w:id="229"/>
          </w:p>
        </w:tc>
        <w:tc>
          <w:tcPr>
            <w:tcW w:w="1140" w:type="dxa"/>
            <w:tcBorders>
              <w:top w:val="nil"/>
              <w:left w:val="nil"/>
              <w:bottom w:val="nil"/>
              <w:right w:val="nil"/>
              <w:tl2br w:val="nil"/>
              <w:tr2bl w:val="nil"/>
            </w:tcBorders>
            <w:tcMar>
              <w:left w:w="60" w:type="dxa"/>
              <w:right w:w="60" w:type="dxa"/>
            </w:tcMar>
            <w:vAlign w:val="center"/>
          </w:tcPr>
          <w:p w14:paraId="4E229BC0" w14:textId="77777777" w:rsidR="00807FFE" w:rsidRDefault="00807FFE">
            <w:pPr>
              <w:pStyle w:val="DMETW36755BIPLOCDQPY"/>
              <w:jc w:val="right"/>
              <w:rPr>
                <w:rFonts w:ascii="Verdana" w:eastAsia="Verdana" w:hAnsi="Verdana" w:cs="Verdana"/>
                <w:noProof/>
                <w:color w:val="A8A8A8"/>
              </w:rPr>
            </w:pPr>
          </w:p>
        </w:tc>
        <w:tc>
          <w:tcPr>
            <w:tcW w:w="1140" w:type="dxa"/>
            <w:tcBorders>
              <w:top w:val="nil"/>
              <w:left w:val="nil"/>
              <w:bottom w:val="nil"/>
              <w:right w:val="nil"/>
              <w:tl2br w:val="nil"/>
              <w:tr2bl w:val="nil"/>
            </w:tcBorders>
            <w:tcMar>
              <w:left w:w="60" w:type="dxa"/>
              <w:right w:w="60" w:type="dxa"/>
            </w:tcMar>
            <w:vAlign w:val="center"/>
          </w:tcPr>
          <w:p w14:paraId="20BDE932" w14:textId="77777777" w:rsidR="00807FFE" w:rsidRDefault="00807FFE">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14:paraId="30A7F1D7" w14:textId="77777777" w:rsidR="00807FFE" w:rsidRDefault="00807FFE">
            <w:pPr>
              <w:pStyle w:val="DMETW36755BIPLOCDQPY"/>
              <w:rPr>
                <w:rFonts w:ascii="Verdana" w:eastAsia="Verdana" w:hAnsi="Verdana" w:cs="Verdana"/>
                <w:noProof/>
                <w:color w:val="000000"/>
              </w:rPr>
            </w:pPr>
          </w:p>
        </w:tc>
        <w:tc>
          <w:tcPr>
            <w:tcW w:w="1589" w:type="dxa"/>
            <w:tcBorders>
              <w:top w:val="nil"/>
              <w:left w:val="nil"/>
              <w:bottom w:val="nil"/>
              <w:right w:val="nil"/>
              <w:tl2br w:val="nil"/>
              <w:tr2bl w:val="nil"/>
            </w:tcBorders>
            <w:tcMar>
              <w:left w:w="60" w:type="dxa"/>
              <w:right w:w="60" w:type="dxa"/>
            </w:tcMar>
            <w:vAlign w:val="center"/>
          </w:tcPr>
          <w:p w14:paraId="35F5944E" w14:textId="77777777" w:rsidR="00807FFE" w:rsidRDefault="00807FFE">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bottom"/>
          </w:tcPr>
          <w:p w14:paraId="29474DF4" w14:textId="77777777" w:rsidR="00807FFE" w:rsidRDefault="00023E71">
            <w:pPr>
              <w:pStyle w:val="DMETW36755BIPLOCDQP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5AD6F9DF" w14:textId="77777777">
        <w:trPr>
          <w:trHeight w:hRule="exact" w:val="255"/>
        </w:trPr>
        <w:tc>
          <w:tcPr>
            <w:tcW w:w="3609" w:type="dxa"/>
            <w:gridSpan w:val="6"/>
            <w:tcBorders>
              <w:top w:val="nil"/>
              <w:left w:val="nil"/>
              <w:bottom w:val="nil"/>
              <w:right w:val="nil"/>
              <w:tl2br w:val="nil"/>
              <w:tr2bl w:val="nil"/>
            </w:tcBorders>
            <w:shd w:val="solid" w:color="016794" w:fill="FFFFFF"/>
            <w:tcMar>
              <w:left w:w="60" w:type="dxa"/>
              <w:right w:w="60" w:type="dxa"/>
            </w:tcMar>
            <w:vAlign w:val="center"/>
          </w:tcPr>
          <w:p w14:paraId="4D47E989" w14:textId="77777777" w:rsidR="00807FFE" w:rsidRDefault="00023E71">
            <w:pPr>
              <w:pStyle w:val="DMETW36755BIPLOCDQPY"/>
              <w:jc w:val="center"/>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1A350747" w14:textId="77777777">
        <w:trPr>
          <w:trHeight w:hRule="exact" w:val="360"/>
        </w:trPr>
        <w:tc>
          <w:tcPr>
            <w:tcW w:w="3609" w:type="dxa"/>
            <w:vMerge w:val="restart"/>
            <w:tcBorders>
              <w:top w:val="nil"/>
              <w:left w:val="nil"/>
              <w:bottom w:val="nil"/>
              <w:right w:val="nil"/>
              <w:tl2br w:val="nil"/>
              <w:tr2bl w:val="nil"/>
            </w:tcBorders>
            <w:shd w:val="solid" w:color="016794" w:fill="FFFFFF"/>
            <w:tcMar>
              <w:left w:w="60" w:type="dxa"/>
              <w:right w:w="60" w:type="dxa"/>
            </w:tcMar>
            <w:vAlign w:val="center"/>
          </w:tcPr>
          <w:p w14:paraId="043CB655" w14:textId="77777777" w:rsidR="00807FFE" w:rsidRDefault="00807FFE">
            <w:pPr>
              <w:pStyle w:val="DMETW36755BIPLOCDQPY"/>
              <w:jc w:val="center"/>
              <w:rPr>
                <w:rFonts w:ascii="Verdana" w:eastAsia="Verdana" w:hAnsi="Verdana" w:cs="Verdana"/>
                <w:noProof/>
                <w:color w:val="FFFFFF"/>
              </w:rPr>
            </w:pP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14:paraId="282B97F2" w14:textId="77777777" w:rsidR="00807FFE" w:rsidRDefault="00023E71">
            <w:pPr>
              <w:pStyle w:val="DMETW36755BIPLOCDQPY"/>
              <w:jc w:val="right"/>
              <w:rPr>
                <w:rFonts w:ascii="Verdana" w:eastAsia="Verdana" w:hAnsi="Verdana" w:cs="Verdana"/>
                <w:noProof/>
                <w:color w:val="FFFFFF"/>
              </w:rPr>
            </w:pPr>
            <w:r>
              <w:rPr>
                <w:rFonts w:ascii="Verdana" w:eastAsia="Verdana" w:hAnsi="Verdana" w:cs="Verdana"/>
                <w:noProof/>
                <w:color w:val="FFFFFF"/>
              </w:rPr>
              <w:t xml:space="preserve">Stage 1 </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14:paraId="2B70FA2E" w14:textId="77777777" w:rsidR="00807FFE" w:rsidRDefault="00023E71">
            <w:pPr>
              <w:pStyle w:val="DMETW36755BIPLOCDQPY"/>
              <w:jc w:val="right"/>
              <w:rPr>
                <w:rFonts w:ascii="Verdana" w:eastAsia="Verdana" w:hAnsi="Verdana" w:cs="Verdana"/>
                <w:noProof/>
                <w:color w:val="FFFFFF"/>
              </w:rPr>
            </w:pPr>
            <w:r>
              <w:rPr>
                <w:rFonts w:ascii="Verdana" w:eastAsia="Verdana" w:hAnsi="Verdana" w:cs="Verdana"/>
                <w:noProof/>
                <w:color w:val="FFFFFF"/>
              </w:rPr>
              <w:t>Stage 2</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14:paraId="283A7354" w14:textId="77777777" w:rsidR="00807FFE" w:rsidRDefault="00023E71">
            <w:pPr>
              <w:pStyle w:val="DMETW36755BIPLOCDQPY"/>
              <w:jc w:val="right"/>
              <w:rPr>
                <w:rFonts w:ascii="Verdana" w:eastAsia="Verdana" w:hAnsi="Verdana" w:cs="Verdana"/>
                <w:noProof/>
                <w:color w:val="FFFFFF"/>
              </w:rPr>
            </w:pPr>
            <w:r>
              <w:rPr>
                <w:rFonts w:ascii="Verdana" w:eastAsia="Verdana" w:hAnsi="Verdana" w:cs="Verdana"/>
                <w:noProof/>
                <w:color w:val="FFFFFF"/>
              </w:rPr>
              <w:t>Stage 3</w:t>
            </w:r>
          </w:p>
        </w:tc>
        <w:tc>
          <w:tcPr>
            <w:tcW w:w="1589" w:type="dxa"/>
            <w:vMerge w:val="restart"/>
            <w:tcBorders>
              <w:top w:val="nil"/>
              <w:left w:val="nil"/>
              <w:bottom w:val="nil"/>
              <w:right w:val="nil"/>
              <w:tl2br w:val="nil"/>
              <w:tr2bl w:val="nil"/>
            </w:tcBorders>
            <w:shd w:val="solid" w:color="016794" w:fill="FFFFFF"/>
            <w:tcMar>
              <w:left w:w="60" w:type="dxa"/>
              <w:right w:w="60" w:type="dxa"/>
            </w:tcMar>
            <w:vAlign w:val="center"/>
          </w:tcPr>
          <w:p w14:paraId="65673554" w14:textId="77777777" w:rsidR="00807FFE" w:rsidRDefault="00023E71">
            <w:pPr>
              <w:pStyle w:val="DMETW36755BIPLOCDQPY"/>
              <w:jc w:val="right"/>
              <w:rPr>
                <w:rFonts w:ascii="Verdana" w:eastAsia="Verdana" w:hAnsi="Verdana" w:cs="Verdana"/>
                <w:noProof/>
                <w:color w:val="FFFFFF"/>
              </w:rPr>
            </w:pPr>
            <w:r>
              <w:rPr>
                <w:rFonts w:ascii="Verdana" w:eastAsia="Verdana" w:hAnsi="Verdana" w:cs="Verdana"/>
                <w:noProof/>
                <w:color w:val="FFFFFF"/>
              </w:rPr>
              <w:t>POCI</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14:paraId="4375D339" w14:textId="77777777" w:rsidR="00807FFE" w:rsidRDefault="00023E71">
            <w:pPr>
              <w:pStyle w:val="DMETW36755BIPLOCDQPY"/>
              <w:jc w:val="right"/>
              <w:rPr>
                <w:rFonts w:ascii="Verdana" w:eastAsia="Verdana" w:hAnsi="Verdana" w:cs="Verdana"/>
                <w:noProof/>
                <w:color w:val="FFFFFF"/>
                <w:lang w:bidi="en-GB"/>
              </w:rPr>
            </w:pPr>
            <w:r>
              <w:rPr>
                <w:rFonts w:ascii="Verdana" w:eastAsia="Verdana" w:hAnsi="Verdana" w:cs="Verdana"/>
                <w:noProof/>
                <w:color w:val="FFFFFF"/>
              </w:rPr>
              <w:t xml:space="preserve">Total </w:t>
            </w:r>
          </w:p>
        </w:tc>
      </w:tr>
      <w:tr w:rsidR="00807FFE" w14:paraId="5A5CD346" w14:textId="77777777">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14:paraId="7F64F2E6" w14:textId="77777777" w:rsidR="00807FFE" w:rsidRDefault="00807FFE">
            <w:pPr>
              <w:pStyle w:val="DMETW36755BIPLOCDQPY"/>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5EC76607" w14:textId="77777777" w:rsidR="00807FFE" w:rsidRDefault="00807FFE">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22A1F9C7" w14:textId="77777777" w:rsidR="00807FFE" w:rsidRDefault="00807FFE">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3AF81BF6" w14:textId="77777777" w:rsidR="00807FFE" w:rsidRDefault="00807FFE">
            <w:pPr>
              <w:pStyle w:val="DMETW36755BIPLOCDQPY"/>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14:paraId="5B558FF2" w14:textId="77777777" w:rsidR="00807FFE" w:rsidRDefault="00807FFE">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7C80201C" w14:textId="77777777" w:rsidR="00807FFE" w:rsidRDefault="00807FFE">
            <w:pPr>
              <w:pStyle w:val="DMETW36755BIPLOCDQPY"/>
              <w:jc w:val="right"/>
              <w:rPr>
                <w:rFonts w:ascii="Verdana" w:eastAsia="Verdana" w:hAnsi="Verdana" w:cs="Verdana"/>
                <w:noProof/>
                <w:color w:val="FFFFFF"/>
              </w:rPr>
            </w:pPr>
          </w:p>
        </w:tc>
      </w:tr>
      <w:tr w:rsidR="00807FFE" w14:paraId="7849EAA9"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3621FD12" w14:textId="77777777" w:rsidR="00807FFE" w:rsidRDefault="00023E71">
            <w:pPr>
              <w:pStyle w:val="DMETW36755BIPLOCDQPY"/>
              <w:rPr>
                <w:rFonts w:ascii="Verdana" w:eastAsia="Verdana" w:hAnsi="Verdana" w:cs="Verdana"/>
                <w:b/>
                <w:noProof/>
                <w:color w:val="000000"/>
                <w:sz w:val="18"/>
              </w:rPr>
            </w:pPr>
            <w:r>
              <w:rPr>
                <w:rFonts w:ascii="Verdana" w:eastAsia="Verdana" w:hAnsi="Verdana" w:cs="Verdana"/>
                <w:b/>
                <w:noProof/>
                <w:color w:val="000000"/>
                <w:sz w:val="18"/>
              </w:rPr>
              <w:t>Credit rating</w:t>
            </w:r>
          </w:p>
        </w:tc>
        <w:tc>
          <w:tcPr>
            <w:tcW w:w="1140" w:type="dxa"/>
            <w:tcBorders>
              <w:top w:val="nil"/>
              <w:left w:val="nil"/>
              <w:bottom w:val="nil"/>
              <w:right w:val="nil"/>
              <w:tl2br w:val="nil"/>
              <w:tr2bl w:val="nil"/>
            </w:tcBorders>
            <w:tcMar>
              <w:left w:w="60" w:type="dxa"/>
              <w:right w:w="60" w:type="dxa"/>
            </w:tcMar>
            <w:vAlign w:val="center"/>
          </w:tcPr>
          <w:p w14:paraId="50F670CF" w14:textId="77777777" w:rsidR="00807FFE" w:rsidRDefault="00807FFE">
            <w:pPr>
              <w:pStyle w:val="DMETW36755BIPLOCDQPY"/>
              <w:jc w:val="right"/>
              <w:rPr>
                <w:rFonts w:ascii="Verdana" w:eastAsia="Verdana" w:hAnsi="Verdana" w:cs="Verdana"/>
                <w:noProof/>
                <w:color w:val="A8A8A8"/>
              </w:rPr>
            </w:pPr>
          </w:p>
        </w:tc>
        <w:tc>
          <w:tcPr>
            <w:tcW w:w="1140" w:type="dxa"/>
            <w:tcBorders>
              <w:top w:val="nil"/>
              <w:left w:val="nil"/>
              <w:bottom w:val="nil"/>
              <w:right w:val="nil"/>
              <w:tl2br w:val="nil"/>
              <w:tr2bl w:val="nil"/>
            </w:tcBorders>
            <w:tcMar>
              <w:left w:w="60" w:type="dxa"/>
              <w:right w:w="60" w:type="dxa"/>
            </w:tcMar>
            <w:vAlign w:val="center"/>
          </w:tcPr>
          <w:p w14:paraId="195283CD" w14:textId="77777777" w:rsidR="00807FFE" w:rsidRDefault="00807FFE">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14:paraId="0D9717B5" w14:textId="77777777" w:rsidR="00807FFE" w:rsidRDefault="00807FFE">
            <w:pPr>
              <w:pStyle w:val="DMETW36755BIPLOCDQPY"/>
              <w:rPr>
                <w:rFonts w:ascii="Verdana" w:eastAsia="Verdana" w:hAnsi="Verdana" w:cs="Verdana"/>
                <w:noProof/>
                <w:color w:val="000000"/>
              </w:rPr>
            </w:pPr>
          </w:p>
        </w:tc>
        <w:tc>
          <w:tcPr>
            <w:tcW w:w="1589" w:type="dxa"/>
            <w:tcBorders>
              <w:top w:val="nil"/>
              <w:left w:val="nil"/>
              <w:bottom w:val="nil"/>
              <w:right w:val="nil"/>
              <w:tl2br w:val="nil"/>
              <w:tr2bl w:val="nil"/>
            </w:tcBorders>
            <w:tcMar>
              <w:left w:w="60" w:type="dxa"/>
              <w:right w:w="60" w:type="dxa"/>
            </w:tcMar>
            <w:vAlign w:val="center"/>
          </w:tcPr>
          <w:p w14:paraId="7875321F" w14:textId="77777777" w:rsidR="00807FFE" w:rsidRDefault="00807FFE">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14:paraId="4310D861" w14:textId="77777777" w:rsidR="00807FFE" w:rsidRDefault="00807FFE">
            <w:pPr>
              <w:pStyle w:val="DMETW36755BIPLOCDQPY"/>
              <w:rPr>
                <w:rFonts w:ascii="Verdana" w:eastAsia="Verdana" w:hAnsi="Verdana" w:cs="Verdana"/>
                <w:noProof/>
                <w:color w:val="000000"/>
                <w:lang w:bidi="en-GB"/>
              </w:rPr>
            </w:pPr>
          </w:p>
        </w:tc>
      </w:tr>
      <w:tr w:rsidR="00807FFE" w14:paraId="4E2357DD"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46BC450A" w14:textId="77777777" w:rsidR="00807FFE" w:rsidRDefault="00023E71">
            <w:pPr>
              <w:pStyle w:val="DMETW36755BIPLOCDQPY"/>
              <w:rPr>
                <w:rFonts w:ascii="Verdana" w:eastAsia="Verdana" w:hAnsi="Verdana" w:cs="Verdana"/>
                <w:i/>
                <w:noProof/>
                <w:color w:val="000000"/>
                <w:sz w:val="18"/>
              </w:rPr>
            </w:pPr>
            <w:r>
              <w:rPr>
                <w:rFonts w:ascii="Verdana" w:eastAsia="Verdana" w:hAnsi="Verdana" w:cs="Verdana"/>
                <w:i/>
                <w:noProof/>
                <w:color w:val="000000"/>
                <w:sz w:val="18"/>
              </w:rPr>
              <w:t>Prime and high grade</w:t>
            </w:r>
          </w:p>
        </w:tc>
        <w:tc>
          <w:tcPr>
            <w:tcW w:w="1140" w:type="dxa"/>
            <w:tcBorders>
              <w:top w:val="nil"/>
              <w:left w:val="nil"/>
              <w:bottom w:val="nil"/>
              <w:right w:val="nil"/>
              <w:tl2br w:val="nil"/>
              <w:tr2bl w:val="nil"/>
            </w:tcBorders>
            <w:tcMar>
              <w:left w:w="60" w:type="dxa"/>
              <w:right w:w="60" w:type="dxa"/>
            </w:tcMar>
            <w:vAlign w:val="center"/>
          </w:tcPr>
          <w:p w14:paraId="3FB15CFC"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35 593</w:t>
            </w:r>
          </w:p>
        </w:tc>
        <w:tc>
          <w:tcPr>
            <w:tcW w:w="1140" w:type="dxa"/>
            <w:tcBorders>
              <w:top w:val="nil"/>
              <w:left w:val="nil"/>
              <w:bottom w:val="nil"/>
              <w:right w:val="nil"/>
              <w:tl2br w:val="nil"/>
              <w:tr2bl w:val="nil"/>
            </w:tcBorders>
            <w:tcMar>
              <w:left w:w="60" w:type="dxa"/>
              <w:right w:w="60" w:type="dxa"/>
            </w:tcMar>
            <w:vAlign w:val="center"/>
          </w:tcPr>
          <w:p w14:paraId="12490CE9"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14:paraId="17810690"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14:paraId="4BE57377"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14:paraId="3C8B7C10" w14:textId="77777777" w:rsidR="00807FFE" w:rsidRDefault="00023E71">
            <w:pPr>
              <w:pStyle w:val="DMETW36755BIPLOCDQPY"/>
              <w:jc w:val="right"/>
              <w:rPr>
                <w:rFonts w:ascii="Verdana" w:eastAsia="Verdana" w:hAnsi="Verdana" w:cs="Verdana"/>
                <w:i/>
                <w:noProof/>
                <w:color w:val="000000"/>
                <w:sz w:val="18"/>
                <w:lang w:bidi="en-GB"/>
              </w:rPr>
            </w:pPr>
            <w:r>
              <w:rPr>
                <w:rFonts w:ascii="Verdana" w:eastAsia="Verdana" w:hAnsi="Verdana" w:cs="Verdana"/>
                <w:i/>
                <w:noProof/>
                <w:color w:val="000000"/>
                <w:sz w:val="18"/>
              </w:rPr>
              <w:t>35 593</w:t>
            </w:r>
          </w:p>
        </w:tc>
      </w:tr>
      <w:tr w:rsidR="00807FFE" w14:paraId="04A90593"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3CEEA243" w14:textId="77777777" w:rsidR="00807FFE" w:rsidRDefault="00023E71">
            <w:pPr>
              <w:pStyle w:val="DMETW36755BIPLOCDQPY"/>
              <w:rPr>
                <w:rFonts w:ascii="Verdana" w:eastAsia="Verdana" w:hAnsi="Verdana" w:cs="Verdana"/>
                <w:i/>
                <w:noProof/>
                <w:color w:val="000000"/>
                <w:sz w:val="18"/>
              </w:rPr>
            </w:pPr>
            <w:r>
              <w:rPr>
                <w:rFonts w:ascii="Verdana" w:eastAsia="Verdana" w:hAnsi="Verdana" w:cs="Verdana"/>
                <w:i/>
                <w:noProof/>
                <w:color w:val="000000"/>
                <w:sz w:val="18"/>
              </w:rPr>
              <w:t>Upper medium grade</w:t>
            </w:r>
          </w:p>
        </w:tc>
        <w:tc>
          <w:tcPr>
            <w:tcW w:w="1140" w:type="dxa"/>
            <w:tcBorders>
              <w:top w:val="nil"/>
              <w:left w:val="nil"/>
              <w:bottom w:val="nil"/>
              <w:right w:val="nil"/>
              <w:tl2br w:val="nil"/>
              <w:tr2bl w:val="nil"/>
            </w:tcBorders>
            <w:tcMar>
              <w:left w:w="60" w:type="dxa"/>
              <w:right w:w="60" w:type="dxa"/>
            </w:tcMar>
            <w:vAlign w:val="center"/>
          </w:tcPr>
          <w:p w14:paraId="29D3AA2D"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87 005</w:t>
            </w:r>
          </w:p>
        </w:tc>
        <w:tc>
          <w:tcPr>
            <w:tcW w:w="1140" w:type="dxa"/>
            <w:tcBorders>
              <w:top w:val="nil"/>
              <w:left w:val="nil"/>
              <w:bottom w:val="nil"/>
              <w:right w:val="nil"/>
              <w:tl2br w:val="nil"/>
              <w:tr2bl w:val="nil"/>
            </w:tcBorders>
            <w:tcMar>
              <w:left w:w="60" w:type="dxa"/>
              <w:right w:w="60" w:type="dxa"/>
            </w:tcMar>
            <w:vAlign w:val="center"/>
          </w:tcPr>
          <w:p w14:paraId="38343EEA"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14:paraId="475E642F"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14:paraId="0B363C5D"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14:paraId="3AB674BB" w14:textId="77777777" w:rsidR="00807FFE" w:rsidRDefault="00023E71">
            <w:pPr>
              <w:pStyle w:val="DMETW36755BIPLOCDQPY"/>
              <w:jc w:val="right"/>
              <w:rPr>
                <w:rFonts w:ascii="Verdana" w:eastAsia="Verdana" w:hAnsi="Verdana" w:cs="Verdana"/>
                <w:i/>
                <w:noProof/>
                <w:color w:val="000000"/>
                <w:sz w:val="18"/>
                <w:lang w:bidi="en-GB"/>
              </w:rPr>
            </w:pPr>
            <w:r>
              <w:rPr>
                <w:rFonts w:ascii="Verdana" w:eastAsia="Verdana" w:hAnsi="Verdana" w:cs="Verdana"/>
                <w:i/>
                <w:noProof/>
                <w:color w:val="000000"/>
                <w:sz w:val="18"/>
              </w:rPr>
              <w:t>87 005</w:t>
            </w:r>
          </w:p>
        </w:tc>
      </w:tr>
      <w:tr w:rsidR="00807FFE" w14:paraId="06758C9F" w14:textId="77777777">
        <w:trPr>
          <w:trHeight w:hRule="exact" w:val="255"/>
        </w:trPr>
        <w:tc>
          <w:tcPr>
            <w:tcW w:w="3609" w:type="dxa"/>
            <w:tcBorders>
              <w:top w:val="nil"/>
              <w:left w:val="nil"/>
              <w:bottom w:val="nil"/>
              <w:right w:val="nil"/>
              <w:tl2br w:val="nil"/>
              <w:tr2bl w:val="nil"/>
            </w:tcBorders>
            <w:tcMar>
              <w:left w:w="60" w:type="dxa"/>
              <w:right w:w="60" w:type="dxa"/>
            </w:tcMar>
            <w:vAlign w:val="center"/>
          </w:tcPr>
          <w:p w14:paraId="6347917F" w14:textId="77777777" w:rsidR="00807FFE" w:rsidRDefault="00023E71">
            <w:pPr>
              <w:pStyle w:val="DMETW36755BIPLOCDQPY"/>
              <w:rPr>
                <w:rFonts w:ascii="Verdana" w:eastAsia="Verdana" w:hAnsi="Verdana" w:cs="Verdana"/>
                <w:i/>
                <w:noProof/>
                <w:color w:val="000000"/>
                <w:sz w:val="18"/>
              </w:rPr>
            </w:pPr>
            <w:r>
              <w:rPr>
                <w:rFonts w:ascii="Verdana" w:eastAsia="Verdana" w:hAnsi="Verdana" w:cs="Verdana"/>
                <w:i/>
                <w:noProof/>
                <w:color w:val="000000"/>
                <w:sz w:val="18"/>
              </w:rPr>
              <w:t>Lower medium grade</w:t>
            </w:r>
          </w:p>
        </w:tc>
        <w:tc>
          <w:tcPr>
            <w:tcW w:w="1140" w:type="dxa"/>
            <w:tcBorders>
              <w:top w:val="nil"/>
              <w:left w:val="nil"/>
              <w:bottom w:val="nil"/>
              <w:right w:val="nil"/>
              <w:tl2br w:val="nil"/>
              <w:tr2bl w:val="nil"/>
            </w:tcBorders>
            <w:tcMar>
              <w:left w:w="60" w:type="dxa"/>
              <w:right w:w="60" w:type="dxa"/>
            </w:tcMar>
            <w:vAlign w:val="center"/>
          </w:tcPr>
          <w:p w14:paraId="4BA59EB6"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129 200</w:t>
            </w:r>
          </w:p>
        </w:tc>
        <w:tc>
          <w:tcPr>
            <w:tcW w:w="1140" w:type="dxa"/>
            <w:tcBorders>
              <w:top w:val="nil"/>
              <w:left w:val="nil"/>
              <w:bottom w:val="nil"/>
              <w:right w:val="nil"/>
              <w:tl2br w:val="nil"/>
              <w:tr2bl w:val="nil"/>
            </w:tcBorders>
            <w:tcMar>
              <w:left w:w="60" w:type="dxa"/>
              <w:right w:w="60" w:type="dxa"/>
            </w:tcMar>
            <w:vAlign w:val="center"/>
          </w:tcPr>
          <w:p w14:paraId="2BC68356"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14:paraId="79A93E33"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14:paraId="6CC42110"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14:paraId="3B354A70" w14:textId="77777777" w:rsidR="00807FFE" w:rsidRDefault="00023E71">
            <w:pPr>
              <w:pStyle w:val="DMETW36755BIPLOCDQPY"/>
              <w:jc w:val="right"/>
              <w:rPr>
                <w:rFonts w:ascii="Verdana" w:eastAsia="Verdana" w:hAnsi="Verdana" w:cs="Verdana"/>
                <w:i/>
                <w:noProof/>
                <w:color w:val="000000"/>
                <w:sz w:val="18"/>
                <w:lang w:bidi="en-GB"/>
              </w:rPr>
            </w:pPr>
            <w:r>
              <w:rPr>
                <w:rFonts w:ascii="Verdana" w:eastAsia="Verdana" w:hAnsi="Verdana" w:cs="Verdana"/>
                <w:i/>
                <w:noProof/>
                <w:color w:val="000000"/>
                <w:sz w:val="18"/>
              </w:rPr>
              <w:t>129 200</w:t>
            </w:r>
          </w:p>
        </w:tc>
      </w:tr>
      <w:tr w:rsidR="00807FFE" w14:paraId="329C68EB" w14:textId="77777777">
        <w:trPr>
          <w:trHeight w:hRule="exact" w:val="360"/>
        </w:trPr>
        <w:tc>
          <w:tcPr>
            <w:tcW w:w="3609" w:type="dxa"/>
            <w:tcBorders>
              <w:top w:val="nil"/>
              <w:left w:val="nil"/>
              <w:bottom w:val="single" w:sz="4" w:space="0" w:color="016794"/>
              <w:right w:val="nil"/>
              <w:tl2br w:val="nil"/>
              <w:tr2bl w:val="nil"/>
            </w:tcBorders>
            <w:tcMar>
              <w:left w:w="60" w:type="dxa"/>
              <w:right w:w="60" w:type="dxa"/>
            </w:tcMar>
            <w:vAlign w:val="center"/>
          </w:tcPr>
          <w:p w14:paraId="66A072BF" w14:textId="77777777" w:rsidR="00807FFE" w:rsidRDefault="00023E71">
            <w:pPr>
              <w:pStyle w:val="DMETW36755BIPLOCDQPY"/>
              <w:rPr>
                <w:rFonts w:ascii="Verdana" w:eastAsia="Verdana" w:hAnsi="Verdana" w:cs="Verdana"/>
                <w:i/>
                <w:noProof/>
                <w:color w:val="000000"/>
                <w:sz w:val="18"/>
              </w:rPr>
            </w:pPr>
            <w:r>
              <w:rPr>
                <w:rFonts w:ascii="Verdana" w:eastAsia="Verdana" w:hAnsi="Verdana" w:cs="Verdana"/>
                <w:i/>
                <w:noProof/>
                <w:color w:val="000000"/>
                <w:sz w:val="18"/>
              </w:rPr>
              <w:t>Non-investment grade (incl. default)</w:t>
            </w:r>
          </w:p>
        </w:tc>
        <w:tc>
          <w:tcPr>
            <w:tcW w:w="1140" w:type="dxa"/>
            <w:tcBorders>
              <w:top w:val="nil"/>
              <w:left w:val="nil"/>
              <w:bottom w:val="single" w:sz="4" w:space="0" w:color="016794"/>
              <w:right w:val="nil"/>
              <w:tl2br w:val="nil"/>
              <w:tr2bl w:val="nil"/>
            </w:tcBorders>
            <w:tcMar>
              <w:left w:w="60" w:type="dxa"/>
              <w:right w:w="60" w:type="dxa"/>
            </w:tcMar>
            <w:vAlign w:val="center"/>
          </w:tcPr>
          <w:p w14:paraId="345EF210"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3 593</w:t>
            </w:r>
          </w:p>
        </w:tc>
        <w:tc>
          <w:tcPr>
            <w:tcW w:w="1140" w:type="dxa"/>
            <w:tcBorders>
              <w:top w:val="nil"/>
              <w:left w:val="nil"/>
              <w:bottom w:val="single" w:sz="4" w:space="0" w:color="016794"/>
              <w:right w:val="nil"/>
              <w:tl2br w:val="nil"/>
              <w:tr2bl w:val="nil"/>
            </w:tcBorders>
            <w:tcMar>
              <w:left w:w="60" w:type="dxa"/>
              <w:right w:w="60" w:type="dxa"/>
            </w:tcMar>
            <w:vAlign w:val="center"/>
          </w:tcPr>
          <w:p w14:paraId="39792023"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44 139</w:t>
            </w:r>
          </w:p>
        </w:tc>
        <w:tc>
          <w:tcPr>
            <w:tcW w:w="1140" w:type="dxa"/>
            <w:tcBorders>
              <w:top w:val="nil"/>
              <w:left w:val="nil"/>
              <w:bottom w:val="single" w:sz="4" w:space="0" w:color="016794"/>
              <w:right w:val="nil"/>
              <w:tl2br w:val="nil"/>
              <w:tr2bl w:val="nil"/>
            </w:tcBorders>
            <w:tcMar>
              <w:left w:w="60" w:type="dxa"/>
              <w:right w:w="60" w:type="dxa"/>
            </w:tcMar>
            <w:vAlign w:val="center"/>
          </w:tcPr>
          <w:p w14:paraId="76D2ADC3"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 xml:space="preserve"> 14</w:t>
            </w:r>
          </w:p>
        </w:tc>
        <w:tc>
          <w:tcPr>
            <w:tcW w:w="1589" w:type="dxa"/>
            <w:tcBorders>
              <w:top w:val="nil"/>
              <w:left w:val="nil"/>
              <w:bottom w:val="single" w:sz="4" w:space="0" w:color="016794"/>
              <w:right w:val="nil"/>
              <w:tl2br w:val="nil"/>
              <w:tr2bl w:val="nil"/>
            </w:tcBorders>
            <w:tcMar>
              <w:left w:w="60" w:type="dxa"/>
              <w:right w:w="60" w:type="dxa"/>
            </w:tcMar>
            <w:vAlign w:val="center"/>
          </w:tcPr>
          <w:p w14:paraId="0B6103E2"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 xml:space="preserve"> 27</w:t>
            </w:r>
          </w:p>
        </w:tc>
        <w:tc>
          <w:tcPr>
            <w:tcW w:w="1140" w:type="dxa"/>
            <w:tcBorders>
              <w:top w:val="nil"/>
              <w:left w:val="nil"/>
              <w:bottom w:val="single" w:sz="4" w:space="0" w:color="016794"/>
              <w:right w:val="nil"/>
              <w:tl2br w:val="nil"/>
              <w:tr2bl w:val="nil"/>
            </w:tcBorders>
            <w:tcMar>
              <w:left w:w="60" w:type="dxa"/>
              <w:right w:w="60" w:type="dxa"/>
            </w:tcMar>
            <w:vAlign w:val="center"/>
          </w:tcPr>
          <w:p w14:paraId="23DEBA43" w14:textId="77777777" w:rsidR="00807FFE" w:rsidRDefault="00023E71">
            <w:pPr>
              <w:pStyle w:val="DMETW36755BIPLOCDQPY"/>
              <w:jc w:val="right"/>
              <w:rPr>
                <w:rFonts w:ascii="Verdana" w:eastAsia="Verdana" w:hAnsi="Verdana" w:cs="Verdana"/>
                <w:i/>
                <w:noProof/>
                <w:color w:val="000000"/>
                <w:sz w:val="18"/>
                <w:lang w:bidi="en-GB"/>
              </w:rPr>
            </w:pPr>
            <w:r>
              <w:rPr>
                <w:rFonts w:ascii="Verdana" w:eastAsia="Verdana" w:hAnsi="Verdana" w:cs="Verdana"/>
                <w:i/>
                <w:noProof/>
                <w:color w:val="000000"/>
                <w:sz w:val="18"/>
              </w:rPr>
              <w:t>47 773</w:t>
            </w:r>
          </w:p>
        </w:tc>
      </w:tr>
      <w:tr w:rsidR="00807FFE" w14:paraId="586A61A9" w14:textId="77777777">
        <w:trPr>
          <w:trHeight w:hRule="exact" w:val="360"/>
        </w:trPr>
        <w:tc>
          <w:tcPr>
            <w:tcW w:w="3609" w:type="dxa"/>
            <w:tcBorders>
              <w:top w:val="single" w:sz="4" w:space="0" w:color="016794"/>
              <w:left w:val="nil"/>
              <w:bottom w:val="nil"/>
              <w:right w:val="nil"/>
              <w:tl2br w:val="nil"/>
              <w:tr2bl w:val="nil"/>
            </w:tcBorders>
            <w:tcMar>
              <w:left w:w="60" w:type="dxa"/>
              <w:right w:w="60" w:type="dxa"/>
            </w:tcMar>
            <w:vAlign w:val="center"/>
          </w:tcPr>
          <w:p w14:paraId="3571CB46" w14:textId="77777777" w:rsidR="00807FFE" w:rsidRDefault="00023E71">
            <w:pPr>
              <w:pStyle w:val="DMETW36755BIPLOCDQPY"/>
              <w:rPr>
                <w:rFonts w:ascii="Verdana" w:eastAsia="Verdana" w:hAnsi="Verdana" w:cs="Verdana"/>
                <w:b/>
                <w:noProof/>
                <w:color w:val="000000"/>
                <w:sz w:val="18"/>
              </w:rPr>
            </w:pPr>
            <w:r>
              <w:rPr>
                <w:rFonts w:ascii="Verdana" w:eastAsia="Verdana" w:hAnsi="Verdana" w:cs="Verdana"/>
                <w:b/>
                <w:noProof/>
                <w:color w:val="000000"/>
                <w:sz w:val="18"/>
              </w:rPr>
              <w:t>Gross carrying amount</w:t>
            </w:r>
          </w:p>
        </w:tc>
        <w:tc>
          <w:tcPr>
            <w:tcW w:w="1140" w:type="dxa"/>
            <w:tcBorders>
              <w:top w:val="single" w:sz="4" w:space="0" w:color="016794"/>
              <w:left w:val="nil"/>
              <w:bottom w:val="nil"/>
              <w:right w:val="nil"/>
              <w:tl2br w:val="nil"/>
              <w:tr2bl w:val="nil"/>
            </w:tcBorders>
            <w:tcMar>
              <w:left w:w="60" w:type="dxa"/>
              <w:right w:w="60" w:type="dxa"/>
            </w:tcMar>
            <w:vAlign w:val="center"/>
          </w:tcPr>
          <w:p w14:paraId="69901657"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255 391</w:t>
            </w:r>
          </w:p>
        </w:tc>
        <w:tc>
          <w:tcPr>
            <w:tcW w:w="1140" w:type="dxa"/>
            <w:tcBorders>
              <w:top w:val="single" w:sz="4" w:space="0" w:color="016794"/>
              <w:left w:val="nil"/>
              <w:bottom w:val="nil"/>
              <w:right w:val="nil"/>
              <w:tl2br w:val="nil"/>
              <w:tr2bl w:val="nil"/>
            </w:tcBorders>
            <w:tcMar>
              <w:left w:w="60" w:type="dxa"/>
              <w:right w:w="60" w:type="dxa"/>
            </w:tcMar>
            <w:vAlign w:val="center"/>
          </w:tcPr>
          <w:p w14:paraId="57B6069C"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44 139</w:t>
            </w:r>
          </w:p>
        </w:tc>
        <w:tc>
          <w:tcPr>
            <w:tcW w:w="1140" w:type="dxa"/>
            <w:tcBorders>
              <w:top w:val="single" w:sz="4" w:space="0" w:color="016794"/>
              <w:left w:val="nil"/>
              <w:bottom w:val="nil"/>
              <w:right w:val="nil"/>
              <w:tl2br w:val="nil"/>
              <w:tr2bl w:val="nil"/>
            </w:tcBorders>
            <w:tcMar>
              <w:left w:w="60" w:type="dxa"/>
              <w:right w:w="60" w:type="dxa"/>
            </w:tcMar>
            <w:vAlign w:val="center"/>
          </w:tcPr>
          <w:p w14:paraId="7D2863F0"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 xml:space="preserve"> 14</w:t>
            </w:r>
          </w:p>
        </w:tc>
        <w:tc>
          <w:tcPr>
            <w:tcW w:w="1589" w:type="dxa"/>
            <w:tcBorders>
              <w:top w:val="single" w:sz="4" w:space="0" w:color="016794"/>
              <w:left w:val="nil"/>
              <w:bottom w:val="nil"/>
              <w:right w:val="nil"/>
              <w:tl2br w:val="nil"/>
              <w:tr2bl w:val="nil"/>
            </w:tcBorders>
            <w:tcMar>
              <w:left w:w="60" w:type="dxa"/>
              <w:right w:w="60" w:type="dxa"/>
            </w:tcMar>
            <w:vAlign w:val="center"/>
          </w:tcPr>
          <w:p w14:paraId="118EE327"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 xml:space="preserve"> 27</w:t>
            </w:r>
          </w:p>
        </w:tc>
        <w:tc>
          <w:tcPr>
            <w:tcW w:w="1140" w:type="dxa"/>
            <w:tcBorders>
              <w:top w:val="single" w:sz="4" w:space="0" w:color="016794"/>
              <w:left w:val="nil"/>
              <w:bottom w:val="nil"/>
              <w:right w:val="nil"/>
              <w:tl2br w:val="nil"/>
              <w:tr2bl w:val="nil"/>
            </w:tcBorders>
            <w:tcMar>
              <w:left w:w="60" w:type="dxa"/>
              <w:right w:w="60" w:type="dxa"/>
            </w:tcMar>
            <w:vAlign w:val="center"/>
          </w:tcPr>
          <w:p w14:paraId="31AD177A" w14:textId="77777777" w:rsidR="00807FFE" w:rsidRDefault="00023E71">
            <w:pPr>
              <w:pStyle w:val="DMETW36755BIPLOCDQPY"/>
              <w:jc w:val="right"/>
              <w:rPr>
                <w:rFonts w:ascii="Verdana" w:eastAsia="Verdana" w:hAnsi="Verdana" w:cs="Verdana"/>
                <w:b/>
                <w:noProof/>
                <w:color w:val="000000"/>
                <w:sz w:val="18"/>
                <w:lang w:bidi="en-GB"/>
              </w:rPr>
            </w:pPr>
            <w:r>
              <w:rPr>
                <w:rFonts w:ascii="Verdana" w:eastAsia="Verdana" w:hAnsi="Verdana" w:cs="Verdana"/>
                <w:b/>
                <w:noProof/>
                <w:color w:val="000000"/>
                <w:sz w:val="18"/>
              </w:rPr>
              <w:t>299 571</w:t>
            </w:r>
          </w:p>
        </w:tc>
      </w:tr>
      <w:tr w:rsidR="00807FFE" w14:paraId="049F8232" w14:textId="77777777">
        <w:trPr>
          <w:trHeight w:hRule="exact" w:val="360"/>
        </w:trPr>
        <w:tc>
          <w:tcPr>
            <w:tcW w:w="3609" w:type="dxa"/>
            <w:tcBorders>
              <w:top w:val="nil"/>
              <w:left w:val="nil"/>
              <w:bottom w:val="single" w:sz="4" w:space="0" w:color="016794"/>
              <w:right w:val="nil"/>
              <w:tl2br w:val="nil"/>
              <w:tr2bl w:val="nil"/>
            </w:tcBorders>
            <w:tcMar>
              <w:left w:w="60" w:type="dxa"/>
              <w:right w:w="60" w:type="dxa"/>
            </w:tcMar>
            <w:vAlign w:val="center"/>
          </w:tcPr>
          <w:p w14:paraId="04316F08" w14:textId="77777777" w:rsidR="00807FFE" w:rsidRDefault="00023E71">
            <w:pPr>
              <w:pStyle w:val="DMETW36755BIPLOCDQPY"/>
              <w:rPr>
                <w:rFonts w:ascii="Verdana" w:eastAsia="Verdana" w:hAnsi="Verdana" w:cs="Verdana"/>
                <w:i/>
                <w:noProof/>
                <w:color w:val="000000"/>
                <w:sz w:val="18"/>
              </w:rPr>
            </w:pPr>
            <w:r>
              <w:rPr>
                <w:rFonts w:ascii="Verdana" w:eastAsia="Verdana" w:hAnsi="Verdana" w:cs="Verdana"/>
                <w:i/>
                <w:noProof/>
                <w:color w:val="000000"/>
                <w:sz w:val="18"/>
              </w:rPr>
              <w:t>Minus loss allowance</w:t>
            </w:r>
          </w:p>
        </w:tc>
        <w:tc>
          <w:tcPr>
            <w:tcW w:w="1140" w:type="dxa"/>
            <w:tcBorders>
              <w:top w:val="nil"/>
              <w:left w:val="nil"/>
              <w:bottom w:val="single" w:sz="4" w:space="0" w:color="016794"/>
              <w:right w:val="nil"/>
              <w:tl2br w:val="nil"/>
              <w:tr2bl w:val="nil"/>
            </w:tcBorders>
            <w:tcMar>
              <w:left w:w="60" w:type="dxa"/>
              <w:right w:w="60" w:type="dxa"/>
            </w:tcMar>
            <w:vAlign w:val="center"/>
          </w:tcPr>
          <w:p w14:paraId="777D4930"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 xml:space="preserve"> (31)</w:t>
            </w:r>
          </w:p>
        </w:tc>
        <w:tc>
          <w:tcPr>
            <w:tcW w:w="1140" w:type="dxa"/>
            <w:tcBorders>
              <w:top w:val="nil"/>
              <w:left w:val="nil"/>
              <w:bottom w:val="single" w:sz="4" w:space="0" w:color="016794"/>
              <w:right w:val="nil"/>
              <w:tl2br w:val="nil"/>
              <w:tr2bl w:val="nil"/>
            </w:tcBorders>
            <w:tcMar>
              <w:left w:w="60" w:type="dxa"/>
              <w:right w:w="60" w:type="dxa"/>
            </w:tcMar>
            <w:vAlign w:val="center"/>
          </w:tcPr>
          <w:p w14:paraId="1C6DBAFD"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(15 969)</w:t>
            </w:r>
          </w:p>
        </w:tc>
        <w:tc>
          <w:tcPr>
            <w:tcW w:w="1140" w:type="dxa"/>
            <w:tcBorders>
              <w:top w:val="nil"/>
              <w:left w:val="nil"/>
              <w:bottom w:val="single" w:sz="4" w:space="0" w:color="016794"/>
              <w:right w:val="nil"/>
              <w:tl2br w:val="nil"/>
              <w:tr2bl w:val="nil"/>
            </w:tcBorders>
            <w:tcMar>
              <w:left w:w="60" w:type="dxa"/>
              <w:right w:w="60" w:type="dxa"/>
            </w:tcMar>
            <w:vAlign w:val="center"/>
          </w:tcPr>
          <w:p w14:paraId="38AB3BD3"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 xml:space="preserve"> (14)</w:t>
            </w:r>
          </w:p>
        </w:tc>
        <w:tc>
          <w:tcPr>
            <w:tcW w:w="1589" w:type="dxa"/>
            <w:tcBorders>
              <w:top w:val="nil"/>
              <w:left w:val="nil"/>
              <w:bottom w:val="single" w:sz="4" w:space="0" w:color="016794"/>
              <w:right w:val="nil"/>
              <w:tl2br w:val="nil"/>
              <w:tr2bl w:val="nil"/>
            </w:tcBorders>
            <w:tcMar>
              <w:left w:w="60" w:type="dxa"/>
              <w:right w:w="60" w:type="dxa"/>
            </w:tcMar>
            <w:vAlign w:val="center"/>
          </w:tcPr>
          <w:p w14:paraId="1C22E52C" w14:textId="77777777" w:rsidR="00807FFE" w:rsidRDefault="00023E71">
            <w:pPr>
              <w:pStyle w:val="DMETW36755BIPLOCDQPY"/>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140" w:type="dxa"/>
            <w:tcBorders>
              <w:top w:val="nil"/>
              <w:left w:val="nil"/>
              <w:bottom w:val="single" w:sz="4" w:space="0" w:color="016794"/>
              <w:right w:val="nil"/>
              <w:tl2br w:val="nil"/>
              <w:tr2bl w:val="nil"/>
            </w:tcBorders>
            <w:tcMar>
              <w:left w:w="60" w:type="dxa"/>
              <w:right w:w="60" w:type="dxa"/>
            </w:tcMar>
            <w:vAlign w:val="center"/>
          </w:tcPr>
          <w:p w14:paraId="01BE8275" w14:textId="77777777" w:rsidR="00807FFE" w:rsidRDefault="00023E71">
            <w:pPr>
              <w:pStyle w:val="DMETW36755BIPLOCDQPY"/>
              <w:jc w:val="right"/>
              <w:rPr>
                <w:rFonts w:ascii="Verdana" w:eastAsia="Verdana" w:hAnsi="Verdana" w:cs="Verdana"/>
                <w:i/>
                <w:noProof/>
                <w:color w:val="000000"/>
                <w:sz w:val="18"/>
                <w:lang w:bidi="en-GB"/>
              </w:rPr>
            </w:pPr>
            <w:r>
              <w:rPr>
                <w:rFonts w:ascii="Verdana" w:eastAsia="Verdana" w:hAnsi="Verdana" w:cs="Verdana"/>
                <w:i/>
                <w:noProof/>
                <w:color w:val="000000"/>
                <w:sz w:val="18"/>
              </w:rPr>
              <w:t>(15 991)</w:t>
            </w:r>
          </w:p>
        </w:tc>
      </w:tr>
      <w:tr w:rsidR="00807FFE" w14:paraId="79A264FA" w14:textId="77777777">
        <w:trPr>
          <w:trHeight w:hRule="exact" w:val="360"/>
        </w:trPr>
        <w:tc>
          <w:tcPr>
            <w:tcW w:w="3609" w:type="dxa"/>
            <w:tcBorders>
              <w:top w:val="single" w:sz="4" w:space="0" w:color="016794"/>
              <w:left w:val="nil"/>
              <w:bottom w:val="single" w:sz="4" w:space="0" w:color="016794"/>
              <w:right w:val="nil"/>
              <w:tl2br w:val="nil"/>
              <w:tr2bl w:val="nil"/>
            </w:tcBorders>
            <w:tcMar>
              <w:left w:w="60" w:type="dxa"/>
              <w:right w:w="60" w:type="dxa"/>
            </w:tcMar>
            <w:vAlign w:val="center"/>
          </w:tcPr>
          <w:p w14:paraId="76527AC6" w14:textId="77777777" w:rsidR="00807FFE" w:rsidRDefault="00023E71">
            <w:pPr>
              <w:pStyle w:val="DMETW36755BIPLOCDQPY"/>
              <w:rPr>
                <w:rFonts w:ascii="Verdana" w:eastAsia="Verdana" w:hAnsi="Verdana" w:cs="Verdana"/>
                <w:b/>
                <w:noProof/>
                <w:color w:val="000000"/>
                <w:sz w:val="18"/>
              </w:rPr>
            </w:pPr>
            <w:r>
              <w:rPr>
                <w:rFonts w:ascii="Verdana" w:eastAsia="Verdana" w:hAnsi="Verdana" w:cs="Verdana"/>
                <w:b/>
                <w:noProof/>
                <w:color w:val="000000"/>
                <w:sz w:val="18"/>
              </w:rPr>
              <w:t xml:space="preserve">Net carrying amount </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14:paraId="553D011E"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255 360</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14:paraId="2060CEEA"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28 170</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14:paraId="3CEEB9E1"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1589" w:type="dxa"/>
            <w:tcBorders>
              <w:top w:val="single" w:sz="4" w:space="0" w:color="016794"/>
              <w:left w:val="nil"/>
              <w:bottom w:val="single" w:sz="4" w:space="0" w:color="016794"/>
              <w:right w:val="nil"/>
              <w:tl2br w:val="nil"/>
              <w:tr2bl w:val="nil"/>
            </w:tcBorders>
            <w:tcMar>
              <w:left w:w="60" w:type="dxa"/>
              <w:right w:w="60" w:type="dxa"/>
            </w:tcMar>
            <w:vAlign w:val="center"/>
          </w:tcPr>
          <w:p w14:paraId="2D5DC288"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 xml:space="preserve"> 51</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14:paraId="00FCB46D" w14:textId="77777777" w:rsidR="00807FFE" w:rsidRDefault="00023E71">
            <w:pPr>
              <w:pStyle w:val="DMETW36755BIPLOCDQPY"/>
              <w:jc w:val="right"/>
              <w:rPr>
                <w:rFonts w:ascii="Verdana" w:eastAsia="Verdana" w:hAnsi="Verdana" w:cs="Verdana"/>
                <w:b/>
                <w:noProof/>
                <w:color w:val="000000"/>
                <w:sz w:val="18"/>
              </w:rPr>
            </w:pPr>
            <w:r>
              <w:rPr>
                <w:rFonts w:ascii="Verdana" w:eastAsia="Verdana" w:hAnsi="Verdana" w:cs="Verdana"/>
                <w:b/>
                <w:noProof/>
                <w:color w:val="000000"/>
                <w:sz w:val="18"/>
              </w:rPr>
              <w:t>283 580</w:t>
            </w:r>
          </w:p>
        </w:tc>
      </w:tr>
    </w:tbl>
    <w:p w14:paraId="6608D18A" w14:textId="77777777" w:rsidR="00A87A92" w:rsidRPr="00231789" w:rsidRDefault="00023E71" w:rsidP="00A87A92">
      <w:pPr>
        <w:pStyle w:val="DGTextstand-alone"/>
        <w:rPr>
          <w:lang w:val="en-IE" w:eastAsia="en-IE"/>
        </w:rPr>
      </w:pPr>
      <w:r w:rsidRPr="00231789">
        <w:rPr>
          <w:lang w:val="en-IE" w:eastAsia="en-IE"/>
        </w:rPr>
        <w:t xml:space="preserve">The </w:t>
      </w:r>
      <w:r>
        <w:rPr>
          <w:lang w:val="en-IE" w:eastAsia="en-IE"/>
        </w:rPr>
        <w:t>risk categories</w:t>
      </w:r>
      <w:r w:rsidRPr="00231789">
        <w:rPr>
          <w:lang w:val="en-IE" w:eastAsia="en-IE"/>
        </w:rPr>
        <w:t xml:space="preserve"> </w:t>
      </w:r>
      <w:r>
        <w:rPr>
          <w:lang w:val="en-IE" w:eastAsia="en-IE"/>
        </w:rPr>
        <w:t xml:space="preserve">mentioned above </w:t>
      </w:r>
      <w:r w:rsidRPr="00231789">
        <w:rPr>
          <w:lang w:val="en-IE" w:eastAsia="en-IE"/>
        </w:rPr>
        <w:t xml:space="preserve">are </w:t>
      </w:r>
      <w:r>
        <w:rPr>
          <w:lang w:val="en-IE" w:eastAsia="en-IE"/>
        </w:rPr>
        <w:t xml:space="preserve">in principle </w:t>
      </w:r>
      <w:r w:rsidRPr="00231789">
        <w:rPr>
          <w:lang w:val="en-IE" w:eastAsia="en-IE"/>
        </w:rPr>
        <w:t xml:space="preserve">based on the rating </w:t>
      </w:r>
      <w:r>
        <w:rPr>
          <w:lang w:val="en-IE" w:eastAsia="en-IE"/>
        </w:rPr>
        <w:t>scales</w:t>
      </w:r>
      <w:r w:rsidRPr="00231789">
        <w:rPr>
          <w:lang w:val="en-IE" w:eastAsia="en-IE"/>
        </w:rPr>
        <w:t xml:space="preserve"> of external rating</w:t>
      </w:r>
      <w:r>
        <w:rPr>
          <w:lang w:val="en-IE" w:eastAsia="en-IE"/>
        </w:rPr>
        <w:t xml:space="preserve"> </w:t>
      </w:r>
      <w:r w:rsidRPr="00231789">
        <w:rPr>
          <w:lang w:val="en-IE" w:eastAsia="en-IE"/>
        </w:rPr>
        <w:t>agencies. These categories correspond to:</w:t>
      </w:r>
    </w:p>
    <w:p w14:paraId="7B5B9723" w14:textId="77777777" w:rsidR="00A87A92" w:rsidRPr="00256267" w:rsidRDefault="00023E71" w:rsidP="00172034">
      <w:pPr>
        <w:pStyle w:val="DGTextstand-alonedashesjustified"/>
        <w:numPr>
          <w:ilvl w:val="0"/>
          <w:numId w:val="22"/>
        </w:numPr>
        <w:rPr>
          <w:lang w:eastAsia="en-GB"/>
        </w:rPr>
      </w:pPr>
      <w:r w:rsidRPr="00256267">
        <w:rPr>
          <w:lang w:eastAsia="en-GB"/>
        </w:rPr>
        <w:t>Prime and high grade: Moody’s P-1, Aaa – Aa3; S&amp;P A-1+, A-1, AAA – AA -; Fitch F1+, F1, AAA – AA- and equivalent</w:t>
      </w:r>
      <w:r>
        <w:rPr>
          <w:lang w:eastAsia="en-GB"/>
        </w:rPr>
        <w:t>;</w:t>
      </w:r>
    </w:p>
    <w:p w14:paraId="03C20B29" w14:textId="77777777" w:rsidR="00A87A92" w:rsidRPr="00256267" w:rsidRDefault="00023E71" w:rsidP="00172034">
      <w:pPr>
        <w:pStyle w:val="DGTextstand-alonedashesjustified"/>
        <w:numPr>
          <w:ilvl w:val="0"/>
          <w:numId w:val="22"/>
        </w:numPr>
        <w:rPr>
          <w:lang w:eastAsia="en-GB"/>
        </w:rPr>
      </w:pPr>
      <w:r w:rsidRPr="00256267">
        <w:rPr>
          <w:lang w:eastAsia="en-GB"/>
        </w:rPr>
        <w:t>Upper medium grade: Moody’s P-2, A1 – A3; S&amp;P A-2, A+ – A-; Fitch F2, A+ – A- and equivalent</w:t>
      </w:r>
      <w:r>
        <w:rPr>
          <w:lang w:eastAsia="en-GB"/>
        </w:rPr>
        <w:t>;</w:t>
      </w:r>
    </w:p>
    <w:p w14:paraId="4632D7AC" w14:textId="77777777" w:rsidR="00A87A92" w:rsidRPr="00256267" w:rsidRDefault="00023E71" w:rsidP="00172034">
      <w:pPr>
        <w:pStyle w:val="DGTextstand-alonedashesjustified"/>
        <w:numPr>
          <w:ilvl w:val="0"/>
          <w:numId w:val="22"/>
        </w:numPr>
        <w:rPr>
          <w:lang w:eastAsia="en-GB"/>
        </w:rPr>
      </w:pPr>
      <w:r w:rsidRPr="00256267">
        <w:rPr>
          <w:lang w:eastAsia="en-GB"/>
        </w:rPr>
        <w:t>Lower medium grade: Moody’s P-3, Baa1 – Baa3, S&amp;P A-3, BBB+ – BBB-; Fitch F3, BBB+ – BBB- and equivalent</w:t>
      </w:r>
      <w:r>
        <w:rPr>
          <w:lang w:eastAsia="en-GB"/>
        </w:rPr>
        <w:t>;</w:t>
      </w:r>
    </w:p>
    <w:p w14:paraId="2788A8AB" w14:textId="77777777" w:rsidR="00A87A92" w:rsidRPr="00256267" w:rsidRDefault="00023E71" w:rsidP="00172034">
      <w:pPr>
        <w:pStyle w:val="DGTextstand-alonedashesjustified"/>
        <w:numPr>
          <w:ilvl w:val="0"/>
          <w:numId w:val="22"/>
        </w:numPr>
        <w:rPr>
          <w:lang w:eastAsia="en-GB"/>
        </w:rPr>
      </w:pPr>
      <w:r w:rsidRPr="00256267">
        <w:rPr>
          <w:lang w:eastAsia="en-GB"/>
        </w:rPr>
        <w:t>Non-investment grade: Moody’s not prime, Ba1 – C; S&amp;P B, C, D, BB+ – D; Fitch B, C, D, BB+ – D and equivalent</w:t>
      </w:r>
      <w:r>
        <w:rPr>
          <w:lang w:eastAsia="en-GB"/>
        </w:rPr>
        <w:t>.</w:t>
      </w:r>
    </w:p>
    <w:p w14:paraId="40BB7107" w14:textId="77777777" w:rsidR="00A87A92" w:rsidRDefault="00023E71" w:rsidP="00A87A92">
      <w:pPr>
        <w:pStyle w:val="DGTextstand-alone"/>
        <w:rPr>
          <w:lang w:val="en-IE" w:eastAsia="en-IE"/>
        </w:rPr>
      </w:pPr>
      <w:r w:rsidRPr="1D0DAAEE">
        <w:rPr>
          <w:lang w:val="en-IE" w:eastAsia="en-IE"/>
        </w:rPr>
        <w:t>The EU uses these rating categories as a reference point for financial instruments and commercial banks. However, the EU may keep amounts in a particular risk category even if a rating agency has downgraded the counterparty, after making its own analysis of individual cases.</w:t>
      </w:r>
    </w:p>
    <w:p w14:paraId="71EBE944" w14:textId="77777777" w:rsidR="00A87A92" w:rsidRPr="00987A10" w:rsidRDefault="00023E71" w:rsidP="00A87A92">
      <w:pPr>
        <w:pStyle w:val="DGTextstand-alone"/>
        <w:rPr>
          <w:lang w:val="en-IE" w:eastAsia="en-IE"/>
        </w:rPr>
      </w:pPr>
      <w:r w:rsidRPr="6C204149">
        <w:rPr>
          <w:lang w:val="en-IE" w:eastAsia="en-IE"/>
        </w:rPr>
        <w:t xml:space="preserve">The loans in the non-investment grade are mainly financial assistance loans to </w:t>
      </w:r>
      <w:r w:rsidR="00A04A21">
        <w:rPr>
          <w:lang w:val="en-IE" w:eastAsia="en-IE"/>
        </w:rPr>
        <w:t>third</w:t>
      </w:r>
      <w:r w:rsidRPr="6C204149">
        <w:rPr>
          <w:lang w:val="en-IE" w:eastAsia="en-IE"/>
        </w:rPr>
        <w:t xml:space="preserve"> countries in financial difficulties. All loans to Member States are in investment grade and in Stage 1. The loans in Stage 2 include mainly the MFA, MFA+, Ukraine Facility, MFA ULCM and Euratom loans to Ukraine. The POCI loans are subrogated loans from the ELM programmes.</w:t>
      </w:r>
    </w:p>
    <w:p w14:paraId="0260B9BD" w14:textId="77777777" w:rsidR="00A87A92" w:rsidRDefault="00023E71" w:rsidP="00A87A92">
      <w:pPr>
        <w:pStyle w:val="HEADER5"/>
        <w:spacing w:before="240"/>
        <w:rPr>
          <w:noProof/>
        </w:rPr>
      </w:pPr>
      <w:r>
        <w:rPr>
          <w:noProof/>
        </w:rPr>
        <w:t>Borrowing and lending activities</w:t>
      </w:r>
    </w:p>
    <w:p w14:paraId="53C227A7" w14:textId="77777777" w:rsidR="00A87A92" w:rsidRPr="008455C5" w:rsidRDefault="00023E71" w:rsidP="00A87A92">
      <w:pPr>
        <w:pStyle w:val="DGTextstand-alone"/>
        <w:rPr>
          <w:lang w:val="en-IE" w:eastAsia="en-IE"/>
        </w:rPr>
      </w:pPr>
      <w:r w:rsidRPr="6C204149">
        <w:rPr>
          <w:lang w:val="en-IE" w:eastAsia="en-IE"/>
        </w:rPr>
        <w:t>In case of default by debtors, the Commission may draw on the assets held in the CPF to service any  debt due related to</w:t>
      </w:r>
      <w:r>
        <w:rPr>
          <w:lang w:val="en-IE" w:eastAsia="en-IE"/>
        </w:rPr>
        <w:t xml:space="preserve"> </w:t>
      </w:r>
      <w:r w:rsidRPr="6C204149">
        <w:rPr>
          <w:lang w:val="en-IE" w:eastAsia="en-IE"/>
        </w:rPr>
        <w:t>MFA loans (except MFA+ and MFA ULCM loans), Euratom loans to third countries and policy-based loans provided under Western Balkans and Moldova Facilities.</w:t>
      </w:r>
    </w:p>
    <w:p w14:paraId="5A782103" w14:textId="77777777" w:rsidR="00A87A92" w:rsidRPr="008455C5" w:rsidRDefault="00023E71" w:rsidP="00A87A92">
      <w:pPr>
        <w:pStyle w:val="DGTextstand-alone"/>
        <w:rPr>
          <w:lang w:val="en-IE" w:eastAsia="en-IE"/>
        </w:rPr>
      </w:pPr>
      <w:r w:rsidRPr="6C204149">
        <w:rPr>
          <w:lang w:val="en-IE" w:eastAsia="en-IE"/>
        </w:rPr>
        <w:t>Loans provided to Ukraine under the exceptional MFA programme (EUR 6 billion disbursed in 2022) are firstly covered by their compartment in the CPF, and then also by additional EUR 3.7 billion of Member States’ guarantees, which are considered as credit enhancement for those loans and thus reduce an impairment allowance recognised in relation to those loans</w:t>
      </w:r>
      <w:r w:rsidR="00A04A21">
        <w:rPr>
          <w:lang w:val="en-IE" w:eastAsia="en-IE"/>
        </w:rPr>
        <w:t>.</w:t>
      </w:r>
    </w:p>
    <w:p w14:paraId="4D975DC9" w14:textId="77777777" w:rsidR="00A87A92" w:rsidRDefault="00023E71" w:rsidP="00A87A92">
      <w:pPr>
        <w:pStyle w:val="DGTextstand-alone"/>
        <w:rPr>
          <w:lang w:val="en-IE" w:eastAsia="en-IE"/>
        </w:rPr>
      </w:pPr>
      <w:r w:rsidRPr="6C204149">
        <w:rPr>
          <w:lang w:val="en-IE"/>
        </w:rPr>
        <w:t xml:space="preserve">The MFA ULCM loan to Ukraine </w:t>
      </w:r>
      <w:r w:rsidRPr="6C204149">
        <w:rPr>
          <w:lang w:val="en-IE" w:eastAsia="en-IE"/>
        </w:rPr>
        <w:t>is expected to</w:t>
      </w:r>
      <w:r w:rsidRPr="6C204149">
        <w:rPr>
          <w:lang w:val="en-IE"/>
        </w:rPr>
        <w:t xml:space="preserve"> be repaid by Ukraine from flows of extraordinary revenues stemming from the immobilised Russian sovereign assets granted to Ukraine as a non-repayable support under the ULCM mechanism. </w:t>
      </w:r>
      <w:r w:rsidRPr="6C204149">
        <w:rPr>
          <w:lang w:val="en-IE" w:eastAsia="en-IE"/>
        </w:rPr>
        <w:t>In</w:t>
      </w:r>
      <w:r w:rsidRPr="6C204149">
        <w:rPr>
          <w:lang w:val="en-IE"/>
        </w:rPr>
        <w:t xml:space="preserve"> 2025 the Union collected and granted to Ukraine EUR 622 million. This amount is placed on the dedicated bank account at year-end </w:t>
      </w:r>
      <w:r w:rsidRPr="6C204149">
        <w:rPr>
          <w:lang w:val="en-IE" w:eastAsia="en-IE"/>
        </w:rPr>
        <w:t>and will be solely</w:t>
      </w:r>
      <w:r w:rsidRPr="6C204149">
        <w:rPr>
          <w:lang w:val="en-IE"/>
        </w:rPr>
        <w:t xml:space="preserve"> used to service the MFA  - </w:t>
      </w:r>
      <w:r w:rsidRPr="6C204149">
        <w:rPr>
          <w:lang w:val="en-IE" w:eastAsia="en-IE"/>
        </w:rPr>
        <w:t xml:space="preserve">thus </w:t>
      </w:r>
      <w:r w:rsidRPr="6C204149">
        <w:rPr>
          <w:lang w:val="en-IE"/>
        </w:rPr>
        <w:t xml:space="preserve">reduces credit losses expected from that loan. </w:t>
      </w:r>
    </w:p>
    <w:p w14:paraId="42F5BEDD" w14:textId="77777777" w:rsidR="00A87A92" w:rsidRPr="008455C5" w:rsidRDefault="00023E71" w:rsidP="00A87A92">
      <w:pPr>
        <w:pStyle w:val="DGTextstand-alone"/>
        <w:rPr>
          <w:lang w:val="en-IE" w:eastAsia="en-IE"/>
        </w:rPr>
      </w:pPr>
      <w:r w:rsidRPr="6C204149">
        <w:rPr>
          <w:lang w:val="en-IE" w:eastAsia="en-IE"/>
        </w:rPr>
        <w:t xml:space="preserve">The Commission manages exposure to credit risk for Euratom loans by obtaining state guarantees, which total </w:t>
      </w:r>
      <w:r w:rsidRPr="00A94530">
        <w:rPr>
          <w:lang w:val="en-IE" w:eastAsia="en-IE"/>
        </w:rPr>
        <w:t>EUR 300 million on 31 December 2025 (2024: EUR 300 million).</w:t>
      </w:r>
    </w:p>
    <w:p w14:paraId="68A7EBC4" w14:textId="77777777" w:rsidR="00A87A92" w:rsidRDefault="00023E71" w:rsidP="00A87A92">
      <w:pPr>
        <w:pStyle w:val="DGTextstand-alone"/>
        <w:rPr>
          <w:lang w:val="en-IE" w:eastAsia="en-IE"/>
        </w:rPr>
      </w:pPr>
      <w:r w:rsidRPr="2C17ACE4">
        <w:rPr>
          <w:lang w:val="en-IE" w:eastAsia="en-IE"/>
        </w:rPr>
        <w:t>Loans provided to Member States under the SURE instrument are underpinned by a system of voluntary guarantees from Member States, amounting to 25% of the maximum ceiling available for the related financial assistance.</w:t>
      </w:r>
    </w:p>
    <w:p w14:paraId="0D0CA2FC" w14:textId="77777777" w:rsidR="00EA1D26" w:rsidRPr="005779E6" w:rsidRDefault="00023E71" w:rsidP="00A87A92">
      <w:pPr>
        <w:pStyle w:val="DGTextstand-alone"/>
        <w:rPr>
          <w:lang w:val="en-IE" w:eastAsia="en-IE"/>
        </w:rPr>
      </w:pPr>
      <w:r w:rsidRPr="005779E6">
        <w:rPr>
          <w:lang w:val="en-IE" w:eastAsia="en-IE"/>
        </w:rPr>
        <w:t>For any credit losses on the loans to Member States, MFA</w:t>
      </w:r>
      <w:r w:rsidRPr="3E552C6C">
        <w:rPr>
          <w:lang w:val="en-IE" w:eastAsia="en-IE"/>
        </w:rPr>
        <w:t>+,</w:t>
      </w:r>
      <w:r w:rsidRPr="005779E6">
        <w:rPr>
          <w:lang w:val="en-IE" w:eastAsia="en-IE"/>
        </w:rPr>
        <w:t xml:space="preserve"> </w:t>
      </w:r>
      <w:r w:rsidRPr="43ACDBF7">
        <w:rPr>
          <w:lang w:val="en-IE" w:eastAsia="en-IE"/>
        </w:rPr>
        <w:t>MFA</w:t>
      </w:r>
      <w:r w:rsidR="00A04A21">
        <w:rPr>
          <w:lang w:val="en-IE" w:eastAsia="en-IE"/>
        </w:rPr>
        <w:t> </w:t>
      </w:r>
      <w:r w:rsidRPr="43ACDBF7">
        <w:rPr>
          <w:lang w:val="en-IE" w:eastAsia="en-IE"/>
        </w:rPr>
        <w:t>ULCM</w:t>
      </w:r>
      <w:r w:rsidRPr="2597D00C">
        <w:rPr>
          <w:lang w:val="en-IE" w:eastAsia="en-IE"/>
        </w:rPr>
        <w:t xml:space="preserve"> </w:t>
      </w:r>
      <w:r w:rsidRPr="005779E6">
        <w:rPr>
          <w:lang w:val="en-IE" w:eastAsia="en-IE"/>
        </w:rPr>
        <w:t>and Ukraine Facility the Commission may call upon Member States, while respecting the own resources ceilings (‘the budgetary headroom’; see</w:t>
      </w:r>
      <w:r>
        <w:rPr>
          <w:lang w:val="en-IE" w:eastAsia="en-IE"/>
        </w:rPr>
        <w:t> N</w:t>
      </w:r>
      <w:r w:rsidRPr="005779E6">
        <w:rPr>
          <w:lang w:val="en-IE" w:eastAsia="en-IE"/>
        </w:rPr>
        <w:t>ote</w:t>
      </w:r>
      <w:r>
        <w:rPr>
          <w:lang w:val="en-IE" w:eastAsia="en-IE"/>
        </w:rPr>
        <w:t> </w:t>
      </w:r>
      <w:r w:rsidRPr="005779E6">
        <w:rPr>
          <w:b/>
          <w:bCs/>
          <w:lang w:val="en-IE" w:eastAsia="en-IE"/>
        </w:rPr>
        <w:t>6.</w:t>
      </w:r>
      <w:r>
        <w:rPr>
          <w:b/>
          <w:bCs/>
          <w:lang w:val="en-IE" w:eastAsia="en-IE"/>
        </w:rPr>
        <w:t>7</w:t>
      </w:r>
      <w:r w:rsidRPr="005779E6">
        <w:rPr>
          <w:lang w:val="en-IE" w:eastAsia="en-IE"/>
        </w:rPr>
        <w:t>)</w:t>
      </w:r>
      <w:r w:rsidR="00BD0290" w:rsidRPr="005779E6">
        <w:rPr>
          <w:lang w:val="en-IE" w:eastAsia="en-IE"/>
        </w:rPr>
        <w:t>.</w:t>
      </w:r>
    </w:p>
    <w:p w14:paraId="38D55CCA" w14:textId="77777777" w:rsidR="009B36B9" w:rsidRDefault="00023E71" w:rsidP="005E13A9">
      <w:pPr>
        <w:pStyle w:val="HEADER5"/>
        <w:rPr>
          <w:noProof/>
        </w:rPr>
      </w:pPr>
      <w:r w:rsidRPr="009B36B9">
        <w:rPr>
          <w:noProof/>
        </w:rPr>
        <w:t xml:space="preserve">Loans: Movement in impairment </w:t>
      </w:r>
      <w:r>
        <w:rPr>
          <w:noProof/>
        </w:rPr>
        <w:t>loss allowance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3"/>
        <w:gridCol w:w="1189"/>
        <w:gridCol w:w="1188"/>
        <w:gridCol w:w="1188"/>
        <w:gridCol w:w="1242"/>
        <w:gridCol w:w="1188"/>
      </w:tblGrid>
      <w:tr w:rsidR="00807FFE" w14:paraId="664F6890"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6C55708C" w14:textId="77777777" w:rsidR="00807FFE" w:rsidRDefault="00807FFE">
            <w:pPr>
              <w:pStyle w:val="DMETW36755BIPLOIMPLOS"/>
              <w:rPr>
                <w:rFonts w:ascii="Verdana" w:eastAsia="Verdana" w:hAnsi="Verdana" w:cs="Verdana"/>
                <w:b/>
                <w:noProof/>
                <w:color w:val="FF0000"/>
                <w:sz w:val="18"/>
                <w:lang w:bidi="en-GB"/>
              </w:rPr>
            </w:pPr>
            <w:bookmarkStart w:id="230" w:name="DOC_TBL00097_1_1"/>
            <w:bookmarkEnd w:id="230"/>
          </w:p>
        </w:tc>
        <w:tc>
          <w:tcPr>
            <w:tcW w:w="1189" w:type="dxa"/>
            <w:tcBorders>
              <w:top w:val="nil"/>
              <w:left w:val="nil"/>
              <w:bottom w:val="nil"/>
              <w:right w:val="nil"/>
              <w:tl2br w:val="nil"/>
              <w:tr2bl w:val="nil"/>
            </w:tcBorders>
            <w:tcMar>
              <w:left w:w="60" w:type="dxa"/>
              <w:right w:w="60" w:type="dxa"/>
            </w:tcMar>
            <w:vAlign w:val="center"/>
          </w:tcPr>
          <w:p w14:paraId="24CB896C" w14:textId="77777777" w:rsidR="00807FFE" w:rsidRDefault="00807FFE">
            <w:pPr>
              <w:pStyle w:val="DMETW36755BIPLOIMPLOS"/>
              <w:jc w:val="right"/>
              <w:rPr>
                <w:rFonts w:ascii="Verdana" w:eastAsia="Verdana" w:hAnsi="Verdana" w:cs="Verdana"/>
                <w:noProof/>
                <w:color w:val="A8A8A8"/>
              </w:rPr>
            </w:pPr>
          </w:p>
        </w:tc>
        <w:tc>
          <w:tcPr>
            <w:tcW w:w="1188" w:type="dxa"/>
            <w:tcBorders>
              <w:top w:val="nil"/>
              <w:left w:val="nil"/>
              <w:bottom w:val="nil"/>
              <w:right w:val="nil"/>
              <w:tl2br w:val="nil"/>
              <w:tr2bl w:val="nil"/>
            </w:tcBorders>
            <w:tcMar>
              <w:left w:w="60" w:type="dxa"/>
              <w:right w:w="60" w:type="dxa"/>
            </w:tcMar>
            <w:vAlign w:val="center"/>
          </w:tcPr>
          <w:p w14:paraId="2F63B0B4" w14:textId="77777777" w:rsidR="00807FFE" w:rsidRDefault="00807FFE">
            <w:pPr>
              <w:pStyle w:val="DMETW36755BIPLOIMPLOS"/>
              <w:rPr>
                <w:rFonts w:ascii="Verdana" w:eastAsia="Verdana" w:hAnsi="Verdana" w:cs="Verdana"/>
                <w:noProof/>
                <w:color w:val="000000"/>
              </w:rPr>
            </w:pPr>
          </w:p>
        </w:tc>
        <w:tc>
          <w:tcPr>
            <w:tcW w:w="1188" w:type="dxa"/>
            <w:tcBorders>
              <w:top w:val="nil"/>
              <w:left w:val="nil"/>
              <w:bottom w:val="nil"/>
              <w:right w:val="nil"/>
              <w:tl2br w:val="nil"/>
              <w:tr2bl w:val="nil"/>
            </w:tcBorders>
            <w:tcMar>
              <w:left w:w="60" w:type="dxa"/>
              <w:right w:w="60" w:type="dxa"/>
            </w:tcMar>
            <w:vAlign w:val="center"/>
          </w:tcPr>
          <w:p w14:paraId="1E7EB346" w14:textId="77777777" w:rsidR="00807FFE" w:rsidRDefault="00807FFE">
            <w:pPr>
              <w:pStyle w:val="DMETW36755BIPLOIMPLOS"/>
              <w:rPr>
                <w:rFonts w:ascii="Verdana" w:eastAsia="Verdana" w:hAnsi="Verdana" w:cs="Verdana"/>
                <w:noProof/>
                <w:color w:val="000000"/>
              </w:rPr>
            </w:pPr>
          </w:p>
        </w:tc>
        <w:tc>
          <w:tcPr>
            <w:tcW w:w="1242" w:type="dxa"/>
            <w:tcBorders>
              <w:top w:val="nil"/>
              <w:left w:val="nil"/>
              <w:bottom w:val="nil"/>
              <w:right w:val="nil"/>
              <w:tl2br w:val="nil"/>
              <w:tr2bl w:val="nil"/>
            </w:tcBorders>
            <w:tcMar>
              <w:left w:w="60" w:type="dxa"/>
              <w:right w:w="60" w:type="dxa"/>
            </w:tcMar>
            <w:vAlign w:val="center"/>
          </w:tcPr>
          <w:p w14:paraId="7DB03BA6" w14:textId="77777777" w:rsidR="00807FFE" w:rsidRDefault="00807FFE">
            <w:pPr>
              <w:pStyle w:val="DMETW36755BIPLOIMPLOS"/>
              <w:rPr>
                <w:rFonts w:ascii="Verdana" w:eastAsia="Verdana" w:hAnsi="Verdana" w:cs="Verdana"/>
                <w:noProof/>
                <w:color w:val="000000"/>
              </w:rPr>
            </w:pPr>
          </w:p>
        </w:tc>
        <w:tc>
          <w:tcPr>
            <w:tcW w:w="1188" w:type="dxa"/>
            <w:tcBorders>
              <w:top w:val="nil"/>
              <w:left w:val="nil"/>
              <w:bottom w:val="nil"/>
              <w:right w:val="nil"/>
              <w:tl2br w:val="nil"/>
              <w:tr2bl w:val="nil"/>
            </w:tcBorders>
            <w:tcMar>
              <w:left w:w="60" w:type="dxa"/>
              <w:right w:w="60" w:type="dxa"/>
            </w:tcMar>
            <w:vAlign w:val="bottom"/>
          </w:tcPr>
          <w:p w14:paraId="6CED4A7C" w14:textId="77777777" w:rsidR="00807FFE" w:rsidRDefault="00023E71">
            <w:pPr>
              <w:pStyle w:val="DMETW36755BIPLOIMPLO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75610E2" w14:textId="77777777">
        <w:trPr>
          <w:trHeight w:hRule="exact" w:val="360"/>
        </w:trPr>
        <w:tc>
          <w:tcPr>
            <w:tcW w:w="3763" w:type="dxa"/>
            <w:vMerge w:val="restart"/>
            <w:tcBorders>
              <w:top w:val="nil"/>
              <w:left w:val="nil"/>
              <w:bottom w:val="nil"/>
              <w:right w:val="nil"/>
              <w:tl2br w:val="nil"/>
              <w:tr2bl w:val="nil"/>
            </w:tcBorders>
            <w:shd w:val="solid" w:color="016794" w:fill="FFFFFF"/>
            <w:tcMar>
              <w:left w:w="60" w:type="dxa"/>
              <w:right w:w="60" w:type="dxa"/>
            </w:tcMar>
            <w:vAlign w:val="center"/>
          </w:tcPr>
          <w:p w14:paraId="0F6B3D59" w14:textId="77777777" w:rsidR="00807FFE" w:rsidRDefault="00807FFE">
            <w:pPr>
              <w:pStyle w:val="DMETW36755BIPLOIMPLOS"/>
              <w:jc w:val="center"/>
              <w:rPr>
                <w:rFonts w:ascii="Verdana" w:eastAsia="Verdana" w:hAnsi="Verdana" w:cs="Verdana"/>
                <w:noProof/>
                <w:color w:val="FFFFFF"/>
              </w:rPr>
            </w:pPr>
          </w:p>
        </w:tc>
        <w:tc>
          <w:tcPr>
            <w:tcW w:w="1189" w:type="dxa"/>
            <w:vMerge w:val="restart"/>
            <w:tcBorders>
              <w:top w:val="nil"/>
              <w:left w:val="nil"/>
              <w:bottom w:val="nil"/>
              <w:right w:val="nil"/>
              <w:tl2br w:val="nil"/>
              <w:tr2bl w:val="nil"/>
            </w:tcBorders>
            <w:shd w:val="solid" w:color="016794" w:fill="FFFFFF"/>
            <w:tcMar>
              <w:left w:w="60" w:type="dxa"/>
              <w:right w:w="60" w:type="dxa"/>
            </w:tcMar>
            <w:vAlign w:val="center"/>
          </w:tcPr>
          <w:p w14:paraId="201D3B6D" w14:textId="77777777" w:rsidR="00807FFE" w:rsidRDefault="00023E71">
            <w:pPr>
              <w:pStyle w:val="DMETW36755BIPLOIMPLOS"/>
              <w:jc w:val="right"/>
              <w:rPr>
                <w:rFonts w:ascii="Verdana" w:eastAsia="Verdana" w:hAnsi="Verdana" w:cs="Verdana"/>
                <w:noProof/>
                <w:color w:val="FFFFFF"/>
              </w:rPr>
            </w:pPr>
            <w:r>
              <w:rPr>
                <w:rFonts w:ascii="Verdana" w:eastAsia="Verdana" w:hAnsi="Verdana" w:cs="Verdana"/>
                <w:noProof/>
                <w:color w:val="FFFFFF"/>
              </w:rPr>
              <w:t xml:space="preserve">Stage 1 </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14:paraId="1C7D9200" w14:textId="77777777" w:rsidR="00807FFE" w:rsidRDefault="00023E71">
            <w:pPr>
              <w:pStyle w:val="DMETW36755BIPLOIMPLOS"/>
              <w:jc w:val="right"/>
              <w:rPr>
                <w:rFonts w:ascii="Verdana" w:eastAsia="Verdana" w:hAnsi="Verdana" w:cs="Verdana"/>
                <w:noProof/>
                <w:color w:val="FFFFFF"/>
              </w:rPr>
            </w:pPr>
            <w:r>
              <w:rPr>
                <w:rFonts w:ascii="Verdana" w:eastAsia="Verdana" w:hAnsi="Verdana" w:cs="Verdana"/>
                <w:noProof/>
                <w:color w:val="FFFFFF"/>
              </w:rPr>
              <w:t>Stage 2</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14:paraId="1856D5D5" w14:textId="77777777" w:rsidR="00807FFE" w:rsidRDefault="00023E71">
            <w:pPr>
              <w:pStyle w:val="DMETW36755BIPLOIMPLOS"/>
              <w:jc w:val="right"/>
              <w:rPr>
                <w:rFonts w:ascii="Verdana" w:eastAsia="Verdana" w:hAnsi="Verdana" w:cs="Verdana"/>
                <w:noProof/>
                <w:color w:val="FFFFFF"/>
              </w:rPr>
            </w:pPr>
            <w:r>
              <w:rPr>
                <w:rFonts w:ascii="Verdana" w:eastAsia="Verdana" w:hAnsi="Verdana" w:cs="Verdana"/>
                <w:noProof/>
                <w:color w:val="FFFFFF"/>
              </w:rPr>
              <w:t>Stage 3</w:t>
            </w:r>
          </w:p>
        </w:tc>
        <w:tc>
          <w:tcPr>
            <w:tcW w:w="1242" w:type="dxa"/>
            <w:vMerge w:val="restart"/>
            <w:tcBorders>
              <w:top w:val="nil"/>
              <w:left w:val="nil"/>
              <w:bottom w:val="nil"/>
              <w:right w:val="nil"/>
              <w:tl2br w:val="nil"/>
              <w:tr2bl w:val="nil"/>
            </w:tcBorders>
            <w:shd w:val="solid" w:color="016794" w:fill="FFFFFF"/>
            <w:tcMar>
              <w:left w:w="60" w:type="dxa"/>
              <w:right w:w="60" w:type="dxa"/>
            </w:tcMar>
            <w:vAlign w:val="center"/>
          </w:tcPr>
          <w:p w14:paraId="5655F8F6" w14:textId="77777777" w:rsidR="00807FFE" w:rsidRDefault="00023E71">
            <w:pPr>
              <w:pStyle w:val="DMETW36755BIPLOIMPLOS"/>
              <w:jc w:val="right"/>
              <w:rPr>
                <w:rFonts w:ascii="Verdana" w:eastAsia="Verdana" w:hAnsi="Verdana" w:cs="Verdana"/>
                <w:noProof/>
                <w:color w:val="FFFFFF"/>
              </w:rPr>
            </w:pPr>
            <w:r>
              <w:rPr>
                <w:rFonts w:ascii="Verdana" w:eastAsia="Verdana" w:hAnsi="Verdana" w:cs="Verdana"/>
                <w:noProof/>
                <w:color w:val="FFFFFF"/>
              </w:rPr>
              <w:t>POCI</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14:paraId="3B3CD221" w14:textId="77777777" w:rsidR="00807FFE" w:rsidRDefault="00023E71">
            <w:pPr>
              <w:pStyle w:val="DMETW36755BIPLOIMPLOS"/>
              <w:jc w:val="right"/>
              <w:rPr>
                <w:rFonts w:ascii="Verdana" w:eastAsia="Verdana" w:hAnsi="Verdana" w:cs="Verdana"/>
                <w:noProof/>
                <w:color w:val="FFFFFF"/>
                <w:lang w:bidi="en-GB"/>
              </w:rPr>
            </w:pPr>
            <w:r>
              <w:rPr>
                <w:rFonts w:ascii="Verdana" w:eastAsia="Verdana" w:hAnsi="Verdana" w:cs="Verdana"/>
                <w:noProof/>
                <w:color w:val="FFFFFF"/>
              </w:rPr>
              <w:t xml:space="preserve">Total </w:t>
            </w:r>
          </w:p>
        </w:tc>
      </w:tr>
      <w:tr w:rsidR="00807FFE" w14:paraId="16F838C4" w14:textId="77777777">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14:paraId="2BD28039" w14:textId="77777777" w:rsidR="00807FFE" w:rsidRDefault="00807FFE">
            <w:pPr>
              <w:pStyle w:val="DMETW36755BIPLOIMPLOS"/>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458DE78B" w14:textId="77777777" w:rsidR="00807FFE" w:rsidRDefault="00807FFE">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6FF89B5B" w14:textId="77777777" w:rsidR="00807FFE" w:rsidRDefault="00807FFE">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2F6CE66C" w14:textId="77777777" w:rsidR="00807FFE" w:rsidRDefault="00807FFE">
            <w:pPr>
              <w:pStyle w:val="DMETW36755BIPLOIMPLOS"/>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14:paraId="7FD09A84" w14:textId="77777777" w:rsidR="00807FFE" w:rsidRDefault="00807FFE">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00C4BFA1" w14:textId="77777777" w:rsidR="00807FFE" w:rsidRDefault="00807FFE">
            <w:pPr>
              <w:pStyle w:val="DMETW36755BIPLOIMPLOS"/>
              <w:jc w:val="right"/>
              <w:rPr>
                <w:rFonts w:ascii="Verdana" w:eastAsia="Verdana" w:hAnsi="Verdana" w:cs="Verdana"/>
                <w:noProof/>
                <w:color w:val="FFFFFF"/>
              </w:rPr>
            </w:pPr>
          </w:p>
        </w:tc>
      </w:tr>
      <w:tr w:rsidR="00807FFE" w14:paraId="55E26863"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4BA6704D" w14:textId="77777777" w:rsidR="00807FFE" w:rsidRDefault="00023E71">
            <w:pPr>
              <w:pStyle w:val="DMETW36755BIPLOIMPLOS"/>
              <w:rPr>
                <w:rFonts w:ascii="Verdana" w:eastAsia="Verdana" w:hAnsi="Verdana" w:cs="Verdana"/>
                <w:b/>
                <w:noProof/>
                <w:color w:val="000000"/>
                <w:sz w:val="18"/>
              </w:rPr>
            </w:pPr>
            <w:r>
              <w:rPr>
                <w:rFonts w:ascii="Verdana" w:eastAsia="Verdana" w:hAnsi="Verdana" w:cs="Verdana"/>
                <w:b/>
                <w:noProof/>
                <w:color w:val="000000"/>
                <w:sz w:val="18"/>
              </w:rPr>
              <w:t>Loss allowance at 01.01.2025</w:t>
            </w:r>
          </w:p>
        </w:tc>
        <w:tc>
          <w:tcPr>
            <w:tcW w:w="1189" w:type="dxa"/>
            <w:tcBorders>
              <w:top w:val="nil"/>
              <w:left w:val="nil"/>
              <w:bottom w:val="nil"/>
              <w:right w:val="nil"/>
              <w:tl2br w:val="nil"/>
              <w:tr2bl w:val="nil"/>
            </w:tcBorders>
            <w:tcMar>
              <w:left w:w="60" w:type="dxa"/>
              <w:right w:w="60" w:type="dxa"/>
            </w:tcMar>
            <w:vAlign w:val="center"/>
          </w:tcPr>
          <w:p w14:paraId="4B2F08AF"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31</w:t>
            </w:r>
          </w:p>
        </w:tc>
        <w:tc>
          <w:tcPr>
            <w:tcW w:w="1188" w:type="dxa"/>
            <w:tcBorders>
              <w:top w:val="nil"/>
              <w:left w:val="nil"/>
              <w:bottom w:val="nil"/>
              <w:right w:val="nil"/>
              <w:tl2br w:val="nil"/>
              <w:tr2bl w:val="nil"/>
            </w:tcBorders>
            <w:tcMar>
              <w:left w:w="60" w:type="dxa"/>
              <w:right w:w="60" w:type="dxa"/>
            </w:tcMar>
            <w:vAlign w:val="center"/>
          </w:tcPr>
          <w:p w14:paraId="666D077A"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15 969</w:t>
            </w:r>
          </w:p>
        </w:tc>
        <w:tc>
          <w:tcPr>
            <w:tcW w:w="1188" w:type="dxa"/>
            <w:tcBorders>
              <w:top w:val="nil"/>
              <w:left w:val="nil"/>
              <w:bottom w:val="nil"/>
              <w:right w:val="nil"/>
              <w:tl2br w:val="nil"/>
              <w:tr2bl w:val="nil"/>
            </w:tcBorders>
            <w:tcMar>
              <w:left w:w="60" w:type="dxa"/>
              <w:right w:w="60" w:type="dxa"/>
            </w:tcMar>
            <w:vAlign w:val="center"/>
          </w:tcPr>
          <w:p w14:paraId="7FC4AE5B"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14</w:t>
            </w:r>
          </w:p>
        </w:tc>
        <w:tc>
          <w:tcPr>
            <w:tcW w:w="1242" w:type="dxa"/>
            <w:tcBorders>
              <w:top w:val="nil"/>
              <w:left w:val="nil"/>
              <w:bottom w:val="nil"/>
              <w:right w:val="nil"/>
              <w:tl2br w:val="nil"/>
              <w:tr2bl w:val="nil"/>
            </w:tcBorders>
            <w:tcMar>
              <w:left w:w="60" w:type="dxa"/>
              <w:right w:w="60" w:type="dxa"/>
            </w:tcMar>
            <w:vAlign w:val="center"/>
          </w:tcPr>
          <w:p w14:paraId="3761CD7F"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188" w:type="dxa"/>
            <w:tcBorders>
              <w:top w:val="nil"/>
              <w:left w:val="nil"/>
              <w:bottom w:val="nil"/>
              <w:right w:val="nil"/>
              <w:tl2br w:val="nil"/>
              <w:tr2bl w:val="nil"/>
            </w:tcBorders>
            <w:tcMar>
              <w:left w:w="60" w:type="dxa"/>
              <w:right w:w="60" w:type="dxa"/>
            </w:tcMar>
            <w:vAlign w:val="center"/>
          </w:tcPr>
          <w:p w14:paraId="3E156577"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15 991</w:t>
            </w:r>
          </w:p>
        </w:tc>
      </w:tr>
      <w:tr w:rsidR="00807FFE" w14:paraId="37F67738"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69CB75DA" w14:textId="77777777" w:rsidR="00807FFE" w:rsidRDefault="00023E71">
            <w:pPr>
              <w:pStyle w:val="DMETW36755BIPLOIMPLOS"/>
              <w:rPr>
                <w:rFonts w:ascii="Verdana" w:eastAsia="Verdana" w:hAnsi="Verdana" w:cs="Verdana"/>
                <w:i/>
                <w:noProof/>
                <w:color w:val="000000"/>
                <w:sz w:val="18"/>
              </w:rPr>
            </w:pPr>
            <w:r>
              <w:rPr>
                <w:rFonts w:ascii="Verdana" w:eastAsia="Verdana" w:hAnsi="Verdana" w:cs="Verdana"/>
                <w:i/>
                <w:noProof/>
                <w:color w:val="000000"/>
                <w:sz w:val="18"/>
              </w:rPr>
              <w:t>Transfer to Stage 1</w:t>
            </w:r>
          </w:p>
        </w:tc>
        <w:tc>
          <w:tcPr>
            <w:tcW w:w="1189" w:type="dxa"/>
            <w:tcBorders>
              <w:top w:val="nil"/>
              <w:left w:val="nil"/>
              <w:bottom w:val="nil"/>
              <w:right w:val="nil"/>
              <w:tl2br w:val="nil"/>
              <w:tr2bl w:val="nil"/>
            </w:tcBorders>
            <w:tcMar>
              <w:left w:w="60" w:type="dxa"/>
              <w:right w:w="60" w:type="dxa"/>
            </w:tcMar>
            <w:vAlign w:val="center"/>
          </w:tcPr>
          <w:p w14:paraId="3D752EDF"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14:paraId="5393F275"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14:paraId="6DC95D59"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42" w:type="dxa"/>
            <w:tcBorders>
              <w:top w:val="nil"/>
              <w:left w:val="nil"/>
              <w:bottom w:val="nil"/>
              <w:right w:val="nil"/>
              <w:tl2br w:val="nil"/>
              <w:tr2bl w:val="nil"/>
            </w:tcBorders>
            <w:tcMar>
              <w:left w:w="60" w:type="dxa"/>
              <w:right w:w="60" w:type="dxa"/>
            </w:tcMar>
            <w:vAlign w:val="center"/>
          </w:tcPr>
          <w:p w14:paraId="610F2048"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1C565B3A"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0ECFF520"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05486D33" w14:textId="77777777" w:rsidR="00807FFE" w:rsidRDefault="00023E71">
            <w:pPr>
              <w:pStyle w:val="DMETW36755BIPLOIMPLOS"/>
              <w:rPr>
                <w:rFonts w:ascii="Verdana" w:eastAsia="Verdana" w:hAnsi="Verdana" w:cs="Verdana"/>
                <w:i/>
                <w:noProof/>
                <w:color w:val="000000"/>
                <w:sz w:val="18"/>
              </w:rPr>
            </w:pPr>
            <w:r>
              <w:rPr>
                <w:rFonts w:ascii="Verdana" w:eastAsia="Verdana" w:hAnsi="Verdana" w:cs="Verdana"/>
                <w:i/>
                <w:noProof/>
                <w:color w:val="000000"/>
                <w:sz w:val="18"/>
              </w:rPr>
              <w:t>Transfer to Stage 2</w:t>
            </w:r>
          </w:p>
        </w:tc>
        <w:tc>
          <w:tcPr>
            <w:tcW w:w="1189" w:type="dxa"/>
            <w:tcBorders>
              <w:top w:val="nil"/>
              <w:left w:val="nil"/>
              <w:bottom w:val="nil"/>
              <w:right w:val="nil"/>
              <w:tl2br w:val="nil"/>
              <w:tr2bl w:val="nil"/>
            </w:tcBorders>
            <w:tcMar>
              <w:left w:w="60" w:type="dxa"/>
              <w:right w:w="60" w:type="dxa"/>
            </w:tcMar>
            <w:vAlign w:val="center"/>
          </w:tcPr>
          <w:p w14:paraId="4691E670"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14:paraId="66423745"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14:paraId="154F3114"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42" w:type="dxa"/>
            <w:tcBorders>
              <w:top w:val="nil"/>
              <w:left w:val="nil"/>
              <w:bottom w:val="nil"/>
              <w:right w:val="nil"/>
              <w:tl2br w:val="nil"/>
              <w:tr2bl w:val="nil"/>
            </w:tcBorders>
            <w:tcMar>
              <w:left w:w="60" w:type="dxa"/>
              <w:right w:w="60" w:type="dxa"/>
            </w:tcMar>
            <w:vAlign w:val="center"/>
          </w:tcPr>
          <w:p w14:paraId="1A1A8C08"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077AD87D"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303F8CB7"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5AFB8B90" w14:textId="77777777" w:rsidR="00807FFE" w:rsidRDefault="00023E71">
            <w:pPr>
              <w:pStyle w:val="DMETW36755BIPLOIMPLOS"/>
              <w:rPr>
                <w:rFonts w:ascii="Verdana" w:eastAsia="Verdana" w:hAnsi="Verdana" w:cs="Verdana"/>
                <w:i/>
                <w:noProof/>
                <w:color w:val="000000"/>
                <w:sz w:val="18"/>
              </w:rPr>
            </w:pPr>
            <w:r>
              <w:rPr>
                <w:rFonts w:ascii="Verdana" w:eastAsia="Verdana" w:hAnsi="Verdana" w:cs="Verdana"/>
                <w:i/>
                <w:noProof/>
                <w:color w:val="000000"/>
                <w:sz w:val="18"/>
              </w:rPr>
              <w:t>Transfer to Stage 3</w:t>
            </w:r>
          </w:p>
        </w:tc>
        <w:tc>
          <w:tcPr>
            <w:tcW w:w="1189" w:type="dxa"/>
            <w:tcBorders>
              <w:top w:val="nil"/>
              <w:left w:val="nil"/>
              <w:bottom w:val="nil"/>
              <w:right w:val="nil"/>
              <w:tl2br w:val="nil"/>
              <w:tr2bl w:val="nil"/>
            </w:tcBorders>
            <w:tcMar>
              <w:left w:w="60" w:type="dxa"/>
              <w:right w:w="60" w:type="dxa"/>
            </w:tcMar>
            <w:vAlign w:val="center"/>
          </w:tcPr>
          <w:p w14:paraId="7F260354"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705A9C8F"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14:paraId="5F34FB48"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242" w:type="dxa"/>
            <w:tcBorders>
              <w:top w:val="nil"/>
              <w:left w:val="nil"/>
              <w:bottom w:val="nil"/>
              <w:right w:val="nil"/>
              <w:tl2br w:val="nil"/>
              <w:tr2bl w:val="nil"/>
            </w:tcBorders>
            <w:tcMar>
              <w:left w:w="60" w:type="dxa"/>
              <w:right w:w="60" w:type="dxa"/>
            </w:tcMar>
            <w:vAlign w:val="center"/>
          </w:tcPr>
          <w:p w14:paraId="0E98D133"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179E556A"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34E501AC"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11060DB8" w14:textId="77777777" w:rsidR="00807FFE" w:rsidRDefault="00023E71">
            <w:pPr>
              <w:pStyle w:val="DMETW36755BIPLOIMPLOS"/>
              <w:rPr>
                <w:rFonts w:ascii="Verdana" w:eastAsia="Verdana" w:hAnsi="Verdana" w:cs="Verdana"/>
                <w:i/>
                <w:noProof/>
                <w:color w:val="000000"/>
                <w:sz w:val="18"/>
              </w:rPr>
            </w:pPr>
            <w:r>
              <w:rPr>
                <w:rFonts w:ascii="Verdana" w:eastAsia="Verdana" w:hAnsi="Verdana" w:cs="Verdana"/>
                <w:i/>
                <w:noProof/>
                <w:color w:val="000000"/>
                <w:sz w:val="18"/>
              </w:rPr>
              <w:t xml:space="preserve">New loans </w:t>
            </w:r>
          </w:p>
        </w:tc>
        <w:tc>
          <w:tcPr>
            <w:tcW w:w="1189" w:type="dxa"/>
            <w:tcBorders>
              <w:top w:val="nil"/>
              <w:left w:val="nil"/>
              <w:bottom w:val="nil"/>
              <w:right w:val="nil"/>
              <w:tl2br w:val="nil"/>
              <w:tr2bl w:val="nil"/>
            </w:tcBorders>
            <w:tcMar>
              <w:left w:w="60" w:type="dxa"/>
              <w:right w:w="60" w:type="dxa"/>
            </w:tcMar>
            <w:vAlign w:val="center"/>
          </w:tcPr>
          <w:p w14:paraId="3048F907"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188" w:type="dxa"/>
            <w:tcBorders>
              <w:top w:val="nil"/>
              <w:left w:val="nil"/>
              <w:bottom w:val="nil"/>
              <w:right w:val="nil"/>
              <w:tl2br w:val="nil"/>
              <w:tr2bl w:val="nil"/>
            </w:tcBorders>
            <w:tcMar>
              <w:left w:w="60" w:type="dxa"/>
              <w:right w:w="60" w:type="dxa"/>
            </w:tcMar>
            <w:vAlign w:val="center"/>
          </w:tcPr>
          <w:p w14:paraId="7A864952"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13 483</w:t>
            </w:r>
          </w:p>
        </w:tc>
        <w:tc>
          <w:tcPr>
            <w:tcW w:w="1188" w:type="dxa"/>
            <w:tcBorders>
              <w:top w:val="nil"/>
              <w:left w:val="nil"/>
              <w:bottom w:val="nil"/>
              <w:right w:val="nil"/>
              <w:tl2br w:val="nil"/>
              <w:tr2bl w:val="nil"/>
            </w:tcBorders>
            <w:tcMar>
              <w:left w:w="60" w:type="dxa"/>
              <w:right w:w="60" w:type="dxa"/>
            </w:tcMar>
            <w:vAlign w:val="center"/>
          </w:tcPr>
          <w:p w14:paraId="0CB7CF72"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242" w:type="dxa"/>
            <w:tcBorders>
              <w:top w:val="nil"/>
              <w:left w:val="nil"/>
              <w:bottom w:val="nil"/>
              <w:right w:val="nil"/>
              <w:tl2br w:val="nil"/>
              <w:tr2bl w:val="nil"/>
            </w:tcBorders>
            <w:tcMar>
              <w:left w:w="60" w:type="dxa"/>
              <w:right w:w="60" w:type="dxa"/>
            </w:tcMar>
            <w:vAlign w:val="center"/>
          </w:tcPr>
          <w:p w14:paraId="029DF740"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0122F386"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13 488</w:t>
            </w:r>
          </w:p>
        </w:tc>
      </w:tr>
      <w:tr w:rsidR="00807FFE" w14:paraId="23FF71F1"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507DF17A" w14:textId="77777777" w:rsidR="00807FFE" w:rsidRDefault="00023E71">
            <w:pPr>
              <w:pStyle w:val="DMETW36755BIPLOIMPLOS"/>
              <w:rPr>
                <w:rFonts w:ascii="Verdana" w:eastAsia="Verdana" w:hAnsi="Verdana" w:cs="Verdana"/>
                <w:i/>
                <w:noProof/>
                <w:color w:val="000000"/>
                <w:sz w:val="18"/>
              </w:rPr>
            </w:pPr>
            <w:r>
              <w:rPr>
                <w:rFonts w:ascii="Verdana" w:eastAsia="Verdana" w:hAnsi="Verdana" w:cs="Verdana"/>
                <w:i/>
                <w:noProof/>
                <w:color w:val="000000"/>
                <w:sz w:val="18"/>
              </w:rPr>
              <w:t>Derecognitions - repayments</w:t>
            </w:r>
          </w:p>
        </w:tc>
        <w:tc>
          <w:tcPr>
            <w:tcW w:w="1189" w:type="dxa"/>
            <w:tcBorders>
              <w:top w:val="nil"/>
              <w:left w:val="nil"/>
              <w:bottom w:val="nil"/>
              <w:right w:val="nil"/>
              <w:tl2br w:val="nil"/>
              <w:tr2bl w:val="nil"/>
            </w:tcBorders>
            <w:tcMar>
              <w:left w:w="60" w:type="dxa"/>
              <w:right w:w="60" w:type="dxa"/>
            </w:tcMar>
            <w:vAlign w:val="center"/>
          </w:tcPr>
          <w:p w14:paraId="0AA5C5C1"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188" w:type="dxa"/>
            <w:tcBorders>
              <w:top w:val="nil"/>
              <w:left w:val="nil"/>
              <w:bottom w:val="nil"/>
              <w:right w:val="nil"/>
              <w:tl2br w:val="nil"/>
              <w:tr2bl w:val="nil"/>
            </w:tcBorders>
            <w:tcMar>
              <w:left w:w="60" w:type="dxa"/>
              <w:right w:w="60" w:type="dxa"/>
            </w:tcMar>
            <w:vAlign w:val="center"/>
          </w:tcPr>
          <w:p w14:paraId="14A0329D"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14:paraId="60C27F09"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242" w:type="dxa"/>
            <w:tcBorders>
              <w:top w:val="nil"/>
              <w:left w:val="nil"/>
              <w:bottom w:val="nil"/>
              <w:right w:val="nil"/>
              <w:tl2br w:val="nil"/>
              <w:tr2bl w:val="nil"/>
            </w:tcBorders>
            <w:tcMar>
              <w:left w:w="60" w:type="dxa"/>
              <w:right w:w="60" w:type="dxa"/>
            </w:tcMar>
            <w:vAlign w:val="center"/>
          </w:tcPr>
          <w:p w14:paraId="2090597C"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5CC59C06"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807FFE" w14:paraId="198FF1BE"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19C2E346" w14:textId="77777777" w:rsidR="00807FFE" w:rsidRDefault="00023E71">
            <w:pPr>
              <w:pStyle w:val="DMETW36755BIPLOIMPLOS"/>
              <w:rPr>
                <w:rFonts w:ascii="Verdana" w:eastAsia="Verdana" w:hAnsi="Verdana" w:cs="Verdana"/>
                <w:i/>
                <w:noProof/>
                <w:color w:val="000000"/>
                <w:sz w:val="18"/>
              </w:rPr>
            </w:pPr>
            <w:r>
              <w:rPr>
                <w:rFonts w:ascii="Verdana" w:eastAsia="Verdana" w:hAnsi="Verdana" w:cs="Verdana"/>
                <w:i/>
                <w:noProof/>
                <w:color w:val="000000"/>
                <w:sz w:val="18"/>
              </w:rPr>
              <w:t>Derecognitions - write offs</w:t>
            </w:r>
          </w:p>
        </w:tc>
        <w:tc>
          <w:tcPr>
            <w:tcW w:w="1189" w:type="dxa"/>
            <w:tcBorders>
              <w:top w:val="nil"/>
              <w:left w:val="nil"/>
              <w:bottom w:val="nil"/>
              <w:right w:val="nil"/>
              <w:tl2br w:val="nil"/>
              <w:tr2bl w:val="nil"/>
            </w:tcBorders>
            <w:tcMar>
              <w:left w:w="60" w:type="dxa"/>
              <w:right w:w="60" w:type="dxa"/>
            </w:tcMar>
            <w:vAlign w:val="center"/>
          </w:tcPr>
          <w:p w14:paraId="6495BB29"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5F39FFB7"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4F13F7EE"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242" w:type="dxa"/>
            <w:tcBorders>
              <w:top w:val="nil"/>
              <w:left w:val="nil"/>
              <w:bottom w:val="nil"/>
              <w:right w:val="nil"/>
              <w:tl2br w:val="nil"/>
              <w:tr2bl w:val="nil"/>
            </w:tcBorders>
            <w:tcMar>
              <w:left w:w="60" w:type="dxa"/>
              <w:right w:w="60" w:type="dxa"/>
            </w:tcMar>
            <w:vAlign w:val="center"/>
          </w:tcPr>
          <w:p w14:paraId="4C1B473E"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4D88F0EF"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807FFE" w14:paraId="35195F69" w14:textId="77777777">
        <w:trPr>
          <w:trHeight w:hRule="exact" w:val="255"/>
        </w:trPr>
        <w:tc>
          <w:tcPr>
            <w:tcW w:w="3763" w:type="dxa"/>
            <w:tcBorders>
              <w:top w:val="nil"/>
              <w:left w:val="nil"/>
              <w:bottom w:val="nil"/>
              <w:right w:val="nil"/>
              <w:tl2br w:val="nil"/>
              <w:tr2bl w:val="nil"/>
            </w:tcBorders>
            <w:tcMar>
              <w:left w:w="60" w:type="dxa"/>
              <w:right w:w="60" w:type="dxa"/>
            </w:tcMar>
            <w:vAlign w:val="center"/>
          </w:tcPr>
          <w:p w14:paraId="4239D599" w14:textId="77777777" w:rsidR="00807FFE" w:rsidRDefault="00023E71">
            <w:pPr>
              <w:pStyle w:val="DMETW36755BIPLOIMPLOS"/>
              <w:rPr>
                <w:rFonts w:ascii="Verdana" w:eastAsia="Verdana" w:hAnsi="Verdana" w:cs="Verdana"/>
                <w:i/>
                <w:noProof/>
                <w:color w:val="000000"/>
                <w:sz w:val="18"/>
              </w:rPr>
            </w:pPr>
            <w:r>
              <w:rPr>
                <w:rFonts w:ascii="Verdana" w:eastAsia="Verdana" w:hAnsi="Verdana" w:cs="Verdana"/>
                <w:i/>
                <w:noProof/>
                <w:color w:val="000000"/>
                <w:sz w:val="18"/>
              </w:rPr>
              <w:t>Loss allowance remeasurement</w:t>
            </w:r>
          </w:p>
        </w:tc>
        <w:tc>
          <w:tcPr>
            <w:tcW w:w="1189" w:type="dxa"/>
            <w:tcBorders>
              <w:top w:val="nil"/>
              <w:left w:val="nil"/>
              <w:bottom w:val="nil"/>
              <w:right w:val="nil"/>
              <w:tl2br w:val="nil"/>
              <w:tr2bl w:val="nil"/>
            </w:tcBorders>
            <w:tcMar>
              <w:left w:w="60" w:type="dxa"/>
              <w:right w:w="60" w:type="dxa"/>
            </w:tcMar>
            <w:vAlign w:val="center"/>
          </w:tcPr>
          <w:p w14:paraId="3FC424AD"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(22)</w:t>
            </w:r>
          </w:p>
        </w:tc>
        <w:tc>
          <w:tcPr>
            <w:tcW w:w="1188" w:type="dxa"/>
            <w:tcBorders>
              <w:top w:val="nil"/>
              <w:left w:val="nil"/>
              <w:bottom w:val="nil"/>
              <w:right w:val="nil"/>
              <w:tl2br w:val="nil"/>
              <w:tr2bl w:val="nil"/>
            </w:tcBorders>
            <w:tcMar>
              <w:left w:w="60" w:type="dxa"/>
              <w:right w:w="60" w:type="dxa"/>
            </w:tcMar>
            <w:vAlign w:val="center"/>
          </w:tcPr>
          <w:p w14:paraId="62BFCF5F"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907</w:t>
            </w:r>
          </w:p>
        </w:tc>
        <w:tc>
          <w:tcPr>
            <w:tcW w:w="1188" w:type="dxa"/>
            <w:tcBorders>
              <w:top w:val="nil"/>
              <w:left w:val="nil"/>
              <w:bottom w:val="nil"/>
              <w:right w:val="nil"/>
              <w:tl2br w:val="nil"/>
              <w:tr2bl w:val="nil"/>
            </w:tcBorders>
            <w:tcMar>
              <w:left w:w="60" w:type="dxa"/>
              <w:right w:w="60" w:type="dxa"/>
            </w:tcMar>
            <w:vAlign w:val="center"/>
          </w:tcPr>
          <w:p w14:paraId="73835722"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242" w:type="dxa"/>
            <w:tcBorders>
              <w:top w:val="nil"/>
              <w:left w:val="nil"/>
              <w:bottom w:val="nil"/>
              <w:right w:val="nil"/>
              <w:tl2br w:val="nil"/>
              <w:tr2bl w:val="nil"/>
            </w:tcBorders>
            <w:tcMar>
              <w:left w:w="60" w:type="dxa"/>
              <w:right w:w="60" w:type="dxa"/>
            </w:tcMar>
            <w:vAlign w:val="center"/>
          </w:tcPr>
          <w:p w14:paraId="10B2BB93"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14:paraId="33D2B292"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885</w:t>
            </w:r>
          </w:p>
        </w:tc>
      </w:tr>
      <w:tr w:rsidR="00807FFE" w14:paraId="0EC42D72" w14:textId="77777777">
        <w:trPr>
          <w:trHeight w:hRule="exact" w:val="255"/>
        </w:trPr>
        <w:tc>
          <w:tcPr>
            <w:tcW w:w="3763" w:type="dxa"/>
            <w:tcBorders>
              <w:top w:val="nil"/>
              <w:left w:val="nil"/>
              <w:bottom w:val="single" w:sz="4" w:space="0" w:color="016794"/>
              <w:right w:val="nil"/>
              <w:tl2br w:val="nil"/>
              <w:tr2bl w:val="nil"/>
            </w:tcBorders>
            <w:tcMar>
              <w:left w:w="60" w:type="dxa"/>
              <w:right w:w="60" w:type="dxa"/>
            </w:tcMar>
            <w:vAlign w:val="center"/>
          </w:tcPr>
          <w:p w14:paraId="296E06DA" w14:textId="77777777" w:rsidR="00807FFE" w:rsidRDefault="00023E71">
            <w:pPr>
              <w:pStyle w:val="DMETW36755BIPLOIMPLOS"/>
              <w:rPr>
                <w:rFonts w:ascii="Verdana" w:eastAsia="Verdana" w:hAnsi="Verdana" w:cs="Verdana"/>
                <w:i/>
                <w:noProof/>
                <w:color w:val="000000"/>
                <w:sz w:val="18"/>
              </w:rPr>
            </w:pPr>
            <w:r>
              <w:rPr>
                <w:rFonts w:ascii="Verdana" w:eastAsia="Verdana" w:hAnsi="Verdana" w:cs="Verdana"/>
                <w:i/>
                <w:noProof/>
                <w:color w:val="000000"/>
                <w:sz w:val="18"/>
              </w:rPr>
              <w:t>Other</w:t>
            </w:r>
          </w:p>
        </w:tc>
        <w:tc>
          <w:tcPr>
            <w:tcW w:w="1189" w:type="dxa"/>
            <w:tcBorders>
              <w:top w:val="nil"/>
              <w:left w:val="nil"/>
              <w:bottom w:val="single" w:sz="4" w:space="0" w:color="016794"/>
              <w:right w:val="nil"/>
              <w:tl2br w:val="nil"/>
              <w:tr2bl w:val="nil"/>
            </w:tcBorders>
            <w:tcMar>
              <w:left w:w="60" w:type="dxa"/>
              <w:right w:w="60" w:type="dxa"/>
            </w:tcMar>
            <w:vAlign w:val="center"/>
          </w:tcPr>
          <w:p w14:paraId="7D09AC83"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188" w:type="dxa"/>
            <w:tcBorders>
              <w:top w:val="nil"/>
              <w:left w:val="nil"/>
              <w:bottom w:val="single" w:sz="4" w:space="0" w:color="016794"/>
              <w:right w:val="nil"/>
              <w:tl2br w:val="nil"/>
              <w:tr2bl w:val="nil"/>
            </w:tcBorders>
            <w:tcMar>
              <w:left w:w="60" w:type="dxa"/>
              <w:right w:w="60" w:type="dxa"/>
            </w:tcMar>
            <w:vAlign w:val="center"/>
          </w:tcPr>
          <w:p w14:paraId="772C1D31"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188" w:type="dxa"/>
            <w:tcBorders>
              <w:top w:val="nil"/>
              <w:left w:val="nil"/>
              <w:bottom w:val="single" w:sz="4" w:space="0" w:color="016794"/>
              <w:right w:val="nil"/>
              <w:tl2br w:val="nil"/>
              <w:tr2bl w:val="nil"/>
            </w:tcBorders>
            <w:tcMar>
              <w:left w:w="60" w:type="dxa"/>
              <w:right w:w="60" w:type="dxa"/>
            </w:tcMar>
            <w:vAlign w:val="center"/>
          </w:tcPr>
          <w:p w14:paraId="7268C786"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242" w:type="dxa"/>
            <w:tcBorders>
              <w:top w:val="nil"/>
              <w:left w:val="nil"/>
              <w:bottom w:val="single" w:sz="4" w:space="0" w:color="016794"/>
              <w:right w:val="nil"/>
              <w:tl2br w:val="nil"/>
              <w:tr2bl w:val="nil"/>
            </w:tcBorders>
            <w:tcMar>
              <w:left w:w="60" w:type="dxa"/>
              <w:right w:w="60" w:type="dxa"/>
            </w:tcMar>
            <w:vAlign w:val="center"/>
          </w:tcPr>
          <w:p w14:paraId="38BB6115" w14:textId="77777777" w:rsidR="00807FFE" w:rsidRDefault="00023E71">
            <w:pPr>
              <w:pStyle w:val="DMETW36755BIPLOIMPLO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88" w:type="dxa"/>
            <w:tcBorders>
              <w:top w:val="nil"/>
              <w:left w:val="nil"/>
              <w:bottom w:val="single" w:sz="4" w:space="0" w:color="016794"/>
              <w:right w:val="nil"/>
              <w:tl2br w:val="nil"/>
              <w:tr2bl w:val="nil"/>
            </w:tcBorders>
            <w:tcMar>
              <w:left w:w="60" w:type="dxa"/>
              <w:right w:w="60" w:type="dxa"/>
            </w:tcMar>
            <w:vAlign w:val="center"/>
          </w:tcPr>
          <w:p w14:paraId="078830C8" w14:textId="77777777" w:rsidR="00807FFE" w:rsidRDefault="00023E71">
            <w:pPr>
              <w:pStyle w:val="DMETW36755BIPLOIMPLO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w:t>
            </w:r>
          </w:p>
        </w:tc>
      </w:tr>
      <w:tr w:rsidR="00807FFE" w14:paraId="52DA036E" w14:textId="77777777">
        <w:trPr>
          <w:trHeight w:hRule="exact" w:val="255"/>
        </w:trPr>
        <w:tc>
          <w:tcPr>
            <w:tcW w:w="3763" w:type="dxa"/>
            <w:tcBorders>
              <w:top w:val="single" w:sz="4" w:space="0" w:color="016794"/>
              <w:left w:val="nil"/>
              <w:bottom w:val="single" w:sz="4" w:space="0" w:color="016794"/>
              <w:right w:val="nil"/>
              <w:tl2br w:val="nil"/>
              <w:tr2bl w:val="nil"/>
            </w:tcBorders>
            <w:tcMar>
              <w:left w:w="60" w:type="dxa"/>
              <w:right w:w="60" w:type="dxa"/>
            </w:tcMar>
            <w:vAlign w:val="center"/>
          </w:tcPr>
          <w:p w14:paraId="17101827" w14:textId="77777777" w:rsidR="00807FFE" w:rsidRDefault="00023E71">
            <w:pPr>
              <w:pStyle w:val="DMETW36755BIPLOIMPLOS"/>
              <w:rPr>
                <w:rFonts w:ascii="Verdana" w:eastAsia="Verdana" w:hAnsi="Verdana" w:cs="Verdana"/>
                <w:b/>
                <w:noProof/>
                <w:color w:val="000000"/>
                <w:sz w:val="18"/>
              </w:rPr>
            </w:pPr>
            <w:r>
              <w:rPr>
                <w:rFonts w:ascii="Verdana" w:eastAsia="Verdana" w:hAnsi="Verdana" w:cs="Verdana"/>
                <w:b/>
                <w:noProof/>
                <w:color w:val="000000"/>
                <w:sz w:val="18"/>
              </w:rPr>
              <w:t>Loss allowance at 31.12.2025</w:t>
            </w:r>
          </w:p>
        </w:tc>
        <w:tc>
          <w:tcPr>
            <w:tcW w:w="1189" w:type="dxa"/>
            <w:tcBorders>
              <w:top w:val="single" w:sz="4" w:space="0" w:color="016794"/>
              <w:left w:val="nil"/>
              <w:bottom w:val="single" w:sz="4" w:space="0" w:color="016794"/>
              <w:right w:val="nil"/>
              <w:tl2br w:val="nil"/>
              <w:tr2bl w:val="nil"/>
            </w:tcBorders>
            <w:tcMar>
              <w:left w:w="60" w:type="dxa"/>
              <w:right w:w="60" w:type="dxa"/>
            </w:tcMar>
            <w:vAlign w:val="center"/>
          </w:tcPr>
          <w:p w14:paraId="5F7B4A50" w14:textId="77777777" w:rsidR="00807FFE" w:rsidRDefault="00023E71">
            <w:pPr>
              <w:pStyle w:val="DMETW36755BIPLOIMPLOS"/>
              <w:jc w:val="right"/>
              <w:rPr>
                <w:rFonts w:ascii="Verdana" w:eastAsia="Verdana" w:hAnsi="Verdana" w:cs="Verdana"/>
                <w:b/>
                <w:noProof/>
                <w:color w:val="000000"/>
                <w:sz w:val="18"/>
              </w:rPr>
            </w:pPr>
            <w:r>
              <w:rPr>
                <w:rFonts w:ascii="Verdana" w:eastAsia="Verdana" w:hAnsi="Verdana" w:cs="Verdana"/>
                <w:b/>
                <w:noProof/>
                <w:color w:val="000000"/>
                <w:sz w:val="18"/>
              </w:rPr>
              <w:t xml:space="preserve"> 12</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14:paraId="17DEB71B" w14:textId="77777777" w:rsidR="00807FFE" w:rsidRDefault="00023E71">
            <w:pPr>
              <w:pStyle w:val="DMETW36755BIPLOIMPLOS"/>
              <w:jc w:val="right"/>
              <w:rPr>
                <w:rFonts w:ascii="Verdana" w:eastAsia="Verdana" w:hAnsi="Verdana" w:cs="Verdana"/>
                <w:b/>
                <w:noProof/>
                <w:color w:val="000000"/>
                <w:sz w:val="18"/>
              </w:rPr>
            </w:pPr>
            <w:r>
              <w:rPr>
                <w:rFonts w:ascii="Verdana" w:eastAsia="Verdana" w:hAnsi="Verdana" w:cs="Verdana"/>
                <w:b/>
                <w:noProof/>
                <w:color w:val="000000"/>
                <w:sz w:val="18"/>
              </w:rPr>
              <w:t>30 357</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14:paraId="56234AB1" w14:textId="77777777" w:rsidR="00807FFE" w:rsidRDefault="00023E71">
            <w:pPr>
              <w:pStyle w:val="DMETW36755BIPLOIMPLOS"/>
              <w:jc w:val="right"/>
              <w:rPr>
                <w:rFonts w:ascii="Verdana" w:eastAsia="Verdana" w:hAnsi="Verdana" w:cs="Verdana"/>
                <w:b/>
                <w:noProof/>
                <w:color w:val="000000"/>
                <w:sz w:val="18"/>
              </w:rPr>
            </w:pPr>
            <w:r>
              <w:rPr>
                <w:rFonts w:ascii="Verdana" w:eastAsia="Verdana" w:hAnsi="Verdana" w:cs="Verdana"/>
                <w:b/>
                <w:noProof/>
                <w:color w:val="000000"/>
                <w:sz w:val="18"/>
              </w:rPr>
              <w:t xml:space="preserve"> 24</w:t>
            </w:r>
          </w:p>
        </w:tc>
        <w:tc>
          <w:tcPr>
            <w:tcW w:w="1242" w:type="dxa"/>
            <w:tcBorders>
              <w:top w:val="single" w:sz="4" w:space="0" w:color="016794"/>
              <w:left w:val="nil"/>
              <w:bottom w:val="single" w:sz="4" w:space="0" w:color="016794"/>
              <w:right w:val="nil"/>
              <w:tl2br w:val="nil"/>
              <w:tr2bl w:val="nil"/>
            </w:tcBorders>
            <w:tcMar>
              <w:left w:w="60" w:type="dxa"/>
              <w:right w:w="60" w:type="dxa"/>
            </w:tcMar>
            <w:vAlign w:val="center"/>
          </w:tcPr>
          <w:p w14:paraId="22F557DF" w14:textId="77777777" w:rsidR="00807FFE" w:rsidRDefault="00023E71">
            <w:pPr>
              <w:pStyle w:val="DMETW36755BIPLOIMPLOS"/>
              <w:jc w:val="right"/>
              <w:rPr>
                <w:rFonts w:ascii="Verdana" w:eastAsia="Verdana" w:hAnsi="Verdana" w:cs="Verdana"/>
                <w:b/>
                <w:noProof/>
                <w:color w:val="000000"/>
                <w:sz w:val="18"/>
              </w:rPr>
            </w:pPr>
            <w:r>
              <w:rPr>
                <w:rFonts w:ascii="Verdana" w:eastAsia="Verdana" w:hAnsi="Verdana" w:cs="Verdana"/>
                <w:b/>
                <w:noProof/>
                <w:color w:val="000000"/>
                <w:sz w:val="18"/>
              </w:rPr>
              <w:t xml:space="preserve"> (24)</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14:paraId="3938CB3F" w14:textId="77777777" w:rsidR="00807FFE" w:rsidRDefault="00023E71">
            <w:pPr>
              <w:pStyle w:val="DMETW36755BIPLOIMPLOS"/>
              <w:jc w:val="right"/>
              <w:rPr>
                <w:rFonts w:ascii="Verdana" w:eastAsia="Verdana" w:hAnsi="Verdana" w:cs="Verdana"/>
                <w:b/>
                <w:noProof/>
                <w:color w:val="000000"/>
                <w:sz w:val="18"/>
              </w:rPr>
            </w:pPr>
            <w:r>
              <w:rPr>
                <w:rFonts w:ascii="Verdana" w:eastAsia="Verdana" w:hAnsi="Verdana" w:cs="Verdana"/>
                <w:b/>
                <w:noProof/>
                <w:color w:val="000000"/>
                <w:sz w:val="18"/>
              </w:rPr>
              <w:t>30 369</w:t>
            </w:r>
          </w:p>
        </w:tc>
      </w:tr>
    </w:tbl>
    <w:p w14:paraId="10C2811C" w14:textId="77777777" w:rsidR="00A87A92" w:rsidRPr="00723213" w:rsidRDefault="00023E71" w:rsidP="00A87A92">
      <w:pPr>
        <w:pStyle w:val="DGTextstand-alone"/>
        <w:rPr>
          <w:lang w:val="en-IE" w:eastAsia="en-IE"/>
        </w:rPr>
      </w:pPr>
      <w:r w:rsidRPr="6C204149">
        <w:rPr>
          <w:lang w:val="en-IE" w:eastAsia="en-IE"/>
        </w:rPr>
        <w:t>The additional impairment loss allowance on Stage 2 loans is mainly due to new loans to Ukraine disbursed under the Ukraine Facility and MFA ULCM</w:t>
      </w:r>
      <w:r w:rsidR="00A04A21">
        <w:rPr>
          <w:lang w:val="en-IE" w:eastAsia="en-IE"/>
        </w:rPr>
        <w:t xml:space="preserve"> </w:t>
      </w:r>
      <w:r w:rsidR="00A04A21" w:rsidRPr="6C204149">
        <w:rPr>
          <w:lang w:val="en-IE" w:eastAsia="en-IE"/>
        </w:rPr>
        <w:t xml:space="preserve">(see </w:t>
      </w:r>
      <w:r w:rsidR="00A04A21">
        <w:rPr>
          <w:lang w:val="en-IE" w:eastAsia="en-IE"/>
        </w:rPr>
        <w:t>N</w:t>
      </w:r>
      <w:r w:rsidR="00A04A21" w:rsidRPr="6C204149">
        <w:rPr>
          <w:lang w:val="en-IE" w:eastAsia="en-IE"/>
        </w:rPr>
        <w:t xml:space="preserve">ote </w:t>
      </w:r>
      <w:r w:rsidR="00A04A21" w:rsidRPr="6C204149">
        <w:rPr>
          <w:b/>
          <w:bCs/>
          <w:lang w:val="en-IE" w:eastAsia="en-IE"/>
        </w:rPr>
        <w:t>2.4.1.1</w:t>
      </w:r>
      <w:r w:rsidR="00A04A21" w:rsidRPr="6C204149">
        <w:rPr>
          <w:lang w:val="en-IE" w:eastAsia="en-IE"/>
        </w:rPr>
        <w:t>)</w:t>
      </w:r>
      <w:r w:rsidRPr="6C204149">
        <w:rPr>
          <w:lang w:val="en-IE" w:eastAsia="en-IE"/>
        </w:rPr>
        <w:t xml:space="preserve"> and to an update of the risk parameters applied in the credit risk estimates.</w:t>
      </w:r>
    </w:p>
    <w:p w14:paraId="10DFC31A" w14:textId="77777777" w:rsidR="00A87A92" w:rsidRPr="005779E6" w:rsidRDefault="00023E71" w:rsidP="00A87A92">
      <w:pPr>
        <w:pStyle w:val="DGTextstand-alone"/>
        <w:rPr>
          <w:lang w:val="en-IE" w:eastAsia="en-IE"/>
        </w:rPr>
      </w:pPr>
      <w:bookmarkStart w:id="231" w:name="_Hlk193661875"/>
      <w:r w:rsidRPr="6C204149">
        <w:rPr>
          <w:lang w:val="en-IE" w:eastAsia="en-IE"/>
        </w:rPr>
        <w:t xml:space="preserve">In 2025, the EU granted EUR 1.1 billion (2024: EUR 763 million) of interest rate subsidies to Ukraine for interest accrued on some of the exceptional MFA loans, MFA+ and Ukraine Facility loans. The amortised cost before modification was EUR 37.7 billion (2024: EUR 17.3 billion). This modification of the contractual terms was accounted for as a modification loss in the statement of financial performance (see </w:t>
      </w:r>
      <w:r>
        <w:rPr>
          <w:lang w:val="en-IE" w:eastAsia="en-IE"/>
        </w:rPr>
        <w:t>N</w:t>
      </w:r>
      <w:r w:rsidRPr="6C204149">
        <w:rPr>
          <w:lang w:val="en-IE" w:eastAsia="en-IE"/>
        </w:rPr>
        <w:t xml:space="preserve">ote </w:t>
      </w:r>
      <w:r w:rsidRPr="6C204149">
        <w:rPr>
          <w:b/>
          <w:bCs/>
          <w:lang w:val="en-IE" w:eastAsia="en-IE"/>
        </w:rPr>
        <w:t>3.15</w:t>
      </w:r>
      <w:r w:rsidRPr="6C204149">
        <w:rPr>
          <w:lang w:val="en-IE" w:eastAsia="en-IE"/>
        </w:rPr>
        <w:t>). The interest rate subsidy did not have a significant impact on the credit risk assessment, and the loans continued to be classified as Stage 2 as at 31 December 2025.</w:t>
      </w:r>
    </w:p>
    <w:bookmarkEnd w:id="231"/>
    <w:p w14:paraId="734C6B33" w14:textId="77777777" w:rsidR="00A87A92" w:rsidRPr="00987A10" w:rsidRDefault="00023E71" w:rsidP="00A87A92">
      <w:pPr>
        <w:pStyle w:val="DGTextstand-alone"/>
        <w:rPr>
          <w:lang w:val="en-IE" w:eastAsia="en-IE"/>
        </w:rPr>
      </w:pPr>
      <w:r w:rsidRPr="007412C0">
        <w:rPr>
          <w:lang w:val="en-IE" w:eastAsia="en-IE"/>
        </w:rPr>
        <w:t xml:space="preserve">Please refer to </w:t>
      </w:r>
      <w:r>
        <w:rPr>
          <w:lang w:val="en-IE" w:eastAsia="en-IE"/>
        </w:rPr>
        <w:t>N</w:t>
      </w:r>
      <w:r w:rsidRPr="007412C0">
        <w:rPr>
          <w:lang w:val="en-IE" w:eastAsia="en-IE"/>
        </w:rPr>
        <w:t xml:space="preserve">ote </w:t>
      </w:r>
      <w:r w:rsidRPr="005779E6">
        <w:rPr>
          <w:b/>
          <w:bCs/>
          <w:lang w:val="en-IE" w:eastAsia="en-IE"/>
        </w:rPr>
        <w:t>1.5.5</w:t>
      </w:r>
      <w:r w:rsidRPr="007412C0">
        <w:rPr>
          <w:lang w:val="en-IE" w:eastAsia="en-IE"/>
        </w:rPr>
        <w:t xml:space="preserve"> for the EU staging policies</w:t>
      </w:r>
      <w:r>
        <w:rPr>
          <w:lang w:val="en-IE" w:eastAsia="en-IE"/>
        </w:rPr>
        <w:t xml:space="preserve"> for loans.</w:t>
      </w:r>
    </w:p>
    <w:p w14:paraId="55B96A8E" w14:textId="77777777" w:rsidR="00A87A92" w:rsidRPr="00E86246" w:rsidRDefault="00023E71" w:rsidP="00A87A92">
      <w:pPr>
        <w:pStyle w:val="HEADER5"/>
        <w:spacing w:before="240"/>
        <w:rPr>
          <w:noProof/>
        </w:rPr>
      </w:pPr>
      <w:r>
        <w:rPr>
          <w:noProof/>
        </w:rPr>
        <w:t xml:space="preserve">Loans: </w:t>
      </w:r>
      <w:r w:rsidRPr="00E86246">
        <w:rPr>
          <w:noProof/>
        </w:rPr>
        <w:t>ECL measurement</w:t>
      </w:r>
    </w:p>
    <w:p w14:paraId="45399A22" w14:textId="77777777" w:rsidR="00A87A92" w:rsidRPr="00ED0557" w:rsidRDefault="00023E71" w:rsidP="00A87A92">
      <w:pPr>
        <w:pStyle w:val="DGTextstand-alone"/>
        <w:rPr>
          <w:lang w:val="en-IE" w:eastAsia="en-IE"/>
        </w:rPr>
      </w:pPr>
      <w:r w:rsidRPr="1D0DAAEE">
        <w:rPr>
          <w:lang w:val="en-IE" w:eastAsia="en-IE"/>
        </w:rPr>
        <w:t>The EU uses a probability-weighted estimation to measure expected credit losses. This involves estimating the difference between contractual cash flows and expected cash flows.</w:t>
      </w:r>
    </w:p>
    <w:p w14:paraId="4DDAEE4E" w14:textId="77777777" w:rsidR="00A87A92" w:rsidRPr="00ED0557" w:rsidRDefault="00023E71" w:rsidP="00A87A92">
      <w:pPr>
        <w:pStyle w:val="DGTextstand-alone"/>
        <w:rPr>
          <w:lang w:val="en-IE" w:eastAsia="en-IE"/>
        </w:rPr>
      </w:pPr>
      <w:r w:rsidRPr="1D0DAAEE">
        <w:rPr>
          <w:lang w:val="en-IE" w:eastAsia="en-IE"/>
        </w:rPr>
        <w:t>The EU uses three credit risk parameters for this estimation:</w:t>
      </w:r>
    </w:p>
    <w:p w14:paraId="62F50C03" w14:textId="77777777" w:rsidR="00A87A92" w:rsidRPr="00256267" w:rsidRDefault="00023E71" w:rsidP="00172034">
      <w:pPr>
        <w:pStyle w:val="DGTextstand-alonedashesjustified"/>
        <w:numPr>
          <w:ilvl w:val="0"/>
          <w:numId w:val="22"/>
        </w:numPr>
        <w:rPr>
          <w:lang w:eastAsia="en-GB"/>
        </w:rPr>
      </w:pPr>
      <w:r w:rsidRPr="00256267">
        <w:rPr>
          <w:lang w:eastAsia="en-GB"/>
        </w:rPr>
        <w:t>Probability of default (PD): This is a percentage that represents the likelihood of a counterparty defaulting on its financial obligation, either over the next 12 months or over the remaining lifetime of the obligation.</w:t>
      </w:r>
    </w:p>
    <w:p w14:paraId="6DDABB95" w14:textId="77777777" w:rsidR="00A87A92" w:rsidRPr="00256267" w:rsidRDefault="00023E71" w:rsidP="00172034">
      <w:pPr>
        <w:pStyle w:val="DGTextstand-alonedashesjustified"/>
        <w:numPr>
          <w:ilvl w:val="0"/>
          <w:numId w:val="22"/>
        </w:numPr>
        <w:rPr>
          <w:lang w:eastAsia="en-GB"/>
        </w:rPr>
      </w:pPr>
      <w:r w:rsidRPr="00256267">
        <w:rPr>
          <w:lang w:eastAsia="en-GB"/>
        </w:rPr>
        <w:t>Loss given default (LGD): This is a percentage that shows the expected cash shortfall, taking into account recoveries and collaterals.</w:t>
      </w:r>
    </w:p>
    <w:p w14:paraId="7B5B43ED" w14:textId="77777777" w:rsidR="00A87A92" w:rsidRPr="00256267" w:rsidRDefault="00023E71" w:rsidP="00172034">
      <w:pPr>
        <w:pStyle w:val="DGTextstand-alonedashesjustified"/>
        <w:numPr>
          <w:ilvl w:val="0"/>
          <w:numId w:val="22"/>
        </w:numPr>
        <w:rPr>
          <w:lang w:eastAsia="en-GB"/>
        </w:rPr>
      </w:pPr>
      <w:r w:rsidRPr="00256267">
        <w:rPr>
          <w:lang w:eastAsia="en-GB"/>
        </w:rPr>
        <w:t>Exposure at default (EAD): This is the outstanding exposure (amount) at the time of a default.</w:t>
      </w:r>
    </w:p>
    <w:p w14:paraId="7749E497" w14:textId="77777777" w:rsidR="00A87A92" w:rsidRPr="00ED0557" w:rsidRDefault="00023E71" w:rsidP="00A87A92">
      <w:pPr>
        <w:pStyle w:val="DGTextstand-alone"/>
        <w:rPr>
          <w:lang w:val="en-IE" w:eastAsia="en-IE"/>
        </w:rPr>
      </w:pPr>
      <w:r w:rsidRPr="1D0DAAEE">
        <w:rPr>
          <w:lang w:val="en-IE" w:eastAsia="en-IE"/>
        </w:rPr>
        <w:t xml:space="preserve">The EU takes into account its </w:t>
      </w:r>
      <w:r w:rsidRPr="005779E6">
        <w:rPr>
          <w:lang w:val="en-IE" w:eastAsia="en-IE"/>
        </w:rPr>
        <w:t>de facto</w:t>
      </w:r>
      <w:r w:rsidRPr="1D0DAAEE">
        <w:rPr>
          <w:lang w:val="en-IE" w:eastAsia="en-IE"/>
        </w:rPr>
        <w:t xml:space="preserve"> preferred creditor status when estimating the LGD on sovereign exposures.</w:t>
      </w:r>
    </w:p>
    <w:p w14:paraId="68D35AAE" w14:textId="77777777" w:rsidR="00A87A92" w:rsidRPr="00ED0557" w:rsidRDefault="00023E71" w:rsidP="00A87A92">
      <w:pPr>
        <w:pStyle w:val="DGTextstand-alone"/>
        <w:rPr>
          <w:lang w:val="en-IE" w:eastAsia="en-IE"/>
        </w:rPr>
      </w:pPr>
      <w:r w:rsidRPr="1D0DAAEE">
        <w:rPr>
          <w:lang w:val="en-IE" w:eastAsia="en-IE"/>
        </w:rPr>
        <w:t>The estimated cash flows over the expected life of the financial asset are discounted at the effective interest rate.</w:t>
      </w:r>
    </w:p>
    <w:p w14:paraId="0F4ABFB9" w14:textId="77777777" w:rsidR="00441606" w:rsidRPr="005779E6" w:rsidRDefault="00023E71" w:rsidP="00701B93">
      <w:pPr>
        <w:pStyle w:val="DGTextstand-alone"/>
        <w:rPr>
          <w:lang w:val="en-IE" w:eastAsia="en-IE"/>
        </w:rPr>
      </w:pPr>
      <w:r w:rsidRPr="1D0DAAEE">
        <w:rPr>
          <w:lang w:val="en-IE" w:eastAsia="en-IE"/>
        </w:rPr>
        <w:t>The EU considers reasonable and justified forward-looking information, available without undue cost and effort, and adjusts the model parameters when necessary</w:t>
      </w:r>
      <w:r w:rsidR="006D49AA" w:rsidRPr="005779E6">
        <w:rPr>
          <w:lang w:val="en-IE" w:eastAsia="en-IE"/>
        </w:rPr>
        <w:t>.</w:t>
      </w:r>
    </w:p>
    <w:p w14:paraId="41A9CF02" w14:textId="77777777" w:rsidR="009B36B9" w:rsidRDefault="00023E71" w:rsidP="005779E6">
      <w:pPr>
        <w:pStyle w:val="HEADER5"/>
        <w:rPr>
          <w:noProof/>
        </w:rPr>
      </w:pPr>
      <w:r w:rsidRPr="009B36B9">
        <w:rPr>
          <w:noProof/>
        </w:rPr>
        <w:t>Cash and cash equivalen</w:t>
      </w:r>
      <w:r>
        <w:rPr>
          <w:noProof/>
        </w:rPr>
        <w:t xml:space="preserve">ts: credit quality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0"/>
        <w:gridCol w:w="1650"/>
        <w:gridCol w:w="1618"/>
      </w:tblGrid>
      <w:tr w:rsidR="00807FFE" w14:paraId="083EB340" w14:textId="77777777">
        <w:trPr>
          <w:trHeight w:hRule="exact" w:val="255"/>
        </w:trPr>
        <w:tc>
          <w:tcPr>
            <w:tcW w:w="6490" w:type="dxa"/>
            <w:tcBorders>
              <w:top w:val="nil"/>
              <w:left w:val="nil"/>
              <w:bottom w:val="nil"/>
              <w:right w:val="nil"/>
              <w:tl2br w:val="nil"/>
              <w:tr2bl w:val="nil"/>
            </w:tcBorders>
            <w:tcMar>
              <w:left w:w="60" w:type="dxa"/>
              <w:right w:w="60" w:type="dxa"/>
            </w:tcMar>
            <w:vAlign w:val="center"/>
          </w:tcPr>
          <w:p w14:paraId="2A775F69" w14:textId="77777777" w:rsidR="00807FFE" w:rsidRDefault="00807FFE">
            <w:pPr>
              <w:pStyle w:val="DMETW36755BIPCECTQ"/>
              <w:rPr>
                <w:rFonts w:ascii="Verdana" w:eastAsia="Verdana" w:hAnsi="Verdana" w:cs="Verdana"/>
                <w:b/>
                <w:noProof/>
                <w:color w:val="000000"/>
                <w:sz w:val="18"/>
                <w:lang w:bidi="en-GB"/>
              </w:rPr>
            </w:pPr>
            <w:bookmarkStart w:id="232" w:name="DOC_TBL00098_1_1"/>
            <w:bookmarkEnd w:id="232"/>
          </w:p>
        </w:tc>
        <w:tc>
          <w:tcPr>
            <w:tcW w:w="1650" w:type="dxa"/>
            <w:tcBorders>
              <w:top w:val="nil"/>
              <w:left w:val="nil"/>
              <w:bottom w:val="nil"/>
              <w:right w:val="nil"/>
              <w:tl2br w:val="nil"/>
              <w:tr2bl w:val="nil"/>
            </w:tcBorders>
            <w:tcMar>
              <w:left w:w="60" w:type="dxa"/>
              <w:right w:w="60" w:type="dxa"/>
            </w:tcMar>
            <w:vAlign w:val="bottom"/>
          </w:tcPr>
          <w:p w14:paraId="40941743" w14:textId="77777777" w:rsidR="00807FFE" w:rsidRDefault="00807FFE">
            <w:pPr>
              <w:pStyle w:val="DMETW36755BIPCECTQ"/>
              <w:jc w:val="right"/>
              <w:rPr>
                <w:rFonts w:ascii="Verdana" w:eastAsia="Verdana" w:hAnsi="Verdana" w:cs="Verdana"/>
                <w:i/>
                <w:noProof/>
                <w:color w:val="000000"/>
                <w:sz w:val="16"/>
              </w:rPr>
            </w:pPr>
          </w:p>
        </w:tc>
        <w:tc>
          <w:tcPr>
            <w:tcW w:w="1618" w:type="dxa"/>
            <w:tcBorders>
              <w:top w:val="nil"/>
              <w:left w:val="nil"/>
              <w:bottom w:val="nil"/>
              <w:right w:val="nil"/>
              <w:tl2br w:val="nil"/>
              <w:tr2bl w:val="nil"/>
            </w:tcBorders>
            <w:tcMar>
              <w:left w:w="60" w:type="dxa"/>
              <w:right w:w="60" w:type="dxa"/>
            </w:tcMar>
            <w:vAlign w:val="bottom"/>
          </w:tcPr>
          <w:p w14:paraId="0C4D3032" w14:textId="77777777" w:rsidR="00807FFE" w:rsidRDefault="00023E71">
            <w:pPr>
              <w:pStyle w:val="DMETW36755BIPCECTQ"/>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0AA4F54E" w14:textId="77777777">
        <w:trPr>
          <w:trHeight w:hRule="exact" w:val="255"/>
        </w:trPr>
        <w:tc>
          <w:tcPr>
            <w:tcW w:w="6490" w:type="dxa"/>
            <w:vMerge w:val="restart"/>
            <w:tcBorders>
              <w:top w:val="nil"/>
              <w:left w:val="nil"/>
              <w:bottom w:val="nil"/>
              <w:right w:val="nil"/>
              <w:tl2br w:val="nil"/>
              <w:tr2bl w:val="nil"/>
            </w:tcBorders>
            <w:shd w:val="solid" w:color="016794" w:fill="FFFFFF"/>
            <w:tcMar>
              <w:left w:w="60" w:type="dxa"/>
              <w:right w:w="60" w:type="dxa"/>
            </w:tcMar>
            <w:vAlign w:val="center"/>
          </w:tcPr>
          <w:p w14:paraId="686F63DB" w14:textId="77777777" w:rsidR="00807FFE" w:rsidRDefault="00807FFE">
            <w:pPr>
              <w:pStyle w:val="DMETW36755BIPCECTQ"/>
              <w:jc w:val="center"/>
              <w:rPr>
                <w:rFonts w:ascii="Verdana" w:eastAsia="Verdana" w:hAnsi="Verdana" w:cs="Verdana"/>
                <w:noProof/>
                <w:color w:val="FFFFFF"/>
              </w:rPr>
            </w:pPr>
          </w:p>
        </w:tc>
        <w:tc>
          <w:tcPr>
            <w:tcW w:w="1650" w:type="dxa"/>
            <w:vMerge w:val="restart"/>
            <w:tcBorders>
              <w:top w:val="nil"/>
              <w:left w:val="nil"/>
              <w:bottom w:val="nil"/>
              <w:right w:val="nil"/>
              <w:tl2br w:val="nil"/>
              <w:tr2bl w:val="nil"/>
            </w:tcBorders>
            <w:shd w:val="solid" w:color="016794" w:fill="FFFFFF"/>
            <w:tcMar>
              <w:left w:w="60" w:type="dxa"/>
              <w:right w:w="60" w:type="dxa"/>
            </w:tcMar>
            <w:vAlign w:val="center"/>
          </w:tcPr>
          <w:p w14:paraId="1456BEF3" w14:textId="77777777" w:rsidR="00807FFE" w:rsidRDefault="00023E71">
            <w:pPr>
              <w:pStyle w:val="DMETW36755BIPCECTQ"/>
              <w:jc w:val="right"/>
              <w:rPr>
                <w:rFonts w:ascii="Verdana" w:eastAsia="Verdana" w:hAnsi="Verdana" w:cs="Verdana"/>
                <w:noProof/>
                <w:color w:val="FFFFFF"/>
              </w:rPr>
            </w:pPr>
            <w:r>
              <w:rPr>
                <w:rFonts w:ascii="Verdana" w:eastAsia="Verdana" w:hAnsi="Verdana" w:cs="Verdana"/>
                <w:noProof/>
                <w:color w:val="FFFFFF"/>
              </w:rPr>
              <w:t>31.12.2025</w:t>
            </w:r>
          </w:p>
        </w:tc>
        <w:tc>
          <w:tcPr>
            <w:tcW w:w="1618" w:type="dxa"/>
            <w:vMerge w:val="restart"/>
            <w:tcBorders>
              <w:top w:val="nil"/>
              <w:left w:val="nil"/>
              <w:bottom w:val="nil"/>
              <w:right w:val="nil"/>
              <w:tl2br w:val="nil"/>
              <w:tr2bl w:val="nil"/>
            </w:tcBorders>
            <w:shd w:val="solid" w:color="016794" w:fill="FFFFFF"/>
            <w:tcMar>
              <w:left w:w="60" w:type="dxa"/>
              <w:right w:w="60" w:type="dxa"/>
            </w:tcMar>
            <w:vAlign w:val="center"/>
          </w:tcPr>
          <w:p w14:paraId="5EE82374" w14:textId="77777777" w:rsidR="00807FFE" w:rsidRDefault="00023E71">
            <w:pPr>
              <w:pStyle w:val="DMETW36755BIPCECTQ"/>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807FFE" w14:paraId="611BBF0E" w14:textId="77777777">
        <w:trPr>
          <w:trHeight w:hRule="exact" w:val="255"/>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14:paraId="756374D8" w14:textId="77777777" w:rsidR="00807FFE" w:rsidRDefault="00807FFE">
            <w:pPr>
              <w:pStyle w:val="DMETW36755BIPCECTQ"/>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03867590" w14:textId="77777777" w:rsidR="00807FFE" w:rsidRDefault="00807FFE">
            <w:pPr>
              <w:pStyle w:val="DMETW36755BIPCECT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14:paraId="5858C8C9" w14:textId="77777777" w:rsidR="00807FFE" w:rsidRDefault="00807FFE">
            <w:pPr>
              <w:pStyle w:val="DMETW36755BIPCECTQ"/>
              <w:jc w:val="right"/>
              <w:rPr>
                <w:rFonts w:ascii="Verdana" w:eastAsia="Verdana" w:hAnsi="Verdana" w:cs="Verdana"/>
                <w:noProof/>
                <w:color w:val="FFFFFF"/>
              </w:rPr>
            </w:pPr>
          </w:p>
        </w:tc>
      </w:tr>
      <w:tr w:rsidR="00807FFE" w14:paraId="1E4E3B7B" w14:textId="77777777">
        <w:trPr>
          <w:trHeight w:hRule="exact" w:val="255"/>
        </w:trPr>
        <w:tc>
          <w:tcPr>
            <w:tcW w:w="6490" w:type="dxa"/>
            <w:tcBorders>
              <w:top w:val="nil"/>
              <w:left w:val="nil"/>
              <w:bottom w:val="nil"/>
              <w:right w:val="nil"/>
              <w:tl2br w:val="nil"/>
              <w:tr2bl w:val="nil"/>
            </w:tcBorders>
            <w:tcMar>
              <w:left w:w="60" w:type="dxa"/>
              <w:right w:w="60" w:type="dxa"/>
            </w:tcMar>
            <w:vAlign w:val="center"/>
          </w:tcPr>
          <w:p w14:paraId="007D557B" w14:textId="77777777" w:rsidR="00807FFE" w:rsidRDefault="00023E71">
            <w:pPr>
              <w:pStyle w:val="DMETW36755BIPCECTQ"/>
              <w:rPr>
                <w:rFonts w:ascii="Verdana" w:eastAsia="Verdana" w:hAnsi="Verdana" w:cs="Verdana"/>
                <w:b/>
                <w:noProof/>
                <w:color w:val="000000"/>
                <w:sz w:val="18"/>
              </w:rPr>
            </w:pPr>
            <w:r>
              <w:rPr>
                <w:rFonts w:ascii="Verdana" w:eastAsia="Verdana" w:hAnsi="Verdana" w:cs="Verdana"/>
                <w:b/>
                <w:noProof/>
                <w:color w:val="000000"/>
                <w:sz w:val="18"/>
              </w:rPr>
              <w:t>Credit rating</w:t>
            </w:r>
          </w:p>
        </w:tc>
        <w:tc>
          <w:tcPr>
            <w:tcW w:w="1650" w:type="dxa"/>
            <w:tcBorders>
              <w:top w:val="nil"/>
              <w:left w:val="nil"/>
              <w:bottom w:val="nil"/>
              <w:right w:val="nil"/>
              <w:tl2br w:val="nil"/>
              <w:tr2bl w:val="nil"/>
            </w:tcBorders>
            <w:tcMar>
              <w:left w:w="60" w:type="dxa"/>
              <w:right w:w="60" w:type="dxa"/>
            </w:tcMar>
            <w:vAlign w:val="center"/>
          </w:tcPr>
          <w:p w14:paraId="6344F78B" w14:textId="77777777" w:rsidR="00807FFE" w:rsidRDefault="00807FFE">
            <w:pPr>
              <w:pStyle w:val="DMETW36755BIPCECTQ"/>
              <w:jc w:val="right"/>
              <w:rPr>
                <w:rFonts w:ascii="Verdana" w:eastAsia="Verdana" w:hAnsi="Verdana" w:cs="Verdana"/>
                <w:noProof/>
                <w:color w:val="000000"/>
              </w:rPr>
            </w:pPr>
          </w:p>
        </w:tc>
        <w:tc>
          <w:tcPr>
            <w:tcW w:w="1618" w:type="dxa"/>
            <w:tcBorders>
              <w:top w:val="nil"/>
              <w:left w:val="nil"/>
              <w:bottom w:val="nil"/>
              <w:right w:val="nil"/>
              <w:tl2br w:val="nil"/>
              <w:tr2bl w:val="nil"/>
            </w:tcBorders>
            <w:tcMar>
              <w:left w:w="60" w:type="dxa"/>
              <w:right w:w="60" w:type="dxa"/>
            </w:tcMar>
            <w:vAlign w:val="center"/>
          </w:tcPr>
          <w:p w14:paraId="67D9819C" w14:textId="77777777" w:rsidR="00807FFE" w:rsidRDefault="00807FFE">
            <w:pPr>
              <w:pStyle w:val="DMETW36755BIPCECTQ"/>
              <w:jc w:val="right"/>
              <w:rPr>
                <w:rFonts w:ascii="Verdana" w:eastAsia="Verdana" w:hAnsi="Verdana" w:cs="Verdana"/>
                <w:noProof/>
                <w:color w:val="000000"/>
                <w:lang w:bidi="en-GB"/>
              </w:rPr>
            </w:pPr>
          </w:p>
        </w:tc>
      </w:tr>
      <w:tr w:rsidR="00807FFE" w14:paraId="30FF06C4" w14:textId="77777777">
        <w:trPr>
          <w:trHeight w:hRule="exact" w:val="255"/>
        </w:trPr>
        <w:tc>
          <w:tcPr>
            <w:tcW w:w="6490" w:type="dxa"/>
            <w:tcBorders>
              <w:top w:val="nil"/>
              <w:left w:val="nil"/>
              <w:bottom w:val="nil"/>
              <w:right w:val="nil"/>
              <w:tl2br w:val="nil"/>
              <w:tr2bl w:val="nil"/>
            </w:tcBorders>
            <w:tcMar>
              <w:left w:w="60" w:type="dxa"/>
              <w:right w:w="60" w:type="dxa"/>
            </w:tcMar>
            <w:vAlign w:val="center"/>
          </w:tcPr>
          <w:p w14:paraId="3A4C9030" w14:textId="77777777" w:rsidR="00807FFE" w:rsidRDefault="00023E71">
            <w:pPr>
              <w:pStyle w:val="DMETW36755BIPCECTQ"/>
              <w:rPr>
                <w:rFonts w:ascii="Verdana" w:eastAsia="Verdana" w:hAnsi="Verdana" w:cs="Verdana"/>
                <w:i/>
                <w:noProof/>
                <w:color w:val="000000"/>
                <w:sz w:val="18"/>
              </w:rPr>
            </w:pPr>
            <w:r>
              <w:rPr>
                <w:rFonts w:ascii="Verdana" w:eastAsia="Verdana" w:hAnsi="Verdana" w:cs="Verdana"/>
                <w:i/>
                <w:noProof/>
                <w:color w:val="000000"/>
                <w:sz w:val="18"/>
              </w:rPr>
              <w:t>Premium and high grade</w:t>
            </w:r>
          </w:p>
        </w:tc>
        <w:tc>
          <w:tcPr>
            <w:tcW w:w="1650" w:type="dxa"/>
            <w:tcBorders>
              <w:top w:val="nil"/>
              <w:left w:val="nil"/>
              <w:bottom w:val="nil"/>
              <w:right w:val="nil"/>
              <w:tl2br w:val="nil"/>
              <w:tr2bl w:val="nil"/>
            </w:tcBorders>
            <w:tcMar>
              <w:left w:w="60" w:type="dxa"/>
              <w:right w:w="60" w:type="dxa"/>
            </w:tcMar>
            <w:vAlign w:val="center"/>
          </w:tcPr>
          <w:p w14:paraId="26444540" w14:textId="77777777" w:rsidR="00807FFE" w:rsidRDefault="00023E71">
            <w:pPr>
              <w:pStyle w:val="DMETW36755BIPCECTQ"/>
              <w:jc w:val="right"/>
              <w:rPr>
                <w:rFonts w:ascii="Verdana" w:eastAsia="Verdana" w:hAnsi="Verdana" w:cs="Verdana"/>
                <w:i/>
                <w:noProof/>
                <w:color w:val="000000"/>
                <w:sz w:val="18"/>
              </w:rPr>
            </w:pPr>
            <w:r>
              <w:rPr>
                <w:rFonts w:ascii="Verdana" w:eastAsia="Verdana" w:hAnsi="Verdana" w:cs="Verdana"/>
                <w:i/>
                <w:noProof/>
                <w:color w:val="000000"/>
                <w:sz w:val="18"/>
              </w:rPr>
              <w:t>101 584</w:t>
            </w:r>
          </w:p>
        </w:tc>
        <w:tc>
          <w:tcPr>
            <w:tcW w:w="1618" w:type="dxa"/>
            <w:tcBorders>
              <w:top w:val="nil"/>
              <w:left w:val="nil"/>
              <w:bottom w:val="nil"/>
              <w:right w:val="nil"/>
              <w:tl2br w:val="nil"/>
              <w:tr2bl w:val="nil"/>
            </w:tcBorders>
            <w:tcMar>
              <w:left w:w="60" w:type="dxa"/>
              <w:right w:w="60" w:type="dxa"/>
            </w:tcMar>
            <w:vAlign w:val="center"/>
          </w:tcPr>
          <w:p w14:paraId="24216A7D" w14:textId="77777777" w:rsidR="00807FFE" w:rsidRDefault="00023E71">
            <w:pPr>
              <w:pStyle w:val="DMETW36755BIPCECTQ"/>
              <w:jc w:val="right"/>
              <w:rPr>
                <w:rFonts w:ascii="Verdana" w:eastAsia="Verdana" w:hAnsi="Verdana" w:cs="Verdana"/>
                <w:i/>
                <w:noProof/>
                <w:color w:val="000000"/>
                <w:sz w:val="18"/>
                <w:lang w:bidi="en-GB"/>
              </w:rPr>
            </w:pPr>
            <w:r>
              <w:rPr>
                <w:rFonts w:ascii="Verdana" w:eastAsia="Verdana" w:hAnsi="Verdana" w:cs="Verdana"/>
                <w:i/>
                <w:noProof/>
                <w:color w:val="000000"/>
                <w:sz w:val="18"/>
              </w:rPr>
              <w:t>57 251</w:t>
            </w:r>
          </w:p>
        </w:tc>
      </w:tr>
      <w:tr w:rsidR="00807FFE" w14:paraId="18B7F4C6" w14:textId="77777777">
        <w:trPr>
          <w:trHeight w:hRule="exact" w:val="255"/>
        </w:trPr>
        <w:tc>
          <w:tcPr>
            <w:tcW w:w="6490" w:type="dxa"/>
            <w:tcBorders>
              <w:top w:val="nil"/>
              <w:left w:val="nil"/>
              <w:bottom w:val="nil"/>
              <w:right w:val="nil"/>
              <w:tl2br w:val="nil"/>
              <w:tr2bl w:val="nil"/>
            </w:tcBorders>
            <w:tcMar>
              <w:left w:w="60" w:type="dxa"/>
              <w:right w:w="60" w:type="dxa"/>
            </w:tcMar>
            <w:vAlign w:val="center"/>
          </w:tcPr>
          <w:p w14:paraId="42B36060" w14:textId="77777777" w:rsidR="00807FFE" w:rsidRDefault="00023E71">
            <w:pPr>
              <w:pStyle w:val="DMETW36755BIPCECTQ"/>
              <w:rPr>
                <w:rFonts w:ascii="Verdana" w:eastAsia="Verdana" w:hAnsi="Verdana" w:cs="Verdana"/>
                <w:i/>
                <w:noProof/>
                <w:color w:val="000000"/>
                <w:sz w:val="18"/>
              </w:rPr>
            </w:pPr>
            <w:r>
              <w:rPr>
                <w:rFonts w:ascii="Verdana" w:eastAsia="Verdana" w:hAnsi="Verdana" w:cs="Verdana"/>
                <w:i/>
                <w:noProof/>
                <w:color w:val="000000"/>
                <w:sz w:val="18"/>
              </w:rPr>
              <w:t>Upper medium grade</w:t>
            </w:r>
          </w:p>
        </w:tc>
        <w:tc>
          <w:tcPr>
            <w:tcW w:w="1650" w:type="dxa"/>
            <w:tcBorders>
              <w:top w:val="nil"/>
              <w:left w:val="nil"/>
              <w:bottom w:val="nil"/>
              <w:right w:val="nil"/>
              <w:tl2br w:val="nil"/>
              <w:tr2bl w:val="nil"/>
            </w:tcBorders>
            <w:tcMar>
              <w:left w:w="60" w:type="dxa"/>
              <w:right w:w="60" w:type="dxa"/>
            </w:tcMar>
            <w:vAlign w:val="center"/>
          </w:tcPr>
          <w:p w14:paraId="76850E2D" w14:textId="77777777" w:rsidR="00807FFE" w:rsidRDefault="00023E71">
            <w:pPr>
              <w:pStyle w:val="DMETW36755BIPCECTQ"/>
              <w:jc w:val="right"/>
              <w:rPr>
                <w:rFonts w:ascii="Verdana" w:eastAsia="Verdana" w:hAnsi="Verdana" w:cs="Verdana"/>
                <w:i/>
                <w:noProof/>
                <w:color w:val="000000"/>
                <w:sz w:val="18"/>
              </w:rPr>
            </w:pPr>
            <w:r>
              <w:rPr>
                <w:rFonts w:ascii="Verdana" w:eastAsia="Verdana" w:hAnsi="Verdana" w:cs="Verdana"/>
                <w:i/>
                <w:noProof/>
                <w:color w:val="000000"/>
                <w:sz w:val="18"/>
              </w:rPr>
              <w:t xml:space="preserve"> 821</w:t>
            </w:r>
          </w:p>
        </w:tc>
        <w:tc>
          <w:tcPr>
            <w:tcW w:w="1618" w:type="dxa"/>
            <w:tcBorders>
              <w:top w:val="nil"/>
              <w:left w:val="nil"/>
              <w:bottom w:val="nil"/>
              <w:right w:val="nil"/>
              <w:tl2br w:val="nil"/>
              <w:tr2bl w:val="nil"/>
            </w:tcBorders>
            <w:tcMar>
              <w:left w:w="60" w:type="dxa"/>
              <w:right w:w="60" w:type="dxa"/>
            </w:tcMar>
            <w:vAlign w:val="center"/>
          </w:tcPr>
          <w:p w14:paraId="697DC33D" w14:textId="77777777" w:rsidR="00807FFE" w:rsidRDefault="00023E71">
            <w:pPr>
              <w:pStyle w:val="DMETW36755BIPCECTQ"/>
              <w:jc w:val="right"/>
              <w:rPr>
                <w:rFonts w:ascii="Verdana" w:eastAsia="Verdana" w:hAnsi="Verdana" w:cs="Verdana"/>
                <w:i/>
                <w:noProof/>
                <w:color w:val="000000"/>
                <w:sz w:val="18"/>
                <w:lang w:bidi="en-GB"/>
              </w:rPr>
            </w:pPr>
            <w:r>
              <w:rPr>
                <w:rFonts w:ascii="Verdana" w:eastAsia="Verdana" w:hAnsi="Verdana" w:cs="Verdana"/>
                <w:i/>
                <w:noProof/>
                <w:color w:val="000000"/>
                <w:sz w:val="18"/>
              </w:rPr>
              <w:t>4 161</w:t>
            </w:r>
          </w:p>
        </w:tc>
      </w:tr>
      <w:tr w:rsidR="00807FFE" w14:paraId="5F80E826" w14:textId="77777777">
        <w:trPr>
          <w:trHeight w:hRule="exact" w:val="255"/>
        </w:trPr>
        <w:tc>
          <w:tcPr>
            <w:tcW w:w="6490" w:type="dxa"/>
            <w:tcBorders>
              <w:top w:val="nil"/>
              <w:left w:val="nil"/>
              <w:bottom w:val="nil"/>
              <w:right w:val="nil"/>
              <w:tl2br w:val="nil"/>
              <w:tr2bl w:val="nil"/>
            </w:tcBorders>
            <w:tcMar>
              <w:left w:w="60" w:type="dxa"/>
              <w:right w:w="60" w:type="dxa"/>
            </w:tcMar>
            <w:vAlign w:val="center"/>
          </w:tcPr>
          <w:p w14:paraId="6435FBD6" w14:textId="77777777" w:rsidR="00807FFE" w:rsidRDefault="00023E71">
            <w:pPr>
              <w:pStyle w:val="DMETW36755BIPCECTQ"/>
              <w:rPr>
                <w:rFonts w:ascii="Verdana" w:eastAsia="Verdana" w:hAnsi="Verdana" w:cs="Verdana"/>
                <w:i/>
                <w:noProof/>
                <w:color w:val="000000"/>
                <w:sz w:val="18"/>
              </w:rPr>
            </w:pPr>
            <w:r>
              <w:rPr>
                <w:rFonts w:ascii="Verdana" w:eastAsia="Verdana" w:hAnsi="Verdana" w:cs="Verdana"/>
                <w:i/>
                <w:noProof/>
                <w:color w:val="000000"/>
                <w:sz w:val="18"/>
              </w:rPr>
              <w:t>Lower medium grade</w:t>
            </w:r>
          </w:p>
        </w:tc>
        <w:tc>
          <w:tcPr>
            <w:tcW w:w="1650" w:type="dxa"/>
            <w:tcBorders>
              <w:top w:val="nil"/>
              <w:left w:val="nil"/>
              <w:bottom w:val="nil"/>
              <w:right w:val="nil"/>
              <w:tl2br w:val="nil"/>
              <w:tr2bl w:val="nil"/>
            </w:tcBorders>
            <w:tcMar>
              <w:left w:w="60" w:type="dxa"/>
              <w:right w:w="60" w:type="dxa"/>
            </w:tcMar>
            <w:vAlign w:val="center"/>
          </w:tcPr>
          <w:p w14:paraId="060B2B85" w14:textId="77777777" w:rsidR="00807FFE" w:rsidRDefault="00023E71">
            <w:pPr>
              <w:pStyle w:val="DMETW36755BIPCECTQ"/>
              <w:jc w:val="right"/>
              <w:rPr>
                <w:rFonts w:ascii="Verdana" w:eastAsia="Verdana" w:hAnsi="Verdana" w:cs="Verdana"/>
                <w:i/>
                <w:noProof/>
                <w:color w:val="000000"/>
                <w:sz w:val="18"/>
              </w:rPr>
            </w:pPr>
            <w:r>
              <w:rPr>
                <w:rFonts w:ascii="Verdana" w:eastAsia="Verdana" w:hAnsi="Verdana" w:cs="Verdana"/>
                <w:i/>
                <w:noProof/>
                <w:color w:val="000000"/>
                <w:sz w:val="18"/>
              </w:rPr>
              <w:t xml:space="preserve"> 533</w:t>
            </w:r>
          </w:p>
        </w:tc>
        <w:tc>
          <w:tcPr>
            <w:tcW w:w="1618" w:type="dxa"/>
            <w:tcBorders>
              <w:top w:val="nil"/>
              <w:left w:val="nil"/>
              <w:bottom w:val="nil"/>
              <w:right w:val="nil"/>
              <w:tl2br w:val="nil"/>
              <w:tr2bl w:val="nil"/>
            </w:tcBorders>
            <w:tcMar>
              <w:left w:w="60" w:type="dxa"/>
              <w:right w:w="60" w:type="dxa"/>
            </w:tcMar>
            <w:vAlign w:val="center"/>
          </w:tcPr>
          <w:p w14:paraId="75913A92" w14:textId="77777777" w:rsidR="00807FFE" w:rsidRDefault="00023E71">
            <w:pPr>
              <w:pStyle w:val="DMETW36755BIPCECTQ"/>
              <w:jc w:val="right"/>
              <w:rPr>
                <w:rFonts w:ascii="Verdana" w:eastAsia="Verdana" w:hAnsi="Verdana" w:cs="Verdana"/>
                <w:i/>
                <w:noProof/>
                <w:color w:val="000000"/>
                <w:sz w:val="18"/>
                <w:lang w:bidi="en-GB"/>
              </w:rPr>
            </w:pPr>
            <w:r>
              <w:rPr>
                <w:rFonts w:ascii="Verdana" w:eastAsia="Verdana" w:hAnsi="Verdana" w:cs="Verdana"/>
                <w:i/>
                <w:noProof/>
                <w:color w:val="000000"/>
                <w:sz w:val="18"/>
              </w:rPr>
              <w:t>1 722</w:t>
            </w:r>
          </w:p>
        </w:tc>
      </w:tr>
      <w:tr w:rsidR="00807FFE" w14:paraId="7F8E63B8" w14:textId="77777777">
        <w:trPr>
          <w:trHeight w:hRule="exact" w:val="255"/>
        </w:trPr>
        <w:tc>
          <w:tcPr>
            <w:tcW w:w="6490" w:type="dxa"/>
            <w:tcBorders>
              <w:top w:val="nil"/>
              <w:left w:val="nil"/>
              <w:bottom w:val="single" w:sz="4" w:space="0" w:color="016794"/>
              <w:right w:val="nil"/>
              <w:tl2br w:val="nil"/>
              <w:tr2bl w:val="nil"/>
            </w:tcBorders>
            <w:tcMar>
              <w:left w:w="60" w:type="dxa"/>
              <w:right w:w="60" w:type="dxa"/>
            </w:tcMar>
            <w:vAlign w:val="center"/>
          </w:tcPr>
          <w:p w14:paraId="6F56F668" w14:textId="77777777" w:rsidR="00807FFE" w:rsidRDefault="00023E71">
            <w:pPr>
              <w:pStyle w:val="DMETW36755BIPCECTQ"/>
              <w:rPr>
                <w:rFonts w:ascii="Verdana" w:eastAsia="Verdana" w:hAnsi="Verdana" w:cs="Verdana"/>
                <w:i/>
                <w:noProof/>
                <w:color w:val="000000"/>
                <w:sz w:val="18"/>
              </w:rPr>
            </w:pPr>
            <w:r>
              <w:rPr>
                <w:rFonts w:ascii="Verdana" w:eastAsia="Verdana" w:hAnsi="Verdana" w:cs="Verdana"/>
                <w:i/>
                <w:noProof/>
                <w:color w:val="000000"/>
                <w:sz w:val="18"/>
              </w:rPr>
              <w:t xml:space="preserve">Non-investment grade </w:t>
            </w:r>
          </w:p>
        </w:tc>
        <w:tc>
          <w:tcPr>
            <w:tcW w:w="1650" w:type="dxa"/>
            <w:tcBorders>
              <w:top w:val="nil"/>
              <w:left w:val="nil"/>
              <w:bottom w:val="single" w:sz="4" w:space="0" w:color="016794"/>
              <w:right w:val="nil"/>
              <w:tl2br w:val="nil"/>
              <w:tr2bl w:val="nil"/>
            </w:tcBorders>
            <w:tcMar>
              <w:left w:w="60" w:type="dxa"/>
              <w:right w:w="60" w:type="dxa"/>
            </w:tcMar>
            <w:vAlign w:val="center"/>
          </w:tcPr>
          <w:p w14:paraId="7637F69A" w14:textId="77777777" w:rsidR="00807FFE" w:rsidRDefault="00023E71">
            <w:pPr>
              <w:pStyle w:val="DMETW36755BIPCECTQ"/>
              <w:jc w:val="right"/>
              <w:rPr>
                <w:rFonts w:ascii="Verdana" w:eastAsia="Verdana" w:hAnsi="Verdana" w:cs="Verdana"/>
                <w:i/>
                <w:noProof/>
                <w:color w:val="000000"/>
                <w:sz w:val="18"/>
              </w:rPr>
            </w:pPr>
            <w:r>
              <w:rPr>
                <w:rFonts w:ascii="Verdana" w:eastAsia="Verdana" w:hAnsi="Verdana" w:cs="Verdana"/>
                <w:i/>
                <w:noProof/>
                <w:color w:val="000000"/>
                <w:sz w:val="18"/>
              </w:rPr>
              <w:t xml:space="preserve"> 104</w:t>
            </w:r>
          </w:p>
        </w:tc>
        <w:tc>
          <w:tcPr>
            <w:tcW w:w="1618" w:type="dxa"/>
            <w:tcBorders>
              <w:top w:val="nil"/>
              <w:left w:val="nil"/>
              <w:bottom w:val="single" w:sz="4" w:space="0" w:color="016794"/>
              <w:right w:val="nil"/>
              <w:tl2br w:val="nil"/>
              <w:tr2bl w:val="nil"/>
            </w:tcBorders>
            <w:tcMar>
              <w:left w:w="60" w:type="dxa"/>
              <w:right w:w="60" w:type="dxa"/>
            </w:tcMar>
            <w:vAlign w:val="center"/>
          </w:tcPr>
          <w:p w14:paraId="5BFC77D7" w14:textId="77777777" w:rsidR="00807FFE" w:rsidRDefault="00023E71">
            <w:pPr>
              <w:pStyle w:val="DMETW36755BIPCECTQ"/>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w:t>
            </w:r>
          </w:p>
        </w:tc>
      </w:tr>
      <w:tr w:rsidR="00807FFE" w14:paraId="0743123A" w14:textId="77777777">
        <w:trPr>
          <w:trHeight w:hRule="exact" w:val="255"/>
        </w:trPr>
        <w:tc>
          <w:tcPr>
            <w:tcW w:w="6490" w:type="dxa"/>
            <w:tcBorders>
              <w:top w:val="single" w:sz="4" w:space="0" w:color="016794"/>
              <w:left w:val="nil"/>
              <w:bottom w:val="nil"/>
              <w:right w:val="nil"/>
              <w:tl2br w:val="nil"/>
              <w:tr2bl w:val="nil"/>
            </w:tcBorders>
            <w:tcMar>
              <w:left w:w="60" w:type="dxa"/>
              <w:right w:w="60" w:type="dxa"/>
            </w:tcMar>
            <w:vAlign w:val="center"/>
          </w:tcPr>
          <w:p w14:paraId="14948A46" w14:textId="77777777" w:rsidR="00807FFE" w:rsidRDefault="00023E71">
            <w:pPr>
              <w:pStyle w:val="DMETW36755BIPCECTQ"/>
              <w:rPr>
                <w:rFonts w:ascii="Verdana" w:eastAsia="Verdana" w:hAnsi="Verdana" w:cs="Verdana"/>
                <w:b/>
                <w:noProof/>
                <w:color w:val="000000"/>
                <w:sz w:val="18"/>
              </w:rPr>
            </w:pPr>
            <w:r>
              <w:rPr>
                <w:rFonts w:ascii="Verdana" w:eastAsia="Verdana" w:hAnsi="Verdana" w:cs="Verdana"/>
                <w:b/>
                <w:noProof/>
                <w:color w:val="000000"/>
                <w:sz w:val="18"/>
              </w:rPr>
              <w:t>Gross carrying amount</w:t>
            </w:r>
          </w:p>
        </w:tc>
        <w:tc>
          <w:tcPr>
            <w:tcW w:w="1650" w:type="dxa"/>
            <w:tcBorders>
              <w:top w:val="single" w:sz="4" w:space="0" w:color="016794"/>
              <w:left w:val="nil"/>
              <w:bottom w:val="nil"/>
              <w:right w:val="nil"/>
              <w:tl2br w:val="nil"/>
              <w:tr2bl w:val="nil"/>
            </w:tcBorders>
            <w:tcMar>
              <w:left w:w="60" w:type="dxa"/>
              <w:right w:w="60" w:type="dxa"/>
            </w:tcMar>
            <w:vAlign w:val="center"/>
          </w:tcPr>
          <w:p w14:paraId="21895FCC" w14:textId="77777777" w:rsidR="00807FFE" w:rsidRDefault="00023E71">
            <w:pPr>
              <w:pStyle w:val="DMETW36755BIPCECTQ"/>
              <w:jc w:val="right"/>
              <w:rPr>
                <w:rFonts w:ascii="Verdana" w:eastAsia="Verdana" w:hAnsi="Verdana" w:cs="Verdana"/>
                <w:b/>
                <w:noProof/>
                <w:color w:val="000000"/>
                <w:sz w:val="18"/>
              </w:rPr>
            </w:pPr>
            <w:r>
              <w:rPr>
                <w:rFonts w:ascii="Verdana" w:eastAsia="Verdana" w:hAnsi="Verdana" w:cs="Verdana"/>
                <w:b/>
                <w:noProof/>
                <w:color w:val="000000"/>
                <w:sz w:val="18"/>
              </w:rPr>
              <w:t>103 041</w:t>
            </w:r>
          </w:p>
        </w:tc>
        <w:tc>
          <w:tcPr>
            <w:tcW w:w="1618" w:type="dxa"/>
            <w:tcBorders>
              <w:top w:val="single" w:sz="4" w:space="0" w:color="016794"/>
              <w:left w:val="nil"/>
              <w:bottom w:val="nil"/>
              <w:right w:val="nil"/>
              <w:tl2br w:val="nil"/>
              <w:tr2bl w:val="nil"/>
            </w:tcBorders>
            <w:tcMar>
              <w:left w:w="60" w:type="dxa"/>
              <w:right w:w="60" w:type="dxa"/>
            </w:tcMar>
            <w:vAlign w:val="center"/>
          </w:tcPr>
          <w:p w14:paraId="2E2CC9B6" w14:textId="77777777" w:rsidR="00807FFE" w:rsidRDefault="00023E71">
            <w:pPr>
              <w:pStyle w:val="DMETW36755BIPCECTQ"/>
              <w:jc w:val="right"/>
              <w:rPr>
                <w:rFonts w:ascii="Verdana" w:eastAsia="Verdana" w:hAnsi="Verdana" w:cs="Verdana"/>
                <w:b/>
                <w:noProof/>
                <w:color w:val="000000"/>
                <w:sz w:val="18"/>
                <w:lang w:bidi="en-GB"/>
              </w:rPr>
            </w:pPr>
            <w:r>
              <w:rPr>
                <w:rFonts w:ascii="Verdana" w:eastAsia="Verdana" w:hAnsi="Verdana" w:cs="Verdana"/>
                <w:b/>
                <w:noProof/>
                <w:color w:val="000000"/>
                <w:sz w:val="18"/>
              </w:rPr>
              <w:t>63 163</w:t>
            </w:r>
          </w:p>
        </w:tc>
      </w:tr>
      <w:tr w:rsidR="00807FFE" w14:paraId="2A11BB78" w14:textId="77777777">
        <w:trPr>
          <w:trHeight w:hRule="exact" w:val="255"/>
        </w:trPr>
        <w:tc>
          <w:tcPr>
            <w:tcW w:w="6490" w:type="dxa"/>
            <w:tcBorders>
              <w:top w:val="nil"/>
              <w:left w:val="nil"/>
              <w:bottom w:val="single" w:sz="4" w:space="0" w:color="016794"/>
              <w:right w:val="nil"/>
              <w:tl2br w:val="nil"/>
              <w:tr2bl w:val="nil"/>
            </w:tcBorders>
            <w:tcMar>
              <w:left w:w="60" w:type="dxa"/>
              <w:right w:w="60" w:type="dxa"/>
            </w:tcMar>
            <w:vAlign w:val="center"/>
          </w:tcPr>
          <w:p w14:paraId="331EFD02" w14:textId="77777777" w:rsidR="00807FFE" w:rsidRDefault="00023E71">
            <w:pPr>
              <w:pStyle w:val="DMETW36755BIPCECTQ"/>
              <w:rPr>
                <w:rFonts w:ascii="Verdana" w:eastAsia="Verdana" w:hAnsi="Verdana" w:cs="Verdana"/>
                <w:i/>
                <w:noProof/>
                <w:color w:val="000000"/>
                <w:sz w:val="18"/>
              </w:rPr>
            </w:pPr>
            <w:r>
              <w:rPr>
                <w:rFonts w:ascii="Verdana" w:eastAsia="Verdana" w:hAnsi="Verdana" w:cs="Verdana"/>
                <w:i/>
                <w:noProof/>
                <w:color w:val="000000"/>
                <w:sz w:val="18"/>
              </w:rPr>
              <w:t>Minus loss allowance</w:t>
            </w:r>
          </w:p>
        </w:tc>
        <w:tc>
          <w:tcPr>
            <w:tcW w:w="1650" w:type="dxa"/>
            <w:tcBorders>
              <w:top w:val="nil"/>
              <w:left w:val="nil"/>
              <w:bottom w:val="single" w:sz="4" w:space="0" w:color="016794"/>
              <w:right w:val="nil"/>
              <w:tl2br w:val="nil"/>
              <w:tr2bl w:val="nil"/>
            </w:tcBorders>
            <w:tcMar>
              <w:left w:w="60" w:type="dxa"/>
              <w:right w:w="60" w:type="dxa"/>
            </w:tcMar>
            <w:vAlign w:val="center"/>
          </w:tcPr>
          <w:p w14:paraId="46DD0992" w14:textId="77777777" w:rsidR="00807FFE" w:rsidRDefault="00023E71">
            <w:pPr>
              <w:pStyle w:val="DMETW36755BIPCE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1618" w:type="dxa"/>
            <w:tcBorders>
              <w:top w:val="nil"/>
              <w:left w:val="nil"/>
              <w:bottom w:val="single" w:sz="4" w:space="0" w:color="016794"/>
              <w:right w:val="nil"/>
              <w:tl2br w:val="nil"/>
              <w:tr2bl w:val="nil"/>
            </w:tcBorders>
            <w:tcMar>
              <w:left w:w="60" w:type="dxa"/>
              <w:right w:w="60" w:type="dxa"/>
            </w:tcMar>
            <w:vAlign w:val="center"/>
          </w:tcPr>
          <w:p w14:paraId="28C509B2" w14:textId="77777777" w:rsidR="00807FFE" w:rsidRDefault="00023E71">
            <w:pPr>
              <w:pStyle w:val="DMETW36755BIPCECTQ"/>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5FE8510C" w14:textId="77777777">
        <w:trPr>
          <w:trHeight w:hRule="exact" w:val="255"/>
        </w:trPr>
        <w:tc>
          <w:tcPr>
            <w:tcW w:w="6490" w:type="dxa"/>
            <w:tcBorders>
              <w:top w:val="single" w:sz="4" w:space="0" w:color="016794"/>
              <w:left w:val="nil"/>
              <w:bottom w:val="single" w:sz="4" w:space="0" w:color="016794"/>
              <w:right w:val="nil"/>
              <w:tl2br w:val="nil"/>
              <w:tr2bl w:val="nil"/>
            </w:tcBorders>
            <w:tcMar>
              <w:left w:w="60" w:type="dxa"/>
              <w:right w:w="60" w:type="dxa"/>
            </w:tcMar>
            <w:vAlign w:val="center"/>
          </w:tcPr>
          <w:p w14:paraId="0551C137" w14:textId="77777777" w:rsidR="00807FFE" w:rsidRDefault="00023E71">
            <w:pPr>
              <w:pStyle w:val="DMETW36755BIPCECTQ"/>
              <w:rPr>
                <w:rFonts w:ascii="Verdana" w:eastAsia="Verdana" w:hAnsi="Verdana" w:cs="Verdana"/>
                <w:b/>
                <w:noProof/>
                <w:color w:val="000000"/>
                <w:sz w:val="18"/>
              </w:rPr>
            </w:pPr>
            <w:r>
              <w:rPr>
                <w:rFonts w:ascii="Verdana" w:eastAsia="Verdana" w:hAnsi="Verdana" w:cs="Verdana"/>
                <w:b/>
                <w:noProof/>
                <w:color w:val="000000"/>
                <w:sz w:val="18"/>
              </w:rPr>
              <w:t xml:space="preserve">Net carrying amount </w:t>
            </w:r>
          </w:p>
        </w:tc>
        <w:tc>
          <w:tcPr>
            <w:tcW w:w="1650" w:type="dxa"/>
            <w:tcBorders>
              <w:top w:val="single" w:sz="4" w:space="0" w:color="016794"/>
              <w:left w:val="nil"/>
              <w:bottom w:val="single" w:sz="4" w:space="0" w:color="016794"/>
              <w:right w:val="nil"/>
              <w:tl2br w:val="nil"/>
              <w:tr2bl w:val="nil"/>
            </w:tcBorders>
            <w:tcMar>
              <w:left w:w="60" w:type="dxa"/>
              <w:right w:w="60" w:type="dxa"/>
            </w:tcMar>
            <w:vAlign w:val="center"/>
          </w:tcPr>
          <w:p w14:paraId="2C6E0D8F" w14:textId="77777777" w:rsidR="00807FFE" w:rsidRDefault="00023E71">
            <w:pPr>
              <w:pStyle w:val="DMETW36755BIPCECTQ"/>
              <w:jc w:val="right"/>
              <w:rPr>
                <w:rFonts w:ascii="Verdana" w:eastAsia="Verdana" w:hAnsi="Verdana" w:cs="Verdana"/>
                <w:b/>
                <w:noProof/>
                <w:color w:val="000000"/>
                <w:sz w:val="18"/>
              </w:rPr>
            </w:pPr>
            <w:r>
              <w:rPr>
                <w:rFonts w:ascii="Verdana" w:eastAsia="Verdana" w:hAnsi="Verdana" w:cs="Verdana"/>
                <w:b/>
                <w:noProof/>
                <w:color w:val="000000"/>
                <w:sz w:val="18"/>
              </w:rPr>
              <w:t>103 041</w:t>
            </w:r>
          </w:p>
        </w:tc>
        <w:tc>
          <w:tcPr>
            <w:tcW w:w="1618" w:type="dxa"/>
            <w:tcBorders>
              <w:top w:val="single" w:sz="4" w:space="0" w:color="016794"/>
              <w:left w:val="nil"/>
              <w:bottom w:val="single" w:sz="4" w:space="0" w:color="016794"/>
              <w:right w:val="nil"/>
              <w:tl2br w:val="nil"/>
              <w:tr2bl w:val="nil"/>
            </w:tcBorders>
            <w:tcMar>
              <w:left w:w="60" w:type="dxa"/>
              <w:right w:w="60" w:type="dxa"/>
            </w:tcMar>
            <w:vAlign w:val="center"/>
          </w:tcPr>
          <w:p w14:paraId="150AF1BB" w14:textId="77777777" w:rsidR="00807FFE" w:rsidRDefault="00023E71">
            <w:pPr>
              <w:pStyle w:val="DMETW36755BIPCECTQ"/>
              <w:jc w:val="right"/>
              <w:rPr>
                <w:rFonts w:ascii="Verdana" w:eastAsia="Verdana" w:hAnsi="Verdana" w:cs="Verdana"/>
                <w:b/>
                <w:noProof/>
                <w:color w:val="000000"/>
                <w:sz w:val="18"/>
              </w:rPr>
            </w:pPr>
            <w:r>
              <w:rPr>
                <w:rFonts w:ascii="Verdana" w:eastAsia="Verdana" w:hAnsi="Verdana" w:cs="Verdana"/>
                <w:b/>
                <w:noProof/>
                <w:color w:val="000000"/>
                <w:sz w:val="18"/>
              </w:rPr>
              <w:t>63 163</w:t>
            </w:r>
          </w:p>
        </w:tc>
      </w:tr>
    </w:tbl>
    <w:p w14:paraId="6E7A2973" w14:textId="77777777" w:rsidR="00BD0290" w:rsidRDefault="00BD0290" w:rsidP="00BD0290">
      <w:pPr>
        <w:pStyle w:val="HEADER5"/>
        <w:rPr>
          <w:noProof/>
        </w:rPr>
      </w:pPr>
    </w:p>
    <w:p w14:paraId="5F9516CA" w14:textId="77777777" w:rsidR="00BD0290" w:rsidRPr="003E176D" w:rsidRDefault="00023E71" w:rsidP="00BD0290">
      <w:pPr>
        <w:pStyle w:val="HEADER5"/>
        <w:rPr>
          <w:noProof/>
        </w:rPr>
      </w:pPr>
      <w:r>
        <w:rPr>
          <w:noProof/>
        </w:rPr>
        <w:t>Treasury</w:t>
      </w:r>
    </w:p>
    <w:p w14:paraId="75982084" w14:textId="77777777" w:rsidR="00BD0290" w:rsidRDefault="00023E71" w:rsidP="00BD0290">
      <w:pPr>
        <w:pStyle w:val="DGTextstand-alone"/>
        <w:rPr>
          <w:lang w:val="en-IE" w:eastAsia="en-IE"/>
        </w:rPr>
      </w:pPr>
      <w:r w:rsidRPr="16111BF3">
        <w:rPr>
          <w:lang w:val="en-IE" w:eastAsia="en-IE"/>
        </w:rPr>
        <w:t>Most of the Commission's treasury resources are kept on own resource accounts opened by Member States for the payment of their own resource’s contributions, mainly GNI, VAT and TOR. These accounts are held with Member States' treasuries or national central banks, which carry the lowest credit (or counterparty) risk for the Commission.</w:t>
      </w:r>
    </w:p>
    <w:p w14:paraId="68245FB0" w14:textId="77777777" w:rsidR="00BD0290" w:rsidRPr="00A94530" w:rsidRDefault="00023E71" w:rsidP="00BD0290">
      <w:pPr>
        <w:pStyle w:val="DGTextstand-alone"/>
        <w:rPr>
          <w:lang w:val="en-IE" w:eastAsia="en-IE"/>
        </w:rPr>
      </w:pPr>
      <w:r w:rsidRPr="00A94530">
        <w:rPr>
          <w:lang w:val="en-IE" w:eastAsia="en-IE"/>
        </w:rPr>
        <w:t>For the portion of the Commission's treasury resources held with commercial banks, accounts are replenished on a just-in-time basis, managed automatically by the treasury cash management system. Cash levels in each commercial account are maintained to ensure the total overnight amount consistently stays below the respective counterparty exposure limits.</w:t>
      </w:r>
    </w:p>
    <w:p w14:paraId="5677C6F7" w14:textId="77777777" w:rsidR="00BD0290" w:rsidRPr="00ED0557" w:rsidRDefault="00023E71" w:rsidP="00BD0290">
      <w:pPr>
        <w:pStyle w:val="DGTextstand-alone"/>
        <w:rPr>
          <w:lang w:val="en-IE" w:eastAsia="en-IE"/>
        </w:rPr>
      </w:pPr>
      <w:r w:rsidRPr="1D0DAAEE">
        <w:rPr>
          <w:lang w:val="en-IE" w:eastAsia="en-IE"/>
        </w:rPr>
        <w:t>Specific guidelines are applied for the selection of commercial banks to further minimise counterparty risk to which the Commission is exposed. These guidelines include:</w:t>
      </w:r>
    </w:p>
    <w:p w14:paraId="4C18DE60" w14:textId="77777777" w:rsidR="00BD0290" w:rsidRPr="00256267" w:rsidRDefault="00023E71" w:rsidP="00172034">
      <w:pPr>
        <w:pStyle w:val="DGTextstand-alonedashesjustified"/>
        <w:numPr>
          <w:ilvl w:val="0"/>
          <w:numId w:val="22"/>
        </w:numPr>
        <w:rPr>
          <w:lang w:eastAsia="en-GB"/>
        </w:rPr>
      </w:pPr>
      <w:r w:rsidRPr="00256267">
        <w:rPr>
          <w:lang w:eastAsia="en-GB"/>
        </w:rPr>
        <w:t>Selecting commercial banks through calls for tender, with a minimum long-term credit rating of S&amp;P A- or equivalent.</w:t>
      </w:r>
    </w:p>
    <w:p w14:paraId="7117F13F" w14:textId="77777777" w:rsidR="00BD0290" w:rsidRPr="00256267" w:rsidRDefault="00023E71" w:rsidP="00172034">
      <w:pPr>
        <w:pStyle w:val="DGTextstand-alonedashesjustified"/>
        <w:numPr>
          <w:ilvl w:val="0"/>
          <w:numId w:val="22"/>
        </w:numPr>
        <w:rPr>
          <w:lang w:eastAsia="en-GB"/>
        </w:rPr>
      </w:pPr>
      <w:r w:rsidRPr="00256267">
        <w:rPr>
          <w:lang w:eastAsia="en-GB"/>
        </w:rPr>
        <w:t>Monitoring ratings and defining a maximum exposure on each financial institution, taking into account the creditworthiness and capitalisation of the financial sector entity.</w:t>
      </w:r>
    </w:p>
    <w:p w14:paraId="3E8EFF10" w14:textId="77777777" w:rsidR="00BD0290" w:rsidRPr="00256267" w:rsidRDefault="00023E71" w:rsidP="00172034">
      <w:pPr>
        <w:pStyle w:val="DGTextstand-alonedashesjustified"/>
        <w:numPr>
          <w:ilvl w:val="0"/>
          <w:numId w:val="22"/>
        </w:numPr>
        <w:rPr>
          <w:lang w:eastAsia="en-GB"/>
        </w:rPr>
      </w:pPr>
      <w:r w:rsidRPr="00256267">
        <w:rPr>
          <w:lang w:eastAsia="en-GB"/>
        </w:rPr>
        <w:t>Holding imprest accounts with local banks selected by a simplified tendering procedure in delegations outside the EU, with rating requirements depending on the local situation. To limit risk exposure, balances on imprest accounts are kept at the lowest possible levels, regularly replenished, and the applied ceilings are reviewed on a yearly basis.</w:t>
      </w:r>
    </w:p>
    <w:p w14:paraId="0EDBE859" w14:textId="77777777" w:rsidR="00BD0290" w:rsidRPr="0067779B" w:rsidRDefault="00023E71" w:rsidP="00BD0290">
      <w:pPr>
        <w:pStyle w:val="HEADER5"/>
        <w:spacing w:before="240"/>
        <w:rPr>
          <w:noProof/>
        </w:rPr>
      </w:pPr>
      <w:r>
        <w:rPr>
          <w:noProof/>
        </w:rPr>
        <w:t>Liquidity held under unified funding</w:t>
      </w:r>
    </w:p>
    <w:p w14:paraId="256D6883" w14:textId="77777777" w:rsidR="005779E6" w:rsidRPr="00BD0290" w:rsidRDefault="00023E71" w:rsidP="00792ECE">
      <w:pPr>
        <w:pStyle w:val="DGTextstand-alone"/>
        <w:rPr>
          <w:color w:val="000000" w:themeColor="text1"/>
          <w:lang w:val="en-IE"/>
        </w:rPr>
      </w:pPr>
      <w:r w:rsidRPr="00A94530">
        <w:rPr>
          <w:color w:val="000000" w:themeColor="text1"/>
          <w:lang w:val="en-IE" w:eastAsia="en-IE"/>
        </w:rPr>
        <w:t>Under the unified funding approach, sufficient cash is held to meet all upcoming disbursement needs and maintain a defined safety buffer, while avoiding any excess balances.</w:t>
      </w:r>
      <w:r w:rsidR="0008531B">
        <w:rPr>
          <w:color w:val="000000" w:themeColor="text1"/>
          <w:lang w:val="en-IE" w:eastAsia="en-IE"/>
        </w:rPr>
        <w:t xml:space="preserve"> </w:t>
      </w:r>
      <w:r w:rsidRPr="6C204149">
        <w:rPr>
          <w:rFonts w:eastAsia="Verdana" w:cs="Verdana"/>
          <w:color w:val="000000" w:themeColor="text1"/>
          <w:lang w:val="en-IE"/>
        </w:rPr>
        <w:t>The cash is placed on a bank account at the ECB, i</w:t>
      </w:r>
      <w:r w:rsidRPr="00A94530">
        <w:rPr>
          <w:rFonts w:eastAsia="Verdana" w:cs="Verdana"/>
          <w:color w:val="000000" w:themeColor="text1"/>
          <w:lang w:val="en-IE"/>
        </w:rPr>
        <w:t>n money market short</w:t>
      </w:r>
      <w:r w:rsidR="00AC6FEF">
        <w:rPr>
          <w:rFonts w:eastAsia="Verdana" w:cs="Verdana"/>
          <w:color w:val="000000" w:themeColor="text1"/>
          <w:lang w:val="en-IE"/>
        </w:rPr>
        <w:t>-</w:t>
      </w:r>
      <w:r w:rsidRPr="00A94530">
        <w:rPr>
          <w:rFonts w:eastAsia="Verdana" w:cs="Verdana"/>
          <w:color w:val="000000" w:themeColor="text1"/>
          <w:lang w:val="en-IE"/>
        </w:rPr>
        <w:t xml:space="preserve">term deposits with national central banks or </w:t>
      </w:r>
      <w:r w:rsidRPr="00A06BBF">
        <w:rPr>
          <w:rFonts w:eastAsia="Verdana" w:cs="Verdana"/>
          <w:color w:val="000000" w:themeColor="text1"/>
          <w:lang w:val="en-IE"/>
        </w:rPr>
        <w:t xml:space="preserve">state owned </w:t>
      </w:r>
      <w:r w:rsidRPr="00A94530">
        <w:rPr>
          <w:rFonts w:eastAsia="Verdana" w:cs="Verdana"/>
          <w:color w:val="000000" w:themeColor="text1"/>
          <w:lang w:val="en-IE"/>
        </w:rPr>
        <w:t>financ</w:t>
      </w:r>
      <w:r>
        <w:rPr>
          <w:rFonts w:eastAsia="Verdana" w:cs="Verdana"/>
          <w:color w:val="000000" w:themeColor="text1"/>
          <w:lang w:val="en-IE"/>
        </w:rPr>
        <w:t>ing</w:t>
      </w:r>
      <w:r w:rsidRPr="00A94530">
        <w:rPr>
          <w:rFonts w:eastAsia="Verdana" w:cs="Verdana"/>
          <w:color w:val="000000" w:themeColor="text1"/>
          <w:lang w:val="en-IE"/>
        </w:rPr>
        <w:t xml:space="preserve"> agencies</w:t>
      </w:r>
      <w:r w:rsidR="00AC6FEF">
        <w:rPr>
          <w:rFonts w:eastAsia="Verdana" w:cs="Verdana"/>
          <w:color w:val="000000" w:themeColor="text1"/>
          <w:lang w:val="en-IE"/>
        </w:rPr>
        <w:t>,</w:t>
      </w:r>
      <w:r w:rsidRPr="00A94530">
        <w:rPr>
          <w:rFonts w:eastAsia="Verdana" w:cs="Verdana"/>
          <w:color w:val="000000" w:themeColor="text1"/>
          <w:lang w:val="en-IE"/>
        </w:rPr>
        <w:t xml:space="preserve"> or </w:t>
      </w:r>
      <w:r w:rsidRPr="6C204149">
        <w:rPr>
          <w:rFonts w:eastAsia="Verdana" w:cs="Verdana"/>
          <w:color w:val="000000" w:themeColor="text1"/>
          <w:lang w:val="en-IE"/>
        </w:rPr>
        <w:t xml:space="preserve">is </w:t>
      </w:r>
      <w:r w:rsidRPr="00A94530">
        <w:rPr>
          <w:rFonts w:eastAsia="Verdana" w:cs="Verdana"/>
          <w:color w:val="000000" w:themeColor="text1"/>
          <w:lang w:val="en-IE"/>
        </w:rPr>
        <w:t>invested in reverse repurchase agreements secured by</w:t>
      </w:r>
      <w:r w:rsidR="00AC6FEF">
        <w:rPr>
          <w:rFonts w:eastAsia="Verdana" w:cs="Verdana"/>
          <w:color w:val="000000" w:themeColor="text1"/>
          <w:lang w:val="en-IE"/>
        </w:rPr>
        <w:t xml:space="preserve"> </w:t>
      </w:r>
      <w:r w:rsidRPr="00A94530">
        <w:rPr>
          <w:rFonts w:eastAsia="Verdana" w:cs="Verdana"/>
          <w:color w:val="000000" w:themeColor="text1"/>
          <w:lang w:val="en-IE"/>
        </w:rPr>
        <w:t>liquid bonds. Thus</w:t>
      </w:r>
      <w:r w:rsidRPr="6C204149">
        <w:rPr>
          <w:rFonts w:eastAsia="Verdana" w:cs="Verdana"/>
          <w:color w:val="000000" w:themeColor="text1"/>
          <w:lang w:val="en-IE"/>
        </w:rPr>
        <w:t xml:space="preserve">, the credit risk of </w:t>
      </w:r>
      <w:r w:rsidR="00AC6FEF">
        <w:rPr>
          <w:rFonts w:eastAsia="Verdana" w:cs="Verdana"/>
          <w:color w:val="000000" w:themeColor="text1"/>
          <w:lang w:val="en-IE"/>
        </w:rPr>
        <w:t xml:space="preserve">the </w:t>
      </w:r>
      <w:r w:rsidRPr="6C204149">
        <w:rPr>
          <w:rFonts w:eastAsia="Verdana" w:cs="Verdana"/>
          <w:color w:val="000000" w:themeColor="text1"/>
          <w:lang w:val="en-IE"/>
        </w:rPr>
        <w:t>liquidity buffer is very low</w:t>
      </w:r>
      <w:r w:rsidRPr="686B27D5">
        <w:rPr>
          <w:lang w:val="en-IE" w:eastAsia="en-IE"/>
        </w:rPr>
        <w:t>.</w:t>
      </w:r>
    </w:p>
    <w:p w14:paraId="714F3CAF" w14:textId="77777777" w:rsidR="005779E6" w:rsidRDefault="00023E71">
      <w:pPr>
        <w:rPr>
          <w:rFonts w:ascii="Verdana" w:hAnsi="Verdana"/>
          <w:noProof/>
          <w:sz w:val="18"/>
          <w:szCs w:val="18"/>
          <w:lang w:val="en-IE" w:eastAsia="en-IE"/>
        </w:rPr>
      </w:pPr>
      <w:r>
        <w:rPr>
          <w:rFonts w:ascii="Verdana" w:hAnsi="Verdana"/>
          <w:noProof/>
          <w:sz w:val="18"/>
          <w:szCs w:val="18"/>
          <w:lang w:val="en-IE" w:eastAsia="en-IE"/>
        </w:rPr>
        <w:br w:type="page"/>
      </w:r>
    </w:p>
    <w:p w14:paraId="07D7F047" w14:textId="77777777" w:rsidR="009B36B9" w:rsidRDefault="00023E71" w:rsidP="005779E6">
      <w:pPr>
        <w:pStyle w:val="HEADER5"/>
        <w:rPr>
          <w:noProof/>
        </w:rPr>
      </w:pPr>
      <w:r w:rsidRPr="001D25A1">
        <w:rPr>
          <w:noProof/>
        </w:rPr>
        <w:t>Receivabl</w:t>
      </w:r>
      <w:r>
        <w:rPr>
          <w:noProof/>
        </w:rPr>
        <w:t xml:space="preserve">es: credit quality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993"/>
        <w:gridCol w:w="1275"/>
        <w:gridCol w:w="1276"/>
        <w:gridCol w:w="1134"/>
        <w:gridCol w:w="1134"/>
        <w:gridCol w:w="1113"/>
      </w:tblGrid>
      <w:tr w:rsidR="00807FFE" w14:paraId="066A98EF" w14:textId="77777777">
        <w:trPr>
          <w:trHeight w:val="255"/>
        </w:trPr>
        <w:tc>
          <w:tcPr>
            <w:tcW w:w="2833" w:type="dxa"/>
            <w:tcBorders>
              <w:top w:val="nil"/>
              <w:left w:val="nil"/>
              <w:bottom w:val="nil"/>
              <w:right w:val="nil"/>
              <w:tl2br w:val="nil"/>
              <w:tr2bl w:val="nil"/>
            </w:tcBorders>
            <w:tcMar>
              <w:left w:w="60" w:type="dxa"/>
              <w:right w:w="60" w:type="dxa"/>
            </w:tcMar>
            <w:vAlign w:val="center"/>
          </w:tcPr>
          <w:p w14:paraId="02297A16" w14:textId="77777777" w:rsidR="00807FFE" w:rsidRDefault="00807FFE">
            <w:pPr>
              <w:pStyle w:val="DMETW36755BIPEXRCTQ"/>
              <w:rPr>
                <w:rFonts w:ascii="Verdana" w:eastAsia="Verdana" w:hAnsi="Verdana" w:cs="Verdana"/>
                <w:b/>
                <w:noProof/>
                <w:color w:val="000000"/>
                <w:sz w:val="18"/>
                <w:lang w:bidi="en-GB"/>
              </w:rPr>
            </w:pPr>
            <w:bookmarkStart w:id="233" w:name="DOC_TBL00099_1_1"/>
            <w:bookmarkEnd w:id="233"/>
          </w:p>
        </w:tc>
        <w:tc>
          <w:tcPr>
            <w:tcW w:w="993" w:type="dxa"/>
            <w:tcBorders>
              <w:top w:val="nil"/>
              <w:left w:val="nil"/>
              <w:bottom w:val="nil"/>
              <w:right w:val="nil"/>
              <w:tl2br w:val="nil"/>
              <w:tr2bl w:val="nil"/>
            </w:tcBorders>
            <w:tcMar>
              <w:left w:w="60" w:type="dxa"/>
              <w:right w:w="60" w:type="dxa"/>
            </w:tcMar>
            <w:vAlign w:val="center"/>
          </w:tcPr>
          <w:p w14:paraId="0C3D4A81" w14:textId="77777777" w:rsidR="00807FFE" w:rsidRDefault="00807FFE">
            <w:pPr>
              <w:pStyle w:val="DMETW36755BIPEXRCTQ"/>
              <w:rPr>
                <w:rFonts w:ascii="Verdana" w:eastAsia="Verdana" w:hAnsi="Verdana" w:cs="Verdana"/>
                <w:noProof/>
                <w:color w:val="000000"/>
              </w:rPr>
            </w:pPr>
          </w:p>
        </w:tc>
        <w:tc>
          <w:tcPr>
            <w:tcW w:w="1275" w:type="dxa"/>
            <w:tcBorders>
              <w:top w:val="nil"/>
              <w:left w:val="nil"/>
              <w:bottom w:val="nil"/>
              <w:right w:val="nil"/>
              <w:tl2br w:val="nil"/>
              <w:tr2bl w:val="nil"/>
            </w:tcBorders>
            <w:tcMar>
              <w:left w:w="60" w:type="dxa"/>
              <w:right w:w="60" w:type="dxa"/>
            </w:tcMar>
            <w:vAlign w:val="center"/>
          </w:tcPr>
          <w:p w14:paraId="265FE64C" w14:textId="77777777" w:rsidR="00807FFE" w:rsidRDefault="00807FFE">
            <w:pPr>
              <w:pStyle w:val="DMETW36755BIPEXRCTQ"/>
              <w:rPr>
                <w:rFonts w:ascii="Verdana" w:eastAsia="Verdana" w:hAnsi="Verdana" w:cs="Verdana"/>
                <w:noProof/>
                <w:color w:val="000000"/>
              </w:rPr>
            </w:pPr>
          </w:p>
        </w:tc>
        <w:tc>
          <w:tcPr>
            <w:tcW w:w="1276" w:type="dxa"/>
            <w:tcBorders>
              <w:top w:val="nil"/>
              <w:left w:val="nil"/>
              <w:bottom w:val="nil"/>
              <w:right w:val="nil"/>
              <w:tl2br w:val="nil"/>
              <w:tr2bl w:val="nil"/>
            </w:tcBorders>
            <w:tcMar>
              <w:left w:w="60" w:type="dxa"/>
              <w:right w:w="60" w:type="dxa"/>
            </w:tcMar>
            <w:vAlign w:val="center"/>
          </w:tcPr>
          <w:p w14:paraId="4812BB41" w14:textId="77777777" w:rsidR="00807FFE" w:rsidRDefault="00807FFE">
            <w:pPr>
              <w:pStyle w:val="DMETW36755BIPEXRCT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14:paraId="11A68C6A" w14:textId="77777777" w:rsidR="00807FFE" w:rsidRDefault="00807FFE">
            <w:pPr>
              <w:pStyle w:val="DMETW36755BIPEXRCT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14:paraId="3D656792" w14:textId="77777777" w:rsidR="00807FFE" w:rsidRDefault="00807FFE">
            <w:pPr>
              <w:pStyle w:val="DMETW36755BIPEXRCTQ"/>
              <w:rPr>
                <w:rFonts w:ascii="Verdana" w:eastAsia="Verdana" w:hAnsi="Verdana" w:cs="Verdana"/>
                <w:noProof/>
                <w:color w:val="000000"/>
              </w:rPr>
            </w:pPr>
          </w:p>
        </w:tc>
        <w:tc>
          <w:tcPr>
            <w:tcW w:w="1113" w:type="dxa"/>
            <w:tcBorders>
              <w:top w:val="nil"/>
              <w:left w:val="nil"/>
              <w:bottom w:val="nil"/>
              <w:right w:val="nil"/>
              <w:tl2br w:val="nil"/>
              <w:tr2bl w:val="nil"/>
            </w:tcBorders>
            <w:tcMar>
              <w:left w:w="60" w:type="dxa"/>
              <w:right w:w="60" w:type="dxa"/>
            </w:tcMar>
            <w:vAlign w:val="bottom"/>
          </w:tcPr>
          <w:p w14:paraId="76431431" w14:textId="77777777" w:rsidR="00807FFE" w:rsidRDefault="00023E71">
            <w:pPr>
              <w:pStyle w:val="DMETW36755BIPEXRCTQ"/>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54F452F" w14:textId="77777777">
        <w:trPr>
          <w:trHeight w:val="255"/>
        </w:trPr>
        <w:tc>
          <w:tcPr>
            <w:tcW w:w="2833" w:type="dxa"/>
            <w:tcBorders>
              <w:top w:val="nil"/>
              <w:left w:val="nil"/>
              <w:bottom w:val="nil"/>
              <w:right w:val="nil"/>
              <w:tl2br w:val="nil"/>
              <w:tr2bl w:val="nil"/>
            </w:tcBorders>
            <w:shd w:val="solid" w:color="016794" w:fill="FFFFFF"/>
            <w:tcMar>
              <w:left w:w="60" w:type="dxa"/>
              <w:right w:w="60" w:type="dxa"/>
            </w:tcMar>
            <w:vAlign w:val="center"/>
          </w:tcPr>
          <w:p w14:paraId="4279C97D" w14:textId="77777777" w:rsidR="00807FFE" w:rsidRDefault="00807FFE">
            <w:pPr>
              <w:pStyle w:val="DMETW36755BIPEXRCTQ"/>
              <w:rPr>
                <w:rFonts w:ascii="Verdana" w:eastAsia="Verdana" w:hAnsi="Verdana" w:cs="Verdana"/>
                <w:noProof/>
                <w:color w:val="FFFFFF"/>
              </w:rPr>
            </w:pPr>
          </w:p>
        </w:tc>
        <w:tc>
          <w:tcPr>
            <w:tcW w:w="993" w:type="dxa"/>
            <w:tcBorders>
              <w:top w:val="nil"/>
              <w:left w:val="nil"/>
              <w:bottom w:val="nil"/>
              <w:right w:val="nil"/>
              <w:tl2br w:val="nil"/>
              <w:tr2bl w:val="nil"/>
            </w:tcBorders>
            <w:shd w:val="solid" w:color="016794" w:fill="FFFFFF"/>
            <w:tcMar>
              <w:left w:w="60" w:type="dxa"/>
              <w:right w:w="60" w:type="dxa"/>
            </w:tcMar>
            <w:vAlign w:val="center"/>
          </w:tcPr>
          <w:p w14:paraId="553390E2"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Not due</w:t>
            </w:r>
          </w:p>
        </w:tc>
        <w:tc>
          <w:tcPr>
            <w:tcW w:w="1275" w:type="dxa"/>
            <w:tcBorders>
              <w:top w:val="nil"/>
              <w:left w:val="nil"/>
              <w:bottom w:val="nil"/>
              <w:right w:val="nil"/>
              <w:tl2br w:val="nil"/>
              <w:tr2bl w:val="nil"/>
            </w:tcBorders>
            <w:shd w:val="solid" w:color="016794" w:fill="FFFFFF"/>
            <w:tcMar>
              <w:left w:w="60" w:type="dxa"/>
              <w:right w:w="60" w:type="dxa"/>
            </w:tcMar>
            <w:vAlign w:val="center"/>
          </w:tcPr>
          <w:p w14:paraId="364A0B17"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 xml:space="preserve">Past due </w:t>
            </w:r>
          </w:p>
        </w:tc>
        <w:tc>
          <w:tcPr>
            <w:tcW w:w="1276" w:type="dxa"/>
            <w:tcBorders>
              <w:top w:val="nil"/>
              <w:left w:val="nil"/>
              <w:bottom w:val="nil"/>
              <w:right w:val="nil"/>
              <w:tl2br w:val="nil"/>
              <w:tr2bl w:val="nil"/>
            </w:tcBorders>
            <w:shd w:val="solid" w:color="016794" w:fill="FFFFFF"/>
            <w:tcMar>
              <w:left w:w="60" w:type="dxa"/>
              <w:right w:w="60" w:type="dxa"/>
            </w:tcMar>
            <w:vAlign w:val="center"/>
          </w:tcPr>
          <w:p w14:paraId="519834CA"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 xml:space="preserve">Past due </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572E1581"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 xml:space="preserve">Past due </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1DFBD3D3"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 xml:space="preserve">Past due </w:t>
            </w:r>
          </w:p>
        </w:tc>
        <w:tc>
          <w:tcPr>
            <w:tcW w:w="1113" w:type="dxa"/>
            <w:tcBorders>
              <w:top w:val="nil"/>
              <w:left w:val="nil"/>
              <w:bottom w:val="nil"/>
              <w:right w:val="nil"/>
              <w:tl2br w:val="nil"/>
              <w:tr2bl w:val="nil"/>
            </w:tcBorders>
            <w:shd w:val="solid" w:color="016794" w:fill="FFFFFF"/>
            <w:tcMar>
              <w:left w:w="60" w:type="dxa"/>
              <w:right w:w="60" w:type="dxa"/>
            </w:tcMar>
            <w:vAlign w:val="center"/>
          </w:tcPr>
          <w:p w14:paraId="60FA16F3" w14:textId="77777777" w:rsidR="00807FFE" w:rsidRDefault="00023E71">
            <w:pPr>
              <w:pStyle w:val="DMETW36755BIPEXRCTQ"/>
              <w:jc w:val="right"/>
              <w:rPr>
                <w:rFonts w:ascii="Verdana" w:eastAsia="Verdana" w:hAnsi="Verdana" w:cs="Verdana"/>
                <w:noProof/>
                <w:color w:val="FFFFFF"/>
                <w:lang w:bidi="en-GB"/>
              </w:rPr>
            </w:pPr>
            <w:r>
              <w:rPr>
                <w:rFonts w:ascii="Verdana" w:eastAsia="Verdana" w:hAnsi="Verdana" w:cs="Verdana"/>
                <w:noProof/>
                <w:color w:val="FFFFFF"/>
              </w:rPr>
              <w:t>Total</w:t>
            </w:r>
          </w:p>
        </w:tc>
      </w:tr>
      <w:tr w:rsidR="00807FFE" w14:paraId="640F1A78" w14:textId="77777777">
        <w:trPr>
          <w:trHeight w:val="255"/>
        </w:trPr>
        <w:tc>
          <w:tcPr>
            <w:tcW w:w="2833" w:type="dxa"/>
            <w:tcBorders>
              <w:top w:val="nil"/>
              <w:left w:val="nil"/>
              <w:bottom w:val="nil"/>
              <w:right w:val="nil"/>
              <w:tl2br w:val="nil"/>
              <w:tr2bl w:val="nil"/>
            </w:tcBorders>
            <w:shd w:val="solid" w:color="016794" w:fill="FFFFFF"/>
            <w:tcMar>
              <w:left w:w="60" w:type="dxa"/>
              <w:right w:w="60" w:type="dxa"/>
            </w:tcMar>
            <w:vAlign w:val="center"/>
          </w:tcPr>
          <w:p w14:paraId="7D1E2544" w14:textId="77777777" w:rsidR="00807FFE" w:rsidRDefault="00807FFE">
            <w:pPr>
              <w:pStyle w:val="DMETW36755BIPEXRCTQ"/>
              <w:rPr>
                <w:rFonts w:ascii="Verdana" w:eastAsia="Verdana" w:hAnsi="Verdana" w:cs="Verdana"/>
                <w:noProof/>
                <w:color w:val="FFFFFF"/>
              </w:rPr>
            </w:pPr>
          </w:p>
        </w:tc>
        <w:tc>
          <w:tcPr>
            <w:tcW w:w="993" w:type="dxa"/>
            <w:tcBorders>
              <w:top w:val="nil"/>
              <w:left w:val="nil"/>
              <w:bottom w:val="nil"/>
              <w:right w:val="nil"/>
              <w:tl2br w:val="nil"/>
              <w:tr2bl w:val="nil"/>
            </w:tcBorders>
            <w:shd w:val="solid" w:color="016794" w:fill="FFFFFF"/>
            <w:tcMar>
              <w:left w:w="60" w:type="dxa"/>
              <w:right w:w="60" w:type="dxa"/>
            </w:tcMar>
            <w:vAlign w:val="center"/>
          </w:tcPr>
          <w:p w14:paraId="08889206" w14:textId="77777777" w:rsidR="00807FFE" w:rsidRDefault="00807FFE">
            <w:pPr>
              <w:pStyle w:val="DMETW36755BIPEXRCTQ"/>
              <w:jc w:val="right"/>
              <w:rPr>
                <w:rFonts w:ascii="Verdana" w:eastAsia="Verdana" w:hAnsi="Verdana" w:cs="Verdana"/>
                <w:noProof/>
                <w:color w:val="FFFFFF"/>
              </w:rPr>
            </w:pPr>
          </w:p>
        </w:tc>
        <w:tc>
          <w:tcPr>
            <w:tcW w:w="1275" w:type="dxa"/>
            <w:tcBorders>
              <w:top w:val="nil"/>
              <w:left w:val="nil"/>
              <w:bottom w:val="nil"/>
              <w:right w:val="nil"/>
              <w:tl2br w:val="nil"/>
              <w:tr2bl w:val="nil"/>
            </w:tcBorders>
            <w:shd w:val="solid" w:color="016794" w:fill="FFFFFF"/>
            <w:tcMar>
              <w:left w:w="60" w:type="dxa"/>
              <w:right w:w="60" w:type="dxa"/>
            </w:tcMar>
            <w:vAlign w:val="center"/>
          </w:tcPr>
          <w:p w14:paraId="7A56AE71"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 xml:space="preserve"> 0-30 days</w:t>
            </w:r>
          </w:p>
        </w:tc>
        <w:tc>
          <w:tcPr>
            <w:tcW w:w="1276" w:type="dxa"/>
            <w:tcBorders>
              <w:top w:val="nil"/>
              <w:left w:val="nil"/>
              <w:bottom w:val="nil"/>
              <w:right w:val="nil"/>
              <w:tl2br w:val="nil"/>
              <w:tr2bl w:val="nil"/>
            </w:tcBorders>
            <w:shd w:val="solid" w:color="016794" w:fill="FFFFFF"/>
            <w:tcMar>
              <w:left w:w="60" w:type="dxa"/>
              <w:right w:w="60" w:type="dxa"/>
            </w:tcMar>
            <w:vAlign w:val="center"/>
          </w:tcPr>
          <w:p w14:paraId="6A6F2314"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31-90 days</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44A1A42F"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91 days - 1 year</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08248AD3" w14:textId="77777777" w:rsidR="00807FFE" w:rsidRDefault="00023E71">
            <w:pPr>
              <w:pStyle w:val="DMETW36755BIPEXRCTQ"/>
              <w:jc w:val="right"/>
              <w:rPr>
                <w:rFonts w:ascii="Verdana" w:eastAsia="Verdana" w:hAnsi="Verdana" w:cs="Verdana"/>
                <w:noProof/>
                <w:color w:val="FFFFFF"/>
              </w:rPr>
            </w:pPr>
            <w:r>
              <w:rPr>
                <w:rFonts w:ascii="Verdana" w:eastAsia="Verdana" w:hAnsi="Verdana" w:cs="Verdana"/>
                <w:noProof/>
                <w:color w:val="FFFFFF"/>
              </w:rPr>
              <w:t>&gt; 1 year</w:t>
            </w:r>
          </w:p>
        </w:tc>
        <w:tc>
          <w:tcPr>
            <w:tcW w:w="1113" w:type="dxa"/>
            <w:tcBorders>
              <w:top w:val="nil"/>
              <w:left w:val="nil"/>
              <w:bottom w:val="nil"/>
              <w:right w:val="nil"/>
              <w:tl2br w:val="nil"/>
              <w:tr2bl w:val="nil"/>
            </w:tcBorders>
            <w:shd w:val="solid" w:color="016794" w:fill="FFFFFF"/>
            <w:tcMar>
              <w:left w:w="60" w:type="dxa"/>
              <w:right w:w="60" w:type="dxa"/>
            </w:tcMar>
            <w:vAlign w:val="center"/>
          </w:tcPr>
          <w:p w14:paraId="7CEE7BC4" w14:textId="77777777" w:rsidR="00807FFE" w:rsidRDefault="00807FFE">
            <w:pPr>
              <w:pStyle w:val="DMETW36755BIPEXRCTQ"/>
              <w:jc w:val="right"/>
              <w:rPr>
                <w:rFonts w:ascii="Verdana" w:eastAsia="Verdana" w:hAnsi="Verdana" w:cs="Verdana"/>
                <w:noProof/>
                <w:color w:val="FFFFFF"/>
                <w:lang w:bidi="en-GB"/>
              </w:rPr>
            </w:pPr>
          </w:p>
        </w:tc>
      </w:tr>
      <w:tr w:rsidR="00807FFE" w14:paraId="7C3F195A" w14:textId="77777777">
        <w:trPr>
          <w:trHeight w:val="255"/>
        </w:trPr>
        <w:tc>
          <w:tcPr>
            <w:tcW w:w="2833" w:type="dxa"/>
            <w:tcBorders>
              <w:top w:val="nil"/>
              <w:left w:val="nil"/>
              <w:bottom w:val="nil"/>
              <w:right w:val="nil"/>
              <w:tl2br w:val="nil"/>
              <w:tr2bl w:val="nil"/>
            </w:tcBorders>
            <w:tcMar>
              <w:left w:w="60" w:type="dxa"/>
              <w:right w:w="60" w:type="dxa"/>
            </w:tcMar>
            <w:vAlign w:val="center"/>
          </w:tcPr>
          <w:p w14:paraId="327748A2" w14:textId="77777777" w:rsidR="00807FFE" w:rsidRDefault="00023E71">
            <w:pPr>
              <w:pStyle w:val="DMETW36755BIPEXRCTQ"/>
              <w:rPr>
                <w:rFonts w:ascii="Verdana" w:eastAsia="Verdana" w:hAnsi="Verdana" w:cs="Verdana"/>
                <w:noProof/>
                <w:color w:val="000000"/>
                <w:sz w:val="18"/>
              </w:rPr>
            </w:pPr>
            <w:r>
              <w:rPr>
                <w:rFonts w:ascii="Verdana" w:eastAsia="Verdana" w:hAnsi="Verdana" w:cs="Verdana"/>
                <w:noProof/>
                <w:color w:val="000000"/>
                <w:sz w:val="18"/>
              </w:rPr>
              <w:t>Gross carrying amount</w:t>
            </w:r>
          </w:p>
        </w:tc>
        <w:tc>
          <w:tcPr>
            <w:tcW w:w="993" w:type="dxa"/>
            <w:tcBorders>
              <w:top w:val="nil"/>
              <w:left w:val="nil"/>
              <w:bottom w:val="nil"/>
              <w:right w:val="nil"/>
              <w:tl2br w:val="nil"/>
              <w:tr2bl w:val="nil"/>
            </w:tcBorders>
            <w:tcMar>
              <w:left w:w="60" w:type="dxa"/>
              <w:right w:w="60" w:type="dxa"/>
            </w:tcMar>
            <w:vAlign w:val="center"/>
          </w:tcPr>
          <w:p w14:paraId="252A3CEE"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2 063</w:t>
            </w:r>
          </w:p>
        </w:tc>
        <w:tc>
          <w:tcPr>
            <w:tcW w:w="1275" w:type="dxa"/>
            <w:tcBorders>
              <w:top w:val="nil"/>
              <w:left w:val="nil"/>
              <w:bottom w:val="nil"/>
              <w:right w:val="nil"/>
              <w:tl2br w:val="nil"/>
              <w:tr2bl w:val="nil"/>
            </w:tcBorders>
            <w:tcMar>
              <w:left w:w="60" w:type="dxa"/>
              <w:right w:w="60" w:type="dxa"/>
            </w:tcMar>
            <w:vAlign w:val="center"/>
          </w:tcPr>
          <w:p w14:paraId="60703446"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18</w:t>
            </w:r>
          </w:p>
        </w:tc>
        <w:tc>
          <w:tcPr>
            <w:tcW w:w="1276" w:type="dxa"/>
            <w:tcBorders>
              <w:top w:val="nil"/>
              <w:left w:val="nil"/>
              <w:bottom w:val="nil"/>
              <w:right w:val="nil"/>
              <w:tl2br w:val="nil"/>
              <w:tr2bl w:val="nil"/>
            </w:tcBorders>
            <w:tcMar>
              <w:left w:w="60" w:type="dxa"/>
              <w:right w:w="60" w:type="dxa"/>
            </w:tcMar>
            <w:vAlign w:val="center"/>
          </w:tcPr>
          <w:p w14:paraId="4B925C03"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22</w:t>
            </w:r>
          </w:p>
        </w:tc>
        <w:tc>
          <w:tcPr>
            <w:tcW w:w="1134" w:type="dxa"/>
            <w:tcBorders>
              <w:top w:val="nil"/>
              <w:left w:val="nil"/>
              <w:bottom w:val="nil"/>
              <w:right w:val="nil"/>
              <w:tl2br w:val="nil"/>
              <w:tr2bl w:val="nil"/>
            </w:tcBorders>
            <w:tcMar>
              <w:left w:w="60" w:type="dxa"/>
              <w:right w:w="60" w:type="dxa"/>
            </w:tcMar>
            <w:vAlign w:val="center"/>
          </w:tcPr>
          <w:p w14:paraId="48E0BF39"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52</w:t>
            </w:r>
          </w:p>
        </w:tc>
        <w:tc>
          <w:tcPr>
            <w:tcW w:w="1134" w:type="dxa"/>
            <w:tcBorders>
              <w:top w:val="nil"/>
              <w:left w:val="nil"/>
              <w:bottom w:val="nil"/>
              <w:right w:val="nil"/>
              <w:tl2br w:val="nil"/>
              <w:tr2bl w:val="nil"/>
            </w:tcBorders>
            <w:tcMar>
              <w:left w:w="60" w:type="dxa"/>
              <w:right w:w="60" w:type="dxa"/>
            </w:tcMar>
            <w:vAlign w:val="center"/>
          </w:tcPr>
          <w:p w14:paraId="7114C944"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179</w:t>
            </w:r>
          </w:p>
        </w:tc>
        <w:tc>
          <w:tcPr>
            <w:tcW w:w="1113" w:type="dxa"/>
            <w:tcBorders>
              <w:top w:val="nil"/>
              <w:left w:val="nil"/>
              <w:bottom w:val="nil"/>
              <w:right w:val="nil"/>
              <w:tl2br w:val="nil"/>
              <w:tr2bl w:val="nil"/>
            </w:tcBorders>
            <w:tcMar>
              <w:left w:w="60" w:type="dxa"/>
              <w:right w:w="60" w:type="dxa"/>
            </w:tcMar>
            <w:vAlign w:val="center"/>
          </w:tcPr>
          <w:p w14:paraId="457A348F" w14:textId="77777777" w:rsidR="00807FFE" w:rsidRDefault="00023E71">
            <w:pPr>
              <w:pStyle w:val="DMETW36755BIPEXRCTQ"/>
              <w:jc w:val="right"/>
              <w:rPr>
                <w:rFonts w:ascii="Verdana" w:eastAsia="Verdana" w:hAnsi="Verdana" w:cs="Verdana"/>
                <w:i/>
                <w:noProof/>
                <w:color w:val="000000"/>
                <w:sz w:val="18"/>
                <w:lang w:bidi="en-GB"/>
              </w:rPr>
            </w:pPr>
            <w:r>
              <w:rPr>
                <w:rFonts w:ascii="Verdana" w:eastAsia="Verdana" w:hAnsi="Verdana" w:cs="Verdana"/>
                <w:i/>
                <w:noProof/>
                <w:color w:val="000000"/>
                <w:sz w:val="18"/>
              </w:rPr>
              <w:t>2 335</w:t>
            </w:r>
          </w:p>
        </w:tc>
      </w:tr>
      <w:tr w:rsidR="00807FFE" w14:paraId="631DE8A1" w14:textId="77777777">
        <w:trPr>
          <w:trHeight w:val="255"/>
        </w:trPr>
        <w:tc>
          <w:tcPr>
            <w:tcW w:w="2833" w:type="dxa"/>
            <w:tcBorders>
              <w:top w:val="nil"/>
              <w:left w:val="nil"/>
              <w:bottom w:val="single" w:sz="4" w:space="0" w:color="016794"/>
              <w:right w:val="nil"/>
              <w:tl2br w:val="nil"/>
              <w:tr2bl w:val="nil"/>
            </w:tcBorders>
            <w:tcMar>
              <w:left w:w="60" w:type="dxa"/>
              <w:right w:w="60" w:type="dxa"/>
            </w:tcMar>
            <w:vAlign w:val="center"/>
          </w:tcPr>
          <w:p w14:paraId="1BBC95DF" w14:textId="77777777" w:rsidR="00807FFE" w:rsidRDefault="00023E71">
            <w:pPr>
              <w:pStyle w:val="DMETW36755BIPEXRCTQ"/>
              <w:rPr>
                <w:rFonts w:ascii="Verdana" w:eastAsia="Verdana" w:hAnsi="Verdana" w:cs="Verdana"/>
                <w:i/>
                <w:noProof/>
                <w:color w:val="000000"/>
                <w:sz w:val="18"/>
              </w:rPr>
            </w:pPr>
            <w:r>
              <w:rPr>
                <w:rFonts w:ascii="Verdana" w:eastAsia="Verdana" w:hAnsi="Verdana" w:cs="Verdana"/>
                <w:i/>
                <w:noProof/>
                <w:color w:val="000000"/>
                <w:sz w:val="18"/>
              </w:rPr>
              <w:t>Minus loss allowance</w:t>
            </w:r>
          </w:p>
        </w:tc>
        <w:tc>
          <w:tcPr>
            <w:tcW w:w="993" w:type="dxa"/>
            <w:tcBorders>
              <w:top w:val="nil"/>
              <w:left w:val="nil"/>
              <w:bottom w:val="single" w:sz="4" w:space="0" w:color="016794"/>
              <w:right w:val="nil"/>
              <w:tl2br w:val="nil"/>
              <w:tr2bl w:val="nil"/>
            </w:tcBorders>
            <w:tcMar>
              <w:left w:w="60" w:type="dxa"/>
              <w:right w:w="60" w:type="dxa"/>
            </w:tcMar>
            <w:vAlign w:val="center"/>
          </w:tcPr>
          <w:p w14:paraId="2CCE4F60"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(5)</w:t>
            </w:r>
          </w:p>
        </w:tc>
        <w:tc>
          <w:tcPr>
            <w:tcW w:w="1275" w:type="dxa"/>
            <w:tcBorders>
              <w:top w:val="nil"/>
              <w:left w:val="nil"/>
              <w:bottom w:val="single" w:sz="4" w:space="0" w:color="016794"/>
              <w:right w:val="nil"/>
              <w:tl2br w:val="nil"/>
              <w:tr2bl w:val="nil"/>
            </w:tcBorders>
            <w:tcMar>
              <w:left w:w="60" w:type="dxa"/>
              <w:right w:w="60" w:type="dxa"/>
            </w:tcMar>
            <w:vAlign w:val="center"/>
          </w:tcPr>
          <w:p w14:paraId="01C7D4AB"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(3)</w:t>
            </w:r>
          </w:p>
        </w:tc>
        <w:tc>
          <w:tcPr>
            <w:tcW w:w="1276" w:type="dxa"/>
            <w:tcBorders>
              <w:top w:val="nil"/>
              <w:left w:val="nil"/>
              <w:bottom w:val="single" w:sz="4" w:space="0" w:color="016794"/>
              <w:right w:val="nil"/>
              <w:tl2br w:val="nil"/>
              <w:tr2bl w:val="nil"/>
            </w:tcBorders>
            <w:tcMar>
              <w:left w:w="60" w:type="dxa"/>
              <w:right w:w="60" w:type="dxa"/>
            </w:tcMar>
            <w:vAlign w:val="center"/>
          </w:tcPr>
          <w:p w14:paraId="6A365FD6"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(9)</w:t>
            </w:r>
          </w:p>
        </w:tc>
        <w:tc>
          <w:tcPr>
            <w:tcW w:w="1134" w:type="dxa"/>
            <w:tcBorders>
              <w:top w:val="nil"/>
              <w:left w:val="nil"/>
              <w:bottom w:val="single" w:sz="4" w:space="0" w:color="016794"/>
              <w:right w:val="nil"/>
              <w:tl2br w:val="nil"/>
              <w:tr2bl w:val="nil"/>
            </w:tcBorders>
            <w:tcMar>
              <w:left w:w="60" w:type="dxa"/>
              <w:right w:w="60" w:type="dxa"/>
            </w:tcMar>
            <w:vAlign w:val="center"/>
          </w:tcPr>
          <w:p w14:paraId="43078C08"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(24)</w:t>
            </w:r>
          </w:p>
        </w:tc>
        <w:tc>
          <w:tcPr>
            <w:tcW w:w="1134" w:type="dxa"/>
            <w:tcBorders>
              <w:top w:val="nil"/>
              <w:left w:val="nil"/>
              <w:bottom w:val="single" w:sz="4" w:space="0" w:color="016794"/>
              <w:right w:val="nil"/>
              <w:tl2br w:val="nil"/>
              <w:tr2bl w:val="nil"/>
            </w:tcBorders>
            <w:tcMar>
              <w:left w:w="60" w:type="dxa"/>
              <w:right w:w="60" w:type="dxa"/>
            </w:tcMar>
            <w:vAlign w:val="center"/>
          </w:tcPr>
          <w:p w14:paraId="1393DFFB"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(115)</w:t>
            </w:r>
          </w:p>
        </w:tc>
        <w:tc>
          <w:tcPr>
            <w:tcW w:w="1113" w:type="dxa"/>
            <w:tcBorders>
              <w:top w:val="nil"/>
              <w:left w:val="nil"/>
              <w:bottom w:val="single" w:sz="4" w:space="0" w:color="000000"/>
              <w:right w:val="nil"/>
              <w:tl2br w:val="nil"/>
              <w:tr2bl w:val="nil"/>
            </w:tcBorders>
            <w:tcMar>
              <w:left w:w="60" w:type="dxa"/>
              <w:right w:w="60" w:type="dxa"/>
            </w:tcMar>
            <w:vAlign w:val="center"/>
          </w:tcPr>
          <w:p w14:paraId="2B046831" w14:textId="77777777" w:rsidR="00807FFE" w:rsidRDefault="00023E71">
            <w:pPr>
              <w:pStyle w:val="DMETW36755BIPEXRCTQ"/>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(156)</w:t>
            </w:r>
          </w:p>
        </w:tc>
      </w:tr>
      <w:tr w:rsidR="00807FFE" w14:paraId="20CC37D4" w14:textId="77777777">
        <w:trPr>
          <w:trHeight w:val="255"/>
        </w:trPr>
        <w:tc>
          <w:tcPr>
            <w:tcW w:w="2833" w:type="dxa"/>
            <w:tcBorders>
              <w:top w:val="single" w:sz="4" w:space="0" w:color="016794"/>
              <w:left w:val="nil"/>
              <w:bottom w:val="single" w:sz="4" w:space="0" w:color="016794"/>
              <w:right w:val="nil"/>
              <w:tl2br w:val="nil"/>
              <w:tr2bl w:val="nil"/>
            </w:tcBorders>
            <w:tcMar>
              <w:left w:w="60" w:type="dxa"/>
              <w:right w:w="60" w:type="dxa"/>
            </w:tcMar>
            <w:vAlign w:val="center"/>
          </w:tcPr>
          <w:p w14:paraId="0D72579C" w14:textId="77777777" w:rsidR="00807FFE" w:rsidRDefault="00023E71">
            <w:pPr>
              <w:pStyle w:val="DMETW36755BIPEXRCTQ"/>
              <w:rPr>
                <w:rFonts w:ascii="Verdana" w:eastAsia="Verdana" w:hAnsi="Verdana" w:cs="Verdana"/>
                <w:b/>
                <w:noProof/>
                <w:color w:val="000000"/>
                <w:sz w:val="18"/>
              </w:rPr>
            </w:pPr>
            <w:r>
              <w:rPr>
                <w:rFonts w:ascii="Verdana" w:eastAsia="Verdana" w:hAnsi="Verdana" w:cs="Verdana"/>
                <w:b/>
                <w:noProof/>
                <w:color w:val="000000"/>
                <w:sz w:val="18"/>
              </w:rPr>
              <w:t>Net carrying amount at 31.12.2025</w:t>
            </w:r>
          </w:p>
        </w:tc>
        <w:tc>
          <w:tcPr>
            <w:tcW w:w="993" w:type="dxa"/>
            <w:tcBorders>
              <w:top w:val="single" w:sz="4" w:space="0" w:color="016794"/>
              <w:left w:val="nil"/>
              <w:bottom w:val="single" w:sz="4" w:space="0" w:color="016794"/>
              <w:right w:val="nil"/>
              <w:tl2br w:val="nil"/>
              <w:tr2bl w:val="nil"/>
            </w:tcBorders>
            <w:tcMar>
              <w:left w:w="60" w:type="dxa"/>
              <w:right w:w="60" w:type="dxa"/>
            </w:tcMar>
            <w:vAlign w:val="center"/>
          </w:tcPr>
          <w:p w14:paraId="7697BD75"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2 058</w:t>
            </w:r>
          </w:p>
        </w:tc>
        <w:tc>
          <w:tcPr>
            <w:tcW w:w="1275" w:type="dxa"/>
            <w:tcBorders>
              <w:top w:val="single" w:sz="4" w:space="0" w:color="016794"/>
              <w:left w:val="nil"/>
              <w:bottom w:val="single" w:sz="4" w:space="0" w:color="016794"/>
              <w:right w:val="nil"/>
              <w:tl2br w:val="nil"/>
              <w:tr2bl w:val="nil"/>
            </w:tcBorders>
            <w:tcMar>
              <w:left w:w="60" w:type="dxa"/>
              <w:right w:w="60" w:type="dxa"/>
            </w:tcMar>
            <w:vAlign w:val="center"/>
          </w:tcPr>
          <w:p w14:paraId="364C1DC7"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15</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14:paraId="211F20E7"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14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423E0DF1"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28</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61A9B017"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64</w:t>
            </w:r>
          </w:p>
        </w:tc>
        <w:tc>
          <w:tcPr>
            <w:tcW w:w="1113" w:type="dxa"/>
            <w:tcBorders>
              <w:top w:val="single" w:sz="4" w:space="0" w:color="000000"/>
              <w:left w:val="nil"/>
              <w:bottom w:val="single" w:sz="4" w:space="0" w:color="000000"/>
              <w:right w:val="nil"/>
              <w:tl2br w:val="nil"/>
              <w:tr2bl w:val="nil"/>
            </w:tcBorders>
            <w:tcMar>
              <w:left w:w="60" w:type="dxa"/>
              <w:right w:w="60" w:type="dxa"/>
            </w:tcMar>
            <w:vAlign w:val="center"/>
          </w:tcPr>
          <w:p w14:paraId="45D53E84" w14:textId="77777777" w:rsidR="00807FFE" w:rsidRDefault="00023E71">
            <w:pPr>
              <w:pStyle w:val="DMETW36755BIPEXRCTQ"/>
              <w:jc w:val="right"/>
              <w:rPr>
                <w:rFonts w:ascii="Verdana" w:eastAsia="Verdana" w:hAnsi="Verdana" w:cs="Verdana"/>
                <w:b/>
                <w:noProof/>
                <w:color w:val="000000"/>
                <w:sz w:val="18"/>
                <w:lang w:bidi="en-GB"/>
              </w:rPr>
            </w:pPr>
            <w:r>
              <w:rPr>
                <w:rFonts w:ascii="Verdana" w:eastAsia="Verdana" w:hAnsi="Verdana" w:cs="Verdana"/>
                <w:b/>
                <w:noProof/>
                <w:color w:val="000000"/>
                <w:sz w:val="18"/>
              </w:rPr>
              <w:t>2 178</w:t>
            </w:r>
          </w:p>
        </w:tc>
      </w:tr>
      <w:tr w:rsidR="00807FFE" w14:paraId="183E2BD5" w14:textId="77777777">
        <w:trPr>
          <w:trHeight w:val="255"/>
        </w:trPr>
        <w:tc>
          <w:tcPr>
            <w:tcW w:w="2833" w:type="dxa"/>
            <w:tcBorders>
              <w:top w:val="single" w:sz="4" w:space="0" w:color="016794"/>
              <w:left w:val="nil"/>
              <w:bottom w:val="nil"/>
              <w:right w:val="nil"/>
              <w:tl2br w:val="nil"/>
              <w:tr2bl w:val="nil"/>
            </w:tcBorders>
            <w:tcMar>
              <w:left w:w="60" w:type="dxa"/>
              <w:right w:w="60" w:type="dxa"/>
            </w:tcMar>
            <w:vAlign w:val="center"/>
          </w:tcPr>
          <w:p w14:paraId="55868CBE" w14:textId="77777777" w:rsidR="00807FFE" w:rsidRDefault="00023E71">
            <w:pPr>
              <w:pStyle w:val="DMETW36755BIPEXRCTQ"/>
              <w:rPr>
                <w:rFonts w:ascii="Verdana" w:eastAsia="Verdana" w:hAnsi="Verdana" w:cs="Verdana"/>
                <w:noProof/>
                <w:color w:val="000000"/>
                <w:sz w:val="18"/>
              </w:rPr>
            </w:pPr>
            <w:r>
              <w:rPr>
                <w:rFonts w:ascii="Verdana" w:eastAsia="Verdana" w:hAnsi="Verdana" w:cs="Verdana"/>
                <w:noProof/>
                <w:color w:val="000000"/>
                <w:sz w:val="18"/>
              </w:rPr>
              <w:t>Gross carrying amount</w:t>
            </w:r>
          </w:p>
        </w:tc>
        <w:tc>
          <w:tcPr>
            <w:tcW w:w="993" w:type="dxa"/>
            <w:tcBorders>
              <w:top w:val="single" w:sz="4" w:space="0" w:color="016794"/>
              <w:left w:val="nil"/>
              <w:bottom w:val="nil"/>
              <w:right w:val="nil"/>
              <w:tl2br w:val="nil"/>
              <w:tr2bl w:val="nil"/>
            </w:tcBorders>
            <w:tcMar>
              <w:left w:w="60" w:type="dxa"/>
              <w:right w:w="60" w:type="dxa"/>
            </w:tcMar>
            <w:vAlign w:val="center"/>
          </w:tcPr>
          <w:p w14:paraId="25D22EDD"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1 508</w:t>
            </w:r>
          </w:p>
        </w:tc>
        <w:tc>
          <w:tcPr>
            <w:tcW w:w="1275" w:type="dxa"/>
            <w:tcBorders>
              <w:top w:val="single" w:sz="4" w:space="0" w:color="016794"/>
              <w:left w:val="nil"/>
              <w:bottom w:val="nil"/>
              <w:right w:val="nil"/>
              <w:tl2br w:val="nil"/>
              <w:tr2bl w:val="nil"/>
            </w:tcBorders>
            <w:tcMar>
              <w:left w:w="60" w:type="dxa"/>
              <w:right w:w="60" w:type="dxa"/>
            </w:tcMar>
            <w:vAlign w:val="center"/>
          </w:tcPr>
          <w:p w14:paraId="0B5CA5F6"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15</w:t>
            </w:r>
          </w:p>
        </w:tc>
        <w:tc>
          <w:tcPr>
            <w:tcW w:w="1276" w:type="dxa"/>
            <w:tcBorders>
              <w:top w:val="single" w:sz="4" w:space="0" w:color="016794"/>
              <w:left w:val="nil"/>
              <w:bottom w:val="nil"/>
              <w:right w:val="nil"/>
              <w:tl2br w:val="nil"/>
              <w:tr2bl w:val="nil"/>
            </w:tcBorders>
            <w:tcMar>
              <w:left w:w="60" w:type="dxa"/>
              <w:right w:w="60" w:type="dxa"/>
            </w:tcMar>
            <w:vAlign w:val="center"/>
          </w:tcPr>
          <w:p w14:paraId="7C578164"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33</w:t>
            </w:r>
          </w:p>
        </w:tc>
        <w:tc>
          <w:tcPr>
            <w:tcW w:w="1134" w:type="dxa"/>
            <w:tcBorders>
              <w:top w:val="single" w:sz="4" w:space="0" w:color="016794"/>
              <w:left w:val="nil"/>
              <w:bottom w:val="nil"/>
              <w:right w:val="nil"/>
              <w:tl2br w:val="nil"/>
              <w:tr2bl w:val="nil"/>
            </w:tcBorders>
            <w:tcMar>
              <w:left w:w="60" w:type="dxa"/>
              <w:right w:w="60" w:type="dxa"/>
            </w:tcMar>
            <w:vAlign w:val="center"/>
          </w:tcPr>
          <w:p w14:paraId="440BCDEB"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27</w:t>
            </w:r>
          </w:p>
        </w:tc>
        <w:tc>
          <w:tcPr>
            <w:tcW w:w="1134" w:type="dxa"/>
            <w:tcBorders>
              <w:top w:val="single" w:sz="4" w:space="0" w:color="016794"/>
              <w:left w:val="nil"/>
              <w:bottom w:val="nil"/>
              <w:right w:val="nil"/>
              <w:tl2br w:val="nil"/>
              <w:tr2bl w:val="nil"/>
            </w:tcBorders>
            <w:tcMar>
              <w:left w:w="60" w:type="dxa"/>
              <w:right w:w="60" w:type="dxa"/>
            </w:tcMar>
            <w:vAlign w:val="center"/>
          </w:tcPr>
          <w:p w14:paraId="13E77C20"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207</w:t>
            </w:r>
          </w:p>
        </w:tc>
        <w:tc>
          <w:tcPr>
            <w:tcW w:w="1113" w:type="dxa"/>
            <w:tcBorders>
              <w:top w:val="single" w:sz="4" w:space="0" w:color="000000"/>
              <w:left w:val="nil"/>
              <w:bottom w:val="nil"/>
              <w:right w:val="nil"/>
              <w:tl2br w:val="nil"/>
              <w:tr2bl w:val="nil"/>
            </w:tcBorders>
            <w:tcMar>
              <w:left w:w="60" w:type="dxa"/>
              <w:right w:w="60" w:type="dxa"/>
            </w:tcMar>
            <w:vAlign w:val="center"/>
          </w:tcPr>
          <w:p w14:paraId="3291A39A" w14:textId="77777777" w:rsidR="00807FFE" w:rsidRDefault="00023E71">
            <w:pPr>
              <w:pStyle w:val="DMETW36755BIPEXRCTQ"/>
              <w:jc w:val="right"/>
              <w:rPr>
                <w:rFonts w:ascii="Verdana" w:eastAsia="Verdana" w:hAnsi="Verdana" w:cs="Verdana"/>
                <w:i/>
                <w:noProof/>
                <w:color w:val="000000"/>
                <w:sz w:val="18"/>
                <w:lang w:bidi="en-GB"/>
              </w:rPr>
            </w:pPr>
            <w:r>
              <w:rPr>
                <w:rFonts w:ascii="Verdana" w:eastAsia="Verdana" w:hAnsi="Verdana" w:cs="Verdana"/>
                <w:i/>
                <w:noProof/>
                <w:color w:val="000000"/>
                <w:sz w:val="18"/>
              </w:rPr>
              <w:t>1 789</w:t>
            </w:r>
          </w:p>
        </w:tc>
      </w:tr>
      <w:tr w:rsidR="00807FFE" w14:paraId="2F26DFD6" w14:textId="77777777">
        <w:trPr>
          <w:trHeight w:val="255"/>
        </w:trPr>
        <w:tc>
          <w:tcPr>
            <w:tcW w:w="2833" w:type="dxa"/>
            <w:tcBorders>
              <w:top w:val="nil"/>
              <w:left w:val="nil"/>
              <w:bottom w:val="single" w:sz="4" w:space="0" w:color="016794"/>
              <w:right w:val="nil"/>
              <w:tl2br w:val="nil"/>
              <w:tr2bl w:val="nil"/>
            </w:tcBorders>
            <w:tcMar>
              <w:left w:w="60" w:type="dxa"/>
              <w:right w:w="60" w:type="dxa"/>
            </w:tcMar>
            <w:vAlign w:val="center"/>
          </w:tcPr>
          <w:p w14:paraId="24243889" w14:textId="77777777" w:rsidR="00807FFE" w:rsidRDefault="00023E71">
            <w:pPr>
              <w:pStyle w:val="DMETW36755BIPEXRCTQ"/>
              <w:rPr>
                <w:rFonts w:ascii="Verdana" w:eastAsia="Verdana" w:hAnsi="Verdana" w:cs="Verdana"/>
                <w:i/>
                <w:noProof/>
                <w:color w:val="000000"/>
                <w:sz w:val="18"/>
              </w:rPr>
            </w:pPr>
            <w:r>
              <w:rPr>
                <w:rFonts w:ascii="Verdana" w:eastAsia="Verdana" w:hAnsi="Verdana" w:cs="Verdana"/>
                <w:i/>
                <w:noProof/>
                <w:color w:val="000000"/>
                <w:sz w:val="18"/>
              </w:rPr>
              <w:t>Minus loss allowance</w:t>
            </w:r>
          </w:p>
        </w:tc>
        <w:tc>
          <w:tcPr>
            <w:tcW w:w="993" w:type="dxa"/>
            <w:tcBorders>
              <w:top w:val="nil"/>
              <w:left w:val="nil"/>
              <w:bottom w:val="single" w:sz="4" w:space="0" w:color="016794"/>
              <w:right w:val="nil"/>
              <w:tl2br w:val="nil"/>
              <w:tr2bl w:val="nil"/>
            </w:tcBorders>
            <w:tcMar>
              <w:left w:w="60" w:type="dxa"/>
              <w:right w:w="60" w:type="dxa"/>
            </w:tcMar>
            <w:vAlign w:val="center"/>
          </w:tcPr>
          <w:p w14:paraId="1C99B56A"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(5)</w:t>
            </w:r>
          </w:p>
        </w:tc>
        <w:tc>
          <w:tcPr>
            <w:tcW w:w="1275" w:type="dxa"/>
            <w:tcBorders>
              <w:top w:val="nil"/>
              <w:left w:val="nil"/>
              <w:bottom w:val="single" w:sz="4" w:space="0" w:color="016794"/>
              <w:right w:val="nil"/>
              <w:tl2br w:val="nil"/>
              <w:tr2bl w:val="nil"/>
            </w:tcBorders>
            <w:tcMar>
              <w:left w:w="60" w:type="dxa"/>
              <w:right w:w="60" w:type="dxa"/>
            </w:tcMar>
            <w:vAlign w:val="center"/>
          </w:tcPr>
          <w:p w14:paraId="4FD16E96"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(2)</w:t>
            </w:r>
          </w:p>
        </w:tc>
        <w:tc>
          <w:tcPr>
            <w:tcW w:w="1276" w:type="dxa"/>
            <w:tcBorders>
              <w:top w:val="nil"/>
              <w:left w:val="nil"/>
              <w:bottom w:val="single" w:sz="4" w:space="0" w:color="016794"/>
              <w:right w:val="nil"/>
              <w:tl2br w:val="nil"/>
              <w:tr2bl w:val="nil"/>
            </w:tcBorders>
            <w:tcMar>
              <w:left w:w="60" w:type="dxa"/>
              <w:right w:w="60" w:type="dxa"/>
            </w:tcMar>
            <w:vAlign w:val="center"/>
          </w:tcPr>
          <w:p w14:paraId="308C4A7B"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(3)</w:t>
            </w:r>
          </w:p>
        </w:tc>
        <w:tc>
          <w:tcPr>
            <w:tcW w:w="1134" w:type="dxa"/>
            <w:tcBorders>
              <w:top w:val="nil"/>
              <w:left w:val="nil"/>
              <w:bottom w:val="single" w:sz="4" w:space="0" w:color="016794"/>
              <w:right w:val="nil"/>
              <w:tl2br w:val="nil"/>
              <w:tr2bl w:val="nil"/>
            </w:tcBorders>
            <w:tcMar>
              <w:left w:w="60" w:type="dxa"/>
              <w:right w:w="60" w:type="dxa"/>
            </w:tcMar>
            <w:vAlign w:val="center"/>
          </w:tcPr>
          <w:p w14:paraId="1112304C"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(13)</w:t>
            </w:r>
          </w:p>
        </w:tc>
        <w:tc>
          <w:tcPr>
            <w:tcW w:w="1134" w:type="dxa"/>
            <w:tcBorders>
              <w:top w:val="nil"/>
              <w:left w:val="nil"/>
              <w:bottom w:val="single" w:sz="4" w:space="0" w:color="016794"/>
              <w:right w:val="nil"/>
              <w:tl2br w:val="nil"/>
              <w:tr2bl w:val="nil"/>
            </w:tcBorders>
            <w:tcMar>
              <w:left w:w="60" w:type="dxa"/>
              <w:right w:w="60" w:type="dxa"/>
            </w:tcMar>
            <w:vAlign w:val="center"/>
          </w:tcPr>
          <w:p w14:paraId="01D37E66" w14:textId="77777777" w:rsidR="00807FFE" w:rsidRDefault="00023E71">
            <w:pPr>
              <w:pStyle w:val="DMETW36755BIPEXRCTQ"/>
              <w:jc w:val="right"/>
              <w:rPr>
                <w:rFonts w:ascii="Verdana" w:eastAsia="Verdana" w:hAnsi="Verdana" w:cs="Verdana"/>
                <w:noProof/>
                <w:color w:val="000000"/>
                <w:sz w:val="18"/>
              </w:rPr>
            </w:pPr>
            <w:r>
              <w:rPr>
                <w:rFonts w:ascii="Verdana" w:eastAsia="Verdana" w:hAnsi="Verdana" w:cs="Verdana"/>
                <w:noProof/>
                <w:color w:val="000000"/>
                <w:sz w:val="18"/>
              </w:rPr>
              <w:t xml:space="preserve"> (115)</w:t>
            </w:r>
          </w:p>
        </w:tc>
        <w:tc>
          <w:tcPr>
            <w:tcW w:w="1113" w:type="dxa"/>
            <w:tcBorders>
              <w:top w:val="nil"/>
              <w:left w:val="nil"/>
              <w:bottom w:val="single" w:sz="4" w:space="0" w:color="000000"/>
              <w:right w:val="nil"/>
              <w:tl2br w:val="nil"/>
              <w:tr2bl w:val="nil"/>
            </w:tcBorders>
            <w:tcMar>
              <w:left w:w="60" w:type="dxa"/>
              <w:right w:w="60" w:type="dxa"/>
            </w:tcMar>
            <w:vAlign w:val="center"/>
          </w:tcPr>
          <w:p w14:paraId="29A4B7AB" w14:textId="77777777" w:rsidR="00807FFE" w:rsidRDefault="00023E71">
            <w:pPr>
              <w:pStyle w:val="DMETW36755BIPEXRCTQ"/>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(138)</w:t>
            </w:r>
          </w:p>
        </w:tc>
      </w:tr>
      <w:tr w:rsidR="00807FFE" w14:paraId="0B585700" w14:textId="77777777">
        <w:trPr>
          <w:trHeight w:val="255"/>
        </w:trPr>
        <w:tc>
          <w:tcPr>
            <w:tcW w:w="2833" w:type="dxa"/>
            <w:tcBorders>
              <w:top w:val="single" w:sz="4" w:space="0" w:color="016794"/>
              <w:left w:val="nil"/>
              <w:bottom w:val="single" w:sz="4" w:space="0" w:color="016794"/>
              <w:right w:val="nil"/>
              <w:tl2br w:val="nil"/>
              <w:tr2bl w:val="nil"/>
            </w:tcBorders>
            <w:tcMar>
              <w:left w:w="60" w:type="dxa"/>
              <w:right w:w="60" w:type="dxa"/>
            </w:tcMar>
            <w:vAlign w:val="center"/>
          </w:tcPr>
          <w:p w14:paraId="0165CE84" w14:textId="77777777" w:rsidR="00807FFE" w:rsidRDefault="00023E71">
            <w:pPr>
              <w:pStyle w:val="DMETW36755BIPEXRCTQ"/>
              <w:rPr>
                <w:rFonts w:ascii="Verdana" w:eastAsia="Verdana" w:hAnsi="Verdana" w:cs="Verdana"/>
                <w:b/>
                <w:noProof/>
                <w:color w:val="000000"/>
                <w:sz w:val="18"/>
              </w:rPr>
            </w:pPr>
            <w:r>
              <w:rPr>
                <w:rFonts w:ascii="Verdana" w:eastAsia="Verdana" w:hAnsi="Verdana" w:cs="Verdana"/>
                <w:b/>
                <w:noProof/>
                <w:color w:val="000000"/>
                <w:sz w:val="18"/>
              </w:rPr>
              <w:t>Net carrying amount at 31.12.2024</w:t>
            </w:r>
          </w:p>
        </w:tc>
        <w:tc>
          <w:tcPr>
            <w:tcW w:w="993" w:type="dxa"/>
            <w:tcBorders>
              <w:top w:val="single" w:sz="4" w:space="0" w:color="016794"/>
              <w:left w:val="nil"/>
              <w:bottom w:val="single" w:sz="4" w:space="0" w:color="016794"/>
              <w:right w:val="nil"/>
              <w:tl2br w:val="nil"/>
              <w:tr2bl w:val="nil"/>
            </w:tcBorders>
            <w:tcMar>
              <w:left w:w="60" w:type="dxa"/>
              <w:right w:w="60" w:type="dxa"/>
            </w:tcMar>
            <w:vAlign w:val="center"/>
          </w:tcPr>
          <w:p w14:paraId="39B05327"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1 502</w:t>
            </w:r>
          </w:p>
        </w:tc>
        <w:tc>
          <w:tcPr>
            <w:tcW w:w="1275" w:type="dxa"/>
            <w:tcBorders>
              <w:top w:val="single" w:sz="4" w:space="0" w:color="016794"/>
              <w:left w:val="nil"/>
              <w:bottom w:val="single" w:sz="4" w:space="0" w:color="016794"/>
              <w:right w:val="nil"/>
              <w:tl2br w:val="nil"/>
              <w:tr2bl w:val="nil"/>
            </w:tcBorders>
            <w:tcMar>
              <w:left w:w="60" w:type="dxa"/>
              <w:right w:w="60" w:type="dxa"/>
            </w:tcMar>
            <w:vAlign w:val="center"/>
          </w:tcPr>
          <w:p w14:paraId="3C72D7A9"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13</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14:paraId="1CC84131"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30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4979C3A0"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14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14:paraId="5F52AE42"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92</w:t>
            </w:r>
          </w:p>
        </w:tc>
        <w:tc>
          <w:tcPr>
            <w:tcW w:w="1113" w:type="dxa"/>
            <w:tcBorders>
              <w:top w:val="single" w:sz="4" w:space="0" w:color="000000"/>
              <w:left w:val="nil"/>
              <w:bottom w:val="single" w:sz="4" w:space="0" w:color="000000"/>
              <w:right w:val="nil"/>
              <w:tl2br w:val="nil"/>
              <w:tr2bl w:val="nil"/>
            </w:tcBorders>
            <w:tcMar>
              <w:left w:w="60" w:type="dxa"/>
              <w:right w:w="60" w:type="dxa"/>
            </w:tcMar>
            <w:vAlign w:val="center"/>
          </w:tcPr>
          <w:p w14:paraId="01F411B7" w14:textId="77777777" w:rsidR="00807FFE" w:rsidRDefault="00023E71">
            <w:pPr>
              <w:pStyle w:val="DMETW36755BIPEXRCTQ"/>
              <w:jc w:val="right"/>
              <w:rPr>
                <w:rFonts w:ascii="Verdana" w:eastAsia="Verdana" w:hAnsi="Verdana" w:cs="Verdana"/>
                <w:b/>
                <w:noProof/>
                <w:color w:val="000000"/>
                <w:sz w:val="18"/>
              </w:rPr>
            </w:pPr>
            <w:r>
              <w:rPr>
                <w:rFonts w:ascii="Verdana" w:eastAsia="Verdana" w:hAnsi="Verdana" w:cs="Verdana"/>
                <w:b/>
                <w:noProof/>
                <w:color w:val="000000"/>
                <w:sz w:val="18"/>
              </w:rPr>
              <w:t>1 652</w:t>
            </w:r>
          </w:p>
        </w:tc>
      </w:tr>
    </w:tbl>
    <w:p w14:paraId="570E5359" w14:textId="77777777" w:rsidR="007A05EB" w:rsidRDefault="00023E71" w:rsidP="005779E6">
      <w:pPr>
        <w:pStyle w:val="Textstand-alone"/>
        <w:spacing w:before="60"/>
        <w:rPr>
          <w:i/>
          <w:sz w:val="14"/>
          <w:szCs w:val="14"/>
        </w:rPr>
      </w:pPr>
      <w:r w:rsidRPr="00350671">
        <w:rPr>
          <w:i/>
          <w:sz w:val="14"/>
          <w:szCs w:val="14"/>
        </w:rPr>
        <w:t xml:space="preserve">The amounts in this table do not include deferred charges and </w:t>
      </w:r>
      <w:r>
        <w:rPr>
          <w:i/>
          <w:sz w:val="14"/>
          <w:szCs w:val="14"/>
        </w:rPr>
        <w:t xml:space="preserve">the </w:t>
      </w:r>
      <w:r w:rsidRPr="00350671">
        <w:rPr>
          <w:i/>
          <w:sz w:val="14"/>
          <w:szCs w:val="14"/>
        </w:rPr>
        <w:t xml:space="preserve">FGC receivable leg measured at FVSD (see </w:t>
      </w:r>
      <w:r>
        <w:rPr>
          <w:i/>
          <w:sz w:val="14"/>
          <w:szCs w:val="14"/>
        </w:rPr>
        <w:t>N</w:t>
      </w:r>
      <w:r w:rsidRPr="00350671">
        <w:rPr>
          <w:i/>
          <w:sz w:val="14"/>
          <w:szCs w:val="14"/>
        </w:rPr>
        <w:t>ote 2.6.2), as they are not subject to the impairment requirements.</w:t>
      </w:r>
    </w:p>
    <w:p w14:paraId="5BA05E94" w14:textId="77777777" w:rsidR="00BD0290" w:rsidRPr="002365B2" w:rsidRDefault="00023E71" w:rsidP="00BD0290">
      <w:pPr>
        <w:pStyle w:val="HEADER5"/>
        <w:spacing w:before="240"/>
        <w:rPr>
          <w:noProof/>
        </w:rPr>
      </w:pPr>
      <w:r>
        <w:rPr>
          <w:noProof/>
        </w:rPr>
        <w:t>Financial assets at FVSD – debt securities: credit quality</w:t>
      </w:r>
    </w:p>
    <w:p w14:paraId="32593BD8" w14:textId="77777777" w:rsidR="00BD0290" w:rsidRPr="00B3468F" w:rsidRDefault="00023E71" w:rsidP="00BD0290">
      <w:pPr>
        <w:pStyle w:val="DGTextstand-alone"/>
        <w:spacing w:after="120"/>
        <w:rPr>
          <w:i/>
        </w:rPr>
      </w:pPr>
      <w:r w:rsidRPr="00B3468F">
        <w:rPr>
          <w:i/>
        </w:rPr>
        <w:t>Common Provisioning Fund</w:t>
      </w:r>
    </w:p>
    <w:p w14:paraId="24598C69" w14:textId="77777777" w:rsidR="00BD0290" w:rsidRPr="008455C5" w:rsidRDefault="00023E71" w:rsidP="00BD0290">
      <w:pPr>
        <w:pStyle w:val="DGTextstand-alone"/>
        <w:rPr>
          <w:lang w:val="en-IE" w:eastAsia="en-IE"/>
        </w:rPr>
      </w:pPr>
      <w:r w:rsidRPr="005779E6">
        <w:rPr>
          <w:lang w:val="en-IE" w:eastAsia="en-IE"/>
        </w:rPr>
        <w:t xml:space="preserve">The weighted average credit rating of the CPF portfolio </w:t>
      </w:r>
      <w:r w:rsidRPr="008455C5">
        <w:rPr>
          <w:lang w:val="en-IE" w:eastAsia="en-IE"/>
        </w:rPr>
        <w:t xml:space="preserve">is </w:t>
      </w:r>
      <w:r w:rsidRPr="005C7B54">
        <w:rPr>
          <w:lang w:val="en-IE" w:eastAsia="en-IE"/>
        </w:rPr>
        <w:t>A</w:t>
      </w:r>
      <w:r w:rsidRPr="008455C5">
        <w:rPr>
          <w:lang w:val="en-IE" w:eastAsia="en-IE"/>
        </w:rPr>
        <w:t xml:space="preserve"> (S&amp;P or equivalent).</w:t>
      </w:r>
    </w:p>
    <w:p w14:paraId="1A6C61CD" w14:textId="77777777" w:rsidR="00BD0290" w:rsidRPr="008455C5" w:rsidRDefault="00023E71" w:rsidP="00BD0290">
      <w:pPr>
        <w:pStyle w:val="DGTextstand-alone"/>
        <w:spacing w:after="120"/>
        <w:rPr>
          <w:i/>
        </w:rPr>
      </w:pPr>
      <w:r w:rsidRPr="008455C5">
        <w:rPr>
          <w:i/>
        </w:rPr>
        <w:t>Provisionally cashed fines: BUFI portfolio</w:t>
      </w:r>
    </w:p>
    <w:p w14:paraId="4AF0BE27" w14:textId="77777777" w:rsidR="00BD0290" w:rsidRPr="00A94530" w:rsidRDefault="00023E71" w:rsidP="00BD0290">
      <w:pPr>
        <w:pStyle w:val="DGTextstand-alone"/>
        <w:spacing w:before="0" w:after="120"/>
        <w:rPr>
          <w:iCs/>
        </w:rPr>
      </w:pPr>
      <w:r w:rsidRPr="00A94530">
        <w:rPr>
          <w:iCs/>
        </w:rPr>
        <w:t>The weighted average credit rating of the portfolio is A (S&amp;P or equivalent).</w:t>
      </w:r>
    </w:p>
    <w:p w14:paraId="10BBBF5A" w14:textId="77777777" w:rsidR="00BD0290" w:rsidRPr="008455C5" w:rsidRDefault="00023E71" w:rsidP="00BD0290">
      <w:pPr>
        <w:pStyle w:val="DGTextstand-alone"/>
        <w:spacing w:after="120"/>
        <w:rPr>
          <w:i/>
        </w:rPr>
      </w:pPr>
      <w:r w:rsidRPr="008455C5">
        <w:rPr>
          <w:i/>
        </w:rPr>
        <w:t>Financial guarantees received</w:t>
      </w:r>
    </w:p>
    <w:p w14:paraId="0DA8A9BA" w14:textId="77777777" w:rsidR="00BD0290" w:rsidRPr="008455C5" w:rsidRDefault="00023E71" w:rsidP="00BD0290">
      <w:pPr>
        <w:pStyle w:val="DGTextstand-alone"/>
        <w:rPr>
          <w:lang w:val="en-IE" w:eastAsia="en-IE"/>
        </w:rPr>
      </w:pPr>
      <w:r w:rsidRPr="008455C5">
        <w:rPr>
          <w:lang w:val="en-IE" w:eastAsia="en-IE"/>
        </w:rPr>
        <w:t>The risk management policy applied for the acceptance of financial guarantees ensures a high credit quality for the Commission. This policy includes:</w:t>
      </w:r>
    </w:p>
    <w:p w14:paraId="1A8409BB" w14:textId="77777777" w:rsidR="00BD0290" w:rsidRPr="008455C5" w:rsidRDefault="00023E71" w:rsidP="00172034">
      <w:pPr>
        <w:pStyle w:val="DGTextstand-alonedashesjustified"/>
        <w:numPr>
          <w:ilvl w:val="0"/>
          <w:numId w:val="22"/>
        </w:numPr>
        <w:rPr>
          <w:lang w:eastAsia="en-GB"/>
        </w:rPr>
      </w:pPr>
      <w:r w:rsidRPr="008455C5">
        <w:rPr>
          <w:lang w:eastAsia="en-GB"/>
        </w:rPr>
        <w:t>Defining a maximum credit exposure based on a financial sector entity's credit rating and capital level, as reported in its IFRS financial statements.</w:t>
      </w:r>
    </w:p>
    <w:p w14:paraId="56761782" w14:textId="77777777" w:rsidR="00BD0290" w:rsidRPr="008455C5" w:rsidRDefault="00023E71" w:rsidP="00172034">
      <w:pPr>
        <w:pStyle w:val="DGTextstand-alonedashesjustified"/>
        <w:numPr>
          <w:ilvl w:val="0"/>
          <w:numId w:val="22"/>
        </w:numPr>
        <w:rPr>
          <w:lang w:eastAsia="en-GB"/>
        </w:rPr>
      </w:pPr>
      <w:r w:rsidRPr="008455C5">
        <w:rPr>
          <w:lang w:eastAsia="en-GB"/>
        </w:rPr>
        <w:t>Regularly reviewing the compliance of outstanding guarantees with the policy requirements.</w:t>
      </w:r>
    </w:p>
    <w:p w14:paraId="0B70C87F" w14:textId="77777777" w:rsidR="00BD0290" w:rsidRPr="008455C5" w:rsidRDefault="00023E71" w:rsidP="00BD0290">
      <w:pPr>
        <w:pStyle w:val="DGTextstand-alone"/>
        <w:spacing w:after="120"/>
        <w:rPr>
          <w:i/>
        </w:rPr>
      </w:pPr>
      <w:r w:rsidRPr="008455C5">
        <w:rPr>
          <w:i/>
        </w:rPr>
        <w:t>ECSC i.L.</w:t>
      </w:r>
    </w:p>
    <w:p w14:paraId="00C863B1" w14:textId="77777777" w:rsidR="00BD0290" w:rsidRPr="005779E6" w:rsidRDefault="00023E71" w:rsidP="00BD0290">
      <w:pPr>
        <w:pStyle w:val="DGTextstand-alone"/>
        <w:rPr>
          <w:lang w:val="en-IE" w:eastAsia="en-IE"/>
        </w:rPr>
      </w:pPr>
      <w:r w:rsidRPr="008455C5">
        <w:rPr>
          <w:lang w:val="en-IE" w:eastAsia="en-IE"/>
        </w:rPr>
        <w:t xml:space="preserve">The weighted average credit rating of the portfolio is </w:t>
      </w:r>
      <w:r w:rsidRPr="005C7B54">
        <w:rPr>
          <w:lang w:val="en-IE" w:eastAsia="en-IE"/>
        </w:rPr>
        <w:t>A-</w:t>
      </w:r>
      <w:r w:rsidRPr="008455C5">
        <w:rPr>
          <w:lang w:val="en-IE" w:eastAsia="en-IE"/>
        </w:rPr>
        <w:t xml:space="preserve"> (</w:t>
      </w:r>
      <w:r w:rsidRPr="005779E6">
        <w:rPr>
          <w:lang w:val="en-IE" w:eastAsia="en-IE"/>
        </w:rPr>
        <w:t>S&amp;P or equivalent).</w:t>
      </w:r>
    </w:p>
    <w:p w14:paraId="22A52F94" w14:textId="77777777" w:rsidR="00BD0290" w:rsidRPr="002365B2" w:rsidRDefault="00023E71" w:rsidP="00BD0290">
      <w:pPr>
        <w:pStyle w:val="HEADER5"/>
        <w:spacing w:before="240"/>
        <w:rPr>
          <w:noProof/>
        </w:rPr>
      </w:pPr>
      <w:r>
        <w:rPr>
          <w:noProof/>
        </w:rPr>
        <w:t>Financial assets at FVSD – derivatives: credit quality</w:t>
      </w:r>
    </w:p>
    <w:p w14:paraId="361F1609" w14:textId="77777777" w:rsidR="00BD0290" w:rsidRDefault="00023E71" w:rsidP="00BD0290">
      <w:pPr>
        <w:pStyle w:val="DGTextstand-alone"/>
        <w:rPr>
          <w:lang w:val="en-IE" w:eastAsia="en-IE"/>
        </w:rPr>
      </w:pPr>
      <w:r w:rsidRPr="1D0DAAEE">
        <w:rPr>
          <w:lang w:val="en-IE" w:eastAsia="en-IE"/>
        </w:rPr>
        <w:t>The EU's derivative assets mainly relate to guarantees on equity portfolios. The credit risk is limited to counterparty risk. The guarantee on equity will be settled mainly with the EIB Group, which has a rating of AAA, reducing the credit risk.</w:t>
      </w:r>
    </w:p>
    <w:p w14:paraId="619D315E" w14:textId="77777777" w:rsidR="00BD0290" w:rsidRPr="006D49AA" w:rsidRDefault="00023E71" w:rsidP="00BD0290">
      <w:pPr>
        <w:pStyle w:val="DGTextstand-alone"/>
        <w:rPr>
          <w:lang w:val="en-IE" w:eastAsia="en-IE"/>
        </w:rPr>
      </w:pPr>
      <w:r w:rsidRPr="1D0DAAEE">
        <w:rPr>
          <w:lang w:val="en-IE" w:eastAsia="en-IE"/>
        </w:rPr>
        <w:t>The sole counterparty for all outstanding currency forwards as of 31 December 202</w:t>
      </w:r>
      <w:r>
        <w:rPr>
          <w:lang w:val="en-IE" w:eastAsia="en-IE"/>
        </w:rPr>
        <w:t>5</w:t>
      </w:r>
      <w:r w:rsidRPr="1D0DAAEE">
        <w:rPr>
          <w:lang w:val="en-IE" w:eastAsia="en-IE"/>
        </w:rPr>
        <w:t xml:space="preserve"> is the </w:t>
      </w:r>
      <w:r>
        <w:rPr>
          <w:lang w:val="en-IE" w:eastAsia="en-IE"/>
        </w:rPr>
        <w:t>Bank for International Settlements</w:t>
      </w:r>
      <w:r w:rsidRPr="1D0DAAEE">
        <w:rPr>
          <w:lang w:val="en-IE" w:eastAsia="en-IE"/>
        </w:rPr>
        <w:t>. As a result, no credit enhancements, such as collateral or guarantees, are needed</w:t>
      </w:r>
      <w:r w:rsidRPr="005779E6">
        <w:rPr>
          <w:lang w:val="en-IE" w:eastAsia="en-IE"/>
        </w:rPr>
        <w:t>.</w:t>
      </w:r>
    </w:p>
    <w:p w14:paraId="667BE06D" w14:textId="77777777" w:rsidR="00950DAE" w:rsidRPr="005E13A9" w:rsidRDefault="00023E71" w:rsidP="005E13A9">
      <w:pPr>
        <w:pStyle w:val="HEADER5"/>
        <w:rPr>
          <w:noProof/>
        </w:rPr>
      </w:pPr>
      <w:r w:rsidRPr="002365B2">
        <w:rPr>
          <w:noProof/>
        </w:rPr>
        <w:t>Financial guarantee contracts: credit quality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6"/>
        <w:gridCol w:w="1206"/>
        <w:gridCol w:w="1206"/>
        <w:gridCol w:w="1106"/>
        <w:gridCol w:w="1224"/>
        <w:gridCol w:w="1124"/>
        <w:gridCol w:w="1396"/>
      </w:tblGrid>
      <w:tr w:rsidR="00807FFE" w14:paraId="23EBADFD" w14:textId="77777777">
        <w:trPr>
          <w:trHeight w:val="255"/>
        </w:trPr>
        <w:tc>
          <w:tcPr>
            <w:tcW w:w="2496" w:type="dxa"/>
            <w:tcBorders>
              <w:top w:val="nil"/>
              <w:left w:val="nil"/>
              <w:bottom w:val="nil"/>
              <w:right w:val="nil"/>
              <w:tl2br w:val="nil"/>
              <w:tr2bl w:val="nil"/>
            </w:tcBorders>
            <w:shd w:val="solid" w:color="FFFFFF" w:fill="FFFFFF"/>
            <w:tcMar>
              <w:left w:w="60" w:type="dxa"/>
              <w:right w:w="60" w:type="dxa"/>
            </w:tcMar>
            <w:vAlign w:val="center"/>
          </w:tcPr>
          <w:p w14:paraId="395DAA69" w14:textId="77777777" w:rsidR="00807FFE" w:rsidRDefault="00807FFE">
            <w:pPr>
              <w:pStyle w:val="DMETW36571BIPFGCTQ"/>
              <w:rPr>
                <w:rFonts w:ascii="Verdana" w:eastAsia="Verdana" w:hAnsi="Verdana" w:cs="Verdana"/>
                <w:b/>
                <w:noProof/>
                <w:color w:val="FF0000"/>
                <w:sz w:val="18"/>
                <w:lang w:bidi="en-GB"/>
              </w:rPr>
            </w:pPr>
            <w:bookmarkStart w:id="234" w:name="DOC_TBL00100_1_1"/>
            <w:bookmarkEnd w:id="234"/>
          </w:p>
        </w:tc>
        <w:tc>
          <w:tcPr>
            <w:tcW w:w="1206" w:type="dxa"/>
            <w:tcBorders>
              <w:top w:val="nil"/>
              <w:left w:val="nil"/>
              <w:bottom w:val="nil"/>
              <w:right w:val="nil"/>
              <w:tl2br w:val="nil"/>
              <w:tr2bl w:val="nil"/>
            </w:tcBorders>
            <w:tcMar>
              <w:left w:w="60" w:type="dxa"/>
              <w:right w:w="60" w:type="dxa"/>
            </w:tcMar>
            <w:vAlign w:val="center"/>
          </w:tcPr>
          <w:p w14:paraId="595F5ECD" w14:textId="77777777" w:rsidR="00807FFE" w:rsidRDefault="00807FFE">
            <w:pPr>
              <w:pStyle w:val="DMETW36571BIPFGCTQ"/>
              <w:rPr>
                <w:rFonts w:ascii="Verdana" w:eastAsia="Verdana" w:hAnsi="Verdana" w:cs="Verdana"/>
                <w:noProof/>
                <w:color w:val="000000"/>
                <w:sz w:val="18"/>
              </w:rPr>
            </w:pPr>
          </w:p>
        </w:tc>
        <w:tc>
          <w:tcPr>
            <w:tcW w:w="1206" w:type="dxa"/>
            <w:tcBorders>
              <w:top w:val="nil"/>
              <w:left w:val="nil"/>
              <w:bottom w:val="nil"/>
              <w:right w:val="nil"/>
              <w:tl2br w:val="nil"/>
              <w:tr2bl w:val="nil"/>
            </w:tcBorders>
            <w:tcMar>
              <w:left w:w="60" w:type="dxa"/>
              <w:right w:w="60" w:type="dxa"/>
            </w:tcMar>
            <w:vAlign w:val="center"/>
          </w:tcPr>
          <w:p w14:paraId="3AC4C473" w14:textId="77777777" w:rsidR="00807FFE" w:rsidRDefault="00807FFE">
            <w:pPr>
              <w:pStyle w:val="DMETW36571BIPFGCTQ"/>
              <w:rPr>
                <w:rFonts w:ascii="Verdana" w:eastAsia="Verdana" w:hAnsi="Verdana" w:cs="Verdana"/>
                <w:noProof/>
                <w:color w:val="000000"/>
                <w:sz w:val="18"/>
              </w:rPr>
            </w:pPr>
          </w:p>
        </w:tc>
        <w:tc>
          <w:tcPr>
            <w:tcW w:w="1106" w:type="dxa"/>
            <w:tcBorders>
              <w:top w:val="nil"/>
              <w:left w:val="nil"/>
              <w:bottom w:val="nil"/>
              <w:right w:val="nil"/>
              <w:tl2br w:val="nil"/>
              <w:tr2bl w:val="nil"/>
            </w:tcBorders>
            <w:tcMar>
              <w:left w:w="60" w:type="dxa"/>
              <w:right w:w="60" w:type="dxa"/>
            </w:tcMar>
            <w:vAlign w:val="bottom"/>
          </w:tcPr>
          <w:p w14:paraId="29B151C9" w14:textId="77777777" w:rsidR="00807FFE" w:rsidRDefault="00807FFE">
            <w:pPr>
              <w:pStyle w:val="DMETW36571BIPFGCTQ"/>
              <w:jc w:val="right"/>
              <w:rPr>
                <w:rFonts w:ascii="Verdana" w:eastAsia="Verdana" w:hAnsi="Verdana" w:cs="Verdana"/>
                <w:i/>
                <w:noProof/>
                <w:color w:val="000000"/>
                <w:sz w:val="18"/>
              </w:rPr>
            </w:pPr>
          </w:p>
        </w:tc>
        <w:tc>
          <w:tcPr>
            <w:tcW w:w="1224" w:type="dxa"/>
            <w:tcBorders>
              <w:top w:val="nil"/>
              <w:left w:val="nil"/>
              <w:bottom w:val="nil"/>
              <w:right w:val="nil"/>
              <w:tl2br w:val="nil"/>
              <w:tr2bl w:val="nil"/>
            </w:tcBorders>
            <w:tcMar>
              <w:left w:w="60" w:type="dxa"/>
              <w:right w:w="60" w:type="dxa"/>
            </w:tcMar>
            <w:vAlign w:val="center"/>
          </w:tcPr>
          <w:p w14:paraId="129B55FA" w14:textId="77777777" w:rsidR="00807FFE" w:rsidRDefault="00807FFE">
            <w:pPr>
              <w:pStyle w:val="DMETW36571BIPFGCTQ"/>
              <w:rPr>
                <w:rFonts w:ascii="Verdana" w:eastAsia="Verdana" w:hAnsi="Verdana" w:cs="Verdana"/>
                <w:noProof/>
                <w:color w:val="000000"/>
                <w:sz w:val="18"/>
              </w:rPr>
            </w:pPr>
          </w:p>
        </w:tc>
        <w:tc>
          <w:tcPr>
            <w:tcW w:w="1124" w:type="dxa"/>
            <w:tcBorders>
              <w:top w:val="nil"/>
              <w:left w:val="nil"/>
              <w:bottom w:val="nil"/>
              <w:right w:val="nil"/>
              <w:tl2br w:val="nil"/>
              <w:tr2bl w:val="nil"/>
            </w:tcBorders>
            <w:tcMar>
              <w:left w:w="60" w:type="dxa"/>
              <w:right w:w="60" w:type="dxa"/>
            </w:tcMar>
            <w:vAlign w:val="center"/>
          </w:tcPr>
          <w:p w14:paraId="6C3E1602" w14:textId="77777777" w:rsidR="00807FFE" w:rsidRDefault="00807FFE">
            <w:pPr>
              <w:pStyle w:val="DMETW36571BIPFGCTQ"/>
              <w:rPr>
                <w:rFonts w:ascii="Verdana" w:eastAsia="Verdana" w:hAnsi="Verdana" w:cs="Verdana"/>
                <w:noProof/>
                <w:color w:val="000000"/>
                <w:sz w:val="18"/>
              </w:rPr>
            </w:pPr>
          </w:p>
        </w:tc>
        <w:tc>
          <w:tcPr>
            <w:tcW w:w="1396" w:type="dxa"/>
            <w:tcBorders>
              <w:top w:val="nil"/>
              <w:left w:val="nil"/>
              <w:bottom w:val="nil"/>
              <w:right w:val="nil"/>
              <w:tl2br w:val="nil"/>
              <w:tr2bl w:val="nil"/>
            </w:tcBorders>
            <w:tcMar>
              <w:left w:w="60" w:type="dxa"/>
              <w:right w:w="60" w:type="dxa"/>
            </w:tcMar>
            <w:vAlign w:val="bottom"/>
          </w:tcPr>
          <w:p w14:paraId="24DF41CA" w14:textId="77777777" w:rsidR="00807FFE" w:rsidRDefault="00023E71">
            <w:pPr>
              <w:pStyle w:val="DMETW36571BIPFGCTQ"/>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2DFAAEB0" w14:textId="77777777">
        <w:trPr>
          <w:trHeight w:val="255"/>
        </w:trPr>
        <w:tc>
          <w:tcPr>
            <w:tcW w:w="2496" w:type="dxa"/>
            <w:tcBorders>
              <w:top w:val="nil"/>
              <w:left w:val="nil"/>
              <w:bottom w:val="nil"/>
              <w:right w:val="nil"/>
              <w:tl2br w:val="nil"/>
              <w:tr2bl w:val="nil"/>
            </w:tcBorders>
            <w:shd w:val="solid" w:color="016794" w:fill="FFFFFF"/>
            <w:tcMar>
              <w:left w:w="60" w:type="dxa"/>
              <w:right w:w="60" w:type="dxa"/>
            </w:tcMar>
            <w:vAlign w:val="center"/>
          </w:tcPr>
          <w:p w14:paraId="237E80F4" w14:textId="77777777" w:rsidR="00807FFE" w:rsidRDefault="00807FFE">
            <w:pPr>
              <w:pStyle w:val="DMETW36571BIPFGCTQ"/>
              <w:rPr>
                <w:rFonts w:ascii="Verdana" w:eastAsia="Verdana" w:hAnsi="Verdana" w:cs="Verdana"/>
                <w:b/>
                <w:noProof/>
                <w:color w:val="FFFFFF"/>
                <w:sz w:val="18"/>
              </w:rPr>
            </w:pPr>
          </w:p>
        </w:tc>
        <w:tc>
          <w:tcPr>
            <w:tcW w:w="1206" w:type="dxa"/>
            <w:tcBorders>
              <w:top w:val="nil"/>
              <w:left w:val="nil"/>
              <w:bottom w:val="nil"/>
              <w:right w:val="nil"/>
              <w:tl2br w:val="nil"/>
              <w:tr2bl w:val="nil"/>
            </w:tcBorders>
            <w:shd w:val="solid" w:color="016794" w:fill="FFFFFF"/>
            <w:tcMar>
              <w:left w:w="60" w:type="dxa"/>
              <w:right w:w="60" w:type="dxa"/>
            </w:tcMar>
            <w:vAlign w:val="center"/>
          </w:tcPr>
          <w:p w14:paraId="4725D367" w14:textId="77777777" w:rsidR="00807FFE" w:rsidRDefault="00023E71">
            <w:pPr>
              <w:pStyle w:val="DMETW36571BIPFGCTQ"/>
              <w:jc w:val="right"/>
              <w:rPr>
                <w:rFonts w:ascii="Verdana" w:eastAsia="Verdana" w:hAnsi="Verdana" w:cs="Verdana"/>
                <w:noProof/>
                <w:color w:val="FFFFFF"/>
                <w:sz w:val="18"/>
              </w:rPr>
            </w:pPr>
            <w:r>
              <w:rPr>
                <w:rFonts w:ascii="Verdana" w:eastAsia="Verdana" w:hAnsi="Verdana" w:cs="Verdana"/>
                <w:noProof/>
                <w:color w:val="FFFFFF"/>
                <w:sz w:val="18"/>
              </w:rPr>
              <w:t>31.12.2025</w:t>
            </w:r>
          </w:p>
        </w:tc>
        <w:tc>
          <w:tcPr>
            <w:tcW w:w="1206" w:type="dxa"/>
            <w:tcBorders>
              <w:top w:val="nil"/>
              <w:left w:val="nil"/>
              <w:bottom w:val="nil"/>
              <w:right w:val="nil"/>
              <w:tl2br w:val="nil"/>
              <w:tr2bl w:val="nil"/>
            </w:tcBorders>
            <w:shd w:val="solid" w:color="016794" w:fill="FFFFFF"/>
            <w:tcMar>
              <w:left w:w="60" w:type="dxa"/>
              <w:right w:w="60" w:type="dxa"/>
            </w:tcMar>
            <w:vAlign w:val="center"/>
          </w:tcPr>
          <w:p w14:paraId="112BEA31" w14:textId="77777777" w:rsidR="00807FFE" w:rsidRDefault="00807FFE">
            <w:pPr>
              <w:pStyle w:val="DMETW36571BIPFGCTQ"/>
              <w:rPr>
                <w:rFonts w:ascii="Verdana" w:eastAsia="Verdana" w:hAnsi="Verdana" w:cs="Verdana"/>
                <w:noProof/>
                <w:color w:val="FFFFFF"/>
                <w:sz w:val="18"/>
              </w:rPr>
            </w:pPr>
          </w:p>
        </w:tc>
        <w:tc>
          <w:tcPr>
            <w:tcW w:w="1106" w:type="dxa"/>
            <w:tcBorders>
              <w:top w:val="nil"/>
              <w:left w:val="nil"/>
              <w:bottom w:val="nil"/>
              <w:right w:val="nil"/>
              <w:tl2br w:val="nil"/>
              <w:tr2bl w:val="nil"/>
            </w:tcBorders>
            <w:shd w:val="solid" w:color="016794" w:fill="FFFFFF"/>
            <w:tcMar>
              <w:left w:w="60" w:type="dxa"/>
              <w:right w:w="60" w:type="dxa"/>
            </w:tcMar>
            <w:vAlign w:val="center"/>
          </w:tcPr>
          <w:p w14:paraId="5CC4101F" w14:textId="77777777" w:rsidR="00807FFE" w:rsidRDefault="00807FFE">
            <w:pPr>
              <w:pStyle w:val="DMETW36571BIPFGCTQ"/>
              <w:rPr>
                <w:rFonts w:ascii="Verdana" w:eastAsia="Verdana" w:hAnsi="Verdana" w:cs="Verdana"/>
                <w:noProof/>
                <w:color w:val="FFFFFF"/>
                <w:sz w:val="18"/>
              </w:rPr>
            </w:pPr>
          </w:p>
        </w:tc>
        <w:tc>
          <w:tcPr>
            <w:tcW w:w="1224" w:type="dxa"/>
            <w:tcBorders>
              <w:top w:val="nil"/>
              <w:left w:val="nil"/>
              <w:bottom w:val="nil"/>
              <w:right w:val="nil"/>
              <w:tl2br w:val="nil"/>
              <w:tr2bl w:val="nil"/>
            </w:tcBorders>
            <w:shd w:val="solid" w:color="016794" w:fill="FFFFFF"/>
            <w:tcMar>
              <w:left w:w="60" w:type="dxa"/>
              <w:right w:w="60" w:type="dxa"/>
            </w:tcMar>
            <w:vAlign w:val="center"/>
          </w:tcPr>
          <w:p w14:paraId="68AB698C" w14:textId="77777777" w:rsidR="00807FFE" w:rsidRDefault="00023E71">
            <w:pPr>
              <w:pStyle w:val="DMETW36571BIPFGCTQ"/>
              <w:jc w:val="right"/>
              <w:rPr>
                <w:rFonts w:ascii="Verdana" w:eastAsia="Verdana" w:hAnsi="Verdana" w:cs="Verdana"/>
                <w:noProof/>
                <w:color w:val="FFFFFF"/>
                <w:sz w:val="18"/>
              </w:rPr>
            </w:pPr>
            <w:r>
              <w:rPr>
                <w:rFonts w:ascii="Verdana" w:eastAsia="Verdana" w:hAnsi="Verdana" w:cs="Verdana"/>
                <w:noProof/>
                <w:color w:val="FFFFFF"/>
                <w:sz w:val="18"/>
              </w:rPr>
              <w:t>31.12.2024</w:t>
            </w:r>
          </w:p>
        </w:tc>
        <w:tc>
          <w:tcPr>
            <w:tcW w:w="1124" w:type="dxa"/>
            <w:tcBorders>
              <w:top w:val="nil"/>
              <w:left w:val="nil"/>
              <w:bottom w:val="nil"/>
              <w:right w:val="nil"/>
              <w:tl2br w:val="nil"/>
              <w:tr2bl w:val="nil"/>
            </w:tcBorders>
            <w:shd w:val="solid" w:color="016794" w:fill="FFFFFF"/>
            <w:tcMar>
              <w:left w:w="60" w:type="dxa"/>
              <w:right w:w="60" w:type="dxa"/>
            </w:tcMar>
            <w:vAlign w:val="center"/>
          </w:tcPr>
          <w:p w14:paraId="12FD1C78" w14:textId="77777777" w:rsidR="00807FFE" w:rsidRDefault="00807FFE">
            <w:pPr>
              <w:pStyle w:val="DMETW36571BIPFGCTQ"/>
              <w:rPr>
                <w:rFonts w:ascii="Verdana" w:eastAsia="Verdana" w:hAnsi="Verdana" w:cs="Verdana"/>
                <w:noProof/>
                <w:color w:val="FFFFFF"/>
                <w:sz w:val="18"/>
              </w:rPr>
            </w:pPr>
          </w:p>
        </w:tc>
        <w:tc>
          <w:tcPr>
            <w:tcW w:w="1396" w:type="dxa"/>
            <w:tcBorders>
              <w:top w:val="nil"/>
              <w:left w:val="nil"/>
              <w:bottom w:val="nil"/>
              <w:right w:val="nil"/>
              <w:tl2br w:val="nil"/>
              <w:tr2bl w:val="nil"/>
            </w:tcBorders>
            <w:shd w:val="solid" w:color="016794" w:fill="FFFFFF"/>
            <w:tcMar>
              <w:left w:w="60" w:type="dxa"/>
              <w:right w:w="60" w:type="dxa"/>
            </w:tcMar>
            <w:vAlign w:val="center"/>
          </w:tcPr>
          <w:p w14:paraId="1339DDB2" w14:textId="77777777" w:rsidR="00807FFE" w:rsidRDefault="00807FFE">
            <w:pPr>
              <w:pStyle w:val="DMETW36571BIPFGCTQ"/>
              <w:rPr>
                <w:rFonts w:ascii="Verdana" w:eastAsia="Verdana" w:hAnsi="Verdana" w:cs="Verdana"/>
                <w:noProof/>
                <w:color w:val="FFFFFF"/>
                <w:sz w:val="18"/>
                <w:lang w:bidi="en-GB"/>
              </w:rPr>
            </w:pPr>
          </w:p>
        </w:tc>
      </w:tr>
      <w:tr w:rsidR="00807FFE" w14:paraId="0BC3F142" w14:textId="77777777">
        <w:trPr>
          <w:trHeight w:val="255"/>
        </w:trPr>
        <w:tc>
          <w:tcPr>
            <w:tcW w:w="2496" w:type="dxa"/>
            <w:tcBorders>
              <w:top w:val="nil"/>
              <w:left w:val="nil"/>
              <w:bottom w:val="nil"/>
              <w:right w:val="nil"/>
              <w:tl2br w:val="nil"/>
              <w:tr2bl w:val="nil"/>
            </w:tcBorders>
            <w:shd w:val="solid" w:color="016794" w:fill="FFFFFF"/>
            <w:tcMar>
              <w:left w:w="60" w:type="dxa"/>
              <w:right w:w="60" w:type="dxa"/>
            </w:tcMar>
            <w:vAlign w:val="center"/>
          </w:tcPr>
          <w:p w14:paraId="050C522F" w14:textId="77777777" w:rsidR="00807FFE" w:rsidRDefault="00807FFE">
            <w:pPr>
              <w:pStyle w:val="DMETW36571BIPFGCTQ"/>
              <w:jc w:val="center"/>
              <w:rPr>
                <w:rFonts w:ascii="Verdana" w:eastAsia="Verdana" w:hAnsi="Verdana" w:cs="Verdana"/>
                <w:noProof/>
                <w:color w:val="000000"/>
                <w:sz w:val="18"/>
              </w:rPr>
            </w:pPr>
          </w:p>
        </w:tc>
        <w:tc>
          <w:tcPr>
            <w:tcW w:w="1206" w:type="dxa"/>
            <w:tcBorders>
              <w:top w:val="nil"/>
              <w:left w:val="nil"/>
              <w:bottom w:val="nil"/>
              <w:right w:val="nil"/>
              <w:tl2br w:val="nil"/>
              <w:tr2bl w:val="nil"/>
            </w:tcBorders>
            <w:shd w:val="solid" w:color="016794" w:fill="FFFFFF"/>
            <w:tcMar>
              <w:left w:w="60" w:type="dxa"/>
              <w:right w:w="60" w:type="dxa"/>
            </w:tcMar>
          </w:tcPr>
          <w:p w14:paraId="44B98A0C" w14:textId="77777777" w:rsidR="00807FFE" w:rsidRDefault="00023E71">
            <w:pPr>
              <w:pStyle w:val="DMETW36571BIPFGCTQ"/>
              <w:jc w:val="right"/>
              <w:rPr>
                <w:rFonts w:ascii="Verdana" w:eastAsia="Verdana" w:hAnsi="Verdana" w:cs="Verdana"/>
                <w:noProof/>
                <w:color w:val="FFFFFF"/>
                <w:sz w:val="18"/>
              </w:rPr>
            </w:pPr>
            <w:r>
              <w:rPr>
                <w:rFonts w:ascii="Verdana" w:eastAsia="Verdana" w:hAnsi="Verdana" w:cs="Verdana"/>
                <w:noProof/>
                <w:color w:val="FFFFFF"/>
                <w:sz w:val="18"/>
              </w:rPr>
              <w:t>Stage 1</w:t>
            </w:r>
          </w:p>
        </w:tc>
        <w:tc>
          <w:tcPr>
            <w:tcW w:w="1206" w:type="dxa"/>
            <w:tcBorders>
              <w:top w:val="nil"/>
              <w:left w:val="nil"/>
              <w:bottom w:val="nil"/>
              <w:right w:val="nil"/>
              <w:tl2br w:val="nil"/>
              <w:tr2bl w:val="nil"/>
            </w:tcBorders>
            <w:shd w:val="solid" w:color="016794" w:fill="FFFFFF"/>
            <w:tcMar>
              <w:left w:w="60" w:type="dxa"/>
              <w:right w:w="60" w:type="dxa"/>
            </w:tcMar>
          </w:tcPr>
          <w:p w14:paraId="1CF1D84F" w14:textId="77777777" w:rsidR="00807FFE" w:rsidRDefault="00023E71">
            <w:pPr>
              <w:pStyle w:val="DMETW36571BIPFGCTQ"/>
              <w:jc w:val="right"/>
              <w:rPr>
                <w:rFonts w:ascii="Verdana" w:eastAsia="Verdana" w:hAnsi="Verdana" w:cs="Verdana"/>
                <w:noProof/>
                <w:color w:val="FFFFFF"/>
                <w:sz w:val="18"/>
              </w:rPr>
            </w:pPr>
            <w:r>
              <w:rPr>
                <w:rFonts w:ascii="Verdana" w:eastAsia="Verdana" w:hAnsi="Verdana" w:cs="Verdana"/>
                <w:noProof/>
                <w:color w:val="FFFFFF"/>
                <w:sz w:val="18"/>
              </w:rPr>
              <w:t>Stage 2</w:t>
            </w:r>
          </w:p>
        </w:tc>
        <w:tc>
          <w:tcPr>
            <w:tcW w:w="1106" w:type="dxa"/>
            <w:tcBorders>
              <w:top w:val="nil"/>
              <w:left w:val="nil"/>
              <w:bottom w:val="nil"/>
              <w:right w:val="nil"/>
              <w:tl2br w:val="nil"/>
              <w:tr2bl w:val="nil"/>
            </w:tcBorders>
            <w:shd w:val="solid" w:color="016794" w:fill="FFFFFF"/>
            <w:tcMar>
              <w:left w:w="60" w:type="dxa"/>
              <w:right w:w="60" w:type="dxa"/>
            </w:tcMar>
          </w:tcPr>
          <w:p w14:paraId="05042266" w14:textId="77777777" w:rsidR="00807FFE" w:rsidRDefault="00023E71">
            <w:pPr>
              <w:pStyle w:val="DMETW36571BIPFGCTQ"/>
              <w:jc w:val="right"/>
              <w:rPr>
                <w:rFonts w:ascii="Verdana" w:eastAsia="Verdana" w:hAnsi="Verdana" w:cs="Verdana"/>
                <w:noProof/>
                <w:color w:val="FFFFFF"/>
                <w:sz w:val="18"/>
              </w:rPr>
            </w:pPr>
            <w:r>
              <w:rPr>
                <w:rFonts w:ascii="Verdana" w:eastAsia="Verdana" w:hAnsi="Verdana" w:cs="Verdana"/>
                <w:noProof/>
                <w:color w:val="FFFFFF"/>
                <w:sz w:val="18"/>
              </w:rPr>
              <w:t>Total</w:t>
            </w:r>
          </w:p>
        </w:tc>
        <w:tc>
          <w:tcPr>
            <w:tcW w:w="1224" w:type="dxa"/>
            <w:tcBorders>
              <w:top w:val="nil"/>
              <w:left w:val="nil"/>
              <w:bottom w:val="nil"/>
              <w:right w:val="nil"/>
              <w:tl2br w:val="nil"/>
              <w:tr2bl w:val="nil"/>
            </w:tcBorders>
            <w:shd w:val="solid" w:color="016794" w:fill="FFFFFF"/>
            <w:tcMar>
              <w:left w:w="60" w:type="dxa"/>
              <w:right w:w="60" w:type="dxa"/>
            </w:tcMar>
          </w:tcPr>
          <w:p w14:paraId="0AA8526A" w14:textId="77777777" w:rsidR="00807FFE" w:rsidRDefault="00023E71">
            <w:pPr>
              <w:pStyle w:val="DMETW36571BIPFGCTQ"/>
              <w:jc w:val="right"/>
              <w:rPr>
                <w:rFonts w:ascii="Verdana" w:eastAsia="Verdana" w:hAnsi="Verdana" w:cs="Verdana"/>
                <w:noProof/>
                <w:color w:val="FFFFFF"/>
                <w:sz w:val="18"/>
              </w:rPr>
            </w:pPr>
            <w:r>
              <w:rPr>
                <w:rFonts w:ascii="Verdana" w:eastAsia="Verdana" w:hAnsi="Verdana" w:cs="Verdana"/>
                <w:noProof/>
                <w:color w:val="FFFFFF"/>
                <w:sz w:val="18"/>
              </w:rPr>
              <w:t>Stage 1</w:t>
            </w:r>
          </w:p>
        </w:tc>
        <w:tc>
          <w:tcPr>
            <w:tcW w:w="1124" w:type="dxa"/>
            <w:tcBorders>
              <w:top w:val="nil"/>
              <w:left w:val="nil"/>
              <w:bottom w:val="nil"/>
              <w:right w:val="nil"/>
              <w:tl2br w:val="nil"/>
              <w:tr2bl w:val="nil"/>
            </w:tcBorders>
            <w:shd w:val="solid" w:color="016794" w:fill="FFFFFF"/>
            <w:tcMar>
              <w:left w:w="60" w:type="dxa"/>
              <w:right w:w="60" w:type="dxa"/>
            </w:tcMar>
          </w:tcPr>
          <w:p w14:paraId="766E5830" w14:textId="77777777" w:rsidR="00807FFE" w:rsidRDefault="00023E71">
            <w:pPr>
              <w:pStyle w:val="DMETW36571BIPFGCTQ"/>
              <w:jc w:val="right"/>
              <w:rPr>
                <w:rFonts w:ascii="Verdana" w:eastAsia="Verdana" w:hAnsi="Verdana" w:cs="Verdana"/>
                <w:noProof/>
                <w:color w:val="FFFFFF"/>
                <w:sz w:val="18"/>
              </w:rPr>
            </w:pPr>
            <w:r>
              <w:rPr>
                <w:rFonts w:ascii="Verdana" w:eastAsia="Verdana" w:hAnsi="Verdana" w:cs="Verdana"/>
                <w:noProof/>
                <w:color w:val="FFFFFF"/>
                <w:sz w:val="18"/>
              </w:rPr>
              <w:t>Stage 2</w:t>
            </w:r>
          </w:p>
        </w:tc>
        <w:tc>
          <w:tcPr>
            <w:tcW w:w="1396" w:type="dxa"/>
            <w:tcBorders>
              <w:top w:val="nil"/>
              <w:left w:val="nil"/>
              <w:bottom w:val="nil"/>
              <w:right w:val="nil"/>
              <w:tl2br w:val="nil"/>
              <w:tr2bl w:val="nil"/>
            </w:tcBorders>
            <w:shd w:val="solid" w:color="016794" w:fill="FFFFFF"/>
            <w:tcMar>
              <w:left w:w="60" w:type="dxa"/>
              <w:right w:w="60" w:type="dxa"/>
            </w:tcMar>
          </w:tcPr>
          <w:p w14:paraId="023A25AC" w14:textId="77777777" w:rsidR="00807FFE" w:rsidRDefault="00023E71">
            <w:pPr>
              <w:pStyle w:val="DMETW36571BIPFGCTQ"/>
              <w:jc w:val="right"/>
              <w:rPr>
                <w:rFonts w:ascii="Verdana" w:eastAsia="Verdana" w:hAnsi="Verdana" w:cs="Verdana"/>
                <w:noProof/>
                <w:color w:val="FFFFFF"/>
                <w:sz w:val="18"/>
                <w:lang w:bidi="en-GB"/>
              </w:rPr>
            </w:pPr>
            <w:r>
              <w:rPr>
                <w:rFonts w:ascii="Verdana" w:eastAsia="Verdana" w:hAnsi="Verdana" w:cs="Verdana"/>
                <w:noProof/>
                <w:color w:val="FFFFFF"/>
                <w:sz w:val="18"/>
              </w:rPr>
              <w:t>Total</w:t>
            </w:r>
          </w:p>
        </w:tc>
      </w:tr>
      <w:tr w:rsidR="00807FFE" w14:paraId="6F2CB286" w14:textId="77777777">
        <w:trPr>
          <w:trHeight w:val="255"/>
        </w:trPr>
        <w:tc>
          <w:tcPr>
            <w:tcW w:w="2496" w:type="dxa"/>
            <w:tcBorders>
              <w:top w:val="nil"/>
              <w:left w:val="nil"/>
              <w:bottom w:val="nil"/>
              <w:right w:val="nil"/>
              <w:tl2br w:val="nil"/>
              <w:tr2bl w:val="nil"/>
            </w:tcBorders>
            <w:tcMar>
              <w:left w:w="60" w:type="dxa"/>
              <w:right w:w="60" w:type="dxa"/>
            </w:tcMar>
            <w:vAlign w:val="center"/>
          </w:tcPr>
          <w:p w14:paraId="770B262D" w14:textId="77777777" w:rsidR="00807FFE" w:rsidRDefault="00023E71">
            <w:pPr>
              <w:pStyle w:val="DMETW36571BIPFGCTQ"/>
              <w:rPr>
                <w:rFonts w:ascii="Verdana" w:eastAsia="Verdana" w:hAnsi="Verdana" w:cs="Verdana"/>
                <w:b/>
                <w:noProof/>
                <w:color w:val="000000"/>
                <w:sz w:val="18"/>
              </w:rPr>
            </w:pPr>
            <w:r>
              <w:rPr>
                <w:rFonts w:ascii="Verdana" w:eastAsia="Verdana" w:hAnsi="Verdana" w:cs="Verdana"/>
                <w:b/>
                <w:noProof/>
                <w:color w:val="000000"/>
                <w:sz w:val="18"/>
              </w:rPr>
              <w:t>Long-term rating</w:t>
            </w:r>
          </w:p>
        </w:tc>
        <w:tc>
          <w:tcPr>
            <w:tcW w:w="1206" w:type="dxa"/>
            <w:tcBorders>
              <w:top w:val="nil"/>
              <w:left w:val="nil"/>
              <w:bottom w:val="nil"/>
              <w:right w:val="nil"/>
              <w:tl2br w:val="nil"/>
              <w:tr2bl w:val="nil"/>
            </w:tcBorders>
            <w:tcMar>
              <w:left w:w="60" w:type="dxa"/>
              <w:right w:w="60" w:type="dxa"/>
            </w:tcMar>
            <w:vAlign w:val="center"/>
          </w:tcPr>
          <w:p w14:paraId="01C47BD6" w14:textId="77777777" w:rsidR="00807FFE" w:rsidRDefault="00807FFE">
            <w:pPr>
              <w:pStyle w:val="DMETW36571BIPFGCTQ"/>
              <w:jc w:val="right"/>
              <w:rPr>
                <w:rFonts w:ascii="Verdana" w:eastAsia="Verdana" w:hAnsi="Verdana" w:cs="Verdana"/>
                <w:b/>
                <w:i/>
                <w:noProof/>
                <w:color w:val="000000"/>
                <w:sz w:val="18"/>
              </w:rPr>
            </w:pPr>
          </w:p>
        </w:tc>
        <w:tc>
          <w:tcPr>
            <w:tcW w:w="1206" w:type="dxa"/>
            <w:tcBorders>
              <w:top w:val="nil"/>
              <w:left w:val="nil"/>
              <w:bottom w:val="nil"/>
              <w:right w:val="nil"/>
              <w:tl2br w:val="nil"/>
              <w:tr2bl w:val="nil"/>
            </w:tcBorders>
            <w:tcMar>
              <w:left w:w="60" w:type="dxa"/>
              <w:right w:w="60" w:type="dxa"/>
            </w:tcMar>
            <w:vAlign w:val="center"/>
          </w:tcPr>
          <w:p w14:paraId="69CF6FDF" w14:textId="77777777" w:rsidR="00807FFE" w:rsidRDefault="00807FFE">
            <w:pPr>
              <w:pStyle w:val="DMETW36571BIPFGCTQ"/>
              <w:jc w:val="right"/>
              <w:rPr>
                <w:rFonts w:ascii="Verdana" w:eastAsia="Verdana" w:hAnsi="Verdana" w:cs="Verdana"/>
                <w:b/>
                <w:i/>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14:paraId="5603A185" w14:textId="77777777" w:rsidR="00807FFE" w:rsidRDefault="00807FFE">
            <w:pPr>
              <w:pStyle w:val="DMETW36571BIPFGCTQ"/>
              <w:jc w:val="right"/>
              <w:rPr>
                <w:rFonts w:ascii="Verdana" w:eastAsia="Verdana" w:hAnsi="Verdana" w:cs="Verdana"/>
                <w:b/>
                <w:i/>
                <w:noProof/>
                <w:color w:val="000000"/>
                <w:sz w:val="18"/>
              </w:rPr>
            </w:pPr>
          </w:p>
        </w:tc>
        <w:tc>
          <w:tcPr>
            <w:tcW w:w="1224" w:type="dxa"/>
            <w:tcBorders>
              <w:top w:val="nil"/>
              <w:left w:val="nil"/>
              <w:bottom w:val="nil"/>
              <w:right w:val="nil"/>
              <w:tl2br w:val="nil"/>
              <w:tr2bl w:val="nil"/>
            </w:tcBorders>
            <w:tcMar>
              <w:left w:w="60" w:type="dxa"/>
              <w:right w:w="60" w:type="dxa"/>
            </w:tcMar>
            <w:vAlign w:val="center"/>
          </w:tcPr>
          <w:p w14:paraId="64583E2F" w14:textId="77777777" w:rsidR="00807FFE" w:rsidRDefault="00807FFE">
            <w:pPr>
              <w:pStyle w:val="DMETW36571BIPFGCTQ"/>
              <w:jc w:val="right"/>
              <w:rPr>
                <w:rFonts w:ascii="Verdana" w:eastAsia="Verdana" w:hAnsi="Verdana" w:cs="Verdana"/>
                <w:b/>
                <w:i/>
                <w:noProof/>
                <w:color w:val="000000"/>
                <w:sz w:val="18"/>
              </w:rPr>
            </w:pPr>
          </w:p>
        </w:tc>
        <w:tc>
          <w:tcPr>
            <w:tcW w:w="1124" w:type="dxa"/>
            <w:tcBorders>
              <w:top w:val="nil"/>
              <w:left w:val="nil"/>
              <w:bottom w:val="nil"/>
              <w:right w:val="nil"/>
              <w:tl2br w:val="nil"/>
              <w:tr2bl w:val="nil"/>
            </w:tcBorders>
            <w:tcMar>
              <w:left w:w="60" w:type="dxa"/>
              <w:right w:w="60" w:type="dxa"/>
            </w:tcMar>
            <w:vAlign w:val="center"/>
          </w:tcPr>
          <w:p w14:paraId="28568D3B" w14:textId="77777777" w:rsidR="00807FFE" w:rsidRDefault="00807FFE">
            <w:pPr>
              <w:pStyle w:val="DMETW36571BIPFGCTQ"/>
              <w:jc w:val="right"/>
              <w:rPr>
                <w:rFonts w:ascii="Verdana" w:eastAsia="Verdana" w:hAnsi="Verdana" w:cs="Verdana"/>
                <w:b/>
                <w:i/>
                <w:noProof/>
                <w:color w:val="000000"/>
                <w:sz w:val="18"/>
              </w:rPr>
            </w:pPr>
          </w:p>
        </w:tc>
        <w:tc>
          <w:tcPr>
            <w:tcW w:w="1396" w:type="dxa"/>
            <w:tcBorders>
              <w:top w:val="nil"/>
              <w:left w:val="nil"/>
              <w:bottom w:val="nil"/>
              <w:right w:val="nil"/>
              <w:tl2br w:val="nil"/>
              <w:tr2bl w:val="nil"/>
            </w:tcBorders>
            <w:tcMar>
              <w:left w:w="60" w:type="dxa"/>
              <w:right w:w="60" w:type="dxa"/>
            </w:tcMar>
            <w:vAlign w:val="center"/>
          </w:tcPr>
          <w:p w14:paraId="1B74E973" w14:textId="77777777" w:rsidR="00807FFE" w:rsidRDefault="00807FFE">
            <w:pPr>
              <w:pStyle w:val="DMETW36571BIPFGCTQ"/>
              <w:jc w:val="right"/>
              <w:rPr>
                <w:rFonts w:ascii="Verdana" w:eastAsia="Verdana" w:hAnsi="Verdana" w:cs="Verdana"/>
                <w:i/>
                <w:noProof/>
                <w:color w:val="000000"/>
                <w:sz w:val="18"/>
                <w:lang w:bidi="en-GB"/>
              </w:rPr>
            </w:pPr>
          </w:p>
        </w:tc>
      </w:tr>
      <w:tr w:rsidR="00807FFE" w14:paraId="55C9AEAC" w14:textId="77777777">
        <w:trPr>
          <w:trHeight w:val="255"/>
        </w:trPr>
        <w:tc>
          <w:tcPr>
            <w:tcW w:w="2496" w:type="dxa"/>
            <w:tcBorders>
              <w:top w:val="nil"/>
              <w:left w:val="nil"/>
              <w:bottom w:val="nil"/>
              <w:right w:val="nil"/>
              <w:tl2br w:val="nil"/>
              <w:tr2bl w:val="nil"/>
            </w:tcBorders>
            <w:tcMar>
              <w:left w:w="60" w:type="dxa"/>
              <w:right w:w="60" w:type="dxa"/>
            </w:tcMar>
            <w:vAlign w:val="center"/>
          </w:tcPr>
          <w:p w14:paraId="20C99F0A" w14:textId="77777777" w:rsidR="00807FFE" w:rsidRDefault="00023E71">
            <w:pPr>
              <w:pStyle w:val="DMETW36571BIPFGCTQ"/>
              <w:rPr>
                <w:rFonts w:ascii="Verdana" w:eastAsia="Verdana" w:hAnsi="Verdana" w:cs="Verdana"/>
                <w:i/>
                <w:noProof/>
                <w:color w:val="000000"/>
                <w:sz w:val="18"/>
              </w:rPr>
            </w:pPr>
            <w:r>
              <w:rPr>
                <w:rFonts w:ascii="Verdana" w:eastAsia="Verdana" w:hAnsi="Verdana" w:cs="Verdana"/>
                <w:i/>
                <w:noProof/>
                <w:color w:val="000000"/>
                <w:sz w:val="18"/>
              </w:rPr>
              <w:t>Prime and high grade</w:t>
            </w:r>
          </w:p>
        </w:tc>
        <w:tc>
          <w:tcPr>
            <w:tcW w:w="1206" w:type="dxa"/>
            <w:tcBorders>
              <w:top w:val="nil"/>
              <w:left w:val="nil"/>
              <w:bottom w:val="nil"/>
              <w:right w:val="nil"/>
              <w:tl2br w:val="nil"/>
              <w:tr2bl w:val="nil"/>
            </w:tcBorders>
            <w:tcMar>
              <w:left w:w="60" w:type="dxa"/>
              <w:right w:w="60" w:type="dxa"/>
            </w:tcMar>
            <w:vAlign w:val="center"/>
          </w:tcPr>
          <w:p w14:paraId="71E70CE2"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19</w:t>
            </w:r>
          </w:p>
        </w:tc>
        <w:tc>
          <w:tcPr>
            <w:tcW w:w="1206" w:type="dxa"/>
            <w:tcBorders>
              <w:top w:val="nil"/>
              <w:left w:val="nil"/>
              <w:bottom w:val="nil"/>
              <w:right w:val="nil"/>
              <w:tl2br w:val="nil"/>
              <w:tr2bl w:val="nil"/>
            </w:tcBorders>
            <w:tcMar>
              <w:left w:w="60" w:type="dxa"/>
              <w:right w:w="60" w:type="dxa"/>
            </w:tcMar>
            <w:vAlign w:val="center"/>
          </w:tcPr>
          <w:p w14:paraId="47E63A87"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06" w:type="dxa"/>
            <w:tcBorders>
              <w:top w:val="nil"/>
              <w:left w:val="nil"/>
              <w:bottom w:val="nil"/>
              <w:right w:val="nil"/>
              <w:tl2br w:val="nil"/>
              <w:tr2bl w:val="nil"/>
            </w:tcBorders>
            <w:tcMar>
              <w:left w:w="60" w:type="dxa"/>
              <w:right w:w="60" w:type="dxa"/>
            </w:tcMar>
            <w:vAlign w:val="center"/>
          </w:tcPr>
          <w:p w14:paraId="666033C5"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1224" w:type="dxa"/>
            <w:tcBorders>
              <w:top w:val="nil"/>
              <w:left w:val="nil"/>
              <w:bottom w:val="nil"/>
              <w:right w:val="nil"/>
              <w:tl2br w:val="nil"/>
              <w:tr2bl w:val="nil"/>
            </w:tcBorders>
            <w:tcMar>
              <w:left w:w="60" w:type="dxa"/>
              <w:right w:w="60" w:type="dxa"/>
            </w:tcMar>
            <w:vAlign w:val="center"/>
          </w:tcPr>
          <w:p w14:paraId="13AEE788"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24" w:type="dxa"/>
            <w:tcBorders>
              <w:top w:val="nil"/>
              <w:left w:val="nil"/>
              <w:bottom w:val="nil"/>
              <w:right w:val="nil"/>
              <w:tl2br w:val="nil"/>
              <w:tr2bl w:val="nil"/>
            </w:tcBorders>
            <w:tcMar>
              <w:left w:w="60" w:type="dxa"/>
              <w:right w:w="60" w:type="dxa"/>
            </w:tcMar>
            <w:vAlign w:val="center"/>
          </w:tcPr>
          <w:p w14:paraId="37F51384"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14:paraId="4FFA70E4" w14:textId="77777777" w:rsidR="00807FFE" w:rsidRDefault="00023E71">
            <w:pPr>
              <w:pStyle w:val="DMETW36571BIPFGCTQ"/>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807FFE" w14:paraId="7D0D37D8" w14:textId="77777777">
        <w:trPr>
          <w:trHeight w:val="255"/>
        </w:trPr>
        <w:tc>
          <w:tcPr>
            <w:tcW w:w="2496" w:type="dxa"/>
            <w:tcBorders>
              <w:top w:val="nil"/>
              <w:left w:val="nil"/>
              <w:bottom w:val="nil"/>
              <w:right w:val="nil"/>
              <w:tl2br w:val="nil"/>
              <w:tr2bl w:val="nil"/>
            </w:tcBorders>
            <w:tcMar>
              <w:left w:w="60" w:type="dxa"/>
              <w:right w:w="60" w:type="dxa"/>
            </w:tcMar>
            <w:vAlign w:val="center"/>
          </w:tcPr>
          <w:p w14:paraId="353EE024" w14:textId="77777777" w:rsidR="00807FFE" w:rsidRDefault="00023E71">
            <w:pPr>
              <w:pStyle w:val="DMETW36571BIPFGCTQ"/>
              <w:rPr>
                <w:rFonts w:ascii="Verdana" w:eastAsia="Verdana" w:hAnsi="Verdana" w:cs="Verdana"/>
                <w:i/>
                <w:noProof/>
                <w:color w:val="000000"/>
                <w:sz w:val="18"/>
              </w:rPr>
            </w:pPr>
            <w:r>
              <w:rPr>
                <w:rFonts w:ascii="Verdana" w:eastAsia="Verdana" w:hAnsi="Verdana" w:cs="Verdana"/>
                <w:i/>
                <w:noProof/>
                <w:color w:val="000000"/>
                <w:sz w:val="18"/>
              </w:rPr>
              <w:t>Upper medium grade</w:t>
            </w:r>
          </w:p>
        </w:tc>
        <w:tc>
          <w:tcPr>
            <w:tcW w:w="1206" w:type="dxa"/>
            <w:tcBorders>
              <w:top w:val="nil"/>
              <w:left w:val="nil"/>
              <w:bottom w:val="nil"/>
              <w:right w:val="nil"/>
              <w:tl2br w:val="nil"/>
              <w:tr2bl w:val="nil"/>
            </w:tcBorders>
            <w:tcMar>
              <w:left w:w="60" w:type="dxa"/>
              <w:right w:w="60" w:type="dxa"/>
            </w:tcMar>
            <w:vAlign w:val="center"/>
          </w:tcPr>
          <w:p w14:paraId="48298EE2"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69</w:t>
            </w:r>
          </w:p>
        </w:tc>
        <w:tc>
          <w:tcPr>
            <w:tcW w:w="1206" w:type="dxa"/>
            <w:tcBorders>
              <w:top w:val="nil"/>
              <w:left w:val="nil"/>
              <w:bottom w:val="nil"/>
              <w:right w:val="nil"/>
              <w:tl2br w:val="nil"/>
              <w:tr2bl w:val="nil"/>
            </w:tcBorders>
            <w:tcMar>
              <w:left w:w="60" w:type="dxa"/>
              <w:right w:w="60" w:type="dxa"/>
            </w:tcMar>
            <w:vAlign w:val="center"/>
          </w:tcPr>
          <w:p w14:paraId="7D5B4AB7"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106" w:type="dxa"/>
            <w:tcBorders>
              <w:top w:val="nil"/>
              <w:left w:val="nil"/>
              <w:bottom w:val="nil"/>
              <w:right w:val="nil"/>
              <w:tl2br w:val="nil"/>
              <w:tr2bl w:val="nil"/>
            </w:tcBorders>
            <w:tcMar>
              <w:left w:w="60" w:type="dxa"/>
              <w:right w:w="60" w:type="dxa"/>
            </w:tcMar>
            <w:vAlign w:val="center"/>
          </w:tcPr>
          <w:p w14:paraId="324E4DC9"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81</w:t>
            </w:r>
          </w:p>
        </w:tc>
        <w:tc>
          <w:tcPr>
            <w:tcW w:w="1224" w:type="dxa"/>
            <w:tcBorders>
              <w:top w:val="nil"/>
              <w:left w:val="nil"/>
              <w:bottom w:val="nil"/>
              <w:right w:val="nil"/>
              <w:tl2br w:val="nil"/>
              <w:tr2bl w:val="nil"/>
            </w:tcBorders>
            <w:tcMar>
              <w:left w:w="60" w:type="dxa"/>
              <w:right w:w="60" w:type="dxa"/>
            </w:tcMar>
            <w:vAlign w:val="center"/>
          </w:tcPr>
          <w:p w14:paraId="010AE2E1"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124" w:type="dxa"/>
            <w:tcBorders>
              <w:top w:val="nil"/>
              <w:left w:val="nil"/>
              <w:bottom w:val="nil"/>
              <w:right w:val="nil"/>
              <w:tl2br w:val="nil"/>
              <w:tr2bl w:val="nil"/>
            </w:tcBorders>
            <w:tcMar>
              <w:left w:w="60" w:type="dxa"/>
              <w:right w:w="60" w:type="dxa"/>
            </w:tcMar>
            <w:vAlign w:val="center"/>
          </w:tcPr>
          <w:p w14:paraId="19AE7076"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14:paraId="541D247A" w14:textId="77777777" w:rsidR="00807FFE" w:rsidRDefault="00023E71">
            <w:pPr>
              <w:pStyle w:val="DMETW36571BIPFGCTQ"/>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807FFE" w14:paraId="08182BD3" w14:textId="77777777">
        <w:trPr>
          <w:trHeight w:val="255"/>
        </w:trPr>
        <w:tc>
          <w:tcPr>
            <w:tcW w:w="2496" w:type="dxa"/>
            <w:tcBorders>
              <w:top w:val="nil"/>
              <w:left w:val="nil"/>
              <w:bottom w:val="nil"/>
              <w:right w:val="nil"/>
              <w:tl2br w:val="nil"/>
              <w:tr2bl w:val="nil"/>
            </w:tcBorders>
            <w:tcMar>
              <w:left w:w="60" w:type="dxa"/>
              <w:right w:w="60" w:type="dxa"/>
            </w:tcMar>
            <w:vAlign w:val="center"/>
          </w:tcPr>
          <w:p w14:paraId="7F24419E" w14:textId="77777777" w:rsidR="00807FFE" w:rsidRDefault="00023E71">
            <w:pPr>
              <w:pStyle w:val="DMETW36571BIPFGCTQ"/>
              <w:rPr>
                <w:rFonts w:ascii="Verdana" w:eastAsia="Verdana" w:hAnsi="Verdana" w:cs="Verdana"/>
                <w:i/>
                <w:noProof/>
                <w:color w:val="000000"/>
                <w:sz w:val="18"/>
              </w:rPr>
            </w:pPr>
            <w:r>
              <w:rPr>
                <w:rFonts w:ascii="Verdana" w:eastAsia="Verdana" w:hAnsi="Verdana" w:cs="Verdana"/>
                <w:i/>
                <w:noProof/>
                <w:color w:val="000000"/>
                <w:sz w:val="18"/>
              </w:rPr>
              <w:t>Lower medium grade</w:t>
            </w:r>
          </w:p>
        </w:tc>
        <w:tc>
          <w:tcPr>
            <w:tcW w:w="1206" w:type="dxa"/>
            <w:tcBorders>
              <w:top w:val="nil"/>
              <w:left w:val="nil"/>
              <w:bottom w:val="nil"/>
              <w:right w:val="nil"/>
              <w:tl2br w:val="nil"/>
              <w:tr2bl w:val="nil"/>
            </w:tcBorders>
            <w:tcMar>
              <w:left w:w="60" w:type="dxa"/>
              <w:right w:w="60" w:type="dxa"/>
            </w:tcMar>
            <w:vAlign w:val="center"/>
          </w:tcPr>
          <w:p w14:paraId="2CF636D2"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108</w:t>
            </w:r>
          </w:p>
        </w:tc>
        <w:tc>
          <w:tcPr>
            <w:tcW w:w="1206" w:type="dxa"/>
            <w:tcBorders>
              <w:top w:val="nil"/>
              <w:left w:val="nil"/>
              <w:bottom w:val="nil"/>
              <w:right w:val="nil"/>
              <w:tl2br w:val="nil"/>
              <w:tr2bl w:val="nil"/>
            </w:tcBorders>
            <w:tcMar>
              <w:left w:w="60" w:type="dxa"/>
              <w:right w:w="60" w:type="dxa"/>
            </w:tcMar>
            <w:vAlign w:val="center"/>
          </w:tcPr>
          <w:p w14:paraId="7CA1E9D5"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106" w:type="dxa"/>
            <w:tcBorders>
              <w:top w:val="nil"/>
              <w:left w:val="nil"/>
              <w:bottom w:val="nil"/>
              <w:right w:val="nil"/>
              <w:tl2br w:val="nil"/>
              <w:tr2bl w:val="nil"/>
            </w:tcBorders>
            <w:tcMar>
              <w:left w:w="60" w:type="dxa"/>
              <w:right w:w="60" w:type="dxa"/>
            </w:tcMar>
            <w:vAlign w:val="center"/>
          </w:tcPr>
          <w:p w14:paraId="6A947E85"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109</w:t>
            </w:r>
          </w:p>
        </w:tc>
        <w:tc>
          <w:tcPr>
            <w:tcW w:w="1224" w:type="dxa"/>
            <w:tcBorders>
              <w:top w:val="nil"/>
              <w:left w:val="nil"/>
              <w:bottom w:val="nil"/>
              <w:right w:val="nil"/>
              <w:tl2br w:val="nil"/>
              <w:tr2bl w:val="nil"/>
            </w:tcBorders>
            <w:tcMar>
              <w:left w:w="60" w:type="dxa"/>
              <w:right w:w="60" w:type="dxa"/>
            </w:tcMar>
            <w:vAlign w:val="center"/>
          </w:tcPr>
          <w:p w14:paraId="5DC6B51E"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137</w:t>
            </w:r>
          </w:p>
        </w:tc>
        <w:tc>
          <w:tcPr>
            <w:tcW w:w="1124" w:type="dxa"/>
            <w:tcBorders>
              <w:top w:val="nil"/>
              <w:left w:val="nil"/>
              <w:bottom w:val="nil"/>
              <w:right w:val="nil"/>
              <w:tl2br w:val="nil"/>
              <w:tr2bl w:val="nil"/>
            </w:tcBorders>
            <w:tcMar>
              <w:left w:w="60" w:type="dxa"/>
              <w:right w:w="60" w:type="dxa"/>
            </w:tcMar>
            <w:vAlign w:val="center"/>
          </w:tcPr>
          <w:p w14:paraId="2B1F22F5"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14:paraId="648CC96C" w14:textId="77777777" w:rsidR="00807FFE" w:rsidRDefault="00023E71">
            <w:pPr>
              <w:pStyle w:val="DMETW36571BIPFGCTQ"/>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137</w:t>
            </w:r>
          </w:p>
        </w:tc>
      </w:tr>
      <w:tr w:rsidR="00807FFE" w14:paraId="4AB7041C" w14:textId="77777777">
        <w:trPr>
          <w:trHeight w:val="255"/>
        </w:trPr>
        <w:tc>
          <w:tcPr>
            <w:tcW w:w="2496" w:type="dxa"/>
            <w:tcBorders>
              <w:top w:val="nil"/>
              <w:left w:val="nil"/>
              <w:bottom w:val="nil"/>
              <w:right w:val="nil"/>
              <w:tl2br w:val="nil"/>
              <w:tr2bl w:val="nil"/>
            </w:tcBorders>
            <w:tcMar>
              <w:left w:w="60" w:type="dxa"/>
              <w:right w:w="60" w:type="dxa"/>
            </w:tcMar>
            <w:vAlign w:val="center"/>
          </w:tcPr>
          <w:p w14:paraId="2255ED3C" w14:textId="77777777" w:rsidR="00807FFE" w:rsidRDefault="00023E71">
            <w:pPr>
              <w:pStyle w:val="DMETW36571BIPFGCTQ"/>
              <w:rPr>
                <w:rFonts w:ascii="Verdana" w:eastAsia="Verdana" w:hAnsi="Verdana" w:cs="Verdana"/>
                <w:i/>
                <w:noProof/>
                <w:color w:val="000000"/>
                <w:sz w:val="18"/>
              </w:rPr>
            </w:pPr>
            <w:r>
              <w:rPr>
                <w:rFonts w:ascii="Verdana" w:eastAsia="Verdana" w:hAnsi="Verdana" w:cs="Verdana"/>
                <w:i/>
                <w:noProof/>
                <w:color w:val="000000"/>
                <w:sz w:val="18"/>
              </w:rPr>
              <w:t>Non-investment grade</w:t>
            </w:r>
          </w:p>
        </w:tc>
        <w:tc>
          <w:tcPr>
            <w:tcW w:w="1206" w:type="dxa"/>
            <w:tcBorders>
              <w:top w:val="nil"/>
              <w:left w:val="nil"/>
              <w:bottom w:val="nil"/>
              <w:right w:val="nil"/>
              <w:tl2br w:val="nil"/>
              <w:tr2bl w:val="nil"/>
            </w:tcBorders>
            <w:tcMar>
              <w:left w:w="60" w:type="dxa"/>
              <w:right w:w="60" w:type="dxa"/>
            </w:tcMar>
            <w:vAlign w:val="center"/>
          </w:tcPr>
          <w:p w14:paraId="557AD762"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39 396</w:t>
            </w:r>
          </w:p>
        </w:tc>
        <w:tc>
          <w:tcPr>
            <w:tcW w:w="1206" w:type="dxa"/>
            <w:tcBorders>
              <w:top w:val="nil"/>
              <w:left w:val="nil"/>
              <w:bottom w:val="nil"/>
              <w:right w:val="nil"/>
              <w:tl2br w:val="nil"/>
              <w:tr2bl w:val="nil"/>
            </w:tcBorders>
            <w:tcMar>
              <w:left w:w="60" w:type="dxa"/>
              <w:right w:w="60" w:type="dxa"/>
            </w:tcMar>
            <w:vAlign w:val="center"/>
          </w:tcPr>
          <w:p w14:paraId="64A5BA78"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25 813</w:t>
            </w:r>
          </w:p>
        </w:tc>
        <w:tc>
          <w:tcPr>
            <w:tcW w:w="1106" w:type="dxa"/>
            <w:tcBorders>
              <w:top w:val="nil"/>
              <w:left w:val="nil"/>
              <w:bottom w:val="nil"/>
              <w:right w:val="nil"/>
              <w:tl2br w:val="nil"/>
              <w:tr2bl w:val="nil"/>
            </w:tcBorders>
            <w:tcMar>
              <w:left w:w="60" w:type="dxa"/>
              <w:right w:w="60" w:type="dxa"/>
            </w:tcMar>
            <w:vAlign w:val="center"/>
          </w:tcPr>
          <w:p w14:paraId="44EF6EB3"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65 209</w:t>
            </w:r>
          </w:p>
        </w:tc>
        <w:tc>
          <w:tcPr>
            <w:tcW w:w="1224" w:type="dxa"/>
            <w:tcBorders>
              <w:top w:val="nil"/>
              <w:left w:val="nil"/>
              <w:bottom w:val="nil"/>
              <w:right w:val="nil"/>
              <w:tl2br w:val="nil"/>
              <w:tr2bl w:val="nil"/>
            </w:tcBorders>
            <w:tcMar>
              <w:left w:w="60" w:type="dxa"/>
              <w:right w:w="60" w:type="dxa"/>
            </w:tcMar>
            <w:vAlign w:val="center"/>
          </w:tcPr>
          <w:p w14:paraId="3076B274"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34 912</w:t>
            </w:r>
          </w:p>
        </w:tc>
        <w:tc>
          <w:tcPr>
            <w:tcW w:w="1124" w:type="dxa"/>
            <w:tcBorders>
              <w:top w:val="nil"/>
              <w:left w:val="nil"/>
              <w:bottom w:val="nil"/>
              <w:right w:val="nil"/>
              <w:tl2br w:val="nil"/>
              <w:tr2bl w:val="nil"/>
            </w:tcBorders>
            <w:tcMar>
              <w:left w:w="60" w:type="dxa"/>
              <w:right w:w="60" w:type="dxa"/>
            </w:tcMar>
            <w:vAlign w:val="center"/>
          </w:tcPr>
          <w:p w14:paraId="54A8D56B"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25 746</w:t>
            </w:r>
          </w:p>
        </w:tc>
        <w:tc>
          <w:tcPr>
            <w:tcW w:w="1396" w:type="dxa"/>
            <w:tcBorders>
              <w:top w:val="nil"/>
              <w:left w:val="nil"/>
              <w:bottom w:val="nil"/>
              <w:right w:val="nil"/>
              <w:tl2br w:val="nil"/>
              <w:tr2bl w:val="nil"/>
            </w:tcBorders>
            <w:tcMar>
              <w:left w:w="60" w:type="dxa"/>
              <w:right w:w="60" w:type="dxa"/>
            </w:tcMar>
            <w:vAlign w:val="center"/>
          </w:tcPr>
          <w:p w14:paraId="6C105C6F" w14:textId="77777777" w:rsidR="00807FFE" w:rsidRDefault="00023E71">
            <w:pPr>
              <w:pStyle w:val="DMETW36571BIPFGCTQ"/>
              <w:jc w:val="right"/>
              <w:rPr>
                <w:rFonts w:ascii="Verdana" w:eastAsia="Verdana" w:hAnsi="Verdana" w:cs="Verdana"/>
                <w:i/>
                <w:noProof/>
                <w:color w:val="000000"/>
                <w:sz w:val="18"/>
                <w:lang w:bidi="en-GB"/>
              </w:rPr>
            </w:pPr>
            <w:r>
              <w:rPr>
                <w:rFonts w:ascii="Verdana" w:eastAsia="Verdana" w:hAnsi="Verdana" w:cs="Verdana"/>
                <w:i/>
                <w:noProof/>
                <w:color w:val="000000"/>
                <w:sz w:val="18"/>
              </w:rPr>
              <w:t>60 658</w:t>
            </w:r>
          </w:p>
        </w:tc>
      </w:tr>
      <w:tr w:rsidR="00807FFE" w14:paraId="0AEB0982" w14:textId="77777777">
        <w:trPr>
          <w:trHeight w:val="255"/>
        </w:trPr>
        <w:tc>
          <w:tcPr>
            <w:tcW w:w="2496" w:type="dxa"/>
            <w:tcBorders>
              <w:top w:val="nil"/>
              <w:left w:val="nil"/>
              <w:bottom w:val="single" w:sz="4" w:space="0" w:color="016794"/>
              <w:right w:val="nil"/>
              <w:tl2br w:val="nil"/>
              <w:tr2bl w:val="nil"/>
            </w:tcBorders>
            <w:tcMar>
              <w:left w:w="60" w:type="dxa"/>
              <w:right w:w="60" w:type="dxa"/>
            </w:tcMar>
            <w:vAlign w:val="center"/>
          </w:tcPr>
          <w:p w14:paraId="6A2594B0" w14:textId="77777777" w:rsidR="00807FFE" w:rsidRDefault="00023E71">
            <w:pPr>
              <w:pStyle w:val="DMETW36571BIPFGCTQ"/>
              <w:rPr>
                <w:rFonts w:ascii="Verdana" w:eastAsia="Verdana" w:hAnsi="Verdana" w:cs="Verdana"/>
                <w:i/>
                <w:noProof/>
                <w:color w:val="000000"/>
                <w:sz w:val="18"/>
              </w:rPr>
            </w:pPr>
            <w:r>
              <w:rPr>
                <w:rFonts w:ascii="Verdana" w:eastAsia="Verdana" w:hAnsi="Verdana" w:cs="Verdana"/>
                <w:i/>
                <w:noProof/>
                <w:color w:val="000000"/>
                <w:sz w:val="18"/>
              </w:rPr>
              <w:t>Managed on collective basis / not rated</w:t>
            </w:r>
          </w:p>
        </w:tc>
        <w:tc>
          <w:tcPr>
            <w:tcW w:w="1206" w:type="dxa"/>
            <w:tcBorders>
              <w:top w:val="nil"/>
              <w:left w:val="nil"/>
              <w:bottom w:val="single" w:sz="4" w:space="0" w:color="016794"/>
              <w:right w:val="nil"/>
              <w:tl2br w:val="nil"/>
              <w:tr2bl w:val="nil"/>
            </w:tcBorders>
            <w:tcMar>
              <w:left w:w="60" w:type="dxa"/>
              <w:right w:w="60" w:type="dxa"/>
            </w:tcMar>
            <w:vAlign w:val="center"/>
          </w:tcPr>
          <w:p w14:paraId="3EC62111"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206" w:type="dxa"/>
            <w:tcBorders>
              <w:top w:val="nil"/>
              <w:left w:val="nil"/>
              <w:bottom w:val="single" w:sz="4" w:space="0" w:color="016794"/>
              <w:right w:val="nil"/>
              <w:tl2br w:val="nil"/>
              <w:tr2bl w:val="nil"/>
            </w:tcBorders>
            <w:tcMar>
              <w:left w:w="60" w:type="dxa"/>
              <w:right w:w="60" w:type="dxa"/>
            </w:tcMar>
            <w:vAlign w:val="center"/>
          </w:tcPr>
          <w:p w14:paraId="51EF700D"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45</w:t>
            </w:r>
          </w:p>
        </w:tc>
        <w:tc>
          <w:tcPr>
            <w:tcW w:w="1106" w:type="dxa"/>
            <w:tcBorders>
              <w:top w:val="nil"/>
              <w:left w:val="nil"/>
              <w:bottom w:val="single" w:sz="4" w:space="0" w:color="016794"/>
              <w:right w:val="nil"/>
              <w:tl2br w:val="nil"/>
              <w:tr2bl w:val="nil"/>
            </w:tcBorders>
            <w:tcMar>
              <w:left w:w="60" w:type="dxa"/>
              <w:right w:w="60" w:type="dxa"/>
            </w:tcMar>
            <w:vAlign w:val="center"/>
          </w:tcPr>
          <w:p w14:paraId="69AA8B9F"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55</w:t>
            </w:r>
          </w:p>
        </w:tc>
        <w:tc>
          <w:tcPr>
            <w:tcW w:w="1224" w:type="dxa"/>
            <w:tcBorders>
              <w:top w:val="nil"/>
              <w:left w:val="nil"/>
              <w:bottom w:val="single" w:sz="4" w:space="0" w:color="016794"/>
              <w:right w:val="nil"/>
              <w:tl2br w:val="nil"/>
              <w:tr2bl w:val="nil"/>
            </w:tcBorders>
            <w:tcMar>
              <w:left w:w="60" w:type="dxa"/>
              <w:right w:w="60" w:type="dxa"/>
            </w:tcMar>
            <w:vAlign w:val="center"/>
          </w:tcPr>
          <w:p w14:paraId="4EBB37FD"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124" w:type="dxa"/>
            <w:tcBorders>
              <w:top w:val="nil"/>
              <w:left w:val="nil"/>
              <w:bottom w:val="single" w:sz="4" w:space="0" w:color="016794"/>
              <w:right w:val="nil"/>
              <w:tl2br w:val="nil"/>
              <w:tr2bl w:val="nil"/>
            </w:tcBorders>
            <w:tcMar>
              <w:left w:w="60" w:type="dxa"/>
              <w:right w:w="60" w:type="dxa"/>
            </w:tcMar>
            <w:vAlign w:val="center"/>
          </w:tcPr>
          <w:p w14:paraId="7F5FCDF5" w14:textId="77777777" w:rsidR="00807FFE" w:rsidRDefault="00023E71">
            <w:pPr>
              <w:pStyle w:val="DMETW36571BIPFGCTQ"/>
              <w:jc w:val="right"/>
              <w:rPr>
                <w:rFonts w:ascii="Verdana" w:eastAsia="Verdana" w:hAnsi="Verdana" w:cs="Verdana"/>
                <w:i/>
                <w:noProof/>
                <w:color w:val="000000"/>
                <w:sz w:val="18"/>
              </w:rPr>
            </w:pPr>
            <w:r>
              <w:rPr>
                <w:rFonts w:ascii="Verdana" w:eastAsia="Verdana" w:hAnsi="Verdana" w:cs="Verdana"/>
                <w:i/>
                <w:noProof/>
                <w:color w:val="000000"/>
                <w:sz w:val="18"/>
              </w:rPr>
              <w:t xml:space="preserve"> 47</w:t>
            </w:r>
          </w:p>
        </w:tc>
        <w:tc>
          <w:tcPr>
            <w:tcW w:w="1396" w:type="dxa"/>
            <w:tcBorders>
              <w:top w:val="nil"/>
              <w:left w:val="nil"/>
              <w:bottom w:val="single" w:sz="4" w:space="0" w:color="016794"/>
              <w:right w:val="nil"/>
              <w:tl2br w:val="nil"/>
              <w:tr2bl w:val="nil"/>
            </w:tcBorders>
            <w:tcMar>
              <w:left w:w="60" w:type="dxa"/>
              <w:right w:w="60" w:type="dxa"/>
            </w:tcMar>
            <w:vAlign w:val="center"/>
          </w:tcPr>
          <w:p w14:paraId="196D232C" w14:textId="77777777" w:rsidR="00807FFE" w:rsidRDefault="00023E71">
            <w:pPr>
              <w:pStyle w:val="DMETW36571BIPFGCTQ"/>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56</w:t>
            </w:r>
          </w:p>
        </w:tc>
      </w:tr>
      <w:tr w:rsidR="00807FFE" w14:paraId="7C0C24F1" w14:textId="77777777">
        <w:trPr>
          <w:trHeight w:val="255"/>
        </w:trPr>
        <w:tc>
          <w:tcPr>
            <w:tcW w:w="2496" w:type="dxa"/>
            <w:tcBorders>
              <w:top w:val="single" w:sz="4" w:space="0" w:color="016794"/>
              <w:left w:val="nil"/>
              <w:bottom w:val="single" w:sz="4" w:space="0" w:color="016794"/>
              <w:right w:val="nil"/>
              <w:tl2br w:val="nil"/>
              <w:tr2bl w:val="nil"/>
            </w:tcBorders>
            <w:tcMar>
              <w:left w:w="60" w:type="dxa"/>
              <w:right w:w="60" w:type="dxa"/>
            </w:tcMar>
            <w:vAlign w:val="center"/>
          </w:tcPr>
          <w:p w14:paraId="75D86E61" w14:textId="77777777" w:rsidR="00807FFE" w:rsidRDefault="00023E71">
            <w:pPr>
              <w:pStyle w:val="DMETW36571BIPFGCTQ"/>
              <w:rPr>
                <w:rFonts w:ascii="Verdana" w:eastAsia="Verdana" w:hAnsi="Verdana" w:cs="Verdana"/>
                <w:b/>
                <w:noProof/>
                <w:color w:val="000000"/>
                <w:sz w:val="18"/>
              </w:rPr>
            </w:pPr>
            <w:r>
              <w:rPr>
                <w:rFonts w:ascii="Verdana" w:eastAsia="Verdana" w:hAnsi="Verdana" w:cs="Verdana"/>
                <w:b/>
                <w:noProof/>
                <w:color w:val="000000"/>
                <w:sz w:val="18"/>
              </w:rPr>
              <w:t>Total</w:t>
            </w:r>
          </w:p>
        </w:tc>
        <w:tc>
          <w:tcPr>
            <w:tcW w:w="1206" w:type="dxa"/>
            <w:tcBorders>
              <w:top w:val="single" w:sz="4" w:space="0" w:color="016794"/>
              <w:left w:val="nil"/>
              <w:bottom w:val="single" w:sz="4" w:space="0" w:color="016794"/>
              <w:right w:val="nil"/>
              <w:tl2br w:val="nil"/>
              <w:tr2bl w:val="nil"/>
            </w:tcBorders>
            <w:tcMar>
              <w:left w:w="60" w:type="dxa"/>
              <w:right w:w="60" w:type="dxa"/>
            </w:tcMar>
            <w:vAlign w:val="center"/>
          </w:tcPr>
          <w:p w14:paraId="0B0F7B40" w14:textId="77777777" w:rsidR="00807FFE" w:rsidRDefault="00023E71">
            <w:pPr>
              <w:pStyle w:val="DMETW36571BIPFGCTQ"/>
              <w:jc w:val="right"/>
              <w:rPr>
                <w:rFonts w:ascii="Verdana" w:eastAsia="Verdana" w:hAnsi="Verdana" w:cs="Verdana"/>
                <w:b/>
                <w:noProof/>
                <w:color w:val="000000"/>
                <w:sz w:val="18"/>
              </w:rPr>
            </w:pPr>
            <w:r>
              <w:rPr>
                <w:rFonts w:ascii="Verdana" w:eastAsia="Verdana" w:hAnsi="Verdana" w:cs="Verdana"/>
                <w:b/>
                <w:noProof/>
                <w:color w:val="000000"/>
                <w:sz w:val="18"/>
              </w:rPr>
              <w:t>39 602</w:t>
            </w:r>
          </w:p>
        </w:tc>
        <w:tc>
          <w:tcPr>
            <w:tcW w:w="1206" w:type="dxa"/>
            <w:tcBorders>
              <w:top w:val="single" w:sz="4" w:space="0" w:color="016794"/>
              <w:left w:val="nil"/>
              <w:bottom w:val="single" w:sz="4" w:space="0" w:color="016794"/>
              <w:right w:val="nil"/>
              <w:tl2br w:val="nil"/>
              <w:tr2bl w:val="nil"/>
            </w:tcBorders>
            <w:tcMar>
              <w:left w:w="60" w:type="dxa"/>
              <w:right w:w="60" w:type="dxa"/>
            </w:tcMar>
            <w:vAlign w:val="center"/>
          </w:tcPr>
          <w:p w14:paraId="6BF7EB0A" w14:textId="77777777" w:rsidR="00807FFE" w:rsidRDefault="00023E71">
            <w:pPr>
              <w:pStyle w:val="DMETW36571BIPFGCTQ"/>
              <w:jc w:val="right"/>
              <w:rPr>
                <w:rFonts w:ascii="Verdana" w:eastAsia="Verdana" w:hAnsi="Verdana" w:cs="Verdana"/>
                <w:b/>
                <w:noProof/>
                <w:color w:val="000000"/>
                <w:sz w:val="18"/>
              </w:rPr>
            </w:pPr>
            <w:r>
              <w:rPr>
                <w:rFonts w:ascii="Verdana" w:eastAsia="Verdana" w:hAnsi="Verdana" w:cs="Verdana"/>
                <w:b/>
                <w:noProof/>
                <w:color w:val="000000"/>
                <w:sz w:val="18"/>
              </w:rPr>
              <w:t>25 872</w:t>
            </w:r>
          </w:p>
        </w:tc>
        <w:tc>
          <w:tcPr>
            <w:tcW w:w="1106" w:type="dxa"/>
            <w:tcBorders>
              <w:top w:val="single" w:sz="4" w:space="0" w:color="016794"/>
              <w:left w:val="nil"/>
              <w:bottom w:val="single" w:sz="4" w:space="0" w:color="016794"/>
              <w:right w:val="nil"/>
              <w:tl2br w:val="nil"/>
              <w:tr2bl w:val="nil"/>
            </w:tcBorders>
            <w:tcMar>
              <w:left w:w="60" w:type="dxa"/>
              <w:right w:w="60" w:type="dxa"/>
            </w:tcMar>
            <w:vAlign w:val="center"/>
          </w:tcPr>
          <w:p w14:paraId="2100BF98" w14:textId="77777777" w:rsidR="00807FFE" w:rsidRDefault="00023E71">
            <w:pPr>
              <w:pStyle w:val="DMETW36571BIPFGCTQ"/>
              <w:jc w:val="right"/>
              <w:rPr>
                <w:rFonts w:ascii="Verdana" w:eastAsia="Verdana" w:hAnsi="Verdana" w:cs="Verdana"/>
                <w:b/>
                <w:noProof/>
                <w:color w:val="000000"/>
                <w:sz w:val="18"/>
              </w:rPr>
            </w:pPr>
            <w:r>
              <w:rPr>
                <w:rFonts w:ascii="Verdana" w:eastAsia="Verdana" w:hAnsi="Verdana" w:cs="Verdana"/>
                <w:b/>
                <w:noProof/>
                <w:color w:val="000000"/>
                <w:sz w:val="18"/>
              </w:rPr>
              <w:t>65 474</w:t>
            </w:r>
          </w:p>
        </w:tc>
        <w:tc>
          <w:tcPr>
            <w:tcW w:w="1224" w:type="dxa"/>
            <w:tcBorders>
              <w:top w:val="single" w:sz="4" w:space="0" w:color="016794"/>
              <w:left w:val="nil"/>
              <w:bottom w:val="single" w:sz="4" w:space="0" w:color="016794"/>
              <w:right w:val="nil"/>
              <w:tl2br w:val="nil"/>
              <w:tr2bl w:val="nil"/>
            </w:tcBorders>
            <w:tcMar>
              <w:left w:w="60" w:type="dxa"/>
              <w:right w:w="60" w:type="dxa"/>
            </w:tcMar>
            <w:vAlign w:val="center"/>
          </w:tcPr>
          <w:p w14:paraId="34C2DF7E" w14:textId="77777777" w:rsidR="00807FFE" w:rsidRDefault="00023E71">
            <w:pPr>
              <w:pStyle w:val="DMETW36571BIPFGCTQ"/>
              <w:jc w:val="right"/>
              <w:rPr>
                <w:rFonts w:ascii="Verdana" w:eastAsia="Verdana" w:hAnsi="Verdana" w:cs="Verdana"/>
                <w:b/>
                <w:noProof/>
                <w:color w:val="000000"/>
                <w:sz w:val="18"/>
              </w:rPr>
            </w:pPr>
            <w:r>
              <w:rPr>
                <w:rFonts w:ascii="Verdana" w:eastAsia="Verdana" w:hAnsi="Verdana" w:cs="Verdana"/>
                <w:b/>
                <w:noProof/>
                <w:color w:val="000000"/>
                <w:sz w:val="18"/>
              </w:rPr>
              <w:t>35 064</w:t>
            </w:r>
          </w:p>
        </w:tc>
        <w:tc>
          <w:tcPr>
            <w:tcW w:w="1124" w:type="dxa"/>
            <w:tcBorders>
              <w:top w:val="single" w:sz="4" w:space="0" w:color="016794"/>
              <w:left w:val="nil"/>
              <w:bottom w:val="single" w:sz="4" w:space="0" w:color="016794"/>
              <w:right w:val="nil"/>
              <w:tl2br w:val="nil"/>
              <w:tr2bl w:val="nil"/>
            </w:tcBorders>
            <w:tcMar>
              <w:left w:w="60" w:type="dxa"/>
              <w:right w:w="60" w:type="dxa"/>
            </w:tcMar>
            <w:vAlign w:val="center"/>
          </w:tcPr>
          <w:p w14:paraId="3304C43C" w14:textId="77777777" w:rsidR="00807FFE" w:rsidRDefault="00023E71">
            <w:pPr>
              <w:pStyle w:val="DMETW36571BIPFGCTQ"/>
              <w:jc w:val="right"/>
              <w:rPr>
                <w:rFonts w:ascii="Verdana" w:eastAsia="Verdana" w:hAnsi="Verdana" w:cs="Verdana"/>
                <w:b/>
                <w:noProof/>
                <w:color w:val="000000"/>
                <w:sz w:val="18"/>
              </w:rPr>
            </w:pPr>
            <w:r>
              <w:rPr>
                <w:rFonts w:ascii="Verdana" w:eastAsia="Verdana" w:hAnsi="Verdana" w:cs="Verdana"/>
                <w:b/>
                <w:noProof/>
                <w:color w:val="000000"/>
                <w:sz w:val="18"/>
              </w:rPr>
              <w:t>25 793</w:t>
            </w:r>
          </w:p>
        </w:tc>
        <w:tc>
          <w:tcPr>
            <w:tcW w:w="1396" w:type="dxa"/>
            <w:tcBorders>
              <w:top w:val="single" w:sz="4" w:space="0" w:color="016794"/>
              <w:left w:val="nil"/>
              <w:bottom w:val="single" w:sz="4" w:space="0" w:color="016794"/>
              <w:right w:val="nil"/>
              <w:tl2br w:val="nil"/>
              <w:tr2bl w:val="nil"/>
            </w:tcBorders>
            <w:tcMar>
              <w:left w:w="60" w:type="dxa"/>
              <w:right w:w="60" w:type="dxa"/>
            </w:tcMar>
            <w:vAlign w:val="center"/>
          </w:tcPr>
          <w:p w14:paraId="58E8F502" w14:textId="77777777" w:rsidR="00807FFE" w:rsidRDefault="00023E71">
            <w:pPr>
              <w:pStyle w:val="DMETW36571BIPFGCTQ"/>
              <w:jc w:val="right"/>
              <w:rPr>
                <w:rFonts w:ascii="Verdana" w:eastAsia="Verdana" w:hAnsi="Verdana" w:cs="Verdana"/>
                <w:b/>
                <w:noProof/>
                <w:color w:val="000000"/>
                <w:sz w:val="18"/>
              </w:rPr>
            </w:pPr>
            <w:r>
              <w:rPr>
                <w:rFonts w:ascii="Verdana" w:eastAsia="Verdana" w:hAnsi="Verdana" w:cs="Verdana"/>
                <w:b/>
                <w:noProof/>
                <w:color w:val="000000"/>
                <w:sz w:val="18"/>
              </w:rPr>
              <w:t>60 857</w:t>
            </w:r>
          </w:p>
        </w:tc>
      </w:tr>
    </w:tbl>
    <w:p w14:paraId="7D7A300E" w14:textId="77777777" w:rsidR="006F6B0D" w:rsidRDefault="006F6B0D" w:rsidP="00AD3188">
      <w:pPr>
        <w:pStyle w:val="HEADER5"/>
        <w:rPr>
          <w:noProof/>
        </w:rPr>
      </w:pPr>
    </w:p>
    <w:p w14:paraId="7B24309F" w14:textId="6D5553BB" w:rsidR="00950DAE" w:rsidRDefault="00023E71" w:rsidP="00AD3188">
      <w:pPr>
        <w:pStyle w:val="HEADER5"/>
        <w:rPr>
          <w:noProof/>
        </w:rPr>
      </w:pPr>
      <w:r w:rsidRPr="00950DAE">
        <w:rPr>
          <w:noProof/>
        </w:rPr>
        <w:t>Financial guarantee contracts: Movement in the l</w:t>
      </w:r>
      <w:r>
        <w:rPr>
          <w:noProof/>
        </w:rPr>
        <w:t xml:space="preserve">oss allowance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0"/>
        <w:gridCol w:w="1906"/>
        <w:gridCol w:w="1906"/>
        <w:gridCol w:w="1906"/>
      </w:tblGrid>
      <w:tr w:rsidR="00807FFE" w14:paraId="57D3F178" w14:textId="77777777">
        <w:trPr>
          <w:trHeight w:hRule="exact" w:val="255"/>
        </w:trPr>
        <w:tc>
          <w:tcPr>
            <w:tcW w:w="4040" w:type="dxa"/>
            <w:tcBorders>
              <w:top w:val="nil"/>
              <w:left w:val="nil"/>
              <w:bottom w:val="nil"/>
              <w:right w:val="nil"/>
              <w:tl2br w:val="nil"/>
              <w:tr2bl w:val="nil"/>
            </w:tcBorders>
            <w:tcMar>
              <w:left w:w="60" w:type="dxa"/>
              <w:right w:w="60" w:type="dxa"/>
            </w:tcMar>
            <w:vAlign w:val="center"/>
          </w:tcPr>
          <w:p w14:paraId="366A3248" w14:textId="77777777" w:rsidR="00807FFE" w:rsidRDefault="00807FFE">
            <w:pPr>
              <w:pStyle w:val="DMETW36571BIPFGCLOS"/>
              <w:rPr>
                <w:rFonts w:ascii="Verdana" w:eastAsia="Verdana" w:hAnsi="Verdana" w:cs="Verdana"/>
                <w:b/>
                <w:noProof/>
                <w:color w:val="000000"/>
                <w:sz w:val="18"/>
                <w:lang w:bidi="en-GB"/>
              </w:rPr>
            </w:pPr>
            <w:bookmarkStart w:id="235" w:name="DOC_TBL00101_1_1"/>
            <w:bookmarkEnd w:id="235"/>
          </w:p>
        </w:tc>
        <w:tc>
          <w:tcPr>
            <w:tcW w:w="1906" w:type="dxa"/>
            <w:tcBorders>
              <w:top w:val="nil"/>
              <w:left w:val="nil"/>
              <w:bottom w:val="nil"/>
              <w:right w:val="nil"/>
              <w:tl2br w:val="nil"/>
              <w:tr2bl w:val="nil"/>
            </w:tcBorders>
            <w:tcMar>
              <w:left w:w="60" w:type="dxa"/>
              <w:right w:w="60" w:type="dxa"/>
            </w:tcMar>
            <w:vAlign w:val="center"/>
          </w:tcPr>
          <w:p w14:paraId="2317CB00" w14:textId="77777777" w:rsidR="00807FFE" w:rsidRDefault="00807FFE">
            <w:pPr>
              <w:pStyle w:val="DMETW36571BIPFGCLOS"/>
              <w:jc w:val="center"/>
              <w:rPr>
                <w:rFonts w:ascii="Verdana" w:eastAsia="Verdana" w:hAnsi="Verdana" w:cs="Verdana"/>
                <w:b/>
                <w:noProof/>
                <w:color w:val="000000"/>
                <w:sz w:val="18"/>
              </w:rPr>
            </w:pPr>
          </w:p>
        </w:tc>
        <w:tc>
          <w:tcPr>
            <w:tcW w:w="1906" w:type="dxa"/>
            <w:tcBorders>
              <w:top w:val="nil"/>
              <w:left w:val="nil"/>
              <w:bottom w:val="nil"/>
              <w:right w:val="nil"/>
              <w:tl2br w:val="nil"/>
              <w:tr2bl w:val="nil"/>
            </w:tcBorders>
            <w:tcMar>
              <w:left w:w="60" w:type="dxa"/>
              <w:right w:w="60" w:type="dxa"/>
            </w:tcMar>
            <w:vAlign w:val="center"/>
          </w:tcPr>
          <w:p w14:paraId="62D3867B" w14:textId="77777777" w:rsidR="00807FFE" w:rsidRDefault="00807FFE">
            <w:pPr>
              <w:pStyle w:val="DMETW36571BIPFGCLOS"/>
              <w:jc w:val="center"/>
              <w:rPr>
                <w:rFonts w:ascii="Verdana" w:eastAsia="Verdana" w:hAnsi="Verdana" w:cs="Verdana"/>
                <w:b/>
                <w:noProof/>
                <w:color w:val="000000"/>
                <w:sz w:val="18"/>
              </w:rPr>
            </w:pPr>
          </w:p>
        </w:tc>
        <w:tc>
          <w:tcPr>
            <w:tcW w:w="1906" w:type="dxa"/>
            <w:tcBorders>
              <w:top w:val="nil"/>
              <w:left w:val="nil"/>
              <w:bottom w:val="nil"/>
              <w:right w:val="nil"/>
              <w:tl2br w:val="nil"/>
              <w:tr2bl w:val="nil"/>
            </w:tcBorders>
            <w:tcMar>
              <w:left w:w="60" w:type="dxa"/>
              <w:right w:w="60" w:type="dxa"/>
            </w:tcMar>
            <w:vAlign w:val="bottom"/>
          </w:tcPr>
          <w:p w14:paraId="67DB0176" w14:textId="77777777" w:rsidR="00807FFE" w:rsidRDefault="00023E71">
            <w:pPr>
              <w:pStyle w:val="DMETW36571BIPFGCLOS"/>
              <w:jc w:val="right"/>
              <w:rPr>
                <w:rFonts w:ascii="Verdana" w:eastAsia="Verdana" w:hAnsi="Verdana" w:cs="Verdana"/>
                <w:i/>
                <w:noProof/>
                <w:color w:val="000000"/>
                <w:sz w:val="18"/>
                <w:lang w:bidi="en-GB"/>
              </w:rPr>
            </w:pPr>
            <w:r>
              <w:rPr>
                <w:rFonts w:ascii="Verdana" w:eastAsia="Verdana" w:hAnsi="Verdana" w:cs="Verdana"/>
                <w:i/>
                <w:noProof/>
                <w:color w:val="000000"/>
                <w:sz w:val="18"/>
              </w:rPr>
              <w:t>EUR million</w:t>
            </w:r>
          </w:p>
        </w:tc>
      </w:tr>
      <w:tr w:rsidR="00807FFE" w14:paraId="228265D1" w14:textId="77777777">
        <w:trPr>
          <w:trHeight w:hRule="exact" w:val="230"/>
        </w:trPr>
        <w:tc>
          <w:tcPr>
            <w:tcW w:w="4040" w:type="dxa"/>
            <w:vMerge w:val="restart"/>
            <w:tcBorders>
              <w:top w:val="nil"/>
              <w:left w:val="nil"/>
              <w:bottom w:val="nil"/>
              <w:right w:val="nil"/>
              <w:tl2br w:val="nil"/>
              <w:tr2bl w:val="nil"/>
            </w:tcBorders>
            <w:shd w:val="solid" w:color="016794" w:fill="FFFFFF"/>
            <w:tcMar>
              <w:left w:w="60" w:type="dxa"/>
              <w:right w:w="60" w:type="dxa"/>
            </w:tcMar>
            <w:vAlign w:val="center"/>
          </w:tcPr>
          <w:p w14:paraId="78E36E1E" w14:textId="77777777" w:rsidR="00807FFE" w:rsidRDefault="00807FFE">
            <w:pPr>
              <w:pStyle w:val="DMETW36571BIPFGCLOS"/>
              <w:jc w:val="center"/>
              <w:rPr>
                <w:rFonts w:ascii="Verdana" w:eastAsia="Verdana" w:hAnsi="Verdana" w:cs="Verdana"/>
                <w:noProof/>
                <w:color w:val="FFFFFF"/>
                <w:sz w:val="18"/>
              </w:rPr>
            </w:pP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14:paraId="480479D2" w14:textId="77777777" w:rsidR="00807FFE" w:rsidRDefault="00023E71">
            <w:pPr>
              <w:pStyle w:val="DMETW36571BIPFGCLOS"/>
              <w:jc w:val="right"/>
              <w:rPr>
                <w:rFonts w:ascii="Verdana" w:eastAsia="Verdana" w:hAnsi="Verdana" w:cs="Verdana"/>
                <w:noProof/>
                <w:color w:val="FFFFFF"/>
                <w:sz w:val="18"/>
              </w:rPr>
            </w:pPr>
            <w:r>
              <w:rPr>
                <w:rFonts w:ascii="Verdana" w:eastAsia="Verdana" w:hAnsi="Verdana" w:cs="Verdana"/>
                <w:noProof/>
                <w:color w:val="FFFFFF"/>
                <w:sz w:val="18"/>
              </w:rPr>
              <w:t xml:space="preserve">Stage 1 </w:t>
            </w: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14:paraId="6EC2501E" w14:textId="77777777" w:rsidR="00807FFE" w:rsidRDefault="00023E71">
            <w:pPr>
              <w:pStyle w:val="DMETW36571BIPFGCLOS"/>
              <w:jc w:val="right"/>
              <w:rPr>
                <w:rFonts w:ascii="Verdana" w:eastAsia="Verdana" w:hAnsi="Verdana" w:cs="Verdana"/>
                <w:noProof/>
                <w:color w:val="FFFFFF"/>
                <w:sz w:val="18"/>
              </w:rPr>
            </w:pPr>
            <w:r>
              <w:rPr>
                <w:rFonts w:ascii="Verdana" w:eastAsia="Verdana" w:hAnsi="Verdana" w:cs="Verdana"/>
                <w:noProof/>
                <w:color w:val="FFFFFF"/>
                <w:sz w:val="18"/>
              </w:rPr>
              <w:t xml:space="preserve">Stage 2  </w:t>
            </w: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14:paraId="2F887F24" w14:textId="77777777" w:rsidR="00807FFE" w:rsidRDefault="00023E71">
            <w:pPr>
              <w:pStyle w:val="DMETW36571BIPFGCLOS"/>
              <w:jc w:val="right"/>
              <w:rPr>
                <w:rFonts w:ascii="Verdana" w:eastAsia="Verdana" w:hAnsi="Verdana" w:cs="Verdana"/>
                <w:noProof/>
                <w:color w:val="FFFFFF"/>
                <w:sz w:val="18"/>
                <w:lang w:bidi="en-GB"/>
              </w:rPr>
            </w:pPr>
            <w:r>
              <w:rPr>
                <w:rFonts w:ascii="Verdana" w:eastAsia="Verdana" w:hAnsi="Verdana" w:cs="Verdana"/>
                <w:noProof/>
                <w:color w:val="FFFFFF"/>
                <w:sz w:val="18"/>
              </w:rPr>
              <w:t>Total</w:t>
            </w:r>
          </w:p>
        </w:tc>
      </w:tr>
      <w:tr w:rsidR="00807FFE" w14:paraId="6BBF3096" w14:textId="77777777">
        <w:trPr>
          <w:trHeight w:hRule="exact" w:val="230"/>
        </w:trPr>
        <w:tc>
          <w:tcPr>
            <w:tcW w:w="4230" w:type="dxa"/>
            <w:vMerge/>
            <w:tcBorders>
              <w:top w:val="nil"/>
              <w:left w:val="nil"/>
              <w:bottom w:val="nil"/>
              <w:right w:val="nil"/>
              <w:tl2br w:val="nil"/>
              <w:tr2bl w:val="nil"/>
            </w:tcBorders>
            <w:shd w:val="solid" w:color="016794" w:fill="FFFFFF"/>
            <w:tcMar>
              <w:left w:w="60" w:type="dxa"/>
              <w:right w:w="60" w:type="dxa"/>
            </w:tcMar>
            <w:vAlign w:val="center"/>
          </w:tcPr>
          <w:p w14:paraId="7F88BF50" w14:textId="77777777" w:rsidR="00807FFE" w:rsidRDefault="00807FFE">
            <w:pPr>
              <w:pStyle w:val="DMETW36571BIPFGCLOS"/>
              <w:jc w:val="center"/>
              <w:rPr>
                <w:rFonts w:ascii="Verdana" w:eastAsia="Verdana" w:hAnsi="Verdana" w:cs="Verdana"/>
                <w:noProof/>
                <w:color w:val="FFFFFF"/>
                <w:sz w:val="18"/>
              </w:rPr>
            </w:pPr>
          </w:p>
        </w:tc>
        <w:tc>
          <w:tcPr>
            <w:tcW w:w="1770" w:type="dxa"/>
            <w:vMerge/>
            <w:tcBorders>
              <w:top w:val="nil"/>
              <w:left w:val="nil"/>
              <w:bottom w:val="nil"/>
              <w:right w:val="nil"/>
              <w:tl2br w:val="nil"/>
              <w:tr2bl w:val="nil"/>
            </w:tcBorders>
            <w:shd w:val="solid" w:color="016794" w:fill="FFFFFF"/>
            <w:tcMar>
              <w:left w:w="60" w:type="dxa"/>
              <w:right w:w="60" w:type="dxa"/>
            </w:tcMar>
            <w:vAlign w:val="center"/>
          </w:tcPr>
          <w:p w14:paraId="3C206FB3" w14:textId="77777777" w:rsidR="00807FFE" w:rsidRDefault="00807FFE">
            <w:pPr>
              <w:pStyle w:val="DMETW36571BIPFGCLOS"/>
              <w:jc w:val="right"/>
              <w:rPr>
                <w:rFonts w:ascii="Verdana" w:eastAsia="Verdana" w:hAnsi="Verdana" w:cs="Verdana"/>
                <w:noProof/>
                <w:color w:val="FFFFFF"/>
                <w:sz w:val="18"/>
              </w:rPr>
            </w:pPr>
          </w:p>
        </w:tc>
        <w:tc>
          <w:tcPr>
            <w:tcW w:w="1770" w:type="dxa"/>
            <w:vMerge/>
            <w:tcBorders>
              <w:top w:val="nil"/>
              <w:left w:val="nil"/>
              <w:bottom w:val="nil"/>
              <w:right w:val="nil"/>
              <w:tl2br w:val="nil"/>
              <w:tr2bl w:val="nil"/>
            </w:tcBorders>
            <w:shd w:val="solid" w:color="016794" w:fill="FFFFFF"/>
            <w:tcMar>
              <w:left w:w="60" w:type="dxa"/>
              <w:right w:w="60" w:type="dxa"/>
            </w:tcMar>
            <w:vAlign w:val="center"/>
          </w:tcPr>
          <w:p w14:paraId="436A07CF" w14:textId="77777777" w:rsidR="00807FFE" w:rsidRDefault="00807FFE">
            <w:pPr>
              <w:pStyle w:val="DMETW36571BIPFGCLOS"/>
              <w:jc w:val="right"/>
              <w:rPr>
                <w:rFonts w:ascii="Verdana" w:eastAsia="Verdana" w:hAnsi="Verdana" w:cs="Verdana"/>
                <w:noProof/>
                <w:color w:val="FFFFFF"/>
                <w:sz w:val="18"/>
              </w:rPr>
            </w:pPr>
          </w:p>
        </w:tc>
        <w:tc>
          <w:tcPr>
            <w:tcW w:w="2040" w:type="dxa"/>
            <w:vMerge/>
            <w:tcBorders>
              <w:top w:val="nil"/>
              <w:left w:val="nil"/>
              <w:bottom w:val="nil"/>
              <w:right w:val="nil"/>
              <w:tl2br w:val="nil"/>
              <w:tr2bl w:val="nil"/>
            </w:tcBorders>
            <w:shd w:val="solid" w:color="016794" w:fill="FFFFFF"/>
            <w:tcMar>
              <w:left w:w="60" w:type="dxa"/>
              <w:right w:w="60" w:type="dxa"/>
            </w:tcMar>
            <w:vAlign w:val="center"/>
          </w:tcPr>
          <w:p w14:paraId="55BA6B9C" w14:textId="77777777" w:rsidR="00807FFE" w:rsidRDefault="00807FFE">
            <w:pPr>
              <w:pStyle w:val="DMETW36571BIPFGCLOS"/>
              <w:jc w:val="right"/>
              <w:rPr>
                <w:rFonts w:ascii="Verdana" w:eastAsia="Verdana" w:hAnsi="Verdana" w:cs="Verdana"/>
                <w:noProof/>
                <w:color w:val="FFFFFF"/>
                <w:sz w:val="18"/>
              </w:rPr>
            </w:pPr>
          </w:p>
        </w:tc>
      </w:tr>
      <w:tr w:rsidR="00807FFE" w14:paraId="2FADE6DF" w14:textId="77777777">
        <w:trPr>
          <w:trHeight w:hRule="exact" w:val="255"/>
        </w:trPr>
        <w:tc>
          <w:tcPr>
            <w:tcW w:w="4040" w:type="dxa"/>
            <w:tcBorders>
              <w:top w:val="nil"/>
              <w:left w:val="nil"/>
              <w:bottom w:val="nil"/>
              <w:right w:val="nil"/>
              <w:tl2br w:val="nil"/>
              <w:tr2bl w:val="nil"/>
            </w:tcBorders>
            <w:tcMar>
              <w:left w:w="60" w:type="dxa"/>
              <w:right w:w="60" w:type="dxa"/>
            </w:tcMar>
            <w:vAlign w:val="center"/>
          </w:tcPr>
          <w:p w14:paraId="20B7E06E" w14:textId="77777777" w:rsidR="00807FFE" w:rsidRDefault="00023E71">
            <w:pPr>
              <w:pStyle w:val="DMETW36571BIPFGCLOS"/>
              <w:rPr>
                <w:rFonts w:ascii="Verdana" w:eastAsia="Verdana" w:hAnsi="Verdana" w:cs="Verdana"/>
                <w:b/>
                <w:noProof/>
                <w:color w:val="000000"/>
                <w:sz w:val="18"/>
              </w:rPr>
            </w:pPr>
            <w:r>
              <w:rPr>
                <w:rFonts w:ascii="Verdana" w:eastAsia="Verdana" w:hAnsi="Verdana" w:cs="Verdana"/>
                <w:b/>
                <w:noProof/>
                <w:color w:val="000000"/>
                <w:sz w:val="18"/>
              </w:rPr>
              <w:t>Loss allowance at 01.01.2025</w:t>
            </w:r>
          </w:p>
        </w:tc>
        <w:tc>
          <w:tcPr>
            <w:tcW w:w="1906" w:type="dxa"/>
            <w:tcBorders>
              <w:top w:val="nil"/>
              <w:left w:val="nil"/>
              <w:bottom w:val="nil"/>
              <w:right w:val="nil"/>
              <w:tl2br w:val="nil"/>
              <w:tr2bl w:val="nil"/>
            </w:tcBorders>
            <w:tcMar>
              <w:left w:w="60" w:type="dxa"/>
              <w:right w:w="60" w:type="dxa"/>
            </w:tcMar>
            <w:vAlign w:val="center"/>
          </w:tcPr>
          <w:p w14:paraId="4929B234"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1 930</w:t>
            </w:r>
          </w:p>
        </w:tc>
        <w:tc>
          <w:tcPr>
            <w:tcW w:w="1906" w:type="dxa"/>
            <w:tcBorders>
              <w:top w:val="nil"/>
              <w:left w:val="nil"/>
              <w:bottom w:val="nil"/>
              <w:right w:val="nil"/>
              <w:tl2br w:val="nil"/>
              <w:tr2bl w:val="nil"/>
            </w:tcBorders>
            <w:tcMar>
              <w:left w:w="60" w:type="dxa"/>
              <w:right w:w="60" w:type="dxa"/>
            </w:tcMar>
            <w:vAlign w:val="center"/>
          </w:tcPr>
          <w:p w14:paraId="5FA6515A"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2 075</w:t>
            </w:r>
          </w:p>
        </w:tc>
        <w:tc>
          <w:tcPr>
            <w:tcW w:w="1906" w:type="dxa"/>
            <w:tcBorders>
              <w:top w:val="nil"/>
              <w:left w:val="nil"/>
              <w:bottom w:val="nil"/>
              <w:right w:val="nil"/>
              <w:tl2br w:val="nil"/>
              <w:tr2bl w:val="nil"/>
            </w:tcBorders>
            <w:tcMar>
              <w:left w:w="60" w:type="dxa"/>
              <w:right w:w="60" w:type="dxa"/>
            </w:tcMar>
            <w:vAlign w:val="center"/>
          </w:tcPr>
          <w:p w14:paraId="0A8BC915" w14:textId="77777777" w:rsidR="00807FFE" w:rsidRDefault="00023E71">
            <w:pPr>
              <w:pStyle w:val="DMETW36571BIPFGCLOS"/>
              <w:jc w:val="right"/>
              <w:rPr>
                <w:rFonts w:ascii="Verdana" w:eastAsia="Verdana" w:hAnsi="Verdana" w:cs="Verdana"/>
                <w:i/>
                <w:noProof/>
                <w:color w:val="000000"/>
                <w:sz w:val="18"/>
                <w:lang w:bidi="en-GB"/>
              </w:rPr>
            </w:pPr>
            <w:r>
              <w:rPr>
                <w:rFonts w:ascii="Verdana" w:eastAsia="Verdana" w:hAnsi="Verdana" w:cs="Verdana"/>
                <w:i/>
                <w:noProof/>
                <w:color w:val="000000"/>
                <w:sz w:val="18"/>
              </w:rPr>
              <w:t>4 005</w:t>
            </w:r>
          </w:p>
        </w:tc>
      </w:tr>
      <w:tr w:rsidR="00807FFE" w14:paraId="1884FC0F" w14:textId="77777777">
        <w:trPr>
          <w:trHeight w:hRule="exact" w:val="255"/>
        </w:trPr>
        <w:tc>
          <w:tcPr>
            <w:tcW w:w="4040" w:type="dxa"/>
            <w:tcBorders>
              <w:top w:val="nil"/>
              <w:left w:val="nil"/>
              <w:bottom w:val="nil"/>
              <w:right w:val="nil"/>
              <w:tl2br w:val="nil"/>
              <w:tr2bl w:val="nil"/>
            </w:tcBorders>
            <w:tcMar>
              <w:left w:w="60" w:type="dxa"/>
              <w:right w:w="60" w:type="dxa"/>
            </w:tcMar>
            <w:vAlign w:val="center"/>
          </w:tcPr>
          <w:p w14:paraId="3D7ED45A" w14:textId="77777777" w:rsidR="00807FFE" w:rsidRDefault="00023E71">
            <w:pPr>
              <w:pStyle w:val="DMETW36571BIPFGCLOS"/>
              <w:rPr>
                <w:rFonts w:ascii="Verdana" w:eastAsia="Verdana" w:hAnsi="Verdana" w:cs="Verdana"/>
                <w:i/>
                <w:noProof/>
                <w:color w:val="000000"/>
                <w:sz w:val="18"/>
              </w:rPr>
            </w:pPr>
            <w:r>
              <w:rPr>
                <w:rFonts w:ascii="Verdana" w:eastAsia="Verdana" w:hAnsi="Verdana" w:cs="Verdana"/>
                <w:i/>
                <w:noProof/>
                <w:color w:val="000000"/>
                <w:sz w:val="18"/>
              </w:rPr>
              <w:t>Transfer to Stage 2</w:t>
            </w:r>
          </w:p>
        </w:tc>
        <w:tc>
          <w:tcPr>
            <w:tcW w:w="1906" w:type="dxa"/>
            <w:tcBorders>
              <w:top w:val="nil"/>
              <w:left w:val="nil"/>
              <w:bottom w:val="nil"/>
              <w:right w:val="nil"/>
              <w:tl2br w:val="nil"/>
              <w:tr2bl w:val="nil"/>
            </w:tcBorders>
            <w:tcMar>
              <w:left w:w="60" w:type="dxa"/>
              <w:right w:w="60" w:type="dxa"/>
            </w:tcMar>
            <w:vAlign w:val="center"/>
          </w:tcPr>
          <w:p w14:paraId="45A54448"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(48)</w:t>
            </w:r>
          </w:p>
        </w:tc>
        <w:tc>
          <w:tcPr>
            <w:tcW w:w="1906" w:type="dxa"/>
            <w:tcBorders>
              <w:top w:val="nil"/>
              <w:left w:val="nil"/>
              <w:bottom w:val="nil"/>
              <w:right w:val="nil"/>
              <w:tl2br w:val="nil"/>
              <w:tr2bl w:val="nil"/>
            </w:tcBorders>
            <w:tcMar>
              <w:left w:w="60" w:type="dxa"/>
              <w:right w:w="60" w:type="dxa"/>
            </w:tcMar>
            <w:vAlign w:val="center"/>
          </w:tcPr>
          <w:p w14:paraId="703951D9"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48</w:t>
            </w:r>
          </w:p>
        </w:tc>
        <w:tc>
          <w:tcPr>
            <w:tcW w:w="1906" w:type="dxa"/>
            <w:tcBorders>
              <w:top w:val="nil"/>
              <w:left w:val="nil"/>
              <w:bottom w:val="nil"/>
              <w:right w:val="nil"/>
              <w:tl2br w:val="nil"/>
              <w:tr2bl w:val="nil"/>
            </w:tcBorders>
            <w:tcMar>
              <w:left w:w="60" w:type="dxa"/>
              <w:right w:w="60" w:type="dxa"/>
            </w:tcMar>
            <w:vAlign w:val="center"/>
          </w:tcPr>
          <w:p w14:paraId="6205EDE9" w14:textId="77777777" w:rsidR="00807FFE" w:rsidRDefault="00023E71">
            <w:pPr>
              <w:pStyle w:val="DMETW36571BIPFGCLO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0C46B2A2" w14:textId="77777777">
        <w:trPr>
          <w:trHeight w:hRule="exact" w:val="255"/>
        </w:trPr>
        <w:tc>
          <w:tcPr>
            <w:tcW w:w="4040" w:type="dxa"/>
            <w:tcBorders>
              <w:top w:val="nil"/>
              <w:left w:val="nil"/>
              <w:bottom w:val="nil"/>
              <w:right w:val="nil"/>
              <w:tl2br w:val="nil"/>
              <w:tr2bl w:val="nil"/>
            </w:tcBorders>
            <w:tcMar>
              <w:left w:w="60" w:type="dxa"/>
              <w:right w:w="60" w:type="dxa"/>
            </w:tcMar>
            <w:vAlign w:val="center"/>
          </w:tcPr>
          <w:p w14:paraId="40C67AF4" w14:textId="77777777" w:rsidR="00807FFE" w:rsidRDefault="00023E71">
            <w:pPr>
              <w:pStyle w:val="DMETW36571BIPFGCLOS"/>
              <w:rPr>
                <w:rFonts w:ascii="Verdana" w:eastAsia="Verdana" w:hAnsi="Verdana" w:cs="Verdana"/>
                <w:i/>
                <w:noProof/>
                <w:color w:val="000000"/>
                <w:sz w:val="18"/>
              </w:rPr>
            </w:pPr>
            <w:r>
              <w:rPr>
                <w:rFonts w:ascii="Verdana" w:eastAsia="Verdana" w:hAnsi="Verdana" w:cs="Verdana"/>
                <w:i/>
                <w:noProof/>
                <w:color w:val="000000"/>
                <w:sz w:val="18"/>
              </w:rPr>
              <w:t>Transfer to Stage 1</w:t>
            </w:r>
          </w:p>
        </w:tc>
        <w:tc>
          <w:tcPr>
            <w:tcW w:w="1906" w:type="dxa"/>
            <w:tcBorders>
              <w:top w:val="nil"/>
              <w:left w:val="nil"/>
              <w:bottom w:val="nil"/>
              <w:right w:val="nil"/>
              <w:tl2br w:val="nil"/>
              <w:tr2bl w:val="nil"/>
            </w:tcBorders>
            <w:tcMar>
              <w:left w:w="60" w:type="dxa"/>
              <w:right w:w="60" w:type="dxa"/>
            </w:tcMar>
            <w:vAlign w:val="center"/>
          </w:tcPr>
          <w:p w14:paraId="1967C2A0"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28</w:t>
            </w:r>
          </w:p>
        </w:tc>
        <w:tc>
          <w:tcPr>
            <w:tcW w:w="1906" w:type="dxa"/>
            <w:tcBorders>
              <w:top w:val="nil"/>
              <w:left w:val="nil"/>
              <w:bottom w:val="nil"/>
              <w:right w:val="nil"/>
              <w:tl2br w:val="nil"/>
              <w:tr2bl w:val="nil"/>
            </w:tcBorders>
            <w:tcMar>
              <w:left w:w="60" w:type="dxa"/>
              <w:right w:w="60" w:type="dxa"/>
            </w:tcMar>
            <w:vAlign w:val="center"/>
          </w:tcPr>
          <w:p w14:paraId="3CA241C0"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(28)</w:t>
            </w:r>
          </w:p>
        </w:tc>
        <w:tc>
          <w:tcPr>
            <w:tcW w:w="1906" w:type="dxa"/>
            <w:tcBorders>
              <w:top w:val="nil"/>
              <w:left w:val="nil"/>
              <w:bottom w:val="nil"/>
              <w:right w:val="nil"/>
              <w:tl2br w:val="nil"/>
              <w:tr2bl w:val="nil"/>
            </w:tcBorders>
            <w:tcMar>
              <w:left w:w="60" w:type="dxa"/>
              <w:right w:w="60" w:type="dxa"/>
            </w:tcMar>
            <w:vAlign w:val="center"/>
          </w:tcPr>
          <w:p w14:paraId="37C1437C" w14:textId="77777777" w:rsidR="00807FFE" w:rsidRDefault="00023E71">
            <w:pPr>
              <w:pStyle w:val="DMETW36571BIPFGCLO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807FFE" w14:paraId="28D4B134" w14:textId="77777777">
        <w:trPr>
          <w:trHeight w:hRule="exact" w:val="255"/>
        </w:trPr>
        <w:tc>
          <w:tcPr>
            <w:tcW w:w="4040" w:type="dxa"/>
            <w:tcBorders>
              <w:top w:val="nil"/>
              <w:left w:val="nil"/>
              <w:bottom w:val="nil"/>
              <w:right w:val="nil"/>
              <w:tl2br w:val="nil"/>
              <w:tr2bl w:val="nil"/>
            </w:tcBorders>
            <w:tcMar>
              <w:left w:w="60" w:type="dxa"/>
              <w:right w:w="60" w:type="dxa"/>
            </w:tcMar>
            <w:vAlign w:val="center"/>
          </w:tcPr>
          <w:p w14:paraId="0F3FA860" w14:textId="77777777" w:rsidR="00807FFE" w:rsidRDefault="00023E71">
            <w:pPr>
              <w:pStyle w:val="DMETW36571BIPFGCLOS"/>
              <w:rPr>
                <w:rFonts w:ascii="Verdana" w:eastAsia="Verdana" w:hAnsi="Verdana" w:cs="Verdana"/>
                <w:i/>
                <w:noProof/>
                <w:color w:val="000000"/>
                <w:sz w:val="18"/>
              </w:rPr>
            </w:pPr>
            <w:r>
              <w:rPr>
                <w:rFonts w:ascii="Verdana" w:eastAsia="Verdana" w:hAnsi="Verdana" w:cs="Verdana"/>
                <w:i/>
                <w:noProof/>
                <w:color w:val="000000"/>
                <w:sz w:val="18"/>
              </w:rPr>
              <w:t>Additions</w:t>
            </w:r>
          </w:p>
        </w:tc>
        <w:tc>
          <w:tcPr>
            <w:tcW w:w="1906" w:type="dxa"/>
            <w:tcBorders>
              <w:top w:val="nil"/>
              <w:left w:val="nil"/>
              <w:bottom w:val="nil"/>
              <w:right w:val="nil"/>
              <w:tl2br w:val="nil"/>
              <w:tr2bl w:val="nil"/>
            </w:tcBorders>
            <w:tcMar>
              <w:left w:w="60" w:type="dxa"/>
              <w:right w:w="60" w:type="dxa"/>
            </w:tcMar>
            <w:vAlign w:val="center"/>
          </w:tcPr>
          <w:p w14:paraId="182B3535"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377</w:t>
            </w:r>
          </w:p>
        </w:tc>
        <w:tc>
          <w:tcPr>
            <w:tcW w:w="1906" w:type="dxa"/>
            <w:tcBorders>
              <w:top w:val="nil"/>
              <w:left w:val="nil"/>
              <w:bottom w:val="nil"/>
              <w:right w:val="nil"/>
              <w:tl2br w:val="nil"/>
              <w:tr2bl w:val="nil"/>
            </w:tcBorders>
            <w:tcMar>
              <w:left w:w="60" w:type="dxa"/>
              <w:right w:w="60" w:type="dxa"/>
            </w:tcMar>
            <w:vAlign w:val="center"/>
          </w:tcPr>
          <w:p w14:paraId="4CA4ECEC"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1 257</w:t>
            </w:r>
          </w:p>
        </w:tc>
        <w:tc>
          <w:tcPr>
            <w:tcW w:w="1906" w:type="dxa"/>
            <w:tcBorders>
              <w:top w:val="nil"/>
              <w:left w:val="nil"/>
              <w:bottom w:val="nil"/>
              <w:right w:val="nil"/>
              <w:tl2br w:val="nil"/>
              <w:tr2bl w:val="nil"/>
            </w:tcBorders>
            <w:tcMar>
              <w:left w:w="60" w:type="dxa"/>
              <w:right w:w="60" w:type="dxa"/>
            </w:tcMar>
            <w:vAlign w:val="center"/>
          </w:tcPr>
          <w:p w14:paraId="6E21FC30" w14:textId="77777777" w:rsidR="00807FFE" w:rsidRDefault="00023E71">
            <w:pPr>
              <w:pStyle w:val="DMETW36571BIPFGCLOS"/>
              <w:jc w:val="right"/>
              <w:rPr>
                <w:rFonts w:ascii="Verdana" w:eastAsia="Verdana" w:hAnsi="Verdana" w:cs="Verdana"/>
                <w:i/>
                <w:noProof/>
                <w:color w:val="000000"/>
                <w:sz w:val="18"/>
                <w:lang w:bidi="en-GB"/>
              </w:rPr>
            </w:pPr>
            <w:r>
              <w:rPr>
                <w:rFonts w:ascii="Verdana" w:eastAsia="Verdana" w:hAnsi="Verdana" w:cs="Verdana"/>
                <w:i/>
                <w:noProof/>
                <w:color w:val="000000"/>
                <w:sz w:val="18"/>
              </w:rPr>
              <w:t>1 634</w:t>
            </w:r>
          </w:p>
        </w:tc>
      </w:tr>
      <w:tr w:rsidR="00807FFE" w14:paraId="06CFE309" w14:textId="77777777">
        <w:trPr>
          <w:trHeight w:hRule="exact" w:val="255"/>
        </w:trPr>
        <w:tc>
          <w:tcPr>
            <w:tcW w:w="4040" w:type="dxa"/>
            <w:tcBorders>
              <w:top w:val="nil"/>
              <w:left w:val="nil"/>
              <w:bottom w:val="nil"/>
              <w:right w:val="nil"/>
              <w:tl2br w:val="nil"/>
              <w:tr2bl w:val="nil"/>
            </w:tcBorders>
            <w:tcMar>
              <w:left w:w="60" w:type="dxa"/>
              <w:right w:w="60" w:type="dxa"/>
            </w:tcMar>
            <w:vAlign w:val="center"/>
          </w:tcPr>
          <w:p w14:paraId="029EE3CC" w14:textId="77777777" w:rsidR="00807FFE" w:rsidRDefault="00023E71">
            <w:pPr>
              <w:pStyle w:val="DMETW36571BIPFGCLOS"/>
              <w:rPr>
                <w:rFonts w:ascii="Verdana" w:eastAsia="Verdana" w:hAnsi="Verdana" w:cs="Verdana"/>
                <w:i/>
                <w:noProof/>
                <w:color w:val="000000"/>
                <w:sz w:val="18"/>
              </w:rPr>
            </w:pPr>
            <w:r>
              <w:rPr>
                <w:rFonts w:ascii="Verdana" w:eastAsia="Verdana" w:hAnsi="Verdana" w:cs="Verdana"/>
                <w:i/>
                <w:noProof/>
                <w:color w:val="000000"/>
                <w:sz w:val="18"/>
              </w:rPr>
              <w:t>Release of guarantees</w:t>
            </w:r>
          </w:p>
        </w:tc>
        <w:tc>
          <w:tcPr>
            <w:tcW w:w="1906" w:type="dxa"/>
            <w:tcBorders>
              <w:top w:val="nil"/>
              <w:left w:val="nil"/>
              <w:bottom w:val="nil"/>
              <w:right w:val="nil"/>
              <w:tl2br w:val="nil"/>
              <w:tr2bl w:val="nil"/>
            </w:tcBorders>
            <w:tcMar>
              <w:left w:w="60" w:type="dxa"/>
              <w:right w:w="60" w:type="dxa"/>
            </w:tcMar>
            <w:vAlign w:val="center"/>
          </w:tcPr>
          <w:p w14:paraId="2495BCA9"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(340)</w:t>
            </w:r>
          </w:p>
        </w:tc>
        <w:tc>
          <w:tcPr>
            <w:tcW w:w="1906" w:type="dxa"/>
            <w:tcBorders>
              <w:top w:val="nil"/>
              <w:left w:val="nil"/>
              <w:bottom w:val="nil"/>
              <w:right w:val="nil"/>
              <w:tl2br w:val="nil"/>
              <w:tr2bl w:val="nil"/>
            </w:tcBorders>
            <w:tcMar>
              <w:left w:w="60" w:type="dxa"/>
              <w:right w:w="60" w:type="dxa"/>
            </w:tcMar>
            <w:vAlign w:val="center"/>
          </w:tcPr>
          <w:p w14:paraId="1F73780A"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906" w:type="dxa"/>
            <w:tcBorders>
              <w:top w:val="nil"/>
              <w:left w:val="nil"/>
              <w:bottom w:val="nil"/>
              <w:right w:val="nil"/>
              <w:tl2br w:val="nil"/>
              <w:tr2bl w:val="nil"/>
            </w:tcBorders>
            <w:tcMar>
              <w:left w:w="60" w:type="dxa"/>
              <w:right w:w="60" w:type="dxa"/>
            </w:tcMar>
            <w:vAlign w:val="center"/>
          </w:tcPr>
          <w:p w14:paraId="2BD0DD8B" w14:textId="77777777" w:rsidR="00807FFE" w:rsidRDefault="00023E71">
            <w:pPr>
              <w:pStyle w:val="DMETW36571BIPFGCLO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(342)</w:t>
            </w:r>
          </w:p>
        </w:tc>
      </w:tr>
      <w:tr w:rsidR="00807FFE" w14:paraId="104717C3" w14:textId="77777777">
        <w:trPr>
          <w:trHeight w:hRule="exact" w:val="255"/>
        </w:trPr>
        <w:tc>
          <w:tcPr>
            <w:tcW w:w="4040" w:type="dxa"/>
            <w:tcBorders>
              <w:top w:val="nil"/>
              <w:left w:val="nil"/>
              <w:bottom w:val="nil"/>
              <w:right w:val="nil"/>
              <w:tl2br w:val="nil"/>
              <w:tr2bl w:val="nil"/>
            </w:tcBorders>
            <w:tcMar>
              <w:left w:w="60" w:type="dxa"/>
              <w:right w:w="60" w:type="dxa"/>
            </w:tcMar>
            <w:vAlign w:val="center"/>
          </w:tcPr>
          <w:p w14:paraId="704572F5" w14:textId="77777777" w:rsidR="00807FFE" w:rsidRDefault="00023E71">
            <w:pPr>
              <w:pStyle w:val="DMETW36571BIPFGCLOS"/>
              <w:rPr>
                <w:rFonts w:ascii="Verdana" w:eastAsia="Verdana" w:hAnsi="Verdana" w:cs="Verdana"/>
                <w:i/>
                <w:noProof/>
                <w:color w:val="000000"/>
                <w:sz w:val="18"/>
              </w:rPr>
            </w:pPr>
            <w:r>
              <w:rPr>
                <w:rFonts w:ascii="Verdana" w:eastAsia="Verdana" w:hAnsi="Verdana" w:cs="Verdana"/>
                <w:i/>
                <w:noProof/>
                <w:color w:val="000000"/>
                <w:sz w:val="18"/>
              </w:rPr>
              <w:t>Remeasurement</w:t>
            </w:r>
          </w:p>
        </w:tc>
        <w:tc>
          <w:tcPr>
            <w:tcW w:w="1906" w:type="dxa"/>
            <w:tcBorders>
              <w:top w:val="nil"/>
              <w:left w:val="nil"/>
              <w:bottom w:val="nil"/>
              <w:right w:val="nil"/>
              <w:tl2br w:val="nil"/>
              <w:tr2bl w:val="nil"/>
            </w:tcBorders>
            <w:tcMar>
              <w:left w:w="60" w:type="dxa"/>
              <w:right w:w="60" w:type="dxa"/>
            </w:tcMar>
            <w:vAlign w:val="center"/>
          </w:tcPr>
          <w:p w14:paraId="33582507"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397</w:t>
            </w:r>
          </w:p>
        </w:tc>
        <w:tc>
          <w:tcPr>
            <w:tcW w:w="1906" w:type="dxa"/>
            <w:tcBorders>
              <w:top w:val="nil"/>
              <w:left w:val="nil"/>
              <w:bottom w:val="nil"/>
              <w:right w:val="nil"/>
              <w:tl2br w:val="nil"/>
              <w:tr2bl w:val="nil"/>
            </w:tcBorders>
            <w:tcMar>
              <w:left w:w="60" w:type="dxa"/>
              <w:right w:w="60" w:type="dxa"/>
            </w:tcMar>
            <w:vAlign w:val="center"/>
          </w:tcPr>
          <w:p w14:paraId="5791597B" w14:textId="77777777" w:rsidR="00807FFE" w:rsidRDefault="00023E71">
            <w:pPr>
              <w:pStyle w:val="DMETW36571BIPFGCLOS"/>
              <w:jc w:val="right"/>
              <w:rPr>
                <w:rFonts w:ascii="Verdana" w:eastAsia="Verdana" w:hAnsi="Verdana" w:cs="Verdana"/>
                <w:i/>
                <w:noProof/>
                <w:color w:val="000000"/>
                <w:sz w:val="18"/>
              </w:rPr>
            </w:pPr>
            <w:r>
              <w:rPr>
                <w:rFonts w:ascii="Verdana" w:eastAsia="Verdana" w:hAnsi="Verdana" w:cs="Verdana"/>
                <w:i/>
                <w:noProof/>
                <w:color w:val="000000"/>
                <w:sz w:val="18"/>
              </w:rPr>
              <w:t xml:space="preserve"> 107</w:t>
            </w:r>
          </w:p>
        </w:tc>
        <w:tc>
          <w:tcPr>
            <w:tcW w:w="1906" w:type="dxa"/>
            <w:tcBorders>
              <w:top w:val="nil"/>
              <w:left w:val="nil"/>
              <w:bottom w:val="nil"/>
              <w:right w:val="nil"/>
              <w:tl2br w:val="nil"/>
              <w:tr2bl w:val="nil"/>
            </w:tcBorders>
            <w:tcMar>
              <w:left w:w="60" w:type="dxa"/>
              <w:right w:w="60" w:type="dxa"/>
            </w:tcMar>
            <w:vAlign w:val="center"/>
          </w:tcPr>
          <w:p w14:paraId="7E2298A6" w14:textId="77777777" w:rsidR="00807FFE" w:rsidRDefault="00023E71">
            <w:pPr>
              <w:pStyle w:val="DMETW36571BIPFGCLO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504</w:t>
            </w:r>
          </w:p>
        </w:tc>
      </w:tr>
      <w:tr w:rsidR="00807FFE" w14:paraId="022B57AA" w14:textId="77777777">
        <w:trPr>
          <w:trHeight w:hRule="exact" w:val="255"/>
        </w:trPr>
        <w:tc>
          <w:tcPr>
            <w:tcW w:w="4040"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12674645" w14:textId="77777777" w:rsidR="00807FFE" w:rsidRDefault="00023E71">
            <w:pPr>
              <w:pStyle w:val="DMETW36571BIPFGCLOS"/>
              <w:rPr>
                <w:rFonts w:ascii="Verdana" w:eastAsia="Verdana" w:hAnsi="Verdana" w:cs="Verdana"/>
                <w:b/>
                <w:noProof/>
                <w:color w:val="000000"/>
                <w:sz w:val="18"/>
              </w:rPr>
            </w:pPr>
            <w:r>
              <w:rPr>
                <w:rFonts w:ascii="Verdana" w:eastAsia="Verdana" w:hAnsi="Verdana" w:cs="Verdana"/>
                <w:b/>
                <w:noProof/>
                <w:color w:val="000000"/>
                <w:sz w:val="18"/>
              </w:rPr>
              <w:t>Loss allowance at 31.12.2025</w:t>
            </w:r>
          </w:p>
        </w:tc>
        <w:tc>
          <w:tcPr>
            <w:tcW w:w="1906" w:type="dxa"/>
            <w:tcBorders>
              <w:top w:val="nil"/>
              <w:left w:val="nil"/>
              <w:bottom w:val="single" w:sz="4" w:space="0" w:color="016794"/>
              <w:right w:val="nil"/>
              <w:tl2br w:val="nil"/>
              <w:tr2bl w:val="nil"/>
            </w:tcBorders>
            <w:tcMar>
              <w:left w:w="60" w:type="dxa"/>
              <w:right w:w="60" w:type="dxa"/>
            </w:tcMar>
            <w:vAlign w:val="center"/>
          </w:tcPr>
          <w:p w14:paraId="1EFF81E9" w14:textId="77777777" w:rsidR="00807FFE" w:rsidRDefault="00023E71">
            <w:pPr>
              <w:pStyle w:val="DMETW36571BIPFGCLOS"/>
              <w:jc w:val="right"/>
              <w:rPr>
                <w:rFonts w:ascii="Verdana" w:eastAsia="Verdana" w:hAnsi="Verdana" w:cs="Verdana"/>
                <w:b/>
                <w:noProof/>
                <w:color w:val="000000"/>
                <w:sz w:val="18"/>
              </w:rPr>
            </w:pPr>
            <w:r>
              <w:rPr>
                <w:rFonts w:ascii="Verdana" w:eastAsia="Verdana" w:hAnsi="Verdana" w:cs="Verdana"/>
                <w:b/>
                <w:noProof/>
                <w:color w:val="000000"/>
                <w:sz w:val="18"/>
              </w:rPr>
              <w:t>2 345</w:t>
            </w:r>
          </w:p>
        </w:tc>
        <w:tc>
          <w:tcPr>
            <w:tcW w:w="1906" w:type="dxa"/>
            <w:tcBorders>
              <w:top w:val="nil"/>
              <w:left w:val="nil"/>
              <w:bottom w:val="single" w:sz="4" w:space="0" w:color="016794"/>
              <w:right w:val="nil"/>
              <w:tl2br w:val="nil"/>
              <w:tr2bl w:val="nil"/>
            </w:tcBorders>
            <w:tcMar>
              <w:left w:w="60" w:type="dxa"/>
              <w:right w:w="60" w:type="dxa"/>
            </w:tcMar>
            <w:vAlign w:val="center"/>
          </w:tcPr>
          <w:p w14:paraId="4B278E00" w14:textId="77777777" w:rsidR="00807FFE" w:rsidRDefault="00023E71">
            <w:pPr>
              <w:pStyle w:val="DMETW36571BIPFGCLOS"/>
              <w:jc w:val="right"/>
              <w:rPr>
                <w:rFonts w:ascii="Verdana" w:eastAsia="Verdana" w:hAnsi="Verdana" w:cs="Verdana"/>
                <w:b/>
                <w:noProof/>
                <w:color w:val="000000"/>
                <w:sz w:val="18"/>
              </w:rPr>
            </w:pPr>
            <w:r>
              <w:rPr>
                <w:rFonts w:ascii="Verdana" w:eastAsia="Verdana" w:hAnsi="Verdana" w:cs="Verdana"/>
                <w:b/>
                <w:noProof/>
                <w:color w:val="000000"/>
                <w:sz w:val="18"/>
              </w:rPr>
              <w:t>3 456</w:t>
            </w:r>
          </w:p>
        </w:tc>
        <w:tc>
          <w:tcPr>
            <w:tcW w:w="1906" w:type="dxa"/>
            <w:tcBorders>
              <w:top w:val="nil"/>
              <w:left w:val="nil"/>
              <w:bottom w:val="single" w:sz="4" w:space="0" w:color="016794"/>
              <w:right w:val="nil"/>
              <w:tl2br w:val="nil"/>
              <w:tr2bl w:val="nil"/>
            </w:tcBorders>
            <w:tcMar>
              <w:left w:w="60" w:type="dxa"/>
              <w:right w:w="60" w:type="dxa"/>
            </w:tcMar>
            <w:vAlign w:val="center"/>
          </w:tcPr>
          <w:p w14:paraId="477F8558" w14:textId="77777777" w:rsidR="00807FFE" w:rsidRDefault="00023E71">
            <w:pPr>
              <w:pStyle w:val="DMETW36571BIPFGCLOS"/>
              <w:jc w:val="right"/>
              <w:rPr>
                <w:rFonts w:ascii="Verdana" w:eastAsia="Verdana" w:hAnsi="Verdana" w:cs="Verdana"/>
                <w:b/>
                <w:noProof/>
                <w:color w:val="000000"/>
                <w:sz w:val="18"/>
                <w:lang w:bidi="en-GB"/>
              </w:rPr>
            </w:pPr>
            <w:r>
              <w:rPr>
                <w:rFonts w:ascii="Verdana" w:eastAsia="Verdana" w:hAnsi="Verdana" w:cs="Verdana"/>
                <w:b/>
                <w:noProof/>
                <w:color w:val="000000"/>
                <w:sz w:val="18"/>
              </w:rPr>
              <w:t>5 800</w:t>
            </w:r>
          </w:p>
        </w:tc>
      </w:tr>
      <w:tr w:rsidR="00807FFE" w14:paraId="5B8B0D01" w14:textId="77777777">
        <w:trPr>
          <w:trHeight w:hRule="exact" w:val="460"/>
        </w:trPr>
        <w:tc>
          <w:tcPr>
            <w:tcW w:w="4040" w:type="dxa"/>
            <w:tcBorders>
              <w:top w:val="single" w:sz="4" w:space="0" w:color="016794"/>
              <w:left w:val="nil"/>
              <w:bottom w:val="single" w:sz="4" w:space="0" w:color="016794"/>
              <w:right w:val="nil"/>
              <w:tl2br w:val="nil"/>
              <w:tr2bl w:val="nil"/>
            </w:tcBorders>
            <w:tcMar>
              <w:left w:w="60" w:type="dxa"/>
              <w:right w:w="60" w:type="dxa"/>
            </w:tcMar>
            <w:vAlign w:val="center"/>
          </w:tcPr>
          <w:p w14:paraId="53CECE4D" w14:textId="77777777" w:rsidR="00807FFE" w:rsidRDefault="00023E71">
            <w:pPr>
              <w:pStyle w:val="DMETW36571BIPFGCLOS"/>
              <w:rPr>
                <w:rFonts w:ascii="Verdana" w:eastAsia="Verdana" w:hAnsi="Verdana" w:cs="Verdana"/>
                <w:b/>
                <w:noProof/>
                <w:color w:val="000000"/>
                <w:sz w:val="18"/>
              </w:rPr>
            </w:pPr>
            <w:r>
              <w:rPr>
                <w:rFonts w:ascii="Verdana" w:eastAsia="Verdana" w:hAnsi="Verdana" w:cs="Verdana"/>
                <w:b/>
                <w:noProof/>
                <w:color w:val="000000"/>
                <w:sz w:val="18"/>
              </w:rPr>
              <w:t>Financial guarantee liability carrying amount at 31.12.2025</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14:paraId="3FCD4CFF" w14:textId="77777777" w:rsidR="00807FFE" w:rsidRDefault="00023E71">
            <w:pPr>
              <w:pStyle w:val="DMETW36571BIPFGCLOS"/>
              <w:jc w:val="right"/>
              <w:rPr>
                <w:rFonts w:ascii="Verdana" w:eastAsia="Verdana" w:hAnsi="Verdana" w:cs="Verdana"/>
                <w:b/>
                <w:noProof/>
                <w:color w:val="000000"/>
                <w:sz w:val="18"/>
              </w:rPr>
            </w:pPr>
            <w:r>
              <w:rPr>
                <w:rFonts w:ascii="Verdana" w:eastAsia="Verdana" w:hAnsi="Verdana" w:cs="Verdana"/>
                <w:b/>
                <w:noProof/>
                <w:color w:val="000000"/>
                <w:sz w:val="18"/>
              </w:rPr>
              <w:t>4 061</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14:paraId="420FA821" w14:textId="77777777" w:rsidR="00807FFE" w:rsidRDefault="00023E71">
            <w:pPr>
              <w:pStyle w:val="DMETW36571BIPFGCLOS"/>
              <w:jc w:val="right"/>
              <w:rPr>
                <w:rFonts w:ascii="Verdana" w:eastAsia="Verdana" w:hAnsi="Verdana" w:cs="Verdana"/>
                <w:b/>
                <w:noProof/>
                <w:color w:val="000000"/>
                <w:sz w:val="18"/>
              </w:rPr>
            </w:pPr>
            <w:r>
              <w:rPr>
                <w:rFonts w:ascii="Verdana" w:eastAsia="Verdana" w:hAnsi="Verdana" w:cs="Verdana"/>
                <w:b/>
                <w:noProof/>
                <w:color w:val="000000"/>
                <w:sz w:val="18"/>
              </w:rPr>
              <w:t>3 668</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14:paraId="6DB1DD7E" w14:textId="77777777" w:rsidR="00807FFE" w:rsidRDefault="00023E71">
            <w:pPr>
              <w:pStyle w:val="DMETW36571BIPFGCLOS"/>
              <w:jc w:val="right"/>
              <w:rPr>
                <w:rFonts w:ascii="Verdana" w:eastAsia="Verdana" w:hAnsi="Verdana" w:cs="Verdana"/>
                <w:b/>
                <w:noProof/>
                <w:color w:val="000000"/>
                <w:sz w:val="18"/>
              </w:rPr>
            </w:pPr>
            <w:r>
              <w:rPr>
                <w:rFonts w:ascii="Verdana" w:eastAsia="Verdana" w:hAnsi="Verdana" w:cs="Verdana"/>
                <w:b/>
                <w:noProof/>
                <w:color w:val="000000"/>
                <w:sz w:val="18"/>
              </w:rPr>
              <w:t>7 729</w:t>
            </w:r>
          </w:p>
        </w:tc>
      </w:tr>
    </w:tbl>
    <w:p w14:paraId="007EBE4D" w14:textId="77777777" w:rsidR="00950DAE" w:rsidRPr="00107989" w:rsidRDefault="00023E71" w:rsidP="00172034">
      <w:pPr>
        <w:pStyle w:val="Textstand-alone"/>
        <w:numPr>
          <w:ilvl w:val="1"/>
          <w:numId w:val="24"/>
        </w:numPr>
        <w:tabs>
          <w:tab w:val="left" w:pos="85"/>
        </w:tabs>
        <w:spacing w:before="60"/>
        <w:ind w:left="85" w:hanging="85"/>
        <w:rPr>
          <w:i/>
          <w:sz w:val="14"/>
          <w:szCs w:val="14"/>
        </w:rPr>
      </w:pPr>
      <w:r w:rsidRPr="00107989">
        <w:rPr>
          <w:i/>
          <w:sz w:val="14"/>
          <w:szCs w:val="14"/>
        </w:rPr>
        <w:t>Transfers from and to stage 1</w:t>
      </w:r>
      <w:r>
        <w:rPr>
          <w:i/>
          <w:sz w:val="14"/>
          <w:szCs w:val="14"/>
        </w:rPr>
        <w:t xml:space="preserve"> </w:t>
      </w:r>
      <w:r w:rsidRPr="00107989">
        <w:rPr>
          <w:i/>
          <w:sz w:val="14"/>
          <w:szCs w:val="14"/>
        </w:rPr>
        <w:t>/</w:t>
      </w:r>
      <w:r>
        <w:rPr>
          <w:i/>
          <w:sz w:val="14"/>
          <w:szCs w:val="14"/>
        </w:rPr>
        <w:t xml:space="preserve"> </w:t>
      </w:r>
      <w:r w:rsidRPr="00107989">
        <w:rPr>
          <w:i/>
          <w:sz w:val="14"/>
          <w:szCs w:val="14"/>
        </w:rPr>
        <w:t>stage</w:t>
      </w:r>
      <w:r>
        <w:rPr>
          <w:i/>
          <w:sz w:val="14"/>
          <w:szCs w:val="14"/>
        </w:rPr>
        <w:t xml:space="preserve"> </w:t>
      </w:r>
      <w:r w:rsidRPr="00107989">
        <w:rPr>
          <w:i/>
          <w:sz w:val="14"/>
          <w:szCs w:val="14"/>
        </w:rPr>
        <w:t xml:space="preserve">2 are measured at the </w:t>
      </w:r>
      <w:r w:rsidR="00882263" w:rsidRPr="00107989">
        <w:rPr>
          <w:i/>
          <w:sz w:val="14"/>
          <w:szCs w:val="14"/>
        </w:rPr>
        <w:t>opening balance impairment allowance, whereas the change</w:t>
      </w:r>
      <w:r w:rsidR="00107989" w:rsidRPr="00107989">
        <w:rPr>
          <w:i/>
          <w:sz w:val="14"/>
          <w:szCs w:val="14"/>
        </w:rPr>
        <w:t>s</w:t>
      </w:r>
      <w:r w:rsidR="00882263" w:rsidRPr="00107989">
        <w:rPr>
          <w:i/>
          <w:sz w:val="14"/>
          <w:szCs w:val="14"/>
        </w:rPr>
        <w:t xml:space="preserve"> of the</w:t>
      </w:r>
      <w:r w:rsidR="00107989" w:rsidRPr="00107989">
        <w:rPr>
          <w:i/>
          <w:sz w:val="14"/>
          <w:szCs w:val="14"/>
        </w:rPr>
        <w:t xml:space="preserve"> amount arising from</w:t>
      </w:r>
      <w:r w:rsidRPr="00107989">
        <w:rPr>
          <w:i/>
          <w:sz w:val="14"/>
          <w:szCs w:val="14"/>
        </w:rPr>
        <w:t xml:space="preserve"> the change of </w:t>
      </w:r>
      <w:r w:rsidR="00107989" w:rsidRPr="00107989">
        <w:rPr>
          <w:i/>
          <w:sz w:val="14"/>
          <w:szCs w:val="14"/>
        </w:rPr>
        <w:t>the stage</w:t>
      </w:r>
      <w:r w:rsidRPr="00107989">
        <w:rPr>
          <w:i/>
          <w:sz w:val="14"/>
          <w:szCs w:val="14"/>
        </w:rPr>
        <w:t xml:space="preserve"> (i.e. </w:t>
      </w:r>
      <w:r w:rsidR="00107989" w:rsidRPr="00107989">
        <w:rPr>
          <w:i/>
          <w:sz w:val="14"/>
          <w:szCs w:val="14"/>
        </w:rPr>
        <w:t>measuremet at</w:t>
      </w:r>
      <w:r w:rsidRPr="00107989">
        <w:rPr>
          <w:i/>
          <w:sz w:val="14"/>
          <w:szCs w:val="14"/>
        </w:rPr>
        <w:t xml:space="preserve"> 12-months </w:t>
      </w:r>
      <w:r w:rsidR="00107989" w:rsidRPr="00107989">
        <w:rPr>
          <w:i/>
          <w:sz w:val="14"/>
          <w:szCs w:val="14"/>
        </w:rPr>
        <w:t>or</w:t>
      </w:r>
      <w:r w:rsidRPr="00107989">
        <w:rPr>
          <w:i/>
          <w:sz w:val="14"/>
          <w:szCs w:val="14"/>
        </w:rPr>
        <w:t xml:space="preserve"> lifetime ECL) are part of re-measurement.</w:t>
      </w:r>
    </w:p>
    <w:p w14:paraId="195748C5" w14:textId="77777777" w:rsidR="00BD0290" w:rsidRPr="008455C5" w:rsidRDefault="00023E71" w:rsidP="00BD0290">
      <w:pPr>
        <w:pStyle w:val="DGTextstand-alone"/>
        <w:rPr>
          <w:lang w:val="en-IE" w:eastAsia="en-IE"/>
        </w:rPr>
      </w:pPr>
      <w:bookmarkStart w:id="236" w:name="_Hlk193809884"/>
      <w:r w:rsidRPr="6C204149">
        <w:rPr>
          <w:lang w:val="en-IE" w:eastAsia="en-IE"/>
        </w:rPr>
        <w:t xml:space="preserve">The increase of the loss allowance for guarantees in Stage 2 in 2025 was mainly due to new operations signed under the Ukraine Guarantee (see </w:t>
      </w:r>
      <w:r>
        <w:rPr>
          <w:lang w:val="en-IE" w:eastAsia="en-IE"/>
        </w:rPr>
        <w:t>N</w:t>
      </w:r>
      <w:r w:rsidRPr="6C204149">
        <w:rPr>
          <w:lang w:val="en-IE" w:eastAsia="en-IE"/>
        </w:rPr>
        <w:t xml:space="preserve">ote </w:t>
      </w:r>
      <w:r w:rsidRPr="6C204149">
        <w:rPr>
          <w:b/>
          <w:bCs/>
          <w:lang w:val="en-IE" w:eastAsia="en-IE"/>
        </w:rPr>
        <w:t>4.1.1</w:t>
      </w:r>
      <w:r w:rsidRPr="6C204149">
        <w:rPr>
          <w:lang w:val="en-IE" w:eastAsia="en-IE"/>
        </w:rPr>
        <w:t>).</w:t>
      </w:r>
    </w:p>
    <w:p w14:paraId="448F7B45" w14:textId="77777777" w:rsidR="00BD0290" w:rsidRDefault="00023E71" w:rsidP="00BD0290">
      <w:pPr>
        <w:pStyle w:val="DGTextstand-alone"/>
        <w:rPr>
          <w:lang w:val="en-IE" w:eastAsia="en-IE"/>
        </w:rPr>
      </w:pPr>
      <w:r w:rsidRPr="6C204149">
        <w:rPr>
          <w:lang w:val="en-IE" w:eastAsia="en-IE"/>
        </w:rPr>
        <w:t xml:space="preserve">Out of the outstanding ECL for guarantees in Stage 2 of EUR 3.5 billion as at 31 December 2025, EUR 1.7 billion relates to the ELM guarantees (see </w:t>
      </w:r>
      <w:r>
        <w:rPr>
          <w:lang w:val="en-IE" w:eastAsia="en-IE"/>
        </w:rPr>
        <w:t>N</w:t>
      </w:r>
      <w:r w:rsidRPr="6C204149">
        <w:rPr>
          <w:lang w:val="en-IE" w:eastAsia="en-IE"/>
        </w:rPr>
        <w:t xml:space="preserve">ote </w:t>
      </w:r>
      <w:r w:rsidRPr="6C204149">
        <w:rPr>
          <w:b/>
          <w:bCs/>
          <w:lang w:val="en-IE" w:eastAsia="en-IE"/>
        </w:rPr>
        <w:t>4.1.1</w:t>
      </w:r>
      <w:r w:rsidRPr="6C204149">
        <w:rPr>
          <w:lang w:val="en-IE" w:eastAsia="en-IE"/>
        </w:rPr>
        <w:t>). This includes EUR 0.9 billion lifetime ECL for the EIB exposure in Ukraine (EUR 3.4 billion outstanding EIB loans to counterparts in Ukraine guaranteed by the EU</w:t>
      </w:r>
      <w:r>
        <w:rPr>
          <w:lang w:val="en-IE" w:eastAsia="en-IE"/>
        </w:rPr>
        <w:t>)</w:t>
      </w:r>
      <w:r w:rsidRPr="6C204149">
        <w:rPr>
          <w:lang w:val="en-IE" w:eastAsia="en-IE"/>
        </w:rPr>
        <w:t xml:space="preserve">. </w:t>
      </w:r>
    </w:p>
    <w:p w14:paraId="4F78D2E8" w14:textId="77777777" w:rsidR="00BD0290" w:rsidRDefault="00023E71" w:rsidP="00BD0290">
      <w:pPr>
        <w:pStyle w:val="DGTextstand-alone"/>
        <w:rPr>
          <w:lang w:val="en-IE" w:eastAsia="en-IE"/>
        </w:rPr>
      </w:pPr>
      <w:r w:rsidRPr="007412C0">
        <w:rPr>
          <w:lang w:val="en-IE" w:eastAsia="en-IE"/>
        </w:rPr>
        <w:t xml:space="preserve">Please refer to the </w:t>
      </w:r>
      <w:r>
        <w:rPr>
          <w:lang w:val="en-IE" w:eastAsia="en-IE"/>
        </w:rPr>
        <w:t>N</w:t>
      </w:r>
      <w:r w:rsidRPr="007412C0">
        <w:rPr>
          <w:lang w:val="en-IE" w:eastAsia="en-IE"/>
        </w:rPr>
        <w:t xml:space="preserve">ote </w:t>
      </w:r>
      <w:r w:rsidRPr="005779E6">
        <w:rPr>
          <w:b/>
          <w:bCs/>
          <w:lang w:val="en-IE" w:eastAsia="en-IE"/>
        </w:rPr>
        <w:t>1.5.12</w:t>
      </w:r>
      <w:r w:rsidRPr="007412C0">
        <w:rPr>
          <w:lang w:val="en-IE" w:eastAsia="en-IE"/>
        </w:rPr>
        <w:t xml:space="preserve"> for the EU staging policies for financial guarantee contracts.</w:t>
      </w:r>
    </w:p>
    <w:p w14:paraId="693FDF5A" w14:textId="77777777" w:rsidR="00BD0290" w:rsidRPr="00A00A45" w:rsidRDefault="00023E71" w:rsidP="00BD0290">
      <w:pPr>
        <w:pStyle w:val="HEADER5"/>
        <w:spacing w:before="240"/>
        <w:rPr>
          <w:noProof/>
        </w:rPr>
      </w:pPr>
      <w:r>
        <w:rPr>
          <w:noProof/>
        </w:rPr>
        <w:t>Budgetary guarantees</w:t>
      </w:r>
    </w:p>
    <w:p w14:paraId="52686E10" w14:textId="77777777" w:rsidR="00BD0290" w:rsidRPr="00105295" w:rsidRDefault="00023E71" w:rsidP="00BD0290">
      <w:pPr>
        <w:pStyle w:val="DGTextstand-alone"/>
        <w:rPr>
          <w:lang w:val="en-IE" w:eastAsia="en-IE"/>
        </w:rPr>
      </w:pPr>
      <w:r w:rsidRPr="1D0DAAEE">
        <w:rPr>
          <w:lang w:val="en-IE" w:eastAsia="en-IE"/>
        </w:rPr>
        <w:t xml:space="preserve">The EU is mainly exposed to credit risk through the operations it guarantees. When the credit quality of the underlying operations deteriorates, default events become more likely and calls on EU guarantees </w:t>
      </w:r>
      <w:r>
        <w:rPr>
          <w:lang w:val="en-IE" w:eastAsia="en-IE"/>
        </w:rPr>
        <w:t xml:space="preserve">may </w:t>
      </w:r>
      <w:r w:rsidRPr="1D0DAAEE">
        <w:rPr>
          <w:lang w:val="en-IE" w:eastAsia="en-IE"/>
        </w:rPr>
        <w:t>also increase.</w:t>
      </w:r>
    </w:p>
    <w:p w14:paraId="0B534B02" w14:textId="77777777" w:rsidR="00792ECE" w:rsidRDefault="00023E71" w:rsidP="00BD0290">
      <w:pPr>
        <w:pStyle w:val="DGTextstand-alone"/>
        <w:rPr>
          <w:lang w:val="en-IE" w:eastAsia="en-IE"/>
        </w:rPr>
      </w:pPr>
      <w:r w:rsidRPr="689B4729">
        <w:rPr>
          <w:lang w:val="en-IE" w:eastAsia="en-IE"/>
        </w:rPr>
        <w:t>To monitor and manage this risk, the Commission relies on a Credit Risk Model that assesses potential losses. The model uses inputs from implementing partners and combines them with expert judgment to derive a risk assessment that is coherent with the transaction and relevant economic circumstances</w:t>
      </w:r>
      <w:r>
        <w:rPr>
          <w:lang w:val="en-IE" w:eastAsia="en-IE"/>
        </w:rPr>
        <w:t xml:space="preserve">. </w:t>
      </w:r>
    </w:p>
    <w:bookmarkEnd w:id="236"/>
    <w:p w14:paraId="1571547C" w14:textId="77777777" w:rsidR="00283755" w:rsidRDefault="00023E71" w:rsidP="00172034">
      <w:pPr>
        <w:pStyle w:val="HEADER2NOTES"/>
        <w:numPr>
          <w:ilvl w:val="1"/>
          <w:numId w:val="15"/>
        </w:numPr>
        <w:jc w:val="both"/>
        <w:rPr>
          <w:noProof/>
        </w:rPr>
      </w:pPr>
      <w:r>
        <w:rPr>
          <w:noProof/>
        </w:rPr>
        <w:t>LIQUIDITY RISK</w:t>
      </w:r>
    </w:p>
    <w:p w14:paraId="37C2DAD6" w14:textId="77777777" w:rsidR="00283755" w:rsidRPr="000F0DAE" w:rsidRDefault="00023E71" w:rsidP="005779E6">
      <w:pPr>
        <w:pStyle w:val="HEADER5"/>
        <w:rPr>
          <w:noProof/>
        </w:rPr>
      </w:pPr>
      <w:r w:rsidRPr="000F0DAE">
        <w:rPr>
          <w:noProof/>
        </w:rPr>
        <w:t>Maturity analysis of</w:t>
      </w:r>
      <w:r>
        <w:rPr>
          <w:noProof/>
        </w:rPr>
        <w:t xml:space="preserve"> </w:t>
      </w:r>
      <w:r w:rsidRPr="0032121F">
        <w:rPr>
          <w:noProof/>
        </w:rPr>
        <w:t>non-derivative</w:t>
      </w:r>
      <w:r>
        <w:rPr>
          <w:noProof/>
        </w:rPr>
        <w:t xml:space="preserve"> </w:t>
      </w:r>
      <w:r w:rsidRPr="000F0DAE">
        <w:rPr>
          <w:noProof/>
        </w:rPr>
        <w:t>financial liabilities by remaining contractual maturity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441"/>
        <w:gridCol w:w="1509"/>
        <w:gridCol w:w="1350"/>
        <w:gridCol w:w="1407"/>
        <w:gridCol w:w="1362"/>
      </w:tblGrid>
      <w:tr w:rsidR="00807FFE" w14:paraId="354D0CCE" w14:textId="77777777">
        <w:trPr>
          <w:trHeight w:val="255"/>
        </w:trPr>
        <w:tc>
          <w:tcPr>
            <w:tcW w:w="2689" w:type="dxa"/>
            <w:tcBorders>
              <w:top w:val="nil"/>
              <w:left w:val="nil"/>
              <w:bottom w:val="nil"/>
              <w:right w:val="nil"/>
              <w:tl2br w:val="nil"/>
              <w:tr2bl w:val="nil"/>
            </w:tcBorders>
            <w:tcMar>
              <w:left w:w="60" w:type="dxa"/>
              <w:right w:w="60" w:type="dxa"/>
            </w:tcMar>
            <w:vAlign w:val="bottom"/>
          </w:tcPr>
          <w:p w14:paraId="495209A6" w14:textId="77777777" w:rsidR="00807FFE" w:rsidRDefault="00807FFE">
            <w:pPr>
              <w:pStyle w:val="DMETW36756BIPNDFLCY"/>
              <w:rPr>
                <w:rFonts w:ascii="Arial" w:eastAsia="Arial" w:hAnsi="Arial" w:cs="Arial"/>
                <w:noProof/>
                <w:color w:val="000000"/>
                <w:lang w:bidi="en-GB"/>
              </w:rPr>
            </w:pPr>
            <w:bookmarkStart w:id="237" w:name="DOC_TBL00102_1_1"/>
            <w:bookmarkEnd w:id="237"/>
          </w:p>
        </w:tc>
        <w:tc>
          <w:tcPr>
            <w:tcW w:w="1441" w:type="dxa"/>
            <w:tcBorders>
              <w:top w:val="nil"/>
              <w:left w:val="nil"/>
              <w:bottom w:val="nil"/>
              <w:right w:val="nil"/>
              <w:tl2br w:val="nil"/>
              <w:tr2bl w:val="nil"/>
            </w:tcBorders>
            <w:tcMar>
              <w:left w:w="60" w:type="dxa"/>
              <w:right w:w="60" w:type="dxa"/>
            </w:tcMar>
            <w:vAlign w:val="bottom"/>
          </w:tcPr>
          <w:p w14:paraId="6B491133" w14:textId="77777777" w:rsidR="00807FFE" w:rsidRDefault="00807FFE">
            <w:pPr>
              <w:pStyle w:val="DMETW36756BIPNDFLCY"/>
              <w:rPr>
                <w:rFonts w:ascii="Arial" w:eastAsia="Arial" w:hAnsi="Arial" w:cs="Arial"/>
                <w:noProof/>
                <w:color w:val="000000"/>
              </w:rPr>
            </w:pPr>
          </w:p>
        </w:tc>
        <w:tc>
          <w:tcPr>
            <w:tcW w:w="1509" w:type="dxa"/>
            <w:tcBorders>
              <w:top w:val="nil"/>
              <w:left w:val="nil"/>
              <w:bottom w:val="nil"/>
              <w:right w:val="nil"/>
              <w:tl2br w:val="nil"/>
              <w:tr2bl w:val="nil"/>
            </w:tcBorders>
            <w:tcMar>
              <w:left w:w="60" w:type="dxa"/>
              <w:right w:w="60" w:type="dxa"/>
            </w:tcMar>
            <w:vAlign w:val="bottom"/>
          </w:tcPr>
          <w:p w14:paraId="6D25C0F1" w14:textId="77777777" w:rsidR="00807FFE" w:rsidRDefault="00807FFE">
            <w:pPr>
              <w:pStyle w:val="DMETW36756BIPNDFLCY"/>
              <w:rPr>
                <w:rFonts w:ascii="Arial" w:eastAsia="Arial" w:hAnsi="Arial" w:cs="Arial"/>
                <w:noProof/>
                <w:color w:val="000000"/>
              </w:rPr>
            </w:pPr>
          </w:p>
        </w:tc>
        <w:tc>
          <w:tcPr>
            <w:tcW w:w="1350" w:type="dxa"/>
            <w:tcBorders>
              <w:top w:val="nil"/>
              <w:left w:val="nil"/>
              <w:bottom w:val="nil"/>
              <w:right w:val="nil"/>
              <w:tl2br w:val="nil"/>
              <w:tr2bl w:val="nil"/>
            </w:tcBorders>
            <w:tcMar>
              <w:left w:w="60" w:type="dxa"/>
              <w:right w:w="60" w:type="dxa"/>
            </w:tcMar>
            <w:vAlign w:val="bottom"/>
          </w:tcPr>
          <w:p w14:paraId="5C67E1A6" w14:textId="77777777" w:rsidR="00807FFE" w:rsidRDefault="00807FFE">
            <w:pPr>
              <w:pStyle w:val="DMETW36756BIPNDFLCY"/>
              <w:rPr>
                <w:rFonts w:ascii="Arial" w:eastAsia="Arial" w:hAnsi="Arial" w:cs="Arial"/>
                <w:noProof/>
                <w:color w:val="000000"/>
              </w:rPr>
            </w:pPr>
          </w:p>
        </w:tc>
        <w:tc>
          <w:tcPr>
            <w:tcW w:w="1407" w:type="dxa"/>
            <w:tcBorders>
              <w:top w:val="nil"/>
              <w:left w:val="nil"/>
              <w:bottom w:val="nil"/>
              <w:right w:val="nil"/>
              <w:tl2br w:val="nil"/>
              <w:tr2bl w:val="nil"/>
            </w:tcBorders>
            <w:tcMar>
              <w:left w:w="60" w:type="dxa"/>
              <w:right w:w="60" w:type="dxa"/>
            </w:tcMar>
            <w:vAlign w:val="bottom"/>
          </w:tcPr>
          <w:p w14:paraId="18488023" w14:textId="77777777" w:rsidR="00807FFE" w:rsidRDefault="00807FFE">
            <w:pPr>
              <w:pStyle w:val="DMETW36756BIPNDFLCY"/>
              <w:jc w:val="right"/>
              <w:rPr>
                <w:rFonts w:ascii="Verdana" w:eastAsia="Verdana" w:hAnsi="Verdana" w:cs="Verdana"/>
                <w:i/>
                <w:noProof/>
                <w:color w:val="000000"/>
                <w:sz w:val="16"/>
              </w:rPr>
            </w:pPr>
          </w:p>
        </w:tc>
        <w:tc>
          <w:tcPr>
            <w:tcW w:w="1362" w:type="dxa"/>
            <w:tcBorders>
              <w:top w:val="nil"/>
              <w:left w:val="nil"/>
              <w:bottom w:val="nil"/>
              <w:right w:val="nil"/>
              <w:tl2br w:val="nil"/>
              <w:tr2bl w:val="nil"/>
            </w:tcBorders>
            <w:tcMar>
              <w:left w:w="60" w:type="dxa"/>
              <w:right w:w="60" w:type="dxa"/>
            </w:tcMar>
            <w:vAlign w:val="bottom"/>
          </w:tcPr>
          <w:p w14:paraId="30688898" w14:textId="77777777" w:rsidR="00807FFE" w:rsidRDefault="00023E71">
            <w:pPr>
              <w:pStyle w:val="DMETW36756BIPNDFLC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006CB08" w14:textId="77777777">
        <w:trPr>
          <w:trHeight w:val="255"/>
        </w:trPr>
        <w:tc>
          <w:tcPr>
            <w:tcW w:w="2689" w:type="dxa"/>
            <w:gridSpan w:val="5"/>
            <w:tcBorders>
              <w:top w:val="nil"/>
              <w:left w:val="nil"/>
              <w:bottom w:val="nil"/>
              <w:right w:val="nil"/>
              <w:tl2br w:val="nil"/>
              <w:tr2bl w:val="nil"/>
            </w:tcBorders>
            <w:shd w:val="solid" w:color="016794" w:fill="FFFFFF"/>
            <w:tcMar>
              <w:left w:w="60" w:type="dxa"/>
              <w:right w:w="60" w:type="dxa"/>
            </w:tcMar>
            <w:vAlign w:val="center"/>
          </w:tcPr>
          <w:p w14:paraId="67F10FA7" w14:textId="77777777" w:rsidR="00807FFE" w:rsidRDefault="00023E71">
            <w:pPr>
              <w:pStyle w:val="DMETW36756BIPNDFLCY"/>
              <w:jc w:val="center"/>
              <w:rPr>
                <w:rFonts w:ascii="Verdana" w:eastAsia="Verdana" w:hAnsi="Verdana" w:cs="Verdana"/>
                <w:noProof/>
                <w:color w:val="FFFFFF"/>
              </w:rPr>
            </w:pPr>
            <w:r>
              <w:rPr>
                <w:rFonts w:ascii="Verdana" w:eastAsia="Verdana" w:hAnsi="Verdana" w:cs="Verdana"/>
                <w:noProof/>
                <w:color w:val="FFFFFF"/>
              </w:rPr>
              <w:t>Undiscounted contractual cash-flows</w:t>
            </w:r>
          </w:p>
        </w:tc>
        <w:tc>
          <w:tcPr>
            <w:tcW w:w="1362" w:type="dxa"/>
            <w:tcBorders>
              <w:top w:val="nil"/>
              <w:left w:val="nil"/>
              <w:bottom w:val="nil"/>
              <w:right w:val="nil"/>
              <w:tl2br w:val="nil"/>
              <w:tr2bl w:val="nil"/>
            </w:tcBorders>
            <w:shd w:val="solid" w:color="016794" w:fill="FFFFFF"/>
            <w:tcMar>
              <w:left w:w="60" w:type="dxa"/>
              <w:right w:w="60" w:type="dxa"/>
            </w:tcMar>
            <w:vAlign w:val="center"/>
          </w:tcPr>
          <w:p w14:paraId="25F26B30" w14:textId="77777777" w:rsidR="00807FFE" w:rsidRDefault="00023E71">
            <w:pPr>
              <w:pStyle w:val="DMETW36756BIPNDFLCY"/>
              <w:jc w:val="right"/>
              <w:rPr>
                <w:rFonts w:ascii="Verdana" w:eastAsia="Verdana" w:hAnsi="Verdana" w:cs="Verdana"/>
                <w:noProof/>
                <w:color w:val="FFFFFF"/>
                <w:lang w:bidi="en-GB"/>
              </w:rPr>
            </w:pPr>
            <w:r>
              <w:rPr>
                <w:rFonts w:ascii="Verdana" w:eastAsia="Verdana" w:hAnsi="Verdana" w:cs="Verdana"/>
                <w:noProof/>
                <w:color w:val="FFFFFF"/>
              </w:rPr>
              <w:t>Carrying amount</w:t>
            </w:r>
          </w:p>
        </w:tc>
      </w:tr>
      <w:tr w:rsidR="00807FFE" w14:paraId="1AC4A14C" w14:textId="77777777">
        <w:trPr>
          <w:trHeight w:val="255"/>
        </w:trPr>
        <w:tc>
          <w:tcPr>
            <w:tcW w:w="2689" w:type="dxa"/>
            <w:tcBorders>
              <w:top w:val="nil"/>
              <w:left w:val="nil"/>
              <w:bottom w:val="nil"/>
              <w:right w:val="nil"/>
              <w:tl2br w:val="nil"/>
              <w:tr2bl w:val="nil"/>
            </w:tcBorders>
            <w:shd w:val="solid" w:color="016794" w:fill="FFFFFF"/>
            <w:tcMar>
              <w:left w:w="60" w:type="dxa"/>
              <w:right w:w="60" w:type="dxa"/>
            </w:tcMar>
            <w:vAlign w:val="center"/>
          </w:tcPr>
          <w:p w14:paraId="7FA7CD64" w14:textId="77777777" w:rsidR="00807FFE" w:rsidRDefault="00807FFE">
            <w:pPr>
              <w:pStyle w:val="DMETW36756BIPNDFLCY"/>
              <w:jc w:val="right"/>
              <w:rPr>
                <w:rFonts w:ascii="Verdana" w:eastAsia="Verdana" w:hAnsi="Verdana" w:cs="Verdana"/>
                <w:noProof/>
                <w:color w:val="FFFFFF"/>
              </w:rPr>
            </w:pPr>
          </w:p>
        </w:tc>
        <w:tc>
          <w:tcPr>
            <w:tcW w:w="1441" w:type="dxa"/>
            <w:tcBorders>
              <w:top w:val="nil"/>
              <w:left w:val="nil"/>
              <w:bottom w:val="nil"/>
              <w:right w:val="nil"/>
              <w:tl2br w:val="nil"/>
              <w:tr2bl w:val="nil"/>
            </w:tcBorders>
            <w:shd w:val="solid" w:color="016794" w:fill="FFFFFF"/>
            <w:tcMar>
              <w:left w:w="60" w:type="dxa"/>
              <w:right w:w="60" w:type="dxa"/>
            </w:tcMar>
            <w:vAlign w:val="center"/>
          </w:tcPr>
          <w:p w14:paraId="637F6D36" w14:textId="77777777" w:rsidR="00807FFE" w:rsidRDefault="00023E71">
            <w:pPr>
              <w:pStyle w:val="DMETW36756BIPNDFLCY"/>
              <w:jc w:val="right"/>
              <w:rPr>
                <w:rFonts w:ascii="Verdana" w:eastAsia="Verdana" w:hAnsi="Verdana" w:cs="Verdana"/>
                <w:noProof/>
                <w:color w:val="FFFFFF"/>
              </w:rPr>
            </w:pPr>
            <w:r>
              <w:rPr>
                <w:rFonts w:ascii="Verdana" w:eastAsia="Verdana" w:hAnsi="Verdana" w:cs="Verdana"/>
                <w:noProof/>
                <w:color w:val="FFFFFF"/>
              </w:rPr>
              <w:t>&lt; 1 year</w:t>
            </w:r>
          </w:p>
        </w:tc>
        <w:tc>
          <w:tcPr>
            <w:tcW w:w="1509" w:type="dxa"/>
            <w:tcBorders>
              <w:top w:val="nil"/>
              <w:left w:val="nil"/>
              <w:bottom w:val="nil"/>
              <w:right w:val="nil"/>
              <w:tl2br w:val="nil"/>
              <w:tr2bl w:val="nil"/>
            </w:tcBorders>
            <w:shd w:val="solid" w:color="016794" w:fill="FFFFFF"/>
            <w:tcMar>
              <w:left w:w="60" w:type="dxa"/>
              <w:right w:w="60" w:type="dxa"/>
            </w:tcMar>
            <w:vAlign w:val="center"/>
          </w:tcPr>
          <w:p w14:paraId="2A8DA26F" w14:textId="77777777" w:rsidR="00807FFE" w:rsidRDefault="00023E71">
            <w:pPr>
              <w:pStyle w:val="DMETW36756BIPNDFLCY"/>
              <w:jc w:val="right"/>
              <w:rPr>
                <w:rFonts w:ascii="Verdana" w:eastAsia="Verdana" w:hAnsi="Verdana" w:cs="Verdana"/>
                <w:noProof/>
                <w:color w:val="FFFFFF"/>
              </w:rPr>
            </w:pPr>
            <w:r>
              <w:rPr>
                <w:rFonts w:ascii="Verdana" w:eastAsia="Verdana" w:hAnsi="Verdana" w:cs="Verdana"/>
                <w:noProof/>
                <w:color w:val="FFFFFF"/>
              </w:rPr>
              <w:t>1-5 years</w:t>
            </w:r>
          </w:p>
        </w:tc>
        <w:tc>
          <w:tcPr>
            <w:tcW w:w="1350" w:type="dxa"/>
            <w:tcBorders>
              <w:top w:val="nil"/>
              <w:left w:val="nil"/>
              <w:bottom w:val="nil"/>
              <w:right w:val="nil"/>
              <w:tl2br w:val="nil"/>
              <w:tr2bl w:val="nil"/>
            </w:tcBorders>
            <w:shd w:val="solid" w:color="016794" w:fill="FFFFFF"/>
            <w:tcMar>
              <w:left w:w="60" w:type="dxa"/>
              <w:right w:w="60" w:type="dxa"/>
            </w:tcMar>
            <w:vAlign w:val="center"/>
          </w:tcPr>
          <w:p w14:paraId="169D52CB" w14:textId="77777777" w:rsidR="00807FFE" w:rsidRDefault="00023E71">
            <w:pPr>
              <w:pStyle w:val="DMETW36756BIPNDFLCY"/>
              <w:jc w:val="right"/>
              <w:rPr>
                <w:rFonts w:ascii="Verdana" w:eastAsia="Verdana" w:hAnsi="Verdana" w:cs="Verdana"/>
                <w:noProof/>
                <w:color w:val="FFFFFF"/>
              </w:rPr>
            </w:pPr>
            <w:r>
              <w:rPr>
                <w:rFonts w:ascii="Verdana" w:eastAsia="Verdana" w:hAnsi="Verdana" w:cs="Verdana"/>
                <w:noProof/>
                <w:color w:val="FFFFFF"/>
              </w:rPr>
              <w:t>&gt; 5 years</w:t>
            </w:r>
          </w:p>
        </w:tc>
        <w:tc>
          <w:tcPr>
            <w:tcW w:w="1407" w:type="dxa"/>
            <w:tcBorders>
              <w:top w:val="nil"/>
              <w:left w:val="nil"/>
              <w:bottom w:val="nil"/>
              <w:right w:val="nil"/>
              <w:tl2br w:val="nil"/>
              <w:tr2bl w:val="nil"/>
            </w:tcBorders>
            <w:shd w:val="solid" w:color="016794" w:fill="FFFFFF"/>
            <w:tcMar>
              <w:left w:w="60" w:type="dxa"/>
              <w:right w:w="60" w:type="dxa"/>
            </w:tcMar>
            <w:vAlign w:val="center"/>
          </w:tcPr>
          <w:p w14:paraId="2C7E00C0" w14:textId="77777777" w:rsidR="00807FFE" w:rsidRDefault="00023E71">
            <w:pPr>
              <w:pStyle w:val="DMETW36756BIPNDFLCY"/>
              <w:jc w:val="right"/>
              <w:rPr>
                <w:rFonts w:ascii="Verdana" w:eastAsia="Verdana" w:hAnsi="Verdana" w:cs="Verdana"/>
                <w:noProof/>
                <w:color w:val="FFFFFF"/>
              </w:rPr>
            </w:pPr>
            <w:r>
              <w:rPr>
                <w:rFonts w:ascii="Verdana" w:eastAsia="Verdana" w:hAnsi="Verdana" w:cs="Verdana"/>
                <w:noProof/>
                <w:color w:val="FFFFFF"/>
              </w:rPr>
              <w:t>Total</w:t>
            </w:r>
          </w:p>
        </w:tc>
        <w:tc>
          <w:tcPr>
            <w:tcW w:w="1362" w:type="dxa"/>
            <w:tcBorders>
              <w:top w:val="nil"/>
              <w:left w:val="nil"/>
              <w:bottom w:val="nil"/>
              <w:right w:val="nil"/>
              <w:tl2br w:val="nil"/>
              <w:tr2bl w:val="nil"/>
            </w:tcBorders>
            <w:shd w:val="solid" w:color="016794" w:fill="FFFFFF"/>
            <w:tcMar>
              <w:left w:w="60" w:type="dxa"/>
              <w:right w:w="60" w:type="dxa"/>
            </w:tcMar>
            <w:vAlign w:val="center"/>
          </w:tcPr>
          <w:p w14:paraId="78EF98C4" w14:textId="77777777" w:rsidR="00807FFE" w:rsidRDefault="00807FFE">
            <w:pPr>
              <w:pStyle w:val="DMETW36756BIPNDFLCY"/>
              <w:jc w:val="right"/>
              <w:rPr>
                <w:rFonts w:ascii="Verdana" w:eastAsia="Verdana" w:hAnsi="Verdana" w:cs="Verdana"/>
                <w:noProof/>
                <w:color w:val="FFFFFF"/>
                <w:lang w:bidi="en-GB"/>
              </w:rPr>
            </w:pPr>
          </w:p>
        </w:tc>
      </w:tr>
      <w:tr w:rsidR="00807FFE" w14:paraId="41F39AF1" w14:textId="77777777">
        <w:trPr>
          <w:trHeight w:val="255"/>
        </w:trPr>
        <w:tc>
          <w:tcPr>
            <w:tcW w:w="2689" w:type="dxa"/>
            <w:tcBorders>
              <w:top w:val="nil"/>
              <w:left w:val="nil"/>
              <w:bottom w:val="nil"/>
              <w:right w:val="nil"/>
              <w:tl2br w:val="nil"/>
              <w:tr2bl w:val="nil"/>
            </w:tcBorders>
            <w:tcMar>
              <w:left w:w="60" w:type="dxa"/>
              <w:right w:w="60" w:type="dxa"/>
            </w:tcMar>
            <w:vAlign w:val="center"/>
          </w:tcPr>
          <w:p w14:paraId="046CB176" w14:textId="77777777" w:rsidR="00807FFE" w:rsidRDefault="00023E71">
            <w:pPr>
              <w:pStyle w:val="DMETW36756BIPNDFLCY"/>
              <w:rPr>
                <w:rFonts w:ascii="Verdana" w:eastAsia="Verdana" w:hAnsi="Verdana" w:cs="Verdana"/>
                <w:i/>
                <w:noProof/>
                <w:color w:val="000000"/>
                <w:sz w:val="18"/>
              </w:rPr>
            </w:pPr>
            <w:r>
              <w:rPr>
                <w:rFonts w:ascii="Verdana" w:eastAsia="Verdana" w:hAnsi="Verdana" w:cs="Verdana"/>
                <w:i/>
                <w:noProof/>
                <w:color w:val="000000"/>
                <w:sz w:val="18"/>
              </w:rPr>
              <w:t>Borrowings</w:t>
            </w:r>
          </w:p>
        </w:tc>
        <w:tc>
          <w:tcPr>
            <w:tcW w:w="1441" w:type="dxa"/>
            <w:tcBorders>
              <w:top w:val="nil"/>
              <w:left w:val="nil"/>
              <w:bottom w:val="nil"/>
              <w:right w:val="nil"/>
              <w:tl2br w:val="nil"/>
              <w:tr2bl w:val="nil"/>
            </w:tcBorders>
            <w:tcMar>
              <w:left w:w="60" w:type="dxa"/>
              <w:right w:w="60" w:type="dxa"/>
            </w:tcMar>
            <w:vAlign w:val="center"/>
          </w:tcPr>
          <w:p w14:paraId="58E0AEF8"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(98 561)</w:t>
            </w:r>
          </w:p>
        </w:tc>
        <w:tc>
          <w:tcPr>
            <w:tcW w:w="1509" w:type="dxa"/>
            <w:tcBorders>
              <w:top w:val="nil"/>
              <w:left w:val="nil"/>
              <w:bottom w:val="nil"/>
              <w:right w:val="nil"/>
              <w:tl2br w:val="nil"/>
              <w:tr2bl w:val="nil"/>
            </w:tcBorders>
            <w:tcMar>
              <w:left w:w="60" w:type="dxa"/>
              <w:right w:w="60" w:type="dxa"/>
            </w:tcMar>
            <w:vAlign w:val="center"/>
          </w:tcPr>
          <w:p w14:paraId="3EA5354A"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(240 053)</w:t>
            </w:r>
          </w:p>
        </w:tc>
        <w:tc>
          <w:tcPr>
            <w:tcW w:w="1350" w:type="dxa"/>
            <w:tcBorders>
              <w:top w:val="nil"/>
              <w:left w:val="nil"/>
              <w:bottom w:val="nil"/>
              <w:right w:val="nil"/>
              <w:tl2br w:val="nil"/>
              <w:tr2bl w:val="nil"/>
            </w:tcBorders>
            <w:tcMar>
              <w:left w:w="60" w:type="dxa"/>
              <w:right w:w="60" w:type="dxa"/>
            </w:tcMar>
            <w:vAlign w:val="center"/>
          </w:tcPr>
          <w:p w14:paraId="62FA1F83"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(578 604)</w:t>
            </w:r>
          </w:p>
        </w:tc>
        <w:tc>
          <w:tcPr>
            <w:tcW w:w="1407" w:type="dxa"/>
            <w:tcBorders>
              <w:top w:val="nil"/>
              <w:left w:val="nil"/>
              <w:bottom w:val="nil"/>
              <w:right w:val="nil"/>
              <w:tl2br w:val="nil"/>
              <w:tr2bl w:val="nil"/>
            </w:tcBorders>
            <w:tcMar>
              <w:left w:w="60" w:type="dxa"/>
              <w:right w:w="60" w:type="dxa"/>
            </w:tcMar>
            <w:vAlign w:val="center"/>
          </w:tcPr>
          <w:p w14:paraId="3097D74E"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(917 217)</w:t>
            </w:r>
          </w:p>
        </w:tc>
        <w:tc>
          <w:tcPr>
            <w:tcW w:w="1362" w:type="dxa"/>
            <w:tcBorders>
              <w:top w:val="nil"/>
              <w:left w:val="nil"/>
              <w:bottom w:val="nil"/>
              <w:right w:val="nil"/>
              <w:tl2br w:val="nil"/>
              <w:tr2bl w:val="nil"/>
            </w:tcBorders>
            <w:tcMar>
              <w:left w:w="60" w:type="dxa"/>
              <w:right w:w="60" w:type="dxa"/>
            </w:tcMar>
            <w:vAlign w:val="center"/>
          </w:tcPr>
          <w:p w14:paraId="4C2BA8B2" w14:textId="77777777" w:rsidR="00807FFE" w:rsidRDefault="00023E71">
            <w:pPr>
              <w:pStyle w:val="DMETW36756BIPNDFLCY"/>
              <w:jc w:val="right"/>
              <w:rPr>
                <w:rFonts w:ascii="Verdana" w:eastAsia="Verdana" w:hAnsi="Verdana" w:cs="Verdana"/>
                <w:i/>
                <w:noProof/>
                <w:color w:val="000000"/>
                <w:sz w:val="18"/>
                <w:lang w:bidi="en-GB"/>
              </w:rPr>
            </w:pPr>
            <w:r>
              <w:rPr>
                <w:rFonts w:ascii="Verdana" w:eastAsia="Verdana" w:hAnsi="Verdana" w:cs="Verdana"/>
                <w:i/>
                <w:noProof/>
                <w:color w:val="000000"/>
                <w:sz w:val="18"/>
              </w:rPr>
              <w:t>(731 224)</w:t>
            </w:r>
          </w:p>
        </w:tc>
      </w:tr>
      <w:tr w:rsidR="00807FFE" w14:paraId="018ECE3A" w14:textId="77777777">
        <w:trPr>
          <w:trHeight w:val="255"/>
        </w:trPr>
        <w:tc>
          <w:tcPr>
            <w:tcW w:w="2689" w:type="dxa"/>
            <w:tcBorders>
              <w:top w:val="nil"/>
              <w:left w:val="nil"/>
              <w:bottom w:val="nil"/>
              <w:right w:val="nil"/>
              <w:tl2br w:val="nil"/>
              <w:tr2bl w:val="nil"/>
            </w:tcBorders>
            <w:tcMar>
              <w:left w:w="60" w:type="dxa"/>
              <w:right w:w="60" w:type="dxa"/>
            </w:tcMar>
            <w:vAlign w:val="center"/>
          </w:tcPr>
          <w:p w14:paraId="398BE711" w14:textId="77777777" w:rsidR="00807FFE" w:rsidRDefault="00023E71">
            <w:pPr>
              <w:pStyle w:val="DMETW36756BIPNDFLCY"/>
              <w:rPr>
                <w:rFonts w:ascii="Verdana" w:eastAsia="Verdana" w:hAnsi="Verdana" w:cs="Verdana"/>
                <w:i/>
                <w:noProof/>
                <w:color w:val="000000"/>
                <w:sz w:val="18"/>
              </w:rPr>
            </w:pPr>
            <w:r>
              <w:rPr>
                <w:rFonts w:ascii="Verdana" w:eastAsia="Verdana" w:hAnsi="Verdana" w:cs="Verdana"/>
                <w:i/>
                <w:noProof/>
                <w:color w:val="000000"/>
                <w:sz w:val="18"/>
              </w:rPr>
              <w:t>Payables</w:t>
            </w:r>
          </w:p>
        </w:tc>
        <w:tc>
          <w:tcPr>
            <w:tcW w:w="1441" w:type="dxa"/>
            <w:tcBorders>
              <w:top w:val="nil"/>
              <w:left w:val="nil"/>
              <w:bottom w:val="nil"/>
              <w:right w:val="nil"/>
              <w:tl2br w:val="nil"/>
              <w:tr2bl w:val="nil"/>
            </w:tcBorders>
            <w:tcMar>
              <w:left w:w="60" w:type="dxa"/>
              <w:right w:w="60" w:type="dxa"/>
            </w:tcMar>
            <w:vAlign w:val="center"/>
          </w:tcPr>
          <w:p w14:paraId="472C5702"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(65 037)</w:t>
            </w:r>
          </w:p>
        </w:tc>
        <w:tc>
          <w:tcPr>
            <w:tcW w:w="1509" w:type="dxa"/>
            <w:tcBorders>
              <w:top w:val="nil"/>
              <w:left w:val="nil"/>
              <w:bottom w:val="nil"/>
              <w:right w:val="nil"/>
              <w:tl2br w:val="nil"/>
              <w:tr2bl w:val="nil"/>
            </w:tcBorders>
            <w:tcMar>
              <w:left w:w="60" w:type="dxa"/>
              <w:right w:w="60" w:type="dxa"/>
            </w:tcMar>
            <w:vAlign w:val="center"/>
          </w:tcPr>
          <w:p w14:paraId="0B12CDC8"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50" w:type="dxa"/>
            <w:tcBorders>
              <w:top w:val="nil"/>
              <w:left w:val="nil"/>
              <w:bottom w:val="nil"/>
              <w:right w:val="nil"/>
              <w:tl2br w:val="nil"/>
              <w:tr2bl w:val="nil"/>
            </w:tcBorders>
            <w:tcMar>
              <w:left w:w="60" w:type="dxa"/>
              <w:right w:w="60" w:type="dxa"/>
            </w:tcMar>
            <w:vAlign w:val="center"/>
          </w:tcPr>
          <w:p w14:paraId="6B6D3444"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07" w:type="dxa"/>
            <w:tcBorders>
              <w:top w:val="nil"/>
              <w:left w:val="nil"/>
              <w:bottom w:val="nil"/>
              <w:right w:val="nil"/>
              <w:tl2br w:val="nil"/>
              <w:tr2bl w:val="nil"/>
            </w:tcBorders>
            <w:tcMar>
              <w:left w:w="60" w:type="dxa"/>
              <w:right w:w="60" w:type="dxa"/>
            </w:tcMar>
            <w:vAlign w:val="center"/>
          </w:tcPr>
          <w:p w14:paraId="577B00E6"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(65 037)</w:t>
            </w:r>
          </w:p>
        </w:tc>
        <w:tc>
          <w:tcPr>
            <w:tcW w:w="1362" w:type="dxa"/>
            <w:tcBorders>
              <w:top w:val="nil"/>
              <w:left w:val="nil"/>
              <w:bottom w:val="nil"/>
              <w:right w:val="nil"/>
              <w:tl2br w:val="nil"/>
              <w:tr2bl w:val="nil"/>
            </w:tcBorders>
            <w:tcMar>
              <w:left w:w="60" w:type="dxa"/>
              <w:right w:w="60" w:type="dxa"/>
            </w:tcMar>
            <w:vAlign w:val="center"/>
          </w:tcPr>
          <w:p w14:paraId="24DE5C7C" w14:textId="77777777" w:rsidR="00807FFE" w:rsidRDefault="00023E71">
            <w:pPr>
              <w:pStyle w:val="DMETW36756BIPNDFLCY"/>
              <w:jc w:val="right"/>
              <w:rPr>
                <w:rFonts w:ascii="Verdana" w:eastAsia="Verdana" w:hAnsi="Verdana" w:cs="Verdana"/>
                <w:i/>
                <w:noProof/>
                <w:color w:val="000000"/>
                <w:sz w:val="18"/>
                <w:lang w:bidi="en-GB"/>
              </w:rPr>
            </w:pPr>
            <w:r>
              <w:rPr>
                <w:rFonts w:ascii="Verdana" w:eastAsia="Verdana" w:hAnsi="Verdana" w:cs="Verdana"/>
                <w:i/>
                <w:noProof/>
                <w:color w:val="000000"/>
                <w:sz w:val="18"/>
              </w:rPr>
              <w:t>(65 037)</w:t>
            </w:r>
          </w:p>
        </w:tc>
      </w:tr>
      <w:tr w:rsidR="00807FFE" w14:paraId="457BBE7B" w14:textId="77777777">
        <w:trPr>
          <w:trHeight w:val="255"/>
        </w:trPr>
        <w:tc>
          <w:tcPr>
            <w:tcW w:w="2689" w:type="dxa"/>
            <w:tcBorders>
              <w:top w:val="nil"/>
              <w:left w:val="nil"/>
              <w:bottom w:val="single" w:sz="4" w:space="0" w:color="016794"/>
              <w:right w:val="nil"/>
              <w:tl2br w:val="nil"/>
              <w:tr2bl w:val="nil"/>
            </w:tcBorders>
            <w:tcMar>
              <w:left w:w="60" w:type="dxa"/>
              <w:right w:w="60" w:type="dxa"/>
            </w:tcMar>
            <w:vAlign w:val="center"/>
          </w:tcPr>
          <w:p w14:paraId="5E8A3DFE" w14:textId="77777777" w:rsidR="00807FFE" w:rsidRDefault="00023E71">
            <w:pPr>
              <w:pStyle w:val="DMETW36756BIPNDFLCY"/>
              <w:rPr>
                <w:rFonts w:ascii="Verdana" w:eastAsia="Verdana" w:hAnsi="Verdana" w:cs="Verdana"/>
                <w:i/>
                <w:noProof/>
                <w:color w:val="000000"/>
                <w:sz w:val="18"/>
              </w:rPr>
            </w:pPr>
            <w:r>
              <w:rPr>
                <w:rFonts w:ascii="Verdana" w:eastAsia="Verdana" w:hAnsi="Verdana" w:cs="Verdana"/>
                <w:i/>
                <w:noProof/>
                <w:color w:val="000000"/>
                <w:sz w:val="18"/>
              </w:rPr>
              <w:t xml:space="preserve">Other </w:t>
            </w:r>
          </w:p>
        </w:tc>
        <w:tc>
          <w:tcPr>
            <w:tcW w:w="1441" w:type="dxa"/>
            <w:tcBorders>
              <w:top w:val="nil"/>
              <w:left w:val="nil"/>
              <w:bottom w:val="single" w:sz="4" w:space="0" w:color="016794"/>
              <w:right w:val="nil"/>
              <w:tl2br w:val="nil"/>
              <w:tr2bl w:val="nil"/>
            </w:tcBorders>
            <w:tcMar>
              <w:left w:w="60" w:type="dxa"/>
              <w:right w:w="60" w:type="dxa"/>
            </w:tcMar>
            <w:vAlign w:val="center"/>
          </w:tcPr>
          <w:p w14:paraId="78791895"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 xml:space="preserve"> (180)</w:t>
            </w:r>
          </w:p>
        </w:tc>
        <w:tc>
          <w:tcPr>
            <w:tcW w:w="1509" w:type="dxa"/>
            <w:tcBorders>
              <w:top w:val="nil"/>
              <w:left w:val="nil"/>
              <w:bottom w:val="single" w:sz="4" w:space="0" w:color="016794"/>
              <w:right w:val="nil"/>
              <w:tl2br w:val="nil"/>
              <w:tr2bl w:val="nil"/>
            </w:tcBorders>
            <w:tcMar>
              <w:left w:w="60" w:type="dxa"/>
              <w:right w:w="60" w:type="dxa"/>
            </w:tcMar>
            <w:vAlign w:val="center"/>
          </w:tcPr>
          <w:p w14:paraId="58B0F33B"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 xml:space="preserve"> (608)</w:t>
            </w:r>
          </w:p>
        </w:tc>
        <w:tc>
          <w:tcPr>
            <w:tcW w:w="1350" w:type="dxa"/>
            <w:tcBorders>
              <w:top w:val="nil"/>
              <w:left w:val="nil"/>
              <w:bottom w:val="single" w:sz="4" w:space="0" w:color="016794"/>
              <w:right w:val="nil"/>
              <w:tl2br w:val="nil"/>
              <w:tr2bl w:val="nil"/>
            </w:tcBorders>
            <w:tcMar>
              <w:left w:w="60" w:type="dxa"/>
              <w:right w:w="60" w:type="dxa"/>
            </w:tcMar>
            <w:vAlign w:val="center"/>
          </w:tcPr>
          <w:p w14:paraId="176FF5E1"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(1 157)</w:t>
            </w:r>
          </w:p>
        </w:tc>
        <w:tc>
          <w:tcPr>
            <w:tcW w:w="1407" w:type="dxa"/>
            <w:tcBorders>
              <w:top w:val="nil"/>
              <w:left w:val="nil"/>
              <w:bottom w:val="single" w:sz="4" w:space="0" w:color="016794"/>
              <w:right w:val="nil"/>
              <w:tl2br w:val="nil"/>
              <w:tr2bl w:val="nil"/>
            </w:tcBorders>
            <w:tcMar>
              <w:left w:w="60" w:type="dxa"/>
              <w:right w:w="60" w:type="dxa"/>
            </w:tcMar>
            <w:vAlign w:val="center"/>
          </w:tcPr>
          <w:p w14:paraId="3D386B3E"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(1 944)</w:t>
            </w:r>
          </w:p>
        </w:tc>
        <w:tc>
          <w:tcPr>
            <w:tcW w:w="1362" w:type="dxa"/>
            <w:tcBorders>
              <w:top w:val="nil"/>
              <w:left w:val="nil"/>
              <w:bottom w:val="single" w:sz="4" w:space="0" w:color="016794"/>
              <w:right w:val="nil"/>
              <w:tl2br w:val="nil"/>
              <w:tr2bl w:val="nil"/>
            </w:tcBorders>
            <w:tcMar>
              <w:left w:w="60" w:type="dxa"/>
              <w:right w:w="60" w:type="dxa"/>
            </w:tcMar>
            <w:vAlign w:val="center"/>
          </w:tcPr>
          <w:p w14:paraId="3876ED56" w14:textId="77777777" w:rsidR="00807FFE" w:rsidRDefault="00023E71">
            <w:pPr>
              <w:pStyle w:val="DMETW36756BIPNDFLCY"/>
              <w:jc w:val="right"/>
              <w:rPr>
                <w:rFonts w:ascii="Verdana" w:eastAsia="Verdana" w:hAnsi="Verdana" w:cs="Verdana"/>
                <w:i/>
                <w:noProof/>
                <w:color w:val="000000"/>
                <w:sz w:val="18"/>
                <w:lang w:bidi="en-GB"/>
              </w:rPr>
            </w:pPr>
            <w:r>
              <w:rPr>
                <w:rFonts w:ascii="Verdana" w:eastAsia="Verdana" w:hAnsi="Verdana" w:cs="Verdana"/>
                <w:i/>
                <w:noProof/>
                <w:color w:val="000000"/>
                <w:sz w:val="18"/>
              </w:rPr>
              <w:t>(1 773)</w:t>
            </w:r>
          </w:p>
        </w:tc>
      </w:tr>
      <w:tr w:rsidR="00807FFE" w14:paraId="4F5F715A" w14:textId="77777777">
        <w:trPr>
          <w:trHeight w:val="255"/>
        </w:trPr>
        <w:tc>
          <w:tcPr>
            <w:tcW w:w="2689" w:type="dxa"/>
            <w:tcBorders>
              <w:top w:val="single" w:sz="4" w:space="0" w:color="016794"/>
              <w:left w:val="nil"/>
              <w:bottom w:val="single" w:sz="4" w:space="0" w:color="016794"/>
              <w:right w:val="nil"/>
              <w:tl2br w:val="nil"/>
              <w:tr2bl w:val="nil"/>
            </w:tcBorders>
            <w:tcMar>
              <w:left w:w="60" w:type="dxa"/>
              <w:right w:w="60" w:type="dxa"/>
            </w:tcMar>
            <w:vAlign w:val="center"/>
          </w:tcPr>
          <w:p w14:paraId="37473E0A" w14:textId="77777777" w:rsidR="00807FFE" w:rsidRDefault="00023E71">
            <w:pPr>
              <w:pStyle w:val="DMETW36756BIPNDFLCY"/>
              <w:rPr>
                <w:rFonts w:ascii="Verdana" w:eastAsia="Verdana" w:hAnsi="Verdana" w:cs="Verdana"/>
                <w:b/>
                <w:noProof/>
                <w:color w:val="000000"/>
                <w:sz w:val="18"/>
              </w:rPr>
            </w:pPr>
            <w:r>
              <w:rPr>
                <w:rFonts w:ascii="Verdana" w:eastAsia="Verdana" w:hAnsi="Verdana" w:cs="Verdana"/>
                <w:b/>
                <w:noProof/>
                <w:color w:val="000000"/>
                <w:sz w:val="18"/>
              </w:rPr>
              <w:t>Total at 31.12.2025</w:t>
            </w:r>
          </w:p>
        </w:tc>
        <w:tc>
          <w:tcPr>
            <w:tcW w:w="1441" w:type="dxa"/>
            <w:tcBorders>
              <w:top w:val="single" w:sz="4" w:space="0" w:color="016794"/>
              <w:left w:val="nil"/>
              <w:bottom w:val="single" w:sz="4" w:space="0" w:color="016794"/>
              <w:right w:val="nil"/>
              <w:tl2br w:val="nil"/>
              <w:tr2bl w:val="nil"/>
            </w:tcBorders>
            <w:tcMar>
              <w:left w:w="60" w:type="dxa"/>
              <w:right w:w="60" w:type="dxa"/>
            </w:tcMar>
            <w:vAlign w:val="center"/>
          </w:tcPr>
          <w:p w14:paraId="4323D8CE"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(163 777)</w:t>
            </w:r>
          </w:p>
        </w:tc>
        <w:tc>
          <w:tcPr>
            <w:tcW w:w="1509" w:type="dxa"/>
            <w:tcBorders>
              <w:top w:val="single" w:sz="4" w:space="0" w:color="016794"/>
              <w:left w:val="nil"/>
              <w:bottom w:val="single" w:sz="4" w:space="0" w:color="016794"/>
              <w:right w:val="nil"/>
              <w:tl2br w:val="nil"/>
              <w:tr2bl w:val="nil"/>
            </w:tcBorders>
            <w:tcMar>
              <w:left w:w="60" w:type="dxa"/>
              <w:right w:w="60" w:type="dxa"/>
            </w:tcMar>
            <w:vAlign w:val="center"/>
          </w:tcPr>
          <w:p w14:paraId="51412223"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(240 661)</w:t>
            </w:r>
          </w:p>
        </w:tc>
        <w:tc>
          <w:tcPr>
            <w:tcW w:w="1350" w:type="dxa"/>
            <w:tcBorders>
              <w:top w:val="single" w:sz="4" w:space="0" w:color="016794"/>
              <w:left w:val="nil"/>
              <w:bottom w:val="single" w:sz="4" w:space="0" w:color="016794"/>
              <w:right w:val="nil"/>
              <w:tl2br w:val="nil"/>
              <w:tr2bl w:val="nil"/>
            </w:tcBorders>
            <w:tcMar>
              <w:left w:w="60" w:type="dxa"/>
              <w:right w:w="60" w:type="dxa"/>
            </w:tcMar>
            <w:vAlign w:val="center"/>
          </w:tcPr>
          <w:p w14:paraId="4AC7879C"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(579 760)</w:t>
            </w:r>
          </w:p>
        </w:tc>
        <w:tc>
          <w:tcPr>
            <w:tcW w:w="1407" w:type="dxa"/>
            <w:tcBorders>
              <w:top w:val="single" w:sz="4" w:space="0" w:color="016794"/>
              <w:left w:val="nil"/>
              <w:bottom w:val="single" w:sz="4" w:space="0" w:color="016794"/>
              <w:right w:val="nil"/>
              <w:tl2br w:val="nil"/>
              <w:tr2bl w:val="nil"/>
            </w:tcBorders>
            <w:tcMar>
              <w:left w:w="60" w:type="dxa"/>
              <w:right w:w="60" w:type="dxa"/>
            </w:tcMar>
            <w:vAlign w:val="center"/>
          </w:tcPr>
          <w:p w14:paraId="63AA3EEA"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(984 199)</w:t>
            </w:r>
          </w:p>
        </w:tc>
        <w:tc>
          <w:tcPr>
            <w:tcW w:w="1362" w:type="dxa"/>
            <w:tcBorders>
              <w:top w:val="single" w:sz="4" w:space="0" w:color="016794"/>
              <w:left w:val="nil"/>
              <w:bottom w:val="single" w:sz="4" w:space="0" w:color="016794"/>
              <w:right w:val="nil"/>
              <w:tl2br w:val="nil"/>
              <w:tr2bl w:val="nil"/>
            </w:tcBorders>
            <w:tcMar>
              <w:left w:w="60" w:type="dxa"/>
              <w:right w:w="60" w:type="dxa"/>
            </w:tcMar>
            <w:vAlign w:val="center"/>
          </w:tcPr>
          <w:p w14:paraId="153C8FA5" w14:textId="77777777" w:rsidR="00807FFE" w:rsidRDefault="00023E71">
            <w:pPr>
              <w:pStyle w:val="DMETW36756BIPNDFLCY"/>
              <w:jc w:val="right"/>
              <w:rPr>
                <w:rFonts w:ascii="Verdana" w:eastAsia="Verdana" w:hAnsi="Verdana" w:cs="Verdana"/>
                <w:b/>
                <w:noProof/>
                <w:color w:val="000000"/>
                <w:sz w:val="18"/>
                <w:lang w:bidi="en-GB"/>
              </w:rPr>
            </w:pPr>
            <w:r>
              <w:rPr>
                <w:rFonts w:ascii="Verdana" w:eastAsia="Verdana" w:hAnsi="Verdana" w:cs="Verdana"/>
                <w:b/>
                <w:noProof/>
                <w:color w:val="000000"/>
                <w:sz w:val="18"/>
              </w:rPr>
              <w:t>(798 034)</w:t>
            </w:r>
          </w:p>
        </w:tc>
      </w:tr>
      <w:tr w:rsidR="00807FFE" w14:paraId="6E7923F3" w14:textId="77777777">
        <w:trPr>
          <w:trHeight w:val="255"/>
        </w:trPr>
        <w:tc>
          <w:tcPr>
            <w:tcW w:w="2689" w:type="dxa"/>
            <w:tcBorders>
              <w:top w:val="single" w:sz="4" w:space="0" w:color="016794"/>
              <w:left w:val="nil"/>
              <w:bottom w:val="nil"/>
              <w:right w:val="nil"/>
              <w:tl2br w:val="nil"/>
              <w:tr2bl w:val="nil"/>
            </w:tcBorders>
            <w:tcMar>
              <w:left w:w="60" w:type="dxa"/>
              <w:right w:w="60" w:type="dxa"/>
            </w:tcMar>
            <w:vAlign w:val="center"/>
          </w:tcPr>
          <w:p w14:paraId="1B8C5D51" w14:textId="77777777" w:rsidR="00807FFE" w:rsidRDefault="00023E71">
            <w:pPr>
              <w:pStyle w:val="DMETW36756BIPNDFLCY"/>
              <w:rPr>
                <w:rFonts w:ascii="Verdana" w:eastAsia="Verdana" w:hAnsi="Verdana" w:cs="Verdana"/>
                <w:i/>
                <w:noProof/>
                <w:color w:val="000000"/>
                <w:sz w:val="18"/>
              </w:rPr>
            </w:pPr>
            <w:r>
              <w:rPr>
                <w:rFonts w:ascii="Verdana" w:eastAsia="Verdana" w:hAnsi="Verdana" w:cs="Verdana"/>
                <w:i/>
                <w:noProof/>
                <w:color w:val="000000"/>
                <w:sz w:val="18"/>
              </w:rPr>
              <w:t>Borrowings</w:t>
            </w:r>
          </w:p>
        </w:tc>
        <w:tc>
          <w:tcPr>
            <w:tcW w:w="1441" w:type="dxa"/>
            <w:tcBorders>
              <w:top w:val="single" w:sz="4" w:space="0" w:color="016794"/>
              <w:left w:val="nil"/>
              <w:bottom w:val="nil"/>
              <w:right w:val="nil"/>
              <w:tl2br w:val="nil"/>
              <w:tr2bl w:val="nil"/>
            </w:tcBorders>
            <w:tcMar>
              <w:left w:w="60" w:type="dxa"/>
              <w:right w:w="60" w:type="dxa"/>
            </w:tcMar>
            <w:vAlign w:val="center"/>
          </w:tcPr>
          <w:p w14:paraId="72E4BB2C"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(61 589)</w:t>
            </w:r>
          </w:p>
        </w:tc>
        <w:tc>
          <w:tcPr>
            <w:tcW w:w="1509" w:type="dxa"/>
            <w:tcBorders>
              <w:top w:val="single" w:sz="4" w:space="0" w:color="016794"/>
              <w:left w:val="nil"/>
              <w:bottom w:val="nil"/>
              <w:right w:val="nil"/>
              <w:tl2br w:val="nil"/>
              <w:tr2bl w:val="nil"/>
            </w:tcBorders>
            <w:tcMar>
              <w:left w:w="60" w:type="dxa"/>
              <w:right w:w="60" w:type="dxa"/>
            </w:tcMar>
            <w:vAlign w:val="center"/>
          </w:tcPr>
          <w:p w14:paraId="4BED8384"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(201 152)</w:t>
            </w:r>
          </w:p>
        </w:tc>
        <w:tc>
          <w:tcPr>
            <w:tcW w:w="1350" w:type="dxa"/>
            <w:tcBorders>
              <w:top w:val="single" w:sz="4" w:space="0" w:color="016794"/>
              <w:left w:val="nil"/>
              <w:bottom w:val="nil"/>
              <w:right w:val="nil"/>
              <w:tl2br w:val="nil"/>
              <w:tr2bl w:val="nil"/>
            </w:tcBorders>
            <w:tcMar>
              <w:left w:w="60" w:type="dxa"/>
              <w:right w:w="60" w:type="dxa"/>
            </w:tcMar>
            <w:vAlign w:val="center"/>
          </w:tcPr>
          <w:p w14:paraId="71DB3498"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(468 669)</w:t>
            </w:r>
          </w:p>
        </w:tc>
        <w:tc>
          <w:tcPr>
            <w:tcW w:w="1407" w:type="dxa"/>
            <w:tcBorders>
              <w:top w:val="single" w:sz="4" w:space="0" w:color="016794"/>
              <w:left w:val="nil"/>
              <w:bottom w:val="nil"/>
              <w:right w:val="nil"/>
              <w:tl2br w:val="nil"/>
              <w:tr2bl w:val="nil"/>
            </w:tcBorders>
            <w:tcMar>
              <w:left w:w="60" w:type="dxa"/>
              <w:right w:w="60" w:type="dxa"/>
            </w:tcMar>
            <w:vAlign w:val="center"/>
          </w:tcPr>
          <w:p w14:paraId="017D9CAA"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(731 410)</w:t>
            </w:r>
          </w:p>
        </w:tc>
        <w:tc>
          <w:tcPr>
            <w:tcW w:w="1362" w:type="dxa"/>
            <w:tcBorders>
              <w:top w:val="single" w:sz="4" w:space="0" w:color="016794"/>
              <w:left w:val="nil"/>
              <w:bottom w:val="nil"/>
              <w:right w:val="nil"/>
              <w:tl2br w:val="nil"/>
              <w:tr2bl w:val="nil"/>
            </w:tcBorders>
            <w:tcMar>
              <w:left w:w="60" w:type="dxa"/>
              <w:right w:w="60" w:type="dxa"/>
            </w:tcMar>
            <w:vAlign w:val="center"/>
          </w:tcPr>
          <w:p w14:paraId="4AEFD988" w14:textId="77777777" w:rsidR="00807FFE" w:rsidRDefault="00023E71">
            <w:pPr>
              <w:pStyle w:val="DMETW36756BIPNDFLCY"/>
              <w:jc w:val="right"/>
              <w:rPr>
                <w:rFonts w:ascii="Verdana" w:eastAsia="Verdana" w:hAnsi="Verdana" w:cs="Verdana"/>
                <w:i/>
                <w:noProof/>
                <w:color w:val="000000"/>
                <w:sz w:val="18"/>
                <w:lang w:bidi="en-GB"/>
              </w:rPr>
            </w:pPr>
            <w:r>
              <w:rPr>
                <w:rFonts w:ascii="Verdana" w:eastAsia="Verdana" w:hAnsi="Verdana" w:cs="Verdana"/>
                <w:i/>
                <w:noProof/>
                <w:color w:val="000000"/>
                <w:sz w:val="18"/>
              </w:rPr>
              <w:t>(594 028)</w:t>
            </w:r>
          </w:p>
        </w:tc>
      </w:tr>
      <w:tr w:rsidR="00807FFE" w14:paraId="39AFF7DF" w14:textId="77777777">
        <w:trPr>
          <w:trHeight w:val="255"/>
        </w:trPr>
        <w:tc>
          <w:tcPr>
            <w:tcW w:w="2689" w:type="dxa"/>
            <w:tcBorders>
              <w:top w:val="nil"/>
              <w:left w:val="nil"/>
              <w:bottom w:val="nil"/>
              <w:right w:val="nil"/>
              <w:tl2br w:val="nil"/>
              <w:tr2bl w:val="nil"/>
            </w:tcBorders>
            <w:tcMar>
              <w:left w:w="60" w:type="dxa"/>
              <w:right w:w="60" w:type="dxa"/>
            </w:tcMar>
            <w:vAlign w:val="center"/>
          </w:tcPr>
          <w:p w14:paraId="38651C03" w14:textId="77777777" w:rsidR="00807FFE" w:rsidRDefault="00023E71">
            <w:pPr>
              <w:pStyle w:val="DMETW36756BIPNDFLCY"/>
              <w:rPr>
                <w:rFonts w:ascii="Verdana" w:eastAsia="Verdana" w:hAnsi="Verdana" w:cs="Verdana"/>
                <w:i/>
                <w:noProof/>
                <w:color w:val="000000"/>
                <w:sz w:val="18"/>
              </w:rPr>
            </w:pPr>
            <w:r>
              <w:rPr>
                <w:rFonts w:ascii="Verdana" w:eastAsia="Verdana" w:hAnsi="Verdana" w:cs="Verdana"/>
                <w:i/>
                <w:noProof/>
                <w:color w:val="000000"/>
                <w:sz w:val="18"/>
              </w:rPr>
              <w:t>Payables</w:t>
            </w:r>
          </w:p>
        </w:tc>
        <w:tc>
          <w:tcPr>
            <w:tcW w:w="1441" w:type="dxa"/>
            <w:tcBorders>
              <w:top w:val="nil"/>
              <w:left w:val="nil"/>
              <w:bottom w:val="nil"/>
              <w:right w:val="nil"/>
              <w:tl2br w:val="nil"/>
              <w:tr2bl w:val="nil"/>
            </w:tcBorders>
            <w:tcMar>
              <w:left w:w="60" w:type="dxa"/>
              <w:right w:w="60" w:type="dxa"/>
            </w:tcMar>
            <w:vAlign w:val="center"/>
          </w:tcPr>
          <w:p w14:paraId="19F066F3"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(55 414)</w:t>
            </w:r>
          </w:p>
        </w:tc>
        <w:tc>
          <w:tcPr>
            <w:tcW w:w="1509" w:type="dxa"/>
            <w:tcBorders>
              <w:top w:val="nil"/>
              <w:left w:val="nil"/>
              <w:bottom w:val="nil"/>
              <w:right w:val="nil"/>
              <w:tl2br w:val="nil"/>
              <w:tr2bl w:val="nil"/>
            </w:tcBorders>
            <w:tcMar>
              <w:left w:w="60" w:type="dxa"/>
              <w:right w:w="60" w:type="dxa"/>
            </w:tcMar>
            <w:vAlign w:val="center"/>
          </w:tcPr>
          <w:p w14:paraId="36AA332C"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50" w:type="dxa"/>
            <w:tcBorders>
              <w:top w:val="nil"/>
              <w:left w:val="nil"/>
              <w:bottom w:val="nil"/>
              <w:right w:val="nil"/>
              <w:tl2br w:val="nil"/>
              <w:tr2bl w:val="nil"/>
            </w:tcBorders>
            <w:tcMar>
              <w:left w:w="60" w:type="dxa"/>
              <w:right w:w="60" w:type="dxa"/>
            </w:tcMar>
            <w:vAlign w:val="center"/>
          </w:tcPr>
          <w:p w14:paraId="3A79EFFC"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07" w:type="dxa"/>
            <w:tcBorders>
              <w:top w:val="nil"/>
              <w:left w:val="nil"/>
              <w:bottom w:val="nil"/>
              <w:right w:val="nil"/>
              <w:tl2br w:val="nil"/>
              <w:tr2bl w:val="nil"/>
            </w:tcBorders>
            <w:tcMar>
              <w:left w:w="60" w:type="dxa"/>
              <w:right w:w="60" w:type="dxa"/>
            </w:tcMar>
            <w:vAlign w:val="center"/>
          </w:tcPr>
          <w:p w14:paraId="72F85795"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(55 414)</w:t>
            </w:r>
          </w:p>
        </w:tc>
        <w:tc>
          <w:tcPr>
            <w:tcW w:w="1362" w:type="dxa"/>
            <w:tcBorders>
              <w:top w:val="nil"/>
              <w:left w:val="nil"/>
              <w:bottom w:val="nil"/>
              <w:right w:val="nil"/>
              <w:tl2br w:val="nil"/>
              <w:tr2bl w:val="nil"/>
            </w:tcBorders>
            <w:tcMar>
              <w:left w:w="60" w:type="dxa"/>
              <w:right w:w="60" w:type="dxa"/>
            </w:tcMar>
            <w:vAlign w:val="center"/>
          </w:tcPr>
          <w:p w14:paraId="3C44E272" w14:textId="77777777" w:rsidR="00807FFE" w:rsidRDefault="00023E71">
            <w:pPr>
              <w:pStyle w:val="DMETW36756BIPNDFLCY"/>
              <w:jc w:val="right"/>
              <w:rPr>
                <w:rFonts w:ascii="Verdana" w:eastAsia="Verdana" w:hAnsi="Verdana" w:cs="Verdana"/>
                <w:i/>
                <w:noProof/>
                <w:color w:val="000000"/>
                <w:sz w:val="18"/>
                <w:lang w:bidi="en-GB"/>
              </w:rPr>
            </w:pPr>
            <w:r>
              <w:rPr>
                <w:rFonts w:ascii="Verdana" w:eastAsia="Verdana" w:hAnsi="Verdana" w:cs="Verdana"/>
                <w:i/>
                <w:noProof/>
                <w:color w:val="000000"/>
                <w:sz w:val="18"/>
              </w:rPr>
              <w:t>(55 414)</w:t>
            </w:r>
          </w:p>
        </w:tc>
      </w:tr>
      <w:tr w:rsidR="00807FFE" w14:paraId="6B8D0851" w14:textId="77777777">
        <w:trPr>
          <w:trHeight w:val="255"/>
        </w:trPr>
        <w:tc>
          <w:tcPr>
            <w:tcW w:w="2689" w:type="dxa"/>
            <w:tcBorders>
              <w:top w:val="nil"/>
              <w:left w:val="nil"/>
              <w:bottom w:val="single" w:sz="4" w:space="0" w:color="016794"/>
              <w:right w:val="nil"/>
              <w:tl2br w:val="nil"/>
              <w:tr2bl w:val="nil"/>
            </w:tcBorders>
            <w:tcMar>
              <w:left w:w="60" w:type="dxa"/>
              <w:right w:w="60" w:type="dxa"/>
            </w:tcMar>
            <w:vAlign w:val="center"/>
          </w:tcPr>
          <w:p w14:paraId="2EC4F24A" w14:textId="77777777" w:rsidR="00807FFE" w:rsidRDefault="00023E71">
            <w:pPr>
              <w:pStyle w:val="DMETW36756BIPNDFLCY"/>
              <w:rPr>
                <w:rFonts w:ascii="Verdana" w:eastAsia="Verdana" w:hAnsi="Verdana" w:cs="Verdana"/>
                <w:i/>
                <w:noProof/>
                <w:color w:val="000000"/>
                <w:sz w:val="18"/>
              </w:rPr>
            </w:pPr>
            <w:r>
              <w:rPr>
                <w:rFonts w:ascii="Verdana" w:eastAsia="Verdana" w:hAnsi="Verdana" w:cs="Verdana"/>
                <w:i/>
                <w:noProof/>
                <w:color w:val="000000"/>
                <w:sz w:val="18"/>
              </w:rPr>
              <w:t xml:space="preserve">Other </w:t>
            </w:r>
          </w:p>
        </w:tc>
        <w:tc>
          <w:tcPr>
            <w:tcW w:w="1441" w:type="dxa"/>
            <w:tcBorders>
              <w:top w:val="nil"/>
              <w:left w:val="nil"/>
              <w:bottom w:val="single" w:sz="4" w:space="0" w:color="016794"/>
              <w:right w:val="nil"/>
              <w:tl2br w:val="nil"/>
              <w:tr2bl w:val="nil"/>
            </w:tcBorders>
            <w:tcMar>
              <w:left w:w="60" w:type="dxa"/>
              <w:right w:w="60" w:type="dxa"/>
            </w:tcMar>
            <w:vAlign w:val="center"/>
          </w:tcPr>
          <w:p w14:paraId="548FD746"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 xml:space="preserve"> (168)</w:t>
            </w:r>
          </w:p>
        </w:tc>
        <w:tc>
          <w:tcPr>
            <w:tcW w:w="1509" w:type="dxa"/>
            <w:tcBorders>
              <w:top w:val="nil"/>
              <w:left w:val="nil"/>
              <w:bottom w:val="single" w:sz="4" w:space="0" w:color="016794"/>
              <w:right w:val="nil"/>
              <w:tl2br w:val="nil"/>
              <w:tr2bl w:val="nil"/>
            </w:tcBorders>
            <w:tcMar>
              <w:left w:w="60" w:type="dxa"/>
              <w:right w:w="60" w:type="dxa"/>
            </w:tcMar>
            <w:vAlign w:val="center"/>
          </w:tcPr>
          <w:p w14:paraId="2D4282D4"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 xml:space="preserve"> (560)</w:t>
            </w:r>
          </w:p>
        </w:tc>
        <w:tc>
          <w:tcPr>
            <w:tcW w:w="1350" w:type="dxa"/>
            <w:tcBorders>
              <w:top w:val="nil"/>
              <w:left w:val="nil"/>
              <w:bottom w:val="single" w:sz="4" w:space="0" w:color="016794"/>
              <w:right w:val="nil"/>
              <w:tl2br w:val="nil"/>
              <w:tr2bl w:val="nil"/>
            </w:tcBorders>
            <w:tcMar>
              <w:left w:w="60" w:type="dxa"/>
              <w:right w:w="60" w:type="dxa"/>
            </w:tcMar>
            <w:vAlign w:val="center"/>
          </w:tcPr>
          <w:p w14:paraId="6BA1D628"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 xml:space="preserve"> (850)</w:t>
            </w:r>
          </w:p>
        </w:tc>
        <w:tc>
          <w:tcPr>
            <w:tcW w:w="1407" w:type="dxa"/>
            <w:tcBorders>
              <w:top w:val="nil"/>
              <w:left w:val="nil"/>
              <w:bottom w:val="single" w:sz="4" w:space="0" w:color="016794"/>
              <w:right w:val="nil"/>
              <w:tl2br w:val="nil"/>
              <w:tr2bl w:val="nil"/>
            </w:tcBorders>
            <w:tcMar>
              <w:left w:w="60" w:type="dxa"/>
              <w:right w:w="60" w:type="dxa"/>
            </w:tcMar>
            <w:vAlign w:val="center"/>
          </w:tcPr>
          <w:p w14:paraId="3AA19FE3" w14:textId="77777777" w:rsidR="00807FFE" w:rsidRDefault="00023E71">
            <w:pPr>
              <w:pStyle w:val="DMETW36756BIPNDFLCY"/>
              <w:jc w:val="right"/>
              <w:rPr>
                <w:rFonts w:ascii="Verdana" w:eastAsia="Verdana" w:hAnsi="Verdana" w:cs="Verdana"/>
                <w:i/>
                <w:noProof/>
                <w:color w:val="000000"/>
                <w:sz w:val="18"/>
              </w:rPr>
            </w:pPr>
            <w:r>
              <w:rPr>
                <w:rFonts w:ascii="Verdana" w:eastAsia="Verdana" w:hAnsi="Verdana" w:cs="Verdana"/>
                <w:i/>
                <w:noProof/>
                <w:color w:val="000000"/>
                <w:sz w:val="18"/>
              </w:rPr>
              <w:t>(1 578)</w:t>
            </w:r>
          </w:p>
        </w:tc>
        <w:tc>
          <w:tcPr>
            <w:tcW w:w="1362" w:type="dxa"/>
            <w:tcBorders>
              <w:top w:val="nil"/>
              <w:left w:val="nil"/>
              <w:bottom w:val="single" w:sz="4" w:space="0" w:color="016794"/>
              <w:right w:val="nil"/>
              <w:tl2br w:val="nil"/>
              <w:tr2bl w:val="nil"/>
            </w:tcBorders>
            <w:tcMar>
              <w:left w:w="60" w:type="dxa"/>
              <w:right w:w="60" w:type="dxa"/>
            </w:tcMar>
            <w:vAlign w:val="center"/>
          </w:tcPr>
          <w:p w14:paraId="657F9BE8" w14:textId="77777777" w:rsidR="00807FFE" w:rsidRDefault="00023E71">
            <w:pPr>
              <w:pStyle w:val="DMETW36756BIPNDFLCY"/>
              <w:jc w:val="right"/>
              <w:rPr>
                <w:rFonts w:ascii="Verdana" w:eastAsia="Verdana" w:hAnsi="Verdana" w:cs="Verdana"/>
                <w:i/>
                <w:noProof/>
                <w:color w:val="000000"/>
                <w:sz w:val="18"/>
                <w:lang w:bidi="en-GB"/>
              </w:rPr>
            </w:pPr>
            <w:r>
              <w:rPr>
                <w:rFonts w:ascii="Verdana" w:eastAsia="Verdana" w:hAnsi="Verdana" w:cs="Verdana"/>
                <w:i/>
                <w:noProof/>
                <w:color w:val="000000"/>
                <w:sz w:val="18"/>
              </w:rPr>
              <w:t>(1 398)</w:t>
            </w:r>
          </w:p>
        </w:tc>
      </w:tr>
      <w:tr w:rsidR="00807FFE" w14:paraId="67CCA7F1" w14:textId="77777777">
        <w:trPr>
          <w:trHeight w:val="255"/>
        </w:trPr>
        <w:tc>
          <w:tcPr>
            <w:tcW w:w="2689" w:type="dxa"/>
            <w:tcBorders>
              <w:top w:val="single" w:sz="4" w:space="0" w:color="016794"/>
              <w:left w:val="nil"/>
              <w:bottom w:val="single" w:sz="4" w:space="0" w:color="016794"/>
              <w:right w:val="nil"/>
              <w:tl2br w:val="nil"/>
              <w:tr2bl w:val="nil"/>
            </w:tcBorders>
            <w:tcMar>
              <w:left w:w="60" w:type="dxa"/>
              <w:right w:w="60" w:type="dxa"/>
            </w:tcMar>
            <w:vAlign w:val="center"/>
          </w:tcPr>
          <w:p w14:paraId="1C8500FE" w14:textId="77777777" w:rsidR="00807FFE" w:rsidRDefault="00023E71">
            <w:pPr>
              <w:pStyle w:val="DMETW36756BIPNDFLCY"/>
              <w:rPr>
                <w:rFonts w:ascii="Verdana" w:eastAsia="Verdana" w:hAnsi="Verdana" w:cs="Verdana"/>
                <w:b/>
                <w:noProof/>
                <w:color w:val="000000"/>
                <w:sz w:val="18"/>
              </w:rPr>
            </w:pPr>
            <w:r>
              <w:rPr>
                <w:rFonts w:ascii="Verdana" w:eastAsia="Verdana" w:hAnsi="Verdana" w:cs="Verdana"/>
                <w:b/>
                <w:noProof/>
                <w:color w:val="000000"/>
                <w:sz w:val="18"/>
              </w:rPr>
              <w:t>Total at 31.12.2024</w:t>
            </w:r>
          </w:p>
        </w:tc>
        <w:tc>
          <w:tcPr>
            <w:tcW w:w="1441" w:type="dxa"/>
            <w:tcBorders>
              <w:top w:val="single" w:sz="4" w:space="0" w:color="016794"/>
              <w:left w:val="nil"/>
              <w:bottom w:val="single" w:sz="4" w:space="0" w:color="016794"/>
              <w:right w:val="nil"/>
              <w:tl2br w:val="nil"/>
              <w:tr2bl w:val="nil"/>
            </w:tcBorders>
            <w:tcMar>
              <w:left w:w="60" w:type="dxa"/>
              <w:right w:w="60" w:type="dxa"/>
            </w:tcMar>
            <w:vAlign w:val="center"/>
          </w:tcPr>
          <w:p w14:paraId="3583C39A"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(117 171)</w:t>
            </w:r>
          </w:p>
        </w:tc>
        <w:tc>
          <w:tcPr>
            <w:tcW w:w="1509" w:type="dxa"/>
            <w:tcBorders>
              <w:top w:val="single" w:sz="4" w:space="0" w:color="016794"/>
              <w:left w:val="nil"/>
              <w:bottom w:val="single" w:sz="4" w:space="0" w:color="016794"/>
              <w:right w:val="nil"/>
              <w:tl2br w:val="nil"/>
              <w:tr2bl w:val="nil"/>
            </w:tcBorders>
            <w:tcMar>
              <w:left w:w="60" w:type="dxa"/>
              <w:right w:w="60" w:type="dxa"/>
            </w:tcMar>
            <w:vAlign w:val="center"/>
          </w:tcPr>
          <w:p w14:paraId="1AF3AEAF"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(201 711)</w:t>
            </w:r>
          </w:p>
        </w:tc>
        <w:tc>
          <w:tcPr>
            <w:tcW w:w="1350" w:type="dxa"/>
            <w:tcBorders>
              <w:top w:val="single" w:sz="4" w:space="0" w:color="016794"/>
              <w:left w:val="nil"/>
              <w:bottom w:val="single" w:sz="4" w:space="0" w:color="016794"/>
              <w:right w:val="nil"/>
              <w:tl2br w:val="nil"/>
              <w:tr2bl w:val="nil"/>
            </w:tcBorders>
            <w:tcMar>
              <w:left w:w="60" w:type="dxa"/>
              <w:right w:w="60" w:type="dxa"/>
            </w:tcMar>
            <w:vAlign w:val="center"/>
          </w:tcPr>
          <w:p w14:paraId="11812AD8"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(469 519)</w:t>
            </w:r>
          </w:p>
        </w:tc>
        <w:tc>
          <w:tcPr>
            <w:tcW w:w="1407" w:type="dxa"/>
            <w:tcBorders>
              <w:top w:val="single" w:sz="4" w:space="0" w:color="016794"/>
              <w:left w:val="nil"/>
              <w:bottom w:val="single" w:sz="4" w:space="0" w:color="016794"/>
              <w:right w:val="nil"/>
              <w:tl2br w:val="nil"/>
              <w:tr2bl w:val="nil"/>
            </w:tcBorders>
            <w:tcMar>
              <w:left w:w="60" w:type="dxa"/>
              <w:right w:w="60" w:type="dxa"/>
            </w:tcMar>
            <w:vAlign w:val="center"/>
          </w:tcPr>
          <w:p w14:paraId="23556DF2"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(788 401)</w:t>
            </w:r>
          </w:p>
        </w:tc>
        <w:tc>
          <w:tcPr>
            <w:tcW w:w="1362" w:type="dxa"/>
            <w:tcBorders>
              <w:top w:val="single" w:sz="4" w:space="0" w:color="016794"/>
              <w:left w:val="nil"/>
              <w:bottom w:val="single" w:sz="4" w:space="0" w:color="016794"/>
              <w:right w:val="nil"/>
              <w:tl2br w:val="nil"/>
              <w:tr2bl w:val="nil"/>
            </w:tcBorders>
            <w:tcMar>
              <w:left w:w="60" w:type="dxa"/>
              <w:right w:w="60" w:type="dxa"/>
            </w:tcMar>
            <w:vAlign w:val="center"/>
          </w:tcPr>
          <w:p w14:paraId="1F67AFB6" w14:textId="77777777" w:rsidR="00807FFE" w:rsidRDefault="00023E71">
            <w:pPr>
              <w:pStyle w:val="DMETW36756BIPNDFLCY"/>
              <w:jc w:val="right"/>
              <w:rPr>
                <w:rFonts w:ascii="Verdana" w:eastAsia="Verdana" w:hAnsi="Verdana" w:cs="Verdana"/>
                <w:b/>
                <w:noProof/>
                <w:color w:val="000000"/>
                <w:sz w:val="18"/>
              </w:rPr>
            </w:pPr>
            <w:r>
              <w:rPr>
                <w:rFonts w:ascii="Verdana" w:eastAsia="Verdana" w:hAnsi="Verdana" w:cs="Verdana"/>
                <w:b/>
                <w:noProof/>
                <w:color w:val="000000"/>
                <w:sz w:val="18"/>
              </w:rPr>
              <w:t>(650 839)</w:t>
            </w:r>
          </w:p>
        </w:tc>
      </w:tr>
    </w:tbl>
    <w:p w14:paraId="3153A5B0" w14:textId="77777777" w:rsidR="005779E6" w:rsidRDefault="005779E6" w:rsidP="00C8050C">
      <w:pPr>
        <w:pStyle w:val="HEADER5"/>
        <w:spacing w:before="240"/>
        <w:rPr>
          <w:noProof/>
        </w:rPr>
      </w:pPr>
    </w:p>
    <w:p w14:paraId="7108224F" w14:textId="77777777" w:rsidR="005779E6" w:rsidRDefault="00023E71">
      <w:pPr>
        <w:rPr>
          <w:rFonts w:ascii="Verdana" w:hAnsi="Verdana"/>
          <w:noProof/>
          <w:color w:val="016794"/>
          <w:sz w:val="18"/>
          <w:szCs w:val="18"/>
        </w:rPr>
      </w:pPr>
      <w:r>
        <w:rPr>
          <w:noProof/>
        </w:rPr>
        <w:br w:type="page"/>
      </w:r>
    </w:p>
    <w:p w14:paraId="60191494" w14:textId="77777777" w:rsidR="0032121F" w:rsidRDefault="00023E71" w:rsidP="005779E6">
      <w:pPr>
        <w:pStyle w:val="HEADER5"/>
        <w:rPr>
          <w:noProof/>
        </w:rPr>
      </w:pPr>
      <w:r w:rsidRPr="0032121F">
        <w:rPr>
          <w:noProof/>
        </w:rPr>
        <w:t>Maturity analysis of derivative financial liabilities by remaining contractual maturity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5"/>
        <w:gridCol w:w="1141"/>
        <w:gridCol w:w="1141"/>
        <w:gridCol w:w="1141"/>
        <w:gridCol w:w="1141"/>
        <w:gridCol w:w="1299"/>
      </w:tblGrid>
      <w:tr w:rsidR="00807FFE" w14:paraId="1A87E494" w14:textId="77777777">
        <w:trPr>
          <w:trHeight w:val="255"/>
        </w:trPr>
        <w:tc>
          <w:tcPr>
            <w:tcW w:w="3895" w:type="dxa"/>
            <w:tcBorders>
              <w:top w:val="nil"/>
              <w:left w:val="nil"/>
              <w:bottom w:val="nil"/>
              <w:right w:val="nil"/>
              <w:tl2br w:val="nil"/>
              <w:tr2bl w:val="nil"/>
            </w:tcBorders>
            <w:tcMar>
              <w:left w:w="60" w:type="dxa"/>
              <w:right w:w="60" w:type="dxa"/>
            </w:tcMar>
            <w:vAlign w:val="bottom"/>
          </w:tcPr>
          <w:p w14:paraId="3D37508D" w14:textId="77777777" w:rsidR="00807FFE" w:rsidRDefault="00807FFE">
            <w:pPr>
              <w:pStyle w:val="DMETW36617BIPDFLCY"/>
              <w:rPr>
                <w:rFonts w:ascii="Arial" w:eastAsia="Arial" w:hAnsi="Arial" w:cs="Arial"/>
                <w:noProof/>
                <w:color w:val="000000"/>
                <w:lang w:bidi="en-GB"/>
              </w:rPr>
            </w:pPr>
            <w:bookmarkStart w:id="238" w:name="DOC_TBL00103_1_1"/>
            <w:bookmarkEnd w:id="238"/>
          </w:p>
        </w:tc>
        <w:tc>
          <w:tcPr>
            <w:tcW w:w="1141" w:type="dxa"/>
            <w:tcBorders>
              <w:top w:val="nil"/>
              <w:left w:val="nil"/>
              <w:bottom w:val="nil"/>
              <w:right w:val="nil"/>
              <w:tl2br w:val="nil"/>
              <w:tr2bl w:val="nil"/>
            </w:tcBorders>
            <w:tcMar>
              <w:left w:w="60" w:type="dxa"/>
              <w:right w:w="60" w:type="dxa"/>
            </w:tcMar>
            <w:vAlign w:val="bottom"/>
          </w:tcPr>
          <w:p w14:paraId="0E1A0273" w14:textId="77777777" w:rsidR="00807FFE" w:rsidRDefault="00807FFE">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14:paraId="16DCA55C" w14:textId="77777777" w:rsidR="00807FFE" w:rsidRDefault="00807FFE">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14:paraId="29C07B03" w14:textId="77777777" w:rsidR="00807FFE" w:rsidRDefault="00807FFE">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14:paraId="583BEB98" w14:textId="77777777" w:rsidR="00807FFE" w:rsidRDefault="00807FFE">
            <w:pPr>
              <w:pStyle w:val="DMETW36617BIPDFLCY"/>
              <w:rPr>
                <w:rFonts w:ascii="Verdana" w:eastAsia="Verdana" w:hAnsi="Verdana" w:cs="Verdana"/>
                <w:noProof/>
                <w:color w:val="000000"/>
              </w:rPr>
            </w:pPr>
          </w:p>
        </w:tc>
        <w:tc>
          <w:tcPr>
            <w:tcW w:w="1299" w:type="dxa"/>
            <w:tcBorders>
              <w:top w:val="nil"/>
              <w:left w:val="nil"/>
              <w:bottom w:val="nil"/>
              <w:right w:val="nil"/>
              <w:tl2br w:val="nil"/>
              <w:tr2bl w:val="nil"/>
            </w:tcBorders>
            <w:tcMar>
              <w:left w:w="60" w:type="dxa"/>
              <w:right w:w="60" w:type="dxa"/>
            </w:tcMar>
            <w:vAlign w:val="bottom"/>
          </w:tcPr>
          <w:p w14:paraId="0DCA0754" w14:textId="77777777" w:rsidR="00807FFE" w:rsidRDefault="00023E71">
            <w:pPr>
              <w:pStyle w:val="DMETW36617BIPDFLC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15A60D1" w14:textId="77777777">
        <w:trPr>
          <w:trHeight w:val="255"/>
        </w:trPr>
        <w:tc>
          <w:tcPr>
            <w:tcW w:w="3895" w:type="dxa"/>
            <w:tcBorders>
              <w:top w:val="nil"/>
              <w:left w:val="nil"/>
              <w:bottom w:val="nil"/>
              <w:right w:val="nil"/>
              <w:tl2br w:val="nil"/>
              <w:tr2bl w:val="nil"/>
            </w:tcBorders>
            <w:shd w:val="solid" w:color="016794" w:fill="FFFFFF"/>
            <w:tcMar>
              <w:left w:w="60" w:type="dxa"/>
              <w:right w:w="60" w:type="dxa"/>
            </w:tcMar>
            <w:vAlign w:val="center"/>
          </w:tcPr>
          <w:p w14:paraId="6A58CB0B" w14:textId="77777777" w:rsidR="00807FFE" w:rsidRDefault="00807FFE">
            <w:pPr>
              <w:pStyle w:val="DMETW36617BIPDFLCY"/>
              <w:jc w:val="right"/>
              <w:rPr>
                <w:rFonts w:ascii="Verdana" w:eastAsia="Verdana" w:hAnsi="Verdana" w:cs="Verdana"/>
                <w:noProof/>
                <w:color w:val="FFFFFF"/>
              </w:rPr>
            </w:pPr>
          </w:p>
        </w:tc>
        <w:tc>
          <w:tcPr>
            <w:tcW w:w="1141" w:type="dxa"/>
            <w:gridSpan w:val="4"/>
            <w:tcBorders>
              <w:top w:val="nil"/>
              <w:left w:val="nil"/>
              <w:bottom w:val="nil"/>
              <w:right w:val="nil"/>
              <w:tl2br w:val="nil"/>
              <w:tr2bl w:val="nil"/>
            </w:tcBorders>
            <w:shd w:val="solid" w:color="016794" w:fill="FFFFFF"/>
            <w:tcMar>
              <w:left w:w="60" w:type="dxa"/>
              <w:right w:w="60" w:type="dxa"/>
            </w:tcMar>
            <w:vAlign w:val="center"/>
          </w:tcPr>
          <w:p w14:paraId="6B72578F" w14:textId="77777777" w:rsidR="00807FFE" w:rsidRDefault="00023E71">
            <w:pPr>
              <w:pStyle w:val="DMETW36617BIPDFLCY"/>
              <w:jc w:val="center"/>
              <w:rPr>
                <w:rFonts w:ascii="Verdana" w:eastAsia="Verdana" w:hAnsi="Verdana" w:cs="Verdana"/>
                <w:noProof/>
                <w:color w:val="FFFFFF"/>
              </w:rPr>
            </w:pPr>
            <w:r>
              <w:rPr>
                <w:rFonts w:ascii="Verdana" w:eastAsia="Verdana" w:hAnsi="Verdana" w:cs="Verdana"/>
                <w:noProof/>
                <w:color w:val="FFFFFF"/>
              </w:rPr>
              <w:t>Undiscounted contractual cash-flows</w:t>
            </w:r>
          </w:p>
        </w:tc>
        <w:tc>
          <w:tcPr>
            <w:tcW w:w="1299" w:type="dxa"/>
            <w:vMerge w:val="restart"/>
            <w:tcBorders>
              <w:top w:val="nil"/>
              <w:left w:val="nil"/>
              <w:bottom w:val="nil"/>
              <w:right w:val="nil"/>
              <w:tl2br w:val="nil"/>
              <w:tr2bl w:val="nil"/>
            </w:tcBorders>
            <w:shd w:val="solid" w:color="016794" w:fill="FFFFFF"/>
            <w:tcMar>
              <w:left w:w="60" w:type="dxa"/>
              <w:right w:w="60" w:type="dxa"/>
            </w:tcMar>
            <w:vAlign w:val="bottom"/>
          </w:tcPr>
          <w:p w14:paraId="1C95FEBD" w14:textId="77777777" w:rsidR="00807FFE" w:rsidRDefault="00023E71">
            <w:pPr>
              <w:pStyle w:val="DMETW36617BIPDFLCY"/>
              <w:jc w:val="right"/>
              <w:rPr>
                <w:rFonts w:ascii="Verdana" w:eastAsia="Verdana" w:hAnsi="Verdana" w:cs="Verdana"/>
                <w:noProof/>
                <w:color w:val="FFFFFF"/>
                <w:lang w:bidi="en-GB"/>
              </w:rPr>
            </w:pPr>
            <w:r>
              <w:rPr>
                <w:rFonts w:ascii="Verdana" w:eastAsia="Verdana" w:hAnsi="Verdana" w:cs="Verdana"/>
                <w:noProof/>
                <w:color w:val="FFFFFF"/>
              </w:rPr>
              <w:t>Carrying amount</w:t>
            </w:r>
          </w:p>
        </w:tc>
      </w:tr>
      <w:tr w:rsidR="00807FFE" w14:paraId="2D3DA80E" w14:textId="77777777">
        <w:trPr>
          <w:trHeight w:val="255"/>
        </w:trPr>
        <w:tc>
          <w:tcPr>
            <w:tcW w:w="3895" w:type="dxa"/>
            <w:tcBorders>
              <w:top w:val="nil"/>
              <w:left w:val="nil"/>
              <w:bottom w:val="nil"/>
              <w:right w:val="nil"/>
              <w:tl2br w:val="nil"/>
              <w:tr2bl w:val="nil"/>
            </w:tcBorders>
            <w:shd w:val="solid" w:color="016794" w:fill="FFFFFF"/>
            <w:tcMar>
              <w:left w:w="60" w:type="dxa"/>
              <w:right w:w="60" w:type="dxa"/>
            </w:tcMar>
            <w:vAlign w:val="center"/>
          </w:tcPr>
          <w:p w14:paraId="434108B1" w14:textId="77777777" w:rsidR="00807FFE" w:rsidRDefault="00807FFE">
            <w:pPr>
              <w:pStyle w:val="DMETW36617BIPDFLCY"/>
              <w:jc w:val="right"/>
              <w:rPr>
                <w:rFonts w:ascii="Verdana" w:eastAsia="Verdana" w:hAnsi="Verdana" w:cs="Verdana"/>
                <w:noProof/>
                <w:color w:val="FFFFFF"/>
              </w:rPr>
            </w:pPr>
          </w:p>
        </w:tc>
        <w:tc>
          <w:tcPr>
            <w:tcW w:w="1141" w:type="dxa"/>
            <w:tcBorders>
              <w:top w:val="nil"/>
              <w:left w:val="nil"/>
              <w:bottom w:val="nil"/>
              <w:right w:val="nil"/>
              <w:tl2br w:val="nil"/>
              <w:tr2bl w:val="nil"/>
            </w:tcBorders>
            <w:shd w:val="solid" w:color="016794" w:fill="FFFFFF"/>
            <w:tcMar>
              <w:left w:w="60" w:type="dxa"/>
              <w:right w:w="60" w:type="dxa"/>
            </w:tcMar>
            <w:vAlign w:val="center"/>
          </w:tcPr>
          <w:p w14:paraId="30F7552E" w14:textId="77777777" w:rsidR="00807FFE" w:rsidRDefault="00023E71">
            <w:pPr>
              <w:pStyle w:val="DMETW36617BIPDFLCY"/>
              <w:jc w:val="right"/>
              <w:rPr>
                <w:rFonts w:ascii="Verdana" w:eastAsia="Verdana" w:hAnsi="Verdana" w:cs="Verdana"/>
                <w:noProof/>
                <w:color w:val="FFFFFF"/>
              </w:rPr>
            </w:pPr>
            <w:r>
              <w:rPr>
                <w:rFonts w:ascii="Verdana" w:eastAsia="Verdana" w:hAnsi="Verdana" w:cs="Verdana"/>
                <w:noProof/>
                <w:color w:val="FFFFFF"/>
              </w:rPr>
              <w:t>&lt; 1 year</w:t>
            </w:r>
          </w:p>
        </w:tc>
        <w:tc>
          <w:tcPr>
            <w:tcW w:w="1141" w:type="dxa"/>
            <w:tcBorders>
              <w:top w:val="nil"/>
              <w:left w:val="nil"/>
              <w:bottom w:val="nil"/>
              <w:right w:val="nil"/>
              <w:tl2br w:val="nil"/>
              <w:tr2bl w:val="nil"/>
            </w:tcBorders>
            <w:shd w:val="solid" w:color="016794" w:fill="FFFFFF"/>
            <w:tcMar>
              <w:left w:w="60" w:type="dxa"/>
              <w:right w:w="60" w:type="dxa"/>
            </w:tcMar>
            <w:vAlign w:val="center"/>
          </w:tcPr>
          <w:p w14:paraId="1B8B8840" w14:textId="77777777" w:rsidR="00807FFE" w:rsidRDefault="00023E71">
            <w:pPr>
              <w:pStyle w:val="DMETW36617BIPDFLCY"/>
              <w:jc w:val="right"/>
              <w:rPr>
                <w:rFonts w:ascii="Verdana" w:eastAsia="Verdana" w:hAnsi="Verdana" w:cs="Verdana"/>
                <w:noProof/>
                <w:color w:val="FFFFFF"/>
              </w:rPr>
            </w:pPr>
            <w:r>
              <w:rPr>
                <w:rFonts w:ascii="Verdana" w:eastAsia="Verdana" w:hAnsi="Verdana" w:cs="Verdana"/>
                <w:noProof/>
                <w:color w:val="FFFFFF"/>
              </w:rPr>
              <w:t>1-5 years</w:t>
            </w:r>
          </w:p>
        </w:tc>
        <w:tc>
          <w:tcPr>
            <w:tcW w:w="1141" w:type="dxa"/>
            <w:tcBorders>
              <w:top w:val="nil"/>
              <w:left w:val="nil"/>
              <w:bottom w:val="nil"/>
              <w:right w:val="nil"/>
              <w:tl2br w:val="nil"/>
              <w:tr2bl w:val="nil"/>
            </w:tcBorders>
            <w:shd w:val="solid" w:color="016794" w:fill="FFFFFF"/>
            <w:tcMar>
              <w:left w:w="60" w:type="dxa"/>
              <w:right w:w="60" w:type="dxa"/>
            </w:tcMar>
            <w:vAlign w:val="center"/>
          </w:tcPr>
          <w:p w14:paraId="52F6BE1D" w14:textId="77777777" w:rsidR="00807FFE" w:rsidRDefault="00023E71">
            <w:pPr>
              <w:pStyle w:val="DMETW36617BIPDFLCY"/>
              <w:jc w:val="right"/>
              <w:rPr>
                <w:rFonts w:ascii="Verdana" w:eastAsia="Verdana" w:hAnsi="Verdana" w:cs="Verdana"/>
                <w:noProof/>
                <w:color w:val="FFFFFF"/>
              </w:rPr>
            </w:pPr>
            <w:r>
              <w:rPr>
                <w:rFonts w:ascii="Verdana" w:eastAsia="Verdana" w:hAnsi="Verdana" w:cs="Verdana"/>
                <w:noProof/>
                <w:color w:val="FFFFFF"/>
              </w:rPr>
              <w:t>&gt; 5 years</w:t>
            </w:r>
          </w:p>
        </w:tc>
        <w:tc>
          <w:tcPr>
            <w:tcW w:w="1141" w:type="dxa"/>
            <w:tcBorders>
              <w:top w:val="nil"/>
              <w:left w:val="nil"/>
              <w:bottom w:val="nil"/>
              <w:right w:val="nil"/>
              <w:tl2br w:val="nil"/>
              <w:tr2bl w:val="nil"/>
            </w:tcBorders>
            <w:shd w:val="solid" w:color="016794" w:fill="FFFFFF"/>
            <w:tcMar>
              <w:left w:w="60" w:type="dxa"/>
              <w:right w:w="60" w:type="dxa"/>
            </w:tcMar>
            <w:vAlign w:val="center"/>
          </w:tcPr>
          <w:p w14:paraId="5EE84795" w14:textId="77777777" w:rsidR="00807FFE" w:rsidRDefault="00023E71">
            <w:pPr>
              <w:pStyle w:val="DMETW36617BIPDFLCY"/>
              <w:jc w:val="right"/>
              <w:rPr>
                <w:rFonts w:ascii="Verdana" w:eastAsia="Verdana" w:hAnsi="Verdana" w:cs="Verdana"/>
                <w:noProof/>
                <w:color w:val="FFFFFF"/>
                <w:lang w:bidi="en-GB"/>
              </w:rPr>
            </w:pPr>
            <w:r>
              <w:rPr>
                <w:rFonts w:ascii="Verdana" w:eastAsia="Verdana" w:hAnsi="Verdana" w:cs="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14:paraId="100F124C" w14:textId="77777777" w:rsidR="00807FFE" w:rsidRDefault="00807FFE">
            <w:pPr>
              <w:pStyle w:val="DMETW36617BIPDFLCY"/>
              <w:jc w:val="right"/>
              <w:rPr>
                <w:rFonts w:ascii="Verdana" w:eastAsia="Verdana" w:hAnsi="Verdana" w:cs="Verdana"/>
                <w:noProof/>
                <w:color w:val="FFFFFF"/>
              </w:rPr>
            </w:pPr>
          </w:p>
        </w:tc>
      </w:tr>
      <w:tr w:rsidR="00807FFE" w14:paraId="6A660B85" w14:textId="77777777">
        <w:trPr>
          <w:trHeight w:val="255"/>
        </w:trPr>
        <w:tc>
          <w:tcPr>
            <w:tcW w:w="3895" w:type="dxa"/>
            <w:tcBorders>
              <w:top w:val="nil"/>
              <w:left w:val="nil"/>
              <w:bottom w:val="nil"/>
              <w:right w:val="nil"/>
              <w:tl2br w:val="nil"/>
              <w:tr2bl w:val="nil"/>
            </w:tcBorders>
            <w:tcMar>
              <w:left w:w="60" w:type="dxa"/>
              <w:right w:w="60" w:type="dxa"/>
            </w:tcMar>
            <w:vAlign w:val="center"/>
          </w:tcPr>
          <w:p w14:paraId="3164EEA3" w14:textId="77777777" w:rsidR="00807FFE" w:rsidRDefault="00023E71">
            <w:pPr>
              <w:pStyle w:val="DMETW36617BIPDFLCY"/>
              <w:rPr>
                <w:rFonts w:ascii="Verdana" w:eastAsia="Verdana" w:hAnsi="Verdana" w:cs="Verdana"/>
                <w:i/>
                <w:noProof/>
                <w:color w:val="000000"/>
                <w:sz w:val="18"/>
              </w:rPr>
            </w:pPr>
            <w:r>
              <w:rPr>
                <w:rFonts w:ascii="Verdana" w:eastAsia="Verdana" w:hAnsi="Verdana" w:cs="Verdana"/>
                <w:i/>
                <w:noProof/>
                <w:color w:val="000000"/>
                <w:sz w:val="18"/>
              </w:rPr>
              <w:t>Derivative pay leg</w:t>
            </w:r>
          </w:p>
        </w:tc>
        <w:tc>
          <w:tcPr>
            <w:tcW w:w="1141" w:type="dxa"/>
            <w:tcBorders>
              <w:top w:val="nil"/>
              <w:left w:val="nil"/>
              <w:bottom w:val="nil"/>
              <w:right w:val="nil"/>
              <w:tl2br w:val="nil"/>
              <w:tr2bl w:val="nil"/>
            </w:tcBorders>
            <w:tcMar>
              <w:left w:w="60" w:type="dxa"/>
              <w:right w:w="60" w:type="dxa"/>
            </w:tcMar>
            <w:vAlign w:val="center"/>
          </w:tcPr>
          <w:p w14:paraId="0823BCFC"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(1 184)</w:t>
            </w:r>
          </w:p>
        </w:tc>
        <w:tc>
          <w:tcPr>
            <w:tcW w:w="1141" w:type="dxa"/>
            <w:tcBorders>
              <w:top w:val="nil"/>
              <w:left w:val="nil"/>
              <w:bottom w:val="nil"/>
              <w:right w:val="nil"/>
              <w:tl2br w:val="nil"/>
              <w:tr2bl w:val="nil"/>
            </w:tcBorders>
            <w:tcMar>
              <w:left w:w="60" w:type="dxa"/>
              <w:right w:w="60" w:type="dxa"/>
            </w:tcMar>
            <w:vAlign w:val="center"/>
          </w:tcPr>
          <w:p w14:paraId="5E15B3E3"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141" w:type="dxa"/>
            <w:tcBorders>
              <w:top w:val="nil"/>
              <w:left w:val="nil"/>
              <w:bottom w:val="nil"/>
              <w:right w:val="nil"/>
              <w:tl2br w:val="nil"/>
              <w:tr2bl w:val="nil"/>
            </w:tcBorders>
            <w:tcMar>
              <w:left w:w="60" w:type="dxa"/>
              <w:right w:w="60" w:type="dxa"/>
            </w:tcMar>
            <w:vAlign w:val="center"/>
          </w:tcPr>
          <w:p w14:paraId="01A2E8FB"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1" w:type="dxa"/>
            <w:tcBorders>
              <w:top w:val="nil"/>
              <w:left w:val="nil"/>
              <w:bottom w:val="nil"/>
              <w:right w:val="nil"/>
              <w:tl2br w:val="nil"/>
              <w:tr2bl w:val="nil"/>
            </w:tcBorders>
            <w:tcMar>
              <w:left w:w="60" w:type="dxa"/>
              <w:right w:w="60" w:type="dxa"/>
            </w:tcMar>
            <w:vAlign w:val="center"/>
          </w:tcPr>
          <w:p w14:paraId="61D08CAB"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(1 195)</w:t>
            </w:r>
          </w:p>
        </w:tc>
        <w:tc>
          <w:tcPr>
            <w:tcW w:w="1299" w:type="dxa"/>
            <w:tcBorders>
              <w:top w:val="nil"/>
              <w:left w:val="nil"/>
              <w:bottom w:val="nil"/>
              <w:right w:val="nil"/>
              <w:tl2br w:val="nil"/>
              <w:tr2bl w:val="nil"/>
            </w:tcBorders>
            <w:tcMar>
              <w:left w:w="60" w:type="dxa"/>
              <w:right w:w="60" w:type="dxa"/>
            </w:tcMar>
            <w:vAlign w:val="bottom"/>
          </w:tcPr>
          <w:p w14:paraId="18B171C3" w14:textId="77777777" w:rsidR="00807FFE" w:rsidRDefault="00807FFE">
            <w:pPr>
              <w:pStyle w:val="DMETW36617BIPDFLCY"/>
              <w:rPr>
                <w:rFonts w:ascii="Verdana" w:eastAsia="Verdana" w:hAnsi="Verdana" w:cs="Verdana"/>
                <w:noProof/>
                <w:color w:val="000000"/>
                <w:lang w:bidi="en-GB"/>
              </w:rPr>
            </w:pPr>
          </w:p>
        </w:tc>
      </w:tr>
      <w:tr w:rsidR="00807FFE" w14:paraId="7312FBCF" w14:textId="77777777">
        <w:trPr>
          <w:trHeight w:val="255"/>
        </w:trPr>
        <w:tc>
          <w:tcPr>
            <w:tcW w:w="3895" w:type="dxa"/>
            <w:tcBorders>
              <w:top w:val="nil"/>
              <w:left w:val="nil"/>
              <w:bottom w:val="single" w:sz="4" w:space="0" w:color="016794"/>
              <w:right w:val="nil"/>
              <w:tl2br w:val="nil"/>
              <w:tr2bl w:val="nil"/>
            </w:tcBorders>
            <w:tcMar>
              <w:left w:w="60" w:type="dxa"/>
              <w:right w:w="60" w:type="dxa"/>
            </w:tcMar>
            <w:vAlign w:val="center"/>
          </w:tcPr>
          <w:p w14:paraId="67D4EAAB" w14:textId="77777777" w:rsidR="00807FFE" w:rsidRDefault="00023E71">
            <w:pPr>
              <w:pStyle w:val="DMETW36617BIPDFLCY"/>
              <w:rPr>
                <w:rFonts w:ascii="Verdana" w:eastAsia="Verdana" w:hAnsi="Verdana" w:cs="Verdana"/>
                <w:i/>
                <w:noProof/>
                <w:color w:val="000000"/>
                <w:sz w:val="18"/>
              </w:rPr>
            </w:pPr>
            <w:r>
              <w:rPr>
                <w:rFonts w:ascii="Verdana" w:eastAsia="Verdana" w:hAnsi="Verdana" w:cs="Verdana"/>
                <w:i/>
                <w:noProof/>
                <w:color w:val="000000"/>
                <w:sz w:val="18"/>
              </w:rPr>
              <w:t>Derivative receive leg</w:t>
            </w:r>
          </w:p>
        </w:tc>
        <w:tc>
          <w:tcPr>
            <w:tcW w:w="1141" w:type="dxa"/>
            <w:tcBorders>
              <w:top w:val="nil"/>
              <w:left w:val="nil"/>
              <w:bottom w:val="single" w:sz="4" w:space="0" w:color="016794"/>
              <w:right w:val="nil"/>
              <w:tl2br w:val="nil"/>
              <w:tr2bl w:val="nil"/>
            </w:tcBorders>
            <w:tcMar>
              <w:left w:w="60" w:type="dxa"/>
              <w:right w:w="60" w:type="dxa"/>
            </w:tcMar>
            <w:vAlign w:val="center"/>
          </w:tcPr>
          <w:p w14:paraId="6E3B9DE6"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1 138</w:t>
            </w:r>
          </w:p>
        </w:tc>
        <w:tc>
          <w:tcPr>
            <w:tcW w:w="1141" w:type="dxa"/>
            <w:tcBorders>
              <w:top w:val="nil"/>
              <w:left w:val="nil"/>
              <w:bottom w:val="single" w:sz="4" w:space="0" w:color="016794"/>
              <w:right w:val="nil"/>
              <w:tl2br w:val="nil"/>
              <w:tr2bl w:val="nil"/>
            </w:tcBorders>
            <w:tcMar>
              <w:left w:w="60" w:type="dxa"/>
              <w:right w:w="60" w:type="dxa"/>
            </w:tcMar>
            <w:vAlign w:val="center"/>
          </w:tcPr>
          <w:p w14:paraId="00258375"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141" w:type="dxa"/>
            <w:tcBorders>
              <w:top w:val="nil"/>
              <w:left w:val="nil"/>
              <w:bottom w:val="single" w:sz="4" w:space="0" w:color="016794"/>
              <w:right w:val="nil"/>
              <w:tl2br w:val="nil"/>
              <w:tr2bl w:val="nil"/>
            </w:tcBorders>
            <w:tcMar>
              <w:left w:w="60" w:type="dxa"/>
              <w:right w:w="60" w:type="dxa"/>
            </w:tcMar>
            <w:vAlign w:val="center"/>
          </w:tcPr>
          <w:p w14:paraId="3A30DF91"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14:paraId="7FFDA320"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1 145</w:t>
            </w:r>
          </w:p>
        </w:tc>
        <w:tc>
          <w:tcPr>
            <w:tcW w:w="1299" w:type="dxa"/>
            <w:tcBorders>
              <w:top w:val="nil"/>
              <w:left w:val="nil"/>
              <w:bottom w:val="single" w:sz="4" w:space="0" w:color="016794"/>
              <w:right w:val="nil"/>
              <w:tl2br w:val="nil"/>
              <w:tr2bl w:val="nil"/>
            </w:tcBorders>
            <w:tcMar>
              <w:left w:w="60" w:type="dxa"/>
              <w:right w:w="60" w:type="dxa"/>
            </w:tcMar>
            <w:vAlign w:val="bottom"/>
          </w:tcPr>
          <w:p w14:paraId="40680EF7" w14:textId="77777777" w:rsidR="00807FFE" w:rsidRDefault="00807FFE">
            <w:pPr>
              <w:pStyle w:val="DMETW36617BIPDFLCY"/>
              <w:rPr>
                <w:rFonts w:ascii="Verdana" w:eastAsia="Verdana" w:hAnsi="Verdana" w:cs="Verdana"/>
                <w:noProof/>
                <w:color w:val="000000"/>
                <w:lang w:bidi="en-GB"/>
              </w:rPr>
            </w:pPr>
          </w:p>
        </w:tc>
      </w:tr>
      <w:tr w:rsidR="00807FFE" w14:paraId="0F6483ED" w14:textId="77777777">
        <w:trPr>
          <w:trHeight w:val="255"/>
        </w:trPr>
        <w:tc>
          <w:tcPr>
            <w:tcW w:w="3895" w:type="dxa"/>
            <w:tcBorders>
              <w:top w:val="single" w:sz="4" w:space="0" w:color="016794"/>
              <w:left w:val="nil"/>
              <w:bottom w:val="single" w:sz="4" w:space="0" w:color="016794"/>
              <w:right w:val="nil"/>
              <w:tl2br w:val="nil"/>
              <w:tr2bl w:val="nil"/>
            </w:tcBorders>
            <w:tcMar>
              <w:left w:w="60" w:type="dxa"/>
              <w:right w:w="60" w:type="dxa"/>
            </w:tcMar>
            <w:vAlign w:val="center"/>
          </w:tcPr>
          <w:p w14:paraId="3A532B7C" w14:textId="77777777" w:rsidR="00807FFE" w:rsidRDefault="00023E71">
            <w:pPr>
              <w:pStyle w:val="DMETW36617BIPDFLCY"/>
              <w:rPr>
                <w:rFonts w:ascii="Verdana" w:eastAsia="Verdana" w:hAnsi="Verdana" w:cs="Verdana"/>
                <w:b/>
                <w:noProof/>
                <w:color w:val="000000"/>
                <w:sz w:val="18"/>
              </w:rPr>
            </w:pPr>
            <w:r>
              <w:rPr>
                <w:rFonts w:ascii="Verdana" w:eastAsia="Verdana" w:hAnsi="Verdana" w:cs="Verdana"/>
                <w:b/>
                <w:noProof/>
                <w:color w:val="000000"/>
                <w:sz w:val="18"/>
              </w:rPr>
              <w:t>Net cash flows at 31.12.2025</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14:paraId="23B8147B"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 xml:space="preserve"> (46)</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14:paraId="67F683C1"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 xml:space="preserve"> (4)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14:paraId="7729717B"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14:paraId="0BF36AE1"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 xml:space="preserve"> (50)</w:t>
            </w:r>
          </w:p>
        </w:tc>
        <w:tc>
          <w:tcPr>
            <w:tcW w:w="1299" w:type="dxa"/>
            <w:tcBorders>
              <w:top w:val="single" w:sz="4" w:space="0" w:color="016794"/>
              <w:left w:val="nil"/>
              <w:bottom w:val="single" w:sz="4" w:space="0" w:color="016794"/>
              <w:right w:val="nil"/>
              <w:tl2br w:val="nil"/>
              <w:tr2bl w:val="nil"/>
            </w:tcBorders>
            <w:tcMar>
              <w:left w:w="60" w:type="dxa"/>
              <w:right w:w="60" w:type="dxa"/>
            </w:tcMar>
            <w:vAlign w:val="center"/>
          </w:tcPr>
          <w:p w14:paraId="1458027F" w14:textId="77777777" w:rsidR="00807FFE" w:rsidRDefault="00023E71">
            <w:pPr>
              <w:pStyle w:val="DMETW36617BIPDFLCY"/>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(48)</w:t>
            </w:r>
          </w:p>
        </w:tc>
      </w:tr>
      <w:tr w:rsidR="00807FFE" w14:paraId="11AB4A9A" w14:textId="77777777">
        <w:trPr>
          <w:trHeight w:val="255"/>
        </w:trPr>
        <w:tc>
          <w:tcPr>
            <w:tcW w:w="3895" w:type="dxa"/>
            <w:tcBorders>
              <w:top w:val="single" w:sz="4" w:space="0" w:color="016794"/>
              <w:left w:val="nil"/>
              <w:bottom w:val="nil"/>
              <w:right w:val="nil"/>
              <w:tl2br w:val="nil"/>
              <w:tr2bl w:val="nil"/>
            </w:tcBorders>
            <w:tcMar>
              <w:left w:w="60" w:type="dxa"/>
              <w:right w:w="60" w:type="dxa"/>
            </w:tcMar>
            <w:vAlign w:val="center"/>
          </w:tcPr>
          <w:p w14:paraId="1E25E102" w14:textId="77777777" w:rsidR="00807FFE" w:rsidRDefault="00023E71">
            <w:pPr>
              <w:pStyle w:val="DMETW36617BIPDFLCY"/>
              <w:rPr>
                <w:rFonts w:ascii="Verdana" w:eastAsia="Verdana" w:hAnsi="Verdana" w:cs="Verdana"/>
                <w:i/>
                <w:noProof/>
                <w:color w:val="000000"/>
                <w:sz w:val="18"/>
              </w:rPr>
            </w:pPr>
            <w:r>
              <w:rPr>
                <w:rFonts w:ascii="Verdana" w:eastAsia="Verdana" w:hAnsi="Verdana" w:cs="Verdana"/>
                <w:i/>
                <w:noProof/>
                <w:color w:val="000000"/>
                <w:sz w:val="18"/>
              </w:rPr>
              <w:t>Derivative pay leg</w:t>
            </w:r>
          </w:p>
        </w:tc>
        <w:tc>
          <w:tcPr>
            <w:tcW w:w="1141" w:type="dxa"/>
            <w:tcBorders>
              <w:top w:val="single" w:sz="4" w:space="0" w:color="016794"/>
              <w:left w:val="nil"/>
              <w:bottom w:val="nil"/>
              <w:right w:val="nil"/>
              <w:tl2br w:val="nil"/>
              <w:tr2bl w:val="nil"/>
            </w:tcBorders>
            <w:tcMar>
              <w:left w:w="60" w:type="dxa"/>
              <w:right w:w="60" w:type="dxa"/>
            </w:tcMar>
            <w:vAlign w:val="center"/>
          </w:tcPr>
          <w:p w14:paraId="2E35CF43"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(1 779)</w:t>
            </w:r>
          </w:p>
        </w:tc>
        <w:tc>
          <w:tcPr>
            <w:tcW w:w="1141" w:type="dxa"/>
            <w:tcBorders>
              <w:top w:val="single" w:sz="4" w:space="0" w:color="016794"/>
              <w:left w:val="nil"/>
              <w:bottom w:val="nil"/>
              <w:right w:val="nil"/>
              <w:tl2br w:val="nil"/>
              <w:tr2bl w:val="nil"/>
            </w:tcBorders>
            <w:tcMar>
              <w:left w:w="60" w:type="dxa"/>
              <w:right w:w="60" w:type="dxa"/>
            </w:tcMar>
            <w:vAlign w:val="center"/>
          </w:tcPr>
          <w:p w14:paraId="615D0665"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141" w:type="dxa"/>
            <w:tcBorders>
              <w:top w:val="single" w:sz="4" w:space="0" w:color="016794"/>
              <w:left w:val="nil"/>
              <w:bottom w:val="nil"/>
              <w:right w:val="nil"/>
              <w:tl2br w:val="nil"/>
              <w:tr2bl w:val="nil"/>
            </w:tcBorders>
            <w:tcMar>
              <w:left w:w="60" w:type="dxa"/>
              <w:right w:w="60" w:type="dxa"/>
            </w:tcMar>
            <w:vAlign w:val="center"/>
          </w:tcPr>
          <w:p w14:paraId="48CB2E5A"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141" w:type="dxa"/>
            <w:tcBorders>
              <w:top w:val="single" w:sz="4" w:space="0" w:color="016794"/>
              <w:left w:val="nil"/>
              <w:bottom w:val="nil"/>
              <w:right w:val="nil"/>
              <w:tl2br w:val="nil"/>
              <w:tr2bl w:val="nil"/>
            </w:tcBorders>
            <w:tcMar>
              <w:left w:w="60" w:type="dxa"/>
              <w:right w:w="60" w:type="dxa"/>
            </w:tcMar>
            <w:vAlign w:val="center"/>
          </w:tcPr>
          <w:p w14:paraId="35BE0E7C"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(1 790)</w:t>
            </w:r>
          </w:p>
        </w:tc>
        <w:tc>
          <w:tcPr>
            <w:tcW w:w="1299" w:type="dxa"/>
            <w:tcBorders>
              <w:top w:val="single" w:sz="4" w:space="0" w:color="016794"/>
              <w:left w:val="nil"/>
              <w:bottom w:val="nil"/>
              <w:right w:val="nil"/>
              <w:tl2br w:val="nil"/>
              <w:tr2bl w:val="nil"/>
            </w:tcBorders>
            <w:tcMar>
              <w:left w:w="60" w:type="dxa"/>
              <w:right w:w="60" w:type="dxa"/>
            </w:tcMar>
            <w:vAlign w:val="bottom"/>
          </w:tcPr>
          <w:p w14:paraId="573E7214" w14:textId="77777777" w:rsidR="00807FFE" w:rsidRDefault="00807FFE">
            <w:pPr>
              <w:pStyle w:val="DMETW36617BIPDFLCY"/>
              <w:rPr>
                <w:rFonts w:ascii="Verdana" w:eastAsia="Verdana" w:hAnsi="Verdana" w:cs="Verdana"/>
                <w:noProof/>
                <w:color w:val="000000"/>
                <w:lang w:bidi="en-GB"/>
              </w:rPr>
            </w:pPr>
          </w:p>
        </w:tc>
      </w:tr>
      <w:tr w:rsidR="00807FFE" w14:paraId="5FF2674C" w14:textId="77777777">
        <w:trPr>
          <w:trHeight w:val="255"/>
        </w:trPr>
        <w:tc>
          <w:tcPr>
            <w:tcW w:w="3895" w:type="dxa"/>
            <w:tcBorders>
              <w:top w:val="nil"/>
              <w:left w:val="nil"/>
              <w:bottom w:val="single" w:sz="4" w:space="0" w:color="016794"/>
              <w:right w:val="nil"/>
              <w:tl2br w:val="nil"/>
              <w:tr2bl w:val="nil"/>
            </w:tcBorders>
            <w:tcMar>
              <w:left w:w="60" w:type="dxa"/>
              <w:right w:w="60" w:type="dxa"/>
            </w:tcMar>
            <w:vAlign w:val="center"/>
          </w:tcPr>
          <w:p w14:paraId="7359A78C" w14:textId="77777777" w:rsidR="00807FFE" w:rsidRDefault="00023E71">
            <w:pPr>
              <w:pStyle w:val="DMETW36617BIPDFLCY"/>
              <w:rPr>
                <w:rFonts w:ascii="Verdana" w:eastAsia="Verdana" w:hAnsi="Verdana" w:cs="Verdana"/>
                <w:i/>
                <w:noProof/>
                <w:color w:val="000000"/>
                <w:sz w:val="18"/>
              </w:rPr>
            </w:pPr>
            <w:r>
              <w:rPr>
                <w:rFonts w:ascii="Verdana" w:eastAsia="Verdana" w:hAnsi="Verdana" w:cs="Verdana"/>
                <w:i/>
                <w:noProof/>
                <w:color w:val="000000"/>
                <w:sz w:val="18"/>
              </w:rPr>
              <w:t>Derivative receive leg</w:t>
            </w:r>
          </w:p>
        </w:tc>
        <w:tc>
          <w:tcPr>
            <w:tcW w:w="1141" w:type="dxa"/>
            <w:tcBorders>
              <w:top w:val="nil"/>
              <w:left w:val="nil"/>
              <w:bottom w:val="single" w:sz="4" w:space="0" w:color="016794"/>
              <w:right w:val="nil"/>
              <w:tl2br w:val="nil"/>
              <w:tr2bl w:val="nil"/>
            </w:tcBorders>
            <w:tcMar>
              <w:left w:w="60" w:type="dxa"/>
              <w:right w:w="60" w:type="dxa"/>
            </w:tcMar>
            <w:vAlign w:val="center"/>
          </w:tcPr>
          <w:p w14:paraId="517D8923"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1 691</w:t>
            </w:r>
          </w:p>
        </w:tc>
        <w:tc>
          <w:tcPr>
            <w:tcW w:w="1141" w:type="dxa"/>
            <w:tcBorders>
              <w:top w:val="nil"/>
              <w:left w:val="nil"/>
              <w:bottom w:val="single" w:sz="4" w:space="0" w:color="016794"/>
              <w:right w:val="nil"/>
              <w:tl2br w:val="nil"/>
              <w:tr2bl w:val="nil"/>
            </w:tcBorders>
            <w:tcMar>
              <w:left w:w="60" w:type="dxa"/>
              <w:right w:w="60" w:type="dxa"/>
            </w:tcMar>
            <w:vAlign w:val="center"/>
          </w:tcPr>
          <w:p w14:paraId="5802F77A"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14:paraId="04DCF584"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14:paraId="2BC37589" w14:textId="77777777" w:rsidR="00807FFE" w:rsidRDefault="00023E71">
            <w:pPr>
              <w:pStyle w:val="DMETW36617BIPDFLCY"/>
              <w:jc w:val="right"/>
              <w:rPr>
                <w:rFonts w:ascii="Verdana" w:eastAsia="Verdana" w:hAnsi="Verdana" w:cs="Verdana"/>
                <w:i/>
                <w:noProof/>
                <w:color w:val="000000"/>
                <w:sz w:val="18"/>
              </w:rPr>
            </w:pPr>
            <w:r>
              <w:rPr>
                <w:rFonts w:ascii="Verdana" w:eastAsia="Verdana" w:hAnsi="Verdana" w:cs="Verdana"/>
                <w:i/>
                <w:noProof/>
                <w:color w:val="000000"/>
                <w:sz w:val="18"/>
              </w:rPr>
              <w:t>1 691</w:t>
            </w:r>
          </w:p>
        </w:tc>
        <w:tc>
          <w:tcPr>
            <w:tcW w:w="1299" w:type="dxa"/>
            <w:tcBorders>
              <w:top w:val="nil"/>
              <w:left w:val="nil"/>
              <w:bottom w:val="single" w:sz="4" w:space="0" w:color="016794"/>
              <w:right w:val="nil"/>
              <w:tl2br w:val="nil"/>
              <w:tr2bl w:val="nil"/>
            </w:tcBorders>
            <w:tcMar>
              <w:left w:w="60" w:type="dxa"/>
              <w:right w:w="60" w:type="dxa"/>
            </w:tcMar>
            <w:vAlign w:val="bottom"/>
          </w:tcPr>
          <w:p w14:paraId="0480E589" w14:textId="77777777" w:rsidR="00807FFE" w:rsidRDefault="00807FFE">
            <w:pPr>
              <w:pStyle w:val="DMETW36617BIPDFLCY"/>
              <w:rPr>
                <w:rFonts w:ascii="Verdana" w:eastAsia="Verdana" w:hAnsi="Verdana" w:cs="Verdana"/>
                <w:noProof/>
                <w:color w:val="000000"/>
                <w:lang w:bidi="en-GB"/>
              </w:rPr>
            </w:pPr>
          </w:p>
        </w:tc>
      </w:tr>
      <w:tr w:rsidR="00807FFE" w14:paraId="47DD95CD" w14:textId="77777777">
        <w:trPr>
          <w:trHeight w:val="255"/>
        </w:trPr>
        <w:tc>
          <w:tcPr>
            <w:tcW w:w="3895" w:type="dxa"/>
            <w:tcBorders>
              <w:top w:val="single" w:sz="4" w:space="0" w:color="016794"/>
              <w:left w:val="nil"/>
              <w:bottom w:val="single" w:sz="4" w:space="0" w:color="016794"/>
              <w:right w:val="nil"/>
              <w:tl2br w:val="nil"/>
              <w:tr2bl w:val="nil"/>
            </w:tcBorders>
            <w:tcMar>
              <w:left w:w="60" w:type="dxa"/>
              <w:right w:w="60" w:type="dxa"/>
            </w:tcMar>
            <w:vAlign w:val="center"/>
          </w:tcPr>
          <w:p w14:paraId="7171C717" w14:textId="77777777" w:rsidR="00807FFE" w:rsidRDefault="00023E71">
            <w:pPr>
              <w:pStyle w:val="DMETW36617BIPDFLCY"/>
              <w:rPr>
                <w:rFonts w:ascii="Verdana" w:eastAsia="Verdana" w:hAnsi="Verdana" w:cs="Verdana"/>
                <w:b/>
                <w:noProof/>
                <w:color w:val="000000"/>
                <w:sz w:val="18"/>
              </w:rPr>
            </w:pPr>
            <w:r>
              <w:rPr>
                <w:rFonts w:ascii="Verdana" w:eastAsia="Verdana" w:hAnsi="Verdana" w:cs="Verdana"/>
                <w:b/>
                <w:noProof/>
                <w:color w:val="000000"/>
                <w:sz w:val="18"/>
              </w:rPr>
              <w:t>Net cash flows at 31.12.2024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14:paraId="34EFC08E"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 xml:space="preserve"> (88)</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14:paraId="6CBAE385"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 xml:space="preserve"> (7)</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14:paraId="58B760A6"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 xml:space="preserve"> (4)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14:paraId="0E03998C"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 xml:space="preserve"> (99)</w:t>
            </w:r>
          </w:p>
        </w:tc>
        <w:tc>
          <w:tcPr>
            <w:tcW w:w="1299" w:type="dxa"/>
            <w:tcBorders>
              <w:top w:val="single" w:sz="4" w:space="0" w:color="016794"/>
              <w:left w:val="nil"/>
              <w:bottom w:val="single" w:sz="4" w:space="0" w:color="016794"/>
              <w:right w:val="nil"/>
              <w:tl2br w:val="nil"/>
              <w:tr2bl w:val="nil"/>
            </w:tcBorders>
            <w:tcMar>
              <w:left w:w="60" w:type="dxa"/>
              <w:right w:w="60" w:type="dxa"/>
            </w:tcMar>
            <w:vAlign w:val="center"/>
          </w:tcPr>
          <w:p w14:paraId="3B265026" w14:textId="77777777" w:rsidR="00807FFE" w:rsidRDefault="00023E71">
            <w:pPr>
              <w:pStyle w:val="DMETW36617BIPDFLCY"/>
              <w:jc w:val="right"/>
              <w:rPr>
                <w:rFonts w:ascii="Verdana" w:eastAsia="Verdana" w:hAnsi="Verdana" w:cs="Verdana"/>
                <w:b/>
                <w:noProof/>
                <w:color w:val="000000"/>
                <w:sz w:val="18"/>
              </w:rPr>
            </w:pPr>
            <w:r>
              <w:rPr>
                <w:rFonts w:ascii="Verdana" w:eastAsia="Verdana" w:hAnsi="Verdana" w:cs="Verdana"/>
                <w:b/>
                <w:noProof/>
                <w:color w:val="000000"/>
                <w:sz w:val="18"/>
              </w:rPr>
              <w:t xml:space="preserve"> (98)</w:t>
            </w:r>
          </w:p>
        </w:tc>
      </w:tr>
    </w:tbl>
    <w:p w14:paraId="1AC8A4B4" w14:textId="77777777" w:rsidR="0032121F" w:rsidRDefault="00023E71" w:rsidP="005E13A9">
      <w:pPr>
        <w:pStyle w:val="HEADER5"/>
        <w:spacing w:before="240"/>
        <w:rPr>
          <w:noProof/>
        </w:rPr>
      </w:pPr>
      <w:r w:rsidRPr="00A9062F">
        <w:rPr>
          <w:noProof/>
        </w:rPr>
        <w:t>Maturity analysis of financial guarantee contracts issued by earliest period in which the guarantee could be called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1143"/>
        <w:gridCol w:w="1144"/>
        <w:gridCol w:w="1144"/>
        <w:gridCol w:w="1144"/>
        <w:gridCol w:w="1535"/>
      </w:tblGrid>
      <w:tr w:rsidR="00807FFE" w14:paraId="46CBDAF7" w14:textId="77777777">
        <w:trPr>
          <w:trHeight w:val="255"/>
        </w:trPr>
        <w:tc>
          <w:tcPr>
            <w:tcW w:w="3648" w:type="dxa"/>
            <w:tcBorders>
              <w:top w:val="nil"/>
              <w:left w:val="nil"/>
              <w:bottom w:val="nil"/>
              <w:right w:val="nil"/>
              <w:tl2br w:val="nil"/>
              <w:tr2bl w:val="nil"/>
            </w:tcBorders>
            <w:tcMar>
              <w:left w:w="60" w:type="dxa"/>
              <w:right w:w="60" w:type="dxa"/>
            </w:tcMar>
            <w:vAlign w:val="bottom"/>
          </w:tcPr>
          <w:p w14:paraId="1E634EF5" w14:textId="77777777" w:rsidR="00807FFE" w:rsidRDefault="00807FFE">
            <w:pPr>
              <w:pStyle w:val="DMETW36617BIPFGCY"/>
              <w:rPr>
                <w:rFonts w:ascii="Verdana" w:eastAsia="Verdana" w:hAnsi="Verdana" w:cs="Verdana"/>
                <w:noProof/>
                <w:color w:val="000000"/>
                <w:lang w:bidi="en-GB"/>
              </w:rPr>
            </w:pPr>
            <w:bookmarkStart w:id="239" w:name="DOC_TBL00104_1_1"/>
            <w:bookmarkEnd w:id="239"/>
          </w:p>
        </w:tc>
        <w:tc>
          <w:tcPr>
            <w:tcW w:w="1143" w:type="dxa"/>
            <w:tcBorders>
              <w:top w:val="nil"/>
              <w:left w:val="nil"/>
              <w:bottom w:val="nil"/>
              <w:right w:val="nil"/>
              <w:tl2br w:val="nil"/>
              <w:tr2bl w:val="nil"/>
            </w:tcBorders>
            <w:tcMar>
              <w:left w:w="60" w:type="dxa"/>
              <w:right w:w="60" w:type="dxa"/>
            </w:tcMar>
            <w:vAlign w:val="bottom"/>
          </w:tcPr>
          <w:p w14:paraId="62D8BE01" w14:textId="77777777" w:rsidR="00807FFE" w:rsidRDefault="00807FFE">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14:paraId="2FFE24A0" w14:textId="77777777" w:rsidR="00807FFE" w:rsidRDefault="00807FFE">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14:paraId="43CFD60E" w14:textId="77777777" w:rsidR="00807FFE" w:rsidRDefault="00807FFE">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14:paraId="1753BF50" w14:textId="77777777" w:rsidR="00807FFE" w:rsidRDefault="00807FFE">
            <w:pPr>
              <w:pStyle w:val="DMETW36617BIPFGCY"/>
              <w:rPr>
                <w:rFonts w:ascii="Verdana" w:eastAsia="Verdana" w:hAnsi="Verdana" w:cs="Verdana"/>
                <w:noProof/>
                <w:color w:val="000000"/>
              </w:rPr>
            </w:pPr>
          </w:p>
        </w:tc>
        <w:tc>
          <w:tcPr>
            <w:tcW w:w="1535" w:type="dxa"/>
            <w:tcBorders>
              <w:top w:val="nil"/>
              <w:left w:val="nil"/>
              <w:bottom w:val="nil"/>
              <w:right w:val="nil"/>
              <w:tl2br w:val="nil"/>
              <w:tr2bl w:val="nil"/>
            </w:tcBorders>
            <w:tcMar>
              <w:left w:w="60" w:type="dxa"/>
              <w:right w:w="60" w:type="dxa"/>
            </w:tcMar>
            <w:vAlign w:val="bottom"/>
          </w:tcPr>
          <w:p w14:paraId="02DF2CF1" w14:textId="77777777" w:rsidR="00807FFE" w:rsidRDefault="00023E71">
            <w:pPr>
              <w:pStyle w:val="DMETW36617BIPFGC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47E1F97B" w14:textId="77777777">
        <w:trPr>
          <w:trHeight w:val="255"/>
        </w:trPr>
        <w:tc>
          <w:tcPr>
            <w:tcW w:w="3648" w:type="dxa"/>
            <w:tcBorders>
              <w:top w:val="nil"/>
              <w:left w:val="nil"/>
              <w:bottom w:val="nil"/>
              <w:right w:val="nil"/>
              <w:tl2br w:val="nil"/>
              <w:tr2bl w:val="nil"/>
            </w:tcBorders>
            <w:shd w:val="solid" w:color="016794" w:fill="FFFFFF"/>
            <w:tcMar>
              <w:left w:w="60" w:type="dxa"/>
              <w:right w:w="60" w:type="dxa"/>
            </w:tcMar>
            <w:vAlign w:val="center"/>
          </w:tcPr>
          <w:p w14:paraId="159BFF2A" w14:textId="77777777" w:rsidR="00807FFE" w:rsidRDefault="00807FFE">
            <w:pPr>
              <w:pStyle w:val="DMETW36617BIPFGCY"/>
              <w:rPr>
                <w:rFonts w:ascii="Verdana" w:eastAsia="Verdana" w:hAnsi="Verdana" w:cs="Verdana"/>
                <w:noProof/>
                <w:color w:val="FFFFFF"/>
              </w:rPr>
            </w:pPr>
          </w:p>
        </w:tc>
        <w:tc>
          <w:tcPr>
            <w:tcW w:w="1143" w:type="dxa"/>
            <w:gridSpan w:val="4"/>
            <w:tcBorders>
              <w:top w:val="nil"/>
              <w:left w:val="nil"/>
              <w:bottom w:val="nil"/>
              <w:right w:val="nil"/>
              <w:tl2br w:val="nil"/>
              <w:tr2bl w:val="nil"/>
            </w:tcBorders>
            <w:shd w:val="solid" w:color="016794" w:fill="FFFFFF"/>
            <w:tcMar>
              <w:left w:w="60" w:type="dxa"/>
              <w:right w:w="60" w:type="dxa"/>
            </w:tcMar>
            <w:vAlign w:val="center"/>
          </w:tcPr>
          <w:p w14:paraId="1C98B90A" w14:textId="77777777" w:rsidR="00807FFE" w:rsidRDefault="00023E71">
            <w:pPr>
              <w:pStyle w:val="DMETW36617BIPFGCY"/>
              <w:jc w:val="center"/>
              <w:rPr>
                <w:rFonts w:ascii="Verdana" w:eastAsia="Verdana" w:hAnsi="Verdana" w:cs="Verdana"/>
                <w:noProof/>
                <w:color w:val="FFFFFF"/>
              </w:rPr>
            </w:pPr>
            <w:r>
              <w:rPr>
                <w:rFonts w:ascii="Verdana" w:eastAsia="Verdana" w:hAnsi="Verdana" w:cs="Verdana"/>
                <w:noProof/>
                <w:color w:val="FFFFFF"/>
              </w:rPr>
              <w:t>Maximum amount of guarantee</w:t>
            </w:r>
          </w:p>
        </w:tc>
        <w:tc>
          <w:tcPr>
            <w:tcW w:w="1535" w:type="dxa"/>
            <w:vMerge w:val="restart"/>
            <w:tcBorders>
              <w:top w:val="nil"/>
              <w:left w:val="nil"/>
              <w:bottom w:val="nil"/>
              <w:right w:val="nil"/>
              <w:tl2br w:val="nil"/>
              <w:tr2bl w:val="nil"/>
            </w:tcBorders>
            <w:shd w:val="solid" w:color="016794" w:fill="FFFFFF"/>
            <w:tcMar>
              <w:left w:w="60" w:type="dxa"/>
              <w:right w:w="60" w:type="dxa"/>
            </w:tcMar>
            <w:vAlign w:val="bottom"/>
          </w:tcPr>
          <w:p w14:paraId="29FF72C0" w14:textId="77777777" w:rsidR="00807FFE" w:rsidRDefault="00023E71">
            <w:pPr>
              <w:pStyle w:val="DMETW36617BIPFGCY"/>
              <w:jc w:val="right"/>
              <w:rPr>
                <w:rFonts w:ascii="Verdana" w:eastAsia="Verdana" w:hAnsi="Verdana" w:cs="Verdana"/>
                <w:noProof/>
                <w:color w:val="FFFFFF"/>
                <w:lang w:bidi="en-GB"/>
              </w:rPr>
            </w:pPr>
            <w:r>
              <w:rPr>
                <w:rFonts w:ascii="Verdana" w:eastAsia="Verdana" w:hAnsi="Verdana" w:cs="Verdana"/>
                <w:noProof/>
                <w:color w:val="FFFFFF"/>
              </w:rPr>
              <w:t>Carrying amount</w:t>
            </w:r>
          </w:p>
        </w:tc>
      </w:tr>
      <w:tr w:rsidR="00807FFE" w14:paraId="70C65579" w14:textId="77777777">
        <w:trPr>
          <w:trHeight w:val="255"/>
        </w:trPr>
        <w:tc>
          <w:tcPr>
            <w:tcW w:w="3648" w:type="dxa"/>
            <w:tcBorders>
              <w:top w:val="nil"/>
              <w:left w:val="nil"/>
              <w:bottom w:val="nil"/>
              <w:right w:val="nil"/>
              <w:tl2br w:val="nil"/>
              <w:tr2bl w:val="nil"/>
            </w:tcBorders>
            <w:shd w:val="solid" w:color="016794" w:fill="FFFFFF"/>
            <w:tcMar>
              <w:left w:w="60" w:type="dxa"/>
              <w:right w:w="60" w:type="dxa"/>
            </w:tcMar>
            <w:vAlign w:val="center"/>
          </w:tcPr>
          <w:p w14:paraId="432CB355" w14:textId="77777777" w:rsidR="00807FFE" w:rsidRDefault="00807FFE">
            <w:pPr>
              <w:pStyle w:val="DMETW36617BIPFGCY"/>
              <w:jc w:val="right"/>
              <w:rPr>
                <w:rFonts w:ascii="Verdana" w:eastAsia="Verdana" w:hAnsi="Verdana" w:cs="Verdana"/>
                <w:noProof/>
                <w:color w:val="FFFFFF"/>
              </w:rPr>
            </w:pPr>
          </w:p>
        </w:tc>
        <w:tc>
          <w:tcPr>
            <w:tcW w:w="1143" w:type="dxa"/>
            <w:tcBorders>
              <w:top w:val="nil"/>
              <w:left w:val="nil"/>
              <w:bottom w:val="nil"/>
              <w:right w:val="nil"/>
              <w:tl2br w:val="nil"/>
              <w:tr2bl w:val="nil"/>
            </w:tcBorders>
            <w:shd w:val="solid" w:color="016794" w:fill="FFFFFF"/>
            <w:tcMar>
              <w:left w:w="60" w:type="dxa"/>
              <w:right w:w="60" w:type="dxa"/>
            </w:tcMar>
            <w:vAlign w:val="center"/>
          </w:tcPr>
          <w:p w14:paraId="24E8A0F1" w14:textId="77777777" w:rsidR="00807FFE" w:rsidRDefault="00023E71">
            <w:pPr>
              <w:pStyle w:val="DMETW36617BIPFGCY"/>
              <w:jc w:val="right"/>
              <w:rPr>
                <w:rFonts w:ascii="Verdana" w:eastAsia="Verdana" w:hAnsi="Verdana" w:cs="Verdana"/>
                <w:noProof/>
                <w:color w:val="FFFFFF"/>
              </w:rPr>
            </w:pPr>
            <w:r>
              <w:rPr>
                <w:rFonts w:ascii="Verdana" w:eastAsia="Verdana" w:hAnsi="Verdana" w:cs="Verdana"/>
                <w:noProof/>
                <w:color w:val="FFFFFF"/>
              </w:rPr>
              <w:t>&lt; 1 year</w:t>
            </w:r>
          </w:p>
        </w:tc>
        <w:tc>
          <w:tcPr>
            <w:tcW w:w="1144" w:type="dxa"/>
            <w:tcBorders>
              <w:top w:val="nil"/>
              <w:left w:val="nil"/>
              <w:bottom w:val="nil"/>
              <w:right w:val="nil"/>
              <w:tl2br w:val="nil"/>
              <w:tr2bl w:val="nil"/>
            </w:tcBorders>
            <w:shd w:val="solid" w:color="016794" w:fill="FFFFFF"/>
            <w:tcMar>
              <w:left w:w="60" w:type="dxa"/>
              <w:right w:w="60" w:type="dxa"/>
            </w:tcMar>
            <w:vAlign w:val="center"/>
          </w:tcPr>
          <w:p w14:paraId="0B7307F5" w14:textId="77777777" w:rsidR="00807FFE" w:rsidRDefault="00023E71">
            <w:pPr>
              <w:pStyle w:val="DMETW36617BIPFGCY"/>
              <w:jc w:val="right"/>
              <w:rPr>
                <w:rFonts w:ascii="Verdana" w:eastAsia="Verdana" w:hAnsi="Verdana" w:cs="Verdana"/>
                <w:noProof/>
                <w:color w:val="FFFFFF"/>
              </w:rPr>
            </w:pPr>
            <w:r>
              <w:rPr>
                <w:rFonts w:ascii="Verdana" w:eastAsia="Verdana" w:hAnsi="Verdana" w:cs="Verdana"/>
                <w:noProof/>
                <w:color w:val="FFFFFF"/>
              </w:rPr>
              <w:t>1-5 years</w:t>
            </w:r>
          </w:p>
        </w:tc>
        <w:tc>
          <w:tcPr>
            <w:tcW w:w="1144" w:type="dxa"/>
            <w:tcBorders>
              <w:top w:val="nil"/>
              <w:left w:val="nil"/>
              <w:bottom w:val="nil"/>
              <w:right w:val="nil"/>
              <w:tl2br w:val="nil"/>
              <w:tr2bl w:val="nil"/>
            </w:tcBorders>
            <w:shd w:val="solid" w:color="016794" w:fill="FFFFFF"/>
            <w:tcMar>
              <w:left w:w="60" w:type="dxa"/>
              <w:right w:w="60" w:type="dxa"/>
            </w:tcMar>
            <w:vAlign w:val="center"/>
          </w:tcPr>
          <w:p w14:paraId="570503A4" w14:textId="77777777" w:rsidR="00807FFE" w:rsidRDefault="00023E71">
            <w:pPr>
              <w:pStyle w:val="DMETW36617BIPFGCY"/>
              <w:jc w:val="right"/>
              <w:rPr>
                <w:rFonts w:ascii="Verdana" w:eastAsia="Verdana" w:hAnsi="Verdana" w:cs="Verdana"/>
                <w:noProof/>
                <w:color w:val="FFFFFF"/>
              </w:rPr>
            </w:pPr>
            <w:r>
              <w:rPr>
                <w:rFonts w:ascii="Verdana" w:eastAsia="Verdana" w:hAnsi="Verdana" w:cs="Verdana"/>
                <w:noProof/>
                <w:color w:val="FFFFFF"/>
              </w:rPr>
              <w:t>&gt; 5 years</w:t>
            </w:r>
          </w:p>
        </w:tc>
        <w:tc>
          <w:tcPr>
            <w:tcW w:w="1144" w:type="dxa"/>
            <w:tcBorders>
              <w:top w:val="nil"/>
              <w:left w:val="nil"/>
              <w:bottom w:val="nil"/>
              <w:right w:val="nil"/>
              <w:tl2br w:val="nil"/>
              <w:tr2bl w:val="nil"/>
            </w:tcBorders>
            <w:shd w:val="solid" w:color="016794" w:fill="FFFFFF"/>
            <w:tcMar>
              <w:left w:w="60" w:type="dxa"/>
              <w:right w:w="60" w:type="dxa"/>
            </w:tcMar>
            <w:vAlign w:val="center"/>
          </w:tcPr>
          <w:p w14:paraId="766988E9" w14:textId="77777777" w:rsidR="00807FFE" w:rsidRDefault="00023E71">
            <w:pPr>
              <w:pStyle w:val="DMETW36617BIPFGCY"/>
              <w:jc w:val="right"/>
              <w:rPr>
                <w:rFonts w:ascii="Verdana" w:eastAsia="Verdana" w:hAnsi="Verdana" w:cs="Verdana"/>
                <w:noProof/>
                <w:color w:val="FFFFFF"/>
                <w:lang w:bidi="en-GB"/>
              </w:rPr>
            </w:pPr>
            <w:r>
              <w:rPr>
                <w:rFonts w:ascii="Verdana" w:eastAsia="Verdana" w:hAnsi="Verdana" w:cs="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14:paraId="49B646C8" w14:textId="77777777" w:rsidR="00807FFE" w:rsidRDefault="00807FFE">
            <w:pPr>
              <w:pStyle w:val="DMETW36617BIPFGCY"/>
              <w:jc w:val="right"/>
              <w:rPr>
                <w:rFonts w:ascii="Verdana" w:eastAsia="Verdana" w:hAnsi="Verdana" w:cs="Verdana"/>
                <w:noProof/>
                <w:color w:val="FFFFFF"/>
              </w:rPr>
            </w:pPr>
          </w:p>
        </w:tc>
      </w:tr>
      <w:tr w:rsidR="00807FFE" w14:paraId="0F24F184" w14:textId="77777777">
        <w:trPr>
          <w:trHeight w:val="255"/>
        </w:trPr>
        <w:tc>
          <w:tcPr>
            <w:tcW w:w="3648" w:type="dxa"/>
            <w:tcBorders>
              <w:top w:val="nil"/>
              <w:left w:val="nil"/>
              <w:bottom w:val="nil"/>
              <w:right w:val="nil"/>
              <w:tl2br w:val="nil"/>
              <w:tr2bl w:val="nil"/>
            </w:tcBorders>
            <w:tcMar>
              <w:left w:w="60" w:type="dxa"/>
              <w:right w:w="60" w:type="dxa"/>
            </w:tcMar>
            <w:vAlign w:val="center"/>
          </w:tcPr>
          <w:p w14:paraId="03C9F59A" w14:textId="77777777" w:rsidR="00807FFE" w:rsidRDefault="00023E71">
            <w:pPr>
              <w:pStyle w:val="DMETW36617BIPFGCY"/>
              <w:rPr>
                <w:rFonts w:ascii="Verdana" w:eastAsia="Verdana" w:hAnsi="Verdana" w:cs="Verdana"/>
                <w:i/>
                <w:noProof/>
                <w:color w:val="000000"/>
                <w:sz w:val="18"/>
              </w:rPr>
            </w:pPr>
            <w:r>
              <w:rPr>
                <w:rFonts w:ascii="Verdana" w:eastAsia="Verdana" w:hAnsi="Verdana" w:cs="Verdana"/>
                <w:i/>
                <w:noProof/>
                <w:color w:val="000000"/>
                <w:sz w:val="18"/>
              </w:rPr>
              <w:t>FGCs at 31.12.2025</w:t>
            </w:r>
          </w:p>
        </w:tc>
        <w:tc>
          <w:tcPr>
            <w:tcW w:w="1143" w:type="dxa"/>
            <w:tcBorders>
              <w:top w:val="nil"/>
              <w:left w:val="nil"/>
              <w:bottom w:val="nil"/>
              <w:right w:val="nil"/>
              <w:tl2br w:val="nil"/>
              <w:tr2bl w:val="nil"/>
            </w:tcBorders>
            <w:tcMar>
              <w:left w:w="60" w:type="dxa"/>
              <w:right w:w="60" w:type="dxa"/>
            </w:tcMar>
            <w:vAlign w:val="center"/>
          </w:tcPr>
          <w:p w14:paraId="75DFC51F"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(63 617)</w:t>
            </w:r>
          </w:p>
        </w:tc>
        <w:tc>
          <w:tcPr>
            <w:tcW w:w="1144" w:type="dxa"/>
            <w:tcBorders>
              <w:top w:val="nil"/>
              <w:left w:val="nil"/>
              <w:bottom w:val="nil"/>
              <w:right w:val="nil"/>
              <w:tl2br w:val="nil"/>
              <w:tr2bl w:val="nil"/>
            </w:tcBorders>
            <w:tcMar>
              <w:left w:w="60" w:type="dxa"/>
              <w:right w:w="60" w:type="dxa"/>
            </w:tcMar>
            <w:vAlign w:val="center"/>
          </w:tcPr>
          <w:p w14:paraId="249A2E99"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(1 637)</w:t>
            </w:r>
          </w:p>
        </w:tc>
        <w:tc>
          <w:tcPr>
            <w:tcW w:w="1144" w:type="dxa"/>
            <w:tcBorders>
              <w:top w:val="nil"/>
              <w:left w:val="nil"/>
              <w:bottom w:val="nil"/>
              <w:right w:val="nil"/>
              <w:tl2br w:val="nil"/>
              <w:tr2bl w:val="nil"/>
            </w:tcBorders>
            <w:tcMar>
              <w:left w:w="60" w:type="dxa"/>
              <w:right w:w="60" w:type="dxa"/>
            </w:tcMar>
            <w:vAlign w:val="center"/>
          </w:tcPr>
          <w:p w14:paraId="49FA72A2"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(13 966)</w:t>
            </w:r>
          </w:p>
        </w:tc>
        <w:tc>
          <w:tcPr>
            <w:tcW w:w="1144" w:type="dxa"/>
            <w:tcBorders>
              <w:top w:val="nil"/>
              <w:left w:val="nil"/>
              <w:bottom w:val="nil"/>
              <w:right w:val="nil"/>
              <w:tl2br w:val="nil"/>
              <w:tr2bl w:val="nil"/>
            </w:tcBorders>
            <w:tcMar>
              <w:left w:w="60" w:type="dxa"/>
              <w:right w:w="60" w:type="dxa"/>
            </w:tcMar>
            <w:vAlign w:val="center"/>
          </w:tcPr>
          <w:p w14:paraId="280C7C88"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(79 220)</w:t>
            </w:r>
          </w:p>
        </w:tc>
        <w:tc>
          <w:tcPr>
            <w:tcW w:w="1535" w:type="dxa"/>
            <w:tcBorders>
              <w:top w:val="nil"/>
              <w:left w:val="nil"/>
              <w:bottom w:val="nil"/>
              <w:right w:val="nil"/>
              <w:tl2br w:val="nil"/>
              <w:tr2bl w:val="nil"/>
            </w:tcBorders>
            <w:tcMar>
              <w:left w:w="60" w:type="dxa"/>
              <w:right w:w="60" w:type="dxa"/>
            </w:tcMar>
            <w:vAlign w:val="center"/>
          </w:tcPr>
          <w:p w14:paraId="0212326B" w14:textId="77777777" w:rsidR="00807FFE" w:rsidRDefault="00023E71">
            <w:pPr>
              <w:pStyle w:val="DMETW36617BIPFGCY"/>
              <w:jc w:val="right"/>
              <w:rPr>
                <w:rFonts w:ascii="Verdana" w:eastAsia="Verdana" w:hAnsi="Verdana" w:cs="Verdana"/>
                <w:i/>
                <w:noProof/>
                <w:color w:val="000000"/>
                <w:sz w:val="18"/>
                <w:lang w:bidi="en-GB"/>
              </w:rPr>
            </w:pPr>
            <w:r>
              <w:rPr>
                <w:rFonts w:ascii="Verdana" w:eastAsia="Verdana" w:hAnsi="Verdana" w:cs="Verdana"/>
                <w:i/>
                <w:noProof/>
                <w:color w:val="000000"/>
                <w:sz w:val="18"/>
              </w:rPr>
              <w:t>(7 729)</w:t>
            </w:r>
          </w:p>
        </w:tc>
      </w:tr>
      <w:tr w:rsidR="00807FFE" w14:paraId="5994D56A" w14:textId="77777777">
        <w:trPr>
          <w:trHeight w:val="255"/>
        </w:trPr>
        <w:tc>
          <w:tcPr>
            <w:tcW w:w="3648" w:type="dxa"/>
            <w:tcBorders>
              <w:top w:val="nil"/>
              <w:left w:val="nil"/>
              <w:bottom w:val="nil"/>
              <w:right w:val="nil"/>
              <w:tl2br w:val="nil"/>
              <w:tr2bl w:val="nil"/>
            </w:tcBorders>
            <w:tcMar>
              <w:left w:w="60" w:type="dxa"/>
              <w:right w:w="60" w:type="dxa"/>
            </w:tcMar>
            <w:vAlign w:val="center"/>
          </w:tcPr>
          <w:p w14:paraId="175202BD" w14:textId="77777777" w:rsidR="00807FFE" w:rsidRDefault="00023E71">
            <w:pPr>
              <w:pStyle w:val="DMETW36617BIPFGCY"/>
              <w:rPr>
                <w:rFonts w:ascii="Verdana" w:eastAsia="Verdana" w:hAnsi="Verdana" w:cs="Verdana"/>
                <w:i/>
                <w:noProof/>
                <w:color w:val="000000"/>
                <w:sz w:val="18"/>
              </w:rPr>
            </w:pPr>
            <w:r>
              <w:rPr>
                <w:rFonts w:ascii="Verdana" w:eastAsia="Verdana" w:hAnsi="Verdana" w:cs="Verdana"/>
                <w:i/>
                <w:noProof/>
                <w:color w:val="000000"/>
                <w:sz w:val="18"/>
              </w:rPr>
              <w:t>FGCs at 31.12.2024</w:t>
            </w:r>
          </w:p>
        </w:tc>
        <w:tc>
          <w:tcPr>
            <w:tcW w:w="1143" w:type="dxa"/>
            <w:tcBorders>
              <w:top w:val="nil"/>
              <w:left w:val="nil"/>
              <w:bottom w:val="nil"/>
              <w:right w:val="nil"/>
              <w:tl2br w:val="nil"/>
              <w:tr2bl w:val="nil"/>
            </w:tcBorders>
            <w:tcMar>
              <w:left w:w="60" w:type="dxa"/>
              <w:right w:w="60" w:type="dxa"/>
            </w:tcMar>
            <w:vAlign w:val="center"/>
          </w:tcPr>
          <w:p w14:paraId="403FD677"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(64 115)</w:t>
            </w:r>
          </w:p>
        </w:tc>
        <w:tc>
          <w:tcPr>
            <w:tcW w:w="1144" w:type="dxa"/>
            <w:tcBorders>
              <w:top w:val="nil"/>
              <w:left w:val="nil"/>
              <w:bottom w:val="nil"/>
              <w:right w:val="nil"/>
              <w:tl2br w:val="nil"/>
              <w:tr2bl w:val="nil"/>
            </w:tcBorders>
            <w:tcMar>
              <w:left w:w="60" w:type="dxa"/>
              <w:right w:w="60" w:type="dxa"/>
            </w:tcMar>
            <w:vAlign w:val="center"/>
          </w:tcPr>
          <w:p w14:paraId="6C1369D8"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(2 211)</w:t>
            </w:r>
          </w:p>
        </w:tc>
        <w:tc>
          <w:tcPr>
            <w:tcW w:w="1144" w:type="dxa"/>
            <w:tcBorders>
              <w:top w:val="nil"/>
              <w:left w:val="nil"/>
              <w:bottom w:val="nil"/>
              <w:right w:val="nil"/>
              <w:tl2br w:val="nil"/>
              <w:tr2bl w:val="nil"/>
            </w:tcBorders>
            <w:tcMar>
              <w:left w:w="60" w:type="dxa"/>
              <w:right w:w="60" w:type="dxa"/>
            </w:tcMar>
            <w:vAlign w:val="center"/>
          </w:tcPr>
          <w:p w14:paraId="3FD082C6"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(10 271)</w:t>
            </w:r>
          </w:p>
        </w:tc>
        <w:tc>
          <w:tcPr>
            <w:tcW w:w="1144" w:type="dxa"/>
            <w:tcBorders>
              <w:top w:val="nil"/>
              <w:left w:val="nil"/>
              <w:bottom w:val="nil"/>
              <w:right w:val="nil"/>
              <w:tl2br w:val="nil"/>
              <w:tr2bl w:val="nil"/>
            </w:tcBorders>
            <w:tcMar>
              <w:left w:w="60" w:type="dxa"/>
              <w:right w:w="60" w:type="dxa"/>
            </w:tcMar>
            <w:vAlign w:val="center"/>
          </w:tcPr>
          <w:p w14:paraId="3D35B0C9"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(76 597)</w:t>
            </w:r>
          </w:p>
        </w:tc>
        <w:tc>
          <w:tcPr>
            <w:tcW w:w="1535" w:type="dxa"/>
            <w:tcBorders>
              <w:top w:val="nil"/>
              <w:left w:val="nil"/>
              <w:bottom w:val="nil"/>
              <w:right w:val="nil"/>
              <w:tl2br w:val="nil"/>
              <w:tr2bl w:val="nil"/>
            </w:tcBorders>
            <w:tcMar>
              <w:left w:w="60" w:type="dxa"/>
              <w:right w:w="60" w:type="dxa"/>
            </w:tcMar>
            <w:vAlign w:val="center"/>
          </w:tcPr>
          <w:p w14:paraId="4FCBD41A" w14:textId="77777777" w:rsidR="00807FFE" w:rsidRDefault="00023E71">
            <w:pPr>
              <w:pStyle w:val="DMETW36617BIPFGCY"/>
              <w:jc w:val="right"/>
              <w:rPr>
                <w:rFonts w:ascii="Verdana" w:eastAsia="Verdana" w:hAnsi="Verdana" w:cs="Verdana"/>
                <w:i/>
                <w:noProof/>
                <w:color w:val="000000"/>
                <w:sz w:val="18"/>
              </w:rPr>
            </w:pPr>
            <w:r>
              <w:rPr>
                <w:rFonts w:ascii="Verdana" w:eastAsia="Verdana" w:hAnsi="Verdana" w:cs="Verdana"/>
                <w:i/>
                <w:noProof/>
                <w:color w:val="000000"/>
                <w:sz w:val="18"/>
              </w:rPr>
              <w:t>(6 379)</w:t>
            </w:r>
          </w:p>
        </w:tc>
      </w:tr>
    </w:tbl>
    <w:p w14:paraId="3DCC39E5" w14:textId="77777777" w:rsidR="002930D2" w:rsidRDefault="002930D2" w:rsidP="002930D2">
      <w:pPr>
        <w:pStyle w:val="HEADER5"/>
        <w:rPr>
          <w:noProof/>
          <w:lang w:val="en-IE" w:eastAsia="en-IE"/>
        </w:rPr>
      </w:pPr>
    </w:p>
    <w:p w14:paraId="5ED5DFBB" w14:textId="77777777" w:rsidR="002930D2" w:rsidRDefault="00023E71" w:rsidP="002930D2">
      <w:pPr>
        <w:pStyle w:val="HEADER5"/>
        <w:rPr>
          <w:noProof/>
          <w:lang w:val="en-IE" w:eastAsia="en-IE"/>
        </w:rPr>
      </w:pPr>
      <w:r w:rsidRPr="00BE3E6C">
        <w:rPr>
          <w:noProof/>
          <w:lang w:val="en-IE" w:eastAsia="en-IE"/>
        </w:rPr>
        <w:t>Maturity analysis of undrawn loan commitment</w:t>
      </w:r>
      <w:r>
        <w:rPr>
          <w:noProof/>
          <w:lang w:val="en-IE" w:eastAsia="en-IE"/>
        </w:rPr>
        <w:t>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991"/>
        <w:gridCol w:w="992"/>
        <w:gridCol w:w="992"/>
        <w:gridCol w:w="882"/>
        <w:gridCol w:w="1113"/>
      </w:tblGrid>
      <w:tr w:rsidR="00807FFE" w14:paraId="415F525F" w14:textId="77777777">
        <w:trPr>
          <w:trHeight w:val="255"/>
        </w:trPr>
        <w:tc>
          <w:tcPr>
            <w:tcW w:w="4788" w:type="dxa"/>
            <w:tcBorders>
              <w:top w:val="nil"/>
              <w:left w:val="nil"/>
              <w:bottom w:val="nil"/>
              <w:right w:val="nil"/>
              <w:tl2br w:val="nil"/>
              <w:tr2bl w:val="nil"/>
            </w:tcBorders>
            <w:tcMar>
              <w:left w:w="60" w:type="dxa"/>
              <w:right w:w="60" w:type="dxa"/>
            </w:tcMar>
            <w:vAlign w:val="bottom"/>
          </w:tcPr>
          <w:p w14:paraId="4DF4E518" w14:textId="77777777" w:rsidR="00807FFE" w:rsidRDefault="00807FFE">
            <w:pPr>
              <w:pStyle w:val="DMETW36617BIPULC"/>
              <w:rPr>
                <w:rFonts w:ascii="Verdana" w:eastAsia="Verdana" w:hAnsi="Verdana" w:cs="Verdana"/>
                <w:noProof/>
                <w:color w:val="000000"/>
                <w:lang w:bidi="en-GB"/>
              </w:rPr>
            </w:pPr>
            <w:bookmarkStart w:id="240" w:name="DOC_TBL00105_1_1"/>
            <w:bookmarkEnd w:id="240"/>
          </w:p>
        </w:tc>
        <w:tc>
          <w:tcPr>
            <w:tcW w:w="991" w:type="dxa"/>
            <w:tcBorders>
              <w:top w:val="nil"/>
              <w:left w:val="nil"/>
              <w:bottom w:val="nil"/>
              <w:right w:val="nil"/>
              <w:tl2br w:val="nil"/>
              <w:tr2bl w:val="nil"/>
            </w:tcBorders>
            <w:tcMar>
              <w:left w:w="60" w:type="dxa"/>
              <w:right w:w="60" w:type="dxa"/>
            </w:tcMar>
            <w:vAlign w:val="bottom"/>
          </w:tcPr>
          <w:p w14:paraId="4705B398" w14:textId="77777777" w:rsidR="00807FFE" w:rsidRDefault="00807FFE">
            <w:pPr>
              <w:pStyle w:val="DMETW36617BIPULC"/>
              <w:rPr>
                <w:rFonts w:ascii="Verdana" w:eastAsia="Verdana" w:hAnsi="Verdana" w:cs="Verdana"/>
                <w:noProof/>
                <w:color w:val="000000"/>
              </w:rPr>
            </w:pPr>
          </w:p>
        </w:tc>
        <w:tc>
          <w:tcPr>
            <w:tcW w:w="992" w:type="dxa"/>
            <w:tcBorders>
              <w:top w:val="nil"/>
              <w:left w:val="nil"/>
              <w:bottom w:val="nil"/>
              <w:right w:val="nil"/>
              <w:tl2br w:val="nil"/>
              <w:tr2bl w:val="nil"/>
            </w:tcBorders>
            <w:tcMar>
              <w:left w:w="60" w:type="dxa"/>
              <w:right w:w="60" w:type="dxa"/>
            </w:tcMar>
            <w:vAlign w:val="bottom"/>
          </w:tcPr>
          <w:p w14:paraId="40C79AF2" w14:textId="77777777" w:rsidR="00807FFE" w:rsidRDefault="00807FFE">
            <w:pPr>
              <w:pStyle w:val="DMETW36617BIPULC"/>
              <w:rPr>
                <w:rFonts w:ascii="Verdana" w:eastAsia="Verdana" w:hAnsi="Verdana" w:cs="Verdana"/>
                <w:noProof/>
                <w:color w:val="000000"/>
              </w:rPr>
            </w:pPr>
          </w:p>
        </w:tc>
        <w:tc>
          <w:tcPr>
            <w:tcW w:w="992" w:type="dxa"/>
            <w:tcBorders>
              <w:top w:val="nil"/>
              <w:left w:val="nil"/>
              <w:bottom w:val="nil"/>
              <w:right w:val="nil"/>
              <w:tl2br w:val="nil"/>
              <w:tr2bl w:val="nil"/>
            </w:tcBorders>
            <w:tcMar>
              <w:left w:w="60" w:type="dxa"/>
              <w:right w:w="60" w:type="dxa"/>
            </w:tcMar>
            <w:vAlign w:val="bottom"/>
          </w:tcPr>
          <w:p w14:paraId="44900FC1" w14:textId="77777777" w:rsidR="00807FFE" w:rsidRDefault="00807FFE">
            <w:pPr>
              <w:pStyle w:val="DMETW36617BIPULC"/>
              <w:rPr>
                <w:rFonts w:ascii="Verdana" w:eastAsia="Verdana" w:hAnsi="Verdana" w:cs="Verdana"/>
                <w:noProof/>
                <w:color w:val="000000"/>
              </w:rPr>
            </w:pPr>
          </w:p>
        </w:tc>
        <w:tc>
          <w:tcPr>
            <w:tcW w:w="882" w:type="dxa"/>
            <w:tcBorders>
              <w:top w:val="nil"/>
              <w:left w:val="nil"/>
              <w:bottom w:val="nil"/>
              <w:right w:val="nil"/>
              <w:tl2br w:val="nil"/>
              <w:tr2bl w:val="nil"/>
            </w:tcBorders>
            <w:tcMar>
              <w:left w:w="60" w:type="dxa"/>
              <w:right w:w="60" w:type="dxa"/>
            </w:tcMar>
            <w:vAlign w:val="bottom"/>
          </w:tcPr>
          <w:p w14:paraId="65B930C8" w14:textId="77777777" w:rsidR="00807FFE" w:rsidRDefault="00807FFE">
            <w:pPr>
              <w:pStyle w:val="DMETW36617BIPULC"/>
              <w:rPr>
                <w:rFonts w:ascii="Verdana" w:eastAsia="Verdana" w:hAnsi="Verdana" w:cs="Verdana"/>
                <w:noProof/>
                <w:color w:val="000000"/>
              </w:rPr>
            </w:pPr>
          </w:p>
        </w:tc>
        <w:tc>
          <w:tcPr>
            <w:tcW w:w="1113" w:type="dxa"/>
            <w:tcBorders>
              <w:top w:val="nil"/>
              <w:left w:val="nil"/>
              <w:bottom w:val="nil"/>
              <w:right w:val="nil"/>
              <w:tl2br w:val="nil"/>
              <w:tr2bl w:val="nil"/>
            </w:tcBorders>
            <w:tcMar>
              <w:left w:w="60" w:type="dxa"/>
              <w:right w:w="60" w:type="dxa"/>
            </w:tcMar>
            <w:vAlign w:val="bottom"/>
          </w:tcPr>
          <w:p w14:paraId="0C91686A" w14:textId="77777777" w:rsidR="00807FFE" w:rsidRDefault="00023E71">
            <w:pPr>
              <w:pStyle w:val="DMETW36617BIPULC"/>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5F66218" w14:textId="77777777">
        <w:trPr>
          <w:trHeight w:val="255"/>
        </w:trPr>
        <w:tc>
          <w:tcPr>
            <w:tcW w:w="4788" w:type="dxa"/>
            <w:gridSpan w:val="5"/>
            <w:tcBorders>
              <w:top w:val="nil"/>
              <w:left w:val="nil"/>
              <w:bottom w:val="nil"/>
              <w:right w:val="nil"/>
              <w:tl2br w:val="nil"/>
              <w:tr2bl w:val="nil"/>
            </w:tcBorders>
            <w:shd w:val="solid" w:color="016794" w:fill="FFFFFF"/>
            <w:tcMar>
              <w:left w:w="60" w:type="dxa"/>
              <w:right w:w="60" w:type="dxa"/>
            </w:tcMar>
            <w:vAlign w:val="center"/>
          </w:tcPr>
          <w:p w14:paraId="00E7D245" w14:textId="77777777" w:rsidR="00807FFE" w:rsidRDefault="00023E71">
            <w:pPr>
              <w:pStyle w:val="DMETW36617BIPULC"/>
              <w:jc w:val="center"/>
              <w:rPr>
                <w:rFonts w:ascii="Verdana" w:eastAsia="Verdana" w:hAnsi="Verdana" w:cs="Verdana"/>
                <w:noProof/>
                <w:color w:val="FFFFFF"/>
              </w:rPr>
            </w:pPr>
            <w:r>
              <w:rPr>
                <w:rFonts w:ascii="Verdana" w:eastAsia="Verdana" w:hAnsi="Verdana" w:cs="Verdana"/>
                <w:noProof/>
                <w:color w:val="FFFFFF"/>
              </w:rPr>
              <w:t xml:space="preserve">                                                    Maximum amount of undrawn loan commitment</w:t>
            </w:r>
          </w:p>
        </w:tc>
        <w:tc>
          <w:tcPr>
            <w:tcW w:w="1113" w:type="dxa"/>
            <w:vMerge w:val="restart"/>
            <w:tcBorders>
              <w:top w:val="nil"/>
              <w:left w:val="nil"/>
              <w:bottom w:val="nil"/>
              <w:right w:val="nil"/>
              <w:tl2br w:val="nil"/>
              <w:tr2bl w:val="nil"/>
            </w:tcBorders>
            <w:shd w:val="solid" w:color="016794" w:fill="FFFFFF"/>
            <w:tcMar>
              <w:left w:w="60" w:type="dxa"/>
              <w:right w:w="60" w:type="dxa"/>
            </w:tcMar>
            <w:vAlign w:val="bottom"/>
          </w:tcPr>
          <w:p w14:paraId="587A46AE" w14:textId="77777777" w:rsidR="00807FFE" w:rsidRDefault="00023E71">
            <w:pPr>
              <w:pStyle w:val="DMETW36617BIPULC"/>
              <w:jc w:val="right"/>
              <w:rPr>
                <w:rFonts w:ascii="Verdana" w:eastAsia="Verdana" w:hAnsi="Verdana" w:cs="Verdana"/>
                <w:noProof/>
                <w:color w:val="FFFFFF"/>
                <w:lang w:bidi="en-GB"/>
              </w:rPr>
            </w:pPr>
            <w:r>
              <w:rPr>
                <w:rFonts w:ascii="Verdana" w:eastAsia="Verdana" w:hAnsi="Verdana" w:cs="Verdana"/>
                <w:noProof/>
                <w:color w:val="FFFFFF"/>
              </w:rPr>
              <w:t>Carrying amount</w:t>
            </w:r>
          </w:p>
        </w:tc>
      </w:tr>
      <w:tr w:rsidR="00807FFE" w14:paraId="7B334F13" w14:textId="77777777">
        <w:trPr>
          <w:trHeight w:val="255"/>
        </w:trPr>
        <w:tc>
          <w:tcPr>
            <w:tcW w:w="4788" w:type="dxa"/>
            <w:tcBorders>
              <w:top w:val="nil"/>
              <w:left w:val="nil"/>
              <w:bottom w:val="nil"/>
              <w:right w:val="nil"/>
              <w:tl2br w:val="nil"/>
              <w:tr2bl w:val="nil"/>
            </w:tcBorders>
            <w:shd w:val="solid" w:color="016794" w:fill="FFFFFF"/>
            <w:tcMar>
              <w:left w:w="60" w:type="dxa"/>
              <w:right w:w="60" w:type="dxa"/>
            </w:tcMar>
            <w:vAlign w:val="center"/>
          </w:tcPr>
          <w:p w14:paraId="381E12B4" w14:textId="77777777" w:rsidR="00807FFE" w:rsidRDefault="00807FFE">
            <w:pPr>
              <w:pStyle w:val="DMETW36617BIPULC"/>
              <w:jc w:val="right"/>
              <w:rPr>
                <w:rFonts w:ascii="Verdana" w:eastAsia="Verdana" w:hAnsi="Verdana" w:cs="Verdana"/>
                <w:noProof/>
                <w:color w:val="FFFFFF"/>
              </w:rPr>
            </w:pPr>
          </w:p>
        </w:tc>
        <w:tc>
          <w:tcPr>
            <w:tcW w:w="991" w:type="dxa"/>
            <w:tcBorders>
              <w:top w:val="nil"/>
              <w:left w:val="nil"/>
              <w:bottom w:val="nil"/>
              <w:right w:val="nil"/>
              <w:tl2br w:val="nil"/>
              <w:tr2bl w:val="nil"/>
            </w:tcBorders>
            <w:shd w:val="solid" w:color="016794" w:fill="FFFFFF"/>
            <w:tcMar>
              <w:left w:w="60" w:type="dxa"/>
              <w:right w:w="60" w:type="dxa"/>
            </w:tcMar>
            <w:vAlign w:val="center"/>
          </w:tcPr>
          <w:p w14:paraId="74C05103" w14:textId="77777777" w:rsidR="00807FFE" w:rsidRDefault="00023E71">
            <w:pPr>
              <w:pStyle w:val="DMETW36617BIPULC"/>
              <w:jc w:val="right"/>
              <w:rPr>
                <w:rFonts w:ascii="Verdana" w:eastAsia="Verdana" w:hAnsi="Verdana" w:cs="Verdana"/>
                <w:noProof/>
                <w:color w:val="FFFFFF"/>
              </w:rPr>
            </w:pPr>
            <w:r>
              <w:rPr>
                <w:rFonts w:ascii="Verdana" w:eastAsia="Verdana" w:hAnsi="Verdana" w:cs="Verdana"/>
                <w:noProof/>
                <w:color w:val="FFFFFF"/>
              </w:rPr>
              <w:t>&lt; 1 year</w:t>
            </w:r>
          </w:p>
        </w:tc>
        <w:tc>
          <w:tcPr>
            <w:tcW w:w="992" w:type="dxa"/>
            <w:tcBorders>
              <w:top w:val="nil"/>
              <w:left w:val="nil"/>
              <w:bottom w:val="nil"/>
              <w:right w:val="nil"/>
              <w:tl2br w:val="nil"/>
              <w:tr2bl w:val="nil"/>
            </w:tcBorders>
            <w:shd w:val="solid" w:color="016794" w:fill="FFFFFF"/>
            <w:tcMar>
              <w:left w:w="60" w:type="dxa"/>
              <w:right w:w="60" w:type="dxa"/>
            </w:tcMar>
            <w:vAlign w:val="center"/>
          </w:tcPr>
          <w:p w14:paraId="10F0E730" w14:textId="77777777" w:rsidR="00807FFE" w:rsidRDefault="00023E71">
            <w:pPr>
              <w:pStyle w:val="DMETW36617BIPULC"/>
              <w:jc w:val="right"/>
              <w:rPr>
                <w:rFonts w:ascii="Verdana" w:eastAsia="Verdana" w:hAnsi="Verdana" w:cs="Verdana"/>
                <w:noProof/>
                <w:color w:val="FFFFFF"/>
              </w:rPr>
            </w:pPr>
            <w:r>
              <w:rPr>
                <w:rFonts w:ascii="Verdana" w:eastAsia="Verdana" w:hAnsi="Verdana" w:cs="Verdana"/>
                <w:noProof/>
                <w:color w:val="FFFFFF"/>
              </w:rPr>
              <w:t>1-5 years</w:t>
            </w:r>
          </w:p>
        </w:tc>
        <w:tc>
          <w:tcPr>
            <w:tcW w:w="992" w:type="dxa"/>
            <w:tcBorders>
              <w:top w:val="nil"/>
              <w:left w:val="nil"/>
              <w:bottom w:val="nil"/>
              <w:right w:val="nil"/>
              <w:tl2br w:val="nil"/>
              <w:tr2bl w:val="nil"/>
            </w:tcBorders>
            <w:shd w:val="solid" w:color="016794" w:fill="FFFFFF"/>
            <w:tcMar>
              <w:left w:w="60" w:type="dxa"/>
              <w:right w:w="60" w:type="dxa"/>
            </w:tcMar>
            <w:vAlign w:val="center"/>
          </w:tcPr>
          <w:p w14:paraId="04E1E319" w14:textId="77777777" w:rsidR="00807FFE" w:rsidRDefault="00023E71">
            <w:pPr>
              <w:pStyle w:val="DMETW36617BIPULC"/>
              <w:jc w:val="right"/>
              <w:rPr>
                <w:rFonts w:ascii="Verdana" w:eastAsia="Verdana" w:hAnsi="Verdana" w:cs="Verdana"/>
                <w:noProof/>
                <w:color w:val="FFFFFF"/>
              </w:rPr>
            </w:pPr>
            <w:r>
              <w:rPr>
                <w:rFonts w:ascii="Verdana" w:eastAsia="Verdana" w:hAnsi="Verdana" w:cs="Verdana"/>
                <w:noProof/>
                <w:color w:val="FFFFFF"/>
              </w:rPr>
              <w:t>&gt; 5 years</w:t>
            </w:r>
          </w:p>
        </w:tc>
        <w:tc>
          <w:tcPr>
            <w:tcW w:w="882" w:type="dxa"/>
            <w:tcBorders>
              <w:top w:val="nil"/>
              <w:left w:val="nil"/>
              <w:bottom w:val="nil"/>
              <w:right w:val="nil"/>
              <w:tl2br w:val="nil"/>
              <w:tr2bl w:val="nil"/>
            </w:tcBorders>
            <w:shd w:val="solid" w:color="016794" w:fill="FFFFFF"/>
            <w:tcMar>
              <w:left w:w="60" w:type="dxa"/>
              <w:right w:w="60" w:type="dxa"/>
            </w:tcMar>
            <w:vAlign w:val="center"/>
          </w:tcPr>
          <w:p w14:paraId="68D1F492" w14:textId="77777777" w:rsidR="00807FFE" w:rsidRDefault="00023E71">
            <w:pPr>
              <w:pStyle w:val="DMETW36617BIPULC"/>
              <w:jc w:val="right"/>
              <w:rPr>
                <w:rFonts w:ascii="Verdana" w:eastAsia="Verdana" w:hAnsi="Verdana" w:cs="Verdana"/>
                <w:noProof/>
                <w:color w:val="FFFFFF"/>
                <w:lang w:bidi="en-GB"/>
              </w:rPr>
            </w:pPr>
            <w:r>
              <w:rPr>
                <w:rFonts w:ascii="Verdana" w:eastAsia="Verdana" w:hAnsi="Verdana" w:cs="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14:paraId="59A0719C" w14:textId="77777777" w:rsidR="00807FFE" w:rsidRDefault="00807FFE">
            <w:pPr>
              <w:pStyle w:val="DMETW36617BIPULC"/>
              <w:jc w:val="right"/>
              <w:rPr>
                <w:rFonts w:ascii="Verdana" w:eastAsia="Verdana" w:hAnsi="Verdana" w:cs="Verdana"/>
                <w:noProof/>
                <w:color w:val="FFFFFF"/>
              </w:rPr>
            </w:pPr>
          </w:p>
        </w:tc>
      </w:tr>
      <w:tr w:rsidR="00807FFE" w14:paraId="70ECCBA8" w14:textId="77777777">
        <w:trPr>
          <w:trHeight w:val="255"/>
        </w:trPr>
        <w:tc>
          <w:tcPr>
            <w:tcW w:w="4788" w:type="dxa"/>
            <w:tcBorders>
              <w:top w:val="nil"/>
              <w:left w:val="nil"/>
              <w:bottom w:val="nil"/>
              <w:right w:val="nil"/>
              <w:tl2br w:val="nil"/>
              <w:tr2bl w:val="nil"/>
            </w:tcBorders>
            <w:tcMar>
              <w:left w:w="60" w:type="dxa"/>
              <w:right w:w="60" w:type="dxa"/>
            </w:tcMar>
            <w:vAlign w:val="center"/>
          </w:tcPr>
          <w:p w14:paraId="7A6D9132" w14:textId="77777777" w:rsidR="00807FFE" w:rsidRDefault="00023E71">
            <w:pPr>
              <w:pStyle w:val="DMETW36617BIPULC"/>
              <w:rPr>
                <w:rFonts w:ascii="Verdana" w:eastAsia="Verdana" w:hAnsi="Verdana" w:cs="Verdana"/>
                <w:i/>
                <w:noProof/>
                <w:color w:val="000000"/>
                <w:sz w:val="18"/>
              </w:rPr>
            </w:pPr>
            <w:r>
              <w:rPr>
                <w:rFonts w:ascii="Verdana" w:eastAsia="Verdana" w:hAnsi="Verdana" w:cs="Verdana"/>
                <w:i/>
                <w:noProof/>
                <w:color w:val="000000"/>
                <w:sz w:val="18"/>
              </w:rPr>
              <w:t>Undrawn loan commitments at 31.12.2025</w:t>
            </w:r>
          </w:p>
        </w:tc>
        <w:tc>
          <w:tcPr>
            <w:tcW w:w="991" w:type="dxa"/>
            <w:tcBorders>
              <w:top w:val="nil"/>
              <w:left w:val="nil"/>
              <w:bottom w:val="nil"/>
              <w:right w:val="nil"/>
              <w:tl2br w:val="nil"/>
              <w:tr2bl w:val="nil"/>
            </w:tcBorders>
            <w:tcMar>
              <w:left w:w="60" w:type="dxa"/>
              <w:right w:w="60" w:type="dxa"/>
            </w:tcMar>
            <w:vAlign w:val="center"/>
          </w:tcPr>
          <w:p w14:paraId="586830C3"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14:paraId="30237D96"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992" w:type="dxa"/>
            <w:tcBorders>
              <w:top w:val="nil"/>
              <w:left w:val="nil"/>
              <w:bottom w:val="nil"/>
              <w:right w:val="nil"/>
              <w:tl2br w:val="nil"/>
              <w:tr2bl w:val="nil"/>
            </w:tcBorders>
            <w:tcMar>
              <w:left w:w="60" w:type="dxa"/>
              <w:right w:w="60" w:type="dxa"/>
            </w:tcMar>
            <w:vAlign w:val="center"/>
          </w:tcPr>
          <w:p w14:paraId="5C95A7AD"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882" w:type="dxa"/>
            <w:tcBorders>
              <w:top w:val="nil"/>
              <w:left w:val="nil"/>
              <w:bottom w:val="nil"/>
              <w:right w:val="nil"/>
              <w:tl2br w:val="nil"/>
              <w:tr2bl w:val="nil"/>
            </w:tcBorders>
            <w:tcMar>
              <w:left w:w="60" w:type="dxa"/>
              <w:right w:w="60" w:type="dxa"/>
            </w:tcMar>
            <w:vAlign w:val="center"/>
          </w:tcPr>
          <w:p w14:paraId="744E7CEC"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113" w:type="dxa"/>
            <w:tcBorders>
              <w:top w:val="nil"/>
              <w:left w:val="nil"/>
              <w:bottom w:val="nil"/>
              <w:right w:val="nil"/>
              <w:tl2br w:val="nil"/>
              <w:tr2bl w:val="nil"/>
            </w:tcBorders>
            <w:tcMar>
              <w:left w:w="60" w:type="dxa"/>
              <w:right w:w="60" w:type="dxa"/>
            </w:tcMar>
            <w:vAlign w:val="center"/>
          </w:tcPr>
          <w:p w14:paraId="021B6B37" w14:textId="77777777" w:rsidR="00807FFE" w:rsidRDefault="00023E71">
            <w:pPr>
              <w:pStyle w:val="DMETW36617BIPUL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807FFE" w14:paraId="004EA61D" w14:textId="77777777">
        <w:trPr>
          <w:trHeight w:val="255"/>
        </w:trPr>
        <w:tc>
          <w:tcPr>
            <w:tcW w:w="4788" w:type="dxa"/>
            <w:tcBorders>
              <w:top w:val="nil"/>
              <w:left w:val="nil"/>
              <w:bottom w:val="nil"/>
              <w:right w:val="nil"/>
              <w:tl2br w:val="nil"/>
              <w:tr2bl w:val="nil"/>
            </w:tcBorders>
            <w:tcMar>
              <w:left w:w="60" w:type="dxa"/>
              <w:right w:w="60" w:type="dxa"/>
            </w:tcMar>
            <w:vAlign w:val="center"/>
          </w:tcPr>
          <w:p w14:paraId="474DF274" w14:textId="77777777" w:rsidR="00807FFE" w:rsidRDefault="00023E71">
            <w:pPr>
              <w:pStyle w:val="DMETW36617BIPULC"/>
              <w:rPr>
                <w:rFonts w:ascii="Verdana" w:eastAsia="Verdana" w:hAnsi="Verdana" w:cs="Verdana"/>
                <w:i/>
                <w:noProof/>
                <w:color w:val="000000"/>
                <w:sz w:val="18"/>
              </w:rPr>
            </w:pPr>
            <w:r>
              <w:rPr>
                <w:rFonts w:ascii="Verdana" w:eastAsia="Verdana" w:hAnsi="Verdana" w:cs="Verdana"/>
                <w:i/>
                <w:noProof/>
                <w:color w:val="000000"/>
                <w:sz w:val="18"/>
              </w:rPr>
              <w:t>Undrawn loan commitments at 31.12.2024</w:t>
            </w:r>
          </w:p>
        </w:tc>
        <w:tc>
          <w:tcPr>
            <w:tcW w:w="991" w:type="dxa"/>
            <w:tcBorders>
              <w:top w:val="nil"/>
              <w:left w:val="nil"/>
              <w:bottom w:val="nil"/>
              <w:right w:val="nil"/>
              <w:tl2br w:val="nil"/>
              <w:tr2bl w:val="nil"/>
            </w:tcBorders>
            <w:tcMar>
              <w:left w:w="60" w:type="dxa"/>
              <w:right w:w="60" w:type="dxa"/>
            </w:tcMar>
            <w:vAlign w:val="center"/>
          </w:tcPr>
          <w:p w14:paraId="145B37D1"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18 152</w:t>
            </w:r>
          </w:p>
        </w:tc>
        <w:tc>
          <w:tcPr>
            <w:tcW w:w="992" w:type="dxa"/>
            <w:tcBorders>
              <w:top w:val="nil"/>
              <w:left w:val="nil"/>
              <w:bottom w:val="nil"/>
              <w:right w:val="nil"/>
              <w:tl2br w:val="nil"/>
              <w:tr2bl w:val="nil"/>
            </w:tcBorders>
            <w:tcMar>
              <w:left w:w="60" w:type="dxa"/>
              <w:right w:w="60" w:type="dxa"/>
            </w:tcMar>
            <w:vAlign w:val="center"/>
          </w:tcPr>
          <w:p w14:paraId="0A790114"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 xml:space="preserve"> 41</w:t>
            </w:r>
          </w:p>
        </w:tc>
        <w:tc>
          <w:tcPr>
            <w:tcW w:w="992" w:type="dxa"/>
            <w:tcBorders>
              <w:top w:val="nil"/>
              <w:left w:val="nil"/>
              <w:bottom w:val="nil"/>
              <w:right w:val="nil"/>
              <w:tl2br w:val="nil"/>
              <w:tr2bl w:val="nil"/>
            </w:tcBorders>
            <w:tcMar>
              <w:left w:w="60" w:type="dxa"/>
              <w:right w:w="60" w:type="dxa"/>
            </w:tcMar>
            <w:vAlign w:val="center"/>
          </w:tcPr>
          <w:p w14:paraId="5F2B1FED"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82" w:type="dxa"/>
            <w:tcBorders>
              <w:top w:val="nil"/>
              <w:left w:val="nil"/>
              <w:bottom w:val="nil"/>
              <w:right w:val="nil"/>
              <w:tl2br w:val="nil"/>
              <w:tr2bl w:val="nil"/>
            </w:tcBorders>
            <w:tcMar>
              <w:left w:w="60" w:type="dxa"/>
              <w:right w:w="60" w:type="dxa"/>
            </w:tcMar>
            <w:vAlign w:val="center"/>
          </w:tcPr>
          <w:p w14:paraId="1474A1C4"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18 193</w:t>
            </w:r>
          </w:p>
        </w:tc>
        <w:tc>
          <w:tcPr>
            <w:tcW w:w="1113" w:type="dxa"/>
            <w:tcBorders>
              <w:top w:val="nil"/>
              <w:left w:val="nil"/>
              <w:bottom w:val="nil"/>
              <w:right w:val="nil"/>
              <w:tl2br w:val="nil"/>
              <w:tr2bl w:val="nil"/>
            </w:tcBorders>
            <w:tcMar>
              <w:left w:w="60" w:type="dxa"/>
              <w:right w:w="60" w:type="dxa"/>
            </w:tcMar>
            <w:vAlign w:val="center"/>
          </w:tcPr>
          <w:p w14:paraId="596E876F" w14:textId="77777777" w:rsidR="00807FFE" w:rsidRDefault="00023E71">
            <w:pPr>
              <w:pStyle w:val="DMETW36617BIPULC"/>
              <w:jc w:val="right"/>
              <w:rPr>
                <w:rFonts w:ascii="Verdana" w:eastAsia="Verdana" w:hAnsi="Verdana" w:cs="Verdana"/>
                <w:i/>
                <w:noProof/>
                <w:color w:val="000000"/>
                <w:sz w:val="18"/>
              </w:rPr>
            </w:pPr>
            <w:r>
              <w:rPr>
                <w:rFonts w:ascii="Verdana" w:eastAsia="Verdana" w:hAnsi="Verdana" w:cs="Verdana"/>
                <w:i/>
                <w:noProof/>
                <w:color w:val="000000"/>
                <w:sz w:val="18"/>
              </w:rPr>
              <w:t>7 082</w:t>
            </w:r>
          </w:p>
        </w:tc>
      </w:tr>
    </w:tbl>
    <w:p w14:paraId="1F3583B3" w14:textId="77777777" w:rsidR="00BD0290" w:rsidRPr="0067779B" w:rsidRDefault="00023E71" w:rsidP="00BD0290">
      <w:pPr>
        <w:pStyle w:val="HEADER5"/>
        <w:spacing w:before="240"/>
        <w:rPr>
          <w:noProof/>
        </w:rPr>
      </w:pPr>
      <w:r>
        <w:rPr>
          <w:noProof/>
        </w:rPr>
        <w:t xml:space="preserve">Borrowing activities </w:t>
      </w:r>
    </w:p>
    <w:p w14:paraId="630A218C" w14:textId="77777777" w:rsidR="00BD0290" w:rsidRDefault="00023E71" w:rsidP="00BD0290">
      <w:pPr>
        <w:pStyle w:val="DGTextstand-alone"/>
        <w:rPr>
          <w:lang w:val="en-IE" w:eastAsia="en-IE"/>
        </w:rPr>
      </w:pPr>
      <w:r w:rsidRPr="1D0DAAEE">
        <w:rPr>
          <w:lang w:val="en-IE" w:eastAsia="en-IE"/>
        </w:rPr>
        <w:t>The EU's first recourse for repaying borrowings is the timely collection of related financial assistance and NGEU loan repayments. However, additional safeguards are in place in case of payment defaults or payment delays by borrowers.</w:t>
      </w:r>
    </w:p>
    <w:p w14:paraId="16B5E88E" w14:textId="77777777" w:rsidR="00BD0290" w:rsidRPr="00105295" w:rsidRDefault="00023E71" w:rsidP="00BD0290">
      <w:pPr>
        <w:pStyle w:val="DGTextstand-alone"/>
        <w:rPr>
          <w:lang w:val="en-IE" w:eastAsia="en-IE"/>
        </w:rPr>
      </w:pPr>
      <w:r w:rsidRPr="1D0DAAEE">
        <w:rPr>
          <w:lang w:val="en-IE" w:eastAsia="en-IE"/>
        </w:rPr>
        <w:t>The Commission has established a short-term temporary measure called budgetary cover, which provides liquidity to cover payment of obligations arising from back-to-back financial assistance programmes.</w:t>
      </w:r>
    </w:p>
    <w:p w14:paraId="5BA74A41" w14:textId="77777777" w:rsidR="00BD0290" w:rsidRPr="00105295" w:rsidRDefault="00023E71" w:rsidP="00BD0290">
      <w:pPr>
        <w:pStyle w:val="DGTextstand-alone"/>
        <w:rPr>
          <w:lang w:val="en-IE" w:eastAsia="en-IE"/>
        </w:rPr>
      </w:pPr>
      <w:r w:rsidRPr="6C204149">
        <w:rPr>
          <w:lang w:val="en-IE" w:eastAsia="en-IE"/>
        </w:rPr>
        <w:t xml:space="preserve">For the loans to third countries under MFA (except MFA+ and MFA ULCM), Euratom, Western Balkans Facility and Moldova Facility the CPF provides a liquidity reserve. This reserve </w:t>
      </w:r>
      <w:r>
        <w:rPr>
          <w:lang w:val="en-IE" w:eastAsia="en-IE"/>
        </w:rPr>
        <w:t>may be</w:t>
      </w:r>
      <w:r w:rsidRPr="6C204149">
        <w:rPr>
          <w:lang w:val="en-IE" w:eastAsia="en-IE"/>
        </w:rPr>
        <w:t xml:space="preserve"> used to repay related borrowings.</w:t>
      </w:r>
    </w:p>
    <w:p w14:paraId="3BD88212" w14:textId="77777777" w:rsidR="00BD0290" w:rsidRPr="00105295" w:rsidRDefault="00023E71" w:rsidP="00BD0290">
      <w:pPr>
        <w:pStyle w:val="DGTextstand-alone"/>
        <w:rPr>
          <w:lang w:val="en-IE" w:eastAsia="en-IE"/>
        </w:rPr>
      </w:pPr>
      <w:r w:rsidRPr="1D0DAAEE">
        <w:rPr>
          <w:lang w:val="en-IE" w:eastAsia="en-IE"/>
        </w:rPr>
        <w:t>If the available assets in the reserve are insufficient to cover actual losses, the Commission will activate measures to provide additional resources, such as temporary use of Commission's treasury liquidity, temporary transfers, or additional expenditure from the EU budget.</w:t>
      </w:r>
    </w:p>
    <w:p w14:paraId="7C02B9F0" w14:textId="77777777" w:rsidR="00BD0290" w:rsidRPr="00105295" w:rsidRDefault="00023E71" w:rsidP="00BD0290">
      <w:pPr>
        <w:pStyle w:val="DGTextstand-alone"/>
        <w:rPr>
          <w:lang w:val="en-IE" w:eastAsia="en-IE"/>
        </w:rPr>
      </w:pPr>
      <w:r w:rsidRPr="1D0DAAEE">
        <w:rPr>
          <w:lang w:val="en-IE" w:eastAsia="en-IE"/>
        </w:rPr>
        <w:t xml:space="preserve">Loans provided to Ukraine under the exceptional MFA programme are covered by their compartment in CPF, as well as by additional Member States guarantees (see </w:t>
      </w:r>
      <w:r>
        <w:rPr>
          <w:lang w:val="en-IE" w:eastAsia="en-IE"/>
        </w:rPr>
        <w:t>N</w:t>
      </w:r>
      <w:r w:rsidRPr="1D0DAAEE">
        <w:rPr>
          <w:lang w:val="en-IE" w:eastAsia="en-IE"/>
        </w:rPr>
        <w:t xml:space="preserve">ote </w:t>
      </w:r>
      <w:r>
        <w:rPr>
          <w:b/>
          <w:bCs/>
          <w:lang w:val="en-IE" w:eastAsia="en-IE"/>
        </w:rPr>
        <w:t>6.6</w:t>
      </w:r>
      <w:r w:rsidRPr="1D0DAAEE">
        <w:rPr>
          <w:lang w:val="en-IE" w:eastAsia="en-IE"/>
        </w:rPr>
        <w:t>).</w:t>
      </w:r>
    </w:p>
    <w:p w14:paraId="0FA41E62" w14:textId="77777777" w:rsidR="00BD0290" w:rsidRPr="005779E6" w:rsidRDefault="00023E71" w:rsidP="00BD0290">
      <w:pPr>
        <w:pStyle w:val="DGTextstand-alone"/>
        <w:rPr>
          <w:lang w:val="en-IE" w:eastAsia="en-IE"/>
        </w:rPr>
      </w:pPr>
      <w:r w:rsidRPr="1D0DAAEE">
        <w:rPr>
          <w:lang w:val="en-IE" w:eastAsia="en-IE"/>
        </w:rPr>
        <w:t>For loans disbursed and borrowings issued under the unified funding approach, the Commission may apply active cash management and short-term borrowing to service EU debts. Management of liquidity risk under this approach requires implementation of liquidity management procedures and dedicated tools to monitor and manage liquidity on a daily basis.</w:t>
      </w:r>
    </w:p>
    <w:p w14:paraId="262E4230" w14:textId="77777777" w:rsidR="00BD0290" w:rsidRDefault="00023E71" w:rsidP="00BD0290">
      <w:pPr>
        <w:pStyle w:val="DGTextstand-alone"/>
        <w:rPr>
          <w:lang w:val="en-IE" w:eastAsia="en-IE"/>
        </w:rPr>
      </w:pPr>
      <w:r w:rsidRPr="6C204149">
        <w:rPr>
          <w:lang w:val="en-IE" w:eastAsia="en-IE"/>
        </w:rPr>
        <w:t>The Commission may also call resources from Member States up to the own resources ceiling to service EU debts. The own resources decision fixes the ceiling for own resources to cover annual appropriations for payments at 1.40% of Member States' Gross National Income (GNI), plus an additional temporary increase of 0.6 percentage points exclusively for NGEU. The 2025 budget included a total of own resources of 0.83% of EU GNI to finance the expenditure. This means that on 31 December 2025 there existed an available margin of 1.17% to cover its liabilities.</w:t>
      </w:r>
    </w:p>
    <w:p w14:paraId="57ADE1D6" w14:textId="77777777" w:rsidR="00BD0290" w:rsidRPr="008455C5" w:rsidRDefault="00023E71" w:rsidP="00BD0290">
      <w:pPr>
        <w:pStyle w:val="DGTextstand-alone"/>
        <w:rPr>
          <w:lang w:val="en-IE" w:eastAsia="en-IE"/>
        </w:rPr>
      </w:pPr>
      <w:r w:rsidRPr="1D0DAAEE">
        <w:rPr>
          <w:lang w:val="en-IE" w:eastAsia="en-IE"/>
        </w:rPr>
        <w:t xml:space="preserve">Finally, loans provided </w:t>
      </w:r>
      <w:r w:rsidRPr="008455C5">
        <w:rPr>
          <w:lang w:val="en-IE" w:eastAsia="en-IE"/>
        </w:rPr>
        <w:t>to Member States under the SURE instrument are underpinned by a system of voluntary guarantees from Member States, amounting to 25% of the maximum ceiling available for the related financial assistance. Before calling on these guarantees, the Commission is expected to examine the scope for drawing on the margin available under the own resources ceiling for payment appropriations.</w:t>
      </w:r>
    </w:p>
    <w:p w14:paraId="44BDA3A3" w14:textId="77777777" w:rsidR="00BD0290" w:rsidRPr="008455C5" w:rsidRDefault="00023E71" w:rsidP="00BD0290">
      <w:pPr>
        <w:pStyle w:val="DGTextstand-alone"/>
        <w:rPr>
          <w:lang w:val="en-IE" w:eastAsia="en-IE"/>
        </w:rPr>
      </w:pPr>
      <w:bookmarkStart w:id="241" w:name="_Hlk193809432"/>
      <w:r w:rsidRPr="6C204149">
        <w:rPr>
          <w:lang w:val="en-IE" w:eastAsia="en-IE"/>
        </w:rPr>
        <w:t xml:space="preserve">The undrawn loan commitments as at 31 December 2024 mainly relate to the MFA loan under ULCM for EUR 18.1 billion (see </w:t>
      </w:r>
      <w:r>
        <w:rPr>
          <w:lang w:val="en-IE" w:eastAsia="en-IE"/>
        </w:rPr>
        <w:t>N</w:t>
      </w:r>
      <w:r w:rsidRPr="6C204149">
        <w:rPr>
          <w:lang w:val="en-IE" w:eastAsia="en-IE"/>
        </w:rPr>
        <w:t xml:space="preserve">ote </w:t>
      </w:r>
      <w:r w:rsidRPr="6C204149">
        <w:rPr>
          <w:b/>
          <w:bCs/>
          <w:lang w:val="en-IE" w:eastAsia="en-IE"/>
        </w:rPr>
        <w:t>2.4.1.1</w:t>
      </w:r>
      <w:r w:rsidRPr="6C204149">
        <w:rPr>
          <w:lang w:val="en-IE" w:eastAsia="en-IE"/>
        </w:rPr>
        <w:t xml:space="preserve">). </w:t>
      </w:r>
      <w:r>
        <w:t>This loan was fully disbursed in 2025.</w:t>
      </w:r>
    </w:p>
    <w:bookmarkEnd w:id="241"/>
    <w:p w14:paraId="3A3B7656" w14:textId="77777777" w:rsidR="00BD0290" w:rsidRPr="008455C5" w:rsidRDefault="00023E71" w:rsidP="00BD0290">
      <w:pPr>
        <w:pStyle w:val="HEADER5"/>
        <w:rPr>
          <w:noProof/>
        </w:rPr>
      </w:pPr>
      <w:r w:rsidRPr="008455C5">
        <w:rPr>
          <w:noProof/>
        </w:rPr>
        <w:t>Treasury</w:t>
      </w:r>
    </w:p>
    <w:p w14:paraId="16379E15" w14:textId="77777777" w:rsidR="00BD0290" w:rsidRPr="008455C5" w:rsidRDefault="00023E71" w:rsidP="00BD0290">
      <w:pPr>
        <w:pStyle w:val="DGTextstand-alone"/>
        <w:rPr>
          <w:lang w:val="en-IE" w:eastAsia="en-IE"/>
        </w:rPr>
      </w:pPr>
      <w:r w:rsidRPr="008455C5">
        <w:rPr>
          <w:lang w:val="en-IE" w:eastAsia="en-IE"/>
        </w:rPr>
        <w:t>The EU's budget principles ensure that overall cash resources for a given year are always sufficient for the execution of all payments.</w:t>
      </w:r>
    </w:p>
    <w:p w14:paraId="6EB84120" w14:textId="77777777" w:rsidR="00BD0290" w:rsidRPr="008455C5" w:rsidRDefault="00023E71" w:rsidP="00BD0290">
      <w:pPr>
        <w:pStyle w:val="DGTextstand-alone"/>
        <w:rPr>
          <w:lang w:val="en-IE" w:eastAsia="en-IE"/>
        </w:rPr>
      </w:pPr>
      <w:r w:rsidRPr="008455C5">
        <w:rPr>
          <w:lang w:val="en-IE" w:eastAsia="en-IE"/>
        </w:rPr>
        <w:t>The total Member States’ contributions together with miscellaneous revenue equal the amount of payment appropriations for the budgetary year. However, Member States' contributions are received in 12 monthly instalments throughout the year, based on the adopted budget, while payments are subject to operational needs.</w:t>
      </w:r>
    </w:p>
    <w:p w14:paraId="2DA75CFD" w14:textId="77777777" w:rsidR="00BD0290" w:rsidRPr="008455C5" w:rsidRDefault="00023E71" w:rsidP="00BD0290">
      <w:pPr>
        <w:pStyle w:val="DGTextstand-alone"/>
        <w:rPr>
          <w:lang w:val="en-IE" w:eastAsia="en-IE"/>
        </w:rPr>
      </w:pPr>
      <w:r w:rsidRPr="008455C5">
        <w:rPr>
          <w:lang w:val="en-IE" w:eastAsia="en-IE"/>
        </w:rPr>
        <w:t>Member States' contributions relating to amending budgets approved in a given month (N) only become available on the first working day of the month N+1 or N+2, while the related payment appropriations are immediately available.</w:t>
      </w:r>
    </w:p>
    <w:p w14:paraId="08A73333" w14:textId="77777777" w:rsidR="00BD0290" w:rsidRPr="008455C5" w:rsidRDefault="00023E71" w:rsidP="00BD0290">
      <w:pPr>
        <w:pStyle w:val="DGTextstand-alone"/>
        <w:rPr>
          <w:lang w:val="en-IE" w:eastAsia="en-IE"/>
        </w:rPr>
      </w:pPr>
      <w:r w:rsidRPr="008455C5">
        <w:rPr>
          <w:lang w:val="en-IE" w:eastAsia="en-IE"/>
        </w:rPr>
        <w:t>To ensure that available treasury resources are always sufficient to cover payments to be executed in any given month, procedures regarding regular cash forecasting are in place. Own resources or additional funding can be called up in advance from Member States if needed, up to certain limits and under conditions foreseen in the Council Regulation (EU, Euratom) No 609/2014.</w:t>
      </w:r>
    </w:p>
    <w:p w14:paraId="1163E47A" w14:textId="77777777" w:rsidR="00BD0290" w:rsidRPr="008455C5" w:rsidRDefault="00023E71" w:rsidP="00BD0290">
      <w:pPr>
        <w:pStyle w:val="DGTextstand-alone"/>
        <w:rPr>
          <w:lang w:val="en-IE" w:eastAsia="en-IE"/>
        </w:rPr>
      </w:pPr>
      <w:r w:rsidRPr="008455C5">
        <w:rPr>
          <w:lang w:val="en-IE" w:eastAsia="en-IE"/>
        </w:rPr>
        <w:t>In addition to these procedures, automated cash management tools ensure that sufficient liquidity is available on each of the Commission's bank accounts, as part of the Commission's daily treasury operations.</w:t>
      </w:r>
    </w:p>
    <w:p w14:paraId="4040D198" w14:textId="77777777" w:rsidR="00BD0290" w:rsidRPr="008455C5" w:rsidRDefault="00023E71" w:rsidP="00BD0290">
      <w:pPr>
        <w:pStyle w:val="HEADER5"/>
        <w:spacing w:before="240"/>
        <w:rPr>
          <w:noProof/>
        </w:rPr>
      </w:pPr>
      <w:r>
        <w:rPr>
          <w:noProof/>
        </w:rPr>
        <w:t>Fines</w:t>
      </w:r>
    </w:p>
    <w:p w14:paraId="11B593AE" w14:textId="77777777" w:rsidR="00BD0290" w:rsidRPr="008455C5" w:rsidRDefault="00023E71" w:rsidP="00BD0290">
      <w:pPr>
        <w:pStyle w:val="DGTextstand-alone"/>
        <w:rPr>
          <w:lang w:val="en-IE" w:eastAsia="en-IE"/>
        </w:rPr>
      </w:pPr>
      <w:r w:rsidRPr="008455C5">
        <w:rPr>
          <w:lang w:val="en-IE" w:eastAsia="en-IE"/>
        </w:rPr>
        <w:t>The BUFI fund is managed to maintain a sufficient level of liquidity and mobili</w:t>
      </w:r>
      <w:r>
        <w:rPr>
          <w:lang w:val="en-IE" w:eastAsia="en-IE"/>
        </w:rPr>
        <w:t>s</w:t>
      </w:r>
      <w:r w:rsidRPr="008455C5">
        <w:rPr>
          <w:lang w:val="en-IE" w:eastAsia="en-IE"/>
        </w:rPr>
        <w:t>ation to meet short-term commitments. The portfolio is composed of mostly highly liquid securities that can be easily sold to meet cash outflows. The share of cash, cash equivalents and securities maturing within 1 year is approximately </w:t>
      </w:r>
      <w:r w:rsidRPr="00A94530">
        <w:rPr>
          <w:lang w:val="en-IE" w:eastAsia="en-IE"/>
        </w:rPr>
        <w:t>41</w:t>
      </w:r>
      <w:r w:rsidRPr="00C455D6">
        <w:rPr>
          <w:lang w:val="en-IE" w:eastAsia="en-IE"/>
        </w:rPr>
        <w:t>%</w:t>
      </w:r>
      <w:r w:rsidRPr="008455C5">
        <w:rPr>
          <w:lang w:val="en-IE" w:eastAsia="en-IE"/>
        </w:rPr>
        <w:t>.</w:t>
      </w:r>
    </w:p>
    <w:p w14:paraId="7DEF3D6B" w14:textId="77777777" w:rsidR="00BD0290" w:rsidRPr="008455C5" w:rsidRDefault="00023E71" w:rsidP="00BD0290">
      <w:pPr>
        <w:pStyle w:val="HEADER5"/>
        <w:spacing w:before="240"/>
        <w:rPr>
          <w:noProof/>
        </w:rPr>
      </w:pPr>
      <w:r>
        <w:rPr>
          <w:noProof/>
        </w:rPr>
        <w:t>Budgetary guarantees</w:t>
      </w:r>
    </w:p>
    <w:p w14:paraId="5E142F73" w14:textId="77777777" w:rsidR="00BD0290" w:rsidRPr="00105295" w:rsidRDefault="00023E71" w:rsidP="00BD0290">
      <w:pPr>
        <w:pStyle w:val="DGTextstand-alone"/>
        <w:rPr>
          <w:lang w:val="en-IE" w:eastAsia="en-IE"/>
        </w:rPr>
      </w:pPr>
      <w:r w:rsidRPr="008455C5">
        <w:rPr>
          <w:lang w:val="en-IE" w:eastAsia="en-IE"/>
        </w:rPr>
        <w:t>The EU's maturity analysis for fina</w:t>
      </w:r>
      <w:r w:rsidRPr="1D0DAAEE">
        <w:rPr>
          <w:lang w:val="en-IE" w:eastAsia="en-IE"/>
        </w:rPr>
        <w:t>ncial guarantees uses a prudent approach, allocating the maximum guarantee amount to the earliest period in which the guarantee could be called. However, the probability of the EU being called for the entire amount in the first period is remote, and the expected loss is often lower than the guarantee ceiling. Therefore, the liquidity risk needs to be considered in conjunction with the carrying amount of the guarantee liabilities.</w:t>
      </w:r>
    </w:p>
    <w:p w14:paraId="476D391A" w14:textId="77777777" w:rsidR="00BD0290" w:rsidRDefault="00023E71" w:rsidP="00BD0290">
      <w:pPr>
        <w:pStyle w:val="DGTextstand-alone"/>
        <w:rPr>
          <w:lang w:val="en-IE" w:eastAsia="en-IE"/>
        </w:rPr>
      </w:pPr>
      <w:r w:rsidRPr="1D0DAAEE">
        <w:rPr>
          <w:lang w:val="en-IE" w:eastAsia="en-IE"/>
        </w:rPr>
        <w:t>A key objective of the risk management framework is to ensure that the EU budget can honour its obligations without disrupting the normal implementation of the budget. This includes mitigating the liquidity risk related to budgetary guarantees, which is the risk of insufficient funds to fulfil payment obligations in a timely manner.</w:t>
      </w:r>
    </w:p>
    <w:p w14:paraId="44346A9E" w14:textId="77777777" w:rsidR="00BD0290" w:rsidRPr="00105295" w:rsidRDefault="00023E71" w:rsidP="00BD0290">
      <w:pPr>
        <w:pStyle w:val="DGTextstand-alone"/>
        <w:rPr>
          <w:lang w:val="en-IE" w:eastAsia="en-IE"/>
        </w:rPr>
      </w:pPr>
      <w:r w:rsidRPr="1D0DAAEE">
        <w:rPr>
          <w:lang w:val="en-IE" w:eastAsia="en-IE"/>
        </w:rPr>
        <w:t>To address this risk, each budgetary guarantee is backed by sufficient provisioning paid into the CPF to ensure timely payment of guarantee calls. The EU regularly monitors the adequacy of the provisioning rate for each budgetary guarantee programme and reports annually on whether the amounts are sufficient to cover the risk for the next five years with a defined level of certainty.</w:t>
      </w:r>
    </w:p>
    <w:p w14:paraId="29EB16E0" w14:textId="77777777" w:rsidR="00BD0290" w:rsidRPr="006D49AA" w:rsidRDefault="00023E71" w:rsidP="00BD0290">
      <w:pPr>
        <w:pStyle w:val="DGTextstand-alone"/>
        <w:rPr>
          <w:lang w:val="en-IE" w:eastAsia="en-IE"/>
        </w:rPr>
      </w:pPr>
      <w:r w:rsidRPr="1D0DAAEE">
        <w:rPr>
          <w:lang w:val="en-IE" w:eastAsia="en-IE"/>
        </w:rPr>
        <w:t>In addition, the EU has safeguard procedures in place, including temporary transfers between CPF compartments and the use of central treasury liquidity, to ensure sufficient liquidity is available when needed</w:t>
      </w:r>
      <w:r w:rsidRPr="005779E6">
        <w:rPr>
          <w:lang w:val="en-IE" w:eastAsia="en-IE"/>
        </w:rPr>
        <w:t>.</w:t>
      </w:r>
    </w:p>
    <w:p w14:paraId="3AD9634C" w14:textId="77777777" w:rsidR="00BD0290" w:rsidRPr="00DD101E" w:rsidRDefault="00023E71" w:rsidP="00BD0290">
      <w:pPr>
        <w:pStyle w:val="HEADER5"/>
        <w:keepNext/>
        <w:spacing w:before="240"/>
        <w:rPr>
          <w:noProof/>
        </w:rPr>
      </w:pPr>
      <w:r>
        <w:rPr>
          <w:noProof/>
        </w:rPr>
        <w:t>Common Provisioning Fund</w:t>
      </w:r>
    </w:p>
    <w:p w14:paraId="40C31EDF" w14:textId="77777777" w:rsidR="00BD0290" w:rsidRPr="008455C5" w:rsidRDefault="00023E71" w:rsidP="00BD0290">
      <w:pPr>
        <w:pStyle w:val="DGTextstand-alone"/>
        <w:rPr>
          <w:lang w:val="en-IE" w:eastAsia="en-IE"/>
        </w:rPr>
      </w:pPr>
      <w:r w:rsidRPr="1D0DAAEE">
        <w:rPr>
          <w:lang w:val="en-IE" w:eastAsia="en-IE"/>
        </w:rPr>
        <w:t xml:space="preserve">The CPF is </w:t>
      </w:r>
      <w:r w:rsidRPr="008455C5">
        <w:rPr>
          <w:lang w:val="en-IE" w:eastAsia="en-IE"/>
        </w:rPr>
        <w:t>managed to ensure that its assets have a sufficient degree of liquidity and mobili</w:t>
      </w:r>
      <w:r>
        <w:rPr>
          <w:lang w:val="en-IE" w:eastAsia="en-IE"/>
        </w:rPr>
        <w:t>s</w:t>
      </w:r>
      <w:r w:rsidRPr="008455C5">
        <w:rPr>
          <w:lang w:val="en-IE" w:eastAsia="en-IE"/>
        </w:rPr>
        <w:t xml:space="preserve">ation to meet short-term commitments. The portfolio is composed of liquid assets that can be easily sold to meet cash outflows if needed. Approximately </w:t>
      </w:r>
      <w:r w:rsidRPr="0033233B">
        <w:rPr>
          <w:lang w:val="en-IE" w:eastAsia="en-IE"/>
        </w:rPr>
        <w:t>1</w:t>
      </w:r>
      <w:r w:rsidRPr="00A94530">
        <w:rPr>
          <w:lang w:val="en-IE" w:eastAsia="en-IE"/>
        </w:rPr>
        <w:t>0</w:t>
      </w:r>
      <w:r w:rsidRPr="0033233B">
        <w:rPr>
          <w:lang w:val="en-IE" w:eastAsia="en-IE"/>
        </w:rPr>
        <w:t>%</w:t>
      </w:r>
      <w:r w:rsidRPr="008455C5">
        <w:rPr>
          <w:lang w:val="en-IE" w:eastAsia="en-IE"/>
        </w:rPr>
        <w:t xml:space="preserve"> of the portfolio is made up of cash, cash equivalents, and securities maturing within 1 year.</w:t>
      </w:r>
    </w:p>
    <w:p w14:paraId="188416B3" w14:textId="77777777" w:rsidR="00BD0290" w:rsidRDefault="00023E71" w:rsidP="00BD0290">
      <w:pPr>
        <w:pStyle w:val="DGTextstand-alone"/>
        <w:rPr>
          <w:lang w:val="en-IE" w:eastAsia="en-IE"/>
        </w:rPr>
      </w:pPr>
      <w:r w:rsidRPr="008455C5">
        <w:rPr>
          <w:lang w:val="en-IE" w:eastAsia="en-IE"/>
        </w:rPr>
        <w:t>The settlement of derivative contracts is</w:t>
      </w:r>
      <w:r w:rsidRPr="1D0DAAEE">
        <w:rPr>
          <w:lang w:val="en-IE" w:eastAsia="en-IE"/>
        </w:rPr>
        <w:t xml:space="preserve"> gross and based on their contractual maturity. If necessary, obligations are honoured by selling USD-denominated assets or through a swap transaction, which may result in a cash outflow due to foreign exchange differences</w:t>
      </w:r>
      <w:r w:rsidRPr="005779E6">
        <w:rPr>
          <w:lang w:val="en-IE" w:eastAsia="en-IE"/>
        </w:rPr>
        <w:t>.</w:t>
      </w:r>
    </w:p>
    <w:bookmarkEnd w:id="220"/>
    <w:p w14:paraId="1E6781A8" w14:textId="77777777" w:rsidR="00256267" w:rsidRDefault="00256267" w:rsidP="00BD0290">
      <w:pPr>
        <w:pStyle w:val="HEADER5"/>
        <w:spacing w:before="240"/>
        <w:rPr>
          <w:noProof/>
          <w:lang w:val="en-IE" w:eastAsia="en-IE"/>
        </w:rPr>
        <w:sectPr w:rsidR="00256267">
          <w:headerReference w:type="default" r:id="rId137"/>
          <w:footerReference w:type="default" r:id="rId138"/>
          <w:pgSz w:w="11906" w:h="16838"/>
          <w:pgMar w:top="1134" w:right="1134" w:bottom="1134" w:left="1134" w:header="709" w:footer="709" w:gutter="0"/>
          <w:cols w:space="708"/>
          <w:docGrid w:linePitch="360"/>
        </w:sectPr>
      </w:pPr>
    </w:p>
    <w:p w14:paraId="03E5DF74" w14:textId="77777777" w:rsidR="00F24AF3" w:rsidRDefault="00023E71" w:rsidP="00172034">
      <w:pPr>
        <w:pStyle w:val="HEADER1NOTES"/>
        <w:numPr>
          <w:ilvl w:val="0"/>
          <w:numId w:val="15"/>
        </w:numPr>
        <w:rPr>
          <w:noProof/>
        </w:rPr>
      </w:pPr>
      <w:bookmarkStart w:id="242" w:name="_Toc232438944"/>
      <w:bookmarkStart w:id="243" w:name="_DMBM_36706"/>
      <w:r w:rsidRPr="000D2768">
        <w:rPr>
          <w:noProof/>
        </w:rPr>
        <w:t>RELATED PARTY DISCLOSURES</w:t>
      </w:r>
      <w:bookmarkEnd w:id="242"/>
    </w:p>
    <w:p w14:paraId="24BA1B51" w14:textId="77777777" w:rsidR="00F24AF3" w:rsidRDefault="00023E71" w:rsidP="00172034">
      <w:pPr>
        <w:pStyle w:val="HEADER2NOTES"/>
        <w:numPr>
          <w:ilvl w:val="1"/>
          <w:numId w:val="15"/>
        </w:numPr>
        <w:rPr>
          <w:noProof/>
        </w:rPr>
      </w:pPr>
      <w:r w:rsidRPr="000D2768">
        <w:rPr>
          <w:noProof/>
        </w:rPr>
        <w:t>RELATED PARTIES</w:t>
      </w:r>
    </w:p>
    <w:p w14:paraId="12B6B26B" w14:textId="77777777" w:rsidR="00F24AF3" w:rsidRDefault="00023E71" w:rsidP="00E91563">
      <w:pPr>
        <w:pStyle w:val="DGTextstand-alone"/>
      </w:pPr>
      <w:r>
        <w:t xml:space="preserve">The related parties of the EU are the EU consolidated </w:t>
      </w:r>
      <w:r w:rsidRPr="006D4C6F">
        <w:t>entities, associates and the key management personnel of these entities. Transactions between these entities take place</w:t>
      </w:r>
      <w:r>
        <w:t xml:space="preserve"> as part of the normal operations of the EU and as this is the case, no specific disclosure requirements are necessary for these transactions in accordance with the EU accounting rules.</w:t>
      </w:r>
    </w:p>
    <w:p w14:paraId="05E76AFF" w14:textId="77777777" w:rsidR="00F24AF3" w:rsidRPr="00D355BC" w:rsidRDefault="00023E71" w:rsidP="00172034">
      <w:pPr>
        <w:pStyle w:val="HEADER2NOTES"/>
        <w:numPr>
          <w:ilvl w:val="1"/>
          <w:numId w:val="15"/>
        </w:numPr>
        <w:rPr>
          <w:noProof/>
        </w:rPr>
      </w:pPr>
      <w:r>
        <w:rPr>
          <w:noProof/>
        </w:rPr>
        <w:t>KEY MANAGEMENT ENTITLEMENTS</w:t>
      </w:r>
    </w:p>
    <w:p w14:paraId="1A006DFD" w14:textId="77777777" w:rsidR="00F24AF3" w:rsidRDefault="00023E71" w:rsidP="00E91563">
      <w:pPr>
        <w:pStyle w:val="DGTextstand-alone"/>
      </w:pPr>
      <w:r>
        <w:t>For the purposes of presenting information on related party transactions concerning the key management personnel of the EU, such persons are shown here under five categories:</w:t>
      </w:r>
    </w:p>
    <w:p w14:paraId="1D8842FA" w14:textId="77777777" w:rsidR="00F24AF3" w:rsidRDefault="00023E71" w:rsidP="006C4D4D">
      <w:pPr>
        <w:pStyle w:val="Textstand-alone"/>
      </w:pPr>
      <w:r w:rsidRPr="009D6FB3">
        <w:rPr>
          <w:color w:val="016794"/>
        </w:rPr>
        <w:t>Category 1:</w:t>
      </w:r>
      <w:r>
        <w:t xml:space="preserve"> </w:t>
      </w:r>
      <w:r w:rsidRPr="00E91563">
        <w:rPr>
          <w:rStyle w:val="DGTextstand-aloneChar"/>
        </w:rPr>
        <w:t>the Presidents of the European Council, the Commission and the Court of Justice of the European Union</w:t>
      </w:r>
    </w:p>
    <w:p w14:paraId="0F7E2FEA" w14:textId="77777777" w:rsidR="00F24AF3" w:rsidRDefault="00023E71" w:rsidP="006C4D4D">
      <w:pPr>
        <w:pStyle w:val="Textstand-alone"/>
      </w:pPr>
      <w:r w:rsidRPr="009D6FB3">
        <w:rPr>
          <w:color w:val="016794"/>
        </w:rPr>
        <w:t>Category 2:</w:t>
      </w:r>
      <w:r w:rsidRPr="00E91563">
        <w:rPr>
          <w:rStyle w:val="DGTextstand-aloneChar"/>
        </w:rPr>
        <w:t xml:space="preserve"> the Vice-president of the Commission and High Representative of the EU for Foreign Affairs and Security Policy and the other Vice-presidents of the Commission</w:t>
      </w:r>
    </w:p>
    <w:p w14:paraId="7700D53C" w14:textId="77777777" w:rsidR="00F24AF3" w:rsidRDefault="00023E71" w:rsidP="006C4D4D">
      <w:pPr>
        <w:pStyle w:val="Textstand-alone"/>
      </w:pPr>
      <w:r w:rsidRPr="009D6FB3">
        <w:rPr>
          <w:color w:val="016794"/>
        </w:rPr>
        <w:t>Category 3:</w:t>
      </w:r>
      <w:r>
        <w:t xml:space="preserve"> </w:t>
      </w:r>
      <w:r w:rsidRPr="00E91563">
        <w:rPr>
          <w:rStyle w:val="DGTextstand-aloneChar"/>
        </w:rPr>
        <w:t>the Secretary-General of the Council, the Members of the Commission, the Judges and Advocates General of the Court of Justice of the European Union, the President and Members of the General Court, the Ombudsman and the European Data Protection Supervisor</w:t>
      </w:r>
    </w:p>
    <w:p w14:paraId="76014598" w14:textId="77777777" w:rsidR="00F24AF3" w:rsidRDefault="00023E71" w:rsidP="00E91563">
      <w:pPr>
        <w:pStyle w:val="DGTextstand-alone"/>
      </w:pPr>
      <w:r w:rsidRPr="009D6FB3">
        <w:rPr>
          <w:color w:val="016794"/>
        </w:rPr>
        <w:t>Category 4:</w:t>
      </w:r>
      <w:r>
        <w:t xml:space="preserve"> the President and Members of the European Court of Auditors</w:t>
      </w:r>
    </w:p>
    <w:p w14:paraId="29D7E084" w14:textId="77777777" w:rsidR="00F24AF3" w:rsidRDefault="00023E71" w:rsidP="00E91563">
      <w:pPr>
        <w:pStyle w:val="DGTextstand-alone"/>
      </w:pPr>
      <w:r w:rsidRPr="009D6FB3">
        <w:rPr>
          <w:color w:val="016794"/>
        </w:rPr>
        <w:t>Category 5:</w:t>
      </w:r>
      <w:r>
        <w:t xml:space="preserve"> the highest-ranking civil servants of the Institutions and Agencies</w:t>
      </w:r>
    </w:p>
    <w:p w14:paraId="59CCEB03" w14:textId="77777777" w:rsidR="00F24AF3" w:rsidRDefault="00023E71" w:rsidP="00E91563">
      <w:pPr>
        <w:pStyle w:val="DGTextstand-alone"/>
      </w:pPr>
      <w:r>
        <w:t>A summary of their entitlements is given below – further information can be found in the Staff Regulations published on the Europa website which is the official document describing the rights and obligations of all officials of the EU. Key management personnel have not received any preferential loans from the EU.</w:t>
      </w:r>
    </w:p>
    <w:p w14:paraId="2560C1BC" w14:textId="77777777" w:rsidR="00145D80" w:rsidRDefault="00145D80" w:rsidP="00E91563">
      <w:pPr>
        <w:pStyle w:val="DGTextstand-alone"/>
      </w:pPr>
    </w:p>
    <w:p w14:paraId="0BF51581" w14:textId="77777777" w:rsidR="00145D80" w:rsidRDefault="00145D80" w:rsidP="00E91563">
      <w:pPr>
        <w:pStyle w:val="DGTextstand-alone"/>
      </w:pPr>
    </w:p>
    <w:p w14:paraId="54469EEC" w14:textId="77777777" w:rsidR="00145D80" w:rsidRDefault="00145D80" w:rsidP="00E91563">
      <w:pPr>
        <w:pStyle w:val="DGTextstand-alone"/>
      </w:pPr>
    </w:p>
    <w:p w14:paraId="344BB241" w14:textId="77777777" w:rsidR="00145D80" w:rsidRDefault="00145D80" w:rsidP="00E91563">
      <w:pPr>
        <w:pStyle w:val="DGTextstand-alone"/>
      </w:pPr>
    </w:p>
    <w:p w14:paraId="57023E61" w14:textId="77777777" w:rsidR="00145D80" w:rsidRDefault="00145D80" w:rsidP="00E91563">
      <w:pPr>
        <w:pStyle w:val="DGTextstand-alone"/>
      </w:pPr>
    </w:p>
    <w:p w14:paraId="0C1FF61E" w14:textId="77777777" w:rsidR="00633EE0" w:rsidRDefault="00633EE0" w:rsidP="00E91563">
      <w:pPr>
        <w:pStyle w:val="DGTextstand-alone"/>
      </w:pPr>
    </w:p>
    <w:p w14:paraId="41319F6F" w14:textId="77777777" w:rsidR="00145D80" w:rsidRDefault="00145D80" w:rsidP="00E91563">
      <w:pPr>
        <w:pStyle w:val="DGTextstand-alone"/>
      </w:pPr>
    </w:p>
    <w:p w14:paraId="27BE4A8E" w14:textId="77777777" w:rsidR="00145D80" w:rsidRDefault="00145D80" w:rsidP="00E91563">
      <w:pPr>
        <w:pStyle w:val="DGTextstand-alone"/>
      </w:pPr>
    </w:p>
    <w:p w14:paraId="4A3EEC46" w14:textId="77777777" w:rsidR="00145D80" w:rsidRDefault="00145D80" w:rsidP="00E91563">
      <w:pPr>
        <w:pStyle w:val="DGTextstand-alone"/>
      </w:pPr>
    </w:p>
    <w:p w14:paraId="6AFB063B" w14:textId="77777777" w:rsidR="00145D80" w:rsidRDefault="00145D80" w:rsidP="00E91563">
      <w:pPr>
        <w:pStyle w:val="DGTextstand-alone"/>
      </w:pPr>
    </w:p>
    <w:p w14:paraId="3B2AE63E" w14:textId="77777777" w:rsidR="00145D80" w:rsidRDefault="00145D80" w:rsidP="00E91563">
      <w:pPr>
        <w:pStyle w:val="DGTextstand-alone"/>
      </w:pPr>
    </w:p>
    <w:p w14:paraId="77CFA612" w14:textId="77777777" w:rsidR="00B20BBD" w:rsidRDefault="00B20BBD" w:rsidP="00E91563">
      <w:pPr>
        <w:pStyle w:val="DGTextstand-alone"/>
      </w:pPr>
    </w:p>
    <w:p w14:paraId="742300AA" w14:textId="77777777" w:rsidR="00BA3B52" w:rsidRDefault="00BA3B52" w:rsidP="00E91563">
      <w:pPr>
        <w:pStyle w:val="DGTextstand-alone"/>
      </w:pPr>
    </w:p>
    <w:p w14:paraId="7DDD6AF9" w14:textId="77777777" w:rsidR="00F24AF3" w:rsidRDefault="00023E71" w:rsidP="00E91563">
      <w:pPr>
        <w:pStyle w:val="HEADERTABLE"/>
        <w:rPr>
          <w:noProof/>
        </w:rPr>
      </w:pPr>
      <w:r w:rsidRPr="00E91563">
        <w:rPr>
          <w:noProof/>
        </w:rPr>
        <w:t>KEY MANAGEMENT FINANCIAL ENTITLEMENTS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7"/>
        <w:gridCol w:w="1271"/>
        <w:gridCol w:w="1270"/>
        <w:gridCol w:w="1270"/>
        <w:gridCol w:w="1270"/>
        <w:gridCol w:w="1270"/>
      </w:tblGrid>
      <w:tr w:rsidR="00807FFE" w14:paraId="05FA0308" w14:textId="77777777">
        <w:trPr>
          <w:trHeight w:val="255"/>
        </w:trPr>
        <w:tc>
          <w:tcPr>
            <w:tcW w:w="3407" w:type="dxa"/>
            <w:tcBorders>
              <w:top w:val="nil"/>
              <w:left w:val="nil"/>
              <w:bottom w:val="nil"/>
              <w:right w:val="nil"/>
              <w:tl2br w:val="nil"/>
              <w:tr2bl w:val="nil"/>
            </w:tcBorders>
            <w:tcMar>
              <w:left w:w="60" w:type="dxa"/>
              <w:right w:w="60" w:type="dxa"/>
            </w:tcMar>
            <w:vAlign w:val="bottom"/>
          </w:tcPr>
          <w:p w14:paraId="325DBDFB" w14:textId="77777777" w:rsidR="00807FFE" w:rsidRDefault="00807FFE">
            <w:pPr>
              <w:pStyle w:val="DMETW36692BIPKMT"/>
              <w:rPr>
                <w:rFonts w:cs="Calibri"/>
                <w:noProof/>
                <w:color w:val="000000"/>
                <w:sz w:val="22"/>
                <w:lang w:bidi="en-GB"/>
              </w:rPr>
            </w:pPr>
            <w:bookmarkStart w:id="244" w:name="DOC_TBL00106_1_1"/>
            <w:bookmarkEnd w:id="244"/>
          </w:p>
        </w:tc>
        <w:tc>
          <w:tcPr>
            <w:tcW w:w="1271" w:type="dxa"/>
            <w:tcBorders>
              <w:top w:val="nil"/>
              <w:left w:val="nil"/>
              <w:bottom w:val="nil"/>
              <w:right w:val="nil"/>
              <w:tl2br w:val="nil"/>
              <w:tr2bl w:val="nil"/>
            </w:tcBorders>
            <w:tcMar>
              <w:left w:w="60" w:type="dxa"/>
              <w:right w:w="60" w:type="dxa"/>
            </w:tcMar>
            <w:vAlign w:val="bottom"/>
          </w:tcPr>
          <w:p w14:paraId="514E12D6" w14:textId="77777777" w:rsidR="00807FFE" w:rsidRDefault="00807FFE">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14:paraId="3B356E9D" w14:textId="77777777" w:rsidR="00807FFE" w:rsidRDefault="00807FFE">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14:paraId="0BE152D5" w14:textId="77777777" w:rsidR="00807FFE" w:rsidRDefault="00807FFE">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14:paraId="5E336807" w14:textId="77777777" w:rsidR="00807FFE" w:rsidRDefault="00807FFE">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14:paraId="752ACCA6"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EUR</w:t>
            </w:r>
          </w:p>
        </w:tc>
      </w:tr>
      <w:tr w:rsidR="00807FFE" w14:paraId="796E00C7" w14:textId="77777777">
        <w:trPr>
          <w:trHeight w:val="255"/>
        </w:trPr>
        <w:tc>
          <w:tcPr>
            <w:tcW w:w="3407" w:type="dxa"/>
            <w:tcBorders>
              <w:top w:val="nil"/>
              <w:left w:val="nil"/>
              <w:bottom w:val="nil"/>
              <w:right w:val="nil"/>
              <w:tl2br w:val="nil"/>
              <w:tr2bl w:val="nil"/>
            </w:tcBorders>
            <w:shd w:val="solid" w:color="016794" w:fill="FFFFFF"/>
            <w:tcMar>
              <w:left w:w="60" w:type="dxa"/>
              <w:right w:w="60" w:type="dxa"/>
            </w:tcMar>
            <w:vAlign w:val="center"/>
          </w:tcPr>
          <w:p w14:paraId="6352EDCC" w14:textId="77777777" w:rsidR="00807FFE" w:rsidRDefault="00023E71">
            <w:pPr>
              <w:pStyle w:val="DMETW36692BIPKMT"/>
              <w:rPr>
                <w:rFonts w:ascii="Verdana" w:eastAsia="Verdana" w:hAnsi="Verdana" w:cs="Verdana"/>
                <w:b/>
                <w:noProof/>
                <w:color w:val="FFFFFF"/>
                <w:sz w:val="16"/>
              </w:rPr>
            </w:pPr>
            <w:r>
              <w:rPr>
                <w:rFonts w:ascii="Verdana" w:eastAsia="Verdana" w:hAnsi="Verdana" w:cs="Verdana"/>
                <w:b/>
                <w:noProof/>
                <w:color w:val="FFFFFF"/>
                <w:sz w:val="16"/>
              </w:rPr>
              <w:t>Entitlement (per employee)</w:t>
            </w:r>
          </w:p>
        </w:tc>
        <w:tc>
          <w:tcPr>
            <w:tcW w:w="1271" w:type="dxa"/>
            <w:tcBorders>
              <w:top w:val="nil"/>
              <w:left w:val="nil"/>
              <w:bottom w:val="nil"/>
              <w:right w:val="nil"/>
              <w:tl2br w:val="nil"/>
              <w:tr2bl w:val="nil"/>
            </w:tcBorders>
            <w:shd w:val="solid" w:color="016794" w:fill="FFFFFF"/>
            <w:tcMar>
              <w:left w:w="60" w:type="dxa"/>
              <w:right w:w="60" w:type="dxa"/>
            </w:tcMar>
            <w:vAlign w:val="center"/>
          </w:tcPr>
          <w:p w14:paraId="7F79852B" w14:textId="77777777" w:rsidR="00807FFE" w:rsidRDefault="00023E71">
            <w:pPr>
              <w:pStyle w:val="DMETW36692BIPKMT"/>
              <w:jc w:val="right"/>
              <w:rPr>
                <w:rFonts w:ascii="Verdana" w:eastAsia="Verdana" w:hAnsi="Verdana" w:cs="Verdana"/>
                <w:b/>
                <w:noProof/>
                <w:color w:val="FFFFFF"/>
                <w:sz w:val="16"/>
              </w:rPr>
            </w:pPr>
            <w:r>
              <w:rPr>
                <w:rFonts w:ascii="Verdana" w:eastAsia="Verdana" w:hAnsi="Verdana" w:cs="Verdana"/>
                <w:b/>
                <w:noProof/>
                <w:color w:val="FFFFFF"/>
                <w:sz w:val="16"/>
              </w:rPr>
              <w:t>Category 1</w:t>
            </w:r>
          </w:p>
        </w:tc>
        <w:tc>
          <w:tcPr>
            <w:tcW w:w="1270" w:type="dxa"/>
            <w:tcBorders>
              <w:top w:val="nil"/>
              <w:left w:val="nil"/>
              <w:bottom w:val="nil"/>
              <w:right w:val="nil"/>
              <w:tl2br w:val="nil"/>
              <w:tr2bl w:val="nil"/>
            </w:tcBorders>
            <w:shd w:val="solid" w:color="016794" w:fill="FFFFFF"/>
            <w:tcMar>
              <w:left w:w="60" w:type="dxa"/>
              <w:right w:w="60" w:type="dxa"/>
            </w:tcMar>
            <w:vAlign w:val="center"/>
          </w:tcPr>
          <w:p w14:paraId="73F6CF8F" w14:textId="77777777" w:rsidR="00807FFE" w:rsidRDefault="00023E71">
            <w:pPr>
              <w:pStyle w:val="DMETW36692BIPKMT"/>
              <w:jc w:val="right"/>
              <w:rPr>
                <w:rFonts w:ascii="Verdana" w:eastAsia="Verdana" w:hAnsi="Verdana" w:cs="Verdana"/>
                <w:b/>
                <w:noProof/>
                <w:color w:val="FFFFFF"/>
                <w:sz w:val="16"/>
              </w:rPr>
            </w:pPr>
            <w:r>
              <w:rPr>
                <w:rFonts w:ascii="Verdana" w:eastAsia="Verdana" w:hAnsi="Verdana" w:cs="Verdana"/>
                <w:b/>
                <w:noProof/>
                <w:color w:val="FFFFFF"/>
                <w:sz w:val="16"/>
              </w:rPr>
              <w:t>Category 2</w:t>
            </w:r>
          </w:p>
        </w:tc>
        <w:tc>
          <w:tcPr>
            <w:tcW w:w="1270" w:type="dxa"/>
            <w:tcBorders>
              <w:top w:val="nil"/>
              <w:left w:val="nil"/>
              <w:bottom w:val="nil"/>
              <w:right w:val="nil"/>
              <w:tl2br w:val="nil"/>
              <w:tr2bl w:val="nil"/>
            </w:tcBorders>
            <w:shd w:val="solid" w:color="016794" w:fill="FFFFFF"/>
            <w:tcMar>
              <w:left w:w="60" w:type="dxa"/>
              <w:right w:w="60" w:type="dxa"/>
            </w:tcMar>
            <w:vAlign w:val="center"/>
          </w:tcPr>
          <w:p w14:paraId="5E85946A" w14:textId="77777777" w:rsidR="00807FFE" w:rsidRDefault="00023E71">
            <w:pPr>
              <w:pStyle w:val="DMETW36692BIPKMT"/>
              <w:jc w:val="right"/>
              <w:rPr>
                <w:rFonts w:ascii="Verdana" w:eastAsia="Verdana" w:hAnsi="Verdana" w:cs="Verdana"/>
                <w:b/>
                <w:noProof/>
                <w:color w:val="FFFFFF"/>
                <w:sz w:val="16"/>
              </w:rPr>
            </w:pPr>
            <w:r>
              <w:rPr>
                <w:rFonts w:ascii="Verdana" w:eastAsia="Verdana" w:hAnsi="Verdana" w:cs="Verdana"/>
                <w:b/>
                <w:noProof/>
                <w:color w:val="FFFFFF"/>
                <w:sz w:val="16"/>
              </w:rPr>
              <w:t>Category 3</w:t>
            </w:r>
          </w:p>
        </w:tc>
        <w:tc>
          <w:tcPr>
            <w:tcW w:w="1270" w:type="dxa"/>
            <w:tcBorders>
              <w:top w:val="nil"/>
              <w:left w:val="nil"/>
              <w:bottom w:val="nil"/>
              <w:right w:val="nil"/>
              <w:tl2br w:val="nil"/>
              <w:tr2bl w:val="nil"/>
            </w:tcBorders>
            <w:shd w:val="solid" w:color="016794" w:fill="FFFFFF"/>
            <w:tcMar>
              <w:left w:w="60" w:type="dxa"/>
              <w:right w:w="60" w:type="dxa"/>
            </w:tcMar>
            <w:vAlign w:val="center"/>
          </w:tcPr>
          <w:p w14:paraId="459B7CE6" w14:textId="77777777" w:rsidR="00807FFE" w:rsidRDefault="00023E71">
            <w:pPr>
              <w:pStyle w:val="DMETW36692BIPKMT"/>
              <w:jc w:val="right"/>
              <w:rPr>
                <w:rFonts w:ascii="Verdana" w:eastAsia="Verdana" w:hAnsi="Verdana" w:cs="Verdana"/>
                <w:b/>
                <w:noProof/>
                <w:color w:val="FFFFFF"/>
                <w:sz w:val="16"/>
              </w:rPr>
            </w:pPr>
            <w:r>
              <w:rPr>
                <w:rFonts w:ascii="Verdana" w:eastAsia="Verdana" w:hAnsi="Verdana" w:cs="Verdana"/>
                <w:b/>
                <w:noProof/>
                <w:color w:val="FFFFFF"/>
                <w:sz w:val="16"/>
              </w:rPr>
              <w:t>Category 4</w:t>
            </w:r>
          </w:p>
        </w:tc>
        <w:tc>
          <w:tcPr>
            <w:tcW w:w="1270" w:type="dxa"/>
            <w:tcBorders>
              <w:top w:val="nil"/>
              <w:left w:val="nil"/>
              <w:bottom w:val="nil"/>
              <w:right w:val="nil"/>
              <w:tl2br w:val="nil"/>
              <w:tr2bl w:val="nil"/>
            </w:tcBorders>
            <w:shd w:val="solid" w:color="016794" w:fill="FFFFFF"/>
            <w:tcMar>
              <w:left w:w="60" w:type="dxa"/>
              <w:right w:w="60" w:type="dxa"/>
            </w:tcMar>
            <w:vAlign w:val="center"/>
          </w:tcPr>
          <w:p w14:paraId="79136DF3" w14:textId="77777777" w:rsidR="00807FFE" w:rsidRDefault="00023E71">
            <w:pPr>
              <w:pStyle w:val="DMETW36692BIPKMT"/>
              <w:jc w:val="right"/>
              <w:rPr>
                <w:rFonts w:ascii="Verdana" w:eastAsia="Verdana" w:hAnsi="Verdana" w:cs="Verdana"/>
                <w:b/>
                <w:noProof/>
                <w:color w:val="FFFFFF"/>
                <w:sz w:val="16"/>
                <w:lang w:bidi="en-GB"/>
              </w:rPr>
            </w:pPr>
            <w:r>
              <w:rPr>
                <w:rFonts w:ascii="Verdana" w:eastAsia="Verdana" w:hAnsi="Verdana" w:cs="Verdana"/>
                <w:b/>
                <w:noProof/>
                <w:color w:val="FFFFFF"/>
                <w:sz w:val="16"/>
              </w:rPr>
              <w:t>Category 5</w:t>
            </w:r>
          </w:p>
        </w:tc>
      </w:tr>
      <w:tr w:rsidR="00807FFE" w14:paraId="68D01D53"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0C20DC17"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Basic salary (per month)</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63A81354"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35 860.91</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41FA677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32 482.71 - 33 782.02</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E6013ED"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25 986.17 - 29 234.44</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6E940D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28 065.06 - 29 884.10</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D6863F9"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16 523.41 - 25 986.17</w:t>
            </w:r>
          </w:p>
        </w:tc>
      </w:tr>
      <w:tr w:rsidR="00807FFE" w14:paraId="750D6F95"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1301D923" w14:textId="77777777" w:rsidR="00807FFE" w:rsidRDefault="00807FFE">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48F3E157"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4F18A756"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7FD87B2F"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EFABE53"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464408E" w14:textId="77777777" w:rsidR="00807FFE" w:rsidRDefault="00807FFE">
            <w:pPr>
              <w:pStyle w:val="DMETW36692BIPKMT"/>
              <w:jc w:val="right"/>
              <w:rPr>
                <w:rFonts w:ascii="Verdana" w:eastAsia="Verdana" w:hAnsi="Verdana" w:cs="Verdana"/>
                <w:i/>
                <w:noProof/>
                <w:color w:val="000000"/>
                <w:sz w:val="16"/>
                <w:lang w:bidi="en-GB"/>
              </w:rPr>
            </w:pPr>
          </w:p>
        </w:tc>
      </w:tr>
      <w:tr w:rsidR="00807FFE" w14:paraId="61D93113"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1F7EABD4"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 xml:space="preserve">Residential/Expatriation allowance </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5992B1DD"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15%</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BBE60EC"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15%</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1991E5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15%</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A2CE88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15%</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57E0B052"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0-4%-16%</w:t>
            </w:r>
          </w:p>
        </w:tc>
      </w:tr>
      <w:tr w:rsidR="00807FFE" w14:paraId="5197DD8B"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643C8655" w14:textId="77777777" w:rsidR="00807FFE" w:rsidRDefault="00807FFE">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00FA6252"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09A856F"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2FDBC27"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3B281ECA"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0D31FBDC" w14:textId="77777777" w:rsidR="00807FFE" w:rsidRDefault="00807FFE">
            <w:pPr>
              <w:pStyle w:val="DMETW36692BIPKMT"/>
              <w:jc w:val="right"/>
              <w:rPr>
                <w:rFonts w:ascii="Verdana" w:eastAsia="Verdana" w:hAnsi="Verdana" w:cs="Verdana"/>
                <w:i/>
                <w:noProof/>
                <w:color w:val="000000"/>
                <w:sz w:val="16"/>
                <w:lang w:bidi="en-GB"/>
              </w:rPr>
            </w:pPr>
          </w:p>
        </w:tc>
      </w:tr>
      <w:tr w:rsidR="00807FFE" w14:paraId="415CF08B"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4A1B074B"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Family allowances:</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09F3B45F"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55B581B"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7C4FFB77"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236F0782"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757FC2B1" w14:textId="77777777" w:rsidR="00807FFE" w:rsidRDefault="00807FFE">
            <w:pPr>
              <w:pStyle w:val="DMETW36692BIPKMT"/>
              <w:jc w:val="right"/>
              <w:rPr>
                <w:rFonts w:ascii="Verdana" w:eastAsia="Verdana" w:hAnsi="Verdana" w:cs="Verdana"/>
                <w:i/>
                <w:noProof/>
                <w:color w:val="000000"/>
                <w:sz w:val="16"/>
                <w:lang w:bidi="en-GB"/>
              </w:rPr>
            </w:pPr>
          </w:p>
        </w:tc>
      </w:tr>
      <w:tr w:rsidR="00807FFE" w14:paraId="58A3F6E1"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2584E23C"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Household (% salary)</w:t>
            </w:r>
          </w:p>
        </w:tc>
        <w:tc>
          <w:tcPr>
            <w:tcW w:w="1271" w:type="dxa"/>
            <w:tcBorders>
              <w:top w:val="nil"/>
              <w:left w:val="nil"/>
              <w:bottom w:val="nil"/>
              <w:right w:val="nil"/>
              <w:tl2br w:val="nil"/>
              <w:tr2bl w:val="nil"/>
            </w:tcBorders>
            <w:tcMar>
              <w:left w:w="60" w:type="dxa"/>
              <w:right w:w="60" w:type="dxa"/>
            </w:tcMar>
            <w:vAlign w:val="center"/>
          </w:tcPr>
          <w:p w14:paraId="75E7D43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2% + 241.21</w:t>
            </w:r>
          </w:p>
        </w:tc>
        <w:tc>
          <w:tcPr>
            <w:tcW w:w="1270" w:type="dxa"/>
            <w:tcBorders>
              <w:top w:val="nil"/>
              <w:left w:val="nil"/>
              <w:bottom w:val="nil"/>
              <w:right w:val="nil"/>
              <w:tl2br w:val="nil"/>
              <w:tr2bl w:val="nil"/>
            </w:tcBorders>
            <w:tcMar>
              <w:left w:w="60" w:type="dxa"/>
              <w:right w:w="60" w:type="dxa"/>
            </w:tcMar>
            <w:vAlign w:val="center"/>
          </w:tcPr>
          <w:p w14:paraId="59C41EB6"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2% + 241.21</w:t>
            </w:r>
          </w:p>
        </w:tc>
        <w:tc>
          <w:tcPr>
            <w:tcW w:w="1270" w:type="dxa"/>
            <w:tcBorders>
              <w:top w:val="nil"/>
              <w:left w:val="nil"/>
              <w:bottom w:val="nil"/>
              <w:right w:val="nil"/>
              <w:tl2br w:val="nil"/>
              <w:tr2bl w:val="nil"/>
            </w:tcBorders>
            <w:tcMar>
              <w:left w:w="60" w:type="dxa"/>
              <w:right w:w="60" w:type="dxa"/>
            </w:tcMar>
            <w:vAlign w:val="center"/>
          </w:tcPr>
          <w:p w14:paraId="53DB0DE6"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2% + 241.21</w:t>
            </w:r>
          </w:p>
        </w:tc>
        <w:tc>
          <w:tcPr>
            <w:tcW w:w="1270" w:type="dxa"/>
            <w:tcBorders>
              <w:top w:val="nil"/>
              <w:left w:val="nil"/>
              <w:bottom w:val="nil"/>
              <w:right w:val="nil"/>
              <w:tl2br w:val="nil"/>
              <w:tr2bl w:val="nil"/>
            </w:tcBorders>
            <w:tcMar>
              <w:left w:w="60" w:type="dxa"/>
              <w:right w:w="60" w:type="dxa"/>
            </w:tcMar>
            <w:vAlign w:val="center"/>
          </w:tcPr>
          <w:p w14:paraId="15B10BF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2% + 241.21</w:t>
            </w:r>
          </w:p>
        </w:tc>
        <w:tc>
          <w:tcPr>
            <w:tcW w:w="1270" w:type="dxa"/>
            <w:tcBorders>
              <w:top w:val="nil"/>
              <w:left w:val="nil"/>
              <w:bottom w:val="nil"/>
              <w:right w:val="nil"/>
              <w:tl2br w:val="nil"/>
              <w:tr2bl w:val="nil"/>
            </w:tcBorders>
            <w:tcMar>
              <w:left w:w="60" w:type="dxa"/>
              <w:right w:w="60" w:type="dxa"/>
            </w:tcMar>
            <w:vAlign w:val="center"/>
          </w:tcPr>
          <w:p w14:paraId="4424F3A6"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2% + 241.21</w:t>
            </w:r>
          </w:p>
        </w:tc>
      </w:tr>
      <w:tr w:rsidR="00807FFE" w14:paraId="0FDB25FB"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2542EBD5"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Dependent child</w:t>
            </w:r>
          </w:p>
        </w:tc>
        <w:tc>
          <w:tcPr>
            <w:tcW w:w="1271" w:type="dxa"/>
            <w:tcBorders>
              <w:top w:val="nil"/>
              <w:left w:val="nil"/>
              <w:bottom w:val="nil"/>
              <w:right w:val="nil"/>
              <w:tl2br w:val="nil"/>
              <w:tr2bl w:val="nil"/>
            </w:tcBorders>
            <w:tcMar>
              <w:left w:w="60" w:type="dxa"/>
              <w:right w:w="60" w:type="dxa"/>
            </w:tcMar>
            <w:vAlign w:val="center"/>
          </w:tcPr>
          <w:p w14:paraId="135E18E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14:paraId="1BEE3D8C"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14:paraId="1DBBDF5B"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14:paraId="4B746213"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14:paraId="4AE35FB3"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527.06</w:t>
            </w:r>
          </w:p>
        </w:tc>
      </w:tr>
      <w:tr w:rsidR="00807FFE" w14:paraId="139B72C5"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654CBA64"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Pre-school</w:t>
            </w:r>
          </w:p>
        </w:tc>
        <w:tc>
          <w:tcPr>
            <w:tcW w:w="1271" w:type="dxa"/>
            <w:tcBorders>
              <w:top w:val="nil"/>
              <w:left w:val="nil"/>
              <w:bottom w:val="nil"/>
              <w:right w:val="nil"/>
              <w:tl2br w:val="nil"/>
              <w:tr2bl w:val="nil"/>
            </w:tcBorders>
            <w:tcMar>
              <w:left w:w="60" w:type="dxa"/>
              <w:right w:w="60" w:type="dxa"/>
            </w:tcMar>
            <w:vAlign w:val="center"/>
          </w:tcPr>
          <w:p w14:paraId="4B976E9C"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14:paraId="0B7B402D"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14:paraId="1259A83C"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14:paraId="1497CDE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14:paraId="1EC2008A"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128.76</w:t>
            </w:r>
          </w:p>
        </w:tc>
      </w:tr>
      <w:tr w:rsidR="00807FFE" w14:paraId="5B2052CB"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4D8EB1BA"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Education, or</w:t>
            </w:r>
          </w:p>
        </w:tc>
        <w:tc>
          <w:tcPr>
            <w:tcW w:w="1271" w:type="dxa"/>
            <w:tcBorders>
              <w:top w:val="nil"/>
              <w:left w:val="nil"/>
              <w:bottom w:val="nil"/>
              <w:right w:val="nil"/>
              <w:tl2br w:val="nil"/>
              <w:tr2bl w:val="nil"/>
            </w:tcBorders>
            <w:tcMar>
              <w:left w:w="60" w:type="dxa"/>
              <w:right w:w="60" w:type="dxa"/>
            </w:tcMar>
            <w:vAlign w:val="center"/>
          </w:tcPr>
          <w:p w14:paraId="76451551"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14:paraId="534FC214"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14:paraId="35D56AA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14:paraId="57689BDF"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14:paraId="63309DBD"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357.63</w:t>
            </w:r>
          </w:p>
        </w:tc>
      </w:tr>
      <w:tr w:rsidR="00807FFE" w14:paraId="389519F3"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02152E9C"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Education outside place of work</w:t>
            </w:r>
          </w:p>
        </w:tc>
        <w:tc>
          <w:tcPr>
            <w:tcW w:w="1271" w:type="dxa"/>
            <w:tcBorders>
              <w:top w:val="nil"/>
              <w:left w:val="nil"/>
              <w:bottom w:val="nil"/>
              <w:right w:val="nil"/>
              <w:tl2br w:val="nil"/>
              <w:tr2bl w:val="nil"/>
            </w:tcBorders>
            <w:tcMar>
              <w:left w:w="60" w:type="dxa"/>
              <w:right w:w="60" w:type="dxa"/>
            </w:tcMar>
            <w:vAlign w:val="center"/>
          </w:tcPr>
          <w:p w14:paraId="01A9C9A1"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14:paraId="69A8C66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14:paraId="0ACF847A"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14:paraId="5619EBC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14:paraId="3B75FDC4"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715.26</w:t>
            </w:r>
          </w:p>
        </w:tc>
      </w:tr>
      <w:tr w:rsidR="00807FFE" w14:paraId="2190699D"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4B115FA3" w14:textId="77777777" w:rsidR="00807FFE" w:rsidRDefault="00807FFE">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748EBA51"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28EA7EB"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55CCAAD3"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7C2534B"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5023AA3" w14:textId="77777777" w:rsidR="00807FFE" w:rsidRDefault="00807FFE">
            <w:pPr>
              <w:pStyle w:val="DMETW36692BIPKMT"/>
              <w:jc w:val="right"/>
              <w:rPr>
                <w:rFonts w:ascii="Verdana" w:eastAsia="Verdana" w:hAnsi="Verdana" w:cs="Verdana"/>
                <w:i/>
                <w:noProof/>
                <w:color w:val="000000"/>
                <w:sz w:val="16"/>
                <w:lang w:bidi="en-GB"/>
              </w:rPr>
            </w:pPr>
          </w:p>
        </w:tc>
      </w:tr>
      <w:tr w:rsidR="00807FFE" w14:paraId="37CB1590"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3C30832D"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Presiding judges allowance</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2C2538B4"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2AFD25B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4C9B91AD"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1 111.04</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730714B"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876FCBF"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N/A</w:t>
            </w:r>
          </w:p>
        </w:tc>
      </w:tr>
      <w:tr w:rsidR="00807FFE" w14:paraId="6D2662CE"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0506F78E" w14:textId="77777777" w:rsidR="00807FFE" w:rsidRDefault="00807FFE">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7753A593"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5F03F1EF"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35654FA4"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0AAD1D0D"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E40205D" w14:textId="77777777" w:rsidR="00807FFE" w:rsidRDefault="00807FFE">
            <w:pPr>
              <w:pStyle w:val="DMETW36692BIPKMT"/>
              <w:jc w:val="right"/>
              <w:rPr>
                <w:rFonts w:ascii="Verdana" w:eastAsia="Verdana" w:hAnsi="Verdana" w:cs="Verdana"/>
                <w:i/>
                <w:noProof/>
                <w:color w:val="000000"/>
                <w:sz w:val="16"/>
                <w:lang w:bidi="en-GB"/>
              </w:rPr>
            </w:pPr>
          </w:p>
        </w:tc>
      </w:tr>
      <w:tr w:rsidR="00807FFE" w14:paraId="3923D9CE"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74A95C90"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Representation allowance</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2050F78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1 943.34</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5D34A93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1 248.97</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484CA581"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 xml:space="preserve"> 832.83</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F762FBD"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4123263"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N/A</w:t>
            </w:r>
          </w:p>
        </w:tc>
      </w:tr>
      <w:tr w:rsidR="00807FFE" w14:paraId="7F179D60"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2F678582" w14:textId="77777777" w:rsidR="00807FFE" w:rsidRDefault="00807FFE">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3179A59E"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2D36CA0"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3FB01E1"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F83E0B7"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3150AD5D" w14:textId="77777777" w:rsidR="00807FFE" w:rsidRDefault="00807FFE">
            <w:pPr>
              <w:pStyle w:val="DMETW36692BIPKMT"/>
              <w:jc w:val="right"/>
              <w:rPr>
                <w:rFonts w:ascii="Verdana" w:eastAsia="Verdana" w:hAnsi="Verdana" w:cs="Verdana"/>
                <w:i/>
                <w:noProof/>
                <w:color w:val="000000"/>
                <w:sz w:val="16"/>
                <w:lang w:bidi="en-GB"/>
              </w:rPr>
            </w:pPr>
          </w:p>
        </w:tc>
      </w:tr>
      <w:tr w:rsidR="00807FFE" w14:paraId="6A0D05CD"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47FD6ED9"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Annual travel costs</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6092682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BB27A8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9138F7E"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E74B7C1"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1EBA3EEE"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Reimbursed</w:t>
            </w:r>
          </w:p>
        </w:tc>
      </w:tr>
      <w:tr w:rsidR="00807FFE" w14:paraId="6549AB3A"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10A48568" w14:textId="77777777" w:rsidR="00807FFE" w:rsidRDefault="00807FFE">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129EAAE5"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C0ECAF0"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0E8C386D"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345D5BFB"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7C9E705D" w14:textId="77777777" w:rsidR="00807FFE" w:rsidRDefault="00807FFE">
            <w:pPr>
              <w:pStyle w:val="DMETW36692BIPKMT"/>
              <w:jc w:val="right"/>
              <w:rPr>
                <w:rFonts w:ascii="Verdana" w:eastAsia="Verdana" w:hAnsi="Verdana" w:cs="Verdana"/>
                <w:i/>
                <w:noProof/>
                <w:color w:val="000000"/>
                <w:sz w:val="16"/>
                <w:lang w:bidi="en-GB"/>
              </w:rPr>
            </w:pPr>
          </w:p>
        </w:tc>
      </w:tr>
      <w:tr w:rsidR="00807FFE" w14:paraId="37AA4690"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563AAB42"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Transfers to Member State:</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23C8DEFE"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C1F6BD8"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C7938CE"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2184E9B7"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306D1C6" w14:textId="77777777" w:rsidR="00807FFE" w:rsidRDefault="00807FFE">
            <w:pPr>
              <w:pStyle w:val="DMETW36692BIPKMT"/>
              <w:jc w:val="right"/>
              <w:rPr>
                <w:rFonts w:ascii="Verdana" w:eastAsia="Verdana" w:hAnsi="Verdana" w:cs="Verdana"/>
                <w:i/>
                <w:noProof/>
                <w:color w:val="000000"/>
                <w:sz w:val="16"/>
                <w:lang w:bidi="en-GB"/>
              </w:rPr>
            </w:pPr>
          </w:p>
        </w:tc>
      </w:tr>
      <w:tr w:rsidR="00807FFE" w14:paraId="48581636"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1A61CD8C"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Education allowance*</w:t>
            </w:r>
          </w:p>
        </w:tc>
        <w:tc>
          <w:tcPr>
            <w:tcW w:w="1271" w:type="dxa"/>
            <w:tcBorders>
              <w:top w:val="nil"/>
              <w:left w:val="nil"/>
              <w:bottom w:val="nil"/>
              <w:right w:val="nil"/>
              <w:tl2br w:val="nil"/>
              <w:tr2bl w:val="nil"/>
            </w:tcBorders>
            <w:shd w:val="solid" w:color="FFFFFF" w:fill="FFFFFF"/>
            <w:tcMar>
              <w:left w:w="60" w:type="dxa"/>
              <w:right w:w="60" w:type="dxa"/>
            </w:tcMar>
            <w:vAlign w:val="center"/>
          </w:tcPr>
          <w:p w14:paraId="3517261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Yes</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541C021D"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Yes</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5189E541"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Yes</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322CDCD5"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Yes</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7E20B8A2"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Yes</w:t>
            </w:r>
          </w:p>
        </w:tc>
      </w:tr>
      <w:tr w:rsidR="00807FFE" w14:paraId="219B16C9"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7658FD17"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 of salary*</w:t>
            </w:r>
          </w:p>
        </w:tc>
        <w:tc>
          <w:tcPr>
            <w:tcW w:w="1271" w:type="dxa"/>
            <w:tcBorders>
              <w:top w:val="nil"/>
              <w:left w:val="nil"/>
              <w:bottom w:val="nil"/>
              <w:right w:val="nil"/>
              <w:tl2br w:val="nil"/>
              <w:tr2bl w:val="nil"/>
            </w:tcBorders>
            <w:shd w:val="solid" w:color="FFFFFF" w:fill="FFFFFF"/>
            <w:tcMar>
              <w:left w:w="60" w:type="dxa"/>
              <w:right w:w="60" w:type="dxa"/>
            </w:tcMar>
            <w:vAlign w:val="center"/>
          </w:tcPr>
          <w:p w14:paraId="4EF255A3"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5%</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41CC38D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5%</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52AD55CA"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5%</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5EC0FD5F"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5%</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2CC5214B"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5%</w:t>
            </w:r>
          </w:p>
        </w:tc>
      </w:tr>
      <w:tr w:rsidR="00807FFE" w14:paraId="160FF9E9"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55C5DD02"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 of salary with no cc</w:t>
            </w:r>
          </w:p>
        </w:tc>
        <w:tc>
          <w:tcPr>
            <w:tcW w:w="1271" w:type="dxa"/>
            <w:tcBorders>
              <w:top w:val="nil"/>
              <w:left w:val="nil"/>
              <w:bottom w:val="nil"/>
              <w:right w:val="nil"/>
              <w:tl2br w:val="nil"/>
              <w:tr2bl w:val="nil"/>
            </w:tcBorders>
            <w:shd w:val="solid" w:color="FFFFFF" w:fill="FFFFFF"/>
            <w:tcMar>
              <w:left w:w="60" w:type="dxa"/>
              <w:right w:w="60" w:type="dxa"/>
            </w:tcMar>
            <w:vAlign w:val="center"/>
          </w:tcPr>
          <w:p w14:paraId="22BC743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max 25%</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32C31755"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max 25%</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0162D7F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max 25%</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48031E01"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max 25%</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3AA2E3F5"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max 25%</w:t>
            </w:r>
          </w:p>
        </w:tc>
      </w:tr>
      <w:tr w:rsidR="00807FFE" w14:paraId="0E7F47C4"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7DF31331" w14:textId="77777777" w:rsidR="00807FFE" w:rsidRDefault="00807FFE">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71343DCD"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7C33DD2D"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CB9035A"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10C28537"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117D49A7" w14:textId="77777777" w:rsidR="00807FFE" w:rsidRDefault="00807FFE">
            <w:pPr>
              <w:pStyle w:val="DMETW36692BIPKMT"/>
              <w:jc w:val="right"/>
              <w:rPr>
                <w:rFonts w:ascii="Verdana" w:eastAsia="Verdana" w:hAnsi="Verdana" w:cs="Verdana"/>
                <w:i/>
                <w:noProof/>
                <w:color w:val="000000"/>
                <w:sz w:val="16"/>
                <w:lang w:bidi="en-GB"/>
              </w:rPr>
            </w:pPr>
          </w:p>
        </w:tc>
      </w:tr>
      <w:tr w:rsidR="00807FFE" w14:paraId="0667749A"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43F0D13E"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Representation expenses</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0898035B"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4AC566A4"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11FF7E5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119EA481"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E1994A0"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N/A</w:t>
            </w:r>
          </w:p>
        </w:tc>
      </w:tr>
      <w:tr w:rsidR="00807FFE" w14:paraId="7DF3C9B3"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49F0ED72" w14:textId="77777777" w:rsidR="00807FFE" w:rsidRDefault="00807FFE">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3AD1FC6A"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4CD4BB8"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72DEAA2E"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333ACD5"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507A469D" w14:textId="77777777" w:rsidR="00807FFE" w:rsidRDefault="00807FFE">
            <w:pPr>
              <w:pStyle w:val="DMETW36692BIPKMT"/>
              <w:jc w:val="right"/>
              <w:rPr>
                <w:rFonts w:ascii="Verdana" w:eastAsia="Verdana" w:hAnsi="Verdana" w:cs="Verdana"/>
                <w:i/>
                <w:noProof/>
                <w:color w:val="000000"/>
                <w:sz w:val="16"/>
                <w:lang w:bidi="en-GB"/>
              </w:rPr>
            </w:pPr>
          </w:p>
        </w:tc>
      </w:tr>
      <w:tr w:rsidR="00807FFE" w14:paraId="48F9ACCF"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0C8DE1F9"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Taking up duty:</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3A22D05E"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4A087DA"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7D88B100"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7FFB4209"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52148FB" w14:textId="77777777" w:rsidR="00807FFE" w:rsidRDefault="00807FFE">
            <w:pPr>
              <w:pStyle w:val="DMETW36692BIPKMT"/>
              <w:jc w:val="right"/>
              <w:rPr>
                <w:rFonts w:ascii="Verdana" w:eastAsia="Verdana" w:hAnsi="Verdana" w:cs="Verdana"/>
                <w:i/>
                <w:noProof/>
                <w:color w:val="000000"/>
                <w:sz w:val="16"/>
                <w:lang w:bidi="en-GB"/>
              </w:rPr>
            </w:pPr>
          </w:p>
        </w:tc>
      </w:tr>
      <w:tr w:rsidR="00807FFE" w14:paraId="4CCC8536"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2D67630F"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Installation expenses</w:t>
            </w:r>
          </w:p>
        </w:tc>
        <w:tc>
          <w:tcPr>
            <w:tcW w:w="1271" w:type="dxa"/>
            <w:tcBorders>
              <w:top w:val="nil"/>
              <w:left w:val="nil"/>
              <w:bottom w:val="nil"/>
              <w:right w:val="nil"/>
              <w:tl2br w:val="nil"/>
              <w:tr2bl w:val="nil"/>
            </w:tcBorders>
            <w:tcMar>
              <w:left w:w="60" w:type="dxa"/>
              <w:right w:w="60" w:type="dxa"/>
            </w:tcMar>
            <w:vAlign w:val="center"/>
          </w:tcPr>
          <w:p w14:paraId="724FF27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71 721.82</w:t>
            </w:r>
          </w:p>
        </w:tc>
        <w:tc>
          <w:tcPr>
            <w:tcW w:w="1270" w:type="dxa"/>
            <w:tcBorders>
              <w:top w:val="nil"/>
              <w:left w:val="nil"/>
              <w:bottom w:val="nil"/>
              <w:right w:val="nil"/>
              <w:tl2br w:val="nil"/>
              <w:tr2bl w:val="nil"/>
            </w:tcBorders>
            <w:tcMar>
              <w:left w:w="60" w:type="dxa"/>
              <w:right w:w="60" w:type="dxa"/>
            </w:tcMar>
            <w:vAlign w:val="center"/>
          </w:tcPr>
          <w:p w14:paraId="0015AC0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64 965.42 - 67 564.04</w:t>
            </w:r>
          </w:p>
        </w:tc>
        <w:tc>
          <w:tcPr>
            <w:tcW w:w="1270" w:type="dxa"/>
            <w:tcBorders>
              <w:top w:val="nil"/>
              <w:left w:val="nil"/>
              <w:bottom w:val="nil"/>
              <w:right w:val="nil"/>
              <w:tl2br w:val="nil"/>
              <w:tr2bl w:val="nil"/>
            </w:tcBorders>
            <w:tcMar>
              <w:left w:w="60" w:type="dxa"/>
              <w:right w:w="60" w:type="dxa"/>
            </w:tcMar>
            <w:vAlign w:val="center"/>
          </w:tcPr>
          <w:p w14:paraId="5A75587D"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51 972.34 - 58 468.88</w:t>
            </w:r>
          </w:p>
        </w:tc>
        <w:tc>
          <w:tcPr>
            <w:tcW w:w="1270" w:type="dxa"/>
            <w:tcBorders>
              <w:top w:val="nil"/>
              <w:left w:val="nil"/>
              <w:bottom w:val="nil"/>
              <w:right w:val="nil"/>
              <w:tl2br w:val="nil"/>
              <w:tr2bl w:val="nil"/>
            </w:tcBorders>
            <w:tcMar>
              <w:left w:w="60" w:type="dxa"/>
              <w:right w:w="60" w:type="dxa"/>
            </w:tcMar>
            <w:vAlign w:val="center"/>
          </w:tcPr>
          <w:p w14:paraId="62D0AC5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56 130.12 - 59 768.20</w:t>
            </w:r>
          </w:p>
        </w:tc>
        <w:tc>
          <w:tcPr>
            <w:tcW w:w="1270" w:type="dxa"/>
            <w:tcBorders>
              <w:top w:val="nil"/>
              <w:left w:val="nil"/>
              <w:bottom w:val="nil"/>
              <w:right w:val="nil"/>
              <w:tl2br w:val="nil"/>
              <w:tr2bl w:val="nil"/>
            </w:tcBorders>
            <w:tcMar>
              <w:left w:w="60" w:type="dxa"/>
              <w:right w:w="60" w:type="dxa"/>
            </w:tcMar>
            <w:vAlign w:val="center"/>
          </w:tcPr>
          <w:p w14:paraId="7A7099E3"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Reimbursed</w:t>
            </w:r>
          </w:p>
        </w:tc>
      </w:tr>
      <w:tr w:rsidR="00807FFE" w14:paraId="6D16A5E2" w14:textId="77777777">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14:paraId="5D1F4A3F"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Family travel expenses</w:t>
            </w:r>
          </w:p>
        </w:tc>
        <w:tc>
          <w:tcPr>
            <w:tcW w:w="1271" w:type="dxa"/>
            <w:tcBorders>
              <w:top w:val="nil"/>
              <w:left w:val="nil"/>
              <w:bottom w:val="nil"/>
              <w:right w:val="nil"/>
              <w:tl2br w:val="nil"/>
              <w:tr2bl w:val="nil"/>
            </w:tcBorders>
            <w:shd w:val="solid" w:color="FFFFFF" w:fill="FFFFFF"/>
            <w:tcMar>
              <w:left w:w="60" w:type="dxa"/>
              <w:right w:w="60" w:type="dxa"/>
            </w:tcMar>
            <w:vAlign w:val="center"/>
          </w:tcPr>
          <w:p w14:paraId="147046BB"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3256205E"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2D2484F9"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6D0E219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522B9597"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Reimbursed</w:t>
            </w:r>
          </w:p>
        </w:tc>
      </w:tr>
      <w:tr w:rsidR="00807FFE" w14:paraId="12F74471" w14:textId="77777777">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14:paraId="18E6BBC0"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Moving expenses</w:t>
            </w:r>
          </w:p>
        </w:tc>
        <w:tc>
          <w:tcPr>
            <w:tcW w:w="1271" w:type="dxa"/>
            <w:tcBorders>
              <w:top w:val="nil"/>
              <w:left w:val="nil"/>
              <w:bottom w:val="nil"/>
              <w:right w:val="nil"/>
              <w:tl2br w:val="nil"/>
              <w:tr2bl w:val="nil"/>
            </w:tcBorders>
            <w:shd w:val="solid" w:color="FFFFFF" w:fill="FFFFFF"/>
            <w:tcMar>
              <w:left w:w="60" w:type="dxa"/>
              <w:right w:w="60" w:type="dxa"/>
            </w:tcMar>
            <w:vAlign w:val="center"/>
          </w:tcPr>
          <w:p w14:paraId="66BD76E9"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0D87B166"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29AD46FC"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7788FC79"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5D4AA05F"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Reimbursed</w:t>
            </w:r>
          </w:p>
        </w:tc>
      </w:tr>
      <w:tr w:rsidR="00807FFE" w14:paraId="68806668"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3309540E" w14:textId="77777777" w:rsidR="00807FFE" w:rsidRDefault="00807FFE">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07EA6EFC"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47B0817A"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59640D8B"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E6880BC"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3A1F9413" w14:textId="77777777" w:rsidR="00807FFE" w:rsidRDefault="00807FFE">
            <w:pPr>
              <w:pStyle w:val="DMETW36692BIPKMT"/>
              <w:jc w:val="right"/>
              <w:rPr>
                <w:rFonts w:ascii="Verdana" w:eastAsia="Verdana" w:hAnsi="Verdana" w:cs="Verdana"/>
                <w:i/>
                <w:noProof/>
                <w:color w:val="000000"/>
                <w:sz w:val="16"/>
                <w:lang w:bidi="en-GB"/>
              </w:rPr>
            </w:pPr>
          </w:p>
        </w:tc>
      </w:tr>
      <w:tr w:rsidR="00807FFE" w14:paraId="72C562C1"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20E584E4"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Leaving office:</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2027E1E4"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511B11C"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2C44B61"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F8C714D"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9E35F22" w14:textId="77777777" w:rsidR="00807FFE" w:rsidRDefault="00807FFE">
            <w:pPr>
              <w:pStyle w:val="DMETW36692BIPKMT"/>
              <w:jc w:val="right"/>
              <w:rPr>
                <w:rFonts w:ascii="Verdana" w:eastAsia="Verdana" w:hAnsi="Verdana" w:cs="Verdana"/>
                <w:i/>
                <w:noProof/>
                <w:color w:val="000000"/>
                <w:sz w:val="16"/>
                <w:lang w:bidi="en-GB"/>
              </w:rPr>
            </w:pPr>
          </w:p>
        </w:tc>
      </w:tr>
      <w:tr w:rsidR="00807FFE" w14:paraId="03BCBE59"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196A8A4A"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Resettlement expenses</w:t>
            </w:r>
          </w:p>
        </w:tc>
        <w:tc>
          <w:tcPr>
            <w:tcW w:w="1271" w:type="dxa"/>
            <w:tcBorders>
              <w:top w:val="nil"/>
              <w:left w:val="nil"/>
              <w:bottom w:val="nil"/>
              <w:right w:val="nil"/>
              <w:tl2br w:val="nil"/>
              <w:tr2bl w:val="nil"/>
            </w:tcBorders>
            <w:tcMar>
              <w:left w:w="60" w:type="dxa"/>
              <w:right w:w="60" w:type="dxa"/>
            </w:tcMar>
            <w:vAlign w:val="center"/>
          </w:tcPr>
          <w:p w14:paraId="2747FC3F"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35 860.91</w:t>
            </w:r>
          </w:p>
        </w:tc>
        <w:tc>
          <w:tcPr>
            <w:tcW w:w="1270" w:type="dxa"/>
            <w:tcBorders>
              <w:top w:val="nil"/>
              <w:left w:val="nil"/>
              <w:bottom w:val="nil"/>
              <w:right w:val="nil"/>
              <w:tl2br w:val="nil"/>
              <w:tr2bl w:val="nil"/>
            </w:tcBorders>
            <w:tcMar>
              <w:left w:w="60" w:type="dxa"/>
              <w:right w:w="60" w:type="dxa"/>
            </w:tcMar>
            <w:vAlign w:val="center"/>
          </w:tcPr>
          <w:p w14:paraId="0FA4BBAE"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32 482.71 - 33 782.02</w:t>
            </w:r>
          </w:p>
        </w:tc>
        <w:tc>
          <w:tcPr>
            <w:tcW w:w="1270" w:type="dxa"/>
            <w:tcBorders>
              <w:top w:val="nil"/>
              <w:left w:val="nil"/>
              <w:bottom w:val="nil"/>
              <w:right w:val="nil"/>
              <w:tl2br w:val="nil"/>
              <w:tr2bl w:val="nil"/>
            </w:tcBorders>
            <w:tcMar>
              <w:left w:w="60" w:type="dxa"/>
              <w:right w:w="60" w:type="dxa"/>
            </w:tcMar>
            <w:vAlign w:val="center"/>
          </w:tcPr>
          <w:p w14:paraId="3DC0BDEE"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25 986.17 - 29 234.44</w:t>
            </w:r>
          </w:p>
        </w:tc>
        <w:tc>
          <w:tcPr>
            <w:tcW w:w="1270" w:type="dxa"/>
            <w:tcBorders>
              <w:top w:val="nil"/>
              <w:left w:val="nil"/>
              <w:bottom w:val="nil"/>
              <w:right w:val="nil"/>
              <w:tl2br w:val="nil"/>
              <w:tr2bl w:val="nil"/>
            </w:tcBorders>
            <w:tcMar>
              <w:left w:w="60" w:type="dxa"/>
              <w:right w:w="60" w:type="dxa"/>
            </w:tcMar>
            <w:vAlign w:val="center"/>
          </w:tcPr>
          <w:p w14:paraId="26432463"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28 065.06 - 29 884.10</w:t>
            </w:r>
          </w:p>
        </w:tc>
        <w:tc>
          <w:tcPr>
            <w:tcW w:w="1270" w:type="dxa"/>
            <w:tcBorders>
              <w:top w:val="nil"/>
              <w:left w:val="nil"/>
              <w:bottom w:val="nil"/>
              <w:right w:val="nil"/>
              <w:tl2br w:val="nil"/>
              <w:tr2bl w:val="nil"/>
            </w:tcBorders>
            <w:tcMar>
              <w:left w:w="60" w:type="dxa"/>
              <w:right w:w="60" w:type="dxa"/>
            </w:tcMar>
            <w:vAlign w:val="center"/>
          </w:tcPr>
          <w:p w14:paraId="78D7A408"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Reimbursed</w:t>
            </w:r>
          </w:p>
        </w:tc>
      </w:tr>
      <w:tr w:rsidR="00807FFE" w14:paraId="291F4DC0"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7ADEFE1F"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Family travel expenses</w:t>
            </w:r>
          </w:p>
        </w:tc>
        <w:tc>
          <w:tcPr>
            <w:tcW w:w="1271" w:type="dxa"/>
            <w:tcBorders>
              <w:top w:val="nil"/>
              <w:left w:val="nil"/>
              <w:bottom w:val="nil"/>
              <w:right w:val="nil"/>
              <w:tl2br w:val="nil"/>
              <w:tr2bl w:val="nil"/>
            </w:tcBorders>
            <w:tcMar>
              <w:left w:w="60" w:type="dxa"/>
              <w:right w:w="60" w:type="dxa"/>
            </w:tcMar>
            <w:vAlign w:val="center"/>
          </w:tcPr>
          <w:p w14:paraId="57C7E864"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tcMar>
              <w:left w:w="60" w:type="dxa"/>
              <w:right w:w="60" w:type="dxa"/>
            </w:tcMar>
            <w:vAlign w:val="center"/>
          </w:tcPr>
          <w:p w14:paraId="2B2B2B5B"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tcMar>
              <w:left w:w="60" w:type="dxa"/>
              <w:right w:w="60" w:type="dxa"/>
            </w:tcMar>
            <w:vAlign w:val="center"/>
          </w:tcPr>
          <w:p w14:paraId="322B128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tcMar>
              <w:left w:w="60" w:type="dxa"/>
              <w:right w:w="60" w:type="dxa"/>
            </w:tcMar>
            <w:vAlign w:val="center"/>
          </w:tcPr>
          <w:p w14:paraId="3972C865"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tcMar>
              <w:left w:w="60" w:type="dxa"/>
              <w:right w:w="60" w:type="dxa"/>
            </w:tcMar>
            <w:vAlign w:val="center"/>
          </w:tcPr>
          <w:p w14:paraId="037E8E22"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Reimbursed</w:t>
            </w:r>
          </w:p>
        </w:tc>
      </w:tr>
      <w:tr w:rsidR="00807FFE" w14:paraId="324A9869"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30F67659"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Moving expenses</w:t>
            </w:r>
          </w:p>
        </w:tc>
        <w:tc>
          <w:tcPr>
            <w:tcW w:w="1271" w:type="dxa"/>
            <w:tcBorders>
              <w:top w:val="nil"/>
              <w:left w:val="nil"/>
              <w:bottom w:val="nil"/>
              <w:right w:val="nil"/>
              <w:tl2br w:val="nil"/>
              <w:tr2bl w:val="nil"/>
            </w:tcBorders>
            <w:tcMar>
              <w:left w:w="60" w:type="dxa"/>
              <w:right w:w="60" w:type="dxa"/>
            </w:tcMar>
            <w:vAlign w:val="center"/>
          </w:tcPr>
          <w:p w14:paraId="7A2705A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tcMar>
              <w:left w:w="60" w:type="dxa"/>
              <w:right w:w="60" w:type="dxa"/>
            </w:tcMar>
            <w:vAlign w:val="center"/>
          </w:tcPr>
          <w:p w14:paraId="460FCE66"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tcMar>
              <w:left w:w="60" w:type="dxa"/>
              <w:right w:w="60" w:type="dxa"/>
            </w:tcMar>
            <w:vAlign w:val="center"/>
          </w:tcPr>
          <w:p w14:paraId="676E01E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tcMar>
              <w:left w:w="60" w:type="dxa"/>
              <w:right w:w="60" w:type="dxa"/>
            </w:tcMar>
            <w:vAlign w:val="center"/>
          </w:tcPr>
          <w:p w14:paraId="024B2B59"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Reimbursed</w:t>
            </w:r>
          </w:p>
        </w:tc>
        <w:tc>
          <w:tcPr>
            <w:tcW w:w="1270" w:type="dxa"/>
            <w:tcBorders>
              <w:top w:val="nil"/>
              <w:left w:val="nil"/>
              <w:bottom w:val="nil"/>
              <w:right w:val="nil"/>
              <w:tl2br w:val="nil"/>
              <w:tr2bl w:val="nil"/>
            </w:tcBorders>
            <w:tcMar>
              <w:left w:w="60" w:type="dxa"/>
              <w:right w:w="60" w:type="dxa"/>
            </w:tcMar>
            <w:vAlign w:val="center"/>
          </w:tcPr>
          <w:p w14:paraId="18CAAC8F"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Reimbursed</w:t>
            </w:r>
          </w:p>
        </w:tc>
      </w:tr>
      <w:tr w:rsidR="00807FFE" w14:paraId="278CBF4A"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72C5AFEF"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Transition (% salary)**</w:t>
            </w:r>
          </w:p>
        </w:tc>
        <w:tc>
          <w:tcPr>
            <w:tcW w:w="1271" w:type="dxa"/>
            <w:tcBorders>
              <w:top w:val="nil"/>
              <w:left w:val="nil"/>
              <w:bottom w:val="nil"/>
              <w:right w:val="nil"/>
              <w:tl2br w:val="nil"/>
              <w:tr2bl w:val="nil"/>
            </w:tcBorders>
            <w:tcMar>
              <w:left w:w="60" w:type="dxa"/>
              <w:right w:w="60" w:type="dxa"/>
            </w:tcMar>
            <w:vAlign w:val="center"/>
          </w:tcPr>
          <w:p w14:paraId="24FB6215"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40% - 65%</w:t>
            </w:r>
          </w:p>
        </w:tc>
        <w:tc>
          <w:tcPr>
            <w:tcW w:w="1270" w:type="dxa"/>
            <w:tcBorders>
              <w:top w:val="nil"/>
              <w:left w:val="nil"/>
              <w:bottom w:val="nil"/>
              <w:right w:val="nil"/>
              <w:tl2br w:val="nil"/>
              <w:tr2bl w:val="nil"/>
            </w:tcBorders>
            <w:tcMar>
              <w:left w:w="60" w:type="dxa"/>
              <w:right w:w="60" w:type="dxa"/>
            </w:tcMar>
            <w:vAlign w:val="center"/>
          </w:tcPr>
          <w:p w14:paraId="5AEE75A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40% - 65%</w:t>
            </w:r>
          </w:p>
        </w:tc>
        <w:tc>
          <w:tcPr>
            <w:tcW w:w="1270" w:type="dxa"/>
            <w:tcBorders>
              <w:top w:val="nil"/>
              <w:left w:val="nil"/>
              <w:bottom w:val="nil"/>
              <w:right w:val="nil"/>
              <w:tl2br w:val="nil"/>
              <w:tr2bl w:val="nil"/>
            </w:tcBorders>
            <w:tcMar>
              <w:left w:w="60" w:type="dxa"/>
              <w:right w:w="60" w:type="dxa"/>
            </w:tcMar>
            <w:vAlign w:val="center"/>
          </w:tcPr>
          <w:p w14:paraId="09246016"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40% - 65%</w:t>
            </w:r>
          </w:p>
        </w:tc>
        <w:tc>
          <w:tcPr>
            <w:tcW w:w="1270" w:type="dxa"/>
            <w:tcBorders>
              <w:top w:val="nil"/>
              <w:left w:val="nil"/>
              <w:bottom w:val="nil"/>
              <w:right w:val="nil"/>
              <w:tl2br w:val="nil"/>
              <w:tr2bl w:val="nil"/>
            </w:tcBorders>
            <w:tcMar>
              <w:left w:w="60" w:type="dxa"/>
              <w:right w:w="60" w:type="dxa"/>
            </w:tcMar>
            <w:vAlign w:val="center"/>
          </w:tcPr>
          <w:p w14:paraId="5386EC5B"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40% - 65%</w:t>
            </w:r>
          </w:p>
        </w:tc>
        <w:tc>
          <w:tcPr>
            <w:tcW w:w="1270" w:type="dxa"/>
            <w:tcBorders>
              <w:top w:val="nil"/>
              <w:left w:val="nil"/>
              <w:bottom w:val="nil"/>
              <w:right w:val="nil"/>
              <w:tl2br w:val="nil"/>
              <w:tr2bl w:val="nil"/>
            </w:tcBorders>
            <w:tcMar>
              <w:left w:w="60" w:type="dxa"/>
              <w:right w:w="60" w:type="dxa"/>
            </w:tcMar>
            <w:vAlign w:val="center"/>
          </w:tcPr>
          <w:p w14:paraId="7A263A05"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N/A</w:t>
            </w:r>
          </w:p>
        </w:tc>
      </w:tr>
      <w:tr w:rsidR="00807FFE" w14:paraId="0DDF2467"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5D933BE5"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Sickness insurance</w:t>
            </w:r>
          </w:p>
        </w:tc>
        <w:tc>
          <w:tcPr>
            <w:tcW w:w="1271" w:type="dxa"/>
            <w:tcBorders>
              <w:top w:val="nil"/>
              <w:left w:val="nil"/>
              <w:bottom w:val="nil"/>
              <w:right w:val="nil"/>
              <w:tl2br w:val="nil"/>
              <w:tr2bl w:val="nil"/>
            </w:tcBorders>
            <w:tcMar>
              <w:left w:w="60" w:type="dxa"/>
              <w:right w:w="60" w:type="dxa"/>
            </w:tcMar>
            <w:vAlign w:val="center"/>
          </w:tcPr>
          <w:p w14:paraId="746D9B0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Covered</w:t>
            </w:r>
          </w:p>
        </w:tc>
        <w:tc>
          <w:tcPr>
            <w:tcW w:w="1270" w:type="dxa"/>
            <w:tcBorders>
              <w:top w:val="nil"/>
              <w:left w:val="nil"/>
              <w:bottom w:val="nil"/>
              <w:right w:val="nil"/>
              <w:tl2br w:val="nil"/>
              <w:tr2bl w:val="nil"/>
            </w:tcBorders>
            <w:tcMar>
              <w:left w:w="60" w:type="dxa"/>
              <w:right w:w="60" w:type="dxa"/>
            </w:tcMar>
            <w:vAlign w:val="center"/>
          </w:tcPr>
          <w:p w14:paraId="2BE054E6"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Covered</w:t>
            </w:r>
          </w:p>
        </w:tc>
        <w:tc>
          <w:tcPr>
            <w:tcW w:w="1270" w:type="dxa"/>
            <w:tcBorders>
              <w:top w:val="nil"/>
              <w:left w:val="nil"/>
              <w:bottom w:val="nil"/>
              <w:right w:val="nil"/>
              <w:tl2br w:val="nil"/>
              <w:tr2bl w:val="nil"/>
            </w:tcBorders>
            <w:tcMar>
              <w:left w:w="60" w:type="dxa"/>
              <w:right w:w="60" w:type="dxa"/>
            </w:tcMar>
            <w:vAlign w:val="center"/>
          </w:tcPr>
          <w:p w14:paraId="5825C5CF"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Covered</w:t>
            </w:r>
          </w:p>
        </w:tc>
        <w:tc>
          <w:tcPr>
            <w:tcW w:w="1270" w:type="dxa"/>
            <w:tcBorders>
              <w:top w:val="nil"/>
              <w:left w:val="nil"/>
              <w:bottom w:val="nil"/>
              <w:right w:val="nil"/>
              <w:tl2br w:val="nil"/>
              <w:tr2bl w:val="nil"/>
            </w:tcBorders>
            <w:tcMar>
              <w:left w:w="60" w:type="dxa"/>
              <w:right w:w="60" w:type="dxa"/>
            </w:tcMar>
            <w:vAlign w:val="center"/>
          </w:tcPr>
          <w:p w14:paraId="3C227043"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Covered</w:t>
            </w:r>
          </w:p>
        </w:tc>
        <w:tc>
          <w:tcPr>
            <w:tcW w:w="1270" w:type="dxa"/>
            <w:tcBorders>
              <w:top w:val="nil"/>
              <w:left w:val="nil"/>
              <w:bottom w:val="nil"/>
              <w:right w:val="nil"/>
              <w:tl2br w:val="nil"/>
              <w:tr2bl w:val="nil"/>
            </w:tcBorders>
            <w:tcMar>
              <w:left w:w="60" w:type="dxa"/>
              <w:right w:w="60" w:type="dxa"/>
            </w:tcMar>
            <w:vAlign w:val="center"/>
          </w:tcPr>
          <w:p w14:paraId="1039A0EB"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Covered</w:t>
            </w:r>
          </w:p>
        </w:tc>
      </w:tr>
      <w:tr w:rsidR="00807FFE" w14:paraId="7AF65EFB"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44842C67" w14:textId="77777777" w:rsidR="00807FFE" w:rsidRDefault="00807FFE">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14:paraId="1DA852F9"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5D83CEFB"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24A859B0"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69857AFE"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14:paraId="40CC5C1B" w14:textId="77777777" w:rsidR="00807FFE" w:rsidRDefault="00807FFE">
            <w:pPr>
              <w:pStyle w:val="DMETW36692BIPKMT"/>
              <w:jc w:val="right"/>
              <w:rPr>
                <w:rFonts w:ascii="Verdana" w:eastAsia="Verdana" w:hAnsi="Verdana" w:cs="Verdana"/>
                <w:i/>
                <w:noProof/>
                <w:color w:val="000000"/>
                <w:sz w:val="16"/>
                <w:lang w:bidi="en-GB"/>
              </w:rPr>
            </w:pPr>
          </w:p>
        </w:tc>
      </w:tr>
      <w:tr w:rsidR="00807FFE" w14:paraId="0D3D5657"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58A6C7F5"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Pension (% salary, before tax)</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1151D6C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Max 70%</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BA847F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Max 70%</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51DC80E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Max 70%</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1349F909"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Max 70%</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17E37CF4"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Max 70%</w:t>
            </w:r>
          </w:p>
        </w:tc>
      </w:tr>
      <w:tr w:rsidR="00807FFE" w14:paraId="107F4EA3"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0525F5D7" w14:textId="77777777" w:rsidR="00807FFE" w:rsidRDefault="00807FFE">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1C54EF5B"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016F3D05"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23849CD2"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180DA04"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3738937F" w14:textId="77777777" w:rsidR="00807FFE" w:rsidRDefault="00807FFE">
            <w:pPr>
              <w:pStyle w:val="DMETW36692BIPKMT"/>
              <w:jc w:val="right"/>
              <w:rPr>
                <w:rFonts w:ascii="Verdana" w:eastAsia="Verdana" w:hAnsi="Verdana" w:cs="Verdana"/>
                <w:i/>
                <w:noProof/>
                <w:color w:val="000000"/>
                <w:sz w:val="16"/>
                <w:lang w:bidi="en-GB"/>
              </w:rPr>
            </w:pPr>
          </w:p>
        </w:tc>
      </w:tr>
      <w:tr w:rsidR="00807FFE" w14:paraId="2A31070E"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7EF876C3"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Deductions:</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1CF115D9"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67DFD4CF"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10F40522"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7C75AD75" w14:textId="77777777" w:rsidR="00807FFE" w:rsidRDefault="00807FFE">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498C65FA" w14:textId="77777777" w:rsidR="00807FFE" w:rsidRDefault="00807FFE">
            <w:pPr>
              <w:pStyle w:val="DMETW36692BIPKMT"/>
              <w:jc w:val="right"/>
              <w:rPr>
                <w:rFonts w:ascii="Verdana" w:eastAsia="Verdana" w:hAnsi="Verdana" w:cs="Verdana"/>
                <w:i/>
                <w:noProof/>
                <w:color w:val="000000"/>
                <w:sz w:val="16"/>
                <w:lang w:bidi="en-GB"/>
              </w:rPr>
            </w:pPr>
          </w:p>
        </w:tc>
      </w:tr>
      <w:tr w:rsidR="00807FFE" w14:paraId="716119BB"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35E878C1"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Community tax</w:t>
            </w:r>
          </w:p>
        </w:tc>
        <w:tc>
          <w:tcPr>
            <w:tcW w:w="1271" w:type="dxa"/>
            <w:tcBorders>
              <w:top w:val="nil"/>
              <w:left w:val="nil"/>
              <w:bottom w:val="nil"/>
              <w:right w:val="nil"/>
              <w:tl2br w:val="nil"/>
              <w:tr2bl w:val="nil"/>
            </w:tcBorders>
            <w:tcMar>
              <w:left w:w="60" w:type="dxa"/>
              <w:right w:w="60" w:type="dxa"/>
            </w:tcMar>
            <w:vAlign w:val="center"/>
          </w:tcPr>
          <w:p w14:paraId="326D67B2"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8% - 45%</w:t>
            </w:r>
          </w:p>
        </w:tc>
        <w:tc>
          <w:tcPr>
            <w:tcW w:w="1270" w:type="dxa"/>
            <w:tcBorders>
              <w:top w:val="nil"/>
              <w:left w:val="nil"/>
              <w:bottom w:val="nil"/>
              <w:right w:val="nil"/>
              <w:tl2br w:val="nil"/>
              <w:tr2bl w:val="nil"/>
            </w:tcBorders>
            <w:tcMar>
              <w:left w:w="60" w:type="dxa"/>
              <w:right w:w="60" w:type="dxa"/>
            </w:tcMar>
            <w:vAlign w:val="center"/>
          </w:tcPr>
          <w:p w14:paraId="2A2FDA80"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8% - 45%</w:t>
            </w:r>
          </w:p>
        </w:tc>
        <w:tc>
          <w:tcPr>
            <w:tcW w:w="1270" w:type="dxa"/>
            <w:tcBorders>
              <w:top w:val="nil"/>
              <w:left w:val="nil"/>
              <w:bottom w:val="nil"/>
              <w:right w:val="nil"/>
              <w:tl2br w:val="nil"/>
              <w:tr2bl w:val="nil"/>
            </w:tcBorders>
            <w:tcMar>
              <w:left w:w="60" w:type="dxa"/>
              <w:right w:w="60" w:type="dxa"/>
            </w:tcMar>
            <w:vAlign w:val="center"/>
          </w:tcPr>
          <w:p w14:paraId="08DE3B3E"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8% - 45%</w:t>
            </w:r>
          </w:p>
        </w:tc>
        <w:tc>
          <w:tcPr>
            <w:tcW w:w="1270" w:type="dxa"/>
            <w:tcBorders>
              <w:top w:val="nil"/>
              <w:left w:val="nil"/>
              <w:bottom w:val="nil"/>
              <w:right w:val="nil"/>
              <w:tl2br w:val="nil"/>
              <w:tr2bl w:val="nil"/>
            </w:tcBorders>
            <w:tcMar>
              <w:left w:w="60" w:type="dxa"/>
              <w:right w:w="60" w:type="dxa"/>
            </w:tcMar>
            <w:vAlign w:val="center"/>
          </w:tcPr>
          <w:p w14:paraId="50936BBA"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8% - 45%</w:t>
            </w:r>
          </w:p>
        </w:tc>
        <w:tc>
          <w:tcPr>
            <w:tcW w:w="1270" w:type="dxa"/>
            <w:tcBorders>
              <w:top w:val="nil"/>
              <w:left w:val="nil"/>
              <w:bottom w:val="nil"/>
              <w:right w:val="nil"/>
              <w:tl2br w:val="nil"/>
              <w:tr2bl w:val="nil"/>
            </w:tcBorders>
            <w:tcMar>
              <w:left w:w="60" w:type="dxa"/>
              <w:right w:w="60" w:type="dxa"/>
            </w:tcMar>
            <w:vAlign w:val="center"/>
          </w:tcPr>
          <w:p w14:paraId="42988CDF"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8% - 45%</w:t>
            </w:r>
          </w:p>
        </w:tc>
      </w:tr>
      <w:tr w:rsidR="00807FFE" w14:paraId="665808B6" w14:textId="77777777">
        <w:trPr>
          <w:trHeight w:val="255"/>
        </w:trPr>
        <w:tc>
          <w:tcPr>
            <w:tcW w:w="3407" w:type="dxa"/>
            <w:tcBorders>
              <w:top w:val="nil"/>
              <w:left w:val="nil"/>
              <w:bottom w:val="nil"/>
              <w:right w:val="nil"/>
              <w:tl2br w:val="nil"/>
              <w:tr2bl w:val="nil"/>
            </w:tcBorders>
            <w:tcMar>
              <w:left w:w="60" w:type="dxa"/>
              <w:right w:w="60" w:type="dxa"/>
            </w:tcMar>
            <w:vAlign w:val="center"/>
          </w:tcPr>
          <w:p w14:paraId="35250927"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Sickness insurance (% salary)</w:t>
            </w:r>
          </w:p>
        </w:tc>
        <w:tc>
          <w:tcPr>
            <w:tcW w:w="1271" w:type="dxa"/>
            <w:tcBorders>
              <w:top w:val="nil"/>
              <w:left w:val="nil"/>
              <w:bottom w:val="nil"/>
              <w:right w:val="nil"/>
              <w:tl2br w:val="nil"/>
              <w:tr2bl w:val="nil"/>
            </w:tcBorders>
            <w:tcMar>
              <w:left w:w="60" w:type="dxa"/>
              <w:right w:w="60" w:type="dxa"/>
            </w:tcMar>
            <w:vAlign w:val="center"/>
          </w:tcPr>
          <w:p w14:paraId="68DCFE7F"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1.7%</w:t>
            </w:r>
          </w:p>
        </w:tc>
        <w:tc>
          <w:tcPr>
            <w:tcW w:w="1270" w:type="dxa"/>
            <w:tcBorders>
              <w:top w:val="nil"/>
              <w:left w:val="nil"/>
              <w:bottom w:val="nil"/>
              <w:right w:val="nil"/>
              <w:tl2br w:val="nil"/>
              <w:tr2bl w:val="nil"/>
            </w:tcBorders>
            <w:tcMar>
              <w:left w:w="60" w:type="dxa"/>
              <w:right w:w="60" w:type="dxa"/>
            </w:tcMar>
            <w:vAlign w:val="center"/>
          </w:tcPr>
          <w:p w14:paraId="011C4C7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1.7%</w:t>
            </w:r>
          </w:p>
        </w:tc>
        <w:tc>
          <w:tcPr>
            <w:tcW w:w="1270" w:type="dxa"/>
            <w:tcBorders>
              <w:top w:val="nil"/>
              <w:left w:val="nil"/>
              <w:bottom w:val="nil"/>
              <w:right w:val="nil"/>
              <w:tl2br w:val="nil"/>
              <w:tr2bl w:val="nil"/>
            </w:tcBorders>
            <w:tcMar>
              <w:left w:w="60" w:type="dxa"/>
              <w:right w:w="60" w:type="dxa"/>
            </w:tcMar>
            <w:vAlign w:val="center"/>
          </w:tcPr>
          <w:p w14:paraId="35AE5483"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1.7%</w:t>
            </w:r>
          </w:p>
        </w:tc>
        <w:tc>
          <w:tcPr>
            <w:tcW w:w="1270" w:type="dxa"/>
            <w:tcBorders>
              <w:top w:val="nil"/>
              <w:left w:val="nil"/>
              <w:bottom w:val="nil"/>
              <w:right w:val="nil"/>
              <w:tl2br w:val="nil"/>
              <w:tr2bl w:val="nil"/>
            </w:tcBorders>
            <w:tcMar>
              <w:left w:w="60" w:type="dxa"/>
              <w:right w:w="60" w:type="dxa"/>
            </w:tcMar>
            <w:vAlign w:val="center"/>
          </w:tcPr>
          <w:p w14:paraId="7BECF2EA"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1.7%</w:t>
            </w:r>
          </w:p>
        </w:tc>
        <w:tc>
          <w:tcPr>
            <w:tcW w:w="1270" w:type="dxa"/>
            <w:tcBorders>
              <w:top w:val="nil"/>
              <w:left w:val="nil"/>
              <w:bottom w:val="nil"/>
              <w:right w:val="nil"/>
              <w:tl2br w:val="nil"/>
              <w:tr2bl w:val="nil"/>
            </w:tcBorders>
            <w:tcMar>
              <w:left w:w="60" w:type="dxa"/>
              <w:right w:w="60" w:type="dxa"/>
            </w:tcMar>
            <w:vAlign w:val="center"/>
          </w:tcPr>
          <w:p w14:paraId="4C2FF1B2"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1.7%</w:t>
            </w:r>
          </w:p>
        </w:tc>
      </w:tr>
      <w:tr w:rsidR="00807FFE" w14:paraId="1DDD5110" w14:textId="77777777">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14:paraId="5A532028"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Special levy on salary</w:t>
            </w:r>
          </w:p>
        </w:tc>
        <w:tc>
          <w:tcPr>
            <w:tcW w:w="1271" w:type="dxa"/>
            <w:tcBorders>
              <w:top w:val="nil"/>
              <w:left w:val="nil"/>
              <w:bottom w:val="nil"/>
              <w:right w:val="nil"/>
              <w:tl2br w:val="nil"/>
              <w:tr2bl w:val="nil"/>
            </w:tcBorders>
            <w:shd w:val="solid" w:color="FFFFFF" w:fill="FFFFFF"/>
            <w:tcMar>
              <w:left w:w="60" w:type="dxa"/>
              <w:right w:w="60" w:type="dxa"/>
            </w:tcMar>
            <w:vAlign w:val="center"/>
          </w:tcPr>
          <w:p w14:paraId="420589E7"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7%</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698847EB"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7%</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2C3BFCE1"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7%</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14611CE8"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7%</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6C9EA999"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6-7%</w:t>
            </w:r>
          </w:p>
        </w:tc>
      </w:tr>
      <w:tr w:rsidR="00807FFE" w14:paraId="7407C5DD" w14:textId="77777777">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14:paraId="4E7B9DAA" w14:textId="77777777" w:rsidR="00807FFE" w:rsidRDefault="00023E71">
            <w:pPr>
              <w:pStyle w:val="DMETW36692BIPKMT"/>
              <w:rPr>
                <w:rFonts w:ascii="Verdana" w:eastAsia="Verdana" w:hAnsi="Verdana" w:cs="Verdana"/>
                <w:noProof/>
                <w:color w:val="000000"/>
                <w:sz w:val="16"/>
              </w:rPr>
            </w:pPr>
            <w:r>
              <w:rPr>
                <w:rFonts w:ascii="Verdana" w:eastAsia="Verdana" w:hAnsi="Verdana" w:cs="Verdana"/>
                <w:noProof/>
                <w:color w:val="000000"/>
                <w:sz w:val="16"/>
              </w:rPr>
              <w:t>Pension deduction</w:t>
            </w:r>
          </w:p>
        </w:tc>
        <w:tc>
          <w:tcPr>
            <w:tcW w:w="1271" w:type="dxa"/>
            <w:tcBorders>
              <w:top w:val="nil"/>
              <w:left w:val="nil"/>
              <w:bottom w:val="nil"/>
              <w:right w:val="nil"/>
              <w:tl2br w:val="nil"/>
              <w:tr2bl w:val="nil"/>
            </w:tcBorders>
            <w:shd w:val="solid" w:color="FFFFFF" w:fill="FFFFFF"/>
            <w:tcMar>
              <w:left w:w="60" w:type="dxa"/>
              <w:right w:w="60" w:type="dxa"/>
            </w:tcMar>
            <w:vAlign w:val="center"/>
          </w:tcPr>
          <w:p w14:paraId="775C6E34"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2FFCACDD"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0B806A63"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587E121C" w14:textId="77777777" w:rsidR="00807FFE" w:rsidRDefault="00023E71">
            <w:pPr>
              <w:pStyle w:val="DMETW36692BIPKMT"/>
              <w:jc w:val="right"/>
              <w:rPr>
                <w:rFonts w:ascii="Verdana" w:eastAsia="Verdana" w:hAnsi="Verdana" w:cs="Verdana"/>
                <w:i/>
                <w:noProof/>
                <w:color w:val="000000"/>
                <w:sz w:val="16"/>
              </w:rPr>
            </w:pPr>
            <w:r>
              <w:rPr>
                <w:rFonts w:ascii="Verdana" w:eastAsia="Verdana" w:hAnsi="Verdana" w:cs="Verdana"/>
                <w:i/>
                <w:noProof/>
                <w:color w:val="000000"/>
                <w:sz w:val="16"/>
              </w:rPr>
              <w:t>N/A</w:t>
            </w:r>
          </w:p>
        </w:tc>
        <w:tc>
          <w:tcPr>
            <w:tcW w:w="1270" w:type="dxa"/>
            <w:tcBorders>
              <w:top w:val="nil"/>
              <w:left w:val="nil"/>
              <w:bottom w:val="nil"/>
              <w:right w:val="nil"/>
              <w:tl2br w:val="nil"/>
              <w:tr2bl w:val="nil"/>
            </w:tcBorders>
            <w:shd w:val="solid" w:color="FFFFFF" w:fill="FFFFFF"/>
            <w:tcMar>
              <w:left w:w="60" w:type="dxa"/>
              <w:right w:w="60" w:type="dxa"/>
            </w:tcMar>
            <w:vAlign w:val="center"/>
          </w:tcPr>
          <w:p w14:paraId="77899436" w14:textId="77777777" w:rsidR="00807FFE" w:rsidRDefault="00023E71">
            <w:pPr>
              <w:pStyle w:val="DMETW36692BIPKMT"/>
              <w:jc w:val="right"/>
              <w:rPr>
                <w:rFonts w:ascii="Verdana" w:eastAsia="Verdana" w:hAnsi="Verdana" w:cs="Verdana"/>
                <w:i/>
                <w:noProof/>
                <w:color w:val="000000"/>
                <w:sz w:val="16"/>
                <w:lang w:bidi="en-GB"/>
              </w:rPr>
            </w:pPr>
            <w:r>
              <w:rPr>
                <w:rFonts w:ascii="Verdana" w:eastAsia="Verdana" w:hAnsi="Verdana" w:cs="Verdana"/>
                <w:i/>
                <w:noProof/>
                <w:color w:val="000000"/>
                <w:sz w:val="16"/>
              </w:rPr>
              <w:t>13.10%</w:t>
            </w:r>
          </w:p>
        </w:tc>
      </w:tr>
      <w:tr w:rsidR="00807FFE" w14:paraId="2C09DC74" w14:textId="77777777">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14:paraId="693E9F00" w14:textId="77777777" w:rsidR="00807FFE" w:rsidRDefault="00023E71">
            <w:pPr>
              <w:pStyle w:val="DMETW36692BIPKMT"/>
              <w:rPr>
                <w:rFonts w:ascii="Verdana" w:eastAsia="Verdana" w:hAnsi="Verdana" w:cs="Verdana"/>
                <w:b/>
                <w:noProof/>
                <w:color w:val="000000"/>
                <w:sz w:val="16"/>
              </w:rPr>
            </w:pPr>
            <w:r>
              <w:rPr>
                <w:rFonts w:ascii="Verdana" w:eastAsia="Verdana" w:hAnsi="Verdana" w:cs="Verdana"/>
                <w:b/>
                <w:noProof/>
                <w:color w:val="000000"/>
                <w:sz w:val="16"/>
              </w:rPr>
              <w:t>Number of persons at year-end</w:t>
            </w:r>
          </w:p>
        </w:tc>
        <w:tc>
          <w:tcPr>
            <w:tcW w:w="1271" w:type="dxa"/>
            <w:tcBorders>
              <w:top w:val="nil"/>
              <w:left w:val="nil"/>
              <w:bottom w:val="nil"/>
              <w:right w:val="nil"/>
              <w:tl2br w:val="nil"/>
              <w:tr2bl w:val="nil"/>
            </w:tcBorders>
            <w:shd w:val="solid" w:color="CCE1EA" w:fill="FFFFFF"/>
            <w:tcMar>
              <w:left w:w="60" w:type="dxa"/>
              <w:right w:w="60" w:type="dxa"/>
            </w:tcMar>
            <w:vAlign w:val="center"/>
          </w:tcPr>
          <w:p w14:paraId="2266BC9C" w14:textId="77777777" w:rsidR="00807FFE" w:rsidRDefault="00023E71">
            <w:pPr>
              <w:pStyle w:val="DMETW36692BIPKMT"/>
              <w:jc w:val="right"/>
              <w:rPr>
                <w:rFonts w:ascii="Verdana" w:eastAsia="Verdana" w:hAnsi="Verdana" w:cs="Verdana"/>
                <w:b/>
                <w:i/>
                <w:noProof/>
                <w:color w:val="000000"/>
                <w:sz w:val="16"/>
              </w:rPr>
            </w:pPr>
            <w:r>
              <w:rPr>
                <w:rFonts w:ascii="Verdana" w:eastAsia="Verdana" w:hAnsi="Verdana" w:cs="Verdana"/>
                <w:b/>
                <w:i/>
                <w:noProof/>
                <w:color w:val="000000"/>
                <w:sz w:val="16"/>
              </w:rPr>
              <w:t>3</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5A5E7EF1" w14:textId="77777777" w:rsidR="00807FFE" w:rsidRDefault="00023E71">
            <w:pPr>
              <w:pStyle w:val="DMETW36692BIPKMT"/>
              <w:jc w:val="right"/>
              <w:rPr>
                <w:rFonts w:ascii="Verdana" w:eastAsia="Verdana" w:hAnsi="Verdana" w:cs="Verdana"/>
                <w:b/>
                <w:i/>
                <w:noProof/>
                <w:color w:val="000000"/>
                <w:sz w:val="16"/>
              </w:rPr>
            </w:pPr>
            <w:r>
              <w:rPr>
                <w:rFonts w:ascii="Verdana" w:eastAsia="Verdana" w:hAnsi="Verdana" w:cs="Verdana"/>
                <w:b/>
                <w:i/>
                <w:noProof/>
                <w:color w:val="000000"/>
                <w:sz w:val="16"/>
              </w:rPr>
              <w:t>8</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7638CE52" w14:textId="77777777" w:rsidR="00807FFE" w:rsidRDefault="00023E71">
            <w:pPr>
              <w:pStyle w:val="DMETW36692BIPKMT"/>
              <w:jc w:val="right"/>
              <w:rPr>
                <w:rFonts w:ascii="Verdana" w:eastAsia="Verdana" w:hAnsi="Verdana" w:cs="Verdana"/>
                <w:b/>
                <w:i/>
                <w:noProof/>
                <w:color w:val="000000"/>
                <w:sz w:val="16"/>
              </w:rPr>
            </w:pPr>
            <w:r>
              <w:rPr>
                <w:rFonts w:ascii="Verdana" w:eastAsia="Verdana" w:hAnsi="Verdana" w:cs="Verdana"/>
                <w:b/>
                <w:i/>
                <w:noProof/>
                <w:color w:val="000000"/>
                <w:sz w:val="16"/>
              </w:rPr>
              <w:t>93</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7C5019C5" w14:textId="77777777" w:rsidR="00807FFE" w:rsidRDefault="00023E71">
            <w:pPr>
              <w:pStyle w:val="DMETW36692BIPKMT"/>
              <w:jc w:val="right"/>
              <w:rPr>
                <w:rFonts w:ascii="Verdana" w:eastAsia="Verdana" w:hAnsi="Verdana" w:cs="Verdana"/>
                <w:b/>
                <w:i/>
                <w:noProof/>
                <w:color w:val="000000"/>
                <w:sz w:val="16"/>
              </w:rPr>
            </w:pPr>
            <w:r>
              <w:rPr>
                <w:rFonts w:ascii="Verdana" w:eastAsia="Verdana" w:hAnsi="Verdana" w:cs="Verdana"/>
                <w:b/>
                <w:i/>
                <w:noProof/>
                <w:color w:val="000000"/>
                <w:sz w:val="16"/>
              </w:rPr>
              <w:t>27</w:t>
            </w:r>
          </w:p>
        </w:tc>
        <w:tc>
          <w:tcPr>
            <w:tcW w:w="1270" w:type="dxa"/>
            <w:tcBorders>
              <w:top w:val="nil"/>
              <w:left w:val="nil"/>
              <w:bottom w:val="nil"/>
              <w:right w:val="nil"/>
              <w:tl2br w:val="nil"/>
              <w:tr2bl w:val="nil"/>
            </w:tcBorders>
            <w:shd w:val="solid" w:color="CCE1EA" w:fill="FFFFFF"/>
            <w:tcMar>
              <w:left w:w="60" w:type="dxa"/>
              <w:right w:w="60" w:type="dxa"/>
            </w:tcMar>
            <w:vAlign w:val="center"/>
          </w:tcPr>
          <w:p w14:paraId="27F98FAE" w14:textId="77777777" w:rsidR="00807FFE" w:rsidRDefault="00023E71">
            <w:pPr>
              <w:pStyle w:val="DMETW36692BIPKMT"/>
              <w:jc w:val="right"/>
              <w:rPr>
                <w:rFonts w:ascii="Verdana" w:eastAsia="Verdana" w:hAnsi="Verdana" w:cs="Verdana"/>
                <w:b/>
                <w:i/>
                <w:noProof/>
                <w:color w:val="000000"/>
                <w:sz w:val="16"/>
                <w:lang w:bidi="en-GB"/>
              </w:rPr>
            </w:pPr>
            <w:r>
              <w:rPr>
                <w:rFonts w:ascii="Verdana" w:eastAsia="Verdana" w:hAnsi="Verdana" w:cs="Verdana"/>
                <w:b/>
                <w:i/>
                <w:noProof/>
                <w:color w:val="000000"/>
                <w:sz w:val="16"/>
              </w:rPr>
              <w:t>116</w:t>
            </w:r>
          </w:p>
        </w:tc>
      </w:tr>
      <w:tr w:rsidR="00807FFE" w14:paraId="717E3554" w14:textId="77777777">
        <w:trPr>
          <w:trHeight w:val="255"/>
        </w:trPr>
        <w:tc>
          <w:tcPr>
            <w:tcW w:w="3407" w:type="dxa"/>
            <w:gridSpan w:val="6"/>
            <w:tcBorders>
              <w:top w:val="nil"/>
              <w:left w:val="nil"/>
              <w:bottom w:val="nil"/>
              <w:right w:val="nil"/>
              <w:tl2br w:val="nil"/>
              <w:tr2bl w:val="nil"/>
            </w:tcBorders>
            <w:shd w:val="solid" w:color="FFFFFF" w:fill="FFFFFF"/>
            <w:tcMar>
              <w:left w:w="60" w:type="dxa"/>
              <w:right w:w="60" w:type="dxa"/>
            </w:tcMar>
            <w:vAlign w:val="center"/>
          </w:tcPr>
          <w:p w14:paraId="115B2A9B" w14:textId="77777777" w:rsidR="00807FFE" w:rsidRDefault="00023E71">
            <w:pPr>
              <w:pStyle w:val="DMETW36692BIPKMT"/>
              <w:rPr>
                <w:rFonts w:ascii="Verdana" w:eastAsia="Verdana" w:hAnsi="Verdana" w:cs="Verdana"/>
                <w:i/>
                <w:noProof/>
                <w:color w:val="000000"/>
                <w:sz w:val="16"/>
                <w:lang w:bidi="en-GB"/>
              </w:rPr>
            </w:pPr>
            <w:r>
              <w:rPr>
                <w:rFonts w:ascii="Verdana" w:eastAsia="Verdana" w:hAnsi="Verdana" w:cs="Verdana"/>
                <w:i/>
                <w:noProof/>
                <w:color w:val="000000"/>
                <w:sz w:val="16"/>
              </w:rPr>
              <w:t>* with correction coefficient (“cc”) applied</w:t>
            </w:r>
          </w:p>
        </w:tc>
      </w:tr>
      <w:tr w:rsidR="00807FFE" w14:paraId="0F81129A" w14:textId="77777777">
        <w:trPr>
          <w:trHeight w:val="255"/>
        </w:trPr>
        <w:tc>
          <w:tcPr>
            <w:tcW w:w="3407" w:type="dxa"/>
            <w:gridSpan w:val="6"/>
            <w:tcBorders>
              <w:top w:val="nil"/>
              <w:left w:val="nil"/>
              <w:bottom w:val="nil"/>
              <w:right w:val="nil"/>
              <w:tl2br w:val="nil"/>
              <w:tr2bl w:val="nil"/>
            </w:tcBorders>
            <w:shd w:val="solid" w:color="FFFFFF" w:fill="FFFFFF"/>
            <w:tcMar>
              <w:left w:w="60" w:type="dxa"/>
              <w:right w:w="60" w:type="dxa"/>
            </w:tcMar>
            <w:vAlign w:val="center"/>
          </w:tcPr>
          <w:p w14:paraId="11D0BA20" w14:textId="77777777" w:rsidR="00807FFE" w:rsidRDefault="00023E71">
            <w:pPr>
              <w:pStyle w:val="DMETW36692BIPKMT"/>
              <w:rPr>
                <w:rFonts w:ascii="Verdana" w:eastAsia="Verdana" w:hAnsi="Verdana" w:cs="Verdana"/>
                <w:i/>
                <w:noProof/>
                <w:color w:val="000000"/>
                <w:sz w:val="16"/>
              </w:rPr>
            </w:pPr>
            <w:r>
              <w:rPr>
                <w:rFonts w:ascii="Verdana" w:eastAsia="Verdana" w:hAnsi="Verdana" w:cs="Verdana"/>
                <w:i/>
                <w:noProof/>
                <w:color w:val="000000"/>
                <w:sz w:val="16"/>
              </w:rPr>
              <w:t>** paid for the first 3 years following departure</w:t>
            </w:r>
          </w:p>
        </w:tc>
      </w:tr>
      <w:bookmarkEnd w:id="243"/>
    </w:tbl>
    <w:p w14:paraId="65B36187" w14:textId="77777777" w:rsidR="005E7229" w:rsidRPr="00E91563" w:rsidRDefault="005E7229" w:rsidP="00524A59">
      <w:pPr>
        <w:pStyle w:val="DGTextstand-alone"/>
        <w:sectPr w:rsidR="005E7229" w:rsidRPr="00E91563">
          <w:headerReference w:type="default" r:id="rId139"/>
          <w:footerReference w:type="default" r:id="rId140"/>
          <w:pgSz w:w="11906" w:h="16838"/>
          <w:pgMar w:top="1134" w:right="1134" w:bottom="1134" w:left="1134" w:header="709" w:footer="709" w:gutter="0"/>
          <w:cols w:space="708"/>
          <w:docGrid w:linePitch="360"/>
        </w:sectPr>
      </w:pPr>
    </w:p>
    <w:p w14:paraId="2DB1721A" w14:textId="77777777" w:rsidR="00156ED6" w:rsidRDefault="00023E71" w:rsidP="00172034">
      <w:pPr>
        <w:pStyle w:val="HEADER1NOTES"/>
        <w:numPr>
          <w:ilvl w:val="0"/>
          <w:numId w:val="15"/>
        </w:numPr>
        <w:rPr>
          <w:rFonts w:eastAsia="Calibri"/>
          <w:noProof/>
        </w:rPr>
      </w:pPr>
      <w:bookmarkStart w:id="245" w:name="_Toc232438945"/>
      <w:bookmarkStart w:id="246" w:name="_DMBM_36724"/>
      <w:r w:rsidRPr="00D23F28">
        <w:rPr>
          <w:rFonts w:eastAsia="Calibri"/>
          <w:noProof/>
        </w:rPr>
        <w:t>EVENTS AFTER THE BALANCE SHEET DATE</w:t>
      </w:r>
      <w:bookmarkEnd w:id="245"/>
    </w:p>
    <w:p w14:paraId="0B73252B" w14:textId="77777777" w:rsidR="006B42B2" w:rsidRDefault="00023E71" w:rsidP="000D0222">
      <w:pPr>
        <w:pStyle w:val="DGTextstand-alone"/>
      </w:pPr>
      <w:r w:rsidRPr="0015731D">
        <w:t xml:space="preserve">At the date of </w:t>
      </w:r>
      <w:r>
        <w:t xml:space="preserve">signature of </w:t>
      </w:r>
      <w:r w:rsidRPr="0015731D">
        <w:t>these</w:t>
      </w:r>
      <w:r>
        <w:t xml:space="preserve"> </w:t>
      </w:r>
      <w:r w:rsidRPr="0015731D">
        <w:t>accounts</w:t>
      </w:r>
      <w:r>
        <w:t xml:space="preserve"> </w:t>
      </w:r>
      <w:r w:rsidRPr="0015731D">
        <w:t>no material issues had come to the attention of</w:t>
      </w:r>
      <w:r>
        <w:t>,</w:t>
      </w:r>
      <w:r w:rsidRPr="0015731D">
        <w:t xml:space="preserve"> or were reported to</w:t>
      </w:r>
      <w:r>
        <w:t>,</w:t>
      </w:r>
      <w:r w:rsidRPr="0015731D">
        <w:t xml:space="preserve"> the Accounting Officer of the Commission that would require separate disclosure under this section</w:t>
      </w:r>
      <w:r>
        <w:t xml:space="preserve">. </w:t>
      </w:r>
      <w:r w:rsidRPr="0015731D">
        <w:t>The accounts and related notes were prepared using the most recently available information and this is reflected in the information presented</w:t>
      </w:r>
      <w:r>
        <w:t>.</w:t>
      </w:r>
    </w:p>
    <w:bookmarkEnd w:id="246"/>
    <w:p w14:paraId="5B658E4E" w14:textId="77777777" w:rsidR="004753FC" w:rsidRDefault="004753FC" w:rsidP="000D0222">
      <w:pPr>
        <w:pStyle w:val="DGTextstand-alone"/>
        <w:sectPr w:rsidR="004753FC">
          <w:headerReference w:type="default" r:id="rId141"/>
          <w:footerReference w:type="default" r:id="rId142"/>
          <w:pgSz w:w="11906" w:h="16838"/>
          <w:pgMar w:top="1134" w:right="1134" w:bottom="1134" w:left="1134" w:header="709" w:footer="709" w:gutter="0"/>
          <w:cols w:space="708"/>
          <w:docGrid w:linePitch="360"/>
        </w:sectPr>
      </w:pPr>
    </w:p>
    <w:p w14:paraId="62111C34" w14:textId="77777777" w:rsidR="00943917" w:rsidRDefault="00023E71" w:rsidP="00172034">
      <w:pPr>
        <w:pStyle w:val="HEADER1NOTES"/>
        <w:numPr>
          <w:ilvl w:val="0"/>
          <w:numId w:val="15"/>
        </w:numPr>
        <w:rPr>
          <w:noProof/>
        </w:rPr>
      </w:pPr>
      <w:bookmarkStart w:id="247" w:name="_Toc232438946"/>
      <w:bookmarkStart w:id="248" w:name="_DMBM_36674"/>
      <w:r w:rsidRPr="007C72A1">
        <w:rPr>
          <w:noProof/>
        </w:rPr>
        <w:t>SCOPE OF CONSOLIDATION</w:t>
      </w:r>
      <w:bookmarkEnd w:id="247"/>
    </w:p>
    <w:tbl>
      <w:tblPr>
        <w:tblW w:w="5303" w:type="pct"/>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962"/>
      </w:tblGrid>
      <w:tr w:rsidR="00807FFE" w14:paraId="08071D01" w14:textId="77777777">
        <w:trPr>
          <w:trHeight w:val="255"/>
        </w:trPr>
        <w:tc>
          <w:tcPr>
            <w:tcW w:w="5387" w:type="dxa"/>
            <w:gridSpan w:val="2"/>
            <w:tcBorders>
              <w:top w:val="nil"/>
              <w:left w:val="nil"/>
              <w:bottom w:val="nil"/>
              <w:right w:val="nil"/>
              <w:tl2br w:val="nil"/>
              <w:tr2bl w:val="nil"/>
            </w:tcBorders>
            <w:shd w:val="solid" w:color="016794" w:fill="FFFFFF"/>
            <w:tcMar>
              <w:left w:w="60" w:type="dxa"/>
              <w:right w:w="60" w:type="dxa"/>
            </w:tcMar>
            <w:vAlign w:val="center"/>
          </w:tcPr>
          <w:p w14:paraId="4573D6E0" w14:textId="77777777" w:rsidR="00807FFE" w:rsidRDefault="00023E71">
            <w:pPr>
              <w:pStyle w:val="DMETW36740BIPCE"/>
              <w:rPr>
                <w:rFonts w:ascii="Verdana" w:eastAsia="Verdana" w:hAnsi="Verdana" w:cs="Verdana"/>
                <w:b/>
                <w:noProof/>
                <w:color w:val="FFFFFF"/>
                <w:lang w:bidi="en-GB"/>
              </w:rPr>
            </w:pPr>
            <w:bookmarkStart w:id="249" w:name="DOC_TBL00107_1_1"/>
            <w:bookmarkEnd w:id="249"/>
            <w:r>
              <w:rPr>
                <w:rFonts w:ascii="Verdana" w:eastAsia="Verdana" w:hAnsi="Verdana" w:cs="Verdana"/>
                <w:b/>
                <w:noProof/>
                <w:color w:val="FFFFFF"/>
                <w:lang w:bidi="en-GB"/>
              </w:rPr>
              <w:t>A. CONTROLLED ENTITIES (54)</w:t>
            </w:r>
          </w:p>
        </w:tc>
      </w:tr>
      <w:tr w:rsidR="00807FFE" w14:paraId="091517E2" w14:textId="77777777">
        <w:trPr>
          <w:trHeight w:val="255"/>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14:paraId="13F069BC" w14:textId="77777777" w:rsidR="00807FFE" w:rsidRDefault="00023E71">
            <w:pPr>
              <w:pStyle w:val="DMETW36740BIPCE"/>
              <w:rPr>
                <w:rFonts w:ascii="Verdana" w:eastAsia="Verdana" w:hAnsi="Verdana" w:cs="Verdana"/>
                <w:b/>
                <w:noProof/>
                <w:color w:val="000000"/>
                <w:sz w:val="18"/>
                <w:lang w:bidi="en-GB"/>
              </w:rPr>
            </w:pPr>
            <w:r>
              <w:rPr>
                <w:rFonts w:ascii="Verdana" w:eastAsia="Verdana" w:hAnsi="Verdana" w:cs="Verdana"/>
                <w:b/>
                <w:noProof/>
                <w:color w:val="000000"/>
                <w:sz w:val="18"/>
              </w:rPr>
              <w:t>1. Institutions and consultative bodies (11)</w:t>
            </w:r>
          </w:p>
        </w:tc>
      </w:tr>
      <w:tr w:rsidR="00807FFE" w14:paraId="6F86E72C"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0941F0A1"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Council of the European Union</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41B8F474"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Data Protection Supervisor</w:t>
            </w:r>
          </w:p>
        </w:tc>
      </w:tr>
      <w:tr w:rsidR="00807FFE" w14:paraId="7F5086B5"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255F6571"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Court of Justice of the European Union</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57C36D9A"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Economic and Social Committee</w:t>
            </w:r>
          </w:p>
        </w:tc>
      </w:tr>
      <w:tr w:rsidR="00807FFE" w14:paraId="3C6E7532"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4F4CBED2"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Commission</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4E415BE0"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External Action Service</w:t>
            </w:r>
          </w:p>
        </w:tc>
      </w:tr>
      <w:tr w:rsidR="00807FFE" w14:paraId="462C993D"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7492CA50"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Committee of the Regions</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3E686662"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Ombudsman</w:t>
            </w:r>
          </w:p>
        </w:tc>
      </w:tr>
      <w:tr w:rsidR="00807FFE" w14:paraId="78A6FDAC"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37FF989F"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Council</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638ECEF8"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Parliament</w:t>
            </w:r>
          </w:p>
        </w:tc>
      </w:tr>
      <w:tr w:rsidR="00807FFE" w14:paraId="04E385DD"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395E99CF"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Court of Auditors</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7D3F6A72" w14:textId="77777777" w:rsidR="00807FFE" w:rsidRDefault="00807FFE">
            <w:pPr>
              <w:pStyle w:val="DMETW36740BIPCE"/>
              <w:rPr>
                <w:rFonts w:ascii="Verdana" w:eastAsia="Verdana" w:hAnsi="Verdana" w:cs="Verdana"/>
                <w:i/>
                <w:noProof/>
                <w:color w:val="000000"/>
                <w:sz w:val="18"/>
                <w:lang w:bidi="en-GB"/>
              </w:rPr>
            </w:pPr>
          </w:p>
        </w:tc>
      </w:tr>
      <w:tr w:rsidR="00807FFE" w14:paraId="6B333569" w14:textId="77777777">
        <w:trPr>
          <w:trHeight w:val="16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279318DF" w14:textId="77777777" w:rsidR="00807FFE" w:rsidRDefault="00807FFE">
            <w:pPr>
              <w:pStyle w:val="DMETW36740BIPCE"/>
              <w:rPr>
                <w:rFonts w:ascii="Verdana" w:eastAsia="Verdana" w:hAnsi="Verdana" w:cs="Verdana"/>
                <w:noProof/>
                <w:color w:val="000000"/>
                <w:sz w:val="18"/>
              </w:rPr>
            </w:pP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512DF595" w14:textId="77777777" w:rsidR="00807FFE" w:rsidRDefault="00807FFE">
            <w:pPr>
              <w:pStyle w:val="DMETW36740BIPCE"/>
              <w:rPr>
                <w:rFonts w:ascii="Verdana" w:eastAsia="Verdana" w:hAnsi="Verdana" w:cs="Verdana"/>
                <w:noProof/>
                <w:color w:val="000000"/>
                <w:sz w:val="18"/>
                <w:lang w:bidi="en-GB"/>
              </w:rPr>
            </w:pPr>
          </w:p>
        </w:tc>
      </w:tr>
      <w:tr w:rsidR="00807FFE" w14:paraId="39611831" w14:textId="77777777">
        <w:trPr>
          <w:trHeight w:val="255"/>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14:paraId="2694E6A5" w14:textId="77777777" w:rsidR="00807FFE" w:rsidRDefault="00023E71">
            <w:pPr>
              <w:pStyle w:val="DMETW36740BIPCE"/>
              <w:rPr>
                <w:rFonts w:ascii="Verdana" w:eastAsia="Verdana" w:hAnsi="Verdana" w:cs="Verdana"/>
                <w:b/>
                <w:noProof/>
                <w:color w:val="000000"/>
                <w:sz w:val="18"/>
                <w:lang w:bidi="en-GB"/>
              </w:rPr>
            </w:pPr>
            <w:r>
              <w:rPr>
                <w:rFonts w:ascii="Verdana" w:eastAsia="Verdana" w:hAnsi="Verdana" w:cs="Verdana"/>
                <w:b/>
                <w:noProof/>
                <w:color w:val="000000"/>
                <w:sz w:val="18"/>
              </w:rPr>
              <w:t>2. EU Agencies AND Other Bodies (41)</w:t>
            </w:r>
          </w:p>
        </w:tc>
      </w:tr>
      <w:tr w:rsidR="00807FFE" w14:paraId="69270A8D" w14:textId="77777777">
        <w:trPr>
          <w:trHeight w:val="255"/>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5CE9D7E1" w14:textId="77777777" w:rsidR="00807FFE" w:rsidRDefault="00023E71">
            <w:pPr>
              <w:pStyle w:val="DMETW36740BIPCE"/>
              <w:rPr>
                <w:rFonts w:ascii="Verdana" w:eastAsia="Verdana" w:hAnsi="Verdana" w:cs="Verdana"/>
                <w:b/>
                <w:i/>
                <w:noProof/>
                <w:color w:val="000000"/>
                <w:sz w:val="18"/>
              </w:rPr>
            </w:pPr>
            <w:r>
              <w:rPr>
                <w:rFonts w:ascii="Verdana" w:eastAsia="Verdana" w:hAnsi="Verdana" w:cs="Verdana"/>
                <w:b/>
                <w:i/>
                <w:noProof/>
                <w:color w:val="000000"/>
                <w:sz w:val="18"/>
              </w:rPr>
              <w:t>2.1. Executive Agencies (6)</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120BC8E7" w14:textId="77777777" w:rsidR="00807FFE" w:rsidRDefault="00807FFE">
            <w:pPr>
              <w:pStyle w:val="DMETW36740BIPCE"/>
              <w:rPr>
                <w:rFonts w:ascii="Verdana" w:eastAsia="Verdana" w:hAnsi="Verdana" w:cs="Verdana"/>
                <w:noProof/>
                <w:color w:val="000000"/>
                <w:sz w:val="18"/>
                <w:lang w:bidi="en-GB"/>
              </w:rPr>
            </w:pPr>
          </w:p>
        </w:tc>
      </w:tr>
      <w:tr w:rsidR="00807FFE" w14:paraId="1449C102"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19CCABC0"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 xml:space="preserve">European Climate, Infrastructure and Environment Executive Agency (CINEA) </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5BE5A723"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Innovation Council and SMEs Executive Agency (EISMEA)</w:t>
            </w:r>
          </w:p>
        </w:tc>
      </w:tr>
      <w:tr w:rsidR="00807FFE" w14:paraId="424C568E"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6C7E34A7"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Education and Culture Executive Agency (EACEA)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40B6DD15"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Research Council Executive Agency (ERCEA)</w:t>
            </w:r>
          </w:p>
        </w:tc>
      </w:tr>
      <w:tr w:rsidR="00807FFE" w14:paraId="013B4C11"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05A15CF5"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 xml:space="preserve">European Health and Digital Executive Agency (HaDEA) </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1A77CE8A"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Research Executive Agency (REA)</w:t>
            </w:r>
          </w:p>
        </w:tc>
      </w:tr>
      <w:tr w:rsidR="00807FFE" w14:paraId="49BCC477" w14:textId="77777777">
        <w:trPr>
          <w:trHeight w:val="249"/>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5AE1EA09" w14:textId="77777777" w:rsidR="00807FFE" w:rsidRDefault="00807FFE">
            <w:pPr>
              <w:pStyle w:val="DMETW36740BIPCE"/>
              <w:rPr>
                <w:rFonts w:ascii="Verdana" w:eastAsia="Verdana" w:hAnsi="Verdana" w:cs="Verdana"/>
                <w:noProof/>
                <w:color w:val="000000"/>
                <w:sz w:val="18"/>
              </w:rPr>
            </w:pP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27DC4E83" w14:textId="77777777" w:rsidR="00807FFE" w:rsidRDefault="00807FFE">
            <w:pPr>
              <w:pStyle w:val="DMETW36740BIPCE"/>
              <w:rPr>
                <w:rFonts w:ascii="Verdana" w:eastAsia="Verdana" w:hAnsi="Verdana" w:cs="Verdana"/>
                <w:i/>
                <w:noProof/>
                <w:color w:val="000000"/>
                <w:sz w:val="18"/>
                <w:lang w:bidi="en-GB"/>
              </w:rPr>
            </w:pPr>
          </w:p>
        </w:tc>
      </w:tr>
      <w:tr w:rsidR="00807FFE" w14:paraId="55930FAB" w14:textId="77777777">
        <w:trPr>
          <w:trHeight w:val="255"/>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69C9F101" w14:textId="77777777" w:rsidR="00807FFE" w:rsidRDefault="00023E71">
            <w:pPr>
              <w:pStyle w:val="DMETW36740BIPCE"/>
              <w:rPr>
                <w:rFonts w:ascii="Verdana" w:eastAsia="Verdana" w:hAnsi="Verdana" w:cs="Verdana"/>
                <w:b/>
                <w:i/>
                <w:noProof/>
                <w:color w:val="000000"/>
                <w:sz w:val="18"/>
              </w:rPr>
            </w:pPr>
            <w:r>
              <w:rPr>
                <w:rFonts w:ascii="Verdana" w:eastAsia="Verdana" w:hAnsi="Verdana" w:cs="Verdana"/>
                <w:b/>
                <w:i/>
                <w:noProof/>
                <w:color w:val="000000"/>
                <w:sz w:val="18"/>
              </w:rPr>
              <w:t>2.2. Decentralised Agencies and Other Bodies (35)</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032FA329" w14:textId="77777777" w:rsidR="00807FFE" w:rsidRDefault="00807FFE">
            <w:pPr>
              <w:pStyle w:val="DMETW36740BIPCE"/>
              <w:rPr>
                <w:rFonts w:ascii="Verdana" w:eastAsia="Verdana" w:hAnsi="Verdana" w:cs="Verdana"/>
                <w:i/>
                <w:noProof/>
                <w:color w:val="000000"/>
                <w:sz w:val="18"/>
                <w:lang w:bidi="en-GB"/>
              </w:rPr>
            </w:pPr>
          </w:p>
        </w:tc>
      </w:tr>
      <w:tr w:rsidR="00807FFE" w14:paraId="15FF7991"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05CD00AC"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Agency for Support for the Body of European Regulators for Electronic Communications (BEREC Office)</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249F8008"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 xml:space="preserve">European Public Prosecutor's Office (EPPO) </w:t>
            </w:r>
          </w:p>
        </w:tc>
      </w:tr>
      <w:tr w:rsidR="00807FFE" w14:paraId="133CFF6D"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04E76E2B"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Community Plant Variety Office (CPVO)</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3D7A2DD4"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Securities and Markets Authority (ESMA)</w:t>
            </w:r>
          </w:p>
        </w:tc>
      </w:tr>
      <w:tr w:rsidR="00807FFE" w14:paraId="329DCF5C"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261FB12C"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Agency for Safety and Health at Work (EU-OSHA)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28DC9DC8"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Training Foundation (ETF)</w:t>
            </w:r>
          </w:p>
        </w:tc>
      </w:tr>
      <w:tr w:rsidR="00807FFE" w14:paraId="6E1FFC4E"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6B28BDC2"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Banking Authority (EBA)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1504A44E"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Asylum (EUAA)</w:t>
            </w:r>
          </w:p>
        </w:tc>
      </w:tr>
      <w:tr w:rsidR="00807FFE" w14:paraId="3CC01E92"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5C1F3079"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Border and Coast Guard Agency (FRONTEX)</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339380C7"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Criminal Justice Cooperation (Eurojust)</w:t>
            </w:r>
          </w:p>
        </w:tc>
      </w:tr>
      <w:tr w:rsidR="00807FFE" w14:paraId="4B79F390"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31619D6F"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Centre for Disease Prevention and Control (ECDC)</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08E16F5D"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Cybersecurity (ENISA)</w:t>
            </w:r>
          </w:p>
        </w:tc>
      </w:tr>
      <w:tr w:rsidR="00807FFE" w14:paraId="3E711B9C"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2081BEAB"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Centre for the Development of Vocational Training (CEDEFOP)</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2C7C7A6B"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Fundamental Rights (FRA)</w:t>
            </w:r>
          </w:p>
        </w:tc>
      </w:tr>
      <w:tr w:rsidR="00807FFE" w14:paraId="28B67F3B"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143D071E"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Chemicals Agency (ECHA)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0446BC67"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Law Enforcement Cooperation (EUROPOL)</w:t>
            </w:r>
          </w:p>
        </w:tc>
      </w:tr>
      <w:tr w:rsidR="00807FFE" w14:paraId="1A1B9A5A"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7C3BBCAB"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Environment Agency (EEA)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1AC1DBD7"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Law Enforcement Training (CEPOL)</w:t>
            </w:r>
          </w:p>
        </w:tc>
      </w:tr>
      <w:tr w:rsidR="00807FFE" w14:paraId="4BAEDE7C"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2FFD40F8"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Fisheries Control Agency (EFCA)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21B22E81"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Railways (ERA)</w:t>
            </w:r>
          </w:p>
        </w:tc>
      </w:tr>
      <w:tr w:rsidR="00807FFE" w14:paraId="51E25249"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0E9A09CD"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Food Safety Authority (EFSA)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4676AD47"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the Cooperation of Energy Regulators (ACER)</w:t>
            </w:r>
          </w:p>
        </w:tc>
      </w:tr>
      <w:tr w:rsidR="00807FFE" w14:paraId="03835115"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727B9E06"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Foundation for the Improvement of Living and Working Conditions (Eurofound)</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0B6A2E6A"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the Operational Management of Large-Scale IT Systems in the Area of Freedom, Security and Justice (eu-LISA)</w:t>
            </w:r>
          </w:p>
        </w:tc>
      </w:tr>
      <w:tr w:rsidR="00807FFE" w14:paraId="4C13E54F"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5FCA4B6C"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Institute for Gender Equality (EIGE)</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6EBC624C"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Agency for the Space Programme (EUSPA)</w:t>
            </w:r>
          </w:p>
        </w:tc>
      </w:tr>
      <w:tr w:rsidR="00807FFE" w14:paraId="2CD13E5C"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3250F086"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Insurance and Occupational Pensions Authority (EIOPA)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662822F0"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Aviation Safety Agency (EASA)</w:t>
            </w:r>
          </w:p>
        </w:tc>
      </w:tr>
      <w:tr w:rsidR="00807FFE" w14:paraId="3D8E5F20"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72521BD9"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Joint Undertaking for ITER and the Development of Fusion Energy (Fusion for Energy)</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53033829"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Drugs Agency (EUDA)</w:t>
            </w:r>
          </w:p>
        </w:tc>
      </w:tr>
      <w:tr w:rsidR="00807FFE" w14:paraId="7C0EE3FA"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19E42D7D"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 xml:space="preserve">European Labour Authority (ELA) </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61B1C63C"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Union Intellectual Property Office (EUIPO)</w:t>
            </w:r>
          </w:p>
        </w:tc>
      </w:tr>
      <w:tr w:rsidR="00807FFE" w14:paraId="0DF531C7"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624CFB82"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Maritime Safety Agency (EMSA)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3E5996A6"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Translation Centre for the Bodies of the European Union (CdT)</w:t>
            </w:r>
          </w:p>
        </w:tc>
      </w:tr>
      <w:tr w:rsidR="00807FFE" w14:paraId="19FC9B17"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1283601C"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Medicines Agency (EMA)</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550ACA38" w14:textId="77777777" w:rsidR="00807FFE" w:rsidRDefault="00807FFE">
            <w:pPr>
              <w:pStyle w:val="DMETW36740BIPCE"/>
              <w:rPr>
                <w:rFonts w:ascii="Verdana" w:eastAsia="Verdana" w:hAnsi="Verdana" w:cs="Verdana"/>
                <w:i/>
                <w:noProof/>
                <w:color w:val="000000"/>
                <w:sz w:val="18"/>
                <w:lang w:bidi="en-GB"/>
              </w:rPr>
            </w:pPr>
          </w:p>
        </w:tc>
      </w:tr>
      <w:tr w:rsidR="00807FFE" w14:paraId="62CDE436" w14:textId="77777777">
        <w:trPr>
          <w:trHeight w:val="249"/>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14:paraId="0AD6858B" w14:textId="77777777" w:rsidR="00807FFE" w:rsidRDefault="00023E71">
            <w:pPr>
              <w:pStyle w:val="DMETW36740BIPCE"/>
              <w:rPr>
                <w:rFonts w:ascii="Verdana" w:eastAsia="Verdana" w:hAnsi="Verdana" w:cs="Verdana"/>
                <w:b/>
                <w:noProof/>
                <w:color w:val="000000"/>
                <w:sz w:val="18"/>
                <w:lang w:bidi="en-GB"/>
              </w:rPr>
            </w:pPr>
            <w:r>
              <w:rPr>
                <w:rFonts w:ascii="Verdana" w:eastAsia="Verdana" w:hAnsi="Verdana" w:cs="Verdana"/>
                <w:b/>
                <w:noProof/>
                <w:color w:val="000000"/>
                <w:sz w:val="18"/>
              </w:rPr>
              <w:t>3. Other controlled entities (2)</w:t>
            </w:r>
          </w:p>
        </w:tc>
      </w:tr>
      <w:tr w:rsidR="00807FFE" w14:paraId="05A6FEE2"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14:paraId="0FB8C6BC"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Coal and Steel Community in Liquidation (ECSC i.L.)</w:t>
            </w:r>
          </w:p>
        </w:tc>
        <w:tc>
          <w:tcPr>
            <w:tcW w:w="4962" w:type="dxa"/>
            <w:tcBorders>
              <w:top w:val="nil"/>
              <w:left w:val="nil"/>
              <w:bottom w:val="nil"/>
              <w:right w:val="nil"/>
              <w:tl2br w:val="nil"/>
              <w:tr2bl w:val="nil"/>
            </w:tcBorders>
            <w:shd w:val="solid" w:color="FFFFFF" w:fill="FFFFFF"/>
            <w:tcMar>
              <w:left w:w="60" w:type="dxa"/>
              <w:right w:w="60" w:type="dxa"/>
            </w:tcMar>
          </w:tcPr>
          <w:p w14:paraId="3EACC8FA" w14:textId="77777777" w:rsidR="00807FFE" w:rsidRDefault="00023E71">
            <w:pPr>
              <w:pStyle w:val="DMETW36740BIPCE"/>
              <w:rPr>
                <w:rFonts w:ascii="Verdana" w:eastAsia="Verdana" w:hAnsi="Verdana" w:cs="Verdana"/>
                <w:i/>
                <w:noProof/>
                <w:color w:val="000000"/>
                <w:sz w:val="18"/>
                <w:lang w:bidi="en-GB"/>
              </w:rPr>
            </w:pPr>
            <w:r>
              <w:rPr>
                <w:rFonts w:ascii="Verdana" w:eastAsia="Verdana" w:hAnsi="Verdana" w:cs="Verdana"/>
                <w:i/>
                <w:noProof/>
                <w:color w:val="000000"/>
                <w:sz w:val="18"/>
              </w:rPr>
              <w:t>European Institute of Innovation and Technology (EIT)</w:t>
            </w:r>
          </w:p>
        </w:tc>
      </w:tr>
      <w:tr w:rsidR="00807FFE" w14:paraId="1F6DE37E" w14:textId="77777777">
        <w:trPr>
          <w:trHeight w:val="255"/>
        </w:trPr>
        <w:tc>
          <w:tcPr>
            <w:tcW w:w="5387" w:type="dxa"/>
            <w:gridSpan w:val="2"/>
            <w:tcBorders>
              <w:top w:val="nil"/>
              <w:left w:val="nil"/>
              <w:bottom w:val="nil"/>
              <w:right w:val="nil"/>
              <w:tl2br w:val="nil"/>
              <w:tr2bl w:val="nil"/>
            </w:tcBorders>
            <w:shd w:val="solid" w:color="016794" w:fill="FFFFFF"/>
            <w:tcMar>
              <w:left w:w="60" w:type="dxa"/>
              <w:right w:w="60" w:type="dxa"/>
            </w:tcMar>
            <w:vAlign w:val="center"/>
          </w:tcPr>
          <w:p w14:paraId="728CD254" w14:textId="77777777" w:rsidR="00807FFE" w:rsidRDefault="00023E71">
            <w:pPr>
              <w:pStyle w:val="DMETW36740BIPCE"/>
              <w:rPr>
                <w:rFonts w:ascii="Verdana" w:eastAsia="Verdana" w:hAnsi="Verdana" w:cs="Verdana"/>
                <w:b/>
                <w:noProof/>
                <w:color w:val="FFFFFF"/>
                <w:lang w:bidi="en-GB"/>
              </w:rPr>
            </w:pPr>
            <w:r>
              <w:rPr>
                <w:rFonts w:ascii="Verdana" w:eastAsia="Verdana" w:hAnsi="Verdana" w:cs="Verdana"/>
                <w:b/>
                <w:noProof/>
                <w:color w:val="FFFFFF"/>
              </w:rPr>
              <w:t>B. ASSOCIATES (1)</w:t>
            </w:r>
          </w:p>
        </w:tc>
      </w:tr>
      <w:tr w:rsidR="00807FFE" w14:paraId="1C91F6B3" w14:textId="77777777">
        <w:trPr>
          <w:trHeight w:val="284"/>
        </w:trPr>
        <w:tc>
          <w:tcPr>
            <w:tcW w:w="5387" w:type="dxa"/>
            <w:tcBorders>
              <w:top w:val="nil"/>
              <w:left w:val="nil"/>
              <w:bottom w:val="nil"/>
              <w:right w:val="nil"/>
              <w:tl2br w:val="nil"/>
              <w:tr2bl w:val="nil"/>
            </w:tcBorders>
            <w:shd w:val="solid" w:color="FFFFFF" w:fill="FFFFFF"/>
            <w:tcMar>
              <w:left w:w="60" w:type="dxa"/>
              <w:right w:w="60" w:type="dxa"/>
            </w:tcMar>
          </w:tcPr>
          <w:p w14:paraId="55BD1FBB" w14:textId="77777777" w:rsidR="00807FFE" w:rsidRDefault="00023E71">
            <w:pPr>
              <w:pStyle w:val="DMETW36740BIPCE"/>
              <w:rPr>
                <w:rFonts w:ascii="Verdana" w:eastAsia="Verdana" w:hAnsi="Verdana" w:cs="Verdana"/>
                <w:i/>
                <w:noProof/>
                <w:color w:val="000000"/>
                <w:sz w:val="18"/>
              </w:rPr>
            </w:pPr>
            <w:r>
              <w:rPr>
                <w:rFonts w:ascii="Verdana" w:eastAsia="Verdana" w:hAnsi="Verdana" w:cs="Verdana"/>
                <w:i/>
                <w:noProof/>
                <w:color w:val="000000"/>
                <w:sz w:val="18"/>
              </w:rPr>
              <w:t>European Investment Fund (EIF)</w:t>
            </w:r>
          </w:p>
        </w:tc>
        <w:tc>
          <w:tcPr>
            <w:tcW w:w="4962" w:type="dxa"/>
            <w:tcBorders>
              <w:top w:val="nil"/>
              <w:left w:val="nil"/>
              <w:bottom w:val="nil"/>
              <w:right w:val="nil"/>
              <w:tl2br w:val="nil"/>
              <w:tr2bl w:val="nil"/>
            </w:tcBorders>
            <w:shd w:val="solid" w:color="FFFFFF" w:fill="FFFFFF"/>
            <w:tcMar>
              <w:left w:w="60" w:type="dxa"/>
              <w:right w:w="60" w:type="dxa"/>
            </w:tcMar>
            <w:vAlign w:val="center"/>
          </w:tcPr>
          <w:p w14:paraId="5377234C" w14:textId="77777777" w:rsidR="00807FFE" w:rsidRDefault="00807FFE">
            <w:pPr>
              <w:pStyle w:val="DMETW36740BIPCE"/>
              <w:rPr>
                <w:rFonts w:ascii="Verdana" w:eastAsia="Verdana" w:hAnsi="Verdana" w:cs="Verdana"/>
                <w:noProof/>
                <w:color w:val="000000"/>
                <w:sz w:val="18"/>
              </w:rPr>
            </w:pPr>
          </w:p>
        </w:tc>
      </w:tr>
    </w:tbl>
    <w:p w14:paraId="26B1ED92" w14:textId="77777777" w:rsidR="00F853A6" w:rsidRDefault="00F853A6" w:rsidP="00D47E6E">
      <w:pPr>
        <w:pStyle w:val="HEADER5"/>
        <w:rPr>
          <w:noProof/>
        </w:rPr>
      </w:pPr>
    </w:p>
    <w:p w14:paraId="12F3CAE4" w14:textId="77777777" w:rsidR="00295569" w:rsidRDefault="00023E71">
      <w:pPr>
        <w:pBdr>
          <w:top w:val="nil"/>
          <w:left w:val="nil"/>
          <w:bottom w:val="nil"/>
          <w:right w:val="nil"/>
          <w:between w:val="nil"/>
          <w:bar w:val="nil"/>
        </w:pBdr>
        <w:spacing w:after="200" w:line="276" w:lineRule="auto"/>
        <w:rPr>
          <w:rFonts w:ascii="Verdana" w:hAnsi="Verdana"/>
          <w:noProof/>
          <w:color w:val="016794"/>
          <w:sz w:val="18"/>
          <w:szCs w:val="18"/>
        </w:rPr>
      </w:pPr>
      <w:r>
        <w:rPr>
          <w:noProof/>
        </w:rPr>
        <w:br w:type="page"/>
      </w:r>
    </w:p>
    <w:p w14:paraId="2DBB3FEE" w14:textId="77777777" w:rsidR="000233D9" w:rsidRPr="00F948E3" w:rsidRDefault="00023E71" w:rsidP="00D47E6E">
      <w:pPr>
        <w:pStyle w:val="HEADER5"/>
        <w:rPr>
          <w:noProof/>
        </w:rPr>
      </w:pPr>
      <w:r w:rsidRPr="004142D6">
        <w:rPr>
          <w:noProof/>
        </w:rPr>
        <w:t>MINOR ENTITIES</w:t>
      </w:r>
    </w:p>
    <w:p w14:paraId="039062A9" w14:textId="77777777" w:rsidR="000233D9" w:rsidRDefault="00023E71" w:rsidP="0044528D">
      <w:pPr>
        <w:pStyle w:val="DGTextstand-alone"/>
      </w:pPr>
      <w:r w:rsidRPr="000233D9">
        <w:t xml:space="preserve">The entities listed below have not been consolidated </w:t>
      </w:r>
      <w:r>
        <w:t xml:space="preserve">using the equity method </w:t>
      </w:r>
      <w:r w:rsidRPr="000233D9">
        <w:t xml:space="preserve">in the </w:t>
      </w:r>
      <w:r>
        <w:t xml:space="preserve">2025 </w:t>
      </w:r>
      <w:r w:rsidRPr="000233D9">
        <w:t xml:space="preserve">EU </w:t>
      </w:r>
      <w:r>
        <w:t>c</w:t>
      </w:r>
      <w:r w:rsidRPr="000233D9">
        <w:t xml:space="preserve">onsolidated </w:t>
      </w:r>
      <w:r>
        <w:t>financial statements</w:t>
      </w:r>
      <w:r w:rsidRPr="000233D9">
        <w:t xml:space="preserve"> on the basis of immateriality: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8"/>
      </w:tblGrid>
      <w:tr w:rsidR="00807FFE" w14:paraId="1CDEDC1D" w14:textId="77777777" w:rsidTr="00134EBB">
        <w:trPr>
          <w:trHeight w:hRule="exact" w:val="255"/>
        </w:trPr>
        <w:tc>
          <w:tcPr>
            <w:tcW w:w="9758" w:type="dxa"/>
            <w:tcBorders>
              <w:top w:val="nil"/>
              <w:left w:val="nil"/>
              <w:bottom w:val="nil"/>
              <w:right w:val="nil"/>
              <w:tl2br w:val="nil"/>
              <w:tr2bl w:val="nil"/>
            </w:tcBorders>
            <w:shd w:val="solid" w:color="016794" w:fill="FFFFFF"/>
            <w:tcMar>
              <w:left w:w="60" w:type="dxa"/>
              <w:right w:w="60" w:type="dxa"/>
            </w:tcMar>
            <w:vAlign w:val="center"/>
          </w:tcPr>
          <w:p w14:paraId="55258EA9" w14:textId="77777777" w:rsidR="00134EBB" w:rsidRDefault="00023E71" w:rsidP="002771BF">
            <w:pPr>
              <w:rPr>
                <w:rFonts w:ascii="Verdana" w:eastAsia="Verdana" w:hAnsi="Verdana" w:cs="Verdana"/>
                <w:b/>
                <w:noProof/>
                <w:color w:val="FFFFFF"/>
                <w:lang w:bidi="en-GB"/>
              </w:rPr>
            </w:pPr>
            <w:r w:rsidRPr="009656FC">
              <w:rPr>
                <w:rFonts w:ascii="Verdana" w:eastAsia="Verdana" w:hAnsi="Verdana" w:cs="Verdana"/>
                <w:b/>
                <w:noProof/>
                <w:color w:val="FFFFFF"/>
                <w:sz w:val="20"/>
                <w:lang w:bidi="en-GB"/>
              </w:rPr>
              <w:t>MINOR ENTITES (</w:t>
            </w:r>
            <w:r>
              <w:rPr>
                <w:rFonts w:ascii="Verdana" w:eastAsia="Verdana" w:hAnsi="Verdana" w:cs="Verdana"/>
                <w:b/>
                <w:noProof/>
                <w:color w:val="FFFFFF"/>
                <w:sz w:val="20"/>
                <w:lang w:bidi="en-GB"/>
              </w:rPr>
              <w:t>11</w:t>
            </w:r>
            <w:r w:rsidRPr="009656FC">
              <w:rPr>
                <w:rFonts w:ascii="Verdana" w:eastAsia="Verdana" w:hAnsi="Verdana" w:cs="Verdana"/>
                <w:b/>
                <w:noProof/>
                <w:color w:val="FFFFFF"/>
                <w:sz w:val="20"/>
                <w:lang w:bidi="en-GB"/>
              </w:rPr>
              <w:t>)</w:t>
            </w:r>
          </w:p>
        </w:tc>
      </w:tr>
      <w:tr w:rsidR="00807FFE" w14:paraId="4FF476AF"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2CAEFB89"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Chips Joint Undertaking (Chip</w:t>
            </w:r>
            <w:r w:rsidR="00394991">
              <w:rPr>
                <w:rFonts w:ascii="Verdana" w:hAnsi="Verdana" w:cs="Verdana"/>
                <w:i/>
                <w:noProof/>
                <w:color w:val="000000"/>
                <w:sz w:val="18"/>
              </w:rPr>
              <w:t>s</w:t>
            </w:r>
            <w:r w:rsidRPr="00514B34">
              <w:rPr>
                <w:rFonts w:ascii="Verdana" w:hAnsi="Verdana" w:cs="Verdana"/>
                <w:i/>
                <w:noProof/>
                <w:color w:val="000000"/>
                <w:sz w:val="18"/>
              </w:rPr>
              <w:t xml:space="preserve"> JU)</w:t>
            </w:r>
          </w:p>
        </w:tc>
      </w:tr>
      <w:tr w:rsidR="00807FFE" w14:paraId="10D62531"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7079EF16"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Circular Bio-based Europe Joint Undertaking (CBE JU)</w:t>
            </w:r>
          </w:p>
        </w:tc>
      </w:tr>
      <w:tr w:rsidR="00807FFE" w14:paraId="594CEC41"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025D8892"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Clean Aviation Joint Undertaking (CAJU)</w:t>
            </w:r>
          </w:p>
        </w:tc>
      </w:tr>
      <w:tr w:rsidR="00807FFE" w14:paraId="4A80993E"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center"/>
          </w:tcPr>
          <w:p w14:paraId="771061B0"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Clean Hydrogen Joint Undertaking (Clean H2 JU)</w:t>
            </w:r>
          </w:p>
        </w:tc>
      </w:tr>
      <w:tr w:rsidR="00807FFE" w14:paraId="5464DFB2" w14:textId="77777777">
        <w:trPr>
          <w:trHeight w:val="148"/>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4283C68D"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Europe’s Rail Joint Undertaking (EU-RAIL JU)</w:t>
            </w:r>
          </w:p>
        </w:tc>
      </w:tr>
      <w:tr w:rsidR="00807FFE" w14:paraId="73AEA61A"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3CE68CA7"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European Cybersecurity Competence Centre (ECCC)</w:t>
            </w:r>
          </w:p>
        </w:tc>
      </w:tr>
      <w:tr w:rsidR="00807FFE" w14:paraId="0DF2DBB7"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0E271F92"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European High Performance Computing Joint Undertaking (EuroHPC JU)</w:t>
            </w:r>
          </w:p>
        </w:tc>
      </w:tr>
      <w:tr w:rsidR="00807FFE" w14:paraId="117F6165"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38E3AD62"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Global Health EDCTP3 Joint Undertaking (GH</w:t>
            </w:r>
            <w:r w:rsidR="00661EE9">
              <w:rPr>
                <w:rFonts w:ascii="Verdana" w:hAnsi="Verdana" w:cs="Verdana"/>
                <w:i/>
                <w:noProof/>
                <w:color w:val="000000"/>
                <w:sz w:val="18"/>
              </w:rPr>
              <w:t xml:space="preserve"> </w:t>
            </w:r>
            <w:r w:rsidRPr="00514B34">
              <w:rPr>
                <w:rFonts w:ascii="Verdana" w:hAnsi="Verdana" w:cs="Verdana"/>
                <w:i/>
                <w:noProof/>
                <w:color w:val="000000"/>
                <w:sz w:val="18"/>
              </w:rPr>
              <w:t>ED</w:t>
            </w:r>
            <w:r w:rsidR="00661EE9">
              <w:rPr>
                <w:rFonts w:ascii="Verdana" w:hAnsi="Verdana" w:cs="Verdana"/>
                <w:i/>
                <w:noProof/>
                <w:color w:val="000000"/>
                <w:sz w:val="18"/>
              </w:rPr>
              <w:t>CP3</w:t>
            </w:r>
            <w:r w:rsidRPr="00514B34">
              <w:rPr>
                <w:rFonts w:ascii="Verdana" w:hAnsi="Verdana" w:cs="Verdana"/>
                <w:i/>
                <w:noProof/>
                <w:color w:val="000000"/>
                <w:sz w:val="18"/>
              </w:rPr>
              <w:t xml:space="preserve"> JU)</w:t>
            </w:r>
          </w:p>
        </w:tc>
      </w:tr>
      <w:tr w:rsidR="00807FFE" w14:paraId="3DFB7A21"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5EC81C88"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Innovative Health Initiative Joint Undertaking (IHI JU)</w:t>
            </w:r>
          </w:p>
        </w:tc>
      </w:tr>
      <w:tr w:rsidR="00807FFE" w14:paraId="6BC35CC9"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73890CF7"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Single European Sky ATM Research 3 Joint Undertaking (SESAR 3 JU)</w:t>
            </w:r>
          </w:p>
        </w:tc>
      </w:tr>
      <w:tr w:rsidR="00807FFE" w14:paraId="56D4D310" w14:textId="77777777">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14:paraId="40CB6B01" w14:textId="77777777" w:rsidR="00514B34" w:rsidRPr="00514B34" w:rsidRDefault="00023E71" w:rsidP="00514B34">
            <w:pPr>
              <w:rPr>
                <w:rFonts w:ascii="Verdana" w:hAnsi="Verdana" w:cs="Verdana"/>
                <w:i/>
                <w:noProof/>
                <w:color w:val="000000"/>
                <w:sz w:val="18"/>
              </w:rPr>
            </w:pPr>
            <w:r w:rsidRPr="00514B34">
              <w:rPr>
                <w:rFonts w:ascii="Verdana" w:hAnsi="Verdana" w:cs="Verdana"/>
                <w:i/>
                <w:noProof/>
                <w:color w:val="000000"/>
                <w:sz w:val="18"/>
              </w:rPr>
              <w:t>Smart Networks and Services Joint Undertaking (SNS JU)</w:t>
            </w:r>
          </w:p>
        </w:tc>
      </w:tr>
    </w:tbl>
    <w:p w14:paraId="3DB1F484" w14:textId="77777777" w:rsidR="00F948E3" w:rsidRDefault="00023E71" w:rsidP="0044528D">
      <w:pPr>
        <w:pStyle w:val="DGTextstand-alone"/>
      </w:pPr>
      <w:r w:rsidRPr="000233D9">
        <w:t xml:space="preserve">The </w:t>
      </w:r>
      <w:r>
        <w:t>a</w:t>
      </w:r>
      <w:r w:rsidRPr="000233D9">
        <w:t xml:space="preserve">nnual </w:t>
      </w:r>
      <w:r>
        <w:t>a</w:t>
      </w:r>
      <w:r w:rsidRPr="000233D9">
        <w:t>ccounts of the a</w:t>
      </w:r>
      <w:r>
        <w:t>bove</w:t>
      </w:r>
      <w:r w:rsidRPr="000233D9">
        <w:t xml:space="preserve"> entities are publicly available on their respective websites.</w:t>
      </w:r>
    </w:p>
    <w:bookmarkEnd w:id="248"/>
    <w:p w14:paraId="6EFE2E69" w14:textId="77777777" w:rsidR="008B40F1" w:rsidRPr="00F948E3" w:rsidRDefault="008B40F1" w:rsidP="0044528D">
      <w:pPr>
        <w:pStyle w:val="DGTextstand-alone"/>
        <w:sectPr w:rsidR="008B40F1" w:rsidRPr="00F948E3">
          <w:headerReference w:type="default" r:id="rId143"/>
          <w:footerReference w:type="default" r:id="rId144"/>
          <w:pgSz w:w="11906" w:h="16838"/>
          <w:pgMar w:top="1134" w:right="1134" w:bottom="1134" w:left="1134" w:header="709" w:footer="709" w:gutter="0"/>
          <w:cols w:space="708"/>
          <w:docGrid w:linePitch="360"/>
        </w:sectPr>
      </w:pPr>
    </w:p>
    <w:p w14:paraId="284776C5" w14:textId="77777777" w:rsidR="00EF2A5B" w:rsidRDefault="00EF2A5B" w:rsidP="00FE3ADE">
      <w:pPr>
        <w:pStyle w:val="FinancialYear"/>
        <w:rPr>
          <w:noProof/>
        </w:rPr>
      </w:pPr>
      <w:bookmarkStart w:id="250" w:name="_DMBM_36744"/>
    </w:p>
    <w:p w14:paraId="58A42A86" w14:textId="77777777" w:rsidR="000F5D26" w:rsidRDefault="000F5D26" w:rsidP="00FE3ADE">
      <w:pPr>
        <w:pStyle w:val="FinancialYear"/>
        <w:rPr>
          <w:noProof/>
        </w:rPr>
      </w:pPr>
    </w:p>
    <w:p w14:paraId="2D00310B" w14:textId="77777777" w:rsidR="00A515E2" w:rsidRPr="006E18B4" w:rsidRDefault="00A515E2" w:rsidP="00FE3ADE">
      <w:pPr>
        <w:pStyle w:val="FIRSTCHAPTERPAGE2"/>
      </w:pPr>
    </w:p>
    <w:p w14:paraId="7B664F14" w14:textId="77777777" w:rsidR="00A515E2" w:rsidRPr="006E18B4" w:rsidRDefault="00A515E2" w:rsidP="00FE3ADE">
      <w:pPr>
        <w:pStyle w:val="FIRSTCHAPTERPAGE2"/>
      </w:pPr>
    </w:p>
    <w:p w14:paraId="1EF4BB89" w14:textId="77777777" w:rsidR="00A515E2" w:rsidRPr="006E18B4" w:rsidRDefault="00A515E2" w:rsidP="00FE3ADE">
      <w:pPr>
        <w:pStyle w:val="FIRSTCHAPTERPAGE2"/>
      </w:pPr>
    </w:p>
    <w:p w14:paraId="2DCB479E" w14:textId="77777777" w:rsidR="00A515E2" w:rsidRPr="006E18B4" w:rsidRDefault="00A515E2" w:rsidP="00FE3ADE">
      <w:pPr>
        <w:pStyle w:val="FIRSTCHAPTERPAGE2"/>
      </w:pPr>
    </w:p>
    <w:p w14:paraId="6A8751DC" w14:textId="77777777" w:rsidR="00A515E2" w:rsidRPr="00FE3ADE" w:rsidRDefault="00023E71" w:rsidP="00C46CAA">
      <w:pPr>
        <w:pStyle w:val="FIRSTCHAPTERPAGE"/>
        <w:rPr>
          <w:noProof/>
        </w:rPr>
      </w:pPr>
      <w:bookmarkStart w:id="251" w:name="_Toc390968562"/>
      <w:bookmarkStart w:id="252" w:name="_Toc232674978"/>
      <w:r>
        <w:rPr>
          <w:noProof/>
        </w:rPr>
        <w:t xml:space="preserve">BUDGETARY </w:t>
      </w:r>
      <w:r w:rsidRPr="00FE3ADE">
        <w:rPr>
          <w:noProof/>
        </w:rPr>
        <w:t xml:space="preserve">IMPLEMENTATION </w:t>
      </w:r>
      <w:r>
        <w:rPr>
          <w:noProof/>
        </w:rPr>
        <w:t xml:space="preserve">REPORTS </w:t>
      </w:r>
      <w:r w:rsidRPr="00FE3ADE">
        <w:rPr>
          <w:noProof/>
        </w:rPr>
        <w:t>AND EXPLANATORY NOTES</w:t>
      </w:r>
      <w:bookmarkEnd w:id="251"/>
      <w:bookmarkEnd w:id="252"/>
    </w:p>
    <w:p w14:paraId="645C607A" w14:textId="77777777" w:rsidR="00A54FB3" w:rsidRDefault="00A54FB3" w:rsidP="00FE3ADE">
      <w:pPr>
        <w:pStyle w:val="FIRSTCHAPTERPAGE2"/>
      </w:pPr>
    </w:p>
    <w:p w14:paraId="46EE1651" w14:textId="77777777" w:rsidR="00FE3ADE" w:rsidRDefault="00FE3ADE" w:rsidP="00FE3ADE">
      <w:pPr>
        <w:pStyle w:val="FIRSTCHAPTERPAGE2"/>
      </w:pPr>
    </w:p>
    <w:p w14:paraId="36DAEDC7" w14:textId="77777777" w:rsidR="00FE3ADE" w:rsidRDefault="00FE3ADE" w:rsidP="00FE3ADE">
      <w:pPr>
        <w:pStyle w:val="FIRSTCHAPTERPAGE2"/>
      </w:pPr>
    </w:p>
    <w:p w14:paraId="07E0C8A8" w14:textId="77777777" w:rsidR="00A54FB3" w:rsidRDefault="00A54FB3" w:rsidP="00FE3ADE">
      <w:pPr>
        <w:pStyle w:val="FIRSTCHAPTERPAGE2"/>
      </w:pPr>
    </w:p>
    <w:p w14:paraId="557E94F2" w14:textId="77777777" w:rsidR="00FE3ADE" w:rsidRDefault="00FE3ADE" w:rsidP="00FE3ADE">
      <w:pPr>
        <w:pStyle w:val="FIRSTCHAPTERPAGE2"/>
      </w:pPr>
    </w:p>
    <w:p w14:paraId="7424DF6D" w14:textId="77777777" w:rsidR="000A4453" w:rsidRDefault="00023E71" w:rsidP="00FE3ADE">
      <w:pPr>
        <w:pStyle w:val="TOPHEADERNOTE"/>
        <w:rPr>
          <w:noProof/>
        </w:rPr>
        <w:sectPr w:rsidR="000A4453">
          <w:headerReference w:type="default" r:id="rId145"/>
          <w:footerReference w:type="default" r:id="rId146"/>
          <w:pgSz w:w="11907" w:h="16840" w:code="9"/>
          <w:pgMar w:top="1134" w:right="1134" w:bottom="1134" w:left="1134" w:header="709" w:footer="709" w:gutter="0"/>
          <w:cols w:space="708"/>
          <w:docGrid w:linePitch="360"/>
        </w:sectPr>
      </w:pPr>
      <w:r>
        <w:rPr>
          <w:noProof/>
        </w:rPr>
        <w:t>It should be noted that due to the rounding of figures into millions of euros, some financial data in the tables below may appear not to add-up.</w:t>
      </w:r>
      <w:bookmarkEnd w:id="250"/>
    </w:p>
    <w:p w14:paraId="459C5ECB" w14:textId="77777777" w:rsidR="00B35B8B" w:rsidRDefault="00023E71" w:rsidP="00C61F02">
      <w:pPr>
        <w:pStyle w:val="HEADERTABLE"/>
        <w:rPr>
          <w:noProof/>
        </w:rPr>
      </w:pPr>
      <w:bookmarkStart w:id="253" w:name="_DMBM_36736"/>
      <w:r>
        <w:rPr>
          <w:noProof/>
        </w:rPr>
        <w:t>CONTENTS</w:t>
      </w:r>
    </w:p>
    <w:p w14:paraId="1AED77E0" w14:textId="77777777" w:rsidR="00222A98" w:rsidRDefault="00222A98" w:rsidP="00C61F02">
      <w:pPr>
        <w:pStyle w:val="HEADERTABLE"/>
        <w:rPr>
          <w:noProof/>
        </w:rPr>
      </w:pPr>
    </w:p>
    <w:p w14:paraId="3B11A4A7" w14:textId="4A9055CB" w:rsidR="006F6B0D" w:rsidRDefault="00023E71">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r>
        <w:rPr>
          <w:caps/>
          <w:noProof/>
          <w:color w:val="016894"/>
          <w:sz w:val="20"/>
        </w:rPr>
        <w:fldChar w:fldCharType="begin"/>
      </w:r>
      <w:r>
        <w:rPr>
          <w:caps/>
          <w:noProof/>
          <w:color w:val="016894"/>
          <w:sz w:val="20"/>
        </w:rPr>
        <w:instrText xml:space="preserve"> TOC \o "1-3" \h \z \t "HEADER_TITLE_2;1;HEADER 1_Part BUDG;1;HEADER 2_Part BUDG;2" </w:instrText>
      </w:r>
      <w:r>
        <w:rPr>
          <w:caps/>
          <w:noProof/>
          <w:color w:val="016894"/>
          <w:sz w:val="20"/>
        </w:rPr>
        <w:fldChar w:fldCharType="separate"/>
      </w:r>
      <w:hyperlink w:anchor="_Toc232674375" w:history="1">
        <w:r w:rsidR="006F6B0D" w:rsidRPr="00C80C3A">
          <w:rPr>
            <w:rStyle w:val="Hyperlink"/>
            <w:rFonts w:eastAsia="Calibri"/>
            <w:noProof/>
            <w14:scene3d>
              <w14:camera w14:prst="orthographicFront"/>
              <w14:lightRig w14:rig="threePt" w14:dir="t">
                <w14:rot w14:lat="0" w14:lon="0" w14:rev="0"/>
              </w14:lightRig>
            </w14:scene3d>
            <w14:props3d w14:extrusionH="0" w14:contourW="0" w14:prstMaterial="warmMatte"/>
          </w:rPr>
          <w:t>1.</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rFonts w:eastAsia="Calibri"/>
            <w:noProof/>
          </w:rPr>
          <w:t>EU BUDGET RESULT</w:t>
        </w:r>
        <w:r w:rsidR="006F6B0D">
          <w:rPr>
            <w:noProof/>
            <w:webHidden/>
          </w:rPr>
          <w:tab/>
        </w:r>
        <w:r w:rsidR="006F6B0D">
          <w:rPr>
            <w:noProof/>
            <w:webHidden/>
          </w:rPr>
          <w:fldChar w:fldCharType="begin"/>
        </w:r>
        <w:r w:rsidR="006F6B0D">
          <w:rPr>
            <w:noProof/>
            <w:webHidden/>
          </w:rPr>
          <w:instrText xml:space="preserve"> PAGEREF _Toc232674375 \h </w:instrText>
        </w:r>
        <w:r w:rsidR="006F6B0D">
          <w:rPr>
            <w:noProof/>
            <w:webHidden/>
          </w:rPr>
        </w:r>
        <w:r w:rsidR="006F6B0D">
          <w:rPr>
            <w:noProof/>
            <w:webHidden/>
          </w:rPr>
          <w:fldChar w:fldCharType="separate"/>
        </w:r>
        <w:r w:rsidR="00BF2400">
          <w:rPr>
            <w:noProof/>
            <w:webHidden/>
          </w:rPr>
          <w:t>142</w:t>
        </w:r>
        <w:r w:rsidR="006F6B0D">
          <w:rPr>
            <w:noProof/>
            <w:webHidden/>
          </w:rPr>
          <w:fldChar w:fldCharType="end"/>
        </w:r>
      </w:hyperlink>
    </w:p>
    <w:p w14:paraId="2EE67F00" w14:textId="51E5A7BD" w:rsidR="006F6B0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76" w:history="1">
        <w:r w:rsidR="006F6B0D" w:rsidRPr="00C80C3A">
          <w:rPr>
            <w:rStyle w:val="Hyperlink"/>
            <w:rFonts w:eastAsia="Calibri"/>
            <w:noProof/>
            <w:lang w:val="en-IE"/>
            <w14:scene3d>
              <w14:camera w14:prst="orthographicFront"/>
              <w14:lightRig w14:rig="threePt" w14:dir="t">
                <w14:rot w14:lat="0" w14:lon="0" w14:rev="0"/>
              </w14:lightRig>
            </w14:scene3d>
            <w14:props3d w14:extrusionH="0" w14:contourW="0" w14:prstMaterial="warmMatte"/>
          </w:rPr>
          <w:t>2.</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rFonts w:eastAsia="Calibri"/>
            <w:noProof/>
            <w:lang w:val="en-IE"/>
          </w:rPr>
          <w:t>STATEMENTS OF COMPARISON OF BUDGET AND ACTUAL AMOUNTS</w:t>
        </w:r>
        <w:r w:rsidR="006F6B0D">
          <w:rPr>
            <w:noProof/>
            <w:webHidden/>
          </w:rPr>
          <w:tab/>
        </w:r>
        <w:r w:rsidR="006F6B0D">
          <w:rPr>
            <w:noProof/>
            <w:webHidden/>
          </w:rPr>
          <w:fldChar w:fldCharType="begin"/>
        </w:r>
        <w:r w:rsidR="006F6B0D">
          <w:rPr>
            <w:noProof/>
            <w:webHidden/>
          </w:rPr>
          <w:instrText xml:space="preserve"> PAGEREF _Toc232674376 \h </w:instrText>
        </w:r>
        <w:r w:rsidR="006F6B0D">
          <w:rPr>
            <w:noProof/>
            <w:webHidden/>
          </w:rPr>
        </w:r>
        <w:r w:rsidR="006F6B0D">
          <w:rPr>
            <w:noProof/>
            <w:webHidden/>
          </w:rPr>
          <w:fldChar w:fldCharType="separate"/>
        </w:r>
        <w:r w:rsidR="00BF2400">
          <w:rPr>
            <w:noProof/>
            <w:webHidden/>
          </w:rPr>
          <w:t>143</w:t>
        </w:r>
        <w:r w:rsidR="006F6B0D">
          <w:rPr>
            <w:noProof/>
            <w:webHidden/>
          </w:rPr>
          <w:fldChar w:fldCharType="end"/>
        </w:r>
      </w:hyperlink>
    </w:p>
    <w:p w14:paraId="5BA2DECB" w14:textId="769F22CB" w:rsidR="006F6B0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77" w:history="1">
        <w:r w:rsidR="006F6B0D" w:rsidRPr="00C80C3A">
          <w:rPr>
            <w:rStyle w:val="Hyperlink"/>
            <w:noProof/>
            <w:lang w:val="en-IE"/>
            <w14:scene3d>
              <w14:camera w14:prst="orthographicFront"/>
              <w14:lightRig w14:rig="threePt" w14:dir="t">
                <w14:rot w14:lat="0" w14:lon="0" w14:rev="0"/>
              </w14:lightRig>
            </w14:scene3d>
            <w14:props3d w14:extrusionH="0" w14:contourW="0" w14:prstMaterial="warmMatte"/>
          </w:rPr>
          <w:t>3.</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lang w:val="en-IE"/>
          </w:rPr>
          <w:t>NOTES TO THE BUDGETARY IMPLEMENTATION REPORTS</w:t>
        </w:r>
        <w:r w:rsidR="006F6B0D">
          <w:rPr>
            <w:noProof/>
            <w:webHidden/>
          </w:rPr>
          <w:tab/>
        </w:r>
        <w:r w:rsidR="006F6B0D">
          <w:rPr>
            <w:noProof/>
            <w:webHidden/>
          </w:rPr>
          <w:fldChar w:fldCharType="begin"/>
        </w:r>
        <w:r w:rsidR="006F6B0D">
          <w:rPr>
            <w:noProof/>
            <w:webHidden/>
          </w:rPr>
          <w:instrText xml:space="preserve"> PAGEREF _Toc232674377 \h </w:instrText>
        </w:r>
        <w:r w:rsidR="006F6B0D">
          <w:rPr>
            <w:noProof/>
            <w:webHidden/>
          </w:rPr>
        </w:r>
        <w:r w:rsidR="006F6B0D">
          <w:rPr>
            <w:noProof/>
            <w:webHidden/>
          </w:rPr>
          <w:fldChar w:fldCharType="separate"/>
        </w:r>
        <w:r w:rsidR="00BF2400">
          <w:rPr>
            <w:noProof/>
            <w:webHidden/>
          </w:rPr>
          <w:t>145</w:t>
        </w:r>
        <w:r w:rsidR="006F6B0D">
          <w:rPr>
            <w:noProof/>
            <w:webHidden/>
          </w:rPr>
          <w:fldChar w:fldCharType="end"/>
        </w:r>
      </w:hyperlink>
    </w:p>
    <w:p w14:paraId="1249E9A4" w14:textId="389C1C03"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78" w:history="1">
        <w:r w:rsidR="006F6B0D" w:rsidRPr="00C80C3A">
          <w:rPr>
            <w:rStyle w:val="Hyperlink"/>
            <w:noProof/>
          </w:rPr>
          <w:t>3.1.</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THE EU BUDGET FRAMEWORK</w:t>
        </w:r>
        <w:r w:rsidR="006F6B0D">
          <w:rPr>
            <w:noProof/>
            <w:webHidden/>
          </w:rPr>
          <w:tab/>
        </w:r>
        <w:r w:rsidR="006F6B0D">
          <w:rPr>
            <w:noProof/>
            <w:webHidden/>
          </w:rPr>
          <w:fldChar w:fldCharType="begin"/>
        </w:r>
        <w:r w:rsidR="006F6B0D">
          <w:rPr>
            <w:noProof/>
            <w:webHidden/>
          </w:rPr>
          <w:instrText xml:space="preserve"> PAGEREF _Toc232674378 \h </w:instrText>
        </w:r>
        <w:r w:rsidR="006F6B0D">
          <w:rPr>
            <w:noProof/>
            <w:webHidden/>
          </w:rPr>
        </w:r>
        <w:r w:rsidR="006F6B0D">
          <w:rPr>
            <w:noProof/>
            <w:webHidden/>
          </w:rPr>
          <w:fldChar w:fldCharType="separate"/>
        </w:r>
        <w:r w:rsidR="00BF2400">
          <w:rPr>
            <w:noProof/>
            <w:webHidden/>
          </w:rPr>
          <w:t>145</w:t>
        </w:r>
        <w:r w:rsidR="006F6B0D">
          <w:rPr>
            <w:noProof/>
            <w:webHidden/>
          </w:rPr>
          <w:fldChar w:fldCharType="end"/>
        </w:r>
      </w:hyperlink>
    </w:p>
    <w:p w14:paraId="3894EE87" w14:textId="63BB2156"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79" w:history="1">
        <w:r w:rsidR="006F6B0D" w:rsidRPr="00C80C3A">
          <w:rPr>
            <w:rStyle w:val="Hyperlink"/>
            <w:noProof/>
          </w:rPr>
          <w:t>3.2.</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MULTIANNUAL FINANCIAL FRAMEWORK 2021-2027</w:t>
        </w:r>
        <w:r w:rsidR="006F6B0D">
          <w:rPr>
            <w:noProof/>
            <w:webHidden/>
          </w:rPr>
          <w:tab/>
        </w:r>
        <w:r w:rsidR="006F6B0D">
          <w:rPr>
            <w:noProof/>
            <w:webHidden/>
          </w:rPr>
          <w:fldChar w:fldCharType="begin"/>
        </w:r>
        <w:r w:rsidR="006F6B0D">
          <w:rPr>
            <w:noProof/>
            <w:webHidden/>
          </w:rPr>
          <w:instrText xml:space="preserve"> PAGEREF _Toc232674379 \h </w:instrText>
        </w:r>
        <w:r w:rsidR="006F6B0D">
          <w:rPr>
            <w:noProof/>
            <w:webHidden/>
          </w:rPr>
        </w:r>
        <w:r w:rsidR="006F6B0D">
          <w:rPr>
            <w:noProof/>
            <w:webHidden/>
          </w:rPr>
          <w:fldChar w:fldCharType="separate"/>
        </w:r>
        <w:r w:rsidR="00BF2400">
          <w:rPr>
            <w:noProof/>
            <w:webHidden/>
          </w:rPr>
          <w:t>145</w:t>
        </w:r>
        <w:r w:rsidR="006F6B0D">
          <w:rPr>
            <w:noProof/>
            <w:webHidden/>
          </w:rPr>
          <w:fldChar w:fldCharType="end"/>
        </w:r>
      </w:hyperlink>
    </w:p>
    <w:p w14:paraId="448F827D" w14:textId="2DA7369F"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0" w:history="1">
        <w:r w:rsidR="006F6B0D" w:rsidRPr="00C80C3A">
          <w:rPr>
            <w:rStyle w:val="Hyperlink"/>
            <w:noProof/>
          </w:rPr>
          <w:t>3.3.</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MFF DETAILED HEADINGS (PROGRAMMES)</w:t>
        </w:r>
        <w:r w:rsidR="006F6B0D">
          <w:rPr>
            <w:noProof/>
            <w:webHidden/>
          </w:rPr>
          <w:tab/>
        </w:r>
        <w:r w:rsidR="006F6B0D">
          <w:rPr>
            <w:noProof/>
            <w:webHidden/>
          </w:rPr>
          <w:fldChar w:fldCharType="begin"/>
        </w:r>
        <w:r w:rsidR="006F6B0D">
          <w:rPr>
            <w:noProof/>
            <w:webHidden/>
          </w:rPr>
          <w:instrText xml:space="preserve"> PAGEREF _Toc232674380 \h </w:instrText>
        </w:r>
        <w:r w:rsidR="006F6B0D">
          <w:rPr>
            <w:noProof/>
            <w:webHidden/>
          </w:rPr>
        </w:r>
        <w:r w:rsidR="006F6B0D">
          <w:rPr>
            <w:noProof/>
            <w:webHidden/>
          </w:rPr>
          <w:fldChar w:fldCharType="separate"/>
        </w:r>
        <w:r w:rsidR="00BF2400">
          <w:rPr>
            <w:noProof/>
            <w:webHidden/>
          </w:rPr>
          <w:t>148</w:t>
        </w:r>
        <w:r w:rsidR="006F6B0D">
          <w:rPr>
            <w:noProof/>
            <w:webHidden/>
          </w:rPr>
          <w:fldChar w:fldCharType="end"/>
        </w:r>
      </w:hyperlink>
    </w:p>
    <w:p w14:paraId="508DE042" w14:textId="629D09F9"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1" w:history="1">
        <w:r w:rsidR="006F6B0D" w:rsidRPr="00C80C3A">
          <w:rPr>
            <w:rStyle w:val="Hyperlink"/>
            <w:noProof/>
          </w:rPr>
          <w:t>3.4.</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NextGenerationEU</w:t>
        </w:r>
        <w:r w:rsidR="006F6B0D">
          <w:rPr>
            <w:noProof/>
            <w:webHidden/>
          </w:rPr>
          <w:tab/>
        </w:r>
        <w:r w:rsidR="006F6B0D">
          <w:rPr>
            <w:noProof/>
            <w:webHidden/>
          </w:rPr>
          <w:fldChar w:fldCharType="begin"/>
        </w:r>
        <w:r w:rsidR="006F6B0D">
          <w:rPr>
            <w:noProof/>
            <w:webHidden/>
          </w:rPr>
          <w:instrText xml:space="preserve"> PAGEREF _Toc232674381 \h </w:instrText>
        </w:r>
        <w:r w:rsidR="006F6B0D">
          <w:rPr>
            <w:noProof/>
            <w:webHidden/>
          </w:rPr>
        </w:r>
        <w:r w:rsidR="006F6B0D">
          <w:rPr>
            <w:noProof/>
            <w:webHidden/>
          </w:rPr>
          <w:fldChar w:fldCharType="separate"/>
        </w:r>
        <w:r w:rsidR="00BF2400">
          <w:rPr>
            <w:noProof/>
            <w:webHidden/>
          </w:rPr>
          <w:t>148</w:t>
        </w:r>
        <w:r w:rsidR="006F6B0D">
          <w:rPr>
            <w:noProof/>
            <w:webHidden/>
          </w:rPr>
          <w:fldChar w:fldCharType="end"/>
        </w:r>
      </w:hyperlink>
    </w:p>
    <w:p w14:paraId="6DE11E90" w14:textId="709BC8FC"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2" w:history="1">
        <w:r w:rsidR="006F6B0D" w:rsidRPr="00C80C3A">
          <w:rPr>
            <w:rStyle w:val="Hyperlink"/>
            <w:noProof/>
          </w:rPr>
          <w:t>3.5.</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ANNUAL BUDGET</w:t>
        </w:r>
        <w:r w:rsidR="006F6B0D">
          <w:rPr>
            <w:noProof/>
            <w:webHidden/>
          </w:rPr>
          <w:tab/>
        </w:r>
        <w:r w:rsidR="006F6B0D">
          <w:rPr>
            <w:noProof/>
            <w:webHidden/>
          </w:rPr>
          <w:fldChar w:fldCharType="begin"/>
        </w:r>
        <w:r w:rsidR="006F6B0D">
          <w:rPr>
            <w:noProof/>
            <w:webHidden/>
          </w:rPr>
          <w:instrText xml:space="preserve"> PAGEREF _Toc232674382 \h </w:instrText>
        </w:r>
        <w:r w:rsidR="006F6B0D">
          <w:rPr>
            <w:noProof/>
            <w:webHidden/>
          </w:rPr>
        </w:r>
        <w:r w:rsidR="006F6B0D">
          <w:rPr>
            <w:noProof/>
            <w:webHidden/>
          </w:rPr>
          <w:fldChar w:fldCharType="separate"/>
        </w:r>
        <w:r w:rsidR="00BF2400">
          <w:rPr>
            <w:noProof/>
            <w:webHidden/>
          </w:rPr>
          <w:t>149</w:t>
        </w:r>
        <w:r w:rsidR="006F6B0D">
          <w:rPr>
            <w:noProof/>
            <w:webHidden/>
          </w:rPr>
          <w:fldChar w:fldCharType="end"/>
        </w:r>
      </w:hyperlink>
    </w:p>
    <w:p w14:paraId="705E6B4D" w14:textId="61711ABD"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3" w:history="1">
        <w:r w:rsidR="006F6B0D" w:rsidRPr="00C80C3A">
          <w:rPr>
            <w:rStyle w:val="Hyperlink"/>
            <w:noProof/>
          </w:rPr>
          <w:t>3.6.</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REVENUE</w:t>
        </w:r>
        <w:r w:rsidR="006F6B0D">
          <w:rPr>
            <w:noProof/>
            <w:webHidden/>
          </w:rPr>
          <w:tab/>
        </w:r>
        <w:r w:rsidR="006F6B0D">
          <w:rPr>
            <w:noProof/>
            <w:webHidden/>
          </w:rPr>
          <w:fldChar w:fldCharType="begin"/>
        </w:r>
        <w:r w:rsidR="006F6B0D">
          <w:rPr>
            <w:noProof/>
            <w:webHidden/>
          </w:rPr>
          <w:instrText xml:space="preserve"> PAGEREF _Toc232674383 \h </w:instrText>
        </w:r>
        <w:r w:rsidR="006F6B0D">
          <w:rPr>
            <w:noProof/>
            <w:webHidden/>
          </w:rPr>
        </w:r>
        <w:r w:rsidR="006F6B0D">
          <w:rPr>
            <w:noProof/>
            <w:webHidden/>
          </w:rPr>
          <w:fldChar w:fldCharType="separate"/>
        </w:r>
        <w:r w:rsidR="00BF2400">
          <w:rPr>
            <w:noProof/>
            <w:webHidden/>
          </w:rPr>
          <w:t>151</w:t>
        </w:r>
        <w:r w:rsidR="006F6B0D">
          <w:rPr>
            <w:noProof/>
            <w:webHidden/>
          </w:rPr>
          <w:fldChar w:fldCharType="end"/>
        </w:r>
      </w:hyperlink>
    </w:p>
    <w:p w14:paraId="714765E0" w14:textId="69A91494"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4" w:history="1">
        <w:r w:rsidR="006F6B0D" w:rsidRPr="00C80C3A">
          <w:rPr>
            <w:rStyle w:val="Hyperlink"/>
            <w:noProof/>
            <w:lang w:val="en-US"/>
          </w:rPr>
          <w:t>3.7.</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lang w:val="en-US"/>
          </w:rPr>
          <w:t>CALCULATION OF THE BUDGET RESULT</w:t>
        </w:r>
        <w:r w:rsidR="006F6B0D">
          <w:rPr>
            <w:noProof/>
            <w:webHidden/>
          </w:rPr>
          <w:tab/>
        </w:r>
        <w:r w:rsidR="006F6B0D">
          <w:rPr>
            <w:noProof/>
            <w:webHidden/>
          </w:rPr>
          <w:fldChar w:fldCharType="begin"/>
        </w:r>
        <w:r w:rsidR="006F6B0D">
          <w:rPr>
            <w:noProof/>
            <w:webHidden/>
          </w:rPr>
          <w:instrText xml:space="preserve"> PAGEREF _Toc232674384 \h </w:instrText>
        </w:r>
        <w:r w:rsidR="006F6B0D">
          <w:rPr>
            <w:noProof/>
            <w:webHidden/>
          </w:rPr>
        </w:r>
        <w:r w:rsidR="006F6B0D">
          <w:rPr>
            <w:noProof/>
            <w:webHidden/>
          </w:rPr>
          <w:fldChar w:fldCharType="separate"/>
        </w:r>
        <w:r w:rsidR="00BF2400">
          <w:rPr>
            <w:noProof/>
            <w:webHidden/>
          </w:rPr>
          <w:t>152</w:t>
        </w:r>
        <w:r w:rsidR="006F6B0D">
          <w:rPr>
            <w:noProof/>
            <w:webHidden/>
          </w:rPr>
          <w:fldChar w:fldCharType="end"/>
        </w:r>
      </w:hyperlink>
    </w:p>
    <w:p w14:paraId="5B1C3AC9" w14:textId="75F6BB10"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5" w:history="1">
        <w:r w:rsidR="006F6B0D" w:rsidRPr="00C80C3A">
          <w:rPr>
            <w:rStyle w:val="Hyperlink"/>
            <w:noProof/>
          </w:rPr>
          <w:t>3.8.</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RECONCILIATION OF ECONOMIC RESULT WITH BUDGET  RESULT</w:t>
        </w:r>
        <w:r w:rsidR="006F6B0D">
          <w:rPr>
            <w:noProof/>
            <w:webHidden/>
          </w:rPr>
          <w:tab/>
        </w:r>
        <w:r w:rsidR="006F6B0D">
          <w:rPr>
            <w:noProof/>
            <w:webHidden/>
          </w:rPr>
          <w:fldChar w:fldCharType="begin"/>
        </w:r>
        <w:r w:rsidR="006F6B0D">
          <w:rPr>
            <w:noProof/>
            <w:webHidden/>
          </w:rPr>
          <w:instrText xml:space="preserve"> PAGEREF _Toc232674385 \h </w:instrText>
        </w:r>
        <w:r w:rsidR="006F6B0D">
          <w:rPr>
            <w:noProof/>
            <w:webHidden/>
          </w:rPr>
        </w:r>
        <w:r w:rsidR="006F6B0D">
          <w:rPr>
            <w:noProof/>
            <w:webHidden/>
          </w:rPr>
          <w:fldChar w:fldCharType="separate"/>
        </w:r>
        <w:r w:rsidR="00BF2400">
          <w:rPr>
            <w:noProof/>
            <w:webHidden/>
          </w:rPr>
          <w:t>154</w:t>
        </w:r>
        <w:r w:rsidR="006F6B0D">
          <w:rPr>
            <w:noProof/>
            <w:webHidden/>
          </w:rPr>
          <w:fldChar w:fldCharType="end"/>
        </w:r>
      </w:hyperlink>
    </w:p>
    <w:p w14:paraId="650806F6" w14:textId="47F8B59A" w:rsidR="006F6B0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6" w:history="1">
        <w:r w:rsidR="006F6B0D" w:rsidRPr="00C80C3A">
          <w:rPr>
            <w:rStyle w:val="Hyperlink"/>
            <w:noProof/>
            <w14:scene3d>
              <w14:camera w14:prst="orthographicFront"/>
              <w14:lightRig w14:rig="threePt" w14:dir="t">
                <w14:rot w14:lat="0" w14:lon="0" w14:rev="0"/>
              </w14:lightRig>
            </w14:scene3d>
            <w14:props3d w14:extrusionH="0" w14:contourW="0" w14:prstMaterial="warmMatte"/>
          </w:rPr>
          <w:t>4.</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IMPLEMENTATION OF THE 2025 EU BUDGET</w:t>
        </w:r>
        <w:r w:rsidR="006F6B0D">
          <w:rPr>
            <w:noProof/>
            <w:webHidden/>
          </w:rPr>
          <w:tab/>
        </w:r>
        <w:r w:rsidR="006F6B0D">
          <w:rPr>
            <w:noProof/>
            <w:webHidden/>
          </w:rPr>
          <w:fldChar w:fldCharType="begin"/>
        </w:r>
        <w:r w:rsidR="006F6B0D">
          <w:rPr>
            <w:noProof/>
            <w:webHidden/>
          </w:rPr>
          <w:instrText xml:space="preserve"> PAGEREF _Toc232674386 \h </w:instrText>
        </w:r>
        <w:r w:rsidR="006F6B0D">
          <w:rPr>
            <w:noProof/>
            <w:webHidden/>
          </w:rPr>
        </w:r>
        <w:r w:rsidR="006F6B0D">
          <w:rPr>
            <w:noProof/>
            <w:webHidden/>
          </w:rPr>
          <w:fldChar w:fldCharType="separate"/>
        </w:r>
        <w:r w:rsidR="00BF2400">
          <w:rPr>
            <w:noProof/>
            <w:webHidden/>
          </w:rPr>
          <w:t>156</w:t>
        </w:r>
        <w:r w:rsidR="006F6B0D">
          <w:rPr>
            <w:noProof/>
            <w:webHidden/>
          </w:rPr>
          <w:fldChar w:fldCharType="end"/>
        </w:r>
      </w:hyperlink>
    </w:p>
    <w:p w14:paraId="7FFFF251" w14:textId="0B1A1159" w:rsidR="006F6B0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7" w:history="1">
        <w:r w:rsidR="006F6B0D" w:rsidRPr="00C80C3A">
          <w:rPr>
            <w:rStyle w:val="Hyperlink"/>
            <w:noProof/>
            <w14:scene3d>
              <w14:camera w14:prst="orthographicFront"/>
              <w14:lightRig w14:rig="threePt" w14:dir="t">
                <w14:rot w14:lat="0" w14:lon="0" w14:rev="0"/>
              </w14:lightRig>
            </w14:scene3d>
            <w14:props3d w14:extrusionH="0" w14:contourW="0" w14:prstMaterial="warmMatte"/>
          </w:rPr>
          <w:t>5.</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IMPLEMENTATION OF EU BUDGET REVENUE</w:t>
        </w:r>
        <w:r w:rsidR="006F6B0D">
          <w:rPr>
            <w:noProof/>
            <w:webHidden/>
          </w:rPr>
          <w:tab/>
        </w:r>
        <w:r w:rsidR="006F6B0D">
          <w:rPr>
            <w:noProof/>
            <w:webHidden/>
          </w:rPr>
          <w:fldChar w:fldCharType="begin"/>
        </w:r>
        <w:r w:rsidR="006F6B0D">
          <w:rPr>
            <w:noProof/>
            <w:webHidden/>
          </w:rPr>
          <w:instrText xml:space="preserve"> PAGEREF _Toc232674387 \h </w:instrText>
        </w:r>
        <w:r w:rsidR="006F6B0D">
          <w:rPr>
            <w:noProof/>
            <w:webHidden/>
          </w:rPr>
        </w:r>
        <w:r w:rsidR="006F6B0D">
          <w:rPr>
            <w:noProof/>
            <w:webHidden/>
          </w:rPr>
          <w:fldChar w:fldCharType="separate"/>
        </w:r>
        <w:r w:rsidR="00BF2400">
          <w:rPr>
            <w:noProof/>
            <w:webHidden/>
          </w:rPr>
          <w:t>157</w:t>
        </w:r>
        <w:r w:rsidR="006F6B0D">
          <w:rPr>
            <w:noProof/>
            <w:webHidden/>
          </w:rPr>
          <w:fldChar w:fldCharType="end"/>
        </w:r>
      </w:hyperlink>
    </w:p>
    <w:p w14:paraId="18FFFD4C" w14:textId="4717D640"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8" w:history="1">
        <w:r w:rsidR="006F6B0D" w:rsidRPr="00C80C3A">
          <w:rPr>
            <w:rStyle w:val="Hyperlink"/>
            <w:noProof/>
          </w:rPr>
          <w:t>5.1.</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SUMMARY OF THE IMPLEMENTATION OF EU BUDGET REVENUE</w:t>
        </w:r>
        <w:r w:rsidR="006F6B0D">
          <w:rPr>
            <w:noProof/>
            <w:webHidden/>
          </w:rPr>
          <w:tab/>
        </w:r>
        <w:r w:rsidR="006F6B0D">
          <w:rPr>
            <w:noProof/>
            <w:webHidden/>
          </w:rPr>
          <w:fldChar w:fldCharType="begin"/>
        </w:r>
        <w:r w:rsidR="006F6B0D">
          <w:rPr>
            <w:noProof/>
            <w:webHidden/>
          </w:rPr>
          <w:instrText xml:space="preserve"> PAGEREF _Toc232674388 \h </w:instrText>
        </w:r>
        <w:r w:rsidR="006F6B0D">
          <w:rPr>
            <w:noProof/>
            <w:webHidden/>
          </w:rPr>
        </w:r>
        <w:r w:rsidR="006F6B0D">
          <w:rPr>
            <w:noProof/>
            <w:webHidden/>
          </w:rPr>
          <w:fldChar w:fldCharType="separate"/>
        </w:r>
        <w:r w:rsidR="00BF2400">
          <w:rPr>
            <w:noProof/>
            <w:webHidden/>
          </w:rPr>
          <w:t>157</w:t>
        </w:r>
        <w:r w:rsidR="006F6B0D">
          <w:rPr>
            <w:noProof/>
            <w:webHidden/>
          </w:rPr>
          <w:fldChar w:fldCharType="end"/>
        </w:r>
      </w:hyperlink>
    </w:p>
    <w:p w14:paraId="2FA5076E" w14:textId="4EBD4A4B" w:rsidR="006F6B0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89" w:history="1">
        <w:r w:rsidR="006F6B0D" w:rsidRPr="00C80C3A">
          <w:rPr>
            <w:rStyle w:val="Hyperlink"/>
            <w:noProof/>
            <w14:scene3d>
              <w14:camera w14:prst="orthographicFront"/>
              <w14:lightRig w14:rig="threePt" w14:dir="t">
                <w14:rot w14:lat="0" w14:lon="0" w14:rev="0"/>
              </w14:lightRig>
            </w14:scene3d>
            <w14:props3d w14:extrusionH="0" w14:contourW="0" w14:prstMaterial="warmMatte"/>
          </w:rPr>
          <w:t>6.</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IMPLEMENTATION OF EU BUDGET EXPENDITURE</w:t>
        </w:r>
        <w:r w:rsidR="006F6B0D">
          <w:rPr>
            <w:noProof/>
            <w:webHidden/>
          </w:rPr>
          <w:tab/>
        </w:r>
        <w:r w:rsidR="006F6B0D">
          <w:rPr>
            <w:noProof/>
            <w:webHidden/>
          </w:rPr>
          <w:fldChar w:fldCharType="begin"/>
        </w:r>
        <w:r w:rsidR="006F6B0D">
          <w:rPr>
            <w:noProof/>
            <w:webHidden/>
          </w:rPr>
          <w:instrText xml:space="preserve"> PAGEREF _Toc232674389 \h </w:instrText>
        </w:r>
        <w:r w:rsidR="006F6B0D">
          <w:rPr>
            <w:noProof/>
            <w:webHidden/>
          </w:rPr>
        </w:r>
        <w:r w:rsidR="006F6B0D">
          <w:rPr>
            <w:noProof/>
            <w:webHidden/>
          </w:rPr>
          <w:fldChar w:fldCharType="separate"/>
        </w:r>
        <w:r w:rsidR="00BF2400">
          <w:rPr>
            <w:noProof/>
            <w:webHidden/>
          </w:rPr>
          <w:t>158</w:t>
        </w:r>
        <w:r w:rsidR="006F6B0D">
          <w:rPr>
            <w:noProof/>
            <w:webHidden/>
          </w:rPr>
          <w:fldChar w:fldCharType="end"/>
        </w:r>
      </w:hyperlink>
    </w:p>
    <w:p w14:paraId="691AD0FD" w14:textId="506596D1"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0" w:history="1">
        <w:r w:rsidR="006F6B0D" w:rsidRPr="00C80C3A">
          <w:rPr>
            <w:rStyle w:val="Hyperlink"/>
            <w:noProof/>
          </w:rPr>
          <w:t>6.1.</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 xml:space="preserve">MFF: BREAKDOWN &amp; CHANGES IN COMMITMENT &amp; PAYMENT </w:t>
        </w:r>
        <w:r w:rsidR="00087349">
          <w:rPr>
            <w:rStyle w:val="Hyperlink"/>
            <w:noProof/>
          </w:rPr>
          <w:tab/>
        </w:r>
        <w:r w:rsidR="006F6B0D" w:rsidRPr="00C80C3A">
          <w:rPr>
            <w:rStyle w:val="Hyperlink"/>
            <w:noProof/>
          </w:rPr>
          <w:t>APPROPRIATIONS</w:t>
        </w:r>
        <w:r w:rsidR="006F6B0D">
          <w:rPr>
            <w:noProof/>
            <w:webHidden/>
          </w:rPr>
          <w:tab/>
        </w:r>
        <w:r w:rsidR="006F6B0D">
          <w:rPr>
            <w:noProof/>
            <w:webHidden/>
          </w:rPr>
          <w:fldChar w:fldCharType="begin"/>
        </w:r>
        <w:r w:rsidR="006F6B0D">
          <w:rPr>
            <w:noProof/>
            <w:webHidden/>
          </w:rPr>
          <w:instrText xml:space="preserve"> PAGEREF _Toc232674390 \h </w:instrText>
        </w:r>
        <w:r w:rsidR="006F6B0D">
          <w:rPr>
            <w:noProof/>
            <w:webHidden/>
          </w:rPr>
        </w:r>
        <w:r w:rsidR="006F6B0D">
          <w:rPr>
            <w:noProof/>
            <w:webHidden/>
          </w:rPr>
          <w:fldChar w:fldCharType="separate"/>
        </w:r>
        <w:r w:rsidR="00BF2400">
          <w:rPr>
            <w:noProof/>
            <w:webHidden/>
          </w:rPr>
          <w:t>158</w:t>
        </w:r>
        <w:r w:rsidR="006F6B0D">
          <w:rPr>
            <w:noProof/>
            <w:webHidden/>
          </w:rPr>
          <w:fldChar w:fldCharType="end"/>
        </w:r>
      </w:hyperlink>
    </w:p>
    <w:p w14:paraId="44D0656F" w14:textId="78AF54FA"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1" w:history="1">
        <w:r w:rsidR="006F6B0D" w:rsidRPr="00C80C3A">
          <w:rPr>
            <w:rStyle w:val="Hyperlink"/>
            <w:noProof/>
          </w:rPr>
          <w:t>6.2.</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MFF: IMPLEMENTATION OF COMMITMENT APPROPRIATIONS</w:t>
        </w:r>
        <w:r w:rsidR="006F6B0D">
          <w:rPr>
            <w:noProof/>
            <w:webHidden/>
          </w:rPr>
          <w:tab/>
        </w:r>
        <w:r w:rsidR="006F6B0D">
          <w:rPr>
            <w:noProof/>
            <w:webHidden/>
          </w:rPr>
          <w:fldChar w:fldCharType="begin"/>
        </w:r>
        <w:r w:rsidR="006F6B0D">
          <w:rPr>
            <w:noProof/>
            <w:webHidden/>
          </w:rPr>
          <w:instrText xml:space="preserve"> PAGEREF _Toc232674391 \h </w:instrText>
        </w:r>
        <w:r w:rsidR="006F6B0D">
          <w:rPr>
            <w:noProof/>
            <w:webHidden/>
          </w:rPr>
        </w:r>
        <w:r w:rsidR="006F6B0D">
          <w:rPr>
            <w:noProof/>
            <w:webHidden/>
          </w:rPr>
          <w:fldChar w:fldCharType="separate"/>
        </w:r>
        <w:r w:rsidR="00BF2400">
          <w:rPr>
            <w:noProof/>
            <w:webHidden/>
          </w:rPr>
          <w:t>159</w:t>
        </w:r>
        <w:r w:rsidR="006F6B0D">
          <w:rPr>
            <w:noProof/>
            <w:webHidden/>
          </w:rPr>
          <w:fldChar w:fldCharType="end"/>
        </w:r>
      </w:hyperlink>
    </w:p>
    <w:p w14:paraId="09D01FE8" w14:textId="7B0CF8DD"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2" w:history="1">
        <w:r w:rsidR="006F6B0D" w:rsidRPr="00C80C3A">
          <w:rPr>
            <w:rStyle w:val="Hyperlink"/>
            <w:noProof/>
          </w:rPr>
          <w:t>6.3.</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MFF: IMPLEMENTATION OF PAYMENT APPROPRIATIONS</w:t>
        </w:r>
        <w:r w:rsidR="006F6B0D">
          <w:rPr>
            <w:noProof/>
            <w:webHidden/>
          </w:rPr>
          <w:tab/>
        </w:r>
        <w:r w:rsidR="006F6B0D">
          <w:rPr>
            <w:noProof/>
            <w:webHidden/>
          </w:rPr>
          <w:fldChar w:fldCharType="begin"/>
        </w:r>
        <w:r w:rsidR="006F6B0D">
          <w:rPr>
            <w:noProof/>
            <w:webHidden/>
          </w:rPr>
          <w:instrText xml:space="preserve"> PAGEREF _Toc232674392 \h </w:instrText>
        </w:r>
        <w:r w:rsidR="006F6B0D">
          <w:rPr>
            <w:noProof/>
            <w:webHidden/>
          </w:rPr>
        </w:r>
        <w:r w:rsidR="006F6B0D">
          <w:rPr>
            <w:noProof/>
            <w:webHidden/>
          </w:rPr>
          <w:fldChar w:fldCharType="separate"/>
        </w:r>
        <w:r w:rsidR="00BF2400">
          <w:rPr>
            <w:noProof/>
            <w:webHidden/>
          </w:rPr>
          <w:t>160</w:t>
        </w:r>
        <w:r w:rsidR="006F6B0D">
          <w:rPr>
            <w:noProof/>
            <w:webHidden/>
          </w:rPr>
          <w:fldChar w:fldCharType="end"/>
        </w:r>
      </w:hyperlink>
    </w:p>
    <w:p w14:paraId="1064ACD3" w14:textId="68469D15"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3" w:history="1">
        <w:r w:rsidR="006F6B0D" w:rsidRPr="00C80C3A">
          <w:rPr>
            <w:rStyle w:val="Hyperlink"/>
            <w:noProof/>
          </w:rPr>
          <w:t>6.4.</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MFF: MOVEMENTS IN OUTSTANDING COMMITMENTS (RAL)</w:t>
        </w:r>
        <w:r w:rsidR="006F6B0D">
          <w:rPr>
            <w:noProof/>
            <w:webHidden/>
          </w:rPr>
          <w:tab/>
        </w:r>
        <w:r w:rsidR="006F6B0D">
          <w:rPr>
            <w:noProof/>
            <w:webHidden/>
          </w:rPr>
          <w:fldChar w:fldCharType="begin"/>
        </w:r>
        <w:r w:rsidR="006F6B0D">
          <w:rPr>
            <w:noProof/>
            <w:webHidden/>
          </w:rPr>
          <w:instrText xml:space="preserve"> PAGEREF _Toc232674393 \h </w:instrText>
        </w:r>
        <w:r w:rsidR="006F6B0D">
          <w:rPr>
            <w:noProof/>
            <w:webHidden/>
          </w:rPr>
        </w:r>
        <w:r w:rsidR="006F6B0D">
          <w:rPr>
            <w:noProof/>
            <w:webHidden/>
          </w:rPr>
          <w:fldChar w:fldCharType="separate"/>
        </w:r>
        <w:r w:rsidR="00BF2400">
          <w:rPr>
            <w:noProof/>
            <w:webHidden/>
          </w:rPr>
          <w:t>161</w:t>
        </w:r>
        <w:r w:rsidR="006F6B0D">
          <w:rPr>
            <w:noProof/>
            <w:webHidden/>
          </w:rPr>
          <w:fldChar w:fldCharType="end"/>
        </w:r>
      </w:hyperlink>
    </w:p>
    <w:p w14:paraId="0146CE35" w14:textId="1B356B38"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4" w:history="1">
        <w:r w:rsidR="006F6B0D" w:rsidRPr="00C80C3A">
          <w:rPr>
            <w:rStyle w:val="Hyperlink"/>
            <w:noProof/>
          </w:rPr>
          <w:t>6.5.</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MFF: OUTSTANDING COMMITMENTS BY YEAR OF ORIGIN</w:t>
        </w:r>
        <w:r w:rsidR="006F6B0D">
          <w:rPr>
            <w:noProof/>
            <w:webHidden/>
          </w:rPr>
          <w:tab/>
        </w:r>
        <w:r w:rsidR="006F6B0D">
          <w:rPr>
            <w:noProof/>
            <w:webHidden/>
          </w:rPr>
          <w:fldChar w:fldCharType="begin"/>
        </w:r>
        <w:r w:rsidR="006F6B0D">
          <w:rPr>
            <w:noProof/>
            <w:webHidden/>
          </w:rPr>
          <w:instrText xml:space="preserve"> PAGEREF _Toc232674394 \h </w:instrText>
        </w:r>
        <w:r w:rsidR="006F6B0D">
          <w:rPr>
            <w:noProof/>
            <w:webHidden/>
          </w:rPr>
        </w:r>
        <w:r w:rsidR="006F6B0D">
          <w:rPr>
            <w:noProof/>
            <w:webHidden/>
          </w:rPr>
          <w:fldChar w:fldCharType="separate"/>
        </w:r>
        <w:r w:rsidR="00BF2400">
          <w:rPr>
            <w:noProof/>
            <w:webHidden/>
          </w:rPr>
          <w:t>162</w:t>
        </w:r>
        <w:r w:rsidR="006F6B0D">
          <w:rPr>
            <w:noProof/>
            <w:webHidden/>
          </w:rPr>
          <w:fldChar w:fldCharType="end"/>
        </w:r>
      </w:hyperlink>
    </w:p>
    <w:p w14:paraId="14617989" w14:textId="201B882D"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5" w:history="1">
        <w:r w:rsidR="006F6B0D" w:rsidRPr="00C80C3A">
          <w:rPr>
            <w:rStyle w:val="Hyperlink"/>
            <w:noProof/>
          </w:rPr>
          <w:t>6.6.</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 xml:space="preserve">DETAILED MFF: BREAKDOWN AND CHANGES IN COMMITMENT AND PAYMENT </w:t>
        </w:r>
        <w:r w:rsidR="00087349">
          <w:rPr>
            <w:rStyle w:val="Hyperlink"/>
            <w:noProof/>
          </w:rPr>
          <w:tab/>
        </w:r>
        <w:r w:rsidR="006F6B0D" w:rsidRPr="00C80C3A">
          <w:rPr>
            <w:rStyle w:val="Hyperlink"/>
            <w:noProof/>
          </w:rPr>
          <w:t>APPROPRIATIONS</w:t>
        </w:r>
        <w:r w:rsidR="006F6B0D">
          <w:rPr>
            <w:noProof/>
            <w:webHidden/>
          </w:rPr>
          <w:tab/>
        </w:r>
        <w:r w:rsidR="006F6B0D">
          <w:rPr>
            <w:noProof/>
            <w:webHidden/>
          </w:rPr>
          <w:fldChar w:fldCharType="begin"/>
        </w:r>
        <w:r w:rsidR="006F6B0D">
          <w:rPr>
            <w:noProof/>
            <w:webHidden/>
          </w:rPr>
          <w:instrText xml:space="preserve"> PAGEREF _Toc232674395 \h </w:instrText>
        </w:r>
        <w:r w:rsidR="006F6B0D">
          <w:rPr>
            <w:noProof/>
            <w:webHidden/>
          </w:rPr>
        </w:r>
        <w:r w:rsidR="006F6B0D">
          <w:rPr>
            <w:noProof/>
            <w:webHidden/>
          </w:rPr>
          <w:fldChar w:fldCharType="separate"/>
        </w:r>
        <w:r w:rsidR="00BF2400">
          <w:rPr>
            <w:noProof/>
            <w:webHidden/>
          </w:rPr>
          <w:t>163</w:t>
        </w:r>
        <w:r w:rsidR="006F6B0D">
          <w:rPr>
            <w:noProof/>
            <w:webHidden/>
          </w:rPr>
          <w:fldChar w:fldCharType="end"/>
        </w:r>
      </w:hyperlink>
    </w:p>
    <w:p w14:paraId="7A802BAC" w14:textId="0D9654BA"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6" w:history="1">
        <w:r w:rsidR="006F6B0D" w:rsidRPr="00C80C3A">
          <w:rPr>
            <w:rStyle w:val="Hyperlink"/>
            <w:noProof/>
          </w:rPr>
          <w:t>6.7.</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DETAILED MFF: IMPLEMENTATION OF COMMITMENT APPROPRIATIONS</w:t>
        </w:r>
        <w:r w:rsidR="006F6B0D">
          <w:rPr>
            <w:noProof/>
            <w:webHidden/>
          </w:rPr>
          <w:tab/>
        </w:r>
        <w:r w:rsidR="006F6B0D">
          <w:rPr>
            <w:noProof/>
            <w:webHidden/>
          </w:rPr>
          <w:fldChar w:fldCharType="begin"/>
        </w:r>
        <w:r w:rsidR="006F6B0D">
          <w:rPr>
            <w:noProof/>
            <w:webHidden/>
          </w:rPr>
          <w:instrText xml:space="preserve"> PAGEREF _Toc232674396 \h </w:instrText>
        </w:r>
        <w:r w:rsidR="006F6B0D">
          <w:rPr>
            <w:noProof/>
            <w:webHidden/>
          </w:rPr>
        </w:r>
        <w:r w:rsidR="006F6B0D">
          <w:rPr>
            <w:noProof/>
            <w:webHidden/>
          </w:rPr>
          <w:fldChar w:fldCharType="separate"/>
        </w:r>
        <w:r w:rsidR="00BF2400">
          <w:rPr>
            <w:noProof/>
            <w:webHidden/>
          </w:rPr>
          <w:t>169</w:t>
        </w:r>
        <w:r w:rsidR="006F6B0D">
          <w:rPr>
            <w:noProof/>
            <w:webHidden/>
          </w:rPr>
          <w:fldChar w:fldCharType="end"/>
        </w:r>
      </w:hyperlink>
    </w:p>
    <w:p w14:paraId="221865F3" w14:textId="7B3928B6"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7" w:history="1">
        <w:r w:rsidR="006F6B0D" w:rsidRPr="00C80C3A">
          <w:rPr>
            <w:rStyle w:val="Hyperlink"/>
            <w:noProof/>
          </w:rPr>
          <w:t>6.8.</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DETAILED MFF: IMPLEMENTATION OF PAYMENT APPROPRIATIONS</w:t>
        </w:r>
        <w:r w:rsidR="006F6B0D">
          <w:rPr>
            <w:noProof/>
            <w:webHidden/>
          </w:rPr>
          <w:tab/>
        </w:r>
        <w:r w:rsidR="006F6B0D">
          <w:rPr>
            <w:noProof/>
            <w:webHidden/>
          </w:rPr>
          <w:fldChar w:fldCharType="begin"/>
        </w:r>
        <w:r w:rsidR="006F6B0D">
          <w:rPr>
            <w:noProof/>
            <w:webHidden/>
          </w:rPr>
          <w:instrText xml:space="preserve"> PAGEREF _Toc232674397 \h </w:instrText>
        </w:r>
        <w:r w:rsidR="006F6B0D">
          <w:rPr>
            <w:noProof/>
            <w:webHidden/>
          </w:rPr>
        </w:r>
        <w:r w:rsidR="006F6B0D">
          <w:rPr>
            <w:noProof/>
            <w:webHidden/>
          </w:rPr>
          <w:fldChar w:fldCharType="separate"/>
        </w:r>
        <w:r w:rsidR="00BF2400">
          <w:rPr>
            <w:noProof/>
            <w:webHidden/>
          </w:rPr>
          <w:t>179</w:t>
        </w:r>
        <w:r w:rsidR="006F6B0D">
          <w:rPr>
            <w:noProof/>
            <w:webHidden/>
          </w:rPr>
          <w:fldChar w:fldCharType="end"/>
        </w:r>
      </w:hyperlink>
    </w:p>
    <w:p w14:paraId="1D0BF246" w14:textId="70D331BC"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8" w:history="1">
        <w:r w:rsidR="006F6B0D" w:rsidRPr="00C80C3A">
          <w:rPr>
            <w:rStyle w:val="Hyperlink"/>
            <w:noProof/>
          </w:rPr>
          <w:t>6.9.</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DETAILED MFF: MOVEMENTS IN OUTSTANDING COMMITMENTS (RAL)</w:t>
        </w:r>
        <w:r w:rsidR="006F6B0D">
          <w:rPr>
            <w:noProof/>
            <w:webHidden/>
          </w:rPr>
          <w:tab/>
        </w:r>
        <w:r w:rsidR="006F6B0D">
          <w:rPr>
            <w:noProof/>
            <w:webHidden/>
          </w:rPr>
          <w:fldChar w:fldCharType="begin"/>
        </w:r>
        <w:r w:rsidR="006F6B0D">
          <w:rPr>
            <w:noProof/>
            <w:webHidden/>
          </w:rPr>
          <w:instrText xml:space="preserve"> PAGEREF _Toc232674398 \h </w:instrText>
        </w:r>
        <w:r w:rsidR="006F6B0D">
          <w:rPr>
            <w:noProof/>
            <w:webHidden/>
          </w:rPr>
        </w:r>
        <w:r w:rsidR="006F6B0D">
          <w:rPr>
            <w:noProof/>
            <w:webHidden/>
          </w:rPr>
          <w:fldChar w:fldCharType="separate"/>
        </w:r>
        <w:r w:rsidR="00BF2400">
          <w:rPr>
            <w:noProof/>
            <w:webHidden/>
          </w:rPr>
          <w:t>187</w:t>
        </w:r>
        <w:r w:rsidR="006F6B0D">
          <w:rPr>
            <w:noProof/>
            <w:webHidden/>
          </w:rPr>
          <w:fldChar w:fldCharType="end"/>
        </w:r>
      </w:hyperlink>
    </w:p>
    <w:p w14:paraId="6E5A167B" w14:textId="7D4D3476" w:rsidR="006F6B0D" w:rsidRDefault="00253107">
      <w:pPr>
        <w:pStyle w:val="TOC2"/>
        <w:tabs>
          <w:tab w:val="left" w:pos="120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399" w:history="1">
        <w:r w:rsidR="006F6B0D" w:rsidRPr="00C80C3A">
          <w:rPr>
            <w:rStyle w:val="Hyperlink"/>
            <w:noProof/>
          </w:rPr>
          <w:t>6.10.</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DETAILED MFF: OUTSTANDING COMMITMENTS BY YEAR OF ORIGIN</w:t>
        </w:r>
        <w:r w:rsidR="006F6B0D">
          <w:rPr>
            <w:noProof/>
            <w:webHidden/>
          </w:rPr>
          <w:tab/>
        </w:r>
        <w:r w:rsidR="006F6B0D">
          <w:rPr>
            <w:noProof/>
            <w:webHidden/>
          </w:rPr>
          <w:fldChar w:fldCharType="begin"/>
        </w:r>
        <w:r w:rsidR="006F6B0D">
          <w:rPr>
            <w:noProof/>
            <w:webHidden/>
          </w:rPr>
          <w:instrText xml:space="preserve"> PAGEREF _Toc232674399 \h </w:instrText>
        </w:r>
        <w:r w:rsidR="006F6B0D">
          <w:rPr>
            <w:noProof/>
            <w:webHidden/>
          </w:rPr>
        </w:r>
        <w:r w:rsidR="006F6B0D">
          <w:rPr>
            <w:noProof/>
            <w:webHidden/>
          </w:rPr>
          <w:fldChar w:fldCharType="separate"/>
        </w:r>
        <w:r w:rsidR="00BF2400">
          <w:rPr>
            <w:noProof/>
            <w:webHidden/>
          </w:rPr>
          <w:t>192</w:t>
        </w:r>
        <w:r w:rsidR="006F6B0D">
          <w:rPr>
            <w:noProof/>
            <w:webHidden/>
          </w:rPr>
          <w:fldChar w:fldCharType="end"/>
        </w:r>
      </w:hyperlink>
    </w:p>
    <w:p w14:paraId="111D6F96" w14:textId="6316D73D" w:rsidR="006F6B0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400" w:history="1">
        <w:r w:rsidR="006F6B0D" w:rsidRPr="00C80C3A">
          <w:rPr>
            <w:rStyle w:val="Hyperlink"/>
            <w:noProof/>
            <w14:scene3d>
              <w14:camera w14:prst="orthographicFront"/>
              <w14:lightRig w14:rig="threePt" w14:dir="t">
                <w14:rot w14:lat="0" w14:lon="0" w14:rev="0"/>
              </w14:lightRig>
            </w14:scene3d>
            <w14:props3d w14:extrusionH="0" w14:contourW="0" w14:prstMaterial="warmMatte"/>
          </w:rPr>
          <w:t>7.</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IMPLEMENTATION OF THE BUDGET BY INSTITUTION</w:t>
        </w:r>
        <w:r w:rsidR="006F6B0D">
          <w:rPr>
            <w:noProof/>
            <w:webHidden/>
          </w:rPr>
          <w:tab/>
        </w:r>
        <w:r w:rsidR="006F6B0D">
          <w:rPr>
            <w:noProof/>
            <w:webHidden/>
          </w:rPr>
          <w:fldChar w:fldCharType="begin"/>
        </w:r>
        <w:r w:rsidR="006F6B0D">
          <w:rPr>
            <w:noProof/>
            <w:webHidden/>
          </w:rPr>
          <w:instrText xml:space="preserve"> PAGEREF _Toc232674400 \h </w:instrText>
        </w:r>
        <w:r w:rsidR="006F6B0D">
          <w:rPr>
            <w:noProof/>
            <w:webHidden/>
          </w:rPr>
        </w:r>
        <w:r w:rsidR="006F6B0D">
          <w:rPr>
            <w:noProof/>
            <w:webHidden/>
          </w:rPr>
          <w:fldChar w:fldCharType="separate"/>
        </w:r>
        <w:r w:rsidR="00BF2400">
          <w:rPr>
            <w:noProof/>
            <w:webHidden/>
          </w:rPr>
          <w:t>197</w:t>
        </w:r>
        <w:r w:rsidR="006F6B0D">
          <w:rPr>
            <w:noProof/>
            <w:webHidden/>
          </w:rPr>
          <w:fldChar w:fldCharType="end"/>
        </w:r>
      </w:hyperlink>
    </w:p>
    <w:p w14:paraId="314E8D8F" w14:textId="2B5EFD36"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401" w:history="1">
        <w:r w:rsidR="006F6B0D" w:rsidRPr="00C80C3A">
          <w:rPr>
            <w:rStyle w:val="Hyperlink"/>
            <w:noProof/>
          </w:rPr>
          <w:t>7.1.</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IMPLEMENTATION OF BUDGET REVENUE</w:t>
        </w:r>
        <w:r w:rsidR="006F6B0D">
          <w:rPr>
            <w:noProof/>
            <w:webHidden/>
          </w:rPr>
          <w:tab/>
        </w:r>
        <w:r w:rsidR="006F6B0D">
          <w:rPr>
            <w:noProof/>
            <w:webHidden/>
          </w:rPr>
          <w:fldChar w:fldCharType="begin"/>
        </w:r>
        <w:r w:rsidR="006F6B0D">
          <w:rPr>
            <w:noProof/>
            <w:webHidden/>
          </w:rPr>
          <w:instrText xml:space="preserve"> PAGEREF _Toc232674401 \h </w:instrText>
        </w:r>
        <w:r w:rsidR="006F6B0D">
          <w:rPr>
            <w:noProof/>
            <w:webHidden/>
          </w:rPr>
        </w:r>
        <w:r w:rsidR="006F6B0D">
          <w:rPr>
            <w:noProof/>
            <w:webHidden/>
          </w:rPr>
          <w:fldChar w:fldCharType="separate"/>
        </w:r>
        <w:r w:rsidR="00BF2400">
          <w:rPr>
            <w:noProof/>
            <w:webHidden/>
          </w:rPr>
          <w:t>197</w:t>
        </w:r>
        <w:r w:rsidR="006F6B0D">
          <w:rPr>
            <w:noProof/>
            <w:webHidden/>
          </w:rPr>
          <w:fldChar w:fldCharType="end"/>
        </w:r>
      </w:hyperlink>
    </w:p>
    <w:p w14:paraId="2D99660A" w14:textId="4C29F673"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402" w:history="1">
        <w:r w:rsidR="006F6B0D" w:rsidRPr="00C80C3A">
          <w:rPr>
            <w:rStyle w:val="Hyperlink"/>
            <w:noProof/>
          </w:rPr>
          <w:t>7.2.</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IMPLEMENTATION OF COMMITMENT APPROPRIATIONS</w:t>
        </w:r>
        <w:r w:rsidR="006F6B0D">
          <w:rPr>
            <w:noProof/>
            <w:webHidden/>
          </w:rPr>
          <w:tab/>
        </w:r>
        <w:r w:rsidR="006F6B0D">
          <w:rPr>
            <w:noProof/>
            <w:webHidden/>
          </w:rPr>
          <w:fldChar w:fldCharType="begin"/>
        </w:r>
        <w:r w:rsidR="006F6B0D">
          <w:rPr>
            <w:noProof/>
            <w:webHidden/>
          </w:rPr>
          <w:instrText xml:space="preserve"> PAGEREF _Toc232674402 \h </w:instrText>
        </w:r>
        <w:r w:rsidR="006F6B0D">
          <w:rPr>
            <w:noProof/>
            <w:webHidden/>
          </w:rPr>
        </w:r>
        <w:r w:rsidR="006F6B0D">
          <w:rPr>
            <w:noProof/>
            <w:webHidden/>
          </w:rPr>
          <w:fldChar w:fldCharType="separate"/>
        </w:r>
        <w:r w:rsidR="00BF2400">
          <w:rPr>
            <w:noProof/>
            <w:webHidden/>
          </w:rPr>
          <w:t>199</w:t>
        </w:r>
        <w:r w:rsidR="006F6B0D">
          <w:rPr>
            <w:noProof/>
            <w:webHidden/>
          </w:rPr>
          <w:fldChar w:fldCharType="end"/>
        </w:r>
      </w:hyperlink>
    </w:p>
    <w:p w14:paraId="70EC6539" w14:textId="09E38BC1"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403" w:history="1">
        <w:r w:rsidR="006F6B0D" w:rsidRPr="00C80C3A">
          <w:rPr>
            <w:rStyle w:val="Hyperlink"/>
            <w:noProof/>
          </w:rPr>
          <w:t>7.3.</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IMPLEMENTATION OF PAYMENT APPROPRIATIONS</w:t>
        </w:r>
        <w:r w:rsidR="006F6B0D">
          <w:rPr>
            <w:noProof/>
            <w:webHidden/>
          </w:rPr>
          <w:tab/>
        </w:r>
        <w:r w:rsidR="006F6B0D">
          <w:rPr>
            <w:noProof/>
            <w:webHidden/>
          </w:rPr>
          <w:fldChar w:fldCharType="begin"/>
        </w:r>
        <w:r w:rsidR="006F6B0D">
          <w:rPr>
            <w:noProof/>
            <w:webHidden/>
          </w:rPr>
          <w:instrText xml:space="preserve"> PAGEREF _Toc232674403 \h </w:instrText>
        </w:r>
        <w:r w:rsidR="006F6B0D">
          <w:rPr>
            <w:noProof/>
            <w:webHidden/>
          </w:rPr>
        </w:r>
        <w:r w:rsidR="006F6B0D">
          <w:rPr>
            <w:noProof/>
            <w:webHidden/>
          </w:rPr>
          <w:fldChar w:fldCharType="separate"/>
        </w:r>
        <w:r w:rsidR="00BF2400">
          <w:rPr>
            <w:noProof/>
            <w:webHidden/>
          </w:rPr>
          <w:t>200</w:t>
        </w:r>
        <w:r w:rsidR="006F6B0D">
          <w:rPr>
            <w:noProof/>
            <w:webHidden/>
          </w:rPr>
          <w:fldChar w:fldCharType="end"/>
        </w:r>
      </w:hyperlink>
    </w:p>
    <w:p w14:paraId="37F42282" w14:textId="3F4CF0B7" w:rsidR="006F6B0D" w:rsidRDefault="00253107">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404" w:history="1">
        <w:r w:rsidR="006F6B0D" w:rsidRPr="00C80C3A">
          <w:rPr>
            <w:rStyle w:val="Hyperlink"/>
            <w:noProof/>
            <w14:scene3d>
              <w14:camera w14:prst="orthographicFront"/>
              <w14:lightRig w14:rig="threePt" w14:dir="t">
                <w14:rot w14:lat="0" w14:lon="0" w14:rev="0"/>
              </w14:lightRig>
            </w14:scene3d>
            <w14:props3d w14:extrusionH="0" w14:contourW="0" w14:prstMaterial="warmMatte"/>
          </w:rPr>
          <w:t>8.</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IMPLEMENTATION OF THE AGENCIES' BUDGETS</w:t>
        </w:r>
        <w:r w:rsidR="006F6B0D">
          <w:rPr>
            <w:noProof/>
            <w:webHidden/>
          </w:rPr>
          <w:tab/>
        </w:r>
        <w:r w:rsidR="006F6B0D">
          <w:rPr>
            <w:noProof/>
            <w:webHidden/>
          </w:rPr>
          <w:fldChar w:fldCharType="begin"/>
        </w:r>
        <w:r w:rsidR="006F6B0D">
          <w:rPr>
            <w:noProof/>
            <w:webHidden/>
          </w:rPr>
          <w:instrText xml:space="preserve"> PAGEREF _Toc232674404 \h </w:instrText>
        </w:r>
        <w:r w:rsidR="006F6B0D">
          <w:rPr>
            <w:noProof/>
            <w:webHidden/>
          </w:rPr>
        </w:r>
        <w:r w:rsidR="006F6B0D">
          <w:rPr>
            <w:noProof/>
            <w:webHidden/>
          </w:rPr>
          <w:fldChar w:fldCharType="separate"/>
        </w:r>
        <w:r w:rsidR="00BF2400">
          <w:rPr>
            <w:noProof/>
            <w:webHidden/>
          </w:rPr>
          <w:t>201</w:t>
        </w:r>
        <w:r w:rsidR="006F6B0D">
          <w:rPr>
            <w:noProof/>
            <w:webHidden/>
          </w:rPr>
          <w:fldChar w:fldCharType="end"/>
        </w:r>
      </w:hyperlink>
    </w:p>
    <w:p w14:paraId="2BDCB729" w14:textId="1FF4F111"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405" w:history="1">
        <w:r w:rsidR="006F6B0D" w:rsidRPr="00C80C3A">
          <w:rPr>
            <w:rStyle w:val="Hyperlink"/>
            <w:noProof/>
          </w:rPr>
          <w:t>8.1.</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BUDGET REVENUE</w:t>
        </w:r>
        <w:r w:rsidR="006F6B0D">
          <w:rPr>
            <w:noProof/>
            <w:webHidden/>
          </w:rPr>
          <w:tab/>
        </w:r>
        <w:r w:rsidR="006F6B0D">
          <w:rPr>
            <w:noProof/>
            <w:webHidden/>
          </w:rPr>
          <w:fldChar w:fldCharType="begin"/>
        </w:r>
        <w:r w:rsidR="006F6B0D">
          <w:rPr>
            <w:noProof/>
            <w:webHidden/>
          </w:rPr>
          <w:instrText xml:space="preserve"> PAGEREF _Toc232674405 \h </w:instrText>
        </w:r>
        <w:r w:rsidR="006F6B0D">
          <w:rPr>
            <w:noProof/>
            <w:webHidden/>
          </w:rPr>
        </w:r>
        <w:r w:rsidR="006F6B0D">
          <w:rPr>
            <w:noProof/>
            <w:webHidden/>
          </w:rPr>
          <w:fldChar w:fldCharType="separate"/>
        </w:r>
        <w:r w:rsidR="00BF2400">
          <w:rPr>
            <w:noProof/>
            <w:webHidden/>
          </w:rPr>
          <w:t>201</w:t>
        </w:r>
        <w:r w:rsidR="006F6B0D">
          <w:rPr>
            <w:noProof/>
            <w:webHidden/>
          </w:rPr>
          <w:fldChar w:fldCharType="end"/>
        </w:r>
      </w:hyperlink>
    </w:p>
    <w:p w14:paraId="4D6B62E1" w14:textId="42489860" w:rsidR="006F6B0D" w:rsidRDefault="00253107">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2674406" w:history="1">
        <w:r w:rsidR="006F6B0D" w:rsidRPr="00C80C3A">
          <w:rPr>
            <w:rStyle w:val="Hyperlink"/>
            <w:noProof/>
          </w:rPr>
          <w:t>8.2.</w:t>
        </w:r>
        <w:r w:rsidR="006F6B0D">
          <w:rPr>
            <w:rFonts w:asciiTheme="minorHAnsi" w:eastAsiaTheme="minorEastAsia" w:hAnsiTheme="minorHAnsi" w:cstheme="minorBidi"/>
            <w:noProof/>
            <w:color w:val="auto"/>
            <w:kern w:val="2"/>
            <w:sz w:val="24"/>
            <w:lang w:val="en-IE" w:eastAsia="en-IE"/>
            <w14:ligatures w14:val="standardContextual"/>
          </w:rPr>
          <w:tab/>
        </w:r>
        <w:r w:rsidR="006F6B0D" w:rsidRPr="00C80C3A">
          <w:rPr>
            <w:rStyle w:val="Hyperlink"/>
            <w:noProof/>
          </w:rPr>
          <w:t>COMMITMENT AND PAYMENT APPROPRIATIONS BY AGENCY</w:t>
        </w:r>
        <w:r w:rsidR="006F6B0D">
          <w:rPr>
            <w:noProof/>
            <w:webHidden/>
          </w:rPr>
          <w:tab/>
        </w:r>
        <w:r w:rsidR="006F6B0D">
          <w:rPr>
            <w:noProof/>
            <w:webHidden/>
          </w:rPr>
          <w:fldChar w:fldCharType="begin"/>
        </w:r>
        <w:r w:rsidR="006F6B0D">
          <w:rPr>
            <w:noProof/>
            <w:webHidden/>
          </w:rPr>
          <w:instrText xml:space="preserve"> PAGEREF _Toc232674406 \h </w:instrText>
        </w:r>
        <w:r w:rsidR="006F6B0D">
          <w:rPr>
            <w:noProof/>
            <w:webHidden/>
          </w:rPr>
        </w:r>
        <w:r w:rsidR="006F6B0D">
          <w:rPr>
            <w:noProof/>
            <w:webHidden/>
          </w:rPr>
          <w:fldChar w:fldCharType="separate"/>
        </w:r>
        <w:r w:rsidR="00BF2400">
          <w:rPr>
            <w:noProof/>
            <w:webHidden/>
          </w:rPr>
          <w:t>202</w:t>
        </w:r>
        <w:r w:rsidR="006F6B0D">
          <w:rPr>
            <w:noProof/>
            <w:webHidden/>
          </w:rPr>
          <w:fldChar w:fldCharType="end"/>
        </w:r>
      </w:hyperlink>
    </w:p>
    <w:p w14:paraId="231C95F5" w14:textId="2BBD3A6A" w:rsidR="00222A98" w:rsidRDefault="00023E71" w:rsidP="00797F06">
      <w:pPr>
        <w:pStyle w:val="Textstand-alone"/>
        <w:sectPr w:rsidR="00222A98" w:rsidSect="00222A98">
          <w:headerReference w:type="default" r:id="rId147"/>
          <w:footerReference w:type="default" r:id="rId148"/>
          <w:pgSz w:w="11907" w:h="16840"/>
          <w:pgMar w:top="1134" w:right="1134" w:bottom="1134" w:left="1134" w:header="709" w:footer="709" w:gutter="0"/>
          <w:cols w:space="708"/>
          <w:docGrid w:linePitch="360"/>
        </w:sectPr>
      </w:pPr>
      <w:r>
        <w:rPr>
          <w:caps/>
          <w:color w:val="016894"/>
          <w:sz w:val="20"/>
          <w:szCs w:val="24"/>
        </w:rPr>
        <w:fldChar w:fldCharType="end"/>
      </w:r>
      <w:bookmarkEnd w:id="253"/>
    </w:p>
    <w:p w14:paraId="1AB199B8" w14:textId="77777777" w:rsidR="0051334A" w:rsidRPr="00FA63DF" w:rsidRDefault="00023E71" w:rsidP="00F04F99">
      <w:pPr>
        <w:pStyle w:val="HEADER1PartBUDG"/>
        <w:rPr>
          <w:rFonts w:eastAsia="Calibri"/>
          <w:noProof/>
        </w:rPr>
      </w:pPr>
      <w:bookmarkStart w:id="254" w:name="_DMBM_36785"/>
      <w:r>
        <w:rPr>
          <w:rFonts w:eastAsia="Calibri"/>
          <w:noProof/>
        </w:rPr>
        <w:t xml:space="preserve"> </w:t>
      </w:r>
      <w:bookmarkStart w:id="255" w:name="_Toc232674375"/>
      <w:r w:rsidR="00F70EBD" w:rsidRPr="00FA63DF">
        <w:rPr>
          <w:rFonts w:eastAsia="Calibri"/>
          <w:noProof/>
        </w:rPr>
        <w:t>EU BUDGET RESULT</w:t>
      </w:r>
      <w:bookmarkEnd w:id="2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6707"/>
        <w:gridCol w:w="1186"/>
        <w:gridCol w:w="1186"/>
      </w:tblGrid>
      <w:tr w:rsidR="00807FFE" w14:paraId="3AA8121A" w14:textId="77777777">
        <w:trPr>
          <w:trHeight w:hRule="exact" w:val="284"/>
        </w:trPr>
        <w:tc>
          <w:tcPr>
            <w:tcW w:w="680" w:type="dxa"/>
            <w:tcBorders>
              <w:top w:val="nil"/>
              <w:left w:val="nil"/>
              <w:bottom w:val="nil"/>
              <w:right w:val="nil"/>
              <w:tl2br w:val="nil"/>
              <w:tr2bl w:val="nil"/>
            </w:tcBorders>
            <w:tcMar>
              <w:left w:w="60" w:type="dxa"/>
              <w:right w:w="60" w:type="dxa"/>
            </w:tcMar>
            <w:vAlign w:val="center"/>
          </w:tcPr>
          <w:p w14:paraId="2A62E6C9" w14:textId="77777777" w:rsidR="00807FFE" w:rsidRDefault="00807FFE">
            <w:pPr>
              <w:pStyle w:val="DMETW36691BIPBudgetresult"/>
              <w:jc w:val="right"/>
              <w:rPr>
                <w:rFonts w:ascii="Verdana" w:eastAsia="Verdana" w:hAnsi="Verdana" w:cs="Verdana"/>
                <w:i/>
                <w:noProof/>
                <w:color w:val="000000"/>
                <w:sz w:val="16"/>
                <w:lang w:bidi="en-GB"/>
              </w:rPr>
            </w:pPr>
            <w:bookmarkStart w:id="256" w:name="DOC_TBL00108_1_1"/>
            <w:bookmarkEnd w:id="256"/>
          </w:p>
        </w:tc>
        <w:tc>
          <w:tcPr>
            <w:tcW w:w="6707" w:type="dxa"/>
            <w:tcBorders>
              <w:top w:val="nil"/>
              <w:left w:val="nil"/>
              <w:bottom w:val="nil"/>
              <w:right w:val="nil"/>
              <w:tl2br w:val="nil"/>
              <w:tr2bl w:val="nil"/>
            </w:tcBorders>
            <w:tcMar>
              <w:left w:w="60" w:type="dxa"/>
              <w:right w:w="60" w:type="dxa"/>
            </w:tcMar>
            <w:vAlign w:val="center"/>
          </w:tcPr>
          <w:p w14:paraId="2F3C76AD" w14:textId="77777777" w:rsidR="00807FFE" w:rsidRDefault="00807FFE">
            <w:pPr>
              <w:pStyle w:val="DMETW36691BIPBudgetresult"/>
              <w:jc w:val="right"/>
              <w:rPr>
                <w:rFonts w:ascii="Verdana" w:eastAsia="Verdana" w:hAnsi="Verdana" w:cs="Verdana"/>
                <w:i/>
                <w:noProof/>
                <w:color w:val="000000"/>
                <w:sz w:val="16"/>
              </w:rPr>
            </w:pPr>
          </w:p>
        </w:tc>
        <w:tc>
          <w:tcPr>
            <w:tcW w:w="1186" w:type="dxa"/>
            <w:tcBorders>
              <w:top w:val="nil"/>
              <w:left w:val="nil"/>
              <w:bottom w:val="nil"/>
              <w:right w:val="nil"/>
              <w:tl2br w:val="nil"/>
              <w:tr2bl w:val="nil"/>
            </w:tcBorders>
            <w:tcMar>
              <w:left w:w="60" w:type="dxa"/>
              <w:right w:w="60" w:type="dxa"/>
            </w:tcMar>
            <w:vAlign w:val="center"/>
          </w:tcPr>
          <w:p w14:paraId="3DA19387" w14:textId="77777777" w:rsidR="00807FFE" w:rsidRDefault="00807FFE">
            <w:pPr>
              <w:pStyle w:val="DMETW36691BIPBudgetresult"/>
              <w:jc w:val="right"/>
              <w:rPr>
                <w:rFonts w:ascii="Verdana" w:eastAsia="Verdana" w:hAnsi="Verdana" w:cs="Verdana"/>
                <w:i/>
                <w:noProof/>
                <w:color w:val="000000"/>
                <w:sz w:val="16"/>
              </w:rPr>
            </w:pPr>
          </w:p>
        </w:tc>
        <w:tc>
          <w:tcPr>
            <w:tcW w:w="1186" w:type="dxa"/>
            <w:tcBorders>
              <w:top w:val="nil"/>
              <w:left w:val="nil"/>
              <w:bottom w:val="nil"/>
              <w:right w:val="nil"/>
              <w:tl2br w:val="nil"/>
              <w:tr2bl w:val="nil"/>
            </w:tcBorders>
            <w:tcMar>
              <w:left w:w="60" w:type="dxa"/>
              <w:right w:w="60" w:type="dxa"/>
            </w:tcMar>
            <w:vAlign w:val="center"/>
          </w:tcPr>
          <w:p w14:paraId="7AA58339" w14:textId="77777777" w:rsidR="00807FFE" w:rsidRDefault="00023E71">
            <w:pPr>
              <w:pStyle w:val="DMETW36691BIPBudgetresult"/>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D023066" w14:textId="77777777">
        <w:trPr>
          <w:trHeight w:hRule="exact" w:val="366"/>
        </w:trPr>
        <w:tc>
          <w:tcPr>
            <w:tcW w:w="680" w:type="dxa"/>
            <w:tcBorders>
              <w:top w:val="nil"/>
              <w:left w:val="nil"/>
              <w:bottom w:val="nil"/>
              <w:right w:val="nil"/>
              <w:tl2br w:val="nil"/>
              <w:tr2bl w:val="nil"/>
            </w:tcBorders>
            <w:shd w:val="solid" w:color="016794" w:fill="FFFFFF"/>
            <w:tcMar>
              <w:left w:w="60" w:type="dxa"/>
              <w:right w:w="60" w:type="dxa"/>
            </w:tcMar>
            <w:vAlign w:val="center"/>
          </w:tcPr>
          <w:p w14:paraId="5CCB349A" w14:textId="77777777" w:rsidR="00807FFE" w:rsidRDefault="00023E71">
            <w:pPr>
              <w:pStyle w:val="DMETW36691BIPBudgetresult"/>
              <w:jc w:val="center"/>
              <w:rPr>
                <w:rFonts w:ascii="Verdana" w:eastAsia="Verdana" w:hAnsi="Verdana" w:cs="Verdana"/>
                <w:noProof/>
                <w:color w:val="FFFFFF"/>
                <w:sz w:val="16"/>
              </w:rPr>
            </w:pPr>
            <w:r>
              <w:rPr>
                <w:rFonts w:ascii="Verdana" w:eastAsia="Verdana" w:hAnsi="Verdana" w:cs="Verdana"/>
                <w:noProof/>
                <w:color w:val="FFFFFF"/>
                <w:sz w:val="16"/>
              </w:rPr>
              <w:t>Note</w:t>
            </w:r>
          </w:p>
        </w:tc>
        <w:tc>
          <w:tcPr>
            <w:tcW w:w="6707" w:type="dxa"/>
            <w:tcBorders>
              <w:top w:val="nil"/>
              <w:left w:val="nil"/>
              <w:bottom w:val="nil"/>
              <w:right w:val="nil"/>
              <w:tl2br w:val="nil"/>
              <w:tr2bl w:val="nil"/>
            </w:tcBorders>
            <w:shd w:val="solid" w:color="016794" w:fill="FFFFFF"/>
            <w:tcMar>
              <w:left w:w="60" w:type="dxa"/>
              <w:right w:w="60" w:type="dxa"/>
            </w:tcMar>
            <w:vAlign w:val="center"/>
          </w:tcPr>
          <w:p w14:paraId="7AADEAE2" w14:textId="77777777" w:rsidR="00807FFE" w:rsidRDefault="00807FFE">
            <w:pPr>
              <w:pStyle w:val="DMETW36691BIPBudgetresult"/>
              <w:jc w:val="right"/>
              <w:rPr>
                <w:rFonts w:ascii="Verdana" w:eastAsia="Verdana" w:hAnsi="Verdana" w:cs="Verdana"/>
                <w:noProof/>
                <w:color w:val="FFFFFF"/>
                <w:sz w:val="16"/>
              </w:rPr>
            </w:pPr>
          </w:p>
        </w:tc>
        <w:tc>
          <w:tcPr>
            <w:tcW w:w="1186" w:type="dxa"/>
            <w:tcBorders>
              <w:top w:val="nil"/>
              <w:left w:val="nil"/>
              <w:bottom w:val="nil"/>
              <w:right w:val="nil"/>
              <w:tl2br w:val="nil"/>
              <w:tr2bl w:val="nil"/>
            </w:tcBorders>
            <w:shd w:val="solid" w:color="016794" w:fill="FFFFFF"/>
            <w:tcMar>
              <w:left w:w="60" w:type="dxa"/>
              <w:right w:w="60" w:type="dxa"/>
            </w:tcMar>
            <w:vAlign w:val="center"/>
          </w:tcPr>
          <w:p w14:paraId="7D18D25D" w14:textId="77777777" w:rsidR="00807FFE" w:rsidRDefault="00023E71">
            <w:pPr>
              <w:pStyle w:val="DMETW36691BIPBudgetresult"/>
              <w:jc w:val="right"/>
              <w:rPr>
                <w:rFonts w:ascii="Verdana" w:eastAsia="Verdana" w:hAnsi="Verdana" w:cs="Verdana"/>
                <w:noProof/>
                <w:color w:val="FFFFFF"/>
                <w:sz w:val="16"/>
              </w:rPr>
            </w:pPr>
            <w:r>
              <w:rPr>
                <w:rFonts w:ascii="Verdana" w:eastAsia="Verdana" w:hAnsi="Verdana" w:cs="Verdana"/>
                <w:noProof/>
                <w:color w:val="FFFFFF"/>
                <w:sz w:val="16"/>
              </w:rPr>
              <w:t>2025</w:t>
            </w:r>
          </w:p>
        </w:tc>
        <w:tc>
          <w:tcPr>
            <w:tcW w:w="1186" w:type="dxa"/>
            <w:tcBorders>
              <w:top w:val="nil"/>
              <w:left w:val="nil"/>
              <w:bottom w:val="nil"/>
              <w:right w:val="nil"/>
              <w:tl2br w:val="nil"/>
              <w:tr2bl w:val="nil"/>
            </w:tcBorders>
            <w:shd w:val="solid" w:color="016794" w:fill="FFFFFF"/>
            <w:tcMar>
              <w:left w:w="60" w:type="dxa"/>
              <w:right w:w="60" w:type="dxa"/>
            </w:tcMar>
            <w:vAlign w:val="center"/>
          </w:tcPr>
          <w:p w14:paraId="3C4B3A23" w14:textId="77777777" w:rsidR="00807FFE" w:rsidRDefault="00023E71">
            <w:pPr>
              <w:pStyle w:val="DMETW36691BIPBudgetresult"/>
              <w:jc w:val="center"/>
              <w:rPr>
                <w:rFonts w:ascii="Verdana" w:eastAsia="Verdana" w:hAnsi="Verdana" w:cs="Verdana"/>
                <w:noProof/>
                <w:color w:val="FFFFFF"/>
                <w:sz w:val="16"/>
                <w:lang w:bidi="en-GB"/>
              </w:rPr>
            </w:pPr>
            <w:r>
              <w:rPr>
                <w:rFonts w:ascii="Verdana" w:eastAsia="Verdana" w:hAnsi="Verdana" w:cs="Verdana"/>
                <w:noProof/>
                <w:color w:val="FFFFFF"/>
                <w:sz w:val="16"/>
              </w:rPr>
              <w:t>2024</w:t>
            </w:r>
          </w:p>
        </w:tc>
      </w:tr>
      <w:tr w:rsidR="00807FFE" w14:paraId="294A052B" w14:textId="77777777">
        <w:trPr>
          <w:trHeight w:hRule="exact" w:val="284"/>
        </w:trPr>
        <w:tc>
          <w:tcPr>
            <w:tcW w:w="680" w:type="dxa"/>
            <w:tcBorders>
              <w:top w:val="nil"/>
              <w:left w:val="nil"/>
              <w:bottom w:val="nil"/>
              <w:right w:val="nil"/>
              <w:tl2br w:val="nil"/>
              <w:tr2bl w:val="nil"/>
            </w:tcBorders>
            <w:tcMar>
              <w:left w:w="60" w:type="dxa"/>
              <w:right w:w="60" w:type="dxa"/>
            </w:tcMar>
            <w:vAlign w:val="center"/>
          </w:tcPr>
          <w:p w14:paraId="4807912C" w14:textId="77777777" w:rsidR="00807FFE" w:rsidRDefault="00023E71">
            <w:pPr>
              <w:pStyle w:val="DMETW36691BIPBudgetresult"/>
              <w:jc w:val="center"/>
              <w:rPr>
                <w:rFonts w:ascii="Verdana" w:eastAsia="Verdana" w:hAnsi="Verdana" w:cs="Verdana"/>
                <w:noProof/>
                <w:color w:val="000000"/>
                <w:sz w:val="16"/>
              </w:rPr>
            </w:pPr>
            <w:r>
              <w:rPr>
                <w:rFonts w:ascii="Verdana" w:eastAsia="Verdana" w:hAnsi="Verdana" w:cs="Verdana"/>
                <w:noProof/>
                <w:color w:val="000000"/>
                <w:sz w:val="16"/>
              </w:rPr>
              <w:t>a</w:t>
            </w:r>
          </w:p>
        </w:tc>
        <w:tc>
          <w:tcPr>
            <w:tcW w:w="6707" w:type="dxa"/>
            <w:tcBorders>
              <w:top w:val="nil"/>
              <w:left w:val="nil"/>
              <w:bottom w:val="nil"/>
              <w:right w:val="nil"/>
              <w:tl2br w:val="nil"/>
              <w:tr2bl w:val="nil"/>
            </w:tcBorders>
            <w:tcMar>
              <w:left w:w="60" w:type="dxa"/>
              <w:right w:w="60" w:type="dxa"/>
            </w:tcMar>
            <w:vAlign w:val="center"/>
          </w:tcPr>
          <w:p w14:paraId="65590FD6" w14:textId="77777777" w:rsidR="00807FFE" w:rsidRDefault="00023E71">
            <w:pPr>
              <w:pStyle w:val="DMETW36691BIPBudgetresult"/>
              <w:rPr>
                <w:rFonts w:ascii="Verdana" w:eastAsia="Verdana" w:hAnsi="Verdana" w:cs="Verdana"/>
                <w:noProof/>
                <w:color w:val="000000"/>
                <w:sz w:val="16"/>
              </w:rPr>
            </w:pPr>
            <w:r>
              <w:rPr>
                <w:rFonts w:ascii="Verdana" w:eastAsia="Verdana" w:hAnsi="Verdana" w:cs="Verdana"/>
                <w:noProof/>
                <w:color w:val="000000"/>
                <w:sz w:val="16"/>
              </w:rPr>
              <w:t>Revenue for the financial year</w:t>
            </w:r>
          </w:p>
        </w:tc>
        <w:tc>
          <w:tcPr>
            <w:tcW w:w="1186" w:type="dxa"/>
            <w:tcBorders>
              <w:top w:val="nil"/>
              <w:left w:val="nil"/>
              <w:bottom w:val="nil"/>
              <w:right w:val="nil"/>
              <w:tl2br w:val="nil"/>
              <w:tr2bl w:val="nil"/>
            </w:tcBorders>
            <w:tcMar>
              <w:left w:w="60" w:type="dxa"/>
              <w:right w:w="60" w:type="dxa"/>
            </w:tcMar>
            <w:vAlign w:val="center"/>
          </w:tcPr>
          <w:p w14:paraId="24C17031" w14:textId="77777777" w:rsidR="00807FFE" w:rsidRDefault="00023E71">
            <w:pPr>
              <w:pStyle w:val="DMETW36691BIPBudgetresult"/>
              <w:jc w:val="right"/>
              <w:rPr>
                <w:rFonts w:ascii="Verdana" w:eastAsia="Verdana" w:hAnsi="Verdana" w:cs="Verdana"/>
                <w:noProof/>
                <w:color w:val="000000"/>
                <w:sz w:val="16"/>
              </w:rPr>
            </w:pPr>
            <w:r>
              <w:rPr>
                <w:rFonts w:ascii="Verdana" w:eastAsia="Verdana" w:hAnsi="Verdana" w:cs="Verdana"/>
                <w:noProof/>
                <w:color w:val="000000"/>
                <w:sz w:val="16"/>
              </w:rPr>
              <w:t>224 398</w:t>
            </w:r>
          </w:p>
        </w:tc>
        <w:tc>
          <w:tcPr>
            <w:tcW w:w="1186" w:type="dxa"/>
            <w:tcBorders>
              <w:top w:val="nil"/>
              <w:left w:val="nil"/>
              <w:bottom w:val="nil"/>
              <w:right w:val="nil"/>
              <w:tl2br w:val="nil"/>
              <w:tr2bl w:val="nil"/>
            </w:tcBorders>
            <w:tcMar>
              <w:left w:w="60" w:type="dxa"/>
              <w:right w:w="60" w:type="dxa"/>
            </w:tcMar>
            <w:vAlign w:val="center"/>
          </w:tcPr>
          <w:p w14:paraId="2BF9CD69" w14:textId="77777777" w:rsidR="00807FFE" w:rsidRDefault="00023E71">
            <w:pPr>
              <w:pStyle w:val="DMETW36691BIPBudgetresult"/>
              <w:jc w:val="right"/>
              <w:rPr>
                <w:rFonts w:ascii="Verdana" w:eastAsia="Verdana" w:hAnsi="Verdana" w:cs="Verdana"/>
                <w:noProof/>
                <w:color w:val="000000"/>
                <w:sz w:val="16"/>
                <w:lang w:bidi="en-GB"/>
              </w:rPr>
            </w:pPr>
            <w:r>
              <w:rPr>
                <w:rFonts w:ascii="Verdana" w:eastAsia="Verdana" w:hAnsi="Verdana" w:cs="Verdana"/>
                <w:noProof/>
                <w:color w:val="000000"/>
                <w:sz w:val="16"/>
              </w:rPr>
              <w:t>250 609</w:t>
            </w:r>
          </w:p>
        </w:tc>
      </w:tr>
      <w:tr w:rsidR="00807FFE" w14:paraId="18E0A78F" w14:textId="77777777">
        <w:trPr>
          <w:trHeight w:hRule="exact" w:val="284"/>
        </w:trPr>
        <w:tc>
          <w:tcPr>
            <w:tcW w:w="680" w:type="dxa"/>
            <w:tcBorders>
              <w:top w:val="nil"/>
              <w:left w:val="nil"/>
              <w:bottom w:val="nil"/>
              <w:right w:val="nil"/>
              <w:tl2br w:val="nil"/>
              <w:tr2bl w:val="nil"/>
            </w:tcBorders>
            <w:tcMar>
              <w:left w:w="60" w:type="dxa"/>
              <w:right w:w="60" w:type="dxa"/>
            </w:tcMar>
            <w:vAlign w:val="center"/>
          </w:tcPr>
          <w:p w14:paraId="17B51C2A" w14:textId="77777777" w:rsidR="00807FFE" w:rsidRDefault="00023E71">
            <w:pPr>
              <w:pStyle w:val="DMETW36691BIPBudgetresult"/>
              <w:jc w:val="center"/>
              <w:rPr>
                <w:rFonts w:ascii="Verdana" w:eastAsia="Verdana" w:hAnsi="Verdana" w:cs="Verdana"/>
                <w:noProof/>
                <w:color w:val="000000"/>
                <w:sz w:val="16"/>
              </w:rPr>
            </w:pPr>
            <w:r>
              <w:rPr>
                <w:rFonts w:ascii="Verdana" w:eastAsia="Verdana" w:hAnsi="Verdana" w:cs="Verdana"/>
                <w:noProof/>
                <w:color w:val="000000"/>
                <w:sz w:val="16"/>
              </w:rPr>
              <w:t>b</w:t>
            </w:r>
          </w:p>
        </w:tc>
        <w:tc>
          <w:tcPr>
            <w:tcW w:w="6707" w:type="dxa"/>
            <w:tcBorders>
              <w:top w:val="nil"/>
              <w:left w:val="nil"/>
              <w:bottom w:val="nil"/>
              <w:right w:val="nil"/>
              <w:tl2br w:val="nil"/>
              <w:tr2bl w:val="nil"/>
            </w:tcBorders>
            <w:tcMar>
              <w:left w:w="60" w:type="dxa"/>
              <w:right w:w="60" w:type="dxa"/>
            </w:tcMar>
            <w:vAlign w:val="center"/>
          </w:tcPr>
          <w:p w14:paraId="1A062D0F" w14:textId="77777777" w:rsidR="00807FFE" w:rsidRDefault="00023E71">
            <w:pPr>
              <w:pStyle w:val="DMETW36691BIPBudgetresult"/>
              <w:rPr>
                <w:rFonts w:ascii="Verdana" w:eastAsia="Verdana" w:hAnsi="Verdana" w:cs="Verdana"/>
                <w:noProof/>
                <w:color w:val="000000"/>
                <w:sz w:val="16"/>
              </w:rPr>
            </w:pPr>
            <w:r>
              <w:rPr>
                <w:rFonts w:ascii="Verdana" w:eastAsia="Verdana" w:hAnsi="Verdana" w:cs="Verdana"/>
                <w:noProof/>
                <w:color w:val="000000"/>
                <w:sz w:val="16"/>
              </w:rPr>
              <w:t>Payments against current year appropriations</w:t>
            </w:r>
          </w:p>
        </w:tc>
        <w:tc>
          <w:tcPr>
            <w:tcW w:w="1186" w:type="dxa"/>
            <w:tcBorders>
              <w:top w:val="nil"/>
              <w:left w:val="nil"/>
              <w:bottom w:val="nil"/>
              <w:right w:val="nil"/>
              <w:tl2br w:val="nil"/>
              <w:tr2bl w:val="nil"/>
            </w:tcBorders>
            <w:tcMar>
              <w:left w:w="60" w:type="dxa"/>
              <w:right w:w="60" w:type="dxa"/>
            </w:tcMar>
            <w:vAlign w:val="center"/>
          </w:tcPr>
          <w:p w14:paraId="79FB5BF5" w14:textId="77777777" w:rsidR="00807FFE" w:rsidRDefault="00023E71">
            <w:pPr>
              <w:pStyle w:val="DMETW36691BIPBudgetresult"/>
              <w:jc w:val="right"/>
              <w:rPr>
                <w:rFonts w:ascii="Verdana" w:eastAsia="Verdana" w:hAnsi="Verdana" w:cs="Verdana"/>
                <w:noProof/>
                <w:color w:val="000000"/>
                <w:sz w:val="16"/>
              </w:rPr>
            </w:pPr>
            <w:r>
              <w:rPr>
                <w:rFonts w:ascii="Verdana" w:eastAsia="Verdana" w:hAnsi="Verdana" w:cs="Verdana"/>
                <w:noProof/>
                <w:color w:val="000000"/>
                <w:sz w:val="16"/>
              </w:rPr>
              <w:t>(212 797)</w:t>
            </w:r>
          </w:p>
        </w:tc>
        <w:tc>
          <w:tcPr>
            <w:tcW w:w="1186" w:type="dxa"/>
            <w:tcBorders>
              <w:top w:val="nil"/>
              <w:left w:val="nil"/>
              <w:bottom w:val="nil"/>
              <w:right w:val="nil"/>
              <w:tl2br w:val="nil"/>
              <w:tr2bl w:val="nil"/>
            </w:tcBorders>
            <w:tcMar>
              <w:left w:w="60" w:type="dxa"/>
              <w:right w:w="60" w:type="dxa"/>
            </w:tcMar>
            <w:vAlign w:val="center"/>
          </w:tcPr>
          <w:p w14:paraId="3B03B918" w14:textId="77777777" w:rsidR="00807FFE" w:rsidRDefault="00023E71">
            <w:pPr>
              <w:pStyle w:val="DMETW36691BIPBudgetresult"/>
              <w:jc w:val="right"/>
              <w:rPr>
                <w:rFonts w:ascii="Verdana" w:eastAsia="Verdana" w:hAnsi="Verdana" w:cs="Verdana"/>
                <w:noProof/>
                <w:color w:val="000000"/>
                <w:sz w:val="16"/>
                <w:lang w:bidi="en-GB"/>
              </w:rPr>
            </w:pPr>
            <w:r>
              <w:rPr>
                <w:rFonts w:ascii="Verdana" w:eastAsia="Verdana" w:hAnsi="Verdana" w:cs="Verdana"/>
                <w:noProof/>
                <w:color w:val="000000"/>
                <w:sz w:val="16"/>
              </w:rPr>
              <w:t>( 244 309)</w:t>
            </w:r>
          </w:p>
        </w:tc>
      </w:tr>
      <w:tr w:rsidR="00807FFE" w14:paraId="00DC8249" w14:textId="77777777">
        <w:trPr>
          <w:trHeight w:hRule="exact" w:val="284"/>
        </w:trPr>
        <w:tc>
          <w:tcPr>
            <w:tcW w:w="680" w:type="dxa"/>
            <w:tcBorders>
              <w:top w:val="nil"/>
              <w:left w:val="nil"/>
              <w:bottom w:val="nil"/>
              <w:right w:val="nil"/>
              <w:tl2br w:val="nil"/>
              <w:tr2bl w:val="nil"/>
            </w:tcBorders>
            <w:tcMar>
              <w:left w:w="60" w:type="dxa"/>
              <w:right w:w="60" w:type="dxa"/>
            </w:tcMar>
            <w:vAlign w:val="center"/>
          </w:tcPr>
          <w:p w14:paraId="7D88EA9E" w14:textId="77777777" w:rsidR="00807FFE" w:rsidRDefault="00023E71">
            <w:pPr>
              <w:pStyle w:val="DMETW36691BIPBudgetresult"/>
              <w:jc w:val="center"/>
              <w:rPr>
                <w:rFonts w:ascii="Verdana" w:eastAsia="Verdana" w:hAnsi="Verdana" w:cs="Verdana"/>
                <w:noProof/>
                <w:color w:val="000000"/>
                <w:sz w:val="16"/>
              </w:rPr>
            </w:pPr>
            <w:r>
              <w:rPr>
                <w:rFonts w:ascii="Verdana" w:eastAsia="Verdana" w:hAnsi="Verdana" w:cs="Verdana"/>
                <w:noProof/>
                <w:color w:val="000000"/>
                <w:sz w:val="16"/>
              </w:rPr>
              <w:t>c</w:t>
            </w:r>
          </w:p>
        </w:tc>
        <w:tc>
          <w:tcPr>
            <w:tcW w:w="6707" w:type="dxa"/>
            <w:tcBorders>
              <w:top w:val="nil"/>
              <w:left w:val="nil"/>
              <w:bottom w:val="nil"/>
              <w:right w:val="nil"/>
              <w:tl2br w:val="nil"/>
              <w:tr2bl w:val="nil"/>
            </w:tcBorders>
            <w:tcMar>
              <w:left w:w="60" w:type="dxa"/>
              <w:right w:w="60" w:type="dxa"/>
            </w:tcMar>
            <w:vAlign w:val="center"/>
          </w:tcPr>
          <w:p w14:paraId="089DAF28" w14:textId="77777777" w:rsidR="00807FFE" w:rsidRDefault="00023E71">
            <w:pPr>
              <w:pStyle w:val="DMETW36691BIPBudgetresult"/>
              <w:rPr>
                <w:rFonts w:ascii="Verdana" w:eastAsia="Verdana" w:hAnsi="Verdana" w:cs="Verdana"/>
                <w:noProof/>
                <w:color w:val="000000"/>
                <w:sz w:val="16"/>
              </w:rPr>
            </w:pPr>
            <w:r>
              <w:rPr>
                <w:rFonts w:ascii="Verdana" w:eastAsia="Verdana" w:hAnsi="Verdana" w:cs="Verdana"/>
                <w:noProof/>
                <w:color w:val="000000"/>
                <w:sz w:val="16"/>
              </w:rPr>
              <w:t>Payment appropriations carried over to year N+1</w:t>
            </w:r>
          </w:p>
        </w:tc>
        <w:tc>
          <w:tcPr>
            <w:tcW w:w="1186" w:type="dxa"/>
            <w:tcBorders>
              <w:top w:val="nil"/>
              <w:left w:val="nil"/>
              <w:bottom w:val="nil"/>
              <w:right w:val="nil"/>
              <w:tl2br w:val="nil"/>
              <w:tr2bl w:val="nil"/>
            </w:tcBorders>
            <w:tcMar>
              <w:left w:w="60" w:type="dxa"/>
              <w:right w:w="60" w:type="dxa"/>
            </w:tcMar>
            <w:vAlign w:val="center"/>
          </w:tcPr>
          <w:p w14:paraId="24553978" w14:textId="77777777" w:rsidR="00807FFE" w:rsidRDefault="00023E71">
            <w:pPr>
              <w:pStyle w:val="DMETW36691BIPBudgetresult"/>
              <w:jc w:val="right"/>
              <w:rPr>
                <w:rFonts w:ascii="Verdana" w:eastAsia="Verdana" w:hAnsi="Verdana" w:cs="Verdana"/>
                <w:noProof/>
                <w:color w:val="000000"/>
                <w:sz w:val="16"/>
              </w:rPr>
            </w:pPr>
            <w:r>
              <w:rPr>
                <w:rFonts w:ascii="Verdana" w:eastAsia="Verdana" w:hAnsi="Verdana" w:cs="Verdana"/>
                <w:noProof/>
                <w:color w:val="000000"/>
                <w:sz w:val="16"/>
              </w:rPr>
              <w:t>(6 087)</w:t>
            </w:r>
          </w:p>
        </w:tc>
        <w:tc>
          <w:tcPr>
            <w:tcW w:w="1186" w:type="dxa"/>
            <w:tcBorders>
              <w:top w:val="nil"/>
              <w:left w:val="nil"/>
              <w:bottom w:val="nil"/>
              <w:right w:val="nil"/>
              <w:tl2br w:val="nil"/>
              <w:tr2bl w:val="nil"/>
            </w:tcBorders>
            <w:tcMar>
              <w:left w:w="60" w:type="dxa"/>
              <w:right w:w="60" w:type="dxa"/>
            </w:tcMar>
            <w:vAlign w:val="center"/>
          </w:tcPr>
          <w:p w14:paraId="748A8350" w14:textId="77777777" w:rsidR="00807FFE" w:rsidRDefault="00023E71">
            <w:pPr>
              <w:pStyle w:val="DMETW36691BIPBudgetresult"/>
              <w:jc w:val="right"/>
              <w:rPr>
                <w:rFonts w:ascii="Verdana" w:eastAsia="Verdana" w:hAnsi="Verdana" w:cs="Verdana"/>
                <w:noProof/>
                <w:color w:val="000000"/>
                <w:sz w:val="16"/>
                <w:lang w:bidi="en-GB"/>
              </w:rPr>
            </w:pPr>
            <w:r>
              <w:rPr>
                <w:rFonts w:ascii="Verdana" w:eastAsia="Verdana" w:hAnsi="Verdana" w:cs="Verdana"/>
                <w:noProof/>
                <w:color w:val="000000"/>
                <w:sz w:val="16"/>
              </w:rPr>
              <w:t>( 3 848)</w:t>
            </w:r>
          </w:p>
        </w:tc>
      </w:tr>
      <w:tr w:rsidR="00807FFE" w14:paraId="76AA13CD" w14:textId="77777777">
        <w:trPr>
          <w:trHeight w:hRule="exact" w:val="284"/>
        </w:trPr>
        <w:tc>
          <w:tcPr>
            <w:tcW w:w="680" w:type="dxa"/>
            <w:tcBorders>
              <w:top w:val="nil"/>
              <w:left w:val="nil"/>
              <w:bottom w:val="nil"/>
              <w:right w:val="nil"/>
              <w:tl2br w:val="nil"/>
              <w:tr2bl w:val="nil"/>
            </w:tcBorders>
            <w:tcMar>
              <w:left w:w="60" w:type="dxa"/>
              <w:right w:w="60" w:type="dxa"/>
            </w:tcMar>
            <w:vAlign w:val="center"/>
          </w:tcPr>
          <w:p w14:paraId="267EE57D" w14:textId="77777777" w:rsidR="00807FFE" w:rsidRDefault="00023E71">
            <w:pPr>
              <w:pStyle w:val="DMETW36691BIPBudgetresult"/>
              <w:jc w:val="center"/>
              <w:rPr>
                <w:rFonts w:ascii="Verdana" w:eastAsia="Verdana" w:hAnsi="Verdana" w:cs="Verdana"/>
                <w:noProof/>
                <w:color w:val="000000"/>
                <w:sz w:val="16"/>
              </w:rPr>
            </w:pPr>
            <w:r>
              <w:rPr>
                <w:rFonts w:ascii="Verdana" w:eastAsia="Verdana" w:hAnsi="Verdana" w:cs="Verdana"/>
                <w:noProof/>
                <w:color w:val="000000"/>
                <w:sz w:val="16"/>
              </w:rPr>
              <w:t>d</w:t>
            </w:r>
          </w:p>
        </w:tc>
        <w:tc>
          <w:tcPr>
            <w:tcW w:w="6707" w:type="dxa"/>
            <w:tcBorders>
              <w:top w:val="nil"/>
              <w:left w:val="nil"/>
              <w:bottom w:val="nil"/>
              <w:right w:val="nil"/>
              <w:tl2br w:val="nil"/>
              <w:tr2bl w:val="nil"/>
            </w:tcBorders>
            <w:tcMar>
              <w:left w:w="60" w:type="dxa"/>
              <w:right w:w="60" w:type="dxa"/>
            </w:tcMar>
            <w:vAlign w:val="center"/>
          </w:tcPr>
          <w:p w14:paraId="6D36C460" w14:textId="77777777" w:rsidR="00807FFE" w:rsidRDefault="00023E71">
            <w:pPr>
              <w:pStyle w:val="DMETW36691BIPBudgetresult"/>
              <w:rPr>
                <w:rFonts w:ascii="Verdana" w:eastAsia="Verdana" w:hAnsi="Verdana" w:cs="Verdana"/>
                <w:noProof/>
                <w:color w:val="000000"/>
                <w:sz w:val="16"/>
              </w:rPr>
            </w:pPr>
            <w:r>
              <w:rPr>
                <w:rFonts w:ascii="Verdana" w:eastAsia="Verdana" w:hAnsi="Verdana" w:cs="Verdana"/>
                <w:noProof/>
                <w:color w:val="000000"/>
                <w:sz w:val="16"/>
              </w:rPr>
              <w:t>Cancellation of unused appropriations carried over from year N-1</w:t>
            </w:r>
          </w:p>
        </w:tc>
        <w:tc>
          <w:tcPr>
            <w:tcW w:w="1186" w:type="dxa"/>
            <w:tcBorders>
              <w:top w:val="nil"/>
              <w:left w:val="nil"/>
              <w:bottom w:val="nil"/>
              <w:right w:val="nil"/>
              <w:tl2br w:val="nil"/>
              <w:tr2bl w:val="nil"/>
            </w:tcBorders>
            <w:tcMar>
              <w:left w:w="60" w:type="dxa"/>
              <w:right w:w="60" w:type="dxa"/>
            </w:tcMar>
            <w:vAlign w:val="center"/>
          </w:tcPr>
          <w:p w14:paraId="691885A8" w14:textId="77777777" w:rsidR="00807FFE" w:rsidRDefault="00023E71">
            <w:pPr>
              <w:pStyle w:val="DMETW36691BIPBudgetresult"/>
              <w:jc w:val="right"/>
              <w:rPr>
                <w:rFonts w:ascii="Verdana" w:eastAsia="Verdana" w:hAnsi="Verdana" w:cs="Verdana"/>
                <w:noProof/>
                <w:color w:val="000000"/>
                <w:sz w:val="16"/>
              </w:rPr>
            </w:pPr>
            <w:r>
              <w:rPr>
                <w:rFonts w:ascii="Verdana" w:eastAsia="Verdana" w:hAnsi="Verdana" w:cs="Verdana"/>
                <w:noProof/>
                <w:color w:val="000000"/>
                <w:sz w:val="16"/>
              </w:rPr>
              <w:t>273</w:t>
            </w:r>
          </w:p>
        </w:tc>
        <w:tc>
          <w:tcPr>
            <w:tcW w:w="1186" w:type="dxa"/>
            <w:tcBorders>
              <w:top w:val="nil"/>
              <w:left w:val="nil"/>
              <w:bottom w:val="nil"/>
              <w:right w:val="nil"/>
              <w:tl2br w:val="nil"/>
              <w:tr2bl w:val="nil"/>
            </w:tcBorders>
            <w:tcMar>
              <w:left w:w="60" w:type="dxa"/>
              <w:right w:w="60" w:type="dxa"/>
            </w:tcMar>
            <w:vAlign w:val="center"/>
          </w:tcPr>
          <w:p w14:paraId="6CCC5A1E" w14:textId="77777777" w:rsidR="00807FFE" w:rsidRDefault="00023E71">
            <w:pPr>
              <w:pStyle w:val="DMETW36691BIPBudgetresult"/>
              <w:jc w:val="right"/>
              <w:rPr>
                <w:rFonts w:ascii="Verdana" w:eastAsia="Verdana" w:hAnsi="Verdana" w:cs="Verdana"/>
                <w:noProof/>
                <w:color w:val="000000"/>
                <w:sz w:val="16"/>
                <w:lang w:bidi="en-GB"/>
              </w:rPr>
            </w:pPr>
            <w:r>
              <w:rPr>
                <w:rFonts w:ascii="Verdana" w:eastAsia="Verdana" w:hAnsi="Verdana" w:cs="Verdana"/>
                <w:noProof/>
                <w:color w:val="000000"/>
                <w:sz w:val="16"/>
              </w:rPr>
              <w:t>  334</w:t>
            </w:r>
          </w:p>
        </w:tc>
      </w:tr>
      <w:tr w:rsidR="00807FFE" w14:paraId="0C090BC1" w14:textId="77777777">
        <w:trPr>
          <w:trHeight w:hRule="exact" w:val="284"/>
        </w:trPr>
        <w:tc>
          <w:tcPr>
            <w:tcW w:w="680" w:type="dxa"/>
            <w:tcBorders>
              <w:top w:val="nil"/>
              <w:left w:val="nil"/>
              <w:bottom w:val="nil"/>
              <w:right w:val="nil"/>
              <w:tl2br w:val="nil"/>
              <w:tr2bl w:val="nil"/>
            </w:tcBorders>
            <w:tcMar>
              <w:left w:w="60" w:type="dxa"/>
              <w:right w:w="60" w:type="dxa"/>
            </w:tcMar>
            <w:vAlign w:val="center"/>
          </w:tcPr>
          <w:p w14:paraId="75C696AE" w14:textId="77777777" w:rsidR="00807FFE" w:rsidRDefault="00023E71">
            <w:pPr>
              <w:pStyle w:val="DMETW36691BIPBudgetresult"/>
              <w:jc w:val="center"/>
              <w:rPr>
                <w:rFonts w:ascii="Verdana" w:eastAsia="Verdana" w:hAnsi="Verdana" w:cs="Verdana"/>
                <w:noProof/>
                <w:color w:val="000000"/>
                <w:sz w:val="16"/>
              </w:rPr>
            </w:pPr>
            <w:r>
              <w:rPr>
                <w:rFonts w:ascii="Verdana" w:eastAsia="Verdana" w:hAnsi="Verdana" w:cs="Verdana"/>
                <w:noProof/>
                <w:color w:val="000000"/>
                <w:sz w:val="16"/>
              </w:rPr>
              <w:t>e</w:t>
            </w:r>
          </w:p>
        </w:tc>
        <w:tc>
          <w:tcPr>
            <w:tcW w:w="6707" w:type="dxa"/>
            <w:tcBorders>
              <w:top w:val="nil"/>
              <w:left w:val="nil"/>
              <w:bottom w:val="nil"/>
              <w:right w:val="nil"/>
              <w:tl2br w:val="nil"/>
              <w:tr2bl w:val="nil"/>
            </w:tcBorders>
            <w:tcMar>
              <w:left w:w="60" w:type="dxa"/>
              <w:right w:w="60" w:type="dxa"/>
            </w:tcMar>
            <w:vAlign w:val="center"/>
          </w:tcPr>
          <w:p w14:paraId="5E8F911D" w14:textId="77777777" w:rsidR="00807FFE" w:rsidRDefault="00023E71">
            <w:pPr>
              <w:pStyle w:val="DMETW36691BIPBudgetresult"/>
              <w:rPr>
                <w:rFonts w:ascii="Verdana" w:eastAsia="Verdana" w:hAnsi="Verdana" w:cs="Verdana"/>
                <w:i/>
                <w:noProof/>
                <w:color w:val="000000"/>
                <w:sz w:val="16"/>
              </w:rPr>
            </w:pPr>
            <w:r>
              <w:rPr>
                <w:rFonts w:ascii="Verdana" w:eastAsia="Verdana" w:hAnsi="Verdana" w:cs="Verdana"/>
                <w:i/>
                <w:noProof/>
                <w:color w:val="000000"/>
                <w:sz w:val="16"/>
              </w:rPr>
              <w:t>Evolution of assigned revenue (B)-(A)</w:t>
            </w:r>
          </w:p>
        </w:tc>
        <w:tc>
          <w:tcPr>
            <w:tcW w:w="1186" w:type="dxa"/>
            <w:tcBorders>
              <w:top w:val="nil"/>
              <w:left w:val="nil"/>
              <w:bottom w:val="nil"/>
              <w:right w:val="nil"/>
              <w:tl2br w:val="nil"/>
              <w:tr2bl w:val="nil"/>
            </w:tcBorders>
            <w:tcMar>
              <w:left w:w="60" w:type="dxa"/>
              <w:right w:w="60" w:type="dxa"/>
            </w:tcMar>
            <w:vAlign w:val="center"/>
          </w:tcPr>
          <w:p w14:paraId="44BEE1C6" w14:textId="77777777" w:rsidR="00807FFE" w:rsidRDefault="00023E71">
            <w:pPr>
              <w:pStyle w:val="DMETW36691BIPBudgetresult"/>
              <w:jc w:val="right"/>
              <w:rPr>
                <w:rFonts w:ascii="Verdana" w:eastAsia="Verdana" w:hAnsi="Verdana" w:cs="Verdana"/>
                <w:noProof/>
                <w:color w:val="000000"/>
                <w:sz w:val="16"/>
              </w:rPr>
            </w:pPr>
            <w:r>
              <w:rPr>
                <w:rFonts w:ascii="Verdana" w:eastAsia="Verdana" w:hAnsi="Verdana" w:cs="Verdana"/>
                <w:noProof/>
                <w:color w:val="000000"/>
                <w:sz w:val="16"/>
              </w:rPr>
              <w:t>(3 579)</w:t>
            </w:r>
          </w:p>
        </w:tc>
        <w:tc>
          <w:tcPr>
            <w:tcW w:w="1186" w:type="dxa"/>
            <w:tcBorders>
              <w:top w:val="nil"/>
              <w:left w:val="nil"/>
              <w:bottom w:val="nil"/>
              <w:right w:val="nil"/>
              <w:tl2br w:val="nil"/>
              <w:tr2bl w:val="nil"/>
            </w:tcBorders>
            <w:tcMar>
              <w:left w:w="60" w:type="dxa"/>
              <w:right w:w="60" w:type="dxa"/>
            </w:tcMar>
            <w:vAlign w:val="center"/>
          </w:tcPr>
          <w:p w14:paraId="69E83368" w14:textId="77777777" w:rsidR="00807FFE" w:rsidRDefault="00023E71">
            <w:pPr>
              <w:pStyle w:val="DMETW36691BIPBudgetresult"/>
              <w:jc w:val="right"/>
              <w:rPr>
                <w:rFonts w:ascii="Verdana" w:eastAsia="Verdana" w:hAnsi="Verdana" w:cs="Verdana"/>
                <w:noProof/>
                <w:color w:val="000000"/>
                <w:sz w:val="16"/>
                <w:lang w:bidi="en-GB"/>
              </w:rPr>
            </w:pPr>
            <w:r>
              <w:rPr>
                <w:rFonts w:ascii="Verdana" w:eastAsia="Verdana" w:hAnsi="Verdana" w:cs="Verdana"/>
                <w:noProof/>
                <w:color w:val="000000"/>
                <w:sz w:val="16"/>
              </w:rPr>
              <w:t>( 1 486)</w:t>
            </w:r>
          </w:p>
        </w:tc>
      </w:tr>
      <w:tr w:rsidR="00807FFE" w14:paraId="56827DA3" w14:textId="77777777">
        <w:trPr>
          <w:trHeight w:hRule="exact" w:val="284"/>
        </w:trPr>
        <w:tc>
          <w:tcPr>
            <w:tcW w:w="680" w:type="dxa"/>
            <w:tcBorders>
              <w:top w:val="nil"/>
              <w:left w:val="nil"/>
              <w:bottom w:val="nil"/>
              <w:right w:val="nil"/>
              <w:tl2br w:val="nil"/>
              <w:tr2bl w:val="nil"/>
            </w:tcBorders>
            <w:tcMar>
              <w:left w:w="60" w:type="dxa"/>
              <w:right w:w="60" w:type="dxa"/>
            </w:tcMar>
            <w:vAlign w:val="center"/>
          </w:tcPr>
          <w:p w14:paraId="52149EF6" w14:textId="77777777" w:rsidR="00807FFE" w:rsidRDefault="00807FFE">
            <w:pPr>
              <w:pStyle w:val="DMETW36691BIPBudgetresult"/>
              <w:jc w:val="center"/>
              <w:rPr>
                <w:rFonts w:ascii="Verdana" w:eastAsia="Verdana" w:hAnsi="Verdana" w:cs="Verdana"/>
                <w:noProof/>
                <w:color w:val="000000"/>
                <w:sz w:val="16"/>
              </w:rPr>
            </w:pPr>
          </w:p>
        </w:tc>
        <w:tc>
          <w:tcPr>
            <w:tcW w:w="6707" w:type="dxa"/>
            <w:tcBorders>
              <w:top w:val="nil"/>
              <w:left w:val="nil"/>
              <w:bottom w:val="nil"/>
              <w:right w:val="nil"/>
              <w:tl2br w:val="nil"/>
              <w:tr2bl w:val="nil"/>
            </w:tcBorders>
            <w:tcMar>
              <w:left w:w="60" w:type="dxa"/>
              <w:right w:w="60" w:type="dxa"/>
            </w:tcMar>
            <w:vAlign w:val="center"/>
          </w:tcPr>
          <w:p w14:paraId="7C2337E1" w14:textId="77777777" w:rsidR="00807FFE" w:rsidRDefault="00023E71">
            <w:pPr>
              <w:pStyle w:val="DMETW36691BIPBudgetresult"/>
              <w:rPr>
                <w:rFonts w:ascii="Verdana" w:eastAsia="Verdana" w:hAnsi="Verdana" w:cs="Verdana"/>
                <w:i/>
                <w:noProof/>
                <w:color w:val="000000"/>
                <w:sz w:val="16"/>
              </w:rPr>
            </w:pPr>
            <w:r>
              <w:rPr>
                <w:rFonts w:ascii="Verdana" w:eastAsia="Verdana" w:hAnsi="Verdana" w:cs="Verdana"/>
                <w:i/>
                <w:noProof/>
                <w:color w:val="000000"/>
                <w:sz w:val="16"/>
              </w:rPr>
              <w:t xml:space="preserve">     Unused appropriations at the end of current year (A)</w:t>
            </w:r>
          </w:p>
        </w:tc>
        <w:tc>
          <w:tcPr>
            <w:tcW w:w="1186" w:type="dxa"/>
            <w:tcBorders>
              <w:top w:val="nil"/>
              <w:left w:val="nil"/>
              <w:bottom w:val="nil"/>
              <w:right w:val="nil"/>
              <w:tl2br w:val="nil"/>
              <w:tr2bl w:val="nil"/>
            </w:tcBorders>
            <w:tcMar>
              <w:left w:w="60" w:type="dxa"/>
              <w:right w:w="60" w:type="dxa"/>
            </w:tcMar>
            <w:vAlign w:val="center"/>
          </w:tcPr>
          <w:p w14:paraId="6E239DE2" w14:textId="77777777" w:rsidR="00807FFE" w:rsidRDefault="00023E71">
            <w:pPr>
              <w:pStyle w:val="DMETW36691BIPBudgetresult"/>
              <w:jc w:val="right"/>
              <w:rPr>
                <w:rFonts w:ascii="Verdana" w:eastAsia="Verdana" w:hAnsi="Verdana" w:cs="Verdana"/>
                <w:noProof/>
                <w:color w:val="000000"/>
                <w:sz w:val="16"/>
              </w:rPr>
            </w:pPr>
            <w:r>
              <w:rPr>
                <w:rFonts w:ascii="Verdana" w:eastAsia="Verdana" w:hAnsi="Verdana" w:cs="Verdana"/>
                <w:noProof/>
                <w:color w:val="000000"/>
                <w:sz w:val="16"/>
              </w:rPr>
              <w:t>28 271</w:t>
            </w:r>
          </w:p>
        </w:tc>
        <w:tc>
          <w:tcPr>
            <w:tcW w:w="1186" w:type="dxa"/>
            <w:tcBorders>
              <w:top w:val="nil"/>
              <w:left w:val="nil"/>
              <w:bottom w:val="nil"/>
              <w:right w:val="nil"/>
              <w:tl2br w:val="nil"/>
              <w:tr2bl w:val="nil"/>
            </w:tcBorders>
            <w:tcMar>
              <w:left w:w="60" w:type="dxa"/>
              <w:right w:w="60" w:type="dxa"/>
            </w:tcMar>
            <w:vAlign w:val="center"/>
          </w:tcPr>
          <w:p w14:paraId="676CDDB6" w14:textId="77777777" w:rsidR="00807FFE" w:rsidRDefault="00023E71">
            <w:pPr>
              <w:pStyle w:val="DMETW36691BIPBudgetresult"/>
              <w:jc w:val="right"/>
              <w:rPr>
                <w:rFonts w:ascii="Verdana" w:eastAsia="Verdana" w:hAnsi="Verdana" w:cs="Verdana"/>
                <w:noProof/>
                <w:color w:val="000000"/>
                <w:sz w:val="16"/>
                <w:lang w:bidi="en-GB"/>
              </w:rPr>
            </w:pPr>
            <w:r>
              <w:rPr>
                <w:rFonts w:ascii="Verdana" w:eastAsia="Verdana" w:hAnsi="Verdana" w:cs="Verdana"/>
                <w:noProof/>
                <w:color w:val="000000"/>
                <w:sz w:val="16"/>
              </w:rPr>
              <w:t> 24 692</w:t>
            </w:r>
          </w:p>
        </w:tc>
      </w:tr>
      <w:tr w:rsidR="00807FFE" w14:paraId="52F12E13" w14:textId="77777777">
        <w:trPr>
          <w:trHeight w:hRule="exact" w:val="284"/>
        </w:trPr>
        <w:tc>
          <w:tcPr>
            <w:tcW w:w="680" w:type="dxa"/>
            <w:tcBorders>
              <w:top w:val="nil"/>
              <w:left w:val="nil"/>
              <w:bottom w:val="nil"/>
              <w:right w:val="nil"/>
              <w:tl2br w:val="nil"/>
              <w:tr2bl w:val="nil"/>
            </w:tcBorders>
            <w:tcMar>
              <w:left w:w="60" w:type="dxa"/>
              <w:right w:w="60" w:type="dxa"/>
            </w:tcMar>
            <w:vAlign w:val="center"/>
          </w:tcPr>
          <w:p w14:paraId="671AACFB" w14:textId="77777777" w:rsidR="00807FFE" w:rsidRDefault="00807FFE">
            <w:pPr>
              <w:pStyle w:val="DMETW36691BIPBudgetresult"/>
              <w:jc w:val="center"/>
              <w:rPr>
                <w:rFonts w:ascii="Verdana" w:eastAsia="Verdana" w:hAnsi="Verdana" w:cs="Verdana"/>
                <w:noProof/>
                <w:color w:val="000000"/>
                <w:sz w:val="16"/>
              </w:rPr>
            </w:pPr>
          </w:p>
        </w:tc>
        <w:tc>
          <w:tcPr>
            <w:tcW w:w="6707" w:type="dxa"/>
            <w:tcBorders>
              <w:top w:val="nil"/>
              <w:left w:val="nil"/>
              <w:bottom w:val="nil"/>
              <w:right w:val="nil"/>
              <w:tl2br w:val="nil"/>
              <w:tr2bl w:val="nil"/>
            </w:tcBorders>
            <w:tcMar>
              <w:left w:w="60" w:type="dxa"/>
              <w:right w:w="60" w:type="dxa"/>
            </w:tcMar>
            <w:vAlign w:val="center"/>
          </w:tcPr>
          <w:p w14:paraId="056B0010" w14:textId="77777777" w:rsidR="00807FFE" w:rsidRDefault="00023E71">
            <w:pPr>
              <w:pStyle w:val="DMETW36691BIPBudgetresult"/>
              <w:rPr>
                <w:rFonts w:ascii="Verdana" w:eastAsia="Verdana" w:hAnsi="Verdana" w:cs="Verdana"/>
                <w:i/>
                <w:noProof/>
                <w:color w:val="000000"/>
                <w:sz w:val="16"/>
              </w:rPr>
            </w:pPr>
            <w:r>
              <w:rPr>
                <w:rFonts w:ascii="Verdana" w:eastAsia="Verdana" w:hAnsi="Verdana" w:cs="Verdana"/>
                <w:i/>
                <w:noProof/>
                <w:color w:val="000000"/>
                <w:sz w:val="16"/>
              </w:rPr>
              <w:t xml:space="preserve">     Unused appropriations at the end of previous year (B)</w:t>
            </w:r>
          </w:p>
        </w:tc>
        <w:tc>
          <w:tcPr>
            <w:tcW w:w="1186" w:type="dxa"/>
            <w:tcBorders>
              <w:top w:val="nil"/>
              <w:left w:val="nil"/>
              <w:bottom w:val="nil"/>
              <w:right w:val="nil"/>
              <w:tl2br w:val="nil"/>
              <w:tr2bl w:val="nil"/>
            </w:tcBorders>
            <w:tcMar>
              <w:left w:w="60" w:type="dxa"/>
              <w:right w:w="60" w:type="dxa"/>
            </w:tcMar>
            <w:vAlign w:val="center"/>
          </w:tcPr>
          <w:p w14:paraId="74EE2859" w14:textId="77777777" w:rsidR="00807FFE" w:rsidRDefault="00023E71">
            <w:pPr>
              <w:pStyle w:val="DMETW36691BIPBudgetresult"/>
              <w:jc w:val="right"/>
              <w:rPr>
                <w:rFonts w:ascii="Verdana" w:eastAsia="Verdana" w:hAnsi="Verdana" w:cs="Verdana"/>
                <w:noProof/>
                <w:color w:val="000000"/>
                <w:sz w:val="16"/>
              </w:rPr>
            </w:pPr>
            <w:r>
              <w:rPr>
                <w:rFonts w:ascii="Verdana" w:eastAsia="Verdana" w:hAnsi="Verdana" w:cs="Verdana"/>
                <w:noProof/>
                <w:color w:val="000000"/>
                <w:sz w:val="16"/>
              </w:rPr>
              <w:t>24 692</w:t>
            </w:r>
          </w:p>
        </w:tc>
        <w:tc>
          <w:tcPr>
            <w:tcW w:w="1186" w:type="dxa"/>
            <w:tcBorders>
              <w:top w:val="nil"/>
              <w:left w:val="nil"/>
              <w:bottom w:val="nil"/>
              <w:right w:val="nil"/>
              <w:tl2br w:val="nil"/>
              <w:tr2bl w:val="nil"/>
            </w:tcBorders>
            <w:tcMar>
              <w:left w:w="60" w:type="dxa"/>
              <w:right w:w="60" w:type="dxa"/>
            </w:tcMar>
            <w:vAlign w:val="center"/>
          </w:tcPr>
          <w:p w14:paraId="6F8EC38F" w14:textId="77777777" w:rsidR="00807FFE" w:rsidRDefault="00023E71">
            <w:pPr>
              <w:pStyle w:val="DMETW36691BIPBudgetresult"/>
              <w:jc w:val="right"/>
              <w:rPr>
                <w:rFonts w:ascii="Verdana" w:eastAsia="Verdana" w:hAnsi="Verdana" w:cs="Verdana"/>
                <w:noProof/>
                <w:color w:val="000000"/>
                <w:sz w:val="16"/>
                <w:lang w:bidi="en-GB"/>
              </w:rPr>
            </w:pPr>
            <w:r>
              <w:rPr>
                <w:rFonts w:ascii="Verdana" w:eastAsia="Verdana" w:hAnsi="Verdana" w:cs="Verdana"/>
                <w:noProof/>
                <w:color w:val="000000"/>
                <w:sz w:val="16"/>
              </w:rPr>
              <w:t> 23 206</w:t>
            </w:r>
          </w:p>
        </w:tc>
      </w:tr>
      <w:tr w:rsidR="00807FFE" w14:paraId="289BF64C" w14:textId="77777777">
        <w:trPr>
          <w:trHeight w:hRule="exact" w:val="270"/>
        </w:trPr>
        <w:tc>
          <w:tcPr>
            <w:tcW w:w="680" w:type="dxa"/>
            <w:tcBorders>
              <w:top w:val="nil"/>
              <w:left w:val="nil"/>
              <w:bottom w:val="nil"/>
              <w:right w:val="nil"/>
              <w:tl2br w:val="nil"/>
              <w:tr2bl w:val="nil"/>
            </w:tcBorders>
            <w:tcMar>
              <w:left w:w="60" w:type="dxa"/>
              <w:right w:w="60" w:type="dxa"/>
            </w:tcMar>
            <w:vAlign w:val="center"/>
          </w:tcPr>
          <w:p w14:paraId="098162C0" w14:textId="77777777" w:rsidR="00807FFE" w:rsidRDefault="00023E71">
            <w:pPr>
              <w:pStyle w:val="DMETW36691BIPBudgetresult"/>
              <w:jc w:val="center"/>
              <w:rPr>
                <w:rFonts w:ascii="Verdana" w:eastAsia="Verdana" w:hAnsi="Verdana" w:cs="Verdana"/>
                <w:noProof/>
                <w:color w:val="000000"/>
                <w:sz w:val="16"/>
              </w:rPr>
            </w:pPr>
            <w:r>
              <w:rPr>
                <w:rFonts w:ascii="Verdana" w:eastAsia="Verdana" w:hAnsi="Verdana" w:cs="Verdana"/>
                <w:noProof/>
                <w:color w:val="000000"/>
                <w:sz w:val="16"/>
              </w:rPr>
              <w:t>f</w:t>
            </w:r>
          </w:p>
        </w:tc>
        <w:tc>
          <w:tcPr>
            <w:tcW w:w="6707" w:type="dxa"/>
            <w:tcBorders>
              <w:top w:val="nil"/>
              <w:left w:val="nil"/>
              <w:bottom w:val="nil"/>
              <w:right w:val="nil"/>
              <w:tl2br w:val="nil"/>
              <w:tr2bl w:val="nil"/>
            </w:tcBorders>
            <w:tcMar>
              <w:left w:w="60" w:type="dxa"/>
              <w:right w:w="60" w:type="dxa"/>
            </w:tcMar>
            <w:vAlign w:val="center"/>
          </w:tcPr>
          <w:p w14:paraId="43B61D0B" w14:textId="77777777" w:rsidR="00807FFE" w:rsidRDefault="00023E71">
            <w:pPr>
              <w:pStyle w:val="DMETW36691BIPBudgetresult"/>
              <w:rPr>
                <w:rFonts w:ascii="Verdana" w:eastAsia="Verdana" w:hAnsi="Verdana" w:cs="Verdana"/>
                <w:i/>
                <w:noProof/>
                <w:color w:val="000000"/>
                <w:sz w:val="16"/>
              </w:rPr>
            </w:pPr>
            <w:r>
              <w:rPr>
                <w:rFonts w:ascii="Verdana" w:eastAsia="Verdana" w:hAnsi="Verdana" w:cs="Verdana"/>
                <w:i/>
                <w:noProof/>
                <w:color w:val="000000"/>
                <w:sz w:val="16"/>
              </w:rPr>
              <w:t>Exchange rate differences for the year</w:t>
            </w:r>
          </w:p>
        </w:tc>
        <w:tc>
          <w:tcPr>
            <w:tcW w:w="1186" w:type="dxa"/>
            <w:tcBorders>
              <w:top w:val="nil"/>
              <w:left w:val="nil"/>
              <w:bottom w:val="nil"/>
              <w:right w:val="nil"/>
              <w:tl2br w:val="nil"/>
              <w:tr2bl w:val="nil"/>
            </w:tcBorders>
            <w:tcMar>
              <w:left w:w="60" w:type="dxa"/>
              <w:right w:w="60" w:type="dxa"/>
            </w:tcMar>
            <w:vAlign w:val="center"/>
          </w:tcPr>
          <w:p w14:paraId="3C84F8CD" w14:textId="77777777" w:rsidR="00807FFE" w:rsidRDefault="00023E71">
            <w:pPr>
              <w:pStyle w:val="DMETW36691BIPBudgetresult"/>
              <w:jc w:val="right"/>
              <w:rPr>
                <w:rFonts w:ascii="Verdana" w:eastAsia="Verdana" w:hAnsi="Verdana" w:cs="Verdana"/>
                <w:noProof/>
                <w:color w:val="000000"/>
                <w:sz w:val="16"/>
              </w:rPr>
            </w:pPr>
            <w:r>
              <w:rPr>
                <w:rFonts w:ascii="Verdana" w:eastAsia="Verdana" w:hAnsi="Verdana" w:cs="Verdana"/>
                <w:noProof/>
                <w:color w:val="000000"/>
                <w:sz w:val="16"/>
              </w:rPr>
              <w:t>(130)</w:t>
            </w:r>
          </w:p>
        </w:tc>
        <w:tc>
          <w:tcPr>
            <w:tcW w:w="1186" w:type="dxa"/>
            <w:tcBorders>
              <w:top w:val="nil"/>
              <w:left w:val="nil"/>
              <w:bottom w:val="nil"/>
              <w:right w:val="nil"/>
              <w:tl2br w:val="nil"/>
              <w:tr2bl w:val="nil"/>
            </w:tcBorders>
            <w:tcMar>
              <w:left w:w="60" w:type="dxa"/>
              <w:right w:w="60" w:type="dxa"/>
            </w:tcMar>
            <w:vAlign w:val="center"/>
          </w:tcPr>
          <w:p w14:paraId="5449A717" w14:textId="77777777" w:rsidR="00807FFE" w:rsidRDefault="00023E71">
            <w:pPr>
              <w:pStyle w:val="DMETW36691BIPBudgetresult"/>
              <w:jc w:val="right"/>
              <w:rPr>
                <w:rFonts w:ascii="Verdana" w:eastAsia="Verdana" w:hAnsi="Verdana" w:cs="Verdana"/>
                <w:noProof/>
                <w:color w:val="000000"/>
                <w:sz w:val="16"/>
                <w:lang w:bidi="en-GB"/>
              </w:rPr>
            </w:pPr>
            <w:r>
              <w:rPr>
                <w:rFonts w:ascii="Verdana" w:eastAsia="Verdana" w:hAnsi="Verdana" w:cs="Verdana"/>
                <w:noProof/>
                <w:color w:val="000000"/>
                <w:sz w:val="16"/>
              </w:rPr>
              <w:t>  44</w:t>
            </w:r>
          </w:p>
        </w:tc>
      </w:tr>
      <w:tr w:rsidR="00807FFE" w14:paraId="53EBDBB6" w14:textId="77777777">
        <w:trPr>
          <w:trHeight w:hRule="exact" w:val="388"/>
        </w:trPr>
        <w:tc>
          <w:tcPr>
            <w:tcW w:w="680" w:type="dxa"/>
            <w:tcBorders>
              <w:top w:val="nil"/>
              <w:left w:val="nil"/>
              <w:bottom w:val="nil"/>
              <w:right w:val="nil"/>
              <w:tl2br w:val="nil"/>
              <w:tr2bl w:val="nil"/>
            </w:tcBorders>
            <w:shd w:val="solid" w:color="CCE1EB" w:fill="FFFFFF"/>
            <w:tcMar>
              <w:left w:w="60" w:type="dxa"/>
              <w:right w:w="60" w:type="dxa"/>
            </w:tcMar>
            <w:vAlign w:val="center"/>
          </w:tcPr>
          <w:p w14:paraId="02448C64" w14:textId="77777777" w:rsidR="00807FFE" w:rsidRDefault="00807FFE">
            <w:pPr>
              <w:pStyle w:val="DMETW36691BIPBudgetresult"/>
              <w:jc w:val="center"/>
              <w:rPr>
                <w:rFonts w:ascii="Verdana" w:eastAsia="Verdana" w:hAnsi="Verdana" w:cs="Verdana"/>
                <w:b/>
                <w:noProof/>
                <w:color w:val="000000"/>
                <w:sz w:val="16"/>
              </w:rPr>
            </w:pPr>
          </w:p>
        </w:tc>
        <w:tc>
          <w:tcPr>
            <w:tcW w:w="6707" w:type="dxa"/>
            <w:tcBorders>
              <w:top w:val="nil"/>
              <w:left w:val="nil"/>
              <w:bottom w:val="nil"/>
              <w:right w:val="nil"/>
              <w:tl2br w:val="nil"/>
              <w:tr2bl w:val="nil"/>
            </w:tcBorders>
            <w:shd w:val="solid" w:color="CCE1EB" w:fill="FFFFFF"/>
            <w:tcMar>
              <w:left w:w="60" w:type="dxa"/>
              <w:right w:w="60" w:type="dxa"/>
            </w:tcMar>
            <w:vAlign w:val="center"/>
          </w:tcPr>
          <w:p w14:paraId="1ACA9672" w14:textId="77777777" w:rsidR="00807FFE" w:rsidRDefault="00023E71">
            <w:pPr>
              <w:pStyle w:val="DMETW36691BIPBudgetresult"/>
              <w:rPr>
                <w:rFonts w:ascii="Verdana" w:eastAsia="Verdana" w:hAnsi="Verdana" w:cs="Verdana"/>
                <w:b/>
                <w:noProof/>
                <w:color w:val="000000"/>
                <w:sz w:val="16"/>
              </w:rPr>
            </w:pPr>
            <w:r>
              <w:rPr>
                <w:rFonts w:ascii="Verdana" w:eastAsia="Verdana" w:hAnsi="Verdana" w:cs="Verdana"/>
                <w:b/>
                <w:noProof/>
                <w:color w:val="000000"/>
                <w:sz w:val="16"/>
              </w:rPr>
              <w:t>Budget result</w:t>
            </w:r>
          </w:p>
        </w:tc>
        <w:tc>
          <w:tcPr>
            <w:tcW w:w="1186" w:type="dxa"/>
            <w:tcBorders>
              <w:top w:val="nil"/>
              <w:left w:val="nil"/>
              <w:bottom w:val="nil"/>
              <w:right w:val="nil"/>
              <w:tl2br w:val="nil"/>
              <w:tr2bl w:val="nil"/>
            </w:tcBorders>
            <w:shd w:val="solid" w:color="CCE1EB" w:fill="FFFFFF"/>
            <w:tcMar>
              <w:left w:w="60" w:type="dxa"/>
              <w:right w:w="60" w:type="dxa"/>
            </w:tcMar>
            <w:vAlign w:val="center"/>
          </w:tcPr>
          <w:p w14:paraId="68FA5D25" w14:textId="77777777" w:rsidR="00807FFE" w:rsidRDefault="00023E71">
            <w:pPr>
              <w:pStyle w:val="DMETW36691BIPBudgetresult"/>
              <w:jc w:val="right"/>
              <w:rPr>
                <w:rFonts w:ascii="Verdana" w:eastAsia="Verdana" w:hAnsi="Verdana" w:cs="Verdana"/>
                <w:b/>
                <w:noProof/>
                <w:color w:val="000000"/>
                <w:sz w:val="16"/>
              </w:rPr>
            </w:pPr>
            <w:r>
              <w:rPr>
                <w:rFonts w:ascii="Verdana" w:eastAsia="Verdana" w:hAnsi="Verdana" w:cs="Verdana"/>
                <w:b/>
                <w:noProof/>
                <w:color w:val="000000"/>
                <w:sz w:val="16"/>
              </w:rPr>
              <w:t>2 078</w:t>
            </w:r>
          </w:p>
        </w:tc>
        <w:tc>
          <w:tcPr>
            <w:tcW w:w="1186" w:type="dxa"/>
            <w:tcBorders>
              <w:top w:val="nil"/>
              <w:left w:val="nil"/>
              <w:bottom w:val="nil"/>
              <w:right w:val="nil"/>
              <w:tl2br w:val="nil"/>
              <w:tr2bl w:val="nil"/>
            </w:tcBorders>
            <w:shd w:val="solid" w:color="CCE1EB" w:fill="FFFFFF"/>
            <w:tcMar>
              <w:left w:w="60" w:type="dxa"/>
              <w:right w:w="60" w:type="dxa"/>
            </w:tcMar>
            <w:vAlign w:val="center"/>
          </w:tcPr>
          <w:p w14:paraId="67D43B17" w14:textId="77777777" w:rsidR="00807FFE" w:rsidRDefault="00023E71">
            <w:pPr>
              <w:pStyle w:val="DMETW36691BIPBudgetresult"/>
              <w:jc w:val="right"/>
              <w:rPr>
                <w:rFonts w:ascii="Verdana" w:eastAsia="Verdana" w:hAnsi="Verdana" w:cs="Verdana"/>
                <w:b/>
                <w:noProof/>
                <w:color w:val="000000"/>
                <w:sz w:val="16"/>
              </w:rPr>
            </w:pPr>
            <w:r>
              <w:rPr>
                <w:rFonts w:ascii="Verdana" w:eastAsia="Verdana" w:hAnsi="Verdana" w:cs="Verdana"/>
                <w:b/>
                <w:noProof/>
                <w:color w:val="000000"/>
                <w:sz w:val="16"/>
              </w:rPr>
              <w:t> 1 345</w:t>
            </w:r>
          </w:p>
        </w:tc>
      </w:tr>
    </w:tbl>
    <w:p w14:paraId="1A58C6B6" w14:textId="77777777" w:rsidR="00B73387" w:rsidRDefault="00B73387" w:rsidP="00047D35">
      <w:pPr>
        <w:pStyle w:val="DGTextstand-alone"/>
      </w:pPr>
    </w:p>
    <w:p w14:paraId="5ACBF5AE" w14:textId="7131D31A" w:rsidR="00047D35" w:rsidRDefault="00023E71" w:rsidP="00047D35">
      <w:pPr>
        <w:pStyle w:val="DGTextstand-alone"/>
      </w:pPr>
      <w:r w:rsidRPr="00CF3A83">
        <w:t xml:space="preserve">The budget result of the EU </w:t>
      </w:r>
      <w:r>
        <w:t xml:space="preserve">is </w:t>
      </w:r>
      <w:r w:rsidRPr="00CF3A83">
        <w:t xml:space="preserve">returned to the Member States </w:t>
      </w:r>
      <w:r>
        <w:t xml:space="preserve">in </w:t>
      </w:r>
      <w:r w:rsidR="00FB6B17">
        <w:t>the following year</w:t>
      </w:r>
      <w:r>
        <w:t xml:space="preserve"> </w:t>
      </w:r>
      <w:r w:rsidRPr="00CF3A83">
        <w:t>through deduction</w:t>
      </w:r>
      <w:r w:rsidR="00FB6B17">
        <w:t xml:space="preserve"> against t</w:t>
      </w:r>
      <w:r>
        <w:t>heir amounts due</w:t>
      </w:r>
      <w:r w:rsidR="00FB6B17">
        <w:t xml:space="preserve"> for that year</w:t>
      </w:r>
      <w:r w:rsidRPr="00CF3A83">
        <w:t>. I</w:t>
      </w:r>
      <w:r>
        <w:t>t is calculated in accordance with Article </w:t>
      </w:r>
      <w:r w:rsidRPr="00CF3A83">
        <w:t xml:space="preserve">1(1) of </w:t>
      </w:r>
      <w:r>
        <w:t xml:space="preserve">Council </w:t>
      </w:r>
      <w:r w:rsidRPr="00CF3A83">
        <w:t xml:space="preserve">Regulation </w:t>
      </w:r>
      <w:r>
        <w:t>(EU, Euratom) No </w:t>
      </w:r>
      <w:r w:rsidRPr="0061187E">
        <w:t>608/2014</w:t>
      </w:r>
      <w:r w:rsidRPr="00CF3A83">
        <w:t xml:space="preserve"> laying down implementing measures for the system of own resources</w:t>
      </w:r>
      <w:r>
        <w:t xml:space="preserve">. More information can be found under </w:t>
      </w:r>
      <w:r w:rsidR="000F2505">
        <w:t>S</w:t>
      </w:r>
      <w:r>
        <w:t xml:space="preserve">ection </w:t>
      </w:r>
      <w:r w:rsidRPr="000F2505">
        <w:rPr>
          <w:b/>
          <w:bCs/>
        </w:rPr>
        <w:t>3.7</w:t>
      </w:r>
      <w:r>
        <w:t xml:space="preserve"> Calculation of the budget result.</w:t>
      </w:r>
    </w:p>
    <w:p w14:paraId="5D9CEB93" w14:textId="77777777" w:rsidR="00047D35" w:rsidRDefault="00023E71" w:rsidP="00172034">
      <w:pPr>
        <w:pStyle w:val="DGTextstand-alone"/>
        <w:numPr>
          <w:ilvl w:val="1"/>
          <w:numId w:val="25"/>
        </w:numPr>
      </w:pPr>
      <w:r>
        <w:t>Revenue for the financial year: table 5.1 “Summary of the implementation of EU Budget Revenue”, column 8 “Total Revenue”.</w:t>
      </w:r>
    </w:p>
    <w:p w14:paraId="68065EA9" w14:textId="77777777" w:rsidR="00047D35" w:rsidRDefault="00023E71" w:rsidP="00172034">
      <w:pPr>
        <w:pStyle w:val="DGTextstand-alone"/>
        <w:numPr>
          <w:ilvl w:val="1"/>
          <w:numId w:val="25"/>
        </w:numPr>
      </w:pPr>
      <w:r>
        <w:t>Payments against current year appropriations: table 6.3 “MFF – Implementation of Payment appropriations”, column 2 “Payments made from adopted budget and column 4 “Payments made from assigned revenue”.</w:t>
      </w:r>
    </w:p>
    <w:p w14:paraId="576A67B0" w14:textId="77777777" w:rsidR="00047D35" w:rsidRDefault="00023E71" w:rsidP="00172034">
      <w:pPr>
        <w:pStyle w:val="DGTextstand-alone"/>
        <w:numPr>
          <w:ilvl w:val="1"/>
          <w:numId w:val="25"/>
        </w:numPr>
      </w:pPr>
      <w:r>
        <w:t>Payment appropriations carried over to year N+1: table 6.3 “MFF – Implementation of Payment appropriations”, column 7 automatic carry-overs plus column 8 carry-over by decision.</w:t>
      </w:r>
    </w:p>
    <w:p w14:paraId="2818B32A" w14:textId="77777777" w:rsidR="00047D35" w:rsidRDefault="00023E71" w:rsidP="00172034">
      <w:pPr>
        <w:pStyle w:val="DGTextstand-alone"/>
        <w:numPr>
          <w:ilvl w:val="1"/>
          <w:numId w:val="25"/>
        </w:numPr>
      </w:pPr>
      <w:r>
        <w:t>Cancellation of unused payment appropriations carried over from year N-1: takes into account the amount of payment appropriations carried over (automatically and on decision) at the end of previous year and the current year’s “Payments made from carryovers” as in column 3 of table 6.3 “MFF – Implementation of Payment appropriations”.</w:t>
      </w:r>
    </w:p>
    <w:p w14:paraId="569E1F22" w14:textId="77777777" w:rsidR="00047D35" w:rsidRDefault="00023E71" w:rsidP="00172034">
      <w:pPr>
        <w:pStyle w:val="DGTextstand-alone"/>
        <w:numPr>
          <w:ilvl w:val="1"/>
          <w:numId w:val="25"/>
        </w:numPr>
      </w:pPr>
      <w:r>
        <w:rPr>
          <w:lang w:val="en-US"/>
        </w:rPr>
        <w:t>Evolution of the total assigned revenue appropriations at year-end: calculates the difference of the amount of assigned revenue appropriations at the end of previous year (plus) and the amount of assigned revenue appropriations at the end of the current year (as in column 8 of table 6.3 “MFF – Implementation of Payment appropriations” - minus) to obtain the net variation of assigned revenue in the current year.</w:t>
      </w:r>
    </w:p>
    <w:p w14:paraId="0B1D4321" w14:textId="77777777" w:rsidR="00047D35" w:rsidRDefault="00023E71" w:rsidP="00172034">
      <w:pPr>
        <w:pStyle w:val="DGTextstand-alone"/>
        <w:numPr>
          <w:ilvl w:val="1"/>
          <w:numId w:val="25"/>
        </w:numPr>
      </w:pPr>
      <w:r>
        <w:t>Exchange rate differences include realised and non-realised exchange rate differences.</w:t>
      </w:r>
    </w:p>
    <w:p w14:paraId="7CA5126A" w14:textId="77777777" w:rsidR="004C4495" w:rsidRDefault="004C4495" w:rsidP="00DD17E4">
      <w:pPr>
        <w:pStyle w:val="DGTextstand-alone"/>
      </w:pPr>
    </w:p>
    <w:p w14:paraId="63C06D02" w14:textId="77777777" w:rsidR="008342CF" w:rsidRDefault="00023E71" w:rsidP="00DD17E4">
      <w:pPr>
        <w:pStyle w:val="DGTextstand-alone"/>
      </w:pPr>
      <w:r>
        <w:br w:type="page"/>
      </w:r>
    </w:p>
    <w:p w14:paraId="6822D358" w14:textId="251FB7A1" w:rsidR="001E4994" w:rsidRPr="005D2860" w:rsidRDefault="00F70EBD" w:rsidP="00F04F99">
      <w:pPr>
        <w:pStyle w:val="HEADER1PartBUDG"/>
        <w:rPr>
          <w:rFonts w:eastAsia="Calibri"/>
          <w:noProof/>
          <w:lang w:val="en-IE"/>
        </w:rPr>
      </w:pPr>
      <w:bookmarkStart w:id="257" w:name="_Toc232674376"/>
      <w:r w:rsidRPr="005D2860">
        <w:rPr>
          <w:rFonts w:eastAsia="Calibri"/>
          <w:noProof/>
          <w:lang w:val="en-IE"/>
        </w:rPr>
        <w:t>STATEMENTS OF COMPARISON OF BUDGET AND ACTUAL AMOUNTS</w:t>
      </w:r>
      <w:bookmarkEnd w:id="257"/>
    </w:p>
    <w:p w14:paraId="1B12CD35" w14:textId="77777777" w:rsidR="00141360" w:rsidRPr="00FA63DF" w:rsidRDefault="00023E71" w:rsidP="00F94362">
      <w:pPr>
        <w:pStyle w:val="HEADERTITLE"/>
        <w:spacing w:before="480"/>
        <w:rPr>
          <w:rFonts w:eastAsia="Calibri"/>
        </w:rPr>
      </w:pPr>
      <w:r>
        <w:rPr>
          <w:rFonts w:eastAsia="Calibri"/>
        </w:rPr>
        <w:t>Budget revenue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4643"/>
        <w:gridCol w:w="1112"/>
        <w:gridCol w:w="1117"/>
        <w:gridCol w:w="1117"/>
        <w:gridCol w:w="1117"/>
      </w:tblGrid>
      <w:tr w:rsidR="00807FFE" w14:paraId="1BB9F6F7" w14:textId="77777777">
        <w:trPr>
          <w:trHeight w:val="255"/>
        </w:trPr>
        <w:tc>
          <w:tcPr>
            <w:tcW w:w="50" w:type="dxa"/>
            <w:gridSpan w:val="6"/>
            <w:tcBorders>
              <w:top w:val="nil"/>
              <w:left w:val="nil"/>
              <w:bottom w:val="nil"/>
              <w:right w:val="nil"/>
              <w:tl2br w:val="nil"/>
              <w:tr2bl w:val="nil"/>
            </w:tcBorders>
            <w:tcMar>
              <w:left w:w="60" w:type="dxa"/>
              <w:right w:w="60" w:type="dxa"/>
            </w:tcMar>
            <w:vAlign w:val="center"/>
          </w:tcPr>
          <w:p w14:paraId="3B5735DB" w14:textId="77777777" w:rsidR="00807FFE" w:rsidRDefault="00023E71">
            <w:pPr>
              <w:pStyle w:val="DMETW36691BIPStatementofcomparisonRevenue"/>
              <w:jc w:val="right"/>
              <w:rPr>
                <w:rFonts w:ascii="Verdana" w:eastAsia="Verdana" w:hAnsi="Verdana" w:cs="Verdana"/>
                <w:i/>
                <w:noProof/>
                <w:color w:val="000000"/>
                <w:sz w:val="16"/>
                <w:lang w:bidi="en-GB"/>
              </w:rPr>
            </w:pPr>
            <w:bookmarkStart w:id="258" w:name="DOC_TBL00109_1_1"/>
            <w:bookmarkEnd w:id="258"/>
            <w:r>
              <w:rPr>
                <w:rFonts w:ascii="Verdana" w:eastAsia="Verdana" w:hAnsi="Verdana" w:cs="Verdana"/>
                <w:i/>
                <w:noProof/>
                <w:color w:val="000000"/>
                <w:sz w:val="16"/>
                <w:lang w:bidi="en-GB"/>
              </w:rPr>
              <w:t>EUR million</w:t>
            </w:r>
          </w:p>
        </w:tc>
      </w:tr>
      <w:tr w:rsidR="00807FFE" w14:paraId="42C03DE0" w14:textId="77777777">
        <w:trPr>
          <w:trHeight w:val="255"/>
        </w:trPr>
        <w:tc>
          <w:tcPr>
            <w:tcW w:w="50" w:type="dxa"/>
            <w:gridSpan w:val="2"/>
            <w:tcBorders>
              <w:top w:val="nil"/>
              <w:left w:val="nil"/>
              <w:bottom w:val="nil"/>
              <w:right w:val="nil"/>
              <w:tl2br w:val="nil"/>
              <w:tr2bl w:val="nil"/>
            </w:tcBorders>
            <w:shd w:val="solid" w:color="016794" w:fill="FFFFFF"/>
            <w:tcMar>
              <w:left w:w="60" w:type="dxa"/>
              <w:right w:w="60" w:type="dxa"/>
            </w:tcMar>
            <w:vAlign w:val="center"/>
          </w:tcPr>
          <w:p w14:paraId="4844247E" w14:textId="77777777" w:rsidR="00807FFE" w:rsidRDefault="00023E71">
            <w:pPr>
              <w:pStyle w:val="DMETW36691BIPStatementofcomparisonRevenue"/>
              <w:jc w:val="center"/>
              <w:rPr>
                <w:rFonts w:ascii="Verdana" w:eastAsia="Verdana" w:hAnsi="Verdana" w:cs="Verdana"/>
                <w:noProof/>
                <w:color w:val="FFFFFF"/>
                <w:sz w:val="16"/>
              </w:rPr>
            </w:pPr>
            <w:r>
              <w:rPr>
                <w:rFonts w:ascii="Verdana" w:eastAsia="Verdana" w:hAnsi="Verdana" w:cs="Verdana"/>
                <w:noProof/>
                <w:color w:val="FFFFFF"/>
                <w:sz w:val="16"/>
              </w:rPr>
              <w:t>Title</w:t>
            </w:r>
          </w:p>
        </w:tc>
        <w:tc>
          <w:tcPr>
            <w:tcW w:w="238" w:type="dxa"/>
            <w:tcBorders>
              <w:top w:val="nil"/>
              <w:left w:val="nil"/>
              <w:bottom w:val="nil"/>
              <w:right w:val="nil"/>
              <w:tl2br w:val="nil"/>
              <w:tr2bl w:val="nil"/>
            </w:tcBorders>
            <w:shd w:val="solid" w:color="016794" w:fill="FFFFFF"/>
            <w:tcMar>
              <w:left w:w="60" w:type="dxa"/>
              <w:right w:w="60" w:type="dxa"/>
            </w:tcMar>
            <w:vAlign w:val="center"/>
          </w:tcPr>
          <w:p w14:paraId="7938C98A" w14:textId="77777777" w:rsidR="00807FFE" w:rsidRDefault="00023E71">
            <w:pPr>
              <w:pStyle w:val="DMETW36691BIPStatementofcomparisonRevenue"/>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239" w:type="dxa"/>
            <w:tcBorders>
              <w:top w:val="nil"/>
              <w:left w:val="nil"/>
              <w:bottom w:val="nil"/>
              <w:right w:val="nil"/>
              <w:tl2br w:val="nil"/>
              <w:tr2bl w:val="nil"/>
            </w:tcBorders>
            <w:shd w:val="solid" w:color="016794" w:fill="FFFFFF"/>
            <w:tcMar>
              <w:left w:w="60" w:type="dxa"/>
              <w:right w:w="60" w:type="dxa"/>
            </w:tcMar>
            <w:vAlign w:val="center"/>
          </w:tcPr>
          <w:p w14:paraId="1298B62F" w14:textId="77777777" w:rsidR="00807FFE" w:rsidRDefault="00023E71">
            <w:pPr>
              <w:pStyle w:val="DMETW36691BIPStatementofcomparisonRevenue"/>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239" w:type="dxa"/>
            <w:tcBorders>
              <w:top w:val="nil"/>
              <w:left w:val="nil"/>
              <w:bottom w:val="nil"/>
              <w:right w:val="nil"/>
              <w:tl2br w:val="nil"/>
              <w:tr2bl w:val="nil"/>
            </w:tcBorders>
            <w:shd w:val="solid" w:color="016794" w:fill="FFFFFF"/>
            <w:tcMar>
              <w:left w:w="60" w:type="dxa"/>
              <w:right w:w="60" w:type="dxa"/>
            </w:tcMar>
            <w:vAlign w:val="center"/>
          </w:tcPr>
          <w:p w14:paraId="0791F714" w14:textId="77777777" w:rsidR="00807FFE" w:rsidRDefault="00023E71">
            <w:pPr>
              <w:pStyle w:val="DMETW36691BIPStatementofcomparisonRevenue"/>
              <w:jc w:val="center"/>
              <w:rPr>
                <w:rFonts w:ascii="Verdana" w:eastAsia="Verdana" w:hAnsi="Verdana" w:cs="Verdana"/>
                <w:noProof/>
                <w:color w:val="FFFFFF"/>
                <w:sz w:val="16"/>
              </w:rPr>
            </w:pPr>
            <w:r>
              <w:rPr>
                <w:rFonts w:ascii="Verdana" w:eastAsia="Verdana" w:hAnsi="Verdana" w:cs="Verdana"/>
                <w:noProof/>
                <w:color w:val="FFFFFF"/>
                <w:sz w:val="16"/>
              </w:rPr>
              <w:t>Entitlements established</w:t>
            </w:r>
          </w:p>
        </w:tc>
        <w:tc>
          <w:tcPr>
            <w:tcW w:w="239" w:type="dxa"/>
            <w:tcBorders>
              <w:top w:val="nil"/>
              <w:left w:val="nil"/>
              <w:bottom w:val="nil"/>
              <w:right w:val="nil"/>
              <w:tl2br w:val="nil"/>
              <w:tr2bl w:val="nil"/>
            </w:tcBorders>
            <w:shd w:val="solid" w:color="016794" w:fill="FFFFFF"/>
            <w:tcMar>
              <w:left w:w="60" w:type="dxa"/>
              <w:right w:w="60" w:type="dxa"/>
            </w:tcMar>
            <w:vAlign w:val="center"/>
          </w:tcPr>
          <w:p w14:paraId="05C0711E" w14:textId="77777777" w:rsidR="00807FFE" w:rsidRDefault="00023E71">
            <w:pPr>
              <w:pStyle w:val="DMETW36691BIPStatementofcomparisonRevenue"/>
              <w:jc w:val="center"/>
              <w:rPr>
                <w:rFonts w:ascii="Verdana" w:eastAsia="Verdana" w:hAnsi="Verdana" w:cs="Verdana"/>
                <w:noProof/>
                <w:color w:val="FFFFFF"/>
                <w:sz w:val="16"/>
                <w:lang w:bidi="en-GB"/>
              </w:rPr>
            </w:pPr>
            <w:r>
              <w:rPr>
                <w:rFonts w:ascii="Verdana" w:eastAsia="Verdana" w:hAnsi="Verdana" w:cs="Verdana"/>
                <w:noProof/>
                <w:color w:val="FFFFFF"/>
                <w:sz w:val="16"/>
              </w:rPr>
              <w:t>Revenue</w:t>
            </w:r>
          </w:p>
        </w:tc>
      </w:tr>
      <w:tr w:rsidR="00807FFE" w14:paraId="5A0A7DD1" w14:textId="77777777">
        <w:trPr>
          <w:trHeight w:val="255"/>
        </w:trPr>
        <w:tc>
          <w:tcPr>
            <w:tcW w:w="50" w:type="dxa"/>
            <w:tcBorders>
              <w:top w:val="nil"/>
              <w:left w:val="nil"/>
              <w:bottom w:val="nil"/>
              <w:right w:val="nil"/>
              <w:tl2br w:val="nil"/>
              <w:tr2bl w:val="nil"/>
            </w:tcBorders>
            <w:tcMar>
              <w:left w:w="60" w:type="dxa"/>
              <w:right w:w="60" w:type="dxa"/>
            </w:tcMar>
            <w:vAlign w:val="center"/>
          </w:tcPr>
          <w:p w14:paraId="64129A22" w14:textId="77777777" w:rsidR="00807FFE" w:rsidRDefault="00023E71">
            <w:pPr>
              <w:pStyle w:val="DMETW36691BIPStatementofcomparisonRevenue"/>
              <w:rPr>
                <w:rFonts w:ascii="Verdana" w:eastAsia="Verdana" w:hAnsi="Verdana" w:cs="Verdana"/>
                <w:noProof/>
                <w:color w:val="000000"/>
                <w:sz w:val="16"/>
              </w:rPr>
            </w:pPr>
            <w:r>
              <w:rPr>
                <w:rFonts w:ascii="Verdana" w:eastAsia="Verdana" w:hAnsi="Verdana" w:cs="Verdana"/>
                <w:noProof/>
                <w:color w:val="000000"/>
                <w:sz w:val="16"/>
              </w:rPr>
              <w:t>1</w:t>
            </w:r>
          </w:p>
        </w:tc>
        <w:tc>
          <w:tcPr>
            <w:tcW w:w="994" w:type="dxa"/>
            <w:tcBorders>
              <w:top w:val="nil"/>
              <w:left w:val="nil"/>
              <w:bottom w:val="nil"/>
              <w:right w:val="nil"/>
              <w:tl2br w:val="nil"/>
              <w:tr2bl w:val="nil"/>
            </w:tcBorders>
            <w:tcMar>
              <w:left w:w="60" w:type="dxa"/>
              <w:right w:w="60" w:type="dxa"/>
            </w:tcMar>
            <w:vAlign w:val="center"/>
          </w:tcPr>
          <w:p w14:paraId="38AFE970" w14:textId="77777777" w:rsidR="00807FFE" w:rsidRDefault="00023E71">
            <w:pPr>
              <w:pStyle w:val="DMETW36691BIPStatementofcomparisonRevenue"/>
              <w:jc w:val="right"/>
              <w:rPr>
                <w:rFonts w:ascii="Verdana" w:eastAsia="Verdana" w:hAnsi="Verdana" w:cs="Verdana"/>
                <w:noProof/>
                <w:color w:val="000000"/>
                <w:sz w:val="16"/>
              </w:rPr>
            </w:pPr>
            <w:r>
              <w:rPr>
                <w:rFonts w:ascii="Verdana" w:eastAsia="Verdana" w:hAnsi="Verdana" w:cs="Verdana"/>
                <w:noProof/>
                <w:color w:val="000000"/>
                <w:sz w:val="16"/>
              </w:rPr>
              <w:t>Own Resources</w:t>
            </w:r>
          </w:p>
        </w:tc>
        <w:tc>
          <w:tcPr>
            <w:tcW w:w="238" w:type="dxa"/>
            <w:tcBorders>
              <w:top w:val="nil"/>
              <w:left w:val="nil"/>
              <w:bottom w:val="nil"/>
              <w:right w:val="nil"/>
              <w:tl2br w:val="nil"/>
              <w:tr2bl w:val="nil"/>
            </w:tcBorders>
            <w:tcMar>
              <w:left w:w="60" w:type="dxa"/>
              <w:right w:w="60" w:type="dxa"/>
            </w:tcMar>
            <w:vAlign w:val="center"/>
          </w:tcPr>
          <w:p w14:paraId="4F9B346B" w14:textId="77777777" w:rsidR="00807FFE" w:rsidRDefault="00023E71">
            <w:pPr>
              <w:pStyle w:val="DMETW36691BIPStatementofcomparisonRevenue"/>
              <w:jc w:val="right"/>
              <w:rPr>
                <w:rFonts w:ascii="Verdana" w:eastAsia="Verdana" w:hAnsi="Verdana" w:cs="Verdana"/>
                <w:noProof/>
                <w:color w:val="000000"/>
                <w:sz w:val="16"/>
              </w:rPr>
            </w:pPr>
            <w:r>
              <w:rPr>
                <w:rFonts w:ascii="Verdana" w:eastAsia="Verdana" w:hAnsi="Verdana" w:cs="Verdana"/>
                <w:noProof/>
                <w:color w:val="000000"/>
                <w:sz w:val="16"/>
              </w:rPr>
              <w:t>151 161</w:t>
            </w:r>
          </w:p>
        </w:tc>
        <w:tc>
          <w:tcPr>
            <w:tcW w:w="239" w:type="dxa"/>
            <w:tcBorders>
              <w:top w:val="nil"/>
              <w:left w:val="nil"/>
              <w:bottom w:val="nil"/>
              <w:right w:val="nil"/>
              <w:tl2br w:val="nil"/>
              <w:tr2bl w:val="nil"/>
            </w:tcBorders>
            <w:tcMar>
              <w:left w:w="60" w:type="dxa"/>
              <w:right w:w="60" w:type="dxa"/>
            </w:tcMar>
            <w:vAlign w:val="center"/>
          </w:tcPr>
          <w:p w14:paraId="1036D8B2" w14:textId="77777777" w:rsidR="00807FFE" w:rsidRDefault="00023E71">
            <w:pPr>
              <w:pStyle w:val="DMETW36691BIPStatementofcomparisonRevenue"/>
              <w:jc w:val="right"/>
              <w:rPr>
                <w:rFonts w:ascii="Verdana" w:eastAsia="Verdana" w:hAnsi="Verdana" w:cs="Verdana"/>
                <w:noProof/>
                <w:color w:val="000000"/>
                <w:sz w:val="16"/>
              </w:rPr>
            </w:pPr>
            <w:r>
              <w:rPr>
                <w:rFonts w:ascii="Verdana" w:eastAsia="Verdana" w:hAnsi="Verdana" w:cs="Verdana"/>
                <w:noProof/>
                <w:color w:val="000000"/>
                <w:sz w:val="16"/>
              </w:rPr>
              <w:t>154 322</w:t>
            </w:r>
          </w:p>
        </w:tc>
        <w:tc>
          <w:tcPr>
            <w:tcW w:w="239" w:type="dxa"/>
            <w:tcBorders>
              <w:top w:val="nil"/>
              <w:left w:val="nil"/>
              <w:bottom w:val="nil"/>
              <w:right w:val="nil"/>
              <w:tl2br w:val="nil"/>
              <w:tr2bl w:val="nil"/>
            </w:tcBorders>
            <w:tcMar>
              <w:left w:w="60" w:type="dxa"/>
              <w:right w:w="60" w:type="dxa"/>
            </w:tcMar>
            <w:vAlign w:val="center"/>
          </w:tcPr>
          <w:p w14:paraId="2323E6C1" w14:textId="77777777" w:rsidR="00807FFE" w:rsidRDefault="00023E71">
            <w:pPr>
              <w:pStyle w:val="DMETW36691BIPStatementofcomparisonRevenue"/>
              <w:jc w:val="right"/>
              <w:rPr>
                <w:rFonts w:ascii="Verdana" w:eastAsia="Verdana" w:hAnsi="Verdana" w:cs="Verdana"/>
                <w:noProof/>
                <w:color w:val="000000"/>
                <w:sz w:val="16"/>
              </w:rPr>
            </w:pPr>
            <w:r>
              <w:rPr>
                <w:rFonts w:ascii="Verdana" w:eastAsia="Verdana" w:hAnsi="Verdana" w:cs="Verdana"/>
                <w:noProof/>
                <w:color w:val="000000"/>
                <w:sz w:val="16"/>
              </w:rPr>
              <w:t>155 448</w:t>
            </w:r>
          </w:p>
        </w:tc>
        <w:tc>
          <w:tcPr>
            <w:tcW w:w="239" w:type="dxa"/>
            <w:tcBorders>
              <w:top w:val="nil"/>
              <w:left w:val="nil"/>
              <w:bottom w:val="nil"/>
              <w:right w:val="nil"/>
              <w:tl2br w:val="nil"/>
              <w:tr2bl w:val="nil"/>
            </w:tcBorders>
            <w:tcMar>
              <w:left w:w="60" w:type="dxa"/>
              <w:right w:w="60" w:type="dxa"/>
            </w:tcMar>
            <w:vAlign w:val="center"/>
          </w:tcPr>
          <w:p w14:paraId="33583588" w14:textId="77777777" w:rsidR="00807FFE" w:rsidRDefault="00023E71">
            <w:pPr>
              <w:pStyle w:val="DMETW36691BIPStatementofcomparisonRevenue"/>
              <w:jc w:val="right"/>
              <w:rPr>
                <w:rFonts w:ascii="Verdana" w:eastAsia="Verdana" w:hAnsi="Verdana" w:cs="Verdana"/>
                <w:noProof/>
                <w:color w:val="000000"/>
                <w:sz w:val="16"/>
                <w:lang w:bidi="en-GB"/>
              </w:rPr>
            </w:pPr>
            <w:r>
              <w:rPr>
                <w:rFonts w:ascii="Verdana" w:eastAsia="Verdana" w:hAnsi="Verdana" w:cs="Verdana"/>
                <w:noProof/>
                <w:color w:val="000000"/>
                <w:sz w:val="16"/>
              </w:rPr>
              <w:t>155 418</w:t>
            </w:r>
          </w:p>
        </w:tc>
      </w:tr>
      <w:tr w:rsidR="00807FFE" w14:paraId="57EFDED4" w14:textId="77777777">
        <w:trPr>
          <w:trHeight w:val="255"/>
        </w:trPr>
        <w:tc>
          <w:tcPr>
            <w:tcW w:w="50" w:type="dxa"/>
            <w:tcBorders>
              <w:top w:val="nil"/>
              <w:left w:val="nil"/>
              <w:bottom w:val="nil"/>
              <w:right w:val="nil"/>
              <w:tl2br w:val="nil"/>
              <w:tr2bl w:val="nil"/>
            </w:tcBorders>
            <w:tcMar>
              <w:left w:w="60" w:type="dxa"/>
              <w:right w:w="60" w:type="dxa"/>
            </w:tcMar>
            <w:vAlign w:val="center"/>
          </w:tcPr>
          <w:p w14:paraId="5F89ABD7" w14:textId="77777777" w:rsidR="00807FFE" w:rsidRDefault="00023E71">
            <w:pPr>
              <w:pStyle w:val="DMETW36691BIPStatementofcomparisonRevenue"/>
              <w:rPr>
                <w:rFonts w:ascii="Verdana" w:eastAsia="Verdana" w:hAnsi="Verdana" w:cs="Verdana"/>
                <w:noProof/>
                <w:color w:val="000000"/>
                <w:sz w:val="16"/>
              </w:rPr>
            </w:pPr>
            <w:r>
              <w:rPr>
                <w:rFonts w:ascii="Verdana" w:eastAsia="Verdana" w:hAnsi="Verdana" w:cs="Verdana"/>
                <w:noProof/>
                <w:color w:val="000000"/>
                <w:sz w:val="16"/>
              </w:rPr>
              <w:t>2</w:t>
            </w:r>
          </w:p>
        </w:tc>
        <w:tc>
          <w:tcPr>
            <w:tcW w:w="994" w:type="dxa"/>
            <w:tcBorders>
              <w:top w:val="nil"/>
              <w:left w:val="nil"/>
              <w:bottom w:val="nil"/>
              <w:right w:val="nil"/>
              <w:tl2br w:val="nil"/>
              <w:tr2bl w:val="nil"/>
            </w:tcBorders>
            <w:tcMar>
              <w:left w:w="60" w:type="dxa"/>
              <w:right w:w="60" w:type="dxa"/>
            </w:tcMar>
            <w:vAlign w:val="center"/>
          </w:tcPr>
          <w:p w14:paraId="3F924D0B" w14:textId="77777777" w:rsidR="00807FFE" w:rsidRDefault="00023E71">
            <w:pPr>
              <w:pStyle w:val="DMETW36691BIPStatementofcomparisonRevenue"/>
              <w:jc w:val="right"/>
              <w:rPr>
                <w:rFonts w:ascii="Verdana" w:eastAsia="Verdana" w:hAnsi="Verdana" w:cs="Verdana"/>
                <w:noProof/>
                <w:color w:val="000000"/>
                <w:sz w:val="16"/>
              </w:rPr>
            </w:pPr>
            <w:r>
              <w:rPr>
                <w:rFonts w:ascii="Verdana" w:eastAsia="Verdana" w:hAnsi="Verdana" w:cs="Verdana"/>
                <w:noProof/>
                <w:color w:val="000000"/>
                <w:sz w:val="16"/>
              </w:rPr>
              <w:t>Surpluses, Balances And Adjustments</w:t>
            </w:r>
          </w:p>
        </w:tc>
        <w:tc>
          <w:tcPr>
            <w:tcW w:w="238" w:type="dxa"/>
            <w:tcBorders>
              <w:top w:val="nil"/>
              <w:left w:val="nil"/>
              <w:bottom w:val="nil"/>
              <w:right w:val="nil"/>
              <w:tl2br w:val="nil"/>
              <w:tr2bl w:val="nil"/>
            </w:tcBorders>
            <w:tcMar>
              <w:left w:w="60" w:type="dxa"/>
              <w:right w:w="60" w:type="dxa"/>
            </w:tcMar>
            <w:vAlign w:val="center"/>
          </w:tcPr>
          <w:p w14:paraId="6AA27516" w14:textId="77777777" w:rsidR="00807FFE" w:rsidRDefault="00023E71">
            <w:pPr>
              <w:pStyle w:val="DMETW36691BIPStatementofcomparison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14:paraId="7572C1E1" w14:textId="77777777" w:rsidR="00807FFE" w:rsidRDefault="00023E71">
            <w:pPr>
              <w:pStyle w:val="DMETW36691BIPStatementofcomparisonRevenue"/>
              <w:jc w:val="right"/>
              <w:rPr>
                <w:rFonts w:ascii="Verdana" w:eastAsia="Verdana" w:hAnsi="Verdana" w:cs="Verdana"/>
                <w:noProof/>
                <w:color w:val="000000"/>
                <w:sz w:val="16"/>
              </w:rPr>
            </w:pPr>
            <w:r>
              <w:rPr>
                <w:rFonts w:ascii="Verdana" w:eastAsia="Verdana" w:hAnsi="Verdana" w:cs="Verdana"/>
                <w:noProof/>
                <w:color w:val="000000"/>
                <w:sz w:val="16"/>
              </w:rPr>
              <w:t>1 345</w:t>
            </w:r>
          </w:p>
        </w:tc>
        <w:tc>
          <w:tcPr>
            <w:tcW w:w="239" w:type="dxa"/>
            <w:tcBorders>
              <w:top w:val="nil"/>
              <w:left w:val="nil"/>
              <w:bottom w:val="nil"/>
              <w:right w:val="nil"/>
              <w:tl2br w:val="nil"/>
              <w:tr2bl w:val="nil"/>
            </w:tcBorders>
            <w:tcMar>
              <w:left w:w="60" w:type="dxa"/>
              <w:right w:w="60" w:type="dxa"/>
            </w:tcMar>
            <w:vAlign w:val="center"/>
          </w:tcPr>
          <w:p w14:paraId="4E84BC5D" w14:textId="77777777" w:rsidR="00807FFE" w:rsidRDefault="00023E71">
            <w:pPr>
              <w:pStyle w:val="DMETW36691BIPStatementofcomparisonRevenue"/>
              <w:jc w:val="right"/>
              <w:rPr>
                <w:rFonts w:ascii="Verdana" w:eastAsia="Verdana" w:hAnsi="Verdana" w:cs="Verdana"/>
                <w:noProof/>
                <w:color w:val="000000"/>
                <w:sz w:val="16"/>
              </w:rPr>
            </w:pPr>
            <w:r>
              <w:rPr>
                <w:rFonts w:ascii="Verdana" w:eastAsia="Verdana" w:hAnsi="Verdana" w:cs="Verdana"/>
                <w:noProof/>
                <w:color w:val="000000"/>
                <w:sz w:val="16"/>
              </w:rPr>
              <w:t>1 362</w:t>
            </w:r>
          </w:p>
        </w:tc>
        <w:tc>
          <w:tcPr>
            <w:tcW w:w="239" w:type="dxa"/>
            <w:tcBorders>
              <w:top w:val="nil"/>
              <w:left w:val="nil"/>
              <w:bottom w:val="nil"/>
              <w:right w:val="nil"/>
              <w:tl2br w:val="nil"/>
              <w:tr2bl w:val="nil"/>
            </w:tcBorders>
            <w:tcMar>
              <w:left w:w="60" w:type="dxa"/>
              <w:right w:w="60" w:type="dxa"/>
            </w:tcMar>
            <w:vAlign w:val="center"/>
          </w:tcPr>
          <w:p w14:paraId="553B1DB7" w14:textId="77777777" w:rsidR="00807FFE" w:rsidRDefault="00023E71">
            <w:pPr>
              <w:pStyle w:val="DMETW36691BIPStatementofcomparisonRevenue"/>
              <w:jc w:val="right"/>
              <w:rPr>
                <w:rFonts w:ascii="Verdana" w:eastAsia="Verdana" w:hAnsi="Verdana" w:cs="Verdana"/>
                <w:noProof/>
                <w:color w:val="000000"/>
                <w:sz w:val="16"/>
                <w:lang w:bidi="en-GB"/>
              </w:rPr>
            </w:pPr>
            <w:r>
              <w:rPr>
                <w:rFonts w:ascii="Verdana" w:eastAsia="Verdana" w:hAnsi="Verdana" w:cs="Verdana"/>
                <w:noProof/>
                <w:color w:val="000000"/>
                <w:sz w:val="16"/>
              </w:rPr>
              <w:t>1 362</w:t>
            </w:r>
          </w:p>
        </w:tc>
      </w:tr>
      <w:tr w:rsidR="00807FFE" w14:paraId="0E435038" w14:textId="77777777">
        <w:trPr>
          <w:trHeight w:val="255"/>
        </w:trPr>
        <w:tc>
          <w:tcPr>
            <w:tcW w:w="50" w:type="dxa"/>
            <w:tcBorders>
              <w:top w:val="nil"/>
              <w:left w:val="nil"/>
              <w:bottom w:val="nil"/>
              <w:right w:val="nil"/>
              <w:tl2br w:val="nil"/>
              <w:tr2bl w:val="nil"/>
            </w:tcBorders>
            <w:tcMar>
              <w:left w:w="60" w:type="dxa"/>
              <w:right w:w="60" w:type="dxa"/>
            </w:tcMar>
            <w:vAlign w:val="center"/>
          </w:tcPr>
          <w:p w14:paraId="284453B1" w14:textId="77777777" w:rsidR="00807FFE" w:rsidRDefault="00023E71">
            <w:pPr>
              <w:pStyle w:val="DMETW36691BIPStatementofcomparisonRevenue"/>
              <w:rPr>
                <w:rFonts w:ascii="Verdana" w:eastAsia="Verdana" w:hAnsi="Verdana" w:cs="Verdana"/>
                <w:i/>
                <w:noProof/>
                <w:color w:val="000000"/>
                <w:sz w:val="16"/>
              </w:rPr>
            </w:pPr>
            <w:r>
              <w:rPr>
                <w:rFonts w:ascii="Verdana" w:eastAsia="Verdana" w:hAnsi="Verdana" w:cs="Verdana"/>
                <w:i/>
                <w:noProof/>
                <w:color w:val="000000"/>
                <w:sz w:val="16"/>
              </w:rPr>
              <w:t>3</w:t>
            </w:r>
          </w:p>
        </w:tc>
        <w:tc>
          <w:tcPr>
            <w:tcW w:w="994" w:type="dxa"/>
            <w:tcBorders>
              <w:top w:val="nil"/>
              <w:left w:val="nil"/>
              <w:bottom w:val="nil"/>
              <w:right w:val="nil"/>
              <w:tl2br w:val="nil"/>
              <w:tr2bl w:val="nil"/>
            </w:tcBorders>
            <w:tcMar>
              <w:left w:w="60" w:type="dxa"/>
              <w:right w:w="60" w:type="dxa"/>
            </w:tcMar>
            <w:vAlign w:val="center"/>
          </w:tcPr>
          <w:p w14:paraId="604B7D9F"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Administrative Revenue</w:t>
            </w:r>
          </w:p>
        </w:tc>
        <w:tc>
          <w:tcPr>
            <w:tcW w:w="238" w:type="dxa"/>
            <w:tcBorders>
              <w:top w:val="nil"/>
              <w:left w:val="nil"/>
              <w:bottom w:val="nil"/>
              <w:right w:val="nil"/>
              <w:tl2br w:val="nil"/>
              <w:tr2bl w:val="nil"/>
            </w:tcBorders>
            <w:tcMar>
              <w:left w:w="60" w:type="dxa"/>
              <w:right w:w="60" w:type="dxa"/>
            </w:tcMar>
            <w:vAlign w:val="center"/>
          </w:tcPr>
          <w:p w14:paraId="4B1F322D"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2 425</w:t>
            </w:r>
          </w:p>
        </w:tc>
        <w:tc>
          <w:tcPr>
            <w:tcW w:w="239" w:type="dxa"/>
            <w:tcBorders>
              <w:top w:val="nil"/>
              <w:left w:val="nil"/>
              <w:bottom w:val="nil"/>
              <w:right w:val="nil"/>
              <w:tl2br w:val="nil"/>
              <w:tr2bl w:val="nil"/>
            </w:tcBorders>
            <w:tcMar>
              <w:left w:w="60" w:type="dxa"/>
              <w:right w:w="60" w:type="dxa"/>
            </w:tcMar>
            <w:vAlign w:val="center"/>
          </w:tcPr>
          <w:p w14:paraId="06D4B407"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2 425</w:t>
            </w:r>
          </w:p>
        </w:tc>
        <w:tc>
          <w:tcPr>
            <w:tcW w:w="239" w:type="dxa"/>
            <w:tcBorders>
              <w:top w:val="nil"/>
              <w:left w:val="nil"/>
              <w:bottom w:val="nil"/>
              <w:right w:val="nil"/>
              <w:tl2br w:val="nil"/>
              <w:tr2bl w:val="nil"/>
            </w:tcBorders>
            <w:tcMar>
              <w:left w:w="60" w:type="dxa"/>
              <w:right w:w="60" w:type="dxa"/>
            </w:tcMar>
            <w:vAlign w:val="center"/>
          </w:tcPr>
          <w:p w14:paraId="290B358E"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3 272</w:t>
            </w:r>
          </w:p>
        </w:tc>
        <w:tc>
          <w:tcPr>
            <w:tcW w:w="239" w:type="dxa"/>
            <w:tcBorders>
              <w:top w:val="nil"/>
              <w:left w:val="nil"/>
              <w:bottom w:val="nil"/>
              <w:right w:val="nil"/>
              <w:tl2br w:val="nil"/>
              <w:tr2bl w:val="nil"/>
            </w:tcBorders>
            <w:tcMar>
              <w:left w:w="60" w:type="dxa"/>
              <w:right w:w="60" w:type="dxa"/>
            </w:tcMar>
            <w:vAlign w:val="center"/>
          </w:tcPr>
          <w:p w14:paraId="2E12473A" w14:textId="77777777" w:rsidR="00807FFE" w:rsidRDefault="00023E71">
            <w:pPr>
              <w:pStyle w:val="DMETW36691BIPStatementofcomparisonRevenue"/>
              <w:jc w:val="right"/>
              <w:rPr>
                <w:rFonts w:ascii="Verdana" w:eastAsia="Verdana" w:hAnsi="Verdana" w:cs="Verdana"/>
                <w:i/>
                <w:noProof/>
                <w:color w:val="000000"/>
                <w:sz w:val="16"/>
                <w:lang w:bidi="en-GB"/>
              </w:rPr>
            </w:pPr>
            <w:r>
              <w:rPr>
                <w:rFonts w:ascii="Verdana" w:eastAsia="Verdana" w:hAnsi="Verdana" w:cs="Verdana"/>
                <w:i/>
                <w:noProof/>
                <w:color w:val="000000"/>
                <w:sz w:val="16"/>
              </w:rPr>
              <w:t>3 226</w:t>
            </w:r>
          </w:p>
        </w:tc>
      </w:tr>
      <w:tr w:rsidR="00807FFE" w14:paraId="381B1420" w14:textId="77777777">
        <w:trPr>
          <w:trHeight w:val="255"/>
        </w:trPr>
        <w:tc>
          <w:tcPr>
            <w:tcW w:w="50" w:type="dxa"/>
            <w:tcBorders>
              <w:top w:val="nil"/>
              <w:left w:val="nil"/>
              <w:bottom w:val="nil"/>
              <w:right w:val="nil"/>
              <w:tl2br w:val="nil"/>
              <w:tr2bl w:val="nil"/>
            </w:tcBorders>
            <w:tcMar>
              <w:left w:w="60" w:type="dxa"/>
              <w:right w:w="60" w:type="dxa"/>
            </w:tcMar>
            <w:vAlign w:val="center"/>
          </w:tcPr>
          <w:p w14:paraId="47692725" w14:textId="77777777" w:rsidR="00807FFE" w:rsidRDefault="00023E71">
            <w:pPr>
              <w:pStyle w:val="DMETW36691BIPStatementofcomparisonRevenue"/>
              <w:rPr>
                <w:rFonts w:ascii="Verdana" w:eastAsia="Verdana" w:hAnsi="Verdana" w:cs="Verdana"/>
                <w:i/>
                <w:noProof/>
                <w:color w:val="000000"/>
                <w:sz w:val="16"/>
              </w:rPr>
            </w:pPr>
            <w:r>
              <w:rPr>
                <w:rFonts w:ascii="Verdana" w:eastAsia="Verdana" w:hAnsi="Verdana" w:cs="Verdana"/>
                <w:i/>
                <w:noProof/>
                <w:color w:val="000000"/>
                <w:sz w:val="16"/>
              </w:rPr>
              <w:t>4</w:t>
            </w:r>
          </w:p>
        </w:tc>
        <w:tc>
          <w:tcPr>
            <w:tcW w:w="994" w:type="dxa"/>
            <w:tcBorders>
              <w:top w:val="nil"/>
              <w:left w:val="nil"/>
              <w:bottom w:val="nil"/>
              <w:right w:val="nil"/>
              <w:tl2br w:val="nil"/>
              <w:tr2bl w:val="nil"/>
            </w:tcBorders>
            <w:tcMar>
              <w:left w:w="60" w:type="dxa"/>
              <w:right w:w="60" w:type="dxa"/>
            </w:tcMar>
            <w:vAlign w:val="center"/>
          </w:tcPr>
          <w:p w14:paraId="280F9620"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Financial Revenue, Default Interest And Fines</w:t>
            </w:r>
          </w:p>
        </w:tc>
        <w:tc>
          <w:tcPr>
            <w:tcW w:w="238" w:type="dxa"/>
            <w:tcBorders>
              <w:top w:val="nil"/>
              <w:left w:val="nil"/>
              <w:bottom w:val="nil"/>
              <w:right w:val="nil"/>
              <w:tl2br w:val="nil"/>
              <w:tr2bl w:val="nil"/>
            </w:tcBorders>
            <w:tcMar>
              <w:left w:w="60" w:type="dxa"/>
              <w:right w:w="60" w:type="dxa"/>
            </w:tcMar>
            <w:vAlign w:val="center"/>
          </w:tcPr>
          <w:p w14:paraId="78FF21BD"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 xml:space="preserve"> 183</w:t>
            </w:r>
          </w:p>
        </w:tc>
        <w:tc>
          <w:tcPr>
            <w:tcW w:w="239" w:type="dxa"/>
            <w:tcBorders>
              <w:top w:val="nil"/>
              <w:left w:val="nil"/>
              <w:bottom w:val="nil"/>
              <w:right w:val="nil"/>
              <w:tl2br w:val="nil"/>
              <w:tr2bl w:val="nil"/>
            </w:tcBorders>
            <w:tcMar>
              <w:left w:w="60" w:type="dxa"/>
              <w:right w:w="60" w:type="dxa"/>
            </w:tcMar>
            <w:vAlign w:val="center"/>
          </w:tcPr>
          <w:p w14:paraId="6EBE40E0"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1 659</w:t>
            </w:r>
          </w:p>
        </w:tc>
        <w:tc>
          <w:tcPr>
            <w:tcW w:w="239" w:type="dxa"/>
            <w:tcBorders>
              <w:top w:val="nil"/>
              <w:left w:val="nil"/>
              <w:bottom w:val="nil"/>
              <w:right w:val="nil"/>
              <w:tl2br w:val="nil"/>
              <w:tr2bl w:val="nil"/>
            </w:tcBorders>
            <w:tcMar>
              <w:left w:w="60" w:type="dxa"/>
              <w:right w:w="60" w:type="dxa"/>
            </w:tcMar>
            <w:vAlign w:val="center"/>
          </w:tcPr>
          <w:p w14:paraId="13CBBCE6"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18 874</w:t>
            </w:r>
          </w:p>
        </w:tc>
        <w:tc>
          <w:tcPr>
            <w:tcW w:w="239" w:type="dxa"/>
            <w:tcBorders>
              <w:top w:val="nil"/>
              <w:left w:val="nil"/>
              <w:bottom w:val="nil"/>
              <w:right w:val="nil"/>
              <w:tl2br w:val="nil"/>
              <w:tr2bl w:val="nil"/>
            </w:tcBorders>
            <w:tcMar>
              <w:left w:w="60" w:type="dxa"/>
              <w:right w:w="60" w:type="dxa"/>
            </w:tcMar>
            <w:vAlign w:val="center"/>
          </w:tcPr>
          <w:p w14:paraId="0A1A9036" w14:textId="77777777" w:rsidR="00807FFE" w:rsidRDefault="00023E71">
            <w:pPr>
              <w:pStyle w:val="DMETW36691BIPStatementofcomparisonRevenue"/>
              <w:jc w:val="right"/>
              <w:rPr>
                <w:rFonts w:ascii="Verdana" w:eastAsia="Verdana" w:hAnsi="Verdana" w:cs="Verdana"/>
                <w:i/>
                <w:noProof/>
                <w:color w:val="000000"/>
                <w:sz w:val="16"/>
                <w:lang w:bidi="en-GB"/>
              </w:rPr>
            </w:pPr>
            <w:r>
              <w:rPr>
                <w:rFonts w:ascii="Verdana" w:eastAsia="Verdana" w:hAnsi="Verdana" w:cs="Verdana"/>
                <w:i/>
                <w:noProof/>
                <w:color w:val="000000"/>
                <w:sz w:val="16"/>
              </w:rPr>
              <w:t>2 618</w:t>
            </w:r>
          </w:p>
        </w:tc>
      </w:tr>
      <w:tr w:rsidR="00807FFE" w14:paraId="6B94391D" w14:textId="77777777">
        <w:trPr>
          <w:trHeight w:val="255"/>
        </w:trPr>
        <w:tc>
          <w:tcPr>
            <w:tcW w:w="50" w:type="dxa"/>
            <w:tcBorders>
              <w:top w:val="nil"/>
              <w:left w:val="nil"/>
              <w:bottom w:val="nil"/>
              <w:right w:val="nil"/>
              <w:tl2br w:val="nil"/>
              <w:tr2bl w:val="nil"/>
            </w:tcBorders>
            <w:tcMar>
              <w:left w:w="60" w:type="dxa"/>
              <w:right w:w="60" w:type="dxa"/>
            </w:tcMar>
            <w:vAlign w:val="center"/>
          </w:tcPr>
          <w:p w14:paraId="01DFE56C" w14:textId="77777777" w:rsidR="00807FFE" w:rsidRDefault="00023E71">
            <w:pPr>
              <w:pStyle w:val="DMETW36691BIPStatementofcomparisonRevenue"/>
              <w:rPr>
                <w:rFonts w:ascii="Verdana" w:eastAsia="Verdana" w:hAnsi="Verdana" w:cs="Verdana"/>
                <w:i/>
                <w:noProof/>
                <w:color w:val="000000"/>
                <w:sz w:val="16"/>
              </w:rPr>
            </w:pPr>
            <w:r>
              <w:rPr>
                <w:rFonts w:ascii="Verdana" w:eastAsia="Verdana" w:hAnsi="Verdana" w:cs="Verdana"/>
                <w:i/>
                <w:noProof/>
                <w:color w:val="000000"/>
                <w:sz w:val="16"/>
              </w:rPr>
              <w:t>5</w:t>
            </w:r>
          </w:p>
        </w:tc>
        <w:tc>
          <w:tcPr>
            <w:tcW w:w="994" w:type="dxa"/>
            <w:tcBorders>
              <w:top w:val="nil"/>
              <w:left w:val="nil"/>
              <w:bottom w:val="nil"/>
              <w:right w:val="nil"/>
              <w:tl2br w:val="nil"/>
              <w:tr2bl w:val="nil"/>
            </w:tcBorders>
            <w:tcMar>
              <w:left w:w="60" w:type="dxa"/>
              <w:right w:w="60" w:type="dxa"/>
            </w:tcMar>
            <w:vAlign w:val="center"/>
          </w:tcPr>
          <w:p w14:paraId="057112E4"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Budgetary Guarantees, Borrowing-And-Lending Operations</w:t>
            </w:r>
          </w:p>
        </w:tc>
        <w:tc>
          <w:tcPr>
            <w:tcW w:w="238" w:type="dxa"/>
            <w:tcBorders>
              <w:top w:val="nil"/>
              <w:left w:val="nil"/>
              <w:bottom w:val="nil"/>
              <w:right w:val="nil"/>
              <w:tl2br w:val="nil"/>
              <w:tr2bl w:val="nil"/>
            </w:tcBorders>
            <w:tcMar>
              <w:left w:w="60" w:type="dxa"/>
              <w:right w:w="60" w:type="dxa"/>
            </w:tcMar>
            <w:vAlign w:val="center"/>
          </w:tcPr>
          <w:p w14:paraId="5DEE6036"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14:paraId="1CEDEEF9"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14:paraId="6EF57835"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40 815</w:t>
            </w:r>
          </w:p>
        </w:tc>
        <w:tc>
          <w:tcPr>
            <w:tcW w:w="239" w:type="dxa"/>
            <w:tcBorders>
              <w:top w:val="nil"/>
              <w:left w:val="nil"/>
              <w:bottom w:val="nil"/>
              <w:right w:val="nil"/>
              <w:tl2br w:val="nil"/>
              <w:tr2bl w:val="nil"/>
            </w:tcBorders>
            <w:tcMar>
              <w:left w:w="60" w:type="dxa"/>
              <w:right w:w="60" w:type="dxa"/>
            </w:tcMar>
            <w:vAlign w:val="center"/>
          </w:tcPr>
          <w:p w14:paraId="5A117A78" w14:textId="77777777" w:rsidR="00807FFE" w:rsidRDefault="00023E71">
            <w:pPr>
              <w:pStyle w:val="DMETW36691BIPStatementofcomparisonRevenue"/>
              <w:jc w:val="right"/>
              <w:rPr>
                <w:rFonts w:ascii="Verdana" w:eastAsia="Verdana" w:hAnsi="Verdana" w:cs="Verdana"/>
                <w:i/>
                <w:noProof/>
                <w:color w:val="000000"/>
                <w:sz w:val="16"/>
                <w:lang w:bidi="en-GB"/>
              </w:rPr>
            </w:pPr>
            <w:r>
              <w:rPr>
                <w:rFonts w:ascii="Verdana" w:eastAsia="Verdana" w:hAnsi="Verdana" w:cs="Verdana"/>
                <w:i/>
                <w:noProof/>
                <w:color w:val="000000"/>
                <w:sz w:val="16"/>
              </w:rPr>
              <w:t>40 766</w:t>
            </w:r>
          </w:p>
        </w:tc>
      </w:tr>
      <w:tr w:rsidR="00807FFE" w14:paraId="1BE1A47A" w14:textId="77777777">
        <w:trPr>
          <w:trHeight w:val="255"/>
        </w:trPr>
        <w:tc>
          <w:tcPr>
            <w:tcW w:w="50" w:type="dxa"/>
            <w:tcBorders>
              <w:top w:val="nil"/>
              <w:left w:val="nil"/>
              <w:bottom w:val="nil"/>
              <w:right w:val="nil"/>
              <w:tl2br w:val="nil"/>
              <w:tr2bl w:val="nil"/>
            </w:tcBorders>
            <w:tcMar>
              <w:left w:w="60" w:type="dxa"/>
              <w:right w:w="60" w:type="dxa"/>
            </w:tcMar>
            <w:vAlign w:val="center"/>
          </w:tcPr>
          <w:p w14:paraId="3060007A" w14:textId="77777777" w:rsidR="00807FFE" w:rsidRDefault="00023E71">
            <w:pPr>
              <w:pStyle w:val="DMETW36691BIPStatementofcomparisonRevenue"/>
              <w:rPr>
                <w:rFonts w:ascii="Verdana" w:eastAsia="Verdana" w:hAnsi="Verdana" w:cs="Verdana"/>
                <w:i/>
                <w:noProof/>
                <w:color w:val="000000"/>
                <w:sz w:val="16"/>
              </w:rPr>
            </w:pPr>
            <w:r>
              <w:rPr>
                <w:rFonts w:ascii="Verdana" w:eastAsia="Verdana" w:hAnsi="Verdana" w:cs="Verdana"/>
                <w:i/>
                <w:noProof/>
                <w:color w:val="000000"/>
                <w:sz w:val="16"/>
              </w:rPr>
              <w:t>6</w:t>
            </w:r>
          </w:p>
        </w:tc>
        <w:tc>
          <w:tcPr>
            <w:tcW w:w="994" w:type="dxa"/>
            <w:tcBorders>
              <w:top w:val="nil"/>
              <w:left w:val="nil"/>
              <w:bottom w:val="nil"/>
              <w:right w:val="nil"/>
              <w:tl2br w:val="nil"/>
              <w:tr2bl w:val="nil"/>
            </w:tcBorders>
            <w:tcMar>
              <w:left w:w="60" w:type="dxa"/>
              <w:right w:w="60" w:type="dxa"/>
            </w:tcMar>
            <w:vAlign w:val="center"/>
          </w:tcPr>
          <w:p w14:paraId="6DFF145F"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Revenue, Contributions And Refunds Related To Union Policies</w:t>
            </w:r>
          </w:p>
        </w:tc>
        <w:tc>
          <w:tcPr>
            <w:tcW w:w="238" w:type="dxa"/>
            <w:tcBorders>
              <w:top w:val="nil"/>
              <w:left w:val="nil"/>
              <w:bottom w:val="nil"/>
              <w:right w:val="nil"/>
              <w:tl2br w:val="nil"/>
              <w:tr2bl w:val="nil"/>
            </w:tcBorders>
            <w:tcMar>
              <w:left w:w="60" w:type="dxa"/>
              <w:right w:w="60" w:type="dxa"/>
            </w:tcMar>
            <w:vAlign w:val="center"/>
          </w:tcPr>
          <w:p w14:paraId="6DBD685C"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1 440</w:t>
            </w:r>
          </w:p>
        </w:tc>
        <w:tc>
          <w:tcPr>
            <w:tcW w:w="239" w:type="dxa"/>
            <w:tcBorders>
              <w:top w:val="nil"/>
              <w:left w:val="nil"/>
              <w:bottom w:val="nil"/>
              <w:right w:val="nil"/>
              <w:tl2br w:val="nil"/>
              <w:tr2bl w:val="nil"/>
            </w:tcBorders>
            <w:tcMar>
              <w:left w:w="60" w:type="dxa"/>
              <w:right w:w="60" w:type="dxa"/>
            </w:tcMar>
            <w:vAlign w:val="center"/>
          </w:tcPr>
          <w:p w14:paraId="16598856"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1 412</w:t>
            </w:r>
          </w:p>
        </w:tc>
        <w:tc>
          <w:tcPr>
            <w:tcW w:w="239" w:type="dxa"/>
            <w:tcBorders>
              <w:top w:val="nil"/>
              <w:left w:val="nil"/>
              <w:bottom w:val="nil"/>
              <w:right w:val="nil"/>
              <w:tl2br w:val="nil"/>
              <w:tr2bl w:val="nil"/>
            </w:tcBorders>
            <w:tcMar>
              <w:left w:w="60" w:type="dxa"/>
              <w:right w:w="60" w:type="dxa"/>
            </w:tcMar>
            <w:vAlign w:val="center"/>
          </w:tcPr>
          <w:p w14:paraId="03D008EA"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24 016</w:t>
            </w:r>
          </w:p>
        </w:tc>
        <w:tc>
          <w:tcPr>
            <w:tcW w:w="239" w:type="dxa"/>
            <w:tcBorders>
              <w:top w:val="nil"/>
              <w:left w:val="nil"/>
              <w:bottom w:val="nil"/>
              <w:right w:val="nil"/>
              <w:tl2br w:val="nil"/>
              <w:tr2bl w:val="nil"/>
            </w:tcBorders>
            <w:tcMar>
              <w:left w:w="60" w:type="dxa"/>
              <w:right w:w="60" w:type="dxa"/>
            </w:tcMar>
            <w:vAlign w:val="center"/>
          </w:tcPr>
          <w:p w14:paraId="5EF298ED" w14:textId="77777777" w:rsidR="00807FFE" w:rsidRDefault="00023E71">
            <w:pPr>
              <w:pStyle w:val="DMETW36691BIPStatementofcomparisonRevenue"/>
              <w:jc w:val="right"/>
              <w:rPr>
                <w:rFonts w:ascii="Verdana" w:eastAsia="Verdana" w:hAnsi="Verdana" w:cs="Verdana"/>
                <w:i/>
                <w:noProof/>
                <w:color w:val="000000"/>
                <w:sz w:val="16"/>
                <w:lang w:bidi="en-GB"/>
              </w:rPr>
            </w:pPr>
            <w:r>
              <w:rPr>
                <w:rFonts w:ascii="Verdana" w:eastAsia="Verdana" w:hAnsi="Verdana" w:cs="Verdana"/>
                <w:i/>
                <w:noProof/>
                <w:color w:val="000000"/>
                <w:sz w:val="16"/>
              </w:rPr>
              <w:t>21 008</w:t>
            </w:r>
          </w:p>
        </w:tc>
      </w:tr>
      <w:tr w:rsidR="00807FFE" w14:paraId="78DDFF10" w14:textId="77777777">
        <w:trPr>
          <w:trHeight w:val="255"/>
        </w:trPr>
        <w:tc>
          <w:tcPr>
            <w:tcW w:w="50" w:type="dxa"/>
            <w:tcBorders>
              <w:top w:val="nil"/>
              <w:left w:val="nil"/>
              <w:bottom w:val="nil"/>
              <w:right w:val="nil"/>
              <w:tl2br w:val="nil"/>
              <w:tr2bl w:val="nil"/>
            </w:tcBorders>
            <w:shd w:val="solid" w:color="CCE1EB" w:fill="FFFFFF"/>
            <w:tcMar>
              <w:left w:w="60" w:type="dxa"/>
              <w:right w:w="60" w:type="dxa"/>
            </w:tcMar>
            <w:vAlign w:val="center"/>
          </w:tcPr>
          <w:p w14:paraId="3A6F90C5" w14:textId="77777777" w:rsidR="00807FFE" w:rsidRDefault="00807FFE">
            <w:pPr>
              <w:pStyle w:val="DMETW36691BIPStatementofcomparisonRevenue"/>
              <w:jc w:val="right"/>
              <w:rPr>
                <w:rFonts w:ascii="Verdana" w:eastAsia="Verdana" w:hAnsi="Verdana" w:cs="Verdana"/>
                <w:b/>
                <w:noProof/>
                <w:color w:val="000000"/>
                <w:sz w:val="16"/>
              </w:rPr>
            </w:pPr>
          </w:p>
        </w:tc>
        <w:tc>
          <w:tcPr>
            <w:tcW w:w="994" w:type="dxa"/>
            <w:tcBorders>
              <w:top w:val="nil"/>
              <w:left w:val="nil"/>
              <w:bottom w:val="nil"/>
              <w:right w:val="nil"/>
              <w:tl2br w:val="nil"/>
              <w:tr2bl w:val="nil"/>
            </w:tcBorders>
            <w:shd w:val="solid" w:color="CCE1EB" w:fill="FFFFFF"/>
            <w:tcMar>
              <w:left w:w="60" w:type="dxa"/>
              <w:right w:w="60" w:type="dxa"/>
            </w:tcMar>
            <w:vAlign w:val="center"/>
          </w:tcPr>
          <w:p w14:paraId="6511B519" w14:textId="77777777" w:rsidR="00807FFE" w:rsidRDefault="00023E71">
            <w:pPr>
              <w:pStyle w:val="DMETW36691BIPStatementofcomparisonRevenue"/>
              <w:jc w:val="right"/>
              <w:rPr>
                <w:rFonts w:ascii="Verdana" w:eastAsia="Verdana" w:hAnsi="Verdana" w:cs="Verdana"/>
                <w:b/>
                <w:noProof/>
                <w:color w:val="000000"/>
                <w:sz w:val="16"/>
              </w:rPr>
            </w:pPr>
            <w:r>
              <w:rPr>
                <w:rFonts w:ascii="Verdana" w:eastAsia="Verdana" w:hAnsi="Verdana" w:cs="Verdana"/>
                <w:b/>
                <w:noProof/>
                <w:color w:val="000000"/>
                <w:sz w:val="16"/>
              </w:rPr>
              <w:t>Total</w:t>
            </w:r>
          </w:p>
        </w:tc>
        <w:tc>
          <w:tcPr>
            <w:tcW w:w="238" w:type="dxa"/>
            <w:tcBorders>
              <w:top w:val="nil"/>
              <w:left w:val="nil"/>
              <w:bottom w:val="nil"/>
              <w:right w:val="nil"/>
              <w:tl2br w:val="nil"/>
              <w:tr2bl w:val="nil"/>
            </w:tcBorders>
            <w:shd w:val="solid" w:color="CCE1EB" w:fill="FFFFFF"/>
            <w:tcMar>
              <w:left w:w="60" w:type="dxa"/>
              <w:right w:w="60" w:type="dxa"/>
            </w:tcMar>
            <w:vAlign w:val="center"/>
          </w:tcPr>
          <w:p w14:paraId="735D709F" w14:textId="77777777" w:rsidR="00807FFE" w:rsidRDefault="00023E71">
            <w:pPr>
              <w:pStyle w:val="DMETW36691BIPStatementofcomparisonRevenue"/>
              <w:jc w:val="right"/>
              <w:rPr>
                <w:rFonts w:ascii="Verdana" w:eastAsia="Verdana" w:hAnsi="Verdana" w:cs="Verdana"/>
                <w:b/>
                <w:noProof/>
                <w:color w:val="000000"/>
                <w:sz w:val="16"/>
              </w:rPr>
            </w:pPr>
            <w:r>
              <w:rPr>
                <w:rFonts w:ascii="Verdana" w:eastAsia="Verdana" w:hAnsi="Verdana" w:cs="Verdana"/>
                <w:b/>
                <w:noProof/>
                <w:color w:val="000000"/>
                <w:sz w:val="16"/>
              </w:rPr>
              <w:t>155 209</w:t>
            </w:r>
          </w:p>
        </w:tc>
        <w:tc>
          <w:tcPr>
            <w:tcW w:w="239" w:type="dxa"/>
            <w:tcBorders>
              <w:top w:val="nil"/>
              <w:left w:val="nil"/>
              <w:bottom w:val="nil"/>
              <w:right w:val="nil"/>
              <w:tl2br w:val="nil"/>
              <w:tr2bl w:val="nil"/>
            </w:tcBorders>
            <w:shd w:val="solid" w:color="CCE1EB" w:fill="FFFFFF"/>
            <w:tcMar>
              <w:left w:w="60" w:type="dxa"/>
              <w:right w:w="60" w:type="dxa"/>
            </w:tcMar>
            <w:vAlign w:val="center"/>
          </w:tcPr>
          <w:p w14:paraId="62B67D38" w14:textId="77777777" w:rsidR="00807FFE" w:rsidRDefault="00023E71">
            <w:pPr>
              <w:pStyle w:val="DMETW36691BIPStatementofcomparisonRevenue"/>
              <w:jc w:val="right"/>
              <w:rPr>
                <w:rFonts w:ascii="Verdana" w:eastAsia="Verdana" w:hAnsi="Verdana" w:cs="Verdana"/>
                <w:b/>
                <w:noProof/>
                <w:color w:val="000000"/>
                <w:sz w:val="16"/>
              </w:rPr>
            </w:pPr>
            <w:r>
              <w:rPr>
                <w:rFonts w:ascii="Verdana" w:eastAsia="Verdana" w:hAnsi="Verdana" w:cs="Verdana"/>
                <w:b/>
                <w:noProof/>
                <w:color w:val="000000"/>
                <w:sz w:val="16"/>
              </w:rPr>
              <w:t>161 163</w:t>
            </w:r>
          </w:p>
        </w:tc>
        <w:tc>
          <w:tcPr>
            <w:tcW w:w="239" w:type="dxa"/>
            <w:tcBorders>
              <w:top w:val="nil"/>
              <w:left w:val="nil"/>
              <w:bottom w:val="nil"/>
              <w:right w:val="nil"/>
              <w:tl2br w:val="nil"/>
              <w:tr2bl w:val="nil"/>
            </w:tcBorders>
            <w:shd w:val="solid" w:color="CCE1EB" w:fill="FFFFFF"/>
            <w:tcMar>
              <w:left w:w="60" w:type="dxa"/>
              <w:right w:w="60" w:type="dxa"/>
            </w:tcMar>
            <w:vAlign w:val="center"/>
          </w:tcPr>
          <w:p w14:paraId="0DEEB81F" w14:textId="77777777" w:rsidR="00807FFE" w:rsidRDefault="00023E71">
            <w:pPr>
              <w:pStyle w:val="DMETW36691BIPStatementofcomparisonRevenue"/>
              <w:jc w:val="right"/>
              <w:rPr>
                <w:rFonts w:ascii="Verdana" w:eastAsia="Verdana" w:hAnsi="Verdana" w:cs="Verdana"/>
                <w:b/>
                <w:noProof/>
                <w:color w:val="000000"/>
                <w:sz w:val="16"/>
              </w:rPr>
            </w:pPr>
            <w:r>
              <w:rPr>
                <w:rFonts w:ascii="Verdana" w:eastAsia="Verdana" w:hAnsi="Verdana" w:cs="Verdana"/>
                <w:b/>
                <w:noProof/>
                <w:color w:val="000000"/>
                <w:sz w:val="16"/>
              </w:rPr>
              <w:t>243 787</w:t>
            </w:r>
          </w:p>
        </w:tc>
        <w:tc>
          <w:tcPr>
            <w:tcW w:w="239" w:type="dxa"/>
            <w:tcBorders>
              <w:top w:val="nil"/>
              <w:left w:val="nil"/>
              <w:bottom w:val="nil"/>
              <w:right w:val="nil"/>
              <w:tl2br w:val="nil"/>
              <w:tr2bl w:val="nil"/>
            </w:tcBorders>
            <w:shd w:val="solid" w:color="CCE1EB" w:fill="FFFFFF"/>
            <w:tcMar>
              <w:left w:w="60" w:type="dxa"/>
              <w:right w:w="60" w:type="dxa"/>
            </w:tcMar>
            <w:vAlign w:val="center"/>
          </w:tcPr>
          <w:p w14:paraId="1A1A2A85" w14:textId="77777777" w:rsidR="00807FFE" w:rsidRDefault="00023E71">
            <w:pPr>
              <w:pStyle w:val="DMETW36691BIPStatementofcomparisonRevenue"/>
              <w:jc w:val="right"/>
              <w:rPr>
                <w:rFonts w:ascii="Verdana" w:eastAsia="Verdana" w:hAnsi="Verdana" w:cs="Verdana"/>
                <w:b/>
                <w:noProof/>
                <w:color w:val="000000"/>
                <w:sz w:val="16"/>
                <w:lang w:bidi="en-GB"/>
              </w:rPr>
            </w:pPr>
            <w:r>
              <w:rPr>
                <w:rFonts w:ascii="Verdana" w:eastAsia="Verdana" w:hAnsi="Verdana" w:cs="Verdana"/>
                <w:b/>
                <w:noProof/>
                <w:color w:val="000000"/>
                <w:sz w:val="16"/>
              </w:rPr>
              <w:t>224 398</w:t>
            </w:r>
          </w:p>
        </w:tc>
      </w:tr>
      <w:tr w:rsidR="00807FFE" w14:paraId="795E8B89" w14:textId="77777777">
        <w:trPr>
          <w:trHeight w:val="255"/>
        </w:trPr>
        <w:tc>
          <w:tcPr>
            <w:tcW w:w="50" w:type="dxa"/>
            <w:tcBorders>
              <w:top w:val="nil"/>
              <w:left w:val="nil"/>
              <w:bottom w:val="nil"/>
              <w:right w:val="nil"/>
              <w:tl2br w:val="nil"/>
              <w:tr2bl w:val="nil"/>
            </w:tcBorders>
            <w:shd w:val="solid" w:color="CCE1EB" w:fill="FFFFFF"/>
            <w:tcMar>
              <w:left w:w="60" w:type="dxa"/>
              <w:right w:w="60" w:type="dxa"/>
            </w:tcMar>
            <w:vAlign w:val="center"/>
          </w:tcPr>
          <w:p w14:paraId="778F0557" w14:textId="77777777" w:rsidR="00807FFE" w:rsidRDefault="00807FFE">
            <w:pPr>
              <w:pStyle w:val="DMETW36691BIPStatementofcomparisonRevenue"/>
              <w:rPr>
                <w:rFonts w:ascii="Verdana" w:eastAsia="Verdana" w:hAnsi="Verdana" w:cs="Verdana"/>
                <w:i/>
                <w:noProof/>
                <w:color w:val="000000"/>
                <w:sz w:val="16"/>
              </w:rPr>
            </w:pPr>
          </w:p>
        </w:tc>
        <w:tc>
          <w:tcPr>
            <w:tcW w:w="994" w:type="dxa"/>
            <w:tcBorders>
              <w:top w:val="nil"/>
              <w:left w:val="nil"/>
              <w:bottom w:val="nil"/>
              <w:right w:val="nil"/>
              <w:tl2br w:val="nil"/>
              <w:tr2bl w:val="nil"/>
            </w:tcBorders>
            <w:shd w:val="solid" w:color="CCE1EB" w:fill="FFFFFF"/>
            <w:tcMar>
              <w:left w:w="60" w:type="dxa"/>
              <w:right w:w="60" w:type="dxa"/>
            </w:tcMar>
            <w:vAlign w:val="center"/>
          </w:tcPr>
          <w:p w14:paraId="44CCD69D" w14:textId="77777777" w:rsidR="00807FFE" w:rsidRDefault="00023E71">
            <w:pPr>
              <w:pStyle w:val="DMETW36691BIPStatementofcomparisonRevenue"/>
              <w:rPr>
                <w:rFonts w:ascii="Verdana" w:eastAsia="Verdana" w:hAnsi="Verdana" w:cs="Verdana"/>
                <w:i/>
                <w:noProof/>
                <w:color w:val="000000"/>
                <w:sz w:val="16"/>
              </w:rPr>
            </w:pPr>
            <w:r>
              <w:rPr>
                <w:rFonts w:ascii="Verdana" w:eastAsia="Verdana" w:hAnsi="Verdana" w:cs="Verdana"/>
                <w:i/>
                <w:noProof/>
                <w:color w:val="000000"/>
                <w:sz w:val="16"/>
              </w:rPr>
              <w:t xml:space="preserve">     of which Next Generation EU (NGEU)</w:t>
            </w:r>
          </w:p>
        </w:tc>
        <w:tc>
          <w:tcPr>
            <w:tcW w:w="238" w:type="dxa"/>
            <w:tcBorders>
              <w:top w:val="nil"/>
              <w:left w:val="nil"/>
              <w:bottom w:val="nil"/>
              <w:right w:val="nil"/>
              <w:tl2br w:val="nil"/>
              <w:tr2bl w:val="nil"/>
            </w:tcBorders>
            <w:shd w:val="solid" w:color="CCE1EB" w:fill="FFFFFF"/>
            <w:tcMar>
              <w:left w:w="60" w:type="dxa"/>
              <w:right w:w="60" w:type="dxa"/>
            </w:tcMar>
            <w:vAlign w:val="center"/>
          </w:tcPr>
          <w:p w14:paraId="01521031"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239" w:type="dxa"/>
            <w:tcBorders>
              <w:top w:val="nil"/>
              <w:left w:val="nil"/>
              <w:bottom w:val="nil"/>
              <w:right w:val="nil"/>
              <w:tl2br w:val="nil"/>
              <w:tr2bl w:val="nil"/>
            </w:tcBorders>
            <w:shd w:val="solid" w:color="CCE1EB" w:fill="FFFFFF"/>
            <w:tcMar>
              <w:left w:w="60" w:type="dxa"/>
              <w:right w:w="60" w:type="dxa"/>
            </w:tcMar>
            <w:vAlign w:val="center"/>
          </w:tcPr>
          <w:p w14:paraId="4443E265"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239" w:type="dxa"/>
            <w:tcBorders>
              <w:top w:val="nil"/>
              <w:left w:val="nil"/>
              <w:bottom w:val="nil"/>
              <w:right w:val="nil"/>
              <w:tl2br w:val="nil"/>
              <w:tr2bl w:val="nil"/>
            </w:tcBorders>
            <w:shd w:val="solid" w:color="CCE1EB" w:fill="FFFFFF"/>
            <w:tcMar>
              <w:left w:w="60" w:type="dxa"/>
              <w:right w:w="60" w:type="dxa"/>
            </w:tcMar>
            <w:vAlign w:val="center"/>
          </w:tcPr>
          <w:p w14:paraId="7B51182D"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40 219</w:t>
            </w:r>
          </w:p>
        </w:tc>
        <w:tc>
          <w:tcPr>
            <w:tcW w:w="239" w:type="dxa"/>
            <w:tcBorders>
              <w:top w:val="nil"/>
              <w:left w:val="nil"/>
              <w:bottom w:val="nil"/>
              <w:right w:val="nil"/>
              <w:tl2br w:val="nil"/>
              <w:tr2bl w:val="nil"/>
            </w:tcBorders>
            <w:shd w:val="solid" w:color="CCE1EB" w:fill="FFFFFF"/>
            <w:tcMar>
              <w:left w:w="60" w:type="dxa"/>
              <w:right w:w="60" w:type="dxa"/>
            </w:tcMar>
            <w:vAlign w:val="center"/>
          </w:tcPr>
          <w:p w14:paraId="711979B2" w14:textId="77777777" w:rsidR="00807FFE" w:rsidRDefault="00023E71">
            <w:pPr>
              <w:pStyle w:val="DMETW36691BIPStatementofcomparisonRevenue"/>
              <w:jc w:val="right"/>
              <w:rPr>
                <w:rFonts w:ascii="Verdana" w:eastAsia="Verdana" w:hAnsi="Verdana" w:cs="Verdana"/>
                <w:i/>
                <w:noProof/>
                <w:color w:val="000000"/>
                <w:sz w:val="16"/>
              </w:rPr>
            </w:pPr>
            <w:r>
              <w:rPr>
                <w:rFonts w:ascii="Verdana" w:eastAsia="Verdana" w:hAnsi="Verdana" w:cs="Verdana"/>
                <w:i/>
                <w:noProof/>
                <w:color w:val="000000"/>
                <w:sz w:val="16"/>
              </w:rPr>
              <w:t>40 213</w:t>
            </w:r>
          </w:p>
        </w:tc>
      </w:tr>
    </w:tbl>
    <w:p w14:paraId="3B1BF9EF" w14:textId="77777777" w:rsidR="001E4994" w:rsidRDefault="001E4994" w:rsidP="00A20CC1">
      <w:pPr>
        <w:pStyle w:val="Textstand-alone"/>
      </w:pPr>
    </w:p>
    <w:p w14:paraId="3B5026B5" w14:textId="77777777" w:rsidR="001E4994" w:rsidRDefault="00023E71" w:rsidP="00C73228">
      <w:pPr>
        <w:pStyle w:val="HEADERTITLE"/>
        <w:spacing w:before="480"/>
      </w:pPr>
      <w:r>
        <w:rPr>
          <w:rFonts w:eastAsia="Calibri"/>
        </w:rPr>
        <w:t>Budget expenditure: commitments by multiannual financial framework (MFF) heading</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4575"/>
        <w:gridCol w:w="1350"/>
        <w:gridCol w:w="1350"/>
        <w:gridCol w:w="1350"/>
        <w:gridCol w:w="960"/>
      </w:tblGrid>
      <w:tr w:rsidR="00807FFE" w14:paraId="7ECECD12" w14:textId="77777777">
        <w:trPr>
          <w:cantSplit/>
          <w:trHeight w:val="96"/>
        </w:trPr>
        <w:tc>
          <w:tcPr>
            <w:tcW w:w="1035" w:type="dxa"/>
            <w:gridSpan w:val="6"/>
            <w:tcBorders>
              <w:top w:val="nil"/>
              <w:left w:val="nil"/>
              <w:bottom w:val="nil"/>
              <w:right w:val="nil"/>
              <w:tl2br w:val="nil"/>
              <w:tr2bl w:val="nil"/>
            </w:tcBorders>
            <w:tcMar>
              <w:left w:w="60" w:type="dxa"/>
              <w:right w:w="60" w:type="dxa"/>
            </w:tcMar>
            <w:vAlign w:val="center"/>
          </w:tcPr>
          <w:p w14:paraId="0CE9C247" w14:textId="77777777" w:rsidR="00807FFE" w:rsidRDefault="00023E71">
            <w:pPr>
              <w:pStyle w:val="DMETW36691BIPStatementofcomparisonCommitments"/>
              <w:jc w:val="right"/>
              <w:rPr>
                <w:rFonts w:ascii="Verdana" w:eastAsia="Verdana" w:hAnsi="Verdana" w:cs="Verdana"/>
                <w:i/>
                <w:noProof/>
                <w:color w:val="000000"/>
                <w:sz w:val="16"/>
                <w:lang w:bidi="en-GB"/>
              </w:rPr>
            </w:pPr>
            <w:bookmarkStart w:id="259" w:name="DOC_TBL00110_1_1"/>
            <w:bookmarkEnd w:id="259"/>
            <w:r>
              <w:rPr>
                <w:rFonts w:ascii="Verdana" w:eastAsia="Verdana" w:hAnsi="Verdana" w:cs="Verdana"/>
                <w:i/>
                <w:noProof/>
                <w:color w:val="000000"/>
                <w:sz w:val="16"/>
                <w:lang w:bidi="en-GB"/>
              </w:rPr>
              <w:t>EUR million</w:t>
            </w:r>
          </w:p>
        </w:tc>
      </w:tr>
      <w:tr w:rsidR="00807FFE" w14:paraId="4A2B01DA" w14:textId="77777777">
        <w:trPr>
          <w:cantSplit/>
          <w:trHeight w:val="255"/>
        </w:trPr>
        <w:tc>
          <w:tcPr>
            <w:tcW w:w="1035" w:type="dxa"/>
            <w:gridSpan w:val="2"/>
            <w:tcBorders>
              <w:top w:val="nil"/>
              <w:left w:val="nil"/>
              <w:bottom w:val="nil"/>
              <w:right w:val="nil"/>
              <w:tl2br w:val="nil"/>
              <w:tr2bl w:val="nil"/>
            </w:tcBorders>
            <w:shd w:val="solid" w:color="016794" w:fill="FFFFFF"/>
            <w:tcMar>
              <w:left w:w="60" w:type="dxa"/>
              <w:right w:w="60" w:type="dxa"/>
            </w:tcMar>
            <w:vAlign w:val="center"/>
          </w:tcPr>
          <w:p w14:paraId="5E9E1CFB" w14:textId="77777777" w:rsidR="00807FFE" w:rsidRDefault="00023E71">
            <w:pPr>
              <w:pStyle w:val="DMETW36691BIPStatementofcomparisonCommitments"/>
              <w:jc w:val="center"/>
              <w:rPr>
                <w:rFonts w:ascii="Verdana" w:eastAsia="Verdana" w:hAnsi="Verdana" w:cs="Verdana"/>
                <w:noProof/>
                <w:color w:val="FFFFFF"/>
                <w:sz w:val="16"/>
              </w:rPr>
            </w:pPr>
            <w:r>
              <w:rPr>
                <w:rFonts w:ascii="Verdana" w:eastAsia="Verdana" w:hAnsi="Verdana" w:cs="Verdana"/>
                <w:noProof/>
                <w:color w:val="FFFFFF"/>
                <w:sz w:val="16"/>
              </w:rPr>
              <w:t>MFF Heading</w:t>
            </w:r>
          </w:p>
        </w:tc>
        <w:tc>
          <w:tcPr>
            <w:tcW w:w="1350" w:type="dxa"/>
            <w:tcBorders>
              <w:top w:val="nil"/>
              <w:left w:val="nil"/>
              <w:bottom w:val="nil"/>
              <w:right w:val="nil"/>
              <w:tl2br w:val="nil"/>
              <w:tr2bl w:val="nil"/>
            </w:tcBorders>
            <w:shd w:val="solid" w:color="016794" w:fill="FFFFFF"/>
            <w:tcMar>
              <w:left w:w="60" w:type="dxa"/>
              <w:right w:w="60" w:type="dxa"/>
            </w:tcMar>
            <w:vAlign w:val="center"/>
          </w:tcPr>
          <w:p w14:paraId="72CAA352" w14:textId="77777777" w:rsidR="00807FFE" w:rsidRDefault="00023E71">
            <w:pPr>
              <w:pStyle w:val="DMETW36691BIPStatementofcomparisonCommitments"/>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1350" w:type="dxa"/>
            <w:tcBorders>
              <w:top w:val="nil"/>
              <w:left w:val="nil"/>
              <w:bottom w:val="nil"/>
              <w:right w:val="nil"/>
              <w:tl2br w:val="nil"/>
              <w:tr2bl w:val="nil"/>
            </w:tcBorders>
            <w:shd w:val="solid" w:color="016794" w:fill="FFFFFF"/>
            <w:tcMar>
              <w:left w:w="60" w:type="dxa"/>
              <w:right w:w="60" w:type="dxa"/>
            </w:tcMar>
            <w:vAlign w:val="center"/>
          </w:tcPr>
          <w:p w14:paraId="62E86E55" w14:textId="77777777" w:rsidR="00807FFE" w:rsidRDefault="00023E71">
            <w:pPr>
              <w:pStyle w:val="DMETW36691BIPStatementofcomparisonCommitments"/>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1350" w:type="dxa"/>
            <w:tcBorders>
              <w:top w:val="nil"/>
              <w:left w:val="nil"/>
              <w:bottom w:val="nil"/>
              <w:right w:val="nil"/>
              <w:tl2br w:val="nil"/>
              <w:tr2bl w:val="nil"/>
            </w:tcBorders>
            <w:shd w:val="solid" w:color="016794" w:fill="FFFFFF"/>
            <w:tcMar>
              <w:left w:w="60" w:type="dxa"/>
              <w:right w:w="60" w:type="dxa"/>
            </w:tcMar>
            <w:vAlign w:val="center"/>
          </w:tcPr>
          <w:p w14:paraId="09DDA24D" w14:textId="77777777" w:rsidR="00807FFE" w:rsidRDefault="00023E71">
            <w:pPr>
              <w:pStyle w:val="DMETW36691BIPStatementofcomparisonCommitments"/>
              <w:jc w:val="center"/>
              <w:rPr>
                <w:rFonts w:ascii="Verdana" w:eastAsia="Verdana" w:hAnsi="Verdana" w:cs="Verdana"/>
                <w:noProof/>
                <w:color w:val="FFFFFF"/>
                <w:sz w:val="16"/>
              </w:rPr>
            </w:pPr>
            <w:r>
              <w:rPr>
                <w:rFonts w:ascii="Verdana" w:eastAsia="Verdana" w:hAnsi="Verdana" w:cs="Verdana"/>
                <w:noProof/>
                <w:color w:val="FFFFFF"/>
                <w:sz w:val="16"/>
              </w:rPr>
              <w:t>Total appropr. available</w:t>
            </w:r>
          </w:p>
        </w:tc>
        <w:tc>
          <w:tcPr>
            <w:tcW w:w="960" w:type="dxa"/>
            <w:tcBorders>
              <w:top w:val="nil"/>
              <w:left w:val="nil"/>
              <w:bottom w:val="nil"/>
              <w:right w:val="nil"/>
              <w:tl2br w:val="nil"/>
              <w:tr2bl w:val="nil"/>
            </w:tcBorders>
            <w:shd w:val="solid" w:color="016794" w:fill="FFFFFF"/>
            <w:tcMar>
              <w:left w:w="60" w:type="dxa"/>
              <w:right w:w="60" w:type="dxa"/>
            </w:tcMar>
            <w:vAlign w:val="center"/>
          </w:tcPr>
          <w:p w14:paraId="16A81B46" w14:textId="77777777" w:rsidR="00807FFE" w:rsidRDefault="00023E71">
            <w:pPr>
              <w:pStyle w:val="DMETW36691BIPStatementofcomparisonCommitments"/>
              <w:jc w:val="center"/>
              <w:rPr>
                <w:rFonts w:ascii="Verdana" w:eastAsia="Verdana" w:hAnsi="Verdana" w:cs="Verdana"/>
                <w:noProof/>
                <w:color w:val="FFFFFF"/>
                <w:sz w:val="16"/>
                <w:lang w:bidi="en-GB"/>
              </w:rPr>
            </w:pPr>
            <w:r>
              <w:rPr>
                <w:rFonts w:ascii="Verdana" w:eastAsia="Verdana" w:hAnsi="Verdana" w:cs="Verdana"/>
                <w:noProof/>
                <w:color w:val="FFFFFF"/>
                <w:sz w:val="16"/>
              </w:rPr>
              <w:t>Commitments made</w:t>
            </w:r>
          </w:p>
        </w:tc>
      </w:tr>
      <w:tr w:rsidR="00807FFE" w14:paraId="7D66F34E"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6EF2F597" w14:textId="77777777" w:rsidR="00807FFE" w:rsidRDefault="00023E71">
            <w:pPr>
              <w:pStyle w:val="DMETW36691BIPStatementofcomparisonCommitments"/>
              <w:rPr>
                <w:rFonts w:ascii="Verdana" w:eastAsia="Verdana" w:hAnsi="Verdana" w:cs="Verdana"/>
                <w:noProof/>
                <w:color w:val="000000"/>
                <w:sz w:val="16"/>
              </w:rPr>
            </w:pPr>
            <w:r>
              <w:rPr>
                <w:rFonts w:ascii="Verdana" w:eastAsia="Verdana" w:hAnsi="Verdana" w:cs="Verdana"/>
                <w:noProof/>
                <w:color w:val="000000"/>
                <w:sz w:val="16"/>
              </w:rPr>
              <w:t>1</w:t>
            </w:r>
          </w:p>
        </w:tc>
        <w:tc>
          <w:tcPr>
            <w:tcW w:w="4575" w:type="dxa"/>
            <w:tcBorders>
              <w:top w:val="nil"/>
              <w:left w:val="nil"/>
              <w:bottom w:val="nil"/>
              <w:right w:val="nil"/>
              <w:tl2br w:val="nil"/>
              <w:tr2bl w:val="nil"/>
            </w:tcBorders>
            <w:tcMar>
              <w:left w:w="60" w:type="dxa"/>
              <w:right w:w="60" w:type="dxa"/>
            </w:tcMar>
            <w:vAlign w:val="center"/>
          </w:tcPr>
          <w:p w14:paraId="79C4832F"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Single Market, Innovation and Digital</w:t>
            </w:r>
          </w:p>
        </w:tc>
        <w:tc>
          <w:tcPr>
            <w:tcW w:w="1350" w:type="dxa"/>
            <w:tcBorders>
              <w:top w:val="nil"/>
              <w:left w:val="nil"/>
              <w:bottom w:val="nil"/>
              <w:right w:val="nil"/>
              <w:tl2br w:val="nil"/>
              <w:tr2bl w:val="nil"/>
            </w:tcBorders>
            <w:tcMar>
              <w:left w:w="60" w:type="dxa"/>
              <w:right w:w="60" w:type="dxa"/>
            </w:tcMar>
            <w:vAlign w:val="center"/>
          </w:tcPr>
          <w:p w14:paraId="02E9A07B"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21 480</w:t>
            </w:r>
          </w:p>
        </w:tc>
        <w:tc>
          <w:tcPr>
            <w:tcW w:w="1350" w:type="dxa"/>
            <w:tcBorders>
              <w:top w:val="nil"/>
              <w:left w:val="nil"/>
              <w:bottom w:val="nil"/>
              <w:right w:val="nil"/>
              <w:tl2br w:val="nil"/>
              <w:tr2bl w:val="nil"/>
            </w:tcBorders>
            <w:tcMar>
              <w:left w:w="60" w:type="dxa"/>
              <w:right w:w="60" w:type="dxa"/>
            </w:tcMar>
            <w:vAlign w:val="center"/>
          </w:tcPr>
          <w:p w14:paraId="57BE52A4"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21 539</w:t>
            </w:r>
          </w:p>
        </w:tc>
        <w:tc>
          <w:tcPr>
            <w:tcW w:w="1350" w:type="dxa"/>
            <w:tcBorders>
              <w:top w:val="nil"/>
              <w:left w:val="nil"/>
              <w:bottom w:val="nil"/>
              <w:right w:val="nil"/>
              <w:tl2br w:val="nil"/>
              <w:tr2bl w:val="nil"/>
            </w:tcBorders>
            <w:tcMar>
              <w:left w:w="60" w:type="dxa"/>
              <w:right w:w="60" w:type="dxa"/>
            </w:tcMar>
            <w:vAlign w:val="center"/>
          </w:tcPr>
          <w:p w14:paraId="3B75541E"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30 466</w:t>
            </w:r>
          </w:p>
        </w:tc>
        <w:tc>
          <w:tcPr>
            <w:tcW w:w="960" w:type="dxa"/>
            <w:tcBorders>
              <w:top w:val="nil"/>
              <w:left w:val="nil"/>
              <w:bottom w:val="nil"/>
              <w:right w:val="nil"/>
              <w:tl2br w:val="nil"/>
              <w:tr2bl w:val="nil"/>
            </w:tcBorders>
            <w:tcMar>
              <w:left w:w="60" w:type="dxa"/>
              <w:right w:w="60" w:type="dxa"/>
            </w:tcMar>
            <w:vAlign w:val="center"/>
          </w:tcPr>
          <w:p w14:paraId="1F28DB04" w14:textId="77777777" w:rsidR="00807FFE" w:rsidRDefault="00023E71">
            <w:pPr>
              <w:pStyle w:val="DMETW36691BIPStatementofcomparisonCommitments"/>
              <w:jc w:val="right"/>
              <w:rPr>
                <w:rFonts w:ascii="Verdana" w:eastAsia="Verdana" w:hAnsi="Verdana" w:cs="Verdana"/>
                <w:noProof/>
                <w:color w:val="000000"/>
                <w:sz w:val="16"/>
                <w:lang w:bidi="en-GB"/>
              </w:rPr>
            </w:pPr>
            <w:r>
              <w:rPr>
                <w:rFonts w:ascii="Verdana" w:eastAsia="Verdana" w:hAnsi="Verdana" w:cs="Verdana"/>
                <w:noProof/>
                <w:color w:val="000000"/>
                <w:sz w:val="16"/>
              </w:rPr>
              <w:t>27 095</w:t>
            </w:r>
          </w:p>
        </w:tc>
      </w:tr>
      <w:tr w:rsidR="00807FFE" w14:paraId="08C6C720"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7190E2C8" w14:textId="77777777" w:rsidR="00807FFE" w:rsidRDefault="00023E71">
            <w:pPr>
              <w:pStyle w:val="DMETW36691BIPStatementofcomparisonCommitments"/>
              <w:rPr>
                <w:rFonts w:ascii="Verdana" w:eastAsia="Verdana" w:hAnsi="Verdana" w:cs="Verdana"/>
                <w:noProof/>
                <w:color w:val="000000"/>
                <w:sz w:val="16"/>
              </w:rPr>
            </w:pPr>
            <w:r>
              <w:rPr>
                <w:rFonts w:ascii="Verdana" w:eastAsia="Verdana" w:hAnsi="Verdana" w:cs="Verdana"/>
                <w:noProof/>
                <w:color w:val="000000"/>
                <w:sz w:val="16"/>
              </w:rPr>
              <w:t>2</w:t>
            </w:r>
          </w:p>
        </w:tc>
        <w:tc>
          <w:tcPr>
            <w:tcW w:w="4575" w:type="dxa"/>
            <w:tcBorders>
              <w:top w:val="nil"/>
              <w:left w:val="nil"/>
              <w:bottom w:val="nil"/>
              <w:right w:val="nil"/>
              <w:tl2br w:val="nil"/>
              <w:tr2bl w:val="nil"/>
            </w:tcBorders>
            <w:tcMar>
              <w:left w:w="60" w:type="dxa"/>
              <w:right w:w="60" w:type="dxa"/>
            </w:tcMar>
            <w:vAlign w:val="center"/>
          </w:tcPr>
          <w:p w14:paraId="5E58FEC7"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Cohesion, Resilience and Values</w:t>
            </w:r>
          </w:p>
        </w:tc>
        <w:tc>
          <w:tcPr>
            <w:tcW w:w="1350" w:type="dxa"/>
            <w:tcBorders>
              <w:top w:val="nil"/>
              <w:left w:val="nil"/>
              <w:bottom w:val="nil"/>
              <w:right w:val="nil"/>
              <w:tl2br w:val="nil"/>
              <w:tr2bl w:val="nil"/>
            </w:tcBorders>
            <w:tcMar>
              <w:left w:w="60" w:type="dxa"/>
              <w:right w:w="60" w:type="dxa"/>
            </w:tcMar>
            <w:vAlign w:val="center"/>
          </w:tcPr>
          <w:p w14:paraId="1732F655"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77 980</w:t>
            </w:r>
          </w:p>
        </w:tc>
        <w:tc>
          <w:tcPr>
            <w:tcW w:w="1350" w:type="dxa"/>
            <w:tcBorders>
              <w:top w:val="nil"/>
              <w:left w:val="nil"/>
              <w:bottom w:val="nil"/>
              <w:right w:val="nil"/>
              <w:tl2br w:val="nil"/>
              <w:tr2bl w:val="nil"/>
            </w:tcBorders>
            <w:tcMar>
              <w:left w:w="60" w:type="dxa"/>
              <w:right w:w="60" w:type="dxa"/>
            </w:tcMar>
            <w:vAlign w:val="center"/>
          </w:tcPr>
          <w:p w14:paraId="1920CCC9"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77 979</w:t>
            </w:r>
          </w:p>
        </w:tc>
        <w:tc>
          <w:tcPr>
            <w:tcW w:w="1350" w:type="dxa"/>
            <w:tcBorders>
              <w:top w:val="nil"/>
              <w:left w:val="nil"/>
              <w:bottom w:val="nil"/>
              <w:right w:val="nil"/>
              <w:tl2br w:val="nil"/>
              <w:tr2bl w:val="nil"/>
            </w:tcBorders>
            <w:tcMar>
              <w:left w:w="60" w:type="dxa"/>
              <w:right w:w="60" w:type="dxa"/>
            </w:tcMar>
            <w:vAlign w:val="center"/>
          </w:tcPr>
          <w:p w14:paraId="1A5CED73"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80 804</w:t>
            </w:r>
          </w:p>
        </w:tc>
        <w:tc>
          <w:tcPr>
            <w:tcW w:w="960" w:type="dxa"/>
            <w:tcBorders>
              <w:top w:val="nil"/>
              <w:left w:val="nil"/>
              <w:bottom w:val="nil"/>
              <w:right w:val="nil"/>
              <w:tl2br w:val="nil"/>
              <w:tr2bl w:val="nil"/>
            </w:tcBorders>
            <w:tcMar>
              <w:left w:w="60" w:type="dxa"/>
              <w:right w:w="60" w:type="dxa"/>
            </w:tcMar>
            <w:vAlign w:val="center"/>
          </w:tcPr>
          <w:p w14:paraId="7A0E119E" w14:textId="77777777" w:rsidR="00807FFE" w:rsidRDefault="00023E71">
            <w:pPr>
              <w:pStyle w:val="DMETW36691BIPStatementofcomparisonCommitments"/>
              <w:jc w:val="right"/>
              <w:rPr>
                <w:rFonts w:ascii="Verdana" w:eastAsia="Verdana" w:hAnsi="Verdana" w:cs="Verdana"/>
                <w:noProof/>
                <w:color w:val="000000"/>
                <w:sz w:val="16"/>
                <w:lang w:bidi="en-GB"/>
              </w:rPr>
            </w:pPr>
            <w:r>
              <w:rPr>
                <w:rFonts w:ascii="Verdana" w:eastAsia="Verdana" w:hAnsi="Verdana" w:cs="Verdana"/>
                <w:noProof/>
                <w:color w:val="000000"/>
                <w:sz w:val="16"/>
              </w:rPr>
              <w:t>78 884</w:t>
            </w:r>
          </w:p>
        </w:tc>
      </w:tr>
      <w:tr w:rsidR="00807FFE" w14:paraId="25DEC230"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4CD1B951" w14:textId="77777777" w:rsidR="00807FFE" w:rsidRDefault="00023E71">
            <w:pPr>
              <w:pStyle w:val="DMETW36691BIPStatementofcomparisonCommitments"/>
              <w:rPr>
                <w:rFonts w:ascii="Verdana" w:eastAsia="Verdana" w:hAnsi="Verdana" w:cs="Verdana"/>
                <w:i/>
                <w:noProof/>
                <w:color w:val="000000"/>
                <w:sz w:val="16"/>
              </w:rPr>
            </w:pPr>
            <w:r>
              <w:rPr>
                <w:rFonts w:ascii="Verdana" w:eastAsia="Verdana" w:hAnsi="Verdana" w:cs="Verdana"/>
                <w:i/>
                <w:noProof/>
                <w:color w:val="000000"/>
                <w:sz w:val="16"/>
              </w:rPr>
              <w:t>3</w:t>
            </w:r>
          </w:p>
        </w:tc>
        <w:tc>
          <w:tcPr>
            <w:tcW w:w="4575" w:type="dxa"/>
            <w:tcBorders>
              <w:top w:val="nil"/>
              <w:left w:val="nil"/>
              <w:bottom w:val="nil"/>
              <w:right w:val="nil"/>
              <w:tl2br w:val="nil"/>
              <w:tr2bl w:val="nil"/>
            </w:tcBorders>
            <w:tcMar>
              <w:left w:w="60" w:type="dxa"/>
              <w:right w:w="60" w:type="dxa"/>
            </w:tcMar>
            <w:vAlign w:val="center"/>
          </w:tcPr>
          <w:p w14:paraId="24BF3617"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Natural Resources and Environment</w:t>
            </w:r>
          </w:p>
        </w:tc>
        <w:tc>
          <w:tcPr>
            <w:tcW w:w="1350" w:type="dxa"/>
            <w:tcBorders>
              <w:top w:val="nil"/>
              <w:left w:val="nil"/>
              <w:bottom w:val="nil"/>
              <w:right w:val="nil"/>
              <w:tl2br w:val="nil"/>
              <w:tr2bl w:val="nil"/>
            </w:tcBorders>
            <w:tcMar>
              <w:left w:w="60" w:type="dxa"/>
              <w:right w:w="60" w:type="dxa"/>
            </w:tcMar>
            <w:vAlign w:val="center"/>
          </w:tcPr>
          <w:p w14:paraId="568AC5C7"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56 731</w:t>
            </w:r>
          </w:p>
        </w:tc>
        <w:tc>
          <w:tcPr>
            <w:tcW w:w="1350" w:type="dxa"/>
            <w:tcBorders>
              <w:top w:val="nil"/>
              <w:left w:val="nil"/>
              <w:bottom w:val="nil"/>
              <w:right w:val="nil"/>
              <w:tl2br w:val="nil"/>
              <w:tr2bl w:val="nil"/>
            </w:tcBorders>
            <w:tcMar>
              <w:left w:w="60" w:type="dxa"/>
              <w:right w:w="60" w:type="dxa"/>
            </w:tcMar>
            <w:vAlign w:val="center"/>
          </w:tcPr>
          <w:p w14:paraId="24D250B1"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56 700</w:t>
            </w:r>
          </w:p>
        </w:tc>
        <w:tc>
          <w:tcPr>
            <w:tcW w:w="1350" w:type="dxa"/>
            <w:tcBorders>
              <w:top w:val="nil"/>
              <w:left w:val="nil"/>
              <w:bottom w:val="nil"/>
              <w:right w:val="nil"/>
              <w:tl2br w:val="nil"/>
              <w:tr2bl w:val="nil"/>
            </w:tcBorders>
            <w:tcMar>
              <w:left w:w="60" w:type="dxa"/>
              <w:right w:w="60" w:type="dxa"/>
            </w:tcMar>
            <w:vAlign w:val="center"/>
          </w:tcPr>
          <w:p w14:paraId="336E5145"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58 961</w:t>
            </w:r>
          </w:p>
        </w:tc>
        <w:tc>
          <w:tcPr>
            <w:tcW w:w="960" w:type="dxa"/>
            <w:tcBorders>
              <w:top w:val="nil"/>
              <w:left w:val="nil"/>
              <w:bottom w:val="nil"/>
              <w:right w:val="nil"/>
              <w:tl2br w:val="nil"/>
              <w:tr2bl w:val="nil"/>
            </w:tcBorders>
            <w:tcMar>
              <w:left w:w="60" w:type="dxa"/>
              <w:right w:w="60" w:type="dxa"/>
            </w:tcMar>
            <w:vAlign w:val="center"/>
          </w:tcPr>
          <w:p w14:paraId="2A309C09" w14:textId="77777777" w:rsidR="00807FFE" w:rsidRDefault="00023E71">
            <w:pPr>
              <w:pStyle w:val="DMETW36691BIPStatementofcomparisonCommitments"/>
              <w:jc w:val="right"/>
              <w:rPr>
                <w:rFonts w:ascii="Verdana" w:eastAsia="Verdana" w:hAnsi="Verdana" w:cs="Verdana"/>
                <w:i/>
                <w:noProof/>
                <w:color w:val="000000"/>
                <w:sz w:val="16"/>
                <w:lang w:bidi="en-GB"/>
              </w:rPr>
            </w:pPr>
            <w:r>
              <w:rPr>
                <w:rFonts w:ascii="Verdana" w:eastAsia="Verdana" w:hAnsi="Verdana" w:cs="Verdana"/>
                <w:i/>
                <w:noProof/>
                <w:color w:val="000000"/>
                <w:sz w:val="16"/>
              </w:rPr>
              <w:t>57 658</w:t>
            </w:r>
          </w:p>
        </w:tc>
      </w:tr>
      <w:tr w:rsidR="00807FFE" w14:paraId="7B9D0D88"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6DCC78C3" w14:textId="77777777" w:rsidR="00807FFE" w:rsidRDefault="00023E71">
            <w:pPr>
              <w:pStyle w:val="DMETW36691BIPStatementofcomparisonCommitments"/>
              <w:rPr>
                <w:rFonts w:ascii="Verdana" w:eastAsia="Verdana" w:hAnsi="Verdana" w:cs="Verdana"/>
                <w:i/>
                <w:noProof/>
                <w:color w:val="000000"/>
                <w:sz w:val="16"/>
              </w:rPr>
            </w:pPr>
            <w:r>
              <w:rPr>
                <w:rFonts w:ascii="Verdana" w:eastAsia="Verdana" w:hAnsi="Verdana" w:cs="Verdana"/>
                <w:i/>
                <w:noProof/>
                <w:color w:val="000000"/>
                <w:sz w:val="16"/>
              </w:rPr>
              <w:t>4</w:t>
            </w:r>
          </w:p>
        </w:tc>
        <w:tc>
          <w:tcPr>
            <w:tcW w:w="4575" w:type="dxa"/>
            <w:tcBorders>
              <w:top w:val="nil"/>
              <w:left w:val="nil"/>
              <w:bottom w:val="nil"/>
              <w:right w:val="nil"/>
              <w:tl2br w:val="nil"/>
              <w:tr2bl w:val="nil"/>
            </w:tcBorders>
            <w:tcMar>
              <w:left w:w="60" w:type="dxa"/>
              <w:right w:w="60" w:type="dxa"/>
            </w:tcMar>
            <w:vAlign w:val="center"/>
          </w:tcPr>
          <w:p w14:paraId="5841BC10"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Migration and Border Management</w:t>
            </w:r>
          </w:p>
        </w:tc>
        <w:tc>
          <w:tcPr>
            <w:tcW w:w="1350" w:type="dxa"/>
            <w:tcBorders>
              <w:top w:val="nil"/>
              <w:left w:val="nil"/>
              <w:bottom w:val="nil"/>
              <w:right w:val="nil"/>
              <w:tl2br w:val="nil"/>
              <w:tr2bl w:val="nil"/>
            </w:tcBorders>
            <w:tcMar>
              <w:left w:w="60" w:type="dxa"/>
              <w:right w:w="60" w:type="dxa"/>
            </w:tcMar>
            <w:vAlign w:val="center"/>
          </w:tcPr>
          <w:p w14:paraId="6CD888F4"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4 791</w:t>
            </w:r>
          </w:p>
        </w:tc>
        <w:tc>
          <w:tcPr>
            <w:tcW w:w="1350" w:type="dxa"/>
            <w:tcBorders>
              <w:top w:val="nil"/>
              <w:left w:val="nil"/>
              <w:bottom w:val="nil"/>
              <w:right w:val="nil"/>
              <w:tl2br w:val="nil"/>
              <w:tr2bl w:val="nil"/>
            </w:tcBorders>
            <w:tcMar>
              <w:left w:w="60" w:type="dxa"/>
              <w:right w:w="60" w:type="dxa"/>
            </w:tcMar>
            <w:vAlign w:val="center"/>
          </w:tcPr>
          <w:p w14:paraId="4A0ADBFF"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4 645</w:t>
            </w:r>
          </w:p>
        </w:tc>
        <w:tc>
          <w:tcPr>
            <w:tcW w:w="1350" w:type="dxa"/>
            <w:tcBorders>
              <w:top w:val="nil"/>
              <w:left w:val="nil"/>
              <w:bottom w:val="nil"/>
              <w:right w:val="nil"/>
              <w:tl2br w:val="nil"/>
              <w:tr2bl w:val="nil"/>
            </w:tcBorders>
            <w:tcMar>
              <w:left w:w="60" w:type="dxa"/>
              <w:right w:w="60" w:type="dxa"/>
            </w:tcMar>
            <w:vAlign w:val="center"/>
          </w:tcPr>
          <w:p w14:paraId="1DA69A15"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5 338</w:t>
            </w:r>
          </w:p>
        </w:tc>
        <w:tc>
          <w:tcPr>
            <w:tcW w:w="960" w:type="dxa"/>
            <w:tcBorders>
              <w:top w:val="nil"/>
              <w:left w:val="nil"/>
              <w:bottom w:val="nil"/>
              <w:right w:val="nil"/>
              <w:tl2br w:val="nil"/>
              <w:tr2bl w:val="nil"/>
            </w:tcBorders>
            <w:tcMar>
              <w:left w:w="60" w:type="dxa"/>
              <w:right w:w="60" w:type="dxa"/>
            </w:tcMar>
            <w:vAlign w:val="center"/>
          </w:tcPr>
          <w:p w14:paraId="1B71E64E" w14:textId="77777777" w:rsidR="00807FFE" w:rsidRDefault="00023E71">
            <w:pPr>
              <w:pStyle w:val="DMETW36691BIPStatementofcomparisonCommitments"/>
              <w:jc w:val="right"/>
              <w:rPr>
                <w:rFonts w:ascii="Verdana" w:eastAsia="Verdana" w:hAnsi="Verdana" w:cs="Verdana"/>
                <w:i/>
                <w:noProof/>
                <w:color w:val="000000"/>
                <w:sz w:val="16"/>
                <w:lang w:bidi="en-GB"/>
              </w:rPr>
            </w:pPr>
            <w:r>
              <w:rPr>
                <w:rFonts w:ascii="Verdana" w:eastAsia="Verdana" w:hAnsi="Verdana" w:cs="Verdana"/>
                <w:i/>
                <w:noProof/>
                <w:color w:val="000000"/>
                <w:sz w:val="16"/>
              </w:rPr>
              <w:t>4 738</w:t>
            </w:r>
          </w:p>
        </w:tc>
      </w:tr>
      <w:tr w:rsidR="00807FFE" w14:paraId="21172105"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531D1A62" w14:textId="77777777" w:rsidR="00807FFE" w:rsidRDefault="00023E71">
            <w:pPr>
              <w:pStyle w:val="DMETW36691BIPStatementofcomparisonCommitments"/>
              <w:rPr>
                <w:rFonts w:ascii="Verdana" w:eastAsia="Verdana" w:hAnsi="Verdana" w:cs="Verdana"/>
                <w:noProof/>
                <w:color w:val="000000"/>
                <w:sz w:val="16"/>
              </w:rPr>
            </w:pPr>
            <w:r>
              <w:rPr>
                <w:rFonts w:ascii="Verdana" w:eastAsia="Verdana" w:hAnsi="Verdana" w:cs="Verdana"/>
                <w:noProof/>
                <w:color w:val="000000"/>
                <w:sz w:val="16"/>
              </w:rPr>
              <w:t>5</w:t>
            </w:r>
          </w:p>
        </w:tc>
        <w:tc>
          <w:tcPr>
            <w:tcW w:w="4575" w:type="dxa"/>
            <w:tcBorders>
              <w:top w:val="nil"/>
              <w:left w:val="nil"/>
              <w:bottom w:val="nil"/>
              <w:right w:val="nil"/>
              <w:tl2br w:val="nil"/>
              <w:tr2bl w:val="nil"/>
            </w:tcBorders>
            <w:tcMar>
              <w:left w:w="60" w:type="dxa"/>
              <w:right w:w="60" w:type="dxa"/>
            </w:tcMar>
            <w:vAlign w:val="center"/>
          </w:tcPr>
          <w:p w14:paraId="1E8A04BC"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Security and Defence</w:t>
            </w:r>
          </w:p>
        </w:tc>
        <w:tc>
          <w:tcPr>
            <w:tcW w:w="1350" w:type="dxa"/>
            <w:tcBorders>
              <w:top w:val="nil"/>
              <w:left w:val="nil"/>
              <w:bottom w:val="nil"/>
              <w:right w:val="nil"/>
              <w:tl2br w:val="nil"/>
              <w:tr2bl w:val="nil"/>
            </w:tcBorders>
            <w:tcMar>
              <w:left w:w="60" w:type="dxa"/>
              <w:right w:w="60" w:type="dxa"/>
            </w:tcMar>
            <w:vAlign w:val="center"/>
          </w:tcPr>
          <w:p w14:paraId="2FE45FB0"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2 633</w:t>
            </w:r>
          </w:p>
        </w:tc>
        <w:tc>
          <w:tcPr>
            <w:tcW w:w="1350" w:type="dxa"/>
            <w:tcBorders>
              <w:top w:val="nil"/>
              <w:left w:val="nil"/>
              <w:bottom w:val="nil"/>
              <w:right w:val="nil"/>
              <w:tl2br w:val="nil"/>
              <w:tr2bl w:val="nil"/>
            </w:tcBorders>
            <w:tcMar>
              <w:left w:w="60" w:type="dxa"/>
              <w:right w:w="60" w:type="dxa"/>
            </w:tcMar>
            <w:vAlign w:val="center"/>
          </w:tcPr>
          <w:p w14:paraId="6737B009"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2 633</w:t>
            </w:r>
          </w:p>
        </w:tc>
        <w:tc>
          <w:tcPr>
            <w:tcW w:w="1350" w:type="dxa"/>
            <w:tcBorders>
              <w:top w:val="nil"/>
              <w:left w:val="nil"/>
              <w:bottom w:val="nil"/>
              <w:right w:val="nil"/>
              <w:tl2br w:val="nil"/>
              <w:tr2bl w:val="nil"/>
            </w:tcBorders>
            <w:tcMar>
              <w:left w:w="60" w:type="dxa"/>
              <w:right w:w="60" w:type="dxa"/>
            </w:tcMar>
            <w:vAlign w:val="center"/>
          </w:tcPr>
          <w:p w14:paraId="5E6945F3"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2 742</w:t>
            </w:r>
          </w:p>
        </w:tc>
        <w:tc>
          <w:tcPr>
            <w:tcW w:w="960" w:type="dxa"/>
            <w:tcBorders>
              <w:top w:val="nil"/>
              <w:left w:val="nil"/>
              <w:bottom w:val="nil"/>
              <w:right w:val="nil"/>
              <w:tl2br w:val="nil"/>
              <w:tr2bl w:val="nil"/>
            </w:tcBorders>
            <w:tcMar>
              <w:left w:w="60" w:type="dxa"/>
              <w:right w:w="60" w:type="dxa"/>
            </w:tcMar>
            <w:vAlign w:val="center"/>
          </w:tcPr>
          <w:p w14:paraId="07AD5EB6" w14:textId="77777777" w:rsidR="00807FFE" w:rsidRDefault="00023E71">
            <w:pPr>
              <w:pStyle w:val="DMETW36691BIPStatementofcomparisonCommitments"/>
              <w:jc w:val="right"/>
              <w:rPr>
                <w:rFonts w:ascii="Verdana" w:eastAsia="Verdana" w:hAnsi="Verdana" w:cs="Verdana"/>
                <w:noProof/>
                <w:color w:val="000000"/>
                <w:sz w:val="16"/>
                <w:lang w:bidi="en-GB"/>
              </w:rPr>
            </w:pPr>
            <w:r>
              <w:rPr>
                <w:rFonts w:ascii="Verdana" w:eastAsia="Verdana" w:hAnsi="Verdana" w:cs="Verdana"/>
                <w:noProof/>
                <w:color w:val="000000"/>
                <w:sz w:val="16"/>
              </w:rPr>
              <w:t>2 666</w:t>
            </w:r>
          </w:p>
        </w:tc>
      </w:tr>
      <w:tr w:rsidR="00807FFE" w14:paraId="464F3624"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0F5A7970" w14:textId="77777777" w:rsidR="00807FFE" w:rsidRDefault="00023E71">
            <w:pPr>
              <w:pStyle w:val="DMETW36691BIPStatementofcomparisonCommitments"/>
              <w:rPr>
                <w:rFonts w:ascii="Verdana" w:eastAsia="Verdana" w:hAnsi="Verdana" w:cs="Verdana"/>
                <w:i/>
                <w:noProof/>
                <w:color w:val="000000"/>
                <w:sz w:val="16"/>
              </w:rPr>
            </w:pPr>
            <w:r>
              <w:rPr>
                <w:rFonts w:ascii="Verdana" w:eastAsia="Verdana" w:hAnsi="Verdana" w:cs="Verdana"/>
                <w:i/>
                <w:noProof/>
                <w:color w:val="000000"/>
                <w:sz w:val="16"/>
              </w:rPr>
              <w:t>6</w:t>
            </w:r>
          </w:p>
        </w:tc>
        <w:tc>
          <w:tcPr>
            <w:tcW w:w="4575" w:type="dxa"/>
            <w:tcBorders>
              <w:top w:val="nil"/>
              <w:left w:val="nil"/>
              <w:bottom w:val="nil"/>
              <w:right w:val="nil"/>
              <w:tl2br w:val="nil"/>
              <w:tr2bl w:val="nil"/>
            </w:tcBorders>
            <w:tcMar>
              <w:left w:w="60" w:type="dxa"/>
              <w:right w:w="60" w:type="dxa"/>
            </w:tcMar>
            <w:vAlign w:val="center"/>
          </w:tcPr>
          <w:p w14:paraId="1CF16F25"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Neighbourhood and the World</w:t>
            </w:r>
          </w:p>
        </w:tc>
        <w:tc>
          <w:tcPr>
            <w:tcW w:w="1350" w:type="dxa"/>
            <w:tcBorders>
              <w:top w:val="nil"/>
              <w:left w:val="nil"/>
              <w:bottom w:val="nil"/>
              <w:right w:val="nil"/>
              <w:tl2br w:val="nil"/>
              <w:tr2bl w:val="nil"/>
            </w:tcBorders>
            <w:tcMar>
              <w:left w:w="60" w:type="dxa"/>
              <w:right w:w="60" w:type="dxa"/>
            </w:tcMar>
            <w:vAlign w:val="center"/>
          </w:tcPr>
          <w:p w14:paraId="75418D6B"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16 308</w:t>
            </w:r>
          </w:p>
        </w:tc>
        <w:tc>
          <w:tcPr>
            <w:tcW w:w="1350" w:type="dxa"/>
            <w:tcBorders>
              <w:top w:val="nil"/>
              <w:left w:val="nil"/>
              <w:bottom w:val="nil"/>
              <w:right w:val="nil"/>
              <w:tl2br w:val="nil"/>
              <w:tr2bl w:val="nil"/>
            </w:tcBorders>
            <w:tcMar>
              <w:left w:w="60" w:type="dxa"/>
              <w:right w:w="60" w:type="dxa"/>
            </w:tcMar>
            <w:vAlign w:val="center"/>
          </w:tcPr>
          <w:p w14:paraId="6EDB3DCD"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16 892</w:t>
            </w:r>
          </w:p>
        </w:tc>
        <w:tc>
          <w:tcPr>
            <w:tcW w:w="1350" w:type="dxa"/>
            <w:tcBorders>
              <w:top w:val="nil"/>
              <w:left w:val="nil"/>
              <w:bottom w:val="nil"/>
              <w:right w:val="nil"/>
              <w:tl2br w:val="nil"/>
              <w:tr2bl w:val="nil"/>
            </w:tcBorders>
            <w:tcMar>
              <w:left w:w="60" w:type="dxa"/>
              <w:right w:w="60" w:type="dxa"/>
            </w:tcMar>
            <w:vAlign w:val="center"/>
          </w:tcPr>
          <w:p w14:paraId="6BDECC18"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20 828</w:t>
            </w:r>
          </w:p>
        </w:tc>
        <w:tc>
          <w:tcPr>
            <w:tcW w:w="960" w:type="dxa"/>
            <w:tcBorders>
              <w:top w:val="nil"/>
              <w:left w:val="nil"/>
              <w:bottom w:val="nil"/>
              <w:right w:val="nil"/>
              <w:tl2br w:val="nil"/>
              <w:tr2bl w:val="nil"/>
            </w:tcBorders>
            <w:tcMar>
              <w:left w:w="60" w:type="dxa"/>
              <w:right w:w="60" w:type="dxa"/>
            </w:tcMar>
            <w:vAlign w:val="center"/>
          </w:tcPr>
          <w:p w14:paraId="5D48A0D7" w14:textId="77777777" w:rsidR="00807FFE" w:rsidRDefault="00023E71">
            <w:pPr>
              <w:pStyle w:val="DMETW36691BIPStatementofcomparisonCommitments"/>
              <w:jc w:val="right"/>
              <w:rPr>
                <w:rFonts w:ascii="Verdana" w:eastAsia="Verdana" w:hAnsi="Verdana" w:cs="Verdana"/>
                <w:i/>
                <w:noProof/>
                <w:color w:val="000000"/>
                <w:sz w:val="16"/>
                <w:lang w:bidi="en-GB"/>
              </w:rPr>
            </w:pPr>
            <w:r>
              <w:rPr>
                <w:rFonts w:ascii="Verdana" w:eastAsia="Verdana" w:hAnsi="Verdana" w:cs="Verdana"/>
                <w:i/>
                <w:noProof/>
                <w:color w:val="000000"/>
                <w:sz w:val="16"/>
              </w:rPr>
              <w:t>19 645</w:t>
            </w:r>
          </w:p>
        </w:tc>
      </w:tr>
      <w:tr w:rsidR="00807FFE" w14:paraId="3546C7F4"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67DCDB57" w14:textId="77777777" w:rsidR="00807FFE" w:rsidRDefault="00023E71">
            <w:pPr>
              <w:pStyle w:val="DMETW36691BIPStatementofcomparisonCommitments"/>
              <w:rPr>
                <w:rFonts w:ascii="Verdana" w:eastAsia="Verdana" w:hAnsi="Verdana" w:cs="Verdana"/>
                <w:noProof/>
                <w:color w:val="000000"/>
                <w:sz w:val="16"/>
              </w:rPr>
            </w:pPr>
            <w:r>
              <w:rPr>
                <w:rFonts w:ascii="Verdana" w:eastAsia="Verdana" w:hAnsi="Verdana" w:cs="Verdana"/>
                <w:noProof/>
                <w:color w:val="000000"/>
                <w:sz w:val="16"/>
              </w:rPr>
              <w:t>7</w:t>
            </w:r>
          </w:p>
        </w:tc>
        <w:tc>
          <w:tcPr>
            <w:tcW w:w="4575" w:type="dxa"/>
            <w:tcBorders>
              <w:top w:val="nil"/>
              <w:left w:val="nil"/>
              <w:bottom w:val="nil"/>
              <w:right w:val="nil"/>
              <w:tl2br w:val="nil"/>
              <w:tr2bl w:val="nil"/>
            </w:tcBorders>
            <w:tcMar>
              <w:left w:w="60" w:type="dxa"/>
              <w:right w:w="60" w:type="dxa"/>
            </w:tcMar>
            <w:vAlign w:val="center"/>
          </w:tcPr>
          <w:p w14:paraId="1ED797C3"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European Public Administration</w:t>
            </w:r>
          </w:p>
        </w:tc>
        <w:tc>
          <w:tcPr>
            <w:tcW w:w="1350" w:type="dxa"/>
            <w:tcBorders>
              <w:top w:val="nil"/>
              <w:left w:val="nil"/>
              <w:bottom w:val="nil"/>
              <w:right w:val="nil"/>
              <w:tl2br w:val="nil"/>
              <w:tr2bl w:val="nil"/>
            </w:tcBorders>
            <w:tcMar>
              <w:left w:w="60" w:type="dxa"/>
              <w:right w:w="60" w:type="dxa"/>
            </w:tcMar>
            <w:vAlign w:val="center"/>
          </w:tcPr>
          <w:p w14:paraId="4FE5D0AE"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12 845</w:t>
            </w:r>
          </w:p>
        </w:tc>
        <w:tc>
          <w:tcPr>
            <w:tcW w:w="1350" w:type="dxa"/>
            <w:tcBorders>
              <w:top w:val="nil"/>
              <w:left w:val="nil"/>
              <w:bottom w:val="nil"/>
              <w:right w:val="nil"/>
              <w:tl2br w:val="nil"/>
              <w:tr2bl w:val="nil"/>
            </w:tcBorders>
            <w:tcMar>
              <w:left w:w="60" w:type="dxa"/>
              <w:right w:w="60" w:type="dxa"/>
            </w:tcMar>
            <w:vAlign w:val="center"/>
          </w:tcPr>
          <w:p w14:paraId="3E838FEF"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12 766</w:t>
            </w:r>
          </w:p>
        </w:tc>
        <w:tc>
          <w:tcPr>
            <w:tcW w:w="1350" w:type="dxa"/>
            <w:tcBorders>
              <w:top w:val="nil"/>
              <w:left w:val="nil"/>
              <w:bottom w:val="nil"/>
              <w:right w:val="nil"/>
              <w:tl2br w:val="nil"/>
              <w:tr2bl w:val="nil"/>
            </w:tcBorders>
            <w:tcMar>
              <w:left w:w="60" w:type="dxa"/>
              <w:right w:w="60" w:type="dxa"/>
            </w:tcMar>
            <w:vAlign w:val="center"/>
          </w:tcPr>
          <w:p w14:paraId="58358CCE"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15 115</w:t>
            </w:r>
          </w:p>
        </w:tc>
        <w:tc>
          <w:tcPr>
            <w:tcW w:w="960" w:type="dxa"/>
            <w:tcBorders>
              <w:top w:val="nil"/>
              <w:left w:val="nil"/>
              <w:bottom w:val="nil"/>
              <w:right w:val="nil"/>
              <w:tl2br w:val="nil"/>
              <w:tr2bl w:val="nil"/>
            </w:tcBorders>
            <w:tcMar>
              <w:left w:w="60" w:type="dxa"/>
              <w:right w:w="60" w:type="dxa"/>
            </w:tcMar>
            <w:vAlign w:val="center"/>
          </w:tcPr>
          <w:p w14:paraId="19679188" w14:textId="77777777" w:rsidR="00807FFE" w:rsidRDefault="00023E71">
            <w:pPr>
              <w:pStyle w:val="DMETW36691BIPStatementofcomparisonCommitments"/>
              <w:jc w:val="right"/>
              <w:rPr>
                <w:rFonts w:ascii="Verdana" w:eastAsia="Verdana" w:hAnsi="Verdana" w:cs="Verdana"/>
                <w:noProof/>
                <w:color w:val="000000"/>
                <w:sz w:val="16"/>
                <w:lang w:bidi="en-GB"/>
              </w:rPr>
            </w:pPr>
            <w:r>
              <w:rPr>
                <w:rFonts w:ascii="Verdana" w:eastAsia="Verdana" w:hAnsi="Verdana" w:cs="Verdana"/>
                <w:noProof/>
                <w:color w:val="000000"/>
                <w:sz w:val="16"/>
              </w:rPr>
              <w:t>13 955</w:t>
            </w:r>
          </w:p>
        </w:tc>
      </w:tr>
      <w:tr w:rsidR="00807FFE" w14:paraId="7ECA3873"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7771A24C" w14:textId="77777777" w:rsidR="00807FFE" w:rsidRDefault="00023E71">
            <w:pPr>
              <w:pStyle w:val="DMETW36691BIPStatementofcomparisonCommitments"/>
              <w:rPr>
                <w:rFonts w:ascii="Verdana" w:eastAsia="Verdana" w:hAnsi="Verdana" w:cs="Verdana"/>
                <w:noProof/>
                <w:color w:val="000000"/>
                <w:sz w:val="16"/>
              </w:rPr>
            </w:pPr>
            <w:r>
              <w:rPr>
                <w:rFonts w:ascii="Verdana" w:eastAsia="Verdana" w:hAnsi="Verdana" w:cs="Verdana"/>
                <w:noProof/>
                <w:color w:val="000000"/>
                <w:sz w:val="16"/>
              </w:rPr>
              <w:t>O</w:t>
            </w:r>
          </w:p>
        </w:tc>
        <w:tc>
          <w:tcPr>
            <w:tcW w:w="4575" w:type="dxa"/>
            <w:tcBorders>
              <w:top w:val="nil"/>
              <w:left w:val="nil"/>
              <w:bottom w:val="nil"/>
              <w:right w:val="nil"/>
              <w:tl2br w:val="nil"/>
              <w:tr2bl w:val="nil"/>
            </w:tcBorders>
            <w:tcMar>
              <w:left w:w="60" w:type="dxa"/>
              <w:right w:w="60" w:type="dxa"/>
            </w:tcMar>
            <w:vAlign w:val="center"/>
          </w:tcPr>
          <w:p w14:paraId="5D6C2276"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Outside MFF</w:t>
            </w:r>
          </w:p>
        </w:tc>
        <w:tc>
          <w:tcPr>
            <w:tcW w:w="1350" w:type="dxa"/>
            <w:tcBorders>
              <w:top w:val="nil"/>
              <w:left w:val="nil"/>
              <w:bottom w:val="nil"/>
              <w:right w:val="nil"/>
              <w:tl2br w:val="nil"/>
              <w:tr2bl w:val="nil"/>
            </w:tcBorders>
            <w:tcMar>
              <w:left w:w="60" w:type="dxa"/>
              <w:right w:w="60" w:type="dxa"/>
            </w:tcMar>
            <w:vAlign w:val="center"/>
          </w:tcPr>
          <w:p w14:paraId="1872F597"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4 320</w:t>
            </w:r>
          </w:p>
        </w:tc>
        <w:tc>
          <w:tcPr>
            <w:tcW w:w="1350" w:type="dxa"/>
            <w:tcBorders>
              <w:top w:val="nil"/>
              <w:left w:val="nil"/>
              <w:bottom w:val="nil"/>
              <w:right w:val="nil"/>
              <w:tl2br w:val="nil"/>
              <w:tr2bl w:val="nil"/>
            </w:tcBorders>
            <w:tcMar>
              <w:left w:w="60" w:type="dxa"/>
              <w:right w:w="60" w:type="dxa"/>
            </w:tcMar>
            <w:vAlign w:val="center"/>
          </w:tcPr>
          <w:p w14:paraId="0D446AD7"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4 320</w:t>
            </w:r>
          </w:p>
        </w:tc>
        <w:tc>
          <w:tcPr>
            <w:tcW w:w="1350" w:type="dxa"/>
            <w:tcBorders>
              <w:top w:val="nil"/>
              <w:left w:val="nil"/>
              <w:bottom w:val="nil"/>
              <w:right w:val="nil"/>
              <w:tl2br w:val="nil"/>
              <w:tr2bl w:val="nil"/>
            </w:tcBorders>
            <w:tcMar>
              <w:left w:w="60" w:type="dxa"/>
              <w:right w:w="60" w:type="dxa"/>
            </w:tcMar>
            <w:vAlign w:val="center"/>
          </w:tcPr>
          <w:p w14:paraId="14C36A70"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11 767</w:t>
            </w:r>
          </w:p>
        </w:tc>
        <w:tc>
          <w:tcPr>
            <w:tcW w:w="960" w:type="dxa"/>
            <w:tcBorders>
              <w:top w:val="nil"/>
              <w:left w:val="nil"/>
              <w:bottom w:val="nil"/>
              <w:right w:val="nil"/>
              <w:tl2br w:val="nil"/>
              <w:tr2bl w:val="nil"/>
            </w:tcBorders>
            <w:tcMar>
              <w:left w:w="60" w:type="dxa"/>
              <w:right w:w="60" w:type="dxa"/>
            </w:tcMar>
            <w:vAlign w:val="center"/>
          </w:tcPr>
          <w:p w14:paraId="27D7043C" w14:textId="77777777" w:rsidR="00807FFE" w:rsidRDefault="00023E71">
            <w:pPr>
              <w:pStyle w:val="DMETW36691BIPStatementofcomparisonCommitments"/>
              <w:jc w:val="right"/>
              <w:rPr>
                <w:rFonts w:ascii="Verdana" w:eastAsia="Verdana" w:hAnsi="Verdana" w:cs="Verdana"/>
                <w:noProof/>
                <w:color w:val="000000"/>
                <w:sz w:val="16"/>
                <w:lang w:bidi="en-GB"/>
              </w:rPr>
            </w:pPr>
            <w:r>
              <w:rPr>
                <w:rFonts w:ascii="Verdana" w:eastAsia="Verdana" w:hAnsi="Verdana" w:cs="Verdana"/>
                <w:noProof/>
                <w:color w:val="000000"/>
                <w:sz w:val="16"/>
              </w:rPr>
              <w:t>6 409</w:t>
            </w:r>
          </w:p>
        </w:tc>
      </w:tr>
      <w:tr w:rsidR="00807FFE" w14:paraId="1B7F4847" w14:textId="77777777">
        <w:trPr>
          <w:cantSplit/>
          <w:trHeight w:val="255"/>
        </w:trPr>
        <w:tc>
          <w:tcPr>
            <w:tcW w:w="1035" w:type="dxa"/>
            <w:tcBorders>
              <w:top w:val="nil"/>
              <w:left w:val="nil"/>
              <w:bottom w:val="nil"/>
              <w:right w:val="nil"/>
              <w:tl2br w:val="nil"/>
              <w:tr2bl w:val="nil"/>
            </w:tcBorders>
            <w:tcMar>
              <w:left w:w="60" w:type="dxa"/>
              <w:right w:w="60" w:type="dxa"/>
            </w:tcMar>
            <w:vAlign w:val="center"/>
          </w:tcPr>
          <w:p w14:paraId="2EE49EFF" w14:textId="77777777" w:rsidR="00807FFE" w:rsidRDefault="00023E71">
            <w:pPr>
              <w:pStyle w:val="DMETW36691BIPStatementofcomparisonCommitments"/>
              <w:rPr>
                <w:rFonts w:ascii="Verdana" w:eastAsia="Verdana" w:hAnsi="Verdana" w:cs="Verdana"/>
                <w:noProof/>
                <w:color w:val="000000"/>
                <w:sz w:val="16"/>
              </w:rPr>
            </w:pPr>
            <w:r>
              <w:rPr>
                <w:rFonts w:ascii="Verdana" w:eastAsia="Verdana" w:hAnsi="Verdana" w:cs="Verdana"/>
                <w:noProof/>
                <w:color w:val="000000"/>
                <w:sz w:val="16"/>
              </w:rPr>
              <w:t>S</w:t>
            </w:r>
          </w:p>
        </w:tc>
        <w:tc>
          <w:tcPr>
            <w:tcW w:w="4575" w:type="dxa"/>
            <w:tcBorders>
              <w:top w:val="nil"/>
              <w:left w:val="nil"/>
              <w:bottom w:val="nil"/>
              <w:right w:val="nil"/>
              <w:tl2br w:val="nil"/>
              <w:tr2bl w:val="nil"/>
            </w:tcBorders>
            <w:tcMar>
              <w:left w:w="60" w:type="dxa"/>
              <w:right w:w="60" w:type="dxa"/>
            </w:tcMar>
            <w:vAlign w:val="center"/>
          </w:tcPr>
          <w:p w14:paraId="13B462FF"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Solidarity mechanisms within and outside the Union (Special instruments)</w:t>
            </w:r>
          </w:p>
        </w:tc>
        <w:tc>
          <w:tcPr>
            <w:tcW w:w="1350" w:type="dxa"/>
            <w:tcBorders>
              <w:top w:val="nil"/>
              <w:left w:val="nil"/>
              <w:bottom w:val="nil"/>
              <w:right w:val="nil"/>
              <w:tl2br w:val="nil"/>
              <w:tr2bl w:val="nil"/>
            </w:tcBorders>
            <w:tcMar>
              <w:left w:w="60" w:type="dxa"/>
              <w:right w:w="60" w:type="dxa"/>
            </w:tcMar>
            <w:vAlign w:val="center"/>
          </w:tcPr>
          <w:p w14:paraId="0A46999F"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2 349</w:t>
            </w:r>
          </w:p>
        </w:tc>
        <w:tc>
          <w:tcPr>
            <w:tcW w:w="1350" w:type="dxa"/>
            <w:tcBorders>
              <w:top w:val="nil"/>
              <w:left w:val="nil"/>
              <w:bottom w:val="nil"/>
              <w:right w:val="nil"/>
              <w:tl2br w:val="nil"/>
              <w:tr2bl w:val="nil"/>
            </w:tcBorders>
            <w:tcMar>
              <w:left w:w="60" w:type="dxa"/>
              <w:right w:w="60" w:type="dxa"/>
            </w:tcMar>
            <w:vAlign w:val="center"/>
          </w:tcPr>
          <w:p w14:paraId="51801917"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1 766</w:t>
            </w:r>
          </w:p>
        </w:tc>
        <w:tc>
          <w:tcPr>
            <w:tcW w:w="1350" w:type="dxa"/>
            <w:tcBorders>
              <w:top w:val="nil"/>
              <w:left w:val="nil"/>
              <w:bottom w:val="nil"/>
              <w:right w:val="nil"/>
              <w:tl2br w:val="nil"/>
              <w:tr2bl w:val="nil"/>
            </w:tcBorders>
            <w:tcMar>
              <w:left w:w="60" w:type="dxa"/>
              <w:right w:w="60" w:type="dxa"/>
            </w:tcMar>
            <w:vAlign w:val="center"/>
          </w:tcPr>
          <w:p w14:paraId="3A4F6744" w14:textId="77777777" w:rsidR="00807FFE" w:rsidRDefault="00023E71">
            <w:pPr>
              <w:pStyle w:val="DMETW36691BIPStatementofcomparisonCommitments"/>
              <w:jc w:val="right"/>
              <w:rPr>
                <w:rFonts w:ascii="Verdana" w:eastAsia="Verdana" w:hAnsi="Verdana" w:cs="Verdana"/>
                <w:noProof/>
                <w:color w:val="000000"/>
                <w:sz w:val="16"/>
              </w:rPr>
            </w:pPr>
            <w:r>
              <w:rPr>
                <w:rFonts w:ascii="Verdana" w:eastAsia="Verdana" w:hAnsi="Verdana" w:cs="Verdana"/>
                <w:noProof/>
                <w:color w:val="000000"/>
                <w:sz w:val="16"/>
              </w:rPr>
              <w:t>2 085</w:t>
            </w:r>
          </w:p>
        </w:tc>
        <w:tc>
          <w:tcPr>
            <w:tcW w:w="960" w:type="dxa"/>
            <w:tcBorders>
              <w:top w:val="nil"/>
              <w:left w:val="nil"/>
              <w:bottom w:val="nil"/>
              <w:right w:val="nil"/>
              <w:tl2br w:val="nil"/>
              <w:tr2bl w:val="nil"/>
            </w:tcBorders>
            <w:tcMar>
              <w:left w:w="60" w:type="dxa"/>
              <w:right w:w="60" w:type="dxa"/>
            </w:tcMar>
            <w:vAlign w:val="center"/>
          </w:tcPr>
          <w:p w14:paraId="1339625D" w14:textId="77777777" w:rsidR="00807FFE" w:rsidRDefault="00023E71">
            <w:pPr>
              <w:pStyle w:val="DMETW36691BIPStatementofcomparisonCommitments"/>
              <w:jc w:val="right"/>
              <w:rPr>
                <w:rFonts w:ascii="Verdana" w:eastAsia="Verdana" w:hAnsi="Verdana" w:cs="Verdana"/>
                <w:noProof/>
                <w:color w:val="000000"/>
                <w:sz w:val="16"/>
                <w:lang w:bidi="en-GB"/>
              </w:rPr>
            </w:pPr>
            <w:r>
              <w:rPr>
                <w:rFonts w:ascii="Verdana" w:eastAsia="Verdana" w:hAnsi="Verdana" w:cs="Verdana"/>
                <w:noProof/>
                <w:color w:val="000000"/>
                <w:sz w:val="16"/>
              </w:rPr>
              <w:t>1 065</w:t>
            </w:r>
          </w:p>
        </w:tc>
      </w:tr>
      <w:tr w:rsidR="00807FFE" w14:paraId="55C82C99" w14:textId="77777777">
        <w:trPr>
          <w:cantSplit/>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14:paraId="7D0491FF" w14:textId="77777777" w:rsidR="00807FFE" w:rsidRDefault="00807FFE">
            <w:pPr>
              <w:pStyle w:val="DMETW36691BIPStatementofcomparisonCommitments"/>
              <w:rPr>
                <w:rFonts w:ascii="Verdana" w:eastAsia="Verdana" w:hAnsi="Verdana" w:cs="Verdana"/>
                <w:b/>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14:paraId="3361EB68" w14:textId="77777777" w:rsidR="00807FFE" w:rsidRDefault="00023E71">
            <w:pPr>
              <w:pStyle w:val="DMETW36691BIPStatementofcomparisonCommitments"/>
              <w:jc w:val="right"/>
              <w:rPr>
                <w:rFonts w:ascii="Verdana" w:eastAsia="Verdana" w:hAnsi="Verdana" w:cs="Verdana"/>
                <w:b/>
                <w:noProof/>
                <w:color w:val="000000"/>
                <w:sz w:val="16"/>
              </w:rPr>
            </w:pPr>
            <w:r>
              <w:rPr>
                <w:rFonts w:ascii="Verdana" w:eastAsia="Verdana" w:hAnsi="Verdana" w:cs="Verdana"/>
                <w:b/>
                <w:noProof/>
                <w:color w:val="000000"/>
                <w:sz w:val="16"/>
              </w:rPr>
              <w:t>Total</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4E90D3B7" w14:textId="77777777" w:rsidR="00807FFE" w:rsidRDefault="00023E71">
            <w:pPr>
              <w:pStyle w:val="DMETW36691BIPStatementofcomparisonCommitments"/>
              <w:jc w:val="right"/>
              <w:rPr>
                <w:rFonts w:ascii="Verdana" w:eastAsia="Verdana" w:hAnsi="Verdana" w:cs="Verdana"/>
                <w:b/>
                <w:noProof/>
                <w:color w:val="000000"/>
                <w:sz w:val="16"/>
              </w:rPr>
            </w:pPr>
            <w:r>
              <w:rPr>
                <w:rFonts w:ascii="Verdana" w:eastAsia="Verdana" w:hAnsi="Verdana" w:cs="Verdana"/>
                <w:b/>
                <w:noProof/>
                <w:color w:val="000000"/>
                <w:sz w:val="16"/>
              </w:rPr>
              <w:t>199 438</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2516F2A4" w14:textId="77777777" w:rsidR="00807FFE" w:rsidRDefault="00023E71">
            <w:pPr>
              <w:pStyle w:val="DMETW36691BIPStatementofcomparisonCommitments"/>
              <w:jc w:val="right"/>
              <w:rPr>
                <w:rFonts w:ascii="Verdana" w:eastAsia="Verdana" w:hAnsi="Verdana" w:cs="Verdana"/>
                <w:b/>
                <w:noProof/>
                <w:color w:val="000000"/>
                <w:sz w:val="16"/>
              </w:rPr>
            </w:pPr>
            <w:r>
              <w:rPr>
                <w:rFonts w:ascii="Verdana" w:eastAsia="Verdana" w:hAnsi="Verdana" w:cs="Verdana"/>
                <w:b/>
                <w:noProof/>
                <w:color w:val="000000"/>
                <w:sz w:val="16"/>
              </w:rPr>
              <w:t>199 239</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7C674B47" w14:textId="77777777" w:rsidR="00807FFE" w:rsidRDefault="00023E71">
            <w:pPr>
              <w:pStyle w:val="DMETW36691BIPStatementofcomparisonCommitments"/>
              <w:jc w:val="right"/>
              <w:rPr>
                <w:rFonts w:ascii="Verdana" w:eastAsia="Verdana" w:hAnsi="Verdana" w:cs="Verdana"/>
                <w:b/>
                <w:noProof/>
                <w:color w:val="000000"/>
                <w:sz w:val="16"/>
              </w:rPr>
            </w:pPr>
            <w:r>
              <w:rPr>
                <w:rFonts w:ascii="Verdana" w:eastAsia="Verdana" w:hAnsi="Verdana" w:cs="Verdana"/>
                <w:b/>
                <w:noProof/>
                <w:color w:val="000000"/>
                <w:sz w:val="16"/>
              </w:rPr>
              <w:t>228 104</w:t>
            </w:r>
          </w:p>
        </w:tc>
        <w:tc>
          <w:tcPr>
            <w:tcW w:w="960" w:type="dxa"/>
            <w:tcBorders>
              <w:top w:val="nil"/>
              <w:left w:val="nil"/>
              <w:bottom w:val="nil"/>
              <w:right w:val="nil"/>
              <w:tl2br w:val="nil"/>
              <w:tr2bl w:val="nil"/>
            </w:tcBorders>
            <w:shd w:val="solid" w:color="CCE1EB" w:fill="FFFFFF"/>
            <w:tcMar>
              <w:left w:w="60" w:type="dxa"/>
              <w:right w:w="60" w:type="dxa"/>
            </w:tcMar>
            <w:vAlign w:val="center"/>
          </w:tcPr>
          <w:p w14:paraId="21BFCA7F" w14:textId="77777777" w:rsidR="00807FFE" w:rsidRDefault="00023E71">
            <w:pPr>
              <w:pStyle w:val="DMETW36691BIPStatementofcomparisonCommitments"/>
              <w:jc w:val="right"/>
              <w:rPr>
                <w:rFonts w:ascii="Verdana" w:eastAsia="Verdana" w:hAnsi="Verdana" w:cs="Verdana"/>
                <w:b/>
                <w:noProof/>
                <w:color w:val="000000"/>
                <w:sz w:val="16"/>
                <w:lang w:bidi="en-GB"/>
              </w:rPr>
            </w:pPr>
            <w:r>
              <w:rPr>
                <w:rFonts w:ascii="Verdana" w:eastAsia="Verdana" w:hAnsi="Verdana" w:cs="Verdana"/>
                <w:b/>
                <w:noProof/>
                <w:color w:val="000000"/>
                <w:sz w:val="16"/>
              </w:rPr>
              <w:t>212 116</w:t>
            </w:r>
          </w:p>
        </w:tc>
      </w:tr>
      <w:tr w:rsidR="00807FFE" w14:paraId="42DDFE46" w14:textId="77777777">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14:paraId="7B63C7D7" w14:textId="77777777" w:rsidR="00807FFE" w:rsidRDefault="00807FFE">
            <w:pPr>
              <w:pStyle w:val="DMETW36691BIPStatementofcomparisonCommitments"/>
              <w:rPr>
                <w:rFonts w:ascii="Verdana" w:eastAsia="Verdana" w:hAnsi="Verdana" w:cs="Verdana"/>
                <w:i/>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14:paraId="3DF67047"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 xml:space="preserve">     of which Next Generation EU (NGEU)</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323E204C"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1469C88C"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393F5A88"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 xml:space="preserve"> 232</w:t>
            </w:r>
          </w:p>
        </w:tc>
        <w:tc>
          <w:tcPr>
            <w:tcW w:w="960" w:type="dxa"/>
            <w:tcBorders>
              <w:top w:val="nil"/>
              <w:left w:val="nil"/>
              <w:bottom w:val="nil"/>
              <w:right w:val="nil"/>
              <w:tl2br w:val="nil"/>
              <w:tr2bl w:val="nil"/>
            </w:tcBorders>
            <w:shd w:val="solid" w:color="CCE1EB" w:fill="FFFFFF"/>
            <w:tcMar>
              <w:left w:w="60" w:type="dxa"/>
              <w:right w:w="60" w:type="dxa"/>
            </w:tcMar>
            <w:vAlign w:val="center"/>
          </w:tcPr>
          <w:p w14:paraId="4E80EBAC" w14:textId="77777777" w:rsidR="00807FFE" w:rsidRDefault="00023E71">
            <w:pPr>
              <w:pStyle w:val="DMETW36691BIPStatementofcomparisonCommitments"/>
              <w:jc w:val="right"/>
              <w:rPr>
                <w:rFonts w:ascii="Verdana" w:eastAsia="Verdana" w:hAnsi="Verdana" w:cs="Verdana"/>
                <w:i/>
                <w:noProof/>
                <w:color w:val="000000"/>
                <w:sz w:val="16"/>
              </w:rPr>
            </w:pPr>
            <w:r>
              <w:rPr>
                <w:rFonts w:ascii="Verdana" w:eastAsia="Verdana" w:hAnsi="Verdana" w:cs="Verdana"/>
                <w:i/>
                <w:noProof/>
                <w:color w:val="000000"/>
                <w:sz w:val="16"/>
              </w:rPr>
              <w:t xml:space="preserve"> 39</w:t>
            </w:r>
          </w:p>
        </w:tc>
      </w:tr>
    </w:tbl>
    <w:p w14:paraId="5970A6A2" w14:textId="77777777" w:rsidR="00F94362" w:rsidRDefault="00F94362" w:rsidP="00A20CC1">
      <w:pPr>
        <w:pStyle w:val="Textstand-alone"/>
      </w:pPr>
    </w:p>
    <w:p w14:paraId="51B58192" w14:textId="77777777" w:rsidR="00F94362" w:rsidRDefault="00023E71">
      <w:pPr>
        <w:rPr>
          <w:rFonts w:ascii="Verdana" w:hAnsi="Verdana"/>
          <w:noProof/>
          <w:sz w:val="18"/>
          <w:szCs w:val="18"/>
        </w:rPr>
      </w:pPr>
      <w:r>
        <w:rPr>
          <w:noProof/>
        </w:rPr>
        <w:br w:type="page"/>
      </w:r>
    </w:p>
    <w:p w14:paraId="3B38AD62" w14:textId="77777777" w:rsidR="001E4994" w:rsidRDefault="001E4994" w:rsidP="00A20CC1">
      <w:pPr>
        <w:pStyle w:val="Textstand-alone"/>
      </w:pPr>
    </w:p>
    <w:p w14:paraId="08605F4C" w14:textId="77777777" w:rsidR="001E4994" w:rsidRDefault="00023E71" w:rsidP="00C73228">
      <w:pPr>
        <w:pStyle w:val="HEADERTITLE"/>
        <w:spacing w:before="240" w:after="480"/>
      </w:pPr>
      <w:r>
        <w:t>Budget expenditure: payments by multiannual financial framework (MFF) heading</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4575"/>
        <w:gridCol w:w="1350"/>
        <w:gridCol w:w="1350"/>
        <w:gridCol w:w="1350"/>
        <w:gridCol w:w="960"/>
      </w:tblGrid>
      <w:tr w:rsidR="00807FFE" w14:paraId="21F0E531" w14:textId="77777777">
        <w:trPr>
          <w:trHeight w:val="255"/>
        </w:trPr>
        <w:tc>
          <w:tcPr>
            <w:tcW w:w="1035" w:type="dxa"/>
            <w:gridSpan w:val="6"/>
            <w:tcBorders>
              <w:top w:val="nil"/>
              <w:left w:val="nil"/>
              <w:bottom w:val="nil"/>
              <w:right w:val="nil"/>
              <w:tl2br w:val="nil"/>
              <w:tr2bl w:val="nil"/>
            </w:tcBorders>
            <w:tcMar>
              <w:left w:w="60" w:type="dxa"/>
              <w:right w:w="60" w:type="dxa"/>
            </w:tcMar>
            <w:vAlign w:val="center"/>
          </w:tcPr>
          <w:p w14:paraId="7434A027" w14:textId="77777777" w:rsidR="00807FFE" w:rsidRDefault="00807FFE">
            <w:pPr>
              <w:pStyle w:val="DMETW36691BIPStatementofcomparisonPayments"/>
              <w:jc w:val="right"/>
              <w:rPr>
                <w:rFonts w:ascii="Verdana" w:eastAsia="Verdana" w:hAnsi="Verdana" w:cs="Verdana"/>
                <w:i/>
                <w:noProof/>
                <w:color w:val="000000"/>
                <w:sz w:val="16"/>
                <w:lang w:bidi="en-GB"/>
              </w:rPr>
            </w:pPr>
            <w:bookmarkStart w:id="260" w:name="DOC_TBL00111_1_1"/>
            <w:bookmarkEnd w:id="260"/>
          </w:p>
        </w:tc>
      </w:tr>
      <w:tr w:rsidR="00807FFE" w14:paraId="372994E4" w14:textId="77777777">
        <w:trPr>
          <w:trHeight w:val="255"/>
        </w:trPr>
        <w:tc>
          <w:tcPr>
            <w:tcW w:w="1035" w:type="dxa"/>
            <w:gridSpan w:val="2"/>
            <w:tcBorders>
              <w:top w:val="nil"/>
              <w:left w:val="nil"/>
              <w:bottom w:val="nil"/>
              <w:right w:val="nil"/>
              <w:tl2br w:val="nil"/>
              <w:tr2bl w:val="nil"/>
            </w:tcBorders>
            <w:shd w:val="solid" w:color="016794" w:fill="FFFFFF"/>
            <w:tcMar>
              <w:left w:w="60" w:type="dxa"/>
              <w:right w:w="60" w:type="dxa"/>
            </w:tcMar>
            <w:vAlign w:val="center"/>
          </w:tcPr>
          <w:p w14:paraId="3195475E" w14:textId="77777777" w:rsidR="00807FFE" w:rsidRDefault="00023E71">
            <w:pPr>
              <w:pStyle w:val="DMETW36691BIPStatementofcomparisonPayments"/>
              <w:jc w:val="center"/>
              <w:rPr>
                <w:rFonts w:ascii="Verdana" w:eastAsia="Verdana" w:hAnsi="Verdana" w:cs="Verdana"/>
                <w:noProof/>
                <w:color w:val="FFFFFF"/>
                <w:sz w:val="16"/>
              </w:rPr>
            </w:pPr>
            <w:r>
              <w:rPr>
                <w:rFonts w:ascii="Verdana" w:eastAsia="Verdana" w:hAnsi="Verdana" w:cs="Verdana"/>
                <w:noProof/>
                <w:color w:val="FFFFFF"/>
                <w:sz w:val="16"/>
              </w:rPr>
              <w:t>MFF Heading</w:t>
            </w:r>
          </w:p>
        </w:tc>
        <w:tc>
          <w:tcPr>
            <w:tcW w:w="1350" w:type="dxa"/>
            <w:tcBorders>
              <w:top w:val="nil"/>
              <w:left w:val="nil"/>
              <w:bottom w:val="nil"/>
              <w:right w:val="nil"/>
              <w:tl2br w:val="nil"/>
              <w:tr2bl w:val="nil"/>
            </w:tcBorders>
            <w:shd w:val="solid" w:color="016794" w:fill="FFFFFF"/>
            <w:tcMar>
              <w:left w:w="60" w:type="dxa"/>
              <w:right w:w="60" w:type="dxa"/>
            </w:tcMar>
            <w:vAlign w:val="center"/>
          </w:tcPr>
          <w:p w14:paraId="46DFAE53" w14:textId="77777777" w:rsidR="00807FFE" w:rsidRDefault="00023E71">
            <w:pPr>
              <w:pStyle w:val="DMETW36691BIPStatementofcomparisonPayments"/>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1350" w:type="dxa"/>
            <w:tcBorders>
              <w:top w:val="nil"/>
              <w:left w:val="nil"/>
              <w:bottom w:val="nil"/>
              <w:right w:val="nil"/>
              <w:tl2br w:val="nil"/>
              <w:tr2bl w:val="nil"/>
            </w:tcBorders>
            <w:shd w:val="solid" w:color="016794" w:fill="FFFFFF"/>
            <w:tcMar>
              <w:left w:w="60" w:type="dxa"/>
              <w:right w:w="60" w:type="dxa"/>
            </w:tcMar>
            <w:vAlign w:val="center"/>
          </w:tcPr>
          <w:p w14:paraId="0E2F8371" w14:textId="77777777" w:rsidR="00807FFE" w:rsidRDefault="00023E71">
            <w:pPr>
              <w:pStyle w:val="DMETW36691BIPStatementofcomparisonPayments"/>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1350" w:type="dxa"/>
            <w:tcBorders>
              <w:top w:val="nil"/>
              <w:left w:val="nil"/>
              <w:bottom w:val="nil"/>
              <w:right w:val="nil"/>
              <w:tl2br w:val="nil"/>
              <w:tr2bl w:val="nil"/>
            </w:tcBorders>
            <w:shd w:val="solid" w:color="016794" w:fill="FFFFFF"/>
            <w:tcMar>
              <w:left w:w="60" w:type="dxa"/>
              <w:right w:w="60" w:type="dxa"/>
            </w:tcMar>
            <w:vAlign w:val="center"/>
          </w:tcPr>
          <w:p w14:paraId="4FD23EFF" w14:textId="77777777" w:rsidR="00807FFE" w:rsidRDefault="00023E71">
            <w:pPr>
              <w:pStyle w:val="DMETW36691BIPStatementofcomparisonPayments"/>
              <w:jc w:val="center"/>
              <w:rPr>
                <w:rFonts w:ascii="Verdana" w:eastAsia="Verdana" w:hAnsi="Verdana" w:cs="Verdana"/>
                <w:noProof/>
                <w:color w:val="FFFFFF"/>
                <w:sz w:val="16"/>
              </w:rPr>
            </w:pPr>
            <w:r>
              <w:rPr>
                <w:rFonts w:ascii="Verdana" w:eastAsia="Verdana" w:hAnsi="Verdana" w:cs="Verdana"/>
                <w:noProof/>
                <w:color w:val="FFFFFF"/>
                <w:sz w:val="16"/>
              </w:rPr>
              <w:t>Total appropr. available</w:t>
            </w:r>
          </w:p>
        </w:tc>
        <w:tc>
          <w:tcPr>
            <w:tcW w:w="960" w:type="dxa"/>
            <w:tcBorders>
              <w:top w:val="nil"/>
              <w:left w:val="nil"/>
              <w:bottom w:val="nil"/>
              <w:right w:val="nil"/>
              <w:tl2br w:val="nil"/>
              <w:tr2bl w:val="nil"/>
            </w:tcBorders>
            <w:shd w:val="solid" w:color="016794" w:fill="FFFFFF"/>
            <w:tcMar>
              <w:left w:w="60" w:type="dxa"/>
              <w:right w:w="60" w:type="dxa"/>
            </w:tcMar>
            <w:vAlign w:val="center"/>
          </w:tcPr>
          <w:p w14:paraId="4FC79846" w14:textId="77777777" w:rsidR="00807FFE" w:rsidRDefault="00023E71">
            <w:pPr>
              <w:pStyle w:val="DMETW36691BIPStatementofcomparisonPayments"/>
              <w:jc w:val="center"/>
              <w:rPr>
                <w:rFonts w:ascii="Verdana" w:eastAsia="Verdana" w:hAnsi="Verdana" w:cs="Verdana"/>
                <w:noProof/>
                <w:color w:val="FFFFFF"/>
                <w:sz w:val="16"/>
                <w:lang w:bidi="en-GB"/>
              </w:rPr>
            </w:pPr>
            <w:r>
              <w:rPr>
                <w:rFonts w:ascii="Verdana" w:eastAsia="Verdana" w:hAnsi="Verdana" w:cs="Verdana"/>
                <w:noProof/>
                <w:color w:val="FFFFFF"/>
                <w:sz w:val="16"/>
              </w:rPr>
              <w:t>Payments made</w:t>
            </w:r>
          </w:p>
        </w:tc>
      </w:tr>
      <w:tr w:rsidR="00807FFE" w14:paraId="60A6E24C"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5141B20A" w14:textId="77777777" w:rsidR="00807FFE" w:rsidRDefault="00023E71">
            <w:pPr>
              <w:pStyle w:val="DMETW36691BIPStatementofcomparisonPayments"/>
              <w:rPr>
                <w:rFonts w:ascii="Verdana" w:eastAsia="Verdana" w:hAnsi="Verdana" w:cs="Verdana"/>
                <w:noProof/>
                <w:color w:val="000000"/>
                <w:sz w:val="16"/>
              </w:rPr>
            </w:pPr>
            <w:r>
              <w:rPr>
                <w:rFonts w:ascii="Verdana" w:eastAsia="Verdana" w:hAnsi="Verdana" w:cs="Verdana"/>
                <w:noProof/>
                <w:color w:val="000000"/>
                <w:sz w:val="16"/>
              </w:rPr>
              <w:t>1</w:t>
            </w:r>
          </w:p>
        </w:tc>
        <w:tc>
          <w:tcPr>
            <w:tcW w:w="4575" w:type="dxa"/>
            <w:tcBorders>
              <w:top w:val="nil"/>
              <w:left w:val="nil"/>
              <w:bottom w:val="nil"/>
              <w:right w:val="nil"/>
              <w:tl2br w:val="nil"/>
              <w:tr2bl w:val="nil"/>
            </w:tcBorders>
            <w:tcMar>
              <w:left w:w="60" w:type="dxa"/>
              <w:right w:w="60" w:type="dxa"/>
            </w:tcMar>
            <w:vAlign w:val="center"/>
          </w:tcPr>
          <w:p w14:paraId="605800D9"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Single Market, Innovation and Digital</w:t>
            </w:r>
          </w:p>
        </w:tc>
        <w:tc>
          <w:tcPr>
            <w:tcW w:w="1350" w:type="dxa"/>
            <w:tcBorders>
              <w:top w:val="nil"/>
              <w:left w:val="nil"/>
              <w:bottom w:val="nil"/>
              <w:right w:val="nil"/>
              <w:tl2br w:val="nil"/>
              <w:tr2bl w:val="nil"/>
            </w:tcBorders>
            <w:tcMar>
              <w:left w:w="60" w:type="dxa"/>
              <w:right w:w="60" w:type="dxa"/>
            </w:tcMar>
            <w:vAlign w:val="center"/>
          </w:tcPr>
          <w:p w14:paraId="2B256F28"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20 461</w:t>
            </w:r>
          </w:p>
        </w:tc>
        <w:tc>
          <w:tcPr>
            <w:tcW w:w="1350" w:type="dxa"/>
            <w:tcBorders>
              <w:top w:val="nil"/>
              <w:left w:val="nil"/>
              <w:bottom w:val="nil"/>
              <w:right w:val="nil"/>
              <w:tl2br w:val="nil"/>
              <w:tr2bl w:val="nil"/>
            </w:tcBorders>
            <w:tcMar>
              <w:left w:w="60" w:type="dxa"/>
              <w:right w:w="60" w:type="dxa"/>
            </w:tcMar>
            <w:vAlign w:val="center"/>
          </w:tcPr>
          <w:p w14:paraId="562621B4"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20 255</w:t>
            </w:r>
          </w:p>
        </w:tc>
        <w:tc>
          <w:tcPr>
            <w:tcW w:w="1350" w:type="dxa"/>
            <w:tcBorders>
              <w:top w:val="nil"/>
              <w:left w:val="nil"/>
              <w:bottom w:val="nil"/>
              <w:right w:val="nil"/>
              <w:tl2br w:val="nil"/>
              <w:tr2bl w:val="nil"/>
            </w:tcBorders>
            <w:tcMar>
              <w:left w:w="60" w:type="dxa"/>
              <w:right w:w="60" w:type="dxa"/>
            </w:tcMar>
            <w:vAlign w:val="center"/>
          </w:tcPr>
          <w:p w14:paraId="0FE7DDDF"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34 035</w:t>
            </w:r>
          </w:p>
        </w:tc>
        <w:tc>
          <w:tcPr>
            <w:tcW w:w="960" w:type="dxa"/>
            <w:tcBorders>
              <w:top w:val="nil"/>
              <w:left w:val="nil"/>
              <w:bottom w:val="nil"/>
              <w:right w:val="nil"/>
              <w:tl2br w:val="nil"/>
              <w:tr2bl w:val="nil"/>
            </w:tcBorders>
            <w:tcMar>
              <w:left w:w="60" w:type="dxa"/>
              <w:right w:w="60" w:type="dxa"/>
            </w:tcMar>
            <w:vAlign w:val="center"/>
          </w:tcPr>
          <w:p w14:paraId="4D376191" w14:textId="77777777" w:rsidR="00807FFE" w:rsidRDefault="00023E71">
            <w:pPr>
              <w:pStyle w:val="DMETW36691BIPStatementofcomparisonPayments"/>
              <w:jc w:val="right"/>
              <w:rPr>
                <w:rFonts w:ascii="Verdana" w:eastAsia="Verdana" w:hAnsi="Verdana" w:cs="Verdana"/>
                <w:noProof/>
                <w:color w:val="000000"/>
                <w:sz w:val="16"/>
                <w:lang w:bidi="en-GB"/>
              </w:rPr>
            </w:pPr>
            <w:r>
              <w:rPr>
                <w:rFonts w:ascii="Verdana" w:eastAsia="Verdana" w:hAnsi="Verdana" w:cs="Verdana"/>
                <w:noProof/>
                <w:color w:val="000000"/>
                <w:sz w:val="16"/>
              </w:rPr>
              <w:t>24 483</w:t>
            </w:r>
          </w:p>
        </w:tc>
      </w:tr>
      <w:tr w:rsidR="00807FFE" w14:paraId="5C9F3F60"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7D4469A7" w14:textId="77777777" w:rsidR="00807FFE" w:rsidRDefault="00023E71">
            <w:pPr>
              <w:pStyle w:val="DMETW36691BIPStatementofcomparisonPayments"/>
              <w:rPr>
                <w:rFonts w:ascii="Verdana" w:eastAsia="Verdana" w:hAnsi="Verdana" w:cs="Verdana"/>
                <w:noProof/>
                <w:color w:val="000000"/>
                <w:sz w:val="16"/>
              </w:rPr>
            </w:pPr>
            <w:r>
              <w:rPr>
                <w:rFonts w:ascii="Verdana" w:eastAsia="Verdana" w:hAnsi="Verdana" w:cs="Verdana"/>
                <w:noProof/>
                <w:color w:val="000000"/>
                <w:sz w:val="16"/>
              </w:rPr>
              <w:t>2</w:t>
            </w:r>
          </w:p>
        </w:tc>
        <w:tc>
          <w:tcPr>
            <w:tcW w:w="4575" w:type="dxa"/>
            <w:tcBorders>
              <w:top w:val="nil"/>
              <w:left w:val="nil"/>
              <w:bottom w:val="nil"/>
              <w:right w:val="nil"/>
              <w:tl2br w:val="nil"/>
              <w:tr2bl w:val="nil"/>
            </w:tcBorders>
            <w:tcMar>
              <w:left w:w="60" w:type="dxa"/>
              <w:right w:w="60" w:type="dxa"/>
            </w:tcMar>
            <w:vAlign w:val="center"/>
          </w:tcPr>
          <w:p w14:paraId="44962906"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Cohesion, Resilience and Values</w:t>
            </w:r>
          </w:p>
        </w:tc>
        <w:tc>
          <w:tcPr>
            <w:tcW w:w="1350" w:type="dxa"/>
            <w:tcBorders>
              <w:top w:val="nil"/>
              <w:left w:val="nil"/>
              <w:bottom w:val="nil"/>
              <w:right w:val="nil"/>
              <w:tl2br w:val="nil"/>
              <w:tr2bl w:val="nil"/>
            </w:tcBorders>
            <w:tcMar>
              <w:left w:w="60" w:type="dxa"/>
              <w:right w:w="60" w:type="dxa"/>
            </w:tcMar>
            <w:vAlign w:val="center"/>
          </w:tcPr>
          <w:p w14:paraId="4FB0A0AC"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44 445</w:t>
            </w:r>
          </w:p>
        </w:tc>
        <w:tc>
          <w:tcPr>
            <w:tcW w:w="1350" w:type="dxa"/>
            <w:tcBorders>
              <w:top w:val="nil"/>
              <w:left w:val="nil"/>
              <w:bottom w:val="nil"/>
              <w:right w:val="nil"/>
              <w:tl2br w:val="nil"/>
              <w:tr2bl w:val="nil"/>
            </w:tcBorders>
            <w:tcMar>
              <w:left w:w="60" w:type="dxa"/>
              <w:right w:w="60" w:type="dxa"/>
            </w:tcMar>
            <w:vAlign w:val="center"/>
          </w:tcPr>
          <w:p w14:paraId="4610C9FD"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47 141</w:t>
            </w:r>
          </w:p>
        </w:tc>
        <w:tc>
          <w:tcPr>
            <w:tcW w:w="1350" w:type="dxa"/>
            <w:tcBorders>
              <w:top w:val="nil"/>
              <w:left w:val="nil"/>
              <w:bottom w:val="nil"/>
              <w:right w:val="nil"/>
              <w:tl2br w:val="nil"/>
              <w:tr2bl w:val="nil"/>
            </w:tcBorders>
            <w:tcMar>
              <w:left w:w="60" w:type="dxa"/>
              <w:right w:w="60" w:type="dxa"/>
            </w:tcMar>
            <w:vAlign w:val="center"/>
          </w:tcPr>
          <w:p w14:paraId="0D21D125"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96 601</w:t>
            </w:r>
          </w:p>
        </w:tc>
        <w:tc>
          <w:tcPr>
            <w:tcW w:w="960" w:type="dxa"/>
            <w:tcBorders>
              <w:top w:val="nil"/>
              <w:left w:val="nil"/>
              <w:bottom w:val="nil"/>
              <w:right w:val="nil"/>
              <w:tl2br w:val="nil"/>
              <w:tr2bl w:val="nil"/>
            </w:tcBorders>
            <w:tcMar>
              <w:left w:w="60" w:type="dxa"/>
              <w:right w:w="60" w:type="dxa"/>
            </w:tcMar>
            <w:vAlign w:val="center"/>
          </w:tcPr>
          <w:p w14:paraId="656130EF" w14:textId="77777777" w:rsidR="00807FFE" w:rsidRDefault="00023E71">
            <w:pPr>
              <w:pStyle w:val="DMETW36691BIPStatementofcomparisonPayments"/>
              <w:jc w:val="right"/>
              <w:rPr>
                <w:rFonts w:ascii="Verdana" w:eastAsia="Verdana" w:hAnsi="Verdana" w:cs="Verdana"/>
                <w:noProof/>
                <w:color w:val="000000"/>
                <w:sz w:val="16"/>
                <w:lang w:bidi="en-GB"/>
              </w:rPr>
            </w:pPr>
            <w:r>
              <w:rPr>
                <w:rFonts w:ascii="Verdana" w:eastAsia="Verdana" w:hAnsi="Verdana" w:cs="Verdana"/>
                <w:noProof/>
                <w:color w:val="000000"/>
                <w:sz w:val="16"/>
              </w:rPr>
              <w:t>92 306</w:t>
            </w:r>
          </w:p>
        </w:tc>
      </w:tr>
      <w:tr w:rsidR="00807FFE" w14:paraId="4738CFAC"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644F3E0F" w14:textId="77777777" w:rsidR="00807FFE" w:rsidRDefault="00023E71">
            <w:pPr>
              <w:pStyle w:val="DMETW36691BIPStatementofcomparisonPayments"/>
              <w:rPr>
                <w:rFonts w:ascii="Verdana" w:eastAsia="Verdana" w:hAnsi="Verdana" w:cs="Verdana"/>
                <w:i/>
                <w:noProof/>
                <w:color w:val="000000"/>
                <w:sz w:val="16"/>
              </w:rPr>
            </w:pPr>
            <w:r>
              <w:rPr>
                <w:rFonts w:ascii="Verdana" w:eastAsia="Verdana" w:hAnsi="Verdana" w:cs="Verdana"/>
                <w:i/>
                <w:noProof/>
                <w:color w:val="000000"/>
                <w:sz w:val="16"/>
              </w:rPr>
              <w:t>3</w:t>
            </w:r>
          </w:p>
        </w:tc>
        <w:tc>
          <w:tcPr>
            <w:tcW w:w="4575" w:type="dxa"/>
            <w:tcBorders>
              <w:top w:val="nil"/>
              <w:left w:val="nil"/>
              <w:bottom w:val="nil"/>
              <w:right w:val="nil"/>
              <w:tl2br w:val="nil"/>
              <w:tr2bl w:val="nil"/>
            </w:tcBorders>
            <w:tcMar>
              <w:left w:w="60" w:type="dxa"/>
              <w:right w:w="60" w:type="dxa"/>
            </w:tcMar>
            <w:vAlign w:val="center"/>
          </w:tcPr>
          <w:p w14:paraId="4F0CACC6"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Natural Resources and Environment</w:t>
            </w:r>
          </w:p>
        </w:tc>
        <w:tc>
          <w:tcPr>
            <w:tcW w:w="1350" w:type="dxa"/>
            <w:tcBorders>
              <w:top w:val="nil"/>
              <w:left w:val="nil"/>
              <w:bottom w:val="nil"/>
              <w:right w:val="nil"/>
              <w:tl2br w:val="nil"/>
              <w:tr2bl w:val="nil"/>
            </w:tcBorders>
            <w:tcMar>
              <w:left w:w="60" w:type="dxa"/>
              <w:right w:w="60" w:type="dxa"/>
            </w:tcMar>
            <w:vAlign w:val="center"/>
          </w:tcPr>
          <w:p w14:paraId="344D1447"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52 092</w:t>
            </w:r>
          </w:p>
        </w:tc>
        <w:tc>
          <w:tcPr>
            <w:tcW w:w="1350" w:type="dxa"/>
            <w:tcBorders>
              <w:top w:val="nil"/>
              <w:left w:val="nil"/>
              <w:bottom w:val="nil"/>
              <w:right w:val="nil"/>
              <w:tl2br w:val="nil"/>
              <w:tr2bl w:val="nil"/>
            </w:tcBorders>
            <w:tcMar>
              <w:left w:w="60" w:type="dxa"/>
              <w:right w:w="60" w:type="dxa"/>
            </w:tcMar>
            <w:vAlign w:val="center"/>
          </w:tcPr>
          <w:p w14:paraId="0C0FB44C"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56 039</w:t>
            </w:r>
          </w:p>
        </w:tc>
        <w:tc>
          <w:tcPr>
            <w:tcW w:w="1350" w:type="dxa"/>
            <w:tcBorders>
              <w:top w:val="nil"/>
              <w:left w:val="nil"/>
              <w:bottom w:val="nil"/>
              <w:right w:val="nil"/>
              <w:tl2br w:val="nil"/>
              <w:tr2bl w:val="nil"/>
            </w:tcBorders>
            <w:tcMar>
              <w:left w:w="60" w:type="dxa"/>
              <w:right w:w="60" w:type="dxa"/>
            </w:tcMar>
            <w:vAlign w:val="center"/>
          </w:tcPr>
          <w:p w14:paraId="51848C8B"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61 329</w:t>
            </w:r>
          </w:p>
        </w:tc>
        <w:tc>
          <w:tcPr>
            <w:tcW w:w="960" w:type="dxa"/>
            <w:tcBorders>
              <w:top w:val="nil"/>
              <w:left w:val="nil"/>
              <w:bottom w:val="nil"/>
              <w:right w:val="nil"/>
              <w:tl2br w:val="nil"/>
              <w:tr2bl w:val="nil"/>
            </w:tcBorders>
            <w:tcMar>
              <w:left w:w="60" w:type="dxa"/>
              <w:right w:w="60" w:type="dxa"/>
            </w:tcMar>
            <w:vAlign w:val="center"/>
          </w:tcPr>
          <w:p w14:paraId="65108E87" w14:textId="77777777" w:rsidR="00807FFE" w:rsidRDefault="00023E71">
            <w:pPr>
              <w:pStyle w:val="DMETW36691BIPStatementofcomparisonPayments"/>
              <w:jc w:val="right"/>
              <w:rPr>
                <w:rFonts w:ascii="Verdana" w:eastAsia="Verdana" w:hAnsi="Verdana" w:cs="Verdana"/>
                <w:i/>
                <w:noProof/>
                <w:color w:val="000000"/>
                <w:sz w:val="16"/>
                <w:lang w:bidi="en-GB"/>
              </w:rPr>
            </w:pPr>
            <w:r>
              <w:rPr>
                <w:rFonts w:ascii="Verdana" w:eastAsia="Verdana" w:hAnsi="Verdana" w:cs="Verdana"/>
                <w:i/>
                <w:noProof/>
                <w:color w:val="000000"/>
                <w:sz w:val="16"/>
              </w:rPr>
              <w:t>59 589</w:t>
            </w:r>
          </w:p>
        </w:tc>
      </w:tr>
      <w:tr w:rsidR="00807FFE" w14:paraId="3077E276"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6983D246" w14:textId="77777777" w:rsidR="00807FFE" w:rsidRDefault="00023E71">
            <w:pPr>
              <w:pStyle w:val="DMETW36691BIPStatementofcomparisonPayments"/>
              <w:rPr>
                <w:rFonts w:ascii="Verdana" w:eastAsia="Verdana" w:hAnsi="Verdana" w:cs="Verdana"/>
                <w:i/>
                <w:noProof/>
                <w:color w:val="000000"/>
                <w:sz w:val="16"/>
              </w:rPr>
            </w:pPr>
            <w:r>
              <w:rPr>
                <w:rFonts w:ascii="Verdana" w:eastAsia="Verdana" w:hAnsi="Verdana" w:cs="Verdana"/>
                <w:i/>
                <w:noProof/>
                <w:color w:val="000000"/>
                <w:sz w:val="16"/>
              </w:rPr>
              <w:t>4</w:t>
            </w:r>
          </w:p>
        </w:tc>
        <w:tc>
          <w:tcPr>
            <w:tcW w:w="4575" w:type="dxa"/>
            <w:tcBorders>
              <w:top w:val="nil"/>
              <w:left w:val="nil"/>
              <w:bottom w:val="nil"/>
              <w:right w:val="nil"/>
              <w:tl2br w:val="nil"/>
              <w:tr2bl w:val="nil"/>
            </w:tcBorders>
            <w:tcMar>
              <w:left w:w="60" w:type="dxa"/>
              <w:right w:w="60" w:type="dxa"/>
            </w:tcMar>
            <w:vAlign w:val="center"/>
          </w:tcPr>
          <w:p w14:paraId="0126AAA4"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Migration and Border Management</w:t>
            </w:r>
          </w:p>
        </w:tc>
        <w:tc>
          <w:tcPr>
            <w:tcW w:w="1350" w:type="dxa"/>
            <w:tcBorders>
              <w:top w:val="nil"/>
              <w:left w:val="nil"/>
              <w:bottom w:val="nil"/>
              <w:right w:val="nil"/>
              <w:tl2br w:val="nil"/>
              <w:tr2bl w:val="nil"/>
            </w:tcBorders>
            <w:tcMar>
              <w:left w:w="60" w:type="dxa"/>
              <w:right w:w="60" w:type="dxa"/>
            </w:tcMar>
            <w:vAlign w:val="center"/>
          </w:tcPr>
          <w:p w14:paraId="436CF593"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3 204</w:t>
            </w:r>
          </w:p>
        </w:tc>
        <w:tc>
          <w:tcPr>
            <w:tcW w:w="1350" w:type="dxa"/>
            <w:tcBorders>
              <w:top w:val="nil"/>
              <w:left w:val="nil"/>
              <w:bottom w:val="nil"/>
              <w:right w:val="nil"/>
              <w:tl2br w:val="nil"/>
              <w:tr2bl w:val="nil"/>
            </w:tcBorders>
            <w:tcMar>
              <w:left w:w="60" w:type="dxa"/>
              <w:right w:w="60" w:type="dxa"/>
            </w:tcMar>
            <w:vAlign w:val="center"/>
          </w:tcPr>
          <w:p w14:paraId="4615D162"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3 564</w:t>
            </w:r>
          </w:p>
        </w:tc>
        <w:tc>
          <w:tcPr>
            <w:tcW w:w="1350" w:type="dxa"/>
            <w:tcBorders>
              <w:top w:val="nil"/>
              <w:left w:val="nil"/>
              <w:bottom w:val="nil"/>
              <w:right w:val="nil"/>
              <w:tl2br w:val="nil"/>
              <w:tr2bl w:val="nil"/>
            </w:tcBorders>
            <w:tcMar>
              <w:left w:w="60" w:type="dxa"/>
              <w:right w:w="60" w:type="dxa"/>
            </w:tcMar>
            <w:vAlign w:val="center"/>
          </w:tcPr>
          <w:p w14:paraId="4E0E7EC2"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4 386</w:t>
            </w:r>
          </w:p>
        </w:tc>
        <w:tc>
          <w:tcPr>
            <w:tcW w:w="960" w:type="dxa"/>
            <w:tcBorders>
              <w:top w:val="nil"/>
              <w:left w:val="nil"/>
              <w:bottom w:val="nil"/>
              <w:right w:val="nil"/>
              <w:tl2br w:val="nil"/>
              <w:tr2bl w:val="nil"/>
            </w:tcBorders>
            <w:tcMar>
              <w:left w:w="60" w:type="dxa"/>
              <w:right w:w="60" w:type="dxa"/>
            </w:tcMar>
            <w:vAlign w:val="center"/>
          </w:tcPr>
          <w:p w14:paraId="1D21B05F" w14:textId="77777777" w:rsidR="00807FFE" w:rsidRDefault="00023E71">
            <w:pPr>
              <w:pStyle w:val="DMETW36691BIPStatementofcomparisonPayments"/>
              <w:jc w:val="right"/>
              <w:rPr>
                <w:rFonts w:ascii="Verdana" w:eastAsia="Verdana" w:hAnsi="Verdana" w:cs="Verdana"/>
                <w:i/>
                <w:noProof/>
                <w:color w:val="000000"/>
                <w:sz w:val="16"/>
                <w:lang w:bidi="en-GB"/>
              </w:rPr>
            </w:pPr>
            <w:r>
              <w:rPr>
                <w:rFonts w:ascii="Verdana" w:eastAsia="Verdana" w:hAnsi="Verdana" w:cs="Verdana"/>
                <w:i/>
                <w:noProof/>
                <w:color w:val="000000"/>
                <w:sz w:val="16"/>
              </w:rPr>
              <w:t>3 819</w:t>
            </w:r>
          </w:p>
        </w:tc>
      </w:tr>
      <w:tr w:rsidR="00807FFE" w14:paraId="76F3D89C"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02379A51" w14:textId="77777777" w:rsidR="00807FFE" w:rsidRDefault="00023E71">
            <w:pPr>
              <w:pStyle w:val="DMETW36691BIPStatementofcomparisonPayments"/>
              <w:rPr>
                <w:rFonts w:ascii="Verdana" w:eastAsia="Verdana" w:hAnsi="Verdana" w:cs="Verdana"/>
                <w:noProof/>
                <w:color w:val="000000"/>
                <w:sz w:val="16"/>
              </w:rPr>
            </w:pPr>
            <w:r>
              <w:rPr>
                <w:rFonts w:ascii="Verdana" w:eastAsia="Verdana" w:hAnsi="Verdana" w:cs="Verdana"/>
                <w:noProof/>
                <w:color w:val="000000"/>
                <w:sz w:val="16"/>
              </w:rPr>
              <w:t>5</w:t>
            </w:r>
          </w:p>
        </w:tc>
        <w:tc>
          <w:tcPr>
            <w:tcW w:w="4575" w:type="dxa"/>
            <w:tcBorders>
              <w:top w:val="nil"/>
              <w:left w:val="nil"/>
              <w:bottom w:val="nil"/>
              <w:right w:val="nil"/>
              <w:tl2br w:val="nil"/>
              <w:tr2bl w:val="nil"/>
            </w:tcBorders>
            <w:tcMar>
              <w:left w:w="60" w:type="dxa"/>
              <w:right w:w="60" w:type="dxa"/>
            </w:tcMar>
            <w:vAlign w:val="center"/>
          </w:tcPr>
          <w:p w14:paraId="2A27D9E9"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Security and Defence</w:t>
            </w:r>
          </w:p>
        </w:tc>
        <w:tc>
          <w:tcPr>
            <w:tcW w:w="1350" w:type="dxa"/>
            <w:tcBorders>
              <w:top w:val="nil"/>
              <w:left w:val="nil"/>
              <w:bottom w:val="nil"/>
              <w:right w:val="nil"/>
              <w:tl2br w:val="nil"/>
              <w:tr2bl w:val="nil"/>
            </w:tcBorders>
            <w:tcMar>
              <w:left w:w="60" w:type="dxa"/>
              <w:right w:w="60" w:type="dxa"/>
            </w:tcMar>
            <w:vAlign w:val="center"/>
          </w:tcPr>
          <w:p w14:paraId="55DF9A3C"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2 143</w:t>
            </w:r>
          </w:p>
        </w:tc>
        <w:tc>
          <w:tcPr>
            <w:tcW w:w="1350" w:type="dxa"/>
            <w:tcBorders>
              <w:top w:val="nil"/>
              <w:left w:val="nil"/>
              <w:bottom w:val="nil"/>
              <w:right w:val="nil"/>
              <w:tl2br w:val="nil"/>
              <w:tr2bl w:val="nil"/>
            </w:tcBorders>
            <w:tcMar>
              <w:left w:w="60" w:type="dxa"/>
              <w:right w:w="60" w:type="dxa"/>
            </w:tcMar>
            <w:vAlign w:val="center"/>
          </w:tcPr>
          <w:p w14:paraId="7E2CD16D"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1 839</w:t>
            </w:r>
          </w:p>
        </w:tc>
        <w:tc>
          <w:tcPr>
            <w:tcW w:w="1350" w:type="dxa"/>
            <w:tcBorders>
              <w:top w:val="nil"/>
              <w:left w:val="nil"/>
              <w:bottom w:val="nil"/>
              <w:right w:val="nil"/>
              <w:tl2br w:val="nil"/>
              <w:tr2bl w:val="nil"/>
            </w:tcBorders>
            <w:tcMar>
              <w:left w:w="60" w:type="dxa"/>
              <w:right w:w="60" w:type="dxa"/>
            </w:tcMar>
            <w:vAlign w:val="center"/>
          </w:tcPr>
          <w:p w14:paraId="186B3671"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1 947</w:t>
            </w:r>
          </w:p>
        </w:tc>
        <w:tc>
          <w:tcPr>
            <w:tcW w:w="960" w:type="dxa"/>
            <w:tcBorders>
              <w:top w:val="nil"/>
              <w:left w:val="nil"/>
              <w:bottom w:val="nil"/>
              <w:right w:val="nil"/>
              <w:tl2br w:val="nil"/>
              <w:tr2bl w:val="nil"/>
            </w:tcBorders>
            <w:tcMar>
              <w:left w:w="60" w:type="dxa"/>
              <w:right w:w="60" w:type="dxa"/>
            </w:tcMar>
            <w:vAlign w:val="center"/>
          </w:tcPr>
          <w:p w14:paraId="641439A2" w14:textId="77777777" w:rsidR="00807FFE" w:rsidRDefault="00023E71">
            <w:pPr>
              <w:pStyle w:val="DMETW36691BIPStatementofcomparisonPayments"/>
              <w:jc w:val="right"/>
              <w:rPr>
                <w:rFonts w:ascii="Verdana" w:eastAsia="Verdana" w:hAnsi="Verdana" w:cs="Verdana"/>
                <w:noProof/>
                <w:color w:val="000000"/>
                <w:sz w:val="16"/>
                <w:lang w:bidi="en-GB"/>
              </w:rPr>
            </w:pPr>
            <w:r>
              <w:rPr>
                <w:rFonts w:ascii="Verdana" w:eastAsia="Verdana" w:hAnsi="Verdana" w:cs="Verdana"/>
                <w:noProof/>
                <w:color w:val="000000"/>
                <w:sz w:val="16"/>
              </w:rPr>
              <w:t>1 872</w:t>
            </w:r>
          </w:p>
        </w:tc>
      </w:tr>
      <w:tr w:rsidR="00807FFE" w14:paraId="4431AE93"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03C9D3EF" w14:textId="77777777" w:rsidR="00807FFE" w:rsidRDefault="00023E71">
            <w:pPr>
              <w:pStyle w:val="DMETW36691BIPStatementofcomparisonPayments"/>
              <w:rPr>
                <w:rFonts w:ascii="Verdana" w:eastAsia="Verdana" w:hAnsi="Verdana" w:cs="Verdana"/>
                <w:i/>
                <w:noProof/>
                <w:color w:val="000000"/>
                <w:sz w:val="16"/>
              </w:rPr>
            </w:pPr>
            <w:r>
              <w:rPr>
                <w:rFonts w:ascii="Verdana" w:eastAsia="Verdana" w:hAnsi="Verdana" w:cs="Verdana"/>
                <w:i/>
                <w:noProof/>
                <w:color w:val="000000"/>
                <w:sz w:val="16"/>
              </w:rPr>
              <w:t>6</w:t>
            </w:r>
          </w:p>
        </w:tc>
        <w:tc>
          <w:tcPr>
            <w:tcW w:w="4575" w:type="dxa"/>
            <w:tcBorders>
              <w:top w:val="nil"/>
              <w:left w:val="nil"/>
              <w:bottom w:val="nil"/>
              <w:right w:val="nil"/>
              <w:tl2br w:val="nil"/>
              <w:tr2bl w:val="nil"/>
            </w:tcBorders>
            <w:tcMar>
              <w:left w:w="60" w:type="dxa"/>
              <w:right w:w="60" w:type="dxa"/>
            </w:tcMar>
            <w:vAlign w:val="center"/>
          </w:tcPr>
          <w:p w14:paraId="70D423A8"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Neighbourhood and the World</w:t>
            </w:r>
          </w:p>
        </w:tc>
        <w:tc>
          <w:tcPr>
            <w:tcW w:w="1350" w:type="dxa"/>
            <w:tcBorders>
              <w:top w:val="nil"/>
              <w:left w:val="nil"/>
              <w:bottom w:val="nil"/>
              <w:right w:val="nil"/>
              <w:tl2br w:val="nil"/>
              <w:tr2bl w:val="nil"/>
            </w:tcBorders>
            <w:tcMar>
              <w:left w:w="60" w:type="dxa"/>
              <w:right w:w="60" w:type="dxa"/>
            </w:tcMar>
            <w:vAlign w:val="center"/>
          </w:tcPr>
          <w:p w14:paraId="1568C7D7"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14 426</w:t>
            </w:r>
          </w:p>
        </w:tc>
        <w:tc>
          <w:tcPr>
            <w:tcW w:w="1350" w:type="dxa"/>
            <w:tcBorders>
              <w:top w:val="nil"/>
              <w:left w:val="nil"/>
              <w:bottom w:val="nil"/>
              <w:right w:val="nil"/>
              <w:tl2br w:val="nil"/>
              <w:tr2bl w:val="nil"/>
            </w:tcBorders>
            <w:tcMar>
              <w:left w:w="60" w:type="dxa"/>
              <w:right w:w="60" w:type="dxa"/>
            </w:tcMar>
            <w:vAlign w:val="center"/>
          </w:tcPr>
          <w:p w14:paraId="6FC7347B"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15 010</w:t>
            </w:r>
          </w:p>
        </w:tc>
        <w:tc>
          <w:tcPr>
            <w:tcW w:w="1350" w:type="dxa"/>
            <w:tcBorders>
              <w:top w:val="nil"/>
              <w:left w:val="nil"/>
              <w:bottom w:val="nil"/>
              <w:right w:val="nil"/>
              <w:tl2br w:val="nil"/>
              <w:tr2bl w:val="nil"/>
            </w:tcBorders>
            <w:tcMar>
              <w:left w:w="60" w:type="dxa"/>
              <w:right w:w="60" w:type="dxa"/>
            </w:tcMar>
            <w:vAlign w:val="center"/>
          </w:tcPr>
          <w:p w14:paraId="4835476C"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18 469</w:t>
            </w:r>
          </w:p>
        </w:tc>
        <w:tc>
          <w:tcPr>
            <w:tcW w:w="960" w:type="dxa"/>
            <w:tcBorders>
              <w:top w:val="nil"/>
              <w:left w:val="nil"/>
              <w:bottom w:val="nil"/>
              <w:right w:val="nil"/>
              <w:tl2br w:val="nil"/>
              <w:tr2bl w:val="nil"/>
            </w:tcBorders>
            <w:tcMar>
              <w:left w:w="60" w:type="dxa"/>
              <w:right w:w="60" w:type="dxa"/>
            </w:tcMar>
            <w:vAlign w:val="center"/>
          </w:tcPr>
          <w:p w14:paraId="3F01D413" w14:textId="77777777" w:rsidR="00807FFE" w:rsidRDefault="00023E71">
            <w:pPr>
              <w:pStyle w:val="DMETW36691BIPStatementofcomparisonPayments"/>
              <w:jc w:val="right"/>
              <w:rPr>
                <w:rFonts w:ascii="Verdana" w:eastAsia="Verdana" w:hAnsi="Verdana" w:cs="Verdana"/>
                <w:i/>
                <w:noProof/>
                <w:color w:val="000000"/>
                <w:sz w:val="16"/>
                <w:lang w:bidi="en-GB"/>
              </w:rPr>
            </w:pPr>
            <w:r>
              <w:rPr>
                <w:rFonts w:ascii="Verdana" w:eastAsia="Verdana" w:hAnsi="Verdana" w:cs="Verdana"/>
                <w:i/>
                <w:noProof/>
                <w:color w:val="000000"/>
                <w:sz w:val="16"/>
              </w:rPr>
              <w:t>17 170</w:t>
            </w:r>
          </w:p>
        </w:tc>
      </w:tr>
      <w:tr w:rsidR="00807FFE" w14:paraId="20BC4361"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410316CB" w14:textId="77777777" w:rsidR="00807FFE" w:rsidRDefault="00023E71">
            <w:pPr>
              <w:pStyle w:val="DMETW36691BIPStatementofcomparisonPayments"/>
              <w:rPr>
                <w:rFonts w:ascii="Verdana" w:eastAsia="Verdana" w:hAnsi="Verdana" w:cs="Verdana"/>
                <w:noProof/>
                <w:color w:val="000000"/>
                <w:sz w:val="16"/>
              </w:rPr>
            </w:pPr>
            <w:r>
              <w:rPr>
                <w:rFonts w:ascii="Verdana" w:eastAsia="Verdana" w:hAnsi="Verdana" w:cs="Verdana"/>
                <w:noProof/>
                <w:color w:val="000000"/>
                <w:sz w:val="16"/>
              </w:rPr>
              <w:t>7</w:t>
            </w:r>
          </w:p>
        </w:tc>
        <w:tc>
          <w:tcPr>
            <w:tcW w:w="4575" w:type="dxa"/>
            <w:tcBorders>
              <w:top w:val="nil"/>
              <w:left w:val="nil"/>
              <w:bottom w:val="nil"/>
              <w:right w:val="nil"/>
              <w:tl2br w:val="nil"/>
              <w:tr2bl w:val="nil"/>
            </w:tcBorders>
            <w:tcMar>
              <w:left w:w="60" w:type="dxa"/>
              <w:right w:w="60" w:type="dxa"/>
            </w:tcMar>
            <w:vAlign w:val="center"/>
          </w:tcPr>
          <w:p w14:paraId="2E8E37F9"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European Public Administration</w:t>
            </w:r>
          </w:p>
        </w:tc>
        <w:tc>
          <w:tcPr>
            <w:tcW w:w="1350" w:type="dxa"/>
            <w:tcBorders>
              <w:top w:val="nil"/>
              <w:left w:val="nil"/>
              <w:bottom w:val="nil"/>
              <w:right w:val="nil"/>
              <w:tl2br w:val="nil"/>
              <w:tr2bl w:val="nil"/>
            </w:tcBorders>
            <w:tcMar>
              <w:left w:w="60" w:type="dxa"/>
              <w:right w:w="60" w:type="dxa"/>
            </w:tcMar>
            <w:vAlign w:val="center"/>
          </w:tcPr>
          <w:p w14:paraId="21061736"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12 845</w:t>
            </w:r>
          </w:p>
        </w:tc>
        <w:tc>
          <w:tcPr>
            <w:tcW w:w="1350" w:type="dxa"/>
            <w:tcBorders>
              <w:top w:val="nil"/>
              <w:left w:val="nil"/>
              <w:bottom w:val="nil"/>
              <w:right w:val="nil"/>
              <w:tl2br w:val="nil"/>
              <w:tr2bl w:val="nil"/>
            </w:tcBorders>
            <w:tcMar>
              <w:left w:w="60" w:type="dxa"/>
              <w:right w:w="60" w:type="dxa"/>
            </w:tcMar>
            <w:vAlign w:val="center"/>
          </w:tcPr>
          <w:p w14:paraId="01B53E99"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12 766</w:t>
            </w:r>
          </w:p>
        </w:tc>
        <w:tc>
          <w:tcPr>
            <w:tcW w:w="1350" w:type="dxa"/>
            <w:tcBorders>
              <w:top w:val="nil"/>
              <w:left w:val="nil"/>
              <w:bottom w:val="nil"/>
              <w:right w:val="nil"/>
              <w:tl2br w:val="nil"/>
              <w:tr2bl w:val="nil"/>
            </w:tcBorders>
            <w:tcMar>
              <w:left w:w="60" w:type="dxa"/>
              <w:right w:w="60" w:type="dxa"/>
            </w:tcMar>
            <w:vAlign w:val="center"/>
          </w:tcPr>
          <w:p w14:paraId="212F2E1A"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16 133</w:t>
            </w:r>
          </w:p>
        </w:tc>
        <w:tc>
          <w:tcPr>
            <w:tcW w:w="960" w:type="dxa"/>
            <w:tcBorders>
              <w:top w:val="nil"/>
              <w:left w:val="nil"/>
              <w:bottom w:val="nil"/>
              <w:right w:val="nil"/>
              <w:tl2br w:val="nil"/>
              <w:tr2bl w:val="nil"/>
            </w:tcBorders>
            <w:tcMar>
              <w:left w:w="60" w:type="dxa"/>
              <w:right w:w="60" w:type="dxa"/>
            </w:tcMar>
            <w:vAlign w:val="center"/>
          </w:tcPr>
          <w:p w14:paraId="2A086FF8" w14:textId="77777777" w:rsidR="00807FFE" w:rsidRDefault="00023E71">
            <w:pPr>
              <w:pStyle w:val="DMETW36691BIPStatementofcomparisonPayments"/>
              <w:jc w:val="right"/>
              <w:rPr>
                <w:rFonts w:ascii="Verdana" w:eastAsia="Verdana" w:hAnsi="Verdana" w:cs="Verdana"/>
                <w:noProof/>
                <w:color w:val="000000"/>
                <w:sz w:val="16"/>
                <w:lang w:bidi="en-GB"/>
              </w:rPr>
            </w:pPr>
            <w:r>
              <w:rPr>
                <w:rFonts w:ascii="Verdana" w:eastAsia="Verdana" w:hAnsi="Verdana" w:cs="Verdana"/>
                <w:noProof/>
                <w:color w:val="000000"/>
                <w:sz w:val="16"/>
              </w:rPr>
              <w:t>13 767</w:t>
            </w:r>
          </w:p>
        </w:tc>
      </w:tr>
      <w:tr w:rsidR="00807FFE" w14:paraId="5FBBC314"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7171A23F" w14:textId="77777777" w:rsidR="00807FFE" w:rsidRDefault="00023E71">
            <w:pPr>
              <w:pStyle w:val="DMETW36691BIPStatementofcomparisonPayments"/>
              <w:rPr>
                <w:rFonts w:ascii="Verdana" w:eastAsia="Verdana" w:hAnsi="Verdana" w:cs="Verdana"/>
                <w:noProof/>
                <w:color w:val="000000"/>
                <w:sz w:val="16"/>
              </w:rPr>
            </w:pPr>
            <w:r>
              <w:rPr>
                <w:rFonts w:ascii="Verdana" w:eastAsia="Verdana" w:hAnsi="Verdana" w:cs="Verdana"/>
                <w:noProof/>
                <w:color w:val="000000"/>
                <w:sz w:val="16"/>
              </w:rPr>
              <w:t>O</w:t>
            </w:r>
          </w:p>
        </w:tc>
        <w:tc>
          <w:tcPr>
            <w:tcW w:w="4575" w:type="dxa"/>
            <w:tcBorders>
              <w:top w:val="nil"/>
              <w:left w:val="nil"/>
              <w:bottom w:val="nil"/>
              <w:right w:val="nil"/>
              <w:tl2br w:val="nil"/>
              <w:tr2bl w:val="nil"/>
            </w:tcBorders>
            <w:tcMar>
              <w:left w:w="60" w:type="dxa"/>
              <w:right w:w="60" w:type="dxa"/>
            </w:tcMar>
            <w:vAlign w:val="center"/>
          </w:tcPr>
          <w:p w14:paraId="2F6A4C10"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Outside MFF</w:t>
            </w:r>
          </w:p>
        </w:tc>
        <w:tc>
          <w:tcPr>
            <w:tcW w:w="1350" w:type="dxa"/>
            <w:tcBorders>
              <w:top w:val="nil"/>
              <w:left w:val="nil"/>
              <w:bottom w:val="nil"/>
              <w:right w:val="nil"/>
              <w:tl2br w:val="nil"/>
              <w:tr2bl w:val="nil"/>
            </w:tcBorders>
            <w:tcMar>
              <w:left w:w="60" w:type="dxa"/>
              <w:right w:w="60" w:type="dxa"/>
            </w:tcMar>
            <w:vAlign w:val="center"/>
          </w:tcPr>
          <w:p w14:paraId="1BF4E159"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3 274</w:t>
            </w:r>
          </w:p>
        </w:tc>
        <w:tc>
          <w:tcPr>
            <w:tcW w:w="1350" w:type="dxa"/>
            <w:tcBorders>
              <w:top w:val="nil"/>
              <w:left w:val="nil"/>
              <w:bottom w:val="nil"/>
              <w:right w:val="nil"/>
              <w:tl2br w:val="nil"/>
              <w:tr2bl w:val="nil"/>
            </w:tcBorders>
            <w:tcMar>
              <w:left w:w="60" w:type="dxa"/>
              <w:right w:w="60" w:type="dxa"/>
            </w:tcMar>
            <w:vAlign w:val="center"/>
          </w:tcPr>
          <w:p w14:paraId="1C75DD83"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2 805</w:t>
            </w:r>
          </w:p>
        </w:tc>
        <w:tc>
          <w:tcPr>
            <w:tcW w:w="1350" w:type="dxa"/>
            <w:tcBorders>
              <w:top w:val="nil"/>
              <w:left w:val="nil"/>
              <w:bottom w:val="nil"/>
              <w:right w:val="nil"/>
              <w:tl2br w:val="nil"/>
              <w:tr2bl w:val="nil"/>
            </w:tcBorders>
            <w:tcMar>
              <w:left w:w="60" w:type="dxa"/>
              <w:right w:w="60" w:type="dxa"/>
            </w:tcMar>
            <w:vAlign w:val="center"/>
          </w:tcPr>
          <w:p w14:paraId="70BFBDAF"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15 994</w:t>
            </w:r>
          </w:p>
        </w:tc>
        <w:tc>
          <w:tcPr>
            <w:tcW w:w="960" w:type="dxa"/>
            <w:tcBorders>
              <w:top w:val="nil"/>
              <w:left w:val="nil"/>
              <w:bottom w:val="nil"/>
              <w:right w:val="nil"/>
              <w:tl2br w:val="nil"/>
              <w:tr2bl w:val="nil"/>
            </w:tcBorders>
            <w:tcMar>
              <w:left w:w="60" w:type="dxa"/>
              <w:right w:w="60" w:type="dxa"/>
            </w:tcMar>
            <w:vAlign w:val="center"/>
          </w:tcPr>
          <w:p w14:paraId="06DCCD47" w14:textId="77777777" w:rsidR="00807FFE" w:rsidRDefault="00023E71">
            <w:pPr>
              <w:pStyle w:val="DMETW36691BIPStatementofcomparisonPayments"/>
              <w:jc w:val="right"/>
              <w:rPr>
                <w:rFonts w:ascii="Verdana" w:eastAsia="Verdana" w:hAnsi="Verdana" w:cs="Verdana"/>
                <w:noProof/>
                <w:color w:val="000000"/>
                <w:sz w:val="16"/>
                <w:lang w:bidi="en-GB"/>
              </w:rPr>
            </w:pPr>
            <w:r>
              <w:rPr>
                <w:rFonts w:ascii="Verdana" w:eastAsia="Verdana" w:hAnsi="Verdana" w:cs="Verdana"/>
                <w:noProof/>
                <w:color w:val="000000"/>
                <w:sz w:val="16"/>
              </w:rPr>
              <w:t>2 319</w:t>
            </w:r>
          </w:p>
        </w:tc>
      </w:tr>
      <w:tr w:rsidR="00807FFE" w14:paraId="3E5C6B57" w14:textId="77777777">
        <w:trPr>
          <w:trHeight w:val="255"/>
        </w:trPr>
        <w:tc>
          <w:tcPr>
            <w:tcW w:w="1035" w:type="dxa"/>
            <w:tcBorders>
              <w:top w:val="nil"/>
              <w:left w:val="nil"/>
              <w:bottom w:val="nil"/>
              <w:right w:val="nil"/>
              <w:tl2br w:val="nil"/>
              <w:tr2bl w:val="nil"/>
            </w:tcBorders>
            <w:tcMar>
              <w:left w:w="60" w:type="dxa"/>
              <w:right w:w="60" w:type="dxa"/>
            </w:tcMar>
            <w:vAlign w:val="center"/>
          </w:tcPr>
          <w:p w14:paraId="4137CF80" w14:textId="77777777" w:rsidR="00807FFE" w:rsidRDefault="00023E71">
            <w:pPr>
              <w:pStyle w:val="DMETW36691BIPStatementofcomparisonPayments"/>
              <w:rPr>
                <w:rFonts w:ascii="Verdana" w:eastAsia="Verdana" w:hAnsi="Verdana" w:cs="Verdana"/>
                <w:noProof/>
                <w:color w:val="000000"/>
                <w:sz w:val="16"/>
              </w:rPr>
            </w:pPr>
            <w:r>
              <w:rPr>
                <w:rFonts w:ascii="Verdana" w:eastAsia="Verdana" w:hAnsi="Verdana" w:cs="Verdana"/>
                <w:noProof/>
                <w:color w:val="000000"/>
                <w:sz w:val="16"/>
              </w:rPr>
              <w:t>S</w:t>
            </w:r>
          </w:p>
        </w:tc>
        <w:tc>
          <w:tcPr>
            <w:tcW w:w="4575" w:type="dxa"/>
            <w:tcBorders>
              <w:top w:val="nil"/>
              <w:left w:val="nil"/>
              <w:bottom w:val="nil"/>
              <w:right w:val="nil"/>
              <w:tl2br w:val="nil"/>
              <w:tr2bl w:val="nil"/>
            </w:tcBorders>
            <w:tcMar>
              <w:left w:w="60" w:type="dxa"/>
              <w:right w:w="60" w:type="dxa"/>
            </w:tcMar>
            <w:vAlign w:val="center"/>
          </w:tcPr>
          <w:p w14:paraId="1520374C"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Solidarity mechanisms within and outside the Union (Special instruments)</w:t>
            </w:r>
          </w:p>
        </w:tc>
        <w:tc>
          <w:tcPr>
            <w:tcW w:w="1350" w:type="dxa"/>
            <w:tcBorders>
              <w:top w:val="nil"/>
              <w:left w:val="nil"/>
              <w:bottom w:val="nil"/>
              <w:right w:val="nil"/>
              <w:tl2br w:val="nil"/>
              <w:tr2bl w:val="nil"/>
            </w:tcBorders>
            <w:tcMar>
              <w:left w:w="60" w:type="dxa"/>
              <w:right w:w="60" w:type="dxa"/>
            </w:tcMar>
            <w:vAlign w:val="center"/>
          </w:tcPr>
          <w:p w14:paraId="0FF61144"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2 320</w:t>
            </w:r>
          </w:p>
        </w:tc>
        <w:tc>
          <w:tcPr>
            <w:tcW w:w="1350" w:type="dxa"/>
            <w:tcBorders>
              <w:top w:val="nil"/>
              <w:left w:val="nil"/>
              <w:bottom w:val="nil"/>
              <w:right w:val="nil"/>
              <w:tl2br w:val="nil"/>
              <w:tr2bl w:val="nil"/>
            </w:tcBorders>
            <w:tcMar>
              <w:left w:w="60" w:type="dxa"/>
              <w:right w:w="60" w:type="dxa"/>
            </w:tcMar>
            <w:vAlign w:val="center"/>
          </w:tcPr>
          <w:p w14:paraId="6E010916"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1 744</w:t>
            </w:r>
          </w:p>
        </w:tc>
        <w:tc>
          <w:tcPr>
            <w:tcW w:w="1350" w:type="dxa"/>
            <w:tcBorders>
              <w:top w:val="nil"/>
              <w:left w:val="nil"/>
              <w:bottom w:val="nil"/>
              <w:right w:val="nil"/>
              <w:tl2br w:val="nil"/>
              <w:tr2bl w:val="nil"/>
            </w:tcBorders>
            <w:tcMar>
              <w:left w:w="60" w:type="dxa"/>
              <w:right w:w="60" w:type="dxa"/>
            </w:tcMar>
            <w:vAlign w:val="center"/>
          </w:tcPr>
          <w:p w14:paraId="38C6715A" w14:textId="77777777" w:rsidR="00807FFE" w:rsidRDefault="00023E71">
            <w:pPr>
              <w:pStyle w:val="DMETW36691BIPStatementofcomparisonPayments"/>
              <w:jc w:val="right"/>
              <w:rPr>
                <w:rFonts w:ascii="Verdana" w:eastAsia="Verdana" w:hAnsi="Verdana" w:cs="Verdana"/>
                <w:noProof/>
                <w:color w:val="000000"/>
                <w:sz w:val="16"/>
              </w:rPr>
            </w:pPr>
            <w:r>
              <w:rPr>
                <w:rFonts w:ascii="Verdana" w:eastAsia="Verdana" w:hAnsi="Verdana" w:cs="Verdana"/>
                <w:noProof/>
                <w:color w:val="000000"/>
                <w:sz w:val="16"/>
              </w:rPr>
              <w:t>2 063</w:t>
            </w:r>
          </w:p>
        </w:tc>
        <w:tc>
          <w:tcPr>
            <w:tcW w:w="960" w:type="dxa"/>
            <w:tcBorders>
              <w:top w:val="nil"/>
              <w:left w:val="nil"/>
              <w:bottom w:val="nil"/>
              <w:right w:val="nil"/>
              <w:tl2br w:val="nil"/>
              <w:tr2bl w:val="nil"/>
            </w:tcBorders>
            <w:tcMar>
              <w:left w:w="60" w:type="dxa"/>
              <w:right w:w="60" w:type="dxa"/>
            </w:tcMar>
            <w:vAlign w:val="center"/>
          </w:tcPr>
          <w:p w14:paraId="2FF753F3" w14:textId="77777777" w:rsidR="00807FFE" w:rsidRDefault="00023E71">
            <w:pPr>
              <w:pStyle w:val="DMETW36691BIPStatementofcomparisonPayments"/>
              <w:jc w:val="right"/>
              <w:rPr>
                <w:rFonts w:ascii="Verdana" w:eastAsia="Verdana" w:hAnsi="Verdana" w:cs="Verdana"/>
                <w:noProof/>
                <w:color w:val="000000"/>
                <w:sz w:val="16"/>
                <w:lang w:bidi="en-GB"/>
              </w:rPr>
            </w:pPr>
            <w:r>
              <w:rPr>
                <w:rFonts w:ascii="Verdana" w:eastAsia="Verdana" w:hAnsi="Verdana" w:cs="Verdana"/>
                <w:noProof/>
                <w:color w:val="000000"/>
                <w:sz w:val="16"/>
              </w:rPr>
              <w:t>1 048</w:t>
            </w:r>
          </w:p>
        </w:tc>
      </w:tr>
      <w:tr w:rsidR="00807FFE" w14:paraId="174F136C" w14:textId="77777777">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14:paraId="7A8ECF2E" w14:textId="77777777" w:rsidR="00807FFE" w:rsidRDefault="00807FFE">
            <w:pPr>
              <w:pStyle w:val="DMETW36691BIPStatementofcomparisonPayments"/>
              <w:rPr>
                <w:rFonts w:ascii="Verdana" w:eastAsia="Verdana" w:hAnsi="Verdana" w:cs="Verdana"/>
                <w:b/>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14:paraId="53AF0B1A" w14:textId="77777777" w:rsidR="00807FFE" w:rsidRDefault="00023E71">
            <w:pPr>
              <w:pStyle w:val="DMETW36691BIPStatementofcomparisonPayments"/>
              <w:jc w:val="right"/>
              <w:rPr>
                <w:rFonts w:ascii="Verdana" w:eastAsia="Verdana" w:hAnsi="Verdana" w:cs="Verdana"/>
                <w:b/>
                <w:noProof/>
                <w:color w:val="000000"/>
                <w:sz w:val="16"/>
              </w:rPr>
            </w:pPr>
            <w:r>
              <w:rPr>
                <w:rFonts w:ascii="Verdana" w:eastAsia="Verdana" w:hAnsi="Verdana" w:cs="Verdana"/>
                <w:b/>
                <w:noProof/>
                <w:color w:val="000000"/>
                <w:sz w:val="16"/>
              </w:rPr>
              <w:t>Total</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7D49B3CA" w14:textId="77777777" w:rsidR="00807FFE" w:rsidRDefault="00023E71">
            <w:pPr>
              <w:pStyle w:val="DMETW36691BIPStatementofcomparisonPayments"/>
              <w:jc w:val="right"/>
              <w:rPr>
                <w:rFonts w:ascii="Verdana" w:eastAsia="Verdana" w:hAnsi="Verdana" w:cs="Verdana"/>
                <w:b/>
                <w:noProof/>
                <w:color w:val="000000"/>
                <w:sz w:val="16"/>
              </w:rPr>
            </w:pPr>
            <w:r>
              <w:rPr>
                <w:rFonts w:ascii="Verdana" w:eastAsia="Verdana" w:hAnsi="Verdana" w:cs="Verdana"/>
                <w:b/>
                <w:noProof/>
                <w:color w:val="000000"/>
                <w:sz w:val="16"/>
              </w:rPr>
              <w:t>155 209</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0F835A4D" w14:textId="77777777" w:rsidR="00807FFE" w:rsidRDefault="00023E71">
            <w:pPr>
              <w:pStyle w:val="DMETW36691BIPStatementofcomparisonPayments"/>
              <w:jc w:val="right"/>
              <w:rPr>
                <w:rFonts w:ascii="Verdana" w:eastAsia="Verdana" w:hAnsi="Verdana" w:cs="Verdana"/>
                <w:b/>
                <w:noProof/>
                <w:color w:val="000000"/>
                <w:sz w:val="16"/>
              </w:rPr>
            </w:pPr>
            <w:r>
              <w:rPr>
                <w:rFonts w:ascii="Verdana" w:eastAsia="Verdana" w:hAnsi="Verdana" w:cs="Verdana"/>
                <w:b/>
                <w:noProof/>
                <w:color w:val="000000"/>
                <w:sz w:val="16"/>
              </w:rPr>
              <w:t>161 163</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3D2BF0A6" w14:textId="77777777" w:rsidR="00807FFE" w:rsidRDefault="00023E71">
            <w:pPr>
              <w:pStyle w:val="DMETW36691BIPStatementofcomparisonPayments"/>
              <w:jc w:val="right"/>
              <w:rPr>
                <w:rFonts w:ascii="Verdana" w:eastAsia="Verdana" w:hAnsi="Verdana" w:cs="Verdana"/>
                <w:b/>
                <w:noProof/>
                <w:color w:val="000000"/>
                <w:sz w:val="16"/>
              </w:rPr>
            </w:pPr>
            <w:r>
              <w:rPr>
                <w:rFonts w:ascii="Verdana" w:eastAsia="Verdana" w:hAnsi="Verdana" w:cs="Verdana"/>
                <w:b/>
                <w:noProof/>
                <w:color w:val="000000"/>
                <w:sz w:val="16"/>
              </w:rPr>
              <w:t>250 956</w:t>
            </w:r>
          </w:p>
        </w:tc>
        <w:tc>
          <w:tcPr>
            <w:tcW w:w="960" w:type="dxa"/>
            <w:tcBorders>
              <w:top w:val="nil"/>
              <w:left w:val="nil"/>
              <w:bottom w:val="nil"/>
              <w:right w:val="nil"/>
              <w:tl2br w:val="nil"/>
              <w:tr2bl w:val="nil"/>
            </w:tcBorders>
            <w:shd w:val="solid" w:color="CCE1EB" w:fill="FFFFFF"/>
            <w:tcMar>
              <w:left w:w="60" w:type="dxa"/>
              <w:right w:w="60" w:type="dxa"/>
            </w:tcMar>
            <w:vAlign w:val="center"/>
          </w:tcPr>
          <w:p w14:paraId="59BBDE61" w14:textId="77777777" w:rsidR="00807FFE" w:rsidRDefault="00023E71">
            <w:pPr>
              <w:pStyle w:val="DMETW36691BIPStatementofcomparisonPayments"/>
              <w:jc w:val="right"/>
              <w:rPr>
                <w:rFonts w:ascii="Verdana" w:eastAsia="Verdana" w:hAnsi="Verdana" w:cs="Verdana"/>
                <w:b/>
                <w:noProof/>
                <w:color w:val="000000"/>
                <w:sz w:val="16"/>
                <w:lang w:bidi="en-GB"/>
              </w:rPr>
            </w:pPr>
            <w:r>
              <w:rPr>
                <w:rFonts w:ascii="Verdana" w:eastAsia="Verdana" w:hAnsi="Verdana" w:cs="Verdana"/>
                <w:b/>
                <w:noProof/>
                <w:color w:val="000000"/>
                <w:sz w:val="16"/>
              </w:rPr>
              <w:t>216 373</w:t>
            </w:r>
          </w:p>
        </w:tc>
      </w:tr>
      <w:tr w:rsidR="00807FFE" w14:paraId="5BAC4F6F" w14:textId="77777777">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14:paraId="4FA8C417" w14:textId="77777777" w:rsidR="00807FFE" w:rsidRDefault="00807FFE">
            <w:pPr>
              <w:pStyle w:val="DMETW36691BIPStatementofcomparisonPayments"/>
              <w:rPr>
                <w:rFonts w:ascii="Verdana" w:eastAsia="Verdana" w:hAnsi="Verdana" w:cs="Verdana"/>
                <w:i/>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14:paraId="1877867E"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 xml:space="preserve">     of which Next Generation EU (NGEU)</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3C6F44F9"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13B5DCF3"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14:paraId="42EA1D9C"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43 760</w:t>
            </w:r>
          </w:p>
        </w:tc>
        <w:tc>
          <w:tcPr>
            <w:tcW w:w="960" w:type="dxa"/>
            <w:tcBorders>
              <w:top w:val="nil"/>
              <w:left w:val="nil"/>
              <w:bottom w:val="nil"/>
              <w:right w:val="nil"/>
              <w:tl2br w:val="nil"/>
              <w:tr2bl w:val="nil"/>
            </w:tcBorders>
            <w:shd w:val="solid" w:color="CCE1EB" w:fill="FFFFFF"/>
            <w:tcMar>
              <w:left w:w="60" w:type="dxa"/>
              <w:right w:w="60" w:type="dxa"/>
            </w:tcMar>
            <w:vAlign w:val="center"/>
          </w:tcPr>
          <w:p w14:paraId="2A7EC084" w14:textId="77777777" w:rsidR="00807FFE" w:rsidRDefault="00023E71">
            <w:pPr>
              <w:pStyle w:val="DMETW36691BIPStatementofcomparisonPayments"/>
              <w:jc w:val="right"/>
              <w:rPr>
                <w:rFonts w:ascii="Verdana" w:eastAsia="Verdana" w:hAnsi="Verdana" w:cs="Verdana"/>
                <w:i/>
                <w:noProof/>
                <w:color w:val="000000"/>
                <w:sz w:val="16"/>
              </w:rPr>
            </w:pPr>
            <w:r>
              <w:rPr>
                <w:rFonts w:ascii="Verdana" w:eastAsia="Verdana" w:hAnsi="Verdana" w:cs="Verdana"/>
                <w:i/>
                <w:noProof/>
                <w:color w:val="000000"/>
                <w:sz w:val="16"/>
              </w:rPr>
              <w:t>41 739</w:t>
            </w:r>
          </w:p>
        </w:tc>
      </w:tr>
      <w:bookmarkEnd w:id="254"/>
    </w:tbl>
    <w:p w14:paraId="7C703A19" w14:textId="77777777" w:rsidR="001E4994" w:rsidRPr="00A20CC1" w:rsidRDefault="001E4994" w:rsidP="0086184C">
      <w:pPr>
        <w:pStyle w:val="Textstand-alone"/>
        <w:sectPr w:rsidR="001E4994" w:rsidRPr="00A20CC1">
          <w:headerReference w:type="default" r:id="rId149"/>
          <w:footerReference w:type="default" r:id="rId150"/>
          <w:pgSz w:w="11907" w:h="16840"/>
          <w:pgMar w:top="1134" w:right="1134" w:bottom="1134" w:left="1134" w:header="709" w:footer="709" w:gutter="0"/>
          <w:cols w:space="708"/>
          <w:docGrid w:linePitch="360"/>
        </w:sectPr>
      </w:pPr>
    </w:p>
    <w:p w14:paraId="7871DD0C" w14:textId="77777777" w:rsidR="009D707B" w:rsidRPr="000C567C" w:rsidRDefault="00023E71" w:rsidP="009D707B">
      <w:pPr>
        <w:pStyle w:val="HEADER1PartBUDG"/>
        <w:rPr>
          <w:noProof/>
          <w:lang w:val="en-IE"/>
        </w:rPr>
      </w:pPr>
      <w:bookmarkStart w:id="261" w:name="_Toc177134509"/>
      <w:bookmarkStart w:id="262" w:name="_Toc232674377"/>
      <w:bookmarkStart w:id="263" w:name="_DMBM_36737"/>
      <w:r w:rsidRPr="000C567C">
        <w:rPr>
          <w:noProof/>
          <w:lang w:val="en-IE"/>
        </w:rPr>
        <w:t>NOTES TO THE BUDGETARY IMPLEMENTATION REPORTS</w:t>
      </w:r>
      <w:bookmarkEnd w:id="261"/>
      <w:bookmarkEnd w:id="262"/>
      <w:r w:rsidRPr="000C567C">
        <w:rPr>
          <w:noProof/>
          <w:lang w:val="en-IE"/>
        </w:rPr>
        <w:t xml:space="preserve"> </w:t>
      </w:r>
    </w:p>
    <w:p w14:paraId="4339FAE3" w14:textId="77777777" w:rsidR="009D707B" w:rsidRPr="00C41F25" w:rsidRDefault="00023E71" w:rsidP="009D707B">
      <w:pPr>
        <w:pStyle w:val="HEADER2PartBUDG"/>
        <w:rPr>
          <w:noProof/>
        </w:rPr>
      </w:pPr>
      <w:bookmarkStart w:id="264" w:name="_Toc177134510"/>
      <w:bookmarkStart w:id="265" w:name="_Toc232674378"/>
      <w:r w:rsidRPr="00C41F25">
        <w:rPr>
          <w:noProof/>
        </w:rPr>
        <w:t>THE EU BUDGET FRAMEWORK</w:t>
      </w:r>
      <w:bookmarkEnd w:id="264"/>
      <w:bookmarkEnd w:id="265"/>
    </w:p>
    <w:p w14:paraId="225AB51A" w14:textId="77777777" w:rsidR="002F2D59" w:rsidRPr="00305D5C" w:rsidRDefault="00023E71" w:rsidP="002F2D59">
      <w:pPr>
        <w:pStyle w:val="Textstand-alone"/>
      </w:pPr>
      <w:bookmarkStart w:id="266" w:name="_Hlk183003134"/>
      <w:r w:rsidRPr="006248E9">
        <w:t>The budgetary accounts are kept in accordance with the Financial Regulation (FR). The general budget is the instrument which provides for and authorises the Union's revenue and expenditure every year, within the ceilings and other provisions laid down in the MFF in line with the legislative acts concerning multiannual programmes adopted under that framework</w:t>
      </w:r>
      <w:r>
        <w:t>.</w:t>
      </w:r>
    </w:p>
    <w:p w14:paraId="0CE269BC" w14:textId="77777777" w:rsidR="002F2D59" w:rsidRPr="00305D5C" w:rsidRDefault="00023E71" w:rsidP="002F2D59">
      <w:pPr>
        <w:pStyle w:val="HEADER2PartBUDG"/>
        <w:rPr>
          <w:noProof/>
        </w:rPr>
      </w:pPr>
      <w:bookmarkStart w:id="267" w:name="_Toc177134511"/>
      <w:bookmarkStart w:id="268" w:name="_Toc200103451"/>
      <w:bookmarkStart w:id="269" w:name="_Toc232674379"/>
      <w:bookmarkEnd w:id="266"/>
      <w:r w:rsidRPr="00305D5C">
        <w:rPr>
          <w:noProof/>
        </w:rPr>
        <w:t xml:space="preserve">MULTIANNUAL FINANCIAL FRAMEWORK </w:t>
      </w:r>
      <w:r>
        <w:rPr>
          <w:noProof/>
        </w:rPr>
        <w:t>2021-2027</w:t>
      </w:r>
      <w:bookmarkEnd w:id="267"/>
      <w:bookmarkEnd w:id="268"/>
      <w:bookmarkEnd w:id="26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961"/>
        <w:gridCol w:w="960"/>
        <w:gridCol w:w="960"/>
        <w:gridCol w:w="960"/>
        <w:gridCol w:w="960"/>
        <w:gridCol w:w="960"/>
        <w:gridCol w:w="962"/>
        <w:gridCol w:w="1114"/>
      </w:tblGrid>
      <w:tr w:rsidR="00807FFE" w14:paraId="270DAA1A" w14:textId="77777777" w:rsidTr="00391799">
        <w:trPr>
          <w:cantSplit/>
          <w:trHeight w:val="369"/>
          <w:jc w:val="center"/>
        </w:trPr>
        <w:tc>
          <w:tcPr>
            <w:tcW w:w="5000" w:type="pct"/>
            <w:gridSpan w:val="9"/>
            <w:tcBorders>
              <w:top w:val="nil"/>
              <w:left w:val="nil"/>
              <w:bottom w:val="nil"/>
              <w:right w:val="nil"/>
              <w:tl2br w:val="nil"/>
              <w:tr2bl w:val="nil"/>
            </w:tcBorders>
            <w:tcMar>
              <w:left w:w="60" w:type="dxa"/>
              <w:right w:w="60" w:type="dxa"/>
            </w:tcMar>
            <w:vAlign w:val="center"/>
          </w:tcPr>
          <w:p w14:paraId="64FF091E" w14:textId="77777777" w:rsidR="002F2D59" w:rsidRPr="002543D6" w:rsidRDefault="00023E71" w:rsidP="00391799">
            <w:pPr>
              <w:pStyle w:val="DMETW22324BIPFinancialFWK20142020"/>
              <w:jc w:val="right"/>
              <w:rPr>
                <w:rFonts w:ascii="Verdana" w:eastAsia="Verdana" w:hAnsi="Verdana" w:cs="Verdana"/>
                <w:i/>
                <w:noProof/>
                <w:color w:val="000000"/>
                <w:sz w:val="16"/>
                <w:lang w:bidi="en-GB"/>
              </w:rPr>
            </w:pPr>
            <w:r w:rsidRPr="002543D6">
              <w:rPr>
                <w:rFonts w:ascii="Verdana" w:eastAsia="Verdana" w:hAnsi="Verdana" w:cs="Verdana"/>
                <w:i/>
                <w:noProof/>
                <w:color w:val="000000"/>
                <w:sz w:val="16"/>
              </w:rPr>
              <w:t>EUR million</w:t>
            </w:r>
            <w:r>
              <w:rPr>
                <w:rFonts w:ascii="Verdana" w:eastAsia="Verdana" w:hAnsi="Verdana" w:cs="Verdana"/>
                <w:i/>
                <w:noProof/>
                <w:color w:val="000000"/>
                <w:sz w:val="16"/>
              </w:rPr>
              <w:t xml:space="preserve"> </w:t>
            </w:r>
            <w:r w:rsidRPr="002543D6">
              <w:rPr>
                <w:rFonts w:ascii="Verdana" w:eastAsia="Verdana" w:hAnsi="Verdana" w:cs="Verdana"/>
                <w:i/>
                <w:noProof/>
                <w:color w:val="000000"/>
                <w:sz w:val="16"/>
              </w:rPr>
              <w:t>in current prices</w:t>
            </w:r>
          </w:p>
        </w:tc>
      </w:tr>
      <w:tr w:rsidR="00807FFE" w14:paraId="76EE92D5" w14:textId="77777777" w:rsidTr="00391799">
        <w:trPr>
          <w:cantSplit/>
          <w:trHeight w:val="369"/>
          <w:jc w:val="center"/>
        </w:trPr>
        <w:tc>
          <w:tcPr>
            <w:tcW w:w="984" w:type="pct"/>
            <w:tcBorders>
              <w:top w:val="nil"/>
              <w:left w:val="nil"/>
              <w:bottom w:val="nil"/>
              <w:right w:val="nil"/>
              <w:tl2br w:val="nil"/>
              <w:tr2bl w:val="nil"/>
            </w:tcBorders>
            <w:shd w:val="solid" w:color="006996" w:fill="FFFFFF"/>
            <w:tcMar>
              <w:left w:w="60" w:type="dxa"/>
              <w:right w:w="60" w:type="dxa"/>
            </w:tcMar>
          </w:tcPr>
          <w:p w14:paraId="524377FE" w14:textId="77777777" w:rsidR="002F2D59" w:rsidRPr="00A95679" w:rsidRDefault="002F2D59" w:rsidP="00391799">
            <w:pPr>
              <w:pStyle w:val="DMETW22324BIPFinancialFWK20142020"/>
              <w:jc w:val="center"/>
              <w:rPr>
                <w:rFonts w:ascii="Verdana" w:eastAsia="Verdana" w:hAnsi="Verdana" w:cs="Verdana"/>
                <w:noProof/>
                <w:color w:val="FFFFFF" w:themeColor="background1"/>
                <w:sz w:val="16"/>
              </w:rPr>
            </w:pPr>
          </w:p>
        </w:tc>
        <w:tc>
          <w:tcPr>
            <w:tcW w:w="492" w:type="pct"/>
            <w:tcBorders>
              <w:top w:val="nil"/>
              <w:left w:val="nil"/>
              <w:bottom w:val="nil"/>
              <w:right w:val="nil"/>
              <w:tl2br w:val="nil"/>
              <w:tr2bl w:val="nil"/>
            </w:tcBorders>
            <w:shd w:val="solid" w:color="006996" w:fill="FFFFFF"/>
            <w:tcMar>
              <w:left w:w="60" w:type="dxa"/>
              <w:right w:w="60" w:type="dxa"/>
            </w:tcMar>
          </w:tcPr>
          <w:p w14:paraId="015F2F3B" w14:textId="77777777" w:rsidR="002F2D59" w:rsidRPr="00A95679" w:rsidRDefault="00023E71" w:rsidP="00391799">
            <w:pPr>
              <w:pStyle w:val="DMETW22324BIPFinancialFWK20142020"/>
              <w:jc w:val="center"/>
              <w:rPr>
                <w:rFonts w:ascii="Verdana" w:eastAsia="Verdana" w:hAnsi="Verdana" w:cs="Verdana"/>
                <w:noProof/>
                <w:color w:val="FFFFFF" w:themeColor="background1"/>
                <w:sz w:val="16"/>
              </w:rPr>
            </w:pPr>
            <w:r w:rsidRPr="00A95679">
              <w:rPr>
                <w:noProof/>
                <w:color w:val="FFFFFF" w:themeColor="background1"/>
              </w:rPr>
              <w:t>2021</w:t>
            </w:r>
          </w:p>
        </w:tc>
        <w:tc>
          <w:tcPr>
            <w:tcW w:w="492" w:type="pct"/>
            <w:tcBorders>
              <w:top w:val="nil"/>
              <w:left w:val="nil"/>
              <w:bottom w:val="nil"/>
              <w:right w:val="nil"/>
              <w:tl2br w:val="nil"/>
              <w:tr2bl w:val="nil"/>
            </w:tcBorders>
            <w:shd w:val="solid" w:color="006996" w:fill="FFFFFF"/>
            <w:tcMar>
              <w:left w:w="60" w:type="dxa"/>
              <w:right w:w="60" w:type="dxa"/>
            </w:tcMar>
          </w:tcPr>
          <w:p w14:paraId="3BA3A9C0" w14:textId="77777777" w:rsidR="002F2D59" w:rsidRPr="00A95679" w:rsidRDefault="00023E71" w:rsidP="00391799">
            <w:pPr>
              <w:pStyle w:val="DMETW22324BIPFinancialFWK20142020"/>
              <w:jc w:val="center"/>
              <w:rPr>
                <w:rFonts w:ascii="Verdana" w:eastAsia="Verdana" w:hAnsi="Verdana" w:cs="Verdana"/>
                <w:noProof/>
                <w:color w:val="FFFFFF" w:themeColor="background1"/>
                <w:sz w:val="16"/>
              </w:rPr>
            </w:pPr>
            <w:r w:rsidRPr="00A95679">
              <w:rPr>
                <w:noProof/>
                <w:color w:val="FFFFFF" w:themeColor="background1"/>
              </w:rPr>
              <w:t>2022</w:t>
            </w:r>
          </w:p>
        </w:tc>
        <w:tc>
          <w:tcPr>
            <w:tcW w:w="492" w:type="pct"/>
            <w:tcBorders>
              <w:top w:val="nil"/>
              <w:left w:val="nil"/>
              <w:bottom w:val="nil"/>
              <w:right w:val="nil"/>
              <w:tl2br w:val="nil"/>
              <w:tr2bl w:val="nil"/>
            </w:tcBorders>
            <w:shd w:val="solid" w:color="006996" w:fill="FFFFFF"/>
            <w:tcMar>
              <w:left w:w="60" w:type="dxa"/>
              <w:right w:w="60" w:type="dxa"/>
            </w:tcMar>
          </w:tcPr>
          <w:p w14:paraId="10B3F0E3" w14:textId="77777777" w:rsidR="002F2D59" w:rsidRPr="00A95679" w:rsidRDefault="00023E71" w:rsidP="00391799">
            <w:pPr>
              <w:pStyle w:val="DMETW22324BIPFinancialFWK20142020"/>
              <w:jc w:val="center"/>
              <w:rPr>
                <w:rFonts w:ascii="Verdana" w:eastAsia="Verdana" w:hAnsi="Verdana" w:cs="Verdana"/>
                <w:noProof/>
                <w:color w:val="FFFFFF" w:themeColor="background1"/>
                <w:sz w:val="16"/>
              </w:rPr>
            </w:pPr>
            <w:r w:rsidRPr="00A95679">
              <w:rPr>
                <w:noProof/>
                <w:color w:val="FFFFFF" w:themeColor="background1"/>
              </w:rPr>
              <w:t>2023</w:t>
            </w:r>
          </w:p>
        </w:tc>
        <w:tc>
          <w:tcPr>
            <w:tcW w:w="492" w:type="pct"/>
            <w:tcBorders>
              <w:top w:val="nil"/>
              <w:left w:val="nil"/>
              <w:bottom w:val="nil"/>
              <w:right w:val="nil"/>
              <w:tl2br w:val="nil"/>
              <w:tr2bl w:val="nil"/>
            </w:tcBorders>
            <w:shd w:val="solid" w:color="006996" w:fill="FFFFFF"/>
            <w:tcMar>
              <w:left w:w="60" w:type="dxa"/>
              <w:right w:w="60" w:type="dxa"/>
            </w:tcMar>
          </w:tcPr>
          <w:p w14:paraId="622CF401" w14:textId="77777777" w:rsidR="002F2D59" w:rsidRPr="00A95679" w:rsidRDefault="00023E71" w:rsidP="00391799">
            <w:pPr>
              <w:pStyle w:val="DMETW22324BIPFinancialFWK20142020"/>
              <w:jc w:val="center"/>
              <w:rPr>
                <w:rFonts w:ascii="Verdana" w:eastAsia="Verdana" w:hAnsi="Verdana" w:cs="Verdana"/>
                <w:noProof/>
                <w:color w:val="FFFFFF" w:themeColor="background1"/>
                <w:sz w:val="16"/>
              </w:rPr>
            </w:pPr>
            <w:r w:rsidRPr="00A95679">
              <w:rPr>
                <w:noProof/>
                <w:color w:val="FFFFFF" w:themeColor="background1"/>
              </w:rPr>
              <w:t>2024</w:t>
            </w:r>
          </w:p>
        </w:tc>
        <w:tc>
          <w:tcPr>
            <w:tcW w:w="492" w:type="pct"/>
            <w:tcBorders>
              <w:top w:val="nil"/>
              <w:left w:val="nil"/>
              <w:bottom w:val="nil"/>
              <w:right w:val="nil"/>
              <w:tl2br w:val="nil"/>
              <w:tr2bl w:val="nil"/>
            </w:tcBorders>
            <w:shd w:val="solid" w:color="006996" w:fill="FFFFFF"/>
            <w:tcMar>
              <w:left w:w="60" w:type="dxa"/>
              <w:right w:w="60" w:type="dxa"/>
            </w:tcMar>
          </w:tcPr>
          <w:p w14:paraId="7199A566" w14:textId="77777777" w:rsidR="002F2D59" w:rsidRPr="00A95679" w:rsidRDefault="00023E71" w:rsidP="00391799">
            <w:pPr>
              <w:pStyle w:val="DMETW22324BIPFinancialFWK20142020"/>
              <w:jc w:val="center"/>
              <w:rPr>
                <w:rFonts w:ascii="Verdana" w:eastAsia="Verdana" w:hAnsi="Verdana" w:cs="Verdana"/>
                <w:noProof/>
                <w:color w:val="FFFFFF" w:themeColor="background1"/>
                <w:sz w:val="16"/>
              </w:rPr>
            </w:pPr>
            <w:r w:rsidRPr="00A95679">
              <w:rPr>
                <w:noProof/>
                <w:color w:val="FFFFFF" w:themeColor="background1"/>
              </w:rPr>
              <w:t>2025</w:t>
            </w:r>
          </w:p>
        </w:tc>
        <w:tc>
          <w:tcPr>
            <w:tcW w:w="492" w:type="pct"/>
            <w:tcBorders>
              <w:top w:val="nil"/>
              <w:left w:val="nil"/>
              <w:bottom w:val="nil"/>
              <w:right w:val="nil"/>
              <w:tl2br w:val="nil"/>
              <w:tr2bl w:val="nil"/>
            </w:tcBorders>
            <w:shd w:val="solid" w:color="006996" w:fill="FFFFFF"/>
            <w:tcMar>
              <w:left w:w="60" w:type="dxa"/>
              <w:right w:w="60" w:type="dxa"/>
            </w:tcMar>
          </w:tcPr>
          <w:p w14:paraId="2E6B2E7F" w14:textId="77777777" w:rsidR="002F2D59" w:rsidRPr="00A95679" w:rsidRDefault="00023E71" w:rsidP="00391799">
            <w:pPr>
              <w:pStyle w:val="DMETW22324BIPFinancialFWK20142020"/>
              <w:jc w:val="center"/>
              <w:rPr>
                <w:rFonts w:ascii="Verdana" w:eastAsia="Verdana" w:hAnsi="Verdana" w:cs="Verdana"/>
                <w:noProof/>
                <w:color w:val="FFFFFF" w:themeColor="background1"/>
                <w:sz w:val="16"/>
              </w:rPr>
            </w:pPr>
            <w:r w:rsidRPr="00A95679">
              <w:rPr>
                <w:noProof/>
                <w:color w:val="FFFFFF" w:themeColor="background1"/>
              </w:rPr>
              <w:t>2026</w:t>
            </w:r>
          </w:p>
        </w:tc>
        <w:tc>
          <w:tcPr>
            <w:tcW w:w="493" w:type="pct"/>
            <w:tcBorders>
              <w:top w:val="nil"/>
              <w:left w:val="nil"/>
              <w:bottom w:val="nil"/>
              <w:right w:val="nil"/>
              <w:tl2br w:val="nil"/>
              <w:tr2bl w:val="nil"/>
            </w:tcBorders>
            <w:shd w:val="solid" w:color="006996" w:fill="FFFFFF"/>
            <w:tcMar>
              <w:left w:w="60" w:type="dxa"/>
              <w:right w:w="60" w:type="dxa"/>
            </w:tcMar>
          </w:tcPr>
          <w:p w14:paraId="60E37C1A" w14:textId="77777777" w:rsidR="002F2D59" w:rsidRPr="00A95679" w:rsidRDefault="00023E71" w:rsidP="00391799">
            <w:pPr>
              <w:pStyle w:val="DMETW22324BIPFinancialFWK20142020"/>
              <w:jc w:val="center"/>
              <w:rPr>
                <w:rFonts w:ascii="Verdana" w:eastAsia="Verdana" w:hAnsi="Verdana" w:cs="Verdana"/>
                <w:noProof/>
                <w:color w:val="FFFFFF" w:themeColor="background1"/>
                <w:sz w:val="16"/>
              </w:rPr>
            </w:pPr>
            <w:r w:rsidRPr="00A95679">
              <w:rPr>
                <w:noProof/>
                <w:color w:val="FFFFFF" w:themeColor="background1"/>
              </w:rPr>
              <w:t>2027</w:t>
            </w:r>
          </w:p>
        </w:tc>
        <w:tc>
          <w:tcPr>
            <w:tcW w:w="568" w:type="pct"/>
            <w:tcBorders>
              <w:top w:val="nil"/>
              <w:left w:val="nil"/>
              <w:bottom w:val="nil"/>
              <w:right w:val="nil"/>
              <w:tl2br w:val="nil"/>
              <w:tr2bl w:val="nil"/>
            </w:tcBorders>
            <w:shd w:val="solid" w:color="006996" w:fill="FFFFFF"/>
            <w:tcMar>
              <w:left w:w="60" w:type="dxa"/>
              <w:right w:w="60" w:type="dxa"/>
            </w:tcMar>
          </w:tcPr>
          <w:p w14:paraId="121CD39B" w14:textId="77777777" w:rsidR="002F2D59" w:rsidRPr="00A95679" w:rsidRDefault="00023E71" w:rsidP="00391799">
            <w:pPr>
              <w:pStyle w:val="DMETW22324BIPFinancialFWK20142020"/>
              <w:jc w:val="center"/>
              <w:rPr>
                <w:rFonts w:ascii="Verdana" w:eastAsia="Verdana" w:hAnsi="Verdana" w:cs="Verdana"/>
                <w:noProof/>
                <w:color w:val="FFFFFF" w:themeColor="background1"/>
                <w:sz w:val="16"/>
                <w:lang w:bidi="en-GB"/>
              </w:rPr>
            </w:pPr>
            <w:r w:rsidRPr="00A95679">
              <w:rPr>
                <w:noProof/>
                <w:color w:val="FFFFFF" w:themeColor="background1"/>
              </w:rPr>
              <w:t>Total</w:t>
            </w:r>
          </w:p>
        </w:tc>
      </w:tr>
      <w:tr w:rsidR="00807FFE" w14:paraId="2A266253"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3983F80E"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1. Single Market, Innovation and Digital</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6D00289"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20</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919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44FE0641"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878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6042C633"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727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7CBA8384"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598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A545BDC"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21</w:t>
            </w:r>
            <w:r>
              <w:rPr>
                <w:rFonts w:ascii="Verdana" w:eastAsia="Verdana" w:hAnsi="Verdana" w:cs="Verdana"/>
                <w:bCs/>
                <w:noProof/>
                <w:color w:val="000000"/>
                <w:sz w:val="16"/>
              </w:rPr>
              <w:t> 596</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154D8F8"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w:t>
            </w:r>
            <w:r>
              <w:rPr>
                <w:rFonts w:ascii="Verdana" w:eastAsia="Verdana" w:hAnsi="Verdana" w:cs="Verdana"/>
                <w:bCs/>
                <w:noProof/>
                <w:color w:val="000000"/>
                <w:sz w:val="16"/>
              </w:rPr>
              <w:t>2 210</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1F1477F7"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w:t>
            </w:r>
            <w:r>
              <w:rPr>
                <w:rFonts w:ascii="Verdana" w:eastAsia="Verdana" w:hAnsi="Verdana" w:cs="Verdana"/>
                <w:bCs/>
                <w:noProof/>
                <w:color w:val="000000"/>
                <w:sz w:val="16"/>
              </w:rPr>
              <w:t>0 991</w:t>
            </w:r>
            <w:r w:rsidRPr="00A95679">
              <w:rPr>
                <w:rFonts w:ascii="Verdana" w:eastAsia="Verdana" w:hAnsi="Verdana" w:cs="Verdana"/>
                <w:bCs/>
                <w:noProof/>
                <w:color w:val="000000"/>
                <w:sz w:val="16"/>
              </w:rPr>
              <w:t xml:space="preserve">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6F4AF859"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50 919</w:t>
            </w:r>
            <w:r w:rsidRPr="00A95679">
              <w:rPr>
                <w:rFonts w:ascii="Verdana" w:eastAsia="Verdana" w:hAnsi="Verdana" w:cs="Verdana"/>
                <w:bCs/>
                <w:noProof/>
                <w:color w:val="000000"/>
                <w:sz w:val="16"/>
              </w:rPr>
              <w:t xml:space="preserve"> </w:t>
            </w:r>
          </w:p>
        </w:tc>
      </w:tr>
      <w:tr w:rsidR="00807FFE" w14:paraId="4291A06F"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1D96C486"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 xml:space="preserve">2. Cohesion, Resilience and Values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BFE0F43"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364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C9C5B3A"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67</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806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5648A66"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70</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137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6D1E4C16"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73</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289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E59CA73"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7</w:t>
            </w:r>
            <w:r>
              <w:rPr>
                <w:rFonts w:ascii="Verdana" w:eastAsia="Verdana" w:hAnsi="Verdana" w:cs="Verdana"/>
                <w:bCs/>
                <w:noProof/>
                <w:color w:val="000000"/>
                <w:sz w:val="16"/>
              </w:rPr>
              <w:t>5 697</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5B86B55"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w:t>
            </w:r>
            <w:r>
              <w:rPr>
                <w:rFonts w:ascii="Verdana" w:eastAsia="Verdana" w:hAnsi="Verdana" w:cs="Verdana"/>
                <w:bCs/>
                <w:noProof/>
                <w:color w:val="000000"/>
                <w:sz w:val="16"/>
              </w:rPr>
              <w:t>7 523</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5EFA4F47"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70</w:t>
            </w:r>
            <w:r>
              <w:rPr>
                <w:rFonts w:ascii="Verdana" w:eastAsia="Verdana" w:hAnsi="Verdana" w:cs="Verdana"/>
                <w:bCs/>
                <w:noProof/>
                <w:color w:val="000000"/>
                <w:sz w:val="16"/>
              </w:rPr>
              <w:t> 128</w:t>
            </w:r>
            <w:r w:rsidRPr="00A95679">
              <w:rPr>
                <w:rFonts w:ascii="Verdana" w:eastAsia="Verdana" w:hAnsi="Verdana" w:cs="Verdana"/>
                <w:bCs/>
                <w:noProof/>
                <w:color w:val="000000"/>
                <w:sz w:val="16"/>
              </w:rPr>
              <w:t xml:space="preserve">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43C047DC"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w:t>
            </w:r>
            <w:r>
              <w:rPr>
                <w:rFonts w:ascii="Verdana" w:eastAsia="Verdana" w:hAnsi="Verdana" w:cs="Verdana"/>
                <w:bCs/>
                <w:noProof/>
                <w:color w:val="000000"/>
                <w:sz w:val="16"/>
              </w:rPr>
              <w:t>30 944</w:t>
            </w:r>
            <w:r w:rsidRPr="00A95679">
              <w:rPr>
                <w:rFonts w:ascii="Verdana" w:eastAsia="Verdana" w:hAnsi="Verdana" w:cs="Verdana"/>
                <w:bCs/>
                <w:noProof/>
                <w:color w:val="000000"/>
                <w:sz w:val="16"/>
              </w:rPr>
              <w:t xml:space="preserve"> </w:t>
            </w:r>
          </w:p>
        </w:tc>
      </w:tr>
      <w:tr w:rsidR="00807FFE" w14:paraId="56DA7945"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67C4902C"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2a. Economic, social and territorial cohesion</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7ADBDD9E"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769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FD1FD58"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345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5F0F80E"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62</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939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868F7D1"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64</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683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4DF7F8BF"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66</w:t>
            </w:r>
            <w:r>
              <w:rPr>
                <w:rFonts w:ascii="Verdana" w:eastAsia="Verdana" w:hAnsi="Verdana" w:cs="Verdana"/>
                <w:bCs/>
                <w:noProof/>
                <w:color w:val="000000"/>
                <w:sz w:val="16"/>
              </w:rPr>
              <w:t> 361</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D0E9FD6"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56</w:t>
            </w:r>
            <w:r>
              <w:rPr>
                <w:rFonts w:ascii="Verdana" w:eastAsia="Verdana" w:hAnsi="Verdana" w:cs="Verdana"/>
                <w:bCs/>
                <w:noProof/>
                <w:color w:val="000000"/>
                <w:sz w:val="16"/>
              </w:rPr>
              <w:t> 593</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7516B685"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58</w:t>
            </w:r>
            <w:r>
              <w:rPr>
                <w:rFonts w:ascii="Verdana" w:eastAsia="Verdana" w:hAnsi="Verdana" w:cs="Verdana"/>
                <w:bCs/>
                <w:noProof/>
                <w:color w:val="000000"/>
                <w:sz w:val="16"/>
              </w:rPr>
              <w:t> 484</w:t>
            </w:r>
            <w:r w:rsidRPr="00A95679">
              <w:rPr>
                <w:rFonts w:ascii="Verdana" w:eastAsia="Verdana" w:hAnsi="Verdana" w:cs="Verdana"/>
                <w:bCs/>
                <w:noProof/>
                <w:color w:val="000000"/>
                <w:sz w:val="16"/>
              </w:rPr>
              <w:t xml:space="preserve">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03650E19"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372</w:t>
            </w:r>
            <w:r>
              <w:rPr>
                <w:rFonts w:ascii="Verdana" w:eastAsia="Verdana" w:hAnsi="Verdana" w:cs="Verdana"/>
                <w:bCs/>
                <w:noProof/>
                <w:color w:val="000000"/>
                <w:sz w:val="16"/>
              </w:rPr>
              <w:t> 174</w:t>
            </w:r>
            <w:r w:rsidRPr="00A95679">
              <w:rPr>
                <w:rFonts w:ascii="Verdana" w:eastAsia="Verdana" w:hAnsi="Verdana" w:cs="Verdana"/>
                <w:bCs/>
                <w:noProof/>
                <w:color w:val="000000"/>
                <w:sz w:val="16"/>
              </w:rPr>
              <w:t xml:space="preserve"> </w:t>
            </w:r>
          </w:p>
        </w:tc>
      </w:tr>
      <w:tr w:rsidR="00807FFE" w14:paraId="0A23CBFA"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166B4202"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2b. Resilience and Values</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2BCFF675"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595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642EB507"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461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6EE3B52B"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7</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198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0AA147B"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8</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606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7E06EDB"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w:t>
            </w:r>
            <w:r>
              <w:rPr>
                <w:rFonts w:ascii="Verdana" w:eastAsia="Verdana" w:hAnsi="Verdana" w:cs="Verdana"/>
                <w:bCs/>
                <w:noProof/>
                <w:color w:val="000000"/>
                <w:sz w:val="16"/>
              </w:rPr>
              <w:t>9 336</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48097590"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w:t>
            </w:r>
            <w:r>
              <w:rPr>
                <w:rFonts w:ascii="Verdana" w:eastAsia="Verdana" w:hAnsi="Verdana" w:cs="Verdana"/>
                <w:bCs/>
                <w:noProof/>
                <w:color w:val="000000"/>
                <w:sz w:val="16"/>
              </w:rPr>
              <w:t>10 930</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2DF00362"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644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6BBE99EB"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w:t>
            </w:r>
            <w:r>
              <w:rPr>
                <w:rFonts w:ascii="Verdana" w:eastAsia="Verdana" w:hAnsi="Verdana" w:cs="Verdana"/>
                <w:bCs/>
                <w:noProof/>
                <w:color w:val="000000"/>
                <w:sz w:val="16"/>
              </w:rPr>
              <w:t>8 770</w:t>
            </w:r>
            <w:r w:rsidRPr="00A95679">
              <w:rPr>
                <w:rFonts w:ascii="Verdana" w:eastAsia="Verdana" w:hAnsi="Verdana" w:cs="Verdana"/>
                <w:bCs/>
                <w:noProof/>
                <w:color w:val="000000"/>
                <w:sz w:val="16"/>
              </w:rPr>
              <w:t xml:space="preserve"> </w:t>
            </w:r>
          </w:p>
        </w:tc>
      </w:tr>
      <w:tr w:rsidR="00807FFE" w14:paraId="770AC0A1"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1A54F630"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3. Natural Resources and Environment</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48754409"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56</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841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5BFFABD"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56</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965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41030CF6"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57</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295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2D150D37"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57</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449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BA8B446"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57</w:t>
            </w:r>
            <w:r>
              <w:rPr>
                <w:rFonts w:ascii="Verdana" w:eastAsia="Verdana" w:hAnsi="Verdana" w:cs="Verdana"/>
                <w:bCs/>
                <w:noProof/>
                <w:color w:val="000000"/>
                <w:sz w:val="16"/>
              </w:rPr>
              <w:t> 336</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218AB3C"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57</w:t>
            </w:r>
            <w:r>
              <w:rPr>
                <w:rFonts w:ascii="Verdana" w:eastAsia="Verdana" w:hAnsi="Verdana" w:cs="Verdana"/>
                <w:bCs/>
                <w:noProof/>
                <w:color w:val="000000"/>
                <w:sz w:val="16"/>
              </w:rPr>
              <w:t> 100</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776DF369"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57</w:t>
            </w:r>
            <w:r>
              <w:rPr>
                <w:rFonts w:ascii="Verdana" w:eastAsia="Verdana" w:hAnsi="Verdana" w:cs="Verdana"/>
                <w:bCs/>
                <w:noProof/>
                <w:color w:val="000000"/>
                <w:sz w:val="16"/>
              </w:rPr>
              <w:t> 316</w:t>
            </w:r>
            <w:r w:rsidRPr="00A95679">
              <w:rPr>
                <w:rFonts w:ascii="Verdana" w:eastAsia="Verdana" w:hAnsi="Verdana" w:cs="Verdana"/>
                <w:bCs/>
                <w:noProof/>
                <w:color w:val="000000"/>
                <w:sz w:val="16"/>
              </w:rPr>
              <w:t xml:space="preserve">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50200272"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400</w:t>
            </w:r>
            <w:r>
              <w:rPr>
                <w:rFonts w:ascii="Verdana" w:eastAsia="Verdana" w:hAnsi="Verdana" w:cs="Verdana"/>
                <w:bCs/>
                <w:noProof/>
                <w:color w:val="000000"/>
                <w:sz w:val="16"/>
              </w:rPr>
              <w:t> 302</w:t>
            </w:r>
            <w:r w:rsidRPr="00A95679">
              <w:rPr>
                <w:rFonts w:ascii="Verdana" w:eastAsia="Verdana" w:hAnsi="Verdana" w:cs="Verdana"/>
                <w:bCs/>
                <w:noProof/>
                <w:color w:val="000000"/>
                <w:sz w:val="16"/>
              </w:rPr>
              <w:t xml:space="preserve"> </w:t>
            </w:r>
          </w:p>
        </w:tc>
      </w:tr>
      <w:tr w:rsidR="00807FFE" w14:paraId="0D42334E"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728CCBEF"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Of which: Market related expenditure and direct payments</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E787BF3"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40</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368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F37D0F4"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40</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639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6B57D28A"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40</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693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2334F74A"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40</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603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41FF8ECD"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40</w:t>
            </w:r>
            <w:r>
              <w:rPr>
                <w:rFonts w:ascii="Verdana" w:eastAsia="Verdana" w:hAnsi="Verdana" w:cs="Verdana"/>
                <w:bCs/>
                <w:noProof/>
                <w:color w:val="000000"/>
                <w:sz w:val="16"/>
              </w:rPr>
              <w:t> 529</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4161BCD"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40</w:t>
            </w:r>
            <w:r>
              <w:rPr>
                <w:rFonts w:ascii="Verdana" w:eastAsia="Verdana" w:hAnsi="Verdana" w:cs="Verdana"/>
                <w:bCs/>
                <w:noProof/>
                <w:color w:val="000000"/>
                <w:sz w:val="16"/>
              </w:rPr>
              <w:t> 542</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5F354C55"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40</w:t>
            </w:r>
            <w:r>
              <w:rPr>
                <w:rFonts w:ascii="Verdana" w:eastAsia="Verdana" w:hAnsi="Verdana" w:cs="Verdana"/>
                <w:bCs/>
                <w:noProof/>
                <w:color w:val="000000"/>
                <w:sz w:val="16"/>
              </w:rPr>
              <w:t> 496</w:t>
            </w:r>
            <w:r w:rsidRPr="00A95679">
              <w:rPr>
                <w:rFonts w:ascii="Verdana" w:eastAsia="Verdana" w:hAnsi="Verdana" w:cs="Verdana"/>
                <w:bCs/>
                <w:noProof/>
                <w:color w:val="000000"/>
                <w:sz w:val="16"/>
              </w:rPr>
              <w:t xml:space="preserve">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1ABE2FF3"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28</w:t>
            </w:r>
            <w:r>
              <w:rPr>
                <w:rFonts w:ascii="Verdana" w:eastAsia="Verdana" w:hAnsi="Verdana" w:cs="Verdana"/>
                <w:bCs/>
                <w:noProof/>
                <w:color w:val="000000"/>
                <w:sz w:val="16"/>
              </w:rPr>
              <w:t>3 870</w:t>
            </w:r>
            <w:r w:rsidRPr="00A95679">
              <w:rPr>
                <w:rFonts w:ascii="Verdana" w:eastAsia="Verdana" w:hAnsi="Verdana" w:cs="Verdana"/>
                <w:bCs/>
                <w:noProof/>
                <w:color w:val="000000"/>
                <w:sz w:val="16"/>
              </w:rPr>
              <w:t xml:space="preserve"> </w:t>
            </w:r>
          </w:p>
        </w:tc>
      </w:tr>
      <w:tr w:rsidR="00807FFE" w14:paraId="6FF5DB61"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3FB6E963"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4. Migration and Border Management</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672461B1"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791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79C49E43"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3</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360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6F85DD0"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3</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814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133B694"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020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7F00037"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4</w:t>
            </w:r>
            <w:r>
              <w:rPr>
                <w:rFonts w:ascii="Verdana" w:eastAsia="Verdana" w:hAnsi="Verdana" w:cs="Verdana"/>
                <w:bCs/>
                <w:noProof/>
                <w:color w:val="000000"/>
                <w:sz w:val="16"/>
              </w:rPr>
              <w:t> </w:t>
            </w:r>
            <w:r w:rsidRPr="00A95679">
              <w:rPr>
                <w:rFonts w:ascii="Verdana" w:eastAsia="Verdana" w:hAnsi="Verdana" w:cs="Verdana"/>
                <w:bCs/>
                <w:noProof/>
                <w:color w:val="000000"/>
                <w:sz w:val="16"/>
              </w:rPr>
              <w:t>87</w:t>
            </w:r>
            <w:r>
              <w:rPr>
                <w:rFonts w:ascii="Verdana" w:eastAsia="Verdana" w:hAnsi="Verdana" w:cs="Verdana"/>
                <w:bCs/>
                <w:noProof/>
                <w:color w:val="000000"/>
                <w:sz w:val="16"/>
              </w:rPr>
              <w:t>1</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D451D85"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w:t>
            </w:r>
            <w:r>
              <w:rPr>
                <w:rFonts w:ascii="Verdana" w:eastAsia="Verdana" w:hAnsi="Verdana" w:cs="Verdana"/>
                <w:bCs/>
                <w:noProof/>
                <w:color w:val="000000"/>
                <w:sz w:val="16"/>
              </w:rPr>
              <w:t>5 103</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2F8A2699"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w:t>
            </w:r>
            <w:r>
              <w:rPr>
                <w:rFonts w:ascii="Verdana" w:eastAsia="Verdana" w:hAnsi="Verdana" w:cs="Verdana"/>
                <w:bCs/>
                <w:noProof/>
                <w:color w:val="000000"/>
                <w:sz w:val="16"/>
              </w:rPr>
              <w:t>5 </w:t>
            </w:r>
            <w:r w:rsidRPr="00A95679">
              <w:rPr>
                <w:rFonts w:ascii="Verdana" w:eastAsia="Verdana" w:hAnsi="Verdana" w:cs="Verdana"/>
                <w:bCs/>
                <w:noProof/>
                <w:color w:val="000000"/>
                <w:sz w:val="16"/>
              </w:rPr>
              <w:t>6</w:t>
            </w:r>
            <w:r>
              <w:rPr>
                <w:rFonts w:ascii="Verdana" w:eastAsia="Verdana" w:hAnsi="Verdana" w:cs="Verdana"/>
                <w:bCs/>
                <w:noProof/>
                <w:color w:val="000000"/>
                <w:sz w:val="16"/>
              </w:rPr>
              <w:t>19</w:t>
            </w:r>
            <w:r w:rsidRPr="00A95679">
              <w:rPr>
                <w:rFonts w:ascii="Verdana" w:eastAsia="Verdana" w:hAnsi="Verdana" w:cs="Verdana"/>
                <w:bCs/>
                <w:noProof/>
                <w:color w:val="000000"/>
                <w:sz w:val="16"/>
              </w:rPr>
              <w:t xml:space="preserve">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61F786A9"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w:t>
            </w:r>
            <w:r>
              <w:rPr>
                <w:rFonts w:ascii="Verdana" w:eastAsia="Verdana" w:hAnsi="Verdana" w:cs="Verdana"/>
                <w:bCs/>
                <w:noProof/>
                <w:color w:val="000000"/>
                <w:sz w:val="16"/>
              </w:rPr>
              <w:t>8 578</w:t>
            </w:r>
            <w:r w:rsidRPr="00A95679">
              <w:rPr>
                <w:rFonts w:ascii="Verdana" w:eastAsia="Verdana" w:hAnsi="Verdana" w:cs="Verdana"/>
                <w:bCs/>
                <w:noProof/>
                <w:color w:val="000000"/>
                <w:sz w:val="16"/>
              </w:rPr>
              <w:t xml:space="preserve"> </w:t>
            </w:r>
          </w:p>
        </w:tc>
      </w:tr>
      <w:tr w:rsidR="00807FFE" w14:paraId="059ADC76"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45EE1E36"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5. Security and Defence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B09CEC3"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696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224E042E"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896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26031D6C"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946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608C815D"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w:t>
            </w:r>
            <w:r>
              <w:rPr>
                <w:rFonts w:ascii="Verdana" w:eastAsia="Verdana" w:hAnsi="Verdana" w:cs="Verdana"/>
                <w:bCs/>
                <w:noProof/>
                <w:color w:val="000000"/>
                <w:sz w:val="16"/>
              </w:rPr>
              <w:t> 380</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94BB16B"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w:t>
            </w:r>
            <w:r>
              <w:rPr>
                <w:rFonts w:ascii="Verdana" w:eastAsia="Verdana" w:hAnsi="Verdana" w:cs="Verdana"/>
                <w:bCs/>
                <w:noProof/>
                <w:color w:val="000000"/>
                <w:sz w:val="16"/>
              </w:rPr>
              <w:t> 617</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7E2072D"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2</w:t>
            </w:r>
            <w:r>
              <w:rPr>
                <w:rFonts w:ascii="Verdana" w:eastAsia="Verdana" w:hAnsi="Verdana" w:cs="Verdana"/>
                <w:bCs/>
                <w:noProof/>
                <w:color w:val="000000"/>
                <w:sz w:val="16"/>
              </w:rPr>
              <w:t> 810</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753A10C0"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w:t>
            </w:r>
            <w:r>
              <w:rPr>
                <w:rFonts w:ascii="Verdana" w:eastAsia="Verdana" w:hAnsi="Verdana" w:cs="Verdana"/>
                <w:bCs/>
                <w:noProof/>
                <w:color w:val="000000"/>
                <w:sz w:val="16"/>
              </w:rPr>
              <w:t>3 080</w:t>
            </w:r>
            <w:r w:rsidRPr="00A95679">
              <w:rPr>
                <w:rFonts w:ascii="Verdana" w:eastAsia="Verdana" w:hAnsi="Verdana" w:cs="Verdana"/>
                <w:bCs/>
                <w:noProof/>
                <w:color w:val="000000"/>
                <w:sz w:val="16"/>
              </w:rPr>
              <w:t xml:space="preserve">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4FA199EC"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6 425</w:t>
            </w:r>
            <w:r w:rsidRPr="00A95679">
              <w:rPr>
                <w:rFonts w:ascii="Verdana" w:eastAsia="Verdana" w:hAnsi="Verdana" w:cs="Verdana"/>
                <w:bCs/>
                <w:noProof/>
                <w:color w:val="000000"/>
                <w:sz w:val="16"/>
              </w:rPr>
              <w:t xml:space="preserve"> </w:t>
            </w:r>
          </w:p>
        </w:tc>
      </w:tr>
      <w:tr w:rsidR="00807FFE" w14:paraId="1C1E716F"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210859A9"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6. Neighbourhood and the World</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864641C"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16</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247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E617D76"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16</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802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D16D1F0"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16</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329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F80B543"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6 331</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7B69358"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6 </w:t>
            </w:r>
            <w:r w:rsidRPr="00A95679">
              <w:rPr>
                <w:rFonts w:ascii="Verdana" w:eastAsia="Verdana" w:hAnsi="Verdana" w:cs="Verdana"/>
                <w:bCs/>
                <w:noProof/>
                <w:color w:val="000000"/>
                <w:sz w:val="16"/>
              </w:rPr>
              <w:t>30</w:t>
            </w:r>
            <w:r>
              <w:rPr>
                <w:rFonts w:ascii="Verdana" w:eastAsia="Verdana" w:hAnsi="Verdana" w:cs="Verdana"/>
                <w:bCs/>
                <w:noProof/>
                <w:color w:val="000000"/>
                <w:sz w:val="16"/>
              </w:rPr>
              <w:t>3</w:t>
            </w:r>
            <w:r w:rsidRPr="00A95679">
              <w:rPr>
                <w:rFonts w:ascii="Verdana" w:eastAsia="Verdana" w:hAnsi="Verdana" w:cs="Verdana"/>
                <w:bCs/>
                <w:noProof/>
                <w:color w:val="000000"/>
                <w:sz w:val="16"/>
              </w:rPr>
              <w:t xml:space="preserve">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123F862A"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5 614</w:t>
            </w:r>
            <w:r w:rsidRPr="00A95679">
              <w:rPr>
                <w:rFonts w:ascii="Verdana" w:eastAsia="Verdana" w:hAnsi="Verdana" w:cs="Verdana"/>
                <w:bCs/>
                <w:noProof/>
                <w:color w:val="000000"/>
                <w:sz w:val="16"/>
              </w:rPr>
              <w:t xml:space="preserve">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2A0AC204"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w:t>
            </w:r>
            <w:r>
              <w:rPr>
                <w:rFonts w:ascii="Verdana" w:eastAsia="Verdana" w:hAnsi="Verdana" w:cs="Verdana"/>
                <w:bCs/>
                <w:noProof/>
                <w:color w:val="000000"/>
                <w:sz w:val="16"/>
              </w:rPr>
              <w:t>6 071</w:t>
            </w:r>
            <w:r w:rsidRPr="00A95679">
              <w:rPr>
                <w:rFonts w:ascii="Verdana" w:eastAsia="Verdana" w:hAnsi="Verdana" w:cs="Verdana"/>
                <w:bCs/>
                <w:noProof/>
                <w:color w:val="000000"/>
                <w:sz w:val="16"/>
              </w:rPr>
              <w:t xml:space="preserve">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79C1D53D"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11</w:t>
            </w:r>
            <w:r>
              <w:rPr>
                <w:rFonts w:ascii="Verdana" w:eastAsia="Verdana" w:hAnsi="Verdana" w:cs="Verdana"/>
                <w:bCs/>
                <w:noProof/>
                <w:color w:val="000000"/>
                <w:sz w:val="16"/>
              </w:rPr>
              <w:t>3 6</w:t>
            </w:r>
            <w:r w:rsidRPr="00A95679">
              <w:rPr>
                <w:rFonts w:ascii="Verdana" w:eastAsia="Verdana" w:hAnsi="Verdana" w:cs="Verdana"/>
                <w:bCs/>
                <w:noProof/>
                <w:color w:val="000000"/>
                <w:sz w:val="16"/>
              </w:rPr>
              <w:t xml:space="preserve">97 </w:t>
            </w:r>
          </w:p>
        </w:tc>
      </w:tr>
      <w:tr w:rsidR="00807FFE" w14:paraId="7231D215"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56F274EE"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7. European Public Administration</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2E7CC4D9"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10</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635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3989260"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058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F3422AD"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419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E230A5B"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11</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773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1513827"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12</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124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23E3E3A5"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12</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506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78A1029C"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12</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959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53EE25ED"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82</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474 </w:t>
            </w:r>
          </w:p>
        </w:tc>
      </w:tr>
      <w:tr w:rsidR="00807FFE" w14:paraId="1D90029D"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7C55596D"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Of which: Administrative expenditure of the institutions</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715496B7"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8</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216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526EEE1"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8</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528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1A70614"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8</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772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FA10D07"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9</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006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07D7E44"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9</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219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5961BD6F"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9</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464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15AD3726"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9</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786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31296EE5"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 xml:space="preserve">          62</w:t>
            </w:r>
            <w:r>
              <w:rPr>
                <w:rFonts w:ascii="Verdana" w:eastAsia="Verdana" w:hAnsi="Verdana" w:cs="Verdana"/>
                <w:bCs/>
                <w:noProof/>
                <w:color w:val="000000"/>
                <w:sz w:val="16"/>
              </w:rPr>
              <w:t> </w:t>
            </w:r>
            <w:r w:rsidRPr="00A95679">
              <w:rPr>
                <w:rFonts w:ascii="Verdana" w:eastAsia="Verdana" w:hAnsi="Verdana" w:cs="Verdana"/>
                <w:bCs/>
                <w:noProof/>
                <w:color w:val="000000"/>
                <w:sz w:val="16"/>
              </w:rPr>
              <w:t xml:space="preserve">991 </w:t>
            </w:r>
          </w:p>
        </w:tc>
      </w:tr>
      <w:tr w:rsidR="00807FFE" w14:paraId="51F9317C" w14:textId="77777777" w:rsidTr="00391799">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14:paraId="38C0F616"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TOTAL COMMITMENT APPROPRIATIONS</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5DAD748B"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114</w:t>
            </w:r>
            <w:r>
              <w:rPr>
                <w:rFonts w:ascii="Verdana" w:eastAsia="Verdana" w:hAnsi="Verdana" w:cs="Verdana"/>
                <w:b/>
                <w:noProof/>
                <w:color w:val="000000"/>
                <w:sz w:val="16"/>
              </w:rPr>
              <w:t> </w:t>
            </w:r>
            <w:r w:rsidRPr="00041F61">
              <w:rPr>
                <w:rFonts w:ascii="Verdana" w:eastAsia="Verdana" w:hAnsi="Verdana" w:cs="Verdana"/>
                <w:b/>
                <w:noProof/>
                <w:color w:val="000000"/>
                <w:sz w:val="16"/>
              </w:rPr>
              <w:t>493</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625CEE6E"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179</w:t>
            </w:r>
            <w:r>
              <w:rPr>
                <w:rFonts w:ascii="Verdana" w:eastAsia="Verdana" w:hAnsi="Verdana" w:cs="Verdana"/>
                <w:b/>
                <w:noProof/>
                <w:color w:val="000000"/>
                <w:sz w:val="16"/>
              </w:rPr>
              <w:t> </w:t>
            </w:r>
            <w:r w:rsidRPr="00041F61">
              <w:rPr>
                <w:rFonts w:ascii="Verdana" w:eastAsia="Verdana" w:hAnsi="Verdana" w:cs="Verdana"/>
                <w:b/>
                <w:noProof/>
                <w:color w:val="000000"/>
                <w:sz w:val="16"/>
              </w:rPr>
              <w:t>765</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2233EE6B"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182</w:t>
            </w:r>
            <w:r>
              <w:rPr>
                <w:rFonts w:ascii="Verdana" w:eastAsia="Verdana" w:hAnsi="Verdana" w:cs="Verdana"/>
                <w:b/>
                <w:noProof/>
                <w:color w:val="000000"/>
                <w:sz w:val="16"/>
              </w:rPr>
              <w:t> </w:t>
            </w:r>
            <w:r w:rsidRPr="00041F61">
              <w:rPr>
                <w:rFonts w:ascii="Verdana" w:eastAsia="Verdana" w:hAnsi="Verdana" w:cs="Verdana"/>
                <w:b/>
                <w:noProof/>
                <w:color w:val="000000"/>
                <w:sz w:val="16"/>
              </w:rPr>
              <w:t>667</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3D4E4D65"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18</w:t>
            </w:r>
            <w:r>
              <w:rPr>
                <w:rFonts w:ascii="Verdana" w:eastAsia="Verdana" w:hAnsi="Verdana" w:cs="Verdana"/>
                <w:b/>
                <w:noProof/>
                <w:color w:val="000000"/>
                <w:sz w:val="16"/>
              </w:rPr>
              <w:t>6 840</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7FFC0350"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w:t>
            </w:r>
            <w:r>
              <w:rPr>
                <w:rFonts w:ascii="Verdana" w:eastAsia="Verdana" w:hAnsi="Verdana" w:cs="Verdana"/>
                <w:b/>
                <w:noProof/>
                <w:color w:val="000000"/>
                <w:sz w:val="16"/>
              </w:rPr>
              <w:t>90 544</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02181C49"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w:t>
            </w:r>
            <w:r>
              <w:rPr>
                <w:rFonts w:ascii="Verdana" w:eastAsia="Verdana" w:hAnsi="Verdana" w:cs="Verdana"/>
                <w:b/>
                <w:noProof/>
                <w:color w:val="000000"/>
                <w:sz w:val="16"/>
              </w:rPr>
              <w:t>82 866</w:t>
            </w:r>
          </w:p>
        </w:tc>
        <w:tc>
          <w:tcPr>
            <w:tcW w:w="493" w:type="pct"/>
            <w:tcBorders>
              <w:top w:val="nil"/>
              <w:left w:val="nil"/>
              <w:bottom w:val="nil"/>
              <w:right w:val="nil"/>
              <w:tl2br w:val="nil"/>
              <w:tr2bl w:val="nil"/>
            </w:tcBorders>
            <w:shd w:val="solid" w:color="C8E1EB" w:fill="FFFFFF"/>
            <w:tcMar>
              <w:left w:w="60" w:type="dxa"/>
              <w:right w:w="60" w:type="dxa"/>
            </w:tcMar>
            <w:vAlign w:val="center"/>
          </w:tcPr>
          <w:p w14:paraId="7201D8AF"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18</w:t>
            </w:r>
            <w:r>
              <w:rPr>
                <w:rFonts w:ascii="Verdana" w:eastAsia="Verdana" w:hAnsi="Verdana" w:cs="Verdana"/>
                <w:b/>
                <w:noProof/>
                <w:color w:val="000000"/>
                <w:sz w:val="16"/>
              </w:rPr>
              <w:t>6 164</w:t>
            </w:r>
          </w:p>
        </w:tc>
        <w:tc>
          <w:tcPr>
            <w:tcW w:w="568" w:type="pct"/>
            <w:tcBorders>
              <w:top w:val="nil"/>
              <w:left w:val="nil"/>
              <w:bottom w:val="nil"/>
              <w:right w:val="nil"/>
              <w:tl2br w:val="nil"/>
              <w:tr2bl w:val="nil"/>
            </w:tcBorders>
            <w:shd w:val="solid" w:color="C8E1EB" w:fill="FFFFFF"/>
            <w:tcMar>
              <w:left w:w="60" w:type="dxa"/>
              <w:right w:w="60" w:type="dxa"/>
            </w:tcMar>
            <w:vAlign w:val="center"/>
          </w:tcPr>
          <w:p w14:paraId="4BE2AC4F"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w:t>
            </w:r>
            <w:r>
              <w:rPr>
                <w:rFonts w:ascii="Verdana" w:eastAsia="Verdana" w:hAnsi="Verdana" w:cs="Verdana"/>
                <w:b/>
                <w:noProof/>
                <w:color w:val="000000"/>
                <w:sz w:val="16"/>
              </w:rPr>
              <w:t> </w:t>
            </w:r>
            <w:r w:rsidRPr="00041F61">
              <w:rPr>
                <w:rFonts w:ascii="Verdana" w:eastAsia="Verdana" w:hAnsi="Verdana" w:cs="Verdana"/>
                <w:b/>
                <w:noProof/>
                <w:color w:val="000000"/>
                <w:sz w:val="16"/>
              </w:rPr>
              <w:t>2</w:t>
            </w:r>
            <w:r>
              <w:rPr>
                <w:rFonts w:ascii="Verdana" w:eastAsia="Verdana" w:hAnsi="Verdana" w:cs="Verdana"/>
                <w:b/>
                <w:noProof/>
                <w:color w:val="000000"/>
                <w:sz w:val="16"/>
              </w:rPr>
              <w:t>23 339</w:t>
            </w:r>
          </w:p>
        </w:tc>
      </w:tr>
      <w:tr w:rsidR="00807FFE" w14:paraId="10D753A1" w14:textId="77777777" w:rsidTr="00391799">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14:paraId="5FEC3344" w14:textId="77777777" w:rsidR="002F2D59" w:rsidRPr="00A95679" w:rsidRDefault="002F2D59" w:rsidP="00391799">
            <w:pPr>
              <w:pStyle w:val="DMETW22324BIPFinancialFWK20142020"/>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0377B403" w14:textId="77777777" w:rsidR="002F2D59" w:rsidRPr="00A95679" w:rsidRDefault="002F2D59" w:rsidP="00391799">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224197AE" w14:textId="77777777" w:rsidR="002F2D59" w:rsidRPr="00A95679" w:rsidRDefault="002F2D59" w:rsidP="00391799">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4964B7B7" w14:textId="77777777" w:rsidR="002F2D59" w:rsidRPr="00A95679" w:rsidRDefault="002F2D59" w:rsidP="00391799">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7E8C897" w14:textId="77777777" w:rsidR="002F2D59" w:rsidRPr="00A95679" w:rsidRDefault="002F2D59" w:rsidP="00391799">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78640BEA" w14:textId="77777777" w:rsidR="002F2D59" w:rsidRPr="00A95679" w:rsidRDefault="002F2D59" w:rsidP="00391799">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14:paraId="3129FFA7" w14:textId="77777777" w:rsidR="002F2D59" w:rsidRPr="00A95679" w:rsidRDefault="002F2D59" w:rsidP="00391799">
            <w:pPr>
              <w:pStyle w:val="DMETW22324BIPFinancialFWK20142020"/>
              <w:jc w:val="right"/>
              <w:rPr>
                <w:rFonts w:ascii="Verdana" w:eastAsia="Verdana" w:hAnsi="Verdana" w:cs="Verdana"/>
                <w:bCs/>
                <w:noProof/>
                <w:color w:val="000000"/>
                <w:sz w:val="16"/>
              </w:rPr>
            </w:pP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14:paraId="33417605" w14:textId="77777777" w:rsidR="002F2D59" w:rsidRPr="00A95679" w:rsidRDefault="002F2D59" w:rsidP="00391799">
            <w:pPr>
              <w:pStyle w:val="DMETW22324BIPFinancialFWK20142020"/>
              <w:jc w:val="right"/>
              <w:rPr>
                <w:rFonts w:ascii="Verdana" w:eastAsia="Verdana" w:hAnsi="Verdana" w:cs="Verdana"/>
                <w:bCs/>
                <w:noProof/>
                <w:color w:val="000000"/>
                <w:sz w:val="16"/>
              </w:rPr>
            </w:pP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14:paraId="71597B2D" w14:textId="77777777" w:rsidR="002F2D59" w:rsidRPr="00A95679" w:rsidRDefault="002F2D59" w:rsidP="00391799">
            <w:pPr>
              <w:pStyle w:val="DMETW22324BIPFinancialFWK20142020"/>
              <w:jc w:val="right"/>
              <w:rPr>
                <w:rFonts w:ascii="Verdana" w:eastAsia="Verdana" w:hAnsi="Verdana" w:cs="Verdana"/>
                <w:bCs/>
                <w:noProof/>
                <w:color w:val="000000"/>
                <w:sz w:val="16"/>
              </w:rPr>
            </w:pPr>
          </w:p>
        </w:tc>
      </w:tr>
      <w:tr w:rsidR="00807FFE" w14:paraId="41299105" w14:textId="77777777" w:rsidTr="00391799">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14:paraId="2FAFF8B8"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TOTAL PAYMENT APPROPRIATIONS</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0CE56B49"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163</w:t>
            </w:r>
            <w:r>
              <w:rPr>
                <w:rFonts w:ascii="Verdana" w:eastAsia="Verdana" w:hAnsi="Verdana" w:cs="Verdana"/>
                <w:b/>
                <w:noProof/>
                <w:color w:val="000000"/>
                <w:sz w:val="16"/>
              </w:rPr>
              <w:t> </w:t>
            </w:r>
            <w:r w:rsidRPr="00041F61">
              <w:rPr>
                <w:rFonts w:ascii="Verdana" w:eastAsia="Verdana" w:hAnsi="Verdana" w:cs="Verdana"/>
                <w:b/>
                <w:noProof/>
                <w:color w:val="000000"/>
                <w:sz w:val="16"/>
              </w:rPr>
              <w:t>496</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58518B16"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166</w:t>
            </w:r>
            <w:r>
              <w:rPr>
                <w:rFonts w:ascii="Verdana" w:eastAsia="Verdana" w:hAnsi="Verdana" w:cs="Verdana"/>
                <w:b/>
                <w:noProof/>
                <w:color w:val="000000"/>
                <w:sz w:val="16"/>
              </w:rPr>
              <w:t> </w:t>
            </w:r>
            <w:r w:rsidRPr="00041F61">
              <w:rPr>
                <w:rFonts w:ascii="Verdana" w:eastAsia="Verdana" w:hAnsi="Verdana" w:cs="Verdana"/>
                <w:b/>
                <w:noProof/>
                <w:color w:val="000000"/>
                <w:sz w:val="16"/>
              </w:rPr>
              <w:t>534</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4B51B457"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16</w:t>
            </w:r>
            <w:r>
              <w:rPr>
                <w:rFonts w:ascii="Verdana" w:eastAsia="Verdana" w:hAnsi="Verdana" w:cs="Verdana"/>
                <w:b/>
                <w:noProof/>
                <w:color w:val="000000"/>
                <w:sz w:val="16"/>
              </w:rPr>
              <w:t>2 053</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18805648"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w:t>
            </w:r>
            <w:r>
              <w:rPr>
                <w:rFonts w:ascii="Verdana" w:eastAsia="Verdana" w:hAnsi="Verdana" w:cs="Verdana"/>
                <w:b/>
                <w:noProof/>
                <w:color w:val="000000"/>
                <w:sz w:val="16"/>
              </w:rPr>
              <w:t>42 601</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0E7AD87C"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17</w:t>
            </w:r>
            <w:r>
              <w:rPr>
                <w:rFonts w:ascii="Verdana" w:eastAsia="Verdana" w:hAnsi="Verdana" w:cs="Verdana"/>
                <w:b/>
                <w:noProof/>
                <w:color w:val="000000"/>
                <w:sz w:val="16"/>
              </w:rPr>
              <w:t>5 378</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19CFB5BC" w14:textId="77777777" w:rsidR="002F2D59" w:rsidRPr="00041F61" w:rsidRDefault="00023E71" w:rsidP="00391799">
            <w:pPr>
              <w:pStyle w:val="DMETW22324BIPFinancialFWK20142020"/>
              <w:rPr>
                <w:rFonts w:ascii="Verdana" w:eastAsia="Verdana" w:hAnsi="Verdana" w:cs="Verdana"/>
                <w:b/>
                <w:noProof/>
                <w:color w:val="000000"/>
                <w:sz w:val="16"/>
              </w:rPr>
            </w:pPr>
            <w:r>
              <w:rPr>
                <w:rFonts w:ascii="Verdana" w:eastAsia="Verdana" w:hAnsi="Verdana" w:cs="Verdana"/>
                <w:b/>
                <w:noProof/>
                <w:color w:val="000000"/>
                <w:sz w:val="16"/>
              </w:rPr>
              <w:t>201 170</w:t>
            </w:r>
          </w:p>
        </w:tc>
        <w:tc>
          <w:tcPr>
            <w:tcW w:w="493" w:type="pct"/>
            <w:tcBorders>
              <w:top w:val="nil"/>
              <w:left w:val="nil"/>
              <w:bottom w:val="nil"/>
              <w:right w:val="nil"/>
              <w:tl2br w:val="nil"/>
              <w:tr2bl w:val="nil"/>
            </w:tcBorders>
            <w:shd w:val="solid" w:color="C8E1EB" w:fill="FFFFFF"/>
            <w:tcMar>
              <w:left w:w="60" w:type="dxa"/>
              <w:right w:w="60" w:type="dxa"/>
            </w:tcMar>
            <w:vAlign w:val="center"/>
          </w:tcPr>
          <w:p w14:paraId="507BB8F9"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w:t>
            </w:r>
            <w:r>
              <w:rPr>
                <w:rFonts w:ascii="Verdana" w:eastAsia="Verdana" w:hAnsi="Verdana" w:cs="Verdana"/>
                <w:b/>
                <w:noProof/>
                <w:color w:val="000000"/>
                <w:sz w:val="16"/>
              </w:rPr>
              <w:t>95 246</w:t>
            </w:r>
          </w:p>
        </w:tc>
        <w:tc>
          <w:tcPr>
            <w:tcW w:w="568" w:type="pct"/>
            <w:tcBorders>
              <w:top w:val="nil"/>
              <w:left w:val="nil"/>
              <w:bottom w:val="nil"/>
              <w:right w:val="nil"/>
              <w:tl2br w:val="nil"/>
              <w:tr2bl w:val="nil"/>
            </w:tcBorders>
            <w:shd w:val="solid" w:color="C8E1EB" w:fill="FFFFFF"/>
            <w:tcMar>
              <w:left w:w="60" w:type="dxa"/>
              <w:right w:w="60" w:type="dxa"/>
            </w:tcMar>
            <w:vAlign w:val="center"/>
          </w:tcPr>
          <w:p w14:paraId="357413D5" w14:textId="77777777" w:rsidR="002F2D59" w:rsidRPr="00041F61" w:rsidRDefault="00023E71" w:rsidP="00391799">
            <w:pPr>
              <w:pStyle w:val="DMETW22324BIPFinancialFWK20142020"/>
              <w:rPr>
                <w:rFonts w:ascii="Verdana" w:eastAsia="Verdana" w:hAnsi="Verdana" w:cs="Verdana"/>
                <w:b/>
                <w:noProof/>
                <w:color w:val="000000"/>
                <w:sz w:val="16"/>
              </w:rPr>
            </w:pPr>
            <w:r w:rsidRPr="00041F61">
              <w:rPr>
                <w:rFonts w:ascii="Verdana" w:eastAsia="Verdana" w:hAnsi="Verdana" w:cs="Verdana"/>
                <w:b/>
                <w:noProof/>
                <w:color w:val="000000"/>
                <w:sz w:val="16"/>
              </w:rPr>
              <w:t>1</w:t>
            </w:r>
            <w:r>
              <w:rPr>
                <w:rFonts w:ascii="Verdana" w:eastAsia="Verdana" w:hAnsi="Verdana" w:cs="Verdana"/>
                <w:b/>
                <w:noProof/>
                <w:color w:val="000000"/>
                <w:sz w:val="16"/>
              </w:rPr>
              <w:t> </w:t>
            </w:r>
            <w:r w:rsidRPr="00041F61">
              <w:rPr>
                <w:rFonts w:ascii="Verdana" w:eastAsia="Verdana" w:hAnsi="Verdana" w:cs="Verdana"/>
                <w:b/>
                <w:noProof/>
                <w:color w:val="000000"/>
                <w:sz w:val="16"/>
              </w:rPr>
              <w:t>20</w:t>
            </w:r>
            <w:r>
              <w:rPr>
                <w:rFonts w:ascii="Verdana" w:eastAsia="Verdana" w:hAnsi="Verdana" w:cs="Verdana"/>
                <w:b/>
                <w:noProof/>
                <w:color w:val="000000"/>
                <w:sz w:val="16"/>
              </w:rPr>
              <w:t>6 478</w:t>
            </w:r>
          </w:p>
        </w:tc>
      </w:tr>
      <w:tr w:rsidR="00807FFE" w14:paraId="69D8FA93" w14:textId="77777777" w:rsidTr="00391799">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14:paraId="72AD40F5" w14:textId="77777777" w:rsidR="002F2D59" w:rsidRPr="00A95679" w:rsidRDefault="00023E71" w:rsidP="00391799">
            <w:pPr>
              <w:pStyle w:val="DMETW22324BIPFinancialFWK20142020"/>
              <w:rPr>
                <w:rFonts w:ascii="Verdana" w:eastAsia="Verdana" w:hAnsi="Verdana" w:cs="Verdana"/>
                <w:bCs/>
                <w:noProof/>
                <w:color w:val="000000"/>
                <w:sz w:val="16"/>
              </w:rPr>
            </w:pPr>
            <w:r w:rsidRPr="00A95679">
              <w:rPr>
                <w:rFonts w:ascii="Verdana" w:eastAsia="Verdana" w:hAnsi="Verdana" w:cs="Verdana"/>
                <w:bCs/>
                <w:noProof/>
                <w:color w:val="000000"/>
                <w:sz w:val="16"/>
              </w:rPr>
              <w:t>as a percentage of GNI</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7BA1F687" w14:textId="77777777" w:rsidR="002F2D59" w:rsidRPr="00A95679" w:rsidRDefault="00023E71" w:rsidP="00391799">
            <w:pPr>
              <w:pStyle w:val="DMETW22324BIPFinancialFWK20142020"/>
              <w:jc w:val="center"/>
              <w:rPr>
                <w:rFonts w:ascii="Verdana" w:eastAsia="Verdana" w:hAnsi="Verdana" w:cs="Verdana"/>
                <w:bCs/>
                <w:noProof/>
                <w:color w:val="000000"/>
                <w:sz w:val="16"/>
              </w:rPr>
            </w:pPr>
            <w:r w:rsidRPr="00A95679">
              <w:rPr>
                <w:rFonts w:ascii="Verdana" w:eastAsia="Verdana" w:hAnsi="Verdana" w:cs="Verdana"/>
                <w:bCs/>
                <w:noProof/>
                <w:color w:val="000000"/>
                <w:sz w:val="16"/>
              </w:rPr>
              <w:t>1</w:t>
            </w:r>
            <w:r>
              <w:rPr>
                <w:rFonts w:ascii="Verdana" w:eastAsia="Verdana" w:hAnsi="Verdana" w:cs="Verdana"/>
                <w:bCs/>
                <w:noProof/>
                <w:color w:val="000000"/>
                <w:sz w:val="16"/>
              </w:rPr>
              <w:t>.</w:t>
            </w:r>
            <w:r w:rsidRPr="00A95679">
              <w:rPr>
                <w:rFonts w:ascii="Verdana" w:eastAsia="Verdana" w:hAnsi="Verdana" w:cs="Verdana"/>
                <w:bCs/>
                <w:noProof/>
                <w:color w:val="000000"/>
                <w:sz w:val="16"/>
              </w:rPr>
              <w:t>18%</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0F7B9F3E" w14:textId="77777777" w:rsidR="002F2D59" w:rsidRPr="00A95679" w:rsidRDefault="00023E71" w:rsidP="00391799">
            <w:pPr>
              <w:pStyle w:val="DMETW22324BIPFinancialFWK20142020"/>
              <w:jc w:val="center"/>
              <w:rPr>
                <w:rFonts w:ascii="Verdana" w:eastAsia="Verdana" w:hAnsi="Verdana" w:cs="Verdana"/>
                <w:bCs/>
                <w:noProof/>
                <w:color w:val="000000"/>
                <w:sz w:val="16"/>
              </w:rPr>
            </w:pPr>
            <w:r w:rsidRPr="00A95679">
              <w:rPr>
                <w:rFonts w:ascii="Verdana" w:eastAsia="Verdana" w:hAnsi="Verdana" w:cs="Verdana"/>
                <w:bCs/>
                <w:noProof/>
                <w:color w:val="000000"/>
                <w:sz w:val="16"/>
              </w:rPr>
              <w:t>1</w:t>
            </w:r>
            <w:r>
              <w:rPr>
                <w:rFonts w:ascii="Verdana" w:eastAsia="Verdana" w:hAnsi="Verdana" w:cs="Verdana"/>
                <w:bCs/>
                <w:noProof/>
                <w:color w:val="000000"/>
                <w:sz w:val="16"/>
              </w:rPr>
              <w:t>.</w:t>
            </w:r>
            <w:r w:rsidRPr="00A95679">
              <w:rPr>
                <w:rFonts w:ascii="Verdana" w:eastAsia="Verdana" w:hAnsi="Verdana" w:cs="Verdana"/>
                <w:bCs/>
                <w:noProof/>
                <w:color w:val="000000"/>
                <w:sz w:val="16"/>
              </w:rPr>
              <w:t>12%</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1498CD4A" w14:textId="77777777" w:rsidR="002F2D59" w:rsidRPr="00A95679" w:rsidRDefault="00023E71" w:rsidP="00391799">
            <w:pPr>
              <w:pStyle w:val="DMETW22324BIPFinancialFWK20142020"/>
              <w:jc w:val="center"/>
              <w:rPr>
                <w:rFonts w:ascii="Verdana" w:eastAsia="Verdana" w:hAnsi="Verdana" w:cs="Verdana"/>
                <w:bCs/>
                <w:noProof/>
                <w:color w:val="000000"/>
                <w:sz w:val="16"/>
              </w:rPr>
            </w:pPr>
            <w:r>
              <w:rPr>
                <w:rFonts w:ascii="Verdana" w:eastAsia="Verdana" w:hAnsi="Verdana" w:cs="Verdana"/>
                <w:bCs/>
                <w:noProof/>
                <w:color w:val="000000"/>
                <w:sz w:val="16"/>
              </w:rPr>
              <w:t>0.99</w:t>
            </w:r>
            <w:r w:rsidRPr="00A95679">
              <w:rPr>
                <w:rFonts w:ascii="Verdana" w:eastAsia="Verdana" w:hAnsi="Verdana" w:cs="Verdana"/>
                <w:bCs/>
                <w:noProof/>
                <w:color w:val="000000"/>
                <w:sz w:val="16"/>
              </w:rPr>
              <w:t>%</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45085976" w14:textId="77777777" w:rsidR="002F2D59" w:rsidRPr="00A95679" w:rsidRDefault="00023E71" w:rsidP="00391799">
            <w:pPr>
              <w:pStyle w:val="DMETW22324BIPFinancialFWK20142020"/>
              <w:jc w:val="center"/>
              <w:rPr>
                <w:rFonts w:ascii="Verdana" w:eastAsia="Verdana" w:hAnsi="Verdana" w:cs="Verdana"/>
                <w:bCs/>
                <w:noProof/>
                <w:color w:val="000000"/>
                <w:sz w:val="16"/>
              </w:rPr>
            </w:pPr>
            <w:r w:rsidRPr="00A95679">
              <w:rPr>
                <w:rFonts w:ascii="Verdana" w:eastAsia="Verdana" w:hAnsi="Verdana" w:cs="Verdana"/>
                <w:bCs/>
                <w:noProof/>
                <w:color w:val="000000"/>
                <w:sz w:val="16"/>
              </w:rPr>
              <w:t>0</w:t>
            </w:r>
            <w:r>
              <w:rPr>
                <w:rFonts w:ascii="Verdana" w:eastAsia="Verdana" w:hAnsi="Verdana" w:cs="Verdana"/>
                <w:bCs/>
                <w:noProof/>
                <w:color w:val="000000"/>
                <w:sz w:val="16"/>
              </w:rPr>
              <w:t>.81</w:t>
            </w:r>
            <w:r w:rsidRPr="00A95679">
              <w:rPr>
                <w:rFonts w:ascii="Verdana" w:eastAsia="Verdana" w:hAnsi="Verdana" w:cs="Verdana"/>
                <w:bCs/>
                <w:noProof/>
                <w:color w:val="000000"/>
                <w:sz w:val="16"/>
              </w:rPr>
              <w:t>%</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6C5CEBF1" w14:textId="77777777" w:rsidR="002F2D59" w:rsidRPr="00A95679" w:rsidRDefault="00023E71" w:rsidP="00391799">
            <w:pPr>
              <w:pStyle w:val="DMETW22324BIPFinancialFWK20142020"/>
              <w:jc w:val="center"/>
              <w:rPr>
                <w:rFonts w:ascii="Verdana" w:eastAsia="Verdana" w:hAnsi="Verdana" w:cs="Verdana"/>
                <w:bCs/>
                <w:noProof/>
                <w:color w:val="000000"/>
                <w:sz w:val="16"/>
              </w:rPr>
            </w:pPr>
            <w:r w:rsidRPr="00A95679">
              <w:rPr>
                <w:rFonts w:ascii="Verdana" w:eastAsia="Verdana" w:hAnsi="Verdana" w:cs="Verdana"/>
                <w:bCs/>
                <w:noProof/>
                <w:color w:val="000000"/>
                <w:sz w:val="16"/>
              </w:rPr>
              <w:t>0</w:t>
            </w:r>
            <w:r>
              <w:rPr>
                <w:rFonts w:ascii="Verdana" w:eastAsia="Verdana" w:hAnsi="Verdana" w:cs="Verdana"/>
                <w:bCs/>
                <w:noProof/>
                <w:color w:val="000000"/>
                <w:sz w:val="16"/>
              </w:rPr>
              <w:t>.</w:t>
            </w:r>
            <w:r w:rsidRPr="00A95679">
              <w:rPr>
                <w:rFonts w:ascii="Verdana" w:eastAsia="Verdana" w:hAnsi="Verdana" w:cs="Verdana"/>
                <w:bCs/>
                <w:noProof/>
                <w:color w:val="000000"/>
                <w:sz w:val="16"/>
              </w:rPr>
              <w:t>9</w:t>
            </w:r>
            <w:r>
              <w:rPr>
                <w:rFonts w:ascii="Verdana" w:eastAsia="Verdana" w:hAnsi="Verdana" w:cs="Verdana"/>
                <w:bCs/>
                <w:noProof/>
                <w:color w:val="000000"/>
                <w:sz w:val="16"/>
              </w:rPr>
              <w:t>5</w:t>
            </w:r>
            <w:r w:rsidRPr="00A95679">
              <w:rPr>
                <w:rFonts w:ascii="Verdana" w:eastAsia="Verdana" w:hAnsi="Verdana" w:cs="Verdana"/>
                <w:bCs/>
                <w:noProof/>
                <w:color w:val="000000"/>
                <w:sz w:val="16"/>
              </w:rPr>
              <w:t>%</w:t>
            </w:r>
          </w:p>
        </w:tc>
        <w:tc>
          <w:tcPr>
            <w:tcW w:w="492" w:type="pct"/>
            <w:tcBorders>
              <w:top w:val="nil"/>
              <w:left w:val="nil"/>
              <w:bottom w:val="nil"/>
              <w:right w:val="nil"/>
              <w:tl2br w:val="nil"/>
              <w:tr2bl w:val="nil"/>
            </w:tcBorders>
            <w:shd w:val="solid" w:color="C8E1EB" w:fill="FFFFFF"/>
            <w:tcMar>
              <w:left w:w="60" w:type="dxa"/>
              <w:right w:w="60" w:type="dxa"/>
            </w:tcMar>
            <w:vAlign w:val="center"/>
          </w:tcPr>
          <w:p w14:paraId="43D461DB" w14:textId="77777777" w:rsidR="002F2D59" w:rsidRPr="00A95679" w:rsidRDefault="00023E71" w:rsidP="00391799">
            <w:pPr>
              <w:pStyle w:val="DMETW22324BIPFinancialFWK20142020"/>
              <w:jc w:val="center"/>
              <w:rPr>
                <w:rFonts w:ascii="Verdana" w:eastAsia="Verdana" w:hAnsi="Verdana" w:cs="Verdana"/>
                <w:bCs/>
                <w:noProof/>
                <w:color w:val="000000"/>
                <w:sz w:val="16"/>
              </w:rPr>
            </w:pPr>
            <w:r>
              <w:rPr>
                <w:rFonts w:ascii="Verdana" w:eastAsia="Verdana" w:hAnsi="Verdana" w:cs="Verdana"/>
                <w:bCs/>
                <w:noProof/>
                <w:color w:val="000000"/>
                <w:sz w:val="16"/>
              </w:rPr>
              <w:t>1.04</w:t>
            </w:r>
            <w:r w:rsidRPr="00A95679">
              <w:rPr>
                <w:rFonts w:ascii="Verdana" w:eastAsia="Verdana" w:hAnsi="Verdana" w:cs="Verdana"/>
                <w:bCs/>
                <w:noProof/>
                <w:color w:val="000000"/>
                <w:sz w:val="16"/>
              </w:rPr>
              <w:t>%</w:t>
            </w:r>
          </w:p>
        </w:tc>
        <w:tc>
          <w:tcPr>
            <w:tcW w:w="493" w:type="pct"/>
            <w:tcBorders>
              <w:top w:val="nil"/>
              <w:left w:val="nil"/>
              <w:bottom w:val="nil"/>
              <w:right w:val="nil"/>
              <w:tl2br w:val="nil"/>
              <w:tr2bl w:val="nil"/>
            </w:tcBorders>
            <w:shd w:val="solid" w:color="C8E1EB" w:fill="FFFFFF"/>
            <w:tcMar>
              <w:left w:w="60" w:type="dxa"/>
              <w:right w:w="60" w:type="dxa"/>
            </w:tcMar>
            <w:vAlign w:val="center"/>
          </w:tcPr>
          <w:p w14:paraId="45BAD837" w14:textId="77777777" w:rsidR="002F2D59" w:rsidRPr="00A95679" w:rsidRDefault="00023E71" w:rsidP="00391799">
            <w:pPr>
              <w:pStyle w:val="DMETW22324BIPFinancialFWK20142020"/>
              <w:jc w:val="center"/>
              <w:rPr>
                <w:rFonts w:ascii="Verdana" w:eastAsia="Verdana" w:hAnsi="Verdana" w:cs="Verdana"/>
                <w:bCs/>
                <w:noProof/>
                <w:color w:val="000000"/>
                <w:sz w:val="16"/>
              </w:rPr>
            </w:pPr>
            <w:r w:rsidRPr="00A95679">
              <w:rPr>
                <w:rFonts w:ascii="Verdana" w:eastAsia="Verdana" w:hAnsi="Verdana" w:cs="Verdana"/>
                <w:bCs/>
                <w:noProof/>
                <w:color w:val="000000"/>
                <w:sz w:val="16"/>
              </w:rPr>
              <w:t>0</w:t>
            </w:r>
            <w:r>
              <w:rPr>
                <w:rFonts w:ascii="Verdana" w:eastAsia="Verdana" w:hAnsi="Verdana" w:cs="Verdana"/>
                <w:bCs/>
                <w:noProof/>
                <w:color w:val="000000"/>
                <w:sz w:val="16"/>
              </w:rPr>
              <w:t>.</w:t>
            </w:r>
            <w:r w:rsidRPr="00A95679">
              <w:rPr>
                <w:rFonts w:ascii="Verdana" w:eastAsia="Verdana" w:hAnsi="Verdana" w:cs="Verdana"/>
                <w:bCs/>
                <w:noProof/>
                <w:color w:val="000000"/>
                <w:sz w:val="16"/>
              </w:rPr>
              <w:t>9</w:t>
            </w:r>
            <w:r>
              <w:rPr>
                <w:rFonts w:ascii="Verdana" w:eastAsia="Verdana" w:hAnsi="Verdana" w:cs="Verdana"/>
                <w:bCs/>
                <w:noProof/>
                <w:color w:val="000000"/>
                <w:sz w:val="16"/>
              </w:rPr>
              <w:t>8</w:t>
            </w:r>
            <w:r w:rsidRPr="00A95679">
              <w:rPr>
                <w:rFonts w:ascii="Verdana" w:eastAsia="Verdana" w:hAnsi="Verdana" w:cs="Verdana"/>
                <w:bCs/>
                <w:noProof/>
                <w:color w:val="000000"/>
                <w:sz w:val="16"/>
              </w:rPr>
              <w:t>%</w:t>
            </w:r>
          </w:p>
        </w:tc>
        <w:tc>
          <w:tcPr>
            <w:tcW w:w="568" w:type="pct"/>
            <w:tcBorders>
              <w:top w:val="nil"/>
              <w:left w:val="nil"/>
              <w:bottom w:val="nil"/>
              <w:right w:val="nil"/>
              <w:tl2br w:val="nil"/>
              <w:tr2bl w:val="nil"/>
            </w:tcBorders>
            <w:shd w:val="solid" w:color="C8E1EB" w:fill="FFFFFF"/>
            <w:tcMar>
              <w:left w:w="60" w:type="dxa"/>
              <w:right w:w="60" w:type="dxa"/>
            </w:tcMar>
            <w:vAlign w:val="center"/>
          </w:tcPr>
          <w:p w14:paraId="2C057EAA" w14:textId="77777777" w:rsidR="002F2D59" w:rsidRPr="00A95679" w:rsidRDefault="00023E71" w:rsidP="00391799">
            <w:pPr>
              <w:pStyle w:val="DMETW22324BIPFinancialFWK20142020"/>
              <w:jc w:val="right"/>
              <w:rPr>
                <w:rFonts w:ascii="Verdana" w:eastAsia="Verdana" w:hAnsi="Verdana" w:cs="Verdana"/>
                <w:bCs/>
                <w:noProof/>
                <w:color w:val="000000"/>
                <w:sz w:val="16"/>
              </w:rPr>
            </w:pPr>
            <w:r w:rsidRPr="00A95679">
              <w:rPr>
                <w:rFonts w:ascii="Verdana" w:eastAsia="Verdana" w:hAnsi="Verdana" w:cs="Verdana"/>
                <w:bCs/>
                <w:noProof/>
                <w:color w:val="000000"/>
                <w:sz w:val="16"/>
              </w:rPr>
              <w:t>1</w:t>
            </w:r>
            <w:r>
              <w:rPr>
                <w:rFonts w:ascii="Verdana" w:eastAsia="Verdana" w:hAnsi="Verdana" w:cs="Verdana"/>
                <w:bCs/>
                <w:noProof/>
                <w:color w:val="000000"/>
                <w:sz w:val="16"/>
              </w:rPr>
              <w:t>.</w:t>
            </w:r>
            <w:r w:rsidRPr="00A95679">
              <w:rPr>
                <w:rFonts w:ascii="Verdana" w:eastAsia="Verdana" w:hAnsi="Verdana" w:cs="Verdana"/>
                <w:bCs/>
                <w:noProof/>
                <w:color w:val="000000"/>
                <w:sz w:val="16"/>
              </w:rPr>
              <w:t>01%</w:t>
            </w:r>
          </w:p>
        </w:tc>
      </w:tr>
    </w:tbl>
    <w:p w14:paraId="79775C44" w14:textId="77777777" w:rsidR="002F2D59" w:rsidRDefault="00023E71" w:rsidP="002F2D59">
      <w:pPr>
        <w:pStyle w:val="Textstand-alone"/>
      </w:pPr>
      <w:r w:rsidRPr="00C84BCB">
        <w:t xml:space="preserve">Council Regulation </w:t>
      </w:r>
      <w:r>
        <w:t xml:space="preserve">(EU, Euratom) 2020/2093 </w:t>
      </w:r>
      <w:r w:rsidRPr="00C84BCB">
        <w:t xml:space="preserve">laying down the </w:t>
      </w:r>
      <w:r>
        <w:t>2021-2027 MFF</w:t>
      </w:r>
      <w:r w:rsidRPr="00C84BCB">
        <w:t xml:space="preserve"> was adopted on 17 December 2020</w:t>
      </w:r>
      <w:r>
        <w:rPr>
          <w:rStyle w:val="FootnoteReference"/>
        </w:rPr>
        <w:footnoteReference w:id="55"/>
      </w:r>
      <w:r w:rsidRPr="00C84BCB">
        <w:t xml:space="preserve">. </w:t>
      </w:r>
      <w:r w:rsidRPr="004971B1">
        <w:t>The</w:t>
      </w:r>
      <w:r>
        <w:t xml:space="preserve"> above table shows the MFF ceilings at current prices as adopted in the technical adjustment for the MFF 2021-2027 for 2026</w:t>
      </w:r>
      <w:r>
        <w:rPr>
          <w:rStyle w:val="FootnoteReference"/>
        </w:rPr>
        <w:footnoteReference w:id="56"/>
      </w:r>
      <w:r>
        <w:t>, in accordance with the fixed annual deflator of 2% set out in Article 4 (2) of the MFF Regulation.</w:t>
      </w:r>
      <w:r w:rsidRPr="00546FDE">
        <w:t xml:space="preserve"> </w:t>
      </w:r>
      <w:r w:rsidRPr="00A90710">
        <w:t>As stipulated in the Council Regulation (EU, Euratom) 2020/2093 laying down the 2021-2027 MFF,</w:t>
      </w:r>
      <w:r>
        <w:t xml:space="preserve"> f</w:t>
      </w:r>
      <w:r w:rsidRPr="00546FDE">
        <w:t>or commitment appropriations the amounts are split per Heading; for payment appropriations the ceilings only apply at total level.</w:t>
      </w:r>
      <w:r>
        <w:t xml:space="preserve"> 2025 was the fifth financial year covered by the MFF 2021-2027. </w:t>
      </w:r>
    </w:p>
    <w:p w14:paraId="731B8FA4" w14:textId="77777777" w:rsidR="002F2D59" w:rsidRDefault="00023E71" w:rsidP="002F2D59">
      <w:pPr>
        <w:pStyle w:val="Textstand-alone"/>
      </w:pPr>
      <w:r>
        <w:t>Following the political agreement on the Mid-term revision of the 2021-2027 MFF reached in the European Council of 1</w:t>
      </w:r>
      <w:r w:rsidRPr="003615C5">
        <w:t> </w:t>
      </w:r>
      <w:r>
        <w:t>February and with the European Parliament on 6 February 2024, the revised MFF Regulation</w:t>
      </w:r>
      <w:r>
        <w:rPr>
          <w:rStyle w:val="FootnoteReference"/>
        </w:rPr>
        <w:footnoteReference w:id="57"/>
      </w:r>
      <w:r>
        <w:t xml:space="preserve"> was adopted on 29 February 2024. </w:t>
      </w:r>
      <w:r w:rsidRPr="003615C5">
        <w:t>The mid-term revision reinforced the EU budget </w:t>
      </w:r>
      <w:r>
        <w:t xml:space="preserve">for the period 2024-2027 by </w:t>
      </w:r>
      <w:r w:rsidRPr="003615C5">
        <w:t>EUR 64.6 b</w:t>
      </w:r>
      <w:r>
        <w:t>illio</w:t>
      </w:r>
      <w:r w:rsidRPr="003615C5">
        <w:t>n, of which EUR 33 b</w:t>
      </w:r>
      <w:r>
        <w:t>illio</w:t>
      </w:r>
      <w:r w:rsidRPr="003615C5">
        <w:t>n in loans</w:t>
      </w:r>
      <w:r>
        <w:t xml:space="preserve">, </w:t>
      </w:r>
      <w:r w:rsidRPr="003615C5">
        <w:t xml:space="preserve">in a number of priority areas including </w:t>
      </w:r>
      <w:r>
        <w:t>support to Ukraine</w:t>
      </w:r>
      <w:r w:rsidRPr="003615C5">
        <w:t>, the setting-up of the strategic technologies for Europe platform (STEP), the creation of the mechanism to cover additional costs to fund the Next Generation EU recovery instrument, arising from higher interest rates as well as the additional funding for migration management and international</w:t>
      </w:r>
      <w:r>
        <w:t xml:space="preserve"> </w:t>
      </w:r>
      <w:r w:rsidRPr="003615C5">
        <w:t>partnerships, and the reinforcement of some special instruments.</w:t>
      </w:r>
      <w:r>
        <w:t xml:space="preserve"> T</w:t>
      </w:r>
      <w:r w:rsidRPr="005C39EC">
        <w:rPr>
          <w:lang w:val="en-IE"/>
        </w:rPr>
        <w:t xml:space="preserve">he Solidarity and Emergency Aid Reserve (SEAR) </w:t>
      </w:r>
      <w:r>
        <w:rPr>
          <w:lang w:val="en-IE"/>
        </w:rPr>
        <w:t xml:space="preserve">is </w:t>
      </w:r>
      <w:r w:rsidRPr="00F926E6">
        <w:rPr>
          <w:lang w:val="en-IE"/>
        </w:rPr>
        <w:t>split as of 1 January 2024 into two separate instruments</w:t>
      </w:r>
      <w:r>
        <w:t xml:space="preserve"> (t</w:t>
      </w:r>
      <w:r w:rsidRPr="00F926E6">
        <w:rPr>
          <w:lang w:val="en-IE"/>
        </w:rPr>
        <w:t>he European Solidarity Reserve</w:t>
      </w:r>
      <w:r>
        <w:t xml:space="preserve"> and t</w:t>
      </w:r>
      <w:r w:rsidRPr="00F926E6">
        <w:rPr>
          <w:lang w:val="en-IE"/>
        </w:rPr>
        <w:t>he Emergency Aid Reserve</w:t>
      </w:r>
      <w:r>
        <w:rPr>
          <w:lang w:val="en-IE"/>
        </w:rPr>
        <w:t>).</w:t>
      </w:r>
      <w:r>
        <w:t xml:space="preserve"> To integrate the impact of the Mid-term revision on the Annual Budget for 2024, Amending Budget 1/2024 was adopted</w:t>
      </w:r>
      <w:r>
        <w:rPr>
          <w:rStyle w:val="FootnoteReference"/>
        </w:rPr>
        <w:footnoteReference w:id="58"/>
      </w:r>
      <w:r>
        <w:t xml:space="preserve">.   </w:t>
      </w:r>
    </w:p>
    <w:p w14:paraId="036278FF" w14:textId="77777777" w:rsidR="002F2D59" w:rsidRDefault="00023E71" w:rsidP="002F2D59">
      <w:pPr>
        <w:pStyle w:val="Textstand-alone"/>
      </w:pPr>
      <w:r>
        <w:t xml:space="preserve">The </w:t>
      </w:r>
      <w:r w:rsidRPr="000A7B66">
        <w:t>overall ceiling for commitment appropriations for 202</w:t>
      </w:r>
      <w:r>
        <w:t>5</w:t>
      </w:r>
      <w:r w:rsidRPr="000A7B66">
        <w:t xml:space="preserve"> was </w:t>
      </w:r>
      <w:r w:rsidRPr="00E970E7">
        <w:t>EUR </w:t>
      </w:r>
      <w:r>
        <w:t>190 544</w:t>
      </w:r>
      <w:r w:rsidRPr="00E970E7">
        <w:t> million, whilst the corresponding ceiling for payment appropriations was EUR </w:t>
      </w:r>
      <w:r>
        <w:t>175 378</w:t>
      </w:r>
      <w:r w:rsidRPr="000A7B66">
        <w:t> million.</w:t>
      </w:r>
    </w:p>
    <w:p w14:paraId="73C89032" w14:textId="77777777" w:rsidR="002F2D59" w:rsidRDefault="00023E71" w:rsidP="002F2D59">
      <w:pPr>
        <w:pStyle w:val="Textstand-alone"/>
      </w:pPr>
      <w:r>
        <w:t>Pursuant to Article 312 (3) TFEU, the MFF</w:t>
      </w:r>
      <w:r w:rsidRPr="009623F8">
        <w:t xml:space="preserve"> </w:t>
      </w:r>
      <w:r>
        <w:t xml:space="preserve">determines </w:t>
      </w:r>
      <w:r w:rsidRPr="009623F8">
        <w:t xml:space="preserve">the amounts of the annual ceilings </w:t>
      </w:r>
      <w:r>
        <w:t>for</w:t>
      </w:r>
      <w:r w:rsidRPr="009623F8">
        <w:t xml:space="preserve"> commitment appropriations by category of expenditure</w:t>
      </w:r>
      <w:r>
        <w:t xml:space="preserve"> (‘headings’)</w:t>
      </w:r>
      <w:r w:rsidRPr="009623F8">
        <w:t xml:space="preserve"> and of the annual ceiling</w:t>
      </w:r>
      <w:r>
        <w:t>s</w:t>
      </w:r>
      <w:r w:rsidRPr="009623F8">
        <w:t xml:space="preserve"> </w:t>
      </w:r>
      <w:r>
        <w:t>for</w:t>
      </w:r>
      <w:r w:rsidRPr="009623F8">
        <w:t xml:space="preserve"> payment appropriations.</w:t>
      </w:r>
      <w:r>
        <w:t xml:space="preserve"> MFF headings </w:t>
      </w:r>
      <w:r w:rsidRPr="00712229">
        <w:t>correspond to the Union’s major sectors of activity.</w:t>
      </w:r>
      <w:r>
        <w:t xml:space="preserve"> </w:t>
      </w:r>
      <w:r w:rsidRPr="00476775">
        <w:t xml:space="preserve">An explanation of the various headings of the </w:t>
      </w:r>
      <w:r>
        <w:t xml:space="preserve">2021-2027 </w:t>
      </w:r>
      <w:r w:rsidRPr="00476775">
        <w:t>MFF is given below</w:t>
      </w:r>
      <w:r>
        <w:t>.</w:t>
      </w:r>
    </w:p>
    <w:p w14:paraId="7050CBE4" w14:textId="77777777" w:rsidR="002F2D59" w:rsidRDefault="00023E71" w:rsidP="002F2D59">
      <w:pPr>
        <w:pStyle w:val="Textstand-alone"/>
      </w:pPr>
      <w:r w:rsidRPr="00F05C22">
        <w:t>The MFF 2021-2027 amounts to EUR 1 22</w:t>
      </w:r>
      <w:r>
        <w:t>3</w:t>
      </w:r>
      <w:r w:rsidRPr="00F05C22">
        <w:t xml:space="preserve"> billion (EUR 1 08</w:t>
      </w:r>
      <w:r>
        <w:t>3</w:t>
      </w:r>
      <w:r w:rsidRPr="00F05C22">
        <w:t xml:space="preserve"> billion in 2018 prices), including the European Development Fund (EDF). In addition, NextGenerationEU provides an additional amount of EUR 806.9 billion (EUR 750 billion in 2018 prices) up to 2023 in commitments and 2026 in payments. This initial amount has been adjusted to EUR </w:t>
      </w:r>
      <w:r>
        <w:t>698.3</w:t>
      </w:r>
      <w:r w:rsidRPr="00F05C22">
        <w:t xml:space="preserve"> billion, as the total available loan support was not fully requested by the Member States.</w:t>
      </w:r>
    </w:p>
    <w:p w14:paraId="66AAE23C" w14:textId="77777777" w:rsidR="002F2D59" w:rsidRDefault="00023E71" w:rsidP="002F2D59">
      <w:pPr>
        <w:pStyle w:val="Textstand-alone"/>
      </w:pPr>
      <w:r>
        <w:t>For the annual budget procedure, the budget nomenclature is further structured by policy ‘clusters’, providing further clarity on how individual spending programmes</w:t>
      </w:r>
      <w:r w:rsidRPr="00711075">
        <w:t xml:space="preserve"> contribute to </w:t>
      </w:r>
      <w:r>
        <w:t xml:space="preserve">the Union’s </w:t>
      </w:r>
      <w:r w:rsidRPr="00711075">
        <w:t>policy goals</w:t>
      </w:r>
      <w:r>
        <w:t>.</w:t>
      </w:r>
    </w:p>
    <w:p w14:paraId="44B6141A" w14:textId="77777777" w:rsidR="002F2D59" w:rsidRPr="00476775" w:rsidRDefault="00023E71" w:rsidP="002F2D59">
      <w:pPr>
        <w:pStyle w:val="HEADER5"/>
        <w:rPr>
          <w:noProof/>
        </w:rPr>
      </w:pPr>
      <w:r w:rsidRPr="00476775">
        <w:rPr>
          <w:noProof/>
        </w:rPr>
        <w:t xml:space="preserve">Heading 1 – </w:t>
      </w:r>
      <w:r w:rsidRPr="00B714E1">
        <w:rPr>
          <w:noProof/>
        </w:rPr>
        <w:t>Single Market, Innovation and Digital</w:t>
      </w:r>
    </w:p>
    <w:p w14:paraId="182E1066" w14:textId="77777777" w:rsidR="002F2D59" w:rsidRDefault="00023E71" w:rsidP="002F2D59">
      <w:pPr>
        <w:pStyle w:val="Textstand-alone"/>
      </w:pPr>
      <w:r w:rsidRPr="00476775">
        <w:t>This heading</w:t>
      </w:r>
      <w:r>
        <w:t xml:space="preserve"> includes key EU programmes supporting the areas of research and innovation, digital transformation, strategic infrastructure, strengthening the single market and strategic space projects. Programmes under this heading include Horizon Europe, the InvestEU Fund, Connecting Europe Facility, the Single market programme and the European space programme.</w:t>
      </w:r>
    </w:p>
    <w:p w14:paraId="3A37E28F" w14:textId="77777777" w:rsidR="002F2D59" w:rsidRPr="00476775" w:rsidRDefault="00023E71" w:rsidP="002F2D59">
      <w:pPr>
        <w:pStyle w:val="Textstand-alone"/>
      </w:pPr>
      <w:r w:rsidRPr="00E60EE8">
        <w:t xml:space="preserve">Programmes </w:t>
      </w:r>
      <w:r w:rsidRPr="00C06C19">
        <w:t xml:space="preserve">receiving </w:t>
      </w:r>
      <w:r w:rsidRPr="00E60EE8">
        <w:t xml:space="preserve">contributions from NGEU (external assigned revenue) </w:t>
      </w:r>
      <w:r>
        <w:t>under</w:t>
      </w:r>
      <w:r w:rsidRPr="00E60EE8">
        <w:t xml:space="preserve"> this heading: </w:t>
      </w:r>
      <w:r w:rsidRPr="00C06C19">
        <w:t>Horizon Europe and InvestEU Fund.</w:t>
      </w:r>
    </w:p>
    <w:p w14:paraId="0CFB690F" w14:textId="77777777" w:rsidR="002F2D59" w:rsidRPr="00476775" w:rsidRDefault="00023E71" w:rsidP="002F2D59">
      <w:pPr>
        <w:pStyle w:val="HEADER5"/>
        <w:rPr>
          <w:noProof/>
        </w:rPr>
      </w:pPr>
      <w:r w:rsidRPr="00476775">
        <w:rPr>
          <w:noProof/>
        </w:rPr>
        <w:t>Heading 2 – Sustainable growth: natural resources</w:t>
      </w:r>
    </w:p>
    <w:p w14:paraId="23FA2783" w14:textId="77777777" w:rsidR="002F2D59" w:rsidRPr="00C06C19" w:rsidRDefault="00023E71" w:rsidP="002F2D59">
      <w:pPr>
        <w:pStyle w:val="Textstand-alone"/>
      </w:pPr>
      <w:r w:rsidRPr="00C06C19">
        <w:t>This heading is divided in two sub-headings: Economic, social and territorial cohesion (2a), and Resilience and values (2b).</w:t>
      </w:r>
    </w:p>
    <w:p w14:paraId="4ECA95DE" w14:textId="77777777" w:rsidR="002F2D59" w:rsidRPr="00C06C19" w:rsidRDefault="00023E71" w:rsidP="002F2D59">
      <w:pPr>
        <w:pStyle w:val="Textstand-alone"/>
      </w:pPr>
      <w:r w:rsidRPr="00C06C19">
        <w:t>Spending under this heading aims at strengthening the resilience and cohesion between the EU Member States. The funding helps reduce disparities in and between EU regions, and within and across Member States, and promote</w:t>
      </w:r>
      <w:r>
        <w:t>s</w:t>
      </w:r>
      <w:r w:rsidRPr="00C06C19">
        <w:t xml:space="preserve"> sustainable territorial development (European Regional Development Fund, Cohesion Fund, European Social Fund Plus). It also supports the Union’s solidarity and cooperation in preparedness and response to disasters (Union Civil Protection Mechanism and </w:t>
      </w:r>
      <w:r>
        <w:t>R</w:t>
      </w:r>
      <w:r w:rsidRPr="00C06C19">
        <w:t>escEU). In addition, programmes under this heading seek to make the EU more resilient to present and future challenges by investing in the green and digital transition, young people (Erasmus), health (EU4Health) and action to protect EU values (Justice, Rights and Values) and promote cultural diversity (Creative Europe).</w:t>
      </w:r>
    </w:p>
    <w:p w14:paraId="4CE45837" w14:textId="71F21CA3" w:rsidR="002F2D59" w:rsidRPr="00DF7DC1" w:rsidRDefault="00023E71" w:rsidP="002F2D59">
      <w:pPr>
        <w:pStyle w:val="Textstand-alone"/>
      </w:pPr>
      <w:r w:rsidRPr="00C06C19">
        <w:t>This heading in</w:t>
      </w:r>
      <w:r w:rsidRPr="00E60EE8">
        <w:t>cl</w:t>
      </w:r>
      <w:r w:rsidRPr="00C06C19">
        <w:t>udes the R</w:t>
      </w:r>
      <w:r>
        <w:t>RF</w:t>
      </w:r>
      <w:r w:rsidRPr="00C06C19">
        <w:t xml:space="preserve">, powered by the vast majority of the funding provided by </w:t>
      </w:r>
      <w:r>
        <w:t>NGEU</w:t>
      </w:r>
      <w:r w:rsidRPr="00C06C19">
        <w:t xml:space="preserve"> over the period 2021-2023. Other</w:t>
      </w:r>
      <w:r w:rsidRPr="00E60EE8">
        <w:t xml:space="preserve"> programmes </w:t>
      </w:r>
      <w:r w:rsidRPr="00C06C19">
        <w:t xml:space="preserve">receiving </w:t>
      </w:r>
      <w:r w:rsidRPr="00E60EE8">
        <w:t xml:space="preserve">contributions from </w:t>
      </w:r>
      <w:r>
        <w:t>NGEU</w:t>
      </w:r>
      <w:r w:rsidRPr="00E60EE8">
        <w:t xml:space="preserve"> (external assigned revenue) </w:t>
      </w:r>
      <w:r>
        <w:t>under</w:t>
      </w:r>
      <w:r w:rsidRPr="00E60EE8">
        <w:t xml:space="preserve"> this heading: </w:t>
      </w:r>
      <w:r w:rsidRPr="00C06C19">
        <w:t xml:space="preserve">REACT-EU, </w:t>
      </w:r>
      <w:r w:rsidRPr="00542444">
        <w:t>Union Civil Protection Mechanism (</w:t>
      </w:r>
      <w:r>
        <w:t>R</w:t>
      </w:r>
      <w:r w:rsidRPr="00542444">
        <w:t xml:space="preserve">escEU). For a more detailed overview of the RRF activities, consult sections on the NGEU </w:t>
      </w:r>
      <w:r w:rsidR="0096394B">
        <w:rPr>
          <w:b/>
        </w:rPr>
        <w:t>3</w:t>
      </w:r>
      <w:r w:rsidRPr="00542444">
        <w:t xml:space="preserve"> and </w:t>
      </w:r>
      <w:r w:rsidR="004101B2" w:rsidRPr="004101B2">
        <w:rPr>
          <w:b/>
          <w:bCs/>
        </w:rPr>
        <w:t>4</w:t>
      </w:r>
      <w:r w:rsidRPr="00542444">
        <w:t xml:space="preserve"> of the</w:t>
      </w:r>
      <w:r w:rsidRPr="00DF7DC1">
        <w:t xml:space="preserve"> Financial Highlights of the Year.</w:t>
      </w:r>
    </w:p>
    <w:p w14:paraId="196256FD" w14:textId="77777777" w:rsidR="00B72470" w:rsidRDefault="00B72470">
      <w:pPr>
        <w:rPr>
          <w:rFonts w:ascii="Verdana" w:hAnsi="Verdana"/>
          <w:noProof/>
          <w:color w:val="016794"/>
          <w:sz w:val="18"/>
          <w:szCs w:val="18"/>
        </w:rPr>
      </w:pPr>
      <w:r>
        <w:rPr>
          <w:noProof/>
        </w:rPr>
        <w:br w:type="page"/>
      </w:r>
    </w:p>
    <w:p w14:paraId="6F190567" w14:textId="466E87F3" w:rsidR="002F2D59" w:rsidRPr="00476775" w:rsidRDefault="00023E71" w:rsidP="002F2D59">
      <w:pPr>
        <w:pStyle w:val="HEADER5"/>
        <w:spacing w:before="240"/>
        <w:rPr>
          <w:noProof/>
        </w:rPr>
      </w:pPr>
      <w:r w:rsidRPr="00476775">
        <w:rPr>
          <w:noProof/>
        </w:rPr>
        <w:t xml:space="preserve">Heading 3 – </w:t>
      </w:r>
      <w:r w:rsidRPr="001342FC">
        <w:rPr>
          <w:noProof/>
        </w:rPr>
        <w:t xml:space="preserve">Natural Resources and Environment </w:t>
      </w:r>
    </w:p>
    <w:p w14:paraId="2DF12EF0" w14:textId="77777777" w:rsidR="002F2D59" w:rsidRDefault="00023E71" w:rsidP="002F2D59">
      <w:pPr>
        <w:pStyle w:val="Textstand-alone"/>
      </w:pPr>
      <w:r>
        <w:t>Expenditure under this heading invests in sustainable agriculture (common agricultural policy) and fisheries and maritime policy (European Maritime, Fisheries and Aquaculture Fund), as well programmes dedicated to environmental protection and climate action (LIFE programme, Just Transition Fund).</w:t>
      </w:r>
    </w:p>
    <w:p w14:paraId="18A28408" w14:textId="77777777" w:rsidR="002F2D59" w:rsidRPr="00476775" w:rsidRDefault="00023E71" w:rsidP="002F2D59">
      <w:pPr>
        <w:pStyle w:val="Textstand-alone"/>
      </w:pPr>
      <w:r w:rsidRPr="00E60EE8">
        <w:t xml:space="preserve">Programmes receiving contributions from </w:t>
      </w:r>
      <w:r>
        <w:t>NGEU</w:t>
      </w:r>
      <w:r w:rsidRPr="00E60EE8">
        <w:t xml:space="preserve"> (external assigned revenue) </w:t>
      </w:r>
      <w:r>
        <w:t xml:space="preserve">under </w:t>
      </w:r>
      <w:r w:rsidRPr="00E60EE8">
        <w:t xml:space="preserve">this heading: </w:t>
      </w:r>
      <w:r w:rsidRPr="00C06C19">
        <w:t>rural development, Just Transition Fund.</w:t>
      </w:r>
    </w:p>
    <w:p w14:paraId="2DAFEE64" w14:textId="77777777" w:rsidR="002F2D59" w:rsidRPr="00476775" w:rsidRDefault="00023E71" w:rsidP="002F2D59">
      <w:pPr>
        <w:pStyle w:val="HEADER5"/>
        <w:rPr>
          <w:noProof/>
        </w:rPr>
      </w:pPr>
      <w:r w:rsidRPr="00476775">
        <w:rPr>
          <w:noProof/>
        </w:rPr>
        <w:t xml:space="preserve">Heading 4 – </w:t>
      </w:r>
      <w:r w:rsidRPr="00086592">
        <w:rPr>
          <w:noProof/>
        </w:rPr>
        <w:t>Migration and Border Management</w:t>
      </w:r>
    </w:p>
    <w:p w14:paraId="515930BE" w14:textId="77777777" w:rsidR="002F2D59" w:rsidRPr="00476775" w:rsidRDefault="00023E71" w:rsidP="002F2D59">
      <w:pPr>
        <w:pStyle w:val="Textstand-alone"/>
      </w:pPr>
      <w:r>
        <w:t xml:space="preserve">The programmes (Asylum, Migration and Integration Fund, Integrated Border Management Fund) and the decentralised agencies (such as the </w:t>
      </w:r>
      <w:r w:rsidRPr="0059041E">
        <w:t xml:space="preserve">European Border and Coast Guard Agency </w:t>
      </w:r>
      <w:r>
        <w:t xml:space="preserve">(Frontex) and the </w:t>
      </w:r>
      <w:r w:rsidRPr="0059041E">
        <w:t>European Union Agency for Asylum</w:t>
      </w:r>
      <w:r>
        <w:t>) financed under this heading seek to tackle the challenges linked to migration and the management of the EU’s external borders and to the safeguarding of the asylum system within the EU.</w:t>
      </w:r>
    </w:p>
    <w:p w14:paraId="65AFCEA0" w14:textId="77777777" w:rsidR="002F2D59" w:rsidRDefault="00023E71" w:rsidP="002F2D59">
      <w:pPr>
        <w:pStyle w:val="HEADER5"/>
        <w:rPr>
          <w:noProof/>
        </w:rPr>
      </w:pPr>
      <w:r w:rsidRPr="00476775">
        <w:rPr>
          <w:noProof/>
        </w:rPr>
        <w:t xml:space="preserve">Heading 5 </w:t>
      </w:r>
      <w:r>
        <w:rPr>
          <w:noProof/>
        </w:rPr>
        <w:t>–</w:t>
      </w:r>
      <w:r w:rsidRPr="00476775">
        <w:rPr>
          <w:noProof/>
        </w:rPr>
        <w:t xml:space="preserve"> </w:t>
      </w:r>
      <w:r w:rsidRPr="0070669C">
        <w:rPr>
          <w:noProof/>
        </w:rPr>
        <w:t>Security and Defence</w:t>
      </w:r>
    </w:p>
    <w:p w14:paraId="2496B5A8" w14:textId="77777777" w:rsidR="002F2D59" w:rsidRDefault="00023E71" w:rsidP="002F2D59">
      <w:pPr>
        <w:pStyle w:val="Textstand-alone"/>
      </w:pPr>
      <w:r>
        <w:t>This heading reflects the increased need for cooperation at Union level to address security threats and increase its strategic autonomy. It includes programmes whose role is to improve the security and safety of Europe’s citizens (Internal Security Fund), to strengthen Europe’s defence capacities (European Defence Fund), and to provide the tools needed to respond to internal and external security challenges.</w:t>
      </w:r>
    </w:p>
    <w:p w14:paraId="44C3A63A" w14:textId="77777777" w:rsidR="002F2D59" w:rsidRDefault="00023E71" w:rsidP="002F2D59">
      <w:pPr>
        <w:pStyle w:val="HEADER5"/>
        <w:rPr>
          <w:noProof/>
        </w:rPr>
      </w:pPr>
      <w:r w:rsidRPr="00476775">
        <w:rPr>
          <w:noProof/>
        </w:rPr>
        <w:t xml:space="preserve">Heading </w:t>
      </w:r>
      <w:r>
        <w:rPr>
          <w:noProof/>
        </w:rPr>
        <w:t>6</w:t>
      </w:r>
      <w:r w:rsidRPr="00476775">
        <w:rPr>
          <w:noProof/>
        </w:rPr>
        <w:t xml:space="preserve"> </w:t>
      </w:r>
      <w:r>
        <w:rPr>
          <w:noProof/>
        </w:rPr>
        <w:t>–</w:t>
      </w:r>
      <w:r w:rsidRPr="00476775">
        <w:rPr>
          <w:noProof/>
        </w:rPr>
        <w:t xml:space="preserve"> </w:t>
      </w:r>
      <w:r w:rsidRPr="00A3060F">
        <w:rPr>
          <w:noProof/>
        </w:rPr>
        <w:t>Neighbourhood and the World</w:t>
      </w:r>
    </w:p>
    <w:p w14:paraId="20CCE1C1" w14:textId="77777777" w:rsidR="002F2D59" w:rsidRDefault="00023E71" w:rsidP="002F2D59">
      <w:pPr>
        <w:pStyle w:val="Textstand-alone"/>
      </w:pPr>
      <w:r>
        <w:t xml:space="preserve">Programmes under this heading reinforce the EU socio-economic impact in its neighbourhood, in developing countries and the rest of the world. </w:t>
      </w:r>
      <w:r w:rsidRPr="002C26DD">
        <w:t>The new NDICI- Global Europe instrument merges several former EU</w:t>
      </w:r>
      <w:r>
        <w:t xml:space="preserve"> external financing instruments, including cooperation with </w:t>
      </w:r>
      <w:r w:rsidRPr="002C26DD">
        <w:t>African, Caribbean and Pacific (ACP) countries</w:t>
      </w:r>
      <w:r>
        <w:t xml:space="preserve"> previously financed by the European Development Fund. The heading also includes assistance for countries preparing for accession to the EU (Pre-accession assistance) and the Union’s Humanitarian Aid programme.</w:t>
      </w:r>
    </w:p>
    <w:p w14:paraId="6EFD650E" w14:textId="77777777" w:rsidR="002F2D59" w:rsidRDefault="00023E71" w:rsidP="002F2D59">
      <w:pPr>
        <w:pStyle w:val="DGTextstand-alone"/>
      </w:pPr>
      <w:r>
        <w:rPr>
          <w:color w:val="016794"/>
          <w:lang w:eastAsia="en-GB"/>
        </w:rPr>
        <w:t xml:space="preserve">Heading 7 - </w:t>
      </w:r>
      <w:r w:rsidRPr="00745ACC">
        <w:rPr>
          <w:color w:val="016794"/>
          <w:lang w:eastAsia="en-GB"/>
        </w:rPr>
        <w:t>European Public Administration</w:t>
      </w:r>
    </w:p>
    <w:p w14:paraId="0A1AAFEB" w14:textId="77777777" w:rsidR="002F2D59" w:rsidRPr="00476775" w:rsidRDefault="00023E71" w:rsidP="002F2D59">
      <w:pPr>
        <w:pStyle w:val="Textstand-alone"/>
      </w:pPr>
      <w:r w:rsidRPr="00476775">
        <w:t xml:space="preserve">This heading covers administrative expenditure for all institutions, pensions and the European Schools. </w:t>
      </w:r>
    </w:p>
    <w:p w14:paraId="3CDB7827" w14:textId="77777777" w:rsidR="002F2D59" w:rsidRPr="006E6EDD" w:rsidRDefault="00023E71" w:rsidP="002F2D59">
      <w:pPr>
        <w:pStyle w:val="HEADER5"/>
        <w:rPr>
          <w:noProof/>
        </w:rPr>
      </w:pPr>
      <w:r>
        <w:rPr>
          <w:noProof/>
        </w:rPr>
        <w:t xml:space="preserve">S - </w:t>
      </w:r>
      <w:r w:rsidRPr="006E6EDD">
        <w:rPr>
          <w:noProof/>
        </w:rPr>
        <w:t>Special instruments</w:t>
      </w:r>
    </w:p>
    <w:p w14:paraId="4A9D4955" w14:textId="77777777" w:rsidR="002F2D59" w:rsidRPr="00476775" w:rsidRDefault="00023E71" w:rsidP="002F2D59">
      <w:pPr>
        <w:pStyle w:val="Textstand-alone"/>
      </w:pPr>
      <w:r w:rsidRPr="006E6EDD">
        <w:t>Flexibility mechanisms in the EU budget enable the EU to mobilise the necessary funds to react to unforeseen events such as crisis</w:t>
      </w:r>
      <w:r w:rsidRPr="007E062E">
        <w:t>, natural disasters</w:t>
      </w:r>
      <w:r w:rsidRPr="006E6EDD">
        <w:t xml:space="preserve"> and emergency situations. Their scope, financial allocation and operating modalities are provided for in the MFF Regulation and the Inter </w:t>
      </w:r>
      <w:r>
        <w:t>I</w:t>
      </w:r>
      <w:r w:rsidRPr="006E6EDD">
        <w:t>nstitutional Agreement. They ensure that budgetary resources can respond to evolving priorities, so that every euro is used where it is most needed.</w:t>
      </w:r>
    </w:p>
    <w:p w14:paraId="0F132191" w14:textId="77777777" w:rsidR="009D707B" w:rsidRDefault="00023E71" w:rsidP="002F2D59">
      <w:pPr>
        <w:pStyle w:val="Textstand-alone"/>
      </w:pPr>
      <w:r w:rsidRPr="006E6EDD">
        <w:t xml:space="preserve">In the annual budgetary nomenclature and implementation, they are identified </w:t>
      </w:r>
      <w:r w:rsidRPr="007E062E">
        <w:t>as special instruments</w:t>
      </w:r>
      <w:r>
        <w:t xml:space="preserve"> (‘S’)</w:t>
      </w:r>
      <w:r w:rsidRPr="006E6EDD">
        <w:t xml:space="preserve">, </w:t>
      </w:r>
      <w:r>
        <w:t>as</w:t>
      </w:r>
      <w:r w:rsidRPr="006E6EDD">
        <w:t xml:space="preserve"> they can be mobilised over and above the MFF expenditure ceilings</w:t>
      </w:r>
      <w:r w:rsidRPr="007E062E">
        <w:t>, both for commitment and payment appropriations</w:t>
      </w:r>
      <w:r w:rsidRPr="006E6EDD">
        <w:t xml:space="preserve">. </w:t>
      </w:r>
    </w:p>
    <w:p w14:paraId="6BFB696D" w14:textId="77777777" w:rsidR="009D707B" w:rsidRPr="00C41F25" w:rsidRDefault="00023E71" w:rsidP="009D707B">
      <w:pPr>
        <w:pStyle w:val="HEADER2PartBUDG"/>
        <w:spacing w:before="0"/>
        <w:ind w:left="357" w:hanging="357"/>
        <w:rPr>
          <w:noProof/>
        </w:rPr>
      </w:pPr>
      <w:r w:rsidRPr="0036507E">
        <w:rPr>
          <w:noProof/>
          <w:lang w:val="en-IE"/>
        </w:rPr>
        <w:br w:type="page"/>
      </w:r>
      <w:bookmarkStart w:id="270" w:name="_Toc177134512"/>
      <w:bookmarkStart w:id="271" w:name="_Toc232674380"/>
      <w:r>
        <w:rPr>
          <w:noProof/>
        </w:rPr>
        <w:t>MFF DETAILED HEADINGS (PROGRAMMES)</w:t>
      </w:r>
      <w:bookmarkEnd w:id="270"/>
      <w:bookmarkEnd w:id="271"/>
    </w:p>
    <w:p w14:paraId="27086BD1" w14:textId="77777777" w:rsidR="002F2D59" w:rsidRDefault="00023E71" w:rsidP="002F2D59">
      <w:pPr>
        <w:pStyle w:val="Textstand-alone"/>
      </w:pPr>
      <w:r>
        <w:t xml:space="preserve">The headings of the MFF are further broken down into detailed headings, corresponding to the main spending programmes (e.g. Horizon 2020, Erasmus+ etc.). Underlying legal bases for budget implementation are adopted at this programme level. Programmes are the commonly used structure for reporting on implementation and results. Tables by programme are shown in the budgetary implementation reports </w:t>
      </w:r>
      <w:r w:rsidRPr="00D17D51">
        <w:t xml:space="preserve">(see tables </w:t>
      </w:r>
      <w:r>
        <w:rPr>
          <w:b/>
        </w:rPr>
        <w:t>6</w:t>
      </w:r>
      <w:r w:rsidRPr="00CD042A">
        <w:rPr>
          <w:b/>
        </w:rPr>
        <w:t>.</w:t>
      </w:r>
      <w:r>
        <w:rPr>
          <w:b/>
        </w:rPr>
        <w:t xml:space="preserve">6 </w:t>
      </w:r>
      <w:r w:rsidRPr="00CD042A">
        <w:rPr>
          <w:b/>
        </w:rPr>
        <w:t>-</w:t>
      </w:r>
      <w:r>
        <w:rPr>
          <w:b/>
        </w:rPr>
        <w:t xml:space="preserve"> 6</w:t>
      </w:r>
      <w:r w:rsidRPr="00CD042A">
        <w:rPr>
          <w:b/>
        </w:rPr>
        <w:t>.1</w:t>
      </w:r>
      <w:r>
        <w:rPr>
          <w:b/>
        </w:rPr>
        <w:t xml:space="preserve">0 </w:t>
      </w:r>
      <w:r w:rsidRPr="0029139E">
        <w:t>below</w:t>
      </w:r>
      <w:r w:rsidRPr="00D17D51">
        <w:t>)</w:t>
      </w:r>
      <w:r>
        <w:t>.</w:t>
      </w:r>
    </w:p>
    <w:p w14:paraId="091CF617" w14:textId="77777777" w:rsidR="002F2D59" w:rsidRPr="00DF7DC1" w:rsidRDefault="00023E71" w:rsidP="002F2D59">
      <w:pPr>
        <w:pStyle w:val="HEADER2PartBUDG"/>
        <w:rPr>
          <w:noProof/>
        </w:rPr>
      </w:pPr>
      <w:bookmarkStart w:id="272" w:name="_Toc177134513"/>
      <w:bookmarkStart w:id="273" w:name="_Toc200103453"/>
      <w:bookmarkStart w:id="274" w:name="_Toc232674381"/>
      <w:r>
        <w:rPr>
          <w:noProof/>
        </w:rPr>
        <w:t>NextGenerationEU</w:t>
      </w:r>
      <w:bookmarkEnd w:id="272"/>
      <w:bookmarkEnd w:id="273"/>
      <w:bookmarkEnd w:id="274"/>
    </w:p>
    <w:p w14:paraId="37197692" w14:textId="77777777" w:rsidR="002F2D59" w:rsidRPr="00DF7DC1" w:rsidRDefault="00023E71" w:rsidP="002F2D59">
      <w:pPr>
        <w:pStyle w:val="Textstand-alone"/>
      </w:pPr>
      <w:r w:rsidRPr="00DF7DC1">
        <w:t>With a budget of EUR 42</w:t>
      </w:r>
      <w:r>
        <w:t>0</w:t>
      </w:r>
      <w:r w:rsidRPr="00DF7DC1">
        <w:t>.</w:t>
      </w:r>
      <w:r>
        <w:t>8</w:t>
      </w:r>
      <w:r w:rsidRPr="00DF7DC1">
        <w:t xml:space="preserve"> billion for the non-repayable support, </w:t>
      </w:r>
      <w:r>
        <w:t>NGEU</w:t>
      </w:r>
      <w:r w:rsidRPr="00DF7DC1">
        <w:t xml:space="preserve"> has a major impact on the total EU annual budgets 2021 through </w:t>
      </w:r>
      <w:r>
        <w:t xml:space="preserve">to </w:t>
      </w:r>
      <w:r w:rsidRPr="00DF7DC1">
        <w:t xml:space="preserve">2026 and </w:t>
      </w:r>
      <w:r>
        <w:t xml:space="preserve">on </w:t>
      </w:r>
      <w:r w:rsidRPr="00DF7DC1">
        <w:t>their implementation. In 2021, this amount has been fully inscribed as assigned revenue</w:t>
      </w:r>
      <w:r>
        <w:t xml:space="preserve"> appropriations</w:t>
      </w:r>
      <w:r w:rsidRPr="00DF7DC1">
        <w:t xml:space="preserve">. All commitments for the non-repayable support </w:t>
      </w:r>
      <w:r>
        <w:t>were</w:t>
      </w:r>
      <w:r w:rsidRPr="00DF7DC1">
        <w:t xml:space="preserve"> entered by 31 December 2023 and </w:t>
      </w:r>
      <w:r>
        <w:t xml:space="preserve">will </w:t>
      </w:r>
      <w:r w:rsidRPr="00DF7DC1">
        <w:t>be honoured by payments by 31 December 2026, in accordance with the Articles 3</w:t>
      </w:r>
      <w:r>
        <w:t> </w:t>
      </w:r>
      <w:r w:rsidRPr="00DF7DC1">
        <w:t>(4) and 3</w:t>
      </w:r>
      <w:r>
        <w:t> </w:t>
      </w:r>
      <w:r w:rsidRPr="00DF7DC1">
        <w:t>(9) of the EURI Regulation</w:t>
      </w:r>
      <w:r>
        <w:rPr>
          <w:sz w:val="16"/>
          <w:vertAlign w:val="superscript"/>
        </w:rPr>
        <w:footnoteReference w:id="59"/>
      </w:r>
      <w:r w:rsidRPr="00DF7DC1">
        <w:t>.</w:t>
      </w:r>
    </w:p>
    <w:p w14:paraId="66E68AF0" w14:textId="0B4BE42B" w:rsidR="002F2D59" w:rsidRDefault="00023E71" w:rsidP="002F2D59">
      <w:pPr>
        <w:pStyle w:val="Textstand-alone"/>
      </w:pPr>
      <w:r w:rsidRPr="00DF7DC1">
        <w:t xml:space="preserve">For a comprehensive overview of the </w:t>
      </w:r>
      <w:r>
        <w:t>NGEU activities</w:t>
      </w:r>
      <w:r w:rsidRPr="00DF7DC1">
        <w:t xml:space="preserve">, consult </w:t>
      </w:r>
      <w:r w:rsidR="008E77B6">
        <w:t>S</w:t>
      </w:r>
      <w:r w:rsidRPr="00DF7DC1">
        <w:t xml:space="preserve">ection </w:t>
      </w:r>
      <w:r w:rsidRPr="0054101B">
        <w:rPr>
          <w:b/>
        </w:rPr>
        <w:t>3</w:t>
      </w:r>
      <w:r w:rsidRPr="00DF7DC1">
        <w:t xml:space="preserve"> </w:t>
      </w:r>
      <w:r>
        <w:t>of</w:t>
      </w:r>
      <w:r w:rsidRPr="00DF7DC1">
        <w:t xml:space="preserve"> the Financial Highlights of the Year.</w:t>
      </w:r>
    </w:p>
    <w:p w14:paraId="356D1977" w14:textId="77777777" w:rsidR="006334EE" w:rsidRDefault="006334EE" w:rsidP="006334EE">
      <w:pPr>
        <w:pStyle w:val="Textstand-alone"/>
      </w:pPr>
    </w:p>
    <w:p w14:paraId="3576C2DF" w14:textId="77777777" w:rsidR="006334EE" w:rsidRDefault="00023E71">
      <w:pPr>
        <w:rPr>
          <w:rFonts w:ascii="Verdana" w:eastAsia="Calibri" w:hAnsi="Verdana"/>
          <w:noProof/>
          <w:sz w:val="18"/>
          <w:szCs w:val="18"/>
        </w:rPr>
      </w:pPr>
      <w:r>
        <w:rPr>
          <w:noProof/>
        </w:rPr>
        <w:br w:type="page"/>
      </w:r>
    </w:p>
    <w:p w14:paraId="281EBA48" w14:textId="77777777" w:rsidR="006334EE" w:rsidRPr="00A649FE" w:rsidRDefault="00023E71" w:rsidP="00A649FE">
      <w:pPr>
        <w:pStyle w:val="HEADER2PartBUDG"/>
        <w:rPr>
          <w:noProof/>
        </w:rPr>
      </w:pPr>
      <w:bookmarkStart w:id="275" w:name="_Toc232674382"/>
      <w:r w:rsidRPr="00A649FE">
        <w:rPr>
          <w:noProof/>
        </w:rPr>
        <w:t>ANNUAL BUDGET</w:t>
      </w:r>
      <w:bookmarkEnd w:id="275"/>
    </w:p>
    <w:p w14:paraId="3DDD2AC2" w14:textId="77777777" w:rsidR="00487CA0" w:rsidRDefault="00023E71" w:rsidP="006334EE">
      <w:pPr>
        <w:pStyle w:val="Textstand-alone"/>
      </w:pPr>
      <w:r w:rsidRPr="006334EE">
        <w:t>The budget adoption procedure is laid down in Article 314 of the Treaty on the Functioning of the EU. The following diagram presents the deadlines as well as the steps of the budget adoption.</w:t>
      </w:r>
    </w:p>
    <w:p w14:paraId="62F1575A" w14:textId="6F499478" w:rsidR="00E379A5" w:rsidRDefault="00E379A5" w:rsidP="006334EE">
      <w:pPr>
        <w:pStyle w:val="Textstand-alone"/>
      </w:pPr>
      <w:r w:rsidRPr="00E379A5">
        <w:rPr>
          <w:lang w:eastAsia="en-GB"/>
        </w:rPr>
        <w:drawing>
          <wp:inline distT="0" distB="0" distL="0" distR="0" wp14:anchorId="74D1BC0C" wp14:editId="0965A1E4">
            <wp:extent cx="6120765" cy="5551805"/>
            <wp:effectExtent l="0" t="0" r="0" b="0"/>
            <wp:docPr id="284720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20113" name=""/>
                    <pic:cNvPicPr/>
                  </pic:nvPicPr>
                  <pic:blipFill>
                    <a:blip r:embed="rId151"/>
                    <a:stretch>
                      <a:fillRect/>
                    </a:stretch>
                  </pic:blipFill>
                  <pic:spPr>
                    <a:xfrm>
                      <a:off x="0" y="0"/>
                      <a:ext cx="6120765" cy="5551805"/>
                    </a:xfrm>
                    <a:prstGeom prst="rect">
                      <a:avLst/>
                    </a:prstGeom>
                  </pic:spPr>
                </pic:pic>
              </a:graphicData>
            </a:graphic>
          </wp:inline>
        </w:drawing>
      </w:r>
    </w:p>
    <w:p w14:paraId="560D566B" w14:textId="77777777" w:rsidR="004B7BE6" w:rsidRPr="004B7BE6" w:rsidRDefault="00023E71" w:rsidP="00172034">
      <w:pPr>
        <w:pStyle w:val="Textstand-alone"/>
        <w:numPr>
          <w:ilvl w:val="0"/>
          <w:numId w:val="26"/>
        </w:numPr>
      </w:pPr>
      <w:r w:rsidRPr="00822E20">
        <w:t>In practice, the three institutions endeavour to present their respective documents earlier in the year in order to smooth the process.</w:t>
      </w:r>
    </w:p>
    <w:p w14:paraId="58B92C66" w14:textId="77777777" w:rsidR="004B7BE6" w:rsidRDefault="00023E71" w:rsidP="00172034">
      <w:pPr>
        <w:pStyle w:val="Textstand-alone"/>
        <w:numPr>
          <w:ilvl w:val="0"/>
          <w:numId w:val="26"/>
        </w:numPr>
      </w:pPr>
      <w:r w:rsidRPr="00822E20">
        <w:t>The Conciliation Committee is composed of the members of the Council or their representatives and an equal number of members representing the European Parliament. The Commission takes part in the Conciliation Committee’s proceedings and takes all the necessary initiatives to reconcile the positions of the European Parliament and the Council.</w:t>
      </w:r>
    </w:p>
    <w:p w14:paraId="52E9239D" w14:textId="77777777" w:rsidR="004B7BE6" w:rsidRDefault="00023E71" w:rsidP="00172034">
      <w:pPr>
        <w:pStyle w:val="Textstand-alone"/>
        <w:numPr>
          <w:ilvl w:val="0"/>
          <w:numId w:val="26"/>
        </w:numPr>
      </w:pPr>
      <w:r>
        <w:t>The</w:t>
      </w:r>
      <w:r w:rsidRPr="00822E20">
        <w:t xml:space="preserve"> European Parliament approves the joint text and then, within 14 days of </w:t>
      </w:r>
      <w:r>
        <w:t xml:space="preserve">the </w:t>
      </w:r>
      <w:r w:rsidRPr="00822E20">
        <w:t>Council’s rejection, decides (by a majority of its component members and 3/5 of the votes cast) to confirm all or some of its amendments.</w:t>
      </w:r>
    </w:p>
    <w:p w14:paraId="550820B7" w14:textId="77777777" w:rsidR="00305D5C" w:rsidRPr="00476775" w:rsidRDefault="00023E71" w:rsidP="004F403C">
      <w:pPr>
        <w:pStyle w:val="Textstand-alone"/>
      </w:pPr>
      <w:r w:rsidRPr="00476775">
        <w:t>The budget structure for the Commission consists of administrative and operational appropriations. The other Institutions have only administrative appropriations. Furthermore, the budget distinguishes between two types of appropriations: non-differentiated and differentiated. Non-differentiated appropriations are used to finance operations of an annual nature (which comply with the principle of annuality). Differentiated appropriations are used in order to reconcile the principle of annuality with the need to manage multiannual operations. Differentiated appropriations are split into commitment and payment appropriations:</w:t>
      </w:r>
    </w:p>
    <w:p w14:paraId="33DBEECA" w14:textId="77777777" w:rsidR="00305D5C" w:rsidRPr="00476775" w:rsidRDefault="00023E71" w:rsidP="00CD1C59">
      <w:pPr>
        <w:pStyle w:val="DGTextstand-alonedashesjustified"/>
      </w:pPr>
      <w:r w:rsidRPr="00476775">
        <w:rPr>
          <w:color w:val="016794"/>
        </w:rPr>
        <w:t>commitment appropriations</w:t>
      </w:r>
      <w:r w:rsidRPr="00476775">
        <w:t>: cover the total cost of the legal obligations</w:t>
      </w:r>
      <w:r>
        <w:t>,</w:t>
      </w:r>
      <w:r w:rsidRPr="00476775">
        <w:t xml:space="preserve"> entered into for the current financial year</w:t>
      </w:r>
      <w:r>
        <w:t>,</w:t>
      </w:r>
      <w:r w:rsidRPr="00476775">
        <w:t xml:space="preserve"> for operations extending over a number of years. However, budgetary commitments for actions extending over more than one financial year may be broken down over several years</w:t>
      </w:r>
      <w:r>
        <w:t>,</w:t>
      </w:r>
      <w:r w:rsidRPr="00476775">
        <w:t xml:space="preserve"> into annual instalments</w:t>
      </w:r>
      <w:r>
        <w:t>,</w:t>
      </w:r>
      <w:r w:rsidRPr="00476775">
        <w:t xml:space="preserve"> where the basic act so provides.</w:t>
      </w:r>
    </w:p>
    <w:p w14:paraId="17647ADA" w14:textId="77777777" w:rsidR="00305D5C" w:rsidRPr="00476775" w:rsidRDefault="00023E71" w:rsidP="00CD1C59">
      <w:pPr>
        <w:pStyle w:val="DGTextstand-alonedashesjustified"/>
      </w:pPr>
      <w:r w:rsidRPr="00476775">
        <w:rPr>
          <w:color w:val="016794"/>
        </w:rPr>
        <w:t>payment appropriations</w:t>
      </w:r>
      <w:r w:rsidRPr="00476775">
        <w:t>: cover expenditure arising from commitments entered into in the current financial year and/or earlier financial years.</w:t>
      </w:r>
    </w:p>
    <w:p w14:paraId="04C9AAE8" w14:textId="77777777" w:rsidR="00305D5C" w:rsidRPr="00476775" w:rsidRDefault="00023E71" w:rsidP="004F403C">
      <w:pPr>
        <w:pStyle w:val="Textstand-alone"/>
      </w:pPr>
      <w:r w:rsidRPr="00476775">
        <w:t>In the accounts, the types of funding are grouped into two main items:</w:t>
      </w:r>
    </w:p>
    <w:p w14:paraId="47AE321D" w14:textId="77777777" w:rsidR="00305D5C" w:rsidRPr="00476775" w:rsidRDefault="00023E71" w:rsidP="00CD1C59">
      <w:pPr>
        <w:pStyle w:val="DGTextstand-alonedashesjustified"/>
      </w:pPr>
      <w:r w:rsidRPr="00476775">
        <w:t>Final adopted budget appropriations</w:t>
      </w:r>
      <w:r>
        <w:t>; and</w:t>
      </w:r>
    </w:p>
    <w:p w14:paraId="00C56658" w14:textId="77777777" w:rsidR="00305D5C" w:rsidRPr="00476775" w:rsidRDefault="00023E71" w:rsidP="00CD1C59">
      <w:pPr>
        <w:pStyle w:val="DGTextstand-alonedashesjustified"/>
      </w:pPr>
      <w:r w:rsidRPr="00476775">
        <w:t>Additional appropriations containing</w:t>
      </w:r>
      <w:r>
        <w:t>:</w:t>
      </w:r>
    </w:p>
    <w:p w14:paraId="2FF3EF59" w14:textId="77777777" w:rsidR="00305D5C" w:rsidRPr="00476775" w:rsidRDefault="00023E71" w:rsidP="00172034">
      <w:pPr>
        <w:pStyle w:val="Textstand-alone"/>
        <w:numPr>
          <w:ilvl w:val="0"/>
          <w:numId w:val="27"/>
        </w:numPr>
        <w:tabs>
          <w:tab w:val="clear" w:pos="0"/>
        </w:tabs>
        <w:spacing w:before="120" w:after="0"/>
        <w:ind w:left="1134" w:hanging="425"/>
      </w:pPr>
      <w:r w:rsidRPr="00476775">
        <w:t>Carry</w:t>
      </w:r>
      <w:r w:rsidR="00C1768D">
        <w:t>-</w:t>
      </w:r>
      <w:r w:rsidRPr="00476775">
        <w:t xml:space="preserve">overs from previous year (the </w:t>
      </w:r>
      <w:r>
        <w:t>F</w:t>
      </w:r>
      <w:r w:rsidRPr="00476775">
        <w:t xml:space="preserve">inancial </w:t>
      </w:r>
      <w:r>
        <w:t>R</w:t>
      </w:r>
      <w:r w:rsidRPr="00476775">
        <w:t>egulation allows</w:t>
      </w:r>
      <w:r>
        <w:t>,</w:t>
      </w:r>
      <w:r w:rsidRPr="00476775">
        <w:t xml:space="preserve"> for a limited number of cases</w:t>
      </w:r>
      <w:r>
        <w:t>,</w:t>
      </w:r>
      <w:r w:rsidRPr="00476775">
        <w:t xml:space="preserve"> to carry unspent amounts from the previous year into the current year); and</w:t>
      </w:r>
    </w:p>
    <w:p w14:paraId="3C31F7B5" w14:textId="77777777" w:rsidR="00305D5C" w:rsidRPr="00476775" w:rsidRDefault="00023E71" w:rsidP="00172034">
      <w:pPr>
        <w:pStyle w:val="Textstand-alone"/>
        <w:numPr>
          <w:ilvl w:val="0"/>
          <w:numId w:val="27"/>
        </w:numPr>
        <w:tabs>
          <w:tab w:val="clear" w:pos="0"/>
        </w:tabs>
        <w:spacing w:before="0"/>
        <w:ind w:left="1134" w:hanging="425"/>
      </w:pPr>
      <w:r w:rsidRPr="00476775">
        <w:t>Assigned revenue arising from reimbursements, contributions from third parties/countries to EU program</w:t>
      </w:r>
      <w:r>
        <w:t>me</w:t>
      </w:r>
      <w:r w:rsidRPr="00476775">
        <w:t>s and work performed for third parties</w:t>
      </w:r>
      <w:r>
        <w:t>; these</w:t>
      </w:r>
      <w:r w:rsidRPr="00476775">
        <w:t xml:space="preserve"> are assigned directly to the corresponding expenditure budget lines and constitute the third pillar of funding</w:t>
      </w:r>
      <w:r>
        <w:t>.</w:t>
      </w:r>
    </w:p>
    <w:p w14:paraId="63F8BFF1" w14:textId="77777777" w:rsidR="006C6D2A" w:rsidRDefault="00023E71" w:rsidP="004F403C">
      <w:pPr>
        <w:pStyle w:val="Textstand-alone"/>
      </w:pPr>
      <w:r w:rsidRPr="00476775">
        <w:t>All funding types together form the available appropriations.</w:t>
      </w:r>
    </w:p>
    <w:bookmarkEnd w:id="263"/>
    <w:p w14:paraId="58E87956" w14:textId="77777777" w:rsidR="00463D80" w:rsidRDefault="00463D80" w:rsidP="004F403C">
      <w:pPr>
        <w:pStyle w:val="Textstand-alone"/>
        <w:sectPr w:rsidR="00463D80">
          <w:headerReference w:type="default" r:id="rId152"/>
          <w:footerReference w:type="default" r:id="rId153"/>
          <w:pgSz w:w="11907" w:h="16840" w:code="9"/>
          <w:pgMar w:top="1134" w:right="1134" w:bottom="1134" w:left="1134" w:header="709" w:footer="709" w:gutter="0"/>
          <w:cols w:space="708"/>
          <w:docGrid w:linePitch="360"/>
        </w:sectPr>
      </w:pPr>
    </w:p>
    <w:p w14:paraId="6983AA96" w14:textId="77777777" w:rsidR="00B50315" w:rsidRPr="00FA1EC5" w:rsidRDefault="00023E71" w:rsidP="00B50315">
      <w:pPr>
        <w:pStyle w:val="HEADER2PartBUDG"/>
        <w:tabs>
          <w:tab w:val="clear" w:pos="907"/>
          <w:tab w:val="left" w:pos="709"/>
        </w:tabs>
        <w:ind w:left="360" w:hanging="360"/>
        <w:rPr>
          <w:noProof/>
        </w:rPr>
      </w:pPr>
      <w:bookmarkStart w:id="276" w:name="_Toc177134515"/>
      <w:bookmarkStart w:id="277" w:name="_Toc232674383"/>
      <w:bookmarkStart w:id="278" w:name="_DMBM_36791"/>
      <w:r w:rsidRPr="00FA1EC5">
        <w:rPr>
          <w:noProof/>
        </w:rPr>
        <w:t>REVENUE</w:t>
      </w:r>
      <w:bookmarkEnd w:id="276"/>
      <w:bookmarkEnd w:id="277"/>
    </w:p>
    <w:p w14:paraId="7B342E3B" w14:textId="77777777" w:rsidR="00B50315" w:rsidRPr="00FA1EC5" w:rsidRDefault="00023E71" w:rsidP="00B50315">
      <w:pPr>
        <w:pStyle w:val="HEADER3PartBUGD"/>
        <w:tabs>
          <w:tab w:val="clear" w:pos="907"/>
        </w:tabs>
        <w:ind w:left="851" w:hanging="284"/>
        <w:rPr>
          <w:noProof/>
        </w:rPr>
      </w:pPr>
      <w:bookmarkStart w:id="279" w:name="_Hlk158733088"/>
      <w:r w:rsidRPr="00FA1EC5">
        <w:rPr>
          <w:noProof/>
        </w:rPr>
        <w:t>Own resources revenue</w:t>
      </w:r>
    </w:p>
    <w:bookmarkEnd w:id="279"/>
    <w:p w14:paraId="1BDE834C" w14:textId="77777777" w:rsidR="000947A9" w:rsidRPr="00FA1EC5" w:rsidRDefault="00023E71" w:rsidP="000947A9">
      <w:pPr>
        <w:pStyle w:val="DGTextstand-alone"/>
      </w:pPr>
      <w:r w:rsidRPr="00FA1EC5">
        <w:t xml:space="preserve">The vast majority of revenue comes from own resources, which consist of the following categories: </w:t>
      </w:r>
    </w:p>
    <w:p w14:paraId="425FC9CF" w14:textId="77777777" w:rsidR="000947A9" w:rsidRDefault="00023E71" w:rsidP="00172034">
      <w:pPr>
        <w:pStyle w:val="DGTextstand-alone"/>
        <w:numPr>
          <w:ilvl w:val="0"/>
          <w:numId w:val="28"/>
        </w:numPr>
        <w:pBdr>
          <w:top w:val="nil"/>
          <w:left w:val="nil"/>
          <w:bottom w:val="nil"/>
          <w:right w:val="nil"/>
          <w:between w:val="nil"/>
          <w:bar w:val="nil"/>
        </w:pBdr>
      </w:pPr>
      <w:r w:rsidRPr="00FA1EC5">
        <w:t xml:space="preserve">Traditional own resources (TOR): accounted for around </w:t>
      </w:r>
      <w:r>
        <w:t>14</w:t>
      </w:r>
      <w:r w:rsidRPr="00FA1EC5">
        <w:t>% of own resources revenue in 202</w:t>
      </w:r>
      <w:r>
        <w:t>5</w:t>
      </w:r>
      <w:r w:rsidRPr="00FA1EC5">
        <w:t>.</w:t>
      </w:r>
    </w:p>
    <w:p w14:paraId="6FCDE3D0" w14:textId="77777777" w:rsidR="000947A9" w:rsidRDefault="00023E71" w:rsidP="00172034">
      <w:pPr>
        <w:pStyle w:val="DGTextstand-alone"/>
        <w:numPr>
          <w:ilvl w:val="0"/>
          <w:numId w:val="28"/>
        </w:numPr>
        <w:pBdr>
          <w:top w:val="nil"/>
          <w:left w:val="nil"/>
          <w:bottom w:val="nil"/>
          <w:right w:val="nil"/>
          <w:between w:val="nil"/>
          <w:bar w:val="nil"/>
        </w:pBdr>
      </w:pPr>
      <w:r w:rsidRPr="00FA1EC5">
        <w:t xml:space="preserve">Value added tax (VAT) based resource: accounted for around </w:t>
      </w:r>
      <w:r>
        <w:t>17</w:t>
      </w:r>
      <w:r w:rsidRPr="00FA1EC5">
        <w:t>% of own resources revenue in 202</w:t>
      </w:r>
      <w:r>
        <w:t>5</w:t>
      </w:r>
      <w:r w:rsidRPr="00FA1EC5">
        <w:t>.</w:t>
      </w:r>
    </w:p>
    <w:p w14:paraId="48A985B1" w14:textId="77777777" w:rsidR="000947A9" w:rsidRDefault="00023E71" w:rsidP="00172034">
      <w:pPr>
        <w:pStyle w:val="DGTextstand-alone"/>
        <w:numPr>
          <w:ilvl w:val="0"/>
          <w:numId w:val="28"/>
        </w:numPr>
        <w:pBdr>
          <w:top w:val="nil"/>
          <w:left w:val="nil"/>
          <w:bottom w:val="nil"/>
          <w:right w:val="nil"/>
          <w:between w:val="nil"/>
          <w:bar w:val="nil"/>
        </w:pBdr>
      </w:pPr>
      <w:r w:rsidRPr="00FA1EC5">
        <w:t>Resource based on plastic packaging waste that is not recycled: accounted for around 5% of own resources revenue in 202</w:t>
      </w:r>
      <w:r>
        <w:t>5</w:t>
      </w:r>
      <w:r w:rsidRPr="00FA1EC5">
        <w:t>.</w:t>
      </w:r>
    </w:p>
    <w:p w14:paraId="2A7ABD21" w14:textId="77777777" w:rsidR="000947A9" w:rsidRPr="00FA1EC5" w:rsidRDefault="00023E71" w:rsidP="00172034">
      <w:pPr>
        <w:pStyle w:val="DGTextstand-alone"/>
        <w:numPr>
          <w:ilvl w:val="0"/>
          <w:numId w:val="28"/>
        </w:numPr>
        <w:pBdr>
          <w:top w:val="nil"/>
          <w:left w:val="nil"/>
          <w:bottom w:val="nil"/>
          <w:right w:val="nil"/>
          <w:between w:val="nil"/>
          <w:bar w:val="nil"/>
        </w:pBdr>
      </w:pPr>
      <w:r w:rsidRPr="00FA1EC5">
        <w:t xml:space="preserve">Gross national income (GNI) based resource: accounted for around </w:t>
      </w:r>
      <w:r>
        <w:t>64</w:t>
      </w:r>
      <w:r w:rsidRPr="00FA1EC5">
        <w:t>% of own resources revenue in 202</w:t>
      </w:r>
      <w:r>
        <w:t>4</w:t>
      </w:r>
      <w:r w:rsidRPr="00FA1EC5">
        <w:t>.</w:t>
      </w:r>
    </w:p>
    <w:p w14:paraId="41B66F0F" w14:textId="77777777" w:rsidR="000947A9" w:rsidRPr="00FA1EC5" w:rsidRDefault="00023E71" w:rsidP="000947A9">
      <w:pPr>
        <w:pStyle w:val="DGTextstand-alone"/>
      </w:pPr>
      <w:r w:rsidRPr="00FA1EC5">
        <w:t xml:space="preserve">Council Decision (EU, Euratom) 2020/2053 of 14 December 2020 on the system of own resources of the EU (Own Resources Decision 2020) specifies the categories of own resources and lays down the methods for their calculation. This decision entered into force on 1 June 2021 and was applied retroactively from 1 January 2021. </w:t>
      </w:r>
    </w:p>
    <w:p w14:paraId="0ECF64A6" w14:textId="77777777" w:rsidR="000947A9" w:rsidRPr="00FA1EC5" w:rsidRDefault="00023E71" w:rsidP="000947A9">
      <w:pPr>
        <w:pStyle w:val="DGTextstand-alone"/>
      </w:pPr>
      <w:r w:rsidRPr="00FA1EC5">
        <w:t>The Own Resources Decision 2020 stipulates that the total amount of own resources allocated to the Union to cover annual appropriations for payments shall not exceed 1.40% of the sum of all the Member States’ GNIs. In addition, the decision empowers the Commission on an exceptional basis to borrow temporarily up to EUR 750 billion in 2018 prices on the capital markets on behalf of the Union to address the consequences of the COVID-19 pandemic through the recovery instrument NextGenerationEU. The own resources ceiling for appropriations for payments will be increased temporarily by 0.6 percentage points to cover all liabilities resulting from this borrowing.</w:t>
      </w:r>
    </w:p>
    <w:p w14:paraId="4554F1BF" w14:textId="77777777" w:rsidR="000947A9" w:rsidRPr="00FA1EC5" w:rsidRDefault="00023E71" w:rsidP="000947A9">
      <w:pPr>
        <w:pStyle w:val="DGTextstand-alone"/>
      </w:pPr>
      <w:r w:rsidRPr="00FA1EC5">
        <w:t xml:space="preserve">As from 2021, ‘other revenue’ of the EU budget includes the financial contributions from the United Kingdom resulting from the financial settlement under the UK Withdrawal </w:t>
      </w:r>
      <w:r>
        <w:t>A</w:t>
      </w:r>
      <w:r w:rsidRPr="00FA1EC5">
        <w:t>greement.</w:t>
      </w:r>
    </w:p>
    <w:p w14:paraId="66CB0420" w14:textId="77777777" w:rsidR="000947A9" w:rsidRPr="00FA1EC5" w:rsidRDefault="00023E71" w:rsidP="000947A9">
      <w:pPr>
        <w:pStyle w:val="HEADER3PartBUGD"/>
        <w:tabs>
          <w:tab w:val="clear" w:pos="907"/>
        </w:tabs>
        <w:ind w:left="851" w:hanging="284"/>
        <w:rPr>
          <w:noProof/>
        </w:rPr>
      </w:pPr>
      <w:r w:rsidRPr="00FA1EC5">
        <w:rPr>
          <w:noProof/>
        </w:rPr>
        <w:t>Traditional own resources (TOR)</w:t>
      </w:r>
    </w:p>
    <w:p w14:paraId="156A345E" w14:textId="77777777" w:rsidR="000947A9" w:rsidRPr="00FA1EC5" w:rsidRDefault="00023E71" w:rsidP="000947A9">
      <w:pPr>
        <w:pStyle w:val="DGTextstand-alone"/>
      </w:pPr>
      <w:r w:rsidRPr="00FA1EC5">
        <w:t>TOR consist of customs duties levied on imports from third countries, which are collected by Member States on behalf of the EU. However, Member States retain 25% to cover their collection costs. All established TOR amounts must be entered in one of the following accounts kept by the competent authorities:</w:t>
      </w:r>
    </w:p>
    <w:p w14:paraId="2667AD7A" w14:textId="77777777" w:rsidR="000947A9" w:rsidRPr="00FA1EC5" w:rsidRDefault="00023E71" w:rsidP="000947A9">
      <w:pPr>
        <w:pStyle w:val="DGTextstand-alone"/>
      </w:pPr>
      <w:r w:rsidRPr="00FA1EC5">
        <w:t>In the ordinary accounts provided for in Article 6(3) of Council Regulation (EU, Euratom) No 609/2014: all amounts recovered or guaranteed.</w:t>
      </w:r>
    </w:p>
    <w:p w14:paraId="7276E50E" w14:textId="77777777" w:rsidR="000947A9" w:rsidRPr="00FA1EC5" w:rsidRDefault="00023E71" w:rsidP="000947A9">
      <w:pPr>
        <w:pStyle w:val="DGTextstand-alone"/>
      </w:pPr>
      <w:r w:rsidRPr="00FA1EC5">
        <w:t>In the separate accounts provided for in the same Article: all amounts not yet recovered and/or not guaranteed; amounts guaranteed but challenged may also be entered in this account.</w:t>
      </w:r>
    </w:p>
    <w:p w14:paraId="563E2BB7" w14:textId="77777777" w:rsidR="000947A9" w:rsidRPr="00FA1EC5" w:rsidRDefault="00023E71" w:rsidP="000947A9">
      <w:pPr>
        <w:pStyle w:val="DGTextstand-alone"/>
      </w:pPr>
      <w:r w:rsidRPr="00FA1EC5">
        <w:t>Member States must book TOR to the Commission’s account via their treasury or national central bank no later than the first working day after the 19th day of the second month following the month in which the entitlement was established (or recovered in the case of the separate account).</w:t>
      </w:r>
    </w:p>
    <w:p w14:paraId="2A1FFF65" w14:textId="77777777" w:rsidR="000947A9" w:rsidRPr="00FA1EC5" w:rsidRDefault="00023E71" w:rsidP="000947A9">
      <w:pPr>
        <w:pStyle w:val="HEADER3PartBUGD"/>
        <w:tabs>
          <w:tab w:val="clear" w:pos="907"/>
        </w:tabs>
        <w:ind w:left="851" w:hanging="284"/>
        <w:rPr>
          <w:noProof/>
        </w:rPr>
      </w:pPr>
      <w:r w:rsidRPr="00FA1EC5">
        <w:rPr>
          <w:noProof/>
        </w:rPr>
        <w:t>Value added tax (VAT)</w:t>
      </w:r>
    </w:p>
    <w:p w14:paraId="28959F75" w14:textId="19C6EA9D" w:rsidR="00087349" w:rsidRDefault="00023E71" w:rsidP="000947A9">
      <w:pPr>
        <w:pStyle w:val="DGTextstand-alone"/>
      </w:pPr>
      <w:r w:rsidRPr="00FA1EC5">
        <w:t>The VAT own resource is calculated based on Member States’ VAT bases, which are harmonised for this purpose in accordance with EU rules. A uniform call rate of 0.30% applies to each Member State’s total amount of VAT receipts collected for all taxable supplies divided by the weighted average VAT rate. The VAT base is capped at 50% of each Member State’s GNI.</w:t>
      </w:r>
    </w:p>
    <w:p w14:paraId="7F2343ED" w14:textId="77777777" w:rsidR="00087349" w:rsidRDefault="00087349">
      <w:pPr>
        <w:rPr>
          <w:rFonts w:ascii="Verdana" w:hAnsi="Verdana"/>
          <w:noProof/>
          <w:sz w:val="18"/>
          <w:szCs w:val="18"/>
          <w:lang w:eastAsia="en-US"/>
        </w:rPr>
      </w:pPr>
      <w:r>
        <w:rPr>
          <w:noProof/>
        </w:rPr>
        <w:br w:type="page"/>
      </w:r>
    </w:p>
    <w:p w14:paraId="0F131636" w14:textId="77777777" w:rsidR="000947A9" w:rsidRPr="0046341E" w:rsidRDefault="00023E71" w:rsidP="000947A9">
      <w:pPr>
        <w:pStyle w:val="HEADER3PartBUGD"/>
        <w:tabs>
          <w:tab w:val="clear" w:pos="907"/>
        </w:tabs>
        <w:ind w:left="851" w:hanging="284"/>
        <w:rPr>
          <w:noProof/>
          <w:lang w:val="en-IE"/>
        </w:rPr>
      </w:pPr>
      <w:r w:rsidRPr="0046341E">
        <w:rPr>
          <w:noProof/>
          <w:lang w:val="en-IE"/>
        </w:rPr>
        <w:t>Non-recycled plastic packaging waste</w:t>
      </w:r>
    </w:p>
    <w:p w14:paraId="6A47CCC3" w14:textId="77777777" w:rsidR="000947A9" w:rsidRPr="00FA1EC5" w:rsidRDefault="00023E71" w:rsidP="000947A9">
      <w:pPr>
        <w:pStyle w:val="DGTextstand-alone"/>
      </w:pPr>
      <w:r w:rsidRPr="00FA1EC5">
        <w:t>A uniform call rate of EUR 0.80 per kilogram applies to the weight of plastic packaging waste generated in each Member State that is not recycled. The plastic packaging waste that is not recycled in a given year is calculated as the difference between the plastic packaging waste generated and the plastic packaging waste recycled in that year in a Member State. Bulgaria, Czechia, Estonia, Greece, Spain, Croatia, Italy, Cyprus, Latvia, Lithuania, Hungary, Malta, Poland, Portugal, Romania, Slovenia and Slovakia are entitled to specific annual lump sum reductions in their respective plastics own resource contributions.</w:t>
      </w:r>
    </w:p>
    <w:p w14:paraId="5F87490D" w14:textId="77777777" w:rsidR="000947A9" w:rsidRPr="00FA1EC5" w:rsidRDefault="00023E71" w:rsidP="000947A9">
      <w:pPr>
        <w:pStyle w:val="HEADER3PartBUGD"/>
        <w:tabs>
          <w:tab w:val="clear" w:pos="907"/>
        </w:tabs>
        <w:ind w:left="851" w:hanging="284"/>
        <w:rPr>
          <w:noProof/>
        </w:rPr>
      </w:pPr>
      <w:r w:rsidRPr="00FA1EC5">
        <w:rPr>
          <w:noProof/>
        </w:rPr>
        <w:t>Gross national income (GNI)</w:t>
      </w:r>
    </w:p>
    <w:p w14:paraId="640A6D5C" w14:textId="77777777" w:rsidR="000947A9" w:rsidRPr="00FA1EC5" w:rsidRDefault="00023E71" w:rsidP="000947A9">
      <w:pPr>
        <w:pStyle w:val="DGTextstand-alone"/>
      </w:pPr>
      <w:r w:rsidRPr="00FA1EC5">
        <w:t>The resource based on gross national income (GNI) is used to finance that part of the budget that is not covered by other revenue sources. A uniform call rate is levied on each Member State’s GNI, which is established in accordance with EU rules.</w:t>
      </w:r>
    </w:p>
    <w:p w14:paraId="7F124300" w14:textId="77777777" w:rsidR="000947A9" w:rsidRPr="00FA1EC5" w:rsidRDefault="00023E71" w:rsidP="000947A9">
      <w:pPr>
        <w:pStyle w:val="HEADER3PartBUGD"/>
        <w:tabs>
          <w:tab w:val="clear" w:pos="907"/>
        </w:tabs>
        <w:ind w:left="851" w:hanging="284"/>
        <w:rPr>
          <w:noProof/>
        </w:rPr>
      </w:pPr>
      <w:r w:rsidRPr="00FA1EC5">
        <w:rPr>
          <w:noProof/>
        </w:rPr>
        <w:t>Gross reduction</w:t>
      </w:r>
    </w:p>
    <w:p w14:paraId="7AA15C5E" w14:textId="77777777" w:rsidR="000947A9" w:rsidRPr="00FA1EC5" w:rsidRDefault="00023E71" w:rsidP="000947A9">
      <w:pPr>
        <w:pStyle w:val="DGTextstand-alone"/>
      </w:pPr>
      <w:r w:rsidRPr="00FA1EC5">
        <w:t>For the period 2021-2027, the following Member States benefit from a gross reduction in their annual GNI-based contributions; EUR 565 million for Austria, EUR 377 million for Denmark, EUR 3 671 million for Germany, EUR 1 921 million for the Netherlands and EUR 1 069 million for Sweden. These gross reductions are measured in 2020 prices and financed by all Member States.</w:t>
      </w:r>
    </w:p>
    <w:p w14:paraId="1B618EA4" w14:textId="77777777" w:rsidR="000947A9" w:rsidRPr="00596ADD" w:rsidRDefault="00023E71" w:rsidP="000947A9">
      <w:pPr>
        <w:pStyle w:val="HEADER3PartBUGD"/>
        <w:tabs>
          <w:tab w:val="clear" w:pos="907"/>
        </w:tabs>
        <w:ind w:left="851" w:hanging="284"/>
        <w:rPr>
          <w:noProof/>
          <w:lang w:val="en-US"/>
        </w:rPr>
      </w:pPr>
      <w:r w:rsidRPr="00596ADD">
        <w:rPr>
          <w:noProof/>
          <w:lang w:val="en-US"/>
        </w:rPr>
        <w:t>Adjustments to own resources of previous financial years</w:t>
      </w:r>
    </w:p>
    <w:p w14:paraId="08A9F33D" w14:textId="77777777" w:rsidR="00FA1EC5" w:rsidRPr="00FA1EC5" w:rsidRDefault="00023E71" w:rsidP="000947A9">
      <w:pPr>
        <w:pStyle w:val="DGTextstand-alone"/>
      </w:pPr>
      <w:r w:rsidRPr="00FA1EC5">
        <w:t>VAT and GNI-based resources are determined on the basis of forecasts of the relevant bases made when the draft budget is prepared. These forecasts are subsequently revised and updated during the budget year concerned, by means of an amending budget. Differences between the amounts due by the Member States with reference to the actual bases, and the amounts actually paid on the basis of the (revised) forecasts, either positive or negative, are called by the Commission from the Member States for the first working day of March of the third year following the budget year concerned. Corrections may still be made to the actual VAT and GNI bases during the subsequent four years, unless a reservation is issued. These reservations represent potential claims on the Member States for uncertain amounts, as their financial impact cannot be accurately estimated. When the exact amount can be determined, the corresponding VAT and GNI-based resources are called either in connection with the VAT and GNI balances exercise or by individual calls for funds.The forecast of the plastics-based own resource is adjusted in a similar way. However, the differences between the amounts due by the Member States according to their annual statements with the outturn data, and the amounts actually paid on the basis of the (revised) forecasts, either positive or negative, are called by the Commission from the Member States for the first working day of June of the third year following the budget year concerned. Corrections may still be made to the actual bases during the subsequent five years, unless a reservation is issued.</w:t>
      </w:r>
    </w:p>
    <w:p w14:paraId="4042E281" w14:textId="77777777" w:rsidR="00274FA1" w:rsidRPr="00B408A9" w:rsidRDefault="00023E71" w:rsidP="00274FA1">
      <w:pPr>
        <w:pStyle w:val="HEADER2PartBUDG"/>
        <w:tabs>
          <w:tab w:val="clear" w:pos="907"/>
          <w:tab w:val="left" w:pos="709"/>
        </w:tabs>
        <w:ind w:left="360" w:hanging="360"/>
        <w:rPr>
          <w:noProof/>
          <w:lang w:val="en-US"/>
        </w:rPr>
      </w:pPr>
      <w:r w:rsidRPr="00142550">
        <w:rPr>
          <w:noProof/>
          <w:lang w:val="en-GB"/>
        </w:rPr>
        <w:t xml:space="preserve"> </w:t>
      </w:r>
      <w:bookmarkStart w:id="280" w:name="_Toc67991406"/>
      <w:bookmarkStart w:id="281" w:name="_Toc68086076"/>
      <w:bookmarkStart w:id="282" w:name="_Toc232674384"/>
      <w:r w:rsidRPr="00B408A9">
        <w:rPr>
          <w:noProof/>
          <w:lang w:val="en-US"/>
        </w:rPr>
        <w:t>CALCULATION OF THE BUDGET RESULT</w:t>
      </w:r>
      <w:bookmarkEnd w:id="280"/>
      <w:bookmarkEnd w:id="281"/>
      <w:bookmarkEnd w:id="282"/>
    </w:p>
    <w:p w14:paraId="60F838F7" w14:textId="77777777" w:rsidR="00274FA1" w:rsidRPr="00274FA1" w:rsidRDefault="00023E71" w:rsidP="00596ADD">
      <w:pPr>
        <w:pStyle w:val="DGTextstand-alone"/>
      </w:pPr>
      <w:r w:rsidRPr="00274FA1">
        <w:t>The budget result of the EU is returned to the Member States during the following year through deduction of their amounts due for that year.</w:t>
      </w:r>
    </w:p>
    <w:p w14:paraId="2DAE4E39" w14:textId="77777777" w:rsidR="00274FA1" w:rsidRPr="00274FA1" w:rsidRDefault="00023E71" w:rsidP="00596ADD">
      <w:pPr>
        <w:pStyle w:val="DGTextstand-alone"/>
      </w:pPr>
      <w:r w:rsidRPr="00274FA1">
        <w:t>The amounts of own resources entered in the accounts are those credited during the course of the year to the accounts opened in the Commission's name by the governments of the Member States. Revenue comprises also, in the case of a surplus, the budget result for the previous financial year. The other revenue entered in the accounts is the amount actually received during the course of the year.</w:t>
      </w:r>
    </w:p>
    <w:p w14:paraId="12FBA92A" w14:textId="77777777" w:rsidR="00274FA1" w:rsidRPr="00274FA1" w:rsidRDefault="00023E71" w:rsidP="00596ADD">
      <w:pPr>
        <w:pStyle w:val="DGTextstand-alone"/>
      </w:pPr>
      <w:r w:rsidRPr="00274FA1">
        <w:t>For the purposes of calculating the budget result for the year, expenditure comprises payments made against the year's appropriations plus any of the appropriations for that year that are carried over to the following year. Payments made against the year's appropriations means payments that are made by the Accounting Officer by 31 December of the financial year. For the EAGF, payments are those effected by the Member States between 16 October N-1 and 15 October N, provided that the Accounting Officer was notified of the commitment and authorisation by 31 January N+1. EAGF expenditure may be subject to a conformity decision following controls in the Member States.</w:t>
      </w:r>
    </w:p>
    <w:p w14:paraId="5B957C89" w14:textId="77777777" w:rsidR="00274FA1" w:rsidRPr="00274FA1" w:rsidRDefault="00023E71" w:rsidP="00596ADD">
      <w:pPr>
        <w:pStyle w:val="DGTextstand-alone"/>
      </w:pPr>
      <w:r w:rsidRPr="00274FA1">
        <w:t>In accordance with Article 1(1) of Regulation No 608/2014 laying down implementing measures for the system of own resources, th</w:t>
      </w:r>
      <w:r>
        <w:t>e budget</w:t>
      </w:r>
      <w:r w:rsidRPr="00274FA1">
        <w:t xml:space="preserve"> result represents the difference between:</w:t>
      </w:r>
    </w:p>
    <w:p w14:paraId="10D76A2A" w14:textId="77777777" w:rsidR="00B408A9" w:rsidRDefault="00023E71" w:rsidP="00172034">
      <w:pPr>
        <w:pStyle w:val="DGTextstand-alone"/>
        <w:numPr>
          <w:ilvl w:val="0"/>
          <w:numId w:val="29"/>
        </w:numPr>
      </w:pPr>
      <w:r w:rsidRPr="00274FA1">
        <w:t>total revenue received for the financial year; and</w:t>
      </w:r>
    </w:p>
    <w:p w14:paraId="3310914B" w14:textId="77777777" w:rsidR="00274FA1" w:rsidRPr="00274FA1" w:rsidRDefault="00023E71" w:rsidP="00172034">
      <w:pPr>
        <w:pStyle w:val="DGTextstand-alone"/>
        <w:numPr>
          <w:ilvl w:val="0"/>
          <w:numId w:val="29"/>
        </w:numPr>
      </w:pPr>
      <w:r w:rsidRPr="00274FA1">
        <w:t>total payments made against current year's appropriations plus the total amount of that year's appropriations carried over to the following year.</w:t>
      </w:r>
    </w:p>
    <w:p w14:paraId="1DA2C164" w14:textId="77777777" w:rsidR="00274FA1" w:rsidRPr="00274FA1" w:rsidRDefault="00023E71" w:rsidP="00596ADD">
      <w:pPr>
        <w:pStyle w:val="DGTextstand-alone"/>
      </w:pPr>
      <w:r w:rsidRPr="00274FA1">
        <w:t>The following are added to or deducted from the resulting figure:</w:t>
      </w:r>
    </w:p>
    <w:p w14:paraId="07E1D653" w14:textId="77777777" w:rsidR="00B408A9" w:rsidRDefault="00023E71" w:rsidP="00172034">
      <w:pPr>
        <w:pStyle w:val="DGTextstand-alone"/>
        <w:numPr>
          <w:ilvl w:val="0"/>
          <w:numId w:val="30"/>
        </w:numPr>
      </w:pPr>
      <w:r w:rsidRPr="00274FA1">
        <w:t>the net balance of cancellations of payment appropriations carried over from previous years and any payments which, because of fluctuations in the euro rate, exceed non-differentiated appropriations carried over from the previous year;</w:t>
      </w:r>
    </w:p>
    <w:p w14:paraId="7DE7DC14" w14:textId="77777777" w:rsidR="00B408A9" w:rsidRDefault="00023E71" w:rsidP="00172034">
      <w:pPr>
        <w:pStyle w:val="DGTextstand-alone"/>
        <w:numPr>
          <w:ilvl w:val="0"/>
          <w:numId w:val="30"/>
        </w:numPr>
      </w:pPr>
      <w:r w:rsidRPr="00274FA1">
        <w:t>the evolution of assigned revenue; and</w:t>
      </w:r>
    </w:p>
    <w:p w14:paraId="42F2F8BB" w14:textId="77777777" w:rsidR="00274FA1" w:rsidRPr="00274FA1" w:rsidRDefault="00023E71" w:rsidP="00172034">
      <w:pPr>
        <w:pStyle w:val="DGTextstand-alone"/>
        <w:numPr>
          <w:ilvl w:val="0"/>
          <w:numId w:val="30"/>
        </w:numPr>
      </w:pPr>
      <w:r w:rsidRPr="00274FA1">
        <w:t>the net exchange rate gains or losses recorded during the year.</w:t>
      </w:r>
    </w:p>
    <w:p w14:paraId="7E3CF55F" w14:textId="77777777" w:rsidR="00274FA1" w:rsidRPr="00274FA1" w:rsidRDefault="00023E71" w:rsidP="00596ADD">
      <w:pPr>
        <w:pStyle w:val="DGTextstand-alone"/>
      </w:pPr>
      <w:r w:rsidRPr="00274FA1">
        <w:t>Appropriations carried over from the previous financial year in respect of contributions by and work for third parties, which by definition never lapse, are included as additional appropriations for the financial year. This explains the difference between carryovers from the previous year in the year N budget implementation reports and those carried over to the following year in the year N-1 budget implementation reports. Commitment appropriations made available again following the repayment of payments on account are disregarded when calculating the budget result.</w:t>
      </w:r>
    </w:p>
    <w:p w14:paraId="7E3168A0" w14:textId="77777777" w:rsidR="002C026E" w:rsidRDefault="00023E71" w:rsidP="00596ADD">
      <w:pPr>
        <w:pStyle w:val="DGTextstand-alone"/>
        <w:rPr>
          <w:lang w:eastAsia="en-GB"/>
        </w:rPr>
      </w:pPr>
      <w:r w:rsidRPr="00274FA1">
        <w:rPr>
          <w:lang w:eastAsia="en-GB"/>
        </w:rPr>
        <w:t>Payment appropriations carried over include automatic carry-overs and carry-overs by decision. The cancellation of unused payment appropriations carried over from the previous year comprises the cancellations of appropriations carried over automatically and by decision.</w:t>
      </w:r>
      <w:bookmarkEnd w:id="278"/>
    </w:p>
    <w:p w14:paraId="039E3CBE" w14:textId="77777777" w:rsidR="00087349" w:rsidRPr="00274FA1" w:rsidRDefault="00087349" w:rsidP="00596ADD">
      <w:pPr>
        <w:pStyle w:val="DGTextstand-alone"/>
        <w:sectPr w:rsidR="00087349" w:rsidRPr="00274FA1">
          <w:headerReference w:type="default" r:id="rId154"/>
          <w:footerReference w:type="default" r:id="rId155"/>
          <w:pgSz w:w="11907" w:h="16840" w:code="9"/>
          <w:pgMar w:top="1134" w:right="1134" w:bottom="1134" w:left="1134" w:header="709" w:footer="709" w:gutter="0"/>
          <w:cols w:space="708"/>
          <w:docGrid w:linePitch="360"/>
        </w:sectPr>
      </w:pPr>
    </w:p>
    <w:p w14:paraId="688D08FB" w14:textId="4887C71F" w:rsidR="003E061A" w:rsidRPr="006B6FE1" w:rsidRDefault="00023E71" w:rsidP="00165709">
      <w:pPr>
        <w:pStyle w:val="HEADER2PartBUDG"/>
        <w:rPr>
          <w:noProof/>
          <w:lang w:val="en-GB"/>
        </w:rPr>
      </w:pPr>
      <w:bookmarkStart w:id="283" w:name="_Toc232674385"/>
      <w:bookmarkStart w:id="284" w:name="_Hlk167787035"/>
      <w:bookmarkStart w:id="285" w:name="_DMBM_36788"/>
      <w:r w:rsidRPr="006B6FE1">
        <w:rPr>
          <w:noProof/>
          <w:lang w:val="en-GB"/>
        </w:rPr>
        <w:t>RECONCILIATION OF ECONOMIC RESULT WITH BUDGET RESULT</w:t>
      </w:r>
      <w:bookmarkEnd w:id="283"/>
      <w:r w:rsidRPr="006B6FE1">
        <w:rPr>
          <w:noProof/>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87"/>
        <w:gridCol w:w="1436"/>
        <w:gridCol w:w="1436"/>
      </w:tblGrid>
      <w:tr w:rsidR="00807FFE" w14:paraId="359FC461"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059E7BB9" w14:textId="77777777" w:rsidR="00807FFE" w:rsidRDefault="00807FFE">
            <w:pPr>
              <w:pStyle w:val="DMETW36669BIPReconciliation"/>
              <w:rPr>
                <w:rFonts w:cs="Calibri"/>
                <w:noProof/>
                <w:color w:val="000000"/>
                <w:sz w:val="22"/>
                <w:lang w:bidi="en-GB"/>
              </w:rPr>
            </w:pPr>
            <w:bookmarkStart w:id="286" w:name="DOC_TBL00112_1_1"/>
            <w:bookmarkEnd w:id="286"/>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2BFD2952" w14:textId="77777777" w:rsidR="00807FFE" w:rsidRDefault="00807FFE">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2A2702B6" w14:textId="77777777" w:rsidR="00807FFE" w:rsidRDefault="00023E71">
            <w:pPr>
              <w:pStyle w:val="DMETW36669BIPReconciliation"/>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4B48872" w14:textId="77777777">
        <w:trPr>
          <w:trHeight w:hRule="exact" w:val="255"/>
        </w:trPr>
        <w:tc>
          <w:tcPr>
            <w:tcW w:w="6887" w:type="dxa"/>
            <w:tcBorders>
              <w:top w:val="nil"/>
              <w:left w:val="nil"/>
              <w:bottom w:val="nil"/>
              <w:right w:val="nil"/>
              <w:tl2br w:val="nil"/>
              <w:tr2bl w:val="nil"/>
            </w:tcBorders>
            <w:shd w:val="solid" w:color="016794" w:fill="FFFFFF"/>
            <w:tcMar>
              <w:left w:w="60" w:type="dxa"/>
              <w:right w:w="60" w:type="dxa"/>
            </w:tcMar>
            <w:vAlign w:val="center"/>
          </w:tcPr>
          <w:p w14:paraId="4D3D82EC" w14:textId="77777777" w:rsidR="00807FFE" w:rsidRDefault="00807FFE">
            <w:pPr>
              <w:pStyle w:val="DMETW36669BIPReconciliation"/>
              <w:rPr>
                <w:rFonts w:ascii="Verdana" w:eastAsia="Verdana" w:hAnsi="Verdana" w:cs="Verdana"/>
                <w:noProof/>
                <w:color w:val="FFFFFF"/>
              </w:rPr>
            </w:pPr>
          </w:p>
        </w:tc>
        <w:tc>
          <w:tcPr>
            <w:tcW w:w="1436" w:type="dxa"/>
            <w:tcBorders>
              <w:top w:val="nil"/>
              <w:left w:val="nil"/>
              <w:bottom w:val="nil"/>
              <w:right w:val="nil"/>
              <w:tl2br w:val="nil"/>
              <w:tr2bl w:val="nil"/>
            </w:tcBorders>
            <w:shd w:val="solid" w:color="016794" w:fill="FFFFFF"/>
            <w:tcMar>
              <w:left w:w="60" w:type="dxa"/>
              <w:right w:w="60" w:type="dxa"/>
            </w:tcMar>
            <w:vAlign w:val="center"/>
          </w:tcPr>
          <w:p w14:paraId="4BD46EBA" w14:textId="77777777" w:rsidR="00807FFE" w:rsidRDefault="00023E71">
            <w:pPr>
              <w:pStyle w:val="DMETW36669BIPReconciliation"/>
              <w:jc w:val="right"/>
              <w:rPr>
                <w:rFonts w:ascii="Verdana" w:eastAsia="Verdana" w:hAnsi="Verdana" w:cs="Verdana"/>
                <w:noProof/>
                <w:color w:val="FFFFFF"/>
              </w:rPr>
            </w:pPr>
            <w:r>
              <w:rPr>
                <w:rFonts w:ascii="Verdana" w:eastAsia="Verdana" w:hAnsi="Verdana" w:cs="Verdana"/>
                <w:noProof/>
                <w:color w:val="FFFFFF"/>
              </w:rPr>
              <w:t>2025</w:t>
            </w:r>
          </w:p>
        </w:tc>
        <w:tc>
          <w:tcPr>
            <w:tcW w:w="1436" w:type="dxa"/>
            <w:tcBorders>
              <w:top w:val="nil"/>
              <w:left w:val="nil"/>
              <w:bottom w:val="nil"/>
              <w:right w:val="nil"/>
              <w:tl2br w:val="nil"/>
              <w:tr2bl w:val="nil"/>
            </w:tcBorders>
            <w:shd w:val="solid" w:color="016794" w:fill="FFFFFF"/>
            <w:tcMar>
              <w:left w:w="60" w:type="dxa"/>
              <w:right w:w="60" w:type="dxa"/>
            </w:tcMar>
            <w:vAlign w:val="center"/>
          </w:tcPr>
          <w:p w14:paraId="2FA8AAFD" w14:textId="77777777" w:rsidR="00807FFE" w:rsidRDefault="00023E71">
            <w:pPr>
              <w:pStyle w:val="DMETW36669BIPReconciliation"/>
              <w:jc w:val="right"/>
              <w:rPr>
                <w:rFonts w:ascii="Verdana" w:eastAsia="Verdana" w:hAnsi="Verdana" w:cs="Verdana"/>
                <w:noProof/>
                <w:color w:val="FFFFFF"/>
                <w:lang w:bidi="en-GB"/>
              </w:rPr>
            </w:pPr>
            <w:r>
              <w:rPr>
                <w:rFonts w:ascii="Verdana" w:eastAsia="Verdana" w:hAnsi="Verdana" w:cs="Verdana"/>
                <w:noProof/>
                <w:color w:val="FFFFFF"/>
              </w:rPr>
              <w:t>2024</w:t>
            </w:r>
          </w:p>
        </w:tc>
      </w:tr>
      <w:tr w:rsidR="00807FFE" w14:paraId="6CB0DD83" w14:textId="77777777">
        <w:trPr>
          <w:trHeight w:hRule="exact" w:val="255"/>
        </w:trPr>
        <w:tc>
          <w:tcPr>
            <w:tcW w:w="6887" w:type="dxa"/>
            <w:tcBorders>
              <w:top w:val="nil"/>
              <w:left w:val="nil"/>
              <w:bottom w:val="nil"/>
              <w:right w:val="nil"/>
              <w:tl2br w:val="nil"/>
              <w:tr2bl w:val="nil"/>
            </w:tcBorders>
            <w:shd w:val="solid" w:color="CCE1EA" w:fill="FFFFFF"/>
            <w:tcMar>
              <w:left w:w="60" w:type="dxa"/>
              <w:right w:w="60" w:type="dxa"/>
            </w:tcMar>
            <w:vAlign w:val="center"/>
          </w:tcPr>
          <w:p w14:paraId="4CE363C4" w14:textId="77777777" w:rsidR="00807FFE" w:rsidRDefault="00023E71">
            <w:pPr>
              <w:pStyle w:val="DMETW36669BIPReconciliation"/>
              <w:rPr>
                <w:rFonts w:ascii="Verdana" w:eastAsia="Verdana" w:hAnsi="Verdana" w:cs="Verdana"/>
                <w:b/>
                <w:noProof/>
                <w:color w:val="000000"/>
                <w:sz w:val="18"/>
              </w:rPr>
            </w:pPr>
            <w:r>
              <w:rPr>
                <w:rFonts w:ascii="Verdana" w:eastAsia="Verdana" w:hAnsi="Verdana" w:cs="Verdana"/>
                <w:b/>
                <w:noProof/>
                <w:color w:val="000000"/>
                <w:sz w:val="18"/>
              </w:rPr>
              <w:t>ECONOMIC RESULT OF THE YEAR</w:t>
            </w:r>
          </w:p>
        </w:tc>
        <w:tc>
          <w:tcPr>
            <w:tcW w:w="1436" w:type="dxa"/>
            <w:tcBorders>
              <w:top w:val="nil"/>
              <w:left w:val="nil"/>
              <w:bottom w:val="nil"/>
              <w:right w:val="nil"/>
              <w:tl2br w:val="nil"/>
              <w:tr2bl w:val="nil"/>
            </w:tcBorders>
            <w:shd w:val="solid" w:color="CCE1EA" w:fill="FFFFFF"/>
            <w:tcMar>
              <w:left w:w="60" w:type="dxa"/>
              <w:right w:w="60" w:type="dxa"/>
            </w:tcMar>
            <w:vAlign w:val="center"/>
          </w:tcPr>
          <w:p w14:paraId="4A7734D6" w14:textId="77777777" w:rsidR="00807FFE" w:rsidRDefault="00023E71">
            <w:pPr>
              <w:pStyle w:val="DMETW36669BIPReconciliation"/>
              <w:jc w:val="right"/>
              <w:rPr>
                <w:rFonts w:ascii="Verdana" w:eastAsia="Verdana" w:hAnsi="Verdana" w:cs="Verdana"/>
                <w:b/>
                <w:noProof/>
                <w:color w:val="000000"/>
                <w:sz w:val="18"/>
              </w:rPr>
            </w:pPr>
            <w:r>
              <w:rPr>
                <w:rFonts w:ascii="Verdana" w:eastAsia="Verdana" w:hAnsi="Verdana" w:cs="Verdana"/>
                <w:b/>
                <w:noProof/>
                <w:color w:val="000000"/>
                <w:sz w:val="18"/>
              </w:rPr>
              <w:t>(54 639)</w:t>
            </w:r>
          </w:p>
        </w:tc>
        <w:tc>
          <w:tcPr>
            <w:tcW w:w="1436" w:type="dxa"/>
            <w:tcBorders>
              <w:top w:val="nil"/>
              <w:left w:val="nil"/>
              <w:bottom w:val="nil"/>
              <w:right w:val="nil"/>
              <w:tl2br w:val="nil"/>
              <w:tr2bl w:val="nil"/>
            </w:tcBorders>
            <w:shd w:val="solid" w:color="CCE1EA" w:fill="FFFFFF"/>
            <w:tcMar>
              <w:left w:w="60" w:type="dxa"/>
              <w:right w:w="60" w:type="dxa"/>
            </w:tcMar>
            <w:vAlign w:val="center"/>
          </w:tcPr>
          <w:p w14:paraId="5A32DF64" w14:textId="77777777" w:rsidR="00807FFE" w:rsidRDefault="00023E71">
            <w:pPr>
              <w:pStyle w:val="DMETW36669BIPReconciliation"/>
              <w:jc w:val="right"/>
              <w:rPr>
                <w:rFonts w:ascii="Verdana" w:eastAsia="Verdana" w:hAnsi="Verdana" w:cs="Verdana"/>
                <w:b/>
                <w:noProof/>
                <w:color w:val="000000"/>
                <w:sz w:val="18"/>
                <w:lang w:bidi="en-GB"/>
              </w:rPr>
            </w:pPr>
            <w:r>
              <w:rPr>
                <w:rFonts w:ascii="Verdana" w:eastAsia="Verdana" w:hAnsi="Verdana" w:cs="Verdana"/>
                <w:b/>
                <w:noProof/>
                <w:color w:val="000000"/>
                <w:sz w:val="18"/>
              </w:rPr>
              <w:t>(97 208)</w:t>
            </w:r>
          </w:p>
        </w:tc>
      </w:tr>
      <w:tr w:rsidR="00807FFE" w14:paraId="4766B334"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582ED0CA" w14:textId="77777777" w:rsidR="00807FFE" w:rsidRDefault="00807FFE">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170CCC4C" w14:textId="77777777" w:rsidR="00807FFE" w:rsidRDefault="00807FFE">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61063D33" w14:textId="77777777" w:rsidR="00807FFE" w:rsidRDefault="00807FFE">
            <w:pPr>
              <w:pStyle w:val="DMETW36669BIPReconciliation"/>
              <w:rPr>
                <w:rFonts w:cs="Calibri"/>
                <w:noProof/>
                <w:color w:val="000000"/>
                <w:sz w:val="22"/>
                <w:lang w:bidi="en-GB"/>
              </w:rPr>
            </w:pPr>
          </w:p>
        </w:tc>
      </w:tr>
      <w:tr w:rsidR="00807FFE" w14:paraId="3A7EB0E4" w14:textId="77777777">
        <w:trPr>
          <w:trHeight w:hRule="exact" w:val="255"/>
        </w:trPr>
        <w:tc>
          <w:tcPr>
            <w:tcW w:w="6887" w:type="dxa"/>
            <w:tcBorders>
              <w:top w:val="nil"/>
              <w:left w:val="nil"/>
              <w:bottom w:val="nil"/>
              <w:right w:val="nil"/>
              <w:tl2br w:val="nil"/>
              <w:tr2bl w:val="nil"/>
            </w:tcBorders>
            <w:tcMar>
              <w:left w:w="60" w:type="dxa"/>
              <w:right w:w="60" w:type="dxa"/>
            </w:tcMar>
            <w:vAlign w:val="center"/>
          </w:tcPr>
          <w:p w14:paraId="49F5BE63" w14:textId="77777777" w:rsidR="00807FFE" w:rsidRDefault="00023E71">
            <w:pPr>
              <w:pStyle w:val="DMETW36669BIPReconciliation"/>
              <w:rPr>
                <w:rFonts w:ascii="Verdana" w:eastAsia="Verdana" w:hAnsi="Verdana" w:cs="Verdana"/>
                <w:b/>
                <w:noProof/>
                <w:color w:val="000000"/>
                <w:sz w:val="18"/>
              </w:rPr>
            </w:pPr>
            <w:r>
              <w:rPr>
                <w:rFonts w:ascii="Verdana" w:eastAsia="Verdana" w:hAnsi="Verdana" w:cs="Verdana"/>
                <w:b/>
                <w:noProof/>
                <w:color w:val="000000"/>
                <w:sz w:val="18"/>
              </w:rPr>
              <w:t>Revenue</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7395B667" w14:textId="77777777" w:rsidR="00807FFE" w:rsidRDefault="00807FFE">
            <w:pPr>
              <w:pStyle w:val="DMETW36669BIPReconciliation"/>
              <w:rPr>
                <w:rFonts w:ascii="Verdana" w:eastAsia="Verdana" w:hAnsi="Verdana" w:cs="Verdana"/>
                <w:b/>
                <w:noProof/>
                <w:color w:val="000000"/>
                <w:sz w:val="18"/>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51837079" w14:textId="77777777" w:rsidR="00807FFE" w:rsidRDefault="00807FFE">
            <w:pPr>
              <w:pStyle w:val="DMETW36669BIPReconciliation"/>
              <w:rPr>
                <w:rFonts w:ascii="Verdana" w:eastAsia="Verdana" w:hAnsi="Verdana" w:cs="Verdana"/>
                <w:b/>
                <w:noProof/>
                <w:color w:val="000000"/>
                <w:sz w:val="18"/>
                <w:lang w:bidi="en-GB"/>
              </w:rPr>
            </w:pPr>
          </w:p>
        </w:tc>
      </w:tr>
      <w:tr w:rsidR="00807FFE" w14:paraId="1B16D957"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2954F9FD"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Entitlements established in current year but not yet collected</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3C072C9D"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(5 188)</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7A47445F"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(6 773)</w:t>
            </w:r>
          </w:p>
        </w:tc>
      </w:tr>
      <w:tr w:rsidR="00807FFE" w14:paraId="028E4A2E"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569C9693"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Entitlements established in previous years and collected in current year</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5049798A"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3 339</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2DC891CE"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9 925</w:t>
            </w:r>
          </w:p>
        </w:tc>
      </w:tr>
      <w:tr w:rsidR="00807FFE" w14:paraId="487BA3D0"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27C07EFC"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Entitlements collected not to be treated as revenue in the economic result</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1ED44CD6"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42 358</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51947C91"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83 953</w:t>
            </w:r>
          </w:p>
        </w:tc>
      </w:tr>
      <w:tr w:rsidR="00807FFE" w14:paraId="60FC7AB3" w14:textId="77777777">
        <w:trPr>
          <w:trHeight w:hRule="exact" w:val="255"/>
        </w:trPr>
        <w:tc>
          <w:tcPr>
            <w:tcW w:w="6887"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4A4833EF"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Accrued revenue (net)</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4EFD3BB4"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(1 284)</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63E84719"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(723)</w:t>
            </w:r>
          </w:p>
        </w:tc>
      </w:tr>
      <w:tr w:rsidR="00807FFE" w14:paraId="4D15968B" w14:textId="77777777">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50FBFF17" w14:textId="77777777" w:rsidR="00807FFE" w:rsidRDefault="00807FFE">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E75FBEE" w14:textId="77777777" w:rsidR="00807FFE" w:rsidRDefault="00023E71">
            <w:pPr>
              <w:pStyle w:val="DMETW36669BIPReconciliation"/>
              <w:jc w:val="right"/>
              <w:rPr>
                <w:rFonts w:ascii="Verdana" w:eastAsia="Verdana" w:hAnsi="Verdana" w:cs="Verdana"/>
                <w:b/>
                <w:noProof/>
                <w:color w:val="000000"/>
                <w:sz w:val="18"/>
              </w:rPr>
            </w:pPr>
            <w:r>
              <w:rPr>
                <w:rFonts w:ascii="Verdana" w:eastAsia="Verdana" w:hAnsi="Verdana" w:cs="Verdana"/>
                <w:b/>
                <w:noProof/>
                <w:color w:val="000000"/>
                <w:sz w:val="18"/>
              </w:rPr>
              <w:t>39 225</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3F4ECCDA" w14:textId="77777777" w:rsidR="00807FFE" w:rsidRDefault="00023E71">
            <w:pPr>
              <w:pStyle w:val="DMETW36669BIPReconciliation"/>
              <w:jc w:val="right"/>
              <w:rPr>
                <w:rFonts w:ascii="Verdana" w:eastAsia="Verdana" w:hAnsi="Verdana" w:cs="Verdana"/>
                <w:b/>
                <w:noProof/>
                <w:color w:val="000000"/>
                <w:sz w:val="18"/>
                <w:lang w:bidi="en-GB"/>
              </w:rPr>
            </w:pPr>
            <w:r>
              <w:rPr>
                <w:rFonts w:ascii="Verdana" w:eastAsia="Verdana" w:hAnsi="Verdana" w:cs="Verdana"/>
                <w:b/>
                <w:noProof/>
                <w:color w:val="000000"/>
                <w:sz w:val="18"/>
              </w:rPr>
              <w:t>86 382</w:t>
            </w:r>
          </w:p>
        </w:tc>
      </w:tr>
      <w:tr w:rsidR="00807FFE" w14:paraId="20719E63" w14:textId="77777777">
        <w:trPr>
          <w:trHeight w:hRule="exact" w:val="255"/>
        </w:trPr>
        <w:tc>
          <w:tcPr>
            <w:tcW w:w="6887" w:type="dxa"/>
            <w:tcBorders>
              <w:top w:val="single" w:sz="4" w:space="0" w:color="016794"/>
              <w:left w:val="nil"/>
              <w:bottom w:val="nil"/>
              <w:right w:val="nil"/>
              <w:tl2br w:val="nil"/>
              <w:tr2bl w:val="nil"/>
            </w:tcBorders>
            <w:tcMar>
              <w:left w:w="60" w:type="dxa"/>
              <w:right w:w="60" w:type="dxa"/>
            </w:tcMar>
            <w:vAlign w:val="center"/>
          </w:tcPr>
          <w:p w14:paraId="503D3A0C" w14:textId="77777777" w:rsidR="00807FFE" w:rsidRDefault="00023E71">
            <w:pPr>
              <w:pStyle w:val="DMETW36669BIPReconciliation"/>
              <w:rPr>
                <w:rFonts w:ascii="Verdana" w:eastAsia="Verdana" w:hAnsi="Verdana" w:cs="Verdana"/>
                <w:b/>
                <w:noProof/>
                <w:color w:val="000000"/>
                <w:sz w:val="18"/>
              </w:rPr>
            </w:pPr>
            <w:r>
              <w:rPr>
                <w:rFonts w:ascii="Verdana" w:eastAsia="Verdana" w:hAnsi="Verdana" w:cs="Verdana"/>
                <w:b/>
                <w:noProof/>
                <w:color w:val="000000"/>
                <w:sz w:val="18"/>
              </w:rPr>
              <w:t>Expenses</w:t>
            </w: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14:paraId="57E8B93F" w14:textId="77777777" w:rsidR="00807FFE" w:rsidRDefault="00807FFE">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14:paraId="16178C64" w14:textId="77777777" w:rsidR="00807FFE" w:rsidRDefault="00807FFE">
            <w:pPr>
              <w:pStyle w:val="DMETW36669BIPReconciliation"/>
              <w:rPr>
                <w:rFonts w:ascii="Verdana" w:eastAsia="Verdana" w:hAnsi="Verdana" w:cs="Verdana"/>
                <w:b/>
                <w:noProof/>
                <w:color w:val="000000"/>
                <w:sz w:val="18"/>
                <w:lang w:bidi="en-GB"/>
              </w:rPr>
            </w:pPr>
          </w:p>
        </w:tc>
      </w:tr>
      <w:tr w:rsidR="00807FFE" w14:paraId="68D7F763"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41D60F6F"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Accrued expenses (net)</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4C1AFC80"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45 735</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425598E9"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10 599</w:t>
            </w:r>
          </w:p>
        </w:tc>
      </w:tr>
      <w:tr w:rsidR="00807FFE" w14:paraId="4A061ED7"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403A7B83"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Expenses prior year paid in current year</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1EA135AC"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(10 067)</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2994BC3C"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(2 220)</w:t>
            </w:r>
          </w:p>
        </w:tc>
      </w:tr>
      <w:tr w:rsidR="00807FFE" w14:paraId="6D582427"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67D9FE29"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Net-effect pre-financing</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30F865DA"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(11 778)</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446838CF"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(11 678)</w:t>
            </w:r>
          </w:p>
        </w:tc>
      </w:tr>
      <w:tr w:rsidR="00807FFE" w14:paraId="0FF716A9"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696FECE5"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Payment appropriations carried over to next year</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05DFE96F"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(6 296)</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7A0AEB70"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(4 031)</w:t>
            </w:r>
          </w:p>
        </w:tc>
      </w:tr>
      <w:tr w:rsidR="00807FFE" w14:paraId="77736D3E"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152D0553"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Payments made from carry-overs &amp; cancellation of unused payment appropriations</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7B31EFE8"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 xml:space="preserve"> 478</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45CD7E4F"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1 711</w:t>
            </w:r>
          </w:p>
        </w:tc>
      </w:tr>
      <w:tr w:rsidR="00807FFE" w14:paraId="472E1D63" w14:textId="77777777">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14:paraId="2232EDD8"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Movement in provisions</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16DB36F0"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(3 485)</w:t>
            </w:r>
          </w:p>
        </w:tc>
        <w:tc>
          <w:tcPr>
            <w:tcW w:w="1436" w:type="dxa"/>
            <w:tcBorders>
              <w:top w:val="nil"/>
              <w:left w:val="nil"/>
              <w:bottom w:val="nil"/>
              <w:right w:val="nil"/>
              <w:tl2br w:val="nil"/>
              <w:tr2bl w:val="nil"/>
            </w:tcBorders>
            <w:shd w:val="solid" w:color="FFFFFF" w:fill="FFFFFF"/>
            <w:tcMar>
              <w:left w:w="60" w:type="dxa"/>
              <w:right w:w="60" w:type="dxa"/>
            </w:tcMar>
            <w:vAlign w:val="center"/>
          </w:tcPr>
          <w:p w14:paraId="72D742E4"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9 948</w:t>
            </w:r>
          </w:p>
        </w:tc>
      </w:tr>
      <w:tr w:rsidR="00807FFE" w14:paraId="121D42CC" w14:textId="77777777">
        <w:trPr>
          <w:trHeight w:hRule="exact" w:val="255"/>
        </w:trPr>
        <w:tc>
          <w:tcPr>
            <w:tcW w:w="6887"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4F2A42D8" w14:textId="77777777" w:rsidR="00807FFE" w:rsidRDefault="00023E71">
            <w:pPr>
              <w:pStyle w:val="DMETW36669BIPReconciliation"/>
              <w:rPr>
                <w:rFonts w:ascii="Verdana" w:eastAsia="Verdana" w:hAnsi="Verdana" w:cs="Verdana"/>
                <w:i/>
                <w:noProof/>
                <w:color w:val="000000"/>
                <w:sz w:val="18"/>
              </w:rPr>
            </w:pPr>
            <w:r>
              <w:rPr>
                <w:rFonts w:ascii="Verdana" w:eastAsia="Verdana" w:hAnsi="Verdana" w:cs="Verdana"/>
                <w:i/>
                <w:noProof/>
                <w:color w:val="000000"/>
                <w:sz w:val="18"/>
              </w:rPr>
              <w:t>Other</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2353372E" w14:textId="77777777" w:rsidR="00807FFE" w:rsidRDefault="00023E71">
            <w:pPr>
              <w:pStyle w:val="DMETW36669BIPReconciliation"/>
              <w:jc w:val="right"/>
              <w:rPr>
                <w:rFonts w:ascii="Verdana" w:eastAsia="Verdana" w:hAnsi="Verdana" w:cs="Verdana"/>
                <w:i/>
                <w:noProof/>
                <w:color w:val="000000"/>
                <w:sz w:val="18"/>
              </w:rPr>
            </w:pPr>
            <w:r>
              <w:rPr>
                <w:rFonts w:ascii="Verdana" w:eastAsia="Verdana" w:hAnsi="Verdana" w:cs="Verdana"/>
                <w:i/>
                <w:noProof/>
                <w:color w:val="000000"/>
                <w:sz w:val="18"/>
              </w:rPr>
              <w:t>3 075</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4A78A9F7" w14:textId="77777777" w:rsidR="00807FFE" w:rsidRDefault="00023E71">
            <w:pPr>
              <w:pStyle w:val="DMETW36669BIPReconciliation"/>
              <w:jc w:val="right"/>
              <w:rPr>
                <w:rFonts w:ascii="Verdana" w:eastAsia="Verdana" w:hAnsi="Verdana" w:cs="Verdana"/>
                <w:i/>
                <w:noProof/>
                <w:color w:val="000000"/>
                <w:sz w:val="18"/>
                <w:lang w:bidi="en-GB"/>
              </w:rPr>
            </w:pPr>
            <w:r>
              <w:rPr>
                <w:rFonts w:ascii="Verdana" w:eastAsia="Verdana" w:hAnsi="Verdana" w:cs="Verdana"/>
                <w:i/>
                <w:noProof/>
                <w:color w:val="000000"/>
                <w:sz w:val="18"/>
              </w:rPr>
              <w:t>7 757</w:t>
            </w:r>
          </w:p>
        </w:tc>
      </w:tr>
      <w:tr w:rsidR="00807FFE" w14:paraId="0F22EC14" w14:textId="77777777">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07984C54" w14:textId="77777777" w:rsidR="00807FFE" w:rsidRDefault="00807FFE">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78B4D92D" w14:textId="77777777" w:rsidR="00807FFE" w:rsidRDefault="00023E71">
            <w:pPr>
              <w:pStyle w:val="DMETW36669BIPReconciliation"/>
              <w:jc w:val="right"/>
              <w:rPr>
                <w:rFonts w:ascii="Verdana" w:eastAsia="Verdana" w:hAnsi="Verdana" w:cs="Verdana"/>
                <w:b/>
                <w:noProof/>
                <w:color w:val="000000"/>
                <w:sz w:val="18"/>
              </w:rPr>
            </w:pPr>
            <w:r>
              <w:rPr>
                <w:rFonts w:ascii="Verdana" w:eastAsia="Verdana" w:hAnsi="Verdana" w:cs="Verdana"/>
                <w:b/>
                <w:noProof/>
                <w:color w:val="000000"/>
                <w:sz w:val="18"/>
              </w:rPr>
              <w:t>17 662</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4CFC890F" w14:textId="77777777" w:rsidR="00807FFE" w:rsidRDefault="00023E71">
            <w:pPr>
              <w:pStyle w:val="DMETW36669BIPReconciliation"/>
              <w:jc w:val="right"/>
              <w:rPr>
                <w:rFonts w:ascii="Verdana" w:eastAsia="Verdana" w:hAnsi="Verdana" w:cs="Verdana"/>
                <w:b/>
                <w:noProof/>
                <w:color w:val="000000"/>
                <w:sz w:val="18"/>
                <w:lang w:bidi="en-GB"/>
              </w:rPr>
            </w:pPr>
            <w:r>
              <w:rPr>
                <w:rFonts w:ascii="Verdana" w:eastAsia="Verdana" w:hAnsi="Verdana" w:cs="Verdana"/>
                <w:b/>
                <w:noProof/>
                <w:color w:val="000000"/>
                <w:sz w:val="18"/>
              </w:rPr>
              <w:t>12 086</w:t>
            </w:r>
          </w:p>
        </w:tc>
      </w:tr>
      <w:tr w:rsidR="00807FFE" w14:paraId="25165B02" w14:textId="77777777">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49C776C2" w14:textId="77777777" w:rsidR="00807FFE" w:rsidRDefault="00023E71">
            <w:pPr>
              <w:pStyle w:val="DMETW36669BIPReconciliation"/>
              <w:rPr>
                <w:rFonts w:ascii="Verdana" w:eastAsia="Verdana" w:hAnsi="Verdana" w:cs="Verdana"/>
                <w:b/>
                <w:noProof/>
                <w:color w:val="000000"/>
                <w:sz w:val="18"/>
              </w:rPr>
            </w:pPr>
            <w:r>
              <w:rPr>
                <w:rFonts w:ascii="Verdana" w:eastAsia="Verdana" w:hAnsi="Verdana" w:cs="Verdana"/>
                <w:b/>
                <w:noProof/>
                <w:color w:val="000000"/>
                <w:sz w:val="18"/>
              </w:rPr>
              <w:t>Economic result Agencies and ECSC i.L.</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0423D2DD" w14:textId="77777777" w:rsidR="00807FFE" w:rsidRDefault="00023E71">
            <w:pPr>
              <w:pStyle w:val="DMETW36669BIPReconciliation"/>
              <w:jc w:val="right"/>
              <w:rPr>
                <w:rFonts w:ascii="Verdana" w:eastAsia="Verdana" w:hAnsi="Verdana" w:cs="Verdana"/>
                <w:b/>
                <w:noProof/>
                <w:color w:val="000000"/>
                <w:sz w:val="18"/>
              </w:rPr>
            </w:pPr>
            <w:r>
              <w:rPr>
                <w:rFonts w:ascii="Verdana" w:eastAsia="Verdana" w:hAnsi="Verdana" w:cs="Verdana"/>
                <w:b/>
                <w:noProof/>
                <w:color w:val="000000"/>
                <w:sz w:val="18"/>
              </w:rPr>
              <w:t xml:space="preserve"> (170)</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D5D085A" w14:textId="77777777" w:rsidR="00807FFE" w:rsidRDefault="00023E71">
            <w:pPr>
              <w:pStyle w:val="DMETW36669BIPReconciliation"/>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85</w:t>
            </w:r>
          </w:p>
        </w:tc>
      </w:tr>
      <w:tr w:rsidR="00807FFE" w14:paraId="22527BF8" w14:textId="77777777">
        <w:trPr>
          <w:trHeight w:hRule="exact" w:val="255"/>
        </w:trPr>
        <w:tc>
          <w:tcPr>
            <w:tcW w:w="6887" w:type="dxa"/>
            <w:tcBorders>
              <w:top w:val="single" w:sz="4" w:space="0" w:color="016794"/>
              <w:left w:val="nil"/>
              <w:bottom w:val="nil"/>
              <w:right w:val="nil"/>
              <w:tl2br w:val="nil"/>
              <w:tr2bl w:val="nil"/>
            </w:tcBorders>
            <w:shd w:val="solid" w:color="FFFFFF" w:fill="FFFFFF"/>
            <w:tcMar>
              <w:left w:w="60" w:type="dxa"/>
              <w:right w:w="60" w:type="dxa"/>
            </w:tcMar>
            <w:vAlign w:val="center"/>
          </w:tcPr>
          <w:p w14:paraId="65AE2E5F" w14:textId="77777777" w:rsidR="00807FFE" w:rsidRDefault="00807FFE">
            <w:pPr>
              <w:pStyle w:val="DMETW36669BIPReconciliation"/>
              <w:rPr>
                <w:rFonts w:cs="Calibri"/>
                <w:noProof/>
                <w:color w:val="000000"/>
                <w:sz w:val="22"/>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14:paraId="6635D9C3" w14:textId="77777777" w:rsidR="00807FFE" w:rsidRDefault="00807FFE">
            <w:pPr>
              <w:pStyle w:val="DMETW36669BIPReconciliation"/>
              <w:rPr>
                <w:rFonts w:cs="Calibri"/>
                <w:noProof/>
                <w:color w:val="000000"/>
                <w:sz w:val="22"/>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14:paraId="3AEFF338" w14:textId="77777777" w:rsidR="00807FFE" w:rsidRDefault="00807FFE">
            <w:pPr>
              <w:pStyle w:val="DMETW36669BIPReconciliation"/>
              <w:rPr>
                <w:rFonts w:cs="Calibri"/>
                <w:noProof/>
                <w:color w:val="000000"/>
                <w:sz w:val="22"/>
                <w:lang w:bidi="en-GB"/>
              </w:rPr>
            </w:pPr>
          </w:p>
        </w:tc>
      </w:tr>
      <w:tr w:rsidR="00807FFE" w14:paraId="4F6178AF" w14:textId="77777777">
        <w:trPr>
          <w:trHeight w:hRule="exact" w:val="260"/>
        </w:trPr>
        <w:tc>
          <w:tcPr>
            <w:tcW w:w="6887" w:type="dxa"/>
            <w:tcBorders>
              <w:top w:val="nil"/>
              <w:left w:val="nil"/>
              <w:bottom w:val="nil"/>
              <w:right w:val="nil"/>
              <w:tl2br w:val="nil"/>
              <w:tr2bl w:val="nil"/>
            </w:tcBorders>
            <w:shd w:val="solid" w:color="CCE1EA" w:fill="FFFFFF"/>
            <w:tcMar>
              <w:left w:w="60" w:type="dxa"/>
              <w:right w:w="60" w:type="dxa"/>
            </w:tcMar>
            <w:vAlign w:val="center"/>
          </w:tcPr>
          <w:p w14:paraId="516A9DA7" w14:textId="77777777" w:rsidR="00807FFE" w:rsidRDefault="00023E71">
            <w:pPr>
              <w:pStyle w:val="DMETW36669BIPReconciliation"/>
              <w:rPr>
                <w:rFonts w:ascii="Verdana" w:eastAsia="Verdana" w:hAnsi="Verdana" w:cs="Verdana"/>
                <w:b/>
                <w:noProof/>
                <w:color w:val="000000"/>
                <w:sz w:val="18"/>
              </w:rPr>
            </w:pPr>
            <w:r>
              <w:rPr>
                <w:rFonts w:ascii="Verdana" w:eastAsia="Verdana" w:hAnsi="Verdana" w:cs="Verdana"/>
                <w:b/>
                <w:noProof/>
                <w:color w:val="000000"/>
                <w:sz w:val="18"/>
              </w:rPr>
              <w:t>BUDGET RESULT OF THE YEAR</w:t>
            </w:r>
          </w:p>
        </w:tc>
        <w:tc>
          <w:tcPr>
            <w:tcW w:w="1436" w:type="dxa"/>
            <w:tcBorders>
              <w:top w:val="nil"/>
              <w:left w:val="nil"/>
              <w:bottom w:val="nil"/>
              <w:right w:val="nil"/>
              <w:tl2br w:val="nil"/>
              <w:tr2bl w:val="nil"/>
            </w:tcBorders>
            <w:shd w:val="solid" w:color="CCE1EA" w:fill="FFFFFF"/>
            <w:tcMar>
              <w:left w:w="60" w:type="dxa"/>
              <w:right w:w="60" w:type="dxa"/>
            </w:tcMar>
            <w:vAlign w:val="center"/>
          </w:tcPr>
          <w:p w14:paraId="022EF13B" w14:textId="77777777" w:rsidR="00807FFE" w:rsidRDefault="00023E71">
            <w:pPr>
              <w:pStyle w:val="DMETW36669BIPReconciliation"/>
              <w:jc w:val="right"/>
              <w:rPr>
                <w:rFonts w:ascii="Verdana" w:eastAsia="Verdana" w:hAnsi="Verdana" w:cs="Verdana"/>
                <w:b/>
                <w:noProof/>
                <w:color w:val="000000"/>
                <w:sz w:val="18"/>
              </w:rPr>
            </w:pPr>
            <w:r>
              <w:rPr>
                <w:rFonts w:ascii="Verdana" w:eastAsia="Verdana" w:hAnsi="Verdana" w:cs="Verdana"/>
                <w:b/>
                <w:noProof/>
                <w:color w:val="000000"/>
                <w:sz w:val="18"/>
              </w:rPr>
              <w:t>2 078</w:t>
            </w:r>
          </w:p>
        </w:tc>
        <w:tc>
          <w:tcPr>
            <w:tcW w:w="1436" w:type="dxa"/>
            <w:tcBorders>
              <w:top w:val="nil"/>
              <w:left w:val="nil"/>
              <w:bottom w:val="nil"/>
              <w:right w:val="nil"/>
              <w:tl2br w:val="nil"/>
              <w:tr2bl w:val="nil"/>
            </w:tcBorders>
            <w:shd w:val="solid" w:color="CCE1EA" w:fill="FFFFFF"/>
            <w:tcMar>
              <w:left w:w="60" w:type="dxa"/>
              <w:right w:w="60" w:type="dxa"/>
            </w:tcMar>
            <w:vAlign w:val="center"/>
          </w:tcPr>
          <w:p w14:paraId="5DE90494" w14:textId="77777777" w:rsidR="00807FFE" w:rsidRDefault="00023E71">
            <w:pPr>
              <w:pStyle w:val="DMETW36669BIPReconciliation"/>
              <w:jc w:val="right"/>
              <w:rPr>
                <w:rFonts w:ascii="Verdana" w:eastAsia="Verdana" w:hAnsi="Verdana" w:cs="Verdana"/>
                <w:b/>
                <w:noProof/>
                <w:color w:val="000000"/>
                <w:sz w:val="18"/>
              </w:rPr>
            </w:pPr>
            <w:r>
              <w:rPr>
                <w:rFonts w:ascii="Verdana" w:eastAsia="Verdana" w:hAnsi="Verdana" w:cs="Verdana"/>
                <w:b/>
                <w:noProof/>
                <w:color w:val="000000"/>
                <w:sz w:val="18"/>
              </w:rPr>
              <w:t>1 344</w:t>
            </w:r>
          </w:p>
        </w:tc>
      </w:tr>
    </w:tbl>
    <w:p w14:paraId="695FB706" w14:textId="77777777" w:rsidR="002016AF" w:rsidRDefault="00023E71" w:rsidP="00C85AE6">
      <w:pPr>
        <w:pStyle w:val="DGTextstand-alone"/>
      </w:pPr>
      <w:r>
        <w:t>In accordance with the Financial Regulation, the economic result of the year is calculated on the basis of accrual accounting principles</w:t>
      </w:r>
      <w:r w:rsidR="003A434A">
        <w:t xml:space="preserve"> </w:t>
      </w:r>
      <w:r>
        <w:t xml:space="preserve">and the </w:t>
      </w:r>
      <w:r w:rsidR="003A434A">
        <w:t>EU Accounting Rules</w:t>
      </w:r>
      <w:r>
        <w:t>, while the budget result is based on modified cash accounting rules. As the economic result and the budget result cover the same underlying transaction</w:t>
      </w:r>
      <w:r w:rsidR="003A434A">
        <w:t>s – the exception being the other (non-budgetary) sources of revenue and expenditure of the agencies and the ECSC i</w:t>
      </w:r>
      <w:r>
        <w:t>.L.</w:t>
      </w:r>
      <w:r w:rsidR="003A434A">
        <w:t xml:space="preserve"> which are included in the economic result only – the reconciliation of the economic result of the year with the budget result of the year serves as a useful consistency check.</w:t>
      </w:r>
      <w:r>
        <w:t xml:space="preserve"> </w:t>
      </w:r>
    </w:p>
    <w:p w14:paraId="17FD5F23" w14:textId="77777777" w:rsidR="002016AF" w:rsidRDefault="00023E71" w:rsidP="002016AF">
      <w:pPr>
        <w:pStyle w:val="HEADER5"/>
        <w:rPr>
          <w:noProof/>
        </w:rPr>
      </w:pPr>
      <w:r>
        <w:rPr>
          <w:noProof/>
        </w:rPr>
        <w:t xml:space="preserve">Reconciling items </w:t>
      </w:r>
      <w:r w:rsidRPr="00BD2262">
        <w:rPr>
          <w:noProof/>
        </w:rPr>
        <w:t>–</w:t>
      </w:r>
      <w:r>
        <w:rPr>
          <w:noProof/>
        </w:rPr>
        <w:t xml:space="preserve"> Revenue</w:t>
      </w:r>
    </w:p>
    <w:p w14:paraId="6E378227" w14:textId="77777777" w:rsidR="002016AF" w:rsidRDefault="00023E71" w:rsidP="002016AF">
      <w:pPr>
        <w:pStyle w:val="DGTextstand-alone"/>
        <w:rPr>
          <w:color w:val="000000"/>
        </w:rPr>
      </w:pPr>
      <w:r>
        <w:rPr>
          <w:color w:val="000000"/>
        </w:rPr>
        <w:t xml:space="preserve">The actual budgetary revenue for a financial year corresponds to the revenue collected from entitlements established in the course of the year and amounts collected from entitlements established in previous years. Therefore the entitlements established in the current year but not yet collected are to be deducted from the economic result for reconciliation purposes as they do not form part of budgetary revenue. On the contrary the entitlements established in previous years and collected in current year must be added to the economic result for reconciliation </w:t>
      </w:r>
      <w:r w:rsidRPr="00006FC2">
        <w:rPr>
          <w:color w:val="000000"/>
        </w:rPr>
        <w:t>purposes.</w:t>
      </w:r>
      <w:r w:rsidR="00D04182" w:rsidRPr="00006FC2">
        <w:rPr>
          <w:color w:val="000000"/>
        </w:rPr>
        <w:t xml:space="preserve"> Some entitlements collected are not</w:t>
      </w:r>
      <w:r w:rsidRPr="00006FC2">
        <w:rPr>
          <w:color w:val="000000"/>
        </w:rPr>
        <w:t xml:space="preserve"> to be</w:t>
      </w:r>
      <w:r w:rsidR="00D04182" w:rsidRPr="00006FC2">
        <w:rPr>
          <w:color w:val="000000"/>
        </w:rPr>
        <w:t xml:space="preserve"> treated as revenue in the economic result and </w:t>
      </w:r>
      <w:r w:rsidRPr="00006FC2">
        <w:rPr>
          <w:color w:val="000000"/>
        </w:rPr>
        <w:t>must also</w:t>
      </w:r>
      <w:r w:rsidR="00D04182" w:rsidRPr="00006FC2">
        <w:rPr>
          <w:color w:val="000000"/>
        </w:rPr>
        <w:t xml:space="preserve"> be added for reconciliation purposes. Th</w:t>
      </w:r>
      <w:r w:rsidRPr="00006FC2">
        <w:rPr>
          <w:color w:val="000000"/>
        </w:rPr>
        <w:t xml:space="preserve">ey are </w:t>
      </w:r>
      <w:r w:rsidR="00D04182" w:rsidRPr="00006FC2">
        <w:rPr>
          <w:color w:val="000000"/>
        </w:rPr>
        <w:t xml:space="preserve">mostly related to </w:t>
      </w:r>
      <w:r w:rsidRPr="00006FC2">
        <w:rPr>
          <w:color w:val="000000"/>
        </w:rPr>
        <w:t>Next Generation EU financing.</w:t>
      </w:r>
      <w:r w:rsidR="00D04182">
        <w:rPr>
          <w:color w:val="000000"/>
        </w:rPr>
        <w:t xml:space="preserve"> </w:t>
      </w:r>
      <w:r>
        <w:rPr>
          <w:color w:val="000000"/>
        </w:rPr>
        <w:t xml:space="preserve"> </w:t>
      </w:r>
    </w:p>
    <w:p w14:paraId="6288F419" w14:textId="77777777" w:rsidR="002016AF" w:rsidRDefault="00023E71" w:rsidP="002016AF">
      <w:pPr>
        <w:pStyle w:val="DGTextstand-alone"/>
        <w:rPr>
          <w:color w:val="000000"/>
        </w:rPr>
      </w:pPr>
      <w:r>
        <w:rPr>
          <w:color w:val="000000"/>
        </w:rPr>
        <w:t>The accrued revenue mainly consists of amounts related</w:t>
      </w:r>
      <w:r w:rsidRPr="009F7A45">
        <w:rPr>
          <w:color w:val="000000"/>
        </w:rPr>
        <w:t xml:space="preserve"> to</w:t>
      </w:r>
      <w:r w:rsidRPr="00257FF7">
        <w:rPr>
          <w:color w:val="000000"/>
        </w:rPr>
        <w:t xml:space="preserve"> </w:t>
      </w:r>
      <w:r>
        <w:rPr>
          <w:color w:val="000000"/>
        </w:rPr>
        <w:t>f</w:t>
      </w:r>
      <w:r w:rsidRPr="00257FF7">
        <w:rPr>
          <w:color w:val="000000"/>
        </w:rPr>
        <w:t xml:space="preserve">inancial </w:t>
      </w:r>
      <w:r>
        <w:rPr>
          <w:color w:val="000000"/>
        </w:rPr>
        <w:t>c</w:t>
      </w:r>
      <w:r w:rsidRPr="00257FF7">
        <w:rPr>
          <w:color w:val="000000"/>
        </w:rPr>
        <w:t>orrections, own resou</w:t>
      </w:r>
      <w:r>
        <w:rPr>
          <w:color w:val="000000"/>
        </w:rPr>
        <w:t xml:space="preserve">rces, interests and dividends. Only the net effect, i.e. accrued revenue for current year minus reversal accrued revenue from previous year, is taken into consideration. </w:t>
      </w:r>
    </w:p>
    <w:p w14:paraId="3B094C82" w14:textId="77777777" w:rsidR="002016AF" w:rsidRDefault="00023E71" w:rsidP="002016AF">
      <w:pPr>
        <w:pStyle w:val="HEADER5"/>
        <w:rPr>
          <w:noProof/>
        </w:rPr>
      </w:pPr>
      <w:r>
        <w:rPr>
          <w:noProof/>
        </w:rPr>
        <w:t xml:space="preserve">Reconciling items </w:t>
      </w:r>
      <w:r w:rsidRPr="00BD2262">
        <w:rPr>
          <w:noProof/>
        </w:rPr>
        <w:t>–</w:t>
      </w:r>
      <w:r>
        <w:rPr>
          <w:noProof/>
        </w:rPr>
        <w:t xml:space="preserve"> Expenditure </w:t>
      </w:r>
    </w:p>
    <w:p w14:paraId="6EC8E081" w14:textId="77777777" w:rsidR="002016AF" w:rsidRPr="000A4017" w:rsidRDefault="00023E71" w:rsidP="002016AF">
      <w:pPr>
        <w:pStyle w:val="DGTextstand-alone"/>
        <w:rPr>
          <w:i/>
          <w:iCs/>
          <w:color w:val="000000"/>
        </w:rPr>
      </w:pPr>
      <w:r>
        <w:rPr>
          <w:color w:val="000000"/>
        </w:rPr>
        <w:t xml:space="preserve">The accrued expenses mainly consists of accruals made for year-end cut-off purposes, i.e. eligible expenses incurred by beneficiaries of EU funds but not yet reported to the Commission. Only the net-effect, i.e. accrued expenses for current year minus the reversal of accrued expenses from the previous year, is taken into consideration. Payments made in the current year relating to invoices registered in prior years are part of current year's budgetary expenditure and therefore must be added to the economic result for reconciliation purposes. </w:t>
      </w:r>
      <w:r w:rsidRPr="00DF0F52">
        <w:rPr>
          <w:color w:val="000000"/>
        </w:rPr>
        <w:t>Due to the adoption of a new financial IT system in 2025, a temporary methodology has been used for this year that can result in some transfers between these two categories.</w:t>
      </w:r>
    </w:p>
    <w:p w14:paraId="2B59A76E" w14:textId="77777777" w:rsidR="002016AF" w:rsidRDefault="00023E71" w:rsidP="002016AF">
      <w:pPr>
        <w:pStyle w:val="DGTextstand-alone"/>
        <w:rPr>
          <w:color w:val="000000"/>
        </w:rPr>
      </w:pPr>
      <w:r>
        <w:rPr>
          <w:color w:val="000000"/>
        </w:rPr>
        <w:t xml:space="preserve">The net effect of pre-financing is the combination of (1) the new pre-financing amounts paid in the current year and recognised as budgetary expenditure of the year and (2) the clearing of the pre-financing through eligible costs accepted during the current year. The latter represent an expense in accrual terms but not in the budgetary accounts since the payment of the initial pre-financing had already been considered as a budgetary expenditure at the time of its payment. </w:t>
      </w:r>
    </w:p>
    <w:p w14:paraId="2978F676" w14:textId="77777777" w:rsidR="002016AF" w:rsidRDefault="00023E71" w:rsidP="002016AF">
      <w:pPr>
        <w:pStyle w:val="DGTextstand-alone"/>
        <w:rPr>
          <w:color w:val="000000"/>
        </w:rPr>
      </w:pPr>
      <w:r>
        <w:rPr>
          <w:color w:val="000000"/>
        </w:rPr>
        <w:t>As well as the payments made against the year's appropriations, the appropriations for that year that are carried forward to the next year also need to be taken into account in calculating the budget result for the year (in accordance with Article 1(1) of Regulation (EU, Euratom) No 608/2014). The same applies for the budgetary payments made in the current year from carry-overs from previous years, and the cancellation of unused payment appropriations.</w:t>
      </w:r>
    </w:p>
    <w:p w14:paraId="2093DBFE" w14:textId="77777777" w:rsidR="00F566E1" w:rsidRDefault="00023E71" w:rsidP="002016AF">
      <w:pPr>
        <w:pStyle w:val="DGTextstand-alone"/>
        <w:rPr>
          <w:color w:val="000000"/>
        </w:rPr>
      </w:pPr>
      <w:r>
        <w:rPr>
          <w:color w:val="000000"/>
        </w:rPr>
        <w:t>The movement in provisions relates to year-end estimates made in the financial statements (employee benefits mainly) that do not impact the budgetary accounts. Other reconciling amounts comprise different elements such as asset amortisation/depreciation, asset acquisitions, capital lease payments and financial participations for which the budgetary and accrual accounting treatments differ.</w:t>
      </w:r>
    </w:p>
    <w:p w14:paraId="636B71EB" w14:textId="77777777" w:rsidR="003A434A" w:rsidRDefault="00023E71" w:rsidP="003A434A">
      <w:pPr>
        <w:pStyle w:val="HEADER5"/>
        <w:rPr>
          <w:noProof/>
        </w:rPr>
      </w:pPr>
      <w:r>
        <w:rPr>
          <w:noProof/>
        </w:rPr>
        <w:t>Reconciling item – Economic result Agencies and ECSC i.L.</w:t>
      </w:r>
    </w:p>
    <w:p w14:paraId="2BFE2BA0" w14:textId="77777777" w:rsidR="003A434A" w:rsidRDefault="00023E71" w:rsidP="002016AF">
      <w:pPr>
        <w:pStyle w:val="DGTextstand-alone"/>
      </w:pPr>
      <w:r>
        <w:rPr>
          <w:color w:val="000000"/>
        </w:rPr>
        <w:t xml:space="preserve">The budget result of the year is a non-consolidated figure and does not include the other (non-budgetary) sources of revenue and expenditure of the consolidated agencies and the ECSC i.L. (see note </w:t>
      </w:r>
      <w:r w:rsidRPr="003A434A">
        <w:rPr>
          <w:b/>
          <w:color w:val="000000"/>
        </w:rPr>
        <w:t>6</w:t>
      </w:r>
      <w:r>
        <w:rPr>
          <w:color w:val="000000"/>
        </w:rPr>
        <w:t>). To reconcile the economic result of the year – a consolidated figure which includes these amounts – with the budgetary result of the year, the whole consolidated economic result of the year of the agencies and the ECSC i.L. is presented as a reconciling item.</w:t>
      </w:r>
    </w:p>
    <w:p w14:paraId="50DC5824" w14:textId="77777777" w:rsidR="004E15D7" w:rsidRDefault="00023E71" w:rsidP="00163C80">
      <w:pPr>
        <w:pStyle w:val="DGTextstand-alone"/>
        <w:sectPr w:rsidR="004E15D7">
          <w:headerReference w:type="default" r:id="rId156"/>
          <w:footerReference w:type="default" r:id="rId157"/>
          <w:pgSz w:w="11907" w:h="16840" w:code="9"/>
          <w:pgMar w:top="1134" w:right="1134" w:bottom="1134" w:left="1134" w:header="709" w:footer="709" w:gutter="0"/>
          <w:cols w:space="708"/>
          <w:docGrid w:linePitch="360"/>
        </w:sectPr>
      </w:pPr>
      <w:r>
        <w:t xml:space="preserve"> </w:t>
      </w:r>
      <w:bookmarkEnd w:id="284"/>
      <w:bookmarkEnd w:id="285"/>
    </w:p>
    <w:p w14:paraId="302E2DB4" w14:textId="77777777" w:rsidR="00AD3B31" w:rsidRPr="001470EA" w:rsidRDefault="00023E71" w:rsidP="00A64413">
      <w:pPr>
        <w:pStyle w:val="HEADER1PartBUDG"/>
        <w:rPr>
          <w:noProof/>
        </w:rPr>
      </w:pPr>
      <w:bookmarkStart w:id="287" w:name="_DMBM_36783"/>
      <w:r>
        <w:rPr>
          <w:noProof/>
        </w:rPr>
        <w:t xml:space="preserve"> </w:t>
      </w:r>
      <w:bookmarkStart w:id="288" w:name="_Toc232674386"/>
      <w:r w:rsidR="007449F9" w:rsidRPr="001470EA">
        <w:rPr>
          <w:noProof/>
        </w:rPr>
        <w:t>IMPLEMENTATION OF THE 20</w:t>
      </w:r>
      <w:r w:rsidR="007449F9">
        <w:rPr>
          <w:noProof/>
        </w:rPr>
        <w:t>2</w:t>
      </w:r>
      <w:r>
        <w:rPr>
          <w:noProof/>
        </w:rPr>
        <w:t>5</w:t>
      </w:r>
      <w:r w:rsidR="007449F9">
        <w:rPr>
          <w:noProof/>
        </w:rPr>
        <w:t xml:space="preserve"> EU BUDGET</w:t>
      </w:r>
      <w:bookmarkEnd w:id="288"/>
      <w:r w:rsidR="007449F9">
        <w:rPr>
          <w:noProof/>
        </w:rPr>
        <w:t xml:space="preserve"> </w:t>
      </w:r>
    </w:p>
    <w:p w14:paraId="769C16F2" w14:textId="0266F5A4" w:rsidR="00E90814" w:rsidRDefault="00023E71" w:rsidP="00864420">
      <w:pPr>
        <w:pStyle w:val="Textstand-alone"/>
        <w:sectPr w:rsidR="00E90814">
          <w:headerReference w:type="default" r:id="rId158"/>
          <w:footerReference w:type="default" r:id="rId159"/>
          <w:pgSz w:w="11907" w:h="16840" w:code="9"/>
          <w:pgMar w:top="1134" w:right="1134" w:bottom="1134" w:left="1134" w:header="709" w:footer="709" w:gutter="0"/>
          <w:cols w:space="708"/>
          <w:docGrid w:linePitch="360"/>
        </w:sectPr>
      </w:pPr>
      <w:r>
        <w:t xml:space="preserve">Please see </w:t>
      </w:r>
      <w:r w:rsidR="008E77B6">
        <w:t>S</w:t>
      </w:r>
      <w:r>
        <w:t xml:space="preserve">ection </w:t>
      </w:r>
      <w:r w:rsidR="00E0361D" w:rsidRPr="00E0361D">
        <w:rPr>
          <w:b/>
          <w:bCs/>
        </w:rPr>
        <w:t>2</w:t>
      </w:r>
      <w:r>
        <w:t>, “Summary of budget implementation" in the Financial Highlights of the Year for explanatory notes on the 2025 budget implementation for revenue and expenditure, outstanding commitments and budget result.</w:t>
      </w:r>
      <w:r>
        <w:tab/>
      </w:r>
      <w:bookmarkEnd w:id="287"/>
    </w:p>
    <w:p w14:paraId="5D2949D5" w14:textId="77777777" w:rsidR="000A05FE" w:rsidRPr="00D80700" w:rsidRDefault="00023E71" w:rsidP="005B752C">
      <w:pPr>
        <w:pStyle w:val="HEADER1PartBUDG"/>
        <w:rPr>
          <w:noProof/>
        </w:rPr>
      </w:pPr>
      <w:bookmarkStart w:id="289" w:name="_DMBM_36792"/>
      <w:r>
        <w:rPr>
          <w:noProof/>
        </w:rPr>
        <w:t xml:space="preserve"> </w:t>
      </w:r>
      <w:bookmarkStart w:id="290" w:name="_Toc232674387"/>
      <w:r w:rsidRPr="00D80700">
        <w:rPr>
          <w:noProof/>
        </w:rPr>
        <w:t>IMPLEMENTATION OF EU BUDGET REVENUE</w:t>
      </w:r>
      <w:bookmarkEnd w:id="290"/>
      <w:r w:rsidRPr="00D80700">
        <w:rPr>
          <w:noProof/>
        </w:rPr>
        <w:t xml:space="preserve"> </w:t>
      </w:r>
    </w:p>
    <w:p w14:paraId="14025D67" w14:textId="77777777" w:rsidR="00B12889" w:rsidRPr="007D2E05" w:rsidRDefault="00023E71" w:rsidP="00B72470">
      <w:pPr>
        <w:pStyle w:val="HEADER2PartBUDG"/>
        <w:spacing w:after="240"/>
        <w:rPr>
          <w:noProof/>
          <w:lang w:val="en-GB"/>
        </w:rPr>
      </w:pPr>
      <w:bookmarkStart w:id="291" w:name="_Toc232674388"/>
      <w:r w:rsidRPr="007D2E05">
        <w:rPr>
          <w:noProof/>
          <w:lang w:val="en-GB"/>
        </w:rPr>
        <w:t>SUMMARY OF THE IMPLEMENTATION OF EU BUDGET REVENUE</w:t>
      </w:r>
      <w:bookmarkEnd w:id="291"/>
      <w:r w:rsidRPr="007D2E05">
        <w:rPr>
          <w:noProof/>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3969"/>
        <w:gridCol w:w="992"/>
        <w:gridCol w:w="992"/>
        <w:gridCol w:w="870"/>
        <w:gridCol w:w="956"/>
        <w:gridCol w:w="956"/>
        <w:gridCol w:w="956"/>
        <w:gridCol w:w="1448"/>
        <w:gridCol w:w="1052"/>
        <w:gridCol w:w="1059"/>
        <w:gridCol w:w="956"/>
      </w:tblGrid>
      <w:tr w:rsidR="00807FFE" w14:paraId="7A9E0ED9" w14:textId="77777777">
        <w:trPr>
          <w:trHeight w:val="255"/>
        </w:trPr>
        <w:tc>
          <w:tcPr>
            <w:tcW w:w="486" w:type="dxa"/>
            <w:gridSpan w:val="12"/>
            <w:tcBorders>
              <w:top w:val="nil"/>
              <w:left w:val="nil"/>
              <w:bottom w:val="nil"/>
              <w:right w:val="nil"/>
              <w:tl2br w:val="nil"/>
              <w:tr2bl w:val="nil"/>
            </w:tcBorders>
            <w:tcMar>
              <w:left w:w="60" w:type="dxa"/>
              <w:right w:w="60" w:type="dxa"/>
            </w:tcMar>
            <w:vAlign w:val="center"/>
          </w:tcPr>
          <w:p w14:paraId="39C5F6E9" w14:textId="77777777" w:rsidR="00807FFE" w:rsidRDefault="00023E71">
            <w:pPr>
              <w:pStyle w:val="DMETW36741BIPImplementationbudgetrevenue"/>
              <w:jc w:val="right"/>
              <w:rPr>
                <w:rFonts w:ascii="Verdana" w:eastAsia="Verdana" w:hAnsi="Verdana" w:cs="Verdana"/>
                <w:i/>
                <w:noProof/>
                <w:color w:val="000000"/>
                <w:sz w:val="16"/>
                <w:lang w:bidi="en-GB"/>
              </w:rPr>
            </w:pPr>
            <w:bookmarkStart w:id="292" w:name="DOC_TBL00113_1_1"/>
            <w:bookmarkEnd w:id="292"/>
            <w:r>
              <w:rPr>
                <w:rFonts w:ascii="Verdana" w:eastAsia="Verdana" w:hAnsi="Verdana" w:cs="Verdana"/>
                <w:i/>
                <w:noProof/>
                <w:color w:val="000000"/>
                <w:sz w:val="16"/>
                <w:lang w:bidi="en-GB"/>
              </w:rPr>
              <w:t>EUR million</w:t>
            </w:r>
          </w:p>
        </w:tc>
      </w:tr>
      <w:tr w:rsidR="00807FFE" w14:paraId="332F86BE" w14:textId="77777777">
        <w:trPr>
          <w:trHeight w:val="255"/>
        </w:trPr>
        <w:tc>
          <w:tcPr>
            <w:tcW w:w="486" w:type="dxa"/>
            <w:tcBorders>
              <w:top w:val="nil"/>
              <w:left w:val="nil"/>
              <w:bottom w:val="nil"/>
              <w:right w:val="nil"/>
              <w:tl2br w:val="nil"/>
              <w:tr2bl w:val="nil"/>
            </w:tcBorders>
            <w:shd w:val="solid" w:color="006496" w:fill="FFFFFF"/>
            <w:tcMar>
              <w:left w:w="60" w:type="dxa"/>
              <w:right w:w="60" w:type="dxa"/>
            </w:tcMar>
            <w:vAlign w:val="center"/>
          </w:tcPr>
          <w:p w14:paraId="1CACA29B" w14:textId="77777777" w:rsidR="00807FFE" w:rsidRDefault="00807FFE">
            <w:pPr>
              <w:pStyle w:val="DMETW36741BIPImplementationbudgetrevenue"/>
              <w:jc w:val="center"/>
              <w:rPr>
                <w:rFonts w:ascii="Verdana" w:eastAsia="Verdana" w:hAnsi="Verdana" w:cs="Verdana"/>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14:paraId="25E6CCE2" w14:textId="77777777" w:rsidR="00807FFE" w:rsidRDefault="00807FFE">
            <w:pPr>
              <w:pStyle w:val="DMETW36741BIPImplementationbudgetrevenue"/>
              <w:jc w:val="center"/>
              <w:rPr>
                <w:rFonts w:ascii="Verdana" w:eastAsia="Verdana" w:hAnsi="Verdana" w:cs="Verdana"/>
                <w:noProof/>
                <w:color w:val="FFFFFF"/>
                <w:sz w:val="16"/>
              </w:rPr>
            </w:pPr>
          </w:p>
        </w:tc>
        <w:tc>
          <w:tcPr>
            <w:tcW w:w="992" w:type="dxa"/>
            <w:gridSpan w:val="2"/>
            <w:tcBorders>
              <w:top w:val="nil"/>
              <w:left w:val="nil"/>
              <w:bottom w:val="nil"/>
              <w:right w:val="nil"/>
              <w:tl2br w:val="nil"/>
              <w:tr2bl w:val="nil"/>
            </w:tcBorders>
            <w:shd w:val="solid" w:color="006496" w:fill="FFFFFF"/>
            <w:tcMar>
              <w:left w:w="60" w:type="dxa"/>
              <w:right w:w="60" w:type="dxa"/>
            </w:tcMar>
            <w:vAlign w:val="center"/>
          </w:tcPr>
          <w:p w14:paraId="224EB2E6" w14:textId="77777777" w:rsidR="00807FFE" w:rsidRDefault="00023E71">
            <w:pPr>
              <w:pStyle w:val="DMETW36741BIPImplementationbudgetrevenue"/>
              <w:jc w:val="center"/>
              <w:rPr>
                <w:rFonts w:ascii="Verdana" w:eastAsia="Verdana" w:hAnsi="Verdana" w:cs="Verdana"/>
                <w:b/>
                <w:noProof/>
                <w:color w:val="FFFFFF"/>
                <w:sz w:val="16"/>
              </w:rPr>
            </w:pPr>
            <w:r>
              <w:rPr>
                <w:rFonts w:ascii="Verdana" w:eastAsia="Verdana" w:hAnsi="Verdana" w:cs="Verdana"/>
                <w:b/>
                <w:noProof/>
                <w:color w:val="FFFFFF"/>
                <w:sz w:val="16"/>
              </w:rPr>
              <w:t>Income appropriations</w:t>
            </w:r>
          </w:p>
        </w:tc>
        <w:tc>
          <w:tcPr>
            <w:tcW w:w="870" w:type="dxa"/>
            <w:gridSpan w:val="3"/>
            <w:tcBorders>
              <w:top w:val="nil"/>
              <w:left w:val="nil"/>
              <w:bottom w:val="nil"/>
              <w:right w:val="nil"/>
              <w:tl2br w:val="nil"/>
              <w:tr2bl w:val="nil"/>
            </w:tcBorders>
            <w:shd w:val="solid" w:color="006496" w:fill="FFFFFF"/>
            <w:tcMar>
              <w:left w:w="60" w:type="dxa"/>
              <w:right w:w="60" w:type="dxa"/>
            </w:tcMar>
            <w:vAlign w:val="center"/>
          </w:tcPr>
          <w:p w14:paraId="4031EF41" w14:textId="77777777" w:rsidR="00807FFE" w:rsidRDefault="00023E71">
            <w:pPr>
              <w:pStyle w:val="DMETW36741BIPImplementationbudgetrevenue"/>
              <w:jc w:val="center"/>
              <w:rPr>
                <w:rFonts w:ascii="Verdana" w:eastAsia="Verdana" w:hAnsi="Verdana" w:cs="Verdana"/>
                <w:b/>
                <w:noProof/>
                <w:color w:val="FFFFFF"/>
                <w:sz w:val="16"/>
              </w:rPr>
            </w:pPr>
            <w:r>
              <w:rPr>
                <w:rFonts w:ascii="Verdana" w:eastAsia="Verdana" w:hAnsi="Verdana" w:cs="Verdana"/>
                <w:b/>
                <w:noProof/>
                <w:color w:val="FFFFFF"/>
                <w:sz w:val="16"/>
              </w:rPr>
              <w:t>Entitlements established</w:t>
            </w:r>
          </w:p>
        </w:tc>
        <w:tc>
          <w:tcPr>
            <w:tcW w:w="956" w:type="dxa"/>
            <w:gridSpan w:val="3"/>
            <w:tcBorders>
              <w:top w:val="nil"/>
              <w:left w:val="nil"/>
              <w:bottom w:val="nil"/>
              <w:right w:val="nil"/>
              <w:tl2br w:val="nil"/>
              <w:tr2bl w:val="nil"/>
            </w:tcBorders>
            <w:shd w:val="solid" w:color="006496" w:fill="FFFFFF"/>
            <w:tcMar>
              <w:left w:w="60" w:type="dxa"/>
              <w:right w:w="60" w:type="dxa"/>
            </w:tcMar>
            <w:vAlign w:val="center"/>
          </w:tcPr>
          <w:p w14:paraId="56B47850" w14:textId="77777777" w:rsidR="00807FFE" w:rsidRDefault="00023E71">
            <w:pPr>
              <w:pStyle w:val="DMETW36741BIPImplementationbudgetrevenue"/>
              <w:jc w:val="center"/>
              <w:rPr>
                <w:rFonts w:ascii="Verdana" w:eastAsia="Verdana" w:hAnsi="Verdana" w:cs="Verdana"/>
                <w:b/>
                <w:noProof/>
                <w:color w:val="FFFFFF"/>
                <w:sz w:val="16"/>
              </w:rPr>
            </w:pPr>
            <w:r>
              <w:rPr>
                <w:rFonts w:ascii="Verdana" w:eastAsia="Verdana" w:hAnsi="Verdana" w:cs="Verdana"/>
                <w:b/>
                <w:noProof/>
                <w:color w:val="FFFFFF"/>
                <w:sz w:val="16"/>
              </w:rPr>
              <w:t>Revenue</w:t>
            </w:r>
          </w:p>
        </w:tc>
        <w:tc>
          <w:tcPr>
            <w:tcW w:w="1059" w:type="dxa"/>
            <w:vMerge w:val="restart"/>
            <w:tcBorders>
              <w:top w:val="nil"/>
              <w:left w:val="nil"/>
              <w:bottom w:val="nil"/>
              <w:right w:val="nil"/>
              <w:tl2br w:val="nil"/>
              <w:tr2bl w:val="nil"/>
            </w:tcBorders>
            <w:shd w:val="solid" w:color="006496" w:fill="FFFFFF"/>
            <w:tcMar>
              <w:left w:w="60" w:type="dxa"/>
              <w:right w:w="60" w:type="dxa"/>
            </w:tcMar>
            <w:vAlign w:val="center"/>
          </w:tcPr>
          <w:p w14:paraId="64787DE3"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Revenue as % of budget</w:t>
            </w:r>
          </w:p>
        </w:tc>
        <w:tc>
          <w:tcPr>
            <w:tcW w:w="956" w:type="dxa"/>
            <w:vMerge w:val="restart"/>
            <w:tcBorders>
              <w:top w:val="nil"/>
              <w:left w:val="nil"/>
              <w:bottom w:val="nil"/>
              <w:right w:val="nil"/>
              <w:tl2br w:val="nil"/>
              <w:tr2bl w:val="nil"/>
            </w:tcBorders>
            <w:shd w:val="solid" w:color="006496" w:fill="FFFFFF"/>
            <w:tcMar>
              <w:left w:w="60" w:type="dxa"/>
              <w:right w:w="60" w:type="dxa"/>
            </w:tcMar>
            <w:vAlign w:val="center"/>
          </w:tcPr>
          <w:p w14:paraId="7D824BB9"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Out-</w:t>
            </w:r>
          </w:p>
          <w:p w14:paraId="0A9FE562" w14:textId="77777777" w:rsidR="00807FFE" w:rsidRDefault="00023E71">
            <w:pPr>
              <w:pStyle w:val="DMETW36741BIPImplementationbudgetrevenue"/>
              <w:jc w:val="center"/>
              <w:rPr>
                <w:rFonts w:ascii="Verdana" w:eastAsia="Verdana" w:hAnsi="Verdana" w:cs="Verdana"/>
                <w:noProof/>
                <w:color w:val="FFFFFF"/>
                <w:sz w:val="16"/>
                <w:lang w:bidi="en-GB"/>
              </w:rPr>
            </w:pPr>
            <w:r>
              <w:rPr>
                <w:rFonts w:ascii="Verdana" w:eastAsia="Verdana" w:hAnsi="Verdana" w:cs="Verdana"/>
                <w:noProof/>
                <w:color w:val="FFFFFF"/>
                <w:sz w:val="16"/>
              </w:rPr>
              <w:t>standing</w:t>
            </w:r>
          </w:p>
        </w:tc>
      </w:tr>
      <w:tr w:rsidR="00807FFE" w14:paraId="3DE7C8F5" w14:textId="77777777">
        <w:trPr>
          <w:trHeight w:val="751"/>
        </w:trPr>
        <w:tc>
          <w:tcPr>
            <w:tcW w:w="486" w:type="dxa"/>
            <w:gridSpan w:val="2"/>
            <w:tcBorders>
              <w:top w:val="nil"/>
              <w:left w:val="nil"/>
              <w:bottom w:val="nil"/>
              <w:right w:val="nil"/>
              <w:tl2br w:val="nil"/>
              <w:tr2bl w:val="nil"/>
            </w:tcBorders>
            <w:shd w:val="solid" w:color="006496" w:fill="FFFFFF"/>
            <w:tcMar>
              <w:left w:w="60" w:type="dxa"/>
              <w:right w:w="60" w:type="dxa"/>
            </w:tcMar>
            <w:vAlign w:val="center"/>
          </w:tcPr>
          <w:p w14:paraId="4150EBF5"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Title</w:t>
            </w:r>
          </w:p>
        </w:tc>
        <w:tc>
          <w:tcPr>
            <w:tcW w:w="992" w:type="dxa"/>
            <w:tcBorders>
              <w:top w:val="nil"/>
              <w:left w:val="nil"/>
              <w:bottom w:val="nil"/>
              <w:right w:val="nil"/>
              <w:tl2br w:val="nil"/>
              <w:tr2bl w:val="nil"/>
            </w:tcBorders>
            <w:shd w:val="solid" w:color="006496" w:fill="FFFFFF"/>
            <w:tcMar>
              <w:left w:w="60" w:type="dxa"/>
              <w:right w:w="60" w:type="dxa"/>
            </w:tcMar>
            <w:vAlign w:val="center"/>
          </w:tcPr>
          <w:p w14:paraId="5878F40A"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992" w:type="dxa"/>
            <w:tcBorders>
              <w:top w:val="nil"/>
              <w:left w:val="nil"/>
              <w:bottom w:val="nil"/>
              <w:right w:val="nil"/>
              <w:tl2br w:val="nil"/>
              <w:tr2bl w:val="nil"/>
            </w:tcBorders>
            <w:shd w:val="solid" w:color="006496" w:fill="FFFFFF"/>
            <w:tcMar>
              <w:left w:w="60" w:type="dxa"/>
              <w:right w:w="60" w:type="dxa"/>
            </w:tcMar>
            <w:vAlign w:val="center"/>
          </w:tcPr>
          <w:p w14:paraId="3336FBE6"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870" w:type="dxa"/>
            <w:tcBorders>
              <w:top w:val="nil"/>
              <w:left w:val="nil"/>
              <w:bottom w:val="nil"/>
              <w:right w:val="nil"/>
              <w:tl2br w:val="nil"/>
              <w:tr2bl w:val="nil"/>
            </w:tcBorders>
            <w:shd w:val="solid" w:color="006496" w:fill="FFFFFF"/>
            <w:tcMar>
              <w:left w:w="60" w:type="dxa"/>
              <w:right w:w="60" w:type="dxa"/>
            </w:tcMar>
            <w:vAlign w:val="center"/>
          </w:tcPr>
          <w:p w14:paraId="5F6A7F58"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Current year</w:t>
            </w:r>
          </w:p>
        </w:tc>
        <w:tc>
          <w:tcPr>
            <w:tcW w:w="956" w:type="dxa"/>
            <w:tcBorders>
              <w:top w:val="nil"/>
              <w:left w:val="nil"/>
              <w:bottom w:val="nil"/>
              <w:right w:val="nil"/>
              <w:tl2br w:val="nil"/>
              <w:tr2bl w:val="nil"/>
            </w:tcBorders>
            <w:shd w:val="solid" w:color="006496" w:fill="FFFFFF"/>
            <w:tcMar>
              <w:left w:w="60" w:type="dxa"/>
              <w:right w:w="60" w:type="dxa"/>
            </w:tcMar>
            <w:vAlign w:val="center"/>
          </w:tcPr>
          <w:p w14:paraId="13A4362D"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Carried over</w:t>
            </w:r>
          </w:p>
        </w:tc>
        <w:tc>
          <w:tcPr>
            <w:tcW w:w="956" w:type="dxa"/>
            <w:tcBorders>
              <w:top w:val="nil"/>
              <w:left w:val="nil"/>
              <w:bottom w:val="nil"/>
              <w:right w:val="nil"/>
              <w:tl2br w:val="nil"/>
              <w:tr2bl w:val="nil"/>
            </w:tcBorders>
            <w:shd w:val="solid" w:color="006496" w:fill="FFFFFF"/>
            <w:tcMar>
              <w:left w:w="60" w:type="dxa"/>
              <w:right w:w="60" w:type="dxa"/>
            </w:tcMar>
            <w:vAlign w:val="center"/>
          </w:tcPr>
          <w:p w14:paraId="1DBF22B5"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956" w:type="dxa"/>
            <w:tcBorders>
              <w:top w:val="nil"/>
              <w:left w:val="nil"/>
              <w:bottom w:val="nil"/>
              <w:right w:val="nil"/>
              <w:tl2br w:val="nil"/>
              <w:tr2bl w:val="nil"/>
            </w:tcBorders>
            <w:shd w:val="solid" w:color="006496" w:fill="FFFFFF"/>
            <w:tcMar>
              <w:left w:w="60" w:type="dxa"/>
              <w:right w:w="60" w:type="dxa"/>
            </w:tcMar>
            <w:vAlign w:val="center"/>
          </w:tcPr>
          <w:p w14:paraId="48A342BC"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On entitle-</w:t>
            </w:r>
          </w:p>
          <w:p w14:paraId="3A43FCFD"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ments of current year</w:t>
            </w:r>
          </w:p>
        </w:tc>
        <w:tc>
          <w:tcPr>
            <w:tcW w:w="1448" w:type="dxa"/>
            <w:tcBorders>
              <w:top w:val="nil"/>
              <w:left w:val="nil"/>
              <w:bottom w:val="nil"/>
              <w:right w:val="nil"/>
              <w:tl2br w:val="nil"/>
              <w:tr2bl w:val="nil"/>
            </w:tcBorders>
            <w:shd w:val="solid" w:color="006496" w:fill="FFFFFF"/>
            <w:tcMar>
              <w:left w:w="60" w:type="dxa"/>
              <w:right w:w="60" w:type="dxa"/>
            </w:tcMar>
            <w:vAlign w:val="center"/>
          </w:tcPr>
          <w:p w14:paraId="5D4D55D1"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On entitle-</w:t>
            </w:r>
          </w:p>
          <w:p w14:paraId="7AE21FF1"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ments carried over</w:t>
            </w:r>
          </w:p>
        </w:tc>
        <w:tc>
          <w:tcPr>
            <w:tcW w:w="1052" w:type="dxa"/>
            <w:tcBorders>
              <w:top w:val="nil"/>
              <w:left w:val="nil"/>
              <w:bottom w:val="nil"/>
              <w:right w:val="nil"/>
              <w:tl2br w:val="nil"/>
              <w:tr2bl w:val="nil"/>
            </w:tcBorders>
            <w:shd w:val="solid" w:color="006496" w:fill="FFFFFF"/>
            <w:tcMar>
              <w:left w:w="60" w:type="dxa"/>
              <w:right w:w="60" w:type="dxa"/>
            </w:tcMar>
            <w:vAlign w:val="center"/>
          </w:tcPr>
          <w:p w14:paraId="4FF06BC4" w14:textId="77777777" w:rsidR="00807FFE" w:rsidRDefault="00023E71">
            <w:pPr>
              <w:pStyle w:val="DMETW36741BIPImplementationbudgetrevenue"/>
              <w:jc w:val="center"/>
              <w:rPr>
                <w:rFonts w:ascii="Verdana" w:eastAsia="Verdana" w:hAnsi="Verdana" w:cs="Verdana"/>
                <w:noProof/>
                <w:color w:val="FFFFFF"/>
                <w:sz w:val="16"/>
                <w:lang w:bidi="en-GB"/>
              </w:rPr>
            </w:pPr>
            <w:r>
              <w:rPr>
                <w:rFonts w:ascii="Verdana" w:eastAsia="Verdana" w:hAnsi="Verdana" w:cs="Verdana"/>
                <w:noProof/>
                <w:color w:val="FFFFFF"/>
                <w:sz w:val="16"/>
              </w:rPr>
              <w:t>Revenue</w:t>
            </w:r>
          </w:p>
        </w:tc>
        <w:tc>
          <w:tcPr>
            <w:tcW w:w="2340" w:type="dxa"/>
            <w:vMerge/>
            <w:tcBorders>
              <w:top w:val="nil"/>
              <w:left w:val="nil"/>
              <w:bottom w:val="nil"/>
              <w:right w:val="nil"/>
              <w:tl2br w:val="nil"/>
              <w:tr2bl w:val="nil"/>
            </w:tcBorders>
            <w:shd w:val="solid" w:color="006496" w:fill="FFFFFF"/>
            <w:tcMar>
              <w:left w:w="60" w:type="dxa"/>
              <w:right w:w="60" w:type="dxa"/>
            </w:tcMar>
            <w:vAlign w:val="center"/>
          </w:tcPr>
          <w:p w14:paraId="55632AEC" w14:textId="77777777" w:rsidR="00807FFE" w:rsidRDefault="00807FFE">
            <w:pPr>
              <w:pStyle w:val="DMETW36741BIPImplementationbudgetrevenue"/>
              <w:jc w:val="center"/>
              <w:rPr>
                <w:rFonts w:ascii="Verdana" w:eastAsia="Verdana" w:hAnsi="Verdana" w:cs="Verdana"/>
                <w:noProof/>
                <w:color w:val="FFFFFF"/>
                <w:sz w:val="16"/>
              </w:rPr>
            </w:pPr>
          </w:p>
        </w:tc>
        <w:tc>
          <w:tcPr>
            <w:tcW w:w="960" w:type="dxa"/>
            <w:vMerge/>
            <w:tcBorders>
              <w:top w:val="nil"/>
              <w:left w:val="nil"/>
              <w:bottom w:val="nil"/>
              <w:right w:val="nil"/>
              <w:tl2br w:val="nil"/>
              <w:tr2bl w:val="nil"/>
            </w:tcBorders>
            <w:shd w:val="solid" w:color="006496" w:fill="FFFFFF"/>
            <w:tcMar>
              <w:left w:w="60" w:type="dxa"/>
              <w:right w:w="60" w:type="dxa"/>
            </w:tcMar>
            <w:vAlign w:val="center"/>
          </w:tcPr>
          <w:p w14:paraId="58728F14" w14:textId="77777777" w:rsidR="00807FFE" w:rsidRDefault="00807FFE">
            <w:pPr>
              <w:pStyle w:val="DMETW36741BIPImplementationbudgetrevenue"/>
              <w:jc w:val="center"/>
              <w:rPr>
                <w:rFonts w:ascii="Verdana" w:eastAsia="Verdana" w:hAnsi="Verdana" w:cs="Verdana"/>
                <w:noProof/>
                <w:color w:val="FFFFFF"/>
                <w:sz w:val="16"/>
              </w:rPr>
            </w:pPr>
          </w:p>
        </w:tc>
      </w:tr>
      <w:tr w:rsidR="00807FFE" w14:paraId="2EEA8D2A"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00153EEB"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1</w:t>
            </w:r>
          </w:p>
        </w:tc>
        <w:tc>
          <w:tcPr>
            <w:tcW w:w="3969" w:type="dxa"/>
            <w:tcBorders>
              <w:top w:val="nil"/>
              <w:left w:val="nil"/>
              <w:bottom w:val="nil"/>
              <w:right w:val="nil"/>
              <w:tl2br w:val="nil"/>
              <w:tr2bl w:val="nil"/>
            </w:tcBorders>
            <w:tcMar>
              <w:left w:w="60" w:type="dxa"/>
              <w:right w:w="60" w:type="dxa"/>
            </w:tcMar>
            <w:vAlign w:val="center"/>
          </w:tcPr>
          <w:p w14:paraId="4A1B5DAA"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Own Resources</w:t>
            </w:r>
          </w:p>
        </w:tc>
        <w:tc>
          <w:tcPr>
            <w:tcW w:w="992" w:type="dxa"/>
            <w:tcBorders>
              <w:top w:val="nil"/>
              <w:left w:val="nil"/>
              <w:bottom w:val="nil"/>
              <w:right w:val="nil"/>
              <w:tl2br w:val="nil"/>
              <w:tr2bl w:val="nil"/>
            </w:tcBorders>
            <w:tcMar>
              <w:left w:w="60" w:type="dxa"/>
              <w:right w:w="60" w:type="dxa"/>
            </w:tcMar>
            <w:vAlign w:val="center"/>
          </w:tcPr>
          <w:p w14:paraId="16E5279E"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151 161</w:t>
            </w:r>
          </w:p>
        </w:tc>
        <w:tc>
          <w:tcPr>
            <w:tcW w:w="992" w:type="dxa"/>
            <w:tcBorders>
              <w:top w:val="nil"/>
              <w:left w:val="nil"/>
              <w:bottom w:val="nil"/>
              <w:right w:val="nil"/>
              <w:tl2br w:val="nil"/>
              <w:tr2bl w:val="nil"/>
            </w:tcBorders>
            <w:tcMar>
              <w:left w:w="60" w:type="dxa"/>
              <w:right w:w="60" w:type="dxa"/>
            </w:tcMar>
            <w:vAlign w:val="center"/>
          </w:tcPr>
          <w:p w14:paraId="702D85E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154 322</w:t>
            </w:r>
          </w:p>
        </w:tc>
        <w:tc>
          <w:tcPr>
            <w:tcW w:w="870" w:type="dxa"/>
            <w:tcBorders>
              <w:top w:val="nil"/>
              <w:left w:val="nil"/>
              <w:bottom w:val="nil"/>
              <w:right w:val="nil"/>
              <w:tl2br w:val="nil"/>
              <w:tr2bl w:val="nil"/>
            </w:tcBorders>
            <w:tcMar>
              <w:left w:w="60" w:type="dxa"/>
              <w:right w:w="60" w:type="dxa"/>
            </w:tcMar>
            <w:vAlign w:val="center"/>
          </w:tcPr>
          <w:p w14:paraId="1D75EC6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155 417</w:t>
            </w:r>
          </w:p>
        </w:tc>
        <w:tc>
          <w:tcPr>
            <w:tcW w:w="956" w:type="dxa"/>
            <w:tcBorders>
              <w:top w:val="nil"/>
              <w:left w:val="nil"/>
              <w:bottom w:val="nil"/>
              <w:right w:val="nil"/>
              <w:tl2br w:val="nil"/>
              <w:tr2bl w:val="nil"/>
            </w:tcBorders>
            <w:tcMar>
              <w:left w:w="60" w:type="dxa"/>
              <w:right w:w="60" w:type="dxa"/>
            </w:tcMar>
            <w:vAlign w:val="center"/>
          </w:tcPr>
          <w:p w14:paraId="4FFAA8A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956" w:type="dxa"/>
            <w:tcBorders>
              <w:top w:val="nil"/>
              <w:left w:val="nil"/>
              <w:bottom w:val="nil"/>
              <w:right w:val="nil"/>
              <w:tl2br w:val="nil"/>
              <w:tr2bl w:val="nil"/>
            </w:tcBorders>
            <w:tcMar>
              <w:left w:w="60" w:type="dxa"/>
              <w:right w:w="60" w:type="dxa"/>
            </w:tcMar>
            <w:vAlign w:val="center"/>
          </w:tcPr>
          <w:p w14:paraId="5E24A67E"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155 448</w:t>
            </w:r>
          </w:p>
        </w:tc>
        <w:tc>
          <w:tcPr>
            <w:tcW w:w="956" w:type="dxa"/>
            <w:tcBorders>
              <w:top w:val="nil"/>
              <w:left w:val="nil"/>
              <w:bottom w:val="nil"/>
              <w:right w:val="nil"/>
              <w:tl2br w:val="nil"/>
              <w:tr2bl w:val="nil"/>
            </w:tcBorders>
            <w:tcMar>
              <w:left w:w="60" w:type="dxa"/>
              <w:right w:w="60" w:type="dxa"/>
            </w:tcMar>
            <w:vAlign w:val="center"/>
          </w:tcPr>
          <w:p w14:paraId="3F1426D6"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155 414</w:t>
            </w:r>
          </w:p>
        </w:tc>
        <w:tc>
          <w:tcPr>
            <w:tcW w:w="1448" w:type="dxa"/>
            <w:tcBorders>
              <w:top w:val="nil"/>
              <w:left w:val="nil"/>
              <w:bottom w:val="nil"/>
              <w:right w:val="nil"/>
              <w:tl2br w:val="nil"/>
              <w:tr2bl w:val="nil"/>
            </w:tcBorders>
            <w:tcMar>
              <w:left w:w="60" w:type="dxa"/>
              <w:right w:w="60" w:type="dxa"/>
            </w:tcMar>
            <w:vAlign w:val="center"/>
          </w:tcPr>
          <w:p w14:paraId="0322AB46"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52" w:type="dxa"/>
            <w:tcBorders>
              <w:top w:val="nil"/>
              <w:left w:val="nil"/>
              <w:bottom w:val="nil"/>
              <w:right w:val="nil"/>
              <w:tl2br w:val="nil"/>
              <w:tr2bl w:val="nil"/>
            </w:tcBorders>
            <w:tcMar>
              <w:left w:w="60" w:type="dxa"/>
              <w:right w:w="60" w:type="dxa"/>
            </w:tcMar>
            <w:vAlign w:val="center"/>
          </w:tcPr>
          <w:p w14:paraId="64115380"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155 418</w:t>
            </w:r>
          </w:p>
        </w:tc>
        <w:tc>
          <w:tcPr>
            <w:tcW w:w="1059" w:type="dxa"/>
            <w:tcBorders>
              <w:top w:val="nil"/>
              <w:left w:val="nil"/>
              <w:bottom w:val="nil"/>
              <w:right w:val="nil"/>
              <w:tl2br w:val="nil"/>
              <w:tr2bl w:val="nil"/>
            </w:tcBorders>
            <w:tcMar>
              <w:left w:w="60" w:type="dxa"/>
              <w:right w:w="60" w:type="dxa"/>
            </w:tcMar>
            <w:vAlign w:val="center"/>
          </w:tcPr>
          <w:p w14:paraId="07BD42C0"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101 %</w:t>
            </w:r>
          </w:p>
        </w:tc>
        <w:tc>
          <w:tcPr>
            <w:tcW w:w="956" w:type="dxa"/>
            <w:tcBorders>
              <w:top w:val="nil"/>
              <w:left w:val="nil"/>
              <w:bottom w:val="nil"/>
              <w:right w:val="nil"/>
              <w:tl2br w:val="nil"/>
              <w:tr2bl w:val="nil"/>
            </w:tcBorders>
            <w:tcMar>
              <w:left w:w="60" w:type="dxa"/>
              <w:right w:w="60" w:type="dxa"/>
            </w:tcMar>
            <w:vAlign w:val="center"/>
          </w:tcPr>
          <w:p w14:paraId="02B683CA"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w:t>
            </w:r>
          </w:p>
        </w:tc>
      </w:tr>
      <w:tr w:rsidR="00807FFE" w14:paraId="1631B175"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77364140"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2</w:t>
            </w:r>
          </w:p>
        </w:tc>
        <w:tc>
          <w:tcPr>
            <w:tcW w:w="3969" w:type="dxa"/>
            <w:tcBorders>
              <w:top w:val="nil"/>
              <w:left w:val="nil"/>
              <w:bottom w:val="nil"/>
              <w:right w:val="nil"/>
              <w:tl2br w:val="nil"/>
              <w:tr2bl w:val="nil"/>
            </w:tcBorders>
            <w:tcMar>
              <w:left w:w="60" w:type="dxa"/>
              <w:right w:w="60" w:type="dxa"/>
            </w:tcMar>
            <w:vAlign w:val="center"/>
          </w:tcPr>
          <w:p w14:paraId="77721F8B"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Surpluses, Balances And Adjustments</w:t>
            </w:r>
          </w:p>
        </w:tc>
        <w:tc>
          <w:tcPr>
            <w:tcW w:w="992" w:type="dxa"/>
            <w:tcBorders>
              <w:top w:val="nil"/>
              <w:left w:val="nil"/>
              <w:bottom w:val="nil"/>
              <w:right w:val="nil"/>
              <w:tl2br w:val="nil"/>
              <w:tr2bl w:val="nil"/>
            </w:tcBorders>
            <w:tcMar>
              <w:left w:w="60" w:type="dxa"/>
              <w:right w:w="60" w:type="dxa"/>
            </w:tcMar>
            <w:vAlign w:val="center"/>
          </w:tcPr>
          <w:p w14:paraId="70311BE4"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14:paraId="2707F889"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1 345</w:t>
            </w:r>
          </w:p>
        </w:tc>
        <w:tc>
          <w:tcPr>
            <w:tcW w:w="870" w:type="dxa"/>
            <w:tcBorders>
              <w:top w:val="nil"/>
              <w:left w:val="nil"/>
              <w:bottom w:val="nil"/>
              <w:right w:val="nil"/>
              <w:tl2br w:val="nil"/>
              <w:tr2bl w:val="nil"/>
            </w:tcBorders>
            <w:tcMar>
              <w:left w:w="60" w:type="dxa"/>
              <w:right w:w="60" w:type="dxa"/>
            </w:tcMar>
            <w:vAlign w:val="center"/>
          </w:tcPr>
          <w:p w14:paraId="77D6593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1 362</w:t>
            </w:r>
          </w:p>
        </w:tc>
        <w:tc>
          <w:tcPr>
            <w:tcW w:w="956" w:type="dxa"/>
            <w:tcBorders>
              <w:top w:val="nil"/>
              <w:left w:val="nil"/>
              <w:bottom w:val="nil"/>
              <w:right w:val="nil"/>
              <w:tl2br w:val="nil"/>
              <w:tr2bl w:val="nil"/>
            </w:tcBorders>
            <w:tcMar>
              <w:left w:w="60" w:type="dxa"/>
              <w:right w:w="60" w:type="dxa"/>
            </w:tcMar>
            <w:vAlign w:val="center"/>
          </w:tcPr>
          <w:p w14:paraId="752A5F36"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14:paraId="759383B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1 362</w:t>
            </w:r>
          </w:p>
        </w:tc>
        <w:tc>
          <w:tcPr>
            <w:tcW w:w="956" w:type="dxa"/>
            <w:tcBorders>
              <w:top w:val="nil"/>
              <w:left w:val="nil"/>
              <w:bottom w:val="nil"/>
              <w:right w:val="nil"/>
              <w:tl2br w:val="nil"/>
              <w:tr2bl w:val="nil"/>
            </w:tcBorders>
            <w:tcMar>
              <w:left w:w="60" w:type="dxa"/>
              <w:right w:w="60" w:type="dxa"/>
            </w:tcMar>
            <w:vAlign w:val="center"/>
          </w:tcPr>
          <w:p w14:paraId="3731E3DE"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1 362</w:t>
            </w:r>
          </w:p>
        </w:tc>
        <w:tc>
          <w:tcPr>
            <w:tcW w:w="1448" w:type="dxa"/>
            <w:tcBorders>
              <w:top w:val="nil"/>
              <w:left w:val="nil"/>
              <w:bottom w:val="nil"/>
              <w:right w:val="nil"/>
              <w:tl2br w:val="nil"/>
              <w:tr2bl w:val="nil"/>
            </w:tcBorders>
            <w:tcMar>
              <w:left w:w="60" w:type="dxa"/>
              <w:right w:w="60" w:type="dxa"/>
            </w:tcMar>
            <w:vAlign w:val="center"/>
          </w:tcPr>
          <w:p w14:paraId="0FFF9F6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14:paraId="5C921D0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1 362</w:t>
            </w:r>
          </w:p>
        </w:tc>
        <w:tc>
          <w:tcPr>
            <w:tcW w:w="1059" w:type="dxa"/>
            <w:tcBorders>
              <w:top w:val="nil"/>
              <w:left w:val="nil"/>
              <w:bottom w:val="nil"/>
              <w:right w:val="nil"/>
              <w:tl2br w:val="nil"/>
              <w:tr2bl w:val="nil"/>
            </w:tcBorders>
            <w:tcMar>
              <w:left w:w="60" w:type="dxa"/>
              <w:right w:w="60" w:type="dxa"/>
            </w:tcMar>
            <w:vAlign w:val="center"/>
          </w:tcPr>
          <w:p w14:paraId="6C6FCE9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101 %</w:t>
            </w:r>
          </w:p>
        </w:tc>
        <w:tc>
          <w:tcPr>
            <w:tcW w:w="956" w:type="dxa"/>
            <w:tcBorders>
              <w:top w:val="nil"/>
              <w:left w:val="nil"/>
              <w:bottom w:val="nil"/>
              <w:right w:val="nil"/>
              <w:tl2br w:val="nil"/>
              <w:tr2bl w:val="nil"/>
            </w:tcBorders>
            <w:tcMar>
              <w:left w:w="60" w:type="dxa"/>
              <w:right w:w="60" w:type="dxa"/>
            </w:tcMar>
            <w:vAlign w:val="center"/>
          </w:tcPr>
          <w:p w14:paraId="185529CF"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68E88FA"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0B71A562"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3</w:t>
            </w:r>
          </w:p>
        </w:tc>
        <w:tc>
          <w:tcPr>
            <w:tcW w:w="3969" w:type="dxa"/>
            <w:tcBorders>
              <w:top w:val="nil"/>
              <w:left w:val="nil"/>
              <w:bottom w:val="nil"/>
              <w:right w:val="nil"/>
              <w:tl2br w:val="nil"/>
              <w:tr2bl w:val="nil"/>
            </w:tcBorders>
            <w:tcMar>
              <w:left w:w="60" w:type="dxa"/>
              <w:right w:w="60" w:type="dxa"/>
            </w:tcMar>
            <w:vAlign w:val="center"/>
          </w:tcPr>
          <w:p w14:paraId="21E245D8"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Administrative Revenue</w:t>
            </w:r>
          </w:p>
        </w:tc>
        <w:tc>
          <w:tcPr>
            <w:tcW w:w="992" w:type="dxa"/>
            <w:tcBorders>
              <w:top w:val="nil"/>
              <w:left w:val="nil"/>
              <w:bottom w:val="nil"/>
              <w:right w:val="nil"/>
              <w:tl2br w:val="nil"/>
              <w:tr2bl w:val="nil"/>
            </w:tcBorders>
            <w:tcMar>
              <w:left w:w="60" w:type="dxa"/>
              <w:right w:w="60" w:type="dxa"/>
            </w:tcMar>
            <w:vAlign w:val="center"/>
          </w:tcPr>
          <w:p w14:paraId="009E2D83"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2 425</w:t>
            </w:r>
          </w:p>
        </w:tc>
        <w:tc>
          <w:tcPr>
            <w:tcW w:w="992" w:type="dxa"/>
            <w:tcBorders>
              <w:top w:val="nil"/>
              <w:left w:val="nil"/>
              <w:bottom w:val="nil"/>
              <w:right w:val="nil"/>
              <w:tl2br w:val="nil"/>
              <w:tr2bl w:val="nil"/>
            </w:tcBorders>
            <w:tcMar>
              <w:left w:w="60" w:type="dxa"/>
              <w:right w:w="60" w:type="dxa"/>
            </w:tcMar>
            <w:vAlign w:val="center"/>
          </w:tcPr>
          <w:p w14:paraId="4F44BD5A"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2 425</w:t>
            </w:r>
          </w:p>
        </w:tc>
        <w:tc>
          <w:tcPr>
            <w:tcW w:w="870" w:type="dxa"/>
            <w:tcBorders>
              <w:top w:val="nil"/>
              <w:left w:val="nil"/>
              <w:bottom w:val="nil"/>
              <w:right w:val="nil"/>
              <w:tl2br w:val="nil"/>
              <w:tr2bl w:val="nil"/>
            </w:tcBorders>
            <w:tcMar>
              <w:left w:w="60" w:type="dxa"/>
              <w:right w:w="60" w:type="dxa"/>
            </w:tcMar>
            <w:vAlign w:val="center"/>
          </w:tcPr>
          <w:p w14:paraId="1B20F978"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3 228</w:t>
            </w:r>
          </w:p>
        </w:tc>
        <w:tc>
          <w:tcPr>
            <w:tcW w:w="956" w:type="dxa"/>
            <w:tcBorders>
              <w:top w:val="nil"/>
              <w:left w:val="nil"/>
              <w:bottom w:val="nil"/>
              <w:right w:val="nil"/>
              <w:tl2br w:val="nil"/>
              <w:tr2bl w:val="nil"/>
            </w:tcBorders>
            <w:tcMar>
              <w:left w:w="60" w:type="dxa"/>
              <w:right w:w="60" w:type="dxa"/>
            </w:tcMar>
            <w:vAlign w:val="center"/>
          </w:tcPr>
          <w:p w14:paraId="5B0F326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956" w:type="dxa"/>
            <w:tcBorders>
              <w:top w:val="nil"/>
              <w:left w:val="nil"/>
              <w:bottom w:val="nil"/>
              <w:right w:val="nil"/>
              <w:tl2br w:val="nil"/>
              <w:tr2bl w:val="nil"/>
            </w:tcBorders>
            <w:tcMar>
              <w:left w:w="60" w:type="dxa"/>
              <w:right w:w="60" w:type="dxa"/>
            </w:tcMar>
            <w:vAlign w:val="center"/>
          </w:tcPr>
          <w:p w14:paraId="710C9F8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3 272</w:t>
            </w:r>
          </w:p>
        </w:tc>
        <w:tc>
          <w:tcPr>
            <w:tcW w:w="956" w:type="dxa"/>
            <w:tcBorders>
              <w:top w:val="nil"/>
              <w:left w:val="nil"/>
              <w:bottom w:val="nil"/>
              <w:right w:val="nil"/>
              <w:tl2br w:val="nil"/>
              <w:tr2bl w:val="nil"/>
            </w:tcBorders>
            <w:tcMar>
              <w:left w:w="60" w:type="dxa"/>
              <w:right w:w="60" w:type="dxa"/>
            </w:tcMar>
            <w:vAlign w:val="center"/>
          </w:tcPr>
          <w:p w14:paraId="0C502A20"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3 200</w:t>
            </w:r>
          </w:p>
        </w:tc>
        <w:tc>
          <w:tcPr>
            <w:tcW w:w="1448" w:type="dxa"/>
            <w:tcBorders>
              <w:top w:val="nil"/>
              <w:left w:val="nil"/>
              <w:bottom w:val="nil"/>
              <w:right w:val="nil"/>
              <w:tl2br w:val="nil"/>
              <w:tr2bl w:val="nil"/>
            </w:tcBorders>
            <w:tcMar>
              <w:left w:w="60" w:type="dxa"/>
              <w:right w:w="60" w:type="dxa"/>
            </w:tcMar>
            <w:vAlign w:val="center"/>
          </w:tcPr>
          <w:p w14:paraId="7A6CD6A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052" w:type="dxa"/>
            <w:tcBorders>
              <w:top w:val="nil"/>
              <w:left w:val="nil"/>
              <w:bottom w:val="nil"/>
              <w:right w:val="nil"/>
              <w:tl2br w:val="nil"/>
              <w:tr2bl w:val="nil"/>
            </w:tcBorders>
            <w:tcMar>
              <w:left w:w="60" w:type="dxa"/>
              <w:right w:w="60" w:type="dxa"/>
            </w:tcMar>
            <w:vAlign w:val="center"/>
          </w:tcPr>
          <w:p w14:paraId="3C74AEDF"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3 226</w:t>
            </w:r>
          </w:p>
        </w:tc>
        <w:tc>
          <w:tcPr>
            <w:tcW w:w="1059" w:type="dxa"/>
            <w:tcBorders>
              <w:top w:val="nil"/>
              <w:left w:val="nil"/>
              <w:bottom w:val="nil"/>
              <w:right w:val="nil"/>
              <w:tl2br w:val="nil"/>
              <w:tr2bl w:val="nil"/>
            </w:tcBorders>
            <w:tcMar>
              <w:left w:w="60" w:type="dxa"/>
              <w:right w:w="60" w:type="dxa"/>
            </w:tcMar>
            <w:vAlign w:val="center"/>
          </w:tcPr>
          <w:p w14:paraId="63657CF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133 %</w:t>
            </w:r>
          </w:p>
        </w:tc>
        <w:tc>
          <w:tcPr>
            <w:tcW w:w="956" w:type="dxa"/>
            <w:tcBorders>
              <w:top w:val="nil"/>
              <w:left w:val="nil"/>
              <w:bottom w:val="nil"/>
              <w:right w:val="nil"/>
              <w:tl2br w:val="nil"/>
              <w:tr2bl w:val="nil"/>
            </w:tcBorders>
            <w:tcMar>
              <w:left w:w="60" w:type="dxa"/>
              <w:right w:w="60" w:type="dxa"/>
            </w:tcMar>
            <w:vAlign w:val="center"/>
          </w:tcPr>
          <w:p w14:paraId="47774B3F"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45</w:t>
            </w:r>
          </w:p>
        </w:tc>
      </w:tr>
      <w:tr w:rsidR="00807FFE" w14:paraId="3B1B1DF1"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6529B789"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4</w:t>
            </w:r>
          </w:p>
        </w:tc>
        <w:tc>
          <w:tcPr>
            <w:tcW w:w="3969" w:type="dxa"/>
            <w:tcBorders>
              <w:top w:val="nil"/>
              <w:left w:val="nil"/>
              <w:bottom w:val="nil"/>
              <w:right w:val="nil"/>
              <w:tl2br w:val="nil"/>
              <w:tr2bl w:val="nil"/>
            </w:tcBorders>
            <w:tcMar>
              <w:left w:w="60" w:type="dxa"/>
              <w:right w:w="60" w:type="dxa"/>
            </w:tcMar>
            <w:vAlign w:val="center"/>
          </w:tcPr>
          <w:p w14:paraId="0C72DF02"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Financial Revenue, Default Interest And Fines</w:t>
            </w:r>
          </w:p>
        </w:tc>
        <w:tc>
          <w:tcPr>
            <w:tcW w:w="992" w:type="dxa"/>
            <w:tcBorders>
              <w:top w:val="nil"/>
              <w:left w:val="nil"/>
              <w:bottom w:val="nil"/>
              <w:right w:val="nil"/>
              <w:tl2br w:val="nil"/>
              <w:tr2bl w:val="nil"/>
            </w:tcBorders>
            <w:tcMar>
              <w:left w:w="60" w:type="dxa"/>
              <w:right w:w="60" w:type="dxa"/>
            </w:tcMar>
            <w:vAlign w:val="center"/>
          </w:tcPr>
          <w:p w14:paraId="2DE21A3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183</w:t>
            </w:r>
          </w:p>
        </w:tc>
        <w:tc>
          <w:tcPr>
            <w:tcW w:w="992" w:type="dxa"/>
            <w:tcBorders>
              <w:top w:val="nil"/>
              <w:left w:val="nil"/>
              <w:bottom w:val="nil"/>
              <w:right w:val="nil"/>
              <w:tl2br w:val="nil"/>
              <w:tr2bl w:val="nil"/>
            </w:tcBorders>
            <w:tcMar>
              <w:left w:w="60" w:type="dxa"/>
              <w:right w:w="60" w:type="dxa"/>
            </w:tcMar>
            <w:vAlign w:val="center"/>
          </w:tcPr>
          <w:p w14:paraId="56142BDC"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1 659</w:t>
            </w:r>
          </w:p>
        </w:tc>
        <w:tc>
          <w:tcPr>
            <w:tcW w:w="870" w:type="dxa"/>
            <w:tcBorders>
              <w:top w:val="nil"/>
              <w:left w:val="nil"/>
              <w:bottom w:val="nil"/>
              <w:right w:val="nil"/>
              <w:tl2br w:val="nil"/>
              <w:tr2bl w:val="nil"/>
            </w:tcBorders>
            <w:tcMar>
              <w:left w:w="60" w:type="dxa"/>
              <w:right w:w="60" w:type="dxa"/>
            </w:tcMar>
            <w:vAlign w:val="center"/>
          </w:tcPr>
          <w:p w14:paraId="5EE3712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5 722</w:t>
            </w:r>
          </w:p>
        </w:tc>
        <w:tc>
          <w:tcPr>
            <w:tcW w:w="956" w:type="dxa"/>
            <w:tcBorders>
              <w:top w:val="nil"/>
              <w:left w:val="nil"/>
              <w:bottom w:val="nil"/>
              <w:right w:val="nil"/>
              <w:tl2br w:val="nil"/>
              <w:tr2bl w:val="nil"/>
            </w:tcBorders>
            <w:tcMar>
              <w:left w:w="60" w:type="dxa"/>
              <w:right w:w="60" w:type="dxa"/>
            </w:tcMar>
            <w:vAlign w:val="center"/>
          </w:tcPr>
          <w:p w14:paraId="567819D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13 152</w:t>
            </w:r>
          </w:p>
        </w:tc>
        <w:tc>
          <w:tcPr>
            <w:tcW w:w="956" w:type="dxa"/>
            <w:tcBorders>
              <w:top w:val="nil"/>
              <w:left w:val="nil"/>
              <w:bottom w:val="nil"/>
              <w:right w:val="nil"/>
              <w:tl2br w:val="nil"/>
              <w:tr2bl w:val="nil"/>
            </w:tcBorders>
            <w:tcMar>
              <w:left w:w="60" w:type="dxa"/>
              <w:right w:w="60" w:type="dxa"/>
            </w:tcMar>
            <w:vAlign w:val="center"/>
          </w:tcPr>
          <w:p w14:paraId="58851E6E"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18 874</w:t>
            </w:r>
          </w:p>
        </w:tc>
        <w:tc>
          <w:tcPr>
            <w:tcW w:w="956" w:type="dxa"/>
            <w:tcBorders>
              <w:top w:val="nil"/>
              <w:left w:val="nil"/>
              <w:bottom w:val="nil"/>
              <w:right w:val="nil"/>
              <w:tl2br w:val="nil"/>
              <w:tr2bl w:val="nil"/>
            </w:tcBorders>
            <w:tcMar>
              <w:left w:w="60" w:type="dxa"/>
              <w:right w:w="60" w:type="dxa"/>
            </w:tcMar>
            <w:vAlign w:val="center"/>
          </w:tcPr>
          <w:p w14:paraId="05ED586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1 388</w:t>
            </w:r>
          </w:p>
        </w:tc>
        <w:tc>
          <w:tcPr>
            <w:tcW w:w="1448" w:type="dxa"/>
            <w:tcBorders>
              <w:top w:val="nil"/>
              <w:left w:val="nil"/>
              <w:bottom w:val="nil"/>
              <w:right w:val="nil"/>
              <w:tl2br w:val="nil"/>
              <w:tr2bl w:val="nil"/>
            </w:tcBorders>
            <w:tcMar>
              <w:left w:w="60" w:type="dxa"/>
              <w:right w:w="60" w:type="dxa"/>
            </w:tcMar>
            <w:vAlign w:val="center"/>
          </w:tcPr>
          <w:p w14:paraId="7D6607B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1 230</w:t>
            </w:r>
          </w:p>
        </w:tc>
        <w:tc>
          <w:tcPr>
            <w:tcW w:w="1052" w:type="dxa"/>
            <w:tcBorders>
              <w:top w:val="nil"/>
              <w:left w:val="nil"/>
              <w:bottom w:val="nil"/>
              <w:right w:val="nil"/>
              <w:tl2br w:val="nil"/>
              <w:tr2bl w:val="nil"/>
            </w:tcBorders>
            <w:tcMar>
              <w:left w:w="60" w:type="dxa"/>
              <w:right w:w="60" w:type="dxa"/>
            </w:tcMar>
            <w:vAlign w:val="center"/>
          </w:tcPr>
          <w:p w14:paraId="4E43DC10"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2 618</w:t>
            </w:r>
          </w:p>
        </w:tc>
        <w:tc>
          <w:tcPr>
            <w:tcW w:w="1059" w:type="dxa"/>
            <w:tcBorders>
              <w:top w:val="nil"/>
              <w:left w:val="nil"/>
              <w:bottom w:val="nil"/>
              <w:right w:val="nil"/>
              <w:tl2br w:val="nil"/>
              <w:tr2bl w:val="nil"/>
            </w:tcBorders>
            <w:tcMar>
              <w:left w:w="60" w:type="dxa"/>
              <w:right w:w="60" w:type="dxa"/>
            </w:tcMar>
            <w:vAlign w:val="center"/>
          </w:tcPr>
          <w:p w14:paraId="1C5E3C23"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158 %</w:t>
            </w:r>
          </w:p>
        </w:tc>
        <w:tc>
          <w:tcPr>
            <w:tcW w:w="956" w:type="dxa"/>
            <w:tcBorders>
              <w:top w:val="nil"/>
              <w:left w:val="nil"/>
              <w:bottom w:val="nil"/>
              <w:right w:val="nil"/>
              <w:tl2br w:val="nil"/>
              <w:tr2bl w:val="nil"/>
            </w:tcBorders>
            <w:tcMar>
              <w:left w:w="60" w:type="dxa"/>
              <w:right w:w="60" w:type="dxa"/>
            </w:tcMar>
            <w:vAlign w:val="center"/>
          </w:tcPr>
          <w:p w14:paraId="6635DAE3"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16 256</w:t>
            </w:r>
          </w:p>
        </w:tc>
      </w:tr>
      <w:tr w:rsidR="00807FFE" w14:paraId="7CBEFA75"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1A587A79"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5</w:t>
            </w:r>
          </w:p>
        </w:tc>
        <w:tc>
          <w:tcPr>
            <w:tcW w:w="3969" w:type="dxa"/>
            <w:tcBorders>
              <w:top w:val="nil"/>
              <w:left w:val="nil"/>
              <w:bottom w:val="nil"/>
              <w:right w:val="nil"/>
              <w:tl2br w:val="nil"/>
              <w:tr2bl w:val="nil"/>
            </w:tcBorders>
            <w:tcMar>
              <w:left w:w="60" w:type="dxa"/>
              <w:right w:w="60" w:type="dxa"/>
            </w:tcMar>
            <w:vAlign w:val="center"/>
          </w:tcPr>
          <w:p w14:paraId="4F5F3837"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Budgetary Guarantees, Borrowing-And-Lending Operations</w:t>
            </w:r>
          </w:p>
        </w:tc>
        <w:tc>
          <w:tcPr>
            <w:tcW w:w="992" w:type="dxa"/>
            <w:tcBorders>
              <w:top w:val="nil"/>
              <w:left w:val="nil"/>
              <w:bottom w:val="nil"/>
              <w:right w:val="nil"/>
              <w:tl2br w:val="nil"/>
              <w:tr2bl w:val="nil"/>
            </w:tcBorders>
            <w:tcMar>
              <w:left w:w="60" w:type="dxa"/>
              <w:right w:w="60" w:type="dxa"/>
            </w:tcMar>
            <w:vAlign w:val="center"/>
          </w:tcPr>
          <w:p w14:paraId="12FC8208"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14:paraId="7C151D88"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0" w:type="dxa"/>
            <w:tcBorders>
              <w:top w:val="nil"/>
              <w:left w:val="nil"/>
              <w:bottom w:val="nil"/>
              <w:right w:val="nil"/>
              <w:tl2br w:val="nil"/>
              <w:tr2bl w:val="nil"/>
            </w:tcBorders>
            <w:tcMar>
              <w:left w:w="60" w:type="dxa"/>
              <w:right w:w="60" w:type="dxa"/>
            </w:tcMar>
            <w:vAlign w:val="center"/>
          </w:tcPr>
          <w:p w14:paraId="511AE630"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40 771</w:t>
            </w:r>
          </w:p>
        </w:tc>
        <w:tc>
          <w:tcPr>
            <w:tcW w:w="956" w:type="dxa"/>
            <w:tcBorders>
              <w:top w:val="nil"/>
              <w:left w:val="nil"/>
              <w:bottom w:val="nil"/>
              <w:right w:val="nil"/>
              <w:tl2br w:val="nil"/>
              <w:tr2bl w:val="nil"/>
            </w:tcBorders>
            <w:tcMar>
              <w:left w:w="60" w:type="dxa"/>
              <w:right w:w="60" w:type="dxa"/>
            </w:tcMar>
            <w:vAlign w:val="center"/>
          </w:tcPr>
          <w:p w14:paraId="0FFD9BFA"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956" w:type="dxa"/>
            <w:tcBorders>
              <w:top w:val="nil"/>
              <w:left w:val="nil"/>
              <w:bottom w:val="nil"/>
              <w:right w:val="nil"/>
              <w:tl2br w:val="nil"/>
              <w:tr2bl w:val="nil"/>
            </w:tcBorders>
            <w:tcMar>
              <w:left w:w="60" w:type="dxa"/>
              <w:right w:w="60" w:type="dxa"/>
            </w:tcMar>
            <w:vAlign w:val="center"/>
          </w:tcPr>
          <w:p w14:paraId="0F5585D0"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40 815</w:t>
            </w:r>
          </w:p>
        </w:tc>
        <w:tc>
          <w:tcPr>
            <w:tcW w:w="956" w:type="dxa"/>
            <w:tcBorders>
              <w:top w:val="nil"/>
              <w:left w:val="nil"/>
              <w:bottom w:val="nil"/>
              <w:right w:val="nil"/>
              <w:tl2br w:val="nil"/>
              <w:tr2bl w:val="nil"/>
            </w:tcBorders>
            <w:tcMar>
              <w:left w:w="60" w:type="dxa"/>
              <w:right w:w="60" w:type="dxa"/>
            </w:tcMar>
            <w:vAlign w:val="center"/>
          </w:tcPr>
          <w:p w14:paraId="5EFB34AF"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40 722</w:t>
            </w:r>
          </w:p>
        </w:tc>
        <w:tc>
          <w:tcPr>
            <w:tcW w:w="1448" w:type="dxa"/>
            <w:tcBorders>
              <w:top w:val="nil"/>
              <w:left w:val="nil"/>
              <w:bottom w:val="nil"/>
              <w:right w:val="nil"/>
              <w:tl2br w:val="nil"/>
              <w:tr2bl w:val="nil"/>
            </w:tcBorders>
            <w:tcMar>
              <w:left w:w="60" w:type="dxa"/>
              <w:right w:w="60" w:type="dxa"/>
            </w:tcMar>
            <w:vAlign w:val="center"/>
          </w:tcPr>
          <w:p w14:paraId="6620F949"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1052" w:type="dxa"/>
            <w:tcBorders>
              <w:top w:val="nil"/>
              <w:left w:val="nil"/>
              <w:bottom w:val="nil"/>
              <w:right w:val="nil"/>
              <w:tl2br w:val="nil"/>
              <w:tr2bl w:val="nil"/>
            </w:tcBorders>
            <w:tcMar>
              <w:left w:w="60" w:type="dxa"/>
              <w:right w:w="60" w:type="dxa"/>
            </w:tcMar>
            <w:vAlign w:val="center"/>
          </w:tcPr>
          <w:p w14:paraId="1A084BF3"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40 766</w:t>
            </w:r>
          </w:p>
        </w:tc>
        <w:tc>
          <w:tcPr>
            <w:tcW w:w="1059" w:type="dxa"/>
            <w:tcBorders>
              <w:top w:val="nil"/>
              <w:left w:val="nil"/>
              <w:bottom w:val="nil"/>
              <w:right w:val="nil"/>
              <w:tl2br w:val="nil"/>
              <w:tr2bl w:val="nil"/>
            </w:tcBorders>
            <w:tcMar>
              <w:left w:w="60" w:type="dxa"/>
              <w:right w:w="60" w:type="dxa"/>
            </w:tcMar>
            <w:vAlign w:val="center"/>
          </w:tcPr>
          <w:p w14:paraId="4B56685E" w14:textId="77777777" w:rsidR="00807FFE" w:rsidRDefault="00807FFE">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14:paraId="4CEEB5BD"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49</w:t>
            </w:r>
          </w:p>
        </w:tc>
      </w:tr>
      <w:tr w:rsidR="00807FFE" w14:paraId="60CE368C"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459B62CC"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6</w:t>
            </w:r>
          </w:p>
        </w:tc>
        <w:tc>
          <w:tcPr>
            <w:tcW w:w="3969" w:type="dxa"/>
            <w:tcBorders>
              <w:top w:val="nil"/>
              <w:left w:val="nil"/>
              <w:bottom w:val="nil"/>
              <w:right w:val="nil"/>
              <w:tl2br w:val="nil"/>
              <w:tr2bl w:val="nil"/>
            </w:tcBorders>
            <w:tcMar>
              <w:left w:w="60" w:type="dxa"/>
              <w:right w:w="60" w:type="dxa"/>
            </w:tcMar>
            <w:vAlign w:val="center"/>
          </w:tcPr>
          <w:p w14:paraId="752A1588"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Revenue, Contributions And Refunds Related To Union Policies</w:t>
            </w:r>
          </w:p>
        </w:tc>
        <w:tc>
          <w:tcPr>
            <w:tcW w:w="992" w:type="dxa"/>
            <w:tcBorders>
              <w:top w:val="nil"/>
              <w:left w:val="nil"/>
              <w:bottom w:val="nil"/>
              <w:right w:val="nil"/>
              <w:tl2br w:val="nil"/>
              <w:tr2bl w:val="nil"/>
            </w:tcBorders>
            <w:tcMar>
              <w:left w:w="60" w:type="dxa"/>
              <w:right w:w="60" w:type="dxa"/>
            </w:tcMar>
            <w:vAlign w:val="center"/>
          </w:tcPr>
          <w:p w14:paraId="6A88F20C"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1 440</w:t>
            </w:r>
          </w:p>
        </w:tc>
        <w:tc>
          <w:tcPr>
            <w:tcW w:w="992" w:type="dxa"/>
            <w:tcBorders>
              <w:top w:val="nil"/>
              <w:left w:val="nil"/>
              <w:bottom w:val="nil"/>
              <w:right w:val="nil"/>
              <w:tl2br w:val="nil"/>
              <w:tr2bl w:val="nil"/>
            </w:tcBorders>
            <w:tcMar>
              <w:left w:w="60" w:type="dxa"/>
              <w:right w:w="60" w:type="dxa"/>
            </w:tcMar>
            <w:vAlign w:val="center"/>
          </w:tcPr>
          <w:p w14:paraId="22BAA914"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1 412</w:t>
            </w:r>
          </w:p>
        </w:tc>
        <w:tc>
          <w:tcPr>
            <w:tcW w:w="870" w:type="dxa"/>
            <w:tcBorders>
              <w:top w:val="nil"/>
              <w:left w:val="nil"/>
              <w:bottom w:val="nil"/>
              <w:right w:val="nil"/>
              <w:tl2br w:val="nil"/>
              <w:tr2bl w:val="nil"/>
            </w:tcBorders>
            <w:tcMar>
              <w:left w:w="60" w:type="dxa"/>
              <w:right w:w="60" w:type="dxa"/>
            </w:tcMar>
            <w:vAlign w:val="center"/>
          </w:tcPr>
          <w:p w14:paraId="6DF51B43"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21 024</w:t>
            </w:r>
          </w:p>
        </w:tc>
        <w:tc>
          <w:tcPr>
            <w:tcW w:w="956" w:type="dxa"/>
            <w:tcBorders>
              <w:top w:val="nil"/>
              <w:left w:val="nil"/>
              <w:bottom w:val="nil"/>
              <w:right w:val="nil"/>
              <w:tl2br w:val="nil"/>
              <w:tr2bl w:val="nil"/>
            </w:tcBorders>
            <w:tcMar>
              <w:left w:w="60" w:type="dxa"/>
              <w:right w:w="60" w:type="dxa"/>
            </w:tcMar>
            <w:vAlign w:val="center"/>
          </w:tcPr>
          <w:p w14:paraId="6F23BF9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2 992</w:t>
            </w:r>
          </w:p>
        </w:tc>
        <w:tc>
          <w:tcPr>
            <w:tcW w:w="956" w:type="dxa"/>
            <w:tcBorders>
              <w:top w:val="nil"/>
              <w:left w:val="nil"/>
              <w:bottom w:val="nil"/>
              <w:right w:val="nil"/>
              <w:tl2br w:val="nil"/>
              <w:tr2bl w:val="nil"/>
            </w:tcBorders>
            <w:tcMar>
              <w:left w:w="60" w:type="dxa"/>
              <w:right w:w="60" w:type="dxa"/>
            </w:tcMar>
            <w:vAlign w:val="center"/>
          </w:tcPr>
          <w:p w14:paraId="497AE7F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24 016</w:t>
            </w:r>
          </w:p>
        </w:tc>
        <w:tc>
          <w:tcPr>
            <w:tcW w:w="956" w:type="dxa"/>
            <w:tcBorders>
              <w:top w:val="nil"/>
              <w:left w:val="nil"/>
              <w:bottom w:val="nil"/>
              <w:right w:val="nil"/>
              <w:tl2br w:val="nil"/>
              <w:tr2bl w:val="nil"/>
            </w:tcBorders>
            <w:tcMar>
              <w:left w:w="60" w:type="dxa"/>
              <w:right w:w="60" w:type="dxa"/>
            </w:tcMar>
            <w:vAlign w:val="center"/>
          </w:tcPr>
          <w:p w14:paraId="0B22BBCA"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18 960</w:t>
            </w:r>
          </w:p>
        </w:tc>
        <w:tc>
          <w:tcPr>
            <w:tcW w:w="1448" w:type="dxa"/>
            <w:tcBorders>
              <w:top w:val="nil"/>
              <w:left w:val="nil"/>
              <w:bottom w:val="nil"/>
              <w:right w:val="nil"/>
              <w:tl2br w:val="nil"/>
              <w:tr2bl w:val="nil"/>
            </w:tcBorders>
            <w:tcMar>
              <w:left w:w="60" w:type="dxa"/>
              <w:right w:w="60" w:type="dxa"/>
            </w:tcMar>
            <w:vAlign w:val="center"/>
          </w:tcPr>
          <w:p w14:paraId="4E8AF6EB"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2 048</w:t>
            </w:r>
          </w:p>
        </w:tc>
        <w:tc>
          <w:tcPr>
            <w:tcW w:w="1052" w:type="dxa"/>
            <w:tcBorders>
              <w:top w:val="nil"/>
              <w:left w:val="nil"/>
              <w:bottom w:val="nil"/>
              <w:right w:val="nil"/>
              <w:tl2br w:val="nil"/>
              <w:tr2bl w:val="nil"/>
            </w:tcBorders>
            <w:tcMar>
              <w:left w:w="60" w:type="dxa"/>
              <w:right w:w="60" w:type="dxa"/>
            </w:tcMar>
            <w:vAlign w:val="center"/>
          </w:tcPr>
          <w:p w14:paraId="442F7A99"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21 008</w:t>
            </w:r>
          </w:p>
        </w:tc>
        <w:tc>
          <w:tcPr>
            <w:tcW w:w="1059" w:type="dxa"/>
            <w:tcBorders>
              <w:top w:val="nil"/>
              <w:left w:val="nil"/>
              <w:bottom w:val="nil"/>
              <w:right w:val="nil"/>
              <w:tl2br w:val="nil"/>
              <w:tr2bl w:val="nil"/>
            </w:tcBorders>
            <w:tcMar>
              <w:left w:w="60" w:type="dxa"/>
              <w:right w:w="60" w:type="dxa"/>
            </w:tcMar>
            <w:vAlign w:val="center"/>
          </w:tcPr>
          <w:p w14:paraId="6C7F28A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1 487 %</w:t>
            </w:r>
          </w:p>
        </w:tc>
        <w:tc>
          <w:tcPr>
            <w:tcW w:w="956" w:type="dxa"/>
            <w:tcBorders>
              <w:top w:val="nil"/>
              <w:left w:val="nil"/>
              <w:bottom w:val="nil"/>
              <w:right w:val="nil"/>
              <w:tl2br w:val="nil"/>
              <w:tr2bl w:val="nil"/>
            </w:tcBorders>
            <w:tcMar>
              <w:left w:w="60" w:type="dxa"/>
              <w:right w:w="60" w:type="dxa"/>
            </w:tcMar>
            <w:vAlign w:val="center"/>
          </w:tcPr>
          <w:p w14:paraId="65469BA7"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3 008</w:t>
            </w:r>
          </w:p>
        </w:tc>
      </w:tr>
      <w:tr w:rsidR="00807FFE" w14:paraId="6D847D86" w14:textId="77777777">
        <w:trPr>
          <w:trHeight w:val="255"/>
        </w:trPr>
        <w:tc>
          <w:tcPr>
            <w:tcW w:w="486" w:type="dxa"/>
            <w:tcBorders>
              <w:top w:val="nil"/>
              <w:left w:val="nil"/>
              <w:bottom w:val="nil"/>
              <w:right w:val="nil"/>
              <w:tl2br w:val="nil"/>
              <w:tr2bl w:val="nil"/>
            </w:tcBorders>
            <w:shd w:val="solid" w:color="CCE1EB" w:fill="FFFFFF"/>
            <w:tcMar>
              <w:left w:w="60" w:type="dxa"/>
              <w:right w:w="60" w:type="dxa"/>
            </w:tcMar>
            <w:vAlign w:val="center"/>
          </w:tcPr>
          <w:p w14:paraId="620F93BD" w14:textId="77777777" w:rsidR="00807FFE" w:rsidRDefault="00807FFE">
            <w:pPr>
              <w:pStyle w:val="DMETW36741BIPImplementationbudgetrevenue"/>
              <w:rPr>
                <w:rFonts w:ascii="Verdana" w:eastAsia="Verdana" w:hAnsi="Verdana" w:cs="Verdana"/>
                <w:b/>
                <w:noProof/>
                <w:color w:val="000000"/>
                <w:sz w:val="16"/>
              </w:rPr>
            </w:pPr>
          </w:p>
        </w:tc>
        <w:tc>
          <w:tcPr>
            <w:tcW w:w="3969" w:type="dxa"/>
            <w:tcBorders>
              <w:top w:val="nil"/>
              <w:left w:val="nil"/>
              <w:bottom w:val="nil"/>
              <w:right w:val="nil"/>
              <w:tl2br w:val="nil"/>
              <w:tr2bl w:val="nil"/>
            </w:tcBorders>
            <w:shd w:val="solid" w:color="CCE1EB" w:fill="FFFFFF"/>
            <w:tcMar>
              <w:left w:w="60" w:type="dxa"/>
              <w:right w:w="60" w:type="dxa"/>
            </w:tcMar>
            <w:vAlign w:val="center"/>
          </w:tcPr>
          <w:p w14:paraId="0AA3B5AC" w14:textId="77777777" w:rsidR="00807FFE" w:rsidRDefault="00023E71">
            <w:pPr>
              <w:pStyle w:val="DMETW36741BIPImplementationbudgetrevenue"/>
              <w:rPr>
                <w:rFonts w:ascii="Verdana" w:eastAsia="Verdana" w:hAnsi="Verdana" w:cs="Verdana"/>
                <w:b/>
                <w:noProof/>
                <w:color w:val="000000"/>
                <w:sz w:val="16"/>
              </w:rPr>
            </w:pPr>
            <w:r>
              <w:rPr>
                <w:rFonts w:ascii="Verdana" w:eastAsia="Verdana" w:hAnsi="Verdana" w:cs="Verdana"/>
                <w:b/>
                <w:noProof/>
                <w:color w:val="000000"/>
                <w:sz w:val="16"/>
              </w:rPr>
              <w:t>TOTAL</w:t>
            </w:r>
          </w:p>
        </w:tc>
        <w:tc>
          <w:tcPr>
            <w:tcW w:w="992" w:type="dxa"/>
            <w:tcBorders>
              <w:top w:val="nil"/>
              <w:left w:val="nil"/>
              <w:bottom w:val="nil"/>
              <w:right w:val="nil"/>
              <w:tl2br w:val="nil"/>
              <w:tr2bl w:val="nil"/>
            </w:tcBorders>
            <w:shd w:val="solid" w:color="CCE1EB" w:fill="FFFFFF"/>
            <w:tcMar>
              <w:left w:w="60" w:type="dxa"/>
              <w:right w:w="60" w:type="dxa"/>
            </w:tcMar>
            <w:vAlign w:val="center"/>
          </w:tcPr>
          <w:p w14:paraId="457D2C33"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155 209</w:t>
            </w:r>
          </w:p>
        </w:tc>
        <w:tc>
          <w:tcPr>
            <w:tcW w:w="992" w:type="dxa"/>
            <w:tcBorders>
              <w:top w:val="nil"/>
              <w:left w:val="nil"/>
              <w:bottom w:val="nil"/>
              <w:right w:val="nil"/>
              <w:tl2br w:val="nil"/>
              <w:tr2bl w:val="nil"/>
            </w:tcBorders>
            <w:shd w:val="solid" w:color="CCE1EB" w:fill="FFFFFF"/>
            <w:tcMar>
              <w:left w:w="60" w:type="dxa"/>
              <w:right w:w="60" w:type="dxa"/>
            </w:tcMar>
            <w:vAlign w:val="center"/>
          </w:tcPr>
          <w:p w14:paraId="6E157A84"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161 163</w:t>
            </w:r>
          </w:p>
        </w:tc>
        <w:tc>
          <w:tcPr>
            <w:tcW w:w="870" w:type="dxa"/>
            <w:tcBorders>
              <w:top w:val="nil"/>
              <w:left w:val="nil"/>
              <w:bottom w:val="nil"/>
              <w:right w:val="nil"/>
              <w:tl2br w:val="nil"/>
              <w:tr2bl w:val="nil"/>
            </w:tcBorders>
            <w:shd w:val="solid" w:color="CCE1EB" w:fill="FFFFFF"/>
            <w:tcMar>
              <w:left w:w="60" w:type="dxa"/>
              <w:right w:w="60" w:type="dxa"/>
            </w:tcMar>
            <w:vAlign w:val="center"/>
          </w:tcPr>
          <w:p w14:paraId="4909F990"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227 523</w:t>
            </w:r>
          </w:p>
        </w:tc>
        <w:tc>
          <w:tcPr>
            <w:tcW w:w="956" w:type="dxa"/>
            <w:tcBorders>
              <w:top w:val="nil"/>
              <w:left w:val="nil"/>
              <w:bottom w:val="nil"/>
              <w:right w:val="nil"/>
              <w:tl2br w:val="nil"/>
              <w:tr2bl w:val="nil"/>
            </w:tcBorders>
            <w:shd w:val="solid" w:color="CCE1EB" w:fill="FFFFFF"/>
            <w:tcMar>
              <w:left w:w="60" w:type="dxa"/>
              <w:right w:w="60" w:type="dxa"/>
            </w:tcMar>
            <w:vAlign w:val="center"/>
          </w:tcPr>
          <w:p w14:paraId="1EB7DA76"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16 264</w:t>
            </w:r>
          </w:p>
        </w:tc>
        <w:tc>
          <w:tcPr>
            <w:tcW w:w="956" w:type="dxa"/>
            <w:tcBorders>
              <w:top w:val="nil"/>
              <w:left w:val="nil"/>
              <w:bottom w:val="nil"/>
              <w:right w:val="nil"/>
              <w:tl2br w:val="nil"/>
              <w:tr2bl w:val="nil"/>
            </w:tcBorders>
            <w:shd w:val="solid" w:color="CCE1EB" w:fill="FFFFFF"/>
            <w:tcMar>
              <w:left w:w="60" w:type="dxa"/>
              <w:right w:w="60" w:type="dxa"/>
            </w:tcMar>
            <w:vAlign w:val="center"/>
          </w:tcPr>
          <w:p w14:paraId="0E44AFD8"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243 787</w:t>
            </w:r>
          </w:p>
        </w:tc>
        <w:tc>
          <w:tcPr>
            <w:tcW w:w="956" w:type="dxa"/>
            <w:tcBorders>
              <w:top w:val="nil"/>
              <w:left w:val="nil"/>
              <w:bottom w:val="nil"/>
              <w:right w:val="nil"/>
              <w:tl2br w:val="nil"/>
              <w:tr2bl w:val="nil"/>
            </w:tcBorders>
            <w:shd w:val="solid" w:color="CCE1EB" w:fill="FFFFFF"/>
            <w:tcMar>
              <w:left w:w="60" w:type="dxa"/>
              <w:right w:w="60" w:type="dxa"/>
            </w:tcMar>
            <w:vAlign w:val="center"/>
          </w:tcPr>
          <w:p w14:paraId="7C1AB62D"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221 046</w:t>
            </w:r>
          </w:p>
        </w:tc>
        <w:tc>
          <w:tcPr>
            <w:tcW w:w="1448" w:type="dxa"/>
            <w:tcBorders>
              <w:top w:val="nil"/>
              <w:left w:val="nil"/>
              <w:bottom w:val="nil"/>
              <w:right w:val="nil"/>
              <w:tl2br w:val="nil"/>
              <w:tr2bl w:val="nil"/>
            </w:tcBorders>
            <w:shd w:val="solid" w:color="CCE1EB" w:fill="FFFFFF"/>
            <w:tcMar>
              <w:left w:w="60" w:type="dxa"/>
              <w:right w:w="60" w:type="dxa"/>
            </w:tcMar>
            <w:vAlign w:val="center"/>
          </w:tcPr>
          <w:p w14:paraId="27CBCBD8"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3 352</w:t>
            </w:r>
          </w:p>
        </w:tc>
        <w:tc>
          <w:tcPr>
            <w:tcW w:w="1052" w:type="dxa"/>
            <w:tcBorders>
              <w:top w:val="nil"/>
              <w:left w:val="nil"/>
              <w:bottom w:val="nil"/>
              <w:right w:val="nil"/>
              <w:tl2br w:val="nil"/>
              <w:tr2bl w:val="nil"/>
            </w:tcBorders>
            <w:shd w:val="solid" w:color="CCE1EB" w:fill="FFFFFF"/>
            <w:tcMar>
              <w:left w:w="60" w:type="dxa"/>
              <w:right w:w="60" w:type="dxa"/>
            </w:tcMar>
            <w:vAlign w:val="center"/>
          </w:tcPr>
          <w:p w14:paraId="5057DBBC"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224 398</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559592F6"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139 %</w:t>
            </w:r>
          </w:p>
        </w:tc>
        <w:tc>
          <w:tcPr>
            <w:tcW w:w="956" w:type="dxa"/>
            <w:tcBorders>
              <w:top w:val="nil"/>
              <w:left w:val="nil"/>
              <w:bottom w:val="nil"/>
              <w:right w:val="nil"/>
              <w:tl2br w:val="nil"/>
              <w:tr2bl w:val="nil"/>
            </w:tcBorders>
            <w:shd w:val="solid" w:color="CCE1EB" w:fill="FFFFFF"/>
            <w:tcMar>
              <w:left w:w="60" w:type="dxa"/>
              <w:right w:w="60" w:type="dxa"/>
            </w:tcMar>
            <w:vAlign w:val="center"/>
          </w:tcPr>
          <w:p w14:paraId="6633D523" w14:textId="77777777" w:rsidR="00807FFE" w:rsidRDefault="00023E71">
            <w:pPr>
              <w:pStyle w:val="DMETW36741BIPImplementationbudgetrevenue"/>
              <w:jc w:val="right"/>
              <w:rPr>
                <w:rFonts w:ascii="Verdana" w:eastAsia="Verdana" w:hAnsi="Verdana" w:cs="Verdana"/>
                <w:b/>
                <w:noProof/>
                <w:color w:val="000000"/>
                <w:sz w:val="16"/>
                <w:lang w:bidi="en-GB"/>
              </w:rPr>
            </w:pPr>
            <w:r>
              <w:rPr>
                <w:rFonts w:ascii="Verdana" w:eastAsia="Verdana" w:hAnsi="Verdana" w:cs="Verdana"/>
                <w:b/>
                <w:noProof/>
                <w:color w:val="000000"/>
                <w:sz w:val="16"/>
              </w:rPr>
              <w:t>19 389</w:t>
            </w:r>
          </w:p>
        </w:tc>
      </w:tr>
      <w:tr w:rsidR="00807FFE" w14:paraId="632F1AC9"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0ED06768" w14:textId="77777777" w:rsidR="00807FFE" w:rsidRDefault="00807FFE">
            <w:pPr>
              <w:pStyle w:val="DMETW36741BIPImplementationbudgetrevenue"/>
              <w:rPr>
                <w:rFonts w:ascii="Verdana" w:eastAsia="Verdana" w:hAnsi="Verdana" w:cs="Verdana"/>
                <w:i/>
                <w:noProof/>
                <w:color w:val="000000"/>
                <w:sz w:val="16"/>
              </w:rPr>
            </w:pPr>
          </w:p>
        </w:tc>
        <w:tc>
          <w:tcPr>
            <w:tcW w:w="3969" w:type="dxa"/>
            <w:tcBorders>
              <w:top w:val="nil"/>
              <w:left w:val="nil"/>
              <w:bottom w:val="nil"/>
              <w:right w:val="nil"/>
              <w:tl2br w:val="nil"/>
              <w:tr2bl w:val="nil"/>
            </w:tcBorders>
            <w:tcMar>
              <w:left w:w="60" w:type="dxa"/>
              <w:right w:w="60" w:type="dxa"/>
            </w:tcMar>
            <w:vAlign w:val="center"/>
          </w:tcPr>
          <w:p w14:paraId="6C1BBFA5" w14:textId="77777777" w:rsidR="00807FFE" w:rsidRDefault="00807FFE">
            <w:pPr>
              <w:pStyle w:val="DMETW36741BIPImplementationbudgetrevenue"/>
              <w:jc w:val="right"/>
              <w:rPr>
                <w:rFonts w:ascii="Verdana" w:eastAsia="Verdana" w:hAnsi="Verdana" w:cs="Verdana"/>
                <w:i/>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14:paraId="7F9405FD" w14:textId="77777777" w:rsidR="00807FFE" w:rsidRDefault="00807FFE">
            <w:pPr>
              <w:pStyle w:val="DMETW36741BIPImplementationbudgetrevenue"/>
              <w:jc w:val="right"/>
              <w:rPr>
                <w:rFonts w:ascii="Verdana" w:eastAsia="Verdana" w:hAnsi="Verdana" w:cs="Verdana"/>
                <w:i/>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14:paraId="6CB6AE39" w14:textId="77777777" w:rsidR="00807FFE" w:rsidRDefault="00807FFE">
            <w:pPr>
              <w:pStyle w:val="DMETW36741BIPImplementationbudgetrevenue"/>
              <w:jc w:val="right"/>
              <w:rPr>
                <w:rFonts w:ascii="Verdana" w:eastAsia="Verdana" w:hAnsi="Verdana" w:cs="Verdana"/>
                <w:i/>
                <w:noProof/>
                <w:color w:val="000000"/>
                <w:sz w:val="16"/>
              </w:rPr>
            </w:pPr>
          </w:p>
        </w:tc>
        <w:tc>
          <w:tcPr>
            <w:tcW w:w="870" w:type="dxa"/>
            <w:tcBorders>
              <w:top w:val="nil"/>
              <w:left w:val="nil"/>
              <w:bottom w:val="nil"/>
              <w:right w:val="nil"/>
              <w:tl2br w:val="nil"/>
              <w:tr2bl w:val="nil"/>
            </w:tcBorders>
            <w:tcMar>
              <w:left w:w="60" w:type="dxa"/>
              <w:right w:w="60" w:type="dxa"/>
            </w:tcMar>
            <w:vAlign w:val="center"/>
          </w:tcPr>
          <w:p w14:paraId="3746AF87" w14:textId="77777777" w:rsidR="00807FFE" w:rsidRDefault="00807FFE">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14:paraId="2DC89A65" w14:textId="77777777" w:rsidR="00807FFE" w:rsidRDefault="00807FFE">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14:paraId="03D7F20E" w14:textId="77777777" w:rsidR="00807FFE" w:rsidRDefault="00807FFE">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14:paraId="0E6DC301" w14:textId="77777777" w:rsidR="00807FFE" w:rsidRDefault="00807FFE">
            <w:pPr>
              <w:pStyle w:val="DMETW36741BIPImplementationbudgetrevenue"/>
              <w:jc w:val="right"/>
              <w:rPr>
                <w:rFonts w:ascii="Verdana" w:eastAsia="Verdana" w:hAnsi="Verdana" w:cs="Verdana"/>
                <w:i/>
                <w:noProof/>
                <w:color w:val="000000"/>
                <w:sz w:val="16"/>
              </w:rPr>
            </w:pPr>
          </w:p>
        </w:tc>
        <w:tc>
          <w:tcPr>
            <w:tcW w:w="1448" w:type="dxa"/>
            <w:tcBorders>
              <w:top w:val="nil"/>
              <w:left w:val="nil"/>
              <w:bottom w:val="nil"/>
              <w:right w:val="nil"/>
              <w:tl2br w:val="nil"/>
              <w:tr2bl w:val="nil"/>
            </w:tcBorders>
            <w:tcMar>
              <w:left w:w="60" w:type="dxa"/>
              <w:right w:w="60" w:type="dxa"/>
            </w:tcMar>
            <w:vAlign w:val="center"/>
          </w:tcPr>
          <w:p w14:paraId="23DEAE85" w14:textId="77777777" w:rsidR="00807FFE" w:rsidRDefault="00807FFE">
            <w:pPr>
              <w:pStyle w:val="DMETW36741BIPImplementationbudgetrevenue"/>
              <w:jc w:val="right"/>
              <w:rPr>
                <w:rFonts w:ascii="Verdana" w:eastAsia="Verdana" w:hAnsi="Verdana" w:cs="Verdana"/>
                <w:i/>
                <w:noProof/>
                <w:color w:val="000000"/>
                <w:sz w:val="16"/>
              </w:rPr>
            </w:pPr>
          </w:p>
        </w:tc>
        <w:tc>
          <w:tcPr>
            <w:tcW w:w="1052" w:type="dxa"/>
            <w:tcBorders>
              <w:top w:val="nil"/>
              <w:left w:val="nil"/>
              <w:bottom w:val="nil"/>
              <w:right w:val="nil"/>
              <w:tl2br w:val="nil"/>
              <w:tr2bl w:val="nil"/>
            </w:tcBorders>
            <w:tcMar>
              <w:left w:w="60" w:type="dxa"/>
              <w:right w:w="60" w:type="dxa"/>
            </w:tcMar>
            <w:vAlign w:val="center"/>
          </w:tcPr>
          <w:p w14:paraId="30D9DDCA" w14:textId="77777777" w:rsidR="00807FFE" w:rsidRDefault="00807FFE">
            <w:pPr>
              <w:pStyle w:val="DMETW36741BIPImplementationbudgetrevenue"/>
              <w:jc w:val="right"/>
              <w:rPr>
                <w:rFonts w:ascii="Verdana" w:eastAsia="Verdana" w:hAnsi="Verdana" w:cs="Verdana"/>
                <w:i/>
                <w:noProof/>
                <w:color w:val="000000"/>
                <w:sz w:val="16"/>
              </w:rPr>
            </w:pPr>
          </w:p>
        </w:tc>
        <w:tc>
          <w:tcPr>
            <w:tcW w:w="1059" w:type="dxa"/>
            <w:tcBorders>
              <w:top w:val="nil"/>
              <w:left w:val="nil"/>
              <w:bottom w:val="nil"/>
              <w:right w:val="nil"/>
              <w:tl2br w:val="nil"/>
              <w:tr2bl w:val="nil"/>
            </w:tcBorders>
            <w:tcMar>
              <w:left w:w="60" w:type="dxa"/>
              <w:right w:w="60" w:type="dxa"/>
            </w:tcMar>
            <w:vAlign w:val="center"/>
          </w:tcPr>
          <w:p w14:paraId="311E4E13" w14:textId="77777777" w:rsidR="00807FFE" w:rsidRDefault="00807FFE">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14:paraId="72A5F183" w14:textId="77777777" w:rsidR="00807FFE" w:rsidRDefault="00807FFE">
            <w:pPr>
              <w:pStyle w:val="DMETW36741BIPImplementationbudgetrevenue"/>
              <w:rPr>
                <w:rFonts w:ascii="Arial" w:eastAsia="Arial" w:hAnsi="Arial" w:cs="Arial"/>
                <w:noProof/>
                <w:color w:val="000000"/>
                <w:sz w:val="18"/>
                <w:lang w:bidi="en-GB"/>
              </w:rPr>
            </w:pPr>
          </w:p>
        </w:tc>
      </w:tr>
      <w:tr w:rsidR="00807FFE" w14:paraId="6870B874" w14:textId="77777777">
        <w:trPr>
          <w:trHeight w:val="255"/>
        </w:trPr>
        <w:tc>
          <w:tcPr>
            <w:tcW w:w="486" w:type="dxa"/>
            <w:gridSpan w:val="12"/>
            <w:tcBorders>
              <w:top w:val="nil"/>
              <w:left w:val="nil"/>
              <w:bottom w:val="nil"/>
              <w:right w:val="nil"/>
              <w:tl2br w:val="nil"/>
              <w:tr2bl w:val="nil"/>
            </w:tcBorders>
            <w:shd w:val="solid" w:color="006496" w:fill="FFFFFF"/>
            <w:tcMar>
              <w:left w:w="60" w:type="dxa"/>
              <w:right w:w="60" w:type="dxa"/>
            </w:tcMar>
            <w:vAlign w:val="center"/>
          </w:tcPr>
          <w:p w14:paraId="212375F3" w14:textId="77777777" w:rsidR="00807FFE" w:rsidRDefault="00023E71">
            <w:pPr>
              <w:pStyle w:val="DMETW36741BIPImplementationbudgetrevenue"/>
              <w:jc w:val="center"/>
              <w:rPr>
                <w:rFonts w:ascii="Verdana" w:eastAsia="Verdana" w:hAnsi="Verdana" w:cs="Verdana"/>
                <w:b/>
                <w:noProof/>
                <w:color w:val="FFFFFF"/>
                <w:sz w:val="16"/>
                <w:lang w:bidi="en-GB"/>
              </w:rPr>
            </w:pPr>
            <w:r>
              <w:rPr>
                <w:rFonts w:ascii="Verdana" w:eastAsia="Verdana" w:hAnsi="Verdana" w:cs="Verdana"/>
                <w:b/>
                <w:noProof/>
                <w:color w:val="FFFFFF"/>
                <w:sz w:val="16"/>
              </w:rPr>
              <w:t>DETAIL TITLE 1: Own Resources</w:t>
            </w:r>
          </w:p>
        </w:tc>
      </w:tr>
      <w:tr w:rsidR="00807FFE" w14:paraId="3B4EAAE3" w14:textId="77777777">
        <w:trPr>
          <w:trHeight w:val="255"/>
        </w:trPr>
        <w:tc>
          <w:tcPr>
            <w:tcW w:w="486" w:type="dxa"/>
            <w:tcBorders>
              <w:top w:val="nil"/>
              <w:left w:val="nil"/>
              <w:bottom w:val="nil"/>
              <w:right w:val="nil"/>
              <w:tl2br w:val="nil"/>
              <w:tr2bl w:val="nil"/>
            </w:tcBorders>
            <w:shd w:val="solid" w:color="006496" w:fill="FFFFFF"/>
            <w:tcMar>
              <w:left w:w="60" w:type="dxa"/>
              <w:right w:w="60" w:type="dxa"/>
            </w:tcMar>
            <w:vAlign w:val="center"/>
          </w:tcPr>
          <w:p w14:paraId="4761176D" w14:textId="77777777" w:rsidR="00807FFE" w:rsidRDefault="00807FFE">
            <w:pPr>
              <w:pStyle w:val="DMETW36741BIPImplementationbudgetrevenue"/>
              <w:rPr>
                <w:rFonts w:ascii="Verdana" w:eastAsia="Verdana" w:hAnsi="Verdana" w:cs="Verdana"/>
                <w:b/>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14:paraId="72CC8FE7" w14:textId="77777777" w:rsidR="00807FFE" w:rsidRDefault="00807FFE">
            <w:pPr>
              <w:pStyle w:val="DMETW36741BIPImplementationbudgetrevenue"/>
              <w:rPr>
                <w:rFonts w:ascii="Verdana" w:eastAsia="Verdana" w:hAnsi="Verdana" w:cs="Verdana"/>
                <w:b/>
                <w:noProof/>
                <w:color w:val="FFFFFF"/>
                <w:sz w:val="16"/>
              </w:rPr>
            </w:pPr>
          </w:p>
        </w:tc>
        <w:tc>
          <w:tcPr>
            <w:tcW w:w="992" w:type="dxa"/>
            <w:gridSpan w:val="2"/>
            <w:tcBorders>
              <w:top w:val="nil"/>
              <w:left w:val="nil"/>
              <w:bottom w:val="nil"/>
              <w:right w:val="nil"/>
              <w:tl2br w:val="nil"/>
              <w:tr2bl w:val="nil"/>
            </w:tcBorders>
            <w:shd w:val="solid" w:color="006496" w:fill="FFFFFF"/>
            <w:tcMar>
              <w:left w:w="60" w:type="dxa"/>
              <w:right w:w="60" w:type="dxa"/>
            </w:tcMar>
            <w:vAlign w:val="center"/>
          </w:tcPr>
          <w:p w14:paraId="2CB992EC" w14:textId="77777777" w:rsidR="00807FFE" w:rsidRDefault="00023E71">
            <w:pPr>
              <w:pStyle w:val="DMETW36741BIPImplementationbudgetrevenue"/>
              <w:jc w:val="center"/>
              <w:rPr>
                <w:rFonts w:ascii="Verdana" w:eastAsia="Verdana" w:hAnsi="Verdana" w:cs="Verdana"/>
                <w:b/>
                <w:noProof/>
                <w:color w:val="FFFFFF"/>
                <w:sz w:val="16"/>
              </w:rPr>
            </w:pPr>
            <w:r>
              <w:rPr>
                <w:rFonts w:ascii="Verdana" w:eastAsia="Verdana" w:hAnsi="Verdana" w:cs="Verdana"/>
                <w:b/>
                <w:noProof/>
                <w:color w:val="FFFFFF"/>
                <w:sz w:val="16"/>
              </w:rPr>
              <w:t>Income appropriations</w:t>
            </w:r>
          </w:p>
        </w:tc>
        <w:tc>
          <w:tcPr>
            <w:tcW w:w="870" w:type="dxa"/>
            <w:gridSpan w:val="3"/>
            <w:tcBorders>
              <w:top w:val="nil"/>
              <w:left w:val="nil"/>
              <w:bottom w:val="nil"/>
              <w:right w:val="nil"/>
              <w:tl2br w:val="nil"/>
              <w:tr2bl w:val="nil"/>
            </w:tcBorders>
            <w:shd w:val="solid" w:color="006496" w:fill="FFFFFF"/>
            <w:tcMar>
              <w:left w:w="60" w:type="dxa"/>
              <w:right w:w="60" w:type="dxa"/>
            </w:tcMar>
            <w:vAlign w:val="center"/>
          </w:tcPr>
          <w:p w14:paraId="664620E7" w14:textId="77777777" w:rsidR="00807FFE" w:rsidRDefault="00023E71">
            <w:pPr>
              <w:pStyle w:val="DMETW36741BIPImplementationbudgetrevenue"/>
              <w:jc w:val="center"/>
              <w:rPr>
                <w:rFonts w:ascii="Verdana" w:eastAsia="Verdana" w:hAnsi="Verdana" w:cs="Verdana"/>
                <w:b/>
                <w:noProof/>
                <w:color w:val="FFFFFF"/>
                <w:sz w:val="16"/>
              </w:rPr>
            </w:pPr>
            <w:r>
              <w:rPr>
                <w:rFonts w:ascii="Verdana" w:eastAsia="Verdana" w:hAnsi="Verdana" w:cs="Verdana"/>
                <w:b/>
                <w:noProof/>
                <w:color w:val="FFFFFF"/>
                <w:sz w:val="16"/>
              </w:rPr>
              <w:t>Entitlements established</w:t>
            </w:r>
          </w:p>
        </w:tc>
        <w:tc>
          <w:tcPr>
            <w:tcW w:w="956" w:type="dxa"/>
            <w:gridSpan w:val="3"/>
            <w:tcBorders>
              <w:top w:val="nil"/>
              <w:left w:val="nil"/>
              <w:bottom w:val="nil"/>
              <w:right w:val="nil"/>
              <w:tl2br w:val="nil"/>
              <w:tr2bl w:val="nil"/>
            </w:tcBorders>
            <w:shd w:val="solid" w:color="006496" w:fill="FFFFFF"/>
            <w:tcMar>
              <w:left w:w="60" w:type="dxa"/>
              <w:right w:w="60" w:type="dxa"/>
            </w:tcMar>
            <w:vAlign w:val="center"/>
          </w:tcPr>
          <w:p w14:paraId="2B692E76" w14:textId="77777777" w:rsidR="00807FFE" w:rsidRDefault="00023E71">
            <w:pPr>
              <w:pStyle w:val="DMETW36741BIPImplementationbudgetrevenue"/>
              <w:jc w:val="center"/>
              <w:rPr>
                <w:rFonts w:ascii="Verdana" w:eastAsia="Verdana" w:hAnsi="Verdana" w:cs="Verdana"/>
                <w:b/>
                <w:noProof/>
                <w:color w:val="FFFFFF"/>
                <w:sz w:val="16"/>
              </w:rPr>
            </w:pPr>
            <w:r>
              <w:rPr>
                <w:rFonts w:ascii="Verdana" w:eastAsia="Verdana" w:hAnsi="Verdana" w:cs="Verdana"/>
                <w:b/>
                <w:noProof/>
                <w:color w:val="FFFFFF"/>
                <w:sz w:val="16"/>
              </w:rPr>
              <w:t>Revenue</w:t>
            </w:r>
          </w:p>
        </w:tc>
        <w:tc>
          <w:tcPr>
            <w:tcW w:w="1059" w:type="dxa"/>
            <w:vMerge w:val="restart"/>
            <w:tcBorders>
              <w:top w:val="nil"/>
              <w:left w:val="nil"/>
              <w:bottom w:val="nil"/>
              <w:right w:val="nil"/>
              <w:tl2br w:val="nil"/>
              <w:tr2bl w:val="nil"/>
            </w:tcBorders>
            <w:shd w:val="solid" w:color="006496" w:fill="FFFFFF"/>
            <w:tcMar>
              <w:left w:w="60" w:type="dxa"/>
              <w:right w:w="60" w:type="dxa"/>
            </w:tcMar>
            <w:vAlign w:val="center"/>
          </w:tcPr>
          <w:p w14:paraId="7D2837F6"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Revenue as % of budget</w:t>
            </w:r>
          </w:p>
        </w:tc>
        <w:tc>
          <w:tcPr>
            <w:tcW w:w="956" w:type="dxa"/>
            <w:vMerge w:val="restart"/>
            <w:tcBorders>
              <w:top w:val="nil"/>
              <w:left w:val="nil"/>
              <w:bottom w:val="nil"/>
              <w:right w:val="nil"/>
              <w:tl2br w:val="nil"/>
              <w:tr2bl w:val="nil"/>
            </w:tcBorders>
            <w:shd w:val="solid" w:color="006496" w:fill="FFFFFF"/>
            <w:tcMar>
              <w:left w:w="60" w:type="dxa"/>
              <w:right w:w="60" w:type="dxa"/>
            </w:tcMar>
            <w:vAlign w:val="center"/>
          </w:tcPr>
          <w:p w14:paraId="0AF7C312"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Out-</w:t>
            </w:r>
          </w:p>
          <w:p w14:paraId="5E032FD3" w14:textId="77777777" w:rsidR="00807FFE" w:rsidRDefault="00023E71">
            <w:pPr>
              <w:pStyle w:val="DMETW36741BIPImplementationbudgetrevenue"/>
              <w:jc w:val="center"/>
              <w:rPr>
                <w:rFonts w:ascii="Verdana" w:eastAsia="Verdana" w:hAnsi="Verdana" w:cs="Verdana"/>
                <w:noProof/>
                <w:color w:val="FFFFFF"/>
                <w:sz w:val="16"/>
                <w:lang w:bidi="en-GB"/>
              </w:rPr>
            </w:pPr>
            <w:r>
              <w:rPr>
                <w:rFonts w:ascii="Verdana" w:eastAsia="Verdana" w:hAnsi="Verdana" w:cs="Verdana"/>
                <w:noProof/>
                <w:color w:val="FFFFFF"/>
                <w:sz w:val="16"/>
              </w:rPr>
              <w:t>standing</w:t>
            </w:r>
          </w:p>
        </w:tc>
      </w:tr>
      <w:tr w:rsidR="00807FFE" w14:paraId="2F3DA39A" w14:textId="77777777">
        <w:trPr>
          <w:trHeight w:val="651"/>
        </w:trPr>
        <w:tc>
          <w:tcPr>
            <w:tcW w:w="486" w:type="dxa"/>
            <w:tcBorders>
              <w:top w:val="nil"/>
              <w:left w:val="nil"/>
              <w:bottom w:val="nil"/>
              <w:right w:val="nil"/>
              <w:tl2br w:val="nil"/>
              <w:tr2bl w:val="nil"/>
            </w:tcBorders>
            <w:shd w:val="solid" w:color="006496" w:fill="FFFFFF"/>
            <w:tcMar>
              <w:left w:w="60" w:type="dxa"/>
              <w:right w:w="60" w:type="dxa"/>
            </w:tcMar>
            <w:vAlign w:val="center"/>
          </w:tcPr>
          <w:p w14:paraId="53FE9C42" w14:textId="77777777" w:rsidR="00807FFE" w:rsidRDefault="00807FFE">
            <w:pPr>
              <w:pStyle w:val="DMETW36741BIPImplementationbudgetrevenue"/>
              <w:rPr>
                <w:rFonts w:ascii="Verdana" w:eastAsia="Verdana" w:hAnsi="Verdana" w:cs="Verdana"/>
                <w:b/>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14:paraId="69BD68FD"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Chapter</w:t>
            </w:r>
          </w:p>
        </w:tc>
        <w:tc>
          <w:tcPr>
            <w:tcW w:w="992" w:type="dxa"/>
            <w:tcBorders>
              <w:top w:val="nil"/>
              <w:left w:val="nil"/>
              <w:bottom w:val="nil"/>
              <w:right w:val="nil"/>
              <w:tl2br w:val="nil"/>
              <w:tr2bl w:val="nil"/>
            </w:tcBorders>
            <w:shd w:val="solid" w:color="006496" w:fill="FFFFFF"/>
            <w:tcMar>
              <w:left w:w="60" w:type="dxa"/>
              <w:right w:w="60" w:type="dxa"/>
            </w:tcMar>
            <w:vAlign w:val="center"/>
          </w:tcPr>
          <w:p w14:paraId="2271AA06"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992" w:type="dxa"/>
            <w:tcBorders>
              <w:top w:val="nil"/>
              <w:left w:val="nil"/>
              <w:bottom w:val="nil"/>
              <w:right w:val="nil"/>
              <w:tl2br w:val="nil"/>
              <w:tr2bl w:val="nil"/>
            </w:tcBorders>
            <w:shd w:val="solid" w:color="006496" w:fill="FFFFFF"/>
            <w:tcMar>
              <w:left w:w="60" w:type="dxa"/>
              <w:right w:w="60" w:type="dxa"/>
            </w:tcMar>
            <w:vAlign w:val="center"/>
          </w:tcPr>
          <w:p w14:paraId="7D94622C"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870" w:type="dxa"/>
            <w:tcBorders>
              <w:top w:val="nil"/>
              <w:left w:val="nil"/>
              <w:bottom w:val="nil"/>
              <w:right w:val="nil"/>
              <w:tl2br w:val="nil"/>
              <w:tr2bl w:val="nil"/>
            </w:tcBorders>
            <w:shd w:val="solid" w:color="006496" w:fill="FFFFFF"/>
            <w:tcMar>
              <w:left w:w="60" w:type="dxa"/>
              <w:right w:w="60" w:type="dxa"/>
            </w:tcMar>
            <w:vAlign w:val="center"/>
          </w:tcPr>
          <w:p w14:paraId="40872274"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Current year</w:t>
            </w:r>
          </w:p>
        </w:tc>
        <w:tc>
          <w:tcPr>
            <w:tcW w:w="956" w:type="dxa"/>
            <w:tcBorders>
              <w:top w:val="nil"/>
              <w:left w:val="nil"/>
              <w:bottom w:val="nil"/>
              <w:right w:val="nil"/>
              <w:tl2br w:val="nil"/>
              <w:tr2bl w:val="nil"/>
            </w:tcBorders>
            <w:shd w:val="solid" w:color="006496" w:fill="FFFFFF"/>
            <w:tcMar>
              <w:left w:w="60" w:type="dxa"/>
              <w:right w:w="60" w:type="dxa"/>
            </w:tcMar>
            <w:vAlign w:val="center"/>
          </w:tcPr>
          <w:p w14:paraId="1B418858"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Carried over</w:t>
            </w:r>
          </w:p>
        </w:tc>
        <w:tc>
          <w:tcPr>
            <w:tcW w:w="956" w:type="dxa"/>
            <w:tcBorders>
              <w:top w:val="nil"/>
              <w:left w:val="nil"/>
              <w:bottom w:val="nil"/>
              <w:right w:val="nil"/>
              <w:tl2br w:val="nil"/>
              <w:tr2bl w:val="nil"/>
            </w:tcBorders>
            <w:shd w:val="solid" w:color="006496" w:fill="FFFFFF"/>
            <w:tcMar>
              <w:left w:w="60" w:type="dxa"/>
              <w:right w:w="60" w:type="dxa"/>
            </w:tcMar>
            <w:vAlign w:val="center"/>
          </w:tcPr>
          <w:p w14:paraId="3C186765"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956" w:type="dxa"/>
            <w:tcBorders>
              <w:top w:val="nil"/>
              <w:left w:val="nil"/>
              <w:bottom w:val="nil"/>
              <w:right w:val="nil"/>
              <w:tl2br w:val="nil"/>
              <w:tr2bl w:val="nil"/>
            </w:tcBorders>
            <w:shd w:val="solid" w:color="006496" w:fill="FFFFFF"/>
            <w:tcMar>
              <w:left w:w="60" w:type="dxa"/>
              <w:right w:w="60" w:type="dxa"/>
            </w:tcMar>
            <w:vAlign w:val="center"/>
          </w:tcPr>
          <w:p w14:paraId="0F4355DA"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On entitle-</w:t>
            </w:r>
          </w:p>
          <w:p w14:paraId="25413C9A"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ments of current year</w:t>
            </w:r>
          </w:p>
        </w:tc>
        <w:tc>
          <w:tcPr>
            <w:tcW w:w="1448" w:type="dxa"/>
            <w:tcBorders>
              <w:top w:val="nil"/>
              <w:left w:val="nil"/>
              <w:bottom w:val="nil"/>
              <w:right w:val="nil"/>
              <w:tl2br w:val="nil"/>
              <w:tr2bl w:val="nil"/>
            </w:tcBorders>
            <w:shd w:val="solid" w:color="006496" w:fill="FFFFFF"/>
            <w:tcMar>
              <w:left w:w="60" w:type="dxa"/>
              <w:right w:w="60" w:type="dxa"/>
            </w:tcMar>
            <w:vAlign w:val="center"/>
          </w:tcPr>
          <w:p w14:paraId="52BEA075"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On entitle-</w:t>
            </w:r>
          </w:p>
          <w:p w14:paraId="761E9167" w14:textId="77777777" w:rsidR="00807FFE" w:rsidRDefault="00023E71">
            <w:pPr>
              <w:pStyle w:val="DMETW36741BIPImplementationbudgetrevenue"/>
              <w:jc w:val="center"/>
              <w:rPr>
                <w:rFonts w:ascii="Verdana" w:eastAsia="Verdana" w:hAnsi="Verdana" w:cs="Verdana"/>
                <w:noProof/>
                <w:color w:val="FFFFFF"/>
                <w:sz w:val="16"/>
              </w:rPr>
            </w:pPr>
            <w:r>
              <w:rPr>
                <w:rFonts w:ascii="Verdana" w:eastAsia="Verdana" w:hAnsi="Verdana" w:cs="Verdana"/>
                <w:noProof/>
                <w:color w:val="FFFFFF"/>
                <w:sz w:val="16"/>
              </w:rPr>
              <w:t>ments carried over</w:t>
            </w:r>
          </w:p>
        </w:tc>
        <w:tc>
          <w:tcPr>
            <w:tcW w:w="1052" w:type="dxa"/>
            <w:tcBorders>
              <w:top w:val="nil"/>
              <w:left w:val="nil"/>
              <w:bottom w:val="nil"/>
              <w:right w:val="nil"/>
              <w:tl2br w:val="nil"/>
              <w:tr2bl w:val="nil"/>
            </w:tcBorders>
            <w:shd w:val="solid" w:color="006496" w:fill="FFFFFF"/>
            <w:tcMar>
              <w:left w:w="60" w:type="dxa"/>
              <w:right w:w="60" w:type="dxa"/>
            </w:tcMar>
            <w:vAlign w:val="center"/>
          </w:tcPr>
          <w:p w14:paraId="0DBD01A6" w14:textId="77777777" w:rsidR="00807FFE" w:rsidRDefault="00023E71">
            <w:pPr>
              <w:pStyle w:val="DMETW36741BIPImplementationbudgetrevenue"/>
              <w:rPr>
                <w:rFonts w:ascii="Verdana" w:eastAsia="Verdana" w:hAnsi="Verdana" w:cs="Verdana"/>
                <w:noProof/>
                <w:color w:val="FFFFFF"/>
                <w:sz w:val="16"/>
                <w:lang w:bidi="en-GB"/>
              </w:rPr>
            </w:pPr>
            <w:r>
              <w:rPr>
                <w:rFonts w:ascii="Verdana" w:eastAsia="Verdana" w:hAnsi="Verdana" w:cs="Verdana"/>
                <w:noProof/>
                <w:color w:val="FFFFFF"/>
                <w:sz w:val="16"/>
              </w:rPr>
              <w:t>Revenue</w:t>
            </w:r>
          </w:p>
        </w:tc>
        <w:tc>
          <w:tcPr>
            <w:tcW w:w="2340" w:type="dxa"/>
            <w:vMerge/>
            <w:tcBorders>
              <w:top w:val="nil"/>
              <w:left w:val="nil"/>
              <w:bottom w:val="nil"/>
              <w:right w:val="nil"/>
              <w:tl2br w:val="nil"/>
              <w:tr2bl w:val="nil"/>
            </w:tcBorders>
            <w:shd w:val="solid" w:color="006496" w:fill="FFFFFF"/>
            <w:tcMar>
              <w:left w:w="60" w:type="dxa"/>
              <w:right w:w="60" w:type="dxa"/>
            </w:tcMar>
            <w:vAlign w:val="center"/>
          </w:tcPr>
          <w:p w14:paraId="26F50011" w14:textId="77777777" w:rsidR="00807FFE" w:rsidRDefault="00807FFE">
            <w:pPr>
              <w:pStyle w:val="DMETW36741BIPImplementationbudgetrevenue"/>
              <w:jc w:val="center"/>
              <w:rPr>
                <w:rFonts w:ascii="Verdana" w:eastAsia="Verdana" w:hAnsi="Verdana" w:cs="Verdana"/>
                <w:noProof/>
                <w:color w:val="FFFFFF"/>
                <w:sz w:val="16"/>
              </w:rPr>
            </w:pPr>
          </w:p>
        </w:tc>
        <w:tc>
          <w:tcPr>
            <w:tcW w:w="960" w:type="dxa"/>
            <w:vMerge/>
            <w:tcBorders>
              <w:top w:val="nil"/>
              <w:left w:val="nil"/>
              <w:bottom w:val="nil"/>
              <w:right w:val="nil"/>
              <w:tl2br w:val="nil"/>
              <w:tr2bl w:val="nil"/>
            </w:tcBorders>
            <w:shd w:val="solid" w:color="006496" w:fill="FFFFFF"/>
            <w:tcMar>
              <w:left w:w="60" w:type="dxa"/>
              <w:right w:w="60" w:type="dxa"/>
            </w:tcMar>
            <w:vAlign w:val="center"/>
          </w:tcPr>
          <w:p w14:paraId="20105FF3" w14:textId="77777777" w:rsidR="00807FFE" w:rsidRDefault="00807FFE">
            <w:pPr>
              <w:pStyle w:val="DMETW36741BIPImplementationbudgetrevenue"/>
              <w:jc w:val="center"/>
              <w:rPr>
                <w:rFonts w:ascii="Verdana" w:eastAsia="Verdana" w:hAnsi="Verdana" w:cs="Verdana"/>
                <w:noProof/>
                <w:color w:val="FFFFFF"/>
                <w:sz w:val="16"/>
              </w:rPr>
            </w:pPr>
          </w:p>
        </w:tc>
      </w:tr>
      <w:tr w:rsidR="00807FFE" w14:paraId="06648FAB"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6ABA18DE"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1 1</w:t>
            </w:r>
          </w:p>
        </w:tc>
        <w:tc>
          <w:tcPr>
            <w:tcW w:w="3969" w:type="dxa"/>
            <w:tcBorders>
              <w:top w:val="nil"/>
              <w:left w:val="nil"/>
              <w:bottom w:val="nil"/>
              <w:right w:val="nil"/>
              <w:tl2br w:val="nil"/>
              <w:tr2bl w:val="nil"/>
            </w:tcBorders>
            <w:tcMar>
              <w:left w:w="60" w:type="dxa"/>
              <w:right w:w="60" w:type="dxa"/>
            </w:tcMar>
            <w:vAlign w:val="center"/>
          </w:tcPr>
          <w:p w14:paraId="0058F942"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Levies And Other Duties Provided For Under The Common Organisation Of The Markets In Sugar</w:t>
            </w:r>
          </w:p>
        </w:tc>
        <w:tc>
          <w:tcPr>
            <w:tcW w:w="992" w:type="dxa"/>
            <w:tcBorders>
              <w:top w:val="nil"/>
              <w:left w:val="nil"/>
              <w:bottom w:val="nil"/>
              <w:right w:val="nil"/>
              <w:tl2br w:val="nil"/>
              <w:tr2bl w:val="nil"/>
            </w:tcBorders>
            <w:tcMar>
              <w:left w:w="60" w:type="dxa"/>
              <w:right w:w="60" w:type="dxa"/>
            </w:tcMar>
            <w:vAlign w:val="center"/>
          </w:tcPr>
          <w:p w14:paraId="705F0F12" w14:textId="77777777" w:rsidR="00807FFE" w:rsidRDefault="00807FFE">
            <w:pPr>
              <w:pStyle w:val="DMETW36741BIPImplementationbudgetrevenue"/>
              <w:jc w:val="right"/>
              <w:rPr>
                <w:rFonts w:ascii="Verdana" w:eastAsia="Verdana" w:hAnsi="Verdana" w:cs="Verdana"/>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14:paraId="09D22B4B" w14:textId="77777777" w:rsidR="00807FFE" w:rsidRDefault="00807FFE">
            <w:pPr>
              <w:pStyle w:val="DMETW36741BIPImplementationbudgetrevenue"/>
              <w:jc w:val="right"/>
              <w:rPr>
                <w:rFonts w:ascii="Verdana" w:eastAsia="Verdana" w:hAnsi="Verdana" w:cs="Verdana"/>
                <w:noProof/>
                <w:color w:val="000000"/>
                <w:sz w:val="16"/>
              </w:rPr>
            </w:pPr>
          </w:p>
        </w:tc>
        <w:tc>
          <w:tcPr>
            <w:tcW w:w="870" w:type="dxa"/>
            <w:tcBorders>
              <w:top w:val="nil"/>
              <w:left w:val="nil"/>
              <w:bottom w:val="nil"/>
              <w:right w:val="nil"/>
              <w:tl2br w:val="nil"/>
              <w:tr2bl w:val="nil"/>
            </w:tcBorders>
            <w:tcMar>
              <w:left w:w="60" w:type="dxa"/>
              <w:right w:w="60" w:type="dxa"/>
            </w:tcMar>
            <w:vAlign w:val="center"/>
          </w:tcPr>
          <w:p w14:paraId="5ED38096"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14:paraId="72F8D800"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56" w:type="dxa"/>
            <w:tcBorders>
              <w:top w:val="nil"/>
              <w:left w:val="nil"/>
              <w:bottom w:val="nil"/>
              <w:right w:val="nil"/>
              <w:tl2br w:val="nil"/>
              <w:tr2bl w:val="nil"/>
            </w:tcBorders>
            <w:tcMar>
              <w:left w:w="60" w:type="dxa"/>
              <w:right w:w="60" w:type="dxa"/>
            </w:tcMar>
            <w:vAlign w:val="center"/>
          </w:tcPr>
          <w:p w14:paraId="4F836C37"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56" w:type="dxa"/>
            <w:tcBorders>
              <w:top w:val="nil"/>
              <w:left w:val="nil"/>
              <w:bottom w:val="nil"/>
              <w:right w:val="nil"/>
              <w:tl2br w:val="nil"/>
              <w:tr2bl w:val="nil"/>
            </w:tcBorders>
            <w:tcMar>
              <w:left w:w="60" w:type="dxa"/>
              <w:right w:w="60" w:type="dxa"/>
            </w:tcMar>
            <w:vAlign w:val="center"/>
          </w:tcPr>
          <w:p w14:paraId="7FDB4953"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48" w:type="dxa"/>
            <w:tcBorders>
              <w:top w:val="nil"/>
              <w:left w:val="nil"/>
              <w:bottom w:val="nil"/>
              <w:right w:val="nil"/>
              <w:tl2br w:val="nil"/>
              <w:tr2bl w:val="nil"/>
            </w:tcBorders>
            <w:tcMar>
              <w:left w:w="60" w:type="dxa"/>
              <w:right w:w="60" w:type="dxa"/>
            </w:tcMar>
            <w:vAlign w:val="center"/>
          </w:tcPr>
          <w:p w14:paraId="1A99031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14:paraId="7B177E36"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9" w:type="dxa"/>
            <w:tcBorders>
              <w:top w:val="nil"/>
              <w:left w:val="nil"/>
              <w:bottom w:val="nil"/>
              <w:right w:val="nil"/>
              <w:tl2br w:val="nil"/>
              <w:tr2bl w:val="nil"/>
            </w:tcBorders>
            <w:tcMar>
              <w:left w:w="60" w:type="dxa"/>
              <w:right w:w="60" w:type="dxa"/>
            </w:tcMar>
            <w:vAlign w:val="center"/>
          </w:tcPr>
          <w:p w14:paraId="4F51D20E" w14:textId="77777777" w:rsidR="00807FFE" w:rsidRDefault="00807FFE">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14:paraId="10F4476B"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4F4E952"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5AE844A6"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1 2</w:t>
            </w:r>
          </w:p>
        </w:tc>
        <w:tc>
          <w:tcPr>
            <w:tcW w:w="3969" w:type="dxa"/>
            <w:tcBorders>
              <w:top w:val="nil"/>
              <w:left w:val="nil"/>
              <w:bottom w:val="nil"/>
              <w:right w:val="nil"/>
              <w:tl2br w:val="nil"/>
              <w:tr2bl w:val="nil"/>
            </w:tcBorders>
            <w:tcMar>
              <w:left w:w="60" w:type="dxa"/>
              <w:right w:w="60" w:type="dxa"/>
            </w:tcMar>
            <w:vAlign w:val="center"/>
          </w:tcPr>
          <w:p w14:paraId="1B9E709E"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Customs Duties And Other Duties</w:t>
            </w:r>
          </w:p>
        </w:tc>
        <w:tc>
          <w:tcPr>
            <w:tcW w:w="992" w:type="dxa"/>
            <w:tcBorders>
              <w:top w:val="nil"/>
              <w:left w:val="nil"/>
              <w:bottom w:val="nil"/>
              <w:right w:val="nil"/>
              <w:tl2br w:val="nil"/>
              <w:tr2bl w:val="nil"/>
            </w:tcBorders>
            <w:tcMar>
              <w:left w:w="60" w:type="dxa"/>
              <w:right w:w="60" w:type="dxa"/>
            </w:tcMar>
            <w:vAlign w:val="center"/>
          </w:tcPr>
          <w:p w14:paraId="28532ED9"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21 082</w:t>
            </w:r>
          </w:p>
        </w:tc>
        <w:tc>
          <w:tcPr>
            <w:tcW w:w="992" w:type="dxa"/>
            <w:tcBorders>
              <w:top w:val="nil"/>
              <w:left w:val="nil"/>
              <w:bottom w:val="nil"/>
              <w:right w:val="nil"/>
              <w:tl2br w:val="nil"/>
              <w:tr2bl w:val="nil"/>
            </w:tcBorders>
            <w:tcMar>
              <w:left w:w="60" w:type="dxa"/>
              <w:right w:w="60" w:type="dxa"/>
            </w:tcMar>
            <w:vAlign w:val="center"/>
          </w:tcPr>
          <w:p w14:paraId="1A38FF5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22 179</w:t>
            </w:r>
          </w:p>
        </w:tc>
        <w:tc>
          <w:tcPr>
            <w:tcW w:w="870" w:type="dxa"/>
            <w:tcBorders>
              <w:top w:val="nil"/>
              <w:left w:val="nil"/>
              <w:bottom w:val="nil"/>
              <w:right w:val="nil"/>
              <w:tl2br w:val="nil"/>
              <w:tr2bl w:val="nil"/>
            </w:tcBorders>
            <w:tcMar>
              <w:left w:w="60" w:type="dxa"/>
              <w:right w:w="60" w:type="dxa"/>
            </w:tcMar>
            <w:vAlign w:val="center"/>
          </w:tcPr>
          <w:p w14:paraId="17A7A104"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23 037</w:t>
            </w:r>
          </w:p>
        </w:tc>
        <w:tc>
          <w:tcPr>
            <w:tcW w:w="956" w:type="dxa"/>
            <w:tcBorders>
              <w:top w:val="nil"/>
              <w:left w:val="nil"/>
              <w:bottom w:val="nil"/>
              <w:right w:val="nil"/>
              <w:tl2br w:val="nil"/>
              <w:tr2bl w:val="nil"/>
            </w:tcBorders>
            <w:tcMar>
              <w:left w:w="60" w:type="dxa"/>
              <w:right w:w="60" w:type="dxa"/>
            </w:tcMar>
            <w:vAlign w:val="center"/>
          </w:tcPr>
          <w:p w14:paraId="14D8E116"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956" w:type="dxa"/>
            <w:tcBorders>
              <w:top w:val="nil"/>
              <w:left w:val="nil"/>
              <w:bottom w:val="nil"/>
              <w:right w:val="nil"/>
              <w:tl2br w:val="nil"/>
              <w:tr2bl w:val="nil"/>
            </w:tcBorders>
            <w:tcMar>
              <w:left w:w="60" w:type="dxa"/>
              <w:right w:w="60" w:type="dxa"/>
            </w:tcMar>
            <w:vAlign w:val="center"/>
          </w:tcPr>
          <w:p w14:paraId="5F3FB92B"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23 068</w:t>
            </w:r>
          </w:p>
        </w:tc>
        <w:tc>
          <w:tcPr>
            <w:tcW w:w="956" w:type="dxa"/>
            <w:tcBorders>
              <w:top w:val="nil"/>
              <w:left w:val="nil"/>
              <w:bottom w:val="nil"/>
              <w:right w:val="nil"/>
              <w:tl2br w:val="nil"/>
              <w:tr2bl w:val="nil"/>
            </w:tcBorders>
            <w:tcMar>
              <w:left w:w="60" w:type="dxa"/>
              <w:right w:w="60" w:type="dxa"/>
            </w:tcMar>
            <w:vAlign w:val="center"/>
          </w:tcPr>
          <w:p w14:paraId="2AAF9EF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23 034</w:t>
            </w:r>
          </w:p>
        </w:tc>
        <w:tc>
          <w:tcPr>
            <w:tcW w:w="1448" w:type="dxa"/>
            <w:tcBorders>
              <w:top w:val="nil"/>
              <w:left w:val="nil"/>
              <w:bottom w:val="nil"/>
              <w:right w:val="nil"/>
              <w:tl2br w:val="nil"/>
              <w:tr2bl w:val="nil"/>
            </w:tcBorders>
            <w:tcMar>
              <w:left w:w="60" w:type="dxa"/>
              <w:right w:w="60" w:type="dxa"/>
            </w:tcMar>
            <w:vAlign w:val="center"/>
          </w:tcPr>
          <w:p w14:paraId="2E71EBE8"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52" w:type="dxa"/>
            <w:tcBorders>
              <w:top w:val="nil"/>
              <w:left w:val="nil"/>
              <w:bottom w:val="nil"/>
              <w:right w:val="nil"/>
              <w:tl2br w:val="nil"/>
              <w:tr2bl w:val="nil"/>
            </w:tcBorders>
            <w:tcMar>
              <w:left w:w="60" w:type="dxa"/>
              <w:right w:w="60" w:type="dxa"/>
            </w:tcMar>
            <w:vAlign w:val="center"/>
          </w:tcPr>
          <w:p w14:paraId="6373E10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23 038</w:t>
            </w:r>
          </w:p>
        </w:tc>
        <w:tc>
          <w:tcPr>
            <w:tcW w:w="1059" w:type="dxa"/>
            <w:tcBorders>
              <w:top w:val="nil"/>
              <w:left w:val="nil"/>
              <w:bottom w:val="nil"/>
              <w:right w:val="nil"/>
              <w:tl2br w:val="nil"/>
              <w:tr2bl w:val="nil"/>
            </w:tcBorders>
            <w:tcMar>
              <w:left w:w="60" w:type="dxa"/>
              <w:right w:w="60" w:type="dxa"/>
            </w:tcMar>
            <w:vAlign w:val="center"/>
          </w:tcPr>
          <w:p w14:paraId="6F8C706E"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104 %</w:t>
            </w:r>
          </w:p>
        </w:tc>
        <w:tc>
          <w:tcPr>
            <w:tcW w:w="956" w:type="dxa"/>
            <w:tcBorders>
              <w:top w:val="nil"/>
              <w:left w:val="nil"/>
              <w:bottom w:val="nil"/>
              <w:right w:val="nil"/>
              <w:tl2br w:val="nil"/>
              <w:tr2bl w:val="nil"/>
            </w:tcBorders>
            <w:tcMar>
              <w:left w:w="60" w:type="dxa"/>
              <w:right w:w="60" w:type="dxa"/>
            </w:tcMar>
            <w:vAlign w:val="center"/>
          </w:tcPr>
          <w:p w14:paraId="79C21036"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w:t>
            </w:r>
          </w:p>
        </w:tc>
      </w:tr>
      <w:tr w:rsidR="00807FFE" w14:paraId="2248ADCF"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62A7B273"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1 3</w:t>
            </w:r>
          </w:p>
        </w:tc>
        <w:tc>
          <w:tcPr>
            <w:tcW w:w="3969" w:type="dxa"/>
            <w:tcBorders>
              <w:top w:val="nil"/>
              <w:left w:val="nil"/>
              <w:bottom w:val="nil"/>
              <w:right w:val="nil"/>
              <w:tl2br w:val="nil"/>
              <w:tr2bl w:val="nil"/>
            </w:tcBorders>
            <w:tcMar>
              <w:left w:w="60" w:type="dxa"/>
              <w:right w:w="60" w:type="dxa"/>
            </w:tcMar>
            <w:vAlign w:val="center"/>
          </w:tcPr>
          <w:p w14:paraId="5675C071"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Own Resource Based On Value Added Tax</w:t>
            </w:r>
          </w:p>
        </w:tc>
        <w:tc>
          <w:tcPr>
            <w:tcW w:w="992" w:type="dxa"/>
            <w:tcBorders>
              <w:top w:val="nil"/>
              <w:left w:val="nil"/>
              <w:bottom w:val="nil"/>
              <w:right w:val="nil"/>
              <w:tl2br w:val="nil"/>
              <w:tr2bl w:val="nil"/>
            </w:tcBorders>
            <w:tcMar>
              <w:left w:w="60" w:type="dxa"/>
              <w:right w:w="60" w:type="dxa"/>
            </w:tcMar>
            <w:vAlign w:val="center"/>
          </w:tcPr>
          <w:p w14:paraId="7E6480A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24 395</w:t>
            </w:r>
          </w:p>
        </w:tc>
        <w:tc>
          <w:tcPr>
            <w:tcW w:w="992" w:type="dxa"/>
            <w:tcBorders>
              <w:top w:val="nil"/>
              <w:left w:val="nil"/>
              <w:bottom w:val="nil"/>
              <w:right w:val="nil"/>
              <w:tl2br w:val="nil"/>
              <w:tr2bl w:val="nil"/>
            </w:tcBorders>
            <w:tcMar>
              <w:left w:w="60" w:type="dxa"/>
              <w:right w:w="60" w:type="dxa"/>
            </w:tcMar>
            <w:vAlign w:val="center"/>
          </w:tcPr>
          <w:p w14:paraId="70A832B9"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23 815</w:t>
            </w:r>
          </w:p>
        </w:tc>
        <w:tc>
          <w:tcPr>
            <w:tcW w:w="870" w:type="dxa"/>
            <w:tcBorders>
              <w:top w:val="nil"/>
              <w:left w:val="nil"/>
              <w:bottom w:val="nil"/>
              <w:right w:val="nil"/>
              <w:tl2br w:val="nil"/>
              <w:tr2bl w:val="nil"/>
            </w:tcBorders>
            <w:tcMar>
              <w:left w:w="60" w:type="dxa"/>
              <w:right w:w="60" w:type="dxa"/>
            </w:tcMar>
            <w:vAlign w:val="center"/>
          </w:tcPr>
          <w:p w14:paraId="7FAEDBEA"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23 860</w:t>
            </w:r>
          </w:p>
        </w:tc>
        <w:tc>
          <w:tcPr>
            <w:tcW w:w="956" w:type="dxa"/>
            <w:tcBorders>
              <w:top w:val="nil"/>
              <w:left w:val="nil"/>
              <w:bottom w:val="nil"/>
              <w:right w:val="nil"/>
              <w:tl2br w:val="nil"/>
              <w:tr2bl w:val="nil"/>
            </w:tcBorders>
            <w:tcMar>
              <w:left w:w="60" w:type="dxa"/>
              <w:right w:w="60" w:type="dxa"/>
            </w:tcMar>
            <w:vAlign w:val="center"/>
          </w:tcPr>
          <w:p w14:paraId="723791D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14:paraId="58E2223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23 860</w:t>
            </w:r>
          </w:p>
        </w:tc>
        <w:tc>
          <w:tcPr>
            <w:tcW w:w="956" w:type="dxa"/>
            <w:tcBorders>
              <w:top w:val="nil"/>
              <w:left w:val="nil"/>
              <w:bottom w:val="nil"/>
              <w:right w:val="nil"/>
              <w:tl2br w:val="nil"/>
              <w:tr2bl w:val="nil"/>
            </w:tcBorders>
            <w:tcMar>
              <w:left w:w="60" w:type="dxa"/>
              <w:right w:w="60" w:type="dxa"/>
            </w:tcMar>
            <w:vAlign w:val="center"/>
          </w:tcPr>
          <w:p w14:paraId="7646AA3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23 860</w:t>
            </w:r>
          </w:p>
        </w:tc>
        <w:tc>
          <w:tcPr>
            <w:tcW w:w="1448" w:type="dxa"/>
            <w:tcBorders>
              <w:top w:val="nil"/>
              <w:left w:val="nil"/>
              <w:bottom w:val="nil"/>
              <w:right w:val="nil"/>
              <w:tl2br w:val="nil"/>
              <w:tr2bl w:val="nil"/>
            </w:tcBorders>
            <w:tcMar>
              <w:left w:w="60" w:type="dxa"/>
              <w:right w:w="60" w:type="dxa"/>
            </w:tcMar>
            <w:vAlign w:val="center"/>
          </w:tcPr>
          <w:p w14:paraId="0FFCAF7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14:paraId="6BE5082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23 860</w:t>
            </w:r>
          </w:p>
        </w:tc>
        <w:tc>
          <w:tcPr>
            <w:tcW w:w="1059" w:type="dxa"/>
            <w:tcBorders>
              <w:top w:val="nil"/>
              <w:left w:val="nil"/>
              <w:bottom w:val="nil"/>
              <w:right w:val="nil"/>
              <w:tl2br w:val="nil"/>
              <w:tr2bl w:val="nil"/>
            </w:tcBorders>
            <w:tcMar>
              <w:left w:w="60" w:type="dxa"/>
              <w:right w:w="60" w:type="dxa"/>
            </w:tcMar>
            <w:vAlign w:val="center"/>
          </w:tcPr>
          <w:p w14:paraId="4C77A846"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14:paraId="257F5E12"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35F1E19"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5940ACCC"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1 4</w:t>
            </w:r>
          </w:p>
        </w:tc>
        <w:tc>
          <w:tcPr>
            <w:tcW w:w="3969" w:type="dxa"/>
            <w:tcBorders>
              <w:top w:val="nil"/>
              <w:left w:val="nil"/>
              <w:bottom w:val="nil"/>
              <w:right w:val="nil"/>
              <w:tl2br w:val="nil"/>
              <w:tr2bl w:val="nil"/>
            </w:tcBorders>
            <w:tcMar>
              <w:left w:w="60" w:type="dxa"/>
              <w:right w:w="60" w:type="dxa"/>
            </w:tcMar>
            <w:vAlign w:val="center"/>
          </w:tcPr>
          <w:p w14:paraId="2131FCB5"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Own Resource Based On Gross National Income</w:t>
            </w:r>
          </w:p>
        </w:tc>
        <w:tc>
          <w:tcPr>
            <w:tcW w:w="992" w:type="dxa"/>
            <w:tcBorders>
              <w:top w:val="nil"/>
              <w:left w:val="nil"/>
              <w:bottom w:val="nil"/>
              <w:right w:val="nil"/>
              <w:tl2br w:val="nil"/>
              <w:tr2bl w:val="nil"/>
            </w:tcBorders>
            <w:tcMar>
              <w:left w:w="60" w:type="dxa"/>
              <w:right w:w="60" w:type="dxa"/>
            </w:tcMar>
            <w:vAlign w:val="center"/>
          </w:tcPr>
          <w:p w14:paraId="15B8632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98 563</w:t>
            </w:r>
          </w:p>
        </w:tc>
        <w:tc>
          <w:tcPr>
            <w:tcW w:w="992" w:type="dxa"/>
            <w:tcBorders>
              <w:top w:val="nil"/>
              <w:left w:val="nil"/>
              <w:bottom w:val="nil"/>
              <w:right w:val="nil"/>
              <w:tl2br w:val="nil"/>
              <w:tr2bl w:val="nil"/>
            </w:tcBorders>
            <w:tcMar>
              <w:left w:w="60" w:type="dxa"/>
              <w:right w:w="60" w:type="dxa"/>
            </w:tcMar>
            <w:vAlign w:val="center"/>
          </w:tcPr>
          <w:p w14:paraId="5DBFA56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101 480</w:t>
            </w:r>
          </w:p>
        </w:tc>
        <w:tc>
          <w:tcPr>
            <w:tcW w:w="870" w:type="dxa"/>
            <w:tcBorders>
              <w:top w:val="nil"/>
              <w:left w:val="nil"/>
              <w:bottom w:val="nil"/>
              <w:right w:val="nil"/>
              <w:tl2br w:val="nil"/>
              <w:tr2bl w:val="nil"/>
            </w:tcBorders>
            <w:tcMar>
              <w:left w:w="60" w:type="dxa"/>
              <w:right w:w="60" w:type="dxa"/>
            </w:tcMar>
            <w:vAlign w:val="center"/>
          </w:tcPr>
          <w:p w14:paraId="1C386384"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101 682</w:t>
            </w:r>
          </w:p>
        </w:tc>
        <w:tc>
          <w:tcPr>
            <w:tcW w:w="956" w:type="dxa"/>
            <w:tcBorders>
              <w:top w:val="nil"/>
              <w:left w:val="nil"/>
              <w:bottom w:val="nil"/>
              <w:right w:val="nil"/>
              <w:tl2br w:val="nil"/>
              <w:tr2bl w:val="nil"/>
            </w:tcBorders>
            <w:tcMar>
              <w:left w:w="60" w:type="dxa"/>
              <w:right w:w="60" w:type="dxa"/>
            </w:tcMar>
            <w:vAlign w:val="center"/>
          </w:tcPr>
          <w:p w14:paraId="3A4E7A4C"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14:paraId="6FB68A0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101 682</w:t>
            </w:r>
          </w:p>
        </w:tc>
        <w:tc>
          <w:tcPr>
            <w:tcW w:w="956" w:type="dxa"/>
            <w:tcBorders>
              <w:top w:val="nil"/>
              <w:left w:val="nil"/>
              <w:bottom w:val="nil"/>
              <w:right w:val="nil"/>
              <w:tl2br w:val="nil"/>
              <w:tr2bl w:val="nil"/>
            </w:tcBorders>
            <w:tcMar>
              <w:left w:w="60" w:type="dxa"/>
              <w:right w:w="60" w:type="dxa"/>
            </w:tcMar>
            <w:vAlign w:val="center"/>
          </w:tcPr>
          <w:p w14:paraId="48DB09C3"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101 682</w:t>
            </w:r>
          </w:p>
        </w:tc>
        <w:tc>
          <w:tcPr>
            <w:tcW w:w="1448" w:type="dxa"/>
            <w:tcBorders>
              <w:top w:val="nil"/>
              <w:left w:val="nil"/>
              <w:bottom w:val="nil"/>
              <w:right w:val="nil"/>
              <w:tl2br w:val="nil"/>
              <w:tr2bl w:val="nil"/>
            </w:tcBorders>
            <w:tcMar>
              <w:left w:w="60" w:type="dxa"/>
              <w:right w:w="60" w:type="dxa"/>
            </w:tcMar>
            <w:vAlign w:val="center"/>
          </w:tcPr>
          <w:p w14:paraId="16124D3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14:paraId="572811F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101 682</w:t>
            </w:r>
          </w:p>
        </w:tc>
        <w:tc>
          <w:tcPr>
            <w:tcW w:w="1059" w:type="dxa"/>
            <w:tcBorders>
              <w:top w:val="nil"/>
              <w:left w:val="nil"/>
              <w:bottom w:val="nil"/>
              <w:right w:val="nil"/>
              <w:tl2br w:val="nil"/>
              <w:tr2bl w:val="nil"/>
            </w:tcBorders>
            <w:tcMar>
              <w:left w:w="60" w:type="dxa"/>
              <w:right w:w="60" w:type="dxa"/>
            </w:tcMar>
            <w:vAlign w:val="center"/>
          </w:tcPr>
          <w:p w14:paraId="3746F1CD"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14:paraId="37B7059D"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DD45E57"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73125230"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1 6</w:t>
            </w:r>
          </w:p>
        </w:tc>
        <w:tc>
          <w:tcPr>
            <w:tcW w:w="3969" w:type="dxa"/>
            <w:tcBorders>
              <w:top w:val="nil"/>
              <w:left w:val="nil"/>
              <w:bottom w:val="nil"/>
              <w:right w:val="nil"/>
              <w:tl2br w:val="nil"/>
              <w:tr2bl w:val="nil"/>
            </w:tcBorders>
            <w:tcMar>
              <w:left w:w="60" w:type="dxa"/>
              <w:right w:w="60" w:type="dxa"/>
            </w:tcMar>
            <w:vAlign w:val="center"/>
          </w:tcPr>
          <w:p w14:paraId="20E7E29E"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Gni Lump-Sum Reductions Granted To Certain Member States And Their Financing</w:t>
            </w:r>
          </w:p>
        </w:tc>
        <w:tc>
          <w:tcPr>
            <w:tcW w:w="992" w:type="dxa"/>
            <w:tcBorders>
              <w:top w:val="nil"/>
              <w:left w:val="nil"/>
              <w:bottom w:val="nil"/>
              <w:right w:val="nil"/>
              <w:tl2br w:val="nil"/>
              <w:tr2bl w:val="nil"/>
            </w:tcBorders>
            <w:tcMar>
              <w:left w:w="60" w:type="dxa"/>
              <w:right w:w="60" w:type="dxa"/>
            </w:tcMar>
            <w:vAlign w:val="center"/>
          </w:tcPr>
          <w:p w14:paraId="7AED7F84"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14:paraId="0441ED08"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0" w:type="dxa"/>
            <w:tcBorders>
              <w:top w:val="nil"/>
              <w:left w:val="nil"/>
              <w:bottom w:val="nil"/>
              <w:right w:val="nil"/>
              <w:tl2br w:val="nil"/>
              <w:tr2bl w:val="nil"/>
            </w:tcBorders>
            <w:tcMar>
              <w:left w:w="60" w:type="dxa"/>
              <w:right w:w="60" w:type="dxa"/>
            </w:tcMar>
            <w:vAlign w:val="center"/>
          </w:tcPr>
          <w:p w14:paraId="702F0BF8"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956" w:type="dxa"/>
            <w:tcBorders>
              <w:top w:val="nil"/>
              <w:left w:val="nil"/>
              <w:bottom w:val="nil"/>
              <w:right w:val="nil"/>
              <w:tl2br w:val="nil"/>
              <w:tr2bl w:val="nil"/>
            </w:tcBorders>
            <w:tcMar>
              <w:left w:w="60" w:type="dxa"/>
              <w:right w:w="60" w:type="dxa"/>
            </w:tcMar>
            <w:vAlign w:val="center"/>
          </w:tcPr>
          <w:p w14:paraId="57EB0E8C"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14:paraId="6F99E899"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956" w:type="dxa"/>
            <w:tcBorders>
              <w:top w:val="nil"/>
              <w:left w:val="nil"/>
              <w:bottom w:val="nil"/>
              <w:right w:val="nil"/>
              <w:tl2br w:val="nil"/>
              <w:tr2bl w:val="nil"/>
            </w:tcBorders>
            <w:tcMar>
              <w:left w:w="60" w:type="dxa"/>
              <w:right w:w="60" w:type="dxa"/>
            </w:tcMar>
            <w:vAlign w:val="center"/>
          </w:tcPr>
          <w:p w14:paraId="7E7D2A5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448" w:type="dxa"/>
            <w:tcBorders>
              <w:top w:val="nil"/>
              <w:left w:val="nil"/>
              <w:bottom w:val="nil"/>
              <w:right w:val="nil"/>
              <w:tl2br w:val="nil"/>
              <w:tr2bl w:val="nil"/>
            </w:tcBorders>
            <w:tcMar>
              <w:left w:w="60" w:type="dxa"/>
              <w:right w:w="60" w:type="dxa"/>
            </w:tcMar>
            <w:vAlign w:val="center"/>
          </w:tcPr>
          <w:p w14:paraId="22CD65A1"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14:paraId="3CC0A33C"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059" w:type="dxa"/>
            <w:tcBorders>
              <w:top w:val="nil"/>
              <w:left w:val="nil"/>
              <w:bottom w:val="nil"/>
              <w:right w:val="nil"/>
              <w:tl2br w:val="nil"/>
              <w:tr2bl w:val="nil"/>
            </w:tcBorders>
            <w:tcMar>
              <w:left w:w="60" w:type="dxa"/>
              <w:right w:w="60" w:type="dxa"/>
            </w:tcMar>
            <w:vAlign w:val="center"/>
          </w:tcPr>
          <w:p w14:paraId="45431528" w14:textId="77777777" w:rsidR="00807FFE" w:rsidRDefault="00807FFE">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14:paraId="398F69A3"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2C093835" w14:textId="77777777">
        <w:trPr>
          <w:trHeight w:val="255"/>
        </w:trPr>
        <w:tc>
          <w:tcPr>
            <w:tcW w:w="486" w:type="dxa"/>
            <w:tcBorders>
              <w:top w:val="nil"/>
              <w:left w:val="nil"/>
              <w:bottom w:val="nil"/>
              <w:right w:val="nil"/>
              <w:tl2br w:val="nil"/>
              <w:tr2bl w:val="nil"/>
            </w:tcBorders>
            <w:tcMar>
              <w:left w:w="60" w:type="dxa"/>
              <w:right w:w="60" w:type="dxa"/>
            </w:tcMar>
            <w:vAlign w:val="center"/>
          </w:tcPr>
          <w:p w14:paraId="67341E6C"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1 7</w:t>
            </w:r>
          </w:p>
        </w:tc>
        <w:tc>
          <w:tcPr>
            <w:tcW w:w="3969" w:type="dxa"/>
            <w:tcBorders>
              <w:top w:val="nil"/>
              <w:left w:val="nil"/>
              <w:bottom w:val="nil"/>
              <w:right w:val="nil"/>
              <w:tl2br w:val="nil"/>
              <w:tr2bl w:val="nil"/>
            </w:tcBorders>
            <w:tcMar>
              <w:left w:w="60" w:type="dxa"/>
              <w:right w:w="60" w:type="dxa"/>
            </w:tcMar>
            <w:vAlign w:val="center"/>
          </w:tcPr>
          <w:p w14:paraId="558007E0" w14:textId="77777777" w:rsidR="00807FFE" w:rsidRDefault="00023E71">
            <w:pPr>
              <w:pStyle w:val="DMETW36741BIPImplementationbudgetrevenue"/>
              <w:rPr>
                <w:rFonts w:ascii="Verdana" w:eastAsia="Verdana" w:hAnsi="Verdana" w:cs="Verdana"/>
                <w:noProof/>
                <w:color w:val="000000"/>
                <w:sz w:val="16"/>
              </w:rPr>
            </w:pPr>
            <w:r>
              <w:rPr>
                <w:rFonts w:ascii="Verdana" w:eastAsia="Verdana" w:hAnsi="Verdana" w:cs="Verdana"/>
                <w:noProof/>
                <w:color w:val="000000"/>
                <w:sz w:val="16"/>
              </w:rPr>
              <w:t>Own Resource Based On Non-Recycled Plastic Packaging Waste</w:t>
            </w:r>
          </w:p>
        </w:tc>
        <w:tc>
          <w:tcPr>
            <w:tcW w:w="992" w:type="dxa"/>
            <w:tcBorders>
              <w:top w:val="nil"/>
              <w:left w:val="nil"/>
              <w:bottom w:val="nil"/>
              <w:right w:val="nil"/>
              <w:tl2br w:val="nil"/>
              <w:tr2bl w:val="nil"/>
            </w:tcBorders>
            <w:tcMar>
              <w:left w:w="60" w:type="dxa"/>
              <w:right w:w="60" w:type="dxa"/>
            </w:tcMar>
            <w:vAlign w:val="center"/>
          </w:tcPr>
          <w:p w14:paraId="2BBAF2C5"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7 121</w:t>
            </w:r>
          </w:p>
        </w:tc>
        <w:tc>
          <w:tcPr>
            <w:tcW w:w="992" w:type="dxa"/>
            <w:tcBorders>
              <w:top w:val="nil"/>
              <w:left w:val="nil"/>
              <w:bottom w:val="nil"/>
              <w:right w:val="nil"/>
              <w:tl2br w:val="nil"/>
              <w:tr2bl w:val="nil"/>
            </w:tcBorders>
            <w:tcMar>
              <w:left w:w="60" w:type="dxa"/>
              <w:right w:w="60" w:type="dxa"/>
            </w:tcMar>
            <w:vAlign w:val="center"/>
          </w:tcPr>
          <w:p w14:paraId="3E00339A"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6 848</w:t>
            </w:r>
          </w:p>
        </w:tc>
        <w:tc>
          <w:tcPr>
            <w:tcW w:w="870" w:type="dxa"/>
            <w:tcBorders>
              <w:top w:val="nil"/>
              <w:left w:val="nil"/>
              <w:bottom w:val="nil"/>
              <w:right w:val="nil"/>
              <w:tl2br w:val="nil"/>
              <w:tr2bl w:val="nil"/>
            </w:tcBorders>
            <w:tcMar>
              <w:left w:w="60" w:type="dxa"/>
              <w:right w:w="60" w:type="dxa"/>
            </w:tcMar>
            <w:vAlign w:val="center"/>
          </w:tcPr>
          <w:p w14:paraId="28C87217"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6 863</w:t>
            </w:r>
          </w:p>
        </w:tc>
        <w:tc>
          <w:tcPr>
            <w:tcW w:w="956" w:type="dxa"/>
            <w:tcBorders>
              <w:top w:val="nil"/>
              <w:left w:val="nil"/>
              <w:bottom w:val="nil"/>
              <w:right w:val="nil"/>
              <w:tl2br w:val="nil"/>
              <w:tr2bl w:val="nil"/>
            </w:tcBorders>
            <w:tcMar>
              <w:left w:w="60" w:type="dxa"/>
              <w:right w:w="60" w:type="dxa"/>
            </w:tcMar>
            <w:vAlign w:val="center"/>
          </w:tcPr>
          <w:p w14:paraId="2CCD9959"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14:paraId="6680BFA0"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6 863</w:t>
            </w:r>
          </w:p>
        </w:tc>
        <w:tc>
          <w:tcPr>
            <w:tcW w:w="956" w:type="dxa"/>
            <w:tcBorders>
              <w:top w:val="nil"/>
              <w:left w:val="nil"/>
              <w:bottom w:val="nil"/>
              <w:right w:val="nil"/>
              <w:tl2br w:val="nil"/>
              <w:tr2bl w:val="nil"/>
            </w:tcBorders>
            <w:tcMar>
              <w:left w:w="60" w:type="dxa"/>
              <w:right w:w="60" w:type="dxa"/>
            </w:tcMar>
            <w:vAlign w:val="center"/>
          </w:tcPr>
          <w:p w14:paraId="74444439"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6 863</w:t>
            </w:r>
          </w:p>
        </w:tc>
        <w:tc>
          <w:tcPr>
            <w:tcW w:w="1448" w:type="dxa"/>
            <w:tcBorders>
              <w:top w:val="nil"/>
              <w:left w:val="nil"/>
              <w:bottom w:val="nil"/>
              <w:right w:val="nil"/>
              <w:tl2br w:val="nil"/>
              <w:tr2bl w:val="nil"/>
            </w:tcBorders>
            <w:tcMar>
              <w:left w:w="60" w:type="dxa"/>
              <w:right w:w="60" w:type="dxa"/>
            </w:tcMar>
            <w:vAlign w:val="center"/>
          </w:tcPr>
          <w:p w14:paraId="79FA3C82"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14:paraId="0FF04688"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6 863</w:t>
            </w:r>
          </w:p>
        </w:tc>
        <w:tc>
          <w:tcPr>
            <w:tcW w:w="1059" w:type="dxa"/>
            <w:tcBorders>
              <w:top w:val="nil"/>
              <w:left w:val="nil"/>
              <w:bottom w:val="nil"/>
              <w:right w:val="nil"/>
              <w:tl2br w:val="nil"/>
              <w:tr2bl w:val="nil"/>
            </w:tcBorders>
            <w:tcMar>
              <w:left w:w="60" w:type="dxa"/>
              <w:right w:w="60" w:type="dxa"/>
            </w:tcMar>
            <w:vAlign w:val="center"/>
          </w:tcPr>
          <w:p w14:paraId="0FCE9A43" w14:textId="77777777" w:rsidR="00807FFE" w:rsidRDefault="00023E71">
            <w:pPr>
              <w:pStyle w:val="DMETW36741BIPImplementationbudgetrevenue"/>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14:paraId="0400C16D" w14:textId="77777777" w:rsidR="00807FFE" w:rsidRDefault="00023E71">
            <w:pPr>
              <w:pStyle w:val="DMETW36741BIPImplementationbudgetrevenue"/>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3474FE81" w14:textId="77777777">
        <w:trPr>
          <w:trHeight w:val="255"/>
        </w:trPr>
        <w:tc>
          <w:tcPr>
            <w:tcW w:w="486" w:type="dxa"/>
            <w:tcBorders>
              <w:top w:val="nil"/>
              <w:left w:val="nil"/>
              <w:bottom w:val="nil"/>
              <w:right w:val="nil"/>
              <w:tl2br w:val="nil"/>
              <w:tr2bl w:val="nil"/>
            </w:tcBorders>
            <w:shd w:val="solid" w:color="CCE1EB" w:fill="FFFFFF"/>
            <w:tcMar>
              <w:left w:w="60" w:type="dxa"/>
              <w:right w:w="60" w:type="dxa"/>
            </w:tcMar>
            <w:vAlign w:val="center"/>
          </w:tcPr>
          <w:p w14:paraId="78BE1946" w14:textId="77777777" w:rsidR="00807FFE" w:rsidRDefault="00807FFE">
            <w:pPr>
              <w:pStyle w:val="DMETW36741BIPImplementationbudgetrevenue"/>
              <w:rPr>
                <w:rFonts w:ascii="Verdana" w:eastAsia="Verdana" w:hAnsi="Verdana" w:cs="Verdana"/>
                <w:b/>
                <w:noProof/>
                <w:color w:val="000000"/>
                <w:sz w:val="16"/>
              </w:rPr>
            </w:pPr>
          </w:p>
        </w:tc>
        <w:tc>
          <w:tcPr>
            <w:tcW w:w="3969" w:type="dxa"/>
            <w:tcBorders>
              <w:top w:val="nil"/>
              <w:left w:val="nil"/>
              <w:bottom w:val="nil"/>
              <w:right w:val="nil"/>
              <w:tl2br w:val="nil"/>
              <w:tr2bl w:val="nil"/>
            </w:tcBorders>
            <w:shd w:val="solid" w:color="CCE1EB" w:fill="FFFFFF"/>
            <w:tcMar>
              <w:left w:w="60" w:type="dxa"/>
              <w:right w:w="60" w:type="dxa"/>
            </w:tcMar>
            <w:vAlign w:val="center"/>
          </w:tcPr>
          <w:p w14:paraId="2FDC9255" w14:textId="77777777" w:rsidR="00807FFE" w:rsidRDefault="00023E71">
            <w:pPr>
              <w:pStyle w:val="DMETW36741BIPImplementationbudgetrevenue"/>
              <w:rPr>
                <w:rFonts w:ascii="Verdana" w:eastAsia="Verdana" w:hAnsi="Verdana" w:cs="Verdana"/>
                <w:b/>
                <w:noProof/>
                <w:color w:val="000000"/>
                <w:sz w:val="16"/>
              </w:rPr>
            </w:pPr>
            <w:r>
              <w:rPr>
                <w:rFonts w:ascii="Verdana" w:eastAsia="Verdana" w:hAnsi="Verdana" w:cs="Verdana"/>
                <w:b/>
                <w:noProof/>
                <w:color w:val="000000"/>
                <w:sz w:val="16"/>
              </w:rPr>
              <w:t>TOTAL</w:t>
            </w:r>
          </w:p>
        </w:tc>
        <w:tc>
          <w:tcPr>
            <w:tcW w:w="992" w:type="dxa"/>
            <w:tcBorders>
              <w:top w:val="nil"/>
              <w:left w:val="nil"/>
              <w:bottom w:val="nil"/>
              <w:right w:val="nil"/>
              <w:tl2br w:val="nil"/>
              <w:tr2bl w:val="nil"/>
            </w:tcBorders>
            <w:shd w:val="solid" w:color="CCE1EB" w:fill="FFFFFF"/>
            <w:tcMar>
              <w:left w:w="60" w:type="dxa"/>
              <w:right w:w="60" w:type="dxa"/>
            </w:tcMar>
            <w:vAlign w:val="center"/>
          </w:tcPr>
          <w:p w14:paraId="3BE6A31E"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151 161</w:t>
            </w:r>
          </w:p>
        </w:tc>
        <w:tc>
          <w:tcPr>
            <w:tcW w:w="992" w:type="dxa"/>
            <w:tcBorders>
              <w:top w:val="nil"/>
              <w:left w:val="nil"/>
              <w:bottom w:val="nil"/>
              <w:right w:val="nil"/>
              <w:tl2br w:val="nil"/>
              <w:tr2bl w:val="nil"/>
            </w:tcBorders>
            <w:shd w:val="solid" w:color="CCE1EB" w:fill="FFFFFF"/>
            <w:tcMar>
              <w:left w:w="60" w:type="dxa"/>
              <w:right w:w="60" w:type="dxa"/>
            </w:tcMar>
            <w:vAlign w:val="center"/>
          </w:tcPr>
          <w:p w14:paraId="1A0C8061"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154 322</w:t>
            </w:r>
          </w:p>
        </w:tc>
        <w:tc>
          <w:tcPr>
            <w:tcW w:w="870" w:type="dxa"/>
            <w:tcBorders>
              <w:top w:val="nil"/>
              <w:left w:val="nil"/>
              <w:bottom w:val="nil"/>
              <w:right w:val="nil"/>
              <w:tl2br w:val="nil"/>
              <w:tr2bl w:val="nil"/>
            </w:tcBorders>
            <w:shd w:val="solid" w:color="CCE1EB" w:fill="FFFFFF"/>
            <w:tcMar>
              <w:left w:w="60" w:type="dxa"/>
              <w:right w:w="60" w:type="dxa"/>
            </w:tcMar>
            <w:vAlign w:val="center"/>
          </w:tcPr>
          <w:p w14:paraId="6CA5D1D7"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155 417</w:t>
            </w:r>
          </w:p>
        </w:tc>
        <w:tc>
          <w:tcPr>
            <w:tcW w:w="956" w:type="dxa"/>
            <w:tcBorders>
              <w:top w:val="nil"/>
              <w:left w:val="nil"/>
              <w:bottom w:val="nil"/>
              <w:right w:val="nil"/>
              <w:tl2br w:val="nil"/>
              <w:tr2bl w:val="nil"/>
            </w:tcBorders>
            <w:shd w:val="solid" w:color="CCE1EB" w:fill="FFFFFF"/>
            <w:tcMar>
              <w:left w:w="60" w:type="dxa"/>
              <w:right w:w="60" w:type="dxa"/>
            </w:tcMar>
            <w:vAlign w:val="center"/>
          </w:tcPr>
          <w:p w14:paraId="307025AF"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 xml:space="preserve"> 32</w:t>
            </w:r>
          </w:p>
        </w:tc>
        <w:tc>
          <w:tcPr>
            <w:tcW w:w="956" w:type="dxa"/>
            <w:tcBorders>
              <w:top w:val="nil"/>
              <w:left w:val="nil"/>
              <w:bottom w:val="nil"/>
              <w:right w:val="nil"/>
              <w:tl2br w:val="nil"/>
              <w:tr2bl w:val="nil"/>
            </w:tcBorders>
            <w:shd w:val="solid" w:color="CCE1EB" w:fill="FFFFFF"/>
            <w:tcMar>
              <w:left w:w="60" w:type="dxa"/>
              <w:right w:w="60" w:type="dxa"/>
            </w:tcMar>
            <w:vAlign w:val="center"/>
          </w:tcPr>
          <w:p w14:paraId="596278B9"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155 448</w:t>
            </w:r>
          </w:p>
        </w:tc>
        <w:tc>
          <w:tcPr>
            <w:tcW w:w="956" w:type="dxa"/>
            <w:tcBorders>
              <w:top w:val="nil"/>
              <w:left w:val="nil"/>
              <w:bottom w:val="nil"/>
              <w:right w:val="nil"/>
              <w:tl2br w:val="nil"/>
              <w:tr2bl w:val="nil"/>
            </w:tcBorders>
            <w:shd w:val="solid" w:color="CCE1EB" w:fill="FFFFFF"/>
            <w:tcMar>
              <w:left w:w="60" w:type="dxa"/>
              <w:right w:w="60" w:type="dxa"/>
            </w:tcMar>
            <w:vAlign w:val="center"/>
          </w:tcPr>
          <w:p w14:paraId="31BE3C5B"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155 414</w:t>
            </w:r>
          </w:p>
        </w:tc>
        <w:tc>
          <w:tcPr>
            <w:tcW w:w="1448" w:type="dxa"/>
            <w:tcBorders>
              <w:top w:val="nil"/>
              <w:left w:val="nil"/>
              <w:bottom w:val="nil"/>
              <w:right w:val="nil"/>
              <w:tl2br w:val="nil"/>
              <w:tr2bl w:val="nil"/>
            </w:tcBorders>
            <w:shd w:val="solid" w:color="CCE1EB" w:fill="FFFFFF"/>
            <w:tcMar>
              <w:left w:w="60" w:type="dxa"/>
              <w:right w:w="60" w:type="dxa"/>
            </w:tcMar>
            <w:vAlign w:val="center"/>
          </w:tcPr>
          <w:p w14:paraId="6A1E3F28"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 xml:space="preserve"> 4</w:t>
            </w:r>
          </w:p>
        </w:tc>
        <w:tc>
          <w:tcPr>
            <w:tcW w:w="1052" w:type="dxa"/>
            <w:tcBorders>
              <w:top w:val="nil"/>
              <w:left w:val="nil"/>
              <w:bottom w:val="nil"/>
              <w:right w:val="nil"/>
              <w:tl2br w:val="nil"/>
              <w:tr2bl w:val="nil"/>
            </w:tcBorders>
            <w:shd w:val="solid" w:color="CCE1EB" w:fill="FFFFFF"/>
            <w:tcMar>
              <w:left w:w="60" w:type="dxa"/>
              <w:right w:w="60" w:type="dxa"/>
            </w:tcMar>
            <w:vAlign w:val="center"/>
          </w:tcPr>
          <w:p w14:paraId="2569C20A"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155 418</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6545D1AC"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101 %</w:t>
            </w:r>
          </w:p>
        </w:tc>
        <w:tc>
          <w:tcPr>
            <w:tcW w:w="956" w:type="dxa"/>
            <w:tcBorders>
              <w:top w:val="nil"/>
              <w:left w:val="nil"/>
              <w:bottom w:val="nil"/>
              <w:right w:val="nil"/>
              <w:tl2br w:val="nil"/>
              <w:tr2bl w:val="nil"/>
            </w:tcBorders>
            <w:shd w:val="solid" w:color="CCE1EB" w:fill="FFFFFF"/>
            <w:tcMar>
              <w:left w:w="60" w:type="dxa"/>
              <w:right w:w="60" w:type="dxa"/>
            </w:tcMar>
            <w:vAlign w:val="center"/>
          </w:tcPr>
          <w:p w14:paraId="42899DBC" w14:textId="77777777" w:rsidR="00807FFE" w:rsidRDefault="00023E71">
            <w:pPr>
              <w:pStyle w:val="DMETW36741BIPImplementationbudgetrevenue"/>
              <w:jc w:val="right"/>
              <w:rPr>
                <w:rFonts w:ascii="Verdana" w:eastAsia="Verdana" w:hAnsi="Verdana" w:cs="Verdana"/>
                <w:b/>
                <w:noProof/>
                <w:color w:val="000000"/>
                <w:sz w:val="16"/>
              </w:rPr>
            </w:pPr>
            <w:r>
              <w:rPr>
                <w:rFonts w:ascii="Verdana" w:eastAsia="Verdana" w:hAnsi="Verdana" w:cs="Verdana"/>
                <w:b/>
                <w:noProof/>
                <w:color w:val="000000"/>
                <w:sz w:val="16"/>
              </w:rPr>
              <w:t xml:space="preserve"> 30</w:t>
            </w:r>
          </w:p>
        </w:tc>
      </w:tr>
      <w:bookmarkEnd w:id="289"/>
    </w:tbl>
    <w:p w14:paraId="0754601A" w14:textId="77777777" w:rsidR="004D12E2" w:rsidRDefault="004D12E2" w:rsidP="004A14BF">
      <w:pPr>
        <w:pStyle w:val="Textstand-alone"/>
        <w:sectPr w:rsidR="004D12E2">
          <w:headerReference w:type="even" r:id="rId160"/>
          <w:headerReference w:type="default" r:id="rId161"/>
          <w:footerReference w:type="even" r:id="rId162"/>
          <w:footerReference w:type="default" r:id="rId163"/>
          <w:headerReference w:type="first" r:id="rId164"/>
          <w:footerReference w:type="first" r:id="rId165"/>
          <w:pgSz w:w="16840" w:h="11900" w:orient="landscape"/>
          <w:pgMar w:top="1134" w:right="1134" w:bottom="1134" w:left="1134" w:header="708" w:footer="708" w:gutter="0"/>
          <w:cols w:space="720"/>
        </w:sectPr>
      </w:pPr>
    </w:p>
    <w:p w14:paraId="4AF772A0" w14:textId="77777777" w:rsidR="008C5342" w:rsidRPr="00EB493A" w:rsidRDefault="00023E71" w:rsidP="008C5342">
      <w:pPr>
        <w:pStyle w:val="HEADER1PartBUDG"/>
        <w:rPr>
          <w:noProof/>
        </w:rPr>
      </w:pPr>
      <w:bookmarkStart w:id="293" w:name="_DMBM_36789"/>
      <w:r>
        <w:rPr>
          <w:noProof/>
        </w:rPr>
        <w:t xml:space="preserve"> </w:t>
      </w:r>
      <w:bookmarkStart w:id="294" w:name="_Toc232674389"/>
      <w:r w:rsidRPr="00EB493A">
        <w:rPr>
          <w:noProof/>
        </w:rPr>
        <w:t>IMPLEMENTATION OF EU BUDGET EXPENDITURE</w:t>
      </w:r>
      <w:bookmarkEnd w:id="294"/>
      <w:r w:rsidRPr="00EB493A">
        <w:rPr>
          <w:noProof/>
        </w:rPr>
        <w:t xml:space="preserve"> </w:t>
      </w:r>
    </w:p>
    <w:p w14:paraId="11F55246" w14:textId="77777777" w:rsidR="008C5342" w:rsidRPr="008903C1" w:rsidRDefault="00023E71" w:rsidP="009E1798">
      <w:pPr>
        <w:pStyle w:val="HEADER2PartBUDG"/>
        <w:spacing w:before="600"/>
        <w:rPr>
          <w:noProof/>
          <w:lang w:val="en-GB"/>
        </w:rPr>
      </w:pPr>
      <w:bookmarkStart w:id="295" w:name="_Toc232674390"/>
      <w:r w:rsidRPr="008903C1">
        <w:rPr>
          <w:noProof/>
          <w:lang w:val="en-GB"/>
        </w:rPr>
        <w:t>MFF: BREAKDOWN &amp; CHANGES IN COMMITMENT &amp; PAYMENT APPROPRIATIONS</w:t>
      </w:r>
      <w:bookmarkEnd w:id="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
        <w:gridCol w:w="3084"/>
        <w:gridCol w:w="1020"/>
        <w:gridCol w:w="911"/>
        <w:gridCol w:w="888"/>
        <w:gridCol w:w="688"/>
        <w:gridCol w:w="954"/>
        <w:gridCol w:w="1002"/>
        <w:gridCol w:w="885"/>
        <w:gridCol w:w="911"/>
        <w:gridCol w:w="873"/>
        <w:gridCol w:w="885"/>
        <w:gridCol w:w="888"/>
        <w:gridCol w:w="1361"/>
      </w:tblGrid>
      <w:tr w:rsidR="00807FFE" w14:paraId="48F4A72D" w14:textId="77777777">
        <w:trPr>
          <w:cantSplit/>
          <w:trHeight w:val="255"/>
        </w:trPr>
        <w:tc>
          <w:tcPr>
            <w:tcW w:w="344" w:type="dxa"/>
            <w:gridSpan w:val="14"/>
            <w:tcBorders>
              <w:top w:val="nil"/>
              <w:left w:val="nil"/>
              <w:bottom w:val="nil"/>
              <w:right w:val="nil"/>
              <w:tl2br w:val="nil"/>
              <w:tr2bl w:val="nil"/>
            </w:tcBorders>
            <w:tcMar>
              <w:left w:w="60" w:type="dxa"/>
              <w:right w:w="60" w:type="dxa"/>
            </w:tcMar>
            <w:vAlign w:val="center"/>
          </w:tcPr>
          <w:p w14:paraId="0B61FB5C" w14:textId="77777777" w:rsidR="00807FFE" w:rsidRDefault="00023E71">
            <w:pPr>
              <w:pStyle w:val="DMETW36742BIPMFF1BreakdownCommPaym"/>
              <w:jc w:val="right"/>
              <w:rPr>
                <w:rFonts w:ascii="Verdana" w:eastAsia="Verdana" w:hAnsi="Verdana" w:cs="Verdana"/>
                <w:i/>
                <w:noProof/>
                <w:color w:val="000000"/>
                <w:sz w:val="16"/>
                <w:lang w:bidi="en-GB"/>
              </w:rPr>
            </w:pPr>
            <w:bookmarkStart w:id="296" w:name="DOC_TBL00114_1_1"/>
            <w:bookmarkEnd w:id="296"/>
            <w:r>
              <w:rPr>
                <w:rFonts w:ascii="Verdana" w:eastAsia="Verdana" w:hAnsi="Verdana" w:cs="Verdana"/>
                <w:i/>
                <w:noProof/>
                <w:color w:val="000000"/>
                <w:sz w:val="16"/>
                <w:lang w:bidi="en-GB"/>
              </w:rPr>
              <w:t>EUR million</w:t>
            </w:r>
          </w:p>
        </w:tc>
      </w:tr>
      <w:tr w:rsidR="00807FFE" w14:paraId="5DD25D9C" w14:textId="77777777">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6CBE505F" w14:textId="77777777" w:rsidR="00807FFE" w:rsidRDefault="00807FFE">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14:paraId="5C1E4359" w14:textId="77777777" w:rsidR="00807FFE" w:rsidRDefault="00807FFE">
            <w:pPr>
              <w:pStyle w:val="DMETW36742BIPMFF1BreakdownCommPaym"/>
              <w:jc w:val="center"/>
              <w:rPr>
                <w:rFonts w:ascii="Verdana" w:eastAsia="Verdana" w:hAnsi="Verdana" w:cs="Verdana"/>
                <w:noProof/>
                <w:color w:val="FFFFFF"/>
                <w:sz w:val="16"/>
              </w:rPr>
            </w:pPr>
          </w:p>
        </w:tc>
        <w:tc>
          <w:tcPr>
            <w:tcW w:w="1023" w:type="dxa"/>
            <w:gridSpan w:val="6"/>
            <w:tcBorders>
              <w:top w:val="nil"/>
              <w:left w:val="nil"/>
              <w:bottom w:val="nil"/>
              <w:right w:val="nil"/>
              <w:tl2br w:val="nil"/>
              <w:tr2bl w:val="nil"/>
            </w:tcBorders>
            <w:shd w:val="solid" w:color="016794" w:fill="FFFFFF"/>
            <w:tcMar>
              <w:left w:w="60" w:type="dxa"/>
              <w:right w:w="60" w:type="dxa"/>
            </w:tcMar>
            <w:vAlign w:val="center"/>
          </w:tcPr>
          <w:p w14:paraId="100A8A79" w14:textId="77777777" w:rsidR="00807FFE" w:rsidRDefault="00023E71">
            <w:pPr>
              <w:pStyle w:val="DMETW36742BIPMFF1BreakdownCommPaym"/>
              <w:jc w:val="center"/>
              <w:rPr>
                <w:rFonts w:ascii="Verdana" w:eastAsia="Verdana" w:hAnsi="Verdana" w:cs="Verdana"/>
                <w:b/>
                <w:noProof/>
                <w:color w:val="FFFFFF"/>
                <w:sz w:val="16"/>
              </w:rPr>
            </w:pPr>
            <w:r>
              <w:rPr>
                <w:rFonts w:ascii="Verdana" w:eastAsia="Verdana" w:hAnsi="Verdana" w:cs="Verdana"/>
                <w:b/>
                <w:noProof/>
                <w:color w:val="FFFFFF"/>
                <w:sz w:val="16"/>
              </w:rPr>
              <w:t>Commitment appropriations</w:t>
            </w:r>
          </w:p>
        </w:tc>
        <w:tc>
          <w:tcPr>
            <w:tcW w:w="887" w:type="dxa"/>
            <w:gridSpan w:val="6"/>
            <w:tcBorders>
              <w:top w:val="nil"/>
              <w:left w:val="nil"/>
              <w:bottom w:val="nil"/>
              <w:right w:val="nil"/>
              <w:tl2br w:val="nil"/>
              <w:tr2bl w:val="nil"/>
            </w:tcBorders>
            <w:shd w:val="solid" w:color="016794" w:fill="FFFFFF"/>
            <w:tcMar>
              <w:left w:w="60" w:type="dxa"/>
              <w:right w:w="60" w:type="dxa"/>
            </w:tcMar>
            <w:vAlign w:val="center"/>
          </w:tcPr>
          <w:p w14:paraId="7F6EEEF6" w14:textId="77777777" w:rsidR="00807FFE" w:rsidRDefault="00023E71">
            <w:pPr>
              <w:pStyle w:val="DMETW36742BIPMFF1BreakdownCommPaym"/>
              <w:jc w:val="center"/>
              <w:rPr>
                <w:rFonts w:ascii="Verdana" w:eastAsia="Verdana" w:hAnsi="Verdana" w:cs="Verdana"/>
                <w:b/>
                <w:noProof/>
                <w:color w:val="FFFFFF"/>
                <w:sz w:val="16"/>
                <w:lang w:bidi="en-GB"/>
              </w:rPr>
            </w:pPr>
            <w:r>
              <w:rPr>
                <w:rFonts w:ascii="Verdana" w:eastAsia="Verdana" w:hAnsi="Verdana" w:cs="Verdana"/>
                <w:b/>
                <w:noProof/>
                <w:color w:val="FFFFFF"/>
                <w:sz w:val="16"/>
              </w:rPr>
              <w:t>Payment appropriations</w:t>
            </w:r>
          </w:p>
        </w:tc>
      </w:tr>
      <w:tr w:rsidR="00807FFE" w14:paraId="039FC079" w14:textId="77777777">
        <w:trPr>
          <w:cantSplit/>
          <w:trHeight w:val="597"/>
        </w:trPr>
        <w:tc>
          <w:tcPr>
            <w:tcW w:w="344" w:type="dxa"/>
            <w:tcBorders>
              <w:top w:val="nil"/>
              <w:left w:val="nil"/>
              <w:bottom w:val="nil"/>
              <w:right w:val="nil"/>
              <w:tl2br w:val="nil"/>
              <w:tr2bl w:val="nil"/>
            </w:tcBorders>
            <w:shd w:val="solid" w:color="016794" w:fill="FFFFFF"/>
            <w:tcMar>
              <w:left w:w="60" w:type="dxa"/>
              <w:right w:w="60" w:type="dxa"/>
            </w:tcMar>
            <w:vAlign w:val="center"/>
          </w:tcPr>
          <w:p w14:paraId="6A5E0874" w14:textId="77777777" w:rsidR="00807FFE" w:rsidRDefault="00807FFE">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14:paraId="347741BA" w14:textId="77777777" w:rsidR="00807FFE" w:rsidRDefault="00807FFE">
            <w:pPr>
              <w:pStyle w:val="DMETW36742BIPMFF1BreakdownCommPaym"/>
              <w:jc w:val="center"/>
              <w:rPr>
                <w:rFonts w:ascii="Verdana" w:eastAsia="Verdana" w:hAnsi="Verdana" w:cs="Verdana"/>
                <w:noProof/>
                <w:color w:val="FFFFFF"/>
                <w:sz w:val="16"/>
              </w:rPr>
            </w:pPr>
          </w:p>
        </w:tc>
        <w:tc>
          <w:tcPr>
            <w:tcW w:w="1023" w:type="dxa"/>
            <w:gridSpan w:val="3"/>
            <w:tcBorders>
              <w:top w:val="nil"/>
              <w:left w:val="nil"/>
              <w:bottom w:val="nil"/>
              <w:right w:val="nil"/>
              <w:tl2br w:val="nil"/>
              <w:tr2bl w:val="nil"/>
            </w:tcBorders>
            <w:shd w:val="solid" w:color="016794" w:fill="FFFFFF"/>
            <w:tcMar>
              <w:left w:w="60" w:type="dxa"/>
              <w:right w:w="60" w:type="dxa"/>
            </w:tcMar>
            <w:vAlign w:val="center"/>
          </w:tcPr>
          <w:p w14:paraId="5E215283" w14:textId="77777777" w:rsidR="00807FFE" w:rsidRDefault="00023E71">
            <w:pPr>
              <w:pStyle w:val="DMETW36742BIPMFF1BreakdownCommPaym"/>
              <w:jc w:val="center"/>
              <w:rPr>
                <w:rFonts w:ascii="Verdana" w:eastAsia="Verdana" w:hAnsi="Verdana" w:cs="Verdana"/>
                <w:b/>
                <w:noProof/>
                <w:color w:val="FFFFFF"/>
                <w:sz w:val="16"/>
              </w:rPr>
            </w:pPr>
            <w:r>
              <w:rPr>
                <w:rFonts w:ascii="Verdana" w:eastAsia="Verdana" w:hAnsi="Verdana" w:cs="Verdana"/>
                <w:b/>
                <w:noProof/>
                <w:color w:val="FFFFFF"/>
                <w:sz w:val="16"/>
              </w:rPr>
              <w:t>Budget appropriations</w:t>
            </w:r>
          </w:p>
        </w:tc>
        <w:tc>
          <w:tcPr>
            <w:tcW w:w="690" w:type="dxa"/>
            <w:gridSpan w:val="2"/>
            <w:tcBorders>
              <w:top w:val="nil"/>
              <w:left w:val="nil"/>
              <w:bottom w:val="nil"/>
              <w:right w:val="nil"/>
              <w:tl2br w:val="nil"/>
              <w:tr2bl w:val="nil"/>
            </w:tcBorders>
            <w:shd w:val="solid" w:color="016794" w:fill="FFFFFF"/>
            <w:tcMar>
              <w:left w:w="60" w:type="dxa"/>
              <w:right w:w="60" w:type="dxa"/>
            </w:tcMar>
            <w:vAlign w:val="center"/>
          </w:tcPr>
          <w:p w14:paraId="3F67528B" w14:textId="77777777" w:rsidR="00807FFE" w:rsidRDefault="00023E71">
            <w:pPr>
              <w:pStyle w:val="DMETW36742BIPMFF1BreakdownCommPaym"/>
              <w:jc w:val="center"/>
              <w:rPr>
                <w:rFonts w:ascii="Verdana" w:eastAsia="Verdana" w:hAnsi="Verdana" w:cs="Verdana"/>
                <w:b/>
                <w:noProof/>
                <w:color w:val="FFFFFF"/>
                <w:sz w:val="16"/>
              </w:rPr>
            </w:pPr>
            <w:r>
              <w:rPr>
                <w:rFonts w:ascii="Verdana" w:eastAsia="Verdana" w:hAnsi="Verdana" w:cs="Verdana"/>
                <w:b/>
                <w:noProof/>
                <w:color w:val="FFFFFF"/>
                <w:sz w:val="16"/>
              </w:rPr>
              <w:t>Additional appropriations</w:t>
            </w:r>
          </w:p>
        </w:tc>
        <w:tc>
          <w:tcPr>
            <w:tcW w:w="1005" w:type="dxa"/>
            <w:vMerge w:val="restart"/>
            <w:tcBorders>
              <w:top w:val="nil"/>
              <w:left w:val="nil"/>
              <w:bottom w:val="nil"/>
              <w:right w:val="nil"/>
              <w:tl2br w:val="nil"/>
              <w:tr2bl w:val="nil"/>
            </w:tcBorders>
            <w:shd w:val="solid" w:color="016794" w:fill="FFFFFF"/>
            <w:tcMar>
              <w:left w:w="60" w:type="dxa"/>
              <w:right w:w="60" w:type="dxa"/>
            </w:tcMar>
            <w:vAlign w:val="center"/>
          </w:tcPr>
          <w:p w14:paraId="79D667FF" w14:textId="77777777" w:rsidR="00807FFE" w:rsidRDefault="00023E71">
            <w:pPr>
              <w:pStyle w:val="DMETW36742BIPMFF1BreakdownCommPaym"/>
              <w:jc w:val="center"/>
              <w:rPr>
                <w:rFonts w:ascii="Verdana" w:eastAsia="Verdana" w:hAnsi="Verdana" w:cs="Verdana"/>
                <w:b/>
                <w:noProof/>
                <w:color w:val="FFFFFF"/>
                <w:sz w:val="16"/>
              </w:rPr>
            </w:pPr>
            <w:r>
              <w:rPr>
                <w:rFonts w:ascii="Verdana" w:eastAsia="Verdana" w:hAnsi="Verdana" w:cs="Verdana"/>
                <w:b/>
                <w:noProof/>
                <w:color w:val="FFFFFF"/>
                <w:sz w:val="16"/>
              </w:rPr>
              <w:t>Total appropr. available</w:t>
            </w:r>
          </w:p>
        </w:tc>
        <w:tc>
          <w:tcPr>
            <w:tcW w:w="887" w:type="dxa"/>
            <w:gridSpan w:val="3"/>
            <w:tcBorders>
              <w:top w:val="nil"/>
              <w:left w:val="nil"/>
              <w:bottom w:val="nil"/>
              <w:right w:val="nil"/>
              <w:tl2br w:val="nil"/>
              <w:tr2bl w:val="nil"/>
            </w:tcBorders>
            <w:shd w:val="solid" w:color="016794" w:fill="FFFFFF"/>
            <w:tcMar>
              <w:left w:w="60" w:type="dxa"/>
              <w:right w:w="60" w:type="dxa"/>
            </w:tcMar>
            <w:vAlign w:val="center"/>
          </w:tcPr>
          <w:p w14:paraId="3160A91C" w14:textId="77777777" w:rsidR="00807FFE" w:rsidRDefault="00023E71">
            <w:pPr>
              <w:pStyle w:val="DMETW36742BIPMFF1BreakdownCommPaym"/>
              <w:jc w:val="center"/>
              <w:rPr>
                <w:rFonts w:ascii="Verdana" w:eastAsia="Verdana" w:hAnsi="Verdana" w:cs="Verdana"/>
                <w:b/>
                <w:noProof/>
                <w:color w:val="FFFFFF"/>
                <w:sz w:val="16"/>
              </w:rPr>
            </w:pPr>
            <w:r>
              <w:rPr>
                <w:rFonts w:ascii="Verdana" w:eastAsia="Verdana" w:hAnsi="Verdana" w:cs="Verdana"/>
                <w:b/>
                <w:noProof/>
                <w:color w:val="FFFFFF"/>
                <w:sz w:val="16"/>
              </w:rPr>
              <w:t>Budget appropriations</w:t>
            </w:r>
          </w:p>
        </w:tc>
        <w:tc>
          <w:tcPr>
            <w:tcW w:w="887" w:type="dxa"/>
            <w:gridSpan w:val="2"/>
            <w:tcBorders>
              <w:top w:val="nil"/>
              <w:left w:val="nil"/>
              <w:bottom w:val="nil"/>
              <w:right w:val="nil"/>
              <w:tl2br w:val="nil"/>
              <w:tr2bl w:val="nil"/>
            </w:tcBorders>
            <w:shd w:val="solid" w:color="016794" w:fill="FFFFFF"/>
            <w:tcMar>
              <w:left w:w="60" w:type="dxa"/>
              <w:right w:w="60" w:type="dxa"/>
            </w:tcMar>
            <w:vAlign w:val="center"/>
          </w:tcPr>
          <w:p w14:paraId="64445A3B" w14:textId="77777777" w:rsidR="00807FFE" w:rsidRDefault="00023E71">
            <w:pPr>
              <w:pStyle w:val="DMETW36742BIPMFF1BreakdownCommPaym"/>
              <w:jc w:val="center"/>
              <w:rPr>
                <w:rFonts w:ascii="Verdana" w:eastAsia="Verdana" w:hAnsi="Verdana" w:cs="Verdana"/>
                <w:b/>
                <w:noProof/>
                <w:color w:val="FFFFFF"/>
                <w:sz w:val="16"/>
              </w:rPr>
            </w:pPr>
            <w:r>
              <w:rPr>
                <w:rFonts w:ascii="Verdana" w:eastAsia="Verdana" w:hAnsi="Verdana" w:cs="Verdana"/>
                <w:b/>
                <w:noProof/>
                <w:color w:val="FFFFFF"/>
                <w:sz w:val="16"/>
              </w:rPr>
              <w:t>Additional appropriat.</w:t>
            </w:r>
          </w:p>
        </w:tc>
        <w:tc>
          <w:tcPr>
            <w:tcW w:w="1365" w:type="dxa"/>
            <w:vMerge w:val="restart"/>
            <w:tcBorders>
              <w:top w:val="nil"/>
              <w:left w:val="nil"/>
              <w:bottom w:val="nil"/>
              <w:right w:val="nil"/>
              <w:tl2br w:val="nil"/>
              <w:tr2bl w:val="nil"/>
            </w:tcBorders>
            <w:shd w:val="solid" w:color="016794" w:fill="FFFFFF"/>
            <w:tcMar>
              <w:left w:w="60" w:type="dxa"/>
              <w:right w:w="60" w:type="dxa"/>
            </w:tcMar>
            <w:vAlign w:val="center"/>
          </w:tcPr>
          <w:p w14:paraId="2D467914" w14:textId="77777777" w:rsidR="00807FFE" w:rsidRDefault="00023E71">
            <w:pPr>
              <w:pStyle w:val="DMETW36742BIPMFF1BreakdownCommPaym"/>
              <w:jc w:val="center"/>
              <w:rPr>
                <w:rFonts w:ascii="Verdana" w:eastAsia="Verdana" w:hAnsi="Verdana" w:cs="Verdana"/>
                <w:b/>
                <w:noProof/>
                <w:color w:val="FFFFFF"/>
                <w:sz w:val="16"/>
                <w:lang w:bidi="en-GB"/>
              </w:rPr>
            </w:pPr>
            <w:r>
              <w:rPr>
                <w:rFonts w:ascii="Verdana" w:eastAsia="Verdana" w:hAnsi="Verdana" w:cs="Verdana"/>
                <w:b/>
                <w:noProof/>
                <w:color w:val="FFFFFF"/>
                <w:sz w:val="16"/>
              </w:rPr>
              <w:t>Total appropr. available</w:t>
            </w:r>
          </w:p>
        </w:tc>
      </w:tr>
      <w:tr w:rsidR="00807FFE" w14:paraId="2D9563CB" w14:textId="77777777">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22A78B05" w14:textId="77777777" w:rsidR="00807FFE" w:rsidRDefault="00807FFE">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14:paraId="108D06FA"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MFF Heading</w:t>
            </w:r>
          </w:p>
        </w:tc>
        <w:tc>
          <w:tcPr>
            <w:tcW w:w="1023" w:type="dxa"/>
            <w:tcBorders>
              <w:top w:val="nil"/>
              <w:left w:val="nil"/>
              <w:bottom w:val="nil"/>
              <w:right w:val="nil"/>
              <w:tl2br w:val="nil"/>
              <w:tr2bl w:val="nil"/>
            </w:tcBorders>
            <w:shd w:val="solid" w:color="3487A9" w:fill="FFFFFF"/>
            <w:tcMar>
              <w:left w:w="60" w:type="dxa"/>
              <w:right w:w="60" w:type="dxa"/>
            </w:tcMar>
            <w:vAlign w:val="center"/>
          </w:tcPr>
          <w:p w14:paraId="0D51553A"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913" w:type="dxa"/>
            <w:tcBorders>
              <w:top w:val="nil"/>
              <w:left w:val="nil"/>
              <w:bottom w:val="nil"/>
              <w:right w:val="nil"/>
              <w:tl2br w:val="nil"/>
              <w:tr2bl w:val="nil"/>
            </w:tcBorders>
            <w:shd w:val="solid" w:color="3487A9" w:fill="FFFFFF"/>
            <w:tcMar>
              <w:left w:w="60" w:type="dxa"/>
              <w:right w:w="60" w:type="dxa"/>
            </w:tcMar>
            <w:vAlign w:val="center"/>
          </w:tcPr>
          <w:p w14:paraId="043F5296"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Amending budgets &amp; transfers</w:t>
            </w:r>
          </w:p>
        </w:tc>
        <w:tc>
          <w:tcPr>
            <w:tcW w:w="890" w:type="dxa"/>
            <w:tcBorders>
              <w:top w:val="nil"/>
              <w:left w:val="nil"/>
              <w:bottom w:val="nil"/>
              <w:right w:val="nil"/>
              <w:tl2br w:val="nil"/>
              <w:tr2bl w:val="nil"/>
            </w:tcBorders>
            <w:shd w:val="solid" w:color="3487A9" w:fill="FFFFFF"/>
            <w:tcMar>
              <w:left w:w="60" w:type="dxa"/>
              <w:right w:w="60" w:type="dxa"/>
            </w:tcMar>
            <w:vAlign w:val="center"/>
          </w:tcPr>
          <w:p w14:paraId="0C500708"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690" w:type="dxa"/>
            <w:tcBorders>
              <w:top w:val="nil"/>
              <w:left w:val="nil"/>
              <w:bottom w:val="nil"/>
              <w:right w:val="nil"/>
              <w:tl2br w:val="nil"/>
              <w:tr2bl w:val="nil"/>
            </w:tcBorders>
            <w:shd w:val="solid" w:color="3487A9" w:fill="FFFFFF"/>
            <w:tcMar>
              <w:left w:w="60" w:type="dxa"/>
              <w:right w:w="60" w:type="dxa"/>
            </w:tcMar>
            <w:vAlign w:val="center"/>
          </w:tcPr>
          <w:p w14:paraId="752A7CC5"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Carry-overs</w:t>
            </w:r>
          </w:p>
        </w:tc>
        <w:tc>
          <w:tcPr>
            <w:tcW w:w="957" w:type="dxa"/>
            <w:tcBorders>
              <w:top w:val="nil"/>
              <w:left w:val="nil"/>
              <w:bottom w:val="nil"/>
              <w:right w:val="nil"/>
              <w:tl2br w:val="nil"/>
              <w:tr2bl w:val="nil"/>
            </w:tcBorders>
            <w:shd w:val="solid" w:color="3487A9" w:fill="FFFFFF"/>
            <w:tcMar>
              <w:left w:w="60" w:type="dxa"/>
              <w:right w:w="60" w:type="dxa"/>
            </w:tcMar>
            <w:vAlign w:val="center"/>
          </w:tcPr>
          <w:p w14:paraId="7A017A9D"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Assigned revenue</w:t>
            </w:r>
          </w:p>
        </w:tc>
        <w:tc>
          <w:tcPr>
            <w:tcW w:w="1005" w:type="dxa"/>
            <w:vMerge/>
            <w:tcBorders>
              <w:top w:val="nil"/>
              <w:left w:val="nil"/>
              <w:bottom w:val="nil"/>
              <w:right w:val="nil"/>
              <w:tl2br w:val="nil"/>
              <w:tr2bl w:val="nil"/>
            </w:tcBorders>
            <w:shd w:val="solid" w:color="016794" w:fill="FFFFFF"/>
            <w:tcMar>
              <w:left w:w="60" w:type="dxa"/>
              <w:right w:w="60" w:type="dxa"/>
            </w:tcMar>
            <w:vAlign w:val="center"/>
          </w:tcPr>
          <w:p w14:paraId="25C9CC5A" w14:textId="77777777" w:rsidR="00807FFE" w:rsidRDefault="00807FFE">
            <w:pPr>
              <w:pStyle w:val="DMETW36742BIPMFF1BreakdownCommPaym"/>
              <w:jc w:val="center"/>
              <w:rPr>
                <w:rFonts w:ascii="Verdana" w:eastAsia="Verdana" w:hAnsi="Verdana" w:cs="Verdana"/>
                <w:b/>
                <w:noProof/>
                <w:color w:val="FFFFFF"/>
                <w:sz w:val="16"/>
              </w:rPr>
            </w:pPr>
          </w:p>
        </w:tc>
        <w:tc>
          <w:tcPr>
            <w:tcW w:w="887" w:type="dxa"/>
            <w:tcBorders>
              <w:top w:val="nil"/>
              <w:left w:val="nil"/>
              <w:bottom w:val="nil"/>
              <w:right w:val="nil"/>
              <w:tl2br w:val="nil"/>
              <w:tr2bl w:val="nil"/>
            </w:tcBorders>
            <w:shd w:val="solid" w:color="3487A9" w:fill="FFFFFF"/>
            <w:tcMar>
              <w:left w:w="60" w:type="dxa"/>
              <w:right w:w="60" w:type="dxa"/>
            </w:tcMar>
            <w:vAlign w:val="center"/>
          </w:tcPr>
          <w:p w14:paraId="49B16127"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913" w:type="dxa"/>
            <w:tcBorders>
              <w:top w:val="nil"/>
              <w:left w:val="nil"/>
              <w:bottom w:val="nil"/>
              <w:right w:val="nil"/>
              <w:tl2br w:val="nil"/>
              <w:tr2bl w:val="nil"/>
            </w:tcBorders>
            <w:shd w:val="solid" w:color="3487A9" w:fill="FFFFFF"/>
            <w:tcMar>
              <w:left w:w="60" w:type="dxa"/>
              <w:right w:w="60" w:type="dxa"/>
            </w:tcMar>
            <w:vAlign w:val="center"/>
          </w:tcPr>
          <w:p w14:paraId="34E8E172"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Amending budgets &amp; transfers</w:t>
            </w:r>
          </w:p>
        </w:tc>
        <w:tc>
          <w:tcPr>
            <w:tcW w:w="875" w:type="dxa"/>
            <w:tcBorders>
              <w:top w:val="nil"/>
              <w:left w:val="nil"/>
              <w:bottom w:val="nil"/>
              <w:right w:val="nil"/>
              <w:tl2br w:val="nil"/>
              <w:tr2bl w:val="nil"/>
            </w:tcBorders>
            <w:shd w:val="solid" w:color="3487A9" w:fill="FFFFFF"/>
            <w:tcMar>
              <w:left w:w="60" w:type="dxa"/>
              <w:right w:w="60" w:type="dxa"/>
            </w:tcMar>
            <w:vAlign w:val="center"/>
          </w:tcPr>
          <w:p w14:paraId="651DA8CE"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887" w:type="dxa"/>
            <w:tcBorders>
              <w:top w:val="nil"/>
              <w:left w:val="nil"/>
              <w:bottom w:val="nil"/>
              <w:right w:val="nil"/>
              <w:tl2br w:val="nil"/>
              <w:tr2bl w:val="nil"/>
            </w:tcBorders>
            <w:shd w:val="solid" w:color="3487A9" w:fill="FFFFFF"/>
            <w:tcMar>
              <w:left w:w="60" w:type="dxa"/>
              <w:right w:w="60" w:type="dxa"/>
            </w:tcMar>
            <w:vAlign w:val="center"/>
          </w:tcPr>
          <w:p w14:paraId="3DE1D13C"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Carry-overs</w:t>
            </w:r>
          </w:p>
        </w:tc>
        <w:tc>
          <w:tcPr>
            <w:tcW w:w="890" w:type="dxa"/>
            <w:tcBorders>
              <w:top w:val="nil"/>
              <w:left w:val="nil"/>
              <w:bottom w:val="nil"/>
              <w:right w:val="nil"/>
              <w:tl2br w:val="nil"/>
              <w:tr2bl w:val="nil"/>
            </w:tcBorders>
            <w:shd w:val="solid" w:color="3487A9" w:fill="FFFFFF"/>
            <w:tcMar>
              <w:left w:w="60" w:type="dxa"/>
              <w:right w:w="60" w:type="dxa"/>
            </w:tcMar>
            <w:vAlign w:val="center"/>
          </w:tcPr>
          <w:p w14:paraId="1B24C1F1" w14:textId="77777777" w:rsidR="00807FFE" w:rsidRDefault="00023E71">
            <w:pPr>
              <w:pStyle w:val="DMETW36742BIPMFF1BreakdownCommPaym"/>
              <w:jc w:val="center"/>
              <w:rPr>
                <w:rFonts w:ascii="Verdana" w:eastAsia="Verdana" w:hAnsi="Verdana" w:cs="Verdana"/>
                <w:noProof/>
                <w:color w:val="FFFFFF"/>
                <w:sz w:val="16"/>
                <w:lang w:bidi="en-GB"/>
              </w:rPr>
            </w:pPr>
            <w:r>
              <w:rPr>
                <w:rFonts w:ascii="Verdana" w:eastAsia="Verdana" w:hAnsi="Verdana" w:cs="Verdana"/>
                <w:noProof/>
                <w:color w:val="FFFFFF"/>
                <w:sz w:val="16"/>
              </w:rPr>
              <w:t>Assigned revenue</w:t>
            </w:r>
          </w:p>
        </w:tc>
        <w:tc>
          <w:tcPr>
            <w:tcW w:w="1365" w:type="dxa"/>
            <w:vMerge/>
            <w:tcBorders>
              <w:top w:val="nil"/>
              <w:left w:val="nil"/>
              <w:bottom w:val="nil"/>
              <w:right w:val="nil"/>
              <w:tl2br w:val="nil"/>
              <w:tr2bl w:val="nil"/>
            </w:tcBorders>
            <w:shd w:val="solid" w:color="016794" w:fill="FFFFFF"/>
            <w:tcMar>
              <w:left w:w="60" w:type="dxa"/>
              <w:right w:w="60" w:type="dxa"/>
            </w:tcMar>
            <w:vAlign w:val="center"/>
          </w:tcPr>
          <w:p w14:paraId="6C30F78A" w14:textId="77777777" w:rsidR="00807FFE" w:rsidRDefault="00807FFE">
            <w:pPr>
              <w:pStyle w:val="DMETW36742BIPMFF1BreakdownCommPaym"/>
              <w:jc w:val="center"/>
              <w:rPr>
                <w:rFonts w:ascii="Verdana" w:eastAsia="Verdana" w:hAnsi="Verdana" w:cs="Verdana"/>
                <w:b/>
                <w:noProof/>
                <w:color w:val="FFFFFF"/>
                <w:sz w:val="16"/>
              </w:rPr>
            </w:pPr>
          </w:p>
        </w:tc>
      </w:tr>
      <w:tr w:rsidR="00807FFE" w14:paraId="04CD4CE1" w14:textId="77777777">
        <w:trPr>
          <w:cantSplit/>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14:paraId="5722238F" w14:textId="77777777" w:rsidR="00807FFE" w:rsidRDefault="00807FFE">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3487A9" w:fill="FFFFFF"/>
            <w:tcMar>
              <w:left w:w="60" w:type="dxa"/>
              <w:right w:w="60" w:type="dxa"/>
            </w:tcMar>
            <w:vAlign w:val="center"/>
          </w:tcPr>
          <w:p w14:paraId="53BB035C" w14:textId="77777777" w:rsidR="00807FFE" w:rsidRDefault="00807FFE">
            <w:pPr>
              <w:pStyle w:val="DMETW36742BIPMFF1BreakdownCommPaym"/>
              <w:jc w:val="center"/>
              <w:rPr>
                <w:rFonts w:ascii="Verdana" w:eastAsia="Verdana" w:hAnsi="Verdana" w:cs="Verdana"/>
                <w:noProof/>
                <w:color w:val="FFFFFF"/>
                <w:sz w:val="16"/>
              </w:rPr>
            </w:pPr>
          </w:p>
        </w:tc>
        <w:tc>
          <w:tcPr>
            <w:tcW w:w="1023" w:type="dxa"/>
            <w:tcBorders>
              <w:top w:val="nil"/>
              <w:left w:val="nil"/>
              <w:bottom w:val="nil"/>
              <w:right w:val="nil"/>
              <w:tl2br w:val="nil"/>
              <w:tr2bl w:val="nil"/>
            </w:tcBorders>
            <w:shd w:val="solid" w:color="3487A9" w:fill="FFFFFF"/>
            <w:tcMar>
              <w:left w:w="60" w:type="dxa"/>
              <w:right w:w="60" w:type="dxa"/>
            </w:tcMar>
            <w:vAlign w:val="center"/>
          </w:tcPr>
          <w:p w14:paraId="487CB52A"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913" w:type="dxa"/>
            <w:tcBorders>
              <w:top w:val="nil"/>
              <w:left w:val="nil"/>
              <w:bottom w:val="nil"/>
              <w:right w:val="nil"/>
              <w:tl2br w:val="nil"/>
              <w:tr2bl w:val="nil"/>
            </w:tcBorders>
            <w:shd w:val="solid" w:color="3487A9" w:fill="FFFFFF"/>
            <w:tcMar>
              <w:left w:w="60" w:type="dxa"/>
              <w:right w:w="60" w:type="dxa"/>
            </w:tcMar>
            <w:vAlign w:val="center"/>
          </w:tcPr>
          <w:p w14:paraId="733EF6CE"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890" w:type="dxa"/>
            <w:tcBorders>
              <w:top w:val="nil"/>
              <w:left w:val="nil"/>
              <w:bottom w:val="nil"/>
              <w:right w:val="nil"/>
              <w:tl2br w:val="nil"/>
              <w:tr2bl w:val="nil"/>
            </w:tcBorders>
            <w:shd w:val="solid" w:color="3487A9" w:fill="FFFFFF"/>
            <w:tcMar>
              <w:left w:w="60" w:type="dxa"/>
              <w:right w:w="60" w:type="dxa"/>
            </w:tcMar>
            <w:vAlign w:val="center"/>
          </w:tcPr>
          <w:p w14:paraId="518F21EA"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3=1+2</w:t>
            </w:r>
          </w:p>
        </w:tc>
        <w:tc>
          <w:tcPr>
            <w:tcW w:w="690" w:type="dxa"/>
            <w:tcBorders>
              <w:top w:val="nil"/>
              <w:left w:val="nil"/>
              <w:bottom w:val="nil"/>
              <w:right w:val="nil"/>
              <w:tl2br w:val="nil"/>
              <w:tr2bl w:val="nil"/>
            </w:tcBorders>
            <w:shd w:val="solid" w:color="3487A9" w:fill="FFFFFF"/>
            <w:tcMar>
              <w:left w:w="60" w:type="dxa"/>
              <w:right w:w="60" w:type="dxa"/>
            </w:tcMar>
            <w:vAlign w:val="center"/>
          </w:tcPr>
          <w:p w14:paraId="7B14E931"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957" w:type="dxa"/>
            <w:tcBorders>
              <w:top w:val="nil"/>
              <w:left w:val="nil"/>
              <w:bottom w:val="nil"/>
              <w:right w:val="nil"/>
              <w:tl2br w:val="nil"/>
              <w:tr2bl w:val="nil"/>
            </w:tcBorders>
            <w:shd w:val="solid" w:color="3487A9" w:fill="FFFFFF"/>
            <w:tcMar>
              <w:left w:w="60" w:type="dxa"/>
              <w:right w:w="60" w:type="dxa"/>
            </w:tcMar>
            <w:vAlign w:val="center"/>
          </w:tcPr>
          <w:p w14:paraId="6C42FF2C"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5</w:t>
            </w:r>
          </w:p>
        </w:tc>
        <w:tc>
          <w:tcPr>
            <w:tcW w:w="1005" w:type="dxa"/>
            <w:tcBorders>
              <w:top w:val="nil"/>
              <w:left w:val="nil"/>
              <w:bottom w:val="nil"/>
              <w:right w:val="nil"/>
              <w:tl2br w:val="nil"/>
              <w:tr2bl w:val="nil"/>
            </w:tcBorders>
            <w:shd w:val="solid" w:color="3487A9" w:fill="FFFFFF"/>
            <w:tcMar>
              <w:left w:w="60" w:type="dxa"/>
              <w:right w:w="60" w:type="dxa"/>
            </w:tcMar>
            <w:vAlign w:val="center"/>
          </w:tcPr>
          <w:p w14:paraId="61443D48"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6=3+4+5</w:t>
            </w:r>
          </w:p>
        </w:tc>
        <w:tc>
          <w:tcPr>
            <w:tcW w:w="887" w:type="dxa"/>
            <w:tcBorders>
              <w:top w:val="nil"/>
              <w:left w:val="nil"/>
              <w:bottom w:val="nil"/>
              <w:right w:val="nil"/>
              <w:tl2br w:val="nil"/>
              <w:tr2bl w:val="nil"/>
            </w:tcBorders>
            <w:shd w:val="solid" w:color="3487A9" w:fill="FFFFFF"/>
            <w:tcMar>
              <w:left w:w="60" w:type="dxa"/>
              <w:right w:w="60" w:type="dxa"/>
            </w:tcMar>
            <w:vAlign w:val="center"/>
          </w:tcPr>
          <w:p w14:paraId="11EFEE91"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7</w:t>
            </w:r>
          </w:p>
        </w:tc>
        <w:tc>
          <w:tcPr>
            <w:tcW w:w="913" w:type="dxa"/>
            <w:tcBorders>
              <w:top w:val="nil"/>
              <w:left w:val="nil"/>
              <w:bottom w:val="nil"/>
              <w:right w:val="nil"/>
              <w:tl2br w:val="nil"/>
              <w:tr2bl w:val="nil"/>
            </w:tcBorders>
            <w:shd w:val="solid" w:color="3487A9" w:fill="FFFFFF"/>
            <w:tcMar>
              <w:left w:w="60" w:type="dxa"/>
              <w:right w:w="60" w:type="dxa"/>
            </w:tcMar>
            <w:vAlign w:val="center"/>
          </w:tcPr>
          <w:p w14:paraId="3C9FEA5F"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8</w:t>
            </w:r>
          </w:p>
        </w:tc>
        <w:tc>
          <w:tcPr>
            <w:tcW w:w="875" w:type="dxa"/>
            <w:tcBorders>
              <w:top w:val="nil"/>
              <w:left w:val="nil"/>
              <w:bottom w:val="nil"/>
              <w:right w:val="nil"/>
              <w:tl2br w:val="nil"/>
              <w:tr2bl w:val="nil"/>
            </w:tcBorders>
            <w:shd w:val="solid" w:color="3487A9" w:fill="FFFFFF"/>
            <w:tcMar>
              <w:left w:w="60" w:type="dxa"/>
              <w:right w:w="60" w:type="dxa"/>
            </w:tcMar>
            <w:vAlign w:val="center"/>
          </w:tcPr>
          <w:p w14:paraId="5DEF131B"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9=7+8</w:t>
            </w:r>
          </w:p>
        </w:tc>
        <w:tc>
          <w:tcPr>
            <w:tcW w:w="887" w:type="dxa"/>
            <w:tcBorders>
              <w:top w:val="nil"/>
              <w:left w:val="nil"/>
              <w:bottom w:val="nil"/>
              <w:right w:val="nil"/>
              <w:tl2br w:val="nil"/>
              <w:tr2bl w:val="nil"/>
            </w:tcBorders>
            <w:shd w:val="solid" w:color="3487A9" w:fill="FFFFFF"/>
            <w:tcMar>
              <w:left w:w="60" w:type="dxa"/>
              <w:right w:w="60" w:type="dxa"/>
            </w:tcMar>
            <w:vAlign w:val="center"/>
          </w:tcPr>
          <w:p w14:paraId="37BCCF6C"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10</w:t>
            </w:r>
          </w:p>
        </w:tc>
        <w:tc>
          <w:tcPr>
            <w:tcW w:w="890" w:type="dxa"/>
            <w:tcBorders>
              <w:top w:val="nil"/>
              <w:left w:val="nil"/>
              <w:bottom w:val="nil"/>
              <w:right w:val="nil"/>
              <w:tl2br w:val="nil"/>
              <w:tr2bl w:val="nil"/>
            </w:tcBorders>
            <w:shd w:val="solid" w:color="3487A9" w:fill="FFFFFF"/>
            <w:tcMar>
              <w:left w:w="60" w:type="dxa"/>
              <w:right w:w="60" w:type="dxa"/>
            </w:tcMar>
            <w:vAlign w:val="center"/>
          </w:tcPr>
          <w:p w14:paraId="616E2931"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11</w:t>
            </w:r>
          </w:p>
        </w:tc>
        <w:tc>
          <w:tcPr>
            <w:tcW w:w="1365" w:type="dxa"/>
            <w:tcBorders>
              <w:top w:val="nil"/>
              <w:left w:val="nil"/>
              <w:bottom w:val="nil"/>
              <w:right w:val="nil"/>
              <w:tl2br w:val="nil"/>
              <w:tr2bl w:val="nil"/>
            </w:tcBorders>
            <w:shd w:val="solid" w:color="3487A9" w:fill="FFFFFF"/>
            <w:tcMar>
              <w:left w:w="60" w:type="dxa"/>
              <w:right w:w="60" w:type="dxa"/>
            </w:tcMar>
            <w:vAlign w:val="center"/>
          </w:tcPr>
          <w:p w14:paraId="5A2F172A" w14:textId="77777777" w:rsidR="00807FFE" w:rsidRDefault="00023E71">
            <w:pPr>
              <w:pStyle w:val="DMETW36742BIPMFF1BreakdownCommPaym"/>
              <w:jc w:val="center"/>
              <w:rPr>
                <w:rFonts w:ascii="Verdana" w:eastAsia="Verdana" w:hAnsi="Verdana" w:cs="Verdana"/>
                <w:noProof/>
                <w:color w:val="FFFFFF"/>
                <w:sz w:val="16"/>
              </w:rPr>
            </w:pPr>
            <w:r>
              <w:rPr>
                <w:rFonts w:ascii="Verdana" w:eastAsia="Verdana" w:hAnsi="Verdana" w:cs="Verdana"/>
                <w:noProof/>
                <w:color w:val="FFFFFF"/>
                <w:sz w:val="16"/>
              </w:rPr>
              <w:t>12=9+10</w:t>
            </w:r>
          </w:p>
          <w:p w14:paraId="5B988258" w14:textId="77777777" w:rsidR="00807FFE" w:rsidRDefault="00023E71">
            <w:pPr>
              <w:pStyle w:val="DMETW36742BIPMFF1BreakdownCommPaym"/>
              <w:jc w:val="center"/>
              <w:rPr>
                <w:rFonts w:ascii="Verdana" w:eastAsia="Verdana" w:hAnsi="Verdana" w:cs="Verdana"/>
                <w:noProof/>
                <w:color w:val="FFFFFF"/>
                <w:sz w:val="16"/>
                <w:lang w:bidi="en-GB"/>
              </w:rPr>
            </w:pPr>
            <w:r>
              <w:rPr>
                <w:rFonts w:ascii="Verdana" w:eastAsia="Verdana" w:hAnsi="Verdana" w:cs="Verdana"/>
                <w:noProof/>
                <w:color w:val="FFFFFF"/>
                <w:sz w:val="16"/>
              </w:rPr>
              <w:t>+11</w:t>
            </w:r>
          </w:p>
        </w:tc>
      </w:tr>
      <w:tr w:rsidR="00807FFE" w14:paraId="2A7AEF6F"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530AFE39"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1</w:t>
            </w:r>
          </w:p>
        </w:tc>
        <w:tc>
          <w:tcPr>
            <w:tcW w:w="3094" w:type="dxa"/>
            <w:tcBorders>
              <w:top w:val="nil"/>
              <w:left w:val="nil"/>
              <w:bottom w:val="nil"/>
              <w:right w:val="nil"/>
              <w:tl2br w:val="nil"/>
              <w:tr2bl w:val="nil"/>
            </w:tcBorders>
            <w:tcMar>
              <w:left w:w="60" w:type="dxa"/>
              <w:right w:w="60" w:type="dxa"/>
            </w:tcMar>
            <w:vAlign w:val="center"/>
          </w:tcPr>
          <w:p w14:paraId="67C7AA2B"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Single Market, Innovation and Digital</w:t>
            </w:r>
          </w:p>
        </w:tc>
        <w:tc>
          <w:tcPr>
            <w:tcW w:w="1023" w:type="dxa"/>
            <w:tcBorders>
              <w:top w:val="nil"/>
              <w:left w:val="nil"/>
              <w:bottom w:val="nil"/>
              <w:right w:val="nil"/>
              <w:tl2br w:val="nil"/>
              <w:tr2bl w:val="nil"/>
            </w:tcBorders>
            <w:tcMar>
              <w:left w:w="60" w:type="dxa"/>
              <w:right w:w="60" w:type="dxa"/>
            </w:tcMar>
            <w:vAlign w:val="center"/>
          </w:tcPr>
          <w:p w14:paraId="71D82F2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21 480</w:t>
            </w:r>
          </w:p>
        </w:tc>
        <w:tc>
          <w:tcPr>
            <w:tcW w:w="913" w:type="dxa"/>
            <w:tcBorders>
              <w:top w:val="nil"/>
              <w:left w:val="nil"/>
              <w:bottom w:val="nil"/>
              <w:right w:val="nil"/>
              <w:tl2br w:val="nil"/>
              <w:tr2bl w:val="nil"/>
            </w:tcBorders>
            <w:tcMar>
              <w:left w:w="60" w:type="dxa"/>
              <w:right w:w="60" w:type="dxa"/>
            </w:tcMar>
            <w:vAlign w:val="center"/>
          </w:tcPr>
          <w:p w14:paraId="0D96BF59"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890" w:type="dxa"/>
            <w:tcBorders>
              <w:top w:val="nil"/>
              <w:left w:val="nil"/>
              <w:bottom w:val="nil"/>
              <w:right w:val="nil"/>
              <w:tl2br w:val="nil"/>
              <w:tr2bl w:val="nil"/>
            </w:tcBorders>
            <w:tcMar>
              <w:left w:w="60" w:type="dxa"/>
              <w:right w:w="60" w:type="dxa"/>
            </w:tcMar>
            <w:vAlign w:val="center"/>
          </w:tcPr>
          <w:p w14:paraId="6B375F5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21 539</w:t>
            </w:r>
          </w:p>
        </w:tc>
        <w:tc>
          <w:tcPr>
            <w:tcW w:w="690" w:type="dxa"/>
            <w:tcBorders>
              <w:top w:val="nil"/>
              <w:left w:val="nil"/>
              <w:bottom w:val="nil"/>
              <w:right w:val="nil"/>
              <w:tl2br w:val="nil"/>
              <w:tr2bl w:val="nil"/>
            </w:tcBorders>
            <w:tcMar>
              <w:left w:w="60" w:type="dxa"/>
              <w:right w:w="60" w:type="dxa"/>
            </w:tcMar>
            <w:vAlign w:val="center"/>
          </w:tcPr>
          <w:p w14:paraId="4650AA2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957" w:type="dxa"/>
            <w:tcBorders>
              <w:top w:val="nil"/>
              <w:left w:val="nil"/>
              <w:bottom w:val="nil"/>
              <w:right w:val="nil"/>
              <w:tl2br w:val="nil"/>
              <w:tr2bl w:val="nil"/>
            </w:tcBorders>
            <w:tcMar>
              <w:left w:w="60" w:type="dxa"/>
              <w:right w:w="60" w:type="dxa"/>
            </w:tcMar>
            <w:vAlign w:val="center"/>
          </w:tcPr>
          <w:p w14:paraId="1F9C5A3C"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8 810</w:t>
            </w:r>
          </w:p>
        </w:tc>
        <w:tc>
          <w:tcPr>
            <w:tcW w:w="1005" w:type="dxa"/>
            <w:tcBorders>
              <w:top w:val="nil"/>
              <w:left w:val="nil"/>
              <w:bottom w:val="nil"/>
              <w:right w:val="nil"/>
              <w:tl2br w:val="nil"/>
              <w:tr2bl w:val="nil"/>
            </w:tcBorders>
            <w:tcMar>
              <w:left w:w="60" w:type="dxa"/>
              <w:right w:w="60" w:type="dxa"/>
            </w:tcMar>
            <w:vAlign w:val="center"/>
          </w:tcPr>
          <w:p w14:paraId="4C3E6EE3"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30 466</w:t>
            </w:r>
          </w:p>
        </w:tc>
        <w:tc>
          <w:tcPr>
            <w:tcW w:w="887" w:type="dxa"/>
            <w:tcBorders>
              <w:top w:val="nil"/>
              <w:left w:val="nil"/>
              <w:bottom w:val="nil"/>
              <w:right w:val="nil"/>
              <w:tl2br w:val="nil"/>
              <w:tr2bl w:val="nil"/>
            </w:tcBorders>
            <w:tcMar>
              <w:left w:w="60" w:type="dxa"/>
              <w:right w:w="60" w:type="dxa"/>
            </w:tcMar>
            <w:vAlign w:val="center"/>
          </w:tcPr>
          <w:p w14:paraId="1230D20F"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20 461</w:t>
            </w:r>
          </w:p>
        </w:tc>
        <w:tc>
          <w:tcPr>
            <w:tcW w:w="913" w:type="dxa"/>
            <w:tcBorders>
              <w:top w:val="nil"/>
              <w:left w:val="nil"/>
              <w:bottom w:val="nil"/>
              <w:right w:val="nil"/>
              <w:tl2br w:val="nil"/>
              <w:tr2bl w:val="nil"/>
            </w:tcBorders>
            <w:tcMar>
              <w:left w:w="60" w:type="dxa"/>
              <w:right w:w="60" w:type="dxa"/>
            </w:tcMar>
            <w:vAlign w:val="center"/>
          </w:tcPr>
          <w:p w14:paraId="75F749E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(205)</w:t>
            </w:r>
          </w:p>
        </w:tc>
        <w:tc>
          <w:tcPr>
            <w:tcW w:w="875" w:type="dxa"/>
            <w:tcBorders>
              <w:top w:val="nil"/>
              <w:left w:val="nil"/>
              <w:bottom w:val="nil"/>
              <w:right w:val="nil"/>
              <w:tl2br w:val="nil"/>
              <w:tr2bl w:val="nil"/>
            </w:tcBorders>
            <w:tcMar>
              <w:left w:w="60" w:type="dxa"/>
              <w:right w:w="60" w:type="dxa"/>
            </w:tcMar>
            <w:vAlign w:val="center"/>
          </w:tcPr>
          <w:p w14:paraId="2ADA6B6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20 255</w:t>
            </w:r>
          </w:p>
        </w:tc>
        <w:tc>
          <w:tcPr>
            <w:tcW w:w="887" w:type="dxa"/>
            <w:tcBorders>
              <w:top w:val="nil"/>
              <w:left w:val="nil"/>
              <w:bottom w:val="nil"/>
              <w:right w:val="nil"/>
              <w:tl2br w:val="nil"/>
              <w:tr2bl w:val="nil"/>
            </w:tcBorders>
            <w:tcMar>
              <w:left w:w="60" w:type="dxa"/>
              <w:right w:w="60" w:type="dxa"/>
            </w:tcMar>
            <w:vAlign w:val="center"/>
          </w:tcPr>
          <w:p w14:paraId="1856EB1E"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107</w:t>
            </w:r>
          </w:p>
        </w:tc>
        <w:tc>
          <w:tcPr>
            <w:tcW w:w="890" w:type="dxa"/>
            <w:tcBorders>
              <w:top w:val="nil"/>
              <w:left w:val="nil"/>
              <w:bottom w:val="nil"/>
              <w:right w:val="nil"/>
              <w:tl2br w:val="nil"/>
              <w:tr2bl w:val="nil"/>
            </w:tcBorders>
            <w:tcMar>
              <w:left w:w="60" w:type="dxa"/>
              <w:right w:w="60" w:type="dxa"/>
            </w:tcMar>
            <w:vAlign w:val="center"/>
          </w:tcPr>
          <w:p w14:paraId="5986A72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13 673</w:t>
            </w:r>
          </w:p>
        </w:tc>
        <w:tc>
          <w:tcPr>
            <w:tcW w:w="1365" w:type="dxa"/>
            <w:tcBorders>
              <w:top w:val="nil"/>
              <w:left w:val="nil"/>
              <w:bottom w:val="nil"/>
              <w:right w:val="nil"/>
              <w:tl2br w:val="nil"/>
              <w:tr2bl w:val="nil"/>
            </w:tcBorders>
            <w:tcMar>
              <w:left w:w="60" w:type="dxa"/>
              <w:right w:w="60" w:type="dxa"/>
            </w:tcMar>
            <w:vAlign w:val="center"/>
          </w:tcPr>
          <w:p w14:paraId="1DC85BEA"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34 035</w:t>
            </w:r>
          </w:p>
        </w:tc>
      </w:tr>
      <w:tr w:rsidR="00807FFE" w14:paraId="41CC8860"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49403D7B"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2</w:t>
            </w:r>
          </w:p>
        </w:tc>
        <w:tc>
          <w:tcPr>
            <w:tcW w:w="3094" w:type="dxa"/>
            <w:tcBorders>
              <w:top w:val="nil"/>
              <w:left w:val="nil"/>
              <w:bottom w:val="nil"/>
              <w:right w:val="nil"/>
              <w:tl2br w:val="nil"/>
              <w:tr2bl w:val="nil"/>
            </w:tcBorders>
            <w:tcMar>
              <w:left w:w="60" w:type="dxa"/>
              <w:right w:w="60" w:type="dxa"/>
            </w:tcMar>
            <w:vAlign w:val="center"/>
          </w:tcPr>
          <w:p w14:paraId="40836E73"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Cohesion, Resilience and Values</w:t>
            </w:r>
          </w:p>
        </w:tc>
        <w:tc>
          <w:tcPr>
            <w:tcW w:w="1023" w:type="dxa"/>
            <w:tcBorders>
              <w:top w:val="nil"/>
              <w:left w:val="nil"/>
              <w:bottom w:val="nil"/>
              <w:right w:val="nil"/>
              <w:tl2br w:val="nil"/>
              <w:tr2bl w:val="nil"/>
            </w:tcBorders>
            <w:tcMar>
              <w:left w:w="60" w:type="dxa"/>
              <w:right w:w="60" w:type="dxa"/>
            </w:tcMar>
            <w:vAlign w:val="center"/>
          </w:tcPr>
          <w:p w14:paraId="0D3118A8"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77 980</w:t>
            </w:r>
          </w:p>
        </w:tc>
        <w:tc>
          <w:tcPr>
            <w:tcW w:w="913" w:type="dxa"/>
            <w:tcBorders>
              <w:top w:val="nil"/>
              <w:left w:val="nil"/>
              <w:bottom w:val="nil"/>
              <w:right w:val="nil"/>
              <w:tl2br w:val="nil"/>
              <w:tr2bl w:val="nil"/>
            </w:tcBorders>
            <w:tcMar>
              <w:left w:w="60" w:type="dxa"/>
              <w:right w:w="60" w:type="dxa"/>
            </w:tcMar>
            <w:vAlign w:val="center"/>
          </w:tcPr>
          <w:p w14:paraId="2F8BA79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90" w:type="dxa"/>
            <w:tcBorders>
              <w:top w:val="nil"/>
              <w:left w:val="nil"/>
              <w:bottom w:val="nil"/>
              <w:right w:val="nil"/>
              <w:tl2br w:val="nil"/>
              <w:tr2bl w:val="nil"/>
            </w:tcBorders>
            <w:tcMar>
              <w:left w:w="60" w:type="dxa"/>
              <w:right w:w="60" w:type="dxa"/>
            </w:tcMar>
            <w:vAlign w:val="center"/>
          </w:tcPr>
          <w:p w14:paraId="1BA84AE8"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77 979</w:t>
            </w:r>
          </w:p>
        </w:tc>
        <w:tc>
          <w:tcPr>
            <w:tcW w:w="690" w:type="dxa"/>
            <w:tcBorders>
              <w:top w:val="nil"/>
              <w:left w:val="nil"/>
              <w:bottom w:val="nil"/>
              <w:right w:val="nil"/>
              <w:tl2br w:val="nil"/>
              <w:tr2bl w:val="nil"/>
            </w:tcBorders>
            <w:tcMar>
              <w:left w:w="60" w:type="dxa"/>
              <w:right w:w="60" w:type="dxa"/>
            </w:tcMar>
            <w:vAlign w:val="center"/>
          </w:tcPr>
          <w:p w14:paraId="224E68F8"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57" w:type="dxa"/>
            <w:tcBorders>
              <w:top w:val="nil"/>
              <w:left w:val="nil"/>
              <w:bottom w:val="nil"/>
              <w:right w:val="nil"/>
              <w:tl2br w:val="nil"/>
              <w:tr2bl w:val="nil"/>
            </w:tcBorders>
            <w:tcMar>
              <w:left w:w="60" w:type="dxa"/>
              <w:right w:w="60" w:type="dxa"/>
            </w:tcMar>
            <w:vAlign w:val="center"/>
          </w:tcPr>
          <w:p w14:paraId="351DBEE5"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2 825</w:t>
            </w:r>
          </w:p>
        </w:tc>
        <w:tc>
          <w:tcPr>
            <w:tcW w:w="1005" w:type="dxa"/>
            <w:tcBorders>
              <w:top w:val="nil"/>
              <w:left w:val="nil"/>
              <w:bottom w:val="nil"/>
              <w:right w:val="nil"/>
              <w:tl2br w:val="nil"/>
              <w:tr2bl w:val="nil"/>
            </w:tcBorders>
            <w:tcMar>
              <w:left w:w="60" w:type="dxa"/>
              <w:right w:w="60" w:type="dxa"/>
            </w:tcMar>
            <w:vAlign w:val="center"/>
          </w:tcPr>
          <w:p w14:paraId="513137FF"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80 804</w:t>
            </w:r>
          </w:p>
        </w:tc>
        <w:tc>
          <w:tcPr>
            <w:tcW w:w="887" w:type="dxa"/>
            <w:tcBorders>
              <w:top w:val="nil"/>
              <w:left w:val="nil"/>
              <w:bottom w:val="nil"/>
              <w:right w:val="nil"/>
              <w:tl2br w:val="nil"/>
              <w:tr2bl w:val="nil"/>
            </w:tcBorders>
            <w:tcMar>
              <w:left w:w="60" w:type="dxa"/>
              <w:right w:w="60" w:type="dxa"/>
            </w:tcMar>
            <w:vAlign w:val="center"/>
          </w:tcPr>
          <w:p w14:paraId="683E258C"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44 445</w:t>
            </w:r>
          </w:p>
        </w:tc>
        <w:tc>
          <w:tcPr>
            <w:tcW w:w="913" w:type="dxa"/>
            <w:tcBorders>
              <w:top w:val="nil"/>
              <w:left w:val="nil"/>
              <w:bottom w:val="nil"/>
              <w:right w:val="nil"/>
              <w:tl2br w:val="nil"/>
              <w:tr2bl w:val="nil"/>
            </w:tcBorders>
            <w:tcMar>
              <w:left w:w="60" w:type="dxa"/>
              <w:right w:w="60" w:type="dxa"/>
            </w:tcMar>
            <w:vAlign w:val="center"/>
          </w:tcPr>
          <w:p w14:paraId="33336BF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2 696</w:t>
            </w:r>
          </w:p>
        </w:tc>
        <w:tc>
          <w:tcPr>
            <w:tcW w:w="875" w:type="dxa"/>
            <w:tcBorders>
              <w:top w:val="nil"/>
              <w:left w:val="nil"/>
              <w:bottom w:val="nil"/>
              <w:right w:val="nil"/>
              <w:tl2br w:val="nil"/>
              <w:tr2bl w:val="nil"/>
            </w:tcBorders>
            <w:tcMar>
              <w:left w:w="60" w:type="dxa"/>
              <w:right w:w="60" w:type="dxa"/>
            </w:tcMar>
            <w:vAlign w:val="center"/>
          </w:tcPr>
          <w:p w14:paraId="56C2939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47 141</w:t>
            </w:r>
          </w:p>
        </w:tc>
        <w:tc>
          <w:tcPr>
            <w:tcW w:w="887" w:type="dxa"/>
            <w:tcBorders>
              <w:top w:val="nil"/>
              <w:left w:val="nil"/>
              <w:bottom w:val="nil"/>
              <w:right w:val="nil"/>
              <w:tl2br w:val="nil"/>
              <w:tr2bl w:val="nil"/>
            </w:tcBorders>
            <w:tcMar>
              <w:left w:w="60" w:type="dxa"/>
              <w:right w:w="60" w:type="dxa"/>
            </w:tcMar>
            <w:vAlign w:val="center"/>
          </w:tcPr>
          <w:p w14:paraId="01A5CB8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1 897</w:t>
            </w:r>
          </w:p>
        </w:tc>
        <w:tc>
          <w:tcPr>
            <w:tcW w:w="890" w:type="dxa"/>
            <w:tcBorders>
              <w:top w:val="nil"/>
              <w:left w:val="nil"/>
              <w:bottom w:val="nil"/>
              <w:right w:val="nil"/>
              <w:tl2br w:val="nil"/>
              <w:tr2bl w:val="nil"/>
            </w:tcBorders>
            <w:tcMar>
              <w:left w:w="60" w:type="dxa"/>
              <w:right w:w="60" w:type="dxa"/>
            </w:tcMar>
            <w:vAlign w:val="center"/>
          </w:tcPr>
          <w:p w14:paraId="507E87B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47 563</w:t>
            </w:r>
          </w:p>
        </w:tc>
        <w:tc>
          <w:tcPr>
            <w:tcW w:w="1365" w:type="dxa"/>
            <w:tcBorders>
              <w:top w:val="nil"/>
              <w:left w:val="nil"/>
              <w:bottom w:val="nil"/>
              <w:right w:val="nil"/>
              <w:tl2br w:val="nil"/>
              <w:tr2bl w:val="nil"/>
            </w:tcBorders>
            <w:tcMar>
              <w:left w:w="60" w:type="dxa"/>
              <w:right w:w="60" w:type="dxa"/>
            </w:tcMar>
            <w:vAlign w:val="center"/>
          </w:tcPr>
          <w:p w14:paraId="21292065"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96 601</w:t>
            </w:r>
          </w:p>
        </w:tc>
      </w:tr>
      <w:tr w:rsidR="00807FFE" w14:paraId="0B8CAFC0"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5E98A1DD"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3</w:t>
            </w:r>
          </w:p>
        </w:tc>
        <w:tc>
          <w:tcPr>
            <w:tcW w:w="3094" w:type="dxa"/>
            <w:tcBorders>
              <w:top w:val="nil"/>
              <w:left w:val="nil"/>
              <w:bottom w:val="nil"/>
              <w:right w:val="nil"/>
              <w:tl2br w:val="nil"/>
              <w:tr2bl w:val="nil"/>
            </w:tcBorders>
            <w:tcMar>
              <w:left w:w="60" w:type="dxa"/>
              <w:right w:w="60" w:type="dxa"/>
            </w:tcMar>
            <w:vAlign w:val="center"/>
          </w:tcPr>
          <w:p w14:paraId="20869712"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Natural Resources and Environment</w:t>
            </w:r>
          </w:p>
        </w:tc>
        <w:tc>
          <w:tcPr>
            <w:tcW w:w="1023" w:type="dxa"/>
            <w:tcBorders>
              <w:top w:val="nil"/>
              <w:left w:val="nil"/>
              <w:bottom w:val="nil"/>
              <w:right w:val="nil"/>
              <w:tl2br w:val="nil"/>
              <w:tr2bl w:val="nil"/>
            </w:tcBorders>
            <w:tcMar>
              <w:left w:w="60" w:type="dxa"/>
              <w:right w:w="60" w:type="dxa"/>
            </w:tcMar>
            <w:vAlign w:val="center"/>
          </w:tcPr>
          <w:p w14:paraId="665E43B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56 731</w:t>
            </w:r>
          </w:p>
        </w:tc>
        <w:tc>
          <w:tcPr>
            <w:tcW w:w="913" w:type="dxa"/>
            <w:tcBorders>
              <w:top w:val="nil"/>
              <w:left w:val="nil"/>
              <w:bottom w:val="nil"/>
              <w:right w:val="nil"/>
              <w:tl2br w:val="nil"/>
              <w:tr2bl w:val="nil"/>
            </w:tcBorders>
            <w:tcMar>
              <w:left w:w="60" w:type="dxa"/>
              <w:right w:w="60" w:type="dxa"/>
            </w:tcMar>
            <w:vAlign w:val="center"/>
          </w:tcPr>
          <w:p w14:paraId="49588378"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890" w:type="dxa"/>
            <w:tcBorders>
              <w:top w:val="nil"/>
              <w:left w:val="nil"/>
              <w:bottom w:val="nil"/>
              <w:right w:val="nil"/>
              <w:tl2br w:val="nil"/>
              <w:tr2bl w:val="nil"/>
            </w:tcBorders>
            <w:tcMar>
              <w:left w:w="60" w:type="dxa"/>
              <w:right w:w="60" w:type="dxa"/>
            </w:tcMar>
            <w:vAlign w:val="center"/>
          </w:tcPr>
          <w:p w14:paraId="63B87114"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56 700</w:t>
            </w:r>
          </w:p>
        </w:tc>
        <w:tc>
          <w:tcPr>
            <w:tcW w:w="690" w:type="dxa"/>
            <w:tcBorders>
              <w:top w:val="nil"/>
              <w:left w:val="nil"/>
              <w:bottom w:val="nil"/>
              <w:right w:val="nil"/>
              <w:tl2br w:val="nil"/>
              <w:tr2bl w:val="nil"/>
            </w:tcBorders>
            <w:tcMar>
              <w:left w:w="60" w:type="dxa"/>
              <w:right w:w="60" w:type="dxa"/>
            </w:tcMar>
            <w:vAlign w:val="center"/>
          </w:tcPr>
          <w:p w14:paraId="35D6E7FB"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366</w:t>
            </w:r>
          </w:p>
        </w:tc>
        <w:tc>
          <w:tcPr>
            <w:tcW w:w="957" w:type="dxa"/>
            <w:tcBorders>
              <w:top w:val="nil"/>
              <w:left w:val="nil"/>
              <w:bottom w:val="nil"/>
              <w:right w:val="nil"/>
              <w:tl2br w:val="nil"/>
              <w:tr2bl w:val="nil"/>
            </w:tcBorders>
            <w:tcMar>
              <w:left w:w="60" w:type="dxa"/>
              <w:right w:w="60" w:type="dxa"/>
            </w:tcMar>
            <w:vAlign w:val="center"/>
          </w:tcPr>
          <w:p w14:paraId="108E4840"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1 894</w:t>
            </w:r>
          </w:p>
        </w:tc>
        <w:tc>
          <w:tcPr>
            <w:tcW w:w="1005" w:type="dxa"/>
            <w:tcBorders>
              <w:top w:val="nil"/>
              <w:left w:val="nil"/>
              <w:bottom w:val="nil"/>
              <w:right w:val="nil"/>
              <w:tl2br w:val="nil"/>
              <w:tr2bl w:val="nil"/>
            </w:tcBorders>
            <w:tcMar>
              <w:left w:w="60" w:type="dxa"/>
              <w:right w:w="60" w:type="dxa"/>
            </w:tcMar>
            <w:vAlign w:val="center"/>
          </w:tcPr>
          <w:p w14:paraId="3D767E57"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58 961</w:t>
            </w:r>
          </w:p>
        </w:tc>
        <w:tc>
          <w:tcPr>
            <w:tcW w:w="887" w:type="dxa"/>
            <w:tcBorders>
              <w:top w:val="nil"/>
              <w:left w:val="nil"/>
              <w:bottom w:val="nil"/>
              <w:right w:val="nil"/>
              <w:tl2br w:val="nil"/>
              <w:tr2bl w:val="nil"/>
            </w:tcBorders>
            <w:tcMar>
              <w:left w:w="60" w:type="dxa"/>
              <w:right w:w="60" w:type="dxa"/>
            </w:tcMar>
            <w:vAlign w:val="center"/>
          </w:tcPr>
          <w:p w14:paraId="05D9A733"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52 092</w:t>
            </w:r>
          </w:p>
        </w:tc>
        <w:tc>
          <w:tcPr>
            <w:tcW w:w="913" w:type="dxa"/>
            <w:tcBorders>
              <w:top w:val="nil"/>
              <w:left w:val="nil"/>
              <w:bottom w:val="nil"/>
              <w:right w:val="nil"/>
              <w:tl2br w:val="nil"/>
              <w:tr2bl w:val="nil"/>
            </w:tcBorders>
            <w:tcMar>
              <w:left w:w="60" w:type="dxa"/>
              <w:right w:w="60" w:type="dxa"/>
            </w:tcMar>
            <w:vAlign w:val="center"/>
          </w:tcPr>
          <w:p w14:paraId="09F00FF8"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3 948</w:t>
            </w:r>
          </w:p>
        </w:tc>
        <w:tc>
          <w:tcPr>
            <w:tcW w:w="875" w:type="dxa"/>
            <w:tcBorders>
              <w:top w:val="nil"/>
              <w:left w:val="nil"/>
              <w:bottom w:val="nil"/>
              <w:right w:val="nil"/>
              <w:tl2br w:val="nil"/>
              <w:tr2bl w:val="nil"/>
            </w:tcBorders>
            <w:tcMar>
              <w:left w:w="60" w:type="dxa"/>
              <w:right w:w="60" w:type="dxa"/>
            </w:tcMar>
            <w:vAlign w:val="center"/>
          </w:tcPr>
          <w:p w14:paraId="59A158A9"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56 039</w:t>
            </w:r>
          </w:p>
        </w:tc>
        <w:tc>
          <w:tcPr>
            <w:tcW w:w="887" w:type="dxa"/>
            <w:tcBorders>
              <w:top w:val="nil"/>
              <w:left w:val="nil"/>
              <w:bottom w:val="nil"/>
              <w:right w:val="nil"/>
              <w:tl2br w:val="nil"/>
              <w:tr2bl w:val="nil"/>
            </w:tcBorders>
            <w:tcMar>
              <w:left w:w="60" w:type="dxa"/>
              <w:right w:w="60" w:type="dxa"/>
            </w:tcMar>
            <w:vAlign w:val="center"/>
          </w:tcPr>
          <w:p w14:paraId="1DD334BF"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375</w:t>
            </w:r>
          </w:p>
        </w:tc>
        <w:tc>
          <w:tcPr>
            <w:tcW w:w="890" w:type="dxa"/>
            <w:tcBorders>
              <w:top w:val="nil"/>
              <w:left w:val="nil"/>
              <w:bottom w:val="nil"/>
              <w:right w:val="nil"/>
              <w:tl2br w:val="nil"/>
              <w:tr2bl w:val="nil"/>
            </w:tcBorders>
            <w:tcMar>
              <w:left w:w="60" w:type="dxa"/>
              <w:right w:w="60" w:type="dxa"/>
            </w:tcMar>
            <w:vAlign w:val="center"/>
          </w:tcPr>
          <w:p w14:paraId="4A9B45B3"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4 914</w:t>
            </w:r>
          </w:p>
        </w:tc>
        <w:tc>
          <w:tcPr>
            <w:tcW w:w="1365" w:type="dxa"/>
            <w:tcBorders>
              <w:top w:val="nil"/>
              <w:left w:val="nil"/>
              <w:bottom w:val="nil"/>
              <w:right w:val="nil"/>
              <w:tl2br w:val="nil"/>
              <w:tr2bl w:val="nil"/>
            </w:tcBorders>
            <w:tcMar>
              <w:left w:w="60" w:type="dxa"/>
              <w:right w:w="60" w:type="dxa"/>
            </w:tcMar>
            <w:vAlign w:val="center"/>
          </w:tcPr>
          <w:p w14:paraId="41CDB45A"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61 329</w:t>
            </w:r>
          </w:p>
        </w:tc>
      </w:tr>
      <w:tr w:rsidR="00807FFE" w14:paraId="27F3FC24"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2F3EFE11"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4</w:t>
            </w:r>
          </w:p>
        </w:tc>
        <w:tc>
          <w:tcPr>
            <w:tcW w:w="3094" w:type="dxa"/>
            <w:tcBorders>
              <w:top w:val="nil"/>
              <w:left w:val="nil"/>
              <w:bottom w:val="nil"/>
              <w:right w:val="nil"/>
              <w:tl2br w:val="nil"/>
              <w:tr2bl w:val="nil"/>
            </w:tcBorders>
            <w:tcMar>
              <w:left w:w="60" w:type="dxa"/>
              <w:right w:w="60" w:type="dxa"/>
            </w:tcMar>
            <w:vAlign w:val="center"/>
          </w:tcPr>
          <w:p w14:paraId="1EA59730"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Migration and Border Management</w:t>
            </w:r>
          </w:p>
        </w:tc>
        <w:tc>
          <w:tcPr>
            <w:tcW w:w="1023" w:type="dxa"/>
            <w:tcBorders>
              <w:top w:val="nil"/>
              <w:left w:val="nil"/>
              <w:bottom w:val="nil"/>
              <w:right w:val="nil"/>
              <w:tl2br w:val="nil"/>
              <w:tr2bl w:val="nil"/>
            </w:tcBorders>
            <w:tcMar>
              <w:left w:w="60" w:type="dxa"/>
              <w:right w:w="60" w:type="dxa"/>
            </w:tcMar>
            <w:vAlign w:val="center"/>
          </w:tcPr>
          <w:p w14:paraId="51A5CB14"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4 791</w:t>
            </w:r>
          </w:p>
        </w:tc>
        <w:tc>
          <w:tcPr>
            <w:tcW w:w="913" w:type="dxa"/>
            <w:tcBorders>
              <w:top w:val="nil"/>
              <w:left w:val="nil"/>
              <w:bottom w:val="nil"/>
              <w:right w:val="nil"/>
              <w:tl2br w:val="nil"/>
              <w:tr2bl w:val="nil"/>
            </w:tcBorders>
            <w:tcMar>
              <w:left w:w="60" w:type="dxa"/>
              <w:right w:w="60" w:type="dxa"/>
            </w:tcMar>
            <w:vAlign w:val="center"/>
          </w:tcPr>
          <w:p w14:paraId="606C9269"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(146)</w:t>
            </w:r>
          </w:p>
        </w:tc>
        <w:tc>
          <w:tcPr>
            <w:tcW w:w="890" w:type="dxa"/>
            <w:tcBorders>
              <w:top w:val="nil"/>
              <w:left w:val="nil"/>
              <w:bottom w:val="nil"/>
              <w:right w:val="nil"/>
              <w:tl2br w:val="nil"/>
              <w:tr2bl w:val="nil"/>
            </w:tcBorders>
            <w:tcMar>
              <w:left w:w="60" w:type="dxa"/>
              <w:right w:w="60" w:type="dxa"/>
            </w:tcMar>
            <w:vAlign w:val="center"/>
          </w:tcPr>
          <w:p w14:paraId="40399F4F"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4 645</w:t>
            </w:r>
          </w:p>
        </w:tc>
        <w:tc>
          <w:tcPr>
            <w:tcW w:w="690" w:type="dxa"/>
            <w:tcBorders>
              <w:top w:val="nil"/>
              <w:left w:val="nil"/>
              <w:bottom w:val="nil"/>
              <w:right w:val="nil"/>
              <w:tl2br w:val="nil"/>
              <w:tr2bl w:val="nil"/>
            </w:tcBorders>
            <w:tcMar>
              <w:left w:w="60" w:type="dxa"/>
              <w:right w:w="60" w:type="dxa"/>
            </w:tcMar>
            <w:vAlign w:val="center"/>
          </w:tcPr>
          <w:p w14:paraId="7DA17961"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7" w:type="dxa"/>
            <w:tcBorders>
              <w:top w:val="nil"/>
              <w:left w:val="nil"/>
              <w:bottom w:val="nil"/>
              <w:right w:val="nil"/>
              <w:tl2br w:val="nil"/>
              <w:tr2bl w:val="nil"/>
            </w:tcBorders>
            <w:tcMar>
              <w:left w:w="60" w:type="dxa"/>
              <w:right w:w="60" w:type="dxa"/>
            </w:tcMar>
            <w:vAlign w:val="center"/>
          </w:tcPr>
          <w:p w14:paraId="36BA7CB8"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693</w:t>
            </w:r>
          </w:p>
        </w:tc>
        <w:tc>
          <w:tcPr>
            <w:tcW w:w="1005" w:type="dxa"/>
            <w:tcBorders>
              <w:top w:val="nil"/>
              <w:left w:val="nil"/>
              <w:bottom w:val="nil"/>
              <w:right w:val="nil"/>
              <w:tl2br w:val="nil"/>
              <w:tr2bl w:val="nil"/>
            </w:tcBorders>
            <w:tcMar>
              <w:left w:w="60" w:type="dxa"/>
              <w:right w:w="60" w:type="dxa"/>
            </w:tcMar>
            <w:vAlign w:val="center"/>
          </w:tcPr>
          <w:p w14:paraId="2B4F69B3"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5 338</w:t>
            </w:r>
          </w:p>
        </w:tc>
        <w:tc>
          <w:tcPr>
            <w:tcW w:w="887" w:type="dxa"/>
            <w:tcBorders>
              <w:top w:val="nil"/>
              <w:left w:val="nil"/>
              <w:bottom w:val="nil"/>
              <w:right w:val="nil"/>
              <w:tl2br w:val="nil"/>
              <w:tr2bl w:val="nil"/>
            </w:tcBorders>
            <w:tcMar>
              <w:left w:w="60" w:type="dxa"/>
              <w:right w:w="60" w:type="dxa"/>
            </w:tcMar>
            <w:vAlign w:val="center"/>
          </w:tcPr>
          <w:p w14:paraId="2096BD1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3 204</w:t>
            </w:r>
          </w:p>
        </w:tc>
        <w:tc>
          <w:tcPr>
            <w:tcW w:w="913" w:type="dxa"/>
            <w:tcBorders>
              <w:top w:val="nil"/>
              <w:left w:val="nil"/>
              <w:bottom w:val="nil"/>
              <w:right w:val="nil"/>
              <w:tl2br w:val="nil"/>
              <w:tr2bl w:val="nil"/>
            </w:tcBorders>
            <w:tcMar>
              <w:left w:w="60" w:type="dxa"/>
              <w:right w:w="60" w:type="dxa"/>
            </w:tcMar>
            <w:vAlign w:val="center"/>
          </w:tcPr>
          <w:p w14:paraId="51E1C725"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360</w:t>
            </w:r>
          </w:p>
        </w:tc>
        <w:tc>
          <w:tcPr>
            <w:tcW w:w="875" w:type="dxa"/>
            <w:tcBorders>
              <w:top w:val="nil"/>
              <w:left w:val="nil"/>
              <w:bottom w:val="nil"/>
              <w:right w:val="nil"/>
              <w:tl2br w:val="nil"/>
              <w:tr2bl w:val="nil"/>
            </w:tcBorders>
            <w:tcMar>
              <w:left w:w="60" w:type="dxa"/>
              <w:right w:w="60" w:type="dxa"/>
            </w:tcMar>
            <w:vAlign w:val="center"/>
          </w:tcPr>
          <w:p w14:paraId="5DA1A677"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3 564</w:t>
            </w:r>
          </w:p>
        </w:tc>
        <w:tc>
          <w:tcPr>
            <w:tcW w:w="887" w:type="dxa"/>
            <w:tcBorders>
              <w:top w:val="nil"/>
              <w:left w:val="nil"/>
              <w:bottom w:val="nil"/>
              <w:right w:val="nil"/>
              <w:tl2br w:val="nil"/>
              <w:tr2bl w:val="nil"/>
            </w:tcBorders>
            <w:tcMar>
              <w:left w:w="60" w:type="dxa"/>
              <w:right w:w="60" w:type="dxa"/>
            </w:tcMar>
            <w:vAlign w:val="center"/>
          </w:tcPr>
          <w:p w14:paraId="1D7BFCC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890" w:type="dxa"/>
            <w:tcBorders>
              <w:top w:val="nil"/>
              <w:left w:val="nil"/>
              <w:bottom w:val="nil"/>
              <w:right w:val="nil"/>
              <w:tl2br w:val="nil"/>
              <w:tr2bl w:val="nil"/>
            </w:tcBorders>
            <w:tcMar>
              <w:left w:w="60" w:type="dxa"/>
              <w:right w:w="60" w:type="dxa"/>
            </w:tcMar>
            <w:vAlign w:val="center"/>
          </w:tcPr>
          <w:p w14:paraId="389CEDBB"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794</w:t>
            </w:r>
          </w:p>
        </w:tc>
        <w:tc>
          <w:tcPr>
            <w:tcW w:w="1365" w:type="dxa"/>
            <w:tcBorders>
              <w:top w:val="nil"/>
              <w:left w:val="nil"/>
              <w:bottom w:val="nil"/>
              <w:right w:val="nil"/>
              <w:tl2br w:val="nil"/>
              <w:tr2bl w:val="nil"/>
            </w:tcBorders>
            <w:tcMar>
              <w:left w:w="60" w:type="dxa"/>
              <w:right w:w="60" w:type="dxa"/>
            </w:tcMar>
            <w:vAlign w:val="center"/>
          </w:tcPr>
          <w:p w14:paraId="7758E271"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4 386</w:t>
            </w:r>
          </w:p>
        </w:tc>
      </w:tr>
      <w:tr w:rsidR="00807FFE" w14:paraId="2599337D"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561CCAEB"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5</w:t>
            </w:r>
          </w:p>
        </w:tc>
        <w:tc>
          <w:tcPr>
            <w:tcW w:w="3094" w:type="dxa"/>
            <w:tcBorders>
              <w:top w:val="nil"/>
              <w:left w:val="nil"/>
              <w:bottom w:val="nil"/>
              <w:right w:val="nil"/>
              <w:tl2br w:val="nil"/>
              <w:tr2bl w:val="nil"/>
            </w:tcBorders>
            <w:tcMar>
              <w:left w:w="60" w:type="dxa"/>
              <w:right w:w="60" w:type="dxa"/>
            </w:tcMar>
            <w:vAlign w:val="center"/>
          </w:tcPr>
          <w:p w14:paraId="29A16B0B"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Security and Defence</w:t>
            </w:r>
          </w:p>
        </w:tc>
        <w:tc>
          <w:tcPr>
            <w:tcW w:w="1023" w:type="dxa"/>
            <w:tcBorders>
              <w:top w:val="nil"/>
              <w:left w:val="nil"/>
              <w:bottom w:val="nil"/>
              <w:right w:val="nil"/>
              <w:tl2br w:val="nil"/>
              <w:tr2bl w:val="nil"/>
            </w:tcBorders>
            <w:tcMar>
              <w:left w:w="60" w:type="dxa"/>
              <w:right w:w="60" w:type="dxa"/>
            </w:tcMar>
            <w:vAlign w:val="center"/>
          </w:tcPr>
          <w:p w14:paraId="30945E63"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2 633</w:t>
            </w:r>
          </w:p>
        </w:tc>
        <w:tc>
          <w:tcPr>
            <w:tcW w:w="913" w:type="dxa"/>
            <w:tcBorders>
              <w:top w:val="nil"/>
              <w:left w:val="nil"/>
              <w:bottom w:val="nil"/>
              <w:right w:val="nil"/>
              <w:tl2br w:val="nil"/>
              <w:tr2bl w:val="nil"/>
            </w:tcBorders>
            <w:tcMar>
              <w:left w:w="60" w:type="dxa"/>
              <w:right w:w="60" w:type="dxa"/>
            </w:tcMar>
            <w:vAlign w:val="center"/>
          </w:tcPr>
          <w:p w14:paraId="46F5CA31"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0" w:type="dxa"/>
            <w:tcBorders>
              <w:top w:val="nil"/>
              <w:left w:val="nil"/>
              <w:bottom w:val="nil"/>
              <w:right w:val="nil"/>
              <w:tl2br w:val="nil"/>
              <w:tr2bl w:val="nil"/>
            </w:tcBorders>
            <w:tcMar>
              <w:left w:w="60" w:type="dxa"/>
              <w:right w:w="60" w:type="dxa"/>
            </w:tcMar>
            <w:vAlign w:val="center"/>
          </w:tcPr>
          <w:p w14:paraId="5E5A858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2 633</w:t>
            </w:r>
          </w:p>
        </w:tc>
        <w:tc>
          <w:tcPr>
            <w:tcW w:w="690" w:type="dxa"/>
            <w:tcBorders>
              <w:top w:val="nil"/>
              <w:left w:val="nil"/>
              <w:bottom w:val="nil"/>
              <w:right w:val="nil"/>
              <w:tl2br w:val="nil"/>
              <w:tr2bl w:val="nil"/>
            </w:tcBorders>
            <w:tcMar>
              <w:left w:w="60" w:type="dxa"/>
              <w:right w:w="60" w:type="dxa"/>
            </w:tcMar>
            <w:vAlign w:val="center"/>
          </w:tcPr>
          <w:p w14:paraId="51C26490"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7" w:type="dxa"/>
            <w:tcBorders>
              <w:top w:val="nil"/>
              <w:left w:val="nil"/>
              <w:bottom w:val="nil"/>
              <w:right w:val="nil"/>
              <w:tl2br w:val="nil"/>
              <w:tr2bl w:val="nil"/>
            </w:tcBorders>
            <w:tcMar>
              <w:left w:w="60" w:type="dxa"/>
              <w:right w:w="60" w:type="dxa"/>
            </w:tcMar>
            <w:vAlign w:val="center"/>
          </w:tcPr>
          <w:p w14:paraId="2998C93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1005" w:type="dxa"/>
            <w:tcBorders>
              <w:top w:val="nil"/>
              <w:left w:val="nil"/>
              <w:bottom w:val="nil"/>
              <w:right w:val="nil"/>
              <w:tl2br w:val="nil"/>
              <w:tr2bl w:val="nil"/>
            </w:tcBorders>
            <w:tcMar>
              <w:left w:w="60" w:type="dxa"/>
              <w:right w:w="60" w:type="dxa"/>
            </w:tcMar>
            <w:vAlign w:val="center"/>
          </w:tcPr>
          <w:p w14:paraId="656B57AE"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2 742</w:t>
            </w:r>
          </w:p>
        </w:tc>
        <w:tc>
          <w:tcPr>
            <w:tcW w:w="887" w:type="dxa"/>
            <w:tcBorders>
              <w:top w:val="nil"/>
              <w:left w:val="nil"/>
              <w:bottom w:val="nil"/>
              <w:right w:val="nil"/>
              <w:tl2br w:val="nil"/>
              <w:tr2bl w:val="nil"/>
            </w:tcBorders>
            <w:tcMar>
              <w:left w:w="60" w:type="dxa"/>
              <w:right w:w="60" w:type="dxa"/>
            </w:tcMar>
            <w:vAlign w:val="center"/>
          </w:tcPr>
          <w:p w14:paraId="620FAA37"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2 143</w:t>
            </w:r>
          </w:p>
        </w:tc>
        <w:tc>
          <w:tcPr>
            <w:tcW w:w="913" w:type="dxa"/>
            <w:tcBorders>
              <w:top w:val="nil"/>
              <w:left w:val="nil"/>
              <w:bottom w:val="nil"/>
              <w:right w:val="nil"/>
              <w:tl2br w:val="nil"/>
              <w:tr2bl w:val="nil"/>
            </w:tcBorders>
            <w:tcMar>
              <w:left w:w="60" w:type="dxa"/>
              <w:right w:w="60" w:type="dxa"/>
            </w:tcMar>
            <w:vAlign w:val="center"/>
          </w:tcPr>
          <w:p w14:paraId="0E01F16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(304)</w:t>
            </w:r>
          </w:p>
        </w:tc>
        <w:tc>
          <w:tcPr>
            <w:tcW w:w="875" w:type="dxa"/>
            <w:tcBorders>
              <w:top w:val="nil"/>
              <w:left w:val="nil"/>
              <w:bottom w:val="nil"/>
              <w:right w:val="nil"/>
              <w:tl2br w:val="nil"/>
              <w:tr2bl w:val="nil"/>
            </w:tcBorders>
            <w:tcMar>
              <w:left w:w="60" w:type="dxa"/>
              <w:right w:w="60" w:type="dxa"/>
            </w:tcMar>
            <w:vAlign w:val="center"/>
          </w:tcPr>
          <w:p w14:paraId="7B979638"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1 839</w:t>
            </w:r>
          </w:p>
        </w:tc>
        <w:tc>
          <w:tcPr>
            <w:tcW w:w="887" w:type="dxa"/>
            <w:tcBorders>
              <w:top w:val="nil"/>
              <w:left w:val="nil"/>
              <w:bottom w:val="nil"/>
              <w:right w:val="nil"/>
              <w:tl2br w:val="nil"/>
              <w:tr2bl w:val="nil"/>
            </w:tcBorders>
            <w:tcMar>
              <w:left w:w="60" w:type="dxa"/>
              <w:right w:w="60" w:type="dxa"/>
            </w:tcMar>
            <w:vAlign w:val="center"/>
          </w:tcPr>
          <w:p w14:paraId="016AE85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90" w:type="dxa"/>
            <w:tcBorders>
              <w:top w:val="nil"/>
              <w:left w:val="nil"/>
              <w:bottom w:val="nil"/>
              <w:right w:val="nil"/>
              <w:tl2br w:val="nil"/>
              <w:tr2bl w:val="nil"/>
            </w:tcBorders>
            <w:tcMar>
              <w:left w:w="60" w:type="dxa"/>
              <w:right w:w="60" w:type="dxa"/>
            </w:tcMar>
            <w:vAlign w:val="center"/>
          </w:tcPr>
          <w:p w14:paraId="7D5F3C9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103</w:t>
            </w:r>
          </w:p>
        </w:tc>
        <w:tc>
          <w:tcPr>
            <w:tcW w:w="1365" w:type="dxa"/>
            <w:tcBorders>
              <w:top w:val="nil"/>
              <w:left w:val="nil"/>
              <w:bottom w:val="nil"/>
              <w:right w:val="nil"/>
              <w:tl2br w:val="nil"/>
              <w:tr2bl w:val="nil"/>
            </w:tcBorders>
            <w:tcMar>
              <w:left w:w="60" w:type="dxa"/>
              <w:right w:w="60" w:type="dxa"/>
            </w:tcMar>
            <w:vAlign w:val="center"/>
          </w:tcPr>
          <w:p w14:paraId="49A3A261"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1 947</w:t>
            </w:r>
          </w:p>
        </w:tc>
      </w:tr>
      <w:tr w:rsidR="00807FFE" w14:paraId="3DB2C8FF"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01590A7F"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6</w:t>
            </w:r>
          </w:p>
        </w:tc>
        <w:tc>
          <w:tcPr>
            <w:tcW w:w="3094" w:type="dxa"/>
            <w:tcBorders>
              <w:top w:val="nil"/>
              <w:left w:val="nil"/>
              <w:bottom w:val="nil"/>
              <w:right w:val="nil"/>
              <w:tl2br w:val="nil"/>
              <w:tr2bl w:val="nil"/>
            </w:tcBorders>
            <w:tcMar>
              <w:left w:w="60" w:type="dxa"/>
              <w:right w:w="60" w:type="dxa"/>
            </w:tcMar>
            <w:vAlign w:val="center"/>
          </w:tcPr>
          <w:p w14:paraId="4FF45392"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Neighbourhood and the World</w:t>
            </w:r>
          </w:p>
        </w:tc>
        <w:tc>
          <w:tcPr>
            <w:tcW w:w="1023" w:type="dxa"/>
            <w:tcBorders>
              <w:top w:val="nil"/>
              <w:left w:val="nil"/>
              <w:bottom w:val="nil"/>
              <w:right w:val="nil"/>
              <w:tl2br w:val="nil"/>
              <w:tr2bl w:val="nil"/>
            </w:tcBorders>
            <w:tcMar>
              <w:left w:w="60" w:type="dxa"/>
              <w:right w:w="60" w:type="dxa"/>
            </w:tcMar>
            <w:vAlign w:val="center"/>
          </w:tcPr>
          <w:p w14:paraId="6B36F309"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16 308</w:t>
            </w:r>
          </w:p>
        </w:tc>
        <w:tc>
          <w:tcPr>
            <w:tcW w:w="913" w:type="dxa"/>
            <w:tcBorders>
              <w:top w:val="nil"/>
              <w:left w:val="nil"/>
              <w:bottom w:val="nil"/>
              <w:right w:val="nil"/>
              <w:tl2br w:val="nil"/>
              <w:tr2bl w:val="nil"/>
            </w:tcBorders>
            <w:tcMar>
              <w:left w:w="60" w:type="dxa"/>
              <w:right w:w="60" w:type="dxa"/>
            </w:tcMar>
            <w:vAlign w:val="center"/>
          </w:tcPr>
          <w:p w14:paraId="3616944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90" w:type="dxa"/>
            <w:tcBorders>
              <w:top w:val="nil"/>
              <w:left w:val="nil"/>
              <w:bottom w:val="nil"/>
              <w:right w:val="nil"/>
              <w:tl2br w:val="nil"/>
              <w:tr2bl w:val="nil"/>
            </w:tcBorders>
            <w:tcMar>
              <w:left w:w="60" w:type="dxa"/>
              <w:right w:w="60" w:type="dxa"/>
            </w:tcMar>
            <w:vAlign w:val="center"/>
          </w:tcPr>
          <w:p w14:paraId="1B4288B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16 892</w:t>
            </w:r>
          </w:p>
        </w:tc>
        <w:tc>
          <w:tcPr>
            <w:tcW w:w="690" w:type="dxa"/>
            <w:tcBorders>
              <w:top w:val="nil"/>
              <w:left w:val="nil"/>
              <w:bottom w:val="nil"/>
              <w:right w:val="nil"/>
              <w:tl2br w:val="nil"/>
              <w:tr2bl w:val="nil"/>
            </w:tcBorders>
            <w:tcMar>
              <w:left w:w="60" w:type="dxa"/>
              <w:right w:w="60" w:type="dxa"/>
            </w:tcMar>
            <w:vAlign w:val="center"/>
          </w:tcPr>
          <w:p w14:paraId="628374B3"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970</w:t>
            </w:r>
          </w:p>
        </w:tc>
        <w:tc>
          <w:tcPr>
            <w:tcW w:w="957" w:type="dxa"/>
            <w:tcBorders>
              <w:top w:val="nil"/>
              <w:left w:val="nil"/>
              <w:bottom w:val="nil"/>
              <w:right w:val="nil"/>
              <w:tl2br w:val="nil"/>
              <w:tr2bl w:val="nil"/>
            </w:tcBorders>
            <w:tcMar>
              <w:left w:w="60" w:type="dxa"/>
              <w:right w:w="60" w:type="dxa"/>
            </w:tcMar>
            <w:vAlign w:val="center"/>
          </w:tcPr>
          <w:p w14:paraId="6820D4E9"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2 966</w:t>
            </w:r>
          </w:p>
        </w:tc>
        <w:tc>
          <w:tcPr>
            <w:tcW w:w="1005" w:type="dxa"/>
            <w:tcBorders>
              <w:top w:val="nil"/>
              <w:left w:val="nil"/>
              <w:bottom w:val="nil"/>
              <w:right w:val="nil"/>
              <w:tl2br w:val="nil"/>
              <w:tr2bl w:val="nil"/>
            </w:tcBorders>
            <w:tcMar>
              <w:left w:w="60" w:type="dxa"/>
              <w:right w:w="60" w:type="dxa"/>
            </w:tcMar>
            <w:vAlign w:val="center"/>
          </w:tcPr>
          <w:p w14:paraId="4E94DF5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20 828</w:t>
            </w:r>
          </w:p>
        </w:tc>
        <w:tc>
          <w:tcPr>
            <w:tcW w:w="887" w:type="dxa"/>
            <w:tcBorders>
              <w:top w:val="nil"/>
              <w:left w:val="nil"/>
              <w:bottom w:val="nil"/>
              <w:right w:val="nil"/>
              <w:tl2br w:val="nil"/>
              <w:tr2bl w:val="nil"/>
            </w:tcBorders>
            <w:tcMar>
              <w:left w:w="60" w:type="dxa"/>
              <w:right w:w="60" w:type="dxa"/>
            </w:tcMar>
            <w:vAlign w:val="center"/>
          </w:tcPr>
          <w:p w14:paraId="4048C74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14 426</w:t>
            </w:r>
          </w:p>
        </w:tc>
        <w:tc>
          <w:tcPr>
            <w:tcW w:w="913" w:type="dxa"/>
            <w:tcBorders>
              <w:top w:val="nil"/>
              <w:left w:val="nil"/>
              <w:bottom w:val="nil"/>
              <w:right w:val="nil"/>
              <w:tl2br w:val="nil"/>
              <w:tr2bl w:val="nil"/>
            </w:tcBorders>
            <w:tcMar>
              <w:left w:w="60" w:type="dxa"/>
              <w:right w:w="60" w:type="dxa"/>
            </w:tcMar>
            <w:vAlign w:val="center"/>
          </w:tcPr>
          <w:p w14:paraId="4311AAE3"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75" w:type="dxa"/>
            <w:tcBorders>
              <w:top w:val="nil"/>
              <w:left w:val="nil"/>
              <w:bottom w:val="nil"/>
              <w:right w:val="nil"/>
              <w:tl2br w:val="nil"/>
              <w:tr2bl w:val="nil"/>
            </w:tcBorders>
            <w:tcMar>
              <w:left w:w="60" w:type="dxa"/>
              <w:right w:w="60" w:type="dxa"/>
            </w:tcMar>
            <w:vAlign w:val="center"/>
          </w:tcPr>
          <w:p w14:paraId="17D593DE"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15 010</w:t>
            </w:r>
          </w:p>
        </w:tc>
        <w:tc>
          <w:tcPr>
            <w:tcW w:w="887" w:type="dxa"/>
            <w:tcBorders>
              <w:top w:val="nil"/>
              <w:left w:val="nil"/>
              <w:bottom w:val="nil"/>
              <w:right w:val="nil"/>
              <w:tl2br w:val="nil"/>
              <w:tr2bl w:val="nil"/>
            </w:tcBorders>
            <w:tcMar>
              <w:left w:w="60" w:type="dxa"/>
              <w:right w:w="60" w:type="dxa"/>
            </w:tcMar>
            <w:vAlign w:val="center"/>
          </w:tcPr>
          <w:p w14:paraId="77967779"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890" w:type="dxa"/>
            <w:tcBorders>
              <w:top w:val="nil"/>
              <w:left w:val="nil"/>
              <w:bottom w:val="nil"/>
              <w:right w:val="nil"/>
              <w:tl2br w:val="nil"/>
              <w:tr2bl w:val="nil"/>
            </w:tcBorders>
            <w:tcMar>
              <w:left w:w="60" w:type="dxa"/>
              <w:right w:w="60" w:type="dxa"/>
            </w:tcMar>
            <w:vAlign w:val="center"/>
          </w:tcPr>
          <w:p w14:paraId="62725644"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3 343</w:t>
            </w:r>
          </w:p>
        </w:tc>
        <w:tc>
          <w:tcPr>
            <w:tcW w:w="1365" w:type="dxa"/>
            <w:tcBorders>
              <w:top w:val="nil"/>
              <w:left w:val="nil"/>
              <w:bottom w:val="nil"/>
              <w:right w:val="nil"/>
              <w:tl2br w:val="nil"/>
              <w:tr2bl w:val="nil"/>
            </w:tcBorders>
            <w:tcMar>
              <w:left w:w="60" w:type="dxa"/>
              <w:right w:w="60" w:type="dxa"/>
            </w:tcMar>
            <w:vAlign w:val="center"/>
          </w:tcPr>
          <w:p w14:paraId="57644B8A"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18 469</w:t>
            </w:r>
          </w:p>
        </w:tc>
      </w:tr>
      <w:tr w:rsidR="00807FFE" w14:paraId="6FF7FBB3"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0ED5ACA4"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7</w:t>
            </w:r>
          </w:p>
        </w:tc>
        <w:tc>
          <w:tcPr>
            <w:tcW w:w="3094" w:type="dxa"/>
            <w:tcBorders>
              <w:top w:val="nil"/>
              <w:left w:val="nil"/>
              <w:bottom w:val="nil"/>
              <w:right w:val="nil"/>
              <w:tl2br w:val="nil"/>
              <w:tr2bl w:val="nil"/>
            </w:tcBorders>
            <w:tcMar>
              <w:left w:w="60" w:type="dxa"/>
              <w:right w:w="60" w:type="dxa"/>
            </w:tcMar>
            <w:vAlign w:val="center"/>
          </w:tcPr>
          <w:p w14:paraId="364CC66D"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European Public Administration</w:t>
            </w:r>
          </w:p>
        </w:tc>
        <w:tc>
          <w:tcPr>
            <w:tcW w:w="1023" w:type="dxa"/>
            <w:tcBorders>
              <w:top w:val="nil"/>
              <w:left w:val="nil"/>
              <w:bottom w:val="nil"/>
              <w:right w:val="nil"/>
              <w:tl2br w:val="nil"/>
              <w:tr2bl w:val="nil"/>
            </w:tcBorders>
            <w:tcMar>
              <w:left w:w="60" w:type="dxa"/>
              <w:right w:w="60" w:type="dxa"/>
            </w:tcMar>
            <w:vAlign w:val="center"/>
          </w:tcPr>
          <w:p w14:paraId="3A651BF0"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12 845</w:t>
            </w:r>
          </w:p>
        </w:tc>
        <w:tc>
          <w:tcPr>
            <w:tcW w:w="913" w:type="dxa"/>
            <w:tcBorders>
              <w:top w:val="nil"/>
              <w:left w:val="nil"/>
              <w:bottom w:val="nil"/>
              <w:right w:val="nil"/>
              <w:tl2br w:val="nil"/>
              <w:tr2bl w:val="nil"/>
            </w:tcBorders>
            <w:tcMar>
              <w:left w:w="60" w:type="dxa"/>
              <w:right w:w="60" w:type="dxa"/>
            </w:tcMar>
            <w:vAlign w:val="center"/>
          </w:tcPr>
          <w:p w14:paraId="53EDA5F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890" w:type="dxa"/>
            <w:tcBorders>
              <w:top w:val="nil"/>
              <w:left w:val="nil"/>
              <w:bottom w:val="nil"/>
              <w:right w:val="nil"/>
              <w:tl2br w:val="nil"/>
              <w:tr2bl w:val="nil"/>
            </w:tcBorders>
            <w:tcMar>
              <w:left w:w="60" w:type="dxa"/>
              <w:right w:w="60" w:type="dxa"/>
            </w:tcMar>
            <w:vAlign w:val="center"/>
          </w:tcPr>
          <w:p w14:paraId="5F0413FF"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12 766</w:t>
            </w:r>
          </w:p>
        </w:tc>
        <w:tc>
          <w:tcPr>
            <w:tcW w:w="690" w:type="dxa"/>
            <w:tcBorders>
              <w:top w:val="nil"/>
              <w:left w:val="nil"/>
              <w:bottom w:val="nil"/>
              <w:right w:val="nil"/>
              <w:tl2br w:val="nil"/>
              <w:tr2bl w:val="nil"/>
            </w:tcBorders>
            <w:tcMar>
              <w:left w:w="60" w:type="dxa"/>
              <w:right w:w="60" w:type="dxa"/>
            </w:tcMar>
            <w:vAlign w:val="center"/>
          </w:tcPr>
          <w:p w14:paraId="3A800ABC"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57" w:type="dxa"/>
            <w:tcBorders>
              <w:top w:val="nil"/>
              <w:left w:val="nil"/>
              <w:bottom w:val="nil"/>
              <w:right w:val="nil"/>
              <w:tl2br w:val="nil"/>
              <w:tr2bl w:val="nil"/>
            </w:tcBorders>
            <w:tcMar>
              <w:left w:w="60" w:type="dxa"/>
              <w:right w:w="60" w:type="dxa"/>
            </w:tcMar>
            <w:vAlign w:val="center"/>
          </w:tcPr>
          <w:p w14:paraId="5D2893C1"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2 348</w:t>
            </w:r>
          </w:p>
        </w:tc>
        <w:tc>
          <w:tcPr>
            <w:tcW w:w="1005" w:type="dxa"/>
            <w:tcBorders>
              <w:top w:val="nil"/>
              <w:left w:val="nil"/>
              <w:bottom w:val="nil"/>
              <w:right w:val="nil"/>
              <w:tl2br w:val="nil"/>
              <w:tr2bl w:val="nil"/>
            </w:tcBorders>
            <w:tcMar>
              <w:left w:w="60" w:type="dxa"/>
              <w:right w:w="60" w:type="dxa"/>
            </w:tcMar>
            <w:vAlign w:val="center"/>
          </w:tcPr>
          <w:p w14:paraId="78B93B8F"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15 115</w:t>
            </w:r>
          </w:p>
        </w:tc>
        <w:tc>
          <w:tcPr>
            <w:tcW w:w="887" w:type="dxa"/>
            <w:tcBorders>
              <w:top w:val="nil"/>
              <w:left w:val="nil"/>
              <w:bottom w:val="nil"/>
              <w:right w:val="nil"/>
              <w:tl2br w:val="nil"/>
              <w:tr2bl w:val="nil"/>
            </w:tcBorders>
            <w:tcMar>
              <w:left w:w="60" w:type="dxa"/>
              <w:right w:w="60" w:type="dxa"/>
            </w:tcMar>
            <w:vAlign w:val="center"/>
          </w:tcPr>
          <w:p w14:paraId="752EE517"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12 845</w:t>
            </w:r>
          </w:p>
        </w:tc>
        <w:tc>
          <w:tcPr>
            <w:tcW w:w="913" w:type="dxa"/>
            <w:tcBorders>
              <w:top w:val="nil"/>
              <w:left w:val="nil"/>
              <w:bottom w:val="nil"/>
              <w:right w:val="nil"/>
              <w:tl2br w:val="nil"/>
              <w:tr2bl w:val="nil"/>
            </w:tcBorders>
            <w:tcMar>
              <w:left w:w="60" w:type="dxa"/>
              <w:right w:w="60" w:type="dxa"/>
            </w:tcMar>
            <w:vAlign w:val="center"/>
          </w:tcPr>
          <w:p w14:paraId="2317A535"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875" w:type="dxa"/>
            <w:tcBorders>
              <w:top w:val="nil"/>
              <w:left w:val="nil"/>
              <w:bottom w:val="nil"/>
              <w:right w:val="nil"/>
              <w:tl2br w:val="nil"/>
              <w:tr2bl w:val="nil"/>
            </w:tcBorders>
            <w:tcMar>
              <w:left w:w="60" w:type="dxa"/>
              <w:right w:w="60" w:type="dxa"/>
            </w:tcMar>
            <w:vAlign w:val="center"/>
          </w:tcPr>
          <w:p w14:paraId="5D29B3D9"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12 766</w:t>
            </w:r>
          </w:p>
        </w:tc>
        <w:tc>
          <w:tcPr>
            <w:tcW w:w="887" w:type="dxa"/>
            <w:tcBorders>
              <w:top w:val="nil"/>
              <w:left w:val="nil"/>
              <w:bottom w:val="nil"/>
              <w:right w:val="nil"/>
              <w:tl2br w:val="nil"/>
              <w:tr2bl w:val="nil"/>
            </w:tcBorders>
            <w:tcMar>
              <w:left w:w="60" w:type="dxa"/>
              <w:right w:w="60" w:type="dxa"/>
            </w:tcMar>
            <w:vAlign w:val="center"/>
          </w:tcPr>
          <w:p w14:paraId="23E5849E"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927</w:t>
            </w:r>
          </w:p>
        </w:tc>
        <w:tc>
          <w:tcPr>
            <w:tcW w:w="890" w:type="dxa"/>
            <w:tcBorders>
              <w:top w:val="nil"/>
              <w:left w:val="nil"/>
              <w:bottom w:val="nil"/>
              <w:right w:val="nil"/>
              <w:tl2br w:val="nil"/>
              <w:tr2bl w:val="nil"/>
            </w:tcBorders>
            <w:tcMar>
              <w:left w:w="60" w:type="dxa"/>
              <w:right w:w="60" w:type="dxa"/>
            </w:tcMar>
            <w:vAlign w:val="center"/>
          </w:tcPr>
          <w:p w14:paraId="371D73BF"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2 440</w:t>
            </w:r>
          </w:p>
        </w:tc>
        <w:tc>
          <w:tcPr>
            <w:tcW w:w="1365" w:type="dxa"/>
            <w:tcBorders>
              <w:top w:val="nil"/>
              <w:left w:val="nil"/>
              <w:bottom w:val="nil"/>
              <w:right w:val="nil"/>
              <w:tl2br w:val="nil"/>
              <w:tr2bl w:val="nil"/>
            </w:tcBorders>
            <w:tcMar>
              <w:left w:w="60" w:type="dxa"/>
              <w:right w:w="60" w:type="dxa"/>
            </w:tcMar>
            <w:vAlign w:val="center"/>
          </w:tcPr>
          <w:p w14:paraId="7FEE31C3"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16 133</w:t>
            </w:r>
          </w:p>
        </w:tc>
      </w:tr>
      <w:tr w:rsidR="00807FFE" w14:paraId="6783C8E3"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177FF798"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O</w:t>
            </w:r>
          </w:p>
        </w:tc>
        <w:tc>
          <w:tcPr>
            <w:tcW w:w="3094" w:type="dxa"/>
            <w:tcBorders>
              <w:top w:val="nil"/>
              <w:left w:val="nil"/>
              <w:bottom w:val="nil"/>
              <w:right w:val="nil"/>
              <w:tl2br w:val="nil"/>
              <w:tr2bl w:val="nil"/>
            </w:tcBorders>
            <w:tcMar>
              <w:left w:w="60" w:type="dxa"/>
              <w:right w:w="60" w:type="dxa"/>
            </w:tcMar>
            <w:vAlign w:val="center"/>
          </w:tcPr>
          <w:p w14:paraId="234A358C"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Outside MFF</w:t>
            </w:r>
          </w:p>
        </w:tc>
        <w:tc>
          <w:tcPr>
            <w:tcW w:w="1023" w:type="dxa"/>
            <w:tcBorders>
              <w:top w:val="nil"/>
              <w:left w:val="nil"/>
              <w:bottom w:val="nil"/>
              <w:right w:val="nil"/>
              <w:tl2br w:val="nil"/>
              <w:tr2bl w:val="nil"/>
            </w:tcBorders>
            <w:tcMar>
              <w:left w:w="60" w:type="dxa"/>
              <w:right w:w="60" w:type="dxa"/>
            </w:tcMar>
            <w:vAlign w:val="center"/>
          </w:tcPr>
          <w:p w14:paraId="70F4FF98"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4 320</w:t>
            </w:r>
          </w:p>
        </w:tc>
        <w:tc>
          <w:tcPr>
            <w:tcW w:w="913" w:type="dxa"/>
            <w:tcBorders>
              <w:top w:val="nil"/>
              <w:left w:val="nil"/>
              <w:bottom w:val="nil"/>
              <w:right w:val="nil"/>
              <w:tl2br w:val="nil"/>
              <w:tr2bl w:val="nil"/>
            </w:tcBorders>
            <w:tcMar>
              <w:left w:w="60" w:type="dxa"/>
              <w:right w:w="60" w:type="dxa"/>
            </w:tcMar>
            <w:vAlign w:val="center"/>
          </w:tcPr>
          <w:p w14:paraId="01FE4BDB"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0" w:type="dxa"/>
            <w:tcBorders>
              <w:top w:val="nil"/>
              <w:left w:val="nil"/>
              <w:bottom w:val="nil"/>
              <w:right w:val="nil"/>
              <w:tl2br w:val="nil"/>
              <w:tr2bl w:val="nil"/>
            </w:tcBorders>
            <w:tcMar>
              <w:left w:w="60" w:type="dxa"/>
              <w:right w:w="60" w:type="dxa"/>
            </w:tcMar>
            <w:vAlign w:val="center"/>
          </w:tcPr>
          <w:p w14:paraId="13B0B7C0"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4 320</w:t>
            </w:r>
          </w:p>
        </w:tc>
        <w:tc>
          <w:tcPr>
            <w:tcW w:w="690" w:type="dxa"/>
            <w:tcBorders>
              <w:top w:val="nil"/>
              <w:left w:val="nil"/>
              <w:bottom w:val="nil"/>
              <w:right w:val="nil"/>
              <w:tl2br w:val="nil"/>
              <w:tr2bl w:val="nil"/>
            </w:tcBorders>
            <w:tcMar>
              <w:left w:w="60" w:type="dxa"/>
              <w:right w:w="60" w:type="dxa"/>
            </w:tcMar>
            <w:vAlign w:val="center"/>
          </w:tcPr>
          <w:p w14:paraId="7D85F426"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957" w:type="dxa"/>
            <w:tcBorders>
              <w:top w:val="nil"/>
              <w:left w:val="nil"/>
              <w:bottom w:val="nil"/>
              <w:right w:val="nil"/>
              <w:tl2br w:val="nil"/>
              <w:tr2bl w:val="nil"/>
            </w:tcBorders>
            <w:tcMar>
              <w:left w:w="60" w:type="dxa"/>
              <w:right w:w="60" w:type="dxa"/>
            </w:tcMar>
            <w:vAlign w:val="center"/>
          </w:tcPr>
          <w:p w14:paraId="16F45DE1"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7 415</w:t>
            </w:r>
          </w:p>
        </w:tc>
        <w:tc>
          <w:tcPr>
            <w:tcW w:w="1005" w:type="dxa"/>
            <w:tcBorders>
              <w:top w:val="nil"/>
              <w:left w:val="nil"/>
              <w:bottom w:val="nil"/>
              <w:right w:val="nil"/>
              <w:tl2br w:val="nil"/>
              <w:tr2bl w:val="nil"/>
            </w:tcBorders>
            <w:tcMar>
              <w:left w:w="60" w:type="dxa"/>
              <w:right w:w="60" w:type="dxa"/>
            </w:tcMar>
            <w:vAlign w:val="center"/>
          </w:tcPr>
          <w:p w14:paraId="37C22ED2"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11 767</w:t>
            </w:r>
          </w:p>
        </w:tc>
        <w:tc>
          <w:tcPr>
            <w:tcW w:w="887" w:type="dxa"/>
            <w:tcBorders>
              <w:top w:val="nil"/>
              <w:left w:val="nil"/>
              <w:bottom w:val="nil"/>
              <w:right w:val="nil"/>
              <w:tl2br w:val="nil"/>
              <w:tr2bl w:val="nil"/>
            </w:tcBorders>
            <w:tcMar>
              <w:left w:w="60" w:type="dxa"/>
              <w:right w:w="60" w:type="dxa"/>
            </w:tcMar>
            <w:vAlign w:val="center"/>
          </w:tcPr>
          <w:p w14:paraId="2F8AFCF7"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3 274</w:t>
            </w:r>
          </w:p>
        </w:tc>
        <w:tc>
          <w:tcPr>
            <w:tcW w:w="913" w:type="dxa"/>
            <w:tcBorders>
              <w:top w:val="nil"/>
              <w:left w:val="nil"/>
              <w:bottom w:val="nil"/>
              <w:right w:val="nil"/>
              <w:tl2br w:val="nil"/>
              <w:tr2bl w:val="nil"/>
            </w:tcBorders>
            <w:tcMar>
              <w:left w:w="60" w:type="dxa"/>
              <w:right w:w="60" w:type="dxa"/>
            </w:tcMar>
            <w:vAlign w:val="center"/>
          </w:tcPr>
          <w:p w14:paraId="02175EEF"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(469)</w:t>
            </w:r>
          </w:p>
        </w:tc>
        <w:tc>
          <w:tcPr>
            <w:tcW w:w="875" w:type="dxa"/>
            <w:tcBorders>
              <w:top w:val="nil"/>
              <w:left w:val="nil"/>
              <w:bottom w:val="nil"/>
              <w:right w:val="nil"/>
              <w:tl2br w:val="nil"/>
              <w:tr2bl w:val="nil"/>
            </w:tcBorders>
            <w:tcMar>
              <w:left w:w="60" w:type="dxa"/>
              <w:right w:w="60" w:type="dxa"/>
            </w:tcMar>
            <w:vAlign w:val="center"/>
          </w:tcPr>
          <w:p w14:paraId="55A1AA13"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2 805</w:t>
            </w:r>
          </w:p>
        </w:tc>
        <w:tc>
          <w:tcPr>
            <w:tcW w:w="887" w:type="dxa"/>
            <w:tcBorders>
              <w:top w:val="nil"/>
              <w:left w:val="nil"/>
              <w:bottom w:val="nil"/>
              <w:right w:val="nil"/>
              <w:tl2br w:val="nil"/>
              <w:tr2bl w:val="nil"/>
            </w:tcBorders>
            <w:tcMar>
              <w:left w:w="60" w:type="dxa"/>
              <w:right w:w="60" w:type="dxa"/>
            </w:tcMar>
            <w:vAlign w:val="center"/>
          </w:tcPr>
          <w:p w14:paraId="36067E09"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121</w:t>
            </w:r>
          </w:p>
        </w:tc>
        <w:tc>
          <w:tcPr>
            <w:tcW w:w="890" w:type="dxa"/>
            <w:tcBorders>
              <w:top w:val="nil"/>
              <w:left w:val="nil"/>
              <w:bottom w:val="nil"/>
              <w:right w:val="nil"/>
              <w:tl2br w:val="nil"/>
              <w:tr2bl w:val="nil"/>
            </w:tcBorders>
            <w:tcMar>
              <w:left w:w="60" w:type="dxa"/>
              <w:right w:w="60" w:type="dxa"/>
            </w:tcMar>
            <w:vAlign w:val="center"/>
          </w:tcPr>
          <w:p w14:paraId="321DF5AA"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13 069</w:t>
            </w:r>
          </w:p>
        </w:tc>
        <w:tc>
          <w:tcPr>
            <w:tcW w:w="1365" w:type="dxa"/>
            <w:tcBorders>
              <w:top w:val="nil"/>
              <w:left w:val="nil"/>
              <w:bottom w:val="nil"/>
              <w:right w:val="nil"/>
              <w:tl2br w:val="nil"/>
              <w:tr2bl w:val="nil"/>
            </w:tcBorders>
            <w:tcMar>
              <w:left w:w="60" w:type="dxa"/>
              <w:right w:w="60" w:type="dxa"/>
            </w:tcMar>
            <w:vAlign w:val="center"/>
          </w:tcPr>
          <w:p w14:paraId="42663ECB"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15 994</w:t>
            </w:r>
          </w:p>
        </w:tc>
      </w:tr>
      <w:tr w:rsidR="00807FFE" w14:paraId="2C285851"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45BE8FD2"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S</w:t>
            </w:r>
          </w:p>
        </w:tc>
        <w:tc>
          <w:tcPr>
            <w:tcW w:w="3094" w:type="dxa"/>
            <w:tcBorders>
              <w:top w:val="nil"/>
              <w:left w:val="nil"/>
              <w:bottom w:val="nil"/>
              <w:right w:val="nil"/>
              <w:tl2br w:val="nil"/>
              <w:tr2bl w:val="nil"/>
            </w:tcBorders>
            <w:tcMar>
              <w:left w:w="60" w:type="dxa"/>
              <w:right w:w="60" w:type="dxa"/>
            </w:tcMar>
            <w:vAlign w:val="center"/>
          </w:tcPr>
          <w:p w14:paraId="3AA03F96" w14:textId="77777777" w:rsidR="00807FFE" w:rsidRDefault="00023E71">
            <w:pPr>
              <w:pStyle w:val="DMETW36742BIPMFF1BreakdownCommPaym"/>
              <w:rPr>
                <w:rFonts w:ascii="Verdana" w:eastAsia="Verdana" w:hAnsi="Verdana" w:cs="Verdana"/>
                <w:noProof/>
                <w:color w:val="000000"/>
                <w:sz w:val="16"/>
              </w:rPr>
            </w:pPr>
            <w:r>
              <w:rPr>
                <w:rFonts w:ascii="Verdana" w:eastAsia="Verdana" w:hAnsi="Verdana" w:cs="Verdana"/>
                <w:noProof/>
                <w:color w:val="000000"/>
                <w:sz w:val="16"/>
              </w:rPr>
              <w:t>Solidarity mechanisms within and outside the Union (Special instruments)</w:t>
            </w:r>
          </w:p>
        </w:tc>
        <w:tc>
          <w:tcPr>
            <w:tcW w:w="1023" w:type="dxa"/>
            <w:tcBorders>
              <w:top w:val="nil"/>
              <w:left w:val="nil"/>
              <w:bottom w:val="nil"/>
              <w:right w:val="nil"/>
              <w:tl2br w:val="nil"/>
              <w:tr2bl w:val="nil"/>
            </w:tcBorders>
            <w:tcMar>
              <w:left w:w="60" w:type="dxa"/>
              <w:right w:w="60" w:type="dxa"/>
            </w:tcMar>
            <w:vAlign w:val="center"/>
          </w:tcPr>
          <w:p w14:paraId="30B41E3B"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2 349</w:t>
            </w:r>
          </w:p>
        </w:tc>
        <w:tc>
          <w:tcPr>
            <w:tcW w:w="913" w:type="dxa"/>
            <w:tcBorders>
              <w:top w:val="nil"/>
              <w:left w:val="nil"/>
              <w:bottom w:val="nil"/>
              <w:right w:val="nil"/>
              <w:tl2br w:val="nil"/>
              <w:tr2bl w:val="nil"/>
            </w:tcBorders>
            <w:tcMar>
              <w:left w:w="60" w:type="dxa"/>
              <w:right w:w="60" w:type="dxa"/>
            </w:tcMar>
            <w:vAlign w:val="center"/>
          </w:tcPr>
          <w:p w14:paraId="08F894E1"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90" w:type="dxa"/>
            <w:tcBorders>
              <w:top w:val="nil"/>
              <w:left w:val="nil"/>
              <w:bottom w:val="nil"/>
              <w:right w:val="nil"/>
              <w:tl2br w:val="nil"/>
              <w:tr2bl w:val="nil"/>
            </w:tcBorders>
            <w:tcMar>
              <w:left w:w="60" w:type="dxa"/>
              <w:right w:w="60" w:type="dxa"/>
            </w:tcMar>
            <w:vAlign w:val="center"/>
          </w:tcPr>
          <w:p w14:paraId="43742E3D"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1 766</w:t>
            </w:r>
          </w:p>
        </w:tc>
        <w:tc>
          <w:tcPr>
            <w:tcW w:w="690" w:type="dxa"/>
            <w:tcBorders>
              <w:top w:val="nil"/>
              <w:left w:val="nil"/>
              <w:bottom w:val="nil"/>
              <w:right w:val="nil"/>
              <w:tl2br w:val="nil"/>
              <w:tr2bl w:val="nil"/>
            </w:tcBorders>
            <w:tcMar>
              <w:left w:w="60" w:type="dxa"/>
              <w:right w:w="60" w:type="dxa"/>
            </w:tcMar>
            <w:vAlign w:val="center"/>
          </w:tcPr>
          <w:p w14:paraId="5B1EC455"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957" w:type="dxa"/>
            <w:tcBorders>
              <w:top w:val="nil"/>
              <w:left w:val="nil"/>
              <w:bottom w:val="nil"/>
              <w:right w:val="nil"/>
              <w:tl2br w:val="nil"/>
              <w:tr2bl w:val="nil"/>
            </w:tcBorders>
            <w:tcMar>
              <w:left w:w="60" w:type="dxa"/>
              <w:right w:w="60" w:type="dxa"/>
            </w:tcMar>
            <w:vAlign w:val="center"/>
          </w:tcPr>
          <w:p w14:paraId="465ED97B"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005" w:type="dxa"/>
            <w:tcBorders>
              <w:top w:val="nil"/>
              <w:left w:val="nil"/>
              <w:bottom w:val="nil"/>
              <w:right w:val="nil"/>
              <w:tl2br w:val="nil"/>
              <w:tr2bl w:val="nil"/>
            </w:tcBorders>
            <w:tcMar>
              <w:left w:w="60" w:type="dxa"/>
              <w:right w:w="60" w:type="dxa"/>
            </w:tcMar>
            <w:vAlign w:val="center"/>
          </w:tcPr>
          <w:p w14:paraId="3FCA0D0A"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2 085</w:t>
            </w:r>
          </w:p>
        </w:tc>
        <w:tc>
          <w:tcPr>
            <w:tcW w:w="887" w:type="dxa"/>
            <w:tcBorders>
              <w:top w:val="nil"/>
              <w:left w:val="nil"/>
              <w:bottom w:val="nil"/>
              <w:right w:val="nil"/>
              <w:tl2br w:val="nil"/>
              <w:tr2bl w:val="nil"/>
            </w:tcBorders>
            <w:tcMar>
              <w:left w:w="60" w:type="dxa"/>
              <w:right w:w="60" w:type="dxa"/>
            </w:tcMar>
            <w:vAlign w:val="center"/>
          </w:tcPr>
          <w:p w14:paraId="45630BCE"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2 320</w:t>
            </w:r>
          </w:p>
        </w:tc>
        <w:tc>
          <w:tcPr>
            <w:tcW w:w="913" w:type="dxa"/>
            <w:tcBorders>
              <w:top w:val="nil"/>
              <w:left w:val="nil"/>
              <w:bottom w:val="nil"/>
              <w:right w:val="nil"/>
              <w:tl2br w:val="nil"/>
              <w:tr2bl w:val="nil"/>
            </w:tcBorders>
            <w:tcMar>
              <w:left w:w="60" w:type="dxa"/>
              <w:right w:w="60" w:type="dxa"/>
            </w:tcMar>
            <w:vAlign w:val="center"/>
          </w:tcPr>
          <w:p w14:paraId="03C8A925"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(576)</w:t>
            </w:r>
          </w:p>
        </w:tc>
        <w:tc>
          <w:tcPr>
            <w:tcW w:w="875" w:type="dxa"/>
            <w:tcBorders>
              <w:top w:val="nil"/>
              <w:left w:val="nil"/>
              <w:bottom w:val="nil"/>
              <w:right w:val="nil"/>
              <w:tl2br w:val="nil"/>
              <w:tr2bl w:val="nil"/>
            </w:tcBorders>
            <w:tcMar>
              <w:left w:w="60" w:type="dxa"/>
              <w:right w:w="60" w:type="dxa"/>
            </w:tcMar>
            <w:vAlign w:val="center"/>
          </w:tcPr>
          <w:p w14:paraId="440D929C"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1 744</w:t>
            </w:r>
          </w:p>
        </w:tc>
        <w:tc>
          <w:tcPr>
            <w:tcW w:w="887" w:type="dxa"/>
            <w:tcBorders>
              <w:top w:val="nil"/>
              <w:left w:val="nil"/>
              <w:bottom w:val="nil"/>
              <w:right w:val="nil"/>
              <w:tl2br w:val="nil"/>
              <w:tr2bl w:val="nil"/>
            </w:tcBorders>
            <w:tcMar>
              <w:left w:w="60" w:type="dxa"/>
              <w:right w:w="60" w:type="dxa"/>
            </w:tcMar>
            <w:vAlign w:val="center"/>
          </w:tcPr>
          <w:p w14:paraId="57BE3DEB"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90" w:type="dxa"/>
            <w:tcBorders>
              <w:top w:val="nil"/>
              <w:left w:val="nil"/>
              <w:bottom w:val="nil"/>
              <w:right w:val="nil"/>
              <w:tl2br w:val="nil"/>
              <w:tr2bl w:val="nil"/>
            </w:tcBorders>
            <w:tcMar>
              <w:left w:w="60" w:type="dxa"/>
              <w:right w:w="60" w:type="dxa"/>
            </w:tcMar>
            <w:vAlign w:val="center"/>
          </w:tcPr>
          <w:p w14:paraId="385A32A5" w14:textId="77777777" w:rsidR="00807FFE" w:rsidRDefault="00023E71">
            <w:pPr>
              <w:pStyle w:val="DMETW36742BIPMFF1BreakdownCommPaym"/>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365" w:type="dxa"/>
            <w:tcBorders>
              <w:top w:val="nil"/>
              <w:left w:val="nil"/>
              <w:bottom w:val="nil"/>
              <w:right w:val="nil"/>
              <w:tl2br w:val="nil"/>
              <w:tr2bl w:val="nil"/>
            </w:tcBorders>
            <w:tcMar>
              <w:left w:w="60" w:type="dxa"/>
              <w:right w:w="60" w:type="dxa"/>
            </w:tcMar>
            <w:vAlign w:val="center"/>
          </w:tcPr>
          <w:p w14:paraId="7755A859" w14:textId="77777777" w:rsidR="00807FFE" w:rsidRDefault="00023E71">
            <w:pPr>
              <w:pStyle w:val="DMETW36742BIPMFF1BreakdownCommPaym"/>
              <w:jc w:val="right"/>
              <w:rPr>
                <w:rFonts w:ascii="Verdana" w:eastAsia="Verdana" w:hAnsi="Verdana" w:cs="Verdana"/>
                <w:noProof/>
                <w:color w:val="000000"/>
                <w:sz w:val="16"/>
                <w:lang w:bidi="en-GB"/>
              </w:rPr>
            </w:pPr>
            <w:r>
              <w:rPr>
                <w:rFonts w:ascii="Verdana" w:eastAsia="Verdana" w:hAnsi="Verdana" w:cs="Verdana"/>
                <w:noProof/>
                <w:color w:val="000000"/>
                <w:sz w:val="16"/>
              </w:rPr>
              <w:t>2 063</w:t>
            </w:r>
          </w:p>
        </w:tc>
      </w:tr>
      <w:tr w:rsidR="00807FFE" w14:paraId="5E5A1A28" w14:textId="77777777">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14:paraId="22D0EA2D" w14:textId="77777777" w:rsidR="00807FFE" w:rsidRDefault="00807FFE">
            <w:pPr>
              <w:pStyle w:val="DMETW36742BIPMFF1BreakdownCommPaym"/>
              <w:rPr>
                <w:rFonts w:ascii="Verdana" w:eastAsia="Verdana" w:hAnsi="Verdana" w:cs="Verdana"/>
                <w:b/>
                <w:noProof/>
                <w:color w:val="000000"/>
                <w:sz w:val="16"/>
              </w:rPr>
            </w:pPr>
          </w:p>
        </w:tc>
        <w:tc>
          <w:tcPr>
            <w:tcW w:w="3094" w:type="dxa"/>
            <w:tcBorders>
              <w:top w:val="nil"/>
              <w:left w:val="nil"/>
              <w:bottom w:val="nil"/>
              <w:right w:val="nil"/>
              <w:tl2br w:val="nil"/>
              <w:tr2bl w:val="nil"/>
            </w:tcBorders>
            <w:shd w:val="solid" w:color="CCE1EA" w:fill="FFFFFF"/>
            <w:tcMar>
              <w:left w:w="60" w:type="dxa"/>
              <w:right w:w="60" w:type="dxa"/>
            </w:tcMar>
            <w:vAlign w:val="center"/>
          </w:tcPr>
          <w:p w14:paraId="43B49684"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TOTAL</w:t>
            </w:r>
          </w:p>
        </w:tc>
        <w:tc>
          <w:tcPr>
            <w:tcW w:w="1023" w:type="dxa"/>
            <w:tcBorders>
              <w:top w:val="nil"/>
              <w:left w:val="nil"/>
              <w:bottom w:val="nil"/>
              <w:right w:val="nil"/>
              <w:tl2br w:val="nil"/>
              <w:tr2bl w:val="nil"/>
            </w:tcBorders>
            <w:shd w:val="solid" w:color="CCE1EA" w:fill="FFFFFF"/>
            <w:tcMar>
              <w:left w:w="60" w:type="dxa"/>
              <w:right w:w="60" w:type="dxa"/>
            </w:tcMar>
            <w:vAlign w:val="center"/>
          </w:tcPr>
          <w:p w14:paraId="01FF1B73"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199 438</w:t>
            </w:r>
          </w:p>
        </w:tc>
        <w:tc>
          <w:tcPr>
            <w:tcW w:w="913" w:type="dxa"/>
            <w:tcBorders>
              <w:top w:val="nil"/>
              <w:left w:val="nil"/>
              <w:bottom w:val="nil"/>
              <w:right w:val="nil"/>
              <w:tl2br w:val="nil"/>
              <w:tr2bl w:val="nil"/>
            </w:tcBorders>
            <w:shd w:val="solid" w:color="CCE1EA" w:fill="FFFFFF"/>
            <w:tcMar>
              <w:left w:w="60" w:type="dxa"/>
              <w:right w:w="60" w:type="dxa"/>
            </w:tcMar>
            <w:vAlign w:val="center"/>
          </w:tcPr>
          <w:p w14:paraId="32CCC7EC"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 xml:space="preserve"> (199)</w:t>
            </w:r>
          </w:p>
        </w:tc>
        <w:tc>
          <w:tcPr>
            <w:tcW w:w="890" w:type="dxa"/>
            <w:tcBorders>
              <w:top w:val="nil"/>
              <w:left w:val="nil"/>
              <w:bottom w:val="nil"/>
              <w:right w:val="nil"/>
              <w:tl2br w:val="nil"/>
              <w:tr2bl w:val="nil"/>
            </w:tcBorders>
            <w:shd w:val="solid" w:color="CCE1EA" w:fill="FFFFFF"/>
            <w:tcMar>
              <w:left w:w="60" w:type="dxa"/>
              <w:right w:w="60" w:type="dxa"/>
            </w:tcMar>
            <w:vAlign w:val="center"/>
          </w:tcPr>
          <w:p w14:paraId="751E649A"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199 239</w:t>
            </w:r>
          </w:p>
        </w:tc>
        <w:tc>
          <w:tcPr>
            <w:tcW w:w="690" w:type="dxa"/>
            <w:tcBorders>
              <w:top w:val="nil"/>
              <w:left w:val="nil"/>
              <w:bottom w:val="nil"/>
              <w:right w:val="nil"/>
              <w:tl2br w:val="nil"/>
              <w:tr2bl w:val="nil"/>
            </w:tcBorders>
            <w:shd w:val="solid" w:color="CCE1EA" w:fill="FFFFFF"/>
            <w:tcMar>
              <w:left w:w="60" w:type="dxa"/>
              <w:right w:w="60" w:type="dxa"/>
            </w:tcMar>
            <w:vAlign w:val="center"/>
          </w:tcPr>
          <w:p w14:paraId="2A065DCF"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1 795</w:t>
            </w:r>
          </w:p>
        </w:tc>
        <w:tc>
          <w:tcPr>
            <w:tcW w:w="957" w:type="dxa"/>
            <w:tcBorders>
              <w:top w:val="nil"/>
              <w:left w:val="nil"/>
              <w:bottom w:val="nil"/>
              <w:right w:val="nil"/>
              <w:tl2br w:val="nil"/>
              <w:tr2bl w:val="nil"/>
            </w:tcBorders>
            <w:shd w:val="solid" w:color="CCE1EA" w:fill="FFFFFF"/>
            <w:tcMar>
              <w:left w:w="60" w:type="dxa"/>
              <w:right w:w="60" w:type="dxa"/>
            </w:tcMar>
            <w:vAlign w:val="center"/>
          </w:tcPr>
          <w:p w14:paraId="51499D66"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27 070</w:t>
            </w:r>
          </w:p>
        </w:tc>
        <w:tc>
          <w:tcPr>
            <w:tcW w:w="1005" w:type="dxa"/>
            <w:tcBorders>
              <w:top w:val="nil"/>
              <w:left w:val="nil"/>
              <w:bottom w:val="nil"/>
              <w:right w:val="nil"/>
              <w:tl2br w:val="nil"/>
              <w:tr2bl w:val="nil"/>
            </w:tcBorders>
            <w:shd w:val="solid" w:color="CCE1EA" w:fill="FFFFFF"/>
            <w:tcMar>
              <w:left w:w="60" w:type="dxa"/>
              <w:right w:w="60" w:type="dxa"/>
            </w:tcMar>
            <w:vAlign w:val="center"/>
          </w:tcPr>
          <w:p w14:paraId="10282BAC"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228 104</w:t>
            </w:r>
          </w:p>
        </w:tc>
        <w:tc>
          <w:tcPr>
            <w:tcW w:w="887" w:type="dxa"/>
            <w:tcBorders>
              <w:top w:val="nil"/>
              <w:left w:val="nil"/>
              <w:bottom w:val="nil"/>
              <w:right w:val="nil"/>
              <w:tl2br w:val="nil"/>
              <w:tr2bl w:val="nil"/>
            </w:tcBorders>
            <w:shd w:val="solid" w:color="CCE1EA" w:fill="FFFFFF"/>
            <w:tcMar>
              <w:left w:w="60" w:type="dxa"/>
              <w:right w:w="60" w:type="dxa"/>
            </w:tcMar>
            <w:vAlign w:val="center"/>
          </w:tcPr>
          <w:p w14:paraId="70202240"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155 209</w:t>
            </w:r>
          </w:p>
        </w:tc>
        <w:tc>
          <w:tcPr>
            <w:tcW w:w="913" w:type="dxa"/>
            <w:tcBorders>
              <w:top w:val="nil"/>
              <w:left w:val="nil"/>
              <w:bottom w:val="nil"/>
              <w:right w:val="nil"/>
              <w:tl2br w:val="nil"/>
              <w:tr2bl w:val="nil"/>
            </w:tcBorders>
            <w:shd w:val="solid" w:color="CCE1EA" w:fill="FFFFFF"/>
            <w:tcMar>
              <w:left w:w="60" w:type="dxa"/>
              <w:right w:w="60" w:type="dxa"/>
            </w:tcMar>
            <w:vAlign w:val="center"/>
          </w:tcPr>
          <w:p w14:paraId="1BCED701"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5 953</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691B0E9D"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161 163</w:t>
            </w:r>
          </w:p>
        </w:tc>
        <w:tc>
          <w:tcPr>
            <w:tcW w:w="887" w:type="dxa"/>
            <w:tcBorders>
              <w:top w:val="nil"/>
              <w:left w:val="nil"/>
              <w:bottom w:val="nil"/>
              <w:right w:val="nil"/>
              <w:tl2br w:val="nil"/>
              <w:tr2bl w:val="nil"/>
            </w:tcBorders>
            <w:shd w:val="solid" w:color="CCE1EA" w:fill="FFFFFF"/>
            <w:tcMar>
              <w:left w:w="60" w:type="dxa"/>
              <w:right w:w="60" w:type="dxa"/>
            </w:tcMar>
            <w:vAlign w:val="center"/>
          </w:tcPr>
          <w:p w14:paraId="4E0C814A"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3 887</w:t>
            </w:r>
          </w:p>
        </w:tc>
        <w:tc>
          <w:tcPr>
            <w:tcW w:w="890" w:type="dxa"/>
            <w:tcBorders>
              <w:top w:val="nil"/>
              <w:left w:val="nil"/>
              <w:bottom w:val="nil"/>
              <w:right w:val="nil"/>
              <w:tl2br w:val="nil"/>
              <w:tr2bl w:val="nil"/>
            </w:tcBorders>
            <w:shd w:val="solid" w:color="CCE1EA" w:fill="FFFFFF"/>
            <w:tcMar>
              <w:left w:w="60" w:type="dxa"/>
              <w:right w:w="60" w:type="dxa"/>
            </w:tcMar>
            <w:vAlign w:val="center"/>
          </w:tcPr>
          <w:p w14:paraId="50C8CF12"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85 907</w:t>
            </w:r>
          </w:p>
        </w:tc>
        <w:tc>
          <w:tcPr>
            <w:tcW w:w="1365" w:type="dxa"/>
            <w:tcBorders>
              <w:top w:val="nil"/>
              <w:left w:val="nil"/>
              <w:bottom w:val="nil"/>
              <w:right w:val="nil"/>
              <w:tl2br w:val="nil"/>
              <w:tr2bl w:val="nil"/>
            </w:tcBorders>
            <w:shd w:val="solid" w:color="CCE1EA" w:fill="FFFFFF"/>
            <w:tcMar>
              <w:left w:w="60" w:type="dxa"/>
              <w:right w:w="60" w:type="dxa"/>
            </w:tcMar>
            <w:vAlign w:val="center"/>
          </w:tcPr>
          <w:p w14:paraId="42BCC18D" w14:textId="77777777" w:rsidR="00807FFE" w:rsidRDefault="00023E71">
            <w:pPr>
              <w:pStyle w:val="DMETW36742BIPMFF1BreakdownCommPaym"/>
              <w:jc w:val="right"/>
              <w:rPr>
                <w:rFonts w:ascii="Verdana" w:eastAsia="Verdana" w:hAnsi="Verdana" w:cs="Verdana"/>
                <w:b/>
                <w:noProof/>
                <w:color w:val="000000"/>
                <w:sz w:val="16"/>
              </w:rPr>
            </w:pPr>
            <w:r>
              <w:rPr>
                <w:rFonts w:ascii="Verdana" w:eastAsia="Verdana" w:hAnsi="Verdana" w:cs="Verdana"/>
                <w:b/>
                <w:noProof/>
                <w:color w:val="000000"/>
                <w:sz w:val="16"/>
              </w:rPr>
              <w:t>250 956</w:t>
            </w:r>
          </w:p>
        </w:tc>
      </w:tr>
    </w:tbl>
    <w:p w14:paraId="41AA6BDD" w14:textId="77777777" w:rsidR="008C5342" w:rsidRPr="001E5FAD" w:rsidRDefault="008C5342" w:rsidP="008C5342">
      <w:pPr>
        <w:pStyle w:val="DGTextstand-alone"/>
        <w:rPr>
          <w:rFonts w:eastAsia="Verdana" w:cs="Verdana"/>
          <w:szCs w:val="14"/>
          <w:highlight w:val="yellow"/>
        </w:rPr>
        <w:sectPr w:rsidR="008C5342" w:rsidRPr="001E5FAD">
          <w:headerReference w:type="default" r:id="rId166"/>
          <w:footerReference w:type="default" r:id="rId167"/>
          <w:pgSz w:w="16840" w:h="11900" w:orient="landscape"/>
          <w:pgMar w:top="1134" w:right="1134" w:bottom="1134" w:left="1134" w:header="708" w:footer="708" w:gutter="0"/>
          <w:cols w:space="720"/>
          <w:docGrid w:linePitch="272"/>
        </w:sectPr>
      </w:pPr>
    </w:p>
    <w:p w14:paraId="41F8D660" w14:textId="77777777" w:rsidR="00B84BB8" w:rsidRDefault="00023E71" w:rsidP="00B84BB8">
      <w:pPr>
        <w:pStyle w:val="HEADER2PartBUDG"/>
        <w:rPr>
          <w:noProof/>
          <w:lang w:val="en-GB"/>
        </w:rPr>
      </w:pPr>
      <w:bookmarkStart w:id="297" w:name="_Toc232674391"/>
      <w:r w:rsidRPr="00B032DB">
        <w:rPr>
          <w:noProof/>
          <w:lang w:val="en-GB"/>
        </w:rPr>
        <w:t>MFF: IMPLEMENTATION OF COMMITMENT APPROPRIATIONS</w:t>
      </w:r>
      <w:bookmarkEnd w:id="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gridCol w:w="2854"/>
        <w:gridCol w:w="1239"/>
        <w:gridCol w:w="834"/>
        <w:gridCol w:w="834"/>
        <w:gridCol w:w="834"/>
        <w:gridCol w:w="1089"/>
        <w:gridCol w:w="834"/>
        <w:gridCol w:w="834"/>
        <w:gridCol w:w="834"/>
        <w:gridCol w:w="834"/>
        <w:gridCol w:w="834"/>
        <w:gridCol w:w="834"/>
        <w:gridCol w:w="834"/>
        <w:gridCol w:w="834"/>
      </w:tblGrid>
      <w:tr w:rsidR="00807FFE" w14:paraId="2B27F218" w14:textId="77777777">
        <w:trPr>
          <w:trHeight w:val="255"/>
        </w:trPr>
        <w:tc>
          <w:tcPr>
            <w:tcW w:w="344" w:type="dxa"/>
            <w:gridSpan w:val="15"/>
            <w:tcBorders>
              <w:top w:val="nil"/>
              <w:left w:val="nil"/>
              <w:bottom w:val="nil"/>
              <w:right w:val="nil"/>
              <w:tl2br w:val="nil"/>
              <w:tr2bl w:val="nil"/>
            </w:tcBorders>
            <w:tcMar>
              <w:left w:w="60" w:type="dxa"/>
              <w:right w:w="60" w:type="dxa"/>
            </w:tcMar>
            <w:vAlign w:val="center"/>
          </w:tcPr>
          <w:p w14:paraId="0244F998" w14:textId="77777777" w:rsidR="00807FFE" w:rsidRDefault="00023E71">
            <w:pPr>
              <w:pStyle w:val="DMETW36742BIPMFF2ImplementCommitments"/>
              <w:jc w:val="right"/>
              <w:rPr>
                <w:rFonts w:ascii="Verdana" w:eastAsia="Verdana" w:hAnsi="Verdana" w:cs="Verdana"/>
                <w:i/>
                <w:noProof/>
                <w:color w:val="000000"/>
                <w:sz w:val="16"/>
                <w:lang w:bidi="en-GB"/>
              </w:rPr>
            </w:pPr>
            <w:bookmarkStart w:id="298" w:name="DOC_TBL00115_1_1"/>
            <w:bookmarkEnd w:id="298"/>
            <w:r>
              <w:rPr>
                <w:rFonts w:ascii="Verdana" w:eastAsia="Verdana" w:hAnsi="Verdana" w:cs="Verdana"/>
                <w:i/>
                <w:noProof/>
                <w:color w:val="000000"/>
                <w:sz w:val="16"/>
                <w:lang w:bidi="en-GB"/>
              </w:rPr>
              <w:t>EUR million</w:t>
            </w:r>
          </w:p>
        </w:tc>
      </w:tr>
      <w:tr w:rsidR="00807FFE" w14:paraId="3B0E4636" w14:textId="77777777">
        <w:trPr>
          <w:trHeight w:val="737"/>
        </w:trPr>
        <w:tc>
          <w:tcPr>
            <w:tcW w:w="344" w:type="dxa"/>
            <w:tcBorders>
              <w:top w:val="nil"/>
              <w:left w:val="nil"/>
              <w:bottom w:val="nil"/>
              <w:right w:val="nil"/>
              <w:tl2br w:val="nil"/>
              <w:tr2bl w:val="nil"/>
            </w:tcBorders>
            <w:shd w:val="solid" w:color="016794" w:fill="FFFFFF"/>
            <w:tcMar>
              <w:left w:w="60" w:type="dxa"/>
              <w:right w:w="60" w:type="dxa"/>
            </w:tcMar>
            <w:vAlign w:val="center"/>
          </w:tcPr>
          <w:p w14:paraId="367F4D33" w14:textId="77777777" w:rsidR="00807FFE" w:rsidRDefault="00807FFE">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016794" w:fill="FFFFFF"/>
            <w:tcMar>
              <w:left w:w="60" w:type="dxa"/>
              <w:right w:w="60" w:type="dxa"/>
            </w:tcMar>
            <w:vAlign w:val="center"/>
          </w:tcPr>
          <w:p w14:paraId="4CC17D23" w14:textId="77777777" w:rsidR="00807FFE" w:rsidRDefault="00807FFE">
            <w:pPr>
              <w:pStyle w:val="DMETW36742BIPMFF2ImplementCommitments"/>
              <w:rPr>
                <w:rFonts w:ascii="Verdana" w:eastAsia="Verdana" w:hAnsi="Verdana" w:cs="Verdana"/>
                <w:b/>
                <w:noProof/>
                <w:color w:val="FFFFFF"/>
                <w:sz w:val="16"/>
              </w:rPr>
            </w:pPr>
          </w:p>
        </w:tc>
        <w:tc>
          <w:tcPr>
            <w:tcW w:w="1275" w:type="dxa"/>
            <w:vMerge w:val="restart"/>
            <w:tcBorders>
              <w:top w:val="nil"/>
              <w:left w:val="nil"/>
              <w:bottom w:val="nil"/>
              <w:right w:val="nil"/>
              <w:tl2br w:val="nil"/>
              <w:tr2bl w:val="nil"/>
            </w:tcBorders>
            <w:shd w:val="solid" w:color="016794" w:fill="FFFFFF"/>
            <w:tcMar>
              <w:left w:w="60" w:type="dxa"/>
              <w:right w:w="60" w:type="dxa"/>
            </w:tcMar>
            <w:vAlign w:val="center"/>
          </w:tcPr>
          <w:p w14:paraId="35EA78DD" w14:textId="77777777" w:rsidR="00807FFE" w:rsidRDefault="00023E71">
            <w:pPr>
              <w:pStyle w:val="DMETW36742BIP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Total appropr. available</w:t>
            </w:r>
          </w:p>
        </w:tc>
        <w:tc>
          <w:tcPr>
            <w:tcW w:w="857" w:type="dxa"/>
            <w:gridSpan w:val="5"/>
            <w:tcBorders>
              <w:top w:val="nil"/>
              <w:left w:val="nil"/>
              <w:bottom w:val="nil"/>
              <w:right w:val="nil"/>
              <w:tl2br w:val="nil"/>
              <w:tr2bl w:val="nil"/>
            </w:tcBorders>
            <w:shd w:val="solid" w:color="016794" w:fill="FFFFFF"/>
            <w:tcMar>
              <w:left w:w="60" w:type="dxa"/>
              <w:right w:w="60" w:type="dxa"/>
            </w:tcMar>
            <w:vAlign w:val="center"/>
          </w:tcPr>
          <w:p w14:paraId="7F2B8542" w14:textId="77777777" w:rsidR="00807FFE" w:rsidRDefault="00023E71">
            <w:pPr>
              <w:pStyle w:val="DMETW36742BIP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Commitments made</w:t>
            </w:r>
          </w:p>
        </w:tc>
        <w:tc>
          <w:tcPr>
            <w:tcW w:w="857" w:type="dxa"/>
            <w:gridSpan w:val="3"/>
            <w:tcBorders>
              <w:top w:val="nil"/>
              <w:left w:val="nil"/>
              <w:bottom w:val="nil"/>
              <w:right w:val="nil"/>
              <w:tl2br w:val="nil"/>
              <w:tr2bl w:val="nil"/>
            </w:tcBorders>
            <w:shd w:val="solid" w:color="016794" w:fill="FFFFFF"/>
            <w:tcMar>
              <w:left w:w="60" w:type="dxa"/>
              <w:right w:w="60" w:type="dxa"/>
            </w:tcMar>
            <w:vAlign w:val="center"/>
          </w:tcPr>
          <w:p w14:paraId="43A4200D" w14:textId="77777777" w:rsidR="00807FFE" w:rsidRDefault="00023E71">
            <w:pPr>
              <w:pStyle w:val="DMETW36742BIP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Appropriations carried over</w:t>
            </w:r>
          </w:p>
          <w:p w14:paraId="0A6E5BEE" w14:textId="77777777" w:rsidR="00807FFE" w:rsidRDefault="00023E71">
            <w:pPr>
              <w:pStyle w:val="DMETW36742BIP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to 2026</w:t>
            </w:r>
          </w:p>
        </w:tc>
        <w:tc>
          <w:tcPr>
            <w:tcW w:w="857" w:type="dxa"/>
            <w:gridSpan w:val="4"/>
            <w:tcBorders>
              <w:top w:val="nil"/>
              <w:left w:val="nil"/>
              <w:bottom w:val="nil"/>
              <w:right w:val="nil"/>
              <w:tl2br w:val="nil"/>
              <w:tr2bl w:val="nil"/>
            </w:tcBorders>
            <w:shd w:val="solid" w:color="016794" w:fill="FFFFFF"/>
            <w:tcMar>
              <w:left w:w="60" w:type="dxa"/>
              <w:right w:w="60" w:type="dxa"/>
            </w:tcMar>
            <w:vAlign w:val="center"/>
          </w:tcPr>
          <w:p w14:paraId="46C97EB2" w14:textId="77777777" w:rsidR="00807FFE" w:rsidRDefault="00023E71">
            <w:pPr>
              <w:pStyle w:val="DMETW36742BIPMFF2ImplementCommitments"/>
              <w:jc w:val="center"/>
              <w:rPr>
                <w:rFonts w:ascii="Verdana" w:eastAsia="Verdana" w:hAnsi="Verdana" w:cs="Verdana"/>
                <w:b/>
                <w:noProof/>
                <w:color w:val="FFFFFF"/>
                <w:sz w:val="16"/>
                <w:lang w:bidi="en-GB"/>
              </w:rPr>
            </w:pPr>
            <w:r>
              <w:rPr>
                <w:rFonts w:ascii="Verdana" w:eastAsia="Verdana" w:hAnsi="Verdana" w:cs="Verdana"/>
                <w:b/>
                <w:noProof/>
                <w:color w:val="FFFFFF"/>
                <w:sz w:val="16"/>
              </w:rPr>
              <w:t>Appropriations lapsing</w:t>
            </w:r>
          </w:p>
        </w:tc>
      </w:tr>
      <w:tr w:rsidR="00807FFE" w14:paraId="6E610BF9" w14:textId="77777777">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2DA84D66" w14:textId="77777777" w:rsidR="00807FFE" w:rsidRDefault="00807FFE">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016794" w:fill="FFFFFF"/>
            <w:tcMar>
              <w:left w:w="60" w:type="dxa"/>
              <w:right w:w="60" w:type="dxa"/>
            </w:tcMar>
            <w:vAlign w:val="center"/>
          </w:tcPr>
          <w:p w14:paraId="2CAE1C58" w14:textId="77777777" w:rsidR="00807FFE" w:rsidRDefault="00023E71">
            <w:pPr>
              <w:pStyle w:val="DMETW36742BIP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MFF Heading</w:t>
            </w:r>
          </w:p>
        </w:tc>
        <w:tc>
          <w:tcPr>
            <w:tcW w:w="1275" w:type="dxa"/>
            <w:vMerge/>
            <w:tcBorders>
              <w:top w:val="nil"/>
              <w:left w:val="nil"/>
              <w:bottom w:val="nil"/>
              <w:right w:val="nil"/>
              <w:tl2br w:val="nil"/>
              <w:tr2bl w:val="nil"/>
            </w:tcBorders>
            <w:shd w:val="solid" w:color="016794" w:fill="FFFFFF"/>
            <w:tcMar>
              <w:left w:w="60" w:type="dxa"/>
              <w:right w:w="60" w:type="dxa"/>
            </w:tcMar>
            <w:vAlign w:val="center"/>
          </w:tcPr>
          <w:p w14:paraId="2E823117" w14:textId="77777777" w:rsidR="00807FFE" w:rsidRDefault="00807FFE">
            <w:pPr>
              <w:pStyle w:val="DMETW36742BIPMFF2ImplementCommitments"/>
              <w:jc w:val="center"/>
              <w:rPr>
                <w:rFonts w:ascii="Verdana" w:eastAsia="Verdana" w:hAnsi="Verdana" w:cs="Verdana"/>
                <w:b/>
                <w:noProof/>
                <w:color w:val="FFFFFF"/>
                <w:sz w:val="16"/>
              </w:rPr>
            </w:pP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53A20005"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08E7904B"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from carry-overs</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369743DF"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1120" w:type="dxa"/>
            <w:tcBorders>
              <w:top w:val="nil"/>
              <w:left w:val="nil"/>
              <w:bottom w:val="nil"/>
              <w:right w:val="nil"/>
              <w:tl2br w:val="nil"/>
              <w:tr2bl w:val="nil"/>
            </w:tcBorders>
            <w:shd w:val="solid" w:color="3487A9" w:fill="FFFFFF"/>
            <w:tcMar>
              <w:left w:w="60" w:type="dxa"/>
              <w:right w:w="60" w:type="dxa"/>
            </w:tcMar>
            <w:vAlign w:val="center"/>
          </w:tcPr>
          <w:p w14:paraId="64138572"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5BF35289"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20B22FBB"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6EDDEA3A"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526FB658"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22B330CD"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4F63F25A"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from carry- overs</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48554448"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0A2952FB" w14:textId="77777777" w:rsidR="00807FFE" w:rsidRDefault="00023E71">
            <w:pPr>
              <w:pStyle w:val="DMETW36742BIPMFF2ImplementCommitments"/>
              <w:jc w:val="center"/>
              <w:rPr>
                <w:rFonts w:ascii="Verdana" w:eastAsia="Verdana" w:hAnsi="Verdana" w:cs="Verdana"/>
                <w:noProof/>
                <w:color w:val="FFFFFF"/>
                <w:sz w:val="16"/>
                <w:lang w:bidi="en-GB"/>
              </w:rPr>
            </w:pPr>
            <w:r>
              <w:rPr>
                <w:rFonts w:ascii="Verdana" w:eastAsia="Verdana" w:hAnsi="Verdana" w:cs="Verdana"/>
                <w:noProof/>
                <w:color w:val="FFFFFF"/>
                <w:sz w:val="16"/>
              </w:rPr>
              <w:t>Total</w:t>
            </w:r>
          </w:p>
        </w:tc>
      </w:tr>
      <w:tr w:rsidR="00807FFE" w14:paraId="1C7C4227" w14:textId="77777777">
        <w:trPr>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14:paraId="1C15306B" w14:textId="77777777" w:rsidR="00807FFE" w:rsidRDefault="00807FFE">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3487A9" w:fill="FFFFFF"/>
            <w:tcMar>
              <w:left w:w="60" w:type="dxa"/>
              <w:right w:w="60" w:type="dxa"/>
            </w:tcMar>
            <w:vAlign w:val="center"/>
          </w:tcPr>
          <w:p w14:paraId="73EF2E24" w14:textId="77777777" w:rsidR="00807FFE" w:rsidRDefault="00807FFE">
            <w:pPr>
              <w:pStyle w:val="DMETW36742BIPMFF2ImplementCommitments"/>
              <w:jc w:val="center"/>
              <w:rPr>
                <w:rFonts w:ascii="Verdana" w:eastAsia="Verdana" w:hAnsi="Verdana" w:cs="Verdana"/>
                <w:noProof/>
                <w:color w:val="FFFFFF"/>
                <w:sz w:val="16"/>
              </w:rPr>
            </w:pPr>
          </w:p>
        </w:tc>
        <w:tc>
          <w:tcPr>
            <w:tcW w:w="1275" w:type="dxa"/>
            <w:tcBorders>
              <w:top w:val="nil"/>
              <w:left w:val="nil"/>
              <w:bottom w:val="nil"/>
              <w:right w:val="nil"/>
              <w:tl2br w:val="nil"/>
              <w:tr2bl w:val="nil"/>
            </w:tcBorders>
            <w:shd w:val="solid" w:color="3487A9" w:fill="FFFFFF"/>
            <w:tcMar>
              <w:left w:w="60" w:type="dxa"/>
              <w:right w:w="60" w:type="dxa"/>
            </w:tcMar>
            <w:vAlign w:val="center"/>
          </w:tcPr>
          <w:p w14:paraId="39CA20E7"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1A5D0148"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7D06E5F1"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3</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0CB05700"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1120" w:type="dxa"/>
            <w:tcBorders>
              <w:top w:val="nil"/>
              <w:left w:val="nil"/>
              <w:bottom w:val="nil"/>
              <w:right w:val="nil"/>
              <w:tl2br w:val="nil"/>
              <w:tr2bl w:val="nil"/>
            </w:tcBorders>
            <w:shd w:val="solid" w:color="3487A9" w:fill="FFFFFF"/>
            <w:tcMar>
              <w:left w:w="60" w:type="dxa"/>
              <w:right w:w="60" w:type="dxa"/>
            </w:tcMar>
            <w:vAlign w:val="center"/>
          </w:tcPr>
          <w:p w14:paraId="640645A2"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5=2+3+4</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5FAA3F40"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6=5/1</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21496D91"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7</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18FD1C0F"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8</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412A30C2"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9=7+8</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0A9D5CFE"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10</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52053FEF"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11</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2E728E7D"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12</w:t>
            </w:r>
          </w:p>
        </w:tc>
        <w:tc>
          <w:tcPr>
            <w:tcW w:w="857" w:type="dxa"/>
            <w:tcBorders>
              <w:top w:val="nil"/>
              <w:left w:val="nil"/>
              <w:bottom w:val="nil"/>
              <w:right w:val="nil"/>
              <w:tl2br w:val="nil"/>
              <w:tr2bl w:val="nil"/>
            </w:tcBorders>
            <w:shd w:val="solid" w:color="3487A9" w:fill="FFFFFF"/>
            <w:tcMar>
              <w:left w:w="60" w:type="dxa"/>
              <w:right w:w="60" w:type="dxa"/>
            </w:tcMar>
            <w:vAlign w:val="center"/>
          </w:tcPr>
          <w:p w14:paraId="7BD12301" w14:textId="77777777" w:rsidR="00807FFE" w:rsidRDefault="00023E71">
            <w:pPr>
              <w:pStyle w:val="DMETW36742BIPMFF2ImplementCommitments"/>
              <w:jc w:val="center"/>
              <w:rPr>
                <w:rFonts w:ascii="Verdana" w:eastAsia="Verdana" w:hAnsi="Verdana" w:cs="Verdana"/>
                <w:noProof/>
                <w:color w:val="FFFFFF"/>
                <w:sz w:val="16"/>
              </w:rPr>
            </w:pPr>
            <w:r>
              <w:rPr>
                <w:rFonts w:ascii="Verdana" w:eastAsia="Verdana" w:hAnsi="Verdana" w:cs="Verdana"/>
                <w:noProof/>
                <w:color w:val="FFFFFF"/>
                <w:sz w:val="16"/>
              </w:rPr>
              <w:t>13=10+</w:t>
            </w:r>
          </w:p>
          <w:p w14:paraId="2138D626" w14:textId="77777777" w:rsidR="00807FFE" w:rsidRDefault="00023E71">
            <w:pPr>
              <w:pStyle w:val="DMETW36742BIPMFF2ImplementCommitments"/>
              <w:jc w:val="center"/>
              <w:rPr>
                <w:rFonts w:ascii="Verdana" w:eastAsia="Verdana" w:hAnsi="Verdana" w:cs="Verdana"/>
                <w:noProof/>
                <w:color w:val="FFFFFF"/>
                <w:sz w:val="16"/>
                <w:lang w:bidi="en-GB"/>
              </w:rPr>
            </w:pPr>
            <w:r>
              <w:rPr>
                <w:rFonts w:ascii="Verdana" w:eastAsia="Verdana" w:hAnsi="Verdana" w:cs="Verdana"/>
                <w:noProof/>
                <w:color w:val="FFFFFF"/>
                <w:sz w:val="16"/>
              </w:rPr>
              <w:t>11+12</w:t>
            </w:r>
          </w:p>
        </w:tc>
      </w:tr>
      <w:tr w:rsidR="00807FFE" w14:paraId="0528A81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6029D8B"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1</w:t>
            </w:r>
          </w:p>
        </w:tc>
        <w:tc>
          <w:tcPr>
            <w:tcW w:w="2944" w:type="dxa"/>
            <w:tcBorders>
              <w:top w:val="nil"/>
              <w:left w:val="nil"/>
              <w:bottom w:val="nil"/>
              <w:right w:val="nil"/>
              <w:tl2br w:val="nil"/>
              <w:tr2bl w:val="nil"/>
            </w:tcBorders>
            <w:tcMar>
              <w:left w:w="60" w:type="dxa"/>
              <w:right w:w="60" w:type="dxa"/>
            </w:tcMar>
            <w:vAlign w:val="center"/>
          </w:tcPr>
          <w:p w14:paraId="0D62D35D"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Single Market, Innovation and Digital</w:t>
            </w:r>
          </w:p>
        </w:tc>
        <w:tc>
          <w:tcPr>
            <w:tcW w:w="1275" w:type="dxa"/>
            <w:tcBorders>
              <w:top w:val="nil"/>
              <w:left w:val="nil"/>
              <w:bottom w:val="nil"/>
              <w:right w:val="nil"/>
              <w:tl2br w:val="nil"/>
              <w:tr2bl w:val="nil"/>
            </w:tcBorders>
            <w:tcMar>
              <w:left w:w="60" w:type="dxa"/>
              <w:right w:w="60" w:type="dxa"/>
            </w:tcMar>
            <w:vAlign w:val="center"/>
          </w:tcPr>
          <w:p w14:paraId="23533F8C"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30 466</w:t>
            </w:r>
          </w:p>
        </w:tc>
        <w:tc>
          <w:tcPr>
            <w:tcW w:w="857" w:type="dxa"/>
            <w:tcBorders>
              <w:top w:val="nil"/>
              <w:left w:val="nil"/>
              <w:bottom w:val="nil"/>
              <w:right w:val="nil"/>
              <w:tl2br w:val="nil"/>
              <w:tr2bl w:val="nil"/>
            </w:tcBorders>
            <w:tcMar>
              <w:left w:w="60" w:type="dxa"/>
              <w:right w:w="60" w:type="dxa"/>
            </w:tcMar>
            <w:vAlign w:val="center"/>
          </w:tcPr>
          <w:p w14:paraId="4BB9B081"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21 532</w:t>
            </w:r>
          </w:p>
        </w:tc>
        <w:tc>
          <w:tcPr>
            <w:tcW w:w="857" w:type="dxa"/>
            <w:tcBorders>
              <w:top w:val="nil"/>
              <w:left w:val="nil"/>
              <w:bottom w:val="nil"/>
              <w:right w:val="nil"/>
              <w:tl2br w:val="nil"/>
              <w:tr2bl w:val="nil"/>
            </w:tcBorders>
            <w:tcMar>
              <w:left w:w="60" w:type="dxa"/>
              <w:right w:w="60" w:type="dxa"/>
            </w:tcMar>
            <w:vAlign w:val="center"/>
          </w:tcPr>
          <w:p w14:paraId="2DB52C1E"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857" w:type="dxa"/>
            <w:tcBorders>
              <w:top w:val="nil"/>
              <w:left w:val="nil"/>
              <w:bottom w:val="nil"/>
              <w:right w:val="nil"/>
              <w:tl2br w:val="nil"/>
              <w:tr2bl w:val="nil"/>
            </w:tcBorders>
            <w:tcMar>
              <w:left w:w="60" w:type="dxa"/>
              <w:right w:w="60" w:type="dxa"/>
            </w:tcMar>
            <w:vAlign w:val="center"/>
          </w:tcPr>
          <w:p w14:paraId="1A6A39E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5 446</w:t>
            </w:r>
          </w:p>
        </w:tc>
        <w:tc>
          <w:tcPr>
            <w:tcW w:w="1120" w:type="dxa"/>
            <w:tcBorders>
              <w:top w:val="nil"/>
              <w:left w:val="nil"/>
              <w:bottom w:val="nil"/>
              <w:right w:val="nil"/>
              <w:tl2br w:val="nil"/>
              <w:tr2bl w:val="nil"/>
            </w:tcBorders>
            <w:tcMar>
              <w:left w:w="60" w:type="dxa"/>
              <w:right w:w="60" w:type="dxa"/>
            </w:tcMar>
            <w:vAlign w:val="center"/>
          </w:tcPr>
          <w:p w14:paraId="783C96A1"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27 095</w:t>
            </w:r>
          </w:p>
        </w:tc>
        <w:tc>
          <w:tcPr>
            <w:tcW w:w="857" w:type="dxa"/>
            <w:tcBorders>
              <w:top w:val="nil"/>
              <w:left w:val="nil"/>
              <w:bottom w:val="nil"/>
              <w:right w:val="nil"/>
              <w:tl2br w:val="nil"/>
              <w:tr2bl w:val="nil"/>
            </w:tcBorders>
            <w:tcMar>
              <w:left w:w="60" w:type="dxa"/>
              <w:right w:w="60" w:type="dxa"/>
            </w:tcMar>
            <w:vAlign w:val="center"/>
          </w:tcPr>
          <w:p w14:paraId="476B896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89 %</w:t>
            </w:r>
          </w:p>
        </w:tc>
        <w:tc>
          <w:tcPr>
            <w:tcW w:w="857" w:type="dxa"/>
            <w:tcBorders>
              <w:top w:val="nil"/>
              <w:left w:val="nil"/>
              <w:bottom w:val="nil"/>
              <w:right w:val="nil"/>
              <w:tl2br w:val="nil"/>
              <w:tr2bl w:val="nil"/>
            </w:tcBorders>
            <w:tcMar>
              <w:left w:w="60" w:type="dxa"/>
              <w:right w:w="60" w:type="dxa"/>
            </w:tcMar>
            <w:vAlign w:val="center"/>
          </w:tcPr>
          <w:p w14:paraId="038362C8"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627139C4"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3 362</w:t>
            </w:r>
          </w:p>
        </w:tc>
        <w:tc>
          <w:tcPr>
            <w:tcW w:w="857" w:type="dxa"/>
            <w:tcBorders>
              <w:top w:val="nil"/>
              <w:left w:val="nil"/>
              <w:bottom w:val="nil"/>
              <w:right w:val="nil"/>
              <w:tl2br w:val="nil"/>
              <w:tr2bl w:val="nil"/>
            </w:tcBorders>
            <w:tcMar>
              <w:left w:w="60" w:type="dxa"/>
              <w:right w:w="60" w:type="dxa"/>
            </w:tcMar>
            <w:vAlign w:val="center"/>
          </w:tcPr>
          <w:p w14:paraId="2CC20D5D"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3 362</w:t>
            </w:r>
          </w:p>
        </w:tc>
        <w:tc>
          <w:tcPr>
            <w:tcW w:w="857" w:type="dxa"/>
            <w:tcBorders>
              <w:top w:val="nil"/>
              <w:left w:val="nil"/>
              <w:bottom w:val="nil"/>
              <w:right w:val="nil"/>
              <w:tl2br w:val="nil"/>
              <w:tr2bl w:val="nil"/>
            </w:tcBorders>
            <w:tcMar>
              <w:left w:w="60" w:type="dxa"/>
              <w:right w:w="60" w:type="dxa"/>
            </w:tcMar>
            <w:vAlign w:val="center"/>
          </w:tcPr>
          <w:p w14:paraId="2B87779C"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57" w:type="dxa"/>
            <w:tcBorders>
              <w:top w:val="nil"/>
              <w:left w:val="nil"/>
              <w:bottom w:val="nil"/>
              <w:right w:val="nil"/>
              <w:tl2br w:val="nil"/>
              <w:tr2bl w:val="nil"/>
            </w:tcBorders>
            <w:tcMar>
              <w:left w:w="60" w:type="dxa"/>
              <w:right w:w="60" w:type="dxa"/>
            </w:tcMar>
            <w:vAlign w:val="center"/>
          </w:tcPr>
          <w:p w14:paraId="070478D0"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519B6E92"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57" w:type="dxa"/>
            <w:tcBorders>
              <w:top w:val="nil"/>
              <w:left w:val="nil"/>
              <w:bottom w:val="nil"/>
              <w:right w:val="nil"/>
              <w:tl2br w:val="nil"/>
              <w:tr2bl w:val="nil"/>
            </w:tcBorders>
            <w:tcMar>
              <w:left w:w="60" w:type="dxa"/>
              <w:right w:w="60" w:type="dxa"/>
            </w:tcMar>
            <w:vAlign w:val="center"/>
          </w:tcPr>
          <w:p w14:paraId="52EDBAEB"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1932DFE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3C4F7E3"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2</w:t>
            </w:r>
          </w:p>
        </w:tc>
        <w:tc>
          <w:tcPr>
            <w:tcW w:w="2944" w:type="dxa"/>
            <w:tcBorders>
              <w:top w:val="nil"/>
              <w:left w:val="nil"/>
              <w:bottom w:val="nil"/>
              <w:right w:val="nil"/>
              <w:tl2br w:val="nil"/>
              <w:tr2bl w:val="nil"/>
            </w:tcBorders>
            <w:tcMar>
              <w:left w:w="60" w:type="dxa"/>
              <w:right w:w="60" w:type="dxa"/>
            </w:tcMar>
            <w:vAlign w:val="center"/>
          </w:tcPr>
          <w:p w14:paraId="3666732B"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Cohesion, Resilience and Values</w:t>
            </w:r>
          </w:p>
        </w:tc>
        <w:tc>
          <w:tcPr>
            <w:tcW w:w="1275" w:type="dxa"/>
            <w:tcBorders>
              <w:top w:val="nil"/>
              <w:left w:val="nil"/>
              <w:bottom w:val="nil"/>
              <w:right w:val="nil"/>
              <w:tl2br w:val="nil"/>
              <w:tr2bl w:val="nil"/>
            </w:tcBorders>
            <w:tcMar>
              <w:left w:w="60" w:type="dxa"/>
              <w:right w:w="60" w:type="dxa"/>
            </w:tcMar>
            <w:vAlign w:val="center"/>
          </w:tcPr>
          <w:p w14:paraId="135CF8D6"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80 804</w:t>
            </w:r>
          </w:p>
        </w:tc>
        <w:tc>
          <w:tcPr>
            <w:tcW w:w="857" w:type="dxa"/>
            <w:tcBorders>
              <w:top w:val="nil"/>
              <w:left w:val="nil"/>
              <w:bottom w:val="nil"/>
              <w:right w:val="nil"/>
              <w:tl2br w:val="nil"/>
              <w:tr2bl w:val="nil"/>
            </w:tcBorders>
            <w:tcMar>
              <w:left w:w="60" w:type="dxa"/>
              <w:right w:w="60" w:type="dxa"/>
            </w:tcMar>
            <w:vAlign w:val="center"/>
          </w:tcPr>
          <w:p w14:paraId="70C2F6C4"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76 865</w:t>
            </w:r>
          </w:p>
        </w:tc>
        <w:tc>
          <w:tcPr>
            <w:tcW w:w="857" w:type="dxa"/>
            <w:tcBorders>
              <w:top w:val="nil"/>
              <w:left w:val="nil"/>
              <w:bottom w:val="nil"/>
              <w:right w:val="nil"/>
              <w:tl2br w:val="nil"/>
              <w:tr2bl w:val="nil"/>
            </w:tcBorders>
            <w:tcMar>
              <w:left w:w="60" w:type="dxa"/>
              <w:right w:w="60" w:type="dxa"/>
            </w:tcMar>
            <w:vAlign w:val="center"/>
          </w:tcPr>
          <w:p w14:paraId="0281B2E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44B9A2A2"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2 019</w:t>
            </w:r>
          </w:p>
        </w:tc>
        <w:tc>
          <w:tcPr>
            <w:tcW w:w="1120" w:type="dxa"/>
            <w:tcBorders>
              <w:top w:val="nil"/>
              <w:left w:val="nil"/>
              <w:bottom w:val="nil"/>
              <w:right w:val="nil"/>
              <w:tl2br w:val="nil"/>
              <w:tr2bl w:val="nil"/>
            </w:tcBorders>
            <w:tcMar>
              <w:left w:w="60" w:type="dxa"/>
              <w:right w:w="60" w:type="dxa"/>
            </w:tcMar>
            <w:vAlign w:val="center"/>
          </w:tcPr>
          <w:p w14:paraId="20A102B6"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78 884</w:t>
            </w:r>
          </w:p>
        </w:tc>
        <w:tc>
          <w:tcPr>
            <w:tcW w:w="857" w:type="dxa"/>
            <w:tcBorders>
              <w:top w:val="nil"/>
              <w:left w:val="nil"/>
              <w:bottom w:val="nil"/>
              <w:right w:val="nil"/>
              <w:tl2br w:val="nil"/>
              <w:tr2bl w:val="nil"/>
            </w:tcBorders>
            <w:tcMar>
              <w:left w:w="60" w:type="dxa"/>
              <w:right w:w="60" w:type="dxa"/>
            </w:tcMar>
            <w:vAlign w:val="center"/>
          </w:tcPr>
          <w:p w14:paraId="5BF1D323"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57" w:type="dxa"/>
            <w:tcBorders>
              <w:top w:val="nil"/>
              <w:left w:val="nil"/>
              <w:bottom w:val="nil"/>
              <w:right w:val="nil"/>
              <w:tl2br w:val="nil"/>
              <w:tr2bl w:val="nil"/>
            </w:tcBorders>
            <w:tcMar>
              <w:left w:w="60" w:type="dxa"/>
              <w:right w:w="60" w:type="dxa"/>
            </w:tcMar>
            <w:vAlign w:val="center"/>
          </w:tcPr>
          <w:p w14:paraId="673DC971"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14:paraId="4865EB30"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776</w:t>
            </w:r>
          </w:p>
        </w:tc>
        <w:tc>
          <w:tcPr>
            <w:tcW w:w="857" w:type="dxa"/>
            <w:tcBorders>
              <w:top w:val="nil"/>
              <w:left w:val="nil"/>
              <w:bottom w:val="nil"/>
              <w:right w:val="nil"/>
              <w:tl2br w:val="nil"/>
              <w:tr2bl w:val="nil"/>
            </w:tcBorders>
            <w:tcMar>
              <w:left w:w="60" w:type="dxa"/>
              <w:right w:w="60" w:type="dxa"/>
            </w:tcMar>
            <w:vAlign w:val="center"/>
          </w:tcPr>
          <w:p w14:paraId="08FC62F0"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776</w:t>
            </w:r>
          </w:p>
        </w:tc>
        <w:tc>
          <w:tcPr>
            <w:tcW w:w="857" w:type="dxa"/>
            <w:tcBorders>
              <w:top w:val="nil"/>
              <w:left w:val="nil"/>
              <w:bottom w:val="nil"/>
              <w:right w:val="nil"/>
              <w:tl2br w:val="nil"/>
              <w:tr2bl w:val="nil"/>
            </w:tcBorders>
            <w:tcMar>
              <w:left w:w="60" w:type="dxa"/>
              <w:right w:w="60" w:type="dxa"/>
            </w:tcMar>
            <w:vAlign w:val="center"/>
          </w:tcPr>
          <w:p w14:paraId="556C4423"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1 113</w:t>
            </w:r>
          </w:p>
        </w:tc>
        <w:tc>
          <w:tcPr>
            <w:tcW w:w="857" w:type="dxa"/>
            <w:tcBorders>
              <w:top w:val="nil"/>
              <w:left w:val="nil"/>
              <w:bottom w:val="nil"/>
              <w:right w:val="nil"/>
              <w:tl2br w:val="nil"/>
              <w:tr2bl w:val="nil"/>
            </w:tcBorders>
            <w:tcMar>
              <w:left w:w="60" w:type="dxa"/>
              <w:right w:w="60" w:type="dxa"/>
            </w:tcMar>
            <w:vAlign w:val="center"/>
          </w:tcPr>
          <w:p w14:paraId="357EE056"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14:paraId="5F71131D"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57" w:type="dxa"/>
            <w:tcBorders>
              <w:top w:val="nil"/>
              <w:left w:val="nil"/>
              <w:bottom w:val="nil"/>
              <w:right w:val="nil"/>
              <w:tl2br w:val="nil"/>
              <w:tr2bl w:val="nil"/>
            </w:tcBorders>
            <w:tcMar>
              <w:left w:w="60" w:type="dxa"/>
              <w:right w:w="60" w:type="dxa"/>
            </w:tcMar>
            <w:vAlign w:val="center"/>
          </w:tcPr>
          <w:p w14:paraId="0FF73181"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1 144</w:t>
            </w:r>
          </w:p>
        </w:tc>
      </w:tr>
      <w:tr w:rsidR="00807FFE" w14:paraId="762846E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FC48A0B"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3</w:t>
            </w:r>
          </w:p>
        </w:tc>
        <w:tc>
          <w:tcPr>
            <w:tcW w:w="2944" w:type="dxa"/>
            <w:tcBorders>
              <w:top w:val="nil"/>
              <w:left w:val="nil"/>
              <w:bottom w:val="nil"/>
              <w:right w:val="nil"/>
              <w:tl2br w:val="nil"/>
              <w:tr2bl w:val="nil"/>
            </w:tcBorders>
            <w:tcMar>
              <w:left w:w="60" w:type="dxa"/>
              <w:right w:w="60" w:type="dxa"/>
            </w:tcMar>
            <w:vAlign w:val="center"/>
          </w:tcPr>
          <w:p w14:paraId="41F09BC4"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Natural Resources and Environment</w:t>
            </w:r>
          </w:p>
        </w:tc>
        <w:tc>
          <w:tcPr>
            <w:tcW w:w="1275" w:type="dxa"/>
            <w:tcBorders>
              <w:top w:val="nil"/>
              <w:left w:val="nil"/>
              <w:bottom w:val="nil"/>
              <w:right w:val="nil"/>
              <w:tl2br w:val="nil"/>
              <w:tr2bl w:val="nil"/>
            </w:tcBorders>
            <w:tcMar>
              <w:left w:w="60" w:type="dxa"/>
              <w:right w:w="60" w:type="dxa"/>
            </w:tcMar>
            <w:vAlign w:val="center"/>
          </w:tcPr>
          <w:p w14:paraId="46948AE4"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58 961</w:t>
            </w:r>
          </w:p>
        </w:tc>
        <w:tc>
          <w:tcPr>
            <w:tcW w:w="857" w:type="dxa"/>
            <w:tcBorders>
              <w:top w:val="nil"/>
              <w:left w:val="nil"/>
              <w:bottom w:val="nil"/>
              <w:right w:val="nil"/>
              <w:tl2br w:val="nil"/>
              <w:tr2bl w:val="nil"/>
            </w:tcBorders>
            <w:tcMar>
              <w:left w:w="60" w:type="dxa"/>
              <w:right w:w="60" w:type="dxa"/>
            </w:tcMar>
            <w:vAlign w:val="center"/>
          </w:tcPr>
          <w:p w14:paraId="4BA11AC1"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56 472</w:t>
            </w:r>
          </w:p>
        </w:tc>
        <w:tc>
          <w:tcPr>
            <w:tcW w:w="857" w:type="dxa"/>
            <w:tcBorders>
              <w:top w:val="nil"/>
              <w:left w:val="nil"/>
              <w:bottom w:val="nil"/>
              <w:right w:val="nil"/>
              <w:tl2br w:val="nil"/>
              <w:tr2bl w:val="nil"/>
            </w:tcBorders>
            <w:tcMar>
              <w:left w:w="60" w:type="dxa"/>
              <w:right w:w="60" w:type="dxa"/>
            </w:tcMar>
            <w:vAlign w:val="center"/>
          </w:tcPr>
          <w:p w14:paraId="7E8C345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857" w:type="dxa"/>
            <w:tcBorders>
              <w:top w:val="nil"/>
              <w:left w:val="nil"/>
              <w:bottom w:val="nil"/>
              <w:right w:val="nil"/>
              <w:tl2br w:val="nil"/>
              <w:tr2bl w:val="nil"/>
            </w:tcBorders>
            <w:tcMar>
              <w:left w:w="60" w:type="dxa"/>
              <w:right w:w="60" w:type="dxa"/>
            </w:tcMar>
            <w:vAlign w:val="center"/>
          </w:tcPr>
          <w:p w14:paraId="63C16385"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995</w:t>
            </w:r>
          </w:p>
        </w:tc>
        <w:tc>
          <w:tcPr>
            <w:tcW w:w="1120" w:type="dxa"/>
            <w:tcBorders>
              <w:top w:val="nil"/>
              <w:left w:val="nil"/>
              <w:bottom w:val="nil"/>
              <w:right w:val="nil"/>
              <w:tl2br w:val="nil"/>
              <w:tr2bl w:val="nil"/>
            </w:tcBorders>
            <w:tcMar>
              <w:left w:w="60" w:type="dxa"/>
              <w:right w:w="60" w:type="dxa"/>
            </w:tcMar>
            <w:vAlign w:val="center"/>
          </w:tcPr>
          <w:p w14:paraId="0D13C4D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57 658</w:t>
            </w:r>
          </w:p>
        </w:tc>
        <w:tc>
          <w:tcPr>
            <w:tcW w:w="857" w:type="dxa"/>
            <w:tcBorders>
              <w:top w:val="nil"/>
              <w:left w:val="nil"/>
              <w:bottom w:val="nil"/>
              <w:right w:val="nil"/>
              <w:tl2br w:val="nil"/>
              <w:tr2bl w:val="nil"/>
            </w:tcBorders>
            <w:tcMar>
              <w:left w:w="60" w:type="dxa"/>
              <w:right w:w="60" w:type="dxa"/>
            </w:tcMar>
            <w:vAlign w:val="center"/>
          </w:tcPr>
          <w:p w14:paraId="4A73A960"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57" w:type="dxa"/>
            <w:tcBorders>
              <w:top w:val="nil"/>
              <w:left w:val="nil"/>
              <w:bottom w:val="nil"/>
              <w:right w:val="nil"/>
              <w:tl2br w:val="nil"/>
              <w:tr2bl w:val="nil"/>
            </w:tcBorders>
            <w:tcMar>
              <w:left w:w="60" w:type="dxa"/>
              <w:right w:w="60" w:type="dxa"/>
            </w:tcMar>
            <w:vAlign w:val="center"/>
          </w:tcPr>
          <w:p w14:paraId="52359AF8"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391</w:t>
            </w:r>
          </w:p>
        </w:tc>
        <w:tc>
          <w:tcPr>
            <w:tcW w:w="857" w:type="dxa"/>
            <w:tcBorders>
              <w:top w:val="nil"/>
              <w:left w:val="nil"/>
              <w:bottom w:val="nil"/>
              <w:right w:val="nil"/>
              <w:tl2br w:val="nil"/>
              <w:tr2bl w:val="nil"/>
            </w:tcBorders>
            <w:tcMar>
              <w:left w:w="60" w:type="dxa"/>
              <w:right w:w="60" w:type="dxa"/>
            </w:tcMar>
            <w:vAlign w:val="center"/>
          </w:tcPr>
          <w:p w14:paraId="6D8706C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705</w:t>
            </w:r>
          </w:p>
        </w:tc>
        <w:tc>
          <w:tcPr>
            <w:tcW w:w="857" w:type="dxa"/>
            <w:tcBorders>
              <w:top w:val="nil"/>
              <w:left w:val="nil"/>
              <w:bottom w:val="nil"/>
              <w:right w:val="nil"/>
              <w:tl2br w:val="nil"/>
              <w:tr2bl w:val="nil"/>
            </w:tcBorders>
            <w:tcMar>
              <w:left w:w="60" w:type="dxa"/>
              <w:right w:w="60" w:type="dxa"/>
            </w:tcMar>
            <w:vAlign w:val="center"/>
          </w:tcPr>
          <w:p w14:paraId="701C6665"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1 096</w:t>
            </w:r>
          </w:p>
        </w:tc>
        <w:tc>
          <w:tcPr>
            <w:tcW w:w="857" w:type="dxa"/>
            <w:tcBorders>
              <w:top w:val="nil"/>
              <w:left w:val="nil"/>
              <w:bottom w:val="nil"/>
              <w:right w:val="nil"/>
              <w:tl2br w:val="nil"/>
              <w:tr2bl w:val="nil"/>
            </w:tcBorders>
            <w:tcMar>
              <w:left w:w="60" w:type="dxa"/>
              <w:right w:w="60" w:type="dxa"/>
            </w:tcMar>
            <w:vAlign w:val="center"/>
          </w:tcPr>
          <w:p w14:paraId="0C912A01"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57" w:type="dxa"/>
            <w:tcBorders>
              <w:top w:val="nil"/>
              <w:left w:val="nil"/>
              <w:bottom w:val="nil"/>
              <w:right w:val="nil"/>
              <w:tl2br w:val="nil"/>
              <w:tr2bl w:val="nil"/>
            </w:tcBorders>
            <w:tcMar>
              <w:left w:w="60" w:type="dxa"/>
              <w:right w:w="60" w:type="dxa"/>
            </w:tcMar>
            <w:vAlign w:val="center"/>
          </w:tcPr>
          <w:p w14:paraId="38051ED6"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377CD39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857" w:type="dxa"/>
            <w:tcBorders>
              <w:top w:val="nil"/>
              <w:left w:val="nil"/>
              <w:bottom w:val="nil"/>
              <w:right w:val="nil"/>
              <w:tl2br w:val="nil"/>
              <w:tr2bl w:val="nil"/>
            </w:tcBorders>
            <w:tcMar>
              <w:left w:w="60" w:type="dxa"/>
              <w:right w:w="60" w:type="dxa"/>
            </w:tcMar>
            <w:vAlign w:val="center"/>
          </w:tcPr>
          <w:p w14:paraId="4ACEAF4F"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206</w:t>
            </w:r>
          </w:p>
        </w:tc>
      </w:tr>
      <w:tr w:rsidR="00807FFE" w14:paraId="56960B1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23530FD"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4</w:t>
            </w:r>
          </w:p>
        </w:tc>
        <w:tc>
          <w:tcPr>
            <w:tcW w:w="2944" w:type="dxa"/>
            <w:tcBorders>
              <w:top w:val="nil"/>
              <w:left w:val="nil"/>
              <w:bottom w:val="nil"/>
              <w:right w:val="nil"/>
              <w:tl2br w:val="nil"/>
              <w:tr2bl w:val="nil"/>
            </w:tcBorders>
            <w:tcMar>
              <w:left w:w="60" w:type="dxa"/>
              <w:right w:w="60" w:type="dxa"/>
            </w:tcMar>
            <w:vAlign w:val="center"/>
          </w:tcPr>
          <w:p w14:paraId="4DA51361"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Migration and Border Management</w:t>
            </w:r>
          </w:p>
        </w:tc>
        <w:tc>
          <w:tcPr>
            <w:tcW w:w="1275" w:type="dxa"/>
            <w:tcBorders>
              <w:top w:val="nil"/>
              <w:left w:val="nil"/>
              <w:bottom w:val="nil"/>
              <w:right w:val="nil"/>
              <w:tl2br w:val="nil"/>
              <w:tr2bl w:val="nil"/>
            </w:tcBorders>
            <w:tcMar>
              <w:left w:w="60" w:type="dxa"/>
              <w:right w:w="60" w:type="dxa"/>
            </w:tcMar>
            <w:vAlign w:val="center"/>
          </w:tcPr>
          <w:p w14:paraId="50E5564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5 338</w:t>
            </w:r>
          </w:p>
        </w:tc>
        <w:tc>
          <w:tcPr>
            <w:tcW w:w="857" w:type="dxa"/>
            <w:tcBorders>
              <w:top w:val="nil"/>
              <w:left w:val="nil"/>
              <w:bottom w:val="nil"/>
              <w:right w:val="nil"/>
              <w:tl2br w:val="nil"/>
              <w:tr2bl w:val="nil"/>
            </w:tcBorders>
            <w:tcMar>
              <w:left w:w="60" w:type="dxa"/>
              <w:right w:w="60" w:type="dxa"/>
            </w:tcMar>
            <w:vAlign w:val="center"/>
          </w:tcPr>
          <w:p w14:paraId="092C54DD"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4 644</w:t>
            </w:r>
          </w:p>
        </w:tc>
        <w:tc>
          <w:tcPr>
            <w:tcW w:w="857" w:type="dxa"/>
            <w:tcBorders>
              <w:top w:val="nil"/>
              <w:left w:val="nil"/>
              <w:bottom w:val="nil"/>
              <w:right w:val="nil"/>
              <w:tl2br w:val="nil"/>
              <w:tr2bl w:val="nil"/>
            </w:tcBorders>
            <w:tcMar>
              <w:left w:w="60" w:type="dxa"/>
              <w:right w:w="60" w:type="dxa"/>
            </w:tcMar>
            <w:vAlign w:val="center"/>
          </w:tcPr>
          <w:p w14:paraId="04C05F0E"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14:paraId="630B5B7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w:t>
            </w:r>
          </w:p>
        </w:tc>
        <w:tc>
          <w:tcPr>
            <w:tcW w:w="1120" w:type="dxa"/>
            <w:tcBorders>
              <w:top w:val="nil"/>
              <w:left w:val="nil"/>
              <w:bottom w:val="nil"/>
              <w:right w:val="nil"/>
              <w:tl2br w:val="nil"/>
              <w:tr2bl w:val="nil"/>
            </w:tcBorders>
            <w:tcMar>
              <w:left w:w="60" w:type="dxa"/>
              <w:right w:w="60" w:type="dxa"/>
            </w:tcMar>
            <w:vAlign w:val="center"/>
          </w:tcPr>
          <w:p w14:paraId="45C1246C"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4 738</w:t>
            </w:r>
          </w:p>
        </w:tc>
        <w:tc>
          <w:tcPr>
            <w:tcW w:w="857" w:type="dxa"/>
            <w:tcBorders>
              <w:top w:val="nil"/>
              <w:left w:val="nil"/>
              <w:bottom w:val="nil"/>
              <w:right w:val="nil"/>
              <w:tl2br w:val="nil"/>
              <w:tr2bl w:val="nil"/>
            </w:tcBorders>
            <w:tcMar>
              <w:left w:w="60" w:type="dxa"/>
              <w:right w:w="60" w:type="dxa"/>
            </w:tcMar>
            <w:vAlign w:val="center"/>
          </w:tcPr>
          <w:p w14:paraId="1D9F198E"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89 %</w:t>
            </w:r>
          </w:p>
        </w:tc>
        <w:tc>
          <w:tcPr>
            <w:tcW w:w="857" w:type="dxa"/>
            <w:tcBorders>
              <w:top w:val="nil"/>
              <w:left w:val="nil"/>
              <w:bottom w:val="nil"/>
              <w:right w:val="nil"/>
              <w:tl2br w:val="nil"/>
              <w:tr2bl w:val="nil"/>
            </w:tcBorders>
            <w:tcMar>
              <w:left w:w="60" w:type="dxa"/>
              <w:right w:w="60" w:type="dxa"/>
            </w:tcMar>
            <w:vAlign w:val="center"/>
          </w:tcPr>
          <w:p w14:paraId="7BA419A6"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14:paraId="6178F6EE"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599</w:t>
            </w:r>
          </w:p>
        </w:tc>
        <w:tc>
          <w:tcPr>
            <w:tcW w:w="857" w:type="dxa"/>
            <w:tcBorders>
              <w:top w:val="nil"/>
              <w:left w:val="nil"/>
              <w:bottom w:val="nil"/>
              <w:right w:val="nil"/>
              <w:tl2br w:val="nil"/>
              <w:tr2bl w:val="nil"/>
            </w:tcBorders>
            <w:tcMar>
              <w:left w:w="60" w:type="dxa"/>
              <w:right w:w="60" w:type="dxa"/>
            </w:tcMar>
            <w:vAlign w:val="center"/>
          </w:tcPr>
          <w:p w14:paraId="78A5EB97"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599</w:t>
            </w:r>
          </w:p>
        </w:tc>
        <w:tc>
          <w:tcPr>
            <w:tcW w:w="857" w:type="dxa"/>
            <w:tcBorders>
              <w:top w:val="nil"/>
              <w:left w:val="nil"/>
              <w:bottom w:val="nil"/>
              <w:right w:val="nil"/>
              <w:tl2br w:val="nil"/>
              <w:tr2bl w:val="nil"/>
            </w:tcBorders>
            <w:tcMar>
              <w:left w:w="60" w:type="dxa"/>
              <w:right w:w="60" w:type="dxa"/>
            </w:tcMar>
            <w:vAlign w:val="center"/>
          </w:tcPr>
          <w:p w14:paraId="104BE59D"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4AB45EEC"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14:paraId="04AA67FE"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1864301A"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5F958B4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53473A8"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5</w:t>
            </w:r>
          </w:p>
        </w:tc>
        <w:tc>
          <w:tcPr>
            <w:tcW w:w="2944" w:type="dxa"/>
            <w:tcBorders>
              <w:top w:val="nil"/>
              <w:left w:val="nil"/>
              <w:bottom w:val="nil"/>
              <w:right w:val="nil"/>
              <w:tl2br w:val="nil"/>
              <w:tr2bl w:val="nil"/>
            </w:tcBorders>
            <w:tcMar>
              <w:left w:w="60" w:type="dxa"/>
              <w:right w:w="60" w:type="dxa"/>
            </w:tcMar>
            <w:vAlign w:val="center"/>
          </w:tcPr>
          <w:p w14:paraId="5845C900"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Security and Defence</w:t>
            </w:r>
          </w:p>
        </w:tc>
        <w:tc>
          <w:tcPr>
            <w:tcW w:w="1275" w:type="dxa"/>
            <w:tcBorders>
              <w:top w:val="nil"/>
              <w:left w:val="nil"/>
              <w:bottom w:val="nil"/>
              <w:right w:val="nil"/>
              <w:tl2br w:val="nil"/>
              <w:tr2bl w:val="nil"/>
            </w:tcBorders>
            <w:tcMar>
              <w:left w:w="60" w:type="dxa"/>
              <w:right w:w="60" w:type="dxa"/>
            </w:tcMar>
            <w:vAlign w:val="center"/>
          </w:tcPr>
          <w:p w14:paraId="083CDE18"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2 742</w:t>
            </w:r>
          </w:p>
        </w:tc>
        <w:tc>
          <w:tcPr>
            <w:tcW w:w="857" w:type="dxa"/>
            <w:tcBorders>
              <w:top w:val="nil"/>
              <w:left w:val="nil"/>
              <w:bottom w:val="nil"/>
              <w:right w:val="nil"/>
              <w:tl2br w:val="nil"/>
              <w:tr2bl w:val="nil"/>
            </w:tcBorders>
            <w:tcMar>
              <w:left w:w="60" w:type="dxa"/>
              <w:right w:w="60" w:type="dxa"/>
            </w:tcMar>
            <w:vAlign w:val="center"/>
          </w:tcPr>
          <w:p w14:paraId="2220F113"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2 620</w:t>
            </w:r>
          </w:p>
        </w:tc>
        <w:tc>
          <w:tcPr>
            <w:tcW w:w="857" w:type="dxa"/>
            <w:tcBorders>
              <w:top w:val="nil"/>
              <w:left w:val="nil"/>
              <w:bottom w:val="nil"/>
              <w:right w:val="nil"/>
              <w:tl2br w:val="nil"/>
              <w:tr2bl w:val="nil"/>
            </w:tcBorders>
            <w:tcMar>
              <w:left w:w="60" w:type="dxa"/>
              <w:right w:w="60" w:type="dxa"/>
            </w:tcMar>
            <w:vAlign w:val="center"/>
          </w:tcPr>
          <w:p w14:paraId="64CD1BC6"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14:paraId="2BAF6BC6"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1120" w:type="dxa"/>
            <w:tcBorders>
              <w:top w:val="nil"/>
              <w:left w:val="nil"/>
              <w:bottom w:val="nil"/>
              <w:right w:val="nil"/>
              <w:tl2br w:val="nil"/>
              <w:tr2bl w:val="nil"/>
            </w:tcBorders>
            <w:tcMar>
              <w:left w:w="60" w:type="dxa"/>
              <w:right w:w="60" w:type="dxa"/>
            </w:tcMar>
            <w:vAlign w:val="center"/>
          </w:tcPr>
          <w:p w14:paraId="03C6538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2 666</w:t>
            </w:r>
          </w:p>
        </w:tc>
        <w:tc>
          <w:tcPr>
            <w:tcW w:w="857" w:type="dxa"/>
            <w:tcBorders>
              <w:top w:val="nil"/>
              <w:left w:val="nil"/>
              <w:bottom w:val="nil"/>
              <w:right w:val="nil"/>
              <w:tl2br w:val="nil"/>
              <w:tr2bl w:val="nil"/>
            </w:tcBorders>
            <w:tcMar>
              <w:left w:w="60" w:type="dxa"/>
              <w:right w:w="60" w:type="dxa"/>
            </w:tcMar>
            <w:vAlign w:val="center"/>
          </w:tcPr>
          <w:p w14:paraId="6A7F88F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57" w:type="dxa"/>
            <w:tcBorders>
              <w:top w:val="nil"/>
              <w:left w:val="nil"/>
              <w:bottom w:val="nil"/>
              <w:right w:val="nil"/>
              <w:tl2br w:val="nil"/>
              <w:tr2bl w:val="nil"/>
            </w:tcBorders>
            <w:tcMar>
              <w:left w:w="60" w:type="dxa"/>
              <w:right w:w="60" w:type="dxa"/>
            </w:tcMar>
            <w:vAlign w:val="center"/>
          </w:tcPr>
          <w:p w14:paraId="39B6F9B3"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57" w:type="dxa"/>
            <w:tcBorders>
              <w:top w:val="nil"/>
              <w:left w:val="nil"/>
              <w:bottom w:val="nil"/>
              <w:right w:val="nil"/>
              <w:tl2br w:val="nil"/>
              <w:tr2bl w:val="nil"/>
            </w:tcBorders>
            <w:tcMar>
              <w:left w:w="60" w:type="dxa"/>
              <w:right w:w="60" w:type="dxa"/>
            </w:tcMar>
            <w:vAlign w:val="center"/>
          </w:tcPr>
          <w:p w14:paraId="3B960CD0"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857" w:type="dxa"/>
            <w:tcBorders>
              <w:top w:val="nil"/>
              <w:left w:val="nil"/>
              <w:bottom w:val="nil"/>
              <w:right w:val="nil"/>
              <w:tl2br w:val="nil"/>
              <w:tr2bl w:val="nil"/>
            </w:tcBorders>
            <w:tcMar>
              <w:left w:w="60" w:type="dxa"/>
              <w:right w:w="60" w:type="dxa"/>
            </w:tcMar>
            <w:vAlign w:val="center"/>
          </w:tcPr>
          <w:p w14:paraId="067657A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857" w:type="dxa"/>
            <w:tcBorders>
              <w:top w:val="nil"/>
              <w:left w:val="nil"/>
              <w:bottom w:val="nil"/>
              <w:right w:val="nil"/>
              <w:tl2br w:val="nil"/>
              <w:tr2bl w:val="nil"/>
            </w:tcBorders>
            <w:tcMar>
              <w:left w:w="60" w:type="dxa"/>
              <w:right w:w="60" w:type="dxa"/>
            </w:tcMar>
            <w:vAlign w:val="center"/>
          </w:tcPr>
          <w:p w14:paraId="050DCEE8"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7DC74BF5"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14:paraId="61B9E040"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32DCE6F8"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54417F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70C7B03"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6</w:t>
            </w:r>
          </w:p>
        </w:tc>
        <w:tc>
          <w:tcPr>
            <w:tcW w:w="2944" w:type="dxa"/>
            <w:tcBorders>
              <w:top w:val="nil"/>
              <w:left w:val="nil"/>
              <w:bottom w:val="nil"/>
              <w:right w:val="nil"/>
              <w:tl2br w:val="nil"/>
              <w:tr2bl w:val="nil"/>
            </w:tcBorders>
            <w:tcMar>
              <w:left w:w="60" w:type="dxa"/>
              <w:right w:w="60" w:type="dxa"/>
            </w:tcMar>
            <w:vAlign w:val="center"/>
          </w:tcPr>
          <w:p w14:paraId="04D7C443"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Neighbourhood and the World</w:t>
            </w:r>
          </w:p>
        </w:tc>
        <w:tc>
          <w:tcPr>
            <w:tcW w:w="1275" w:type="dxa"/>
            <w:tcBorders>
              <w:top w:val="nil"/>
              <w:left w:val="nil"/>
              <w:bottom w:val="nil"/>
              <w:right w:val="nil"/>
              <w:tl2br w:val="nil"/>
              <w:tr2bl w:val="nil"/>
            </w:tcBorders>
            <w:tcMar>
              <w:left w:w="60" w:type="dxa"/>
              <w:right w:w="60" w:type="dxa"/>
            </w:tcMar>
            <w:vAlign w:val="center"/>
          </w:tcPr>
          <w:p w14:paraId="6490EB38"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20 828</w:t>
            </w:r>
          </w:p>
        </w:tc>
        <w:tc>
          <w:tcPr>
            <w:tcW w:w="857" w:type="dxa"/>
            <w:tcBorders>
              <w:top w:val="nil"/>
              <w:left w:val="nil"/>
              <w:bottom w:val="nil"/>
              <w:right w:val="nil"/>
              <w:tl2br w:val="nil"/>
              <w:tr2bl w:val="nil"/>
            </w:tcBorders>
            <w:tcMar>
              <w:left w:w="60" w:type="dxa"/>
              <w:right w:w="60" w:type="dxa"/>
            </w:tcMar>
            <w:vAlign w:val="center"/>
          </w:tcPr>
          <w:p w14:paraId="269CBBF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16 218</w:t>
            </w:r>
          </w:p>
        </w:tc>
        <w:tc>
          <w:tcPr>
            <w:tcW w:w="857" w:type="dxa"/>
            <w:tcBorders>
              <w:top w:val="nil"/>
              <w:left w:val="nil"/>
              <w:bottom w:val="nil"/>
              <w:right w:val="nil"/>
              <w:tl2br w:val="nil"/>
              <w:tr2bl w:val="nil"/>
            </w:tcBorders>
            <w:tcMar>
              <w:left w:w="60" w:type="dxa"/>
              <w:right w:w="60" w:type="dxa"/>
            </w:tcMar>
            <w:vAlign w:val="center"/>
          </w:tcPr>
          <w:p w14:paraId="65E45097"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929</w:t>
            </w:r>
          </w:p>
        </w:tc>
        <w:tc>
          <w:tcPr>
            <w:tcW w:w="857" w:type="dxa"/>
            <w:tcBorders>
              <w:top w:val="nil"/>
              <w:left w:val="nil"/>
              <w:bottom w:val="nil"/>
              <w:right w:val="nil"/>
              <w:tl2br w:val="nil"/>
              <w:tr2bl w:val="nil"/>
            </w:tcBorders>
            <w:tcMar>
              <w:left w:w="60" w:type="dxa"/>
              <w:right w:w="60" w:type="dxa"/>
            </w:tcMar>
            <w:vAlign w:val="center"/>
          </w:tcPr>
          <w:p w14:paraId="02F4AAD8"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2 498</w:t>
            </w:r>
          </w:p>
        </w:tc>
        <w:tc>
          <w:tcPr>
            <w:tcW w:w="1120" w:type="dxa"/>
            <w:tcBorders>
              <w:top w:val="nil"/>
              <w:left w:val="nil"/>
              <w:bottom w:val="nil"/>
              <w:right w:val="nil"/>
              <w:tl2br w:val="nil"/>
              <w:tr2bl w:val="nil"/>
            </w:tcBorders>
            <w:tcMar>
              <w:left w:w="60" w:type="dxa"/>
              <w:right w:w="60" w:type="dxa"/>
            </w:tcMar>
            <w:vAlign w:val="center"/>
          </w:tcPr>
          <w:p w14:paraId="7F4AC8D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19 645</w:t>
            </w:r>
          </w:p>
        </w:tc>
        <w:tc>
          <w:tcPr>
            <w:tcW w:w="857" w:type="dxa"/>
            <w:tcBorders>
              <w:top w:val="nil"/>
              <w:left w:val="nil"/>
              <w:bottom w:val="nil"/>
              <w:right w:val="nil"/>
              <w:tl2br w:val="nil"/>
              <w:tr2bl w:val="nil"/>
            </w:tcBorders>
            <w:tcMar>
              <w:left w:w="60" w:type="dxa"/>
              <w:right w:w="60" w:type="dxa"/>
            </w:tcMar>
            <w:vAlign w:val="center"/>
          </w:tcPr>
          <w:p w14:paraId="73084FB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857" w:type="dxa"/>
            <w:tcBorders>
              <w:top w:val="nil"/>
              <w:left w:val="nil"/>
              <w:bottom w:val="nil"/>
              <w:right w:val="nil"/>
              <w:tl2br w:val="nil"/>
              <w:tr2bl w:val="nil"/>
            </w:tcBorders>
            <w:tcMar>
              <w:left w:w="60" w:type="dxa"/>
              <w:right w:w="60" w:type="dxa"/>
            </w:tcMar>
            <w:vAlign w:val="center"/>
          </w:tcPr>
          <w:p w14:paraId="20E77F25"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682</w:t>
            </w:r>
          </w:p>
        </w:tc>
        <w:tc>
          <w:tcPr>
            <w:tcW w:w="857" w:type="dxa"/>
            <w:tcBorders>
              <w:top w:val="nil"/>
              <w:left w:val="nil"/>
              <w:bottom w:val="nil"/>
              <w:right w:val="nil"/>
              <w:tl2br w:val="nil"/>
              <w:tr2bl w:val="nil"/>
            </w:tcBorders>
            <w:tcMar>
              <w:left w:w="60" w:type="dxa"/>
              <w:right w:w="60" w:type="dxa"/>
            </w:tcMar>
            <w:vAlign w:val="center"/>
          </w:tcPr>
          <w:p w14:paraId="6C05698F"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468</w:t>
            </w:r>
          </w:p>
        </w:tc>
        <w:tc>
          <w:tcPr>
            <w:tcW w:w="857" w:type="dxa"/>
            <w:tcBorders>
              <w:top w:val="nil"/>
              <w:left w:val="nil"/>
              <w:bottom w:val="nil"/>
              <w:right w:val="nil"/>
              <w:tl2br w:val="nil"/>
              <w:tr2bl w:val="nil"/>
            </w:tcBorders>
            <w:tcMar>
              <w:left w:w="60" w:type="dxa"/>
              <w:right w:w="60" w:type="dxa"/>
            </w:tcMar>
            <w:vAlign w:val="center"/>
          </w:tcPr>
          <w:p w14:paraId="26AF78D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1 151</w:t>
            </w:r>
          </w:p>
        </w:tc>
        <w:tc>
          <w:tcPr>
            <w:tcW w:w="857" w:type="dxa"/>
            <w:tcBorders>
              <w:top w:val="nil"/>
              <w:left w:val="nil"/>
              <w:bottom w:val="nil"/>
              <w:right w:val="nil"/>
              <w:tl2br w:val="nil"/>
              <w:tr2bl w:val="nil"/>
            </w:tcBorders>
            <w:tcMar>
              <w:left w:w="60" w:type="dxa"/>
              <w:right w:w="60" w:type="dxa"/>
            </w:tcMar>
            <w:vAlign w:val="center"/>
          </w:tcPr>
          <w:p w14:paraId="34BC1E3C"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2FE0B1E0"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857" w:type="dxa"/>
            <w:tcBorders>
              <w:top w:val="nil"/>
              <w:left w:val="nil"/>
              <w:bottom w:val="nil"/>
              <w:right w:val="nil"/>
              <w:tl2br w:val="nil"/>
              <w:tr2bl w:val="nil"/>
            </w:tcBorders>
            <w:tcMar>
              <w:left w:w="60" w:type="dxa"/>
              <w:right w:w="60" w:type="dxa"/>
            </w:tcMar>
            <w:vAlign w:val="center"/>
          </w:tcPr>
          <w:p w14:paraId="5A149C31"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63B8D805"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32</w:t>
            </w:r>
          </w:p>
        </w:tc>
      </w:tr>
      <w:tr w:rsidR="00807FFE" w14:paraId="1F3C312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057A0D7"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7</w:t>
            </w:r>
          </w:p>
        </w:tc>
        <w:tc>
          <w:tcPr>
            <w:tcW w:w="2944" w:type="dxa"/>
            <w:tcBorders>
              <w:top w:val="nil"/>
              <w:left w:val="nil"/>
              <w:bottom w:val="nil"/>
              <w:right w:val="nil"/>
              <w:tl2br w:val="nil"/>
              <w:tr2bl w:val="nil"/>
            </w:tcBorders>
            <w:tcMar>
              <w:left w:w="60" w:type="dxa"/>
              <w:right w:w="60" w:type="dxa"/>
            </w:tcMar>
            <w:vAlign w:val="center"/>
          </w:tcPr>
          <w:p w14:paraId="1CC23099"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European Public Administration</w:t>
            </w:r>
          </w:p>
        </w:tc>
        <w:tc>
          <w:tcPr>
            <w:tcW w:w="1275" w:type="dxa"/>
            <w:tcBorders>
              <w:top w:val="nil"/>
              <w:left w:val="nil"/>
              <w:bottom w:val="nil"/>
              <w:right w:val="nil"/>
              <w:tl2br w:val="nil"/>
              <w:tr2bl w:val="nil"/>
            </w:tcBorders>
            <w:tcMar>
              <w:left w:w="60" w:type="dxa"/>
              <w:right w:w="60" w:type="dxa"/>
            </w:tcMar>
            <w:vAlign w:val="center"/>
          </w:tcPr>
          <w:p w14:paraId="60CF24E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15 115</w:t>
            </w:r>
          </w:p>
        </w:tc>
        <w:tc>
          <w:tcPr>
            <w:tcW w:w="857" w:type="dxa"/>
            <w:tcBorders>
              <w:top w:val="nil"/>
              <w:left w:val="nil"/>
              <w:bottom w:val="nil"/>
              <w:right w:val="nil"/>
              <w:tl2br w:val="nil"/>
              <w:tr2bl w:val="nil"/>
            </w:tcBorders>
            <w:tcMar>
              <w:left w:w="60" w:type="dxa"/>
              <w:right w:w="60" w:type="dxa"/>
            </w:tcMar>
            <w:vAlign w:val="center"/>
          </w:tcPr>
          <w:p w14:paraId="05C7FBD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12 707</w:t>
            </w:r>
          </w:p>
        </w:tc>
        <w:tc>
          <w:tcPr>
            <w:tcW w:w="857" w:type="dxa"/>
            <w:tcBorders>
              <w:top w:val="nil"/>
              <w:left w:val="nil"/>
              <w:bottom w:val="nil"/>
              <w:right w:val="nil"/>
              <w:tl2br w:val="nil"/>
              <w:tr2bl w:val="nil"/>
            </w:tcBorders>
            <w:tcMar>
              <w:left w:w="60" w:type="dxa"/>
              <w:right w:w="60" w:type="dxa"/>
            </w:tcMar>
            <w:vAlign w:val="center"/>
          </w:tcPr>
          <w:p w14:paraId="6415A1AD"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14:paraId="2CE84EA1"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1 247</w:t>
            </w:r>
          </w:p>
        </w:tc>
        <w:tc>
          <w:tcPr>
            <w:tcW w:w="1120" w:type="dxa"/>
            <w:tcBorders>
              <w:top w:val="nil"/>
              <w:left w:val="nil"/>
              <w:bottom w:val="nil"/>
              <w:right w:val="nil"/>
              <w:tl2br w:val="nil"/>
              <w:tr2bl w:val="nil"/>
            </w:tcBorders>
            <w:tcMar>
              <w:left w:w="60" w:type="dxa"/>
              <w:right w:w="60" w:type="dxa"/>
            </w:tcMar>
            <w:vAlign w:val="center"/>
          </w:tcPr>
          <w:p w14:paraId="671D35B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13 955</w:t>
            </w:r>
          </w:p>
        </w:tc>
        <w:tc>
          <w:tcPr>
            <w:tcW w:w="857" w:type="dxa"/>
            <w:tcBorders>
              <w:top w:val="nil"/>
              <w:left w:val="nil"/>
              <w:bottom w:val="nil"/>
              <w:right w:val="nil"/>
              <w:tl2br w:val="nil"/>
              <w:tr2bl w:val="nil"/>
            </w:tcBorders>
            <w:tcMar>
              <w:left w:w="60" w:type="dxa"/>
              <w:right w:w="60" w:type="dxa"/>
            </w:tcMar>
            <w:vAlign w:val="center"/>
          </w:tcPr>
          <w:p w14:paraId="66A3061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92 %</w:t>
            </w:r>
          </w:p>
        </w:tc>
        <w:tc>
          <w:tcPr>
            <w:tcW w:w="857" w:type="dxa"/>
            <w:tcBorders>
              <w:top w:val="nil"/>
              <w:left w:val="nil"/>
              <w:bottom w:val="nil"/>
              <w:right w:val="nil"/>
              <w:tl2br w:val="nil"/>
              <w:tr2bl w:val="nil"/>
            </w:tcBorders>
            <w:tcMar>
              <w:left w:w="60" w:type="dxa"/>
              <w:right w:w="60" w:type="dxa"/>
            </w:tcMar>
            <w:vAlign w:val="center"/>
          </w:tcPr>
          <w:p w14:paraId="172DCBA5"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52EA3542"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1 099</w:t>
            </w:r>
          </w:p>
        </w:tc>
        <w:tc>
          <w:tcPr>
            <w:tcW w:w="857" w:type="dxa"/>
            <w:tcBorders>
              <w:top w:val="nil"/>
              <w:left w:val="nil"/>
              <w:bottom w:val="nil"/>
              <w:right w:val="nil"/>
              <w:tl2br w:val="nil"/>
              <w:tr2bl w:val="nil"/>
            </w:tcBorders>
            <w:tcMar>
              <w:left w:w="60" w:type="dxa"/>
              <w:right w:w="60" w:type="dxa"/>
            </w:tcMar>
            <w:vAlign w:val="center"/>
          </w:tcPr>
          <w:p w14:paraId="7E0A0747"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1 099</w:t>
            </w:r>
          </w:p>
        </w:tc>
        <w:tc>
          <w:tcPr>
            <w:tcW w:w="857" w:type="dxa"/>
            <w:tcBorders>
              <w:top w:val="nil"/>
              <w:left w:val="nil"/>
              <w:bottom w:val="nil"/>
              <w:right w:val="nil"/>
              <w:tl2br w:val="nil"/>
              <w:tr2bl w:val="nil"/>
            </w:tcBorders>
            <w:tcMar>
              <w:left w:w="60" w:type="dxa"/>
              <w:right w:w="60" w:type="dxa"/>
            </w:tcMar>
            <w:vAlign w:val="center"/>
          </w:tcPr>
          <w:p w14:paraId="61C63AF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857" w:type="dxa"/>
            <w:tcBorders>
              <w:top w:val="nil"/>
              <w:left w:val="nil"/>
              <w:bottom w:val="nil"/>
              <w:right w:val="nil"/>
              <w:tl2br w:val="nil"/>
              <w:tr2bl w:val="nil"/>
            </w:tcBorders>
            <w:tcMar>
              <w:left w:w="60" w:type="dxa"/>
              <w:right w:w="60" w:type="dxa"/>
            </w:tcMar>
            <w:vAlign w:val="center"/>
          </w:tcPr>
          <w:p w14:paraId="0CD1A9B2"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6267C477"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57" w:type="dxa"/>
            <w:tcBorders>
              <w:top w:val="nil"/>
              <w:left w:val="nil"/>
              <w:bottom w:val="nil"/>
              <w:right w:val="nil"/>
              <w:tl2br w:val="nil"/>
              <w:tr2bl w:val="nil"/>
            </w:tcBorders>
            <w:tcMar>
              <w:left w:w="60" w:type="dxa"/>
              <w:right w:w="60" w:type="dxa"/>
            </w:tcMar>
            <w:vAlign w:val="center"/>
          </w:tcPr>
          <w:p w14:paraId="41E8E8EA"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62</w:t>
            </w:r>
          </w:p>
        </w:tc>
      </w:tr>
      <w:tr w:rsidR="00807FFE" w14:paraId="1CF6AE1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335637A"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O</w:t>
            </w:r>
          </w:p>
        </w:tc>
        <w:tc>
          <w:tcPr>
            <w:tcW w:w="2944" w:type="dxa"/>
            <w:tcBorders>
              <w:top w:val="nil"/>
              <w:left w:val="nil"/>
              <w:bottom w:val="nil"/>
              <w:right w:val="nil"/>
              <w:tl2br w:val="nil"/>
              <w:tr2bl w:val="nil"/>
            </w:tcBorders>
            <w:tcMar>
              <w:left w:w="60" w:type="dxa"/>
              <w:right w:w="60" w:type="dxa"/>
            </w:tcMar>
            <w:vAlign w:val="center"/>
          </w:tcPr>
          <w:p w14:paraId="12362AC5"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Outside MFF</w:t>
            </w:r>
          </w:p>
        </w:tc>
        <w:tc>
          <w:tcPr>
            <w:tcW w:w="1275" w:type="dxa"/>
            <w:tcBorders>
              <w:top w:val="nil"/>
              <w:left w:val="nil"/>
              <w:bottom w:val="nil"/>
              <w:right w:val="nil"/>
              <w:tl2br w:val="nil"/>
              <w:tr2bl w:val="nil"/>
            </w:tcBorders>
            <w:tcMar>
              <w:left w:w="60" w:type="dxa"/>
              <w:right w:w="60" w:type="dxa"/>
            </w:tcMar>
            <w:vAlign w:val="center"/>
          </w:tcPr>
          <w:p w14:paraId="43138D2D"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11 767</w:t>
            </w:r>
          </w:p>
        </w:tc>
        <w:tc>
          <w:tcPr>
            <w:tcW w:w="857" w:type="dxa"/>
            <w:tcBorders>
              <w:top w:val="nil"/>
              <w:left w:val="nil"/>
              <w:bottom w:val="nil"/>
              <w:right w:val="nil"/>
              <w:tl2br w:val="nil"/>
              <w:tr2bl w:val="nil"/>
            </w:tcBorders>
            <w:tcMar>
              <w:left w:w="60" w:type="dxa"/>
              <w:right w:w="60" w:type="dxa"/>
            </w:tcMar>
            <w:vAlign w:val="center"/>
          </w:tcPr>
          <w:p w14:paraId="601BC75F"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4 269</w:t>
            </w:r>
          </w:p>
        </w:tc>
        <w:tc>
          <w:tcPr>
            <w:tcW w:w="857" w:type="dxa"/>
            <w:tcBorders>
              <w:top w:val="nil"/>
              <w:left w:val="nil"/>
              <w:bottom w:val="nil"/>
              <w:right w:val="nil"/>
              <w:tl2br w:val="nil"/>
              <w:tr2bl w:val="nil"/>
            </w:tcBorders>
            <w:tcMar>
              <w:left w:w="60" w:type="dxa"/>
              <w:right w:w="60" w:type="dxa"/>
            </w:tcMar>
            <w:vAlign w:val="center"/>
          </w:tcPr>
          <w:p w14:paraId="24BC610E"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57" w:type="dxa"/>
            <w:tcBorders>
              <w:top w:val="nil"/>
              <w:left w:val="nil"/>
              <w:bottom w:val="nil"/>
              <w:right w:val="nil"/>
              <w:tl2br w:val="nil"/>
              <w:tr2bl w:val="nil"/>
            </w:tcBorders>
            <w:tcMar>
              <w:left w:w="60" w:type="dxa"/>
              <w:right w:w="60" w:type="dxa"/>
            </w:tcMar>
            <w:vAlign w:val="center"/>
          </w:tcPr>
          <w:p w14:paraId="69E40BE2"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2 110</w:t>
            </w:r>
          </w:p>
        </w:tc>
        <w:tc>
          <w:tcPr>
            <w:tcW w:w="1120" w:type="dxa"/>
            <w:tcBorders>
              <w:top w:val="nil"/>
              <w:left w:val="nil"/>
              <w:bottom w:val="nil"/>
              <w:right w:val="nil"/>
              <w:tl2br w:val="nil"/>
              <w:tr2bl w:val="nil"/>
            </w:tcBorders>
            <w:tcMar>
              <w:left w:w="60" w:type="dxa"/>
              <w:right w:w="60" w:type="dxa"/>
            </w:tcMar>
            <w:vAlign w:val="center"/>
          </w:tcPr>
          <w:p w14:paraId="6CA8C6F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6 409</w:t>
            </w:r>
          </w:p>
        </w:tc>
        <w:tc>
          <w:tcPr>
            <w:tcW w:w="857" w:type="dxa"/>
            <w:tcBorders>
              <w:top w:val="nil"/>
              <w:left w:val="nil"/>
              <w:bottom w:val="nil"/>
              <w:right w:val="nil"/>
              <w:tl2br w:val="nil"/>
              <w:tr2bl w:val="nil"/>
            </w:tcBorders>
            <w:tcMar>
              <w:left w:w="60" w:type="dxa"/>
              <w:right w:w="60" w:type="dxa"/>
            </w:tcMar>
            <w:vAlign w:val="center"/>
          </w:tcPr>
          <w:p w14:paraId="21E6318D"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54 %</w:t>
            </w:r>
          </w:p>
        </w:tc>
        <w:tc>
          <w:tcPr>
            <w:tcW w:w="857" w:type="dxa"/>
            <w:tcBorders>
              <w:top w:val="nil"/>
              <w:left w:val="nil"/>
              <w:bottom w:val="nil"/>
              <w:right w:val="nil"/>
              <w:tl2br w:val="nil"/>
              <w:tr2bl w:val="nil"/>
            </w:tcBorders>
            <w:tcMar>
              <w:left w:w="60" w:type="dxa"/>
              <w:right w:w="60" w:type="dxa"/>
            </w:tcMar>
            <w:vAlign w:val="center"/>
          </w:tcPr>
          <w:p w14:paraId="1707A1B4"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857" w:type="dxa"/>
            <w:tcBorders>
              <w:top w:val="nil"/>
              <w:left w:val="nil"/>
              <w:bottom w:val="nil"/>
              <w:right w:val="nil"/>
              <w:tl2br w:val="nil"/>
              <w:tr2bl w:val="nil"/>
            </w:tcBorders>
            <w:tcMar>
              <w:left w:w="60" w:type="dxa"/>
              <w:right w:w="60" w:type="dxa"/>
            </w:tcMar>
            <w:vAlign w:val="center"/>
          </w:tcPr>
          <w:p w14:paraId="1AD321B4"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5 306</w:t>
            </w:r>
          </w:p>
        </w:tc>
        <w:tc>
          <w:tcPr>
            <w:tcW w:w="857" w:type="dxa"/>
            <w:tcBorders>
              <w:top w:val="nil"/>
              <w:left w:val="nil"/>
              <w:bottom w:val="nil"/>
              <w:right w:val="nil"/>
              <w:tl2br w:val="nil"/>
              <w:tr2bl w:val="nil"/>
            </w:tcBorders>
            <w:tcMar>
              <w:left w:w="60" w:type="dxa"/>
              <w:right w:w="60" w:type="dxa"/>
            </w:tcMar>
            <w:vAlign w:val="center"/>
          </w:tcPr>
          <w:p w14:paraId="30C0A96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5 357</w:t>
            </w:r>
          </w:p>
        </w:tc>
        <w:tc>
          <w:tcPr>
            <w:tcW w:w="857" w:type="dxa"/>
            <w:tcBorders>
              <w:top w:val="nil"/>
              <w:left w:val="nil"/>
              <w:bottom w:val="nil"/>
              <w:right w:val="nil"/>
              <w:tl2br w:val="nil"/>
              <w:tr2bl w:val="nil"/>
            </w:tcBorders>
            <w:tcMar>
              <w:left w:w="60" w:type="dxa"/>
              <w:right w:w="60" w:type="dxa"/>
            </w:tcMar>
            <w:vAlign w:val="center"/>
          </w:tcPr>
          <w:p w14:paraId="6A303C18"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14:paraId="577E56D5"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14:paraId="24D61BB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14:paraId="44F242BA"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38DAD42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E817E00"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S</w:t>
            </w:r>
          </w:p>
        </w:tc>
        <w:tc>
          <w:tcPr>
            <w:tcW w:w="2944" w:type="dxa"/>
            <w:tcBorders>
              <w:top w:val="nil"/>
              <w:left w:val="nil"/>
              <w:bottom w:val="nil"/>
              <w:right w:val="nil"/>
              <w:tl2br w:val="nil"/>
              <w:tr2bl w:val="nil"/>
            </w:tcBorders>
            <w:tcMar>
              <w:left w:w="60" w:type="dxa"/>
              <w:right w:w="60" w:type="dxa"/>
            </w:tcMar>
            <w:vAlign w:val="center"/>
          </w:tcPr>
          <w:p w14:paraId="08CB9115" w14:textId="77777777" w:rsidR="00807FFE" w:rsidRDefault="00023E71">
            <w:pPr>
              <w:pStyle w:val="DMETW36742BIPMFF2ImplementCommitments"/>
              <w:rPr>
                <w:rFonts w:ascii="Verdana" w:eastAsia="Verdana" w:hAnsi="Verdana" w:cs="Verdana"/>
                <w:noProof/>
                <w:color w:val="000000"/>
                <w:sz w:val="16"/>
              </w:rPr>
            </w:pPr>
            <w:r>
              <w:rPr>
                <w:rFonts w:ascii="Verdana" w:eastAsia="Verdana" w:hAnsi="Verdana" w:cs="Verdana"/>
                <w:noProof/>
                <w:color w:val="000000"/>
                <w:sz w:val="16"/>
              </w:rPr>
              <w:t>Solidarity mechanisms within and outside the Union (Special instruments)</w:t>
            </w:r>
          </w:p>
        </w:tc>
        <w:tc>
          <w:tcPr>
            <w:tcW w:w="1275" w:type="dxa"/>
            <w:tcBorders>
              <w:top w:val="nil"/>
              <w:left w:val="nil"/>
              <w:bottom w:val="nil"/>
              <w:right w:val="nil"/>
              <w:tl2br w:val="nil"/>
              <w:tr2bl w:val="nil"/>
            </w:tcBorders>
            <w:tcMar>
              <w:left w:w="60" w:type="dxa"/>
              <w:right w:w="60" w:type="dxa"/>
            </w:tcMar>
            <w:vAlign w:val="center"/>
          </w:tcPr>
          <w:p w14:paraId="04898642"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2 085</w:t>
            </w:r>
          </w:p>
        </w:tc>
        <w:tc>
          <w:tcPr>
            <w:tcW w:w="857" w:type="dxa"/>
            <w:tcBorders>
              <w:top w:val="nil"/>
              <w:left w:val="nil"/>
              <w:bottom w:val="nil"/>
              <w:right w:val="nil"/>
              <w:tl2br w:val="nil"/>
              <w:tr2bl w:val="nil"/>
            </w:tcBorders>
            <w:tcMar>
              <w:left w:w="60" w:type="dxa"/>
              <w:right w:w="60" w:type="dxa"/>
            </w:tcMar>
            <w:vAlign w:val="center"/>
          </w:tcPr>
          <w:p w14:paraId="2AF04B3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755</w:t>
            </w:r>
          </w:p>
        </w:tc>
        <w:tc>
          <w:tcPr>
            <w:tcW w:w="857" w:type="dxa"/>
            <w:tcBorders>
              <w:top w:val="nil"/>
              <w:left w:val="nil"/>
              <w:bottom w:val="nil"/>
              <w:right w:val="nil"/>
              <w:tl2br w:val="nil"/>
              <w:tr2bl w:val="nil"/>
            </w:tcBorders>
            <w:tcMar>
              <w:left w:w="60" w:type="dxa"/>
              <w:right w:w="60" w:type="dxa"/>
            </w:tcMar>
            <w:vAlign w:val="center"/>
          </w:tcPr>
          <w:p w14:paraId="5F829ADA"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57" w:type="dxa"/>
            <w:tcBorders>
              <w:top w:val="nil"/>
              <w:left w:val="nil"/>
              <w:bottom w:val="nil"/>
              <w:right w:val="nil"/>
              <w:tl2br w:val="nil"/>
              <w:tr2bl w:val="nil"/>
            </w:tcBorders>
            <w:tcMar>
              <w:left w:w="60" w:type="dxa"/>
              <w:right w:w="60" w:type="dxa"/>
            </w:tcMar>
            <w:vAlign w:val="center"/>
          </w:tcPr>
          <w:p w14:paraId="307B928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0" w:type="dxa"/>
            <w:tcBorders>
              <w:top w:val="nil"/>
              <w:left w:val="nil"/>
              <w:bottom w:val="nil"/>
              <w:right w:val="nil"/>
              <w:tl2br w:val="nil"/>
              <w:tr2bl w:val="nil"/>
            </w:tcBorders>
            <w:tcMar>
              <w:left w:w="60" w:type="dxa"/>
              <w:right w:w="60" w:type="dxa"/>
            </w:tcMar>
            <w:vAlign w:val="center"/>
          </w:tcPr>
          <w:p w14:paraId="0FB1567B"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1 065</w:t>
            </w:r>
          </w:p>
        </w:tc>
        <w:tc>
          <w:tcPr>
            <w:tcW w:w="857" w:type="dxa"/>
            <w:tcBorders>
              <w:top w:val="nil"/>
              <w:left w:val="nil"/>
              <w:bottom w:val="nil"/>
              <w:right w:val="nil"/>
              <w:tl2br w:val="nil"/>
              <w:tr2bl w:val="nil"/>
            </w:tcBorders>
            <w:tcMar>
              <w:left w:w="60" w:type="dxa"/>
              <w:right w:w="60" w:type="dxa"/>
            </w:tcMar>
            <w:vAlign w:val="center"/>
          </w:tcPr>
          <w:p w14:paraId="214F75D1"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51 %</w:t>
            </w:r>
          </w:p>
        </w:tc>
        <w:tc>
          <w:tcPr>
            <w:tcW w:w="857" w:type="dxa"/>
            <w:tcBorders>
              <w:top w:val="nil"/>
              <w:left w:val="nil"/>
              <w:bottom w:val="nil"/>
              <w:right w:val="nil"/>
              <w:tl2br w:val="nil"/>
              <w:tr2bl w:val="nil"/>
            </w:tcBorders>
            <w:tcMar>
              <w:left w:w="60" w:type="dxa"/>
              <w:right w:w="60" w:type="dxa"/>
            </w:tcMar>
            <w:vAlign w:val="center"/>
          </w:tcPr>
          <w:p w14:paraId="00679132"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997</w:t>
            </w:r>
          </w:p>
        </w:tc>
        <w:tc>
          <w:tcPr>
            <w:tcW w:w="857" w:type="dxa"/>
            <w:tcBorders>
              <w:top w:val="nil"/>
              <w:left w:val="nil"/>
              <w:bottom w:val="nil"/>
              <w:right w:val="nil"/>
              <w:tl2br w:val="nil"/>
              <w:tr2bl w:val="nil"/>
            </w:tcBorders>
            <w:tcMar>
              <w:left w:w="60" w:type="dxa"/>
              <w:right w:w="60" w:type="dxa"/>
            </w:tcMar>
            <w:vAlign w:val="center"/>
          </w:tcPr>
          <w:p w14:paraId="2039DC78"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14:paraId="66CBAF00"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998</w:t>
            </w:r>
          </w:p>
        </w:tc>
        <w:tc>
          <w:tcPr>
            <w:tcW w:w="857" w:type="dxa"/>
            <w:tcBorders>
              <w:top w:val="nil"/>
              <w:left w:val="nil"/>
              <w:bottom w:val="nil"/>
              <w:right w:val="nil"/>
              <w:tl2br w:val="nil"/>
              <w:tr2bl w:val="nil"/>
            </w:tcBorders>
            <w:tcMar>
              <w:left w:w="60" w:type="dxa"/>
              <w:right w:w="60" w:type="dxa"/>
            </w:tcMar>
            <w:vAlign w:val="center"/>
          </w:tcPr>
          <w:p w14:paraId="2F057F33"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57" w:type="dxa"/>
            <w:tcBorders>
              <w:top w:val="nil"/>
              <w:left w:val="nil"/>
              <w:bottom w:val="nil"/>
              <w:right w:val="nil"/>
              <w:tl2br w:val="nil"/>
              <w:tr2bl w:val="nil"/>
            </w:tcBorders>
            <w:tcMar>
              <w:left w:w="60" w:type="dxa"/>
              <w:right w:w="60" w:type="dxa"/>
            </w:tcMar>
            <w:vAlign w:val="center"/>
          </w:tcPr>
          <w:p w14:paraId="00ED8619"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14:paraId="333E13E5" w14:textId="77777777" w:rsidR="00807FFE" w:rsidRDefault="00023E71">
            <w:pPr>
              <w:pStyle w:val="DMETW36742BIP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57" w:type="dxa"/>
            <w:tcBorders>
              <w:top w:val="nil"/>
              <w:left w:val="nil"/>
              <w:bottom w:val="nil"/>
              <w:right w:val="nil"/>
              <w:tl2br w:val="nil"/>
              <w:tr2bl w:val="nil"/>
            </w:tcBorders>
            <w:tcMar>
              <w:left w:w="60" w:type="dxa"/>
              <w:right w:w="60" w:type="dxa"/>
            </w:tcMar>
            <w:vAlign w:val="center"/>
          </w:tcPr>
          <w:p w14:paraId="6F8E157A" w14:textId="77777777" w:rsidR="00807FFE" w:rsidRDefault="00023E71">
            <w:pPr>
              <w:pStyle w:val="DMETW36742BIP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w:t>
            </w:r>
          </w:p>
        </w:tc>
      </w:tr>
      <w:tr w:rsidR="00807FFE" w14:paraId="1AA02CD6" w14:textId="77777777">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14:paraId="3E08E050" w14:textId="77777777" w:rsidR="00807FFE" w:rsidRDefault="00807FFE">
            <w:pPr>
              <w:pStyle w:val="DMETW36742BIPMFF2ImplementCommitments"/>
              <w:rPr>
                <w:rFonts w:ascii="Verdana" w:eastAsia="Verdana" w:hAnsi="Verdana" w:cs="Verdana"/>
                <w:b/>
                <w:noProof/>
                <w:color w:val="000000"/>
                <w:sz w:val="16"/>
              </w:rPr>
            </w:pPr>
          </w:p>
        </w:tc>
        <w:tc>
          <w:tcPr>
            <w:tcW w:w="2944" w:type="dxa"/>
            <w:tcBorders>
              <w:top w:val="nil"/>
              <w:left w:val="nil"/>
              <w:bottom w:val="nil"/>
              <w:right w:val="nil"/>
              <w:tl2br w:val="nil"/>
              <w:tr2bl w:val="nil"/>
            </w:tcBorders>
            <w:shd w:val="solid" w:color="CCE1EA" w:fill="FFFFFF"/>
            <w:tcMar>
              <w:left w:w="60" w:type="dxa"/>
              <w:right w:w="60" w:type="dxa"/>
            </w:tcMar>
            <w:vAlign w:val="center"/>
          </w:tcPr>
          <w:p w14:paraId="75922D3C"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Sum:</w:t>
            </w:r>
          </w:p>
        </w:tc>
        <w:tc>
          <w:tcPr>
            <w:tcW w:w="1275" w:type="dxa"/>
            <w:tcBorders>
              <w:top w:val="nil"/>
              <w:left w:val="nil"/>
              <w:bottom w:val="nil"/>
              <w:right w:val="nil"/>
              <w:tl2br w:val="nil"/>
              <w:tr2bl w:val="nil"/>
            </w:tcBorders>
            <w:shd w:val="solid" w:color="CCE1EA" w:fill="FFFFFF"/>
            <w:tcMar>
              <w:left w:w="60" w:type="dxa"/>
              <w:right w:w="60" w:type="dxa"/>
            </w:tcMar>
            <w:vAlign w:val="center"/>
          </w:tcPr>
          <w:p w14:paraId="03DE3E47"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228 104</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0007D76E"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196 083</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47E03BD3"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1 580</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0063F595"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14 454</w:t>
            </w:r>
          </w:p>
        </w:tc>
        <w:tc>
          <w:tcPr>
            <w:tcW w:w="1120" w:type="dxa"/>
            <w:tcBorders>
              <w:top w:val="nil"/>
              <w:left w:val="nil"/>
              <w:bottom w:val="nil"/>
              <w:right w:val="nil"/>
              <w:tl2br w:val="nil"/>
              <w:tr2bl w:val="nil"/>
            </w:tcBorders>
            <w:shd w:val="solid" w:color="CCE1EA" w:fill="FFFFFF"/>
            <w:tcMar>
              <w:left w:w="60" w:type="dxa"/>
              <w:right w:w="60" w:type="dxa"/>
            </w:tcMar>
            <w:vAlign w:val="center"/>
          </w:tcPr>
          <w:p w14:paraId="15D113C6"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212 116</w:t>
            </w:r>
          </w:p>
        </w:tc>
        <w:tc>
          <w:tcPr>
            <w:tcW w:w="857" w:type="dxa"/>
            <w:tcBorders>
              <w:top w:val="nil"/>
              <w:left w:val="nil"/>
              <w:bottom w:val="nil"/>
              <w:right w:val="nil"/>
              <w:tl2br w:val="nil"/>
              <w:tr2bl w:val="nil"/>
            </w:tcBorders>
            <w:shd w:val="solid" w:color="CCE1EB" w:fill="FFFFFF"/>
            <w:tcMar>
              <w:left w:w="60" w:type="dxa"/>
              <w:right w:w="60" w:type="dxa"/>
            </w:tcMar>
            <w:vAlign w:val="center"/>
          </w:tcPr>
          <w:p w14:paraId="10F040B7"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93 %</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6BEF6DA6"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2 133</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5B4E5C0A"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12 379</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682DDCD9"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14 512</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427E5C48"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1 206</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04A6FBC5"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 xml:space="preserve"> 33</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15155E3B"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 xml:space="preserve"> 237</w:t>
            </w:r>
          </w:p>
        </w:tc>
        <w:tc>
          <w:tcPr>
            <w:tcW w:w="857" w:type="dxa"/>
            <w:tcBorders>
              <w:top w:val="nil"/>
              <w:left w:val="nil"/>
              <w:bottom w:val="nil"/>
              <w:right w:val="nil"/>
              <w:tl2br w:val="nil"/>
              <w:tr2bl w:val="nil"/>
            </w:tcBorders>
            <w:shd w:val="solid" w:color="CCE1EA" w:fill="FFFFFF"/>
            <w:tcMar>
              <w:left w:w="60" w:type="dxa"/>
              <w:right w:w="60" w:type="dxa"/>
            </w:tcMar>
            <w:vAlign w:val="center"/>
          </w:tcPr>
          <w:p w14:paraId="6FCCB09B" w14:textId="77777777" w:rsidR="00807FFE" w:rsidRDefault="00023E71">
            <w:pPr>
              <w:pStyle w:val="DMETW36742BIP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1 476</w:t>
            </w:r>
          </w:p>
        </w:tc>
      </w:tr>
    </w:tbl>
    <w:p w14:paraId="0DE4D168" w14:textId="77777777" w:rsidR="008C5342" w:rsidRDefault="008C5342" w:rsidP="008C5342">
      <w:pPr>
        <w:pStyle w:val="Textstand-alone"/>
        <w:rPr>
          <w:lang w:bidi="en-GB"/>
        </w:rPr>
      </w:pPr>
    </w:p>
    <w:p w14:paraId="1E423715" w14:textId="77777777" w:rsidR="008C5342" w:rsidRDefault="008C5342" w:rsidP="008C5342">
      <w:pPr>
        <w:pStyle w:val="DGTextstand-alone"/>
        <w:sectPr w:rsidR="008C5342">
          <w:headerReference w:type="default" r:id="rId168"/>
          <w:footerReference w:type="default" r:id="rId169"/>
          <w:type w:val="nextColumn"/>
          <w:pgSz w:w="16840" w:h="11900" w:orient="landscape"/>
          <w:pgMar w:top="1134" w:right="1134" w:bottom="1134" w:left="1134" w:header="720" w:footer="720" w:gutter="0"/>
          <w:cols w:space="720"/>
          <w:docGrid w:linePitch="272"/>
        </w:sectPr>
      </w:pPr>
    </w:p>
    <w:p w14:paraId="6D47F239" w14:textId="77777777" w:rsidR="008C5342" w:rsidRPr="003B75C2" w:rsidRDefault="00023E71" w:rsidP="008C5342">
      <w:pPr>
        <w:pStyle w:val="HEADER2PartBUDG"/>
        <w:rPr>
          <w:noProof/>
        </w:rPr>
      </w:pPr>
      <w:bookmarkStart w:id="299" w:name="_Toc232674392"/>
      <w:r w:rsidRPr="003B75C2">
        <w:rPr>
          <w:noProof/>
        </w:rPr>
        <w:t>MFF: IMPLEMENTATION OF PAYMENT APPROPRIATIONS</w:t>
      </w:r>
      <w:bookmarkEnd w:id="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2625"/>
        <w:gridCol w:w="957"/>
        <w:gridCol w:w="894"/>
        <w:gridCol w:w="894"/>
        <w:gridCol w:w="894"/>
        <w:gridCol w:w="894"/>
        <w:gridCol w:w="894"/>
        <w:gridCol w:w="894"/>
        <w:gridCol w:w="894"/>
        <w:gridCol w:w="894"/>
        <w:gridCol w:w="894"/>
        <w:gridCol w:w="894"/>
        <w:gridCol w:w="932"/>
        <w:gridCol w:w="894"/>
      </w:tblGrid>
      <w:tr w:rsidR="00807FFE" w14:paraId="1C894D1F" w14:textId="77777777">
        <w:trPr>
          <w:trHeight w:val="255"/>
        </w:trPr>
        <w:tc>
          <w:tcPr>
            <w:tcW w:w="344" w:type="dxa"/>
            <w:gridSpan w:val="15"/>
            <w:tcBorders>
              <w:top w:val="nil"/>
              <w:left w:val="nil"/>
              <w:bottom w:val="nil"/>
              <w:right w:val="nil"/>
              <w:tl2br w:val="nil"/>
              <w:tr2bl w:val="nil"/>
            </w:tcBorders>
            <w:tcMar>
              <w:left w:w="60" w:type="dxa"/>
              <w:right w:w="60" w:type="dxa"/>
            </w:tcMar>
            <w:vAlign w:val="center"/>
          </w:tcPr>
          <w:p w14:paraId="7C246D7D" w14:textId="77777777" w:rsidR="00807FFE" w:rsidRDefault="00023E71">
            <w:pPr>
              <w:pStyle w:val="DMETW36742BIPMFF3ImplementPayments"/>
              <w:jc w:val="right"/>
              <w:rPr>
                <w:rFonts w:ascii="Verdana" w:eastAsia="Verdana" w:hAnsi="Verdana" w:cs="Verdana"/>
                <w:i/>
                <w:noProof/>
                <w:color w:val="000000"/>
                <w:sz w:val="16"/>
                <w:lang w:bidi="en-GB"/>
              </w:rPr>
            </w:pPr>
            <w:bookmarkStart w:id="300" w:name="DOC_TBL00116_1_1"/>
            <w:bookmarkEnd w:id="300"/>
            <w:r>
              <w:rPr>
                <w:rFonts w:ascii="Verdana" w:eastAsia="Verdana" w:hAnsi="Verdana" w:cs="Verdana"/>
                <w:i/>
                <w:noProof/>
                <w:color w:val="000000"/>
                <w:sz w:val="16"/>
                <w:lang w:bidi="en-GB"/>
              </w:rPr>
              <w:t>EUR million</w:t>
            </w:r>
          </w:p>
        </w:tc>
      </w:tr>
      <w:tr w:rsidR="00807FFE" w14:paraId="2EC5C521" w14:textId="77777777">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5A6069B7" w14:textId="77777777" w:rsidR="00807FFE" w:rsidRDefault="00807FFE">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016794" w:fill="FFFFFF"/>
            <w:tcMar>
              <w:left w:w="60" w:type="dxa"/>
              <w:right w:w="60" w:type="dxa"/>
            </w:tcMar>
            <w:vAlign w:val="center"/>
          </w:tcPr>
          <w:p w14:paraId="3FC467F3" w14:textId="77777777" w:rsidR="00807FFE" w:rsidRDefault="00807FFE">
            <w:pPr>
              <w:pStyle w:val="DMETW36742BIPMFF3ImplementPayments"/>
              <w:rPr>
                <w:rFonts w:ascii="Verdana" w:eastAsia="Verdana" w:hAnsi="Verdana" w:cs="Verdana"/>
                <w:b/>
                <w:noProof/>
                <w:color w:val="FFFFFF"/>
                <w:sz w:val="16"/>
              </w:rPr>
            </w:pPr>
          </w:p>
        </w:tc>
        <w:tc>
          <w:tcPr>
            <w:tcW w:w="960" w:type="dxa"/>
            <w:vMerge w:val="restart"/>
            <w:tcBorders>
              <w:top w:val="nil"/>
              <w:left w:val="nil"/>
              <w:bottom w:val="nil"/>
              <w:right w:val="nil"/>
              <w:tl2br w:val="nil"/>
              <w:tr2bl w:val="nil"/>
            </w:tcBorders>
            <w:shd w:val="solid" w:color="016794" w:fill="FFFFFF"/>
            <w:tcMar>
              <w:left w:w="60" w:type="dxa"/>
              <w:right w:w="60" w:type="dxa"/>
            </w:tcMar>
            <w:vAlign w:val="center"/>
          </w:tcPr>
          <w:p w14:paraId="6CD4A047" w14:textId="77777777" w:rsidR="00807FFE" w:rsidRDefault="00023E71">
            <w:pPr>
              <w:pStyle w:val="DMETW36742BIPMFF3ImplementPayments"/>
              <w:jc w:val="center"/>
              <w:rPr>
                <w:rFonts w:ascii="Verdana" w:eastAsia="Verdana" w:hAnsi="Verdana" w:cs="Verdana"/>
                <w:b/>
                <w:noProof/>
                <w:color w:val="FFFFFF"/>
                <w:sz w:val="16"/>
              </w:rPr>
            </w:pPr>
            <w:r>
              <w:rPr>
                <w:rFonts w:ascii="Verdana" w:eastAsia="Verdana" w:hAnsi="Verdana" w:cs="Verdana"/>
                <w:b/>
                <w:noProof/>
                <w:color w:val="FFFFFF"/>
                <w:sz w:val="16"/>
              </w:rPr>
              <w:t>Total appropr. available</w:t>
            </w:r>
          </w:p>
        </w:tc>
        <w:tc>
          <w:tcPr>
            <w:tcW w:w="898" w:type="dxa"/>
            <w:gridSpan w:val="5"/>
            <w:tcBorders>
              <w:top w:val="nil"/>
              <w:left w:val="nil"/>
              <w:bottom w:val="nil"/>
              <w:right w:val="nil"/>
              <w:tl2br w:val="nil"/>
              <w:tr2bl w:val="nil"/>
            </w:tcBorders>
            <w:shd w:val="solid" w:color="016794" w:fill="FFFFFF"/>
            <w:tcMar>
              <w:left w:w="60" w:type="dxa"/>
              <w:right w:w="60" w:type="dxa"/>
            </w:tcMar>
            <w:vAlign w:val="center"/>
          </w:tcPr>
          <w:p w14:paraId="3415BD2E" w14:textId="77777777" w:rsidR="00807FFE" w:rsidRDefault="00807FFE">
            <w:pPr>
              <w:pStyle w:val="DMETW36742BIPMFF3ImplementPayments"/>
              <w:jc w:val="center"/>
              <w:rPr>
                <w:rFonts w:ascii="Verdana" w:eastAsia="Verdana" w:hAnsi="Verdana" w:cs="Verdana"/>
                <w:b/>
                <w:noProof/>
                <w:color w:val="FFFFFF"/>
                <w:sz w:val="16"/>
              </w:rPr>
            </w:pPr>
          </w:p>
        </w:tc>
        <w:tc>
          <w:tcPr>
            <w:tcW w:w="898" w:type="dxa"/>
            <w:gridSpan w:val="3"/>
            <w:tcBorders>
              <w:top w:val="nil"/>
              <w:left w:val="nil"/>
              <w:bottom w:val="nil"/>
              <w:right w:val="nil"/>
              <w:tl2br w:val="nil"/>
              <w:tr2bl w:val="nil"/>
            </w:tcBorders>
            <w:shd w:val="solid" w:color="016794" w:fill="FFFFFF"/>
            <w:tcMar>
              <w:left w:w="60" w:type="dxa"/>
              <w:right w:w="60" w:type="dxa"/>
            </w:tcMar>
            <w:vAlign w:val="center"/>
          </w:tcPr>
          <w:p w14:paraId="41074B14" w14:textId="77777777" w:rsidR="00807FFE" w:rsidRDefault="00807FFE">
            <w:pPr>
              <w:pStyle w:val="DMETW36742BIPMFF3ImplementPayments"/>
              <w:jc w:val="center"/>
              <w:rPr>
                <w:rFonts w:ascii="Verdana" w:eastAsia="Verdana" w:hAnsi="Verdana" w:cs="Verdana"/>
                <w:b/>
                <w:noProof/>
                <w:color w:val="FFFFFF"/>
                <w:sz w:val="16"/>
              </w:rPr>
            </w:pPr>
          </w:p>
        </w:tc>
        <w:tc>
          <w:tcPr>
            <w:tcW w:w="898" w:type="dxa"/>
            <w:gridSpan w:val="4"/>
            <w:tcBorders>
              <w:top w:val="nil"/>
              <w:left w:val="nil"/>
              <w:bottom w:val="nil"/>
              <w:right w:val="nil"/>
              <w:tl2br w:val="nil"/>
              <w:tr2bl w:val="nil"/>
            </w:tcBorders>
            <w:shd w:val="solid" w:color="016794" w:fill="FFFFFF"/>
            <w:tcMar>
              <w:left w:w="60" w:type="dxa"/>
              <w:right w:w="60" w:type="dxa"/>
            </w:tcMar>
            <w:vAlign w:val="center"/>
          </w:tcPr>
          <w:p w14:paraId="4FD80F0A" w14:textId="77777777" w:rsidR="00807FFE" w:rsidRDefault="00807FFE">
            <w:pPr>
              <w:pStyle w:val="DMETW36742BIPMFF3ImplementPayments"/>
              <w:jc w:val="center"/>
              <w:rPr>
                <w:rFonts w:ascii="Verdana" w:eastAsia="Verdana" w:hAnsi="Verdana" w:cs="Verdana"/>
                <w:b/>
                <w:noProof/>
                <w:color w:val="FFFFFF"/>
                <w:sz w:val="16"/>
                <w:lang w:bidi="en-GB"/>
              </w:rPr>
            </w:pPr>
          </w:p>
        </w:tc>
      </w:tr>
      <w:tr w:rsidR="00807FFE" w14:paraId="1215D059" w14:textId="77777777">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74285C4D" w14:textId="77777777" w:rsidR="00807FFE" w:rsidRDefault="00807FFE">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016794" w:fill="FFFFFF"/>
            <w:tcMar>
              <w:left w:w="60" w:type="dxa"/>
              <w:right w:w="60" w:type="dxa"/>
            </w:tcMar>
            <w:vAlign w:val="center"/>
          </w:tcPr>
          <w:p w14:paraId="4B69E398" w14:textId="77777777" w:rsidR="00807FFE" w:rsidRDefault="00023E71">
            <w:pPr>
              <w:pStyle w:val="DMETW36742BIPMFF3ImplementPayments"/>
              <w:jc w:val="center"/>
              <w:rPr>
                <w:rFonts w:ascii="Verdana" w:eastAsia="Verdana" w:hAnsi="Verdana" w:cs="Verdana"/>
                <w:b/>
                <w:noProof/>
                <w:color w:val="FFFFFF"/>
                <w:sz w:val="16"/>
              </w:rPr>
            </w:pPr>
            <w:r>
              <w:rPr>
                <w:rFonts w:ascii="Verdana" w:eastAsia="Verdana" w:hAnsi="Verdana" w:cs="Verdana"/>
                <w:b/>
                <w:noProof/>
                <w:color w:val="FFFFFF"/>
                <w:sz w:val="16"/>
              </w:rPr>
              <w:t>MFF Heading</w:t>
            </w:r>
          </w:p>
        </w:tc>
        <w:tc>
          <w:tcPr>
            <w:tcW w:w="960" w:type="dxa"/>
            <w:vMerge/>
            <w:tcBorders>
              <w:top w:val="nil"/>
              <w:left w:val="nil"/>
              <w:bottom w:val="nil"/>
              <w:right w:val="nil"/>
              <w:tl2br w:val="nil"/>
              <w:tr2bl w:val="nil"/>
            </w:tcBorders>
            <w:shd w:val="solid" w:color="016794" w:fill="FFFFFF"/>
            <w:tcMar>
              <w:left w:w="60" w:type="dxa"/>
              <w:right w:w="60" w:type="dxa"/>
            </w:tcMar>
            <w:vAlign w:val="center"/>
          </w:tcPr>
          <w:p w14:paraId="384D0E2B" w14:textId="77777777" w:rsidR="00807FFE" w:rsidRDefault="00807FFE">
            <w:pPr>
              <w:pStyle w:val="DMETW36742BIPMFF3ImplementPayments"/>
              <w:jc w:val="center"/>
              <w:rPr>
                <w:rFonts w:ascii="Verdana" w:eastAsia="Verdana" w:hAnsi="Verdana" w:cs="Verdana"/>
                <w:b/>
                <w:noProof/>
                <w:color w:val="FFFFFF"/>
                <w:sz w:val="16"/>
              </w:rPr>
            </w:pP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7F255A30"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5701EA15"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from carry-overs</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7F7E1133"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2266CF1C"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5D242921"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4F4ACD86"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03BB7529"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498A5373"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5AB04D66"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38962E1A"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from carry- overs</w:t>
            </w:r>
          </w:p>
        </w:tc>
        <w:tc>
          <w:tcPr>
            <w:tcW w:w="936" w:type="dxa"/>
            <w:tcBorders>
              <w:top w:val="nil"/>
              <w:left w:val="nil"/>
              <w:bottom w:val="nil"/>
              <w:right w:val="nil"/>
              <w:tl2br w:val="nil"/>
              <w:tr2bl w:val="nil"/>
            </w:tcBorders>
            <w:shd w:val="solid" w:color="3487A9" w:fill="FFFFFF"/>
            <w:tcMar>
              <w:left w:w="60" w:type="dxa"/>
              <w:right w:w="60" w:type="dxa"/>
            </w:tcMar>
            <w:vAlign w:val="center"/>
          </w:tcPr>
          <w:p w14:paraId="7473726F"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0BFA081C" w14:textId="77777777" w:rsidR="00807FFE" w:rsidRDefault="00023E71">
            <w:pPr>
              <w:pStyle w:val="DMETW36742BIPMFF3ImplementPayments"/>
              <w:jc w:val="center"/>
              <w:rPr>
                <w:rFonts w:ascii="Verdana" w:eastAsia="Verdana" w:hAnsi="Verdana" w:cs="Verdana"/>
                <w:noProof/>
                <w:color w:val="FFFFFF"/>
                <w:sz w:val="16"/>
                <w:lang w:bidi="en-GB"/>
              </w:rPr>
            </w:pPr>
            <w:r>
              <w:rPr>
                <w:rFonts w:ascii="Verdana" w:eastAsia="Verdana" w:hAnsi="Verdana" w:cs="Verdana"/>
                <w:noProof/>
                <w:color w:val="FFFFFF"/>
                <w:sz w:val="16"/>
              </w:rPr>
              <w:t>Total</w:t>
            </w:r>
          </w:p>
        </w:tc>
      </w:tr>
      <w:tr w:rsidR="00807FFE" w14:paraId="07FD1E57" w14:textId="77777777">
        <w:trPr>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14:paraId="69E6A652" w14:textId="77777777" w:rsidR="00807FFE" w:rsidRDefault="00807FFE">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3487A9" w:fill="FFFFFF"/>
            <w:tcMar>
              <w:left w:w="60" w:type="dxa"/>
              <w:right w:w="60" w:type="dxa"/>
            </w:tcMar>
            <w:vAlign w:val="center"/>
          </w:tcPr>
          <w:p w14:paraId="50877646" w14:textId="77777777" w:rsidR="00807FFE" w:rsidRDefault="00807FFE">
            <w:pPr>
              <w:pStyle w:val="DMETW36742BIPMFF3ImplementPayments"/>
              <w:jc w:val="center"/>
              <w:rPr>
                <w:rFonts w:ascii="Verdana" w:eastAsia="Verdana" w:hAnsi="Verdana" w:cs="Verdana"/>
                <w:noProof/>
                <w:color w:val="FFFFFF"/>
                <w:sz w:val="16"/>
              </w:rPr>
            </w:pPr>
          </w:p>
        </w:tc>
        <w:tc>
          <w:tcPr>
            <w:tcW w:w="960" w:type="dxa"/>
            <w:tcBorders>
              <w:top w:val="nil"/>
              <w:left w:val="nil"/>
              <w:bottom w:val="nil"/>
              <w:right w:val="nil"/>
              <w:tl2br w:val="nil"/>
              <w:tr2bl w:val="nil"/>
            </w:tcBorders>
            <w:shd w:val="solid" w:color="3487A9" w:fill="FFFFFF"/>
            <w:tcMar>
              <w:left w:w="60" w:type="dxa"/>
              <w:right w:w="60" w:type="dxa"/>
            </w:tcMar>
            <w:vAlign w:val="center"/>
          </w:tcPr>
          <w:p w14:paraId="77D13724"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303D4682"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39C6A864"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3</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1536E2E4"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75AB0124"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5=2+3+4</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3C57CABF"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6=5/1</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0F09E738"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7</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09F7FD0E"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8</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09B3ADEC"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9=7+8</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4D23F42D"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10</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775B3A16"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11</w:t>
            </w:r>
          </w:p>
        </w:tc>
        <w:tc>
          <w:tcPr>
            <w:tcW w:w="936" w:type="dxa"/>
            <w:tcBorders>
              <w:top w:val="nil"/>
              <w:left w:val="nil"/>
              <w:bottom w:val="nil"/>
              <w:right w:val="nil"/>
              <w:tl2br w:val="nil"/>
              <w:tr2bl w:val="nil"/>
            </w:tcBorders>
            <w:shd w:val="solid" w:color="3487A9" w:fill="FFFFFF"/>
            <w:tcMar>
              <w:left w:w="60" w:type="dxa"/>
              <w:right w:w="60" w:type="dxa"/>
            </w:tcMar>
            <w:vAlign w:val="center"/>
          </w:tcPr>
          <w:p w14:paraId="01D052BC"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12</w:t>
            </w:r>
          </w:p>
        </w:tc>
        <w:tc>
          <w:tcPr>
            <w:tcW w:w="898" w:type="dxa"/>
            <w:tcBorders>
              <w:top w:val="nil"/>
              <w:left w:val="nil"/>
              <w:bottom w:val="nil"/>
              <w:right w:val="nil"/>
              <w:tl2br w:val="nil"/>
              <w:tr2bl w:val="nil"/>
            </w:tcBorders>
            <w:shd w:val="solid" w:color="3487A9" w:fill="FFFFFF"/>
            <w:tcMar>
              <w:left w:w="60" w:type="dxa"/>
              <w:right w:w="60" w:type="dxa"/>
            </w:tcMar>
            <w:vAlign w:val="center"/>
          </w:tcPr>
          <w:p w14:paraId="3002A9C6" w14:textId="77777777" w:rsidR="00807FFE" w:rsidRDefault="00023E71">
            <w:pPr>
              <w:pStyle w:val="DMETW36742BIPMFF3ImplementPayments"/>
              <w:jc w:val="center"/>
              <w:rPr>
                <w:rFonts w:ascii="Verdana" w:eastAsia="Verdana" w:hAnsi="Verdana" w:cs="Verdana"/>
                <w:noProof/>
                <w:color w:val="FFFFFF"/>
                <w:sz w:val="16"/>
              </w:rPr>
            </w:pPr>
            <w:r>
              <w:rPr>
                <w:rFonts w:ascii="Verdana" w:eastAsia="Verdana" w:hAnsi="Verdana" w:cs="Verdana"/>
                <w:noProof/>
                <w:color w:val="FFFFFF"/>
                <w:sz w:val="16"/>
              </w:rPr>
              <w:t>13=10+</w:t>
            </w:r>
          </w:p>
          <w:p w14:paraId="7137E29A" w14:textId="77777777" w:rsidR="00807FFE" w:rsidRDefault="00023E71">
            <w:pPr>
              <w:pStyle w:val="DMETW36742BIPMFF3ImplementPayments"/>
              <w:jc w:val="center"/>
              <w:rPr>
                <w:rFonts w:ascii="Verdana" w:eastAsia="Verdana" w:hAnsi="Verdana" w:cs="Verdana"/>
                <w:noProof/>
                <w:color w:val="FFFFFF"/>
                <w:sz w:val="16"/>
                <w:lang w:bidi="en-GB"/>
              </w:rPr>
            </w:pPr>
            <w:r>
              <w:rPr>
                <w:rFonts w:ascii="Verdana" w:eastAsia="Verdana" w:hAnsi="Verdana" w:cs="Verdana"/>
                <w:noProof/>
                <w:color w:val="FFFFFF"/>
                <w:sz w:val="16"/>
              </w:rPr>
              <w:t>11+12</w:t>
            </w:r>
          </w:p>
        </w:tc>
      </w:tr>
      <w:tr w:rsidR="00807FFE" w14:paraId="39B7F45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81B4C4"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1</w:t>
            </w:r>
          </w:p>
        </w:tc>
        <w:tc>
          <w:tcPr>
            <w:tcW w:w="2636" w:type="dxa"/>
            <w:tcBorders>
              <w:top w:val="nil"/>
              <w:left w:val="nil"/>
              <w:bottom w:val="nil"/>
              <w:right w:val="nil"/>
              <w:tl2br w:val="nil"/>
              <w:tr2bl w:val="nil"/>
            </w:tcBorders>
            <w:tcMar>
              <w:left w:w="60" w:type="dxa"/>
              <w:right w:w="60" w:type="dxa"/>
            </w:tcMar>
            <w:vAlign w:val="center"/>
          </w:tcPr>
          <w:p w14:paraId="4F008FC7"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Single Market, Innovation and Digital</w:t>
            </w:r>
          </w:p>
        </w:tc>
        <w:tc>
          <w:tcPr>
            <w:tcW w:w="960" w:type="dxa"/>
            <w:tcBorders>
              <w:top w:val="nil"/>
              <w:left w:val="nil"/>
              <w:bottom w:val="nil"/>
              <w:right w:val="nil"/>
              <w:tl2br w:val="nil"/>
              <w:tr2bl w:val="nil"/>
            </w:tcBorders>
            <w:tcMar>
              <w:left w:w="60" w:type="dxa"/>
              <w:right w:w="60" w:type="dxa"/>
            </w:tcMar>
            <w:vAlign w:val="center"/>
          </w:tcPr>
          <w:p w14:paraId="6398B78F"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34 035</w:t>
            </w:r>
          </w:p>
        </w:tc>
        <w:tc>
          <w:tcPr>
            <w:tcW w:w="898" w:type="dxa"/>
            <w:tcBorders>
              <w:top w:val="nil"/>
              <w:left w:val="nil"/>
              <w:bottom w:val="nil"/>
              <w:right w:val="nil"/>
              <w:tl2br w:val="nil"/>
              <w:tr2bl w:val="nil"/>
            </w:tcBorders>
            <w:tcMar>
              <w:left w:w="60" w:type="dxa"/>
              <w:right w:w="60" w:type="dxa"/>
            </w:tcMar>
            <w:vAlign w:val="center"/>
          </w:tcPr>
          <w:p w14:paraId="74C6C2DC"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20 128</w:t>
            </w:r>
          </w:p>
        </w:tc>
        <w:tc>
          <w:tcPr>
            <w:tcW w:w="898" w:type="dxa"/>
            <w:tcBorders>
              <w:top w:val="nil"/>
              <w:left w:val="nil"/>
              <w:bottom w:val="nil"/>
              <w:right w:val="nil"/>
              <w:tl2br w:val="nil"/>
              <w:tr2bl w:val="nil"/>
            </w:tcBorders>
            <w:tcMar>
              <w:left w:w="60" w:type="dxa"/>
              <w:right w:w="60" w:type="dxa"/>
            </w:tcMar>
            <w:vAlign w:val="center"/>
          </w:tcPr>
          <w:p w14:paraId="082E70EE"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96</w:t>
            </w:r>
          </w:p>
        </w:tc>
        <w:tc>
          <w:tcPr>
            <w:tcW w:w="898" w:type="dxa"/>
            <w:tcBorders>
              <w:top w:val="nil"/>
              <w:left w:val="nil"/>
              <w:bottom w:val="nil"/>
              <w:right w:val="nil"/>
              <w:tl2br w:val="nil"/>
              <w:tr2bl w:val="nil"/>
            </w:tcBorders>
            <w:tcMar>
              <w:left w:w="60" w:type="dxa"/>
              <w:right w:w="60" w:type="dxa"/>
            </w:tcMar>
            <w:vAlign w:val="center"/>
          </w:tcPr>
          <w:p w14:paraId="78AF0970"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4 258</w:t>
            </w:r>
          </w:p>
        </w:tc>
        <w:tc>
          <w:tcPr>
            <w:tcW w:w="898" w:type="dxa"/>
            <w:tcBorders>
              <w:top w:val="nil"/>
              <w:left w:val="nil"/>
              <w:bottom w:val="nil"/>
              <w:right w:val="nil"/>
              <w:tl2br w:val="nil"/>
              <w:tr2bl w:val="nil"/>
            </w:tcBorders>
            <w:tcMar>
              <w:left w:w="60" w:type="dxa"/>
              <w:right w:w="60" w:type="dxa"/>
            </w:tcMar>
            <w:vAlign w:val="center"/>
          </w:tcPr>
          <w:p w14:paraId="6E0A099E"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24 483</w:t>
            </w:r>
          </w:p>
        </w:tc>
        <w:tc>
          <w:tcPr>
            <w:tcW w:w="898" w:type="dxa"/>
            <w:tcBorders>
              <w:top w:val="nil"/>
              <w:left w:val="nil"/>
              <w:bottom w:val="nil"/>
              <w:right w:val="nil"/>
              <w:tl2br w:val="nil"/>
              <w:tr2bl w:val="nil"/>
            </w:tcBorders>
            <w:tcMar>
              <w:left w:w="60" w:type="dxa"/>
              <w:right w:w="60" w:type="dxa"/>
            </w:tcMar>
            <w:vAlign w:val="center"/>
          </w:tcPr>
          <w:p w14:paraId="121FDD0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72 %</w:t>
            </w:r>
          </w:p>
        </w:tc>
        <w:tc>
          <w:tcPr>
            <w:tcW w:w="898" w:type="dxa"/>
            <w:tcBorders>
              <w:top w:val="nil"/>
              <w:left w:val="nil"/>
              <w:bottom w:val="nil"/>
              <w:right w:val="nil"/>
              <w:tl2br w:val="nil"/>
              <w:tr2bl w:val="nil"/>
            </w:tcBorders>
            <w:tcMar>
              <w:left w:w="60" w:type="dxa"/>
              <w:right w:w="60" w:type="dxa"/>
            </w:tcMar>
            <w:vAlign w:val="center"/>
          </w:tcPr>
          <w:p w14:paraId="6B6EF4F0"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107</w:t>
            </w:r>
          </w:p>
        </w:tc>
        <w:tc>
          <w:tcPr>
            <w:tcW w:w="898" w:type="dxa"/>
            <w:tcBorders>
              <w:top w:val="nil"/>
              <w:left w:val="nil"/>
              <w:bottom w:val="nil"/>
              <w:right w:val="nil"/>
              <w:tl2br w:val="nil"/>
              <w:tr2bl w:val="nil"/>
            </w:tcBorders>
            <w:tcMar>
              <w:left w:w="60" w:type="dxa"/>
              <w:right w:w="60" w:type="dxa"/>
            </w:tcMar>
            <w:vAlign w:val="center"/>
          </w:tcPr>
          <w:p w14:paraId="1AB7792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9 414</w:t>
            </w:r>
          </w:p>
        </w:tc>
        <w:tc>
          <w:tcPr>
            <w:tcW w:w="898" w:type="dxa"/>
            <w:tcBorders>
              <w:top w:val="nil"/>
              <w:left w:val="nil"/>
              <w:bottom w:val="nil"/>
              <w:right w:val="nil"/>
              <w:tl2br w:val="nil"/>
              <w:tr2bl w:val="nil"/>
            </w:tcBorders>
            <w:tcMar>
              <w:left w:w="60" w:type="dxa"/>
              <w:right w:w="60" w:type="dxa"/>
            </w:tcMar>
            <w:vAlign w:val="center"/>
          </w:tcPr>
          <w:p w14:paraId="0BAF7841"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9 521</w:t>
            </w:r>
          </w:p>
        </w:tc>
        <w:tc>
          <w:tcPr>
            <w:tcW w:w="898" w:type="dxa"/>
            <w:tcBorders>
              <w:top w:val="nil"/>
              <w:left w:val="nil"/>
              <w:bottom w:val="nil"/>
              <w:right w:val="nil"/>
              <w:tl2br w:val="nil"/>
              <w:tr2bl w:val="nil"/>
            </w:tcBorders>
            <w:tcMar>
              <w:left w:w="60" w:type="dxa"/>
              <w:right w:w="60" w:type="dxa"/>
            </w:tcMar>
            <w:vAlign w:val="center"/>
          </w:tcPr>
          <w:p w14:paraId="65A51A19"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98" w:type="dxa"/>
            <w:tcBorders>
              <w:top w:val="nil"/>
              <w:left w:val="nil"/>
              <w:bottom w:val="nil"/>
              <w:right w:val="nil"/>
              <w:tl2br w:val="nil"/>
              <w:tr2bl w:val="nil"/>
            </w:tcBorders>
            <w:tcMar>
              <w:left w:w="60" w:type="dxa"/>
              <w:right w:w="60" w:type="dxa"/>
            </w:tcMar>
            <w:vAlign w:val="center"/>
          </w:tcPr>
          <w:p w14:paraId="09E70BA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36" w:type="dxa"/>
            <w:tcBorders>
              <w:top w:val="nil"/>
              <w:left w:val="nil"/>
              <w:bottom w:val="nil"/>
              <w:right w:val="nil"/>
              <w:tl2br w:val="nil"/>
              <w:tr2bl w:val="nil"/>
            </w:tcBorders>
            <w:tcMar>
              <w:left w:w="60" w:type="dxa"/>
              <w:right w:w="60" w:type="dxa"/>
            </w:tcMar>
            <w:vAlign w:val="center"/>
          </w:tcPr>
          <w:p w14:paraId="7FB7901C"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14:paraId="40207F14"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31</w:t>
            </w:r>
          </w:p>
        </w:tc>
      </w:tr>
      <w:tr w:rsidR="00807FFE" w14:paraId="7F5FA4A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12476EE"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2</w:t>
            </w:r>
          </w:p>
        </w:tc>
        <w:tc>
          <w:tcPr>
            <w:tcW w:w="2636" w:type="dxa"/>
            <w:tcBorders>
              <w:top w:val="nil"/>
              <w:left w:val="nil"/>
              <w:bottom w:val="nil"/>
              <w:right w:val="nil"/>
              <w:tl2br w:val="nil"/>
              <w:tr2bl w:val="nil"/>
            </w:tcBorders>
            <w:tcMar>
              <w:left w:w="60" w:type="dxa"/>
              <w:right w:w="60" w:type="dxa"/>
            </w:tcMar>
            <w:vAlign w:val="center"/>
          </w:tcPr>
          <w:p w14:paraId="4EF36872"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Cohesion, Resilience and Values</w:t>
            </w:r>
          </w:p>
        </w:tc>
        <w:tc>
          <w:tcPr>
            <w:tcW w:w="960" w:type="dxa"/>
            <w:tcBorders>
              <w:top w:val="nil"/>
              <w:left w:val="nil"/>
              <w:bottom w:val="nil"/>
              <w:right w:val="nil"/>
              <w:tl2br w:val="nil"/>
              <w:tr2bl w:val="nil"/>
            </w:tcBorders>
            <w:tcMar>
              <w:left w:w="60" w:type="dxa"/>
              <w:right w:w="60" w:type="dxa"/>
            </w:tcMar>
            <w:vAlign w:val="center"/>
          </w:tcPr>
          <w:p w14:paraId="6AFAAB0A"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96 601</w:t>
            </w:r>
          </w:p>
        </w:tc>
        <w:tc>
          <w:tcPr>
            <w:tcW w:w="898" w:type="dxa"/>
            <w:tcBorders>
              <w:top w:val="nil"/>
              <w:left w:val="nil"/>
              <w:bottom w:val="nil"/>
              <w:right w:val="nil"/>
              <w:tl2br w:val="nil"/>
              <w:tr2bl w:val="nil"/>
            </w:tcBorders>
            <w:tcMar>
              <w:left w:w="60" w:type="dxa"/>
              <w:right w:w="60" w:type="dxa"/>
            </w:tcMar>
            <w:vAlign w:val="center"/>
          </w:tcPr>
          <w:p w14:paraId="2D807F5E"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45 231</w:t>
            </w:r>
          </w:p>
        </w:tc>
        <w:tc>
          <w:tcPr>
            <w:tcW w:w="898" w:type="dxa"/>
            <w:tcBorders>
              <w:top w:val="nil"/>
              <w:left w:val="nil"/>
              <w:bottom w:val="nil"/>
              <w:right w:val="nil"/>
              <w:tl2br w:val="nil"/>
              <w:tr2bl w:val="nil"/>
            </w:tcBorders>
            <w:tcMar>
              <w:left w:w="60" w:type="dxa"/>
              <w:right w:w="60" w:type="dxa"/>
            </w:tcMar>
            <w:vAlign w:val="center"/>
          </w:tcPr>
          <w:p w14:paraId="35A2FFCF"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1 895</w:t>
            </w:r>
          </w:p>
        </w:tc>
        <w:tc>
          <w:tcPr>
            <w:tcW w:w="898" w:type="dxa"/>
            <w:tcBorders>
              <w:top w:val="nil"/>
              <w:left w:val="nil"/>
              <w:bottom w:val="nil"/>
              <w:right w:val="nil"/>
              <w:tl2br w:val="nil"/>
              <w:tr2bl w:val="nil"/>
            </w:tcBorders>
            <w:tcMar>
              <w:left w:w="60" w:type="dxa"/>
              <w:right w:w="60" w:type="dxa"/>
            </w:tcMar>
            <w:vAlign w:val="center"/>
          </w:tcPr>
          <w:p w14:paraId="493C66B0"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45 180</w:t>
            </w:r>
          </w:p>
        </w:tc>
        <w:tc>
          <w:tcPr>
            <w:tcW w:w="898" w:type="dxa"/>
            <w:tcBorders>
              <w:top w:val="nil"/>
              <w:left w:val="nil"/>
              <w:bottom w:val="nil"/>
              <w:right w:val="nil"/>
              <w:tl2br w:val="nil"/>
              <w:tr2bl w:val="nil"/>
            </w:tcBorders>
            <w:tcMar>
              <w:left w:w="60" w:type="dxa"/>
              <w:right w:w="60" w:type="dxa"/>
            </w:tcMar>
            <w:vAlign w:val="center"/>
          </w:tcPr>
          <w:p w14:paraId="2D3C5A83"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92 306</w:t>
            </w:r>
          </w:p>
        </w:tc>
        <w:tc>
          <w:tcPr>
            <w:tcW w:w="898" w:type="dxa"/>
            <w:tcBorders>
              <w:top w:val="nil"/>
              <w:left w:val="nil"/>
              <w:bottom w:val="nil"/>
              <w:right w:val="nil"/>
              <w:tl2br w:val="nil"/>
              <w:tr2bl w:val="nil"/>
            </w:tcBorders>
            <w:tcMar>
              <w:left w:w="60" w:type="dxa"/>
              <w:right w:w="60" w:type="dxa"/>
            </w:tcMar>
            <w:vAlign w:val="center"/>
          </w:tcPr>
          <w:p w14:paraId="7F690EA1"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898" w:type="dxa"/>
            <w:tcBorders>
              <w:top w:val="nil"/>
              <w:left w:val="nil"/>
              <w:bottom w:val="nil"/>
              <w:right w:val="nil"/>
              <w:tl2br w:val="nil"/>
              <w:tr2bl w:val="nil"/>
            </w:tcBorders>
            <w:tcMar>
              <w:left w:w="60" w:type="dxa"/>
              <w:right w:w="60" w:type="dxa"/>
            </w:tcMar>
            <w:vAlign w:val="center"/>
          </w:tcPr>
          <w:p w14:paraId="7C633BC8"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1 906</w:t>
            </w:r>
          </w:p>
        </w:tc>
        <w:tc>
          <w:tcPr>
            <w:tcW w:w="898" w:type="dxa"/>
            <w:tcBorders>
              <w:top w:val="nil"/>
              <w:left w:val="nil"/>
              <w:bottom w:val="nil"/>
              <w:right w:val="nil"/>
              <w:tl2br w:val="nil"/>
              <w:tr2bl w:val="nil"/>
            </w:tcBorders>
            <w:tcMar>
              <w:left w:w="60" w:type="dxa"/>
              <w:right w:w="60" w:type="dxa"/>
            </w:tcMar>
            <w:vAlign w:val="center"/>
          </w:tcPr>
          <w:p w14:paraId="05F96D42"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2 377</w:t>
            </w:r>
          </w:p>
        </w:tc>
        <w:tc>
          <w:tcPr>
            <w:tcW w:w="898" w:type="dxa"/>
            <w:tcBorders>
              <w:top w:val="nil"/>
              <w:left w:val="nil"/>
              <w:bottom w:val="nil"/>
              <w:right w:val="nil"/>
              <w:tl2br w:val="nil"/>
              <w:tr2bl w:val="nil"/>
            </w:tcBorders>
            <w:tcMar>
              <w:left w:w="60" w:type="dxa"/>
              <w:right w:w="60" w:type="dxa"/>
            </w:tcMar>
            <w:vAlign w:val="center"/>
          </w:tcPr>
          <w:p w14:paraId="4CE12B5B"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4 283</w:t>
            </w:r>
          </w:p>
        </w:tc>
        <w:tc>
          <w:tcPr>
            <w:tcW w:w="898" w:type="dxa"/>
            <w:tcBorders>
              <w:top w:val="nil"/>
              <w:left w:val="nil"/>
              <w:bottom w:val="nil"/>
              <w:right w:val="nil"/>
              <w:tl2br w:val="nil"/>
              <w:tr2bl w:val="nil"/>
            </w:tcBorders>
            <w:tcMar>
              <w:left w:w="60" w:type="dxa"/>
              <w:right w:w="60" w:type="dxa"/>
            </w:tcMar>
            <w:vAlign w:val="center"/>
          </w:tcPr>
          <w:p w14:paraId="75492C9B"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98" w:type="dxa"/>
            <w:tcBorders>
              <w:top w:val="nil"/>
              <w:left w:val="nil"/>
              <w:bottom w:val="nil"/>
              <w:right w:val="nil"/>
              <w:tl2br w:val="nil"/>
              <w:tr2bl w:val="nil"/>
            </w:tcBorders>
            <w:tcMar>
              <w:left w:w="60" w:type="dxa"/>
              <w:right w:w="60" w:type="dxa"/>
            </w:tcMar>
            <w:vAlign w:val="center"/>
          </w:tcPr>
          <w:p w14:paraId="13411B64"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36" w:type="dxa"/>
            <w:tcBorders>
              <w:top w:val="nil"/>
              <w:left w:val="nil"/>
              <w:bottom w:val="nil"/>
              <w:right w:val="nil"/>
              <w:tl2br w:val="nil"/>
              <w:tr2bl w:val="nil"/>
            </w:tcBorders>
            <w:tcMar>
              <w:left w:w="60" w:type="dxa"/>
              <w:right w:w="60" w:type="dxa"/>
            </w:tcMar>
            <w:vAlign w:val="center"/>
          </w:tcPr>
          <w:p w14:paraId="43C48027"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98" w:type="dxa"/>
            <w:tcBorders>
              <w:top w:val="nil"/>
              <w:left w:val="nil"/>
              <w:bottom w:val="nil"/>
              <w:right w:val="nil"/>
              <w:tl2br w:val="nil"/>
              <w:tr2bl w:val="nil"/>
            </w:tcBorders>
            <w:tcMar>
              <w:left w:w="60" w:type="dxa"/>
              <w:right w:w="60" w:type="dxa"/>
            </w:tcMar>
            <w:vAlign w:val="center"/>
          </w:tcPr>
          <w:p w14:paraId="6475342E"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11</w:t>
            </w:r>
          </w:p>
        </w:tc>
      </w:tr>
      <w:tr w:rsidR="00807FFE" w14:paraId="09C1FAF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33C4947"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3</w:t>
            </w:r>
          </w:p>
        </w:tc>
        <w:tc>
          <w:tcPr>
            <w:tcW w:w="2636" w:type="dxa"/>
            <w:tcBorders>
              <w:top w:val="nil"/>
              <w:left w:val="nil"/>
              <w:bottom w:val="nil"/>
              <w:right w:val="nil"/>
              <w:tl2br w:val="nil"/>
              <w:tr2bl w:val="nil"/>
            </w:tcBorders>
            <w:tcMar>
              <w:left w:w="60" w:type="dxa"/>
              <w:right w:w="60" w:type="dxa"/>
            </w:tcMar>
            <w:vAlign w:val="center"/>
          </w:tcPr>
          <w:p w14:paraId="0AD3DBAC"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Natural Resources and Environment</w:t>
            </w:r>
          </w:p>
        </w:tc>
        <w:tc>
          <w:tcPr>
            <w:tcW w:w="960" w:type="dxa"/>
            <w:tcBorders>
              <w:top w:val="nil"/>
              <w:left w:val="nil"/>
              <w:bottom w:val="nil"/>
              <w:right w:val="nil"/>
              <w:tl2br w:val="nil"/>
              <w:tr2bl w:val="nil"/>
            </w:tcBorders>
            <w:tcMar>
              <w:left w:w="60" w:type="dxa"/>
              <w:right w:w="60" w:type="dxa"/>
            </w:tcMar>
            <w:vAlign w:val="center"/>
          </w:tcPr>
          <w:p w14:paraId="7C9F15C5"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61 329</w:t>
            </w:r>
          </w:p>
        </w:tc>
        <w:tc>
          <w:tcPr>
            <w:tcW w:w="898" w:type="dxa"/>
            <w:tcBorders>
              <w:top w:val="nil"/>
              <w:left w:val="nil"/>
              <w:bottom w:val="nil"/>
              <w:right w:val="nil"/>
              <w:tl2br w:val="nil"/>
              <w:tr2bl w:val="nil"/>
            </w:tcBorders>
            <w:tcMar>
              <w:left w:w="60" w:type="dxa"/>
              <w:right w:w="60" w:type="dxa"/>
            </w:tcMar>
            <w:vAlign w:val="center"/>
          </w:tcPr>
          <w:p w14:paraId="7E1320EC"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55 799</w:t>
            </w:r>
          </w:p>
        </w:tc>
        <w:tc>
          <w:tcPr>
            <w:tcW w:w="898" w:type="dxa"/>
            <w:tcBorders>
              <w:top w:val="nil"/>
              <w:left w:val="nil"/>
              <w:bottom w:val="nil"/>
              <w:right w:val="nil"/>
              <w:tl2br w:val="nil"/>
              <w:tr2bl w:val="nil"/>
            </w:tcBorders>
            <w:tcMar>
              <w:left w:w="60" w:type="dxa"/>
              <w:right w:w="60" w:type="dxa"/>
            </w:tcMar>
            <w:vAlign w:val="center"/>
          </w:tcPr>
          <w:p w14:paraId="3EE2EF67"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200</w:t>
            </w:r>
          </w:p>
        </w:tc>
        <w:tc>
          <w:tcPr>
            <w:tcW w:w="898" w:type="dxa"/>
            <w:tcBorders>
              <w:top w:val="nil"/>
              <w:left w:val="nil"/>
              <w:bottom w:val="nil"/>
              <w:right w:val="nil"/>
              <w:tl2br w:val="nil"/>
              <w:tr2bl w:val="nil"/>
            </w:tcBorders>
            <w:tcMar>
              <w:left w:w="60" w:type="dxa"/>
              <w:right w:w="60" w:type="dxa"/>
            </w:tcMar>
            <w:vAlign w:val="center"/>
          </w:tcPr>
          <w:p w14:paraId="23070B07"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3 590</w:t>
            </w:r>
          </w:p>
        </w:tc>
        <w:tc>
          <w:tcPr>
            <w:tcW w:w="898" w:type="dxa"/>
            <w:tcBorders>
              <w:top w:val="nil"/>
              <w:left w:val="nil"/>
              <w:bottom w:val="nil"/>
              <w:right w:val="nil"/>
              <w:tl2br w:val="nil"/>
              <w:tr2bl w:val="nil"/>
            </w:tcBorders>
            <w:tcMar>
              <w:left w:w="60" w:type="dxa"/>
              <w:right w:w="60" w:type="dxa"/>
            </w:tcMar>
            <w:vAlign w:val="center"/>
          </w:tcPr>
          <w:p w14:paraId="603EBF64"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59 589</w:t>
            </w:r>
          </w:p>
        </w:tc>
        <w:tc>
          <w:tcPr>
            <w:tcW w:w="898" w:type="dxa"/>
            <w:tcBorders>
              <w:top w:val="nil"/>
              <w:left w:val="nil"/>
              <w:bottom w:val="nil"/>
              <w:right w:val="nil"/>
              <w:tl2br w:val="nil"/>
              <w:tr2bl w:val="nil"/>
            </w:tcBorders>
            <w:tcMar>
              <w:left w:w="60" w:type="dxa"/>
              <w:right w:w="60" w:type="dxa"/>
            </w:tcMar>
            <w:vAlign w:val="center"/>
          </w:tcPr>
          <w:p w14:paraId="624153D7"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98" w:type="dxa"/>
            <w:tcBorders>
              <w:top w:val="nil"/>
              <w:left w:val="nil"/>
              <w:bottom w:val="nil"/>
              <w:right w:val="nil"/>
              <w:tl2br w:val="nil"/>
              <w:tr2bl w:val="nil"/>
            </w:tcBorders>
            <w:tcMar>
              <w:left w:w="60" w:type="dxa"/>
              <w:right w:w="60" w:type="dxa"/>
            </w:tcMar>
            <w:vAlign w:val="center"/>
          </w:tcPr>
          <w:p w14:paraId="7F3A4A40"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399</w:t>
            </w:r>
          </w:p>
        </w:tc>
        <w:tc>
          <w:tcPr>
            <w:tcW w:w="898" w:type="dxa"/>
            <w:tcBorders>
              <w:top w:val="nil"/>
              <w:left w:val="nil"/>
              <w:bottom w:val="nil"/>
              <w:right w:val="nil"/>
              <w:tl2br w:val="nil"/>
              <w:tr2bl w:val="nil"/>
            </w:tcBorders>
            <w:tcMar>
              <w:left w:w="60" w:type="dxa"/>
              <w:right w:w="60" w:type="dxa"/>
            </w:tcMar>
            <w:vAlign w:val="center"/>
          </w:tcPr>
          <w:p w14:paraId="7A3F6FB5"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1 323</w:t>
            </w:r>
          </w:p>
        </w:tc>
        <w:tc>
          <w:tcPr>
            <w:tcW w:w="898" w:type="dxa"/>
            <w:tcBorders>
              <w:top w:val="nil"/>
              <w:left w:val="nil"/>
              <w:bottom w:val="nil"/>
              <w:right w:val="nil"/>
              <w:tl2br w:val="nil"/>
              <w:tr2bl w:val="nil"/>
            </w:tcBorders>
            <w:tcMar>
              <w:left w:w="60" w:type="dxa"/>
              <w:right w:w="60" w:type="dxa"/>
            </w:tcMar>
            <w:vAlign w:val="center"/>
          </w:tcPr>
          <w:p w14:paraId="6EAD79B2"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1 722</w:t>
            </w:r>
          </w:p>
        </w:tc>
        <w:tc>
          <w:tcPr>
            <w:tcW w:w="898" w:type="dxa"/>
            <w:tcBorders>
              <w:top w:val="nil"/>
              <w:left w:val="nil"/>
              <w:bottom w:val="nil"/>
              <w:right w:val="nil"/>
              <w:tl2br w:val="nil"/>
              <w:tr2bl w:val="nil"/>
            </w:tcBorders>
            <w:tcMar>
              <w:left w:w="60" w:type="dxa"/>
              <w:right w:w="60" w:type="dxa"/>
            </w:tcMar>
            <w:vAlign w:val="center"/>
          </w:tcPr>
          <w:p w14:paraId="1022A71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98" w:type="dxa"/>
            <w:tcBorders>
              <w:top w:val="nil"/>
              <w:left w:val="nil"/>
              <w:bottom w:val="nil"/>
              <w:right w:val="nil"/>
              <w:tl2br w:val="nil"/>
              <w:tr2bl w:val="nil"/>
            </w:tcBorders>
            <w:tcMar>
              <w:left w:w="60" w:type="dxa"/>
              <w:right w:w="60" w:type="dxa"/>
            </w:tcMar>
            <w:vAlign w:val="center"/>
          </w:tcPr>
          <w:p w14:paraId="1C71CA58"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14:paraId="546C5E65"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14:paraId="5C6E2D05"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w:t>
            </w:r>
          </w:p>
        </w:tc>
      </w:tr>
      <w:tr w:rsidR="00807FFE" w14:paraId="252A9D8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1C5FA58"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4</w:t>
            </w:r>
          </w:p>
        </w:tc>
        <w:tc>
          <w:tcPr>
            <w:tcW w:w="2636" w:type="dxa"/>
            <w:tcBorders>
              <w:top w:val="nil"/>
              <w:left w:val="nil"/>
              <w:bottom w:val="nil"/>
              <w:right w:val="nil"/>
              <w:tl2br w:val="nil"/>
              <w:tr2bl w:val="nil"/>
            </w:tcBorders>
            <w:tcMar>
              <w:left w:w="60" w:type="dxa"/>
              <w:right w:w="60" w:type="dxa"/>
            </w:tcMar>
            <w:vAlign w:val="center"/>
          </w:tcPr>
          <w:p w14:paraId="532204A5"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Migration and Border Management</w:t>
            </w:r>
          </w:p>
        </w:tc>
        <w:tc>
          <w:tcPr>
            <w:tcW w:w="960" w:type="dxa"/>
            <w:tcBorders>
              <w:top w:val="nil"/>
              <w:left w:val="nil"/>
              <w:bottom w:val="nil"/>
              <w:right w:val="nil"/>
              <w:tl2br w:val="nil"/>
              <w:tr2bl w:val="nil"/>
            </w:tcBorders>
            <w:tcMar>
              <w:left w:w="60" w:type="dxa"/>
              <w:right w:w="60" w:type="dxa"/>
            </w:tcMar>
            <w:vAlign w:val="center"/>
          </w:tcPr>
          <w:p w14:paraId="5B18FF63"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4 386</w:t>
            </w:r>
          </w:p>
        </w:tc>
        <w:tc>
          <w:tcPr>
            <w:tcW w:w="898" w:type="dxa"/>
            <w:tcBorders>
              <w:top w:val="nil"/>
              <w:left w:val="nil"/>
              <w:bottom w:val="nil"/>
              <w:right w:val="nil"/>
              <w:tl2br w:val="nil"/>
              <w:tr2bl w:val="nil"/>
            </w:tcBorders>
            <w:tcMar>
              <w:left w:w="60" w:type="dxa"/>
              <w:right w:w="60" w:type="dxa"/>
            </w:tcMar>
            <w:vAlign w:val="center"/>
          </w:tcPr>
          <w:p w14:paraId="690A63CF"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3 560</w:t>
            </w:r>
          </w:p>
        </w:tc>
        <w:tc>
          <w:tcPr>
            <w:tcW w:w="898" w:type="dxa"/>
            <w:tcBorders>
              <w:top w:val="nil"/>
              <w:left w:val="nil"/>
              <w:bottom w:val="nil"/>
              <w:right w:val="nil"/>
              <w:tl2br w:val="nil"/>
              <w:tr2bl w:val="nil"/>
            </w:tcBorders>
            <w:tcMar>
              <w:left w:w="60" w:type="dxa"/>
              <w:right w:w="60" w:type="dxa"/>
            </w:tcMar>
            <w:vAlign w:val="center"/>
          </w:tcPr>
          <w:p w14:paraId="4EA3FD2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98" w:type="dxa"/>
            <w:tcBorders>
              <w:top w:val="nil"/>
              <w:left w:val="nil"/>
              <w:bottom w:val="nil"/>
              <w:right w:val="nil"/>
              <w:tl2br w:val="nil"/>
              <w:tr2bl w:val="nil"/>
            </w:tcBorders>
            <w:tcMar>
              <w:left w:w="60" w:type="dxa"/>
              <w:right w:w="60" w:type="dxa"/>
            </w:tcMar>
            <w:vAlign w:val="center"/>
          </w:tcPr>
          <w:p w14:paraId="04338BC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239</w:t>
            </w:r>
          </w:p>
        </w:tc>
        <w:tc>
          <w:tcPr>
            <w:tcW w:w="898" w:type="dxa"/>
            <w:tcBorders>
              <w:top w:val="nil"/>
              <w:left w:val="nil"/>
              <w:bottom w:val="nil"/>
              <w:right w:val="nil"/>
              <w:tl2br w:val="nil"/>
              <w:tr2bl w:val="nil"/>
            </w:tcBorders>
            <w:tcMar>
              <w:left w:w="60" w:type="dxa"/>
              <w:right w:w="60" w:type="dxa"/>
            </w:tcMar>
            <w:vAlign w:val="center"/>
          </w:tcPr>
          <w:p w14:paraId="4886E7A7"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3 819</w:t>
            </w:r>
          </w:p>
        </w:tc>
        <w:tc>
          <w:tcPr>
            <w:tcW w:w="898" w:type="dxa"/>
            <w:tcBorders>
              <w:top w:val="nil"/>
              <w:left w:val="nil"/>
              <w:bottom w:val="nil"/>
              <w:right w:val="nil"/>
              <w:tl2br w:val="nil"/>
              <w:tr2bl w:val="nil"/>
            </w:tcBorders>
            <w:tcMar>
              <w:left w:w="60" w:type="dxa"/>
              <w:right w:w="60" w:type="dxa"/>
            </w:tcMar>
            <w:vAlign w:val="center"/>
          </w:tcPr>
          <w:p w14:paraId="7A71C3A3"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87 %</w:t>
            </w:r>
          </w:p>
        </w:tc>
        <w:tc>
          <w:tcPr>
            <w:tcW w:w="898" w:type="dxa"/>
            <w:tcBorders>
              <w:top w:val="nil"/>
              <w:left w:val="nil"/>
              <w:bottom w:val="nil"/>
              <w:right w:val="nil"/>
              <w:tl2br w:val="nil"/>
              <w:tr2bl w:val="nil"/>
            </w:tcBorders>
            <w:tcMar>
              <w:left w:w="60" w:type="dxa"/>
              <w:right w:w="60" w:type="dxa"/>
            </w:tcMar>
            <w:vAlign w:val="center"/>
          </w:tcPr>
          <w:p w14:paraId="796B3979"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98" w:type="dxa"/>
            <w:tcBorders>
              <w:top w:val="nil"/>
              <w:left w:val="nil"/>
              <w:bottom w:val="nil"/>
              <w:right w:val="nil"/>
              <w:tl2br w:val="nil"/>
              <w:tr2bl w:val="nil"/>
            </w:tcBorders>
            <w:tcMar>
              <w:left w:w="60" w:type="dxa"/>
              <w:right w:w="60" w:type="dxa"/>
            </w:tcMar>
            <w:vAlign w:val="center"/>
          </w:tcPr>
          <w:p w14:paraId="2188E180"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554</w:t>
            </w:r>
          </w:p>
        </w:tc>
        <w:tc>
          <w:tcPr>
            <w:tcW w:w="898" w:type="dxa"/>
            <w:tcBorders>
              <w:top w:val="nil"/>
              <w:left w:val="nil"/>
              <w:bottom w:val="nil"/>
              <w:right w:val="nil"/>
              <w:tl2br w:val="nil"/>
              <w:tr2bl w:val="nil"/>
            </w:tcBorders>
            <w:tcMar>
              <w:left w:w="60" w:type="dxa"/>
              <w:right w:w="60" w:type="dxa"/>
            </w:tcMar>
            <w:vAlign w:val="center"/>
          </w:tcPr>
          <w:p w14:paraId="1B3FBFCC"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557</w:t>
            </w:r>
          </w:p>
        </w:tc>
        <w:tc>
          <w:tcPr>
            <w:tcW w:w="898" w:type="dxa"/>
            <w:tcBorders>
              <w:top w:val="nil"/>
              <w:left w:val="nil"/>
              <w:bottom w:val="nil"/>
              <w:right w:val="nil"/>
              <w:tl2br w:val="nil"/>
              <w:tr2bl w:val="nil"/>
            </w:tcBorders>
            <w:tcMar>
              <w:left w:w="60" w:type="dxa"/>
              <w:right w:w="60" w:type="dxa"/>
            </w:tcMar>
            <w:vAlign w:val="center"/>
          </w:tcPr>
          <w:p w14:paraId="77ADB5D8"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98" w:type="dxa"/>
            <w:tcBorders>
              <w:top w:val="nil"/>
              <w:left w:val="nil"/>
              <w:bottom w:val="nil"/>
              <w:right w:val="nil"/>
              <w:tl2br w:val="nil"/>
              <w:tr2bl w:val="nil"/>
            </w:tcBorders>
            <w:tcMar>
              <w:left w:w="60" w:type="dxa"/>
              <w:right w:w="60" w:type="dxa"/>
            </w:tcMar>
            <w:vAlign w:val="center"/>
          </w:tcPr>
          <w:p w14:paraId="5E261D4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36" w:type="dxa"/>
            <w:tcBorders>
              <w:top w:val="nil"/>
              <w:left w:val="nil"/>
              <w:bottom w:val="nil"/>
              <w:right w:val="nil"/>
              <w:tl2br w:val="nil"/>
              <w:tr2bl w:val="nil"/>
            </w:tcBorders>
            <w:tcMar>
              <w:left w:w="60" w:type="dxa"/>
              <w:right w:w="60" w:type="dxa"/>
            </w:tcMar>
            <w:vAlign w:val="center"/>
          </w:tcPr>
          <w:p w14:paraId="773DDF5E"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14:paraId="1BAF0A4B"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w:t>
            </w:r>
          </w:p>
        </w:tc>
      </w:tr>
      <w:tr w:rsidR="00807FFE" w14:paraId="36D79B4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EE98241"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5</w:t>
            </w:r>
          </w:p>
        </w:tc>
        <w:tc>
          <w:tcPr>
            <w:tcW w:w="2636" w:type="dxa"/>
            <w:tcBorders>
              <w:top w:val="nil"/>
              <w:left w:val="nil"/>
              <w:bottom w:val="nil"/>
              <w:right w:val="nil"/>
              <w:tl2br w:val="nil"/>
              <w:tr2bl w:val="nil"/>
            </w:tcBorders>
            <w:tcMar>
              <w:left w:w="60" w:type="dxa"/>
              <w:right w:w="60" w:type="dxa"/>
            </w:tcMar>
            <w:vAlign w:val="center"/>
          </w:tcPr>
          <w:p w14:paraId="0F36E563"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Security and Defence</w:t>
            </w:r>
          </w:p>
        </w:tc>
        <w:tc>
          <w:tcPr>
            <w:tcW w:w="960" w:type="dxa"/>
            <w:tcBorders>
              <w:top w:val="nil"/>
              <w:left w:val="nil"/>
              <w:bottom w:val="nil"/>
              <w:right w:val="nil"/>
              <w:tl2br w:val="nil"/>
              <w:tr2bl w:val="nil"/>
            </w:tcBorders>
            <w:tcMar>
              <w:left w:w="60" w:type="dxa"/>
              <w:right w:w="60" w:type="dxa"/>
            </w:tcMar>
            <w:vAlign w:val="center"/>
          </w:tcPr>
          <w:p w14:paraId="480ABE7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1 947</w:t>
            </w:r>
          </w:p>
        </w:tc>
        <w:tc>
          <w:tcPr>
            <w:tcW w:w="898" w:type="dxa"/>
            <w:tcBorders>
              <w:top w:val="nil"/>
              <w:left w:val="nil"/>
              <w:bottom w:val="nil"/>
              <w:right w:val="nil"/>
              <w:tl2br w:val="nil"/>
              <w:tr2bl w:val="nil"/>
            </w:tcBorders>
            <w:tcMar>
              <w:left w:w="60" w:type="dxa"/>
              <w:right w:w="60" w:type="dxa"/>
            </w:tcMar>
            <w:vAlign w:val="center"/>
          </w:tcPr>
          <w:p w14:paraId="5F3A8BB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1 814</w:t>
            </w:r>
          </w:p>
        </w:tc>
        <w:tc>
          <w:tcPr>
            <w:tcW w:w="898" w:type="dxa"/>
            <w:tcBorders>
              <w:top w:val="nil"/>
              <w:left w:val="nil"/>
              <w:bottom w:val="nil"/>
              <w:right w:val="nil"/>
              <w:tl2br w:val="nil"/>
              <w:tr2bl w:val="nil"/>
            </w:tcBorders>
            <w:tcMar>
              <w:left w:w="60" w:type="dxa"/>
              <w:right w:w="60" w:type="dxa"/>
            </w:tcMar>
            <w:vAlign w:val="center"/>
          </w:tcPr>
          <w:p w14:paraId="640FB2B1"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98" w:type="dxa"/>
            <w:tcBorders>
              <w:top w:val="nil"/>
              <w:left w:val="nil"/>
              <w:bottom w:val="nil"/>
              <w:right w:val="nil"/>
              <w:tl2br w:val="nil"/>
              <w:tr2bl w:val="nil"/>
            </w:tcBorders>
            <w:tcMar>
              <w:left w:w="60" w:type="dxa"/>
              <w:right w:w="60" w:type="dxa"/>
            </w:tcMar>
            <w:vAlign w:val="center"/>
          </w:tcPr>
          <w:p w14:paraId="494712C2"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898" w:type="dxa"/>
            <w:tcBorders>
              <w:top w:val="nil"/>
              <w:left w:val="nil"/>
              <w:bottom w:val="nil"/>
              <w:right w:val="nil"/>
              <w:tl2br w:val="nil"/>
              <w:tr2bl w:val="nil"/>
            </w:tcBorders>
            <w:tcMar>
              <w:left w:w="60" w:type="dxa"/>
              <w:right w:w="60" w:type="dxa"/>
            </w:tcMar>
            <w:vAlign w:val="center"/>
          </w:tcPr>
          <w:p w14:paraId="46A769E1"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1 872</w:t>
            </w:r>
          </w:p>
        </w:tc>
        <w:tc>
          <w:tcPr>
            <w:tcW w:w="898" w:type="dxa"/>
            <w:tcBorders>
              <w:top w:val="nil"/>
              <w:left w:val="nil"/>
              <w:bottom w:val="nil"/>
              <w:right w:val="nil"/>
              <w:tl2br w:val="nil"/>
              <w:tr2bl w:val="nil"/>
            </w:tcBorders>
            <w:tcMar>
              <w:left w:w="60" w:type="dxa"/>
              <w:right w:w="60" w:type="dxa"/>
            </w:tcMar>
            <w:vAlign w:val="center"/>
          </w:tcPr>
          <w:p w14:paraId="1F95A891"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898" w:type="dxa"/>
            <w:tcBorders>
              <w:top w:val="nil"/>
              <w:left w:val="nil"/>
              <w:bottom w:val="nil"/>
              <w:right w:val="nil"/>
              <w:tl2br w:val="nil"/>
              <w:tr2bl w:val="nil"/>
            </w:tcBorders>
            <w:tcMar>
              <w:left w:w="60" w:type="dxa"/>
              <w:right w:w="60" w:type="dxa"/>
            </w:tcMar>
            <w:vAlign w:val="center"/>
          </w:tcPr>
          <w:p w14:paraId="4B70959F"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98" w:type="dxa"/>
            <w:tcBorders>
              <w:top w:val="nil"/>
              <w:left w:val="nil"/>
              <w:bottom w:val="nil"/>
              <w:right w:val="nil"/>
              <w:tl2br w:val="nil"/>
              <w:tr2bl w:val="nil"/>
            </w:tcBorders>
            <w:tcMar>
              <w:left w:w="60" w:type="dxa"/>
              <w:right w:w="60" w:type="dxa"/>
            </w:tcMar>
            <w:vAlign w:val="center"/>
          </w:tcPr>
          <w:p w14:paraId="3928D18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898" w:type="dxa"/>
            <w:tcBorders>
              <w:top w:val="nil"/>
              <w:left w:val="nil"/>
              <w:bottom w:val="nil"/>
              <w:right w:val="nil"/>
              <w:tl2br w:val="nil"/>
              <w:tr2bl w:val="nil"/>
            </w:tcBorders>
            <w:tcMar>
              <w:left w:w="60" w:type="dxa"/>
              <w:right w:w="60" w:type="dxa"/>
            </w:tcMar>
            <w:vAlign w:val="center"/>
          </w:tcPr>
          <w:p w14:paraId="6DFAD692"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898" w:type="dxa"/>
            <w:tcBorders>
              <w:top w:val="nil"/>
              <w:left w:val="nil"/>
              <w:bottom w:val="nil"/>
              <w:right w:val="nil"/>
              <w:tl2br w:val="nil"/>
              <w:tr2bl w:val="nil"/>
            </w:tcBorders>
            <w:tcMar>
              <w:left w:w="60" w:type="dxa"/>
              <w:right w:w="60" w:type="dxa"/>
            </w:tcMar>
            <w:vAlign w:val="center"/>
          </w:tcPr>
          <w:p w14:paraId="4B06978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98" w:type="dxa"/>
            <w:tcBorders>
              <w:top w:val="nil"/>
              <w:left w:val="nil"/>
              <w:bottom w:val="nil"/>
              <w:right w:val="nil"/>
              <w:tl2br w:val="nil"/>
              <w:tr2bl w:val="nil"/>
            </w:tcBorders>
            <w:tcMar>
              <w:left w:w="60" w:type="dxa"/>
              <w:right w:w="60" w:type="dxa"/>
            </w:tcMar>
            <w:vAlign w:val="center"/>
          </w:tcPr>
          <w:p w14:paraId="56EFCC84"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14:paraId="4885BFD1"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14:paraId="4E1C82ED"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3363BFF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86DFE0B"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6</w:t>
            </w:r>
          </w:p>
        </w:tc>
        <w:tc>
          <w:tcPr>
            <w:tcW w:w="2636" w:type="dxa"/>
            <w:tcBorders>
              <w:top w:val="nil"/>
              <w:left w:val="nil"/>
              <w:bottom w:val="nil"/>
              <w:right w:val="nil"/>
              <w:tl2br w:val="nil"/>
              <w:tr2bl w:val="nil"/>
            </w:tcBorders>
            <w:tcMar>
              <w:left w:w="60" w:type="dxa"/>
              <w:right w:w="60" w:type="dxa"/>
            </w:tcMar>
            <w:vAlign w:val="center"/>
          </w:tcPr>
          <w:p w14:paraId="7EB7A563"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Neighbourhood and the World</w:t>
            </w:r>
          </w:p>
        </w:tc>
        <w:tc>
          <w:tcPr>
            <w:tcW w:w="960" w:type="dxa"/>
            <w:tcBorders>
              <w:top w:val="nil"/>
              <w:left w:val="nil"/>
              <w:bottom w:val="nil"/>
              <w:right w:val="nil"/>
              <w:tl2br w:val="nil"/>
              <w:tr2bl w:val="nil"/>
            </w:tcBorders>
            <w:tcMar>
              <w:left w:w="60" w:type="dxa"/>
              <w:right w:w="60" w:type="dxa"/>
            </w:tcMar>
            <w:vAlign w:val="center"/>
          </w:tcPr>
          <w:p w14:paraId="6650CC69"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18 469</w:t>
            </w:r>
          </w:p>
        </w:tc>
        <w:tc>
          <w:tcPr>
            <w:tcW w:w="898" w:type="dxa"/>
            <w:tcBorders>
              <w:top w:val="nil"/>
              <w:left w:val="nil"/>
              <w:bottom w:val="nil"/>
              <w:right w:val="nil"/>
              <w:tl2br w:val="nil"/>
              <w:tr2bl w:val="nil"/>
            </w:tcBorders>
            <w:tcMar>
              <w:left w:w="60" w:type="dxa"/>
              <w:right w:w="60" w:type="dxa"/>
            </w:tcMar>
            <w:vAlign w:val="center"/>
          </w:tcPr>
          <w:p w14:paraId="44BEC551"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14 444</w:t>
            </w:r>
          </w:p>
        </w:tc>
        <w:tc>
          <w:tcPr>
            <w:tcW w:w="898" w:type="dxa"/>
            <w:tcBorders>
              <w:top w:val="nil"/>
              <w:left w:val="nil"/>
              <w:bottom w:val="nil"/>
              <w:right w:val="nil"/>
              <w:tl2br w:val="nil"/>
              <w:tr2bl w:val="nil"/>
            </w:tcBorders>
            <w:tcMar>
              <w:left w:w="60" w:type="dxa"/>
              <w:right w:w="60" w:type="dxa"/>
            </w:tcMar>
            <w:vAlign w:val="center"/>
          </w:tcPr>
          <w:p w14:paraId="65A480DA"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898" w:type="dxa"/>
            <w:tcBorders>
              <w:top w:val="nil"/>
              <w:left w:val="nil"/>
              <w:bottom w:val="nil"/>
              <w:right w:val="nil"/>
              <w:tl2br w:val="nil"/>
              <w:tr2bl w:val="nil"/>
            </w:tcBorders>
            <w:tcMar>
              <w:left w:w="60" w:type="dxa"/>
              <w:right w:w="60" w:type="dxa"/>
            </w:tcMar>
            <w:vAlign w:val="center"/>
          </w:tcPr>
          <w:p w14:paraId="72F00F8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2 637</w:t>
            </w:r>
          </w:p>
        </w:tc>
        <w:tc>
          <w:tcPr>
            <w:tcW w:w="898" w:type="dxa"/>
            <w:tcBorders>
              <w:top w:val="nil"/>
              <w:left w:val="nil"/>
              <w:bottom w:val="nil"/>
              <w:right w:val="nil"/>
              <w:tl2br w:val="nil"/>
              <w:tr2bl w:val="nil"/>
            </w:tcBorders>
            <w:tcMar>
              <w:left w:w="60" w:type="dxa"/>
              <w:right w:w="60" w:type="dxa"/>
            </w:tcMar>
            <w:vAlign w:val="center"/>
          </w:tcPr>
          <w:p w14:paraId="7E9069D5"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17 170</w:t>
            </w:r>
          </w:p>
        </w:tc>
        <w:tc>
          <w:tcPr>
            <w:tcW w:w="898" w:type="dxa"/>
            <w:tcBorders>
              <w:top w:val="nil"/>
              <w:left w:val="nil"/>
              <w:bottom w:val="nil"/>
              <w:right w:val="nil"/>
              <w:tl2br w:val="nil"/>
              <w:tr2bl w:val="nil"/>
            </w:tcBorders>
            <w:tcMar>
              <w:left w:w="60" w:type="dxa"/>
              <w:right w:w="60" w:type="dxa"/>
            </w:tcMar>
            <w:vAlign w:val="center"/>
          </w:tcPr>
          <w:p w14:paraId="05390EC9"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898" w:type="dxa"/>
            <w:tcBorders>
              <w:top w:val="nil"/>
              <w:left w:val="nil"/>
              <w:bottom w:val="nil"/>
              <w:right w:val="nil"/>
              <w:tl2br w:val="nil"/>
              <w:tr2bl w:val="nil"/>
            </w:tcBorders>
            <w:tcMar>
              <w:left w:w="60" w:type="dxa"/>
              <w:right w:w="60" w:type="dxa"/>
            </w:tcMar>
            <w:vAlign w:val="center"/>
          </w:tcPr>
          <w:p w14:paraId="78F8F8FA"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98" w:type="dxa"/>
            <w:tcBorders>
              <w:top w:val="nil"/>
              <w:left w:val="nil"/>
              <w:bottom w:val="nil"/>
              <w:right w:val="nil"/>
              <w:tl2br w:val="nil"/>
              <w:tr2bl w:val="nil"/>
            </w:tcBorders>
            <w:tcMar>
              <w:left w:w="60" w:type="dxa"/>
              <w:right w:w="60" w:type="dxa"/>
            </w:tcMar>
            <w:vAlign w:val="center"/>
          </w:tcPr>
          <w:p w14:paraId="0274855C"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706</w:t>
            </w:r>
          </w:p>
        </w:tc>
        <w:tc>
          <w:tcPr>
            <w:tcW w:w="898" w:type="dxa"/>
            <w:tcBorders>
              <w:top w:val="nil"/>
              <w:left w:val="nil"/>
              <w:bottom w:val="nil"/>
              <w:right w:val="nil"/>
              <w:tl2br w:val="nil"/>
              <w:tr2bl w:val="nil"/>
            </w:tcBorders>
            <w:tcMar>
              <w:left w:w="60" w:type="dxa"/>
              <w:right w:w="60" w:type="dxa"/>
            </w:tcMar>
            <w:vAlign w:val="center"/>
          </w:tcPr>
          <w:p w14:paraId="4B2CDBAF"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1 290</w:t>
            </w:r>
          </w:p>
        </w:tc>
        <w:tc>
          <w:tcPr>
            <w:tcW w:w="898" w:type="dxa"/>
            <w:tcBorders>
              <w:top w:val="nil"/>
              <w:left w:val="nil"/>
              <w:bottom w:val="nil"/>
              <w:right w:val="nil"/>
              <w:tl2br w:val="nil"/>
              <w:tr2bl w:val="nil"/>
            </w:tcBorders>
            <w:tcMar>
              <w:left w:w="60" w:type="dxa"/>
              <w:right w:w="60" w:type="dxa"/>
            </w:tcMar>
            <w:vAlign w:val="center"/>
          </w:tcPr>
          <w:p w14:paraId="12F4AA70"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98" w:type="dxa"/>
            <w:tcBorders>
              <w:top w:val="nil"/>
              <w:left w:val="nil"/>
              <w:bottom w:val="nil"/>
              <w:right w:val="nil"/>
              <w:tl2br w:val="nil"/>
              <w:tr2bl w:val="nil"/>
            </w:tcBorders>
            <w:tcMar>
              <w:left w:w="60" w:type="dxa"/>
              <w:right w:w="60" w:type="dxa"/>
            </w:tcMar>
            <w:vAlign w:val="center"/>
          </w:tcPr>
          <w:p w14:paraId="4F3B3758"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36" w:type="dxa"/>
            <w:tcBorders>
              <w:top w:val="nil"/>
              <w:left w:val="nil"/>
              <w:bottom w:val="nil"/>
              <w:right w:val="nil"/>
              <w:tl2br w:val="nil"/>
              <w:tr2bl w:val="nil"/>
            </w:tcBorders>
            <w:tcMar>
              <w:left w:w="60" w:type="dxa"/>
              <w:right w:w="60" w:type="dxa"/>
            </w:tcMar>
            <w:vAlign w:val="center"/>
          </w:tcPr>
          <w:p w14:paraId="2DC70EB3"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14:paraId="488BB9CD"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4BC6DF8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C86669"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7</w:t>
            </w:r>
          </w:p>
        </w:tc>
        <w:tc>
          <w:tcPr>
            <w:tcW w:w="2636" w:type="dxa"/>
            <w:tcBorders>
              <w:top w:val="nil"/>
              <w:left w:val="nil"/>
              <w:bottom w:val="nil"/>
              <w:right w:val="nil"/>
              <w:tl2br w:val="nil"/>
              <w:tr2bl w:val="nil"/>
            </w:tcBorders>
            <w:tcMar>
              <w:left w:w="60" w:type="dxa"/>
              <w:right w:w="60" w:type="dxa"/>
            </w:tcMar>
            <w:vAlign w:val="center"/>
          </w:tcPr>
          <w:p w14:paraId="670D9166"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European Public Administration</w:t>
            </w:r>
          </w:p>
        </w:tc>
        <w:tc>
          <w:tcPr>
            <w:tcW w:w="960" w:type="dxa"/>
            <w:tcBorders>
              <w:top w:val="nil"/>
              <w:left w:val="nil"/>
              <w:bottom w:val="nil"/>
              <w:right w:val="nil"/>
              <w:tl2br w:val="nil"/>
              <w:tr2bl w:val="nil"/>
            </w:tcBorders>
            <w:tcMar>
              <w:left w:w="60" w:type="dxa"/>
              <w:right w:w="60" w:type="dxa"/>
            </w:tcMar>
            <w:vAlign w:val="center"/>
          </w:tcPr>
          <w:p w14:paraId="0E8FEC4B"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16 133</w:t>
            </w:r>
          </w:p>
        </w:tc>
        <w:tc>
          <w:tcPr>
            <w:tcW w:w="898" w:type="dxa"/>
            <w:tcBorders>
              <w:top w:val="nil"/>
              <w:left w:val="nil"/>
              <w:bottom w:val="nil"/>
              <w:right w:val="nil"/>
              <w:tl2br w:val="nil"/>
              <w:tr2bl w:val="nil"/>
            </w:tcBorders>
            <w:tcMar>
              <w:left w:w="60" w:type="dxa"/>
              <w:right w:w="60" w:type="dxa"/>
            </w:tcMar>
            <w:vAlign w:val="center"/>
          </w:tcPr>
          <w:p w14:paraId="4268C4D9"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11 775</w:t>
            </w:r>
          </w:p>
        </w:tc>
        <w:tc>
          <w:tcPr>
            <w:tcW w:w="898" w:type="dxa"/>
            <w:tcBorders>
              <w:top w:val="nil"/>
              <w:left w:val="nil"/>
              <w:bottom w:val="nil"/>
              <w:right w:val="nil"/>
              <w:tl2br w:val="nil"/>
              <w:tr2bl w:val="nil"/>
            </w:tcBorders>
            <w:tcMar>
              <w:left w:w="60" w:type="dxa"/>
              <w:right w:w="60" w:type="dxa"/>
            </w:tcMar>
            <w:vAlign w:val="center"/>
          </w:tcPr>
          <w:p w14:paraId="48549D3C"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847</w:t>
            </w:r>
          </w:p>
        </w:tc>
        <w:tc>
          <w:tcPr>
            <w:tcW w:w="898" w:type="dxa"/>
            <w:tcBorders>
              <w:top w:val="nil"/>
              <w:left w:val="nil"/>
              <w:bottom w:val="nil"/>
              <w:right w:val="nil"/>
              <w:tl2br w:val="nil"/>
              <w:tr2bl w:val="nil"/>
            </w:tcBorders>
            <w:tcMar>
              <w:left w:w="60" w:type="dxa"/>
              <w:right w:w="60" w:type="dxa"/>
            </w:tcMar>
            <w:vAlign w:val="center"/>
          </w:tcPr>
          <w:p w14:paraId="7120EFEB"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1 144</w:t>
            </w:r>
          </w:p>
        </w:tc>
        <w:tc>
          <w:tcPr>
            <w:tcW w:w="898" w:type="dxa"/>
            <w:tcBorders>
              <w:top w:val="nil"/>
              <w:left w:val="nil"/>
              <w:bottom w:val="nil"/>
              <w:right w:val="nil"/>
              <w:tl2br w:val="nil"/>
              <w:tr2bl w:val="nil"/>
            </w:tcBorders>
            <w:tcMar>
              <w:left w:w="60" w:type="dxa"/>
              <w:right w:w="60" w:type="dxa"/>
            </w:tcMar>
            <w:vAlign w:val="center"/>
          </w:tcPr>
          <w:p w14:paraId="17A10482"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13 767</w:t>
            </w:r>
          </w:p>
        </w:tc>
        <w:tc>
          <w:tcPr>
            <w:tcW w:w="898" w:type="dxa"/>
            <w:tcBorders>
              <w:top w:val="nil"/>
              <w:left w:val="nil"/>
              <w:bottom w:val="nil"/>
              <w:right w:val="nil"/>
              <w:tl2br w:val="nil"/>
              <w:tr2bl w:val="nil"/>
            </w:tcBorders>
            <w:tcMar>
              <w:left w:w="60" w:type="dxa"/>
              <w:right w:w="60" w:type="dxa"/>
            </w:tcMar>
            <w:vAlign w:val="center"/>
          </w:tcPr>
          <w:p w14:paraId="1736A5B4"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85 %</w:t>
            </w:r>
          </w:p>
        </w:tc>
        <w:tc>
          <w:tcPr>
            <w:tcW w:w="898" w:type="dxa"/>
            <w:tcBorders>
              <w:top w:val="nil"/>
              <w:left w:val="nil"/>
              <w:bottom w:val="nil"/>
              <w:right w:val="nil"/>
              <w:tl2br w:val="nil"/>
              <w:tr2bl w:val="nil"/>
            </w:tcBorders>
            <w:tcMar>
              <w:left w:w="60" w:type="dxa"/>
              <w:right w:w="60" w:type="dxa"/>
            </w:tcMar>
            <w:vAlign w:val="center"/>
          </w:tcPr>
          <w:p w14:paraId="267F9FE4"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932</w:t>
            </w:r>
          </w:p>
        </w:tc>
        <w:tc>
          <w:tcPr>
            <w:tcW w:w="898" w:type="dxa"/>
            <w:tcBorders>
              <w:top w:val="nil"/>
              <w:left w:val="nil"/>
              <w:bottom w:val="nil"/>
              <w:right w:val="nil"/>
              <w:tl2br w:val="nil"/>
              <w:tr2bl w:val="nil"/>
            </w:tcBorders>
            <w:tcMar>
              <w:left w:w="60" w:type="dxa"/>
              <w:right w:w="60" w:type="dxa"/>
            </w:tcMar>
            <w:vAlign w:val="center"/>
          </w:tcPr>
          <w:p w14:paraId="0925BBD5"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1 291</w:t>
            </w:r>
          </w:p>
        </w:tc>
        <w:tc>
          <w:tcPr>
            <w:tcW w:w="898" w:type="dxa"/>
            <w:tcBorders>
              <w:top w:val="nil"/>
              <w:left w:val="nil"/>
              <w:bottom w:val="nil"/>
              <w:right w:val="nil"/>
              <w:tl2br w:val="nil"/>
              <w:tr2bl w:val="nil"/>
            </w:tcBorders>
            <w:tcMar>
              <w:left w:w="60" w:type="dxa"/>
              <w:right w:w="60" w:type="dxa"/>
            </w:tcMar>
            <w:vAlign w:val="center"/>
          </w:tcPr>
          <w:p w14:paraId="07A3913B"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2 222</w:t>
            </w:r>
          </w:p>
        </w:tc>
        <w:tc>
          <w:tcPr>
            <w:tcW w:w="898" w:type="dxa"/>
            <w:tcBorders>
              <w:top w:val="nil"/>
              <w:left w:val="nil"/>
              <w:bottom w:val="nil"/>
              <w:right w:val="nil"/>
              <w:tl2br w:val="nil"/>
              <w:tr2bl w:val="nil"/>
            </w:tcBorders>
            <w:tcMar>
              <w:left w:w="60" w:type="dxa"/>
              <w:right w:w="60" w:type="dxa"/>
            </w:tcMar>
            <w:vAlign w:val="center"/>
          </w:tcPr>
          <w:p w14:paraId="2907366A"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898" w:type="dxa"/>
            <w:tcBorders>
              <w:top w:val="nil"/>
              <w:left w:val="nil"/>
              <w:bottom w:val="nil"/>
              <w:right w:val="nil"/>
              <w:tl2br w:val="nil"/>
              <w:tr2bl w:val="nil"/>
            </w:tcBorders>
            <w:tcMar>
              <w:left w:w="60" w:type="dxa"/>
              <w:right w:w="60" w:type="dxa"/>
            </w:tcMar>
            <w:vAlign w:val="center"/>
          </w:tcPr>
          <w:p w14:paraId="14BF39E8"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936" w:type="dxa"/>
            <w:tcBorders>
              <w:top w:val="nil"/>
              <w:left w:val="nil"/>
              <w:bottom w:val="nil"/>
              <w:right w:val="nil"/>
              <w:tl2br w:val="nil"/>
              <w:tr2bl w:val="nil"/>
            </w:tcBorders>
            <w:tcMar>
              <w:left w:w="60" w:type="dxa"/>
              <w:right w:w="60" w:type="dxa"/>
            </w:tcMar>
            <w:vAlign w:val="center"/>
          </w:tcPr>
          <w:p w14:paraId="071D3201"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98" w:type="dxa"/>
            <w:tcBorders>
              <w:top w:val="nil"/>
              <w:left w:val="nil"/>
              <w:bottom w:val="nil"/>
              <w:right w:val="nil"/>
              <w:tl2br w:val="nil"/>
              <w:tr2bl w:val="nil"/>
            </w:tcBorders>
            <w:tcMar>
              <w:left w:w="60" w:type="dxa"/>
              <w:right w:w="60" w:type="dxa"/>
            </w:tcMar>
            <w:vAlign w:val="center"/>
          </w:tcPr>
          <w:p w14:paraId="06141719"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144</w:t>
            </w:r>
          </w:p>
        </w:tc>
      </w:tr>
      <w:tr w:rsidR="00807FFE" w14:paraId="6A3D715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77A9996"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O</w:t>
            </w:r>
          </w:p>
        </w:tc>
        <w:tc>
          <w:tcPr>
            <w:tcW w:w="2636" w:type="dxa"/>
            <w:tcBorders>
              <w:top w:val="nil"/>
              <w:left w:val="nil"/>
              <w:bottom w:val="nil"/>
              <w:right w:val="nil"/>
              <w:tl2br w:val="nil"/>
              <w:tr2bl w:val="nil"/>
            </w:tcBorders>
            <w:tcMar>
              <w:left w:w="60" w:type="dxa"/>
              <w:right w:w="60" w:type="dxa"/>
            </w:tcMar>
            <w:vAlign w:val="center"/>
          </w:tcPr>
          <w:p w14:paraId="2562CAEA"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Outside MFF</w:t>
            </w:r>
          </w:p>
        </w:tc>
        <w:tc>
          <w:tcPr>
            <w:tcW w:w="960" w:type="dxa"/>
            <w:tcBorders>
              <w:top w:val="nil"/>
              <w:left w:val="nil"/>
              <w:bottom w:val="nil"/>
              <w:right w:val="nil"/>
              <w:tl2br w:val="nil"/>
              <w:tr2bl w:val="nil"/>
            </w:tcBorders>
            <w:tcMar>
              <w:left w:w="60" w:type="dxa"/>
              <w:right w:w="60" w:type="dxa"/>
            </w:tcMar>
            <w:vAlign w:val="center"/>
          </w:tcPr>
          <w:p w14:paraId="5A0F280E"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15 994</w:t>
            </w:r>
          </w:p>
        </w:tc>
        <w:tc>
          <w:tcPr>
            <w:tcW w:w="898" w:type="dxa"/>
            <w:tcBorders>
              <w:top w:val="nil"/>
              <w:left w:val="nil"/>
              <w:bottom w:val="nil"/>
              <w:right w:val="nil"/>
              <w:tl2br w:val="nil"/>
              <w:tr2bl w:val="nil"/>
            </w:tcBorders>
            <w:tcMar>
              <w:left w:w="60" w:type="dxa"/>
              <w:right w:w="60" w:type="dxa"/>
            </w:tcMar>
            <w:vAlign w:val="center"/>
          </w:tcPr>
          <w:p w14:paraId="12809202"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1 693</w:t>
            </w:r>
          </w:p>
        </w:tc>
        <w:tc>
          <w:tcPr>
            <w:tcW w:w="898" w:type="dxa"/>
            <w:tcBorders>
              <w:top w:val="nil"/>
              <w:left w:val="nil"/>
              <w:bottom w:val="nil"/>
              <w:right w:val="nil"/>
              <w:tl2br w:val="nil"/>
              <w:tr2bl w:val="nil"/>
            </w:tcBorders>
            <w:tcMar>
              <w:left w:w="60" w:type="dxa"/>
              <w:right w:w="60" w:type="dxa"/>
            </w:tcMar>
            <w:vAlign w:val="center"/>
          </w:tcPr>
          <w:p w14:paraId="696DFFEF"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113</w:t>
            </w:r>
          </w:p>
        </w:tc>
        <w:tc>
          <w:tcPr>
            <w:tcW w:w="898" w:type="dxa"/>
            <w:tcBorders>
              <w:top w:val="nil"/>
              <w:left w:val="nil"/>
              <w:bottom w:val="nil"/>
              <w:right w:val="nil"/>
              <w:tl2br w:val="nil"/>
              <w:tr2bl w:val="nil"/>
            </w:tcBorders>
            <w:tcMar>
              <w:left w:w="60" w:type="dxa"/>
              <w:right w:w="60" w:type="dxa"/>
            </w:tcMar>
            <w:vAlign w:val="center"/>
          </w:tcPr>
          <w:p w14:paraId="3C007048"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514</w:t>
            </w:r>
          </w:p>
        </w:tc>
        <w:tc>
          <w:tcPr>
            <w:tcW w:w="898" w:type="dxa"/>
            <w:tcBorders>
              <w:top w:val="nil"/>
              <w:left w:val="nil"/>
              <w:bottom w:val="nil"/>
              <w:right w:val="nil"/>
              <w:tl2br w:val="nil"/>
              <w:tr2bl w:val="nil"/>
            </w:tcBorders>
            <w:tcMar>
              <w:left w:w="60" w:type="dxa"/>
              <w:right w:w="60" w:type="dxa"/>
            </w:tcMar>
            <w:vAlign w:val="center"/>
          </w:tcPr>
          <w:p w14:paraId="77E048AE"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2 319</w:t>
            </w:r>
          </w:p>
        </w:tc>
        <w:tc>
          <w:tcPr>
            <w:tcW w:w="898" w:type="dxa"/>
            <w:tcBorders>
              <w:top w:val="nil"/>
              <w:left w:val="nil"/>
              <w:bottom w:val="nil"/>
              <w:right w:val="nil"/>
              <w:tl2br w:val="nil"/>
              <w:tr2bl w:val="nil"/>
            </w:tcBorders>
            <w:tcMar>
              <w:left w:w="60" w:type="dxa"/>
              <w:right w:w="60" w:type="dxa"/>
            </w:tcMar>
            <w:vAlign w:val="center"/>
          </w:tcPr>
          <w:p w14:paraId="725122D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15 %</w:t>
            </w:r>
          </w:p>
        </w:tc>
        <w:tc>
          <w:tcPr>
            <w:tcW w:w="898" w:type="dxa"/>
            <w:tcBorders>
              <w:top w:val="nil"/>
              <w:left w:val="nil"/>
              <w:bottom w:val="nil"/>
              <w:right w:val="nil"/>
              <w:tl2br w:val="nil"/>
              <w:tr2bl w:val="nil"/>
            </w:tcBorders>
            <w:tcMar>
              <w:left w:w="60" w:type="dxa"/>
              <w:right w:w="60" w:type="dxa"/>
            </w:tcMar>
            <w:vAlign w:val="center"/>
          </w:tcPr>
          <w:p w14:paraId="2DB24DA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1 120</w:t>
            </w:r>
          </w:p>
        </w:tc>
        <w:tc>
          <w:tcPr>
            <w:tcW w:w="898" w:type="dxa"/>
            <w:tcBorders>
              <w:top w:val="nil"/>
              <w:left w:val="nil"/>
              <w:bottom w:val="nil"/>
              <w:right w:val="nil"/>
              <w:tl2br w:val="nil"/>
              <w:tr2bl w:val="nil"/>
            </w:tcBorders>
            <w:tcMar>
              <w:left w:w="60" w:type="dxa"/>
              <w:right w:w="60" w:type="dxa"/>
            </w:tcMar>
            <w:vAlign w:val="center"/>
          </w:tcPr>
          <w:p w14:paraId="2C5AA8E9"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12 555</w:t>
            </w:r>
          </w:p>
        </w:tc>
        <w:tc>
          <w:tcPr>
            <w:tcW w:w="898" w:type="dxa"/>
            <w:tcBorders>
              <w:top w:val="nil"/>
              <w:left w:val="nil"/>
              <w:bottom w:val="nil"/>
              <w:right w:val="nil"/>
              <w:tl2br w:val="nil"/>
              <w:tr2bl w:val="nil"/>
            </w:tcBorders>
            <w:tcMar>
              <w:left w:w="60" w:type="dxa"/>
              <w:right w:w="60" w:type="dxa"/>
            </w:tcMar>
            <w:vAlign w:val="center"/>
          </w:tcPr>
          <w:p w14:paraId="2D0EBBE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13 675</w:t>
            </w:r>
          </w:p>
        </w:tc>
        <w:tc>
          <w:tcPr>
            <w:tcW w:w="898" w:type="dxa"/>
            <w:tcBorders>
              <w:top w:val="nil"/>
              <w:left w:val="nil"/>
              <w:bottom w:val="nil"/>
              <w:right w:val="nil"/>
              <w:tl2br w:val="nil"/>
              <w:tr2bl w:val="nil"/>
            </w:tcBorders>
            <w:tcMar>
              <w:left w:w="60" w:type="dxa"/>
              <w:right w:w="60" w:type="dxa"/>
            </w:tcMar>
            <w:vAlign w:val="center"/>
          </w:tcPr>
          <w:p w14:paraId="294C3F4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14:paraId="6D253C65"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14:paraId="488ADD36"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14:paraId="12553776"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6EC2AD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232481C"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S</w:t>
            </w:r>
          </w:p>
        </w:tc>
        <w:tc>
          <w:tcPr>
            <w:tcW w:w="2636" w:type="dxa"/>
            <w:tcBorders>
              <w:top w:val="nil"/>
              <w:left w:val="nil"/>
              <w:bottom w:val="nil"/>
              <w:right w:val="nil"/>
              <w:tl2br w:val="nil"/>
              <w:tr2bl w:val="nil"/>
            </w:tcBorders>
            <w:tcMar>
              <w:left w:w="60" w:type="dxa"/>
              <w:right w:w="60" w:type="dxa"/>
            </w:tcMar>
            <w:vAlign w:val="center"/>
          </w:tcPr>
          <w:p w14:paraId="6E053FC6" w14:textId="77777777" w:rsidR="00807FFE" w:rsidRDefault="00023E71">
            <w:pPr>
              <w:pStyle w:val="DMETW36742BIPMFF3ImplementPayments"/>
              <w:rPr>
                <w:rFonts w:ascii="Verdana" w:eastAsia="Verdana" w:hAnsi="Verdana" w:cs="Verdana"/>
                <w:noProof/>
                <w:color w:val="000000"/>
                <w:sz w:val="16"/>
              </w:rPr>
            </w:pPr>
            <w:r>
              <w:rPr>
                <w:rFonts w:ascii="Verdana" w:eastAsia="Verdana" w:hAnsi="Verdana" w:cs="Verdana"/>
                <w:noProof/>
                <w:color w:val="000000"/>
                <w:sz w:val="16"/>
              </w:rPr>
              <w:t>Solidarity mechanisms within and outside the Union (Special instruments)</w:t>
            </w:r>
          </w:p>
        </w:tc>
        <w:tc>
          <w:tcPr>
            <w:tcW w:w="960" w:type="dxa"/>
            <w:tcBorders>
              <w:top w:val="nil"/>
              <w:left w:val="nil"/>
              <w:bottom w:val="nil"/>
              <w:right w:val="nil"/>
              <w:tl2br w:val="nil"/>
              <w:tr2bl w:val="nil"/>
            </w:tcBorders>
            <w:tcMar>
              <w:left w:w="60" w:type="dxa"/>
              <w:right w:w="60" w:type="dxa"/>
            </w:tcMar>
            <w:vAlign w:val="center"/>
          </w:tcPr>
          <w:p w14:paraId="5A6C7475"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2 063</w:t>
            </w:r>
          </w:p>
        </w:tc>
        <w:tc>
          <w:tcPr>
            <w:tcW w:w="898" w:type="dxa"/>
            <w:tcBorders>
              <w:top w:val="nil"/>
              <w:left w:val="nil"/>
              <w:bottom w:val="nil"/>
              <w:right w:val="nil"/>
              <w:tl2br w:val="nil"/>
              <w:tr2bl w:val="nil"/>
            </w:tcBorders>
            <w:tcMar>
              <w:left w:w="60" w:type="dxa"/>
              <w:right w:w="60" w:type="dxa"/>
            </w:tcMar>
            <w:vAlign w:val="center"/>
          </w:tcPr>
          <w:p w14:paraId="0DBC8B24"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729</w:t>
            </w:r>
          </w:p>
        </w:tc>
        <w:tc>
          <w:tcPr>
            <w:tcW w:w="898" w:type="dxa"/>
            <w:tcBorders>
              <w:top w:val="nil"/>
              <w:left w:val="nil"/>
              <w:bottom w:val="nil"/>
              <w:right w:val="nil"/>
              <w:tl2br w:val="nil"/>
              <w:tr2bl w:val="nil"/>
            </w:tcBorders>
            <w:tcMar>
              <w:left w:w="60" w:type="dxa"/>
              <w:right w:w="60" w:type="dxa"/>
            </w:tcMar>
            <w:vAlign w:val="center"/>
          </w:tcPr>
          <w:p w14:paraId="1532A75E"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98" w:type="dxa"/>
            <w:tcBorders>
              <w:top w:val="nil"/>
              <w:left w:val="nil"/>
              <w:bottom w:val="nil"/>
              <w:right w:val="nil"/>
              <w:tl2br w:val="nil"/>
              <w:tr2bl w:val="nil"/>
            </w:tcBorders>
            <w:tcMar>
              <w:left w:w="60" w:type="dxa"/>
              <w:right w:w="60" w:type="dxa"/>
            </w:tcMar>
            <w:vAlign w:val="center"/>
          </w:tcPr>
          <w:p w14:paraId="534B78F8"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98" w:type="dxa"/>
            <w:tcBorders>
              <w:top w:val="nil"/>
              <w:left w:val="nil"/>
              <w:bottom w:val="nil"/>
              <w:right w:val="nil"/>
              <w:tl2br w:val="nil"/>
              <w:tr2bl w:val="nil"/>
            </w:tcBorders>
            <w:tcMar>
              <w:left w:w="60" w:type="dxa"/>
              <w:right w:w="60" w:type="dxa"/>
            </w:tcMar>
            <w:vAlign w:val="center"/>
          </w:tcPr>
          <w:p w14:paraId="116CA84D"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1 048</w:t>
            </w:r>
          </w:p>
        </w:tc>
        <w:tc>
          <w:tcPr>
            <w:tcW w:w="898" w:type="dxa"/>
            <w:tcBorders>
              <w:top w:val="nil"/>
              <w:left w:val="nil"/>
              <w:bottom w:val="nil"/>
              <w:right w:val="nil"/>
              <w:tl2br w:val="nil"/>
              <w:tr2bl w:val="nil"/>
            </w:tcBorders>
            <w:tcMar>
              <w:left w:w="60" w:type="dxa"/>
              <w:right w:w="60" w:type="dxa"/>
            </w:tcMar>
            <w:vAlign w:val="center"/>
          </w:tcPr>
          <w:p w14:paraId="10813C29"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51 %</w:t>
            </w:r>
          </w:p>
        </w:tc>
        <w:tc>
          <w:tcPr>
            <w:tcW w:w="898" w:type="dxa"/>
            <w:tcBorders>
              <w:top w:val="nil"/>
              <w:left w:val="nil"/>
              <w:bottom w:val="nil"/>
              <w:right w:val="nil"/>
              <w:tl2br w:val="nil"/>
              <w:tr2bl w:val="nil"/>
            </w:tcBorders>
            <w:tcMar>
              <w:left w:w="60" w:type="dxa"/>
              <w:right w:w="60" w:type="dxa"/>
            </w:tcMar>
            <w:vAlign w:val="center"/>
          </w:tcPr>
          <w:p w14:paraId="48EDAE7C"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1 015</w:t>
            </w:r>
          </w:p>
        </w:tc>
        <w:tc>
          <w:tcPr>
            <w:tcW w:w="898" w:type="dxa"/>
            <w:tcBorders>
              <w:top w:val="nil"/>
              <w:left w:val="nil"/>
              <w:bottom w:val="nil"/>
              <w:right w:val="nil"/>
              <w:tl2br w:val="nil"/>
              <w:tr2bl w:val="nil"/>
            </w:tcBorders>
            <w:tcMar>
              <w:left w:w="60" w:type="dxa"/>
              <w:right w:w="60" w:type="dxa"/>
            </w:tcMar>
            <w:vAlign w:val="center"/>
          </w:tcPr>
          <w:p w14:paraId="614BB0B9"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14:paraId="2FC795B4"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1 015</w:t>
            </w:r>
          </w:p>
        </w:tc>
        <w:tc>
          <w:tcPr>
            <w:tcW w:w="898" w:type="dxa"/>
            <w:tcBorders>
              <w:top w:val="nil"/>
              <w:left w:val="nil"/>
              <w:bottom w:val="nil"/>
              <w:right w:val="nil"/>
              <w:tl2br w:val="nil"/>
              <w:tr2bl w:val="nil"/>
            </w:tcBorders>
            <w:tcMar>
              <w:left w:w="60" w:type="dxa"/>
              <w:right w:w="60" w:type="dxa"/>
            </w:tcMar>
            <w:vAlign w:val="center"/>
          </w:tcPr>
          <w:p w14:paraId="16C6F4D5"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14:paraId="69AB4C12"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14:paraId="6B922D52" w14:textId="77777777" w:rsidR="00807FFE" w:rsidRDefault="00023E71">
            <w:pPr>
              <w:pStyle w:val="DMETW36742BIP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14:paraId="61E19A5F" w14:textId="77777777" w:rsidR="00807FFE" w:rsidRDefault="00023E71">
            <w:pPr>
              <w:pStyle w:val="DMETW36742BIP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5ED6E26" w14:textId="77777777">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14:paraId="4D337AE0" w14:textId="77777777" w:rsidR="00807FFE" w:rsidRDefault="00807FFE">
            <w:pPr>
              <w:pStyle w:val="DMETW36742BIPMFF3ImplementPayments"/>
              <w:rPr>
                <w:rFonts w:ascii="Verdana" w:eastAsia="Verdana" w:hAnsi="Verdana" w:cs="Verdana"/>
                <w:b/>
                <w:noProof/>
                <w:color w:val="000000"/>
                <w:sz w:val="16"/>
              </w:rPr>
            </w:pPr>
          </w:p>
        </w:tc>
        <w:tc>
          <w:tcPr>
            <w:tcW w:w="2636" w:type="dxa"/>
            <w:tcBorders>
              <w:top w:val="nil"/>
              <w:left w:val="nil"/>
              <w:bottom w:val="nil"/>
              <w:right w:val="nil"/>
              <w:tl2br w:val="nil"/>
              <w:tr2bl w:val="nil"/>
            </w:tcBorders>
            <w:shd w:val="solid" w:color="CCE1EA" w:fill="FFFFFF"/>
            <w:tcMar>
              <w:left w:w="60" w:type="dxa"/>
              <w:right w:w="60" w:type="dxa"/>
            </w:tcMar>
            <w:vAlign w:val="center"/>
          </w:tcPr>
          <w:p w14:paraId="4AFDD33E"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TOTAL</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069DD2A2"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250 956</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6FA653E9"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155 173</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5AEE0149"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3 575</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77B4403B"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57 624</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59111B28"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216 373</w:t>
            </w:r>
          </w:p>
        </w:tc>
        <w:tc>
          <w:tcPr>
            <w:tcW w:w="898" w:type="dxa"/>
            <w:tcBorders>
              <w:top w:val="nil"/>
              <w:left w:val="nil"/>
              <w:bottom w:val="nil"/>
              <w:right w:val="nil"/>
              <w:tl2br w:val="nil"/>
              <w:tr2bl w:val="nil"/>
            </w:tcBorders>
            <w:shd w:val="solid" w:color="CCE1EB" w:fill="FFFFFF"/>
            <w:tcMar>
              <w:left w:w="60" w:type="dxa"/>
              <w:right w:w="60" w:type="dxa"/>
            </w:tcMar>
            <w:vAlign w:val="center"/>
          </w:tcPr>
          <w:p w14:paraId="004BB3F6"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86 %</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7343A374"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6 087</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04E2971A"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28 271</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03CB68FC"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34 358</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2D87494A"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110</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3A136922"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104</w:t>
            </w:r>
          </w:p>
        </w:tc>
        <w:tc>
          <w:tcPr>
            <w:tcW w:w="936" w:type="dxa"/>
            <w:tcBorders>
              <w:top w:val="nil"/>
              <w:left w:val="nil"/>
              <w:bottom w:val="nil"/>
              <w:right w:val="nil"/>
              <w:tl2br w:val="nil"/>
              <w:tr2bl w:val="nil"/>
            </w:tcBorders>
            <w:shd w:val="solid" w:color="CCE1EA" w:fill="FFFFFF"/>
            <w:tcMar>
              <w:left w:w="60" w:type="dxa"/>
              <w:right w:w="60" w:type="dxa"/>
            </w:tcMar>
            <w:vAlign w:val="center"/>
          </w:tcPr>
          <w:p w14:paraId="15B5219C"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12</w:t>
            </w:r>
          </w:p>
        </w:tc>
        <w:tc>
          <w:tcPr>
            <w:tcW w:w="898" w:type="dxa"/>
            <w:tcBorders>
              <w:top w:val="nil"/>
              <w:left w:val="nil"/>
              <w:bottom w:val="nil"/>
              <w:right w:val="nil"/>
              <w:tl2br w:val="nil"/>
              <w:tr2bl w:val="nil"/>
            </w:tcBorders>
            <w:shd w:val="solid" w:color="CCE1EA" w:fill="FFFFFF"/>
            <w:tcMar>
              <w:left w:w="60" w:type="dxa"/>
              <w:right w:w="60" w:type="dxa"/>
            </w:tcMar>
            <w:vAlign w:val="center"/>
          </w:tcPr>
          <w:p w14:paraId="60D7127F" w14:textId="77777777" w:rsidR="00807FFE" w:rsidRDefault="00023E71">
            <w:pPr>
              <w:pStyle w:val="DMETW36742BIPMFF3Implement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226</w:t>
            </w:r>
          </w:p>
        </w:tc>
      </w:tr>
    </w:tbl>
    <w:p w14:paraId="70A783BD" w14:textId="77777777" w:rsidR="008C5342" w:rsidRDefault="008C5342" w:rsidP="008C5342">
      <w:pPr>
        <w:pStyle w:val="DGTextstand-alone"/>
        <w:rPr>
          <w:lang w:bidi="en-GB"/>
        </w:rPr>
      </w:pPr>
    </w:p>
    <w:p w14:paraId="6575E4FD" w14:textId="77777777" w:rsidR="008C5342" w:rsidRPr="008C13D4" w:rsidRDefault="008C5342" w:rsidP="008C5342">
      <w:pPr>
        <w:pStyle w:val="DGTextstand-alone"/>
        <w:rPr>
          <w:lang w:bidi="en-GB"/>
        </w:rPr>
        <w:sectPr w:rsidR="008C5342" w:rsidRPr="008C13D4">
          <w:headerReference w:type="default" r:id="rId170"/>
          <w:footerReference w:type="default" r:id="rId171"/>
          <w:type w:val="nextColumn"/>
          <w:pgSz w:w="16840" w:h="11900" w:orient="landscape"/>
          <w:pgMar w:top="1134" w:right="1134" w:bottom="1134" w:left="1134" w:header="720" w:footer="720" w:gutter="0"/>
          <w:cols w:space="720"/>
          <w:docGrid w:linePitch="272"/>
        </w:sectPr>
      </w:pPr>
    </w:p>
    <w:p w14:paraId="76DEBD83" w14:textId="77777777" w:rsidR="008C5342" w:rsidRPr="008903C1" w:rsidRDefault="00023E71" w:rsidP="008C5342">
      <w:pPr>
        <w:pStyle w:val="HEADER2PartBUDG"/>
        <w:rPr>
          <w:noProof/>
          <w:lang w:val="en-GB"/>
        </w:rPr>
      </w:pPr>
      <w:bookmarkStart w:id="301" w:name="_Toc232674393"/>
      <w:r w:rsidRPr="008903C1">
        <w:rPr>
          <w:noProof/>
          <w:lang w:val="en-GB"/>
        </w:rPr>
        <w:t>MFF: MOVEMENTS IN OUTSTANDING COMMITMENTS (RAL)</w:t>
      </w:r>
      <w:bookmarkEnd w:id="301"/>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401"/>
        <w:gridCol w:w="1960"/>
        <w:gridCol w:w="1960"/>
        <w:gridCol w:w="1960"/>
        <w:gridCol w:w="1960"/>
        <w:gridCol w:w="1960"/>
      </w:tblGrid>
      <w:tr w:rsidR="00807FFE" w14:paraId="1382EBAC" w14:textId="77777777">
        <w:trPr>
          <w:cantSplit/>
          <w:trHeight w:val="255"/>
        </w:trPr>
        <w:tc>
          <w:tcPr>
            <w:tcW w:w="344" w:type="dxa"/>
            <w:gridSpan w:val="7"/>
            <w:tcBorders>
              <w:top w:val="nil"/>
              <w:left w:val="nil"/>
              <w:bottom w:val="nil"/>
              <w:right w:val="nil"/>
              <w:tl2br w:val="nil"/>
              <w:tr2bl w:val="nil"/>
            </w:tcBorders>
            <w:tcMar>
              <w:left w:w="60" w:type="dxa"/>
              <w:right w:w="60" w:type="dxa"/>
            </w:tcMar>
            <w:vAlign w:val="center"/>
          </w:tcPr>
          <w:p w14:paraId="5A19313E" w14:textId="77777777" w:rsidR="00807FFE" w:rsidRDefault="00023E71">
            <w:pPr>
              <w:pStyle w:val="DMETW36742BIPMFF4Commitmentsoutstanding"/>
              <w:jc w:val="right"/>
              <w:rPr>
                <w:rFonts w:ascii="Verdana" w:eastAsia="Verdana" w:hAnsi="Verdana" w:cs="Verdana"/>
                <w:i/>
                <w:noProof/>
                <w:color w:val="000000"/>
                <w:sz w:val="16"/>
                <w:lang w:bidi="en-GB"/>
              </w:rPr>
            </w:pPr>
            <w:bookmarkStart w:id="302" w:name="DOC_TBL00117_1_1"/>
            <w:bookmarkEnd w:id="302"/>
            <w:r>
              <w:rPr>
                <w:rFonts w:ascii="Verdana" w:eastAsia="Verdana" w:hAnsi="Verdana" w:cs="Verdana"/>
                <w:i/>
                <w:noProof/>
                <w:color w:val="000000"/>
                <w:sz w:val="16"/>
                <w:lang w:bidi="en-GB"/>
              </w:rPr>
              <w:t>EUR million</w:t>
            </w:r>
          </w:p>
        </w:tc>
      </w:tr>
      <w:tr w:rsidR="00807FFE" w14:paraId="1FCBCF48" w14:textId="77777777">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2097D84A" w14:textId="77777777" w:rsidR="00807FFE" w:rsidRDefault="00807FFE">
            <w:pPr>
              <w:pStyle w:val="DMETW36742BIPMFF4Commitmentsoutstanding"/>
              <w:rPr>
                <w:rFonts w:ascii="Verdana" w:eastAsia="Verdana" w:hAnsi="Verdana" w:cs="Verdana"/>
                <w:b/>
                <w:noProof/>
                <w:color w:val="FFFFFF"/>
                <w:sz w:val="16"/>
              </w:rPr>
            </w:pPr>
          </w:p>
        </w:tc>
        <w:tc>
          <w:tcPr>
            <w:tcW w:w="4401" w:type="dxa"/>
            <w:vMerge w:val="restart"/>
            <w:tcBorders>
              <w:top w:val="nil"/>
              <w:left w:val="nil"/>
              <w:bottom w:val="nil"/>
              <w:right w:val="nil"/>
              <w:tl2br w:val="nil"/>
              <w:tr2bl w:val="nil"/>
            </w:tcBorders>
            <w:shd w:val="solid" w:color="016794" w:fill="FFFFFF"/>
            <w:tcMar>
              <w:left w:w="60" w:type="dxa"/>
              <w:right w:w="60" w:type="dxa"/>
            </w:tcMar>
            <w:vAlign w:val="center"/>
          </w:tcPr>
          <w:p w14:paraId="7C514833" w14:textId="77777777" w:rsidR="00807FFE" w:rsidRDefault="00023E71">
            <w:pPr>
              <w:pStyle w:val="DMETW36742BIPMFF4Commitmentsoutstanding"/>
              <w:jc w:val="center"/>
              <w:rPr>
                <w:rFonts w:ascii="Verdana" w:eastAsia="Verdana" w:hAnsi="Verdana" w:cs="Verdana"/>
                <w:b/>
                <w:noProof/>
                <w:color w:val="FFFFFF"/>
                <w:sz w:val="16"/>
              </w:rPr>
            </w:pPr>
            <w:r>
              <w:rPr>
                <w:rFonts w:ascii="Verdana" w:eastAsia="Verdana" w:hAnsi="Verdana" w:cs="Verdana"/>
                <w:b/>
                <w:noProof/>
                <w:color w:val="FFFFFF"/>
                <w:sz w:val="16"/>
              </w:rPr>
              <w:t>MFF Heading</w:t>
            </w:r>
          </w:p>
        </w:tc>
        <w:tc>
          <w:tcPr>
            <w:tcW w:w="1960" w:type="dxa"/>
            <w:tcBorders>
              <w:top w:val="nil"/>
              <w:left w:val="nil"/>
              <w:bottom w:val="nil"/>
              <w:right w:val="nil"/>
              <w:tl2br w:val="nil"/>
              <w:tr2bl w:val="nil"/>
            </w:tcBorders>
            <w:shd w:val="solid" w:color="016794" w:fill="FFFFFF"/>
            <w:tcMar>
              <w:left w:w="60" w:type="dxa"/>
              <w:right w:w="60" w:type="dxa"/>
            </w:tcMar>
            <w:vAlign w:val="center"/>
          </w:tcPr>
          <w:p w14:paraId="554BCB01" w14:textId="77777777" w:rsidR="00807FFE" w:rsidRDefault="00023E71">
            <w:pPr>
              <w:pStyle w:val="DMETW36742BIPMFF4Commitmentsoutstanding"/>
              <w:jc w:val="center"/>
              <w:rPr>
                <w:rFonts w:ascii="Verdana" w:eastAsia="Verdana" w:hAnsi="Verdana" w:cs="Verdana"/>
                <w:noProof/>
                <w:color w:val="FFFFFF"/>
                <w:sz w:val="16"/>
              </w:rPr>
            </w:pPr>
            <w:r>
              <w:rPr>
                <w:rFonts w:ascii="Verdana" w:eastAsia="Verdana" w:hAnsi="Verdana" w:cs="Verdana"/>
                <w:noProof/>
                <w:color w:val="FFFFFF"/>
                <w:sz w:val="16"/>
              </w:rPr>
              <w:t>Commit. carried forward from prev. year</w:t>
            </w:r>
          </w:p>
        </w:tc>
        <w:tc>
          <w:tcPr>
            <w:tcW w:w="1960" w:type="dxa"/>
            <w:tcBorders>
              <w:top w:val="nil"/>
              <w:left w:val="nil"/>
              <w:bottom w:val="nil"/>
              <w:right w:val="nil"/>
              <w:tl2br w:val="nil"/>
              <w:tr2bl w:val="nil"/>
            </w:tcBorders>
            <w:shd w:val="solid" w:color="016794" w:fill="FFFFFF"/>
            <w:tcMar>
              <w:left w:w="60" w:type="dxa"/>
              <w:right w:w="60" w:type="dxa"/>
            </w:tcMar>
            <w:vAlign w:val="center"/>
          </w:tcPr>
          <w:p w14:paraId="57B7D694" w14:textId="77777777" w:rsidR="00807FFE" w:rsidRDefault="00023E71">
            <w:pPr>
              <w:pStyle w:val="DMETW36742BIPMFF4Commitmentsoutstanding"/>
              <w:jc w:val="center"/>
              <w:rPr>
                <w:rFonts w:ascii="Verdana" w:eastAsia="Verdana" w:hAnsi="Verdana" w:cs="Verdana"/>
                <w:noProof/>
                <w:color w:val="FFFFFF"/>
                <w:sz w:val="16"/>
              </w:rPr>
            </w:pPr>
            <w:r>
              <w:rPr>
                <w:rFonts w:ascii="Verdana" w:eastAsia="Verdana" w:hAnsi="Verdana" w:cs="Verdana"/>
                <w:noProof/>
                <w:color w:val="FFFFFF"/>
                <w:sz w:val="16"/>
              </w:rPr>
              <w:t>Commit. made during the year</w:t>
            </w:r>
          </w:p>
        </w:tc>
        <w:tc>
          <w:tcPr>
            <w:tcW w:w="1960" w:type="dxa"/>
            <w:tcBorders>
              <w:top w:val="nil"/>
              <w:left w:val="nil"/>
              <w:bottom w:val="nil"/>
              <w:right w:val="nil"/>
              <w:tl2br w:val="nil"/>
              <w:tr2bl w:val="nil"/>
            </w:tcBorders>
            <w:shd w:val="solid" w:color="016794" w:fill="FFFFFF"/>
            <w:tcMar>
              <w:left w:w="60" w:type="dxa"/>
              <w:right w:w="60" w:type="dxa"/>
            </w:tcMar>
            <w:vAlign w:val="center"/>
          </w:tcPr>
          <w:p w14:paraId="42AFD737" w14:textId="77777777" w:rsidR="00807FFE" w:rsidRDefault="00023E71">
            <w:pPr>
              <w:pStyle w:val="DMETW36742BIPMFF4Commitmentsoutstanding"/>
              <w:jc w:val="center"/>
              <w:rPr>
                <w:rFonts w:ascii="Verdana" w:eastAsia="Verdana" w:hAnsi="Verdana" w:cs="Verdana"/>
                <w:noProof/>
                <w:color w:val="FFFFFF"/>
                <w:sz w:val="16"/>
              </w:rPr>
            </w:pPr>
            <w:r>
              <w:rPr>
                <w:rFonts w:ascii="Verdana" w:eastAsia="Verdana" w:hAnsi="Verdana" w:cs="Verdana"/>
                <w:noProof/>
                <w:color w:val="FFFFFF"/>
                <w:sz w:val="16"/>
              </w:rPr>
              <w:t>Variations on Commitments carried forward</w:t>
            </w:r>
          </w:p>
        </w:tc>
        <w:tc>
          <w:tcPr>
            <w:tcW w:w="1960" w:type="dxa"/>
            <w:tcBorders>
              <w:top w:val="nil"/>
              <w:left w:val="nil"/>
              <w:bottom w:val="nil"/>
              <w:right w:val="nil"/>
              <w:tl2br w:val="nil"/>
              <w:tr2bl w:val="nil"/>
            </w:tcBorders>
            <w:shd w:val="solid" w:color="016794" w:fill="FFFFFF"/>
            <w:tcMar>
              <w:left w:w="60" w:type="dxa"/>
              <w:right w:w="60" w:type="dxa"/>
            </w:tcMar>
            <w:vAlign w:val="center"/>
          </w:tcPr>
          <w:p w14:paraId="6EE01E96" w14:textId="77777777" w:rsidR="00807FFE" w:rsidRDefault="00023E71">
            <w:pPr>
              <w:pStyle w:val="DMETW36742BIPMFF4Commitmentsoutstanding"/>
              <w:jc w:val="center"/>
              <w:rPr>
                <w:rFonts w:ascii="Verdana" w:eastAsia="Verdana" w:hAnsi="Verdana" w:cs="Verdana"/>
                <w:noProof/>
                <w:color w:val="FFFFFF"/>
                <w:sz w:val="16"/>
              </w:rPr>
            </w:pPr>
            <w:r>
              <w:rPr>
                <w:rFonts w:ascii="Verdana" w:eastAsia="Verdana" w:hAnsi="Verdana" w:cs="Verdana"/>
                <w:noProof/>
                <w:color w:val="FFFFFF"/>
                <w:sz w:val="16"/>
              </w:rPr>
              <w:t>Payments</w:t>
            </w:r>
          </w:p>
        </w:tc>
        <w:tc>
          <w:tcPr>
            <w:tcW w:w="1960" w:type="dxa"/>
            <w:tcBorders>
              <w:top w:val="nil"/>
              <w:left w:val="nil"/>
              <w:bottom w:val="nil"/>
              <w:right w:val="nil"/>
              <w:tl2br w:val="nil"/>
              <w:tr2bl w:val="nil"/>
            </w:tcBorders>
            <w:shd w:val="solid" w:color="016794" w:fill="FFFFFF"/>
            <w:tcMar>
              <w:left w:w="60" w:type="dxa"/>
              <w:right w:w="60" w:type="dxa"/>
            </w:tcMar>
            <w:vAlign w:val="center"/>
          </w:tcPr>
          <w:p w14:paraId="270256E1" w14:textId="77777777" w:rsidR="00807FFE" w:rsidRDefault="00023E71">
            <w:pPr>
              <w:pStyle w:val="DMETW36742BIPMFF4Commitmentsoutstanding"/>
              <w:jc w:val="center"/>
              <w:rPr>
                <w:rFonts w:ascii="Verdana" w:eastAsia="Verdana" w:hAnsi="Verdana" w:cs="Verdana"/>
                <w:noProof/>
                <w:color w:val="FFFFFF"/>
                <w:sz w:val="16"/>
                <w:lang w:bidi="en-GB"/>
              </w:rPr>
            </w:pPr>
            <w:r>
              <w:rPr>
                <w:rFonts w:ascii="Verdana" w:eastAsia="Verdana" w:hAnsi="Verdana" w:cs="Verdana"/>
                <w:noProof/>
                <w:color w:val="FFFFFF"/>
                <w:sz w:val="16"/>
              </w:rPr>
              <w:t>Total commitm. outstanding at end of the year</w:t>
            </w:r>
          </w:p>
        </w:tc>
      </w:tr>
      <w:tr w:rsidR="00807FFE" w14:paraId="195DB051" w14:textId="77777777">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68DBB2F4" w14:textId="77777777" w:rsidR="00807FFE" w:rsidRDefault="00807FFE">
            <w:pPr>
              <w:pStyle w:val="DMETW36742BIPMFF4Commitmentsoutstanding"/>
              <w:rPr>
                <w:rFonts w:ascii="Verdana" w:eastAsia="Verdana" w:hAnsi="Verdana" w:cs="Verdana"/>
                <w:b/>
                <w:noProof/>
                <w:color w:val="FFFFFF"/>
                <w:sz w:val="16"/>
              </w:rPr>
            </w:pPr>
          </w:p>
        </w:tc>
        <w:tc>
          <w:tcPr>
            <w:tcW w:w="2010" w:type="dxa"/>
            <w:vMerge/>
            <w:tcBorders>
              <w:top w:val="nil"/>
              <w:left w:val="nil"/>
              <w:bottom w:val="nil"/>
              <w:right w:val="nil"/>
              <w:tl2br w:val="nil"/>
              <w:tr2bl w:val="nil"/>
            </w:tcBorders>
            <w:shd w:val="solid" w:color="016794" w:fill="FFFFFF"/>
            <w:tcMar>
              <w:left w:w="60" w:type="dxa"/>
              <w:right w:w="60" w:type="dxa"/>
            </w:tcMar>
            <w:vAlign w:val="center"/>
          </w:tcPr>
          <w:p w14:paraId="4F6D2484" w14:textId="77777777" w:rsidR="00807FFE" w:rsidRDefault="00807FFE">
            <w:pPr>
              <w:pStyle w:val="DMETW36742BIPMFF4Commitmentsoutstanding"/>
              <w:jc w:val="center"/>
              <w:rPr>
                <w:rFonts w:ascii="Verdana" w:eastAsia="Verdana" w:hAnsi="Verdana" w:cs="Verdana"/>
                <w:b/>
                <w:noProof/>
                <w:color w:val="FFFFFF"/>
                <w:sz w:val="16"/>
              </w:rPr>
            </w:pPr>
          </w:p>
        </w:tc>
        <w:tc>
          <w:tcPr>
            <w:tcW w:w="1960" w:type="dxa"/>
            <w:tcBorders>
              <w:top w:val="nil"/>
              <w:left w:val="nil"/>
              <w:bottom w:val="nil"/>
              <w:right w:val="nil"/>
              <w:tl2br w:val="nil"/>
              <w:tr2bl w:val="nil"/>
            </w:tcBorders>
            <w:shd w:val="solid" w:color="3487A9" w:fill="FFFFFF"/>
            <w:tcMar>
              <w:left w:w="60" w:type="dxa"/>
              <w:right w:w="60" w:type="dxa"/>
            </w:tcMar>
            <w:vAlign w:val="center"/>
          </w:tcPr>
          <w:p w14:paraId="291EA8AE" w14:textId="77777777" w:rsidR="00807FFE" w:rsidRDefault="00023E71">
            <w:pPr>
              <w:pStyle w:val="DMETW36742BIPMFF4Commitmentsoutstanding"/>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1960" w:type="dxa"/>
            <w:tcBorders>
              <w:top w:val="nil"/>
              <w:left w:val="nil"/>
              <w:bottom w:val="nil"/>
              <w:right w:val="nil"/>
              <w:tl2br w:val="nil"/>
              <w:tr2bl w:val="nil"/>
            </w:tcBorders>
            <w:shd w:val="solid" w:color="3487A9" w:fill="FFFFFF"/>
            <w:tcMar>
              <w:left w:w="60" w:type="dxa"/>
              <w:right w:w="60" w:type="dxa"/>
            </w:tcMar>
            <w:vAlign w:val="center"/>
          </w:tcPr>
          <w:p w14:paraId="1839F50D" w14:textId="77777777" w:rsidR="00807FFE" w:rsidRDefault="00023E71">
            <w:pPr>
              <w:pStyle w:val="DMETW36742BIPMFF4Commitmentsoutstanding"/>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1960" w:type="dxa"/>
            <w:tcBorders>
              <w:top w:val="nil"/>
              <w:left w:val="nil"/>
              <w:bottom w:val="nil"/>
              <w:right w:val="nil"/>
              <w:tl2br w:val="nil"/>
              <w:tr2bl w:val="nil"/>
            </w:tcBorders>
            <w:shd w:val="solid" w:color="3487A9" w:fill="FFFFFF"/>
            <w:tcMar>
              <w:left w:w="60" w:type="dxa"/>
              <w:right w:w="60" w:type="dxa"/>
            </w:tcMar>
            <w:vAlign w:val="center"/>
          </w:tcPr>
          <w:p w14:paraId="027AC566" w14:textId="77777777" w:rsidR="00807FFE" w:rsidRDefault="00023E71">
            <w:pPr>
              <w:pStyle w:val="DMETW36742BIPMFF4Commitmentsoutstanding"/>
              <w:jc w:val="center"/>
              <w:rPr>
                <w:rFonts w:ascii="Verdana" w:eastAsia="Verdana" w:hAnsi="Verdana" w:cs="Verdana"/>
                <w:noProof/>
                <w:color w:val="FFFFFF"/>
                <w:sz w:val="16"/>
              </w:rPr>
            </w:pPr>
            <w:r>
              <w:rPr>
                <w:rFonts w:ascii="Verdana" w:eastAsia="Verdana" w:hAnsi="Verdana" w:cs="Verdana"/>
                <w:noProof/>
                <w:color w:val="FFFFFF"/>
                <w:sz w:val="16"/>
              </w:rPr>
              <w:t>3</w:t>
            </w:r>
          </w:p>
        </w:tc>
        <w:tc>
          <w:tcPr>
            <w:tcW w:w="1960" w:type="dxa"/>
            <w:tcBorders>
              <w:top w:val="nil"/>
              <w:left w:val="nil"/>
              <w:bottom w:val="nil"/>
              <w:right w:val="nil"/>
              <w:tl2br w:val="nil"/>
              <w:tr2bl w:val="nil"/>
            </w:tcBorders>
            <w:shd w:val="solid" w:color="3487A9" w:fill="FFFFFF"/>
            <w:tcMar>
              <w:left w:w="60" w:type="dxa"/>
              <w:right w:w="60" w:type="dxa"/>
            </w:tcMar>
            <w:vAlign w:val="center"/>
          </w:tcPr>
          <w:p w14:paraId="3AF38D15" w14:textId="77777777" w:rsidR="00807FFE" w:rsidRDefault="00023E71">
            <w:pPr>
              <w:pStyle w:val="DMETW36742BIPMFF4Commitmentsoutstanding"/>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1960" w:type="dxa"/>
            <w:tcBorders>
              <w:top w:val="nil"/>
              <w:left w:val="nil"/>
              <w:bottom w:val="nil"/>
              <w:right w:val="nil"/>
              <w:tl2br w:val="nil"/>
              <w:tr2bl w:val="nil"/>
            </w:tcBorders>
            <w:shd w:val="solid" w:color="3487A9" w:fill="FFFFFF"/>
            <w:tcMar>
              <w:left w:w="60" w:type="dxa"/>
              <w:right w:w="60" w:type="dxa"/>
            </w:tcMar>
            <w:vAlign w:val="center"/>
          </w:tcPr>
          <w:p w14:paraId="2C782CDC" w14:textId="77777777" w:rsidR="00807FFE" w:rsidRDefault="00023E71">
            <w:pPr>
              <w:pStyle w:val="DMETW36742BIPMFF4Commitmentsoutstanding"/>
              <w:jc w:val="center"/>
              <w:rPr>
                <w:rFonts w:ascii="Verdana" w:eastAsia="Verdana" w:hAnsi="Verdana" w:cs="Verdana"/>
                <w:noProof/>
                <w:color w:val="FFFFFF"/>
                <w:sz w:val="16"/>
                <w:lang w:bidi="en-GB"/>
              </w:rPr>
            </w:pPr>
            <w:r>
              <w:rPr>
                <w:rFonts w:ascii="Verdana" w:eastAsia="Verdana" w:hAnsi="Verdana" w:cs="Verdana"/>
                <w:noProof/>
                <w:color w:val="FFFFFF"/>
                <w:sz w:val="16"/>
              </w:rPr>
              <w:t>5=1+2+3+4</w:t>
            </w:r>
          </w:p>
        </w:tc>
      </w:tr>
      <w:tr w:rsidR="00807FFE" w14:paraId="46D3ED84"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3A41D656"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1</w:t>
            </w:r>
          </w:p>
        </w:tc>
        <w:tc>
          <w:tcPr>
            <w:tcW w:w="4401" w:type="dxa"/>
            <w:tcBorders>
              <w:top w:val="nil"/>
              <w:left w:val="nil"/>
              <w:bottom w:val="nil"/>
              <w:right w:val="nil"/>
              <w:tl2br w:val="nil"/>
              <w:tr2bl w:val="nil"/>
            </w:tcBorders>
            <w:tcMar>
              <w:left w:w="60" w:type="dxa"/>
              <w:right w:w="60" w:type="dxa"/>
            </w:tcMar>
            <w:vAlign w:val="center"/>
          </w:tcPr>
          <w:p w14:paraId="0AC882F4"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Single Market, Innovation and Digital</w:t>
            </w:r>
          </w:p>
        </w:tc>
        <w:tc>
          <w:tcPr>
            <w:tcW w:w="1960" w:type="dxa"/>
            <w:tcBorders>
              <w:top w:val="nil"/>
              <w:left w:val="nil"/>
              <w:bottom w:val="nil"/>
              <w:right w:val="nil"/>
              <w:tl2br w:val="nil"/>
              <w:tr2bl w:val="nil"/>
            </w:tcBorders>
            <w:tcMar>
              <w:left w:w="60" w:type="dxa"/>
              <w:right w:w="60" w:type="dxa"/>
            </w:tcMar>
            <w:vAlign w:val="center"/>
          </w:tcPr>
          <w:p w14:paraId="495478B9"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51 164</w:t>
            </w:r>
          </w:p>
        </w:tc>
        <w:tc>
          <w:tcPr>
            <w:tcW w:w="1960" w:type="dxa"/>
            <w:tcBorders>
              <w:top w:val="nil"/>
              <w:left w:val="nil"/>
              <w:bottom w:val="nil"/>
              <w:right w:val="nil"/>
              <w:tl2br w:val="nil"/>
              <w:tr2bl w:val="nil"/>
            </w:tcBorders>
            <w:tcMar>
              <w:left w:w="60" w:type="dxa"/>
              <w:right w:w="60" w:type="dxa"/>
            </w:tcMar>
            <w:vAlign w:val="center"/>
          </w:tcPr>
          <w:p w14:paraId="48A81FE2"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27 095</w:t>
            </w:r>
          </w:p>
        </w:tc>
        <w:tc>
          <w:tcPr>
            <w:tcW w:w="1960" w:type="dxa"/>
            <w:tcBorders>
              <w:top w:val="nil"/>
              <w:left w:val="nil"/>
              <w:bottom w:val="nil"/>
              <w:right w:val="nil"/>
              <w:tl2br w:val="nil"/>
              <w:tr2bl w:val="nil"/>
            </w:tcBorders>
            <w:tcMar>
              <w:left w:w="60" w:type="dxa"/>
              <w:right w:w="60" w:type="dxa"/>
            </w:tcMar>
            <w:vAlign w:val="center"/>
          </w:tcPr>
          <w:p w14:paraId="74DBF04C"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(583)</w:t>
            </w:r>
          </w:p>
        </w:tc>
        <w:tc>
          <w:tcPr>
            <w:tcW w:w="1960" w:type="dxa"/>
            <w:tcBorders>
              <w:top w:val="nil"/>
              <w:left w:val="nil"/>
              <w:bottom w:val="nil"/>
              <w:right w:val="nil"/>
              <w:tl2br w:val="nil"/>
              <w:tr2bl w:val="nil"/>
            </w:tcBorders>
            <w:tcMar>
              <w:left w:w="60" w:type="dxa"/>
              <w:right w:w="60" w:type="dxa"/>
            </w:tcMar>
            <w:vAlign w:val="center"/>
          </w:tcPr>
          <w:p w14:paraId="349E9397"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(24 482)</w:t>
            </w:r>
          </w:p>
        </w:tc>
        <w:tc>
          <w:tcPr>
            <w:tcW w:w="1960" w:type="dxa"/>
            <w:tcBorders>
              <w:top w:val="nil"/>
              <w:left w:val="nil"/>
              <w:bottom w:val="nil"/>
              <w:right w:val="nil"/>
              <w:tl2br w:val="nil"/>
              <w:tr2bl w:val="nil"/>
            </w:tcBorders>
            <w:tcMar>
              <w:left w:w="60" w:type="dxa"/>
              <w:right w:w="60" w:type="dxa"/>
            </w:tcMar>
            <w:vAlign w:val="center"/>
          </w:tcPr>
          <w:p w14:paraId="4290C49F"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53 194</w:t>
            </w:r>
          </w:p>
        </w:tc>
      </w:tr>
      <w:tr w:rsidR="00807FFE" w14:paraId="7C80B046"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4B4BAE0E"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2</w:t>
            </w:r>
          </w:p>
        </w:tc>
        <w:tc>
          <w:tcPr>
            <w:tcW w:w="4401" w:type="dxa"/>
            <w:tcBorders>
              <w:top w:val="nil"/>
              <w:left w:val="nil"/>
              <w:bottom w:val="nil"/>
              <w:right w:val="nil"/>
              <w:tl2br w:val="nil"/>
              <w:tr2bl w:val="nil"/>
            </w:tcBorders>
            <w:tcMar>
              <w:left w:w="60" w:type="dxa"/>
              <w:right w:w="60" w:type="dxa"/>
            </w:tcMar>
            <w:vAlign w:val="center"/>
          </w:tcPr>
          <w:p w14:paraId="31612568"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Cohesion, Resilience and Values</w:t>
            </w:r>
          </w:p>
        </w:tc>
        <w:tc>
          <w:tcPr>
            <w:tcW w:w="1960" w:type="dxa"/>
            <w:tcBorders>
              <w:top w:val="nil"/>
              <w:left w:val="nil"/>
              <w:bottom w:val="nil"/>
              <w:right w:val="nil"/>
              <w:tl2br w:val="nil"/>
              <w:tr2bl w:val="nil"/>
            </w:tcBorders>
            <w:tcMar>
              <w:left w:w="60" w:type="dxa"/>
              <w:right w:w="60" w:type="dxa"/>
            </w:tcMar>
            <w:vAlign w:val="center"/>
          </w:tcPr>
          <w:p w14:paraId="76E4C3D8"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344 088</w:t>
            </w:r>
          </w:p>
        </w:tc>
        <w:tc>
          <w:tcPr>
            <w:tcW w:w="1960" w:type="dxa"/>
            <w:tcBorders>
              <w:top w:val="nil"/>
              <w:left w:val="nil"/>
              <w:bottom w:val="nil"/>
              <w:right w:val="nil"/>
              <w:tl2br w:val="nil"/>
              <w:tr2bl w:val="nil"/>
            </w:tcBorders>
            <w:tcMar>
              <w:left w:w="60" w:type="dxa"/>
              <w:right w:w="60" w:type="dxa"/>
            </w:tcMar>
            <w:vAlign w:val="center"/>
          </w:tcPr>
          <w:p w14:paraId="413A3718"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78 884</w:t>
            </w:r>
          </w:p>
        </w:tc>
        <w:tc>
          <w:tcPr>
            <w:tcW w:w="1960" w:type="dxa"/>
            <w:tcBorders>
              <w:top w:val="nil"/>
              <w:left w:val="nil"/>
              <w:bottom w:val="nil"/>
              <w:right w:val="nil"/>
              <w:tl2br w:val="nil"/>
              <w:tr2bl w:val="nil"/>
            </w:tcBorders>
            <w:tcMar>
              <w:left w:w="60" w:type="dxa"/>
              <w:right w:w="60" w:type="dxa"/>
            </w:tcMar>
            <w:vAlign w:val="center"/>
          </w:tcPr>
          <w:p w14:paraId="716076D9"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(275)</w:t>
            </w:r>
          </w:p>
        </w:tc>
        <w:tc>
          <w:tcPr>
            <w:tcW w:w="1960" w:type="dxa"/>
            <w:tcBorders>
              <w:top w:val="nil"/>
              <w:left w:val="nil"/>
              <w:bottom w:val="nil"/>
              <w:right w:val="nil"/>
              <w:tl2br w:val="nil"/>
              <w:tr2bl w:val="nil"/>
            </w:tcBorders>
            <w:tcMar>
              <w:left w:w="60" w:type="dxa"/>
              <w:right w:w="60" w:type="dxa"/>
            </w:tcMar>
            <w:vAlign w:val="center"/>
          </w:tcPr>
          <w:p w14:paraId="1CBC4896"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(92 361)</w:t>
            </w:r>
          </w:p>
        </w:tc>
        <w:tc>
          <w:tcPr>
            <w:tcW w:w="1960" w:type="dxa"/>
            <w:tcBorders>
              <w:top w:val="nil"/>
              <w:left w:val="nil"/>
              <w:bottom w:val="nil"/>
              <w:right w:val="nil"/>
              <w:tl2br w:val="nil"/>
              <w:tr2bl w:val="nil"/>
            </w:tcBorders>
            <w:tcMar>
              <w:left w:w="60" w:type="dxa"/>
              <w:right w:w="60" w:type="dxa"/>
            </w:tcMar>
            <w:vAlign w:val="center"/>
          </w:tcPr>
          <w:p w14:paraId="7E396FBD"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330 336</w:t>
            </w:r>
          </w:p>
        </w:tc>
      </w:tr>
      <w:tr w:rsidR="00807FFE" w14:paraId="2DDC9790"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6FF76F21"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3</w:t>
            </w:r>
          </w:p>
        </w:tc>
        <w:tc>
          <w:tcPr>
            <w:tcW w:w="4401" w:type="dxa"/>
            <w:tcBorders>
              <w:top w:val="nil"/>
              <w:left w:val="nil"/>
              <w:bottom w:val="nil"/>
              <w:right w:val="nil"/>
              <w:tl2br w:val="nil"/>
              <w:tr2bl w:val="nil"/>
            </w:tcBorders>
            <w:tcMar>
              <w:left w:w="60" w:type="dxa"/>
              <w:right w:w="60" w:type="dxa"/>
            </w:tcMar>
            <w:vAlign w:val="center"/>
          </w:tcPr>
          <w:p w14:paraId="026F2F04"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Natural Resources and Environment</w:t>
            </w:r>
          </w:p>
        </w:tc>
        <w:tc>
          <w:tcPr>
            <w:tcW w:w="1960" w:type="dxa"/>
            <w:tcBorders>
              <w:top w:val="nil"/>
              <w:left w:val="nil"/>
              <w:bottom w:val="nil"/>
              <w:right w:val="nil"/>
              <w:tl2br w:val="nil"/>
              <w:tr2bl w:val="nil"/>
            </w:tcBorders>
            <w:tcMar>
              <w:left w:w="60" w:type="dxa"/>
              <w:right w:w="60" w:type="dxa"/>
            </w:tcMar>
            <w:vAlign w:val="center"/>
          </w:tcPr>
          <w:p w14:paraId="7E6B60D3"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50 867</w:t>
            </w:r>
          </w:p>
        </w:tc>
        <w:tc>
          <w:tcPr>
            <w:tcW w:w="1960" w:type="dxa"/>
            <w:tcBorders>
              <w:top w:val="nil"/>
              <w:left w:val="nil"/>
              <w:bottom w:val="nil"/>
              <w:right w:val="nil"/>
              <w:tl2br w:val="nil"/>
              <w:tr2bl w:val="nil"/>
            </w:tcBorders>
            <w:tcMar>
              <w:left w:w="60" w:type="dxa"/>
              <w:right w:w="60" w:type="dxa"/>
            </w:tcMar>
            <w:vAlign w:val="center"/>
          </w:tcPr>
          <w:p w14:paraId="786E7D95"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57 658</w:t>
            </w:r>
          </w:p>
        </w:tc>
        <w:tc>
          <w:tcPr>
            <w:tcW w:w="1960" w:type="dxa"/>
            <w:tcBorders>
              <w:top w:val="nil"/>
              <w:left w:val="nil"/>
              <w:bottom w:val="nil"/>
              <w:right w:val="nil"/>
              <w:tl2br w:val="nil"/>
              <w:tr2bl w:val="nil"/>
            </w:tcBorders>
            <w:tcMar>
              <w:left w:w="60" w:type="dxa"/>
              <w:right w:w="60" w:type="dxa"/>
            </w:tcMar>
            <w:vAlign w:val="center"/>
          </w:tcPr>
          <w:p w14:paraId="41D4A282"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(263)</w:t>
            </w:r>
          </w:p>
        </w:tc>
        <w:tc>
          <w:tcPr>
            <w:tcW w:w="1960" w:type="dxa"/>
            <w:tcBorders>
              <w:top w:val="nil"/>
              <w:left w:val="nil"/>
              <w:bottom w:val="nil"/>
              <w:right w:val="nil"/>
              <w:tl2br w:val="nil"/>
              <w:tr2bl w:val="nil"/>
            </w:tcBorders>
            <w:tcMar>
              <w:left w:w="60" w:type="dxa"/>
              <w:right w:w="60" w:type="dxa"/>
            </w:tcMar>
            <w:vAlign w:val="center"/>
          </w:tcPr>
          <w:p w14:paraId="156B25ED"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(59 544)</w:t>
            </w:r>
          </w:p>
        </w:tc>
        <w:tc>
          <w:tcPr>
            <w:tcW w:w="1960" w:type="dxa"/>
            <w:tcBorders>
              <w:top w:val="nil"/>
              <w:left w:val="nil"/>
              <w:bottom w:val="nil"/>
              <w:right w:val="nil"/>
              <w:tl2br w:val="nil"/>
              <w:tr2bl w:val="nil"/>
            </w:tcBorders>
            <w:tcMar>
              <w:left w:w="60" w:type="dxa"/>
              <w:right w:w="60" w:type="dxa"/>
            </w:tcMar>
            <w:vAlign w:val="center"/>
          </w:tcPr>
          <w:p w14:paraId="4A9AC0A0"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48 718</w:t>
            </w:r>
          </w:p>
        </w:tc>
      </w:tr>
      <w:tr w:rsidR="00807FFE" w14:paraId="40C89758"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02AF3633"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4</w:t>
            </w:r>
          </w:p>
        </w:tc>
        <w:tc>
          <w:tcPr>
            <w:tcW w:w="4401" w:type="dxa"/>
            <w:tcBorders>
              <w:top w:val="nil"/>
              <w:left w:val="nil"/>
              <w:bottom w:val="nil"/>
              <w:right w:val="nil"/>
              <w:tl2br w:val="nil"/>
              <w:tr2bl w:val="nil"/>
            </w:tcBorders>
            <w:tcMar>
              <w:left w:w="60" w:type="dxa"/>
              <w:right w:w="60" w:type="dxa"/>
            </w:tcMar>
            <w:vAlign w:val="center"/>
          </w:tcPr>
          <w:p w14:paraId="16BEEF90"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Migration and Border Management</w:t>
            </w:r>
          </w:p>
        </w:tc>
        <w:tc>
          <w:tcPr>
            <w:tcW w:w="1960" w:type="dxa"/>
            <w:tcBorders>
              <w:top w:val="nil"/>
              <w:left w:val="nil"/>
              <w:bottom w:val="nil"/>
              <w:right w:val="nil"/>
              <w:tl2br w:val="nil"/>
              <w:tr2bl w:val="nil"/>
            </w:tcBorders>
            <w:tcMar>
              <w:left w:w="60" w:type="dxa"/>
              <w:right w:w="60" w:type="dxa"/>
            </w:tcMar>
            <w:vAlign w:val="center"/>
          </w:tcPr>
          <w:p w14:paraId="35F92129"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5 754</w:t>
            </w:r>
          </w:p>
        </w:tc>
        <w:tc>
          <w:tcPr>
            <w:tcW w:w="1960" w:type="dxa"/>
            <w:tcBorders>
              <w:top w:val="nil"/>
              <w:left w:val="nil"/>
              <w:bottom w:val="nil"/>
              <w:right w:val="nil"/>
              <w:tl2br w:val="nil"/>
              <w:tr2bl w:val="nil"/>
            </w:tcBorders>
            <w:tcMar>
              <w:left w:w="60" w:type="dxa"/>
              <w:right w:w="60" w:type="dxa"/>
            </w:tcMar>
            <w:vAlign w:val="center"/>
          </w:tcPr>
          <w:p w14:paraId="3179F511"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4 738</w:t>
            </w:r>
          </w:p>
        </w:tc>
        <w:tc>
          <w:tcPr>
            <w:tcW w:w="1960" w:type="dxa"/>
            <w:tcBorders>
              <w:top w:val="nil"/>
              <w:left w:val="nil"/>
              <w:bottom w:val="nil"/>
              <w:right w:val="nil"/>
              <w:tl2br w:val="nil"/>
              <w:tr2bl w:val="nil"/>
            </w:tcBorders>
            <w:tcMar>
              <w:left w:w="60" w:type="dxa"/>
              <w:right w:w="60" w:type="dxa"/>
            </w:tcMar>
            <w:vAlign w:val="center"/>
          </w:tcPr>
          <w:p w14:paraId="2EBB587B"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60" w:type="dxa"/>
            <w:tcBorders>
              <w:top w:val="nil"/>
              <w:left w:val="nil"/>
              <w:bottom w:val="nil"/>
              <w:right w:val="nil"/>
              <w:tl2br w:val="nil"/>
              <w:tr2bl w:val="nil"/>
            </w:tcBorders>
            <w:tcMar>
              <w:left w:w="60" w:type="dxa"/>
              <w:right w:w="60" w:type="dxa"/>
            </w:tcMar>
            <w:vAlign w:val="center"/>
          </w:tcPr>
          <w:p w14:paraId="643E2F36"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(3 809)</w:t>
            </w:r>
          </w:p>
        </w:tc>
        <w:tc>
          <w:tcPr>
            <w:tcW w:w="1960" w:type="dxa"/>
            <w:tcBorders>
              <w:top w:val="nil"/>
              <w:left w:val="nil"/>
              <w:bottom w:val="nil"/>
              <w:right w:val="nil"/>
              <w:tl2br w:val="nil"/>
              <w:tr2bl w:val="nil"/>
            </w:tcBorders>
            <w:tcMar>
              <w:left w:w="60" w:type="dxa"/>
              <w:right w:w="60" w:type="dxa"/>
            </w:tcMar>
            <w:vAlign w:val="center"/>
          </w:tcPr>
          <w:p w14:paraId="40A6243A"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6 683</w:t>
            </w:r>
          </w:p>
        </w:tc>
      </w:tr>
      <w:tr w:rsidR="00807FFE" w14:paraId="5592CAF3"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6A62CF60"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5</w:t>
            </w:r>
          </w:p>
        </w:tc>
        <w:tc>
          <w:tcPr>
            <w:tcW w:w="4401" w:type="dxa"/>
            <w:tcBorders>
              <w:top w:val="nil"/>
              <w:left w:val="nil"/>
              <w:bottom w:val="nil"/>
              <w:right w:val="nil"/>
              <w:tl2br w:val="nil"/>
              <w:tr2bl w:val="nil"/>
            </w:tcBorders>
            <w:tcMar>
              <w:left w:w="60" w:type="dxa"/>
              <w:right w:w="60" w:type="dxa"/>
            </w:tcMar>
            <w:vAlign w:val="center"/>
          </w:tcPr>
          <w:p w14:paraId="6BBA8FDB"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Security and Defence</w:t>
            </w:r>
          </w:p>
        </w:tc>
        <w:tc>
          <w:tcPr>
            <w:tcW w:w="1960" w:type="dxa"/>
            <w:tcBorders>
              <w:top w:val="nil"/>
              <w:left w:val="nil"/>
              <w:bottom w:val="nil"/>
              <w:right w:val="nil"/>
              <w:tl2br w:val="nil"/>
              <w:tr2bl w:val="nil"/>
            </w:tcBorders>
            <w:tcMar>
              <w:left w:w="60" w:type="dxa"/>
              <w:right w:w="60" w:type="dxa"/>
            </w:tcMar>
            <w:vAlign w:val="center"/>
          </w:tcPr>
          <w:p w14:paraId="6F2DB9AB"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4 445</w:t>
            </w:r>
          </w:p>
        </w:tc>
        <w:tc>
          <w:tcPr>
            <w:tcW w:w="1960" w:type="dxa"/>
            <w:tcBorders>
              <w:top w:val="nil"/>
              <w:left w:val="nil"/>
              <w:bottom w:val="nil"/>
              <w:right w:val="nil"/>
              <w:tl2br w:val="nil"/>
              <w:tr2bl w:val="nil"/>
            </w:tcBorders>
            <w:tcMar>
              <w:left w:w="60" w:type="dxa"/>
              <w:right w:w="60" w:type="dxa"/>
            </w:tcMar>
            <w:vAlign w:val="center"/>
          </w:tcPr>
          <w:p w14:paraId="4838D1BA"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2 666</w:t>
            </w:r>
          </w:p>
        </w:tc>
        <w:tc>
          <w:tcPr>
            <w:tcW w:w="1960" w:type="dxa"/>
            <w:tcBorders>
              <w:top w:val="nil"/>
              <w:left w:val="nil"/>
              <w:bottom w:val="nil"/>
              <w:right w:val="nil"/>
              <w:tl2br w:val="nil"/>
              <w:tr2bl w:val="nil"/>
            </w:tcBorders>
            <w:tcMar>
              <w:left w:w="60" w:type="dxa"/>
              <w:right w:w="60" w:type="dxa"/>
            </w:tcMar>
            <w:vAlign w:val="center"/>
          </w:tcPr>
          <w:p w14:paraId="46D2A91B"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60" w:type="dxa"/>
            <w:tcBorders>
              <w:top w:val="nil"/>
              <w:left w:val="nil"/>
              <w:bottom w:val="nil"/>
              <w:right w:val="nil"/>
              <w:tl2br w:val="nil"/>
              <w:tr2bl w:val="nil"/>
            </w:tcBorders>
            <w:tcMar>
              <w:left w:w="60" w:type="dxa"/>
              <w:right w:w="60" w:type="dxa"/>
            </w:tcMar>
            <w:vAlign w:val="center"/>
          </w:tcPr>
          <w:p w14:paraId="1AAE572A"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(1 872)</w:t>
            </w:r>
          </w:p>
        </w:tc>
        <w:tc>
          <w:tcPr>
            <w:tcW w:w="1960" w:type="dxa"/>
            <w:tcBorders>
              <w:top w:val="nil"/>
              <w:left w:val="nil"/>
              <w:bottom w:val="nil"/>
              <w:right w:val="nil"/>
              <w:tl2br w:val="nil"/>
              <w:tr2bl w:val="nil"/>
            </w:tcBorders>
            <w:tcMar>
              <w:left w:w="60" w:type="dxa"/>
              <w:right w:w="60" w:type="dxa"/>
            </w:tcMar>
            <w:vAlign w:val="center"/>
          </w:tcPr>
          <w:p w14:paraId="2D529E61"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5 239</w:t>
            </w:r>
          </w:p>
        </w:tc>
      </w:tr>
      <w:tr w:rsidR="00807FFE" w14:paraId="5ED710C2"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7B80B2B3"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6</w:t>
            </w:r>
          </w:p>
        </w:tc>
        <w:tc>
          <w:tcPr>
            <w:tcW w:w="4401" w:type="dxa"/>
            <w:tcBorders>
              <w:top w:val="nil"/>
              <w:left w:val="nil"/>
              <w:bottom w:val="nil"/>
              <w:right w:val="nil"/>
              <w:tl2br w:val="nil"/>
              <w:tr2bl w:val="nil"/>
            </w:tcBorders>
            <w:tcMar>
              <w:left w:w="60" w:type="dxa"/>
              <w:right w:w="60" w:type="dxa"/>
            </w:tcMar>
            <w:vAlign w:val="center"/>
          </w:tcPr>
          <w:p w14:paraId="135488D9"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Neighbourhood and the World</w:t>
            </w:r>
          </w:p>
        </w:tc>
        <w:tc>
          <w:tcPr>
            <w:tcW w:w="1960" w:type="dxa"/>
            <w:tcBorders>
              <w:top w:val="nil"/>
              <w:left w:val="nil"/>
              <w:bottom w:val="nil"/>
              <w:right w:val="nil"/>
              <w:tl2br w:val="nil"/>
              <w:tr2bl w:val="nil"/>
            </w:tcBorders>
            <w:tcMar>
              <w:left w:w="60" w:type="dxa"/>
              <w:right w:w="60" w:type="dxa"/>
            </w:tcMar>
            <w:vAlign w:val="center"/>
          </w:tcPr>
          <w:p w14:paraId="2D129E36"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42 097</w:t>
            </w:r>
          </w:p>
        </w:tc>
        <w:tc>
          <w:tcPr>
            <w:tcW w:w="1960" w:type="dxa"/>
            <w:tcBorders>
              <w:top w:val="nil"/>
              <w:left w:val="nil"/>
              <w:bottom w:val="nil"/>
              <w:right w:val="nil"/>
              <w:tl2br w:val="nil"/>
              <w:tr2bl w:val="nil"/>
            </w:tcBorders>
            <w:tcMar>
              <w:left w:w="60" w:type="dxa"/>
              <w:right w:w="60" w:type="dxa"/>
            </w:tcMar>
            <w:vAlign w:val="center"/>
          </w:tcPr>
          <w:p w14:paraId="3E4C4BFE"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19 645</w:t>
            </w:r>
          </w:p>
        </w:tc>
        <w:tc>
          <w:tcPr>
            <w:tcW w:w="1960" w:type="dxa"/>
            <w:tcBorders>
              <w:top w:val="nil"/>
              <w:left w:val="nil"/>
              <w:bottom w:val="nil"/>
              <w:right w:val="nil"/>
              <w:tl2br w:val="nil"/>
              <w:tr2bl w:val="nil"/>
            </w:tcBorders>
            <w:tcMar>
              <w:left w:w="60" w:type="dxa"/>
              <w:right w:w="60" w:type="dxa"/>
            </w:tcMar>
            <w:vAlign w:val="center"/>
          </w:tcPr>
          <w:p w14:paraId="100C28F7"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(443)</w:t>
            </w:r>
          </w:p>
        </w:tc>
        <w:tc>
          <w:tcPr>
            <w:tcW w:w="1960" w:type="dxa"/>
            <w:tcBorders>
              <w:top w:val="nil"/>
              <w:left w:val="nil"/>
              <w:bottom w:val="nil"/>
              <w:right w:val="nil"/>
              <w:tl2br w:val="nil"/>
              <w:tr2bl w:val="nil"/>
            </w:tcBorders>
            <w:tcMar>
              <w:left w:w="60" w:type="dxa"/>
              <w:right w:w="60" w:type="dxa"/>
            </w:tcMar>
            <w:vAlign w:val="center"/>
          </w:tcPr>
          <w:p w14:paraId="3D8C4F77"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(17 170)</w:t>
            </w:r>
          </w:p>
        </w:tc>
        <w:tc>
          <w:tcPr>
            <w:tcW w:w="1960" w:type="dxa"/>
            <w:tcBorders>
              <w:top w:val="nil"/>
              <w:left w:val="nil"/>
              <w:bottom w:val="nil"/>
              <w:right w:val="nil"/>
              <w:tl2br w:val="nil"/>
              <w:tr2bl w:val="nil"/>
            </w:tcBorders>
            <w:tcMar>
              <w:left w:w="60" w:type="dxa"/>
              <w:right w:w="60" w:type="dxa"/>
            </w:tcMar>
            <w:vAlign w:val="center"/>
          </w:tcPr>
          <w:p w14:paraId="4AD169DD"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44 129</w:t>
            </w:r>
          </w:p>
        </w:tc>
      </w:tr>
      <w:tr w:rsidR="00807FFE" w14:paraId="6026F8E8"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7BAADBA2"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7</w:t>
            </w:r>
          </w:p>
        </w:tc>
        <w:tc>
          <w:tcPr>
            <w:tcW w:w="4401" w:type="dxa"/>
            <w:tcBorders>
              <w:top w:val="nil"/>
              <w:left w:val="nil"/>
              <w:bottom w:val="nil"/>
              <w:right w:val="nil"/>
              <w:tl2br w:val="nil"/>
              <w:tr2bl w:val="nil"/>
            </w:tcBorders>
            <w:tcMar>
              <w:left w:w="60" w:type="dxa"/>
              <w:right w:w="60" w:type="dxa"/>
            </w:tcMar>
            <w:vAlign w:val="center"/>
          </w:tcPr>
          <w:p w14:paraId="64B8CB0A"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European Public Administration</w:t>
            </w:r>
          </w:p>
        </w:tc>
        <w:tc>
          <w:tcPr>
            <w:tcW w:w="1960" w:type="dxa"/>
            <w:tcBorders>
              <w:top w:val="nil"/>
              <w:left w:val="nil"/>
              <w:bottom w:val="nil"/>
              <w:right w:val="nil"/>
              <w:tl2br w:val="nil"/>
              <w:tr2bl w:val="nil"/>
            </w:tcBorders>
            <w:tcMar>
              <w:left w:w="60" w:type="dxa"/>
              <w:right w:w="60" w:type="dxa"/>
            </w:tcMar>
            <w:vAlign w:val="center"/>
          </w:tcPr>
          <w:p w14:paraId="20521BC5"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1 011</w:t>
            </w:r>
          </w:p>
        </w:tc>
        <w:tc>
          <w:tcPr>
            <w:tcW w:w="1960" w:type="dxa"/>
            <w:tcBorders>
              <w:top w:val="nil"/>
              <w:left w:val="nil"/>
              <w:bottom w:val="nil"/>
              <w:right w:val="nil"/>
              <w:tl2br w:val="nil"/>
              <w:tr2bl w:val="nil"/>
            </w:tcBorders>
            <w:tcMar>
              <w:left w:w="60" w:type="dxa"/>
              <w:right w:w="60" w:type="dxa"/>
            </w:tcMar>
            <w:vAlign w:val="center"/>
          </w:tcPr>
          <w:p w14:paraId="090025F1"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13 955</w:t>
            </w:r>
          </w:p>
        </w:tc>
        <w:tc>
          <w:tcPr>
            <w:tcW w:w="1960" w:type="dxa"/>
            <w:tcBorders>
              <w:top w:val="nil"/>
              <w:left w:val="nil"/>
              <w:bottom w:val="nil"/>
              <w:right w:val="nil"/>
              <w:tl2br w:val="nil"/>
              <w:tr2bl w:val="nil"/>
            </w:tcBorders>
            <w:tcMar>
              <w:left w:w="60" w:type="dxa"/>
              <w:right w:w="60" w:type="dxa"/>
            </w:tcMar>
            <w:vAlign w:val="center"/>
          </w:tcPr>
          <w:p w14:paraId="65BC4C11"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(65)</w:t>
            </w:r>
          </w:p>
        </w:tc>
        <w:tc>
          <w:tcPr>
            <w:tcW w:w="1960" w:type="dxa"/>
            <w:tcBorders>
              <w:top w:val="nil"/>
              <w:left w:val="nil"/>
              <w:bottom w:val="nil"/>
              <w:right w:val="nil"/>
              <w:tl2br w:val="nil"/>
              <w:tr2bl w:val="nil"/>
            </w:tcBorders>
            <w:tcMar>
              <w:left w:w="60" w:type="dxa"/>
              <w:right w:w="60" w:type="dxa"/>
            </w:tcMar>
            <w:vAlign w:val="center"/>
          </w:tcPr>
          <w:p w14:paraId="03BF06E4"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(13 767)</w:t>
            </w:r>
          </w:p>
        </w:tc>
        <w:tc>
          <w:tcPr>
            <w:tcW w:w="1960" w:type="dxa"/>
            <w:tcBorders>
              <w:top w:val="nil"/>
              <w:left w:val="nil"/>
              <w:bottom w:val="nil"/>
              <w:right w:val="nil"/>
              <w:tl2br w:val="nil"/>
              <w:tr2bl w:val="nil"/>
            </w:tcBorders>
            <w:tcMar>
              <w:left w:w="60" w:type="dxa"/>
              <w:right w:w="60" w:type="dxa"/>
            </w:tcMar>
            <w:vAlign w:val="center"/>
          </w:tcPr>
          <w:p w14:paraId="5277FCB8"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1 134</w:t>
            </w:r>
          </w:p>
        </w:tc>
      </w:tr>
      <w:tr w:rsidR="00807FFE" w14:paraId="374E83E1"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5227C2DB"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O</w:t>
            </w:r>
          </w:p>
        </w:tc>
        <w:tc>
          <w:tcPr>
            <w:tcW w:w="4401" w:type="dxa"/>
            <w:tcBorders>
              <w:top w:val="nil"/>
              <w:left w:val="nil"/>
              <w:bottom w:val="nil"/>
              <w:right w:val="nil"/>
              <w:tl2br w:val="nil"/>
              <w:tr2bl w:val="nil"/>
            </w:tcBorders>
            <w:tcMar>
              <w:left w:w="60" w:type="dxa"/>
              <w:right w:w="60" w:type="dxa"/>
            </w:tcMar>
            <w:vAlign w:val="center"/>
          </w:tcPr>
          <w:p w14:paraId="5A6B3EF2"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Outside MFF</w:t>
            </w:r>
          </w:p>
        </w:tc>
        <w:tc>
          <w:tcPr>
            <w:tcW w:w="1960" w:type="dxa"/>
            <w:tcBorders>
              <w:top w:val="nil"/>
              <w:left w:val="nil"/>
              <w:bottom w:val="nil"/>
              <w:right w:val="nil"/>
              <w:tl2br w:val="nil"/>
              <w:tr2bl w:val="nil"/>
            </w:tcBorders>
            <w:tcMar>
              <w:left w:w="60" w:type="dxa"/>
              <w:right w:w="60" w:type="dxa"/>
            </w:tcMar>
            <w:vAlign w:val="center"/>
          </w:tcPr>
          <w:p w14:paraId="5F5ABFA0"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7 899</w:t>
            </w:r>
          </w:p>
        </w:tc>
        <w:tc>
          <w:tcPr>
            <w:tcW w:w="1960" w:type="dxa"/>
            <w:tcBorders>
              <w:top w:val="nil"/>
              <w:left w:val="nil"/>
              <w:bottom w:val="nil"/>
              <w:right w:val="nil"/>
              <w:tl2br w:val="nil"/>
              <w:tr2bl w:val="nil"/>
            </w:tcBorders>
            <w:tcMar>
              <w:left w:w="60" w:type="dxa"/>
              <w:right w:w="60" w:type="dxa"/>
            </w:tcMar>
            <w:vAlign w:val="center"/>
          </w:tcPr>
          <w:p w14:paraId="377644AD"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6 409</w:t>
            </w:r>
          </w:p>
        </w:tc>
        <w:tc>
          <w:tcPr>
            <w:tcW w:w="1960" w:type="dxa"/>
            <w:tcBorders>
              <w:top w:val="nil"/>
              <w:left w:val="nil"/>
              <w:bottom w:val="nil"/>
              <w:right w:val="nil"/>
              <w:tl2br w:val="nil"/>
              <w:tr2bl w:val="nil"/>
            </w:tcBorders>
            <w:tcMar>
              <w:left w:w="60" w:type="dxa"/>
              <w:right w:w="60" w:type="dxa"/>
            </w:tcMar>
            <w:vAlign w:val="center"/>
          </w:tcPr>
          <w:p w14:paraId="4F357BBC"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(410)</w:t>
            </w:r>
          </w:p>
        </w:tc>
        <w:tc>
          <w:tcPr>
            <w:tcW w:w="1960" w:type="dxa"/>
            <w:tcBorders>
              <w:top w:val="nil"/>
              <w:left w:val="nil"/>
              <w:bottom w:val="nil"/>
              <w:right w:val="nil"/>
              <w:tl2br w:val="nil"/>
              <w:tr2bl w:val="nil"/>
            </w:tcBorders>
            <w:tcMar>
              <w:left w:w="60" w:type="dxa"/>
              <w:right w:w="60" w:type="dxa"/>
            </w:tcMar>
            <w:vAlign w:val="center"/>
          </w:tcPr>
          <w:p w14:paraId="51D8C1CC"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(2 319)</w:t>
            </w:r>
          </w:p>
        </w:tc>
        <w:tc>
          <w:tcPr>
            <w:tcW w:w="1960" w:type="dxa"/>
            <w:tcBorders>
              <w:top w:val="nil"/>
              <w:left w:val="nil"/>
              <w:bottom w:val="nil"/>
              <w:right w:val="nil"/>
              <w:tl2br w:val="nil"/>
              <w:tr2bl w:val="nil"/>
            </w:tcBorders>
            <w:tcMar>
              <w:left w:w="60" w:type="dxa"/>
              <w:right w:w="60" w:type="dxa"/>
            </w:tcMar>
            <w:vAlign w:val="center"/>
          </w:tcPr>
          <w:p w14:paraId="038F9B89"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11 578</w:t>
            </w:r>
          </w:p>
        </w:tc>
      </w:tr>
      <w:tr w:rsidR="00807FFE" w14:paraId="74CF4730"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5A260F8D"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S</w:t>
            </w:r>
          </w:p>
        </w:tc>
        <w:tc>
          <w:tcPr>
            <w:tcW w:w="4401" w:type="dxa"/>
            <w:tcBorders>
              <w:top w:val="nil"/>
              <w:left w:val="nil"/>
              <w:bottom w:val="nil"/>
              <w:right w:val="nil"/>
              <w:tl2br w:val="nil"/>
              <w:tr2bl w:val="nil"/>
            </w:tcBorders>
            <w:tcMar>
              <w:left w:w="60" w:type="dxa"/>
              <w:right w:w="60" w:type="dxa"/>
            </w:tcMar>
            <w:vAlign w:val="center"/>
          </w:tcPr>
          <w:p w14:paraId="012F72A3" w14:textId="77777777" w:rsidR="00807FFE" w:rsidRDefault="00023E71">
            <w:pPr>
              <w:pStyle w:val="DMETW36742BIPMFF4Commitmentsoutstanding"/>
              <w:rPr>
                <w:rFonts w:ascii="Verdana" w:eastAsia="Verdana" w:hAnsi="Verdana" w:cs="Verdana"/>
                <w:noProof/>
                <w:color w:val="000000"/>
                <w:sz w:val="16"/>
              </w:rPr>
            </w:pPr>
            <w:r>
              <w:rPr>
                <w:rFonts w:ascii="Verdana" w:eastAsia="Verdana" w:hAnsi="Verdana" w:cs="Verdana"/>
                <w:noProof/>
                <w:color w:val="000000"/>
                <w:sz w:val="16"/>
              </w:rPr>
              <w:t>Solidarity mechanisms within and outside the Union (Special instruments)</w:t>
            </w:r>
          </w:p>
        </w:tc>
        <w:tc>
          <w:tcPr>
            <w:tcW w:w="1960" w:type="dxa"/>
            <w:tcBorders>
              <w:top w:val="nil"/>
              <w:left w:val="nil"/>
              <w:bottom w:val="nil"/>
              <w:right w:val="nil"/>
              <w:tl2br w:val="nil"/>
              <w:tr2bl w:val="nil"/>
            </w:tcBorders>
            <w:tcMar>
              <w:left w:w="60" w:type="dxa"/>
              <w:right w:w="60" w:type="dxa"/>
            </w:tcMar>
            <w:vAlign w:val="center"/>
          </w:tcPr>
          <w:p w14:paraId="144D8599"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960" w:type="dxa"/>
            <w:tcBorders>
              <w:top w:val="nil"/>
              <w:left w:val="nil"/>
              <w:bottom w:val="nil"/>
              <w:right w:val="nil"/>
              <w:tl2br w:val="nil"/>
              <w:tr2bl w:val="nil"/>
            </w:tcBorders>
            <w:tcMar>
              <w:left w:w="60" w:type="dxa"/>
              <w:right w:w="60" w:type="dxa"/>
            </w:tcMar>
            <w:vAlign w:val="center"/>
          </w:tcPr>
          <w:p w14:paraId="7D0B02C4"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1 065</w:t>
            </w:r>
          </w:p>
        </w:tc>
        <w:tc>
          <w:tcPr>
            <w:tcW w:w="1960" w:type="dxa"/>
            <w:tcBorders>
              <w:top w:val="nil"/>
              <w:left w:val="nil"/>
              <w:bottom w:val="nil"/>
              <w:right w:val="nil"/>
              <w:tl2br w:val="nil"/>
              <w:tr2bl w:val="nil"/>
            </w:tcBorders>
            <w:tcMar>
              <w:left w:w="60" w:type="dxa"/>
              <w:right w:w="60" w:type="dxa"/>
            </w:tcMar>
            <w:vAlign w:val="center"/>
          </w:tcPr>
          <w:p w14:paraId="2A7609C9"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60" w:type="dxa"/>
            <w:tcBorders>
              <w:top w:val="nil"/>
              <w:left w:val="nil"/>
              <w:bottom w:val="nil"/>
              <w:right w:val="nil"/>
              <w:tl2br w:val="nil"/>
              <w:tr2bl w:val="nil"/>
            </w:tcBorders>
            <w:tcMar>
              <w:left w:w="60" w:type="dxa"/>
              <w:right w:w="60" w:type="dxa"/>
            </w:tcMar>
            <w:vAlign w:val="center"/>
          </w:tcPr>
          <w:p w14:paraId="0D622789" w14:textId="77777777" w:rsidR="00807FFE" w:rsidRDefault="00023E71">
            <w:pPr>
              <w:pStyle w:val="DMETW36742BIPMFF4Commitmentsoutstanding"/>
              <w:jc w:val="right"/>
              <w:rPr>
                <w:rFonts w:ascii="Verdana" w:eastAsia="Verdana" w:hAnsi="Verdana" w:cs="Verdana"/>
                <w:noProof/>
                <w:color w:val="000000"/>
                <w:sz w:val="16"/>
              </w:rPr>
            </w:pPr>
            <w:r>
              <w:rPr>
                <w:rFonts w:ascii="Verdana" w:eastAsia="Verdana" w:hAnsi="Verdana" w:cs="Verdana"/>
                <w:noProof/>
                <w:color w:val="000000"/>
                <w:sz w:val="16"/>
              </w:rPr>
              <w:t>(1 048)</w:t>
            </w:r>
          </w:p>
        </w:tc>
        <w:tc>
          <w:tcPr>
            <w:tcW w:w="1960" w:type="dxa"/>
            <w:tcBorders>
              <w:top w:val="nil"/>
              <w:left w:val="nil"/>
              <w:bottom w:val="nil"/>
              <w:right w:val="nil"/>
              <w:tl2br w:val="nil"/>
              <w:tr2bl w:val="nil"/>
            </w:tcBorders>
            <w:tcMar>
              <w:left w:w="60" w:type="dxa"/>
              <w:right w:w="60" w:type="dxa"/>
            </w:tcMar>
            <w:vAlign w:val="center"/>
          </w:tcPr>
          <w:p w14:paraId="09935923" w14:textId="77777777" w:rsidR="00807FFE" w:rsidRDefault="00023E71">
            <w:pPr>
              <w:pStyle w:val="DMETW36742BIPMFF4Commitmentsout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71</w:t>
            </w:r>
          </w:p>
        </w:tc>
      </w:tr>
      <w:tr w:rsidR="00807FFE" w14:paraId="6DAA628C" w14:textId="77777777">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14:paraId="4EEAF479" w14:textId="77777777" w:rsidR="00807FFE" w:rsidRDefault="00807FFE">
            <w:pPr>
              <w:pStyle w:val="DMETW36742BIPMFF4Commitmentsoutstanding"/>
              <w:rPr>
                <w:rFonts w:ascii="Verdana" w:eastAsia="Verdana" w:hAnsi="Verdana" w:cs="Verdana"/>
                <w:b/>
                <w:noProof/>
                <w:color w:val="000000"/>
                <w:sz w:val="16"/>
              </w:rPr>
            </w:pPr>
          </w:p>
        </w:tc>
        <w:tc>
          <w:tcPr>
            <w:tcW w:w="4401" w:type="dxa"/>
            <w:tcBorders>
              <w:top w:val="nil"/>
              <w:left w:val="nil"/>
              <w:bottom w:val="nil"/>
              <w:right w:val="nil"/>
              <w:tl2br w:val="nil"/>
              <w:tr2bl w:val="nil"/>
            </w:tcBorders>
            <w:shd w:val="solid" w:color="CCE1EA" w:fill="FFFFFF"/>
            <w:tcMar>
              <w:left w:w="60" w:type="dxa"/>
              <w:right w:w="60" w:type="dxa"/>
            </w:tcMar>
            <w:vAlign w:val="center"/>
          </w:tcPr>
          <w:p w14:paraId="26B19F80" w14:textId="77777777" w:rsidR="00807FFE" w:rsidRDefault="00023E71">
            <w:pPr>
              <w:pStyle w:val="DMETW36742BIPMFF4Commitmentsoutstanding"/>
              <w:rPr>
                <w:rFonts w:ascii="Verdana" w:eastAsia="Verdana" w:hAnsi="Verdana" w:cs="Verdana"/>
                <w:b/>
                <w:noProof/>
                <w:color w:val="000000"/>
                <w:sz w:val="16"/>
              </w:rPr>
            </w:pPr>
            <w:r>
              <w:rPr>
                <w:rFonts w:ascii="Verdana" w:eastAsia="Verdana" w:hAnsi="Verdana" w:cs="Verdana"/>
                <w:b/>
                <w:noProof/>
                <w:color w:val="000000"/>
                <w:sz w:val="16"/>
              </w:rPr>
              <w:t>TOTAL</w:t>
            </w:r>
          </w:p>
        </w:tc>
        <w:tc>
          <w:tcPr>
            <w:tcW w:w="1960" w:type="dxa"/>
            <w:tcBorders>
              <w:top w:val="nil"/>
              <w:left w:val="nil"/>
              <w:bottom w:val="nil"/>
              <w:right w:val="nil"/>
              <w:tl2br w:val="nil"/>
              <w:tr2bl w:val="nil"/>
            </w:tcBorders>
            <w:shd w:val="solid" w:color="CCE1EA" w:fill="FFFFFF"/>
            <w:tcMar>
              <w:left w:w="60" w:type="dxa"/>
              <w:right w:w="60" w:type="dxa"/>
            </w:tcMar>
            <w:vAlign w:val="center"/>
          </w:tcPr>
          <w:p w14:paraId="0740A74D" w14:textId="77777777" w:rsidR="00807FFE" w:rsidRDefault="00023E71">
            <w:pPr>
              <w:pStyle w:val="DMETW36742BIPMFF4Commitmentsoutstanding"/>
              <w:jc w:val="right"/>
              <w:rPr>
                <w:rFonts w:ascii="Verdana" w:eastAsia="Verdana" w:hAnsi="Verdana" w:cs="Verdana"/>
                <w:b/>
                <w:noProof/>
                <w:color w:val="000000"/>
                <w:sz w:val="16"/>
              </w:rPr>
            </w:pPr>
            <w:r>
              <w:rPr>
                <w:rFonts w:ascii="Verdana" w:eastAsia="Verdana" w:hAnsi="Verdana" w:cs="Verdana"/>
                <w:b/>
                <w:noProof/>
                <w:color w:val="000000"/>
                <w:sz w:val="16"/>
              </w:rPr>
              <w:t>507 378</w:t>
            </w:r>
          </w:p>
        </w:tc>
        <w:tc>
          <w:tcPr>
            <w:tcW w:w="1960" w:type="dxa"/>
            <w:tcBorders>
              <w:top w:val="nil"/>
              <w:left w:val="nil"/>
              <w:bottom w:val="nil"/>
              <w:right w:val="nil"/>
              <w:tl2br w:val="nil"/>
              <w:tr2bl w:val="nil"/>
            </w:tcBorders>
            <w:shd w:val="solid" w:color="CCE1EA" w:fill="FFFFFF"/>
            <w:tcMar>
              <w:left w:w="60" w:type="dxa"/>
              <w:right w:w="60" w:type="dxa"/>
            </w:tcMar>
            <w:vAlign w:val="center"/>
          </w:tcPr>
          <w:p w14:paraId="565EF87B" w14:textId="77777777" w:rsidR="00807FFE" w:rsidRDefault="00023E71">
            <w:pPr>
              <w:pStyle w:val="DMETW36742BIPMFF4Commitmentsoutstanding"/>
              <w:jc w:val="right"/>
              <w:rPr>
                <w:rFonts w:ascii="Verdana" w:eastAsia="Verdana" w:hAnsi="Verdana" w:cs="Verdana"/>
                <w:b/>
                <w:noProof/>
                <w:color w:val="000000"/>
                <w:sz w:val="16"/>
              </w:rPr>
            </w:pPr>
            <w:r>
              <w:rPr>
                <w:rFonts w:ascii="Verdana" w:eastAsia="Verdana" w:hAnsi="Verdana" w:cs="Verdana"/>
                <w:b/>
                <w:noProof/>
                <w:color w:val="000000"/>
                <w:sz w:val="16"/>
              </w:rPr>
              <w:t>212 116</w:t>
            </w:r>
          </w:p>
        </w:tc>
        <w:tc>
          <w:tcPr>
            <w:tcW w:w="1960" w:type="dxa"/>
            <w:tcBorders>
              <w:top w:val="nil"/>
              <w:left w:val="nil"/>
              <w:bottom w:val="nil"/>
              <w:right w:val="nil"/>
              <w:tl2br w:val="nil"/>
              <w:tr2bl w:val="nil"/>
            </w:tcBorders>
            <w:shd w:val="solid" w:color="CCE1EA" w:fill="FFFFFF"/>
            <w:tcMar>
              <w:left w:w="60" w:type="dxa"/>
              <w:right w:w="60" w:type="dxa"/>
            </w:tcMar>
            <w:vAlign w:val="center"/>
          </w:tcPr>
          <w:p w14:paraId="146F79C7" w14:textId="77777777" w:rsidR="00807FFE" w:rsidRDefault="00023E71">
            <w:pPr>
              <w:pStyle w:val="DMETW36742BIPMFF4Commitmentsoutstanding"/>
              <w:jc w:val="right"/>
              <w:rPr>
                <w:rFonts w:ascii="Verdana" w:eastAsia="Verdana" w:hAnsi="Verdana" w:cs="Verdana"/>
                <w:b/>
                <w:noProof/>
                <w:color w:val="000000"/>
                <w:sz w:val="16"/>
              </w:rPr>
            </w:pPr>
            <w:r>
              <w:rPr>
                <w:rFonts w:ascii="Verdana" w:eastAsia="Verdana" w:hAnsi="Verdana" w:cs="Verdana"/>
                <w:b/>
                <w:noProof/>
                <w:color w:val="000000"/>
                <w:sz w:val="16"/>
              </w:rPr>
              <w:t>(2 039)</w:t>
            </w:r>
          </w:p>
        </w:tc>
        <w:tc>
          <w:tcPr>
            <w:tcW w:w="1960" w:type="dxa"/>
            <w:tcBorders>
              <w:top w:val="nil"/>
              <w:left w:val="nil"/>
              <w:bottom w:val="nil"/>
              <w:right w:val="nil"/>
              <w:tl2br w:val="nil"/>
              <w:tr2bl w:val="nil"/>
            </w:tcBorders>
            <w:shd w:val="solid" w:color="CCE1EA" w:fill="FFFFFF"/>
            <w:tcMar>
              <w:left w:w="60" w:type="dxa"/>
              <w:right w:w="60" w:type="dxa"/>
            </w:tcMar>
            <w:vAlign w:val="center"/>
          </w:tcPr>
          <w:p w14:paraId="139F7AC6" w14:textId="77777777" w:rsidR="00807FFE" w:rsidRDefault="00023E71">
            <w:pPr>
              <w:pStyle w:val="DMETW36742BIPMFF4Commitmentsoutstanding"/>
              <w:jc w:val="right"/>
              <w:rPr>
                <w:rFonts w:ascii="Verdana" w:eastAsia="Verdana" w:hAnsi="Verdana" w:cs="Verdana"/>
                <w:b/>
                <w:noProof/>
                <w:color w:val="000000"/>
                <w:sz w:val="16"/>
              </w:rPr>
            </w:pPr>
            <w:r>
              <w:rPr>
                <w:rFonts w:ascii="Verdana" w:eastAsia="Verdana" w:hAnsi="Verdana" w:cs="Verdana"/>
                <w:b/>
                <w:noProof/>
                <w:color w:val="000000"/>
                <w:sz w:val="16"/>
              </w:rPr>
              <w:t>(216 371)</w:t>
            </w:r>
          </w:p>
        </w:tc>
        <w:tc>
          <w:tcPr>
            <w:tcW w:w="1960" w:type="dxa"/>
            <w:tcBorders>
              <w:top w:val="nil"/>
              <w:left w:val="nil"/>
              <w:bottom w:val="nil"/>
              <w:right w:val="nil"/>
              <w:tl2br w:val="nil"/>
              <w:tr2bl w:val="nil"/>
            </w:tcBorders>
            <w:shd w:val="solid" w:color="CCE1EA" w:fill="FFFFFF"/>
            <w:tcMar>
              <w:left w:w="60" w:type="dxa"/>
              <w:right w:w="60" w:type="dxa"/>
            </w:tcMar>
            <w:vAlign w:val="center"/>
          </w:tcPr>
          <w:p w14:paraId="6835A93C" w14:textId="77777777" w:rsidR="00807FFE" w:rsidRDefault="00023E71">
            <w:pPr>
              <w:pStyle w:val="DMETW36742BIPMFF4Commitmentsoutstanding"/>
              <w:jc w:val="right"/>
              <w:rPr>
                <w:rFonts w:ascii="Verdana" w:eastAsia="Verdana" w:hAnsi="Verdana" w:cs="Verdana"/>
                <w:b/>
                <w:noProof/>
                <w:color w:val="000000"/>
                <w:sz w:val="16"/>
              </w:rPr>
            </w:pPr>
            <w:r>
              <w:rPr>
                <w:rFonts w:ascii="Verdana" w:eastAsia="Verdana" w:hAnsi="Verdana" w:cs="Verdana"/>
                <w:b/>
                <w:noProof/>
                <w:color w:val="000000"/>
                <w:sz w:val="16"/>
              </w:rPr>
              <w:t>501 084</w:t>
            </w:r>
          </w:p>
        </w:tc>
      </w:tr>
    </w:tbl>
    <w:p w14:paraId="3C938973" w14:textId="77777777" w:rsidR="008C5342" w:rsidRDefault="008C5342" w:rsidP="008C5342">
      <w:pPr>
        <w:pStyle w:val="DGTextstand-alone"/>
        <w:rPr>
          <w:lang w:bidi="en-GB"/>
        </w:rPr>
      </w:pPr>
    </w:p>
    <w:p w14:paraId="030CCC89" w14:textId="77777777" w:rsidR="008C5342" w:rsidRDefault="008C5342" w:rsidP="008C5342">
      <w:pPr>
        <w:pStyle w:val="Textstand-alone"/>
        <w:rPr>
          <w:lang w:bidi="en-GB"/>
        </w:rPr>
      </w:pPr>
    </w:p>
    <w:p w14:paraId="1D0F4963" w14:textId="77777777" w:rsidR="008C5342" w:rsidRPr="008C13D4" w:rsidRDefault="008C5342" w:rsidP="008C5342">
      <w:pPr>
        <w:pStyle w:val="Textstand-alone"/>
        <w:rPr>
          <w:lang w:bidi="en-GB"/>
        </w:rPr>
        <w:sectPr w:rsidR="008C5342" w:rsidRPr="008C13D4">
          <w:headerReference w:type="default" r:id="rId172"/>
          <w:footerReference w:type="default" r:id="rId173"/>
          <w:type w:val="nextColumn"/>
          <w:pgSz w:w="16840" w:h="11900" w:orient="landscape"/>
          <w:pgMar w:top="1134" w:right="1134" w:bottom="1134" w:left="1134" w:header="720" w:footer="720" w:gutter="0"/>
          <w:cols w:space="720"/>
          <w:docGrid w:linePitch="272"/>
        </w:sectPr>
      </w:pPr>
    </w:p>
    <w:p w14:paraId="6E7F157C" w14:textId="77777777" w:rsidR="008C5342" w:rsidRDefault="00023E71" w:rsidP="008C5342">
      <w:pPr>
        <w:pStyle w:val="HEADER2PartBUDG"/>
        <w:rPr>
          <w:noProof/>
          <w:lang w:val="en-GB"/>
        </w:rPr>
      </w:pPr>
      <w:bookmarkStart w:id="303" w:name="_Toc232674394"/>
      <w:r w:rsidRPr="008903C1">
        <w:rPr>
          <w:noProof/>
          <w:lang w:val="en-GB"/>
        </w:rPr>
        <w:t>MFF: OUTSTANDING COMMITMENTS BY YEAR OF ORIGIN</w:t>
      </w:r>
      <w:bookmarkEnd w:id="303"/>
      <w:r w:rsidRPr="008903C1">
        <w:rPr>
          <w:noProof/>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712"/>
        <w:gridCol w:w="919"/>
        <w:gridCol w:w="919"/>
        <w:gridCol w:w="919"/>
        <w:gridCol w:w="919"/>
        <w:gridCol w:w="919"/>
        <w:gridCol w:w="919"/>
        <w:gridCol w:w="919"/>
        <w:gridCol w:w="991"/>
        <w:gridCol w:w="919"/>
        <w:gridCol w:w="1293"/>
      </w:tblGrid>
      <w:tr w:rsidR="00807FFE" w14:paraId="62A72207"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1C682192" w14:textId="77777777" w:rsidR="00807FFE" w:rsidRDefault="00807FFE">
            <w:pPr>
              <w:pStyle w:val="DMETW36742BIPMFF5RALYoO"/>
              <w:rPr>
                <w:rFonts w:ascii="Verdana" w:eastAsia="Verdana" w:hAnsi="Verdana" w:cs="Verdana"/>
                <w:noProof/>
                <w:color w:val="000000"/>
                <w:sz w:val="16"/>
                <w:lang w:bidi="en-GB"/>
              </w:rPr>
            </w:pPr>
            <w:bookmarkStart w:id="304" w:name="DOC_TBL00118_1_1"/>
            <w:bookmarkEnd w:id="304"/>
          </w:p>
        </w:tc>
        <w:tc>
          <w:tcPr>
            <w:tcW w:w="4712" w:type="dxa"/>
            <w:tcBorders>
              <w:top w:val="nil"/>
              <w:left w:val="nil"/>
              <w:bottom w:val="nil"/>
              <w:right w:val="nil"/>
              <w:tl2br w:val="nil"/>
              <w:tr2bl w:val="nil"/>
            </w:tcBorders>
            <w:tcMar>
              <w:left w:w="60" w:type="dxa"/>
              <w:right w:w="60" w:type="dxa"/>
            </w:tcMar>
            <w:vAlign w:val="center"/>
          </w:tcPr>
          <w:p w14:paraId="61DCAAB0" w14:textId="77777777" w:rsidR="00807FFE" w:rsidRDefault="00807FFE">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698D1B2B" w14:textId="77777777" w:rsidR="00807FFE" w:rsidRDefault="00807FFE">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65583CC6" w14:textId="77777777" w:rsidR="00807FFE" w:rsidRDefault="00807FFE">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05207750" w14:textId="77777777" w:rsidR="00807FFE" w:rsidRDefault="00807FFE">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498DE372" w14:textId="77777777" w:rsidR="00807FFE" w:rsidRDefault="00807FFE">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635B6CC5" w14:textId="77777777" w:rsidR="00807FFE" w:rsidRDefault="00807FFE">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4568B209" w14:textId="77777777" w:rsidR="00807FFE" w:rsidRDefault="00807FFE">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5C82CF65" w14:textId="77777777" w:rsidR="00807FFE" w:rsidRDefault="00807FFE">
            <w:pPr>
              <w:pStyle w:val="DMETW36742BIPMFF5RALYoO"/>
              <w:rPr>
                <w:rFonts w:ascii="Verdana" w:eastAsia="Verdana" w:hAnsi="Verdana" w:cs="Verdana"/>
                <w:noProof/>
                <w:color w:val="000000"/>
                <w:sz w:val="16"/>
              </w:rPr>
            </w:pPr>
          </w:p>
        </w:tc>
        <w:tc>
          <w:tcPr>
            <w:tcW w:w="991" w:type="dxa"/>
            <w:tcBorders>
              <w:top w:val="nil"/>
              <w:left w:val="nil"/>
              <w:bottom w:val="nil"/>
              <w:right w:val="nil"/>
              <w:tl2br w:val="nil"/>
              <w:tr2bl w:val="nil"/>
            </w:tcBorders>
            <w:tcMar>
              <w:left w:w="60" w:type="dxa"/>
              <w:right w:w="60" w:type="dxa"/>
            </w:tcMar>
            <w:vAlign w:val="center"/>
          </w:tcPr>
          <w:p w14:paraId="215B4483" w14:textId="77777777" w:rsidR="00807FFE" w:rsidRDefault="00807FFE">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456021DE" w14:textId="77777777" w:rsidR="00807FFE" w:rsidRDefault="00807FFE">
            <w:pPr>
              <w:pStyle w:val="DMETW36742BIPMFF5RALYoO"/>
              <w:rPr>
                <w:rFonts w:ascii="Verdana" w:eastAsia="Verdana" w:hAnsi="Verdana" w:cs="Verdana"/>
                <w:noProof/>
                <w:color w:val="000000"/>
                <w:sz w:val="16"/>
              </w:rPr>
            </w:pPr>
          </w:p>
        </w:tc>
        <w:tc>
          <w:tcPr>
            <w:tcW w:w="1293" w:type="dxa"/>
            <w:tcBorders>
              <w:top w:val="nil"/>
              <w:left w:val="nil"/>
              <w:bottom w:val="nil"/>
              <w:right w:val="nil"/>
              <w:tl2br w:val="nil"/>
              <w:tr2bl w:val="nil"/>
            </w:tcBorders>
            <w:tcMar>
              <w:left w:w="60" w:type="dxa"/>
              <w:right w:w="60" w:type="dxa"/>
            </w:tcMar>
            <w:vAlign w:val="center"/>
          </w:tcPr>
          <w:p w14:paraId="1400180B" w14:textId="77777777" w:rsidR="00807FFE" w:rsidRDefault="00023E71">
            <w:pPr>
              <w:pStyle w:val="DMETW36742BIPMFF5RALYoO"/>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63CB2D52" w14:textId="77777777">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40D1640C" w14:textId="77777777" w:rsidR="00807FFE" w:rsidRDefault="00807FFE">
            <w:pPr>
              <w:pStyle w:val="DMETW36742BIPMFF5RALYoO"/>
              <w:jc w:val="center"/>
              <w:rPr>
                <w:rFonts w:ascii="Verdana" w:eastAsia="Verdana" w:hAnsi="Verdana" w:cs="Verdana"/>
                <w:noProof/>
                <w:color w:val="FFFFFF"/>
                <w:sz w:val="16"/>
              </w:rPr>
            </w:pPr>
          </w:p>
        </w:tc>
        <w:tc>
          <w:tcPr>
            <w:tcW w:w="4712" w:type="dxa"/>
            <w:tcBorders>
              <w:top w:val="nil"/>
              <w:left w:val="nil"/>
              <w:bottom w:val="nil"/>
              <w:right w:val="nil"/>
              <w:tl2br w:val="nil"/>
              <w:tr2bl w:val="nil"/>
            </w:tcBorders>
            <w:shd w:val="solid" w:color="016794" w:fill="FFFFFF"/>
            <w:tcMar>
              <w:left w:w="60" w:type="dxa"/>
              <w:right w:w="60" w:type="dxa"/>
            </w:tcMar>
            <w:vAlign w:val="center"/>
          </w:tcPr>
          <w:p w14:paraId="3BF803B7"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MFF heading</w:t>
            </w:r>
          </w:p>
        </w:tc>
        <w:tc>
          <w:tcPr>
            <w:tcW w:w="919" w:type="dxa"/>
            <w:tcBorders>
              <w:top w:val="nil"/>
              <w:left w:val="nil"/>
              <w:bottom w:val="nil"/>
              <w:right w:val="nil"/>
              <w:tl2br w:val="nil"/>
              <w:tr2bl w:val="nil"/>
            </w:tcBorders>
            <w:shd w:val="solid" w:color="016794" w:fill="FFFFFF"/>
            <w:tcMar>
              <w:left w:w="60" w:type="dxa"/>
              <w:right w:w="60" w:type="dxa"/>
            </w:tcMar>
            <w:vAlign w:val="center"/>
          </w:tcPr>
          <w:p w14:paraId="34B357C7"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&lt;2018</w:t>
            </w:r>
          </w:p>
        </w:tc>
        <w:tc>
          <w:tcPr>
            <w:tcW w:w="919" w:type="dxa"/>
            <w:tcBorders>
              <w:top w:val="nil"/>
              <w:left w:val="nil"/>
              <w:bottom w:val="nil"/>
              <w:right w:val="nil"/>
              <w:tl2br w:val="nil"/>
              <w:tr2bl w:val="nil"/>
            </w:tcBorders>
            <w:shd w:val="solid" w:color="016794" w:fill="FFFFFF"/>
            <w:tcMar>
              <w:left w:w="60" w:type="dxa"/>
              <w:right w:w="60" w:type="dxa"/>
            </w:tcMar>
            <w:vAlign w:val="center"/>
          </w:tcPr>
          <w:p w14:paraId="5F3B2E08"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2018</w:t>
            </w:r>
          </w:p>
        </w:tc>
        <w:tc>
          <w:tcPr>
            <w:tcW w:w="919" w:type="dxa"/>
            <w:tcBorders>
              <w:top w:val="nil"/>
              <w:left w:val="nil"/>
              <w:bottom w:val="nil"/>
              <w:right w:val="nil"/>
              <w:tl2br w:val="nil"/>
              <w:tr2bl w:val="nil"/>
            </w:tcBorders>
            <w:shd w:val="solid" w:color="016794" w:fill="FFFFFF"/>
            <w:tcMar>
              <w:left w:w="60" w:type="dxa"/>
              <w:right w:w="60" w:type="dxa"/>
            </w:tcMar>
            <w:vAlign w:val="center"/>
          </w:tcPr>
          <w:p w14:paraId="7C61C058"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2019</w:t>
            </w:r>
          </w:p>
        </w:tc>
        <w:tc>
          <w:tcPr>
            <w:tcW w:w="919" w:type="dxa"/>
            <w:tcBorders>
              <w:top w:val="nil"/>
              <w:left w:val="nil"/>
              <w:bottom w:val="nil"/>
              <w:right w:val="nil"/>
              <w:tl2br w:val="nil"/>
              <w:tr2bl w:val="nil"/>
            </w:tcBorders>
            <w:shd w:val="solid" w:color="016794" w:fill="FFFFFF"/>
            <w:tcMar>
              <w:left w:w="60" w:type="dxa"/>
              <w:right w:w="60" w:type="dxa"/>
            </w:tcMar>
            <w:vAlign w:val="center"/>
          </w:tcPr>
          <w:p w14:paraId="4D1CEF32"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2020</w:t>
            </w:r>
          </w:p>
        </w:tc>
        <w:tc>
          <w:tcPr>
            <w:tcW w:w="919" w:type="dxa"/>
            <w:tcBorders>
              <w:top w:val="nil"/>
              <w:left w:val="nil"/>
              <w:bottom w:val="nil"/>
              <w:right w:val="nil"/>
              <w:tl2br w:val="nil"/>
              <w:tr2bl w:val="nil"/>
            </w:tcBorders>
            <w:shd w:val="solid" w:color="016794" w:fill="FFFFFF"/>
            <w:tcMar>
              <w:left w:w="60" w:type="dxa"/>
              <w:right w:w="60" w:type="dxa"/>
            </w:tcMar>
            <w:vAlign w:val="center"/>
          </w:tcPr>
          <w:p w14:paraId="6A113B7C"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2021</w:t>
            </w:r>
          </w:p>
        </w:tc>
        <w:tc>
          <w:tcPr>
            <w:tcW w:w="919" w:type="dxa"/>
            <w:tcBorders>
              <w:top w:val="nil"/>
              <w:left w:val="nil"/>
              <w:bottom w:val="nil"/>
              <w:right w:val="nil"/>
              <w:tl2br w:val="nil"/>
              <w:tr2bl w:val="nil"/>
            </w:tcBorders>
            <w:shd w:val="solid" w:color="016794" w:fill="FFFFFF"/>
            <w:tcMar>
              <w:left w:w="60" w:type="dxa"/>
              <w:right w:w="60" w:type="dxa"/>
            </w:tcMar>
            <w:vAlign w:val="center"/>
          </w:tcPr>
          <w:p w14:paraId="3223FA96"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2022</w:t>
            </w:r>
          </w:p>
        </w:tc>
        <w:tc>
          <w:tcPr>
            <w:tcW w:w="919" w:type="dxa"/>
            <w:tcBorders>
              <w:top w:val="nil"/>
              <w:left w:val="nil"/>
              <w:bottom w:val="nil"/>
              <w:right w:val="nil"/>
              <w:tl2br w:val="nil"/>
              <w:tr2bl w:val="nil"/>
            </w:tcBorders>
            <w:shd w:val="solid" w:color="016794" w:fill="FFFFFF"/>
            <w:tcMar>
              <w:left w:w="60" w:type="dxa"/>
              <w:right w:w="60" w:type="dxa"/>
            </w:tcMar>
            <w:vAlign w:val="center"/>
          </w:tcPr>
          <w:p w14:paraId="29510D9B"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2023</w:t>
            </w:r>
          </w:p>
        </w:tc>
        <w:tc>
          <w:tcPr>
            <w:tcW w:w="991" w:type="dxa"/>
            <w:tcBorders>
              <w:top w:val="nil"/>
              <w:left w:val="nil"/>
              <w:bottom w:val="nil"/>
              <w:right w:val="nil"/>
              <w:tl2br w:val="nil"/>
              <w:tr2bl w:val="nil"/>
            </w:tcBorders>
            <w:shd w:val="solid" w:color="016794" w:fill="FFFFFF"/>
            <w:tcMar>
              <w:left w:w="60" w:type="dxa"/>
              <w:right w:w="60" w:type="dxa"/>
            </w:tcMar>
            <w:vAlign w:val="center"/>
          </w:tcPr>
          <w:p w14:paraId="2583C73B"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2024</w:t>
            </w:r>
          </w:p>
        </w:tc>
        <w:tc>
          <w:tcPr>
            <w:tcW w:w="919" w:type="dxa"/>
            <w:tcBorders>
              <w:top w:val="nil"/>
              <w:left w:val="nil"/>
              <w:bottom w:val="nil"/>
              <w:right w:val="nil"/>
              <w:tl2br w:val="nil"/>
              <w:tr2bl w:val="nil"/>
            </w:tcBorders>
            <w:shd w:val="solid" w:color="016794" w:fill="FFFFFF"/>
            <w:tcMar>
              <w:left w:w="60" w:type="dxa"/>
              <w:right w:w="60" w:type="dxa"/>
            </w:tcMar>
            <w:vAlign w:val="center"/>
          </w:tcPr>
          <w:p w14:paraId="4B7EE6B1" w14:textId="77777777" w:rsidR="00807FFE" w:rsidRDefault="00023E71">
            <w:pPr>
              <w:pStyle w:val="DMETW36742BIPMFF5RALYoO"/>
              <w:jc w:val="center"/>
              <w:rPr>
                <w:rFonts w:ascii="Verdana" w:eastAsia="Verdana" w:hAnsi="Verdana" w:cs="Verdana"/>
                <w:noProof/>
                <w:color w:val="FFFFFF"/>
                <w:sz w:val="16"/>
              </w:rPr>
            </w:pPr>
            <w:r>
              <w:rPr>
                <w:rFonts w:ascii="Verdana" w:eastAsia="Verdana" w:hAnsi="Verdana" w:cs="Verdana"/>
                <w:noProof/>
                <w:color w:val="FFFFFF"/>
                <w:sz w:val="16"/>
              </w:rPr>
              <w:t>2025</w:t>
            </w:r>
          </w:p>
        </w:tc>
        <w:tc>
          <w:tcPr>
            <w:tcW w:w="1293" w:type="dxa"/>
            <w:tcBorders>
              <w:top w:val="nil"/>
              <w:left w:val="nil"/>
              <w:bottom w:val="nil"/>
              <w:right w:val="nil"/>
              <w:tl2br w:val="nil"/>
              <w:tr2bl w:val="nil"/>
            </w:tcBorders>
            <w:shd w:val="solid" w:color="016794" w:fill="FFFFFF"/>
            <w:tcMar>
              <w:left w:w="60" w:type="dxa"/>
              <w:right w:w="60" w:type="dxa"/>
            </w:tcMar>
            <w:vAlign w:val="center"/>
          </w:tcPr>
          <w:p w14:paraId="5E650059" w14:textId="77777777" w:rsidR="00807FFE" w:rsidRDefault="00023E71">
            <w:pPr>
              <w:pStyle w:val="DMETW36742BIPMFF5RALYoO"/>
              <w:jc w:val="center"/>
              <w:rPr>
                <w:rFonts w:ascii="Verdana" w:eastAsia="Verdana" w:hAnsi="Verdana" w:cs="Verdana"/>
                <w:noProof/>
                <w:color w:val="FFFFFF"/>
                <w:sz w:val="16"/>
                <w:lang w:bidi="en-GB"/>
              </w:rPr>
            </w:pPr>
            <w:r>
              <w:rPr>
                <w:rFonts w:ascii="Verdana" w:eastAsia="Verdana" w:hAnsi="Verdana" w:cs="Verdana"/>
                <w:noProof/>
                <w:color w:val="FFFFFF"/>
                <w:sz w:val="16"/>
              </w:rPr>
              <w:t>Total</w:t>
            </w:r>
          </w:p>
        </w:tc>
      </w:tr>
      <w:tr w:rsidR="00807FFE" w14:paraId="4BC2A64B"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04969E93"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1</w:t>
            </w:r>
          </w:p>
        </w:tc>
        <w:tc>
          <w:tcPr>
            <w:tcW w:w="4712" w:type="dxa"/>
            <w:tcBorders>
              <w:top w:val="nil"/>
              <w:left w:val="nil"/>
              <w:bottom w:val="nil"/>
              <w:right w:val="nil"/>
              <w:tl2br w:val="nil"/>
              <w:tr2bl w:val="nil"/>
            </w:tcBorders>
            <w:tcMar>
              <w:left w:w="60" w:type="dxa"/>
              <w:right w:w="60" w:type="dxa"/>
            </w:tcMar>
            <w:vAlign w:val="center"/>
          </w:tcPr>
          <w:p w14:paraId="214E2394"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Single Market, Innovation and Digital</w:t>
            </w:r>
          </w:p>
        </w:tc>
        <w:tc>
          <w:tcPr>
            <w:tcW w:w="919" w:type="dxa"/>
            <w:tcBorders>
              <w:top w:val="nil"/>
              <w:left w:val="nil"/>
              <w:bottom w:val="nil"/>
              <w:right w:val="nil"/>
              <w:tl2br w:val="nil"/>
              <w:tr2bl w:val="nil"/>
            </w:tcBorders>
            <w:tcMar>
              <w:left w:w="60" w:type="dxa"/>
              <w:right w:w="60" w:type="dxa"/>
            </w:tcMar>
            <w:vAlign w:val="center"/>
          </w:tcPr>
          <w:p w14:paraId="4DB7A4C1"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617</w:t>
            </w:r>
          </w:p>
        </w:tc>
        <w:tc>
          <w:tcPr>
            <w:tcW w:w="919" w:type="dxa"/>
            <w:tcBorders>
              <w:top w:val="nil"/>
              <w:left w:val="nil"/>
              <w:bottom w:val="nil"/>
              <w:right w:val="nil"/>
              <w:tl2br w:val="nil"/>
              <w:tr2bl w:val="nil"/>
            </w:tcBorders>
            <w:tcMar>
              <w:left w:w="60" w:type="dxa"/>
              <w:right w:w="60" w:type="dxa"/>
            </w:tcMar>
            <w:vAlign w:val="center"/>
          </w:tcPr>
          <w:p w14:paraId="19385E9A"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411</w:t>
            </w:r>
          </w:p>
        </w:tc>
        <w:tc>
          <w:tcPr>
            <w:tcW w:w="919" w:type="dxa"/>
            <w:tcBorders>
              <w:top w:val="nil"/>
              <w:left w:val="nil"/>
              <w:bottom w:val="nil"/>
              <w:right w:val="nil"/>
              <w:tl2br w:val="nil"/>
              <w:tr2bl w:val="nil"/>
            </w:tcBorders>
            <w:tcMar>
              <w:left w:w="60" w:type="dxa"/>
              <w:right w:w="60" w:type="dxa"/>
            </w:tcMar>
            <w:vAlign w:val="center"/>
          </w:tcPr>
          <w:p w14:paraId="2291EF4C"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1 430</w:t>
            </w:r>
          </w:p>
        </w:tc>
        <w:tc>
          <w:tcPr>
            <w:tcW w:w="919" w:type="dxa"/>
            <w:tcBorders>
              <w:top w:val="nil"/>
              <w:left w:val="nil"/>
              <w:bottom w:val="nil"/>
              <w:right w:val="nil"/>
              <w:tl2br w:val="nil"/>
              <w:tr2bl w:val="nil"/>
            </w:tcBorders>
            <w:tcMar>
              <w:left w:w="60" w:type="dxa"/>
              <w:right w:w="60" w:type="dxa"/>
            </w:tcMar>
            <w:vAlign w:val="center"/>
          </w:tcPr>
          <w:p w14:paraId="5395F6AC"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2 551</w:t>
            </w:r>
          </w:p>
        </w:tc>
        <w:tc>
          <w:tcPr>
            <w:tcW w:w="919" w:type="dxa"/>
            <w:tcBorders>
              <w:top w:val="nil"/>
              <w:left w:val="nil"/>
              <w:bottom w:val="nil"/>
              <w:right w:val="nil"/>
              <w:tl2br w:val="nil"/>
              <w:tr2bl w:val="nil"/>
            </w:tcBorders>
            <w:tcMar>
              <w:left w:w="60" w:type="dxa"/>
              <w:right w:w="60" w:type="dxa"/>
            </w:tcMar>
            <w:vAlign w:val="center"/>
          </w:tcPr>
          <w:p w14:paraId="3B2509F0"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2 771</w:t>
            </w:r>
          </w:p>
        </w:tc>
        <w:tc>
          <w:tcPr>
            <w:tcW w:w="919" w:type="dxa"/>
            <w:tcBorders>
              <w:top w:val="nil"/>
              <w:left w:val="nil"/>
              <w:bottom w:val="nil"/>
              <w:right w:val="nil"/>
              <w:tl2br w:val="nil"/>
              <w:tr2bl w:val="nil"/>
            </w:tcBorders>
            <w:tcMar>
              <w:left w:w="60" w:type="dxa"/>
              <w:right w:w="60" w:type="dxa"/>
            </w:tcMar>
            <w:vAlign w:val="center"/>
          </w:tcPr>
          <w:p w14:paraId="16FB13C8"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4 555</w:t>
            </w:r>
          </w:p>
        </w:tc>
        <w:tc>
          <w:tcPr>
            <w:tcW w:w="919" w:type="dxa"/>
            <w:tcBorders>
              <w:top w:val="nil"/>
              <w:left w:val="nil"/>
              <w:bottom w:val="nil"/>
              <w:right w:val="nil"/>
              <w:tl2br w:val="nil"/>
              <w:tr2bl w:val="nil"/>
            </w:tcBorders>
            <w:tcMar>
              <w:left w:w="60" w:type="dxa"/>
              <w:right w:w="60" w:type="dxa"/>
            </w:tcMar>
            <w:vAlign w:val="center"/>
          </w:tcPr>
          <w:p w14:paraId="3932A018"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6 282</w:t>
            </w:r>
          </w:p>
        </w:tc>
        <w:tc>
          <w:tcPr>
            <w:tcW w:w="991" w:type="dxa"/>
            <w:tcBorders>
              <w:top w:val="nil"/>
              <w:left w:val="nil"/>
              <w:bottom w:val="nil"/>
              <w:right w:val="nil"/>
              <w:tl2br w:val="nil"/>
              <w:tr2bl w:val="nil"/>
            </w:tcBorders>
            <w:tcMar>
              <w:left w:w="60" w:type="dxa"/>
              <w:right w:w="60" w:type="dxa"/>
            </w:tcMar>
            <w:vAlign w:val="center"/>
          </w:tcPr>
          <w:p w14:paraId="66349AA6"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15 261</w:t>
            </w:r>
          </w:p>
        </w:tc>
        <w:tc>
          <w:tcPr>
            <w:tcW w:w="919" w:type="dxa"/>
            <w:tcBorders>
              <w:top w:val="nil"/>
              <w:left w:val="nil"/>
              <w:bottom w:val="nil"/>
              <w:right w:val="nil"/>
              <w:tl2br w:val="nil"/>
              <w:tr2bl w:val="nil"/>
            </w:tcBorders>
            <w:tcMar>
              <w:left w:w="60" w:type="dxa"/>
              <w:right w:w="60" w:type="dxa"/>
            </w:tcMar>
            <w:vAlign w:val="center"/>
          </w:tcPr>
          <w:p w14:paraId="0B1DBBA8"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19 315</w:t>
            </w:r>
          </w:p>
        </w:tc>
        <w:tc>
          <w:tcPr>
            <w:tcW w:w="1293" w:type="dxa"/>
            <w:tcBorders>
              <w:top w:val="nil"/>
              <w:left w:val="nil"/>
              <w:bottom w:val="nil"/>
              <w:right w:val="nil"/>
              <w:tl2br w:val="nil"/>
              <w:tr2bl w:val="nil"/>
            </w:tcBorders>
            <w:tcMar>
              <w:left w:w="60" w:type="dxa"/>
              <w:right w:w="60" w:type="dxa"/>
            </w:tcMar>
            <w:vAlign w:val="center"/>
          </w:tcPr>
          <w:p w14:paraId="0EB4DE59"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53 194</w:t>
            </w:r>
          </w:p>
        </w:tc>
      </w:tr>
      <w:tr w:rsidR="00807FFE" w14:paraId="281D5361"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05725A4D"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2</w:t>
            </w:r>
          </w:p>
        </w:tc>
        <w:tc>
          <w:tcPr>
            <w:tcW w:w="4712" w:type="dxa"/>
            <w:tcBorders>
              <w:top w:val="nil"/>
              <w:left w:val="nil"/>
              <w:bottom w:val="nil"/>
              <w:right w:val="nil"/>
              <w:tl2br w:val="nil"/>
              <w:tr2bl w:val="nil"/>
            </w:tcBorders>
            <w:tcMar>
              <w:left w:w="60" w:type="dxa"/>
              <w:right w:w="60" w:type="dxa"/>
            </w:tcMar>
            <w:vAlign w:val="center"/>
          </w:tcPr>
          <w:p w14:paraId="0EFEE14A"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Cohesion, Resilience and Values</w:t>
            </w:r>
          </w:p>
        </w:tc>
        <w:tc>
          <w:tcPr>
            <w:tcW w:w="919" w:type="dxa"/>
            <w:tcBorders>
              <w:top w:val="nil"/>
              <w:left w:val="nil"/>
              <w:bottom w:val="nil"/>
              <w:right w:val="nil"/>
              <w:tl2br w:val="nil"/>
              <w:tr2bl w:val="nil"/>
            </w:tcBorders>
            <w:tcMar>
              <w:left w:w="60" w:type="dxa"/>
              <w:right w:w="60" w:type="dxa"/>
            </w:tcMar>
            <w:vAlign w:val="center"/>
          </w:tcPr>
          <w:p w14:paraId="631598E4"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1 368</w:t>
            </w:r>
          </w:p>
        </w:tc>
        <w:tc>
          <w:tcPr>
            <w:tcW w:w="919" w:type="dxa"/>
            <w:tcBorders>
              <w:top w:val="nil"/>
              <w:left w:val="nil"/>
              <w:bottom w:val="nil"/>
              <w:right w:val="nil"/>
              <w:tl2br w:val="nil"/>
              <w:tr2bl w:val="nil"/>
            </w:tcBorders>
            <w:tcMar>
              <w:left w:w="60" w:type="dxa"/>
              <w:right w:w="60" w:type="dxa"/>
            </w:tcMar>
            <w:vAlign w:val="center"/>
          </w:tcPr>
          <w:p w14:paraId="4E9747D5"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225</w:t>
            </w:r>
          </w:p>
        </w:tc>
        <w:tc>
          <w:tcPr>
            <w:tcW w:w="919" w:type="dxa"/>
            <w:tcBorders>
              <w:top w:val="nil"/>
              <w:left w:val="nil"/>
              <w:bottom w:val="nil"/>
              <w:right w:val="nil"/>
              <w:tl2br w:val="nil"/>
              <w:tr2bl w:val="nil"/>
            </w:tcBorders>
            <w:tcMar>
              <w:left w:w="60" w:type="dxa"/>
              <w:right w:w="60" w:type="dxa"/>
            </w:tcMar>
            <w:vAlign w:val="center"/>
          </w:tcPr>
          <w:p w14:paraId="1CAB8A87"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538</w:t>
            </w:r>
          </w:p>
        </w:tc>
        <w:tc>
          <w:tcPr>
            <w:tcW w:w="919" w:type="dxa"/>
            <w:tcBorders>
              <w:top w:val="nil"/>
              <w:left w:val="nil"/>
              <w:bottom w:val="nil"/>
              <w:right w:val="nil"/>
              <w:tl2br w:val="nil"/>
              <w:tr2bl w:val="nil"/>
            </w:tcBorders>
            <w:tcMar>
              <w:left w:w="60" w:type="dxa"/>
              <w:right w:w="60" w:type="dxa"/>
            </w:tcMar>
            <w:vAlign w:val="center"/>
          </w:tcPr>
          <w:p w14:paraId="7BEE0FD7"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1 061</w:t>
            </w:r>
          </w:p>
        </w:tc>
        <w:tc>
          <w:tcPr>
            <w:tcW w:w="919" w:type="dxa"/>
            <w:tcBorders>
              <w:top w:val="nil"/>
              <w:left w:val="nil"/>
              <w:bottom w:val="nil"/>
              <w:right w:val="nil"/>
              <w:tl2br w:val="nil"/>
              <w:tr2bl w:val="nil"/>
            </w:tcBorders>
            <w:tcMar>
              <w:left w:w="60" w:type="dxa"/>
              <w:right w:w="60" w:type="dxa"/>
            </w:tcMar>
            <w:vAlign w:val="center"/>
          </w:tcPr>
          <w:p w14:paraId="76E2B126"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878</w:t>
            </w:r>
          </w:p>
        </w:tc>
        <w:tc>
          <w:tcPr>
            <w:tcW w:w="919" w:type="dxa"/>
            <w:tcBorders>
              <w:top w:val="nil"/>
              <w:left w:val="nil"/>
              <w:bottom w:val="nil"/>
              <w:right w:val="nil"/>
              <w:tl2br w:val="nil"/>
              <w:tr2bl w:val="nil"/>
            </w:tcBorders>
            <w:tcMar>
              <w:left w:w="60" w:type="dxa"/>
              <w:right w:w="60" w:type="dxa"/>
            </w:tcMar>
            <w:vAlign w:val="center"/>
          </w:tcPr>
          <w:p w14:paraId="71B2FD5B"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13 776</w:t>
            </w:r>
          </w:p>
        </w:tc>
        <w:tc>
          <w:tcPr>
            <w:tcW w:w="919" w:type="dxa"/>
            <w:tcBorders>
              <w:top w:val="nil"/>
              <w:left w:val="nil"/>
              <w:bottom w:val="nil"/>
              <w:right w:val="nil"/>
              <w:tl2br w:val="nil"/>
              <w:tr2bl w:val="nil"/>
            </w:tcBorders>
            <w:tcMar>
              <w:left w:w="60" w:type="dxa"/>
              <w:right w:w="60" w:type="dxa"/>
            </w:tcMar>
            <w:vAlign w:val="center"/>
          </w:tcPr>
          <w:p w14:paraId="7AAE8451"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52 352</w:t>
            </w:r>
          </w:p>
        </w:tc>
        <w:tc>
          <w:tcPr>
            <w:tcW w:w="991" w:type="dxa"/>
            <w:tcBorders>
              <w:top w:val="nil"/>
              <w:left w:val="nil"/>
              <w:bottom w:val="nil"/>
              <w:right w:val="nil"/>
              <w:tl2br w:val="nil"/>
              <w:tr2bl w:val="nil"/>
            </w:tcBorders>
            <w:tcMar>
              <w:left w:w="60" w:type="dxa"/>
              <w:right w:w="60" w:type="dxa"/>
            </w:tcMar>
            <w:vAlign w:val="center"/>
          </w:tcPr>
          <w:p w14:paraId="141705CC"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190 270</w:t>
            </w:r>
          </w:p>
        </w:tc>
        <w:tc>
          <w:tcPr>
            <w:tcW w:w="919" w:type="dxa"/>
            <w:tcBorders>
              <w:top w:val="nil"/>
              <w:left w:val="nil"/>
              <w:bottom w:val="nil"/>
              <w:right w:val="nil"/>
              <w:tl2br w:val="nil"/>
              <w:tr2bl w:val="nil"/>
            </w:tcBorders>
            <w:tcMar>
              <w:left w:w="60" w:type="dxa"/>
              <w:right w:w="60" w:type="dxa"/>
            </w:tcMar>
            <w:vAlign w:val="center"/>
          </w:tcPr>
          <w:p w14:paraId="52462C04"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69 869</w:t>
            </w:r>
          </w:p>
        </w:tc>
        <w:tc>
          <w:tcPr>
            <w:tcW w:w="1293" w:type="dxa"/>
            <w:tcBorders>
              <w:top w:val="nil"/>
              <w:left w:val="nil"/>
              <w:bottom w:val="nil"/>
              <w:right w:val="nil"/>
              <w:tl2br w:val="nil"/>
              <w:tr2bl w:val="nil"/>
            </w:tcBorders>
            <w:tcMar>
              <w:left w:w="60" w:type="dxa"/>
              <w:right w:w="60" w:type="dxa"/>
            </w:tcMar>
            <w:vAlign w:val="center"/>
          </w:tcPr>
          <w:p w14:paraId="6913652D"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330 336</w:t>
            </w:r>
          </w:p>
        </w:tc>
      </w:tr>
      <w:tr w:rsidR="00807FFE" w14:paraId="7D62326A"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08147686"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3</w:t>
            </w:r>
          </w:p>
        </w:tc>
        <w:tc>
          <w:tcPr>
            <w:tcW w:w="4712" w:type="dxa"/>
            <w:tcBorders>
              <w:top w:val="nil"/>
              <w:left w:val="nil"/>
              <w:bottom w:val="nil"/>
              <w:right w:val="nil"/>
              <w:tl2br w:val="nil"/>
              <w:tr2bl w:val="nil"/>
            </w:tcBorders>
            <w:tcMar>
              <w:left w:w="60" w:type="dxa"/>
              <w:right w:w="60" w:type="dxa"/>
            </w:tcMar>
            <w:vAlign w:val="center"/>
          </w:tcPr>
          <w:p w14:paraId="1413B4B2"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Natural Resources and Environment</w:t>
            </w:r>
          </w:p>
        </w:tc>
        <w:tc>
          <w:tcPr>
            <w:tcW w:w="919" w:type="dxa"/>
            <w:tcBorders>
              <w:top w:val="nil"/>
              <w:left w:val="nil"/>
              <w:bottom w:val="nil"/>
              <w:right w:val="nil"/>
              <w:tl2br w:val="nil"/>
              <w:tr2bl w:val="nil"/>
            </w:tcBorders>
            <w:tcMar>
              <w:left w:w="60" w:type="dxa"/>
              <w:right w:w="60" w:type="dxa"/>
            </w:tcMar>
            <w:vAlign w:val="center"/>
          </w:tcPr>
          <w:p w14:paraId="5307C51D"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2 507</w:t>
            </w:r>
          </w:p>
        </w:tc>
        <w:tc>
          <w:tcPr>
            <w:tcW w:w="919" w:type="dxa"/>
            <w:tcBorders>
              <w:top w:val="nil"/>
              <w:left w:val="nil"/>
              <w:bottom w:val="nil"/>
              <w:right w:val="nil"/>
              <w:tl2br w:val="nil"/>
              <w:tr2bl w:val="nil"/>
            </w:tcBorders>
            <w:tcMar>
              <w:left w:w="60" w:type="dxa"/>
              <w:right w:w="60" w:type="dxa"/>
            </w:tcMar>
            <w:vAlign w:val="center"/>
          </w:tcPr>
          <w:p w14:paraId="6C21C911"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907</w:t>
            </w:r>
          </w:p>
        </w:tc>
        <w:tc>
          <w:tcPr>
            <w:tcW w:w="919" w:type="dxa"/>
            <w:tcBorders>
              <w:top w:val="nil"/>
              <w:left w:val="nil"/>
              <w:bottom w:val="nil"/>
              <w:right w:val="nil"/>
              <w:tl2br w:val="nil"/>
              <w:tr2bl w:val="nil"/>
            </w:tcBorders>
            <w:tcMar>
              <w:left w:w="60" w:type="dxa"/>
              <w:right w:w="60" w:type="dxa"/>
            </w:tcMar>
            <w:vAlign w:val="center"/>
          </w:tcPr>
          <w:p w14:paraId="672B81B7"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896</w:t>
            </w:r>
          </w:p>
        </w:tc>
        <w:tc>
          <w:tcPr>
            <w:tcW w:w="919" w:type="dxa"/>
            <w:tcBorders>
              <w:top w:val="nil"/>
              <w:left w:val="nil"/>
              <w:bottom w:val="nil"/>
              <w:right w:val="nil"/>
              <w:tl2br w:val="nil"/>
              <w:tr2bl w:val="nil"/>
            </w:tcBorders>
            <w:tcMar>
              <w:left w:w="60" w:type="dxa"/>
              <w:right w:w="60" w:type="dxa"/>
            </w:tcMar>
            <w:vAlign w:val="center"/>
          </w:tcPr>
          <w:p w14:paraId="0B1C4318"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946</w:t>
            </w:r>
          </w:p>
        </w:tc>
        <w:tc>
          <w:tcPr>
            <w:tcW w:w="919" w:type="dxa"/>
            <w:tcBorders>
              <w:top w:val="nil"/>
              <w:left w:val="nil"/>
              <w:bottom w:val="nil"/>
              <w:right w:val="nil"/>
              <w:tl2br w:val="nil"/>
              <w:tr2bl w:val="nil"/>
            </w:tcBorders>
            <w:tcMar>
              <w:left w:w="60" w:type="dxa"/>
              <w:right w:w="60" w:type="dxa"/>
            </w:tcMar>
            <w:vAlign w:val="center"/>
          </w:tcPr>
          <w:p w14:paraId="56469BA0"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275</w:t>
            </w:r>
          </w:p>
        </w:tc>
        <w:tc>
          <w:tcPr>
            <w:tcW w:w="919" w:type="dxa"/>
            <w:tcBorders>
              <w:top w:val="nil"/>
              <w:left w:val="nil"/>
              <w:bottom w:val="nil"/>
              <w:right w:val="nil"/>
              <w:tl2br w:val="nil"/>
              <w:tr2bl w:val="nil"/>
            </w:tcBorders>
            <w:tcMar>
              <w:left w:w="60" w:type="dxa"/>
              <w:right w:w="60" w:type="dxa"/>
            </w:tcMar>
            <w:vAlign w:val="center"/>
          </w:tcPr>
          <w:p w14:paraId="6DCD33E5"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2 859</w:t>
            </w:r>
          </w:p>
        </w:tc>
        <w:tc>
          <w:tcPr>
            <w:tcW w:w="919" w:type="dxa"/>
            <w:tcBorders>
              <w:top w:val="nil"/>
              <w:left w:val="nil"/>
              <w:bottom w:val="nil"/>
              <w:right w:val="nil"/>
              <w:tl2br w:val="nil"/>
              <w:tr2bl w:val="nil"/>
            </w:tcBorders>
            <w:tcMar>
              <w:left w:w="60" w:type="dxa"/>
              <w:right w:w="60" w:type="dxa"/>
            </w:tcMar>
            <w:vAlign w:val="center"/>
          </w:tcPr>
          <w:p w14:paraId="744CD22C"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3 882</w:t>
            </w:r>
          </w:p>
        </w:tc>
        <w:tc>
          <w:tcPr>
            <w:tcW w:w="991" w:type="dxa"/>
            <w:tcBorders>
              <w:top w:val="nil"/>
              <w:left w:val="nil"/>
              <w:bottom w:val="nil"/>
              <w:right w:val="nil"/>
              <w:tl2br w:val="nil"/>
              <w:tr2bl w:val="nil"/>
            </w:tcBorders>
            <w:tcMar>
              <w:left w:w="60" w:type="dxa"/>
              <w:right w:w="60" w:type="dxa"/>
            </w:tcMar>
            <w:vAlign w:val="center"/>
          </w:tcPr>
          <w:p w14:paraId="4227D719"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19 889</w:t>
            </w:r>
          </w:p>
        </w:tc>
        <w:tc>
          <w:tcPr>
            <w:tcW w:w="919" w:type="dxa"/>
            <w:tcBorders>
              <w:top w:val="nil"/>
              <w:left w:val="nil"/>
              <w:bottom w:val="nil"/>
              <w:right w:val="nil"/>
              <w:tl2br w:val="nil"/>
              <w:tr2bl w:val="nil"/>
            </w:tcBorders>
            <w:tcMar>
              <w:left w:w="60" w:type="dxa"/>
              <w:right w:w="60" w:type="dxa"/>
            </w:tcMar>
            <w:vAlign w:val="center"/>
          </w:tcPr>
          <w:p w14:paraId="0D73B054"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16 558</w:t>
            </w:r>
          </w:p>
        </w:tc>
        <w:tc>
          <w:tcPr>
            <w:tcW w:w="1293" w:type="dxa"/>
            <w:tcBorders>
              <w:top w:val="nil"/>
              <w:left w:val="nil"/>
              <w:bottom w:val="nil"/>
              <w:right w:val="nil"/>
              <w:tl2br w:val="nil"/>
              <w:tr2bl w:val="nil"/>
            </w:tcBorders>
            <w:tcMar>
              <w:left w:w="60" w:type="dxa"/>
              <w:right w:w="60" w:type="dxa"/>
            </w:tcMar>
            <w:vAlign w:val="center"/>
          </w:tcPr>
          <w:p w14:paraId="2A403C9E"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48 718</w:t>
            </w:r>
          </w:p>
        </w:tc>
      </w:tr>
      <w:tr w:rsidR="00807FFE" w14:paraId="5FDB8F2E"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3B35157A"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4</w:t>
            </w:r>
          </w:p>
        </w:tc>
        <w:tc>
          <w:tcPr>
            <w:tcW w:w="4712" w:type="dxa"/>
            <w:tcBorders>
              <w:top w:val="nil"/>
              <w:left w:val="nil"/>
              <w:bottom w:val="nil"/>
              <w:right w:val="nil"/>
              <w:tl2br w:val="nil"/>
              <w:tr2bl w:val="nil"/>
            </w:tcBorders>
            <w:tcMar>
              <w:left w:w="60" w:type="dxa"/>
              <w:right w:w="60" w:type="dxa"/>
            </w:tcMar>
            <w:vAlign w:val="center"/>
          </w:tcPr>
          <w:p w14:paraId="7E85C4A8"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Migration and Border Management</w:t>
            </w:r>
          </w:p>
        </w:tc>
        <w:tc>
          <w:tcPr>
            <w:tcW w:w="919" w:type="dxa"/>
            <w:tcBorders>
              <w:top w:val="nil"/>
              <w:left w:val="nil"/>
              <w:bottom w:val="nil"/>
              <w:right w:val="nil"/>
              <w:tl2br w:val="nil"/>
              <w:tr2bl w:val="nil"/>
            </w:tcBorders>
            <w:tcMar>
              <w:left w:w="60" w:type="dxa"/>
              <w:right w:w="60" w:type="dxa"/>
            </w:tcMar>
            <w:vAlign w:val="center"/>
          </w:tcPr>
          <w:p w14:paraId="6CD64AFA"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72</w:t>
            </w:r>
          </w:p>
        </w:tc>
        <w:tc>
          <w:tcPr>
            <w:tcW w:w="919" w:type="dxa"/>
            <w:tcBorders>
              <w:top w:val="nil"/>
              <w:left w:val="nil"/>
              <w:bottom w:val="nil"/>
              <w:right w:val="nil"/>
              <w:tl2br w:val="nil"/>
              <w:tr2bl w:val="nil"/>
            </w:tcBorders>
            <w:tcMar>
              <w:left w:w="60" w:type="dxa"/>
              <w:right w:w="60" w:type="dxa"/>
            </w:tcMar>
            <w:vAlign w:val="center"/>
          </w:tcPr>
          <w:p w14:paraId="74075307"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919" w:type="dxa"/>
            <w:tcBorders>
              <w:top w:val="nil"/>
              <w:left w:val="nil"/>
              <w:bottom w:val="nil"/>
              <w:right w:val="nil"/>
              <w:tl2br w:val="nil"/>
              <w:tr2bl w:val="nil"/>
            </w:tcBorders>
            <w:tcMar>
              <w:left w:w="60" w:type="dxa"/>
              <w:right w:w="60" w:type="dxa"/>
            </w:tcMar>
            <w:vAlign w:val="center"/>
          </w:tcPr>
          <w:p w14:paraId="58091745"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97</w:t>
            </w:r>
          </w:p>
        </w:tc>
        <w:tc>
          <w:tcPr>
            <w:tcW w:w="919" w:type="dxa"/>
            <w:tcBorders>
              <w:top w:val="nil"/>
              <w:left w:val="nil"/>
              <w:bottom w:val="nil"/>
              <w:right w:val="nil"/>
              <w:tl2br w:val="nil"/>
              <w:tr2bl w:val="nil"/>
            </w:tcBorders>
            <w:tcMar>
              <w:left w:w="60" w:type="dxa"/>
              <w:right w:w="60" w:type="dxa"/>
            </w:tcMar>
            <w:vAlign w:val="center"/>
          </w:tcPr>
          <w:p w14:paraId="6FCEA946"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553</w:t>
            </w:r>
          </w:p>
        </w:tc>
        <w:tc>
          <w:tcPr>
            <w:tcW w:w="919" w:type="dxa"/>
            <w:tcBorders>
              <w:top w:val="nil"/>
              <w:left w:val="nil"/>
              <w:bottom w:val="nil"/>
              <w:right w:val="nil"/>
              <w:tl2br w:val="nil"/>
              <w:tr2bl w:val="nil"/>
            </w:tcBorders>
            <w:tcMar>
              <w:left w:w="60" w:type="dxa"/>
              <w:right w:w="60" w:type="dxa"/>
            </w:tcMar>
            <w:vAlign w:val="center"/>
          </w:tcPr>
          <w:p w14:paraId="6640E241"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69</w:t>
            </w:r>
          </w:p>
        </w:tc>
        <w:tc>
          <w:tcPr>
            <w:tcW w:w="919" w:type="dxa"/>
            <w:tcBorders>
              <w:top w:val="nil"/>
              <w:left w:val="nil"/>
              <w:bottom w:val="nil"/>
              <w:right w:val="nil"/>
              <w:tl2br w:val="nil"/>
              <w:tr2bl w:val="nil"/>
            </w:tcBorders>
            <w:tcMar>
              <w:left w:w="60" w:type="dxa"/>
              <w:right w:w="60" w:type="dxa"/>
            </w:tcMar>
            <w:vAlign w:val="center"/>
          </w:tcPr>
          <w:p w14:paraId="6234D351"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110</w:t>
            </w:r>
          </w:p>
        </w:tc>
        <w:tc>
          <w:tcPr>
            <w:tcW w:w="919" w:type="dxa"/>
            <w:tcBorders>
              <w:top w:val="nil"/>
              <w:left w:val="nil"/>
              <w:bottom w:val="nil"/>
              <w:right w:val="nil"/>
              <w:tl2br w:val="nil"/>
              <w:tr2bl w:val="nil"/>
            </w:tcBorders>
            <w:tcMar>
              <w:left w:w="60" w:type="dxa"/>
              <w:right w:w="60" w:type="dxa"/>
            </w:tcMar>
            <w:vAlign w:val="center"/>
          </w:tcPr>
          <w:p w14:paraId="1F9BC65C"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679</w:t>
            </w:r>
          </w:p>
        </w:tc>
        <w:tc>
          <w:tcPr>
            <w:tcW w:w="991" w:type="dxa"/>
            <w:tcBorders>
              <w:top w:val="nil"/>
              <w:left w:val="nil"/>
              <w:bottom w:val="nil"/>
              <w:right w:val="nil"/>
              <w:tl2br w:val="nil"/>
              <w:tr2bl w:val="nil"/>
            </w:tcBorders>
            <w:tcMar>
              <w:left w:w="60" w:type="dxa"/>
              <w:right w:w="60" w:type="dxa"/>
            </w:tcMar>
            <w:vAlign w:val="center"/>
          </w:tcPr>
          <w:p w14:paraId="36157B88"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1 920</w:t>
            </w:r>
          </w:p>
        </w:tc>
        <w:tc>
          <w:tcPr>
            <w:tcW w:w="919" w:type="dxa"/>
            <w:tcBorders>
              <w:top w:val="nil"/>
              <w:left w:val="nil"/>
              <w:bottom w:val="nil"/>
              <w:right w:val="nil"/>
              <w:tl2br w:val="nil"/>
              <w:tr2bl w:val="nil"/>
            </w:tcBorders>
            <w:tcMar>
              <w:left w:w="60" w:type="dxa"/>
              <w:right w:w="60" w:type="dxa"/>
            </w:tcMar>
            <w:vAlign w:val="center"/>
          </w:tcPr>
          <w:p w14:paraId="7130EE83"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3 138</w:t>
            </w:r>
          </w:p>
        </w:tc>
        <w:tc>
          <w:tcPr>
            <w:tcW w:w="1293" w:type="dxa"/>
            <w:tcBorders>
              <w:top w:val="nil"/>
              <w:left w:val="nil"/>
              <w:bottom w:val="nil"/>
              <w:right w:val="nil"/>
              <w:tl2br w:val="nil"/>
              <w:tr2bl w:val="nil"/>
            </w:tcBorders>
            <w:tcMar>
              <w:left w:w="60" w:type="dxa"/>
              <w:right w:w="60" w:type="dxa"/>
            </w:tcMar>
            <w:vAlign w:val="center"/>
          </w:tcPr>
          <w:p w14:paraId="7D3B1D2F"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6 683</w:t>
            </w:r>
          </w:p>
        </w:tc>
      </w:tr>
      <w:tr w:rsidR="00807FFE" w14:paraId="369932E0"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0510C256"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5</w:t>
            </w:r>
          </w:p>
        </w:tc>
        <w:tc>
          <w:tcPr>
            <w:tcW w:w="4712" w:type="dxa"/>
            <w:tcBorders>
              <w:top w:val="nil"/>
              <w:left w:val="nil"/>
              <w:bottom w:val="nil"/>
              <w:right w:val="nil"/>
              <w:tl2br w:val="nil"/>
              <w:tr2bl w:val="nil"/>
            </w:tcBorders>
            <w:tcMar>
              <w:left w:w="60" w:type="dxa"/>
              <w:right w:w="60" w:type="dxa"/>
            </w:tcMar>
            <w:vAlign w:val="center"/>
          </w:tcPr>
          <w:p w14:paraId="6EFC22EC"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Security and Defence</w:t>
            </w:r>
          </w:p>
        </w:tc>
        <w:tc>
          <w:tcPr>
            <w:tcW w:w="919" w:type="dxa"/>
            <w:tcBorders>
              <w:top w:val="nil"/>
              <w:left w:val="nil"/>
              <w:bottom w:val="nil"/>
              <w:right w:val="nil"/>
              <w:tl2br w:val="nil"/>
              <w:tr2bl w:val="nil"/>
            </w:tcBorders>
            <w:tcMar>
              <w:left w:w="60" w:type="dxa"/>
              <w:right w:w="60" w:type="dxa"/>
            </w:tcMar>
            <w:vAlign w:val="center"/>
          </w:tcPr>
          <w:p w14:paraId="59D4B517"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919" w:type="dxa"/>
            <w:tcBorders>
              <w:top w:val="nil"/>
              <w:left w:val="nil"/>
              <w:bottom w:val="nil"/>
              <w:right w:val="nil"/>
              <w:tl2br w:val="nil"/>
              <w:tr2bl w:val="nil"/>
            </w:tcBorders>
            <w:tcMar>
              <w:left w:w="60" w:type="dxa"/>
              <w:right w:w="60" w:type="dxa"/>
            </w:tcMar>
            <w:vAlign w:val="center"/>
          </w:tcPr>
          <w:p w14:paraId="503408D9"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55</w:t>
            </w:r>
          </w:p>
        </w:tc>
        <w:tc>
          <w:tcPr>
            <w:tcW w:w="919" w:type="dxa"/>
            <w:tcBorders>
              <w:top w:val="nil"/>
              <w:left w:val="nil"/>
              <w:bottom w:val="nil"/>
              <w:right w:val="nil"/>
              <w:tl2br w:val="nil"/>
              <w:tr2bl w:val="nil"/>
            </w:tcBorders>
            <w:tcMar>
              <w:left w:w="60" w:type="dxa"/>
              <w:right w:w="60" w:type="dxa"/>
            </w:tcMar>
            <w:vAlign w:val="center"/>
          </w:tcPr>
          <w:p w14:paraId="77445055"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919" w:type="dxa"/>
            <w:tcBorders>
              <w:top w:val="nil"/>
              <w:left w:val="nil"/>
              <w:bottom w:val="nil"/>
              <w:right w:val="nil"/>
              <w:tl2br w:val="nil"/>
              <w:tr2bl w:val="nil"/>
            </w:tcBorders>
            <w:tcMar>
              <w:left w:w="60" w:type="dxa"/>
              <w:right w:w="60" w:type="dxa"/>
            </w:tcMar>
            <w:vAlign w:val="center"/>
          </w:tcPr>
          <w:p w14:paraId="12CAD57A"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125</w:t>
            </w:r>
          </w:p>
        </w:tc>
        <w:tc>
          <w:tcPr>
            <w:tcW w:w="919" w:type="dxa"/>
            <w:tcBorders>
              <w:top w:val="nil"/>
              <w:left w:val="nil"/>
              <w:bottom w:val="nil"/>
              <w:right w:val="nil"/>
              <w:tl2br w:val="nil"/>
              <w:tr2bl w:val="nil"/>
            </w:tcBorders>
            <w:tcMar>
              <w:left w:w="60" w:type="dxa"/>
              <w:right w:w="60" w:type="dxa"/>
            </w:tcMar>
            <w:vAlign w:val="center"/>
          </w:tcPr>
          <w:p w14:paraId="0A6C61E5"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364</w:t>
            </w:r>
          </w:p>
        </w:tc>
        <w:tc>
          <w:tcPr>
            <w:tcW w:w="919" w:type="dxa"/>
            <w:tcBorders>
              <w:top w:val="nil"/>
              <w:left w:val="nil"/>
              <w:bottom w:val="nil"/>
              <w:right w:val="nil"/>
              <w:tl2br w:val="nil"/>
              <w:tr2bl w:val="nil"/>
            </w:tcBorders>
            <w:tcMar>
              <w:left w:w="60" w:type="dxa"/>
              <w:right w:w="60" w:type="dxa"/>
            </w:tcMar>
            <w:vAlign w:val="center"/>
          </w:tcPr>
          <w:p w14:paraId="7AF446FC"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410</w:t>
            </w:r>
          </w:p>
        </w:tc>
        <w:tc>
          <w:tcPr>
            <w:tcW w:w="919" w:type="dxa"/>
            <w:tcBorders>
              <w:top w:val="nil"/>
              <w:left w:val="nil"/>
              <w:bottom w:val="nil"/>
              <w:right w:val="nil"/>
              <w:tl2br w:val="nil"/>
              <w:tr2bl w:val="nil"/>
            </w:tcBorders>
            <w:tcMar>
              <w:left w:w="60" w:type="dxa"/>
              <w:right w:w="60" w:type="dxa"/>
            </w:tcMar>
            <w:vAlign w:val="center"/>
          </w:tcPr>
          <w:p w14:paraId="0854259D"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725</w:t>
            </w:r>
          </w:p>
        </w:tc>
        <w:tc>
          <w:tcPr>
            <w:tcW w:w="991" w:type="dxa"/>
            <w:tcBorders>
              <w:top w:val="nil"/>
              <w:left w:val="nil"/>
              <w:bottom w:val="nil"/>
              <w:right w:val="nil"/>
              <w:tl2br w:val="nil"/>
              <w:tr2bl w:val="nil"/>
            </w:tcBorders>
            <w:tcMar>
              <w:left w:w="60" w:type="dxa"/>
              <w:right w:w="60" w:type="dxa"/>
            </w:tcMar>
            <w:vAlign w:val="center"/>
          </w:tcPr>
          <w:p w14:paraId="1F33B973"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1 367</w:t>
            </w:r>
          </w:p>
        </w:tc>
        <w:tc>
          <w:tcPr>
            <w:tcW w:w="919" w:type="dxa"/>
            <w:tcBorders>
              <w:top w:val="nil"/>
              <w:left w:val="nil"/>
              <w:bottom w:val="nil"/>
              <w:right w:val="nil"/>
              <w:tl2br w:val="nil"/>
              <w:tr2bl w:val="nil"/>
            </w:tcBorders>
            <w:tcMar>
              <w:left w:w="60" w:type="dxa"/>
              <w:right w:w="60" w:type="dxa"/>
            </w:tcMar>
            <w:vAlign w:val="center"/>
          </w:tcPr>
          <w:p w14:paraId="1E5E3A36"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2 089</w:t>
            </w:r>
          </w:p>
        </w:tc>
        <w:tc>
          <w:tcPr>
            <w:tcW w:w="1293" w:type="dxa"/>
            <w:tcBorders>
              <w:top w:val="nil"/>
              <w:left w:val="nil"/>
              <w:bottom w:val="nil"/>
              <w:right w:val="nil"/>
              <w:tl2br w:val="nil"/>
              <w:tr2bl w:val="nil"/>
            </w:tcBorders>
            <w:tcMar>
              <w:left w:w="60" w:type="dxa"/>
              <w:right w:w="60" w:type="dxa"/>
            </w:tcMar>
            <w:vAlign w:val="center"/>
          </w:tcPr>
          <w:p w14:paraId="1FEBDD65"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5 239</w:t>
            </w:r>
          </w:p>
        </w:tc>
      </w:tr>
      <w:tr w:rsidR="00807FFE" w14:paraId="41BB2660"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2E418448"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6</w:t>
            </w:r>
          </w:p>
        </w:tc>
        <w:tc>
          <w:tcPr>
            <w:tcW w:w="4712" w:type="dxa"/>
            <w:tcBorders>
              <w:top w:val="nil"/>
              <w:left w:val="nil"/>
              <w:bottom w:val="nil"/>
              <w:right w:val="nil"/>
              <w:tl2br w:val="nil"/>
              <w:tr2bl w:val="nil"/>
            </w:tcBorders>
            <w:tcMar>
              <w:left w:w="60" w:type="dxa"/>
              <w:right w:w="60" w:type="dxa"/>
            </w:tcMar>
            <w:vAlign w:val="center"/>
          </w:tcPr>
          <w:p w14:paraId="227C8DE2"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Neighbourhood and the World</w:t>
            </w:r>
          </w:p>
        </w:tc>
        <w:tc>
          <w:tcPr>
            <w:tcW w:w="919" w:type="dxa"/>
            <w:tcBorders>
              <w:top w:val="nil"/>
              <w:left w:val="nil"/>
              <w:bottom w:val="nil"/>
              <w:right w:val="nil"/>
              <w:tl2br w:val="nil"/>
              <w:tr2bl w:val="nil"/>
            </w:tcBorders>
            <w:tcMar>
              <w:left w:w="60" w:type="dxa"/>
              <w:right w:w="60" w:type="dxa"/>
            </w:tcMar>
            <w:vAlign w:val="center"/>
          </w:tcPr>
          <w:p w14:paraId="1F5BD4C5"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1 032</w:t>
            </w:r>
          </w:p>
        </w:tc>
        <w:tc>
          <w:tcPr>
            <w:tcW w:w="919" w:type="dxa"/>
            <w:tcBorders>
              <w:top w:val="nil"/>
              <w:left w:val="nil"/>
              <w:bottom w:val="nil"/>
              <w:right w:val="nil"/>
              <w:tl2br w:val="nil"/>
              <w:tr2bl w:val="nil"/>
            </w:tcBorders>
            <w:tcMar>
              <w:left w:w="60" w:type="dxa"/>
              <w:right w:w="60" w:type="dxa"/>
            </w:tcMar>
            <w:vAlign w:val="center"/>
          </w:tcPr>
          <w:p w14:paraId="20FE4FDA"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943</w:t>
            </w:r>
          </w:p>
        </w:tc>
        <w:tc>
          <w:tcPr>
            <w:tcW w:w="919" w:type="dxa"/>
            <w:tcBorders>
              <w:top w:val="nil"/>
              <w:left w:val="nil"/>
              <w:bottom w:val="nil"/>
              <w:right w:val="nil"/>
              <w:tl2br w:val="nil"/>
              <w:tr2bl w:val="nil"/>
            </w:tcBorders>
            <w:tcMar>
              <w:left w:w="60" w:type="dxa"/>
              <w:right w:w="60" w:type="dxa"/>
            </w:tcMar>
            <w:vAlign w:val="center"/>
          </w:tcPr>
          <w:p w14:paraId="574A2035"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1 047</w:t>
            </w:r>
          </w:p>
        </w:tc>
        <w:tc>
          <w:tcPr>
            <w:tcW w:w="919" w:type="dxa"/>
            <w:tcBorders>
              <w:top w:val="nil"/>
              <w:left w:val="nil"/>
              <w:bottom w:val="nil"/>
              <w:right w:val="nil"/>
              <w:tl2br w:val="nil"/>
              <w:tr2bl w:val="nil"/>
            </w:tcBorders>
            <w:tcMar>
              <w:left w:w="60" w:type="dxa"/>
              <w:right w:w="60" w:type="dxa"/>
            </w:tcMar>
            <w:vAlign w:val="center"/>
          </w:tcPr>
          <w:p w14:paraId="51C26C11"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1 370</w:t>
            </w:r>
          </w:p>
        </w:tc>
        <w:tc>
          <w:tcPr>
            <w:tcW w:w="919" w:type="dxa"/>
            <w:tcBorders>
              <w:top w:val="nil"/>
              <w:left w:val="nil"/>
              <w:bottom w:val="nil"/>
              <w:right w:val="nil"/>
              <w:tl2br w:val="nil"/>
              <w:tr2bl w:val="nil"/>
            </w:tcBorders>
            <w:tcMar>
              <w:left w:w="60" w:type="dxa"/>
              <w:right w:w="60" w:type="dxa"/>
            </w:tcMar>
            <w:vAlign w:val="center"/>
          </w:tcPr>
          <w:p w14:paraId="2AB8A7B6"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2 908</w:t>
            </w:r>
          </w:p>
        </w:tc>
        <w:tc>
          <w:tcPr>
            <w:tcW w:w="919" w:type="dxa"/>
            <w:tcBorders>
              <w:top w:val="nil"/>
              <w:left w:val="nil"/>
              <w:bottom w:val="nil"/>
              <w:right w:val="nil"/>
              <w:tl2br w:val="nil"/>
              <w:tr2bl w:val="nil"/>
            </w:tcBorders>
            <w:tcMar>
              <w:left w:w="60" w:type="dxa"/>
              <w:right w:w="60" w:type="dxa"/>
            </w:tcMar>
            <w:vAlign w:val="center"/>
          </w:tcPr>
          <w:p w14:paraId="0906BB4D"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6 392</w:t>
            </w:r>
          </w:p>
        </w:tc>
        <w:tc>
          <w:tcPr>
            <w:tcW w:w="919" w:type="dxa"/>
            <w:tcBorders>
              <w:top w:val="nil"/>
              <w:left w:val="nil"/>
              <w:bottom w:val="nil"/>
              <w:right w:val="nil"/>
              <w:tl2br w:val="nil"/>
              <w:tr2bl w:val="nil"/>
            </w:tcBorders>
            <w:tcMar>
              <w:left w:w="60" w:type="dxa"/>
              <w:right w:w="60" w:type="dxa"/>
            </w:tcMar>
            <w:vAlign w:val="center"/>
          </w:tcPr>
          <w:p w14:paraId="624C25B4"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7 312</w:t>
            </w:r>
          </w:p>
        </w:tc>
        <w:tc>
          <w:tcPr>
            <w:tcW w:w="991" w:type="dxa"/>
            <w:tcBorders>
              <w:top w:val="nil"/>
              <w:left w:val="nil"/>
              <w:bottom w:val="nil"/>
              <w:right w:val="nil"/>
              <w:tl2br w:val="nil"/>
              <w:tr2bl w:val="nil"/>
            </w:tcBorders>
            <w:tcMar>
              <w:left w:w="60" w:type="dxa"/>
              <w:right w:w="60" w:type="dxa"/>
            </w:tcMar>
            <w:vAlign w:val="center"/>
          </w:tcPr>
          <w:p w14:paraId="1E4F5517"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10 589</w:t>
            </w:r>
          </w:p>
        </w:tc>
        <w:tc>
          <w:tcPr>
            <w:tcW w:w="919" w:type="dxa"/>
            <w:tcBorders>
              <w:top w:val="nil"/>
              <w:left w:val="nil"/>
              <w:bottom w:val="nil"/>
              <w:right w:val="nil"/>
              <w:tl2br w:val="nil"/>
              <w:tr2bl w:val="nil"/>
            </w:tcBorders>
            <w:tcMar>
              <w:left w:w="60" w:type="dxa"/>
              <w:right w:w="60" w:type="dxa"/>
            </w:tcMar>
            <w:vAlign w:val="center"/>
          </w:tcPr>
          <w:p w14:paraId="64802001"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12 534</w:t>
            </w:r>
          </w:p>
        </w:tc>
        <w:tc>
          <w:tcPr>
            <w:tcW w:w="1293" w:type="dxa"/>
            <w:tcBorders>
              <w:top w:val="nil"/>
              <w:left w:val="nil"/>
              <w:bottom w:val="nil"/>
              <w:right w:val="nil"/>
              <w:tl2br w:val="nil"/>
              <w:tr2bl w:val="nil"/>
            </w:tcBorders>
            <w:tcMar>
              <w:left w:w="60" w:type="dxa"/>
              <w:right w:w="60" w:type="dxa"/>
            </w:tcMar>
            <w:vAlign w:val="center"/>
          </w:tcPr>
          <w:p w14:paraId="2258BF99"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44 129</w:t>
            </w:r>
          </w:p>
        </w:tc>
      </w:tr>
      <w:tr w:rsidR="00807FFE" w14:paraId="43732BCD"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43BC09E4"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7</w:t>
            </w:r>
          </w:p>
        </w:tc>
        <w:tc>
          <w:tcPr>
            <w:tcW w:w="4712" w:type="dxa"/>
            <w:tcBorders>
              <w:top w:val="nil"/>
              <w:left w:val="nil"/>
              <w:bottom w:val="nil"/>
              <w:right w:val="nil"/>
              <w:tl2br w:val="nil"/>
              <w:tr2bl w:val="nil"/>
            </w:tcBorders>
            <w:tcMar>
              <w:left w:w="60" w:type="dxa"/>
              <w:right w:w="60" w:type="dxa"/>
            </w:tcMar>
            <w:vAlign w:val="center"/>
          </w:tcPr>
          <w:p w14:paraId="1FD44194"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European Public Administration</w:t>
            </w:r>
          </w:p>
        </w:tc>
        <w:tc>
          <w:tcPr>
            <w:tcW w:w="919" w:type="dxa"/>
            <w:tcBorders>
              <w:top w:val="nil"/>
              <w:left w:val="nil"/>
              <w:bottom w:val="nil"/>
              <w:right w:val="nil"/>
              <w:tl2br w:val="nil"/>
              <w:tr2bl w:val="nil"/>
            </w:tcBorders>
            <w:tcMar>
              <w:left w:w="60" w:type="dxa"/>
              <w:right w:w="60" w:type="dxa"/>
            </w:tcMar>
            <w:vAlign w:val="center"/>
          </w:tcPr>
          <w:p w14:paraId="2CE484C3"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55C5F6F1"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269F6E0B"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4D4D6474"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2D13826B"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607F1943"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06F909BE"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91" w:type="dxa"/>
            <w:tcBorders>
              <w:top w:val="nil"/>
              <w:left w:val="nil"/>
              <w:bottom w:val="nil"/>
              <w:right w:val="nil"/>
              <w:tl2br w:val="nil"/>
              <w:tr2bl w:val="nil"/>
            </w:tcBorders>
            <w:tcMar>
              <w:left w:w="60" w:type="dxa"/>
              <w:right w:w="60" w:type="dxa"/>
            </w:tcMar>
            <w:vAlign w:val="center"/>
          </w:tcPr>
          <w:p w14:paraId="1AF76ECE"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919" w:type="dxa"/>
            <w:tcBorders>
              <w:top w:val="nil"/>
              <w:left w:val="nil"/>
              <w:bottom w:val="nil"/>
              <w:right w:val="nil"/>
              <w:tl2br w:val="nil"/>
              <w:tr2bl w:val="nil"/>
            </w:tcBorders>
            <w:tcMar>
              <w:left w:w="60" w:type="dxa"/>
              <w:right w:w="60" w:type="dxa"/>
            </w:tcMar>
            <w:vAlign w:val="center"/>
          </w:tcPr>
          <w:p w14:paraId="216291D4"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1 083</w:t>
            </w:r>
          </w:p>
        </w:tc>
        <w:tc>
          <w:tcPr>
            <w:tcW w:w="1293" w:type="dxa"/>
            <w:tcBorders>
              <w:top w:val="nil"/>
              <w:left w:val="nil"/>
              <w:bottom w:val="nil"/>
              <w:right w:val="nil"/>
              <w:tl2br w:val="nil"/>
              <w:tr2bl w:val="nil"/>
            </w:tcBorders>
            <w:tcMar>
              <w:left w:w="60" w:type="dxa"/>
              <w:right w:w="60" w:type="dxa"/>
            </w:tcMar>
            <w:vAlign w:val="center"/>
          </w:tcPr>
          <w:p w14:paraId="5D81464F"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1 134</w:t>
            </w:r>
          </w:p>
        </w:tc>
      </w:tr>
      <w:tr w:rsidR="00807FFE" w14:paraId="57ED11D0"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34642EEA"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O</w:t>
            </w:r>
          </w:p>
        </w:tc>
        <w:tc>
          <w:tcPr>
            <w:tcW w:w="4712" w:type="dxa"/>
            <w:tcBorders>
              <w:top w:val="nil"/>
              <w:left w:val="nil"/>
              <w:bottom w:val="nil"/>
              <w:right w:val="nil"/>
              <w:tl2br w:val="nil"/>
              <w:tr2bl w:val="nil"/>
            </w:tcBorders>
            <w:tcMar>
              <w:left w:w="60" w:type="dxa"/>
              <w:right w:w="60" w:type="dxa"/>
            </w:tcMar>
            <w:vAlign w:val="center"/>
          </w:tcPr>
          <w:p w14:paraId="02689FE0"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Outside MFF</w:t>
            </w:r>
          </w:p>
        </w:tc>
        <w:tc>
          <w:tcPr>
            <w:tcW w:w="919" w:type="dxa"/>
            <w:tcBorders>
              <w:top w:val="nil"/>
              <w:left w:val="nil"/>
              <w:bottom w:val="nil"/>
              <w:right w:val="nil"/>
              <w:tl2br w:val="nil"/>
              <w:tr2bl w:val="nil"/>
            </w:tcBorders>
            <w:tcMar>
              <w:left w:w="60" w:type="dxa"/>
              <w:right w:w="60" w:type="dxa"/>
            </w:tcMar>
            <w:vAlign w:val="center"/>
          </w:tcPr>
          <w:p w14:paraId="02CA1830"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1E0EABAE"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33DCEC34"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3D5E495A"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6530DFF4"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1F0C80D0"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3DB677FD" w14:textId="77777777" w:rsidR="00807FFE" w:rsidRDefault="00807FFE">
            <w:pPr>
              <w:pStyle w:val="DMETW36742BIPMFF5RALYoO"/>
              <w:jc w:val="right"/>
              <w:rPr>
                <w:rFonts w:ascii="Verdana" w:eastAsia="Verdana" w:hAnsi="Verdana" w:cs="Verdana"/>
                <w:noProof/>
                <w:color w:val="000000"/>
                <w:sz w:val="16"/>
              </w:rPr>
            </w:pPr>
          </w:p>
        </w:tc>
        <w:tc>
          <w:tcPr>
            <w:tcW w:w="991" w:type="dxa"/>
            <w:tcBorders>
              <w:top w:val="nil"/>
              <w:left w:val="nil"/>
              <w:bottom w:val="nil"/>
              <w:right w:val="nil"/>
              <w:tl2br w:val="nil"/>
              <w:tr2bl w:val="nil"/>
            </w:tcBorders>
            <w:tcMar>
              <w:left w:w="60" w:type="dxa"/>
              <w:right w:w="60" w:type="dxa"/>
            </w:tcMar>
            <w:vAlign w:val="center"/>
          </w:tcPr>
          <w:p w14:paraId="1C26093E"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8 287</w:t>
            </w:r>
          </w:p>
        </w:tc>
        <w:tc>
          <w:tcPr>
            <w:tcW w:w="919" w:type="dxa"/>
            <w:tcBorders>
              <w:top w:val="nil"/>
              <w:left w:val="nil"/>
              <w:bottom w:val="nil"/>
              <w:right w:val="nil"/>
              <w:tl2br w:val="nil"/>
              <w:tr2bl w:val="nil"/>
            </w:tcBorders>
            <w:tcMar>
              <w:left w:w="60" w:type="dxa"/>
              <w:right w:w="60" w:type="dxa"/>
            </w:tcMar>
            <w:vAlign w:val="center"/>
          </w:tcPr>
          <w:p w14:paraId="7A3D4B50"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3 291</w:t>
            </w:r>
          </w:p>
        </w:tc>
        <w:tc>
          <w:tcPr>
            <w:tcW w:w="1293" w:type="dxa"/>
            <w:tcBorders>
              <w:top w:val="nil"/>
              <w:left w:val="nil"/>
              <w:bottom w:val="nil"/>
              <w:right w:val="nil"/>
              <w:tl2br w:val="nil"/>
              <w:tr2bl w:val="nil"/>
            </w:tcBorders>
            <w:tcMar>
              <w:left w:w="60" w:type="dxa"/>
              <w:right w:w="60" w:type="dxa"/>
            </w:tcMar>
            <w:vAlign w:val="center"/>
          </w:tcPr>
          <w:p w14:paraId="1C7F3A52"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11 578</w:t>
            </w:r>
          </w:p>
        </w:tc>
      </w:tr>
      <w:tr w:rsidR="00807FFE" w14:paraId="06252F27" w14:textId="77777777">
        <w:trPr>
          <w:cantSplit/>
          <w:trHeight w:val="255"/>
        </w:trPr>
        <w:tc>
          <w:tcPr>
            <w:tcW w:w="344" w:type="dxa"/>
            <w:tcBorders>
              <w:top w:val="nil"/>
              <w:left w:val="nil"/>
              <w:bottom w:val="nil"/>
              <w:right w:val="nil"/>
              <w:tl2br w:val="nil"/>
              <w:tr2bl w:val="nil"/>
            </w:tcBorders>
            <w:tcMar>
              <w:left w:w="60" w:type="dxa"/>
              <w:right w:w="60" w:type="dxa"/>
            </w:tcMar>
            <w:vAlign w:val="center"/>
          </w:tcPr>
          <w:p w14:paraId="3CD130FA"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S</w:t>
            </w:r>
          </w:p>
        </w:tc>
        <w:tc>
          <w:tcPr>
            <w:tcW w:w="4712" w:type="dxa"/>
            <w:tcBorders>
              <w:top w:val="nil"/>
              <w:left w:val="nil"/>
              <w:bottom w:val="nil"/>
              <w:right w:val="nil"/>
              <w:tl2br w:val="nil"/>
              <w:tr2bl w:val="nil"/>
            </w:tcBorders>
            <w:tcMar>
              <w:left w:w="60" w:type="dxa"/>
              <w:right w:w="60" w:type="dxa"/>
            </w:tcMar>
            <w:vAlign w:val="center"/>
          </w:tcPr>
          <w:p w14:paraId="4050CD8C" w14:textId="77777777" w:rsidR="00807FFE" w:rsidRDefault="00023E71">
            <w:pPr>
              <w:pStyle w:val="DMETW36742BIPMFF5RALYoO"/>
              <w:rPr>
                <w:rFonts w:ascii="Verdana" w:eastAsia="Verdana" w:hAnsi="Verdana" w:cs="Verdana"/>
                <w:noProof/>
                <w:color w:val="000000"/>
                <w:sz w:val="16"/>
              </w:rPr>
            </w:pPr>
            <w:r>
              <w:rPr>
                <w:rFonts w:ascii="Verdana" w:eastAsia="Verdana" w:hAnsi="Verdana" w:cs="Verdana"/>
                <w:noProof/>
                <w:color w:val="000000"/>
                <w:sz w:val="16"/>
              </w:rPr>
              <w:t>Solidarity mechanisms within and outside the Union (Special instruments)</w:t>
            </w:r>
          </w:p>
        </w:tc>
        <w:tc>
          <w:tcPr>
            <w:tcW w:w="919" w:type="dxa"/>
            <w:tcBorders>
              <w:top w:val="nil"/>
              <w:left w:val="nil"/>
              <w:bottom w:val="nil"/>
              <w:right w:val="nil"/>
              <w:tl2br w:val="nil"/>
              <w:tr2bl w:val="nil"/>
            </w:tcBorders>
            <w:tcMar>
              <w:left w:w="60" w:type="dxa"/>
              <w:right w:w="60" w:type="dxa"/>
            </w:tcMar>
            <w:vAlign w:val="center"/>
          </w:tcPr>
          <w:p w14:paraId="76EA4ED2"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15DEBBC3"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1CD5E9DB"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55792B02"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2473CB43"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09499386" w14:textId="77777777" w:rsidR="00807FFE" w:rsidRDefault="00807FFE">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14:paraId="66AD2869"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1" w:type="dxa"/>
            <w:tcBorders>
              <w:top w:val="nil"/>
              <w:left w:val="nil"/>
              <w:bottom w:val="nil"/>
              <w:right w:val="nil"/>
              <w:tl2br w:val="nil"/>
              <w:tr2bl w:val="nil"/>
            </w:tcBorders>
            <w:tcMar>
              <w:left w:w="60" w:type="dxa"/>
              <w:right w:w="60" w:type="dxa"/>
            </w:tcMar>
            <w:vAlign w:val="center"/>
          </w:tcPr>
          <w:p w14:paraId="1BF42ED8"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19" w:type="dxa"/>
            <w:tcBorders>
              <w:top w:val="nil"/>
              <w:left w:val="nil"/>
              <w:bottom w:val="nil"/>
              <w:right w:val="nil"/>
              <w:tl2br w:val="nil"/>
              <w:tr2bl w:val="nil"/>
            </w:tcBorders>
            <w:tcMar>
              <w:left w:w="60" w:type="dxa"/>
              <w:right w:w="60" w:type="dxa"/>
            </w:tcMar>
            <w:vAlign w:val="center"/>
          </w:tcPr>
          <w:p w14:paraId="01B5E120" w14:textId="77777777" w:rsidR="00807FFE" w:rsidRDefault="00023E71">
            <w:pPr>
              <w:pStyle w:val="DMETW36742BIPMFF5RALYoO"/>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1293" w:type="dxa"/>
            <w:tcBorders>
              <w:top w:val="nil"/>
              <w:left w:val="nil"/>
              <w:bottom w:val="nil"/>
              <w:right w:val="nil"/>
              <w:tl2br w:val="nil"/>
              <w:tr2bl w:val="nil"/>
            </w:tcBorders>
            <w:tcMar>
              <w:left w:w="60" w:type="dxa"/>
              <w:right w:w="60" w:type="dxa"/>
            </w:tcMar>
            <w:vAlign w:val="center"/>
          </w:tcPr>
          <w:p w14:paraId="398A3522" w14:textId="77777777" w:rsidR="00807FFE" w:rsidRDefault="00023E71">
            <w:pPr>
              <w:pStyle w:val="DMETW36742BIP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71</w:t>
            </w:r>
          </w:p>
        </w:tc>
      </w:tr>
      <w:tr w:rsidR="00807FFE" w14:paraId="129B11A8" w14:textId="77777777">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14:paraId="5B8E8E75" w14:textId="77777777" w:rsidR="00807FFE" w:rsidRDefault="00807FFE">
            <w:pPr>
              <w:pStyle w:val="DMETW36742BIPMFF5RALYoO"/>
              <w:rPr>
                <w:rFonts w:ascii="Verdana" w:eastAsia="Verdana" w:hAnsi="Verdana" w:cs="Verdana"/>
                <w:b/>
                <w:noProof/>
                <w:color w:val="000000"/>
                <w:sz w:val="16"/>
              </w:rPr>
            </w:pPr>
          </w:p>
        </w:tc>
        <w:tc>
          <w:tcPr>
            <w:tcW w:w="4712" w:type="dxa"/>
            <w:tcBorders>
              <w:top w:val="nil"/>
              <w:left w:val="nil"/>
              <w:bottom w:val="nil"/>
              <w:right w:val="nil"/>
              <w:tl2br w:val="nil"/>
              <w:tr2bl w:val="nil"/>
            </w:tcBorders>
            <w:shd w:val="solid" w:color="CCE1EA" w:fill="FFFFFF"/>
            <w:tcMar>
              <w:left w:w="60" w:type="dxa"/>
              <w:right w:w="60" w:type="dxa"/>
            </w:tcMar>
            <w:vAlign w:val="center"/>
          </w:tcPr>
          <w:p w14:paraId="06FC0D8D" w14:textId="77777777" w:rsidR="00807FFE" w:rsidRDefault="00023E71">
            <w:pPr>
              <w:pStyle w:val="DMETW36742BIPMFF5RALYoO"/>
              <w:rPr>
                <w:rFonts w:ascii="Verdana" w:eastAsia="Verdana" w:hAnsi="Verdana" w:cs="Verdana"/>
                <w:b/>
                <w:noProof/>
                <w:color w:val="000000"/>
                <w:sz w:val="16"/>
              </w:rPr>
            </w:pPr>
            <w:r>
              <w:rPr>
                <w:rFonts w:ascii="Verdana" w:eastAsia="Verdana" w:hAnsi="Verdana" w:cs="Verdana"/>
                <w:b/>
                <w:noProof/>
                <w:color w:val="000000"/>
                <w:sz w:val="16"/>
              </w:rPr>
              <w:t>Total</w:t>
            </w:r>
          </w:p>
        </w:tc>
        <w:tc>
          <w:tcPr>
            <w:tcW w:w="919" w:type="dxa"/>
            <w:tcBorders>
              <w:top w:val="nil"/>
              <w:left w:val="nil"/>
              <w:bottom w:val="nil"/>
              <w:right w:val="nil"/>
              <w:tl2br w:val="nil"/>
              <w:tr2bl w:val="nil"/>
            </w:tcBorders>
            <w:shd w:val="solid" w:color="CCE1EA" w:fill="FFFFFF"/>
            <w:tcMar>
              <w:left w:w="60" w:type="dxa"/>
              <w:right w:w="60" w:type="dxa"/>
            </w:tcMar>
            <w:vAlign w:val="center"/>
          </w:tcPr>
          <w:p w14:paraId="0EA0950B"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5 623</w:t>
            </w:r>
          </w:p>
        </w:tc>
        <w:tc>
          <w:tcPr>
            <w:tcW w:w="919" w:type="dxa"/>
            <w:tcBorders>
              <w:top w:val="nil"/>
              <w:left w:val="nil"/>
              <w:bottom w:val="nil"/>
              <w:right w:val="nil"/>
              <w:tl2br w:val="nil"/>
              <w:tr2bl w:val="nil"/>
            </w:tcBorders>
            <w:shd w:val="solid" w:color="CCE1EA" w:fill="FFFFFF"/>
            <w:tcMar>
              <w:left w:w="60" w:type="dxa"/>
              <w:right w:w="60" w:type="dxa"/>
            </w:tcMar>
            <w:vAlign w:val="center"/>
          </w:tcPr>
          <w:p w14:paraId="41829107"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2 588</w:t>
            </w:r>
          </w:p>
        </w:tc>
        <w:tc>
          <w:tcPr>
            <w:tcW w:w="919" w:type="dxa"/>
            <w:tcBorders>
              <w:top w:val="nil"/>
              <w:left w:val="nil"/>
              <w:bottom w:val="nil"/>
              <w:right w:val="nil"/>
              <w:tl2br w:val="nil"/>
              <w:tr2bl w:val="nil"/>
            </w:tcBorders>
            <w:shd w:val="solid" w:color="CCE1EA" w:fill="FFFFFF"/>
            <w:tcMar>
              <w:left w:w="60" w:type="dxa"/>
              <w:right w:w="60" w:type="dxa"/>
            </w:tcMar>
            <w:vAlign w:val="center"/>
          </w:tcPr>
          <w:p w14:paraId="49027EB4"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4 086</w:t>
            </w:r>
          </w:p>
        </w:tc>
        <w:tc>
          <w:tcPr>
            <w:tcW w:w="919" w:type="dxa"/>
            <w:tcBorders>
              <w:top w:val="nil"/>
              <w:left w:val="nil"/>
              <w:bottom w:val="nil"/>
              <w:right w:val="nil"/>
              <w:tl2br w:val="nil"/>
              <w:tr2bl w:val="nil"/>
            </w:tcBorders>
            <w:shd w:val="solid" w:color="CCE1EA" w:fill="FFFFFF"/>
            <w:tcMar>
              <w:left w:w="60" w:type="dxa"/>
              <w:right w:w="60" w:type="dxa"/>
            </w:tcMar>
            <w:vAlign w:val="center"/>
          </w:tcPr>
          <w:p w14:paraId="7FC38BF7"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6 605</w:t>
            </w:r>
          </w:p>
        </w:tc>
        <w:tc>
          <w:tcPr>
            <w:tcW w:w="919" w:type="dxa"/>
            <w:tcBorders>
              <w:top w:val="nil"/>
              <w:left w:val="nil"/>
              <w:bottom w:val="nil"/>
              <w:right w:val="nil"/>
              <w:tl2br w:val="nil"/>
              <w:tr2bl w:val="nil"/>
            </w:tcBorders>
            <w:shd w:val="solid" w:color="CCE1EA" w:fill="FFFFFF"/>
            <w:tcMar>
              <w:left w:w="60" w:type="dxa"/>
              <w:right w:w="60" w:type="dxa"/>
            </w:tcMar>
            <w:vAlign w:val="center"/>
          </w:tcPr>
          <w:p w14:paraId="0BDD7500"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7 265</w:t>
            </w:r>
          </w:p>
        </w:tc>
        <w:tc>
          <w:tcPr>
            <w:tcW w:w="919" w:type="dxa"/>
            <w:tcBorders>
              <w:top w:val="nil"/>
              <w:left w:val="nil"/>
              <w:bottom w:val="nil"/>
              <w:right w:val="nil"/>
              <w:tl2br w:val="nil"/>
              <w:tr2bl w:val="nil"/>
            </w:tcBorders>
            <w:shd w:val="solid" w:color="CCE1EA" w:fill="FFFFFF"/>
            <w:tcMar>
              <w:left w:w="60" w:type="dxa"/>
              <w:right w:w="60" w:type="dxa"/>
            </w:tcMar>
            <w:vAlign w:val="center"/>
          </w:tcPr>
          <w:p w14:paraId="49DE34A0"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28 101</w:t>
            </w:r>
          </w:p>
        </w:tc>
        <w:tc>
          <w:tcPr>
            <w:tcW w:w="919" w:type="dxa"/>
            <w:tcBorders>
              <w:top w:val="nil"/>
              <w:left w:val="nil"/>
              <w:bottom w:val="nil"/>
              <w:right w:val="nil"/>
              <w:tl2br w:val="nil"/>
              <w:tr2bl w:val="nil"/>
            </w:tcBorders>
            <w:shd w:val="solid" w:color="CCE1EA" w:fill="FFFFFF"/>
            <w:tcMar>
              <w:left w:w="60" w:type="dxa"/>
              <w:right w:w="60" w:type="dxa"/>
            </w:tcMar>
            <w:vAlign w:val="center"/>
          </w:tcPr>
          <w:p w14:paraId="6C95BDBB"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71 232</w:t>
            </w:r>
          </w:p>
        </w:tc>
        <w:tc>
          <w:tcPr>
            <w:tcW w:w="991" w:type="dxa"/>
            <w:tcBorders>
              <w:top w:val="nil"/>
              <w:left w:val="nil"/>
              <w:bottom w:val="nil"/>
              <w:right w:val="nil"/>
              <w:tl2br w:val="nil"/>
              <w:tr2bl w:val="nil"/>
            </w:tcBorders>
            <w:shd w:val="solid" w:color="CCE1EA" w:fill="FFFFFF"/>
            <w:tcMar>
              <w:left w:w="60" w:type="dxa"/>
              <w:right w:w="60" w:type="dxa"/>
            </w:tcMar>
            <w:vAlign w:val="center"/>
          </w:tcPr>
          <w:p w14:paraId="479CA672"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247 636</w:t>
            </w:r>
          </w:p>
        </w:tc>
        <w:tc>
          <w:tcPr>
            <w:tcW w:w="919" w:type="dxa"/>
            <w:tcBorders>
              <w:top w:val="nil"/>
              <w:left w:val="nil"/>
              <w:bottom w:val="nil"/>
              <w:right w:val="nil"/>
              <w:tl2br w:val="nil"/>
              <w:tr2bl w:val="nil"/>
            </w:tcBorders>
            <w:shd w:val="solid" w:color="CCE1EA" w:fill="FFFFFF"/>
            <w:tcMar>
              <w:left w:w="60" w:type="dxa"/>
              <w:right w:w="60" w:type="dxa"/>
            </w:tcMar>
            <w:vAlign w:val="center"/>
          </w:tcPr>
          <w:p w14:paraId="5FAA3276"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127 948</w:t>
            </w:r>
          </w:p>
        </w:tc>
        <w:tc>
          <w:tcPr>
            <w:tcW w:w="1293" w:type="dxa"/>
            <w:tcBorders>
              <w:top w:val="nil"/>
              <w:left w:val="nil"/>
              <w:bottom w:val="nil"/>
              <w:right w:val="nil"/>
              <w:tl2br w:val="nil"/>
              <w:tr2bl w:val="nil"/>
            </w:tcBorders>
            <w:shd w:val="solid" w:color="CCE1EA" w:fill="FFFFFF"/>
            <w:tcMar>
              <w:left w:w="60" w:type="dxa"/>
              <w:right w:w="60" w:type="dxa"/>
            </w:tcMar>
            <w:vAlign w:val="center"/>
          </w:tcPr>
          <w:p w14:paraId="1F5ECAE9" w14:textId="77777777" w:rsidR="00807FFE" w:rsidRDefault="00023E71">
            <w:pPr>
              <w:pStyle w:val="DMETW36742BIPMFF5RALYoO"/>
              <w:jc w:val="right"/>
              <w:rPr>
                <w:rFonts w:ascii="Verdana" w:eastAsia="Verdana" w:hAnsi="Verdana" w:cs="Verdana"/>
                <w:b/>
                <w:noProof/>
                <w:color w:val="000000"/>
                <w:sz w:val="16"/>
              </w:rPr>
            </w:pPr>
            <w:r>
              <w:rPr>
                <w:rFonts w:ascii="Verdana" w:eastAsia="Verdana" w:hAnsi="Verdana" w:cs="Verdana"/>
                <w:b/>
                <w:noProof/>
                <w:color w:val="000000"/>
                <w:sz w:val="16"/>
              </w:rPr>
              <w:t>501 084</w:t>
            </w:r>
          </w:p>
        </w:tc>
      </w:tr>
    </w:tbl>
    <w:p w14:paraId="620118AB" w14:textId="77777777" w:rsidR="008C5342" w:rsidRDefault="008C5342" w:rsidP="008C5342">
      <w:pPr>
        <w:pStyle w:val="Textstand-alone"/>
      </w:pPr>
    </w:p>
    <w:p w14:paraId="5F1C52A1" w14:textId="77777777" w:rsidR="006C0EBF" w:rsidRDefault="006C0EBF" w:rsidP="008C5342">
      <w:pPr>
        <w:pStyle w:val="Textstand-alone"/>
      </w:pPr>
    </w:p>
    <w:p w14:paraId="5C9AC3A7" w14:textId="77777777" w:rsidR="006C0EBF" w:rsidRDefault="006C0EBF" w:rsidP="008C5342">
      <w:pPr>
        <w:pStyle w:val="Textstand-alone"/>
      </w:pPr>
    </w:p>
    <w:p w14:paraId="3850BD5A" w14:textId="77777777" w:rsidR="006C0EBF" w:rsidRDefault="006C0EBF" w:rsidP="008C5342">
      <w:pPr>
        <w:pStyle w:val="Textstand-alone"/>
      </w:pPr>
    </w:p>
    <w:p w14:paraId="0C7CFDD1" w14:textId="77777777" w:rsidR="009761F1" w:rsidRPr="009761F1" w:rsidRDefault="009761F1" w:rsidP="009761F1">
      <w:pPr>
        <w:pStyle w:val="Textstand-alone"/>
        <w:rPr>
          <w:rFonts w:cstheme="minorHAnsi"/>
          <w:sz w:val="16"/>
          <w:szCs w:val="20"/>
        </w:rPr>
      </w:pPr>
    </w:p>
    <w:p w14:paraId="3221DF6B" w14:textId="77777777" w:rsidR="00225429" w:rsidRDefault="00225429" w:rsidP="005A39F1">
      <w:pPr>
        <w:pStyle w:val="Textstand-alone"/>
      </w:pPr>
    </w:p>
    <w:p w14:paraId="5884D0F4" w14:textId="77777777" w:rsidR="008C5342" w:rsidRPr="002217B5" w:rsidRDefault="008C5342" w:rsidP="008C5342">
      <w:pPr>
        <w:pStyle w:val="Textstand-alone"/>
        <w:sectPr w:rsidR="008C5342" w:rsidRPr="002217B5">
          <w:headerReference w:type="default" r:id="rId174"/>
          <w:footerReference w:type="default" r:id="rId175"/>
          <w:type w:val="nextColumn"/>
          <w:pgSz w:w="16840" w:h="11900" w:orient="landscape"/>
          <w:pgMar w:top="1134" w:right="1134" w:bottom="1134" w:left="1134" w:header="720" w:footer="720" w:gutter="0"/>
          <w:cols w:space="720"/>
          <w:docGrid w:linePitch="272"/>
        </w:sectPr>
      </w:pPr>
    </w:p>
    <w:p w14:paraId="7A510C9C" w14:textId="77777777" w:rsidR="008C5342" w:rsidRPr="00DE2D86" w:rsidRDefault="00023E71" w:rsidP="00B72470">
      <w:pPr>
        <w:pStyle w:val="HEADER2PartBUDG"/>
        <w:spacing w:before="120" w:after="0"/>
        <w:ind w:left="357" w:hanging="357"/>
        <w:rPr>
          <w:noProof/>
          <w:lang w:val="en-GB"/>
        </w:rPr>
      </w:pPr>
      <w:bookmarkStart w:id="305" w:name="_Toc232674395"/>
      <w:r>
        <w:rPr>
          <w:noProof/>
          <w:lang w:val="en-GB"/>
        </w:rPr>
        <w:t>DETAILED MFF: BREAKDOWN AND CHANGES IN COMMITMENT AND</w:t>
      </w:r>
      <w:r w:rsidR="00BB6607" w:rsidRPr="0071140A">
        <w:rPr>
          <w:noProof/>
          <w:lang w:val="en-GB"/>
        </w:rPr>
        <w:t xml:space="preserve"> PAYMENT APPROPRIATIONS</w:t>
      </w:r>
      <w:bookmarkEnd w:id="3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3839"/>
        <w:gridCol w:w="875"/>
        <w:gridCol w:w="875"/>
        <w:gridCol w:w="875"/>
        <w:gridCol w:w="876"/>
        <w:gridCol w:w="876"/>
        <w:gridCol w:w="876"/>
        <w:gridCol w:w="876"/>
        <w:gridCol w:w="876"/>
        <w:gridCol w:w="876"/>
        <w:gridCol w:w="876"/>
        <w:gridCol w:w="876"/>
        <w:gridCol w:w="876"/>
      </w:tblGrid>
      <w:tr w:rsidR="00807FFE" w14:paraId="3095EBEB" w14:textId="77777777" w:rsidTr="00881EF0">
        <w:trPr>
          <w:trHeight w:hRule="exact" w:val="255"/>
          <w:tblHeader/>
        </w:trPr>
        <w:tc>
          <w:tcPr>
            <w:tcW w:w="14692" w:type="dxa"/>
            <w:gridSpan w:val="14"/>
            <w:tcBorders>
              <w:top w:val="nil"/>
              <w:left w:val="nil"/>
              <w:bottom w:val="nil"/>
              <w:right w:val="nil"/>
              <w:tl2br w:val="nil"/>
              <w:tr2bl w:val="nil"/>
            </w:tcBorders>
            <w:tcMar>
              <w:left w:w="60" w:type="dxa"/>
              <w:right w:w="60" w:type="dxa"/>
            </w:tcMar>
            <w:vAlign w:val="center"/>
          </w:tcPr>
          <w:p w14:paraId="4556DE2B" w14:textId="77777777" w:rsidR="00807FFE" w:rsidRDefault="00023E71">
            <w:pPr>
              <w:pStyle w:val="DMETW36742BIPDetailedMFF1Breakdown"/>
              <w:jc w:val="right"/>
              <w:rPr>
                <w:rFonts w:ascii="Verdana" w:eastAsia="Verdana" w:hAnsi="Verdana" w:cs="Verdana"/>
                <w:i/>
                <w:noProof/>
                <w:color w:val="000000"/>
                <w:sz w:val="16"/>
                <w:lang w:bidi="en-GB"/>
              </w:rPr>
            </w:pPr>
            <w:bookmarkStart w:id="306" w:name="DOC_TBL00119_1_1"/>
            <w:bookmarkEnd w:id="306"/>
            <w:r>
              <w:rPr>
                <w:rFonts w:ascii="Verdana" w:eastAsia="Verdana" w:hAnsi="Verdana" w:cs="Verdana"/>
                <w:i/>
                <w:noProof/>
                <w:color w:val="000000"/>
                <w:sz w:val="16"/>
              </w:rPr>
              <w:t>EUR million</w:t>
            </w:r>
          </w:p>
        </w:tc>
      </w:tr>
      <w:tr w:rsidR="00807FFE" w14:paraId="1F964878" w14:textId="77777777" w:rsidTr="00881EF0">
        <w:trPr>
          <w:trHeight w:hRule="exac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14:paraId="0288571D" w14:textId="77777777" w:rsidR="00807FFE" w:rsidRDefault="00807FFE">
            <w:pPr>
              <w:pStyle w:val="DMETW36742BIPDetailedMFF1Breakdown"/>
              <w:rPr>
                <w:rFonts w:ascii="Verdana" w:eastAsia="Verdana" w:hAnsi="Verdana" w:cs="Verdana"/>
                <w:b/>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14:paraId="4382A49D" w14:textId="77777777" w:rsidR="00807FFE" w:rsidRDefault="00807FFE">
            <w:pPr>
              <w:pStyle w:val="DMETW36742BIPDetailedMFF1Breakdown"/>
              <w:rPr>
                <w:rFonts w:ascii="Verdana" w:eastAsia="Verdana" w:hAnsi="Verdana" w:cs="Verdana"/>
                <w:b/>
                <w:noProof/>
                <w:color w:val="FFFFFF"/>
                <w:sz w:val="16"/>
              </w:rPr>
            </w:pPr>
          </w:p>
        </w:tc>
        <w:tc>
          <w:tcPr>
            <w:tcW w:w="5253" w:type="dxa"/>
            <w:gridSpan w:val="6"/>
            <w:tcBorders>
              <w:top w:val="nil"/>
              <w:left w:val="nil"/>
              <w:bottom w:val="nil"/>
              <w:right w:val="nil"/>
              <w:tl2br w:val="nil"/>
              <w:tr2bl w:val="nil"/>
            </w:tcBorders>
            <w:shd w:val="solid" w:color="016794" w:fill="FFFFFF"/>
            <w:tcMar>
              <w:left w:w="60" w:type="dxa"/>
              <w:right w:w="60" w:type="dxa"/>
            </w:tcMar>
            <w:vAlign w:val="center"/>
          </w:tcPr>
          <w:p w14:paraId="05F1F3E8" w14:textId="77777777" w:rsidR="00807FFE" w:rsidRDefault="00023E71">
            <w:pPr>
              <w:pStyle w:val="DMETW36742BIPDetailedMFF1Breakdown"/>
              <w:jc w:val="center"/>
              <w:rPr>
                <w:rFonts w:ascii="Verdana" w:eastAsia="Verdana" w:hAnsi="Verdana" w:cs="Verdana"/>
                <w:b/>
                <w:noProof/>
                <w:color w:val="FFFFFF"/>
                <w:sz w:val="16"/>
              </w:rPr>
            </w:pPr>
            <w:r>
              <w:rPr>
                <w:rFonts w:ascii="Verdana" w:eastAsia="Verdana" w:hAnsi="Verdana" w:cs="Verdana"/>
                <w:b/>
                <w:noProof/>
                <w:color w:val="FFFFFF"/>
                <w:sz w:val="16"/>
              </w:rPr>
              <w:t>Commitment appropriations</w:t>
            </w:r>
          </w:p>
        </w:tc>
        <w:tc>
          <w:tcPr>
            <w:tcW w:w="5256" w:type="dxa"/>
            <w:gridSpan w:val="6"/>
            <w:tcBorders>
              <w:top w:val="nil"/>
              <w:left w:val="nil"/>
              <w:bottom w:val="nil"/>
              <w:right w:val="nil"/>
              <w:tl2br w:val="nil"/>
              <w:tr2bl w:val="nil"/>
            </w:tcBorders>
            <w:shd w:val="solid" w:color="016794" w:fill="FFFFFF"/>
            <w:tcMar>
              <w:left w:w="60" w:type="dxa"/>
              <w:right w:w="60" w:type="dxa"/>
            </w:tcMar>
            <w:vAlign w:val="center"/>
          </w:tcPr>
          <w:p w14:paraId="2E26BFBC" w14:textId="77777777" w:rsidR="00807FFE" w:rsidRDefault="00023E71">
            <w:pPr>
              <w:pStyle w:val="DMETW36742BIPDetailedMFF1Breakdown"/>
              <w:jc w:val="center"/>
              <w:rPr>
                <w:rFonts w:ascii="Verdana" w:eastAsia="Verdana" w:hAnsi="Verdana" w:cs="Verdana"/>
                <w:b/>
                <w:noProof/>
                <w:color w:val="FFFFFF"/>
                <w:sz w:val="16"/>
                <w:lang w:bidi="en-GB"/>
              </w:rPr>
            </w:pPr>
            <w:r>
              <w:rPr>
                <w:rFonts w:ascii="Verdana" w:eastAsia="Verdana" w:hAnsi="Verdana" w:cs="Verdana"/>
                <w:b/>
                <w:noProof/>
                <w:color w:val="FFFFFF"/>
                <w:sz w:val="16"/>
              </w:rPr>
              <w:t>Payment appropriations</w:t>
            </w:r>
          </w:p>
        </w:tc>
      </w:tr>
      <w:tr w:rsidR="00807FFE" w14:paraId="0065337E" w14:textId="77777777" w:rsidTr="00881EF0">
        <w:trPr>
          <w:trHeight w:hRule="exact" w:val="658"/>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14:paraId="6366EDC5" w14:textId="77777777" w:rsidR="00807FFE" w:rsidRDefault="00807FFE">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14:paraId="7EBC9806" w14:textId="77777777" w:rsidR="00807FFE" w:rsidRDefault="00807FFE">
            <w:pPr>
              <w:pStyle w:val="DMETW36742BIPDetailedMFF1Breakdown"/>
              <w:jc w:val="center"/>
              <w:rPr>
                <w:rFonts w:ascii="Verdana" w:eastAsia="Verdana" w:hAnsi="Verdana" w:cs="Verdana"/>
                <w:noProof/>
                <w:color w:val="FFFFFF"/>
                <w:sz w:val="16"/>
              </w:rPr>
            </w:pPr>
          </w:p>
        </w:tc>
        <w:tc>
          <w:tcPr>
            <w:tcW w:w="2625" w:type="dxa"/>
            <w:gridSpan w:val="3"/>
            <w:tcBorders>
              <w:top w:val="nil"/>
              <w:left w:val="nil"/>
              <w:bottom w:val="nil"/>
              <w:right w:val="nil"/>
              <w:tl2br w:val="nil"/>
              <w:tr2bl w:val="nil"/>
            </w:tcBorders>
            <w:shd w:val="solid" w:color="016794" w:fill="FFFFFF"/>
            <w:tcMar>
              <w:left w:w="60" w:type="dxa"/>
              <w:right w:w="60" w:type="dxa"/>
            </w:tcMar>
            <w:vAlign w:val="center"/>
          </w:tcPr>
          <w:p w14:paraId="242108E1"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Budget appropriations</w:t>
            </w:r>
          </w:p>
        </w:tc>
        <w:tc>
          <w:tcPr>
            <w:tcW w:w="1752" w:type="dxa"/>
            <w:gridSpan w:val="2"/>
            <w:tcBorders>
              <w:top w:val="nil"/>
              <w:left w:val="nil"/>
              <w:bottom w:val="nil"/>
              <w:right w:val="nil"/>
              <w:tl2br w:val="nil"/>
              <w:tr2bl w:val="nil"/>
            </w:tcBorders>
            <w:shd w:val="solid" w:color="016794" w:fill="FFFFFF"/>
            <w:tcMar>
              <w:left w:w="60" w:type="dxa"/>
              <w:right w:w="60" w:type="dxa"/>
            </w:tcMar>
            <w:vAlign w:val="center"/>
          </w:tcPr>
          <w:p w14:paraId="225E6C64"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Additional appropriations</w:t>
            </w:r>
          </w:p>
        </w:tc>
        <w:tc>
          <w:tcPr>
            <w:tcW w:w="876" w:type="dxa"/>
            <w:vMerge w:val="restart"/>
            <w:tcBorders>
              <w:top w:val="nil"/>
              <w:left w:val="nil"/>
              <w:bottom w:val="nil"/>
              <w:right w:val="nil"/>
              <w:tl2br w:val="nil"/>
              <w:tr2bl w:val="nil"/>
            </w:tcBorders>
            <w:shd w:val="solid" w:color="016794" w:fill="FFFFFF"/>
            <w:tcMar>
              <w:left w:w="60" w:type="dxa"/>
              <w:right w:w="60" w:type="dxa"/>
            </w:tcMar>
            <w:vAlign w:val="center"/>
          </w:tcPr>
          <w:p w14:paraId="1B710B34"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Total appropr. available</w:t>
            </w:r>
          </w:p>
        </w:tc>
        <w:tc>
          <w:tcPr>
            <w:tcW w:w="2628" w:type="dxa"/>
            <w:gridSpan w:val="3"/>
            <w:tcBorders>
              <w:top w:val="nil"/>
              <w:left w:val="nil"/>
              <w:bottom w:val="nil"/>
              <w:right w:val="nil"/>
              <w:tl2br w:val="nil"/>
              <w:tr2bl w:val="nil"/>
            </w:tcBorders>
            <w:shd w:val="solid" w:color="016794" w:fill="FFFFFF"/>
            <w:tcMar>
              <w:left w:w="60" w:type="dxa"/>
              <w:right w:w="60" w:type="dxa"/>
            </w:tcMar>
            <w:vAlign w:val="center"/>
          </w:tcPr>
          <w:p w14:paraId="5AC77952"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Budget appropriations</w:t>
            </w:r>
          </w:p>
        </w:tc>
        <w:tc>
          <w:tcPr>
            <w:tcW w:w="1752" w:type="dxa"/>
            <w:gridSpan w:val="2"/>
            <w:tcBorders>
              <w:top w:val="nil"/>
              <w:left w:val="nil"/>
              <w:bottom w:val="nil"/>
              <w:right w:val="nil"/>
              <w:tl2br w:val="nil"/>
              <w:tr2bl w:val="nil"/>
            </w:tcBorders>
            <w:shd w:val="solid" w:color="016794" w:fill="FFFFFF"/>
            <w:tcMar>
              <w:left w:w="60" w:type="dxa"/>
              <w:right w:w="60" w:type="dxa"/>
            </w:tcMar>
            <w:vAlign w:val="center"/>
          </w:tcPr>
          <w:p w14:paraId="318617CE"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Additional appropriations</w:t>
            </w:r>
          </w:p>
        </w:tc>
        <w:tc>
          <w:tcPr>
            <w:tcW w:w="876" w:type="dxa"/>
            <w:vMerge w:val="restart"/>
            <w:tcBorders>
              <w:top w:val="nil"/>
              <w:left w:val="nil"/>
              <w:bottom w:val="nil"/>
              <w:right w:val="nil"/>
              <w:tl2br w:val="nil"/>
              <w:tr2bl w:val="nil"/>
            </w:tcBorders>
            <w:shd w:val="solid" w:color="016794" w:fill="FFFFFF"/>
            <w:tcMar>
              <w:left w:w="60" w:type="dxa"/>
              <w:right w:w="60" w:type="dxa"/>
            </w:tcMar>
            <w:vAlign w:val="center"/>
          </w:tcPr>
          <w:p w14:paraId="004C0B96" w14:textId="77777777" w:rsidR="00807FFE" w:rsidRDefault="00023E71">
            <w:pPr>
              <w:pStyle w:val="DMETW36742BIPDetailedMFF1Breakdown"/>
              <w:jc w:val="center"/>
              <w:rPr>
                <w:rFonts w:ascii="Verdana" w:eastAsia="Verdana" w:hAnsi="Verdana" w:cs="Verdana"/>
                <w:noProof/>
                <w:color w:val="FFFFFF"/>
                <w:sz w:val="16"/>
                <w:lang w:bidi="en-GB"/>
              </w:rPr>
            </w:pPr>
            <w:r>
              <w:rPr>
                <w:rFonts w:ascii="Verdana" w:eastAsia="Verdana" w:hAnsi="Verdana" w:cs="Verdana"/>
                <w:noProof/>
                <w:color w:val="FFFFFF"/>
                <w:sz w:val="16"/>
              </w:rPr>
              <w:t>Total appropr. available</w:t>
            </w:r>
          </w:p>
        </w:tc>
      </w:tr>
      <w:tr w:rsidR="00807FFE" w14:paraId="65B30A64" w14:textId="77777777" w:rsidTr="00881EF0">
        <w:trPr>
          <w:trHeight w:hRule="exact" w:val="1116"/>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14:paraId="45750C84" w14:textId="77777777" w:rsidR="00807FFE" w:rsidRDefault="00807FFE">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14:paraId="366DFE75"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MFF Heading</w:t>
            </w:r>
          </w:p>
        </w:tc>
        <w:tc>
          <w:tcPr>
            <w:tcW w:w="875" w:type="dxa"/>
            <w:tcBorders>
              <w:top w:val="nil"/>
              <w:left w:val="nil"/>
              <w:bottom w:val="nil"/>
              <w:right w:val="nil"/>
              <w:tl2br w:val="nil"/>
              <w:tr2bl w:val="nil"/>
            </w:tcBorders>
            <w:shd w:val="solid" w:color="3487A9" w:fill="FFFFFF"/>
            <w:tcMar>
              <w:left w:w="60" w:type="dxa"/>
              <w:right w:w="60" w:type="dxa"/>
            </w:tcMar>
            <w:vAlign w:val="center"/>
          </w:tcPr>
          <w:p w14:paraId="34C78C8C"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875" w:type="dxa"/>
            <w:tcBorders>
              <w:top w:val="nil"/>
              <w:left w:val="nil"/>
              <w:bottom w:val="nil"/>
              <w:right w:val="nil"/>
              <w:tl2br w:val="nil"/>
              <w:tr2bl w:val="nil"/>
            </w:tcBorders>
            <w:shd w:val="solid" w:color="3487A9" w:fill="FFFFFF"/>
            <w:tcMar>
              <w:left w:w="60" w:type="dxa"/>
              <w:right w:w="60" w:type="dxa"/>
            </w:tcMar>
            <w:vAlign w:val="center"/>
          </w:tcPr>
          <w:p w14:paraId="6667999E"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Amending budgets &amp; transfers</w:t>
            </w:r>
          </w:p>
        </w:tc>
        <w:tc>
          <w:tcPr>
            <w:tcW w:w="875" w:type="dxa"/>
            <w:tcBorders>
              <w:top w:val="nil"/>
              <w:left w:val="nil"/>
              <w:bottom w:val="nil"/>
              <w:right w:val="nil"/>
              <w:tl2br w:val="nil"/>
              <w:tr2bl w:val="nil"/>
            </w:tcBorders>
            <w:shd w:val="solid" w:color="3487A9" w:fill="FFFFFF"/>
            <w:tcMar>
              <w:left w:w="60" w:type="dxa"/>
              <w:right w:w="60" w:type="dxa"/>
            </w:tcMar>
            <w:vAlign w:val="center"/>
          </w:tcPr>
          <w:p w14:paraId="2F7D3C88"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72880A17"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Carry-overs</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67F808A4"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Assigned revenue</w:t>
            </w:r>
          </w:p>
        </w:tc>
        <w:tc>
          <w:tcPr>
            <w:tcW w:w="876" w:type="dxa"/>
            <w:vMerge/>
            <w:tcBorders>
              <w:top w:val="nil"/>
              <w:left w:val="nil"/>
              <w:bottom w:val="nil"/>
              <w:right w:val="nil"/>
              <w:tl2br w:val="nil"/>
              <w:tr2bl w:val="nil"/>
            </w:tcBorders>
            <w:shd w:val="solid" w:color="016794" w:fill="FFFFFF"/>
            <w:tcMar>
              <w:left w:w="60" w:type="dxa"/>
              <w:right w:w="60" w:type="dxa"/>
            </w:tcMar>
            <w:vAlign w:val="center"/>
          </w:tcPr>
          <w:p w14:paraId="3170782F" w14:textId="77777777" w:rsidR="00807FFE" w:rsidRDefault="00807FFE">
            <w:pPr>
              <w:pStyle w:val="DMETW36742BIPDetailedMFF1Breakdown"/>
              <w:jc w:val="center"/>
              <w:rPr>
                <w:rFonts w:ascii="Verdana" w:eastAsia="Verdana" w:hAnsi="Verdana" w:cs="Verdana"/>
                <w:noProof/>
                <w:color w:val="FFFFFF"/>
                <w:sz w:val="16"/>
              </w:rPr>
            </w:pP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42BF7F89"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478C8A27"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Amending budgets &amp; transfers</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759CDCC5"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1DCE7345"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Carry-overs</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1428E1BB" w14:textId="77777777" w:rsidR="00807FFE" w:rsidRDefault="00023E71">
            <w:pPr>
              <w:pStyle w:val="DMETW36742BIPDetailedMFF1Breakdown"/>
              <w:jc w:val="center"/>
              <w:rPr>
                <w:rFonts w:ascii="Verdana" w:eastAsia="Verdana" w:hAnsi="Verdana" w:cs="Verdana"/>
                <w:noProof/>
                <w:color w:val="FFFFFF"/>
                <w:sz w:val="16"/>
                <w:lang w:bidi="en-GB"/>
              </w:rPr>
            </w:pPr>
            <w:r>
              <w:rPr>
                <w:rFonts w:ascii="Verdana" w:eastAsia="Verdana" w:hAnsi="Verdana" w:cs="Verdana"/>
                <w:noProof/>
                <w:color w:val="FFFFFF"/>
                <w:sz w:val="16"/>
              </w:rPr>
              <w:t>Assigned revenue</w:t>
            </w:r>
          </w:p>
        </w:tc>
        <w:tc>
          <w:tcPr>
            <w:tcW w:w="876" w:type="dxa"/>
            <w:vMerge/>
            <w:tcBorders>
              <w:top w:val="nil"/>
              <w:left w:val="nil"/>
              <w:bottom w:val="nil"/>
              <w:right w:val="nil"/>
              <w:tl2br w:val="nil"/>
              <w:tr2bl w:val="nil"/>
            </w:tcBorders>
            <w:shd w:val="solid" w:color="016794" w:fill="FFFFFF"/>
            <w:tcMar>
              <w:left w:w="60" w:type="dxa"/>
              <w:right w:w="60" w:type="dxa"/>
            </w:tcMar>
            <w:vAlign w:val="center"/>
          </w:tcPr>
          <w:p w14:paraId="7F68773B" w14:textId="77777777" w:rsidR="00807FFE" w:rsidRDefault="00807FFE">
            <w:pPr>
              <w:pStyle w:val="DMETW36742BIPDetailedMFF1Breakdown"/>
              <w:jc w:val="center"/>
              <w:rPr>
                <w:rFonts w:ascii="Verdana" w:eastAsia="Verdana" w:hAnsi="Verdana" w:cs="Verdana"/>
                <w:noProof/>
                <w:color w:val="FFFFFF"/>
                <w:sz w:val="16"/>
              </w:rPr>
            </w:pPr>
          </w:p>
        </w:tc>
      </w:tr>
      <w:tr w:rsidR="00807FFE" w14:paraId="4171DB20" w14:textId="77777777">
        <w:trPr>
          <w:trHeight w:hRule="exac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20A29731" w14:textId="77777777" w:rsidR="00807FFE" w:rsidRDefault="00807FFE">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14:paraId="188EE5C1" w14:textId="77777777" w:rsidR="00807FFE" w:rsidRDefault="00807FFE">
            <w:pPr>
              <w:pStyle w:val="DMETW36742BIPDetailedMFF1Breakdown"/>
              <w:jc w:val="center"/>
              <w:rPr>
                <w:rFonts w:ascii="Verdana" w:eastAsia="Verdana" w:hAnsi="Verdana" w:cs="Verdana"/>
                <w:noProof/>
                <w:color w:val="FFFFFF"/>
                <w:sz w:val="16"/>
              </w:rPr>
            </w:pPr>
          </w:p>
        </w:tc>
        <w:tc>
          <w:tcPr>
            <w:tcW w:w="875" w:type="dxa"/>
            <w:tcBorders>
              <w:top w:val="nil"/>
              <w:left w:val="nil"/>
              <w:bottom w:val="nil"/>
              <w:right w:val="nil"/>
              <w:tl2br w:val="nil"/>
              <w:tr2bl w:val="nil"/>
            </w:tcBorders>
            <w:shd w:val="solid" w:color="3487A9" w:fill="FFFFFF"/>
            <w:tcMar>
              <w:left w:w="60" w:type="dxa"/>
              <w:right w:w="60" w:type="dxa"/>
            </w:tcMar>
            <w:vAlign w:val="center"/>
          </w:tcPr>
          <w:p w14:paraId="3D10E45F"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875" w:type="dxa"/>
            <w:tcBorders>
              <w:top w:val="nil"/>
              <w:left w:val="nil"/>
              <w:bottom w:val="nil"/>
              <w:right w:val="nil"/>
              <w:tl2br w:val="nil"/>
              <w:tr2bl w:val="nil"/>
            </w:tcBorders>
            <w:shd w:val="solid" w:color="3487A9" w:fill="FFFFFF"/>
            <w:tcMar>
              <w:left w:w="60" w:type="dxa"/>
              <w:right w:w="60" w:type="dxa"/>
            </w:tcMar>
            <w:vAlign w:val="center"/>
          </w:tcPr>
          <w:p w14:paraId="4C15E063"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875" w:type="dxa"/>
            <w:tcBorders>
              <w:top w:val="nil"/>
              <w:left w:val="nil"/>
              <w:bottom w:val="nil"/>
              <w:right w:val="nil"/>
              <w:tl2br w:val="nil"/>
              <w:tr2bl w:val="nil"/>
            </w:tcBorders>
            <w:shd w:val="solid" w:color="3487A9" w:fill="FFFFFF"/>
            <w:tcMar>
              <w:left w:w="60" w:type="dxa"/>
              <w:right w:w="60" w:type="dxa"/>
            </w:tcMar>
            <w:vAlign w:val="center"/>
          </w:tcPr>
          <w:p w14:paraId="7E4E0190"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3=1+2</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119EFC15"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1B397465"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5</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0632F41A"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6=3+4+5</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6BCB3FC4"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7</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6F5A367D"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8</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72E95603"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9=7+8</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7C95B3FC"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10</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1626D757" w14:textId="77777777" w:rsidR="00807FFE" w:rsidRDefault="00023E71">
            <w:pPr>
              <w:pStyle w:val="DMETW36742BIPDetailedMFF1Breakdown"/>
              <w:jc w:val="center"/>
              <w:rPr>
                <w:rFonts w:ascii="Verdana" w:eastAsia="Verdana" w:hAnsi="Verdana" w:cs="Verdana"/>
                <w:noProof/>
                <w:color w:val="FFFFFF"/>
                <w:sz w:val="16"/>
              </w:rPr>
            </w:pPr>
            <w:r>
              <w:rPr>
                <w:rFonts w:ascii="Verdana" w:eastAsia="Verdana" w:hAnsi="Verdana" w:cs="Verdana"/>
                <w:noProof/>
                <w:color w:val="FFFFFF"/>
                <w:sz w:val="16"/>
              </w:rPr>
              <w:t>11</w:t>
            </w:r>
          </w:p>
        </w:tc>
        <w:tc>
          <w:tcPr>
            <w:tcW w:w="876" w:type="dxa"/>
            <w:tcBorders>
              <w:top w:val="nil"/>
              <w:left w:val="nil"/>
              <w:bottom w:val="nil"/>
              <w:right w:val="nil"/>
              <w:tl2br w:val="nil"/>
              <w:tr2bl w:val="nil"/>
            </w:tcBorders>
            <w:shd w:val="solid" w:color="3487A9" w:fill="FFFFFF"/>
            <w:tcMar>
              <w:left w:w="60" w:type="dxa"/>
              <w:right w:w="60" w:type="dxa"/>
            </w:tcMar>
            <w:vAlign w:val="center"/>
          </w:tcPr>
          <w:p w14:paraId="6B1FE3C5" w14:textId="77777777" w:rsidR="00807FFE" w:rsidRDefault="00023E71">
            <w:pPr>
              <w:pStyle w:val="DMETW36742BIPDetailedMFF1Breakdown"/>
              <w:jc w:val="center"/>
              <w:rPr>
                <w:rFonts w:ascii="Verdana" w:eastAsia="Verdana" w:hAnsi="Verdana" w:cs="Verdana"/>
                <w:noProof/>
                <w:color w:val="FFFFFF"/>
                <w:sz w:val="16"/>
                <w:lang w:bidi="en-GB"/>
              </w:rPr>
            </w:pPr>
            <w:r>
              <w:rPr>
                <w:rFonts w:ascii="Verdana" w:eastAsia="Verdana" w:hAnsi="Verdana" w:cs="Verdana"/>
                <w:noProof/>
                <w:color w:val="FFFFFF"/>
                <w:sz w:val="16"/>
              </w:rPr>
              <w:t>12=9+10+11</w:t>
            </w:r>
          </w:p>
        </w:tc>
      </w:tr>
      <w:tr w:rsidR="00807FFE" w14:paraId="3AA9BD5B"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7F03D7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1</w:t>
            </w:r>
          </w:p>
        </w:tc>
        <w:tc>
          <w:tcPr>
            <w:tcW w:w="3839" w:type="dxa"/>
            <w:tcBorders>
              <w:top w:val="nil"/>
              <w:left w:val="nil"/>
              <w:bottom w:val="nil"/>
              <w:right w:val="nil"/>
              <w:tl2br w:val="nil"/>
              <w:tr2bl w:val="nil"/>
            </w:tcBorders>
            <w:tcMar>
              <w:left w:w="60" w:type="dxa"/>
              <w:right w:w="60" w:type="dxa"/>
            </w:tcMar>
            <w:vAlign w:val="center"/>
          </w:tcPr>
          <w:p w14:paraId="66727B62"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Horizon Europe</w:t>
            </w:r>
          </w:p>
        </w:tc>
        <w:tc>
          <w:tcPr>
            <w:tcW w:w="875" w:type="dxa"/>
            <w:tcBorders>
              <w:top w:val="nil"/>
              <w:left w:val="nil"/>
              <w:bottom w:val="nil"/>
              <w:right w:val="nil"/>
              <w:tl2br w:val="nil"/>
              <w:tr2bl w:val="nil"/>
            </w:tcBorders>
            <w:tcMar>
              <w:left w:w="60" w:type="dxa"/>
              <w:right w:w="60" w:type="dxa"/>
            </w:tcMar>
            <w:vAlign w:val="center"/>
          </w:tcPr>
          <w:p w14:paraId="50F43C3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12 762</w:t>
            </w:r>
          </w:p>
        </w:tc>
        <w:tc>
          <w:tcPr>
            <w:tcW w:w="875" w:type="dxa"/>
            <w:tcBorders>
              <w:top w:val="nil"/>
              <w:left w:val="nil"/>
              <w:bottom w:val="nil"/>
              <w:right w:val="nil"/>
              <w:tl2br w:val="nil"/>
              <w:tr2bl w:val="nil"/>
            </w:tcBorders>
            <w:tcMar>
              <w:left w:w="60" w:type="dxa"/>
              <w:right w:w="60" w:type="dxa"/>
            </w:tcMar>
            <w:vAlign w:val="center"/>
          </w:tcPr>
          <w:p w14:paraId="44B5D2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0E4FF92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12 763</w:t>
            </w:r>
          </w:p>
        </w:tc>
        <w:tc>
          <w:tcPr>
            <w:tcW w:w="876" w:type="dxa"/>
            <w:tcBorders>
              <w:top w:val="nil"/>
              <w:left w:val="nil"/>
              <w:bottom w:val="nil"/>
              <w:right w:val="nil"/>
              <w:tl2br w:val="nil"/>
              <w:tr2bl w:val="nil"/>
            </w:tcBorders>
            <w:tcMar>
              <w:left w:w="60" w:type="dxa"/>
              <w:right w:w="60" w:type="dxa"/>
            </w:tcMar>
            <w:vAlign w:val="center"/>
          </w:tcPr>
          <w:p w14:paraId="2D1547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876" w:type="dxa"/>
            <w:tcBorders>
              <w:top w:val="nil"/>
              <w:left w:val="nil"/>
              <w:bottom w:val="nil"/>
              <w:right w:val="nil"/>
              <w:tl2br w:val="nil"/>
              <w:tr2bl w:val="nil"/>
            </w:tcBorders>
            <w:tcMar>
              <w:left w:w="60" w:type="dxa"/>
              <w:right w:w="60" w:type="dxa"/>
            </w:tcMar>
            <w:vAlign w:val="center"/>
          </w:tcPr>
          <w:p w14:paraId="2475EA6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6 334</w:t>
            </w:r>
          </w:p>
        </w:tc>
        <w:tc>
          <w:tcPr>
            <w:tcW w:w="876" w:type="dxa"/>
            <w:tcBorders>
              <w:top w:val="nil"/>
              <w:left w:val="nil"/>
              <w:bottom w:val="nil"/>
              <w:right w:val="nil"/>
              <w:tl2br w:val="nil"/>
              <w:tr2bl w:val="nil"/>
            </w:tcBorders>
            <w:tcMar>
              <w:left w:w="60" w:type="dxa"/>
              <w:right w:w="60" w:type="dxa"/>
            </w:tcMar>
            <w:vAlign w:val="center"/>
          </w:tcPr>
          <w:p w14:paraId="5AAE42F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19 213</w:t>
            </w:r>
          </w:p>
        </w:tc>
        <w:tc>
          <w:tcPr>
            <w:tcW w:w="876" w:type="dxa"/>
            <w:tcBorders>
              <w:top w:val="nil"/>
              <w:left w:val="nil"/>
              <w:bottom w:val="nil"/>
              <w:right w:val="nil"/>
              <w:tl2br w:val="nil"/>
              <w:tr2bl w:val="nil"/>
            </w:tcBorders>
            <w:tcMar>
              <w:left w:w="60" w:type="dxa"/>
              <w:right w:w="60" w:type="dxa"/>
            </w:tcMar>
            <w:vAlign w:val="center"/>
          </w:tcPr>
          <w:p w14:paraId="6A4AE30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11 119</w:t>
            </w:r>
          </w:p>
        </w:tc>
        <w:tc>
          <w:tcPr>
            <w:tcW w:w="876" w:type="dxa"/>
            <w:tcBorders>
              <w:top w:val="nil"/>
              <w:left w:val="nil"/>
              <w:bottom w:val="nil"/>
              <w:right w:val="nil"/>
              <w:tl2br w:val="nil"/>
              <w:tr2bl w:val="nil"/>
            </w:tcBorders>
            <w:tcMar>
              <w:left w:w="60" w:type="dxa"/>
              <w:right w:w="60" w:type="dxa"/>
            </w:tcMar>
            <w:vAlign w:val="center"/>
          </w:tcPr>
          <w:p w14:paraId="55F373D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77AF7D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11 122</w:t>
            </w:r>
          </w:p>
        </w:tc>
        <w:tc>
          <w:tcPr>
            <w:tcW w:w="876" w:type="dxa"/>
            <w:tcBorders>
              <w:top w:val="nil"/>
              <w:left w:val="nil"/>
              <w:bottom w:val="nil"/>
              <w:right w:val="nil"/>
              <w:tl2br w:val="nil"/>
              <w:tr2bl w:val="nil"/>
            </w:tcBorders>
            <w:tcMar>
              <w:left w:w="60" w:type="dxa"/>
              <w:right w:w="60" w:type="dxa"/>
            </w:tcMar>
            <w:vAlign w:val="center"/>
          </w:tcPr>
          <w:p w14:paraId="2269EB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67</w:t>
            </w:r>
          </w:p>
        </w:tc>
        <w:tc>
          <w:tcPr>
            <w:tcW w:w="876" w:type="dxa"/>
            <w:tcBorders>
              <w:top w:val="nil"/>
              <w:left w:val="nil"/>
              <w:bottom w:val="nil"/>
              <w:right w:val="nil"/>
              <w:tl2br w:val="nil"/>
              <w:tr2bl w:val="nil"/>
            </w:tcBorders>
            <w:tcMar>
              <w:left w:w="60" w:type="dxa"/>
              <w:right w:w="60" w:type="dxa"/>
            </w:tcMar>
            <w:vAlign w:val="center"/>
          </w:tcPr>
          <w:p w14:paraId="5481167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9 936</w:t>
            </w:r>
          </w:p>
        </w:tc>
        <w:tc>
          <w:tcPr>
            <w:tcW w:w="876" w:type="dxa"/>
            <w:tcBorders>
              <w:top w:val="nil"/>
              <w:left w:val="nil"/>
              <w:bottom w:val="nil"/>
              <w:right w:val="nil"/>
              <w:tl2br w:val="nil"/>
              <w:tr2bl w:val="nil"/>
            </w:tcBorders>
            <w:tcMar>
              <w:left w:w="60" w:type="dxa"/>
              <w:right w:w="60" w:type="dxa"/>
            </w:tcMar>
            <w:vAlign w:val="center"/>
          </w:tcPr>
          <w:p w14:paraId="7748B08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21 125</w:t>
            </w:r>
          </w:p>
        </w:tc>
      </w:tr>
      <w:tr w:rsidR="00807FFE" w14:paraId="026FFAEC"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CD22573"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4F37B0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Euratom Research and Training Programme</w:t>
            </w:r>
          </w:p>
        </w:tc>
        <w:tc>
          <w:tcPr>
            <w:tcW w:w="875" w:type="dxa"/>
            <w:tcBorders>
              <w:top w:val="nil"/>
              <w:left w:val="nil"/>
              <w:bottom w:val="nil"/>
              <w:right w:val="nil"/>
              <w:tl2br w:val="nil"/>
              <w:tr2bl w:val="nil"/>
            </w:tcBorders>
            <w:tcMar>
              <w:left w:w="60" w:type="dxa"/>
              <w:right w:w="60" w:type="dxa"/>
            </w:tcMar>
            <w:vAlign w:val="center"/>
          </w:tcPr>
          <w:p w14:paraId="4BC2A1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288</w:t>
            </w:r>
          </w:p>
        </w:tc>
        <w:tc>
          <w:tcPr>
            <w:tcW w:w="875" w:type="dxa"/>
            <w:tcBorders>
              <w:top w:val="nil"/>
              <w:left w:val="nil"/>
              <w:bottom w:val="nil"/>
              <w:right w:val="nil"/>
              <w:tl2br w:val="nil"/>
              <w:tr2bl w:val="nil"/>
            </w:tcBorders>
            <w:tcMar>
              <w:left w:w="60" w:type="dxa"/>
              <w:right w:w="60" w:type="dxa"/>
            </w:tcMar>
            <w:vAlign w:val="center"/>
          </w:tcPr>
          <w:p w14:paraId="04ABC7E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4D1FBD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287</w:t>
            </w:r>
          </w:p>
        </w:tc>
        <w:tc>
          <w:tcPr>
            <w:tcW w:w="876" w:type="dxa"/>
            <w:tcBorders>
              <w:top w:val="nil"/>
              <w:left w:val="nil"/>
              <w:bottom w:val="nil"/>
              <w:right w:val="nil"/>
              <w:tl2br w:val="nil"/>
              <w:tr2bl w:val="nil"/>
            </w:tcBorders>
            <w:tcMar>
              <w:left w:w="60" w:type="dxa"/>
              <w:right w:w="60" w:type="dxa"/>
            </w:tcMar>
            <w:vAlign w:val="center"/>
          </w:tcPr>
          <w:p w14:paraId="55AC617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1251AC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118</w:t>
            </w:r>
          </w:p>
        </w:tc>
        <w:tc>
          <w:tcPr>
            <w:tcW w:w="876" w:type="dxa"/>
            <w:tcBorders>
              <w:top w:val="nil"/>
              <w:left w:val="nil"/>
              <w:bottom w:val="nil"/>
              <w:right w:val="nil"/>
              <w:tl2br w:val="nil"/>
              <w:tr2bl w:val="nil"/>
            </w:tcBorders>
            <w:tcMar>
              <w:left w:w="60" w:type="dxa"/>
              <w:right w:w="60" w:type="dxa"/>
            </w:tcMar>
            <w:vAlign w:val="center"/>
          </w:tcPr>
          <w:p w14:paraId="178135B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405</w:t>
            </w:r>
          </w:p>
        </w:tc>
        <w:tc>
          <w:tcPr>
            <w:tcW w:w="876" w:type="dxa"/>
            <w:tcBorders>
              <w:top w:val="nil"/>
              <w:left w:val="nil"/>
              <w:bottom w:val="nil"/>
              <w:right w:val="nil"/>
              <w:tl2br w:val="nil"/>
              <w:tr2bl w:val="nil"/>
            </w:tcBorders>
            <w:tcMar>
              <w:left w:w="60" w:type="dxa"/>
              <w:right w:w="60" w:type="dxa"/>
            </w:tcMar>
            <w:vAlign w:val="center"/>
          </w:tcPr>
          <w:p w14:paraId="52F7474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264</w:t>
            </w:r>
          </w:p>
        </w:tc>
        <w:tc>
          <w:tcPr>
            <w:tcW w:w="876" w:type="dxa"/>
            <w:tcBorders>
              <w:top w:val="nil"/>
              <w:left w:val="nil"/>
              <w:bottom w:val="nil"/>
              <w:right w:val="nil"/>
              <w:tl2br w:val="nil"/>
              <w:tr2bl w:val="nil"/>
            </w:tcBorders>
            <w:tcMar>
              <w:left w:w="60" w:type="dxa"/>
              <w:right w:w="60" w:type="dxa"/>
            </w:tcMar>
            <w:vAlign w:val="center"/>
          </w:tcPr>
          <w:p w14:paraId="73769B2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282A122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261</w:t>
            </w:r>
          </w:p>
        </w:tc>
        <w:tc>
          <w:tcPr>
            <w:tcW w:w="876" w:type="dxa"/>
            <w:tcBorders>
              <w:top w:val="nil"/>
              <w:left w:val="nil"/>
              <w:bottom w:val="nil"/>
              <w:right w:val="nil"/>
              <w:tl2br w:val="nil"/>
              <w:tr2bl w:val="nil"/>
            </w:tcBorders>
            <w:tcMar>
              <w:left w:w="60" w:type="dxa"/>
              <w:right w:w="60" w:type="dxa"/>
            </w:tcMar>
            <w:vAlign w:val="center"/>
          </w:tcPr>
          <w:p w14:paraId="710697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876" w:type="dxa"/>
            <w:tcBorders>
              <w:top w:val="nil"/>
              <w:left w:val="nil"/>
              <w:bottom w:val="nil"/>
              <w:right w:val="nil"/>
              <w:tl2br w:val="nil"/>
              <w:tr2bl w:val="nil"/>
            </w:tcBorders>
            <w:tcMar>
              <w:left w:w="60" w:type="dxa"/>
              <w:right w:w="60" w:type="dxa"/>
            </w:tcMar>
            <w:vAlign w:val="center"/>
          </w:tcPr>
          <w:p w14:paraId="24F905E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135</w:t>
            </w:r>
          </w:p>
        </w:tc>
        <w:tc>
          <w:tcPr>
            <w:tcW w:w="876" w:type="dxa"/>
            <w:tcBorders>
              <w:top w:val="nil"/>
              <w:left w:val="nil"/>
              <w:bottom w:val="nil"/>
              <w:right w:val="nil"/>
              <w:tl2br w:val="nil"/>
              <w:tr2bl w:val="nil"/>
            </w:tcBorders>
            <w:tcMar>
              <w:left w:w="60" w:type="dxa"/>
              <w:right w:w="60" w:type="dxa"/>
            </w:tcMar>
            <w:vAlign w:val="center"/>
          </w:tcPr>
          <w:p w14:paraId="0063744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414</w:t>
            </w:r>
          </w:p>
        </w:tc>
      </w:tr>
      <w:tr w:rsidR="00807FFE" w14:paraId="30489452" w14:textId="77777777">
        <w:trPr>
          <w:trHeight w:hRule="exact" w:val="539"/>
        </w:trPr>
        <w:tc>
          <w:tcPr>
            <w:tcW w:w="344" w:type="dxa"/>
            <w:tcBorders>
              <w:top w:val="nil"/>
              <w:left w:val="nil"/>
              <w:bottom w:val="nil"/>
              <w:right w:val="nil"/>
              <w:tl2br w:val="nil"/>
              <w:tr2bl w:val="nil"/>
            </w:tcBorders>
            <w:tcMar>
              <w:left w:w="60" w:type="dxa"/>
              <w:right w:w="60" w:type="dxa"/>
            </w:tcMar>
            <w:vAlign w:val="center"/>
          </w:tcPr>
          <w:p w14:paraId="1CF9D54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777C6B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International Thermonuclear Experimental Reactor (ITER)</w:t>
            </w:r>
          </w:p>
        </w:tc>
        <w:tc>
          <w:tcPr>
            <w:tcW w:w="875" w:type="dxa"/>
            <w:tcBorders>
              <w:top w:val="nil"/>
              <w:left w:val="nil"/>
              <w:bottom w:val="nil"/>
              <w:right w:val="nil"/>
              <w:tl2br w:val="nil"/>
              <w:tr2bl w:val="nil"/>
            </w:tcBorders>
            <w:tcMar>
              <w:left w:w="60" w:type="dxa"/>
              <w:right w:w="60" w:type="dxa"/>
            </w:tcMar>
            <w:vAlign w:val="center"/>
          </w:tcPr>
          <w:p w14:paraId="090F54C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487</w:t>
            </w:r>
          </w:p>
        </w:tc>
        <w:tc>
          <w:tcPr>
            <w:tcW w:w="875" w:type="dxa"/>
            <w:tcBorders>
              <w:top w:val="nil"/>
              <w:left w:val="nil"/>
              <w:bottom w:val="nil"/>
              <w:right w:val="nil"/>
              <w:tl2br w:val="nil"/>
              <w:tr2bl w:val="nil"/>
            </w:tcBorders>
            <w:tcMar>
              <w:left w:w="60" w:type="dxa"/>
              <w:right w:w="60" w:type="dxa"/>
            </w:tcMar>
            <w:vAlign w:val="center"/>
          </w:tcPr>
          <w:p w14:paraId="2C3517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BD0EAC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487</w:t>
            </w:r>
          </w:p>
        </w:tc>
        <w:tc>
          <w:tcPr>
            <w:tcW w:w="876" w:type="dxa"/>
            <w:tcBorders>
              <w:top w:val="nil"/>
              <w:left w:val="nil"/>
              <w:bottom w:val="nil"/>
              <w:right w:val="nil"/>
              <w:tl2br w:val="nil"/>
              <w:tr2bl w:val="nil"/>
            </w:tcBorders>
            <w:tcMar>
              <w:left w:w="60" w:type="dxa"/>
              <w:right w:w="60" w:type="dxa"/>
            </w:tcMar>
            <w:vAlign w:val="center"/>
          </w:tcPr>
          <w:p w14:paraId="68CC560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20DDE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6912548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490</w:t>
            </w:r>
          </w:p>
        </w:tc>
        <w:tc>
          <w:tcPr>
            <w:tcW w:w="876" w:type="dxa"/>
            <w:tcBorders>
              <w:top w:val="nil"/>
              <w:left w:val="nil"/>
              <w:bottom w:val="nil"/>
              <w:right w:val="nil"/>
              <w:tl2br w:val="nil"/>
              <w:tr2bl w:val="nil"/>
            </w:tcBorders>
            <w:tcMar>
              <w:left w:w="60" w:type="dxa"/>
              <w:right w:w="60" w:type="dxa"/>
            </w:tcMar>
            <w:vAlign w:val="center"/>
          </w:tcPr>
          <w:p w14:paraId="7F4248A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642</w:t>
            </w:r>
          </w:p>
        </w:tc>
        <w:tc>
          <w:tcPr>
            <w:tcW w:w="876" w:type="dxa"/>
            <w:tcBorders>
              <w:top w:val="nil"/>
              <w:left w:val="nil"/>
              <w:bottom w:val="nil"/>
              <w:right w:val="nil"/>
              <w:tl2br w:val="nil"/>
              <w:tr2bl w:val="nil"/>
            </w:tcBorders>
            <w:tcMar>
              <w:left w:w="60" w:type="dxa"/>
              <w:right w:w="60" w:type="dxa"/>
            </w:tcMar>
            <w:vAlign w:val="center"/>
          </w:tcPr>
          <w:p w14:paraId="2CEA8F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D8B4C3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642</w:t>
            </w:r>
          </w:p>
        </w:tc>
        <w:tc>
          <w:tcPr>
            <w:tcW w:w="876" w:type="dxa"/>
            <w:tcBorders>
              <w:top w:val="nil"/>
              <w:left w:val="nil"/>
              <w:bottom w:val="nil"/>
              <w:right w:val="nil"/>
              <w:tl2br w:val="nil"/>
              <w:tr2bl w:val="nil"/>
            </w:tcBorders>
            <w:tcMar>
              <w:left w:w="60" w:type="dxa"/>
              <w:right w:w="60" w:type="dxa"/>
            </w:tcMar>
            <w:vAlign w:val="center"/>
          </w:tcPr>
          <w:p w14:paraId="23F6A0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47654D0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14482F3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647</w:t>
            </w:r>
          </w:p>
        </w:tc>
      </w:tr>
      <w:tr w:rsidR="00807FFE" w14:paraId="4C8C0534"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B6ED5DE"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60F9BD0"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Other actions</w:t>
            </w:r>
          </w:p>
        </w:tc>
        <w:tc>
          <w:tcPr>
            <w:tcW w:w="875" w:type="dxa"/>
            <w:tcBorders>
              <w:top w:val="nil"/>
              <w:left w:val="nil"/>
              <w:bottom w:val="nil"/>
              <w:right w:val="nil"/>
              <w:tl2br w:val="nil"/>
              <w:tr2bl w:val="nil"/>
            </w:tcBorders>
            <w:tcMar>
              <w:left w:w="60" w:type="dxa"/>
              <w:right w:w="60" w:type="dxa"/>
            </w:tcMar>
            <w:vAlign w:val="center"/>
          </w:tcPr>
          <w:p w14:paraId="6FD93F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C5D298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1D10379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231008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CED49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629</w:t>
            </w:r>
          </w:p>
        </w:tc>
        <w:tc>
          <w:tcPr>
            <w:tcW w:w="876" w:type="dxa"/>
            <w:tcBorders>
              <w:top w:val="nil"/>
              <w:left w:val="nil"/>
              <w:bottom w:val="nil"/>
              <w:right w:val="nil"/>
              <w:tl2br w:val="nil"/>
              <w:tr2bl w:val="nil"/>
            </w:tcBorders>
            <w:tcMar>
              <w:left w:w="60" w:type="dxa"/>
              <w:right w:w="60" w:type="dxa"/>
            </w:tcMar>
            <w:vAlign w:val="center"/>
          </w:tcPr>
          <w:p w14:paraId="362D72A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629</w:t>
            </w:r>
          </w:p>
        </w:tc>
        <w:tc>
          <w:tcPr>
            <w:tcW w:w="876" w:type="dxa"/>
            <w:tcBorders>
              <w:top w:val="nil"/>
              <w:left w:val="nil"/>
              <w:bottom w:val="nil"/>
              <w:right w:val="nil"/>
              <w:tl2br w:val="nil"/>
              <w:tr2bl w:val="nil"/>
            </w:tcBorders>
            <w:tcMar>
              <w:left w:w="60" w:type="dxa"/>
              <w:right w:w="60" w:type="dxa"/>
            </w:tcMar>
            <w:vAlign w:val="center"/>
          </w:tcPr>
          <w:p w14:paraId="08939B0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1AF1DC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6164B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048854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92D26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413</w:t>
            </w:r>
          </w:p>
        </w:tc>
        <w:tc>
          <w:tcPr>
            <w:tcW w:w="876" w:type="dxa"/>
            <w:tcBorders>
              <w:top w:val="nil"/>
              <w:left w:val="nil"/>
              <w:bottom w:val="nil"/>
              <w:right w:val="nil"/>
              <w:tl2br w:val="nil"/>
              <w:tr2bl w:val="nil"/>
            </w:tcBorders>
            <w:tcMar>
              <w:left w:w="60" w:type="dxa"/>
              <w:right w:w="60" w:type="dxa"/>
            </w:tcMar>
            <w:vAlign w:val="center"/>
          </w:tcPr>
          <w:p w14:paraId="0430507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413</w:t>
            </w:r>
          </w:p>
        </w:tc>
      </w:tr>
      <w:tr w:rsidR="00807FFE" w14:paraId="41C80EC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2B06E2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57F05A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650944B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5" w:type="dxa"/>
            <w:tcBorders>
              <w:top w:val="nil"/>
              <w:left w:val="nil"/>
              <w:bottom w:val="nil"/>
              <w:right w:val="nil"/>
              <w:tl2br w:val="nil"/>
              <w:tr2bl w:val="nil"/>
            </w:tcBorders>
            <w:tcMar>
              <w:left w:w="60" w:type="dxa"/>
              <w:right w:w="60" w:type="dxa"/>
            </w:tcMar>
            <w:vAlign w:val="center"/>
          </w:tcPr>
          <w:p w14:paraId="2F9EFBC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12DB11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50EFE1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DADA7E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A0F5CF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2A6EB9A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14:paraId="74D5763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3C25E6F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15196AD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B258CC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A96AF1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w:t>
            </w:r>
          </w:p>
        </w:tc>
      </w:tr>
      <w:tr w:rsidR="00807FFE" w14:paraId="637F327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2EBA0B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4815DB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InvestEU Fund</w:t>
            </w:r>
          </w:p>
        </w:tc>
        <w:tc>
          <w:tcPr>
            <w:tcW w:w="875" w:type="dxa"/>
            <w:tcBorders>
              <w:top w:val="nil"/>
              <w:left w:val="nil"/>
              <w:bottom w:val="nil"/>
              <w:right w:val="nil"/>
              <w:tl2br w:val="nil"/>
              <w:tr2bl w:val="nil"/>
            </w:tcBorders>
            <w:tcMar>
              <w:left w:w="60" w:type="dxa"/>
              <w:right w:w="60" w:type="dxa"/>
            </w:tcMar>
            <w:vAlign w:val="center"/>
          </w:tcPr>
          <w:p w14:paraId="41F4985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378</w:t>
            </w:r>
          </w:p>
        </w:tc>
        <w:tc>
          <w:tcPr>
            <w:tcW w:w="875" w:type="dxa"/>
            <w:tcBorders>
              <w:top w:val="nil"/>
              <w:left w:val="nil"/>
              <w:bottom w:val="nil"/>
              <w:right w:val="nil"/>
              <w:tl2br w:val="nil"/>
              <w:tr2bl w:val="nil"/>
            </w:tcBorders>
            <w:tcMar>
              <w:left w:w="60" w:type="dxa"/>
              <w:right w:w="60" w:type="dxa"/>
            </w:tcMar>
            <w:vAlign w:val="center"/>
          </w:tcPr>
          <w:p w14:paraId="5F84DBD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6F243E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378</w:t>
            </w:r>
          </w:p>
        </w:tc>
        <w:tc>
          <w:tcPr>
            <w:tcW w:w="876" w:type="dxa"/>
            <w:tcBorders>
              <w:top w:val="nil"/>
              <w:left w:val="nil"/>
              <w:bottom w:val="nil"/>
              <w:right w:val="nil"/>
              <w:tl2br w:val="nil"/>
              <w:tr2bl w:val="nil"/>
            </w:tcBorders>
            <w:tcMar>
              <w:left w:w="60" w:type="dxa"/>
              <w:right w:w="60" w:type="dxa"/>
            </w:tcMar>
            <w:vAlign w:val="center"/>
          </w:tcPr>
          <w:p w14:paraId="172316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817D8A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916</w:t>
            </w:r>
          </w:p>
        </w:tc>
        <w:tc>
          <w:tcPr>
            <w:tcW w:w="876" w:type="dxa"/>
            <w:tcBorders>
              <w:top w:val="nil"/>
              <w:left w:val="nil"/>
              <w:bottom w:val="nil"/>
              <w:right w:val="nil"/>
              <w:tl2br w:val="nil"/>
              <w:tr2bl w:val="nil"/>
            </w:tcBorders>
            <w:tcMar>
              <w:left w:w="60" w:type="dxa"/>
              <w:right w:w="60" w:type="dxa"/>
            </w:tcMar>
            <w:vAlign w:val="center"/>
          </w:tcPr>
          <w:p w14:paraId="05E0547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1 294</w:t>
            </w:r>
          </w:p>
        </w:tc>
        <w:tc>
          <w:tcPr>
            <w:tcW w:w="876" w:type="dxa"/>
            <w:tcBorders>
              <w:top w:val="nil"/>
              <w:left w:val="nil"/>
              <w:bottom w:val="nil"/>
              <w:right w:val="nil"/>
              <w:tl2br w:val="nil"/>
              <w:tr2bl w:val="nil"/>
            </w:tcBorders>
            <w:tcMar>
              <w:left w:w="60" w:type="dxa"/>
              <w:right w:w="60" w:type="dxa"/>
            </w:tcMar>
            <w:vAlign w:val="center"/>
          </w:tcPr>
          <w:p w14:paraId="0A1631F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530</w:t>
            </w:r>
          </w:p>
        </w:tc>
        <w:tc>
          <w:tcPr>
            <w:tcW w:w="876" w:type="dxa"/>
            <w:tcBorders>
              <w:top w:val="nil"/>
              <w:left w:val="nil"/>
              <w:bottom w:val="nil"/>
              <w:right w:val="nil"/>
              <w:tl2br w:val="nil"/>
              <w:tr2bl w:val="nil"/>
            </w:tcBorders>
            <w:tcMar>
              <w:left w:w="60" w:type="dxa"/>
              <w:right w:w="60" w:type="dxa"/>
            </w:tcMar>
            <w:vAlign w:val="center"/>
          </w:tcPr>
          <w:p w14:paraId="1088133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14:paraId="4F57200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501</w:t>
            </w:r>
          </w:p>
        </w:tc>
        <w:tc>
          <w:tcPr>
            <w:tcW w:w="876" w:type="dxa"/>
            <w:tcBorders>
              <w:top w:val="nil"/>
              <w:left w:val="nil"/>
              <w:bottom w:val="nil"/>
              <w:right w:val="nil"/>
              <w:tl2br w:val="nil"/>
              <w:tr2bl w:val="nil"/>
            </w:tcBorders>
            <w:tcMar>
              <w:left w:w="60" w:type="dxa"/>
              <w:right w:w="60" w:type="dxa"/>
            </w:tcMar>
            <w:vAlign w:val="center"/>
          </w:tcPr>
          <w:p w14:paraId="5C751C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3DD4BB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1 991</w:t>
            </w:r>
          </w:p>
        </w:tc>
        <w:tc>
          <w:tcPr>
            <w:tcW w:w="876" w:type="dxa"/>
            <w:tcBorders>
              <w:top w:val="nil"/>
              <w:left w:val="nil"/>
              <w:bottom w:val="nil"/>
              <w:right w:val="nil"/>
              <w:tl2br w:val="nil"/>
              <w:tr2bl w:val="nil"/>
            </w:tcBorders>
            <w:tcMar>
              <w:left w:w="60" w:type="dxa"/>
              <w:right w:w="60" w:type="dxa"/>
            </w:tcMar>
            <w:vAlign w:val="center"/>
          </w:tcPr>
          <w:p w14:paraId="2BAE946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2 493</w:t>
            </w:r>
          </w:p>
        </w:tc>
      </w:tr>
      <w:tr w:rsidR="00807FFE" w14:paraId="442439BE"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1BFE84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A3EDEF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Connecting Europe Facility (CEF) - Transport</w:t>
            </w:r>
          </w:p>
        </w:tc>
        <w:tc>
          <w:tcPr>
            <w:tcW w:w="875" w:type="dxa"/>
            <w:tcBorders>
              <w:top w:val="nil"/>
              <w:left w:val="nil"/>
              <w:bottom w:val="nil"/>
              <w:right w:val="nil"/>
              <w:tl2br w:val="nil"/>
              <w:tr2bl w:val="nil"/>
            </w:tcBorders>
            <w:tcMar>
              <w:left w:w="60" w:type="dxa"/>
              <w:right w:w="60" w:type="dxa"/>
            </w:tcMar>
            <w:vAlign w:val="center"/>
          </w:tcPr>
          <w:p w14:paraId="38FC3DD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1 674</w:t>
            </w:r>
          </w:p>
        </w:tc>
        <w:tc>
          <w:tcPr>
            <w:tcW w:w="875" w:type="dxa"/>
            <w:tcBorders>
              <w:top w:val="nil"/>
              <w:left w:val="nil"/>
              <w:bottom w:val="nil"/>
              <w:right w:val="nil"/>
              <w:tl2br w:val="nil"/>
              <w:tr2bl w:val="nil"/>
            </w:tcBorders>
            <w:tcMar>
              <w:left w:w="60" w:type="dxa"/>
              <w:right w:w="60" w:type="dxa"/>
            </w:tcMar>
            <w:vAlign w:val="center"/>
          </w:tcPr>
          <w:p w14:paraId="3FDC22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7B158C4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1 675</w:t>
            </w:r>
          </w:p>
        </w:tc>
        <w:tc>
          <w:tcPr>
            <w:tcW w:w="876" w:type="dxa"/>
            <w:tcBorders>
              <w:top w:val="nil"/>
              <w:left w:val="nil"/>
              <w:bottom w:val="nil"/>
              <w:right w:val="nil"/>
              <w:tl2br w:val="nil"/>
              <w:tr2bl w:val="nil"/>
            </w:tcBorders>
            <w:tcMar>
              <w:left w:w="60" w:type="dxa"/>
              <w:right w:w="60" w:type="dxa"/>
            </w:tcMar>
            <w:vAlign w:val="center"/>
          </w:tcPr>
          <w:p w14:paraId="04B430A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FBC3A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14:paraId="431A89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1 745</w:t>
            </w:r>
          </w:p>
        </w:tc>
        <w:tc>
          <w:tcPr>
            <w:tcW w:w="876" w:type="dxa"/>
            <w:tcBorders>
              <w:top w:val="nil"/>
              <w:left w:val="nil"/>
              <w:bottom w:val="nil"/>
              <w:right w:val="nil"/>
              <w:tl2br w:val="nil"/>
              <w:tr2bl w:val="nil"/>
            </w:tcBorders>
            <w:tcMar>
              <w:left w:w="60" w:type="dxa"/>
              <w:right w:w="60" w:type="dxa"/>
            </w:tcMar>
            <w:vAlign w:val="center"/>
          </w:tcPr>
          <w:p w14:paraId="6C0C1B9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2 398</w:t>
            </w:r>
          </w:p>
        </w:tc>
        <w:tc>
          <w:tcPr>
            <w:tcW w:w="876" w:type="dxa"/>
            <w:tcBorders>
              <w:top w:val="nil"/>
              <w:left w:val="nil"/>
              <w:bottom w:val="nil"/>
              <w:right w:val="nil"/>
              <w:tl2br w:val="nil"/>
              <w:tr2bl w:val="nil"/>
            </w:tcBorders>
            <w:tcMar>
              <w:left w:w="60" w:type="dxa"/>
              <w:right w:w="60" w:type="dxa"/>
            </w:tcMar>
            <w:vAlign w:val="center"/>
          </w:tcPr>
          <w:p w14:paraId="278B772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C67D4F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2 396</w:t>
            </w:r>
          </w:p>
        </w:tc>
        <w:tc>
          <w:tcPr>
            <w:tcW w:w="876" w:type="dxa"/>
            <w:tcBorders>
              <w:top w:val="nil"/>
              <w:left w:val="nil"/>
              <w:bottom w:val="nil"/>
              <w:right w:val="nil"/>
              <w:tl2br w:val="nil"/>
              <w:tr2bl w:val="nil"/>
            </w:tcBorders>
            <w:tcMar>
              <w:left w:w="60" w:type="dxa"/>
              <w:right w:w="60" w:type="dxa"/>
            </w:tcMar>
            <w:vAlign w:val="center"/>
          </w:tcPr>
          <w:p w14:paraId="2662A70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31ADBAF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14:paraId="70E96067"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2 445</w:t>
            </w:r>
          </w:p>
        </w:tc>
      </w:tr>
      <w:tr w:rsidR="00807FFE" w14:paraId="18E3CA2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CC7FE46"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F728B82"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Connecting Europe Facility (CEF) - Energy</w:t>
            </w:r>
          </w:p>
        </w:tc>
        <w:tc>
          <w:tcPr>
            <w:tcW w:w="875" w:type="dxa"/>
            <w:tcBorders>
              <w:top w:val="nil"/>
              <w:left w:val="nil"/>
              <w:bottom w:val="nil"/>
              <w:right w:val="nil"/>
              <w:tl2br w:val="nil"/>
              <w:tr2bl w:val="nil"/>
            </w:tcBorders>
            <w:tcMar>
              <w:left w:w="60" w:type="dxa"/>
              <w:right w:w="60" w:type="dxa"/>
            </w:tcMar>
            <w:vAlign w:val="center"/>
          </w:tcPr>
          <w:p w14:paraId="485EF0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927</w:t>
            </w:r>
          </w:p>
        </w:tc>
        <w:tc>
          <w:tcPr>
            <w:tcW w:w="875" w:type="dxa"/>
            <w:tcBorders>
              <w:top w:val="nil"/>
              <w:left w:val="nil"/>
              <w:bottom w:val="nil"/>
              <w:right w:val="nil"/>
              <w:tl2br w:val="nil"/>
              <w:tr2bl w:val="nil"/>
            </w:tcBorders>
            <w:tcMar>
              <w:left w:w="60" w:type="dxa"/>
              <w:right w:w="60" w:type="dxa"/>
            </w:tcMar>
            <w:vAlign w:val="center"/>
          </w:tcPr>
          <w:p w14:paraId="7D38F0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0C80F5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926</w:t>
            </w:r>
          </w:p>
        </w:tc>
        <w:tc>
          <w:tcPr>
            <w:tcW w:w="876" w:type="dxa"/>
            <w:tcBorders>
              <w:top w:val="nil"/>
              <w:left w:val="nil"/>
              <w:bottom w:val="nil"/>
              <w:right w:val="nil"/>
              <w:tl2br w:val="nil"/>
              <w:tr2bl w:val="nil"/>
            </w:tcBorders>
            <w:tcMar>
              <w:left w:w="60" w:type="dxa"/>
              <w:right w:w="60" w:type="dxa"/>
            </w:tcMar>
            <w:vAlign w:val="center"/>
          </w:tcPr>
          <w:p w14:paraId="4A6614A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93328E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876" w:type="dxa"/>
            <w:tcBorders>
              <w:top w:val="nil"/>
              <w:left w:val="nil"/>
              <w:bottom w:val="nil"/>
              <w:right w:val="nil"/>
              <w:tl2br w:val="nil"/>
              <w:tr2bl w:val="nil"/>
            </w:tcBorders>
            <w:tcMar>
              <w:left w:w="60" w:type="dxa"/>
              <w:right w:w="60" w:type="dxa"/>
            </w:tcMar>
            <w:vAlign w:val="center"/>
          </w:tcPr>
          <w:p w14:paraId="4AB5F9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996</w:t>
            </w:r>
          </w:p>
        </w:tc>
        <w:tc>
          <w:tcPr>
            <w:tcW w:w="876" w:type="dxa"/>
            <w:tcBorders>
              <w:top w:val="nil"/>
              <w:left w:val="nil"/>
              <w:bottom w:val="nil"/>
              <w:right w:val="nil"/>
              <w:tl2br w:val="nil"/>
              <w:tr2bl w:val="nil"/>
            </w:tcBorders>
            <w:tcMar>
              <w:left w:w="60" w:type="dxa"/>
              <w:right w:w="60" w:type="dxa"/>
            </w:tcMar>
            <w:vAlign w:val="center"/>
          </w:tcPr>
          <w:p w14:paraId="4228987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708</w:t>
            </w:r>
          </w:p>
        </w:tc>
        <w:tc>
          <w:tcPr>
            <w:tcW w:w="876" w:type="dxa"/>
            <w:tcBorders>
              <w:top w:val="nil"/>
              <w:left w:val="nil"/>
              <w:bottom w:val="nil"/>
              <w:right w:val="nil"/>
              <w:tl2br w:val="nil"/>
              <w:tr2bl w:val="nil"/>
            </w:tcBorders>
            <w:tcMar>
              <w:left w:w="60" w:type="dxa"/>
              <w:right w:w="60" w:type="dxa"/>
            </w:tcMar>
            <w:vAlign w:val="center"/>
          </w:tcPr>
          <w:p w14:paraId="2A6EFE1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7F170D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733</w:t>
            </w:r>
          </w:p>
        </w:tc>
        <w:tc>
          <w:tcPr>
            <w:tcW w:w="876" w:type="dxa"/>
            <w:tcBorders>
              <w:top w:val="nil"/>
              <w:left w:val="nil"/>
              <w:bottom w:val="nil"/>
              <w:right w:val="nil"/>
              <w:tl2br w:val="nil"/>
              <w:tr2bl w:val="nil"/>
            </w:tcBorders>
            <w:tcMar>
              <w:left w:w="60" w:type="dxa"/>
              <w:right w:w="60" w:type="dxa"/>
            </w:tcMar>
            <w:vAlign w:val="center"/>
          </w:tcPr>
          <w:p w14:paraId="3271A4D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4CCD822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14:paraId="0306046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804</w:t>
            </w:r>
          </w:p>
        </w:tc>
      </w:tr>
      <w:tr w:rsidR="00807FFE" w14:paraId="4915B3DF"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5CEC86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8EB1BE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Connecting Europe Facility (CEF) - Digital</w:t>
            </w:r>
          </w:p>
        </w:tc>
        <w:tc>
          <w:tcPr>
            <w:tcW w:w="875" w:type="dxa"/>
            <w:tcBorders>
              <w:top w:val="nil"/>
              <w:left w:val="nil"/>
              <w:bottom w:val="nil"/>
              <w:right w:val="nil"/>
              <w:tl2br w:val="nil"/>
              <w:tr2bl w:val="nil"/>
            </w:tcBorders>
            <w:tcMar>
              <w:left w:w="60" w:type="dxa"/>
              <w:right w:w="60" w:type="dxa"/>
            </w:tcMar>
            <w:vAlign w:val="center"/>
          </w:tcPr>
          <w:p w14:paraId="0E99D91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226</w:t>
            </w:r>
          </w:p>
        </w:tc>
        <w:tc>
          <w:tcPr>
            <w:tcW w:w="875" w:type="dxa"/>
            <w:tcBorders>
              <w:top w:val="nil"/>
              <w:left w:val="nil"/>
              <w:bottom w:val="nil"/>
              <w:right w:val="nil"/>
              <w:tl2br w:val="nil"/>
              <w:tr2bl w:val="nil"/>
            </w:tcBorders>
            <w:tcMar>
              <w:left w:w="60" w:type="dxa"/>
              <w:right w:w="60" w:type="dxa"/>
            </w:tcMar>
            <w:vAlign w:val="center"/>
          </w:tcPr>
          <w:p w14:paraId="3F290F7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543C54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226</w:t>
            </w:r>
          </w:p>
        </w:tc>
        <w:tc>
          <w:tcPr>
            <w:tcW w:w="876" w:type="dxa"/>
            <w:tcBorders>
              <w:top w:val="nil"/>
              <w:left w:val="nil"/>
              <w:bottom w:val="nil"/>
              <w:right w:val="nil"/>
              <w:tl2br w:val="nil"/>
              <w:tr2bl w:val="nil"/>
            </w:tcBorders>
            <w:tcMar>
              <w:left w:w="60" w:type="dxa"/>
              <w:right w:w="60" w:type="dxa"/>
            </w:tcMar>
            <w:vAlign w:val="center"/>
          </w:tcPr>
          <w:p w14:paraId="33F3848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0307C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7F334F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230</w:t>
            </w:r>
          </w:p>
        </w:tc>
        <w:tc>
          <w:tcPr>
            <w:tcW w:w="876" w:type="dxa"/>
            <w:tcBorders>
              <w:top w:val="nil"/>
              <w:left w:val="nil"/>
              <w:bottom w:val="nil"/>
              <w:right w:val="nil"/>
              <w:tl2br w:val="nil"/>
              <w:tr2bl w:val="nil"/>
            </w:tcBorders>
            <w:tcMar>
              <w:left w:w="60" w:type="dxa"/>
              <w:right w:w="60" w:type="dxa"/>
            </w:tcMar>
            <w:vAlign w:val="center"/>
          </w:tcPr>
          <w:p w14:paraId="6E80AF1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183</w:t>
            </w:r>
          </w:p>
        </w:tc>
        <w:tc>
          <w:tcPr>
            <w:tcW w:w="876" w:type="dxa"/>
            <w:tcBorders>
              <w:top w:val="nil"/>
              <w:left w:val="nil"/>
              <w:bottom w:val="nil"/>
              <w:right w:val="nil"/>
              <w:tl2br w:val="nil"/>
              <w:tr2bl w:val="nil"/>
            </w:tcBorders>
            <w:tcMar>
              <w:left w:w="60" w:type="dxa"/>
              <w:right w:w="60" w:type="dxa"/>
            </w:tcMar>
            <w:vAlign w:val="center"/>
          </w:tcPr>
          <w:p w14:paraId="59C8F1F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0CF7AC5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173</w:t>
            </w:r>
          </w:p>
        </w:tc>
        <w:tc>
          <w:tcPr>
            <w:tcW w:w="876" w:type="dxa"/>
            <w:tcBorders>
              <w:top w:val="nil"/>
              <w:left w:val="nil"/>
              <w:bottom w:val="nil"/>
              <w:right w:val="nil"/>
              <w:tl2br w:val="nil"/>
              <w:tr2bl w:val="nil"/>
            </w:tcBorders>
            <w:tcMar>
              <w:left w:w="60" w:type="dxa"/>
              <w:right w:w="60" w:type="dxa"/>
            </w:tcMar>
            <w:vAlign w:val="center"/>
          </w:tcPr>
          <w:p w14:paraId="149C032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0322F8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6055727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177</w:t>
            </w:r>
          </w:p>
        </w:tc>
      </w:tr>
      <w:tr w:rsidR="00807FFE" w14:paraId="411E407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0A24E06"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D98181E"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Digital Europe Programme</w:t>
            </w:r>
          </w:p>
        </w:tc>
        <w:tc>
          <w:tcPr>
            <w:tcW w:w="875" w:type="dxa"/>
            <w:tcBorders>
              <w:top w:val="nil"/>
              <w:left w:val="nil"/>
              <w:bottom w:val="nil"/>
              <w:right w:val="nil"/>
              <w:tl2br w:val="nil"/>
              <w:tr2bl w:val="nil"/>
            </w:tcBorders>
            <w:tcMar>
              <w:left w:w="60" w:type="dxa"/>
              <w:right w:w="60" w:type="dxa"/>
            </w:tcMar>
            <w:vAlign w:val="center"/>
          </w:tcPr>
          <w:p w14:paraId="5EE20BD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1 097</w:t>
            </w:r>
          </w:p>
        </w:tc>
        <w:tc>
          <w:tcPr>
            <w:tcW w:w="875" w:type="dxa"/>
            <w:tcBorders>
              <w:top w:val="nil"/>
              <w:left w:val="nil"/>
              <w:bottom w:val="nil"/>
              <w:right w:val="nil"/>
              <w:tl2br w:val="nil"/>
              <w:tr2bl w:val="nil"/>
            </w:tcBorders>
            <w:tcMar>
              <w:left w:w="60" w:type="dxa"/>
              <w:right w:w="60" w:type="dxa"/>
            </w:tcMar>
            <w:vAlign w:val="center"/>
          </w:tcPr>
          <w:p w14:paraId="20EE1CB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69D157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1 097</w:t>
            </w:r>
          </w:p>
        </w:tc>
        <w:tc>
          <w:tcPr>
            <w:tcW w:w="876" w:type="dxa"/>
            <w:tcBorders>
              <w:top w:val="nil"/>
              <w:left w:val="nil"/>
              <w:bottom w:val="nil"/>
              <w:right w:val="nil"/>
              <w:tl2br w:val="nil"/>
              <w:tr2bl w:val="nil"/>
            </w:tcBorders>
            <w:tcMar>
              <w:left w:w="60" w:type="dxa"/>
              <w:right w:w="60" w:type="dxa"/>
            </w:tcMar>
            <w:vAlign w:val="center"/>
          </w:tcPr>
          <w:p w14:paraId="1F11DA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AE9550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92</w:t>
            </w:r>
          </w:p>
        </w:tc>
        <w:tc>
          <w:tcPr>
            <w:tcW w:w="876" w:type="dxa"/>
            <w:tcBorders>
              <w:top w:val="nil"/>
              <w:left w:val="nil"/>
              <w:bottom w:val="nil"/>
              <w:right w:val="nil"/>
              <w:tl2br w:val="nil"/>
              <w:tr2bl w:val="nil"/>
            </w:tcBorders>
            <w:tcMar>
              <w:left w:w="60" w:type="dxa"/>
              <w:right w:w="60" w:type="dxa"/>
            </w:tcMar>
            <w:vAlign w:val="center"/>
          </w:tcPr>
          <w:p w14:paraId="346F430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1 189</w:t>
            </w:r>
          </w:p>
        </w:tc>
        <w:tc>
          <w:tcPr>
            <w:tcW w:w="876" w:type="dxa"/>
            <w:tcBorders>
              <w:top w:val="nil"/>
              <w:left w:val="nil"/>
              <w:bottom w:val="nil"/>
              <w:right w:val="nil"/>
              <w:tl2br w:val="nil"/>
              <w:tr2bl w:val="nil"/>
            </w:tcBorders>
            <w:tcMar>
              <w:left w:w="60" w:type="dxa"/>
              <w:right w:w="60" w:type="dxa"/>
            </w:tcMar>
            <w:vAlign w:val="center"/>
          </w:tcPr>
          <w:p w14:paraId="2B6C70A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1 136</w:t>
            </w:r>
          </w:p>
        </w:tc>
        <w:tc>
          <w:tcPr>
            <w:tcW w:w="876" w:type="dxa"/>
            <w:tcBorders>
              <w:top w:val="nil"/>
              <w:left w:val="nil"/>
              <w:bottom w:val="nil"/>
              <w:right w:val="nil"/>
              <w:tl2br w:val="nil"/>
              <w:tr2bl w:val="nil"/>
            </w:tcBorders>
            <w:tcMar>
              <w:left w:w="60" w:type="dxa"/>
              <w:right w:w="60" w:type="dxa"/>
            </w:tcMar>
            <w:vAlign w:val="center"/>
          </w:tcPr>
          <w:p w14:paraId="7A2AF7E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876" w:type="dxa"/>
            <w:tcBorders>
              <w:top w:val="nil"/>
              <w:left w:val="nil"/>
              <w:bottom w:val="nil"/>
              <w:right w:val="nil"/>
              <w:tl2br w:val="nil"/>
              <w:tr2bl w:val="nil"/>
            </w:tcBorders>
            <w:tcMar>
              <w:left w:w="60" w:type="dxa"/>
              <w:right w:w="60" w:type="dxa"/>
            </w:tcMar>
            <w:vAlign w:val="center"/>
          </w:tcPr>
          <w:p w14:paraId="5D756A6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1 053</w:t>
            </w:r>
          </w:p>
        </w:tc>
        <w:tc>
          <w:tcPr>
            <w:tcW w:w="876" w:type="dxa"/>
            <w:tcBorders>
              <w:top w:val="nil"/>
              <w:left w:val="nil"/>
              <w:bottom w:val="nil"/>
              <w:right w:val="nil"/>
              <w:tl2br w:val="nil"/>
              <w:tr2bl w:val="nil"/>
            </w:tcBorders>
            <w:tcMar>
              <w:left w:w="60" w:type="dxa"/>
              <w:right w:w="60" w:type="dxa"/>
            </w:tcMar>
            <w:vAlign w:val="center"/>
          </w:tcPr>
          <w:p w14:paraId="7C80CE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14:paraId="7473B5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96</w:t>
            </w:r>
          </w:p>
        </w:tc>
        <w:tc>
          <w:tcPr>
            <w:tcW w:w="876" w:type="dxa"/>
            <w:tcBorders>
              <w:top w:val="nil"/>
              <w:left w:val="nil"/>
              <w:bottom w:val="nil"/>
              <w:right w:val="nil"/>
              <w:tl2br w:val="nil"/>
              <w:tr2bl w:val="nil"/>
            </w:tcBorders>
            <w:tcMar>
              <w:left w:w="60" w:type="dxa"/>
              <w:right w:w="60" w:type="dxa"/>
            </w:tcMar>
            <w:vAlign w:val="center"/>
          </w:tcPr>
          <w:p w14:paraId="160E63F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1 154</w:t>
            </w:r>
          </w:p>
        </w:tc>
      </w:tr>
      <w:tr w:rsidR="00807FFE" w14:paraId="5BF40D54"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09BFC7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B31E010"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036D96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231</w:t>
            </w:r>
          </w:p>
        </w:tc>
        <w:tc>
          <w:tcPr>
            <w:tcW w:w="875" w:type="dxa"/>
            <w:tcBorders>
              <w:top w:val="nil"/>
              <w:left w:val="nil"/>
              <w:bottom w:val="nil"/>
              <w:right w:val="nil"/>
              <w:tl2br w:val="nil"/>
              <w:tr2bl w:val="nil"/>
            </w:tcBorders>
            <w:tcMar>
              <w:left w:w="60" w:type="dxa"/>
              <w:right w:w="60" w:type="dxa"/>
            </w:tcMar>
            <w:vAlign w:val="center"/>
          </w:tcPr>
          <w:p w14:paraId="1E310B4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5A89517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230</w:t>
            </w:r>
          </w:p>
        </w:tc>
        <w:tc>
          <w:tcPr>
            <w:tcW w:w="876" w:type="dxa"/>
            <w:tcBorders>
              <w:top w:val="nil"/>
              <w:left w:val="nil"/>
              <w:bottom w:val="nil"/>
              <w:right w:val="nil"/>
              <w:tl2br w:val="nil"/>
              <w:tr2bl w:val="nil"/>
            </w:tcBorders>
            <w:tcMar>
              <w:left w:w="60" w:type="dxa"/>
              <w:right w:w="60" w:type="dxa"/>
            </w:tcMar>
            <w:vAlign w:val="center"/>
          </w:tcPr>
          <w:p w14:paraId="610648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9285CA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2C77411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240</w:t>
            </w:r>
          </w:p>
        </w:tc>
        <w:tc>
          <w:tcPr>
            <w:tcW w:w="876" w:type="dxa"/>
            <w:tcBorders>
              <w:top w:val="nil"/>
              <w:left w:val="nil"/>
              <w:bottom w:val="nil"/>
              <w:right w:val="nil"/>
              <w:tl2br w:val="nil"/>
              <w:tr2bl w:val="nil"/>
            </w:tcBorders>
            <w:tcMar>
              <w:left w:w="60" w:type="dxa"/>
              <w:right w:w="60" w:type="dxa"/>
            </w:tcMar>
            <w:vAlign w:val="center"/>
          </w:tcPr>
          <w:p w14:paraId="7609FC8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231</w:t>
            </w:r>
          </w:p>
        </w:tc>
        <w:tc>
          <w:tcPr>
            <w:tcW w:w="876" w:type="dxa"/>
            <w:tcBorders>
              <w:top w:val="nil"/>
              <w:left w:val="nil"/>
              <w:bottom w:val="nil"/>
              <w:right w:val="nil"/>
              <w:tl2br w:val="nil"/>
              <w:tr2bl w:val="nil"/>
            </w:tcBorders>
            <w:tcMar>
              <w:left w:w="60" w:type="dxa"/>
              <w:right w:w="60" w:type="dxa"/>
            </w:tcMar>
            <w:vAlign w:val="center"/>
          </w:tcPr>
          <w:p w14:paraId="782AB98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1A1DAB6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230</w:t>
            </w:r>
          </w:p>
        </w:tc>
        <w:tc>
          <w:tcPr>
            <w:tcW w:w="876" w:type="dxa"/>
            <w:tcBorders>
              <w:top w:val="nil"/>
              <w:left w:val="nil"/>
              <w:bottom w:val="nil"/>
              <w:right w:val="nil"/>
              <w:tl2br w:val="nil"/>
              <w:tr2bl w:val="nil"/>
            </w:tcBorders>
            <w:tcMar>
              <w:left w:w="60" w:type="dxa"/>
              <w:right w:w="60" w:type="dxa"/>
            </w:tcMar>
            <w:vAlign w:val="center"/>
          </w:tcPr>
          <w:p w14:paraId="7F4512A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7EAD15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266DC38F"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240</w:t>
            </w:r>
          </w:p>
        </w:tc>
      </w:tr>
      <w:tr w:rsidR="00807FFE" w14:paraId="5D3EE1E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CB03B3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FDB7AF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Other actions</w:t>
            </w:r>
          </w:p>
        </w:tc>
        <w:tc>
          <w:tcPr>
            <w:tcW w:w="875" w:type="dxa"/>
            <w:tcBorders>
              <w:top w:val="nil"/>
              <w:left w:val="nil"/>
              <w:bottom w:val="nil"/>
              <w:right w:val="nil"/>
              <w:tl2br w:val="nil"/>
              <w:tr2bl w:val="nil"/>
            </w:tcBorders>
            <w:tcMar>
              <w:left w:w="60" w:type="dxa"/>
              <w:right w:w="60" w:type="dxa"/>
            </w:tcMar>
            <w:vAlign w:val="center"/>
          </w:tcPr>
          <w:p w14:paraId="3208A64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10E0B2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1731E8D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0BD45F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832A6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168</w:t>
            </w:r>
          </w:p>
        </w:tc>
        <w:tc>
          <w:tcPr>
            <w:tcW w:w="876" w:type="dxa"/>
            <w:tcBorders>
              <w:top w:val="nil"/>
              <w:left w:val="nil"/>
              <w:bottom w:val="nil"/>
              <w:right w:val="nil"/>
              <w:tl2br w:val="nil"/>
              <w:tr2bl w:val="nil"/>
            </w:tcBorders>
            <w:tcMar>
              <w:left w:w="60" w:type="dxa"/>
              <w:right w:w="60" w:type="dxa"/>
            </w:tcMar>
            <w:vAlign w:val="center"/>
          </w:tcPr>
          <w:p w14:paraId="3A396AA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169</w:t>
            </w:r>
          </w:p>
        </w:tc>
        <w:tc>
          <w:tcPr>
            <w:tcW w:w="876" w:type="dxa"/>
            <w:tcBorders>
              <w:top w:val="nil"/>
              <w:left w:val="nil"/>
              <w:bottom w:val="nil"/>
              <w:right w:val="nil"/>
              <w:tl2br w:val="nil"/>
              <w:tr2bl w:val="nil"/>
            </w:tcBorders>
            <w:tcMar>
              <w:left w:w="60" w:type="dxa"/>
              <w:right w:w="60" w:type="dxa"/>
            </w:tcMar>
            <w:vAlign w:val="center"/>
          </w:tcPr>
          <w:p w14:paraId="47BD126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B78112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836B1D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3550CF6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830B3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226</w:t>
            </w:r>
          </w:p>
        </w:tc>
        <w:tc>
          <w:tcPr>
            <w:tcW w:w="876" w:type="dxa"/>
            <w:tcBorders>
              <w:top w:val="nil"/>
              <w:left w:val="nil"/>
              <w:bottom w:val="nil"/>
              <w:right w:val="nil"/>
              <w:tl2br w:val="nil"/>
              <w:tr2bl w:val="nil"/>
            </w:tcBorders>
            <w:tcMar>
              <w:left w:w="60" w:type="dxa"/>
              <w:right w:w="60" w:type="dxa"/>
            </w:tcMar>
            <w:vAlign w:val="center"/>
          </w:tcPr>
          <w:p w14:paraId="7F5E3C5E"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227</w:t>
            </w:r>
          </w:p>
        </w:tc>
      </w:tr>
      <w:tr w:rsidR="00807FFE" w14:paraId="4C938F4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06D293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6D31C12"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6BE8800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5" w:type="dxa"/>
            <w:tcBorders>
              <w:top w:val="nil"/>
              <w:left w:val="nil"/>
              <w:bottom w:val="nil"/>
              <w:right w:val="nil"/>
              <w:tl2br w:val="nil"/>
              <w:tr2bl w:val="nil"/>
            </w:tcBorders>
            <w:tcMar>
              <w:left w:w="60" w:type="dxa"/>
              <w:right w:w="60" w:type="dxa"/>
            </w:tcMar>
            <w:vAlign w:val="center"/>
          </w:tcPr>
          <w:p w14:paraId="5184942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6634E06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1591C4C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4360B3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857F99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620E144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14:paraId="512DCC1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4FAE9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14:paraId="08E212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3E3A4C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F362E1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w:t>
            </w:r>
          </w:p>
        </w:tc>
      </w:tr>
      <w:tr w:rsidR="00807FFE" w14:paraId="733A854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3ECB65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B1B1040"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75" w:type="dxa"/>
            <w:tcBorders>
              <w:top w:val="nil"/>
              <w:left w:val="nil"/>
              <w:bottom w:val="nil"/>
              <w:right w:val="nil"/>
              <w:tl2br w:val="nil"/>
              <w:tr2bl w:val="nil"/>
            </w:tcBorders>
            <w:tcMar>
              <w:left w:w="60" w:type="dxa"/>
              <w:right w:w="60" w:type="dxa"/>
            </w:tcMar>
            <w:vAlign w:val="center"/>
          </w:tcPr>
          <w:p w14:paraId="184B44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5" w:type="dxa"/>
            <w:tcBorders>
              <w:top w:val="nil"/>
              <w:left w:val="nil"/>
              <w:bottom w:val="nil"/>
              <w:right w:val="nil"/>
              <w:tl2br w:val="nil"/>
              <w:tr2bl w:val="nil"/>
            </w:tcBorders>
            <w:tcMar>
              <w:left w:w="60" w:type="dxa"/>
              <w:right w:w="60" w:type="dxa"/>
            </w:tcMar>
            <w:vAlign w:val="center"/>
          </w:tcPr>
          <w:p w14:paraId="1A8B5B5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6F3BD6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14:paraId="659241F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6F9B7B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25099B2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14:paraId="7C931A4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876" w:type="dxa"/>
            <w:tcBorders>
              <w:top w:val="nil"/>
              <w:left w:val="nil"/>
              <w:bottom w:val="nil"/>
              <w:right w:val="nil"/>
              <w:tl2br w:val="nil"/>
              <w:tr2bl w:val="nil"/>
            </w:tcBorders>
            <w:tcMar>
              <w:left w:w="60" w:type="dxa"/>
              <w:right w:w="60" w:type="dxa"/>
            </w:tcMar>
            <w:vAlign w:val="center"/>
          </w:tcPr>
          <w:p w14:paraId="326455E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4E409A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14:paraId="1F86E9D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5C51E8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46317AA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w:t>
            </w:r>
          </w:p>
        </w:tc>
      </w:tr>
      <w:tr w:rsidR="00807FFE" w14:paraId="284B42A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717A1E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0AADBE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Single Market Programme (incl. SMEs)</w:t>
            </w:r>
          </w:p>
        </w:tc>
        <w:tc>
          <w:tcPr>
            <w:tcW w:w="875" w:type="dxa"/>
            <w:tcBorders>
              <w:top w:val="nil"/>
              <w:left w:val="nil"/>
              <w:bottom w:val="nil"/>
              <w:right w:val="nil"/>
              <w:tl2br w:val="nil"/>
              <w:tr2bl w:val="nil"/>
            </w:tcBorders>
            <w:tcMar>
              <w:left w:w="60" w:type="dxa"/>
              <w:right w:w="60" w:type="dxa"/>
            </w:tcMar>
            <w:vAlign w:val="center"/>
          </w:tcPr>
          <w:p w14:paraId="45C2331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613</w:t>
            </w:r>
          </w:p>
        </w:tc>
        <w:tc>
          <w:tcPr>
            <w:tcW w:w="875" w:type="dxa"/>
            <w:tcBorders>
              <w:top w:val="nil"/>
              <w:left w:val="nil"/>
              <w:bottom w:val="nil"/>
              <w:right w:val="nil"/>
              <w:tl2br w:val="nil"/>
              <w:tr2bl w:val="nil"/>
            </w:tcBorders>
            <w:tcMar>
              <w:left w:w="60" w:type="dxa"/>
              <w:right w:w="60" w:type="dxa"/>
            </w:tcMar>
            <w:vAlign w:val="center"/>
          </w:tcPr>
          <w:p w14:paraId="462E9F7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05A990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614</w:t>
            </w:r>
          </w:p>
        </w:tc>
        <w:tc>
          <w:tcPr>
            <w:tcW w:w="876" w:type="dxa"/>
            <w:tcBorders>
              <w:top w:val="nil"/>
              <w:left w:val="nil"/>
              <w:bottom w:val="nil"/>
              <w:right w:val="nil"/>
              <w:tl2br w:val="nil"/>
              <w:tr2bl w:val="nil"/>
            </w:tcBorders>
            <w:tcMar>
              <w:left w:w="60" w:type="dxa"/>
              <w:right w:w="60" w:type="dxa"/>
            </w:tcMar>
            <w:vAlign w:val="center"/>
          </w:tcPr>
          <w:p w14:paraId="5508E0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09C3FA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14:paraId="15435B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663</w:t>
            </w:r>
          </w:p>
        </w:tc>
        <w:tc>
          <w:tcPr>
            <w:tcW w:w="876" w:type="dxa"/>
            <w:tcBorders>
              <w:top w:val="nil"/>
              <w:left w:val="nil"/>
              <w:bottom w:val="nil"/>
              <w:right w:val="nil"/>
              <w:tl2br w:val="nil"/>
              <w:tr2bl w:val="nil"/>
            </w:tcBorders>
            <w:tcMar>
              <w:left w:w="60" w:type="dxa"/>
              <w:right w:w="60" w:type="dxa"/>
            </w:tcMar>
            <w:vAlign w:val="center"/>
          </w:tcPr>
          <w:p w14:paraId="5429DC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615</w:t>
            </w:r>
          </w:p>
        </w:tc>
        <w:tc>
          <w:tcPr>
            <w:tcW w:w="876" w:type="dxa"/>
            <w:tcBorders>
              <w:top w:val="nil"/>
              <w:left w:val="nil"/>
              <w:bottom w:val="nil"/>
              <w:right w:val="nil"/>
              <w:tl2br w:val="nil"/>
              <w:tr2bl w:val="nil"/>
            </w:tcBorders>
            <w:tcMar>
              <w:left w:w="60" w:type="dxa"/>
              <w:right w:w="60" w:type="dxa"/>
            </w:tcMar>
            <w:vAlign w:val="center"/>
          </w:tcPr>
          <w:p w14:paraId="650A5D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876" w:type="dxa"/>
            <w:tcBorders>
              <w:top w:val="nil"/>
              <w:left w:val="nil"/>
              <w:bottom w:val="nil"/>
              <w:right w:val="nil"/>
              <w:tl2br w:val="nil"/>
              <w:tr2bl w:val="nil"/>
            </w:tcBorders>
            <w:tcMar>
              <w:left w:w="60" w:type="dxa"/>
              <w:right w:w="60" w:type="dxa"/>
            </w:tcMar>
            <w:vAlign w:val="center"/>
          </w:tcPr>
          <w:p w14:paraId="59B3D99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704</w:t>
            </w:r>
          </w:p>
        </w:tc>
        <w:tc>
          <w:tcPr>
            <w:tcW w:w="876" w:type="dxa"/>
            <w:tcBorders>
              <w:top w:val="nil"/>
              <w:left w:val="nil"/>
              <w:bottom w:val="nil"/>
              <w:right w:val="nil"/>
              <w:tl2br w:val="nil"/>
              <w:tr2bl w:val="nil"/>
            </w:tcBorders>
            <w:tcMar>
              <w:left w:w="60" w:type="dxa"/>
              <w:right w:w="60" w:type="dxa"/>
            </w:tcMar>
            <w:vAlign w:val="center"/>
          </w:tcPr>
          <w:p w14:paraId="63AE665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349A040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69</w:t>
            </w:r>
          </w:p>
        </w:tc>
        <w:tc>
          <w:tcPr>
            <w:tcW w:w="876" w:type="dxa"/>
            <w:tcBorders>
              <w:top w:val="nil"/>
              <w:left w:val="nil"/>
              <w:bottom w:val="nil"/>
              <w:right w:val="nil"/>
              <w:tl2br w:val="nil"/>
              <w:tr2bl w:val="nil"/>
            </w:tcBorders>
            <w:tcMar>
              <w:left w:w="60" w:type="dxa"/>
              <w:right w:w="60" w:type="dxa"/>
            </w:tcMar>
            <w:vAlign w:val="center"/>
          </w:tcPr>
          <w:p w14:paraId="139A7A1C"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780</w:t>
            </w:r>
          </w:p>
        </w:tc>
      </w:tr>
      <w:tr w:rsidR="00807FFE" w14:paraId="35845A62"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A4939F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6419A2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 Anti-Fraud Programme</w:t>
            </w:r>
          </w:p>
        </w:tc>
        <w:tc>
          <w:tcPr>
            <w:tcW w:w="875" w:type="dxa"/>
            <w:tcBorders>
              <w:top w:val="nil"/>
              <w:left w:val="nil"/>
              <w:bottom w:val="nil"/>
              <w:right w:val="nil"/>
              <w:tl2br w:val="nil"/>
              <w:tr2bl w:val="nil"/>
            </w:tcBorders>
            <w:tcMar>
              <w:left w:w="60" w:type="dxa"/>
              <w:right w:w="60" w:type="dxa"/>
            </w:tcMar>
            <w:vAlign w:val="center"/>
          </w:tcPr>
          <w:p w14:paraId="6DC30FA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875" w:type="dxa"/>
            <w:tcBorders>
              <w:top w:val="nil"/>
              <w:left w:val="nil"/>
              <w:bottom w:val="nil"/>
              <w:right w:val="nil"/>
              <w:tl2br w:val="nil"/>
              <w:tr2bl w:val="nil"/>
            </w:tcBorders>
            <w:tcMar>
              <w:left w:w="60" w:type="dxa"/>
              <w:right w:w="60" w:type="dxa"/>
            </w:tcMar>
            <w:vAlign w:val="center"/>
          </w:tcPr>
          <w:p w14:paraId="6F3C327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7368CD1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14:paraId="16906DF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DD7F7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213CB2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876" w:type="dxa"/>
            <w:tcBorders>
              <w:top w:val="nil"/>
              <w:left w:val="nil"/>
              <w:bottom w:val="nil"/>
              <w:right w:val="nil"/>
              <w:tl2br w:val="nil"/>
              <w:tr2bl w:val="nil"/>
            </w:tcBorders>
            <w:tcMar>
              <w:left w:w="60" w:type="dxa"/>
              <w:right w:w="60" w:type="dxa"/>
            </w:tcMar>
            <w:vAlign w:val="center"/>
          </w:tcPr>
          <w:p w14:paraId="308FE37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14:paraId="1B1579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1D7DC9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14:paraId="7135793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B79462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685C931"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w:t>
            </w:r>
          </w:p>
        </w:tc>
      </w:tr>
      <w:tr w:rsidR="00807FFE" w14:paraId="32FF3F40"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18C259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889D57C"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Cooperation in the field of taxation (Fiscalis)</w:t>
            </w:r>
          </w:p>
        </w:tc>
        <w:tc>
          <w:tcPr>
            <w:tcW w:w="875" w:type="dxa"/>
            <w:tcBorders>
              <w:top w:val="nil"/>
              <w:left w:val="nil"/>
              <w:bottom w:val="nil"/>
              <w:right w:val="nil"/>
              <w:tl2br w:val="nil"/>
              <w:tr2bl w:val="nil"/>
            </w:tcBorders>
            <w:tcMar>
              <w:left w:w="60" w:type="dxa"/>
              <w:right w:w="60" w:type="dxa"/>
            </w:tcMar>
            <w:vAlign w:val="center"/>
          </w:tcPr>
          <w:p w14:paraId="0ACFDD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875" w:type="dxa"/>
            <w:tcBorders>
              <w:top w:val="nil"/>
              <w:left w:val="nil"/>
              <w:bottom w:val="nil"/>
              <w:right w:val="nil"/>
              <w:tl2br w:val="nil"/>
              <w:tr2bl w:val="nil"/>
            </w:tcBorders>
            <w:tcMar>
              <w:left w:w="60" w:type="dxa"/>
              <w:right w:w="60" w:type="dxa"/>
            </w:tcMar>
            <w:vAlign w:val="center"/>
          </w:tcPr>
          <w:p w14:paraId="637231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EE5A5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876" w:type="dxa"/>
            <w:tcBorders>
              <w:top w:val="nil"/>
              <w:left w:val="nil"/>
              <w:bottom w:val="nil"/>
              <w:right w:val="nil"/>
              <w:tl2br w:val="nil"/>
              <w:tr2bl w:val="nil"/>
            </w:tcBorders>
            <w:tcMar>
              <w:left w:w="60" w:type="dxa"/>
              <w:right w:w="60" w:type="dxa"/>
            </w:tcMar>
            <w:vAlign w:val="center"/>
          </w:tcPr>
          <w:p w14:paraId="3AFFA7F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CDA792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467AF2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14:paraId="78B6618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14:paraId="07C8380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271A698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14:paraId="3B4FBCC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D0A22D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8E77850"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44</w:t>
            </w:r>
          </w:p>
        </w:tc>
      </w:tr>
      <w:tr w:rsidR="00807FFE" w14:paraId="0943C430"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52A37D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FAD18C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Cooperation in the field of customs (Customs)</w:t>
            </w:r>
          </w:p>
        </w:tc>
        <w:tc>
          <w:tcPr>
            <w:tcW w:w="875" w:type="dxa"/>
            <w:tcBorders>
              <w:top w:val="nil"/>
              <w:left w:val="nil"/>
              <w:bottom w:val="nil"/>
              <w:right w:val="nil"/>
              <w:tl2br w:val="nil"/>
              <w:tr2bl w:val="nil"/>
            </w:tcBorders>
            <w:tcMar>
              <w:left w:w="60" w:type="dxa"/>
              <w:right w:w="60" w:type="dxa"/>
            </w:tcMar>
            <w:vAlign w:val="center"/>
          </w:tcPr>
          <w:p w14:paraId="6E9C9D2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138</w:t>
            </w:r>
          </w:p>
        </w:tc>
        <w:tc>
          <w:tcPr>
            <w:tcW w:w="875" w:type="dxa"/>
            <w:tcBorders>
              <w:top w:val="nil"/>
              <w:left w:val="nil"/>
              <w:bottom w:val="nil"/>
              <w:right w:val="nil"/>
              <w:tl2br w:val="nil"/>
              <w:tr2bl w:val="nil"/>
            </w:tcBorders>
            <w:tcMar>
              <w:left w:w="60" w:type="dxa"/>
              <w:right w:w="60" w:type="dxa"/>
            </w:tcMar>
            <w:vAlign w:val="center"/>
          </w:tcPr>
          <w:p w14:paraId="0945BB9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60</w:t>
            </w:r>
          </w:p>
        </w:tc>
        <w:tc>
          <w:tcPr>
            <w:tcW w:w="875" w:type="dxa"/>
            <w:tcBorders>
              <w:top w:val="nil"/>
              <w:left w:val="nil"/>
              <w:bottom w:val="nil"/>
              <w:right w:val="nil"/>
              <w:tl2br w:val="nil"/>
              <w:tr2bl w:val="nil"/>
            </w:tcBorders>
            <w:tcMar>
              <w:left w:w="60" w:type="dxa"/>
              <w:right w:w="60" w:type="dxa"/>
            </w:tcMar>
            <w:vAlign w:val="center"/>
          </w:tcPr>
          <w:p w14:paraId="533B0C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198</w:t>
            </w:r>
          </w:p>
        </w:tc>
        <w:tc>
          <w:tcPr>
            <w:tcW w:w="876" w:type="dxa"/>
            <w:tcBorders>
              <w:top w:val="nil"/>
              <w:left w:val="nil"/>
              <w:bottom w:val="nil"/>
              <w:right w:val="nil"/>
              <w:tl2br w:val="nil"/>
              <w:tr2bl w:val="nil"/>
            </w:tcBorders>
            <w:tcMar>
              <w:left w:w="60" w:type="dxa"/>
              <w:right w:w="60" w:type="dxa"/>
            </w:tcMar>
            <w:vAlign w:val="center"/>
          </w:tcPr>
          <w:p w14:paraId="1B590A7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1F25E2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0A12D47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208</w:t>
            </w:r>
          </w:p>
        </w:tc>
        <w:tc>
          <w:tcPr>
            <w:tcW w:w="876" w:type="dxa"/>
            <w:tcBorders>
              <w:top w:val="nil"/>
              <w:left w:val="nil"/>
              <w:bottom w:val="nil"/>
              <w:right w:val="nil"/>
              <w:tl2br w:val="nil"/>
              <w:tr2bl w:val="nil"/>
            </w:tcBorders>
            <w:tcMar>
              <w:left w:w="60" w:type="dxa"/>
              <w:right w:w="60" w:type="dxa"/>
            </w:tcMar>
            <w:vAlign w:val="center"/>
          </w:tcPr>
          <w:p w14:paraId="0F6E7C7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113</w:t>
            </w:r>
          </w:p>
        </w:tc>
        <w:tc>
          <w:tcPr>
            <w:tcW w:w="876" w:type="dxa"/>
            <w:tcBorders>
              <w:top w:val="nil"/>
              <w:left w:val="nil"/>
              <w:bottom w:val="nil"/>
              <w:right w:val="nil"/>
              <w:tl2br w:val="nil"/>
              <w:tr2bl w:val="nil"/>
            </w:tcBorders>
            <w:tcMar>
              <w:left w:w="60" w:type="dxa"/>
              <w:right w:w="60" w:type="dxa"/>
            </w:tcMar>
            <w:vAlign w:val="center"/>
          </w:tcPr>
          <w:p w14:paraId="1CAA2F9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14:paraId="47F04A1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144</w:t>
            </w:r>
          </w:p>
        </w:tc>
        <w:tc>
          <w:tcPr>
            <w:tcW w:w="876" w:type="dxa"/>
            <w:tcBorders>
              <w:top w:val="nil"/>
              <w:left w:val="nil"/>
              <w:bottom w:val="nil"/>
              <w:right w:val="nil"/>
              <w:tl2br w:val="nil"/>
              <w:tr2bl w:val="nil"/>
            </w:tcBorders>
            <w:tcMar>
              <w:left w:w="60" w:type="dxa"/>
              <w:right w:w="60" w:type="dxa"/>
            </w:tcMar>
            <w:vAlign w:val="center"/>
          </w:tcPr>
          <w:p w14:paraId="6857EBF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10051E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2F66792F"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153</w:t>
            </w:r>
          </w:p>
        </w:tc>
      </w:tr>
      <w:tr w:rsidR="00807FFE" w14:paraId="555059D2"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7CA1D3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FCE734E"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5E2A725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154</w:t>
            </w:r>
          </w:p>
        </w:tc>
        <w:tc>
          <w:tcPr>
            <w:tcW w:w="875" w:type="dxa"/>
            <w:tcBorders>
              <w:top w:val="nil"/>
              <w:left w:val="nil"/>
              <w:bottom w:val="nil"/>
              <w:right w:val="nil"/>
              <w:tl2br w:val="nil"/>
              <w:tr2bl w:val="nil"/>
            </w:tcBorders>
            <w:tcMar>
              <w:left w:w="60" w:type="dxa"/>
              <w:right w:w="60" w:type="dxa"/>
            </w:tcMar>
            <w:vAlign w:val="center"/>
          </w:tcPr>
          <w:p w14:paraId="1D7263E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486E7F8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152</w:t>
            </w:r>
          </w:p>
        </w:tc>
        <w:tc>
          <w:tcPr>
            <w:tcW w:w="876" w:type="dxa"/>
            <w:tcBorders>
              <w:top w:val="nil"/>
              <w:left w:val="nil"/>
              <w:bottom w:val="nil"/>
              <w:right w:val="nil"/>
              <w:tl2br w:val="nil"/>
              <w:tr2bl w:val="nil"/>
            </w:tcBorders>
            <w:tcMar>
              <w:left w:w="60" w:type="dxa"/>
              <w:right w:w="60" w:type="dxa"/>
            </w:tcMar>
            <w:vAlign w:val="center"/>
          </w:tcPr>
          <w:p w14:paraId="521E971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A97004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0DF39D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165</w:t>
            </w:r>
          </w:p>
        </w:tc>
        <w:tc>
          <w:tcPr>
            <w:tcW w:w="876" w:type="dxa"/>
            <w:tcBorders>
              <w:top w:val="nil"/>
              <w:left w:val="nil"/>
              <w:bottom w:val="nil"/>
              <w:right w:val="nil"/>
              <w:tl2br w:val="nil"/>
              <w:tr2bl w:val="nil"/>
            </w:tcBorders>
            <w:tcMar>
              <w:left w:w="60" w:type="dxa"/>
              <w:right w:w="60" w:type="dxa"/>
            </w:tcMar>
            <w:vAlign w:val="center"/>
          </w:tcPr>
          <w:p w14:paraId="55FF8FF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154</w:t>
            </w:r>
          </w:p>
        </w:tc>
        <w:tc>
          <w:tcPr>
            <w:tcW w:w="876" w:type="dxa"/>
            <w:tcBorders>
              <w:top w:val="nil"/>
              <w:left w:val="nil"/>
              <w:bottom w:val="nil"/>
              <w:right w:val="nil"/>
              <w:tl2br w:val="nil"/>
              <w:tr2bl w:val="nil"/>
            </w:tcBorders>
            <w:tcMar>
              <w:left w:w="60" w:type="dxa"/>
              <w:right w:w="60" w:type="dxa"/>
            </w:tcMar>
            <w:vAlign w:val="center"/>
          </w:tcPr>
          <w:p w14:paraId="484256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33F235E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152</w:t>
            </w:r>
          </w:p>
        </w:tc>
        <w:tc>
          <w:tcPr>
            <w:tcW w:w="876" w:type="dxa"/>
            <w:tcBorders>
              <w:top w:val="nil"/>
              <w:left w:val="nil"/>
              <w:bottom w:val="nil"/>
              <w:right w:val="nil"/>
              <w:tl2br w:val="nil"/>
              <w:tr2bl w:val="nil"/>
            </w:tcBorders>
            <w:tcMar>
              <w:left w:w="60" w:type="dxa"/>
              <w:right w:w="60" w:type="dxa"/>
            </w:tcMar>
            <w:vAlign w:val="center"/>
          </w:tcPr>
          <w:p w14:paraId="6E0AA20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8F7C35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440D826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164</w:t>
            </w:r>
          </w:p>
        </w:tc>
      </w:tr>
      <w:tr w:rsidR="00807FFE" w14:paraId="08CD147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692B42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516982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Other actions</w:t>
            </w:r>
          </w:p>
        </w:tc>
        <w:tc>
          <w:tcPr>
            <w:tcW w:w="875" w:type="dxa"/>
            <w:tcBorders>
              <w:top w:val="nil"/>
              <w:left w:val="nil"/>
              <w:bottom w:val="nil"/>
              <w:right w:val="nil"/>
              <w:tl2br w:val="nil"/>
              <w:tr2bl w:val="nil"/>
            </w:tcBorders>
            <w:tcMar>
              <w:left w:w="60" w:type="dxa"/>
              <w:right w:w="60" w:type="dxa"/>
            </w:tcMar>
            <w:vAlign w:val="center"/>
          </w:tcPr>
          <w:p w14:paraId="0ED81B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5" w:type="dxa"/>
            <w:tcBorders>
              <w:top w:val="nil"/>
              <w:left w:val="nil"/>
              <w:bottom w:val="nil"/>
              <w:right w:val="nil"/>
              <w:tl2br w:val="nil"/>
              <w:tr2bl w:val="nil"/>
            </w:tcBorders>
            <w:tcMar>
              <w:left w:w="60" w:type="dxa"/>
              <w:right w:w="60" w:type="dxa"/>
            </w:tcMar>
            <w:vAlign w:val="center"/>
          </w:tcPr>
          <w:p w14:paraId="13ADCA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0D3F69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54CC64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02FC55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3B29AB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75E6E8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3685828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AECA97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242D235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2B107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C82964F"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w:t>
            </w:r>
          </w:p>
        </w:tc>
      </w:tr>
      <w:tr w:rsidR="00807FFE" w14:paraId="64F905A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E96E2C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D88074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268BEDB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5" w:type="dxa"/>
            <w:tcBorders>
              <w:top w:val="nil"/>
              <w:left w:val="nil"/>
              <w:bottom w:val="nil"/>
              <w:right w:val="nil"/>
              <w:tl2br w:val="nil"/>
              <w:tr2bl w:val="nil"/>
            </w:tcBorders>
            <w:tcMar>
              <w:left w:w="60" w:type="dxa"/>
              <w:right w:w="60" w:type="dxa"/>
            </w:tcMar>
            <w:vAlign w:val="center"/>
          </w:tcPr>
          <w:p w14:paraId="612C0EF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2466F5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14:paraId="13297DF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9D2839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C0DF7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14:paraId="1EDA728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14:paraId="3D67B18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E1178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14:paraId="0F3F400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8878A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2CEDCC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11</w:t>
            </w:r>
          </w:p>
        </w:tc>
      </w:tr>
      <w:tr w:rsidR="00807FFE" w14:paraId="1B18797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05BA4F3"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6D3D5B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Space Programme</w:t>
            </w:r>
          </w:p>
        </w:tc>
        <w:tc>
          <w:tcPr>
            <w:tcW w:w="875" w:type="dxa"/>
            <w:tcBorders>
              <w:top w:val="nil"/>
              <w:left w:val="nil"/>
              <w:bottom w:val="nil"/>
              <w:right w:val="nil"/>
              <w:tl2br w:val="nil"/>
              <w:tr2bl w:val="nil"/>
            </w:tcBorders>
            <w:tcMar>
              <w:left w:w="60" w:type="dxa"/>
              <w:right w:w="60" w:type="dxa"/>
            </w:tcMar>
            <w:vAlign w:val="center"/>
          </w:tcPr>
          <w:p w14:paraId="57BACCB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2 051</w:t>
            </w:r>
          </w:p>
        </w:tc>
        <w:tc>
          <w:tcPr>
            <w:tcW w:w="875" w:type="dxa"/>
            <w:tcBorders>
              <w:top w:val="nil"/>
              <w:left w:val="nil"/>
              <w:bottom w:val="nil"/>
              <w:right w:val="nil"/>
              <w:tl2br w:val="nil"/>
              <w:tr2bl w:val="nil"/>
            </w:tcBorders>
            <w:tcMar>
              <w:left w:w="60" w:type="dxa"/>
              <w:right w:w="60" w:type="dxa"/>
            </w:tcMar>
            <w:vAlign w:val="center"/>
          </w:tcPr>
          <w:p w14:paraId="344C25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6857DD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2 051</w:t>
            </w:r>
          </w:p>
        </w:tc>
        <w:tc>
          <w:tcPr>
            <w:tcW w:w="876" w:type="dxa"/>
            <w:tcBorders>
              <w:top w:val="nil"/>
              <w:left w:val="nil"/>
              <w:bottom w:val="nil"/>
              <w:right w:val="nil"/>
              <w:tl2br w:val="nil"/>
              <w:tr2bl w:val="nil"/>
            </w:tcBorders>
            <w:tcMar>
              <w:left w:w="60" w:type="dxa"/>
              <w:right w:w="60" w:type="dxa"/>
            </w:tcMar>
            <w:vAlign w:val="center"/>
          </w:tcPr>
          <w:p w14:paraId="0DE0E5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7CCB3C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317</w:t>
            </w:r>
          </w:p>
        </w:tc>
        <w:tc>
          <w:tcPr>
            <w:tcW w:w="876" w:type="dxa"/>
            <w:tcBorders>
              <w:top w:val="nil"/>
              <w:left w:val="nil"/>
              <w:bottom w:val="nil"/>
              <w:right w:val="nil"/>
              <w:tl2br w:val="nil"/>
              <w:tr2bl w:val="nil"/>
            </w:tcBorders>
            <w:tcMar>
              <w:left w:w="60" w:type="dxa"/>
              <w:right w:w="60" w:type="dxa"/>
            </w:tcMar>
            <w:vAlign w:val="center"/>
          </w:tcPr>
          <w:p w14:paraId="53197E3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2 368</w:t>
            </w:r>
          </w:p>
        </w:tc>
        <w:tc>
          <w:tcPr>
            <w:tcW w:w="876" w:type="dxa"/>
            <w:tcBorders>
              <w:top w:val="nil"/>
              <w:left w:val="nil"/>
              <w:bottom w:val="nil"/>
              <w:right w:val="nil"/>
              <w:tl2br w:val="nil"/>
              <w:tr2bl w:val="nil"/>
            </w:tcBorders>
            <w:tcMar>
              <w:left w:w="60" w:type="dxa"/>
              <w:right w:w="60" w:type="dxa"/>
            </w:tcMar>
            <w:vAlign w:val="center"/>
          </w:tcPr>
          <w:p w14:paraId="140C8C5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1 983</w:t>
            </w:r>
          </w:p>
        </w:tc>
        <w:tc>
          <w:tcPr>
            <w:tcW w:w="876" w:type="dxa"/>
            <w:tcBorders>
              <w:top w:val="nil"/>
              <w:left w:val="nil"/>
              <w:bottom w:val="nil"/>
              <w:right w:val="nil"/>
              <w:tl2br w:val="nil"/>
              <w:tr2bl w:val="nil"/>
            </w:tcBorders>
            <w:tcMar>
              <w:left w:w="60" w:type="dxa"/>
              <w:right w:w="60" w:type="dxa"/>
            </w:tcMar>
            <w:vAlign w:val="center"/>
          </w:tcPr>
          <w:p w14:paraId="407045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(159)</w:t>
            </w:r>
          </w:p>
        </w:tc>
        <w:tc>
          <w:tcPr>
            <w:tcW w:w="876" w:type="dxa"/>
            <w:tcBorders>
              <w:top w:val="nil"/>
              <w:left w:val="nil"/>
              <w:bottom w:val="nil"/>
              <w:right w:val="nil"/>
              <w:tl2br w:val="nil"/>
              <w:tr2bl w:val="nil"/>
            </w:tcBorders>
            <w:tcMar>
              <w:left w:w="60" w:type="dxa"/>
              <w:right w:w="60" w:type="dxa"/>
            </w:tcMar>
            <w:vAlign w:val="center"/>
          </w:tcPr>
          <w:p w14:paraId="2E311C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1 823</w:t>
            </w:r>
          </w:p>
        </w:tc>
        <w:tc>
          <w:tcPr>
            <w:tcW w:w="876" w:type="dxa"/>
            <w:tcBorders>
              <w:top w:val="nil"/>
              <w:left w:val="nil"/>
              <w:bottom w:val="nil"/>
              <w:right w:val="nil"/>
              <w:tl2br w:val="nil"/>
              <w:tr2bl w:val="nil"/>
            </w:tcBorders>
            <w:tcMar>
              <w:left w:w="60" w:type="dxa"/>
              <w:right w:w="60" w:type="dxa"/>
            </w:tcMar>
            <w:vAlign w:val="center"/>
          </w:tcPr>
          <w:p w14:paraId="2D1048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64CB3F8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640</w:t>
            </w:r>
          </w:p>
        </w:tc>
        <w:tc>
          <w:tcPr>
            <w:tcW w:w="876" w:type="dxa"/>
            <w:tcBorders>
              <w:top w:val="nil"/>
              <w:left w:val="nil"/>
              <w:bottom w:val="nil"/>
              <w:right w:val="nil"/>
              <w:tl2br w:val="nil"/>
              <w:tr2bl w:val="nil"/>
            </w:tcBorders>
            <w:tcMar>
              <w:left w:w="60" w:type="dxa"/>
              <w:right w:w="60" w:type="dxa"/>
            </w:tcMar>
            <w:vAlign w:val="center"/>
          </w:tcPr>
          <w:p w14:paraId="6451398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2 467</w:t>
            </w:r>
          </w:p>
        </w:tc>
      </w:tr>
      <w:tr w:rsidR="00807FFE" w14:paraId="1BAD1601"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4F95F8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DD314A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65CB93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875" w:type="dxa"/>
            <w:tcBorders>
              <w:top w:val="nil"/>
              <w:left w:val="nil"/>
              <w:bottom w:val="nil"/>
              <w:right w:val="nil"/>
              <w:tl2br w:val="nil"/>
              <w:tr2bl w:val="nil"/>
            </w:tcBorders>
            <w:tcMar>
              <w:left w:w="60" w:type="dxa"/>
              <w:right w:w="60" w:type="dxa"/>
            </w:tcMar>
            <w:vAlign w:val="center"/>
          </w:tcPr>
          <w:p w14:paraId="4DE45B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4C8E649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876" w:type="dxa"/>
            <w:tcBorders>
              <w:top w:val="nil"/>
              <w:left w:val="nil"/>
              <w:bottom w:val="nil"/>
              <w:right w:val="nil"/>
              <w:tl2br w:val="nil"/>
              <w:tr2bl w:val="nil"/>
            </w:tcBorders>
            <w:tcMar>
              <w:left w:w="60" w:type="dxa"/>
              <w:right w:w="60" w:type="dxa"/>
            </w:tcMar>
            <w:vAlign w:val="center"/>
          </w:tcPr>
          <w:p w14:paraId="0DB6F99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F91B07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532B3E7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876" w:type="dxa"/>
            <w:tcBorders>
              <w:top w:val="nil"/>
              <w:left w:val="nil"/>
              <w:bottom w:val="nil"/>
              <w:right w:val="nil"/>
              <w:tl2br w:val="nil"/>
              <w:tr2bl w:val="nil"/>
            </w:tcBorders>
            <w:tcMar>
              <w:left w:w="60" w:type="dxa"/>
              <w:right w:w="60" w:type="dxa"/>
            </w:tcMar>
            <w:vAlign w:val="center"/>
          </w:tcPr>
          <w:p w14:paraId="3D090D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876" w:type="dxa"/>
            <w:tcBorders>
              <w:top w:val="nil"/>
              <w:left w:val="nil"/>
              <w:bottom w:val="nil"/>
              <w:right w:val="nil"/>
              <w:tl2br w:val="nil"/>
              <w:tr2bl w:val="nil"/>
            </w:tcBorders>
            <w:tcMar>
              <w:left w:w="60" w:type="dxa"/>
              <w:right w:w="60" w:type="dxa"/>
            </w:tcMar>
            <w:vAlign w:val="center"/>
          </w:tcPr>
          <w:p w14:paraId="1F678E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2E3919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876" w:type="dxa"/>
            <w:tcBorders>
              <w:top w:val="nil"/>
              <w:left w:val="nil"/>
              <w:bottom w:val="nil"/>
              <w:right w:val="nil"/>
              <w:tl2br w:val="nil"/>
              <w:tr2bl w:val="nil"/>
            </w:tcBorders>
            <w:tcMar>
              <w:left w:w="60" w:type="dxa"/>
              <w:right w:w="60" w:type="dxa"/>
            </w:tcMar>
            <w:vAlign w:val="center"/>
          </w:tcPr>
          <w:p w14:paraId="4F54FFC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AE48E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7D32A9E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83</w:t>
            </w:r>
          </w:p>
        </w:tc>
      </w:tr>
      <w:tr w:rsidR="00807FFE" w14:paraId="6E6136C4"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A31ED6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86DFF8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3EF0E03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875" w:type="dxa"/>
            <w:tcBorders>
              <w:top w:val="nil"/>
              <w:left w:val="nil"/>
              <w:bottom w:val="nil"/>
              <w:right w:val="nil"/>
              <w:tl2br w:val="nil"/>
              <w:tr2bl w:val="nil"/>
            </w:tcBorders>
            <w:tcMar>
              <w:left w:w="60" w:type="dxa"/>
              <w:right w:w="60" w:type="dxa"/>
            </w:tcMar>
            <w:vAlign w:val="center"/>
          </w:tcPr>
          <w:p w14:paraId="39D5A53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542F507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876" w:type="dxa"/>
            <w:tcBorders>
              <w:top w:val="nil"/>
              <w:left w:val="nil"/>
              <w:bottom w:val="nil"/>
              <w:right w:val="nil"/>
              <w:tl2br w:val="nil"/>
              <w:tr2bl w:val="nil"/>
            </w:tcBorders>
            <w:tcMar>
              <w:left w:w="60" w:type="dxa"/>
              <w:right w:w="60" w:type="dxa"/>
            </w:tcMar>
            <w:vAlign w:val="center"/>
          </w:tcPr>
          <w:p w14:paraId="362FF01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81AF8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DC4C4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876" w:type="dxa"/>
            <w:tcBorders>
              <w:top w:val="nil"/>
              <w:left w:val="nil"/>
              <w:bottom w:val="nil"/>
              <w:right w:val="nil"/>
              <w:tl2br w:val="nil"/>
              <w:tr2bl w:val="nil"/>
            </w:tcBorders>
            <w:tcMar>
              <w:left w:w="60" w:type="dxa"/>
              <w:right w:w="60" w:type="dxa"/>
            </w:tcMar>
            <w:vAlign w:val="center"/>
          </w:tcPr>
          <w:p w14:paraId="30C2706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2E5F69A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1D64E8A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14:paraId="433E6F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D4F9A0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1D5491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w:t>
            </w:r>
          </w:p>
        </w:tc>
      </w:tr>
      <w:tr w:rsidR="00807FFE" w14:paraId="3D5C511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27EE762"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97F4D7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875" w:type="dxa"/>
            <w:tcBorders>
              <w:top w:val="nil"/>
              <w:left w:val="nil"/>
              <w:bottom w:val="nil"/>
              <w:right w:val="nil"/>
              <w:tl2br w:val="nil"/>
              <w:tr2bl w:val="nil"/>
            </w:tcBorders>
            <w:tcMar>
              <w:left w:w="60" w:type="dxa"/>
              <w:right w:w="60" w:type="dxa"/>
            </w:tcMar>
            <w:vAlign w:val="center"/>
          </w:tcPr>
          <w:p w14:paraId="23CC27F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875" w:type="dxa"/>
            <w:tcBorders>
              <w:top w:val="nil"/>
              <w:left w:val="nil"/>
              <w:bottom w:val="nil"/>
              <w:right w:val="nil"/>
              <w:tl2br w:val="nil"/>
              <w:tr2bl w:val="nil"/>
            </w:tcBorders>
            <w:tcMar>
              <w:left w:w="60" w:type="dxa"/>
              <w:right w:w="60" w:type="dxa"/>
            </w:tcMar>
            <w:vAlign w:val="center"/>
          </w:tcPr>
          <w:p w14:paraId="6A264F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5AC8A01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876" w:type="dxa"/>
            <w:tcBorders>
              <w:top w:val="nil"/>
              <w:left w:val="nil"/>
              <w:bottom w:val="nil"/>
              <w:right w:val="nil"/>
              <w:tl2br w:val="nil"/>
              <w:tr2bl w:val="nil"/>
            </w:tcBorders>
            <w:tcMar>
              <w:left w:w="60" w:type="dxa"/>
              <w:right w:w="60" w:type="dxa"/>
            </w:tcMar>
            <w:vAlign w:val="center"/>
          </w:tcPr>
          <w:p w14:paraId="5DB331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E8C76A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DB195B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876" w:type="dxa"/>
            <w:tcBorders>
              <w:top w:val="nil"/>
              <w:left w:val="nil"/>
              <w:bottom w:val="nil"/>
              <w:right w:val="nil"/>
              <w:tl2br w:val="nil"/>
              <w:tr2bl w:val="nil"/>
            </w:tcBorders>
            <w:tcMar>
              <w:left w:w="60" w:type="dxa"/>
              <w:right w:w="60" w:type="dxa"/>
            </w:tcMar>
            <w:vAlign w:val="center"/>
          </w:tcPr>
          <w:p w14:paraId="10C8DF7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150</w:t>
            </w:r>
          </w:p>
        </w:tc>
        <w:tc>
          <w:tcPr>
            <w:tcW w:w="876" w:type="dxa"/>
            <w:tcBorders>
              <w:top w:val="nil"/>
              <w:left w:val="nil"/>
              <w:bottom w:val="nil"/>
              <w:right w:val="nil"/>
              <w:tl2br w:val="nil"/>
              <w:tr2bl w:val="nil"/>
            </w:tcBorders>
            <w:tcMar>
              <w:left w:w="60" w:type="dxa"/>
              <w:right w:w="60" w:type="dxa"/>
            </w:tcMar>
            <w:vAlign w:val="center"/>
          </w:tcPr>
          <w:p w14:paraId="053210E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14:paraId="6CC04A7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876" w:type="dxa"/>
            <w:tcBorders>
              <w:top w:val="nil"/>
              <w:left w:val="nil"/>
              <w:bottom w:val="nil"/>
              <w:right w:val="nil"/>
              <w:tl2br w:val="nil"/>
              <w:tr2bl w:val="nil"/>
            </w:tcBorders>
            <w:tcMar>
              <w:left w:w="60" w:type="dxa"/>
              <w:right w:w="60" w:type="dxa"/>
            </w:tcMar>
            <w:vAlign w:val="center"/>
          </w:tcPr>
          <w:p w14:paraId="27F6509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F7E66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F37DE6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89</w:t>
            </w:r>
          </w:p>
        </w:tc>
      </w:tr>
      <w:tr w:rsidR="00807FFE" w14:paraId="1D5D39A4"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19A09FC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421D56E7"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1: Single Market, Innovation and Digital</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7A9BA0B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21 480</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3F70E97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69BA40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21 539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95C2F4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08EC3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8 810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FE6911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30 466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B59542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20 461</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CFE67D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(205)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6E2466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20 255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1B37FB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107</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E38307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13 673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6CA8A8B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34 035</w:t>
            </w:r>
          </w:p>
        </w:tc>
      </w:tr>
      <w:tr w:rsidR="00807FFE" w14:paraId="44143464"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C79153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C304B4D"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13C5C522"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25285C14"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186143FC"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6679D06B"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6A3D89B6"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5D8FA16"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FFEF834"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384D767"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A4875A4"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8D5EBB8"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1C0D533" w14:textId="77777777" w:rsidR="00807FFE" w:rsidRDefault="00807FFE">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DBFD9D1" w14:textId="77777777" w:rsidR="00807FFE" w:rsidRDefault="00807FFE">
            <w:pPr>
              <w:pStyle w:val="DMETW36742BIPDetailedMFF1Breakdown"/>
              <w:rPr>
                <w:rFonts w:ascii="Verdana" w:eastAsia="Verdana" w:hAnsi="Verdana" w:cs="Verdana"/>
                <w:noProof/>
                <w:color w:val="000000"/>
                <w:sz w:val="16"/>
                <w:lang w:bidi="en-GB"/>
              </w:rPr>
            </w:pPr>
          </w:p>
        </w:tc>
      </w:tr>
      <w:tr w:rsidR="00807FFE" w14:paraId="51AAB604"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62AB7C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2</w:t>
            </w:r>
          </w:p>
        </w:tc>
        <w:tc>
          <w:tcPr>
            <w:tcW w:w="3839" w:type="dxa"/>
            <w:tcBorders>
              <w:top w:val="nil"/>
              <w:left w:val="nil"/>
              <w:bottom w:val="nil"/>
              <w:right w:val="nil"/>
              <w:tl2br w:val="nil"/>
              <w:tr2bl w:val="nil"/>
            </w:tcBorders>
            <w:tcMar>
              <w:left w:w="60" w:type="dxa"/>
              <w:right w:w="60" w:type="dxa"/>
            </w:tcMar>
            <w:vAlign w:val="center"/>
          </w:tcPr>
          <w:p w14:paraId="3FD8D96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Regional Development Fund (ERDF)</w:t>
            </w:r>
          </w:p>
        </w:tc>
        <w:tc>
          <w:tcPr>
            <w:tcW w:w="875" w:type="dxa"/>
            <w:tcBorders>
              <w:top w:val="nil"/>
              <w:left w:val="nil"/>
              <w:bottom w:val="nil"/>
              <w:right w:val="nil"/>
              <w:tl2br w:val="nil"/>
              <w:tr2bl w:val="nil"/>
            </w:tcBorders>
            <w:tcMar>
              <w:left w:w="60" w:type="dxa"/>
              <w:right w:w="60" w:type="dxa"/>
            </w:tcMar>
            <w:vAlign w:val="center"/>
          </w:tcPr>
          <w:p w14:paraId="7D1A3B2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40 455</w:t>
            </w:r>
          </w:p>
        </w:tc>
        <w:tc>
          <w:tcPr>
            <w:tcW w:w="875" w:type="dxa"/>
            <w:tcBorders>
              <w:top w:val="nil"/>
              <w:left w:val="nil"/>
              <w:bottom w:val="nil"/>
              <w:right w:val="nil"/>
              <w:tl2br w:val="nil"/>
              <w:tr2bl w:val="nil"/>
            </w:tcBorders>
            <w:tcMar>
              <w:left w:w="60" w:type="dxa"/>
              <w:right w:w="60" w:type="dxa"/>
            </w:tcMar>
            <w:vAlign w:val="center"/>
          </w:tcPr>
          <w:p w14:paraId="725B6FF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38E2AC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40 457</w:t>
            </w:r>
          </w:p>
        </w:tc>
        <w:tc>
          <w:tcPr>
            <w:tcW w:w="876" w:type="dxa"/>
            <w:tcBorders>
              <w:top w:val="nil"/>
              <w:left w:val="nil"/>
              <w:bottom w:val="nil"/>
              <w:right w:val="nil"/>
              <w:tl2br w:val="nil"/>
              <w:tr2bl w:val="nil"/>
            </w:tcBorders>
            <w:tcMar>
              <w:left w:w="60" w:type="dxa"/>
              <w:right w:w="60" w:type="dxa"/>
            </w:tcMar>
            <w:vAlign w:val="center"/>
          </w:tcPr>
          <w:p w14:paraId="6B1385E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70401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410</w:t>
            </w:r>
          </w:p>
        </w:tc>
        <w:tc>
          <w:tcPr>
            <w:tcW w:w="876" w:type="dxa"/>
            <w:tcBorders>
              <w:top w:val="nil"/>
              <w:left w:val="nil"/>
              <w:bottom w:val="nil"/>
              <w:right w:val="nil"/>
              <w:tl2br w:val="nil"/>
              <w:tr2bl w:val="nil"/>
            </w:tcBorders>
            <w:tcMar>
              <w:left w:w="60" w:type="dxa"/>
              <w:right w:w="60" w:type="dxa"/>
            </w:tcMar>
            <w:vAlign w:val="center"/>
          </w:tcPr>
          <w:p w14:paraId="1FB584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40 867</w:t>
            </w:r>
          </w:p>
        </w:tc>
        <w:tc>
          <w:tcPr>
            <w:tcW w:w="876" w:type="dxa"/>
            <w:tcBorders>
              <w:top w:val="nil"/>
              <w:left w:val="nil"/>
              <w:bottom w:val="nil"/>
              <w:right w:val="nil"/>
              <w:tl2br w:val="nil"/>
              <w:tr2bl w:val="nil"/>
            </w:tcBorders>
            <w:tcMar>
              <w:left w:w="60" w:type="dxa"/>
              <w:right w:w="60" w:type="dxa"/>
            </w:tcMar>
            <w:vAlign w:val="center"/>
          </w:tcPr>
          <w:p w14:paraId="11A677E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21 327</w:t>
            </w:r>
          </w:p>
        </w:tc>
        <w:tc>
          <w:tcPr>
            <w:tcW w:w="876" w:type="dxa"/>
            <w:tcBorders>
              <w:top w:val="nil"/>
              <w:left w:val="nil"/>
              <w:bottom w:val="nil"/>
              <w:right w:val="nil"/>
              <w:tl2br w:val="nil"/>
              <w:tr2bl w:val="nil"/>
            </w:tcBorders>
            <w:tcMar>
              <w:left w:w="60" w:type="dxa"/>
              <w:right w:w="60" w:type="dxa"/>
            </w:tcMar>
            <w:vAlign w:val="center"/>
          </w:tcPr>
          <w:p w14:paraId="3A51DF9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(488)</w:t>
            </w:r>
          </w:p>
        </w:tc>
        <w:tc>
          <w:tcPr>
            <w:tcW w:w="876" w:type="dxa"/>
            <w:tcBorders>
              <w:top w:val="nil"/>
              <w:left w:val="nil"/>
              <w:bottom w:val="nil"/>
              <w:right w:val="nil"/>
              <w:tl2br w:val="nil"/>
              <w:tr2bl w:val="nil"/>
            </w:tcBorders>
            <w:tcMar>
              <w:left w:w="60" w:type="dxa"/>
              <w:right w:w="60" w:type="dxa"/>
            </w:tcMar>
            <w:vAlign w:val="center"/>
          </w:tcPr>
          <w:p w14:paraId="71FC3A9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20 839</w:t>
            </w:r>
          </w:p>
        </w:tc>
        <w:tc>
          <w:tcPr>
            <w:tcW w:w="876" w:type="dxa"/>
            <w:tcBorders>
              <w:top w:val="nil"/>
              <w:left w:val="nil"/>
              <w:bottom w:val="nil"/>
              <w:right w:val="nil"/>
              <w:tl2br w:val="nil"/>
              <w:tr2bl w:val="nil"/>
            </w:tcBorders>
            <w:tcMar>
              <w:left w:w="60" w:type="dxa"/>
              <w:right w:w="60" w:type="dxa"/>
            </w:tcMar>
            <w:vAlign w:val="center"/>
          </w:tcPr>
          <w:p w14:paraId="7460814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54D6E1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2 555</w:t>
            </w:r>
          </w:p>
        </w:tc>
        <w:tc>
          <w:tcPr>
            <w:tcW w:w="876" w:type="dxa"/>
            <w:tcBorders>
              <w:top w:val="nil"/>
              <w:left w:val="nil"/>
              <w:bottom w:val="nil"/>
              <w:right w:val="nil"/>
              <w:tl2br w:val="nil"/>
              <w:tr2bl w:val="nil"/>
            </w:tcBorders>
            <w:tcMar>
              <w:left w:w="60" w:type="dxa"/>
              <w:right w:w="60" w:type="dxa"/>
            </w:tcMar>
            <w:vAlign w:val="center"/>
          </w:tcPr>
          <w:p w14:paraId="76846F3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23 394</w:t>
            </w:r>
          </w:p>
        </w:tc>
      </w:tr>
      <w:tr w:rsidR="00807FFE" w14:paraId="0331652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D15A42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2481B5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Cohesion Fund (CF)</w:t>
            </w:r>
          </w:p>
        </w:tc>
        <w:tc>
          <w:tcPr>
            <w:tcW w:w="875" w:type="dxa"/>
            <w:tcBorders>
              <w:top w:val="nil"/>
              <w:left w:val="nil"/>
              <w:bottom w:val="nil"/>
              <w:right w:val="nil"/>
              <w:tl2br w:val="nil"/>
              <w:tr2bl w:val="nil"/>
            </w:tcBorders>
            <w:tcMar>
              <w:left w:w="60" w:type="dxa"/>
              <w:right w:w="60" w:type="dxa"/>
            </w:tcMar>
            <w:vAlign w:val="center"/>
          </w:tcPr>
          <w:p w14:paraId="034D3C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7 053</w:t>
            </w:r>
          </w:p>
        </w:tc>
        <w:tc>
          <w:tcPr>
            <w:tcW w:w="875" w:type="dxa"/>
            <w:tcBorders>
              <w:top w:val="nil"/>
              <w:left w:val="nil"/>
              <w:bottom w:val="nil"/>
              <w:right w:val="nil"/>
              <w:tl2br w:val="nil"/>
              <w:tr2bl w:val="nil"/>
            </w:tcBorders>
            <w:tcMar>
              <w:left w:w="60" w:type="dxa"/>
              <w:right w:w="60" w:type="dxa"/>
            </w:tcMar>
            <w:vAlign w:val="center"/>
          </w:tcPr>
          <w:p w14:paraId="450B9D2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69991A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7 052</w:t>
            </w:r>
          </w:p>
        </w:tc>
        <w:tc>
          <w:tcPr>
            <w:tcW w:w="876" w:type="dxa"/>
            <w:tcBorders>
              <w:top w:val="nil"/>
              <w:left w:val="nil"/>
              <w:bottom w:val="nil"/>
              <w:right w:val="nil"/>
              <w:tl2br w:val="nil"/>
              <w:tr2bl w:val="nil"/>
            </w:tcBorders>
            <w:tcMar>
              <w:left w:w="60" w:type="dxa"/>
              <w:right w:w="60" w:type="dxa"/>
            </w:tcMar>
            <w:vAlign w:val="center"/>
          </w:tcPr>
          <w:p w14:paraId="31AA7ED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4D1C7C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233</w:t>
            </w:r>
          </w:p>
        </w:tc>
        <w:tc>
          <w:tcPr>
            <w:tcW w:w="876" w:type="dxa"/>
            <w:tcBorders>
              <w:top w:val="nil"/>
              <w:left w:val="nil"/>
              <w:bottom w:val="nil"/>
              <w:right w:val="nil"/>
              <w:tl2br w:val="nil"/>
              <w:tr2bl w:val="nil"/>
            </w:tcBorders>
            <w:tcMar>
              <w:left w:w="60" w:type="dxa"/>
              <w:right w:w="60" w:type="dxa"/>
            </w:tcMar>
            <w:vAlign w:val="center"/>
          </w:tcPr>
          <w:p w14:paraId="2EEA729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7 285</w:t>
            </w:r>
          </w:p>
        </w:tc>
        <w:tc>
          <w:tcPr>
            <w:tcW w:w="876" w:type="dxa"/>
            <w:tcBorders>
              <w:top w:val="nil"/>
              <w:left w:val="nil"/>
              <w:bottom w:val="nil"/>
              <w:right w:val="nil"/>
              <w:tl2br w:val="nil"/>
              <w:tr2bl w:val="nil"/>
            </w:tcBorders>
            <w:tcMar>
              <w:left w:w="60" w:type="dxa"/>
              <w:right w:w="60" w:type="dxa"/>
            </w:tcMar>
            <w:vAlign w:val="center"/>
          </w:tcPr>
          <w:p w14:paraId="733BCFF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3 078</w:t>
            </w:r>
          </w:p>
        </w:tc>
        <w:tc>
          <w:tcPr>
            <w:tcW w:w="876" w:type="dxa"/>
            <w:tcBorders>
              <w:top w:val="nil"/>
              <w:left w:val="nil"/>
              <w:bottom w:val="nil"/>
              <w:right w:val="nil"/>
              <w:tl2br w:val="nil"/>
              <w:tr2bl w:val="nil"/>
            </w:tcBorders>
            <w:tcMar>
              <w:left w:w="60" w:type="dxa"/>
              <w:right w:w="60" w:type="dxa"/>
            </w:tcMar>
            <w:vAlign w:val="center"/>
          </w:tcPr>
          <w:p w14:paraId="58A63C4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2 445</w:t>
            </w:r>
          </w:p>
        </w:tc>
        <w:tc>
          <w:tcPr>
            <w:tcW w:w="876" w:type="dxa"/>
            <w:tcBorders>
              <w:top w:val="nil"/>
              <w:left w:val="nil"/>
              <w:bottom w:val="nil"/>
              <w:right w:val="nil"/>
              <w:tl2br w:val="nil"/>
              <w:tr2bl w:val="nil"/>
            </w:tcBorders>
            <w:tcMar>
              <w:left w:w="60" w:type="dxa"/>
              <w:right w:w="60" w:type="dxa"/>
            </w:tcMar>
            <w:vAlign w:val="center"/>
          </w:tcPr>
          <w:p w14:paraId="7C62577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5 523</w:t>
            </w:r>
          </w:p>
        </w:tc>
        <w:tc>
          <w:tcPr>
            <w:tcW w:w="876" w:type="dxa"/>
            <w:tcBorders>
              <w:top w:val="nil"/>
              <w:left w:val="nil"/>
              <w:bottom w:val="nil"/>
              <w:right w:val="nil"/>
              <w:tl2br w:val="nil"/>
              <w:tr2bl w:val="nil"/>
            </w:tcBorders>
            <w:tcMar>
              <w:left w:w="60" w:type="dxa"/>
              <w:right w:w="60" w:type="dxa"/>
            </w:tcMar>
            <w:vAlign w:val="center"/>
          </w:tcPr>
          <w:p w14:paraId="63C23F8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E0B18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233</w:t>
            </w:r>
          </w:p>
        </w:tc>
        <w:tc>
          <w:tcPr>
            <w:tcW w:w="876" w:type="dxa"/>
            <w:tcBorders>
              <w:top w:val="nil"/>
              <w:left w:val="nil"/>
              <w:bottom w:val="nil"/>
              <w:right w:val="nil"/>
              <w:tl2br w:val="nil"/>
              <w:tr2bl w:val="nil"/>
            </w:tcBorders>
            <w:tcMar>
              <w:left w:w="60" w:type="dxa"/>
              <w:right w:w="60" w:type="dxa"/>
            </w:tcMar>
            <w:vAlign w:val="center"/>
          </w:tcPr>
          <w:p w14:paraId="7ABB6C2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5 756</w:t>
            </w:r>
          </w:p>
        </w:tc>
      </w:tr>
      <w:tr w:rsidR="00807FFE" w14:paraId="4314951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90206D9"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DCD747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Cohesion Fund (CF), contribution to the Connecting Europe Facility (CEF) - Transport</w:t>
            </w:r>
          </w:p>
        </w:tc>
        <w:tc>
          <w:tcPr>
            <w:tcW w:w="875" w:type="dxa"/>
            <w:tcBorders>
              <w:top w:val="nil"/>
              <w:left w:val="nil"/>
              <w:bottom w:val="nil"/>
              <w:right w:val="nil"/>
              <w:tl2br w:val="nil"/>
              <w:tr2bl w:val="nil"/>
            </w:tcBorders>
            <w:tcMar>
              <w:left w:w="60" w:type="dxa"/>
              <w:right w:w="60" w:type="dxa"/>
            </w:tcMar>
            <w:vAlign w:val="center"/>
          </w:tcPr>
          <w:p w14:paraId="4DFA14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1 668</w:t>
            </w:r>
          </w:p>
        </w:tc>
        <w:tc>
          <w:tcPr>
            <w:tcW w:w="875" w:type="dxa"/>
            <w:tcBorders>
              <w:top w:val="nil"/>
              <w:left w:val="nil"/>
              <w:bottom w:val="nil"/>
              <w:right w:val="nil"/>
              <w:tl2br w:val="nil"/>
              <w:tr2bl w:val="nil"/>
            </w:tcBorders>
            <w:tcMar>
              <w:left w:w="60" w:type="dxa"/>
              <w:right w:w="60" w:type="dxa"/>
            </w:tcMar>
            <w:vAlign w:val="center"/>
          </w:tcPr>
          <w:p w14:paraId="0E01D9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808E5A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1 668</w:t>
            </w:r>
          </w:p>
        </w:tc>
        <w:tc>
          <w:tcPr>
            <w:tcW w:w="876" w:type="dxa"/>
            <w:tcBorders>
              <w:top w:val="nil"/>
              <w:left w:val="nil"/>
              <w:bottom w:val="nil"/>
              <w:right w:val="nil"/>
              <w:tl2br w:val="nil"/>
              <w:tr2bl w:val="nil"/>
            </w:tcBorders>
            <w:tcMar>
              <w:left w:w="60" w:type="dxa"/>
              <w:right w:w="60" w:type="dxa"/>
            </w:tcMar>
            <w:vAlign w:val="center"/>
          </w:tcPr>
          <w:p w14:paraId="085EA0F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151FC3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14:paraId="3145DE0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1 688</w:t>
            </w:r>
          </w:p>
        </w:tc>
        <w:tc>
          <w:tcPr>
            <w:tcW w:w="876" w:type="dxa"/>
            <w:tcBorders>
              <w:top w:val="nil"/>
              <w:left w:val="nil"/>
              <w:bottom w:val="nil"/>
              <w:right w:val="nil"/>
              <w:tl2br w:val="nil"/>
              <w:tr2bl w:val="nil"/>
            </w:tcBorders>
            <w:tcMar>
              <w:left w:w="60" w:type="dxa"/>
              <w:right w:w="60" w:type="dxa"/>
            </w:tcMar>
            <w:vAlign w:val="center"/>
          </w:tcPr>
          <w:p w14:paraId="6063FC7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1 303</w:t>
            </w:r>
          </w:p>
        </w:tc>
        <w:tc>
          <w:tcPr>
            <w:tcW w:w="876" w:type="dxa"/>
            <w:tcBorders>
              <w:top w:val="nil"/>
              <w:left w:val="nil"/>
              <w:bottom w:val="nil"/>
              <w:right w:val="nil"/>
              <w:tl2br w:val="nil"/>
              <w:tr2bl w:val="nil"/>
            </w:tcBorders>
            <w:tcMar>
              <w:left w:w="60" w:type="dxa"/>
              <w:right w:w="60" w:type="dxa"/>
            </w:tcMar>
            <w:vAlign w:val="center"/>
          </w:tcPr>
          <w:p w14:paraId="76D99BC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876" w:type="dxa"/>
            <w:tcBorders>
              <w:top w:val="nil"/>
              <w:left w:val="nil"/>
              <w:bottom w:val="nil"/>
              <w:right w:val="nil"/>
              <w:tl2br w:val="nil"/>
              <w:tr2bl w:val="nil"/>
            </w:tcBorders>
            <w:tcMar>
              <w:left w:w="60" w:type="dxa"/>
              <w:right w:w="60" w:type="dxa"/>
            </w:tcMar>
            <w:vAlign w:val="center"/>
          </w:tcPr>
          <w:p w14:paraId="153AEC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1 350</w:t>
            </w:r>
          </w:p>
        </w:tc>
        <w:tc>
          <w:tcPr>
            <w:tcW w:w="876" w:type="dxa"/>
            <w:tcBorders>
              <w:top w:val="nil"/>
              <w:left w:val="nil"/>
              <w:bottom w:val="nil"/>
              <w:right w:val="nil"/>
              <w:tl2br w:val="nil"/>
              <w:tr2bl w:val="nil"/>
            </w:tcBorders>
            <w:tcMar>
              <w:left w:w="60" w:type="dxa"/>
              <w:right w:w="60" w:type="dxa"/>
            </w:tcMar>
            <w:vAlign w:val="center"/>
          </w:tcPr>
          <w:p w14:paraId="108638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842C8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14:paraId="051649A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1 364</w:t>
            </w:r>
          </w:p>
        </w:tc>
      </w:tr>
      <w:tr w:rsidR="00807FFE" w14:paraId="4063C57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7A84BC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E6FE28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0551B7E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5" w:type="dxa"/>
            <w:tcBorders>
              <w:top w:val="nil"/>
              <w:left w:val="nil"/>
              <w:bottom w:val="nil"/>
              <w:right w:val="nil"/>
              <w:tl2br w:val="nil"/>
              <w:tr2bl w:val="nil"/>
            </w:tcBorders>
            <w:tcMar>
              <w:left w:w="60" w:type="dxa"/>
              <w:right w:w="60" w:type="dxa"/>
            </w:tcMar>
            <w:vAlign w:val="center"/>
          </w:tcPr>
          <w:p w14:paraId="2B08B3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7CD5BF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6C4D340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8D18D3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A244CE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6DA626E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1A2F83F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BE5C9E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97EBD5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E319A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003E48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2F46D1DC"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E9B7B0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DCBFE6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Social Fund Plus (ESF+)</w:t>
            </w:r>
          </w:p>
        </w:tc>
        <w:tc>
          <w:tcPr>
            <w:tcW w:w="875" w:type="dxa"/>
            <w:tcBorders>
              <w:top w:val="nil"/>
              <w:left w:val="nil"/>
              <w:bottom w:val="nil"/>
              <w:right w:val="nil"/>
              <w:tl2br w:val="nil"/>
              <w:tr2bl w:val="nil"/>
            </w:tcBorders>
            <w:tcMar>
              <w:left w:w="60" w:type="dxa"/>
              <w:right w:w="60" w:type="dxa"/>
            </w:tcMar>
            <w:vAlign w:val="center"/>
          </w:tcPr>
          <w:p w14:paraId="55ECACF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17 184</w:t>
            </w:r>
          </w:p>
        </w:tc>
        <w:tc>
          <w:tcPr>
            <w:tcW w:w="875" w:type="dxa"/>
            <w:tcBorders>
              <w:top w:val="nil"/>
              <w:left w:val="nil"/>
              <w:bottom w:val="nil"/>
              <w:right w:val="nil"/>
              <w:tl2br w:val="nil"/>
              <w:tr2bl w:val="nil"/>
            </w:tcBorders>
            <w:tcMar>
              <w:left w:w="60" w:type="dxa"/>
              <w:right w:w="60" w:type="dxa"/>
            </w:tcMar>
            <w:vAlign w:val="center"/>
          </w:tcPr>
          <w:p w14:paraId="73B41B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5F90F2C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17 184</w:t>
            </w:r>
          </w:p>
        </w:tc>
        <w:tc>
          <w:tcPr>
            <w:tcW w:w="876" w:type="dxa"/>
            <w:tcBorders>
              <w:top w:val="nil"/>
              <w:left w:val="nil"/>
              <w:bottom w:val="nil"/>
              <w:right w:val="nil"/>
              <w:tl2br w:val="nil"/>
              <w:tr2bl w:val="nil"/>
            </w:tcBorders>
            <w:tcMar>
              <w:left w:w="60" w:type="dxa"/>
              <w:right w:w="60" w:type="dxa"/>
            </w:tcMar>
            <w:vAlign w:val="center"/>
          </w:tcPr>
          <w:p w14:paraId="56BF2D3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F35634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105</w:t>
            </w:r>
          </w:p>
        </w:tc>
        <w:tc>
          <w:tcPr>
            <w:tcW w:w="876" w:type="dxa"/>
            <w:tcBorders>
              <w:top w:val="nil"/>
              <w:left w:val="nil"/>
              <w:bottom w:val="nil"/>
              <w:right w:val="nil"/>
              <w:tl2br w:val="nil"/>
              <w:tr2bl w:val="nil"/>
            </w:tcBorders>
            <w:tcMar>
              <w:left w:w="60" w:type="dxa"/>
              <w:right w:w="60" w:type="dxa"/>
            </w:tcMar>
            <w:vAlign w:val="center"/>
          </w:tcPr>
          <w:p w14:paraId="3E2F6B2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17 288</w:t>
            </w:r>
          </w:p>
        </w:tc>
        <w:tc>
          <w:tcPr>
            <w:tcW w:w="876" w:type="dxa"/>
            <w:tcBorders>
              <w:top w:val="nil"/>
              <w:left w:val="nil"/>
              <w:bottom w:val="nil"/>
              <w:right w:val="nil"/>
              <w:tl2br w:val="nil"/>
              <w:tr2bl w:val="nil"/>
            </w:tcBorders>
            <w:tcMar>
              <w:left w:w="60" w:type="dxa"/>
              <w:right w:w="60" w:type="dxa"/>
            </w:tcMar>
            <w:vAlign w:val="center"/>
          </w:tcPr>
          <w:p w14:paraId="3C2E53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7 550</w:t>
            </w:r>
          </w:p>
        </w:tc>
        <w:tc>
          <w:tcPr>
            <w:tcW w:w="876" w:type="dxa"/>
            <w:tcBorders>
              <w:top w:val="nil"/>
              <w:left w:val="nil"/>
              <w:bottom w:val="nil"/>
              <w:right w:val="nil"/>
              <w:tl2br w:val="nil"/>
              <w:tr2bl w:val="nil"/>
            </w:tcBorders>
            <w:tcMar>
              <w:left w:w="60" w:type="dxa"/>
              <w:right w:w="60" w:type="dxa"/>
            </w:tcMar>
            <w:vAlign w:val="center"/>
          </w:tcPr>
          <w:p w14:paraId="5837763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693</w:t>
            </w:r>
          </w:p>
        </w:tc>
        <w:tc>
          <w:tcPr>
            <w:tcW w:w="876" w:type="dxa"/>
            <w:tcBorders>
              <w:top w:val="nil"/>
              <w:left w:val="nil"/>
              <w:bottom w:val="nil"/>
              <w:right w:val="nil"/>
              <w:tl2br w:val="nil"/>
              <w:tr2bl w:val="nil"/>
            </w:tcBorders>
            <w:tcMar>
              <w:left w:w="60" w:type="dxa"/>
              <w:right w:w="60" w:type="dxa"/>
            </w:tcMar>
            <w:vAlign w:val="center"/>
          </w:tcPr>
          <w:p w14:paraId="62BF37C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8 243</w:t>
            </w:r>
          </w:p>
        </w:tc>
        <w:tc>
          <w:tcPr>
            <w:tcW w:w="876" w:type="dxa"/>
            <w:tcBorders>
              <w:top w:val="nil"/>
              <w:left w:val="nil"/>
              <w:bottom w:val="nil"/>
              <w:right w:val="nil"/>
              <w:tl2br w:val="nil"/>
              <w:tr2bl w:val="nil"/>
            </w:tcBorders>
            <w:tcMar>
              <w:left w:w="60" w:type="dxa"/>
              <w:right w:w="60" w:type="dxa"/>
            </w:tcMar>
            <w:vAlign w:val="center"/>
          </w:tcPr>
          <w:p w14:paraId="5CCAD92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CF9988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2 722</w:t>
            </w:r>
          </w:p>
        </w:tc>
        <w:tc>
          <w:tcPr>
            <w:tcW w:w="876" w:type="dxa"/>
            <w:tcBorders>
              <w:top w:val="nil"/>
              <w:left w:val="nil"/>
              <w:bottom w:val="nil"/>
              <w:right w:val="nil"/>
              <w:tl2br w:val="nil"/>
              <w:tr2bl w:val="nil"/>
            </w:tcBorders>
            <w:tcMar>
              <w:left w:w="60" w:type="dxa"/>
              <w:right w:w="60" w:type="dxa"/>
            </w:tcMar>
            <w:vAlign w:val="center"/>
          </w:tcPr>
          <w:p w14:paraId="3E5DCB23"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10 966</w:t>
            </w:r>
          </w:p>
        </w:tc>
      </w:tr>
      <w:tr w:rsidR="00807FFE" w14:paraId="6AD01A6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AEDBE16"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DA231AE"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725891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4AE47B9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3A65EEA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7381493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1E3C1C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98E3C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0AEE81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110BBE6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A94911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09016F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2CE179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76BBA20"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1900802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C92C40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576ABC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Support to the Turkish-Cypriot Community</w:t>
            </w:r>
          </w:p>
        </w:tc>
        <w:tc>
          <w:tcPr>
            <w:tcW w:w="875" w:type="dxa"/>
            <w:tcBorders>
              <w:top w:val="nil"/>
              <w:left w:val="nil"/>
              <w:bottom w:val="nil"/>
              <w:right w:val="nil"/>
              <w:tl2br w:val="nil"/>
              <w:tr2bl w:val="nil"/>
            </w:tcBorders>
            <w:tcMar>
              <w:left w:w="60" w:type="dxa"/>
              <w:right w:w="60" w:type="dxa"/>
            </w:tcMar>
            <w:vAlign w:val="center"/>
          </w:tcPr>
          <w:p w14:paraId="24A9322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75" w:type="dxa"/>
            <w:tcBorders>
              <w:top w:val="nil"/>
              <w:left w:val="nil"/>
              <w:bottom w:val="nil"/>
              <w:right w:val="nil"/>
              <w:tl2br w:val="nil"/>
              <w:tr2bl w:val="nil"/>
            </w:tcBorders>
            <w:tcMar>
              <w:left w:w="60" w:type="dxa"/>
              <w:right w:w="60" w:type="dxa"/>
            </w:tcMar>
            <w:vAlign w:val="center"/>
          </w:tcPr>
          <w:p w14:paraId="09F6173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40E4E43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14:paraId="28148A1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70197D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32A57D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876" w:type="dxa"/>
            <w:tcBorders>
              <w:top w:val="nil"/>
              <w:left w:val="nil"/>
              <w:bottom w:val="nil"/>
              <w:right w:val="nil"/>
              <w:tl2br w:val="nil"/>
              <w:tr2bl w:val="nil"/>
            </w:tcBorders>
            <w:tcMar>
              <w:left w:w="60" w:type="dxa"/>
              <w:right w:w="60" w:type="dxa"/>
            </w:tcMar>
            <w:vAlign w:val="center"/>
          </w:tcPr>
          <w:p w14:paraId="1A7892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14:paraId="1EAA1E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14:paraId="7F5F78D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14:paraId="0CAAF5F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15AAF14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9F7F861"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37928AB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341F72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4B3142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Recovery and Resilience Facility (incl. Technical Support Instrument)</w:t>
            </w:r>
          </w:p>
        </w:tc>
        <w:tc>
          <w:tcPr>
            <w:tcW w:w="875" w:type="dxa"/>
            <w:tcBorders>
              <w:top w:val="nil"/>
              <w:left w:val="nil"/>
              <w:bottom w:val="nil"/>
              <w:right w:val="nil"/>
              <w:tl2br w:val="nil"/>
              <w:tr2bl w:val="nil"/>
            </w:tcBorders>
            <w:tcMar>
              <w:left w:w="60" w:type="dxa"/>
              <w:right w:w="60" w:type="dxa"/>
            </w:tcMar>
            <w:vAlign w:val="center"/>
          </w:tcPr>
          <w:p w14:paraId="751890C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126</w:t>
            </w:r>
          </w:p>
        </w:tc>
        <w:tc>
          <w:tcPr>
            <w:tcW w:w="875" w:type="dxa"/>
            <w:tcBorders>
              <w:top w:val="nil"/>
              <w:left w:val="nil"/>
              <w:bottom w:val="nil"/>
              <w:right w:val="nil"/>
              <w:tl2br w:val="nil"/>
              <w:tr2bl w:val="nil"/>
            </w:tcBorders>
            <w:tcMar>
              <w:left w:w="60" w:type="dxa"/>
              <w:right w:w="60" w:type="dxa"/>
            </w:tcMar>
            <w:vAlign w:val="center"/>
          </w:tcPr>
          <w:p w14:paraId="4A770B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5" w:type="dxa"/>
            <w:tcBorders>
              <w:top w:val="nil"/>
              <w:left w:val="nil"/>
              <w:bottom w:val="nil"/>
              <w:right w:val="nil"/>
              <w:tl2br w:val="nil"/>
              <w:tr2bl w:val="nil"/>
            </w:tcBorders>
            <w:tcMar>
              <w:left w:w="60" w:type="dxa"/>
              <w:right w:w="60" w:type="dxa"/>
            </w:tcMar>
            <w:vAlign w:val="center"/>
          </w:tcPr>
          <w:p w14:paraId="53F25C3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121</w:t>
            </w:r>
          </w:p>
        </w:tc>
        <w:tc>
          <w:tcPr>
            <w:tcW w:w="876" w:type="dxa"/>
            <w:tcBorders>
              <w:top w:val="nil"/>
              <w:left w:val="nil"/>
              <w:bottom w:val="nil"/>
              <w:right w:val="nil"/>
              <w:tl2br w:val="nil"/>
              <w:tr2bl w:val="nil"/>
            </w:tcBorders>
            <w:tcMar>
              <w:left w:w="60" w:type="dxa"/>
              <w:right w:w="60" w:type="dxa"/>
            </w:tcMar>
            <w:vAlign w:val="center"/>
          </w:tcPr>
          <w:p w14:paraId="13C937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965CAB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560</w:t>
            </w:r>
          </w:p>
        </w:tc>
        <w:tc>
          <w:tcPr>
            <w:tcW w:w="876" w:type="dxa"/>
            <w:tcBorders>
              <w:top w:val="nil"/>
              <w:left w:val="nil"/>
              <w:bottom w:val="nil"/>
              <w:right w:val="nil"/>
              <w:tl2br w:val="nil"/>
              <w:tr2bl w:val="nil"/>
            </w:tcBorders>
            <w:tcMar>
              <w:left w:w="60" w:type="dxa"/>
              <w:right w:w="60" w:type="dxa"/>
            </w:tcMar>
            <w:vAlign w:val="center"/>
          </w:tcPr>
          <w:p w14:paraId="411E667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681</w:t>
            </w:r>
          </w:p>
        </w:tc>
        <w:tc>
          <w:tcPr>
            <w:tcW w:w="876" w:type="dxa"/>
            <w:tcBorders>
              <w:top w:val="nil"/>
              <w:left w:val="nil"/>
              <w:bottom w:val="nil"/>
              <w:right w:val="nil"/>
              <w:tl2br w:val="nil"/>
              <w:tr2bl w:val="nil"/>
            </w:tcBorders>
            <w:tcMar>
              <w:left w:w="60" w:type="dxa"/>
              <w:right w:w="60" w:type="dxa"/>
            </w:tcMar>
            <w:vAlign w:val="center"/>
          </w:tcPr>
          <w:p w14:paraId="464D752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125</w:t>
            </w:r>
          </w:p>
        </w:tc>
        <w:tc>
          <w:tcPr>
            <w:tcW w:w="876" w:type="dxa"/>
            <w:tcBorders>
              <w:top w:val="nil"/>
              <w:left w:val="nil"/>
              <w:bottom w:val="nil"/>
              <w:right w:val="nil"/>
              <w:tl2br w:val="nil"/>
              <w:tr2bl w:val="nil"/>
            </w:tcBorders>
            <w:tcMar>
              <w:left w:w="60" w:type="dxa"/>
              <w:right w:w="60" w:type="dxa"/>
            </w:tcMar>
            <w:vAlign w:val="center"/>
          </w:tcPr>
          <w:p w14:paraId="2493A95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4FD532F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120</w:t>
            </w:r>
          </w:p>
        </w:tc>
        <w:tc>
          <w:tcPr>
            <w:tcW w:w="876" w:type="dxa"/>
            <w:tcBorders>
              <w:top w:val="nil"/>
              <w:left w:val="nil"/>
              <w:bottom w:val="nil"/>
              <w:right w:val="nil"/>
              <w:tl2br w:val="nil"/>
              <w:tr2bl w:val="nil"/>
            </w:tcBorders>
            <w:tcMar>
              <w:left w:w="60" w:type="dxa"/>
              <w:right w:w="60" w:type="dxa"/>
            </w:tcMar>
            <w:vAlign w:val="center"/>
          </w:tcPr>
          <w:p w14:paraId="41113A4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CF6462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40 222</w:t>
            </w:r>
          </w:p>
        </w:tc>
        <w:tc>
          <w:tcPr>
            <w:tcW w:w="876" w:type="dxa"/>
            <w:tcBorders>
              <w:top w:val="nil"/>
              <w:left w:val="nil"/>
              <w:bottom w:val="nil"/>
              <w:right w:val="nil"/>
              <w:tl2br w:val="nil"/>
              <w:tr2bl w:val="nil"/>
            </w:tcBorders>
            <w:tcMar>
              <w:left w:w="60" w:type="dxa"/>
              <w:right w:w="60" w:type="dxa"/>
            </w:tcMar>
            <w:vAlign w:val="center"/>
          </w:tcPr>
          <w:p w14:paraId="1EEE507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40 344</w:t>
            </w:r>
          </w:p>
        </w:tc>
      </w:tr>
      <w:tr w:rsidR="00807FFE" w14:paraId="2C754B1C"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BE0C7B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95A1ED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Protection of the euro against counterfeiting (the `Pericles IV programme')</w:t>
            </w:r>
          </w:p>
        </w:tc>
        <w:tc>
          <w:tcPr>
            <w:tcW w:w="875" w:type="dxa"/>
            <w:tcBorders>
              <w:top w:val="nil"/>
              <w:left w:val="nil"/>
              <w:bottom w:val="nil"/>
              <w:right w:val="nil"/>
              <w:tl2br w:val="nil"/>
              <w:tr2bl w:val="nil"/>
            </w:tcBorders>
            <w:tcMar>
              <w:left w:w="60" w:type="dxa"/>
              <w:right w:w="60" w:type="dxa"/>
            </w:tcMar>
            <w:vAlign w:val="center"/>
          </w:tcPr>
          <w:p w14:paraId="215D8E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1D20275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5916C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6F774D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E495CF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1F7FCD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4ECAE8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6F00E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25A5AA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F54BC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0E32D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65816F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05456C5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ACF3B21"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B1C1F2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Financing cost of the European Union Recovery Instrument (EURI)</w:t>
            </w:r>
          </w:p>
        </w:tc>
        <w:tc>
          <w:tcPr>
            <w:tcW w:w="875" w:type="dxa"/>
            <w:tcBorders>
              <w:top w:val="nil"/>
              <w:left w:val="nil"/>
              <w:bottom w:val="nil"/>
              <w:right w:val="nil"/>
              <w:tl2br w:val="nil"/>
              <w:tr2bl w:val="nil"/>
            </w:tcBorders>
            <w:tcMar>
              <w:left w:w="60" w:type="dxa"/>
              <w:right w:w="60" w:type="dxa"/>
            </w:tcMar>
            <w:vAlign w:val="center"/>
          </w:tcPr>
          <w:p w14:paraId="30E4F86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4 967</w:t>
            </w:r>
          </w:p>
        </w:tc>
        <w:tc>
          <w:tcPr>
            <w:tcW w:w="875" w:type="dxa"/>
            <w:tcBorders>
              <w:top w:val="nil"/>
              <w:left w:val="nil"/>
              <w:bottom w:val="nil"/>
              <w:right w:val="nil"/>
              <w:tl2br w:val="nil"/>
              <w:tr2bl w:val="nil"/>
            </w:tcBorders>
            <w:tcMar>
              <w:left w:w="60" w:type="dxa"/>
              <w:right w:w="60" w:type="dxa"/>
            </w:tcMar>
            <w:vAlign w:val="center"/>
          </w:tcPr>
          <w:p w14:paraId="5B1A9FB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76F46C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4 967</w:t>
            </w:r>
          </w:p>
        </w:tc>
        <w:tc>
          <w:tcPr>
            <w:tcW w:w="876" w:type="dxa"/>
            <w:tcBorders>
              <w:top w:val="nil"/>
              <w:left w:val="nil"/>
              <w:bottom w:val="nil"/>
              <w:right w:val="nil"/>
              <w:tl2br w:val="nil"/>
              <w:tr2bl w:val="nil"/>
            </w:tcBorders>
            <w:tcMar>
              <w:left w:w="60" w:type="dxa"/>
              <w:right w:w="60" w:type="dxa"/>
            </w:tcMar>
            <w:vAlign w:val="center"/>
          </w:tcPr>
          <w:p w14:paraId="72FB9C8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9AFFA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144</w:t>
            </w:r>
          </w:p>
        </w:tc>
        <w:tc>
          <w:tcPr>
            <w:tcW w:w="876" w:type="dxa"/>
            <w:tcBorders>
              <w:top w:val="nil"/>
              <w:left w:val="nil"/>
              <w:bottom w:val="nil"/>
              <w:right w:val="nil"/>
              <w:tl2br w:val="nil"/>
              <w:tr2bl w:val="nil"/>
            </w:tcBorders>
            <w:tcMar>
              <w:left w:w="60" w:type="dxa"/>
              <w:right w:w="60" w:type="dxa"/>
            </w:tcMar>
            <w:vAlign w:val="center"/>
          </w:tcPr>
          <w:p w14:paraId="2F3CE57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5 111</w:t>
            </w:r>
          </w:p>
        </w:tc>
        <w:tc>
          <w:tcPr>
            <w:tcW w:w="876" w:type="dxa"/>
            <w:tcBorders>
              <w:top w:val="nil"/>
              <w:left w:val="nil"/>
              <w:bottom w:val="nil"/>
              <w:right w:val="nil"/>
              <w:tl2br w:val="nil"/>
              <w:tr2bl w:val="nil"/>
            </w:tcBorders>
            <w:tcMar>
              <w:left w:w="60" w:type="dxa"/>
              <w:right w:w="60" w:type="dxa"/>
            </w:tcMar>
            <w:vAlign w:val="center"/>
          </w:tcPr>
          <w:p w14:paraId="4E3C2E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4 967</w:t>
            </w:r>
          </w:p>
        </w:tc>
        <w:tc>
          <w:tcPr>
            <w:tcW w:w="876" w:type="dxa"/>
            <w:tcBorders>
              <w:top w:val="nil"/>
              <w:left w:val="nil"/>
              <w:bottom w:val="nil"/>
              <w:right w:val="nil"/>
              <w:tl2br w:val="nil"/>
              <w:tr2bl w:val="nil"/>
            </w:tcBorders>
            <w:tcMar>
              <w:left w:w="60" w:type="dxa"/>
              <w:right w:w="60" w:type="dxa"/>
            </w:tcMar>
            <w:vAlign w:val="center"/>
          </w:tcPr>
          <w:p w14:paraId="75DCFC4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9C7801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4 967</w:t>
            </w:r>
          </w:p>
        </w:tc>
        <w:tc>
          <w:tcPr>
            <w:tcW w:w="876" w:type="dxa"/>
            <w:tcBorders>
              <w:top w:val="nil"/>
              <w:left w:val="nil"/>
              <w:bottom w:val="nil"/>
              <w:right w:val="nil"/>
              <w:tl2br w:val="nil"/>
              <w:tr2bl w:val="nil"/>
            </w:tcBorders>
            <w:tcMar>
              <w:left w:w="60" w:type="dxa"/>
              <w:right w:w="60" w:type="dxa"/>
            </w:tcMar>
            <w:vAlign w:val="center"/>
          </w:tcPr>
          <w:p w14:paraId="3589F10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1 863</w:t>
            </w:r>
          </w:p>
        </w:tc>
        <w:tc>
          <w:tcPr>
            <w:tcW w:w="876" w:type="dxa"/>
            <w:tcBorders>
              <w:top w:val="nil"/>
              <w:left w:val="nil"/>
              <w:bottom w:val="nil"/>
              <w:right w:val="nil"/>
              <w:tl2br w:val="nil"/>
              <w:tr2bl w:val="nil"/>
            </w:tcBorders>
            <w:tcMar>
              <w:left w:w="60" w:type="dxa"/>
              <w:right w:w="60" w:type="dxa"/>
            </w:tcMar>
            <w:vAlign w:val="center"/>
          </w:tcPr>
          <w:p w14:paraId="07F1AC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145</w:t>
            </w:r>
          </w:p>
        </w:tc>
        <w:tc>
          <w:tcPr>
            <w:tcW w:w="876" w:type="dxa"/>
            <w:tcBorders>
              <w:top w:val="nil"/>
              <w:left w:val="nil"/>
              <w:bottom w:val="nil"/>
              <w:right w:val="nil"/>
              <w:tl2br w:val="nil"/>
              <w:tr2bl w:val="nil"/>
            </w:tcBorders>
            <w:tcMar>
              <w:left w:w="60" w:type="dxa"/>
              <w:right w:w="60" w:type="dxa"/>
            </w:tcMar>
            <w:vAlign w:val="center"/>
          </w:tcPr>
          <w:p w14:paraId="5D684C5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6 976</w:t>
            </w:r>
          </w:p>
        </w:tc>
      </w:tr>
      <w:tr w:rsidR="00807FFE" w14:paraId="63EA80C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35A0B1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0674D4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Union Civil Protection Mechanism (RescEU)</w:t>
            </w:r>
          </w:p>
        </w:tc>
        <w:tc>
          <w:tcPr>
            <w:tcW w:w="875" w:type="dxa"/>
            <w:tcBorders>
              <w:top w:val="nil"/>
              <w:left w:val="nil"/>
              <w:bottom w:val="nil"/>
              <w:right w:val="nil"/>
              <w:tl2br w:val="nil"/>
              <w:tr2bl w:val="nil"/>
            </w:tcBorders>
            <w:tcMar>
              <w:left w:w="60" w:type="dxa"/>
              <w:right w:w="60" w:type="dxa"/>
            </w:tcMar>
            <w:vAlign w:val="center"/>
          </w:tcPr>
          <w:p w14:paraId="560BE51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211</w:t>
            </w:r>
          </w:p>
        </w:tc>
        <w:tc>
          <w:tcPr>
            <w:tcW w:w="875" w:type="dxa"/>
            <w:tcBorders>
              <w:top w:val="nil"/>
              <w:left w:val="nil"/>
              <w:bottom w:val="nil"/>
              <w:right w:val="nil"/>
              <w:tl2br w:val="nil"/>
              <w:tr2bl w:val="nil"/>
            </w:tcBorders>
            <w:tcMar>
              <w:left w:w="60" w:type="dxa"/>
              <w:right w:w="60" w:type="dxa"/>
            </w:tcMar>
            <w:vAlign w:val="center"/>
          </w:tcPr>
          <w:p w14:paraId="2161B1A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3BEA046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211</w:t>
            </w:r>
          </w:p>
        </w:tc>
        <w:tc>
          <w:tcPr>
            <w:tcW w:w="876" w:type="dxa"/>
            <w:tcBorders>
              <w:top w:val="nil"/>
              <w:left w:val="nil"/>
              <w:bottom w:val="nil"/>
              <w:right w:val="nil"/>
              <w:tl2br w:val="nil"/>
              <w:tr2bl w:val="nil"/>
            </w:tcBorders>
            <w:tcMar>
              <w:left w:w="60" w:type="dxa"/>
              <w:right w:w="60" w:type="dxa"/>
            </w:tcMar>
            <w:vAlign w:val="center"/>
          </w:tcPr>
          <w:p w14:paraId="1BB7B2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15A905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14:paraId="3A6134A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250</w:t>
            </w:r>
          </w:p>
        </w:tc>
        <w:tc>
          <w:tcPr>
            <w:tcW w:w="876" w:type="dxa"/>
            <w:tcBorders>
              <w:top w:val="nil"/>
              <w:left w:val="nil"/>
              <w:bottom w:val="nil"/>
              <w:right w:val="nil"/>
              <w:tl2br w:val="nil"/>
              <w:tr2bl w:val="nil"/>
            </w:tcBorders>
            <w:tcMar>
              <w:left w:w="60" w:type="dxa"/>
              <w:right w:w="60" w:type="dxa"/>
            </w:tcMar>
            <w:vAlign w:val="center"/>
          </w:tcPr>
          <w:p w14:paraId="3E2E921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108</w:t>
            </w:r>
          </w:p>
        </w:tc>
        <w:tc>
          <w:tcPr>
            <w:tcW w:w="876" w:type="dxa"/>
            <w:tcBorders>
              <w:top w:val="nil"/>
              <w:left w:val="nil"/>
              <w:bottom w:val="nil"/>
              <w:right w:val="nil"/>
              <w:tl2br w:val="nil"/>
              <w:tr2bl w:val="nil"/>
            </w:tcBorders>
            <w:tcMar>
              <w:left w:w="60" w:type="dxa"/>
              <w:right w:w="60" w:type="dxa"/>
            </w:tcMar>
            <w:vAlign w:val="center"/>
          </w:tcPr>
          <w:p w14:paraId="1BA81E0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1B94D4E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133</w:t>
            </w:r>
          </w:p>
        </w:tc>
        <w:tc>
          <w:tcPr>
            <w:tcW w:w="876" w:type="dxa"/>
            <w:tcBorders>
              <w:top w:val="nil"/>
              <w:left w:val="nil"/>
              <w:bottom w:val="nil"/>
              <w:right w:val="nil"/>
              <w:tl2br w:val="nil"/>
              <w:tr2bl w:val="nil"/>
            </w:tcBorders>
            <w:tcMar>
              <w:left w:w="60" w:type="dxa"/>
              <w:right w:w="60" w:type="dxa"/>
            </w:tcMar>
            <w:vAlign w:val="center"/>
          </w:tcPr>
          <w:p w14:paraId="37B94E8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B06875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314</w:t>
            </w:r>
          </w:p>
        </w:tc>
        <w:tc>
          <w:tcPr>
            <w:tcW w:w="876" w:type="dxa"/>
            <w:tcBorders>
              <w:top w:val="nil"/>
              <w:left w:val="nil"/>
              <w:bottom w:val="nil"/>
              <w:right w:val="nil"/>
              <w:tl2br w:val="nil"/>
              <w:tr2bl w:val="nil"/>
            </w:tcBorders>
            <w:tcMar>
              <w:left w:w="60" w:type="dxa"/>
              <w:right w:w="60" w:type="dxa"/>
            </w:tcMar>
            <w:vAlign w:val="center"/>
          </w:tcPr>
          <w:p w14:paraId="248380A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446</w:t>
            </w:r>
          </w:p>
        </w:tc>
      </w:tr>
      <w:tr w:rsidR="00807FFE" w14:paraId="5D1A4B1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65AEF11"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9922F6C"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EU4Health</w:t>
            </w:r>
          </w:p>
        </w:tc>
        <w:tc>
          <w:tcPr>
            <w:tcW w:w="875" w:type="dxa"/>
            <w:tcBorders>
              <w:top w:val="nil"/>
              <w:left w:val="nil"/>
              <w:bottom w:val="nil"/>
              <w:right w:val="nil"/>
              <w:tl2br w:val="nil"/>
              <w:tr2bl w:val="nil"/>
            </w:tcBorders>
            <w:tcMar>
              <w:left w:w="60" w:type="dxa"/>
              <w:right w:w="60" w:type="dxa"/>
            </w:tcMar>
            <w:vAlign w:val="center"/>
          </w:tcPr>
          <w:p w14:paraId="583230A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583</w:t>
            </w:r>
          </w:p>
        </w:tc>
        <w:tc>
          <w:tcPr>
            <w:tcW w:w="875" w:type="dxa"/>
            <w:tcBorders>
              <w:top w:val="nil"/>
              <w:left w:val="nil"/>
              <w:bottom w:val="nil"/>
              <w:right w:val="nil"/>
              <w:tl2br w:val="nil"/>
              <w:tr2bl w:val="nil"/>
            </w:tcBorders>
            <w:tcMar>
              <w:left w:w="60" w:type="dxa"/>
              <w:right w:w="60" w:type="dxa"/>
            </w:tcMar>
            <w:vAlign w:val="center"/>
          </w:tcPr>
          <w:p w14:paraId="188253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5AB75E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583</w:t>
            </w:r>
          </w:p>
        </w:tc>
        <w:tc>
          <w:tcPr>
            <w:tcW w:w="876" w:type="dxa"/>
            <w:tcBorders>
              <w:top w:val="nil"/>
              <w:left w:val="nil"/>
              <w:bottom w:val="nil"/>
              <w:right w:val="nil"/>
              <w:tl2br w:val="nil"/>
              <w:tr2bl w:val="nil"/>
            </w:tcBorders>
            <w:tcMar>
              <w:left w:w="60" w:type="dxa"/>
              <w:right w:w="60" w:type="dxa"/>
            </w:tcMar>
            <w:vAlign w:val="center"/>
          </w:tcPr>
          <w:p w14:paraId="47B9C7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D3039A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14:paraId="7E21C5D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609</w:t>
            </w:r>
          </w:p>
        </w:tc>
        <w:tc>
          <w:tcPr>
            <w:tcW w:w="876" w:type="dxa"/>
            <w:tcBorders>
              <w:top w:val="nil"/>
              <w:left w:val="nil"/>
              <w:bottom w:val="nil"/>
              <w:right w:val="nil"/>
              <w:tl2br w:val="nil"/>
              <w:tr2bl w:val="nil"/>
            </w:tcBorders>
            <w:tcMar>
              <w:left w:w="60" w:type="dxa"/>
              <w:right w:w="60" w:type="dxa"/>
            </w:tcMar>
            <w:vAlign w:val="center"/>
          </w:tcPr>
          <w:p w14:paraId="70B0A0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585</w:t>
            </w:r>
          </w:p>
        </w:tc>
        <w:tc>
          <w:tcPr>
            <w:tcW w:w="876" w:type="dxa"/>
            <w:tcBorders>
              <w:top w:val="nil"/>
              <w:left w:val="nil"/>
              <w:bottom w:val="nil"/>
              <w:right w:val="nil"/>
              <w:tl2br w:val="nil"/>
              <w:tr2bl w:val="nil"/>
            </w:tcBorders>
            <w:tcMar>
              <w:left w:w="60" w:type="dxa"/>
              <w:right w:w="60" w:type="dxa"/>
            </w:tcMar>
            <w:vAlign w:val="center"/>
          </w:tcPr>
          <w:p w14:paraId="430D19D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876" w:type="dxa"/>
            <w:tcBorders>
              <w:top w:val="nil"/>
              <w:left w:val="nil"/>
              <w:bottom w:val="nil"/>
              <w:right w:val="nil"/>
              <w:tl2br w:val="nil"/>
              <w:tr2bl w:val="nil"/>
            </w:tcBorders>
            <w:tcMar>
              <w:left w:w="60" w:type="dxa"/>
              <w:right w:w="60" w:type="dxa"/>
            </w:tcMar>
            <w:vAlign w:val="center"/>
          </w:tcPr>
          <w:p w14:paraId="68A44E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532</w:t>
            </w:r>
          </w:p>
        </w:tc>
        <w:tc>
          <w:tcPr>
            <w:tcW w:w="876" w:type="dxa"/>
            <w:tcBorders>
              <w:top w:val="nil"/>
              <w:left w:val="nil"/>
              <w:bottom w:val="nil"/>
              <w:right w:val="nil"/>
              <w:tl2br w:val="nil"/>
              <w:tr2bl w:val="nil"/>
            </w:tcBorders>
            <w:tcMar>
              <w:left w:w="60" w:type="dxa"/>
              <w:right w:w="60" w:type="dxa"/>
            </w:tcMar>
            <w:vAlign w:val="center"/>
          </w:tcPr>
          <w:p w14:paraId="0271D89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648DDE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14:paraId="3192858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557</w:t>
            </w:r>
          </w:p>
        </w:tc>
      </w:tr>
      <w:tr w:rsidR="00807FFE" w14:paraId="6D2C15D0"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4BF752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FFEB4D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Instrument for emergency support within the Union (ESI)</w:t>
            </w:r>
          </w:p>
        </w:tc>
        <w:tc>
          <w:tcPr>
            <w:tcW w:w="875" w:type="dxa"/>
            <w:tcBorders>
              <w:top w:val="nil"/>
              <w:left w:val="nil"/>
              <w:bottom w:val="nil"/>
              <w:right w:val="nil"/>
              <w:tl2br w:val="nil"/>
              <w:tr2bl w:val="nil"/>
            </w:tcBorders>
            <w:tcMar>
              <w:left w:w="60" w:type="dxa"/>
              <w:right w:w="60" w:type="dxa"/>
            </w:tcMar>
            <w:vAlign w:val="center"/>
          </w:tcPr>
          <w:p w14:paraId="796D25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6B3BE7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43EBA2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579739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F5546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457C59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4E79FF2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393DD5B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43C3B2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5B501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BFC2C2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14:paraId="44362B6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26</w:t>
            </w:r>
          </w:p>
        </w:tc>
      </w:tr>
      <w:tr w:rsidR="00807FFE" w14:paraId="3288A76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F4DAF0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240205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21268F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286</w:t>
            </w:r>
          </w:p>
        </w:tc>
        <w:tc>
          <w:tcPr>
            <w:tcW w:w="875" w:type="dxa"/>
            <w:tcBorders>
              <w:top w:val="nil"/>
              <w:left w:val="nil"/>
              <w:bottom w:val="nil"/>
              <w:right w:val="nil"/>
              <w:tl2br w:val="nil"/>
              <w:tr2bl w:val="nil"/>
            </w:tcBorders>
            <w:tcMar>
              <w:left w:w="60" w:type="dxa"/>
              <w:right w:w="60" w:type="dxa"/>
            </w:tcMar>
            <w:vAlign w:val="center"/>
          </w:tcPr>
          <w:p w14:paraId="5F6BCED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45EBB95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286</w:t>
            </w:r>
          </w:p>
        </w:tc>
        <w:tc>
          <w:tcPr>
            <w:tcW w:w="876" w:type="dxa"/>
            <w:tcBorders>
              <w:top w:val="nil"/>
              <w:left w:val="nil"/>
              <w:bottom w:val="nil"/>
              <w:right w:val="nil"/>
              <w:tl2br w:val="nil"/>
              <w:tr2bl w:val="nil"/>
            </w:tcBorders>
            <w:tcMar>
              <w:left w:w="60" w:type="dxa"/>
              <w:right w:w="60" w:type="dxa"/>
            </w:tcMar>
            <w:vAlign w:val="center"/>
          </w:tcPr>
          <w:p w14:paraId="7F3337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AD670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14:paraId="3F9E7A0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14:paraId="3DBD6D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273</w:t>
            </w:r>
          </w:p>
        </w:tc>
        <w:tc>
          <w:tcPr>
            <w:tcW w:w="876" w:type="dxa"/>
            <w:tcBorders>
              <w:top w:val="nil"/>
              <w:left w:val="nil"/>
              <w:bottom w:val="nil"/>
              <w:right w:val="nil"/>
              <w:tl2br w:val="nil"/>
              <w:tr2bl w:val="nil"/>
            </w:tcBorders>
            <w:tcMar>
              <w:left w:w="60" w:type="dxa"/>
              <w:right w:w="60" w:type="dxa"/>
            </w:tcMar>
            <w:vAlign w:val="center"/>
          </w:tcPr>
          <w:p w14:paraId="2725C36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EC6A87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274</w:t>
            </w:r>
          </w:p>
        </w:tc>
        <w:tc>
          <w:tcPr>
            <w:tcW w:w="876" w:type="dxa"/>
            <w:tcBorders>
              <w:top w:val="nil"/>
              <w:left w:val="nil"/>
              <w:bottom w:val="nil"/>
              <w:right w:val="nil"/>
              <w:tl2br w:val="nil"/>
              <w:tr2bl w:val="nil"/>
            </w:tcBorders>
            <w:tcMar>
              <w:left w:w="60" w:type="dxa"/>
              <w:right w:w="60" w:type="dxa"/>
            </w:tcMar>
            <w:vAlign w:val="center"/>
          </w:tcPr>
          <w:p w14:paraId="563A2A8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07E97E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6396FD8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299</w:t>
            </w:r>
          </w:p>
        </w:tc>
      </w:tr>
      <w:tr w:rsidR="00807FFE" w14:paraId="127AE5A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F8B6E0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308677E"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5477370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C86AA6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55435D3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45B41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BDC3D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B373CD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126BF6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689B9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C9C1AE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BC0537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C4E4C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2DC8F85"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B7D1A2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FC8960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D304F0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75" w:type="dxa"/>
            <w:tcBorders>
              <w:top w:val="nil"/>
              <w:left w:val="nil"/>
              <w:bottom w:val="nil"/>
              <w:right w:val="nil"/>
              <w:tl2br w:val="nil"/>
              <w:tr2bl w:val="nil"/>
            </w:tcBorders>
            <w:tcMar>
              <w:left w:w="60" w:type="dxa"/>
              <w:right w:w="60" w:type="dxa"/>
            </w:tcMar>
            <w:vAlign w:val="center"/>
          </w:tcPr>
          <w:p w14:paraId="61549A2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5" w:type="dxa"/>
            <w:tcBorders>
              <w:top w:val="nil"/>
              <w:left w:val="nil"/>
              <w:bottom w:val="nil"/>
              <w:right w:val="nil"/>
              <w:tl2br w:val="nil"/>
              <w:tr2bl w:val="nil"/>
            </w:tcBorders>
            <w:tcMar>
              <w:left w:w="60" w:type="dxa"/>
              <w:right w:w="60" w:type="dxa"/>
            </w:tcMar>
            <w:vAlign w:val="center"/>
          </w:tcPr>
          <w:p w14:paraId="05A9D4F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14:paraId="5F5C77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7969EC8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FA45F6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FEC89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0072044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311C0B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BEF9F2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14:paraId="52B8995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EE00A8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4005301"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w:t>
            </w:r>
          </w:p>
        </w:tc>
      </w:tr>
      <w:tr w:rsidR="00807FFE" w14:paraId="5B6DCF53"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9619E1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0F9BFB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Employment and Social Innovation</w:t>
            </w:r>
          </w:p>
        </w:tc>
        <w:tc>
          <w:tcPr>
            <w:tcW w:w="875" w:type="dxa"/>
            <w:tcBorders>
              <w:top w:val="nil"/>
              <w:left w:val="nil"/>
              <w:bottom w:val="nil"/>
              <w:right w:val="nil"/>
              <w:tl2br w:val="nil"/>
              <w:tr2bl w:val="nil"/>
            </w:tcBorders>
            <w:tcMar>
              <w:left w:w="60" w:type="dxa"/>
              <w:right w:w="60" w:type="dxa"/>
            </w:tcMar>
            <w:vAlign w:val="center"/>
          </w:tcPr>
          <w:p w14:paraId="683D1C5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875" w:type="dxa"/>
            <w:tcBorders>
              <w:top w:val="nil"/>
              <w:left w:val="nil"/>
              <w:bottom w:val="nil"/>
              <w:right w:val="nil"/>
              <w:tl2br w:val="nil"/>
              <w:tr2bl w:val="nil"/>
            </w:tcBorders>
            <w:tcMar>
              <w:left w:w="60" w:type="dxa"/>
              <w:right w:w="60" w:type="dxa"/>
            </w:tcMar>
            <w:vAlign w:val="center"/>
          </w:tcPr>
          <w:p w14:paraId="0B74D9F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1CD9F66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107</w:t>
            </w:r>
          </w:p>
        </w:tc>
        <w:tc>
          <w:tcPr>
            <w:tcW w:w="876" w:type="dxa"/>
            <w:tcBorders>
              <w:top w:val="nil"/>
              <w:left w:val="nil"/>
              <w:bottom w:val="nil"/>
              <w:right w:val="nil"/>
              <w:tl2br w:val="nil"/>
              <w:tr2bl w:val="nil"/>
            </w:tcBorders>
            <w:tcMar>
              <w:left w:w="60" w:type="dxa"/>
              <w:right w:w="60" w:type="dxa"/>
            </w:tcMar>
            <w:vAlign w:val="center"/>
          </w:tcPr>
          <w:p w14:paraId="70CF81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3A5E80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6EC41B7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876" w:type="dxa"/>
            <w:tcBorders>
              <w:top w:val="nil"/>
              <w:left w:val="nil"/>
              <w:bottom w:val="nil"/>
              <w:right w:val="nil"/>
              <w:tl2br w:val="nil"/>
              <w:tr2bl w:val="nil"/>
            </w:tcBorders>
            <w:tcMar>
              <w:left w:w="60" w:type="dxa"/>
              <w:right w:w="60" w:type="dxa"/>
            </w:tcMar>
            <w:vAlign w:val="center"/>
          </w:tcPr>
          <w:p w14:paraId="745E1E1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76</w:t>
            </w:r>
          </w:p>
        </w:tc>
        <w:tc>
          <w:tcPr>
            <w:tcW w:w="876" w:type="dxa"/>
            <w:tcBorders>
              <w:top w:val="nil"/>
              <w:left w:val="nil"/>
              <w:bottom w:val="nil"/>
              <w:right w:val="nil"/>
              <w:tl2br w:val="nil"/>
              <w:tr2bl w:val="nil"/>
            </w:tcBorders>
            <w:tcMar>
              <w:left w:w="60" w:type="dxa"/>
              <w:right w:w="60" w:type="dxa"/>
            </w:tcMar>
            <w:vAlign w:val="center"/>
          </w:tcPr>
          <w:p w14:paraId="59B5100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1234B4E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14:paraId="0B0C21D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B7BD40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14:paraId="0881177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91</w:t>
            </w:r>
          </w:p>
        </w:tc>
      </w:tr>
      <w:tr w:rsidR="00807FFE" w14:paraId="5CE9094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EB78B9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27374B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Erasmus+</w:t>
            </w:r>
          </w:p>
        </w:tc>
        <w:tc>
          <w:tcPr>
            <w:tcW w:w="875" w:type="dxa"/>
            <w:tcBorders>
              <w:top w:val="nil"/>
              <w:left w:val="nil"/>
              <w:bottom w:val="nil"/>
              <w:right w:val="nil"/>
              <w:tl2br w:val="nil"/>
              <w:tr2bl w:val="nil"/>
            </w:tcBorders>
            <w:tcMar>
              <w:left w:w="60" w:type="dxa"/>
              <w:right w:w="60" w:type="dxa"/>
            </w:tcMar>
            <w:vAlign w:val="center"/>
          </w:tcPr>
          <w:p w14:paraId="2251DEF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3 969</w:t>
            </w:r>
          </w:p>
        </w:tc>
        <w:tc>
          <w:tcPr>
            <w:tcW w:w="875" w:type="dxa"/>
            <w:tcBorders>
              <w:top w:val="nil"/>
              <w:left w:val="nil"/>
              <w:bottom w:val="nil"/>
              <w:right w:val="nil"/>
              <w:tl2br w:val="nil"/>
              <w:tr2bl w:val="nil"/>
            </w:tcBorders>
            <w:tcMar>
              <w:left w:w="60" w:type="dxa"/>
              <w:right w:w="60" w:type="dxa"/>
            </w:tcMar>
            <w:vAlign w:val="center"/>
          </w:tcPr>
          <w:p w14:paraId="39E4341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02AFB00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3 969</w:t>
            </w:r>
          </w:p>
        </w:tc>
        <w:tc>
          <w:tcPr>
            <w:tcW w:w="876" w:type="dxa"/>
            <w:tcBorders>
              <w:top w:val="nil"/>
              <w:left w:val="nil"/>
              <w:bottom w:val="nil"/>
              <w:right w:val="nil"/>
              <w:tl2br w:val="nil"/>
              <w:tr2bl w:val="nil"/>
            </w:tcBorders>
            <w:tcMar>
              <w:left w:w="60" w:type="dxa"/>
              <w:right w:w="60" w:type="dxa"/>
            </w:tcMar>
            <w:vAlign w:val="center"/>
          </w:tcPr>
          <w:p w14:paraId="2900A3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881F79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1 135</w:t>
            </w:r>
          </w:p>
        </w:tc>
        <w:tc>
          <w:tcPr>
            <w:tcW w:w="876" w:type="dxa"/>
            <w:tcBorders>
              <w:top w:val="nil"/>
              <w:left w:val="nil"/>
              <w:bottom w:val="nil"/>
              <w:right w:val="nil"/>
              <w:tl2br w:val="nil"/>
              <w:tr2bl w:val="nil"/>
            </w:tcBorders>
            <w:tcMar>
              <w:left w:w="60" w:type="dxa"/>
              <w:right w:w="60" w:type="dxa"/>
            </w:tcMar>
            <w:vAlign w:val="center"/>
          </w:tcPr>
          <w:p w14:paraId="4D04CD8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5 105</w:t>
            </w:r>
          </w:p>
        </w:tc>
        <w:tc>
          <w:tcPr>
            <w:tcW w:w="876" w:type="dxa"/>
            <w:tcBorders>
              <w:top w:val="nil"/>
              <w:left w:val="nil"/>
              <w:bottom w:val="nil"/>
              <w:right w:val="nil"/>
              <w:tl2br w:val="nil"/>
              <w:tr2bl w:val="nil"/>
            </w:tcBorders>
            <w:tcMar>
              <w:left w:w="60" w:type="dxa"/>
              <w:right w:w="60" w:type="dxa"/>
            </w:tcMar>
            <w:vAlign w:val="center"/>
          </w:tcPr>
          <w:p w14:paraId="4C4C795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3 766</w:t>
            </w:r>
          </w:p>
        </w:tc>
        <w:tc>
          <w:tcPr>
            <w:tcW w:w="876" w:type="dxa"/>
            <w:tcBorders>
              <w:top w:val="nil"/>
              <w:left w:val="nil"/>
              <w:bottom w:val="nil"/>
              <w:right w:val="nil"/>
              <w:tl2br w:val="nil"/>
              <w:tr2bl w:val="nil"/>
            </w:tcBorders>
            <w:tcMar>
              <w:left w:w="60" w:type="dxa"/>
              <w:right w:w="60" w:type="dxa"/>
            </w:tcMar>
            <w:vAlign w:val="center"/>
          </w:tcPr>
          <w:p w14:paraId="2CD726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14:paraId="54DE12E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3 797</w:t>
            </w:r>
          </w:p>
        </w:tc>
        <w:tc>
          <w:tcPr>
            <w:tcW w:w="876" w:type="dxa"/>
            <w:tcBorders>
              <w:top w:val="nil"/>
              <w:left w:val="nil"/>
              <w:bottom w:val="nil"/>
              <w:right w:val="nil"/>
              <w:tl2br w:val="nil"/>
              <w:tr2bl w:val="nil"/>
            </w:tcBorders>
            <w:tcMar>
              <w:left w:w="60" w:type="dxa"/>
              <w:right w:w="60" w:type="dxa"/>
            </w:tcMar>
            <w:vAlign w:val="center"/>
          </w:tcPr>
          <w:p w14:paraId="6687349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876" w:type="dxa"/>
            <w:tcBorders>
              <w:top w:val="nil"/>
              <w:left w:val="nil"/>
              <w:bottom w:val="nil"/>
              <w:right w:val="nil"/>
              <w:tl2br w:val="nil"/>
              <w:tr2bl w:val="nil"/>
            </w:tcBorders>
            <w:tcMar>
              <w:left w:w="60" w:type="dxa"/>
              <w:right w:w="60" w:type="dxa"/>
            </w:tcMar>
            <w:vAlign w:val="center"/>
          </w:tcPr>
          <w:p w14:paraId="6BF9E33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1 151</w:t>
            </w:r>
          </w:p>
        </w:tc>
        <w:tc>
          <w:tcPr>
            <w:tcW w:w="876" w:type="dxa"/>
            <w:tcBorders>
              <w:top w:val="nil"/>
              <w:left w:val="nil"/>
              <w:bottom w:val="nil"/>
              <w:right w:val="nil"/>
              <w:tl2br w:val="nil"/>
              <w:tr2bl w:val="nil"/>
            </w:tcBorders>
            <w:tcMar>
              <w:left w:w="60" w:type="dxa"/>
              <w:right w:w="60" w:type="dxa"/>
            </w:tcMar>
            <w:vAlign w:val="center"/>
          </w:tcPr>
          <w:p w14:paraId="6C8F9F8E"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4 966</w:t>
            </w:r>
          </w:p>
        </w:tc>
      </w:tr>
      <w:tr w:rsidR="00807FFE" w14:paraId="337A693C"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3163BB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6FDC18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Solidarity Corps (ESC)</w:t>
            </w:r>
          </w:p>
        </w:tc>
        <w:tc>
          <w:tcPr>
            <w:tcW w:w="875" w:type="dxa"/>
            <w:tcBorders>
              <w:top w:val="nil"/>
              <w:left w:val="nil"/>
              <w:bottom w:val="nil"/>
              <w:right w:val="nil"/>
              <w:tl2br w:val="nil"/>
              <w:tr2bl w:val="nil"/>
            </w:tcBorders>
            <w:tcMar>
              <w:left w:w="60" w:type="dxa"/>
              <w:right w:w="60" w:type="dxa"/>
            </w:tcMar>
            <w:vAlign w:val="center"/>
          </w:tcPr>
          <w:p w14:paraId="3FF6678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147</w:t>
            </w:r>
          </w:p>
        </w:tc>
        <w:tc>
          <w:tcPr>
            <w:tcW w:w="875" w:type="dxa"/>
            <w:tcBorders>
              <w:top w:val="nil"/>
              <w:left w:val="nil"/>
              <w:bottom w:val="nil"/>
              <w:right w:val="nil"/>
              <w:tl2br w:val="nil"/>
              <w:tr2bl w:val="nil"/>
            </w:tcBorders>
            <w:tcMar>
              <w:left w:w="60" w:type="dxa"/>
              <w:right w:w="60" w:type="dxa"/>
            </w:tcMar>
            <w:vAlign w:val="center"/>
          </w:tcPr>
          <w:p w14:paraId="6AEEA02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5F83BB0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147</w:t>
            </w:r>
          </w:p>
        </w:tc>
        <w:tc>
          <w:tcPr>
            <w:tcW w:w="876" w:type="dxa"/>
            <w:tcBorders>
              <w:top w:val="nil"/>
              <w:left w:val="nil"/>
              <w:bottom w:val="nil"/>
              <w:right w:val="nil"/>
              <w:tl2br w:val="nil"/>
              <w:tr2bl w:val="nil"/>
            </w:tcBorders>
            <w:tcMar>
              <w:left w:w="60" w:type="dxa"/>
              <w:right w:w="60" w:type="dxa"/>
            </w:tcMar>
            <w:vAlign w:val="center"/>
          </w:tcPr>
          <w:p w14:paraId="5BAB16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D82324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74</w:t>
            </w:r>
          </w:p>
        </w:tc>
        <w:tc>
          <w:tcPr>
            <w:tcW w:w="876" w:type="dxa"/>
            <w:tcBorders>
              <w:top w:val="nil"/>
              <w:left w:val="nil"/>
              <w:bottom w:val="nil"/>
              <w:right w:val="nil"/>
              <w:tl2br w:val="nil"/>
              <w:tr2bl w:val="nil"/>
            </w:tcBorders>
            <w:tcMar>
              <w:left w:w="60" w:type="dxa"/>
              <w:right w:w="60" w:type="dxa"/>
            </w:tcMar>
            <w:vAlign w:val="center"/>
          </w:tcPr>
          <w:p w14:paraId="16CFA62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221</w:t>
            </w:r>
          </w:p>
        </w:tc>
        <w:tc>
          <w:tcPr>
            <w:tcW w:w="876" w:type="dxa"/>
            <w:tcBorders>
              <w:top w:val="nil"/>
              <w:left w:val="nil"/>
              <w:bottom w:val="nil"/>
              <w:right w:val="nil"/>
              <w:tl2br w:val="nil"/>
              <w:tr2bl w:val="nil"/>
            </w:tcBorders>
            <w:tcMar>
              <w:left w:w="60" w:type="dxa"/>
              <w:right w:w="60" w:type="dxa"/>
            </w:tcMar>
            <w:vAlign w:val="center"/>
          </w:tcPr>
          <w:p w14:paraId="3725461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133</w:t>
            </w:r>
          </w:p>
        </w:tc>
        <w:tc>
          <w:tcPr>
            <w:tcW w:w="876" w:type="dxa"/>
            <w:tcBorders>
              <w:top w:val="nil"/>
              <w:left w:val="nil"/>
              <w:bottom w:val="nil"/>
              <w:right w:val="nil"/>
              <w:tl2br w:val="nil"/>
              <w:tr2bl w:val="nil"/>
            </w:tcBorders>
            <w:tcMar>
              <w:left w:w="60" w:type="dxa"/>
              <w:right w:w="60" w:type="dxa"/>
            </w:tcMar>
            <w:vAlign w:val="center"/>
          </w:tcPr>
          <w:p w14:paraId="2BFF7F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03C1CDB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138</w:t>
            </w:r>
          </w:p>
        </w:tc>
        <w:tc>
          <w:tcPr>
            <w:tcW w:w="876" w:type="dxa"/>
            <w:tcBorders>
              <w:top w:val="nil"/>
              <w:left w:val="nil"/>
              <w:bottom w:val="nil"/>
              <w:right w:val="nil"/>
              <w:tl2br w:val="nil"/>
              <w:tr2bl w:val="nil"/>
            </w:tcBorders>
            <w:tcMar>
              <w:left w:w="60" w:type="dxa"/>
              <w:right w:w="60" w:type="dxa"/>
            </w:tcMar>
            <w:vAlign w:val="center"/>
          </w:tcPr>
          <w:p w14:paraId="3CFD849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64D3E3D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14:paraId="2FD903F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220</w:t>
            </w:r>
          </w:p>
        </w:tc>
      </w:tr>
      <w:tr w:rsidR="00807FFE" w14:paraId="1AE1319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A23ED59"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F55654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Creative Europe</w:t>
            </w:r>
          </w:p>
        </w:tc>
        <w:tc>
          <w:tcPr>
            <w:tcW w:w="875" w:type="dxa"/>
            <w:tcBorders>
              <w:top w:val="nil"/>
              <w:left w:val="nil"/>
              <w:bottom w:val="nil"/>
              <w:right w:val="nil"/>
              <w:tl2br w:val="nil"/>
              <w:tr2bl w:val="nil"/>
            </w:tcBorders>
            <w:tcMar>
              <w:left w:w="60" w:type="dxa"/>
              <w:right w:w="60" w:type="dxa"/>
            </w:tcMar>
            <w:vAlign w:val="center"/>
          </w:tcPr>
          <w:p w14:paraId="1A1ADE5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352</w:t>
            </w:r>
          </w:p>
        </w:tc>
        <w:tc>
          <w:tcPr>
            <w:tcW w:w="875" w:type="dxa"/>
            <w:tcBorders>
              <w:top w:val="nil"/>
              <w:left w:val="nil"/>
              <w:bottom w:val="nil"/>
              <w:right w:val="nil"/>
              <w:tl2br w:val="nil"/>
              <w:tr2bl w:val="nil"/>
            </w:tcBorders>
            <w:tcMar>
              <w:left w:w="60" w:type="dxa"/>
              <w:right w:w="60" w:type="dxa"/>
            </w:tcMar>
            <w:vAlign w:val="center"/>
          </w:tcPr>
          <w:p w14:paraId="13CF592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149C59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352</w:t>
            </w:r>
          </w:p>
        </w:tc>
        <w:tc>
          <w:tcPr>
            <w:tcW w:w="876" w:type="dxa"/>
            <w:tcBorders>
              <w:top w:val="nil"/>
              <w:left w:val="nil"/>
              <w:bottom w:val="nil"/>
              <w:right w:val="nil"/>
              <w:tl2br w:val="nil"/>
              <w:tr2bl w:val="nil"/>
            </w:tcBorders>
            <w:tcMar>
              <w:left w:w="60" w:type="dxa"/>
              <w:right w:w="60" w:type="dxa"/>
            </w:tcMar>
            <w:vAlign w:val="center"/>
          </w:tcPr>
          <w:p w14:paraId="4D19DB6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402B36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14:paraId="26A8ED4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373</w:t>
            </w:r>
          </w:p>
        </w:tc>
        <w:tc>
          <w:tcPr>
            <w:tcW w:w="876" w:type="dxa"/>
            <w:tcBorders>
              <w:top w:val="nil"/>
              <w:left w:val="nil"/>
              <w:bottom w:val="nil"/>
              <w:right w:val="nil"/>
              <w:tl2br w:val="nil"/>
              <w:tr2bl w:val="nil"/>
            </w:tcBorders>
            <w:tcMar>
              <w:left w:w="60" w:type="dxa"/>
              <w:right w:w="60" w:type="dxa"/>
            </w:tcMar>
            <w:vAlign w:val="center"/>
          </w:tcPr>
          <w:p w14:paraId="39A390A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347</w:t>
            </w:r>
          </w:p>
        </w:tc>
        <w:tc>
          <w:tcPr>
            <w:tcW w:w="876" w:type="dxa"/>
            <w:tcBorders>
              <w:top w:val="nil"/>
              <w:left w:val="nil"/>
              <w:bottom w:val="nil"/>
              <w:right w:val="nil"/>
              <w:tl2br w:val="nil"/>
              <w:tr2bl w:val="nil"/>
            </w:tcBorders>
            <w:tcMar>
              <w:left w:w="60" w:type="dxa"/>
              <w:right w:w="60" w:type="dxa"/>
            </w:tcMar>
            <w:vAlign w:val="center"/>
          </w:tcPr>
          <w:p w14:paraId="52F0A0D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14:paraId="745854D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324</w:t>
            </w:r>
          </w:p>
        </w:tc>
        <w:tc>
          <w:tcPr>
            <w:tcW w:w="876" w:type="dxa"/>
            <w:tcBorders>
              <w:top w:val="nil"/>
              <w:left w:val="nil"/>
              <w:bottom w:val="nil"/>
              <w:right w:val="nil"/>
              <w:tl2br w:val="nil"/>
              <w:tr2bl w:val="nil"/>
            </w:tcBorders>
            <w:tcMar>
              <w:left w:w="60" w:type="dxa"/>
              <w:right w:w="60" w:type="dxa"/>
            </w:tcMar>
            <w:vAlign w:val="center"/>
          </w:tcPr>
          <w:p w14:paraId="7BBAAC8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37A29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14:paraId="4094788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350</w:t>
            </w:r>
          </w:p>
        </w:tc>
      </w:tr>
      <w:tr w:rsidR="00807FFE" w14:paraId="7E80270F"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C37E6B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79BB0B0"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Justice</w:t>
            </w:r>
          </w:p>
        </w:tc>
        <w:tc>
          <w:tcPr>
            <w:tcW w:w="875" w:type="dxa"/>
            <w:tcBorders>
              <w:top w:val="nil"/>
              <w:left w:val="nil"/>
              <w:bottom w:val="nil"/>
              <w:right w:val="nil"/>
              <w:tl2br w:val="nil"/>
              <w:tr2bl w:val="nil"/>
            </w:tcBorders>
            <w:tcMar>
              <w:left w:w="60" w:type="dxa"/>
              <w:right w:w="60" w:type="dxa"/>
            </w:tcMar>
            <w:vAlign w:val="center"/>
          </w:tcPr>
          <w:p w14:paraId="4AD603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875" w:type="dxa"/>
            <w:tcBorders>
              <w:top w:val="nil"/>
              <w:left w:val="nil"/>
              <w:bottom w:val="nil"/>
              <w:right w:val="nil"/>
              <w:tl2br w:val="nil"/>
              <w:tr2bl w:val="nil"/>
            </w:tcBorders>
            <w:tcMar>
              <w:left w:w="60" w:type="dxa"/>
              <w:right w:w="60" w:type="dxa"/>
            </w:tcMar>
            <w:vAlign w:val="center"/>
          </w:tcPr>
          <w:p w14:paraId="0F424BB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7D5ED5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876" w:type="dxa"/>
            <w:tcBorders>
              <w:top w:val="nil"/>
              <w:left w:val="nil"/>
              <w:bottom w:val="nil"/>
              <w:right w:val="nil"/>
              <w:tl2br w:val="nil"/>
              <w:tr2bl w:val="nil"/>
            </w:tcBorders>
            <w:tcMar>
              <w:left w:w="60" w:type="dxa"/>
              <w:right w:w="60" w:type="dxa"/>
            </w:tcMar>
            <w:vAlign w:val="center"/>
          </w:tcPr>
          <w:p w14:paraId="3A32DBD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C2960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A71EA8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14:paraId="2F3E7CF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14:paraId="0B4D776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35EAC2E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14:paraId="0A43BD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3CAEB4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AB14A6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43</w:t>
            </w:r>
          </w:p>
        </w:tc>
      </w:tr>
      <w:tr w:rsidR="00807FFE" w14:paraId="7C5D4B61"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5675BF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93FF3C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Rights and Values</w:t>
            </w:r>
          </w:p>
        </w:tc>
        <w:tc>
          <w:tcPr>
            <w:tcW w:w="875" w:type="dxa"/>
            <w:tcBorders>
              <w:top w:val="nil"/>
              <w:left w:val="nil"/>
              <w:bottom w:val="nil"/>
              <w:right w:val="nil"/>
              <w:tl2br w:val="nil"/>
              <w:tr2bl w:val="nil"/>
            </w:tcBorders>
            <w:tcMar>
              <w:left w:w="60" w:type="dxa"/>
              <w:right w:w="60" w:type="dxa"/>
            </w:tcMar>
            <w:vAlign w:val="center"/>
          </w:tcPr>
          <w:p w14:paraId="6577624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236</w:t>
            </w:r>
          </w:p>
        </w:tc>
        <w:tc>
          <w:tcPr>
            <w:tcW w:w="875" w:type="dxa"/>
            <w:tcBorders>
              <w:top w:val="nil"/>
              <w:left w:val="nil"/>
              <w:bottom w:val="nil"/>
              <w:right w:val="nil"/>
              <w:tl2br w:val="nil"/>
              <w:tr2bl w:val="nil"/>
            </w:tcBorders>
            <w:tcMar>
              <w:left w:w="60" w:type="dxa"/>
              <w:right w:w="60" w:type="dxa"/>
            </w:tcMar>
            <w:vAlign w:val="center"/>
          </w:tcPr>
          <w:p w14:paraId="3002CB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7632FD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238</w:t>
            </w:r>
          </w:p>
        </w:tc>
        <w:tc>
          <w:tcPr>
            <w:tcW w:w="876" w:type="dxa"/>
            <w:tcBorders>
              <w:top w:val="nil"/>
              <w:left w:val="nil"/>
              <w:bottom w:val="nil"/>
              <w:right w:val="nil"/>
              <w:tl2br w:val="nil"/>
              <w:tr2bl w:val="nil"/>
            </w:tcBorders>
            <w:tcMar>
              <w:left w:w="60" w:type="dxa"/>
              <w:right w:w="60" w:type="dxa"/>
            </w:tcMar>
            <w:vAlign w:val="center"/>
          </w:tcPr>
          <w:p w14:paraId="1D43F35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2DA474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1AECB13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240</w:t>
            </w:r>
          </w:p>
        </w:tc>
        <w:tc>
          <w:tcPr>
            <w:tcW w:w="876" w:type="dxa"/>
            <w:tcBorders>
              <w:top w:val="nil"/>
              <w:left w:val="nil"/>
              <w:bottom w:val="nil"/>
              <w:right w:val="nil"/>
              <w:tl2br w:val="nil"/>
              <w:tr2bl w:val="nil"/>
            </w:tcBorders>
            <w:tcMar>
              <w:left w:w="60" w:type="dxa"/>
              <w:right w:w="60" w:type="dxa"/>
            </w:tcMar>
            <w:vAlign w:val="center"/>
          </w:tcPr>
          <w:p w14:paraId="0556E5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188</w:t>
            </w:r>
          </w:p>
        </w:tc>
        <w:tc>
          <w:tcPr>
            <w:tcW w:w="876" w:type="dxa"/>
            <w:tcBorders>
              <w:top w:val="nil"/>
              <w:left w:val="nil"/>
              <w:bottom w:val="nil"/>
              <w:right w:val="nil"/>
              <w:tl2br w:val="nil"/>
              <w:tr2bl w:val="nil"/>
            </w:tcBorders>
            <w:tcMar>
              <w:left w:w="60" w:type="dxa"/>
              <w:right w:w="60" w:type="dxa"/>
            </w:tcMar>
            <w:vAlign w:val="center"/>
          </w:tcPr>
          <w:p w14:paraId="71BE390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299F0CF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191</w:t>
            </w:r>
          </w:p>
        </w:tc>
        <w:tc>
          <w:tcPr>
            <w:tcW w:w="876" w:type="dxa"/>
            <w:tcBorders>
              <w:top w:val="nil"/>
              <w:left w:val="nil"/>
              <w:bottom w:val="nil"/>
              <w:right w:val="nil"/>
              <w:tl2br w:val="nil"/>
              <w:tr2bl w:val="nil"/>
            </w:tcBorders>
            <w:tcMar>
              <w:left w:w="60" w:type="dxa"/>
              <w:right w:w="60" w:type="dxa"/>
            </w:tcMar>
            <w:vAlign w:val="center"/>
          </w:tcPr>
          <w:p w14:paraId="55C18C4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D2FD8E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FA231C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194</w:t>
            </w:r>
          </w:p>
        </w:tc>
      </w:tr>
      <w:tr w:rsidR="00807FFE" w14:paraId="5FD7EEB3"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221B423"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2086BC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181B423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324</w:t>
            </w:r>
          </w:p>
        </w:tc>
        <w:tc>
          <w:tcPr>
            <w:tcW w:w="875" w:type="dxa"/>
            <w:tcBorders>
              <w:top w:val="nil"/>
              <w:left w:val="nil"/>
              <w:bottom w:val="nil"/>
              <w:right w:val="nil"/>
              <w:tl2br w:val="nil"/>
              <w:tr2bl w:val="nil"/>
            </w:tcBorders>
            <w:tcMar>
              <w:left w:w="60" w:type="dxa"/>
              <w:right w:w="60" w:type="dxa"/>
            </w:tcMar>
            <w:vAlign w:val="center"/>
          </w:tcPr>
          <w:p w14:paraId="68C886D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6FEA83F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324</w:t>
            </w:r>
          </w:p>
        </w:tc>
        <w:tc>
          <w:tcPr>
            <w:tcW w:w="876" w:type="dxa"/>
            <w:tcBorders>
              <w:top w:val="nil"/>
              <w:left w:val="nil"/>
              <w:bottom w:val="nil"/>
              <w:right w:val="nil"/>
              <w:tl2br w:val="nil"/>
              <w:tr2bl w:val="nil"/>
            </w:tcBorders>
            <w:tcMar>
              <w:left w:w="60" w:type="dxa"/>
              <w:right w:w="60" w:type="dxa"/>
            </w:tcMar>
            <w:vAlign w:val="center"/>
          </w:tcPr>
          <w:p w14:paraId="12D526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629FE0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64025D8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336</w:t>
            </w:r>
          </w:p>
        </w:tc>
        <w:tc>
          <w:tcPr>
            <w:tcW w:w="876" w:type="dxa"/>
            <w:tcBorders>
              <w:top w:val="nil"/>
              <w:left w:val="nil"/>
              <w:bottom w:val="nil"/>
              <w:right w:val="nil"/>
              <w:tl2br w:val="nil"/>
              <w:tr2bl w:val="nil"/>
            </w:tcBorders>
            <w:tcMar>
              <w:left w:w="60" w:type="dxa"/>
              <w:right w:w="60" w:type="dxa"/>
            </w:tcMar>
            <w:vAlign w:val="center"/>
          </w:tcPr>
          <w:p w14:paraId="49CA025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322</w:t>
            </w:r>
          </w:p>
        </w:tc>
        <w:tc>
          <w:tcPr>
            <w:tcW w:w="876" w:type="dxa"/>
            <w:tcBorders>
              <w:top w:val="nil"/>
              <w:left w:val="nil"/>
              <w:bottom w:val="nil"/>
              <w:right w:val="nil"/>
              <w:tl2br w:val="nil"/>
              <w:tr2bl w:val="nil"/>
            </w:tcBorders>
            <w:tcMar>
              <w:left w:w="60" w:type="dxa"/>
              <w:right w:w="60" w:type="dxa"/>
            </w:tcMar>
            <w:vAlign w:val="center"/>
          </w:tcPr>
          <w:p w14:paraId="65C8B3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5FA2A9A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321</w:t>
            </w:r>
          </w:p>
        </w:tc>
        <w:tc>
          <w:tcPr>
            <w:tcW w:w="876" w:type="dxa"/>
            <w:tcBorders>
              <w:top w:val="nil"/>
              <w:left w:val="nil"/>
              <w:bottom w:val="nil"/>
              <w:right w:val="nil"/>
              <w:tl2br w:val="nil"/>
              <w:tr2bl w:val="nil"/>
            </w:tcBorders>
            <w:tcMar>
              <w:left w:w="60" w:type="dxa"/>
              <w:right w:w="60" w:type="dxa"/>
            </w:tcMar>
            <w:vAlign w:val="center"/>
          </w:tcPr>
          <w:p w14:paraId="7E542EE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E986B0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384F9370"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333</w:t>
            </w:r>
          </w:p>
        </w:tc>
      </w:tr>
      <w:tr w:rsidR="00807FFE" w14:paraId="066355B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9ED4003"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DBD9E0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Other actions</w:t>
            </w:r>
          </w:p>
        </w:tc>
        <w:tc>
          <w:tcPr>
            <w:tcW w:w="875" w:type="dxa"/>
            <w:tcBorders>
              <w:top w:val="nil"/>
              <w:left w:val="nil"/>
              <w:bottom w:val="nil"/>
              <w:right w:val="nil"/>
              <w:tl2br w:val="nil"/>
              <w:tr2bl w:val="nil"/>
            </w:tcBorders>
            <w:tcMar>
              <w:left w:w="60" w:type="dxa"/>
              <w:right w:w="60" w:type="dxa"/>
            </w:tcMar>
            <w:vAlign w:val="center"/>
          </w:tcPr>
          <w:p w14:paraId="0E63BAB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5" w:type="dxa"/>
            <w:tcBorders>
              <w:top w:val="nil"/>
              <w:left w:val="nil"/>
              <w:bottom w:val="nil"/>
              <w:right w:val="nil"/>
              <w:tl2br w:val="nil"/>
              <w:tr2bl w:val="nil"/>
            </w:tcBorders>
            <w:tcMar>
              <w:left w:w="60" w:type="dxa"/>
              <w:right w:w="60" w:type="dxa"/>
            </w:tcMar>
            <w:vAlign w:val="center"/>
          </w:tcPr>
          <w:p w14:paraId="22FF18A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F62C4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7B143F5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2CEA3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C5E91A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3307D16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4DF9F6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097EC74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5FAFEB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AF203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19042E7"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2E3E28FC"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BDCE18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3C4651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3066D88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5" w:type="dxa"/>
            <w:tcBorders>
              <w:top w:val="nil"/>
              <w:left w:val="nil"/>
              <w:bottom w:val="nil"/>
              <w:right w:val="nil"/>
              <w:tl2br w:val="nil"/>
              <w:tr2bl w:val="nil"/>
            </w:tcBorders>
            <w:tcMar>
              <w:left w:w="60" w:type="dxa"/>
              <w:right w:w="60" w:type="dxa"/>
            </w:tcMar>
            <w:vAlign w:val="center"/>
          </w:tcPr>
          <w:p w14:paraId="748E98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1D6CFE9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14:paraId="79700A6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A4CBF1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D4B473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14:paraId="5BF7165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14:paraId="3120E4E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55F9DE2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6DCBC05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C9F1C2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F07EDE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25</w:t>
            </w:r>
          </w:p>
        </w:tc>
      </w:tr>
      <w:tr w:rsidR="00807FFE" w14:paraId="52FE943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1B7074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59E8CA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75" w:type="dxa"/>
            <w:tcBorders>
              <w:top w:val="nil"/>
              <w:left w:val="nil"/>
              <w:bottom w:val="nil"/>
              <w:right w:val="nil"/>
              <w:tl2br w:val="nil"/>
              <w:tr2bl w:val="nil"/>
            </w:tcBorders>
            <w:tcMar>
              <w:left w:w="60" w:type="dxa"/>
              <w:right w:w="60" w:type="dxa"/>
            </w:tcMar>
            <w:vAlign w:val="center"/>
          </w:tcPr>
          <w:p w14:paraId="2E85B68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186</w:t>
            </w:r>
          </w:p>
        </w:tc>
        <w:tc>
          <w:tcPr>
            <w:tcW w:w="875" w:type="dxa"/>
            <w:tcBorders>
              <w:top w:val="nil"/>
              <w:left w:val="nil"/>
              <w:bottom w:val="nil"/>
              <w:right w:val="nil"/>
              <w:tl2br w:val="nil"/>
              <w:tr2bl w:val="nil"/>
            </w:tcBorders>
            <w:tcMar>
              <w:left w:w="60" w:type="dxa"/>
              <w:right w:w="60" w:type="dxa"/>
            </w:tcMar>
            <w:vAlign w:val="center"/>
          </w:tcPr>
          <w:p w14:paraId="5AB95D0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1432773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186</w:t>
            </w:r>
          </w:p>
        </w:tc>
        <w:tc>
          <w:tcPr>
            <w:tcW w:w="876" w:type="dxa"/>
            <w:tcBorders>
              <w:top w:val="nil"/>
              <w:left w:val="nil"/>
              <w:bottom w:val="nil"/>
              <w:right w:val="nil"/>
              <w:tl2br w:val="nil"/>
              <w:tr2bl w:val="nil"/>
            </w:tcBorders>
            <w:tcMar>
              <w:left w:w="60" w:type="dxa"/>
              <w:right w:w="60" w:type="dxa"/>
            </w:tcMar>
            <w:vAlign w:val="center"/>
          </w:tcPr>
          <w:p w14:paraId="6F13354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EEF60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5062408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191</w:t>
            </w:r>
          </w:p>
        </w:tc>
        <w:tc>
          <w:tcPr>
            <w:tcW w:w="876" w:type="dxa"/>
            <w:tcBorders>
              <w:top w:val="nil"/>
              <w:left w:val="nil"/>
              <w:bottom w:val="nil"/>
              <w:right w:val="nil"/>
              <w:tl2br w:val="nil"/>
              <w:tr2bl w:val="nil"/>
            </w:tcBorders>
            <w:tcMar>
              <w:left w:w="60" w:type="dxa"/>
              <w:right w:w="60" w:type="dxa"/>
            </w:tcMar>
            <w:vAlign w:val="center"/>
          </w:tcPr>
          <w:p w14:paraId="6451D4D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176</w:t>
            </w:r>
          </w:p>
        </w:tc>
        <w:tc>
          <w:tcPr>
            <w:tcW w:w="876" w:type="dxa"/>
            <w:tcBorders>
              <w:top w:val="nil"/>
              <w:left w:val="nil"/>
              <w:bottom w:val="nil"/>
              <w:right w:val="nil"/>
              <w:tl2br w:val="nil"/>
              <w:tr2bl w:val="nil"/>
            </w:tcBorders>
            <w:tcMar>
              <w:left w:w="60" w:type="dxa"/>
              <w:right w:w="60" w:type="dxa"/>
            </w:tcMar>
            <w:vAlign w:val="center"/>
          </w:tcPr>
          <w:p w14:paraId="325EB0C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75B1252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178</w:t>
            </w:r>
          </w:p>
        </w:tc>
        <w:tc>
          <w:tcPr>
            <w:tcW w:w="876" w:type="dxa"/>
            <w:tcBorders>
              <w:top w:val="nil"/>
              <w:left w:val="nil"/>
              <w:bottom w:val="nil"/>
              <w:right w:val="nil"/>
              <w:tl2br w:val="nil"/>
              <w:tr2bl w:val="nil"/>
            </w:tcBorders>
            <w:tcMar>
              <w:left w:w="60" w:type="dxa"/>
              <w:right w:w="60" w:type="dxa"/>
            </w:tcMar>
            <w:vAlign w:val="center"/>
          </w:tcPr>
          <w:p w14:paraId="27EC097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534C7A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74DCBAFE"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183</w:t>
            </w:r>
          </w:p>
        </w:tc>
      </w:tr>
      <w:tr w:rsidR="00807FFE" w14:paraId="1E7A5762"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0B89CCA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407C794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2: Cohesion, Resilience and Values</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02469B5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77 980</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69C2826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6611271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77 979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B15C2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CDC087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2 825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03DFEE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80 804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5696BF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44 445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85FC0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2 696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C6777F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47 141</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872E7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1 897</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7B3444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47 563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F47BF15"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96 601</w:t>
            </w:r>
          </w:p>
        </w:tc>
      </w:tr>
      <w:tr w:rsidR="00807FFE" w14:paraId="34DD672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676FA6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D713D47"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6C4889EF"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35E0780E"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7F6A9004"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623EEFA"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1B93BAAC"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0D6D27C3"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F9B1E0F"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6CDD0475"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600E2A1"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1B032A82"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638285FB"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15AD656" w14:textId="77777777" w:rsidR="00807FFE" w:rsidRDefault="00807FFE">
            <w:pPr>
              <w:pStyle w:val="DMETW36742BIPDetailedMFF1Breakdown"/>
              <w:jc w:val="right"/>
              <w:rPr>
                <w:rFonts w:ascii="Verdana" w:eastAsia="Verdana" w:hAnsi="Verdana" w:cs="Verdana"/>
                <w:noProof/>
                <w:color w:val="000000"/>
                <w:sz w:val="16"/>
                <w:lang w:bidi="en-GB"/>
              </w:rPr>
            </w:pPr>
          </w:p>
        </w:tc>
      </w:tr>
      <w:tr w:rsidR="00807FFE" w14:paraId="154F4A3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CCB08B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3</w:t>
            </w:r>
          </w:p>
        </w:tc>
        <w:tc>
          <w:tcPr>
            <w:tcW w:w="3839" w:type="dxa"/>
            <w:tcBorders>
              <w:top w:val="nil"/>
              <w:left w:val="nil"/>
              <w:bottom w:val="nil"/>
              <w:right w:val="nil"/>
              <w:tl2br w:val="nil"/>
              <w:tr2bl w:val="nil"/>
            </w:tcBorders>
            <w:tcMar>
              <w:left w:w="60" w:type="dxa"/>
              <w:right w:w="60" w:type="dxa"/>
            </w:tcMar>
            <w:vAlign w:val="center"/>
          </w:tcPr>
          <w:p w14:paraId="0419AA7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Agricultural Guarantee Fund (EAGF)</w:t>
            </w:r>
          </w:p>
        </w:tc>
        <w:tc>
          <w:tcPr>
            <w:tcW w:w="875" w:type="dxa"/>
            <w:tcBorders>
              <w:top w:val="nil"/>
              <w:left w:val="nil"/>
              <w:bottom w:val="nil"/>
              <w:right w:val="nil"/>
              <w:tl2br w:val="nil"/>
              <w:tr2bl w:val="nil"/>
            </w:tcBorders>
            <w:tcMar>
              <w:left w:w="60" w:type="dxa"/>
              <w:right w:w="60" w:type="dxa"/>
            </w:tcMar>
            <w:vAlign w:val="center"/>
          </w:tcPr>
          <w:p w14:paraId="67ACB5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39 976</w:t>
            </w:r>
          </w:p>
        </w:tc>
        <w:tc>
          <w:tcPr>
            <w:tcW w:w="875" w:type="dxa"/>
            <w:tcBorders>
              <w:top w:val="nil"/>
              <w:left w:val="nil"/>
              <w:bottom w:val="nil"/>
              <w:right w:val="nil"/>
              <w:tl2br w:val="nil"/>
              <w:tr2bl w:val="nil"/>
            </w:tcBorders>
            <w:tcMar>
              <w:left w:w="60" w:type="dxa"/>
              <w:right w:w="60" w:type="dxa"/>
            </w:tcMar>
            <w:vAlign w:val="center"/>
          </w:tcPr>
          <w:p w14:paraId="67AB75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37CECE5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39 976</w:t>
            </w:r>
          </w:p>
        </w:tc>
        <w:tc>
          <w:tcPr>
            <w:tcW w:w="876" w:type="dxa"/>
            <w:tcBorders>
              <w:top w:val="nil"/>
              <w:left w:val="nil"/>
              <w:bottom w:val="nil"/>
              <w:right w:val="nil"/>
              <w:tl2br w:val="nil"/>
              <w:tr2bl w:val="nil"/>
            </w:tcBorders>
            <w:tcMar>
              <w:left w:w="60" w:type="dxa"/>
              <w:right w:w="60" w:type="dxa"/>
            </w:tcMar>
            <w:vAlign w:val="center"/>
          </w:tcPr>
          <w:p w14:paraId="13CE743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366</w:t>
            </w:r>
          </w:p>
        </w:tc>
        <w:tc>
          <w:tcPr>
            <w:tcW w:w="876" w:type="dxa"/>
            <w:tcBorders>
              <w:top w:val="nil"/>
              <w:left w:val="nil"/>
              <w:bottom w:val="nil"/>
              <w:right w:val="nil"/>
              <w:tl2br w:val="nil"/>
              <w:tr2bl w:val="nil"/>
            </w:tcBorders>
            <w:tcMar>
              <w:left w:w="60" w:type="dxa"/>
              <w:right w:w="60" w:type="dxa"/>
            </w:tcMar>
            <w:vAlign w:val="center"/>
          </w:tcPr>
          <w:p w14:paraId="724D139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995</w:t>
            </w:r>
          </w:p>
        </w:tc>
        <w:tc>
          <w:tcPr>
            <w:tcW w:w="876" w:type="dxa"/>
            <w:tcBorders>
              <w:top w:val="nil"/>
              <w:left w:val="nil"/>
              <w:bottom w:val="nil"/>
              <w:right w:val="nil"/>
              <w:tl2br w:val="nil"/>
              <w:tr2bl w:val="nil"/>
            </w:tcBorders>
            <w:tcMar>
              <w:left w:w="60" w:type="dxa"/>
              <w:right w:w="60" w:type="dxa"/>
            </w:tcMar>
            <w:vAlign w:val="center"/>
          </w:tcPr>
          <w:p w14:paraId="11F51E6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41 338</w:t>
            </w:r>
          </w:p>
        </w:tc>
        <w:tc>
          <w:tcPr>
            <w:tcW w:w="876" w:type="dxa"/>
            <w:tcBorders>
              <w:top w:val="nil"/>
              <w:left w:val="nil"/>
              <w:bottom w:val="nil"/>
              <w:right w:val="nil"/>
              <w:tl2br w:val="nil"/>
              <w:tr2bl w:val="nil"/>
            </w:tcBorders>
            <w:tcMar>
              <w:left w:w="60" w:type="dxa"/>
              <w:right w:w="60" w:type="dxa"/>
            </w:tcMar>
            <w:vAlign w:val="center"/>
          </w:tcPr>
          <w:p w14:paraId="039C6F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40 031</w:t>
            </w:r>
          </w:p>
        </w:tc>
        <w:tc>
          <w:tcPr>
            <w:tcW w:w="876" w:type="dxa"/>
            <w:tcBorders>
              <w:top w:val="nil"/>
              <w:left w:val="nil"/>
              <w:bottom w:val="nil"/>
              <w:right w:val="nil"/>
              <w:tl2br w:val="nil"/>
              <w:tr2bl w:val="nil"/>
            </w:tcBorders>
            <w:tcMar>
              <w:left w:w="60" w:type="dxa"/>
              <w:right w:w="60" w:type="dxa"/>
            </w:tcMar>
            <w:vAlign w:val="center"/>
          </w:tcPr>
          <w:p w14:paraId="237019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1E9647E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40 014</w:t>
            </w:r>
          </w:p>
        </w:tc>
        <w:tc>
          <w:tcPr>
            <w:tcW w:w="876" w:type="dxa"/>
            <w:tcBorders>
              <w:top w:val="nil"/>
              <w:left w:val="nil"/>
              <w:bottom w:val="nil"/>
              <w:right w:val="nil"/>
              <w:tl2br w:val="nil"/>
              <w:tr2bl w:val="nil"/>
            </w:tcBorders>
            <w:tcMar>
              <w:left w:w="60" w:type="dxa"/>
              <w:right w:w="60" w:type="dxa"/>
            </w:tcMar>
            <w:vAlign w:val="center"/>
          </w:tcPr>
          <w:p w14:paraId="065085D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367</w:t>
            </w:r>
          </w:p>
        </w:tc>
        <w:tc>
          <w:tcPr>
            <w:tcW w:w="876" w:type="dxa"/>
            <w:tcBorders>
              <w:top w:val="nil"/>
              <w:left w:val="nil"/>
              <w:bottom w:val="nil"/>
              <w:right w:val="nil"/>
              <w:tl2br w:val="nil"/>
              <w:tr2bl w:val="nil"/>
            </w:tcBorders>
            <w:tcMar>
              <w:left w:w="60" w:type="dxa"/>
              <w:right w:w="60" w:type="dxa"/>
            </w:tcMar>
            <w:vAlign w:val="center"/>
          </w:tcPr>
          <w:p w14:paraId="5A2C442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995</w:t>
            </w:r>
          </w:p>
        </w:tc>
        <w:tc>
          <w:tcPr>
            <w:tcW w:w="876" w:type="dxa"/>
            <w:tcBorders>
              <w:top w:val="nil"/>
              <w:left w:val="nil"/>
              <w:bottom w:val="nil"/>
              <w:right w:val="nil"/>
              <w:tl2br w:val="nil"/>
              <w:tr2bl w:val="nil"/>
            </w:tcBorders>
            <w:tcMar>
              <w:left w:w="60" w:type="dxa"/>
              <w:right w:w="60" w:type="dxa"/>
            </w:tcMar>
            <w:vAlign w:val="center"/>
          </w:tcPr>
          <w:p w14:paraId="6F406AD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41 377</w:t>
            </w:r>
          </w:p>
        </w:tc>
      </w:tr>
      <w:tr w:rsidR="00807FFE" w14:paraId="3E20008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DDEFBE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E733B5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Agricultural Fund for Rural Development (EAFRD)</w:t>
            </w:r>
          </w:p>
        </w:tc>
        <w:tc>
          <w:tcPr>
            <w:tcW w:w="875" w:type="dxa"/>
            <w:tcBorders>
              <w:top w:val="nil"/>
              <w:left w:val="nil"/>
              <w:bottom w:val="nil"/>
              <w:right w:val="nil"/>
              <w:tl2br w:val="nil"/>
              <w:tr2bl w:val="nil"/>
            </w:tcBorders>
            <w:tcMar>
              <w:left w:w="60" w:type="dxa"/>
              <w:right w:w="60" w:type="dxa"/>
            </w:tcMar>
            <w:vAlign w:val="center"/>
          </w:tcPr>
          <w:p w14:paraId="75B851B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13 226</w:t>
            </w:r>
          </w:p>
        </w:tc>
        <w:tc>
          <w:tcPr>
            <w:tcW w:w="875" w:type="dxa"/>
            <w:tcBorders>
              <w:top w:val="nil"/>
              <w:left w:val="nil"/>
              <w:bottom w:val="nil"/>
              <w:right w:val="nil"/>
              <w:tl2br w:val="nil"/>
              <w:tr2bl w:val="nil"/>
            </w:tcBorders>
            <w:tcMar>
              <w:left w:w="60" w:type="dxa"/>
              <w:right w:w="60" w:type="dxa"/>
            </w:tcMar>
            <w:vAlign w:val="center"/>
          </w:tcPr>
          <w:p w14:paraId="3B22F2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46B94F7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13 226</w:t>
            </w:r>
          </w:p>
        </w:tc>
        <w:tc>
          <w:tcPr>
            <w:tcW w:w="876" w:type="dxa"/>
            <w:tcBorders>
              <w:top w:val="nil"/>
              <w:left w:val="nil"/>
              <w:bottom w:val="nil"/>
              <w:right w:val="nil"/>
              <w:tl2br w:val="nil"/>
              <w:tr2bl w:val="nil"/>
            </w:tcBorders>
            <w:tcMar>
              <w:left w:w="60" w:type="dxa"/>
              <w:right w:w="60" w:type="dxa"/>
            </w:tcMar>
            <w:vAlign w:val="center"/>
          </w:tcPr>
          <w:p w14:paraId="4E2AC5C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9F3121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343</w:t>
            </w:r>
          </w:p>
        </w:tc>
        <w:tc>
          <w:tcPr>
            <w:tcW w:w="876" w:type="dxa"/>
            <w:tcBorders>
              <w:top w:val="nil"/>
              <w:left w:val="nil"/>
              <w:bottom w:val="nil"/>
              <w:right w:val="nil"/>
              <w:tl2br w:val="nil"/>
              <w:tr2bl w:val="nil"/>
            </w:tcBorders>
            <w:tcMar>
              <w:left w:w="60" w:type="dxa"/>
              <w:right w:w="60" w:type="dxa"/>
            </w:tcMar>
            <w:vAlign w:val="center"/>
          </w:tcPr>
          <w:p w14:paraId="5D09637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13 569</w:t>
            </w:r>
          </w:p>
        </w:tc>
        <w:tc>
          <w:tcPr>
            <w:tcW w:w="876" w:type="dxa"/>
            <w:tcBorders>
              <w:top w:val="nil"/>
              <w:left w:val="nil"/>
              <w:bottom w:val="nil"/>
              <w:right w:val="nil"/>
              <w:tl2br w:val="nil"/>
              <w:tr2bl w:val="nil"/>
            </w:tcBorders>
            <w:tcMar>
              <w:left w:w="60" w:type="dxa"/>
              <w:right w:w="60" w:type="dxa"/>
            </w:tcMar>
            <w:vAlign w:val="center"/>
          </w:tcPr>
          <w:p w14:paraId="4C3A33D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10 497</w:t>
            </w:r>
          </w:p>
        </w:tc>
        <w:tc>
          <w:tcPr>
            <w:tcW w:w="876" w:type="dxa"/>
            <w:tcBorders>
              <w:top w:val="nil"/>
              <w:left w:val="nil"/>
              <w:bottom w:val="nil"/>
              <w:right w:val="nil"/>
              <w:tl2br w:val="nil"/>
              <w:tr2bl w:val="nil"/>
            </w:tcBorders>
            <w:tcMar>
              <w:left w:w="60" w:type="dxa"/>
              <w:right w:w="60" w:type="dxa"/>
            </w:tcMar>
            <w:vAlign w:val="center"/>
          </w:tcPr>
          <w:p w14:paraId="6FE35D8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3 912</w:t>
            </w:r>
          </w:p>
        </w:tc>
        <w:tc>
          <w:tcPr>
            <w:tcW w:w="876" w:type="dxa"/>
            <w:tcBorders>
              <w:top w:val="nil"/>
              <w:left w:val="nil"/>
              <w:bottom w:val="nil"/>
              <w:right w:val="nil"/>
              <w:tl2br w:val="nil"/>
              <w:tr2bl w:val="nil"/>
            </w:tcBorders>
            <w:tcMar>
              <w:left w:w="60" w:type="dxa"/>
              <w:right w:w="60" w:type="dxa"/>
            </w:tcMar>
            <w:vAlign w:val="center"/>
          </w:tcPr>
          <w:p w14:paraId="0087D4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14 409</w:t>
            </w:r>
          </w:p>
        </w:tc>
        <w:tc>
          <w:tcPr>
            <w:tcW w:w="876" w:type="dxa"/>
            <w:tcBorders>
              <w:top w:val="nil"/>
              <w:left w:val="nil"/>
              <w:bottom w:val="nil"/>
              <w:right w:val="nil"/>
              <w:tl2br w:val="nil"/>
              <w:tr2bl w:val="nil"/>
            </w:tcBorders>
            <w:tcMar>
              <w:left w:w="60" w:type="dxa"/>
              <w:right w:w="60" w:type="dxa"/>
            </w:tcMar>
            <w:vAlign w:val="center"/>
          </w:tcPr>
          <w:p w14:paraId="75E249A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530B76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1 964</w:t>
            </w:r>
          </w:p>
        </w:tc>
        <w:tc>
          <w:tcPr>
            <w:tcW w:w="876" w:type="dxa"/>
            <w:tcBorders>
              <w:top w:val="nil"/>
              <w:left w:val="nil"/>
              <w:bottom w:val="nil"/>
              <w:right w:val="nil"/>
              <w:tl2br w:val="nil"/>
              <w:tr2bl w:val="nil"/>
            </w:tcBorders>
            <w:tcMar>
              <w:left w:w="60" w:type="dxa"/>
              <w:right w:w="60" w:type="dxa"/>
            </w:tcMar>
            <w:vAlign w:val="center"/>
          </w:tcPr>
          <w:p w14:paraId="38F8DC1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16 373</w:t>
            </w:r>
          </w:p>
        </w:tc>
      </w:tr>
      <w:tr w:rsidR="00807FFE" w14:paraId="4538EE5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CC0E7EC"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F8E415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Maritime, Fisheries and Aquaculture Fund (EMFAF)</w:t>
            </w:r>
          </w:p>
        </w:tc>
        <w:tc>
          <w:tcPr>
            <w:tcW w:w="875" w:type="dxa"/>
            <w:tcBorders>
              <w:top w:val="nil"/>
              <w:left w:val="nil"/>
              <w:bottom w:val="nil"/>
              <w:right w:val="nil"/>
              <w:tl2br w:val="nil"/>
              <w:tr2bl w:val="nil"/>
            </w:tcBorders>
            <w:tcMar>
              <w:left w:w="60" w:type="dxa"/>
              <w:right w:w="60" w:type="dxa"/>
            </w:tcMar>
            <w:vAlign w:val="center"/>
          </w:tcPr>
          <w:p w14:paraId="4F6E9E1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946</w:t>
            </w:r>
          </w:p>
        </w:tc>
        <w:tc>
          <w:tcPr>
            <w:tcW w:w="875" w:type="dxa"/>
            <w:tcBorders>
              <w:top w:val="nil"/>
              <w:left w:val="nil"/>
              <w:bottom w:val="nil"/>
              <w:right w:val="nil"/>
              <w:tl2br w:val="nil"/>
              <w:tr2bl w:val="nil"/>
            </w:tcBorders>
            <w:tcMar>
              <w:left w:w="60" w:type="dxa"/>
              <w:right w:w="60" w:type="dxa"/>
            </w:tcMar>
            <w:vAlign w:val="center"/>
          </w:tcPr>
          <w:p w14:paraId="61B2FA1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A31579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946</w:t>
            </w:r>
          </w:p>
        </w:tc>
        <w:tc>
          <w:tcPr>
            <w:tcW w:w="876" w:type="dxa"/>
            <w:tcBorders>
              <w:top w:val="nil"/>
              <w:left w:val="nil"/>
              <w:bottom w:val="nil"/>
              <w:right w:val="nil"/>
              <w:tl2br w:val="nil"/>
              <w:tr2bl w:val="nil"/>
            </w:tcBorders>
            <w:tcMar>
              <w:left w:w="60" w:type="dxa"/>
              <w:right w:w="60" w:type="dxa"/>
            </w:tcMar>
            <w:vAlign w:val="center"/>
          </w:tcPr>
          <w:p w14:paraId="41FA12C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1AF04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14:paraId="2247DDE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969</w:t>
            </w:r>
          </w:p>
        </w:tc>
        <w:tc>
          <w:tcPr>
            <w:tcW w:w="876" w:type="dxa"/>
            <w:tcBorders>
              <w:top w:val="nil"/>
              <w:left w:val="nil"/>
              <w:bottom w:val="nil"/>
              <w:right w:val="nil"/>
              <w:tl2br w:val="nil"/>
              <w:tr2bl w:val="nil"/>
            </w:tcBorders>
            <w:tcMar>
              <w:left w:w="60" w:type="dxa"/>
              <w:right w:w="60" w:type="dxa"/>
            </w:tcMar>
            <w:vAlign w:val="center"/>
          </w:tcPr>
          <w:p w14:paraId="3A18802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661</w:t>
            </w:r>
          </w:p>
        </w:tc>
        <w:tc>
          <w:tcPr>
            <w:tcW w:w="876" w:type="dxa"/>
            <w:tcBorders>
              <w:top w:val="nil"/>
              <w:left w:val="nil"/>
              <w:bottom w:val="nil"/>
              <w:right w:val="nil"/>
              <w:tl2br w:val="nil"/>
              <w:tr2bl w:val="nil"/>
            </w:tcBorders>
            <w:tcMar>
              <w:left w:w="60" w:type="dxa"/>
              <w:right w:w="60" w:type="dxa"/>
            </w:tcMar>
            <w:vAlign w:val="center"/>
          </w:tcPr>
          <w:p w14:paraId="58F9D3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033891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668</w:t>
            </w:r>
          </w:p>
        </w:tc>
        <w:tc>
          <w:tcPr>
            <w:tcW w:w="876" w:type="dxa"/>
            <w:tcBorders>
              <w:top w:val="nil"/>
              <w:left w:val="nil"/>
              <w:bottom w:val="nil"/>
              <w:right w:val="nil"/>
              <w:tl2br w:val="nil"/>
              <w:tr2bl w:val="nil"/>
            </w:tcBorders>
            <w:tcMar>
              <w:left w:w="60" w:type="dxa"/>
              <w:right w:w="60" w:type="dxa"/>
            </w:tcMar>
            <w:vAlign w:val="center"/>
          </w:tcPr>
          <w:p w14:paraId="2C30809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5BC28B0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515BAE4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671</w:t>
            </w:r>
          </w:p>
        </w:tc>
      </w:tr>
      <w:tr w:rsidR="00807FFE" w14:paraId="30D8568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41C940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76816F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Sustainable Fisheries Partnership Agreements (SFPA) and Regional Fisheries Management Organisations (RFMO)</w:t>
            </w:r>
          </w:p>
        </w:tc>
        <w:tc>
          <w:tcPr>
            <w:tcW w:w="875" w:type="dxa"/>
            <w:tcBorders>
              <w:top w:val="nil"/>
              <w:left w:val="nil"/>
              <w:bottom w:val="nil"/>
              <w:right w:val="nil"/>
              <w:tl2br w:val="nil"/>
              <w:tr2bl w:val="nil"/>
            </w:tcBorders>
            <w:tcMar>
              <w:left w:w="60" w:type="dxa"/>
              <w:right w:w="60" w:type="dxa"/>
            </w:tcMar>
            <w:vAlign w:val="center"/>
          </w:tcPr>
          <w:p w14:paraId="7F4567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157</w:t>
            </w:r>
          </w:p>
        </w:tc>
        <w:tc>
          <w:tcPr>
            <w:tcW w:w="875" w:type="dxa"/>
            <w:tcBorders>
              <w:top w:val="nil"/>
              <w:left w:val="nil"/>
              <w:bottom w:val="nil"/>
              <w:right w:val="nil"/>
              <w:tl2br w:val="nil"/>
              <w:tr2bl w:val="nil"/>
            </w:tcBorders>
            <w:tcMar>
              <w:left w:w="60" w:type="dxa"/>
              <w:right w:w="60" w:type="dxa"/>
            </w:tcMar>
            <w:vAlign w:val="center"/>
          </w:tcPr>
          <w:p w14:paraId="24AF096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875" w:type="dxa"/>
            <w:tcBorders>
              <w:top w:val="nil"/>
              <w:left w:val="nil"/>
              <w:bottom w:val="nil"/>
              <w:right w:val="nil"/>
              <w:tl2br w:val="nil"/>
              <w:tr2bl w:val="nil"/>
            </w:tcBorders>
            <w:tcMar>
              <w:left w:w="60" w:type="dxa"/>
              <w:right w:w="60" w:type="dxa"/>
            </w:tcMar>
            <w:vAlign w:val="center"/>
          </w:tcPr>
          <w:p w14:paraId="6A08157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117</w:t>
            </w:r>
          </w:p>
        </w:tc>
        <w:tc>
          <w:tcPr>
            <w:tcW w:w="876" w:type="dxa"/>
            <w:tcBorders>
              <w:top w:val="nil"/>
              <w:left w:val="nil"/>
              <w:bottom w:val="nil"/>
              <w:right w:val="nil"/>
              <w:tl2br w:val="nil"/>
              <w:tr2bl w:val="nil"/>
            </w:tcBorders>
            <w:tcMar>
              <w:left w:w="60" w:type="dxa"/>
              <w:right w:w="60" w:type="dxa"/>
            </w:tcMar>
            <w:vAlign w:val="center"/>
          </w:tcPr>
          <w:p w14:paraId="532C9C1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16E30F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B588C0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117</w:t>
            </w:r>
          </w:p>
        </w:tc>
        <w:tc>
          <w:tcPr>
            <w:tcW w:w="876" w:type="dxa"/>
            <w:tcBorders>
              <w:top w:val="nil"/>
              <w:left w:val="nil"/>
              <w:bottom w:val="nil"/>
              <w:right w:val="nil"/>
              <w:tl2br w:val="nil"/>
              <w:tr2bl w:val="nil"/>
            </w:tcBorders>
            <w:tcMar>
              <w:left w:w="60" w:type="dxa"/>
              <w:right w:w="60" w:type="dxa"/>
            </w:tcMar>
            <w:vAlign w:val="center"/>
          </w:tcPr>
          <w:p w14:paraId="7F00D9C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141</w:t>
            </w:r>
          </w:p>
        </w:tc>
        <w:tc>
          <w:tcPr>
            <w:tcW w:w="876" w:type="dxa"/>
            <w:tcBorders>
              <w:top w:val="nil"/>
              <w:left w:val="nil"/>
              <w:bottom w:val="nil"/>
              <w:right w:val="nil"/>
              <w:tl2br w:val="nil"/>
              <w:tr2bl w:val="nil"/>
            </w:tcBorders>
            <w:tcMar>
              <w:left w:w="60" w:type="dxa"/>
              <w:right w:w="60" w:type="dxa"/>
            </w:tcMar>
            <w:vAlign w:val="center"/>
          </w:tcPr>
          <w:p w14:paraId="5EAED2E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14:paraId="73DE93D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876" w:type="dxa"/>
            <w:tcBorders>
              <w:top w:val="nil"/>
              <w:left w:val="nil"/>
              <w:bottom w:val="nil"/>
              <w:right w:val="nil"/>
              <w:tl2br w:val="nil"/>
              <w:tr2bl w:val="nil"/>
            </w:tcBorders>
            <w:tcMar>
              <w:left w:w="60" w:type="dxa"/>
              <w:right w:w="60" w:type="dxa"/>
            </w:tcMar>
            <w:vAlign w:val="center"/>
          </w:tcPr>
          <w:p w14:paraId="3CDB168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BFBBDC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3ABCCB0"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111</w:t>
            </w:r>
          </w:p>
        </w:tc>
      </w:tr>
      <w:tr w:rsidR="00807FFE" w14:paraId="249EA34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67C43A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83CF40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756A829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5" w:type="dxa"/>
            <w:tcBorders>
              <w:top w:val="nil"/>
              <w:left w:val="nil"/>
              <w:bottom w:val="nil"/>
              <w:right w:val="nil"/>
              <w:tl2br w:val="nil"/>
              <w:tr2bl w:val="nil"/>
            </w:tcBorders>
            <w:tcMar>
              <w:left w:w="60" w:type="dxa"/>
              <w:right w:w="60" w:type="dxa"/>
            </w:tcMar>
            <w:vAlign w:val="center"/>
          </w:tcPr>
          <w:p w14:paraId="1220B0B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B28895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14:paraId="2D29AA2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2720C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5C477BD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876" w:type="dxa"/>
            <w:tcBorders>
              <w:top w:val="nil"/>
              <w:left w:val="nil"/>
              <w:bottom w:val="nil"/>
              <w:right w:val="nil"/>
              <w:tl2br w:val="nil"/>
              <w:tr2bl w:val="nil"/>
            </w:tcBorders>
            <w:tcMar>
              <w:left w:w="60" w:type="dxa"/>
              <w:right w:w="60" w:type="dxa"/>
            </w:tcMar>
            <w:vAlign w:val="center"/>
          </w:tcPr>
          <w:p w14:paraId="3D67CA7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14:paraId="51D00B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54CA16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14:paraId="57D85E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2BEB5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958897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32</w:t>
            </w:r>
          </w:p>
        </w:tc>
      </w:tr>
      <w:tr w:rsidR="00807FFE" w14:paraId="078A04D1"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4EA96BC"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6A5901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7896EFC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517931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3175B2C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B57EF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782799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37F5B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7ED53D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66B738E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1E0EB3E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3517C7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C4406D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8C84EF7"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w:t>
            </w:r>
          </w:p>
        </w:tc>
      </w:tr>
      <w:tr w:rsidR="00807FFE" w14:paraId="284DC85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4E78A69"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1B5B8B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Programme for Environment and Climate Action (LIFE)</w:t>
            </w:r>
          </w:p>
        </w:tc>
        <w:tc>
          <w:tcPr>
            <w:tcW w:w="875" w:type="dxa"/>
            <w:tcBorders>
              <w:top w:val="nil"/>
              <w:left w:val="nil"/>
              <w:bottom w:val="nil"/>
              <w:right w:val="nil"/>
              <w:tl2br w:val="nil"/>
              <w:tr2bl w:val="nil"/>
            </w:tcBorders>
            <w:tcMar>
              <w:left w:w="60" w:type="dxa"/>
              <w:right w:w="60" w:type="dxa"/>
            </w:tcMar>
            <w:vAlign w:val="center"/>
          </w:tcPr>
          <w:p w14:paraId="437CCEE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776</w:t>
            </w:r>
          </w:p>
        </w:tc>
        <w:tc>
          <w:tcPr>
            <w:tcW w:w="875" w:type="dxa"/>
            <w:tcBorders>
              <w:top w:val="nil"/>
              <w:left w:val="nil"/>
              <w:bottom w:val="nil"/>
              <w:right w:val="nil"/>
              <w:tl2br w:val="nil"/>
              <w:tr2bl w:val="nil"/>
            </w:tcBorders>
            <w:tcMar>
              <w:left w:w="60" w:type="dxa"/>
              <w:right w:w="60" w:type="dxa"/>
            </w:tcMar>
            <w:vAlign w:val="center"/>
          </w:tcPr>
          <w:p w14:paraId="261B30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5" w:type="dxa"/>
            <w:tcBorders>
              <w:top w:val="nil"/>
              <w:left w:val="nil"/>
              <w:bottom w:val="nil"/>
              <w:right w:val="nil"/>
              <w:tl2br w:val="nil"/>
              <w:tr2bl w:val="nil"/>
            </w:tcBorders>
            <w:tcMar>
              <w:left w:w="60" w:type="dxa"/>
              <w:right w:w="60" w:type="dxa"/>
            </w:tcMar>
            <w:vAlign w:val="center"/>
          </w:tcPr>
          <w:p w14:paraId="7C25D58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782</w:t>
            </w:r>
          </w:p>
        </w:tc>
        <w:tc>
          <w:tcPr>
            <w:tcW w:w="876" w:type="dxa"/>
            <w:tcBorders>
              <w:top w:val="nil"/>
              <w:left w:val="nil"/>
              <w:bottom w:val="nil"/>
              <w:right w:val="nil"/>
              <w:tl2br w:val="nil"/>
              <w:tr2bl w:val="nil"/>
            </w:tcBorders>
            <w:tcMar>
              <w:left w:w="60" w:type="dxa"/>
              <w:right w:w="60" w:type="dxa"/>
            </w:tcMar>
            <w:vAlign w:val="center"/>
          </w:tcPr>
          <w:p w14:paraId="527E511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2FAF67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00CD21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791</w:t>
            </w:r>
          </w:p>
        </w:tc>
        <w:tc>
          <w:tcPr>
            <w:tcW w:w="876" w:type="dxa"/>
            <w:tcBorders>
              <w:top w:val="nil"/>
              <w:left w:val="nil"/>
              <w:bottom w:val="nil"/>
              <w:right w:val="nil"/>
              <w:tl2br w:val="nil"/>
              <w:tr2bl w:val="nil"/>
            </w:tcBorders>
            <w:tcMar>
              <w:left w:w="60" w:type="dxa"/>
              <w:right w:w="60" w:type="dxa"/>
            </w:tcMar>
            <w:vAlign w:val="center"/>
          </w:tcPr>
          <w:p w14:paraId="5882343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596</w:t>
            </w:r>
          </w:p>
        </w:tc>
        <w:tc>
          <w:tcPr>
            <w:tcW w:w="876" w:type="dxa"/>
            <w:tcBorders>
              <w:top w:val="nil"/>
              <w:left w:val="nil"/>
              <w:bottom w:val="nil"/>
              <w:right w:val="nil"/>
              <w:tl2br w:val="nil"/>
              <w:tr2bl w:val="nil"/>
            </w:tcBorders>
            <w:tcMar>
              <w:left w:w="60" w:type="dxa"/>
              <w:right w:w="60" w:type="dxa"/>
            </w:tcMar>
            <w:vAlign w:val="center"/>
          </w:tcPr>
          <w:p w14:paraId="1619641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14:paraId="6721AA4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675</w:t>
            </w:r>
          </w:p>
        </w:tc>
        <w:tc>
          <w:tcPr>
            <w:tcW w:w="876" w:type="dxa"/>
            <w:tcBorders>
              <w:top w:val="nil"/>
              <w:left w:val="nil"/>
              <w:bottom w:val="nil"/>
              <w:right w:val="nil"/>
              <w:tl2br w:val="nil"/>
              <w:tr2bl w:val="nil"/>
            </w:tcBorders>
            <w:tcMar>
              <w:left w:w="60" w:type="dxa"/>
              <w:right w:w="60" w:type="dxa"/>
            </w:tcMar>
            <w:vAlign w:val="center"/>
          </w:tcPr>
          <w:p w14:paraId="118F7E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48F015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3D70B7F3"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690</w:t>
            </w:r>
          </w:p>
        </w:tc>
      </w:tr>
      <w:tr w:rsidR="00807FFE" w14:paraId="0257B94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B0B43A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A2FA1FC"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Just Transition Fund</w:t>
            </w:r>
          </w:p>
        </w:tc>
        <w:tc>
          <w:tcPr>
            <w:tcW w:w="875" w:type="dxa"/>
            <w:tcBorders>
              <w:top w:val="nil"/>
              <w:left w:val="nil"/>
              <w:bottom w:val="nil"/>
              <w:right w:val="nil"/>
              <w:tl2br w:val="nil"/>
              <w:tr2bl w:val="nil"/>
            </w:tcBorders>
            <w:tcMar>
              <w:left w:w="60" w:type="dxa"/>
              <w:right w:w="60" w:type="dxa"/>
            </w:tcMar>
            <w:vAlign w:val="center"/>
          </w:tcPr>
          <w:p w14:paraId="6065F02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1 514</w:t>
            </w:r>
          </w:p>
        </w:tc>
        <w:tc>
          <w:tcPr>
            <w:tcW w:w="875" w:type="dxa"/>
            <w:tcBorders>
              <w:top w:val="nil"/>
              <w:left w:val="nil"/>
              <w:bottom w:val="nil"/>
              <w:right w:val="nil"/>
              <w:tl2br w:val="nil"/>
              <w:tr2bl w:val="nil"/>
            </w:tcBorders>
            <w:tcMar>
              <w:left w:w="60" w:type="dxa"/>
              <w:right w:w="60" w:type="dxa"/>
            </w:tcMar>
            <w:vAlign w:val="center"/>
          </w:tcPr>
          <w:p w14:paraId="41B9E29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133611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1 514</w:t>
            </w:r>
          </w:p>
        </w:tc>
        <w:tc>
          <w:tcPr>
            <w:tcW w:w="876" w:type="dxa"/>
            <w:tcBorders>
              <w:top w:val="nil"/>
              <w:left w:val="nil"/>
              <w:bottom w:val="nil"/>
              <w:right w:val="nil"/>
              <w:tl2br w:val="nil"/>
              <w:tr2bl w:val="nil"/>
            </w:tcBorders>
            <w:tcMar>
              <w:left w:w="60" w:type="dxa"/>
              <w:right w:w="60" w:type="dxa"/>
            </w:tcMar>
            <w:vAlign w:val="center"/>
          </w:tcPr>
          <w:p w14:paraId="1C41652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3D3326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86</w:t>
            </w:r>
          </w:p>
        </w:tc>
        <w:tc>
          <w:tcPr>
            <w:tcW w:w="876" w:type="dxa"/>
            <w:tcBorders>
              <w:top w:val="nil"/>
              <w:left w:val="nil"/>
              <w:bottom w:val="nil"/>
              <w:right w:val="nil"/>
              <w:tl2br w:val="nil"/>
              <w:tr2bl w:val="nil"/>
            </w:tcBorders>
            <w:tcMar>
              <w:left w:w="60" w:type="dxa"/>
              <w:right w:w="60" w:type="dxa"/>
            </w:tcMar>
            <w:vAlign w:val="center"/>
          </w:tcPr>
          <w:p w14:paraId="2841AF6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1 600</w:t>
            </w:r>
          </w:p>
        </w:tc>
        <w:tc>
          <w:tcPr>
            <w:tcW w:w="876" w:type="dxa"/>
            <w:tcBorders>
              <w:top w:val="nil"/>
              <w:left w:val="nil"/>
              <w:bottom w:val="nil"/>
              <w:right w:val="nil"/>
              <w:tl2br w:val="nil"/>
              <w:tr2bl w:val="nil"/>
            </w:tcBorders>
            <w:tcMar>
              <w:left w:w="60" w:type="dxa"/>
              <w:right w:w="60" w:type="dxa"/>
            </w:tcMar>
            <w:vAlign w:val="center"/>
          </w:tcPr>
          <w:p w14:paraId="7AF3B4C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14:paraId="726BEB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31459EB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56E682F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43ADE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1 432</w:t>
            </w:r>
          </w:p>
        </w:tc>
        <w:tc>
          <w:tcPr>
            <w:tcW w:w="876" w:type="dxa"/>
            <w:tcBorders>
              <w:top w:val="nil"/>
              <w:left w:val="nil"/>
              <w:bottom w:val="nil"/>
              <w:right w:val="nil"/>
              <w:tl2br w:val="nil"/>
              <w:tr2bl w:val="nil"/>
            </w:tcBorders>
            <w:tcMar>
              <w:left w:w="60" w:type="dxa"/>
              <w:right w:w="60" w:type="dxa"/>
            </w:tcMar>
            <w:vAlign w:val="center"/>
          </w:tcPr>
          <w:p w14:paraId="41840F9C"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1 436</w:t>
            </w:r>
          </w:p>
        </w:tc>
      </w:tr>
      <w:tr w:rsidR="00807FFE" w14:paraId="4871DE7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A6B97F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CB17092"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Public sector loan facility under the Just Transition Mechanism (JTM)</w:t>
            </w:r>
          </w:p>
        </w:tc>
        <w:tc>
          <w:tcPr>
            <w:tcW w:w="875" w:type="dxa"/>
            <w:tcBorders>
              <w:top w:val="nil"/>
              <w:left w:val="nil"/>
              <w:bottom w:val="nil"/>
              <w:right w:val="nil"/>
              <w:tl2br w:val="nil"/>
              <w:tr2bl w:val="nil"/>
            </w:tcBorders>
            <w:tcMar>
              <w:left w:w="60" w:type="dxa"/>
              <w:right w:w="60" w:type="dxa"/>
            </w:tcMar>
            <w:vAlign w:val="center"/>
          </w:tcPr>
          <w:p w14:paraId="0E383E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1EB218C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316C39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FF6C0B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84D00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428</w:t>
            </w:r>
          </w:p>
        </w:tc>
        <w:tc>
          <w:tcPr>
            <w:tcW w:w="876" w:type="dxa"/>
            <w:tcBorders>
              <w:top w:val="nil"/>
              <w:left w:val="nil"/>
              <w:bottom w:val="nil"/>
              <w:right w:val="nil"/>
              <w:tl2br w:val="nil"/>
              <w:tr2bl w:val="nil"/>
            </w:tcBorders>
            <w:tcMar>
              <w:left w:w="60" w:type="dxa"/>
              <w:right w:w="60" w:type="dxa"/>
            </w:tcMar>
            <w:vAlign w:val="center"/>
          </w:tcPr>
          <w:p w14:paraId="1D21D9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428</w:t>
            </w:r>
          </w:p>
        </w:tc>
        <w:tc>
          <w:tcPr>
            <w:tcW w:w="876" w:type="dxa"/>
            <w:tcBorders>
              <w:top w:val="nil"/>
              <w:left w:val="nil"/>
              <w:bottom w:val="nil"/>
              <w:right w:val="nil"/>
              <w:tl2br w:val="nil"/>
              <w:tr2bl w:val="nil"/>
            </w:tcBorders>
            <w:tcMar>
              <w:left w:w="60" w:type="dxa"/>
              <w:right w:w="60" w:type="dxa"/>
            </w:tcMar>
            <w:vAlign w:val="center"/>
          </w:tcPr>
          <w:p w14:paraId="36986B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106E70D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7EC08D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351B783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9E0CA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503</w:t>
            </w:r>
          </w:p>
        </w:tc>
        <w:tc>
          <w:tcPr>
            <w:tcW w:w="876" w:type="dxa"/>
            <w:tcBorders>
              <w:top w:val="nil"/>
              <w:left w:val="nil"/>
              <w:bottom w:val="nil"/>
              <w:right w:val="nil"/>
              <w:tl2br w:val="nil"/>
              <w:tr2bl w:val="nil"/>
            </w:tcBorders>
            <w:tcMar>
              <w:left w:w="60" w:type="dxa"/>
              <w:right w:w="60" w:type="dxa"/>
            </w:tcMar>
            <w:vAlign w:val="center"/>
          </w:tcPr>
          <w:p w14:paraId="3FC37525"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528</w:t>
            </w:r>
          </w:p>
        </w:tc>
      </w:tr>
      <w:tr w:rsidR="00807FFE" w14:paraId="31858974"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371374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9627EC7"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12A665E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77</w:t>
            </w:r>
          </w:p>
        </w:tc>
        <w:tc>
          <w:tcPr>
            <w:tcW w:w="875" w:type="dxa"/>
            <w:tcBorders>
              <w:top w:val="nil"/>
              <w:left w:val="nil"/>
              <w:bottom w:val="nil"/>
              <w:right w:val="nil"/>
              <w:tl2br w:val="nil"/>
              <w:tr2bl w:val="nil"/>
            </w:tcBorders>
            <w:tcMar>
              <w:left w:w="60" w:type="dxa"/>
              <w:right w:w="60" w:type="dxa"/>
            </w:tcMar>
            <w:vAlign w:val="center"/>
          </w:tcPr>
          <w:p w14:paraId="14A0C91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5" w:type="dxa"/>
            <w:tcBorders>
              <w:top w:val="nil"/>
              <w:left w:val="nil"/>
              <w:bottom w:val="nil"/>
              <w:right w:val="nil"/>
              <w:tl2br w:val="nil"/>
              <w:tr2bl w:val="nil"/>
            </w:tcBorders>
            <w:tcMar>
              <w:left w:w="60" w:type="dxa"/>
              <w:right w:w="60" w:type="dxa"/>
            </w:tcMar>
            <w:vAlign w:val="center"/>
          </w:tcPr>
          <w:p w14:paraId="774FD7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876" w:type="dxa"/>
            <w:tcBorders>
              <w:top w:val="nil"/>
              <w:left w:val="nil"/>
              <w:bottom w:val="nil"/>
              <w:right w:val="nil"/>
              <w:tl2br w:val="nil"/>
              <w:tr2bl w:val="nil"/>
            </w:tcBorders>
            <w:tcMar>
              <w:left w:w="60" w:type="dxa"/>
              <w:right w:w="60" w:type="dxa"/>
            </w:tcMar>
            <w:vAlign w:val="center"/>
          </w:tcPr>
          <w:p w14:paraId="4D06F5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EFA09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7946DC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876" w:type="dxa"/>
            <w:tcBorders>
              <w:top w:val="nil"/>
              <w:left w:val="nil"/>
              <w:bottom w:val="nil"/>
              <w:right w:val="nil"/>
              <w:tl2br w:val="nil"/>
              <w:tr2bl w:val="nil"/>
            </w:tcBorders>
            <w:tcMar>
              <w:left w:w="60" w:type="dxa"/>
              <w:right w:w="60" w:type="dxa"/>
            </w:tcMar>
            <w:vAlign w:val="center"/>
          </w:tcPr>
          <w:p w14:paraId="2E89DE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77</w:t>
            </w:r>
          </w:p>
        </w:tc>
        <w:tc>
          <w:tcPr>
            <w:tcW w:w="876" w:type="dxa"/>
            <w:tcBorders>
              <w:top w:val="nil"/>
              <w:left w:val="nil"/>
              <w:bottom w:val="nil"/>
              <w:right w:val="nil"/>
              <w:tl2br w:val="nil"/>
              <w:tr2bl w:val="nil"/>
            </w:tcBorders>
            <w:tcMar>
              <w:left w:w="60" w:type="dxa"/>
              <w:right w:w="60" w:type="dxa"/>
            </w:tcMar>
            <w:vAlign w:val="center"/>
          </w:tcPr>
          <w:p w14:paraId="7A213E0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14:paraId="6854A20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876" w:type="dxa"/>
            <w:tcBorders>
              <w:top w:val="nil"/>
              <w:left w:val="nil"/>
              <w:bottom w:val="nil"/>
              <w:right w:val="nil"/>
              <w:tl2br w:val="nil"/>
              <w:tr2bl w:val="nil"/>
            </w:tcBorders>
            <w:tcMar>
              <w:left w:w="60" w:type="dxa"/>
              <w:right w:w="60" w:type="dxa"/>
            </w:tcMar>
            <w:vAlign w:val="center"/>
          </w:tcPr>
          <w:p w14:paraId="11D7BAB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C2384E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19AD89A0"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79</w:t>
            </w:r>
          </w:p>
        </w:tc>
      </w:tr>
      <w:tr w:rsidR="00807FFE" w14:paraId="3975F11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AF7082C"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201627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2A2A569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35492BB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531EAF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5B4BE8C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A2ECE5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0AE156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7178D72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43E3DEB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7E41EF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2585000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A5F415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35AB24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w:t>
            </w:r>
          </w:p>
        </w:tc>
      </w:tr>
      <w:tr w:rsidR="00807FFE" w14:paraId="644E973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CAEA1A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27D24A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75" w:type="dxa"/>
            <w:tcBorders>
              <w:top w:val="nil"/>
              <w:left w:val="nil"/>
              <w:bottom w:val="nil"/>
              <w:right w:val="nil"/>
              <w:tl2br w:val="nil"/>
              <w:tr2bl w:val="nil"/>
            </w:tcBorders>
            <w:tcMar>
              <w:left w:w="60" w:type="dxa"/>
              <w:right w:w="60" w:type="dxa"/>
            </w:tcMar>
            <w:vAlign w:val="center"/>
          </w:tcPr>
          <w:p w14:paraId="25F47E3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875" w:type="dxa"/>
            <w:tcBorders>
              <w:top w:val="nil"/>
              <w:left w:val="nil"/>
              <w:bottom w:val="nil"/>
              <w:right w:val="nil"/>
              <w:tl2br w:val="nil"/>
              <w:tr2bl w:val="nil"/>
            </w:tcBorders>
            <w:tcMar>
              <w:left w:w="60" w:type="dxa"/>
              <w:right w:w="60" w:type="dxa"/>
            </w:tcMar>
            <w:vAlign w:val="center"/>
          </w:tcPr>
          <w:p w14:paraId="2F9B433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5" w:type="dxa"/>
            <w:tcBorders>
              <w:top w:val="nil"/>
              <w:left w:val="nil"/>
              <w:bottom w:val="nil"/>
              <w:right w:val="nil"/>
              <w:tl2br w:val="nil"/>
              <w:tr2bl w:val="nil"/>
            </w:tcBorders>
            <w:tcMar>
              <w:left w:w="60" w:type="dxa"/>
              <w:right w:w="60" w:type="dxa"/>
            </w:tcMar>
            <w:vAlign w:val="center"/>
          </w:tcPr>
          <w:p w14:paraId="726DC3F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14:paraId="780466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BE9833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85AE7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14:paraId="4264D87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31D1ED0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5D7F198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7003572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B32C6A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5FC1F6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25</w:t>
            </w:r>
          </w:p>
        </w:tc>
      </w:tr>
      <w:tr w:rsidR="00807FFE" w14:paraId="24150494"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360C6503"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148BEED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3: Natural Resources and Environment</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57579F2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56 731</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57807EB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778A287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56 700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A4046D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366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EEA4A4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1 894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D31152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58 961</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F06822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52 092</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77BC7A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3 948</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4A6C51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56 039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CE2FF1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375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B61982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4 914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A171F35"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61 329</w:t>
            </w:r>
          </w:p>
        </w:tc>
      </w:tr>
      <w:tr w:rsidR="00807FFE" w14:paraId="178ABDE1"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55D70D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CBDCD9A"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18857852"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5365A081"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7CCB4FF9"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1EC7FEDE"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989446A"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2129870"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E6EB2F7"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7D48300"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6EB26599"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CF08D2D"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364D515"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0E4F6963" w14:textId="77777777" w:rsidR="00807FFE" w:rsidRDefault="00807FFE">
            <w:pPr>
              <w:pStyle w:val="DMETW36742BIPDetailedMFF1Breakdown"/>
              <w:jc w:val="right"/>
              <w:rPr>
                <w:rFonts w:ascii="Verdana" w:eastAsia="Verdana" w:hAnsi="Verdana" w:cs="Verdana"/>
                <w:noProof/>
                <w:color w:val="000000"/>
                <w:sz w:val="16"/>
                <w:lang w:bidi="en-GB"/>
              </w:rPr>
            </w:pPr>
          </w:p>
        </w:tc>
      </w:tr>
      <w:tr w:rsidR="00807FFE" w14:paraId="2C14C7B4"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0A31C1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4</w:t>
            </w:r>
          </w:p>
        </w:tc>
        <w:tc>
          <w:tcPr>
            <w:tcW w:w="3839" w:type="dxa"/>
            <w:tcBorders>
              <w:top w:val="nil"/>
              <w:left w:val="nil"/>
              <w:bottom w:val="nil"/>
              <w:right w:val="nil"/>
              <w:tl2br w:val="nil"/>
              <w:tr2bl w:val="nil"/>
            </w:tcBorders>
            <w:tcMar>
              <w:left w:w="60" w:type="dxa"/>
              <w:right w:w="60" w:type="dxa"/>
            </w:tcMar>
            <w:vAlign w:val="center"/>
          </w:tcPr>
          <w:p w14:paraId="4C79261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Asylum, Migration and Integration Fund</w:t>
            </w:r>
          </w:p>
        </w:tc>
        <w:tc>
          <w:tcPr>
            <w:tcW w:w="875" w:type="dxa"/>
            <w:tcBorders>
              <w:top w:val="nil"/>
              <w:left w:val="nil"/>
              <w:bottom w:val="nil"/>
              <w:right w:val="nil"/>
              <w:tl2br w:val="nil"/>
              <w:tr2bl w:val="nil"/>
            </w:tcBorders>
            <w:tcMar>
              <w:left w:w="60" w:type="dxa"/>
              <w:right w:w="60" w:type="dxa"/>
            </w:tcMar>
            <w:vAlign w:val="center"/>
          </w:tcPr>
          <w:p w14:paraId="5EB675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1 869</w:t>
            </w:r>
          </w:p>
        </w:tc>
        <w:tc>
          <w:tcPr>
            <w:tcW w:w="875" w:type="dxa"/>
            <w:tcBorders>
              <w:top w:val="nil"/>
              <w:left w:val="nil"/>
              <w:bottom w:val="nil"/>
              <w:right w:val="nil"/>
              <w:tl2br w:val="nil"/>
              <w:tr2bl w:val="nil"/>
            </w:tcBorders>
            <w:tcMar>
              <w:left w:w="60" w:type="dxa"/>
              <w:right w:w="60" w:type="dxa"/>
            </w:tcMar>
            <w:vAlign w:val="center"/>
          </w:tcPr>
          <w:p w14:paraId="18C97DF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75" w:type="dxa"/>
            <w:tcBorders>
              <w:top w:val="nil"/>
              <w:left w:val="nil"/>
              <w:bottom w:val="nil"/>
              <w:right w:val="nil"/>
              <w:tl2br w:val="nil"/>
              <w:tr2bl w:val="nil"/>
            </w:tcBorders>
            <w:tcMar>
              <w:left w:w="60" w:type="dxa"/>
              <w:right w:w="60" w:type="dxa"/>
            </w:tcMar>
            <w:vAlign w:val="center"/>
          </w:tcPr>
          <w:p w14:paraId="04F2465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1 917</w:t>
            </w:r>
          </w:p>
        </w:tc>
        <w:tc>
          <w:tcPr>
            <w:tcW w:w="876" w:type="dxa"/>
            <w:tcBorders>
              <w:top w:val="nil"/>
              <w:left w:val="nil"/>
              <w:bottom w:val="nil"/>
              <w:right w:val="nil"/>
              <w:tl2br w:val="nil"/>
              <w:tr2bl w:val="nil"/>
            </w:tcBorders>
            <w:tcMar>
              <w:left w:w="60" w:type="dxa"/>
              <w:right w:w="60" w:type="dxa"/>
            </w:tcMar>
            <w:vAlign w:val="center"/>
          </w:tcPr>
          <w:p w14:paraId="5D81811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C4281D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243</w:t>
            </w:r>
          </w:p>
        </w:tc>
        <w:tc>
          <w:tcPr>
            <w:tcW w:w="876" w:type="dxa"/>
            <w:tcBorders>
              <w:top w:val="nil"/>
              <w:left w:val="nil"/>
              <w:bottom w:val="nil"/>
              <w:right w:val="nil"/>
              <w:tl2br w:val="nil"/>
              <w:tr2bl w:val="nil"/>
            </w:tcBorders>
            <w:tcMar>
              <w:left w:w="60" w:type="dxa"/>
              <w:right w:w="60" w:type="dxa"/>
            </w:tcMar>
            <w:vAlign w:val="center"/>
          </w:tcPr>
          <w:p w14:paraId="2E7BBBD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2 159</w:t>
            </w:r>
          </w:p>
        </w:tc>
        <w:tc>
          <w:tcPr>
            <w:tcW w:w="876" w:type="dxa"/>
            <w:tcBorders>
              <w:top w:val="nil"/>
              <w:left w:val="nil"/>
              <w:bottom w:val="nil"/>
              <w:right w:val="nil"/>
              <w:tl2br w:val="nil"/>
              <w:tr2bl w:val="nil"/>
            </w:tcBorders>
            <w:tcMar>
              <w:left w:w="60" w:type="dxa"/>
              <w:right w:w="60" w:type="dxa"/>
            </w:tcMar>
            <w:vAlign w:val="center"/>
          </w:tcPr>
          <w:p w14:paraId="5BE223C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1 165</w:t>
            </w:r>
          </w:p>
        </w:tc>
        <w:tc>
          <w:tcPr>
            <w:tcW w:w="876" w:type="dxa"/>
            <w:tcBorders>
              <w:top w:val="nil"/>
              <w:left w:val="nil"/>
              <w:bottom w:val="nil"/>
              <w:right w:val="nil"/>
              <w:tl2br w:val="nil"/>
              <w:tr2bl w:val="nil"/>
            </w:tcBorders>
            <w:tcMar>
              <w:left w:w="60" w:type="dxa"/>
              <w:right w:w="60" w:type="dxa"/>
            </w:tcMar>
            <w:vAlign w:val="center"/>
          </w:tcPr>
          <w:p w14:paraId="0D83B97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876" w:type="dxa"/>
            <w:tcBorders>
              <w:top w:val="nil"/>
              <w:left w:val="nil"/>
              <w:bottom w:val="nil"/>
              <w:right w:val="nil"/>
              <w:tl2br w:val="nil"/>
              <w:tr2bl w:val="nil"/>
            </w:tcBorders>
            <w:tcMar>
              <w:left w:w="60" w:type="dxa"/>
              <w:right w:w="60" w:type="dxa"/>
            </w:tcMar>
            <w:vAlign w:val="center"/>
          </w:tcPr>
          <w:p w14:paraId="116E4C0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1 207</w:t>
            </w:r>
          </w:p>
        </w:tc>
        <w:tc>
          <w:tcPr>
            <w:tcW w:w="876" w:type="dxa"/>
            <w:tcBorders>
              <w:top w:val="nil"/>
              <w:left w:val="nil"/>
              <w:bottom w:val="nil"/>
              <w:right w:val="nil"/>
              <w:tl2br w:val="nil"/>
              <w:tr2bl w:val="nil"/>
            </w:tcBorders>
            <w:tcMar>
              <w:left w:w="60" w:type="dxa"/>
              <w:right w:w="60" w:type="dxa"/>
            </w:tcMar>
            <w:vAlign w:val="center"/>
          </w:tcPr>
          <w:p w14:paraId="4F67FE9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639FA4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241</w:t>
            </w:r>
          </w:p>
        </w:tc>
        <w:tc>
          <w:tcPr>
            <w:tcW w:w="876" w:type="dxa"/>
            <w:tcBorders>
              <w:top w:val="nil"/>
              <w:left w:val="nil"/>
              <w:bottom w:val="nil"/>
              <w:right w:val="nil"/>
              <w:tl2br w:val="nil"/>
              <w:tr2bl w:val="nil"/>
            </w:tcBorders>
            <w:tcMar>
              <w:left w:w="60" w:type="dxa"/>
              <w:right w:w="60" w:type="dxa"/>
            </w:tcMar>
            <w:vAlign w:val="center"/>
          </w:tcPr>
          <w:p w14:paraId="7E84148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1 450</w:t>
            </w:r>
          </w:p>
        </w:tc>
      </w:tr>
      <w:tr w:rsidR="00807FFE" w14:paraId="481452BF"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43E08A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ADEB45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5CB9B7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234</w:t>
            </w:r>
          </w:p>
        </w:tc>
        <w:tc>
          <w:tcPr>
            <w:tcW w:w="875" w:type="dxa"/>
            <w:tcBorders>
              <w:top w:val="nil"/>
              <w:left w:val="nil"/>
              <w:bottom w:val="nil"/>
              <w:right w:val="nil"/>
              <w:tl2br w:val="nil"/>
              <w:tr2bl w:val="nil"/>
            </w:tcBorders>
            <w:tcMar>
              <w:left w:w="60" w:type="dxa"/>
              <w:right w:w="60" w:type="dxa"/>
            </w:tcMar>
            <w:vAlign w:val="center"/>
          </w:tcPr>
          <w:p w14:paraId="5BC8B05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75" w:type="dxa"/>
            <w:tcBorders>
              <w:top w:val="nil"/>
              <w:left w:val="nil"/>
              <w:bottom w:val="nil"/>
              <w:right w:val="nil"/>
              <w:tl2br w:val="nil"/>
              <w:tr2bl w:val="nil"/>
            </w:tcBorders>
            <w:tcMar>
              <w:left w:w="60" w:type="dxa"/>
              <w:right w:w="60" w:type="dxa"/>
            </w:tcMar>
            <w:vAlign w:val="center"/>
          </w:tcPr>
          <w:p w14:paraId="3D226F9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186</w:t>
            </w:r>
          </w:p>
        </w:tc>
        <w:tc>
          <w:tcPr>
            <w:tcW w:w="876" w:type="dxa"/>
            <w:tcBorders>
              <w:top w:val="nil"/>
              <w:left w:val="nil"/>
              <w:bottom w:val="nil"/>
              <w:right w:val="nil"/>
              <w:tl2br w:val="nil"/>
              <w:tr2bl w:val="nil"/>
            </w:tcBorders>
            <w:tcMar>
              <w:left w:w="60" w:type="dxa"/>
              <w:right w:w="60" w:type="dxa"/>
            </w:tcMar>
            <w:vAlign w:val="center"/>
          </w:tcPr>
          <w:p w14:paraId="6D20009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FC2BF8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6D3A53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876" w:type="dxa"/>
            <w:tcBorders>
              <w:top w:val="nil"/>
              <w:left w:val="nil"/>
              <w:bottom w:val="nil"/>
              <w:right w:val="nil"/>
              <w:tl2br w:val="nil"/>
              <w:tr2bl w:val="nil"/>
            </w:tcBorders>
            <w:tcMar>
              <w:left w:w="60" w:type="dxa"/>
              <w:right w:w="60" w:type="dxa"/>
            </w:tcMar>
            <w:vAlign w:val="center"/>
          </w:tcPr>
          <w:p w14:paraId="71A0E9B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234</w:t>
            </w:r>
          </w:p>
        </w:tc>
        <w:tc>
          <w:tcPr>
            <w:tcW w:w="876" w:type="dxa"/>
            <w:tcBorders>
              <w:top w:val="nil"/>
              <w:left w:val="nil"/>
              <w:bottom w:val="nil"/>
              <w:right w:val="nil"/>
              <w:tl2br w:val="nil"/>
              <w:tr2bl w:val="nil"/>
            </w:tcBorders>
            <w:tcMar>
              <w:left w:w="60" w:type="dxa"/>
              <w:right w:w="60" w:type="dxa"/>
            </w:tcMar>
            <w:vAlign w:val="center"/>
          </w:tcPr>
          <w:p w14:paraId="4532606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14:paraId="38A92A4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876" w:type="dxa"/>
            <w:tcBorders>
              <w:top w:val="nil"/>
              <w:left w:val="nil"/>
              <w:bottom w:val="nil"/>
              <w:right w:val="nil"/>
              <w:tl2br w:val="nil"/>
              <w:tr2bl w:val="nil"/>
            </w:tcBorders>
            <w:tcMar>
              <w:left w:w="60" w:type="dxa"/>
              <w:right w:w="60" w:type="dxa"/>
            </w:tcMar>
            <w:vAlign w:val="center"/>
          </w:tcPr>
          <w:p w14:paraId="4CC8D8D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033762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6148FCB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205</w:t>
            </w:r>
          </w:p>
        </w:tc>
      </w:tr>
      <w:tr w:rsidR="00807FFE" w14:paraId="2F9552FC"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EB747CC"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84A31D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border management and visa (BMVI)</w:t>
            </w:r>
          </w:p>
        </w:tc>
        <w:tc>
          <w:tcPr>
            <w:tcW w:w="875" w:type="dxa"/>
            <w:tcBorders>
              <w:top w:val="nil"/>
              <w:left w:val="nil"/>
              <w:bottom w:val="nil"/>
              <w:right w:val="nil"/>
              <w:tl2br w:val="nil"/>
              <w:tr2bl w:val="nil"/>
            </w:tcBorders>
            <w:tcMar>
              <w:left w:w="60" w:type="dxa"/>
              <w:right w:w="60" w:type="dxa"/>
            </w:tcMar>
            <w:vAlign w:val="center"/>
          </w:tcPr>
          <w:p w14:paraId="016762B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1 235</w:t>
            </w:r>
          </w:p>
        </w:tc>
        <w:tc>
          <w:tcPr>
            <w:tcW w:w="875" w:type="dxa"/>
            <w:tcBorders>
              <w:top w:val="nil"/>
              <w:left w:val="nil"/>
              <w:bottom w:val="nil"/>
              <w:right w:val="nil"/>
              <w:tl2br w:val="nil"/>
              <w:tr2bl w:val="nil"/>
            </w:tcBorders>
            <w:tcMar>
              <w:left w:w="60" w:type="dxa"/>
              <w:right w:w="60" w:type="dxa"/>
            </w:tcMar>
            <w:vAlign w:val="center"/>
          </w:tcPr>
          <w:p w14:paraId="7643F81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2891D89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1 235</w:t>
            </w:r>
          </w:p>
        </w:tc>
        <w:tc>
          <w:tcPr>
            <w:tcW w:w="876" w:type="dxa"/>
            <w:tcBorders>
              <w:top w:val="nil"/>
              <w:left w:val="nil"/>
              <w:bottom w:val="nil"/>
              <w:right w:val="nil"/>
              <w:tl2br w:val="nil"/>
              <w:tr2bl w:val="nil"/>
            </w:tcBorders>
            <w:tcMar>
              <w:left w:w="60" w:type="dxa"/>
              <w:right w:w="60" w:type="dxa"/>
            </w:tcMar>
            <w:vAlign w:val="center"/>
          </w:tcPr>
          <w:p w14:paraId="7E2DC6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D262E6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369</w:t>
            </w:r>
          </w:p>
        </w:tc>
        <w:tc>
          <w:tcPr>
            <w:tcW w:w="876" w:type="dxa"/>
            <w:tcBorders>
              <w:top w:val="nil"/>
              <w:left w:val="nil"/>
              <w:bottom w:val="nil"/>
              <w:right w:val="nil"/>
              <w:tl2br w:val="nil"/>
              <w:tr2bl w:val="nil"/>
            </w:tcBorders>
            <w:tcMar>
              <w:left w:w="60" w:type="dxa"/>
              <w:right w:w="60" w:type="dxa"/>
            </w:tcMar>
            <w:vAlign w:val="center"/>
          </w:tcPr>
          <w:p w14:paraId="7CCF7EA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1 603</w:t>
            </w:r>
          </w:p>
        </w:tc>
        <w:tc>
          <w:tcPr>
            <w:tcW w:w="876" w:type="dxa"/>
            <w:tcBorders>
              <w:top w:val="nil"/>
              <w:left w:val="nil"/>
              <w:bottom w:val="nil"/>
              <w:right w:val="nil"/>
              <w:tl2br w:val="nil"/>
              <w:tr2bl w:val="nil"/>
            </w:tcBorders>
            <w:tcMar>
              <w:left w:w="60" w:type="dxa"/>
              <w:right w:w="60" w:type="dxa"/>
            </w:tcMar>
            <w:vAlign w:val="center"/>
          </w:tcPr>
          <w:p w14:paraId="3F39FCC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462</w:t>
            </w:r>
          </w:p>
        </w:tc>
        <w:tc>
          <w:tcPr>
            <w:tcW w:w="876" w:type="dxa"/>
            <w:tcBorders>
              <w:top w:val="nil"/>
              <w:left w:val="nil"/>
              <w:bottom w:val="nil"/>
              <w:right w:val="nil"/>
              <w:tl2br w:val="nil"/>
              <w:tr2bl w:val="nil"/>
            </w:tcBorders>
            <w:tcMar>
              <w:left w:w="60" w:type="dxa"/>
              <w:right w:w="60" w:type="dxa"/>
            </w:tcMar>
            <w:vAlign w:val="center"/>
          </w:tcPr>
          <w:p w14:paraId="2EA3DFF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357</w:t>
            </w:r>
          </w:p>
        </w:tc>
        <w:tc>
          <w:tcPr>
            <w:tcW w:w="876" w:type="dxa"/>
            <w:tcBorders>
              <w:top w:val="nil"/>
              <w:left w:val="nil"/>
              <w:bottom w:val="nil"/>
              <w:right w:val="nil"/>
              <w:tl2br w:val="nil"/>
              <w:tr2bl w:val="nil"/>
            </w:tcBorders>
            <w:tcMar>
              <w:left w:w="60" w:type="dxa"/>
              <w:right w:w="60" w:type="dxa"/>
            </w:tcMar>
            <w:vAlign w:val="center"/>
          </w:tcPr>
          <w:p w14:paraId="5FD4205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819</w:t>
            </w:r>
          </w:p>
        </w:tc>
        <w:tc>
          <w:tcPr>
            <w:tcW w:w="876" w:type="dxa"/>
            <w:tcBorders>
              <w:top w:val="nil"/>
              <w:left w:val="nil"/>
              <w:bottom w:val="nil"/>
              <w:right w:val="nil"/>
              <w:tl2br w:val="nil"/>
              <w:tr2bl w:val="nil"/>
            </w:tcBorders>
            <w:tcMar>
              <w:left w:w="60" w:type="dxa"/>
              <w:right w:w="60" w:type="dxa"/>
            </w:tcMar>
            <w:vAlign w:val="center"/>
          </w:tcPr>
          <w:p w14:paraId="67E944A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AFBAA7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471</w:t>
            </w:r>
          </w:p>
        </w:tc>
        <w:tc>
          <w:tcPr>
            <w:tcW w:w="876" w:type="dxa"/>
            <w:tcBorders>
              <w:top w:val="nil"/>
              <w:left w:val="nil"/>
              <w:bottom w:val="nil"/>
              <w:right w:val="nil"/>
              <w:tl2br w:val="nil"/>
              <w:tr2bl w:val="nil"/>
            </w:tcBorders>
            <w:tcMar>
              <w:left w:w="60" w:type="dxa"/>
              <w:right w:w="60" w:type="dxa"/>
            </w:tcMar>
            <w:vAlign w:val="center"/>
          </w:tcPr>
          <w:p w14:paraId="23C74B0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1 291</w:t>
            </w:r>
          </w:p>
        </w:tc>
      </w:tr>
      <w:tr w:rsidR="00807FFE" w14:paraId="53AD987B"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E9D5D6C"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615C3D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financial support for customs control equipment (CCEi)</w:t>
            </w:r>
          </w:p>
        </w:tc>
        <w:tc>
          <w:tcPr>
            <w:tcW w:w="875" w:type="dxa"/>
            <w:tcBorders>
              <w:top w:val="nil"/>
              <w:left w:val="nil"/>
              <w:bottom w:val="nil"/>
              <w:right w:val="nil"/>
              <w:tl2br w:val="nil"/>
              <w:tr2bl w:val="nil"/>
            </w:tcBorders>
            <w:tcMar>
              <w:left w:w="60" w:type="dxa"/>
              <w:right w:w="60" w:type="dxa"/>
            </w:tcMar>
            <w:vAlign w:val="center"/>
          </w:tcPr>
          <w:p w14:paraId="4C06CD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147</w:t>
            </w:r>
          </w:p>
        </w:tc>
        <w:tc>
          <w:tcPr>
            <w:tcW w:w="875" w:type="dxa"/>
            <w:tcBorders>
              <w:top w:val="nil"/>
              <w:left w:val="nil"/>
              <w:bottom w:val="nil"/>
              <w:right w:val="nil"/>
              <w:tl2br w:val="nil"/>
              <w:tr2bl w:val="nil"/>
            </w:tcBorders>
            <w:tcMar>
              <w:left w:w="60" w:type="dxa"/>
              <w:right w:w="60" w:type="dxa"/>
            </w:tcMar>
            <w:vAlign w:val="center"/>
          </w:tcPr>
          <w:p w14:paraId="3BF8ED9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(146)</w:t>
            </w:r>
          </w:p>
        </w:tc>
        <w:tc>
          <w:tcPr>
            <w:tcW w:w="875" w:type="dxa"/>
            <w:tcBorders>
              <w:top w:val="nil"/>
              <w:left w:val="nil"/>
              <w:bottom w:val="nil"/>
              <w:right w:val="nil"/>
              <w:tl2br w:val="nil"/>
              <w:tr2bl w:val="nil"/>
            </w:tcBorders>
            <w:tcMar>
              <w:left w:w="60" w:type="dxa"/>
              <w:right w:w="60" w:type="dxa"/>
            </w:tcMar>
            <w:vAlign w:val="center"/>
          </w:tcPr>
          <w:p w14:paraId="57BEA7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82A9D1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5D9BC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D1C5EC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46BEE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w:t>
            </w:r>
          </w:p>
        </w:tc>
        <w:tc>
          <w:tcPr>
            <w:tcW w:w="876" w:type="dxa"/>
            <w:tcBorders>
              <w:top w:val="nil"/>
              <w:left w:val="nil"/>
              <w:bottom w:val="nil"/>
              <w:right w:val="nil"/>
              <w:tl2br w:val="nil"/>
              <w:tr2bl w:val="nil"/>
            </w:tcBorders>
            <w:tcMar>
              <w:left w:w="60" w:type="dxa"/>
              <w:right w:w="60" w:type="dxa"/>
            </w:tcMar>
            <w:vAlign w:val="center"/>
          </w:tcPr>
          <w:p w14:paraId="2BAC5CC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14:paraId="0E706DA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0A2A6E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876" w:type="dxa"/>
            <w:tcBorders>
              <w:top w:val="nil"/>
              <w:left w:val="nil"/>
              <w:bottom w:val="nil"/>
              <w:right w:val="nil"/>
              <w:tl2br w:val="nil"/>
              <w:tr2bl w:val="nil"/>
            </w:tcBorders>
            <w:tcMar>
              <w:left w:w="60" w:type="dxa"/>
              <w:right w:w="60" w:type="dxa"/>
            </w:tcMar>
            <w:vAlign w:val="center"/>
          </w:tcPr>
          <w:p w14:paraId="18DC8E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05FBB9E"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32</w:t>
            </w:r>
          </w:p>
        </w:tc>
      </w:tr>
      <w:tr w:rsidR="00807FFE" w14:paraId="76BC7A5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5BF78B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D8773C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30725F7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1 307</w:t>
            </w:r>
          </w:p>
        </w:tc>
        <w:tc>
          <w:tcPr>
            <w:tcW w:w="875" w:type="dxa"/>
            <w:tcBorders>
              <w:top w:val="nil"/>
              <w:left w:val="nil"/>
              <w:bottom w:val="nil"/>
              <w:right w:val="nil"/>
              <w:tl2br w:val="nil"/>
              <w:tr2bl w:val="nil"/>
            </w:tcBorders>
            <w:tcMar>
              <w:left w:w="60" w:type="dxa"/>
              <w:right w:w="60" w:type="dxa"/>
            </w:tcMar>
            <w:vAlign w:val="center"/>
          </w:tcPr>
          <w:p w14:paraId="2EC4D92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50CAA7B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1 307</w:t>
            </w:r>
          </w:p>
        </w:tc>
        <w:tc>
          <w:tcPr>
            <w:tcW w:w="876" w:type="dxa"/>
            <w:tcBorders>
              <w:top w:val="nil"/>
              <w:left w:val="nil"/>
              <w:bottom w:val="nil"/>
              <w:right w:val="nil"/>
              <w:tl2br w:val="nil"/>
              <w:tr2bl w:val="nil"/>
            </w:tcBorders>
            <w:tcMar>
              <w:left w:w="60" w:type="dxa"/>
              <w:right w:w="60" w:type="dxa"/>
            </w:tcMar>
            <w:vAlign w:val="center"/>
          </w:tcPr>
          <w:p w14:paraId="09912AC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12365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876" w:type="dxa"/>
            <w:tcBorders>
              <w:top w:val="nil"/>
              <w:left w:val="nil"/>
              <w:bottom w:val="nil"/>
              <w:right w:val="nil"/>
              <w:tl2br w:val="nil"/>
              <w:tr2bl w:val="nil"/>
            </w:tcBorders>
            <w:tcMar>
              <w:left w:w="60" w:type="dxa"/>
              <w:right w:w="60" w:type="dxa"/>
            </w:tcMar>
            <w:vAlign w:val="center"/>
          </w:tcPr>
          <w:p w14:paraId="65F0D26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1 380</w:t>
            </w:r>
          </w:p>
        </w:tc>
        <w:tc>
          <w:tcPr>
            <w:tcW w:w="876" w:type="dxa"/>
            <w:tcBorders>
              <w:top w:val="nil"/>
              <w:left w:val="nil"/>
              <w:bottom w:val="nil"/>
              <w:right w:val="nil"/>
              <w:tl2br w:val="nil"/>
              <w:tr2bl w:val="nil"/>
            </w:tcBorders>
            <w:tcMar>
              <w:left w:w="60" w:type="dxa"/>
              <w:right w:w="60" w:type="dxa"/>
            </w:tcMar>
            <w:vAlign w:val="center"/>
          </w:tcPr>
          <w:p w14:paraId="62C44D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1 287</w:t>
            </w:r>
          </w:p>
        </w:tc>
        <w:tc>
          <w:tcPr>
            <w:tcW w:w="876" w:type="dxa"/>
            <w:tcBorders>
              <w:top w:val="nil"/>
              <w:left w:val="nil"/>
              <w:bottom w:val="nil"/>
              <w:right w:val="nil"/>
              <w:tl2br w:val="nil"/>
              <w:tr2bl w:val="nil"/>
            </w:tcBorders>
            <w:tcMar>
              <w:left w:w="60" w:type="dxa"/>
              <w:right w:w="60" w:type="dxa"/>
            </w:tcMar>
            <w:vAlign w:val="center"/>
          </w:tcPr>
          <w:p w14:paraId="1FE694A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876" w:type="dxa"/>
            <w:tcBorders>
              <w:top w:val="nil"/>
              <w:left w:val="nil"/>
              <w:bottom w:val="nil"/>
              <w:right w:val="nil"/>
              <w:tl2br w:val="nil"/>
              <w:tr2bl w:val="nil"/>
            </w:tcBorders>
            <w:tcMar>
              <w:left w:w="60" w:type="dxa"/>
              <w:right w:w="60" w:type="dxa"/>
            </w:tcMar>
            <w:vAlign w:val="center"/>
          </w:tcPr>
          <w:p w14:paraId="6BE20B2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1 334</w:t>
            </w:r>
          </w:p>
        </w:tc>
        <w:tc>
          <w:tcPr>
            <w:tcW w:w="876" w:type="dxa"/>
            <w:tcBorders>
              <w:top w:val="nil"/>
              <w:left w:val="nil"/>
              <w:bottom w:val="nil"/>
              <w:right w:val="nil"/>
              <w:tl2br w:val="nil"/>
              <w:tr2bl w:val="nil"/>
            </w:tcBorders>
            <w:tcMar>
              <w:left w:w="60" w:type="dxa"/>
              <w:right w:w="60" w:type="dxa"/>
            </w:tcMar>
            <w:vAlign w:val="center"/>
          </w:tcPr>
          <w:p w14:paraId="59D2EF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C435F2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876" w:type="dxa"/>
            <w:tcBorders>
              <w:top w:val="nil"/>
              <w:left w:val="nil"/>
              <w:bottom w:val="nil"/>
              <w:right w:val="nil"/>
              <w:tl2br w:val="nil"/>
              <w:tr2bl w:val="nil"/>
            </w:tcBorders>
            <w:tcMar>
              <w:left w:w="60" w:type="dxa"/>
              <w:right w:w="60" w:type="dxa"/>
            </w:tcMar>
            <w:vAlign w:val="center"/>
          </w:tcPr>
          <w:p w14:paraId="0FA637EF"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1 407</w:t>
            </w:r>
          </w:p>
        </w:tc>
      </w:tr>
      <w:tr w:rsidR="00807FFE" w14:paraId="1DEF6DC3"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37AEC72E"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471C0C8C"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4: Migration and Border Management</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1A1A32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4 791</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7A18B13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(146)</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20531B7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4 645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F517C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6424CCC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693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72D18D3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5 338</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6C227D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3 204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244A60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360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EA1A99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3 564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AF4D4C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D94115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794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469124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4 386</w:t>
            </w:r>
          </w:p>
        </w:tc>
      </w:tr>
      <w:tr w:rsidR="00807FFE" w14:paraId="3297D481"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5529342"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BE7EE0B"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1BA3F623"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7C2663E5"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67D33775"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D0379AB"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95F59C1"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A0329A3"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6613B0A"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1B22CCE5"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11B3400"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BA6B06E"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4CB29ED"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1144B40" w14:textId="77777777" w:rsidR="00807FFE" w:rsidRDefault="00807FFE">
            <w:pPr>
              <w:pStyle w:val="DMETW36742BIPDetailedMFF1Breakdown"/>
              <w:jc w:val="right"/>
              <w:rPr>
                <w:rFonts w:ascii="Verdana" w:eastAsia="Verdana" w:hAnsi="Verdana" w:cs="Verdana"/>
                <w:noProof/>
                <w:color w:val="000000"/>
                <w:sz w:val="16"/>
                <w:lang w:bidi="en-GB"/>
              </w:rPr>
            </w:pPr>
          </w:p>
        </w:tc>
      </w:tr>
      <w:tr w:rsidR="00807FFE" w14:paraId="332856EB"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5C0354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5</w:t>
            </w:r>
          </w:p>
        </w:tc>
        <w:tc>
          <w:tcPr>
            <w:tcW w:w="3839" w:type="dxa"/>
            <w:tcBorders>
              <w:top w:val="nil"/>
              <w:left w:val="nil"/>
              <w:bottom w:val="nil"/>
              <w:right w:val="nil"/>
              <w:tl2br w:val="nil"/>
              <w:tr2bl w:val="nil"/>
            </w:tcBorders>
            <w:tcMar>
              <w:left w:w="60" w:type="dxa"/>
              <w:right w:w="60" w:type="dxa"/>
            </w:tcMar>
            <w:vAlign w:val="center"/>
          </w:tcPr>
          <w:p w14:paraId="39C7B0A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Internal Security Fund (ISF)</w:t>
            </w:r>
          </w:p>
        </w:tc>
        <w:tc>
          <w:tcPr>
            <w:tcW w:w="875" w:type="dxa"/>
            <w:tcBorders>
              <w:top w:val="nil"/>
              <w:left w:val="nil"/>
              <w:bottom w:val="nil"/>
              <w:right w:val="nil"/>
              <w:tl2br w:val="nil"/>
              <w:tr2bl w:val="nil"/>
            </w:tcBorders>
            <w:tcMar>
              <w:left w:w="60" w:type="dxa"/>
              <w:right w:w="60" w:type="dxa"/>
            </w:tcMar>
            <w:vAlign w:val="center"/>
          </w:tcPr>
          <w:p w14:paraId="3CD1507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337</w:t>
            </w:r>
          </w:p>
        </w:tc>
        <w:tc>
          <w:tcPr>
            <w:tcW w:w="875" w:type="dxa"/>
            <w:tcBorders>
              <w:top w:val="nil"/>
              <w:left w:val="nil"/>
              <w:bottom w:val="nil"/>
              <w:right w:val="nil"/>
              <w:tl2br w:val="nil"/>
              <w:tr2bl w:val="nil"/>
            </w:tcBorders>
            <w:tcMar>
              <w:left w:w="60" w:type="dxa"/>
              <w:right w:w="60" w:type="dxa"/>
            </w:tcMar>
            <w:vAlign w:val="center"/>
          </w:tcPr>
          <w:p w14:paraId="450980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1880BA3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337</w:t>
            </w:r>
          </w:p>
        </w:tc>
        <w:tc>
          <w:tcPr>
            <w:tcW w:w="876" w:type="dxa"/>
            <w:tcBorders>
              <w:top w:val="nil"/>
              <w:left w:val="nil"/>
              <w:bottom w:val="nil"/>
              <w:right w:val="nil"/>
              <w:tl2br w:val="nil"/>
              <w:tr2bl w:val="nil"/>
            </w:tcBorders>
            <w:tcMar>
              <w:left w:w="60" w:type="dxa"/>
              <w:right w:w="60" w:type="dxa"/>
            </w:tcMar>
            <w:vAlign w:val="center"/>
          </w:tcPr>
          <w:p w14:paraId="1D73F8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50FC11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14:paraId="486ED98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388</w:t>
            </w:r>
          </w:p>
        </w:tc>
        <w:tc>
          <w:tcPr>
            <w:tcW w:w="876" w:type="dxa"/>
            <w:tcBorders>
              <w:top w:val="nil"/>
              <w:left w:val="nil"/>
              <w:bottom w:val="nil"/>
              <w:right w:val="nil"/>
              <w:tl2br w:val="nil"/>
              <w:tr2bl w:val="nil"/>
            </w:tcBorders>
            <w:tcMar>
              <w:left w:w="60" w:type="dxa"/>
              <w:right w:w="60" w:type="dxa"/>
            </w:tcMar>
            <w:vAlign w:val="center"/>
          </w:tcPr>
          <w:p w14:paraId="5F9D0CC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227</w:t>
            </w:r>
          </w:p>
        </w:tc>
        <w:tc>
          <w:tcPr>
            <w:tcW w:w="876" w:type="dxa"/>
            <w:tcBorders>
              <w:top w:val="nil"/>
              <w:left w:val="nil"/>
              <w:bottom w:val="nil"/>
              <w:right w:val="nil"/>
              <w:tl2br w:val="nil"/>
              <w:tr2bl w:val="nil"/>
            </w:tcBorders>
            <w:tcMar>
              <w:left w:w="60" w:type="dxa"/>
              <w:right w:w="60" w:type="dxa"/>
            </w:tcMar>
            <w:vAlign w:val="center"/>
          </w:tcPr>
          <w:p w14:paraId="26FF1E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244AC4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244</w:t>
            </w:r>
          </w:p>
        </w:tc>
        <w:tc>
          <w:tcPr>
            <w:tcW w:w="876" w:type="dxa"/>
            <w:tcBorders>
              <w:top w:val="nil"/>
              <w:left w:val="nil"/>
              <w:bottom w:val="nil"/>
              <w:right w:val="nil"/>
              <w:tl2br w:val="nil"/>
              <w:tr2bl w:val="nil"/>
            </w:tcBorders>
            <w:tcMar>
              <w:left w:w="60" w:type="dxa"/>
              <w:right w:w="60" w:type="dxa"/>
            </w:tcMar>
            <w:vAlign w:val="center"/>
          </w:tcPr>
          <w:p w14:paraId="636F902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49FA0CA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14:paraId="18C4060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296</w:t>
            </w:r>
          </w:p>
        </w:tc>
      </w:tr>
      <w:tr w:rsidR="00807FFE" w14:paraId="01FAAC4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D9B526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AB636B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Nuclear decommissioning (Lithuania)</w:t>
            </w:r>
          </w:p>
        </w:tc>
        <w:tc>
          <w:tcPr>
            <w:tcW w:w="875" w:type="dxa"/>
            <w:tcBorders>
              <w:top w:val="nil"/>
              <w:left w:val="nil"/>
              <w:bottom w:val="nil"/>
              <w:right w:val="nil"/>
              <w:tl2br w:val="nil"/>
              <w:tr2bl w:val="nil"/>
            </w:tcBorders>
            <w:tcMar>
              <w:left w:w="60" w:type="dxa"/>
              <w:right w:w="60" w:type="dxa"/>
            </w:tcMar>
            <w:vAlign w:val="center"/>
          </w:tcPr>
          <w:p w14:paraId="7B5E659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875" w:type="dxa"/>
            <w:tcBorders>
              <w:top w:val="nil"/>
              <w:left w:val="nil"/>
              <w:bottom w:val="nil"/>
              <w:right w:val="nil"/>
              <w:tl2br w:val="nil"/>
              <w:tr2bl w:val="nil"/>
            </w:tcBorders>
            <w:tcMar>
              <w:left w:w="60" w:type="dxa"/>
              <w:right w:w="60" w:type="dxa"/>
            </w:tcMar>
            <w:vAlign w:val="center"/>
          </w:tcPr>
          <w:p w14:paraId="6F6B70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7C2E0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876" w:type="dxa"/>
            <w:tcBorders>
              <w:top w:val="nil"/>
              <w:left w:val="nil"/>
              <w:bottom w:val="nil"/>
              <w:right w:val="nil"/>
              <w:tl2br w:val="nil"/>
              <w:tr2bl w:val="nil"/>
            </w:tcBorders>
            <w:tcMar>
              <w:left w:w="60" w:type="dxa"/>
              <w:right w:w="60" w:type="dxa"/>
            </w:tcMar>
            <w:vAlign w:val="center"/>
          </w:tcPr>
          <w:p w14:paraId="5A340E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A2D34E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3541C9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876" w:type="dxa"/>
            <w:tcBorders>
              <w:top w:val="nil"/>
              <w:left w:val="nil"/>
              <w:bottom w:val="nil"/>
              <w:right w:val="nil"/>
              <w:tl2br w:val="nil"/>
              <w:tr2bl w:val="nil"/>
            </w:tcBorders>
            <w:tcMar>
              <w:left w:w="60" w:type="dxa"/>
              <w:right w:w="60" w:type="dxa"/>
            </w:tcMar>
            <w:vAlign w:val="center"/>
          </w:tcPr>
          <w:p w14:paraId="5CDAE64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876" w:type="dxa"/>
            <w:tcBorders>
              <w:top w:val="nil"/>
              <w:left w:val="nil"/>
              <w:bottom w:val="nil"/>
              <w:right w:val="nil"/>
              <w:tl2br w:val="nil"/>
              <w:tr2bl w:val="nil"/>
            </w:tcBorders>
            <w:tcMar>
              <w:left w:w="60" w:type="dxa"/>
              <w:right w:w="60" w:type="dxa"/>
            </w:tcMar>
            <w:vAlign w:val="center"/>
          </w:tcPr>
          <w:p w14:paraId="54C084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8B2004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876" w:type="dxa"/>
            <w:tcBorders>
              <w:top w:val="nil"/>
              <w:left w:val="nil"/>
              <w:bottom w:val="nil"/>
              <w:right w:val="nil"/>
              <w:tl2br w:val="nil"/>
              <w:tr2bl w:val="nil"/>
            </w:tcBorders>
            <w:tcMar>
              <w:left w:w="60" w:type="dxa"/>
              <w:right w:w="60" w:type="dxa"/>
            </w:tcMar>
            <w:vAlign w:val="center"/>
          </w:tcPr>
          <w:p w14:paraId="5FC2BD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CFB18D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7F58BA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90</w:t>
            </w:r>
          </w:p>
        </w:tc>
      </w:tr>
      <w:tr w:rsidR="00807FFE" w14:paraId="4F945B21"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8B0054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3C6197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Nuclear Safety and decommissioning (incl. For Bulgaria and Slovakia)</w:t>
            </w:r>
          </w:p>
        </w:tc>
        <w:tc>
          <w:tcPr>
            <w:tcW w:w="875" w:type="dxa"/>
            <w:tcBorders>
              <w:top w:val="nil"/>
              <w:left w:val="nil"/>
              <w:bottom w:val="nil"/>
              <w:right w:val="nil"/>
              <w:tl2br w:val="nil"/>
              <w:tr2bl w:val="nil"/>
            </w:tcBorders>
            <w:tcMar>
              <w:left w:w="60" w:type="dxa"/>
              <w:right w:w="60" w:type="dxa"/>
            </w:tcMar>
            <w:vAlign w:val="center"/>
          </w:tcPr>
          <w:p w14:paraId="41CC5B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875" w:type="dxa"/>
            <w:tcBorders>
              <w:top w:val="nil"/>
              <w:left w:val="nil"/>
              <w:bottom w:val="nil"/>
              <w:right w:val="nil"/>
              <w:tl2br w:val="nil"/>
              <w:tr2bl w:val="nil"/>
            </w:tcBorders>
            <w:tcMar>
              <w:left w:w="60" w:type="dxa"/>
              <w:right w:w="60" w:type="dxa"/>
            </w:tcMar>
            <w:vAlign w:val="center"/>
          </w:tcPr>
          <w:p w14:paraId="57D0577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6EB8CB6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14:paraId="425FC6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F61EE4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1AFF7B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14:paraId="5642146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91</w:t>
            </w:r>
          </w:p>
        </w:tc>
        <w:tc>
          <w:tcPr>
            <w:tcW w:w="876" w:type="dxa"/>
            <w:tcBorders>
              <w:top w:val="nil"/>
              <w:left w:val="nil"/>
              <w:bottom w:val="nil"/>
              <w:right w:val="nil"/>
              <w:tl2br w:val="nil"/>
              <w:tr2bl w:val="nil"/>
            </w:tcBorders>
            <w:tcMar>
              <w:left w:w="60" w:type="dxa"/>
              <w:right w:w="60" w:type="dxa"/>
            </w:tcMar>
            <w:vAlign w:val="center"/>
          </w:tcPr>
          <w:p w14:paraId="401697E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876" w:type="dxa"/>
            <w:tcBorders>
              <w:top w:val="nil"/>
              <w:left w:val="nil"/>
              <w:bottom w:val="nil"/>
              <w:right w:val="nil"/>
              <w:tl2br w:val="nil"/>
              <w:tr2bl w:val="nil"/>
            </w:tcBorders>
            <w:tcMar>
              <w:left w:w="60" w:type="dxa"/>
              <w:right w:w="60" w:type="dxa"/>
            </w:tcMar>
            <w:vAlign w:val="center"/>
          </w:tcPr>
          <w:p w14:paraId="3DCF42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876" w:type="dxa"/>
            <w:tcBorders>
              <w:top w:val="nil"/>
              <w:left w:val="nil"/>
              <w:bottom w:val="nil"/>
              <w:right w:val="nil"/>
              <w:tl2br w:val="nil"/>
              <w:tr2bl w:val="nil"/>
            </w:tcBorders>
            <w:tcMar>
              <w:left w:w="60" w:type="dxa"/>
              <w:right w:w="60" w:type="dxa"/>
            </w:tcMar>
            <w:vAlign w:val="center"/>
          </w:tcPr>
          <w:p w14:paraId="5332509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C498F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D1451D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64</w:t>
            </w:r>
          </w:p>
        </w:tc>
      </w:tr>
      <w:tr w:rsidR="00807FFE" w14:paraId="16107CB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978D96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C392B2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3839056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288</w:t>
            </w:r>
          </w:p>
        </w:tc>
        <w:tc>
          <w:tcPr>
            <w:tcW w:w="875" w:type="dxa"/>
            <w:tcBorders>
              <w:top w:val="nil"/>
              <w:left w:val="nil"/>
              <w:bottom w:val="nil"/>
              <w:right w:val="nil"/>
              <w:tl2br w:val="nil"/>
              <w:tr2bl w:val="nil"/>
            </w:tcBorders>
            <w:tcMar>
              <w:left w:w="60" w:type="dxa"/>
              <w:right w:w="60" w:type="dxa"/>
            </w:tcMar>
            <w:vAlign w:val="center"/>
          </w:tcPr>
          <w:p w14:paraId="7E912E0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22A0058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288</w:t>
            </w:r>
          </w:p>
        </w:tc>
        <w:tc>
          <w:tcPr>
            <w:tcW w:w="876" w:type="dxa"/>
            <w:tcBorders>
              <w:top w:val="nil"/>
              <w:left w:val="nil"/>
              <w:bottom w:val="nil"/>
              <w:right w:val="nil"/>
              <w:tl2br w:val="nil"/>
              <w:tr2bl w:val="nil"/>
            </w:tcBorders>
            <w:tcMar>
              <w:left w:w="60" w:type="dxa"/>
              <w:right w:w="60" w:type="dxa"/>
            </w:tcMar>
            <w:vAlign w:val="center"/>
          </w:tcPr>
          <w:p w14:paraId="700017F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EA4C42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220639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298</w:t>
            </w:r>
          </w:p>
        </w:tc>
        <w:tc>
          <w:tcPr>
            <w:tcW w:w="876" w:type="dxa"/>
            <w:tcBorders>
              <w:top w:val="nil"/>
              <w:left w:val="nil"/>
              <w:bottom w:val="nil"/>
              <w:right w:val="nil"/>
              <w:tl2br w:val="nil"/>
              <w:tr2bl w:val="nil"/>
            </w:tcBorders>
            <w:tcMar>
              <w:left w:w="60" w:type="dxa"/>
              <w:right w:w="60" w:type="dxa"/>
            </w:tcMar>
            <w:vAlign w:val="center"/>
          </w:tcPr>
          <w:p w14:paraId="63E91B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288</w:t>
            </w:r>
          </w:p>
        </w:tc>
        <w:tc>
          <w:tcPr>
            <w:tcW w:w="876" w:type="dxa"/>
            <w:tcBorders>
              <w:top w:val="nil"/>
              <w:left w:val="nil"/>
              <w:bottom w:val="nil"/>
              <w:right w:val="nil"/>
              <w:tl2br w:val="nil"/>
              <w:tr2bl w:val="nil"/>
            </w:tcBorders>
            <w:tcMar>
              <w:left w:w="60" w:type="dxa"/>
              <w:right w:w="60" w:type="dxa"/>
            </w:tcMar>
            <w:vAlign w:val="center"/>
          </w:tcPr>
          <w:p w14:paraId="00D2E3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35812CB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290</w:t>
            </w:r>
          </w:p>
        </w:tc>
        <w:tc>
          <w:tcPr>
            <w:tcW w:w="876" w:type="dxa"/>
            <w:tcBorders>
              <w:top w:val="nil"/>
              <w:left w:val="nil"/>
              <w:bottom w:val="nil"/>
              <w:right w:val="nil"/>
              <w:tl2br w:val="nil"/>
              <w:tr2bl w:val="nil"/>
            </w:tcBorders>
            <w:tcMar>
              <w:left w:w="60" w:type="dxa"/>
              <w:right w:w="60" w:type="dxa"/>
            </w:tcMar>
            <w:vAlign w:val="center"/>
          </w:tcPr>
          <w:p w14:paraId="379E219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87C1F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5CD297A5"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300</w:t>
            </w:r>
          </w:p>
        </w:tc>
      </w:tr>
      <w:tr w:rsidR="00807FFE" w14:paraId="12DB938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18D684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8E61F9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2F55EB3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E2DB2C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A2FC08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4F8CA4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7753F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821D55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50242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2C0BE5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27521D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433CC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243058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03881E3"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1CE5639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CB715A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6C79D8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75" w:type="dxa"/>
            <w:tcBorders>
              <w:top w:val="nil"/>
              <w:left w:val="nil"/>
              <w:bottom w:val="nil"/>
              <w:right w:val="nil"/>
              <w:tl2br w:val="nil"/>
              <w:tr2bl w:val="nil"/>
            </w:tcBorders>
            <w:tcMar>
              <w:left w:w="60" w:type="dxa"/>
              <w:right w:w="60" w:type="dxa"/>
            </w:tcMar>
            <w:vAlign w:val="center"/>
          </w:tcPr>
          <w:p w14:paraId="12F3A7A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75" w:type="dxa"/>
            <w:tcBorders>
              <w:top w:val="nil"/>
              <w:left w:val="nil"/>
              <w:bottom w:val="nil"/>
              <w:right w:val="nil"/>
              <w:tl2br w:val="nil"/>
              <w:tr2bl w:val="nil"/>
            </w:tcBorders>
            <w:tcMar>
              <w:left w:w="60" w:type="dxa"/>
              <w:right w:w="60" w:type="dxa"/>
            </w:tcMar>
            <w:vAlign w:val="center"/>
          </w:tcPr>
          <w:p w14:paraId="2873B2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79A6A7B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14:paraId="097E0C5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3AB9F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A25DD4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876" w:type="dxa"/>
            <w:tcBorders>
              <w:top w:val="nil"/>
              <w:left w:val="nil"/>
              <w:bottom w:val="nil"/>
              <w:right w:val="nil"/>
              <w:tl2br w:val="nil"/>
              <w:tr2bl w:val="nil"/>
            </w:tcBorders>
            <w:tcMar>
              <w:left w:w="60" w:type="dxa"/>
              <w:right w:w="60" w:type="dxa"/>
            </w:tcMar>
            <w:vAlign w:val="center"/>
          </w:tcPr>
          <w:p w14:paraId="09A7500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14:paraId="72B6D95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BBCB78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14:paraId="41DA40B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CF171A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5A16D2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22</w:t>
            </w:r>
          </w:p>
        </w:tc>
      </w:tr>
      <w:tr w:rsidR="00807FFE" w14:paraId="626664F0"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72A32F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8F2979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Defence Fund (Research)</w:t>
            </w:r>
          </w:p>
        </w:tc>
        <w:tc>
          <w:tcPr>
            <w:tcW w:w="875" w:type="dxa"/>
            <w:tcBorders>
              <w:top w:val="nil"/>
              <w:left w:val="nil"/>
              <w:bottom w:val="nil"/>
              <w:right w:val="nil"/>
              <w:tl2br w:val="nil"/>
              <w:tr2bl w:val="nil"/>
            </w:tcBorders>
            <w:tcMar>
              <w:left w:w="60" w:type="dxa"/>
              <w:right w:w="60" w:type="dxa"/>
            </w:tcMar>
            <w:vAlign w:val="center"/>
          </w:tcPr>
          <w:p w14:paraId="2DAE052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404</w:t>
            </w:r>
          </w:p>
        </w:tc>
        <w:tc>
          <w:tcPr>
            <w:tcW w:w="875" w:type="dxa"/>
            <w:tcBorders>
              <w:top w:val="nil"/>
              <w:left w:val="nil"/>
              <w:bottom w:val="nil"/>
              <w:right w:val="nil"/>
              <w:tl2br w:val="nil"/>
              <w:tr2bl w:val="nil"/>
            </w:tcBorders>
            <w:tcMar>
              <w:left w:w="60" w:type="dxa"/>
              <w:right w:w="60" w:type="dxa"/>
            </w:tcMar>
            <w:vAlign w:val="center"/>
          </w:tcPr>
          <w:p w14:paraId="08084A5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75" w:type="dxa"/>
            <w:tcBorders>
              <w:top w:val="nil"/>
              <w:left w:val="nil"/>
              <w:bottom w:val="nil"/>
              <w:right w:val="nil"/>
              <w:tl2br w:val="nil"/>
              <w:tr2bl w:val="nil"/>
            </w:tcBorders>
            <w:tcMar>
              <w:left w:w="60" w:type="dxa"/>
              <w:right w:w="60" w:type="dxa"/>
            </w:tcMar>
            <w:vAlign w:val="center"/>
          </w:tcPr>
          <w:p w14:paraId="4119972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390</w:t>
            </w:r>
          </w:p>
        </w:tc>
        <w:tc>
          <w:tcPr>
            <w:tcW w:w="876" w:type="dxa"/>
            <w:tcBorders>
              <w:top w:val="nil"/>
              <w:left w:val="nil"/>
              <w:bottom w:val="nil"/>
              <w:right w:val="nil"/>
              <w:tl2br w:val="nil"/>
              <w:tr2bl w:val="nil"/>
            </w:tcBorders>
            <w:tcMar>
              <w:left w:w="60" w:type="dxa"/>
              <w:right w:w="60" w:type="dxa"/>
            </w:tcMar>
            <w:vAlign w:val="center"/>
          </w:tcPr>
          <w:p w14:paraId="0DC92E1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9FA815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1A410E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400</w:t>
            </w:r>
          </w:p>
        </w:tc>
        <w:tc>
          <w:tcPr>
            <w:tcW w:w="876" w:type="dxa"/>
            <w:tcBorders>
              <w:top w:val="nil"/>
              <w:left w:val="nil"/>
              <w:bottom w:val="nil"/>
              <w:right w:val="nil"/>
              <w:tl2br w:val="nil"/>
              <w:tr2bl w:val="nil"/>
            </w:tcBorders>
            <w:tcMar>
              <w:left w:w="60" w:type="dxa"/>
              <w:right w:w="60" w:type="dxa"/>
            </w:tcMar>
            <w:vAlign w:val="center"/>
          </w:tcPr>
          <w:p w14:paraId="4CD120A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314</w:t>
            </w:r>
          </w:p>
        </w:tc>
        <w:tc>
          <w:tcPr>
            <w:tcW w:w="876" w:type="dxa"/>
            <w:tcBorders>
              <w:top w:val="nil"/>
              <w:left w:val="nil"/>
              <w:bottom w:val="nil"/>
              <w:right w:val="nil"/>
              <w:tl2br w:val="nil"/>
              <w:tr2bl w:val="nil"/>
            </w:tcBorders>
            <w:tcMar>
              <w:left w:w="60" w:type="dxa"/>
              <w:right w:w="60" w:type="dxa"/>
            </w:tcMar>
            <w:vAlign w:val="center"/>
          </w:tcPr>
          <w:p w14:paraId="0DDEDE8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14:paraId="3A0C4A9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287</w:t>
            </w:r>
          </w:p>
        </w:tc>
        <w:tc>
          <w:tcPr>
            <w:tcW w:w="876" w:type="dxa"/>
            <w:tcBorders>
              <w:top w:val="nil"/>
              <w:left w:val="nil"/>
              <w:bottom w:val="nil"/>
              <w:right w:val="nil"/>
              <w:tl2br w:val="nil"/>
              <w:tr2bl w:val="nil"/>
            </w:tcBorders>
            <w:tcMar>
              <w:left w:w="60" w:type="dxa"/>
              <w:right w:w="60" w:type="dxa"/>
            </w:tcMar>
            <w:vAlign w:val="center"/>
          </w:tcPr>
          <w:p w14:paraId="049689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E2E7C9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786F56E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296</w:t>
            </w:r>
          </w:p>
        </w:tc>
      </w:tr>
      <w:tr w:rsidR="00807FFE" w14:paraId="3BB0E812"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D3B36D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3B47070"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Defence Fund (Non Research)</w:t>
            </w:r>
          </w:p>
        </w:tc>
        <w:tc>
          <w:tcPr>
            <w:tcW w:w="875" w:type="dxa"/>
            <w:tcBorders>
              <w:top w:val="nil"/>
              <w:left w:val="nil"/>
              <w:bottom w:val="nil"/>
              <w:right w:val="nil"/>
              <w:tl2br w:val="nil"/>
              <w:tr2bl w:val="nil"/>
            </w:tcBorders>
            <w:tcMar>
              <w:left w:w="60" w:type="dxa"/>
              <w:right w:w="60" w:type="dxa"/>
            </w:tcMar>
            <w:vAlign w:val="center"/>
          </w:tcPr>
          <w:p w14:paraId="2C4A3C5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1 030</w:t>
            </w:r>
          </w:p>
        </w:tc>
        <w:tc>
          <w:tcPr>
            <w:tcW w:w="875" w:type="dxa"/>
            <w:tcBorders>
              <w:top w:val="nil"/>
              <w:left w:val="nil"/>
              <w:bottom w:val="nil"/>
              <w:right w:val="nil"/>
              <w:tl2br w:val="nil"/>
              <w:tr2bl w:val="nil"/>
            </w:tcBorders>
            <w:tcMar>
              <w:left w:w="60" w:type="dxa"/>
              <w:right w:w="60" w:type="dxa"/>
            </w:tcMar>
            <w:vAlign w:val="center"/>
          </w:tcPr>
          <w:p w14:paraId="36F9FC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5" w:type="dxa"/>
            <w:tcBorders>
              <w:top w:val="nil"/>
              <w:left w:val="nil"/>
              <w:bottom w:val="nil"/>
              <w:right w:val="nil"/>
              <w:tl2br w:val="nil"/>
              <w:tr2bl w:val="nil"/>
            </w:tcBorders>
            <w:tcMar>
              <w:left w:w="60" w:type="dxa"/>
              <w:right w:w="60" w:type="dxa"/>
            </w:tcMar>
            <w:vAlign w:val="center"/>
          </w:tcPr>
          <w:p w14:paraId="2F6B94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999</w:t>
            </w:r>
          </w:p>
        </w:tc>
        <w:tc>
          <w:tcPr>
            <w:tcW w:w="876" w:type="dxa"/>
            <w:tcBorders>
              <w:top w:val="nil"/>
              <w:left w:val="nil"/>
              <w:bottom w:val="nil"/>
              <w:right w:val="nil"/>
              <w:tl2br w:val="nil"/>
              <w:tr2bl w:val="nil"/>
            </w:tcBorders>
            <w:tcMar>
              <w:left w:w="60" w:type="dxa"/>
              <w:right w:w="60" w:type="dxa"/>
            </w:tcMar>
            <w:vAlign w:val="center"/>
          </w:tcPr>
          <w:p w14:paraId="4D22943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29CFAB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876" w:type="dxa"/>
            <w:tcBorders>
              <w:top w:val="nil"/>
              <w:left w:val="nil"/>
              <w:bottom w:val="nil"/>
              <w:right w:val="nil"/>
              <w:tl2br w:val="nil"/>
              <w:tr2bl w:val="nil"/>
            </w:tcBorders>
            <w:tcMar>
              <w:left w:w="60" w:type="dxa"/>
              <w:right w:w="60" w:type="dxa"/>
            </w:tcMar>
            <w:vAlign w:val="center"/>
          </w:tcPr>
          <w:p w14:paraId="1B4A23A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1 027</w:t>
            </w:r>
          </w:p>
        </w:tc>
        <w:tc>
          <w:tcPr>
            <w:tcW w:w="876" w:type="dxa"/>
            <w:tcBorders>
              <w:top w:val="nil"/>
              <w:left w:val="nil"/>
              <w:bottom w:val="nil"/>
              <w:right w:val="nil"/>
              <w:tl2br w:val="nil"/>
              <w:tr2bl w:val="nil"/>
            </w:tcBorders>
            <w:tcMar>
              <w:left w:w="60" w:type="dxa"/>
              <w:right w:w="60" w:type="dxa"/>
            </w:tcMar>
            <w:vAlign w:val="center"/>
          </w:tcPr>
          <w:p w14:paraId="064799B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702</w:t>
            </w:r>
          </w:p>
        </w:tc>
        <w:tc>
          <w:tcPr>
            <w:tcW w:w="876" w:type="dxa"/>
            <w:tcBorders>
              <w:top w:val="nil"/>
              <w:left w:val="nil"/>
              <w:bottom w:val="nil"/>
              <w:right w:val="nil"/>
              <w:tl2br w:val="nil"/>
              <w:tr2bl w:val="nil"/>
            </w:tcBorders>
            <w:tcMar>
              <w:left w:w="60" w:type="dxa"/>
              <w:right w:w="60" w:type="dxa"/>
            </w:tcMar>
            <w:vAlign w:val="center"/>
          </w:tcPr>
          <w:p w14:paraId="03E0AA3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(157)</w:t>
            </w:r>
          </w:p>
        </w:tc>
        <w:tc>
          <w:tcPr>
            <w:tcW w:w="876" w:type="dxa"/>
            <w:tcBorders>
              <w:top w:val="nil"/>
              <w:left w:val="nil"/>
              <w:bottom w:val="nil"/>
              <w:right w:val="nil"/>
              <w:tl2br w:val="nil"/>
              <w:tr2bl w:val="nil"/>
            </w:tcBorders>
            <w:tcMar>
              <w:left w:w="60" w:type="dxa"/>
              <w:right w:w="60" w:type="dxa"/>
            </w:tcMar>
            <w:vAlign w:val="center"/>
          </w:tcPr>
          <w:p w14:paraId="5CEFDF2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545</w:t>
            </w:r>
          </w:p>
        </w:tc>
        <w:tc>
          <w:tcPr>
            <w:tcW w:w="876" w:type="dxa"/>
            <w:tcBorders>
              <w:top w:val="nil"/>
              <w:left w:val="nil"/>
              <w:bottom w:val="nil"/>
              <w:right w:val="nil"/>
              <w:tl2br w:val="nil"/>
              <w:tr2bl w:val="nil"/>
            </w:tcBorders>
            <w:tcMar>
              <w:left w:w="60" w:type="dxa"/>
              <w:right w:w="60" w:type="dxa"/>
            </w:tcMar>
            <w:vAlign w:val="center"/>
          </w:tcPr>
          <w:p w14:paraId="79515BD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13E5F6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14:paraId="10DE5007"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566</w:t>
            </w:r>
          </w:p>
        </w:tc>
      </w:tr>
      <w:tr w:rsidR="00807FFE" w14:paraId="74837351"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CC3D7F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04158B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Military Mobility</w:t>
            </w:r>
          </w:p>
        </w:tc>
        <w:tc>
          <w:tcPr>
            <w:tcW w:w="875" w:type="dxa"/>
            <w:tcBorders>
              <w:top w:val="nil"/>
              <w:left w:val="nil"/>
              <w:bottom w:val="nil"/>
              <w:right w:val="nil"/>
              <w:tl2br w:val="nil"/>
              <w:tr2bl w:val="nil"/>
            </w:tcBorders>
            <w:tcMar>
              <w:left w:w="60" w:type="dxa"/>
              <w:right w:w="60" w:type="dxa"/>
            </w:tcMar>
            <w:vAlign w:val="center"/>
          </w:tcPr>
          <w:p w14:paraId="75F4C4C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252</w:t>
            </w:r>
          </w:p>
        </w:tc>
        <w:tc>
          <w:tcPr>
            <w:tcW w:w="875" w:type="dxa"/>
            <w:tcBorders>
              <w:top w:val="nil"/>
              <w:left w:val="nil"/>
              <w:bottom w:val="nil"/>
              <w:right w:val="nil"/>
              <w:tl2br w:val="nil"/>
              <w:tr2bl w:val="nil"/>
            </w:tcBorders>
            <w:tcMar>
              <w:left w:w="60" w:type="dxa"/>
              <w:right w:w="60" w:type="dxa"/>
            </w:tcMar>
            <w:vAlign w:val="center"/>
          </w:tcPr>
          <w:p w14:paraId="4A2E333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69701A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252</w:t>
            </w:r>
          </w:p>
        </w:tc>
        <w:tc>
          <w:tcPr>
            <w:tcW w:w="876" w:type="dxa"/>
            <w:tcBorders>
              <w:top w:val="nil"/>
              <w:left w:val="nil"/>
              <w:bottom w:val="nil"/>
              <w:right w:val="nil"/>
              <w:tl2br w:val="nil"/>
              <w:tr2bl w:val="nil"/>
            </w:tcBorders>
            <w:tcMar>
              <w:left w:w="60" w:type="dxa"/>
              <w:right w:w="60" w:type="dxa"/>
            </w:tcMar>
            <w:vAlign w:val="center"/>
          </w:tcPr>
          <w:p w14:paraId="0CB95A5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DCA9D2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0FAF4A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252</w:t>
            </w:r>
          </w:p>
        </w:tc>
        <w:tc>
          <w:tcPr>
            <w:tcW w:w="876" w:type="dxa"/>
            <w:tcBorders>
              <w:top w:val="nil"/>
              <w:left w:val="nil"/>
              <w:bottom w:val="nil"/>
              <w:right w:val="nil"/>
              <w:tl2br w:val="nil"/>
              <w:tr2bl w:val="nil"/>
            </w:tcBorders>
            <w:tcMar>
              <w:left w:w="60" w:type="dxa"/>
              <w:right w:w="60" w:type="dxa"/>
            </w:tcMar>
            <w:vAlign w:val="center"/>
          </w:tcPr>
          <w:p w14:paraId="568943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137</w:t>
            </w:r>
          </w:p>
        </w:tc>
        <w:tc>
          <w:tcPr>
            <w:tcW w:w="876" w:type="dxa"/>
            <w:tcBorders>
              <w:top w:val="nil"/>
              <w:left w:val="nil"/>
              <w:bottom w:val="nil"/>
              <w:right w:val="nil"/>
              <w:tl2br w:val="nil"/>
              <w:tr2bl w:val="nil"/>
            </w:tcBorders>
            <w:tcMar>
              <w:left w:w="60" w:type="dxa"/>
              <w:right w:w="60" w:type="dxa"/>
            </w:tcMar>
            <w:vAlign w:val="center"/>
          </w:tcPr>
          <w:p w14:paraId="6AF7F6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5C629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137</w:t>
            </w:r>
          </w:p>
        </w:tc>
        <w:tc>
          <w:tcPr>
            <w:tcW w:w="876" w:type="dxa"/>
            <w:tcBorders>
              <w:top w:val="nil"/>
              <w:left w:val="nil"/>
              <w:bottom w:val="nil"/>
              <w:right w:val="nil"/>
              <w:tl2br w:val="nil"/>
              <w:tr2bl w:val="nil"/>
            </w:tcBorders>
            <w:tcMar>
              <w:left w:w="60" w:type="dxa"/>
              <w:right w:w="60" w:type="dxa"/>
            </w:tcMar>
            <w:vAlign w:val="center"/>
          </w:tcPr>
          <w:p w14:paraId="5E42E7A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7BEA0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71B7C7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137</w:t>
            </w:r>
          </w:p>
        </w:tc>
      </w:tr>
      <w:tr w:rsidR="00807FFE" w14:paraId="21E73D5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1EBD559"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F6498F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Short-term Defence instrument on common procurement</w:t>
            </w:r>
          </w:p>
        </w:tc>
        <w:tc>
          <w:tcPr>
            <w:tcW w:w="875" w:type="dxa"/>
            <w:tcBorders>
              <w:top w:val="nil"/>
              <w:left w:val="nil"/>
              <w:bottom w:val="nil"/>
              <w:right w:val="nil"/>
              <w:tl2br w:val="nil"/>
              <w:tr2bl w:val="nil"/>
            </w:tcBorders>
            <w:tcMar>
              <w:left w:w="60" w:type="dxa"/>
              <w:right w:w="60" w:type="dxa"/>
            </w:tcMar>
            <w:vAlign w:val="center"/>
          </w:tcPr>
          <w:p w14:paraId="514D09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875" w:type="dxa"/>
            <w:tcBorders>
              <w:top w:val="nil"/>
              <w:left w:val="nil"/>
              <w:bottom w:val="nil"/>
              <w:right w:val="nil"/>
              <w:tl2br w:val="nil"/>
              <w:tr2bl w:val="nil"/>
            </w:tcBorders>
            <w:tcMar>
              <w:left w:w="60" w:type="dxa"/>
              <w:right w:w="60" w:type="dxa"/>
            </w:tcMar>
            <w:vAlign w:val="center"/>
          </w:tcPr>
          <w:p w14:paraId="1369E90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611C504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14:paraId="1641C01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373009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DEA1FE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14:paraId="39D5ED2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100</w:t>
            </w:r>
          </w:p>
        </w:tc>
        <w:tc>
          <w:tcPr>
            <w:tcW w:w="876" w:type="dxa"/>
            <w:tcBorders>
              <w:top w:val="nil"/>
              <w:left w:val="nil"/>
              <w:bottom w:val="nil"/>
              <w:right w:val="nil"/>
              <w:tl2br w:val="nil"/>
              <w:tr2bl w:val="nil"/>
            </w:tcBorders>
            <w:tcMar>
              <w:left w:w="60" w:type="dxa"/>
              <w:right w:w="60" w:type="dxa"/>
            </w:tcMar>
            <w:vAlign w:val="center"/>
          </w:tcPr>
          <w:p w14:paraId="5EF7D90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14:paraId="654D65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60</w:t>
            </w:r>
          </w:p>
        </w:tc>
        <w:tc>
          <w:tcPr>
            <w:tcW w:w="876" w:type="dxa"/>
            <w:tcBorders>
              <w:top w:val="nil"/>
              <w:left w:val="nil"/>
              <w:bottom w:val="nil"/>
              <w:right w:val="nil"/>
              <w:tl2br w:val="nil"/>
              <w:tr2bl w:val="nil"/>
            </w:tcBorders>
            <w:tcMar>
              <w:left w:w="60" w:type="dxa"/>
              <w:right w:w="60" w:type="dxa"/>
            </w:tcMar>
            <w:vAlign w:val="center"/>
          </w:tcPr>
          <w:p w14:paraId="6530C4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B02588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440C2B55"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63</w:t>
            </w:r>
          </w:p>
        </w:tc>
      </w:tr>
      <w:tr w:rsidR="00807FFE" w14:paraId="2F3F891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F29D853"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35CC33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Defence Industrial Reinforcement Instrument</w:t>
            </w:r>
          </w:p>
        </w:tc>
        <w:tc>
          <w:tcPr>
            <w:tcW w:w="875" w:type="dxa"/>
            <w:tcBorders>
              <w:top w:val="nil"/>
              <w:left w:val="nil"/>
              <w:bottom w:val="nil"/>
              <w:right w:val="nil"/>
              <w:tl2br w:val="nil"/>
              <w:tr2bl w:val="nil"/>
            </w:tcBorders>
            <w:tcMar>
              <w:left w:w="60" w:type="dxa"/>
              <w:right w:w="60" w:type="dxa"/>
            </w:tcMar>
            <w:vAlign w:val="center"/>
          </w:tcPr>
          <w:p w14:paraId="58B8FC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4BCA018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1FAA78C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9E956F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7BA43A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7FC25C8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5E6448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120</w:t>
            </w:r>
          </w:p>
        </w:tc>
        <w:tc>
          <w:tcPr>
            <w:tcW w:w="876" w:type="dxa"/>
            <w:tcBorders>
              <w:top w:val="nil"/>
              <w:left w:val="nil"/>
              <w:bottom w:val="nil"/>
              <w:right w:val="nil"/>
              <w:tl2br w:val="nil"/>
              <w:tr2bl w:val="nil"/>
            </w:tcBorders>
            <w:tcMar>
              <w:left w:w="60" w:type="dxa"/>
              <w:right w:w="60" w:type="dxa"/>
            </w:tcMar>
            <w:vAlign w:val="center"/>
          </w:tcPr>
          <w:p w14:paraId="482B71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14:paraId="45BEA54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14:paraId="3DD886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69DEC2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14:paraId="6378E03E"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61</w:t>
            </w:r>
          </w:p>
        </w:tc>
      </w:tr>
      <w:tr w:rsidR="00807FFE" w14:paraId="02472A4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37ACD5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9233202"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Defence Industry Programme</w:t>
            </w:r>
          </w:p>
        </w:tc>
        <w:tc>
          <w:tcPr>
            <w:tcW w:w="875" w:type="dxa"/>
            <w:tcBorders>
              <w:top w:val="nil"/>
              <w:left w:val="nil"/>
              <w:bottom w:val="nil"/>
              <w:right w:val="nil"/>
              <w:tl2br w:val="nil"/>
              <w:tr2bl w:val="nil"/>
            </w:tcBorders>
            <w:tcMar>
              <w:left w:w="60" w:type="dxa"/>
              <w:right w:w="60" w:type="dxa"/>
            </w:tcMar>
            <w:vAlign w:val="center"/>
          </w:tcPr>
          <w:p w14:paraId="2642363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5525C9D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25BE42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EFECF1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05A4A3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2DD082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48F800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02FC3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0366E5D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D8CF44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384FD7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FFCDA1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43A33AB"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F2DA6A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560469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2980F67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537CAE8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140C68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D0C7C6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30CB1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912309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9DE7E0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7967B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31A772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95A9B1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3FBAAF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8DAFD7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F0B780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7DCE99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0F9D76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875" w:type="dxa"/>
            <w:tcBorders>
              <w:top w:val="nil"/>
              <w:left w:val="nil"/>
              <w:bottom w:val="nil"/>
              <w:right w:val="nil"/>
              <w:tl2br w:val="nil"/>
              <w:tr2bl w:val="nil"/>
            </w:tcBorders>
            <w:tcMar>
              <w:left w:w="60" w:type="dxa"/>
              <w:right w:w="60" w:type="dxa"/>
            </w:tcMar>
            <w:vAlign w:val="center"/>
          </w:tcPr>
          <w:p w14:paraId="0BC8DE2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875" w:type="dxa"/>
            <w:tcBorders>
              <w:top w:val="nil"/>
              <w:left w:val="nil"/>
              <w:bottom w:val="nil"/>
              <w:right w:val="nil"/>
              <w:tl2br w:val="nil"/>
              <w:tr2bl w:val="nil"/>
            </w:tcBorders>
            <w:tcMar>
              <w:left w:w="60" w:type="dxa"/>
              <w:right w:w="60" w:type="dxa"/>
            </w:tcMar>
            <w:vAlign w:val="center"/>
          </w:tcPr>
          <w:p w14:paraId="33FEB1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875" w:type="dxa"/>
            <w:tcBorders>
              <w:top w:val="nil"/>
              <w:left w:val="nil"/>
              <w:bottom w:val="nil"/>
              <w:right w:val="nil"/>
              <w:tl2br w:val="nil"/>
              <w:tr2bl w:val="nil"/>
            </w:tcBorders>
            <w:tcMar>
              <w:left w:w="60" w:type="dxa"/>
              <w:right w:w="60" w:type="dxa"/>
            </w:tcMar>
            <w:vAlign w:val="center"/>
          </w:tcPr>
          <w:p w14:paraId="4CDEA1E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876" w:type="dxa"/>
            <w:tcBorders>
              <w:top w:val="nil"/>
              <w:left w:val="nil"/>
              <w:bottom w:val="nil"/>
              <w:right w:val="nil"/>
              <w:tl2br w:val="nil"/>
              <w:tr2bl w:val="nil"/>
            </w:tcBorders>
            <w:tcMar>
              <w:left w:w="60" w:type="dxa"/>
              <w:right w:w="60" w:type="dxa"/>
            </w:tcMar>
            <w:vAlign w:val="center"/>
          </w:tcPr>
          <w:p w14:paraId="13F6321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6EC4E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28312C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876" w:type="dxa"/>
            <w:tcBorders>
              <w:top w:val="nil"/>
              <w:left w:val="nil"/>
              <w:bottom w:val="nil"/>
              <w:right w:val="nil"/>
              <w:tl2br w:val="nil"/>
              <w:tr2bl w:val="nil"/>
            </w:tcBorders>
            <w:tcMar>
              <w:left w:w="60" w:type="dxa"/>
              <w:right w:w="60" w:type="dxa"/>
            </w:tcMar>
            <w:vAlign w:val="center"/>
          </w:tcPr>
          <w:p w14:paraId="4973CC6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14:paraId="7A759E8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D4E83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14:paraId="1824CC5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6BEE08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3B9194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51</w:t>
            </w:r>
          </w:p>
        </w:tc>
      </w:tr>
      <w:tr w:rsidR="00807FFE" w14:paraId="7D12D562"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1608B07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666570E2"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5: Security and Defence</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5CA870C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2 633</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44FB8A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010EE53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2 633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37B83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46666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78A0D9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2 742</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637CD2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2 143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5C6465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2847E3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1 839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7FEB20A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7A509F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207B76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1 947</w:t>
            </w:r>
          </w:p>
        </w:tc>
      </w:tr>
      <w:tr w:rsidR="00807FFE" w14:paraId="239E182E"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69105F1"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49DCA57"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046832A4"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2C6B788C"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31FC6AD4"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B9B03EF"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4F2B526"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E1C5E07"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1150099D"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68D820F"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DC351DD"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09287204"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6FAAB80D"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0363B832" w14:textId="77777777" w:rsidR="00807FFE" w:rsidRDefault="00807FFE">
            <w:pPr>
              <w:pStyle w:val="DMETW36742BIPDetailedMFF1Breakdown"/>
              <w:jc w:val="right"/>
              <w:rPr>
                <w:rFonts w:ascii="Verdana" w:eastAsia="Verdana" w:hAnsi="Verdana" w:cs="Verdana"/>
                <w:noProof/>
                <w:color w:val="000000"/>
                <w:sz w:val="16"/>
                <w:lang w:bidi="en-GB"/>
              </w:rPr>
            </w:pPr>
          </w:p>
        </w:tc>
      </w:tr>
      <w:tr w:rsidR="00807FFE" w14:paraId="622B749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312512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6</w:t>
            </w:r>
          </w:p>
        </w:tc>
        <w:tc>
          <w:tcPr>
            <w:tcW w:w="3839" w:type="dxa"/>
            <w:tcBorders>
              <w:top w:val="nil"/>
              <w:left w:val="nil"/>
              <w:bottom w:val="nil"/>
              <w:right w:val="nil"/>
              <w:tl2br w:val="nil"/>
              <w:tr2bl w:val="nil"/>
            </w:tcBorders>
            <w:tcMar>
              <w:left w:w="60" w:type="dxa"/>
              <w:right w:w="60" w:type="dxa"/>
            </w:tcMar>
            <w:vAlign w:val="center"/>
          </w:tcPr>
          <w:p w14:paraId="70C0716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Neighbourhood, Development and International Cooperation Instrument - Global Europe ( NDICI - Global Europe )</w:t>
            </w:r>
          </w:p>
        </w:tc>
        <w:tc>
          <w:tcPr>
            <w:tcW w:w="875" w:type="dxa"/>
            <w:tcBorders>
              <w:top w:val="nil"/>
              <w:left w:val="nil"/>
              <w:bottom w:val="nil"/>
              <w:right w:val="nil"/>
              <w:tl2br w:val="nil"/>
              <w:tr2bl w:val="nil"/>
            </w:tcBorders>
            <w:tcMar>
              <w:left w:w="60" w:type="dxa"/>
              <w:right w:w="60" w:type="dxa"/>
            </w:tcMar>
            <w:vAlign w:val="center"/>
          </w:tcPr>
          <w:p w14:paraId="21CC53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10 891</w:t>
            </w:r>
          </w:p>
        </w:tc>
        <w:tc>
          <w:tcPr>
            <w:tcW w:w="875" w:type="dxa"/>
            <w:tcBorders>
              <w:top w:val="nil"/>
              <w:left w:val="nil"/>
              <w:bottom w:val="nil"/>
              <w:right w:val="nil"/>
              <w:tl2br w:val="nil"/>
              <w:tr2bl w:val="nil"/>
            </w:tcBorders>
            <w:tcMar>
              <w:left w:w="60" w:type="dxa"/>
              <w:right w:w="60" w:type="dxa"/>
            </w:tcMar>
            <w:vAlign w:val="center"/>
          </w:tcPr>
          <w:p w14:paraId="369E76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75" w:type="dxa"/>
            <w:tcBorders>
              <w:top w:val="nil"/>
              <w:left w:val="nil"/>
              <w:bottom w:val="nil"/>
              <w:right w:val="nil"/>
              <w:tl2br w:val="nil"/>
              <w:tr2bl w:val="nil"/>
            </w:tcBorders>
            <w:tcMar>
              <w:left w:w="60" w:type="dxa"/>
              <w:right w:w="60" w:type="dxa"/>
            </w:tcMar>
            <w:vAlign w:val="center"/>
          </w:tcPr>
          <w:p w14:paraId="782B5D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10 911</w:t>
            </w:r>
          </w:p>
        </w:tc>
        <w:tc>
          <w:tcPr>
            <w:tcW w:w="876" w:type="dxa"/>
            <w:tcBorders>
              <w:top w:val="nil"/>
              <w:left w:val="nil"/>
              <w:bottom w:val="nil"/>
              <w:right w:val="nil"/>
              <w:tl2br w:val="nil"/>
              <w:tr2bl w:val="nil"/>
            </w:tcBorders>
            <w:tcMar>
              <w:left w:w="60" w:type="dxa"/>
              <w:right w:w="60" w:type="dxa"/>
            </w:tcMar>
            <w:vAlign w:val="center"/>
          </w:tcPr>
          <w:p w14:paraId="32BC3D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736</w:t>
            </w:r>
          </w:p>
        </w:tc>
        <w:tc>
          <w:tcPr>
            <w:tcW w:w="876" w:type="dxa"/>
            <w:tcBorders>
              <w:top w:val="nil"/>
              <w:left w:val="nil"/>
              <w:bottom w:val="nil"/>
              <w:right w:val="nil"/>
              <w:tl2br w:val="nil"/>
              <w:tr2bl w:val="nil"/>
            </w:tcBorders>
            <w:tcMar>
              <w:left w:w="60" w:type="dxa"/>
              <w:right w:w="60" w:type="dxa"/>
            </w:tcMar>
            <w:vAlign w:val="center"/>
          </w:tcPr>
          <w:p w14:paraId="7A921D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645</w:t>
            </w:r>
          </w:p>
        </w:tc>
        <w:tc>
          <w:tcPr>
            <w:tcW w:w="876" w:type="dxa"/>
            <w:tcBorders>
              <w:top w:val="nil"/>
              <w:left w:val="nil"/>
              <w:bottom w:val="nil"/>
              <w:right w:val="nil"/>
              <w:tl2br w:val="nil"/>
              <w:tr2bl w:val="nil"/>
            </w:tcBorders>
            <w:tcMar>
              <w:left w:w="60" w:type="dxa"/>
              <w:right w:w="60" w:type="dxa"/>
            </w:tcMar>
            <w:vAlign w:val="center"/>
          </w:tcPr>
          <w:p w14:paraId="528156D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12 292</w:t>
            </w:r>
          </w:p>
        </w:tc>
        <w:tc>
          <w:tcPr>
            <w:tcW w:w="876" w:type="dxa"/>
            <w:tcBorders>
              <w:top w:val="nil"/>
              <w:left w:val="nil"/>
              <w:bottom w:val="nil"/>
              <w:right w:val="nil"/>
              <w:tl2br w:val="nil"/>
              <w:tr2bl w:val="nil"/>
            </w:tcBorders>
            <w:tcMar>
              <w:left w:w="60" w:type="dxa"/>
              <w:right w:w="60" w:type="dxa"/>
            </w:tcMar>
            <w:vAlign w:val="center"/>
          </w:tcPr>
          <w:p w14:paraId="46EE47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9 672</w:t>
            </w:r>
          </w:p>
        </w:tc>
        <w:tc>
          <w:tcPr>
            <w:tcW w:w="876" w:type="dxa"/>
            <w:tcBorders>
              <w:top w:val="nil"/>
              <w:left w:val="nil"/>
              <w:bottom w:val="nil"/>
              <w:right w:val="nil"/>
              <w:tl2br w:val="nil"/>
              <w:tr2bl w:val="nil"/>
            </w:tcBorders>
            <w:tcMar>
              <w:left w:w="60" w:type="dxa"/>
              <w:right w:w="60" w:type="dxa"/>
            </w:tcMar>
            <w:vAlign w:val="center"/>
          </w:tcPr>
          <w:p w14:paraId="3E2E9DD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121</w:t>
            </w:r>
          </w:p>
        </w:tc>
        <w:tc>
          <w:tcPr>
            <w:tcW w:w="876" w:type="dxa"/>
            <w:tcBorders>
              <w:top w:val="nil"/>
              <w:left w:val="nil"/>
              <w:bottom w:val="nil"/>
              <w:right w:val="nil"/>
              <w:tl2br w:val="nil"/>
              <w:tr2bl w:val="nil"/>
            </w:tcBorders>
            <w:tcMar>
              <w:left w:w="60" w:type="dxa"/>
              <w:right w:w="60" w:type="dxa"/>
            </w:tcMar>
            <w:vAlign w:val="center"/>
          </w:tcPr>
          <w:p w14:paraId="1D68FB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9 793</w:t>
            </w:r>
          </w:p>
        </w:tc>
        <w:tc>
          <w:tcPr>
            <w:tcW w:w="876" w:type="dxa"/>
            <w:tcBorders>
              <w:top w:val="nil"/>
              <w:left w:val="nil"/>
              <w:bottom w:val="nil"/>
              <w:right w:val="nil"/>
              <w:tl2br w:val="nil"/>
              <w:tr2bl w:val="nil"/>
            </w:tcBorders>
            <w:tcMar>
              <w:left w:w="60" w:type="dxa"/>
              <w:right w:w="60" w:type="dxa"/>
            </w:tcMar>
            <w:vAlign w:val="center"/>
          </w:tcPr>
          <w:p w14:paraId="5F74B87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14:paraId="1BD52EF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919</w:t>
            </w:r>
          </w:p>
        </w:tc>
        <w:tc>
          <w:tcPr>
            <w:tcW w:w="876" w:type="dxa"/>
            <w:tcBorders>
              <w:top w:val="nil"/>
              <w:left w:val="nil"/>
              <w:bottom w:val="nil"/>
              <w:right w:val="nil"/>
              <w:tl2br w:val="nil"/>
              <w:tr2bl w:val="nil"/>
            </w:tcBorders>
            <w:tcMar>
              <w:left w:w="60" w:type="dxa"/>
              <w:right w:w="60" w:type="dxa"/>
            </w:tcMar>
            <w:vAlign w:val="center"/>
          </w:tcPr>
          <w:p w14:paraId="5C77274C"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10 782</w:t>
            </w:r>
          </w:p>
        </w:tc>
      </w:tr>
      <w:tr w:rsidR="00807FFE" w14:paraId="0ED4D3D0"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824808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B62787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Instrument for International Nuclear Safety Cooperation (INSC)</w:t>
            </w:r>
          </w:p>
        </w:tc>
        <w:tc>
          <w:tcPr>
            <w:tcW w:w="875" w:type="dxa"/>
            <w:tcBorders>
              <w:top w:val="nil"/>
              <w:left w:val="nil"/>
              <w:bottom w:val="nil"/>
              <w:right w:val="nil"/>
              <w:tl2br w:val="nil"/>
              <w:tr2bl w:val="nil"/>
            </w:tcBorders>
            <w:tcMar>
              <w:left w:w="60" w:type="dxa"/>
              <w:right w:w="60" w:type="dxa"/>
            </w:tcMar>
            <w:vAlign w:val="center"/>
          </w:tcPr>
          <w:p w14:paraId="3BB3DE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875" w:type="dxa"/>
            <w:tcBorders>
              <w:top w:val="nil"/>
              <w:left w:val="nil"/>
              <w:bottom w:val="nil"/>
              <w:right w:val="nil"/>
              <w:tl2br w:val="nil"/>
              <w:tr2bl w:val="nil"/>
            </w:tcBorders>
            <w:tcMar>
              <w:left w:w="60" w:type="dxa"/>
              <w:right w:w="60" w:type="dxa"/>
            </w:tcMar>
            <w:vAlign w:val="center"/>
          </w:tcPr>
          <w:p w14:paraId="7E73238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226320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876" w:type="dxa"/>
            <w:tcBorders>
              <w:top w:val="nil"/>
              <w:left w:val="nil"/>
              <w:bottom w:val="nil"/>
              <w:right w:val="nil"/>
              <w:tl2br w:val="nil"/>
              <w:tr2bl w:val="nil"/>
            </w:tcBorders>
            <w:tcMar>
              <w:left w:w="60" w:type="dxa"/>
              <w:right w:w="60" w:type="dxa"/>
            </w:tcMar>
            <w:vAlign w:val="center"/>
          </w:tcPr>
          <w:p w14:paraId="2E5B186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7C509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14:paraId="5D0B6A8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66</w:t>
            </w:r>
          </w:p>
        </w:tc>
        <w:tc>
          <w:tcPr>
            <w:tcW w:w="876" w:type="dxa"/>
            <w:tcBorders>
              <w:top w:val="nil"/>
              <w:left w:val="nil"/>
              <w:bottom w:val="nil"/>
              <w:right w:val="nil"/>
              <w:tl2br w:val="nil"/>
              <w:tr2bl w:val="nil"/>
            </w:tcBorders>
            <w:tcMar>
              <w:left w:w="60" w:type="dxa"/>
              <w:right w:w="60" w:type="dxa"/>
            </w:tcMar>
            <w:vAlign w:val="center"/>
          </w:tcPr>
          <w:p w14:paraId="1A02282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14:paraId="5FCAAC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7D5883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876" w:type="dxa"/>
            <w:tcBorders>
              <w:top w:val="nil"/>
              <w:left w:val="nil"/>
              <w:bottom w:val="nil"/>
              <w:right w:val="nil"/>
              <w:tl2br w:val="nil"/>
              <w:tr2bl w:val="nil"/>
            </w:tcBorders>
            <w:tcMar>
              <w:left w:w="60" w:type="dxa"/>
              <w:right w:w="60" w:type="dxa"/>
            </w:tcMar>
            <w:vAlign w:val="center"/>
          </w:tcPr>
          <w:p w14:paraId="47C9B25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FCAFFF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14:paraId="49CB1441"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69</w:t>
            </w:r>
          </w:p>
        </w:tc>
      </w:tr>
      <w:tr w:rsidR="00807FFE" w14:paraId="5B1771EC"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5CE9002"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0774E1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Humanitarian Aid (HUMA)</w:t>
            </w:r>
          </w:p>
        </w:tc>
        <w:tc>
          <w:tcPr>
            <w:tcW w:w="875" w:type="dxa"/>
            <w:tcBorders>
              <w:top w:val="nil"/>
              <w:left w:val="nil"/>
              <w:bottom w:val="nil"/>
              <w:right w:val="nil"/>
              <w:tl2br w:val="nil"/>
              <w:tr2bl w:val="nil"/>
            </w:tcBorders>
            <w:tcMar>
              <w:left w:w="60" w:type="dxa"/>
              <w:right w:w="60" w:type="dxa"/>
            </w:tcMar>
            <w:vAlign w:val="center"/>
          </w:tcPr>
          <w:p w14:paraId="6BFC302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1 944</w:t>
            </w:r>
          </w:p>
        </w:tc>
        <w:tc>
          <w:tcPr>
            <w:tcW w:w="875" w:type="dxa"/>
            <w:tcBorders>
              <w:top w:val="nil"/>
              <w:left w:val="nil"/>
              <w:bottom w:val="nil"/>
              <w:right w:val="nil"/>
              <w:tl2br w:val="nil"/>
              <w:tr2bl w:val="nil"/>
            </w:tcBorders>
            <w:tcMar>
              <w:left w:w="60" w:type="dxa"/>
              <w:right w:w="60" w:type="dxa"/>
            </w:tcMar>
            <w:vAlign w:val="center"/>
          </w:tcPr>
          <w:p w14:paraId="44D154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625</w:t>
            </w:r>
          </w:p>
        </w:tc>
        <w:tc>
          <w:tcPr>
            <w:tcW w:w="875" w:type="dxa"/>
            <w:tcBorders>
              <w:top w:val="nil"/>
              <w:left w:val="nil"/>
              <w:bottom w:val="nil"/>
              <w:right w:val="nil"/>
              <w:tl2br w:val="nil"/>
              <w:tr2bl w:val="nil"/>
            </w:tcBorders>
            <w:tcMar>
              <w:left w:w="60" w:type="dxa"/>
              <w:right w:w="60" w:type="dxa"/>
            </w:tcMar>
            <w:vAlign w:val="center"/>
          </w:tcPr>
          <w:p w14:paraId="2DADA70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2 569</w:t>
            </w:r>
          </w:p>
        </w:tc>
        <w:tc>
          <w:tcPr>
            <w:tcW w:w="876" w:type="dxa"/>
            <w:tcBorders>
              <w:top w:val="nil"/>
              <w:left w:val="nil"/>
              <w:bottom w:val="nil"/>
              <w:right w:val="nil"/>
              <w:tl2br w:val="nil"/>
              <w:tr2bl w:val="nil"/>
            </w:tcBorders>
            <w:tcMar>
              <w:left w:w="60" w:type="dxa"/>
              <w:right w:w="60" w:type="dxa"/>
            </w:tcMar>
            <w:vAlign w:val="center"/>
          </w:tcPr>
          <w:p w14:paraId="79ED06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5267DA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14:paraId="00AF69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2 588</w:t>
            </w:r>
          </w:p>
        </w:tc>
        <w:tc>
          <w:tcPr>
            <w:tcW w:w="876" w:type="dxa"/>
            <w:tcBorders>
              <w:top w:val="nil"/>
              <w:left w:val="nil"/>
              <w:bottom w:val="nil"/>
              <w:right w:val="nil"/>
              <w:tl2br w:val="nil"/>
              <w:tr2bl w:val="nil"/>
            </w:tcBorders>
            <w:tcMar>
              <w:left w:w="60" w:type="dxa"/>
              <w:right w:w="60" w:type="dxa"/>
            </w:tcMar>
            <w:vAlign w:val="center"/>
          </w:tcPr>
          <w:p w14:paraId="64669B1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1 860</w:t>
            </w:r>
          </w:p>
        </w:tc>
        <w:tc>
          <w:tcPr>
            <w:tcW w:w="876" w:type="dxa"/>
            <w:tcBorders>
              <w:top w:val="nil"/>
              <w:left w:val="nil"/>
              <w:bottom w:val="nil"/>
              <w:right w:val="nil"/>
              <w:tl2br w:val="nil"/>
              <w:tr2bl w:val="nil"/>
            </w:tcBorders>
            <w:tcMar>
              <w:left w:w="60" w:type="dxa"/>
              <w:right w:w="60" w:type="dxa"/>
            </w:tcMar>
            <w:vAlign w:val="center"/>
          </w:tcPr>
          <w:p w14:paraId="4F579F9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610</w:t>
            </w:r>
          </w:p>
        </w:tc>
        <w:tc>
          <w:tcPr>
            <w:tcW w:w="876" w:type="dxa"/>
            <w:tcBorders>
              <w:top w:val="nil"/>
              <w:left w:val="nil"/>
              <w:bottom w:val="nil"/>
              <w:right w:val="nil"/>
              <w:tl2br w:val="nil"/>
              <w:tr2bl w:val="nil"/>
            </w:tcBorders>
            <w:tcMar>
              <w:left w:w="60" w:type="dxa"/>
              <w:right w:w="60" w:type="dxa"/>
            </w:tcMar>
            <w:vAlign w:val="center"/>
          </w:tcPr>
          <w:p w14:paraId="6F921C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2 470</w:t>
            </w:r>
          </w:p>
        </w:tc>
        <w:tc>
          <w:tcPr>
            <w:tcW w:w="876" w:type="dxa"/>
            <w:tcBorders>
              <w:top w:val="nil"/>
              <w:left w:val="nil"/>
              <w:bottom w:val="nil"/>
              <w:right w:val="nil"/>
              <w:tl2br w:val="nil"/>
              <w:tr2bl w:val="nil"/>
            </w:tcBorders>
            <w:tcMar>
              <w:left w:w="60" w:type="dxa"/>
              <w:right w:w="60" w:type="dxa"/>
            </w:tcMar>
            <w:vAlign w:val="center"/>
          </w:tcPr>
          <w:p w14:paraId="535F207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14:paraId="036E93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442F067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2 493</w:t>
            </w:r>
          </w:p>
        </w:tc>
      </w:tr>
      <w:tr w:rsidR="00807FFE" w14:paraId="33BB3B1F"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D7A4626"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6E1EA5C"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Common Foreign and Security Policy (CFSP)</w:t>
            </w:r>
          </w:p>
        </w:tc>
        <w:tc>
          <w:tcPr>
            <w:tcW w:w="875" w:type="dxa"/>
            <w:tcBorders>
              <w:top w:val="nil"/>
              <w:left w:val="nil"/>
              <w:bottom w:val="nil"/>
              <w:right w:val="nil"/>
              <w:tl2br w:val="nil"/>
              <w:tr2bl w:val="nil"/>
            </w:tcBorders>
            <w:tcMar>
              <w:left w:w="60" w:type="dxa"/>
              <w:right w:w="60" w:type="dxa"/>
            </w:tcMar>
            <w:vAlign w:val="center"/>
          </w:tcPr>
          <w:p w14:paraId="63E89A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394</w:t>
            </w:r>
          </w:p>
        </w:tc>
        <w:tc>
          <w:tcPr>
            <w:tcW w:w="875" w:type="dxa"/>
            <w:tcBorders>
              <w:top w:val="nil"/>
              <w:left w:val="nil"/>
              <w:bottom w:val="nil"/>
              <w:right w:val="nil"/>
              <w:tl2br w:val="nil"/>
              <w:tr2bl w:val="nil"/>
            </w:tcBorders>
            <w:tcMar>
              <w:left w:w="60" w:type="dxa"/>
              <w:right w:w="60" w:type="dxa"/>
            </w:tcMar>
            <w:vAlign w:val="center"/>
          </w:tcPr>
          <w:p w14:paraId="6D8EFEB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1CF1A7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393</w:t>
            </w:r>
          </w:p>
        </w:tc>
        <w:tc>
          <w:tcPr>
            <w:tcW w:w="876" w:type="dxa"/>
            <w:tcBorders>
              <w:top w:val="nil"/>
              <w:left w:val="nil"/>
              <w:bottom w:val="nil"/>
              <w:right w:val="nil"/>
              <w:tl2br w:val="nil"/>
              <w:tr2bl w:val="nil"/>
            </w:tcBorders>
            <w:tcMar>
              <w:left w:w="60" w:type="dxa"/>
              <w:right w:w="60" w:type="dxa"/>
            </w:tcMar>
            <w:vAlign w:val="center"/>
          </w:tcPr>
          <w:p w14:paraId="2136E22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18DEDD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876" w:type="dxa"/>
            <w:tcBorders>
              <w:top w:val="nil"/>
              <w:left w:val="nil"/>
              <w:bottom w:val="nil"/>
              <w:right w:val="nil"/>
              <w:tl2br w:val="nil"/>
              <w:tr2bl w:val="nil"/>
            </w:tcBorders>
            <w:tcMar>
              <w:left w:w="60" w:type="dxa"/>
              <w:right w:w="60" w:type="dxa"/>
            </w:tcMar>
            <w:vAlign w:val="center"/>
          </w:tcPr>
          <w:p w14:paraId="4CEA59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429</w:t>
            </w:r>
          </w:p>
        </w:tc>
        <w:tc>
          <w:tcPr>
            <w:tcW w:w="876" w:type="dxa"/>
            <w:tcBorders>
              <w:top w:val="nil"/>
              <w:left w:val="nil"/>
              <w:bottom w:val="nil"/>
              <w:right w:val="nil"/>
              <w:tl2br w:val="nil"/>
              <w:tr2bl w:val="nil"/>
            </w:tcBorders>
            <w:tcMar>
              <w:left w:w="60" w:type="dxa"/>
              <w:right w:w="60" w:type="dxa"/>
            </w:tcMar>
            <w:vAlign w:val="center"/>
          </w:tcPr>
          <w:p w14:paraId="5585C6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394</w:t>
            </w:r>
          </w:p>
        </w:tc>
        <w:tc>
          <w:tcPr>
            <w:tcW w:w="876" w:type="dxa"/>
            <w:tcBorders>
              <w:top w:val="nil"/>
              <w:left w:val="nil"/>
              <w:bottom w:val="nil"/>
              <w:right w:val="nil"/>
              <w:tl2br w:val="nil"/>
              <w:tr2bl w:val="nil"/>
            </w:tcBorders>
            <w:tcMar>
              <w:left w:w="60" w:type="dxa"/>
              <w:right w:w="60" w:type="dxa"/>
            </w:tcMar>
            <w:vAlign w:val="center"/>
          </w:tcPr>
          <w:p w14:paraId="0821DE7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14:paraId="165F414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399</w:t>
            </w:r>
          </w:p>
        </w:tc>
        <w:tc>
          <w:tcPr>
            <w:tcW w:w="876" w:type="dxa"/>
            <w:tcBorders>
              <w:top w:val="nil"/>
              <w:left w:val="nil"/>
              <w:bottom w:val="nil"/>
              <w:right w:val="nil"/>
              <w:tl2br w:val="nil"/>
              <w:tr2bl w:val="nil"/>
            </w:tcBorders>
            <w:tcMar>
              <w:left w:w="60" w:type="dxa"/>
              <w:right w:w="60" w:type="dxa"/>
            </w:tcMar>
            <w:vAlign w:val="center"/>
          </w:tcPr>
          <w:p w14:paraId="5F5761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363B0A7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14:paraId="120DBA9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439</w:t>
            </w:r>
          </w:p>
        </w:tc>
      </w:tr>
      <w:tr w:rsidR="00807FFE" w14:paraId="191618A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0D7E41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554FE72"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Overseas Countries and Territories (OCT) (including Greenland)</w:t>
            </w:r>
          </w:p>
        </w:tc>
        <w:tc>
          <w:tcPr>
            <w:tcW w:w="875" w:type="dxa"/>
            <w:tcBorders>
              <w:top w:val="nil"/>
              <w:left w:val="nil"/>
              <w:bottom w:val="nil"/>
              <w:right w:val="nil"/>
              <w:tl2br w:val="nil"/>
              <w:tr2bl w:val="nil"/>
            </w:tcBorders>
            <w:tcMar>
              <w:left w:w="60" w:type="dxa"/>
              <w:right w:w="60" w:type="dxa"/>
            </w:tcMar>
            <w:vAlign w:val="center"/>
          </w:tcPr>
          <w:p w14:paraId="08B243F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875" w:type="dxa"/>
            <w:tcBorders>
              <w:top w:val="nil"/>
              <w:left w:val="nil"/>
              <w:bottom w:val="nil"/>
              <w:right w:val="nil"/>
              <w:tl2br w:val="nil"/>
              <w:tr2bl w:val="nil"/>
            </w:tcBorders>
            <w:tcMar>
              <w:left w:w="60" w:type="dxa"/>
              <w:right w:w="60" w:type="dxa"/>
            </w:tcMar>
            <w:vAlign w:val="center"/>
          </w:tcPr>
          <w:p w14:paraId="39E536F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29796C7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876" w:type="dxa"/>
            <w:tcBorders>
              <w:top w:val="nil"/>
              <w:left w:val="nil"/>
              <w:bottom w:val="nil"/>
              <w:right w:val="nil"/>
              <w:tl2br w:val="nil"/>
              <w:tr2bl w:val="nil"/>
            </w:tcBorders>
            <w:tcMar>
              <w:left w:w="60" w:type="dxa"/>
              <w:right w:w="60" w:type="dxa"/>
            </w:tcMar>
            <w:vAlign w:val="center"/>
          </w:tcPr>
          <w:p w14:paraId="3243759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6103D41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14:paraId="6AEC37D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108</w:t>
            </w:r>
          </w:p>
        </w:tc>
        <w:tc>
          <w:tcPr>
            <w:tcW w:w="876" w:type="dxa"/>
            <w:tcBorders>
              <w:top w:val="nil"/>
              <w:left w:val="nil"/>
              <w:bottom w:val="nil"/>
              <w:right w:val="nil"/>
              <w:tl2br w:val="nil"/>
              <w:tr2bl w:val="nil"/>
            </w:tcBorders>
            <w:tcMar>
              <w:left w:w="60" w:type="dxa"/>
              <w:right w:w="60" w:type="dxa"/>
            </w:tcMar>
            <w:vAlign w:val="center"/>
          </w:tcPr>
          <w:p w14:paraId="032729D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76</w:t>
            </w:r>
          </w:p>
        </w:tc>
        <w:tc>
          <w:tcPr>
            <w:tcW w:w="876" w:type="dxa"/>
            <w:tcBorders>
              <w:top w:val="nil"/>
              <w:left w:val="nil"/>
              <w:bottom w:val="nil"/>
              <w:right w:val="nil"/>
              <w:tl2br w:val="nil"/>
              <w:tr2bl w:val="nil"/>
            </w:tcBorders>
            <w:tcMar>
              <w:left w:w="60" w:type="dxa"/>
              <w:right w:w="60" w:type="dxa"/>
            </w:tcMar>
            <w:vAlign w:val="center"/>
          </w:tcPr>
          <w:p w14:paraId="107DFFB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876" w:type="dxa"/>
            <w:tcBorders>
              <w:top w:val="nil"/>
              <w:left w:val="nil"/>
              <w:bottom w:val="nil"/>
              <w:right w:val="nil"/>
              <w:tl2br w:val="nil"/>
              <w:tr2bl w:val="nil"/>
            </w:tcBorders>
            <w:tcMar>
              <w:left w:w="60" w:type="dxa"/>
              <w:right w:w="60" w:type="dxa"/>
            </w:tcMar>
            <w:vAlign w:val="center"/>
          </w:tcPr>
          <w:p w14:paraId="4CC8EA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14:paraId="52DAFB7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35EEC33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23C35EBC"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90</w:t>
            </w:r>
          </w:p>
        </w:tc>
      </w:tr>
      <w:tr w:rsidR="00807FFE" w14:paraId="4601AD6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FBCAE02"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46C7FC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MFA+</w:t>
            </w:r>
          </w:p>
        </w:tc>
        <w:tc>
          <w:tcPr>
            <w:tcW w:w="875" w:type="dxa"/>
            <w:tcBorders>
              <w:top w:val="nil"/>
              <w:left w:val="nil"/>
              <w:bottom w:val="nil"/>
              <w:right w:val="nil"/>
              <w:tl2br w:val="nil"/>
              <w:tr2bl w:val="nil"/>
            </w:tcBorders>
            <w:tcMar>
              <w:left w:w="60" w:type="dxa"/>
              <w:right w:w="60" w:type="dxa"/>
            </w:tcMar>
            <w:vAlign w:val="center"/>
          </w:tcPr>
          <w:p w14:paraId="516EFBA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9B890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880FB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741EFB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795D0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591</w:t>
            </w:r>
          </w:p>
        </w:tc>
        <w:tc>
          <w:tcPr>
            <w:tcW w:w="876" w:type="dxa"/>
            <w:tcBorders>
              <w:top w:val="nil"/>
              <w:left w:val="nil"/>
              <w:bottom w:val="nil"/>
              <w:right w:val="nil"/>
              <w:tl2br w:val="nil"/>
              <w:tr2bl w:val="nil"/>
            </w:tcBorders>
            <w:tcMar>
              <w:left w:w="60" w:type="dxa"/>
              <w:right w:w="60" w:type="dxa"/>
            </w:tcMar>
            <w:vAlign w:val="center"/>
          </w:tcPr>
          <w:p w14:paraId="0971EDF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591</w:t>
            </w:r>
          </w:p>
        </w:tc>
        <w:tc>
          <w:tcPr>
            <w:tcW w:w="876" w:type="dxa"/>
            <w:tcBorders>
              <w:top w:val="nil"/>
              <w:left w:val="nil"/>
              <w:bottom w:val="nil"/>
              <w:right w:val="nil"/>
              <w:tl2br w:val="nil"/>
              <w:tr2bl w:val="nil"/>
            </w:tcBorders>
            <w:tcMar>
              <w:left w:w="60" w:type="dxa"/>
              <w:right w:w="60" w:type="dxa"/>
            </w:tcMar>
            <w:vAlign w:val="center"/>
          </w:tcPr>
          <w:p w14:paraId="72C39E2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5984F6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F2B3C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8CFD1E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7B4B83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679</w:t>
            </w:r>
          </w:p>
        </w:tc>
        <w:tc>
          <w:tcPr>
            <w:tcW w:w="876" w:type="dxa"/>
            <w:tcBorders>
              <w:top w:val="nil"/>
              <w:left w:val="nil"/>
              <w:bottom w:val="nil"/>
              <w:right w:val="nil"/>
              <w:tl2br w:val="nil"/>
              <w:tr2bl w:val="nil"/>
            </w:tcBorders>
            <w:tcMar>
              <w:left w:w="60" w:type="dxa"/>
              <w:right w:w="60" w:type="dxa"/>
            </w:tcMar>
            <w:vAlign w:val="center"/>
          </w:tcPr>
          <w:p w14:paraId="1B0C6815"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680</w:t>
            </w:r>
          </w:p>
        </w:tc>
      </w:tr>
      <w:tr w:rsidR="00807FFE" w14:paraId="1EDBA12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965C54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04DD02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Ukraine Loan Cooperation Mechanism</w:t>
            </w:r>
          </w:p>
        </w:tc>
        <w:tc>
          <w:tcPr>
            <w:tcW w:w="875" w:type="dxa"/>
            <w:tcBorders>
              <w:top w:val="nil"/>
              <w:left w:val="nil"/>
              <w:bottom w:val="nil"/>
              <w:right w:val="nil"/>
              <w:tl2br w:val="nil"/>
              <w:tr2bl w:val="nil"/>
            </w:tcBorders>
            <w:tcMar>
              <w:left w:w="60" w:type="dxa"/>
              <w:right w:w="60" w:type="dxa"/>
            </w:tcMar>
            <w:vAlign w:val="center"/>
          </w:tcPr>
          <w:p w14:paraId="2436DA6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6764AB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1C0ACBA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533CD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F5481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14:paraId="37E6154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14:paraId="10CA04D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12804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75185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D731A2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3BF6C2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14:paraId="61A555D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1 535</w:t>
            </w:r>
          </w:p>
        </w:tc>
      </w:tr>
      <w:tr w:rsidR="00807FFE" w14:paraId="1980EDA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AC232E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727AAA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Other actions</w:t>
            </w:r>
          </w:p>
        </w:tc>
        <w:tc>
          <w:tcPr>
            <w:tcW w:w="875" w:type="dxa"/>
            <w:tcBorders>
              <w:top w:val="nil"/>
              <w:left w:val="nil"/>
              <w:bottom w:val="nil"/>
              <w:right w:val="nil"/>
              <w:tl2br w:val="nil"/>
              <w:tr2bl w:val="nil"/>
            </w:tcBorders>
            <w:tcMar>
              <w:left w:w="60" w:type="dxa"/>
              <w:right w:w="60" w:type="dxa"/>
            </w:tcMar>
            <w:vAlign w:val="center"/>
          </w:tcPr>
          <w:p w14:paraId="07CB71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148</w:t>
            </w:r>
          </w:p>
        </w:tc>
        <w:tc>
          <w:tcPr>
            <w:tcW w:w="875" w:type="dxa"/>
            <w:tcBorders>
              <w:top w:val="nil"/>
              <w:left w:val="nil"/>
              <w:bottom w:val="nil"/>
              <w:right w:val="nil"/>
              <w:tl2br w:val="nil"/>
              <w:tr2bl w:val="nil"/>
            </w:tcBorders>
            <w:tcMar>
              <w:left w:w="60" w:type="dxa"/>
              <w:right w:w="60" w:type="dxa"/>
            </w:tcMar>
            <w:vAlign w:val="center"/>
          </w:tcPr>
          <w:p w14:paraId="22D8012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(60)</w:t>
            </w:r>
          </w:p>
        </w:tc>
        <w:tc>
          <w:tcPr>
            <w:tcW w:w="875" w:type="dxa"/>
            <w:tcBorders>
              <w:top w:val="nil"/>
              <w:left w:val="nil"/>
              <w:bottom w:val="nil"/>
              <w:right w:val="nil"/>
              <w:tl2br w:val="nil"/>
              <w:tr2bl w:val="nil"/>
            </w:tcBorders>
            <w:tcMar>
              <w:left w:w="60" w:type="dxa"/>
              <w:right w:w="60" w:type="dxa"/>
            </w:tcMar>
            <w:vAlign w:val="center"/>
          </w:tcPr>
          <w:p w14:paraId="53B23C8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876" w:type="dxa"/>
            <w:tcBorders>
              <w:top w:val="nil"/>
              <w:left w:val="nil"/>
              <w:bottom w:val="nil"/>
              <w:right w:val="nil"/>
              <w:tl2br w:val="nil"/>
              <w:tr2bl w:val="nil"/>
            </w:tcBorders>
            <w:tcMar>
              <w:left w:w="60" w:type="dxa"/>
              <w:right w:w="60" w:type="dxa"/>
            </w:tcMar>
            <w:vAlign w:val="center"/>
          </w:tcPr>
          <w:p w14:paraId="77C888F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33C477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A8EC6A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876" w:type="dxa"/>
            <w:tcBorders>
              <w:top w:val="nil"/>
              <w:left w:val="nil"/>
              <w:bottom w:val="nil"/>
              <w:right w:val="nil"/>
              <w:tl2br w:val="nil"/>
              <w:tr2bl w:val="nil"/>
            </w:tcBorders>
            <w:tcMar>
              <w:left w:w="60" w:type="dxa"/>
              <w:right w:w="60" w:type="dxa"/>
            </w:tcMar>
            <w:vAlign w:val="center"/>
          </w:tcPr>
          <w:p w14:paraId="7267920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108</w:t>
            </w:r>
          </w:p>
        </w:tc>
        <w:tc>
          <w:tcPr>
            <w:tcW w:w="876" w:type="dxa"/>
            <w:tcBorders>
              <w:top w:val="nil"/>
              <w:left w:val="nil"/>
              <w:bottom w:val="nil"/>
              <w:right w:val="nil"/>
              <w:tl2br w:val="nil"/>
              <w:tr2bl w:val="nil"/>
            </w:tcBorders>
            <w:tcMar>
              <w:left w:w="60" w:type="dxa"/>
              <w:right w:w="60" w:type="dxa"/>
            </w:tcMar>
            <w:vAlign w:val="center"/>
          </w:tcPr>
          <w:p w14:paraId="0A5A6B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14:paraId="49D1DD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876" w:type="dxa"/>
            <w:tcBorders>
              <w:top w:val="nil"/>
              <w:left w:val="nil"/>
              <w:bottom w:val="nil"/>
              <w:right w:val="nil"/>
              <w:tl2br w:val="nil"/>
              <w:tr2bl w:val="nil"/>
            </w:tcBorders>
            <w:tcMar>
              <w:left w:w="60" w:type="dxa"/>
              <w:right w:w="60" w:type="dxa"/>
            </w:tcMar>
            <w:vAlign w:val="center"/>
          </w:tcPr>
          <w:p w14:paraId="1321E0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5A9B3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2A690210"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48</w:t>
            </w:r>
          </w:p>
        </w:tc>
      </w:tr>
      <w:tr w:rsidR="00807FFE" w14:paraId="7206295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22A6209"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EFFAD7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75" w:type="dxa"/>
            <w:tcBorders>
              <w:top w:val="nil"/>
              <w:left w:val="nil"/>
              <w:bottom w:val="nil"/>
              <w:right w:val="nil"/>
              <w:tl2br w:val="nil"/>
              <w:tr2bl w:val="nil"/>
            </w:tcBorders>
            <w:tcMar>
              <w:left w:w="60" w:type="dxa"/>
              <w:right w:w="60" w:type="dxa"/>
            </w:tcMar>
            <w:vAlign w:val="center"/>
          </w:tcPr>
          <w:p w14:paraId="21AF736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62EBCD0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0B245FE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D7EFD4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BC74BA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7AE551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602D36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57603C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B7B6A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8A2DAB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AAE565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D32D44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B5A6B5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16DCDDE"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C7FABD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875" w:type="dxa"/>
            <w:tcBorders>
              <w:top w:val="nil"/>
              <w:left w:val="nil"/>
              <w:bottom w:val="nil"/>
              <w:right w:val="nil"/>
              <w:tl2br w:val="nil"/>
              <w:tr2bl w:val="nil"/>
            </w:tcBorders>
            <w:tcMar>
              <w:left w:w="60" w:type="dxa"/>
              <w:right w:w="60" w:type="dxa"/>
            </w:tcMar>
            <w:vAlign w:val="center"/>
          </w:tcPr>
          <w:p w14:paraId="68F144F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875" w:type="dxa"/>
            <w:tcBorders>
              <w:top w:val="nil"/>
              <w:left w:val="nil"/>
              <w:bottom w:val="nil"/>
              <w:right w:val="nil"/>
              <w:tl2br w:val="nil"/>
              <w:tr2bl w:val="nil"/>
            </w:tcBorders>
            <w:tcMar>
              <w:left w:w="60" w:type="dxa"/>
              <w:right w:w="60" w:type="dxa"/>
            </w:tcMar>
            <w:vAlign w:val="center"/>
          </w:tcPr>
          <w:p w14:paraId="0AF0292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3A677A1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14:paraId="2EC36B5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9F8EDA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DC1D05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14:paraId="0F63A8E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D53580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1658B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FACDC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5863EE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A28D403"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F89230E"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6D4CE83"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D032C4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75" w:type="dxa"/>
            <w:tcBorders>
              <w:top w:val="nil"/>
              <w:left w:val="nil"/>
              <w:bottom w:val="nil"/>
              <w:right w:val="nil"/>
              <w:tl2br w:val="nil"/>
              <w:tr2bl w:val="nil"/>
            </w:tcBorders>
            <w:tcMar>
              <w:left w:w="60" w:type="dxa"/>
              <w:right w:w="60" w:type="dxa"/>
            </w:tcMar>
            <w:vAlign w:val="center"/>
          </w:tcPr>
          <w:p w14:paraId="6DC5FAC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96</w:t>
            </w:r>
          </w:p>
        </w:tc>
        <w:tc>
          <w:tcPr>
            <w:tcW w:w="875" w:type="dxa"/>
            <w:tcBorders>
              <w:top w:val="nil"/>
              <w:left w:val="nil"/>
              <w:bottom w:val="nil"/>
              <w:right w:val="nil"/>
              <w:tl2br w:val="nil"/>
              <w:tr2bl w:val="nil"/>
            </w:tcBorders>
            <w:tcMar>
              <w:left w:w="60" w:type="dxa"/>
              <w:right w:w="60" w:type="dxa"/>
            </w:tcMar>
            <w:vAlign w:val="center"/>
          </w:tcPr>
          <w:p w14:paraId="5F32887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30AA5E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876" w:type="dxa"/>
            <w:tcBorders>
              <w:top w:val="nil"/>
              <w:left w:val="nil"/>
              <w:bottom w:val="nil"/>
              <w:right w:val="nil"/>
              <w:tl2br w:val="nil"/>
              <w:tr2bl w:val="nil"/>
            </w:tcBorders>
            <w:tcMar>
              <w:left w:w="60" w:type="dxa"/>
              <w:right w:w="60" w:type="dxa"/>
            </w:tcMar>
            <w:vAlign w:val="center"/>
          </w:tcPr>
          <w:p w14:paraId="12EEA45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823E82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448D5F9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876" w:type="dxa"/>
            <w:tcBorders>
              <w:top w:val="nil"/>
              <w:left w:val="nil"/>
              <w:bottom w:val="nil"/>
              <w:right w:val="nil"/>
              <w:tl2br w:val="nil"/>
              <w:tr2bl w:val="nil"/>
            </w:tcBorders>
            <w:tcMar>
              <w:left w:w="60" w:type="dxa"/>
              <w:right w:w="60" w:type="dxa"/>
            </w:tcMar>
            <w:vAlign w:val="center"/>
          </w:tcPr>
          <w:p w14:paraId="7E989AE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92</w:t>
            </w:r>
          </w:p>
        </w:tc>
        <w:tc>
          <w:tcPr>
            <w:tcW w:w="876" w:type="dxa"/>
            <w:tcBorders>
              <w:top w:val="nil"/>
              <w:left w:val="nil"/>
              <w:bottom w:val="nil"/>
              <w:right w:val="nil"/>
              <w:tl2br w:val="nil"/>
              <w:tr2bl w:val="nil"/>
            </w:tcBorders>
            <w:tcMar>
              <w:left w:w="60" w:type="dxa"/>
              <w:right w:w="60" w:type="dxa"/>
            </w:tcMar>
            <w:vAlign w:val="center"/>
          </w:tcPr>
          <w:p w14:paraId="3F7CD1C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3288FBB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876" w:type="dxa"/>
            <w:tcBorders>
              <w:top w:val="nil"/>
              <w:left w:val="nil"/>
              <w:bottom w:val="nil"/>
              <w:right w:val="nil"/>
              <w:tl2br w:val="nil"/>
              <w:tr2bl w:val="nil"/>
            </w:tcBorders>
            <w:tcMar>
              <w:left w:w="60" w:type="dxa"/>
              <w:right w:w="60" w:type="dxa"/>
            </w:tcMar>
            <w:vAlign w:val="center"/>
          </w:tcPr>
          <w:p w14:paraId="4C2E54D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8793AA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DCD141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88</w:t>
            </w:r>
          </w:p>
        </w:tc>
      </w:tr>
      <w:tr w:rsidR="00807FFE" w14:paraId="28BB5B7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B12A25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4EB67D4" w14:textId="77777777" w:rsidR="00807FFE" w:rsidRPr="00E97ED7" w:rsidRDefault="00023E71">
            <w:pPr>
              <w:pStyle w:val="DMETW36742BIPDetailedMFF1Breakdown"/>
              <w:rPr>
                <w:rFonts w:ascii="Verdana" w:eastAsia="Verdana" w:hAnsi="Verdana" w:cs="Verdana"/>
                <w:noProof/>
                <w:color w:val="000000"/>
                <w:sz w:val="16"/>
                <w:lang w:val="fr-BE"/>
              </w:rPr>
            </w:pPr>
            <w:r w:rsidRPr="00E97ED7">
              <w:rPr>
                <w:rFonts w:ascii="Verdana" w:eastAsia="Verdana" w:hAnsi="Verdana" w:cs="Verdana"/>
                <w:noProof/>
                <w:color w:val="000000"/>
                <w:sz w:val="16"/>
                <w:lang w:val="fr-BE"/>
              </w:rPr>
              <w:t>Pre-Accession Assistance (IPA III)</w:t>
            </w:r>
          </w:p>
        </w:tc>
        <w:tc>
          <w:tcPr>
            <w:tcW w:w="875" w:type="dxa"/>
            <w:tcBorders>
              <w:top w:val="nil"/>
              <w:left w:val="nil"/>
              <w:bottom w:val="nil"/>
              <w:right w:val="nil"/>
              <w:tl2br w:val="nil"/>
              <w:tr2bl w:val="nil"/>
            </w:tcBorders>
            <w:tcMar>
              <w:left w:w="60" w:type="dxa"/>
              <w:right w:w="60" w:type="dxa"/>
            </w:tcMar>
            <w:vAlign w:val="center"/>
          </w:tcPr>
          <w:p w14:paraId="05FB2A0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2 170</w:t>
            </w:r>
          </w:p>
        </w:tc>
        <w:tc>
          <w:tcPr>
            <w:tcW w:w="875" w:type="dxa"/>
            <w:tcBorders>
              <w:top w:val="nil"/>
              <w:left w:val="nil"/>
              <w:bottom w:val="nil"/>
              <w:right w:val="nil"/>
              <w:tl2br w:val="nil"/>
              <w:tr2bl w:val="nil"/>
            </w:tcBorders>
            <w:tcMar>
              <w:left w:w="60" w:type="dxa"/>
              <w:right w:w="60" w:type="dxa"/>
            </w:tcMar>
            <w:vAlign w:val="center"/>
          </w:tcPr>
          <w:p w14:paraId="0F8710C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4B9A6B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2 170</w:t>
            </w:r>
          </w:p>
        </w:tc>
        <w:tc>
          <w:tcPr>
            <w:tcW w:w="876" w:type="dxa"/>
            <w:tcBorders>
              <w:top w:val="nil"/>
              <w:left w:val="nil"/>
              <w:bottom w:val="nil"/>
              <w:right w:val="nil"/>
              <w:tl2br w:val="nil"/>
              <w:tr2bl w:val="nil"/>
            </w:tcBorders>
            <w:tcMar>
              <w:left w:w="60" w:type="dxa"/>
              <w:right w:w="60" w:type="dxa"/>
            </w:tcMar>
            <w:vAlign w:val="center"/>
          </w:tcPr>
          <w:p w14:paraId="7E2AEBD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129</w:t>
            </w:r>
          </w:p>
        </w:tc>
        <w:tc>
          <w:tcPr>
            <w:tcW w:w="876" w:type="dxa"/>
            <w:tcBorders>
              <w:top w:val="nil"/>
              <w:left w:val="nil"/>
              <w:bottom w:val="nil"/>
              <w:right w:val="nil"/>
              <w:tl2br w:val="nil"/>
              <w:tr2bl w:val="nil"/>
            </w:tcBorders>
            <w:tcMar>
              <w:left w:w="60" w:type="dxa"/>
              <w:right w:w="60" w:type="dxa"/>
            </w:tcMar>
            <w:vAlign w:val="center"/>
          </w:tcPr>
          <w:p w14:paraId="4FA760C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876" w:type="dxa"/>
            <w:tcBorders>
              <w:top w:val="nil"/>
              <w:left w:val="nil"/>
              <w:bottom w:val="nil"/>
              <w:right w:val="nil"/>
              <w:tl2br w:val="nil"/>
              <w:tr2bl w:val="nil"/>
            </w:tcBorders>
            <w:tcMar>
              <w:left w:w="60" w:type="dxa"/>
              <w:right w:w="60" w:type="dxa"/>
            </w:tcMar>
            <w:vAlign w:val="center"/>
          </w:tcPr>
          <w:p w14:paraId="6339079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2 384</w:t>
            </w:r>
          </w:p>
        </w:tc>
        <w:tc>
          <w:tcPr>
            <w:tcW w:w="876" w:type="dxa"/>
            <w:tcBorders>
              <w:top w:val="nil"/>
              <w:left w:val="nil"/>
              <w:bottom w:val="nil"/>
              <w:right w:val="nil"/>
              <w:tl2br w:val="nil"/>
              <w:tr2bl w:val="nil"/>
            </w:tcBorders>
            <w:tcMar>
              <w:left w:w="60" w:type="dxa"/>
              <w:right w:w="60" w:type="dxa"/>
            </w:tcMar>
            <w:vAlign w:val="center"/>
          </w:tcPr>
          <w:p w14:paraId="1DE5F0E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2 086</w:t>
            </w:r>
          </w:p>
        </w:tc>
        <w:tc>
          <w:tcPr>
            <w:tcW w:w="876" w:type="dxa"/>
            <w:tcBorders>
              <w:top w:val="nil"/>
              <w:left w:val="nil"/>
              <w:bottom w:val="nil"/>
              <w:right w:val="nil"/>
              <w:tl2br w:val="nil"/>
              <w:tr2bl w:val="nil"/>
            </w:tcBorders>
            <w:tcMar>
              <w:left w:w="60" w:type="dxa"/>
              <w:right w:w="60" w:type="dxa"/>
            </w:tcMar>
            <w:vAlign w:val="center"/>
          </w:tcPr>
          <w:p w14:paraId="1957596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876" w:type="dxa"/>
            <w:tcBorders>
              <w:top w:val="nil"/>
              <w:left w:val="nil"/>
              <w:bottom w:val="nil"/>
              <w:right w:val="nil"/>
              <w:tl2br w:val="nil"/>
              <w:tr2bl w:val="nil"/>
            </w:tcBorders>
            <w:tcMar>
              <w:left w:w="60" w:type="dxa"/>
              <w:right w:w="60" w:type="dxa"/>
            </w:tcMar>
            <w:vAlign w:val="center"/>
          </w:tcPr>
          <w:p w14:paraId="470CD66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1 995</w:t>
            </w:r>
          </w:p>
        </w:tc>
        <w:tc>
          <w:tcPr>
            <w:tcW w:w="876" w:type="dxa"/>
            <w:tcBorders>
              <w:top w:val="nil"/>
              <w:left w:val="nil"/>
              <w:bottom w:val="nil"/>
              <w:right w:val="nil"/>
              <w:tl2br w:val="nil"/>
              <w:tr2bl w:val="nil"/>
            </w:tcBorders>
            <w:tcMar>
              <w:left w:w="60" w:type="dxa"/>
              <w:right w:w="60" w:type="dxa"/>
            </w:tcMar>
            <w:vAlign w:val="center"/>
          </w:tcPr>
          <w:p w14:paraId="528AD48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14:paraId="33095E4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115</w:t>
            </w:r>
          </w:p>
        </w:tc>
        <w:tc>
          <w:tcPr>
            <w:tcW w:w="876" w:type="dxa"/>
            <w:tcBorders>
              <w:top w:val="nil"/>
              <w:left w:val="nil"/>
              <w:bottom w:val="nil"/>
              <w:right w:val="nil"/>
              <w:tl2br w:val="nil"/>
              <w:tr2bl w:val="nil"/>
            </w:tcBorders>
            <w:tcMar>
              <w:left w:w="60" w:type="dxa"/>
              <w:right w:w="60" w:type="dxa"/>
            </w:tcMar>
            <w:vAlign w:val="center"/>
          </w:tcPr>
          <w:p w14:paraId="0973561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2 122</w:t>
            </w:r>
          </w:p>
        </w:tc>
      </w:tr>
      <w:tr w:rsidR="00807FFE" w14:paraId="3592210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6B0E8A1"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BD940C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Reform and Growth Facility for Western Balkans</w:t>
            </w:r>
          </w:p>
        </w:tc>
        <w:tc>
          <w:tcPr>
            <w:tcW w:w="875" w:type="dxa"/>
            <w:tcBorders>
              <w:top w:val="nil"/>
              <w:left w:val="nil"/>
              <w:bottom w:val="nil"/>
              <w:right w:val="nil"/>
              <w:tl2br w:val="nil"/>
              <w:tr2bl w:val="nil"/>
            </w:tcBorders>
            <w:tcMar>
              <w:left w:w="60" w:type="dxa"/>
              <w:right w:w="60" w:type="dxa"/>
            </w:tcMar>
            <w:vAlign w:val="center"/>
          </w:tcPr>
          <w:p w14:paraId="189604E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499</w:t>
            </w:r>
          </w:p>
        </w:tc>
        <w:tc>
          <w:tcPr>
            <w:tcW w:w="875" w:type="dxa"/>
            <w:tcBorders>
              <w:top w:val="nil"/>
              <w:left w:val="nil"/>
              <w:bottom w:val="nil"/>
              <w:right w:val="nil"/>
              <w:tl2br w:val="nil"/>
              <w:tr2bl w:val="nil"/>
            </w:tcBorders>
            <w:tcMar>
              <w:left w:w="60" w:type="dxa"/>
              <w:right w:w="60" w:type="dxa"/>
            </w:tcMar>
            <w:vAlign w:val="center"/>
          </w:tcPr>
          <w:p w14:paraId="4E46F51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133692F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499</w:t>
            </w:r>
          </w:p>
        </w:tc>
        <w:tc>
          <w:tcPr>
            <w:tcW w:w="876" w:type="dxa"/>
            <w:tcBorders>
              <w:top w:val="nil"/>
              <w:left w:val="nil"/>
              <w:bottom w:val="nil"/>
              <w:right w:val="nil"/>
              <w:tl2br w:val="nil"/>
              <w:tr2bl w:val="nil"/>
            </w:tcBorders>
            <w:tcMar>
              <w:left w:w="60" w:type="dxa"/>
              <w:right w:w="60" w:type="dxa"/>
            </w:tcMar>
            <w:vAlign w:val="center"/>
          </w:tcPr>
          <w:p w14:paraId="2FB196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101</w:t>
            </w:r>
          </w:p>
        </w:tc>
        <w:tc>
          <w:tcPr>
            <w:tcW w:w="876" w:type="dxa"/>
            <w:tcBorders>
              <w:top w:val="nil"/>
              <w:left w:val="nil"/>
              <w:bottom w:val="nil"/>
              <w:right w:val="nil"/>
              <w:tl2br w:val="nil"/>
              <w:tr2bl w:val="nil"/>
            </w:tcBorders>
            <w:tcMar>
              <w:left w:w="60" w:type="dxa"/>
              <w:right w:w="60" w:type="dxa"/>
            </w:tcMar>
            <w:vAlign w:val="center"/>
          </w:tcPr>
          <w:p w14:paraId="4AE88FB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6DEFF3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600</w:t>
            </w:r>
          </w:p>
        </w:tc>
        <w:tc>
          <w:tcPr>
            <w:tcW w:w="876" w:type="dxa"/>
            <w:tcBorders>
              <w:top w:val="nil"/>
              <w:left w:val="nil"/>
              <w:bottom w:val="nil"/>
              <w:right w:val="nil"/>
              <w:tl2br w:val="nil"/>
              <w:tr2bl w:val="nil"/>
            </w:tcBorders>
            <w:tcMar>
              <w:left w:w="60" w:type="dxa"/>
              <w:right w:w="60" w:type="dxa"/>
            </w:tcMar>
            <w:vAlign w:val="center"/>
          </w:tcPr>
          <w:p w14:paraId="43F15AE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101</w:t>
            </w:r>
          </w:p>
        </w:tc>
        <w:tc>
          <w:tcPr>
            <w:tcW w:w="876" w:type="dxa"/>
            <w:tcBorders>
              <w:top w:val="nil"/>
              <w:left w:val="nil"/>
              <w:bottom w:val="nil"/>
              <w:right w:val="nil"/>
              <w:tl2br w:val="nil"/>
              <w:tr2bl w:val="nil"/>
            </w:tcBorders>
            <w:tcMar>
              <w:left w:w="60" w:type="dxa"/>
              <w:right w:w="60" w:type="dxa"/>
            </w:tcMar>
            <w:vAlign w:val="center"/>
          </w:tcPr>
          <w:p w14:paraId="1D39818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229D1B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101</w:t>
            </w:r>
          </w:p>
        </w:tc>
        <w:tc>
          <w:tcPr>
            <w:tcW w:w="876" w:type="dxa"/>
            <w:tcBorders>
              <w:top w:val="nil"/>
              <w:left w:val="nil"/>
              <w:bottom w:val="nil"/>
              <w:right w:val="nil"/>
              <w:tl2br w:val="nil"/>
              <w:tr2bl w:val="nil"/>
            </w:tcBorders>
            <w:tcMar>
              <w:left w:w="60" w:type="dxa"/>
              <w:right w:w="60" w:type="dxa"/>
            </w:tcMar>
            <w:vAlign w:val="center"/>
          </w:tcPr>
          <w:p w14:paraId="595EEE2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14:paraId="29E379D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6C5992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124</w:t>
            </w:r>
          </w:p>
        </w:tc>
      </w:tr>
      <w:tr w:rsidR="00807FFE" w14:paraId="3C54858B"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420AB10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2F37754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6: Neighbourhood and the World</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7D9ADC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16 308</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3911391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64C8B3A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16 892</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2A1B8C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970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13AAE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2 966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34C949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20 828</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7BEC6E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14 426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856CBB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74D2B2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15 010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218C17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AC2979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3 343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63F7AB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18 469</w:t>
            </w:r>
          </w:p>
        </w:tc>
      </w:tr>
      <w:tr w:rsidR="00807FFE" w14:paraId="55D9B02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193FA0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4EB4118"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002D272A"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5F442A08"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550D6274"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D86D36E"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86A1441"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897CDAA"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2B9DA9C"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F046312"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6597F8F"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27F5881"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A73389B"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14F9A28" w14:textId="77777777" w:rsidR="00807FFE" w:rsidRDefault="00807FFE">
            <w:pPr>
              <w:pStyle w:val="DMETW36742BIPDetailedMFF1Breakdown"/>
              <w:jc w:val="right"/>
              <w:rPr>
                <w:rFonts w:ascii="Verdana" w:eastAsia="Verdana" w:hAnsi="Verdana" w:cs="Verdana"/>
                <w:noProof/>
                <w:color w:val="000000"/>
                <w:sz w:val="16"/>
                <w:lang w:bidi="en-GB"/>
              </w:rPr>
            </w:pPr>
          </w:p>
        </w:tc>
      </w:tr>
      <w:tr w:rsidR="00807FFE" w14:paraId="6DF48AB0"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B475D7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7</w:t>
            </w:r>
          </w:p>
        </w:tc>
        <w:tc>
          <w:tcPr>
            <w:tcW w:w="3839" w:type="dxa"/>
            <w:tcBorders>
              <w:top w:val="nil"/>
              <w:left w:val="nil"/>
              <w:bottom w:val="nil"/>
              <w:right w:val="nil"/>
              <w:tl2br w:val="nil"/>
              <w:tr2bl w:val="nil"/>
            </w:tcBorders>
            <w:tcMar>
              <w:left w:w="60" w:type="dxa"/>
              <w:right w:w="60" w:type="dxa"/>
            </w:tcMar>
            <w:vAlign w:val="center"/>
          </w:tcPr>
          <w:p w14:paraId="1BD8CEBC"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Staff Pensions</w:t>
            </w:r>
          </w:p>
        </w:tc>
        <w:tc>
          <w:tcPr>
            <w:tcW w:w="875" w:type="dxa"/>
            <w:tcBorders>
              <w:top w:val="nil"/>
              <w:left w:val="nil"/>
              <w:bottom w:val="nil"/>
              <w:right w:val="nil"/>
              <w:tl2br w:val="nil"/>
              <w:tr2bl w:val="nil"/>
            </w:tcBorders>
            <w:tcMar>
              <w:left w:w="60" w:type="dxa"/>
              <w:right w:w="60" w:type="dxa"/>
            </w:tcMar>
            <w:vAlign w:val="center"/>
          </w:tcPr>
          <w:p w14:paraId="677FC07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2 795</w:t>
            </w:r>
          </w:p>
        </w:tc>
        <w:tc>
          <w:tcPr>
            <w:tcW w:w="875" w:type="dxa"/>
            <w:tcBorders>
              <w:top w:val="nil"/>
              <w:left w:val="nil"/>
              <w:bottom w:val="nil"/>
              <w:right w:val="nil"/>
              <w:tl2br w:val="nil"/>
              <w:tr2bl w:val="nil"/>
            </w:tcBorders>
            <w:tcMar>
              <w:left w:w="60" w:type="dxa"/>
              <w:right w:w="60" w:type="dxa"/>
            </w:tcMar>
            <w:vAlign w:val="center"/>
          </w:tcPr>
          <w:p w14:paraId="2B084C1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5" w:type="dxa"/>
            <w:tcBorders>
              <w:top w:val="nil"/>
              <w:left w:val="nil"/>
              <w:bottom w:val="nil"/>
              <w:right w:val="nil"/>
              <w:tl2br w:val="nil"/>
              <w:tr2bl w:val="nil"/>
            </w:tcBorders>
            <w:tcMar>
              <w:left w:w="60" w:type="dxa"/>
              <w:right w:w="60" w:type="dxa"/>
            </w:tcMar>
            <w:vAlign w:val="center"/>
          </w:tcPr>
          <w:p w14:paraId="785C99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2 790</w:t>
            </w:r>
          </w:p>
        </w:tc>
        <w:tc>
          <w:tcPr>
            <w:tcW w:w="876" w:type="dxa"/>
            <w:tcBorders>
              <w:top w:val="nil"/>
              <w:left w:val="nil"/>
              <w:bottom w:val="nil"/>
              <w:right w:val="nil"/>
              <w:tl2br w:val="nil"/>
              <w:tr2bl w:val="nil"/>
            </w:tcBorders>
            <w:tcMar>
              <w:left w:w="60" w:type="dxa"/>
              <w:right w:w="60" w:type="dxa"/>
            </w:tcMar>
            <w:vAlign w:val="center"/>
          </w:tcPr>
          <w:p w14:paraId="138145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152AD3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14:paraId="3BCAE4C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3 102</w:t>
            </w:r>
          </w:p>
        </w:tc>
        <w:tc>
          <w:tcPr>
            <w:tcW w:w="876" w:type="dxa"/>
            <w:tcBorders>
              <w:top w:val="nil"/>
              <w:left w:val="nil"/>
              <w:bottom w:val="nil"/>
              <w:right w:val="nil"/>
              <w:tl2br w:val="nil"/>
              <w:tr2bl w:val="nil"/>
            </w:tcBorders>
            <w:tcMar>
              <w:left w:w="60" w:type="dxa"/>
              <w:right w:w="60" w:type="dxa"/>
            </w:tcMar>
            <w:vAlign w:val="center"/>
          </w:tcPr>
          <w:p w14:paraId="71B8688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2 795</w:t>
            </w:r>
          </w:p>
        </w:tc>
        <w:tc>
          <w:tcPr>
            <w:tcW w:w="876" w:type="dxa"/>
            <w:tcBorders>
              <w:top w:val="nil"/>
              <w:left w:val="nil"/>
              <w:bottom w:val="nil"/>
              <w:right w:val="nil"/>
              <w:tl2br w:val="nil"/>
              <w:tr2bl w:val="nil"/>
            </w:tcBorders>
            <w:tcMar>
              <w:left w:w="60" w:type="dxa"/>
              <w:right w:w="60" w:type="dxa"/>
            </w:tcMar>
            <w:vAlign w:val="center"/>
          </w:tcPr>
          <w:p w14:paraId="4A9018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15165A6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2 790</w:t>
            </w:r>
          </w:p>
        </w:tc>
        <w:tc>
          <w:tcPr>
            <w:tcW w:w="876" w:type="dxa"/>
            <w:tcBorders>
              <w:top w:val="nil"/>
              <w:left w:val="nil"/>
              <w:bottom w:val="nil"/>
              <w:right w:val="nil"/>
              <w:tl2br w:val="nil"/>
              <w:tr2bl w:val="nil"/>
            </w:tcBorders>
            <w:tcMar>
              <w:left w:w="60" w:type="dxa"/>
              <w:right w:w="60" w:type="dxa"/>
            </w:tcMar>
            <w:vAlign w:val="center"/>
          </w:tcPr>
          <w:p w14:paraId="1597214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1E3431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14:paraId="6691444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3 102</w:t>
            </w:r>
          </w:p>
        </w:tc>
      </w:tr>
      <w:tr w:rsidR="00807FFE" w14:paraId="2833D6C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97985A9"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6098AD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(Pensions of former Members) European Parliament</w:t>
            </w:r>
          </w:p>
        </w:tc>
        <w:tc>
          <w:tcPr>
            <w:tcW w:w="875" w:type="dxa"/>
            <w:tcBorders>
              <w:top w:val="nil"/>
              <w:left w:val="nil"/>
              <w:bottom w:val="nil"/>
              <w:right w:val="nil"/>
              <w:tl2br w:val="nil"/>
              <w:tr2bl w:val="nil"/>
            </w:tcBorders>
            <w:tcMar>
              <w:left w:w="60" w:type="dxa"/>
              <w:right w:w="60" w:type="dxa"/>
            </w:tcMar>
            <w:vAlign w:val="center"/>
          </w:tcPr>
          <w:p w14:paraId="571F7FB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75" w:type="dxa"/>
            <w:tcBorders>
              <w:top w:val="nil"/>
              <w:left w:val="nil"/>
              <w:bottom w:val="nil"/>
              <w:right w:val="nil"/>
              <w:tl2br w:val="nil"/>
              <w:tr2bl w:val="nil"/>
            </w:tcBorders>
            <w:tcMar>
              <w:left w:w="60" w:type="dxa"/>
              <w:right w:w="60" w:type="dxa"/>
            </w:tcMar>
            <w:vAlign w:val="center"/>
          </w:tcPr>
          <w:p w14:paraId="6E74739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14:paraId="048434D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14:paraId="5EEBD7A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8BDCAD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41B360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14:paraId="62F5876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14:paraId="0058963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6186C7D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14:paraId="0AAD6E7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A7431B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6A3E27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19</w:t>
            </w:r>
          </w:p>
        </w:tc>
      </w:tr>
      <w:tr w:rsidR="00807FFE" w14:paraId="23EEBB8F"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7C3918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4B367F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(Pensions of former Members) European Council and Council</w:t>
            </w:r>
          </w:p>
        </w:tc>
        <w:tc>
          <w:tcPr>
            <w:tcW w:w="875" w:type="dxa"/>
            <w:tcBorders>
              <w:top w:val="nil"/>
              <w:left w:val="nil"/>
              <w:bottom w:val="nil"/>
              <w:right w:val="nil"/>
              <w:tl2br w:val="nil"/>
              <w:tr2bl w:val="nil"/>
            </w:tcBorders>
            <w:tcMar>
              <w:left w:w="60" w:type="dxa"/>
              <w:right w:w="60" w:type="dxa"/>
            </w:tcMar>
            <w:vAlign w:val="center"/>
          </w:tcPr>
          <w:p w14:paraId="01A98E1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60BBA8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1A4C26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66FB2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628A30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002F70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CCB4C7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3E4230C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C56F6B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F42FCC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7E850A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66A37E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223C246C"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89E2A5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6CB8A87"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(Pensions of former Members) Commission</w:t>
            </w:r>
          </w:p>
        </w:tc>
        <w:tc>
          <w:tcPr>
            <w:tcW w:w="875" w:type="dxa"/>
            <w:tcBorders>
              <w:top w:val="nil"/>
              <w:left w:val="nil"/>
              <w:bottom w:val="nil"/>
              <w:right w:val="nil"/>
              <w:tl2br w:val="nil"/>
              <w:tr2bl w:val="nil"/>
            </w:tcBorders>
            <w:tcMar>
              <w:left w:w="60" w:type="dxa"/>
              <w:right w:w="60" w:type="dxa"/>
            </w:tcMar>
            <w:vAlign w:val="center"/>
          </w:tcPr>
          <w:p w14:paraId="498E09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5" w:type="dxa"/>
            <w:tcBorders>
              <w:top w:val="nil"/>
              <w:left w:val="nil"/>
              <w:bottom w:val="nil"/>
              <w:right w:val="nil"/>
              <w:tl2br w:val="nil"/>
              <w:tr2bl w:val="nil"/>
            </w:tcBorders>
            <w:tcMar>
              <w:left w:w="60" w:type="dxa"/>
              <w:right w:w="60" w:type="dxa"/>
            </w:tcMar>
            <w:vAlign w:val="center"/>
          </w:tcPr>
          <w:p w14:paraId="69141BE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437EA85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6D0DA38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F47E85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4A8E0D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1DC586E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3DD4D8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97A1A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4C65B93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58096B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1234C8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2095C573"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84E185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7091BB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(Pensions of former Members) Court of Justice of the European Union</w:t>
            </w:r>
          </w:p>
        </w:tc>
        <w:tc>
          <w:tcPr>
            <w:tcW w:w="875" w:type="dxa"/>
            <w:tcBorders>
              <w:top w:val="nil"/>
              <w:left w:val="nil"/>
              <w:bottom w:val="nil"/>
              <w:right w:val="nil"/>
              <w:tl2br w:val="nil"/>
              <w:tr2bl w:val="nil"/>
            </w:tcBorders>
            <w:tcMar>
              <w:left w:w="60" w:type="dxa"/>
              <w:right w:w="60" w:type="dxa"/>
            </w:tcMar>
            <w:vAlign w:val="center"/>
          </w:tcPr>
          <w:p w14:paraId="637958C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5" w:type="dxa"/>
            <w:tcBorders>
              <w:top w:val="nil"/>
              <w:left w:val="nil"/>
              <w:bottom w:val="nil"/>
              <w:right w:val="nil"/>
              <w:tl2br w:val="nil"/>
              <w:tr2bl w:val="nil"/>
            </w:tcBorders>
            <w:tcMar>
              <w:left w:w="60" w:type="dxa"/>
              <w:right w:w="60" w:type="dxa"/>
            </w:tcMar>
            <w:vAlign w:val="center"/>
          </w:tcPr>
          <w:p w14:paraId="414EC81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065E19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6312ACB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E77DCB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75C21B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6486484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14:paraId="0E8F29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5483F0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5FA7499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FBEC90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531BFBE"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w:t>
            </w:r>
          </w:p>
        </w:tc>
      </w:tr>
      <w:tr w:rsidR="00807FFE" w14:paraId="15F5ED0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CC4960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CBD89A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(Pensions of former Members) European Court of Auditors</w:t>
            </w:r>
          </w:p>
        </w:tc>
        <w:tc>
          <w:tcPr>
            <w:tcW w:w="875" w:type="dxa"/>
            <w:tcBorders>
              <w:top w:val="nil"/>
              <w:left w:val="nil"/>
              <w:bottom w:val="nil"/>
              <w:right w:val="nil"/>
              <w:tl2br w:val="nil"/>
              <w:tr2bl w:val="nil"/>
            </w:tcBorders>
            <w:tcMar>
              <w:left w:w="60" w:type="dxa"/>
              <w:right w:w="60" w:type="dxa"/>
            </w:tcMar>
            <w:vAlign w:val="center"/>
          </w:tcPr>
          <w:p w14:paraId="5E569B1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5" w:type="dxa"/>
            <w:tcBorders>
              <w:top w:val="nil"/>
              <w:left w:val="nil"/>
              <w:bottom w:val="nil"/>
              <w:right w:val="nil"/>
              <w:tl2br w:val="nil"/>
              <w:tr2bl w:val="nil"/>
            </w:tcBorders>
            <w:tcMar>
              <w:left w:w="60" w:type="dxa"/>
              <w:right w:w="60" w:type="dxa"/>
            </w:tcMar>
            <w:vAlign w:val="center"/>
          </w:tcPr>
          <w:p w14:paraId="3B88AF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05CFFB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16E27AF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993CB8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5F4525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09087C7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259BFA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BEFC5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68704F1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7963F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A0A3DE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w:t>
            </w:r>
          </w:p>
        </w:tc>
      </w:tr>
      <w:tr w:rsidR="00807FFE" w14:paraId="7236256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693407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A1E13E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(Pensions of former Members) European Ombudsman</w:t>
            </w:r>
          </w:p>
        </w:tc>
        <w:tc>
          <w:tcPr>
            <w:tcW w:w="875" w:type="dxa"/>
            <w:tcBorders>
              <w:top w:val="nil"/>
              <w:left w:val="nil"/>
              <w:bottom w:val="nil"/>
              <w:right w:val="nil"/>
              <w:tl2br w:val="nil"/>
              <w:tr2bl w:val="nil"/>
            </w:tcBorders>
            <w:tcMar>
              <w:left w:w="60" w:type="dxa"/>
              <w:right w:w="60" w:type="dxa"/>
            </w:tcMar>
            <w:vAlign w:val="center"/>
          </w:tcPr>
          <w:p w14:paraId="5EEDDDC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666308B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00524F5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0BB786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307DF0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0046B0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48A068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E29BBA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211594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E9BB21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60B20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3F8FE07"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0CF180F"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246294E"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8AB480F"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(Pensions of former Members) European Data Protection Supervisor</w:t>
            </w:r>
          </w:p>
        </w:tc>
        <w:tc>
          <w:tcPr>
            <w:tcW w:w="875" w:type="dxa"/>
            <w:tcBorders>
              <w:top w:val="nil"/>
              <w:left w:val="nil"/>
              <w:bottom w:val="nil"/>
              <w:right w:val="nil"/>
              <w:tl2br w:val="nil"/>
              <w:tr2bl w:val="nil"/>
            </w:tcBorders>
            <w:tcMar>
              <w:left w:w="60" w:type="dxa"/>
              <w:right w:w="60" w:type="dxa"/>
            </w:tcMar>
            <w:vAlign w:val="center"/>
          </w:tcPr>
          <w:p w14:paraId="5DF866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1D82254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4DD05A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E2E06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6C8808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4F6A3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4D895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3E2154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356657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4801E1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20F1C5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8BE1F9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F8020F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3DACB5E"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BB8BFC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schools) Commission</w:t>
            </w:r>
          </w:p>
        </w:tc>
        <w:tc>
          <w:tcPr>
            <w:tcW w:w="875" w:type="dxa"/>
            <w:tcBorders>
              <w:top w:val="nil"/>
              <w:left w:val="nil"/>
              <w:bottom w:val="nil"/>
              <w:right w:val="nil"/>
              <w:tl2br w:val="nil"/>
              <w:tr2bl w:val="nil"/>
            </w:tcBorders>
            <w:tcMar>
              <w:left w:w="60" w:type="dxa"/>
              <w:right w:w="60" w:type="dxa"/>
            </w:tcMar>
            <w:vAlign w:val="center"/>
          </w:tcPr>
          <w:p w14:paraId="39A1D49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266</w:t>
            </w:r>
          </w:p>
        </w:tc>
        <w:tc>
          <w:tcPr>
            <w:tcW w:w="875" w:type="dxa"/>
            <w:tcBorders>
              <w:top w:val="nil"/>
              <w:left w:val="nil"/>
              <w:bottom w:val="nil"/>
              <w:right w:val="nil"/>
              <w:tl2br w:val="nil"/>
              <w:tr2bl w:val="nil"/>
            </w:tcBorders>
            <w:tcMar>
              <w:left w:w="60" w:type="dxa"/>
              <w:right w:w="60" w:type="dxa"/>
            </w:tcMar>
            <w:vAlign w:val="center"/>
          </w:tcPr>
          <w:p w14:paraId="1066620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14:paraId="42CB7B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263</w:t>
            </w:r>
          </w:p>
        </w:tc>
        <w:tc>
          <w:tcPr>
            <w:tcW w:w="876" w:type="dxa"/>
            <w:tcBorders>
              <w:top w:val="nil"/>
              <w:left w:val="nil"/>
              <w:bottom w:val="nil"/>
              <w:right w:val="nil"/>
              <w:tl2br w:val="nil"/>
              <w:tr2bl w:val="nil"/>
            </w:tcBorders>
            <w:tcMar>
              <w:left w:w="60" w:type="dxa"/>
              <w:right w:w="60" w:type="dxa"/>
            </w:tcMar>
            <w:vAlign w:val="center"/>
          </w:tcPr>
          <w:p w14:paraId="135F68E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E484C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14:paraId="46A2D1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298</w:t>
            </w:r>
          </w:p>
        </w:tc>
        <w:tc>
          <w:tcPr>
            <w:tcW w:w="876" w:type="dxa"/>
            <w:tcBorders>
              <w:top w:val="nil"/>
              <w:left w:val="nil"/>
              <w:bottom w:val="nil"/>
              <w:right w:val="nil"/>
              <w:tl2br w:val="nil"/>
              <w:tr2bl w:val="nil"/>
            </w:tcBorders>
            <w:tcMar>
              <w:left w:w="60" w:type="dxa"/>
              <w:right w:w="60" w:type="dxa"/>
            </w:tcMar>
            <w:vAlign w:val="center"/>
          </w:tcPr>
          <w:p w14:paraId="6F4DE9E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266</w:t>
            </w:r>
          </w:p>
        </w:tc>
        <w:tc>
          <w:tcPr>
            <w:tcW w:w="876" w:type="dxa"/>
            <w:tcBorders>
              <w:top w:val="nil"/>
              <w:left w:val="nil"/>
              <w:bottom w:val="nil"/>
              <w:right w:val="nil"/>
              <w:tl2br w:val="nil"/>
              <w:tr2bl w:val="nil"/>
            </w:tcBorders>
            <w:tcMar>
              <w:left w:w="60" w:type="dxa"/>
              <w:right w:w="60" w:type="dxa"/>
            </w:tcMar>
            <w:vAlign w:val="center"/>
          </w:tcPr>
          <w:p w14:paraId="1B145C4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7723E8C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263</w:t>
            </w:r>
          </w:p>
        </w:tc>
        <w:tc>
          <w:tcPr>
            <w:tcW w:w="876" w:type="dxa"/>
            <w:tcBorders>
              <w:top w:val="nil"/>
              <w:left w:val="nil"/>
              <w:bottom w:val="nil"/>
              <w:right w:val="nil"/>
              <w:tl2br w:val="nil"/>
              <w:tr2bl w:val="nil"/>
            </w:tcBorders>
            <w:tcMar>
              <w:left w:w="60" w:type="dxa"/>
              <w:right w:w="60" w:type="dxa"/>
            </w:tcMar>
            <w:vAlign w:val="center"/>
          </w:tcPr>
          <w:p w14:paraId="37A5F8D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7548A60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876" w:type="dxa"/>
            <w:tcBorders>
              <w:top w:val="nil"/>
              <w:left w:val="nil"/>
              <w:bottom w:val="nil"/>
              <w:right w:val="nil"/>
              <w:tl2br w:val="nil"/>
              <w:tr2bl w:val="nil"/>
            </w:tcBorders>
            <w:tcMar>
              <w:left w:w="60" w:type="dxa"/>
              <w:right w:w="60" w:type="dxa"/>
            </w:tcMar>
            <w:vAlign w:val="center"/>
          </w:tcPr>
          <w:p w14:paraId="7F16246B"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302</w:t>
            </w:r>
          </w:p>
        </w:tc>
      </w:tr>
      <w:tr w:rsidR="00807FFE" w14:paraId="158B2D5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417DACE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D5FC9F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Remuneration statutory staff</w:t>
            </w:r>
          </w:p>
        </w:tc>
        <w:tc>
          <w:tcPr>
            <w:tcW w:w="875" w:type="dxa"/>
            <w:tcBorders>
              <w:top w:val="nil"/>
              <w:left w:val="nil"/>
              <w:bottom w:val="nil"/>
              <w:right w:val="nil"/>
              <w:tl2br w:val="nil"/>
              <w:tr2bl w:val="nil"/>
            </w:tcBorders>
            <w:tcMar>
              <w:left w:w="60" w:type="dxa"/>
              <w:right w:w="60" w:type="dxa"/>
            </w:tcMar>
            <w:vAlign w:val="center"/>
          </w:tcPr>
          <w:p w14:paraId="2ED4596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3 085</w:t>
            </w:r>
          </w:p>
        </w:tc>
        <w:tc>
          <w:tcPr>
            <w:tcW w:w="875" w:type="dxa"/>
            <w:tcBorders>
              <w:top w:val="nil"/>
              <w:left w:val="nil"/>
              <w:bottom w:val="nil"/>
              <w:right w:val="nil"/>
              <w:tl2br w:val="nil"/>
              <w:tr2bl w:val="nil"/>
            </w:tcBorders>
            <w:tcMar>
              <w:left w:w="60" w:type="dxa"/>
              <w:right w:w="60" w:type="dxa"/>
            </w:tcMar>
            <w:vAlign w:val="center"/>
          </w:tcPr>
          <w:p w14:paraId="2376BF9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w:t>
            </w:r>
          </w:p>
        </w:tc>
        <w:tc>
          <w:tcPr>
            <w:tcW w:w="875" w:type="dxa"/>
            <w:tcBorders>
              <w:top w:val="nil"/>
              <w:left w:val="nil"/>
              <w:bottom w:val="nil"/>
              <w:right w:val="nil"/>
              <w:tl2br w:val="nil"/>
              <w:tr2bl w:val="nil"/>
            </w:tcBorders>
            <w:tcMar>
              <w:left w:w="60" w:type="dxa"/>
              <w:right w:w="60" w:type="dxa"/>
            </w:tcMar>
            <w:vAlign w:val="center"/>
          </w:tcPr>
          <w:p w14:paraId="1DA1421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3 028</w:t>
            </w:r>
          </w:p>
        </w:tc>
        <w:tc>
          <w:tcPr>
            <w:tcW w:w="876" w:type="dxa"/>
            <w:tcBorders>
              <w:top w:val="nil"/>
              <w:left w:val="nil"/>
              <w:bottom w:val="nil"/>
              <w:right w:val="nil"/>
              <w:tl2br w:val="nil"/>
              <w:tr2bl w:val="nil"/>
            </w:tcBorders>
            <w:tcMar>
              <w:left w:w="60" w:type="dxa"/>
              <w:right w:w="60" w:type="dxa"/>
            </w:tcMar>
            <w:vAlign w:val="center"/>
          </w:tcPr>
          <w:p w14:paraId="4E719A0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72F4D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129</w:t>
            </w:r>
          </w:p>
        </w:tc>
        <w:tc>
          <w:tcPr>
            <w:tcW w:w="876" w:type="dxa"/>
            <w:tcBorders>
              <w:top w:val="nil"/>
              <w:left w:val="nil"/>
              <w:bottom w:val="nil"/>
              <w:right w:val="nil"/>
              <w:tl2br w:val="nil"/>
              <w:tr2bl w:val="nil"/>
            </w:tcBorders>
            <w:tcMar>
              <w:left w:w="60" w:type="dxa"/>
              <w:right w:w="60" w:type="dxa"/>
            </w:tcMar>
            <w:vAlign w:val="center"/>
          </w:tcPr>
          <w:p w14:paraId="6CAE6FC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3 157</w:t>
            </w:r>
          </w:p>
        </w:tc>
        <w:tc>
          <w:tcPr>
            <w:tcW w:w="876" w:type="dxa"/>
            <w:tcBorders>
              <w:top w:val="nil"/>
              <w:left w:val="nil"/>
              <w:bottom w:val="nil"/>
              <w:right w:val="nil"/>
              <w:tl2br w:val="nil"/>
              <w:tr2bl w:val="nil"/>
            </w:tcBorders>
            <w:tcMar>
              <w:left w:w="60" w:type="dxa"/>
              <w:right w:w="60" w:type="dxa"/>
            </w:tcMar>
            <w:vAlign w:val="center"/>
          </w:tcPr>
          <w:p w14:paraId="7B033D7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3 085</w:t>
            </w:r>
          </w:p>
        </w:tc>
        <w:tc>
          <w:tcPr>
            <w:tcW w:w="876" w:type="dxa"/>
            <w:tcBorders>
              <w:top w:val="nil"/>
              <w:left w:val="nil"/>
              <w:bottom w:val="nil"/>
              <w:right w:val="nil"/>
              <w:tl2br w:val="nil"/>
              <w:tr2bl w:val="nil"/>
            </w:tcBorders>
            <w:tcMar>
              <w:left w:w="60" w:type="dxa"/>
              <w:right w:w="60" w:type="dxa"/>
            </w:tcMar>
            <w:vAlign w:val="center"/>
          </w:tcPr>
          <w:p w14:paraId="465A218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w:t>
            </w:r>
          </w:p>
        </w:tc>
        <w:tc>
          <w:tcPr>
            <w:tcW w:w="876" w:type="dxa"/>
            <w:tcBorders>
              <w:top w:val="nil"/>
              <w:left w:val="nil"/>
              <w:bottom w:val="nil"/>
              <w:right w:val="nil"/>
              <w:tl2br w:val="nil"/>
              <w:tr2bl w:val="nil"/>
            </w:tcBorders>
            <w:tcMar>
              <w:left w:w="60" w:type="dxa"/>
              <w:right w:w="60" w:type="dxa"/>
            </w:tcMar>
            <w:vAlign w:val="center"/>
          </w:tcPr>
          <w:p w14:paraId="0AC3FD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3 028</w:t>
            </w:r>
          </w:p>
        </w:tc>
        <w:tc>
          <w:tcPr>
            <w:tcW w:w="876" w:type="dxa"/>
            <w:tcBorders>
              <w:top w:val="nil"/>
              <w:left w:val="nil"/>
              <w:bottom w:val="nil"/>
              <w:right w:val="nil"/>
              <w:tl2br w:val="nil"/>
              <w:tr2bl w:val="nil"/>
            </w:tcBorders>
            <w:tcMar>
              <w:left w:w="60" w:type="dxa"/>
              <w:right w:w="60" w:type="dxa"/>
            </w:tcMar>
            <w:vAlign w:val="center"/>
          </w:tcPr>
          <w:p w14:paraId="1BE2B9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3FBF4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129</w:t>
            </w:r>
          </w:p>
        </w:tc>
        <w:tc>
          <w:tcPr>
            <w:tcW w:w="876" w:type="dxa"/>
            <w:tcBorders>
              <w:top w:val="nil"/>
              <w:left w:val="nil"/>
              <w:bottom w:val="nil"/>
              <w:right w:val="nil"/>
              <w:tl2br w:val="nil"/>
              <w:tr2bl w:val="nil"/>
            </w:tcBorders>
            <w:tcMar>
              <w:left w:w="60" w:type="dxa"/>
              <w:right w:w="60" w:type="dxa"/>
            </w:tcMar>
            <w:vAlign w:val="center"/>
          </w:tcPr>
          <w:p w14:paraId="53E1B93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3 157</w:t>
            </w:r>
          </w:p>
        </w:tc>
      </w:tr>
      <w:tr w:rsidR="00807FFE" w14:paraId="646C51B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7579C4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7132DAE"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Remuneration external staff</w:t>
            </w:r>
          </w:p>
        </w:tc>
        <w:tc>
          <w:tcPr>
            <w:tcW w:w="875" w:type="dxa"/>
            <w:tcBorders>
              <w:top w:val="nil"/>
              <w:left w:val="nil"/>
              <w:bottom w:val="nil"/>
              <w:right w:val="nil"/>
              <w:tl2br w:val="nil"/>
              <w:tr2bl w:val="nil"/>
            </w:tcBorders>
            <w:tcMar>
              <w:left w:w="60" w:type="dxa"/>
              <w:right w:w="60" w:type="dxa"/>
            </w:tcMar>
            <w:vAlign w:val="center"/>
          </w:tcPr>
          <w:p w14:paraId="55CC368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311</w:t>
            </w:r>
          </w:p>
        </w:tc>
        <w:tc>
          <w:tcPr>
            <w:tcW w:w="875" w:type="dxa"/>
            <w:tcBorders>
              <w:top w:val="nil"/>
              <w:left w:val="nil"/>
              <w:bottom w:val="nil"/>
              <w:right w:val="nil"/>
              <w:tl2br w:val="nil"/>
              <w:tr2bl w:val="nil"/>
            </w:tcBorders>
            <w:tcMar>
              <w:left w:w="60" w:type="dxa"/>
              <w:right w:w="60" w:type="dxa"/>
            </w:tcMar>
            <w:vAlign w:val="center"/>
          </w:tcPr>
          <w:p w14:paraId="16552D2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5" w:type="dxa"/>
            <w:tcBorders>
              <w:top w:val="nil"/>
              <w:left w:val="nil"/>
              <w:bottom w:val="nil"/>
              <w:right w:val="nil"/>
              <w:tl2br w:val="nil"/>
              <w:tr2bl w:val="nil"/>
            </w:tcBorders>
            <w:tcMar>
              <w:left w:w="60" w:type="dxa"/>
              <w:right w:w="60" w:type="dxa"/>
            </w:tcMar>
            <w:vAlign w:val="center"/>
          </w:tcPr>
          <w:p w14:paraId="5CB286B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300</w:t>
            </w:r>
          </w:p>
        </w:tc>
        <w:tc>
          <w:tcPr>
            <w:tcW w:w="876" w:type="dxa"/>
            <w:tcBorders>
              <w:top w:val="nil"/>
              <w:left w:val="nil"/>
              <w:bottom w:val="nil"/>
              <w:right w:val="nil"/>
              <w:tl2br w:val="nil"/>
              <w:tr2bl w:val="nil"/>
            </w:tcBorders>
            <w:tcMar>
              <w:left w:w="60" w:type="dxa"/>
              <w:right w:w="60" w:type="dxa"/>
            </w:tcMar>
            <w:vAlign w:val="center"/>
          </w:tcPr>
          <w:p w14:paraId="47E6E7E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05A94E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169</w:t>
            </w:r>
          </w:p>
        </w:tc>
        <w:tc>
          <w:tcPr>
            <w:tcW w:w="876" w:type="dxa"/>
            <w:tcBorders>
              <w:top w:val="nil"/>
              <w:left w:val="nil"/>
              <w:bottom w:val="nil"/>
              <w:right w:val="nil"/>
              <w:tl2br w:val="nil"/>
              <w:tr2bl w:val="nil"/>
            </w:tcBorders>
            <w:tcMar>
              <w:left w:w="60" w:type="dxa"/>
              <w:right w:w="60" w:type="dxa"/>
            </w:tcMar>
            <w:vAlign w:val="center"/>
          </w:tcPr>
          <w:p w14:paraId="2E10416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469</w:t>
            </w:r>
          </w:p>
        </w:tc>
        <w:tc>
          <w:tcPr>
            <w:tcW w:w="876" w:type="dxa"/>
            <w:tcBorders>
              <w:top w:val="nil"/>
              <w:left w:val="nil"/>
              <w:bottom w:val="nil"/>
              <w:right w:val="nil"/>
              <w:tl2br w:val="nil"/>
              <w:tr2bl w:val="nil"/>
            </w:tcBorders>
            <w:tcMar>
              <w:left w:w="60" w:type="dxa"/>
              <w:right w:w="60" w:type="dxa"/>
            </w:tcMar>
            <w:vAlign w:val="center"/>
          </w:tcPr>
          <w:p w14:paraId="40AA0F8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311</w:t>
            </w:r>
          </w:p>
        </w:tc>
        <w:tc>
          <w:tcPr>
            <w:tcW w:w="876" w:type="dxa"/>
            <w:tcBorders>
              <w:top w:val="nil"/>
              <w:left w:val="nil"/>
              <w:bottom w:val="nil"/>
              <w:right w:val="nil"/>
              <w:tl2br w:val="nil"/>
              <w:tr2bl w:val="nil"/>
            </w:tcBorders>
            <w:tcMar>
              <w:left w:w="60" w:type="dxa"/>
              <w:right w:w="60" w:type="dxa"/>
            </w:tcMar>
            <w:vAlign w:val="center"/>
          </w:tcPr>
          <w:p w14:paraId="57232AC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14:paraId="7B2CE19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300</w:t>
            </w:r>
          </w:p>
        </w:tc>
        <w:tc>
          <w:tcPr>
            <w:tcW w:w="876" w:type="dxa"/>
            <w:tcBorders>
              <w:top w:val="nil"/>
              <w:left w:val="nil"/>
              <w:bottom w:val="nil"/>
              <w:right w:val="nil"/>
              <w:tl2br w:val="nil"/>
              <w:tr2bl w:val="nil"/>
            </w:tcBorders>
            <w:tcMar>
              <w:left w:w="60" w:type="dxa"/>
              <w:right w:w="60" w:type="dxa"/>
            </w:tcMar>
            <w:vAlign w:val="center"/>
          </w:tcPr>
          <w:p w14:paraId="03D855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14:paraId="1D598BE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172</w:t>
            </w:r>
          </w:p>
        </w:tc>
        <w:tc>
          <w:tcPr>
            <w:tcW w:w="876" w:type="dxa"/>
            <w:tcBorders>
              <w:top w:val="nil"/>
              <w:left w:val="nil"/>
              <w:bottom w:val="nil"/>
              <w:right w:val="nil"/>
              <w:tl2br w:val="nil"/>
              <w:tr2bl w:val="nil"/>
            </w:tcBorders>
            <w:tcMar>
              <w:left w:w="60" w:type="dxa"/>
              <w:right w:w="60" w:type="dxa"/>
            </w:tcMar>
            <w:vAlign w:val="center"/>
          </w:tcPr>
          <w:p w14:paraId="0F590047"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493</w:t>
            </w:r>
          </w:p>
        </w:tc>
      </w:tr>
      <w:tr w:rsidR="00807FFE" w14:paraId="73AEEFB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A880D4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073672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Members - Salaries and allowances</w:t>
            </w:r>
          </w:p>
        </w:tc>
        <w:tc>
          <w:tcPr>
            <w:tcW w:w="875" w:type="dxa"/>
            <w:tcBorders>
              <w:top w:val="nil"/>
              <w:left w:val="nil"/>
              <w:bottom w:val="nil"/>
              <w:right w:val="nil"/>
              <w:tl2br w:val="nil"/>
              <w:tr2bl w:val="nil"/>
            </w:tcBorders>
            <w:tcMar>
              <w:left w:w="60" w:type="dxa"/>
              <w:right w:w="60" w:type="dxa"/>
            </w:tcMar>
            <w:vAlign w:val="center"/>
          </w:tcPr>
          <w:p w14:paraId="2648A8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5" w:type="dxa"/>
            <w:tcBorders>
              <w:top w:val="nil"/>
              <w:left w:val="nil"/>
              <w:bottom w:val="nil"/>
              <w:right w:val="nil"/>
              <w:tl2br w:val="nil"/>
              <w:tr2bl w:val="nil"/>
            </w:tcBorders>
            <w:tcMar>
              <w:left w:w="60" w:type="dxa"/>
              <w:right w:w="60" w:type="dxa"/>
            </w:tcMar>
            <w:vAlign w:val="center"/>
          </w:tcPr>
          <w:p w14:paraId="4C860F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14:paraId="4E1614C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14:paraId="4029128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2B9A4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6F271C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14:paraId="3E03CE3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3309F1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1F89B6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14:paraId="011D6EA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12BB66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501087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22</w:t>
            </w:r>
          </w:p>
        </w:tc>
      </w:tr>
      <w:tr w:rsidR="00807FFE" w14:paraId="1CEED4C2"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92EE639"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742C8B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Members - Temporary allowances</w:t>
            </w:r>
          </w:p>
        </w:tc>
        <w:tc>
          <w:tcPr>
            <w:tcW w:w="875" w:type="dxa"/>
            <w:tcBorders>
              <w:top w:val="nil"/>
              <w:left w:val="nil"/>
              <w:bottom w:val="nil"/>
              <w:right w:val="nil"/>
              <w:tl2br w:val="nil"/>
              <w:tr2bl w:val="nil"/>
            </w:tcBorders>
            <w:tcMar>
              <w:left w:w="60" w:type="dxa"/>
              <w:right w:w="60" w:type="dxa"/>
            </w:tcMar>
            <w:vAlign w:val="center"/>
          </w:tcPr>
          <w:p w14:paraId="181BBEB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5" w:type="dxa"/>
            <w:tcBorders>
              <w:top w:val="nil"/>
              <w:left w:val="nil"/>
              <w:bottom w:val="nil"/>
              <w:right w:val="nil"/>
              <w:tl2br w:val="nil"/>
              <w:tr2bl w:val="nil"/>
            </w:tcBorders>
            <w:tcMar>
              <w:left w:w="60" w:type="dxa"/>
              <w:right w:w="60" w:type="dxa"/>
            </w:tcMar>
            <w:vAlign w:val="center"/>
          </w:tcPr>
          <w:p w14:paraId="7B6F89C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0106873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727D373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8BD3A9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E7C810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96FA84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3B97ED2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E72F6C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B72B7F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B085FF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B573DE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000DA2BB"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164EA66"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7810F50"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Recruitment costs</w:t>
            </w:r>
          </w:p>
        </w:tc>
        <w:tc>
          <w:tcPr>
            <w:tcW w:w="875" w:type="dxa"/>
            <w:tcBorders>
              <w:top w:val="nil"/>
              <w:left w:val="nil"/>
              <w:bottom w:val="nil"/>
              <w:right w:val="nil"/>
              <w:tl2br w:val="nil"/>
              <w:tr2bl w:val="nil"/>
            </w:tcBorders>
            <w:tcMar>
              <w:left w:w="60" w:type="dxa"/>
              <w:right w:w="60" w:type="dxa"/>
            </w:tcMar>
            <w:vAlign w:val="center"/>
          </w:tcPr>
          <w:p w14:paraId="5D355C1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875" w:type="dxa"/>
            <w:tcBorders>
              <w:top w:val="nil"/>
              <w:left w:val="nil"/>
              <w:bottom w:val="nil"/>
              <w:right w:val="nil"/>
              <w:tl2br w:val="nil"/>
              <w:tr2bl w:val="nil"/>
            </w:tcBorders>
            <w:tcMar>
              <w:left w:w="60" w:type="dxa"/>
              <w:right w:w="60" w:type="dxa"/>
            </w:tcMar>
            <w:vAlign w:val="center"/>
          </w:tcPr>
          <w:p w14:paraId="631B752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2F6AA1A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14:paraId="28C946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C9E03F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50A862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14:paraId="5FC8555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14:paraId="237EAAA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4D66479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14:paraId="67D4A9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648A5C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AFB26D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37</w:t>
            </w:r>
          </w:p>
        </w:tc>
      </w:tr>
      <w:tr w:rsidR="00807FFE" w14:paraId="0EACB5BB"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628A23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FE51B3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Termination of service</w:t>
            </w:r>
          </w:p>
        </w:tc>
        <w:tc>
          <w:tcPr>
            <w:tcW w:w="875" w:type="dxa"/>
            <w:tcBorders>
              <w:top w:val="nil"/>
              <w:left w:val="nil"/>
              <w:bottom w:val="nil"/>
              <w:right w:val="nil"/>
              <w:tl2br w:val="nil"/>
              <w:tr2bl w:val="nil"/>
            </w:tcBorders>
            <w:tcMar>
              <w:left w:w="60" w:type="dxa"/>
              <w:right w:w="60" w:type="dxa"/>
            </w:tcMar>
            <w:vAlign w:val="center"/>
          </w:tcPr>
          <w:p w14:paraId="1351C34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5" w:type="dxa"/>
            <w:tcBorders>
              <w:top w:val="nil"/>
              <w:left w:val="nil"/>
              <w:bottom w:val="nil"/>
              <w:right w:val="nil"/>
              <w:tl2br w:val="nil"/>
              <w:tr2bl w:val="nil"/>
            </w:tcBorders>
            <w:tcMar>
              <w:left w:w="60" w:type="dxa"/>
              <w:right w:w="60" w:type="dxa"/>
            </w:tcMar>
            <w:vAlign w:val="center"/>
          </w:tcPr>
          <w:p w14:paraId="42BE555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1ADCA17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1D2AB77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ACDC9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3B5D32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4171AC7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40F17D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B5E4F4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3C1305A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0CD4C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EFDEE53"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w:t>
            </w:r>
          </w:p>
        </w:tc>
      </w:tr>
      <w:tr w:rsidR="00807FFE" w14:paraId="49A83719"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2C476A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609264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Training costs</w:t>
            </w:r>
          </w:p>
        </w:tc>
        <w:tc>
          <w:tcPr>
            <w:tcW w:w="875" w:type="dxa"/>
            <w:tcBorders>
              <w:top w:val="nil"/>
              <w:left w:val="nil"/>
              <w:bottom w:val="nil"/>
              <w:right w:val="nil"/>
              <w:tl2br w:val="nil"/>
              <w:tr2bl w:val="nil"/>
            </w:tcBorders>
            <w:tcMar>
              <w:left w:w="60" w:type="dxa"/>
              <w:right w:w="60" w:type="dxa"/>
            </w:tcMar>
            <w:vAlign w:val="center"/>
          </w:tcPr>
          <w:p w14:paraId="780E7FC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5" w:type="dxa"/>
            <w:tcBorders>
              <w:top w:val="nil"/>
              <w:left w:val="nil"/>
              <w:bottom w:val="nil"/>
              <w:right w:val="nil"/>
              <w:tl2br w:val="nil"/>
              <w:tr2bl w:val="nil"/>
            </w:tcBorders>
            <w:tcMar>
              <w:left w:w="60" w:type="dxa"/>
              <w:right w:w="60" w:type="dxa"/>
            </w:tcMar>
            <w:vAlign w:val="center"/>
          </w:tcPr>
          <w:p w14:paraId="5F48FD8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0E326D2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3F9112A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B84988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68DD794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1382254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02DE07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1AE548E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692AB78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26CEF52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14:paraId="6C9FCDD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37</w:t>
            </w:r>
          </w:p>
        </w:tc>
      </w:tr>
      <w:tr w:rsidR="00807FFE" w14:paraId="6E9FEFB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556A84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883733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Social and Mobility</w:t>
            </w:r>
          </w:p>
        </w:tc>
        <w:tc>
          <w:tcPr>
            <w:tcW w:w="875" w:type="dxa"/>
            <w:tcBorders>
              <w:top w:val="nil"/>
              <w:left w:val="nil"/>
              <w:bottom w:val="nil"/>
              <w:right w:val="nil"/>
              <w:tl2br w:val="nil"/>
              <w:tr2bl w:val="nil"/>
            </w:tcBorders>
            <w:tcMar>
              <w:left w:w="60" w:type="dxa"/>
              <w:right w:w="60" w:type="dxa"/>
            </w:tcMar>
            <w:vAlign w:val="center"/>
          </w:tcPr>
          <w:p w14:paraId="65E86F6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75" w:type="dxa"/>
            <w:tcBorders>
              <w:top w:val="nil"/>
              <w:left w:val="nil"/>
              <w:bottom w:val="nil"/>
              <w:right w:val="nil"/>
              <w:tl2br w:val="nil"/>
              <w:tr2bl w:val="nil"/>
            </w:tcBorders>
            <w:tcMar>
              <w:left w:w="60" w:type="dxa"/>
              <w:right w:w="60" w:type="dxa"/>
            </w:tcMar>
            <w:vAlign w:val="center"/>
          </w:tcPr>
          <w:p w14:paraId="2107B6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3FEEBA9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14:paraId="4479B6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0C6BB48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14:paraId="1AF8B63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876" w:type="dxa"/>
            <w:tcBorders>
              <w:top w:val="nil"/>
              <w:left w:val="nil"/>
              <w:bottom w:val="nil"/>
              <w:right w:val="nil"/>
              <w:tl2br w:val="nil"/>
              <w:tr2bl w:val="nil"/>
            </w:tcBorders>
            <w:tcMar>
              <w:left w:w="60" w:type="dxa"/>
              <w:right w:w="60" w:type="dxa"/>
            </w:tcMar>
            <w:vAlign w:val="center"/>
          </w:tcPr>
          <w:p w14:paraId="527357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14:paraId="2DFAB0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054D393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14:paraId="7E99448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58E7D74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14:paraId="513B650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64</w:t>
            </w:r>
          </w:p>
        </w:tc>
      </w:tr>
      <w:tr w:rsidR="00807FFE" w14:paraId="36F14BBB"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8BC63C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E4D6FF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Information and communication technology</w:t>
            </w:r>
          </w:p>
        </w:tc>
        <w:tc>
          <w:tcPr>
            <w:tcW w:w="875" w:type="dxa"/>
            <w:tcBorders>
              <w:top w:val="nil"/>
              <w:left w:val="nil"/>
              <w:bottom w:val="nil"/>
              <w:right w:val="nil"/>
              <w:tl2br w:val="nil"/>
              <w:tr2bl w:val="nil"/>
            </w:tcBorders>
            <w:tcMar>
              <w:left w:w="60" w:type="dxa"/>
              <w:right w:w="60" w:type="dxa"/>
            </w:tcMar>
            <w:vAlign w:val="center"/>
          </w:tcPr>
          <w:p w14:paraId="3BCDFF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285</w:t>
            </w:r>
          </w:p>
        </w:tc>
        <w:tc>
          <w:tcPr>
            <w:tcW w:w="875" w:type="dxa"/>
            <w:tcBorders>
              <w:top w:val="nil"/>
              <w:left w:val="nil"/>
              <w:bottom w:val="nil"/>
              <w:right w:val="nil"/>
              <w:tl2br w:val="nil"/>
              <w:tr2bl w:val="nil"/>
            </w:tcBorders>
            <w:tcMar>
              <w:left w:w="60" w:type="dxa"/>
              <w:right w:w="60" w:type="dxa"/>
            </w:tcMar>
            <w:vAlign w:val="center"/>
          </w:tcPr>
          <w:p w14:paraId="68CD9D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5" w:type="dxa"/>
            <w:tcBorders>
              <w:top w:val="nil"/>
              <w:left w:val="nil"/>
              <w:bottom w:val="nil"/>
              <w:right w:val="nil"/>
              <w:tl2br w:val="nil"/>
              <w:tr2bl w:val="nil"/>
            </w:tcBorders>
            <w:tcMar>
              <w:left w:w="60" w:type="dxa"/>
              <w:right w:w="60" w:type="dxa"/>
            </w:tcMar>
            <w:vAlign w:val="center"/>
          </w:tcPr>
          <w:p w14:paraId="332585A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292</w:t>
            </w:r>
          </w:p>
        </w:tc>
        <w:tc>
          <w:tcPr>
            <w:tcW w:w="876" w:type="dxa"/>
            <w:tcBorders>
              <w:top w:val="nil"/>
              <w:left w:val="nil"/>
              <w:bottom w:val="nil"/>
              <w:right w:val="nil"/>
              <w:tl2br w:val="nil"/>
              <w:tr2bl w:val="nil"/>
            </w:tcBorders>
            <w:tcMar>
              <w:left w:w="60" w:type="dxa"/>
              <w:right w:w="60" w:type="dxa"/>
            </w:tcMar>
            <w:vAlign w:val="center"/>
          </w:tcPr>
          <w:p w14:paraId="41843E4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9567D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308</w:t>
            </w:r>
          </w:p>
        </w:tc>
        <w:tc>
          <w:tcPr>
            <w:tcW w:w="876" w:type="dxa"/>
            <w:tcBorders>
              <w:top w:val="nil"/>
              <w:left w:val="nil"/>
              <w:bottom w:val="nil"/>
              <w:right w:val="nil"/>
              <w:tl2br w:val="nil"/>
              <w:tr2bl w:val="nil"/>
            </w:tcBorders>
            <w:tcMar>
              <w:left w:w="60" w:type="dxa"/>
              <w:right w:w="60" w:type="dxa"/>
            </w:tcMar>
            <w:vAlign w:val="center"/>
          </w:tcPr>
          <w:p w14:paraId="5620BCD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600</w:t>
            </w:r>
          </w:p>
        </w:tc>
        <w:tc>
          <w:tcPr>
            <w:tcW w:w="876" w:type="dxa"/>
            <w:tcBorders>
              <w:top w:val="nil"/>
              <w:left w:val="nil"/>
              <w:bottom w:val="nil"/>
              <w:right w:val="nil"/>
              <w:tl2br w:val="nil"/>
              <w:tr2bl w:val="nil"/>
            </w:tcBorders>
            <w:tcMar>
              <w:left w:w="60" w:type="dxa"/>
              <w:right w:w="60" w:type="dxa"/>
            </w:tcMar>
            <w:vAlign w:val="center"/>
          </w:tcPr>
          <w:p w14:paraId="40F9D0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285</w:t>
            </w:r>
          </w:p>
        </w:tc>
        <w:tc>
          <w:tcPr>
            <w:tcW w:w="876" w:type="dxa"/>
            <w:tcBorders>
              <w:top w:val="nil"/>
              <w:left w:val="nil"/>
              <w:bottom w:val="nil"/>
              <w:right w:val="nil"/>
              <w:tl2br w:val="nil"/>
              <w:tr2bl w:val="nil"/>
            </w:tcBorders>
            <w:tcMar>
              <w:left w:w="60" w:type="dxa"/>
              <w:right w:w="60" w:type="dxa"/>
            </w:tcMar>
            <w:vAlign w:val="center"/>
          </w:tcPr>
          <w:p w14:paraId="4AD2381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7DBDE80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292</w:t>
            </w:r>
          </w:p>
        </w:tc>
        <w:tc>
          <w:tcPr>
            <w:tcW w:w="876" w:type="dxa"/>
            <w:tcBorders>
              <w:top w:val="nil"/>
              <w:left w:val="nil"/>
              <w:bottom w:val="nil"/>
              <w:right w:val="nil"/>
              <w:tl2br w:val="nil"/>
              <w:tr2bl w:val="nil"/>
            </w:tcBorders>
            <w:tcMar>
              <w:left w:w="60" w:type="dxa"/>
              <w:right w:w="60" w:type="dxa"/>
            </w:tcMar>
            <w:vAlign w:val="center"/>
          </w:tcPr>
          <w:p w14:paraId="797C089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120</w:t>
            </w:r>
          </w:p>
        </w:tc>
        <w:tc>
          <w:tcPr>
            <w:tcW w:w="876" w:type="dxa"/>
            <w:tcBorders>
              <w:top w:val="nil"/>
              <w:left w:val="nil"/>
              <w:bottom w:val="nil"/>
              <w:right w:val="nil"/>
              <w:tl2br w:val="nil"/>
              <w:tr2bl w:val="nil"/>
            </w:tcBorders>
            <w:tcMar>
              <w:left w:w="60" w:type="dxa"/>
              <w:right w:w="60" w:type="dxa"/>
            </w:tcMar>
            <w:vAlign w:val="center"/>
          </w:tcPr>
          <w:p w14:paraId="2661BEC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354</w:t>
            </w:r>
          </w:p>
        </w:tc>
        <w:tc>
          <w:tcPr>
            <w:tcW w:w="876" w:type="dxa"/>
            <w:tcBorders>
              <w:top w:val="nil"/>
              <w:left w:val="nil"/>
              <w:bottom w:val="nil"/>
              <w:right w:val="nil"/>
              <w:tl2br w:val="nil"/>
              <w:tr2bl w:val="nil"/>
            </w:tcBorders>
            <w:tcMar>
              <w:left w:w="60" w:type="dxa"/>
              <w:right w:w="60" w:type="dxa"/>
            </w:tcMar>
            <w:vAlign w:val="center"/>
          </w:tcPr>
          <w:p w14:paraId="0EDFB361"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765</w:t>
            </w:r>
          </w:p>
        </w:tc>
      </w:tr>
      <w:tr w:rsidR="00807FFE" w14:paraId="37AF62FE"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1F32750"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83814DC"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Rents and purchases</w:t>
            </w:r>
          </w:p>
        </w:tc>
        <w:tc>
          <w:tcPr>
            <w:tcW w:w="875" w:type="dxa"/>
            <w:tcBorders>
              <w:top w:val="nil"/>
              <w:left w:val="nil"/>
              <w:bottom w:val="nil"/>
              <w:right w:val="nil"/>
              <w:tl2br w:val="nil"/>
              <w:tr2bl w:val="nil"/>
            </w:tcBorders>
            <w:tcMar>
              <w:left w:w="60" w:type="dxa"/>
              <w:right w:w="60" w:type="dxa"/>
            </w:tcMar>
            <w:vAlign w:val="center"/>
          </w:tcPr>
          <w:p w14:paraId="2A850BD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274</w:t>
            </w:r>
          </w:p>
        </w:tc>
        <w:tc>
          <w:tcPr>
            <w:tcW w:w="875" w:type="dxa"/>
            <w:tcBorders>
              <w:top w:val="nil"/>
              <w:left w:val="nil"/>
              <w:bottom w:val="nil"/>
              <w:right w:val="nil"/>
              <w:tl2br w:val="nil"/>
              <w:tr2bl w:val="nil"/>
            </w:tcBorders>
            <w:tcMar>
              <w:left w:w="60" w:type="dxa"/>
              <w:right w:w="60" w:type="dxa"/>
            </w:tcMar>
            <w:vAlign w:val="center"/>
          </w:tcPr>
          <w:p w14:paraId="4D253C9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75" w:type="dxa"/>
            <w:tcBorders>
              <w:top w:val="nil"/>
              <w:left w:val="nil"/>
              <w:bottom w:val="nil"/>
              <w:right w:val="nil"/>
              <w:tl2br w:val="nil"/>
              <w:tr2bl w:val="nil"/>
            </w:tcBorders>
            <w:tcMar>
              <w:left w:w="60" w:type="dxa"/>
              <w:right w:w="60" w:type="dxa"/>
            </w:tcMar>
            <w:vAlign w:val="center"/>
          </w:tcPr>
          <w:p w14:paraId="2892006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321</w:t>
            </w:r>
          </w:p>
        </w:tc>
        <w:tc>
          <w:tcPr>
            <w:tcW w:w="876" w:type="dxa"/>
            <w:tcBorders>
              <w:top w:val="nil"/>
              <w:left w:val="nil"/>
              <w:bottom w:val="nil"/>
              <w:right w:val="nil"/>
              <w:tl2br w:val="nil"/>
              <w:tr2bl w:val="nil"/>
            </w:tcBorders>
            <w:tcMar>
              <w:left w:w="60" w:type="dxa"/>
              <w:right w:w="60" w:type="dxa"/>
            </w:tcMar>
            <w:vAlign w:val="center"/>
          </w:tcPr>
          <w:p w14:paraId="0426A5A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9AD7B3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690</w:t>
            </w:r>
          </w:p>
        </w:tc>
        <w:tc>
          <w:tcPr>
            <w:tcW w:w="876" w:type="dxa"/>
            <w:tcBorders>
              <w:top w:val="nil"/>
              <w:left w:val="nil"/>
              <w:bottom w:val="nil"/>
              <w:right w:val="nil"/>
              <w:tl2br w:val="nil"/>
              <w:tr2bl w:val="nil"/>
            </w:tcBorders>
            <w:tcMar>
              <w:left w:w="60" w:type="dxa"/>
              <w:right w:w="60" w:type="dxa"/>
            </w:tcMar>
            <w:vAlign w:val="center"/>
          </w:tcPr>
          <w:p w14:paraId="6F5BCEE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1 011</w:t>
            </w:r>
          </w:p>
        </w:tc>
        <w:tc>
          <w:tcPr>
            <w:tcW w:w="876" w:type="dxa"/>
            <w:tcBorders>
              <w:top w:val="nil"/>
              <w:left w:val="nil"/>
              <w:bottom w:val="nil"/>
              <w:right w:val="nil"/>
              <w:tl2br w:val="nil"/>
              <w:tr2bl w:val="nil"/>
            </w:tcBorders>
            <w:tcMar>
              <w:left w:w="60" w:type="dxa"/>
              <w:right w:w="60" w:type="dxa"/>
            </w:tcMar>
            <w:vAlign w:val="center"/>
          </w:tcPr>
          <w:p w14:paraId="301C83E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274</w:t>
            </w:r>
          </w:p>
        </w:tc>
        <w:tc>
          <w:tcPr>
            <w:tcW w:w="876" w:type="dxa"/>
            <w:tcBorders>
              <w:top w:val="nil"/>
              <w:left w:val="nil"/>
              <w:bottom w:val="nil"/>
              <w:right w:val="nil"/>
              <w:tl2br w:val="nil"/>
              <w:tr2bl w:val="nil"/>
            </w:tcBorders>
            <w:tcMar>
              <w:left w:w="60" w:type="dxa"/>
              <w:right w:w="60" w:type="dxa"/>
            </w:tcMar>
            <w:vAlign w:val="center"/>
          </w:tcPr>
          <w:p w14:paraId="50FCF9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14:paraId="14015E9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321</w:t>
            </w:r>
          </w:p>
        </w:tc>
        <w:tc>
          <w:tcPr>
            <w:tcW w:w="876" w:type="dxa"/>
            <w:tcBorders>
              <w:top w:val="nil"/>
              <w:left w:val="nil"/>
              <w:bottom w:val="nil"/>
              <w:right w:val="nil"/>
              <w:tl2br w:val="nil"/>
              <w:tr2bl w:val="nil"/>
            </w:tcBorders>
            <w:tcMar>
              <w:left w:w="60" w:type="dxa"/>
              <w:right w:w="60" w:type="dxa"/>
            </w:tcMar>
            <w:vAlign w:val="center"/>
          </w:tcPr>
          <w:p w14:paraId="1397B80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14:paraId="3E7BBC3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691</w:t>
            </w:r>
          </w:p>
        </w:tc>
        <w:tc>
          <w:tcPr>
            <w:tcW w:w="876" w:type="dxa"/>
            <w:tcBorders>
              <w:top w:val="nil"/>
              <w:left w:val="nil"/>
              <w:bottom w:val="nil"/>
              <w:right w:val="nil"/>
              <w:tl2br w:val="nil"/>
              <w:tr2bl w:val="nil"/>
            </w:tcBorders>
            <w:tcMar>
              <w:left w:w="60" w:type="dxa"/>
              <w:right w:w="60" w:type="dxa"/>
            </w:tcMar>
            <w:vAlign w:val="center"/>
          </w:tcPr>
          <w:p w14:paraId="2BF02B07"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1 042</w:t>
            </w:r>
          </w:p>
        </w:tc>
      </w:tr>
      <w:tr w:rsidR="00807FFE" w14:paraId="5A25D3EA"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E756DA2"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9FBC501"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Linked to buildings</w:t>
            </w:r>
          </w:p>
        </w:tc>
        <w:tc>
          <w:tcPr>
            <w:tcW w:w="875" w:type="dxa"/>
            <w:tcBorders>
              <w:top w:val="nil"/>
              <w:left w:val="nil"/>
              <w:bottom w:val="nil"/>
              <w:right w:val="nil"/>
              <w:tl2br w:val="nil"/>
              <w:tr2bl w:val="nil"/>
            </w:tcBorders>
            <w:tcMar>
              <w:left w:w="60" w:type="dxa"/>
              <w:right w:w="60" w:type="dxa"/>
            </w:tcMar>
            <w:vAlign w:val="center"/>
          </w:tcPr>
          <w:p w14:paraId="2AC1997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150</w:t>
            </w:r>
          </w:p>
        </w:tc>
        <w:tc>
          <w:tcPr>
            <w:tcW w:w="875" w:type="dxa"/>
            <w:tcBorders>
              <w:top w:val="nil"/>
              <w:left w:val="nil"/>
              <w:bottom w:val="nil"/>
              <w:right w:val="nil"/>
              <w:tl2br w:val="nil"/>
              <w:tr2bl w:val="nil"/>
            </w:tcBorders>
            <w:tcMar>
              <w:left w:w="60" w:type="dxa"/>
              <w:right w:w="60" w:type="dxa"/>
            </w:tcMar>
            <w:vAlign w:val="center"/>
          </w:tcPr>
          <w:p w14:paraId="60287B5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875" w:type="dxa"/>
            <w:tcBorders>
              <w:top w:val="nil"/>
              <w:left w:val="nil"/>
              <w:bottom w:val="nil"/>
              <w:right w:val="nil"/>
              <w:tl2br w:val="nil"/>
              <w:tr2bl w:val="nil"/>
            </w:tcBorders>
            <w:tcMar>
              <w:left w:w="60" w:type="dxa"/>
              <w:right w:w="60" w:type="dxa"/>
            </w:tcMar>
            <w:vAlign w:val="center"/>
          </w:tcPr>
          <w:p w14:paraId="0C1072A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113</w:t>
            </w:r>
          </w:p>
        </w:tc>
        <w:tc>
          <w:tcPr>
            <w:tcW w:w="876" w:type="dxa"/>
            <w:tcBorders>
              <w:top w:val="nil"/>
              <w:left w:val="nil"/>
              <w:bottom w:val="nil"/>
              <w:right w:val="nil"/>
              <w:tl2br w:val="nil"/>
              <w:tr2bl w:val="nil"/>
            </w:tcBorders>
            <w:tcMar>
              <w:left w:w="60" w:type="dxa"/>
              <w:right w:w="60" w:type="dxa"/>
            </w:tcMar>
            <w:vAlign w:val="center"/>
          </w:tcPr>
          <w:p w14:paraId="6E0C27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36450B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876" w:type="dxa"/>
            <w:tcBorders>
              <w:top w:val="nil"/>
              <w:left w:val="nil"/>
              <w:bottom w:val="nil"/>
              <w:right w:val="nil"/>
              <w:tl2br w:val="nil"/>
              <w:tr2bl w:val="nil"/>
            </w:tcBorders>
            <w:tcMar>
              <w:left w:w="60" w:type="dxa"/>
              <w:right w:w="60" w:type="dxa"/>
            </w:tcMar>
            <w:vAlign w:val="center"/>
          </w:tcPr>
          <w:p w14:paraId="1A7A51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876" w:type="dxa"/>
            <w:tcBorders>
              <w:top w:val="nil"/>
              <w:left w:val="nil"/>
              <w:bottom w:val="nil"/>
              <w:right w:val="nil"/>
              <w:tl2br w:val="nil"/>
              <w:tr2bl w:val="nil"/>
            </w:tcBorders>
            <w:tcMar>
              <w:left w:w="60" w:type="dxa"/>
              <w:right w:w="60" w:type="dxa"/>
            </w:tcMar>
            <w:vAlign w:val="center"/>
          </w:tcPr>
          <w:p w14:paraId="61A5E72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150</w:t>
            </w:r>
          </w:p>
        </w:tc>
        <w:tc>
          <w:tcPr>
            <w:tcW w:w="876" w:type="dxa"/>
            <w:tcBorders>
              <w:top w:val="nil"/>
              <w:left w:val="nil"/>
              <w:bottom w:val="nil"/>
              <w:right w:val="nil"/>
              <w:tl2br w:val="nil"/>
              <w:tr2bl w:val="nil"/>
            </w:tcBorders>
            <w:tcMar>
              <w:left w:w="60" w:type="dxa"/>
              <w:right w:w="60" w:type="dxa"/>
            </w:tcMar>
            <w:vAlign w:val="center"/>
          </w:tcPr>
          <w:p w14:paraId="34A2DA1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876" w:type="dxa"/>
            <w:tcBorders>
              <w:top w:val="nil"/>
              <w:left w:val="nil"/>
              <w:bottom w:val="nil"/>
              <w:right w:val="nil"/>
              <w:tl2br w:val="nil"/>
              <w:tr2bl w:val="nil"/>
            </w:tcBorders>
            <w:tcMar>
              <w:left w:w="60" w:type="dxa"/>
              <w:right w:w="60" w:type="dxa"/>
            </w:tcMar>
            <w:vAlign w:val="center"/>
          </w:tcPr>
          <w:p w14:paraId="6696041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113</w:t>
            </w:r>
          </w:p>
        </w:tc>
        <w:tc>
          <w:tcPr>
            <w:tcW w:w="876" w:type="dxa"/>
            <w:tcBorders>
              <w:top w:val="nil"/>
              <w:left w:val="nil"/>
              <w:bottom w:val="nil"/>
              <w:right w:val="nil"/>
              <w:tl2br w:val="nil"/>
              <w:tr2bl w:val="nil"/>
            </w:tcBorders>
            <w:tcMar>
              <w:left w:w="60" w:type="dxa"/>
              <w:right w:w="60" w:type="dxa"/>
            </w:tcMar>
            <w:vAlign w:val="center"/>
          </w:tcPr>
          <w:p w14:paraId="2427CEB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876" w:type="dxa"/>
            <w:tcBorders>
              <w:top w:val="nil"/>
              <w:left w:val="nil"/>
              <w:bottom w:val="nil"/>
              <w:right w:val="nil"/>
              <w:tl2br w:val="nil"/>
              <w:tr2bl w:val="nil"/>
            </w:tcBorders>
            <w:tcMar>
              <w:left w:w="60" w:type="dxa"/>
              <w:right w:w="60" w:type="dxa"/>
            </w:tcMar>
            <w:vAlign w:val="center"/>
          </w:tcPr>
          <w:p w14:paraId="2632B6C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49</w:t>
            </w:r>
          </w:p>
        </w:tc>
        <w:tc>
          <w:tcPr>
            <w:tcW w:w="876" w:type="dxa"/>
            <w:tcBorders>
              <w:top w:val="nil"/>
              <w:left w:val="nil"/>
              <w:bottom w:val="nil"/>
              <w:right w:val="nil"/>
              <w:tl2br w:val="nil"/>
              <w:tr2bl w:val="nil"/>
            </w:tcBorders>
            <w:tcMar>
              <w:left w:w="60" w:type="dxa"/>
              <w:right w:w="60" w:type="dxa"/>
            </w:tcMar>
            <w:vAlign w:val="center"/>
          </w:tcPr>
          <w:p w14:paraId="02999CED"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207</w:t>
            </w:r>
          </w:p>
        </w:tc>
      </w:tr>
      <w:tr w:rsidR="00807FFE" w14:paraId="1593E60E"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83F8B1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8C86626"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Security</w:t>
            </w:r>
          </w:p>
        </w:tc>
        <w:tc>
          <w:tcPr>
            <w:tcW w:w="875" w:type="dxa"/>
            <w:tcBorders>
              <w:top w:val="nil"/>
              <w:left w:val="nil"/>
              <w:bottom w:val="nil"/>
              <w:right w:val="nil"/>
              <w:tl2br w:val="nil"/>
              <w:tr2bl w:val="nil"/>
            </w:tcBorders>
            <w:tcMar>
              <w:left w:w="60" w:type="dxa"/>
              <w:right w:w="60" w:type="dxa"/>
            </w:tcMar>
            <w:vAlign w:val="center"/>
          </w:tcPr>
          <w:p w14:paraId="7B03837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875" w:type="dxa"/>
            <w:tcBorders>
              <w:top w:val="nil"/>
              <w:left w:val="nil"/>
              <w:bottom w:val="nil"/>
              <w:right w:val="nil"/>
              <w:tl2br w:val="nil"/>
              <w:tr2bl w:val="nil"/>
            </w:tcBorders>
            <w:tcMar>
              <w:left w:w="60" w:type="dxa"/>
              <w:right w:w="60" w:type="dxa"/>
            </w:tcMar>
            <w:vAlign w:val="center"/>
          </w:tcPr>
          <w:p w14:paraId="50D746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14:paraId="6DC790F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14:paraId="1C10278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2C9F0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14:paraId="080D629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92</w:t>
            </w:r>
          </w:p>
        </w:tc>
        <w:tc>
          <w:tcPr>
            <w:tcW w:w="876" w:type="dxa"/>
            <w:tcBorders>
              <w:top w:val="nil"/>
              <w:left w:val="nil"/>
              <w:bottom w:val="nil"/>
              <w:right w:val="nil"/>
              <w:tl2br w:val="nil"/>
              <w:tr2bl w:val="nil"/>
            </w:tcBorders>
            <w:tcMar>
              <w:left w:w="60" w:type="dxa"/>
              <w:right w:w="60" w:type="dxa"/>
            </w:tcMar>
            <w:vAlign w:val="center"/>
          </w:tcPr>
          <w:p w14:paraId="048C6E2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876" w:type="dxa"/>
            <w:tcBorders>
              <w:top w:val="nil"/>
              <w:left w:val="nil"/>
              <w:bottom w:val="nil"/>
              <w:right w:val="nil"/>
              <w:tl2br w:val="nil"/>
              <w:tr2bl w:val="nil"/>
            </w:tcBorders>
            <w:tcMar>
              <w:left w:w="60" w:type="dxa"/>
              <w:right w:w="60" w:type="dxa"/>
            </w:tcMar>
            <w:vAlign w:val="center"/>
          </w:tcPr>
          <w:p w14:paraId="1A6AE7E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250181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14:paraId="25B8C52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3C71509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14:paraId="622DE415"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124</w:t>
            </w:r>
          </w:p>
        </w:tc>
      </w:tr>
      <w:tr w:rsidR="00807FFE" w14:paraId="56C709E4"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5ED5431"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CC3C2F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Mission and representation</w:t>
            </w:r>
          </w:p>
        </w:tc>
        <w:tc>
          <w:tcPr>
            <w:tcW w:w="875" w:type="dxa"/>
            <w:tcBorders>
              <w:top w:val="nil"/>
              <w:left w:val="nil"/>
              <w:bottom w:val="nil"/>
              <w:right w:val="nil"/>
              <w:tl2br w:val="nil"/>
              <w:tr2bl w:val="nil"/>
            </w:tcBorders>
            <w:tcMar>
              <w:left w:w="60" w:type="dxa"/>
              <w:right w:w="60" w:type="dxa"/>
            </w:tcMar>
            <w:vAlign w:val="center"/>
          </w:tcPr>
          <w:p w14:paraId="5D1BCF3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875" w:type="dxa"/>
            <w:tcBorders>
              <w:top w:val="nil"/>
              <w:left w:val="nil"/>
              <w:bottom w:val="nil"/>
              <w:right w:val="nil"/>
              <w:tl2br w:val="nil"/>
              <w:tr2bl w:val="nil"/>
            </w:tcBorders>
            <w:tcMar>
              <w:left w:w="60" w:type="dxa"/>
              <w:right w:w="60" w:type="dxa"/>
            </w:tcMar>
            <w:vAlign w:val="center"/>
          </w:tcPr>
          <w:p w14:paraId="0EE9DF2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5" w:type="dxa"/>
            <w:tcBorders>
              <w:top w:val="nil"/>
              <w:left w:val="nil"/>
              <w:bottom w:val="nil"/>
              <w:right w:val="nil"/>
              <w:tl2br w:val="nil"/>
              <w:tr2bl w:val="nil"/>
            </w:tcBorders>
            <w:tcMar>
              <w:left w:w="60" w:type="dxa"/>
              <w:right w:w="60" w:type="dxa"/>
            </w:tcMar>
            <w:vAlign w:val="center"/>
          </w:tcPr>
          <w:p w14:paraId="3D23AB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14:paraId="1C8655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882132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6126A0C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66</w:t>
            </w:r>
          </w:p>
        </w:tc>
        <w:tc>
          <w:tcPr>
            <w:tcW w:w="876" w:type="dxa"/>
            <w:tcBorders>
              <w:top w:val="nil"/>
              <w:left w:val="nil"/>
              <w:bottom w:val="nil"/>
              <w:right w:val="nil"/>
              <w:tl2br w:val="nil"/>
              <w:tr2bl w:val="nil"/>
            </w:tcBorders>
            <w:tcMar>
              <w:left w:w="60" w:type="dxa"/>
              <w:right w:w="60" w:type="dxa"/>
            </w:tcMar>
            <w:vAlign w:val="center"/>
          </w:tcPr>
          <w:p w14:paraId="21F1EC2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876" w:type="dxa"/>
            <w:tcBorders>
              <w:top w:val="nil"/>
              <w:left w:val="nil"/>
              <w:bottom w:val="nil"/>
              <w:right w:val="nil"/>
              <w:tl2br w:val="nil"/>
              <w:tr2bl w:val="nil"/>
            </w:tcBorders>
            <w:tcMar>
              <w:left w:w="60" w:type="dxa"/>
              <w:right w:w="60" w:type="dxa"/>
            </w:tcMar>
            <w:vAlign w:val="center"/>
          </w:tcPr>
          <w:p w14:paraId="58FE289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2967926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14:paraId="05675A3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14:paraId="68FC0A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282CB922"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76</w:t>
            </w:r>
          </w:p>
        </w:tc>
      </w:tr>
      <w:tr w:rsidR="00807FFE" w14:paraId="216D557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CD3670A"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524C41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Meetings, committees, conference</w:t>
            </w:r>
          </w:p>
        </w:tc>
        <w:tc>
          <w:tcPr>
            <w:tcW w:w="875" w:type="dxa"/>
            <w:tcBorders>
              <w:top w:val="nil"/>
              <w:left w:val="nil"/>
              <w:bottom w:val="nil"/>
              <w:right w:val="nil"/>
              <w:tl2br w:val="nil"/>
              <w:tr2bl w:val="nil"/>
            </w:tcBorders>
            <w:tcMar>
              <w:left w:w="60" w:type="dxa"/>
              <w:right w:w="60" w:type="dxa"/>
            </w:tcMar>
            <w:vAlign w:val="center"/>
          </w:tcPr>
          <w:p w14:paraId="2E83C84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5" w:type="dxa"/>
            <w:tcBorders>
              <w:top w:val="nil"/>
              <w:left w:val="nil"/>
              <w:bottom w:val="nil"/>
              <w:right w:val="nil"/>
              <w:tl2br w:val="nil"/>
              <w:tr2bl w:val="nil"/>
            </w:tcBorders>
            <w:tcMar>
              <w:left w:w="60" w:type="dxa"/>
              <w:right w:w="60" w:type="dxa"/>
            </w:tcMar>
            <w:vAlign w:val="center"/>
          </w:tcPr>
          <w:p w14:paraId="10A7136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5" w:type="dxa"/>
            <w:tcBorders>
              <w:top w:val="nil"/>
              <w:left w:val="nil"/>
              <w:bottom w:val="nil"/>
              <w:right w:val="nil"/>
              <w:tl2br w:val="nil"/>
              <w:tr2bl w:val="nil"/>
            </w:tcBorders>
            <w:tcMar>
              <w:left w:w="60" w:type="dxa"/>
              <w:right w:w="60" w:type="dxa"/>
            </w:tcMar>
            <w:vAlign w:val="center"/>
          </w:tcPr>
          <w:p w14:paraId="74A108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60E12FA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9ED66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6387870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14:paraId="6154157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71C98FF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5CA3CC1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12DA845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64132D6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4EC2C787"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w:t>
            </w:r>
          </w:p>
        </w:tc>
      </w:tr>
      <w:tr w:rsidR="00807FFE" w14:paraId="7FAB2F08"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A74A4B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7E1308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Official journal</w:t>
            </w:r>
          </w:p>
        </w:tc>
        <w:tc>
          <w:tcPr>
            <w:tcW w:w="875" w:type="dxa"/>
            <w:tcBorders>
              <w:top w:val="nil"/>
              <w:left w:val="nil"/>
              <w:bottom w:val="nil"/>
              <w:right w:val="nil"/>
              <w:tl2br w:val="nil"/>
              <w:tr2bl w:val="nil"/>
            </w:tcBorders>
            <w:tcMar>
              <w:left w:w="60" w:type="dxa"/>
              <w:right w:w="60" w:type="dxa"/>
            </w:tcMar>
            <w:vAlign w:val="center"/>
          </w:tcPr>
          <w:p w14:paraId="450F1EF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5" w:type="dxa"/>
            <w:tcBorders>
              <w:top w:val="nil"/>
              <w:left w:val="nil"/>
              <w:bottom w:val="nil"/>
              <w:right w:val="nil"/>
              <w:tl2br w:val="nil"/>
              <w:tr2bl w:val="nil"/>
            </w:tcBorders>
            <w:tcMar>
              <w:left w:w="60" w:type="dxa"/>
              <w:right w:w="60" w:type="dxa"/>
            </w:tcMar>
            <w:vAlign w:val="center"/>
          </w:tcPr>
          <w:p w14:paraId="702453A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3CAA310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6827505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741733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34EEEB5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CC8207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349201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605F7C6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A34E0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699A261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9B4945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59BB3BC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53841E9"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A45792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Publications</w:t>
            </w:r>
          </w:p>
        </w:tc>
        <w:tc>
          <w:tcPr>
            <w:tcW w:w="875" w:type="dxa"/>
            <w:tcBorders>
              <w:top w:val="nil"/>
              <w:left w:val="nil"/>
              <w:bottom w:val="nil"/>
              <w:right w:val="nil"/>
              <w:tl2br w:val="nil"/>
              <w:tr2bl w:val="nil"/>
            </w:tcBorders>
            <w:tcMar>
              <w:left w:w="60" w:type="dxa"/>
              <w:right w:w="60" w:type="dxa"/>
            </w:tcMar>
            <w:vAlign w:val="center"/>
          </w:tcPr>
          <w:p w14:paraId="1645FA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5" w:type="dxa"/>
            <w:tcBorders>
              <w:top w:val="nil"/>
              <w:left w:val="nil"/>
              <w:bottom w:val="nil"/>
              <w:right w:val="nil"/>
              <w:tl2br w:val="nil"/>
              <w:tr2bl w:val="nil"/>
            </w:tcBorders>
            <w:tcMar>
              <w:left w:w="60" w:type="dxa"/>
              <w:right w:w="60" w:type="dxa"/>
            </w:tcMar>
            <w:vAlign w:val="center"/>
          </w:tcPr>
          <w:p w14:paraId="15B558B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6918031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14:paraId="593BA1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FB0DB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1ED77E2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4C0FE44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14:paraId="18B55B8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0084F47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14:paraId="07A2D8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0D5DBE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14:paraId="60633A2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24</w:t>
            </w:r>
          </w:p>
        </w:tc>
      </w:tr>
      <w:tr w:rsidR="00807FFE" w14:paraId="4D73A113"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EF133A1"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656AEB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Acquisition of information</w:t>
            </w:r>
          </w:p>
        </w:tc>
        <w:tc>
          <w:tcPr>
            <w:tcW w:w="875" w:type="dxa"/>
            <w:tcBorders>
              <w:top w:val="nil"/>
              <w:left w:val="nil"/>
              <w:bottom w:val="nil"/>
              <w:right w:val="nil"/>
              <w:tl2br w:val="nil"/>
              <w:tr2bl w:val="nil"/>
            </w:tcBorders>
            <w:tcMar>
              <w:left w:w="60" w:type="dxa"/>
              <w:right w:w="60" w:type="dxa"/>
            </w:tcMar>
            <w:vAlign w:val="center"/>
          </w:tcPr>
          <w:p w14:paraId="467A36E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5" w:type="dxa"/>
            <w:tcBorders>
              <w:top w:val="nil"/>
              <w:left w:val="nil"/>
              <w:bottom w:val="nil"/>
              <w:right w:val="nil"/>
              <w:tl2br w:val="nil"/>
              <w:tr2bl w:val="nil"/>
            </w:tcBorders>
            <w:tcMar>
              <w:left w:w="60" w:type="dxa"/>
              <w:right w:w="60" w:type="dxa"/>
            </w:tcMar>
            <w:vAlign w:val="center"/>
          </w:tcPr>
          <w:p w14:paraId="5998A57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500FA70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0386D21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636987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578309F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14:paraId="5921CCD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00BCA0A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F6C489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5829907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4D98E33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7D51FD6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330B4C4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7F74086"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137340B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Studies and investigations</w:t>
            </w:r>
          </w:p>
        </w:tc>
        <w:tc>
          <w:tcPr>
            <w:tcW w:w="875" w:type="dxa"/>
            <w:tcBorders>
              <w:top w:val="nil"/>
              <w:left w:val="nil"/>
              <w:bottom w:val="nil"/>
              <w:right w:val="nil"/>
              <w:tl2br w:val="nil"/>
              <w:tr2bl w:val="nil"/>
            </w:tcBorders>
            <w:tcMar>
              <w:left w:w="60" w:type="dxa"/>
              <w:right w:w="60" w:type="dxa"/>
            </w:tcMar>
            <w:vAlign w:val="center"/>
          </w:tcPr>
          <w:p w14:paraId="4786F69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5" w:type="dxa"/>
            <w:tcBorders>
              <w:top w:val="nil"/>
              <w:left w:val="nil"/>
              <w:bottom w:val="nil"/>
              <w:right w:val="nil"/>
              <w:tl2br w:val="nil"/>
              <w:tr2bl w:val="nil"/>
            </w:tcBorders>
            <w:tcMar>
              <w:left w:w="60" w:type="dxa"/>
              <w:right w:w="60" w:type="dxa"/>
            </w:tcMar>
            <w:vAlign w:val="center"/>
          </w:tcPr>
          <w:p w14:paraId="1FADC7B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14:paraId="68D42D7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2EE13A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19F346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23AA08C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4D1F2DA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40265EF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1B151B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13BF1AE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25770BA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307887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w:t>
            </w:r>
          </w:p>
        </w:tc>
      </w:tr>
      <w:tr w:rsidR="00807FFE" w14:paraId="405A00AF"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379C36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149A262"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General equipment, vehicle, furniture</w:t>
            </w:r>
          </w:p>
        </w:tc>
        <w:tc>
          <w:tcPr>
            <w:tcW w:w="875" w:type="dxa"/>
            <w:tcBorders>
              <w:top w:val="nil"/>
              <w:left w:val="nil"/>
              <w:bottom w:val="nil"/>
              <w:right w:val="nil"/>
              <w:tl2br w:val="nil"/>
              <w:tr2bl w:val="nil"/>
            </w:tcBorders>
            <w:tcMar>
              <w:left w:w="60" w:type="dxa"/>
              <w:right w:w="60" w:type="dxa"/>
            </w:tcMar>
            <w:vAlign w:val="center"/>
          </w:tcPr>
          <w:p w14:paraId="00E72EE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875" w:type="dxa"/>
            <w:tcBorders>
              <w:top w:val="nil"/>
              <w:left w:val="nil"/>
              <w:bottom w:val="nil"/>
              <w:right w:val="nil"/>
              <w:tl2br w:val="nil"/>
              <w:tr2bl w:val="nil"/>
            </w:tcBorders>
            <w:tcMar>
              <w:left w:w="60" w:type="dxa"/>
              <w:right w:w="60" w:type="dxa"/>
            </w:tcMar>
            <w:vAlign w:val="center"/>
          </w:tcPr>
          <w:p w14:paraId="3FFFB26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5" w:type="dxa"/>
            <w:tcBorders>
              <w:top w:val="nil"/>
              <w:left w:val="nil"/>
              <w:bottom w:val="nil"/>
              <w:right w:val="nil"/>
              <w:tl2br w:val="nil"/>
              <w:tr2bl w:val="nil"/>
            </w:tcBorders>
            <w:tcMar>
              <w:left w:w="60" w:type="dxa"/>
              <w:right w:w="60" w:type="dxa"/>
            </w:tcMar>
            <w:vAlign w:val="center"/>
          </w:tcPr>
          <w:p w14:paraId="4F6B23B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5C46FBD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A38AD2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5B571AD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14:paraId="37AD7F0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14:paraId="15EDF52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14:paraId="64E1831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14:paraId="3A6F31F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56DBDEE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4C03943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1D81E20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7D9195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EADB0F7"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Linguistic external services</w:t>
            </w:r>
          </w:p>
        </w:tc>
        <w:tc>
          <w:tcPr>
            <w:tcW w:w="875" w:type="dxa"/>
            <w:tcBorders>
              <w:top w:val="nil"/>
              <w:left w:val="nil"/>
              <w:bottom w:val="nil"/>
              <w:right w:val="nil"/>
              <w:tl2br w:val="nil"/>
              <w:tr2bl w:val="nil"/>
            </w:tcBorders>
            <w:tcMar>
              <w:left w:w="60" w:type="dxa"/>
              <w:right w:w="60" w:type="dxa"/>
            </w:tcMar>
            <w:vAlign w:val="center"/>
          </w:tcPr>
          <w:p w14:paraId="286ABA7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75" w:type="dxa"/>
            <w:tcBorders>
              <w:top w:val="nil"/>
              <w:left w:val="nil"/>
              <w:bottom w:val="nil"/>
              <w:right w:val="nil"/>
              <w:tl2br w:val="nil"/>
              <w:tr2bl w:val="nil"/>
            </w:tcBorders>
            <w:tcMar>
              <w:left w:w="60" w:type="dxa"/>
              <w:right w:w="60" w:type="dxa"/>
            </w:tcMar>
            <w:vAlign w:val="center"/>
          </w:tcPr>
          <w:p w14:paraId="21802CB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5" w:type="dxa"/>
            <w:tcBorders>
              <w:top w:val="nil"/>
              <w:left w:val="nil"/>
              <w:bottom w:val="nil"/>
              <w:right w:val="nil"/>
              <w:tl2br w:val="nil"/>
              <w:tr2bl w:val="nil"/>
            </w:tcBorders>
            <w:tcMar>
              <w:left w:w="60" w:type="dxa"/>
              <w:right w:w="60" w:type="dxa"/>
            </w:tcMar>
            <w:vAlign w:val="center"/>
          </w:tcPr>
          <w:p w14:paraId="4D3F44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14:paraId="0F2F6BC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94559C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14:paraId="6492D80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72</w:t>
            </w:r>
          </w:p>
        </w:tc>
        <w:tc>
          <w:tcPr>
            <w:tcW w:w="876" w:type="dxa"/>
            <w:tcBorders>
              <w:top w:val="nil"/>
              <w:left w:val="nil"/>
              <w:bottom w:val="nil"/>
              <w:right w:val="nil"/>
              <w:tl2br w:val="nil"/>
              <w:tr2bl w:val="nil"/>
            </w:tcBorders>
            <w:tcMar>
              <w:left w:w="60" w:type="dxa"/>
              <w:right w:w="60" w:type="dxa"/>
            </w:tcMar>
            <w:vAlign w:val="center"/>
          </w:tcPr>
          <w:p w14:paraId="707654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14:paraId="0685D8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57E256D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14:paraId="212B979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14:paraId="2063F30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14:paraId="356FCFC1"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74</w:t>
            </w:r>
          </w:p>
        </w:tc>
      </w:tr>
      <w:tr w:rsidR="00807FFE" w14:paraId="5DF07B91"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AC8E1E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78E95E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Other administrative expenditure</w:t>
            </w:r>
          </w:p>
        </w:tc>
        <w:tc>
          <w:tcPr>
            <w:tcW w:w="875" w:type="dxa"/>
            <w:tcBorders>
              <w:top w:val="nil"/>
              <w:left w:val="nil"/>
              <w:bottom w:val="nil"/>
              <w:right w:val="nil"/>
              <w:tl2br w:val="nil"/>
              <w:tr2bl w:val="nil"/>
            </w:tcBorders>
            <w:tcMar>
              <w:left w:w="60" w:type="dxa"/>
              <w:right w:w="60" w:type="dxa"/>
            </w:tcMar>
            <w:vAlign w:val="center"/>
          </w:tcPr>
          <w:p w14:paraId="2419DA5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75" w:type="dxa"/>
            <w:tcBorders>
              <w:top w:val="nil"/>
              <w:left w:val="nil"/>
              <w:bottom w:val="nil"/>
              <w:right w:val="nil"/>
              <w:tl2br w:val="nil"/>
              <w:tr2bl w:val="nil"/>
            </w:tcBorders>
            <w:tcMar>
              <w:left w:w="60" w:type="dxa"/>
              <w:right w:w="60" w:type="dxa"/>
            </w:tcMar>
            <w:vAlign w:val="center"/>
          </w:tcPr>
          <w:p w14:paraId="0ED94AF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14:paraId="411EA58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4FC0E8C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6B032F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14:paraId="209F87B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876" w:type="dxa"/>
            <w:tcBorders>
              <w:top w:val="nil"/>
              <w:left w:val="nil"/>
              <w:bottom w:val="nil"/>
              <w:right w:val="nil"/>
              <w:tl2br w:val="nil"/>
              <w:tr2bl w:val="nil"/>
            </w:tcBorders>
            <w:tcMar>
              <w:left w:w="60" w:type="dxa"/>
              <w:right w:w="60" w:type="dxa"/>
            </w:tcMar>
            <w:vAlign w:val="center"/>
          </w:tcPr>
          <w:p w14:paraId="23275A5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14:paraId="37C19F0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19FEF7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14:paraId="656AFF6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54D450C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876" w:type="dxa"/>
            <w:tcBorders>
              <w:top w:val="nil"/>
              <w:left w:val="nil"/>
              <w:bottom w:val="nil"/>
              <w:right w:val="nil"/>
              <w:tl2br w:val="nil"/>
              <w:tr2bl w:val="nil"/>
            </w:tcBorders>
            <w:tcMar>
              <w:left w:w="60" w:type="dxa"/>
              <w:right w:w="60" w:type="dxa"/>
            </w:tcMar>
            <w:vAlign w:val="center"/>
          </w:tcPr>
          <w:p w14:paraId="702BDDFF"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58</w:t>
            </w:r>
          </w:p>
        </w:tc>
      </w:tr>
      <w:tr w:rsidR="00807FFE" w14:paraId="26BED273"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DC1544C"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CCBD3A8"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75" w:type="dxa"/>
            <w:tcBorders>
              <w:top w:val="nil"/>
              <w:left w:val="nil"/>
              <w:bottom w:val="nil"/>
              <w:right w:val="nil"/>
              <w:tl2br w:val="nil"/>
              <w:tr2bl w:val="nil"/>
            </w:tcBorders>
            <w:tcMar>
              <w:left w:w="60" w:type="dxa"/>
              <w:right w:w="60" w:type="dxa"/>
            </w:tcMar>
            <w:vAlign w:val="center"/>
          </w:tcPr>
          <w:p w14:paraId="2283AB2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304A9A5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14:paraId="390FCFE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2EA791A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D8BB17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32447D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41E42D9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9B6B0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2092C8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14:paraId="3A2B81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22172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83EA7F9"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5CF7A27F"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19C5B33"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66369B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Administrative expenditure of other institutions</w:t>
            </w:r>
          </w:p>
        </w:tc>
        <w:tc>
          <w:tcPr>
            <w:tcW w:w="875" w:type="dxa"/>
            <w:tcBorders>
              <w:top w:val="nil"/>
              <w:left w:val="nil"/>
              <w:bottom w:val="nil"/>
              <w:right w:val="nil"/>
              <w:tl2br w:val="nil"/>
              <w:tr2bl w:val="nil"/>
            </w:tcBorders>
            <w:tcMar>
              <w:left w:w="60" w:type="dxa"/>
              <w:right w:w="60" w:type="dxa"/>
            </w:tcMar>
            <w:vAlign w:val="center"/>
          </w:tcPr>
          <w:p w14:paraId="0EDADE6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5 265</w:t>
            </w:r>
          </w:p>
        </w:tc>
        <w:tc>
          <w:tcPr>
            <w:tcW w:w="875" w:type="dxa"/>
            <w:tcBorders>
              <w:top w:val="nil"/>
              <w:left w:val="nil"/>
              <w:bottom w:val="nil"/>
              <w:right w:val="nil"/>
              <w:tl2br w:val="nil"/>
              <w:tr2bl w:val="nil"/>
            </w:tcBorders>
            <w:tcMar>
              <w:left w:w="60" w:type="dxa"/>
              <w:right w:w="60" w:type="dxa"/>
            </w:tcMar>
            <w:vAlign w:val="center"/>
          </w:tcPr>
          <w:p w14:paraId="7D92192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5" w:type="dxa"/>
            <w:tcBorders>
              <w:top w:val="nil"/>
              <w:left w:val="nil"/>
              <w:bottom w:val="nil"/>
              <w:right w:val="nil"/>
              <w:tl2br w:val="nil"/>
              <w:tr2bl w:val="nil"/>
            </w:tcBorders>
            <w:tcMar>
              <w:left w:w="60" w:type="dxa"/>
              <w:right w:w="60" w:type="dxa"/>
            </w:tcMar>
            <w:vAlign w:val="center"/>
          </w:tcPr>
          <w:p w14:paraId="68DD1A2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5 249</w:t>
            </w:r>
          </w:p>
        </w:tc>
        <w:tc>
          <w:tcPr>
            <w:tcW w:w="876" w:type="dxa"/>
            <w:tcBorders>
              <w:top w:val="nil"/>
              <w:left w:val="nil"/>
              <w:bottom w:val="nil"/>
              <w:right w:val="nil"/>
              <w:tl2br w:val="nil"/>
              <w:tr2bl w:val="nil"/>
            </w:tcBorders>
            <w:tcMar>
              <w:left w:w="60" w:type="dxa"/>
              <w:right w:w="60" w:type="dxa"/>
            </w:tcMar>
            <w:vAlign w:val="center"/>
          </w:tcPr>
          <w:p w14:paraId="0540602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14:paraId="11B5447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520</w:t>
            </w:r>
          </w:p>
        </w:tc>
        <w:tc>
          <w:tcPr>
            <w:tcW w:w="876" w:type="dxa"/>
            <w:tcBorders>
              <w:top w:val="nil"/>
              <w:left w:val="nil"/>
              <w:bottom w:val="nil"/>
              <w:right w:val="nil"/>
              <w:tl2br w:val="nil"/>
              <w:tr2bl w:val="nil"/>
            </w:tcBorders>
            <w:tcMar>
              <w:left w:w="60" w:type="dxa"/>
              <w:right w:w="60" w:type="dxa"/>
            </w:tcMar>
            <w:vAlign w:val="center"/>
          </w:tcPr>
          <w:p w14:paraId="72100E3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5 769</w:t>
            </w:r>
          </w:p>
        </w:tc>
        <w:tc>
          <w:tcPr>
            <w:tcW w:w="876" w:type="dxa"/>
            <w:tcBorders>
              <w:top w:val="nil"/>
              <w:left w:val="nil"/>
              <w:bottom w:val="nil"/>
              <w:right w:val="nil"/>
              <w:tl2br w:val="nil"/>
              <w:tr2bl w:val="nil"/>
            </w:tcBorders>
            <w:tcMar>
              <w:left w:w="60" w:type="dxa"/>
              <w:right w:w="60" w:type="dxa"/>
            </w:tcMar>
            <w:vAlign w:val="center"/>
          </w:tcPr>
          <w:p w14:paraId="6CFF8D9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5 265</w:t>
            </w:r>
          </w:p>
        </w:tc>
        <w:tc>
          <w:tcPr>
            <w:tcW w:w="876" w:type="dxa"/>
            <w:tcBorders>
              <w:top w:val="nil"/>
              <w:left w:val="nil"/>
              <w:bottom w:val="nil"/>
              <w:right w:val="nil"/>
              <w:tl2br w:val="nil"/>
              <w:tr2bl w:val="nil"/>
            </w:tcBorders>
            <w:tcMar>
              <w:left w:w="60" w:type="dxa"/>
              <w:right w:w="60" w:type="dxa"/>
            </w:tcMar>
            <w:vAlign w:val="center"/>
          </w:tcPr>
          <w:p w14:paraId="22E863E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14:paraId="484E55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5 249</w:t>
            </w:r>
          </w:p>
        </w:tc>
        <w:tc>
          <w:tcPr>
            <w:tcW w:w="876" w:type="dxa"/>
            <w:tcBorders>
              <w:top w:val="nil"/>
              <w:left w:val="nil"/>
              <w:bottom w:val="nil"/>
              <w:right w:val="nil"/>
              <w:tl2br w:val="nil"/>
              <w:tr2bl w:val="nil"/>
            </w:tcBorders>
            <w:tcMar>
              <w:left w:w="60" w:type="dxa"/>
              <w:right w:w="60" w:type="dxa"/>
            </w:tcMar>
            <w:vAlign w:val="center"/>
          </w:tcPr>
          <w:p w14:paraId="0028CC5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621</w:t>
            </w:r>
          </w:p>
        </w:tc>
        <w:tc>
          <w:tcPr>
            <w:tcW w:w="876" w:type="dxa"/>
            <w:tcBorders>
              <w:top w:val="nil"/>
              <w:left w:val="nil"/>
              <w:bottom w:val="nil"/>
              <w:right w:val="nil"/>
              <w:tl2br w:val="nil"/>
              <w:tr2bl w:val="nil"/>
            </w:tcBorders>
            <w:tcMar>
              <w:left w:w="60" w:type="dxa"/>
              <w:right w:w="60" w:type="dxa"/>
            </w:tcMar>
            <w:vAlign w:val="center"/>
          </w:tcPr>
          <w:p w14:paraId="383414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529</w:t>
            </w:r>
          </w:p>
        </w:tc>
        <w:tc>
          <w:tcPr>
            <w:tcW w:w="876" w:type="dxa"/>
            <w:tcBorders>
              <w:top w:val="nil"/>
              <w:left w:val="nil"/>
              <w:bottom w:val="nil"/>
              <w:right w:val="nil"/>
              <w:tl2br w:val="nil"/>
              <w:tr2bl w:val="nil"/>
            </w:tcBorders>
            <w:tcMar>
              <w:left w:w="60" w:type="dxa"/>
              <w:right w:w="60" w:type="dxa"/>
            </w:tcMar>
            <w:vAlign w:val="center"/>
          </w:tcPr>
          <w:p w14:paraId="4111A51A"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6 399</w:t>
            </w:r>
          </w:p>
        </w:tc>
      </w:tr>
      <w:tr w:rsidR="00807FFE" w14:paraId="1E3CB5A9"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2321C9F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624EBF4E"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7: European Public Administration</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020E0F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12 845</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707DCD6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253DADC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12 766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A418A0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F5938B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2 348</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CE175D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15 115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6073474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12 845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183084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AE235B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12 766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33342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927</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0869D7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2 440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5752CAD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16 133</w:t>
            </w:r>
          </w:p>
        </w:tc>
      </w:tr>
      <w:tr w:rsidR="00807FFE" w14:paraId="4B1CE66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1A11CB2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37AC01FE"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5CD55127"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7E9723E0"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074838FF"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8BF4269"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C63A3B0"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758B865A"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04AE2EB9"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94324C8"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0FE6E1A1"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76A9037"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E2B66B2"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20F96E7" w14:textId="77777777" w:rsidR="00807FFE" w:rsidRDefault="00807FFE">
            <w:pPr>
              <w:pStyle w:val="DMETW36742BIPDetailedMFF1Breakdown"/>
              <w:jc w:val="right"/>
              <w:rPr>
                <w:rFonts w:ascii="Verdana" w:eastAsia="Verdana" w:hAnsi="Verdana" w:cs="Verdana"/>
                <w:noProof/>
                <w:color w:val="000000"/>
                <w:sz w:val="16"/>
                <w:lang w:bidi="en-GB"/>
              </w:rPr>
            </w:pPr>
          </w:p>
        </w:tc>
      </w:tr>
      <w:tr w:rsidR="00807FFE" w14:paraId="526840F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EBF9FA9"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w:t>
            </w:r>
          </w:p>
        </w:tc>
        <w:tc>
          <w:tcPr>
            <w:tcW w:w="3839" w:type="dxa"/>
            <w:tcBorders>
              <w:top w:val="nil"/>
              <w:left w:val="nil"/>
              <w:bottom w:val="nil"/>
              <w:right w:val="nil"/>
              <w:tl2br w:val="nil"/>
              <w:tr2bl w:val="nil"/>
            </w:tcBorders>
            <w:tcMar>
              <w:left w:w="60" w:type="dxa"/>
              <w:right w:w="60" w:type="dxa"/>
            </w:tcMar>
            <w:vAlign w:val="center"/>
          </w:tcPr>
          <w:p w14:paraId="085CF09D"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Innovation Fund (IF)</w:t>
            </w:r>
          </w:p>
        </w:tc>
        <w:tc>
          <w:tcPr>
            <w:tcW w:w="875" w:type="dxa"/>
            <w:tcBorders>
              <w:top w:val="nil"/>
              <w:left w:val="nil"/>
              <w:bottom w:val="nil"/>
              <w:right w:val="nil"/>
              <w:tl2br w:val="nil"/>
              <w:tr2bl w:val="nil"/>
            </w:tcBorders>
            <w:tcMar>
              <w:left w:w="60" w:type="dxa"/>
              <w:right w:w="60" w:type="dxa"/>
            </w:tcMar>
            <w:vAlign w:val="center"/>
          </w:tcPr>
          <w:p w14:paraId="70875E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144D897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D9E5DE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F8688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7268F0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6 788</w:t>
            </w:r>
          </w:p>
        </w:tc>
        <w:tc>
          <w:tcPr>
            <w:tcW w:w="876" w:type="dxa"/>
            <w:tcBorders>
              <w:top w:val="nil"/>
              <w:left w:val="nil"/>
              <w:bottom w:val="nil"/>
              <w:right w:val="nil"/>
              <w:tl2br w:val="nil"/>
              <w:tr2bl w:val="nil"/>
            </w:tcBorders>
            <w:tcMar>
              <w:left w:w="60" w:type="dxa"/>
              <w:right w:w="60" w:type="dxa"/>
            </w:tcMar>
            <w:vAlign w:val="center"/>
          </w:tcPr>
          <w:p w14:paraId="0D495F0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6 788</w:t>
            </w:r>
          </w:p>
        </w:tc>
        <w:tc>
          <w:tcPr>
            <w:tcW w:w="876" w:type="dxa"/>
            <w:tcBorders>
              <w:top w:val="nil"/>
              <w:left w:val="nil"/>
              <w:bottom w:val="nil"/>
              <w:right w:val="nil"/>
              <w:tl2br w:val="nil"/>
              <w:tr2bl w:val="nil"/>
            </w:tcBorders>
            <w:tcMar>
              <w:left w:w="60" w:type="dxa"/>
              <w:right w:w="60" w:type="dxa"/>
            </w:tcMar>
            <w:vAlign w:val="center"/>
          </w:tcPr>
          <w:p w14:paraId="52CF497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5421D5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46D6F6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55764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4AC426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12 293</w:t>
            </w:r>
          </w:p>
        </w:tc>
        <w:tc>
          <w:tcPr>
            <w:tcW w:w="876" w:type="dxa"/>
            <w:tcBorders>
              <w:top w:val="nil"/>
              <w:left w:val="nil"/>
              <w:bottom w:val="nil"/>
              <w:right w:val="nil"/>
              <w:tl2br w:val="nil"/>
              <w:tr2bl w:val="nil"/>
            </w:tcBorders>
            <w:tcMar>
              <w:left w:w="60" w:type="dxa"/>
              <w:right w:w="60" w:type="dxa"/>
            </w:tcMar>
            <w:vAlign w:val="center"/>
          </w:tcPr>
          <w:p w14:paraId="4F7B90A1"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12 293</w:t>
            </w:r>
          </w:p>
        </w:tc>
      </w:tr>
      <w:tr w:rsidR="00807FFE" w14:paraId="2459BE47"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490FA5B"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48E1387E"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Ukraine Facility</w:t>
            </w:r>
          </w:p>
        </w:tc>
        <w:tc>
          <w:tcPr>
            <w:tcW w:w="875" w:type="dxa"/>
            <w:tcBorders>
              <w:top w:val="nil"/>
              <w:left w:val="nil"/>
              <w:bottom w:val="nil"/>
              <w:right w:val="nil"/>
              <w:tl2br w:val="nil"/>
              <w:tr2bl w:val="nil"/>
            </w:tcBorders>
            <w:tcMar>
              <w:left w:w="60" w:type="dxa"/>
              <w:right w:w="60" w:type="dxa"/>
            </w:tcMar>
            <w:vAlign w:val="center"/>
          </w:tcPr>
          <w:p w14:paraId="034125E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4 320</w:t>
            </w:r>
          </w:p>
        </w:tc>
        <w:tc>
          <w:tcPr>
            <w:tcW w:w="875" w:type="dxa"/>
            <w:tcBorders>
              <w:top w:val="nil"/>
              <w:left w:val="nil"/>
              <w:bottom w:val="nil"/>
              <w:right w:val="nil"/>
              <w:tl2br w:val="nil"/>
              <w:tr2bl w:val="nil"/>
            </w:tcBorders>
            <w:tcMar>
              <w:left w:w="60" w:type="dxa"/>
              <w:right w:w="60" w:type="dxa"/>
            </w:tcMar>
            <w:vAlign w:val="center"/>
          </w:tcPr>
          <w:p w14:paraId="7557A02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3DA7C97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4 320</w:t>
            </w:r>
          </w:p>
        </w:tc>
        <w:tc>
          <w:tcPr>
            <w:tcW w:w="876" w:type="dxa"/>
            <w:tcBorders>
              <w:top w:val="nil"/>
              <w:left w:val="nil"/>
              <w:bottom w:val="nil"/>
              <w:right w:val="nil"/>
              <w:tl2br w:val="nil"/>
              <w:tr2bl w:val="nil"/>
            </w:tcBorders>
            <w:tcMar>
              <w:left w:w="60" w:type="dxa"/>
              <w:right w:w="60" w:type="dxa"/>
            </w:tcMar>
            <w:vAlign w:val="center"/>
          </w:tcPr>
          <w:p w14:paraId="68E8CE2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14:paraId="46393B3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515</w:t>
            </w:r>
          </w:p>
        </w:tc>
        <w:tc>
          <w:tcPr>
            <w:tcW w:w="876" w:type="dxa"/>
            <w:tcBorders>
              <w:top w:val="nil"/>
              <w:left w:val="nil"/>
              <w:bottom w:val="nil"/>
              <w:right w:val="nil"/>
              <w:tl2br w:val="nil"/>
              <w:tr2bl w:val="nil"/>
            </w:tcBorders>
            <w:tcMar>
              <w:left w:w="60" w:type="dxa"/>
              <w:right w:w="60" w:type="dxa"/>
            </w:tcMar>
            <w:vAlign w:val="center"/>
          </w:tcPr>
          <w:p w14:paraId="1CA12AF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4 866</w:t>
            </w:r>
          </w:p>
        </w:tc>
        <w:tc>
          <w:tcPr>
            <w:tcW w:w="876" w:type="dxa"/>
            <w:tcBorders>
              <w:top w:val="nil"/>
              <w:left w:val="nil"/>
              <w:bottom w:val="nil"/>
              <w:right w:val="nil"/>
              <w:tl2br w:val="nil"/>
              <w:tr2bl w:val="nil"/>
            </w:tcBorders>
            <w:tcMar>
              <w:left w:w="60" w:type="dxa"/>
              <w:right w:w="60" w:type="dxa"/>
            </w:tcMar>
            <w:vAlign w:val="center"/>
          </w:tcPr>
          <w:p w14:paraId="6DF9D68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3 274</w:t>
            </w:r>
          </w:p>
        </w:tc>
        <w:tc>
          <w:tcPr>
            <w:tcW w:w="876" w:type="dxa"/>
            <w:tcBorders>
              <w:top w:val="nil"/>
              <w:left w:val="nil"/>
              <w:bottom w:val="nil"/>
              <w:right w:val="nil"/>
              <w:tl2br w:val="nil"/>
              <w:tr2bl w:val="nil"/>
            </w:tcBorders>
            <w:tcMar>
              <w:left w:w="60" w:type="dxa"/>
              <w:right w:w="60" w:type="dxa"/>
            </w:tcMar>
            <w:vAlign w:val="center"/>
          </w:tcPr>
          <w:p w14:paraId="24A753C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(469)</w:t>
            </w:r>
          </w:p>
        </w:tc>
        <w:tc>
          <w:tcPr>
            <w:tcW w:w="876" w:type="dxa"/>
            <w:tcBorders>
              <w:top w:val="nil"/>
              <w:left w:val="nil"/>
              <w:bottom w:val="nil"/>
              <w:right w:val="nil"/>
              <w:tl2br w:val="nil"/>
              <w:tr2bl w:val="nil"/>
            </w:tcBorders>
            <w:tcMar>
              <w:left w:w="60" w:type="dxa"/>
              <w:right w:w="60" w:type="dxa"/>
            </w:tcMar>
            <w:vAlign w:val="center"/>
          </w:tcPr>
          <w:p w14:paraId="4246D52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2 805</w:t>
            </w:r>
          </w:p>
        </w:tc>
        <w:tc>
          <w:tcPr>
            <w:tcW w:w="876" w:type="dxa"/>
            <w:tcBorders>
              <w:top w:val="nil"/>
              <w:left w:val="nil"/>
              <w:bottom w:val="nil"/>
              <w:right w:val="nil"/>
              <w:tl2br w:val="nil"/>
              <w:tr2bl w:val="nil"/>
            </w:tcBorders>
            <w:tcMar>
              <w:left w:w="60" w:type="dxa"/>
              <w:right w:w="60" w:type="dxa"/>
            </w:tcMar>
            <w:vAlign w:val="center"/>
          </w:tcPr>
          <w:p w14:paraId="326D53A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121</w:t>
            </w:r>
          </w:p>
        </w:tc>
        <w:tc>
          <w:tcPr>
            <w:tcW w:w="876" w:type="dxa"/>
            <w:tcBorders>
              <w:top w:val="nil"/>
              <w:left w:val="nil"/>
              <w:bottom w:val="nil"/>
              <w:right w:val="nil"/>
              <w:tl2br w:val="nil"/>
              <w:tr2bl w:val="nil"/>
            </w:tcBorders>
            <w:tcMar>
              <w:left w:w="60" w:type="dxa"/>
              <w:right w:w="60" w:type="dxa"/>
            </w:tcMar>
            <w:vAlign w:val="center"/>
          </w:tcPr>
          <w:p w14:paraId="272DFC0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662</w:t>
            </w:r>
          </w:p>
        </w:tc>
        <w:tc>
          <w:tcPr>
            <w:tcW w:w="876" w:type="dxa"/>
            <w:tcBorders>
              <w:top w:val="nil"/>
              <w:left w:val="nil"/>
              <w:bottom w:val="nil"/>
              <w:right w:val="nil"/>
              <w:tl2br w:val="nil"/>
              <w:tr2bl w:val="nil"/>
            </w:tcBorders>
            <w:tcMar>
              <w:left w:w="60" w:type="dxa"/>
              <w:right w:w="60" w:type="dxa"/>
            </w:tcMar>
            <w:vAlign w:val="center"/>
          </w:tcPr>
          <w:p w14:paraId="2A29E598"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3 587</w:t>
            </w:r>
          </w:p>
        </w:tc>
      </w:tr>
      <w:tr w:rsidR="00807FFE" w14:paraId="576715E6"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1E57D4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7C035A8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Other actions</w:t>
            </w:r>
          </w:p>
        </w:tc>
        <w:tc>
          <w:tcPr>
            <w:tcW w:w="875" w:type="dxa"/>
            <w:tcBorders>
              <w:top w:val="nil"/>
              <w:left w:val="nil"/>
              <w:bottom w:val="nil"/>
              <w:right w:val="nil"/>
              <w:tl2br w:val="nil"/>
              <w:tr2bl w:val="nil"/>
            </w:tcBorders>
            <w:tcMar>
              <w:left w:w="60" w:type="dxa"/>
              <w:right w:w="60" w:type="dxa"/>
            </w:tcMar>
            <w:vAlign w:val="center"/>
          </w:tcPr>
          <w:p w14:paraId="27B4585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4CAEBC8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66837197"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BA992E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376B5F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112</w:t>
            </w:r>
          </w:p>
        </w:tc>
        <w:tc>
          <w:tcPr>
            <w:tcW w:w="876" w:type="dxa"/>
            <w:tcBorders>
              <w:top w:val="nil"/>
              <w:left w:val="nil"/>
              <w:bottom w:val="nil"/>
              <w:right w:val="nil"/>
              <w:tl2br w:val="nil"/>
              <w:tr2bl w:val="nil"/>
            </w:tcBorders>
            <w:tcMar>
              <w:left w:w="60" w:type="dxa"/>
              <w:right w:w="60" w:type="dxa"/>
            </w:tcMar>
            <w:vAlign w:val="center"/>
          </w:tcPr>
          <w:p w14:paraId="4C2E8D3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112</w:t>
            </w:r>
          </w:p>
        </w:tc>
        <w:tc>
          <w:tcPr>
            <w:tcW w:w="876" w:type="dxa"/>
            <w:tcBorders>
              <w:top w:val="nil"/>
              <w:left w:val="nil"/>
              <w:bottom w:val="nil"/>
              <w:right w:val="nil"/>
              <w:tl2br w:val="nil"/>
              <w:tr2bl w:val="nil"/>
            </w:tcBorders>
            <w:tcMar>
              <w:left w:w="60" w:type="dxa"/>
              <w:right w:w="60" w:type="dxa"/>
            </w:tcMar>
            <w:vAlign w:val="center"/>
          </w:tcPr>
          <w:p w14:paraId="30ECF07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CD2E65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1DC80C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3447FC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5E78F7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114</w:t>
            </w:r>
          </w:p>
        </w:tc>
        <w:tc>
          <w:tcPr>
            <w:tcW w:w="876" w:type="dxa"/>
            <w:tcBorders>
              <w:top w:val="nil"/>
              <w:left w:val="nil"/>
              <w:bottom w:val="nil"/>
              <w:right w:val="nil"/>
              <w:tl2br w:val="nil"/>
              <w:tr2bl w:val="nil"/>
            </w:tcBorders>
            <w:tcMar>
              <w:left w:w="60" w:type="dxa"/>
              <w:right w:w="60" w:type="dxa"/>
            </w:tcMar>
            <w:vAlign w:val="center"/>
          </w:tcPr>
          <w:p w14:paraId="1F77F10C"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114</w:t>
            </w:r>
          </w:p>
        </w:tc>
      </w:tr>
      <w:tr w:rsidR="00807FFE" w14:paraId="21662C16"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28C00FC4"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6B29ABAA"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O: Outside MFF</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38AB945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4 320</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2965AF2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3CFC7EA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4 320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D9465B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10F50D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7 415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39DDB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11 767</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A0A919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3 274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2808DF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(469)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8D358C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2 805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F02BE6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121</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74EB6DA"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13 069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31C9AFB3"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15 994</w:t>
            </w:r>
          </w:p>
        </w:tc>
      </w:tr>
      <w:tr w:rsidR="00807FFE" w14:paraId="549AFC60"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67B61B76"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048650B"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04593569"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6D62AB86"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7D5B1E39"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BA37C4D"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9E458BC"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082CF812"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03580DD"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F9D6C35"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54D29DC"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6C4BB962"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3013C3FD"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01527D3B" w14:textId="77777777" w:rsidR="00807FFE" w:rsidRDefault="00807FFE">
            <w:pPr>
              <w:pStyle w:val="DMETW36742BIPDetailedMFF1Breakdown"/>
              <w:jc w:val="right"/>
              <w:rPr>
                <w:rFonts w:ascii="Verdana" w:eastAsia="Verdana" w:hAnsi="Verdana" w:cs="Verdana"/>
                <w:noProof/>
                <w:color w:val="000000"/>
                <w:sz w:val="16"/>
                <w:lang w:bidi="en-GB"/>
              </w:rPr>
            </w:pPr>
          </w:p>
        </w:tc>
      </w:tr>
      <w:tr w:rsidR="00807FFE" w14:paraId="7048E525"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58D0D4B4"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S</w:t>
            </w:r>
          </w:p>
        </w:tc>
        <w:tc>
          <w:tcPr>
            <w:tcW w:w="3839" w:type="dxa"/>
            <w:tcBorders>
              <w:top w:val="nil"/>
              <w:left w:val="nil"/>
              <w:bottom w:val="nil"/>
              <w:right w:val="nil"/>
              <w:tl2br w:val="nil"/>
              <w:tr2bl w:val="nil"/>
            </w:tcBorders>
            <w:tcMar>
              <w:left w:w="60" w:type="dxa"/>
              <w:right w:w="60" w:type="dxa"/>
            </w:tcMar>
            <w:vAlign w:val="center"/>
          </w:tcPr>
          <w:p w14:paraId="5E7CDCEC"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Solidarity Reserve</w:t>
            </w:r>
          </w:p>
        </w:tc>
        <w:tc>
          <w:tcPr>
            <w:tcW w:w="875" w:type="dxa"/>
            <w:tcBorders>
              <w:top w:val="nil"/>
              <w:left w:val="nil"/>
              <w:bottom w:val="nil"/>
              <w:right w:val="nil"/>
              <w:tl2br w:val="nil"/>
              <w:tr2bl w:val="nil"/>
            </w:tcBorders>
            <w:tcMar>
              <w:left w:w="60" w:type="dxa"/>
              <w:right w:w="60" w:type="dxa"/>
            </w:tcMar>
            <w:vAlign w:val="center"/>
          </w:tcPr>
          <w:p w14:paraId="77343A4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1 167</w:t>
            </w:r>
          </w:p>
        </w:tc>
        <w:tc>
          <w:tcPr>
            <w:tcW w:w="875" w:type="dxa"/>
            <w:tcBorders>
              <w:top w:val="nil"/>
              <w:left w:val="nil"/>
              <w:bottom w:val="nil"/>
              <w:right w:val="nil"/>
              <w:tl2br w:val="nil"/>
              <w:tr2bl w:val="nil"/>
            </w:tcBorders>
            <w:tcMar>
              <w:left w:w="60" w:type="dxa"/>
              <w:right w:w="60" w:type="dxa"/>
            </w:tcMar>
            <w:vAlign w:val="center"/>
          </w:tcPr>
          <w:p w14:paraId="29AC88E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14:paraId="5B0C573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1 167</w:t>
            </w:r>
          </w:p>
        </w:tc>
        <w:tc>
          <w:tcPr>
            <w:tcW w:w="876" w:type="dxa"/>
            <w:tcBorders>
              <w:top w:val="nil"/>
              <w:left w:val="nil"/>
              <w:bottom w:val="nil"/>
              <w:right w:val="nil"/>
              <w:tl2br w:val="nil"/>
              <w:tr2bl w:val="nil"/>
            </w:tcBorders>
            <w:tcMar>
              <w:left w:w="60" w:type="dxa"/>
              <w:right w:w="60" w:type="dxa"/>
            </w:tcMar>
            <w:vAlign w:val="center"/>
          </w:tcPr>
          <w:p w14:paraId="037B92C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76" w:type="dxa"/>
            <w:tcBorders>
              <w:top w:val="nil"/>
              <w:left w:val="nil"/>
              <w:bottom w:val="nil"/>
              <w:right w:val="nil"/>
              <w:tl2br w:val="nil"/>
              <w:tr2bl w:val="nil"/>
            </w:tcBorders>
            <w:tcMar>
              <w:left w:w="60" w:type="dxa"/>
              <w:right w:w="60" w:type="dxa"/>
            </w:tcMar>
            <w:vAlign w:val="center"/>
          </w:tcPr>
          <w:p w14:paraId="36BAD16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380058F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1 477</w:t>
            </w:r>
          </w:p>
        </w:tc>
        <w:tc>
          <w:tcPr>
            <w:tcW w:w="876" w:type="dxa"/>
            <w:tcBorders>
              <w:top w:val="nil"/>
              <w:left w:val="nil"/>
              <w:bottom w:val="nil"/>
              <w:right w:val="nil"/>
              <w:tl2br w:val="nil"/>
              <w:tr2bl w:val="nil"/>
            </w:tcBorders>
            <w:tcMar>
              <w:left w:w="60" w:type="dxa"/>
              <w:right w:w="60" w:type="dxa"/>
            </w:tcMar>
            <w:vAlign w:val="center"/>
          </w:tcPr>
          <w:p w14:paraId="006137C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1 167</w:t>
            </w:r>
          </w:p>
        </w:tc>
        <w:tc>
          <w:tcPr>
            <w:tcW w:w="876" w:type="dxa"/>
            <w:tcBorders>
              <w:top w:val="nil"/>
              <w:left w:val="nil"/>
              <w:bottom w:val="nil"/>
              <w:right w:val="nil"/>
              <w:tl2br w:val="nil"/>
              <w:tr2bl w:val="nil"/>
            </w:tcBorders>
            <w:tcMar>
              <w:left w:w="60" w:type="dxa"/>
              <w:right w:w="60" w:type="dxa"/>
            </w:tcMar>
            <w:vAlign w:val="center"/>
          </w:tcPr>
          <w:p w14:paraId="2CA5641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5FFCE8C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1 167</w:t>
            </w:r>
          </w:p>
        </w:tc>
        <w:tc>
          <w:tcPr>
            <w:tcW w:w="876" w:type="dxa"/>
            <w:tcBorders>
              <w:top w:val="nil"/>
              <w:left w:val="nil"/>
              <w:bottom w:val="nil"/>
              <w:right w:val="nil"/>
              <w:tl2br w:val="nil"/>
              <w:tr2bl w:val="nil"/>
            </w:tcBorders>
            <w:tcMar>
              <w:left w:w="60" w:type="dxa"/>
              <w:right w:w="60" w:type="dxa"/>
            </w:tcMar>
            <w:vAlign w:val="center"/>
          </w:tcPr>
          <w:p w14:paraId="047ABAD1"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76" w:type="dxa"/>
            <w:tcBorders>
              <w:top w:val="nil"/>
              <w:left w:val="nil"/>
              <w:bottom w:val="nil"/>
              <w:right w:val="nil"/>
              <w:tl2br w:val="nil"/>
              <w:tr2bl w:val="nil"/>
            </w:tcBorders>
            <w:tcMar>
              <w:left w:w="60" w:type="dxa"/>
              <w:right w:w="60" w:type="dxa"/>
            </w:tcMar>
            <w:vAlign w:val="center"/>
          </w:tcPr>
          <w:p w14:paraId="735D90F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78EE73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1 477</w:t>
            </w:r>
          </w:p>
        </w:tc>
      </w:tr>
      <w:tr w:rsidR="00807FFE" w14:paraId="6125702D"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378BB72D"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05FF0135"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Emergency Aid Reserve</w:t>
            </w:r>
          </w:p>
        </w:tc>
        <w:tc>
          <w:tcPr>
            <w:tcW w:w="875" w:type="dxa"/>
            <w:tcBorders>
              <w:top w:val="nil"/>
              <w:left w:val="nil"/>
              <w:bottom w:val="nil"/>
              <w:right w:val="nil"/>
              <w:tl2br w:val="nil"/>
              <w:tr2bl w:val="nil"/>
            </w:tcBorders>
            <w:tcMar>
              <w:left w:w="60" w:type="dxa"/>
              <w:right w:w="60" w:type="dxa"/>
            </w:tcMar>
            <w:vAlign w:val="center"/>
          </w:tcPr>
          <w:p w14:paraId="22DE092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75" w:type="dxa"/>
            <w:tcBorders>
              <w:top w:val="nil"/>
              <w:left w:val="nil"/>
              <w:bottom w:val="nil"/>
              <w:right w:val="nil"/>
              <w:tl2br w:val="nil"/>
              <w:tr2bl w:val="nil"/>
            </w:tcBorders>
            <w:tcMar>
              <w:left w:w="60" w:type="dxa"/>
              <w:right w:w="60" w:type="dxa"/>
            </w:tcMar>
            <w:vAlign w:val="center"/>
          </w:tcPr>
          <w:p w14:paraId="3B11C7C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75" w:type="dxa"/>
            <w:tcBorders>
              <w:top w:val="nil"/>
              <w:left w:val="nil"/>
              <w:bottom w:val="nil"/>
              <w:right w:val="nil"/>
              <w:tl2br w:val="nil"/>
              <w:tr2bl w:val="nil"/>
            </w:tcBorders>
            <w:tcMar>
              <w:left w:w="60" w:type="dxa"/>
              <w:right w:w="60" w:type="dxa"/>
            </w:tcMar>
            <w:vAlign w:val="center"/>
          </w:tcPr>
          <w:p w14:paraId="342AEAE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D81605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7593EE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5CEC30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81C328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76" w:type="dxa"/>
            <w:tcBorders>
              <w:top w:val="nil"/>
              <w:left w:val="nil"/>
              <w:bottom w:val="nil"/>
              <w:right w:val="nil"/>
              <w:tl2br w:val="nil"/>
              <w:tr2bl w:val="nil"/>
            </w:tcBorders>
            <w:tcMar>
              <w:left w:w="60" w:type="dxa"/>
              <w:right w:w="60" w:type="dxa"/>
            </w:tcMar>
            <w:vAlign w:val="center"/>
          </w:tcPr>
          <w:p w14:paraId="6CCBB9E9"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76" w:type="dxa"/>
            <w:tcBorders>
              <w:top w:val="nil"/>
              <w:left w:val="nil"/>
              <w:bottom w:val="nil"/>
              <w:right w:val="nil"/>
              <w:tl2br w:val="nil"/>
              <w:tr2bl w:val="nil"/>
            </w:tcBorders>
            <w:tcMar>
              <w:left w:w="60" w:type="dxa"/>
              <w:right w:w="60" w:type="dxa"/>
            </w:tcMar>
            <w:vAlign w:val="center"/>
          </w:tcPr>
          <w:p w14:paraId="5EA8217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319D6B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414FBCB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2B07B131"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E2FFEB2"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744D6435"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580A3ABE"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European Globalisation Adjustment Fund (EGF)</w:t>
            </w:r>
          </w:p>
        </w:tc>
        <w:tc>
          <w:tcPr>
            <w:tcW w:w="875" w:type="dxa"/>
            <w:tcBorders>
              <w:top w:val="nil"/>
              <w:left w:val="nil"/>
              <w:bottom w:val="nil"/>
              <w:right w:val="nil"/>
              <w:tl2br w:val="nil"/>
              <w:tr2bl w:val="nil"/>
            </w:tcBorders>
            <w:tcMar>
              <w:left w:w="60" w:type="dxa"/>
              <w:right w:w="60" w:type="dxa"/>
            </w:tcMar>
            <w:vAlign w:val="center"/>
          </w:tcPr>
          <w:p w14:paraId="1B7C5DA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875" w:type="dxa"/>
            <w:tcBorders>
              <w:top w:val="nil"/>
              <w:left w:val="nil"/>
              <w:bottom w:val="nil"/>
              <w:right w:val="nil"/>
              <w:tl2br w:val="nil"/>
              <w:tr2bl w:val="nil"/>
            </w:tcBorders>
            <w:tcMar>
              <w:left w:w="60" w:type="dxa"/>
              <w:right w:w="60" w:type="dxa"/>
            </w:tcMar>
            <w:vAlign w:val="center"/>
          </w:tcPr>
          <w:p w14:paraId="0D22506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787231E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14:paraId="4FF0C87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6346CEB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2E748A9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14:paraId="47F5630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14:paraId="2BE3CDE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14:paraId="5D5F7ED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14:paraId="33911EF3"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14:paraId="615D0FE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14:paraId="4A377FD6"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w:t>
            </w:r>
          </w:p>
        </w:tc>
      </w:tr>
      <w:tr w:rsidR="00807FFE" w14:paraId="5FC7E32B"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224AD738"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2C2F500B"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Brexit Adjustment Reserve</w:t>
            </w:r>
          </w:p>
        </w:tc>
        <w:tc>
          <w:tcPr>
            <w:tcW w:w="875" w:type="dxa"/>
            <w:tcBorders>
              <w:top w:val="nil"/>
              <w:left w:val="nil"/>
              <w:bottom w:val="nil"/>
              <w:right w:val="nil"/>
              <w:tl2br w:val="nil"/>
              <w:tr2bl w:val="nil"/>
            </w:tcBorders>
            <w:tcMar>
              <w:left w:w="60" w:type="dxa"/>
              <w:right w:w="60" w:type="dxa"/>
            </w:tcMar>
            <w:vAlign w:val="center"/>
          </w:tcPr>
          <w:p w14:paraId="2E1E818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875" w:type="dxa"/>
            <w:tcBorders>
              <w:top w:val="nil"/>
              <w:left w:val="nil"/>
              <w:bottom w:val="nil"/>
              <w:right w:val="nil"/>
              <w:tl2br w:val="nil"/>
              <w:tr2bl w:val="nil"/>
            </w:tcBorders>
            <w:tcMar>
              <w:left w:w="60" w:type="dxa"/>
              <w:right w:w="60" w:type="dxa"/>
            </w:tcMar>
            <w:vAlign w:val="center"/>
          </w:tcPr>
          <w:p w14:paraId="635BCF1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14:paraId="542578C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14:paraId="3C97640D"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6E626E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16705AF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14:paraId="6F5F96A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14:paraId="4122FFA6"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76B656B2"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14:paraId="4C28F1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59BB6D5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14:paraId="065E03E4"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564</w:t>
            </w:r>
          </w:p>
        </w:tc>
      </w:tr>
      <w:tr w:rsidR="00807FFE" w14:paraId="6C36CD4A" w14:textId="77777777">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1262E24F"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14:paraId="7690A393" w14:textId="77777777" w:rsidR="00807FFE" w:rsidRDefault="00023E71">
            <w:pPr>
              <w:pStyle w:val="DMETW36742BIPDetailedMFF1Breakdown"/>
              <w:rPr>
                <w:rFonts w:ascii="Verdana" w:eastAsia="Verdana" w:hAnsi="Verdana" w:cs="Verdana"/>
                <w:noProof/>
                <w:color w:val="000000"/>
                <w:sz w:val="16"/>
              </w:rPr>
            </w:pPr>
            <w:r>
              <w:rPr>
                <w:rFonts w:ascii="Verdana" w:eastAsia="Verdana" w:hAnsi="Verdana" w:cs="Verdana"/>
                <w:noProof/>
                <w:color w:val="000000"/>
                <w:sz w:val="16"/>
              </w:rPr>
              <w:t>Total Heading S: Solidarity mechanisms within and outside the Union (Special instruments)</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25E0250E"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2 349</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22FA5E3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79FDD698"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1 766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A1E8B4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0D187E5"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1572E04"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2 085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88D106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2 320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6BB9EDB"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(576)</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6CA0410"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1 744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F0A9EBF"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578E36C" w14:textId="77777777" w:rsidR="00807FFE" w:rsidRDefault="00023E71">
            <w:pPr>
              <w:pStyle w:val="DMETW36742BIPDetailedMFF1Breakdown"/>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49B97E80" w14:textId="77777777" w:rsidR="00807FFE" w:rsidRDefault="00023E71">
            <w:pPr>
              <w:pStyle w:val="DMETW36742BIPDetailedMFF1Breakdown"/>
              <w:jc w:val="right"/>
              <w:rPr>
                <w:rFonts w:ascii="Verdana" w:eastAsia="Verdana" w:hAnsi="Verdana" w:cs="Verdana"/>
                <w:noProof/>
                <w:color w:val="000000"/>
                <w:sz w:val="16"/>
                <w:lang w:bidi="en-GB"/>
              </w:rPr>
            </w:pPr>
            <w:r>
              <w:rPr>
                <w:rFonts w:ascii="Verdana" w:eastAsia="Verdana" w:hAnsi="Verdana" w:cs="Verdana"/>
                <w:noProof/>
                <w:color w:val="000000"/>
                <w:sz w:val="16"/>
              </w:rPr>
              <w:t>2 063</w:t>
            </w:r>
          </w:p>
        </w:tc>
      </w:tr>
      <w:tr w:rsidR="00807FFE" w14:paraId="3ED93530" w14:textId="77777777">
        <w:trPr>
          <w:trHeight w:hRule="exact" w:val="255"/>
        </w:trPr>
        <w:tc>
          <w:tcPr>
            <w:tcW w:w="344" w:type="dxa"/>
            <w:tcBorders>
              <w:top w:val="nil"/>
              <w:left w:val="nil"/>
              <w:bottom w:val="nil"/>
              <w:right w:val="nil"/>
              <w:tl2br w:val="nil"/>
              <w:tr2bl w:val="nil"/>
            </w:tcBorders>
            <w:tcMar>
              <w:left w:w="60" w:type="dxa"/>
              <w:right w:w="60" w:type="dxa"/>
            </w:tcMar>
            <w:vAlign w:val="center"/>
          </w:tcPr>
          <w:p w14:paraId="0D6E7317" w14:textId="77777777" w:rsidR="00807FFE" w:rsidRDefault="00807FFE">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14:paraId="6141FFB6" w14:textId="77777777" w:rsidR="00807FFE" w:rsidRDefault="00807FFE">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3BFBD876"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47ABFD8F" w14:textId="77777777" w:rsidR="00807FFE" w:rsidRDefault="00807FFE">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14:paraId="2C2B36DC"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10E45C95"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3C07E9F"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2AC65FF9"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175C8E81"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4D3A36F"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5631B87B"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C7F3ABF"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47FD9916" w14:textId="77777777" w:rsidR="00807FFE" w:rsidRDefault="00807FFE">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14:paraId="66E6C9D1" w14:textId="77777777" w:rsidR="00807FFE" w:rsidRDefault="00807FFE">
            <w:pPr>
              <w:pStyle w:val="DMETW36742BIPDetailedMFF1Breakdown"/>
              <w:jc w:val="right"/>
              <w:rPr>
                <w:rFonts w:ascii="Verdana" w:eastAsia="Verdana" w:hAnsi="Verdana" w:cs="Verdana"/>
                <w:noProof/>
                <w:color w:val="000000"/>
                <w:sz w:val="16"/>
                <w:lang w:bidi="en-GB"/>
              </w:rPr>
            </w:pPr>
          </w:p>
        </w:tc>
      </w:tr>
      <w:tr w:rsidR="00807FFE" w14:paraId="0EF32C24" w14:textId="77777777">
        <w:trPr>
          <w:trHeight w:hRule="exac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14:paraId="2DDA393F" w14:textId="77777777" w:rsidR="00807FFE" w:rsidRDefault="00807FFE">
            <w:pPr>
              <w:pStyle w:val="DMETW36742BIPDetailedMFF1Breakdown"/>
              <w:rPr>
                <w:rFonts w:ascii="Verdana" w:eastAsia="Verdana" w:hAnsi="Verdana" w:cs="Verdana"/>
                <w:b/>
                <w:noProof/>
                <w:color w:val="000000"/>
                <w:sz w:val="16"/>
              </w:rPr>
            </w:pPr>
          </w:p>
        </w:tc>
        <w:tc>
          <w:tcPr>
            <w:tcW w:w="3839" w:type="dxa"/>
            <w:tcBorders>
              <w:top w:val="nil"/>
              <w:left w:val="nil"/>
              <w:bottom w:val="nil"/>
              <w:right w:val="nil"/>
              <w:tl2br w:val="nil"/>
              <w:tr2bl w:val="nil"/>
            </w:tcBorders>
            <w:shd w:val="solid" w:color="CCE1EA" w:fill="FFFFFF"/>
            <w:tcMar>
              <w:left w:w="60" w:type="dxa"/>
              <w:right w:w="60" w:type="dxa"/>
            </w:tcMar>
            <w:vAlign w:val="center"/>
          </w:tcPr>
          <w:p w14:paraId="27D2F251" w14:textId="77777777" w:rsidR="00807FFE" w:rsidRDefault="00023E71">
            <w:pPr>
              <w:pStyle w:val="DMETW36742BIPDetailedMFF1Breakdown"/>
              <w:rPr>
                <w:rFonts w:ascii="Verdana" w:eastAsia="Verdana" w:hAnsi="Verdana" w:cs="Verdana"/>
                <w:b/>
                <w:noProof/>
                <w:color w:val="000000"/>
                <w:sz w:val="16"/>
              </w:rPr>
            </w:pPr>
            <w:r>
              <w:rPr>
                <w:rFonts w:ascii="Verdana" w:eastAsia="Verdana" w:hAnsi="Verdana" w:cs="Verdana"/>
                <w:b/>
                <w:noProof/>
                <w:color w:val="000000"/>
                <w:sz w:val="16"/>
              </w:rPr>
              <w:t>TOTAL</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62A6CB64"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199 438</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33D59D7C"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 xml:space="preserve"> (199)</w:t>
            </w:r>
          </w:p>
        </w:tc>
        <w:tc>
          <w:tcPr>
            <w:tcW w:w="875" w:type="dxa"/>
            <w:tcBorders>
              <w:top w:val="nil"/>
              <w:left w:val="nil"/>
              <w:bottom w:val="nil"/>
              <w:right w:val="nil"/>
              <w:tl2br w:val="nil"/>
              <w:tr2bl w:val="nil"/>
            </w:tcBorders>
            <w:shd w:val="solid" w:color="CCE1EA" w:fill="FFFFFF"/>
            <w:tcMar>
              <w:left w:w="60" w:type="dxa"/>
              <w:right w:w="60" w:type="dxa"/>
            </w:tcMar>
            <w:vAlign w:val="center"/>
          </w:tcPr>
          <w:p w14:paraId="250775F1"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199 239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2A445480"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1 795</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A6A83F3"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27 070</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354C5C4"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228 104</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6633A46D"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155 209</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6637DA97"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5 953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07C9C068"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161 163</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61E6F852"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3 887</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74D157E0"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85 907</w:t>
            </w:r>
          </w:p>
        </w:tc>
        <w:tc>
          <w:tcPr>
            <w:tcW w:w="876" w:type="dxa"/>
            <w:tcBorders>
              <w:top w:val="nil"/>
              <w:left w:val="nil"/>
              <w:bottom w:val="nil"/>
              <w:right w:val="nil"/>
              <w:tl2br w:val="nil"/>
              <w:tr2bl w:val="nil"/>
            </w:tcBorders>
            <w:shd w:val="solid" w:color="CCE1EA" w:fill="FFFFFF"/>
            <w:tcMar>
              <w:left w:w="60" w:type="dxa"/>
              <w:right w:w="60" w:type="dxa"/>
            </w:tcMar>
            <w:vAlign w:val="center"/>
          </w:tcPr>
          <w:p w14:paraId="1E251068" w14:textId="77777777" w:rsidR="00807FFE" w:rsidRDefault="00023E71">
            <w:pPr>
              <w:pStyle w:val="DMETW36742BIPDetailedMFF1Breakdown"/>
              <w:jc w:val="right"/>
              <w:rPr>
                <w:rFonts w:ascii="Verdana" w:eastAsia="Verdana" w:hAnsi="Verdana" w:cs="Verdana"/>
                <w:b/>
                <w:noProof/>
                <w:color w:val="000000"/>
                <w:sz w:val="16"/>
              </w:rPr>
            </w:pPr>
            <w:r>
              <w:rPr>
                <w:rFonts w:ascii="Verdana" w:eastAsia="Verdana" w:hAnsi="Verdana" w:cs="Verdana"/>
                <w:b/>
                <w:noProof/>
                <w:color w:val="000000"/>
                <w:sz w:val="16"/>
              </w:rPr>
              <w:t>250 956</w:t>
            </w:r>
          </w:p>
        </w:tc>
      </w:tr>
    </w:tbl>
    <w:p w14:paraId="21F12A0F" w14:textId="77777777" w:rsidR="008C5342" w:rsidRPr="008C13D4" w:rsidRDefault="008C5342" w:rsidP="008C5342">
      <w:pPr>
        <w:pStyle w:val="Textstand-alone"/>
        <w:rPr>
          <w:lang w:bidi="en-GB"/>
        </w:rPr>
        <w:sectPr w:rsidR="008C5342" w:rsidRPr="008C13D4">
          <w:headerReference w:type="default" r:id="rId176"/>
          <w:footerReference w:type="default" r:id="rId177"/>
          <w:type w:val="nextColumn"/>
          <w:pgSz w:w="16840" w:h="11900" w:orient="landscape"/>
          <w:pgMar w:top="1134" w:right="1134" w:bottom="1134" w:left="1134" w:header="720" w:footer="720" w:gutter="0"/>
          <w:cols w:space="720"/>
          <w:docGrid w:linePitch="272"/>
        </w:sectPr>
      </w:pPr>
    </w:p>
    <w:p w14:paraId="3BE75824" w14:textId="77777777" w:rsidR="008C5342" w:rsidRPr="008903C1" w:rsidRDefault="00023E71" w:rsidP="006908A6">
      <w:pPr>
        <w:pStyle w:val="HEADER2PartBUDG"/>
        <w:spacing w:before="120" w:after="240"/>
        <w:ind w:left="357" w:hanging="357"/>
        <w:rPr>
          <w:noProof/>
          <w:lang w:val="en-GB"/>
        </w:rPr>
      </w:pPr>
      <w:bookmarkStart w:id="307" w:name="_Toc232674396"/>
      <w:r w:rsidRPr="0071140A">
        <w:rPr>
          <w:noProof/>
          <w:lang w:val="en-GB"/>
        </w:rPr>
        <w:t>DETAILED MFF: IMPLEMENTATION OF COMMITMENT APPROPRIATIONS</w:t>
      </w:r>
      <w:bookmarkEnd w:id="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2134"/>
        <w:gridCol w:w="4275"/>
        <w:gridCol w:w="623"/>
        <w:gridCol w:w="623"/>
        <w:gridCol w:w="623"/>
        <w:gridCol w:w="623"/>
        <w:gridCol w:w="623"/>
        <w:gridCol w:w="623"/>
        <w:gridCol w:w="623"/>
        <w:gridCol w:w="623"/>
        <w:gridCol w:w="623"/>
        <w:gridCol w:w="623"/>
        <w:gridCol w:w="623"/>
        <w:gridCol w:w="806"/>
      </w:tblGrid>
      <w:tr w:rsidR="00807FFE" w14:paraId="23897C92" w14:textId="77777777">
        <w:trPr>
          <w:trHeight w:val="255"/>
          <w:tblHeader/>
        </w:trPr>
        <w:tc>
          <w:tcPr>
            <w:tcW w:w="41" w:type="dxa"/>
            <w:gridSpan w:val="15"/>
            <w:tcBorders>
              <w:top w:val="nil"/>
              <w:left w:val="nil"/>
              <w:bottom w:val="nil"/>
              <w:right w:val="nil"/>
              <w:tl2br w:val="nil"/>
              <w:tr2bl w:val="nil"/>
            </w:tcBorders>
            <w:tcMar>
              <w:left w:w="60" w:type="dxa"/>
              <w:right w:w="60" w:type="dxa"/>
            </w:tcMar>
            <w:vAlign w:val="center"/>
          </w:tcPr>
          <w:p w14:paraId="352D3CFD" w14:textId="77777777" w:rsidR="00807FFE" w:rsidRDefault="00023E71">
            <w:pPr>
              <w:pStyle w:val="DMETW36742BIPDetailedMFF2ImplementCommitments"/>
              <w:jc w:val="right"/>
              <w:rPr>
                <w:rFonts w:ascii="Verdana" w:eastAsia="Verdana" w:hAnsi="Verdana" w:cs="Verdana"/>
                <w:i/>
                <w:noProof/>
                <w:color w:val="000000"/>
                <w:sz w:val="16"/>
                <w:lang w:bidi="en-GB"/>
              </w:rPr>
            </w:pPr>
            <w:bookmarkStart w:id="308" w:name="DOC_TBL00120_1_1"/>
            <w:bookmarkEnd w:id="308"/>
            <w:r>
              <w:rPr>
                <w:rFonts w:ascii="Verdana" w:eastAsia="Verdana" w:hAnsi="Verdana" w:cs="Verdana"/>
                <w:i/>
                <w:noProof/>
                <w:color w:val="000000"/>
                <w:sz w:val="16"/>
                <w:lang w:bidi="en-GB"/>
              </w:rPr>
              <w:t>EUR million</w:t>
            </w:r>
          </w:p>
        </w:tc>
      </w:tr>
      <w:tr w:rsidR="00807FFE" w14:paraId="7E18A2D5" w14:textId="77777777">
        <w:trPr>
          <w:trHeight w:val="255"/>
          <w:tblHeader/>
        </w:trPr>
        <w:tc>
          <w:tcPr>
            <w:tcW w:w="41" w:type="dxa"/>
            <w:tcBorders>
              <w:top w:val="nil"/>
              <w:left w:val="nil"/>
              <w:bottom w:val="nil"/>
              <w:right w:val="nil"/>
              <w:tl2br w:val="nil"/>
              <w:tr2bl w:val="nil"/>
            </w:tcBorders>
            <w:shd w:val="solid" w:color="016794" w:fill="FFFFFF"/>
            <w:tcMar>
              <w:left w:w="60" w:type="dxa"/>
              <w:right w:w="60" w:type="dxa"/>
            </w:tcMar>
            <w:vAlign w:val="center"/>
          </w:tcPr>
          <w:p w14:paraId="6C7CAB87" w14:textId="77777777" w:rsidR="00807FFE" w:rsidRDefault="00807FFE">
            <w:pPr>
              <w:pStyle w:val="DMETW36742BIPDetailedMFF2ImplementCommitments"/>
              <w:rPr>
                <w:rFonts w:ascii="Verdana" w:eastAsia="Verdana" w:hAnsi="Verdana" w:cs="Verdana"/>
                <w:b/>
                <w:noProof/>
                <w:color w:val="FFFFFF"/>
                <w:sz w:val="16"/>
              </w:rPr>
            </w:pPr>
          </w:p>
        </w:tc>
        <w:tc>
          <w:tcPr>
            <w:tcW w:w="479" w:type="dxa"/>
            <w:tcBorders>
              <w:top w:val="nil"/>
              <w:left w:val="nil"/>
              <w:bottom w:val="nil"/>
              <w:right w:val="nil"/>
              <w:tl2br w:val="nil"/>
              <w:tr2bl w:val="nil"/>
            </w:tcBorders>
            <w:shd w:val="solid" w:color="016794" w:fill="FFFFFF"/>
            <w:tcMar>
              <w:left w:w="60" w:type="dxa"/>
              <w:right w:w="60" w:type="dxa"/>
            </w:tcMar>
            <w:vAlign w:val="center"/>
          </w:tcPr>
          <w:p w14:paraId="05CD469E" w14:textId="77777777" w:rsidR="00807FFE" w:rsidRDefault="00807FFE">
            <w:pPr>
              <w:pStyle w:val="DMETW36742BIPDetailedMFF2ImplementCommitments"/>
              <w:rPr>
                <w:rFonts w:ascii="Verdana" w:eastAsia="Verdana" w:hAnsi="Verdana" w:cs="Verdana"/>
                <w:b/>
                <w:noProof/>
                <w:color w:val="FFFFFF"/>
                <w:sz w:val="16"/>
              </w:rPr>
            </w:pPr>
          </w:p>
        </w:tc>
        <w:tc>
          <w:tcPr>
            <w:tcW w:w="960" w:type="dxa"/>
            <w:vMerge w:val="restart"/>
            <w:tcBorders>
              <w:top w:val="nil"/>
              <w:left w:val="nil"/>
              <w:bottom w:val="nil"/>
              <w:right w:val="nil"/>
              <w:tl2br w:val="nil"/>
              <w:tr2bl w:val="nil"/>
            </w:tcBorders>
            <w:shd w:val="solid" w:color="016794" w:fill="FFFFFF"/>
            <w:tcMar>
              <w:left w:w="60" w:type="dxa"/>
              <w:right w:w="60" w:type="dxa"/>
            </w:tcMar>
            <w:vAlign w:val="center"/>
          </w:tcPr>
          <w:p w14:paraId="2F1AD685" w14:textId="77777777" w:rsidR="00807FFE" w:rsidRDefault="00023E71">
            <w:pPr>
              <w:pStyle w:val="DMETW36742BIPDetailed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Total appropr. available</w:t>
            </w:r>
          </w:p>
        </w:tc>
        <w:tc>
          <w:tcPr>
            <w:tcW w:w="126" w:type="dxa"/>
            <w:gridSpan w:val="5"/>
            <w:tcBorders>
              <w:top w:val="nil"/>
              <w:left w:val="nil"/>
              <w:bottom w:val="nil"/>
              <w:right w:val="nil"/>
              <w:tl2br w:val="nil"/>
              <w:tr2bl w:val="nil"/>
            </w:tcBorders>
            <w:shd w:val="solid" w:color="016794" w:fill="FFFFFF"/>
            <w:tcMar>
              <w:left w:w="60" w:type="dxa"/>
              <w:right w:w="60" w:type="dxa"/>
            </w:tcMar>
            <w:vAlign w:val="center"/>
          </w:tcPr>
          <w:p w14:paraId="33A46BDB" w14:textId="77777777" w:rsidR="00807FFE" w:rsidRDefault="00023E71">
            <w:pPr>
              <w:pStyle w:val="DMETW36742BIPDetailed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Commitments made</w:t>
            </w:r>
          </w:p>
        </w:tc>
        <w:tc>
          <w:tcPr>
            <w:tcW w:w="105" w:type="dxa"/>
            <w:gridSpan w:val="3"/>
            <w:tcBorders>
              <w:top w:val="nil"/>
              <w:left w:val="nil"/>
              <w:bottom w:val="nil"/>
              <w:right w:val="nil"/>
              <w:tl2br w:val="nil"/>
              <w:tr2bl w:val="nil"/>
            </w:tcBorders>
            <w:shd w:val="solid" w:color="016794" w:fill="FFFFFF"/>
            <w:tcMar>
              <w:left w:w="60" w:type="dxa"/>
              <w:right w:w="60" w:type="dxa"/>
            </w:tcMar>
            <w:vAlign w:val="center"/>
          </w:tcPr>
          <w:p w14:paraId="45CA8B99" w14:textId="77777777" w:rsidR="00807FFE" w:rsidRDefault="00023E71">
            <w:pPr>
              <w:pStyle w:val="DMETW36742BIPDetailed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Appropriations carried over</w:t>
            </w:r>
          </w:p>
          <w:p w14:paraId="065A3AA9" w14:textId="77777777" w:rsidR="00807FFE" w:rsidRDefault="00023E71">
            <w:pPr>
              <w:pStyle w:val="DMETW36742BIPDetailed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to 2026</w:t>
            </w:r>
          </w:p>
        </w:tc>
        <w:tc>
          <w:tcPr>
            <w:tcW w:w="92" w:type="dxa"/>
            <w:gridSpan w:val="4"/>
            <w:tcBorders>
              <w:top w:val="nil"/>
              <w:left w:val="nil"/>
              <w:bottom w:val="nil"/>
              <w:right w:val="nil"/>
              <w:tl2br w:val="nil"/>
              <w:tr2bl w:val="nil"/>
            </w:tcBorders>
            <w:shd w:val="solid" w:color="016794" w:fill="FFFFFF"/>
            <w:tcMar>
              <w:left w:w="60" w:type="dxa"/>
              <w:right w:w="60" w:type="dxa"/>
            </w:tcMar>
            <w:vAlign w:val="center"/>
          </w:tcPr>
          <w:p w14:paraId="4E892336" w14:textId="77777777" w:rsidR="00807FFE" w:rsidRDefault="00023E71">
            <w:pPr>
              <w:pStyle w:val="DMETW36742BIPDetailedMFF2ImplementCommitments"/>
              <w:jc w:val="center"/>
              <w:rPr>
                <w:rFonts w:ascii="Verdana" w:eastAsia="Verdana" w:hAnsi="Verdana" w:cs="Verdana"/>
                <w:b/>
                <w:noProof/>
                <w:color w:val="FFFFFF"/>
                <w:sz w:val="16"/>
                <w:lang w:bidi="en-GB"/>
              </w:rPr>
            </w:pPr>
            <w:r>
              <w:rPr>
                <w:rFonts w:ascii="Verdana" w:eastAsia="Verdana" w:hAnsi="Verdana" w:cs="Verdana"/>
                <w:b/>
                <w:noProof/>
                <w:color w:val="FFFFFF"/>
                <w:sz w:val="16"/>
              </w:rPr>
              <w:t>Appropriations lapsing</w:t>
            </w:r>
          </w:p>
        </w:tc>
      </w:tr>
      <w:tr w:rsidR="00807FFE" w14:paraId="2C2FAA39" w14:textId="77777777">
        <w:trPr>
          <w:trHeight w:val="255"/>
          <w:tblHeader/>
        </w:trPr>
        <w:tc>
          <w:tcPr>
            <w:tcW w:w="41" w:type="dxa"/>
            <w:tcBorders>
              <w:top w:val="nil"/>
              <w:left w:val="nil"/>
              <w:bottom w:val="nil"/>
              <w:right w:val="nil"/>
              <w:tl2br w:val="nil"/>
              <w:tr2bl w:val="nil"/>
            </w:tcBorders>
            <w:shd w:val="solid" w:color="016794" w:fill="FFFFFF"/>
            <w:tcMar>
              <w:left w:w="60" w:type="dxa"/>
              <w:right w:w="60" w:type="dxa"/>
            </w:tcMar>
            <w:vAlign w:val="center"/>
          </w:tcPr>
          <w:p w14:paraId="122BCBE1" w14:textId="77777777" w:rsidR="00807FFE" w:rsidRDefault="00807FFE">
            <w:pPr>
              <w:pStyle w:val="DMETW36742BIPDetailedMFF2ImplementCommitments"/>
              <w:jc w:val="center"/>
              <w:rPr>
                <w:rFonts w:ascii="Verdana" w:eastAsia="Verdana" w:hAnsi="Verdana" w:cs="Verdana"/>
                <w:noProof/>
                <w:color w:val="FFFFFF"/>
                <w:sz w:val="16"/>
              </w:rPr>
            </w:pPr>
          </w:p>
        </w:tc>
        <w:tc>
          <w:tcPr>
            <w:tcW w:w="479" w:type="dxa"/>
            <w:tcBorders>
              <w:top w:val="nil"/>
              <w:left w:val="nil"/>
              <w:bottom w:val="nil"/>
              <w:right w:val="nil"/>
              <w:tl2br w:val="nil"/>
              <w:tr2bl w:val="nil"/>
            </w:tcBorders>
            <w:shd w:val="solid" w:color="016794" w:fill="FFFFFF"/>
            <w:tcMar>
              <w:left w:w="60" w:type="dxa"/>
              <w:right w:w="60" w:type="dxa"/>
            </w:tcMar>
            <w:vAlign w:val="center"/>
          </w:tcPr>
          <w:p w14:paraId="35392C03" w14:textId="77777777" w:rsidR="00807FFE" w:rsidRDefault="00023E71">
            <w:pPr>
              <w:pStyle w:val="DMETW36742BIPDetailedMFF2ImplementCommitments"/>
              <w:jc w:val="center"/>
              <w:rPr>
                <w:rFonts w:ascii="Verdana" w:eastAsia="Verdana" w:hAnsi="Verdana" w:cs="Verdana"/>
                <w:b/>
                <w:noProof/>
                <w:color w:val="FFFFFF"/>
                <w:sz w:val="16"/>
              </w:rPr>
            </w:pPr>
            <w:r>
              <w:rPr>
                <w:rFonts w:ascii="Verdana" w:eastAsia="Verdana" w:hAnsi="Verdana" w:cs="Verdana"/>
                <w:b/>
                <w:noProof/>
                <w:color w:val="FFFFFF"/>
                <w:sz w:val="16"/>
              </w:rPr>
              <w:t>MFF Heading</w:t>
            </w:r>
          </w:p>
        </w:tc>
        <w:tc>
          <w:tcPr>
            <w:tcW w:w="960" w:type="dxa"/>
            <w:vMerge/>
            <w:tcBorders>
              <w:top w:val="nil"/>
              <w:left w:val="nil"/>
              <w:bottom w:val="nil"/>
              <w:right w:val="nil"/>
              <w:tl2br w:val="nil"/>
              <w:tr2bl w:val="nil"/>
            </w:tcBorders>
            <w:shd w:val="solid" w:color="016794" w:fill="FFFFFF"/>
            <w:tcMar>
              <w:left w:w="60" w:type="dxa"/>
              <w:right w:w="60" w:type="dxa"/>
            </w:tcMar>
            <w:vAlign w:val="center"/>
          </w:tcPr>
          <w:p w14:paraId="6D5A4E8C" w14:textId="77777777" w:rsidR="00807FFE" w:rsidRDefault="00807FFE">
            <w:pPr>
              <w:pStyle w:val="DMETW36742BIPDetailedMFF2ImplementCommitments"/>
              <w:jc w:val="center"/>
              <w:rPr>
                <w:rFonts w:ascii="Verdana" w:eastAsia="Verdana" w:hAnsi="Verdana" w:cs="Verdana"/>
                <w:b/>
                <w:noProof/>
                <w:color w:val="FFFFFF"/>
                <w:sz w:val="16"/>
              </w:rPr>
            </w:pPr>
          </w:p>
        </w:tc>
        <w:tc>
          <w:tcPr>
            <w:tcW w:w="126" w:type="dxa"/>
            <w:tcBorders>
              <w:top w:val="nil"/>
              <w:left w:val="nil"/>
              <w:bottom w:val="nil"/>
              <w:right w:val="nil"/>
              <w:tl2br w:val="nil"/>
              <w:tr2bl w:val="nil"/>
            </w:tcBorders>
            <w:shd w:val="solid" w:color="3487A9" w:fill="FFFFFF"/>
            <w:tcMar>
              <w:left w:w="60" w:type="dxa"/>
              <w:right w:w="60" w:type="dxa"/>
            </w:tcMar>
            <w:vAlign w:val="center"/>
          </w:tcPr>
          <w:p w14:paraId="3C843A6F"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102" w:type="dxa"/>
            <w:tcBorders>
              <w:top w:val="nil"/>
              <w:left w:val="nil"/>
              <w:bottom w:val="nil"/>
              <w:right w:val="nil"/>
              <w:tl2br w:val="nil"/>
              <w:tr2bl w:val="nil"/>
            </w:tcBorders>
            <w:shd w:val="solid" w:color="3487A9" w:fill="FFFFFF"/>
            <w:tcMar>
              <w:left w:w="60" w:type="dxa"/>
              <w:right w:w="60" w:type="dxa"/>
            </w:tcMar>
            <w:vAlign w:val="center"/>
          </w:tcPr>
          <w:p w14:paraId="37C28B9E"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from carry-overs</w:t>
            </w:r>
          </w:p>
        </w:tc>
        <w:tc>
          <w:tcPr>
            <w:tcW w:w="112" w:type="dxa"/>
            <w:tcBorders>
              <w:top w:val="nil"/>
              <w:left w:val="nil"/>
              <w:bottom w:val="nil"/>
              <w:right w:val="nil"/>
              <w:tl2br w:val="nil"/>
              <w:tr2bl w:val="nil"/>
            </w:tcBorders>
            <w:shd w:val="solid" w:color="3487A9" w:fill="FFFFFF"/>
            <w:tcMar>
              <w:left w:w="60" w:type="dxa"/>
              <w:right w:w="60" w:type="dxa"/>
            </w:tcMar>
            <w:vAlign w:val="center"/>
          </w:tcPr>
          <w:p w14:paraId="3D72F754"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125" w:type="dxa"/>
            <w:tcBorders>
              <w:top w:val="nil"/>
              <w:left w:val="nil"/>
              <w:bottom w:val="nil"/>
              <w:right w:val="nil"/>
              <w:tl2br w:val="nil"/>
              <w:tr2bl w:val="nil"/>
            </w:tcBorders>
            <w:shd w:val="solid" w:color="3487A9" w:fill="FFFFFF"/>
            <w:tcMar>
              <w:left w:w="60" w:type="dxa"/>
              <w:right w:w="60" w:type="dxa"/>
            </w:tcMar>
            <w:vAlign w:val="center"/>
          </w:tcPr>
          <w:p w14:paraId="7E871D90"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99" w:type="dxa"/>
            <w:tcBorders>
              <w:top w:val="nil"/>
              <w:left w:val="nil"/>
              <w:bottom w:val="nil"/>
              <w:right w:val="nil"/>
              <w:tl2br w:val="nil"/>
              <w:tr2bl w:val="nil"/>
            </w:tcBorders>
            <w:shd w:val="solid" w:color="3487A9" w:fill="FFFFFF"/>
            <w:tcMar>
              <w:left w:w="60" w:type="dxa"/>
              <w:right w:w="60" w:type="dxa"/>
            </w:tcMar>
            <w:vAlign w:val="center"/>
          </w:tcPr>
          <w:p w14:paraId="20862B87"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w:t>
            </w:r>
          </w:p>
        </w:tc>
        <w:tc>
          <w:tcPr>
            <w:tcW w:w="105" w:type="dxa"/>
            <w:tcBorders>
              <w:top w:val="nil"/>
              <w:left w:val="nil"/>
              <w:bottom w:val="nil"/>
              <w:right w:val="nil"/>
              <w:tl2br w:val="nil"/>
              <w:tr2bl w:val="nil"/>
            </w:tcBorders>
            <w:shd w:val="solid" w:color="3487A9" w:fill="FFFFFF"/>
            <w:tcMar>
              <w:left w:w="60" w:type="dxa"/>
              <w:right w:w="60" w:type="dxa"/>
            </w:tcMar>
            <w:vAlign w:val="center"/>
          </w:tcPr>
          <w:p w14:paraId="5640AA97"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112" w:type="dxa"/>
            <w:tcBorders>
              <w:top w:val="nil"/>
              <w:left w:val="nil"/>
              <w:bottom w:val="nil"/>
              <w:right w:val="nil"/>
              <w:tl2br w:val="nil"/>
              <w:tr2bl w:val="nil"/>
            </w:tcBorders>
            <w:shd w:val="solid" w:color="3487A9" w:fill="FFFFFF"/>
            <w:tcMar>
              <w:left w:w="60" w:type="dxa"/>
              <w:right w:w="60" w:type="dxa"/>
            </w:tcMar>
            <w:vAlign w:val="center"/>
          </w:tcPr>
          <w:p w14:paraId="09DD46D0"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106" w:type="dxa"/>
            <w:tcBorders>
              <w:top w:val="nil"/>
              <w:left w:val="nil"/>
              <w:bottom w:val="nil"/>
              <w:right w:val="nil"/>
              <w:tl2br w:val="nil"/>
              <w:tr2bl w:val="nil"/>
            </w:tcBorders>
            <w:shd w:val="solid" w:color="3487A9" w:fill="FFFFFF"/>
            <w:tcMar>
              <w:left w:w="60" w:type="dxa"/>
              <w:right w:w="60" w:type="dxa"/>
            </w:tcMar>
            <w:vAlign w:val="center"/>
          </w:tcPr>
          <w:p w14:paraId="08F258E1"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92" w:type="dxa"/>
            <w:tcBorders>
              <w:top w:val="nil"/>
              <w:left w:val="nil"/>
              <w:bottom w:val="nil"/>
              <w:right w:val="nil"/>
              <w:tl2br w:val="nil"/>
              <w:tr2bl w:val="nil"/>
            </w:tcBorders>
            <w:shd w:val="solid" w:color="3487A9" w:fill="FFFFFF"/>
            <w:tcMar>
              <w:left w:w="60" w:type="dxa"/>
              <w:right w:w="60" w:type="dxa"/>
            </w:tcMar>
            <w:vAlign w:val="center"/>
          </w:tcPr>
          <w:p w14:paraId="544875DF"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2" w:type="dxa"/>
            <w:tcBorders>
              <w:top w:val="nil"/>
              <w:left w:val="nil"/>
              <w:bottom w:val="nil"/>
              <w:right w:val="nil"/>
              <w:tl2br w:val="nil"/>
              <w:tr2bl w:val="nil"/>
            </w:tcBorders>
            <w:shd w:val="solid" w:color="3487A9" w:fill="FFFFFF"/>
            <w:tcMar>
              <w:left w:w="60" w:type="dxa"/>
              <w:right w:w="60" w:type="dxa"/>
            </w:tcMar>
            <w:vAlign w:val="center"/>
          </w:tcPr>
          <w:p w14:paraId="7ADEC672"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from carry-overs</w:t>
            </w:r>
          </w:p>
        </w:tc>
        <w:tc>
          <w:tcPr>
            <w:tcW w:w="112" w:type="dxa"/>
            <w:tcBorders>
              <w:top w:val="nil"/>
              <w:left w:val="nil"/>
              <w:bottom w:val="nil"/>
              <w:right w:val="nil"/>
              <w:tl2br w:val="nil"/>
              <w:tr2bl w:val="nil"/>
            </w:tcBorders>
            <w:shd w:val="solid" w:color="3487A9" w:fill="FFFFFF"/>
            <w:tcMar>
              <w:left w:w="60" w:type="dxa"/>
              <w:right w:w="60" w:type="dxa"/>
            </w:tcMar>
            <w:vAlign w:val="center"/>
          </w:tcPr>
          <w:p w14:paraId="4F700CD5"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181" w:type="dxa"/>
            <w:tcBorders>
              <w:top w:val="nil"/>
              <w:left w:val="nil"/>
              <w:bottom w:val="nil"/>
              <w:right w:val="nil"/>
              <w:tl2br w:val="nil"/>
              <w:tr2bl w:val="nil"/>
            </w:tcBorders>
            <w:shd w:val="solid" w:color="3487A9" w:fill="FFFFFF"/>
            <w:tcMar>
              <w:left w:w="60" w:type="dxa"/>
              <w:right w:w="60" w:type="dxa"/>
            </w:tcMar>
            <w:vAlign w:val="center"/>
          </w:tcPr>
          <w:p w14:paraId="18A92651" w14:textId="77777777" w:rsidR="00807FFE" w:rsidRDefault="00023E71">
            <w:pPr>
              <w:pStyle w:val="DMETW36742BIPDetailedMFF2ImplementCommitments"/>
              <w:jc w:val="center"/>
              <w:rPr>
                <w:rFonts w:ascii="Verdana" w:eastAsia="Verdana" w:hAnsi="Verdana" w:cs="Verdana"/>
                <w:noProof/>
                <w:color w:val="FFFFFF"/>
                <w:sz w:val="16"/>
                <w:lang w:bidi="en-GB"/>
              </w:rPr>
            </w:pPr>
            <w:r>
              <w:rPr>
                <w:rFonts w:ascii="Verdana" w:eastAsia="Verdana" w:hAnsi="Verdana" w:cs="Verdana"/>
                <w:noProof/>
                <w:color w:val="FFFFFF"/>
                <w:sz w:val="16"/>
              </w:rPr>
              <w:t>Total</w:t>
            </w:r>
          </w:p>
        </w:tc>
      </w:tr>
      <w:tr w:rsidR="00807FFE" w14:paraId="0EC627B0" w14:textId="77777777">
        <w:trPr>
          <w:trHeight w:val="255"/>
          <w:tblHeader/>
        </w:trPr>
        <w:tc>
          <w:tcPr>
            <w:tcW w:w="41" w:type="dxa"/>
            <w:tcBorders>
              <w:top w:val="nil"/>
              <w:left w:val="nil"/>
              <w:bottom w:val="nil"/>
              <w:right w:val="nil"/>
              <w:tl2br w:val="nil"/>
              <w:tr2bl w:val="nil"/>
            </w:tcBorders>
            <w:shd w:val="solid" w:color="016794" w:fill="FFFFFF"/>
            <w:tcMar>
              <w:left w:w="60" w:type="dxa"/>
              <w:right w:w="60" w:type="dxa"/>
            </w:tcMar>
            <w:vAlign w:val="center"/>
          </w:tcPr>
          <w:p w14:paraId="3BA21A69" w14:textId="77777777" w:rsidR="00807FFE" w:rsidRDefault="00807FFE">
            <w:pPr>
              <w:pStyle w:val="DMETW36742BIPDetailedMFF2ImplementCommitments"/>
              <w:jc w:val="center"/>
              <w:rPr>
                <w:rFonts w:ascii="Verdana" w:eastAsia="Verdana" w:hAnsi="Verdana" w:cs="Verdana"/>
                <w:noProof/>
                <w:color w:val="FFFFFF"/>
                <w:sz w:val="16"/>
              </w:rPr>
            </w:pPr>
          </w:p>
        </w:tc>
        <w:tc>
          <w:tcPr>
            <w:tcW w:w="479" w:type="dxa"/>
            <w:tcBorders>
              <w:top w:val="nil"/>
              <w:left w:val="nil"/>
              <w:bottom w:val="nil"/>
              <w:right w:val="nil"/>
              <w:tl2br w:val="nil"/>
              <w:tr2bl w:val="nil"/>
            </w:tcBorders>
            <w:shd w:val="solid" w:color="016794" w:fill="FFFFFF"/>
            <w:tcMar>
              <w:left w:w="60" w:type="dxa"/>
              <w:right w:w="60" w:type="dxa"/>
            </w:tcMar>
            <w:vAlign w:val="center"/>
          </w:tcPr>
          <w:p w14:paraId="54DBEF7B" w14:textId="77777777" w:rsidR="00807FFE" w:rsidRDefault="00807FFE">
            <w:pPr>
              <w:pStyle w:val="DMETW36742BIPDetailedMFF2ImplementCommitments"/>
              <w:jc w:val="center"/>
              <w:rPr>
                <w:rFonts w:ascii="Verdana" w:eastAsia="Verdana" w:hAnsi="Verdana" w:cs="Verdana"/>
                <w:noProof/>
                <w:color w:val="FFFFFF"/>
                <w:sz w:val="16"/>
              </w:rPr>
            </w:pPr>
          </w:p>
        </w:tc>
        <w:tc>
          <w:tcPr>
            <w:tcW w:w="960" w:type="dxa"/>
            <w:tcBorders>
              <w:top w:val="nil"/>
              <w:left w:val="nil"/>
              <w:bottom w:val="nil"/>
              <w:right w:val="nil"/>
              <w:tl2br w:val="nil"/>
              <w:tr2bl w:val="nil"/>
            </w:tcBorders>
            <w:shd w:val="solid" w:color="3487A9" w:fill="FFFFFF"/>
            <w:tcMar>
              <w:left w:w="60" w:type="dxa"/>
              <w:right w:w="60" w:type="dxa"/>
            </w:tcMar>
            <w:vAlign w:val="center"/>
          </w:tcPr>
          <w:p w14:paraId="147F2A83"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126" w:type="dxa"/>
            <w:tcBorders>
              <w:top w:val="nil"/>
              <w:left w:val="nil"/>
              <w:bottom w:val="nil"/>
              <w:right w:val="nil"/>
              <w:tl2br w:val="nil"/>
              <w:tr2bl w:val="nil"/>
            </w:tcBorders>
            <w:shd w:val="solid" w:color="3487A9" w:fill="FFFFFF"/>
            <w:tcMar>
              <w:left w:w="60" w:type="dxa"/>
              <w:right w:w="60" w:type="dxa"/>
            </w:tcMar>
            <w:vAlign w:val="center"/>
          </w:tcPr>
          <w:p w14:paraId="6D8E9B7C"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102" w:type="dxa"/>
            <w:tcBorders>
              <w:top w:val="nil"/>
              <w:left w:val="nil"/>
              <w:bottom w:val="nil"/>
              <w:right w:val="nil"/>
              <w:tl2br w:val="nil"/>
              <w:tr2bl w:val="nil"/>
            </w:tcBorders>
            <w:shd w:val="solid" w:color="3487A9" w:fill="FFFFFF"/>
            <w:tcMar>
              <w:left w:w="60" w:type="dxa"/>
              <w:right w:w="60" w:type="dxa"/>
            </w:tcMar>
            <w:vAlign w:val="center"/>
          </w:tcPr>
          <w:p w14:paraId="12EFD138"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3</w:t>
            </w:r>
          </w:p>
        </w:tc>
        <w:tc>
          <w:tcPr>
            <w:tcW w:w="112" w:type="dxa"/>
            <w:tcBorders>
              <w:top w:val="nil"/>
              <w:left w:val="nil"/>
              <w:bottom w:val="nil"/>
              <w:right w:val="nil"/>
              <w:tl2br w:val="nil"/>
              <w:tr2bl w:val="nil"/>
            </w:tcBorders>
            <w:shd w:val="solid" w:color="3487A9" w:fill="FFFFFF"/>
            <w:tcMar>
              <w:left w:w="60" w:type="dxa"/>
              <w:right w:w="60" w:type="dxa"/>
            </w:tcMar>
            <w:vAlign w:val="center"/>
          </w:tcPr>
          <w:p w14:paraId="153A1DD9"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125" w:type="dxa"/>
            <w:tcBorders>
              <w:top w:val="nil"/>
              <w:left w:val="nil"/>
              <w:bottom w:val="nil"/>
              <w:right w:val="nil"/>
              <w:tl2br w:val="nil"/>
              <w:tr2bl w:val="nil"/>
            </w:tcBorders>
            <w:shd w:val="solid" w:color="3487A9" w:fill="FFFFFF"/>
            <w:tcMar>
              <w:left w:w="60" w:type="dxa"/>
              <w:right w:w="60" w:type="dxa"/>
            </w:tcMar>
            <w:vAlign w:val="center"/>
          </w:tcPr>
          <w:p w14:paraId="7197D2C3"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5=2+3+4</w:t>
            </w:r>
          </w:p>
        </w:tc>
        <w:tc>
          <w:tcPr>
            <w:tcW w:w="99" w:type="dxa"/>
            <w:tcBorders>
              <w:top w:val="nil"/>
              <w:left w:val="nil"/>
              <w:bottom w:val="nil"/>
              <w:right w:val="nil"/>
              <w:tl2br w:val="nil"/>
              <w:tr2bl w:val="nil"/>
            </w:tcBorders>
            <w:shd w:val="solid" w:color="3487A9" w:fill="FFFFFF"/>
            <w:tcMar>
              <w:left w:w="60" w:type="dxa"/>
              <w:right w:w="60" w:type="dxa"/>
            </w:tcMar>
            <w:vAlign w:val="center"/>
          </w:tcPr>
          <w:p w14:paraId="687D873C"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6=5/1</w:t>
            </w:r>
          </w:p>
        </w:tc>
        <w:tc>
          <w:tcPr>
            <w:tcW w:w="105" w:type="dxa"/>
            <w:tcBorders>
              <w:top w:val="nil"/>
              <w:left w:val="nil"/>
              <w:bottom w:val="nil"/>
              <w:right w:val="nil"/>
              <w:tl2br w:val="nil"/>
              <w:tr2bl w:val="nil"/>
            </w:tcBorders>
            <w:shd w:val="solid" w:color="3487A9" w:fill="FFFFFF"/>
            <w:tcMar>
              <w:left w:w="60" w:type="dxa"/>
              <w:right w:w="60" w:type="dxa"/>
            </w:tcMar>
            <w:vAlign w:val="center"/>
          </w:tcPr>
          <w:p w14:paraId="32BA0780"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7</w:t>
            </w:r>
          </w:p>
        </w:tc>
        <w:tc>
          <w:tcPr>
            <w:tcW w:w="112" w:type="dxa"/>
            <w:tcBorders>
              <w:top w:val="nil"/>
              <w:left w:val="nil"/>
              <w:bottom w:val="nil"/>
              <w:right w:val="nil"/>
              <w:tl2br w:val="nil"/>
              <w:tr2bl w:val="nil"/>
            </w:tcBorders>
            <w:shd w:val="solid" w:color="3487A9" w:fill="FFFFFF"/>
            <w:tcMar>
              <w:left w:w="60" w:type="dxa"/>
              <w:right w:w="60" w:type="dxa"/>
            </w:tcMar>
            <w:vAlign w:val="center"/>
          </w:tcPr>
          <w:p w14:paraId="25BE9943"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8</w:t>
            </w:r>
          </w:p>
        </w:tc>
        <w:tc>
          <w:tcPr>
            <w:tcW w:w="106" w:type="dxa"/>
            <w:tcBorders>
              <w:top w:val="nil"/>
              <w:left w:val="nil"/>
              <w:bottom w:val="nil"/>
              <w:right w:val="nil"/>
              <w:tl2br w:val="nil"/>
              <w:tr2bl w:val="nil"/>
            </w:tcBorders>
            <w:shd w:val="solid" w:color="3487A9" w:fill="FFFFFF"/>
            <w:tcMar>
              <w:left w:w="60" w:type="dxa"/>
              <w:right w:w="60" w:type="dxa"/>
            </w:tcMar>
            <w:vAlign w:val="center"/>
          </w:tcPr>
          <w:p w14:paraId="1C0A5810"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9=7+8</w:t>
            </w:r>
          </w:p>
        </w:tc>
        <w:tc>
          <w:tcPr>
            <w:tcW w:w="92" w:type="dxa"/>
            <w:tcBorders>
              <w:top w:val="nil"/>
              <w:left w:val="nil"/>
              <w:bottom w:val="nil"/>
              <w:right w:val="nil"/>
              <w:tl2br w:val="nil"/>
              <w:tr2bl w:val="nil"/>
            </w:tcBorders>
            <w:shd w:val="solid" w:color="3487A9" w:fill="FFFFFF"/>
            <w:tcMar>
              <w:left w:w="60" w:type="dxa"/>
              <w:right w:w="60" w:type="dxa"/>
            </w:tcMar>
            <w:vAlign w:val="center"/>
          </w:tcPr>
          <w:p w14:paraId="53E1248B"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10</w:t>
            </w:r>
          </w:p>
        </w:tc>
        <w:tc>
          <w:tcPr>
            <w:tcW w:w="82" w:type="dxa"/>
            <w:tcBorders>
              <w:top w:val="nil"/>
              <w:left w:val="nil"/>
              <w:bottom w:val="nil"/>
              <w:right w:val="nil"/>
              <w:tl2br w:val="nil"/>
              <w:tr2bl w:val="nil"/>
            </w:tcBorders>
            <w:shd w:val="solid" w:color="3487A9" w:fill="FFFFFF"/>
            <w:tcMar>
              <w:left w:w="60" w:type="dxa"/>
              <w:right w:w="60" w:type="dxa"/>
            </w:tcMar>
            <w:vAlign w:val="center"/>
          </w:tcPr>
          <w:p w14:paraId="7F43D450"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11</w:t>
            </w:r>
          </w:p>
        </w:tc>
        <w:tc>
          <w:tcPr>
            <w:tcW w:w="112" w:type="dxa"/>
            <w:tcBorders>
              <w:top w:val="nil"/>
              <w:left w:val="nil"/>
              <w:bottom w:val="nil"/>
              <w:right w:val="nil"/>
              <w:tl2br w:val="nil"/>
              <w:tr2bl w:val="nil"/>
            </w:tcBorders>
            <w:shd w:val="solid" w:color="3487A9" w:fill="FFFFFF"/>
            <w:tcMar>
              <w:left w:w="60" w:type="dxa"/>
              <w:right w:w="60" w:type="dxa"/>
            </w:tcMar>
            <w:vAlign w:val="center"/>
          </w:tcPr>
          <w:p w14:paraId="68350FE0" w14:textId="77777777" w:rsidR="00807FFE" w:rsidRDefault="00023E71">
            <w:pPr>
              <w:pStyle w:val="DMETW36742BIPDetailedMFF2ImplementCommitments"/>
              <w:jc w:val="center"/>
              <w:rPr>
                <w:rFonts w:ascii="Verdana" w:eastAsia="Verdana" w:hAnsi="Verdana" w:cs="Verdana"/>
                <w:noProof/>
                <w:color w:val="FFFFFF"/>
                <w:sz w:val="16"/>
              </w:rPr>
            </w:pPr>
            <w:r>
              <w:rPr>
                <w:rFonts w:ascii="Verdana" w:eastAsia="Verdana" w:hAnsi="Verdana" w:cs="Verdana"/>
                <w:noProof/>
                <w:color w:val="FFFFFF"/>
                <w:sz w:val="16"/>
              </w:rPr>
              <w:t>12</w:t>
            </w:r>
          </w:p>
        </w:tc>
        <w:tc>
          <w:tcPr>
            <w:tcW w:w="181" w:type="dxa"/>
            <w:tcBorders>
              <w:top w:val="nil"/>
              <w:left w:val="nil"/>
              <w:bottom w:val="nil"/>
              <w:right w:val="nil"/>
              <w:tl2br w:val="nil"/>
              <w:tr2bl w:val="nil"/>
            </w:tcBorders>
            <w:shd w:val="solid" w:color="3487A9" w:fill="FFFFFF"/>
            <w:tcMar>
              <w:left w:w="60" w:type="dxa"/>
              <w:right w:w="60" w:type="dxa"/>
            </w:tcMar>
            <w:vAlign w:val="center"/>
          </w:tcPr>
          <w:p w14:paraId="56AEE64E" w14:textId="77777777" w:rsidR="00807FFE" w:rsidRDefault="00023E71">
            <w:pPr>
              <w:pStyle w:val="DMETW36742BIPDetailedMFF2ImplementCommitments"/>
              <w:jc w:val="center"/>
              <w:rPr>
                <w:rFonts w:ascii="Verdana" w:eastAsia="Verdana" w:hAnsi="Verdana" w:cs="Verdana"/>
                <w:noProof/>
                <w:color w:val="FFFFFF"/>
                <w:sz w:val="16"/>
                <w:lang w:bidi="en-GB"/>
              </w:rPr>
            </w:pPr>
            <w:r>
              <w:rPr>
                <w:rFonts w:ascii="Verdana" w:eastAsia="Verdana" w:hAnsi="Verdana" w:cs="Verdana"/>
                <w:noProof/>
                <w:color w:val="FFFFFF"/>
                <w:sz w:val="16"/>
              </w:rPr>
              <w:t>13=10+11+12</w:t>
            </w:r>
          </w:p>
        </w:tc>
      </w:tr>
      <w:tr w:rsidR="00807FFE" w14:paraId="7F28C14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2ED4D3F"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1</w:t>
            </w:r>
          </w:p>
        </w:tc>
        <w:tc>
          <w:tcPr>
            <w:tcW w:w="479" w:type="dxa"/>
            <w:tcBorders>
              <w:top w:val="nil"/>
              <w:left w:val="nil"/>
              <w:bottom w:val="nil"/>
              <w:right w:val="nil"/>
              <w:tl2br w:val="nil"/>
              <w:tr2bl w:val="nil"/>
            </w:tcBorders>
            <w:tcMar>
              <w:left w:w="60" w:type="dxa"/>
              <w:right w:w="60" w:type="dxa"/>
            </w:tcMar>
            <w:vAlign w:val="center"/>
          </w:tcPr>
          <w:p w14:paraId="44B9609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Horizon Europe</w:t>
            </w:r>
          </w:p>
        </w:tc>
        <w:tc>
          <w:tcPr>
            <w:tcW w:w="960" w:type="dxa"/>
            <w:tcBorders>
              <w:top w:val="nil"/>
              <w:left w:val="nil"/>
              <w:bottom w:val="nil"/>
              <w:right w:val="nil"/>
              <w:tl2br w:val="nil"/>
              <w:tr2bl w:val="nil"/>
            </w:tcBorders>
            <w:tcMar>
              <w:left w:w="60" w:type="dxa"/>
              <w:right w:w="60" w:type="dxa"/>
            </w:tcMar>
            <w:vAlign w:val="center"/>
          </w:tcPr>
          <w:p w14:paraId="16BAB6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19 213</w:t>
            </w:r>
          </w:p>
        </w:tc>
        <w:tc>
          <w:tcPr>
            <w:tcW w:w="126" w:type="dxa"/>
            <w:tcBorders>
              <w:top w:val="nil"/>
              <w:left w:val="nil"/>
              <w:bottom w:val="nil"/>
              <w:right w:val="nil"/>
              <w:tl2br w:val="nil"/>
              <w:tr2bl w:val="nil"/>
            </w:tcBorders>
            <w:tcMar>
              <w:left w:w="60" w:type="dxa"/>
              <w:right w:w="60" w:type="dxa"/>
            </w:tcMar>
            <w:vAlign w:val="center"/>
          </w:tcPr>
          <w:p w14:paraId="13F64BD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12 758</w:t>
            </w:r>
          </w:p>
        </w:tc>
        <w:tc>
          <w:tcPr>
            <w:tcW w:w="102" w:type="dxa"/>
            <w:tcBorders>
              <w:top w:val="nil"/>
              <w:left w:val="nil"/>
              <w:bottom w:val="nil"/>
              <w:right w:val="nil"/>
              <w:tl2br w:val="nil"/>
              <w:tr2bl w:val="nil"/>
            </w:tcBorders>
            <w:tcMar>
              <w:left w:w="60" w:type="dxa"/>
              <w:right w:w="60" w:type="dxa"/>
            </w:tcMar>
            <w:vAlign w:val="center"/>
          </w:tcPr>
          <w:p w14:paraId="6AC77C4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112" w:type="dxa"/>
            <w:tcBorders>
              <w:top w:val="nil"/>
              <w:left w:val="nil"/>
              <w:bottom w:val="nil"/>
              <w:right w:val="nil"/>
              <w:tl2br w:val="nil"/>
              <w:tr2bl w:val="nil"/>
            </w:tcBorders>
            <w:tcMar>
              <w:left w:w="60" w:type="dxa"/>
              <w:right w:w="60" w:type="dxa"/>
            </w:tcMar>
            <w:vAlign w:val="center"/>
          </w:tcPr>
          <w:p w14:paraId="01F8549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3 941</w:t>
            </w:r>
          </w:p>
        </w:tc>
        <w:tc>
          <w:tcPr>
            <w:tcW w:w="125" w:type="dxa"/>
            <w:tcBorders>
              <w:top w:val="nil"/>
              <w:left w:val="nil"/>
              <w:bottom w:val="nil"/>
              <w:right w:val="nil"/>
              <w:tl2br w:val="nil"/>
              <w:tr2bl w:val="nil"/>
            </w:tcBorders>
            <w:tcMar>
              <w:left w:w="60" w:type="dxa"/>
              <w:right w:w="60" w:type="dxa"/>
            </w:tcMar>
            <w:vAlign w:val="center"/>
          </w:tcPr>
          <w:p w14:paraId="2ED2DF2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16 815</w:t>
            </w:r>
          </w:p>
        </w:tc>
        <w:tc>
          <w:tcPr>
            <w:tcW w:w="99" w:type="dxa"/>
            <w:tcBorders>
              <w:top w:val="nil"/>
              <w:left w:val="nil"/>
              <w:bottom w:val="nil"/>
              <w:right w:val="nil"/>
              <w:tl2br w:val="nil"/>
              <w:tr2bl w:val="nil"/>
            </w:tcBorders>
            <w:tcMar>
              <w:left w:w="60" w:type="dxa"/>
              <w:right w:w="60" w:type="dxa"/>
            </w:tcMar>
            <w:vAlign w:val="center"/>
          </w:tcPr>
          <w:p w14:paraId="6AC8C0E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88 %</w:t>
            </w:r>
          </w:p>
        </w:tc>
        <w:tc>
          <w:tcPr>
            <w:tcW w:w="105" w:type="dxa"/>
            <w:tcBorders>
              <w:top w:val="nil"/>
              <w:left w:val="nil"/>
              <w:bottom w:val="nil"/>
              <w:right w:val="nil"/>
              <w:tl2br w:val="nil"/>
              <w:tr2bl w:val="nil"/>
            </w:tcBorders>
            <w:tcMar>
              <w:left w:w="60" w:type="dxa"/>
              <w:right w:w="60" w:type="dxa"/>
            </w:tcMar>
            <w:vAlign w:val="center"/>
          </w:tcPr>
          <w:p w14:paraId="329C48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30855CD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2 390</w:t>
            </w:r>
          </w:p>
        </w:tc>
        <w:tc>
          <w:tcPr>
            <w:tcW w:w="106" w:type="dxa"/>
            <w:tcBorders>
              <w:top w:val="nil"/>
              <w:left w:val="nil"/>
              <w:bottom w:val="nil"/>
              <w:right w:val="nil"/>
              <w:tl2br w:val="nil"/>
              <w:tr2bl w:val="nil"/>
            </w:tcBorders>
            <w:tcMar>
              <w:left w:w="60" w:type="dxa"/>
              <w:right w:w="60" w:type="dxa"/>
            </w:tcMar>
            <w:vAlign w:val="center"/>
          </w:tcPr>
          <w:p w14:paraId="074855F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2 390</w:t>
            </w:r>
          </w:p>
        </w:tc>
        <w:tc>
          <w:tcPr>
            <w:tcW w:w="92" w:type="dxa"/>
            <w:tcBorders>
              <w:top w:val="nil"/>
              <w:left w:val="nil"/>
              <w:bottom w:val="nil"/>
              <w:right w:val="nil"/>
              <w:tl2br w:val="nil"/>
              <w:tr2bl w:val="nil"/>
            </w:tcBorders>
            <w:tcMar>
              <w:left w:w="60" w:type="dxa"/>
              <w:right w:w="60" w:type="dxa"/>
            </w:tcMar>
            <w:vAlign w:val="center"/>
          </w:tcPr>
          <w:p w14:paraId="7D16A9B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2" w:type="dxa"/>
            <w:tcBorders>
              <w:top w:val="nil"/>
              <w:left w:val="nil"/>
              <w:bottom w:val="nil"/>
              <w:right w:val="nil"/>
              <w:tl2br w:val="nil"/>
              <w:tr2bl w:val="nil"/>
            </w:tcBorders>
            <w:tcMar>
              <w:left w:w="60" w:type="dxa"/>
              <w:right w:w="60" w:type="dxa"/>
            </w:tcMar>
            <w:vAlign w:val="center"/>
          </w:tcPr>
          <w:p w14:paraId="697A9C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FD8F9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81" w:type="dxa"/>
            <w:tcBorders>
              <w:top w:val="nil"/>
              <w:left w:val="nil"/>
              <w:bottom w:val="nil"/>
              <w:right w:val="nil"/>
              <w:tl2br w:val="nil"/>
              <w:tr2bl w:val="nil"/>
            </w:tcBorders>
            <w:tcMar>
              <w:left w:w="60" w:type="dxa"/>
              <w:right w:w="60" w:type="dxa"/>
            </w:tcMar>
            <w:vAlign w:val="center"/>
          </w:tcPr>
          <w:p w14:paraId="61F7EC1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w:t>
            </w:r>
          </w:p>
        </w:tc>
      </w:tr>
      <w:tr w:rsidR="00807FFE" w14:paraId="5B105F1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98CF22D"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F33999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Euratom Research and Training Programme</w:t>
            </w:r>
          </w:p>
        </w:tc>
        <w:tc>
          <w:tcPr>
            <w:tcW w:w="960" w:type="dxa"/>
            <w:tcBorders>
              <w:top w:val="nil"/>
              <w:left w:val="nil"/>
              <w:bottom w:val="nil"/>
              <w:right w:val="nil"/>
              <w:tl2br w:val="nil"/>
              <w:tr2bl w:val="nil"/>
            </w:tcBorders>
            <w:tcMar>
              <w:left w:w="60" w:type="dxa"/>
              <w:right w:w="60" w:type="dxa"/>
            </w:tcMar>
            <w:vAlign w:val="center"/>
          </w:tcPr>
          <w:p w14:paraId="499714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405</w:t>
            </w:r>
          </w:p>
        </w:tc>
        <w:tc>
          <w:tcPr>
            <w:tcW w:w="126" w:type="dxa"/>
            <w:tcBorders>
              <w:top w:val="nil"/>
              <w:left w:val="nil"/>
              <w:bottom w:val="nil"/>
              <w:right w:val="nil"/>
              <w:tl2br w:val="nil"/>
              <w:tr2bl w:val="nil"/>
            </w:tcBorders>
            <w:tcMar>
              <w:left w:w="60" w:type="dxa"/>
              <w:right w:w="60" w:type="dxa"/>
            </w:tcMar>
            <w:vAlign w:val="center"/>
          </w:tcPr>
          <w:p w14:paraId="4404427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286</w:t>
            </w:r>
          </w:p>
        </w:tc>
        <w:tc>
          <w:tcPr>
            <w:tcW w:w="102" w:type="dxa"/>
            <w:tcBorders>
              <w:top w:val="nil"/>
              <w:left w:val="nil"/>
              <w:bottom w:val="nil"/>
              <w:right w:val="nil"/>
              <w:tl2br w:val="nil"/>
              <w:tr2bl w:val="nil"/>
            </w:tcBorders>
            <w:tcMar>
              <w:left w:w="60" w:type="dxa"/>
              <w:right w:w="60" w:type="dxa"/>
            </w:tcMar>
            <w:vAlign w:val="center"/>
          </w:tcPr>
          <w:p w14:paraId="727605C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4C9630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125" w:type="dxa"/>
            <w:tcBorders>
              <w:top w:val="nil"/>
              <w:left w:val="nil"/>
              <w:bottom w:val="nil"/>
              <w:right w:val="nil"/>
              <w:tl2br w:val="nil"/>
              <w:tr2bl w:val="nil"/>
            </w:tcBorders>
            <w:tcMar>
              <w:left w:w="60" w:type="dxa"/>
              <w:right w:w="60" w:type="dxa"/>
            </w:tcMar>
            <w:vAlign w:val="center"/>
          </w:tcPr>
          <w:p w14:paraId="2CE8465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376</w:t>
            </w:r>
          </w:p>
        </w:tc>
        <w:tc>
          <w:tcPr>
            <w:tcW w:w="99" w:type="dxa"/>
            <w:tcBorders>
              <w:top w:val="nil"/>
              <w:left w:val="nil"/>
              <w:bottom w:val="nil"/>
              <w:right w:val="nil"/>
              <w:tl2br w:val="nil"/>
              <w:tr2bl w:val="nil"/>
            </w:tcBorders>
            <w:tcMar>
              <w:left w:w="60" w:type="dxa"/>
              <w:right w:w="60" w:type="dxa"/>
            </w:tcMar>
            <w:vAlign w:val="center"/>
          </w:tcPr>
          <w:p w14:paraId="65DECE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105" w:type="dxa"/>
            <w:tcBorders>
              <w:top w:val="nil"/>
              <w:left w:val="nil"/>
              <w:bottom w:val="nil"/>
              <w:right w:val="nil"/>
              <w:tl2br w:val="nil"/>
              <w:tr2bl w:val="nil"/>
            </w:tcBorders>
            <w:tcMar>
              <w:left w:w="60" w:type="dxa"/>
              <w:right w:w="60" w:type="dxa"/>
            </w:tcMar>
            <w:vAlign w:val="center"/>
          </w:tcPr>
          <w:p w14:paraId="2FB7D53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3A7C85B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106" w:type="dxa"/>
            <w:tcBorders>
              <w:top w:val="nil"/>
              <w:left w:val="nil"/>
              <w:bottom w:val="nil"/>
              <w:right w:val="nil"/>
              <w:tl2br w:val="nil"/>
              <w:tr2bl w:val="nil"/>
            </w:tcBorders>
            <w:tcMar>
              <w:left w:w="60" w:type="dxa"/>
              <w:right w:w="60" w:type="dxa"/>
            </w:tcMar>
            <w:vAlign w:val="center"/>
          </w:tcPr>
          <w:p w14:paraId="562371C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92" w:type="dxa"/>
            <w:tcBorders>
              <w:top w:val="nil"/>
              <w:left w:val="nil"/>
              <w:bottom w:val="nil"/>
              <w:right w:val="nil"/>
              <w:tl2br w:val="nil"/>
              <w:tr2bl w:val="nil"/>
            </w:tcBorders>
            <w:tcMar>
              <w:left w:w="60" w:type="dxa"/>
              <w:right w:w="60" w:type="dxa"/>
            </w:tcMar>
            <w:vAlign w:val="center"/>
          </w:tcPr>
          <w:p w14:paraId="28D1FD5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2" w:type="dxa"/>
            <w:tcBorders>
              <w:top w:val="nil"/>
              <w:left w:val="nil"/>
              <w:bottom w:val="nil"/>
              <w:right w:val="nil"/>
              <w:tl2br w:val="nil"/>
              <w:tr2bl w:val="nil"/>
            </w:tcBorders>
            <w:tcMar>
              <w:left w:w="60" w:type="dxa"/>
              <w:right w:w="60" w:type="dxa"/>
            </w:tcMar>
            <w:vAlign w:val="center"/>
          </w:tcPr>
          <w:p w14:paraId="1AF10F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2CE9CF7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20C906A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315DEE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E1D31A7"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10698E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International Thermonuclear Experimental Reactor (ITER)</w:t>
            </w:r>
          </w:p>
        </w:tc>
        <w:tc>
          <w:tcPr>
            <w:tcW w:w="960" w:type="dxa"/>
            <w:tcBorders>
              <w:top w:val="nil"/>
              <w:left w:val="nil"/>
              <w:bottom w:val="nil"/>
              <w:right w:val="nil"/>
              <w:tl2br w:val="nil"/>
              <w:tr2bl w:val="nil"/>
            </w:tcBorders>
            <w:tcMar>
              <w:left w:w="60" w:type="dxa"/>
              <w:right w:w="60" w:type="dxa"/>
            </w:tcMar>
            <w:vAlign w:val="center"/>
          </w:tcPr>
          <w:p w14:paraId="5524A9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490</w:t>
            </w:r>
          </w:p>
        </w:tc>
        <w:tc>
          <w:tcPr>
            <w:tcW w:w="126" w:type="dxa"/>
            <w:tcBorders>
              <w:top w:val="nil"/>
              <w:left w:val="nil"/>
              <w:bottom w:val="nil"/>
              <w:right w:val="nil"/>
              <w:tl2br w:val="nil"/>
              <w:tr2bl w:val="nil"/>
            </w:tcBorders>
            <w:tcMar>
              <w:left w:w="60" w:type="dxa"/>
              <w:right w:w="60" w:type="dxa"/>
            </w:tcMar>
            <w:vAlign w:val="center"/>
          </w:tcPr>
          <w:p w14:paraId="7A8602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486</w:t>
            </w:r>
          </w:p>
        </w:tc>
        <w:tc>
          <w:tcPr>
            <w:tcW w:w="102" w:type="dxa"/>
            <w:tcBorders>
              <w:top w:val="nil"/>
              <w:left w:val="nil"/>
              <w:bottom w:val="nil"/>
              <w:right w:val="nil"/>
              <w:tl2br w:val="nil"/>
              <w:tr2bl w:val="nil"/>
            </w:tcBorders>
            <w:tcMar>
              <w:left w:w="60" w:type="dxa"/>
              <w:right w:w="60" w:type="dxa"/>
            </w:tcMar>
            <w:vAlign w:val="center"/>
          </w:tcPr>
          <w:p w14:paraId="0208076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90FE9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427B0EF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488</w:t>
            </w:r>
          </w:p>
        </w:tc>
        <w:tc>
          <w:tcPr>
            <w:tcW w:w="99" w:type="dxa"/>
            <w:tcBorders>
              <w:top w:val="nil"/>
              <w:left w:val="nil"/>
              <w:bottom w:val="nil"/>
              <w:right w:val="nil"/>
              <w:tl2br w:val="nil"/>
              <w:tr2bl w:val="nil"/>
            </w:tcBorders>
            <w:tcMar>
              <w:left w:w="60" w:type="dxa"/>
              <w:right w:w="60" w:type="dxa"/>
            </w:tcMar>
            <w:vAlign w:val="center"/>
          </w:tcPr>
          <w:p w14:paraId="05F9B05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56EF31B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152AB6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14:paraId="4B8615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14:paraId="72008B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A0422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BBE35E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B27708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CB30343"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9157CFE"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868E8ED"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0" w:type="dxa"/>
            <w:tcBorders>
              <w:top w:val="nil"/>
              <w:left w:val="nil"/>
              <w:bottom w:val="nil"/>
              <w:right w:val="nil"/>
              <w:tl2br w:val="nil"/>
              <w:tr2bl w:val="nil"/>
            </w:tcBorders>
            <w:tcMar>
              <w:left w:w="60" w:type="dxa"/>
              <w:right w:w="60" w:type="dxa"/>
            </w:tcMar>
            <w:vAlign w:val="center"/>
          </w:tcPr>
          <w:p w14:paraId="2BBC9E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629</w:t>
            </w:r>
          </w:p>
        </w:tc>
        <w:tc>
          <w:tcPr>
            <w:tcW w:w="126" w:type="dxa"/>
            <w:tcBorders>
              <w:top w:val="nil"/>
              <w:left w:val="nil"/>
              <w:bottom w:val="nil"/>
              <w:right w:val="nil"/>
              <w:tl2br w:val="nil"/>
              <w:tr2bl w:val="nil"/>
            </w:tcBorders>
            <w:tcMar>
              <w:left w:w="60" w:type="dxa"/>
              <w:right w:w="60" w:type="dxa"/>
            </w:tcMar>
            <w:vAlign w:val="center"/>
          </w:tcPr>
          <w:p w14:paraId="7E2B65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61F08E7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496D66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167</w:t>
            </w:r>
          </w:p>
        </w:tc>
        <w:tc>
          <w:tcPr>
            <w:tcW w:w="125" w:type="dxa"/>
            <w:tcBorders>
              <w:top w:val="nil"/>
              <w:left w:val="nil"/>
              <w:bottom w:val="nil"/>
              <w:right w:val="nil"/>
              <w:tl2br w:val="nil"/>
              <w:tr2bl w:val="nil"/>
            </w:tcBorders>
            <w:tcMar>
              <w:left w:w="60" w:type="dxa"/>
              <w:right w:w="60" w:type="dxa"/>
            </w:tcMar>
            <w:vAlign w:val="center"/>
          </w:tcPr>
          <w:p w14:paraId="09AD1A5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167</w:t>
            </w:r>
          </w:p>
        </w:tc>
        <w:tc>
          <w:tcPr>
            <w:tcW w:w="99" w:type="dxa"/>
            <w:tcBorders>
              <w:top w:val="nil"/>
              <w:left w:val="nil"/>
              <w:bottom w:val="nil"/>
              <w:right w:val="nil"/>
              <w:tl2br w:val="nil"/>
              <w:tr2bl w:val="nil"/>
            </w:tcBorders>
            <w:tcMar>
              <w:left w:w="60" w:type="dxa"/>
              <w:right w:w="60" w:type="dxa"/>
            </w:tcMar>
            <w:vAlign w:val="center"/>
          </w:tcPr>
          <w:p w14:paraId="50D785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27 %</w:t>
            </w:r>
          </w:p>
        </w:tc>
        <w:tc>
          <w:tcPr>
            <w:tcW w:w="105" w:type="dxa"/>
            <w:tcBorders>
              <w:top w:val="nil"/>
              <w:left w:val="nil"/>
              <w:bottom w:val="nil"/>
              <w:right w:val="nil"/>
              <w:tl2br w:val="nil"/>
              <w:tr2bl w:val="nil"/>
            </w:tcBorders>
            <w:tcMar>
              <w:left w:w="60" w:type="dxa"/>
              <w:right w:w="60" w:type="dxa"/>
            </w:tcMar>
            <w:vAlign w:val="center"/>
          </w:tcPr>
          <w:p w14:paraId="77386E5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AED083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462</w:t>
            </w:r>
          </w:p>
        </w:tc>
        <w:tc>
          <w:tcPr>
            <w:tcW w:w="106" w:type="dxa"/>
            <w:tcBorders>
              <w:top w:val="nil"/>
              <w:left w:val="nil"/>
              <w:bottom w:val="nil"/>
              <w:right w:val="nil"/>
              <w:tl2br w:val="nil"/>
              <w:tr2bl w:val="nil"/>
            </w:tcBorders>
            <w:tcMar>
              <w:left w:w="60" w:type="dxa"/>
              <w:right w:w="60" w:type="dxa"/>
            </w:tcMar>
            <w:vAlign w:val="center"/>
          </w:tcPr>
          <w:p w14:paraId="0262253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462</w:t>
            </w:r>
          </w:p>
        </w:tc>
        <w:tc>
          <w:tcPr>
            <w:tcW w:w="92" w:type="dxa"/>
            <w:tcBorders>
              <w:top w:val="nil"/>
              <w:left w:val="nil"/>
              <w:bottom w:val="nil"/>
              <w:right w:val="nil"/>
              <w:tl2br w:val="nil"/>
              <w:tr2bl w:val="nil"/>
            </w:tcBorders>
            <w:tcMar>
              <w:left w:w="60" w:type="dxa"/>
              <w:right w:w="60" w:type="dxa"/>
            </w:tcMar>
            <w:vAlign w:val="center"/>
          </w:tcPr>
          <w:p w14:paraId="0A3B728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25A53E9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F5F3BB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3833C7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0BF5A55"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A90E200"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33B10D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1C01BE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26" w:type="dxa"/>
            <w:tcBorders>
              <w:top w:val="nil"/>
              <w:left w:val="nil"/>
              <w:bottom w:val="nil"/>
              <w:right w:val="nil"/>
              <w:tl2br w:val="nil"/>
              <w:tr2bl w:val="nil"/>
            </w:tcBorders>
            <w:tcMar>
              <w:left w:w="60" w:type="dxa"/>
              <w:right w:w="60" w:type="dxa"/>
            </w:tcMar>
            <w:vAlign w:val="center"/>
          </w:tcPr>
          <w:p w14:paraId="09FECF5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02" w:type="dxa"/>
            <w:tcBorders>
              <w:top w:val="nil"/>
              <w:left w:val="nil"/>
              <w:bottom w:val="nil"/>
              <w:right w:val="nil"/>
              <w:tl2br w:val="nil"/>
              <w:tr2bl w:val="nil"/>
            </w:tcBorders>
            <w:tcMar>
              <w:left w:w="60" w:type="dxa"/>
              <w:right w:w="60" w:type="dxa"/>
            </w:tcMar>
            <w:vAlign w:val="center"/>
          </w:tcPr>
          <w:p w14:paraId="0F66354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F1676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7BBABB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9" w:type="dxa"/>
            <w:tcBorders>
              <w:top w:val="nil"/>
              <w:left w:val="nil"/>
              <w:bottom w:val="nil"/>
              <w:right w:val="nil"/>
              <w:tl2br w:val="nil"/>
              <w:tr2bl w:val="nil"/>
            </w:tcBorders>
            <w:tcMar>
              <w:left w:w="60" w:type="dxa"/>
              <w:right w:w="60" w:type="dxa"/>
            </w:tcMar>
            <w:vAlign w:val="center"/>
          </w:tcPr>
          <w:p w14:paraId="45C504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3237F04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709EA6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427228A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308DF0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04C443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8E1863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EE6A11B"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0016BAD"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7F93A56"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F3FA55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InvestEU Fund</w:t>
            </w:r>
          </w:p>
        </w:tc>
        <w:tc>
          <w:tcPr>
            <w:tcW w:w="960" w:type="dxa"/>
            <w:tcBorders>
              <w:top w:val="nil"/>
              <w:left w:val="nil"/>
              <w:bottom w:val="nil"/>
              <w:right w:val="nil"/>
              <w:tl2br w:val="nil"/>
              <w:tr2bl w:val="nil"/>
            </w:tcBorders>
            <w:tcMar>
              <w:left w:w="60" w:type="dxa"/>
              <w:right w:w="60" w:type="dxa"/>
            </w:tcMar>
            <w:vAlign w:val="center"/>
          </w:tcPr>
          <w:p w14:paraId="57B712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1 294</w:t>
            </w:r>
          </w:p>
        </w:tc>
        <w:tc>
          <w:tcPr>
            <w:tcW w:w="126" w:type="dxa"/>
            <w:tcBorders>
              <w:top w:val="nil"/>
              <w:left w:val="nil"/>
              <w:bottom w:val="nil"/>
              <w:right w:val="nil"/>
              <w:tl2br w:val="nil"/>
              <w:tr2bl w:val="nil"/>
            </w:tcBorders>
            <w:tcMar>
              <w:left w:w="60" w:type="dxa"/>
              <w:right w:w="60" w:type="dxa"/>
            </w:tcMar>
            <w:vAlign w:val="center"/>
          </w:tcPr>
          <w:p w14:paraId="254740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378</w:t>
            </w:r>
          </w:p>
        </w:tc>
        <w:tc>
          <w:tcPr>
            <w:tcW w:w="102" w:type="dxa"/>
            <w:tcBorders>
              <w:top w:val="nil"/>
              <w:left w:val="nil"/>
              <w:bottom w:val="nil"/>
              <w:right w:val="nil"/>
              <w:tl2br w:val="nil"/>
              <w:tr2bl w:val="nil"/>
            </w:tcBorders>
            <w:tcMar>
              <w:left w:w="60" w:type="dxa"/>
              <w:right w:w="60" w:type="dxa"/>
            </w:tcMar>
            <w:vAlign w:val="center"/>
          </w:tcPr>
          <w:p w14:paraId="39792E1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8E9394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842</w:t>
            </w:r>
          </w:p>
        </w:tc>
        <w:tc>
          <w:tcPr>
            <w:tcW w:w="125" w:type="dxa"/>
            <w:tcBorders>
              <w:top w:val="nil"/>
              <w:left w:val="nil"/>
              <w:bottom w:val="nil"/>
              <w:right w:val="nil"/>
              <w:tl2br w:val="nil"/>
              <w:tr2bl w:val="nil"/>
            </w:tcBorders>
            <w:tcMar>
              <w:left w:w="60" w:type="dxa"/>
              <w:right w:w="60" w:type="dxa"/>
            </w:tcMar>
            <w:vAlign w:val="center"/>
          </w:tcPr>
          <w:p w14:paraId="2648848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1 221</w:t>
            </w:r>
          </w:p>
        </w:tc>
        <w:tc>
          <w:tcPr>
            <w:tcW w:w="99" w:type="dxa"/>
            <w:tcBorders>
              <w:top w:val="nil"/>
              <w:left w:val="nil"/>
              <w:bottom w:val="nil"/>
              <w:right w:val="nil"/>
              <w:tl2br w:val="nil"/>
              <w:tr2bl w:val="nil"/>
            </w:tcBorders>
            <w:tcMar>
              <w:left w:w="60" w:type="dxa"/>
              <w:right w:w="60" w:type="dxa"/>
            </w:tcMar>
            <w:vAlign w:val="center"/>
          </w:tcPr>
          <w:p w14:paraId="47123B5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105" w:type="dxa"/>
            <w:tcBorders>
              <w:top w:val="nil"/>
              <w:left w:val="nil"/>
              <w:bottom w:val="nil"/>
              <w:right w:val="nil"/>
              <w:tl2br w:val="nil"/>
              <w:tr2bl w:val="nil"/>
            </w:tcBorders>
            <w:tcMar>
              <w:left w:w="60" w:type="dxa"/>
              <w:right w:w="60" w:type="dxa"/>
            </w:tcMar>
            <w:vAlign w:val="center"/>
          </w:tcPr>
          <w:p w14:paraId="217B46D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1159252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106" w:type="dxa"/>
            <w:tcBorders>
              <w:top w:val="nil"/>
              <w:left w:val="nil"/>
              <w:bottom w:val="nil"/>
              <w:right w:val="nil"/>
              <w:tl2br w:val="nil"/>
              <w:tr2bl w:val="nil"/>
            </w:tcBorders>
            <w:tcMar>
              <w:left w:w="60" w:type="dxa"/>
              <w:right w:w="60" w:type="dxa"/>
            </w:tcMar>
            <w:vAlign w:val="center"/>
          </w:tcPr>
          <w:p w14:paraId="23F255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92" w:type="dxa"/>
            <w:tcBorders>
              <w:top w:val="nil"/>
              <w:left w:val="nil"/>
              <w:bottom w:val="nil"/>
              <w:right w:val="nil"/>
              <w:tl2br w:val="nil"/>
              <w:tr2bl w:val="nil"/>
            </w:tcBorders>
            <w:tcMar>
              <w:left w:w="60" w:type="dxa"/>
              <w:right w:w="60" w:type="dxa"/>
            </w:tcMar>
            <w:vAlign w:val="center"/>
          </w:tcPr>
          <w:p w14:paraId="22C058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80C159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2A47E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B845D7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7D25D6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18CAB75"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C9A78A7"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Connecting Europe Facility (CEF) - Transport</w:t>
            </w:r>
          </w:p>
        </w:tc>
        <w:tc>
          <w:tcPr>
            <w:tcW w:w="960" w:type="dxa"/>
            <w:tcBorders>
              <w:top w:val="nil"/>
              <w:left w:val="nil"/>
              <w:bottom w:val="nil"/>
              <w:right w:val="nil"/>
              <w:tl2br w:val="nil"/>
              <w:tr2bl w:val="nil"/>
            </w:tcBorders>
            <w:tcMar>
              <w:left w:w="60" w:type="dxa"/>
              <w:right w:w="60" w:type="dxa"/>
            </w:tcMar>
            <w:vAlign w:val="center"/>
          </w:tcPr>
          <w:p w14:paraId="5D136DA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1 745</w:t>
            </w:r>
          </w:p>
        </w:tc>
        <w:tc>
          <w:tcPr>
            <w:tcW w:w="126" w:type="dxa"/>
            <w:tcBorders>
              <w:top w:val="nil"/>
              <w:left w:val="nil"/>
              <w:bottom w:val="nil"/>
              <w:right w:val="nil"/>
              <w:tl2br w:val="nil"/>
              <w:tr2bl w:val="nil"/>
            </w:tcBorders>
            <w:tcMar>
              <w:left w:w="60" w:type="dxa"/>
              <w:right w:w="60" w:type="dxa"/>
            </w:tcMar>
            <w:vAlign w:val="center"/>
          </w:tcPr>
          <w:p w14:paraId="4D6217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1 675</w:t>
            </w:r>
          </w:p>
        </w:tc>
        <w:tc>
          <w:tcPr>
            <w:tcW w:w="102" w:type="dxa"/>
            <w:tcBorders>
              <w:top w:val="nil"/>
              <w:left w:val="nil"/>
              <w:bottom w:val="nil"/>
              <w:right w:val="nil"/>
              <w:tl2br w:val="nil"/>
              <w:tr2bl w:val="nil"/>
            </w:tcBorders>
            <w:tcMar>
              <w:left w:w="60" w:type="dxa"/>
              <w:right w:w="60" w:type="dxa"/>
            </w:tcMar>
            <w:vAlign w:val="center"/>
          </w:tcPr>
          <w:p w14:paraId="47322AC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AA0B8B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25" w:type="dxa"/>
            <w:tcBorders>
              <w:top w:val="nil"/>
              <w:left w:val="nil"/>
              <w:bottom w:val="nil"/>
              <w:right w:val="nil"/>
              <w:tl2br w:val="nil"/>
              <w:tr2bl w:val="nil"/>
            </w:tcBorders>
            <w:tcMar>
              <w:left w:w="60" w:type="dxa"/>
              <w:right w:w="60" w:type="dxa"/>
            </w:tcMar>
            <w:vAlign w:val="center"/>
          </w:tcPr>
          <w:p w14:paraId="32DC025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1 701</w:t>
            </w:r>
          </w:p>
        </w:tc>
        <w:tc>
          <w:tcPr>
            <w:tcW w:w="99" w:type="dxa"/>
            <w:tcBorders>
              <w:top w:val="nil"/>
              <w:left w:val="nil"/>
              <w:bottom w:val="nil"/>
              <w:right w:val="nil"/>
              <w:tl2br w:val="nil"/>
              <w:tr2bl w:val="nil"/>
            </w:tcBorders>
            <w:tcMar>
              <w:left w:w="60" w:type="dxa"/>
              <w:right w:w="60" w:type="dxa"/>
            </w:tcMar>
            <w:vAlign w:val="center"/>
          </w:tcPr>
          <w:p w14:paraId="3D5217E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14:paraId="116C96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DD83C3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106" w:type="dxa"/>
            <w:tcBorders>
              <w:top w:val="nil"/>
              <w:left w:val="nil"/>
              <w:bottom w:val="nil"/>
              <w:right w:val="nil"/>
              <w:tl2br w:val="nil"/>
              <w:tr2bl w:val="nil"/>
            </w:tcBorders>
            <w:tcMar>
              <w:left w:w="60" w:type="dxa"/>
              <w:right w:w="60" w:type="dxa"/>
            </w:tcMar>
            <w:vAlign w:val="center"/>
          </w:tcPr>
          <w:p w14:paraId="3B8B157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92" w:type="dxa"/>
            <w:tcBorders>
              <w:top w:val="nil"/>
              <w:left w:val="nil"/>
              <w:bottom w:val="nil"/>
              <w:right w:val="nil"/>
              <w:tl2br w:val="nil"/>
              <w:tr2bl w:val="nil"/>
            </w:tcBorders>
            <w:tcMar>
              <w:left w:w="60" w:type="dxa"/>
              <w:right w:w="60" w:type="dxa"/>
            </w:tcMar>
            <w:vAlign w:val="center"/>
          </w:tcPr>
          <w:p w14:paraId="61C48B3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C1DB4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A9975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5C2F90C9"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2D53D55"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C558E2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93B83A7"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Connecting Europe Facility (CEF) - Energy</w:t>
            </w:r>
          </w:p>
        </w:tc>
        <w:tc>
          <w:tcPr>
            <w:tcW w:w="960" w:type="dxa"/>
            <w:tcBorders>
              <w:top w:val="nil"/>
              <w:left w:val="nil"/>
              <w:bottom w:val="nil"/>
              <w:right w:val="nil"/>
              <w:tl2br w:val="nil"/>
              <w:tr2bl w:val="nil"/>
            </w:tcBorders>
            <w:tcMar>
              <w:left w:w="60" w:type="dxa"/>
              <w:right w:w="60" w:type="dxa"/>
            </w:tcMar>
            <w:vAlign w:val="center"/>
          </w:tcPr>
          <w:p w14:paraId="4B365F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996</w:t>
            </w:r>
          </w:p>
        </w:tc>
        <w:tc>
          <w:tcPr>
            <w:tcW w:w="126" w:type="dxa"/>
            <w:tcBorders>
              <w:top w:val="nil"/>
              <w:left w:val="nil"/>
              <w:bottom w:val="nil"/>
              <w:right w:val="nil"/>
              <w:tl2br w:val="nil"/>
              <w:tr2bl w:val="nil"/>
            </w:tcBorders>
            <w:tcMar>
              <w:left w:w="60" w:type="dxa"/>
              <w:right w:w="60" w:type="dxa"/>
            </w:tcMar>
            <w:vAlign w:val="center"/>
          </w:tcPr>
          <w:p w14:paraId="7FF8D16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926</w:t>
            </w:r>
          </w:p>
        </w:tc>
        <w:tc>
          <w:tcPr>
            <w:tcW w:w="102" w:type="dxa"/>
            <w:tcBorders>
              <w:top w:val="nil"/>
              <w:left w:val="nil"/>
              <w:bottom w:val="nil"/>
              <w:right w:val="nil"/>
              <w:tl2br w:val="nil"/>
              <w:tr2bl w:val="nil"/>
            </w:tcBorders>
            <w:tcMar>
              <w:left w:w="60" w:type="dxa"/>
              <w:right w:w="60" w:type="dxa"/>
            </w:tcMar>
            <w:vAlign w:val="center"/>
          </w:tcPr>
          <w:p w14:paraId="078695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110900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037320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926</w:t>
            </w:r>
          </w:p>
        </w:tc>
        <w:tc>
          <w:tcPr>
            <w:tcW w:w="99" w:type="dxa"/>
            <w:tcBorders>
              <w:top w:val="nil"/>
              <w:left w:val="nil"/>
              <w:bottom w:val="nil"/>
              <w:right w:val="nil"/>
              <w:tl2br w:val="nil"/>
              <w:tr2bl w:val="nil"/>
            </w:tcBorders>
            <w:tcMar>
              <w:left w:w="60" w:type="dxa"/>
              <w:right w:w="60" w:type="dxa"/>
            </w:tcMar>
            <w:vAlign w:val="center"/>
          </w:tcPr>
          <w:p w14:paraId="72AE2B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105" w:type="dxa"/>
            <w:tcBorders>
              <w:top w:val="nil"/>
              <w:left w:val="nil"/>
              <w:bottom w:val="nil"/>
              <w:right w:val="nil"/>
              <w:tl2br w:val="nil"/>
              <w:tr2bl w:val="nil"/>
            </w:tcBorders>
            <w:tcMar>
              <w:left w:w="60" w:type="dxa"/>
              <w:right w:w="60" w:type="dxa"/>
            </w:tcMar>
            <w:vAlign w:val="center"/>
          </w:tcPr>
          <w:p w14:paraId="1EC3625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8A144C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106" w:type="dxa"/>
            <w:tcBorders>
              <w:top w:val="nil"/>
              <w:left w:val="nil"/>
              <w:bottom w:val="nil"/>
              <w:right w:val="nil"/>
              <w:tl2br w:val="nil"/>
              <w:tr2bl w:val="nil"/>
            </w:tcBorders>
            <w:tcMar>
              <w:left w:w="60" w:type="dxa"/>
              <w:right w:w="60" w:type="dxa"/>
            </w:tcMar>
            <w:vAlign w:val="center"/>
          </w:tcPr>
          <w:p w14:paraId="6DD778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92" w:type="dxa"/>
            <w:tcBorders>
              <w:top w:val="nil"/>
              <w:left w:val="nil"/>
              <w:bottom w:val="nil"/>
              <w:right w:val="nil"/>
              <w:tl2br w:val="nil"/>
              <w:tr2bl w:val="nil"/>
            </w:tcBorders>
            <w:tcMar>
              <w:left w:w="60" w:type="dxa"/>
              <w:right w:w="60" w:type="dxa"/>
            </w:tcMar>
            <w:vAlign w:val="center"/>
          </w:tcPr>
          <w:p w14:paraId="7E267A8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5381A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454483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60644C7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324EC1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99E94C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3BEB19F"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Connecting Europe Facility (CEF) - Digital</w:t>
            </w:r>
          </w:p>
        </w:tc>
        <w:tc>
          <w:tcPr>
            <w:tcW w:w="960" w:type="dxa"/>
            <w:tcBorders>
              <w:top w:val="nil"/>
              <w:left w:val="nil"/>
              <w:bottom w:val="nil"/>
              <w:right w:val="nil"/>
              <w:tl2br w:val="nil"/>
              <w:tr2bl w:val="nil"/>
            </w:tcBorders>
            <w:tcMar>
              <w:left w:w="60" w:type="dxa"/>
              <w:right w:w="60" w:type="dxa"/>
            </w:tcMar>
            <w:vAlign w:val="center"/>
          </w:tcPr>
          <w:p w14:paraId="25B0FF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230</w:t>
            </w:r>
          </w:p>
        </w:tc>
        <w:tc>
          <w:tcPr>
            <w:tcW w:w="126" w:type="dxa"/>
            <w:tcBorders>
              <w:top w:val="nil"/>
              <w:left w:val="nil"/>
              <w:bottom w:val="nil"/>
              <w:right w:val="nil"/>
              <w:tl2br w:val="nil"/>
              <w:tr2bl w:val="nil"/>
            </w:tcBorders>
            <w:tcMar>
              <w:left w:w="60" w:type="dxa"/>
              <w:right w:w="60" w:type="dxa"/>
            </w:tcMar>
            <w:vAlign w:val="center"/>
          </w:tcPr>
          <w:p w14:paraId="1259AE4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226</w:t>
            </w:r>
          </w:p>
        </w:tc>
        <w:tc>
          <w:tcPr>
            <w:tcW w:w="102" w:type="dxa"/>
            <w:tcBorders>
              <w:top w:val="nil"/>
              <w:left w:val="nil"/>
              <w:bottom w:val="nil"/>
              <w:right w:val="nil"/>
              <w:tl2br w:val="nil"/>
              <w:tr2bl w:val="nil"/>
            </w:tcBorders>
            <w:tcMar>
              <w:left w:w="60" w:type="dxa"/>
              <w:right w:w="60" w:type="dxa"/>
            </w:tcMar>
            <w:vAlign w:val="center"/>
          </w:tcPr>
          <w:p w14:paraId="1580C9E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8CEFF3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14:paraId="08216E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229</w:t>
            </w:r>
          </w:p>
        </w:tc>
        <w:tc>
          <w:tcPr>
            <w:tcW w:w="99" w:type="dxa"/>
            <w:tcBorders>
              <w:top w:val="nil"/>
              <w:left w:val="nil"/>
              <w:bottom w:val="nil"/>
              <w:right w:val="nil"/>
              <w:tl2br w:val="nil"/>
              <w:tr2bl w:val="nil"/>
            </w:tcBorders>
            <w:tcMar>
              <w:left w:w="60" w:type="dxa"/>
              <w:right w:w="60" w:type="dxa"/>
            </w:tcMar>
            <w:vAlign w:val="center"/>
          </w:tcPr>
          <w:p w14:paraId="05ABDE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2D90AC6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232E48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1574F0B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4243A41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37FB4A7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E63B8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12A80718"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7474EF7"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A8266C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7ACD4A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Digital Europe Programme</w:t>
            </w:r>
          </w:p>
        </w:tc>
        <w:tc>
          <w:tcPr>
            <w:tcW w:w="960" w:type="dxa"/>
            <w:tcBorders>
              <w:top w:val="nil"/>
              <w:left w:val="nil"/>
              <w:bottom w:val="nil"/>
              <w:right w:val="nil"/>
              <w:tl2br w:val="nil"/>
              <w:tr2bl w:val="nil"/>
            </w:tcBorders>
            <w:tcMar>
              <w:left w:w="60" w:type="dxa"/>
              <w:right w:w="60" w:type="dxa"/>
            </w:tcMar>
            <w:vAlign w:val="center"/>
          </w:tcPr>
          <w:p w14:paraId="0C65E82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1 189</w:t>
            </w:r>
          </w:p>
        </w:tc>
        <w:tc>
          <w:tcPr>
            <w:tcW w:w="126" w:type="dxa"/>
            <w:tcBorders>
              <w:top w:val="nil"/>
              <w:left w:val="nil"/>
              <w:bottom w:val="nil"/>
              <w:right w:val="nil"/>
              <w:tl2br w:val="nil"/>
              <w:tr2bl w:val="nil"/>
            </w:tcBorders>
            <w:tcMar>
              <w:left w:w="60" w:type="dxa"/>
              <w:right w:w="60" w:type="dxa"/>
            </w:tcMar>
            <w:vAlign w:val="center"/>
          </w:tcPr>
          <w:p w14:paraId="3C87D47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1 097</w:t>
            </w:r>
          </w:p>
        </w:tc>
        <w:tc>
          <w:tcPr>
            <w:tcW w:w="102" w:type="dxa"/>
            <w:tcBorders>
              <w:top w:val="nil"/>
              <w:left w:val="nil"/>
              <w:bottom w:val="nil"/>
              <w:right w:val="nil"/>
              <w:tl2br w:val="nil"/>
              <w:tr2bl w:val="nil"/>
            </w:tcBorders>
            <w:tcMar>
              <w:left w:w="60" w:type="dxa"/>
              <w:right w:w="60" w:type="dxa"/>
            </w:tcMar>
            <w:vAlign w:val="center"/>
          </w:tcPr>
          <w:p w14:paraId="41EED13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01DC173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125" w:type="dxa"/>
            <w:tcBorders>
              <w:top w:val="nil"/>
              <w:left w:val="nil"/>
              <w:bottom w:val="nil"/>
              <w:right w:val="nil"/>
              <w:tl2br w:val="nil"/>
              <w:tr2bl w:val="nil"/>
            </w:tcBorders>
            <w:tcMar>
              <w:left w:w="60" w:type="dxa"/>
              <w:right w:w="60" w:type="dxa"/>
            </w:tcMar>
            <w:vAlign w:val="center"/>
          </w:tcPr>
          <w:p w14:paraId="7373B80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1 137</w:t>
            </w:r>
          </w:p>
        </w:tc>
        <w:tc>
          <w:tcPr>
            <w:tcW w:w="99" w:type="dxa"/>
            <w:tcBorders>
              <w:top w:val="nil"/>
              <w:left w:val="nil"/>
              <w:bottom w:val="nil"/>
              <w:right w:val="nil"/>
              <w:tl2br w:val="nil"/>
              <w:tr2bl w:val="nil"/>
            </w:tcBorders>
            <w:tcMar>
              <w:left w:w="60" w:type="dxa"/>
              <w:right w:w="60" w:type="dxa"/>
            </w:tcMar>
            <w:vAlign w:val="center"/>
          </w:tcPr>
          <w:p w14:paraId="3968BC7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14:paraId="021307D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F1F5D3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106" w:type="dxa"/>
            <w:tcBorders>
              <w:top w:val="nil"/>
              <w:left w:val="nil"/>
              <w:bottom w:val="nil"/>
              <w:right w:val="nil"/>
              <w:tl2br w:val="nil"/>
              <w:tr2bl w:val="nil"/>
            </w:tcBorders>
            <w:tcMar>
              <w:left w:w="60" w:type="dxa"/>
              <w:right w:w="60" w:type="dxa"/>
            </w:tcMar>
            <w:vAlign w:val="center"/>
          </w:tcPr>
          <w:p w14:paraId="6148496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92" w:type="dxa"/>
            <w:tcBorders>
              <w:top w:val="nil"/>
              <w:left w:val="nil"/>
              <w:bottom w:val="nil"/>
              <w:right w:val="nil"/>
              <w:tl2br w:val="nil"/>
              <w:tr2bl w:val="nil"/>
            </w:tcBorders>
            <w:tcMar>
              <w:left w:w="60" w:type="dxa"/>
              <w:right w:w="60" w:type="dxa"/>
            </w:tcMar>
            <w:vAlign w:val="center"/>
          </w:tcPr>
          <w:p w14:paraId="2D358C6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A59036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43E5073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4451F596"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01C743A"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5AD1A8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CE024E7"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3DF4AD0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240</w:t>
            </w:r>
          </w:p>
        </w:tc>
        <w:tc>
          <w:tcPr>
            <w:tcW w:w="126" w:type="dxa"/>
            <w:tcBorders>
              <w:top w:val="nil"/>
              <w:left w:val="nil"/>
              <w:bottom w:val="nil"/>
              <w:right w:val="nil"/>
              <w:tl2br w:val="nil"/>
              <w:tr2bl w:val="nil"/>
            </w:tcBorders>
            <w:tcMar>
              <w:left w:w="60" w:type="dxa"/>
              <w:right w:w="60" w:type="dxa"/>
            </w:tcMar>
            <w:vAlign w:val="center"/>
          </w:tcPr>
          <w:p w14:paraId="6E9EA9C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230</w:t>
            </w:r>
          </w:p>
        </w:tc>
        <w:tc>
          <w:tcPr>
            <w:tcW w:w="102" w:type="dxa"/>
            <w:tcBorders>
              <w:top w:val="nil"/>
              <w:left w:val="nil"/>
              <w:bottom w:val="nil"/>
              <w:right w:val="nil"/>
              <w:tl2br w:val="nil"/>
              <w:tr2bl w:val="nil"/>
            </w:tcBorders>
            <w:tcMar>
              <w:left w:w="60" w:type="dxa"/>
              <w:right w:w="60" w:type="dxa"/>
            </w:tcMar>
            <w:vAlign w:val="center"/>
          </w:tcPr>
          <w:p w14:paraId="57E509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8AB0A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25" w:type="dxa"/>
            <w:tcBorders>
              <w:top w:val="nil"/>
              <w:left w:val="nil"/>
              <w:bottom w:val="nil"/>
              <w:right w:val="nil"/>
              <w:tl2br w:val="nil"/>
              <w:tr2bl w:val="nil"/>
            </w:tcBorders>
            <w:tcMar>
              <w:left w:w="60" w:type="dxa"/>
              <w:right w:w="60" w:type="dxa"/>
            </w:tcMar>
            <w:vAlign w:val="center"/>
          </w:tcPr>
          <w:p w14:paraId="24BD0DD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237</w:t>
            </w:r>
          </w:p>
        </w:tc>
        <w:tc>
          <w:tcPr>
            <w:tcW w:w="99" w:type="dxa"/>
            <w:tcBorders>
              <w:top w:val="nil"/>
              <w:left w:val="nil"/>
              <w:bottom w:val="nil"/>
              <w:right w:val="nil"/>
              <w:tl2br w:val="nil"/>
              <w:tr2bl w:val="nil"/>
            </w:tcBorders>
            <w:tcMar>
              <w:left w:w="60" w:type="dxa"/>
              <w:right w:w="60" w:type="dxa"/>
            </w:tcMar>
            <w:vAlign w:val="center"/>
          </w:tcPr>
          <w:p w14:paraId="03C9853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650876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0A6DB1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14:paraId="6C2F1A6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14:paraId="6614CB9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6D348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29259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338929FC"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CBC752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EA39A1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55AD644"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0" w:type="dxa"/>
            <w:tcBorders>
              <w:top w:val="nil"/>
              <w:left w:val="nil"/>
              <w:bottom w:val="nil"/>
              <w:right w:val="nil"/>
              <w:tl2br w:val="nil"/>
              <w:tr2bl w:val="nil"/>
            </w:tcBorders>
            <w:tcMar>
              <w:left w:w="60" w:type="dxa"/>
              <w:right w:w="60" w:type="dxa"/>
            </w:tcMar>
            <w:vAlign w:val="center"/>
          </w:tcPr>
          <w:p w14:paraId="38DAE93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169</w:t>
            </w:r>
          </w:p>
        </w:tc>
        <w:tc>
          <w:tcPr>
            <w:tcW w:w="126" w:type="dxa"/>
            <w:tcBorders>
              <w:top w:val="nil"/>
              <w:left w:val="nil"/>
              <w:bottom w:val="nil"/>
              <w:right w:val="nil"/>
              <w:tl2br w:val="nil"/>
              <w:tr2bl w:val="nil"/>
            </w:tcBorders>
            <w:tcMar>
              <w:left w:w="60" w:type="dxa"/>
              <w:right w:w="60" w:type="dxa"/>
            </w:tcMar>
            <w:vAlign w:val="center"/>
          </w:tcPr>
          <w:p w14:paraId="413195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2" w:type="dxa"/>
            <w:tcBorders>
              <w:top w:val="nil"/>
              <w:left w:val="nil"/>
              <w:bottom w:val="nil"/>
              <w:right w:val="nil"/>
              <w:tl2br w:val="nil"/>
              <w:tr2bl w:val="nil"/>
            </w:tcBorders>
            <w:tcMar>
              <w:left w:w="60" w:type="dxa"/>
              <w:right w:w="60" w:type="dxa"/>
            </w:tcMar>
            <w:vAlign w:val="center"/>
          </w:tcPr>
          <w:p w14:paraId="264ED93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9EFC09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84</w:t>
            </w:r>
          </w:p>
        </w:tc>
        <w:tc>
          <w:tcPr>
            <w:tcW w:w="125" w:type="dxa"/>
            <w:tcBorders>
              <w:top w:val="nil"/>
              <w:left w:val="nil"/>
              <w:bottom w:val="nil"/>
              <w:right w:val="nil"/>
              <w:tl2br w:val="nil"/>
              <w:tr2bl w:val="nil"/>
            </w:tcBorders>
            <w:tcMar>
              <w:left w:w="60" w:type="dxa"/>
              <w:right w:w="60" w:type="dxa"/>
            </w:tcMar>
            <w:vAlign w:val="center"/>
          </w:tcPr>
          <w:p w14:paraId="3DBD12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99" w:type="dxa"/>
            <w:tcBorders>
              <w:top w:val="nil"/>
              <w:left w:val="nil"/>
              <w:bottom w:val="nil"/>
              <w:right w:val="nil"/>
              <w:tl2br w:val="nil"/>
              <w:tr2bl w:val="nil"/>
            </w:tcBorders>
            <w:tcMar>
              <w:left w:w="60" w:type="dxa"/>
              <w:right w:w="60" w:type="dxa"/>
            </w:tcMar>
            <w:vAlign w:val="center"/>
          </w:tcPr>
          <w:p w14:paraId="19727C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51 %</w:t>
            </w:r>
          </w:p>
        </w:tc>
        <w:tc>
          <w:tcPr>
            <w:tcW w:w="105" w:type="dxa"/>
            <w:tcBorders>
              <w:top w:val="nil"/>
              <w:left w:val="nil"/>
              <w:bottom w:val="nil"/>
              <w:right w:val="nil"/>
              <w:tl2br w:val="nil"/>
              <w:tr2bl w:val="nil"/>
            </w:tcBorders>
            <w:tcMar>
              <w:left w:w="60" w:type="dxa"/>
              <w:right w:w="60" w:type="dxa"/>
            </w:tcMar>
            <w:vAlign w:val="center"/>
          </w:tcPr>
          <w:p w14:paraId="5816141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20CC8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106" w:type="dxa"/>
            <w:tcBorders>
              <w:top w:val="nil"/>
              <w:left w:val="nil"/>
              <w:bottom w:val="nil"/>
              <w:right w:val="nil"/>
              <w:tl2br w:val="nil"/>
              <w:tr2bl w:val="nil"/>
            </w:tcBorders>
            <w:tcMar>
              <w:left w:w="60" w:type="dxa"/>
              <w:right w:w="60" w:type="dxa"/>
            </w:tcMar>
            <w:vAlign w:val="center"/>
          </w:tcPr>
          <w:p w14:paraId="1F72389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92" w:type="dxa"/>
            <w:tcBorders>
              <w:top w:val="nil"/>
              <w:left w:val="nil"/>
              <w:bottom w:val="nil"/>
              <w:right w:val="nil"/>
              <w:tl2br w:val="nil"/>
              <w:tr2bl w:val="nil"/>
            </w:tcBorders>
            <w:tcMar>
              <w:left w:w="60" w:type="dxa"/>
              <w:right w:w="60" w:type="dxa"/>
            </w:tcMar>
            <w:vAlign w:val="center"/>
          </w:tcPr>
          <w:p w14:paraId="7BF2ED9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3192E00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AA847E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54DC267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C9B10D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4E63AE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F6F319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37CE87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26" w:type="dxa"/>
            <w:tcBorders>
              <w:top w:val="nil"/>
              <w:left w:val="nil"/>
              <w:bottom w:val="nil"/>
              <w:right w:val="nil"/>
              <w:tl2br w:val="nil"/>
              <w:tr2bl w:val="nil"/>
            </w:tcBorders>
            <w:tcMar>
              <w:left w:w="60" w:type="dxa"/>
              <w:right w:w="60" w:type="dxa"/>
            </w:tcMar>
            <w:vAlign w:val="center"/>
          </w:tcPr>
          <w:p w14:paraId="092F7B4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02" w:type="dxa"/>
            <w:tcBorders>
              <w:top w:val="nil"/>
              <w:left w:val="nil"/>
              <w:bottom w:val="nil"/>
              <w:right w:val="nil"/>
              <w:tl2br w:val="nil"/>
              <w:tr2bl w:val="nil"/>
            </w:tcBorders>
            <w:tcMar>
              <w:left w:w="60" w:type="dxa"/>
              <w:right w:w="60" w:type="dxa"/>
            </w:tcMar>
            <w:vAlign w:val="center"/>
          </w:tcPr>
          <w:p w14:paraId="7D99429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B9C4EA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368164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9" w:type="dxa"/>
            <w:tcBorders>
              <w:top w:val="nil"/>
              <w:left w:val="nil"/>
              <w:bottom w:val="nil"/>
              <w:right w:val="nil"/>
              <w:tl2br w:val="nil"/>
              <w:tr2bl w:val="nil"/>
            </w:tcBorders>
            <w:tcMar>
              <w:left w:w="60" w:type="dxa"/>
              <w:right w:w="60" w:type="dxa"/>
            </w:tcMar>
            <w:vAlign w:val="center"/>
          </w:tcPr>
          <w:p w14:paraId="1CEA561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64F6B5D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7AA8C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14E318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673ED97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71288C2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B94C42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5535D0E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359D5EA6"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3E2F947"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581F07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0" w:type="dxa"/>
            <w:tcBorders>
              <w:top w:val="nil"/>
              <w:left w:val="nil"/>
              <w:bottom w:val="nil"/>
              <w:right w:val="nil"/>
              <w:tl2br w:val="nil"/>
              <w:tr2bl w:val="nil"/>
            </w:tcBorders>
            <w:tcMar>
              <w:left w:w="60" w:type="dxa"/>
              <w:right w:w="60" w:type="dxa"/>
            </w:tcMar>
            <w:vAlign w:val="center"/>
          </w:tcPr>
          <w:p w14:paraId="04F2A64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126" w:type="dxa"/>
            <w:tcBorders>
              <w:top w:val="nil"/>
              <w:left w:val="nil"/>
              <w:bottom w:val="nil"/>
              <w:right w:val="nil"/>
              <w:tl2br w:val="nil"/>
              <w:tr2bl w:val="nil"/>
            </w:tcBorders>
            <w:tcMar>
              <w:left w:w="60" w:type="dxa"/>
              <w:right w:w="60" w:type="dxa"/>
            </w:tcMar>
            <w:vAlign w:val="center"/>
          </w:tcPr>
          <w:p w14:paraId="6BE1A93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02" w:type="dxa"/>
            <w:tcBorders>
              <w:top w:val="nil"/>
              <w:left w:val="nil"/>
              <w:bottom w:val="nil"/>
              <w:right w:val="nil"/>
              <w:tl2br w:val="nil"/>
              <w:tr2bl w:val="nil"/>
            </w:tcBorders>
            <w:tcMar>
              <w:left w:w="60" w:type="dxa"/>
              <w:right w:w="60" w:type="dxa"/>
            </w:tcMar>
            <w:vAlign w:val="center"/>
          </w:tcPr>
          <w:p w14:paraId="4B2672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D122D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14:paraId="5D61D89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99" w:type="dxa"/>
            <w:tcBorders>
              <w:top w:val="nil"/>
              <w:left w:val="nil"/>
              <w:bottom w:val="nil"/>
              <w:right w:val="nil"/>
              <w:tl2br w:val="nil"/>
              <w:tr2bl w:val="nil"/>
            </w:tcBorders>
            <w:tcMar>
              <w:left w:w="60" w:type="dxa"/>
              <w:right w:w="60" w:type="dxa"/>
            </w:tcMar>
            <w:vAlign w:val="center"/>
          </w:tcPr>
          <w:p w14:paraId="0DBDFF7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4CFECC2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5E9DB8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579816E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00B340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7B5017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7606E64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01BC733B"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6E8DA1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144D355"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86C4A3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Single Market Programme (incl. SMEs)</w:t>
            </w:r>
          </w:p>
        </w:tc>
        <w:tc>
          <w:tcPr>
            <w:tcW w:w="960" w:type="dxa"/>
            <w:tcBorders>
              <w:top w:val="nil"/>
              <w:left w:val="nil"/>
              <w:bottom w:val="nil"/>
              <w:right w:val="nil"/>
              <w:tl2br w:val="nil"/>
              <w:tr2bl w:val="nil"/>
            </w:tcBorders>
            <w:tcMar>
              <w:left w:w="60" w:type="dxa"/>
              <w:right w:w="60" w:type="dxa"/>
            </w:tcMar>
            <w:vAlign w:val="center"/>
          </w:tcPr>
          <w:p w14:paraId="6D68981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663</w:t>
            </w:r>
          </w:p>
        </w:tc>
        <w:tc>
          <w:tcPr>
            <w:tcW w:w="126" w:type="dxa"/>
            <w:tcBorders>
              <w:top w:val="nil"/>
              <w:left w:val="nil"/>
              <w:bottom w:val="nil"/>
              <w:right w:val="nil"/>
              <w:tl2br w:val="nil"/>
              <w:tr2bl w:val="nil"/>
            </w:tcBorders>
            <w:tcMar>
              <w:left w:w="60" w:type="dxa"/>
              <w:right w:w="60" w:type="dxa"/>
            </w:tcMar>
            <w:vAlign w:val="center"/>
          </w:tcPr>
          <w:p w14:paraId="609EAD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614</w:t>
            </w:r>
          </w:p>
        </w:tc>
        <w:tc>
          <w:tcPr>
            <w:tcW w:w="102" w:type="dxa"/>
            <w:tcBorders>
              <w:top w:val="nil"/>
              <w:left w:val="nil"/>
              <w:bottom w:val="nil"/>
              <w:right w:val="nil"/>
              <w:tl2br w:val="nil"/>
              <w:tr2bl w:val="nil"/>
            </w:tcBorders>
            <w:tcMar>
              <w:left w:w="60" w:type="dxa"/>
              <w:right w:w="60" w:type="dxa"/>
            </w:tcMar>
            <w:vAlign w:val="center"/>
          </w:tcPr>
          <w:p w14:paraId="428235C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185622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125" w:type="dxa"/>
            <w:tcBorders>
              <w:top w:val="nil"/>
              <w:left w:val="nil"/>
              <w:bottom w:val="nil"/>
              <w:right w:val="nil"/>
              <w:tl2br w:val="nil"/>
              <w:tr2bl w:val="nil"/>
            </w:tcBorders>
            <w:tcMar>
              <w:left w:w="60" w:type="dxa"/>
              <w:right w:w="60" w:type="dxa"/>
            </w:tcMar>
            <w:vAlign w:val="center"/>
          </w:tcPr>
          <w:p w14:paraId="3B7E46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647</w:t>
            </w:r>
          </w:p>
        </w:tc>
        <w:tc>
          <w:tcPr>
            <w:tcW w:w="99" w:type="dxa"/>
            <w:tcBorders>
              <w:top w:val="nil"/>
              <w:left w:val="nil"/>
              <w:bottom w:val="nil"/>
              <w:right w:val="nil"/>
              <w:tl2br w:val="nil"/>
              <w:tr2bl w:val="nil"/>
            </w:tcBorders>
            <w:tcMar>
              <w:left w:w="60" w:type="dxa"/>
              <w:right w:w="60" w:type="dxa"/>
            </w:tcMar>
            <w:vAlign w:val="center"/>
          </w:tcPr>
          <w:p w14:paraId="7665966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32476E3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95D1A5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06" w:type="dxa"/>
            <w:tcBorders>
              <w:top w:val="nil"/>
              <w:left w:val="nil"/>
              <w:bottom w:val="nil"/>
              <w:right w:val="nil"/>
              <w:tl2br w:val="nil"/>
              <w:tr2bl w:val="nil"/>
            </w:tcBorders>
            <w:tcMar>
              <w:left w:w="60" w:type="dxa"/>
              <w:right w:w="60" w:type="dxa"/>
            </w:tcMar>
            <w:vAlign w:val="center"/>
          </w:tcPr>
          <w:p w14:paraId="03C933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92" w:type="dxa"/>
            <w:tcBorders>
              <w:top w:val="nil"/>
              <w:left w:val="nil"/>
              <w:bottom w:val="nil"/>
              <w:right w:val="nil"/>
              <w:tl2br w:val="nil"/>
              <w:tr2bl w:val="nil"/>
            </w:tcBorders>
            <w:tcMar>
              <w:left w:w="60" w:type="dxa"/>
              <w:right w:w="60" w:type="dxa"/>
            </w:tcMar>
            <w:vAlign w:val="center"/>
          </w:tcPr>
          <w:p w14:paraId="58C7E90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844272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399F136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26B8498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D50285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E028FD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355513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 Anti-Fraud Programme</w:t>
            </w:r>
          </w:p>
        </w:tc>
        <w:tc>
          <w:tcPr>
            <w:tcW w:w="960" w:type="dxa"/>
            <w:tcBorders>
              <w:top w:val="nil"/>
              <w:left w:val="nil"/>
              <w:bottom w:val="nil"/>
              <w:right w:val="nil"/>
              <w:tl2br w:val="nil"/>
              <w:tr2bl w:val="nil"/>
            </w:tcBorders>
            <w:tcMar>
              <w:left w:w="60" w:type="dxa"/>
              <w:right w:w="60" w:type="dxa"/>
            </w:tcMar>
            <w:vAlign w:val="center"/>
          </w:tcPr>
          <w:p w14:paraId="6B19C5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126" w:type="dxa"/>
            <w:tcBorders>
              <w:top w:val="nil"/>
              <w:left w:val="nil"/>
              <w:bottom w:val="nil"/>
              <w:right w:val="nil"/>
              <w:tl2br w:val="nil"/>
              <w:tr2bl w:val="nil"/>
            </w:tcBorders>
            <w:tcMar>
              <w:left w:w="60" w:type="dxa"/>
              <w:right w:w="60" w:type="dxa"/>
            </w:tcMar>
            <w:vAlign w:val="center"/>
          </w:tcPr>
          <w:p w14:paraId="56CB2D9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102" w:type="dxa"/>
            <w:tcBorders>
              <w:top w:val="nil"/>
              <w:left w:val="nil"/>
              <w:bottom w:val="nil"/>
              <w:right w:val="nil"/>
              <w:tl2br w:val="nil"/>
              <w:tr2bl w:val="nil"/>
            </w:tcBorders>
            <w:tcMar>
              <w:left w:w="60" w:type="dxa"/>
              <w:right w:w="60" w:type="dxa"/>
            </w:tcMar>
            <w:vAlign w:val="center"/>
          </w:tcPr>
          <w:p w14:paraId="4BA052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609603C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761BB9B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99" w:type="dxa"/>
            <w:tcBorders>
              <w:top w:val="nil"/>
              <w:left w:val="nil"/>
              <w:bottom w:val="nil"/>
              <w:right w:val="nil"/>
              <w:tl2br w:val="nil"/>
              <w:tr2bl w:val="nil"/>
            </w:tcBorders>
            <w:tcMar>
              <w:left w:w="60" w:type="dxa"/>
              <w:right w:w="60" w:type="dxa"/>
            </w:tcMar>
            <w:vAlign w:val="center"/>
          </w:tcPr>
          <w:p w14:paraId="20AF915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0A66BE5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2A121B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1A974AF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3923A5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788231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2CB790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93E1249"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7E2A60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729CB03"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95DE75D"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Cooperation in the field of taxation (Fiscalis)</w:t>
            </w:r>
          </w:p>
        </w:tc>
        <w:tc>
          <w:tcPr>
            <w:tcW w:w="960" w:type="dxa"/>
            <w:tcBorders>
              <w:top w:val="nil"/>
              <w:left w:val="nil"/>
              <w:bottom w:val="nil"/>
              <w:right w:val="nil"/>
              <w:tl2br w:val="nil"/>
              <w:tr2bl w:val="nil"/>
            </w:tcBorders>
            <w:tcMar>
              <w:left w:w="60" w:type="dxa"/>
              <w:right w:w="60" w:type="dxa"/>
            </w:tcMar>
            <w:vAlign w:val="center"/>
          </w:tcPr>
          <w:p w14:paraId="5281BA3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126" w:type="dxa"/>
            <w:tcBorders>
              <w:top w:val="nil"/>
              <w:left w:val="nil"/>
              <w:bottom w:val="nil"/>
              <w:right w:val="nil"/>
              <w:tl2br w:val="nil"/>
              <w:tr2bl w:val="nil"/>
            </w:tcBorders>
            <w:tcMar>
              <w:left w:w="60" w:type="dxa"/>
              <w:right w:w="60" w:type="dxa"/>
            </w:tcMar>
            <w:vAlign w:val="center"/>
          </w:tcPr>
          <w:p w14:paraId="55D2C61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102" w:type="dxa"/>
            <w:tcBorders>
              <w:top w:val="nil"/>
              <w:left w:val="nil"/>
              <w:bottom w:val="nil"/>
              <w:right w:val="nil"/>
              <w:tl2br w:val="nil"/>
              <w:tr2bl w:val="nil"/>
            </w:tcBorders>
            <w:tcMar>
              <w:left w:w="60" w:type="dxa"/>
              <w:right w:w="60" w:type="dxa"/>
            </w:tcMar>
            <w:vAlign w:val="center"/>
          </w:tcPr>
          <w:p w14:paraId="1206844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F0E41E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01043E0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99" w:type="dxa"/>
            <w:tcBorders>
              <w:top w:val="nil"/>
              <w:left w:val="nil"/>
              <w:bottom w:val="nil"/>
              <w:right w:val="nil"/>
              <w:tl2br w:val="nil"/>
              <w:tr2bl w:val="nil"/>
            </w:tcBorders>
            <w:tcMar>
              <w:left w:w="60" w:type="dxa"/>
              <w:right w:w="60" w:type="dxa"/>
            </w:tcMar>
            <w:vAlign w:val="center"/>
          </w:tcPr>
          <w:p w14:paraId="1ACB471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0373F7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2E913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1294EC0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762FEC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7976B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6F2847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50D0087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C01D58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D078B9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58228A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Cooperation in the field of customs (Customs)</w:t>
            </w:r>
          </w:p>
        </w:tc>
        <w:tc>
          <w:tcPr>
            <w:tcW w:w="960" w:type="dxa"/>
            <w:tcBorders>
              <w:top w:val="nil"/>
              <w:left w:val="nil"/>
              <w:bottom w:val="nil"/>
              <w:right w:val="nil"/>
              <w:tl2br w:val="nil"/>
              <w:tr2bl w:val="nil"/>
            </w:tcBorders>
            <w:tcMar>
              <w:left w:w="60" w:type="dxa"/>
              <w:right w:w="60" w:type="dxa"/>
            </w:tcMar>
            <w:vAlign w:val="center"/>
          </w:tcPr>
          <w:p w14:paraId="3D5E1C2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208</w:t>
            </w:r>
          </w:p>
        </w:tc>
        <w:tc>
          <w:tcPr>
            <w:tcW w:w="126" w:type="dxa"/>
            <w:tcBorders>
              <w:top w:val="nil"/>
              <w:left w:val="nil"/>
              <w:bottom w:val="nil"/>
              <w:right w:val="nil"/>
              <w:tl2br w:val="nil"/>
              <w:tr2bl w:val="nil"/>
            </w:tcBorders>
            <w:tcMar>
              <w:left w:w="60" w:type="dxa"/>
              <w:right w:w="60" w:type="dxa"/>
            </w:tcMar>
            <w:vAlign w:val="center"/>
          </w:tcPr>
          <w:p w14:paraId="5E6AF8A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198</w:t>
            </w:r>
          </w:p>
        </w:tc>
        <w:tc>
          <w:tcPr>
            <w:tcW w:w="102" w:type="dxa"/>
            <w:tcBorders>
              <w:top w:val="nil"/>
              <w:left w:val="nil"/>
              <w:bottom w:val="nil"/>
              <w:right w:val="nil"/>
              <w:tl2br w:val="nil"/>
              <w:tr2bl w:val="nil"/>
            </w:tcBorders>
            <w:tcMar>
              <w:left w:w="60" w:type="dxa"/>
              <w:right w:w="60" w:type="dxa"/>
            </w:tcMar>
            <w:vAlign w:val="center"/>
          </w:tcPr>
          <w:p w14:paraId="48D3165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50D97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25" w:type="dxa"/>
            <w:tcBorders>
              <w:top w:val="nil"/>
              <w:left w:val="nil"/>
              <w:bottom w:val="nil"/>
              <w:right w:val="nil"/>
              <w:tl2br w:val="nil"/>
              <w:tr2bl w:val="nil"/>
            </w:tcBorders>
            <w:tcMar>
              <w:left w:w="60" w:type="dxa"/>
              <w:right w:w="60" w:type="dxa"/>
            </w:tcMar>
            <w:vAlign w:val="center"/>
          </w:tcPr>
          <w:p w14:paraId="557AA9D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200</w:t>
            </w:r>
          </w:p>
        </w:tc>
        <w:tc>
          <w:tcPr>
            <w:tcW w:w="99" w:type="dxa"/>
            <w:tcBorders>
              <w:top w:val="nil"/>
              <w:left w:val="nil"/>
              <w:bottom w:val="nil"/>
              <w:right w:val="nil"/>
              <w:tl2br w:val="nil"/>
              <w:tr2bl w:val="nil"/>
            </w:tcBorders>
            <w:tcMar>
              <w:left w:w="60" w:type="dxa"/>
              <w:right w:w="60" w:type="dxa"/>
            </w:tcMar>
            <w:vAlign w:val="center"/>
          </w:tcPr>
          <w:p w14:paraId="5DD1DB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14:paraId="56E5FF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0898D6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6" w:type="dxa"/>
            <w:tcBorders>
              <w:top w:val="nil"/>
              <w:left w:val="nil"/>
              <w:bottom w:val="nil"/>
              <w:right w:val="nil"/>
              <w:tl2br w:val="nil"/>
              <w:tr2bl w:val="nil"/>
            </w:tcBorders>
            <w:tcMar>
              <w:left w:w="60" w:type="dxa"/>
              <w:right w:w="60" w:type="dxa"/>
            </w:tcMar>
            <w:vAlign w:val="center"/>
          </w:tcPr>
          <w:p w14:paraId="48037A3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2" w:type="dxa"/>
            <w:tcBorders>
              <w:top w:val="nil"/>
              <w:left w:val="nil"/>
              <w:bottom w:val="nil"/>
              <w:right w:val="nil"/>
              <w:tl2br w:val="nil"/>
              <w:tr2bl w:val="nil"/>
            </w:tcBorders>
            <w:tcMar>
              <w:left w:w="60" w:type="dxa"/>
              <w:right w:w="60" w:type="dxa"/>
            </w:tcMar>
            <w:vAlign w:val="center"/>
          </w:tcPr>
          <w:p w14:paraId="4873A3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75C44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9CC05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309049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45F1AC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D691FC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4F56584"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054470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165</w:t>
            </w:r>
          </w:p>
        </w:tc>
        <w:tc>
          <w:tcPr>
            <w:tcW w:w="126" w:type="dxa"/>
            <w:tcBorders>
              <w:top w:val="nil"/>
              <w:left w:val="nil"/>
              <w:bottom w:val="nil"/>
              <w:right w:val="nil"/>
              <w:tl2br w:val="nil"/>
              <w:tr2bl w:val="nil"/>
            </w:tcBorders>
            <w:tcMar>
              <w:left w:w="60" w:type="dxa"/>
              <w:right w:w="60" w:type="dxa"/>
            </w:tcMar>
            <w:vAlign w:val="center"/>
          </w:tcPr>
          <w:p w14:paraId="2DA6D3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152</w:t>
            </w:r>
          </w:p>
        </w:tc>
        <w:tc>
          <w:tcPr>
            <w:tcW w:w="102" w:type="dxa"/>
            <w:tcBorders>
              <w:top w:val="nil"/>
              <w:left w:val="nil"/>
              <w:bottom w:val="nil"/>
              <w:right w:val="nil"/>
              <w:tl2br w:val="nil"/>
              <w:tr2bl w:val="nil"/>
            </w:tcBorders>
            <w:tcMar>
              <w:left w:w="60" w:type="dxa"/>
              <w:right w:w="60" w:type="dxa"/>
            </w:tcMar>
            <w:vAlign w:val="center"/>
          </w:tcPr>
          <w:p w14:paraId="7416C16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8062C9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25" w:type="dxa"/>
            <w:tcBorders>
              <w:top w:val="nil"/>
              <w:left w:val="nil"/>
              <w:bottom w:val="nil"/>
              <w:right w:val="nil"/>
              <w:tl2br w:val="nil"/>
              <w:tr2bl w:val="nil"/>
            </w:tcBorders>
            <w:tcMar>
              <w:left w:w="60" w:type="dxa"/>
              <w:right w:w="60" w:type="dxa"/>
            </w:tcMar>
            <w:vAlign w:val="center"/>
          </w:tcPr>
          <w:p w14:paraId="0FE8674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99" w:type="dxa"/>
            <w:tcBorders>
              <w:top w:val="nil"/>
              <w:left w:val="nil"/>
              <w:bottom w:val="nil"/>
              <w:right w:val="nil"/>
              <w:tl2br w:val="nil"/>
              <w:tr2bl w:val="nil"/>
            </w:tcBorders>
            <w:tcMar>
              <w:left w:w="60" w:type="dxa"/>
              <w:right w:w="60" w:type="dxa"/>
            </w:tcMar>
            <w:vAlign w:val="center"/>
          </w:tcPr>
          <w:p w14:paraId="61CFF0C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14:paraId="0153F8A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D76DE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14:paraId="2448B1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14:paraId="13CEFC2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6ACCC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E27BEB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5CD69C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ADF1D06"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F93C1B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27AD5D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0" w:type="dxa"/>
            <w:tcBorders>
              <w:top w:val="nil"/>
              <w:left w:val="nil"/>
              <w:bottom w:val="nil"/>
              <w:right w:val="nil"/>
              <w:tl2br w:val="nil"/>
              <w:tr2bl w:val="nil"/>
            </w:tcBorders>
            <w:tcMar>
              <w:left w:w="60" w:type="dxa"/>
              <w:right w:w="60" w:type="dxa"/>
            </w:tcMar>
            <w:vAlign w:val="center"/>
          </w:tcPr>
          <w:p w14:paraId="1D6B06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26" w:type="dxa"/>
            <w:tcBorders>
              <w:top w:val="nil"/>
              <w:left w:val="nil"/>
              <w:bottom w:val="nil"/>
              <w:right w:val="nil"/>
              <w:tl2br w:val="nil"/>
              <w:tr2bl w:val="nil"/>
            </w:tcBorders>
            <w:tcMar>
              <w:left w:w="60" w:type="dxa"/>
              <w:right w:w="60" w:type="dxa"/>
            </w:tcMar>
            <w:vAlign w:val="center"/>
          </w:tcPr>
          <w:p w14:paraId="2DED008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2" w:type="dxa"/>
            <w:tcBorders>
              <w:top w:val="nil"/>
              <w:left w:val="nil"/>
              <w:bottom w:val="nil"/>
              <w:right w:val="nil"/>
              <w:tl2br w:val="nil"/>
              <w:tr2bl w:val="nil"/>
            </w:tcBorders>
            <w:tcMar>
              <w:left w:w="60" w:type="dxa"/>
              <w:right w:w="60" w:type="dxa"/>
            </w:tcMar>
            <w:vAlign w:val="center"/>
          </w:tcPr>
          <w:p w14:paraId="783B27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05E5A2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0EB687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9" w:type="dxa"/>
            <w:tcBorders>
              <w:top w:val="nil"/>
              <w:left w:val="nil"/>
              <w:bottom w:val="nil"/>
              <w:right w:val="nil"/>
              <w:tl2br w:val="nil"/>
              <w:tr2bl w:val="nil"/>
            </w:tcBorders>
            <w:tcMar>
              <w:left w:w="60" w:type="dxa"/>
              <w:right w:w="60" w:type="dxa"/>
            </w:tcMar>
            <w:vAlign w:val="center"/>
          </w:tcPr>
          <w:p w14:paraId="0B897A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342F127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CE4559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2EB567F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00613E5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DA1C63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23DAB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2FBA46A"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D6D4FBA"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C69309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A7A17A4"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18E9D6C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26" w:type="dxa"/>
            <w:tcBorders>
              <w:top w:val="nil"/>
              <w:left w:val="nil"/>
              <w:bottom w:val="nil"/>
              <w:right w:val="nil"/>
              <w:tl2br w:val="nil"/>
              <w:tr2bl w:val="nil"/>
            </w:tcBorders>
            <w:tcMar>
              <w:left w:w="60" w:type="dxa"/>
              <w:right w:w="60" w:type="dxa"/>
            </w:tcMar>
            <w:vAlign w:val="center"/>
          </w:tcPr>
          <w:p w14:paraId="5DE0F9D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02" w:type="dxa"/>
            <w:tcBorders>
              <w:top w:val="nil"/>
              <w:left w:val="nil"/>
              <w:bottom w:val="nil"/>
              <w:right w:val="nil"/>
              <w:tl2br w:val="nil"/>
              <w:tr2bl w:val="nil"/>
            </w:tcBorders>
            <w:tcMar>
              <w:left w:w="60" w:type="dxa"/>
              <w:right w:w="60" w:type="dxa"/>
            </w:tcMar>
            <w:vAlign w:val="center"/>
          </w:tcPr>
          <w:p w14:paraId="1ADC8D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A3BF17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08AB3E5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99" w:type="dxa"/>
            <w:tcBorders>
              <w:top w:val="nil"/>
              <w:left w:val="nil"/>
              <w:bottom w:val="nil"/>
              <w:right w:val="nil"/>
              <w:tl2br w:val="nil"/>
              <w:tr2bl w:val="nil"/>
            </w:tcBorders>
            <w:tcMar>
              <w:left w:w="60" w:type="dxa"/>
              <w:right w:w="60" w:type="dxa"/>
            </w:tcMar>
            <w:vAlign w:val="center"/>
          </w:tcPr>
          <w:p w14:paraId="2C828C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274E69B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63ADE0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1B64D47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0637A0D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1F230AA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E5BEC9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78FA9A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285F57F3"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598726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469BF8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Space Programme</w:t>
            </w:r>
          </w:p>
        </w:tc>
        <w:tc>
          <w:tcPr>
            <w:tcW w:w="960" w:type="dxa"/>
            <w:tcBorders>
              <w:top w:val="nil"/>
              <w:left w:val="nil"/>
              <w:bottom w:val="nil"/>
              <w:right w:val="nil"/>
              <w:tl2br w:val="nil"/>
              <w:tr2bl w:val="nil"/>
            </w:tcBorders>
            <w:tcMar>
              <w:left w:w="60" w:type="dxa"/>
              <w:right w:w="60" w:type="dxa"/>
            </w:tcMar>
            <w:vAlign w:val="center"/>
          </w:tcPr>
          <w:p w14:paraId="37E627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2 368</w:t>
            </w:r>
          </w:p>
        </w:tc>
        <w:tc>
          <w:tcPr>
            <w:tcW w:w="126" w:type="dxa"/>
            <w:tcBorders>
              <w:top w:val="nil"/>
              <w:left w:val="nil"/>
              <w:bottom w:val="nil"/>
              <w:right w:val="nil"/>
              <w:tl2br w:val="nil"/>
              <w:tr2bl w:val="nil"/>
            </w:tcBorders>
            <w:tcMar>
              <w:left w:w="60" w:type="dxa"/>
              <w:right w:w="60" w:type="dxa"/>
            </w:tcMar>
            <w:vAlign w:val="center"/>
          </w:tcPr>
          <w:p w14:paraId="1383DB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2 051</w:t>
            </w:r>
          </w:p>
        </w:tc>
        <w:tc>
          <w:tcPr>
            <w:tcW w:w="102" w:type="dxa"/>
            <w:tcBorders>
              <w:top w:val="nil"/>
              <w:left w:val="nil"/>
              <w:bottom w:val="nil"/>
              <w:right w:val="nil"/>
              <w:tl2br w:val="nil"/>
              <w:tr2bl w:val="nil"/>
            </w:tcBorders>
            <w:tcMar>
              <w:left w:w="60" w:type="dxa"/>
              <w:right w:w="60" w:type="dxa"/>
            </w:tcMar>
            <w:vAlign w:val="center"/>
          </w:tcPr>
          <w:p w14:paraId="4492AD2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A092E1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125" w:type="dxa"/>
            <w:tcBorders>
              <w:top w:val="nil"/>
              <w:left w:val="nil"/>
              <w:bottom w:val="nil"/>
              <w:right w:val="nil"/>
              <w:tl2br w:val="nil"/>
              <w:tr2bl w:val="nil"/>
            </w:tcBorders>
            <w:tcMar>
              <w:left w:w="60" w:type="dxa"/>
              <w:right w:w="60" w:type="dxa"/>
            </w:tcMar>
            <w:vAlign w:val="center"/>
          </w:tcPr>
          <w:p w14:paraId="5D3A3D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2 246</w:t>
            </w:r>
          </w:p>
        </w:tc>
        <w:tc>
          <w:tcPr>
            <w:tcW w:w="99" w:type="dxa"/>
            <w:tcBorders>
              <w:top w:val="nil"/>
              <w:left w:val="nil"/>
              <w:bottom w:val="nil"/>
              <w:right w:val="nil"/>
              <w:tl2br w:val="nil"/>
              <w:tr2bl w:val="nil"/>
            </w:tcBorders>
            <w:tcMar>
              <w:left w:w="60" w:type="dxa"/>
              <w:right w:w="60" w:type="dxa"/>
            </w:tcMar>
            <w:vAlign w:val="center"/>
          </w:tcPr>
          <w:p w14:paraId="1E6043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95 %</w:t>
            </w:r>
          </w:p>
        </w:tc>
        <w:tc>
          <w:tcPr>
            <w:tcW w:w="105" w:type="dxa"/>
            <w:tcBorders>
              <w:top w:val="nil"/>
              <w:left w:val="nil"/>
              <w:bottom w:val="nil"/>
              <w:right w:val="nil"/>
              <w:tl2br w:val="nil"/>
              <w:tr2bl w:val="nil"/>
            </w:tcBorders>
            <w:tcMar>
              <w:left w:w="60" w:type="dxa"/>
              <w:right w:w="60" w:type="dxa"/>
            </w:tcMar>
            <w:vAlign w:val="center"/>
          </w:tcPr>
          <w:p w14:paraId="6DF8073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F3967C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122</w:t>
            </w:r>
          </w:p>
        </w:tc>
        <w:tc>
          <w:tcPr>
            <w:tcW w:w="106" w:type="dxa"/>
            <w:tcBorders>
              <w:top w:val="nil"/>
              <w:left w:val="nil"/>
              <w:bottom w:val="nil"/>
              <w:right w:val="nil"/>
              <w:tl2br w:val="nil"/>
              <w:tr2bl w:val="nil"/>
            </w:tcBorders>
            <w:tcMar>
              <w:left w:w="60" w:type="dxa"/>
              <w:right w:w="60" w:type="dxa"/>
            </w:tcMar>
            <w:vAlign w:val="center"/>
          </w:tcPr>
          <w:p w14:paraId="384F09F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122</w:t>
            </w:r>
          </w:p>
        </w:tc>
        <w:tc>
          <w:tcPr>
            <w:tcW w:w="92" w:type="dxa"/>
            <w:tcBorders>
              <w:top w:val="nil"/>
              <w:left w:val="nil"/>
              <w:bottom w:val="nil"/>
              <w:right w:val="nil"/>
              <w:tl2br w:val="nil"/>
              <w:tr2bl w:val="nil"/>
            </w:tcBorders>
            <w:tcMar>
              <w:left w:w="60" w:type="dxa"/>
              <w:right w:w="60" w:type="dxa"/>
            </w:tcMar>
            <w:vAlign w:val="center"/>
          </w:tcPr>
          <w:p w14:paraId="4B3D5BC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BF703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E5A1B9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01E0CE84"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CAF65AE"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CBDCF6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8C9C5BB"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7FB37C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126" w:type="dxa"/>
            <w:tcBorders>
              <w:top w:val="nil"/>
              <w:left w:val="nil"/>
              <w:bottom w:val="nil"/>
              <w:right w:val="nil"/>
              <w:tl2br w:val="nil"/>
              <w:tr2bl w:val="nil"/>
            </w:tcBorders>
            <w:tcMar>
              <w:left w:w="60" w:type="dxa"/>
              <w:right w:w="60" w:type="dxa"/>
            </w:tcMar>
            <w:vAlign w:val="center"/>
          </w:tcPr>
          <w:p w14:paraId="23C618E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102" w:type="dxa"/>
            <w:tcBorders>
              <w:top w:val="nil"/>
              <w:left w:val="nil"/>
              <w:bottom w:val="nil"/>
              <w:right w:val="nil"/>
              <w:tl2br w:val="nil"/>
              <w:tr2bl w:val="nil"/>
            </w:tcBorders>
            <w:tcMar>
              <w:left w:w="60" w:type="dxa"/>
              <w:right w:w="60" w:type="dxa"/>
            </w:tcMar>
            <w:vAlign w:val="center"/>
          </w:tcPr>
          <w:p w14:paraId="01B674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FB2FFA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14:paraId="2106792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99" w:type="dxa"/>
            <w:tcBorders>
              <w:top w:val="nil"/>
              <w:left w:val="nil"/>
              <w:bottom w:val="nil"/>
              <w:right w:val="nil"/>
              <w:tl2br w:val="nil"/>
              <w:tr2bl w:val="nil"/>
            </w:tcBorders>
            <w:tcMar>
              <w:left w:w="60" w:type="dxa"/>
              <w:right w:w="60" w:type="dxa"/>
            </w:tcMar>
            <w:vAlign w:val="center"/>
          </w:tcPr>
          <w:p w14:paraId="10634CC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4C842B5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57F1D9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789F0F2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0915618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144C26F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8802C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784A125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F36CFF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FDCB3A0"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0E4052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56A65EB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126" w:type="dxa"/>
            <w:tcBorders>
              <w:top w:val="nil"/>
              <w:left w:val="nil"/>
              <w:bottom w:val="nil"/>
              <w:right w:val="nil"/>
              <w:tl2br w:val="nil"/>
              <w:tr2bl w:val="nil"/>
            </w:tcBorders>
            <w:tcMar>
              <w:left w:w="60" w:type="dxa"/>
              <w:right w:w="60" w:type="dxa"/>
            </w:tcMar>
            <w:vAlign w:val="center"/>
          </w:tcPr>
          <w:p w14:paraId="478D73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102" w:type="dxa"/>
            <w:tcBorders>
              <w:top w:val="nil"/>
              <w:left w:val="nil"/>
              <w:bottom w:val="nil"/>
              <w:right w:val="nil"/>
              <w:tl2br w:val="nil"/>
              <w:tr2bl w:val="nil"/>
            </w:tcBorders>
            <w:tcMar>
              <w:left w:w="60" w:type="dxa"/>
              <w:right w:w="60" w:type="dxa"/>
            </w:tcMar>
            <w:vAlign w:val="center"/>
          </w:tcPr>
          <w:p w14:paraId="18A7B0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425B87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623E2B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99" w:type="dxa"/>
            <w:tcBorders>
              <w:top w:val="nil"/>
              <w:left w:val="nil"/>
              <w:bottom w:val="nil"/>
              <w:right w:val="nil"/>
              <w:tl2br w:val="nil"/>
              <w:tr2bl w:val="nil"/>
            </w:tcBorders>
            <w:tcMar>
              <w:left w:w="60" w:type="dxa"/>
              <w:right w:w="60" w:type="dxa"/>
            </w:tcMar>
            <w:vAlign w:val="center"/>
          </w:tcPr>
          <w:p w14:paraId="09BE373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6159088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FAA05A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28A8B2B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6ADDBDE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7CBE89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4A6CB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DD5695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27BD36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4D4709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4F076D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960" w:type="dxa"/>
            <w:tcBorders>
              <w:top w:val="nil"/>
              <w:left w:val="nil"/>
              <w:bottom w:val="nil"/>
              <w:right w:val="nil"/>
              <w:tl2br w:val="nil"/>
              <w:tr2bl w:val="nil"/>
            </w:tcBorders>
            <w:tcMar>
              <w:left w:w="60" w:type="dxa"/>
              <w:right w:w="60" w:type="dxa"/>
            </w:tcMar>
            <w:vAlign w:val="center"/>
          </w:tcPr>
          <w:p w14:paraId="380B3CF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126" w:type="dxa"/>
            <w:tcBorders>
              <w:top w:val="nil"/>
              <w:left w:val="nil"/>
              <w:bottom w:val="nil"/>
              <w:right w:val="nil"/>
              <w:tl2br w:val="nil"/>
              <w:tr2bl w:val="nil"/>
            </w:tcBorders>
            <w:tcMar>
              <w:left w:w="60" w:type="dxa"/>
              <w:right w:w="60" w:type="dxa"/>
            </w:tcMar>
            <w:vAlign w:val="center"/>
          </w:tcPr>
          <w:p w14:paraId="222DBD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102" w:type="dxa"/>
            <w:tcBorders>
              <w:top w:val="nil"/>
              <w:left w:val="nil"/>
              <w:bottom w:val="nil"/>
              <w:right w:val="nil"/>
              <w:tl2br w:val="nil"/>
              <w:tr2bl w:val="nil"/>
            </w:tcBorders>
            <w:tcMar>
              <w:left w:w="60" w:type="dxa"/>
              <w:right w:w="60" w:type="dxa"/>
            </w:tcMar>
            <w:vAlign w:val="center"/>
          </w:tcPr>
          <w:p w14:paraId="4FCD6F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72B86E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7BE3BCB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99" w:type="dxa"/>
            <w:tcBorders>
              <w:top w:val="nil"/>
              <w:left w:val="nil"/>
              <w:bottom w:val="nil"/>
              <w:right w:val="nil"/>
              <w:tl2br w:val="nil"/>
              <w:tr2bl w:val="nil"/>
            </w:tcBorders>
            <w:tcMar>
              <w:left w:w="60" w:type="dxa"/>
              <w:right w:w="60" w:type="dxa"/>
            </w:tcMar>
            <w:vAlign w:val="center"/>
          </w:tcPr>
          <w:p w14:paraId="6ACC70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4006E5F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3B0B0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0C7FAA5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18B7BC2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BBAF6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EA256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4E2F91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E715A31"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536B138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4DD80EF5"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1: Single Market, Innovation and Digital</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74C2B7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30 466</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6D0E410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21 532</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56E215F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3A709B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5 446</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0D0600D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27 095</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3A5A93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89 %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3FC6DDA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4B329B1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3 362</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6F74ED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3 362</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73D5303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54A68E9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14B9C32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35815A48"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33B75635"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D9DE212" w14:textId="77777777" w:rsidR="00807FFE" w:rsidRDefault="00807FFE">
            <w:pPr>
              <w:pStyle w:val="DMETW36742BIPDetailedMFF2ImplementCommitments"/>
              <w:rPr>
                <w:rFonts w:ascii="Verdana" w:eastAsia="Verdana" w:hAnsi="Verdana" w:cs="Verdana"/>
                <w:i/>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CF67EF7" w14:textId="77777777" w:rsidR="00807FFE" w:rsidRDefault="00807FFE">
            <w:pPr>
              <w:pStyle w:val="DMETW36742BIPDetailedMFF2ImplementCommitments"/>
              <w:rPr>
                <w:rFonts w:ascii="Verdana" w:eastAsia="Verdana" w:hAnsi="Verdana" w:cs="Verdana"/>
                <w:i/>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2771ACF0" w14:textId="77777777" w:rsidR="00807FFE" w:rsidRDefault="00807FFE">
            <w:pPr>
              <w:pStyle w:val="DMETW36742BIPDetailedMFF2ImplementCommitments"/>
              <w:rPr>
                <w:rFonts w:ascii="Verdana" w:eastAsia="Verdana" w:hAnsi="Verdana" w:cs="Verdana"/>
                <w:i/>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4F04398B" w14:textId="77777777" w:rsidR="00807FFE" w:rsidRDefault="00807FFE">
            <w:pPr>
              <w:pStyle w:val="DMETW36742BIPDetailedMFF2ImplementCommitments"/>
              <w:rPr>
                <w:rFonts w:ascii="Verdana" w:eastAsia="Verdana" w:hAnsi="Verdana" w:cs="Verdana"/>
                <w:i/>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702078D6" w14:textId="77777777" w:rsidR="00807FFE" w:rsidRDefault="00807FFE">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28C8A6CD" w14:textId="77777777" w:rsidR="00807FFE" w:rsidRDefault="00807FFE">
            <w:pPr>
              <w:pStyle w:val="DMETW36742BIPDetailedMFF2ImplementCommitments"/>
              <w:rPr>
                <w:rFonts w:ascii="Verdana" w:eastAsia="Verdana" w:hAnsi="Verdana" w:cs="Verdana"/>
                <w:i/>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34B3C018" w14:textId="77777777" w:rsidR="00807FFE" w:rsidRDefault="00807FFE">
            <w:pPr>
              <w:pStyle w:val="DMETW36742BIPDetailedMFF2ImplementCommitments"/>
              <w:rPr>
                <w:rFonts w:ascii="Verdana" w:eastAsia="Verdana" w:hAnsi="Verdana" w:cs="Verdana"/>
                <w:i/>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6EDD2658" w14:textId="77777777" w:rsidR="00807FFE" w:rsidRDefault="00807FFE">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3514DEB4" w14:textId="77777777" w:rsidR="00807FFE" w:rsidRDefault="00807FFE">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7CB0660B" w14:textId="77777777" w:rsidR="00807FFE" w:rsidRDefault="00807FFE">
            <w:pPr>
              <w:pStyle w:val="DMETW36742BIPDetailedMFF2ImplementCommitments"/>
              <w:rPr>
                <w:rFonts w:ascii="Verdana" w:eastAsia="Verdana" w:hAnsi="Verdana" w:cs="Verdana"/>
                <w:i/>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1647BF37" w14:textId="77777777" w:rsidR="00807FFE" w:rsidRDefault="00807FFE">
            <w:pPr>
              <w:pStyle w:val="DMETW36742BIPDetailedMFF2ImplementCommitments"/>
              <w:rPr>
                <w:rFonts w:ascii="Verdana" w:eastAsia="Verdana" w:hAnsi="Verdana" w:cs="Verdana"/>
                <w:i/>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597F6756" w14:textId="77777777" w:rsidR="00807FFE" w:rsidRDefault="00807FFE">
            <w:pPr>
              <w:pStyle w:val="DMETW36742BIPDetailedMFF2ImplementCommitments"/>
              <w:rPr>
                <w:rFonts w:ascii="Verdana" w:eastAsia="Verdana" w:hAnsi="Verdana" w:cs="Verdana"/>
                <w:i/>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07AC3D97" w14:textId="77777777" w:rsidR="00807FFE" w:rsidRDefault="00807FFE">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75C37A2E" w14:textId="77777777" w:rsidR="00807FFE" w:rsidRDefault="00807FFE">
            <w:pPr>
              <w:pStyle w:val="DMETW36742BIPDetailedMFF2ImplementCommitments"/>
              <w:rPr>
                <w:rFonts w:ascii="Verdana" w:eastAsia="Verdana" w:hAnsi="Verdana" w:cs="Verdana"/>
                <w:i/>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67333CFB" w14:textId="77777777" w:rsidR="00807FFE" w:rsidRDefault="00807FFE">
            <w:pPr>
              <w:pStyle w:val="DMETW36742BIPDetailedMFF2ImplementCommitments"/>
              <w:rPr>
                <w:rFonts w:ascii="Verdana" w:eastAsia="Verdana" w:hAnsi="Verdana" w:cs="Verdana"/>
                <w:i/>
                <w:noProof/>
                <w:color w:val="000000"/>
                <w:sz w:val="16"/>
                <w:lang w:bidi="en-GB"/>
              </w:rPr>
            </w:pPr>
          </w:p>
        </w:tc>
      </w:tr>
      <w:tr w:rsidR="00807FFE" w14:paraId="352BD616"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B72EDBF"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2</w:t>
            </w:r>
          </w:p>
        </w:tc>
        <w:tc>
          <w:tcPr>
            <w:tcW w:w="479" w:type="dxa"/>
            <w:tcBorders>
              <w:top w:val="nil"/>
              <w:left w:val="nil"/>
              <w:bottom w:val="nil"/>
              <w:right w:val="nil"/>
              <w:tl2br w:val="nil"/>
              <w:tr2bl w:val="nil"/>
            </w:tcBorders>
            <w:tcMar>
              <w:left w:w="60" w:type="dxa"/>
              <w:right w:w="60" w:type="dxa"/>
            </w:tcMar>
            <w:vAlign w:val="center"/>
          </w:tcPr>
          <w:p w14:paraId="23177E9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Regional Development Fund (ERDF)</w:t>
            </w:r>
          </w:p>
        </w:tc>
        <w:tc>
          <w:tcPr>
            <w:tcW w:w="960" w:type="dxa"/>
            <w:tcBorders>
              <w:top w:val="nil"/>
              <w:left w:val="nil"/>
              <w:bottom w:val="nil"/>
              <w:right w:val="nil"/>
              <w:tl2br w:val="nil"/>
              <w:tr2bl w:val="nil"/>
            </w:tcBorders>
            <w:tcMar>
              <w:left w:w="60" w:type="dxa"/>
              <w:right w:w="60" w:type="dxa"/>
            </w:tcMar>
            <w:vAlign w:val="center"/>
          </w:tcPr>
          <w:p w14:paraId="57606EA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40 867</w:t>
            </w:r>
          </w:p>
        </w:tc>
        <w:tc>
          <w:tcPr>
            <w:tcW w:w="126" w:type="dxa"/>
            <w:tcBorders>
              <w:top w:val="nil"/>
              <w:left w:val="nil"/>
              <w:bottom w:val="nil"/>
              <w:right w:val="nil"/>
              <w:tl2br w:val="nil"/>
              <w:tr2bl w:val="nil"/>
            </w:tcBorders>
            <w:tcMar>
              <w:left w:w="60" w:type="dxa"/>
              <w:right w:w="60" w:type="dxa"/>
            </w:tcMar>
            <w:vAlign w:val="center"/>
          </w:tcPr>
          <w:p w14:paraId="2980CF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39 650</w:t>
            </w:r>
          </w:p>
        </w:tc>
        <w:tc>
          <w:tcPr>
            <w:tcW w:w="102" w:type="dxa"/>
            <w:tcBorders>
              <w:top w:val="nil"/>
              <w:left w:val="nil"/>
              <w:bottom w:val="nil"/>
              <w:right w:val="nil"/>
              <w:tl2br w:val="nil"/>
              <w:tr2bl w:val="nil"/>
            </w:tcBorders>
            <w:tcMar>
              <w:left w:w="60" w:type="dxa"/>
              <w:right w:w="60" w:type="dxa"/>
            </w:tcMar>
            <w:vAlign w:val="center"/>
          </w:tcPr>
          <w:p w14:paraId="4D9451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E0B9B5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290</w:t>
            </w:r>
          </w:p>
        </w:tc>
        <w:tc>
          <w:tcPr>
            <w:tcW w:w="125" w:type="dxa"/>
            <w:tcBorders>
              <w:top w:val="nil"/>
              <w:left w:val="nil"/>
              <w:bottom w:val="nil"/>
              <w:right w:val="nil"/>
              <w:tl2br w:val="nil"/>
              <w:tr2bl w:val="nil"/>
            </w:tcBorders>
            <w:tcMar>
              <w:left w:w="60" w:type="dxa"/>
              <w:right w:w="60" w:type="dxa"/>
            </w:tcMar>
            <w:vAlign w:val="center"/>
          </w:tcPr>
          <w:p w14:paraId="2E54733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39 940</w:t>
            </w:r>
          </w:p>
        </w:tc>
        <w:tc>
          <w:tcPr>
            <w:tcW w:w="99" w:type="dxa"/>
            <w:tcBorders>
              <w:top w:val="nil"/>
              <w:left w:val="nil"/>
              <w:bottom w:val="nil"/>
              <w:right w:val="nil"/>
              <w:tl2br w:val="nil"/>
              <w:tr2bl w:val="nil"/>
            </w:tcBorders>
            <w:tcMar>
              <w:left w:w="60" w:type="dxa"/>
              <w:right w:w="60" w:type="dxa"/>
            </w:tcMar>
            <w:vAlign w:val="center"/>
          </w:tcPr>
          <w:p w14:paraId="78D4C77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15F4185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0557C0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106" w:type="dxa"/>
            <w:tcBorders>
              <w:top w:val="nil"/>
              <w:left w:val="nil"/>
              <w:bottom w:val="nil"/>
              <w:right w:val="nil"/>
              <w:tl2br w:val="nil"/>
              <w:tr2bl w:val="nil"/>
            </w:tcBorders>
            <w:tcMar>
              <w:left w:w="60" w:type="dxa"/>
              <w:right w:w="60" w:type="dxa"/>
            </w:tcMar>
            <w:vAlign w:val="center"/>
          </w:tcPr>
          <w:p w14:paraId="7A83A62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92" w:type="dxa"/>
            <w:tcBorders>
              <w:top w:val="nil"/>
              <w:left w:val="nil"/>
              <w:bottom w:val="nil"/>
              <w:right w:val="nil"/>
              <w:tl2br w:val="nil"/>
              <w:tr2bl w:val="nil"/>
            </w:tcBorders>
            <w:tcMar>
              <w:left w:w="60" w:type="dxa"/>
              <w:right w:w="60" w:type="dxa"/>
            </w:tcMar>
            <w:vAlign w:val="center"/>
          </w:tcPr>
          <w:p w14:paraId="278B0EC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806</w:t>
            </w:r>
          </w:p>
        </w:tc>
        <w:tc>
          <w:tcPr>
            <w:tcW w:w="82" w:type="dxa"/>
            <w:tcBorders>
              <w:top w:val="nil"/>
              <w:left w:val="nil"/>
              <w:bottom w:val="nil"/>
              <w:right w:val="nil"/>
              <w:tl2br w:val="nil"/>
              <w:tr2bl w:val="nil"/>
            </w:tcBorders>
            <w:tcMar>
              <w:left w:w="60" w:type="dxa"/>
              <w:right w:w="60" w:type="dxa"/>
            </w:tcMar>
            <w:vAlign w:val="center"/>
          </w:tcPr>
          <w:p w14:paraId="1CC38B1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4BBC92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181" w:type="dxa"/>
            <w:tcBorders>
              <w:top w:val="nil"/>
              <w:left w:val="nil"/>
              <w:bottom w:val="nil"/>
              <w:right w:val="nil"/>
              <w:tl2br w:val="nil"/>
              <w:tr2bl w:val="nil"/>
            </w:tcBorders>
            <w:tcMar>
              <w:left w:w="60" w:type="dxa"/>
              <w:right w:w="60" w:type="dxa"/>
            </w:tcMar>
            <w:vAlign w:val="center"/>
          </w:tcPr>
          <w:p w14:paraId="0321725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836</w:t>
            </w:r>
          </w:p>
        </w:tc>
      </w:tr>
      <w:tr w:rsidR="00807FFE" w14:paraId="6838A9E0"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DC0CE1A"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8AFB09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Cohesion Fund (CF)</w:t>
            </w:r>
          </w:p>
        </w:tc>
        <w:tc>
          <w:tcPr>
            <w:tcW w:w="960" w:type="dxa"/>
            <w:tcBorders>
              <w:top w:val="nil"/>
              <w:left w:val="nil"/>
              <w:bottom w:val="nil"/>
              <w:right w:val="nil"/>
              <w:tl2br w:val="nil"/>
              <w:tr2bl w:val="nil"/>
            </w:tcBorders>
            <w:tcMar>
              <w:left w:w="60" w:type="dxa"/>
              <w:right w:w="60" w:type="dxa"/>
            </w:tcMar>
            <w:vAlign w:val="center"/>
          </w:tcPr>
          <w:p w14:paraId="2715343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7 285</w:t>
            </w:r>
          </w:p>
        </w:tc>
        <w:tc>
          <w:tcPr>
            <w:tcW w:w="126" w:type="dxa"/>
            <w:tcBorders>
              <w:top w:val="nil"/>
              <w:left w:val="nil"/>
              <w:bottom w:val="nil"/>
              <w:right w:val="nil"/>
              <w:tl2br w:val="nil"/>
              <w:tr2bl w:val="nil"/>
            </w:tcBorders>
            <w:tcMar>
              <w:left w:w="60" w:type="dxa"/>
              <w:right w:w="60" w:type="dxa"/>
            </w:tcMar>
            <w:vAlign w:val="center"/>
          </w:tcPr>
          <w:p w14:paraId="7380184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6 800</w:t>
            </w:r>
          </w:p>
        </w:tc>
        <w:tc>
          <w:tcPr>
            <w:tcW w:w="102" w:type="dxa"/>
            <w:tcBorders>
              <w:top w:val="nil"/>
              <w:left w:val="nil"/>
              <w:bottom w:val="nil"/>
              <w:right w:val="nil"/>
              <w:tl2br w:val="nil"/>
              <w:tr2bl w:val="nil"/>
            </w:tcBorders>
            <w:tcMar>
              <w:left w:w="60" w:type="dxa"/>
              <w:right w:w="60" w:type="dxa"/>
            </w:tcMar>
            <w:vAlign w:val="center"/>
          </w:tcPr>
          <w:p w14:paraId="142FA1B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25C18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233</w:t>
            </w:r>
          </w:p>
        </w:tc>
        <w:tc>
          <w:tcPr>
            <w:tcW w:w="125" w:type="dxa"/>
            <w:tcBorders>
              <w:top w:val="nil"/>
              <w:left w:val="nil"/>
              <w:bottom w:val="nil"/>
              <w:right w:val="nil"/>
              <w:tl2br w:val="nil"/>
              <w:tr2bl w:val="nil"/>
            </w:tcBorders>
            <w:tcMar>
              <w:left w:w="60" w:type="dxa"/>
              <w:right w:w="60" w:type="dxa"/>
            </w:tcMar>
            <w:vAlign w:val="center"/>
          </w:tcPr>
          <w:p w14:paraId="22339EC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7 034</w:t>
            </w:r>
          </w:p>
        </w:tc>
        <w:tc>
          <w:tcPr>
            <w:tcW w:w="99" w:type="dxa"/>
            <w:tcBorders>
              <w:top w:val="nil"/>
              <w:left w:val="nil"/>
              <w:bottom w:val="nil"/>
              <w:right w:val="nil"/>
              <w:tl2br w:val="nil"/>
              <w:tr2bl w:val="nil"/>
            </w:tcBorders>
            <w:tcMar>
              <w:left w:w="60" w:type="dxa"/>
              <w:right w:w="60" w:type="dxa"/>
            </w:tcMar>
            <w:vAlign w:val="center"/>
          </w:tcPr>
          <w:p w14:paraId="315ED1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14:paraId="1D93FA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107FA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3A1B738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4A2B19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252</w:t>
            </w:r>
          </w:p>
        </w:tc>
        <w:tc>
          <w:tcPr>
            <w:tcW w:w="82" w:type="dxa"/>
            <w:tcBorders>
              <w:top w:val="nil"/>
              <w:left w:val="nil"/>
              <w:bottom w:val="nil"/>
              <w:right w:val="nil"/>
              <w:tl2br w:val="nil"/>
              <w:tr2bl w:val="nil"/>
            </w:tcBorders>
            <w:tcMar>
              <w:left w:w="60" w:type="dxa"/>
              <w:right w:w="60" w:type="dxa"/>
            </w:tcMar>
            <w:vAlign w:val="center"/>
          </w:tcPr>
          <w:p w14:paraId="728D2D9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D1B246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54FFA0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252</w:t>
            </w:r>
          </w:p>
        </w:tc>
      </w:tr>
      <w:tr w:rsidR="00807FFE" w14:paraId="450C3D8E"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0D9D87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051D16E"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Cohesion Fund (CF), contribution to the Connecting Europe Facility (CEF) - Transport</w:t>
            </w:r>
          </w:p>
        </w:tc>
        <w:tc>
          <w:tcPr>
            <w:tcW w:w="960" w:type="dxa"/>
            <w:tcBorders>
              <w:top w:val="nil"/>
              <w:left w:val="nil"/>
              <w:bottom w:val="nil"/>
              <w:right w:val="nil"/>
              <w:tl2br w:val="nil"/>
              <w:tr2bl w:val="nil"/>
            </w:tcBorders>
            <w:tcMar>
              <w:left w:w="60" w:type="dxa"/>
              <w:right w:w="60" w:type="dxa"/>
            </w:tcMar>
            <w:vAlign w:val="center"/>
          </w:tcPr>
          <w:p w14:paraId="7DDC230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1 688</w:t>
            </w:r>
          </w:p>
        </w:tc>
        <w:tc>
          <w:tcPr>
            <w:tcW w:w="126" w:type="dxa"/>
            <w:tcBorders>
              <w:top w:val="nil"/>
              <w:left w:val="nil"/>
              <w:bottom w:val="nil"/>
              <w:right w:val="nil"/>
              <w:tl2br w:val="nil"/>
              <w:tr2bl w:val="nil"/>
            </w:tcBorders>
            <w:tcMar>
              <w:left w:w="60" w:type="dxa"/>
              <w:right w:w="60" w:type="dxa"/>
            </w:tcMar>
            <w:vAlign w:val="center"/>
          </w:tcPr>
          <w:p w14:paraId="0138BA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1 668</w:t>
            </w:r>
          </w:p>
        </w:tc>
        <w:tc>
          <w:tcPr>
            <w:tcW w:w="102" w:type="dxa"/>
            <w:tcBorders>
              <w:top w:val="nil"/>
              <w:left w:val="nil"/>
              <w:bottom w:val="nil"/>
              <w:right w:val="nil"/>
              <w:tl2br w:val="nil"/>
              <w:tr2bl w:val="nil"/>
            </w:tcBorders>
            <w:tcMar>
              <w:left w:w="60" w:type="dxa"/>
              <w:right w:w="60" w:type="dxa"/>
            </w:tcMar>
            <w:vAlign w:val="center"/>
          </w:tcPr>
          <w:p w14:paraId="7869F7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4429B6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25" w:type="dxa"/>
            <w:tcBorders>
              <w:top w:val="nil"/>
              <w:left w:val="nil"/>
              <w:bottom w:val="nil"/>
              <w:right w:val="nil"/>
              <w:tl2br w:val="nil"/>
              <w:tr2bl w:val="nil"/>
            </w:tcBorders>
            <w:tcMar>
              <w:left w:w="60" w:type="dxa"/>
              <w:right w:w="60" w:type="dxa"/>
            </w:tcMar>
            <w:vAlign w:val="center"/>
          </w:tcPr>
          <w:p w14:paraId="5A4F7DE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1 677</w:t>
            </w:r>
          </w:p>
        </w:tc>
        <w:tc>
          <w:tcPr>
            <w:tcW w:w="99" w:type="dxa"/>
            <w:tcBorders>
              <w:top w:val="nil"/>
              <w:left w:val="nil"/>
              <w:bottom w:val="nil"/>
              <w:right w:val="nil"/>
              <w:tl2br w:val="nil"/>
              <w:tr2bl w:val="nil"/>
            </w:tcBorders>
            <w:tcMar>
              <w:left w:w="60" w:type="dxa"/>
              <w:right w:w="60" w:type="dxa"/>
            </w:tcMar>
            <w:vAlign w:val="center"/>
          </w:tcPr>
          <w:p w14:paraId="369ED4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065C3EA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BDD48D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106" w:type="dxa"/>
            <w:tcBorders>
              <w:top w:val="nil"/>
              <w:left w:val="nil"/>
              <w:bottom w:val="nil"/>
              <w:right w:val="nil"/>
              <w:tl2br w:val="nil"/>
              <w:tr2bl w:val="nil"/>
            </w:tcBorders>
            <w:tcMar>
              <w:left w:w="60" w:type="dxa"/>
              <w:right w:w="60" w:type="dxa"/>
            </w:tcMar>
            <w:vAlign w:val="center"/>
          </w:tcPr>
          <w:p w14:paraId="1341343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2" w:type="dxa"/>
            <w:tcBorders>
              <w:top w:val="nil"/>
              <w:left w:val="nil"/>
              <w:bottom w:val="nil"/>
              <w:right w:val="nil"/>
              <w:tl2br w:val="nil"/>
              <w:tr2bl w:val="nil"/>
            </w:tcBorders>
            <w:tcMar>
              <w:left w:w="60" w:type="dxa"/>
              <w:right w:w="60" w:type="dxa"/>
            </w:tcMar>
            <w:vAlign w:val="center"/>
          </w:tcPr>
          <w:p w14:paraId="477C9AA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24540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5CFD29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10CDDFB8"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378F06A"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1A254C5"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B9AB76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097B8A5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26" w:type="dxa"/>
            <w:tcBorders>
              <w:top w:val="nil"/>
              <w:left w:val="nil"/>
              <w:bottom w:val="nil"/>
              <w:right w:val="nil"/>
              <w:tl2br w:val="nil"/>
              <w:tr2bl w:val="nil"/>
            </w:tcBorders>
            <w:tcMar>
              <w:left w:w="60" w:type="dxa"/>
              <w:right w:w="60" w:type="dxa"/>
            </w:tcMar>
            <w:vAlign w:val="center"/>
          </w:tcPr>
          <w:p w14:paraId="63781F2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2" w:type="dxa"/>
            <w:tcBorders>
              <w:top w:val="nil"/>
              <w:left w:val="nil"/>
              <w:bottom w:val="nil"/>
              <w:right w:val="nil"/>
              <w:tl2br w:val="nil"/>
              <w:tr2bl w:val="nil"/>
            </w:tcBorders>
            <w:tcMar>
              <w:left w:w="60" w:type="dxa"/>
              <w:right w:w="60" w:type="dxa"/>
            </w:tcMar>
            <w:vAlign w:val="center"/>
          </w:tcPr>
          <w:p w14:paraId="1250D1D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18E424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099161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9" w:type="dxa"/>
            <w:tcBorders>
              <w:top w:val="nil"/>
              <w:left w:val="nil"/>
              <w:bottom w:val="nil"/>
              <w:right w:val="nil"/>
              <w:tl2br w:val="nil"/>
              <w:tr2bl w:val="nil"/>
            </w:tcBorders>
            <w:tcMar>
              <w:left w:w="60" w:type="dxa"/>
              <w:right w:w="60" w:type="dxa"/>
            </w:tcMar>
            <w:vAlign w:val="center"/>
          </w:tcPr>
          <w:p w14:paraId="294BDA3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5DFE67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3DF752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2E9D9CA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6F8E88F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4A28E8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E7B03D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704F0B7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4407F1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1ABCDE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707D882"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Social Fund Plus (ESF+)</w:t>
            </w:r>
          </w:p>
        </w:tc>
        <w:tc>
          <w:tcPr>
            <w:tcW w:w="960" w:type="dxa"/>
            <w:tcBorders>
              <w:top w:val="nil"/>
              <w:left w:val="nil"/>
              <w:bottom w:val="nil"/>
              <w:right w:val="nil"/>
              <w:tl2br w:val="nil"/>
              <w:tr2bl w:val="nil"/>
            </w:tcBorders>
            <w:tcMar>
              <w:left w:w="60" w:type="dxa"/>
              <w:right w:w="60" w:type="dxa"/>
            </w:tcMar>
            <w:vAlign w:val="center"/>
          </w:tcPr>
          <w:p w14:paraId="3309E42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17 288</w:t>
            </w:r>
          </w:p>
        </w:tc>
        <w:tc>
          <w:tcPr>
            <w:tcW w:w="126" w:type="dxa"/>
            <w:tcBorders>
              <w:top w:val="nil"/>
              <w:left w:val="nil"/>
              <w:bottom w:val="nil"/>
              <w:right w:val="nil"/>
              <w:tl2br w:val="nil"/>
              <w:tr2bl w:val="nil"/>
            </w:tcBorders>
            <w:tcMar>
              <w:left w:w="60" w:type="dxa"/>
              <w:right w:w="60" w:type="dxa"/>
            </w:tcMar>
            <w:vAlign w:val="center"/>
          </w:tcPr>
          <w:p w14:paraId="1D822F0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17 130</w:t>
            </w:r>
          </w:p>
        </w:tc>
        <w:tc>
          <w:tcPr>
            <w:tcW w:w="102" w:type="dxa"/>
            <w:tcBorders>
              <w:top w:val="nil"/>
              <w:left w:val="nil"/>
              <w:bottom w:val="nil"/>
              <w:right w:val="nil"/>
              <w:tl2br w:val="nil"/>
              <w:tr2bl w:val="nil"/>
            </w:tcBorders>
            <w:tcMar>
              <w:left w:w="60" w:type="dxa"/>
              <w:right w:w="60" w:type="dxa"/>
            </w:tcMar>
            <w:vAlign w:val="center"/>
          </w:tcPr>
          <w:p w14:paraId="265282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667036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86</w:t>
            </w:r>
          </w:p>
        </w:tc>
        <w:tc>
          <w:tcPr>
            <w:tcW w:w="125" w:type="dxa"/>
            <w:tcBorders>
              <w:top w:val="nil"/>
              <w:left w:val="nil"/>
              <w:bottom w:val="nil"/>
              <w:right w:val="nil"/>
              <w:tl2br w:val="nil"/>
              <w:tr2bl w:val="nil"/>
            </w:tcBorders>
            <w:tcMar>
              <w:left w:w="60" w:type="dxa"/>
              <w:right w:w="60" w:type="dxa"/>
            </w:tcMar>
            <w:vAlign w:val="center"/>
          </w:tcPr>
          <w:p w14:paraId="78F9AE3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17 216</w:t>
            </w:r>
          </w:p>
        </w:tc>
        <w:tc>
          <w:tcPr>
            <w:tcW w:w="99" w:type="dxa"/>
            <w:tcBorders>
              <w:top w:val="nil"/>
              <w:left w:val="nil"/>
              <w:bottom w:val="nil"/>
              <w:right w:val="nil"/>
              <w:tl2br w:val="nil"/>
              <w:tr2bl w:val="nil"/>
            </w:tcBorders>
            <w:tcMar>
              <w:left w:w="60" w:type="dxa"/>
              <w:right w:w="60" w:type="dxa"/>
            </w:tcMar>
            <w:vAlign w:val="center"/>
          </w:tcPr>
          <w:p w14:paraId="1D9DC8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49320EA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20680AD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106" w:type="dxa"/>
            <w:tcBorders>
              <w:top w:val="nil"/>
              <w:left w:val="nil"/>
              <w:bottom w:val="nil"/>
              <w:right w:val="nil"/>
              <w:tl2br w:val="nil"/>
              <w:tr2bl w:val="nil"/>
            </w:tcBorders>
            <w:tcMar>
              <w:left w:w="60" w:type="dxa"/>
              <w:right w:w="60" w:type="dxa"/>
            </w:tcMar>
            <w:vAlign w:val="center"/>
          </w:tcPr>
          <w:p w14:paraId="527561A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92" w:type="dxa"/>
            <w:tcBorders>
              <w:top w:val="nil"/>
              <w:left w:val="nil"/>
              <w:bottom w:val="nil"/>
              <w:right w:val="nil"/>
              <w:tl2br w:val="nil"/>
              <w:tr2bl w:val="nil"/>
            </w:tcBorders>
            <w:tcMar>
              <w:left w:w="60" w:type="dxa"/>
              <w:right w:w="60" w:type="dxa"/>
            </w:tcMar>
            <w:vAlign w:val="center"/>
          </w:tcPr>
          <w:p w14:paraId="7C2F30C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82" w:type="dxa"/>
            <w:tcBorders>
              <w:top w:val="nil"/>
              <w:left w:val="nil"/>
              <w:bottom w:val="nil"/>
              <w:right w:val="nil"/>
              <w:tl2br w:val="nil"/>
              <w:tr2bl w:val="nil"/>
            </w:tcBorders>
            <w:tcMar>
              <w:left w:w="60" w:type="dxa"/>
              <w:right w:w="60" w:type="dxa"/>
            </w:tcMar>
            <w:vAlign w:val="center"/>
          </w:tcPr>
          <w:p w14:paraId="39704E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47E056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1A28E79"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54</w:t>
            </w:r>
          </w:p>
        </w:tc>
      </w:tr>
      <w:tr w:rsidR="00807FFE" w14:paraId="5E05CFF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957711D"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A9B3962"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7FF521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26" w:type="dxa"/>
            <w:tcBorders>
              <w:top w:val="nil"/>
              <w:left w:val="nil"/>
              <w:bottom w:val="nil"/>
              <w:right w:val="nil"/>
              <w:tl2br w:val="nil"/>
              <w:tr2bl w:val="nil"/>
            </w:tcBorders>
            <w:tcMar>
              <w:left w:w="60" w:type="dxa"/>
              <w:right w:w="60" w:type="dxa"/>
            </w:tcMar>
            <w:vAlign w:val="center"/>
          </w:tcPr>
          <w:p w14:paraId="7A2217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2" w:type="dxa"/>
            <w:tcBorders>
              <w:top w:val="nil"/>
              <w:left w:val="nil"/>
              <w:bottom w:val="nil"/>
              <w:right w:val="nil"/>
              <w:tl2br w:val="nil"/>
              <w:tr2bl w:val="nil"/>
            </w:tcBorders>
            <w:tcMar>
              <w:left w:w="60" w:type="dxa"/>
              <w:right w:w="60" w:type="dxa"/>
            </w:tcMar>
            <w:vAlign w:val="center"/>
          </w:tcPr>
          <w:p w14:paraId="08FF68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9523E8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7334821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9" w:type="dxa"/>
            <w:tcBorders>
              <w:top w:val="nil"/>
              <w:left w:val="nil"/>
              <w:bottom w:val="nil"/>
              <w:right w:val="nil"/>
              <w:tl2br w:val="nil"/>
              <w:tr2bl w:val="nil"/>
            </w:tcBorders>
            <w:tcMar>
              <w:left w:w="60" w:type="dxa"/>
              <w:right w:w="60" w:type="dxa"/>
            </w:tcMar>
            <w:vAlign w:val="center"/>
          </w:tcPr>
          <w:p w14:paraId="4070E65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46421E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188CA1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27BECD7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5DDD561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0F3BFCC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B5E45E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AAB707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43395E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007BE3A"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41970D7"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Support to the Turkish-Cypriot Community</w:t>
            </w:r>
          </w:p>
        </w:tc>
        <w:tc>
          <w:tcPr>
            <w:tcW w:w="960" w:type="dxa"/>
            <w:tcBorders>
              <w:top w:val="nil"/>
              <w:left w:val="nil"/>
              <w:bottom w:val="nil"/>
              <w:right w:val="nil"/>
              <w:tl2br w:val="nil"/>
              <w:tr2bl w:val="nil"/>
            </w:tcBorders>
            <w:tcMar>
              <w:left w:w="60" w:type="dxa"/>
              <w:right w:w="60" w:type="dxa"/>
            </w:tcMar>
            <w:vAlign w:val="center"/>
          </w:tcPr>
          <w:p w14:paraId="3F0AC3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126" w:type="dxa"/>
            <w:tcBorders>
              <w:top w:val="nil"/>
              <w:left w:val="nil"/>
              <w:bottom w:val="nil"/>
              <w:right w:val="nil"/>
              <w:tl2br w:val="nil"/>
              <w:tr2bl w:val="nil"/>
            </w:tcBorders>
            <w:tcMar>
              <w:left w:w="60" w:type="dxa"/>
              <w:right w:w="60" w:type="dxa"/>
            </w:tcMar>
            <w:vAlign w:val="center"/>
          </w:tcPr>
          <w:p w14:paraId="1B014F9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102" w:type="dxa"/>
            <w:tcBorders>
              <w:top w:val="nil"/>
              <w:left w:val="nil"/>
              <w:bottom w:val="nil"/>
              <w:right w:val="nil"/>
              <w:tl2br w:val="nil"/>
              <w:tr2bl w:val="nil"/>
            </w:tcBorders>
            <w:tcMar>
              <w:left w:w="60" w:type="dxa"/>
              <w:right w:w="60" w:type="dxa"/>
            </w:tcMar>
            <w:vAlign w:val="center"/>
          </w:tcPr>
          <w:p w14:paraId="1C58015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73949F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6BD85CC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99" w:type="dxa"/>
            <w:tcBorders>
              <w:top w:val="nil"/>
              <w:left w:val="nil"/>
              <w:bottom w:val="nil"/>
              <w:right w:val="nil"/>
              <w:tl2br w:val="nil"/>
              <w:tr2bl w:val="nil"/>
            </w:tcBorders>
            <w:tcMar>
              <w:left w:w="60" w:type="dxa"/>
              <w:right w:w="60" w:type="dxa"/>
            </w:tcMar>
            <w:vAlign w:val="center"/>
          </w:tcPr>
          <w:p w14:paraId="666B3D0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3B119C3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DA4012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07CC9D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4FBA15B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30DFE96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90A82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434A4B3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A4431D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A09B4FA"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170A54E"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Recovery and Resilience Facility (incl. Technical Support Instrument)</w:t>
            </w:r>
          </w:p>
        </w:tc>
        <w:tc>
          <w:tcPr>
            <w:tcW w:w="960" w:type="dxa"/>
            <w:tcBorders>
              <w:top w:val="nil"/>
              <w:left w:val="nil"/>
              <w:bottom w:val="nil"/>
              <w:right w:val="nil"/>
              <w:tl2br w:val="nil"/>
              <w:tr2bl w:val="nil"/>
            </w:tcBorders>
            <w:tcMar>
              <w:left w:w="60" w:type="dxa"/>
              <w:right w:w="60" w:type="dxa"/>
            </w:tcMar>
            <w:vAlign w:val="center"/>
          </w:tcPr>
          <w:p w14:paraId="5982439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681</w:t>
            </w:r>
          </w:p>
        </w:tc>
        <w:tc>
          <w:tcPr>
            <w:tcW w:w="126" w:type="dxa"/>
            <w:tcBorders>
              <w:top w:val="nil"/>
              <w:left w:val="nil"/>
              <w:bottom w:val="nil"/>
              <w:right w:val="nil"/>
              <w:tl2br w:val="nil"/>
              <w:tr2bl w:val="nil"/>
            </w:tcBorders>
            <w:tcMar>
              <w:left w:w="60" w:type="dxa"/>
              <w:right w:w="60" w:type="dxa"/>
            </w:tcMar>
            <w:vAlign w:val="center"/>
          </w:tcPr>
          <w:p w14:paraId="75675EF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121</w:t>
            </w:r>
          </w:p>
        </w:tc>
        <w:tc>
          <w:tcPr>
            <w:tcW w:w="102" w:type="dxa"/>
            <w:tcBorders>
              <w:top w:val="nil"/>
              <w:left w:val="nil"/>
              <w:bottom w:val="nil"/>
              <w:right w:val="nil"/>
              <w:tl2br w:val="nil"/>
              <w:tr2bl w:val="nil"/>
            </w:tcBorders>
            <w:tcMar>
              <w:left w:w="60" w:type="dxa"/>
              <w:right w:w="60" w:type="dxa"/>
            </w:tcMar>
            <w:vAlign w:val="center"/>
          </w:tcPr>
          <w:p w14:paraId="19B39CC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A93213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506</w:t>
            </w:r>
          </w:p>
        </w:tc>
        <w:tc>
          <w:tcPr>
            <w:tcW w:w="125" w:type="dxa"/>
            <w:tcBorders>
              <w:top w:val="nil"/>
              <w:left w:val="nil"/>
              <w:bottom w:val="nil"/>
              <w:right w:val="nil"/>
              <w:tl2br w:val="nil"/>
              <w:tr2bl w:val="nil"/>
            </w:tcBorders>
            <w:tcMar>
              <w:left w:w="60" w:type="dxa"/>
              <w:right w:w="60" w:type="dxa"/>
            </w:tcMar>
            <w:vAlign w:val="center"/>
          </w:tcPr>
          <w:p w14:paraId="196F06E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627</w:t>
            </w:r>
          </w:p>
        </w:tc>
        <w:tc>
          <w:tcPr>
            <w:tcW w:w="99" w:type="dxa"/>
            <w:tcBorders>
              <w:top w:val="nil"/>
              <w:left w:val="nil"/>
              <w:bottom w:val="nil"/>
              <w:right w:val="nil"/>
              <w:tl2br w:val="nil"/>
              <w:tr2bl w:val="nil"/>
            </w:tcBorders>
            <w:tcMar>
              <w:left w:w="60" w:type="dxa"/>
              <w:right w:w="60" w:type="dxa"/>
            </w:tcMar>
            <w:vAlign w:val="center"/>
          </w:tcPr>
          <w:p w14:paraId="53690C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92 %</w:t>
            </w:r>
          </w:p>
        </w:tc>
        <w:tc>
          <w:tcPr>
            <w:tcW w:w="105" w:type="dxa"/>
            <w:tcBorders>
              <w:top w:val="nil"/>
              <w:left w:val="nil"/>
              <w:bottom w:val="nil"/>
              <w:right w:val="nil"/>
              <w:tl2br w:val="nil"/>
              <w:tr2bl w:val="nil"/>
            </w:tcBorders>
            <w:tcMar>
              <w:left w:w="60" w:type="dxa"/>
              <w:right w:w="60" w:type="dxa"/>
            </w:tcMar>
            <w:vAlign w:val="center"/>
          </w:tcPr>
          <w:p w14:paraId="0002647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6D5F2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106" w:type="dxa"/>
            <w:tcBorders>
              <w:top w:val="nil"/>
              <w:left w:val="nil"/>
              <w:bottom w:val="nil"/>
              <w:right w:val="nil"/>
              <w:tl2br w:val="nil"/>
              <w:tr2bl w:val="nil"/>
            </w:tcBorders>
            <w:tcMar>
              <w:left w:w="60" w:type="dxa"/>
              <w:right w:w="60" w:type="dxa"/>
            </w:tcMar>
            <w:vAlign w:val="center"/>
          </w:tcPr>
          <w:p w14:paraId="08D1FD6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92" w:type="dxa"/>
            <w:tcBorders>
              <w:top w:val="nil"/>
              <w:left w:val="nil"/>
              <w:bottom w:val="nil"/>
              <w:right w:val="nil"/>
              <w:tl2br w:val="nil"/>
              <w:tr2bl w:val="nil"/>
            </w:tcBorders>
            <w:tcMar>
              <w:left w:w="60" w:type="dxa"/>
              <w:right w:w="60" w:type="dxa"/>
            </w:tcMar>
            <w:vAlign w:val="center"/>
          </w:tcPr>
          <w:p w14:paraId="7AF1F0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E938BC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D651AF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5AC95EBC"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B93F5D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538828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3F57B3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Protection of the euro against counterfeiting (the `Pericles IV programme')</w:t>
            </w:r>
          </w:p>
        </w:tc>
        <w:tc>
          <w:tcPr>
            <w:tcW w:w="960" w:type="dxa"/>
            <w:tcBorders>
              <w:top w:val="nil"/>
              <w:left w:val="nil"/>
              <w:bottom w:val="nil"/>
              <w:right w:val="nil"/>
              <w:tl2br w:val="nil"/>
              <w:tr2bl w:val="nil"/>
            </w:tcBorders>
            <w:tcMar>
              <w:left w:w="60" w:type="dxa"/>
              <w:right w:w="60" w:type="dxa"/>
            </w:tcMar>
            <w:vAlign w:val="center"/>
          </w:tcPr>
          <w:p w14:paraId="7B83FF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6" w:type="dxa"/>
            <w:tcBorders>
              <w:top w:val="nil"/>
              <w:left w:val="nil"/>
              <w:bottom w:val="nil"/>
              <w:right w:val="nil"/>
              <w:tl2br w:val="nil"/>
              <w:tr2bl w:val="nil"/>
            </w:tcBorders>
            <w:tcMar>
              <w:left w:w="60" w:type="dxa"/>
              <w:right w:w="60" w:type="dxa"/>
            </w:tcMar>
            <w:vAlign w:val="center"/>
          </w:tcPr>
          <w:p w14:paraId="11EB301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2" w:type="dxa"/>
            <w:tcBorders>
              <w:top w:val="nil"/>
              <w:left w:val="nil"/>
              <w:bottom w:val="nil"/>
              <w:right w:val="nil"/>
              <w:tl2br w:val="nil"/>
              <w:tr2bl w:val="nil"/>
            </w:tcBorders>
            <w:tcMar>
              <w:left w:w="60" w:type="dxa"/>
              <w:right w:w="60" w:type="dxa"/>
            </w:tcMar>
            <w:vAlign w:val="center"/>
          </w:tcPr>
          <w:p w14:paraId="06A102C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9F462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5F60DF2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9" w:type="dxa"/>
            <w:tcBorders>
              <w:top w:val="nil"/>
              <w:left w:val="nil"/>
              <w:bottom w:val="nil"/>
              <w:right w:val="nil"/>
              <w:tl2br w:val="nil"/>
              <w:tr2bl w:val="nil"/>
            </w:tcBorders>
            <w:tcMar>
              <w:left w:w="60" w:type="dxa"/>
              <w:right w:w="60" w:type="dxa"/>
            </w:tcMar>
            <w:vAlign w:val="center"/>
          </w:tcPr>
          <w:p w14:paraId="225D17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685E8F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EA5192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6EC31AA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4DE1591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922E59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ACE10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3E6248E9"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36DE4F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64B728D"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7767A9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Financing cost of the European Union Recovery Instrument (EURI)</w:t>
            </w:r>
          </w:p>
        </w:tc>
        <w:tc>
          <w:tcPr>
            <w:tcW w:w="960" w:type="dxa"/>
            <w:tcBorders>
              <w:top w:val="nil"/>
              <w:left w:val="nil"/>
              <w:bottom w:val="nil"/>
              <w:right w:val="nil"/>
              <w:tl2br w:val="nil"/>
              <w:tr2bl w:val="nil"/>
            </w:tcBorders>
            <w:tcMar>
              <w:left w:w="60" w:type="dxa"/>
              <w:right w:w="60" w:type="dxa"/>
            </w:tcMar>
            <w:vAlign w:val="center"/>
          </w:tcPr>
          <w:p w14:paraId="0748E35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5 111</w:t>
            </w:r>
          </w:p>
        </w:tc>
        <w:tc>
          <w:tcPr>
            <w:tcW w:w="126" w:type="dxa"/>
            <w:tcBorders>
              <w:top w:val="nil"/>
              <w:left w:val="nil"/>
              <w:bottom w:val="nil"/>
              <w:right w:val="nil"/>
              <w:tl2br w:val="nil"/>
              <w:tr2bl w:val="nil"/>
            </w:tcBorders>
            <w:tcMar>
              <w:left w:w="60" w:type="dxa"/>
              <w:right w:w="60" w:type="dxa"/>
            </w:tcMar>
            <w:vAlign w:val="center"/>
          </w:tcPr>
          <w:p w14:paraId="12476D0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4 967</w:t>
            </w:r>
          </w:p>
        </w:tc>
        <w:tc>
          <w:tcPr>
            <w:tcW w:w="102" w:type="dxa"/>
            <w:tcBorders>
              <w:top w:val="nil"/>
              <w:left w:val="nil"/>
              <w:bottom w:val="nil"/>
              <w:right w:val="nil"/>
              <w:tl2br w:val="nil"/>
              <w:tr2bl w:val="nil"/>
            </w:tcBorders>
            <w:tcMar>
              <w:left w:w="60" w:type="dxa"/>
              <w:right w:w="60" w:type="dxa"/>
            </w:tcMar>
            <w:vAlign w:val="center"/>
          </w:tcPr>
          <w:p w14:paraId="592F9F1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2F7B3A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25" w:type="dxa"/>
            <w:tcBorders>
              <w:top w:val="nil"/>
              <w:left w:val="nil"/>
              <w:bottom w:val="nil"/>
              <w:right w:val="nil"/>
              <w:tl2br w:val="nil"/>
              <w:tr2bl w:val="nil"/>
            </w:tcBorders>
            <w:tcMar>
              <w:left w:w="60" w:type="dxa"/>
              <w:right w:w="60" w:type="dxa"/>
            </w:tcMar>
            <w:vAlign w:val="center"/>
          </w:tcPr>
          <w:p w14:paraId="43B446F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5 017</w:t>
            </w:r>
          </w:p>
        </w:tc>
        <w:tc>
          <w:tcPr>
            <w:tcW w:w="99" w:type="dxa"/>
            <w:tcBorders>
              <w:top w:val="nil"/>
              <w:left w:val="nil"/>
              <w:bottom w:val="nil"/>
              <w:right w:val="nil"/>
              <w:tl2br w:val="nil"/>
              <w:tr2bl w:val="nil"/>
            </w:tcBorders>
            <w:tcMar>
              <w:left w:w="60" w:type="dxa"/>
              <w:right w:w="60" w:type="dxa"/>
            </w:tcMar>
            <w:vAlign w:val="center"/>
          </w:tcPr>
          <w:p w14:paraId="7613532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5E6944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77B738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93</w:t>
            </w:r>
          </w:p>
        </w:tc>
        <w:tc>
          <w:tcPr>
            <w:tcW w:w="106" w:type="dxa"/>
            <w:tcBorders>
              <w:top w:val="nil"/>
              <w:left w:val="nil"/>
              <w:bottom w:val="nil"/>
              <w:right w:val="nil"/>
              <w:tl2br w:val="nil"/>
              <w:tr2bl w:val="nil"/>
            </w:tcBorders>
            <w:tcMar>
              <w:left w:w="60" w:type="dxa"/>
              <w:right w:w="60" w:type="dxa"/>
            </w:tcMar>
            <w:vAlign w:val="center"/>
          </w:tcPr>
          <w:p w14:paraId="260C49C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93</w:t>
            </w:r>
          </w:p>
        </w:tc>
        <w:tc>
          <w:tcPr>
            <w:tcW w:w="92" w:type="dxa"/>
            <w:tcBorders>
              <w:top w:val="nil"/>
              <w:left w:val="nil"/>
              <w:bottom w:val="nil"/>
              <w:right w:val="nil"/>
              <w:tl2br w:val="nil"/>
              <w:tr2bl w:val="nil"/>
            </w:tcBorders>
            <w:tcMar>
              <w:left w:w="60" w:type="dxa"/>
              <w:right w:w="60" w:type="dxa"/>
            </w:tcMar>
            <w:vAlign w:val="center"/>
          </w:tcPr>
          <w:p w14:paraId="4078210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B98D8E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1C6B07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0E6CEA8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A6471D3"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9F643E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797E32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Union Civil Protection Mechanism (RescEU)</w:t>
            </w:r>
          </w:p>
        </w:tc>
        <w:tc>
          <w:tcPr>
            <w:tcW w:w="960" w:type="dxa"/>
            <w:tcBorders>
              <w:top w:val="nil"/>
              <w:left w:val="nil"/>
              <w:bottom w:val="nil"/>
              <w:right w:val="nil"/>
              <w:tl2br w:val="nil"/>
              <w:tr2bl w:val="nil"/>
            </w:tcBorders>
            <w:tcMar>
              <w:left w:w="60" w:type="dxa"/>
              <w:right w:w="60" w:type="dxa"/>
            </w:tcMar>
            <w:vAlign w:val="center"/>
          </w:tcPr>
          <w:p w14:paraId="48F196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250</w:t>
            </w:r>
          </w:p>
        </w:tc>
        <w:tc>
          <w:tcPr>
            <w:tcW w:w="126" w:type="dxa"/>
            <w:tcBorders>
              <w:top w:val="nil"/>
              <w:left w:val="nil"/>
              <w:bottom w:val="nil"/>
              <w:right w:val="nil"/>
              <w:tl2br w:val="nil"/>
              <w:tr2bl w:val="nil"/>
            </w:tcBorders>
            <w:tcMar>
              <w:left w:w="60" w:type="dxa"/>
              <w:right w:w="60" w:type="dxa"/>
            </w:tcMar>
            <w:vAlign w:val="center"/>
          </w:tcPr>
          <w:p w14:paraId="77399F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211</w:t>
            </w:r>
          </w:p>
        </w:tc>
        <w:tc>
          <w:tcPr>
            <w:tcW w:w="102" w:type="dxa"/>
            <w:tcBorders>
              <w:top w:val="nil"/>
              <w:left w:val="nil"/>
              <w:bottom w:val="nil"/>
              <w:right w:val="nil"/>
              <w:tl2br w:val="nil"/>
              <w:tr2bl w:val="nil"/>
            </w:tcBorders>
            <w:tcMar>
              <w:left w:w="60" w:type="dxa"/>
              <w:right w:w="60" w:type="dxa"/>
            </w:tcMar>
            <w:vAlign w:val="center"/>
          </w:tcPr>
          <w:p w14:paraId="78A70C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3B98FD7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25" w:type="dxa"/>
            <w:tcBorders>
              <w:top w:val="nil"/>
              <w:left w:val="nil"/>
              <w:bottom w:val="nil"/>
              <w:right w:val="nil"/>
              <w:tl2br w:val="nil"/>
              <w:tr2bl w:val="nil"/>
            </w:tcBorders>
            <w:tcMar>
              <w:left w:w="60" w:type="dxa"/>
              <w:right w:w="60" w:type="dxa"/>
            </w:tcMar>
            <w:vAlign w:val="center"/>
          </w:tcPr>
          <w:p w14:paraId="773FED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237</w:t>
            </w:r>
          </w:p>
        </w:tc>
        <w:tc>
          <w:tcPr>
            <w:tcW w:w="99" w:type="dxa"/>
            <w:tcBorders>
              <w:top w:val="nil"/>
              <w:left w:val="nil"/>
              <w:bottom w:val="nil"/>
              <w:right w:val="nil"/>
              <w:tl2br w:val="nil"/>
              <w:tr2bl w:val="nil"/>
            </w:tcBorders>
            <w:tcMar>
              <w:left w:w="60" w:type="dxa"/>
              <w:right w:w="60" w:type="dxa"/>
            </w:tcMar>
            <w:vAlign w:val="center"/>
          </w:tcPr>
          <w:p w14:paraId="6A7CE31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95 %</w:t>
            </w:r>
          </w:p>
        </w:tc>
        <w:tc>
          <w:tcPr>
            <w:tcW w:w="105" w:type="dxa"/>
            <w:tcBorders>
              <w:top w:val="nil"/>
              <w:left w:val="nil"/>
              <w:bottom w:val="nil"/>
              <w:right w:val="nil"/>
              <w:tl2br w:val="nil"/>
              <w:tr2bl w:val="nil"/>
            </w:tcBorders>
            <w:tcMar>
              <w:left w:w="60" w:type="dxa"/>
              <w:right w:w="60" w:type="dxa"/>
            </w:tcMar>
            <w:vAlign w:val="center"/>
          </w:tcPr>
          <w:p w14:paraId="5420267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14:paraId="706FB56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06" w:type="dxa"/>
            <w:tcBorders>
              <w:top w:val="nil"/>
              <w:left w:val="nil"/>
              <w:bottom w:val="nil"/>
              <w:right w:val="nil"/>
              <w:tl2br w:val="nil"/>
              <w:tr2bl w:val="nil"/>
            </w:tcBorders>
            <w:tcMar>
              <w:left w:w="60" w:type="dxa"/>
              <w:right w:w="60" w:type="dxa"/>
            </w:tcMar>
            <w:vAlign w:val="center"/>
          </w:tcPr>
          <w:p w14:paraId="088E65D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2" w:type="dxa"/>
            <w:tcBorders>
              <w:top w:val="nil"/>
              <w:left w:val="nil"/>
              <w:bottom w:val="nil"/>
              <w:right w:val="nil"/>
              <w:tl2br w:val="nil"/>
              <w:tr2bl w:val="nil"/>
            </w:tcBorders>
            <w:tcMar>
              <w:left w:w="60" w:type="dxa"/>
              <w:right w:w="60" w:type="dxa"/>
            </w:tcMar>
            <w:vAlign w:val="center"/>
          </w:tcPr>
          <w:p w14:paraId="59E6B37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027FB0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14:paraId="77A10B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7852C53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5B6945E6"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A6F70F7"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04D67E2"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EU4Health</w:t>
            </w:r>
          </w:p>
        </w:tc>
        <w:tc>
          <w:tcPr>
            <w:tcW w:w="960" w:type="dxa"/>
            <w:tcBorders>
              <w:top w:val="nil"/>
              <w:left w:val="nil"/>
              <w:bottom w:val="nil"/>
              <w:right w:val="nil"/>
              <w:tl2br w:val="nil"/>
              <w:tr2bl w:val="nil"/>
            </w:tcBorders>
            <w:tcMar>
              <w:left w:w="60" w:type="dxa"/>
              <w:right w:w="60" w:type="dxa"/>
            </w:tcMar>
            <w:vAlign w:val="center"/>
          </w:tcPr>
          <w:p w14:paraId="74970C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609</w:t>
            </w:r>
          </w:p>
        </w:tc>
        <w:tc>
          <w:tcPr>
            <w:tcW w:w="126" w:type="dxa"/>
            <w:tcBorders>
              <w:top w:val="nil"/>
              <w:left w:val="nil"/>
              <w:bottom w:val="nil"/>
              <w:right w:val="nil"/>
              <w:tl2br w:val="nil"/>
              <w:tr2bl w:val="nil"/>
            </w:tcBorders>
            <w:tcMar>
              <w:left w:w="60" w:type="dxa"/>
              <w:right w:w="60" w:type="dxa"/>
            </w:tcMar>
            <w:vAlign w:val="center"/>
          </w:tcPr>
          <w:p w14:paraId="61D16F8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583</w:t>
            </w:r>
          </w:p>
        </w:tc>
        <w:tc>
          <w:tcPr>
            <w:tcW w:w="102" w:type="dxa"/>
            <w:tcBorders>
              <w:top w:val="nil"/>
              <w:left w:val="nil"/>
              <w:bottom w:val="nil"/>
              <w:right w:val="nil"/>
              <w:tl2br w:val="nil"/>
              <w:tr2bl w:val="nil"/>
            </w:tcBorders>
            <w:tcMar>
              <w:left w:w="60" w:type="dxa"/>
              <w:right w:w="60" w:type="dxa"/>
            </w:tcMar>
            <w:vAlign w:val="center"/>
          </w:tcPr>
          <w:p w14:paraId="3AAF79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78D9360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125" w:type="dxa"/>
            <w:tcBorders>
              <w:top w:val="nil"/>
              <w:left w:val="nil"/>
              <w:bottom w:val="nil"/>
              <w:right w:val="nil"/>
              <w:tl2br w:val="nil"/>
              <w:tr2bl w:val="nil"/>
            </w:tcBorders>
            <w:tcMar>
              <w:left w:w="60" w:type="dxa"/>
              <w:right w:w="60" w:type="dxa"/>
            </w:tcMar>
            <w:vAlign w:val="center"/>
          </w:tcPr>
          <w:p w14:paraId="3FFA9B0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607</w:t>
            </w:r>
          </w:p>
        </w:tc>
        <w:tc>
          <w:tcPr>
            <w:tcW w:w="99" w:type="dxa"/>
            <w:tcBorders>
              <w:top w:val="nil"/>
              <w:left w:val="nil"/>
              <w:bottom w:val="nil"/>
              <w:right w:val="nil"/>
              <w:tl2br w:val="nil"/>
              <w:tr2bl w:val="nil"/>
            </w:tcBorders>
            <w:tcMar>
              <w:left w:w="60" w:type="dxa"/>
              <w:right w:w="60" w:type="dxa"/>
            </w:tcMar>
            <w:vAlign w:val="center"/>
          </w:tcPr>
          <w:p w14:paraId="0C198E4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4B74A2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49168A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14:paraId="6968325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14:paraId="5D6040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0A487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52EA066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770379EC"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4707BF3"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0AB696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AF8C234"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Instrument for emergency support within the Union (ESI)</w:t>
            </w:r>
          </w:p>
        </w:tc>
        <w:tc>
          <w:tcPr>
            <w:tcW w:w="960" w:type="dxa"/>
            <w:tcBorders>
              <w:top w:val="nil"/>
              <w:left w:val="nil"/>
              <w:bottom w:val="nil"/>
              <w:right w:val="nil"/>
              <w:tl2br w:val="nil"/>
              <w:tr2bl w:val="nil"/>
            </w:tcBorders>
            <w:tcMar>
              <w:left w:w="60" w:type="dxa"/>
              <w:right w:w="60" w:type="dxa"/>
            </w:tcMar>
            <w:vAlign w:val="center"/>
          </w:tcPr>
          <w:p w14:paraId="343F40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6" w:type="dxa"/>
            <w:tcBorders>
              <w:top w:val="nil"/>
              <w:left w:val="nil"/>
              <w:bottom w:val="nil"/>
              <w:right w:val="nil"/>
              <w:tl2br w:val="nil"/>
              <w:tr2bl w:val="nil"/>
            </w:tcBorders>
            <w:tcMar>
              <w:left w:w="60" w:type="dxa"/>
              <w:right w:w="60" w:type="dxa"/>
            </w:tcMar>
            <w:vAlign w:val="center"/>
          </w:tcPr>
          <w:p w14:paraId="79A982B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77083A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1C133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3BEB52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14:paraId="4DCE747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 w:type="dxa"/>
            <w:tcBorders>
              <w:top w:val="nil"/>
              <w:left w:val="nil"/>
              <w:bottom w:val="nil"/>
              <w:right w:val="nil"/>
              <w:tl2br w:val="nil"/>
              <w:tr2bl w:val="nil"/>
            </w:tcBorders>
            <w:tcMar>
              <w:left w:w="60" w:type="dxa"/>
              <w:right w:w="60" w:type="dxa"/>
            </w:tcMar>
            <w:vAlign w:val="center"/>
          </w:tcPr>
          <w:p w14:paraId="04578C2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DA82BC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27A43DF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62E93FC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2940D7D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7A41F9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2E5C4284"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3D7D4E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A4FE363"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5D2F2BB"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78B6B8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312</w:t>
            </w:r>
          </w:p>
        </w:tc>
        <w:tc>
          <w:tcPr>
            <w:tcW w:w="126" w:type="dxa"/>
            <w:tcBorders>
              <w:top w:val="nil"/>
              <w:left w:val="nil"/>
              <w:bottom w:val="nil"/>
              <w:right w:val="nil"/>
              <w:tl2br w:val="nil"/>
              <w:tr2bl w:val="nil"/>
            </w:tcBorders>
            <w:tcMar>
              <w:left w:w="60" w:type="dxa"/>
              <w:right w:w="60" w:type="dxa"/>
            </w:tcMar>
            <w:vAlign w:val="center"/>
          </w:tcPr>
          <w:p w14:paraId="14CCA0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286</w:t>
            </w:r>
          </w:p>
        </w:tc>
        <w:tc>
          <w:tcPr>
            <w:tcW w:w="102" w:type="dxa"/>
            <w:tcBorders>
              <w:top w:val="nil"/>
              <w:left w:val="nil"/>
              <w:bottom w:val="nil"/>
              <w:right w:val="nil"/>
              <w:tl2br w:val="nil"/>
              <w:tr2bl w:val="nil"/>
            </w:tcBorders>
            <w:tcMar>
              <w:left w:w="60" w:type="dxa"/>
              <w:right w:w="60" w:type="dxa"/>
            </w:tcMar>
            <w:vAlign w:val="center"/>
          </w:tcPr>
          <w:p w14:paraId="093A30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870ED2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125" w:type="dxa"/>
            <w:tcBorders>
              <w:top w:val="nil"/>
              <w:left w:val="nil"/>
              <w:bottom w:val="nil"/>
              <w:right w:val="nil"/>
              <w:tl2br w:val="nil"/>
              <w:tr2bl w:val="nil"/>
            </w:tcBorders>
            <w:tcMar>
              <w:left w:w="60" w:type="dxa"/>
              <w:right w:w="60" w:type="dxa"/>
            </w:tcMar>
            <w:vAlign w:val="center"/>
          </w:tcPr>
          <w:p w14:paraId="3F4759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305</w:t>
            </w:r>
          </w:p>
        </w:tc>
        <w:tc>
          <w:tcPr>
            <w:tcW w:w="99" w:type="dxa"/>
            <w:tcBorders>
              <w:top w:val="nil"/>
              <w:left w:val="nil"/>
              <w:bottom w:val="nil"/>
              <w:right w:val="nil"/>
              <w:tl2br w:val="nil"/>
              <w:tr2bl w:val="nil"/>
            </w:tcBorders>
            <w:tcMar>
              <w:left w:w="60" w:type="dxa"/>
              <w:right w:w="60" w:type="dxa"/>
            </w:tcMar>
            <w:vAlign w:val="center"/>
          </w:tcPr>
          <w:p w14:paraId="2F42276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17EF277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CCAA44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14:paraId="150DF92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14:paraId="541C75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62E4213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4DB364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48BF742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2DAC53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A0EBE57"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2A8DA2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02C6267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14:paraId="06BE9F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5A00F17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13C3A7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2E9C96E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14:paraId="4856703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14:paraId="371AD1D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AF09D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1BD883B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5C41A90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DFDFE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422249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5CE1F0AB"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D314973"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DCD64F6"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BA72D3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0" w:type="dxa"/>
            <w:tcBorders>
              <w:top w:val="nil"/>
              <w:left w:val="nil"/>
              <w:bottom w:val="nil"/>
              <w:right w:val="nil"/>
              <w:tl2br w:val="nil"/>
              <w:tr2bl w:val="nil"/>
            </w:tcBorders>
            <w:tcMar>
              <w:left w:w="60" w:type="dxa"/>
              <w:right w:w="60" w:type="dxa"/>
            </w:tcMar>
            <w:vAlign w:val="center"/>
          </w:tcPr>
          <w:p w14:paraId="677EC74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26" w:type="dxa"/>
            <w:tcBorders>
              <w:top w:val="nil"/>
              <w:left w:val="nil"/>
              <w:bottom w:val="nil"/>
              <w:right w:val="nil"/>
              <w:tl2br w:val="nil"/>
              <w:tr2bl w:val="nil"/>
            </w:tcBorders>
            <w:tcMar>
              <w:left w:w="60" w:type="dxa"/>
              <w:right w:w="60" w:type="dxa"/>
            </w:tcMar>
            <w:vAlign w:val="center"/>
          </w:tcPr>
          <w:p w14:paraId="05B024B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02" w:type="dxa"/>
            <w:tcBorders>
              <w:top w:val="nil"/>
              <w:left w:val="nil"/>
              <w:bottom w:val="nil"/>
              <w:right w:val="nil"/>
              <w:tl2br w:val="nil"/>
              <w:tr2bl w:val="nil"/>
            </w:tcBorders>
            <w:tcMar>
              <w:left w:w="60" w:type="dxa"/>
              <w:right w:w="60" w:type="dxa"/>
            </w:tcMar>
            <w:vAlign w:val="center"/>
          </w:tcPr>
          <w:p w14:paraId="517D819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6E109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123DBF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99" w:type="dxa"/>
            <w:tcBorders>
              <w:top w:val="nil"/>
              <w:left w:val="nil"/>
              <w:bottom w:val="nil"/>
              <w:right w:val="nil"/>
              <w:tl2br w:val="nil"/>
              <w:tr2bl w:val="nil"/>
            </w:tcBorders>
            <w:tcMar>
              <w:left w:w="60" w:type="dxa"/>
              <w:right w:w="60" w:type="dxa"/>
            </w:tcMar>
            <w:vAlign w:val="center"/>
          </w:tcPr>
          <w:p w14:paraId="65FA397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4B7ADE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3C9BDE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2D86CB3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272DD7D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4BE200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CE0A7D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1935BB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520AF3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6DBAAC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4345522"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Employment and Social Innovation</w:t>
            </w:r>
          </w:p>
        </w:tc>
        <w:tc>
          <w:tcPr>
            <w:tcW w:w="960" w:type="dxa"/>
            <w:tcBorders>
              <w:top w:val="nil"/>
              <w:left w:val="nil"/>
              <w:bottom w:val="nil"/>
              <w:right w:val="nil"/>
              <w:tl2br w:val="nil"/>
              <w:tr2bl w:val="nil"/>
            </w:tcBorders>
            <w:tcMar>
              <w:left w:w="60" w:type="dxa"/>
              <w:right w:w="60" w:type="dxa"/>
            </w:tcMar>
            <w:vAlign w:val="center"/>
          </w:tcPr>
          <w:p w14:paraId="46B2F1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126" w:type="dxa"/>
            <w:tcBorders>
              <w:top w:val="nil"/>
              <w:left w:val="nil"/>
              <w:bottom w:val="nil"/>
              <w:right w:val="nil"/>
              <w:tl2br w:val="nil"/>
              <w:tr2bl w:val="nil"/>
            </w:tcBorders>
            <w:tcMar>
              <w:left w:w="60" w:type="dxa"/>
              <w:right w:w="60" w:type="dxa"/>
            </w:tcMar>
            <w:vAlign w:val="center"/>
          </w:tcPr>
          <w:p w14:paraId="59E61C3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106</w:t>
            </w:r>
          </w:p>
        </w:tc>
        <w:tc>
          <w:tcPr>
            <w:tcW w:w="102" w:type="dxa"/>
            <w:tcBorders>
              <w:top w:val="nil"/>
              <w:left w:val="nil"/>
              <w:bottom w:val="nil"/>
              <w:right w:val="nil"/>
              <w:tl2br w:val="nil"/>
              <w:tr2bl w:val="nil"/>
            </w:tcBorders>
            <w:tcMar>
              <w:left w:w="60" w:type="dxa"/>
              <w:right w:w="60" w:type="dxa"/>
            </w:tcMar>
            <w:vAlign w:val="center"/>
          </w:tcPr>
          <w:p w14:paraId="6BD5A72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E7B357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25" w:type="dxa"/>
            <w:tcBorders>
              <w:top w:val="nil"/>
              <w:left w:val="nil"/>
              <w:bottom w:val="nil"/>
              <w:right w:val="nil"/>
              <w:tl2br w:val="nil"/>
              <w:tr2bl w:val="nil"/>
            </w:tcBorders>
            <w:tcMar>
              <w:left w:w="60" w:type="dxa"/>
              <w:right w:w="60" w:type="dxa"/>
            </w:tcMar>
            <w:vAlign w:val="center"/>
          </w:tcPr>
          <w:p w14:paraId="57BF51C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112</w:t>
            </w:r>
          </w:p>
        </w:tc>
        <w:tc>
          <w:tcPr>
            <w:tcW w:w="99" w:type="dxa"/>
            <w:tcBorders>
              <w:top w:val="nil"/>
              <w:left w:val="nil"/>
              <w:bottom w:val="nil"/>
              <w:right w:val="nil"/>
              <w:tl2br w:val="nil"/>
              <w:tr2bl w:val="nil"/>
            </w:tcBorders>
            <w:tcMar>
              <w:left w:w="60" w:type="dxa"/>
              <w:right w:w="60" w:type="dxa"/>
            </w:tcMar>
            <w:vAlign w:val="center"/>
          </w:tcPr>
          <w:p w14:paraId="61B10BA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14:paraId="6018964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2A4AEE4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6" w:type="dxa"/>
            <w:tcBorders>
              <w:top w:val="nil"/>
              <w:left w:val="nil"/>
              <w:bottom w:val="nil"/>
              <w:right w:val="nil"/>
              <w:tl2br w:val="nil"/>
              <w:tr2bl w:val="nil"/>
            </w:tcBorders>
            <w:tcMar>
              <w:left w:w="60" w:type="dxa"/>
              <w:right w:w="60" w:type="dxa"/>
            </w:tcMar>
            <w:vAlign w:val="center"/>
          </w:tcPr>
          <w:p w14:paraId="17A2E4C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2" w:type="dxa"/>
            <w:tcBorders>
              <w:top w:val="nil"/>
              <w:left w:val="nil"/>
              <w:bottom w:val="nil"/>
              <w:right w:val="nil"/>
              <w:tl2br w:val="nil"/>
              <w:tr2bl w:val="nil"/>
            </w:tcBorders>
            <w:tcMar>
              <w:left w:w="60" w:type="dxa"/>
              <w:right w:w="60" w:type="dxa"/>
            </w:tcMar>
            <w:vAlign w:val="center"/>
          </w:tcPr>
          <w:p w14:paraId="5F2F130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2" w:type="dxa"/>
            <w:tcBorders>
              <w:top w:val="nil"/>
              <w:left w:val="nil"/>
              <w:bottom w:val="nil"/>
              <w:right w:val="nil"/>
              <w:tl2br w:val="nil"/>
              <w:tr2bl w:val="nil"/>
            </w:tcBorders>
            <w:tcMar>
              <w:left w:w="60" w:type="dxa"/>
              <w:right w:w="60" w:type="dxa"/>
            </w:tcMar>
            <w:vAlign w:val="center"/>
          </w:tcPr>
          <w:p w14:paraId="2BFA265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69D00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0332509"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1EAC761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1EE04B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3374AAD"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Erasmus+</w:t>
            </w:r>
          </w:p>
        </w:tc>
        <w:tc>
          <w:tcPr>
            <w:tcW w:w="960" w:type="dxa"/>
            <w:tcBorders>
              <w:top w:val="nil"/>
              <w:left w:val="nil"/>
              <w:bottom w:val="nil"/>
              <w:right w:val="nil"/>
              <w:tl2br w:val="nil"/>
              <w:tr2bl w:val="nil"/>
            </w:tcBorders>
            <w:tcMar>
              <w:left w:w="60" w:type="dxa"/>
              <w:right w:w="60" w:type="dxa"/>
            </w:tcMar>
            <w:vAlign w:val="center"/>
          </w:tcPr>
          <w:p w14:paraId="6B38AE2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5 105</w:t>
            </w:r>
          </w:p>
        </w:tc>
        <w:tc>
          <w:tcPr>
            <w:tcW w:w="126" w:type="dxa"/>
            <w:tcBorders>
              <w:top w:val="nil"/>
              <w:left w:val="nil"/>
              <w:bottom w:val="nil"/>
              <w:right w:val="nil"/>
              <w:tl2br w:val="nil"/>
              <w:tr2bl w:val="nil"/>
            </w:tcBorders>
            <w:tcMar>
              <w:left w:w="60" w:type="dxa"/>
              <w:right w:w="60" w:type="dxa"/>
            </w:tcMar>
            <w:vAlign w:val="center"/>
          </w:tcPr>
          <w:p w14:paraId="787E102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3 969</w:t>
            </w:r>
          </w:p>
        </w:tc>
        <w:tc>
          <w:tcPr>
            <w:tcW w:w="102" w:type="dxa"/>
            <w:tcBorders>
              <w:top w:val="nil"/>
              <w:left w:val="nil"/>
              <w:bottom w:val="nil"/>
              <w:right w:val="nil"/>
              <w:tl2br w:val="nil"/>
              <w:tr2bl w:val="nil"/>
            </w:tcBorders>
            <w:tcMar>
              <w:left w:w="60" w:type="dxa"/>
              <w:right w:w="60" w:type="dxa"/>
            </w:tcMar>
            <w:vAlign w:val="center"/>
          </w:tcPr>
          <w:p w14:paraId="173F212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6BE7C5C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715</w:t>
            </w:r>
          </w:p>
        </w:tc>
        <w:tc>
          <w:tcPr>
            <w:tcW w:w="125" w:type="dxa"/>
            <w:tcBorders>
              <w:top w:val="nil"/>
              <w:left w:val="nil"/>
              <w:bottom w:val="nil"/>
              <w:right w:val="nil"/>
              <w:tl2br w:val="nil"/>
              <w:tr2bl w:val="nil"/>
            </w:tcBorders>
            <w:tcMar>
              <w:left w:w="60" w:type="dxa"/>
              <w:right w:w="60" w:type="dxa"/>
            </w:tcMar>
            <w:vAlign w:val="center"/>
          </w:tcPr>
          <w:p w14:paraId="359B8A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4 684</w:t>
            </w:r>
          </w:p>
        </w:tc>
        <w:tc>
          <w:tcPr>
            <w:tcW w:w="99" w:type="dxa"/>
            <w:tcBorders>
              <w:top w:val="nil"/>
              <w:left w:val="nil"/>
              <w:bottom w:val="nil"/>
              <w:right w:val="nil"/>
              <w:tl2br w:val="nil"/>
              <w:tr2bl w:val="nil"/>
            </w:tcBorders>
            <w:tcMar>
              <w:left w:w="60" w:type="dxa"/>
              <w:right w:w="60" w:type="dxa"/>
            </w:tcMar>
            <w:vAlign w:val="center"/>
          </w:tcPr>
          <w:p w14:paraId="2B0D2E5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92 %</w:t>
            </w:r>
          </w:p>
        </w:tc>
        <w:tc>
          <w:tcPr>
            <w:tcW w:w="105" w:type="dxa"/>
            <w:tcBorders>
              <w:top w:val="nil"/>
              <w:left w:val="nil"/>
              <w:bottom w:val="nil"/>
              <w:right w:val="nil"/>
              <w:tl2br w:val="nil"/>
              <w:tr2bl w:val="nil"/>
            </w:tcBorders>
            <w:tcMar>
              <w:left w:w="60" w:type="dxa"/>
              <w:right w:w="60" w:type="dxa"/>
            </w:tcMar>
            <w:vAlign w:val="center"/>
          </w:tcPr>
          <w:p w14:paraId="33B834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CB0914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420</w:t>
            </w:r>
          </w:p>
        </w:tc>
        <w:tc>
          <w:tcPr>
            <w:tcW w:w="106" w:type="dxa"/>
            <w:tcBorders>
              <w:top w:val="nil"/>
              <w:left w:val="nil"/>
              <w:bottom w:val="nil"/>
              <w:right w:val="nil"/>
              <w:tl2br w:val="nil"/>
              <w:tr2bl w:val="nil"/>
            </w:tcBorders>
            <w:tcMar>
              <w:left w:w="60" w:type="dxa"/>
              <w:right w:w="60" w:type="dxa"/>
            </w:tcMar>
            <w:vAlign w:val="center"/>
          </w:tcPr>
          <w:p w14:paraId="5CC285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420</w:t>
            </w:r>
          </w:p>
        </w:tc>
        <w:tc>
          <w:tcPr>
            <w:tcW w:w="92" w:type="dxa"/>
            <w:tcBorders>
              <w:top w:val="nil"/>
              <w:left w:val="nil"/>
              <w:bottom w:val="nil"/>
              <w:right w:val="nil"/>
              <w:tl2br w:val="nil"/>
              <w:tr2bl w:val="nil"/>
            </w:tcBorders>
            <w:tcMar>
              <w:left w:w="60" w:type="dxa"/>
              <w:right w:w="60" w:type="dxa"/>
            </w:tcMar>
            <w:vAlign w:val="center"/>
          </w:tcPr>
          <w:p w14:paraId="2D949D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395D05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4095E7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51E02306"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D375CAA"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93C4E0A"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98ABA1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Solidarity Corps (ESC)</w:t>
            </w:r>
          </w:p>
        </w:tc>
        <w:tc>
          <w:tcPr>
            <w:tcW w:w="960" w:type="dxa"/>
            <w:tcBorders>
              <w:top w:val="nil"/>
              <w:left w:val="nil"/>
              <w:bottom w:val="nil"/>
              <w:right w:val="nil"/>
              <w:tl2br w:val="nil"/>
              <w:tr2bl w:val="nil"/>
            </w:tcBorders>
            <w:tcMar>
              <w:left w:w="60" w:type="dxa"/>
              <w:right w:w="60" w:type="dxa"/>
            </w:tcMar>
            <w:vAlign w:val="center"/>
          </w:tcPr>
          <w:p w14:paraId="5A12B4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221</w:t>
            </w:r>
          </w:p>
        </w:tc>
        <w:tc>
          <w:tcPr>
            <w:tcW w:w="126" w:type="dxa"/>
            <w:tcBorders>
              <w:top w:val="nil"/>
              <w:left w:val="nil"/>
              <w:bottom w:val="nil"/>
              <w:right w:val="nil"/>
              <w:tl2br w:val="nil"/>
              <w:tr2bl w:val="nil"/>
            </w:tcBorders>
            <w:tcMar>
              <w:left w:w="60" w:type="dxa"/>
              <w:right w:w="60" w:type="dxa"/>
            </w:tcMar>
            <w:vAlign w:val="center"/>
          </w:tcPr>
          <w:p w14:paraId="1A9A645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147</w:t>
            </w:r>
          </w:p>
        </w:tc>
        <w:tc>
          <w:tcPr>
            <w:tcW w:w="102" w:type="dxa"/>
            <w:tcBorders>
              <w:top w:val="nil"/>
              <w:left w:val="nil"/>
              <w:bottom w:val="nil"/>
              <w:right w:val="nil"/>
              <w:tl2br w:val="nil"/>
              <w:tr2bl w:val="nil"/>
            </w:tcBorders>
            <w:tcMar>
              <w:left w:w="60" w:type="dxa"/>
              <w:right w:w="60" w:type="dxa"/>
            </w:tcMar>
            <w:vAlign w:val="center"/>
          </w:tcPr>
          <w:p w14:paraId="3008AD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7FEB5E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25" w:type="dxa"/>
            <w:tcBorders>
              <w:top w:val="nil"/>
              <w:left w:val="nil"/>
              <w:bottom w:val="nil"/>
              <w:right w:val="nil"/>
              <w:tl2br w:val="nil"/>
              <w:tr2bl w:val="nil"/>
            </w:tcBorders>
            <w:tcMar>
              <w:left w:w="60" w:type="dxa"/>
              <w:right w:w="60" w:type="dxa"/>
            </w:tcMar>
            <w:vAlign w:val="center"/>
          </w:tcPr>
          <w:p w14:paraId="619460B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172</w:t>
            </w:r>
          </w:p>
        </w:tc>
        <w:tc>
          <w:tcPr>
            <w:tcW w:w="99" w:type="dxa"/>
            <w:tcBorders>
              <w:top w:val="nil"/>
              <w:left w:val="nil"/>
              <w:bottom w:val="nil"/>
              <w:right w:val="nil"/>
              <w:tl2br w:val="nil"/>
              <w:tr2bl w:val="nil"/>
            </w:tcBorders>
            <w:tcMar>
              <w:left w:w="60" w:type="dxa"/>
              <w:right w:w="60" w:type="dxa"/>
            </w:tcMar>
            <w:vAlign w:val="center"/>
          </w:tcPr>
          <w:p w14:paraId="145010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78 %</w:t>
            </w:r>
          </w:p>
        </w:tc>
        <w:tc>
          <w:tcPr>
            <w:tcW w:w="105" w:type="dxa"/>
            <w:tcBorders>
              <w:top w:val="nil"/>
              <w:left w:val="nil"/>
              <w:bottom w:val="nil"/>
              <w:right w:val="nil"/>
              <w:tl2br w:val="nil"/>
              <w:tr2bl w:val="nil"/>
            </w:tcBorders>
            <w:tcMar>
              <w:left w:w="60" w:type="dxa"/>
              <w:right w:w="60" w:type="dxa"/>
            </w:tcMar>
            <w:vAlign w:val="center"/>
          </w:tcPr>
          <w:p w14:paraId="5EA8D46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DE9AE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49</w:t>
            </w:r>
          </w:p>
        </w:tc>
        <w:tc>
          <w:tcPr>
            <w:tcW w:w="106" w:type="dxa"/>
            <w:tcBorders>
              <w:top w:val="nil"/>
              <w:left w:val="nil"/>
              <w:bottom w:val="nil"/>
              <w:right w:val="nil"/>
              <w:tl2br w:val="nil"/>
              <w:tr2bl w:val="nil"/>
            </w:tcBorders>
            <w:tcMar>
              <w:left w:w="60" w:type="dxa"/>
              <w:right w:w="60" w:type="dxa"/>
            </w:tcMar>
            <w:vAlign w:val="center"/>
          </w:tcPr>
          <w:p w14:paraId="58E446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49</w:t>
            </w:r>
          </w:p>
        </w:tc>
        <w:tc>
          <w:tcPr>
            <w:tcW w:w="92" w:type="dxa"/>
            <w:tcBorders>
              <w:top w:val="nil"/>
              <w:left w:val="nil"/>
              <w:bottom w:val="nil"/>
              <w:right w:val="nil"/>
              <w:tl2br w:val="nil"/>
              <w:tr2bl w:val="nil"/>
            </w:tcBorders>
            <w:tcMar>
              <w:left w:w="60" w:type="dxa"/>
              <w:right w:w="60" w:type="dxa"/>
            </w:tcMar>
            <w:vAlign w:val="center"/>
          </w:tcPr>
          <w:p w14:paraId="48687D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6B9D35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9294A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0093B5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D97F1E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FEAC597"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CAB17E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Creative Europe</w:t>
            </w:r>
          </w:p>
        </w:tc>
        <w:tc>
          <w:tcPr>
            <w:tcW w:w="960" w:type="dxa"/>
            <w:tcBorders>
              <w:top w:val="nil"/>
              <w:left w:val="nil"/>
              <w:bottom w:val="nil"/>
              <w:right w:val="nil"/>
              <w:tl2br w:val="nil"/>
              <w:tr2bl w:val="nil"/>
            </w:tcBorders>
            <w:tcMar>
              <w:left w:w="60" w:type="dxa"/>
              <w:right w:w="60" w:type="dxa"/>
            </w:tcMar>
            <w:vAlign w:val="center"/>
          </w:tcPr>
          <w:p w14:paraId="5AC108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373</w:t>
            </w:r>
          </w:p>
        </w:tc>
        <w:tc>
          <w:tcPr>
            <w:tcW w:w="126" w:type="dxa"/>
            <w:tcBorders>
              <w:top w:val="nil"/>
              <w:left w:val="nil"/>
              <w:bottom w:val="nil"/>
              <w:right w:val="nil"/>
              <w:tl2br w:val="nil"/>
              <w:tr2bl w:val="nil"/>
            </w:tcBorders>
            <w:tcMar>
              <w:left w:w="60" w:type="dxa"/>
              <w:right w:w="60" w:type="dxa"/>
            </w:tcMar>
            <w:vAlign w:val="center"/>
          </w:tcPr>
          <w:p w14:paraId="3A6691C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352</w:t>
            </w:r>
          </w:p>
        </w:tc>
        <w:tc>
          <w:tcPr>
            <w:tcW w:w="102" w:type="dxa"/>
            <w:tcBorders>
              <w:top w:val="nil"/>
              <w:left w:val="nil"/>
              <w:bottom w:val="nil"/>
              <w:right w:val="nil"/>
              <w:tl2br w:val="nil"/>
              <w:tr2bl w:val="nil"/>
            </w:tcBorders>
            <w:tcMar>
              <w:left w:w="60" w:type="dxa"/>
              <w:right w:w="60" w:type="dxa"/>
            </w:tcMar>
            <w:vAlign w:val="center"/>
          </w:tcPr>
          <w:p w14:paraId="0BF4972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1569A2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125" w:type="dxa"/>
            <w:tcBorders>
              <w:top w:val="nil"/>
              <w:left w:val="nil"/>
              <w:bottom w:val="nil"/>
              <w:right w:val="nil"/>
              <w:tl2br w:val="nil"/>
              <w:tr2bl w:val="nil"/>
            </w:tcBorders>
            <w:tcMar>
              <w:left w:w="60" w:type="dxa"/>
              <w:right w:w="60" w:type="dxa"/>
            </w:tcMar>
            <w:vAlign w:val="center"/>
          </w:tcPr>
          <w:p w14:paraId="32651A8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367</w:t>
            </w:r>
          </w:p>
        </w:tc>
        <w:tc>
          <w:tcPr>
            <w:tcW w:w="99" w:type="dxa"/>
            <w:tcBorders>
              <w:top w:val="nil"/>
              <w:left w:val="nil"/>
              <w:bottom w:val="nil"/>
              <w:right w:val="nil"/>
              <w:tl2br w:val="nil"/>
              <w:tr2bl w:val="nil"/>
            </w:tcBorders>
            <w:tcMar>
              <w:left w:w="60" w:type="dxa"/>
              <w:right w:w="60" w:type="dxa"/>
            </w:tcMar>
            <w:vAlign w:val="center"/>
          </w:tcPr>
          <w:p w14:paraId="6BB825C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128F2B7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983A07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14:paraId="69B0CB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14:paraId="3E8D22B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77A70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F4DB34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22E3F0C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45014C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9282A4B"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4EB775B"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Justice</w:t>
            </w:r>
          </w:p>
        </w:tc>
        <w:tc>
          <w:tcPr>
            <w:tcW w:w="960" w:type="dxa"/>
            <w:tcBorders>
              <w:top w:val="nil"/>
              <w:left w:val="nil"/>
              <w:bottom w:val="nil"/>
              <w:right w:val="nil"/>
              <w:tl2br w:val="nil"/>
              <w:tr2bl w:val="nil"/>
            </w:tcBorders>
            <w:tcMar>
              <w:left w:w="60" w:type="dxa"/>
              <w:right w:w="60" w:type="dxa"/>
            </w:tcMar>
            <w:vAlign w:val="center"/>
          </w:tcPr>
          <w:p w14:paraId="184EBE6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126" w:type="dxa"/>
            <w:tcBorders>
              <w:top w:val="nil"/>
              <w:left w:val="nil"/>
              <w:bottom w:val="nil"/>
              <w:right w:val="nil"/>
              <w:tl2br w:val="nil"/>
              <w:tr2bl w:val="nil"/>
            </w:tcBorders>
            <w:tcMar>
              <w:left w:w="60" w:type="dxa"/>
              <w:right w:w="60" w:type="dxa"/>
            </w:tcMar>
            <w:vAlign w:val="center"/>
          </w:tcPr>
          <w:p w14:paraId="1FEBD8F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102" w:type="dxa"/>
            <w:tcBorders>
              <w:top w:val="nil"/>
              <w:left w:val="nil"/>
              <w:bottom w:val="nil"/>
              <w:right w:val="nil"/>
              <w:tl2br w:val="nil"/>
              <w:tr2bl w:val="nil"/>
            </w:tcBorders>
            <w:tcMar>
              <w:left w:w="60" w:type="dxa"/>
              <w:right w:w="60" w:type="dxa"/>
            </w:tcMar>
            <w:vAlign w:val="center"/>
          </w:tcPr>
          <w:p w14:paraId="35EFBA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8E3C4B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64FF2C9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99" w:type="dxa"/>
            <w:tcBorders>
              <w:top w:val="nil"/>
              <w:left w:val="nil"/>
              <w:bottom w:val="nil"/>
              <w:right w:val="nil"/>
              <w:tl2br w:val="nil"/>
              <w:tr2bl w:val="nil"/>
            </w:tcBorders>
            <w:tcMar>
              <w:left w:w="60" w:type="dxa"/>
              <w:right w:w="60" w:type="dxa"/>
            </w:tcMar>
            <w:vAlign w:val="center"/>
          </w:tcPr>
          <w:p w14:paraId="2C5DD9C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14:paraId="27792B2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E79019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333E947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02D32D7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A85097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5CC84FF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BB11A7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0E940D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F38F05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668938B"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Rights and Values</w:t>
            </w:r>
          </w:p>
        </w:tc>
        <w:tc>
          <w:tcPr>
            <w:tcW w:w="960" w:type="dxa"/>
            <w:tcBorders>
              <w:top w:val="nil"/>
              <w:left w:val="nil"/>
              <w:bottom w:val="nil"/>
              <w:right w:val="nil"/>
              <w:tl2br w:val="nil"/>
              <w:tr2bl w:val="nil"/>
            </w:tcBorders>
            <w:tcMar>
              <w:left w:w="60" w:type="dxa"/>
              <w:right w:w="60" w:type="dxa"/>
            </w:tcMar>
            <w:vAlign w:val="center"/>
          </w:tcPr>
          <w:p w14:paraId="64F10A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240</w:t>
            </w:r>
          </w:p>
        </w:tc>
        <w:tc>
          <w:tcPr>
            <w:tcW w:w="126" w:type="dxa"/>
            <w:tcBorders>
              <w:top w:val="nil"/>
              <w:left w:val="nil"/>
              <w:bottom w:val="nil"/>
              <w:right w:val="nil"/>
              <w:tl2br w:val="nil"/>
              <w:tr2bl w:val="nil"/>
            </w:tcBorders>
            <w:tcMar>
              <w:left w:w="60" w:type="dxa"/>
              <w:right w:w="60" w:type="dxa"/>
            </w:tcMar>
            <w:vAlign w:val="center"/>
          </w:tcPr>
          <w:p w14:paraId="0E39E8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238</w:t>
            </w:r>
          </w:p>
        </w:tc>
        <w:tc>
          <w:tcPr>
            <w:tcW w:w="102" w:type="dxa"/>
            <w:tcBorders>
              <w:top w:val="nil"/>
              <w:left w:val="nil"/>
              <w:bottom w:val="nil"/>
              <w:right w:val="nil"/>
              <w:tl2br w:val="nil"/>
              <w:tr2bl w:val="nil"/>
            </w:tcBorders>
            <w:tcMar>
              <w:left w:w="60" w:type="dxa"/>
              <w:right w:w="60" w:type="dxa"/>
            </w:tcMar>
            <w:vAlign w:val="center"/>
          </w:tcPr>
          <w:p w14:paraId="5E86E2B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7B3F9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4E868C4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239</w:t>
            </w:r>
          </w:p>
        </w:tc>
        <w:tc>
          <w:tcPr>
            <w:tcW w:w="99" w:type="dxa"/>
            <w:tcBorders>
              <w:top w:val="nil"/>
              <w:left w:val="nil"/>
              <w:bottom w:val="nil"/>
              <w:right w:val="nil"/>
              <w:tl2br w:val="nil"/>
              <w:tr2bl w:val="nil"/>
            </w:tcBorders>
            <w:tcMar>
              <w:left w:w="60" w:type="dxa"/>
              <w:right w:w="60" w:type="dxa"/>
            </w:tcMar>
            <w:vAlign w:val="center"/>
          </w:tcPr>
          <w:p w14:paraId="1ABF46C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370BC7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A00501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590E64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181FD47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827432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54832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DC6DBC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B66C22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F6A88F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51589C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66528E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336</w:t>
            </w:r>
          </w:p>
        </w:tc>
        <w:tc>
          <w:tcPr>
            <w:tcW w:w="126" w:type="dxa"/>
            <w:tcBorders>
              <w:top w:val="nil"/>
              <w:left w:val="nil"/>
              <w:bottom w:val="nil"/>
              <w:right w:val="nil"/>
              <w:tl2br w:val="nil"/>
              <w:tr2bl w:val="nil"/>
            </w:tcBorders>
            <w:tcMar>
              <w:left w:w="60" w:type="dxa"/>
              <w:right w:w="60" w:type="dxa"/>
            </w:tcMar>
            <w:vAlign w:val="center"/>
          </w:tcPr>
          <w:p w14:paraId="081F5F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324</w:t>
            </w:r>
          </w:p>
        </w:tc>
        <w:tc>
          <w:tcPr>
            <w:tcW w:w="102" w:type="dxa"/>
            <w:tcBorders>
              <w:top w:val="nil"/>
              <w:left w:val="nil"/>
              <w:bottom w:val="nil"/>
              <w:right w:val="nil"/>
              <w:tl2br w:val="nil"/>
              <w:tr2bl w:val="nil"/>
            </w:tcBorders>
            <w:tcMar>
              <w:left w:w="60" w:type="dxa"/>
              <w:right w:w="60" w:type="dxa"/>
            </w:tcMar>
            <w:vAlign w:val="center"/>
          </w:tcPr>
          <w:p w14:paraId="368CBF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0AD6AA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25" w:type="dxa"/>
            <w:tcBorders>
              <w:top w:val="nil"/>
              <w:left w:val="nil"/>
              <w:bottom w:val="nil"/>
              <w:right w:val="nil"/>
              <w:tl2br w:val="nil"/>
              <w:tr2bl w:val="nil"/>
            </w:tcBorders>
            <w:tcMar>
              <w:left w:w="60" w:type="dxa"/>
              <w:right w:w="60" w:type="dxa"/>
            </w:tcMar>
            <w:vAlign w:val="center"/>
          </w:tcPr>
          <w:p w14:paraId="27E26A0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332</w:t>
            </w:r>
          </w:p>
        </w:tc>
        <w:tc>
          <w:tcPr>
            <w:tcW w:w="99" w:type="dxa"/>
            <w:tcBorders>
              <w:top w:val="nil"/>
              <w:left w:val="nil"/>
              <w:bottom w:val="nil"/>
              <w:right w:val="nil"/>
              <w:tl2br w:val="nil"/>
              <w:tr2bl w:val="nil"/>
            </w:tcBorders>
            <w:tcMar>
              <w:left w:w="60" w:type="dxa"/>
              <w:right w:w="60" w:type="dxa"/>
            </w:tcMar>
            <w:vAlign w:val="center"/>
          </w:tcPr>
          <w:p w14:paraId="340A800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11DFA06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B1991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6" w:type="dxa"/>
            <w:tcBorders>
              <w:top w:val="nil"/>
              <w:left w:val="nil"/>
              <w:bottom w:val="nil"/>
              <w:right w:val="nil"/>
              <w:tl2br w:val="nil"/>
              <w:tr2bl w:val="nil"/>
            </w:tcBorders>
            <w:tcMar>
              <w:left w:w="60" w:type="dxa"/>
              <w:right w:w="60" w:type="dxa"/>
            </w:tcMar>
            <w:vAlign w:val="center"/>
          </w:tcPr>
          <w:p w14:paraId="2EE6D59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2" w:type="dxa"/>
            <w:tcBorders>
              <w:top w:val="nil"/>
              <w:left w:val="nil"/>
              <w:bottom w:val="nil"/>
              <w:right w:val="nil"/>
              <w:tl2br w:val="nil"/>
              <w:tr2bl w:val="nil"/>
            </w:tcBorders>
            <w:tcMar>
              <w:left w:w="60" w:type="dxa"/>
              <w:right w:w="60" w:type="dxa"/>
            </w:tcMar>
            <w:vAlign w:val="center"/>
          </w:tcPr>
          <w:p w14:paraId="689CCD4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627D262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62E0A9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5F5A6F2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A3B0A07"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033E2C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18EFEF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0" w:type="dxa"/>
            <w:tcBorders>
              <w:top w:val="nil"/>
              <w:left w:val="nil"/>
              <w:bottom w:val="nil"/>
              <w:right w:val="nil"/>
              <w:tl2br w:val="nil"/>
              <w:tr2bl w:val="nil"/>
            </w:tcBorders>
            <w:tcMar>
              <w:left w:w="60" w:type="dxa"/>
              <w:right w:w="60" w:type="dxa"/>
            </w:tcMar>
            <w:vAlign w:val="center"/>
          </w:tcPr>
          <w:p w14:paraId="65D86FC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26" w:type="dxa"/>
            <w:tcBorders>
              <w:top w:val="nil"/>
              <w:left w:val="nil"/>
              <w:bottom w:val="nil"/>
              <w:right w:val="nil"/>
              <w:tl2br w:val="nil"/>
              <w:tr2bl w:val="nil"/>
            </w:tcBorders>
            <w:tcMar>
              <w:left w:w="60" w:type="dxa"/>
              <w:right w:w="60" w:type="dxa"/>
            </w:tcMar>
            <w:vAlign w:val="center"/>
          </w:tcPr>
          <w:p w14:paraId="3B44C63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02" w:type="dxa"/>
            <w:tcBorders>
              <w:top w:val="nil"/>
              <w:left w:val="nil"/>
              <w:bottom w:val="nil"/>
              <w:right w:val="nil"/>
              <w:tl2br w:val="nil"/>
              <w:tr2bl w:val="nil"/>
            </w:tcBorders>
            <w:tcMar>
              <w:left w:w="60" w:type="dxa"/>
              <w:right w:w="60" w:type="dxa"/>
            </w:tcMar>
            <w:vAlign w:val="center"/>
          </w:tcPr>
          <w:p w14:paraId="5873FAC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46867E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6465F66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9" w:type="dxa"/>
            <w:tcBorders>
              <w:top w:val="nil"/>
              <w:left w:val="nil"/>
              <w:bottom w:val="nil"/>
              <w:right w:val="nil"/>
              <w:tl2br w:val="nil"/>
              <w:tr2bl w:val="nil"/>
            </w:tcBorders>
            <w:tcMar>
              <w:left w:w="60" w:type="dxa"/>
              <w:right w:w="60" w:type="dxa"/>
            </w:tcMar>
            <w:vAlign w:val="center"/>
          </w:tcPr>
          <w:p w14:paraId="36ABD61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794215E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74F83C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407E63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4BBDC3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49EEF2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EE1A81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61FAB69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01FB773"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5FCAC9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9754ACE"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23C3C5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126" w:type="dxa"/>
            <w:tcBorders>
              <w:top w:val="nil"/>
              <w:left w:val="nil"/>
              <w:bottom w:val="nil"/>
              <w:right w:val="nil"/>
              <w:tl2br w:val="nil"/>
              <w:tr2bl w:val="nil"/>
            </w:tcBorders>
            <w:tcMar>
              <w:left w:w="60" w:type="dxa"/>
              <w:right w:w="60" w:type="dxa"/>
            </w:tcMar>
            <w:vAlign w:val="center"/>
          </w:tcPr>
          <w:p w14:paraId="286CA7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102" w:type="dxa"/>
            <w:tcBorders>
              <w:top w:val="nil"/>
              <w:left w:val="nil"/>
              <w:bottom w:val="nil"/>
              <w:right w:val="nil"/>
              <w:tl2br w:val="nil"/>
              <w:tr2bl w:val="nil"/>
            </w:tcBorders>
            <w:tcMar>
              <w:left w:w="60" w:type="dxa"/>
              <w:right w:w="60" w:type="dxa"/>
            </w:tcMar>
            <w:vAlign w:val="center"/>
          </w:tcPr>
          <w:p w14:paraId="6B5EB5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B6D25A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1549AC1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99" w:type="dxa"/>
            <w:tcBorders>
              <w:top w:val="nil"/>
              <w:left w:val="nil"/>
              <w:bottom w:val="nil"/>
              <w:right w:val="nil"/>
              <w:tl2br w:val="nil"/>
              <w:tr2bl w:val="nil"/>
            </w:tcBorders>
            <w:tcMar>
              <w:left w:w="60" w:type="dxa"/>
              <w:right w:w="60" w:type="dxa"/>
            </w:tcMar>
            <w:vAlign w:val="center"/>
          </w:tcPr>
          <w:p w14:paraId="465AD77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2608375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440A3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5ECA99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1D5FD0F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FDF48E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3FC84D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7981B59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740502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BCD71B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391845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0" w:type="dxa"/>
            <w:tcBorders>
              <w:top w:val="nil"/>
              <w:left w:val="nil"/>
              <w:bottom w:val="nil"/>
              <w:right w:val="nil"/>
              <w:tl2br w:val="nil"/>
              <w:tr2bl w:val="nil"/>
            </w:tcBorders>
            <w:tcMar>
              <w:left w:w="60" w:type="dxa"/>
              <w:right w:w="60" w:type="dxa"/>
            </w:tcMar>
            <w:vAlign w:val="center"/>
          </w:tcPr>
          <w:p w14:paraId="308F625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191</w:t>
            </w:r>
          </w:p>
        </w:tc>
        <w:tc>
          <w:tcPr>
            <w:tcW w:w="126" w:type="dxa"/>
            <w:tcBorders>
              <w:top w:val="nil"/>
              <w:left w:val="nil"/>
              <w:bottom w:val="nil"/>
              <w:right w:val="nil"/>
              <w:tl2br w:val="nil"/>
              <w:tr2bl w:val="nil"/>
            </w:tcBorders>
            <w:tcMar>
              <w:left w:w="60" w:type="dxa"/>
              <w:right w:w="60" w:type="dxa"/>
            </w:tcMar>
            <w:vAlign w:val="center"/>
          </w:tcPr>
          <w:p w14:paraId="07BD526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186</w:t>
            </w:r>
          </w:p>
        </w:tc>
        <w:tc>
          <w:tcPr>
            <w:tcW w:w="102" w:type="dxa"/>
            <w:tcBorders>
              <w:top w:val="nil"/>
              <w:left w:val="nil"/>
              <w:bottom w:val="nil"/>
              <w:right w:val="nil"/>
              <w:tl2br w:val="nil"/>
              <w:tr2bl w:val="nil"/>
            </w:tcBorders>
            <w:tcMar>
              <w:left w:w="60" w:type="dxa"/>
              <w:right w:w="60" w:type="dxa"/>
            </w:tcMar>
            <w:vAlign w:val="center"/>
          </w:tcPr>
          <w:p w14:paraId="050EA0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1D31C2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25" w:type="dxa"/>
            <w:tcBorders>
              <w:top w:val="nil"/>
              <w:left w:val="nil"/>
              <w:bottom w:val="nil"/>
              <w:right w:val="nil"/>
              <w:tl2br w:val="nil"/>
              <w:tr2bl w:val="nil"/>
            </w:tcBorders>
            <w:tcMar>
              <w:left w:w="60" w:type="dxa"/>
              <w:right w:w="60" w:type="dxa"/>
            </w:tcMar>
            <w:vAlign w:val="center"/>
          </w:tcPr>
          <w:p w14:paraId="19051F1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190</w:t>
            </w:r>
          </w:p>
        </w:tc>
        <w:tc>
          <w:tcPr>
            <w:tcW w:w="99" w:type="dxa"/>
            <w:tcBorders>
              <w:top w:val="nil"/>
              <w:left w:val="nil"/>
              <w:bottom w:val="nil"/>
              <w:right w:val="nil"/>
              <w:tl2br w:val="nil"/>
              <w:tr2bl w:val="nil"/>
            </w:tcBorders>
            <w:tcMar>
              <w:left w:w="60" w:type="dxa"/>
              <w:right w:w="60" w:type="dxa"/>
            </w:tcMar>
            <w:vAlign w:val="center"/>
          </w:tcPr>
          <w:p w14:paraId="7486857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67BA93A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BBF1F5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6E225D3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375EF6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12B044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7A4FC3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11394CC"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6FB1AE7"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0950575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6A3376A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2: Cohesion, Resilience and Values</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535BBA8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80 804</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010FF9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76 865</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5CED2EB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1226E9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2 019</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79D499B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78 884</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6C1ABD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98 %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58E5C42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01A3CDF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776</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04221C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776</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2B993BF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1 113</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309D48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1D0290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067D10D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1 144</w:t>
            </w:r>
          </w:p>
        </w:tc>
      </w:tr>
      <w:tr w:rsidR="00807FFE" w14:paraId="3A2042AE"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A43BA23" w14:textId="77777777" w:rsidR="00807FFE" w:rsidRDefault="00807FFE">
            <w:pPr>
              <w:pStyle w:val="DMETW36742BIPDetailedMFF2ImplementCommitments"/>
              <w:rPr>
                <w:rFonts w:ascii="Verdana" w:eastAsia="Verdana" w:hAnsi="Verdana" w:cs="Verdana"/>
                <w:i/>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348CB56" w14:textId="77777777" w:rsidR="00807FFE" w:rsidRDefault="00807FFE">
            <w:pPr>
              <w:pStyle w:val="DMETW36742BIPDetailedMFF2ImplementCommitments"/>
              <w:rPr>
                <w:rFonts w:ascii="Verdana" w:eastAsia="Verdana" w:hAnsi="Verdana" w:cs="Verdana"/>
                <w:i/>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5AAD72B7" w14:textId="77777777" w:rsidR="00807FFE" w:rsidRDefault="00807FFE">
            <w:pPr>
              <w:pStyle w:val="DMETW36742BIPDetailedMFF2ImplementCommitments"/>
              <w:rPr>
                <w:rFonts w:ascii="Verdana" w:eastAsia="Verdana" w:hAnsi="Verdana" w:cs="Verdana"/>
                <w:i/>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4B16B377" w14:textId="77777777" w:rsidR="00807FFE" w:rsidRDefault="00807FFE">
            <w:pPr>
              <w:pStyle w:val="DMETW36742BIPDetailedMFF2ImplementCommitments"/>
              <w:rPr>
                <w:rFonts w:ascii="Verdana" w:eastAsia="Verdana" w:hAnsi="Verdana" w:cs="Verdana"/>
                <w:i/>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40EFC608" w14:textId="77777777" w:rsidR="00807FFE" w:rsidRDefault="00807FFE">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498CE6AA" w14:textId="77777777" w:rsidR="00807FFE" w:rsidRDefault="00807FFE">
            <w:pPr>
              <w:pStyle w:val="DMETW36742BIPDetailedMFF2ImplementCommitments"/>
              <w:rPr>
                <w:rFonts w:ascii="Verdana" w:eastAsia="Verdana" w:hAnsi="Verdana" w:cs="Verdana"/>
                <w:i/>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3D79E5B8" w14:textId="77777777" w:rsidR="00807FFE" w:rsidRDefault="00807FFE">
            <w:pPr>
              <w:pStyle w:val="DMETW36742BIPDetailedMFF2ImplementCommitments"/>
              <w:rPr>
                <w:rFonts w:ascii="Verdana" w:eastAsia="Verdana" w:hAnsi="Verdana" w:cs="Verdana"/>
                <w:i/>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086E9525" w14:textId="77777777" w:rsidR="00807FFE" w:rsidRDefault="00807FFE">
            <w:pPr>
              <w:pStyle w:val="DMETW36742BIPDetailedMFF2ImplementCommitments"/>
              <w:rPr>
                <w:rFonts w:ascii="Verdana" w:eastAsia="Verdana" w:hAnsi="Verdana" w:cs="Verdana"/>
                <w:i/>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155C62FE" w14:textId="77777777" w:rsidR="00807FFE" w:rsidRDefault="00807FFE">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144E66BE" w14:textId="77777777" w:rsidR="00807FFE" w:rsidRDefault="00807FFE">
            <w:pPr>
              <w:pStyle w:val="DMETW36742BIPDetailedMFF2ImplementCommitments"/>
              <w:rPr>
                <w:rFonts w:ascii="Verdana" w:eastAsia="Verdana" w:hAnsi="Verdana" w:cs="Verdana"/>
                <w:i/>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1EC850E8" w14:textId="77777777" w:rsidR="00807FFE" w:rsidRDefault="00807FFE">
            <w:pPr>
              <w:pStyle w:val="DMETW36742BIPDetailedMFF2ImplementCommitments"/>
              <w:rPr>
                <w:rFonts w:ascii="Verdana" w:eastAsia="Verdana" w:hAnsi="Verdana" w:cs="Verdana"/>
                <w:i/>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05D48B82" w14:textId="77777777" w:rsidR="00807FFE" w:rsidRDefault="00807FFE">
            <w:pPr>
              <w:pStyle w:val="DMETW36742BIPDetailedMFF2ImplementCommitments"/>
              <w:rPr>
                <w:rFonts w:ascii="Verdana" w:eastAsia="Verdana" w:hAnsi="Verdana" w:cs="Verdana"/>
                <w:i/>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45F8A8AF" w14:textId="77777777" w:rsidR="00807FFE" w:rsidRDefault="00807FFE">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6F6C0CBA" w14:textId="77777777" w:rsidR="00807FFE" w:rsidRDefault="00807FFE">
            <w:pPr>
              <w:pStyle w:val="DMETW36742BIPDetailedMFF2ImplementCommitments"/>
              <w:rPr>
                <w:rFonts w:ascii="Verdana" w:eastAsia="Verdana" w:hAnsi="Verdana" w:cs="Verdana"/>
                <w:i/>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1F311C88" w14:textId="77777777" w:rsidR="00807FFE" w:rsidRDefault="00807FFE">
            <w:pPr>
              <w:pStyle w:val="DMETW36742BIPDetailedMFF2ImplementCommitments"/>
              <w:rPr>
                <w:rFonts w:ascii="Verdana" w:eastAsia="Verdana" w:hAnsi="Verdana" w:cs="Verdana"/>
                <w:i/>
                <w:noProof/>
                <w:color w:val="000000"/>
                <w:sz w:val="16"/>
                <w:lang w:bidi="en-GB"/>
              </w:rPr>
            </w:pPr>
          </w:p>
        </w:tc>
      </w:tr>
      <w:tr w:rsidR="00807FFE" w14:paraId="0314AF6D"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2AAECA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3</w:t>
            </w:r>
          </w:p>
        </w:tc>
        <w:tc>
          <w:tcPr>
            <w:tcW w:w="479" w:type="dxa"/>
            <w:tcBorders>
              <w:top w:val="nil"/>
              <w:left w:val="nil"/>
              <w:bottom w:val="nil"/>
              <w:right w:val="nil"/>
              <w:tl2br w:val="nil"/>
              <w:tr2bl w:val="nil"/>
            </w:tcBorders>
            <w:tcMar>
              <w:left w:w="60" w:type="dxa"/>
              <w:right w:w="60" w:type="dxa"/>
            </w:tcMar>
            <w:vAlign w:val="center"/>
          </w:tcPr>
          <w:p w14:paraId="724645B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Agricultural Guarantee Fund (EAGF)</w:t>
            </w:r>
          </w:p>
        </w:tc>
        <w:tc>
          <w:tcPr>
            <w:tcW w:w="960" w:type="dxa"/>
            <w:tcBorders>
              <w:top w:val="nil"/>
              <w:left w:val="nil"/>
              <w:bottom w:val="nil"/>
              <w:right w:val="nil"/>
              <w:tl2br w:val="nil"/>
              <w:tr2bl w:val="nil"/>
            </w:tcBorders>
            <w:tcMar>
              <w:left w:w="60" w:type="dxa"/>
              <w:right w:w="60" w:type="dxa"/>
            </w:tcMar>
            <w:vAlign w:val="center"/>
          </w:tcPr>
          <w:p w14:paraId="0CEC94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41 338</w:t>
            </w:r>
          </w:p>
        </w:tc>
        <w:tc>
          <w:tcPr>
            <w:tcW w:w="126" w:type="dxa"/>
            <w:tcBorders>
              <w:top w:val="nil"/>
              <w:left w:val="nil"/>
              <w:bottom w:val="nil"/>
              <w:right w:val="nil"/>
              <w:tl2br w:val="nil"/>
              <w:tr2bl w:val="nil"/>
            </w:tcBorders>
            <w:tcMar>
              <w:left w:w="60" w:type="dxa"/>
              <w:right w:w="60" w:type="dxa"/>
            </w:tcMar>
            <w:vAlign w:val="center"/>
          </w:tcPr>
          <w:p w14:paraId="6B187D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39 759</w:t>
            </w:r>
          </w:p>
        </w:tc>
        <w:tc>
          <w:tcPr>
            <w:tcW w:w="102" w:type="dxa"/>
            <w:tcBorders>
              <w:top w:val="nil"/>
              <w:left w:val="nil"/>
              <w:bottom w:val="nil"/>
              <w:right w:val="nil"/>
              <w:tl2br w:val="nil"/>
              <w:tr2bl w:val="nil"/>
            </w:tcBorders>
            <w:tcMar>
              <w:left w:w="60" w:type="dxa"/>
              <w:right w:w="60" w:type="dxa"/>
            </w:tcMar>
            <w:vAlign w:val="center"/>
          </w:tcPr>
          <w:p w14:paraId="25859C2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112" w:type="dxa"/>
            <w:tcBorders>
              <w:top w:val="nil"/>
              <w:left w:val="nil"/>
              <w:bottom w:val="nil"/>
              <w:right w:val="nil"/>
              <w:tl2br w:val="nil"/>
              <w:tr2bl w:val="nil"/>
            </w:tcBorders>
            <w:tcMar>
              <w:left w:w="60" w:type="dxa"/>
              <w:right w:w="60" w:type="dxa"/>
            </w:tcMar>
            <w:vAlign w:val="center"/>
          </w:tcPr>
          <w:p w14:paraId="11C4688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925</w:t>
            </w:r>
          </w:p>
        </w:tc>
        <w:tc>
          <w:tcPr>
            <w:tcW w:w="125" w:type="dxa"/>
            <w:tcBorders>
              <w:top w:val="nil"/>
              <w:left w:val="nil"/>
              <w:bottom w:val="nil"/>
              <w:right w:val="nil"/>
              <w:tl2br w:val="nil"/>
              <w:tr2bl w:val="nil"/>
            </w:tcBorders>
            <w:tcMar>
              <w:left w:w="60" w:type="dxa"/>
              <w:right w:w="60" w:type="dxa"/>
            </w:tcMar>
            <w:vAlign w:val="center"/>
          </w:tcPr>
          <w:p w14:paraId="36E9B24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40 875</w:t>
            </w:r>
          </w:p>
        </w:tc>
        <w:tc>
          <w:tcPr>
            <w:tcW w:w="99" w:type="dxa"/>
            <w:tcBorders>
              <w:top w:val="nil"/>
              <w:left w:val="nil"/>
              <w:bottom w:val="nil"/>
              <w:right w:val="nil"/>
              <w:tl2br w:val="nil"/>
              <w:tr2bl w:val="nil"/>
            </w:tcBorders>
            <w:tcMar>
              <w:left w:w="60" w:type="dxa"/>
              <w:right w:w="60" w:type="dxa"/>
            </w:tcMar>
            <w:vAlign w:val="center"/>
          </w:tcPr>
          <w:p w14:paraId="3E69BF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79D67E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391</w:t>
            </w:r>
          </w:p>
        </w:tc>
        <w:tc>
          <w:tcPr>
            <w:tcW w:w="112" w:type="dxa"/>
            <w:tcBorders>
              <w:top w:val="nil"/>
              <w:left w:val="nil"/>
              <w:bottom w:val="nil"/>
              <w:right w:val="nil"/>
              <w:tl2br w:val="nil"/>
              <w:tr2bl w:val="nil"/>
            </w:tcBorders>
            <w:tcMar>
              <w:left w:w="60" w:type="dxa"/>
              <w:right w:w="60" w:type="dxa"/>
            </w:tcMar>
            <w:vAlign w:val="center"/>
          </w:tcPr>
          <w:p w14:paraId="34ADA3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106" w:type="dxa"/>
            <w:tcBorders>
              <w:top w:val="nil"/>
              <w:left w:val="nil"/>
              <w:bottom w:val="nil"/>
              <w:right w:val="nil"/>
              <w:tl2br w:val="nil"/>
              <w:tr2bl w:val="nil"/>
            </w:tcBorders>
            <w:tcMar>
              <w:left w:w="60" w:type="dxa"/>
              <w:right w:w="60" w:type="dxa"/>
            </w:tcMar>
            <w:vAlign w:val="center"/>
          </w:tcPr>
          <w:p w14:paraId="04790B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462</w:t>
            </w:r>
          </w:p>
        </w:tc>
        <w:tc>
          <w:tcPr>
            <w:tcW w:w="92" w:type="dxa"/>
            <w:tcBorders>
              <w:top w:val="nil"/>
              <w:left w:val="nil"/>
              <w:bottom w:val="nil"/>
              <w:right w:val="nil"/>
              <w:tl2br w:val="nil"/>
              <w:tr2bl w:val="nil"/>
            </w:tcBorders>
            <w:tcMar>
              <w:left w:w="60" w:type="dxa"/>
              <w:right w:w="60" w:type="dxa"/>
            </w:tcMar>
            <w:vAlign w:val="center"/>
          </w:tcPr>
          <w:p w14:paraId="32C7CBF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35E77CB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CA78F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33C159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64CB5D7"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B9AA836"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73401A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Agricultural Fund for Rural Development (EAFRD)</w:t>
            </w:r>
          </w:p>
        </w:tc>
        <w:tc>
          <w:tcPr>
            <w:tcW w:w="960" w:type="dxa"/>
            <w:tcBorders>
              <w:top w:val="nil"/>
              <w:left w:val="nil"/>
              <w:bottom w:val="nil"/>
              <w:right w:val="nil"/>
              <w:tl2br w:val="nil"/>
              <w:tr2bl w:val="nil"/>
            </w:tcBorders>
            <w:tcMar>
              <w:left w:w="60" w:type="dxa"/>
              <w:right w:w="60" w:type="dxa"/>
            </w:tcMar>
            <w:vAlign w:val="center"/>
          </w:tcPr>
          <w:p w14:paraId="712F38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13 569</w:t>
            </w:r>
          </w:p>
        </w:tc>
        <w:tc>
          <w:tcPr>
            <w:tcW w:w="126" w:type="dxa"/>
            <w:tcBorders>
              <w:top w:val="nil"/>
              <w:left w:val="nil"/>
              <w:bottom w:val="nil"/>
              <w:right w:val="nil"/>
              <w:tl2br w:val="nil"/>
              <w:tr2bl w:val="nil"/>
            </w:tcBorders>
            <w:tcMar>
              <w:left w:w="60" w:type="dxa"/>
              <w:right w:w="60" w:type="dxa"/>
            </w:tcMar>
            <w:vAlign w:val="center"/>
          </w:tcPr>
          <w:p w14:paraId="3B87591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13 226</w:t>
            </w:r>
          </w:p>
        </w:tc>
        <w:tc>
          <w:tcPr>
            <w:tcW w:w="102" w:type="dxa"/>
            <w:tcBorders>
              <w:top w:val="nil"/>
              <w:left w:val="nil"/>
              <w:bottom w:val="nil"/>
              <w:right w:val="nil"/>
              <w:tl2br w:val="nil"/>
              <w:tr2bl w:val="nil"/>
            </w:tcBorders>
            <w:tcMar>
              <w:left w:w="60" w:type="dxa"/>
              <w:right w:w="60" w:type="dxa"/>
            </w:tcMar>
            <w:vAlign w:val="center"/>
          </w:tcPr>
          <w:p w14:paraId="5272A57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343CB9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2AE4FF4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13 227</w:t>
            </w:r>
          </w:p>
        </w:tc>
        <w:tc>
          <w:tcPr>
            <w:tcW w:w="99" w:type="dxa"/>
            <w:tcBorders>
              <w:top w:val="nil"/>
              <w:left w:val="nil"/>
              <w:bottom w:val="nil"/>
              <w:right w:val="nil"/>
              <w:tl2br w:val="nil"/>
              <w:tr2bl w:val="nil"/>
            </w:tcBorders>
            <w:tcMar>
              <w:left w:w="60" w:type="dxa"/>
              <w:right w:w="60" w:type="dxa"/>
            </w:tcMar>
            <w:vAlign w:val="center"/>
          </w:tcPr>
          <w:p w14:paraId="2E22D1F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14:paraId="08DEA66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0A2D9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170</w:t>
            </w:r>
          </w:p>
        </w:tc>
        <w:tc>
          <w:tcPr>
            <w:tcW w:w="106" w:type="dxa"/>
            <w:tcBorders>
              <w:top w:val="nil"/>
              <w:left w:val="nil"/>
              <w:bottom w:val="nil"/>
              <w:right w:val="nil"/>
              <w:tl2br w:val="nil"/>
              <w:tr2bl w:val="nil"/>
            </w:tcBorders>
            <w:tcMar>
              <w:left w:w="60" w:type="dxa"/>
              <w:right w:w="60" w:type="dxa"/>
            </w:tcMar>
            <w:vAlign w:val="center"/>
          </w:tcPr>
          <w:p w14:paraId="6275FEB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170</w:t>
            </w:r>
          </w:p>
        </w:tc>
        <w:tc>
          <w:tcPr>
            <w:tcW w:w="92" w:type="dxa"/>
            <w:tcBorders>
              <w:top w:val="nil"/>
              <w:left w:val="nil"/>
              <w:bottom w:val="nil"/>
              <w:right w:val="nil"/>
              <w:tl2br w:val="nil"/>
              <w:tr2bl w:val="nil"/>
            </w:tcBorders>
            <w:tcMar>
              <w:left w:w="60" w:type="dxa"/>
              <w:right w:w="60" w:type="dxa"/>
            </w:tcMar>
            <w:vAlign w:val="center"/>
          </w:tcPr>
          <w:p w14:paraId="63B973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C8BC28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78B285A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172</w:t>
            </w:r>
          </w:p>
        </w:tc>
        <w:tc>
          <w:tcPr>
            <w:tcW w:w="181" w:type="dxa"/>
            <w:tcBorders>
              <w:top w:val="nil"/>
              <w:left w:val="nil"/>
              <w:bottom w:val="nil"/>
              <w:right w:val="nil"/>
              <w:tl2br w:val="nil"/>
              <w:tr2bl w:val="nil"/>
            </w:tcBorders>
            <w:tcMar>
              <w:left w:w="60" w:type="dxa"/>
              <w:right w:w="60" w:type="dxa"/>
            </w:tcMar>
            <w:vAlign w:val="center"/>
          </w:tcPr>
          <w:p w14:paraId="73BEB5A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172</w:t>
            </w:r>
          </w:p>
        </w:tc>
      </w:tr>
      <w:tr w:rsidR="00807FFE" w14:paraId="1720B18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7E8ED0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DD9B2A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Maritime, Fisheries and Aquaculture Fund (EMFAF)</w:t>
            </w:r>
          </w:p>
        </w:tc>
        <w:tc>
          <w:tcPr>
            <w:tcW w:w="960" w:type="dxa"/>
            <w:tcBorders>
              <w:top w:val="nil"/>
              <w:left w:val="nil"/>
              <w:bottom w:val="nil"/>
              <w:right w:val="nil"/>
              <w:tl2br w:val="nil"/>
              <w:tr2bl w:val="nil"/>
            </w:tcBorders>
            <w:tcMar>
              <w:left w:w="60" w:type="dxa"/>
              <w:right w:w="60" w:type="dxa"/>
            </w:tcMar>
            <w:vAlign w:val="center"/>
          </w:tcPr>
          <w:p w14:paraId="63A7A8C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969</w:t>
            </w:r>
          </w:p>
        </w:tc>
        <w:tc>
          <w:tcPr>
            <w:tcW w:w="126" w:type="dxa"/>
            <w:tcBorders>
              <w:top w:val="nil"/>
              <w:left w:val="nil"/>
              <w:bottom w:val="nil"/>
              <w:right w:val="nil"/>
              <w:tl2br w:val="nil"/>
              <w:tr2bl w:val="nil"/>
            </w:tcBorders>
            <w:tcMar>
              <w:left w:w="60" w:type="dxa"/>
              <w:right w:w="60" w:type="dxa"/>
            </w:tcMar>
            <w:vAlign w:val="center"/>
          </w:tcPr>
          <w:p w14:paraId="3202BAA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946</w:t>
            </w:r>
          </w:p>
        </w:tc>
        <w:tc>
          <w:tcPr>
            <w:tcW w:w="102" w:type="dxa"/>
            <w:tcBorders>
              <w:top w:val="nil"/>
              <w:left w:val="nil"/>
              <w:bottom w:val="nil"/>
              <w:right w:val="nil"/>
              <w:tl2br w:val="nil"/>
              <w:tr2bl w:val="nil"/>
            </w:tcBorders>
            <w:tcMar>
              <w:left w:w="60" w:type="dxa"/>
              <w:right w:w="60" w:type="dxa"/>
            </w:tcMar>
            <w:vAlign w:val="center"/>
          </w:tcPr>
          <w:p w14:paraId="2DBF62C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23D120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1BEA91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946</w:t>
            </w:r>
          </w:p>
        </w:tc>
        <w:tc>
          <w:tcPr>
            <w:tcW w:w="99" w:type="dxa"/>
            <w:tcBorders>
              <w:top w:val="nil"/>
              <w:left w:val="nil"/>
              <w:bottom w:val="nil"/>
              <w:right w:val="nil"/>
              <w:tl2br w:val="nil"/>
              <w:tr2bl w:val="nil"/>
            </w:tcBorders>
            <w:tcMar>
              <w:left w:w="60" w:type="dxa"/>
              <w:right w:w="60" w:type="dxa"/>
            </w:tcMar>
            <w:vAlign w:val="center"/>
          </w:tcPr>
          <w:p w14:paraId="10EC3D9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52026D5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2298D0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4F13368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2F1ED63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D0CF6A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55EB25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81" w:type="dxa"/>
            <w:tcBorders>
              <w:top w:val="nil"/>
              <w:left w:val="nil"/>
              <w:bottom w:val="nil"/>
              <w:right w:val="nil"/>
              <w:tl2br w:val="nil"/>
              <w:tr2bl w:val="nil"/>
            </w:tcBorders>
            <w:tcMar>
              <w:left w:w="60" w:type="dxa"/>
              <w:right w:w="60" w:type="dxa"/>
            </w:tcMar>
            <w:vAlign w:val="center"/>
          </w:tcPr>
          <w:p w14:paraId="1CEBA4D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23</w:t>
            </w:r>
          </w:p>
        </w:tc>
      </w:tr>
      <w:tr w:rsidR="00807FFE" w14:paraId="1A8643B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C46D8C3"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4F6997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Sustainable Fisheries Partnership Agreements (SFPA) and Regional Fisheries Management Organisations (RFMO)</w:t>
            </w:r>
          </w:p>
        </w:tc>
        <w:tc>
          <w:tcPr>
            <w:tcW w:w="960" w:type="dxa"/>
            <w:tcBorders>
              <w:top w:val="nil"/>
              <w:left w:val="nil"/>
              <w:bottom w:val="nil"/>
              <w:right w:val="nil"/>
              <w:tl2br w:val="nil"/>
              <w:tr2bl w:val="nil"/>
            </w:tcBorders>
            <w:tcMar>
              <w:left w:w="60" w:type="dxa"/>
              <w:right w:w="60" w:type="dxa"/>
            </w:tcMar>
            <w:vAlign w:val="center"/>
          </w:tcPr>
          <w:p w14:paraId="23694D6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117</w:t>
            </w:r>
          </w:p>
        </w:tc>
        <w:tc>
          <w:tcPr>
            <w:tcW w:w="126" w:type="dxa"/>
            <w:tcBorders>
              <w:top w:val="nil"/>
              <w:left w:val="nil"/>
              <w:bottom w:val="nil"/>
              <w:right w:val="nil"/>
              <w:tl2br w:val="nil"/>
              <w:tr2bl w:val="nil"/>
            </w:tcBorders>
            <w:tcMar>
              <w:left w:w="60" w:type="dxa"/>
              <w:right w:w="60" w:type="dxa"/>
            </w:tcMar>
            <w:vAlign w:val="center"/>
          </w:tcPr>
          <w:p w14:paraId="19CB61F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117</w:t>
            </w:r>
          </w:p>
        </w:tc>
        <w:tc>
          <w:tcPr>
            <w:tcW w:w="102" w:type="dxa"/>
            <w:tcBorders>
              <w:top w:val="nil"/>
              <w:left w:val="nil"/>
              <w:bottom w:val="nil"/>
              <w:right w:val="nil"/>
              <w:tl2br w:val="nil"/>
              <w:tr2bl w:val="nil"/>
            </w:tcBorders>
            <w:tcMar>
              <w:left w:w="60" w:type="dxa"/>
              <w:right w:w="60" w:type="dxa"/>
            </w:tcMar>
            <w:vAlign w:val="center"/>
          </w:tcPr>
          <w:p w14:paraId="2A7998F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5ED447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4A679C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117</w:t>
            </w:r>
          </w:p>
        </w:tc>
        <w:tc>
          <w:tcPr>
            <w:tcW w:w="99" w:type="dxa"/>
            <w:tcBorders>
              <w:top w:val="nil"/>
              <w:left w:val="nil"/>
              <w:bottom w:val="nil"/>
              <w:right w:val="nil"/>
              <w:tl2br w:val="nil"/>
              <w:tr2bl w:val="nil"/>
            </w:tcBorders>
            <w:tcMar>
              <w:left w:w="60" w:type="dxa"/>
              <w:right w:w="60" w:type="dxa"/>
            </w:tcMar>
            <w:vAlign w:val="center"/>
          </w:tcPr>
          <w:p w14:paraId="03F1D1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6F0551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A15A20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6AF5B54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6F38D46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239BC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BF3EF5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830FDD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0AEF98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BE1C3CA"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F20E837"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7C79328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126" w:type="dxa"/>
            <w:tcBorders>
              <w:top w:val="nil"/>
              <w:left w:val="nil"/>
              <w:bottom w:val="nil"/>
              <w:right w:val="nil"/>
              <w:tl2br w:val="nil"/>
              <w:tr2bl w:val="nil"/>
            </w:tcBorders>
            <w:tcMar>
              <w:left w:w="60" w:type="dxa"/>
              <w:right w:w="60" w:type="dxa"/>
            </w:tcMar>
            <w:vAlign w:val="center"/>
          </w:tcPr>
          <w:p w14:paraId="50959B1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102" w:type="dxa"/>
            <w:tcBorders>
              <w:top w:val="nil"/>
              <w:left w:val="nil"/>
              <w:bottom w:val="nil"/>
              <w:right w:val="nil"/>
              <w:tl2br w:val="nil"/>
              <w:tr2bl w:val="nil"/>
            </w:tcBorders>
            <w:tcMar>
              <w:left w:w="60" w:type="dxa"/>
              <w:right w:w="60" w:type="dxa"/>
            </w:tcMar>
            <w:vAlign w:val="center"/>
          </w:tcPr>
          <w:p w14:paraId="166AFC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176AF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6149B80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99" w:type="dxa"/>
            <w:tcBorders>
              <w:top w:val="nil"/>
              <w:left w:val="nil"/>
              <w:bottom w:val="nil"/>
              <w:right w:val="nil"/>
              <w:tl2br w:val="nil"/>
              <w:tr2bl w:val="nil"/>
            </w:tcBorders>
            <w:tcMar>
              <w:left w:w="60" w:type="dxa"/>
              <w:right w:w="60" w:type="dxa"/>
            </w:tcMar>
            <w:vAlign w:val="center"/>
          </w:tcPr>
          <w:p w14:paraId="6426A7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39EE553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7475FE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583689E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3F55B8E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6A3B9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21DE00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F281B6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A3406B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3A6BC9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E9D572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25244C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6" w:type="dxa"/>
            <w:tcBorders>
              <w:top w:val="nil"/>
              <w:left w:val="nil"/>
              <w:bottom w:val="nil"/>
              <w:right w:val="nil"/>
              <w:tl2br w:val="nil"/>
              <w:tr2bl w:val="nil"/>
            </w:tcBorders>
            <w:tcMar>
              <w:left w:w="60" w:type="dxa"/>
              <w:right w:w="60" w:type="dxa"/>
            </w:tcMar>
            <w:vAlign w:val="center"/>
          </w:tcPr>
          <w:p w14:paraId="7CA7118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2" w:type="dxa"/>
            <w:tcBorders>
              <w:top w:val="nil"/>
              <w:left w:val="nil"/>
              <w:bottom w:val="nil"/>
              <w:right w:val="nil"/>
              <w:tl2br w:val="nil"/>
              <w:tr2bl w:val="nil"/>
            </w:tcBorders>
            <w:tcMar>
              <w:left w:w="60" w:type="dxa"/>
              <w:right w:w="60" w:type="dxa"/>
            </w:tcMar>
            <w:vAlign w:val="center"/>
          </w:tcPr>
          <w:p w14:paraId="30578F0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A16E17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4AD4C84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9" w:type="dxa"/>
            <w:tcBorders>
              <w:top w:val="nil"/>
              <w:left w:val="nil"/>
              <w:bottom w:val="nil"/>
              <w:right w:val="nil"/>
              <w:tl2br w:val="nil"/>
              <w:tr2bl w:val="nil"/>
            </w:tcBorders>
            <w:tcMar>
              <w:left w:w="60" w:type="dxa"/>
              <w:right w:w="60" w:type="dxa"/>
            </w:tcMar>
            <w:vAlign w:val="center"/>
          </w:tcPr>
          <w:p w14:paraId="601541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2A6BE06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78D119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49E766A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4D58F37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688234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6171D3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1FC8ECE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F063A8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8F1B2C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B646D8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Programme for Environment and Climate Action (LIFE)</w:t>
            </w:r>
          </w:p>
        </w:tc>
        <w:tc>
          <w:tcPr>
            <w:tcW w:w="960" w:type="dxa"/>
            <w:tcBorders>
              <w:top w:val="nil"/>
              <w:left w:val="nil"/>
              <w:bottom w:val="nil"/>
              <w:right w:val="nil"/>
              <w:tl2br w:val="nil"/>
              <w:tr2bl w:val="nil"/>
            </w:tcBorders>
            <w:tcMar>
              <w:left w:w="60" w:type="dxa"/>
              <w:right w:w="60" w:type="dxa"/>
            </w:tcMar>
            <w:vAlign w:val="center"/>
          </w:tcPr>
          <w:p w14:paraId="46C9FF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791</w:t>
            </w:r>
          </w:p>
        </w:tc>
        <w:tc>
          <w:tcPr>
            <w:tcW w:w="126" w:type="dxa"/>
            <w:tcBorders>
              <w:top w:val="nil"/>
              <w:left w:val="nil"/>
              <w:bottom w:val="nil"/>
              <w:right w:val="nil"/>
              <w:tl2br w:val="nil"/>
              <w:tr2bl w:val="nil"/>
            </w:tcBorders>
            <w:tcMar>
              <w:left w:w="60" w:type="dxa"/>
              <w:right w:w="60" w:type="dxa"/>
            </w:tcMar>
            <w:vAlign w:val="center"/>
          </w:tcPr>
          <w:p w14:paraId="4E62557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782</w:t>
            </w:r>
          </w:p>
        </w:tc>
        <w:tc>
          <w:tcPr>
            <w:tcW w:w="102" w:type="dxa"/>
            <w:tcBorders>
              <w:top w:val="nil"/>
              <w:left w:val="nil"/>
              <w:bottom w:val="nil"/>
              <w:right w:val="nil"/>
              <w:tl2br w:val="nil"/>
              <w:tr2bl w:val="nil"/>
            </w:tcBorders>
            <w:tcMar>
              <w:left w:w="60" w:type="dxa"/>
              <w:right w:w="60" w:type="dxa"/>
            </w:tcMar>
            <w:vAlign w:val="center"/>
          </w:tcPr>
          <w:p w14:paraId="2D7539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52CC9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14:paraId="223E354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785</w:t>
            </w:r>
          </w:p>
        </w:tc>
        <w:tc>
          <w:tcPr>
            <w:tcW w:w="99" w:type="dxa"/>
            <w:tcBorders>
              <w:top w:val="nil"/>
              <w:left w:val="nil"/>
              <w:bottom w:val="nil"/>
              <w:right w:val="nil"/>
              <w:tl2br w:val="nil"/>
              <w:tr2bl w:val="nil"/>
            </w:tcBorders>
            <w:tcMar>
              <w:left w:w="60" w:type="dxa"/>
              <w:right w:w="60" w:type="dxa"/>
            </w:tcMar>
            <w:vAlign w:val="center"/>
          </w:tcPr>
          <w:p w14:paraId="478F41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5DDA7C3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1DBB0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14:paraId="0417C7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14:paraId="1F515E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FAAC7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25AAD4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25A1E62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5C5B48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CFF61B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C55B20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Just Transition Fund</w:t>
            </w:r>
          </w:p>
        </w:tc>
        <w:tc>
          <w:tcPr>
            <w:tcW w:w="960" w:type="dxa"/>
            <w:tcBorders>
              <w:top w:val="nil"/>
              <w:left w:val="nil"/>
              <w:bottom w:val="nil"/>
              <w:right w:val="nil"/>
              <w:tl2br w:val="nil"/>
              <w:tr2bl w:val="nil"/>
            </w:tcBorders>
            <w:tcMar>
              <w:left w:w="60" w:type="dxa"/>
              <w:right w:w="60" w:type="dxa"/>
            </w:tcMar>
            <w:vAlign w:val="center"/>
          </w:tcPr>
          <w:p w14:paraId="6E9BA7F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1 600</w:t>
            </w:r>
          </w:p>
        </w:tc>
        <w:tc>
          <w:tcPr>
            <w:tcW w:w="126" w:type="dxa"/>
            <w:tcBorders>
              <w:top w:val="nil"/>
              <w:left w:val="nil"/>
              <w:bottom w:val="nil"/>
              <w:right w:val="nil"/>
              <w:tl2br w:val="nil"/>
              <w:tr2bl w:val="nil"/>
            </w:tcBorders>
            <w:tcMar>
              <w:left w:w="60" w:type="dxa"/>
              <w:right w:w="60" w:type="dxa"/>
            </w:tcMar>
            <w:vAlign w:val="center"/>
          </w:tcPr>
          <w:p w14:paraId="6488488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1 503</w:t>
            </w:r>
          </w:p>
        </w:tc>
        <w:tc>
          <w:tcPr>
            <w:tcW w:w="102" w:type="dxa"/>
            <w:tcBorders>
              <w:top w:val="nil"/>
              <w:left w:val="nil"/>
              <w:bottom w:val="nil"/>
              <w:right w:val="nil"/>
              <w:tl2br w:val="nil"/>
              <w:tr2bl w:val="nil"/>
            </w:tcBorders>
            <w:tcMar>
              <w:left w:w="60" w:type="dxa"/>
              <w:right w:w="60" w:type="dxa"/>
            </w:tcMar>
            <w:vAlign w:val="center"/>
          </w:tcPr>
          <w:p w14:paraId="5B538F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FB32D4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07DC07D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1 504</w:t>
            </w:r>
          </w:p>
        </w:tc>
        <w:tc>
          <w:tcPr>
            <w:tcW w:w="99" w:type="dxa"/>
            <w:tcBorders>
              <w:top w:val="nil"/>
              <w:left w:val="nil"/>
              <w:bottom w:val="nil"/>
              <w:right w:val="nil"/>
              <w:tl2br w:val="nil"/>
              <w:tr2bl w:val="nil"/>
            </w:tcBorders>
            <w:tcMar>
              <w:left w:w="60" w:type="dxa"/>
              <w:right w:w="60" w:type="dxa"/>
            </w:tcMar>
            <w:vAlign w:val="center"/>
          </w:tcPr>
          <w:p w14:paraId="1F253B7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105" w:type="dxa"/>
            <w:tcBorders>
              <w:top w:val="nil"/>
              <w:left w:val="nil"/>
              <w:bottom w:val="nil"/>
              <w:right w:val="nil"/>
              <w:tl2br w:val="nil"/>
              <w:tr2bl w:val="nil"/>
            </w:tcBorders>
            <w:tcMar>
              <w:left w:w="60" w:type="dxa"/>
              <w:right w:w="60" w:type="dxa"/>
            </w:tcMar>
            <w:vAlign w:val="center"/>
          </w:tcPr>
          <w:p w14:paraId="726709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5F14D2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106" w:type="dxa"/>
            <w:tcBorders>
              <w:top w:val="nil"/>
              <w:left w:val="nil"/>
              <w:bottom w:val="nil"/>
              <w:right w:val="nil"/>
              <w:tl2br w:val="nil"/>
              <w:tr2bl w:val="nil"/>
            </w:tcBorders>
            <w:tcMar>
              <w:left w:w="60" w:type="dxa"/>
              <w:right w:w="60" w:type="dxa"/>
            </w:tcMar>
            <w:vAlign w:val="center"/>
          </w:tcPr>
          <w:p w14:paraId="4528C4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92" w:type="dxa"/>
            <w:tcBorders>
              <w:top w:val="nil"/>
              <w:left w:val="nil"/>
              <w:bottom w:val="nil"/>
              <w:right w:val="nil"/>
              <w:tl2br w:val="nil"/>
              <w:tr2bl w:val="nil"/>
            </w:tcBorders>
            <w:tcMar>
              <w:left w:w="60" w:type="dxa"/>
              <w:right w:w="60" w:type="dxa"/>
            </w:tcMar>
            <w:vAlign w:val="center"/>
          </w:tcPr>
          <w:p w14:paraId="48084B4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2" w:type="dxa"/>
            <w:tcBorders>
              <w:top w:val="nil"/>
              <w:left w:val="nil"/>
              <w:bottom w:val="nil"/>
              <w:right w:val="nil"/>
              <w:tl2br w:val="nil"/>
              <w:tr2bl w:val="nil"/>
            </w:tcBorders>
            <w:tcMar>
              <w:left w:w="60" w:type="dxa"/>
              <w:right w:w="60" w:type="dxa"/>
            </w:tcMar>
            <w:vAlign w:val="center"/>
          </w:tcPr>
          <w:p w14:paraId="013CD3A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58FDCD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B173E8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11</w:t>
            </w:r>
          </w:p>
        </w:tc>
      </w:tr>
      <w:tr w:rsidR="00807FFE" w14:paraId="468C66D7"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CAAFF6D"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715B96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Public sector loan facility under the Just Transition Mechanism (JTM)</w:t>
            </w:r>
          </w:p>
        </w:tc>
        <w:tc>
          <w:tcPr>
            <w:tcW w:w="960" w:type="dxa"/>
            <w:tcBorders>
              <w:top w:val="nil"/>
              <w:left w:val="nil"/>
              <w:bottom w:val="nil"/>
              <w:right w:val="nil"/>
              <w:tl2br w:val="nil"/>
              <w:tr2bl w:val="nil"/>
            </w:tcBorders>
            <w:tcMar>
              <w:left w:w="60" w:type="dxa"/>
              <w:right w:w="60" w:type="dxa"/>
            </w:tcMar>
            <w:vAlign w:val="center"/>
          </w:tcPr>
          <w:p w14:paraId="4776CF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428</w:t>
            </w:r>
          </w:p>
        </w:tc>
        <w:tc>
          <w:tcPr>
            <w:tcW w:w="126" w:type="dxa"/>
            <w:tcBorders>
              <w:top w:val="nil"/>
              <w:left w:val="nil"/>
              <w:bottom w:val="nil"/>
              <w:right w:val="nil"/>
              <w:tl2br w:val="nil"/>
              <w:tr2bl w:val="nil"/>
            </w:tcBorders>
            <w:tcMar>
              <w:left w:w="60" w:type="dxa"/>
              <w:right w:w="60" w:type="dxa"/>
            </w:tcMar>
            <w:vAlign w:val="center"/>
          </w:tcPr>
          <w:p w14:paraId="34054F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4AC134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0F72E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125" w:type="dxa"/>
            <w:tcBorders>
              <w:top w:val="nil"/>
              <w:left w:val="nil"/>
              <w:bottom w:val="nil"/>
              <w:right w:val="nil"/>
              <w:tl2br w:val="nil"/>
              <w:tr2bl w:val="nil"/>
            </w:tcBorders>
            <w:tcMar>
              <w:left w:w="60" w:type="dxa"/>
              <w:right w:w="60" w:type="dxa"/>
            </w:tcMar>
            <w:vAlign w:val="center"/>
          </w:tcPr>
          <w:p w14:paraId="55CEBBF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99" w:type="dxa"/>
            <w:tcBorders>
              <w:top w:val="nil"/>
              <w:left w:val="nil"/>
              <w:bottom w:val="nil"/>
              <w:right w:val="nil"/>
              <w:tl2br w:val="nil"/>
              <w:tr2bl w:val="nil"/>
            </w:tcBorders>
            <w:tcMar>
              <w:left w:w="60" w:type="dxa"/>
              <w:right w:w="60" w:type="dxa"/>
            </w:tcMar>
            <w:vAlign w:val="center"/>
          </w:tcPr>
          <w:p w14:paraId="770CE19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13 %</w:t>
            </w:r>
          </w:p>
        </w:tc>
        <w:tc>
          <w:tcPr>
            <w:tcW w:w="105" w:type="dxa"/>
            <w:tcBorders>
              <w:top w:val="nil"/>
              <w:left w:val="nil"/>
              <w:bottom w:val="nil"/>
              <w:right w:val="nil"/>
              <w:tl2br w:val="nil"/>
              <w:tr2bl w:val="nil"/>
            </w:tcBorders>
            <w:tcMar>
              <w:left w:w="60" w:type="dxa"/>
              <w:right w:w="60" w:type="dxa"/>
            </w:tcMar>
            <w:vAlign w:val="center"/>
          </w:tcPr>
          <w:p w14:paraId="4437644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C0ECC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372</w:t>
            </w:r>
          </w:p>
        </w:tc>
        <w:tc>
          <w:tcPr>
            <w:tcW w:w="106" w:type="dxa"/>
            <w:tcBorders>
              <w:top w:val="nil"/>
              <w:left w:val="nil"/>
              <w:bottom w:val="nil"/>
              <w:right w:val="nil"/>
              <w:tl2br w:val="nil"/>
              <w:tr2bl w:val="nil"/>
            </w:tcBorders>
            <w:tcMar>
              <w:left w:w="60" w:type="dxa"/>
              <w:right w:w="60" w:type="dxa"/>
            </w:tcMar>
            <w:vAlign w:val="center"/>
          </w:tcPr>
          <w:p w14:paraId="7EC98E5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372</w:t>
            </w:r>
          </w:p>
        </w:tc>
        <w:tc>
          <w:tcPr>
            <w:tcW w:w="92" w:type="dxa"/>
            <w:tcBorders>
              <w:top w:val="nil"/>
              <w:left w:val="nil"/>
              <w:bottom w:val="nil"/>
              <w:right w:val="nil"/>
              <w:tl2br w:val="nil"/>
              <w:tr2bl w:val="nil"/>
            </w:tcBorders>
            <w:tcMar>
              <w:left w:w="60" w:type="dxa"/>
              <w:right w:w="60" w:type="dxa"/>
            </w:tcMar>
            <w:vAlign w:val="center"/>
          </w:tcPr>
          <w:p w14:paraId="15659E8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767E96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14F4C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A3FA43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008C423"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352262B"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18EEDD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7347A0C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126" w:type="dxa"/>
            <w:tcBorders>
              <w:top w:val="nil"/>
              <w:left w:val="nil"/>
              <w:bottom w:val="nil"/>
              <w:right w:val="nil"/>
              <w:tl2br w:val="nil"/>
              <w:tr2bl w:val="nil"/>
            </w:tcBorders>
            <w:tcMar>
              <w:left w:w="60" w:type="dxa"/>
              <w:right w:w="60" w:type="dxa"/>
            </w:tcMar>
            <w:vAlign w:val="center"/>
          </w:tcPr>
          <w:p w14:paraId="1DF0EC2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102" w:type="dxa"/>
            <w:tcBorders>
              <w:top w:val="nil"/>
              <w:left w:val="nil"/>
              <w:bottom w:val="nil"/>
              <w:right w:val="nil"/>
              <w:tl2br w:val="nil"/>
              <w:tr2bl w:val="nil"/>
            </w:tcBorders>
            <w:tcMar>
              <w:left w:w="60" w:type="dxa"/>
              <w:right w:w="60" w:type="dxa"/>
            </w:tcMar>
            <w:vAlign w:val="center"/>
          </w:tcPr>
          <w:p w14:paraId="3EA094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17FD1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25" w:type="dxa"/>
            <w:tcBorders>
              <w:top w:val="nil"/>
              <w:left w:val="nil"/>
              <w:bottom w:val="nil"/>
              <w:right w:val="nil"/>
              <w:tl2br w:val="nil"/>
              <w:tr2bl w:val="nil"/>
            </w:tcBorders>
            <w:tcMar>
              <w:left w:w="60" w:type="dxa"/>
              <w:right w:w="60" w:type="dxa"/>
            </w:tcMar>
            <w:vAlign w:val="center"/>
          </w:tcPr>
          <w:p w14:paraId="0F877D9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99" w:type="dxa"/>
            <w:tcBorders>
              <w:top w:val="nil"/>
              <w:left w:val="nil"/>
              <w:bottom w:val="nil"/>
              <w:right w:val="nil"/>
              <w:tl2br w:val="nil"/>
              <w:tr2bl w:val="nil"/>
            </w:tcBorders>
            <w:tcMar>
              <w:left w:w="60" w:type="dxa"/>
              <w:right w:w="60" w:type="dxa"/>
            </w:tcMar>
            <w:vAlign w:val="center"/>
          </w:tcPr>
          <w:p w14:paraId="5BE9DB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3586643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FBF2C3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640FB6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49E311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27294A6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618FCC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37A56B0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A574F3D"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B595A9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DF43D1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5DD7D7E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26" w:type="dxa"/>
            <w:tcBorders>
              <w:top w:val="nil"/>
              <w:left w:val="nil"/>
              <w:bottom w:val="nil"/>
              <w:right w:val="nil"/>
              <w:tl2br w:val="nil"/>
              <w:tr2bl w:val="nil"/>
            </w:tcBorders>
            <w:tcMar>
              <w:left w:w="60" w:type="dxa"/>
              <w:right w:w="60" w:type="dxa"/>
            </w:tcMar>
            <w:vAlign w:val="center"/>
          </w:tcPr>
          <w:p w14:paraId="3C83404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2" w:type="dxa"/>
            <w:tcBorders>
              <w:top w:val="nil"/>
              <w:left w:val="nil"/>
              <w:bottom w:val="nil"/>
              <w:right w:val="nil"/>
              <w:tl2br w:val="nil"/>
              <w:tr2bl w:val="nil"/>
            </w:tcBorders>
            <w:tcMar>
              <w:left w:w="60" w:type="dxa"/>
              <w:right w:w="60" w:type="dxa"/>
            </w:tcMar>
            <w:vAlign w:val="center"/>
          </w:tcPr>
          <w:p w14:paraId="124642A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C76FB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BAD3E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9" w:type="dxa"/>
            <w:tcBorders>
              <w:top w:val="nil"/>
              <w:left w:val="nil"/>
              <w:bottom w:val="nil"/>
              <w:right w:val="nil"/>
              <w:tl2br w:val="nil"/>
              <w:tr2bl w:val="nil"/>
            </w:tcBorders>
            <w:tcMar>
              <w:left w:w="60" w:type="dxa"/>
              <w:right w:w="60" w:type="dxa"/>
            </w:tcMar>
            <w:vAlign w:val="center"/>
          </w:tcPr>
          <w:p w14:paraId="705697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450595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25842D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0F09C8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05706E4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4544490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7B26F3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360F9A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3582D7D5"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287DED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17D4F9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0" w:type="dxa"/>
            <w:tcBorders>
              <w:top w:val="nil"/>
              <w:left w:val="nil"/>
              <w:bottom w:val="nil"/>
              <w:right w:val="nil"/>
              <w:tl2br w:val="nil"/>
              <w:tr2bl w:val="nil"/>
            </w:tcBorders>
            <w:tcMar>
              <w:left w:w="60" w:type="dxa"/>
              <w:right w:w="60" w:type="dxa"/>
            </w:tcMar>
            <w:vAlign w:val="center"/>
          </w:tcPr>
          <w:p w14:paraId="2F638A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126" w:type="dxa"/>
            <w:tcBorders>
              <w:top w:val="nil"/>
              <w:left w:val="nil"/>
              <w:bottom w:val="nil"/>
              <w:right w:val="nil"/>
              <w:tl2br w:val="nil"/>
              <w:tr2bl w:val="nil"/>
            </w:tcBorders>
            <w:tcMar>
              <w:left w:w="60" w:type="dxa"/>
              <w:right w:w="60" w:type="dxa"/>
            </w:tcMar>
            <w:vAlign w:val="center"/>
          </w:tcPr>
          <w:p w14:paraId="18D1ED9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102" w:type="dxa"/>
            <w:tcBorders>
              <w:top w:val="nil"/>
              <w:left w:val="nil"/>
              <w:bottom w:val="nil"/>
              <w:right w:val="nil"/>
              <w:tl2br w:val="nil"/>
              <w:tr2bl w:val="nil"/>
            </w:tcBorders>
            <w:tcMar>
              <w:left w:w="60" w:type="dxa"/>
              <w:right w:w="60" w:type="dxa"/>
            </w:tcMar>
            <w:vAlign w:val="center"/>
          </w:tcPr>
          <w:p w14:paraId="489476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28098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1A6920E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99" w:type="dxa"/>
            <w:tcBorders>
              <w:top w:val="nil"/>
              <w:left w:val="nil"/>
              <w:bottom w:val="nil"/>
              <w:right w:val="nil"/>
              <w:tl2br w:val="nil"/>
              <w:tr2bl w:val="nil"/>
            </w:tcBorders>
            <w:tcMar>
              <w:left w:w="60" w:type="dxa"/>
              <w:right w:w="60" w:type="dxa"/>
            </w:tcMar>
            <w:vAlign w:val="center"/>
          </w:tcPr>
          <w:p w14:paraId="4E211DC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678071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59E622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6827D3E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5AF8E9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A2AA5B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124129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FEA95D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2811378"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779EDCD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248B3BD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3: Natural Resources and Environment</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0C8353D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58 961</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253423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56 472</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5C4072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2F7D36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995</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71977E2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57 658</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5BCEB75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98 %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245D62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391</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2DA7CB8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705</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1938AA5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1 096</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2DEB24A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30E996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0C3B93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648FFA4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206</w:t>
            </w:r>
          </w:p>
        </w:tc>
      </w:tr>
      <w:tr w:rsidR="00807FFE" w14:paraId="6493B7CE"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CD49360"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22686DE" w14:textId="77777777" w:rsidR="00807FFE" w:rsidRDefault="00807FFE">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4B10DDF2" w14:textId="77777777" w:rsidR="00807FFE" w:rsidRDefault="00807FFE">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611F6AF3" w14:textId="77777777" w:rsidR="00807FFE" w:rsidRDefault="00807FFE">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0D56C48C"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54BEE149" w14:textId="77777777" w:rsidR="00807FFE" w:rsidRDefault="00807FFE">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39D590BA" w14:textId="77777777" w:rsidR="00807FFE" w:rsidRDefault="00807FFE">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511DF5ED" w14:textId="77777777" w:rsidR="00807FFE" w:rsidRDefault="00807FFE">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05707472"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462FE9BE" w14:textId="77777777" w:rsidR="00807FFE" w:rsidRDefault="00807FFE">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3726FDEF" w14:textId="77777777" w:rsidR="00807FFE" w:rsidRDefault="00807FFE">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6DE8807B" w14:textId="77777777" w:rsidR="00807FFE" w:rsidRDefault="00807FFE">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0B95D38A"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0DE11B7E" w14:textId="77777777" w:rsidR="00807FFE" w:rsidRDefault="00807FFE">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0FE879C2" w14:textId="77777777" w:rsidR="00807FFE" w:rsidRDefault="00807FFE">
            <w:pPr>
              <w:pStyle w:val="DMETW36742BIPDetailedMFF2ImplementCommitments"/>
              <w:jc w:val="right"/>
              <w:rPr>
                <w:rFonts w:ascii="Verdana" w:eastAsia="Verdana" w:hAnsi="Verdana" w:cs="Verdana"/>
                <w:noProof/>
                <w:color w:val="000000"/>
                <w:sz w:val="16"/>
                <w:lang w:bidi="en-GB"/>
              </w:rPr>
            </w:pPr>
          </w:p>
        </w:tc>
      </w:tr>
      <w:tr w:rsidR="00807FFE" w14:paraId="387297D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1FF39BF"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4</w:t>
            </w:r>
          </w:p>
        </w:tc>
        <w:tc>
          <w:tcPr>
            <w:tcW w:w="479" w:type="dxa"/>
            <w:tcBorders>
              <w:top w:val="nil"/>
              <w:left w:val="nil"/>
              <w:bottom w:val="nil"/>
              <w:right w:val="nil"/>
              <w:tl2br w:val="nil"/>
              <w:tr2bl w:val="nil"/>
            </w:tcBorders>
            <w:tcMar>
              <w:left w:w="60" w:type="dxa"/>
              <w:right w:w="60" w:type="dxa"/>
            </w:tcMar>
            <w:vAlign w:val="center"/>
          </w:tcPr>
          <w:p w14:paraId="07571B0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Asylum, Migration and Integration Fund</w:t>
            </w:r>
          </w:p>
        </w:tc>
        <w:tc>
          <w:tcPr>
            <w:tcW w:w="960" w:type="dxa"/>
            <w:tcBorders>
              <w:top w:val="nil"/>
              <w:left w:val="nil"/>
              <w:bottom w:val="nil"/>
              <w:right w:val="nil"/>
              <w:tl2br w:val="nil"/>
              <w:tr2bl w:val="nil"/>
            </w:tcBorders>
            <w:tcMar>
              <w:left w:w="60" w:type="dxa"/>
              <w:right w:w="60" w:type="dxa"/>
            </w:tcMar>
            <w:vAlign w:val="center"/>
          </w:tcPr>
          <w:p w14:paraId="33B559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2 159</w:t>
            </w:r>
          </w:p>
        </w:tc>
        <w:tc>
          <w:tcPr>
            <w:tcW w:w="126" w:type="dxa"/>
            <w:tcBorders>
              <w:top w:val="nil"/>
              <w:left w:val="nil"/>
              <w:bottom w:val="nil"/>
              <w:right w:val="nil"/>
              <w:tl2br w:val="nil"/>
              <w:tr2bl w:val="nil"/>
            </w:tcBorders>
            <w:tcMar>
              <w:left w:w="60" w:type="dxa"/>
              <w:right w:w="60" w:type="dxa"/>
            </w:tcMar>
            <w:vAlign w:val="center"/>
          </w:tcPr>
          <w:p w14:paraId="4F44C66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1 916</w:t>
            </w:r>
          </w:p>
        </w:tc>
        <w:tc>
          <w:tcPr>
            <w:tcW w:w="102" w:type="dxa"/>
            <w:tcBorders>
              <w:top w:val="nil"/>
              <w:left w:val="nil"/>
              <w:bottom w:val="nil"/>
              <w:right w:val="nil"/>
              <w:tl2br w:val="nil"/>
              <w:tr2bl w:val="nil"/>
            </w:tcBorders>
            <w:tcMar>
              <w:left w:w="60" w:type="dxa"/>
              <w:right w:w="60" w:type="dxa"/>
            </w:tcMar>
            <w:vAlign w:val="center"/>
          </w:tcPr>
          <w:p w14:paraId="1C7C3ED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58303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25" w:type="dxa"/>
            <w:tcBorders>
              <w:top w:val="nil"/>
              <w:left w:val="nil"/>
              <w:bottom w:val="nil"/>
              <w:right w:val="nil"/>
              <w:tl2br w:val="nil"/>
              <w:tr2bl w:val="nil"/>
            </w:tcBorders>
            <w:tcMar>
              <w:left w:w="60" w:type="dxa"/>
              <w:right w:w="60" w:type="dxa"/>
            </w:tcMar>
            <w:vAlign w:val="center"/>
          </w:tcPr>
          <w:p w14:paraId="6E2D70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1 921</w:t>
            </w:r>
          </w:p>
        </w:tc>
        <w:tc>
          <w:tcPr>
            <w:tcW w:w="99" w:type="dxa"/>
            <w:tcBorders>
              <w:top w:val="nil"/>
              <w:left w:val="nil"/>
              <w:bottom w:val="nil"/>
              <w:right w:val="nil"/>
              <w:tl2br w:val="nil"/>
              <w:tr2bl w:val="nil"/>
            </w:tcBorders>
            <w:tcMar>
              <w:left w:w="60" w:type="dxa"/>
              <w:right w:w="60" w:type="dxa"/>
            </w:tcMar>
            <w:vAlign w:val="center"/>
          </w:tcPr>
          <w:p w14:paraId="604784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89 %</w:t>
            </w:r>
          </w:p>
        </w:tc>
        <w:tc>
          <w:tcPr>
            <w:tcW w:w="105" w:type="dxa"/>
            <w:tcBorders>
              <w:top w:val="nil"/>
              <w:left w:val="nil"/>
              <w:bottom w:val="nil"/>
              <w:right w:val="nil"/>
              <w:tl2br w:val="nil"/>
              <w:tr2bl w:val="nil"/>
            </w:tcBorders>
            <w:tcMar>
              <w:left w:w="60" w:type="dxa"/>
              <w:right w:w="60" w:type="dxa"/>
            </w:tcMar>
            <w:vAlign w:val="center"/>
          </w:tcPr>
          <w:p w14:paraId="32ADF1E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626DA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238</w:t>
            </w:r>
          </w:p>
        </w:tc>
        <w:tc>
          <w:tcPr>
            <w:tcW w:w="106" w:type="dxa"/>
            <w:tcBorders>
              <w:top w:val="nil"/>
              <w:left w:val="nil"/>
              <w:bottom w:val="nil"/>
              <w:right w:val="nil"/>
              <w:tl2br w:val="nil"/>
              <w:tr2bl w:val="nil"/>
            </w:tcBorders>
            <w:tcMar>
              <w:left w:w="60" w:type="dxa"/>
              <w:right w:w="60" w:type="dxa"/>
            </w:tcMar>
            <w:vAlign w:val="center"/>
          </w:tcPr>
          <w:p w14:paraId="2B9A472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238</w:t>
            </w:r>
          </w:p>
        </w:tc>
        <w:tc>
          <w:tcPr>
            <w:tcW w:w="92" w:type="dxa"/>
            <w:tcBorders>
              <w:top w:val="nil"/>
              <w:left w:val="nil"/>
              <w:bottom w:val="nil"/>
              <w:right w:val="nil"/>
              <w:tl2br w:val="nil"/>
              <w:tr2bl w:val="nil"/>
            </w:tcBorders>
            <w:tcMar>
              <w:left w:w="60" w:type="dxa"/>
              <w:right w:w="60" w:type="dxa"/>
            </w:tcMar>
            <w:vAlign w:val="center"/>
          </w:tcPr>
          <w:p w14:paraId="58A99D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E02B5E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9086ED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639078A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CA6CC4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F3894F0"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8B66FA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69E59FB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126" w:type="dxa"/>
            <w:tcBorders>
              <w:top w:val="nil"/>
              <w:left w:val="nil"/>
              <w:bottom w:val="nil"/>
              <w:right w:val="nil"/>
              <w:tl2br w:val="nil"/>
              <w:tr2bl w:val="nil"/>
            </w:tcBorders>
            <w:tcMar>
              <w:left w:w="60" w:type="dxa"/>
              <w:right w:w="60" w:type="dxa"/>
            </w:tcMar>
            <w:vAlign w:val="center"/>
          </w:tcPr>
          <w:p w14:paraId="292E52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186</w:t>
            </w:r>
          </w:p>
        </w:tc>
        <w:tc>
          <w:tcPr>
            <w:tcW w:w="102" w:type="dxa"/>
            <w:tcBorders>
              <w:top w:val="nil"/>
              <w:left w:val="nil"/>
              <w:bottom w:val="nil"/>
              <w:right w:val="nil"/>
              <w:tl2br w:val="nil"/>
              <w:tr2bl w:val="nil"/>
            </w:tcBorders>
            <w:tcMar>
              <w:left w:w="60" w:type="dxa"/>
              <w:right w:w="60" w:type="dxa"/>
            </w:tcMar>
            <w:vAlign w:val="center"/>
          </w:tcPr>
          <w:p w14:paraId="713047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435FD4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25" w:type="dxa"/>
            <w:tcBorders>
              <w:top w:val="nil"/>
              <w:left w:val="nil"/>
              <w:bottom w:val="nil"/>
              <w:right w:val="nil"/>
              <w:tl2br w:val="nil"/>
              <w:tr2bl w:val="nil"/>
            </w:tcBorders>
            <w:tcMar>
              <w:left w:w="60" w:type="dxa"/>
              <w:right w:w="60" w:type="dxa"/>
            </w:tcMar>
            <w:vAlign w:val="center"/>
          </w:tcPr>
          <w:p w14:paraId="0642A62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99" w:type="dxa"/>
            <w:tcBorders>
              <w:top w:val="nil"/>
              <w:left w:val="nil"/>
              <w:bottom w:val="nil"/>
              <w:right w:val="nil"/>
              <w:tl2br w:val="nil"/>
              <w:tr2bl w:val="nil"/>
            </w:tcBorders>
            <w:tcMar>
              <w:left w:w="60" w:type="dxa"/>
              <w:right w:w="60" w:type="dxa"/>
            </w:tcMar>
            <w:vAlign w:val="center"/>
          </w:tcPr>
          <w:p w14:paraId="45EDB8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4BD97F5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1F778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6" w:type="dxa"/>
            <w:tcBorders>
              <w:top w:val="nil"/>
              <w:left w:val="nil"/>
              <w:bottom w:val="nil"/>
              <w:right w:val="nil"/>
              <w:tl2br w:val="nil"/>
              <w:tr2bl w:val="nil"/>
            </w:tcBorders>
            <w:tcMar>
              <w:left w:w="60" w:type="dxa"/>
              <w:right w:w="60" w:type="dxa"/>
            </w:tcMar>
            <w:vAlign w:val="center"/>
          </w:tcPr>
          <w:p w14:paraId="3DDEAFD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2" w:type="dxa"/>
            <w:tcBorders>
              <w:top w:val="nil"/>
              <w:left w:val="nil"/>
              <w:bottom w:val="nil"/>
              <w:right w:val="nil"/>
              <w:tl2br w:val="nil"/>
              <w:tr2bl w:val="nil"/>
            </w:tcBorders>
            <w:tcMar>
              <w:left w:w="60" w:type="dxa"/>
              <w:right w:w="60" w:type="dxa"/>
            </w:tcMar>
            <w:vAlign w:val="center"/>
          </w:tcPr>
          <w:p w14:paraId="230D91B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A9C10E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041CF6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7BD851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4DA4AD7"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5F84165"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FF1AC1D"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border management and visa (BMVI)</w:t>
            </w:r>
          </w:p>
        </w:tc>
        <w:tc>
          <w:tcPr>
            <w:tcW w:w="960" w:type="dxa"/>
            <w:tcBorders>
              <w:top w:val="nil"/>
              <w:left w:val="nil"/>
              <w:bottom w:val="nil"/>
              <w:right w:val="nil"/>
              <w:tl2br w:val="nil"/>
              <w:tr2bl w:val="nil"/>
            </w:tcBorders>
            <w:tcMar>
              <w:left w:w="60" w:type="dxa"/>
              <w:right w:w="60" w:type="dxa"/>
            </w:tcMar>
            <w:vAlign w:val="center"/>
          </w:tcPr>
          <w:p w14:paraId="6564A80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1 603</w:t>
            </w:r>
          </w:p>
        </w:tc>
        <w:tc>
          <w:tcPr>
            <w:tcW w:w="126" w:type="dxa"/>
            <w:tcBorders>
              <w:top w:val="nil"/>
              <w:left w:val="nil"/>
              <w:bottom w:val="nil"/>
              <w:right w:val="nil"/>
              <w:tl2br w:val="nil"/>
              <w:tr2bl w:val="nil"/>
            </w:tcBorders>
            <w:tcMar>
              <w:left w:w="60" w:type="dxa"/>
              <w:right w:w="60" w:type="dxa"/>
            </w:tcMar>
            <w:vAlign w:val="center"/>
          </w:tcPr>
          <w:p w14:paraId="618E15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1 235</w:t>
            </w:r>
          </w:p>
        </w:tc>
        <w:tc>
          <w:tcPr>
            <w:tcW w:w="102" w:type="dxa"/>
            <w:tcBorders>
              <w:top w:val="nil"/>
              <w:left w:val="nil"/>
              <w:bottom w:val="nil"/>
              <w:right w:val="nil"/>
              <w:tl2br w:val="nil"/>
              <w:tr2bl w:val="nil"/>
            </w:tcBorders>
            <w:tcMar>
              <w:left w:w="60" w:type="dxa"/>
              <w:right w:w="60" w:type="dxa"/>
            </w:tcMar>
            <w:vAlign w:val="center"/>
          </w:tcPr>
          <w:p w14:paraId="22DD2D8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A29023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125" w:type="dxa"/>
            <w:tcBorders>
              <w:top w:val="nil"/>
              <w:left w:val="nil"/>
              <w:bottom w:val="nil"/>
              <w:right w:val="nil"/>
              <w:tl2br w:val="nil"/>
              <w:tr2bl w:val="nil"/>
            </w:tcBorders>
            <w:tcMar>
              <w:left w:w="60" w:type="dxa"/>
              <w:right w:w="60" w:type="dxa"/>
            </w:tcMar>
            <w:vAlign w:val="center"/>
          </w:tcPr>
          <w:p w14:paraId="3247C8B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1 266</w:t>
            </w:r>
          </w:p>
        </w:tc>
        <w:tc>
          <w:tcPr>
            <w:tcW w:w="99" w:type="dxa"/>
            <w:tcBorders>
              <w:top w:val="nil"/>
              <w:left w:val="nil"/>
              <w:bottom w:val="nil"/>
              <w:right w:val="nil"/>
              <w:tl2br w:val="nil"/>
              <w:tr2bl w:val="nil"/>
            </w:tcBorders>
            <w:tcMar>
              <w:left w:w="60" w:type="dxa"/>
              <w:right w:w="60" w:type="dxa"/>
            </w:tcMar>
            <w:vAlign w:val="center"/>
          </w:tcPr>
          <w:p w14:paraId="06EBAC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79 %</w:t>
            </w:r>
          </w:p>
        </w:tc>
        <w:tc>
          <w:tcPr>
            <w:tcW w:w="105" w:type="dxa"/>
            <w:tcBorders>
              <w:top w:val="nil"/>
              <w:left w:val="nil"/>
              <w:bottom w:val="nil"/>
              <w:right w:val="nil"/>
              <w:tl2br w:val="nil"/>
              <w:tr2bl w:val="nil"/>
            </w:tcBorders>
            <w:tcMar>
              <w:left w:w="60" w:type="dxa"/>
              <w:right w:w="60" w:type="dxa"/>
            </w:tcMar>
            <w:vAlign w:val="center"/>
          </w:tcPr>
          <w:p w14:paraId="1A52427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0CDB0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337</w:t>
            </w:r>
          </w:p>
        </w:tc>
        <w:tc>
          <w:tcPr>
            <w:tcW w:w="106" w:type="dxa"/>
            <w:tcBorders>
              <w:top w:val="nil"/>
              <w:left w:val="nil"/>
              <w:bottom w:val="nil"/>
              <w:right w:val="nil"/>
              <w:tl2br w:val="nil"/>
              <w:tr2bl w:val="nil"/>
            </w:tcBorders>
            <w:tcMar>
              <w:left w:w="60" w:type="dxa"/>
              <w:right w:w="60" w:type="dxa"/>
            </w:tcMar>
            <w:vAlign w:val="center"/>
          </w:tcPr>
          <w:p w14:paraId="4E0521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337</w:t>
            </w:r>
          </w:p>
        </w:tc>
        <w:tc>
          <w:tcPr>
            <w:tcW w:w="92" w:type="dxa"/>
            <w:tcBorders>
              <w:top w:val="nil"/>
              <w:left w:val="nil"/>
              <w:bottom w:val="nil"/>
              <w:right w:val="nil"/>
              <w:tl2br w:val="nil"/>
              <w:tr2bl w:val="nil"/>
            </w:tcBorders>
            <w:tcMar>
              <w:left w:w="60" w:type="dxa"/>
              <w:right w:w="60" w:type="dxa"/>
            </w:tcMar>
            <w:vAlign w:val="center"/>
          </w:tcPr>
          <w:p w14:paraId="35F5952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96762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E41E7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151A95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3BDC653"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5760AF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C8ED50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financial support for customs control equipment (CCEi)</w:t>
            </w:r>
          </w:p>
        </w:tc>
        <w:tc>
          <w:tcPr>
            <w:tcW w:w="960" w:type="dxa"/>
            <w:tcBorders>
              <w:top w:val="nil"/>
              <w:left w:val="nil"/>
              <w:bottom w:val="nil"/>
              <w:right w:val="nil"/>
              <w:tl2br w:val="nil"/>
              <w:tr2bl w:val="nil"/>
            </w:tcBorders>
            <w:tcMar>
              <w:left w:w="60" w:type="dxa"/>
              <w:right w:w="60" w:type="dxa"/>
            </w:tcMar>
            <w:vAlign w:val="center"/>
          </w:tcPr>
          <w:p w14:paraId="1E8F7C2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6" w:type="dxa"/>
            <w:tcBorders>
              <w:top w:val="nil"/>
              <w:left w:val="nil"/>
              <w:bottom w:val="nil"/>
              <w:right w:val="nil"/>
              <w:tl2br w:val="nil"/>
              <w:tr2bl w:val="nil"/>
            </w:tcBorders>
            <w:tcMar>
              <w:left w:w="60" w:type="dxa"/>
              <w:right w:w="60" w:type="dxa"/>
            </w:tcMar>
            <w:vAlign w:val="center"/>
          </w:tcPr>
          <w:p w14:paraId="0199F1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2" w:type="dxa"/>
            <w:tcBorders>
              <w:top w:val="nil"/>
              <w:left w:val="nil"/>
              <w:bottom w:val="nil"/>
              <w:right w:val="nil"/>
              <w:tl2br w:val="nil"/>
              <w:tr2bl w:val="nil"/>
            </w:tcBorders>
            <w:tcMar>
              <w:left w:w="60" w:type="dxa"/>
              <w:right w:w="60" w:type="dxa"/>
            </w:tcMar>
            <w:vAlign w:val="center"/>
          </w:tcPr>
          <w:p w14:paraId="09C825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E60BF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409652F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9" w:type="dxa"/>
            <w:tcBorders>
              <w:top w:val="nil"/>
              <w:left w:val="nil"/>
              <w:bottom w:val="nil"/>
              <w:right w:val="nil"/>
              <w:tl2br w:val="nil"/>
              <w:tr2bl w:val="nil"/>
            </w:tcBorders>
            <w:tcMar>
              <w:left w:w="60" w:type="dxa"/>
              <w:right w:w="60" w:type="dxa"/>
            </w:tcMar>
            <w:vAlign w:val="center"/>
          </w:tcPr>
          <w:p w14:paraId="61FA3D0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69 %</w:t>
            </w:r>
          </w:p>
        </w:tc>
        <w:tc>
          <w:tcPr>
            <w:tcW w:w="105" w:type="dxa"/>
            <w:tcBorders>
              <w:top w:val="nil"/>
              <w:left w:val="nil"/>
              <w:bottom w:val="nil"/>
              <w:right w:val="nil"/>
              <w:tl2br w:val="nil"/>
              <w:tr2bl w:val="nil"/>
            </w:tcBorders>
            <w:tcMar>
              <w:left w:w="60" w:type="dxa"/>
              <w:right w:w="60" w:type="dxa"/>
            </w:tcMar>
            <w:vAlign w:val="center"/>
          </w:tcPr>
          <w:p w14:paraId="5804FBB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2391C6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740295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2240380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4B2B5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6F039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8D663C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386F5E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26DFE26"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0BBC0C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6DDFB5B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1 380</w:t>
            </w:r>
          </w:p>
        </w:tc>
        <w:tc>
          <w:tcPr>
            <w:tcW w:w="126" w:type="dxa"/>
            <w:tcBorders>
              <w:top w:val="nil"/>
              <w:left w:val="nil"/>
              <w:bottom w:val="nil"/>
              <w:right w:val="nil"/>
              <w:tl2br w:val="nil"/>
              <w:tr2bl w:val="nil"/>
            </w:tcBorders>
            <w:tcMar>
              <w:left w:w="60" w:type="dxa"/>
              <w:right w:w="60" w:type="dxa"/>
            </w:tcMar>
            <w:vAlign w:val="center"/>
          </w:tcPr>
          <w:p w14:paraId="3A4AE71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1 307</w:t>
            </w:r>
          </w:p>
        </w:tc>
        <w:tc>
          <w:tcPr>
            <w:tcW w:w="102" w:type="dxa"/>
            <w:tcBorders>
              <w:top w:val="nil"/>
              <w:left w:val="nil"/>
              <w:bottom w:val="nil"/>
              <w:right w:val="nil"/>
              <w:tl2br w:val="nil"/>
              <w:tr2bl w:val="nil"/>
            </w:tcBorders>
            <w:tcMar>
              <w:left w:w="60" w:type="dxa"/>
              <w:right w:w="60" w:type="dxa"/>
            </w:tcMar>
            <w:vAlign w:val="center"/>
          </w:tcPr>
          <w:p w14:paraId="66909E2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50FD92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125" w:type="dxa"/>
            <w:tcBorders>
              <w:top w:val="nil"/>
              <w:left w:val="nil"/>
              <w:bottom w:val="nil"/>
              <w:right w:val="nil"/>
              <w:tl2br w:val="nil"/>
              <w:tr2bl w:val="nil"/>
            </w:tcBorders>
            <w:tcMar>
              <w:left w:w="60" w:type="dxa"/>
              <w:right w:w="60" w:type="dxa"/>
            </w:tcMar>
            <w:vAlign w:val="center"/>
          </w:tcPr>
          <w:p w14:paraId="5C0A22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1 359</w:t>
            </w:r>
          </w:p>
        </w:tc>
        <w:tc>
          <w:tcPr>
            <w:tcW w:w="99" w:type="dxa"/>
            <w:tcBorders>
              <w:top w:val="nil"/>
              <w:left w:val="nil"/>
              <w:bottom w:val="nil"/>
              <w:right w:val="nil"/>
              <w:tl2br w:val="nil"/>
              <w:tr2bl w:val="nil"/>
            </w:tcBorders>
            <w:tcMar>
              <w:left w:w="60" w:type="dxa"/>
              <w:right w:w="60" w:type="dxa"/>
            </w:tcMar>
            <w:vAlign w:val="center"/>
          </w:tcPr>
          <w:p w14:paraId="0BE9D62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24CA69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43EDFB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06" w:type="dxa"/>
            <w:tcBorders>
              <w:top w:val="nil"/>
              <w:left w:val="nil"/>
              <w:bottom w:val="nil"/>
              <w:right w:val="nil"/>
              <w:tl2br w:val="nil"/>
              <w:tr2bl w:val="nil"/>
            </w:tcBorders>
            <w:tcMar>
              <w:left w:w="60" w:type="dxa"/>
              <w:right w:w="60" w:type="dxa"/>
            </w:tcMar>
            <w:vAlign w:val="center"/>
          </w:tcPr>
          <w:p w14:paraId="7B1A605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92" w:type="dxa"/>
            <w:tcBorders>
              <w:top w:val="nil"/>
              <w:left w:val="nil"/>
              <w:bottom w:val="nil"/>
              <w:right w:val="nil"/>
              <w:tl2br w:val="nil"/>
              <w:tr2bl w:val="nil"/>
            </w:tcBorders>
            <w:tcMar>
              <w:left w:w="60" w:type="dxa"/>
              <w:right w:w="60" w:type="dxa"/>
            </w:tcMar>
            <w:vAlign w:val="center"/>
          </w:tcPr>
          <w:p w14:paraId="3DEF3E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1E4B093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FAE2D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802EE9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04E99B1"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2B94BF3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0477829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4: Migration and Border Management</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77D9686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5 338</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6A87A5F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4 644</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70F7C1E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6BD7E4A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546C04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4 738</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4EF6A6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89 %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676BE40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311854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599</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0D71C92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599</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613D80C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0F8330D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36F4441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53E5572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22CBCFF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26AD93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81B07FD" w14:textId="77777777" w:rsidR="00807FFE" w:rsidRDefault="00807FFE">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200E50ED" w14:textId="77777777" w:rsidR="00807FFE" w:rsidRDefault="00807FFE">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604360AC" w14:textId="77777777" w:rsidR="00807FFE" w:rsidRDefault="00807FFE">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13E098C1"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2A50D7AA" w14:textId="77777777" w:rsidR="00807FFE" w:rsidRDefault="00807FFE">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7A6E6D65" w14:textId="77777777" w:rsidR="00807FFE" w:rsidRDefault="00807FFE">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7967B752" w14:textId="77777777" w:rsidR="00807FFE" w:rsidRDefault="00807FFE">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1AF0B9E8"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2018A92A" w14:textId="77777777" w:rsidR="00807FFE" w:rsidRDefault="00807FFE">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6D1E665B" w14:textId="77777777" w:rsidR="00807FFE" w:rsidRDefault="00807FFE">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42499071" w14:textId="77777777" w:rsidR="00807FFE" w:rsidRDefault="00807FFE">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1B3721BC"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2D15E53E" w14:textId="77777777" w:rsidR="00807FFE" w:rsidRDefault="00807FFE">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3C083AFD" w14:textId="77777777" w:rsidR="00807FFE" w:rsidRDefault="00807FFE">
            <w:pPr>
              <w:pStyle w:val="DMETW36742BIPDetailedMFF2ImplementCommitments"/>
              <w:jc w:val="right"/>
              <w:rPr>
                <w:rFonts w:ascii="Verdana" w:eastAsia="Verdana" w:hAnsi="Verdana" w:cs="Verdana"/>
                <w:noProof/>
                <w:color w:val="000000"/>
                <w:sz w:val="16"/>
                <w:lang w:bidi="en-GB"/>
              </w:rPr>
            </w:pPr>
          </w:p>
        </w:tc>
      </w:tr>
      <w:tr w:rsidR="00807FFE" w14:paraId="7CF8C365"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FF6A26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5</w:t>
            </w:r>
          </w:p>
        </w:tc>
        <w:tc>
          <w:tcPr>
            <w:tcW w:w="479" w:type="dxa"/>
            <w:tcBorders>
              <w:top w:val="nil"/>
              <w:left w:val="nil"/>
              <w:bottom w:val="nil"/>
              <w:right w:val="nil"/>
              <w:tl2br w:val="nil"/>
              <w:tr2bl w:val="nil"/>
            </w:tcBorders>
            <w:tcMar>
              <w:left w:w="60" w:type="dxa"/>
              <w:right w:w="60" w:type="dxa"/>
            </w:tcMar>
            <w:vAlign w:val="center"/>
          </w:tcPr>
          <w:p w14:paraId="33C0470B"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Internal Security Fund (ISF)</w:t>
            </w:r>
          </w:p>
        </w:tc>
        <w:tc>
          <w:tcPr>
            <w:tcW w:w="960" w:type="dxa"/>
            <w:tcBorders>
              <w:top w:val="nil"/>
              <w:left w:val="nil"/>
              <w:bottom w:val="nil"/>
              <w:right w:val="nil"/>
              <w:tl2br w:val="nil"/>
              <w:tr2bl w:val="nil"/>
            </w:tcBorders>
            <w:tcMar>
              <w:left w:w="60" w:type="dxa"/>
              <w:right w:w="60" w:type="dxa"/>
            </w:tcMar>
            <w:vAlign w:val="center"/>
          </w:tcPr>
          <w:p w14:paraId="727248B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388</w:t>
            </w:r>
          </w:p>
        </w:tc>
        <w:tc>
          <w:tcPr>
            <w:tcW w:w="126" w:type="dxa"/>
            <w:tcBorders>
              <w:top w:val="nil"/>
              <w:left w:val="nil"/>
              <w:bottom w:val="nil"/>
              <w:right w:val="nil"/>
              <w:tl2br w:val="nil"/>
              <w:tr2bl w:val="nil"/>
            </w:tcBorders>
            <w:tcMar>
              <w:left w:w="60" w:type="dxa"/>
              <w:right w:w="60" w:type="dxa"/>
            </w:tcMar>
            <w:vAlign w:val="center"/>
          </w:tcPr>
          <w:p w14:paraId="255D490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336</w:t>
            </w:r>
          </w:p>
        </w:tc>
        <w:tc>
          <w:tcPr>
            <w:tcW w:w="102" w:type="dxa"/>
            <w:tcBorders>
              <w:top w:val="nil"/>
              <w:left w:val="nil"/>
              <w:bottom w:val="nil"/>
              <w:right w:val="nil"/>
              <w:tl2br w:val="nil"/>
              <w:tr2bl w:val="nil"/>
            </w:tcBorders>
            <w:tcMar>
              <w:left w:w="60" w:type="dxa"/>
              <w:right w:w="60" w:type="dxa"/>
            </w:tcMar>
            <w:vAlign w:val="center"/>
          </w:tcPr>
          <w:p w14:paraId="06C7B81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6EEDB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25" w:type="dxa"/>
            <w:tcBorders>
              <w:top w:val="nil"/>
              <w:left w:val="nil"/>
              <w:bottom w:val="nil"/>
              <w:right w:val="nil"/>
              <w:tl2br w:val="nil"/>
              <w:tr2bl w:val="nil"/>
            </w:tcBorders>
            <w:tcMar>
              <w:left w:w="60" w:type="dxa"/>
              <w:right w:w="60" w:type="dxa"/>
            </w:tcMar>
            <w:vAlign w:val="center"/>
          </w:tcPr>
          <w:p w14:paraId="0474C6D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338</w:t>
            </w:r>
          </w:p>
        </w:tc>
        <w:tc>
          <w:tcPr>
            <w:tcW w:w="99" w:type="dxa"/>
            <w:tcBorders>
              <w:top w:val="nil"/>
              <w:left w:val="nil"/>
              <w:bottom w:val="nil"/>
              <w:right w:val="nil"/>
              <w:tl2br w:val="nil"/>
              <w:tr2bl w:val="nil"/>
            </w:tcBorders>
            <w:tcMar>
              <w:left w:w="60" w:type="dxa"/>
              <w:right w:w="60" w:type="dxa"/>
            </w:tcMar>
            <w:vAlign w:val="center"/>
          </w:tcPr>
          <w:p w14:paraId="0EFDB4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87 %</w:t>
            </w:r>
          </w:p>
        </w:tc>
        <w:tc>
          <w:tcPr>
            <w:tcW w:w="105" w:type="dxa"/>
            <w:tcBorders>
              <w:top w:val="nil"/>
              <w:left w:val="nil"/>
              <w:bottom w:val="nil"/>
              <w:right w:val="nil"/>
              <w:tl2br w:val="nil"/>
              <w:tr2bl w:val="nil"/>
            </w:tcBorders>
            <w:tcMar>
              <w:left w:w="60" w:type="dxa"/>
              <w:right w:w="60" w:type="dxa"/>
            </w:tcMar>
            <w:vAlign w:val="center"/>
          </w:tcPr>
          <w:p w14:paraId="35F4E18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E7DF6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06" w:type="dxa"/>
            <w:tcBorders>
              <w:top w:val="nil"/>
              <w:left w:val="nil"/>
              <w:bottom w:val="nil"/>
              <w:right w:val="nil"/>
              <w:tl2br w:val="nil"/>
              <w:tr2bl w:val="nil"/>
            </w:tcBorders>
            <w:tcMar>
              <w:left w:w="60" w:type="dxa"/>
              <w:right w:w="60" w:type="dxa"/>
            </w:tcMar>
            <w:vAlign w:val="center"/>
          </w:tcPr>
          <w:p w14:paraId="1176C2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92" w:type="dxa"/>
            <w:tcBorders>
              <w:top w:val="nil"/>
              <w:left w:val="nil"/>
              <w:bottom w:val="nil"/>
              <w:right w:val="nil"/>
              <w:tl2br w:val="nil"/>
              <w:tr2bl w:val="nil"/>
            </w:tcBorders>
            <w:tcMar>
              <w:left w:w="60" w:type="dxa"/>
              <w:right w:w="60" w:type="dxa"/>
            </w:tcMar>
            <w:vAlign w:val="center"/>
          </w:tcPr>
          <w:p w14:paraId="1422EB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AB92E0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D27DA5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CF0625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F56F458"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E6CF133"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46E26F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Nuclear decommissioning (Lithuania)</w:t>
            </w:r>
          </w:p>
        </w:tc>
        <w:tc>
          <w:tcPr>
            <w:tcW w:w="960" w:type="dxa"/>
            <w:tcBorders>
              <w:top w:val="nil"/>
              <w:left w:val="nil"/>
              <w:bottom w:val="nil"/>
              <w:right w:val="nil"/>
              <w:tl2br w:val="nil"/>
              <w:tr2bl w:val="nil"/>
            </w:tcBorders>
            <w:tcMar>
              <w:left w:w="60" w:type="dxa"/>
              <w:right w:w="60" w:type="dxa"/>
            </w:tcMar>
            <w:vAlign w:val="center"/>
          </w:tcPr>
          <w:p w14:paraId="70D8B74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26" w:type="dxa"/>
            <w:tcBorders>
              <w:top w:val="nil"/>
              <w:left w:val="nil"/>
              <w:bottom w:val="nil"/>
              <w:right w:val="nil"/>
              <w:tl2br w:val="nil"/>
              <w:tr2bl w:val="nil"/>
            </w:tcBorders>
            <w:tcMar>
              <w:left w:w="60" w:type="dxa"/>
              <w:right w:w="60" w:type="dxa"/>
            </w:tcMar>
            <w:vAlign w:val="center"/>
          </w:tcPr>
          <w:p w14:paraId="44FCF75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02" w:type="dxa"/>
            <w:tcBorders>
              <w:top w:val="nil"/>
              <w:left w:val="nil"/>
              <w:bottom w:val="nil"/>
              <w:right w:val="nil"/>
              <w:tl2br w:val="nil"/>
              <w:tr2bl w:val="nil"/>
            </w:tcBorders>
            <w:tcMar>
              <w:left w:w="60" w:type="dxa"/>
              <w:right w:w="60" w:type="dxa"/>
            </w:tcMar>
            <w:vAlign w:val="center"/>
          </w:tcPr>
          <w:p w14:paraId="37A8991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A06102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35A75BC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99" w:type="dxa"/>
            <w:tcBorders>
              <w:top w:val="nil"/>
              <w:left w:val="nil"/>
              <w:bottom w:val="nil"/>
              <w:right w:val="nil"/>
              <w:tl2br w:val="nil"/>
              <w:tr2bl w:val="nil"/>
            </w:tcBorders>
            <w:tcMar>
              <w:left w:w="60" w:type="dxa"/>
              <w:right w:w="60" w:type="dxa"/>
            </w:tcMar>
            <w:vAlign w:val="center"/>
          </w:tcPr>
          <w:p w14:paraId="7077A09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385820B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7EBC2F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1AA2E68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7671B0D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29AEB8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C493F7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71150B14"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026FA3D"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5E8A8DD"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9A2F86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Nuclear Safety and decommissioning (incl. For Bulgaria and Slovakia)</w:t>
            </w:r>
          </w:p>
        </w:tc>
        <w:tc>
          <w:tcPr>
            <w:tcW w:w="960" w:type="dxa"/>
            <w:tcBorders>
              <w:top w:val="nil"/>
              <w:left w:val="nil"/>
              <w:bottom w:val="nil"/>
              <w:right w:val="nil"/>
              <w:tl2br w:val="nil"/>
              <w:tr2bl w:val="nil"/>
            </w:tcBorders>
            <w:tcMar>
              <w:left w:w="60" w:type="dxa"/>
              <w:right w:w="60" w:type="dxa"/>
            </w:tcMar>
            <w:vAlign w:val="center"/>
          </w:tcPr>
          <w:p w14:paraId="5C208A9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126" w:type="dxa"/>
            <w:tcBorders>
              <w:top w:val="nil"/>
              <w:left w:val="nil"/>
              <w:bottom w:val="nil"/>
              <w:right w:val="nil"/>
              <w:tl2br w:val="nil"/>
              <w:tr2bl w:val="nil"/>
            </w:tcBorders>
            <w:tcMar>
              <w:left w:w="60" w:type="dxa"/>
              <w:right w:w="60" w:type="dxa"/>
            </w:tcMar>
            <w:vAlign w:val="center"/>
          </w:tcPr>
          <w:p w14:paraId="6772AB4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102" w:type="dxa"/>
            <w:tcBorders>
              <w:top w:val="nil"/>
              <w:left w:val="nil"/>
              <w:bottom w:val="nil"/>
              <w:right w:val="nil"/>
              <w:tl2br w:val="nil"/>
              <w:tr2bl w:val="nil"/>
            </w:tcBorders>
            <w:tcMar>
              <w:left w:w="60" w:type="dxa"/>
              <w:right w:w="60" w:type="dxa"/>
            </w:tcMar>
            <w:vAlign w:val="center"/>
          </w:tcPr>
          <w:p w14:paraId="3520F75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CBDA1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21F5A7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99" w:type="dxa"/>
            <w:tcBorders>
              <w:top w:val="nil"/>
              <w:left w:val="nil"/>
              <w:bottom w:val="nil"/>
              <w:right w:val="nil"/>
              <w:tl2br w:val="nil"/>
              <w:tr2bl w:val="nil"/>
            </w:tcBorders>
            <w:tcMar>
              <w:left w:w="60" w:type="dxa"/>
              <w:right w:w="60" w:type="dxa"/>
            </w:tcMar>
            <w:vAlign w:val="center"/>
          </w:tcPr>
          <w:p w14:paraId="681EBB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7E0A7C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368635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06B91F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06F3E86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627A02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93868E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41DA3F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D5BBE0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25ADE0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303E97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7821366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298</w:t>
            </w:r>
          </w:p>
        </w:tc>
        <w:tc>
          <w:tcPr>
            <w:tcW w:w="126" w:type="dxa"/>
            <w:tcBorders>
              <w:top w:val="nil"/>
              <w:left w:val="nil"/>
              <w:bottom w:val="nil"/>
              <w:right w:val="nil"/>
              <w:tl2br w:val="nil"/>
              <w:tr2bl w:val="nil"/>
            </w:tcBorders>
            <w:tcMar>
              <w:left w:w="60" w:type="dxa"/>
              <w:right w:w="60" w:type="dxa"/>
            </w:tcMar>
            <w:vAlign w:val="center"/>
          </w:tcPr>
          <w:p w14:paraId="2D31F89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277</w:t>
            </w:r>
          </w:p>
        </w:tc>
        <w:tc>
          <w:tcPr>
            <w:tcW w:w="102" w:type="dxa"/>
            <w:tcBorders>
              <w:top w:val="nil"/>
              <w:left w:val="nil"/>
              <w:bottom w:val="nil"/>
              <w:right w:val="nil"/>
              <w:tl2br w:val="nil"/>
              <w:tr2bl w:val="nil"/>
            </w:tcBorders>
            <w:tcMar>
              <w:left w:w="60" w:type="dxa"/>
              <w:right w:w="60" w:type="dxa"/>
            </w:tcMar>
            <w:vAlign w:val="center"/>
          </w:tcPr>
          <w:p w14:paraId="711AC8F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B9BAA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25" w:type="dxa"/>
            <w:tcBorders>
              <w:top w:val="nil"/>
              <w:left w:val="nil"/>
              <w:bottom w:val="nil"/>
              <w:right w:val="nil"/>
              <w:tl2br w:val="nil"/>
              <w:tr2bl w:val="nil"/>
            </w:tcBorders>
            <w:tcMar>
              <w:left w:w="60" w:type="dxa"/>
              <w:right w:w="60" w:type="dxa"/>
            </w:tcMar>
            <w:vAlign w:val="center"/>
          </w:tcPr>
          <w:p w14:paraId="0DF09DA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283</w:t>
            </w:r>
          </w:p>
        </w:tc>
        <w:tc>
          <w:tcPr>
            <w:tcW w:w="99" w:type="dxa"/>
            <w:tcBorders>
              <w:top w:val="nil"/>
              <w:left w:val="nil"/>
              <w:bottom w:val="nil"/>
              <w:right w:val="nil"/>
              <w:tl2br w:val="nil"/>
              <w:tr2bl w:val="nil"/>
            </w:tcBorders>
            <w:tcMar>
              <w:left w:w="60" w:type="dxa"/>
              <w:right w:w="60" w:type="dxa"/>
            </w:tcMar>
            <w:vAlign w:val="center"/>
          </w:tcPr>
          <w:p w14:paraId="62DBBB9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95 %</w:t>
            </w:r>
          </w:p>
        </w:tc>
        <w:tc>
          <w:tcPr>
            <w:tcW w:w="105" w:type="dxa"/>
            <w:tcBorders>
              <w:top w:val="nil"/>
              <w:left w:val="nil"/>
              <w:bottom w:val="nil"/>
              <w:right w:val="nil"/>
              <w:tl2br w:val="nil"/>
              <w:tr2bl w:val="nil"/>
            </w:tcBorders>
            <w:tcMar>
              <w:left w:w="60" w:type="dxa"/>
              <w:right w:w="60" w:type="dxa"/>
            </w:tcMar>
            <w:vAlign w:val="center"/>
          </w:tcPr>
          <w:p w14:paraId="22B99AF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12" w:type="dxa"/>
            <w:tcBorders>
              <w:top w:val="nil"/>
              <w:left w:val="nil"/>
              <w:bottom w:val="nil"/>
              <w:right w:val="nil"/>
              <w:tl2br w:val="nil"/>
              <w:tr2bl w:val="nil"/>
            </w:tcBorders>
            <w:tcMar>
              <w:left w:w="60" w:type="dxa"/>
              <w:right w:w="60" w:type="dxa"/>
            </w:tcMar>
            <w:vAlign w:val="center"/>
          </w:tcPr>
          <w:p w14:paraId="457A54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6" w:type="dxa"/>
            <w:tcBorders>
              <w:top w:val="nil"/>
              <w:left w:val="nil"/>
              <w:bottom w:val="nil"/>
              <w:right w:val="nil"/>
              <w:tl2br w:val="nil"/>
              <w:tr2bl w:val="nil"/>
            </w:tcBorders>
            <w:tcMar>
              <w:left w:w="60" w:type="dxa"/>
              <w:right w:w="60" w:type="dxa"/>
            </w:tcMar>
            <w:vAlign w:val="center"/>
          </w:tcPr>
          <w:p w14:paraId="01071A3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92" w:type="dxa"/>
            <w:tcBorders>
              <w:top w:val="nil"/>
              <w:left w:val="nil"/>
              <w:bottom w:val="nil"/>
              <w:right w:val="nil"/>
              <w:tl2br w:val="nil"/>
              <w:tr2bl w:val="nil"/>
            </w:tcBorders>
            <w:tcMar>
              <w:left w:w="60" w:type="dxa"/>
              <w:right w:w="60" w:type="dxa"/>
            </w:tcMar>
            <w:vAlign w:val="center"/>
          </w:tcPr>
          <w:p w14:paraId="0884B62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664C9C4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41553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1232BF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D66B50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39553E7"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2C0A47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6371C05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14:paraId="1DEBDD0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7C8B74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D02BCE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3D15E3F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14:paraId="0BD7C38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14:paraId="6F75572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39E559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6C45EEE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51EAC91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37325C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214EF6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1831110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5630F8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83C6B1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0E55A7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0" w:type="dxa"/>
            <w:tcBorders>
              <w:top w:val="nil"/>
              <w:left w:val="nil"/>
              <w:bottom w:val="nil"/>
              <w:right w:val="nil"/>
              <w:tl2br w:val="nil"/>
              <w:tr2bl w:val="nil"/>
            </w:tcBorders>
            <w:tcMar>
              <w:left w:w="60" w:type="dxa"/>
              <w:right w:w="60" w:type="dxa"/>
            </w:tcMar>
            <w:vAlign w:val="center"/>
          </w:tcPr>
          <w:p w14:paraId="19CCBD3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126" w:type="dxa"/>
            <w:tcBorders>
              <w:top w:val="nil"/>
              <w:left w:val="nil"/>
              <w:bottom w:val="nil"/>
              <w:right w:val="nil"/>
              <w:tl2br w:val="nil"/>
              <w:tr2bl w:val="nil"/>
            </w:tcBorders>
            <w:tcMar>
              <w:left w:w="60" w:type="dxa"/>
              <w:right w:w="60" w:type="dxa"/>
            </w:tcMar>
            <w:vAlign w:val="center"/>
          </w:tcPr>
          <w:p w14:paraId="5E8462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02" w:type="dxa"/>
            <w:tcBorders>
              <w:top w:val="nil"/>
              <w:left w:val="nil"/>
              <w:bottom w:val="nil"/>
              <w:right w:val="nil"/>
              <w:tl2br w:val="nil"/>
              <w:tr2bl w:val="nil"/>
            </w:tcBorders>
            <w:tcMar>
              <w:left w:w="60" w:type="dxa"/>
              <w:right w:w="60" w:type="dxa"/>
            </w:tcMar>
            <w:vAlign w:val="center"/>
          </w:tcPr>
          <w:p w14:paraId="17B5D38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5808A5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1F4894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99" w:type="dxa"/>
            <w:tcBorders>
              <w:top w:val="nil"/>
              <w:left w:val="nil"/>
              <w:bottom w:val="nil"/>
              <w:right w:val="nil"/>
              <w:tl2br w:val="nil"/>
              <w:tr2bl w:val="nil"/>
            </w:tcBorders>
            <w:tcMar>
              <w:left w:w="60" w:type="dxa"/>
              <w:right w:w="60" w:type="dxa"/>
            </w:tcMar>
            <w:vAlign w:val="center"/>
          </w:tcPr>
          <w:p w14:paraId="3E6C819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63B460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19F9894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15151C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65E2DB3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B00D6C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A3C453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75374BC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C40108A"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4584A3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A252B4D"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Defence Fund (Research)</w:t>
            </w:r>
          </w:p>
        </w:tc>
        <w:tc>
          <w:tcPr>
            <w:tcW w:w="960" w:type="dxa"/>
            <w:tcBorders>
              <w:top w:val="nil"/>
              <w:left w:val="nil"/>
              <w:bottom w:val="nil"/>
              <w:right w:val="nil"/>
              <w:tl2br w:val="nil"/>
              <w:tr2bl w:val="nil"/>
            </w:tcBorders>
            <w:tcMar>
              <w:left w:w="60" w:type="dxa"/>
              <w:right w:w="60" w:type="dxa"/>
            </w:tcMar>
            <w:vAlign w:val="center"/>
          </w:tcPr>
          <w:p w14:paraId="2EFB0F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400</w:t>
            </w:r>
          </w:p>
        </w:tc>
        <w:tc>
          <w:tcPr>
            <w:tcW w:w="126" w:type="dxa"/>
            <w:tcBorders>
              <w:top w:val="nil"/>
              <w:left w:val="nil"/>
              <w:bottom w:val="nil"/>
              <w:right w:val="nil"/>
              <w:tl2br w:val="nil"/>
              <w:tr2bl w:val="nil"/>
            </w:tcBorders>
            <w:tcMar>
              <w:left w:w="60" w:type="dxa"/>
              <w:right w:w="60" w:type="dxa"/>
            </w:tcMar>
            <w:vAlign w:val="center"/>
          </w:tcPr>
          <w:p w14:paraId="709620F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390</w:t>
            </w:r>
          </w:p>
        </w:tc>
        <w:tc>
          <w:tcPr>
            <w:tcW w:w="102" w:type="dxa"/>
            <w:tcBorders>
              <w:top w:val="nil"/>
              <w:left w:val="nil"/>
              <w:bottom w:val="nil"/>
              <w:right w:val="nil"/>
              <w:tl2br w:val="nil"/>
              <w:tr2bl w:val="nil"/>
            </w:tcBorders>
            <w:tcMar>
              <w:left w:w="60" w:type="dxa"/>
              <w:right w:w="60" w:type="dxa"/>
            </w:tcMar>
            <w:vAlign w:val="center"/>
          </w:tcPr>
          <w:p w14:paraId="4A7C776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3FCAC9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25" w:type="dxa"/>
            <w:tcBorders>
              <w:top w:val="nil"/>
              <w:left w:val="nil"/>
              <w:bottom w:val="nil"/>
              <w:right w:val="nil"/>
              <w:tl2br w:val="nil"/>
              <w:tr2bl w:val="nil"/>
            </w:tcBorders>
            <w:tcMar>
              <w:left w:w="60" w:type="dxa"/>
              <w:right w:w="60" w:type="dxa"/>
            </w:tcMar>
            <w:vAlign w:val="center"/>
          </w:tcPr>
          <w:p w14:paraId="2F76DDD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400</w:t>
            </w:r>
          </w:p>
        </w:tc>
        <w:tc>
          <w:tcPr>
            <w:tcW w:w="99" w:type="dxa"/>
            <w:tcBorders>
              <w:top w:val="nil"/>
              <w:left w:val="nil"/>
              <w:bottom w:val="nil"/>
              <w:right w:val="nil"/>
              <w:tl2br w:val="nil"/>
              <w:tr2bl w:val="nil"/>
            </w:tcBorders>
            <w:tcMar>
              <w:left w:w="60" w:type="dxa"/>
              <w:right w:w="60" w:type="dxa"/>
            </w:tcMar>
            <w:vAlign w:val="center"/>
          </w:tcPr>
          <w:p w14:paraId="7E29AD5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1FECB95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78E9E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156D711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229929F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68EAFC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9E6E28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98CDE7C"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7D23C25"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0C761A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BF98C7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Defence Fund (Non Research)</w:t>
            </w:r>
          </w:p>
        </w:tc>
        <w:tc>
          <w:tcPr>
            <w:tcW w:w="960" w:type="dxa"/>
            <w:tcBorders>
              <w:top w:val="nil"/>
              <w:left w:val="nil"/>
              <w:bottom w:val="nil"/>
              <w:right w:val="nil"/>
              <w:tl2br w:val="nil"/>
              <w:tr2bl w:val="nil"/>
            </w:tcBorders>
            <w:tcMar>
              <w:left w:w="60" w:type="dxa"/>
              <w:right w:w="60" w:type="dxa"/>
            </w:tcMar>
            <w:vAlign w:val="center"/>
          </w:tcPr>
          <w:p w14:paraId="2F8DD04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1 027</w:t>
            </w:r>
          </w:p>
        </w:tc>
        <w:tc>
          <w:tcPr>
            <w:tcW w:w="126" w:type="dxa"/>
            <w:tcBorders>
              <w:top w:val="nil"/>
              <w:left w:val="nil"/>
              <w:bottom w:val="nil"/>
              <w:right w:val="nil"/>
              <w:tl2br w:val="nil"/>
              <w:tr2bl w:val="nil"/>
            </w:tcBorders>
            <w:tcMar>
              <w:left w:w="60" w:type="dxa"/>
              <w:right w:w="60" w:type="dxa"/>
            </w:tcMar>
            <w:vAlign w:val="center"/>
          </w:tcPr>
          <w:p w14:paraId="6E7BF12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999</w:t>
            </w:r>
          </w:p>
        </w:tc>
        <w:tc>
          <w:tcPr>
            <w:tcW w:w="102" w:type="dxa"/>
            <w:tcBorders>
              <w:top w:val="nil"/>
              <w:left w:val="nil"/>
              <w:bottom w:val="nil"/>
              <w:right w:val="nil"/>
              <w:tl2br w:val="nil"/>
              <w:tr2bl w:val="nil"/>
            </w:tcBorders>
            <w:tcMar>
              <w:left w:w="60" w:type="dxa"/>
              <w:right w:w="60" w:type="dxa"/>
            </w:tcMar>
            <w:vAlign w:val="center"/>
          </w:tcPr>
          <w:p w14:paraId="23DF82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0A4AC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125" w:type="dxa"/>
            <w:tcBorders>
              <w:top w:val="nil"/>
              <w:left w:val="nil"/>
              <w:bottom w:val="nil"/>
              <w:right w:val="nil"/>
              <w:tl2br w:val="nil"/>
              <w:tr2bl w:val="nil"/>
            </w:tcBorders>
            <w:tcMar>
              <w:left w:w="60" w:type="dxa"/>
              <w:right w:w="60" w:type="dxa"/>
            </w:tcMar>
            <w:vAlign w:val="center"/>
          </w:tcPr>
          <w:p w14:paraId="5884C2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1 026</w:t>
            </w:r>
          </w:p>
        </w:tc>
        <w:tc>
          <w:tcPr>
            <w:tcW w:w="99" w:type="dxa"/>
            <w:tcBorders>
              <w:top w:val="nil"/>
              <w:left w:val="nil"/>
              <w:bottom w:val="nil"/>
              <w:right w:val="nil"/>
              <w:tl2br w:val="nil"/>
              <w:tr2bl w:val="nil"/>
            </w:tcBorders>
            <w:tcMar>
              <w:left w:w="60" w:type="dxa"/>
              <w:right w:w="60" w:type="dxa"/>
            </w:tcMar>
            <w:vAlign w:val="center"/>
          </w:tcPr>
          <w:p w14:paraId="7824C18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3520DBF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8A271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1ADA20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3D266C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061B01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527558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109962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A8B5C00"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75A397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B5ABAB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Military Mobility</w:t>
            </w:r>
          </w:p>
        </w:tc>
        <w:tc>
          <w:tcPr>
            <w:tcW w:w="960" w:type="dxa"/>
            <w:tcBorders>
              <w:top w:val="nil"/>
              <w:left w:val="nil"/>
              <w:bottom w:val="nil"/>
              <w:right w:val="nil"/>
              <w:tl2br w:val="nil"/>
              <w:tr2bl w:val="nil"/>
            </w:tcBorders>
            <w:tcMar>
              <w:left w:w="60" w:type="dxa"/>
              <w:right w:w="60" w:type="dxa"/>
            </w:tcMar>
            <w:vAlign w:val="center"/>
          </w:tcPr>
          <w:p w14:paraId="32BA7C7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252</w:t>
            </w:r>
          </w:p>
        </w:tc>
        <w:tc>
          <w:tcPr>
            <w:tcW w:w="126" w:type="dxa"/>
            <w:tcBorders>
              <w:top w:val="nil"/>
              <w:left w:val="nil"/>
              <w:bottom w:val="nil"/>
              <w:right w:val="nil"/>
              <w:tl2br w:val="nil"/>
              <w:tr2bl w:val="nil"/>
            </w:tcBorders>
            <w:tcMar>
              <w:left w:w="60" w:type="dxa"/>
              <w:right w:w="60" w:type="dxa"/>
            </w:tcMar>
            <w:vAlign w:val="center"/>
          </w:tcPr>
          <w:p w14:paraId="374698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252</w:t>
            </w:r>
          </w:p>
        </w:tc>
        <w:tc>
          <w:tcPr>
            <w:tcW w:w="102" w:type="dxa"/>
            <w:tcBorders>
              <w:top w:val="nil"/>
              <w:left w:val="nil"/>
              <w:bottom w:val="nil"/>
              <w:right w:val="nil"/>
              <w:tl2br w:val="nil"/>
              <w:tr2bl w:val="nil"/>
            </w:tcBorders>
            <w:tcMar>
              <w:left w:w="60" w:type="dxa"/>
              <w:right w:w="60" w:type="dxa"/>
            </w:tcMar>
            <w:vAlign w:val="center"/>
          </w:tcPr>
          <w:p w14:paraId="2A4635B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286F1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DEA29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252</w:t>
            </w:r>
          </w:p>
        </w:tc>
        <w:tc>
          <w:tcPr>
            <w:tcW w:w="99" w:type="dxa"/>
            <w:tcBorders>
              <w:top w:val="nil"/>
              <w:left w:val="nil"/>
              <w:bottom w:val="nil"/>
              <w:right w:val="nil"/>
              <w:tl2br w:val="nil"/>
              <w:tr2bl w:val="nil"/>
            </w:tcBorders>
            <w:tcMar>
              <w:left w:w="60" w:type="dxa"/>
              <w:right w:w="60" w:type="dxa"/>
            </w:tcMar>
            <w:vAlign w:val="center"/>
          </w:tcPr>
          <w:p w14:paraId="4B3810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40EE5AB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31C14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374C28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7FCAFA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8FA764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B99065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89440EC"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49AD34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F5543AB"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511BE8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Short-term Defence instrument on common procurement</w:t>
            </w:r>
          </w:p>
        </w:tc>
        <w:tc>
          <w:tcPr>
            <w:tcW w:w="960" w:type="dxa"/>
            <w:tcBorders>
              <w:top w:val="nil"/>
              <w:left w:val="nil"/>
              <w:bottom w:val="nil"/>
              <w:right w:val="nil"/>
              <w:tl2br w:val="nil"/>
              <w:tr2bl w:val="nil"/>
            </w:tcBorders>
            <w:tcMar>
              <w:left w:w="60" w:type="dxa"/>
              <w:right w:w="60" w:type="dxa"/>
            </w:tcMar>
            <w:vAlign w:val="center"/>
          </w:tcPr>
          <w:p w14:paraId="44C71E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126" w:type="dxa"/>
            <w:tcBorders>
              <w:top w:val="nil"/>
              <w:left w:val="nil"/>
              <w:bottom w:val="nil"/>
              <w:right w:val="nil"/>
              <w:tl2br w:val="nil"/>
              <w:tr2bl w:val="nil"/>
            </w:tcBorders>
            <w:tcMar>
              <w:left w:w="60" w:type="dxa"/>
              <w:right w:w="60" w:type="dxa"/>
            </w:tcMar>
            <w:vAlign w:val="center"/>
          </w:tcPr>
          <w:p w14:paraId="25F77AE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102" w:type="dxa"/>
            <w:tcBorders>
              <w:top w:val="nil"/>
              <w:left w:val="nil"/>
              <w:bottom w:val="nil"/>
              <w:right w:val="nil"/>
              <w:tl2br w:val="nil"/>
              <w:tr2bl w:val="nil"/>
            </w:tcBorders>
            <w:tcMar>
              <w:left w:w="60" w:type="dxa"/>
              <w:right w:w="60" w:type="dxa"/>
            </w:tcMar>
            <w:vAlign w:val="center"/>
          </w:tcPr>
          <w:p w14:paraId="22336E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A23EC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3F3EC5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99" w:type="dxa"/>
            <w:tcBorders>
              <w:top w:val="nil"/>
              <w:left w:val="nil"/>
              <w:bottom w:val="nil"/>
              <w:right w:val="nil"/>
              <w:tl2br w:val="nil"/>
              <w:tr2bl w:val="nil"/>
            </w:tcBorders>
            <w:tcMar>
              <w:left w:w="60" w:type="dxa"/>
              <w:right w:w="60" w:type="dxa"/>
            </w:tcMar>
            <w:vAlign w:val="center"/>
          </w:tcPr>
          <w:p w14:paraId="6635AA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33D2108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CCFECD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6FBEEFD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0B03FA3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32A344E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C9851B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A8327C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28B21B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2A7B1D7"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65E72A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Defence Industrial Reinforcement Instrument</w:t>
            </w:r>
          </w:p>
        </w:tc>
        <w:tc>
          <w:tcPr>
            <w:tcW w:w="960" w:type="dxa"/>
            <w:tcBorders>
              <w:top w:val="nil"/>
              <w:left w:val="nil"/>
              <w:bottom w:val="nil"/>
              <w:right w:val="nil"/>
              <w:tl2br w:val="nil"/>
              <w:tr2bl w:val="nil"/>
            </w:tcBorders>
            <w:tcMar>
              <w:left w:w="60" w:type="dxa"/>
              <w:right w:w="60" w:type="dxa"/>
            </w:tcMar>
            <w:vAlign w:val="center"/>
          </w:tcPr>
          <w:p w14:paraId="7061399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26" w:type="dxa"/>
            <w:tcBorders>
              <w:top w:val="nil"/>
              <w:left w:val="nil"/>
              <w:bottom w:val="nil"/>
              <w:right w:val="nil"/>
              <w:tl2br w:val="nil"/>
              <w:tr2bl w:val="nil"/>
            </w:tcBorders>
            <w:tcMar>
              <w:left w:w="60" w:type="dxa"/>
              <w:right w:w="60" w:type="dxa"/>
            </w:tcMar>
            <w:vAlign w:val="center"/>
          </w:tcPr>
          <w:p w14:paraId="5CEA8C2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2D0E8BA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210725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BFE4F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14:paraId="163A568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5" w:type="dxa"/>
            <w:tcBorders>
              <w:top w:val="nil"/>
              <w:left w:val="nil"/>
              <w:bottom w:val="nil"/>
              <w:right w:val="nil"/>
              <w:tl2br w:val="nil"/>
              <w:tr2bl w:val="nil"/>
            </w:tcBorders>
            <w:tcMar>
              <w:left w:w="60" w:type="dxa"/>
              <w:right w:w="60" w:type="dxa"/>
            </w:tcMar>
            <w:vAlign w:val="center"/>
          </w:tcPr>
          <w:p w14:paraId="57154C0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712BF7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06" w:type="dxa"/>
            <w:tcBorders>
              <w:top w:val="nil"/>
              <w:left w:val="nil"/>
              <w:bottom w:val="nil"/>
              <w:right w:val="nil"/>
              <w:tl2br w:val="nil"/>
              <w:tr2bl w:val="nil"/>
            </w:tcBorders>
            <w:tcMar>
              <w:left w:w="60" w:type="dxa"/>
              <w:right w:w="60" w:type="dxa"/>
            </w:tcMar>
            <w:vAlign w:val="center"/>
          </w:tcPr>
          <w:p w14:paraId="554771D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2" w:type="dxa"/>
            <w:tcBorders>
              <w:top w:val="nil"/>
              <w:left w:val="nil"/>
              <w:bottom w:val="nil"/>
              <w:right w:val="nil"/>
              <w:tl2br w:val="nil"/>
              <w:tr2bl w:val="nil"/>
            </w:tcBorders>
            <w:tcMar>
              <w:left w:w="60" w:type="dxa"/>
              <w:right w:w="60" w:type="dxa"/>
            </w:tcMar>
            <w:vAlign w:val="center"/>
          </w:tcPr>
          <w:p w14:paraId="30E862B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E1FAC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033D4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5F69A27B"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6C38CC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E98B02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2AAF08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Defence Industry Programme</w:t>
            </w:r>
          </w:p>
        </w:tc>
        <w:tc>
          <w:tcPr>
            <w:tcW w:w="960" w:type="dxa"/>
            <w:tcBorders>
              <w:top w:val="nil"/>
              <w:left w:val="nil"/>
              <w:bottom w:val="nil"/>
              <w:right w:val="nil"/>
              <w:tl2br w:val="nil"/>
              <w:tr2bl w:val="nil"/>
            </w:tcBorders>
            <w:tcMar>
              <w:left w:w="60" w:type="dxa"/>
              <w:right w:w="60" w:type="dxa"/>
            </w:tcMar>
            <w:vAlign w:val="center"/>
          </w:tcPr>
          <w:p w14:paraId="12DA70D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14:paraId="6128B7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72224A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8830B0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464B4E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14:paraId="521DFC2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14:paraId="636066D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457640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27A489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6E3244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198DE84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415503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70B47A4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28D74E48"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6FD3EF5"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C65167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2D1BCEC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14:paraId="1ED8E3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0189DCC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0E8A83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18896C7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14:paraId="6B120E1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14:paraId="2EB290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36463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0D4E24B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09E2B66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97B686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E61F87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F86938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EB3B506"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6E2F3A0"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BA9284E"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960" w:type="dxa"/>
            <w:tcBorders>
              <w:top w:val="nil"/>
              <w:left w:val="nil"/>
              <w:bottom w:val="nil"/>
              <w:right w:val="nil"/>
              <w:tl2br w:val="nil"/>
              <w:tr2bl w:val="nil"/>
            </w:tcBorders>
            <w:tcMar>
              <w:left w:w="60" w:type="dxa"/>
              <w:right w:w="60" w:type="dxa"/>
            </w:tcMar>
            <w:vAlign w:val="center"/>
          </w:tcPr>
          <w:p w14:paraId="137BF0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126" w:type="dxa"/>
            <w:tcBorders>
              <w:top w:val="nil"/>
              <w:left w:val="nil"/>
              <w:bottom w:val="nil"/>
              <w:right w:val="nil"/>
              <w:tl2br w:val="nil"/>
              <w:tr2bl w:val="nil"/>
            </w:tcBorders>
            <w:tcMar>
              <w:left w:w="60" w:type="dxa"/>
              <w:right w:w="60" w:type="dxa"/>
            </w:tcMar>
            <w:vAlign w:val="center"/>
          </w:tcPr>
          <w:p w14:paraId="14C1B45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102" w:type="dxa"/>
            <w:tcBorders>
              <w:top w:val="nil"/>
              <w:left w:val="nil"/>
              <w:bottom w:val="nil"/>
              <w:right w:val="nil"/>
              <w:tl2br w:val="nil"/>
              <w:tr2bl w:val="nil"/>
            </w:tcBorders>
            <w:tcMar>
              <w:left w:w="60" w:type="dxa"/>
              <w:right w:w="60" w:type="dxa"/>
            </w:tcMar>
            <w:vAlign w:val="center"/>
          </w:tcPr>
          <w:p w14:paraId="66307E8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D72730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5AB3D50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99" w:type="dxa"/>
            <w:tcBorders>
              <w:top w:val="nil"/>
              <w:left w:val="nil"/>
              <w:bottom w:val="nil"/>
              <w:right w:val="nil"/>
              <w:tl2br w:val="nil"/>
              <w:tr2bl w:val="nil"/>
            </w:tcBorders>
            <w:tcMar>
              <w:left w:w="60" w:type="dxa"/>
              <w:right w:w="60" w:type="dxa"/>
            </w:tcMar>
            <w:vAlign w:val="center"/>
          </w:tcPr>
          <w:p w14:paraId="3FFFF5D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5987D8F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B9BE9C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376453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1EF3B23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0609A8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B92F8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105E5A1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26FF6BCE"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1F345A4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3678515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5: Security and Defence</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40D5B15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2 742</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6100AFD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2 620</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7267B5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0F97F4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5378A1F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2 666</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55E9F4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97 %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0B5374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1BBBAA8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098A0C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0FFE51F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2A9ACC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0FAB6DF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3EA6FB3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B236695"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FD791FB"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C082358" w14:textId="77777777" w:rsidR="00807FFE" w:rsidRDefault="00807FFE">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5F40ED04" w14:textId="77777777" w:rsidR="00807FFE" w:rsidRDefault="00807FFE">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58D18AA4" w14:textId="77777777" w:rsidR="00807FFE" w:rsidRDefault="00807FFE">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79C0ADC3"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6FD6F92A" w14:textId="77777777" w:rsidR="00807FFE" w:rsidRDefault="00807FFE">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2521ACAE" w14:textId="77777777" w:rsidR="00807FFE" w:rsidRDefault="00807FFE">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17EA62C2" w14:textId="77777777" w:rsidR="00807FFE" w:rsidRDefault="00807FFE">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15DB7443"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1F07E244" w14:textId="77777777" w:rsidR="00807FFE" w:rsidRDefault="00807FFE">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0C801FD3" w14:textId="77777777" w:rsidR="00807FFE" w:rsidRDefault="00807FFE">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2A51A251" w14:textId="77777777" w:rsidR="00807FFE" w:rsidRDefault="00807FFE">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18CCCDE7"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0403CD8B" w14:textId="77777777" w:rsidR="00807FFE" w:rsidRDefault="00807FFE">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20F110EF" w14:textId="77777777" w:rsidR="00807FFE" w:rsidRDefault="00807FFE">
            <w:pPr>
              <w:pStyle w:val="DMETW36742BIPDetailedMFF2ImplementCommitments"/>
              <w:jc w:val="right"/>
              <w:rPr>
                <w:rFonts w:ascii="Verdana" w:eastAsia="Verdana" w:hAnsi="Verdana" w:cs="Verdana"/>
                <w:noProof/>
                <w:color w:val="000000"/>
                <w:sz w:val="16"/>
                <w:lang w:bidi="en-GB"/>
              </w:rPr>
            </w:pPr>
          </w:p>
        </w:tc>
      </w:tr>
      <w:tr w:rsidR="00807FFE" w14:paraId="081E8A10"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823401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6</w:t>
            </w:r>
          </w:p>
        </w:tc>
        <w:tc>
          <w:tcPr>
            <w:tcW w:w="479" w:type="dxa"/>
            <w:tcBorders>
              <w:top w:val="nil"/>
              <w:left w:val="nil"/>
              <w:bottom w:val="nil"/>
              <w:right w:val="nil"/>
              <w:tl2br w:val="nil"/>
              <w:tr2bl w:val="nil"/>
            </w:tcBorders>
            <w:tcMar>
              <w:left w:w="60" w:type="dxa"/>
              <w:right w:w="60" w:type="dxa"/>
            </w:tcMar>
            <w:vAlign w:val="center"/>
          </w:tcPr>
          <w:p w14:paraId="7B5E83A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Neighbourhood, Development and International Cooperation Instrument - Global Europe ( NDICI - Global Europe )</w:t>
            </w:r>
          </w:p>
        </w:tc>
        <w:tc>
          <w:tcPr>
            <w:tcW w:w="960" w:type="dxa"/>
            <w:tcBorders>
              <w:top w:val="nil"/>
              <w:left w:val="nil"/>
              <w:bottom w:val="nil"/>
              <w:right w:val="nil"/>
              <w:tl2br w:val="nil"/>
              <w:tr2bl w:val="nil"/>
            </w:tcBorders>
            <w:tcMar>
              <w:left w:w="60" w:type="dxa"/>
              <w:right w:w="60" w:type="dxa"/>
            </w:tcMar>
            <w:vAlign w:val="center"/>
          </w:tcPr>
          <w:p w14:paraId="73ED7AA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12 292</w:t>
            </w:r>
          </w:p>
        </w:tc>
        <w:tc>
          <w:tcPr>
            <w:tcW w:w="126" w:type="dxa"/>
            <w:tcBorders>
              <w:top w:val="nil"/>
              <w:left w:val="nil"/>
              <w:bottom w:val="nil"/>
              <w:right w:val="nil"/>
              <w:tl2br w:val="nil"/>
              <w:tr2bl w:val="nil"/>
            </w:tcBorders>
            <w:tcMar>
              <w:left w:w="60" w:type="dxa"/>
              <w:right w:w="60" w:type="dxa"/>
            </w:tcMar>
            <w:vAlign w:val="center"/>
          </w:tcPr>
          <w:p w14:paraId="788742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10 356</w:t>
            </w:r>
          </w:p>
        </w:tc>
        <w:tc>
          <w:tcPr>
            <w:tcW w:w="102" w:type="dxa"/>
            <w:tcBorders>
              <w:top w:val="nil"/>
              <w:left w:val="nil"/>
              <w:bottom w:val="nil"/>
              <w:right w:val="nil"/>
              <w:tl2br w:val="nil"/>
              <w:tr2bl w:val="nil"/>
            </w:tcBorders>
            <w:tcMar>
              <w:left w:w="60" w:type="dxa"/>
              <w:right w:w="60" w:type="dxa"/>
            </w:tcMar>
            <w:vAlign w:val="center"/>
          </w:tcPr>
          <w:p w14:paraId="78109B4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701</w:t>
            </w:r>
          </w:p>
        </w:tc>
        <w:tc>
          <w:tcPr>
            <w:tcW w:w="112" w:type="dxa"/>
            <w:tcBorders>
              <w:top w:val="nil"/>
              <w:left w:val="nil"/>
              <w:bottom w:val="nil"/>
              <w:right w:val="nil"/>
              <w:tl2br w:val="nil"/>
              <w:tr2bl w:val="nil"/>
            </w:tcBorders>
            <w:tcMar>
              <w:left w:w="60" w:type="dxa"/>
              <w:right w:w="60" w:type="dxa"/>
            </w:tcMar>
            <w:vAlign w:val="center"/>
          </w:tcPr>
          <w:p w14:paraId="3022937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305</w:t>
            </w:r>
          </w:p>
        </w:tc>
        <w:tc>
          <w:tcPr>
            <w:tcW w:w="125" w:type="dxa"/>
            <w:tcBorders>
              <w:top w:val="nil"/>
              <w:left w:val="nil"/>
              <w:bottom w:val="nil"/>
              <w:right w:val="nil"/>
              <w:tl2br w:val="nil"/>
              <w:tr2bl w:val="nil"/>
            </w:tcBorders>
            <w:tcMar>
              <w:left w:w="60" w:type="dxa"/>
              <w:right w:w="60" w:type="dxa"/>
            </w:tcMar>
            <w:vAlign w:val="center"/>
          </w:tcPr>
          <w:p w14:paraId="39811D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11 361</w:t>
            </w:r>
          </w:p>
        </w:tc>
        <w:tc>
          <w:tcPr>
            <w:tcW w:w="99" w:type="dxa"/>
            <w:tcBorders>
              <w:top w:val="nil"/>
              <w:left w:val="nil"/>
              <w:bottom w:val="nil"/>
              <w:right w:val="nil"/>
              <w:tl2br w:val="nil"/>
              <w:tr2bl w:val="nil"/>
            </w:tcBorders>
            <w:tcMar>
              <w:left w:w="60" w:type="dxa"/>
              <w:right w:w="60" w:type="dxa"/>
            </w:tcMar>
            <w:vAlign w:val="center"/>
          </w:tcPr>
          <w:p w14:paraId="29507B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92 %</w:t>
            </w:r>
          </w:p>
        </w:tc>
        <w:tc>
          <w:tcPr>
            <w:tcW w:w="105" w:type="dxa"/>
            <w:tcBorders>
              <w:top w:val="nil"/>
              <w:left w:val="nil"/>
              <w:bottom w:val="nil"/>
              <w:right w:val="nil"/>
              <w:tl2br w:val="nil"/>
              <w:tr2bl w:val="nil"/>
            </w:tcBorders>
            <w:tcMar>
              <w:left w:w="60" w:type="dxa"/>
              <w:right w:w="60" w:type="dxa"/>
            </w:tcMar>
            <w:vAlign w:val="center"/>
          </w:tcPr>
          <w:p w14:paraId="0FA8AEC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565</w:t>
            </w:r>
          </w:p>
        </w:tc>
        <w:tc>
          <w:tcPr>
            <w:tcW w:w="112" w:type="dxa"/>
            <w:tcBorders>
              <w:top w:val="nil"/>
              <w:left w:val="nil"/>
              <w:bottom w:val="nil"/>
              <w:right w:val="nil"/>
              <w:tl2br w:val="nil"/>
              <w:tr2bl w:val="nil"/>
            </w:tcBorders>
            <w:tcMar>
              <w:left w:w="60" w:type="dxa"/>
              <w:right w:w="60" w:type="dxa"/>
            </w:tcMar>
            <w:vAlign w:val="center"/>
          </w:tcPr>
          <w:p w14:paraId="5546A27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339</w:t>
            </w:r>
          </w:p>
        </w:tc>
        <w:tc>
          <w:tcPr>
            <w:tcW w:w="106" w:type="dxa"/>
            <w:tcBorders>
              <w:top w:val="nil"/>
              <w:left w:val="nil"/>
              <w:bottom w:val="nil"/>
              <w:right w:val="nil"/>
              <w:tl2br w:val="nil"/>
              <w:tr2bl w:val="nil"/>
            </w:tcBorders>
            <w:tcMar>
              <w:left w:w="60" w:type="dxa"/>
              <w:right w:w="60" w:type="dxa"/>
            </w:tcMar>
            <w:vAlign w:val="center"/>
          </w:tcPr>
          <w:p w14:paraId="11D3D8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904</w:t>
            </w:r>
          </w:p>
        </w:tc>
        <w:tc>
          <w:tcPr>
            <w:tcW w:w="92" w:type="dxa"/>
            <w:tcBorders>
              <w:top w:val="nil"/>
              <w:left w:val="nil"/>
              <w:bottom w:val="nil"/>
              <w:right w:val="nil"/>
              <w:tl2br w:val="nil"/>
              <w:tr2bl w:val="nil"/>
            </w:tcBorders>
            <w:tcMar>
              <w:left w:w="60" w:type="dxa"/>
              <w:right w:w="60" w:type="dxa"/>
            </w:tcMar>
            <w:vAlign w:val="center"/>
          </w:tcPr>
          <w:p w14:paraId="071400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5736EC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12" w:type="dxa"/>
            <w:tcBorders>
              <w:top w:val="nil"/>
              <w:left w:val="nil"/>
              <w:bottom w:val="nil"/>
              <w:right w:val="nil"/>
              <w:tl2br w:val="nil"/>
              <w:tr2bl w:val="nil"/>
            </w:tcBorders>
            <w:tcMar>
              <w:left w:w="60" w:type="dxa"/>
              <w:right w:w="60" w:type="dxa"/>
            </w:tcMar>
            <w:vAlign w:val="center"/>
          </w:tcPr>
          <w:p w14:paraId="586D2E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FA42B5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27</w:t>
            </w:r>
          </w:p>
        </w:tc>
      </w:tr>
      <w:tr w:rsidR="00807FFE" w14:paraId="504E49F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6A32DCE"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D20EED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Instrument for International Nuclear Safety Cooperation (INSC)</w:t>
            </w:r>
          </w:p>
        </w:tc>
        <w:tc>
          <w:tcPr>
            <w:tcW w:w="960" w:type="dxa"/>
            <w:tcBorders>
              <w:top w:val="nil"/>
              <w:left w:val="nil"/>
              <w:bottom w:val="nil"/>
              <w:right w:val="nil"/>
              <w:tl2br w:val="nil"/>
              <w:tr2bl w:val="nil"/>
            </w:tcBorders>
            <w:tcMar>
              <w:left w:w="60" w:type="dxa"/>
              <w:right w:w="60" w:type="dxa"/>
            </w:tcMar>
            <w:vAlign w:val="center"/>
          </w:tcPr>
          <w:p w14:paraId="437747A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66</w:t>
            </w:r>
          </w:p>
        </w:tc>
        <w:tc>
          <w:tcPr>
            <w:tcW w:w="126" w:type="dxa"/>
            <w:tcBorders>
              <w:top w:val="nil"/>
              <w:left w:val="nil"/>
              <w:bottom w:val="nil"/>
              <w:right w:val="nil"/>
              <w:tl2br w:val="nil"/>
              <w:tr2bl w:val="nil"/>
            </w:tcBorders>
            <w:tcMar>
              <w:left w:w="60" w:type="dxa"/>
              <w:right w:w="60" w:type="dxa"/>
            </w:tcMar>
            <w:vAlign w:val="center"/>
          </w:tcPr>
          <w:p w14:paraId="5204CF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102" w:type="dxa"/>
            <w:tcBorders>
              <w:top w:val="nil"/>
              <w:left w:val="nil"/>
              <w:bottom w:val="nil"/>
              <w:right w:val="nil"/>
              <w:tl2br w:val="nil"/>
              <w:tr2bl w:val="nil"/>
            </w:tcBorders>
            <w:tcMar>
              <w:left w:w="60" w:type="dxa"/>
              <w:right w:w="60" w:type="dxa"/>
            </w:tcMar>
            <w:vAlign w:val="center"/>
          </w:tcPr>
          <w:p w14:paraId="1D9B0DB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14:paraId="6069255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25" w:type="dxa"/>
            <w:tcBorders>
              <w:top w:val="nil"/>
              <w:left w:val="nil"/>
              <w:bottom w:val="nil"/>
              <w:right w:val="nil"/>
              <w:tl2br w:val="nil"/>
              <w:tr2bl w:val="nil"/>
            </w:tcBorders>
            <w:tcMar>
              <w:left w:w="60" w:type="dxa"/>
              <w:right w:w="60" w:type="dxa"/>
            </w:tcMar>
            <w:vAlign w:val="center"/>
          </w:tcPr>
          <w:p w14:paraId="3CCAD6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66</w:t>
            </w:r>
          </w:p>
        </w:tc>
        <w:tc>
          <w:tcPr>
            <w:tcW w:w="99" w:type="dxa"/>
            <w:tcBorders>
              <w:top w:val="nil"/>
              <w:left w:val="nil"/>
              <w:bottom w:val="nil"/>
              <w:right w:val="nil"/>
              <w:tl2br w:val="nil"/>
              <w:tr2bl w:val="nil"/>
            </w:tcBorders>
            <w:tcMar>
              <w:left w:w="60" w:type="dxa"/>
              <w:right w:w="60" w:type="dxa"/>
            </w:tcMar>
            <w:vAlign w:val="center"/>
          </w:tcPr>
          <w:p w14:paraId="4C9A4A5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5621EA5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6E2872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20B345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186E16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24F53B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14:paraId="484AAF0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74287CF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C377B8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678AB3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E4E8F44"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Humanitarian Aid (HUMA)</w:t>
            </w:r>
          </w:p>
        </w:tc>
        <w:tc>
          <w:tcPr>
            <w:tcW w:w="960" w:type="dxa"/>
            <w:tcBorders>
              <w:top w:val="nil"/>
              <w:left w:val="nil"/>
              <w:bottom w:val="nil"/>
              <w:right w:val="nil"/>
              <w:tl2br w:val="nil"/>
              <w:tr2bl w:val="nil"/>
            </w:tcBorders>
            <w:tcMar>
              <w:left w:w="60" w:type="dxa"/>
              <w:right w:w="60" w:type="dxa"/>
            </w:tcMar>
            <w:vAlign w:val="center"/>
          </w:tcPr>
          <w:p w14:paraId="66DAF57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2 588</w:t>
            </w:r>
          </w:p>
        </w:tc>
        <w:tc>
          <w:tcPr>
            <w:tcW w:w="126" w:type="dxa"/>
            <w:tcBorders>
              <w:top w:val="nil"/>
              <w:left w:val="nil"/>
              <w:bottom w:val="nil"/>
              <w:right w:val="nil"/>
              <w:tl2br w:val="nil"/>
              <w:tr2bl w:val="nil"/>
            </w:tcBorders>
            <w:tcMar>
              <w:left w:w="60" w:type="dxa"/>
              <w:right w:w="60" w:type="dxa"/>
            </w:tcMar>
            <w:vAlign w:val="center"/>
          </w:tcPr>
          <w:p w14:paraId="79071D2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2 569</w:t>
            </w:r>
          </w:p>
        </w:tc>
        <w:tc>
          <w:tcPr>
            <w:tcW w:w="102" w:type="dxa"/>
            <w:tcBorders>
              <w:top w:val="nil"/>
              <w:left w:val="nil"/>
              <w:bottom w:val="nil"/>
              <w:right w:val="nil"/>
              <w:tl2br w:val="nil"/>
              <w:tr2bl w:val="nil"/>
            </w:tcBorders>
            <w:tcMar>
              <w:left w:w="60" w:type="dxa"/>
              <w:right w:w="60" w:type="dxa"/>
            </w:tcMar>
            <w:vAlign w:val="center"/>
          </w:tcPr>
          <w:p w14:paraId="20F591D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7E7F17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25" w:type="dxa"/>
            <w:tcBorders>
              <w:top w:val="nil"/>
              <w:left w:val="nil"/>
              <w:bottom w:val="nil"/>
              <w:right w:val="nil"/>
              <w:tl2br w:val="nil"/>
              <w:tr2bl w:val="nil"/>
            </w:tcBorders>
            <w:tcMar>
              <w:left w:w="60" w:type="dxa"/>
              <w:right w:w="60" w:type="dxa"/>
            </w:tcMar>
            <w:vAlign w:val="center"/>
          </w:tcPr>
          <w:p w14:paraId="68283E3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2 575</w:t>
            </w:r>
          </w:p>
        </w:tc>
        <w:tc>
          <w:tcPr>
            <w:tcW w:w="99" w:type="dxa"/>
            <w:tcBorders>
              <w:top w:val="nil"/>
              <w:left w:val="nil"/>
              <w:bottom w:val="nil"/>
              <w:right w:val="nil"/>
              <w:tl2br w:val="nil"/>
              <w:tr2bl w:val="nil"/>
            </w:tcBorders>
            <w:tcMar>
              <w:left w:w="60" w:type="dxa"/>
              <w:right w:w="60" w:type="dxa"/>
            </w:tcMar>
            <w:vAlign w:val="center"/>
          </w:tcPr>
          <w:p w14:paraId="6AE6F2A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38F8FA5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42A8C2A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06" w:type="dxa"/>
            <w:tcBorders>
              <w:top w:val="nil"/>
              <w:left w:val="nil"/>
              <w:bottom w:val="nil"/>
              <w:right w:val="nil"/>
              <w:tl2br w:val="nil"/>
              <w:tr2bl w:val="nil"/>
            </w:tcBorders>
            <w:tcMar>
              <w:left w:w="60" w:type="dxa"/>
              <w:right w:w="60" w:type="dxa"/>
            </w:tcMar>
            <w:vAlign w:val="center"/>
          </w:tcPr>
          <w:p w14:paraId="5F3F915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92" w:type="dxa"/>
            <w:tcBorders>
              <w:top w:val="nil"/>
              <w:left w:val="nil"/>
              <w:bottom w:val="nil"/>
              <w:right w:val="nil"/>
              <w:tl2br w:val="nil"/>
              <w:tr2bl w:val="nil"/>
            </w:tcBorders>
            <w:tcMar>
              <w:left w:w="60" w:type="dxa"/>
              <w:right w:w="60" w:type="dxa"/>
            </w:tcMar>
            <w:vAlign w:val="center"/>
          </w:tcPr>
          <w:p w14:paraId="24B6FA2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AA6FA8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2E55FB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0495A71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2EDB6E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78C203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5BD0D8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Common Foreign and Security Policy (CFSP)</w:t>
            </w:r>
          </w:p>
        </w:tc>
        <w:tc>
          <w:tcPr>
            <w:tcW w:w="960" w:type="dxa"/>
            <w:tcBorders>
              <w:top w:val="nil"/>
              <w:left w:val="nil"/>
              <w:bottom w:val="nil"/>
              <w:right w:val="nil"/>
              <w:tl2br w:val="nil"/>
              <w:tr2bl w:val="nil"/>
            </w:tcBorders>
            <w:tcMar>
              <w:left w:w="60" w:type="dxa"/>
              <w:right w:w="60" w:type="dxa"/>
            </w:tcMar>
            <w:vAlign w:val="center"/>
          </w:tcPr>
          <w:p w14:paraId="50BD31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429</w:t>
            </w:r>
          </w:p>
        </w:tc>
        <w:tc>
          <w:tcPr>
            <w:tcW w:w="126" w:type="dxa"/>
            <w:tcBorders>
              <w:top w:val="nil"/>
              <w:left w:val="nil"/>
              <w:bottom w:val="nil"/>
              <w:right w:val="nil"/>
              <w:tl2br w:val="nil"/>
              <w:tr2bl w:val="nil"/>
            </w:tcBorders>
            <w:tcMar>
              <w:left w:w="60" w:type="dxa"/>
              <w:right w:w="60" w:type="dxa"/>
            </w:tcMar>
            <w:vAlign w:val="center"/>
          </w:tcPr>
          <w:p w14:paraId="0510FD8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393</w:t>
            </w:r>
          </w:p>
        </w:tc>
        <w:tc>
          <w:tcPr>
            <w:tcW w:w="102" w:type="dxa"/>
            <w:tcBorders>
              <w:top w:val="nil"/>
              <w:left w:val="nil"/>
              <w:bottom w:val="nil"/>
              <w:right w:val="nil"/>
              <w:tl2br w:val="nil"/>
              <w:tr2bl w:val="nil"/>
            </w:tcBorders>
            <w:tcMar>
              <w:left w:w="60" w:type="dxa"/>
              <w:right w:w="60" w:type="dxa"/>
            </w:tcMar>
            <w:vAlign w:val="center"/>
          </w:tcPr>
          <w:p w14:paraId="77DBB4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2AA9D7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25" w:type="dxa"/>
            <w:tcBorders>
              <w:top w:val="nil"/>
              <w:left w:val="nil"/>
              <w:bottom w:val="nil"/>
              <w:right w:val="nil"/>
              <w:tl2br w:val="nil"/>
              <w:tr2bl w:val="nil"/>
            </w:tcBorders>
            <w:tcMar>
              <w:left w:w="60" w:type="dxa"/>
              <w:right w:w="60" w:type="dxa"/>
            </w:tcMar>
            <w:vAlign w:val="center"/>
          </w:tcPr>
          <w:p w14:paraId="26682E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419</w:t>
            </w:r>
          </w:p>
        </w:tc>
        <w:tc>
          <w:tcPr>
            <w:tcW w:w="99" w:type="dxa"/>
            <w:tcBorders>
              <w:top w:val="nil"/>
              <w:left w:val="nil"/>
              <w:bottom w:val="nil"/>
              <w:right w:val="nil"/>
              <w:tl2br w:val="nil"/>
              <w:tr2bl w:val="nil"/>
            </w:tcBorders>
            <w:tcMar>
              <w:left w:w="60" w:type="dxa"/>
              <w:right w:w="60" w:type="dxa"/>
            </w:tcMar>
            <w:vAlign w:val="center"/>
          </w:tcPr>
          <w:p w14:paraId="05D68F5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13468FD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50825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06" w:type="dxa"/>
            <w:tcBorders>
              <w:top w:val="nil"/>
              <w:left w:val="nil"/>
              <w:bottom w:val="nil"/>
              <w:right w:val="nil"/>
              <w:tl2br w:val="nil"/>
              <w:tr2bl w:val="nil"/>
            </w:tcBorders>
            <w:tcMar>
              <w:left w:w="60" w:type="dxa"/>
              <w:right w:w="60" w:type="dxa"/>
            </w:tcMar>
            <w:vAlign w:val="center"/>
          </w:tcPr>
          <w:p w14:paraId="74856BE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2" w:type="dxa"/>
            <w:tcBorders>
              <w:top w:val="nil"/>
              <w:left w:val="nil"/>
              <w:bottom w:val="nil"/>
              <w:right w:val="nil"/>
              <w:tl2br w:val="nil"/>
              <w:tr2bl w:val="nil"/>
            </w:tcBorders>
            <w:tcMar>
              <w:left w:w="60" w:type="dxa"/>
              <w:right w:w="60" w:type="dxa"/>
            </w:tcMar>
            <w:vAlign w:val="center"/>
          </w:tcPr>
          <w:p w14:paraId="3D88917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3B4196D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E438A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0316B49"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4CC387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48F48A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7E45052"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Overseas Countries and Territories (OCT) (including Greenland)</w:t>
            </w:r>
          </w:p>
        </w:tc>
        <w:tc>
          <w:tcPr>
            <w:tcW w:w="960" w:type="dxa"/>
            <w:tcBorders>
              <w:top w:val="nil"/>
              <w:left w:val="nil"/>
              <w:bottom w:val="nil"/>
              <w:right w:val="nil"/>
              <w:tl2br w:val="nil"/>
              <w:tr2bl w:val="nil"/>
            </w:tcBorders>
            <w:tcMar>
              <w:left w:w="60" w:type="dxa"/>
              <w:right w:w="60" w:type="dxa"/>
            </w:tcMar>
            <w:vAlign w:val="center"/>
          </w:tcPr>
          <w:p w14:paraId="2CEA1F1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108</w:t>
            </w:r>
          </w:p>
        </w:tc>
        <w:tc>
          <w:tcPr>
            <w:tcW w:w="126" w:type="dxa"/>
            <w:tcBorders>
              <w:top w:val="nil"/>
              <w:left w:val="nil"/>
              <w:bottom w:val="nil"/>
              <w:right w:val="nil"/>
              <w:tl2br w:val="nil"/>
              <w:tr2bl w:val="nil"/>
            </w:tcBorders>
            <w:tcMar>
              <w:left w:w="60" w:type="dxa"/>
              <w:right w:w="60" w:type="dxa"/>
            </w:tcMar>
            <w:vAlign w:val="center"/>
          </w:tcPr>
          <w:p w14:paraId="2CB7DC9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67</w:t>
            </w:r>
          </w:p>
        </w:tc>
        <w:tc>
          <w:tcPr>
            <w:tcW w:w="102" w:type="dxa"/>
            <w:tcBorders>
              <w:top w:val="nil"/>
              <w:left w:val="nil"/>
              <w:bottom w:val="nil"/>
              <w:right w:val="nil"/>
              <w:tl2br w:val="nil"/>
              <w:tr2bl w:val="nil"/>
            </w:tcBorders>
            <w:tcMar>
              <w:left w:w="60" w:type="dxa"/>
              <w:right w:w="60" w:type="dxa"/>
            </w:tcMar>
            <w:vAlign w:val="center"/>
          </w:tcPr>
          <w:p w14:paraId="24969D3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14:paraId="411B2E3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4AC7B90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68</w:t>
            </w:r>
          </w:p>
        </w:tc>
        <w:tc>
          <w:tcPr>
            <w:tcW w:w="99" w:type="dxa"/>
            <w:tcBorders>
              <w:top w:val="nil"/>
              <w:left w:val="nil"/>
              <w:bottom w:val="nil"/>
              <w:right w:val="nil"/>
              <w:tl2br w:val="nil"/>
              <w:tr2bl w:val="nil"/>
            </w:tcBorders>
            <w:tcMar>
              <w:left w:w="60" w:type="dxa"/>
              <w:right w:w="60" w:type="dxa"/>
            </w:tcMar>
            <w:vAlign w:val="center"/>
          </w:tcPr>
          <w:p w14:paraId="6B1260B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62 %</w:t>
            </w:r>
          </w:p>
        </w:tc>
        <w:tc>
          <w:tcPr>
            <w:tcW w:w="105" w:type="dxa"/>
            <w:tcBorders>
              <w:top w:val="nil"/>
              <w:left w:val="nil"/>
              <w:bottom w:val="nil"/>
              <w:right w:val="nil"/>
              <w:tl2br w:val="nil"/>
              <w:tr2bl w:val="nil"/>
            </w:tcBorders>
            <w:tcMar>
              <w:left w:w="60" w:type="dxa"/>
              <w:right w:w="60" w:type="dxa"/>
            </w:tcMar>
            <w:vAlign w:val="center"/>
          </w:tcPr>
          <w:p w14:paraId="3B1438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12" w:type="dxa"/>
            <w:tcBorders>
              <w:top w:val="nil"/>
              <w:left w:val="nil"/>
              <w:bottom w:val="nil"/>
              <w:right w:val="nil"/>
              <w:tl2br w:val="nil"/>
              <w:tr2bl w:val="nil"/>
            </w:tcBorders>
            <w:tcMar>
              <w:left w:w="60" w:type="dxa"/>
              <w:right w:w="60" w:type="dxa"/>
            </w:tcMar>
            <w:vAlign w:val="center"/>
          </w:tcPr>
          <w:p w14:paraId="11CE03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106" w:type="dxa"/>
            <w:tcBorders>
              <w:top w:val="nil"/>
              <w:left w:val="nil"/>
              <w:bottom w:val="nil"/>
              <w:right w:val="nil"/>
              <w:tl2br w:val="nil"/>
              <w:tr2bl w:val="nil"/>
            </w:tcBorders>
            <w:tcMar>
              <w:left w:w="60" w:type="dxa"/>
              <w:right w:w="60" w:type="dxa"/>
            </w:tcMar>
            <w:vAlign w:val="center"/>
          </w:tcPr>
          <w:p w14:paraId="2772FFF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92" w:type="dxa"/>
            <w:tcBorders>
              <w:top w:val="nil"/>
              <w:left w:val="nil"/>
              <w:bottom w:val="nil"/>
              <w:right w:val="nil"/>
              <w:tl2br w:val="nil"/>
              <w:tr2bl w:val="nil"/>
            </w:tcBorders>
            <w:tcMar>
              <w:left w:w="60" w:type="dxa"/>
              <w:right w:w="60" w:type="dxa"/>
            </w:tcMar>
            <w:vAlign w:val="center"/>
          </w:tcPr>
          <w:p w14:paraId="01D1B1E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64A3576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695C7B0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1BE9D63A"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FCC4CA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9A060A3"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8A83AD5"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MFA+</w:t>
            </w:r>
          </w:p>
        </w:tc>
        <w:tc>
          <w:tcPr>
            <w:tcW w:w="960" w:type="dxa"/>
            <w:tcBorders>
              <w:top w:val="nil"/>
              <w:left w:val="nil"/>
              <w:bottom w:val="nil"/>
              <w:right w:val="nil"/>
              <w:tl2br w:val="nil"/>
              <w:tr2bl w:val="nil"/>
            </w:tcBorders>
            <w:tcMar>
              <w:left w:w="60" w:type="dxa"/>
              <w:right w:w="60" w:type="dxa"/>
            </w:tcMar>
            <w:vAlign w:val="center"/>
          </w:tcPr>
          <w:p w14:paraId="68E5F39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591</w:t>
            </w:r>
          </w:p>
        </w:tc>
        <w:tc>
          <w:tcPr>
            <w:tcW w:w="126" w:type="dxa"/>
            <w:tcBorders>
              <w:top w:val="nil"/>
              <w:left w:val="nil"/>
              <w:bottom w:val="nil"/>
              <w:right w:val="nil"/>
              <w:tl2br w:val="nil"/>
              <w:tr2bl w:val="nil"/>
            </w:tcBorders>
            <w:tcMar>
              <w:left w:w="60" w:type="dxa"/>
              <w:right w:w="60" w:type="dxa"/>
            </w:tcMar>
            <w:vAlign w:val="center"/>
          </w:tcPr>
          <w:p w14:paraId="58BFC0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2" w:type="dxa"/>
            <w:tcBorders>
              <w:top w:val="nil"/>
              <w:left w:val="nil"/>
              <w:bottom w:val="nil"/>
              <w:right w:val="nil"/>
              <w:tl2br w:val="nil"/>
              <w:tr2bl w:val="nil"/>
            </w:tcBorders>
            <w:tcMar>
              <w:left w:w="60" w:type="dxa"/>
              <w:right w:w="60" w:type="dxa"/>
            </w:tcMar>
            <w:vAlign w:val="center"/>
          </w:tcPr>
          <w:p w14:paraId="4F3B642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47DC05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570</w:t>
            </w:r>
          </w:p>
        </w:tc>
        <w:tc>
          <w:tcPr>
            <w:tcW w:w="125" w:type="dxa"/>
            <w:tcBorders>
              <w:top w:val="nil"/>
              <w:left w:val="nil"/>
              <w:bottom w:val="nil"/>
              <w:right w:val="nil"/>
              <w:tl2br w:val="nil"/>
              <w:tr2bl w:val="nil"/>
            </w:tcBorders>
            <w:tcMar>
              <w:left w:w="60" w:type="dxa"/>
              <w:right w:w="60" w:type="dxa"/>
            </w:tcMar>
            <w:vAlign w:val="center"/>
          </w:tcPr>
          <w:p w14:paraId="574804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570</w:t>
            </w:r>
          </w:p>
        </w:tc>
        <w:tc>
          <w:tcPr>
            <w:tcW w:w="99" w:type="dxa"/>
            <w:tcBorders>
              <w:top w:val="nil"/>
              <w:left w:val="nil"/>
              <w:bottom w:val="nil"/>
              <w:right w:val="nil"/>
              <w:tl2br w:val="nil"/>
              <w:tr2bl w:val="nil"/>
            </w:tcBorders>
            <w:tcMar>
              <w:left w:w="60" w:type="dxa"/>
              <w:right w:w="60" w:type="dxa"/>
            </w:tcMar>
            <w:vAlign w:val="center"/>
          </w:tcPr>
          <w:p w14:paraId="00E8102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14:paraId="61BF8D1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C939F2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06" w:type="dxa"/>
            <w:tcBorders>
              <w:top w:val="nil"/>
              <w:left w:val="nil"/>
              <w:bottom w:val="nil"/>
              <w:right w:val="nil"/>
              <w:tl2br w:val="nil"/>
              <w:tr2bl w:val="nil"/>
            </w:tcBorders>
            <w:tcMar>
              <w:left w:w="60" w:type="dxa"/>
              <w:right w:w="60" w:type="dxa"/>
            </w:tcMar>
            <w:vAlign w:val="center"/>
          </w:tcPr>
          <w:p w14:paraId="164DF9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92" w:type="dxa"/>
            <w:tcBorders>
              <w:top w:val="nil"/>
              <w:left w:val="nil"/>
              <w:bottom w:val="nil"/>
              <w:right w:val="nil"/>
              <w:tl2br w:val="nil"/>
              <w:tr2bl w:val="nil"/>
            </w:tcBorders>
            <w:tcMar>
              <w:left w:w="60" w:type="dxa"/>
              <w:right w:w="60" w:type="dxa"/>
            </w:tcMar>
            <w:vAlign w:val="center"/>
          </w:tcPr>
          <w:p w14:paraId="4862FB0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1844605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2315AB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0A7258FB"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DBF5BA7"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BA4A636"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6894AC5"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Ukraine Loan Cooperation Mechanism</w:t>
            </w:r>
          </w:p>
        </w:tc>
        <w:tc>
          <w:tcPr>
            <w:tcW w:w="960" w:type="dxa"/>
            <w:tcBorders>
              <w:top w:val="nil"/>
              <w:left w:val="nil"/>
              <w:bottom w:val="nil"/>
              <w:right w:val="nil"/>
              <w:tl2br w:val="nil"/>
              <w:tr2bl w:val="nil"/>
            </w:tcBorders>
            <w:tcMar>
              <w:left w:w="60" w:type="dxa"/>
              <w:right w:w="60" w:type="dxa"/>
            </w:tcMar>
            <w:vAlign w:val="center"/>
          </w:tcPr>
          <w:p w14:paraId="4C0649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126" w:type="dxa"/>
            <w:tcBorders>
              <w:top w:val="nil"/>
              <w:left w:val="nil"/>
              <w:bottom w:val="nil"/>
              <w:right w:val="nil"/>
              <w:tl2br w:val="nil"/>
              <w:tr2bl w:val="nil"/>
            </w:tcBorders>
            <w:tcMar>
              <w:left w:w="60" w:type="dxa"/>
              <w:right w:w="60" w:type="dxa"/>
            </w:tcMar>
            <w:vAlign w:val="center"/>
          </w:tcPr>
          <w:p w14:paraId="284436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5BE12F8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8E838E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125" w:type="dxa"/>
            <w:tcBorders>
              <w:top w:val="nil"/>
              <w:left w:val="nil"/>
              <w:bottom w:val="nil"/>
              <w:right w:val="nil"/>
              <w:tl2br w:val="nil"/>
              <w:tr2bl w:val="nil"/>
            </w:tcBorders>
            <w:tcMar>
              <w:left w:w="60" w:type="dxa"/>
              <w:right w:w="60" w:type="dxa"/>
            </w:tcMar>
            <w:vAlign w:val="center"/>
          </w:tcPr>
          <w:p w14:paraId="2FDD173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99" w:type="dxa"/>
            <w:tcBorders>
              <w:top w:val="nil"/>
              <w:left w:val="nil"/>
              <w:bottom w:val="nil"/>
              <w:right w:val="nil"/>
              <w:tl2br w:val="nil"/>
              <w:tr2bl w:val="nil"/>
            </w:tcBorders>
            <w:tcMar>
              <w:left w:w="60" w:type="dxa"/>
              <w:right w:w="60" w:type="dxa"/>
            </w:tcMar>
            <w:vAlign w:val="center"/>
          </w:tcPr>
          <w:p w14:paraId="4FCFA1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6B867C6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15EF07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523C64B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71F1A07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DA6E8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74390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615648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6DFFB3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12BD4C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98DEE12"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0" w:type="dxa"/>
            <w:tcBorders>
              <w:top w:val="nil"/>
              <w:left w:val="nil"/>
              <w:bottom w:val="nil"/>
              <w:right w:val="nil"/>
              <w:tl2br w:val="nil"/>
              <w:tr2bl w:val="nil"/>
            </w:tcBorders>
            <w:tcMar>
              <w:left w:w="60" w:type="dxa"/>
              <w:right w:w="60" w:type="dxa"/>
            </w:tcMar>
            <w:vAlign w:val="center"/>
          </w:tcPr>
          <w:p w14:paraId="74F2E8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126" w:type="dxa"/>
            <w:tcBorders>
              <w:top w:val="nil"/>
              <w:left w:val="nil"/>
              <w:bottom w:val="nil"/>
              <w:right w:val="nil"/>
              <w:tl2br w:val="nil"/>
              <w:tr2bl w:val="nil"/>
            </w:tcBorders>
            <w:tcMar>
              <w:left w:w="60" w:type="dxa"/>
              <w:right w:w="60" w:type="dxa"/>
            </w:tcMar>
            <w:vAlign w:val="center"/>
          </w:tcPr>
          <w:p w14:paraId="25E0A0C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102" w:type="dxa"/>
            <w:tcBorders>
              <w:top w:val="nil"/>
              <w:left w:val="nil"/>
              <w:bottom w:val="nil"/>
              <w:right w:val="nil"/>
              <w:tl2br w:val="nil"/>
              <w:tr2bl w:val="nil"/>
            </w:tcBorders>
            <w:tcMar>
              <w:left w:w="60" w:type="dxa"/>
              <w:right w:w="60" w:type="dxa"/>
            </w:tcMar>
            <w:vAlign w:val="center"/>
          </w:tcPr>
          <w:p w14:paraId="3583CF2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CAFBAA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1C977E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99" w:type="dxa"/>
            <w:tcBorders>
              <w:top w:val="nil"/>
              <w:left w:val="nil"/>
              <w:bottom w:val="nil"/>
              <w:right w:val="nil"/>
              <w:tl2br w:val="nil"/>
              <w:tr2bl w:val="nil"/>
            </w:tcBorders>
            <w:tcMar>
              <w:left w:w="60" w:type="dxa"/>
              <w:right w:w="60" w:type="dxa"/>
            </w:tcMar>
            <w:vAlign w:val="center"/>
          </w:tcPr>
          <w:p w14:paraId="7AE41BB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1C0876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BBF946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4FAD6DF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4B6167B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2D3B0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E2883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334FC908"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078AE3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9B464FD"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892FDC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0" w:type="dxa"/>
            <w:tcBorders>
              <w:top w:val="nil"/>
              <w:left w:val="nil"/>
              <w:bottom w:val="nil"/>
              <w:right w:val="nil"/>
              <w:tl2br w:val="nil"/>
              <w:tr2bl w:val="nil"/>
            </w:tcBorders>
            <w:tcMar>
              <w:left w:w="60" w:type="dxa"/>
              <w:right w:w="60" w:type="dxa"/>
            </w:tcMar>
            <w:vAlign w:val="center"/>
          </w:tcPr>
          <w:p w14:paraId="0A1D7F4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14:paraId="28A96A9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0669FB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AF5056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14DD413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14:paraId="071BE46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14:paraId="5415FBD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A6B385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2E5CC4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37E9A37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1930890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604F2D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6E4BEC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CE9D96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0BF60F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8F7FBC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960" w:type="dxa"/>
            <w:tcBorders>
              <w:top w:val="nil"/>
              <w:left w:val="nil"/>
              <w:bottom w:val="nil"/>
              <w:right w:val="nil"/>
              <w:tl2br w:val="nil"/>
              <w:tr2bl w:val="nil"/>
            </w:tcBorders>
            <w:tcMar>
              <w:left w:w="60" w:type="dxa"/>
              <w:right w:w="60" w:type="dxa"/>
            </w:tcMar>
            <w:vAlign w:val="center"/>
          </w:tcPr>
          <w:p w14:paraId="1C823BE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26" w:type="dxa"/>
            <w:tcBorders>
              <w:top w:val="nil"/>
              <w:left w:val="nil"/>
              <w:bottom w:val="nil"/>
              <w:right w:val="nil"/>
              <w:tl2br w:val="nil"/>
              <w:tr2bl w:val="nil"/>
            </w:tcBorders>
            <w:tcMar>
              <w:left w:w="60" w:type="dxa"/>
              <w:right w:w="60" w:type="dxa"/>
            </w:tcMar>
            <w:vAlign w:val="center"/>
          </w:tcPr>
          <w:p w14:paraId="4B3FBBD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02" w:type="dxa"/>
            <w:tcBorders>
              <w:top w:val="nil"/>
              <w:left w:val="nil"/>
              <w:bottom w:val="nil"/>
              <w:right w:val="nil"/>
              <w:tl2br w:val="nil"/>
              <w:tr2bl w:val="nil"/>
            </w:tcBorders>
            <w:tcMar>
              <w:left w:w="60" w:type="dxa"/>
              <w:right w:w="60" w:type="dxa"/>
            </w:tcMar>
            <w:vAlign w:val="center"/>
          </w:tcPr>
          <w:p w14:paraId="6717160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BB4F7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881948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99" w:type="dxa"/>
            <w:tcBorders>
              <w:top w:val="nil"/>
              <w:left w:val="nil"/>
              <w:bottom w:val="nil"/>
              <w:right w:val="nil"/>
              <w:tl2br w:val="nil"/>
              <w:tr2bl w:val="nil"/>
            </w:tcBorders>
            <w:tcMar>
              <w:left w:w="60" w:type="dxa"/>
              <w:right w:w="60" w:type="dxa"/>
            </w:tcMar>
            <w:vAlign w:val="center"/>
          </w:tcPr>
          <w:p w14:paraId="4E2CDE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2A5664B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F6172F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6883CB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2319B4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2C254F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E76F1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40AC9BB"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DB2715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245654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B4A7AF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0" w:type="dxa"/>
            <w:tcBorders>
              <w:top w:val="nil"/>
              <w:left w:val="nil"/>
              <w:bottom w:val="nil"/>
              <w:right w:val="nil"/>
              <w:tl2br w:val="nil"/>
              <w:tr2bl w:val="nil"/>
            </w:tcBorders>
            <w:tcMar>
              <w:left w:w="60" w:type="dxa"/>
              <w:right w:w="60" w:type="dxa"/>
            </w:tcMar>
            <w:vAlign w:val="center"/>
          </w:tcPr>
          <w:p w14:paraId="735BC4A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126" w:type="dxa"/>
            <w:tcBorders>
              <w:top w:val="nil"/>
              <w:left w:val="nil"/>
              <w:bottom w:val="nil"/>
              <w:right w:val="nil"/>
              <w:tl2br w:val="nil"/>
              <w:tr2bl w:val="nil"/>
            </w:tcBorders>
            <w:tcMar>
              <w:left w:w="60" w:type="dxa"/>
              <w:right w:w="60" w:type="dxa"/>
            </w:tcMar>
            <w:vAlign w:val="center"/>
          </w:tcPr>
          <w:p w14:paraId="2293DE4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102" w:type="dxa"/>
            <w:tcBorders>
              <w:top w:val="nil"/>
              <w:left w:val="nil"/>
              <w:bottom w:val="nil"/>
              <w:right w:val="nil"/>
              <w:tl2br w:val="nil"/>
              <w:tr2bl w:val="nil"/>
            </w:tcBorders>
            <w:tcMar>
              <w:left w:w="60" w:type="dxa"/>
              <w:right w:w="60" w:type="dxa"/>
            </w:tcMar>
            <w:vAlign w:val="center"/>
          </w:tcPr>
          <w:p w14:paraId="1DC26E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471A07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4CB0C93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99" w:type="dxa"/>
            <w:tcBorders>
              <w:top w:val="nil"/>
              <w:left w:val="nil"/>
              <w:bottom w:val="nil"/>
              <w:right w:val="nil"/>
              <w:tl2br w:val="nil"/>
              <w:tr2bl w:val="nil"/>
            </w:tcBorders>
            <w:tcMar>
              <w:left w:w="60" w:type="dxa"/>
              <w:right w:w="60" w:type="dxa"/>
            </w:tcMar>
            <w:vAlign w:val="center"/>
          </w:tcPr>
          <w:p w14:paraId="352493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574A08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E337C0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2829AD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6201217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606E25C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7CAB2E2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4E17AF7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753C4F5"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1B22683"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A7C539E" w14:textId="77777777" w:rsidR="00807FFE" w:rsidRPr="00E97ED7" w:rsidRDefault="00023E71">
            <w:pPr>
              <w:pStyle w:val="DMETW36742BIPDetailedMFF2ImplementCommitments"/>
              <w:rPr>
                <w:rFonts w:ascii="Verdana" w:eastAsia="Verdana" w:hAnsi="Verdana" w:cs="Verdana"/>
                <w:noProof/>
                <w:color w:val="000000"/>
                <w:sz w:val="16"/>
                <w:lang w:val="fr-BE"/>
              </w:rPr>
            </w:pPr>
            <w:r w:rsidRPr="00E97ED7">
              <w:rPr>
                <w:rFonts w:ascii="Verdana" w:eastAsia="Verdana" w:hAnsi="Verdana" w:cs="Verdana"/>
                <w:noProof/>
                <w:color w:val="000000"/>
                <w:sz w:val="16"/>
                <w:lang w:val="fr-BE"/>
              </w:rPr>
              <w:t>Pre-Accession Assistance (IPA III)</w:t>
            </w:r>
          </w:p>
        </w:tc>
        <w:tc>
          <w:tcPr>
            <w:tcW w:w="960" w:type="dxa"/>
            <w:tcBorders>
              <w:top w:val="nil"/>
              <w:left w:val="nil"/>
              <w:bottom w:val="nil"/>
              <w:right w:val="nil"/>
              <w:tl2br w:val="nil"/>
              <w:tr2bl w:val="nil"/>
            </w:tcBorders>
            <w:tcMar>
              <w:left w:w="60" w:type="dxa"/>
              <w:right w:w="60" w:type="dxa"/>
            </w:tcMar>
            <w:vAlign w:val="center"/>
          </w:tcPr>
          <w:p w14:paraId="3EA0C10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2 384</w:t>
            </w:r>
          </w:p>
        </w:tc>
        <w:tc>
          <w:tcPr>
            <w:tcW w:w="126" w:type="dxa"/>
            <w:tcBorders>
              <w:top w:val="nil"/>
              <w:left w:val="nil"/>
              <w:bottom w:val="nil"/>
              <w:right w:val="nil"/>
              <w:tl2br w:val="nil"/>
              <w:tr2bl w:val="nil"/>
            </w:tcBorders>
            <w:tcMar>
              <w:left w:w="60" w:type="dxa"/>
              <w:right w:w="60" w:type="dxa"/>
            </w:tcMar>
            <w:vAlign w:val="center"/>
          </w:tcPr>
          <w:p w14:paraId="381AAB5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2 062</w:t>
            </w:r>
          </w:p>
        </w:tc>
        <w:tc>
          <w:tcPr>
            <w:tcW w:w="102" w:type="dxa"/>
            <w:tcBorders>
              <w:top w:val="nil"/>
              <w:left w:val="nil"/>
              <w:bottom w:val="nil"/>
              <w:right w:val="nil"/>
              <w:tl2br w:val="nil"/>
              <w:tr2bl w:val="nil"/>
            </w:tcBorders>
            <w:tcMar>
              <w:left w:w="60" w:type="dxa"/>
              <w:right w:w="60" w:type="dxa"/>
            </w:tcMar>
            <w:vAlign w:val="center"/>
          </w:tcPr>
          <w:p w14:paraId="722D365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126</w:t>
            </w:r>
          </w:p>
        </w:tc>
        <w:tc>
          <w:tcPr>
            <w:tcW w:w="112" w:type="dxa"/>
            <w:tcBorders>
              <w:top w:val="nil"/>
              <w:left w:val="nil"/>
              <w:bottom w:val="nil"/>
              <w:right w:val="nil"/>
              <w:tl2br w:val="nil"/>
              <w:tr2bl w:val="nil"/>
            </w:tcBorders>
            <w:tcMar>
              <w:left w:w="60" w:type="dxa"/>
              <w:right w:w="60" w:type="dxa"/>
            </w:tcMar>
            <w:vAlign w:val="center"/>
          </w:tcPr>
          <w:p w14:paraId="4B89EDA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125" w:type="dxa"/>
            <w:tcBorders>
              <w:top w:val="nil"/>
              <w:left w:val="nil"/>
              <w:bottom w:val="nil"/>
              <w:right w:val="nil"/>
              <w:tl2br w:val="nil"/>
              <w:tr2bl w:val="nil"/>
            </w:tcBorders>
            <w:tcMar>
              <w:left w:w="60" w:type="dxa"/>
              <w:right w:w="60" w:type="dxa"/>
            </w:tcMar>
            <w:vAlign w:val="center"/>
          </w:tcPr>
          <w:p w14:paraId="0570433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2 223</w:t>
            </w:r>
          </w:p>
        </w:tc>
        <w:tc>
          <w:tcPr>
            <w:tcW w:w="99" w:type="dxa"/>
            <w:tcBorders>
              <w:top w:val="nil"/>
              <w:left w:val="nil"/>
              <w:bottom w:val="nil"/>
              <w:right w:val="nil"/>
              <w:tl2br w:val="nil"/>
              <w:tr2bl w:val="nil"/>
            </w:tcBorders>
            <w:tcMar>
              <w:left w:w="60" w:type="dxa"/>
              <w:right w:w="60" w:type="dxa"/>
            </w:tcMar>
            <w:vAlign w:val="center"/>
          </w:tcPr>
          <w:p w14:paraId="3ECE88D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105" w:type="dxa"/>
            <w:tcBorders>
              <w:top w:val="nil"/>
              <w:left w:val="nil"/>
              <w:bottom w:val="nil"/>
              <w:right w:val="nil"/>
              <w:tl2br w:val="nil"/>
              <w:tr2bl w:val="nil"/>
            </w:tcBorders>
            <w:tcMar>
              <w:left w:w="60" w:type="dxa"/>
              <w:right w:w="60" w:type="dxa"/>
            </w:tcMar>
            <w:vAlign w:val="center"/>
          </w:tcPr>
          <w:p w14:paraId="14656CD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106</w:t>
            </w:r>
          </w:p>
        </w:tc>
        <w:tc>
          <w:tcPr>
            <w:tcW w:w="112" w:type="dxa"/>
            <w:tcBorders>
              <w:top w:val="nil"/>
              <w:left w:val="nil"/>
              <w:bottom w:val="nil"/>
              <w:right w:val="nil"/>
              <w:tl2br w:val="nil"/>
              <w:tr2bl w:val="nil"/>
            </w:tcBorders>
            <w:tcMar>
              <w:left w:w="60" w:type="dxa"/>
              <w:right w:w="60" w:type="dxa"/>
            </w:tcMar>
            <w:vAlign w:val="center"/>
          </w:tcPr>
          <w:p w14:paraId="120E275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06" w:type="dxa"/>
            <w:tcBorders>
              <w:top w:val="nil"/>
              <w:left w:val="nil"/>
              <w:bottom w:val="nil"/>
              <w:right w:val="nil"/>
              <w:tl2br w:val="nil"/>
              <w:tr2bl w:val="nil"/>
            </w:tcBorders>
            <w:tcMar>
              <w:left w:w="60" w:type="dxa"/>
              <w:right w:w="60" w:type="dxa"/>
            </w:tcMar>
            <w:vAlign w:val="center"/>
          </w:tcPr>
          <w:p w14:paraId="4406F76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156</w:t>
            </w:r>
          </w:p>
        </w:tc>
        <w:tc>
          <w:tcPr>
            <w:tcW w:w="92" w:type="dxa"/>
            <w:tcBorders>
              <w:top w:val="nil"/>
              <w:left w:val="nil"/>
              <w:bottom w:val="nil"/>
              <w:right w:val="nil"/>
              <w:tl2br w:val="nil"/>
              <w:tr2bl w:val="nil"/>
            </w:tcBorders>
            <w:tcMar>
              <w:left w:w="60" w:type="dxa"/>
              <w:right w:w="60" w:type="dxa"/>
            </w:tcMar>
            <w:vAlign w:val="center"/>
          </w:tcPr>
          <w:p w14:paraId="5A4E5EB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B93AD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12" w:type="dxa"/>
            <w:tcBorders>
              <w:top w:val="nil"/>
              <w:left w:val="nil"/>
              <w:bottom w:val="nil"/>
              <w:right w:val="nil"/>
              <w:tl2br w:val="nil"/>
              <w:tr2bl w:val="nil"/>
            </w:tcBorders>
            <w:tcMar>
              <w:left w:w="60" w:type="dxa"/>
              <w:right w:w="60" w:type="dxa"/>
            </w:tcMar>
            <w:vAlign w:val="center"/>
          </w:tcPr>
          <w:p w14:paraId="3B75E0B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43B05A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4D1C394A"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3B7D22E"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E070D1E"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Reform and Growth Facility for Western Balkans</w:t>
            </w:r>
          </w:p>
        </w:tc>
        <w:tc>
          <w:tcPr>
            <w:tcW w:w="960" w:type="dxa"/>
            <w:tcBorders>
              <w:top w:val="nil"/>
              <w:left w:val="nil"/>
              <w:bottom w:val="nil"/>
              <w:right w:val="nil"/>
              <w:tl2br w:val="nil"/>
              <w:tr2bl w:val="nil"/>
            </w:tcBorders>
            <w:tcMar>
              <w:left w:w="60" w:type="dxa"/>
              <w:right w:w="60" w:type="dxa"/>
            </w:tcMar>
            <w:vAlign w:val="center"/>
          </w:tcPr>
          <w:p w14:paraId="6F8F330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600</w:t>
            </w:r>
          </w:p>
        </w:tc>
        <w:tc>
          <w:tcPr>
            <w:tcW w:w="126" w:type="dxa"/>
            <w:tcBorders>
              <w:top w:val="nil"/>
              <w:left w:val="nil"/>
              <w:bottom w:val="nil"/>
              <w:right w:val="nil"/>
              <w:tl2br w:val="nil"/>
              <w:tr2bl w:val="nil"/>
            </w:tcBorders>
            <w:tcMar>
              <w:left w:w="60" w:type="dxa"/>
              <w:right w:w="60" w:type="dxa"/>
            </w:tcMar>
            <w:vAlign w:val="center"/>
          </w:tcPr>
          <w:p w14:paraId="63A497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494</w:t>
            </w:r>
          </w:p>
        </w:tc>
        <w:tc>
          <w:tcPr>
            <w:tcW w:w="102" w:type="dxa"/>
            <w:tcBorders>
              <w:top w:val="nil"/>
              <w:left w:val="nil"/>
              <w:bottom w:val="nil"/>
              <w:right w:val="nil"/>
              <w:tl2br w:val="nil"/>
              <w:tr2bl w:val="nil"/>
            </w:tcBorders>
            <w:tcMar>
              <w:left w:w="60" w:type="dxa"/>
              <w:right w:w="60" w:type="dxa"/>
            </w:tcMar>
            <w:vAlign w:val="center"/>
          </w:tcPr>
          <w:p w14:paraId="3C678A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101</w:t>
            </w:r>
          </w:p>
        </w:tc>
        <w:tc>
          <w:tcPr>
            <w:tcW w:w="112" w:type="dxa"/>
            <w:tcBorders>
              <w:top w:val="nil"/>
              <w:left w:val="nil"/>
              <w:bottom w:val="nil"/>
              <w:right w:val="nil"/>
              <w:tl2br w:val="nil"/>
              <w:tr2bl w:val="nil"/>
            </w:tcBorders>
            <w:tcMar>
              <w:left w:w="60" w:type="dxa"/>
              <w:right w:w="60" w:type="dxa"/>
            </w:tcMar>
            <w:vAlign w:val="center"/>
          </w:tcPr>
          <w:p w14:paraId="6B3FA0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02ED16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596</w:t>
            </w:r>
          </w:p>
        </w:tc>
        <w:tc>
          <w:tcPr>
            <w:tcW w:w="99" w:type="dxa"/>
            <w:tcBorders>
              <w:top w:val="nil"/>
              <w:left w:val="nil"/>
              <w:bottom w:val="nil"/>
              <w:right w:val="nil"/>
              <w:tl2br w:val="nil"/>
              <w:tr2bl w:val="nil"/>
            </w:tcBorders>
            <w:tcMar>
              <w:left w:w="60" w:type="dxa"/>
              <w:right w:w="60" w:type="dxa"/>
            </w:tcMar>
            <w:vAlign w:val="center"/>
          </w:tcPr>
          <w:p w14:paraId="5C955F1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696D926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12" w:type="dxa"/>
            <w:tcBorders>
              <w:top w:val="nil"/>
              <w:left w:val="nil"/>
              <w:bottom w:val="nil"/>
              <w:right w:val="nil"/>
              <w:tl2br w:val="nil"/>
              <w:tr2bl w:val="nil"/>
            </w:tcBorders>
            <w:tcMar>
              <w:left w:w="60" w:type="dxa"/>
              <w:right w:w="60" w:type="dxa"/>
            </w:tcMar>
            <w:vAlign w:val="center"/>
          </w:tcPr>
          <w:p w14:paraId="2B9762B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69B3281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2" w:type="dxa"/>
            <w:tcBorders>
              <w:top w:val="nil"/>
              <w:left w:val="nil"/>
              <w:bottom w:val="nil"/>
              <w:right w:val="nil"/>
              <w:tl2br w:val="nil"/>
              <w:tr2bl w:val="nil"/>
            </w:tcBorders>
            <w:tcMar>
              <w:left w:w="60" w:type="dxa"/>
              <w:right w:w="60" w:type="dxa"/>
            </w:tcMar>
            <w:vAlign w:val="center"/>
          </w:tcPr>
          <w:p w14:paraId="19163F9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5917A8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3915CF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14C46325"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799BB21"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4ECEA43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687EFE77"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6: Neighbourhood and the World</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6AF4FA5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20 828</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5333BC2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16 218</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02C6365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929</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092003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2 498</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2C25843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19 645</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364E711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94 %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7A563E2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682</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599AA9B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468</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1D6DCB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1 151</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183782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2485F2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41B83C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53F9F786"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32</w:t>
            </w:r>
          </w:p>
        </w:tc>
      </w:tr>
      <w:tr w:rsidR="00807FFE" w14:paraId="4B071D26"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FACA69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D800B9B" w14:textId="77777777" w:rsidR="00807FFE" w:rsidRDefault="00807FFE">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744A12D8" w14:textId="77777777" w:rsidR="00807FFE" w:rsidRDefault="00807FFE">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58C1EAFE" w14:textId="77777777" w:rsidR="00807FFE" w:rsidRDefault="00807FFE">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2260FC4D"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7DBBCA45" w14:textId="77777777" w:rsidR="00807FFE" w:rsidRDefault="00807FFE">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284BB107" w14:textId="77777777" w:rsidR="00807FFE" w:rsidRDefault="00807FFE">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7AD32C09" w14:textId="77777777" w:rsidR="00807FFE" w:rsidRDefault="00807FFE">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124D54F3"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3BC0B589" w14:textId="77777777" w:rsidR="00807FFE" w:rsidRDefault="00807FFE">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6B0118A4" w14:textId="77777777" w:rsidR="00807FFE" w:rsidRDefault="00807FFE">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241B3D8C" w14:textId="77777777" w:rsidR="00807FFE" w:rsidRDefault="00807FFE">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4414E1FA"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702DFD8C" w14:textId="77777777" w:rsidR="00807FFE" w:rsidRDefault="00807FFE">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2F64D9DF" w14:textId="77777777" w:rsidR="00807FFE" w:rsidRDefault="00807FFE">
            <w:pPr>
              <w:pStyle w:val="DMETW36742BIPDetailedMFF2ImplementCommitments"/>
              <w:jc w:val="right"/>
              <w:rPr>
                <w:rFonts w:ascii="Verdana" w:eastAsia="Verdana" w:hAnsi="Verdana" w:cs="Verdana"/>
                <w:noProof/>
                <w:color w:val="000000"/>
                <w:sz w:val="16"/>
                <w:lang w:bidi="en-GB"/>
              </w:rPr>
            </w:pPr>
          </w:p>
        </w:tc>
      </w:tr>
      <w:tr w:rsidR="00807FFE" w14:paraId="6F9FCEB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AF60C2D"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7</w:t>
            </w:r>
          </w:p>
        </w:tc>
        <w:tc>
          <w:tcPr>
            <w:tcW w:w="479" w:type="dxa"/>
            <w:tcBorders>
              <w:top w:val="nil"/>
              <w:left w:val="nil"/>
              <w:bottom w:val="nil"/>
              <w:right w:val="nil"/>
              <w:tl2br w:val="nil"/>
              <w:tr2bl w:val="nil"/>
            </w:tcBorders>
            <w:tcMar>
              <w:left w:w="60" w:type="dxa"/>
              <w:right w:w="60" w:type="dxa"/>
            </w:tcMar>
            <w:vAlign w:val="center"/>
          </w:tcPr>
          <w:p w14:paraId="7C3DFE3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Staff Pensions</w:t>
            </w:r>
          </w:p>
        </w:tc>
        <w:tc>
          <w:tcPr>
            <w:tcW w:w="960" w:type="dxa"/>
            <w:tcBorders>
              <w:top w:val="nil"/>
              <w:left w:val="nil"/>
              <w:bottom w:val="nil"/>
              <w:right w:val="nil"/>
              <w:tl2br w:val="nil"/>
              <w:tr2bl w:val="nil"/>
            </w:tcBorders>
            <w:tcMar>
              <w:left w:w="60" w:type="dxa"/>
              <w:right w:w="60" w:type="dxa"/>
            </w:tcMar>
            <w:vAlign w:val="center"/>
          </w:tcPr>
          <w:p w14:paraId="714ED5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3 102</w:t>
            </w:r>
          </w:p>
        </w:tc>
        <w:tc>
          <w:tcPr>
            <w:tcW w:w="126" w:type="dxa"/>
            <w:tcBorders>
              <w:top w:val="nil"/>
              <w:left w:val="nil"/>
              <w:bottom w:val="nil"/>
              <w:right w:val="nil"/>
              <w:tl2br w:val="nil"/>
              <w:tr2bl w:val="nil"/>
            </w:tcBorders>
            <w:tcMar>
              <w:left w:w="60" w:type="dxa"/>
              <w:right w:w="60" w:type="dxa"/>
            </w:tcMar>
            <w:vAlign w:val="center"/>
          </w:tcPr>
          <w:p w14:paraId="786F03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2 790</w:t>
            </w:r>
          </w:p>
        </w:tc>
        <w:tc>
          <w:tcPr>
            <w:tcW w:w="102" w:type="dxa"/>
            <w:tcBorders>
              <w:top w:val="nil"/>
              <w:left w:val="nil"/>
              <w:bottom w:val="nil"/>
              <w:right w:val="nil"/>
              <w:tl2br w:val="nil"/>
              <w:tr2bl w:val="nil"/>
            </w:tcBorders>
            <w:tcMar>
              <w:left w:w="60" w:type="dxa"/>
              <w:right w:w="60" w:type="dxa"/>
            </w:tcMar>
            <w:vAlign w:val="center"/>
          </w:tcPr>
          <w:p w14:paraId="55F3C58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3EE4F6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312</w:t>
            </w:r>
          </w:p>
        </w:tc>
        <w:tc>
          <w:tcPr>
            <w:tcW w:w="125" w:type="dxa"/>
            <w:tcBorders>
              <w:top w:val="nil"/>
              <w:left w:val="nil"/>
              <w:bottom w:val="nil"/>
              <w:right w:val="nil"/>
              <w:tl2br w:val="nil"/>
              <w:tr2bl w:val="nil"/>
            </w:tcBorders>
            <w:tcMar>
              <w:left w:w="60" w:type="dxa"/>
              <w:right w:w="60" w:type="dxa"/>
            </w:tcMar>
            <w:vAlign w:val="center"/>
          </w:tcPr>
          <w:p w14:paraId="6867BC3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3 101</w:t>
            </w:r>
          </w:p>
        </w:tc>
        <w:tc>
          <w:tcPr>
            <w:tcW w:w="99" w:type="dxa"/>
            <w:tcBorders>
              <w:top w:val="nil"/>
              <w:left w:val="nil"/>
              <w:bottom w:val="nil"/>
              <w:right w:val="nil"/>
              <w:tl2br w:val="nil"/>
              <w:tr2bl w:val="nil"/>
            </w:tcBorders>
            <w:tcMar>
              <w:left w:w="60" w:type="dxa"/>
              <w:right w:w="60" w:type="dxa"/>
            </w:tcMar>
            <w:vAlign w:val="center"/>
          </w:tcPr>
          <w:p w14:paraId="6EAD49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08FCB3A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185A7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5F656D5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51208C7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68BA176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620F0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78C9C53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8D2F7C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0CAD09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FB1506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(Pensions of former Members) European Parliament</w:t>
            </w:r>
          </w:p>
        </w:tc>
        <w:tc>
          <w:tcPr>
            <w:tcW w:w="960" w:type="dxa"/>
            <w:tcBorders>
              <w:top w:val="nil"/>
              <w:left w:val="nil"/>
              <w:bottom w:val="nil"/>
              <w:right w:val="nil"/>
              <w:tl2br w:val="nil"/>
              <w:tr2bl w:val="nil"/>
            </w:tcBorders>
            <w:tcMar>
              <w:left w:w="60" w:type="dxa"/>
              <w:right w:w="60" w:type="dxa"/>
            </w:tcMar>
            <w:vAlign w:val="center"/>
          </w:tcPr>
          <w:p w14:paraId="306568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126" w:type="dxa"/>
            <w:tcBorders>
              <w:top w:val="nil"/>
              <w:left w:val="nil"/>
              <w:bottom w:val="nil"/>
              <w:right w:val="nil"/>
              <w:tl2br w:val="nil"/>
              <w:tr2bl w:val="nil"/>
            </w:tcBorders>
            <w:tcMar>
              <w:left w:w="60" w:type="dxa"/>
              <w:right w:w="60" w:type="dxa"/>
            </w:tcMar>
            <w:vAlign w:val="center"/>
          </w:tcPr>
          <w:p w14:paraId="3D560A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102" w:type="dxa"/>
            <w:tcBorders>
              <w:top w:val="nil"/>
              <w:left w:val="nil"/>
              <w:bottom w:val="nil"/>
              <w:right w:val="nil"/>
              <w:tl2br w:val="nil"/>
              <w:tr2bl w:val="nil"/>
            </w:tcBorders>
            <w:tcMar>
              <w:left w:w="60" w:type="dxa"/>
              <w:right w:w="60" w:type="dxa"/>
            </w:tcMar>
            <w:vAlign w:val="center"/>
          </w:tcPr>
          <w:p w14:paraId="28EEDDA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EBA0D2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7298A2C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99" w:type="dxa"/>
            <w:tcBorders>
              <w:top w:val="nil"/>
              <w:left w:val="nil"/>
              <w:bottom w:val="nil"/>
              <w:right w:val="nil"/>
              <w:tl2br w:val="nil"/>
              <w:tr2bl w:val="nil"/>
            </w:tcBorders>
            <w:tcMar>
              <w:left w:w="60" w:type="dxa"/>
              <w:right w:w="60" w:type="dxa"/>
            </w:tcMar>
            <w:vAlign w:val="center"/>
          </w:tcPr>
          <w:p w14:paraId="64A9C34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5FB52E9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4C85E3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55D379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2CED4B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2680358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F91828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C489D9A"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22E18821"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077AD0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A35165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(Pensions of former Members) European Council and Council</w:t>
            </w:r>
          </w:p>
        </w:tc>
        <w:tc>
          <w:tcPr>
            <w:tcW w:w="960" w:type="dxa"/>
            <w:tcBorders>
              <w:top w:val="nil"/>
              <w:left w:val="nil"/>
              <w:bottom w:val="nil"/>
              <w:right w:val="nil"/>
              <w:tl2br w:val="nil"/>
              <w:tr2bl w:val="nil"/>
            </w:tcBorders>
            <w:tcMar>
              <w:left w:w="60" w:type="dxa"/>
              <w:right w:w="60" w:type="dxa"/>
            </w:tcMar>
            <w:vAlign w:val="center"/>
          </w:tcPr>
          <w:p w14:paraId="01A7080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6" w:type="dxa"/>
            <w:tcBorders>
              <w:top w:val="nil"/>
              <w:left w:val="nil"/>
              <w:bottom w:val="nil"/>
              <w:right w:val="nil"/>
              <w:tl2br w:val="nil"/>
              <w:tr2bl w:val="nil"/>
            </w:tcBorders>
            <w:tcMar>
              <w:left w:w="60" w:type="dxa"/>
              <w:right w:w="60" w:type="dxa"/>
            </w:tcMar>
            <w:vAlign w:val="center"/>
          </w:tcPr>
          <w:p w14:paraId="7FEC017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2" w:type="dxa"/>
            <w:tcBorders>
              <w:top w:val="nil"/>
              <w:left w:val="nil"/>
              <w:bottom w:val="nil"/>
              <w:right w:val="nil"/>
              <w:tl2br w:val="nil"/>
              <w:tr2bl w:val="nil"/>
            </w:tcBorders>
            <w:tcMar>
              <w:left w:w="60" w:type="dxa"/>
              <w:right w:w="60" w:type="dxa"/>
            </w:tcMar>
            <w:vAlign w:val="center"/>
          </w:tcPr>
          <w:p w14:paraId="1C01BF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A0C16C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0CD329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9" w:type="dxa"/>
            <w:tcBorders>
              <w:top w:val="nil"/>
              <w:left w:val="nil"/>
              <w:bottom w:val="nil"/>
              <w:right w:val="nil"/>
              <w:tl2br w:val="nil"/>
              <w:tr2bl w:val="nil"/>
            </w:tcBorders>
            <w:tcMar>
              <w:left w:w="60" w:type="dxa"/>
              <w:right w:w="60" w:type="dxa"/>
            </w:tcMar>
            <w:vAlign w:val="center"/>
          </w:tcPr>
          <w:p w14:paraId="1BFAAF8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7B2C7B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47D47F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053F46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6786E9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3DC856A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9B20C2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E8A18A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61F65A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130275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F61134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(Pensions of former Members) Commission</w:t>
            </w:r>
          </w:p>
        </w:tc>
        <w:tc>
          <w:tcPr>
            <w:tcW w:w="960" w:type="dxa"/>
            <w:tcBorders>
              <w:top w:val="nil"/>
              <w:left w:val="nil"/>
              <w:bottom w:val="nil"/>
              <w:right w:val="nil"/>
              <w:tl2br w:val="nil"/>
              <w:tr2bl w:val="nil"/>
            </w:tcBorders>
            <w:tcMar>
              <w:left w:w="60" w:type="dxa"/>
              <w:right w:w="60" w:type="dxa"/>
            </w:tcMar>
            <w:vAlign w:val="center"/>
          </w:tcPr>
          <w:p w14:paraId="7A2DAE9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26" w:type="dxa"/>
            <w:tcBorders>
              <w:top w:val="nil"/>
              <w:left w:val="nil"/>
              <w:bottom w:val="nil"/>
              <w:right w:val="nil"/>
              <w:tl2br w:val="nil"/>
              <w:tr2bl w:val="nil"/>
            </w:tcBorders>
            <w:tcMar>
              <w:left w:w="60" w:type="dxa"/>
              <w:right w:w="60" w:type="dxa"/>
            </w:tcMar>
            <w:vAlign w:val="center"/>
          </w:tcPr>
          <w:p w14:paraId="458F8D0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02" w:type="dxa"/>
            <w:tcBorders>
              <w:top w:val="nil"/>
              <w:left w:val="nil"/>
              <w:bottom w:val="nil"/>
              <w:right w:val="nil"/>
              <w:tl2br w:val="nil"/>
              <w:tr2bl w:val="nil"/>
            </w:tcBorders>
            <w:tcMar>
              <w:left w:w="60" w:type="dxa"/>
              <w:right w:w="60" w:type="dxa"/>
            </w:tcMar>
            <w:vAlign w:val="center"/>
          </w:tcPr>
          <w:p w14:paraId="2F222B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CFDAE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3B1E08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9" w:type="dxa"/>
            <w:tcBorders>
              <w:top w:val="nil"/>
              <w:left w:val="nil"/>
              <w:bottom w:val="nil"/>
              <w:right w:val="nil"/>
              <w:tl2br w:val="nil"/>
              <w:tr2bl w:val="nil"/>
            </w:tcBorders>
            <w:tcMar>
              <w:left w:w="60" w:type="dxa"/>
              <w:right w:w="60" w:type="dxa"/>
            </w:tcMar>
            <w:vAlign w:val="center"/>
          </w:tcPr>
          <w:p w14:paraId="0A370A9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7C9DB1B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8B6E30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2B2FD2E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64BB39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7D90D2D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7F6A7C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C9047C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B2169E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D8AA96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B90CA8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(Pensions of former Members) Court of Justice of the European Union</w:t>
            </w:r>
          </w:p>
        </w:tc>
        <w:tc>
          <w:tcPr>
            <w:tcW w:w="960" w:type="dxa"/>
            <w:tcBorders>
              <w:top w:val="nil"/>
              <w:left w:val="nil"/>
              <w:bottom w:val="nil"/>
              <w:right w:val="nil"/>
              <w:tl2br w:val="nil"/>
              <w:tr2bl w:val="nil"/>
            </w:tcBorders>
            <w:tcMar>
              <w:left w:w="60" w:type="dxa"/>
              <w:right w:w="60" w:type="dxa"/>
            </w:tcMar>
            <w:vAlign w:val="center"/>
          </w:tcPr>
          <w:p w14:paraId="5CB754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26" w:type="dxa"/>
            <w:tcBorders>
              <w:top w:val="nil"/>
              <w:left w:val="nil"/>
              <w:bottom w:val="nil"/>
              <w:right w:val="nil"/>
              <w:tl2br w:val="nil"/>
              <w:tr2bl w:val="nil"/>
            </w:tcBorders>
            <w:tcMar>
              <w:left w:w="60" w:type="dxa"/>
              <w:right w:w="60" w:type="dxa"/>
            </w:tcMar>
            <w:vAlign w:val="center"/>
          </w:tcPr>
          <w:p w14:paraId="00380E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02" w:type="dxa"/>
            <w:tcBorders>
              <w:top w:val="nil"/>
              <w:left w:val="nil"/>
              <w:bottom w:val="nil"/>
              <w:right w:val="nil"/>
              <w:tl2br w:val="nil"/>
              <w:tr2bl w:val="nil"/>
            </w:tcBorders>
            <w:tcMar>
              <w:left w:w="60" w:type="dxa"/>
              <w:right w:w="60" w:type="dxa"/>
            </w:tcMar>
            <w:vAlign w:val="center"/>
          </w:tcPr>
          <w:p w14:paraId="01A31AB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943763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5C1A8DC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99" w:type="dxa"/>
            <w:tcBorders>
              <w:top w:val="nil"/>
              <w:left w:val="nil"/>
              <w:bottom w:val="nil"/>
              <w:right w:val="nil"/>
              <w:tl2br w:val="nil"/>
              <w:tr2bl w:val="nil"/>
            </w:tcBorders>
            <w:tcMar>
              <w:left w:w="60" w:type="dxa"/>
              <w:right w:w="60" w:type="dxa"/>
            </w:tcMar>
            <w:vAlign w:val="center"/>
          </w:tcPr>
          <w:p w14:paraId="01BEFFF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176F52D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4C907D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4F3E09B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1A075FB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27EFA5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FB5BD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6A42AE3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D22727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BE80C5E"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02F695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(Pensions of former Members) European Court of Auditors</w:t>
            </w:r>
          </w:p>
        </w:tc>
        <w:tc>
          <w:tcPr>
            <w:tcW w:w="960" w:type="dxa"/>
            <w:tcBorders>
              <w:top w:val="nil"/>
              <w:left w:val="nil"/>
              <w:bottom w:val="nil"/>
              <w:right w:val="nil"/>
              <w:tl2br w:val="nil"/>
              <w:tr2bl w:val="nil"/>
            </w:tcBorders>
            <w:tcMar>
              <w:left w:w="60" w:type="dxa"/>
              <w:right w:w="60" w:type="dxa"/>
            </w:tcMar>
            <w:vAlign w:val="center"/>
          </w:tcPr>
          <w:p w14:paraId="75E9C7F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26" w:type="dxa"/>
            <w:tcBorders>
              <w:top w:val="nil"/>
              <w:left w:val="nil"/>
              <w:bottom w:val="nil"/>
              <w:right w:val="nil"/>
              <w:tl2br w:val="nil"/>
              <w:tr2bl w:val="nil"/>
            </w:tcBorders>
            <w:tcMar>
              <w:left w:w="60" w:type="dxa"/>
              <w:right w:w="60" w:type="dxa"/>
            </w:tcMar>
            <w:vAlign w:val="center"/>
          </w:tcPr>
          <w:p w14:paraId="24A904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2" w:type="dxa"/>
            <w:tcBorders>
              <w:top w:val="nil"/>
              <w:left w:val="nil"/>
              <w:bottom w:val="nil"/>
              <w:right w:val="nil"/>
              <w:tl2br w:val="nil"/>
              <w:tr2bl w:val="nil"/>
            </w:tcBorders>
            <w:tcMar>
              <w:left w:w="60" w:type="dxa"/>
              <w:right w:w="60" w:type="dxa"/>
            </w:tcMar>
            <w:vAlign w:val="center"/>
          </w:tcPr>
          <w:p w14:paraId="031F991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E3FFB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27AD38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9" w:type="dxa"/>
            <w:tcBorders>
              <w:top w:val="nil"/>
              <w:left w:val="nil"/>
              <w:bottom w:val="nil"/>
              <w:right w:val="nil"/>
              <w:tl2br w:val="nil"/>
              <w:tr2bl w:val="nil"/>
            </w:tcBorders>
            <w:tcMar>
              <w:left w:w="60" w:type="dxa"/>
              <w:right w:w="60" w:type="dxa"/>
            </w:tcMar>
            <w:vAlign w:val="center"/>
          </w:tcPr>
          <w:p w14:paraId="3B653A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358E2D3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A69167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1C8F55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41E0539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5F4AB2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65751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7ED06E3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453A59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D8E9B7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2EE382E"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(Pensions of former Members) European Ombudsman</w:t>
            </w:r>
          </w:p>
        </w:tc>
        <w:tc>
          <w:tcPr>
            <w:tcW w:w="960" w:type="dxa"/>
            <w:tcBorders>
              <w:top w:val="nil"/>
              <w:left w:val="nil"/>
              <w:bottom w:val="nil"/>
              <w:right w:val="nil"/>
              <w:tl2br w:val="nil"/>
              <w:tr2bl w:val="nil"/>
            </w:tcBorders>
            <w:tcMar>
              <w:left w:w="60" w:type="dxa"/>
              <w:right w:w="60" w:type="dxa"/>
            </w:tcMar>
            <w:vAlign w:val="center"/>
          </w:tcPr>
          <w:p w14:paraId="37EE3F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6" w:type="dxa"/>
            <w:tcBorders>
              <w:top w:val="nil"/>
              <w:left w:val="nil"/>
              <w:bottom w:val="nil"/>
              <w:right w:val="nil"/>
              <w:tl2br w:val="nil"/>
              <w:tr2bl w:val="nil"/>
            </w:tcBorders>
            <w:tcMar>
              <w:left w:w="60" w:type="dxa"/>
              <w:right w:w="60" w:type="dxa"/>
            </w:tcMar>
            <w:vAlign w:val="center"/>
          </w:tcPr>
          <w:p w14:paraId="4A10E9D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2" w:type="dxa"/>
            <w:tcBorders>
              <w:top w:val="nil"/>
              <w:left w:val="nil"/>
              <w:bottom w:val="nil"/>
              <w:right w:val="nil"/>
              <w:tl2br w:val="nil"/>
              <w:tr2bl w:val="nil"/>
            </w:tcBorders>
            <w:tcMar>
              <w:left w:w="60" w:type="dxa"/>
              <w:right w:w="60" w:type="dxa"/>
            </w:tcMar>
            <w:vAlign w:val="center"/>
          </w:tcPr>
          <w:p w14:paraId="05E7BA5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5E38DC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25C277F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9" w:type="dxa"/>
            <w:tcBorders>
              <w:top w:val="nil"/>
              <w:left w:val="nil"/>
              <w:bottom w:val="nil"/>
              <w:right w:val="nil"/>
              <w:tl2br w:val="nil"/>
              <w:tr2bl w:val="nil"/>
            </w:tcBorders>
            <w:tcMar>
              <w:left w:w="60" w:type="dxa"/>
              <w:right w:w="60" w:type="dxa"/>
            </w:tcMar>
            <w:vAlign w:val="center"/>
          </w:tcPr>
          <w:p w14:paraId="3080F7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5EA1E3D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3AFCD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0A784CD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442842C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79767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66B4A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D0BAF5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5B5BCA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804F9D6"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1F14802"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(Pensions of former Members) European Data Protection Supervisor</w:t>
            </w:r>
          </w:p>
        </w:tc>
        <w:tc>
          <w:tcPr>
            <w:tcW w:w="960" w:type="dxa"/>
            <w:tcBorders>
              <w:top w:val="nil"/>
              <w:left w:val="nil"/>
              <w:bottom w:val="nil"/>
              <w:right w:val="nil"/>
              <w:tl2br w:val="nil"/>
              <w:tr2bl w:val="nil"/>
            </w:tcBorders>
            <w:tcMar>
              <w:left w:w="60" w:type="dxa"/>
              <w:right w:w="60" w:type="dxa"/>
            </w:tcMar>
            <w:vAlign w:val="center"/>
          </w:tcPr>
          <w:p w14:paraId="7064303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6" w:type="dxa"/>
            <w:tcBorders>
              <w:top w:val="nil"/>
              <w:left w:val="nil"/>
              <w:bottom w:val="nil"/>
              <w:right w:val="nil"/>
              <w:tl2br w:val="nil"/>
              <w:tr2bl w:val="nil"/>
            </w:tcBorders>
            <w:tcMar>
              <w:left w:w="60" w:type="dxa"/>
              <w:right w:w="60" w:type="dxa"/>
            </w:tcMar>
            <w:vAlign w:val="center"/>
          </w:tcPr>
          <w:p w14:paraId="4E9AB6B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2" w:type="dxa"/>
            <w:tcBorders>
              <w:top w:val="nil"/>
              <w:left w:val="nil"/>
              <w:bottom w:val="nil"/>
              <w:right w:val="nil"/>
              <w:tl2br w:val="nil"/>
              <w:tr2bl w:val="nil"/>
            </w:tcBorders>
            <w:tcMar>
              <w:left w:w="60" w:type="dxa"/>
              <w:right w:w="60" w:type="dxa"/>
            </w:tcMar>
            <w:vAlign w:val="center"/>
          </w:tcPr>
          <w:p w14:paraId="2060C41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B4F0A2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2467B8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9" w:type="dxa"/>
            <w:tcBorders>
              <w:top w:val="nil"/>
              <w:left w:val="nil"/>
              <w:bottom w:val="nil"/>
              <w:right w:val="nil"/>
              <w:tl2br w:val="nil"/>
              <w:tr2bl w:val="nil"/>
            </w:tcBorders>
            <w:tcMar>
              <w:left w:w="60" w:type="dxa"/>
              <w:right w:w="60" w:type="dxa"/>
            </w:tcMar>
            <w:vAlign w:val="center"/>
          </w:tcPr>
          <w:p w14:paraId="44FDA4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51965D3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0830F5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0EF0B9A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440EF9D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0D943DA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B0CC84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46C9C5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9EA70D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813E5E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E66C8F2"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schools) Commission</w:t>
            </w:r>
          </w:p>
        </w:tc>
        <w:tc>
          <w:tcPr>
            <w:tcW w:w="960" w:type="dxa"/>
            <w:tcBorders>
              <w:top w:val="nil"/>
              <w:left w:val="nil"/>
              <w:bottom w:val="nil"/>
              <w:right w:val="nil"/>
              <w:tl2br w:val="nil"/>
              <w:tr2bl w:val="nil"/>
            </w:tcBorders>
            <w:tcMar>
              <w:left w:w="60" w:type="dxa"/>
              <w:right w:w="60" w:type="dxa"/>
            </w:tcMar>
            <w:vAlign w:val="center"/>
          </w:tcPr>
          <w:p w14:paraId="7837CE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298</w:t>
            </w:r>
          </w:p>
        </w:tc>
        <w:tc>
          <w:tcPr>
            <w:tcW w:w="126" w:type="dxa"/>
            <w:tcBorders>
              <w:top w:val="nil"/>
              <w:left w:val="nil"/>
              <w:bottom w:val="nil"/>
              <w:right w:val="nil"/>
              <w:tl2br w:val="nil"/>
              <w:tr2bl w:val="nil"/>
            </w:tcBorders>
            <w:tcMar>
              <w:left w:w="60" w:type="dxa"/>
              <w:right w:w="60" w:type="dxa"/>
            </w:tcMar>
            <w:vAlign w:val="center"/>
          </w:tcPr>
          <w:p w14:paraId="0FF7BFD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263</w:t>
            </w:r>
          </w:p>
        </w:tc>
        <w:tc>
          <w:tcPr>
            <w:tcW w:w="102" w:type="dxa"/>
            <w:tcBorders>
              <w:top w:val="nil"/>
              <w:left w:val="nil"/>
              <w:bottom w:val="nil"/>
              <w:right w:val="nil"/>
              <w:tl2br w:val="nil"/>
              <w:tr2bl w:val="nil"/>
            </w:tcBorders>
            <w:tcMar>
              <w:left w:w="60" w:type="dxa"/>
              <w:right w:w="60" w:type="dxa"/>
            </w:tcMar>
            <w:vAlign w:val="center"/>
          </w:tcPr>
          <w:p w14:paraId="2E8829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8B381A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125" w:type="dxa"/>
            <w:tcBorders>
              <w:top w:val="nil"/>
              <w:left w:val="nil"/>
              <w:bottom w:val="nil"/>
              <w:right w:val="nil"/>
              <w:tl2br w:val="nil"/>
              <w:tr2bl w:val="nil"/>
            </w:tcBorders>
            <w:tcMar>
              <w:left w:w="60" w:type="dxa"/>
              <w:right w:w="60" w:type="dxa"/>
            </w:tcMar>
            <w:vAlign w:val="center"/>
          </w:tcPr>
          <w:p w14:paraId="5981B92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291</w:t>
            </w:r>
          </w:p>
        </w:tc>
        <w:tc>
          <w:tcPr>
            <w:tcW w:w="99" w:type="dxa"/>
            <w:tcBorders>
              <w:top w:val="nil"/>
              <w:left w:val="nil"/>
              <w:bottom w:val="nil"/>
              <w:right w:val="nil"/>
              <w:tl2br w:val="nil"/>
              <w:tr2bl w:val="nil"/>
            </w:tcBorders>
            <w:tcMar>
              <w:left w:w="60" w:type="dxa"/>
              <w:right w:w="60" w:type="dxa"/>
            </w:tcMar>
            <w:vAlign w:val="center"/>
          </w:tcPr>
          <w:p w14:paraId="60A93D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57A5544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C9F536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6" w:type="dxa"/>
            <w:tcBorders>
              <w:top w:val="nil"/>
              <w:left w:val="nil"/>
              <w:bottom w:val="nil"/>
              <w:right w:val="nil"/>
              <w:tl2br w:val="nil"/>
              <w:tr2bl w:val="nil"/>
            </w:tcBorders>
            <w:tcMar>
              <w:left w:w="60" w:type="dxa"/>
              <w:right w:w="60" w:type="dxa"/>
            </w:tcMar>
            <w:vAlign w:val="center"/>
          </w:tcPr>
          <w:p w14:paraId="074E88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2" w:type="dxa"/>
            <w:tcBorders>
              <w:top w:val="nil"/>
              <w:left w:val="nil"/>
              <w:bottom w:val="nil"/>
              <w:right w:val="nil"/>
              <w:tl2br w:val="nil"/>
              <w:tr2bl w:val="nil"/>
            </w:tcBorders>
            <w:tcMar>
              <w:left w:w="60" w:type="dxa"/>
              <w:right w:w="60" w:type="dxa"/>
            </w:tcMar>
            <w:vAlign w:val="center"/>
          </w:tcPr>
          <w:p w14:paraId="6AD4B5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D5180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AC9136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EFAE32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F27DC57"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1F6ED9A"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905E11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Remuneration statutory staff</w:t>
            </w:r>
          </w:p>
        </w:tc>
        <w:tc>
          <w:tcPr>
            <w:tcW w:w="960" w:type="dxa"/>
            <w:tcBorders>
              <w:top w:val="nil"/>
              <w:left w:val="nil"/>
              <w:bottom w:val="nil"/>
              <w:right w:val="nil"/>
              <w:tl2br w:val="nil"/>
              <w:tr2bl w:val="nil"/>
            </w:tcBorders>
            <w:tcMar>
              <w:left w:w="60" w:type="dxa"/>
              <w:right w:w="60" w:type="dxa"/>
            </w:tcMar>
            <w:vAlign w:val="center"/>
          </w:tcPr>
          <w:p w14:paraId="71993FB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3 157</w:t>
            </w:r>
          </w:p>
        </w:tc>
        <w:tc>
          <w:tcPr>
            <w:tcW w:w="126" w:type="dxa"/>
            <w:tcBorders>
              <w:top w:val="nil"/>
              <w:left w:val="nil"/>
              <w:bottom w:val="nil"/>
              <w:right w:val="nil"/>
              <w:tl2br w:val="nil"/>
              <w:tr2bl w:val="nil"/>
            </w:tcBorders>
            <w:tcMar>
              <w:left w:w="60" w:type="dxa"/>
              <w:right w:w="60" w:type="dxa"/>
            </w:tcMar>
            <w:vAlign w:val="center"/>
          </w:tcPr>
          <w:p w14:paraId="1F2F4D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3 027</w:t>
            </w:r>
          </w:p>
        </w:tc>
        <w:tc>
          <w:tcPr>
            <w:tcW w:w="102" w:type="dxa"/>
            <w:tcBorders>
              <w:top w:val="nil"/>
              <w:left w:val="nil"/>
              <w:bottom w:val="nil"/>
              <w:right w:val="nil"/>
              <w:tl2br w:val="nil"/>
              <w:tr2bl w:val="nil"/>
            </w:tcBorders>
            <w:tcMar>
              <w:left w:w="60" w:type="dxa"/>
              <w:right w:w="60" w:type="dxa"/>
            </w:tcMar>
            <w:vAlign w:val="center"/>
          </w:tcPr>
          <w:p w14:paraId="74C447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907697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65</w:t>
            </w:r>
          </w:p>
        </w:tc>
        <w:tc>
          <w:tcPr>
            <w:tcW w:w="125" w:type="dxa"/>
            <w:tcBorders>
              <w:top w:val="nil"/>
              <w:left w:val="nil"/>
              <w:bottom w:val="nil"/>
              <w:right w:val="nil"/>
              <w:tl2br w:val="nil"/>
              <w:tr2bl w:val="nil"/>
            </w:tcBorders>
            <w:tcMar>
              <w:left w:w="60" w:type="dxa"/>
              <w:right w:w="60" w:type="dxa"/>
            </w:tcMar>
            <w:vAlign w:val="center"/>
          </w:tcPr>
          <w:p w14:paraId="1C66FB4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3 092</w:t>
            </w:r>
          </w:p>
        </w:tc>
        <w:tc>
          <w:tcPr>
            <w:tcW w:w="99" w:type="dxa"/>
            <w:tcBorders>
              <w:top w:val="nil"/>
              <w:left w:val="nil"/>
              <w:bottom w:val="nil"/>
              <w:right w:val="nil"/>
              <w:tl2br w:val="nil"/>
              <w:tr2bl w:val="nil"/>
            </w:tcBorders>
            <w:tcMar>
              <w:left w:w="60" w:type="dxa"/>
              <w:right w:w="60" w:type="dxa"/>
            </w:tcMar>
            <w:vAlign w:val="center"/>
          </w:tcPr>
          <w:p w14:paraId="35C30AA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167D123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5730CE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64</w:t>
            </w:r>
          </w:p>
        </w:tc>
        <w:tc>
          <w:tcPr>
            <w:tcW w:w="106" w:type="dxa"/>
            <w:tcBorders>
              <w:top w:val="nil"/>
              <w:left w:val="nil"/>
              <w:bottom w:val="nil"/>
              <w:right w:val="nil"/>
              <w:tl2br w:val="nil"/>
              <w:tr2bl w:val="nil"/>
            </w:tcBorders>
            <w:tcMar>
              <w:left w:w="60" w:type="dxa"/>
              <w:right w:w="60" w:type="dxa"/>
            </w:tcMar>
            <w:vAlign w:val="center"/>
          </w:tcPr>
          <w:p w14:paraId="067C593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64</w:t>
            </w:r>
          </w:p>
        </w:tc>
        <w:tc>
          <w:tcPr>
            <w:tcW w:w="92" w:type="dxa"/>
            <w:tcBorders>
              <w:top w:val="nil"/>
              <w:left w:val="nil"/>
              <w:bottom w:val="nil"/>
              <w:right w:val="nil"/>
              <w:tl2br w:val="nil"/>
              <w:tr2bl w:val="nil"/>
            </w:tcBorders>
            <w:tcMar>
              <w:left w:w="60" w:type="dxa"/>
              <w:right w:w="60" w:type="dxa"/>
            </w:tcMar>
            <w:vAlign w:val="center"/>
          </w:tcPr>
          <w:p w14:paraId="6B783D0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2" w:type="dxa"/>
            <w:tcBorders>
              <w:top w:val="nil"/>
              <w:left w:val="nil"/>
              <w:bottom w:val="nil"/>
              <w:right w:val="nil"/>
              <w:tl2br w:val="nil"/>
              <w:tr2bl w:val="nil"/>
            </w:tcBorders>
            <w:tcMar>
              <w:left w:w="60" w:type="dxa"/>
              <w:right w:w="60" w:type="dxa"/>
            </w:tcMar>
            <w:vAlign w:val="center"/>
          </w:tcPr>
          <w:p w14:paraId="7ECABE9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2FD85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1309EF2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16AF899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73CF283"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8305DA3"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Remuneration external staff</w:t>
            </w:r>
          </w:p>
        </w:tc>
        <w:tc>
          <w:tcPr>
            <w:tcW w:w="960" w:type="dxa"/>
            <w:tcBorders>
              <w:top w:val="nil"/>
              <w:left w:val="nil"/>
              <w:bottom w:val="nil"/>
              <w:right w:val="nil"/>
              <w:tl2br w:val="nil"/>
              <w:tr2bl w:val="nil"/>
            </w:tcBorders>
            <w:tcMar>
              <w:left w:w="60" w:type="dxa"/>
              <w:right w:w="60" w:type="dxa"/>
            </w:tcMar>
            <w:vAlign w:val="center"/>
          </w:tcPr>
          <w:p w14:paraId="32850C1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469</w:t>
            </w:r>
          </w:p>
        </w:tc>
        <w:tc>
          <w:tcPr>
            <w:tcW w:w="126" w:type="dxa"/>
            <w:tcBorders>
              <w:top w:val="nil"/>
              <w:left w:val="nil"/>
              <w:bottom w:val="nil"/>
              <w:right w:val="nil"/>
              <w:tl2br w:val="nil"/>
              <w:tr2bl w:val="nil"/>
            </w:tcBorders>
            <w:tcMar>
              <w:left w:w="60" w:type="dxa"/>
              <w:right w:w="60" w:type="dxa"/>
            </w:tcMar>
            <w:vAlign w:val="center"/>
          </w:tcPr>
          <w:p w14:paraId="352D619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299</w:t>
            </w:r>
          </w:p>
        </w:tc>
        <w:tc>
          <w:tcPr>
            <w:tcW w:w="102" w:type="dxa"/>
            <w:tcBorders>
              <w:top w:val="nil"/>
              <w:left w:val="nil"/>
              <w:bottom w:val="nil"/>
              <w:right w:val="nil"/>
              <w:tl2br w:val="nil"/>
              <w:tr2bl w:val="nil"/>
            </w:tcBorders>
            <w:tcMar>
              <w:left w:w="60" w:type="dxa"/>
              <w:right w:w="60" w:type="dxa"/>
            </w:tcMar>
            <w:vAlign w:val="center"/>
          </w:tcPr>
          <w:p w14:paraId="290691A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C0EE12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125" w:type="dxa"/>
            <w:tcBorders>
              <w:top w:val="nil"/>
              <w:left w:val="nil"/>
              <w:bottom w:val="nil"/>
              <w:right w:val="nil"/>
              <w:tl2br w:val="nil"/>
              <w:tr2bl w:val="nil"/>
            </w:tcBorders>
            <w:tcMar>
              <w:left w:w="60" w:type="dxa"/>
              <w:right w:w="60" w:type="dxa"/>
            </w:tcMar>
            <w:vAlign w:val="center"/>
          </w:tcPr>
          <w:p w14:paraId="61DF759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351</w:t>
            </w:r>
          </w:p>
        </w:tc>
        <w:tc>
          <w:tcPr>
            <w:tcW w:w="99" w:type="dxa"/>
            <w:tcBorders>
              <w:top w:val="nil"/>
              <w:left w:val="nil"/>
              <w:bottom w:val="nil"/>
              <w:right w:val="nil"/>
              <w:tl2br w:val="nil"/>
              <w:tr2bl w:val="nil"/>
            </w:tcBorders>
            <w:tcMar>
              <w:left w:w="60" w:type="dxa"/>
              <w:right w:w="60" w:type="dxa"/>
            </w:tcMar>
            <w:vAlign w:val="center"/>
          </w:tcPr>
          <w:p w14:paraId="54AE401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75 %</w:t>
            </w:r>
          </w:p>
        </w:tc>
        <w:tc>
          <w:tcPr>
            <w:tcW w:w="105" w:type="dxa"/>
            <w:tcBorders>
              <w:top w:val="nil"/>
              <w:left w:val="nil"/>
              <w:bottom w:val="nil"/>
              <w:right w:val="nil"/>
              <w:tl2br w:val="nil"/>
              <w:tr2bl w:val="nil"/>
            </w:tcBorders>
            <w:tcMar>
              <w:left w:w="60" w:type="dxa"/>
              <w:right w:w="60" w:type="dxa"/>
            </w:tcMar>
            <w:vAlign w:val="center"/>
          </w:tcPr>
          <w:p w14:paraId="3BDCF12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261CD76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106" w:type="dxa"/>
            <w:tcBorders>
              <w:top w:val="nil"/>
              <w:left w:val="nil"/>
              <w:bottom w:val="nil"/>
              <w:right w:val="nil"/>
              <w:tl2br w:val="nil"/>
              <w:tr2bl w:val="nil"/>
            </w:tcBorders>
            <w:tcMar>
              <w:left w:w="60" w:type="dxa"/>
              <w:right w:w="60" w:type="dxa"/>
            </w:tcMar>
            <w:vAlign w:val="center"/>
          </w:tcPr>
          <w:p w14:paraId="3B80BA5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92" w:type="dxa"/>
            <w:tcBorders>
              <w:top w:val="nil"/>
              <w:left w:val="nil"/>
              <w:bottom w:val="nil"/>
              <w:right w:val="nil"/>
              <w:tl2br w:val="nil"/>
              <w:tr2bl w:val="nil"/>
            </w:tcBorders>
            <w:tcMar>
              <w:left w:w="60" w:type="dxa"/>
              <w:right w:w="60" w:type="dxa"/>
            </w:tcMar>
            <w:vAlign w:val="center"/>
          </w:tcPr>
          <w:p w14:paraId="5479D50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2" w:type="dxa"/>
            <w:tcBorders>
              <w:top w:val="nil"/>
              <w:left w:val="nil"/>
              <w:bottom w:val="nil"/>
              <w:right w:val="nil"/>
              <w:tl2br w:val="nil"/>
              <w:tr2bl w:val="nil"/>
            </w:tcBorders>
            <w:tcMar>
              <w:left w:w="60" w:type="dxa"/>
              <w:right w:w="60" w:type="dxa"/>
            </w:tcMar>
            <w:vAlign w:val="center"/>
          </w:tcPr>
          <w:p w14:paraId="60EF43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5ECB9D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81" w:type="dxa"/>
            <w:tcBorders>
              <w:top w:val="nil"/>
              <w:left w:val="nil"/>
              <w:bottom w:val="nil"/>
              <w:right w:val="nil"/>
              <w:tl2br w:val="nil"/>
              <w:tr2bl w:val="nil"/>
            </w:tcBorders>
            <w:tcMar>
              <w:left w:w="60" w:type="dxa"/>
              <w:right w:w="60" w:type="dxa"/>
            </w:tcMar>
            <w:vAlign w:val="center"/>
          </w:tcPr>
          <w:p w14:paraId="75A3598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25874FDD"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73EE43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2C6C555"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Members - Salaries and allowances</w:t>
            </w:r>
          </w:p>
        </w:tc>
        <w:tc>
          <w:tcPr>
            <w:tcW w:w="960" w:type="dxa"/>
            <w:tcBorders>
              <w:top w:val="nil"/>
              <w:left w:val="nil"/>
              <w:bottom w:val="nil"/>
              <w:right w:val="nil"/>
              <w:tl2br w:val="nil"/>
              <w:tr2bl w:val="nil"/>
            </w:tcBorders>
            <w:tcMar>
              <w:left w:w="60" w:type="dxa"/>
              <w:right w:w="60" w:type="dxa"/>
            </w:tcMar>
            <w:vAlign w:val="center"/>
          </w:tcPr>
          <w:p w14:paraId="4E8D51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26" w:type="dxa"/>
            <w:tcBorders>
              <w:top w:val="nil"/>
              <w:left w:val="nil"/>
              <w:bottom w:val="nil"/>
              <w:right w:val="nil"/>
              <w:tl2br w:val="nil"/>
              <w:tr2bl w:val="nil"/>
            </w:tcBorders>
            <w:tcMar>
              <w:left w:w="60" w:type="dxa"/>
              <w:right w:w="60" w:type="dxa"/>
            </w:tcMar>
            <w:vAlign w:val="center"/>
          </w:tcPr>
          <w:p w14:paraId="1E7D876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102" w:type="dxa"/>
            <w:tcBorders>
              <w:top w:val="nil"/>
              <w:left w:val="nil"/>
              <w:bottom w:val="nil"/>
              <w:right w:val="nil"/>
              <w:tl2br w:val="nil"/>
              <w:tr2bl w:val="nil"/>
            </w:tcBorders>
            <w:tcMar>
              <w:left w:w="60" w:type="dxa"/>
              <w:right w:w="60" w:type="dxa"/>
            </w:tcMar>
            <w:vAlign w:val="center"/>
          </w:tcPr>
          <w:p w14:paraId="50C1433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13BFD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156E840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99" w:type="dxa"/>
            <w:tcBorders>
              <w:top w:val="nil"/>
              <w:left w:val="nil"/>
              <w:bottom w:val="nil"/>
              <w:right w:val="nil"/>
              <w:tl2br w:val="nil"/>
              <w:tr2bl w:val="nil"/>
            </w:tcBorders>
            <w:tcMar>
              <w:left w:w="60" w:type="dxa"/>
              <w:right w:w="60" w:type="dxa"/>
            </w:tcMar>
            <w:vAlign w:val="center"/>
          </w:tcPr>
          <w:p w14:paraId="4BCB878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5A1A824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4605E2B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6AD88F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10FC909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4440B4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171B0D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19AAA63"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D3892C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30FA397"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A03C24B"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Members - Temporary allowances</w:t>
            </w:r>
          </w:p>
        </w:tc>
        <w:tc>
          <w:tcPr>
            <w:tcW w:w="960" w:type="dxa"/>
            <w:tcBorders>
              <w:top w:val="nil"/>
              <w:left w:val="nil"/>
              <w:bottom w:val="nil"/>
              <w:right w:val="nil"/>
              <w:tl2br w:val="nil"/>
              <w:tr2bl w:val="nil"/>
            </w:tcBorders>
            <w:tcMar>
              <w:left w:w="60" w:type="dxa"/>
              <w:right w:w="60" w:type="dxa"/>
            </w:tcMar>
            <w:vAlign w:val="center"/>
          </w:tcPr>
          <w:p w14:paraId="1D417EB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26" w:type="dxa"/>
            <w:tcBorders>
              <w:top w:val="nil"/>
              <w:left w:val="nil"/>
              <w:bottom w:val="nil"/>
              <w:right w:val="nil"/>
              <w:tl2br w:val="nil"/>
              <w:tr2bl w:val="nil"/>
            </w:tcBorders>
            <w:tcMar>
              <w:left w:w="60" w:type="dxa"/>
              <w:right w:w="60" w:type="dxa"/>
            </w:tcMar>
            <w:vAlign w:val="center"/>
          </w:tcPr>
          <w:p w14:paraId="74A78A5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2" w:type="dxa"/>
            <w:tcBorders>
              <w:top w:val="nil"/>
              <w:left w:val="nil"/>
              <w:bottom w:val="nil"/>
              <w:right w:val="nil"/>
              <w:tl2br w:val="nil"/>
              <w:tr2bl w:val="nil"/>
            </w:tcBorders>
            <w:tcMar>
              <w:left w:w="60" w:type="dxa"/>
              <w:right w:w="60" w:type="dxa"/>
            </w:tcMar>
            <w:vAlign w:val="center"/>
          </w:tcPr>
          <w:p w14:paraId="5A735DE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6E77F5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4A0D7E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9" w:type="dxa"/>
            <w:tcBorders>
              <w:top w:val="nil"/>
              <w:left w:val="nil"/>
              <w:bottom w:val="nil"/>
              <w:right w:val="nil"/>
              <w:tl2br w:val="nil"/>
              <w:tr2bl w:val="nil"/>
            </w:tcBorders>
            <w:tcMar>
              <w:left w:w="60" w:type="dxa"/>
              <w:right w:w="60" w:type="dxa"/>
            </w:tcMar>
            <w:vAlign w:val="center"/>
          </w:tcPr>
          <w:p w14:paraId="02B1664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6AAE2D8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716600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706FBDC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09D1043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329C7CC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86C290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86F9F2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1C1BBA0"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E6485D5"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16F218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Recruitment costs</w:t>
            </w:r>
          </w:p>
        </w:tc>
        <w:tc>
          <w:tcPr>
            <w:tcW w:w="960" w:type="dxa"/>
            <w:tcBorders>
              <w:top w:val="nil"/>
              <w:left w:val="nil"/>
              <w:bottom w:val="nil"/>
              <w:right w:val="nil"/>
              <w:tl2br w:val="nil"/>
              <w:tr2bl w:val="nil"/>
            </w:tcBorders>
            <w:tcMar>
              <w:left w:w="60" w:type="dxa"/>
              <w:right w:w="60" w:type="dxa"/>
            </w:tcMar>
            <w:vAlign w:val="center"/>
          </w:tcPr>
          <w:p w14:paraId="2F66407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126" w:type="dxa"/>
            <w:tcBorders>
              <w:top w:val="nil"/>
              <w:left w:val="nil"/>
              <w:bottom w:val="nil"/>
              <w:right w:val="nil"/>
              <w:tl2br w:val="nil"/>
              <w:tr2bl w:val="nil"/>
            </w:tcBorders>
            <w:tcMar>
              <w:left w:w="60" w:type="dxa"/>
              <w:right w:w="60" w:type="dxa"/>
            </w:tcMar>
            <w:vAlign w:val="center"/>
          </w:tcPr>
          <w:p w14:paraId="00C4CC5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102" w:type="dxa"/>
            <w:tcBorders>
              <w:top w:val="nil"/>
              <w:left w:val="nil"/>
              <w:bottom w:val="nil"/>
              <w:right w:val="nil"/>
              <w:tl2br w:val="nil"/>
              <w:tr2bl w:val="nil"/>
            </w:tcBorders>
            <w:tcMar>
              <w:left w:w="60" w:type="dxa"/>
              <w:right w:w="60" w:type="dxa"/>
            </w:tcMar>
            <w:vAlign w:val="center"/>
          </w:tcPr>
          <w:p w14:paraId="18DFB95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9D5032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5BE6293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99" w:type="dxa"/>
            <w:tcBorders>
              <w:top w:val="nil"/>
              <w:left w:val="nil"/>
              <w:bottom w:val="nil"/>
              <w:right w:val="nil"/>
              <w:tl2br w:val="nil"/>
              <w:tr2bl w:val="nil"/>
            </w:tcBorders>
            <w:tcMar>
              <w:left w:w="60" w:type="dxa"/>
              <w:right w:w="60" w:type="dxa"/>
            </w:tcMar>
            <w:vAlign w:val="center"/>
          </w:tcPr>
          <w:p w14:paraId="27C8473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496135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314FD53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5EB255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7A75998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C90C1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85CB23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072D5926"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5BE7188"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047EB80"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222697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Termination of service</w:t>
            </w:r>
          </w:p>
        </w:tc>
        <w:tc>
          <w:tcPr>
            <w:tcW w:w="960" w:type="dxa"/>
            <w:tcBorders>
              <w:top w:val="nil"/>
              <w:left w:val="nil"/>
              <w:bottom w:val="nil"/>
              <w:right w:val="nil"/>
              <w:tl2br w:val="nil"/>
              <w:tr2bl w:val="nil"/>
            </w:tcBorders>
            <w:tcMar>
              <w:left w:w="60" w:type="dxa"/>
              <w:right w:w="60" w:type="dxa"/>
            </w:tcMar>
            <w:vAlign w:val="center"/>
          </w:tcPr>
          <w:p w14:paraId="0D33C2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26" w:type="dxa"/>
            <w:tcBorders>
              <w:top w:val="nil"/>
              <w:left w:val="nil"/>
              <w:bottom w:val="nil"/>
              <w:right w:val="nil"/>
              <w:tl2br w:val="nil"/>
              <w:tr2bl w:val="nil"/>
            </w:tcBorders>
            <w:tcMar>
              <w:left w:w="60" w:type="dxa"/>
              <w:right w:w="60" w:type="dxa"/>
            </w:tcMar>
            <w:vAlign w:val="center"/>
          </w:tcPr>
          <w:p w14:paraId="15BF802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2" w:type="dxa"/>
            <w:tcBorders>
              <w:top w:val="nil"/>
              <w:left w:val="nil"/>
              <w:bottom w:val="nil"/>
              <w:right w:val="nil"/>
              <w:tl2br w:val="nil"/>
              <w:tr2bl w:val="nil"/>
            </w:tcBorders>
            <w:tcMar>
              <w:left w:w="60" w:type="dxa"/>
              <w:right w:w="60" w:type="dxa"/>
            </w:tcMar>
            <w:vAlign w:val="center"/>
          </w:tcPr>
          <w:p w14:paraId="6EA2FD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DF63C0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A6AD60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9" w:type="dxa"/>
            <w:tcBorders>
              <w:top w:val="nil"/>
              <w:left w:val="nil"/>
              <w:bottom w:val="nil"/>
              <w:right w:val="nil"/>
              <w:tl2br w:val="nil"/>
              <w:tr2bl w:val="nil"/>
            </w:tcBorders>
            <w:tcMar>
              <w:left w:w="60" w:type="dxa"/>
              <w:right w:w="60" w:type="dxa"/>
            </w:tcMar>
            <w:vAlign w:val="center"/>
          </w:tcPr>
          <w:p w14:paraId="1FA0B4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7326B4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EDA069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7D3AF7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5A26F8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242519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E5A16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211ECD8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78C7A1A"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6163390"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CC50E4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Training costs</w:t>
            </w:r>
          </w:p>
        </w:tc>
        <w:tc>
          <w:tcPr>
            <w:tcW w:w="960" w:type="dxa"/>
            <w:tcBorders>
              <w:top w:val="nil"/>
              <w:left w:val="nil"/>
              <w:bottom w:val="nil"/>
              <w:right w:val="nil"/>
              <w:tl2br w:val="nil"/>
              <w:tr2bl w:val="nil"/>
            </w:tcBorders>
            <w:tcMar>
              <w:left w:w="60" w:type="dxa"/>
              <w:right w:w="60" w:type="dxa"/>
            </w:tcMar>
            <w:vAlign w:val="center"/>
          </w:tcPr>
          <w:p w14:paraId="2EC09F8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26" w:type="dxa"/>
            <w:tcBorders>
              <w:top w:val="nil"/>
              <w:left w:val="nil"/>
              <w:bottom w:val="nil"/>
              <w:right w:val="nil"/>
              <w:tl2br w:val="nil"/>
              <w:tr2bl w:val="nil"/>
            </w:tcBorders>
            <w:tcMar>
              <w:left w:w="60" w:type="dxa"/>
              <w:right w:w="60" w:type="dxa"/>
            </w:tcMar>
            <w:vAlign w:val="center"/>
          </w:tcPr>
          <w:p w14:paraId="2EB464F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02" w:type="dxa"/>
            <w:tcBorders>
              <w:top w:val="nil"/>
              <w:left w:val="nil"/>
              <w:bottom w:val="nil"/>
              <w:right w:val="nil"/>
              <w:tl2br w:val="nil"/>
              <w:tr2bl w:val="nil"/>
            </w:tcBorders>
            <w:tcMar>
              <w:left w:w="60" w:type="dxa"/>
              <w:right w:w="60" w:type="dxa"/>
            </w:tcMar>
            <w:vAlign w:val="center"/>
          </w:tcPr>
          <w:p w14:paraId="5991512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6E3630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25" w:type="dxa"/>
            <w:tcBorders>
              <w:top w:val="nil"/>
              <w:left w:val="nil"/>
              <w:bottom w:val="nil"/>
              <w:right w:val="nil"/>
              <w:tl2br w:val="nil"/>
              <w:tr2bl w:val="nil"/>
            </w:tcBorders>
            <w:tcMar>
              <w:left w:w="60" w:type="dxa"/>
              <w:right w:w="60" w:type="dxa"/>
            </w:tcMar>
            <w:vAlign w:val="center"/>
          </w:tcPr>
          <w:p w14:paraId="4C5B6B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99" w:type="dxa"/>
            <w:tcBorders>
              <w:top w:val="nil"/>
              <w:left w:val="nil"/>
              <w:bottom w:val="nil"/>
              <w:right w:val="nil"/>
              <w:tl2br w:val="nil"/>
              <w:tr2bl w:val="nil"/>
            </w:tcBorders>
            <w:tcMar>
              <w:left w:w="60" w:type="dxa"/>
              <w:right w:w="60" w:type="dxa"/>
            </w:tcMar>
            <w:vAlign w:val="center"/>
          </w:tcPr>
          <w:p w14:paraId="6A49F42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86 %</w:t>
            </w:r>
          </w:p>
        </w:tc>
        <w:tc>
          <w:tcPr>
            <w:tcW w:w="105" w:type="dxa"/>
            <w:tcBorders>
              <w:top w:val="nil"/>
              <w:left w:val="nil"/>
              <w:bottom w:val="nil"/>
              <w:right w:val="nil"/>
              <w:tl2br w:val="nil"/>
              <w:tr2bl w:val="nil"/>
            </w:tcBorders>
            <w:tcMar>
              <w:left w:w="60" w:type="dxa"/>
              <w:right w:w="60" w:type="dxa"/>
            </w:tcMar>
            <w:vAlign w:val="center"/>
          </w:tcPr>
          <w:p w14:paraId="3228DEC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4F6506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6" w:type="dxa"/>
            <w:tcBorders>
              <w:top w:val="nil"/>
              <w:left w:val="nil"/>
              <w:bottom w:val="nil"/>
              <w:right w:val="nil"/>
              <w:tl2br w:val="nil"/>
              <w:tr2bl w:val="nil"/>
            </w:tcBorders>
            <w:tcMar>
              <w:left w:w="60" w:type="dxa"/>
              <w:right w:w="60" w:type="dxa"/>
            </w:tcMar>
            <w:vAlign w:val="center"/>
          </w:tcPr>
          <w:p w14:paraId="587670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2" w:type="dxa"/>
            <w:tcBorders>
              <w:top w:val="nil"/>
              <w:left w:val="nil"/>
              <w:bottom w:val="nil"/>
              <w:right w:val="nil"/>
              <w:tl2br w:val="nil"/>
              <w:tr2bl w:val="nil"/>
            </w:tcBorders>
            <w:tcMar>
              <w:left w:w="60" w:type="dxa"/>
              <w:right w:w="60" w:type="dxa"/>
            </w:tcMar>
            <w:vAlign w:val="center"/>
          </w:tcPr>
          <w:p w14:paraId="52D63BB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FBCACB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43C051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0D9CE86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C9F7D1E"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3352A9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9B0837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Social and Mobility</w:t>
            </w:r>
          </w:p>
        </w:tc>
        <w:tc>
          <w:tcPr>
            <w:tcW w:w="960" w:type="dxa"/>
            <w:tcBorders>
              <w:top w:val="nil"/>
              <w:left w:val="nil"/>
              <w:bottom w:val="nil"/>
              <w:right w:val="nil"/>
              <w:tl2br w:val="nil"/>
              <w:tr2bl w:val="nil"/>
            </w:tcBorders>
            <w:tcMar>
              <w:left w:w="60" w:type="dxa"/>
              <w:right w:w="60" w:type="dxa"/>
            </w:tcMar>
            <w:vAlign w:val="center"/>
          </w:tcPr>
          <w:p w14:paraId="33B0D33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26" w:type="dxa"/>
            <w:tcBorders>
              <w:top w:val="nil"/>
              <w:left w:val="nil"/>
              <w:bottom w:val="nil"/>
              <w:right w:val="nil"/>
              <w:tl2br w:val="nil"/>
              <w:tr2bl w:val="nil"/>
            </w:tcBorders>
            <w:tcMar>
              <w:left w:w="60" w:type="dxa"/>
              <w:right w:w="60" w:type="dxa"/>
            </w:tcMar>
            <w:vAlign w:val="center"/>
          </w:tcPr>
          <w:p w14:paraId="21A47E9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02" w:type="dxa"/>
            <w:tcBorders>
              <w:top w:val="nil"/>
              <w:left w:val="nil"/>
              <w:bottom w:val="nil"/>
              <w:right w:val="nil"/>
              <w:tl2br w:val="nil"/>
              <w:tr2bl w:val="nil"/>
            </w:tcBorders>
            <w:tcMar>
              <w:left w:w="60" w:type="dxa"/>
              <w:right w:w="60" w:type="dxa"/>
            </w:tcMar>
            <w:vAlign w:val="center"/>
          </w:tcPr>
          <w:p w14:paraId="3E9825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DD0E7F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125" w:type="dxa"/>
            <w:tcBorders>
              <w:top w:val="nil"/>
              <w:left w:val="nil"/>
              <w:bottom w:val="nil"/>
              <w:right w:val="nil"/>
              <w:tl2br w:val="nil"/>
              <w:tr2bl w:val="nil"/>
            </w:tcBorders>
            <w:tcMar>
              <w:left w:w="60" w:type="dxa"/>
              <w:right w:w="60" w:type="dxa"/>
            </w:tcMar>
            <w:vAlign w:val="center"/>
          </w:tcPr>
          <w:p w14:paraId="025FBC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99" w:type="dxa"/>
            <w:tcBorders>
              <w:top w:val="nil"/>
              <w:left w:val="nil"/>
              <w:bottom w:val="nil"/>
              <w:right w:val="nil"/>
              <w:tl2br w:val="nil"/>
              <w:tr2bl w:val="nil"/>
            </w:tcBorders>
            <w:tcMar>
              <w:left w:w="60" w:type="dxa"/>
              <w:right w:w="60" w:type="dxa"/>
            </w:tcMar>
            <w:vAlign w:val="center"/>
          </w:tcPr>
          <w:p w14:paraId="2DD26F7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71 %</w:t>
            </w:r>
          </w:p>
        </w:tc>
        <w:tc>
          <w:tcPr>
            <w:tcW w:w="105" w:type="dxa"/>
            <w:tcBorders>
              <w:top w:val="nil"/>
              <w:left w:val="nil"/>
              <w:bottom w:val="nil"/>
              <w:right w:val="nil"/>
              <w:tl2br w:val="nil"/>
              <w:tr2bl w:val="nil"/>
            </w:tcBorders>
            <w:tcMar>
              <w:left w:w="60" w:type="dxa"/>
              <w:right w:w="60" w:type="dxa"/>
            </w:tcMar>
            <w:vAlign w:val="center"/>
          </w:tcPr>
          <w:p w14:paraId="7D0B82D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DA896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106" w:type="dxa"/>
            <w:tcBorders>
              <w:top w:val="nil"/>
              <w:left w:val="nil"/>
              <w:bottom w:val="nil"/>
              <w:right w:val="nil"/>
              <w:tl2br w:val="nil"/>
              <w:tr2bl w:val="nil"/>
            </w:tcBorders>
            <w:tcMar>
              <w:left w:w="60" w:type="dxa"/>
              <w:right w:w="60" w:type="dxa"/>
            </w:tcMar>
            <w:vAlign w:val="center"/>
          </w:tcPr>
          <w:p w14:paraId="07B1F95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92" w:type="dxa"/>
            <w:tcBorders>
              <w:top w:val="nil"/>
              <w:left w:val="nil"/>
              <w:bottom w:val="nil"/>
              <w:right w:val="nil"/>
              <w:tl2br w:val="nil"/>
              <w:tr2bl w:val="nil"/>
            </w:tcBorders>
            <w:tcMar>
              <w:left w:w="60" w:type="dxa"/>
              <w:right w:w="60" w:type="dxa"/>
            </w:tcMar>
            <w:vAlign w:val="center"/>
          </w:tcPr>
          <w:p w14:paraId="51B7DEF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5F096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49DBA21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09E761CC"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4D3CE0C"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D8FAF9A"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C50A0A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Information and communication technology</w:t>
            </w:r>
          </w:p>
        </w:tc>
        <w:tc>
          <w:tcPr>
            <w:tcW w:w="960" w:type="dxa"/>
            <w:tcBorders>
              <w:top w:val="nil"/>
              <w:left w:val="nil"/>
              <w:bottom w:val="nil"/>
              <w:right w:val="nil"/>
              <w:tl2br w:val="nil"/>
              <w:tr2bl w:val="nil"/>
            </w:tcBorders>
            <w:tcMar>
              <w:left w:w="60" w:type="dxa"/>
              <w:right w:w="60" w:type="dxa"/>
            </w:tcMar>
            <w:vAlign w:val="center"/>
          </w:tcPr>
          <w:p w14:paraId="6C2F19B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600</w:t>
            </w:r>
          </w:p>
        </w:tc>
        <w:tc>
          <w:tcPr>
            <w:tcW w:w="126" w:type="dxa"/>
            <w:tcBorders>
              <w:top w:val="nil"/>
              <w:left w:val="nil"/>
              <w:bottom w:val="nil"/>
              <w:right w:val="nil"/>
              <w:tl2br w:val="nil"/>
              <w:tr2bl w:val="nil"/>
            </w:tcBorders>
            <w:tcMar>
              <w:left w:w="60" w:type="dxa"/>
              <w:right w:w="60" w:type="dxa"/>
            </w:tcMar>
            <w:vAlign w:val="center"/>
          </w:tcPr>
          <w:p w14:paraId="65FADB4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292</w:t>
            </w:r>
          </w:p>
        </w:tc>
        <w:tc>
          <w:tcPr>
            <w:tcW w:w="102" w:type="dxa"/>
            <w:tcBorders>
              <w:top w:val="nil"/>
              <w:left w:val="nil"/>
              <w:bottom w:val="nil"/>
              <w:right w:val="nil"/>
              <w:tl2br w:val="nil"/>
              <w:tr2bl w:val="nil"/>
            </w:tcBorders>
            <w:tcMar>
              <w:left w:w="60" w:type="dxa"/>
              <w:right w:w="60" w:type="dxa"/>
            </w:tcMar>
            <w:vAlign w:val="center"/>
          </w:tcPr>
          <w:p w14:paraId="63BBCDA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36CD276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160</w:t>
            </w:r>
          </w:p>
        </w:tc>
        <w:tc>
          <w:tcPr>
            <w:tcW w:w="125" w:type="dxa"/>
            <w:tcBorders>
              <w:top w:val="nil"/>
              <w:left w:val="nil"/>
              <w:bottom w:val="nil"/>
              <w:right w:val="nil"/>
              <w:tl2br w:val="nil"/>
              <w:tr2bl w:val="nil"/>
            </w:tcBorders>
            <w:tcMar>
              <w:left w:w="60" w:type="dxa"/>
              <w:right w:w="60" w:type="dxa"/>
            </w:tcMar>
            <w:vAlign w:val="center"/>
          </w:tcPr>
          <w:p w14:paraId="776C986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452</w:t>
            </w:r>
          </w:p>
        </w:tc>
        <w:tc>
          <w:tcPr>
            <w:tcW w:w="99" w:type="dxa"/>
            <w:tcBorders>
              <w:top w:val="nil"/>
              <w:left w:val="nil"/>
              <w:bottom w:val="nil"/>
              <w:right w:val="nil"/>
              <w:tl2br w:val="nil"/>
              <w:tr2bl w:val="nil"/>
            </w:tcBorders>
            <w:tcMar>
              <w:left w:w="60" w:type="dxa"/>
              <w:right w:w="60" w:type="dxa"/>
            </w:tcMar>
            <w:vAlign w:val="center"/>
          </w:tcPr>
          <w:p w14:paraId="1C20151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75 %</w:t>
            </w:r>
          </w:p>
        </w:tc>
        <w:tc>
          <w:tcPr>
            <w:tcW w:w="105" w:type="dxa"/>
            <w:tcBorders>
              <w:top w:val="nil"/>
              <w:left w:val="nil"/>
              <w:bottom w:val="nil"/>
              <w:right w:val="nil"/>
              <w:tl2br w:val="nil"/>
              <w:tr2bl w:val="nil"/>
            </w:tcBorders>
            <w:tcMar>
              <w:left w:w="60" w:type="dxa"/>
              <w:right w:w="60" w:type="dxa"/>
            </w:tcMar>
            <w:vAlign w:val="center"/>
          </w:tcPr>
          <w:p w14:paraId="15D5F37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BEADDF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148</w:t>
            </w:r>
          </w:p>
        </w:tc>
        <w:tc>
          <w:tcPr>
            <w:tcW w:w="106" w:type="dxa"/>
            <w:tcBorders>
              <w:top w:val="nil"/>
              <w:left w:val="nil"/>
              <w:bottom w:val="nil"/>
              <w:right w:val="nil"/>
              <w:tl2br w:val="nil"/>
              <w:tr2bl w:val="nil"/>
            </w:tcBorders>
            <w:tcMar>
              <w:left w:w="60" w:type="dxa"/>
              <w:right w:w="60" w:type="dxa"/>
            </w:tcMar>
            <w:vAlign w:val="center"/>
          </w:tcPr>
          <w:p w14:paraId="0C5271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148</w:t>
            </w:r>
          </w:p>
        </w:tc>
        <w:tc>
          <w:tcPr>
            <w:tcW w:w="92" w:type="dxa"/>
            <w:tcBorders>
              <w:top w:val="nil"/>
              <w:left w:val="nil"/>
              <w:bottom w:val="nil"/>
              <w:right w:val="nil"/>
              <w:tl2br w:val="nil"/>
              <w:tr2bl w:val="nil"/>
            </w:tcBorders>
            <w:tcMar>
              <w:left w:w="60" w:type="dxa"/>
              <w:right w:w="60" w:type="dxa"/>
            </w:tcMar>
            <w:vAlign w:val="center"/>
          </w:tcPr>
          <w:p w14:paraId="51EA3E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270BD8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5A2338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1438DF1B"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EED7B00"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C9487E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92DEE0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Rents and purchases</w:t>
            </w:r>
          </w:p>
        </w:tc>
        <w:tc>
          <w:tcPr>
            <w:tcW w:w="960" w:type="dxa"/>
            <w:tcBorders>
              <w:top w:val="nil"/>
              <w:left w:val="nil"/>
              <w:bottom w:val="nil"/>
              <w:right w:val="nil"/>
              <w:tl2br w:val="nil"/>
              <w:tr2bl w:val="nil"/>
            </w:tcBorders>
            <w:tcMar>
              <w:left w:w="60" w:type="dxa"/>
              <w:right w:w="60" w:type="dxa"/>
            </w:tcMar>
            <w:vAlign w:val="center"/>
          </w:tcPr>
          <w:p w14:paraId="52113ED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1 011</w:t>
            </w:r>
          </w:p>
        </w:tc>
        <w:tc>
          <w:tcPr>
            <w:tcW w:w="126" w:type="dxa"/>
            <w:tcBorders>
              <w:top w:val="nil"/>
              <w:left w:val="nil"/>
              <w:bottom w:val="nil"/>
              <w:right w:val="nil"/>
              <w:tl2br w:val="nil"/>
              <w:tr2bl w:val="nil"/>
            </w:tcBorders>
            <w:tcMar>
              <w:left w:w="60" w:type="dxa"/>
              <w:right w:w="60" w:type="dxa"/>
            </w:tcMar>
            <w:vAlign w:val="center"/>
          </w:tcPr>
          <w:p w14:paraId="7AA5603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321</w:t>
            </w:r>
          </w:p>
        </w:tc>
        <w:tc>
          <w:tcPr>
            <w:tcW w:w="102" w:type="dxa"/>
            <w:tcBorders>
              <w:top w:val="nil"/>
              <w:left w:val="nil"/>
              <w:bottom w:val="nil"/>
              <w:right w:val="nil"/>
              <w:tl2br w:val="nil"/>
              <w:tr2bl w:val="nil"/>
            </w:tcBorders>
            <w:tcMar>
              <w:left w:w="60" w:type="dxa"/>
              <w:right w:w="60" w:type="dxa"/>
            </w:tcMar>
            <w:vAlign w:val="center"/>
          </w:tcPr>
          <w:p w14:paraId="356976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A0329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136</w:t>
            </w:r>
          </w:p>
        </w:tc>
        <w:tc>
          <w:tcPr>
            <w:tcW w:w="125" w:type="dxa"/>
            <w:tcBorders>
              <w:top w:val="nil"/>
              <w:left w:val="nil"/>
              <w:bottom w:val="nil"/>
              <w:right w:val="nil"/>
              <w:tl2br w:val="nil"/>
              <w:tr2bl w:val="nil"/>
            </w:tcBorders>
            <w:tcMar>
              <w:left w:w="60" w:type="dxa"/>
              <w:right w:w="60" w:type="dxa"/>
            </w:tcMar>
            <w:vAlign w:val="center"/>
          </w:tcPr>
          <w:p w14:paraId="5663913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458</w:t>
            </w:r>
          </w:p>
        </w:tc>
        <w:tc>
          <w:tcPr>
            <w:tcW w:w="99" w:type="dxa"/>
            <w:tcBorders>
              <w:top w:val="nil"/>
              <w:left w:val="nil"/>
              <w:bottom w:val="nil"/>
              <w:right w:val="nil"/>
              <w:tl2br w:val="nil"/>
              <w:tr2bl w:val="nil"/>
            </w:tcBorders>
            <w:tcMar>
              <w:left w:w="60" w:type="dxa"/>
              <w:right w:w="60" w:type="dxa"/>
            </w:tcMar>
            <w:vAlign w:val="center"/>
          </w:tcPr>
          <w:p w14:paraId="44C5E47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45 %</w:t>
            </w:r>
          </w:p>
        </w:tc>
        <w:tc>
          <w:tcPr>
            <w:tcW w:w="105" w:type="dxa"/>
            <w:tcBorders>
              <w:top w:val="nil"/>
              <w:left w:val="nil"/>
              <w:bottom w:val="nil"/>
              <w:right w:val="nil"/>
              <w:tl2br w:val="nil"/>
              <w:tr2bl w:val="nil"/>
            </w:tcBorders>
            <w:tcMar>
              <w:left w:w="60" w:type="dxa"/>
              <w:right w:w="60" w:type="dxa"/>
            </w:tcMar>
            <w:vAlign w:val="center"/>
          </w:tcPr>
          <w:p w14:paraId="76DB412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45FB3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554</w:t>
            </w:r>
          </w:p>
        </w:tc>
        <w:tc>
          <w:tcPr>
            <w:tcW w:w="106" w:type="dxa"/>
            <w:tcBorders>
              <w:top w:val="nil"/>
              <w:left w:val="nil"/>
              <w:bottom w:val="nil"/>
              <w:right w:val="nil"/>
              <w:tl2br w:val="nil"/>
              <w:tr2bl w:val="nil"/>
            </w:tcBorders>
            <w:tcMar>
              <w:left w:w="60" w:type="dxa"/>
              <w:right w:w="60" w:type="dxa"/>
            </w:tcMar>
            <w:vAlign w:val="center"/>
          </w:tcPr>
          <w:p w14:paraId="766724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554</w:t>
            </w:r>
          </w:p>
        </w:tc>
        <w:tc>
          <w:tcPr>
            <w:tcW w:w="92" w:type="dxa"/>
            <w:tcBorders>
              <w:top w:val="nil"/>
              <w:left w:val="nil"/>
              <w:bottom w:val="nil"/>
              <w:right w:val="nil"/>
              <w:tl2br w:val="nil"/>
              <w:tr2bl w:val="nil"/>
            </w:tcBorders>
            <w:tcMar>
              <w:left w:w="60" w:type="dxa"/>
              <w:right w:w="60" w:type="dxa"/>
            </w:tcMar>
            <w:vAlign w:val="center"/>
          </w:tcPr>
          <w:p w14:paraId="6DF78D3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CF24F9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6E3A2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5D747E1"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2CB4758"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79476EE"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5A370B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Linked to buildings</w:t>
            </w:r>
          </w:p>
        </w:tc>
        <w:tc>
          <w:tcPr>
            <w:tcW w:w="960" w:type="dxa"/>
            <w:tcBorders>
              <w:top w:val="nil"/>
              <w:left w:val="nil"/>
              <w:bottom w:val="nil"/>
              <w:right w:val="nil"/>
              <w:tl2br w:val="nil"/>
              <w:tr2bl w:val="nil"/>
            </w:tcBorders>
            <w:tcMar>
              <w:left w:w="60" w:type="dxa"/>
              <w:right w:w="60" w:type="dxa"/>
            </w:tcMar>
            <w:vAlign w:val="center"/>
          </w:tcPr>
          <w:p w14:paraId="0A26DCD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126" w:type="dxa"/>
            <w:tcBorders>
              <w:top w:val="nil"/>
              <w:left w:val="nil"/>
              <w:bottom w:val="nil"/>
              <w:right w:val="nil"/>
              <w:tl2br w:val="nil"/>
              <w:tr2bl w:val="nil"/>
            </w:tcBorders>
            <w:tcMar>
              <w:left w:w="60" w:type="dxa"/>
              <w:right w:w="60" w:type="dxa"/>
            </w:tcMar>
            <w:vAlign w:val="center"/>
          </w:tcPr>
          <w:p w14:paraId="0FF1FF5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113</w:t>
            </w:r>
          </w:p>
        </w:tc>
        <w:tc>
          <w:tcPr>
            <w:tcW w:w="102" w:type="dxa"/>
            <w:tcBorders>
              <w:top w:val="nil"/>
              <w:left w:val="nil"/>
              <w:bottom w:val="nil"/>
              <w:right w:val="nil"/>
              <w:tl2br w:val="nil"/>
              <w:tr2bl w:val="nil"/>
            </w:tcBorders>
            <w:tcMar>
              <w:left w:w="60" w:type="dxa"/>
              <w:right w:w="60" w:type="dxa"/>
            </w:tcMar>
            <w:vAlign w:val="center"/>
          </w:tcPr>
          <w:p w14:paraId="51DD760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806116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25" w:type="dxa"/>
            <w:tcBorders>
              <w:top w:val="nil"/>
              <w:left w:val="nil"/>
              <w:bottom w:val="nil"/>
              <w:right w:val="nil"/>
              <w:tl2br w:val="nil"/>
              <w:tr2bl w:val="nil"/>
            </w:tcBorders>
            <w:tcMar>
              <w:left w:w="60" w:type="dxa"/>
              <w:right w:w="60" w:type="dxa"/>
            </w:tcMar>
            <w:vAlign w:val="center"/>
          </w:tcPr>
          <w:p w14:paraId="5BD6B05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134</w:t>
            </w:r>
          </w:p>
        </w:tc>
        <w:tc>
          <w:tcPr>
            <w:tcW w:w="99" w:type="dxa"/>
            <w:tcBorders>
              <w:top w:val="nil"/>
              <w:left w:val="nil"/>
              <w:bottom w:val="nil"/>
              <w:right w:val="nil"/>
              <w:tl2br w:val="nil"/>
              <w:tr2bl w:val="nil"/>
            </w:tcBorders>
            <w:tcMar>
              <w:left w:w="60" w:type="dxa"/>
              <w:right w:w="60" w:type="dxa"/>
            </w:tcMar>
            <w:vAlign w:val="center"/>
          </w:tcPr>
          <w:p w14:paraId="56374F6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85 %</w:t>
            </w:r>
          </w:p>
        </w:tc>
        <w:tc>
          <w:tcPr>
            <w:tcW w:w="105" w:type="dxa"/>
            <w:tcBorders>
              <w:top w:val="nil"/>
              <w:left w:val="nil"/>
              <w:bottom w:val="nil"/>
              <w:right w:val="nil"/>
              <w:tl2br w:val="nil"/>
              <w:tr2bl w:val="nil"/>
            </w:tcBorders>
            <w:tcMar>
              <w:left w:w="60" w:type="dxa"/>
              <w:right w:w="60" w:type="dxa"/>
            </w:tcMar>
            <w:vAlign w:val="center"/>
          </w:tcPr>
          <w:p w14:paraId="22EEB1F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A2DE80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06" w:type="dxa"/>
            <w:tcBorders>
              <w:top w:val="nil"/>
              <w:left w:val="nil"/>
              <w:bottom w:val="nil"/>
              <w:right w:val="nil"/>
              <w:tl2br w:val="nil"/>
              <w:tr2bl w:val="nil"/>
            </w:tcBorders>
            <w:tcMar>
              <w:left w:w="60" w:type="dxa"/>
              <w:right w:w="60" w:type="dxa"/>
            </w:tcMar>
            <w:vAlign w:val="center"/>
          </w:tcPr>
          <w:p w14:paraId="0E2B67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92" w:type="dxa"/>
            <w:tcBorders>
              <w:top w:val="nil"/>
              <w:left w:val="nil"/>
              <w:bottom w:val="nil"/>
              <w:right w:val="nil"/>
              <w:tl2br w:val="nil"/>
              <w:tr2bl w:val="nil"/>
            </w:tcBorders>
            <w:tcMar>
              <w:left w:w="60" w:type="dxa"/>
              <w:right w:w="60" w:type="dxa"/>
            </w:tcMar>
            <w:vAlign w:val="center"/>
          </w:tcPr>
          <w:p w14:paraId="3230749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7F5EC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07ABE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7FE0813F"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041E760"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B7CF14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34129B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Security</w:t>
            </w:r>
          </w:p>
        </w:tc>
        <w:tc>
          <w:tcPr>
            <w:tcW w:w="960" w:type="dxa"/>
            <w:tcBorders>
              <w:top w:val="nil"/>
              <w:left w:val="nil"/>
              <w:bottom w:val="nil"/>
              <w:right w:val="nil"/>
              <w:tl2br w:val="nil"/>
              <w:tr2bl w:val="nil"/>
            </w:tcBorders>
            <w:tcMar>
              <w:left w:w="60" w:type="dxa"/>
              <w:right w:w="60" w:type="dxa"/>
            </w:tcMar>
            <w:vAlign w:val="center"/>
          </w:tcPr>
          <w:p w14:paraId="25EAA4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92</w:t>
            </w:r>
          </w:p>
        </w:tc>
        <w:tc>
          <w:tcPr>
            <w:tcW w:w="126" w:type="dxa"/>
            <w:tcBorders>
              <w:top w:val="nil"/>
              <w:left w:val="nil"/>
              <w:bottom w:val="nil"/>
              <w:right w:val="nil"/>
              <w:tl2br w:val="nil"/>
              <w:tr2bl w:val="nil"/>
            </w:tcBorders>
            <w:tcMar>
              <w:left w:w="60" w:type="dxa"/>
              <w:right w:w="60" w:type="dxa"/>
            </w:tcMar>
            <w:vAlign w:val="center"/>
          </w:tcPr>
          <w:p w14:paraId="35C328C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102" w:type="dxa"/>
            <w:tcBorders>
              <w:top w:val="nil"/>
              <w:left w:val="nil"/>
              <w:bottom w:val="nil"/>
              <w:right w:val="nil"/>
              <w:tl2br w:val="nil"/>
              <w:tr2bl w:val="nil"/>
            </w:tcBorders>
            <w:tcMar>
              <w:left w:w="60" w:type="dxa"/>
              <w:right w:w="60" w:type="dxa"/>
            </w:tcMar>
            <w:vAlign w:val="center"/>
          </w:tcPr>
          <w:p w14:paraId="1AFFE4C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5F8B6F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25" w:type="dxa"/>
            <w:tcBorders>
              <w:top w:val="nil"/>
              <w:left w:val="nil"/>
              <w:bottom w:val="nil"/>
              <w:right w:val="nil"/>
              <w:tl2br w:val="nil"/>
              <w:tr2bl w:val="nil"/>
            </w:tcBorders>
            <w:tcMar>
              <w:left w:w="60" w:type="dxa"/>
              <w:right w:w="60" w:type="dxa"/>
            </w:tcMar>
            <w:vAlign w:val="center"/>
          </w:tcPr>
          <w:p w14:paraId="11908B5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87</w:t>
            </w:r>
          </w:p>
        </w:tc>
        <w:tc>
          <w:tcPr>
            <w:tcW w:w="99" w:type="dxa"/>
            <w:tcBorders>
              <w:top w:val="nil"/>
              <w:left w:val="nil"/>
              <w:bottom w:val="nil"/>
              <w:right w:val="nil"/>
              <w:tl2br w:val="nil"/>
              <w:tr2bl w:val="nil"/>
            </w:tcBorders>
            <w:tcMar>
              <w:left w:w="60" w:type="dxa"/>
              <w:right w:w="60" w:type="dxa"/>
            </w:tcMar>
            <w:vAlign w:val="center"/>
          </w:tcPr>
          <w:p w14:paraId="713F09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105" w:type="dxa"/>
            <w:tcBorders>
              <w:top w:val="nil"/>
              <w:left w:val="nil"/>
              <w:bottom w:val="nil"/>
              <w:right w:val="nil"/>
              <w:tl2br w:val="nil"/>
              <w:tr2bl w:val="nil"/>
            </w:tcBorders>
            <w:tcMar>
              <w:left w:w="60" w:type="dxa"/>
              <w:right w:w="60" w:type="dxa"/>
            </w:tcMar>
            <w:vAlign w:val="center"/>
          </w:tcPr>
          <w:p w14:paraId="1A5DA0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4EA6A9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06" w:type="dxa"/>
            <w:tcBorders>
              <w:top w:val="nil"/>
              <w:left w:val="nil"/>
              <w:bottom w:val="nil"/>
              <w:right w:val="nil"/>
              <w:tl2br w:val="nil"/>
              <w:tr2bl w:val="nil"/>
            </w:tcBorders>
            <w:tcMar>
              <w:left w:w="60" w:type="dxa"/>
              <w:right w:w="60" w:type="dxa"/>
            </w:tcMar>
            <w:vAlign w:val="center"/>
          </w:tcPr>
          <w:p w14:paraId="0006DC0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2" w:type="dxa"/>
            <w:tcBorders>
              <w:top w:val="nil"/>
              <w:left w:val="nil"/>
              <w:bottom w:val="nil"/>
              <w:right w:val="nil"/>
              <w:tl2br w:val="nil"/>
              <w:tr2bl w:val="nil"/>
            </w:tcBorders>
            <w:tcMar>
              <w:left w:w="60" w:type="dxa"/>
              <w:right w:w="60" w:type="dxa"/>
            </w:tcMar>
            <w:vAlign w:val="center"/>
          </w:tcPr>
          <w:p w14:paraId="22329CA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0AAFA1E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EE32B7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3C06E9B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F83B587"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B56476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7FE5299"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Mission and representation</w:t>
            </w:r>
          </w:p>
        </w:tc>
        <w:tc>
          <w:tcPr>
            <w:tcW w:w="960" w:type="dxa"/>
            <w:tcBorders>
              <w:top w:val="nil"/>
              <w:left w:val="nil"/>
              <w:bottom w:val="nil"/>
              <w:right w:val="nil"/>
              <w:tl2br w:val="nil"/>
              <w:tr2bl w:val="nil"/>
            </w:tcBorders>
            <w:tcMar>
              <w:left w:w="60" w:type="dxa"/>
              <w:right w:w="60" w:type="dxa"/>
            </w:tcMar>
            <w:vAlign w:val="center"/>
          </w:tcPr>
          <w:p w14:paraId="62B38E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66</w:t>
            </w:r>
          </w:p>
        </w:tc>
        <w:tc>
          <w:tcPr>
            <w:tcW w:w="126" w:type="dxa"/>
            <w:tcBorders>
              <w:top w:val="nil"/>
              <w:left w:val="nil"/>
              <w:bottom w:val="nil"/>
              <w:right w:val="nil"/>
              <w:tl2br w:val="nil"/>
              <w:tr2bl w:val="nil"/>
            </w:tcBorders>
            <w:tcMar>
              <w:left w:w="60" w:type="dxa"/>
              <w:right w:w="60" w:type="dxa"/>
            </w:tcMar>
            <w:vAlign w:val="center"/>
          </w:tcPr>
          <w:p w14:paraId="1D5D53B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102" w:type="dxa"/>
            <w:tcBorders>
              <w:top w:val="nil"/>
              <w:left w:val="nil"/>
              <w:bottom w:val="nil"/>
              <w:right w:val="nil"/>
              <w:tl2br w:val="nil"/>
              <w:tr2bl w:val="nil"/>
            </w:tcBorders>
            <w:tcMar>
              <w:left w:w="60" w:type="dxa"/>
              <w:right w:w="60" w:type="dxa"/>
            </w:tcMar>
            <w:vAlign w:val="center"/>
          </w:tcPr>
          <w:p w14:paraId="2061D99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4E5599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25" w:type="dxa"/>
            <w:tcBorders>
              <w:top w:val="nil"/>
              <w:left w:val="nil"/>
              <w:bottom w:val="nil"/>
              <w:right w:val="nil"/>
              <w:tl2br w:val="nil"/>
              <w:tr2bl w:val="nil"/>
            </w:tcBorders>
            <w:tcMar>
              <w:left w:w="60" w:type="dxa"/>
              <w:right w:w="60" w:type="dxa"/>
            </w:tcMar>
            <w:vAlign w:val="center"/>
          </w:tcPr>
          <w:p w14:paraId="4DAAA0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99" w:type="dxa"/>
            <w:tcBorders>
              <w:top w:val="nil"/>
              <w:left w:val="nil"/>
              <w:bottom w:val="nil"/>
              <w:right w:val="nil"/>
              <w:tl2br w:val="nil"/>
              <w:tr2bl w:val="nil"/>
            </w:tcBorders>
            <w:tcMar>
              <w:left w:w="60" w:type="dxa"/>
              <w:right w:w="60" w:type="dxa"/>
            </w:tcMar>
            <w:vAlign w:val="center"/>
          </w:tcPr>
          <w:p w14:paraId="25D3233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14:paraId="2FFA34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CCA09B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14:paraId="5DE3F4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14:paraId="0D25850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36CCE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04890A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AE35D6B"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17035C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6AD7C5F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2D3AC3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Meetings, committees, conference</w:t>
            </w:r>
          </w:p>
        </w:tc>
        <w:tc>
          <w:tcPr>
            <w:tcW w:w="960" w:type="dxa"/>
            <w:tcBorders>
              <w:top w:val="nil"/>
              <w:left w:val="nil"/>
              <w:bottom w:val="nil"/>
              <w:right w:val="nil"/>
              <w:tl2br w:val="nil"/>
              <w:tr2bl w:val="nil"/>
            </w:tcBorders>
            <w:tcMar>
              <w:left w:w="60" w:type="dxa"/>
              <w:right w:w="60" w:type="dxa"/>
            </w:tcMar>
            <w:vAlign w:val="center"/>
          </w:tcPr>
          <w:p w14:paraId="3D81A4A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126" w:type="dxa"/>
            <w:tcBorders>
              <w:top w:val="nil"/>
              <w:left w:val="nil"/>
              <w:bottom w:val="nil"/>
              <w:right w:val="nil"/>
              <w:tl2br w:val="nil"/>
              <w:tr2bl w:val="nil"/>
            </w:tcBorders>
            <w:tcMar>
              <w:left w:w="60" w:type="dxa"/>
              <w:right w:w="60" w:type="dxa"/>
            </w:tcMar>
            <w:vAlign w:val="center"/>
          </w:tcPr>
          <w:p w14:paraId="31964D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02" w:type="dxa"/>
            <w:tcBorders>
              <w:top w:val="nil"/>
              <w:left w:val="nil"/>
              <w:bottom w:val="nil"/>
              <w:right w:val="nil"/>
              <w:tl2br w:val="nil"/>
              <w:tr2bl w:val="nil"/>
            </w:tcBorders>
            <w:tcMar>
              <w:left w:w="60" w:type="dxa"/>
              <w:right w:w="60" w:type="dxa"/>
            </w:tcMar>
            <w:vAlign w:val="center"/>
          </w:tcPr>
          <w:p w14:paraId="6E3533A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A0A91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527769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99" w:type="dxa"/>
            <w:tcBorders>
              <w:top w:val="nil"/>
              <w:left w:val="nil"/>
              <w:bottom w:val="nil"/>
              <w:right w:val="nil"/>
              <w:tl2br w:val="nil"/>
              <w:tr2bl w:val="nil"/>
            </w:tcBorders>
            <w:tcMar>
              <w:left w:w="60" w:type="dxa"/>
              <w:right w:w="60" w:type="dxa"/>
            </w:tcMar>
            <w:vAlign w:val="center"/>
          </w:tcPr>
          <w:p w14:paraId="4A1A804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90 %</w:t>
            </w:r>
          </w:p>
        </w:tc>
        <w:tc>
          <w:tcPr>
            <w:tcW w:w="105" w:type="dxa"/>
            <w:tcBorders>
              <w:top w:val="nil"/>
              <w:left w:val="nil"/>
              <w:bottom w:val="nil"/>
              <w:right w:val="nil"/>
              <w:tl2br w:val="nil"/>
              <w:tr2bl w:val="nil"/>
            </w:tcBorders>
            <w:tcMar>
              <w:left w:w="60" w:type="dxa"/>
              <w:right w:w="60" w:type="dxa"/>
            </w:tcMar>
            <w:vAlign w:val="center"/>
          </w:tcPr>
          <w:p w14:paraId="75B8D7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F3109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274425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7C568D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1F71D6C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D49606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3303BCD6"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D473458"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8CC23E8"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A8A447D"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Official journal</w:t>
            </w:r>
          </w:p>
        </w:tc>
        <w:tc>
          <w:tcPr>
            <w:tcW w:w="960" w:type="dxa"/>
            <w:tcBorders>
              <w:top w:val="nil"/>
              <w:left w:val="nil"/>
              <w:bottom w:val="nil"/>
              <w:right w:val="nil"/>
              <w:tl2br w:val="nil"/>
              <w:tr2bl w:val="nil"/>
            </w:tcBorders>
            <w:tcMar>
              <w:left w:w="60" w:type="dxa"/>
              <w:right w:w="60" w:type="dxa"/>
            </w:tcMar>
            <w:vAlign w:val="center"/>
          </w:tcPr>
          <w:p w14:paraId="757234A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26" w:type="dxa"/>
            <w:tcBorders>
              <w:top w:val="nil"/>
              <w:left w:val="nil"/>
              <w:bottom w:val="nil"/>
              <w:right w:val="nil"/>
              <w:tl2br w:val="nil"/>
              <w:tr2bl w:val="nil"/>
            </w:tcBorders>
            <w:tcMar>
              <w:left w:w="60" w:type="dxa"/>
              <w:right w:w="60" w:type="dxa"/>
            </w:tcMar>
            <w:vAlign w:val="center"/>
          </w:tcPr>
          <w:p w14:paraId="395A717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2" w:type="dxa"/>
            <w:tcBorders>
              <w:top w:val="nil"/>
              <w:left w:val="nil"/>
              <w:bottom w:val="nil"/>
              <w:right w:val="nil"/>
              <w:tl2br w:val="nil"/>
              <w:tr2bl w:val="nil"/>
            </w:tcBorders>
            <w:tcMar>
              <w:left w:w="60" w:type="dxa"/>
              <w:right w:w="60" w:type="dxa"/>
            </w:tcMar>
            <w:vAlign w:val="center"/>
          </w:tcPr>
          <w:p w14:paraId="5DC090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F6B61F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1599EB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9" w:type="dxa"/>
            <w:tcBorders>
              <w:top w:val="nil"/>
              <w:left w:val="nil"/>
              <w:bottom w:val="nil"/>
              <w:right w:val="nil"/>
              <w:tl2br w:val="nil"/>
              <w:tr2bl w:val="nil"/>
            </w:tcBorders>
            <w:tcMar>
              <w:left w:w="60" w:type="dxa"/>
              <w:right w:w="60" w:type="dxa"/>
            </w:tcMar>
            <w:vAlign w:val="center"/>
          </w:tcPr>
          <w:p w14:paraId="4CE7363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5D169C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77A70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3F42BB6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7E1D1F1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3E3F5F3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033DB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088057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24D7486"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FB00D0E"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FF1A57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Publications</w:t>
            </w:r>
          </w:p>
        </w:tc>
        <w:tc>
          <w:tcPr>
            <w:tcW w:w="960" w:type="dxa"/>
            <w:tcBorders>
              <w:top w:val="nil"/>
              <w:left w:val="nil"/>
              <w:bottom w:val="nil"/>
              <w:right w:val="nil"/>
              <w:tl2br w:val="nil"/>
              <w:tr2bl w:val="nil"/>
            </w:tcBorders>
            <w:tcMar>
              <w:left w:w="60" w:type="dxa"/>
              <w:right w:w="60" w:type="dxa"/>
            </w:tcMar>
            <w:vAlign w:val="center"/>
          </w:tcPr>
          <w:p w14:paraId="44663F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26" w:type="dxa"/>
            <w:tcBorders>
              <w:top w:val="nil"/>
              <w:left w:val="nil"/>
              <w:bottom w:val="nil"/>
              <w:right w:val="nil"/>
              <w:tl2br w:val="nil"/>
              <w:tr2bl w:val="nil"/>
            </w:tcBorders>
            <w:tcMar>
              <w:left w:w="60" w:type="dxa"/>
              <w:right w:w="60" w:type="dxa"/>
            </w:tcMar>
            <w:vAlign w:val="center"/>
          </w:tcPr>
          <w:p w14:paraId="21ADF05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02" w:type="dxa"/>
            <w:tcBorders>
              <w:top w:val="nil"/>
              <w:left w:val="nil"/>
              <w:bottom w:val="nil"/>
              <w:right w:val="nil"/>
              <w:tl2br w:val="nil"/>
              <w:tr2bl w:val="nil"/>
            </w:tcBorders>
            <w:tcMar>
              <w:left w:w="60" w:type="dxa"/>
              <w:right w:w="60" w:type="dxa"/>
            </w:tcMar>
            <w:vAlign w:val="center"/>
          </w:tcPr>
          <w:p w14:paraId="28EACDC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2E5AC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14:paraId="5015B1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99" w:type="dxa"/>
            <w:tcBorders>
              <w:top w:val="nil"/>
              <w:left w:val="nil"/>
              <w:bottom w:val="nil"/>
              <w:right w:val="nil"/>
              <w:tl2br w:val="nil"/>
              <w:tr2bl w:val="nil"/>
            </w:tcBorders>
            <w:tcMar>
              <w:left w:w="60" w:type="dxa"/>
              <w:right w:w="60" w:type="dxa"/>
            </w:tcMar>
            <w:vAlign w:val="center"/>
          </w:tcPr>
          <w:p w14:paraId="6B45D51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91 %</w:t>
            </w:r>
          </w:p>
        </w:tc>
        <w:tc>
          <w:tcPr>
            <w:tcW w:w="105" w:type="dxa"/>
            <w:tcBorders>
              <w:top w:val="nil"/>
              <w:left w:val="nil"/>
              <w:bottom w:val="nil"/>
              <w:right w:val="nil"/>
              <w:tl2br w:val="nil"/>
              <w:tr2bl w:val="nil"/>
            </w:tcBorders>
            <w:tcMar>
              <w:left w:w="60" w:type="dxa"/>
              <w:right w:w="60" w:type="dxa"/>
            </w:tcMar>
            <w:vAlign w:val="center"/>
          </w:tcPr>
          <w:p w14:paraId="710D537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747AA0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14:paraId="03520E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14:paraId="7DFC932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DA6AC9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E390BA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4D7FFE59"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548B85A"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07C0A8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1ABB7D4"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Acquisition of information</w:t>
            </w:r>
          </w:p>
        </w:tc>
        <w:tc>
          <w:tcPr>
            <w:tcW w:w="960" w:type="dxa"/>
            <w:tcBorders>
              <w:top w:val="nil"/>
              <w:left w:val="nil"/>
              <w:bottom w:val="nil"/>
              <w:right w:val="nil"/>
              <w:tl2br w:val="nil"/>
              <w:tr2bl w:val="nil"/>
            </w:tcBorders>
            <w:tcMar>
              <w:left w:w="60" w:type="dxa"/>
              <w:right w:w="60" w:type="dxa"/>
            </w:tcMar>
            <w:vAlign w:val="center"/>
          </w:tcPr>
          <w:p w14:paraId="53B805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26" w:type="dxa"/>
            <w:tcBorders>
              <w:top w:val="nil"/>
              <w:left w:val="nil"/>
              <w:bottom w:val="nil"/>
              <w:right w:val="nil"/>
              <w:tl2br w:val="nil"/>
              <w:tr2bl w:val="nil"/>
            </w:tcBorders>
            <w:tcMar>
              <w:left w:w="60" w:type="dxa"/>
              <w:right w:w="60" w:type="dxa"/>
            </w:tcMar>
            <w:vAlign w:val="center"/>
          </w:tcPr>
          <w:p w14:paraId="55CAFA8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2" w:type="dxa"/>
            <w:tcBorders>
              <w:top w:val="nil"/>
              <w:left w:val="nil"/>
              <w:bottom w:val="nil"/>
              <w:right w:val="nil"/>
              <w:tl2br w:val="nil"/>
              <w:tr2bl w:val="nil"/>
            </w:tcBorders>
            <w:tcMar>
              <w:left w:w="60" w:type="dxa"/>
              <w:right w:w="60" w:type="dxa"/>
            </w:tcMar>
            <w:vAlign w:val="center"/>
          </w:tcPr>
          <w:p w14:paraId="66F8EBC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67ACF2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14:paraId="606996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9" w:type="dxa"/>
            <w:tcBorders>
              <w:top w:val="nil"/>
              <w:left w:val="nil"/>
              <w:bottom w:val="nil"/>
              <w:right w:val="nil"/>
              <w:tl2br w:val="nil"/>
              <w:tr2bl w:val="nil"/>
            </w:tcBorders>
            <w:tcMar>
              <w:left w:w="60" w:type="dxa"/>
              <w:right w:w="60" w:type="dxa"/>
            </w:tcMar>
            <w:vAlign w:val="center"/>
          </w:tcPr>
          <w:p w14:paraId="4DC776B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14:paraId="7821557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31D7B4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3B358F3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10C3E13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45A493B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5C4847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F19A12A"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1EDC8A0"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1D5245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8E0210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Studies and investigations</w:t>
            </w:r>
          </w:p>
        </w:tc>
        <w:tc>
          <w:tcPr>
            <w:tcW w:w="960" w:type="dxa"/>
            <w:tcBorders>
              <w:top w:val="nil"/>
              <w:left w:val="nil"/>
              <w:bottom w:val="nil"/>
              <w:right w:val="nil"/>
              <w:tl2br w:val="nil"/>
              <w:tr2bl w:val="nil"/>
            </w:tcBorders>
            <w:tcMar>
              <w:left w:w="60" w:type="dxa"/>
              <w:right w:w="60" w:type="dxa"/>
            </w:tcMar>
            <w:vAlign w:val="center"/>
          </w:tcPr>
          <w:p w14:paraId="095FFA5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26" w:type="dxa"/>
            <w:tcBorders>
              <w:top w:val="nil"/>
              <w:left w:val="nil"/>
              <w:bottom w:val="nil"/>
              <w:right w:val="nil"/>
              <w:tl2br w:val="nil"/>
              <w:tr2bl w:val="nil"/>
            </w:tcBorders>
            <w:tcMar>
              <w:left w:w="60" w:type="dxa"/>
              <w:right w:w="60" w:type="dxa"/>
            </w:tcMar>
            <w:vAlign w:val="center"/>
          </w:tcPr>
          <w:p w14:paraId="421290B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02" w:type="dxa"/>
            <w:tcBorders>
              <w:top w:val="nil"/>
              <w:left w:val="nil"/>
              <w:bottom w:val="nil"/>
              <w:right w:val="nil"/>
              <w:tl2br w:val="nil"/>
              <w:tr2bl w:val="nil"/>
            </w:tcBorders>
            <w:tcMar>
              <w:left w:w="60" w:type="dxa"/>
              <w:right w:w="60" w:type="dxa"/>
            </w:tcMar>
            <w:vAlign w:val="center"/>
          </w:tcPr>
          <w:p w14:paraId="5D46015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1AF1A8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14:paraId="159ACE9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9" w:type="dxa"/>
            <w:tcBorders>
              <w:top w:val="nil"/>
              <w:left w:val="nil"/>
              <w:bottom w:val="nil"/>
              <w:right w:val="nil"/>
              <w:tl2br w:val="nil"/>
              <w:tr2bl w:val="nil"/>
            </w:tcBorders>
            <w:tcMar>
              <w:left w:w="60" w:type="dxa"/>
              <w:right w:w="60" w:type="dxa"/>
            </w:tcMar>
            <w:vAlign w:val="center"/>
          </w:tcPr>
          <w:p w14:paraId="6EF5681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14:paraId="57A78C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1B5C4F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14:paraId="455303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14:paraId="1CA95EE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28AA481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79D60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5B9DDB2A"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8BEBEB8"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2A369152"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A71BF8C"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General equipment, vehicle, furniture</w:t>
            </w:r>
          </w:p>
        </w:tc>
        <w:tc>
          <w:tcPr>
            <w:tcW w:w="960" w:type="dxa"/>
            <w:tcBorders>
              <w:top w:val="nil"/>
              <w:left w:val="nil"/>
              <w:bottom w:val="nil"/>
              <w:right w:val="nil"/>
              <w:tl2br w:val="nil"/>
              <w:tr2bl w:val="nil"/>
            </w:tcBorders>
            <w:tcMar>
              <w:left w:w="60" w:type="dxa"/>
              <w:right w:w="60" w:type="dxa"/>
            </w:tcMar>
            <w:vAlign w:val="center"/>
          </w:tcPr>
          <w:p w14:paraId="48CE1FA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126" w:type="dxa"/>
            <w:tcBorders>
              <w:top w:val="nil"/>
              <w:left w:val="nil"/>
              <w:bottom w:val="nil"/>
              <w:right w:val="nil"/>
              <w:tl2br w:val="nil"/>
              <w:tr2bl w:val="nil"/>
            </w:tcBorders>
            <w:tcMar>
              <w:left w:w="60" w:type="dxa"/>
              <w:right w:w="60" w:type="dxa"/>
            </w:tcMar>
            <w:vAlign w:val="center"/>
          </w:tcPr>
          <w:p w14:paraId="26A0E93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02" w:type="dxa"/>
            <w:tcBorders>
              <w:top w:val="nil"/>
              <w:left w:val="nil"/>
              <w:bottom w:val="nil"/>
              <w:right w:val="nil"/>
              <w:tl2br w:val="nil"/>
              <w:tr2bl w:val="nil"/>
            </w:tcBorders>
            <w:tcMar>
              <w:left w:w="60" w:type="dxa"/>
              <w:right w:w="60" w:type="dxa"/>
            </w:tcMar>
            <w:vAlign w:val="center"/>
          </w:tcPr>
          <w:p w14:paraId="061FA8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0790990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25" w:type="dxa"/>
            <w:tcBorders>
              <w:top w:val="nil"/>
              <w:left w:val="nil"/>
              <w:bottom w:val="nil"/>
              <w:right w:val="nil"/>
              <w:tl2br w:val="nil"/>
              <w:tr2bl w:val="nil"/>
            </w:tcBorders>
            <w:tcMar>
              <w:left w:w="60" w:type="dxa"/>
              <w:right w:w="60" w:type="dxa"/>
            </w:tcMar>
            <w:vAlign w:val="center"/>
          </w:tcPr>
          <w:p w14:paraId="514ABF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99" w:type="dxa"/>
            <w:tcBorders>
              <w:top w:val="nil"/>
              <w:left w:val="nil"/>
              <w:bottom w:val="nil"/>
              <w:right w:val="nil"/>
              <w:tl2br w:val="nil"/>
              <w:tr2bl w:val="nil"/>
            </w:tcBorders>
            <w:tcMar>
              <w:left w:w="60" w:type="dxa"/>
              <w:right w:w="60" w:type="dxa"/>
            </w:tcMar>
            <w:vAlign w:val="center"/>
          </w:tcPr>
          <w:p w14:paraId="3B9D14C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89 %</w:t>
            </w:r>
          </w:p>
        </w:tc>
        <w:tc>
          <w:tcPr>
            <w:tcW w:w="105" w:type="dxa"/>
            <w:tcBorders>
              <w:top w:val="nil"/>
              <w:left w:val="nil"/>
              <w:bottom w:val="nil"/>
              <w:right w:val="nil"/>
              <w:tl2br w:val="nil"/>
              <w:tr2bl w:val="nil"/>
            </w:tcBorders>
            <w:tcMar>
              <w:left w:w="60" w:type="dxa"/>
              <w:right w:w="60" w:type="dxa"/>
            </w:tcMar>
            <w:vAlign w:val="center"/>
          </w:tcPr>
          <w:p w14:paraId="1431F7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BE327C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6" w:type="dxa"/>
            <w:tcBorders>
              <w:top w:val="nil"/>
              <w:left w:val="nil"/>
              <w:bottom w:val="nil"/>
              <w:right w:val="nil"/>
              <w:tl2br w:val="nil"/>
              <w:tr2bl w:val="nil"/>
            </w:tcBorders>
            <w:tcMar>
              <w:left w:w="60" w:type="dxa"/>
              <w:right w:w="60" w:type="dxa"/>
            </w:tcMar>
            <w:vAlign w:val="center"/>
          </w:tcPr>
          <w:p w14:paraId="3479AEE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2" w:type="dxa"/>
            <w:tcBorders>
              <w:top w:val="nil"/>
              <w:left w:val="nil"/>
              <w:bottom w:val="nil"/>
              <w:right w:val="nil"/>
              <w:tl2br w:val="nil"/>
              <w:tr2bl w:val="nil"/>
            </w:tcBorders>
            <w:tcMar>
              <w:left w:w="60" w:type="dxa"/>
              <w:right w:w="60" w:type="dxa"/>
            </w:tcMar>
            <w:vAlign w:val="center"/>
          </w:tcPr>
          <w:p w14:paraId="3B376A7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7FC714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14:paraId="0A92C26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3B37DA4E"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CC3C26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78A7979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5070957D"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Linguistic external services</w:t>
            </w:r>
          </w:p>
        </w:tc>
        <w:tc>
          <w:tcPr>
            <w:tcW w:w="960" w:type="dxa"/>
            <w:tcBorders>
              <w:top w:val="nil"/>
              <w:left w:val="nil"/>
              <w:bottom w:val="nil"/>
              <w:right w:val="nil"/>
              <w:tl2br w:val="nil"/>
              <w:tr2bl w:val="nil"/>
            </w:tcBorders>
            <w:tcMar>
              <w:left w:w="60" w:type="dxa"/>
              <w:right w:w="60" w:type="dxa"/>
            </w:tcMar>
            <w:vAlign w:val="center"/>
          </w:tcPr>
          <w:p w14:paraId="0A23B7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72</w:t>
            </w:r>
          </w:p>
        </w:tc>
        <w:tc>
          <w:tcPr>
            <w:tcW w:w="126" w:type="dxa"/>
            <w:tcBorders>
              <w:top w:val="nil"/>
              <w:left w:val="nil"/>
              <w:bottom w:val="nil"/>
              <w:right w:val="nil"/>
              <w:tl2br w:val="nil"/>
              <w:tr2bl w:val="nil"/>
            </w:tcBorders>
            <w:tcMar>
              <w:left w:w="60" w:type="dxa"/>
              <w:right w:w="60" w:type="dxa"/>
            </w:tcMar>
            <w:vAlign w:val="center"/>
          </w:tcPr>
          <w:p w14:paraId="174184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02" w:type="dxa"/>
            <w:tcBorders>
              <w:top w:val="nil"/>
              <w:left w:val="nil"/>
              <w:bottom w:val="nil"/>
              <w:right w:val="nil"/>
              <w:tl2br w:val="nil"/>
              <w:tr2bl w:val="nil"/>
            </w:tcBorders>
            <w:tcMar>
              <w:left w:w="60" w:type="dxa"/>
              <w:right w:w="60" w:type="dxa"/>
            </w:tcMar>
            <w:vAlign w:val="center"/>
          </w:tcPr>
          <w:p w14:paraId="4792836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AC6CE1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125" w:type="dxa"/>
            <w:tcBorders>
              <w:top w:val="nil"/>
              <w:left w:val="nil"/>
              <w:bottom w:val="nil"/>
              <w:right w:val="nil"/>
              <w:tl2br w:val="nil"/>
              <w:tr2bl w:val="nil"/>
            </w:tcBorders>
            <w:tcMar>
              <w:left w:w="60" w:type="dxa"/>
              <w:right w:w="60" w:type="dxa"/>
            </w:tcMar>
            <w:vAlign w:val="center"/>
          </w:tcPr>
          <w:p w14:paraId="17DD4E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99" w:type="dxa"/>
            <w:tcBorders>
              <w:top w:val="nil"/>
              <w:left w:val="nil"/>
              <w:bottom w:val="nil"/>
              <w:right w:val="nil"/>
              <w:tl2br w:val="nil"/>
              <w:tr2bl w:val="nil"/>
            </w:tcBorders>
            <w:tcMar>
              <w:left w:w="60" w:type="dxa"/>
              <w:right w:w="60" w:type="dxa"/>
            </w:tcMar>
            <w:vAlign w:val="center"/>
          </w:tcPr>
          <w:p w14:paraId="2026DC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87 %</w:t>
            </w:r>
          </w:p>
        </w:tc>
        <w:tc>
          <w:tcPr>
            <w:tcW w:w="105" w:type="dxa"/>
            <w:tcBorders>
              <w:top w:val="nil"/>
              <w:left w:val="nil"/>
              <w:bottom w:val="nil"/>
              <w:right w:val="nil"/>
              <w:tl2br w:val="nil"/>
              <w:tr2bl w:val="nil"/>
            </w:tcBorders>
            <w:tcMar>
              <w:left w:w="60" w:type="dxa"/>
              <w:right w:w="60" w:type="dxa"/>
            </w:tcMar>
            <w:vAlign w:val="center"/>
          </w:tcPr>
          <w:p w14:paraId="0DEFD6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516AF6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06" w:type="dxa"/>
            <w:tcBorders>
              <w:top w:val="nil"/>
              <w:left w:val="nil"/>
              <w:bottom w:val="nil"/>
              <w:right w:val="nil"/>
              <w:tl2br w:val="nil"/>
              <w:tr2bl w:val="nil"/>
            </w:tcBorders>
            <w:tcMar>
              <w:left w:w="60" w:type="dxa"/>
              <w:right w:w="60" w:type="dxa"/>
            </w:tcMar>
            <w:vAlign w:val="center"/>
          </w:tcPr>
          <w:p w14:paraId="1254BF7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2" w:type="dxa"/>
            <w:tcBorders>
              <w:top w:val="nil"/>
              <w:left w:val="nil"/>
              <w:bottom w:val="nil"/>
              <w:right w:val="nil"/>
              <w:tl2br w:val="nil"/>
              <w:tr2bl w:val="nil"/>
            </w:tcBorders>
            <w:tcMar>
              <w:left w:w="60" w:type="dxa"/>
              <w:right w:w="60" w:type="dxa"/>
            </w:tcMar>
            <w:vAlign w:val="center"/>
          </w:tcPr>
          <w:p w14:paraId="584119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547D5B2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81FFFA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2EA07560"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519841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D06FF0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7071ABAB"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Other administrative expenditure</w:t>
            </w:r>
          </w:p>
        </w:tc>
        <w:tc>
          <w:tcPr>
            <w:tcW w:w="960" w:type="dxa"/>
            <w:tcBorders>
              <w:top w:val="nil"/>
              <w:left w:val="nil"/>
              <w:bottom w:val="nil"/>
              <w:right w:val="nil"/>
              <w:tl2br w:val="nil"/>
              <w:tr2bl w:val="nil"/>
            </w:tcBorders>
            <w:tcMar>
              <w:left w:w="60" w:type="dxa"/>
              <w:right w:w="60" w:type="dxa"/>
            </w:tcMar>
            <w:vAlign w:val="center"/>
          </w:tcPr>
          <w:p w14:paraId="53D3A4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126" w:type="dxa"/>
            <w:tcBorders>
              <w:top w:val="nil"/>
              <w:left w:val="nil"/>
              <w:bottom w:val="nil"/>
              <w:right w:val="nil"/>
              <w:tl2br w:val="nil"/>
              <w:tr2bl w:val="nil"/>
            </w:tcBorders>
            <w:tcMar>
              <w:left w:w="60" w:type="dxa"/>
              <w:right w:w="60" w:type="dxa"/>
            </w:tcMar>
            <w:vAlign w:val="center"/>
          </w:tcPr>
          <w:p w14:paraId="796BD26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02" w:type="dxa"/>
            <w:tcBorders>
              <w:top w:val="nil"/>
              <w:left w:val="nil"/>
              <w:bottom w:val="nil"/>
              <w:right w:val="nil"/>
              <w:tl2br w:val="nil"/>
              <w:tr2bl w:val="nil"/>
            </w:tcBorders>
            <w:tcMar>
              <w:left w:w="60" w:type="dxa"/>
              <w:right w:w="60" w:type="dxa"/>
            </w:tcMar>
            <w:vAlign w:val="center"/>
          </w:tcPr>
          <w:p w14:paraId="3874526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6189F2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25" w:type="dxa"/>
            <w:tcBorders>
              <w:top w:val="nil"/>
              <w:left w:val="nil"/>
              <w:bottom w:val="nil"/>
              <w:right w:val="nil"/>
              <w:tl2br w:val="nil"/>
              <w:tr2bl w:val="nil"/>
            </w:tcBorders>
            <w:tcMar>
              <w:left w:w="60" w:type="dxa"/>
              <w:right w:w="60" w:type="dxa"/>
            </w:tcMar>
            <w:vAlign w:val="center"/>
          </w:tcPr>
          <w:p w14:paraId="0437D48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99" w:type="dxa"/>
            <w:tcBorders>
              <w:top w:val="nil"/>
              <w:left w:val="nil"/>
              <w:bottom w:val="nil"/>
              <w:right w:val="nil"/>
              <w:tl2br w:val="nil"/>
              <w:tr2bl w:val="nil"/>
            </w:tcBorders>
            <w:tcMar>
              <w:left w:w="60" w:type="dxa"/>
              <w:right w:w="60" w:type="dxa"/>
            </w:tcMar>
            <w:vAlign w:val="center"/>
          </w:tcPr>
          <w:p w14:paraId="6CE0B4E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85 %</w:t>
            </w:r>
          </w:p>
        </w:tc>
        <w:tc>
          <w:tcPr>
            <w:tcW w:w="105" w:type="dxa"/>
            <w:tcBorders>
              <w:top w:val="nil"/>
              <w:left w:val="nil"/>
              <w:bottom w:val="nil"/>
              <w:right w:val="nil"/>
              <w:tl2br w:val="nil"/>
              <w:tr2bl w:val="nil"/>
            </w:tcBorders>
            <w:tcMar>
              <w:left w:w="60" w:type="dxa"/>
              <w:right w:w="60" w:type="dxa"/>
            </w:tcMar>
            <w:vAlign w:val="center"/>
          </w:tcPr>
          <w:p w14:paraId="0389D44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9A2262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14:paraId="3C9F598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14:paraId="483A46F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EC1510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94EC84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81" w:type="dxa"/>
            <w:tcBorders>
              <w:top w:val="nil"/>
              <w:left w:val="nil"/>
              <w:bottom w:val="nil"/>
              <w:right w:val="nil"/>
              <w:tl2br w:val="nil"/>
              <w:tr2bl w:val="nil"/>
            </w:tcBorders>
            <w:tcMar>
              <w:left w:w="60" w:type="dxa"/>
              <w:right w:w="60" w:type="dxa"/>
            </w:tcMar>
            <w:vAlign w:val="center"/>
          </w:tcPr>
          <w:p w14:paraId="3E65DE9A"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35AA040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EEE92B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17F878B"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0" w:type="dxa"/>
            <w:tcBorders>
              <w:top w:val="nil"/>
              <w:left w:val="nil"/>
              <w:bottom w:val="nil"/>
              <w:right w:val="nil"/>
              <w:tl2br w:val="nil"/>
              <w:tr2bl w:val="nil"/>
            </w:tcBorders>
            <w:tcMar>
              <w:left w:w="60" w:type="dxa"/>
              <w:right w:w="60" w:type="dxa"/>
            </w:tcMar>
            <w:vAlign w:val="center"/>
          </w:tcPr>
          <w:p w14:paraId="547FAC2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26" w:type="dxa"/>
            <w:tcBorders>
              <w:top w:val="nil"/>
              <w:left w:val="nil"/>
              <w:bottom w:val="nil"/>
              <w:right w:val="nil"/>
              <w:tl2br w:val="nil"/>
              <w:tr2bl w:val="nil"/>
            </w:tcBorders>
            <w:tcMar>
              <w:left w:w="60" w:type="dxa"/>
              <w:right w:w="60" w:type="dxa"/>
            </w:tcMar>
            <w:vAlign w:val="center"/>
          </w:tcPr>
          <w:p w14:paraId="40FC00A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2" w:type="dxa"/>
            <w:tcBorders>
              <w:top w:val="nil"/>
              <w:left w:val="nil"/>
              <w:bottom w:val="nil"/>
              <w:right w:val="nil"/>
              <w:tl2br w:val="nil"/>
              <w:tr2bl w:val="nil"/>
            </w:tcBorders>
            <w:tcMar>
              <w:left w:w="60" w:type="dxa"/>
              <w:right w:w="60" w:type="dxa"/>
            </w:tcMar>
            <w:vAlign w:val="center"/>
          </w:tcPr>
          <w:p w14:paraId="1EB2C2A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AE1E69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575826F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9" w:type="dxa"/>
            <w:tcBorders>
              <w:top w:val="nil"/>
              <w:left w:val="nil"/>
              <w:bottom w:val="nil"/>
              <w:right w:val="nil"/>
              <w:tl2br w:val="nil"/>
              <w:tr2bl w:val="nil"/>
            </w:tcBorders>
            <w:tcMar>
              <w:left w:w="60" w:type="dxa"/>
              <w:right w:w="60" w:type="dxa"/>
            </w:tcMar>
            <w:vAlign w:val="center"/>
          </w:tcPr>
          <w:p w14:paraId="6BDBB2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664BE67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8D5091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6FC9C6F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2AE2B9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5702104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5386E2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60E7BF7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850B14D"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668CC9E"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D7EA7F6"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Administrative expenditure of other institutions</w:t>
            </w:r>
          </w:p>
        </w:tc>
        <w:tc>
          <w:tcPr>
            <w:tcW w:w="960" w:type="dxa"/>
            <w:tcBorders>
              <w:top w:val="nil"/>
              <w:left w:val="nil"/>
              <w:bottom w:val="nil"/>
              <w:right w:val="nil"/>
              <w:tl2br w:val="nil"/>
              <w:tr2bl w:val="nil"/>
            </w:tcBorders>
            <w:tcMar>
              <w:left w:w="60" w:type="dxa"/>
              <w:right w:w="60" w:type="dxa"/>
            </w:tcMar>
            <w:vAlign w:val="center"/>
          </w:tcPr>
          <w:p w14:paraId="4EFE44A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5 769</w:t>
            </w:r>
          </w:p>
        </w:tc>
        <w:tc>
          <w:tcPr>
            <w:tcW w:w="126" w:type="dxa"/>
            <w:tcBorders>
              <w:top w:val="nil"/>
              <w:left w:val="nil"/>
              <w:bottom w:val="nil"/>
              <w:right w:val="nil"/>
              <w:tl2br w:val="nil"/>
              <w:tr2bl w:val="nil"/>
            </w:tcBorders>
            <w:tcMar>
              <w:left w:w="60" w:type="dxa"/>
              <w:right w:w="60" w:type="dxa"/>
            </w:tcMar>
            <w:vAlign w:val="center"/>
          </w:tcPr>
          <w:p w14:paraId="0B9DCF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5 192</w:t>
            </w:r>
          </w:p>
        </w:tc>
        <w:tc>
          <w:tcPr>
            <w:tcW w:w="102" w:type="dxa"/>
            <w:tcBorders>
              <w:top w:val="nil"/>
              <w:left w:val="nil"/>
              <w:bottom w:val="nil"/>
              <w:right w:val="nil"/>
              <w:tl2br w:val="nil"/>
              <w:tr2bl w:val="nil"/>
            </w:tcBorders>
            <w:tcMar>
              <w:left w:w="60" w:type="dxa"/>
              <w:right w:w="60" w:type="dxa"/>
            </w:tcMar>
            <w:vAlign w:val="center"/>
          </w:tcPr>
          <w:p w14:paraId="403CD09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14:paraId="781A1EB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381</w:t>
            </w:r>
          </w:p>
        </w:tc>
        <w:tc>
          <w:tcPr>
            <w:tcW w:w="125" w:type="dxa"/>
            <w:tcBorders>
              <w:top w:val="nil"/>
              <w:left w:val="nil"/>
              <w:bottom w:val="nil"/>
              <w:right w:val="nil"/>
              <w:tl2br w:val="nil"/>
              <w:tr2bl w:val="nil"/>
            </w:tcBorders>
            <w:tcMar>
              <w:left w:w="60" w:type="dxa"/>
              <w:right w:w="60" w:type="dxa"/>
            </w:tcMar>
            <w:vAlign w:val="center"/>
          </w:tcPr>
          <w:p w14:paraId="1D1A579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5 574</w:t>
            </w:r>
          </w:p>
        </w:tc>
        <w:tc>
          <w:tcPr>
            <w:tcW w:w="99" w:type="dxa"/>
            <w:tcBorders>
              <w:top w:val="nil"/>
              <w:left w:val="nil"/>
              <w:bottom w:val="nil"/>
              <w:right w:val="nil"/>
              <w:tl2br w:val="nil"/>
              <w:tr2bl w:val="nil"/>
            </w:tcBorders>
            <w:tcMar>
              <w:left w:w="60" w:type="dxa"/>
              <w:right w:w="60" w:type="dxa"/>
            </w:tcMar>
            <w:vAlign w:val="center"/>
          </w:tcPr>
          <w:p w14:paraId="169ED30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14:paraId="6611D26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4C2DCF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138</w:t>
            </w:r>
          </w:p>
        </w:tc>
        <w:tc>
          <w:tcPr>
            <w:tcW w:w="106" w:type="dxa"/>
            <w:tcBorders>
              <w:top w:val="nil"/>
              <w:left w:val="nil"/>
              <w:bottom w:val="nil"/>
              <w:right w:val="nil"/>
              <w:tl2br w:val="nil"/>
              <w:tr2bl w:val="nil"/>
            </w:tcBorders>
            <w:tcMar>
              <w:left w:w="60" w:type="dxa"/>
              <w:right w:w="60" w:type="dxa"/>
            </w:tcMar>
            <w:vAlign w:val="center"/>
          </w:tcPr>
          <w:p w14:paraId="52A2E39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138</w:t>
            </w:r>
          </w:p>
        </w:tc>
        <w:tc>
          <w:tcPr>
            <w:tcW w:w="92" w:type="dxa"/>
            <w:tcBorders>
              <w:top w:val="nil"/>
              <w:left w:val="nil"/>
              <w:bottom w:val="nil"/>
              <w:right w:val="nil"/>
              <w:tl2br w:val="nil"/>
              <w:tr2bl w:val="nil"/>
            </w:tcBorders>
            <w:tcMar>
              <w:left w:w="60" w:type="dxa"/>
              <w:right w:w="60" w:type="dxa"/>
            </w:tcMar>
            <w:vAlign w:val="center"/>
          </w:tcPr>
          <w:p w14:paraId="4E02E49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82" w:type="dxa"/>
            <w:tcBorders>
              <w:top w:val="nil"/>
              <w:left w:val="nil"/>
              <w:bottom w:val="nil"/>
              <w:right w:val="nil"/>
              <w:tl2br w:val="nil"/>
              <w:tr2bl w:val="nil"/>
            </w:tcBorders>
            <w:tcMar>
              <w:left w:w="60" w:type="dxa"/>
              <w:right w:w="60" w:type="dxa"/>
            </w:tcMar>
            <w:vAlign w:val="center"/>
          </w:tcPr>
          <w:p w14:paraId="6009280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A52BD2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81" w:type="dxa"/>
            <w:tcBorders>
              <w:top w:val="nil"/>
              <w:left w:val="nil"/>
              <w:bottom w:val="nil"/>
              <w:right w:val="nil"/>
              <w:tl2br w:val="nil"/>
              <w:tr2bl w:val="nil"/>
            </w:tcBorders>
            <w:tcMar>
              <w:left w:w="60" w:type="dxa"/>
              <w:right w:w="60" w:type="dxa"/>
            </w:tcMar>
            <w:vAlign w:val="center"/>
          </w:tcPr>
          <w:p w14:paraId="332FB57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58</w:t>
            </w:r>
          </w:p>
        </w:tc>
      </w:tr>
      <w:tr w:rsidR="00807FFE" w14:paraId="1E1222F2"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5AAEBD79"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7CA7B760"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7: European Public Administration</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4932D7B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15 115</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3E8A221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12 707</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544A459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405D648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1 247</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59E6C71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13 955</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056FB53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92 %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2987B0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5599A6E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1 099</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02A45C0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1 099</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766B8BA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16D8687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072CB1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589D1A98"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62</w:t>
            </w:r>
          </w:p>
        </w:tc>
      </w:tr>
      <w:tr w:rsidR="00807FFE" w14:paraId="5B03B3B9"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8D35CB4"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F984779" w14:textId="77777777" w:rsidR="00807FFE" w:rsidRDefault="00807FFE">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2FFABDE2" w14:textId="77777777" w:rsidR="00807FFE" w:rsidRDefault="00807FFE">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4153412C" w14:textId="77777777" w:rsidR="00807FFE" w:rsidRDefault="00807FFE">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31F8060F"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130D3575" w14:textId="77777777" w:rsidR="00807FFE" w:rsidRDefault="00807FFE">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7CC89255" w14:textId="77777777" w:rsidR="00807FFE" w:rsidRDefault="00807FFE">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35A2B600" w14:textId="77777777" w:rsidR="00807FFE" w:rsidRDefault="00807FFE">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3E2CDFDD"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5A94EE29" w14:textId="77777777" w:rsidR="00807FFE" w:rsidRDefault="00807FFE">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1E8182AC" w14:textId="77777777" w:rsidR="00807FFE" w:rsidRDefault="00807FFE">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697EC9E9" w14:textId="77777777" w:rsidR="00807FFE" w:rsidRDefault="00807FFE">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4014F026"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7E4DA8FC" w14:textId="77777777" w:rsidR="00807FFE" w:rsidRDefault="00807FFE">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0458BAD2" w14:textId="77777777" w:rsidR="00807FFE" w:rsidRDefault="00807FFE">
            <w:pPr>
              <w:pStyle w:val="DMETW36742BIPDetailedMFF2ImplementCommitments"/>
              <w:jc w:val="right"/>
              <w:rPr>
                <w:rFonts w:ascii="Verdana" w:eastAsia="Verdana" w:hAnsi="Verdana" w:cs="Verdana"/>
                <w:noProof/>
                <w:color w:val="000000"/>
                <w:sz w:val="16"/>
                <w:lang w:bidi="en-GB"/>
              </w:rPr>
            </w:pPr>
          </w:p>
        </w:tc>
      </w:tr>
      <w:tr w:rsidR="00807FFE" w14:paraId="2B80BB44"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812AB35"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w:t>
            </w:r>
          </w:p>
        </w:tc>
        <w:tc>
          <w:tcPr>
            <w:tcW w:w="479" w:type="dxa"/>
            <w:tcBorders>
              <w:top w:val="nil"/>
              <w:left w:val="nil"/>
              <w:bottom w:val="nil"/>
              <w:right w:val="nil"/>
              <w:tl2br w:val="nil"/>
              <w:tr2bl w:val="nil"/>
            </w:tcBorders>
            <w:tcMar>
              <w:left w:w="60" w:type="dxa"/>
              <w:right w:w="60" w:type="dxa"/>
            </w:tcMar>
            <w:vAlign w:val="center"/>
          </w:tcPr>
          <w:p w14:paraId="3F3ED26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Innovation Fund (IF)</w:t>
            </w:r>
          </w:p>
        </w:tc>
        <w:tc>
          <w:tcPr>
            <w:tcW w:w="960" w:type="dxa"/>
            <w:tcBorders>
              <w:top w:val="nil"/>
              <w:left w:val="nil"/>
              <w:bottom w:val="nil"/>
              <w:right w:val="nil"/>
              <w:tl2br w:val="nil"/>
              <w:tr2bl w:val="nil"/>
            </w:tcBorders>
            <w:tcMar>
              <w:left w:w="60" w:type="dxa"/>
              <w:right w:w="60" w:type="dxa"/>
            </w:tcMar>
            <w:vAlign w:val="center"/>
          </w:tcPr>
          <w:p w14:paraId="681B15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6 788</w:t>
            </w:r>
          </w:p>
        </w:tc>
        <w:tc>
          <w:tcPr>
            <w:tcW w:w="126" w:type="dxa"/>
            <w:tcBorders>
              <w:top w:val="nil"/>
              <w:left w:val="nil"/>
              <w:bottom w:val="nil"/>
              <w:right w:val="nil"/>
              <w:tl2br w:val="nil"/>
              <w:tr2bl w:val="nil"/>
            </w:tcBorders>
            <w:tcMar>
              <w:left w:w="60" w:type="dxa"/>
              <w:right w:w="60" w:type="dxa"/>
            </w:tcMar>
            <w:vAlign w:val="center"/>
          </w:tcPr>
          <w:p w14:paraId="720B5C4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38DF8D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3573BB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1 551</w:t>
            </w:r>
          </w:p>
        </w:tc>
        <w:tc>
          <w:tcPr>
            <w:tcW w:w="125" w:type="dxa"/>
            <w:tcBorders>
              <w:top w:val="nil"/>
              <w:left w:val="nil"/>
              <w:bottom w:val="nil"/>
              <w:right w:val="nil"/>
              <w:tl2br w:val="nil"/>
              <w:tr2bl w:val="nil"/>
            </w:tcBorders>
            <w:tcMar>
              <w:left w:w="60" w:type="dxa"/>
              <w:right w:w="60" w:type="dxa"/>
            </w:tcMar>
            <w:vAlign w:val="center"/>
          </w:tcPr>
          <w:p w14:paraId="7499B6C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1 551</w:t>
            </w:r>
          </w:p>
        </w:tc>
        <w:tc>
          <w:tcPr>
            <w:tcW w:w="99" w:type="dxa"/>
            <w:tcBorders>
              <w:top w:val="nil"/>
              <w:left w:val="nil"/>
              <w:bottom w:val="nil"/>
              <w:right w:val="nil"/>
              <w:tl2br w:val="nil"/>
              <w:tr2bl w:val="nil"/>
            </w:tcBorders>
            <w:tcMar>
              <w:left w:w="60" w:type="dxa"/>
              <w:right w:w="60" w:type="dxa"/>
            </w:tcMar>
            <w:vAlign w:val="center"/>
          </w:tcPr>
          <w:p w14:paraId="480633E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23 %</w:t>
            </w:r>
          </w:p>
        </w:tc>
        <w:tc>
          <w:tcPr>
            <w:tcW w:w="105" w:type="dxa"/>
            <w:tcBorders>
              <w:top w:val="nil"/>
              <w:left w:val="nil"/>
              <w:bottom w:val="nil"/>
              <w:right w:val="nil"/>
              <w:tl2br w:val="nil"/>
              <w:tr2bl w:val="nil"/>
            </w:tcBorders>
            <w:tcMar>
              <w:left w:w="60" w:type="dxa"/>
              <w:right w:w="60" w:type="dxa"/>
            </w:tcMar>
            <w:vAlign w:val="center"/>
          </w:tcPr>
          <w:p w14:paraId="3103157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5E5C490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5 237</w:t>
            </w:r>
          </w:p>
        </w:tc>
        <w:tc>
          <w:tcPr>
            <w:tcW w:w="106" w:type="dxa"/>
            <w:tcBorders>
              <w:top w:val="nil"/>
              <w:left w:val="nil"/>
              <w:bottom w:val="nil"/>
              <w:right w:val="nil"/>
              <w:tl2br w:val="nil"/>
              <w:tr2bl w:val="nil"/>
            </w:tcBorders>
            <w:tcMar>
              <w:left w:w="60" w:type="dxa"/>
              <w:right w:w="60" w:type="dxa"/>
            </w:tcMar>
            <w:vAlign w:val="center"/>
          </w:tcPr>
          <w:p w14:paraId="156B867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5 237</w:t>
            </w:r>
          </w:p>
        </w:tc>
        <w:tc>
          <w:tcPr>
            <w:tcW w:w="92" w:type="dxa"/>
            <w:tcBorders>
              <w:top w:val="nil"/>
              <w:left w:val="nil"/>
              <w:bottom w:val="nil"/>
              <w:right w:val="nil"/>
              <w:tl2br w:val="nil"/>
              <w:tr2bl w:val="nil"/>
            </w:tcBorders>
            <w:tcMar>
              <w:left w:w="60" w:type="dxa"/>
              <w:right w:w="60" w:type="dxa"/>
            </w:tcMar>
            <w:vAlign w:val="center"/>
          </w:tcPr>
          <w:p w14:paraId="591237A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2AEEEDB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B23829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C54C7C6"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29C29DD"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49CEC5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132431EF"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Ukraine Facility</w:t>
            </w:r>
          </w:p>
        </w:tc>
        <w:tc>
          <w:tcPr>
            <w:tcW w:w="960" w:type="dxa"/>
            <w:tcBorders>
              <w:top w:val="nil"/>
              <w:left w:val="nil"/>
              <w:bottom w:val="nil"/>
              <w:right w:val="nil"/>
              <w:tl2br w:val="nil"/>
              <w:tr2bl w:val="nil"/>
            </w:tcBorders>
            <w:tcMar>
              <w:left w:w="60" w:type="dxa"/>
              <w:right w:w="60" w:type="dxa"/>
            </w:tcMar>
            <w:vAlign w:val="center"/>
          </w:tcPr>
          <w:p w14:paraId="6E9C4D4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4 866</w:t>
            </w:r>
          </w:p>
        </w:tc>
        <w:tc>
          <w:tcPr>
            <w:tcW w:w="126" w:type="dxa"/>
            <w:tcBorders>
              <w:top w:val="nil"/>
              <w:left w:val="nil"/>
              <w:bottom w:val="nil"/>
              <w:right w:val="nil"/>
              <w:tl2br w:val="nil"/>
              <w:tr2bl w:val="nil"/>
            </w:tcBorders>
            <w:tcMar>
              <w:left w:w="60" w:type="dxa"/>
              <w:right w:w="60" w:type="dxa"/>
            </w:tcMar>
            <w:vAlign w:val="center"/>
          </w:tcPr>
          <w:p w14:paraId="7D4C8FA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4 269</w:t>
            </w:r>
          </w:p>
        </w:tc>
        <w:tc>
          <w:tcPr>
            <w:tcW w:w="102" w:type="dxa"/>
            <w:tcBorders>
              <w:top w:val="nil"/>
              <w:left w:val="nil"/>
              <w:bottom w:val="nil"/>
              <w:right w:val="nil"/>
              <w:tl2br w:val="nil"/>
              <w:tr2bl w:val="nil"/>
            </w:tcBorders>
            <w:tcMar>
              <w:left w:w="60" w:type="dxa"/>
              <w:right w:w="60" w:type="dxa"/>
            </w:tcMar>
            <w:vAlign w:val="center"/>
          </w:tcPr>
          <w:p w14:paraId="7D2EE53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12" w:type="dxa"/>
            <w:tcBorders>
              <w:top w:val="nil"/>
              <w:left w:val="nil"/>
              <w:bottom w:val="nil"/>
              <w:right w:val="nil"/>
              <w:tl2br w:val="nil"/>
              <w:tr2bl w:val="nil"/>
            </w:tcBorders>
            <w:tcMar>
              <w:left w:w="60" w:type="dxa"/>
              <w:right w:w="60" w:type="dxa"/>
            </w:tcMar>
            <w:vAlign w:val="center"/>
          </w:tcPr>
          <w:p w14:paraId="0B1D0F3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500</w:t>
            </w:r>
          </w:p>
        </w:tc>
        <w:tc>
          <w:tcPr>
            <w:tcW w:w="125" w:type="dxa"/>
            <w:tcBorders>
              <w:top w:val="nil"/>
              <w:left w:val="nil"/>
              <w:bottom w:val="nil"/>
              <w:right w:val="nil"/>
              <w:tl2br w:val="nil"/>
              <w:tr2bl w:val="nil"/>
            </w:tcBorders>
            <w:tcMar>
              <w:left w:w="60" w:type="dxa"/>
              <w:right w:w="60" w:type="dxa"/>
            </w:tcMar>
            <w:vAlign w:val="center"/>
          </w:tcPr>
          <w:p w14:paraId="74DE1B9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4 799</w:t>
            </w:r>
          </w:p>
        </w:tc>
        <w:tc>
          <w:tcPr>
            <w:tcW w:w="99" w:type="dxa"/>
            <w:tcBorders>
              <w:top w:val="nil"/>
              <w:left w:val="nil"/>
              <w:bottom w:val="nil"/>
              <w:right w:val="nil"/>
              <w:tl2br w:val="nil"/>
              <w:tr2bl w:val="nil"/>
            </w:tcBorders>
            <w:tcMar>
              <w:left w:w="60" w:type="dxa"/>
              <w:right w:w="60" w:type="dxa"/>
            </w:tcMar>
            <w:vAlign w:val="center"/>
          </w:tcPr>
          <w:p w14:paraId="07D4F21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14:paraId="0F58BAA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112" w:type="dxa"/>
            <w:tcBorders>
              <w:top w:val="nil"/>
              <w:left w:val="nil"/>
              <w:bottom w:val="nil"/>
              <w:right w:val="nil"/>
              <w:tl2br w:val="nil"/>
              <w:tr2bl w:val="nil"/>
            </w:tcBorders>
            <w:tcMar>
              <w:left w:w="60" w:type="dxa"/>
              <w:right w:w="60" w:type="dxa"/>
            </w:tcMar>
            <w:vAlign w:val="center"/>
          </w:tcPr>
          <w:p w14:paraId="59FE093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106" w:type="dxa"/>
            <w:tcBorders>
              <w:top w:val="nil"/>
              <w:left w:val="nil"/>
              <w:bottom w:val="nil"/>
              <w:right w:val="nil"/>
              <w:tl2br w:val="nil"/>
              <w:tr2bl w:val="nil"/>
            </w:tcBorders>
            <w:tcMar>
              <w:left w:w="60" w:type="dxa"/>
              <w:right w:w="60" w:type="dxa"/>
            </w:tcMar>
            <w:vAlign w:val="center"/>
          </w:tcPr>
          <w:p w14:paraId="01B352D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67</w:t>
            </w:r>
          </w:p>
        </w:tc>
        <w:tc>
          <w:tcPr>
            <w:tcW w:w="92" w:type="dxa"/>
            <w:tcBorders>
              <w:top w:val="nil"/>
              <w:left w:val="nil"/>
              <w:bottom w:val="nil"/>
              <w:right w:val="nil"/>
              <w:tl2br w:val="nil"/>
              <w:tr2bl w:val="nil"/>
            </w:tcBorders>
            <w:tcMar>
              <w:left w:w="60" w:type="dxa"/>
              <w:right w:w="60" w:type="dxa"/>
            </w:tcMar>
            <w:vAlign w:val="center"/>
          </w:tcPr>
          <w:p w14:paraId="577D411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14:paraId="7B360FE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14:paraId="640D02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14:paraId="62347C94"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3EDC847B"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BFEAC93"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42F3A1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0" w:type="dxa"/>
            <w:tcBorders>
              <w:top w:val="nil"/>
              <w:left w:val="nil"/>
              <w:bottom w:val="nil"/>
              <w:right w:val="nil"/>
              <w:tl2br w:val="nil"/>
              <w:tr2bl w:val="nil"/>
            </w:tcBorders>
            <w:tcMar>
              <w:left w:w="60" w:type="dxa"/>
              <w:right w:w="60" w:type="dxa"/>
            </w:tcMar>
            <w:vAlign w:val="center"/>
          </w:tcPr>
          <w:p w14:paraId="62D4C1D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112</w:t>
            </w:r>
          </w:p>
        </w:tc>
        <w:tc>
          <w:tcPr>
            <w:tcW w:w="126" w:type="dxa"/>
            <w:tcBorders>
              <w:top w:val="nil"/>
              <w:left w:val="nil"/>
              <w:bottom w:val="nil"/>
              <w:right w:val="nil"/>
              <w:tl2br w:val="nil"/>
              <w:tr2bl w:val="nil"/>
            </w:tcBorders>
            <w:tcMar>
              <w:left w:w="60" w:type="dxa"/>
              <w:right w:w="60" w:type="dxa"/>
            </w:tcMar>
            <w:vAlign w:val="center"/>
          </w:tcPr>
          <w:p w14:paraId="171D89D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633D8EB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B98D04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125" w:type="dxa"/>
            <w:tcBorders>
              <w:top w:val="nil"/>
              <w:left w:val="nil"/>
              <w:bottom w:val="nil"/>
              <w:right w:val="nil"/>
              <w:tl2br w:val="nil"/>
              <w:tr2bl w:val="nil"/>
            </w:tcBorders>
            <w:tcMar>
              <w:left w:w="60" w:type="dxa"/>
              <w:right w:w="60" w:type="dxa"/>
            </w:tcMar>
            <w:vAlign w:val="center"/>
          </w:tcPr>
          <w:p w14:paraId="407A3C4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99" w:type="dxa"/>
            <w:tcBorders>
              <w:top w:val="nil"/>
              <w:left w:val="nil"/>
              <w:bottom w:val="nil"/>
              <w:right w:val="nil"/>
              <w:tl2br w:val="nil"/>
              <w:tr2bl w:val="nil"/>
            </w:tcBorders>
            <w:tcMar>
              <w:left w:w="60" w:type="dxa"/>
              <w:right w:w="60" w:type="dxa"/>
            </w:tcMar>
            <w:vAlign w:val="center"/>
          </w:tcPr>
          <w:p w14:paraId="2C677AD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53 %</w:t>
            </w:r>
          </w:p>
        </w:tc>
        <w:tc>
          <w:tcPr>
            <w:tcW w:w="105" w:type="dxa"/>
            <w:tcBorders>
              <w:top w:val="nil"/>
              <w:left w:val="nil"/>
              <w:bottom w:val="nil"/>
              <w:right w:val="nil"/>
              <w:tl2br w:val="nil"/>
              <w:tr2bl w:val="nil"/>
            </w:tcBorders>
            <w:tcMar>
              <w:left w:w="60" w:type="dxa"/>
              <w:right w:w="60" w:type="dxa"/>
            </w:tcMar>
            <w:vAlign w:val="center"/>
          </w:tcPr>
          <w:p w14:paraId="18E1288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0DDB93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06" w:type="dxa"/>
            <w:tcBorders>
              <w:top w:val="nil"/>
              <w:left w:val="nil"/>
              <w:bottom w:val="nil"/>
              <w:right w:val="nil"/>
              <w:tl2br w:val="nil"/>
              <w:tr2bl w:val="nil"/>
            </w:tcBorders>
            <w:tcMar>
              <w:left w:w="60" w:type="dxa"/>
              <w:right w:w="60" w:type="dxa"/>
            </w:tcMar>
            <w:vAlign w:val="center"/>
          </w:tcPr>
          <w:p w14:paraId="251810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92" w:type="dxa"/>
            <w:tcBorders>
              <w:top w:val="nil"/>
              <w:left w:val="nil"/>
              <w:bottom w:val="nil"/>
              <w:right w:val="nil"/>
              <w:tl2br w:val="nil"/>
              <w:tr2bl w:val="nil"/>
            </w:tcBorders>
            <w:tcMar>
              <w:left w:w="60" w:type="dxa"/>
              <w:right w:w="60" w:type="dxa"/>
            </w:tcMar>
            <w:vAlign w:val="center"/>
          </w:tcPr>
          <w:p w14:paraId="275053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4F9BCD8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727FE8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45D002D"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B315DC8"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2CD33D20"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3EDCB15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O: Outside MFF</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338B4F3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11 767</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026A9BD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4 269</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4EE95D0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69A37C5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2 110</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3FE4E99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6 409</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4BE15E1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54 %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1FE30F8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64D7042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5 306</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27C75E2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5 357</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2672EB8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21C2AE8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44AF318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100B43B6"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4E33F4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FE7922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01DDD8FA" w14:textId="77777777" w:rsidR="00807FFE" w:rsidRDefault="00807FFE">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36D9B242" w14:textId="77777777" w:rsidR="00807FFE" w:rsidRDefault="00807FFE">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589853BC" w14:textId="77777777" w:rsidR="00807FFE" w:rsidRDefault="00807FFE">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66D14842"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05CDFA93" w14:textId="77777777" w:rsidR="00807FFE" w:rsidRDefault="00807FFE">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4A1290C6" w14:textId="77777777" w:rsidR="00807FFE" w:rsidRDefault="00807FFE">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4548DEAF" w14:textId="77777777" w:rsidR="00807FFE" w:rsidRDefault="00807FFE">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1793C8DA"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1B8D0E8B" w14:textId="77777777" w:rsidR="00807FFE" w:rsidRDefault="00807FFE">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0D739895" w14:textId="77777777" w:rsidR="00807FFE" w:rsidRDefault="00807FFE">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26B13471" w14:textId="77777777" w:rsidR="00807FFE" w:rsidRDefault="00807FFE">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7735A23F" w14:textId="77777777" w:rsidR="00807FFE" w:rsidRDefault="00807FFE">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5F9E4ADD" w14:textId="77777777" w:rsidR="00807FFE" w:rsidRDefault="00807FFE">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56AAE36A" w14:textId="77777777" w:rsidR="00807FFE" w:rsidRDefault="00807FFE">
            <w:pPr>
              <w:pStyle w:val="DMETW36742BIPDetailedMFF2ImplementCommitments"/>
              <w:jc w:val="right"/>
              <w:rPr>
                <w:rFonts w:ascii="Verdana" w:eastAsia="Verdana" w:hAnsi="Verdana" w:cs="Verdana"/>
                <w:noProof/>
                <w:color w:val="000000"/>
                <w:sz w:val="16"/>
                <w:lang w:bidi="en-GB"/>
              </w:rPr>
            </w:pPr>
          </w:p>
        </w:tc>
      </w:tr>
      <w:tr w:rsidR="00807FFE" w14:paraId="55A89176"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4CFEBA7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S</w:t>
            </w:r>
          </w:p>
        </w:tc>
        <w:tc>
          <w:tcPr>
            <w:tcW w:w="479" w:type="dxa"/>
            <w:tcBorders>
              <w:top w:val="nil"/>
              <w:left w:val="nil"/>
              <w:bottom w:val="nil"/>
              <w:right w:val="nil"/>
              <w:tl2br w:val="nil"/>
              <w:tr2bl w:val="nil"/>
            </w:tcBorders>
            <w:tcMar>
              <w:left w:w="60" w:type="dxa"/>
              <w:right w:w="60" w:type="dxa"/>
            </w:tcMar>
            <w:vAlign w:val="center"/>
          </w:tcPr>
          <w:p w14:paraId="6343577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Solidarity Reserve</w:t>
            </w:r>
          </w:p>
        </w:tc>
        <w:tc>
          <w:tcPr>
            <w:tcW w:w="960" w:type="dxa"/>
            <w:tcBorders>
              <w:top w:val="nil"/>
              <w:left w:val="nil"/>
              <w:bottom w:val="nil"/>
              <w:right w:val="nil"/>
              <w:tl2br w:val="nil"/>
              <w:tr2bl w:val="nil"/>
            </w:tcBorders>
            <w:tcMar>
              <w:left w:w="60" w:type="dxa"/>
              <w:right w:w="60" w:type="dxa"/>
            </w:tcMar>
            <w:vAlign w:val="center"/>
          </w:tcPr>
          <w:p w14:paraId="297E747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1 477</w:t>
            </w:r>
          </w:p>
        </w:tc>
        <w:tc>
          <w:tcPr>
            <w:tcW w:w="126" w:type="dxa"/>
            <w:tcBorders>
              <w:top w:val="nil"/>
              <w:left w:val="nil"/>
              <w:bottom w:val="nil"/>
              <w:right w:val="nil"/>
              <w:tl2br w:val="nil"/>
              <w:tr2bl w:val="nil"/>
            </w:tcBorders>
            <w:tcMar>
              <w:left w:w="60" w:type="dxa"/>
              <w:right w:w="60" w:type="dxa"/>
            </w:tcMar>
            <w:vAlign w:val="center"/>
          </w:tcPr>
          <w:p w14:paraId="734636E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170</w:t>
            </w:r>
          </w:p>
        </w:tc>
        <w:tc>
          <w:tcPr>
            <w:tcW w:w="102" w:type="dxa"/>
            <w:tcBorders>
              <w:top w:val="nil"/>
              <w:left w:val="nil"/>
              <w:bottom w:val="nil"/>
              <w:right w:val="nil"/>
              <w:tl2br w:val="nil"/>
              <w:tr2bl w:val="nil"/>
            </w:tcBorders>
            <w:tcMar>
              <w:left w:w="60" w:type="dxa"/>
              <w:right w:w="60" w:type="dxa"/>
            </w:tcMar>
            <w:vAlign w:val="center"/>
          </w:tcPr>
          <w:p w14:paraId="67B5B8B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112" w:type="dxa"/>
            <w:tcBorders>
              <w:top w:val="nil"/>
              <w:left w:val="nil"/>
              <w:bottom w:val="nil"/>
              <w:right w:val="nil"/>
              <w:tl2br w:val="nil"/>
              <w:tr2bl w:val="nil"/>
            </w:tcBorders>
            <w:tcMar>
              <w:left w:w="60" w:type="dxa"/>
              <w:right w:w="60" w:type="dxa"/>
            </w:tcMar>
            <w:vAlign w:val="center"/>
          </w:tcPr>
          <w:p w14:paraId="417C8C0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214442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480</w:t>
            </w:r>
          </w:p>
        </w:tc>
        <w:tc>
          <w:tcPr>
            <w:tcW w:w="99" w:type="dxa"/>
            <w:tcBorders>
              <w:top w:val="nil"/>
              <w:left w:val="nil"/>
              <w:bottom w:val="nil"/>
              <w:right w:val="nil"/>
              <w:tl2br w:val="nil"/>
              <w:tr2bl w:val="nil"/>
            </w:tcBorders>
            <w:tcMar>
              <w:left w:w="60" w:type="dxa"/>
              <w:right w:w="60" w:type="dxa"/>
            </w:tcMar>
            <w:vAlign w:val="center"/>
          </w:tcPr>
          <w:p w14:paraId="3E86753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33 %</w:t>
            </w:r>
          </w:p>
        </w:tc>
        <w:tc>
          <w:tcPr>
            <w:tcW w:w="105" w:type="dxa"/>
            <w:tcBorders>
              <w:top w:val="nil"/>
              <w:left w:val="nil"/>
              <w:bottom w:val="nil"/>
              <w:right w:val="nil"/>
              <w:tl2br w:val="nil"/>
              <w:tr2bl w:val="nil"/>
            </w:tcBorders>
            <w:tcMar>
              <w:left w:w="60" w:type="dxa"/>
              <w:right w:w="60" w:type="dxa"/>
            </w:tcMar>
            <w:vAlign w:val="center"/>
          </w:tcPr>
          <w:p w14:paraId="474A8C0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997</w:t>
            </w:r>
          </w:p>
        </w:tc>
        <w:tc>
          <w:tcPr>
            <w:tcW w:w="112" w:type="dxa"/>
            <w:tcBorders>
              <w:top w:val="nil"/>
              <w:left w:val="nil"/>
              <w:bottom w:val="nil"/>
              <w:right w:val="nil"/>
              <w:tl2br w:val="nil"/>
              <w:tr2bl w:val="nil"/>
            </w:tcBorders>
            <w:tcMar>
              <w:left w:w="60" w:type="dxa"/>
              <w:right w:w="60" w:type="dxa"/>
            </w:tcMar>
            <w:vAlign w:val="center"/>
          </w:tcPr>
          <w:p w14:paraId="11EBB1D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1A12DDF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997</w:t>
            </w:r>
          </w:p>
        </w:tc>
        <w:tc>
          <w:tcPr>
            <w:tcW w:w="92" w:type="dxa"/>
            <w:tcBorders>
              <w:top w:val="nil"/>
              <w:left w:val="nil"/>
              <w:bottom w:val="nil"/>
              <w:right w:val="nil"/>
              <w:tl2br w:val="nil"/>
              <w:tr2bl w:val="nil"/>
            </w:tcBorders>
            <w:tcMar>
              <w:left w:w="60" w:type="dxa"/>
              <w:right w:w="60" w:type="dxa"/>
            </w:tcMar>
            <w:vAlign w:val="center"/>
          </w:tcPr>
          <w:p w14:paraId="60D9806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131EDF8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22732E0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37B92AB7"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2D2377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3EE133AF"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608895EA"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Emergency Aid Reserve</w:t>
            </w:r>
          </w:p>
        </w:tc>
        <w:tc>
          <w:tcPr>
            <w:tcW w:w="960" w:type="dxa"/>
            <w:tcBorders>
              <w:top w:val="nil"/>
              <w:left w:val="nil"/>
              <w:bottom w:val="nil"/>
              <w:right w:val="nil"/>
              <w:tl2br w:val="nil"/>
              <w:tr2bl w:val="nil"/>
            </w:tcBorders>
            <w:tcMar>
              <w:left w:w="60" w:type="dxa"/>
              <w:right w:w="60" w:type="dxa"/>
            </w:tcMar>
            <w:vAlign w:val="center"/>
          </w:tcPr>
          <w:p w14:paraId="72EC2DF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14:paraId="69AB3AA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14:paraId="68F6439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A8B6AF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1937CA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14:paraId="7221838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14:paraId="0ABFDE1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DB7B83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0C225DF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1D7A78C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7E7789A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4AE7FFE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41519BC9"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1A4490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05A610EC"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4EE3CEA1"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European Globalisation Adjustment Fund (EGF)</w:t>
            </w:r>
          </w:p>
        </w:tc>
        <w:tc>
          <w:tcPr>
            <w:tcW w:w="960" w:type="dxa"/>
            <w:tcBorders>
              <w:top w:val="nil"/>
              <w:left w:val="nil"/>
              <w:bottom w:val="nil"/>
              <w:right w:val="nil"/>
              <w:tl2br w:val="nil"/>
              <w:tr2bl w:val="nil"/>
            </w:tcBorders>
            <w:tcMar>
              <w:left w:w="60" w:type="dxa"/>
              <w:right w:w="60" w:type="dxa"/>
            </w:tcMar>
            <w:vAlign w:val="center"/>
          </w:tcPr>
          <w:p w14:paraId="147AC65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126" w:type="dxa"/>
            <w:tcBorders>
              <w:top w:val="nil"/>
              <w:left w:val="nil"/>
              <w:bottom w:val="nil"/>
              <w:right w:val="nil"/>
              <w:tl2br w:val="nil"/>
              <w:tr2bl w:val="nil"/>
            </w:tcBorders>
            <w:tcMar>
              <w:left w:w="60" w:type="dxa"/>
              <w:right w:w="60" w:type="dxa"/>
            </w:tcMar>
            <w:vAlign w:val="center"/>
          </w:tcPr>
          <w:p w14:paraId="4518A96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02" w:type="dxa"/>
            <w:tcBorders>
              <w:top w:val="nil"/>
              <w:left w:val="nil"/>
              <w:bottom w:val="nil"/>
              <w:right w:val="nil"/>
              <w:tl2br w:val="nil"/>
              <w:tr2bl w:val="nil"/>
            </w:tcBorders>
            <w:tcMar>
              <w:left w:w="60" w:type="dxa"/>
              <w:right w:w="60" w:type="dxa"/>
            </w:tcMar>
            <w:vAlign w:val="center"/>
          </w:tcPr>
          <w:p w14:paraId="5E271F5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DEB424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655A4B3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99" w:type="dxa"/>
            <w:tcBorders>
              <w:top w:val="nil"/>
              <w:left w:val="nil"/>
              <w:bottom w:val="nil"/>
              <w:right w:val="nil"/>
              <w:tl2br w:val="nil"/>
              <w:tr2bl w:val="nil"/>
            </w:tcBorders>
            <w:tcMar>
              <w:left w:w="60" w:type="dxa"/>
              <w:right w:w="60" w:type="dxa"/>
            </w:tcMar>
            <w:vAlign w:val="center"/>
          </w:tcPr>
          <w:p w14:paraId="5403C03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48 %</w:t>
            </w:r>
          </w:p>
        </w:tc>
        <w:tc>
          <w:tcPr>
            <w:tcW w:w="105" w:type="dxa"/>
            <w:tcBorders>
              <w:top w:val="nil"/>
              <w:left w:val="nil"/>
              <w:bottom w:val="nil"/>
              <w:right w:val="nil"/>
              <w:tl2br w:val="nil"/>
              <w:tr2bl w:val="nil"/>
            </w:tcBorders>
            <w:tcMar>
              <w:left w:w="60" w:type="dxa"/>
              <w:right w:w="60" w:type="dxa"/>
            </w:tcMar>
            <w:vAlign w:val="center"/>
          </w:tcPr>
          <w:p w14:paraId="2EF1CBE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0D28598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14:paraId="5FFF462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14:paraId="5F32B276"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2" w:type="dxa"/>
            <w:tcBorders>
              <w:top w:val="nil"/>
              <w:left w:val="nil"/>
              <w:bottom w:val="nil"/>
              <w:right w:val="nil"/>
              <w:tl2br w:val="nil"/>
              <w:tr2bl w:val="nil"/>
            </w:tcBorders>
            <w:tcMar>
              <w:left w:w="60" w:type="dxa"/>
              <w:right w:w="60" w:type="dxa"/>
            </w:tcMar>
            <w:vAlign w:val="center"/>
          </w:tcPr>
          <w:p w14:paraId="36F53B79"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8F76C4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81" w:type="dxa"/>
            <w:tcBorders>
              <w:top w:val="nil"/>
              <w:left w:val="nil"/>
              <w:bottom w:val="nil"/>
              <w:right w:val="nil"/>
              <w:tl2br w:val="nil"/>
              <w:tr2bl w:val="nil"/>
            </w:tcBorders>
            <w:tcMar>
              <w:left w:w="60" w:type="dxa"/>
              <w:right w:w="60" w:type="dxa"/>
            </w:tcMar>
            <w:vAlign w:val="center"/>
          </w:tcPr>
          <w:p w14:paraId="4702633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w:t>
            </w:r>
          </w:p>
        </w:tc>
      </w:tr>
      <w:tr w:rsidR="00807FFE" w14:paraId="21A2C432"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5691B561"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2EE83A68"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Brexit Adjustment Reserve</w:t>
            </w:r>
          </w:p>
        </w:tc>
        <w:tc>
          <w:tcPr>
            <w:tcW w:w="960" w:type="dxa"/>
            <w:tcBorders>
              <w:top w:val="nil"/>
              <w:left w:val="nil"/>
              <w:bottom w:val="nil"/>
              <w:right w:val="nil"/>
              <w:tl2br w:val="nil"/>
              <w:tr2bl w:val="nil"/>
            </w:tcBorders>
            <w:tcMar>
              <w:left w:w="60" w:type="dxa"/>
              <w:right w:w="60" w:type="dxa"/>
            </w:tcMar>
            <w:vAlign w:val="center"/>
          </w:tcPr>
          <w:p w14:paraId="1E157E67"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126" w:type="dxa"/>
            <w:tcBorders>
              <w:top w:val="nil"/>
              <w:left w:val="nil"/>
              <w:bottom w:val="nil"/>
              <w:right w:val="nil"/>
              <w:tl2br w:val="nil"/>
              <w:tr2bl w:val="nil"/>
            </w:tcBorders>
            <w:tcMar>
              <w:left w:w="60" w:type="dxa"/>
              <w:right w:w="60" w:type="dxa"/>
            </w:tcMar>
            <w:vAlign w:val="center"/>
          </w:tcPr>
          <w:p w14:paraId="399EE7FF"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102" w:type="dxa"/>
            <w:tcBorders>
              <w:top w:val="nil"/>
              <w:left w:val="nil"/>
              <w:bottom w:val="nil"/>
              <w:right w:val="nil"/>
              <w:tl2br w:val="nil"/>
              <w:tr2bl w:val="nil"/>
            </w:tcBorders>
            <w:tcMar>
              <w:left w:w="60" w:type="dxa"/>
              <w:right w:w="60" w:type="dxa"/>
            </w:tcMar>
            <w:vAlign w:val="center"/>
          </w:tcPr>
          <w:p w14:paraId="2036EC6B"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61882F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14:paraId="2565EDA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99" w:type="dxa"/>
            <w:tcBorders>
              <w:top w:val="nil"/>
              <w:left w:val="nil"/>
              <w:bottom w:val="nil"/>
              <w:right w:val="nil"/>
              <w:tl2br w:val="nil"/>
              <w:tr2bl w:val="nil"/>
            </w:tcBorders>
            <w:tcMar>
              <w:left w:w="60" w:type="dxa"/>
              <w:right w:w="60" w:type="dxa"/>
            </w:tcMar>
            <w:vAlign w:val="center"/>
          </w:tcPr>
          <w:p w14:paraId="525A7C3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14:paraId="745C9A2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1F91D4C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14:paraId="389BD83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14:paraId="4DC18EBD"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14:paraId="158DD8A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14:paraId="7DBE53E3"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14:paraId="09A53304"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F352139" w14:textId="77777777">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14:paraId="7C4D7E4A"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14:paraId="43F2CBB4" w14:textId="77777777" w:rsidR="00807FFE" w:rsidRDefault="00023E71">
            <w:pPr>
              <w:pStyle w:val="DMETW36742BIPDetailedMFF2ImplementCommitments"/>
              <w:rPr>
                <w:rFonts w:ascii="Verdana" w:eastAsia="Verdana" w:hAnsi="Verdana" w:cs="Verdana"/>
                <w:noProof/>
                <w:color w:val="000000"/>
                <w:sz w:val="16"/>
              </w:rPr>
            </w:pPr>
            <w:r>
              <w:rPr>
                <w:rFonts w:ascii="Verdana" w:eastAsia="Verdana" w:hAnsi="Verdana" w:cs="Verdana"/>
                <w:noProof/>
                <w:color w:val="000000"/>
                <w:sz w:val="16"/>
              </w:rPr>
              <w:t>Total Heading S: Solidarity mechanisms within and outside the Union (Special instruments)</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547D84BE"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2 085</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6E5A4A6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755</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18E477E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0FD7CA55"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6479DF51"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1 065</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3279085C"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51 %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68427468"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997</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5878A27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26FD32D4"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998</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5A93BE10"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70EF5DDA"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29F05F92" w14:textId="77777777" w:rsidR="00807FFE" w:rsidRDefault="00023E71">
            <w:pPr>
              <w:pStyle w:val="DMETW36742BIPDetailedMFF2ImplementCommit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058F22C2" w14:textId="77777777" w:rsidR="00807FFE" w:rsidRDefault="00023E71">
            <w:pPr>
              <w:pStyle w:val="DMETW36742BIPDetailedMFF2Implement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w:t>
            </w:r>
          </w:p>
        </w:tc>
      </w:tr>
      <w:tr w:rsidR="00807FFE" w14:paraId="0835572F" w14:textId="77777777">
        <w:trPr>
          <w:trHeight w:val="255"/>
        </w:trPr>
        <w:tc>
          <w:tcPr>
            <w:tcW w:w="41" w:type="dxa"/>
            <w:tcBorders>
              <w:top w:val="nil"/>
              <w:left w:val="nil"/>
              <w:bottom w:val="nil"/>
              <w:right w:val="nil"/>
              <w:tl2br w:val="nil"/>
              <w:tr2bl w:val="nil"/>
            </w:tcBorders>
            <w:tcMar>
              <w:left w:w="60" w:type="dxa"/>
              <w:right w:w="60" w:type="dxa"/>
            </w:tcMar>
            <w:vAlign w:val="center"/>
          </w:tcPr>
          <w:p w14:paraId="1448831E" w14:textId="77777777" w:rsidR="00807FFE" w:rsidRDefault="00807FFE">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14:paraId="3CDACF98" w14:textId="77777777" w:rsidR="00807FFE" w:rsidRDefault="00807FFE">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14:paraId="315ACED0" w14:textId="77777777" w:rsidR="00807FFE" w:rsidRDefault="00807FFE">
            <w:pPr>
              <w:pStyle w:val="DMETW36742BIPDetailedMFF2ImplementCommitments"/>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14:paraId="03BCDE2E" w14:textId="77777777" w:rsidR="00807FFE" w:rsidRDefault="00807FFE">
            <w:pPr>
              <w:pStyle w:val="DMETW36742BIPDetailedMFF2ImplementCommitments"/>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14:paraId="7FA42B4D" w14:textId="77777777" w:rsidR="00807FFE" w:rsidRDefault="00807FFE">
            <w:pPr>
              <w:pStyle w:val="DMETW36742BIPDetailedMFF2ImplementCommitments"/>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581E29B3" w14:textId="77777777" w:rsidR="00807FFE" w:rsidRDefault="00807FFE">
            <w:pPr>
              <w:pStyle w:val="DMETW36742BIPDetailedMFF2ImplementCommitments"/>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14:paraId="18329444" w14:textId="77777777" w:rsidR="00807FFE" w:rsidRDefault="00807FFE">
            <w:pPr>
              <w:pStyle w:val="DMETW36742BIPDetailedMFF2ImplementCommitments"/>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14:paraId="676EBF2E" w14:textId="77777777" w:rsidR="00807FFE" w:rsidRDefault="00807FFE">
            <w:pPr>
              <w:pStyle w:val="DMETW36742BIPDetailedMFF2ImplementCommitments"/>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14:paraId="1EA936AF" w14:textId="77777777" w:rsidR="00807FFE" w:rsidRDefault="00807FFE">
            <w:pPr>
              <w:pStyle w:val="DMETW36742BIPDetailedMFF2ImplementCommitments"/>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5CA38B6C" w14:textId="77777777" w:rsidR="00807FFE" w:rsidRDefault="00807FFE">
            <w:pPr>
              <w:pStyle w:val="DMETW36742BIPDetailedMFF2ImplementCommitments"/>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14:paraId="0928A2C0" w14:textId="77777777" w:rsidR="00807FFE" w:rsidRDefault="00807FFE">
            <w:pPr>
              <w:pStyle w:val="DMETW36742BIPDetailedMFF2ImplementCommitments"/>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14:paraId="76F86488" w14:textId="77777777" w:rsidR="00807FFE" w:rsidRDefault="00807FFE">
            <w:pPr>
              <w:pStyle w:val="DMETW36742BIPDetailedMFF2ImplementCommitments"/>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14:paraId="3235ABDE" w14:textId="77777777" w:rsidR="00807FFE" w:rsidRDefault="00807FFE">
            <w:pPr>
              <w:pStyle w:val="DMETW36742BIPDetailedMFF2ImplementCommitments"/>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14:paraId="500F443B" w14:textId="77777777" w:rsidR="00807FFE" w:rsidRDefault="00807FFE">
            <w:pPr>
              <w:pStyle w:val="DMETW36742BIPDetailedMFF2ImplementCommitments"/>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14:paraId="74B96A71" w14:textId="77777777" w:rsidR="00807FFE" w:rsidRDefault="00807FFE">
            <w:pPr>
              <w:pStyle w:val="DMETW36742BIPDetailedMFF2ImplementCommitments"/>
              <w:rPr>
                <w:rFonts w:ascii="Verdana" w:eastAsia="Verdana" w:hAnsi="Verdana" w:cs="Verdana"/>
                <w:noProof/>
                <w:color w:val="000000"/>
                <w:sz w:val="16"/>
                <w:lang w:bidi="en-GB"/>
              </w:rPr>
            </w:pPr>
          </w:p>
        </w:tc>
      </w:tr>
      <w:tr w:rsidR="00807FFE" w14:paraId="1C64A683" w14:textId="77777777">
        <w:trPr>
          <w:trHeight w:val="255"/>
        </w:trPr>
        <w:tc>
          <w:tcPr>
            <w:tcW w:w="41" w:type="dxa"/>
            <w:tcBorders>
              <w:top w:val="nil"/>
              <w:left w:val="nil"/>
              <w:bottom w:val="nil"/>
              <w:right w:val="nil"/>
              <w:tl2br w:val="nil"/>
              <w:tr2bl w:val="nil"/>
            </w:tcBorders>
            <w:shd w:val="solid" w:color="CCE1EA" w:fill="FFFFFF"/>
            <w:tcMar>
              <w:left w:w="60" w:type="dxa"/>
              <w:right w:w="60" w:type="dxa"/>
            </w:tcMar>
            <w:vAlign w:val="center"/>
          </w:tcPr>
          <w:p w14:paraId="015E495F" w14:textId="77777777" w:rsidR="00807FFE" w:rsidRDefault="00807FFE">
            <w:pPr>
              <w:pStyle w:val="DMETW36742BIPDetailedMFF2ImplementCommitments"/>
              <w:rPr>
                <w:rFonts w:ascii="Verdana" w:eastAsia="Verdana" w:hAnsi="Verdana" w:cs="Verdana"/>
                <w:b/>
                <w:noProof/>
                <w:color w:val="000000"/>
                <w:sz w:val="16"/>
              </w:rPr>
            </w:pPr>
          </w:p>
        </w:tc>
        <w:tc>
          <w:tcPr>
            <w:tcW w:w="479" w:type="dxa"/>
            <w:tcBorders>
              <w:top w:val="nil"/>
              <w:left w:val="nil"/>
              <w:bottom w:val="nil"/>
              <w:right w:val="nil"/>
              <w:tl2br w:val="nil"/>
              <w:tr2bl w:val="nil"/>
            </w:tcBorders>
            <w:shd w:val="solid" w:color="CCE1EA" w:fill="FFFFFF"/>
            <w:tcMar>
              <w:left w:w="60" w:type="dxa"/>
              <w:right w:w="60" w:type="dxa"/>
            </w:tcMar>
            <w:vAlign w:val="center"/>
          </w:tcPr>
          <w:p w14:paraId="193163D5" w14:textId="77777777" w:rsidR="00807FFE" w:rsidRDefault="00023E71">
            <w:pPr>
              <w:pStyle w:val="DMETW36742BIPDetailedMFF2ImplementCommitments"/>
              <w:rPr>
                <w:rFonts w:ascii="Verdana" w:eastAsia="Verdana" w:hAnsi="Verdana" w:cs="Verdana"/>
                <w:b/>
                <w:noProof/>
                <w:color w:val="000000"/>
                <w:sz w:val="16"/>
              </w:rPr>
            </w:pPr>
            <w:r>
              <w:rPr>
                <w:rFonts w:ascii="Verdana" w:eastAsia="Verdana" w:hAnsi="Verdana" w:cs="Verdana"/>
                <w:b/>
                <w:noProof/>
                <w:color w:val="000000"/>
                <w:sz w:val="16"/>
              </w:rPr>
              <w:t>Sum:</w:t>
            </w:r>
          </w:p>
        </w:tc>
        <w:tc>
          <w:tcPr>
            <w:tcW w:w="960" w:type="dxa"/>
            <w:tcBorders>
              <w:top w:val="nil"/>
              <w:left w:val="nil"/>
              <w:bottom w:val="nil"/>
              <w:right w:val="nil"/>
              <w:tl2br w:val="nil"/>
              <w:tr2bl w:val="nil"/>
            </w:tcBorders>
            <w:shd w:val="solid" w:color="CCE1EA" w:fill="FFFFFF"/>
            <w:tcMar>
              <w:left w:w="60" w:type="dxa"/>
              <w:right w:w="60" w:type="dxa"/>
            </w:tcMar>
            <w:vAlign w:val="center"/>
          </w:tcPr>
          <w:p w14:paraId="16CF9D34"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228 104</w:t>
            </w:r>
          </w:p>
        </w:tc>
        <w:tc>
          <w:tcPr>
            <w:tcW w:w="126" w:type="dxa"/>
            <w:tcBorders>
              <w:top w:val="nil"/>
              <w:left w:val="nil"/>
              <w:bottom w:val="nil"/>
              <w:right w:val="nil"/>
              <w:tl2br w:val="nil"/>
              <w:tr2bl w:val="nil"/>
            </w:tcBorders>
            <w:shd w:val="solid" w:color="CCE1EA" w:fill="FFFFFF"/>
            <w:tcMar>
              <w:left w:w="60" w:type="dxa"/>
              <w:right w:w="60" w:type="dxa"/>
            </w:tcMar>
            <w:vAlign w:val="center"/>
          </w:tcPr>
          <w:p w14:paraId="35CE830F"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196 083</w:t>
            </w:r>
          </w:p>
        </w:tc>
        <w:tc>
          <w:tcPr>
            <w:tcW w:w="102" w:type="dxa"/>
            <w:tcBorders>
              <w:top w:val="nil"/>
              <w:left w:val="nil"/>
              <w:bottom w:val="nil"/>
              <w:right w:val="nil"/>
              <w:tl2br w:val="nil"/>
              <w:tr2bl w:val="nil"/>
            </w:tcBorders>
            <w:shd w:val="solid" w:color="CCE1EA" w:fill="FFFFFF"/>
            <w:tcMar>
              <w:left w:w="60" w:type="dxa"/>
              <w:right w:w="60" w:type="dxa"/>
            </w:tcMar>
            <w:vAlign w:val="center"/>
          </w:tcPr>
          <w:p w14:paraId="4E86AA42"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1 580</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1F3E7301"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14 454</w:t>
            </w:r>
          </w:p>
        </w:tc>
        <w:tc>
          <w:tcPr>
            <w:tcW w:w="125" w:type="dxa"/>
            <w:tcBorders>
              <w:top w:val="nil"/>
              <w:left w:val="nil"/>
              <w:bottom w:val="nil"/>
              <w:right w:val="nil"/>
              <w:tl2br w:val="nil"/>
              <w:tr2bl w:val="nil"/>
            </w:tcBorders>
            <w:shd w:val="solid" w:color="CCE1EA" w:fill="FFFFFF"/>
            <w:tcMar>
              <w:left w:w="60" w:type="dxa"/>
              <w:right w:w="60" w:type="dxa"/>
            </w:tcMar>
            <w:vAlign w:val="center"/>
          </w:tcPr>
          <w:p w14:paraId="39CEBCB7"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212 116</w:t>
            </w:r>
          </w:p>
        </w:tc>
        <w:tc>
          <w:tcPr>
            <w:tcW w:w="99" w:type="dxa"/>
            <w:tcBorders>
              <w:top w:val="nil"/>
              <w:left w:val="nil"/>
              <w:bottom w:val="nil"/>
              <w:right w:val="nil"/>
              <w:tl2br w:val="nil"/>
              <w:tr2bl w:val="nil"/>
            </w:tcBorders>
            <w:shd w:val="solid" w:color="CCE1EB" w:fill="FFFFFF"/>
            <w:tcMar>
              <w:left w:w="60" w:type="dxa"/>
              <w:right w:w="60" w:type="dxa"/>
            </w:tcMar>
            <w:vAlign w:val="center"/>
          </w:tcPr>
          <w:p w14:paraId="4B2A79AB"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93 %</w:t>
            </w:r>
          </w:p>
        </w:tc>
        <w:tc>
          <w:tcPr>
            <w:tcW w:w="105" w:type="dxa"/>
            <w:tcBorders>
              <w:top w:val="nil"/>
              <w:left w:val="nil"/>
              <w:bottom w:val="nil"/>
              <w:right w:val="nil"/>
              <w:tl2br w:val="nil"/>
              <w:tr2bl w:val="nil"/>
            </w:tcBorders>
            <w:shd w:val="solid" w:color="CCE1EA" w:fill="FFFFFF"/>
            <w:tcMar>
              <w:left w:w="60" w:type="dxa"/>
              <w:right w:w="60" w:type="dxa"/>
            </w:tcMar>
            <w:vAlign w:val="center"/>
          </w:tcPr>
          <w:p w14:paraId="378A7003"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2 133</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54F7E33A"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12 379</w:t>
            </w:r>
          </w:p>
        </w:tc>
        <w:tc>
          <w:tcPr>
            <w:tcW w:w="106" w:type="dxa"/>
            <w:tcBorders>
              <w:top w:val="nil"/>
              <w:left w:val="nil"/>
              <w:bottom w:val="nil"/>
              <w:right w:val="nil"/>
              <w:tl2br w:val="nil"/>
              <w:tr2bl w:val="nil"/>
            </w:tcBorders>
            <w:shd w:val="solid" w:color="CCE1EA" w:fill="FFFFFF"/>
            <w:tcMar>
              <w:left w:w="60" w:type="dxa"/>
              <w:right w:w="60" w:type="dxa"/>
            </w:tcMar>
            <w:vAlign w:val="center"/>
          </w:tcPr>
          <w:p w14:paraId="44D5147E"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14 512</w:t>
            </w:r>
          </w:p>
        </w:tc>
        <w:tc>
          <w:tcPr>
            <w:tcW w:w="92" w:type="dxa"/>
            <w:tcBorders>
              <w:top w:val="nil"/>
              <w:left w:val="nil"/>
              <w:bottom w:val="nil"/>
              <w:right w:val="nil"/>
              <w:tl2br w:val="nil"/>
              <w:tr2bl w:val="nil"/>
            </w:tcBorders>
            <w:shd w:val="solid" w:color="CCE1EA" w:fill="FFFFFF"/>
            <w:tcMar>
              <w:left w:w="60" w:type="dxa"/>
              <w:right w:w="60" w:type="dxa"/>
            </w:tcMar>
            <w:vAlign w:val="center"/>
          </w:tcPr>
          <w:p w14:paraId="3D7FF93E"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1 206</w:t>
            </w:r>
          </w:p>
        </w:tc>
        <w:tc>
          <w:tcPr>
            <w:tcW w:w="82" w:type="dxa"/>
            <w:tcBorders>
              <w:top w:val="nil"/>
              <w:left w:val="nil"/>
              <w:bottom w:val="nil"/>
              <w:right w:val="nil"/>
              <w:tl2br w:val="nil"/>
              <w:tr2bl w:val="nil"/>
            </w:tcBorders>
            <w:shd w:val="solid" w:color="CCE1EA" w:fill="FFFFFF"/>
            <w:tcMar>
              <w:left w:w="60" w:type="dxa"/>
              <w:right w:w="60" w:type="dxa"/>
            </w:tcMar>
            <w:vAlign w:val="center"/>
          </w:tcPr>
          <w:p w14:paraId="7189A6B2"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 xml:space="preserve"> 33</w:t>
            </w:r>
          </w:p>
        </w:tc>
        <w:tc>
          <w:tcPr>
            <w:tcW w:w="112" w:type="dxa"/>
            <w:tcBorders>
              <w:top w:val="nil"/>
              <w:left w:val="nil"/>
              <w:bottom w:val="nil"/>
              <w:right w:val="nil"/>
              <w:tl2br w:val="nil"/>
              <w:tr2bl w:val="nil"/>
            </w:tcBorders>
            <w:shd w:val="solid" w:color="CCE1EA" w:fill="FFFFFF"/>
            <w:tcMar>
              <w:left w:w="60" w:type="dxa"/>
              <w:right w:w="60" w:type="dxa"/>
            </w:tcMar>
            <w:vAlign w:val="center"/>
          </w:tcPr>
          <w:p w14:paraId="48CCFF70"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 xml:space="preserve"> 237</w:t>
            </w:r>
          </w:p>
        </w:tc>
        <w:tc>
          <w:tcPr>
            <w:tcW w:w="181" w:type="dxa"/>
            <w:tcBorders>
              <w:top w:val="nil"/>
              <w:left w:val="nil"/>
              <w:bottom w:val="nil"/>
              <w:right w:val="nil"/>
              <w:tl2br w:val="nil"/>
              <w:tr2bl w:val="nil"/>
            </w:tcBorders>
            <w:shd w:val="solid" w:color="CCE1EA" w:fill="FFFFFF"/>
            <w:tcMar>
              <w:left w:w="60" w:type="dxa"/>
              <w:right w:w="60" w:type="dxa"/>
            </w:tcMar>
            <w:vAlign w:val="center"/>
          </w:tcPr>
          <w:p w14:paraId="7B70406E" w14:textId="77777777" w:rsidR="00807FFE" w:rsidRDefault="00023E71">
            <w:pPr>
              <w:pStyle w:val="DMETW36742BIPDetailedMFF2ImplementCommitments"/>
              <w:jc w:val="right"/>
              <w:rPr>
                <w:rFonts w:ascii="Verdana" w:eastAsia="Verdana" w:hAnsi="Verdana" w:cs="Verdana"/>
                <w:b/>
                <w:noProof/>
                <w:color w:val="000000"/>
                <w:sz w:val="16"/>
              </w:rPr>
            </w:pPr>
            <w:r>
              <w:rPr>
                <w:rFonts w:ascii="Verdana" w:eastAsia="Verdana" w:hAnsi="Verdana" w:cs="Verdana"/>
                <w:b/>
                <w:noProof/>
                <w:color w:val="000000"/>
                <w:sz w:val="16"/>
              </w:rPr>
              <w:t>1 476</w:t>
            </w:r>
          </w:p>
        </w:tc>
      </w:tr>
    </w:tbl>
    <w:p w14:paraId="5C54AE74" w14:textId="77777777" w:rsidR="008C5342" w:rsidRPr="008903C1" w:rsidRDefault="00023E71" w:rsidP="00D45AE0">
      <w:pPr>
        <w:pStyle w:val="HEADER2PartBUDG"/>
        <w:pageBreakBefore/>
        <w:spacing w:before="0" w:after="240"/>
        <w:ind w:left="357" w:hanging="357"/>
        <w:rPr>
          <w:noProof/>
          <w:lang w:val="en-GB"/>
        </w:rPr>
      </w:pPr>
      <w:bookmarkStart w:id="309" w:name="_Toc232674397"/>
      <w:r w:rsidRPr="0071140A">
        <w:rPr>
          <w:noProof/>
          <w:lang w:val="en-GB"/>
        </w:rPr>
        <w:t>DETAILED MFF: IMPLEMENTATION OF PAYMENT APPROPRIATIONS</w:t>
      </w:r>
      <w:bookmarkEnd w:id="3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3006"/>
        <w:gridCol w:w="845"/>
        <w:gridCol w:w="954"/>
        <w:gridCol w:w="845"/>
        <w:gridCol w:w="845"/>
        <w:gridCol w:w="845"/>
        <w:gridCol w:w="845"/>
        <w:gridCol w:w="845"/>
        <w:gridCol w:w="845"/>
        <w:gridCol w:w="845"/>
        <w:gridCol w:w="845"/>
        <w:gridCol w:w="845"/>
        <w:gridCol w:w="845"/>
        <w:gridCol w:w="1093"/>
      </w:tblGrid>
      <w:tr w:rsidR="00807FFE" w14:paraId="530CD238" w14:textId="77777777" w:rsidTr="00881EF0">
        <w:trPr>
          <w:trHeight w:val="255"/>
          <w:tblHeader/>
        </w:trPr>
        <w:tc>
          <w:tcPr>
            <w:tcW w:w="14692" w:type="dxa"/>
            <w:gridSpan w:val="15"/>
            <w:tcBorders>
              <w:top w:val="nil"/>
              <w:left w:val="nil"/>
              <w:bottom w:val="nil"/>
              <w:right w:val="nil"/>
              <w:tl2br w:val="nil"/>
              <w:tr2bl w:val="nil"/>
            </w:tcBorders>
            <w:tcMar>
              <w:left w:w="60" w:type="dxa"/>
              <w:right w:w="60" w:type="dxa"/>
            </w:tcMar>
            <w:vAlign w:val="center"/>
          </w:tcPr>
          <w:p w14:paraId="3AC5D86E" w14:textId="77777777" w:rsidR="00807FFE" w:rsidRDefault="00023E71">
            <w:pPr>
              <w:pStyle w:val="DMETW36742BIPDetailedMFF3ImplementPayments"/>
              <w:jc w:val="right"/>
              <w:rPr>
                <w:rFonts w:ascii="Verdana" w:eastAsia="Verdana" w:hAnsi="Verdana" w:cs="Verdana"/>
                <w:i/>
                <w:noProof/>
                <w:color w:val="000000"/>
                <w:sz w:val="16"/>
                <w:lang w:bidi="en-GB"/>
              </w:rPr>
            </w:pPr>
            <w:bookmarkStart w:id="310" w:name="DOC_TBL00121_1_1"/>
            <w:bookmarkEnd w:id="310"/>
            <w:r>
              <w:rPr>
                <w:rFonts w:ascii="Verdana" w:eastAsia="Verdana" w:hAnsi="Verdana" w:cs="Verdana"/>
                <w:i/>
                <w:noProof/>
                <w:color w:val="000000"/>
                <w:sz w:val="16"/>
              </w:rPr>
              <w:t>EUR million</w:t>
            </w:r>
          </w:p>
        </w:tc>
      </w:tr>
      <w:tr w:rsidR="00807FFE" w14:paraId="6B9EB1E2" w14:textId="77777777" w:rsidTr="00881EF0">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14:paraId="2DE99B84" w14:textId="77777777" w:rsidR="00807FFE" w:rsidRDefault="00807FFE">
            <w:pPr>
              <w:pStyle w:val="DMETW36742BIPDetailedMFF3ImplementPayments"/>
              <w:rPr>
                <w:rFonts w:ascii="Verdana" w:eastAsia="Verdana" w:hAnsi="Verdana" w:cs="Verdana"/>
                <w:b/>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14:paraId="75FFE361" w14:textId="77777777" w:rsidR="00807FFE" w:rsidRDefault="00807FFE">
            <w:pPr>
              <w:pStyle w:val="DMETW36742BIPDetailedMFF3ImplementPayments"/>
              <w:rPr>
                <w:rFonts w:ascii="Verdana" w:eastAsia="Verdana" w:hAnsi="Verdana" w:cs="Verdana"/>
                <w:b/>
                <w:noProof/>
                <w:color w:val="FFFFFF"/>
                <w:sz w:val="16"/>
              </w:rPr>
            </w:pPr>
          </w:p>
        </w:tc>
        <w:tc>
          <w:tcPr>
            <w:tcW w:w="845" w:type="dxa"/>
            <w:vMerge w:val="restart"/>
            <w:tcBorders>
              <w:top w:val="nil"/>
              <w:left w:val="nil"/>
              <w:bottom w:val="nil"/>
              <w:right w:val="nil"/>
              <w:tl2br w:val="nil"/>
              <w:tr2bl w:val="nil"/>
            </w:tcBorders>
            <w:shd w:val="solid" w:color="016794" w:fill="FFFFFF"/>
            <w:tcMar>
              <w:left w:w="60" w:type="dxa"/>
              <w:right w:w="60" w:type="dxa"/>
            </w:tcMar>
            <w:vAlign w:val="center"/>
          </w:tcPr>
          <w:p w14:paraId="74C2E490" w14:textId="77777777" w:rsidR="00807FFE" w:rsidRDefault="00023E71">
            <w:pPr>
              <w:pStyle w:val="DMETW36742BIPDetailedMFF3ImplementPayments"/>
              <w:jc w:val="center"/>
              <w:rPr>
                <w:rFonts w:ascii="Verdana" w:eastAsia="Verdana" w:hAnsi="Verdana" w:cs="Verdana"/>
                <w:b/>
                <w:noProof/>
                <w:color w:val="FFFFFF"/>
                <w:sz w:val="16"/>
              </w:rPr>
            </w:pPr>
            <w:r>
              <w:rPr>
                <w:rFonts w:ascii="Verdana" w:eastAsia="Verdana" w:hAnsi="Verdana" w:cs="Verdana"/>
                <w:b/>
                <w:noProof/>
                <w:color w:val="FFFFFF"/>
                <w:sz w:val="16"/>
              </w:rPr>
              <w:t>Total appropr. available</w:t>
            </w:r>
          </w:p>
        </w:tc>
        <w:tc>
          <w:tcPr>
            <w:tcW w:w="4334" w:type="dxa"/>
            <w:gridSpan w:val="5"/>
            <w:tcBorders>
              <w:top w:val="nil"/>
              <w:left w:val="nil"/>
              <w:bottom w:val="nil"/>
              <w:right w:val="nil"/>
              <w:tl2br w:val="nil"/>
              <w:tr2bl w:val="nil"/>
            </w:tcBorders>
            <w:shd w:val="solid" w:color="016794" w:fill="FFFFFF"/>
            <w:tcMar>
              <w:left w:w="60" w:type="dxa"/>
              <w:right w:w="60" w:type="dxa"/>
            </w:tcMar>
            <w:vAlign w:val="center"/>
          </w:tcPr>
          <w:p w14:paraId="73C770E7" w14:textId="77777777" w:rsidR="00807FFE" w:rsidRDefault="00023E71">
            <w:pPr>
              <w:pStyle w:val="DMETW36742BIPDetailedMFF3ImplementPayments"/>
              <w:jc w:val="center"/>
              <w:rPr>
                <w:rFonts w:ascii="Verdana" w:eastAsia="Verdana" w:hAnsi="Verdana" w:cs="Verdana"/>
                <w:b/>
                <w:noProof/>
                <w:color w:val="FFFFFF"/>
                <w:sz w:val="16"/>
              </w:rPr>
            </w:pPr>
            <w:r>
              <w:rPr>
                <w:rFonts w:ascii="Verdana" w:eastAsia="Verdana" w:hAnsi="Verdana" w:cs="Verdana"/>
                <w:b/>
                <w:noProof/>
                <w:color w:val="FFFFFF"/>
                <w:sz w:val="16"/>
              </w:rPr>
              <w:t>Payments made</w:t>
            </w:r>
          </w:p>
        </w:tc>
        <w:tc>
          <w:tcPr>
            <w:tcW w:w="2535" w:type="dxa"/>
            <w:gridSpan w:val="3"/>
            <w:tcBorders>
              <w:top w:val="nil"/>
              <w:left w:val="nil"/>
              <w:bottom w:val="nil"/>
              <w:right w:val="nil"/>
              <w:tl2br w:val="nil"/>
              <w:tr2bl w:val="nil"/>
            </w:tcBorders>
            <w:shd w:val="solid" w:color="016794" w:fill="FFFFFF"/>
            <w:tcMar>
              <w:left w:w="60" w:type="dxa"/>
              <w:right w:w="60" w:type="dxa"/>
            </w:tcMar>
            <w:vAlign w:val="center"/>
          </w:tcPr>
          <w:p w14:paraId="45435337" w14:textId="77777777" w:rsidR="00807FFE" w:rsidRDefault="00023E71">
            <w:pPr>
              <w:pStyle w:val="DMETW36742BIPDetailedMFF3ImplementPayments"/>
              <w:jc w:val="center"/>
              <w:rPr>
                <w:rFonts w:ascii="Verdana" w:eastAsia="Verdana" w:hAnsi="Verdana" w:cs="Verdana"/>
                <w:b/>
                <w:noProof/>
                <w:color w:val="FFFFFF"/>
                <w:sz w:val="16"/>
              </w:rPr>
            </w:pPr>
            <w:r>
              <w:rPr>
                <w:rFonts w:ascii="Verdana" w:eastAsia="Verdana" w:hAnsi="Verdana" w:cs="Verdana"/>
                <w:b/>
                <w:noProof/>
                <w:color w:val="FFFFFF"/>
                <w:sz w:val="16"/>
              </w:rPr>
              <w:t>Appropriations carried over</w:t>
            </w:r>
          </w:p>
          <w:p w14:paraId="42DC4437" w14:textId="77777777" w:rsidR="00807FFE" w:rsidRDefault="00023E71">
            <w:pPr>
              <w:pStyle w:val="DMETW36742BIPDetailedMFF3ImplementPayments"/>
              <w:jc w:val="center"/>
              <w:rPr>
                <w:rFonts w:ascii="Verdana" w:eastAsia="Verdana" w:hAnsi="Verdana" w:cs="Verdana"/>
                <w:b/>
                <w:noProof/>
                <w:color w:val="FFFFFF"/>
                <w:sz w:val="16"/>
              </w:rPr>
            </w:pPr>
            <w:r>
              <w:rPr>
                <w:rFonts w:ascii="Verdana" w:eastAsia="Verdana" w:hAnsi="Verdana" w:cs="Verdana"/>
                <w:b/>
                <w:noProof/>
                <w:color w:val="FFFFFF"/>
                <w:sz w:val="16"/>
              </w:rPr>
              <w:t>to 2026</w:t>
            </w:r>
          </w:p>
        </w:tc>
        <w:tc>
          <w:tcPr>
            <w:tcW w:w="3628" w:type="dxa"/>
            <w:gridSpan w:val="4"/>
            <w:tcBorders>
              <w:top w:val="nil"/>
              <w:left w:val="nil"/>
              <w:bottom w:val="nil"/>
              <w:right w:val="nil"/>
              <w:tl2br w:val="nil"/>
              <w:tr2bl w:val="nil"/>
            </w:tcBorders>
            <w:shd w:val="solid" w:color="016794" w:fill="FFFFFF"/>
            <w:tcMar>
              <w:left w:w="60" w:type="dxa"/>
              <w:right w:w="60" w:type="dxa"/>
            </w:tcMar>
            <w:vAlign w:val="center"/>
          </w:tcPr>
          <w:p w14:paraId="1731C6A7" w14:textId="77777777" w:rsidR="00807FFE" w:rsidRDefault="00023E71">
            <w:pPr>
              <w:pStyle w:val="DMETW36742BIPDetailedMFF3ImplementPayments"/>
              <w:jc w:val="center"/>
              <w:rPr>
                <w:rFonts w:ascii="Verdana" w:eastAsia="Verdana" w:hAnsi="Verdana" w:cs="Verdana"/>
                <w:b/>
                <w:noProof/>
                <w:color w:val="FFFFFF"/>
                <w:sz w:val="16"/>
                <w:lang w:bidi="en-GB"/>
              </w:rPr>
            </w:pPr>
            <w:r>
              <w:rPr>
                <w:rFonts w:ascii="Verdana" w:eastAsia="Verdana" w:hAnsi="Verdana" w:cs="Verdana"/>
                <w:b/>
                <w:noProof/>
                <w:color w:val="FFFFFF"/>
                <w:sz w:val="16"/>
              </w:rPr>
              <w:t>Appropriations lapsing</w:t>
            </w:r>
          </w:p>
        </w:tc>
      </w:tr>
      <w:tr w:rsidR="00807FFE" w14:paraId="776FFD9E" w14:textId="77777777" w:rsidTr="00881EF0">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14:paraId="421B144D" w14:textId="77777777" w:rsidR="00807FFE" w:rsidRDefault="00807FFE">
            <w:pPr>
              <w:pStyle w:val="DMETW36742BIPDetailedMFF3ImplementPayments"/>
              <w:jc w:val="center"/>
              <w:rPr>
                <w:rFonts w:ascii="Verdana" w:eastAsia="Verdana" w:hAnsi="Verdana" w:cs="Verdana"/>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14:paraId="23E6A8B6" w14:textId="77777777" w:rsidR="00807FFE" w:rsidRDefault="00023E71">
            <w:pPr>
              <w:pStyle w:val="DMETW36742BIPDetailedMFF3ImplementPayments"/>
              <w:jc w:val="center"/>
              <w:rPr>
                <w:rFonts w:ascii="Verdana" w:eastAsia="Verdana" w:hAnsi="Verdana" w:cs="Verdana"/>
                <w:b/>
                <w:noProof/>
                <w:color w:val="FFFFFF"/>
                <w:sz w:val="16"/>
              </w:rPr>
            </w:pPr>
            <w:r>
              <w:rPr>
                <w:rFonts w:ascii="Verdana" w:eastAsia="Verdana" w:hAnsi="Verdana" w:cs="Verdana"/>
                <w:b/>
                <w:noProof/>
                <w:color w:val="FFFFFF"/>
                <w:sz w:val="16"/>
              </w:rPr>
              <w:t>MFF Heading</w:t>
            </w:r>
          </w:p>
        </w:tc>
        <w:tc>
          <w:tcPr>
            <w:tcW w:w="845" w:type="dxa"/>
            <w:vMerge/>
            <w:tcBorders>
              <w:top w:val="nil"/>
              <w:left w:val="nil"/>
              <w:bottom w:val="nil"/>
              <w:right w:val="nil"/>
              <w:tl2br w:val="nil"/>
              <w:tr2bl w:val="nil"/>
            </w:tcBorders>
            <w:shd w:val="solid" w:color="016794" w:fill="FFFFFF"/>
            <w:tcMar>
              <w:left w:w="60" w:type="dxa"/>
              <w:right w:w="60" w:type="dxa"/>
            </w:tcMar>
            <w:vAlign w:val="center"/>
          </w:tcPr>
          <w:p w14:paraId="62E326AE" w14:textId="77777777" w:rsidR="00807FFE" w:rsidRDefault="00807FFE">
            <w:pPr>
              <w:pStyle w:val="DMETW36742BIPDetailedMFF3ImplementPayments"/>
              <w:jc w:val="center"/>
              <w:rPr>
                <w:rFonts w:ascii="Verdana" w:eastAsia="Verdana" w:hAnsi="Verdana" w:cs="Verdana"/>
                <w:b/>
                <w:noProof/>
                <w:color w:val="FFFFFF"/>
                <w:sz w:val="16"/>
              </w:rPr>
            </w:pPr>
          </w:p>
        </w:tc>
        <w:tc>
          <w:tcPr>
            <w:tcW w:w="954" w:type="dxa"/>
            <w:tcBorders>
              <w:top w:val="nil"/>
              <w:left w:val="nil"/>
              <w:bottom w:val="nil"/>
              <w:right w:val="nil"/>
              <w:tl2br w:val="nil"/>
              <w:tr2bl w:val="nil"/>
            </w:tcBorders>
            <w:shd w:val="solid" w:color="3487A9" w:fill="FFFFFF"/>
            <w:tcMar>
              <w:left w:w="60" w:type="dxa"/>
              <w:right w:w="60" w:type="dxa"/>
            </w:tcMar>
            <w:vAlign w:val="center"/>
          </w:tcPr>
          <w:p w14:paraId="3F4FD5E0"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74CCC518"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from carry-overs</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6EB217F0"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414D3385"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49BE4D5B"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24AA864F"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3CEF4DE8"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438C8284"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0077D581"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10465749"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from carry-overs</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758F3F71"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1093" w:type="dxa"/>
            <w:tcBorders>
              <w:top w:val="nil"/>
              <w:left w:val="nil"/>
              <w:bottom w:val="nil"/>
              <w:right w:val="nil"/>
              <w:tl2br w:val="nil"/>
              <w:tr2bl w:val="nil"/>
            </w:tcBorders>
            <w:shd w:val="solid" w:color="3487A9" w:fill="FFFFFF"/>
            <w:tcMar>
              <w:left w:w="60" w:type="dxa"/>
              <w:right w:w="60" w:type="dxa"/>
            </w:tcMar>
            <w:vAlign w:val="center"/>
          </w:tcPr>
          <w:p w14:paraId="1381D90A" w14:textId="77777777" w:rsidR="00807FFE" w:rsidRDefault="00023E71">
            <w:pPr>
              <w:pStyle w:val="DMETW36742BIPDetailedMFF3ImplementPayments"/>
              <w:jc w:val="center"/>
              <w:rPr>
                <w:rFonts w:ascii="Verdana" w:eastAsia="Verdana" w:hAnsi="Verdana" w:cs="Verdana"/>
                <w:noProof/>
                <w:color w:val="FFFFFF"/>
                <w:sz w:val="16"/>
                <w:lang w:bidi="en-GB"/>
              </w:rPr>
            </w:pPr>
            <w:r>
              <w:rPr>
                <w:rFonts w:ascii="Verdana" w:eastAsia="Verdana" w:hAnsi="Verdana" w:cs="Verdana"/>
                <w:noProof/>
                <w:color w:val="FFFFFF"/>
                <w:sz w:val="16"/>
              </w:rPr>
              <w:t>Total</w:t>
            </w:r>
          </w:p>
        </w:tc>
      </w:tr>
      <w:tr w:rsidR="00807FFE" w14:paraId="4C0C976F" w14:textId="77777777">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1E617DF4" w14:textId="77777777" w:rsidR="00807FFE" w:rsidRDefault="00807FFE">
            <w:pPr>
              <w:pStyle w:val="DMETW36742BIPDetailedMFF3ImplementPayments"/>
              <w:jc w:val="center"/>
              <w:rPr>
                <w:rFonts w:ascii="Verdana" w:eastAsia="Verdana" w:hAnsi="Verdana" w:cs="Verdana"/>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14:paraId="1D29AE51" w14:textId="77777777" w:rsidR="00807FFE" w:rsidRDefault="00807FFE">
            <w:pPr>
              <w:pStyle w:val="DMETW36742BIPDetailedMFF3ImplementPayments"/>
              <w:jc w:val="center"/>
              <w:rPr>
                <w:rFonts w:ascii="Verdana" w:eastAsia="Verdana" w:hAnsi="Verdana" w:cs="Verdana"/>
                <w:noProof/>
                <w:color w:val="FFFFFF"/>
                <w:sz w:val="16"/>
              </w:rPr>
            </w:pP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63112780"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954" w:type="dxa"/>
            <w:tcBorders>
              <w:top w:val="nil"/>
              <w:left w:val="nil"/>
              <w:bottom w:val="nil"/>
              <w:right w:val="nil"/>
              <w:tl2br w:val="nil"/>
              <w:tr2bl w:val="nil"/>
            </w:tcBorders>
            <w:shd w:val="solid" w:color="3487A9" w:fill="FFFFFF"/>
            <w:tcMar>
              <w:left w:w="60" w:type="dxa"/>
              <w:right w:w="60" w:type="dxa"/>
            </w:tcMar>
            <w:vAlign w:val="center"/>
          </w:tcPr>
          <w:p w14:paraId="24253DAE"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43BC106E"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3</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20CF2C19"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46DB7048"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5=2+3+4</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6B6F52A5"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6=5/1</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28C271A3"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7</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468E510F"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8</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5CC873EE"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9=7+8</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1114563E"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10</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543D47C3"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11</w:t>
            </w:r>
          </w:p>
        </w:tc>
        <w:tc>
          <w:tcPr>
            <w:tcW w:w="845" w:type="dxa"/>
            <w:tcBorders>
              <w:top w:val="nil"/>
              <w:left w:val="nil"/>
              <w:bottom w:val="nil"/>
              <w:right w:val="nil"/>
              <w:tl2br w:val="nil"/>
              <w:tr2bl w:val="nil"/>
            </w:tcBorders>
            <w:shd w:val="solid" w:color="3487A9" w:fill="FFFFFF"/>
            <w:tcMar>
              <w:left w:w="60" w:type="dxa"/>
              <w:right w:w="60" w:type="dxa"/>
            </w:tcMar>
            <w:vAlign w:val="center"/>
          </w:tcPr>
          <w:p w14:paraId="4DF6E95E" w14:textId="77777777" w:rsidR="00807FFE" w:rsidRDefault="00023E71">
            <w:pPr>
              <w:pStyle w:val="DMETW36742BIPDetailedMFF3ImplementPayments"/>
              <w:jc w:val="center"/>
              <w:rPr>
                <w:rFonts w:ascii="Verdana" w:eastAsia="Verdana" w:hAnsi="Verdana" w:cs="Verdana"/>
                <w:noProof/>
                <w:color w:val="FFFFFF"/>
                <w:sz w:val="16"/>
              </w:rPr>
            </w:pPr>
            <w:r>
              <w:rPr>
                <w:rFonts w:ascii="Verdana" w:eastAsia="Verdana" w:hAnsi="Verdana" w:cs="Verdana"/>
                <w:noProof/>
                <w:color w:val="FFFFFF"/>
                <w:sz w:val="16"/>
              </w:rPr>
              <w:t>12</w:t>
            </w:r>
          </w:p>
        </w:tc>
        <w:tc>
          <w:tcPr>
            <w:tcW w:w="1093" w:type="dxa"/>
            <w:tcBorders>
              <w:top w:val="nil"/>
              <w:left w:val="nil"/>
              <w:bottom w:val="nil"/>
              <w:right w:val="nil"/>
              <w:tl2br w:val="nil"/>
              <w:tr2bl w:val="nil"/>
            </w:tcBorders>
            <w:shd w:val="solid" w:color="3487A9" w:fill="FFFFFF"/>
            <w:tcMar>
              <w:left w:w="60" w:type="dxa"/>
              <w:right w:w="60" w:type="dxa"/>
            </w:tcMar>
            <w:vAlign w:val="center"/>
          </w:tcPr>
          <w:p w14:paraId="146399B6" w14:textId="77777777" w:rsidR="00807FFE" w:rsidRDefault="00023E71">
            <w:pPr>
              <w:pStyle w:val="DMETW36742BIPDetailedMFF3ImplementPayments"/>
              <w:jc w:val="center"/>
              <w:rPr>
                <w:rFonts w:ascii="Verdana" w:eastAsia="Verdana" w:hAnsi="Verdana" w:cs="Verdana"/>
                <w:noProof/>
                <w:color w:val="FFFFFF"/>
                <w:sz w:val="16"/>
                <w:lang w:bidi="en-GB"/>
              </w:rPr>
            </w:pPr>
            <w:r>
              <w:rPr>
                <w:rFonts w:ascii="Verdana" w:eastAsia="Verdana" w:hAnsi="Verdana" w:cs="Verdana"/>
                <w:noProof/>
                <w:color w:val="FFFFFF"/>
                <w:sz w:val="16"/>
              </w:rPr>
              <w:t>13=10+11+12</w:t>
            </w:r>
          </w:p>
        </w:tc>
      </w:tr>
      <w:tr w:rsidR="00807FFE" w14:paraId="6FADE2A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A1A5FA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1</w:t>
            </w:r>
          </w:p>
        </w:tc>
        <w:tc>
          <w:tcPr>
            <w:tcW w:w="3006" w:type="dxa"/>
            <w:tcBorders>
              <w:top w:val="nil"/>
              <w:left w:val="nil"/>
              <w:bottom w:val="nil"/>
              <w:right w:val="nil"/>
              <w:tl2br w:val="nil"/>
              <w:tr2bl w:val="nil"/>
            </w:tcBorders>
            <w:tcMar>
              <w:left w:w="60" w:type="dxa"/>
              <w:right w:w="60" w:type="dxa"/>
            </w:tcMar>
            <w:vAlign w:val="center"/>
          </w:tcPr>
          <w:p w14:paraId="00D3895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Horizon Europe</w:t>
            </w:r>
          </w:p>
        </w:tc>
        <w:tc>
          <w:tcPr>
            <w:tcW w:w="845" w:type="dxa"/>
            <w:tcBorders>
              <w:top w:val="nil"/>
              <w:left w:val="nil"/>
              <w:bottom w:val="nil"/>
              <w:right w:val="nil"/>
              <w:tl2br w:val="nil"/>
              <w:tr2bl w:val="nil"/>
            </w:tcBorders>
            <w:tcMar>
              <w:left w:w="60" w:type="dxa"/>
              <w:right w:w="60" w:type="dxa"/>
            </w:tcMar>
            <w:vAlign w:val="center"/>
          </w:tcPr>
          <w:p w14:paraId="4E47BC7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21 125</w:t>
            </w:r>
          </w:p>
        </w:tc>
        <w:tc>
          <w:tcPr>
            <w:tcW w:w="954" w:type="dxa"/>
            <w:tcBorders>
              <w:top w:val="nil"/>
              <w:left w:val="nil"/>
              <w:bottom w:val="nil"/>
              <w:right w:val="nil"/>
              <w:tl2br w:val="nil"/>
              <w:tr2bl w:val="nil"/>
            </w:tcBorders>
            <w:tcMar>
              <w:left w:w="60" w:type="dxa"/>
              <w:right w:w="60" w:type="dxa"/>
            </w:tcMar>
            <w:vAlign w:val="center"/>
          </w:tcPr>
          <w:p w14:paraId="3117265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11 056</w:t>
            </w:r>
          </w:p>
        </w:tc>
        <w:tc>
          <w:tcPr>
            <w:tcW w:w="845" w:type="dxa"/>
            <w:tcBorders>
              <w:top w:val="nil"/>
              <w:left w:val="nil"/>
              <w:bottom w:val="nil"/>
              <w:right w:val="nil"/>
              <w:tl2br w:val="nil"/>
              <w:tr2bl w:val="nil"/>
            </w:tcBorders>
            <w:tcMar>
              <w:left w:w="60" w:type="dxa"/>
              <w:right w:w="60" w:type="dxa"/>
            </w:tcMar>
            <w:vAlign w:val="center"/>
          </w:tcPr>
          <w:p w14:paraId="60267A2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14:paraId="3F28D3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1 994</w:t>
            </w:r>
          </w:p>
        </w:tc>
        <w:tc>
          <w:tcPr>
            <w:tcW w:w="845" w:type="dxa"/>
            <w:tcBorders>
              <w:top w:val="nil"/>
              <w:left w:val="nil"/>
              <w:bottom w:val="nil"/>
              <w:right w:val="nil"/>
              <w:tl2br w:val="nil"/>
              <w:tr2bl w:val="nil"/>
            </w:tcBorders>
            <w:tcMar>
              <w:left w:w="60" w:type="dxa"/>
              <w:right w:w="60" w:type="dxa"/>
            </w:tcMar>
            <w:vAlign w:val="center"/>
          </w:tcPr>
          <w:p w14:paraId="1C47C6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13 111</w:t>
            </w:r>
          </w:p>
        </w:tc>
        <w:tc>
          <w:tcPr>
            <w:tcW w:w="845" w:type="dxa"/>
            <w:tcBorders>
              <w:top w:val="nil"/>
              <w:left w:val="nil"/>
              <w:bottom w:val="nil"/>
              <w:right w:val="nil"/>
              <w:tl2br w:val="nil"/>
              <w:tr2bl w:val="nil"/>
            </w:tcBorders>
            <w:tcMar>
              <w:left w:w="60" w:type="dxa"/>
              <w:right w:w="60" w:type="dxa"/>
            </w:tcMar>
            <w:vAlign w:val="center"/>
          </w:tcPr>
          <w:p w14:paraId="08868D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62 %</w:t>
            </w:r>
          </w:p>
        </w:tc>
        <w:tc>
          <w:tcPr>
            <w:tcW w:w="845" w:type="dxa"/>
            <w:tcBorders>
              <w:top w:val="nil"/>
              <w:left w:val="nil"/>
              <w:bottom w:val="nil"/>
              <w:right w:val="nil"/>
              <w:tl2br w:val="nil"/>
              <w:tr2bl w:val="nil"/>
            </w:tcBorders>
            <w:tcMar>
              <w:left w:w="60" w:type="dxa"/>
              <w:right w:w="60" w:type="dxa"/>
            </w:tcMar>
            <w:vAlign w:val="center"/>
          </w:tcPr>
          <w:p w14:paraId="2CE32C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14:paraId="222D12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7 941</w:t>
            </w:r>
          </w:p>
        </w:tc>
        <w:tc>
          <w:tcPr>
            <w:tcW w:w="845" w:type="dxa"/>
            <w:tcBorders>
              <w:top w:val="nil"/>
              <w:left w:val="nil"/>
              <w:bottom w:val="nil"/>
              <w:right w:val="nil"/>
              <w:tl2br w:val="nil"/>
              <w:tr2bl w:val="nil"/>
            </w:tcBorders>
            <w:tcMar>
              <w:left w:w="60" w:type="dxa"/>
              <w:right w:w="60" w:type="dxa"/>
            </w:tcMar>
            <w:vAlign w:val="center"/>
          </w:tcPr>
          <w:p w14:paraId="362F0A6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7 999</w:t>
            </w:r>
          </w:p>
        </w:tc>
        <w:tc>
          <w:tcPr>
            <w:tcW w:w="845" w:type="dxa"/>
            <w:tcBorders>
              <w:top w:val="nil"/>
              <w:left w:val="nil"/>
              <w:bottom w:val="nil"/>
              <w:right w:val="nil"/>
              <w:tl2br w:val="nil"/>
              <w:tr2bl w:val="nil"/>
            </w:tcBorders>
            <w:tcMar>
              <w:left w:w="60" w:type="dxa"/>
              <w:right w:w="60" w:type="dxa"/>
            </w:tcMar>
            <w:vAlign w:val="center"/>
          </w:tcPr>
          <w:p w14:paraId="45AE688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4EEC165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5221327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5E9AB20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w:t>
            </w:r>
          </w:p>
        </w:tc>
      </w:tr>
      <w:tr w:rsidR="00807FFE" w14:paraId="159D2D0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CDE295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1E5D43C"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Euratom Research and Training Programme</w:t>
            </w:r>
          </w:p>
        </w:tc>
        <w:tc>
          <w:tcPr>
            <w:tcW w:w="845" w:type="dxa"/>
            <w:tcBorders>
              <w:top w:val="nil"/>
              <w:left w:val="nil"/>
              <w:bottom w:val="nil"/>
              <w:right w:val="nil"/>
              <w:tl2br w:val="nil"/>
              <w:tr2bl w:val="nil"/>
            </w:tcBorders>
            <w:tcMar>
              <w:left w:w="60" w:type="dxa"/>
              <w:right w:w="60" w:type="dxa"/>
            </w:tcMar>
            <w:vAlign w:val="center"/>
          </w:tcPr>
          <w:p w14:paraId="190C00F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414</w:t>
            </w:r>
          </w:p>
        </w:tc>
        <w:tc>
          <w:tcPr>
            <w:tcW w:w="954" w:type="dxa"/>
            <w:tcBorders>
              <w:top w:val="nil"/>
              <w:left w:val="nil"/>
              <w:bottom w:val="nil"/>
              <w:right w:val="nil"/>
              <w:tl2br w:val="nil"/>
              <w:tr2bl w:val="nil"/>
            </w:tcBorders>
            <w:tcMar>
              <w:left w:w="60" w:type="dxa"/>
              <w:right w:w="60" w:type="dxa"/>
            </w:tcMar>
            <w:vAlign w:val="center"/>
          </w:tcPr>
          <w:p w14:paraId="7C8D4D8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245</w:t>
            </w:r>
          </w:p>
        </w:tc>
        <w:tc>
          <w:tcPr>
            <w:tcW w:w="845" w:type="dxa"/>
            <w:tcBorders>
              <w:top w:val="nil"/>
              <w:left w:val="nil"/>
              <w:bottom w:val="nil"/>
              <w:right w:val="nil"/>
              <w:tl2br w:val="nil"/>
              <w:tr2bl w:val="nil"/>
            </w:tcBorders>
            <w:tcMar>
              <w:left w:w="60" w:type="dxa"/>
              <w:right w:w="60" w:type="dxa"/>
            </w:tcMar>
            <w:vAlign w:val="center"/>
          </w:tcPr>
          <w:p w14:paraId="53E534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1B134C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14:paraId="4E7079B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277</w:t>
            </w:r>
          </w:p>
        </w:tc>
        <w:tc>
          <w:tcPr>
            <w:tcW w:w="845" w:type="dxa"/>
            <w:tcBorders>
              <w:top w:val="nil"/>
              <w:left w:val="nil"/>
              <w:bottom w:val="nil"/>
              <w:right w:val="nil"/>
              <w:tl2br w:val="nil"/>
              <w:tr2bl w:val="nil"/>
            </w:tcBorders>
            <w:tcMar>
              <w:left w:w="60" w:type="dxa"/>
              <w:right w:w="60" w:type="dxa"/>
            </w:tcMar>
            <w:vAlign w:val="center"/>
          </w:tcPr>
          <w:p w14:paraId="4BFAFDA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67 %</w:t>
            </w:r>
          </w:p>
        </w:tc>
        <w:tc>
          <w:tcPr>
            <w:tcW w:w="845" w:type="dxa"/>
            <w:tcBorders>
              <w:top w:val="nil"/>
              <w:left w:val="nil"/>
              <w:bottom w:val="nil"/>
              <w:right w:val="nil"/>
              <w:tl2br w:val="nil"/>
              <w:tr2bl w:val="nil"/>
            </w:tcBorders>
            <w:tcMar>
              <w:left w:w="60" w:type="dxa"/>
              <w:right w:w="60" w:type="dxa"/>
            </w:tcMar>
            <w:vAlign w:val="center"/>
          </w:tcPr>
          <w:p w14:paraId="76E2FAF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14:paraId="7CC3A2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120</w:t>
            </w:r>
          </w:p>
        </w:tc>
        <w:tc>
          <w:tcPr>
            <w:tcW w:w="845" w:type="dxa"/>
            <w:tcBorders>
              <w:top w:val="nil"/>
              <w:left w:val="nil"/>
              <w:bottom w:val="nil"/>
              <w:right w:val="nil"/>
              <w:tl2br w:val="nil"/>
              <w:tr2bl w:val="nil"/>
            </w:tcBorders>
            <w:tcMar>
              <w:left w:w="60" w:type="dxa"/>
              <w:right w:w="60" w:type="dxa"/>
            </w:tcMar>
            <w:vAlign w:val="center"/>
          </w:tcPr>
          <w:p w14:paraId="7843224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135</w:t>
            </w:r>
          </w:p>
        </w:tc>
        <w:tc>
          <w:tcPr>
            <w:tcW w:w="845" w:type="dxa"/>
            <w:tcBorders>
              <w:top w:val="nil"/>
              <w:left w:val="nil"/>
              <w:bottom w:val="nil"/>
              <w:right w:val="nil"/>
              <w:tl2br w:val="nil"/>
              <w:tr2bl w:val="nil"/>
            </w:tcBorders>
            <w:tcMar>
              <w:left w:w="60" w:type="dxa"/>
              <w:right w:w="60" w:type="dxa"/>
            </w:tcMar>
            <w:vAlign w:val="center"/>
          </w:tcPr>
          <w:p w14:paraId="4285E5C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5CC55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2AE81DE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5CF1D2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4086D9F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9D5BF5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81B0763"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International Thermonuclear Experimental Reactor (ITER)</w:t>
            </w:r>
          </w:p>
        </w:tc>
        <w:tc>
          <w:tcPr>
            <w:tcW w:w="845" w:type="dxa"/>
            <w:tcBorders>
              <w:top w:val="nil"/>
              <w:left w:val="nil"/>
              <w:bottom w:val="nil"/>
              <w:right w:val="nil"/>
              <w:tl2br w:val="nil"/>
              <w:tr2bl w:val="nil"/>
            </w:tcBorders>
            <w:tcMar>
              <w:left w:w="60" w:type="dxa"/>
              <w:right w:w="60" w:type="dxa"/>
            </w:tcMar>
            <w:vAlign w:val="center"/>
          </w:tcPr>
          <w:p w14:paraId="2FF728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647</w:t>
            </w:r>
          </w:p>
        </w:tc>
        <w:tc>
          <w:tcPr>
            <w:tcW w:w="954" w:type="dxa"/>
            <w:tcBorders>
              <w:top w:val="nil"/>
              <w:left w:val="nil"/>
              <w:bottom w:val="nil"/>
              <w:right w:val="nil"/>
              <w:tl2br w:val="nil"/>
              <w:tr2bl w:val="nil"/>
            </w:tcBorders>
            <w:tcMar>
              <w:left w:w="60" w:type="dxa"/>
              <w:right w:w="60" w:type="dxa"/>
            </w:tcMar>
            <w:vAlign w:val="center"/>
          </w:tcPr>
          <w:p w14:paraId="37C922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641</w:t>
            </w:r>
          </w:p>
        </w:tc>
        <w:tc>
          <w:tcPr>
            <w:tcW w:w="845" w:type="dxa"/>
            <w:tcBorders>
              <w:top w:val="nil"/>
              <w:left w:val="nil"/>
              <w:bottom w:val="nil"/>
              <w:right w:val="nil"/>
              <w:tl2br w:val="nil"/>
              <w:tr2bl w:val="nil"/>
            </w:tcBorders>
            <w:tcMar>
              <w:left w:w="60" w:type="dxa"/>
              <w:right w:w="60" w:type="dxa"/>
            </w:tcMar>
            <w:vAlign w:val="center"/>
          </w:tcPr>
          <w:p w14:paraId="3A4A65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335FE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5981E0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643</w:t>
            </w:r>
          </w:p>
        </w:tc>
        <w:tc>
          <w:tcPr>
            <w:tcW w:w="845" w:type="dxa"/>
            <w:tcBorders>
              <w:top w:val="nil"/>
              <w:left w:val="nil"/>
              <w:bottom w:val="nil"/>
              <w:right w:val="nil"/>
              <w:tl2br w:val="nil"/>
              <w:tr2bl w:val="nil"/>
            </w:tcBorders>
            <w:tcMar>
              <w:left w:w="60" w:type="dxa"/>
              <w:right w:w="60" w:type="dxa"/>
            </w:tcMar>
            <w:vAlign w:val="center"/>
          </w:tcPr>
          <w:p w14:paraId="6693571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3D817FC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C0EB38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4B0A26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5F74AC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A0707C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AC2D3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F44769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6D49145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063F74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611200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845" w:type="dxa"/>
            <w:tcBorders>
              <w:top w:val="nil"/>
              <w:left w:val="nil"/>
              <w:bottom w:val="nil"/>
              <w:right w:val="nil"/>
              <w:tl2br w:val="nil"/>
              <w:tr2bl w:val="nil"/>
            </w:tcBorders>
            <w:tcMar>
              <w:left w:w="60" w:type="dxa"/>
              <w:right w:w="60" w:type="dxa"/>
            </w:tcMar>
            <w:vAlign w:val="center"/>
          </w:tcPr>
          <w:p w14:paraId="3A0674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413</w:t>
            </w:r>
          </w:p>
        </w:tc>
        <w:tc>
          <w:tcPr>
            <w:tcW w:w="954" w:type="dxa"/>
            <w:tcBorders>
              <w:top w:val="nil"/>
              <w:left w:val="nil"/>
              <w:bottom w:val="nil"/>
              <w:right w:val="nil"/>
              <w:tl2br w:val="nil"/>
              <w:tr2bl w:val="nil"/>
            </w:tcBorders>
            <w:tcMar>
              <w:left w:w="60" w:type="dxa"/>
              <w:right w:w="60" w:type="dxa"/>
            </w:tcMar>
            <w:vAlign w:val="center"/>
          </w:tcPr>
          <w:p w14:paraId="24BD8D8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6EB9F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84F1C1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108</w:t>
            </w:r>
          </w:p>
        </w:tc>
        <w:tc>
          <w:tcPr>
            <w:tcW w:w="845" w:type="dxa"/>
            <w:tcBorders>
              <w:top w:val="nil"/>
              <w:left w:val="nil"/>
              <w:bottom w:val="nil"/>
              <w:right w:val="nil"/>
              <w:tl2br w:val="nil"/>
              <w:tr2bl w:val="nil"/>
            </w:tcBorders>
            <w:tcMar>
              <w:left w:w="60" w:type="dxa"/>
              <w:right w:w="60" w:type="dxa"/>
            </w:tcMar>
            <w:vAlign w:val="center"/>
          </w:tcPr>
          <w:p w14:paraId="3DF496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108</w:t>
            </w:r>
          </w:p>
        </w:tc>
        <w:tc>
          <w:tcPr>
            <w:tcW w:w="845" w:type="dxa"/>
            <w:tcBorders>
              <w:top w:val="nil"/>
              <w:left w:val="nil"/>
              <w:bottom w:val="nil"/>
              <w:right w:val="nil"/>
              <w:tl2br w:val="nil"/>
              <w:tr2bl w:val="nil"/>
            </w:tcBorders>
            <w:tcMar>
              <w:left w:w="60" w:type="dxa"/>
              <w:right w:w="60" w:type="dxa"/>
            </w:tcMar>
            <w:vAlign w:val="center"/>
          </w:tcPr>
          <w:p w14:paraId="6B392D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26 %</w:t>
            </w:r>
          </w:p>
        </w:tc>
        <w:tc>
          <w:tcPr>
            <w:tcW w:w="845" w:type="dxa"/>
            <w:tcBorders>
              <w:top w:val="nil"/>
              <w:left w:val="nil"/>
              <w:bottom w:val="nil"/>
              <w:right w:val="nil"/>
              <w:tl2br w:val="nil"/>
              <w:tr2bl w:val="nil"/>
            </w:tcBorders>
            <w:tcMar>
              <w:left w:w="60" w:type="dxa"/>
              <w:right w:w="60" w:type="dxa"/>
            </w:tcMar>
            <w:vAlign w:val="center"/>
          </w:tcPr>
          <w:p w14:paraId="0B9823A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69D618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305</w:t>
            </w:r>
          </w:p>
        </w:tc>
        <w:tc>
          <w:tcPr>
            <w:tcW w:w="845" w:type="dxa"/>
            <w:tcBorders>
              <w:top w:val="nil"/>
              <w:left w:val="nil"/>
              <w:bottom w:val="nil"/>
              <w:right w:val="nil"/>
              <w:tl2br w:val="nil"/>
              <w:tr2bl w:val="nil"/>
            </w:tcBorders>
            <w:tcMar>
              <w:left w:w="60" w:type="dxa"/>
              <w:right w:w="60" w:type="dxa"/>
            </w:tcMar>
            <w:vAlign w:val="center"/>
          </w:tcPr>
          <w:p w14:paraId="3EB2CB3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305</w:t>
            </w:r>
          </w:p>
        </w:tc>
        <w:tc>
          <w:tcPr>
            <w:tcW w:w="845" w:type="dxa"/>
            <w:tcBorders>
              <w:top w:val="nil"/>
              <w:left w:val="nil"/>
              <w:bottom w:val="nil"/>
              <w:right w:val="nil"/>
              <w:tl2br w:val="nil"/>
              <w:tr2bl w:val="nil"/>
            </w:tcBorders>
            <w:tcMar>
              <w:left w:w="60" w:type="dxa"/>
              <w:right w:w="60" w:type="dxa"/>
            </w:tcMar>
            <w:vAlign w:val="center"/>
          </w:tcPr>
          <w:p w14:paraId="6C2BA5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16C63C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63D68A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4CE44C1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E3930B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79ED1C2"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2E1CC2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7B60E0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954" w:type="dxa"/>
            <w:tcBorders>
              <w:top w:val="nil"/>
              <w:left w:val="nil"/>
              <w:bottom w:val="nil"/>
              <w:right w:val="nil"/>
              <w:tl2br w:val="nil"/>
              <w:tr2bl w:val="nil"/>
            </w:tcBorders>
            <w:tcMar>
              <w:left w:w="60" w:type="dxa"/>
              <w:right w:w="60" w:type="dxa"/>
            </w:tcMar>
            <w:vAlign w:val="center"/>
          </w:tcPr>
          <w:p w14:paraId="4E9F2D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4BA99E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5351F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2100B5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5C9046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845" w:type="dxa"/>
            <w:tcBorders>
              <w:top w:val="nil"/>
              <w:left w:val="nil"/>
              <w:bottom w:val="nil"/>
              <w:right w:val="nil"/>
              <w:tl2br w:val="nil"/>
              <w:tr2bl w:val="nil"/>
            </w:tcBorders>
            <w:tcMar>
              <w:left w:w="60" w:type="dxa"/>
              <w:right w:w="60" w:type="dxa"/>
            </w:tcMar>
            <w:vAlign w:val="center"/>
          </w:tcPr>
          <w:p w14:paraId="25E0F4F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2220E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FA0B5B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367CB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0062D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7F9D2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161EFF6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1BAFCC3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30D938B"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AE20753"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InvestEU Fund</w:t>
            </w:r>
          </w:p>
        </w:tc>
        <w:tc>
          <w:tcPr>
            <w:tcW w:w="845" w:type="dxa"/>
            <w:tcBorders>
              <w:top w:val="nil"/>
              <w:left w:val="nil"/>
              <w:bottom w:val="nil"/>
              <w:right w:val="nil"/>
              <w:tl2br w:val="nil"/>
              <w:tr2bl w:val="nil"/>
            </w:tcBorders>
            <w:tcMar>
              <w:left w:w="60" w:type="dxa"/>
              <w:right w:w="60" w:type="dxa"/>
            </w:tcMar>
            <w:vAlign w:val="center"/>
          </w:tcPr>
          <w:p w14:paraId="3C3FCE1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2 493</w:t>
            </w:r>
          </w:p>
        </w:tc>
        <w:tc>
          <w:tcPr>
            <w:tcW w:w="954" w:type="dxa"/>
            <w:tcBorders>
              <w:top w:val="nil"/>
              <w:left w:val="nil"/>
              <w:bottom w:val="nil"/>
              <w:right w:val="nil"/>
              <w:tl2br w:val="nil"/>
              <w:tr2bl w:val="nil"/>
            </w:tcBorders>
            <w:tcMar>
              <w:left w:w="60" w:type="dxa"/>
              <w:right w:w="60" w:type="dxa"/>
            </w:tcMar>
            <w:vAlign w:val="center"/>
          </w:tcPr>
          <w:p w14:paraId="76D271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500</w:t>
            </w:r>
          </w:p>
        </w:tc>
        <w:tc>
          <w:tcPr>
            <w:tcW w:w="845" w:type="dxa"/>
            <w:tcBorders>
              <w:top w:val="nil"/>
              <w:left w:val="nil"/>
              <w:bottom w:val="nil"/>
              <w:right w:val="nil"/>
              <w:tl2br w:val="nil"/>
              <w:tr2bl w:val="nil"/>
            </w:tcBorders>
            <w:tcMar>
              <w:left w:w="60" w:type="dxa"/>
              <w:right w:w="60" w:type="dxa"/>
            </w:tcMar>
            <w:vAlign w:val="center"/>
          </w:tcPr>
          <w:p w14:paraId="0266405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7C001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1 895</w:t>
            </w:r>
          </w:p>
        </w:tc>
        <w:tc>
          <w:tcPr>
            <w:tcW w:w="845" w:type="dxa"/>
            <w:tcBorders>
              <w:top w:val="nil"/>
              <w:left w:val="nil"/>
              <w:bottom w:val="nil"/>
              <w:right w:val="nil"/>
              <w:tl2br w:val="nil"/>
              <w:tr2bl w:val="nil"/>
            </w:tcBorders>
            <w:tcMar>
              <w:left w:w="60" w:type="dxa"/>
              <w:right w:w="60" w:type="dxa"/>
            </w:tcMar>
            <w:vAlign w:val="center"/>
          </w:tcPr>
          <w:p w14:paraId="0C18DDF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2 397</w:t>
            </w:r>
          </w:p>
        </w:tc>
        <w:tc>
          <w:tcPr>
            <w:tcW w:w="845" w:type="dxa"/>
            <w:tcBorders>
              <w:top w:val="nil"/>
              <w:left w:val="nil"/>
              <w:bottom w:val="nil"/>
              <w:right w:val="nil"/>
              <w:tl2br w:val="nil"/>
              <w:tr2bl w:val="nil"/>
            </w:tcBorders>
            <w:tcMar>
              <w:left w:w="60" w:type="dxa"/>
              <w:right w:w="60" w:type="dxa"/>
            </w:tcMar>
            <w:vAlign w:val="center"/>
          </w:tcPr>
          <w:p w14:paraId="310921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96 %</w:t>
            </w:r>
          </w:p>
        </w:tc>
        <w:tc>
          <w:tcPr>
            <w:tcW w:w="845" w:type="dxa"/>
            <w:tcBorders>
              <w:top w:val="nil"/>
              <w:left w:val="nil"/>
              <w:bottom w:val="nil"/>
              <w:right w:val="nil"/>
              <w:tl2br w:val="nil"/>
              <w:tr2bl w:val="nil"/>
            </w:tcBorders>
            <w:tcMar>
              <w:left w:w="60" w:type="dxa"/>
              <w:right w:w="60" w:type="dxa"/>
            </w:tcMar>
            <w:vAlign w:val="center"/>
          </w:tcPr>
          <w:p w14:paraId="465CEF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7656B71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96</w:t>
            </w:r>
          </w:p>
        </w:tc>
        <w:tc>
          <w:tcPr>
            <w:tcW w:w="845" w:type="dxa"/>
            <w:tcBorders>
              <w:top w:val="nil"/>
              <w:left w:val="nil"/>
              <w:bottom w:val="nil"/>
              <w:right w:val="nil"/>
              <w:tl2br w:val="nil"/>
              <w:tr2bl w:val="nil"/>
            </w:tcBorders>
            <w:tcMar>
              <w:left w:w="60" w:type="dxa"/>
              <w:right w:w="60" w:type="dxa"/>
            </w:tcMar>
            <w:vAlign w:val="center"/>
          </w:tcPr>
          <w:p w14:paraId="77BBE3E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w:t>
            </w:r>
          </w:p>
        </w:tc>
        <w:tc>
          <w:tcPr>
            <w:tcW w:w="845" w:type="dxa"/>
            <w:tcBorders>
              <w:top w:val="nil"/>
              <w:left w:val="nil"/>
              <w:bottom w:val="nil"/>
              <w:right w:val="nil"/>
              <w:tl2br w:val="nil"/>
              <w:tr2bl w:val="nil"/>
            </w:tcBorders>
            <w:tcMar>
              <w:left w:w="60" w:type="dxa"/>
              <w:right w:w="60" w:type="dxa"/>
            </w:tcMar>
            <w:vAlign w:val="center"/>
          </w:tcPr>
          <w:p w14:paraId="7E23AF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A0F8D9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1B7FB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0A4888A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95F1B2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23AE88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8F7BD0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Connecting Europe Facility (CEF) - Transport</w:t>
            </w:r>
          </w:p>
        </w:tc>
        <w:tc>
          <w:tcPr>
            <w:tcW w:w="845" w:type="dxa"/>
            <w:tcBorders>
              <w:top w:val="nil"/>
              <w:left w:val="nil"/>
              <w:bottom w:val="nil"/>
              <w:right w:val="nil"/>
              <w:tl2br w:val="nil"/>
              <w:tr2bl w:val="nil"/>
            </w:tcBorders>
            <w:tcMar>
              <w:left w:w="60" w:type="dxa"/>
              <w:right w:w="60" w:type="dxa"/>
            </w:tcMar>
            <w:vAlign w:val="center"/>
          </w:tcPr>
          <w:p w14:paraId="031C85D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2 445</w:t>
            </w:r>
          </w:p>
        </w:tc>
        <w:tc>
          <w:tcPr>
            <w:tcW w:w="954" w:type="dxa"/>
            <w:tcBorders>
              <w:top w:val="nil"/>
              <w:left w:val="nil"/>
              <w:bottom w:val="nil"/>
              <w:right w:val="nil"/>
              <w:tl2br w:val="nil"/>
              <w:tr2bl w:val="nil"/>
            </w:tcBorders>
            <w:tcMar>
              <w:left w:w="60" w:type="dxa"/>
              <w:right w:w="60" w:type="dxa"/>
            </w:tcMar>
            <w:vAlign w:val="center"/>
          </w:tcPr>
          <w:p w14:paraId="7846AAE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2 394</w:t>
            </w:r>
          </w:p>
        </w:tc>
        <w:tc>
          <w:tcPr>
            <w:tcW w:w="845" w:type="dxa"/>
            <w:tcBorders>
              <w:top w:val="nil"/>
              <w:left w:val="nil"/>
              <w:bottom w:val="nil"/>
              <w:right w:val="nil"/>
              <w:tl2br w:val="nil"/>
              <w:tr2bl w:val="nil"/>
            </w:tcBorders>
            <w:tcMar>
              <w:left w:w="60" w:type="dxa"/>
              <w:right w:w="60" w:type="dxa"/>
            </w:tcMar>
            <w:vAlign w:val="center"/>
          </w:tcPr>
          <w:p w14:paraId="4A17ED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2F41A7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14:paraId="39A9208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2 413</w:t>
            </w:r>
          </w:p>
        </w:tc>
        <w:tc>
          <w:tcPr>
            <w:tcW w:w="845" w:type="dxa"/>
            <w:tcBorders>
              <w:top w:val="nil"/>
              <w:left w:val="nil"/>
              <w:bottom w:val="nil"/>
              <w:right w:val="nil"/>
              <w:tl2br w:val="nil"/>
              <w:tr2bl w:val="nil"/>
            </w:tcBorders>
            <w:tcMar>
              <w:left w:w="60" w:type="dxa"/>
              <w:right w:w="60" w:type="dxa"/>
            </w:tcMar>
            <w:vAlign w:val="center"/>
          </w:tcPr>
          <w:p w14:paraId="2850A8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3956E34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5559F42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14:paraId="76F97D4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14:paraId="5C48BE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DC9B1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DB0089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15473F96"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5CA8CE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0A1BA2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77038B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Connecting Europe Facility (CEF) - Energy</w:t>
            </w:r>
          </w:p>
        </w:tc>
        <w:tc>
          <w:tcPr>
            <w:tcW w:w="845" w:type="dxa"/>
            <w:tcBorders>
              <w:top w:val="nil"/>
              <w:left w:val="nil"/>
              <w:bottom w:val="nil"/>
              <w:right w:val="nil"/>
              <w:tl2br w:val="nil"/>
              <w:tr2bl w:val="nil"/>
            </w:tcBorders>
            <w:tcMar>
              <w:left w:w="60" w:type="dxa"/>
              <w:right w:w="60" w:type="dxa"/>
            </w:tcMar>
            <w:vAlign w:val="center"/>
          </w:tcPr>
          <w:p w14:paraId="073CEC0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804</w:t>
            </w:r>
          </w:p>
        </w:tc>
        <w:tc>
          <w:tcPr>
            <w:tcW w:w="954" w:type="dxa"/>
            <w:tcBorders>
              <w:top w:val="nil"/>
              <w:left w:val="nil"/>
              <w:bottom w:val="nil"/>
              <w:right w:val="nil"/>
              <w:tl2br w:val="nil"/>
              <w:tr2bl w:val="nil"/>
            </w:tcBorders>
            <w:tcMar>
              <w:left w:w="60" w:type="dxa"/>
              <w:right w:w="60" w:type="dxa"/>
            </w:tcMar>
            <w:vAlign w:val="center"/>
          </w:tcPr>
          <w:p w14:paraId="473766D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732</w:t>
            </w:r>
          </w:p>
        </w:tc>
        <w:tc>
          <w:tcPr>
            <w:tcW w:w="845" w:type="dxa"/>
            <w:tcBorders>
              <w:top w:val="nil"/>
              <w:left w:val="nil"/>
              <w:bottom w:val="nil"/>
              <w:right w:val="nil"/>
              <w:tl2br w:val="nil"/>
              <w:tr2bl w:val="nil"/>
            </w:tcBorders>
            <w:tcMar>
              <w:left w:w="60" w:type="dxa"/>
              <w:right w:w="60" w:type="dxa"/>
            </w:tcMar>
            <w:vAlign w:val="center"/>
          </w:tcPr>
          <w:p w14:paraId="3370221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FD88EB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61E8E6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736</w:t>
            </w:r>
          </w:p>
        </w:tc>
        <w:tc>
          <w:tcPr>
            <w:tcW w:w="845" w:type="dxa"/>
            <w:tcBorders>
              <w:top w:val="nil"/>
              <w:left w:val="nil"/>
              <w:bottom w:val="nil"/>
              <w:right w:val="nil"/>
              <w:tl2br w:val="nil"/>
              <w:tr2bl w:val="nil"/>
            </w:tcBorders>
            <w:tcMar>
              <w:left w:w="60" w:type="dxa"/>
              <w:right w:w="60" w:type="dxa"/>
            </w:tcMar>
            <w:vAlign w:val="center"/>
          </w:tcPr>
          <w:p w14:paraId="3ED87C6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92 %</w:t>
            </w:r>
          </w:p>
        </w:tc>
        <w:tc>
          <w:tcPr>
            <w:tcW w:w="845" w:type="dxa"/>
            <w:tcBorders>
              <w:top w:val="nil"/>
              <w:left w:val="nil"/>
              <w:bottom w:val="nil"/>
              <w:right w:val="nil"/>
              <w:tl2br w:val="nil"/>
              <w:tr2bl w:val="nil"/>
            </w:tcBorders>
            <w:tcMar>
              <w:left w:w="60" w:type="dxa"/>
              <w:right w:w="60" w:type="dxa"/>
            </w:tcMar>
            <w:vAlign w:val="center"/>
          </w:tcPr>
          <w:p w14:paraId="122A5A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DF132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14:paraId="293B0B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14:paraId="593FCA4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F40D33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4F4171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32677B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EE21F2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68C5E52"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20B58E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Connecting Europe Facility (CEF) - Digital</w:t>
            </w:r>
          </w:p>
        </w:tc>
        <w:tc>
          <w:tcPr>
            <w:tcW w:w="845" w:type="dxa"/>
            <w:tcBorders>
              <w:top w:val="nil"/>
              <w:left w:val="nil"/>
              <w:bottom w:val="nil"/>
              <w:right w:val="nil"/>
              <w:tl2br w:val="nil"/>
              <w:tr2bl w:val="nil"/>
            </w:tcBorders>
            <w:tcMar>
              <w:left w:w="60" w:type="dxa"/>
              <w:right w:w="60" w:type="dxa"/>
            </w:tcMar>
            <w:vAlign w:val="center"/>
          </w:tcPr>
          <w:p w14:paraId="585EDC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177</w:t>
            </w:r>
          </w:p>
        </w:tc>
        <w:tc>
          <w:tcPr>
            <w:tcW w:w="954" w:type="dxa"/>
            <w:tcBorders>
              <w:top w:val="nil"/>
              <w:left w:val="nil"/>
              <w:bottom w:val="nil"/>
              <w:right w:val="nil"/>
              <w:tl2br w:val="nil"/>
              <w:tr2bl w:val="nil"/>
            </w:tcBorders>
            <w:tcMar>
              <w:left w:w="60" w:type="dxa"/>
              <w:right w:w="60" w:type="dxa"/>
            </w:tcMar>
            <w:vAlign w:val="center"/>
          </w:tcPr>
          <w:p w14:paraId="4A489AF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173</w:t>
            </w:r>
          </w:p>
        </w:tc>
        <w:tc>
          <w:tcPr>
            <w:tcW w:w="845" w:type="dxa"/>
            <w:tcBorders>
              <w:top w:val="nil"/>
              <w:left w:val="nil"/>
              <w:bottom w:val="nil"/>
              <w:right w:val="nil"/>
              <w:tl2br w:val="nil"/>
              <w:tr2bl w:val="nil"/>
            </w:tcBorders>
            <w:tcMar>
              <w:left w:w="60" w:type="dxa"/>
              <w:right w:w="60" w:type="dxa"/>
            </w:tcMar>
            <w:vAlign w:val="center"/>
          </w:tcPr>
          <w:p w14:paraId="5E6E5D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AF6D16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79CCAB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175</w:t>
            </w:r>
          </w:p>
        </w:tc>
        <w:tc>
          <w:tcPr>
            <w:tcW w:w="845" w:type="dxa"/>
            <w:tcBorders>
              <w:top w:val="nil"/>
              <w:left w:val="nil"/>
              <w:bottom w:val="nil"/>
              <w:right w:val="nil"/>
              <w:tl2br w:val="nil"/>
              <w:tr2bl w:val="nil"/>
            </w:tcBorders>
            <w:tcMar>
              <w:left w:w="60" w:type="dxa"/>
              <w:right w:w="60" w:type="dxa"/>
            </w:tcMar>
            <w:vAlign w:val="center"/>
          </w:tcPr>
          <w:p w14:paraId="3BEE287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3A93B30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F46E94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E713B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8F78E5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C1BFED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90D2F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09EA5C43"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DDC7B1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3D2DAF6"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B26F28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Digital Europe Programme</w:t>
            </w:r>
          </w:p>
        </w:tc>
        <w:tc>
          <w:tcPr>
            <w:tcW w:w="845" w:type="dxa"/>
            <w:tcBorders>
              <w:top w:val="nil"/>
              <w:left w:val="nil"/>
              <w:bottom w:val="nil"/>
              <w:right w:val="nil"/>
              <w:tl2br w:val="nil"/>
              <w:tr2bl w:val="nil"/>
            </w:tcBorders>
            <w:tcMar>
              <w:left w:w="60" w:type="dxa"/>
              <w:right w:w="60" w:type="dxa"/>
            </w:tcMar>
            <w:vAlign w:val="center"/>
          </w:tcPr>
          <w:p w14:paraId="7031D7E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1 154</w:t>
            </w:r>
          </w:p>
        </w:tc>
        <w:tc>
          <w:tcPr>
            <w:tcW w:w="954" w:type="dxa"/>
            <w:tcBorders>
              <w:top w:val="nil"/>
              <w:left w:val="nil"/>
              <w:bottom w:val="nil"/>
              <w:right w:val="nil"/>
              <w:tl2br w:val="nil"/>
              <w:tr2bl w:val="nil"/>
            </w:tcBorders>
            <w:tcMar>
              <w:left w:w="60" w:type="dxa"/>
              <w:right w:w="60" w:type="dxa"/>
            </w:tcMar>
            <w:vAlign w:val="center"/>
          </w:tcPr>
          <w:p w14:paraId="433412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1 043</w:t>
            </w:r>
          </w:p>
        </w:tc>
        <w:tc>
          <w:tcPr>
            <w:tcW w:w="845" w:type="dxa"/>
            <w:tcBorders>
              <w:top w:val="nil"/>
              <w:left w:val="nil"/>
              <w:bottom w:val="nil"/>
              <w:right w:val="nil"/>
              <w:tl2br w:val="nil"/>
              <w:tr2bl w:val="nil"/>
            </w:tcBorders>
            <w:tcMar>
              <w:left w:w="60" w:type="dxa"/>
              <w:right w:w="60" w:type="dxa"/>
            </w:tcMar>
            <w:vAlign w:val="center"/>
          </w:tcPr>
          <w:p w14:paraId="3FC70A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14:paraId="51F837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45" w:type="dxa"/>
            <w:tcBorders>
              <w:top w:val="nil"/>
              <w:left w:val="nil"/>
              <w:bottom w:val="nil"/>
              <w:right w:val="nil"/>
              <w:tl2br w:val="nil"/>
              <w:tr2bl w:val="nil"/>
            </w:tcBorders>
            <w:tcMar>
              <w:left w:w="60" w:type="dxa"/>
              <w:right w:w="60" w:type="dxa"/>
            </w:tcMar>
            <w:vAlign w:val="center"/>
          </w:tcPr>
          <w:p w14:paraId="3A7999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1 083</w:t>
            </w:r>
          </w:p>
        </w:tc>
        <w:tc>
          <w:tcPr>
            <w:tcW w:w="845" w:type="dxa"/>
            <w:tcBorders>
              <w:top w:val="nil"/>
              <w:left w:val="nil"/>
              <w:bottom w:val="nil"/>
              <w:right w:val="nil"/>
              <w:tl2br w:val="nil"/>
              <w:tr2bl w:val="nil"/>
            </w:tcBorders>
            <w:tcMar>
              <w:left w:w="60" w:type="dxa"/>
              <w:right w:w="60" w:type="dxa"/>
            </w:tcMar>
            <w:vAlign w:val="center"/>
          </w:tcPr>
          <w:p w14:paraId="65FD41C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14:paraId="3FD143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5A1AB8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14:paraId="4E2876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845" w:type="dxa"/>
            <w:tcBorders>
              <w:top w:val="nil"/>
              <w:left w:val="nil"/>
              <w:bottom w:val="nil"/>
              <w:right w:val="nil"/>
              <w:tl2br w:val="nil"/>
              <w:tr2bl w:val="nil"/>
            </w:tcBorders>
            <w:tcMar>
              <w:left w:w="60" w:type="dxa"/>
              <w:right w:w="60" w:type="dxa"/>
            </w:tcMar>
            <w:vAlign w:val="center"/>
          </w:tcPr>
          <w:p w14:paraId="015D0A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95F702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D5E4A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75594C99"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39245E7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E6B4F1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5C6EE1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7BA7D68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240</w:t>
            </w:r>
          </w:p>
        </w:tc>
        <w:tc>
          <w:tcPr>
            <w:tcW w:w="954" w:type="dxa"/>
            <w:tcBorders>
              <w:top w:val="nil"/>
              <w:left w:val="nil"/>
              <w:bottom w:val="nil"/>
              <w:right w:val="nil"/>
              <w:tl2br w:val="nil"/>
              <w:tr2bl w:val="nil"/>
            </w:tcBorders>
            <w:tcMar>
              <w:left w:w="60" w:type="dxa"/>
              <w:right w:w="60" w:type="dxa"/>
            </w:tcMar>
            <w:vAlign w:val="center"/>
          </w:tcPr>
          <w:p w14:paraId="70DE80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230</w:t>
            </w:r>
          </w:p>
        </w:tc>
        <w:tc>
          <w:tcPr>
            <w:tcW w:w="845" w:type="dxa"/>
            <w:tcBorders>
              <w:top w:val="nil"/>
              <w:left w:val="nil"/>
              <w:bottom w:val="nil"/>
              <w:right w:val="nil"/>
              <w:tl2br w:val="nil"/>
              <w:tr2bl w:val="nil"/>
            </w:tcBorders>
            <w:tcMar>
              <w:left w:w="60" w:type="dxa"/>
              <w:right w:w="60" w:type="dxa"/>
            </w:tcMar>
            <w:vAlign w:val="center"/>
          </w:tcPr>
          <w:p w14:paraId="22F70E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AE3A8D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0AD069C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237</w:t>
            </w:r>
          </w:p>
        </w:tc>
        <w:tc>
          <w:tcPr>
            <w:tcW w:w="845" w:type="dxa"/>
            <w:tcBorders>
              <w:top w:val="nil"/>
              <w:left w:val="nil"/>
              <w:bottom w:val="nil"/>
              <w:right w:val="nil"/>
              <w:tl2br w:val="nil"/>
              <w:tr2bl w:val="nil"/>
            </w:tcBorders>
            <w:tcMar>
              <w:left w:w="60" w:type="dxa"/>
              <w:right w:w="60" w:type="dxa"/>
            </w:tcMar>
            <w:vAlign w:val="center"/>
          </w:tcPr>
          <w:p w14:paraId="78773A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111120F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92940C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1EA6BE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7DE714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515262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7659C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503C6CB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7EE80C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348998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335AC0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845" w:type="dxa"/>
            <w:tcBorders>
              <w:top w:val="nil"/>
              <w:left w:val="nil"/>
              <w:bottom w:val="nil"/>
              <w:right w:val="nil"/>
              <w:tl2br w:val="nil"/>
              <w:tr2bl w:val="nil"/>
            </w:tcBorders>
            <w:tcMar>
              <w:left w:w="60" w:type="dxa"/>
              <w:right w:w="60" w:type="dxa"/>
            </w:tcMar>
            <w:vAlign w:val="center"/>
          </w:tcPr>
          <w:p w14:paraId="4D154A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227</w:t>
            </w:r>
          </w:p>
        </w:tc>
        <w:tc>
          <w:tcPr>
            <w:tcW w:w="954" w:type="dxa"/>
            <w:tcBorders>
              <w:top w:val="nil"/>
              <w:left w:val="nil"/>
              <w:bottom w:val="nil"/>
              <w:right w:val="nil"/>
              <w:tl2br w:val="nil"/>
              <w:tr2bl w:val="nil"/>
            </w:tcBorders>
            <w:tcMar>
              <w:left w:w="60" w:type="dxa"/>
              <w:right w:w="60" w:type="dxa"/>
            </w:tcMar>
            <w:vAlign w:val="center"/>
          </w:tcPr>
          <w:p w14:paraId="44E863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247AE0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2ECA80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14:paraId="3BF7BC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14:paraId="29FC340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14 %</w:t>
            </w:r>
          </w:p>
        </w:tc>
        <w:tc>
          <w:tcPr>
            <w:tcW w:w="845" w:type="dxa"/>
            <w:tcBorders>
              <w:top w:val="nil"/>
              <w:left w:val="nil"/>
              <w:bottom w:val="nil"/>
              <w:right w:val="nil"/>
              <w:tl2br w:val="nil"/>
              <w:tr2bl w:val="nil"/>
            </w:tcBorders>
            <w:tcMar>
              <w:left w:w="60" w:type="dxa"/>
              <w:right w:w="60" w:type="dxa"/>
            </w:tcMar>
            <w:vAlign w:val="center"/>
          </w:tcPr>
          <w:p w14:paraId="4B6453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2E3108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845" w:type="dxa"/>
            <w:tcBorders>
              <w:top w:val="nil"/>
              <w:left w:val="nil"/>
              <w:bottom w:val="nil"/>
              <w:right w:val="nil"/>
              <w:tl2br w:val="nil"/>
              <w:tr2bl w:val="nil"/>
            </w:tcBorders>
            <w:tcMar>
              <w:left w:w="60" w:type="dxa"/>
              <w:right w:w="60" w:type="dxa"/>
            </w:tcMar>
            <w:vAlign w:val="center"/>
          </w:tcPr>
          <w:p w14:paraId="3BFD5D5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845" w:type="dxa"/>
            <w:tcBorders>
              <w:top w:val="nil"/>
              <w:left w:val="nil"/>
              <w:bottom w:val="nil"/>
              <w:right w:val="nil"/>
              <w:tl2br w:val="nil"/>
              <w:tr2bl w:val="nil"/>
            </w:tcBorders>
            <w:tcMar>
              <w:left w:w="60" w:type="dxa"/>
              <w:right w:w="60" w:type="dxa"/>
            </w:tcMar>
            <w:vAlign w:val="center"/>
          </w:tcPr>
          <w:p w14:paraId="01F28DB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133D8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CF685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8614DB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3BC2E2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3CF2756"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D24EE4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1CD6D4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954" w:type="dxa"/>
            <w:tcBorders>
              <w:top w:val="nil"/>
              <w:left w:val="nil"/>
              <w:bottom w:val="nil"/>
              <w:right w:val="nil"/>
              <w:tl2br w:val="nil"/>
              <w:tr2bl w:val="nil"/>
            </w:tcBorders>
            <w:tcMar>
              <w:left w:w="60" w:type="dxa"/>
              <w:right w:w="60" w:type="dxa"/>
            </w:tcMar>
            <w:vAlign w:val="center"/>
          </w:tcPr>
          <w:p w14:paraId="78A59B4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04432CD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01C0E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F66CD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55E879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5277130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D21AA1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F87172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C91565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EA93F0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DE32AE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0EF1F7C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3B92F2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542FD8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6053E5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45" w:type="dxa"/>
            <w:tcBorders>
              <w:top w:val="nil"/>
              <w:left w:val="nil"/>
              <w:bottom w:val="nil"/>
              <w:right w:val="nil"/>
              <w:tl2br w:val="nil"/>
              <w:tr2bl w:val="nil"/>
            </w:tcBorders>
            <w:tcMar>
              <w:left w:w="60" w:type="dxa"/>
              <w:right w:w="60" w:type="dxa"/>
            </w:tcMar>
            <w:vAlign w:val="center"/>
          </w:tcPr>
          <w:p w14:paraId="5234A9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954" w:type="dxa"/>
            <w:tcBorders>
              <w:top w:val="nil"/>
              <w:left w:val="nil"/>
              <w:bottom w:val="nil"/>
              <w:right w:val="nil"/>
              <w:tl2br w:val="nil"/>
              <w:tr2bl w:val="nil"/>
            </w:tcBorders>
            <w:tcMar>
              <w:left w:w="60" w:type="dxa"/>
              <w:right w:w="60" w:type="dxa"/>
            </w:tcMar>
            <w:vAlign w:val="center"/>
          </w:tcPr>
          <w:p w14:paraId="4959774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14:paraId="08422F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E21038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0391BAC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14:paraId="08B6F84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6E6068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397ED7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67E05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BA0826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7B847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39E79D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61B40F3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F138DC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252305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615AFFC"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Single Market Programme (incl. SMEs)</w:t>
            </w:r>
          </w:p>
        </w:tc>
        <w:tc>
          <w:tcPr>
            <w:tcW w:w="845" w:type="dxa"/>
            <w:tcBorders>
              <w:top w:val="nil"/>
              <w:left w:val="nil"/>
              <w:bottom w:val="nil"/>
              <w:right w:val="nil"/>
              <w:tl2br w:val="nil"/>
              <w:tr2bl w:val="nil"/>
            </w:tcBorders>
            <w:tcMar>
              <w:left w:w="60" w:type="dxa"/>
              <w:right w:w="60" w:type="dxa"/>
            </w:tcMar>
            <w:vAlign w:val="center"/>
          </w:tcPr>
          <w:p w14:paraId="290D0E5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780</w:t>
            </w:r>
          </w:p>
        </w:tc>
        <w:tc>
          <w:tcPr>
            <w:tcW w:w="954" w:type="dxa"/>
            <w:tcBorders>
              <w:top w:val="nil"/>
              <w:left w:val="nil"/>
              <w:bottom w:val="nil"/>
              <w:right w:val="nil"/>
              <w:tl2br w:val="nil"/>
              <w:tr2bl w:val="nil"/>
            </w:tcBorders>
            <w:tcMar>
              <w:left w:w="60" w:type="dxa"/>
              <w:right w:w="60" w:type="dxa"/>
            </w:tcMar>
            <w:vAlign w:val="center"/>
          </w:tcPr>
          <w:p w14:paraId="74ED295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695</w:t>
            </w:r>
          </w:p>
        </w:tc>
        <w:tc>
          <w:tcPr>
            <w:tcW w:w="845" w:type="dxa"/>
            <w:tcBorders>
              <w:top w:val="nil"/>
              <w:left w:val="nil"/>
              <w:bottom w:val="nil"/>
              <w:right w:val="nil"/>
              <w:tl2br w:val="nil"/>
              <w:tr2bl w:val="nil"/>
            </w:tcBorders>
            <w:tcMar>
              <w:left w:w="60" w:type="dxa"/>
              <w:right w:w="60" w:type="dxa"/>
            </w:tcMar>
            <w:vAlign w:val="center"/>
          </w:tcPr>
          <w:p w14:paraId="49584F8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5BF0460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14:paraId="2BBCA0F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724</w:t>
            </w:r>
          </w:p>
        </w:tc>
        <w:tc>
          <w:tcPr>
            <w:tcW w:w="845" w:type="dxa"/>
            <w:tcBorders>
              <w:top w:val="nil"/>
              <w:left w:val="nil"/>
              <w:bottom w:val="nil"/>
              <w:right w:val="nil"/>
              <w:tl2br w:val="nil"/>
              <w:tr2bl w:val="nil"/>
            </w:tcBorders>
            <w:tcMar>
              <w:left w:w="60" w:type="dxa"/>
              <w:right w:w="60" w:type="dxa"/>
            </w:tcMar>
            <w:vAlign w:val="center"/>
          </w:tcPr>
          <w:p w14:paraId="7E78E73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14:paraId="7F4A48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5FCB25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845" w:type="dxa"/>
            <w:tcBorders>
              <w:top w:val="nil"/>
              <w:left w:val="nil"/>
              <w:bottom w:val="nil"/>
              <w:right w:val="nil"/>
              <w:tl2br w:val="nil"/>
              <w:tr2bl w:val="nil"/>
            </w:tcBorders>
            <w:tcMar>
              <w:left w:w="60" w:type="dxa"/>
              <w:right w:w="60" w:type="dxa"/>
            </w:tcMar>
            <w:vAlign w:val="center"/>
          </w:tcPr>
          <w:p w14:paraId="0F6E17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14:paraId="0D92114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37AE3D5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2741D4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B9505F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53EB563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C330772"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CB19FC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 Anti-Fraud Programme</w:t>
            </w:r>
          </w:p>
        </w:tc>
        <w:tc>
          <w:tcPr>
            <w:tcW w:w="845" w:type="dxa"/>
            <w:tcBorders>
              <w:top w:val="nil"/>
              <w:left w:val="nil"/>
              <w:bottom w:val="nil"/>
              <w:right w:val="nil"/>
              <w:tl2br w:val="nil"/>
              <w:tr2bl w:val="nil"/>
            </w:tcBorders>
            <w:tcMar>
              <w:left w:w="60" w:type="dxa"/>
              <w:right w:w="60" w:type="dxa"/>
            </w:tcMar>
            <w:vAlign w:val="center"/>
          </w:tcPr>
          <w:p w14:paraId="554C007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954" w:type="dxa"/>
            <w:tcBorders>
              <w:top w:val="nil"/>
              <w:left w:val="nil"/>
              <w:bottom w:val="nil"/>
              <w:right w:val="nil"/>
              <w:tl2br w:val="nil"/>
              <w:tr2bl w:val="nil"/>
            </w:tcBorders>
            <w:tcMar>
              <w:left w:w="60" w:type="dxa"/>
              <w:right w:w="60" w:type="dxa"/>
            </w:tcMar>
            <w:vAlign w:val="center"/>
          </w:tcPr>
          <w:p w14:paraId="5FBBC22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14:paraId="41135C7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ECEC0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CC0CF4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14:paraId="0BDDD5F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68 %</w:t>
            </w:r>
          </w:p>
        </w:tc>
        <w:tc>
          <w:tcPr>
            <w:tcW w:w="845" w:type="dxa"/>
            <w:tcBorders>
              <w:top w:val="nil"/>
              <w:left w:val="nil"/>
              <w:bottom w:val="nil"/>
              <w:right w:val="nil"/>
              <w:tl2br w:val="nil"/>
              <w:tr2bl w:val="nil"/>
            </w:tcBorders>
            <w:tcMar>
              <w:left w:w="60" w:type="dxa"/>
              <w:right w:w="60" w:type="dxa"/>
            </w:tcMar>
            <w:vAlign w:val="center"/>
          </w:tcPr>
          <w:p w14:paraId="5866AE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763BF7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59C9C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1427F30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BA4346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57A54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0102650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A16CFA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657B2E3"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D7655C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Cooperation in the field of taxation (Fiscalis)</w:t>
            </w:r>
          </w:p>
        </w:tc>
        <w:tc>
          <w:tcPr>
            <w:tcW w:w="845" w:type="dxa"/>
            <w:tcBorders>
              <w:top w:val="nil"/>
              <w:left w:val="nil"/>
              <w:bottom w:val="nil"/>
              <w:right w:val="nil"/>
              <w:tl2br w:val="nil"/>
              <w:tr2bl w:val="nil"/>
            </w:tcBorders>
            <w:tcMar>
              <w:left w:w="60" w:type="dxa"/>
              <w:right w:w="60" w:type="dxa"/>
            </w:tcMar>
            <w:vAlign w:val="center"/>
          </w:tcPr>
          <w:p w14:paraId="6FC681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954" w:type="dxa"/>
            <w:tcBorders>
              <w:top w:val="nil"/>
              <w:left w:val="nil"/>
              <w:bottom w:val="nil"/>
              <w:right w:val="nil"/>
              <w:tl2br w:val="nil"/>
              <w:tr2bl w:val="nil"/>
            </w:tcBorders>
            <w:tcMar>
              <w:left w:w="60" w:type="dxa"/>
              <w:right w:w="60" w:type="dxa"/>
            </w:tcMar>
            <w:vAlign w:val="center"/>
          </w:tcPr>
          <w:p w14:paraId="2D565D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14:paraId="6559AC8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C3CD1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43FB0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14:paraId="1A561F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95 %</w:t>
            </w:r>
          </w:p>
        </w:tc>
        <w:tc>
          <w:tcPr>
            <w:tcW w:w="845" w:type="dxa"/>
            <w:tcBorders>
              <w:top w:val="nil"/>
              <w:left w:val="nil"/>
              <w:bottom w:val="nil"/>
              <w:right w:val="nil"/>
              <w:tl2br w:val="nil"/>
              <w:tr2bl w:val="nil"/>
            </w:tcBorders>
            <w:tcMar>
              <w:left w:w="60" w:type="dxa"/>
              <w:right w:w="60" w:type="dxa"/>
            </w:tcMar>
            <w:vAlign w:val="center"/>
          </w:tcPr>
          <w:p w14:paraId="7514FF0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1878CA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82B9AA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BD8535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502925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EB5DE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3225400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0C7E706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828CB2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00570D5"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Cooperation in the field of customs (Customs)</w:t>
            </w:r>
          </w:p>
        </w:tc>
        <w:tc>
          <w:tcPr>
            <w:tcW w:w="845" w:type="dxa"/>
            <w:tcBorders>
              <w:top w:val="nil"/>
              <w:left w:val="nil"/>
              <w:bottom w:val="nil"/>
              <w:right w:val="nil"/>
              <w:tl2br w:val="nil"/>
              <w:tr2bl w:val="nil"/>
            </w:tcBorders>
            <w:tcMar>
              <w:left w:w="60" w:type="dxa"/>
              <w:right w:w="60" w:type="dxa"/>
            </w:tcMar>
            <w:vAlign w:val="center"/>
          </w:tcPr>
          <w:p w14:paraId="3BC645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153</w:t>
            </w:r>
          </w:p>
        </w:tc>
        <w:tc>
          <w:tcPr>
            <w:tcW w:w="954" w:type="dxa"/>
            <w:tcBorders>
              <w:top w:val="nil"/>
              <w:left w:val="nil"/>
              <w:bottom w:val="nil"/>
              <w:right w:val="nil"/>
              <w:tl2br w:val="nil"/>
              <w:tr2bl w:val="nil"/>
            </w:tcBorders>
            <w:tcMar>
              <w:left w:w="60" w:type="dxa"/>
              <w:right w:w="60" w:type="dxa"/>
            </w:tcMar>
            <w:vAlign w:val="center"/>
          </w:tcPr>
          <w:p w14:paraId="4067894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143</w:t>
            </w:r>
          </w:p>
        </w:tc>
        <w:tc>
          <w:tcPr>
            <w:tcW w:w="845" w:type="dxa"/>
            <w:tcBorders>
              <w:top w:val="nil"/>
              <w:left w:val="nil"/>
              <w:bottom w:val="nil"/>
              <w:right w:val="nil"/>
              <w:tl2br w:val="nil"/>
              <w:tr2bl w:val="nil"/>
            </w:tcBorders>
            <w:tcMar>
              <w:left w:w="60" w:type="dxa"/>
              <w:right w:w="60" w:type="dxa"/>
            </w:tcMar>
            <w:vAlign w:val="center"/>
          </w:tcPr>
          <w:p w14:paraId="5F09DB6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83204B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51EC7AB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145</w:t>
            </w:r>
          </w:p>
        </w:tc>
        <w:tc>
          <w:tcPr>
            <w:tcW w:w="845" w:type="dxa"/>
            <w:tcBorders>
              <w:top w:val="nil"/>
              <w:left w:val="nil"/>
              <w:bottom w:val="nil"/>
              <w:right w:val="nil"/>
              <w:tl2br w:val="nil"/>
              <w:tr2bl w:val="nil"/>
            </w:tcBorders>
            <w:tcMar>
              <w:left w:w="60" w:type="dxa"/>
              <w:right w:w="60" w:type="dxa"/>
            </w:tcMar>
            <w:vAlign w:val="center"/>
          </w:tcPr>
          <w:p w14:paraId="782D615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95 %</w:t>
            </w:r>
          </w:p>
        </w:tc>
        <w:tc>
          <w:tcPr>
            <w:tcW w:w="845" w:type="dxa"/>
            <w:tcBorders>
              <w:top w:val="nil"/>
              <w:left w:val="nil"/>
              <w:bottom w:val="nil"/>
              <w:right w:val="nil"/>
              <w:tl2br w:val="nil"/>
              <w:tr2bl w:val="nil"/>
            </w:tcBorders>
            <w:tcMar>
              <w:left w:w="60" w:type="dxa"/>
              <w:right w:w="60" w:type="dxa"/>
            </w:tcMar>
            <w:vAlign w:val="center"/>
          </w:tcPr>
          <w:p w14:paraId="7FFC987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87277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7A71B5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77401C6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18F20F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AF18E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FED450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7772B9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9AA8B6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EB3283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4A1B97F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164</w:t>
            </w:r>
          </w:p>
        </w:tc>
        <w:tc>
          <w:tcPr>
            <w:tcW w:w="954" w:type="dxa"/>
            <w:tcBorders>
              <w:top w:val="nil"/>
              <w:left w:val="nil"/>
              <w:bottom w:val="nil"/>
              <w:right w:val="nil"/>
              <w:tl2br w:val="nil"/>
              <w:tr2bl w:val="nil"/>
            </w:tcBorders>
            <w:tcMar>
              <w:left w:w="60" w:type="dxa"/>
              <w:right w:w="60" w:type="dxa"/>
            </w:tcMar>
            <w:vAlign w:val="center"/>
          </w:tcPr>
          <w:p w14:paraId="1FA260A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148</w:t>
            </w:r>
          </w:p>
        </w:tc>
        <w:tc>
          <w:tcPr>
            <w:tcW w:w="845" w:type="dxa"/>
            <w:tcBorders>
              <w:top w:val="nil"/>
              <w:left w:val="nil"/>
              <w:bottom w:val="nil"/>
              <w:right w:val="nil"/>
              <w:tl2br w:val="nil"/>
              <w:tr2bl w:val="nil"/>
            </w:tcBorders>
            <w:tcMar>
              <w:left w:w="60" w:type="dxa"/>
              <w:right w:w="60" w:type="dxa"/>
            </w:tcMar>
            <w:vAlign w:val="center"/>
          </w:tcPr>
          <w:p w14:paraId="336208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2F20A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2A809D4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153</w:t>
            </w:r>
          </w:p>
        </w:tc>
        <w:tc>
          <w:tcPr>
            <w:tcW w:w="845" w:type="dxa"/>
            <w:tcBorders>
              <w:top w:val="nil"/>
              <w:left w:val="nil"/>
              <w:bottom w:val="nil"/>
              <w:right w:val="nil"/>
              <w:tl2br w:val="nil"/>
              <w:tr2bl w:val="nil"/>
            </w:tcBorders>
            <w:tcMar>
              <w:left w:w="60" w:type="dxa"/>
              <w:right w:w="60" w:type="dxa"/>
            </w:tcMar>
            <w:vAlign w:val="center"/>
          </w:tcPr>
          <w:p w14:paraId="231DBC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14:paraId="46D7435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B3E48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2F8179E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152E74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3242B2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3BF6D7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1D87116"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w:t>
            </w:r>
          </w:p>
        </w:tc>
      </w:tr>
      <w:tr w:rsidR="00807FFE" w14:paraId="78668DF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1CF139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02F97B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845" w:type="dxa"/>
            <w:tcBorders>
              <w:top w:val="nil"/>
              <w:left w:val="nil"/>
              <w:bottom w:val="nil"/>
              <w:right w:val="nil"/>
              <w:tl2br w:val="nil"/>
              <w:tr2bl w:val="nil"/>
            </w:tcBorders>
            <w:tcMar>
              <w:left w:w="60" w:type="dxa"/>
              <w:right w:w="60" w:type="dxa"/>
            </w:tcMar>
            <w:vAlign w:val="center"/>
          </w:tcPr>
          <w:p w14:paraId="3CDC3E1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54" w:type="dxa"/>
            <w:tcBorders>
              <w:top w:val="nil"/>
              <w:left w:val="nil"/>
              <w:bottom w:val="nil"/>
              <w:right w:val="nil"/>
              <w:tl2br w:val="nil"/>
              <w:tr2bl w:val="nil"/>
            </w:tcBorders>
            <w:tcMar>
              <w:left w:w="60" w:type="dxa"/>
              <w:right w:w="60" w:type="dxa"/>
            </w:tcMar>
            <w:vAlign w:val="center"/>
          </w:tcPr>
          <w:p w14:paraId="6846FDC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068357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7D1BAC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3F7324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7D5144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31BEF4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5BEEC1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8751A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F80FEA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2B5641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3CCCA7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28160A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5B5EB7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160EA4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E08DD2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45189A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54" w:type="dxa"/>
            <w:tcBorders>
              <w:top w:val="nil"/>
              <w:left w:val="nil"/>
              <w:bottom w:val="nil"/>
              <w:right w:val="nil"/>
              <w:tl2br w:val="nil"/>
              <w:tr2bl w:val="nil"/>
            </w:tcBorders>
            <w:tcMar>
              <w:left w:w="60" w:type="dxa"/>
              <w:right w:w="60" w:type="dxa"/>
            </w:tcMar>
            <w:vAlign w:val="center"/>
          </w:tcPr>
          <w:p w14:paraId="5BDD94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5E9B46D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5F89C7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D97413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1EADDF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14:paraId="0F70A3B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F45FCF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B07A81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FC8521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302578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BE4DD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60194C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49034F3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F170527"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12D899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Space Programme</w:t>
            </w:r>
          </w:p>
        </w:tc>
        <w:tc>
          <w:tcPr>
            <w:tcW w:w="845" w:type="dxa"/>
            <w:tcBorders>
              <w:top w:val="nil"/>
              <w:left w:val="nil"/>
              <w:bottom w:val="nil"/>
              <w:right w:val="nil"/>
              <w:tl2br w:val="nil"/>
              <w:tr2bl w:val="nil"/>
            </w:tcBorders>
            <w:tcMar>
              <w:left w:w="60" w:type="dxa"/>
              <w:right w:w="60" w:type="dxa"/>
            </w:tcMar>
            <w:vAlign w:val="center"/>
          </w:tcPr>
          <w:p w14:paraId="2B04AA1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2 467</w:t>
            </w:r>
          </w:p>
        </w:tc>
        <w:tc>
          <w:tcPr>
            <w:tcW w:w="954" w:type="dxa"/>
            <w:tcBorders>
              <w:top w:val="nil"/>
              <w:left w:val="nil"/>
              <w:bottom w:val="nil"/>
              <w:right w:val="nil"/>
              <w:tl2br w:val="nil"/>
              <w:tr2bl w:val="nil"/>
            </w:tcBorders>
            <w:tcMar>
              <w:left w:w="60" w:type="dxa"/>
              <w:right w:w="60" w:type="dxa"/>
            </w:tcMar>
            <w:vAlign w:val="center"/>
          </w:tcPr>
          <w:p w14:paraId="6CFE29B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1 819</w:t>
            </w:r>
          </w:p>
        </w:tc>
        <w:tc>
          <w:tcPr>
            <w:tcW w:w="845" w:type="dxa"/>
            <w:tcBorders>
              <w:top w:val="nil"/>
              <w:left w:val="nil"/>
              <w:bottom w:val="nil"/>
              <w:right w:val="nil"/>
              <w:tl2br w:val="nil"/>
              <w:tr2bl w:val="nil"/>
            </w:tcBorders>
            <w:tcMar>
              <w:left w:w="60" w:type="dxa"/>
              <w:right w:w="60" w:type="dxa"/>
            </w:tcMar>
            <w:vAlign w:val="center"/>
          </w:tcPr>
          <w:p w14:paraId="6D92565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22086A1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110</w:t>
            </w:r>
          </w:p>
        </w:tc>
        <w:tc>
          <w:tcPr>
            <w:tcW w:w="845" w:type="dxa"/>
            <w:tcBorders>
              <w:top w:val="nil"/>
              <w:left w:val="nil"/>
              <w:bottom w:val="nil"/>
              <w:right w:val="nil"/>
              <w:tl2br w:val="nil"/>
              <w:tr2bl w:val="nil"/>
            </w:tcBorders>
            <w:tcMar>
              <w:left w:w="60" w:type="dxa"/>
              <w:right w:w="60" w:type="dxa"/>
            </w:tcMar>
            <w:vAlign w:val="center"/>
          </w:tcPr>
          <w:p w14:paraId="37DA6CF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1 934</w:t>
            </w:r>
          </w:p>
        </w:tc>
        <w:tc>
          <w:tcPr>
            <w:tcW w:w="845" w:type="dxa"/>
            <w:tcBorders>
              <w:top w:val="nil"/>
              <w:left w:val="nil"/>
              <w:bottom w:val="nil"/>
              <w:right w:val="nil"/>
              <w:tl2br w:val="nil"/>
              <w:tr2bl w:val="nil"/>
            </w:tcBorders>
            <w:tcMar>
              <w:left w:w="60" w:type="dxa"/>
              <w:right w:w="60" w:type="dxa"/>
            </w:tcMar>
            <w:vAlign w:val="center"/>
          </w:tcPr>
          <w:p w14:paraId="51920DB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78 %</w:t>
            </w:r>
          </w:p>
        </w:tc>
        <w:tc>
          <w:tcPr>
            <w:tcW w:w="845" w:type="dxa"/>
            <w:tcBorders>
              <w:top w:val="nil"/>
              <w:left w:val="nil"/>
              <w:bottom w:val="nil"/>
              <w:right w:val="nil"/>
              <w:tl2br w:val="nil"/>
              <w:tr2bl w:val="nil"/>
            </w:tcBorders>
            <w:tcMar>
              <w:left w:w="60" w:type="dxa"/>
              <w:right w:w="60" w:type="dxa"/>
            </w:tcMar>
            <w:vAlign w:val="center"/>
          </w:tcPr>
          <w:p w14:paraId="6B24760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70D1AB6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530</w:t>
            </w:r>
          </w:p>
        </w:tc>
        <w:tc>
          <w:tcPr>
            <w:tcW w:w="845" w:type="dxa"/>
            <w:tcBorders>
              <w:top w:val="nil"/>
              <w:left w:val="nil"/>
              <w:bottom w:val="nil"/>
              <w:right w:val="nil"/>
              <w:tl2br w:val="nil"/>
              <w:tr2bl w:val="nil"/>
            </w:tcBorders>
            <w:tcMar>
              <w:left w:w="60" w:type="dxa"/>
              <w:right w:w="60" w:type="dxa"/>
            </w:tcMar>
            <w:vAlign w:val="center"/>
          </w:tcPr>
          <w:p w14:paraId="36A8C6B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534</w:t>
            </w:r>
          </w:p>
        </w:tc>
        <w:tc>
          <w:tcPr>
            <w:tcW w:w="845" w:type="dxa"/>
            <w:tcBorders>
              <w:top w:val="nil"/>
              <w:left w:val="nil"/>
              <w:bottom w:val="nil"/>
              <w:right w:val="nil"/>
              <w:tl2br w:val="nil"/>
              <w:tr2bl w:val="nil"/>
            </w:tcBorders>
            <w:tcMar>
              <w:left w:w="60" w:type="dxa"/>
              <w:right w:w="60" w:type="dxa"/>
            </w:tcMar>
            <w:vAlign w:val="center"/>
          </w:tcPr>
          <w:p w14:paraId="03DC148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D0D364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EE8C99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738B7B3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595C20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F01CCA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31562A3"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0675C8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954" w:type="dxa"/>
            <w:tcBorders>
              <w:top w:val="nil"/>
              <w:left w:val="nil"/>
              <w:bottom w:val="nil"/>
              <w:right w:val="nil"/>
              <w:tl2br w:val="nil"/>
              <w:tr2bl w:val="nil"/>
            </w:tcBorders>
            <w:tcMar>
              <w:left w:w="60" w:type="dxa"/>
              <w:right w:w="60" w:type="dxa"/>
            </w:tcMar>
            <w:vAlign w:val="center"/>
          </w:tcPr>
          <w:p w14:paraId="6F9E91E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845" w:type="dxa"/>
            <w:tcBorders>
              <w:top w:val="nil"/>
              <w:left w:val="nil"/>
              <w:bottom w:val="nil"/>
              <w:right w:val="nil"/>
              <w:tl2br w:val="nil"/>
              <w:tr2bl w:val="nil"/>
            </w:tcBorders>
            <w:tcMar>
              <w:left w:w="60" w:type="dxa"/>
              <w:right w:w="60" w:type="dxa"/>
            </w:tcMar>
            <w:vAlign w:val="center"/>
          </w:tcPr>
          <w:p w14:paraId="3150BE8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1A96ED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5C0E4AB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845" w:type="dxa"/>
            <w:tcBorders>
              <w:top w:val="nil"/>
              <w:left w:val="nil"/>
              <w:bottom w:val="nil"/>
              <w:right w:val="nil"/>
              <w:tl2br w:val="nil"/>
              <w:tr2bl w:val="nil"/>
            </w:tcBorders>
            <w:tcMar>
              <w:left w:w="60" w:type="dxa"/>
              <w:right w:w="60" w:type="dxa"/>
            </w:tcMar>
            <w:vAlign w:val="center"/>
          </w:tcPr>
          <w:p w14:paraId="2B54CD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6F570BE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971643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E1E085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131D4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FBCCFD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97DC35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18BAE953"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278AC2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D41A58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A7889E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4D4F5CF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54" w:type="dxa"/>
            <w:tcBorders>
              <w:top w:val="nil"/>
              <w:left w:val="nil"/>
              <w:bottom w:val="nil"/>
              <w:right w:val="nil"/>
              <w:tl2br w:val="nil"/>
              <w:tr2bl w:val="nil"/>
            </w:tcBorders>
            <w:tcMar>
              <w:left w:w="60" w:type="dxa"/>
              <w:right w:w="60" w:type="dxa"/>
            </w:tcMar>
            <w:vAlign w:val="center"/>
          </w:tcPr>
          <w:p w14:paraId="78AEB88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61EA582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645B2A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AE397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383C786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02E469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FB5074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EE4F4B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08C79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82E5F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6109D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366DEF0E"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AA6848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A711342"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EFCA29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845" w:type="dxa"/>
            <w:tcBorders>
              <w:top w:val="nil"/>
              <w:left w:val="nil"/>
              <w:bottom w:val="nil"/>
              <w:right w:val="nil"/>
              <w:tl2br w:val="nil"/>
              <w:tr2bl w:val="nil"/>
            </w:tcBorders>
            <w:tcMar>
              <w:left w:w="60" w:type="dxa"/>
              <w:right w:w="60" w:type="dxa"/>
            </w:tcMar>
            <w:vAlign w:val="center"/>
          </w:tcPr>
          <w:p w14:paraId="7CF57B7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954" w:type="dxa"/>
            <w:tcBorders>
              <w:top w:val="nil"/>
              <w:left w:val="nil"/>
              <w:bottom w:val="nil"/>
              <w:right w:val="nil"/>
              <w:tl2br w:val="nil"/>
              <w:tr2bl w:val="nil"/>
            </w:tcBorders>
            <w:tcMar>
              <w:left w:w="60" w:type="dxa"/>
              <w:right w:w="60" w:type="dxa"/>
            </w:tcMar>
            <w:vAlign w:val="center"/>
          </w:tcPr>
          <w:p w14:paraId="708ED94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845" w:type="dxa"/>
            <w:tcBorders>
              <w:top w:val="nil"/>
              <w:left w:val="nil"/>
              <w:bottom w:val="nil"/>
              <w:right w:val="nil"/>
              <w:tl2br w:val="nil"/>
              <w:tr2bl w:val="nil"/>
            </w:tcBorders>
            <w:tcMar>
              <w:left w:w="60" w:type="dxa"/>
              <w:right w:w="60" w:type="dxa"/>
            </w:tcMar>
            <w:vAlign w:val="center"/>
          </w:tcPr>
          <w:p w14:paraId="333155A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6B0973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FA579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845" w:type="dxa"/>
            <w:tcBorders>
              <w:top w:val="nil"/>
              <w:left w:val="nil"/>
              <w:bottom w:val="nil"/>
              <w:right w:val="nil"/>
              <w:tl2br w:val="nil"/>
              <w:tr2bl w:val="nil"/>
            </w:tcBorders>
            <w:tcMar>
              <w:left w:w="60" w:type="dxa"/>
              <w:right w:w="60" w:type="dxa"/>
            </w:tcMar>
            <w:vAlign w:val="center"/>
          </w:tcPr>
          <w:p w14:paraId="4A2226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1B1D156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5CBF03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BCAF3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3ED46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0B4A3C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CFB3E9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D9CFD19"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DB6DCDB"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6137A7E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2F30456C"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1: Single Market, Innovation and Digital</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9E3FC2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34 035</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6A4E30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20 128</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49B026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96</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9B8951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4 258</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93B90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24 483</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1D35C4E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72 %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32D0867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107</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4C3A9A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9 414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150090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9 521</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677A6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7324C2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FA153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1B0D710E"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31</w:t>
            </w:r>
          </w:p>
        </w:tc>
      </w:tr>
      <w:tr w:rsidR="00807FFE" w14:paraId="26711F5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B43B54C" w14:textId="77777777" w:rsidR="00807FFE" w:rsidRDefault="00807FFE">
            <w:pPr>
              <w:pStyle w:val="DMETW36742BIPDetailedMFF3ImplementPayments"/>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F8EE247"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78B8413" w14:textId="77777777" w:rsidR="00807FFE" w:rsidRDefault="00807FFE">
            <w:pPr>
              <w:pStyle w:val="DMETW36742BIPDetailedMFF3ImplementPayments"/>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3E56B547"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F753FAF"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018DCB6"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4D81E8B"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21867AD"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D4E45FE"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EDFFBB7"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1C8582C"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DEB6EC4"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C054CCA"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25FB753" w14:textId="77777777" w:rsidR="00807FFE" w:rsidRDefault="00807FFE">
            <w:pPr>
              <w:pStyle w:val="DMETW36742BIPDetailedMFF3ImplementPayments"/>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0D08D21B" w14:textId="77777777" w:rsidR="00807FFE" w:rsidRDefault="00807FFE">
            <w:pPr>
              <w:pStyle w:val="DMETW36742BIPDetailedMFF3ImplementPayments"/>
              <w:rPr>
                <w:rFonts w:ascii="Verdana" w:eastAsia="Verdana" w:hAnsi="Verdana" w:cs="Verdana"/>
                <w:i/>
                <w:noProof/>
                <w:color w:val="000000"/>
                <w:sz w:val="16"/>
                <w:lang w:bidi="en-GB"/>
              </w:rPr>
            </w:pPr>
          </w:p>
        </w:tc>
      </w:tr>
      <w:tr w:rsidR="00807FFE" w14:paraId="4BADFEA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CCB212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2</w:t>
            </w:r>
          </w:p>
        </w:tc>
        <w:tc>
          <w:tcPr>
            <w:tcW w:w="3006" w:type="dxa"/>
            <w:tcBorders>
              <w:top w:val="nil"/>
              <w:left w:val="nil"/>
              <w:bottom w:val="nil"/>
              <w:right w:val="nil"/>
              <w:tl2br w:val="nil"/>
              <w:tr2bl w:val="nil"/>
            </w:tcBorders>
            <w:tcMar>
              <w:left w:w="60" w:type="dxa"/>
              <w:right w:w="60" w:type="dxa"/>
            </w:tcMar>
            <w:vAlign w:val="center"/>
          </w:tcPr>
          <w:p w14:paraId="77C4580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Regional Development Fund (ERDF)</w:t>
            </w:r>
          </w:p>
        </w:tc>
        <w:tc>
          <w:tcPr>
            <w:tcW w:w="845" w:type="dxa"/>
            <w:tcBorders>
              <w:top w:val="nil"/>
              <w:left w:val="nil"/>
              <w:bottom w:val="nil"/>
              <w:right w:val="nil"/>
              <w:tl2br w:val="nil"/>
              <w:tr2bl w:val="nil"/>
            </w:tcBorders>
            <w:tcMar>
              <w:left w:w="60" w:type="dxa"/>
              <w:right w:w="60" w:type="dxa"/>
            </w:tcMar>
            <w:vAlign w:val="center"/>
          </w:tcPr>
          <w:p w14:paraId="42728DA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23 394</w:t>
            </w:r>
          </w:p>
        </w:tc>
        <w:tc>
          <w:tcPr>
            <w:tcW w:w="954" w:type="dxa"/>
            <w:tcBorders>
              <w:top w:val="nil"/>
              <w:left w:val="nil"/>
              <w:bottom w:val="nil"/>
              <w:right w:val="nil"/>
              <w:tl2br w:val="nil"/>
              <w:tr2bl w:val="nil"/>
            </w:tcBorders>
            <w:tcMar>
              <w:left w:w="60" w:type="dxa"/>
              <w:right w:w="60" w:type="dxa"/>
            </w:tcMar>
            <w:vAlign w:val="center"/>
          </w:tcPr>
          <w:p w14:paraId="3FB098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20 837</w:t>
            </w:r>
          </w:p>
        </w:tc>
        <w:tc>
          <w:tcPr>
            <w:tcW w:w="845" w:type="dxa"/>
            <w:tcBorders>
              <w:top w:val="nil"/>
              <w:left w:val="nil"/>
              <w:bottom w:val="nil"/>
              <w:right w:val="nil"/>
              <w:tl2br w:val="nil"/>
              <w:tr2bl w:val="nil"/>
            </w:tcBorders>
            <w:tcMar>
              <w:left w:w="60" w:type="dxa"/>
              <w:right w:w="60" w:type="dxa"/>
            </w:tcMar>
            <w:vAlign w:val="center"/>
          </w:tcPr>
          <w:p w14:paraId="74E7BFD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9B6C1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1 978</w:t>
            </w:r>
          </w:p>
        </w:tc>
        <w:tc>
          <w:tcPr>
            <w:tcW w:w="845" w:type="dxa"/>
            <w:tcBorders>
              <w:top w:val="nil"/>
              <w:left w:val="nil"/>
              <w:bottom w:val="nil"/>
              <w:right w:val="nil"/>
              <w:tl2br w:val="nil"/>
              <w:tr2bl w:val="nil"/>
            </w:tcBorders>
            <w:tcMar>
              <w:left w:w="60" w:type="dxa"/>
              <w:right w:w="60" w:type="dxa"/>
            </w:tcMar>
            <w:vAlign w:val="center"/>
          </w:tcPr>
          <w:p w14:paraId="732CAF4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22 816</w:t>
            </w:r>
          </w:p>
        </w:tc>
        <w:tc>
          <w:tcPr>
            <w:tcW w:w="845" w:type="dxa"/>
            <w:tcBorders>
              <w:top w:val="nil"/>
              <w:left w:val="nil"/>
              <w:bottom w:val="nil"/>
              <w:right w:val="nil"/>
              <w:tl2br w:val="nil"/>
              <w:tr2bl w:val="nil"/>
            </w:tcBorders>
            <w:tcMar>
              <w:left w:w="60" w:type="dxa"/>
              <w:right w:w="60" w:type="dxa"/>
            </w:tcMar>
            <w:vAlign w:val="center"/>
          </w:tcPr>
          <w:p w14:paraId="144CAA9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14:paraId="5C38D8B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BDFB6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577</w:t>
            </w:r>
          </w:p>
        </w:tc>
        <w:tc>
          <w:tcPr>
            <w:tcW w:w="845" w:type="dxa"/>
            <w:tcBorders>
              <w:top w:val="nil"/>
              <w:left w:val="nil"/>
              <w:bottom w:val="nil"/>
              <w:right w:val="nil"/>
              <w:tl2br w:val="nil"/>
              <w:tr2bl w:val="nil"/>
            </w:tcBorders>
            <w:tcMar>
              <w:left w:w="60" w:type="dxa"/>
              <w:right w:w="60" w:type="dxa"/>
            </w:tcMar>
            <w:vAlign w:val="center"/>
          </w:tcPr>
          <w:p w14:paraId="2076D4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577</w:t>
            </w:r>
          </w:p>
        </w:tc>
        <w:tc>
          <w:tcPr>
            <w:tcW w:w="845" w:type="dxa"/>
            <w:tcBorders>
              <w:top w:val="nil"/>
              <w:left w:val="nil"/>
              <w:bottom w:val="nil"/>
              <w:right w:val="nil"/>
              <w:tl2br w:val="nil"/>
              <w:tr2bl w:val="nil"/>
            </w:tcBorders>
            <w:tcMar>
              <w:left w:w="60" w:type="dxa"/>
              <w:right w:w="60" w:type="dxa"/>
            </w:tcMar>
            <w:vAlign w:val="center"/>
          </w:tcPr>
          <w:p w14:paraId="09C28C9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79833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507389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113479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152151D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D0F89E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82B8F4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Cohesion Fund (CF)</w:t>
            </w:r>
          </w:p>
        </w:tc>
        <w:tc>
          <w:tcPr>
            <w:tcW w:w="845" w:type="dxa"/>
            <w:tcBorders>
              <w:top w:val="nil"/>
              <w:left w:val="nil"/>
              <w:bottom w:val="nil"/>
              <w:right w:val="nil"/>
              <w:tl2br w:val="nil"/>
              <w:tr2bl w:val="nil"/>
            </w:tcBorders>
            <w:tcMar>
              <w:left w:w="60" w:type="dxa"/>
              <w:right w:w="60" w:type="dxa"/>
            </w:tcMar>
            <w:vAlign w:val="center"/>
          </w:tcPr>
          <w:p w14:paraId="0A24A7E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5 756</w:t>
            </w:r>
          </w:p>
        </w:tc>
        <w:tc>
          <w:tcPr>
            <w:tcW w:w="954" w:type="dxa"/>
            <w:tcBorders>
              <w:top w:val="nil"/>
              <w:left w:val="nil"/>
              <w:bottom w:val="nil"/>
              <w:right w:val="nil"/>
              <w:tl2br w:val="nil"/>
              <w:tr2bl w:val="nil"/>
            </w:tcBorders>
            <w:tcMar>
              <w:left w:w="60" w:type="dxa"/>
              <w:right w:w="60" w:type="dxa"/>
            </w:tcMar>
            <w:vAlign w:val="center"/>
          </w:tcPr>
          <w:p w14:paraId="3B4B291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5 522</w:t>
            </w:r>
          </w:p>
        </w:tc>
        <w:tc>
          <w:tcPr>
            <w:tcW w:w="845" w:type="dxa"/>
            <w:tcBorders>
              <w:top w:val="nil"/>
              <w:left w:val="nil"/>
              <w:bottom w:val="nil"/>
              <w:right w:val="nil"/>
              <w:tl2br w:val="nil"/>
              <w:tr2bl w:val="nil"/>
            </w:tcBorders>
            <w:tcMar>
              <w:left w:w="60" w:type="dxa"/>
              <w:right w:w="60" w:type="dxa"/>
            </w:tcMar>
            <w:vAlign w:val="center"/>
          </w:tcPr>
          <w:p w14:paraId="4D73D96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06734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14:paraId="42524F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5 590</w:t>
            </w:r>
          </w:p>
        </w:tc>
        <w:tc>
          <w:tcPr>
            <w:tcW w:w="845" w:type="dxa"/>
            <w:tcBorders>
              <w:top w:val="nil"/>
              <w:left w:val="nil"/>
              <w:bottom w:val="nil"/>
              <w:right w:val="nil"/>
              <w:tl2br w:val="nil"/>
              <w:tr2bl w:val="nil"/>
            </w:tcBorders>
            <w:tcMar>
              <w:left w:w="60" w:type="dxa"/>
              <w:right w:w="60" w:type="dxa"/>
            </w:tcMar>
            <w:vAlign w:val="center"/>
          </w:tcPr>
          <w:p w14:paraId="6AB814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32E479E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22653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166</w:t>
            </w:r>
          </w:p>
        </w:tc>
        <w:tc>
          <w:tcPr>
            <w:tcW w:w="845" w:type="dxa"/>
            <w:tcBorders>
              <w:top w:val="nil"/>
              <w:left w:val="nil"/>
              <w:bottom w:val="nil"/>
              <w:right w:val="nil"/>
              <w:tl2br w:val="nil"/>
              <w:tr2bl w:val="nil"/>
            </w:tcBorders>
            <w:tcMar>
              <w:left w:w="60" w:type="dxa"/>
              <w:right w:w="60" w:type="dxa"/>
            </w:tcMar>
            <w:vAlign w:val="center"/>
          </w:tcPr>
          <w:p w14:paraId="136B114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166</w:t>
            </w:r>
          </w:p>
        </w:tc>
        <w:tc>
          <w:tcPr>
            <w:tcW w:w="845" w:type="dxa"/>
            <w:tcBorders>
              <w:top w:val="nil"/>
              <w:left w:val="nil"/>
              <w:bottom w:val="nil"/>
              <w:right w:val="nil"/>
              <w:tl2br w:val="nil"/>
              <w:tr2bl w:val="nil"/>
            </w:tcBorders>
            <w:tcMar>
              <w:left w:w="60" w:type="dxa"/>
              <w:right w:w="60" w:type="dxa"/>
            </w:tcMar>
            <w:vAlign w:val="center"/>
          </w:tcPr>
          <w:p w14:paraId="0D83D20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51C33B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5F9255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721B1C8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6C544A6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A4E4C66"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8D5B8F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Cohesion Fund (CF), contribution to the Connecting Europe Facility (CEF) - Transport</w:t>
            </w:r>
          </w:p>
        </w:tc>
        <w:tc>
          <w:tcPr>
            <w:tcW w:w="845" w:type="dxa"/>
            <w:tcBorders>
              <w:top w:val="nil"/>
              <w:left w:val="nil"/>
              <w:bottom w:val="nil"/>
              <w:right w:val="nil"/>
              <w:tl2br w:val="nil"/>
              <w:tr2bl w:val="nil"/>
            </w:tcBorders>
            <w:tcMar>
              <w:left w:w="60" w:type="dxa"/>
              <w:right w:w="60" w:type="dxa"/>
            </w:tcMar>
            <w:vAlign w:val="center"/>
          </w:tcPr>
          <w:p w14:paraId="6A26131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1 364</w:t>
            </w:r>
          </w:p>
        </w:tc>
        <w:tc>
          <w:tcPr>
            <w:tcW w:w="954" w:type="dxa"/>
            <w:tcBorders>
              <w:top w:val="nil"/>
              <w:left w:val="nil"/>
              <w:bottom w:val="nil"/>
              <w:right w:val="nil"/>
              <w:tl2br w:val="nil"/>
              <w:tr2bl w:val="nil"/>
            </w:tcBorders>
            <w:tcMar>
              <w:left w:w="60" w:type="dxa"/>
              <w:right w:w="60" w:type="dxa"/>
            </w:tcMar>
            <w:vAlign w:val="center"/>
          </w:tcPr>
          <w:p w14:paraId="51B6D2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1 350</w:t>
            </w:r>
          </w:p>
        </w:tc>
        <w:tc>
          <w:tcPr>
            <w:tcW w:w="845" w:type="dxa"/>
            <w:tcBorders>
              <w:top w:val="nil"/>
              <w:left w:val="nil"/>
              <w:bottom w:val="nil"/>
              <w:right w:val="nil"/>
              <w:tl2br w:val="nil"/>
              <w:tr2bl w:val="nil"/>
            </w:tcBorders>
            <w:tcMar>
              <w:left w:w="60" w:type="dxa"/>
              <w:right w:w="60" w:type="dxa"/>
            </w:tcMar>
            <w:vAlign w:val="center"/>
          </w:tcPr>
          <w:p w14:paraId="6DAF1E0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220D48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708535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1 353</w:t>
            </w:r>
          </w:p>
        </w:tc>
        <w:tc>
          <w:tcPr>
            <w:tcW w:w="845" w:type="dxa"/>
            <w:tcBorders>
              <w:top w:val="nil"/>
              <w:left w:val="nil"/>
              <w:bottom w:val="nil"/>
              <w:right w:val="nil"/>
              <w:tl2br w:val="nil"/>
              <w:tr2bl w:val="nil"/>
            </w:tcBorders>
            <w:tcMar>
              <w:left w:w="60" w:type="dxa"/>
              <w:right w:w="60" w:type="dxa"/>
            </w:tcMar>
            <w:vAlign w:val="center"/>
          </w:tcPr>
          <w:p w14:paraId="415E707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5F0E04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7C46A2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14:paraId="052A230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14:paraId="3C8EA5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77D5B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F32367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460456E"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8C0B27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8B7292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5B2D85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592288B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54" w:type="dxa"/>
            <w:tcBorders>
              <w:top w:val="nil"/>
              <w:left w:val="nil"/>
              <w:bottom w:val="nil"/>
              <w:right w:val="nil"/>
              <w:tl2br w:val="nil"/>
              <w:tr2bl w:val="nil"/>
            </w:tcBorders>
            <w:tcMar>
              <w:left w:w="60" w:type="dxa"/>
              <w:right w:w="60" w:type="dxa"/>
            </w:tcMar>
            <w:vAlign w:val="center"/>
          </w:tcPr>
          <w:p w14:paraId="1CE327F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18159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A4D4F4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2E7F7A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814310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35 %</w:t>
            </w:r>
          </w:p>
        </w:tc>
        <w:tc>
          <w:tcPr>
            <w:tcW w:w="845" w:type="dxa"/>
            <w:tcBorders>
              <w:top w:val="nil"/>
              <w:left w:val="nil"/>
              <w:bottom w:val="nil"/>
              <w:right w:val="nil"/>
              <w:tl2br w:val="nil"/>
              <w:tr2bl w:val="nil"/>
            </w:tcBorders>
            <w:tcMar>
              <w:left w:w="60" w:type="dxa"/>
              <w:right w:w="60" w:type="dxa"/>
            </w:tcMar>
            <w:vAlign w:val="center"/>
          </w:tcPr>
          <w:p w14:paraId="09A9F3A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7F5D9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D9EA50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A2D1A7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F5E024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48B3C7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4C9B3157"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45FF484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38B739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7DE6B8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Social Fund Plus (ESF+)</w:t>
            </w:r>
          </w:p>
        </w:tc>
        <w:tc>
          <w:tcPr>
            <w:tcW w:w="845" w:type="dxa"/>
            <w:tcBorders>
              <w:top w:val="nil"/>
              <w:left w:val="nil"/>
              <w:bottom w:val="nil"/>
              <w:right w:val="nil"/>
              <w:tl2br w:val="nil"/>
              <w:tr2bl w:val="nil"/>
            </w:tcBorders>
            <w:tcMar>
              <w:left w:w="60" w:type="dxa"/>
              <w:right w:w="60" w:type="dxa"/>
            </w:tcMar>
            <w:vAlign w:val="center"/>
          </w:tcPr>
          <w:p w14:paraId="5ACF13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10 966</w:t>
            </w:r>
          </w:p>
        </w:tc>
        <w:tc>
          <w:tcPr>
            <w:tcW w:w="954" w:type="dxa"/>
            <w:tcBorders>
              <w:top w:val="nil"/>
              <w:left w:val="nil"/>
              <w:bottom w:val="nil"/>
              <w:right w:val="nil"/>
              <w:tl2br w:val="nil"/>
              <w:tr2bl w:val="nil"/>
            </w:tcBorders>
            <w:tcMar>
              <w:left w:w="60" w:type="dxa"/>
              <w:right w:w="60" w:type="dxa"/>
            </w:tcMar>
            <w:vAlign w:val="center"/>
          </w:tcPr>
          <w:p w14:paraId="551F5A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8 242</w:t>
            </w:r>
          </w:p>
        </w:tc>
        <w:tc>
          <w:tcPr>
            <w:tcW w:w="845" w:type="dxa"/>
            <w:tcBorders>
              <w:top w:val="nil"/>
              <w:left w:val="nil"/>
              <w:bottom w:val="nil"/>
              <w:right w:val="nil"/>
              <w:tl2br w:val="nil"/>
              <w:tr2bl w:val="nil"/>
            </w:tcBorders>
            <w:tcMar>
              <w:left w:w="60" w:type="dxa"/>
              <w:right w:w="60" w:type="dxa"/>
            </w:tcMar>
            <w:vAlign w:val="center"/>
          </w:tcPr>
          <w:p w14:paraId="2EE4653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B0BFEE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2 362</w:t>
            </w:r>
          </w:p>
        </w:tc>
        <w:tc>
          <w:tcPr>
            <w:tcW w:w="845" w:type="dxa"/>
            <w:tcBorders>
              <w:top w:val="nil"/>
              <w:left w:val="nil"/>
              <w:bottom w:val="nil"/>
              <w:right w:val="nil"/>
              <w:tl2br w:val="nil"/>
              <w:tr2bl w:val="nil"/>
            </w:tcBorders>
            <w:tcMar>
              <w:left w:w="60" w:type="dxa"/>
              <w:right w:w="60" w:type="dxa"/>
            </w:tcMar>
            <w:vAlign w:val="center"/>
          </w:tcPr>
          <w:p w14:paraId="663F54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10 605</w:t>
            </w:r>
          </w:p>
        </w:tc>
        <w:tc>
          <w:tcPr>
            <w:tcW w:w="845" w:type="dxa"/>
            <w:tcBorders>
              <w:top w:val="nil"/>
              <w:left w:val="nil"/>
              <w:bottom w:val="nil"/>
              <w:right w:val="nil"/>
              <w:tl2br w:val="nil"/>
              <w:tr2bl w:val="nil"/>
            </w:tcBorders>
            <w:tcMar>
              <w:left w:w="60" w:type="dxa"/>
              <w:right w:w="60" w:type="dxa"/>
            </w:tcMar>
            <w:vAlign w:val="center"/>
          </w:tcPr>
          <w:p w14:paraId="269CE8D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6C9C6A1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79F288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360</w:t>
            </w:r>
          </w:p>
        </w:tc>
        <w:tc>
          <w:tcPr>
            <w:tcW w:w="845" w:type="dxa"/>
            <w:tcBorders>
              <w:top w:val="nil"/>
              <w:left w:val="nil"/>
              <w:bottom w:val="nil"/>
              <w:right w:val="nil"/>
              <w:tl2br w:val="nil"/>
              <w:tr2bl w:val="nil"/>
            </w:tcBorders>
            <w:tcMar>
              <w:left w:w="60" w:type="dxa"/>
              <w:right w:w="60" w:type="dxa"/>
            </w:tcMar>
            <w:vAlign w:val="center"/>
          </w:tcPr>
          <w:p w14:paraId="3FE3C9F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361</w:t>
            </w:r>
          </w:p>
        </w:tc>
        <w:tc>
          <w:tcPr>
            <w:tcW w:w="845" w:type="dxa"/>
            <w:tcBorders>
              <w:top w:val="nil"/>
              <w:left w:val="nil"/>
              <w:bottom w:val="nil"/>
              <w:right w:val="nil"/>
              <w:tl2br w:val="nil"/>
              <w:tr2bl w:val="nil"/>
            </w:tcBorders>
            <w:tcMar>
              <w:left w:w="60" w:type="dxa"/>
              <w:right w:w="60" w:type="dxa"/>
            </w:tcMar>
            <w:vAlign w:val="center"/>
          </w:tcPr>
          <w:p w14:paraId="20C7142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05C91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A33AAB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B2999D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20B5C1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D85E6E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4F8DEF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1A8EDE6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14:paraId="75F62C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027F7F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86193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25BF9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D92360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7D2FBC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B51150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0A196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21C38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FA18F0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3F88E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180B779"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2387A7C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8D9EFD2"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BD22DF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Support to the Turkish-Cypriot Community</w:t>
            </w:r>
          </w:p>
        </w:tc>
        <w:tc>
          <w:tcPr>
            <w:tcW w:w="845" w:type="dxa"/>
            <w:tcBorders>
              <w:top w:val="nil"/>
              <w:left w:val="nil"/>
              <w:bottom w:val="nil"/>
              <w:right w:val="nil"/>
              <w:tl2br w:val="nil"/>
              <w:tr2bl w:val="nil"/>
            </w:tcBorders>
            <w:tcMar>
              <w:left w:w="60" w:type="dxa"/>
              <w:right w:w="60" w:type="dxa"/>
            </w:tcMar>
            <w:vAlign w:val="center"/>
          </w:tcPr>
          <w:p w14:paraId="193A65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954" w:type="dxa"/>
            <w:tcBorders>
              <w:top w:val="nil"/>
              <w:left w:val="nil"/>
              <w:bottom w:val="nil"/>
              <w:right w:val="nil"/>
              <w:tl2br w:val="nil"/>
              <w:tr2bl w:val="nil"/>
            </w:tcBorders>
            <w:tcMar>
              <w:left w:w="60" w:type="dxa"/>
              <w:right w:w="60" w:type="dxa"/>
            </w:tcMar>
            <w:vAlign w:val="center"/>
          </w:tcPr>
          <w:p w14:paraId="7050DFE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845" w:type="dxa"/>
            <w:tcBorders>
              <w:top w:val="nil"/>
              <w:left w:val="nil"/>
              <w:bottom w:val="nil"/>
              <w:right w:val="nil"/>
              <w:tl2br w:val="nil"/>
              <w:tr2bl w:val="nil"/>
            </w:tcBorders>
            <w:tcMar>
              <w:left w:w="60" w:type="dxa"/>
              <w:right w:w="60" w:type="dxa"/>
            </w:tcMar>
            <w:vAlign w:val="center"/>
          </w:tcPr>
          <w:p w14:paraId="69A9B5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E982B5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EC3274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845" w:type="dxa"/>
            <w:tcBorders>
              <w:top w:val="nil"/>
              <w:left w:val="nil"/>
              <w:bottom w:val="nil"/>
              <w:right w:val="nil"/>
              <w:tl2br w:val="nil"/>
              <w:tr2bl w:val="nil"/>
            </w:tcBorders>
            <w:tcMar>
              <w:left w:w="60" w:type="dxa"/>
              <w:right w:w="60" w:type="dxa"/>
            </w:tcMar>
            <w:vAlign w:val="center"/>
          </w:tcPr>
          <w:p w14:paraId="3FC5DE7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24F4BD7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C14910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C0DD3B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97F5F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67BE9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AB5FF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13118E2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2BEE5A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63BE11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23830B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Recovery and Resilience Facility (incl. Technical Support Instrument)</w:t>
            </w:r>
          </w:p>
        </w:tc>
        <w:tc>
          <w:tcPr>
            <w:tcW w:w="845" w:type="dxa"/>
            <w:tcBorders>
              <w:top w:val="nil"/>
              <w:left w:val="nil"/>
              <w:bottom w:val="nil"/>
              <w:right w:val="nil"/>
              <w:tl2br w:val="nil"/>
              <w:tr2bl w:val="nil"/>
            </w:tcBorders>
            <w:tcMar>
              <w:left w:w="60" w:type="dxa"/>
              <w:right w:w="60" w:type="dxa"/>
            </w:tcMar>
            <w:vAlign w:val="center"/>
          </w:tcPr>
          <w:p w14:paraId="20B196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40 344</w:t>
            </w:r>
          </w:p>
        </w:tc>
        <w:tc>
          <w:tcPr>
            <w:tcW w:w="954" w:type="dxa"/>
            <w:tcBorders>
              <w:top w:val="nil"/>
              <w:left w:val="nil"/>
              <w:bottom w:val="nil"/>
              <w:right w:val="nil"/>
              <w:tl2br w:val="nil"/>
              <w:tr2bl w:val="nil"/>
            </w:tcBorders>
            <w:tcMar>
              <w:left w:w="60" w:type="dxa"/>
              <w:right w:w="60" w:type="dxa"/>
            </w:tcMar>
            <w:vAlign w:val="center"/>
          </w:tcPr>
          <w:p w14:paraId="57F20FE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118</w:t>
            </w:r>
          </w:p>
        </w:tc>
        <w:tc>
          <w:tcPr>
            <w:tcW w:w="845" w:type="dxa"/>
            <w:tcBorders>
              <w:top w:val="nil"/>
              <w:left w:val="nil"/>
              <w:bottom w:val="nil"/>
              <w:right w:val="nil"/>
              <w:tl2br w:val="nil"/>
              <w:tr2bl w:val="nil"/>
            </w:tcBorders>
            <w:tcMar>
              <w:left w:w="60" w:type="dxa"/>
              <w:right w:w="60" w:type="dxa"/>
            </w:tcMar>
            <w:vAlign w:val="center"/>
          </w:tcPr>
          <w:p w14:paraId="7C59194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012BF5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39 552</w:t>
            </w:r>
          </w:p>
        </w:tc>
        <w:tc>
          <w:tcPr>
            <w:tcW w:w="845" w:type="dxa"/>
            <w:tcBorders>
              <w:top w:val="nil"/>
              <w:left w:val="nil"/>
              <w:bottom w:val="nil"/>
              <w:right w:val="nil"/>
              <w:tl2br w:val="nil"/>
              <w:tr2bl w:val="nil"/>
            </w:tcBorders>
            <w:tcMar>
              <w:left w:w="60" w:type="dxa"/>
              <w:right w:w="60" w:type="dxa"/>
            </w:tcMar>
            <w:vAlign w:val="center"/>
          </w:tcPr>
          <w:p w14:paraId="0E82F7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39 671</w:t>
            </w:r>
          </w:p>
        </w:tc>
        <w:tc>
          <w:tcPr>
            <w:tcW w:w="845" w:type="dxa"/>
            <w:tcBorders>
              <w:top w:val="nil"/>
              <w:left w:val="nil"/>
              <w:bottom w:val="nil"/>
              <w:right w:val="nil"/>
              <w:tl2br w:val="nil"/>
              <w:tr2bl w:val="nil"/>
            </w:tcBorders>
            <w:tcMar>
              <w:left w:w="60" w:type="dxa"/>
              <w:right w:w="60" w:type="dxa"/>
            </w:tcMar>
            <w:vAlign w:val="center"/>
          </w:tcPr>
          <w:p w14:paraId="5158CF2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14:paraId="5710EA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3F059BE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671</w:t>
            </w:r>
          </w:p>
        </w:tc>
        <w:tc>
          <w:tcPr>
            <w:tcW w:w="845" w:type="dxa"/>
            <w:tcBorders>
              <w:top w:val="nil"/>
              <w:left w:val="nil"/>
              <w:bottom w:val="nil"/>
              <w:right w:val="nil"/>
              <w:tl2br w:val="nil"/>
              <w:tr2bl w:val="nil"/>
            </w:tcBorders>
            <w:tcMar>
              <w:left w:w="60" w:type="dxa"/>
              <w:right w:w="60" w:type="dxa"/>
            </w:tcMar>
            <w:vAlign w:val="center"/>
          </w:tcPr>
          <w:p w14:paraId="553A7A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673</w:t>
            </w:r>
          </w:p>
        </w:tc>
        <w:tc>
          <w:tcPr>
            <w:tcW w:w="845" w:type="dxa"/>
            <w:tcBorders>
              <w:top w:val="nil"/>
              <w:left w:val="nil"/>
              <w:bottom w:val="nil"/>
              <w:right w:val="nil"/>
              <w:tl2br w:val="nil"/>
              <w:tr2bl w:val="nil"/>
            </w:tcBorders>
            <w:tcMar>
              <w:left w:w="60" w:type="dxa"/>
              <w:right w:w="60" w:type="dxa"/>
            </w:tcMar>
            <w:vAlign w:val="center"/>
          </w:tcPr>
          <w:p w14:paraId="3F7F558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301944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EA25F6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7631E22E"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8DEF2E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07D746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7E7CF4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Protection of the euro against counterfeiting (the `Pericles IV programme')</w:t>
            </w:r>
          </w:p>
        </w:tc>
        <w:tc>
          <w:tcPr>
            <w:tcW w:w="845" w:type="dxa"/>
            <w:tcBorders>
              <w:top w:val="nil"/>
              <w:left w:val="nil"/>
              <w:bottom w:val="nil"/>
              <w:right w:val="nil"/>
              <w:tl2br w:val="nil"/>
              <w:tr2bl w:val="nil"/>
            </w:tcBorders>
            <w:tcMar>
              <w:left w:w="60" w:type="dxa"/>
              <w:right w:w="60" w:type="dxa"/>
            </w:tcMar>
            <w:vAlign w:val="center"/>
          </w:tcPr>
          <w:p w14:paraId="630725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14:paraId="243618A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A5DB7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84676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2326CB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3821D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14:paraId="21BB093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F5E4A7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F5C9BB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ECF84F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A2BDEF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01502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610C888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C8FBF9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C191015"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88AEE1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Financing cost of the European Union Recovery Instrument (EURI)</w:t>
            </w:r>
          </w:p>
        </w:tc>
        <w:tc>
          <w:tcPr>
            <w:tcW w:w="845" w:type="dxa"/>
            <w:tcBorders>
              <w:top w:val="nil"/>
              <w:left w:val="nil"/>
              <w:bottom w:val="nil"/>
              <w:right w:val="nil"/>
              <w:tl2br w:val="nil"/>
              <w:tr2bl w:val="nil"/>
            </w:tcBorders>
            <w:tcMar>
              <w:left w:w="60" w:type="dxa"/>
              <w:right w:w="60" w:type="dxa"/>
            </w:tcMar>
            <w:vAlign w:val="center"/>
          </w:tcPr>
          <w:p w14:paraId="14DDAB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6 976</w:t>
            </w:r>
          </w:p>
        </w:tc>
        <w:tc>
          <w:tcPr>
            <w:tcW w:w="954" w:type="dxa"/>
            <w:tcBorders>
              <w:top w:val="nil"/>
              <w:left w:val="nil"/>
              <w:bottom w:val="nil"/>
              <w:right w:val="nil"/>
              <w:tl2br w:val="nil"/>
              <w:tr2bl w:val="nil"/>
            </w:tcBorders>
            <w:tcMar>
              <w:left w:w="60" w:type="dxa"/>
              <w:right w:w="60" w:type="dxa"/>
            </w:tcMar>
            <w:vAlign w:val="center"/>
          </w:tcPr>
          <w:p w14:paraId="170437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3 091</w:t>
            </w:r>
          </w:p>
        </w:tc>
        <w:tc>
          <w:tcPr>
            <w:tcW w:w="845" w:type="dxa"/>
            <w:tcBorders>
              <w:top w:val="nil"/>
              <w:left w:val="nil"/>
              <w:bottom w:val="nil"/>
              <w:right w:val="nil"/>
              <w:tl2br w:val="nil"/>
              <w:tr2bl w:val="nil"/>
            </w:tcBorders>
            <w:tcMar>
              <w:left w:w="60" w:type="dxa"/>
              <w:right w:w="60" w:type="dxa"/>
            </w:tcMar>
            <w:vAlign w:val="center"/>
          </w:tcPr>
          <w:p w14:paraId="17CD2BE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1 863</w:t>
            </w:r>
          </w:p>
        </w:tc>
        <w:tc>
          <w:tcPr>
            <w:tcW w:w="845" w:type="dxa"/>
            <w:tcBorders>
              <w:top w:val="nil"/>
              <w:left w:val="nil"/>
              <w:bottom w:val="nil"/>
              <w:right w:val="nil"/>
              <w:tl2br w:val="nil"/>
              <w:tr2bl w:val="nil"/>
            </w:tcBorders>
            <w:tcMar>
              <w:left w:w="60" w:type="dxa"/>
              <w:right w:w="60" w:type="dxa"/>
            </w:tcMar>
            <w:vAlign w:val="center"/>
          </w:tcPr>
          <w:p w14:paraId="35190D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14:paraId="1D2B0BD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5 005</w:t>
            </w:r>
          </w:p>
        </w:tc>
        <w:tc>
          <w:tcPr>
            <w:tcW w:w="845" w:type="dxa"/>
            <w:tcBorders>
              <w:top w:val="nil"/>
              <w:left w:val="nil"/>
              <w:bottom w:val="nil"/>
              <w:right w:val="nil"/>
              <w:tl2br w:val="nil"/>
              <w:tr2bl w:val="nil"/>
            </w:tcBorders>
            <w:tcMar>
              <w:left w:w="60" w:type="dxa"/>
              <w:right w:w="60" w:type="dxa"/>
            </w:tcMar>
            <w:vAlign w:val="center"/>
          </w:tcPr>
          <w:p w14:paraId="1771CA2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72 %</w:t>
            </w:r>
          </w:p>
        </w:tc>
        <w:tc>
          <w:tcPr>
            <w:tcW w:w="845" w:type="dxa"/>
            <w:tcBorders>
              <w:top w:val="nil"/>
              <w:left w:val="nil"/>
              <w:bottom w:val="nil"/>
              <w:right w:val="nil"/>
              <w:tl2br w:val="nil"/>
              <w:tr2bl w:val="nil"/>
            </w:tcBorders>
            <w:tcMar>
              <w:left w:w="60" w:type="dxa"/>
              <w:right w:w="60" w:type="dxa"/>
            </w:tcMar>
            <w:vAlign w:val="center"/>
          </w:tcPr>
          <w:p w14:paraId="03647FC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1 876</w:t>
            </w:r>
          </w:p>
        </w:tc>
        <w:tc>
          <w:tcPr>
            <w:tcW w:w="845" w:type="dxa"/>
            <w:tcBorders>
              <w:top w:val="nil"/>
              <w:left w:val="nil"/>
              <w:bottom w:val="nil"/>
              <w:right w:val="nil"/>
              <w:tl2br w:val="nil"/>
              <w:tr2bl w:val="nil"/>
            </w:tcBorders>
            <w:tcMar>
              <w:left w:w="60" w:type="dxa"/>
              <w:right w:w="60" w:type="dxa"/>
            </w:tcMar>
            <w:vAlign w:val="center"/>
          </w:tcPr>
          <w:p w14:paraId="4187A23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845" w:type="dxa"/>
            <w:tcBorders>
              <w:top w:val="nil"/>
              <w:left w:val="nil"/>
              <w:bottom w:val="nil"/>
              <w:right w:val="nil"/>
              <w:tl2br w:val="nil"/>
              <w:tr2bl w:val="nil"/>
            </w:tcBorders>
            <w:tcMar>
              <w:left w:w="60" w:type="dxa"/>
              <w:right w:w="60" w:type="dxa"/>
            </w:tcMar>
            <w:vAlign w:val="center"/>
          </w:tcPr>
          <w:p w14:paraId="0B6690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1 971</w:t>
            </w:r>
          </w:p>
        </w:tc>
        <w:tc>
          <w:tcPr>
            <w:tcW w:w="845" w:type="dxa"/>
            <w:tcBorders>
              <w:top w:val="nil"/>
              <w:left w:val="nil"/>
              <w:bottom w:val="nil"/>
              <w:right w:val="nil"/>
              <w:tl2br w:val="nil"/>
              <w:tr2bl w:val="nil"/>
            </w:tcBorders>
            <w:tcMar>
              <w:left w:w="60" w:type="dxa"/>
              <w:right w:w="60" w:type="dxa"/>
            </w:tcMar>
            <w:vAlign w:val="center"/>
          </w:tcPr>
          <w:p w14:paraId="78CA7E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B66627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1DBFDF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1FABCAC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7360A4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1B4CDC7"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0473CA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Union Civil Protection Mechanism (RescEU)</w:t>
            </w:r>
          </w:p>
        </w:tc>
        <w:tc>
          <w:tcPr>
            <w:tcW w:w="845" w:type="dxa"/>
            <w:tcBorders>
              <w:top w:val="nil"/>
              <w:left w:val="nil"/>
              <w:bottom w:val="nil"/>
              <w:right w:val="nil"/>
              <w:tl2br w:val="nil"/>
              <w:tr2bl w:val="nil"/>
            </w:tcBorders>
            <w:tcMar>
              <w:left w:w="60" w:type="dxa"/>
              <w:right w:w="60" w:type="dxa"/>
            </w:tcMar>
            <w:vAlign w:val="center"/>
          </w:tcPr>
          <w:p w14:paraId="67EEF26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446</w:t>
            </w:r>
          </w:p>
        </w:tc>
        <w:tc>
          <w:tcPr>
            <w:tcW w:w="954" w:type="dxa"/>
            <w:tcBorders>
              <w:top w:val="nil"/>
              <w:left w:val="nil"/>
              <w:bottom w:val="nil"/>
              <w:right w:val="nil"/>
              <w:tl2br w:val="nil"/>
              <w:tr2bl w:val="nil"/>
            </w:tcBorders>
            <w:tcMar>
              <w:left w:w="60" w:type="dxa"/>
              <w:right w:w="60" w:type="dxa"/>
            </w:tcMar>
            <w:vAlign w:val="center"/>
          </w:tcPr>
          <w:p w14:paraId="54D6B03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132</w:t>
            </w:r>
          </w:p>
        </w:tc>
        <w:tc>
          <w:tcPr>
            <w:tcW w:w="845" w:type="dxa"/>
            <w:tcBorders>
              <w:top w:val="nil"/>
              <w:left w:val="nil"/>
              <w:bottom w:val="nil"/>
              <w:right w:val="nil"/>
              <w:tl2br w:val="nil"/>
              <w:tr2bl w:val="nil"/>
            </w:tcBorders>
            <w:tcMar>
              <w:left w:w="60" w:type="dxa"/>
              <w:right w:w="60" w:type="dxa"/>
            </w:tcMar>
            <w:vAlign w:val="center"/>
          </w:tcPr>
          <w:p w14:paraId="4B33E4E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0E2775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222</w:t>
            </w:r>
          </w:p>
        </w:tc>
        <w:tc>
          <w:tcPr>
            <w:tcW w:w="845" w:type="dxa"/>
            <w:tcBorders>
              <w:top w:val="nil"/>
              <w:left w:val="nil"/>
              <w:bottom w:val="nil"/>
              <w:right w:val="nil"/>
              <w:tl2br w:val="nil"/>
              <w:tr2bl w:val="nil"/>
            </w:tcBorders>
            <w:tcMar>
              <w:left w:w="60" w:type="dxa"/>
              <w:right w:w="60" w:type="dxa"/>
            </w:tcMar>
            <w:vAlign w:val="center"/>
          </w:tcPr>
          <w:p w14:paraId="2B085E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355</w:t>
            </w:r>
          </w:p>
        </w:tc>
        <w:tc>
          <w:tcPr>
            <w:tcW w:w="845" w:type="dxa"/>
            <w:tcBorders>
              <w:top w:val="nil"/>
              <w:left w:val="nil"/>
              <w:bottom w:val="nil"/>
              <w:right w:val="nil"/>
              <w:tl2br w:val="nil"/>
              <w:tr2bl w:val="nil"/>
            </w:tcBorders>
            <w:tcMar>
              <w:left w:w="60" w:type="dxa"/>
              <w:right w:w="60" w:type="dxa"/>
            </w:tcMar>
            <w:vAlign w:val="center"/>
          </w:tcPr>
          <w:p w14:paraId="7B0EF9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80 %</w:t>
            </w:r>
          </w:p>
        </w:tc>
        <w:tc>
          <w:tcPr>
            <w:tcW w:w="845" w:type="dxa"/>
            <w:tcBorders>
              <w:top w:val="nil"/>
              <w:left w:val="nil"/>
              <w:bottom w:val="nil"/>
              <w:right w:val="nil"/>
              <w:tl2br w:val="nil"/>
              <w:tr2bl w:val="nil"/>
            </w:tcBorders>
            <w:tcMar>
              <w:left w:w="60" w:type="dxa"/>
              <w:right w:w="60" w:type="dxa"/>
            </w:tcMar>
            <w:vAlign w:val="center"/>
          </w:tcPr>
          <w:p w14:paraId="0875D10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AE1AB7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91</w:t>
            </w:r>
          </w:p>
        </w:tc>
        <w:tc>
          <w:tcPr>
            <w:tcW w:w="845" w:type="dxa"/>
            <w:tcBorders>
              <w:top w:val="nil"/>
              <w:left w:val="nil"/>
              <w:bottom w:val="nil"/>
              <w:right w:val="nil"/>
              <w:tl2br w:val="nil"/>
              <w:tr2bl w:val="nil"/>
            </w:tcBorders>
            <w:tcMar>
              <w:left w:w="60" w:type="dxa"/>
              <w:right w:w="60" w:type="dxa"/>
            </w:tcMar>
            <w:vAlign w:val="center"/>
          </w:tcPr>
          <w:p w14:paraId="2E7C334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91</w:t>
            </w:r>
          </w:p>
        </w:tc>
        <w:tc>
          <w:tcPr>
            <w:tcW w:w="845" w:type="dxa"/>
            <w:tcBorders>
              <w:top w:val="nil"/>
              <w:left w:val="nil"/>
              <w:bottom w:val="nil"/>
              <w:right w:val="nil"/>
              <w:tl2br w:val="nil"/>
              <w:tr2bl w:val="nil"/>
            </w:tcBorders>
            <w:tcMar>
              <w:left w:w="60" w:type="dxa"/>
              <w:right w:w="60" w:type="dxa"/>
            </w:tcMar>
            <w:vAlign w:val="center"/>
          </w:tcPr>
          <w:p w14:paraId="6DC8CB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B33754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02793E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59615CE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0C75CE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F34D8A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96935F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EU4Health</w:t>
            </w:r>
          </w:p>
        </w:tc>
        <w:tc>
          <w:tcPr>
            <w:tcW w:w="845" w:type="dxa"/>
            <w:tcBorders>
              <w:top w:val="nil"/>
              <w:left w:val="nil"/>
              <w:bottom w:val="nil"/>
              <w:right w:val="nil"/>
              <w:tl2br w:val="nil"/>
              <w:tr2bl w:val="nil"/>
            </w:tcBorders>
            <w:tcMar>
              <w:left w:w="60" w:type="dxa"/>
              <w:right w:w="60" w:type="dxa"/>
            </w:tcMar>
            <w:vAlign w:val="center"/>
          </w:tcPr>
          <w:p w14:paraId="0449469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557</w:t>
            </w:r>
          </w:p>
        </w:tc>
        <w:tc>
          <w:tcPr>
            <w:tcW w:w="954" w:type="dxa"/>
            <w:tcBorders>
              <w:top w:val="nil"/>
              <w:left w:val="nil"/>
              <w:bottom w:val="nil"/>
              <w:right w:val="nil"/>
              <w:tl2br w:val="nil"/>
              <w:tr2bl w:val="nil"/>
            </w:tcBorders>
            <w:tcMar>
              <w:left w:w="60" w:type="dxa"/>
              <w:right w:w="60" w:type="dxa"/>
            </w:tcMar>
            <w:vAlign w:val="center"/>
          </w:tcPr>
          <w:p w14:paraId="0A26B9B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530</w:t>
            </w:r>
          </w:p>
        </w:tc>
        <w:tc>
          <w:tcPr>
            <w:tcW w:w="845" w:type="dxa"/>
            <w:tcBorders>
              <w:top w:val="nil"/>
              <w:left w:val="nil"/>
              <w:bottom w:val="nil"/>
              <w:right w:val="nil"/>
              <w:tl2br w:val="nil"/>
              <w:tr2bl w:val="nil"/>
            </w:tcBorders>
            <w:tcMar>
              <w:left w:w="60" w:type="dxa"/>
              <w:right w:w="60" w:type="dxa"/>
            </w:tcMar>
            <w:vAlign w:val="center"/>
          </w:tcPr>
          <w:p w14:paraId="0AB09D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3497B59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14:paraId="3B1DECC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553</w:t>
            </w:r>
          </w:p>
        </w:tc>
        <w:tc>
          <w:tcPr>
            <w:tcW w:w="845" w:type="dxa"/>
            <w:tcBorders>
              <w:top w:val="nil"/>
              <w:left w:val="nil"/>
              <w:bottom w:val="nil"/>
              <w:right w:val="nil"/>
              <w:tl2br w:val="nil"/>
              <w:tr2bl w:val="nil"/>
            </w:tcBorders>
            <w:tcMar>
              <w:left w:w="60" w:type="dxa"/>
              <w:right w:w="60" w:type="dxa"/>
            </w:tcMar>
            <w:vAlign w:val="center"/>
          </w:tcPr>
          <w:p w14:paraId="061215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7ED046C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1737909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49B1C98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448D9C2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7AD83E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6A9092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DD21DA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A6E62D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B43618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3017BE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Instrument for emergency support within the Union (ESI)</w:t>
            </w:r>
          </w:p>
        </w:tc>
        <w:tc>
          <w:tcPr>
            <w:tcW w:w="845" w:type="dxa"/>
            <w:tcBorders>
              <w:top w:val="nil"/>
              <w:left w:val="nil"/>
              <w:bottom w:val="nil"/>
              <w:right w:val="nil"/>
              <w:tl2br w:val="nil"/>
              <w:tr2bl w:val="nil"/>
            </w:tcBorders>
            <w:tcMar>
              <w:left w:w="60" w:type="dxa"/>
              <w:right w:w="60" w:type="dxa"/>
            </w:tcMar>
            <w:vAlign w:val="center"/>
          </w:tcPr>
          <w:p w14:paraId="0AFBB43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954" w:type="dxa"/>
            <w:tcBorders>
              <w:top w:val="nil"/>
              <w:left w:val="nil"/>
              <w:bottom w:val="nil"/>
              <w:right w:val="nil"/>
              <w:tl2br w:val="nil"/>
              <w:tr2bl w:val="nil"/>
            </w:tcBorders>
            <w:tcMar>
              <w:left w:w="60" w:type="dxa"/>
              <w:right w:w="60" w:type="dxa"/>
            </w:tcMar>
            <w:vAlign w:val="center"/>
          </w:tcPr>
          <w:p w14:paraId="753DBDF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CAE26C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0120C4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6F6E399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72A527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16 %</w:t>
            </w:r>
          </w:p>
        </w:tc>
        <w:tc>
          <w:tcPr>
            <w:tcW w:w="845" w:type="dxa"/>
            <w:tcBorders>
              <w:top w:val="nil"/>
              <w:left w:val="nil"/>
              <w:bottom w:val="nil"/>
              <w:right w:val="nil"/>
              <w:tl2br w:val="nil"/>
              <w:tr2bl w:val="nil"/>
            </w:tcBorders>
            <w:tcMar>
              <w:left w:w="60" w:type="dxa"/>
              <w:right w:w="60" w:type="dxa"/>
            </w:tcMar>
            <w:vAlign w:val="center"/>
          </w:tcPr>
          <w:p w14:paraId="44F6E51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EBF3F7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19F223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7944ED3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44D967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F936A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93" w:type="dxa"/>
            <w:tcBorders>
              <w:top w:val="nil"/>
              <w:left w:val="nil"/>
              <w:bottom w:val="nil"/>
              <w:right w:val="nil"/>
              <w:tl2br w:val="nil"/>
              <w:tr2bl w:val="nil"/>
            </w:tcBorders>
            <w:tcMar>
              <w:left w:w="60" w:type="dxa"/>
              <w:right w:w="60" w:type="dxa"/>
            </w:tcMar>
            <w:vAlign w:val="center"/>
          </w:tcPr>
          <w:p w14:paraId="25683963"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w:t>
            </w:r>
          </w:p>
        </w:tc>
      </w:tr>
      <w:tr w:rsidR="00807FFE" w14:paraId="744C383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7D347D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F79077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511FFE5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299</w:t>
            </w:r>
          </w:p>
        </w:tc>
        <w:tc>
          <w:tcPr>
            <w:tcW w:w="954" w:type="dxa"/>
            <w:tcBorders>
              <w:top w:val="nil"/>
              <w:left w:val="nil"/>
              <w:bottom w:val="nil"/>
              <w:right w:val="nil"/>
              <w:tl2br w:val="nil"/>
              <w:tr2bl w:val="nil"/>
            </w:tcBorders>
            <w:tcMar>
              <w:left w:w="60" w:type="dxa"/>
              <w:right w:w="60" w:type="dxa"/>
            </w:tcMar>
            <w:vAlign w:val="center"/>
          </w:tcPr>
          <w:p w14:paraId="536D9D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274</w:t>
            </w:r>
          </w:p>
        </w:tc>
        <w:tc>
          <w:tcPr>
            <w:tcW w:w="845" w:type="dxa"/>
            <w:tcBorders>
              <w:top w:val="nil"/>
              <w:left w:val="nil"/>
              <w:bottom w:val="nil"/>
              <w:right w:val="nil"/>
              <w:tl2br w:val="nil"/>
              <w:tr2bl w:val="nil"/>
            </w:tcBorders>
            <w:tcMar>
              <w:left w:w="60" w:type="dxa"/>
              <w:right w:w="60" w:type="dxa"/>
            </w:tcMar>
            <w:vAlign w:val="center"/>
          </w:tcPr>
          <w:p w14:paraId="2F37C42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96CBC5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14:paraId="2B82744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293</w:t>
            </w:r>
          </w:p>
        </w:tc>
        <w:tc>
          <w:tcPr>
            <w:tcW w:w="845" w:type="dxa"/>
            <w:tcBorders>
              <w:top w:val="nil"/>
              <w:left w:val="nil"/>
              <w:bottom w:val="nil"/>
              <w:right w:val="nil"/>
              <w:tl2br w:val="nil"/>
              <w:tr2bl w:val="nil"/>
            </w:tcBorders>
            <w:tcMar>
              <w:left w:w="60" w:type="dxa"/>
              <w:right w:w="60" w:type="dxa"/>
            </w:tcMar>
            <w:vAlign w:val="center"/>
          </w:tcPr>
          <w:p w14:paraId="46B4A33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14:paraId="1AE718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EB323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29590CE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584FC8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7CE185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888041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6511BB5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0A905D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B167B3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882AF6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688FA68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14:paraId="69F49E5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86CA31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AB9778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82A7B0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0BDF23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14:paraId="1200FB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ACE4AF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71E686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4979C2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74E0CC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84D509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391974F7"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832547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F51E85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44B264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45" w:type="dxa"/>
            <w:tcBorders>
              <w:top w:val="nil"/>
              <w:left w:val="nil"/>
              <w:bottom w:val="nil"/>
              <w:right w:val="nil"/>
              <w:tl2br w:val="nil"/>
              <w:tr2bl w:val="nil"/>
            </w:tcBorders>
            <w:tcMar>
              <w:left w:w="60" w:type="dxa"/>
              <w:right w:w="60" w:type="dxa"/>
            </w:tcMar>
            <w:vAlign w:val="center"/>
          </w:tcPr>
          <w:p w14:paraId="62082F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954" w:type="dxa"/>
            <w:tcBorders>
              <w:top w:val="nil"/>
              <w:left w:val="nil"/>
              <w:bottom w:val="nil"/>
              <w:right w:val="nil"/>
              <w:tl2br w:val="nil"/>
              <w:tr2bl w:val="nil"/>
            </w:tcBorders>
            <w:tcMar>
              <w:left w:w="60" w:type="dxa"/>
              <w:right w:w="60" w:type="dxa"/>
            </w:tcMar>
            <w:vAlign w:val="center"/>
          </w:tcPr>
          <w:p w14:paraId="6F0048E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78FA86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E13986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0C9BC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2662657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27DC0A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F7E7EA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2CD38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60958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F8AB3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708230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E34BC8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5B3610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DDF8B56"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3F132D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Employment and Social Innovation</w:t>
            </w:r>
          </w:p>
        </w:tc>
        <w:tc>
          <w:tcPr>
            <w:tcW w:w="845" w:type="dxa"/>
            <w:tcBorders>
              <w:top w:val="nil"/>
              <w:left w:val="nil"/>
              <w:bottom w:val="nil"/>
              <w:right w:val="nil"/>
              <w:tl2br w:val="nil"/>
              <w:tr2bl w:val="nil"/>
            </w:tcBorders>
            <w:tcMar>
              <w:left w:w="60" w:type="dxa"/>
              <w:right w:w="60" w:type="dxa"/>
            </w:tcMar>
            <w:vAlign w:val="center"/>
          </w:tcPr>
          <w:p w14:paraId="7739333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91</w:t>
            </w:r>
          </w:p>
        </w:tc>
        <w:tc>
          <w:tcPr>
            <w:tcW w:w="954" w:type="dxa"/>
            <w:tcBorders>
              <w:top w:val="nil"/>
              <w:left w:val="nil"/>
              <w:bottom w:val="nil"/>
              <w:right w:val="nil"/>
              <w:tl2br w:val="nil"/>
              <w:tr2bl w:val="nil"/>
            </w:tcBorders>
            <w:tcMar>
              <w:left w:w="60" w:type="dxa"/>
              <w:right w:w="60" w:type="dxa"/>
            </w:tcMar>
            <w:vAlign w:val="center"/>
          </w:tcPr>
          <w:p w14:paraId="686E59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77</w:t>
            </w:r>
          </w:p>
        </w:tc>
        <w:tc>
          <w:tcPr>
            <w:tcW w:w="845" w:type="dxa"/>
            <w:tcBorders>
              <w:top w:val="nil"/>
              <w:left w:val="nil"/>
              <w:bottom w:val="nil"/>
              <w:right w:val="nil"/>
              <w:tl2br w:val="nil"/>
              <w:tr2bl w:val="nil"/>
            </w:tcBorders>
            <w:tcMar>
              <w:left w:w="60" w:type="dxa"/>
              <w:right w:w="60" w:type="dxa"/>
            </w:tcMar>
            <w:vAlign w:val="center"/>
          </w:tcPr>
          <w:p w14:paraId="6C78473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D51143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0A80AEE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845" w:type="dxa"/>
            <w:tcBorders>
              <w:top w:val="nil"/>
              <w:left w:val="nil"/>
              <w:bottom w:val="nil"/>
              <w:right w:val="nil"/>
              <w:tl2br w:val="nil"/>
              <w:tr2bl w:val="nil"/>
            </w:tcBorders>
            <w:tcMar>
              <w:left w:w="60" w:type="dxa"/>
              <w:right w:w="60" w:type="dxa"/>
            </w:tcMar>
            <w:vAlign w:val="center"/>
          </w:tcPr>
          <w:p w14:paraId="05C203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14:paraId="7F0B031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48302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110C13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1754FA5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2153B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38F81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6358EE1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C9E3BE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D9EB7AB"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CF8D85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Erasmus+</w:t>
            </w:r>
          </w:p>
        </w:tc>
        <w:tc>
          <w:tcPr>
            <w:tcW w:w="845" w:type="dxa"/>
            <w:tcBorders>
              <w:top w:val="nil"/>
              <w:left w:val="nil"/>
              <w:bottom w:val="nil"/>
              <w:right w:val="nil"/>
              <w:tl2br w:val="nil"/>
              <w:tr2bl w:val="nil"/>
            </w:tcBorders>
            <w:tcMar>
              <w:left w:w="60" w:type="dxa"/>
              <w:right w:w="60" w:type="dxa"/>
            </w:tcMar>
            <w:vAlign w:val="center"/>
          </w:tcPr>
          <w:p w14:paraId="3190447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4 966</w:t>
            </w:r>
          </w:p>
        </w:tc>
        <w:tc>
          <w:tcPr>
            <w:tcW w:w="954" w:type="dxa"/>
            <w:tcBorders>
              <w:top w:val="nil"/>
              <w:left w:val="nil"/>
              <w:bottom w:val="nil"/>
              <w:right w:val="nil"/>
              <w:tl2br w:val="nil"/>
              <w:tr2bl w:val="nil"/>
            </w:tcBorders>
            <w:tcMar>
              <w:left w:w="60" w:type="dxa"/>
              <w:right w:w="60" w:type="dxa"/>
            </w:tcMar>
            <w:vAlign w:val="center"/>
          </w:tcPr>
          <w:p w14:paraId="069E7DC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3 782</w:t>
            </w:r>
          </w:p>
        </w:tc>
        <w:tc>
          <w:tcPr>
            <w:tcW w:w="845" w:type="dxa"/>
            <w:tcBorders>
              <w:top w:val="nil"/>
              <w:left w:val="nil"/>
              <w:bottom w:val="nil"/>
              <w:right w:val="nil"/>
              <w:tl2br w:val="nil"/>
              <w:tr2bl w:val="nil"/>
            </w:tcBorders>
            <w:tcMar>
              <w:left w:w="60" w:type="dxa"/>
              <w:right w:w="60" w:type="dxa"/>
            </w:tcMar>
            <w:vAlign w:val="center"/>
          </w:tcPr>
          <w:p w14:paraId="094C86F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14:paraId="57E1E69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836</w:t>
            </w:r>
          </w:p>
        </w:tc>
        <w:tc>
          <w:tcPr>
            <w:tcW w:w="845" w:type="dxa"/>
            <w:tcBorders>
              <w:top w:val="nil"/>
              <w:left w:val="nil"/>
              <w:bottom w:val="nil"/>
              <w:right w:val="nil"/>
              <w:tl2br w:val="nil"/>
              <w:tr2bl w:val="nil"/>
            </w:tcBorders>
            <w:tcMar>
              <w:left w:w="60" w:type="dxa"/>
              <w:right w:w="60" w:type="dxa"/>
            </w:tcMar>
            <w:vAlign w:val="center"/>
          </w:tcPr>
          <w:p w14:paraId="10578E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4 635</w:t>
            </w:r>
          </w:p>
        </w:tc>
        <w:tc>
          <w:tcPr>
            <w:tcW w:w="845" w:type="dxa"/>
            <w:tcBorders>
              <w:top w:val="nil"/>
              <w:left w:val="nil"/>
              <w:bottom w:val="nil"/>
              <w:right w:val="nil"/>
              <w:tl2br w:val="nil"/>
              <w:tr2bl w:val="nil"/>
            </w:tcBorders>
            <w:tcMar>
              <w:left w:w="60" w:type="dxa"/>
              <w:right w:w="60" w:type="dxa"/>
            </w:tcMar>
            <w:vAlign w:val="center"/>
          </w:tcPr>
          <w:p w14:paraId="0A0219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14:paraId="0D9026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14:paraId="6E337C5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315</w:t>
            </w:r>
          </w:p>
        </w:tc>
        <w:tc>
          <w:tcPr>
            <w:tcW w:w="845" w:type="dxa"/>
            <w:tcBorders>
              <w:top w:val="nil"/>
              <w:left w:val="nil"/>
              <w:bottom w:val="nil"/>
              <w:right w:val="nil"/>
              <w:tl2br w:val="nil"/>
              <w:tr2bl w:val="nil"/>
            </w:tcBorders>
            <w:tcMar>
              <w:left w:w="60" w:type="dxa"/>
              <w:right w:w="60" w:type="dxa"/>
            </w:tcMar>
            <w:vAlign w:val="center"/>
          </w:tcPr>
          <w:p w14:paraId="4836E3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330</w:t>
            </w:r>
          </w:p>
        </w:tc>
        <w:tc>
          <w:tcPr>
            <w:tcW w:w="845" w:type="dxa"/>
            <w:tcBorders>
              <w:top w:val="nil"/>
              <w:left w:val="nil"/>
              <w:bottom w:val="nil"/>
              <w:right w:val="nil"/>
              <w:tl2br w:val="nil"/>
              <w:tr2bl w:val="nil"/>
            </w:tcBorders>
            <w:tcMar>
              <w:left w:w="60" w:type="dxa"/>
              <w:right w:w="60" w:type="dxa"/>
            </w:tcMar>
            <w:vAlign w:val="center"/>
          </w:tcPr>
          <w:p w14:paraId="7CB6756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EC245B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DF91C9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8CA1BE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A83E96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D6DAAF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345BF7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Solidarity Corps (ESC)</w:t>
            </w:r>
          </w:p>
        </w:tc>
        <w:tc>
          <w:tcPr>
            <w:tcW w:w="845" w:type="dxa"/>
            <w:tcBorders>
              <w:top w:val="nil"/>
              <w:left w:val="nil"/>
              <w:bottom w:val="nil"/>
              <w:right w:val="nil"/>
              <w:tl2br w:val="nil"/>
              <w:tr2bl w:val="nil"/>
            </w:tcBorders>
            <w:tcMar>
              <w:left w:w="60" w:type="dxa"/>
              <w:right w:w="60" w:type="dxa"/>
            </w:tcMar>
            <w:vAlign w:val="center"/>
          </w:tcPr>
          <w:p w14:paraId="15CE44D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220</w:t>
            </w:r>
          </w:p>
        </w:tc>
        <w:tc>
          <w:tcPr>
            <w:tcW w:w="954" w:type="dxa"/>
            <w:tcBorders>
              <w:top w:val="nil"/>
              <w:left w:val="nil"/>
              <w:bottom w:val="nil"/>
              <w:right w:val="nil"/>
              <w:tl2br w:val="nil"/>
              <w:tr2bl w:val="nil"/>
            </w:tcBorders>
            <w:tcMar>
              <w:left w:w="60" w:type="dxa"/>
              <w:right w:w="60" w:type="dxa"/>
            </w:tcMar>
            <w:vAlign w:val="center"/>
          </w:tcPr>
          <w:p w14:paraId="2533D07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134</w:t>
            </w:r>
          </w:p>
        </w:tc>
        <w:tc>
          <w:tcPr>
            <w:tcW w:w="845" w:type="dxa"/>
            <w:tcBorders>
              <w:top w:val="nil"/>
              <w:left w:val="nil"/>
              <w:bottom w:val="nil"/>
              <w:right w:val="nil"/>
              <w:tl2br w:val="nil"/>
              <w:tr2bl w:val="nil"/>
            </w:tcBorders>
            <w:tcMar>
              <w:left w:w="60" w:type="dxa"/>
              <w:right w:w="60" w:type="dxa"/>
            </w:tcMar>
            <w:vAlign w:val="center"/>
          </w:tcPr>
          <w:p w14:paraId="4FD0147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7CAE8A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845" w:type="dxa"/>
            <w:tcBorders>
              <w:top w:val="nil"/>
              <w:left w:val="nil"/>
              <w:bottom w:val="nil"/>
              <w:right w:val="nil"/>
              <w:tl2br w:val="nil"/>
              <w:tr2bl w:val="nil"/>
            </w:tcBorders>
            <w:tcMar>
              <w:left w:w="60" w:type="dxa"/>
              <w:right w:w="60" w:type="dxa"/>
            </w:tcMar>
            <w:vAlign w:val="center"/>
          </w:tcPr>
          <w:p w14:paraId="4F0705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172</w:t>
            </w:r>
          </w:p>
        </w:tc>
        <w:tc>
          <w:tcPr>
            <w:tcW w:w="845" w:type="dxa"/>
            <w:tcBorders>
              <w:top w:val="nil"/>
              <w:left w:val="nil"/>
              <w:bottom w:val="nil"/>
              <w:right w:val="nil"/>
              <w:tl2br w:val="nil"/>
              <w:tr2bl w:val="nil"/>
            </w:tcBorders>
            <w:tcMar>
              <w:left w:w="60" w:type="dxa"/>
              <w:right w:w="60" w:type="dxa"/>
            </w:tcMar>
            <w:vAlign w:val="center"/>
          </w:tcPr>
          <w:p w14:paraId="5B730EE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78 %</w:t>
            </w:r>
          </w:p>
        </w:tc>
        <w:tc>
          <w:tcPr>
            <w:tcW w:w="845" w:type="dxa"/>
            <w:tcBorders>
              <w:top w:val="nil"/>
              <w:left w:val="nil"/>
              <w:bottom w:val="nil"/>
              <w:right w:val="nil"/>
              <w:tl2br w:val="nil"/>
              <w:tr2bl w:val="nil"/>
            </w:tcBorders>
            <w:tcMar>
              <w:left w:w="60" w:type="dxa"/>
              <w:right w:w="60" w:type="dxa"/>
            </w:tcMar>
            <w:vAlign w:val="center"/>
          </w:tcPr>
          <w:p w14:paraId="681084F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5CC9128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845" w:type="dxa"/>
            <w:tcBorders>
              <w:top w:val="nil"/>
              <w:left w:val="nil"/>
              <w:bottom w:val="nil"/>
              <w:right w:val="nil"/>
              <w:tl2br w:val="nil"/>
              <w:tr2bl w:val="nil"/>
            </w:tcBorders>
            <w:tcMar>
              <w:left w:w="60" w:type="dxa"/>
              <w:right w:w="60" w:type="dxa"/>
            </w:tcMar>
            <w:vAlign w:val="center"/>
          </w:tcPr>
          <w:p w14:paraId="28D7A97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49</w:t>
            </w:r>
          </w:p>
        </w:tc>
        <w:tc>
          <w:tcPr>
            <w:tcW w:w="845" w:type="dxa"/>
            <w:tcBorders>
              <w:top w:val="nil"/>
              <w:left w:val="nil"/>
              <w:bottom w:val="nil"/>
              <w:right w:val="nil"/>
              <w:tl2br w:val="nil"/>
              <w:tr2bl w:val="nil"/>
            </w:tcBorders>
            <w:tcMar>
              <w:left w:w="60" w:type="dxa"/>
              <w:right w:w="60" w:type="dxa"/>
            </w:tcMar>
            <w:vAlign w:val="center"/>
          </w:tcPr>
          <w:p w14:paraId="748E1D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B077E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988DE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52BD7D7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70A8A3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19E92E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B756F8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Creative Europe</w:t>
            </w:r>
          </w:p>
        </w:tc>
        <w:tc>
          <w:tcPr>
            <w:tcW w:w="845" w:type="dxa"/>
            <w:tcBorders>
              <w:top w:val="nil"/>
              <w:left w:val="nil"/>
              <w:bottom w:val="nil"/>
              <w:right w:val="nil"/>
              <w:tl2br w:val="nil"/>
              <w:tr2bl w:val="nil"/>
            </w:tcBorders>
            <w:tcMar>
              <w:left w:w="60" w:type="dxa"/>
              <w:right w:w="60" w:type="dxa"/>
            </w:tcMar>
            <w:vAlign w:val="center"/>
          </w:tcPr>
          <w:p w14:paraId="63441A7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350</w:t>
            </w:r>
          </w:p>
        </w:tc>
        <w:tc>
          <w:tcPr>
            <w:tcW w:w="954" w:type="dxa"/>
            <w:tcBorders>
              <w:top w:val="nil"/>
              <w:left w:val="nil"/>
              <w:bottom w:val="nil"/>
              <w:right w:val="nil"/>
              <w:tl2br w:val="nil"/>
              <w:tr2bl w:val="nil"/>
            </w:tcBorders>
            <w:tcMar>
              <w:left w:w="60" w:type="dxa"/>
              <w:right w:w="60" w:type="dxa"/>
            </w:tcMar>
            <w:vAlign w:val="center"/>
          </w:tcPr>
          <w:p w14:paraId="46B8C08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322</w:t>
            </w:r>
          </w:p>
        </w:tc>
        <w:tc>
          <w:tcPr>
            <w:tcW w:w="845" w:type="dxa"/>
            <w:tcBorders>
              <w:top w:val="nil"/>
              <w:left w:val="nil"/>
              <w:bottom w:val="nil"/>
              <w:right w:val="nil"/>
              <w:tl2br w:val="nil"/>
              <w:tr2bl w:val="nil"/>
            </w:tcBorders>
            <w:tcMar>
              <w:left w:w="60" w:type="dxa"/>
              <w:right w:w="60" w:type="dxa"/>
            </w:tcMar>
            <w:vAlign w:val="center"/>
          </w:tcPr>
          <w:p w14:paraId="38BE6E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7C8F055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15CCA07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338</w:t>
            </w:r>
          </w:p>
        </w:tc>
        <w:tc>
          <w:tcPr>
            <w:tcW w:w="845" w:type="dxa"/>
            <w:tcBorders>
              <w:top w:val="nil"/>
              <w:left w:val="nil"/>
              <w:bottom w:val="nil"/>
              <w:right w:val="nil"/>
              <w:tl2br w:val="nil"/>
              <w:tr2bl w:val="nil"/>
            </w:tcBorders>
            <w:tcMar>
              <w:left w:w="60" w:type="dxa"/>
              <w:right w:w="60" w:type="dxa"/>
            </w:tcMar>
            <w:vAlign w:val="center"/>
          </w:tcPr>
          <w:p w14:paraId="6633CD9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6C63F3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51842BB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568CDE5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14:paraId="7539D26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649480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45D1E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036A7B5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020648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A64BF4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60C3268"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Justice</w:t>
            </w:r>
          </w:p>
        </w:tc>
        <w:tc>
          <w:tcPr>
            <w:tcW w:w="845" w:type="dxa"/>
            <w:tcBorders>
              <w:top w:val="nil"/>
              <w:left w:val="nil"/>
              <w:bottom w:val="nil"/>
              <w:right w:val="nil"/>
              <w:tl2br w:val="nil"/>
              <w:tr2bl w:val="nil"/>
            </w:tcBorders>
            <w:tcMar>
              <w:left w:w="60" w:type="dxa"/>
              <w:right w:w="60" w:type="dxa"/>
            </w:tcMar>
            <w:vAlign w:val="center"/>
          </w:tcPr>
          <w:p w14:paraId="7CF6B1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954" w:type="dxa"/>
            <w:tcBorders>
              <w:top w:val="nil"/>
              <w:left w:val="nil"/>
              <w:bottom w:val="nil"/>
              <w:right w:val="nil"/>
              <w:tl2br w:val="nil"/>
              <w:tr2bl w:val="nil"/>
            </w:tcBorders>
            <w:tcMar>
              <w:left w:w="60" w:type="dxa"/>
              <w:right w:w="60" w:type="dxa"/>
            </w:tcMar>
            <w:vAlign w:val="center"/>
          </w:tcPr>
          <w:p w14:paraId="1F05312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14:paraId="253C80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D2A44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79897B1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14:paraId="2A44A0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14:paraId="25D0819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B07559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36A76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65ED84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F9CB7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A3A4A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7955801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E53748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5BD44E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909B5D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Rights and Values</w:t>
            </w:r>
          </w:p>
        </w:tc>
        <w:tc>
          <w:tcPr>
            <w:tcW w:w="845" w:type="dxa"/>
            <w:tcBorders>
              <w:top w:val="nil"/>
              <w:left w:val="nil"/>
              <w:bottom w:val="nil"/>
              <w:right w:val="nil"/>
              <w:tl2br w:val="nil"/>
              <w:tr2bl w:val="nil"/>
            </w:tcBorders>
            <w:tcMar>
              <w:left w:w="60" w:type="dxa"/>
              <w:right w:w="60" w:type="dxa"/>
            </w:tcMar>
            <w:vAlign w:val="center"/>
          </w:tcPr>
          <w:p w14:paraId="649234C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194</w:t>
            </w:r>
          </w:p>
        </w:tc>
        <w:tc>
          <w:tcPr>
            <w:tcW w:w="954" w:type="dxa"/>
            <w:tcBorders>
              <w:top w:val="nil"/>
              <w:left w:val="nil"/>
              <w:bottom w:val="nil"/>
              <w:right w:val="nil"/>
              <w:tl2br w:val="nil"/>
              <w:tr2bl w:val="nil"/>
            </w:tcBorders>
            <w:tcMar>
              <w:left w:w="60" w:type="dxa"/>
              <w:right w:w="60" w:type="dxa"/>
            </w:tcMar>
            <w:vAlign w:val="center"/>
          </w:tcPr>
          <w:p w14:paraId="580076A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190</w:t>
            </w:r>
          </w:p>
        </w:tc>
        <w:tc>
          <w:tcPr>
            <w:tcW w:w="845" w:type="dxa"/>
            <w:tcBorders>
              <w:top w:val="nil"/>
              <w:left w:val="nil"/>
              <w:bottom w:val="nil"/>
              <w:right w:val="nil"/>
              <w:tl2br w:val="nil"/>
              <w:tr2bl w:val="nil"/>
            </w:tcBorders>
            <w:tcMar>
              <w:left w:w="60" w:type="dxa"/>
              <w:right w:w="60" w:type="dxa"/>
            </w:tcMar>
            <w:vAlign w:val="center"/>
          </w:tcPr>
          <w:p w14:paraId="24D60C1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29A932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F0B9C2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845" w:type="dxa"/>
            <w:tcBorders>
              <w:top w:val="nil"/>
              <w:left w:val="nil"/>
              <w:bottom w:val="nil"/>
              <w:right w:val="nil"/>
              <w:tl2br w:val="nil"/>
              <w:tr2bl w:val="nil"/>
            </w:tcBorders>
            <w:tcMar>
              <w:left w:w="60" w:type="dxa"/>
              <w:right w:w="60" w:type="dxa"/>
            </w:tcMar>
            <w:vAlign w:val="center"/>
          </w:tcPr>
          <w:p w14:paraId="3B734A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510B8B9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2F756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5CAF2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75C929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152981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8A27EC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CE5935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505D0A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2A986A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C9E9B7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0BBE066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333</w:t>
            </w:r>
          </w:p>
        </w:tc>
        <w:tc>
          <w:tcPr>
            <w:tcW w:w="954" w:type="dxa"/>
            <w:tcBorders>
              <w:top w:val="nil"/>
              <w:left w:val="nil"/>
              <w:bottom w:val="nil"/>
              <w:right w:val="nil"/>
              <w:tl2br w:val="nil"/>
              <w:tr2bl w:val="nil"/>
            </w:tcBorders>
            <w:tcMar>
              <w:left w:w="60" w:type="dxa"/>
              <w:right w:w="60" w:type="dxa"/>
            </w:tcMar>
            <w:vAlign w:val="center"/>
          </w:tcPr>
          <w:p w14:paraId="140995A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321</w:t>
            </w:r>
          </w:p>
        </w:tc>
        <w:tc>
          <w:tcPr>
            <w:tcW w:w="845" w:type="dxa"/>
            <w:tcBorders>
              <w:top w:val="nil"/>
              <w:left w:val="nil"/>
              <w:bottom w:val="nil"/>
              <w:right w:val="nil"/>
              <w:tl2br w:val="nil"/>
              <w:tr2bl w:val="nil"/>
            </w:tcBorders>
            <w:tcMar>
              <w:left w:w="60" w:type="dxa"/>
              <w:right w:w="60" w:type="dxa"/>
            </w:tcMar>
            <w:vAlign w:val="center"/>
          </w:tcPr>
          <w:p w14:paraId="4EBE425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404D3C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783E86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328</w:t>
            </w:r>
          </w:p>
        </w:tc>
        <w:tc>
          <w:tcPr>
            <w:tcW w:w="845" w:type="dxa"/>
            <w:tcBorders>
              <w:top w:val="nil"/>
              <w:left w:val="nil"/>
              <w:bottom w:val="nil"/>
              <w:right w:val="nil"/>
              <w:tl2br w:val="nil"/>
              <w:tr2bl w:val="nil"/>
            </w:tcBorders>
            <w:tcMar>
              <w:left w:w="60" w:type="dxa"/>
              <w:right w:w="60" w:type="dxa"/>
            </w:tcMar>
            <w:vAlign w:val="center"/>
          </w:tcPr>
          <w:p w14:paraId="11C89E0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5863795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B32CFA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67560E3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6B6C433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35CBDF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7F0DD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E6DCAB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5D528A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B2357A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5E6CDE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845" w:type="dxa"/>
            <w:tcBorders>
              <w:top w:val="nil"/>
              <w:left w:val="nil"/>
              <w:bottom w:val="nil"/>
              <w:right w:val="nil"/>
              <w:tl2br w:val="nil"/>
              <w:tr2bl w:val="nil"/>
            </w:tcBorders>
            <w:tcMar>
              <w:left w:w="60" w:type="dxa"/>
              <w:right w:w="60" w:type="dxa"/>
            </w:tcMar>
            <w:vAlign w:val="center"/>
          </w:tcPr>
          <w:p w14:paraId="7276EDA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14:paraId="57877FA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0439D4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990BB9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079AB5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56AEB20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06F14B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1F7D9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C52FA7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65FC2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2A670F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64837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1B76C0F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013303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D868575"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CBAC913"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64C0A32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954" w:type="dxa"/>
            <w:tcBorders>
              <w:top w:val="nil"/>
              <w:left w:val="nil"/>
              <w:bottom w:val="nil"/>
              <w:right w:val="nil"/>
              <w:tl2br w:val="nil"/>
              <w:tr2bl w:val="nil"/>
            </w:tcBorders>
            <w:tcMar>
              <w:left w:w="60" w:type="dxa"/>
              <w:right w:w="60" w:type="dxa"/>
            </w:tcMar>
            <w:vAlign w:val="center"/>
          </w:tcPr>
          <w:p w14:paraId="4D3F494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14:paraId="0FEA57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C1D1A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39068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14:paraId="05FFB8A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14:paraId="3E5AEF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19F00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BD032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D2A85E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3603C7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DFBC4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4EAD0E87"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4F5FDB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B2D0897"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9AF708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45" w:type="dxa"/>
            <w:tcBorders>
              <w:top w:val="nil"/>
              <w:left w:val="nil"/>
              <w:bottom w:val="nil"/>
              <w:right w:val="nil"/>
              <w:tl2br w:val="nil"/>
              <w:tr2bl w:val="nil"/>
            </w:tcBorders>
            <w:tcMar>
              <w:left w:w="60" w:type="dxa"/>
              <w:right w:w="60" w:type="dxa"/>
            </w:tcMar>
            <w:vAlign w:val="center"/>
          </w:tcPr>
          <w:p w14:paraId="0A7DE06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183</w:t>
            </w:r>
          </w:p>
        </w:tc>
        <w:tc>
          <w:tcPr>
            <w:tcW w:w="954" w:type="dxa"/>
            <w:tcBorders>
              <w:top w:val="nil"/>
              <w:left w:val="nil"/>
              <w:bottom w:val="nil"/>
              <w:right w:val="nil"/>
              <w:tl2br w:val="nil"/>
              <w:tr2bl w:val="nil"/>
            </w:tcBorders>
            <w:tcMar>
              <w:left w:w="60" w:type="dxa"/>
              <w:right w:w="60" w:type="dxa"/>
            </w:tcMar>
            <w:vAlign w:val="center"/>
          </w:tcPr>
          <w:p w14:paraId="1A16FA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178</w:t>
            </w:r>
          </w:p>
        </w:tc>
        <w:tc>
          <w:tcPr>
            <w:tcW w:w="845" w:type="dxa"/>
            <w:tcBorders>
              <w:top w:val="nil"/>
              <w:left w:val="nil"/>
              <w:bottom w:val="nil"/>
              <w:right w:val="nil"/>
              <w:tl2br w:val="nil"/>
              <w:tr2bl w:val="nil"/>
            </w:tcBorders>
            <w:tcMar>
              <w:left w:w="60" w:type="dxa"/>
              <w:right w:w="60" w:type="dxa"/>
            </w:tcMar>
            <w:vAlign w:val="center"/>
          </w:tcPr>
          <w:p w14:paraId="7E912E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2B5234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1A1765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182</w:t>
            </w:r>
          </w:p>
        </w:tc>
        <w:tc>
          <w:tcPr>
            <w:tcW w:w="845" w:type="dxa"/>
            <w:tcBorders>
              <w:top w:val="nil"/>
              <w:left w:val="nil"/>
              <w:bottom w:val="nil"/>
              <w:right w:val="nil"/>
              <w:tl2br w:val="nil"/>
              <w:tr2bl w:val="nil"/>
            </w:tcBorders>
            <w:tcMar>
              <w:left w:w="60" w:type="dxa"/>
              <w:right w:w="60" w:type="dxa"/>
            </w:tcMar>
            <w:vAlign w:val="center"/>
          </w:tcPr>
          <w:p w14:paraId="0E9D283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3E1C2A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9A216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3A57F98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5C0D0DF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BDE30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601E6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61F6D27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C8241B1"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7C14574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33656FA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2: Cohesion, Resilience and Values</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5781A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96 601</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7B98B9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45 231</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D03022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1 895</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777546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45 180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7EF093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92 306</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5841ED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96 %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7438BC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1 906</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3FA8F4F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2 377</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FCA22B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4 283</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8A2737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B3368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E4D32B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22A0C3B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11</w:t>
            </w:r>
          </w:p>
        </w:tc>
      </w:tr>
      <w:tr w:rsidR="00807FFE" w14:paraId="578A6B8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C1EEBD4" w14:textId="77777777" w:rsidR="00807FFE" w:rsidRDefault="00807FFE">
            <w:pPr>
              <w:pStyle w:val="DMETW36742BIPDetailedMFF3ImplementPayments"/>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94A1DA0"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3B5F5579" w14:textId="77777777" w:rsidR="00807FFE" w:rsidRDefault="00807FFE">
            <w:pPr>
              <w:pStyle w:val="DMETW36742BIPDetailedMFF3ImplementPayments"/>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535ECE56"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71E88BD"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970B025"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3227474"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BDA4706"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FE3BCEB"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ED37A6E"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20CBFED"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E2BCB80"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12AD6A0" w14:textId="77777777" w:rsidR="00807FFE" w:rsidRDefault="00807FFE">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3788BF9" w14:textId="77777777" w:rsidR="00807FFE" w:rsidRDefault="00807FFE">
            <w:pPr>
              <w:pStyle w:val="DMETW36742BIPDetailedMFF3ImplementPayments"/>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429E8CC0" w14:textId="77777777" w:rsidR="00807FFE" w:rsidRDefault="00807FFE">
            <w:pPr>
              <w:pStyle w:val="DMETW36742BIPDetailedMFF3ImplementPayments"/>
              <w:rPr>
                <w:rFonts w:ascii="Verdana" w:eastAsia="Verdana" w:hAnsi="Verdana" w:cs="Verdana"/>
                <w:i/>
                <w:noProof/>
                <w:color w:val="000000"/>
                <w:sz w:val="16"/>
                <w:lang w:bidi="en-GB"/>
              </w:rPr>
            </w:pPr>
          </w:p>
        </w:tc>
      </w:tr>
      <w:tr w:rsidR="00807FFE" w14:paraId="2D4E272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44CFD33"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3</w:t>
            </w:r>
          </w:p>
        </w:tc>
        <w:tc>
          <w:tcPr>
            <w:tcW w:w="3006" w:type="dxa"/>
            <w:tcBorders>
              <w:top w:val="nil"/>
              <w:left w:val="nil"/>
              <w:bottom w:val="nil"/>
              <w:right w:val="nil"/>
              <w:tl2br w:val="nil"/>
              <w:tr2bl w:val="nil"/>
            </w:tcBorders>
            <w:tcMar>
              <w:left w:w="60" w:type="dxa"/>
              <w:right w:w="60" w:type="dxa"/>
            </w:tcMar>
            <w:vAlign w:val="center"/>
          </w:tcPr>
          <w:p w14:paraId="489A8CD5"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Agricultural Guarantee Fund (EAGF)</w:t>
            </w:r>
          </w:p>
        </w:tc>
        <w:tc>
          <w:tcPr>
            <w:tcW w:w="845" w:type="dxa"/>
            <w:tcBorders>
              <w:top w:val="nil"/>
              <w:left w:val="nil"/>
              <w:bottom w:val="nil"/>
              <w:right w:val="nil"/>
              <w:tl2br w:val="nil"/>
              <w:tr2bl w:val="nil"/>
            </w:tcBorders>
            <w:tcMar>
              <w:left w:w="60" w:type="dxa"/>
              <w:right w:w="60" w:type="dxa"/>
            </w:tcMar>
            <w:vAlign w:val="center"/>
          </w:tcPr>
          <w:p w14:paraId="6C1992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41 377</w:t>
            </w:r>
          </w:p>
        </w:tc>
        <w:tc>
          <w:tcPr>
            <w:tcW w:w="954" w:type="dxa"/>
            <w:tcBorders>
              <w:top w:val="nil"/>
              <w:left w:val="nil"/>
              <w:bottom w:val="nil"/>
              <w:right w:val="nil"/>
              <w:tl2br w:val="nil"/>
              <w:tr2bl w:val="nil"/>
            </w:tcBorders>
            <w:tcMar>
              <w:left w:w="60" w:type="dxa"/>
              <w:right w:w="60" w:type="dxa"/>
            </w:tcMar>
            <w:vAlign w:val="center"/>
          </w:tcPr>
          <w:p w14:paraId="2C0BCCE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39 788</w:t>
            </w:r>
          </w:p>
        </w:tc>
        <w:tc>
          <w:tcPr>
            <w:tcW w:w="845" w:type="dxa"/>
            <w:tcBorders>
              <w:top w:val="nil"/>
              <w:left w:val="nil"/>
              <w:bottom w:val="nil"/>
              <w:right w:val="nil"/>
              <w:tl2br w:val="nil"/>
              <w:tr2bl w:val="nil"/>
            </w:tcBorders>
            <w:tcMar>
              <w:left w:w="60" w:type="dxa"/>
              <w:right w:w="60" w:type="dxa"/>
            </w:tcMar>
            <w:vAlign w:val="center"/>
          </w:tcPr>
          <w:p w14:paraId="5BBFBF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845" w:type="dxa"/>
            <w:tcBorders>
              <w:top w:val="nil"/>
              <w:left w:val="nil"/>
              <w:bottom w:val="nil"/>
              <w:right w:val="nil"/>
              <w:tl2br w:val="nil"/>
              <w:tr2bl w:val="nil"/>
            </w:tcBorders>
            <w:tcMar>
              <w:left w:w="60" w:type="dxa"/>
              <w:right w:w="60" w:type="dxa"/>
            </w:tcMar>
            <w:vAlign w:val="center"/>
          </w:tcPr>
          <w:p w14:paraId="663038E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925</w:t>
            </w:r>
          </w:p>
        </w:tc>
        <w:tc>
          <w:tcPr>
            <w:tcW w:w="845" w:type="dxa"/>
            <w:tcBorders>
              <w:top w:val="nil"/>
              <w:left w:val="nil"/>
              <w:bottom w:val="nil"/>
              <w:right w:val="nil"/>
              <w:tl2br w:val="nil"/>
              <w:tr2bl w:val="nil"/>
            </w:tcBorders>
            <w:tcMar>
              <w:left w:w="60" w:type="dxa"/>
              <w:right w:w="60" w:type="dxa"/>
            </w:tcMar>
            <w:vAlign w:val="center"/>
          </w:tcPr>
          <w:p w14:paraId="630307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40 904</w:t>
            </w:r>
          </w:p>
        </w:tc>
        <w:tc>
          <w:tcPr>
            <w:tcW w:w="845" w:type="dxa"/>
            <w:tcBorders>
              <w:top w:val="nil"/>
              <w:left w:val="nil"/>
              <w:bottom w:val="nil"/>
              <w:right w:val="nil"/>
              <w:tl2br w:val="nil"/>
              <w:tr2bl w:val="nil"/>
            </w:tcBorders>
            <w:tcMar>
              <w:left w:w="60" w:type="dxa"/>
              <w:right w:w="60" w:type="dxa"/>
            </w:tcMar>
            <w:vAlign w:val="center"/>
          </w:tcPr>
          <w:p w14:paraId="063FB0F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5474D68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392</w:t>
            </w:r>
          </w:p>
        </w:tc>
        <w:tc>
          <w:tcPr>
            <w:tcW w:w="845" w:type="dxa"/>
            <w:tcBorders>
              <w:top w:val="nil"/>
              <w:left w:val="nil"/>
              <w:bottom w:val="nil"/>
              <w:right w:val="nil"/>
              <w:tl2br w:val="nil"/>
              <w:tr2bl w:val="nil"/>
            </w:tcBorders>
            <w:tcMar>
              <w:left w:w="60" w:type="dxa"/>
              <w:right w:w="60" w:type="dxa"/>
            </w:tcMar>
            <w:vAlign w:val="center"/>
          </w:tcPr>
          <w:p w14:paraId="21581C3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14:paraId="4C3E616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463</w:t>
            </w:r>
          </w:p>
        </w:tc>
        <w:tc>
          <w:tcPr>
            <w:tcW w:w="845" w:type="dxa"/>
            <w:tcBorders>
              <w:top w:val="nil"/>
              <w:left w:val="nil"/>
              <w:bottom w:val="nil"/>
              <w:right w:val="nil"/>
              <w:tl2br w:val="nil"/>
              <w:tr2bl w:val="nil"/>
            </w:tcBorders>
            <w:tcMar>
              <w:left w:w="60" w:type="dxa"/>
              <w:right w:w="60" w:type="dxa"/>
            </w:tcMar>
            <w:vAlign w:val="center"/>
          </w:tcPr>
          <w:p w14:paraId="102AE7C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590AD5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FA0D9F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8D5CE0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w:t>
            </w:r>
          </w:p>
        </w:tc>
      </w:tr>
      <w:tr w:rsidR="00807FFE" w14:paraId="672E969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A40F4F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9033E0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Agricultural Fund for Rural Development (EAFRD)</w:t>
            </w:r>
          </w:p>
        </w:tc>
        <w:tc>
          <w:tcPr>
            <w:tcW w:w="845" w:type="dxa"/>
            <w:tcBorders>
              <w:top w:val="nil"/>
              <w:left w:val="nil"/>
              <w:bottom w:val="nil"/>
              <w:right w:val="nil"/>
              <w:tl2br w:val="nil"/>
              <w:tr2bl w:val="nil"/>
            </w:tcBorders>
            <w:tcMar>
              <w:left w:w="60" w:type="dxa"/>
              <w:right w:w="60" w:type="dxa"/>
            </w:tcMar>
            <w:vAlign w:val="center"/>
          </w:tcPr>
          <w:p w14:paraId="2C6EEA7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16 373</w:t>
            </w:r>
          </w:p>
        </w:tc>
        <w:tc>
          <w:tcPr>
            <w:tcW w:w="954" w:type="dxa"/>
            <w:tcBorders>
              <w:top w:val="nil"/>
              <w:left w:val="nil"/>
              <w:bottom w:val="nil"/>
              <w:right w:val="nil"/>
              <w:tl2br w:val="nil"/>
              <w:tr2bl w:val="nil"/>
            </w:tcBorders>
            <w:tcMar>
              <w:left w:w="60" w:type="dxa"/>
              <w:right w:w="60" w:type="dxa"/>
            </w:tcMar>
            <w:vAlign w:val="center"/>
          </w:tcPr>
          <w:p w14:paraId="36255D8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14 407</w:t>
            </w:r>
          </w:p>
        </w:tc>
        <w:tc>
          <w:tcPr>
            <w:tcW w:w="845" w:type="dxa"/>
            <w:tcBorders>
              <w:top w:val="nil"/>
              <w:left w:val="nil"/>
              <w:bottom w:val="nil"/>
              <w:right w:val="nil"/>
              <w:tl2br w:val="nil"/>
              <w:tr2bl w:val="nil"/>
            </w:tcBorders>
            <w:tcMar>
              <w:left w:w="60" w:type="dxa"/>
              <w:right w:w="60" w:type="dxa"/>
            </w:tcMar>
            <w:vAlign w:val="center"/>
          </w:tcPr>
          <w:p w14:paraId="5281C1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6E5A9E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1 445</w:t>
            </w:r>
          </w:p>
        </w:tc>
        <w:tc>
          <w:tcPr>
            <w:tcW w:w="845" w:type="dxa"/>
            <w:tcBorders>
              <w:top w:val="nil"/>
              <w:left w:val="nil"/>
              <w:bottom w:val="nil"/>
              <w:right w:val="nil"/>
              <w:tl2br w:val="nil"/>
              <w:tr2bl w:val="nil"/>
            </w:tcBorders>
            <w:tcMar>
              <w:left w:w="60" w:type="dxa"/>
              <w:right w:w="60" w:type="dxa"/>
            </w:tcMar>
            <w:vAlign w:val="center"/>
          </w:tcPr>
          <w:p w14:paraId="43B46ED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15 852</w:t>
            </w:r>
          </w:p>
        </w:tc>
        <w:tc>
          <w:tcPr>
            <w:tcW w:w="845" w:type="dxa"/>
            <w:tcBorders>
              <w:top w:val="nil"/>
              <w:left w:val="nil"/>
              <w:bottom w:val="nil"/>
              <w:right w:val="nil"/>
              <w:tl2br w:val="nil"/>
              <w:tr2bl w:val="nil"/>
            </w:tcBorders>
            <w:tcMar>
              <w:left w:w="60" w:type="dxa"/>
              <w:right w:w="60" w:type="dxa"/>
            </w:tcMar>
            <w:vAlign w:val="center"/>
          </w:tcPr>
          <w:p w14:paraId="7C0E13F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4320B1F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85906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519</w:t>
            </w:r>
          </w:p>
        </w:tc>
        <w:tc>
          <w:tcPr>
            <w:tcW w:w="845" w:type="dxa"/>
            <w:tcBorders>
              <w:top w:val="nil"/>
              <w:left w:val="nil"/>
              <w:bottom w:val="nil"/>
              <w:right w:val="nil"/>
              <w:tl2br w:val="nil"/>
              <w:tr2bl w:val="nil"/>
            </w:tcBorders>
            <w:tcMar>
              <w:left w:w="60" w:type="dxa"/>
              <w:right w:w="60" w:type="dxa"/>
            </w:tcMar>
            <w:vAlign w:val="center"/>
          </w:tcPr>
          <w:p w14:paraId="6A68F87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519</w:t>
            </w:r>
          </w:p>
        </w:tc>
        <w:tc>
          <w:tcPr>
            <w:tcW w:w="845" w:type="dxa"/>
            <w:tcBorders>
              <w:top w:val="nil"/>
              <w:left w:val="nil"/>
              <w:bottom w:val="nil"/>
              <w:right w:val="nil"/>
              <w:tl2br w:val="nil"/>
              <w:tr2bl w:val="nil"/>
            </w:tcBorders>
            <w:tcMar>
              <w:left w:w="60" w:type="dxa"/>
              <w:right w:w="60" w:type="dxa"/>
            </w:tcMar>
            <w:vAlign w:val="center"/>
          </w:tcPr>
          <w:p w14:paraId="5811DA0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FE734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3D92EB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DE2F71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B6ABDF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154A34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709CFD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Maritime, Fisheries and Aquaculture Fund (EMFAF)</w:t>
            </w:r>
          </w:p>
        </w:tc>
        <w:tc>
          <w:tcPr>
            <w:tcW w:w="845" w:type="dxa"/>
            <w:tcBorders>
              <w:top w:val="nil"/>
              <w:left w:val="nil"/>
              <w:bottom w:val="nil"/>
              <w:right w:val="nil"/>
              <w:tl2br w:val="nil"/>
              <w:tr2bl w:val="nil"/>
            </w:tcBorders>
            <w:tcMar>
              <w:left w:w="60" w:type="dxa"/>
              <w:right w:w="60" w:type="dxa"/>
            </w:tcMar>
            <w:vAlign w:val="center"/>
          </w:tcPr>
          <w:p w14:paraId="3E7813A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671</w:t>
            </w:r>
          </w:p>
        </w:tc>
        <w:tc>
          <w:tcPr>
            <w:tcW w:w="954" w:type="dxa"/>
            <w:tcBorders>
              <w:top w:val="nil"/>
              <w:left w:val="nil"/>
              <w:bottom w:val="nil"/>
              <w:right w:val="nil"/>
              <w:tl2br w:val="nil"/>
              <w:tr2bl w:val="nil"/>
            </w:tcBorders>
            <w:tcMar>
              <w:left w:w="60" w:type="dxa"/>
              <w:right w:w="60" w:type="dxa"/>
            </w:tcMar>
            <w:vAlign w:val="center"/>
          </w:tcPr>
          <w:p w14:paraId="1F9790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667</w:t>
            </w:r>
          </w:p>
        </w:tc>
        <w:tc>
          <w:tcPr>
            <w:tcW w:w="845" w:type="dxa"/>
            <w:tcBorders>
              <w:top w:val="nil"/>
              <w:left w:val="nil"/>
              <w:bottom w:val="nil"/>
              <w:right w:val="nil"/>
              <w:tl2br w:val="nil"/>
              <w:tr2bl w:val="nil"/>
            </w:tcBorders>
            <w:tcMar>
              <w:left w:w="60" w:type="dxa"/>
              <w:right w:w="60" w:type="dxa"/>
            </w:tcMar>
            <w:vAlign w:val="center"/>
          </w:tcPr>
          <w:p w14:paraId="1486CD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282F1E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44875D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670</w:t>
            </w:r>
          </w:p>
        </w:tc>
        <w:tc>
          <w:tcPr>
            <w:tcW w:w="845" w:type="dxa"/>
            <w:tcBorders>
              <w:top w:val="nil"/>
              <w:left w:val="nil"/>
              <w:bottom w:val="nil"/>
              <w:right w:val="nil"/>
              <w:tl2br w:val="nil"/>
              <w:tr2bl w:val="nil"/>
            </w:tcBorders>
            <w:tcMar>
              <w:left w:w="60" w:type="dxa"/>
              <w:right w:w="60" w:type="dxa"/>
            </w:tcMar>
            <w:vAlign w:val="center"/>
          </w:tcPr>
          <w:p w14:paraId="1816DF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407BD7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A14834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FFC7C9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44502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68E15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3EB875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DB45D44"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06E130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906726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76023A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Sustainable Fisheries Partnership Agreements (SFPA) and Regional Fisheries Management Organisations (RFMO)</w:t>
            </w:r>
          </w:p>
        </w:tc>
        <w:tc>
          <w:tcPr>
            <w:tcW w:w="845" w:type="dxa"/>
            <w:tcBorders>
              <w:top w:val="nil"/>
              <w:left w:val="nil"/>
              <w:bottom w:val="nil"/>
              <w:right w:val="nil"/>
              <w:tl2br w:val="nil"/>
              <w:tr2bl w:val="nil"/>
            </w:tcBorders>
            <w:tcMar>
              <w:left w:w="60" w:type="dxa"/>
              <w:right w:w="60" w:type="dxa"/>
            </w:tcMar>
            <w:vAlign w:val="center"/>
          </w:tcPr>
          <w:p w14:paraId="5E447A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954" w:type="dxa"/>
            <w:tcBorders>
              <w:top w:val="nil"/>
              <w:left w:val="nil"/>
              <w:bottom w:val="nil"/>
              <w:right w:val="nil"/>
              <w:tl2br w:val="nil"/>
              <w:tr2bl w:val="nil"/>
            </w:tcBorders>
            <w:tcMar>
              <w:left w:w="60" w:type="dxa"/>
              <w:right w:w="60" w:type="dxa"/>
            </w:tcMar>
            <w:vAlign w:val="center"/>
          </w:tcPr>
          <w:p w14:paraId="042279B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14:paraId="39A33C0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64323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8A568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14:paraId="1CB1116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4FF4787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0BEA9A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D80250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818FC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192B98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4E487C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0E3989F4"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C252F1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9DC048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8A574F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7E8633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954" w:type="dxa"/>
            <w:tcBorders>
              <w:top w:val="nil"/>
              <w:left w:val="nil"/>
              <w:bottom w:val="nil"/>
              <w:right w:val="nil"/>
              <w:tl2br w:val="nil"/>
              <w:tr2bl w:val="nil"/>
            </w:tcBorders>
            <w:tcMar>
              <w:left w:w="60" w:type="dxa"/>
              <w:right w:w="60" w:type="dxa"/>
            </w:tcMar>
            <w:vAlign w:val="center"/>
          </w:tcPr>
          <w:p w14:paraId="7D83DEE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14:paraId="470AED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946408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725A27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14:paraId="29D707B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394F2EA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DBD81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A136FA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6AE39F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4F3C2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67B900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6D5189E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A4A501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98BCDFB"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36A0D8C"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069674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54" w:type="dxa"/>
            <w:tcBorders>
              <w:top w:val="nil"/>
              <w:left w:val="nil"/>
              <w:bottom w:val="nil"/>
              <w:right w:val="nil"/>
              <w:tl2br w:val="nil"/>
              <w:tr2bl w:val="nil"/>
            </w:tcBorders>
            <w:tcMar>
              <w:left w:w="60" w:type="dxa"/>
              <w:right w:w="60" w:type="dxa"/>
            </w:tcMar>
            <w:vAlign w:val="center"/>
          </w:tcPr>
          <w:p w14:paraId="550F68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4B290B9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0AF24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A2A8BB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2D3E15B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83 %</w:t>
            </w:r>
          </w:p>
        </w:tc>
        <w:tc>
          <w:tcPr>
            <w:tcW w:w="845" w:type="dxa"/>
            <w:tcBorders>
              <w:top w:val="nil"/>
              <w:left w:val="nil"/>
              <w:bottom w:val="nil"/>
              <w:right w:val="nil"/>
              <w:tl2br w:val="nil"/>
              <w:tr2bl w:val="nil"/>
            </w:tcBorders>
            <w:tcMar>
              <w:left w:w="60" w:type="dxa"/>
              <w:right w:w="60" w:type="dxa"/>
            </w:tcMar>
            <w:vAlign w:val="center"/>
          </w:tcPr>
          <w:p w14:paraId="41D2E71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2F740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27C14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D1F5AB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6E8F4A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1FF7FE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01DA2F04"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6457125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FF07A6B"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79564D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Programme for Environment and Climate Action (LIFE)</w:t>
            </w:r>
          </w:p>
        </w:tc>
        <w:tc>
          <w:tcPr>
            <w:tcW w:w="845" w:type="dxa"/>
            <w:tcBorders>
              <w:top w:val="nil"/>
              <w:left w:val="nil"/>
              <w:bottom w:val="nil"/>
              <w:right w:val="nil"/>
              <w:tl2br w:val="nil"/>
              <w:tr2bl w:val="nil"/>
            </w:tcBorders>
            <w:tcMar>
              <w:left w:w="60" w:type="dxa"/>
              <w:right w:w="60" w:type="dxa"/>
            </w:tcMar>
            <w:vAlign w:val="center"/>
          </w:tcPr>
          <w:p w14:paraId="494968D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690</w:t>
            </w:r>
          </w:p>
        </w:tc>
        <w:tc>
          <w:tcPr>
            <w:tcW w:w="954" w:type="dxa"/>
            <w:tcBorders>
              <w:top w:val="nil"/>
              <w:left w:val="nil"/>
              <w:bottom w:val="nil"/>
              <w:right w:val="nil"/>
              <w:tl2br w:val="nil"/>
              <w:tr2bl w:val="nil"/>
            </w:tcBorders>
            <w:tcMar>
              <w:left w:w="60" w:type="dxa"/>
              <w:right w:w="60" w:type="dxa"/>
            </w:tcMar>
            <w:vAlign w:val="center"/>
          </w:tcPr>
          <w:p w14:paraId="2047BB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668</w:t>
            </w:r>
          </w:p>
        </w:tc>
        <w:tc>
          <w:tcPr>
            <w:tcW w:w="845" w:type="dxa"/>
            <w:tcBorders>
              <w:top w:val="nil"/>
              <w:left w:val="nil"/>
              <w:bottom w:val="nil"/>
              <w:right w:val="nil"/>
              <w:tl2br w:val="nil"/>
              <w:tr2bl w:val="nil"/>
            </w:tcBorders>
            <w:tcMar>
              <w:left w:w="60" w:type="dxa"/>
              <w:right w:w="60" w:type="dxa"/>
            </w:tcMar>
            <w:vAlign w:val="center"/>
          </w:tcPr>
          <w:p w14:paraId="7AEEFF3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3DC1FC6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55FC0A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677</w:t>
            </w:r>
          </w:p>
        </w:tc>
        <w:tc>
          <w:tcPr>
            <w:tcW w:w="845" w:type="dxa"/>
            <w:tcBorders>
              <w:top w:val="nil"/>
              <w:left w:val="nil"/>
              <w:bottom w:val="nil"/>
              <w:right w:val="nil"/>
              <w:tl2br w:val="nil"/>
              <w:tr2bl w:val="nil"/>
            </w:tcBorders>
            <w:tcMar>
              <w:left w:w="60" w:type="dxa"/>
              <w:right w:w="60" w:type="dxa"/>
            </w:tcMar>
            <w:vAlign w:val="center"/>
          </w:tcPr>
          <w:p w14:paraId="413CF3D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14:paraId="5A62E6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1F41126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1E6C7F4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14:paraId="435C33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338DA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7293D7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0426ECC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4065C37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B688C3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4D7312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Just Transition Fund</w:t>
            </w:r>
          </w:p>
        </w:tc>
        <w:tc>
          <w:tcPr>
            <w:tcW w:w="845" w:type="dxa"/>
            <w:tcBorders>
              <w:top w:val="nil"/>
              <w:left w:val="nil"/>
              <w:bottom w:val="nil"/>
              <w:right w:val="nil"/>
              <w:tl2br w:val="nil"/>
              <w:tr2bl w:val="nil"/>
            </w:tcBorders>
            <w:tcMar>
              <w:left w:w="60" w:type="dxa"/>
              <w:right w:w="60" w:type="dxa"/>
            </w:tcMar>
            <w:vAlign w:val="center"/>
          </w:tcPr>
          <w:p w14:paraId="7E85A1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1 436</w:t>
            </w:r>
          </w:p>
        </w:tc>
        <w:tc>
          <w:tcPr>
            <w:tcW w:w="954" w:type="dxa"/>
            <w:tcBorders>
              <w:top w:val="nil"/>
              <w:left w:val="nil"/>
              <w:bottom w:val="nil"/>
              <w:right w:val="nil"/>
              <w:tl2br w:val="nil"/>
              <w:tr2bl w:val="nil"/>
            </w:tcBorders>
            <w:tcMar>
              <w:left w:w="60" w:type="dxa"/>
              <w:right w:w="60" w:type="dxa"/>
            </w:tcMar>
            <w:vAlign w:val="center"/>
          </w:tcPr>
          <w:p w14:paraId="677F46C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18CA69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847CC7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1 166</w:t>
            </w:r>
          </w:p>
        </w:tc>
        <w:tc>
          <w:tcPr>
            <w:tcW w:w="845" w:type="dxa"/>
            <w:tcBorders>
              <w:top w:val="nil"/>
              <w:left w:val="nil"/>
              <w:bottom w:val="nil"/>
              <w:right w:val="nil"/>
              <w:tl2br w:val="nil"/>
              <w:tr2bl w:val="nil"/>
            </w:tcBorders>
            <w:tcMar>
              <w:left w:w="60" w:type="dxa"/>
              <w:right w:w="60" w:type="dxa"/>
            </w:tcMar>
            <w:vAlign w:val="center"/>
          </w:tcPr>
          <w:p w14:paraId="657B78F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1 170</w:t>
            </w:r>
          </w:p>
        </w:tc>
        <w:tc>
          <w:tcPr>
            <w:tcW w:w="845" w:type="dxa"/>
            <w:tcBorders>
              <w:top w:val="nil"/>
              <w:left w:val="nil"/>
              <w:bottom w:val="nil"/>
              <w:right w:val="nil"/>
              <w:tl2br w:val="nil"/>
              <w:tr2bl w:val="nil"/>
            </w:tcBorders>
            <w:tcMar>
              <w:left w:w="60" w:type="dxa"/>
              <w:right w:w="60" w:type="dxa"/>
            </w:tcMar>
            <w:vAlign w:val="center"/>
          </w:tcPr>
          <w:p w14:paraId="4CDBD0F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81 %</w:t>
            </w:r>
          </w:p>
        </w:tc>
        <w:tc>
          <w:tcPr>
            <w:tcW w:w="845" w:type="dxa"/>
            <w:tcBorders>
              <w:top w:val="nil"/>
              <w:left w:val="nil"/>
              <w:bottom w:val="nil"/>
              <w:right w:val="nil"/>
              <w:tl2br w:val="nil"/>
              <w:tr2bl w:val="nil"/>
            </w:tcBorders>
            <w:tcMar>
              <w:left w:w="60" w:type="dxa"/>
              <w:right w:w="60" w:type="dxa"/>
            </w:tcMar>
            <w:vAlign w:val="center"/>
          </w:tcPr>
          <w:p w14:paraId="27EBEF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15CE4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266</w:t>
            </w:r>
          </w:p>
        </w:tc>
        <w:tc>
          <w:tcPr>
            <w:tcW w:w="845" w:type="dxa"/>
            <w:tcBorders>
              <w:top w:val="nil"/>
              <w:left w:val="nil"/>
              <w:bottom w:val="nil"/>
              <w:right w:val="nil"/>
              <w:tl2br w:val="nil"/>
              <w:tr2bl w:val="nil"/>
            </w:tcBorders>
            <w:tcMar>
              <w:left w:w="60" w:type="dxa"/>
              <w:right w:w="60" w:type="dxa"/>
            </w:tcMar>
            <w:vAlign w:val="center"/>
          </w:tcPr>
          <w:p w14:paraId="03BF49F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266</w:t>
            </w:r>
          </w:p>
        </w:tc>
        <w:tc>
          <w:tcPr>
            <w:tcW w:w="845" w:type="dxa"/>
            <w:tcBorders>
              <w:top w:val="nil"/>
              <w:left w:val="nil"/>
              <w:bottom w:val="nil"/>
              <w:right w:val="nil"/>
              <w:tl2br w:val="nil"/>
              <w:tr2bl w:val="nil"/>
            </w:tcBorders>
            <w:tcMar>
              <w:left w:w="60" w:type="dxa"/>
              <w:right w:w="60" w:type="dxa"/>
            </w:tcMar>
            <w:vAlign w:val="center"/>
          </w:tcPr>
          <w:p w14:paraId="5C85BB3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16BD3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0A610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DC6D853"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E1B88E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B097C5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5F4A91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Public sector loan facility under the Just Transition Mechanism (JTM)</w:t>
            </w:r>
          </w:p>
        </w:tc>
        <w:tc>
          <w:tcPr>
            <w:tcW w:w="845" w:type="dxa"/>
            <w:tcBorders>
              <w:top w:val="nil"/>
              <w:left w:val="nil"/>
              <w:bottom w:val="nil"/>
              <w:right w:val="nil"/>
              <w:tl2br w:val="nil"/>
              <w:tr2bl w:val="nil"/>
            </w:tcBorders>
            <w:tcMar>
              <w:left w:w="60" w:type="dxa"/>
              <w:right w:w="60" w:type="dxa"/>
            </w:tcMar>
            <w:vAlign w:val="center"/>
          </w:tcPr>
          <w:p w14:paraId="2608B9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528</w:t>
            </w:r>
          </w:p>
        </w:tc>
        <w:tc>
          <w:tcPr>
            <w:tcW w:w="954" w:type="dxa"/>
            <w:tcBorders>
              <w:top w:val="nil"/>
              <w:left w:val="nil"/>
              <w:bottom w:val="nil"/>
              <w:right w:val="nil"/>
              <w:tl2br w:val="nil"/>
              <w:tr2bl w:val="nil"/>
            </w:tcBorders>
            <w:tcMar>
              <w:left w:w="60" w:type="dxa"/>
              <w:right w:w="60" w:type="dxa"/>
            </w:tcMar>
            <w:vAlign w:val="center"/>
          </w:tcPr>
          <w:p w14:paraId="37C5B47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14:paraId="36A84F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1F65D2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14:paraId="135FFBB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67</w:t>
            </w:r>
          </w:p>
        </w:tc>
        <w:tc>
          <w:tcPr>
            <w:tcW w:w="845" w:type="dxa"/>
            <w:tcBorders>
              <w:top w:val="nil"/>
              <w:left w:val="nil"/>
              <w:bottom w:val="nil"/>
              <w:right w:val="nil"/>
              <w:tl2br w:val="nil"/>
              <w:tr2bl w:val="nil"/>
            </w:tcBorders>
            <w:tcMar>
              <w:left w:w="60" w:type="dxa"/>
              <w:right w:w="60" w:type="dxa"/>
            </w:tcMar>
            <w:vAlign w:val="center"/>
          </w:tcPr>
          <w:p w14:paraId="6448091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13 %</w:t>
            </w:r>
          </w:p>
        </w:tc>
        <w:tc>
          <w:tcPr>
            <w:tcW w:w="845" w:type="dxa"/>
            <w:tcBorders>
              <w:top w:val="nil"/>
              <w:left w:val="nil"/>
              <w:bottom w:val="nil"/>
              <w:right w:val="nil"/>
              <w:tl2br w:val="nil"/>
              <w:tr2bl w:val="nil"/>
            </w:tcBorders>
            <w:tcMar>
              <w:left w:w="60" w:type="dxa"/>
              <w:right w:w="60" w:type="dxa"/>
            </w:tcMar>
            <w:vAlign w:val="center"/>
          </w:tcPr>
          <w:p w14:paraId="3A92D73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E56EA2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461</w:t>
            </w:r>
          </w:p>
        </w:tc>
        <w:tc>
          <w:tcPr>
            <w:tcW w:w="845" w:type="dxa"/>
            <w:tcBorders>
              <w:top w:val="nil"/>
              <w:left w:val="nil"/>
              <w:bottom w:val="nil"/>
              <w:right w:val="nil"/>
              <w:tl2br w:val="nil"/>
              <w:tr2bl w:val="nil"/>
            </w:tcBorders>
            <w:tcMar>
              <w:left w:w="60" w:type="dxa"/>
              <w:right w:w="60" w:type="dxa"/>
            </w:tcMar>
            <w:vAlign w:val="center"/>
          </w:tcPr>
          <w:p w14:paraId="576131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461</w:t>
            </w:r>
          </w:p>
        </w:tc>
        <w:tc>
          <w:tcPr>
            <w:tcW w:w="845" w:type="dxa"/>
            <w:tcBorders>
              <w:top w:val="nil"/>
              <w:left w:val="nil"/>
              <w:bottom w:val="nil"/>
              <w:right w:val="nil"/>
              <w:tl2br w:val="nil"/>
              <w:tr2bl w:val="nil"/>
            </w:tcBorders>
            <w:tcMar>
              <w:left w:w="60" w:type="dxa"/>
              <w:right w:w="60" w:type="dxa"/>
            </w:tcMar>
            <w:vAlign w:val="center"/>
          </w:tcPr>
          <w:p w14:paraId="46B143D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98365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0C73E3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6AAB62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ACDA28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160EF3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EC632C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4495CF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954" w:type="dxa"/>
            <w:tcBorders>
              <w:top w:val="nil"/>
              <w:left w:val="nil"/>
              <w:bottom w:val="nil"/>
              <w:right w:val="nil"/>
              <w:tl2br w:val="nil"/>
              <w:tr2bl w:val="nil"/>
            </w:tcBorders>
            <w:tcMar>
              <w:left w:w="60" w:type="dxa"/>
              <w:right w:w="60" w:type="dxa"/>
            </w:tcMar>
            <w:vAlign w:val="center"/>
          </w:tcPr>
          <w:p w14:paraId="42520CF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14:paraId="60C7641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C57F8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35D818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845" w:type="dxa"/>
            <w:tcBorders>
              <w:top w:val="nil"/>
              <w:left w:val="nil"/>
              <w:bottom w:val="nil"/>
              <w:right w:val="nil"/>
              <w:tl2br w:val="nil"/>
              <w:tr2bl w:val="nil"/>
            </w:tcBorders>
            <w:tcMar>
              <w:left w:w="60" w:type="dxa"/>
              <w:right w:w="60" w:type="dxa"/>
            </w:tcMar>
            <w:vAlign w:val="center"/>
          </w:tcPr>
          <w:p w14:paraId="3E1DD9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1A383A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A2DE0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D12CF7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5AD827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C72C3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9B88A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67A6F33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754211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DE1FB0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168F6E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22D55D0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54" w:type="dxa"/>
            <w:tcBorders>
              <w:top w:val="nil"/>
              <w:left w:val="nil"/>
              <w:bottom w:val="nil"/>
              <w:right w:val="nil"/>
              <w:tl2br w:val="nil"/>
              <w:tr2bl w:val="nil"/>
            </w:tcBorders>
            <w:tcMar>
              <w:left w:w="60" w:type="dxa"/>
              <w:right w:w="60" w:type="dxa"/>
            </w:tcMar>
            <w:vAlign w:val="center"/>
          </w:tcPr>
          <w:p w14:paraId="6E5DBBB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1CF738D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34C768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76C24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4ACEE38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90 %</w:t>
            </w:r>
          </w:p>
        </w:tc>
        <w:tc>
          <w:tcPr>
            <w:tcW w:w="845" w:type="dxa"/>
            <w:tcBorders>
              <w:top w:val="nil"/>
              <w:left w:val="nil"/>
              <w:bottom w:val="nil"/>
              <w:right w:val="nil"/>
              <w:tl2br w:val="nil"/>
              <w:tr2bl w:val="nil"/>
            </w:tcBorders>
            <w:tcMar>
              <w:left w:w="60" w:type="dxa"/>
              <w:right w:w="60" w:type="dxa"/>
            </w:tcMar>
            <w:vAlign w:val="center"/>
          </w:tcPr>
          <w:p w14:paraId="7DFAFF6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12481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07FAA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CB8FAB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F7671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DE2B3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D1AC714"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53C002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186F6A7"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1B14998"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45" w:type="dxa"/>
            <w:tcBorders>
              <w:top w:val="nil"/>
              <w:left w:val="nil"/>
              <w:bottom w:val="nil"/>
              <w:right w:val="nil"/>
              <w:tl2br w:val="nil"/>
              <w:tr2bl w:val="nil"/>
            </w:tcBorders>
            <w:tcMar>
              <w:left w:w="60" w:type="dxa"/>
              <w:right w:w="60" w:type="dxa"/>
            </w:tcMar>
            <w:vAlign w:val="center"/>
          </w:tcPr>
          <w:p w14:paraId="69613F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954" w:type="dxa"/>
            <w:tcBorders>
              <w:top w:val="nil"/>
              <w:left w:val="nil"/>
              <w:bottom w:val="nil"/>
              <w:right w:val="nil"/>
              <w:tl2br w:val="nil"/>
              <w:tr2bl w:val="nil"/>
            </w:tcBorders>
            <w:tcMar>
              <w:left w:w="60" w:type="dxa"/>
              <w:right w:w="60" w:type="dxa"/>
            </w:tcMar>
            <w:vAlign w:val="center"/>
          </w:tcPr>
          <w:p w14:paraId="52DAB2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14:paraId="2B03CC0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BB777A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875D0E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14:paraId="3ADB1CB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14:paraId="02E924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5374B2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54C264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566AC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4EF6367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694A1F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1F164AB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w:t>
            </w:r>
          </w:p>
        </w:tc>
      </w:tr>
      <w:tr w:rsidR="00807FFE" w14:paraId="6F06A9DC"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59DDC2A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2B82A57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3: Natural Resources and Environment</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E12A3A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61 329</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3C1D9E0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55 799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7435FC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EBD75A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3 590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5589D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59 589</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438FE92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97 %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2F1516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399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7ECD49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1 323</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47DB60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1 722</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5BD9B4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5FB30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08C67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456FD9E3"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w:t>
            </w:r>
          </w:p>
        </w:tc>
      </w:tr>
      <w:tr w:rsidR="00807FFE" w14:paraId="670E1CA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DAF594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B01CCE4" w14:textId="77777777" w:rsidR="00807FFE" w:rsidRDefault="00807FFE">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F1E32A7" w14:textId="77777777" w:rsidR="00807FFE" w:rsidRDefault="00807FFE">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1489F2D5"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B3597C5"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20C117F"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4080011"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1F7583B"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90090ED"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5C47E22"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E27CB5E"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7B1846E"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0323B0A"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20FC8A0" w14:textId="77777777" w:rsidR="00807FFE" w:rsidRDefault="00807FFE">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32905B5F" w14:textId="77777777" w:rsidR="00807FFE" w:rsidRDefault="00807FFE">
            <w:pPr>
              <w:pStyle w:val="DMETW36742BIPDetailedMFF3ImplementPayments"/>
              <w:jc w:val="right"/>
              <w:rPr>
                <w:rFonts w:ascii="Verdana" w:eastAsia="Verdana" w:hAnsi="Verdana" w:cs="Verdana"/>
                <w:noProof/>
                <w:color w:val="000000"/>
                <w:sz w:val="16"/>
                <w:lang w:bidi="en-GB"/>
              </w:rPr>
            </w:pPr>
          </w:p>
        </w:tc>
      </w:tr>
      <w:tr w:rsidR="00807FFE" w14:paraId="6B2F71F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36E656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4</w:t>
            </w:r>
          </w:p>
        </w:tc>
        <w:tc>
          <w:tcPr>
            <w:tcW w:w="3006" w:type="dxa"/>
            <w:tcBorders>
              <w:top w:val="nil"/>
              <w:left w:val="nil"/>
              <w:bottom w:val="nil"/>
              <w:right w:val="nil"/>
              <w:tl2br w:val="nil"/>
              <w:tr2bl w:val="nil"/>
            </w:tcBorders>
            <w:tcMar>
              <w:left w:w="60" w:type="dxa"/>
              <w:right w:w="60" w:type="dxa"/>
            </w:tcMar>
            <w:vAlign w:val="center"/>
          </w:tcPr>
          <w:p w14:paraId="5D33CF8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Asylum, Migration and Integration Fund</w:t>
            </w:r>
          </w:p>
        </w:tc>
        <w:tc>
          <w:tcPr>
            <w:tcW w:w="845" w:type="dxa"/>
            <w:tcBorders>
              <w:top w:val="nil"/>
              <w:left w:val="nil"/>
              <w:bottom w:val="nil"/>
              <w:right w:val="nil"/>
              <w:tl2br w:val="nil"/>
              <w:tr2bl w:val="nil"/>
            </w:tcBorders>
            <w:tcMar>
              <w:left w:w="60" w:type="dxa"/>
              <w:right w:w="60" w:type="dxa"/>
            </w:tcMar>
            <w:vAlign w:val="center"/>
          </w:tcPr>
          <w:p w14:paraId="27ACEB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1 450</w:t>
            </w:r>
          </w:p>
        </w:tc>
        <w:tc>
          <w:tcPr>
            <w:tcW w:w="954" w:type="dxa"/>
            <w:tcBorders>
              <w:top w:val="nil"/>
              <w:left w:val="nil"/>
              <w:bottom w:val="nil"/>
              <w:right w:val="nil"/>
              <w:tl2br w:val="nil"/>
              <w:tr2bl w:val="nil"/>
            </w:tcBorders>
            <w:tcMar>
              <w:left w:w="60" w:type="dxa"/>
              <w:right w:w="60" w:type="dxa"/>
            </w:tcMar>
            <w:vAlign w:val="center"/>
          </w:tcPr>
          <w:p w14:paraId="2FCA9A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1 205</w:t>
            </w:r>
          </w:p>
        </w:tc>
        <w:tc>
          <w:tcPr>
            <w:tcW w:w="845" w:type="dxa"/>
            <w:tcBorders>
              <w:top w:val="nil"/>
              <w:left w:val="nil"/>
              <w:bottom w:val="nil"/>
              <w:right w:val="nil"/>
              <w:tl2br w:val="nil"/>
              <w:tr2bl w:val="nil"/>
            </w:tcBorders>
            <w:tcMar>
              <w:left w:w="60" w:type="dxa"/>
              <w:right w:w="60" w:type="dxa"/>
            </w:tcMar>
            <w:vAlign w:val="center"/>
          </w:tcPr>
          <w:p w14:paraId="0A9A967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678AF86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81</w:t>
            </w:r>
          </w:p>
        </w:tc>
        <w:tc>
          <w:tcPr>
            <w:tcW w:w="845" w:type="dxa"/>
            <w:tcBorders>
              <w:top w:val="nil"/>
              <w:left w:val="nil"/>
              <w:bottom w:val="nil"/>
              <w:right w:val="nil"/>
              <w:tl2br w:val="nil"/>
              <w:tr2bl w:val="nil"/>
            </w:tcBorders>
            <w:tcMar>
              <w:left w:w="60" w:type="dxa"/>
              <w:right w:w="60" w:type="dxa"/>
            </w:tcMar>
            <w:vAlign w:val="center"/>
          </w:tcPr>
          <w:p w14:paraId="596818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1 288</w:t>
            </w:r>
          </w:p>
        </w:tc>
        <w:tc>
          <w:tcPr>
            <w:tcW w:w="845" w:type="dxa"/>
            <w:tcBorders>
              <w:top w:val="nil"/>
              <w:left w:val="nil"/>
              <w:bottom w:val="nil"/>
              <w:right w:val="nil"/>
              <w:tl2br w:val="nil"/>
              <w:tr2bl w:val="nil"/>
            </w:tcBorders>
            <w:tcMar>
              <w:left w:w="60" w:type="dxa"/>
              <w:right w:w="60" w:type="dxa"/>
            </w:tcMar>
            <w:vAlign w:val="center"/>
          </w:tcPr>
          <w:p w14:paraId="097270E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89 %</w:t>
            </w:r>
          </w:p>
        </w:tc>
        <w:tc>
          <w:tcPr>
            <w:tcW w:w="845" w:type="dxa"/>
            <w:tcBorders>
              <w:top w:val="nil"/>
              <w:left w:val="nil"/>
              <w:bottom w:val="nil"/>
              <w:right w:val="nil"/>
              <w:tl2br w:val="nil"/>
              <w:tr2bl w:val="nil"/>
            </w:tcBorders>
            <w:tcMar>
              <w:left w:w="60" w:type="dxa"/>
              <w:right w:w="60" w:type="dxa"/>
            </w:tcMar>
            <w:vAlign w:val="center"/>
          </w:tcPr>
          <w:p w14:paraId="0660EE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4FA6EBF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160</w:t>
            </w:r>
          </w:p>
        </w:tc>
        <w:tc>
          <w:tcPr>
            <w:tcW w:w="845" w:type="dxa"/>
            <w:tcBorders>
              <w:top w:val="nil"/>
              <w:left w:val="nil"/>
              <w:bottom w:val="nil"/>
              <w:right w:val="nil"/>
              <w:tl2br w:val="nil"/>
              <w:tr2bl w:val="nil"/>
            </w:tcBorders>
            <w:tcMar>
              <w:left w:w="60" w:type="dxa"/>
              <w:right w:w="60" w:type="dxa"/>
            </w:tcMar>
            <w:vAlign w:val="center"/>
          </w:tcPr>
          <w:p w14:paraId="51B82B7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161</w:t>
            </w:r>
          </w:p>
        </w:tc>
        <w:tc>
          <w:tcPr>
            <w:tcW w:w="845" w:type="dxa"/>
            <w:tcBorders>
              <w:top w:val="nil"/>
              <w:left w:val="nil"/>
              <w:bottom w:val="nil"/>
              <w:right w:val="nil"/>
              <w:tl2br w:val="nil"/>
              <w:tr2bl w:val="nil"/>
            </w:tcBorders>
            <w:tcMar>
              <w:left w:w="60" w:type="dxa"/>
              <w:right w:w="60" w:type="dxa"/>
            </w:tcMar>
            <w:vAlign w:val="center"/>
          </w:tcPr>
          <w:p w14:paraId="2167626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63790F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CC040D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685844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812B19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6345EC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2250C4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1254CFA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205</w:t>
            </w:r>
          </w:p>
        </w:tc>
        <w:tc>
          <w:tcPr>
            <w:tcW w:w="954" w:type="dxa"/>
            <w:tcBorders>
              <w:top w:val="nil"/>
              <w:left w:val="nil"/>
              <w:bottom w:val="nil"/>
              <w:right w:val="nil"/>
              <w:tl2br w:val="nil"/>
              <w:tr2bl w:val="nil"/>
            </w:tcBorders>
            <w:tcMar>
              <w:left w:w="60" w:type="dxa"/>
              <w:right w:w="60" w:type="dxa"/>
            </w:tcMar>
            <w:vAlign w:val="center"/>
          </w:tcPr>
          <w:p w14:paraId="5AAF9E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845" w:type="dxa"/>
            <w:tcBorders>
              <w:top w:val="nil"/>
              <w:left w:val="nil"/>
              <w:bottom w:val="nil"/>
              <w:right w:val="nil"/>
              <w:tl2br w:val="nil"/>
              <w:tr2bl w:val="nil"/>
            </w:tcBorders>
            <w:tcMar>
              <w:left w:w="60" w:type="dxa"/>
              <w:right w:w="60" w:type="dxa"/>
            </w:tcMar>
            <w:vAlign w:val="center"/>
          </w:tcPr>
          <w:p w14:paraId="1E6EC35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A49349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0572E64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202</w:t>
            </w:r>
          </w:p>
        </w:tc>
        <w:tc>
          <w:tcPr>
            <w:tcW w:w="845" w:type="dxa"/>
            <w:tcBorders>
              <w:top w:val="nil"/>
              <w:left w:val="nil"/>
              <w:bottom w:val="nil"/>
              <w:right w:val="nil"/>
              <w:tl2br w:val="nil"/>
              <w:tr2bl w:val="nil"/>
            </w:tcBorders>
            <w:tcMar>
              <w:left w:w="60" w:type="dxa"/>
              <w:right w:w="60" w:type="dxa"/>
            </w:tcMar>
            <w:vAlign w:val="center"/>
          </w:tcPr>
          <w:p w14:paraId="23F9542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14:paraId="2F1E9A5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413AF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42364A0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37C3592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C3FAF6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239609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E3AFD4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4CB26B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0345EFB"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42C646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border management and visa (BMVI)</w:t>
            </w:r>
          </w:p>
        </w:tc>
        <w:tc>
          <w:tcPr>
            <w:tcW w:w="845" w:type="dxa"/>
            <w:tcBorders>
              <w:top w:val="nil"/>
              <w:left w:val="nil"/>
              <w:bottom w:val="nil"/>
              <w:right w:val="nil"/>
              <w:tl2br w:val="nil"/>
              <w:tr2bl w:val="nil"/>
            </w:tcBorders>
            <w:tcMar>
              <w:left w:w="60" w:type="dxa"/>
              <w:right w:w="60" w:type="dxa"/>
            </w:tcMar>
            <w:vAlign w:val="center"/>
          </w:tcPr>
          <w:p w14:paraId="6613A2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1 291</w:t>
            </w:r>
          </w:p>
        </w:tc>
        <w:tc>
          <w:tcPr>
            <w:tcW w:w="954" w:type="dxa"/>
            <w:tcBorders>
              <w:top w:val="nil"/>
              <w:left w:val="nil"/>
              <w:bottom w:val="nil"/>
              <w:right w:val="nil"/>
              <w:tl2br w:val="nil"/>
              <w:tr2bl w:val="nil"/>
            </w:tcBorders>
            <w:tcMar>
              <w:left w:w="60" w:type="dxa"/>
              <w:right w:w="60" w:type="dxa"/>
            </w:tcMar>
            <w:vAlign w:val="center"/>
          </w:tcPr>
          <w:p w14:paraId="1A529D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817</w:t>
            </w:r>
          </w:p>
        </w:tc>
        <w:tc>
          <w:tcPr>
            <w:tcW w:w="845" w:type="dxa"/>
            <w:tcBorders>
              <w:top w:val="nil"/>
              <w:left w:val="nil"/>
              <w:bottom w:val="nil"/>
              <w:right w:val="nil"/>
              <w:tl2br w:val="nil"/>
              <w:tr2bl w:val="nil"/>
            </w:tcBorders>
            <w:tcMar>
              <w:left w:w="60" w:type="dxa"/>
              <w:right w:w="60" w:type="dxa"/>
            </w:tcMar>
            <w:vAlign w:val="center"/>
          </w:tcPr>
          <w:p w14:paraId="6E760A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18152A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101</w:t>
            </w:r>
          </w:p>
        </w:tc>
        <w:tc>
          <w:tcPr>
            <w:tcW w:w="845" w:type="dxa"/>
            <w:tcBorders>
              <w:top w:val="nil"/>
              <w:left w:val="nil"/>
              <w:bottom w:val="nil"/>
              <w:right w:val="nil"/>
              <w:tl2br w:val="nil"/>
              <w:tr2bl w:val="nil"/>
            </w:tcBorders>
            <w:tcMar>
              <w:left w:w="60" w:type="dxa"/>
              <w:right w:w="60" w:type="dxa"/>
            </w:tcMar>
            <w:vAlign w:val="center"/>
          </w:tcPr>
          <w:p w14:paraId="194C4D4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919</w:t>
            </w:r>
          </w:p>
        </w:tc>
        <w:tc>
          <w:tcPr>
            <w:tcW w:w="845" w:type="dxa"/>
            <w:tcBorders>
              <w:top w:val="nil"/>
              <w:left w:val="nil"/>
              <w:bottom w:val="nil"/>
              <w:right w:val="nil"/>
              <w:tl2br w:val="nil"/>
              <w:tr2bl w:val="nil"/>
            </w:tcBorders>
            <w:tcMar>
              <w:left w:w="60" w:type="dxa"/>
              <w:right w:w="60" w:type="dxa"/>
            </w:tcMar>
            <w:vAlign w:val="center"/>
          </w:tcPr>
          <w:p w14:paraId="1F3E2F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71 %</w:t>
            </w:r>
          </w:p>
        </w:tc>
        <w:tc>
          <w:tcPr>
            <w:tcW w:w="845" w:type="dxa"/>
            <w:tcBorders>
              <w:top w:val="nil"/>
              <w:left w:val="nil"/>
              <w:bottom w:val="nil"/>
              <w:right w:val="nil"/>
              <w:tl2br w:val="nil"/>
              <w:tr2bl w:val="nil"/>
            </w:tcBorders>
            <w:tcMar>
              <w:left w:w="60" w:type="dxa"/>
              <w:right w:w="60" w:type="dxa"/>
            </w:tcMar>
            <w:vAlign w:val="center"/>
          </w:tcPr>
          <w:p w14:paraId="2FBBD6F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43263E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370</w:t>
            </w:r>
          </w:p>
        </w:tc>
        <w:tc>
          <w:tcPr>
            <w:tcW w:w="845" w:type="dxa"/>
            <w:tcBorders>
              <w:top w:val="nil"/>
              <w:left w:val="nil"/>
              <w:bottom w:val="nil"/>
              <w:right w:val="nil"/>
              <w:tl2br w:val="nil"/>
              <w:tr2bl w:val="nil"/>
            </w:tcBorders>
            <w:tcMar>
              <w:left w:w="60" w:type="dxa"/>
              <w:right w:w="60" w:type="dxa"/>
            </w:tcMar>
            <w:vAlign w:val="center"/>
          </w:tcPr>
          <w:p w14:paraId="2C2F41C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371</w:t>
            </w:r>
          </w:p>
        </w:tc>
        <w:tc>
          <w:tcPr>
            <w:tcW w:w="845" w:type="dxa"/>
            <w:tcBorders>
              <w:top w:val="nil"/>
              <w:left w:val="nil"/>
              <w:bottom w:val="nil"/>
              <w:right w:val="nil"/>
              <w:tl2br w:val="nil"/>
              <w:tr2bl w:val="nil"/>
            </w:tcBorders>
            <w:tcMar>
              <w:left w:w="60" w:type="dxa"/>
              <w:right w:w="60" w:type="dxa"/>
            </w:tcMar>
            <w:vAlign w:val="center"/>
          </w:tcPr>
          <w:p w14:paraId="2BFC27B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38D8EC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8ABFBB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8E503A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1947C9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09A1C85"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344D78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financial support for customs control equipment (CCEi)</w:t>
            </w:r>
          </w:p>
        </w:tc>
        <w:tc>
          <w:tcPr>
            <w:tcW w:w="845" w:type="dxa"/>
            <w:tcBorders>
              <w:top w:val="nil"/>
              <w:left w:val="nil"/>
              <w:bottom w:val="nil"/>
              <w:right w:val="nil"/>
              <w:tl2br w:val="nil"/>
              <w:tr2bl w:val="nil"/>
            </w:tcBorders>
            <w:tcMar>
              <w:left w:w="60" w:type="dxa"/>
              <w:right w:w="60" w:type="dxa"/>
            </w:tcMar>
            <w:vAlign w:val="center"/>
          </w:tcPr>
          <w:p w14:paraId="230D659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954" w:type="dxa"/>
            <w:tcBorders>
              <w:top w:val="nil"/>
              <w:left w:val="nil"/>
              <w:bottom w:val="nil"/>
              <w:right w:val="nil"/>
              <w:tl2br w:val="nil"/>
              <w:tr2bl w:val="nil"/>
            </w:tcBorders>
            <w:tcMar>
              <w:left w:w="60" w:type="dxa"/>
              <w:right w:w="60" w:type="dxa"/>
            </w:tcMar>
            <w:vAlign w:val="center"/>
          </w:tcPr>
          <w:p w14:paraId="53FFC60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165D92E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1EDA5C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A1787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14:paraId="33C0A52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73 %</w:t>
            </w:r>
          </w:p>
        </w:tc>
        <w:tc>
          <w:tcPr>
            <w:tcW w:w="845" w:type="dxa"/>
            <w:tcBorders>
              <w:top w:val="nil"/>
              <w:left w:val="nil"/>
              <w:bottom w:val="nil"/>
              <w:right w:val="nil"/>
              <w:tl2br w:val="nil"/>
              <w:tr2bl w:val="nil"/>
            </w:tcBorders>
            <w:tcMar>
              <w:left w:w="60" w:type="dxa"/>
              <w:right w:w="60" w:type="dxa"/>
            </w:tcMar>
            <w:vAlign w:val="center"/>
          </w:tcPr>
          <w:p w14:paraId="008C841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9B32AD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97E2E9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8CEA2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A38FA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46E053A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6F5DFB9"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2B22C0E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87BC80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FB49578"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0DD704F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1 407</w:t>
            </w:r>
          </w:p>
        </w:tc>
        <w:tc>
          <w:tcPr>
            <w:tcW w:w="954" w:type="dxa"/>
            <w:tcBorders>
              <w:top w:val="nil"/>
              <w:left w:val="nil"/>
              <w:bottom w:val="nil"/>
              <w:right w:val="nil"/>
              <w:tl2br w:val="nil"/>
              <w:tr2bl w:val="nil"/>
            </w:tcBorders>
            <w:tcMar>
              <w:left w:w="60" w:type="dxa"/>
              <w:right w:w="60" w:type="dxa"/>
            </w:tcMar>
            <w:vAlign w:val="center"/>
          </w:tcPr>
          <w:p w14:paraId="0CE678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1 334</w:t>
            </w:r>
          </w:p>
        </w:tc>
        <w:tc>
          <w:tcPr>
            <w:tcW w:w="845" w:type="dxa"/>
            <w:tcBorders>
              <w:top w:val="nil"/>
              <w:left w:val="nil"/>
              <w:bottom w:val="nil"/>
              <w:right w:val="nil"/>
              <w:tl2br w:val="nil"/>
              <w:tr2bl w:val="nil"/>
            </w:tcBorders>
            <w:tcMar>
              <w:left w:w="60" w:type="dxa"/>
              <w:right w:w="60" w:type="dxa"/>
            </w:tcMar>
            <w:vAlign w:val="center"/>
          </w:tcPr>
          <w:p w14:paraId="00B93BD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D388B1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845" w:type="dxa"/>
            <w:tcBorders>
              <w:top w:val="nil"/>
              <w:left w:val="nil"/>
              <w:bottom w:val="nil"/>
              <w:right w:val="nil"/>
              <w:tl2br w:val="nil"/>
              <w:tr2bl w:val="nil"/>
            </w:tcBorders>
            <w:tcMar>
              <w:left w:w="60" w:type="dxa"/>
              <w:right w:w="60" w:type="dxa"/>
            </w:tcMar>
            <w:vAlign w:val="center"/>
          </w:tcPr>
          <w:p w14:paraId="5D3D5D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1 386</w:t>
            </w:r>
          </w:p>
        </w:tc>
        <w:tc>
          <w:tcPr>
            <w:tcW w:w="845" w:type="dxa"/>
            <w:tcBorders>
              <w:top w:val="nil"/>
              <w:left w:val="nil"/>
              <w:bottom w:val="nil"/>
              <w:right w:val="nil"/>
              <w:tl2br w:val="nil"/>
              <w:tr2bl w:val="nil"/>
            </w:tcBorders>
            <w:tcMar>
              <w:left w:w="60" w:type="dxa"/>
              <w:right w:w="60" w:type="dxa"/>
            </w:tcMar>
            <w:vAlign w:val="center"/>
          </w:tcPr>
          <w:p w14:paraId="16485D1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7127B3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B14F9D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14:paraId="0EC27C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14:paraId="56201C6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8EF952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A3905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489F879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6CFA5DC"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6F4FCF42"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63CF19A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4: Migration and Border Management</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B17ED1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4 386</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7FF05C6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3 560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314F63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635808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239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D8FB2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3 819</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2CBADAB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87 %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765E0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3A6F9F0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554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73594B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557</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D97B0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F4A1F6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9A327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732B7FB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w:t>
            </w:r>
          </w:p>
        </w:tc>
      </w:tr>
      <w:tr w:rsidR="00807FFE" w14:paraId="78E4875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71AD80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BDEDFC8" w14:textId="77777777" w:rsidR="00807FFE" w:rsidRDefault="00807FFE">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03BE7ED" w14:textId="77777777" w:rsidR="00807FFE" w:rsidRDefault="00807FFE">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753D5B11"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DDB9190"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B6C1AD9"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D4EF95B"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9C10215"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C79BA5E"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4EF80B7"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3329BAC8"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2EF5D60"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3DE1A19"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A9BEBFA" w14:textId="77777777" w:rsidR="00807FFE" w:rsidRDefault="00807FFE">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5AB8A6D1" w14:textId="77777777" w:rsidR="00807FFE" w:rsidRDefault="00807FFE">
            <w:pPr>
              <w:pStyle w:val="DMETW36742BIPDetailedMFF3ImplementPayments"/>
              <w:jc w:val="right"/>
              <w:rPr>
                <w:rFonts w:ascii="Verdana" w:eastAsia="Verdana" w:hAnsi="Verdana" w:cs="Verdana"/>
                <w:noProof/>
                <w:color w:val="000000"/>
                <w:sz w:val="16"/>
                <w:lang w:bidi="en-GB"/>
              </w:rPr>
            </w:pPr>
          </w:p>
        </w:tc>
      </w:tr>
      <w:tr w:rsidR="00807FFE" w14:paraId="38E4C96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2286E7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5</w:t>
            </w:r>
          </w:p>
        </w:tc>
        <w:tc>
          <w:tcPr>
            <w:tcW w:w="3006" w:type="dxa"/>
            <w:tcBorders>
              <w:top w:val="nil"/>
              <w:left w:val="nil"/>
              <w:bottom w:val="nil"/>
              <w:right w:val="nil"/>
              <w:tl2br w:val="nil"/>
              <w:tr2bl w:val="nil"/>
            </w:tcBorders>
            <w:tcMar>
              <w:left w:w="60" w:type="dxa"/>
              <w:right w:w="60" w:type="dxa"/>
            </w:tcMar>
            <w:vAlign w:val="center"/>
          </w:tcPr>
          <w:p w14:paraId="1422BA0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Internal Security Fund (ISF)</w:t>
            </w:r>
          </w:p>
        </w:tc>
        <w:tc>
          <w:tcPr>
            <w:tcW w:w="845" w:type="dxa"/>
            <w:tcBorders>
              <w:top w:val="nil"/>
              <w:left w:val="nil"/>
              <w:bottom w:val="nil"/>
              <w:right w:val="nil"/>
              <w:tl2br w:val="nil"/>
              <w:tr2bl w:val="nil"/>
            </w:tcBorders>
            <w:tcMar>
              <w:left w:w="60" w:type="dxa"/>
              <w:right w:w="60" w:type="dxa"/>
            </w:tcMar>
            <w:vAlign w:val="center"/>
          </w:tcPr>
          <w:p w14:paraId="1348511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296</w:t>
            </w:r>
          </w:p>
        </w:tc>
        <w:tc>
          <w:tcPr>
            <w:tcW w:w="954" w:type="dxa"/>
            <w:tcBorders>
              <w:top w:val="nil"/>
              <w:left w:val="nil"/>
              <w:bottom w:val="nil"/>
              <w:right w:val="nil"/>
              <w:tl2br w:val="nil"/>
              <w:tr2bl w:val="nil"/>
            </w:tcBorders>
            <w:tcMar>
              <w:left w:w="60" w:type="dxa"/>
              <w:right w:w="60" w:type="dxa"/>
            </w:tcMar>
            <w:vAlign w:val="center"/>
          </w:tcPr>
          <w:p w14:paraId="585B23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242</w:t>
            </w:r>
          </w:p>
        </w:tc>
        <w:tc>
          <w:tcPr>
            <w:tcW w:w="845" w:type="dxa"/>
            <w:tcBorders>
              <w:top w:val="nil"/>
              <w:left w:val="nil"/>
              <w:bottom w:val="nil"/>
              <w:right w:val="nil"/>
              <w:tl2br w:val="nil"/>
              <w:tr2bl w:val="nil"/>
            </w:tcBorders>
            <w:tcMar>
              <w:left w:w="60" w:type="dxa"/>
              <w:right w:w="60" w:type="dxa"/>
            </w:tcMar>
            <w:vAlign w:val="center"/>
          </w:tcPr>
          <w:p w14:paraId="3B64A7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F7F2FE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14:paraId="6D5E03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257</w:t>
            </w:r>
          </w:p>
        </w:tc>
        <w:tc>
          <w:tcPr>
            <w:tcW w:w="845" w:type="dxa"/>
            <w:tcBorders>
              <w:top w:val="nil"/>
              <w:left w:val="nil"/>
              <w:bottom w:val="nil"/>
              <w:right w:val="nil"/>
              <w:tl2br w:val="nil"/>
              <w:tr2bl w:val="nil"/>
            </w:tcBorders>
            <w:tcMar>
              <w:left w:w="60" w:type="dxa"/>
              <w:right w:w="60" w:type="dxa"/>
            </w:tcMar>
            <w:vAlign w:val="center"/>
          </w:tcPr>
          <w:p w14:paraId="4AC6352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87 %</w:t>
            </w:r>
          </w:p>
        </w:tc>
        <w:tc>
          <w:tcPr>
            <w:tcW w:w="845" w:type="dxa"/>
            <w:tcBorders>
              <w:top w:val="nil"/>
              <w:left w:val="nil"/>
              <w:bottom w:val="nil"/>
              <w:right w:val="nil"/>
              <w:tl2br w:val="nil"/>
              <w:tr2bl w:val="nil"/>
            </w:tcBorders>
            <w:tcMar>
              <w:left w:w="60" w:type="dxa"/>
              <w:right w:w="60" w:type="dxa"/>
            </w:tcMar>
            <w:vAlign w:val="center"/>
          </w:tcPr>
          <w:p w14:paraId="30F228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50E88C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845" w:type="dxa"/>
            <w:tcBorders>
              <w:top w:val="nil"/>
              <w:left w:val="nil"/>
              <w:bottom w:val="nil"/>
              <w:right w:val="nil"/>
              <w:tl2br w:val="nil"/>
              <w:tr2bl w:val="nil"/>
            </w:tcBorders>
            <w:tcMar>
              <w:left w:w="60" w:type="dxa"/>
              <w:right w:w="60" w:type="dxa"/>
            </w:tcMar>
            <w:vAlign w:val="center"/>
          </w:tcPr>
          <w:p w14:paraId="29A2FD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845" w:type="dxa"/>
            <w:tcBorders>
              <w:top w:val="nil"/>
              <w:left w:val="nil"/>
              <w:bottom w:val="nil"/>
              <w:right w:val="nil"/>
              <w:tl2br w:val="nil"/>
              <w:tr2bl w:val="nil"/>
            </w:tcBorders>
            <w:tcMar>
              <w:left w:w="60" w:type="dxa"/>
              <w:right w:w="60" w:type="dxa"/>
            </w:tcMar>
            <w:vAlign w:val="center"/>
          </w:tcPr>
          <w:p w14:paraId="6CD6DBD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9BBDD8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72E86F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1EFBB1E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18D505A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C0F502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281E86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Nuclear decommissioning (Lithuania)</w:t>
            </w:r>
          </w:p>
        </w:tc>
        <w:tc>
          <w:tcPr>
            <w:tcW w:w="845" w:type="dxa"/>
            <w:tcBorders>
              <w:top w:val="nil"/>
              <w:left w:val="nil"/>
              <w:bottom w:val="nil"/>
              <w:right w:val="nil"/>
              <w:tl2br w:val="nil"/>
              <w:tr2bl w:val="nil"/>
            </w:tcBorders>
            <w:tcMar>
              <w:left w:w="60" w:type="dxa"/>
              <w:right w:w="60" w:type="dxa"/>
            </w:tcMar>
            <w:vAlign w:val="center"/>
          </w:tcPr>
          <w:p w14:paraId="3CBE0FF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954" w:type="dxa"/>
            <w:tcBorders>
              <w:top w:val="nil"/>
              <w:left w:val="nil"/>
              <w:bottom w:val="nil"/>
              <w:right w:val="nil"/>
              <w:tl2br w:val="nil"/>
              <w:tr2bl w:val="nil"/>
            </w:tcBorders>
            <w:tcMar>
              <w:left w:w="60" w:type="dxa"/>
              <w:right w:w="60" w:type="dxa"/>
            </w:tcMar>
            <w:vAlign w:val="center"/>
          </w:tcPr>
          <w:p w14:paraId="627727F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845" w:type="dxa"/>
            <w:tcBorders>
              <w:top w:val="nil"/>
              <w:left w:val="nil"/>
              <w:bottom w:val="nil"/>
              <w:right w:val="nil"/>
              <w:tl2br w:val="nil"/>
              <w:tr2bl w:val="nil"/>
            </w:tcBorders>
            <w:tcMar>
              <w:left w:w="60" w:type="dxa"/>
              <w:right w:w="60" w:type="dxa"/>
            </w:tcMar>
            <w:vAlign w:val="center"/>
          </w:tcPr>
          <w:p w14:paraId="1044C8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9D868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E38108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845" w:type="dxa"/>
            <w:tcBorders>
              <w:top w:val="nil"/>
              <w:left w:val="nil"/>
              <w:bottom w:val="nil"/>
              <w:right w:val="nil"/>
              <w:tl2br w:val="nil"/>
              <w:tr2bl w:val="nil"/>
            </w:tcBorders>
            <w:tcMar>
              <w:left w:w="60" w:type="dxa"/>
              <w:right w:w="60" w:type="dxa"/>
            </w:tcMar>
            <w:vAlign w:val="center"/>
          </w:tcPr>
          <w:p w14:paraId="07DFD9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31B71CE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8DBB2C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F66BB0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32319D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4A2725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70A5B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35BEE63"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65F024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F46F8F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0CADE8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Nuclear Safety and decommissioning (incl. For Bulgaria and Slovakia)</w:t>
            </w:r>
          </w:p>
        </w:tc>
        <w:tc>
          <w:tcPr>
            <w:tcW w:w="845" w:type="dxa"/>
            <w:tcBorders>
              <w:top w:val="nil"/>
              <w:left w:val="nil"/>
              <w:bottom w:val="nil"/>
              <w:right w:val="nil"/>
              <w:tl2br w:val="nil"/>
              <w:tr2bl w:val="nil"/>
            </w:tcBorders>
            <w:tcMar>
              <w:left w:w="60" w:type="dxa"/>
              <w:right w:w="60" w:type="dxa"/>
            </w:tcMar>
            <w:vAlign w:val="center"/>
          </w:tcPr>
          <w:p w14:paraId="21C781A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64</w:t>
            </w:r>
          </w:p>
        </w:tc>
        <w:tc>
          <w:tcPr>
            <w:tcW w:w="954" w:type="dxa"/>
            <w:tcBorders>
              <w:top w:val="nil"/>
              <w:left w:val="nil"/>
              <w:bottom w:val="nil"/>
              <w:right w:val="nil"/>
              <w:tl2br w:val="nil"/>
              <w:tr2bl w:val="nil"/>
            </w:tcBorders>
            <w:tcMar>
              <w:left w:w="60" w:type="dxa"/>
              <w:right w:w="60" w:type="dxa"/>
            </w:tcMar>
            <w:vAlign w:val="center"/>
          </w:tcPr>
          <w:p w14:paraId="7DC5249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845" w:type="dxa"/>
            <w:tcBorders>
              <w:top w:val="nil"/>
              <w:left w:val="nil"/>
              <w:bottom w:val="nil"/>
              <w:right w:val="nil"/>
              <w:tl2br w:val="nil"/>
              <w:tr2bl w:val="nil"/>
            </w:tcBorders>
            <w:tcMar>
              <w:left w:w="60" w:type="dxa"/>
              <w:right w:w="60" w:type="dxa"/>
            </w:tcMar>
            <w:vAlign w:val="center"/>
          </w:tcPr>
          <w:p w14:paraId="0F191D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19B172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5D4F12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60</w:t>
            </w:r>
          </w:p>
        </w:tc>
        <w:tc>
          <w:tcPr>
            <w:tcW w:w="845" w:type="dxa"/>
            <w:tcBorders>
              <w:top w:val="nil"/>
              <w:left w:val="nil"/>
              <w:bottom w:val="nil"/>
              <w:right w:val="nil"/>
              <w:tl2br w:val="nil"/>
              <w:tr2bl w:val="nil"/>
            </w:tcBorders>
            <w:tcMar>
              <w:left w:w="60" w:type="dxa"/>
              <w:right w:w="60" w:type="dxa"/>
            </w:tcMar>
            <w:vAlign w:val="center"/>
          </w:tcPr>
          <w:p w14:paraId="1534AD9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14:paraId="20F4C28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68D706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C1071E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3DEF49F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1FF583C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8CCB36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00BF91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6318177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5E7365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21D35E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35A88CA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300</w:t>
            </w:r>
          </w:p>
        </w:tc>
        <w:tc>
          <w:tcPr>
            <w:tcW w:w="954" w:type="dxa"/>
            <w:tcBorders>
              <w:top w:val="nil"/>
              <w:left w:val="nil"/>
              <w:bottom w:val="nil"/>
              <w:right w:val="nil"/>
              <w:tl2br w:val="nil"/>
              <w:tr2bl w:val="nil"/>
            </w:tcBorders>
            <w:tcMar>
              <w:left w:w="60" w:type="dxa"/>
              <w:right w:w="60" w:type="dxa"/>
            </w:tcMar>
            <w:vAlign w:val="center"/>
          </w:tcPr>
          <w:p w14:paraId="1E29621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274</w:t>
            </w:r>
          </w:p>
        </w:tc>
        <w:tc>
          <w:tcPr>
            <w:tcW w:w="845" w:type="dxa"/>
            <w:tcBorders>
              <w:top w:val="nil"/>
              <w:left w:val="nil"/>
              <w:bottom w:val="nil"/>
              <w:right w:val="nil"/>
              <w:tl2br w:val="nil"/>
              <w:tr2bl w:val="nil"/>
            </w:tcBorders>
            <w:tcMar>
              <w:left w:w="60" w:type="dxa"/>
              <w:right w:w="60" w:type="dxa"/>
            </w:tcMar>
            <w:vAlign w:val="center"/>
          </w:tcPr>
          <w:p w14:paraId="34A5521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54B239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6EA1D6A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281</w:t>
            </w:r>
          </w:p>
        </w:tc>
        <w:tc>
          <w:tcPr>
            <w:tcW w:w="845" w:type="dxa"/>
            <w:tcBorders>
              <w:top w:val="nil"/>
              <w:left w:val="nil"/>
              <w:bottom w:val="nil"/>
              <w:right w:val="nil"/>
              <w:tl2br w:val="nil"/>
              <w:tr2bl w:val="nil"/>
            </w:tcBorders>
            <w:tcMar>
              <w:left w:w="60" w:type="dxa"/>
              <w:right w:w="60" w:type="dxa"/>
            </w:tcMar>
            <w:vAlign w:val="center"/>
          </w:tcPr>
          <w:p w14:paraId="51B5EE8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14:paraId="4B8DCE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1A4622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0FA901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14:paraId="61AD2EC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BE856B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B5497A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674BD43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EADE6C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E483A5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3F40CB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6498261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14:paraId="3BFA0BE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2A6BA8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14F070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FCCF7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54D370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0E457A7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A77D6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25BEB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B6440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0157C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3589D9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79A29EA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678BA8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07B466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44966E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45" w:type="dxa"/>
            <w:tcBorders>
              <w:top w:val="nil"/>
              <w:left w:val="nil"/>
              <w:bottom w:val="nil"/>
              <w:right w:val="nil"/>
              <w:tl2br w:val="nil"/>
              <w:tr2bl w:val="nil"/>
            </w:tcBorders>
            <w:tcMar>
              <w:left w:w="60" w:type="dxa"/>
              <w:right w:w="60" w:type="dxa"/>
            </w:tcMar>
            <w:vAlign w:val="center"/>
          </w:tcPr>
          <w:p w14:paraId="7EFD01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954" w:type="dxa"/>
            <w:tcBorders>
              <w:top w:val="nil"/>
              <w:left w:val="nil"/>
              <w:bottom w:val="nil"/>
              <w:right w:val="nil"/>
              <w:tl2br w:val="nil"/>
              <w:tr2bl w:val="nil"/>
            </w:tcBorders>
            <w:tcMar>
              <w:left w:w="60" w:type="dxa"/>
              <w:right w:w="60" w:type="dxa"/>
            </w:tcMar>
            <w:vAlign w:val="center"/>
          </w:tcPr>
          <w:p w14:paraId="4B2FB9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14:paraId="00E8BB4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B6452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2B91BB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14:paraId="2268538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175A4A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DF82B0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49689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E33249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B0ECD9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1F2819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F63106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2BD85E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0996E1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92245E5"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Defence Fund (Research)</w:t>
            </w:r>
          </w:p>
        </w:tc>
        <w:tc>
          <w:tcPr>
            <w:tcW w:w="845" w:type="dxa"/>
            <w:tcBorders>
              <w:top w:val="nil"/>
              <w:left w:val="nil"/>
              <w:bottom w:val="nil"/>
              <w:right w:val="nil"/>
              <w:tl2br w:val="nil"/>
              <w:tr2bl w:val="nil"/>
            </w:tcBorders>
            <w:tcMar>
              <w:left w:w="60" w:type="dxa"/>
              <w:right w:w="60" w:type="dxa"/>
            </w:tcMar>
            <w:vAlign w:val="center"/>
          </w:tcPr>
          <w:p w14:paraId="32E049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296</w:t>
            </w:r>
          </w:p>
        </w:tc>
        <w:tc>
          <w:tcPr>
            <w:tcW w:w="954" w:type="dxa"/>
            <w:tcBorders>
              <w:top w:val="nil"/>
              <w:left w:val="nil"/>
              <w:bottom w:val="nil"/>
              <w:right w:val="nil"/>
              <w:tl2br w:val="nil"/>
              <w:tr2bl w:val="nil"/>
            </w:tcBorders>
            <w:tcMar>
              <w:left w:w="60" w:type="dxa"/>
              <w:right w:w="60" w:type="dxa"/>
            </w:tcMar>
            <w:vAlign w:val="center"/>
          </w:tcPr>
          <w:p w14:paraId="617419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286</w:t>
            </w:r>
          </w:p>
        </w:tc>
        <w:tc>
          <w:tcPr>
            <w:tcW w:w="845" w:type="dxa"/>
            <w:tcBorders>
              <w:top w:val="nil"/>
              <w:left w:val="nil"/>
              <w:bottom w:val="nil"/>
              <w:right w:val="nil"/>
              <w:tl2br w:val="nil"/>
              <w:tr2bl w:val="nil"/>
            </w:tcBorders>
            <w:tcMar>
              <w:left w:w="60" w:type="dxa"/>
              <w:right w:w="60" w:type="dxa"/>
            </w:tcMar>
            <w:vAlign w:val="center"/>
          </w:tcPr>
          <w:p w14:paraId="3DF6755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3015C7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5644CF0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295</w:t>
            </w:r>
          </w:p>
        </w:tc>
        <w:tc>
          <w:tcPr>
            <w:tcW w:w="845" w:type="dxa"/>
            <w:tcBorders>
              <w:top w:val="nil"/>
              <w:left w:val="nil"/>
              <w:bottom w:val="nil"/>
              <w:right w:val="nil"/>
              <w:tl2br w:val="nil"/>
              <w:tr2bl w:val="nil"/>
            </w:tcBorders>
            <w:tcMar>
              <w:left w:w="60" w:type="dxa"/>
              <w:right w:w="60" w:type="dxa"/>
            </w:tcMar>
            <w:vAlign w:val="center"/>
          </w:tcPr>
          <w:p w14:paraId="28C6B67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6A5340F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6F0D52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02DBED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5FFF6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7A570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0CF56F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7D46DDF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DAA904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BC7960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2D4A9CC"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Defence Fund (Non Research)</w:t>
            </w:r>
          </w:p>
        </w:tc>
        <w:tc>
          <w:tcPr>
            <w:tcW w:w="845" w:type="dxa"/>
            <w:tcBorders>
              <w:top w:val="nil"/>
              <w:left w:val="nil"/>
              <w:bottom w:val="nil"/>
              <w:right w:val="nil"/>
              <w:tl2br w:val="nil"/>
              <w:tr2bl w:val="nil"/>
            </w:tcBorders>
            <w:tcMar>
              <w:left w:w="60" w:type="dxa"/>
              <w:right w:w="60" w:type="dxa"/>
            </w:tcMar>
            <w:vAlign w:val="center"/>
          </w:tcPr>
          <w:p w14:paraId="0382C39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566</w:t>
            </w:r>
          </w:p>
        </w:tc>
        <w:tc>
          <w:tcPr>
            <w:tcW w:w="954" w:type="dxa"/>
            <w:tcBorders>
              <w:top w:val="nil"/>
              <w:left w:val="nil"/>
              <w:bottom w:val="nil"/>
              <w:right w:val="nil"/>
              <w:tl2br w:val="nil"/>
              <w:tr2bl w:val="nil"/>
            </w:tcBorders>
            <w:tcMar>
              <w:left w:w="60" w:type="dxa"/>
              <w:right w:w="60" w:type="dxa"/>
            </w:tcMar>
            <w:vAlign w:val="center"/>
          </w:tcPr>
          <w:p w14:paraId="4A9722F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543</w:t>
            </w:r>
          </w:p>
        </w:tc>
        <w:tc>
          <w:tcPr>
            <w:tcW w:w="845" w:type="dxa"/>
            <w:tcBorders>
              <w:top w:val="nil"/>
              <w:left w:val="nil"/>
              <w:bottom w:val="nil"/>
              <w:right w:val="nil"/>
              <w:tl2br w:val="nil"/>
              <w:tr2bl w:val="nil"/>
            </w:tcBorders>
            <w:tcMar>
              <w:left w:w="60" w:type="dxa"/>
              <w:right w:w="60" w:type="dxa"/>
            </w:tcMar>
            <w:vAlign w:val="center"/>
          </w:tcPr>
          <w:p w14:paraId="2325622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6C32644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14:paraId="643CEA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562</w:t>
            </w:r>
          </w:p>
        </w:tc>
        <w:tc>
          <w:tcPr>
            <w:tcW w:w="845" w:type="dxa"/>
            <w:tcBorders>
              <w:top w:val="nil"/>
              <w:left w:val="nil"/>
              <w:bottom w:val="nil"/>
              <w:right w:val="nil"/>
              <w:tl2br w:val="nil"/>
              <w:tr2bl w:val="nil"/>
            </w:tcBorders>
            <w:tcMar>
              <w:left w:w="60" w:type="dxa"/>
              <w:right w:w="60" w:type="dxa"/>
            </w:tcMar>
            <w:vAlign w:val="center"/>
          </w:tcPr>
          <w:p w14:paraId="0FF954B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6B33245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24067BE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7CCBD8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748F2DF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3E271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11DE56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42F78B5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52EF4A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36CF82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67921FA"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Military Mobility</w:t>
            </w:r>
          </w:p>
        </w:tc>
        <w:tc>
          <w:tcPr>
            <w:tcW w:w="845" w:type="dxa"/>
            <w:tcBorders>
              <w:top w:val="nil"/>
              <w:left w:val="nil"/>
              <w:bottom w:val="nil"/>
              <w:right w:val="nil"/>
              <w:tl2br w:val="nil"/>
              <w:tr2bl w:val="nil"/>
            </w:tcBorders>
            <w:tcMar>
              <w:left w:w="60" w:type="dxa"/>
              <w:right w:w="60" w:type="dxa"/>
            </w:tcMar>
            <w:vAlign w:val="center"/>
          </w:tcPr>
          <w:p w14:paraId="7019289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137</w:t>
            </w:r>
          </w:p>
        </w:tc>
        <w:tc>
          <w:tcPr>
            <w:tcW w:w="954" w:type="dxa"/>
            <w:tcBorders>
              <w:top w:val="nil"/>
              <w:left w:val="nil"/>
              <w:bottom w:val="nil"/>
              <w:right w:val="nil"/>
              <w:tl2br w:val="nil"/>
              <w:tr2bl w:val="nil"/>
            </w:tcBorders>
            <w:tcMar>
              <w:left w:w="60" w:type="dxa"/>
              <w:right w:w="60" w:type="dxa"/>
            </w:tcMar>
            <w:vAlign w:val="center"/>
          </w:tcPr>
          <w:p w14:paraId="10363E1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136</w:t>
            </w:r>
          </w:p>
        </w:tc>
        <w:tc>
          <w:tcPr>
            <w:tcW w:w="845" w:type="dxa"/>
            <w:tcBorders>
              <w:top w:val="nil"/>
              <w:left w:val="nil"/>
              <w:bottom w:val="nil"/>
              <w:right w:val="nil"/>
              <w:tl2br w:val="nil"/>
              <w:tr2bl w:val="nil"/>
            </w:tcBorders>
            <w:tcMar>
              <w:left w:w="60" w:type="dxa"/>
              <w:right w:w="60" w:type="dxa"/>
            </w:tcMar>
            <w:vAlign w:val="center"/>
          </w:tcPr>
          <w:p w14:paraId="0BF88BC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91693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221AEE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136</w:t>
            </w:r>
          </w:p>
        </w:tc>
        <w:tc>
          <w:tcPr>
            <w:tcW w:w="845" w:type="dxa"/>
            <w:tcBorders>
              <w:top w:val="nil"/>
              <w:left w:val="nil"/>
              <w:bottom w:val="nil"/>
              <w:right w:val="nil"/>
              <w:tl2br w:val="nil"/>
              <w:tr2bl w:val="nil"/>
            </w:tcBorders>
            <w:tcMar>
              <w:left w:w="60" w:type="dxa"/>
              <w:right w:w="60" w:type="dxa"/>
            </w:tcMar>
            <w:vAlign w:val="center"/>
          </w:tcPr>
          <w:p w14:paraId="713FE7F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3BB338A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59199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DB37DD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9EE4FA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673AC1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E9EAF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8C2687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1810F4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56C6675"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AA394C3"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Short-term Defence instrument on common procurement</w:t>
            </w:r>
          </w:p>
        </w:tc>
        <w:tc>
          <w:tcPr>
            <w:tcW w:w="845" w:type="dxa"/>
            <w:tcBorders>
              <w:top w:val="nil"/>
              <w:left w:val="nil"/>
              <w:bottom w:val="nil"/>
              <w:right w:val="nil"/>
              <w:tl2br w:val="nil"/>
              <w:tr2bl w:val="nil"/>
            </w:tcBorders>
            <w:tcMar>
              <w:left w:w="60" w:type="dxa"/>
              <w:right w:w="60" w:type="dxa"/>
            </w:tcMar>
            <w:vAlign w:val="center"/>
          </w:tcPr>
          <w:p w14:paraId="408EB2C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954" w:type="dxa"/>
            <w:tcBorders>
              <w:top w:val="nil"/>
              <w:left w:val="nil"/>
              <w:bottom w:val="nil"/>
              <w:right w:val="nil"/>
              <w:tl2br w:val="nil"/>
              <w:tr2bl w:val="nil"/>
            </w:tcBorders>
            <w:tcMar>
              <w:left w:w="60" w:type="dxa"/>
              <w:right w:w="60" w:type="dxa"/>
            </w:tcMar>
            <w:vAlign w:val="center"/>
          </w:tcPr>
          <w:p w14:paraId="3D6DC0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60</w:t>
            </w:r>
          </w:p>
        </w:tc>
        <w:tc>
          <w:tcPr>
            <w:tcW w:w="845" w:type="dxa"/>
            <w:tcBorders>
              <w:top w:val="nil"/>
              <w:left w:val="nil"/>
              <w:bottom w:val="nil"/>
              <w:right w:val="nil"/>
              <w:tl2br w:val="nil"/>
              <w:tr2bl w:val="nil"/>
            </w:tcBorders>
            <w:tcMar>
              <w:left w:w="60" w:type="dxa"/>
              <w:right w:w="60" w:type="dxa"/>
            </w:tcMar>
            <w:vAlign w:val="center"/>
          </w:tcPr>
          <w:p w14:paraId="368B6FD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E4F4BE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631E9B0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845" w:type="dxa"/>
            <w:tcBorders>
              <w:top w:val="nil"/>
              <w:left w:val="nil"/>
              <w:bottom w:val="nil"/>
              <w:right w:val="nil"/>
              <w:tl2br w:val="nil"/>
              <w:tr2bl w:val="nil"/>
            </w:tcBorders>
            <w:tcMar>
              <w:left w:w="60" w:type="dxa"/>
              <w:right w:w="60" w:type="dxa"/>
            </w:tcMar>
            <w:vAlign w:val="center"/>
          </w:tcPr>
          <w:p w14:paraId="282D4BE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6CC5D54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C92ED8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BAE9E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50DBF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B86420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89FB7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325427A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3A3509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F34BF36"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59843FA"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Defence Industrial Reinforcement Instrument</w:t>
            </w:r>
          </w:p>
        </w:tc>
        <w:tc>
          <w:tcPr>
            <w:tcW w:w="845" w:type="dxa"/>
            <w:tcBorders>
              <w:top w:val="nil"/>
              <w:left w:val="nil"/>
              <w:bottom w:val="nil"/>
              <w:right w:val="nil"/>
              <w:tl2br w:val="nil"/>
              <w:tr2bl w:val="nil"/>
            </w:tcBorders>
            <w:tcMar>
              <w:left w:w="60" w:type="dxa"/>
              <w:right w:w="60" w:type="dxa"/>
            </w:tcMar>
            <w:vAlign w:val="center"/>
          </w:tcPr>
          <w:p w14:paraId="0D747A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954" w:type="dxa"/>
            <w:tcBorders>
              <w:top w:val="nil"/>
              <w:left w:val="nil"/>
              <w:bottom w:val="nil"/>
              <w:right w:val="nil"/>
              <w:tl2br w:val="nil"/>
              <w:tr2bl w:val="nil"/>
            </w:tcBorders>
            <w:tcMar>
              <w:left w:w="60" w:type="dxa"/>
              <w:right w:w="60" w:type="dxa"/>
            </w:tcMar>
            <w:vAlign w:val="center"/>
          </w:tcPr>
          <w:p w14:paraId="48913DC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14:paraId="06FC5D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A93400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1E0C91E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14:paraId="634635B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87 %</w:t>
            </w:r>
          </w:p>
        </w:tc>
        <w:tc>
          <w:tcPr>
            <w:tcW w:w="845" w:type="dxa"/>
            <w:tcBorders>
              <w:top w:val="nil"/>
              <w:left w:val="nil"/>
              <w:bottom w:val="nil"/>
              <w:right w:val="nil"/>
              <w:tl2br w:val="nil"/>
              <w:tr2bl w:val="nil"/>
            </w:tcBorders>
            <w:tcMar>
              <w:left w:w="60" w:type="dxa"/>
              <w:right w:w="60" w:type="dxa"/>
            </w:tcMar>
            <w:vAlign w:val="center"/>
          </w:tcPr>
          <w:p w14:paraId="17869AE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1F21E7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608851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68A0807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06D857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4A5E21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ADFB804"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296E20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B5864B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91D67FF"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Defence Industry Programme</w:t>
            </w:r>
          </w:p>
        </w:tc>
        <w:tc>
          <w:tcPr>
            <w:tcW w:w="845" w:type="dxa"/>
            <w:tcBorders>
              <w:top w:val="nil"/>
              <w:left w:val="nil"/>
              <w:bottom w:val="nil"/>
              <w:right w:val="nil"/>
              <w:tl2br w:val="nil"/>
              <w:tr2bl w:val="nil"/>
            </w:tcBorders>
            <w:tcMar>
              <w:left w:w="60" w:type="dxa"/>
              <w:right w:w="60" w:type="dxa"/>
            </w:tcMar>
            <w:vAlign w:val="center"/>
          </w:tcPr>
          <w:p w14:paraId="082B8A7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14:paraId="096BAF2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32A4BC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8AA9D8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46A75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31B39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14:paraId="566F725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C83984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F74C5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DBAB8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F4AFE0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B00ACE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3F53FA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5404AD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16AC90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8AF66F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6C0D021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14:paraId="4A1624B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E8A695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EF86D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B88C0E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85C83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14:paraId="301E76F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BC647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0BD898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2518B6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D5EEC2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D9765C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42908B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4415F5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E85003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F650D9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845" w:type="dxa"/>
            <w:tcBorders>
              <w:top w:val="nil"/>
              <w:left w:val="nil"/>
              <w:bottom w:val="nil"/>
              <w:right w:val="nil"/>
              <w:tl2br w:val="nil"/>
              <w:tr2bl w:val="nil"/>
            </w:tcBorders>
            <w:tcMar>
              <w:left w:w="60" w:type="dxa"/>
              <w:right w:w="60" w:type="dxa"/>
            </w:tcMar>
            <w:vAlign w:val="center"/>
          </w:tcPr>
          <w:p w14:paraId="12C7907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954" w:type="dxa"/>
            <w:tcBorders>
              <w:top w:val="nil"/>
              <w:left w:val="nil"/>
              <w:bottom w:val="nil"/>
              <w:right w:val="nil"/>
              <w:tl2br w:val="nil"/>
              <w:tr2bl w:val="nil"/>
            </w:tcBorders>
            <w:tcMar>
              <w:left w:w="60" w:type="dxa"/>
              <w:right w:w="60" w:type="dxa"/>
            </w:tcMar>
            <w:vAlign w:val="center"/>
          </w:tcPr>
          <w:p w14:paraId="0CFDA54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845" w:type="dxa"/>
            <w:tcBorders>
              <w:top w:val="nil"/>
              <w:left w:val="nil"/>
              <w:bottom w:val="nil"/>
              <w:right w:val="nil"/>
              <w:tl2br w:val="nil"/>
              <w:tr2bl w:val="nil"/>
            </w:tcBorders>
            <w:tcMar>
              <w:left w:w="60" w:type="dxa"/>
              <w:right w:w="60" w:type="dxa"/>
            </w:tcMar>
            <w:vAlign w:val="center"/>
          </w:tcPr>
          <w:p w14:paraId="79BB822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97C92F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B1FF4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845" w:type="dxa"/>
            <w:tcBorders>
              <w:top w:val="nil"/>
              <w:left w:val="nil"/>
              <w:bottom w:val="nil"/>
              <w:right w:val="nil"/>
              <w:tl2br w:val="nil"/>
              <w:tr2bl w:val="nil"/>
            </w:tcBorders>
            <w:tcMar>
              <w:left w:w="60" w:type="dxa"/>
              <w:right w:w="60" w:type="dxa"/>
            </w:tcMar>
            <w:vAlign w:val="center"/>
          </w:tcPr>
          <w:p w14:paraId="03E4CE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7BC7A0A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46AA8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AC2455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9EC3F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75A6F3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369E68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0BD967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CC35E58"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1AF2805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6432623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5: Security and Defence</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7BEFE02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1 947</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3C772D2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1 814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30B39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0AFC6B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267F8E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1 872</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39C5AC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96 %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F688C5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8DD65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0828BE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B3D676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DB559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13947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6D8685AE"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6365BB4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E0732C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534E4B4" w14:textId="77777777" w:rsidR="00807FFE" w:rsidRDefault="00807FFE">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9367507" w14:textId="77777777" w:rsidR="00807FFE" w:rsidRDefault="00807FFE">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19346AC2"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AF04675"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3ECBAFE6"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727E9A4"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13AFF50"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F616586"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68087C5"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BE54BFC"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6A0DDF6"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346FF0EC"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57A5D4F" w14:textId="77777777" w:rsidR="00807FFE" w:rsidRDefault="00807FFE">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025A75CC" w14:textId="77777777" w:rsidR="00807FFE" w:rsidRDefault="00807FFE">
            <w:pPr>
              <w:pStyle w:val="DMETW36742BIPDetailedMFF3ImplementPayments"/>
              <w:jc w:val="right"/>
              <w:rPr>
                <w:rFonts w:ascii="Verdana" w:eastAsia="Verdana" w:hAnsi="Verdana" w:cs="Verdana"/>
                <w:noProof/>
                <w:color w:val="000000"/>
                <w:sz w:val="16"/>
                <w:lang w:bidi="en-GB"/>
              </w:rPr>
            </w:pPr>
          </w:p>
        </w:tc>
      </w:tr>
      <w:tr w:rsidR="00807FFE" w14:paraId="334E17F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0CE2DB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6</w:t>
            </w:r>
          </w:p>
        </w:tc>
        <w:tc>
          <w:tcPr>
            <w:tcW w:w="3006" w:type="dxa"/>
            <w:tcBorders>
              <w:top w:val="nil"/>
              <w:left w:val="nil"/>
              <w:bottom w:val="nil"/>
              <w:right w:val="nil"/>
              <w:tl2br w:val="nil"/>
              <w:tr2bl w:val="nil"/>
            </w:tcBorders>
            <w:tcMar>
              <w:left w:w="60" w:type="dxa"/>
              <w:right w:w="60" w:type="dxa"/>
            </w:tcMar>
            <w:vAlign w:val="center"/>
          </w:tcPr>
          <w:p w14:paraId="10BBD82A"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Neighbourhood, Development and International Cooperation Instrument - Global Europe ( NDICI - Global Europe )</w:t>
            </w:r>
          </w:p>
        </w:tc>
        <w:tc>
          <w:tcPr>
            <w:tcW w:w="845" w:type="dxa"/>
            <w:tcBorders>
              <w:top w:val="nil"/>
              <w:left w:val="nil"/>
              <w:bottom w:val="nil"/>
              <w:right w:val="nil"/>
              <w:tl2br w:val="nil"/>
              <w:tr2bl w:val="nil"/>
            </w:tcBorders>
            <w:tcMar>
              <w:left w:w="60" w:type="dxa"/>
              <w:right w:w="60" w:type="dxa"/>
            </w:tcMar>
            <w:vAlign w:val="center"/>
          </w:tcPr>
          <w:p w14:paraId="116076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10 782</w:t>
            </w:r>
          </w:p>
        </w:tc>
        <w:tc>
          <w:tcPr>
            <w:tcW w:w="954" w:type="dxa"/>
            <w:tcBorders>
              <w:top w:val="nil"/>
              <w:left w:val="nil"/>
              <w:bottom w:val="nil"/>
              <w:right w:val="nil"/>
              <w:tl2br w:val="nil"/>
              <w:tr2bl w:val="nil"/>
            </w:tcBorders>
            <w:tcMar>
              <w:left w:w="60" w:type="dxa"/>
              <w:right w:w="60" w:type="dxa"/>
            </w:tcMar>
            <w:vAlign w:val="center"/>
          </w:tcPr>
          <w:p w14:paraId="3CA3BCE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9 442</w:t>
            </w:r>
          </w:p>
        </w:tc>
        <w:tc>
          <w:tcPr>
            <w:tcW w:w="845" w:type="dxa"/>
            <w:tcBorders>
              <w:top w:val="nil"/>
              <w:left w:val="nil"/>
              <w:bottom w:val="nil"/>
              <w:right w:val="nil"/>
              <w:tl2br w:val="nil"/>
              <w:tr2bl w:val="nil"/>
            </w:tcBorders>
            <w:tcMar>
              <w:left w:w="60" w:type="dxa"/>
              <w:right w:w="60" w:type="dxa"/>
            </w:tcMar>
            <w:vAlign w:val="center"/>
          </w:tcPr>
          <w:p w14:paraId="7091AD3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45" w:type="dxa"/>
            <w:tcBorders>
              <w:top w:val="nil"/>
              <w:left w:val="nil"/>
              <w:bottom w:val="nil"/>
              <w:right w:val="nil"/>
              <w:tl2br w:val="nil"/>
              <w:tr2bl w:val="nil"/>
            </w:tcBorders>
            <w:tcMar>
              <w:left w:w="60" w:type="dxa"/>
              <w:right w:w="60" w:type="dxa"/>
            </w:tcMar>
            <w:vAlign w:val="center"/>
          </w:tcPr>
          <w:p w14:paraId="1FB03B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444</w:t>
            </w:r>
          </w:p>
        </w:tc>
        <w:tc>
          <w:tcPr>
            <w:tcW w:w="845" w:type="dxa"/>
            <w:tcBorders>
              <w:top w:val="nil"/>
              <w:left w:val="nil"/>
              <w:bottom w:val="nil"/>
              <w:right w:val="nil"/>
              <w:tl2br w:val="nil"/>
              <w:tr2bl w:val="nil"/>
            </w:tcBorders>
            <w:tcMar>
              <w:left w:w="60" w:type="dxa"/>
              <w:right w:w="60" w:type="dxa"/>
            </w:tcMar>
            <w:vAlign w:val="center"/>
          </w:tcPr>
          <w:p w14:paraId="46F4FEA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9 935</w:t>
            </w:r>
          </w:p>
        </w:tc>
        <w:tc>
          <w:tcPr>
            <w:tcW w:w="845" w:type="dxa"/>
            <w:tcBorders>
              <w:top w:val="nil"/>
              <w:left w:val="nil"/>
              <w:bottom w:val="nil"/>
              <w:right w:val="nil"/>
              <w:tl2br w:val="nil"/>
              <w:tr2bl w:val="nil"/>
            </w:tcBorders>
            <w:tcMar>
              <w:left w:w="60" w:type="dxa"/>
              <w:right w:w="60" w:type="dxa"/>
            </w:tcMar>
            <w:vAlign w:val="center"/>
          </w:tcPr>
          <w:p w14:paraId="3FDAFC9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92 %</w:t>
            </w:r>
          </w:p>
        </w:tc>
        <w:tc>
          <w:tcPr>
            <w:tcW w:w="845" w:type="dxa"/>
            <w:tcBorders>
              <w:top w:val="nil"/>
              <w:left w:val="nil"/>
              <w:bottom w:val="nil"/>
              <w:right w:val="nil"/>
              <w:tl2br w:val="nil"/>
              <w:tr2bl w:val="nil"/>
            </w:tcBorders>
            <w:tcMar>
              <w:left w:w="60" w:type="dxa"/>
              <w:right w:w="60" w:type="dxa"/>
            </w:tcMar>
            <w:vAlign w:val="center"/>
          </w:tcPr>
          <w:p w14:paraId="4F18896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368</w:t>
            </w:r>
          </w:p>
        </w:tc>
        <w:tc>
          <w:tcPr>
            <w:tcW w:w="845" w:type="dxa"/>
            <w:tcBorders>
              <w:top w:val="nil"/>
              <w:left w:val="nil"/>
              <w:bottom w:val="nil"/>
              <w:right w:val="nil"/>
              <w:tl2br w:val="nil"/>
              <w:tr2bl w:val="nil"/>
            </w:tcBorders>
            <w:tcMar>
              <w:left w:w="60" w:type="dxa"/>
              <w:right w:w="60" w:type="dxa"/>
            </w:tcMar>
            <w:vAlign w:val="center"/>
          </w:tcPr>
          <w:p w14:paraId="7B5C849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474</w:t>
            </w:r>
          </w:p>
        </w:tc>
        <w:tc>
          <w:tcPr>
            <w:tcW w:w="845" w:type="dxa"/>
            <w:tcBorders>
              <w:top w:val="nil"/>
              <w:left w:val="nil"/>
              <w:bottom w:val="nil"/>
              <w:right w:val="nil"/>
              <w:tl2br w:val="nil"/>
              <w:tr2bl w:val="nil"/>
            </w:tcBorders>
            <w:tcMar>
              <w:left w:w="60" w:type="dxa"/>
              <w:right w:w="60" w:type="dxa"/>
            </w:tcMar>
            <w:vAlign w:val="center"/>
          </w:tcPr>
          <w:p w14:paraId="27569F7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842</w:t>
            </w:r>
          </w:p>
        </w:tc>
        <w:tc>
          <w:tcPr>
            <w:tcW w:w="845" w:type="dxa"/>
            <w:tcBorders>
              <w:top w:val="nil"/>
              <w:left w:val="nil"/>
              <w:bottom w:val="nil"/>
              <w:right w:val="nil"/>
              <w:tl2br w:val="nil"/>
              <w:tr2bl w:val="nil"/>
            </w:tcBorders>
            <w:tcMar>
              <w:left w:w="60" w:type="dxa"/>
              <w:right w:w="60" w:type="dxa"/>
            </w:tcMar>
            <w:vAlign w:val="center"/>
          </w:tcPr>
          <w:p w14:paraId="412F9A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5A38A2E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49CF4E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0F49D9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6DE01FA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5F98F4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1FB8ED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Instrument for International Nuclear Safety Cooperation (INSC)</w:t>
            </w:r>
          </w:p>
        </w:tc>
        <w:tc>
          <w:tcPr>
            <w:tcW w:w="845" w:type="dxa"/>
            <w:tcBorders>
              <w:top w:val="nil"/>
              <w:left w:val="nil"/>
              <w:bottom w:val="nil"/>
              <w:right w:val="nil"/>
              <w:tl2br w:val="nil"/>
              <w:tr2bl w:val="nil"/>
            </w:tcBorders>
            <w:tcMar>
              <w:left w:w="60" w:type="dxa"/>
              <w:right w:w="60" w:type="dxa"/>
            </w:tcMar>
            <w:vAlign w:val="center"/>
          </w:tcPr>
          <w:p w14:paraId="0AA45A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69</w:t>
            </w:r>
          </w:p>
        </w:tc>
        <w:tc>
          <w:tcPr>
            <w:tcW w:w="954" w:type="dxa"/>
            <w:tcBorders>
              <w:top w:val="nil"/>
              <w:left w:val="nil"/>
              <w:bottom w:val="nil"/>
              <w:right w:val="nil"/>
              <w:tl2br w:val="nil"/>
              <w:tr2bl w:val="nil"/>
            </w:tcBorders>
            <w:tcMar>
              <w:left w:w="60" w:type="dxa"/>
              <w:right w:w="60" w:type="dxa"/>
            </w:tcMar>
            <w:vAlign w:val="center"/>
          </w:tcPr>
          <w:p w14:paraId="5E30AC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14:paraId="0C52C55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5E69268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02F7919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845" w:type="dxa"/>
            <w:tcBorders>
              <w:top w:val="nil"/>
              <w:left w:val="nil"/>
              <w:bottom w:val="nil"/>
              <w:right w:val="nil"/>
              <w:tl2br w:val="nil"/>
              <w:tr2bl w:val="nil"/>
            </w:tcBorders>
            <w:tcMar>
              <w:left w:w="60" w:type="dxa"/>
              <w:right w:w="60" w:type="dxa"/>
            </w:tcMar>
            <w:vAlign w:val="center"/>
          </w:tcPr>
          <w:p w14:paraId="6E98F61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14:paraId="7D25BE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14:paraId="2C1B651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202041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1263ACF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4EE51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5A9103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11E0887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DD877D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A2C7057"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5DE858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Humanitarian Aid (HUMA)</w:t>
            </w:r>
          </w:p>
        </w:tc>
        <w:tc>
          <w:tcPr>
            <w:tcW w:w="845" w:type="dxa"/>
            <w:tcBorders>
              <w:top w:val="nil"/>
              <w:left w:val="nil"/>
              <w:bottom w:val="nil"/>
              <w:right w:val="nil"/>
              <w:tl2br w:val="nil"/>
              <w:tr2bl w:val="nil"/>
            </w:tcBorders>
            <w:tcMar>
              <w:left w:w="60" w:type="dxa"/>
              <w:right w:w="60" w:type="dxa"/>
            </w:tcMar>
            <w:vAlign w:val="center"/>
          </w:tcPr>
          <w:p w14:paraId="64B4A62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2 493</w:t>
            </w:r>
          </w:p>
        </w:tc>
        <w:tc>
          <w:tcPr>
            <w:tcW w:w="954" w:type="dxa"/>
            <w:tcBorders>
              <w:top w:val="nil"/>
              <w:left w:val="nil"/>
              <w:bottom w:val="nil"/>
              <w:right w:val="nil"/>
              <w:tl2br w:val="nil"/>
              <w:tr2bl w:val="nil"/>
            </w:tcBorders>
            <w:tcMar>
              <w:left w:w="60" w:type="dxa"/>
              <w:right w:w="60" w:type="dxa"/>
            </w:tcMar>
            <w:vAlign w:val="center"/>
          </w:tcPr>
          <w:p w14:paraId="01568B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2 463</w:t>
            </w:r>
          </w:p>
        </w:tc>
        <w:tc>
          <w:tcPr>
            <w:tcW w:w="845" w:type="dxa"/>
            <w:tcBorders>
              <w:top w:val="nil"/>
              <w:left w:val="nil"/>
              <w:bottom w:val="nil"/>
              <w:right w:val="nil"/>
              <w:tl2br w:val="nil"/>
              <w:tr2bl w:val="nil"/>
            </w:tcBorders>
            <w:tcMar>
              <w:left w:w="60" w:type="dxa"/>
              <w:right w:w="60" w:type="dxa"/>
            </w:tcMar>
            <w:vAlign w:val="center"/>
          </w:tcPr>
          <w:p w14:paraId="703AE7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1EC1122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6FE19C8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2 476</w:t>
            </w:r>
          </w:p>
        </w:tc>
        <w:tc>
          <w:tcPr>
            <w:tcW w:w="845" w:type="dxa"/>
            <w:tcBorders>
              <w:top w:val="nil"/>
              <w:left w:val="nil"/>
              <w:bottom w:val="nil"/>
              <w:right w:val="nil"/>
              <w:tl2br w:val="nil"/>
              <w:tr2bl w:val="nil"/>
            </w:tcBorders>
            <w:tcMar>
              <w:left w:w="60" w:type="dxa"/>
              <w:right w:w="60" w:type="dxa"/>
            </w:tcMar>
            <w:vAlign w:val="center"/>
          </w:tcPr>
          <w:p w14:paraId="3D3FFD9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5AF0ED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67CB07E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72FAACE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15C772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F7AEA7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982D1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A998036"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0D306ED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479BC2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D352B7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Common Foreign and Security Policy (CFSP)</w:t>
            </w:r>
          </w:p>
        </w:tc>
        <w:tc>
          <w:tcPr>
            <w:tcW w:w="845" w:type="dxa"/>
            <w:tcBorders>
              <w:top w:val="nil"/>
              <w:left w:val="nil"/>
              <w:bottom w:val="nil"/>
              <w:right w:val="nil"/>
              <w:tl2br w:val="nil"/>
              <w:tr2bl w:val="nil"/>
            </w:tcBorders>
            <w:tcMar>
              <w:left w:w="60" w:type="dxa"/>
              <w:right w:w="60" w:type="dxa"/>
            </w:tcMar>
            <w:vAlign w:val="center"/>
          </w:tcPr>
          <w:p w14:paraId="6BD07C1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439</w:t>
            </w:r>
          </w:p>
        </w:tc>
        <w:tc>
          <w:tcPr>
            <w:tcW w:w="954" w:type="dxa"/>
            <w:tcBorders>
              <w:top w:val="nil"/>
              <w:left w:val="nil"/>
              <w:bottom w:val="nil"/>
              <w:right w:val="nil"/>
              <w:tl2br w:val="nil"/>
              <w:tr2bl w:val="nil"/>
            </w:tcBorders>
            <w:tcMar>
              <w:left w:w="60" w:type="dxa"/>
              <w:right w:w="60" w:type="dxa"/>
            </w:tcMar>
            <w:vAlign w:val="center"/>
          </w:tcPr>
          <w:p w14:paraId="3836849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398</w:t>
            </w:r>
          </w:p>
        </w:tc>
        <w:tc>
          <w:tcPr>
            <w:tcW w:w="845" w:type="dxa"/>
            <w:tcBorders>
              <w:top w:val="nil"/>
              <w:left w:val="nil"/>
              <w:bottom w:val="nil"/>
              <w:right w:val="nil"/>
              <w:tl2br w:val="nil"/>
              <w:tr2bl w:val="nil"/>
            </w:tcBorders>
            <w:tcMar>
              <w:left w:w="60" w:type="dxa"/>
              <w:right w:w="60" w:type="dxa"/>
            </w:tcMar>
            <w:vAlign w:val="center"/>
          </w:tcPr>
          <w:p w14:paraId="1E89215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DD1F9C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14:paraId="4B6901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426</w:t>
            </w:r>
          </w:p>
        </w:tc>
        <w:tc>
          <w:tcPr>
            <w:tcW w:w="845" w:type="dxa"/>
            <w:tcBorders>
              <w:top w:val="nil"/>
              <w:left w:val="nil"/>
              <w:bottom w:val="nil"/>
              <w:right w:val="nil"/>
              <w:tl2br w:val="nil"/>
              <w:tr2bl w:val="nil"/>
            </w:tcBorders>
            <w:tcMar>
              <w:left w:w="60" w:type="dxa"/>
              <w:right w:w="60" w:type="dxa"/>
            </w:tcMar>
            <w:vAlign w:val="center"/>
          </w:tcPr>
          <w:p w14:paraId="166A23D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00ED173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2A0705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14:paraId="0002D83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14:paraId="082E22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CFC6F2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B4153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041AA4C9"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53F626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617F975"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0C9B37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Overseas Countries and Territories (OCT) (including Greenland)</w:t>
            </w:r>
          </w:p>
        </w:tc>
        <w:tc>
          <w:tcPr>
            <w:tcW w:w="845" w:type="dxa"/>
            <w:tcBorders>
              <w:top w:val="nil"/>
              <w:left w:val="nil"/>
              <w:bottom w:val="nil"/>
              <w:right w:val="nil"/>
              <w:tl2br w:val="nil"/>
              <w:tr2bl w:val="nil"/>
            </w:tcBorders>
            <w:tcMar>
              <w:left w:w="60" w:type="dxa"/>
              <w:right w:w="60" w:type="dxa"/>
            </w:tcMar>
            <w:vAlign w:val="center"/>
          </w:tcPr>
          <w:p w14:paraId="44F63A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954" w:type="dxa"/>
            <w:tcBorders>
              <w:top w:val="nil"/>
              <w:left w:val="nil"/>
              <w:bottom w:val="nil"/>
              <w:right w:val="nil"/>
              <w:tl2br w:val="nil"/>
              <w:tr2bl w:val="nil"/>
            </w:tcBorders>
            <w:tcMar>
              <w:left w:w="60" w:type="dxa"/>
              <w:right w:w="60" w:type="dxa"/>
            </w:tcMar>
            <w:vAlign w:val="center"/>
          </w:tcPr>
          <w:p w14:paraId="353277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14:paraId="6C191F3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1ACE8BC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0D5C14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14:paraId="236505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68 %</w:t>
            </w:r>
          </w:p>
        </w:tc>
        <w:tc>
          <w:tcPr>
            <w:tcW w:w="845" w:type="dxa"/>
            <w:tcBorders>
              <w:top w:val="nil"/>
              <w:left w:val="nil"/>
              <w:bottom w:val="nil"/>
              <w:right w:val="nil"/>
              <w:tl2br w:val="nil"/>
              <w:tr2bl w:val="nil"/>
            </w:tcBorders>
            <w:tcMar>
              <w:left w:w="60" w:type="dxa"/>
              <w:right w:w="60" w:type="dxa"/>
            </w:tcMar>
            <w:vAlign w:val="center"/>
          </w:tcPr>
          <w:p w14:paraId="759E717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5A7385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14:paraId="1CC65F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14:paraId="013B8A2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42F602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8892A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112A0CF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0010A1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BADDB23"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7BC948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MFA+</w:t>
            </w:r>
          </w:p>
        </w:tc>
        <w:tc>
          <w:tcPr>
            <w:tcW w:w="845" w:type="dxa"/>
            <w:tcBorders>
              <w:top w:val="nil"/>
              <w:left w:val="nil"/>
              <w:bottom w:val="nil"/>
              <w:right w:val="nil"/>
              <w:tl2br w:val="nil"/>
              <w:tr2bl w:val="nil"/>
            </w:tcBorders>
            <w:tcMar>
              <w:left w:w="60" w:type="dxa"/>
              <w:right w:w="60" w:type="dxa"/>
            </w:tcMar>
            <w:vAlign w:val="center"/>
          </w:tcPr>
          <w:p w14:paraId="389AA5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680</w:t>
            </w:r>
          </w:p>
        </w:tc>
        <w:tc>
          <w:tcPr>
            <w:tcW w:w="954" w:type="dxa"/>
            <w:tcBorders>
              <w:top w:val="nil"/>
              <w:left w:val="nil"/>
              <w:bottom w:val="nil"/>
              <w:right w:val="nil"/>
              <w:tl2br w:val="nil"/>
              <w:tr2bl w:val="nil"/>
            </w:tcBorders>
            <w:tcMar>
              <w:left w:w="60" w:type="dxa"/>
              <w:right w:w="60" w:type="dxa"/>
            </w:tcMar>
            <w:vAlign w:val="center"/>
          </w:tcPr>
          <w:p w14:paraId="1FBCE12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C15DD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DED8B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568</w:t>
            </w:r>
          </w:p>
        </w:tc>
        <w:tc>
          <w:tcPr>
            <w:tcW w:w="845" w:type="dxa"/>
            <w:tcBorders>
              <w:top w:val="nil"/>
              <w:left w:val="nil"/>
              <w:bottom w:val="nil"/>
              <w:right w:val="nil"/>
              <w:tl2br w:val="nil"/>
              <w:tr2bl w:val="nil"/>
            </w:tcBorders>
            <w:tcMar>
              <w:left w:w="60" w:type="dxa"/>
              <w:right w:w="60" w:type="dxa"/>
            </w:tcMar>
            <w:vAlign w:val="center"/>
          </w:tcPr>
          <w:p w14:paraId="7D1CF93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568</w:t>
            </w:r>
          </w:p>
        </w:tc>
        <w:tc>
          <w:tcPr>
            <w:tcW w:w="845" w:type="dxa"/>
            <w:tcBorders>
              <w:top w:val="nil"/>
              <w:left w:val="nil"/>
              <w:bottom w:val="nil"/>
              <w:right w:val="nil"/>
              <w:tl2br w:val="nil"/>
              <w:tr2bl w:val="nil"/>
            </w:tcBorders>
            <w:tcMar>
              <w:left w:w="60" w:type="dxa"/>
              <w:right w:w="60" w:type="dxa"/>
            </w:tcMar>
            <w:vAlign w:val="center"/>
          </w:tcPr>
          <w:p w14:paraId="5B921DE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14:paraId="0F912BA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F44D3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14:paraId="1E83FE2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14:paraId="48B9CE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B3C5D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5E1D6B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73F603E9"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6B14B74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2ECE55B"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5279518"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Ukraine Loan Cooperation Mechanism</w:t>
            </w:r>
          </w:p>
        </w:tc>
        <w:tc>
          <w:tcPr>
            <w:tcW w:w="845" w:type="dxa"/>
            <w:tcBorders>
              <w:top w:val="nil"/>
              <w:left w:val="nil"/>
              <w:bottom w:val="nil"/>
              <w:right w:val="nil"/>
              <w:tl2br w:val="nil"/>
              <w:tr2bl w:val="nil"/>
            </w:tcBorders>
            <w:tcMar>
              <w:left w:w="60" w:type="dxa"/>
              <w:right w:w="60" w:type="dxa"/>
            </w:tcMar>
            <w:vAlign w:val="center"/>
          </w:tcPr>
          <w:p w14:paraId="6A8FAD0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954" w:type="dxa"/>
            <w:tcBorders>
              <w:top w:val="nil"/>
              <w:left w:val="nil"/>
              <w:bottom w:val="nil"/>
              <w:right w:val="nil"/>
              <w:tl2br w:val="nil"/>
              <w:tr2bl w:val="nil"/>
            </w:tcBorders>
            <w:tcMar>
              <w:left w:w="60" w:type="dxa"/>
              <w:right w:w="60" w:type="dxa"/>
            </w:tcMar>
            <w:vAlign w:val="center"/>
          </w:tcPr>
          <w:p w14:paraId="24EE11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C2816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8EB56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845" w:type="dxa"/>
            <w:tcBorders>
              <w:top w:val="nil"/>
              <w:left w:val="nil"/>
              <w:bottom w:val="nil"/>
              <w:right w:val="nil"/>
              <w:tl2br w:val="nil"/>
              <w:tr2bl w:val="nil"/>
            </w:tcBorders>
            <w:tcMar>
              <w:left w:w="60" w:type="dxa"/>
              <w:right w:w="60" w:type="dxa"/>
            </w:tcMar>
            <w:vAlign w:val="center"/>
          </w:tcPr>
          <w:p w14:paraId="476C872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845" w:type="dxa"/>
            <w:tcBorders>
              <w:top w:val="nil"/>
              <w:left w:val="nil"/>
              <w:bottom w:val="nil"/>
              <w:right w:val="nil"/>
              <w:tl2br w:val="nil"/>
              <w:tr2bl w:val="nil"/>
            </w:tcBorders>
            <w:tcMar>
              <w:left w:w="60" w:type="dxa"/>
              <w:right w:w="60" w:type="dxa"/>
            </w:tcMar>
            <w:vAlign w:val="center"/>
          </w:tcPr>
          <w:p w14:paraId="2989B6D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2339120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F7482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3BBCC0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68E6F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147F9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13C90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0B8AE8E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451FF2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C75B2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F01705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845" w:type="dxa"/>
            <w:tcBorders>
              <w:top w:val="nil"/>
              <w:left w:val="nil"/>
              <w:bottom w:val="nil"/>
              <w:right w:val="nil"/>
              <w:tl2br w:val="nil"/>
              <w:tr2bl w:val="nil"/>
            </w:tcBorders>
            <w:tcMar>
              <w:left w:w="60" w:type="dxa"/>
              <w:right w:w="60" w:type="dxa"/>
            </w:tcMar>
            <w:vAlign w:val="center"/>
          </w:tcPr>
          <w:p w14:paraId="353F8C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954" w:type="dxa"/>
            <w:tcBorders>
              <w:top w:val="nil"/>
              <w:left w:val="nil"/>
              <w:bottom w:val="nil"/>
              <w:right w:val="nil"/>
              <w:tl2br w:val="nil"/>
              <w:tr2bl w:val="nil"/>
            </w:tcBorders>
            <w:tcMar>
              <w:left w:w="60" w:type="dxa"/>
              <w:right w:w="60" w:type="dxa"/>
            </w:tcMar>
            <w:vAlign w:val="center"/>
          </w:tcPr>
          <w:p w14:paraId="620879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14:paraId="7A2DAB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50A4A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6E3AD0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845" w:type="dxa"/>
            <w:tcBorders>
              <w:top w:val="nil"/>
              <w:left w:val="nil"/>
              <w:bottom w:val="nil"/>
              <w:right w:val="nil"/>
              <w:tl2br w:val="nil"/>
              <w:tr2bl w:val="nil"/>
            </w:tcBorders>
            <w:tcMar>
              <w:left w:w="60" w:type="dxa"/>
              <w:right w:w="60" w:type="dxa"/>
            </w:tcMar>
            <w:vAlign w:val="center"/>
          </w:tcPr>
          <w:p w14:paraId="5770CAB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1D1EAA8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C80A5C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E65A27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C172FF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096C93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3B1A08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3067AC84"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7ABE80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8B61B5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D42A2FA"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845" w:type="dxa"/>
            <w:tcBorders>
              <w:top w:val="nil"/>
              <w:left w:val="nil"/>
              <w:bottom w:val="nil"/>
              <w:right w:val="nil"/>
              <w:tl2br w:val="nil"/>
              <w:tr2bl w:val="nil"/>
            </w:tcBorders>
            <w:tcMar>
              <w:left w:w="60" w:type="dxa"/>
              <w:right w:w="60" w:type="dxa"/>
            </w:tcMar>
            <w:vAlign w:val="center"/>
          </w:tcPr>
          <w:p w14:paraId="307345A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14:paraId="5143389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ADE991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8A34BC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B9F4EB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99B7D2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14:paraId="2D1CFD4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C2CC0B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BEB04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225F22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4C72B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7EC8B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68BEB829"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8AC8EC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8F1BE1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D167F4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845" w:type="dxa"/>
            <w:tcBorders>
              <w:top w:val="nil"/>
              <w:left w:val="nil"/>
              <w:bottom w:val="nil"/>
              <w:right w:val="nil"/>
              <w:tl2br w:val="nil"/>
              <w:tr2bl w:val="nil"/>
            </w:tcBorders>
            <w:tcMar>
              <w:left w:w="60" w:type="dxa"/>
              <w:right w:w="60" w:type="dxa"/>
            </w:tcMar>
            <w:vAlign w:val="center"/>
          </w:tcPr>
          <w:p w14:paraId="331E8B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14:paraId="35ED02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07E80A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019FBA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FD81AF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08F8C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14:paraId="6DFEFD3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A4508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556FD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542A4E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8BD6D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61D3A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0A5A639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8E97DB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EEEFF4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1C31D9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845" w:type="dxa"/>
            <w:tcBorders>
              <w:top w:val="nil"/>
              <w:left w:val="nil"/>
              <w:bottom w:val="nil"/>
              <w:right w:val="nil"/>
              <w:tl2br w:val="nil"/>
              <w:tr2bl w:val="nil"/>
            </w:tcBorders>
            <w:tcMar>
              <w:left w:w="60" w:type="dxa"/>
              <w:right w:w="60" w:type="dxa"/>
            </w:tcMar>
            <w:vAlign w:val="center"/>
          </w:tcPr>
          <w:p w14:paraId="4553979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954" w:type="dxa"/>
            <w:tcBorders>
              <w:top w:val="nil"/>
              <w:left w:val="nil"/>
              <w:bottom w:val="nil"/>
              <w:right w:val="nil"/>
              <w:tl2br w:val="nil"/>
              <w:tr2bl w:val="nil"/>
            </w:tcBorders>
            <w:tcMar>
              <w:left w:w="60" w:type="dxa"/>
              <w:right w:w="60" w:type="dxa"/>
            </w:tcMar>
            <w:vAlign w:val="center"/>
          </w:tcPr>
          <w:p w14:paraId="32EBD60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845" w:type="dxa"/>
            <w:tcBorders>
              <w:top w:val="nil"/>
              <w:left w:val="nil"/>
              <w:bottom w:val="nil"/>
              <w:right w:val="nil"/>
              <w:tl2br w:val="nil"/>
              <w:tr2bl w:val="nil"/>
            </w:tcBorders>
            <w:tcMar>
              <w:left w:w="60" w:type="dxa"/>
              <w:right w:w="60" w:type="dxa"/>
            </w:tcMar>
            <w:vAlign w:val="center"/>
          </w:tcPr>
          <w:p w14:paraId="1C7F61C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DD7CE5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B13A36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845" w:type="dxa"/>
            <w:tcBorders>
              <w:top w:val="nil"/>
              <w:left w:val="nil"/>
              <w:bottom w:val="nil"/>
              <w:right w:val="nil"/>
              <w:tl2br w:val="nil"/>
              <w:tr2bl w:val="nil"/>
            </w:tcBorders>
            <w:tcMar>
              <w:left w:w="60" w:type="dxa"/>
              <w:right w:w="60" w:type="dxa"/>
            </w:tcMar>
            <w:vAlign w:val="center"/>
          </w:tcPr>
          <w:p w14:paraId="7B7102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396AB5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DC2CF4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5971C2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11FEEF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11E67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668D1B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E42EF77"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AD835E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08905B7"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3ACF95A" w14:textId="77777777" w:rsidR="00807FFE" w:rsidRPr="00A2059B" w:rsidRDefault="00023E71">
            <w:pPr>
              <w:pStyle w:val="DMETW36742BIPDetailedMFF3ImplementPayments"/>
              <w:rPr>
                <w:rFonts w:ascii="Verdana" w:eastAsia="Verdana" w:hAnsi="Verdana" w:cs="Verdana"/>
                <w:noProof/>
                <w:color w:val="000000"/>
                <w:sz w:val="16"/>
                <w:lang w:val="fr-BE"/>
              </w:rPr>
            </w:pPr>
            <w:r w:rsidRPr="00A2059B">
              <w:rPr>
                <w:rFonts w:ascii="Verdana" w:eastAsia="Verdana" w:hAnsi="Verdana" w:cs="Verdana"/>
                <w:noProof/>
                <w:color w:val="000000"/>
                <w:sz w:val="16"/>
                <w:lang w:val="fr-BE"/>
              </w:rPr>
              <w:t>Pre-Accession Assistance (IPA III)</w:t>
            </w:r>
          </w:p>
        </w:tc>
        <w:tc>
          <w:tcPr>
            <w:tcW w:w="845" w:type="dxa"/>
            <w:tcBorders>
              <w:top w:val="nil"/>
              <w:left w:val="nil"/>
              <w:bottom w:val="nil"/>
              <w:right w:val="nil"/>
              <w:tl2br w:val="nil"/>
              <w:tr2bl w:val="nil"/>
            </w:tcBorders>
            <w:tcMar>
              <w:left w:w="60" w:type="dxa"/>
              <w:right w:w="60" w:type="dxa"/>
            </w:tcMar>
            <w:vAlign w:val="center"/>
          </w:tcPr>
          <w:p w14:paraId="6DE6AA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2 122</w:t>
            </w:r>
          </w:p>
        </w:tc>
        <w:tc>
          <w:tcPr>
            <w:tcW w:w="954" w:type="dxa"/>
            <w:tcBorders>
              <w:top w:val="nil"/>
              <w:left w:val="nil"/>
              <w:bottom w:val="nil"/>
              <w:right w:val="nil"/>
              <w:tl2br w:val="nil"/>
              <w:tr2bl w:val="nil"/>
            </w:tcBorders>
            <w:tcMar>
              <w:left w:w="60" w:type="dxa"/>
              <w:right w:w="60" w:type="dxa"/>
            </w:tcMar>
            <w:vAlign w:val="center"/>
          </w:tcPr>
          <w:p w14:paraId="451BF1F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1 841</w:t>
            </w:r>
          </w:p>
        </w:tc>
        <w:tc>
          <w:tcPr>
            <w:tcW w:w="845" w:type="dxa"/>
            <w:tcBorders>
              <w:top w:val="nil"/>
              <w:left w:val="nil"/>
              <w:bottom w:val="nil"/>
              <w:right w:val="nil"/>
              <w:tl2br w:val="nil"/>
              <w:tr2bl w:val="nil"/>
            </w:tcBorders>
            <w:tcMar>
              <w:left w:w="60" w:type="dxa"/>
              <w:right w:w="60" w:type="dxa"/>
            </w:tcMar>
            <w:vAlign w:val="center"/>
          </w:tcPr>
          <w:p w14:paraId="5C1F6F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3CF8B2E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845" w:type="dxa"/>
            <w:tcBorders>
              <w:top w:val="nil"/>
              <w:left w:val="nil"/>
              <w:bottom w:val="nil"/>
              <w:right w:val="nil"/>
              <w:tl2br w:val="nil"/>
              <w:tr2bl w:val="nil"/>
            </w:tcBorders>
            <w:tcMar>
              <w:left w:w="60" w:type="dxa"/>
              <w:right w:w="60" w:type="dxa"/>
            </w:tcMar>
            <w:vAlign w:val="center"/>
          </w:tcPr>
          <w:p w14:paraId="2BF4A33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1 894</w:t>
            </w:r>
          </w:p>
        </w:tc>
        <w:tc>
          <w:tcPr>
            <w:tcW w:w="845" w:type="dxa"/>
            <w:tcBorders>
              <w:top w:val="nil"/>
              <w:left w:val="nil"/>
              <w:bottom w:val="nil"/>
              <w:right w:val="nil"/>
              <w:tl2br w:val="nil"/>
              <w:tr2bl w:val="nil"/>
            </w:tcBorders>
            <w:tcMar>
              <w:left w:w="60" w:type="dxa"/>
              <w:right w:w="60" w:type="dxa"/>
            </w:tcMar>
            <w:vAlign w:val="center"/>
          </w:tcPr>
          <w:p w14:paraId="632701A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89 %</w:t>
            </w:r>
          </w:p>
        </w:tc>
        <w:tc>
          <w:tcPr>
            <w:tcW w:w="845" w:type="dxa"/>
            <w:tcBorders>
              <w:top w:val="nil"/>
              <w:left w:val="nil"/>
              <w:bottom w:val="nil"/>
              <w:right w:val="nil"/>
              <w:tl2br w:val="nil"/>
              <w:tr2bl w:val="nil"/>
            </w:tcBorders>
            <w:tcMar>
              <w:left w:w="60" w:type="dxa"/>
              <w:right w:w="60" w:type="dxa"/>
            </w:tcMar>
            <w:vAlign w:val="center"/>
          </w:tcPr>
          <w:p w14:paraId="6A780B4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153</w:t>
            </w:r>
          </w:p>
        </w:tc>
        <w:tc>
          <w:tcPr>
            <w:tcW w:w="845" w:type="dxa"/>
            <w:tcBorders>
              <w:top w:val="nil"/>
              <w:left w:val="nil"/>
              <w:bottom w:val="nil"/>
              <w:right w:val="nil"/>
              <w:tl2br w:val="nil"/>
              <w:tr2bl w:val="nil"/>
            </w:tcBorders>
            <w:tcMar>
              <w:left w:w="60" w:type="dxa"/>
              <w:right w:w="60" w:type="dxa"/>
            </w:tcMar>
            <w:vAlign w:val="center"/>
          </w:tcPr>
          <w:p w14:paraId="1A54D2C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72</w:t>
            </w:r>
          </w:p>
        </w:tc>
        <w:tc>
          <w:tcPr>
            <w:tcW w:w="845" w:type="dxa"/>
            <w:tcBorders>
              <w:top w:val="nil"/>
              <w:left w:val="nil"/>
              <w:bottom w:val="nil"/>
              <w:right w:val="nil"/>
              <w:tl2br w:val="nil"/>
              <w:tr2bl w:val="nil"/>
            </w:tcBorders>
            <w:tcMar>
              <w:left w:w="60" w:type="dxa"/>
              <w:right w:w="60" w:type="dxa"/>
            </w:tcMar>
            <w:vAlign w:val="center"/>
          </w:tcPr>
          <w:p w14:paraId="4326A9B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225</w:t>
            </w:r>
          </w:p>
        </w:tc>
        <w:tc>
          <w:tcPr>
            <w:tcW w:w="845" w:type="dxa"/>
            <w:tcBorders>
              <w:top w:val="nil"/>
              <w:left w:val="nil"/>
              <w:bottom w:val="nil"/>
              <w:right w:val="nil"/>
              <w:tl2br w:val="nil"/>
              <w:tr2bl w:val="nil"/>
            </w:tcBorders>
            <w:tcMar>
              <w:left w:w="60" w:type="dxa"/>
              <w:right w:w="60" w:type="dxa"/>
            </w:tcMar>
            <w:vAlign w:val="center"/>
          </w:tcPr>
          <w:p w14:paraId="3D494BF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3FF2FF1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8310B7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3C90D21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3AC5F5B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3991404"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2A1DEA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Reform and Growth Facility for Western Balkans</w:t>
            </w:r>
          </w:p>
        </w:tc>
        <w:tc>
          <w:tcPr>
            <w:tcW w:w="845" w:type="dxa"/>
            <w:tcBorders>
              <w:top w:val="nil"/>
              <w:left w:val="nil"/>
              <w:bottom w:val="nil"/>
              <w:right w:val="nil"/>
              <w:tl2br w:val="nil"/>
              <w:tr2bl w:val="nil"/>
            </w:tcBorders>
            <w:tcMar>
              <w:left w:w="60" w:type="dxa"/>
              <w:right w:w="60" w:type="dxa"/>
            </w:tcMar>
            <w:vAlign w:val="center"/>
          </w:tcPr>
          <w:p w14:paraId="26E6A60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124</w:t>
            </w:r>
          </w:p>
        </w:tc>
        <w:tc>
          <w:tcPr>
            <w:tcW w:w="954" w:type="dxa"/>
            <w:tcBorders>
              <w:top w:val="nil"/>
              <w:left w:val="nil"/>
              <w:bottom w:val="nil"/>
              <w:right w:val="nil"/>
              <w:tl2br w:val="nil"/>
              <w:tr2bl w:val="nil"/>
            </w:tcBorders>
            <w:tcMar>
              <w:left w:w="60" w:type="dxa"/>
              <w:right w:w="60" w:type="dxa"/>
            </w:tcMar>
            <w:vAlign w:val="center"/>
          </w:tcPr>
          <w:p w14:paraId="797BFE5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14:paraId="24D9E2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14:paraId="55D3CCB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961CF3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77</w:t>
            </w:r>
          </w:p>
        </w:tc>
        <w:tc>
          <w:tcPr>
            <w:tcW w:w="845" w:type="dxa"/>
            <w:tcBorders>
              <w:top w:val="nil"/>
              <w:left w:val="nil"/>
              <w:bottom w:val="nil"/>
              <w:right w:val="nil"/>
              <w:tl2br w:val="nil"/>
              <w:tr2bl w:val="nil"/>
            </w:tcBorders>
            <w:tcMar>
              <w:left w:w="60" w:type="dxa"/>
              <w:right w:w="60" w:type="dxa"/>
            </w:tcMar>
            <w:vAlign w:val="center"/>
          </w:tcPr>
          <w:p w14:paraId="785659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62 %</w:t>
            </w:r>
          </w:p>
        </w:tc>
        <w:tc>
          <w:tcPr>
            <w:tcW w:w="845" w:type="dxa"/>
            <w:tcBorders>
              <w:top w:val="nil"/>
              <w:left w:val="nil"/>
              <w:bottom w:val="nil"/>
              <w:right w:val="nil"/>
              <w:tl2br w:val="nil"/>
              <w:tr2bl w:val="nil"/>
            </w:tcBorders>
            <w:tcMar>
              <w:left w:w="60" w:type="dxa"/>
              <w:right w:w="60" w:type="dxa"/>
            </w:tcMar>
            <w:vAlign w:val="center"/>
          </w:tcPr>
          <w:p w14:paraId="23B64C6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14:paraId="239D6DF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990B48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14:paraId="6F6AC5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E31831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C7EB42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3D1982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0026FF6"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5771460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2F974EE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6: Neighbourhood and the World</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ABA08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18 469</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2DE991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14 444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747C0D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62C8A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2 637</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5D9EC5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17 170</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144C2A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93 %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90C53B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584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78F40BD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706</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576FC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1 290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0C9C89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820B6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79FD73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0B43B84F"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77A5931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88E123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D5DF717" w14:textId="77777777" w:rsidR="00807FFE" w:rsidRDefault="00807FFE">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8DCF3C9" w14:textId="77777777" w:rsidR="00807FFE" w:rsidRDefault="00807FFE">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2F815C55"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0BFFB74"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301E4B10"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53267F4"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9CAA586"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E3CF41F"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36E3F6D"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3783FD4F"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D9988D4"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62311A4"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A68BE9B" w14:textId="77777777" w:rsidR="00807FFE" w:rsidRDefault="00807FFE">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4F652E14" w14:textId="77777777" w:rsidR="00807FFE" w:rsidRDefault="00807FFE">
            <w:pPr>
              <w:pStyle w:val="DMETW36742BIPDetailedMFF3ImplementPayments"/>
              <w:jc w:val="right"/>
              <w:rPr>
                <w:rFonts w:ascii="Verdana" w:eastAsia="Verdana" w:hAnsi="Verdana" w:cs="Verdana"/>
                <w:noProof/>
                <w:color w:val="000000"/>
                <w:sz w:val="16"/>
                <w:lang w:bidi="en-GB"/>
              </w:rPr>
            </w:pPr>
          </w:p>
        </w:tc>
      </w:tr>
      <w:tr w:rsidR="00807FFE" w14:paraId="76C5320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60829A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7</w:t>
            </w:r>
          </w:p>
        </w:tc>
        <w:tc>
          <w:tcPr>
            <w:tcW w:w="3006" w:type="dxa"/>
            <w:tcBorders>
              <w:top w:val="nil"/>
              <w:left w:val="nil"/>
              <w:bottom w:val="nil"/>
              <w:right w:val="nil"/>
              <w:tl2br w:val="nil"/>
              <w:tr2bl w:val="nil"/>
            </w:tcBorders>
            <w:tcMar>
              <w:left w:w="60" w:type="dxa"/>
              <w:right w:w="60" w:type="dxa"/>
            </w:tcMar>
            <w:vAlign w:val="center"/>
          </w:tcPr>
          <w:p w14:paraId="2231C45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Staff Pensions</w:t>
            </w:r>
          </w:p>
        </w:tc>
        <w:tc>
          <w:tcPr>
            <w:tcW w:w="845" w:type="dxa"/>
            <w:tcBorders>
              <w:top w:val="nil"/>
              <w:left w:val="nil"/>
              <w:bottom w:val="nil"/>
              <w:right w:val="nil"/>
              <w:tl2br w:val="nil"/>
              <w:tr2bl w:val="nil"/>
            </w:tcBorders>
            <w:tcMar>
              <w:left w:w="60" w:type="dxa"/>
              <w:right w:w="60" w:type="dxa"/>
            </w:tcMar>
            <w:vAlign w:val="center"/>
          </w:tcPr>
          <w:p w14:paraId="6A4699B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3 102</w:t>
            </w:r>
          </w:p>
        </w:tc>
        <w:tc>
          <w:tcPr>
            <w:tcW w:w="954" w:type="dxa"/>
            <w:tcBorders>
              <w:top w:val="nil"/>
              <w:left w:val="nil"/>
              <w:bottom w:val="nil"/>
              <w:right w:val="nil"/>
              <w:tl2br w:val="nil"/>
              <w:tr2bl w:val="nil"/>
            </w:tcBorders>
            <w:tcMar>
              <w:left w:w="60" w:type="dxa"/>
              <w:right w:w="60" w:type="dxa"/>
            </w:tcMar>
            <w:vAlign w:val="center"/>
          </w:tcPr>
          <w:p w14:paraId="318501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2 790</w:t>
            </w:r>
          </w:p>
        </w:tc>
        <w:tc>
          <w:tcPr>
            <w:tcW w:w="845" w:type="dxa"/>
            <w:tcBorders>
              <w:top w:val="nil"/>
              <w:left w:val="nil"/>
              <w:bottom w:val="nil"/>
              <w:right w:val="nil"/>
              <w:tl2br w:val="nil"/>
              <w:tr2bl w:val="nil"/>
            </w:tcBorders>
            <w:tcMar>
              <w:left w:w="60" w:type="dxa"/>
              <w:right w:w="60" w:type="dxa"/>
            </w:tcMar>
            <w:vAlign w:val="center"/>
          </w:tcPr>
          <w:p w14:paraId="568B6F3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E37917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302</w:t>
            </w:r>
          </w:p>
        </w:tc>
        <w:tc>
          <w:tcPr>
            <w:tcW w:w="845" w:type="dxa"/>
            <w:tcBorders>
              <w:top w:val="nil"/>
              <w:left w:val="nil"/>
              <w:bottom w:val="nil"/>
              <w:right w:val="nil"/>
              <w:tl2br w:val="nil"/>
              <w:tr2bl w:val="nil"/>
            </w:tcBorders>
            <w:tcMar>
              <w:left w:w="60" w:type="dxa"/>
              <w:right w:w="60" w:type="dxa"/>
            </w:tcMar>
            <w:vAlign w:val="center"/>
          </w:tcPr>
          <w:p w14:paraId="74D34F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3 092</w:t>
            </w:r>
          </w:p>
        </w:tc>
        <w:tc>
          <w:tcPr>
            <w:tcW w:w="845" w:type="dxa"/>
            <w:tcBorders>
              <w:top w:val="nil"/>
              <w:left w:val="nil"/>
              <w:bottom w:val="nil"/>
              <w:right w:val="nil"/>
              <w:tl2br w:val="nil"/>
              <w:tr2bl w:val="nil"/>
            </w:tcBorders>
            <w:tcMar>
              <w:left w:w="60" w:type="dxa"/>
              <w:right w:w="60" w:type="dxa"/>
            </w:tcMar>
            <w:vAlign w:val="center"/>
          </w:tcPr>
          <w:p w14:paraId="699BDFD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1BE73F0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16AD0E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49DD1F6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430BC6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5C293A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4A6F2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13B08AB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B714F1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61D9B0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8D0221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(Pensions of former Members) European Parliament</w:t>
            </w:r>
          </w:p>
        </w:tc>
        <w:tc>
          <w:tcPr>
            <w:tcW w:w="845" w:type="dxa"/>
            <w:tcBorders>
              <w:top w:val="nil"/>
              <w:left w:val="nil"/>
              <w:bottom w:val="nil"/>
              <w:right w:val="nil"/>
              <w:tl2br w:val="nil"/>
              <w:tr2bl w:val="nil"/>
            </w:tcBorders>
            <w:tcMar>
              <w:left w:w="60" w:type="dxa"/>
              <w:right w:w="60" w:type="dxa"/>
            </w:tcMar>
            <w:vAlign w:val="center"/>
          </w:tcPr>
          <w:p w14:paraId="23B8DD6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954" w:type="dxa"/>
            <w:tcBorders>
              <w:top w:val="nil"/>
              <w:left w:val="nil"/>
              <w:bottom w:val="nil"/>
              <w:right w:val="nil"/>
              <w:tl2br w:val="nil"/>
              <w:tr2bl w:val="nil"/>
            </w:tcBorders>
            <w:tcMar>
              <w:left w:w="60" w:type="dxa"/>
              <w:right w:w="60" w:type="dxa"/>
            </w:tcMar>
            <w:vAlign w:val="center"/>
          </w:tcPr>
          <w:p w14:paraId="06131E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14:paraId="2686CD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C8870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93E22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14:paraId="1FBD275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369B14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68011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A390A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962D57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FA428E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7C0C96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9FB5ED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FDF4E1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4F3228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E808FB3"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(Pensions of former Members) European Council and Council</w:t>
            </w:r>
          </w:p>
        </w:tc>
        <w:tc>
          <w:tcPr>
            <w:tcW w:w="845" w:type="dxa"/>
            <w:tcBorders>
              <w:top w:val="nil"/>
              <w:left w:val="nil"/>
              <w:bottom w:val="nil"/>
              <w:right w:val="nil"/>
              <w:tl2br w:val="nil"/>
              <w:tr2bl w:val="nil"/>
            </w:tcBorders>
            <w:tcMar>
              <w:left w:w="60" w:type="dxa"/>
              <w:right w:w="60" w:type="dxa"/>
            </w:tcMar>
            <w:vAlign w:val="center"/>
          </w:tcPr>
          <w:p w14:paraId="5515AD2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14:paraId="3B9FA26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76272ED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83C3ED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A430D5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9631F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0AC94A2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72EAC3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49158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701D72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CA6E12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917AE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0C8EDDC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4B69B9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C2F184"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5B81ACA"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(Pensions of former Members) Commission</w:t>
            </w:r>
          </w:p>
        </w:tc>
        <w:tc>
          <w:tcPr>
            <w:tcW w:w="845" w:type="dxa"/>
            <w:tcBorders>
              <w:top w:val="nil"/>
              <w:left w:val="nil"/>
              <w:bottom w:val="nil"/>
              <w:right w:val="nil"/>
              <w:tl2br w:val="nil"/>
              <w:tr2bl w:val="nil"/>
            </w:tcBorders>
            <w:tcMar>
              <w:left w:w="60" w:type="dxa"/>
              <w:right w:w="60" w:type="dxa"/>
            </w:tcMar>
            <w:vAlign w:val="center"/>
          </w:tcPr>
          <w:p w14:paraId="52E875F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14:paraId="3B01B87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4C0E176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3A58FE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18E92E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25A720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17A34E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F0ACE1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C9072D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C93588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BB847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7A945F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3EF0C4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ECCBBD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C7BD89B"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631899A"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(Pensions of former Members) Court of Justice of the European Union</w:t>
            </w:r>
          </w:p>
        </w:tc>
        <w:tc>
          <w:tcPr>
            <w:tcW w:w="845" w:type="dxa"/>
            <w:tcBorders>
              <w:top w:val="nil"/>
              <w:left w:val="nil"/>
              <w:bottom w:val="nil"/>
              <w:right w:val="nil"/>
              <w:tl2br w:val="nil"/>
              <w:tr2bl w:val="nil"/>
            </w:tcBorders>
            <w:tcMar>
              <w:left w:w="60" w:type="dxa"/>
              <w:right w:w="60" w:type="dxa"/>
            </w:tcMar>
            <w:vAlign w:val="center"/>
          </w:tcPr>
          <w:p w14:paraId="5578A3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954" w:type="dxa"/>
            <w:tcBorders>
              <w:top w:val="nil"/>
              <w:left w:val="nil"/>
              <w:bottom w:val="nil"/>
              <w:right w:val="nil"/>
              <w:tl2br w:val="nil"/>
              <w:tr2bl w:val="nil"/>
            </w:tcBorders>
            <w:tcMar>
              <w:left w:w="60" w:type="dxa"/>
              <w:right w:w="60" w:type="dxa"/>
            </w:tcMar>
            <w:vAlign w:val="center"/>
          </w:tcPr>
          <w:p w14:paraId="1033946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45" w:type="dxa"/>
            <w:tcBorders>
              <w:top w:val="nil"/>
              <w:left w:val="nil"/>
              <w:bottom w:val="nil"/>
              <w:right w:val="nil"/>
              <w:tl2br w:val="nil"/>
              <w:tr2bl w:val="nil"/>
            </w:tcBorders>
            <w:tcMar>
              <w:left w:w="60" w:type="dxa"/>
              <w:right w:w="60" w:type="dxa"/>
            </w:tcMar>
            <w:vAlign w:val="center"/>
          </w:tcPr>
          <w:p w14:paraId="25D201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48E692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665B95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845" w:type="dxa"/>
            <w:tcBorders>
              <w:top w:val="nil"/>
              <w:left w:val="nil"/>
              <w:bottom w:val="nil"/>
              <w:right w:val="nil"/>
              <w:tl2br w:val="nil"/>
              <w:tr2bl w:val="nil"/>
            </w:tcBorders>
            <w:tcMar>
              <w:left w:w="60" w:type="dxa"/>
              <w:right w:w="60" w:type="dxa"/>
            </w:tcMar>
            <w:vAlign w:val="center"/>
          </w:tcPr>
          <w:p w14:paraId="678512B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772B6F2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853733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4772B2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ABEE61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88DA3F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CD75F7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6D764F4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763147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F4F585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1FBBED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(Pensions of former Members) European Court of Auditors</w:t>
            </w:r>
          </w:p>
        </w:tc>
        <w:tc>
          <w:tcPr>
            <w:tcW w:w="845" w:type="dxa"/>
            <w:tcBorders>
              <w:top w:val="nil"/>
              <w:left w:val="nil"/>
              <w:bottom w:val="nil"/>
              <w:right w:val="nil"/>
              <w:tl2br w:val="nil"/>
              <w:tr2bl w:val="nil"/>
            </w:tcBorders>
            <w:tcMar>
              <w:left w:w="60" w:type="dxa"/>
              <w:right w:w="60" w:type="dxa"/>
            </w:tcMar>
            <w:vAlign w:val="center"/>
          </w:tcPr>
          <w:p w14:paraId="11D621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54" w:type="dxa"/>
            <w:tcBorders>
              <w:top w:val="nil"/>
              <w:left w:val="nil"/>
              <w:bottom w:val="nil"/>
              <w:right w:val="nil"/>
              <w:tl2br w:val="nil"/>
              <w:tr2bl w:val="nil"/>
            </w:tcBorders>
            <w:tcMar>
              <w:left w:w="60" w:type="dxa"/>
              <w:right w:w="60" w:type="dxa"/>
            </w:tcMar>
            <w:vAlign w:val="center"/>
          </w:tcPr>
          <w:p w14:paraId="5EC706A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1456B2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D13215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1F236E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04304B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4BD6E1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DA1B2F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F5B95B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78C05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1B2F5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98E27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D98BBA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53DA4D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F15C2B2"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0DB04FF"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(Pensions of former Members) European Ombudsman</w:t>
            </w:r>
          </w:p>
        </w:tc>
        <w:tc>
          <w:tcPr>
            <w:tcW w:w="845" w:type="dxa"/>
            <w:tcBorders>
              <w:top w:val="nil"/>
              <w:left w:val="nil"/>
              <w:bottom w:val="nil"/>
              <w:right w:val="nil"/>
              <w:tl2br w:val="nil"/>
              <w:tr2bl w:val="nil"/>
            </w:tcBorders>
            <w:tcMar>
              <w:left w:w="60" w:type="dxa"/>
              <w:right w:w="60" w:type="dxa"/>
            </w:tcMar>
            <w:vAlign w:val="center"/>
          </w:tcPr>
          <w:p w14:paraId="1D5B9E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54" w:type="dxa"/>
            <w:tcBorders>
              <w:top w:val="nil"/>
              <w:left w:val="nil"/>
              <w:bottom w:val="nil"/>
              <w:right w:val="nil"/>
              <w:tl2br w:val="nil"/>
              <w:tr2bl w:val="nil"/>
            </w:tcBorders>
            <w:tcMar>
              <w:left w:w="60" w:type="dxa"/>
              <w:right w:w="60" w:type="dxa"/>
            </w:tcMar>
            <w:vAlign w:val="center"/>
          </w:tcPr>
          <w:p w14:paraId="5EE700B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F14920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332ECF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3B8773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6C29CD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430814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7FB49B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E48720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C4B9AB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B7B110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B4A374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938706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31E20F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8E9C27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AD7355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(Pensions of former Members) European Data Protection Supervisor</w:t>
            </w:r>
          </w:p>
        </w:tc>
        <w:tc>
          <w:tcPr>
            <w:tcW w:w="845" w:type="dxa"/>
            <w:tcBorders>
              <w:top w:val="nil"/>
              <w:left w:val="nil"/>
              <w:bottom w:val="nil"/>
              <w:right w:val="nil"/>
              <w:tl2br w:val="nil"/>
              <w:tr2bl w:val="nil"/>
            </w:tcBorders>
            <w:tcMar>
              <w:left w:w="60" w:type="dxa"/>
              <w:right w:w="60" w:type="dxa"/>
            </w:tcMar>
            <w:vAlign w:val="center"/>
          </w:tcPr>
          <w:p w14:paraId="7D251A3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54" w:type="dxa"/>
            <w:tcBorders>
              <w:top w:val="nil"/>
              <w:left w:val="nil"/>
              <w:bottom w:val="nil"/>
              <w:right w:val="nil"/>
              <w:tl2br w:val="nil"/>
              <w:tr2bl w:val="nil"/>
            </w:tcBorders>
            <w:tcMar>
              <w:left w:w="60" w:type="dxa"/>
              <w:right w:w="60" w:type="dxa"/>
            </w:tcMar>
            <w:vAlign w:val="center"/>
          </w:tcPr>
          <w:p w14:paraId="136BE69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D79AEE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038C1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C5B41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3F1242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750529F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2279FE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52D489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546982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0470A9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06D620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F574C7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2B4648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5E471F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7F5B5D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schools) Commission</w:t>
            </w:r>
          </w:p>
        </w:tc>
        <w:tc>
          <w:tcPr>
            <w:tcW w:w="845" w:type="dxa"/>
            <w:tcBorders>
              <w:top w:val="nil"/>
              <w:left w:val="nil"/>
              <w:bottom w:val="nil"/>
              <w:right w:val="nil"/>
              <w:tl2br w:val="nil"/>
              <w:tr2bl w:val="nil"/>
            </w:tcBorders>
            <w:tcMar>
              <w:left w:w="60" w:type="dxa"/>
              <w:right w:w="60" w:type="dxa"/>
            </w:tcMar>
            <w:vAlign w:val="center"/>
          </w:tcPr>
          <w:p w14:paraId="284E35D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302</w:t>
            </w:r>
          </w:p>
        </w:tc>
        <w:tc>
          <w:tcPr>
            <w:tcW w:w="954" w:type="dxa"/>
            <w:tcBorders>
              <w:top w:val="nil"/>
              <w:left w:val="nil"/>
              <w:bottom w:val="nil"/>
              <w:right w:val="nil"/>
              <w:tl2br w:val="nil"/>
              <w:tr2bl w:val="nil"/>
            </w:tcBorders>
            <w:tcMar>
              <w:left w:w="60" w:type="dxa"/>
              <w:right w:w="60" w:type="dxa"/>
            </w:tcMar>
            <w:vAlign w:val="center"/>
          </w:tcPr>
          <w:p w14:paraId="5B74B4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263</w:t>
            </w:r>
          </w:p>
        </w:tc>
        <w:tc>
          <w:tcPr>
            <w:tcW w:w="845" w:type="dxa"/>
            <w:tcBorders>
              <w:top w:val="nil"/>
              <w:left w:val="nil"/>
              <w:bottom w:val="nil"/>
              <w:right w:val="nil"/>
              <w:tl2br w:val="nil"/>
              <w:tr2bl w:val="nil"/>
            </w:tcBorders>
            <w:tcMar>
              <w:left w:w="60" w:type="dxa"/>
              <w:right w:w="60" w:type="dxa"/>
            </w:tcMar>
            <w:vAlign w:val="center"/>
          </w:tcPr>
          <w:p w14:paraId="274EB66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1B95F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14:paraId="0F9FB3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293</w:t>
            </w:r>
          </w:p>
        </w:tc>
        <w:tc>
          <w:tcPr>
            <w:tcW w:w="845" w:type="dxa"/>
            <w:tcBorders>
              <w:top w:val="nil"/>
              <w:left w:val="nil"/>
              <w:bottom w:val="nil"/>
              <w:right w:val="nil"/>
              <w:tl2br w:val="nil"/>
              <w:tr2bl w:val="nil"/>
            </w:tcBorders>
            <w:tcMar>
              <w:left w:w="60" w:type="dxa"/>
              <w:right w:w="60" w:type="dxa"/>
            </w:tcMar>
            <w:vAlign w:val="center"/>
          </w:tcPr>
          <w:p w14:paraId="7CB7CA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31F050A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B538C0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7F30F06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138412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CB7A2E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BF12C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E45B16D"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8786EC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D81AF9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33AFDB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Remuneration statutory staff</w:t>
            </w:r>
          </w:p>
        </w:tc>
        <w:tc>
          <w:tcPr>
            <w:tcW w:w="845" w:type="dxa"/>
            <w:tcBorders>
              <w:top w:val="nil"/>
              <w:left w:val="nil"/>
              <w:bottom w:val="nil"/>
              <w:right w:val="nil"/>
              <w:tl2br w:val="nil"/>
              <w:tr2bl w:val="nil"/>
            </w:tcBorders>
            <w:tcMar>
              <w:left w:w="60" w:type="dxa"/>
              <w:right w:w="60" w:type="dxa"/>
            </w:tcMar>
            <w:vAlign w:val="center"/>
          </w:tcPr>
          <w:p w14:paraId="592339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3 157</w:t>
            </w:r>
          </w:p>
        </w:tc>
        <w:tc>
          <w:tcPr>
            <w:tcW w:w="954" w:type="dxa"/>
            <w:tcBorders>
              <w:top w:val="nil"/>
              <w:left w:val="nil"/>
              <w:bottom w:val="nil"/>
              <w:right w:val="nil"/>
              <w:tl2br w:val="nil"/>
              <w:tr2bl w:val="nil"/>
            </w:tcBorders>
            <w:tcMar>
              <w:left w:w="60" w:type="dxa"/>
              <w:right w:w="60" w:type="dxa"/>
            </w:tcMar>
            <w:vAlign w:val="center"/>
          </w:tcPr>
          <w:p w14:paraId="3752976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3 027</w:t>
            </w:r>
          </w:p>
        </w:tc>
        <w:tc>
          <w:tcPr>
            <w:tcW w:w="845" w:type="dxa"/>
            <w:tcBorders>
              <w:top w:val="nil"/>
              <w:left w:val="nil"/>
              <w:bottom w:val="nil"/>
              <w:right w:val="nil"/>
              <w:tl2br w:val="nil"/>
              <w:tr2bl w:val="nil"/>
            </w:tcBorders>
            <w:tcMar>
              <w:left w:w="60" w:type="dxa"/>
              <w:right w:w="60" w:type="dxa"/>
            </w:tcMar>
            <w:vAlign w:val="center"/>
          </w:tcPr>
          <w:p w14:paraId="7688098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BE2BD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65</w:t>
            </w:r>
          </w:p>
        </w:tc>
        <w:tc>
          <w:tcPr>
            <w:tcW w:w="845" w:type="dxa"/>
            <w:tcBorders>
              <w:top w:val="nil"/>
              <w:left w:val="nil"/>
              <w:bottom w:val="nil"/>
              <w:right w:val="nil"/>
              <w:tl2br w:val="nil"/>
              <w:tr2bl w:val="nil"/>
            </w:tcBorders>
            <w:tcMar>
              <w:left w:w="60" w:type="dxa"/>
              <w:right w:w="60" w:type="dxa"/>
            </w:tcMar>
            <w:vAlign w:val="center"/>
          </w:tcPr>
          <w:p w14:paraId="249C78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3 092</w:t>
            </w:r>
          </w:p>
        </w:tc>
        <w:tc>
          <w:tcPr>
            <w:tcW w:w="845" w:type="dxa"/>
            <w:tcBorders>
              <w:top w:val="nil"/>
              <w:left w:val="nil"/>
              <w:bottom w:val="nil"/>
              <w:right w:val="nil"/>
              <w:tl2br w:val="nil"/>
              <w:tr2bl w:val="nil"/>
            </w:tcBorders>
            <w:tcMar>
              <w:left w:w="60" w:type="dxa"/>
              <w:right w:w="60" w:type="dxa"/>
            </w:tcMar>
            <w:vAlign w:val="center"/>
          </w:tcPr>
          <w:p w14:paraId="21BEED1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14:paraId="349A9F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AE55C3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64</w:t>
            </w:r>
          </w:p>
        </w:tc>
        <w:tc>
          <w:tcPr>
            <w:tcW w:w="845" w:type="dxa"/>
            <w:tcBorders>
              <w:top w:val="nil"/>
              <w:left w:val="nil"/>
              <w:bottom w:val="nil"/>
              <w:right w:val="nil"/>
              <w:tl2br w:val="nil"/>
              <w:tr2bl w:val="nil"/>
            </w:tcBorders>
            <w:tcMar>
              <w:left w:w="60" w:type="dxa"/>
              <w:right w:w="60" w:type="dxa"/>
            </w:tcMar>
            <w:vAlign w:val="center"/>
          </w:tcPr>
          <w:p w14:paraId="3C0FBA1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64</w:t>
            </w:r>
          </w:p>
        </w:tc>
        <w:tc>
          <w:tcPr>
            <w:tcW w:w="845" w:type="dxa"/>
            <w:tcBorders>
              <w:top w:val="nil"/>
              <w:left w:val="nil"/>
              <w:bottom w:val="nil"/>
              <w:right w:val="nil"/>
              <w:tl2br w:val="nil"/>
              <w:tr2bl w:val="nil"/>
            </w:tcBorders>
            <w:tcMar>
              <w:left w:w="60" w:type="dxa"/>
              <w:right w:w="60" w:type="dxa"/>
            </w:tcMar>
            <w:vAlign w:val="center"/>
          </w:tcPr>
          <w:p w14:paraId="4262035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45268F9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35FB18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3929824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283464D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F3DD774"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27F41D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Remuneration external staff</w:t>
            </w:r>
          </w:p>
        </w:tc>
        <w:tc>
          <w:tcPr>
            <w:tcW w:w="845" w:type="dxa"/>
            <w:tcBorders>
              <w:top w:val="nil"/>
              <w:left w:val="nil"/>
              <w:bottom w:val="nil"/>
              <w:right w:val="nil"/>
              <w:tl2br w:val="nil"/>
              <w:tr2bl w:val="nil"/>
            </w:tcBorders>
            <w:tcMar>
              <w:left w:w="60" w:type="dxa"/>
              <w:right w:w="60" w:type="dxa"/>
            </w:tcMar>
            <w:vAlign w:val="center"/>
          </w:tcPr>
          <w:p w14:paraId="770E115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493</w:t>
            </w:r>
          </w:p>
        </w:tc>
        <w:tc>
          <w:tcPr>
            <w:tcW w:w="954" w:type="dxa"/>
            <w:tcBorders>
              <w:top w:val="nil"/>
              <w:left w:val="nil"/>
              <w:bottom w:val="nil"/>
              <w:right w:val="nil"/>
              <w:tl2br w:val="nil"/>
              <w:tr2bl w:val="nil"/>
            </w:tcBorders>
            <w:tcMar>
              <w:left w:w="60" w:type="dxa"/>
              <w:right w:w="60" w:type="dxa"/>
            </w:tcMar>
            <w:vAlign w:val="center"/>
          </w:tcPr>
          <w:p w14:paraId="71BB81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268</w:t>
            </w:r>
          </w:p>
        </w:tc>
        <w:tc>
          <w:tcPr>
            <w:tcW w:w="845" w:type="dxa"/>
            <w:tcBorders>
              <w:top w:val="nil"/>
              <w:left w:val="nil"/>
              <w:bottom w:val="nil"/>
              <w:right w:val="nil"/>
              <w:tl2br w:val="nil"/>
              <w:tr2bl w:val="nil"/>
            </w:tcBorders>
            <w:tcMar>
              <w:left w:w="60" w:type="dxa"/>
              <w:right w:w="60" w:type="dxa"/>
            </w:tcMar>
            <w:vAlign w:val="center"/>
          </w:tcPr>
          <w:p w14:paraId="416EAD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14:paraId="4DFEF0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14:paraId="485D65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342</w:t>
            </w:r>
          </w:p>
        </w:tc>
        <w:tc>
          <w:tcPr>
            <w:tcW w:w="845" w:type="dxa"/>
            <w:tcBorders>
              <w:top w:val="nil"/>
              <w:left w:val="nil"/>
              <w:bottom w:val="nil"/>
              <w:right w:val="nil"/>
              <w:tl2br w:val="nil"/>
              <w:tr2bl w:val="nil"/>
            </w:tcBorders>
            <w:tcMar>
              <w:left w:w="60" w:type="dxa"/>
              <w:right w:w="60" w:type="dxa"/>
            </w:tcMar>
            <w:vAlign w:val="center"/>
          </w:tcPr>
          <w:p w14:paraId="420C854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69 %</w:t>
            </w:r>
          </w:p>
        </w:tc>
        <w:tc>
          <w:tcPr>
            <w:tcW w:w="845" w:type="dxa"/>
            <w:tcBorders>
              <w:top w:val="nil"/>
              <w:left w:val="nil"/>
              <w:bottom w:val="nil"/>
              <w:right w:val="nil"/>
              <w:tl2br w:val="nil"/>
              <w:tr2bl w:val="nil"/>
            </w:tcBorders>
            <w:tcMar>
              <w:left w:w="60" w:type="dxa"/>
              <w:right w:w="60" w:type="dxa"/>
            </w:tcMar>
            <w:vAlign w:val="center"/>
          </w:tcPr>
          <w:p w14:paraId="7562704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14:paraId="5C79379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118</w:t>
            </w:r>
          </w:p>
        </w:tc>
        <w:tc>
          <w:tcPr>
            <w:tcW w:w="845" w:type="dxa"/>
            <w:tcBorders>
              <w:top w:val="nil"/>
              <w:left w:val="nil"/>
              <w:bottom w:val="nil"/>
              <w:right w:val="nil"/>
              <w:tl2br w:val="nil"/>
              <w:tr2bl w:val="nil"/>
            </w:tcBorders>
            <w:tcMar>
              <w:left w:w="60" w:type="dxa"/>
              <w:right w:w="60" w:type="dxa"/>
            </w:tcMar>
            <w:vAlign w:val="center"/>
          </w:tcPr>
          <w:p w14:paraId="31559A4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148</w:t>
            </w:r>
          </w:p>
        </w:tc>
        <w:tc>
          <w:tcPr>
            <w:tcW w:w="845" w:type="dxa"/>
            <w:tcBorders>
              <w:top w:val="nil"/>
              <w:left w:val="nil"/>
              <w:bottom w:val="nil"/>
              <w:right w:val="nil"/>
              <w:tl2br w:val="nil"/>
              <w:tr2bl w:val="nil"/>
            </w:tcBorders>
            <w:tcMar>
              <w:left w:w="60" w:type="dxa"/>
              <w:right w:w="60" w:type="dxa"/>
            </w:tcMar>
            <w:vAlign w:val="center"/>
          </w:tcPr>
          <w:p w14:paraId="3C0D7A0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C0E3F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79B146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93" w:type="dxa"/>
            <w:tcBorders>
              <w:top w:val="nil"/>
              <w:left w:val="nil"/>
              <w:bottom w:val="nil"/>
              <w:right w:val="nil"/>
              <w:tl2br w:val="nil"/>
              <w:tr2bl w:val="nil"/>
            </w:tcBorders>
            <w:tcMar>
              <w:left w:w="60" w:type="dxa"/>
              <w:right w:w="60" w:type="dxa"/>
            </w:tcMar>
            <w:vAlign w:val="center"/>
          </w:tcPr>
          <w:p w14:paraId="20E5BA9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1AE83EC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D0C423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A565E0D"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Members - Salaries and allowances</w:t>
            </w:r>
          </w:p>
        </w:tc>
        <w:tc>
          <w:tcPr>
            <w:tcW w:w="845" w:type="dxa"/>
            <w:tcBorders>
              <w:top w:val="nil"/>
              <w:left w:val="nil"/>
              <w:bottom w:val="nil"/>
              <w:right w:val="nil"/>
              <w:tl2br w:val="nil"/>
              <w:tr2bl w:val="nil"/>
            </w:tcBorders>
            <w:tcMar>
              <w:left w:w="60" w:type="dxa"/>
              <w:right w:w="60" w:type="dxa"/>
            </w:tcMar>
            <w:vAlign w:val="center"/>
          </w:tcPr>
          <w:p w14:paraId="3E62F99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954" w:type="dxa"/>
            <w:tcBorders>
              <w:top w:val="nil"/>
              <w:left w:val="nil"/>
              <w:bottom w:val="nil"/>
              <w:right w:val="nil"/>
              <w:tl2br w:val="nil"/>
              <w:tr2bl w:val="nil"/>
            </w:tcBorders>
            <w:tcMar>
              <w:left w:w="60" w:type="dxa"/>
              <w:right w:w="60" w:type="dxa"/>
            </w:tcMar>
            <w:vAlign w:val="center"/>
          </w:tcPr>
          <w:p w14:paraId="760E83D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14:paraId="25E431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E51EB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7C63AD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14:paraId="3ACB3F6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14:paraId="224C970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6F4AD95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58174E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726E19F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4E7932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304A7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24A2F6F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A08CAE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ABC960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FD5816A"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Members - Temporary allowances</w:t>
            </w:r>
          </w:p>
        </w:tc>
        <w:tc>
          <w:tcPr>
            <w:tcW w:w="845" w:type="dxa"/>
            <w:tcBorders>
              <w:top w:val="nil"/>
              <w:left w:val="nil"/>
              <w:bottom w:val="nil"/>
              <w:right w:val="nil"/>
              <w:tl2br w:val="nil"/>
              <w:tr2bl w:val="nil"/>
            </w:tcBorders>
            <w:tcMar>
              <w:left w:w="60" w:type="dxa"/>
              <w:right w:w="60" w:type="dxa"/>
            </w:tcMar>
            <w:vAlign w:val="center"/>
          </w:tcPr>
          <w:p w14:paraId="0CD2695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54" w:type="dxa"/>
            <w:tcBorders>
              <w:top w:val="nil"/>
              <w:left w:val="nil"/>
              <w:bottom w:val="nil"/>
              <w:right w:val="nil"/>
              <w:tl2br w:val="nil"/>
              <w:tr2bl w:val="nil"/>
            </w:tcBorders>
            <w:tcMar>
              <w:left w:w="60" w:type="dxa"/>
              <w:right w:w="60" w:type="dxa"/>
            </w:tcMar>
            <w:vAlign w:val="center"/>
          </w:tcPr>
          <w:p w14:paraId="7F1F2FE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6A7D84D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C5DF05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ADB0BD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7061C1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14:paraId="7149EEB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C58F0B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B17D3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C0F591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3D9E5A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94D16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0D6A1733"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6CC8EA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E5CF5C7"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F4DC8C8"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Recruitment costs</w:t>
            </w:r>
          </w:p>
        </w:tc>
        <w:tc>
          <w:tcPr>
            <w:tcW w:w="845" w:type="dxa"/>
            <w:tcBorders>
              <w:top w:val="nil"/>
              <w:left w:val="nil"/>
              <w:bottom w:val="nil"/>
              <w:right w:val="nil"/>
              <w:tl2br w:val="nil"/>
              <w:tr2bl w:val="nil"/>
            </w:tcBorders>
            <w:tcMar>
              <w:left w:w="60" w:type="dxa"/>
              <w:right w:w="60" w:type="dxa"/>
            </w:tcMar>
            <w:vAlign w:val="center"/>
          </w:tcPr>
          <w:p w14:paraId="761C734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954" w:type="dxa"/>
            <w:tcBorders>
              <w:top w:val="nil"/>
              <w:left w:val="nil"/>
              <w:bottom w:val="nil"/>
              <w:right w:val="nil"/>
              <w:tl2br w:val="nil"/>
              <w:tr2bl w:val="nil"/>
            </w:tcBorders>
            <w:tcMar>
              <w:left w:w="60" w:type="dxa"/>
              <w:right w:w="60" w:type="dxa"/>
            </w:tcMar>
            <w:vAlign w:val="center"/>
          </w:tcPr>
          <w:p w14:paraId="3C80383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14:paraId="1DF9C83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1283845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A7979B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845" w:type="dxa"/>
            <w:tcBorders>
              <w:top w:val="nil"/>
              <w:left w:val="nil"/>
              <w:bottom w:val="nil"/>
              <w:right w:val="nil"/>
              <w:tl2br w:val="nil"/>
              <w:tr2bl w:val="nil"/>
            </w:tcBorders>
            <w:tcMar>
              <w:left w:w="60" w:type="dxa"/>
              <w:right w:w="60" w:type="dxa"/>
            </w:tcMar>
            <w:vAlign w:val="center"/>
          </w:tcPr>
          <w:p w14:paraId="014029F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14:paraId="1596CE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557F18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7C955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51E2751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7B26F1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35C6B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5B8C0C9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57A226F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0891ED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7710235"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Termination of service</w:t>
            </w:r>
          </w:p>
        </w:tc>
        <w:tc>
          <w:tcPr>
            <w:tcW w:w="845" w:type="dxa"/>
            <w:tcBorders>
              <w:top w:val="nil"/>
              <w:left w:val="nil"/>
              <w:bottom w:val="nil"/>
              <w:right w:val="nil"/>
              <w:tl2br w:val="nil"/>
              <w:tr2bl w:val="nil"/>
            </w:tcBorders>
            <w:tcMar>
              <w:left w:w="60" w:type="dxa"/>
              <w:right w:w="60" w:type="dxa"/>
            </w:tcMar>
            <w:vAlign w:val="center"/>
          </w:tcPr>
          <w:p w14:paraId="456E9ED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54" w:type="dxa"/>
            <w:tcBorders>
              <w:top w:val="nil"/>
              <w:left w:val="nil"/>
              <w:bottom w:val="nil"/>
              <w:right w:val="nil"/>
              <w:tl2br w:val="nil"/>
              <w:tr2bl w:val="nil"/>
            </w:tcBorders>
            <w:tcMar>
              <w:left w:w="60" w:type="dxa"/>
              <w:right w:w="60" w:type="dxa"/>
            </w:tcMar>
            <w:vAlign w:val="center"/>
          </w:tcPr>
          <w:p w14:paraId="3FD18EF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6566EEF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8EAC4B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189566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2CC58B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3181FFA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3389E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E152FE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DDB3AB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E6910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FA1F5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6365E8D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A7DD92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2BEC28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B39903A"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Training costs</w:t>
            </w:r>
          </w:p>
        </w:tc>
        <w:tc>
          <w:tcPr>
            <w:tcW w:w="845" w:type="dxa"/>
            <w:tcBorders>
              <w:top w:val="nil"/>
              <w:left w:val="nil"/>
              <w:bottom w:val="nil"/>
              <w:right w:val="nil"/>
              <w:tl2br w:val="nil"/>
              <w:tr2bl w:val="nil"/>
            </w:tcBorders>
            <w:tcMar>
              <w:left w:w="60" w:type="dxa"/>
              <w:right w:w="60" w:type="dxa"/>
            </w:tcMar>
            <w:vAlign w:val="center"/>
          </w:tcPr>
          <w:p w14:paraId="1A5F03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954" w:type="dxa"/>
            <w:tcBorders>
              <w:top w:val="nil"/>
              <w:left w:val="nil"/>
              <w:bottom w:val="nil"/>
              <w:right w:val="nil"/>
              <w:tl2br w:val="nil"/>
              <w:tr2bl w:val="nil"/>
            </w:tcBorders>
            <w:tcMar>
              <w:left w:w="60" w:type="dxa"/>
              <w:right w:w="60" w:type="dxa"/>
            </w:tcMar>
            <w:vAlign w:val="center"/>
          </w:tcPr>
          <w:p w14:paraId="4A141F6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010691D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74156E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753066F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14:paraId="5CEC484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55 %</w:t>
            </w:r>
          </w:p>
        </w:tc>
        <w:tc>
          <w:tcPr>
            <w:tcW w:w="845" w:type="dxa"/>
            <w:tcBorders>
              <w:top w:val="nil"/>
              <w:left w:val="nil"/>
              <w:bottom w:val="nil"/>
              <w:right w:val="nil"/>
              <w:tl2br w:val="nil"/>
              <w:tr2bl w:val="nil"/>
            </w:tcBorders>
            <w:tcMar>
              <w:left w:w="60" w:type="dxa"/>
              <w:right w:w="60" w:type="dxa"/>
            </w:tcMar>
            <w:vAlign w:val="center"/>
          </w:tcPr>
          <w:p w14:paraId="6F9DF7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1A3C3B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13C45F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6F7E06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0C8711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4A83B5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4F8DE8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4B8C641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9008D86"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5423E2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Social and Mobility</w:t>
            </w:r>
          </w:p>
        </w:tc>
        <w:tc>
          <w:tcPr>
            <w:tcW w:w="845" w:type="dxa"/>
            <w:tcBorders>
              <w:top w:val="nil"/>
              <w:left w:val="nil"/>
              <w:bottom w:val="nil"/>
              <w:right w:val="nil"/>
              <w:tl2br w:val="nil"/>
              <w:tr2bl w:val="nil"/>
            </w:tcBorders>
            <w:tcMar>
              <w:left w:w="60" w:type="dxa"/>
              <w:right w:w="60" w:type="dxa"/>
            </w:tcMar>
            <w:vAlign w:val="center"/>
          </w:tcPr>
          <w:p w14:paraId="595703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64</w:t>
            </w:r>
          </w:p>
        </w:tc>
        <w:tc>
          <w:tcPr>
            <w:tcW w:w="954" w:type="dxa"/>
            <w:tcBorders>
              <w:top w:val="nil"/>
              <w:left w:val="nil"/>
              <w:bottom w:val="nil"/>
              <w:right w:val="nil"/>
              <w:tl2br w:val="nil"/>
              <w:tr2bl w:val="nil"/>
            </w:tcBorders>
            <w:tcMar>
              <w:left w:w="60" w:type="dxa"/>
              <w:right w:w="60" w:type="dxa"/>
            </w:tcMar>
            <w:vAlign w:val="center"/>
          </w:tcPr>
          <w:p w14:paraId="7A3EB04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51FD866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061B26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14:paraId="5AAEE4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845" w:type="dxa"/>
            <w:tcBorders>
              <w:top w:val="nil"/>
              <w:left w:val="nil"/>
              <w:bottom w:val="nil"/>
              <w:right w:val="nil"/>
              <w:tl2br w:val="nil"/>
              <w:tr2bl w:val="nil"/>
            </w:tcBorders>
            <w:tcMar>
              <w:left w:w="60" w:type="dxa"/>
              <w:right w:w="60" w:type="dxa"/>
            </w:tcMar>
            <w:vAlign w:val="center"/>
          </w:tcPr>
          <w:p w14:paraId="028576A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56 %</w:t>
            </w:r>
          </w:p>
        </w:tc>
        <w:tc>
          <w:tcPr>
            <w:tcW w:w="845" w:type="dxa"/>
            <w:tcBorders>
              <w:top w:val="nil"/>
              <w:left w:val="nil"/>
              <w:bottom w:val="nil"/>
              <w:right w:val="nil"/>
              <w:tl2br w:val="nil"/>
              <w:tr2bl w:val="nil"/>
            </w:tcBorders>
            <w:tcMar>
              <w:left w:w="60" w:type="dxa"/>
              <w:right w:w="60" w:type="dxa"/>
            </w:tcMar>
            <w:vAlign w:val="center"/>
          </w:tcPr>
          <w:p w14:paraId="5526157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31139C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14:paraId="58716D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14:paraId="126FB7D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2ECDCA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33DA67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5CD3FC8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16862D4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3E7DEE1"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15E3D7F"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Information and communication technology</w:t>
            </w:r>
          </w:p>
        </w:tc>
        <w:tc>
          <w:tcPr>
            <w:tcW w:w="845" w:type="dxa"/>
            <w:tcBorders>
              <w:top w:val="nil"/>
              <w:left w:val="nil"/>
              <w:bottom w:val="nil"/>
              <w:right w:val="nil"/>
              <w:tl2br w:val="nil"/>
              <w:tr2bl w:val="nil"/>
            </w:tcBorders>
            <w:tcMar>
              <w:left w:w="60" w:type="dxa"/>
              <w:right w:w="60" w:type="dxa"/>
            </w:tcMar>
            <w:vAlign w:val="center"/>
          </w:tcPr>
          <w:p w14:paraId="276A103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765</w:t>
            </w:r>
          </w:p>
        </w:tc>
        <w:tc>
          <w:tcPr>
            <w:tcW w:w="954" w:type="dxa"/>
            <w:tcBorders>
              <w:top w:val="nil"/>
              <w:left w:val="nil"/>
              <w:bottom w:val="nil"/>
              <w:right w:val="nil"/>
              <w:tl2br w:val="nil"/>
              <w:tr2bl w:val="nil"/>
            </w:tcBorders>
            <w:tcMar>
              <w:left w:w="60" w:type="dxa"/>
              <w:right w:w="60" w:type="dxa"/>
            </w:tcMar>
            <w:vAlign w:val="center"/>
          </w:tcPr>
          <w:p w14:paraId="2AFD217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187</w:t>
            </w:r>
          </w:p>
        </w:tc>
        <w:tc>
          <w:tcPr>
            <w:tcW w:w="845" w:type="dxa"/>
            <w:tcBorders>
              <w:top w:val="nil"/>
              <w:left w:val="nil"/>
              <w:bottom w:val="nil"/>
              <w:right w:val="nil"/>
              <w:tl2br w:val="nil"/>
              <w:tr2bl w:val="nil"/>
            </w:tcBorders>
            <w:tcMar>
              <w:left w:w="60" w:type="dxa"/>
              <w:right w:w="60" w:type="dxa"/>
            </w:tcMar>
            <w:vAlign w:val="center"/>
          </w:tcPr>
          <w:p w14:paraId="4BF8B18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119</w:t>
            </w:r>
          </w:p>
        </w:tc>
        <w:tc>
          <w:tcPr>
            <w:tcW w:w="845" w:type="dxa"/>
            <w:tcBorders>
              <w:top w:val="nil"/>
              <w:left w:val="nil"/>
              <w:bottom w:val="nil"/>
              <w:right w:val="nil"/>
              <w:tl2br w:val="nil"/>
              <w:tr2bl w:val="nil"/>
            </w:tcBorders>
            <w:tcMar>
              <w:left w:w="60" w:type="dxa"/>
              <w:right w:w="60" w:type="dxa"/>
            </w:tcMar>
            <w:vAlign w:val="center"/>
          </w:tcPr>
          <w:p w14:paraId="1EBEB0A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137</w:t>
            </w:r>
          </w:p>
        </w:tc>
        <w:tc>
          <w:tcPr>
            <w:tcW w:w="845" w:type="dxa"/>
            <w:tcBorders>
              <w:top w:val="nil"/>
              <w:left w:val="nil"/>
              <w:bottom w:val="nil"/>
              <w:right w:val="nil"/>
              <w:tl2br w:val="nil"/>
              <w:tr2bl w:val="nil"/>
            </w:tcBorders>
            <w:tcMar>
              <w:left w:w="60" w:type="dxa"/>
              <w:right w:w="60" w:type="dxa"/>
            </w:tcMar>
            <w:vAlign w:val="center"/>
          </w:tcPr>
          <w:p w14:paraId="148CBEA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442</w:t>
            </w:r>
          </w:p>
        </w:tc>
        <w:tc>
          <w:tcPr>
            <w:tcW w:w="845" w:type="dxa"/>
            <w:tcBorders>
              <w:top w:val="nil"/>
              <w:left w:val="nil"/>
              <w:bottom w:val="nil"/>
              <w:right w:val="nil"/>
              <w:tl2br w:val="nil"/>
              <w:tr2bl w:val="nil"/>
            </w:tcBorders>
            <w:tcMar>
              <w:left w:w="60" w:type="dxa"/>
              <w:right w:w="60" w:type="dxa"/>
            </w:tcMar>
            <w:vAlign w:val="center"/>
          </w:tcPr>
          <w:p w14:paraId="767A01E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58 %</w:t>
            </w:r>
          </w:p>
        </w:tc>
        <w:tc>
          <w:tcPr>
            <w:tcW w:w="845" w:type="dxa"/>
            <w:tcBorders>
              <w:top w:val="nil"/>
              <w:left w:val="nil"/>
              <w:bottom w:val="nil"/>
              <w:right w:val="nil"/>
              <w:tl2br w:val="nil"/>
              <w:tr2bl w:val="nil"/>
            </w:tcBorders>
            <w:tcMar>
              <w:left w:w="60" w:type="dxa"/>
              <w:right w:w="60" w:type="dxa"/>
            </w:tcMar>
            <w:vAlign w:val="center"/>
          </w:tcPr>
          <w:p w14:paraId="41A7C57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105</w:t>
            </w:r>
          </w:p>
        </w:tc>
        <w:tc>
          <w:tcPr>
            <w:tcW w:w="845" w:type="dxa"/>
            <w:tcBorders>
              <w:top w:val="nil"/>
              <w:left w:val="nil"/>
              <w:bottom w:val="nil"/>
              <w:right w:val="nil"/>
              <w:tl2br w:val="nil"/>
              <w:tr2bl w:val="nil"/>
            </w:tcBorders>
            <w:tcMar>
              <w:left w:w="60" w:type="dxa"/>
              <w:right w:w="60" w:type="dxa"/>
            </w:tcMar>
            <w:vAlign w:val="center"/>
          </w:tcPr>
          <w:p w14:paraId="5C4F829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217</w:t>
            </w:r>
          </w:p>
        </w:tc>
        <w:tc>
          <w:tcPr>
            <w:tcW w:w="845" w:type="dxa"/>
            <w:tcBorders>
              <w:top w:val="nil"/>
              <w:left w:val="nil"/>
              <w:bottom w:val="nil"/>
              <w:right w:val="nil"/>
              <w:tl2br w:val="nil"/>
              <w:tr2bl w:val="nil"/>
            </w:tcBorders>
            <w:tcMar>
              <w:left w:w="60" w:type="dxa"/>
              <w:right w:w="60" w:type="dxa"/>
            </w:tcMar>
            <w:vAlign w:val="center"/>
          </w:tcPr>
          <w:p w14:paraId="7152515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321</w:t>
            </w:r>
          </w:p>
        </w:tc>
        <w:tc>
          <w:tcPr>
            <w:tcW w:w="845" w:type="dxa"/>
            <w:tcBorders>
              <w:top w:val="nil"/>
              <w:left w:val="nil"/>
              <w:bottom w:val="nil"/>
              <w:right w:val="nil"/>
              <w:tl2br w:val="nil"/>
              <w:tr2bl w:val="nil"/>
            </w:tcBorders>
            <w:tcMar>
              <w:left w:w="60" w:type="dxa"/>
              <w:right w:w="60" w:type="dxa"/>
            </w:tcMar>
            <w:vAlign w:val="center"/>
          </w:tcPr>
          <w:p w14:paraId="7E0873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553C01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8FCCB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3504DC5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12CBEE7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482F82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F77767F"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Rents and purchases</w:t>
            </w:r>
          </w:p>
        </w:tc>
        <w:tc>
          <w:tcPr>
            <w:tcW w:w="845" w:type="dxa"/>
            <w:tcBorders>
              <w:top w:val="nil"/>
              <w:left w:val="nil"/>
              <w:bottom w:val="nil"/>
              <w:right w:val="nil"/>
              <w:tl2br w:val="nil"/>
              <w:tr2bl w:val="nil"/>
            </w:tcBorders>
            <w:tcMar>
              <w:left w:w="60" w:type="dxa"/>
              <w:right w:w="60" w:type="dxa"/>
            </w:tcMar>
            <w:vAlign w:val="center"/>
          </w:tcPr>
          <w:p w14:paraId="450996B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1 042</w:t>
            </w:r>
          </w:p>
        </w:tc>
        <w:tc>
          <w:tcPr>
            <w:tcW w:w="954" w:type="dxa"/>
            <w:tcBorders>
              <w:top w:val="nil"/>
              <w:left w:val="nil"/>
              <w:bottom w:val="nil"/>
              <w:right w:val="nil"/>
              <w:tl2br w:val="nil"/>
              <w:tr2bl w:val="nil"/>
            </w:tcBorders>
            <w:tcMar>
              <w:left w:w="60" w:type="dxa"/>
              <w:right w:w="60" w:type="dxa"/>
            </w:tcMar>
            <w:vAlign w:val="center"/>
          </w:tcPr>
          <w:p w14:paraId="1BE6D2C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288</w:t>
            </w:r>
          </w:p>
        </w:tc>
        <w:tc>
          <w:tcPr>
            <w:tcW w:w="845" w:type="dxa"/>
            <w:tcBorders>
              <w:top w:val="nil"/>
              <w:left w:val="nil"/>
              <w:bottom w:val="nil"/>
              <w:right w:val="nil"/>
              <w:tl2br w:val="nil"/>
              <w:tr2bl w:val="nil"/>
            </w:tcBorders>
            <w:tcMar>
              <w:left w:w="60" w:type="dxa"/>
              <w:right w:w="60" w:type="dxa"/>
            </w:tcMar>
            <w:vAlign w:val="center"/>
          </w:tcPr>
          <w:p w14:paraId="012FF0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14:paraId="2726ABC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129</w:t>
            </w:r>
          </w:p>
        </w:tc>
        <w:tc>
          <w:tcPr>
            <w:tcW w:w="845" w:type="dxa"/>
            <w:tcBorders>
              <w:top w:val="nil"/>
              <w:left w:val="nil"/>
              <w:bottom w:val="nil"/>
              <w:right w:val="nil"/>
              <w:tl2br w:val="nil"/>
              <w:tr2bl w:val="nil"/>
            </w:tcBorders>
            <w:tcMar>
              <w:left w:w="60" w:type="dxa"/>
              <w:right w:w="60" w:type="dxa"/>
            </w:tcMar>
            <w:vAlign w:val="center"/>
          </w:tcPr>
          <w:p w14:paraId="119813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448</w:t>
            </w:r>
          </w:p>
        </w:tc>
        <w:tc>
          <w:tcPr>
            <w:tcW w:w="845" w:type="dxa"/>
            <w:tcBorders>
              <w:top w:val="nil"/>
              <w:left w:val="nil"/>
              <w:bottom w:val="nil"/>
              <w:right w:val="nil"/>
              <w:tl2br w:val="nil"/>
              <w:tr2bl w:val="nil"/>
            </w:tcBorders>
            <w:tcMar>
              <w:left w:w="60" w:type="dxa"/>
              <w:right w:w="60" w:type="dxa"/>
            </w:tcMar>
            <w:vAlign w:val="center"/>
          </w:tcPr>
          <w:p w14:paraId="123051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43 %</w:t>
            </w:r>
          </w:p>
        </w:tc>
        <w:tc>
          <w:tcPr>
            <w:tcW w:w="845" w:type="dxa"/>
            <w:tcBorders>
              <w:top w:val="nil"/>
              <w:left w:val="nil"/>
              <w:bottom w:val="nil"/>
              <w:right w:val="nil"/>
              <w:tl2br w:val="nil"/>
              <w:tr2bl w:val="nil"/>
            </w:tcBorders>
            <w:tcMar>
              <w:left w:w="60" w:type="dxa"/>
              <w:right w:w="60" w:type="dxa"/>
            </w:tcMar>
            <w:vAlign w:val="center"/>
          </w:tcPr>
          <w:p w14:paraId="62B38EB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845" w:type="dxa"/>
            <w:tcBorders>
              <w:top w:val="nil"/>
              <w:left w:val="nil"/>
              <w:bottom w:val="nil"/>
              <w:right w:val="nil"/>
              <w:tl2br w:val="nil"/>
              <w:tr2bl w:val="nil"/>
            </w:tcBorders>
            <w:tcMar>
              <w:left w:w="60" w:type="dxa"/>
              <w:right w:w="60" w:type="dxa"/>
            </w:tcMar>
            <w:vAlign w:val="center"/>
          </w:tcPr>
          <w:p w14:paraId="1D7660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561</w:t>
            </w:r>
          </w:p>
        </w:tc>
        <w:tc>
          <w:tcPr>
            <w:tcW w:w="845" w:type="dxa"/>
            <w:tcBorders>
              <w:top w:val="nil"/>
              <w:left w:val="nil"/>
              <w:bottom w:val="nil"/>
              <w:right w:val="nil"/>
              <w:tl2br w:val="nil"/>
              <w:tr2bl w:val="nil"/>
            </w:tcBorders>
            <w:tcMar>
              <w:left w:w="60" w:type="dxa"/>
              <w:right w:w="60" w:type="dxa"/>
            </w:tcMar>
            <w:vAlign w:val="center"/>
          </w:tcPr>
          <w:p w14:paraId="6160ED3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595</w:t>
            </w:r>
          </w:p>
        </w:tc>
        <w:tc>
          <w:tcPr>
            <w:tcW w:w="845" w:type="dxa"/>
            <w:tcBorders>
              <w:top w:val="nil"/>
              <w:left w:val="nil"/>
              <w:bottom w:val="nil"/>
              <w:right w:val="nil"/>
              <w:tl2br w:val="nil"/>
              <w:tr2bl w:val="nil"/>
            </w:tcBorders>
            <w:tcMar>
              <w:left w:w="60" w:type="dxa"/>
              <w:right w:w="60" w:type="dxa"/>
            </w:tcMar>
            <w:vAlign w:val="center"/>
          </w:tcPr>
          <w:p w14:paraId="5E78FA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23D17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CAB1A7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B23ADB6"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C92F5A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48832C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810FD8B"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Linked to buildings</w:t>
            </w:r>
          </w:p>
        </w:tc>
        <w:tc>
          <w:tcPr>
            <w:tcW w:w="845" w:type="dxa"/>
            <w:tcBorders>
              <w:top w:val="nil"/>
              <w:left w:val="nil"/>
              <w:bottom w:val="nil"/>
              <w:right w:val="nil"/>
              <w:tl2br w:val="nil"/>
              <w:tr2bl w:val="nil"/>
            </w:tcBorders>
            <w:tcMar>
              <w:left w:w="60" w:type="dxa"/>
              <w:right w:w="60" w:type="dxa"/>
            </w:tcMar>
            <w:vAlign w:val="center"/>
          </w:tcPr>
          <w:p w14:paraId="6EDBA3F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207</w:t>
            </w:r>
          </w:p>
        </w:tc>
        <w:tc>
          <w:tcPr>
            <w:tcW w:w="954" w:type="dxa"/>
            <w:tcBorders>
              <w:top w:val="nil"/>
              <w:left w:val="nil"/>
              <w:bottom w:val="nil"/>
              <w:right w:val="nil"/>
              <w:tl2br w:val="nil"/>
              <w:tr2bl w:val="nil"/>
            </w:tcBorders>
            <w:tcMar>
              <w:left w:w="60" w:type="dxa"/>
              <w:right w:w="60" w:type="dxa"/>
            </w:tcMar>
            <w:vAlign w:val="center"/>
          </w:tcPr>
          <w:p w14:paraId="7B2F5A0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845" w:type="dxa"/>
            <w:tcBorders>
              <w:top w:val="nil"/>
              <w:left w:val="nil"/>
              <w:bottom w:val="nil"/>
              <w:right w:val="nil"/>
              <w:tl2br w:val="nil"/>
              <w:tr2bl w:val="nil"/>
            </w:tcBorders>
            <w:tcMar>
              <w:left w:w="60" w:type="dxa"/>
              <w:right w:w="60" w:type="dxa"/>
            </w:tcMar>
            <w:vAlign w:val="center"/>
          </w:tcPr>
          <w:p w14:paraId="629EC4F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14:paraId="7FF832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14:paraId="6FB5ED0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132</w:t>
            </w:r>
          </w:p>
        </w:tc>
        <w:tc>
          <w:tcPr>
            <w:tcW w:w="845" w:type="dxa"/>
            <w:tcBorders>
              <w:top w:val="nil"/>
              <w:left w:val="nil"/>
              <w:bottom w:val="nil"/>
              <w:right w:val="nil"/>
              <w:tl2br w:val="nil"/>
              <w:tr2bl w:val="nil"/>
            </w:tcBorders>
            <w:tcMar>
              <w:left w:w="60" w:type="dxa"/>
              <w:right w:w="60" w:type="dxa"/>
            </w:tcMar>
            <w:vAlign w:val="center"/>
          </w:tcPr>
          <w:p w14:paraId="31531D0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64 %</w:t>
            </w:r>
          </w:p>
        </w:tc>
        <w:tc>
          <w:tcPr>
            <w:tcW w:w="845" w:type="dxa"/>
            <w:tcBorders>
              <w:top w:val="nil"/>
              <w:left w:val="nil"/>
              <w:bottom w:val="nil"/>
              <w:right w:val="nil"/>
              <w:tl2br w:val="nil"/>
              <w:tr2bl w:val="nil"/>
            </w:tcBorders>
            <w:tcMar>
              <w:left w:w="60" w:type="dxa"/>
              <w:right w:w="60" w:type="dxa"/>
            </w:tcMar>
            <w:vAlign w:val="center"/>
          </w:tcPr>
          <w:p w14:paraId="5C8E712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14:paraId="5F97176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14:paraId="426942B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14:paraId="5B30B20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62AB10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5ED718E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7CE29C4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w:t>
            </w:r>
          </w:p>
        </w:tc>
      </w:tr>
      <w:tr w:rsidR="00807FFE" w14:paraId="550DBCB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CE73D85"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E2FEB16"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Security</w:t>
            </w:r>
          </w:p>
        </w:tc>
        <w:tc>
          <w:tcPr>
            <w:tcW w:w="845" w:type="dxa"/>
            <w:tcBorders>
              <w:top w:val="nil"/>
              <w:left w:val="nil"/>
              <w:bottom w:val="nil"/>
              <w:right w:val="nil"/>
              <w:tl2br w:val="nil"/>
              <w:tr2bl w:val="nil"/>
            </w:tcBorders>
            <w:tcMar>
              <w:left w:w="60" w:type="dxa"/>
              <w:right w:w="60" w:type="dxa"/>
            </w:tcMar>
            <w:vAlign w:val="center"/>
          </w:tcPr>
          <w:p w14:paraId="6F5A87A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124</w:t>
            </w:r>
          </w:p>
        </w:tc>
        <w:tc>
          <w:tcPr>
            <w:tcW w:w="954" w:type="dxa"/>
            <w:tcBorders>
              <w:top w:val="nil"/>
              <w:left w:val="nil"/>
              <w:bottom w:val="nil"/>
              <w:right w:val="nil"/>
              <w:tl2br w:val="nil"/>
              <w:tr2bl w:val="nil"/>
            </w:tcBorders>
            <w:tcMar>
              <w:left w:w="60" w:type="dxa"/>
              <w:right w:w="60" w:type="dxa"/>
            </w:tcMar>
            <w:vAlign w:val="center"/>
          </w:tcPr>
          <w:p w14:paraId="7F13EC2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55</w:t>
            </w:r>
          </w:p>
        </w:tc>
        <w:tc>
          <w:tcPr>
            <w:tcW w:w="845" w:type="dxa"/>
            <w:tcBorders>
              <w:top w:val="nil"/>
              <w:left w:val="nil"/>
              <w:bottom w:val="nil"/>
              <w:right w:val="nil"/>
              <w:tl2br w:val="nil"/>
              <w:tr2bl w:val="nil"/>
            </w:tcBorders>
            <w:tcMar>
              <w:left w:w="60" w:type="dxa"/>
              <w:right w:w="60" w:type="dxa"/>
            </w:tcMar>
            <w:vAlign w:val="center"/>
          </w:tcPr>
          <w:p w14:paraId="3A56D0F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14:paraId="2F9B238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6DAF4B7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86</w:t>
            </w:r>
          </w:p>
        </w:tc>
        <w:tc>
          <w:tcPr>
            <w:tcW w:w="845" w:type="dxa"/>
            <w:tcBorders>
              <w:top w:val="nil"/>
              <w:left w:val="nil"/>
              <w:bottom w:val="nil"/>
              <w:right w:val="nil"/>
              <w:tl2br w:val="nil"/>
              <w:tr2bl w:val="nil"/>
            </w:tcBorders>
            <w:tcMar>
              <w:left w:w="60" w:type="dxa"/>
              <w:right w:w="60" w:type="dxa"/>
            </w:tcMar>
            <w:vAlign w:val="center"/>
          </w:tcPr>
          <w:p w14:paraId="78EFB2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14:paraId="1EA0E73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14:paraId="1DD230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14:paraId="2392AF5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845" w:type="dxa"/>
            <w:tcBorders>
              <w:top w:val="nil"/>
              <w:left w:val="nil"/>
              <w:bottom w:val="nil"/>
              <w:right w:val="nil"/>
              <w:tl2br w:val="nil"/>
              <w:tr2bl w:val="nil"/>
            </w:tcBorders>
            <w:tcMar>
              <w:left w:w="60" w:type="dxa"/>
              <w:right w:w="60" w:type="dxa"/>
            </w:tcMar>
            <w:vAlign w:val="center"/>
          </w:tcPr>
          <w:p w14:paraId="4D5E7CF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CEDFFE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118017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7A096251"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7D93441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B0E1CC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7733678"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Mission and representation</w:t>
            </w:r>
          </w:p>
        </w:tc>
        <w:tc>
          <w:tcPr>
            <w:tcW w:w="845" w:type="dxa"/>
            <w:tcBorders>
              <w:top w:val="nil"/>
              <w:left w:val="nil"/>
              <w:bottom w:val="nil"/>
              <w:right w:val="nil"/>
              <w:tl2br w:val="nil"/>
              <w:tr2bl w:val="nil"/>
            </w:tcBorders>
            <w:tcMar>
              <w:left w:w="60" w:type="dxa"/>
              <w:right w:w="60" w:type="dxa"/>
            </w:tcMar>
            <w:vAlign w:val="center"/>
          </w:tcPr>
          <w:p w14:paraId="59FD5F3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76</w:t>
            </w:r>
          </w:p>
        </w:tc>
        <w:tc>
          <w:tcPr>
            <w:tcW w:w="954" w:type="dxa"/>
            <w:tcBorders>
              <w:top w:val="nil"/>
              <w:left w:val="nil"/>
              <w:bottom w:val="nil"/>
              <w:right w:val="nil"/>
              <w:tl2br w:val="nil"/>
              <w:tr2bl w:val="nil"/>
            </w:tcBorders>
            <w:tcMar>
              <w:left w:w="60" w:type="dxa"/>
              <w:right w:w="60" w:type="dxa"/>
            </w:tcMar>
            <w:vAlign w:val="center"/>
          </w:tcPr>
          <w:p w14:paraId="683A1DE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49</w:t>
            </w:r>
          </w:p>
        </w:tc>
        <w:tc>
          <w:tcPr>
            <w:tcW w:w="845" w:type="dxa"/>
            <w:tcBorders>
              <w:top w:val="nil"/>
              <w:left w:val="nil"/>
              <w:bottom w:val="nil"/>
              <w:right w:val="nil"/>
              <w:tl2br w:val="nil"/>
              <w:tr2bl w:val="nil"/>
            </w:tcBorders>
            <w:tcMar>
              <w:left w:w="60" w:type="dxa"/>
              <w:right w:w="60" w:type="dxa"/>
            </w:tcMar>
            <w:vAlign w:val="center"/>
          </w:tcPr>
          <w:p w14:paraId="189A73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784F9E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216E0FB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14:paraId="165CC6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76 %</w:t>
            </w:r>
          </w:p>
        </w:tc>
        <w:tc>
          <w:tcPr>
            <w:tcW w:w="845" w:type="dxa"/>
            <w:tcBorders>
              <w:top w:val="nil"/>
              <w:left w:val="nil"/>
              <w:bottom w:val="nil"/>
              <w:right w:val="nil"/>
              <w:tl2br w:val="nil"/>
              <w:tr2bl w:val="nil"/>
            </w:tcBorders>
            <w:tcMar>
              <w:left w:w="60" w:type="dxa"/>
              <w:right w:w="60" w:type="dxa"/>
            </w:tcMar>
            <w:vAlign w:val="center"/>
          </w:tcPr>
          <w:p w14:paraId="0028B44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3497EF2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43BEF80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14:paraId="103DD74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F784AC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34D9B6E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1F4A39A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1FC039D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5A80092"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92AAF3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Meetings, committees, conference</w:t>
            </w:r>
          </w:p>
        </w:tc>
        <w:tc>
          <w:tcPr>
            <w:tcW w:w="845" w:type="dxa"/>
            <w:tcBorders>
              <w:top w:val="nil"/>
              <w:left w:val="nil"/>
              <w:bottom w:val="nil"/>
              <w:right w:val="nil"/>
              <w:tl2br w:val="nil"/>
              <w:tr2bl w:val="nil"/>
            </w:tcBorders>
            <w:tcMar>
              <w:left w:w="60" w:type="dxa"/>
              <w:right w:w="60" w:type="dxa"/>
            </w:tcMar>
            <w:vAlign w:val="center"/>
          </w:tcPr>
          <w:p w14:paraId="258FAF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954" w:type="dxa"/>
            <w:tcBorders>
              <w:top w:val="nil"/>
              <w:left w:val="nil"/>
              <w:bottom w:val="nil"/>
              <w:right w:val="nil"/>
              <w:tl2br w:val="nil"/>
              <w:tr2bl w:val="nil"/>
            </w:tcBorders>
            <w:tcMar>
              <w:left w:w="60" w:type="dxa"/>
              <w:right w:w="60" w:type="dxa"/>
            </w:tcMar>
            <w:vAlign w:val="center"/>
          </w:tcPr>
          <w:p w14:paraId="144FDD9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14:paraId="56F4CA5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080429D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2C56DE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14:paraId="0B1600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59 %</w:t>
            </w:r>
          </w:p>
        </w:tc>
        <w:tc>
          <w:tcPr>
            <w:tcW w:w="845" w:type="dxa"/>
            <w:tcBorders>
              <w:top w:val="nil"/>
              <w:left w:val="nil"/>
              <w:bottom w:val="nil"/>
              <w:right w:val="nil"/>
              <w:tl2br w:val="nil"/>
              <w:tr2bl w:val="nil"/>
            </w:tcBorders>
            <w:tcMar>
              <w:left w:w="60" w:type="dxa"/>
              <w:right w:w="60" w:type="dxa"/>
            </w:tcMar>
            <w:vAlign w:val="center"/>
          </w:tcPr>
          <w:p w14:paraId="660F90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7E351B7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566B92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77DB474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24BAB1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1BF07CD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73F1D689"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3580F53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C77882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0AF2FF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Official journal</w:t>
            </w:r>
          </w:p>
        </w:tc>
        <w:tc>
          <w:tcPr>
            <w:tcW w:w="845" w:type="dxa"/>
            <w:tcBorders>
              <w:top w:val="nil"/>
              <w:left w:val="nil"/>
              <w:bottom w:val="nil"/>
              <w:right w:val="nil"/>
              <w:tl2br w:val="nil"/>
              <w:tr2bl w:val="nil"/>
            </w:tcBorders>
            <w:tcMar>
              <w:left w:w="60" w:type="dxa"/>
              <w:right w:w="60" w:type="dxa"/>
            </w:tcMar>
            <w:vAlign w:val="center"/>
          </w:tcPr>
          <w:p w14:paraId="5BCFCA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54" w:type="dxa"/>
            <w:tcBorders>
              <w:top w:val="nil"/>
              <w:left w:val="nil"/>
              <w:bottom w:val="nil"/>
              <w:right w:val="nil"/>
              <w:tl2br w:val="nil"/>
              <w:tr2bl w:val="nil"/>
            </w:tcBorders>
            <w:tcMar>
              <w:left w:w="60" w:type="dxa"/>
              <w:right w:w="60" w:type="dxa"/>
            </w:tcMar>
            <w:vAlign w:val="center"/>
          </w:tcPr>
          <w:p w14:paraId="4D98A4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73E8248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BCDA3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B0C5DC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7476EE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66 %</w:t>
            </w:r>
          </w:p>
        </w:tc>
        <w:tc>
          <w:tcPr>
            <w:tcW w:w="845" w:type="dxa"/>
            <w:tcBorders>
              <w:top w:val="nil"/>
              <w:left w:val="nil"/>
              <w:bottom w:val="nil"/>
              <w:right w:val="nil"/>
              <w:tl2br w:val="nil"/>
              <w:tr2bl w:val="nil"/>
            </w:tcBorders>
            <w:tcMar>
              <w:left w:w="60" w:type="dxa"/>
              <w:right w:w="60" w:type="dxa"/>
            </w:tcMar>
            <w:vAlign w:val="center"/>
          </w:tcPr>
          <w:p w14:paraId="11ABF96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0D8B1F6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D40CDD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A24C07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EF9550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E3FAA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0B757E75"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4857F4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F4D21D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3D18188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Publications</w:t>
            </w:r>
          </w:p>
        </w:tc>
        <w:tc>
          <w:tcPr>
            <w:tcW w:w="845" w:type="dxa"/>
            <w:tcBorders>
              <w:top w:val="nil"/>
              <w:left w:val="nil"/>
              <w:bottom w:val="nil"/>
              <w:right w:val="nil"/>
              <w:tl2br w:val="nil"/>
              <w:tr2bl w:val="nil"/>
            </w:tcBorders>
            <w:tcMar>
              <w:left w:w="60" w:type="dxa"/>
              <w:right w:w="60" w:type="dxa"/>
            </w:tcMar>
            <w:vAlign w:val="center"/>
          </w:tcPr>
          <w:p w14:paraId="60721B0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954" w:type="dxa"/>
            <w:tcBorders>
              <w:top w:val="nil"/>
              <w:left w:val="nil"/>
              <w:bottom w:val="nil"/>
              <w:right w:val="nil"/>
              <w:tl2br w:val="nil"/>
              <w:tr2bl w:val="nil"/>
            </w:tcBorders>
            <w:tcMar>
              <w:left w:w="60" w:type="dxa"/>
              <w:right w:w="60" w:type="dxa"/>
            </w:tcMar>
            <w:vAlign w:val="center"/>
          </w:tcPr>
          <w:p w14:paraId="1483E4E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14:paraId="22F0B0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14:paraId="06A78F8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6538F71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14:paraId="556B31A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63 %</w:t>
            </w:r>
          </w:p>
        </w:tc>
        <w:tc>
          <w:tcPr>
            <w:tcW w:w="845" w:type="dxa"/>
            <w:tcBorders>
              <w:top w:val="nil"/>
              <w:left w:val="nil"/>
              <w:bottom w:val="nil"/>
              <w:right w:val="nil"/>
              <w:tl2br w:val="nil"/>
              <w:tr2bl w:val="nil"/>
            </w:tcBorders>
            <w:tcMar>
              <w:left w:w="60" w:type="dxa"/>
              <w:right w:w="60" w:type="dxa"/>
            </w:tcMar>
            <w:vAlign w:val="center"/>
          </w:tcPr>
          <w:p w14:paraId="0C5C8B6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555D40B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75898DB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390DA2E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B2E7B0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13203C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16C87D8E"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B4380C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06FFC8A"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33813BF"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Acquisition of information</w:t>
            </w:r>
          </w:p>
        </w:tc>
        <w:tc>
          <w:tcPr>
            <w:tcW w:w="845" w:type="dxa"/>
            <w:tcBorders>
              <w:top w:val="nil"/>
              <w:left w:val="nil"/>
              <w:bottom w:val="nil"/>
              <w:right w:val="nil"/>
              <w:tl2br w:val="nil"/>
              <w:tr2bl w:val="nil"/>
            </w:tcBorders>
            <w:tcMar>
              <w:left w:w="60" w:type="dxa"/>
              <w:right w:w="60" w:type="dxa"/>
            </w:tcMar>
            <w:vAlign w:val="center"/>
          </w:tcPr>
          <w:p w14:paraId="295A69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14:paraId="0C8ED2B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5E3636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60E345E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9FC85C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14:paraId="37A60B1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14:paraId="7804A10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64A3BAA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83B87D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1ED6CBF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15AED8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08578CD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21C204E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97B500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7B0A1EB"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E409AB9"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Studies and investigations</w:t>
            </w:r>
          </w:p>
        </w:tc>
        <w:tc>
          <w:tcPr>
            <w:tcW w:w="845" w:type="dxa"/>
            <w:tcBorders>
              <w:top w:val="nil"/>
              <w:left w:val="nil"/>
              <w:bottom w:val="nil"/>
              <w:right w:val="nil"/>
              <w:tl2br w:val="nil"/>
              <w:tr2bl w:val="nil"/>
            </w:tcBorders>
            <w:tcMar>
              <w:left w:w="60" w:type="dxa"/>
              <w:right w:w="60" w:type="dxa"/>
            </w:tcMar>
            <w:vAlign w:val="center"/>
          </w:tcPr>
          <w:p w14:paraId="7F7C89B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54" w:type="dxa"/>
            <w:tcBorders>
              <w:top w:val="nil"/>
              <w:left w:val="nil"/>
              <w:bottom w:val="nil"/>
              <w:right w:val="nil"/>
              <w:tl2br w:val="nil"/>
              <w:tr2bl w:val="nil"/>
            </w:tcBorders>
            <w:tcMar>
              <w:left w:w="60" w:type="dxa"/>
              <w:right w:w="60" w:type="dxa"/>
            </w:tcMar>
            <w:vAlign w:val="center"/>
          </w:tcPr>
          <w:p w14:paraId="67BB270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11D4848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14:paraId="20ECA16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0F8EA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14:paraId="5844255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53 %</w:t>
            </w:r>
          </w:p>
        </w:tc>
        <w:tc>
          <w:tcPr>
            <w:tcW w:w="845" w:type="dxa"/>
            <w:tcBorders>
              <w:top w:val="nil"/>
              <w:left w:val="nil"/>
              <w:bottom w:val="nil"/>
              <w:right w:val="nil"/>
              <w:tl2br w:val="nil"/>
              <w:tr2bl w:val="nil"/>
            </w:tcBorders>
            <w:tcMar>
              <w:left w:w="60" w:type="dxa"/>
              <w:right w:w="60" w:type="dxa"/>
            </w:tcMar>
            <w:vAlign w:val="center"/>
          </w:tcPr>
          <w:p w14:paraId="49584FF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5C01AC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748387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14:paraId="38A9F10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A8FCF2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A0A63C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6BA1CE7C"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0A3238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ABAD6D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CD1DBCF"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General equipment, vehicle, furniture</w:t>
            </w:r>
          </w:p>
        </w:tc>
        <w:tc>
          <w:tcPr>
            <w:tcW w:w="845" w:type="dxa"/>
            <w:tcBorders>
              <w:top w:val="nil"/>
              <w:left w:val="nil"/>
              <w:bottom w:val="nil"/>
              <w:right w:val="nil"/>
              <w:tl2br w:val="nil"/>
              <w:tr2bl w:val="nil"/>
            </w:tcBorders>
            <w:tcMar>
              <w:left w:w="60" w:type="dxa"/>
              <w:right w:w="60" w:type="dxa"/>
            </w:tcMar>
            <w:vAlign w:val="center"/>
          </w:tcPr>
          <w:p w14:paraId="19EA9A4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954" w:type="dxa"/>
            <w:tcBorders>
              <w:top w:val="nil"/>
              <w:left w:val="nil"/>
              <w:bottom w:val="nil"/>
              <w:right w:val="nil"/>
              <w:tl2br w:val="nil"/>
              <w:tr2bl w:val="nil"/>
            </w:tcBorders>
            <w:tcMar>
              <w:left w:w="60" w:type="dxa"/>
              <w:right w:w="60" w:type="dxa"/>
            </w:tcMar>
            <w:vAlign w:val="center"/>
          </w:tcPr>
          <w:p w14:paraId="582C3B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14:paraId="33E3401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301E735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1B3AD6C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14:paraId="3B4E366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54 %</w:t>
            </w:r>
          </w:p>
        </w:tc>
        <w:tc>
          <w:tcPr>
            <w:tcW w:w="845" w:type="dxa"/>
            <w:tcBorders>
              <w:top w:val="nil"/>
              <w:left w:val="nil"/>
              <w:bottom w:val="nil"/>
              <w:right w:val="nil"/>
              <w:tl2br w:val="nil"/>
              <w:tr2bl w:val="nil"/>
            </w:tcBorders>
            <w:tcMar>
              <w:left w:w="60" w:type="dxa"/>
              <w:right w:w="60" w:type="dxa"/>
            </w:tcMar>
            <w:vAlign w:val="center"/>
          </w:tcPr>
          <w:p w14:paraId="428B054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14:paraId="6A55930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6FF5B25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14:paraId="3FC825D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C60D9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A75FAD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0B25B526"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651783C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D960E9D"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0BB7574"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Linguistic external services</w:t>
            </w:r>
          </w:p>
        </w:tc>
        <w:tc>
          <w:tcPr>
            <w:tcW w:w="845" w:type="dxa"/>
            <w:tcBorders>
              <w:top w:val="nil"/>
              <w:left w:val="nil"/>
              <w:bottom w:val="nil"/>
              <w:right w:val="nil"/>
              <w:tl2br w:val="nil"/>
              <w:tr2bl w:val="nil"/>
            </w:tcBorders>
            <w:tcMar>
              <w:left w:w="60" w:type="dxa"/>
              <w:right w:w="60" w:type="dxa"/>
            </w:tcMar>
            <w:vAlign w:val="center"/>
          </w:tcPr>
          <w:p w14:paraId="0295A38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74</w:t>
            </w:r>
          </w:p>
        </w:tc>
        <w:tc>
          <w:tcPr>
            <w:tcW w:w="954" w:type="dxa"/>
            <w:tcBorders>
              <w:top w:val="nil"/>
              <w:left w:val="nil"/>
              <w:bottom w:val="nil"/>
              <w:right w:val="nil"/>
              <w:tl2br w:val="nil"/>
              <w:tr2bl w:val="nil"/>
            </w:tcBorders>
            <w:tcMar>
              <w:left w:w="60" w:type="dxa"/>
              <w:right w:w="60" w:type="dxa"/>
            </w:tcMar>
            <w:vAlign w:val="center"/>
          </w:tcPr>
          <w:p w14:paraId="41AE66D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14:paraId="5AAB9A2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044496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14:paraId="5651037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845" w:type="dxa"/>
            <w:tcBorders>
              <w:top w:val="nil"/>
              <w:left w:val="nil"/>
              <w:bottom w:val="nil"/>
              <w:right w:val="nil"/>
              <w:tl2br w:val="nil"/>
              <w:tr2bl w:val="nil"/>
            </w:tcBorders>
            <w:tcMar>
              <w:left w:w="60" w:type="dxa"/>
              <w:right w:w="60" w:type="dxa"/>
            </w:tcMar>
            <w:vAlign w:val="center"/>
          </w:tcPr>
          <w:p w14:paraId="7CFE5D9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14:paraId="455A667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14:paraId="381ABF6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14:paraId="752E6F4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14:paraId="1170810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2412382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6A01888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14:paraId="57E0C5F7"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539844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227241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2A1369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Other administrative expenditure</w:t>
            </w:r>
          </w:p>
        </w:tc>
        <w:tc>
          <w:tcPr>
            <w:tcW w:w="845" w:type="dxa"/>
            <w:tcBorders>
              <w:top w:val="nil"/>
              <w:left w:val="nil"/>
              <w:bottom w:val="nil"/>
              <w:right w:val="nil"/>
              <w:tl2br w:val="nil"/>
              <w:tr2bl w:val="nil"/>
            </w:tcBorders>
            <w:tcMar>
              <w:left w:w="60" w:type="dxa"/>
              <w:right w:w="60" w:type="dxa"/>
            </w:tcMar>
            <w:vAlign w:val="center"/>
          </w:tcPr>
          <w:p w14:paraId="3DB71DD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58</w:t>
            </w:r>
          </w:p>
        </w:tc>
        <w:tc>
          <w:tcPr>
            <w:tcW w:w="954" w:type="dxa"/>
            <w:tcBorders>
              <w:top w:val="nil"/>
              <w:left w:val="nil"/>
              <w:bottom w:val="nil"/>
              <w:right w:val="nil"/>
              <w:tl2br w:val="nil"/>
              <w:tr2bl w:val="nil"/>
            </w:tcBorders>
            <w:tcMar>
              <w:left w:w="60" w:type="dxa"/>
              <w:right w:w="60" w:type="dxa"/>
            </w:tcMar>
            <w:vAlign w:val="center"/>
          </w:tcPr>
          <w:p w14:paraId="3500675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6B8880B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14:paraId="6EBDE03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14:paraId="054F76A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14:paraId="5486871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14:paraId="47F9EC6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59EE095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14:paraId="1BE9797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14:paraId="66E4C3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71249C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14:paraId="2488C10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93" w:type="dxa"/>
            <w:tcBorders>
              <w:top w:val="nil"/>
              <w:left w:val="nil"/>
              <w:bottom w:val="nil"/>
              <w:right w:val="nil"/>
              <w:tl2br w:val="nil"/>
              <w:tr2bl w:val="nil"/>
            </w:tcBorders>
            <w:tcMar>
              <w:left w:w="60" w:type="dxa"/>
              <w:right w:w="60" w:type="dxa"/>
            </w:tcMar>
            <w:vAlign w:val="center"/>
          </w:tcPr>
          <w:p w14:paraId="2D619FB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127F430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A946C3C"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B092ED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845" w:type="dxa"/>
            <w:tcBorders>
              <w:top w:val="nil"/>
              <w:left w:val="nil"/>
              <w:bottom w:val="nil"/>
              <w:right w:val="nil"/>
              <w:tl2br w:val="nil"/>
              <w:tr2bl w:val="nil"/>
            </w:tcBorders>
            <w:tcMar>
              <w:left w:w="60" w:type="dxa"/>
              <w:right w:w="60" w:type="dxa"/>
            </w:tcMar>
            <w:vAlign w:val="center"/>
          </w:tcPr>
          <w:p w14:paraId="7A5696F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54" w:type="dxa"/>
            <w:tcBorders>
              <w:top w:val="nil"/>
              <w:left w:val="nil"/>
              <w:bottom w:val="nil"/>
              <w:right w:val="nil"/>
              <w:tl2br w:val="nil"/>
              <w:tr2bl w:val="nil"/>
            </w:tcBorders>
            <w:tcMar>
              <w:left w:w="60" w:type="dxa"/>
              <w:right w:w="60" w:type="dxa"/>
            </w:tcMar>
            <w:vAlign w:val="center"/>
          </w:tcPr>
          <w:p w14:paraId="66E9752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2540AF6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D954EB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3F9B5F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14:paraId="3DC5DB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14:paraId="6A7849D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3B67E8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B21A3D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49746E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A88A1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69851D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7C88430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618837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73BFA80"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305E3DC"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Administrative expenditure of other institutions</w:t>
            </w:r>
          </w:p>
        </w:tc>
        <w:tc>
          <w:tcPr>
            <w:tcW w:w="845" w:type="dxa"/>
            <w:tcBorders>
              <w:top w:val="nil"/>
              <w:left w:val="nil"/>
              <w:bottom w:val="nil"/>
              <w:right w:val="nil"/>
              <w:tl2br w:val="nil"/>
              <w:tr2bl w:val="nil"/>
            </w:tcBorders>
            <w:tcMar>
              <w:left w:w="60" w:type="dxa"/>
              <w:right w:w="60" w:type="dxa"/>
            </w:tcMar>
            <w:vAlign w:val="center"/>
          </w:tcPr>
          <w:p w14:paraId="64031CD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6 399</w:t>
            </w:r>
          </w:p>
        </w:tc>
        <w:tc>
          <w:tcPr>
            <w:tcW w:w="954" w:type="dxa"/>
            <w:tcBorders>
              <w:top w:val="nil"/>
              <w:left w:val="nil"/>
              <w:bottom w:val="nil"/>
              <w:right w:val="nil"/>
              <w:tl2br w:val="nil"/>
              <w:tr2bl w:val="nil"/>
            </w:tcBorders>
            <w:tcMar>
              <w:left w:w="60" w:type="dxa"/>
              <w:right w:w="60" w:type="dxa"/>
            </w:tcMar>
            <w:vAlign w:val="center"/>
          </w:tcPr>
          <w:p w14:paraId="6676BE4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4 563</w:t>
            </w:r>
          </w:p>
        </w:tc>
        <w:tc>
          <w:tcPr>
            <w:tcW w:w="845" w:type="dxa"/>
            <w:tcBorders>
              <w:top w:val="nil"/>
              <w:left w:val="nil"/>
              <w:bottom w:val="nil"/>
              <w:right w:val="nil"/>
              <w:tl2br w:val="nil"/>
              <w:tr2bl w:val="nil"/>
            </w:tcBorders>
            <w:tcMar>
              <w:left w:w="60" w:type="dxa"/>
              <w:right w:w="60" w:type="dxa"/>
            </w:tcMar>
            <w:vAlign w:val="center"/>
          </w:tcPr>
          <w:p w14:paraId="746F410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560</w:t>
            </w:r>
          </w:p>
        </w:tc>
        <w:tc>
          <w:tcPr>
            <w:tcW w:w="845" w:type="dxa"/>
            <w:tcBorders>
              <w:top w:val="nil"/>
              <w:left w:val="nil"/>
              <w:bottom w:val="nil"/>
              <w:right w:val="nil"/>
              <w:tl2br w:val="nil"/>
              <w:tr2bl w:val="nil"/>
            </w:tcBorders>
            <w:tcMar>
              <w:left w:w="60" w:type="dxa"/>
              <w:right w:w="60" w:type="dxa"/>
            </w:tcMar>
            <w:vAlign w:val="center"/>
          </w:tcPr>
          <w:p w14:paraId="6B1F689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318</w:t>
            </w:r>
          </w:p>
        </w:tc>
        <w:tc>
          <w:tcPr>
            <w:tcW w:w="845" w:type="dxa"/>
            <w:tcBorders>
              <w:top w:val="nil"/>
              <w:left w:val="nil"/>
              <w:bottom w:val="nil"/>
              <w:right w:val="nil"/>
              <w:tl2br w:val="nil"/>
              <w:tr2bl w:val="nil"/>
            </w:tcBorders>
            <w:tcMar>
              <w:left w:w="60" w:type="dxa"/>
              <w:right w:w="60" w:type="dxa"/>
            </w:tcMar>
            <w:vAlign w:val="center"/>
          </w:tcPr>
          <w:p w14:paraId="2EFC2CD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5 441</w:t>
            </w:r>
          </w:p>
        </w:tc>
        <w:tc>
          <w:tcPr>
            <w:tcW w:w="845" w:type="dxa"/>
            <w:tcBorders>
              <w:top w:val="nil"/>
              <w:left w:val="nil"/>
              <w:bottom w:val="nil"/>
              <w:right w:val="nil"/>
              <w:tl2br w:val="nil"/>
              <w:tr2bl w:val="nil"/>
            </w:tcBorders>
            <w:tcMar>
              <w:left w:w="60" w:type="dxa"/>
              <w:right w:w="60" w:type="dxa"/>
            </w:tcMar>
            <w:vAlign w:val="center"/>
          </w:tcPr>
          <w:p w14:paraId="1B501E2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85 %</w:t>
            </w:r>
          </w:p>
        </w:tc>
        <w:tc>
          <w:tcPr>
            <w:tcW w:w="845" w:type="dxa"/>
            <w:tcBorders>
              <w:top w:val="nil"/>
              <w:left w:val="nil"/>
              <w:bottom w:val="nil"/>
              <w:right w:val="nil"/>
              <w:tl2br w:val="nil"/>
              <w:tr2bl w:val="nil"/>
            </w:tcBorders>
            <w:tcMar>
              <w:left w:w="60" w:type="dxa"/>
              <w:right w:w="60" w:type="dxa"/>
            </w:tcMar>
            <w:vAlign w:val="center"/>
          </w:tcPr>
          <w:p w14:paraId="6BA26C6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630</w:t>
            </w:r>
          </w:p>
        </w:tc>
        <w:tc>
          <w:tcPr>
            <w:tcW w:w="845" w:type="dxa"/>
            <w:tcBorders>
              <w:top w:val="nil"/>
              <w:left w:val="nil"/>
              <w:bottom w:val="nil"/>
              <w:right w:val="nil"/>
              <w:tl2br w:val="nil"/>
              <w:tr2bl w:val="nil"/>
            </w:tcBorders>
            <w:tcMar>
              <w:left w:w="60" w:type="dxa"/>
              <w:right w:w="60" w:type="dxa"/>
            </w:tcMar>
            <w:vAlign w:val="center"/>
          </w:tcPr>
          <w:p w14:paraId="512687C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209</w:t>
            </w:r>
          </w:p>
        </w:tc>
        <w:tc>
          <w:tcPr>
            <w:tcW w:w="845" w:type="dxa"/>
            <w:tcBorders>
              <w:top w:val="nil"/>
              <w:left w:val="nil"/>
              <w:bottom w:val="nil"/>
              <w:right w:val="nil"/>
              <w:tl2br w:val="nil"/>
              <w:tr2bl w:val="nil"/>
            </w:tcBorders>
            <w:tcMar>
              <w:left w:w="60" w:type="dxa"/>
              <w:right w:w="60" w:type="dxa"/>
            </w:tcMar>
            <w:vAlign w:val="center"/>
          </w:tcPr>
          <w:p w14:paraId="4E33088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839</w:t>
            </w:r>
          </w:p>
        </w:tc>
        <w:tc>
          <w:tcPr>
            <w:tcW w:w="845" w:type="dxa"/>
            <w:tcBorders>
              <w:top w:val="nil"/>
              <w:left w:val="nil"/>
              <w:bottom w:val="nil"/>
              <w:right w:val="nil"/>
              <w:tl2br w:val="nil"/>
              <w:tr2bl w:val="nil"/>
            </w:tcBorders>
            <w:tcMar>
              <w:left w:w="60" w:type="dxa"/>
              <w:right w:w="60" w:type="dxa"/>
            </w:tcMar>
            <w:vAlign w:val="center"/>
          </w:tcPr>
          <w:p w14:paraId="16DBD25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14:paraId="0A21AB5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845" w:type="dxa"/>
            <w:tcBorders>
              <w:top w:val="nil"/>
              <w:left w:val="nil"/>
              <w:bottom w:val="nil"/>
              <w:right w:val="nil"/>
              <w:tl2br w:val="nil"/>
              <w:tr2bl w:val="nil"/>
            </w:tcBorders>
            <w:tcMar>
              <w:left w:w="60" w:type="dxa"/>
              <w:right w:w="60" w:type="dxa"/>
            </w:tcMar>
            <w:vAlign w:val="center"/>
          </w:tcPr>
          <w:p w14:paraId="48B666D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93" w:type="dxa"/>
            <w:tcBorders>
              <w:top w:val="nil"/>
              <w:left w:val="nil"/>
              <w:bottom w:val="nil"/>
              <w:right w:val="nil"/>
              <w:tl2br w:val="nil"/>
              <w:tr2bl w:val="nil"/>
            </w:tcBorders>
            <w:tcMar>
              <w:left w:w="60" w:type="dxa"/>
              <w:right w:w="60" w:type="dxa"/>
            </w:tcMar>
            <w:vAlign w:val="center"/>
          </w:tcPr>
          <w:p w14:paraId="18934DB3"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120</w:t>
            </w:r>
          </w:p>
        </w:tc>
      </w:tr>
      <w:tr w:rsidR="00807FFE" w14:paraId="7D754A34"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5578A2AE"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1005D25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7: European Public Administration</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A641BD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16 133</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7D8DE49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11 775</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786957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847</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12114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1 144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3D0D1EC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13 767</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3B62C9B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85 %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7E1D4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932</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D914E7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1 291</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A7B1CB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2 222</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009864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87023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0FDE0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368DEACB"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144</w:t>
            </w:r>
          </w:p>
        </w:tc>
      </w:tr>
      <w:tr w:rsidR="00807FFE" w14:paraId="4AAE01A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7ACB2A4"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74DF9E5" w14:textId="77777777" w:rsidR="00807FFE" w:rsidRDefault="00807FFE">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578A87F" w14:textId="77777777" w:rsidR="00807FFE" w:rsidRDefault="00807FFE">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60E4F5F6"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ABCD8CD"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9D602AB"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32313DED"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62184D7"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EF1FA7A"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4231A5F"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1B798AF"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5B695A2C"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3B539B3"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A738191" w14:textId="77777777" w:rsidR="00807FFE" w:rsidRDefault="00807FFE">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0C3E3CC5" w14:textId="77777777" w:rsidR="00807FFE" w:rsidRDefault="00807FFE">
            <w:pPr>
              <w:pStyle w:val="DMETW36742BIPDetailedMFF3ImplementPayments"/>
              <w:jc w:val="right"/>
              <w:rPr>
                <w:rFonts w:ascii="Verdana" w:eastAsia="Verdana" w:hAnsi="Verdana" w:cs="Verdana"/>
                <w:noProof/>
                <w:color w:val="000000"/>
                <w:sz w:val="16"/>
                <w:lang w:bidi="en-GB"/>
              </w:rPr>
            </w:pPr>
          </w:p>
        </w:tc>
      </w:tr>
      <w:tr w:rsidR="00807FFE" w14:paraId="66655FC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082EE7E"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w:t>
            </w:r>
          </w:p>
        </w:tc>
        <w:tc>
          <w:tcPr>
            <w:tcW w:w="3006" w:type="dxa"/>
            <w:tcBorders>
              <w:top w:val="nil"/>
              <w:left w:val="nil"/>
              <w:bottom w:val="nil"/>
              <w:right w:val="nil"/>
              <w:tl2br w:val="nil"/>
              <w:tr2bl w:val="nil"/>
            </w:tcBorders>
            <w:tcMar>
              <w:left w:w="60" w:type="dxa"/>
              <w:right w:w="60" w:type="dxa"/>
            </w:tcMar>
            <w:vAlign w:val="center"/>
          </w:tcPr>
          <w:p w14:paraId="0A04046F"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Innovation Fund (IF)</w:t>
            </w:r>
          </w:p>
        </w:tc>
        <w:tc>
          <w:tcPr>
            <w:tcW w:w="845" w:type="dxa"/>
            <w:tcBorders>
              <w:top w:val="nil"/>
              <w:left w:val="nil"/>
              <w:bottom w:val="nil"/>
              <w:right w:val="nil"/>
              <w:tl2br w:val="nil"/>
              <w:tr2bl w:val="nil"/>
            </w:tcBorders>
            <w:tcMar>
              <w:left w:w="60" w:type="dxa"/>
              <w:right w:w="60" w:type="dxa"/>
            </w:tcMar>
            <w:vAlign w:val="center"/>
          </w:tcPr>
          <w:p w14:paraId="572AD3B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12 293</w:t>
            </w:r>
          </w:p>
        </w:tc>
        <w:tc>
          <w:tcPr>
            <w:tcW w:w="954" w:type="dxa"/>
            <w:tcBorders>
              <w:top w:val="nil"/>
              <w:left w:val="nil"/>
              <w:bottom w:val="nil"/>
              <w:right w:val="nil"/>
              <w:tl2br w:val="nil"/>
              <w:tr2bl w:val="nil"/>
            </w:tcBorders>
            <w:tcMar>
              <w:left w:w="60" w:type="dxa"/>
              <w:right w:w="60" w:type="dxa"/>
            </w:tcMar>
            <w:vAlign w:val="center"/>
          </w:tcPr>
          <w:p w14:paraId="2107FE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AAAF1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AFBAF5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224</w:t>
            </w:r>
          </w:p>
        </w:tc>
        <w:tc>
          <w:tcPr>
            <w:tcW w:w="845" w:type="dxa"/>
            <w:tcBorders>
              <w:top w:val="nil"/>
              <w:left w:val="nil"/>
              <w:bottom w:val="nil"/>
              <w:right w:val="nil"/>
              <w:tl2br w:val="nil"/>
              <w:tr2bl w:val="nil"/>
            </w:tcBorders>
            <w:tcMar>
              <w:left w:w="60" w:type="dxa"/>
              <w:right w:w="60" w:type="dxa"/>
            </w:tcMar>
            <w:vAlign w:val="center"/>
          </w:tcPr>
          <w:p w14:paraId="448396C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224</w:t>
            </w:r>
          </w:p>
        </w:tc>
        <w:tc>
          <w:tcPr>
            <w:tcW w:w="845" w:type="dxa"/>
            <w:tcBorders>
              <w:top w:val="nil"/>
              <w:left w:val="nil"/>
              <w:bottom w:val="nil"/>
              <w:right w:val="nil"/>
              <w:tl2br w:val="nil"/>
              <w:tr2bl w:val="nil"/>
            </w:tcBorders>
            <w:tcMar>
              <w:left w:w="60" w:type="dxa"/>
              <w:right w:w="60" w:type="dxa"/>
            </w:tcMar>
            <w:vAlign w:val="center"/>
          </w:tcPr>
          <w:p w14:paraId="073BD37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2 %</w:t>
            </w:r>
          </w:p>
        </w:tc>
        <w:tc>
          <w:tcPr>
            <w:tcW w:w="845" w:type="dxa"/>
            <w:tcBorders>
              <w:top w:val="nil"/>
              <w:left w:val="nil"/>
              <w:bottom w:val="nil"/>
              <w:right w:val="nil"/>
              <w:tl2br w:val="nil"/>
              <w:tr2bl w:val="nil"/>
            </w:tcBorders>
            <w:tcMar>
              <w:left w:w="60" w:type="dxa"/>
              <w:right w:w="60" w:type="dxa"/>
            </w:tcMar>
            <w:vAlign w:val="center"/>
          </w:tcPr>
          <w:p w14:paraId="1D2B61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44E28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12 068</w:t>
            </w:r>
          </w:p>
        </w:tc>
        <w:tc>
          <w:tcPr>
            <w:tcW w:w="845" w:type="dxa"/>
            <w:tcBorders>
              <w:top w:val="nil"/>
              <w:left w:val="nil"/>
              <w:bottom w:val="nil"/>
              <w:right w:val="nil"/>
              <w:tl2br w:val="nil"/>
              <w:tr2bl w:val="nil"/>
            </w:tcBorders>
            <w:tcMar>
              <w:left w:w="60" w:type="dxa"/>
              <w:right w:w="60" w:type="dxa"/>
            </w:tcMar>
            <w:vAlign w:val="center"/>
          </w:tcPr>
          <w:p w14:paraId="656423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12 068</w:t>
            </w:r>
          </w:p>
        </w:tc>
        <w:tc>
          <w:tcPr>
            <w:tcW w:w="845" w:type="dxa"/>
            <w:tcBorders>
              <w:top w:val="nil"/>
              <w:left w:val="nil"/>
              <w:bottom w:val="nil"/>
              <w:right w:val="nil"/>
              <w:tl2br w:val="nil"/>
              <w:tr2bl w:val="nil"/>
            </w:tcBorders>
            <w:tcMar>
              <w:left w:w="60" w:type="dxa"/>
              <w:right w:w="60" w:type="dxa"/>
            </w:tcMar>
            <w:vAlign w:val="center"/>
          </w:tcPr>
          <w:p w14:paraId="4DB9048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DEF8BB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9D052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807982A"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C591EC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A18D519"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05B3FE92"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Ukraine Facility</w:t>
            </w:r>
          </w:p>
        </w:tc>
        <w:tc>
          <w:tcPr>
            <w:tcW w:w="845" w:type="dxa"/>
            <w:tcBorders>
              <w:top w:val="nil"/>
              <w:left w:val="nil"/>
              <w:bottom w:val="nil"/>
              <w:right w:val="nil"/>
              <w:tl2br w:val="nil"/>
              <w:tr2bl w:val="nil"/>
            </w:tcBorders>
            <w:tcMar>
              <w:left w:w="60" w:type="dxa"/>
              <w:right w:w="60" w:type="dxa"/>
            </w:tcMar>
            <w:vAlign w:val="center"/>
          </w:tcPr>
          <w:p w14:paraId="6539DC6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3 587</w:t>
            </w:r>
          </w:p>
        </w:tc>
        <w:tc>
          <w:tcPr>
            <w:tcW w:w="954" w:type="dxa"/>
            <w:tcBorders>
              <w:top w:val="nil"/>
              <w:left w:val="nil"/>
              <w:bottom w:val="nil"/>
              <w:right w:val="nil"/>
              <w:tl2br w:val="nil"/>
              <w:tr2bl w:val="nil"/>
            </w:tcBorders>
            <w:tcMar>
              <w:left w:w="60" w:type="dxa"/>
              <w:right w:w="60" w:type="dxa"/>
            </w:tcMar>
            <w:vAlign w:val="center"/>
          </w:tcPr>
          <w:p w14:paraId="77C8A86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1 693</w:t>
            </w:r>
          </w:p>
        </w:tc>
        <w:tc>
          <w:tcPr>
            <w:tcW w:w="845" w:type="dxa"/>
            <w:tcBorders>
              <w:top w:val="nil"/>
              <w:left w:val="nil"/>
              <w:bottom w:val="nil"/>
              <w:right w:val="nil"/>
              <w:tl2br w:val="nil"/>
              <w:tr2bl w:val="nil"/>
            </w:tcBorders>
            <w:tcMar>
              <w:left w:w="60" w:type="dxa"/>
              <w:right w:w="60" w:type="dxa"/>
            </w:tcMar>
            <w:vAlign w:val="center"/>
          </w:tcPr>
          <w:p w14:paraId="67F0E9C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113</w:t>
            </w:r>
          </w:p>
        </w:tc>
        <w:tc>
          <w:tcPr>
            <w:tcW w:w="845" w:type="dxa"/>
            <w:tcBorders>
              <w:top w:val="nil"/>
              <w:left w:val="nil"/>
              <w:bottom w:val="nil"/>
              <w:right w:val="nil"/>
              <w:tl2br w:val="nil"/>
              <w:tr2bl w:val="nil"/>
            </w:tcBorders>
            <w:tcMar>
              <w:left w:w="60" w:type="dxa"/>
              <w:right w:w="60" w:type="dxa"/>
            </w:tcMar>
            <w:vAlign w:val="center"/>
          </w:tcPr>
          <w:p w14:paraId="2045756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233</w:t>
            </w:r>
          </w:p>
        </w:tc>
        <w:tc>
          <w:tcPr>
            <w:tcW w:w="845" w:type="dxa"/>
            <w:tcBorders>
              <w:top w:val="nil"/>
              <w:left w:val="nil"/>
              <w:bottom w:val="nil"/>
              <w:right w:val="nil"/>
              <w:tl2br w:val="nil"/>
              <w:tr2bl w:val="nil"/>
            </w:tcBorders>
            <w:tcMar>
              <w:left w:w="60" w:type="dxa"/>
              <w:right w:w="60" w:type="dxa"/>
            </w:tcMar>
            <w:vAlign w:val="center"/>
          </w:tcPr>
          <w:p w14:paraId="23B5986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2 038</w:t>
            </w:r>
          </w:p>
        </w:tc>
        <w:tc>
          <w:tcPr>
            <w:tcW w:w="845" w:type="dxa"/>
            <w:tcBorders>
              <w:top w:val="nil"/>
              <w:left w:val="nil"/>
              <w:bottom w:val="nil"/>
              <w:right w:val="nil"/>
              <w:tl2br w:val="nil"/>
              <w:tr2bl w:val="nil"/>
            </w:tcBorders>
            <w:tcMar>
              <w:left w:w="60" w:type="dxa"/>
              <w:right w:w="60" w:type="dxa"/>
            </w:tcMar>
            <w:vAlign w:val="center"/>
          </w:tcPr>
          <w:p w14:paraId="08A58DA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57 %</w:t>
            </w:r>
          </w:p>
        </w:tc>
        <w:tc>
          <w:tcPr>
            <w:tcW w:w="845" w:type="dxa"/>
            <w:tcBorders>
              <w:top w:val="nil"/>
              <w:left w:val="nil"/>
              <w:bottom w:val="nil"/>
              <w:right w:val="nil"/>
              <w:tl2br w:val="nil"/>
              <w:tr2bl w:val="nil"/>
            </w:tcBorders>
            <w:tcMar>
              <w:left w:w="60" w:type="dxa"/>
              <w:right w:w="60" w:type="dxa"/>
            </w:tcMar>
            <w:vAlign w:val="center"/>
          </w:tcPr>
          <w:p w14:paraId="5238036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1 120</w:t>
            </w:r>
          </w:p>
        </w:tc>
        <w:tc>
          <w:tcPr>
            <w:tcW w:w="845" w:type="dxa"/>
            <w:tcBorders>
              <w:top w:val="nil"/>
              <w:left w:val="nil"/>
              <w:bottom w:val="nil"/>
              <w:right w:val="nil"/>
              <w:tl2br w:val="nil"/>
              <w:tr2bl w:val="nil"/>
            </w:tcBorders>
            <w:tcMar>
              <w:left w:w="60" w:type="dxa"/>
              <w:right w:w="60" w:type="dxa"/>
            </w:tcMar>
            <w:vAlign w:val="center"/>
          </w:tcPr>
          <w:p w14:paraId="49E7680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429</w:t>
            </w:r>
          </w:p>
        </w:tc>
        <w:tc>
          <w:tcPr>
            <w:tcW w:w="845" w:type="dxa"/>
            <w:tcBorders>
              <w:top w:val="nil"/>
              <w:left w:val="nil"/>
              <w:bottom w:val="nil"/>
              <w:right w:val="nil"/>
              <w:tl2br w:val="nil"/>
              <w:tr2bl w:val="nil"/>
            </w:tcBorders>
            <w:tcMar>
              <w:left w:w="60" w:type="dxa"/>
              <w:right w:w="60" w:type="dxa"/>
            </w:tcMar>
            <w:vAlign w:val="center"/>
          </w:tcPr>
          <w:p w14:paraId="4D8F883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1 548</w:t>
            </w:r>
          </w:p>
        </w:tc>
        <w:tc>
          <w:tcPr>
            <w:tcW w:w="845" w:type="dxa"/>
            <w:tcBorders>
              <w:top w:val="nil"/>
              <w:left w:val="nil"/>
              <w:bottom w:val="nil"/>
              <w:right w:val="nil"/>
              <w:tl2br w:val="nil"/>
              <w:tr2bl w:val="nil"/>
            </w:tcBorders>
            <w:tcMar>
              <w:left w:w="60" w:type="dxa"/>
              <w:right w:w="60" w:type="dxa"/>
            </w:tcMar>
            <w:vAlign w:val="center"/>
          </w:tcPr>
          <w:p w14:paraId="1668DF5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504C41F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188BF0F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BA7B860"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5359D69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1FDB0D4"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7C7558E7"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Other actions</w:t>
            </w:r>
          </w:p>
        </w:tc>
        <w:tc>
          <w:tcPr>
            <w:tcW w:w="845" w:type="dxa"/>
            <w:tcBorders>
              <w:top w:val="nil"/>
              <w:left w:val="nil"/>
              <w:bottom w:val="nil"/>
              <w:right w:val="nil"/>
              <w:tl2br w:val="nil"/>
              <w:tr2bl w:val="nil"/>
            </w:tcBorders>
            <w:tcMar>
              <w:left w:w="60" w:type="dxa"/>
              <w:right w:w="60" w:type="dxa"/>
            </w:tcMar>
            <w:vAlign w:val="center"/>
          </w:tcPr>
          <w:p w14:paraId="3CE0965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114</w:t>
            </w:r>
          </w:p>
        </w:tc>
        <w:tc>
          <w:tcPr>
            <w:tcW w:w="954" w:type="dxa"/>
            <w:tcBorders>
              <w:top w:val="nil"/>
              <w:left w:val="nil"/>
              <w:bottom w:val="nil"/>
              <w:right w:val="nil"/>
              <w:tl2br w:val="nil"/>
              <w:tr2bl w:val="nil"/>
            </w:tcBorders>
            <w:tcMar>
              <w:left w:w="60" w:type="dxa"/>
              <w:right w:w="60" w:type="dxa"/>
            </w:tcMar>
            <w:vAlign w:val="center"/>
          </w:tcPr>
          <w:p w14:paraId="0EF4ABA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5B68E40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201B92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14:paraId="77285B9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14:paraId="624D9A1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49 %</w:t>
            </w:r>
          </w:p>
        </w:tc>
        <w:tc>
          <w:tcPr>
            <w:tcW w:w="845" w:type="dxa"/>
            <w:tcBorders>
              <w:top w:val="nil"/>
              <w:left w:val="nil"/>
              <w:bottom w:val="nil"/>
              <w:right w:val="nil"/>
              <w:tl2br w:val="nil"/>
              <w:tr2bl w:val="nil"/>
            </w:tcBorders>
            <w:tcMar>
              <w:left w:w="60" w:type="dxa"/>
              <w:right w:w="60" w:type="dxa"/>
            </w:tcMar>
            <w:vAlign w:val="center"/>
          </w:tcPr>
          <w:p w14:paraId="561CA0F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359252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14:paraId="2DF37D8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14:paraId="7123392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F552F5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206EFA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F24D706"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B06DEC6"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388A881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3594CD4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O: Outside MFF</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892EEB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15 994</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27DD7E0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1 693</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7737F92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113</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395E329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514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DC8D58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2 319</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4CB3843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15 %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DE4F20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1 120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7324BBA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12 555</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3408ED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13 675</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3EB5F5A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59EC09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64E68E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591AFA72"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027AB9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19D3954"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17AD3ED5" w14:textId="77777777" w:rsidR="00807FFE" w:rsidRDefault="00807FFE">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C5039C2" w14:textId="77777777" w:rsidR="00807FFE" w:rsidRDefault="00807FFE">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5CC4B326"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1199366"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D385452"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507A456"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1382E51"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3355A04F"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6F3CA17"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19CDAEE"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798798A0"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1F72CDB" w14:textId="77777777" w:rsidR="00807FFE" w:rsidRDefault="00807FFE">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6280C72A" w14:textId="77777777" w:rsidR="00807FFE" w:rsidRDefault="00807FFE">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01658EE6" w14:textId="77777777" w:rsidR="00807FFE" w:rsidRDefault="00807FFE">
            <w:pPr>
              <w:pStyle w:val="DMETW36742BIPDetailedMFF3ImplementPayments"/>
              <w:jc w:val="right"/>
              <w:rPr>
                <w:rFonts w:ascii="Verdana" w:eastAsia="Verdana" w:hAnsi="Verdana" w:cs="Verdana"/>
                <w:noProof/>
                <w:color w:val="000000"/>
                <w:sz w:val="16"/>
                <w:lang w:bidi="en-GB"/>
              </w:rPr>
            </w:pPr>
          </w:p>
        </w:tc>
      </w:tr>
      <w:tr w:rsidR="00807FFE" w14:paraId="6FF6A53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CEF069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S</w:t>
            </w:r>
          </w:p>
        </w:tc>
        <w:tc>
          <w:tcPr>
            <w:tcW w:w="3006" w:type="dxa"/>
            <w:tcBorders>
              <w:top w:val="nil"/>
              <w:left w:val="nil"/>
              <w:bottom w:val="nil"/>
              <w:right w:val="nil"/>
              <w:tl2br w:val="nil"/>
              <w:tr2bl w:val="nil"/>
            </w:tcBorders>
            <w:tcMar>
              <w:left w:w="60" w:type="dxa"/>
              <w:right w:w="60" w:type="dxa"/>
            </w:tcMar>
            <w:vAlign w:val="center"/>
          </w:tcPr>
          <w:p w14:paraId="78DBC2EC"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Solidarity Reserve</w:t>
            </w:r>
          </w:p>
        </w:tc>
        <w:tc>
          <w:tcPr>
            <w:tcW w:w="845" w:type="dxa"/>
            <w:tcBorders>
              <w:top w:val="nil"/>
              <w:left w:val="nil"/>
              <w:bottom w:val="nil"/>
              <w:right w:val="nil"/>
              <w:tl2br w:val="nil"/>
              <w:tr2bl w:val="nil"/>
            </w:tcBorders>
            <w:tcMar>
              <w:left w:w="60" w:type="dxa"/>
              <w:right w:w="60" w:type="dxa"/>
            </w:tcMar>
            <w:vAlign w:val="center"/>
          </w:tcPr>
          <w:p w14:paraId="21D1E30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1 477</w:t>
            </w:r>
          </w:p>
        </w:tc>
        <w:tc>
          <w:tcPr>
            <w:tcW w:w="954" w:type="dxa"/>
            <w:tcBorders>
              <w:top w:val="nil"/>
              <w:left w:val="nil"/>
              <w:bottom w:val="nil"/>
              <w:right w:val="nil"/>
              <w:tl2br w:val="nil"/>
              <w:tr2bl w:val="nil"/>
            </w:tcBorders>
            <w:tcMar>
              <w:left w:w="60" w:type="dxa"/>
              <w:right w:w="60" w:type="dxa"/>
            </w:tcMar>
            <w:vAlign w:val="center"/>
          </w:tcPr>
          <w:p w14:paraId="0BFF50C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170</w:t>
            </w:r>
          </w:p>
        </w:tc>
        <w:tc>
          <w:tcPr>
            <w:tcW w:w="845" w:type="dxa"/>
            <w:tcBorders>
              <w:top w:val="nil"/>
              <w:left w:val="nil"/>
              <w:bottom w:val="nil"/>
              <w:right w:val="nil"/>
              <w:tl2br w:val="nil"/>
              <w:tr2bl w:val="nil"/>
            </w:tcBorders>
            <w:tcMar>
              <w:left w:w="60" w:type="dxa"/>
              <w:right w:w="60" w:type="dxa"/>
            </w:tcMar>
            <w:vAlign w:val="center"/>
          </w:tcPr>
          <w:p w14:paraId="5CCB600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45" w:type="dxa"/>
            <w:tcBorders>
              <w:top w:val="nil"/>
              <w:left w:val="nil"/>
              <w:bottom w:val="nil"/>
              <w:right w:val="nil"/>
              <w:tl2br w:val="nil"/>
              <w:tr2bl w:val="nil"/>
            </w:tcBorders>
            <w:tcMar>
              <w:left w:w="60" w:type="dxa"/>
              <w:right w:w="60" w:type="dxa"/>
            </w:tcMar>
            <w:vAlign w:val="center"/>
          </w:tcPr>
          <w:p w14:paraId="012EBB3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8CFFC7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480</w:t>
            </w:r>
          </w:p>
        </w:tc>
        <w:tc>
          <w:tcPr>
            <w:tcW w:w="845" w:type="dxa"/>
            <w:tcBorders>
              <w:top w:val="nil"/>
              <w:left w:val="nil"/>
              <w:bottom w:val="nil"/>
              <w:right w:val="nil"/>
              <w:tl2br w:val="nil"/>
              <w:tr2bl w:val="nil"/>
            </w:tcBorders>
            <w:tcMar>
              <w:left w:w="60" w:type="dxa"/>
              <w:right w:w="60" w:type="dxa"/>
            </w:tcMar>
            <w:vAlign w:val="center"/>
          </w:tcPr>
          <w:p w14:paraId="5E14A3B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33 %</w:t>
            </w:r>
          </w:p>
        </w:tc>
        <w:tc>
          <w:tcPr>
            <w:tcW w:w="845" w:type="dxa"/>
            <w:tcBorders>
              <w:top w:val="nil"/>
              <w:left w:val="nil"/>
              <w:bottom w:val="nil"/>
              <w:right w:val="nil"/>
              <w:tl2br w:val="nil"/>
              <w:tr2bl w:val="nil"/>
            </w:tcBorders>
            <w:tcMar>
              <w:left w:w="60" w:type="dxa"/>
              <w:right w:w="60" w:type="dxa"/>
            </w:tcMar>
            <w:vAlign w:val="center"/>
          </w:tcPr>
          <w:p w14:paraId="58D9841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997</w:t>
            </w:r>
          </w:p>
        </w:tc>
        <w:tc>
          <w:tcPr>
            <w:tcW w:w="845" w:type="dxa"/>
            <w:tcBorders>
              <w:top w:val="nil"/>
              <w:left w:val="nil"/>
              <w:bottom w:val="nil"/>
              <w:right w:val="nil"/>
              <w:tl2br w:val="nil"/>
              <w:tr2bl w:val="nil"/>
            </w:tcBorders>
            <w:tcMar>
              <w:left w:w="60" w:type="dxa"/>
              <w:right w:w="60" w:type="dxa"/>
            </w:tcMar>
            <w:vAlign w:val="center"/>
          </w:tcPr>
          <w:p w14:paraId="2BAC38D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90CB66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997</w:t>
            </w:r>
          </w:p>
        </w:tc>
        <w:tc>
          <w:tcPr>
            <w:tcW w:w="845" w:type="dxa"/>
            <w:tcBorders>
              <w:top w:val="nil"/>
              <w:left w:val="nil"/>
              <w:bottom w:val="nil"/>
              <w:right w:val="nil"/>
              <w:tl2br w:val="nil"/>
              <w:tr2bl w:val="nil"/>
            </w:tcBorders>
            <w:tcMar>
              <w:left w:w="60" w:type="dxa"/>
              <w:right w:w="60" w:type="dxa"/>
            </w:tcMar>
            <w:vAlign w:val="center"/>
          </w:tcPr>
          <w:p w14:paraId="47BEF07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31B53D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A6CB78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47C8732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C5DEF4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42D0718"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2E7614F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Emergency Aid Reserve</w:t>
            </w:r>
          </w:p>
        </w:tc>
        <w:tc>
          <w:tcPr>
            <w:tcW w:w="845" w:type="dxa"/>
            <w:tcBorders>
              <w:top w:val="nil"/>
              <w:left w:val="nil"/>
              <w:bottom w:val="nil"/>
              <w:right w:val="nil"/>
              <w:tl2br w:val="nil"/>
              <w:tr2bl w:val="nil"/>
            </w:tcBorders>
            <w:tcMar>
              <w:left w:w="60" w:type="dxa"/>
              <w:right w:w="60" w:type="dxa"/>
            </w:tcMar>
            <w:vAlign w:val="center"/>
          </w:tcPr>
          <w:p w14:paraId="030E004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14:paraId="4B2D430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271A6A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D136B9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D12B97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026327E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14:paraId="30FEE95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3E4A845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BC34D34"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E7590B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1F3CB71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7497AB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58F5E4F8"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DF32C0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AB29525"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60109890"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European Globalisation Adjustment Fund (EGF)</w:t>
            </w:r>
          </w:p>
        </w:tc>
        <w:tc>
          <w:tcPr>
            <w:tcW w:w="845" w:type="dxa"/>
            <w:tcBorders>
              <w:top w:val="nil"/>
              <w:left w:val="nil"/>
              <w:bottom w:val="nil"/>
              <w:right w:val="nil"/>
              <w:tl2br w:val="nil"/>
              <w:tr2bl w:val="nil"/>
            </w:tcBorders>
            <w:tcMar>
              <w:left w:w="60" w:type="dxa"/>
              <w:right w:w="60" w:type="dxa"/>
            </w:tcMar>
            <w:vAlign w:val="center"/>
          </w:tcPr>
          <w:p w14:paraId="77B9AA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954" w:type="dxa"/>
            <w:tcBorders>
              <w:top w:val="nil"/>
              <w:left w:val="nil"/>
              <w:bottom w:val="nil"/>
              <w:right w:val="nil"/>
              <w:tl2br w:val="nil"/>
              <w:tr2bl w:val="nil"/>
            </w:tcBorders>
            <w:tcMar>
              <w:left w:w="60" w:type="dxa"/>
              <w:right w:w="60" w:type="dxa"/>
            </w:tcMar>
            <w:vAlign w:val="center"/>
          </w:tcPr>
          <w:p w14:paraId="28C610B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14:paraId="517C8C8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2290D6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14:paraId="6BF354B9"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14:paraId="71061B2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14:paraId="124D1212"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1BB011A"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E25FDA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280431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4D9A79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14:paraId="3A468DF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3FC11944"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8B4777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4EDF393"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57A603D3"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Brexit Adjustment Reserve</w:t>
            </w:r>
          </w:p>
        </w:tc>
        <w:tc>
          <w:tcPr>
            <w:tcW w:w="845" w:type="dxa"/>
            <w:tcBorders>
              <w:top w:val="nil"/>
              <w:left w:val="nil"/>
              <w:bottom w:val="nil"/>
              <w:right w:val="nil"/>
              <w:tl2br w:val="nil"/>
              <w:tr2bl w:val="nil"/>
            </w:tcBorders>
            <w:tcMar>
              <w:left w:w="60" w:type="dxa"/>
              <w:right w:w="60" w:type="dxa"/>
            </w:tcMar>
            <w:vAlign w:val="center"/>
          </w:tcPr>
          <w:p w14:paraId="16EDA30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954" w:type="dxa"/>
            <w:tcBorders>
              <w:top w:val="nil"/>
              <w:left w:val="nil"/>
              <w:bottom w:val="nil"/>
              <w:right w:val="nil"/>
              <w:tl2br w:val="nil"/>
              <w:tr2bl w:val="nil"/>
            </w:tcBorders>
            <w:tcMar>
              <w:left w:w="60" w:type="dxa"/>
              <w:right w:w="60" w:type="dxa"/>
            </w:tcMar>
            <w:vAlign w:val="center"/>
          </w:tcPr>
          <w:p w14:paraId="3594E4B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547</w:t>
            </w:r>
          </w:p>
        </w:tc>
        <w:tc>
          <w:tcPr>
            <w:tcW w:w="845" w:type="dxa"/>
            <w:tcBorders>
              <w:top w:val="nil"/>
              <w:left w:val="nil"/>
              <w:bottom w:val="nil"/>
              <w:right w:val="nil"/>
              <w:tl2br w:val="nil"/>
              <w:tr2bl w:val="nil"/>
            </w:tcBorders>
            <w:tcMar>
              <w:left w:w="60" w:type="dxa"/>
              <w:right w:w="60" w:type="dxa"/>
            </w:tcMar>
            <w:vAlign w:val="center"/>
          </w:tcPr>
          <w:p w14:paraId="2C163245"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6A933DF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2DBDB9E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547</w:t>
            </w:r>
          </w:p>
        </w:tc>
        <w:tc>
          <w:tcPr>
            <w:tcW w:w="845" w:type="dxa"/>
            <w:tcBorders>
              <w:top w:val="nil"/>
              <w:left w:val="nil"/>
              <w:bottom w:val="nil"/>
              <w:right w:val="nil"/>
              <w:tl2br w:val="nil"/>
              <w:tr2bl w:val="nil"/>
            </w:tcBorders>
            <w:tcMar>
              <w:left w:w="60" w:type="dxa"/>
              <w:right w:w="60" w:type="dxa"/>
            </w:tcMar>
            <w:vAlign w:val="center"/>
          </w:tcPr>
          <w:p w14:paraId="62908B3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14:paraId="5E3A53D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14:paraId="7EB021AB"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6089BE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14:paraId="5351AD4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7F717E1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14:paraId="4000325E"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14:paraId="62992886"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877E16B"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2E58FC4F" w14:textId="77777777" w:rsidR="00807FFE" w:rsidRDefault="00807FFE">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14:paraId="26D42CE1" w14:textId="77777777" w:rsidR="00807FFE" w:rsidRDefault="00023E71">
            <w:pPr>
              <w:pStyle w:val="DMETW36742BIPDetailedMFF3ImplementPayments"/>
              <w:rPr>
                <w:rFonts w:ascii="Verdana" w:eastAsia="Verdana" w:hAnsi="Verdana" w:cs="Verdana"/>
                <w:noProof/>
                <w:color w:val="000000"/>
                <w:sz w:val="16"/>
              </w:rPr>
            </w:pPr>
            <w:r>
              <w:rPr>
                <w:rFonts w:ascii="Verdana" w:eastAsia="Verdana" w:hAnsi="Verdana" w:cs="Verdana"/>
                <w:noProof/>
                <w:color w:val="000000"/>
                <w:sz w:val="16"/>
              </w:rPr>
              <w:t>Total Heading S: Solidarity mechanisms within and outside the Union (Special instruments)</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34CA86D6"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2 063</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58A3841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729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40EBFE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310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4E56D3F"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09CB95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1 048</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577E3171"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51 %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F3B8DCD"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1 015</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ABBAB78"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CADE4B3"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1 015</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62B7327"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BED8DFC"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436CEF30" w14:textId="77777777" w:rsidR="00807FFE" w:rsidRDefault="00023E71">
            <w:pPr>
              <w:pStyle w:val="DMETW36742BIPDetailedMFF3Implement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4520DAD4" w14:textId="77777777" w:rsidR="00807FFE" w:rsidRDefault="00023E71">
            <w:pPr>
              <w:pStyle w:val="DMETW36742BIPDetailedMFF3Implement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0F7ADB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A0F76A6" w14:textId="77777777" w:rsidR="00807FFE" w:rsidRDefault="00807FFE">
            <w:pPr>
              <w:pStyle w:val="DMETW36742BIPDetailedMFF3ImplementPayments"/>
              <w:jc w:val="right"/>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14:paraId="4E47A1A9"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D11A4B1" w14:textId="77777777" w:rsidR="00807FFE" w:rsidRDefault="00807FFE">
            <w:pPr>
              <w:pStyle w:val="DMETW36742BIPDetailedMFF3ImplementPayments"/>
              <w:jc w:val="right"/>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14:paraId="18E7DB0B"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1CAE614"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FE93FC5"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2402C61"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2F3477A"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A09DCAE"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0763AC06"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15CB071F"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8DCF8CB"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404156FE" w14:textId="77777777" w:rsidR="00807FFE" w:rsidRDefault="00807FFE">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14:paraId="25B3208C" w14:textId="77777777" w:rsidR="00807FFE" w:rsidRDefault="00807FFE">
            <w:pPr>
              <w:pStyle w:val="DMETW36742BIPDetailedMFF3ImplementPayments"/>
              <w:jc w:val="right"/>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14:paraId="63F45F44" w14:textId="77777777" w:rsidR="00807FFE" w:rsidRDefault="00807FFE">
            <w:pPr>
              <w:pStyle w:val="DMETW36742BIPDetailedMFF3ImplementPayments"/>
              <w:jc w:val="right"/>
              <w:rPr>
                <w:rFonts w:ascii="Verdana" w:eastAsia="Verdana" w:hAnsi="Verdana" w:cs="Verdana"/>
                <w:i/>
                <w:noProof/>
                <w:color w:val="000000"/>
                <w:sz w:val="16"/>
                <w:lang w:bidi="en-GB"/>
              </w:rPr>
            </w:pPr>
          </w:p>
        </w:tc>
      </w:tr>
      <w:tr w:rsidR="00807FFE" w14:paraId="4DA694F7" w14:textId="77777777">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14:paraId="28CF07B0" w14:textId="77777777" w:rsidR="00807FFE" w:rsidRDefault="00807FFE">
            <w:pPr>
              <w:pStyle w:val="DMETW36742BIPDetailedMFF3ImplementPayments"/>
              <w:rPr>
                <w:rFonts w:ascii="Verdana" w:eastAsia="Verdana" w:hAnsi="Verdana" w:cs="Verdana"/>
                <w:b/>
                <w:noProof/>
                <w:color w:val="000000"/>
                <w:sz w:val="16"/>
              </w:rPr>
            </w:pPr>
          </w:p>
        </w:tc>
        <w:tc>
          <w:tcPr>
            <w:tcW w:w="3006" w:type="dxa"/>
            <w:tcBorders>
              <w:top w:val="nil"/>
              <w:left w:val="nil"/>
              <w:bottom w:val="nil"/>
              <w:right w:val="nil"/>
              <w:tl2br w:val="nil"/>
              <w:tr2bl w:val="nil"/>
            </w:tcBorders>
            <w:shd w:val="solid" w:color="CCE1EA" w:fill="FFFFFF"/>
            <w:tcMar>
              <w:left w:w="60" w:type="dxa"/>
              <w:right w:w="60" w:type="dxa"/>
            </w:tcMar>
            <w:vAlign w:val="center"/>
          </w:tcPr>
          <w:p w14:paraId="2966C11B" w14:textId="77777777" w:rsidR="00807FFE" w:rsidRDefault="00023E71">
            <w:pPr>
              <w:pStyle w:val="DMETW36742BIPDetailedMFF3ImplementPayments"/>
              <w:rPr>
                <w:rFonts w:ascii="Verdana" w:eastAsia="Verdana" w:hAnsi="Verdana" w:cs="Verdana"/>
                <w:b/>
                <w:noProof/>
                <w:color w:val="000000"/>
                <w:sz w:val="16"/>
              </w:rPr>
            </w:pPr>
            <w:r>
              <w:rPr>
                <w:rFonts w:ascii="Verdana" w:eastAsia="Verdana" w:hAnsi="Verdana" w:cs="Verdana"/>
                <w:b/>
                <w:noProof/>
                <w:color w:val="000000"/>
                <w:sz w:val="16"/>
              </w:rPr>
              <w:t>TOTAL</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60AFE4D"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250 956</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4ECAB37A"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155 173</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154318D"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3 575</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25FDCD15"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57 624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14B176D3"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216 373</w:t>
            </w:r>
          </w:p>
        </w:tc>
        <w:tc>
          <w:tcPr>
            <w:tcW w:w="845" w:type="dxa"/>
            <w:tcBorders>
              <w:top w:val="nil"/>
              <w:left w:val="nil"/>
              <w:bottom w:val="nil"/>
              <w:right w:val="nil"/>
              <w:tl2br w:val="nil"/>
              <w:tr2bl w:val="nil"/>
            </w:tcBorders>
            <w:shd w:val="solid" w:color="CCE1EB" w:fill="FFFFFF"/>
            <w:tcMar>
              <w:left w:w="60" w:type="dxa"/>
              <w:right w:w="60" w:type="dxa"/>
            </w:tcMar>
            <w:vAlign w:val="center"/>
          </w:tcPr>
          <w:p w14:paraId="7728281C"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86 %</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A97A17F"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6 087</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61B7190"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28 271</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5E04E6B"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34 358</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692D460C"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110</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08E518C6"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104</w:t>
            </w:r>
          </w:p>
        </w:tc>
        <w:tc>
          <w:tcPr>
            <w:tcW w:w="845" w:type="dxa"/>
            <w:tcBorders>
              <w:top w:val="nil"/>
              <w:left w:val="nil"/>
              <w:bottom w:val="nil"/>
              <w:right w:val="nil"/>
              <w:tl2br w:val="nil"/>
              <w:tr2bl w:val="nil"/>
            </w:tcBorders>
            <w:shd w:val="solid" w:color="CCE1EA" w:fill="FFFFFF"/>
            <w:tcMar>
              <w:left w:w="60" w:type="dxa"/>
              <w:right w:w="60" w:type="dxa"/>
            </w:tcMar>
            <w:vAlign w:val="center"/>
          </w:tcPr>
          <w:p w14:paraId="57F4124F"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12</w:t>
            </w:r>
          </w:p>
        </w:tc>
        <w:tc>
          <w:tcPr>
            <w:tcW w:w="1093" w:type="dxa"/>
            <w:tcBorders>
              <w:top w:val="nil"/>
              <w:left w:val="nil"/>
              <w:bottom w:val="nil"/>
              <w:right w:val="nil"/>
              <w:tl2br w:val="nil"/>
              <w:tr2bl w:val="nil"/>
            </w:tcBorders>
            <w:shd w:val="solid" w:color="CCE1EA" w:fill="FFFFFF"/>
            <w:tcMar>
              <w:left w:w="60" w:type="dxa"/>
              <w:right w:w="60" w:type="dxa"/>
            </w:tcMar>
            <w:vAlign w:val="center"/>
          </w:tcPr>
          <w:p w14:paraId="496F4B3F" w14:textId="77777777" w:rsidR="00807FFE" w:rsidRDefault="00023E71">
            <w:pPr>
              <w:pStyle w:val="DMETW36742BIPDetailedMFF3Implement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226</w:t>
            </w:r>
          </w:p>
        </w:tc>
      </w:tr>
    </w:tbl>
    <w:p w14:paraId="0AADA2D9" w14:textId="77777777" w:rsidR="008C5342" w:rsidRPr="00EB06E0" w:rsidRDefault="00023E71" w:rsidP="00D45AE0">
      <w:pPr>
        <w:pStyle w:val="HEADER2PartBUDG"/>
        <w:pageBreakBefore/>
        <w:spacing w:before="240" w:after="240"/>
        <w:ind w:left="357" w:hanging="357"/>
        <w:rPr>
          <w:noProof/>
          <w:lang w:val="en-GB"/>
        </w:rPr>
      </w:pPr>
      <w:bookmarkStart w:id="311" w:name="_Toc232674398"/>
      <w:r>
        <w:rPr>
          <w:noProof/>
          <w:lang w:val="en-GB"/>
        </w:rPr>
        <w:t>DETAILED MFF</w:t>
      </w:r>
      <w:r w:rsidRPr="008903C1">
        <w:rPr>
          <w:noProof/>
          <w:lang w:val="en-GB"/>
        </w:rPr>
        <w:t>: MOVEMENTS IN OUTSTANDING COMMITMENTS (RAL)</w:t>
      </w:r>
      <w:bookmarkEnd w:id="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5076"/>
        <w:gridCol w:w="1804"/>
        <w:gridCol w:w="1902"/>
        <w:gridCol w:w="1467"/>
        <w:gridCol w:w="2141"/>
        <w:gridCol w:w="1958"/>
      </w:tblGrid>
      <w:tr w:rsidR="00807FFE" w14:paraId="7BEF6EF8" w14:textId="77777777" w:rsidTr="00881EF0">
        <w:trPr>
          <w:trHeight w:val="255"/>
          <w:tblHeader/>
        </w:trPr>
        <w:tc>
          <w:tcPr>
            <w:tcW w:w="14692" w:type="dxa"/>
            <w:gridSpan w:val="7"/>
            <w:tcBorders>
              <w:top w:val="nil"/>
              <w:left w:val="nil"/>
              <w:bottom w:val="nil"/>
              <w:right w:val="nil"/>
              <w:tl2br w:val="nil"/>
              <w:tr2bl w:val="nil"/>
            </w:tcBorders>
            <w:tcMar>
              <w:left w:w="60" w:type="dxa"/>
              <w:right w:w="60" w:type="dxa"/>
            </w:tcMar>
            <w:vAlign w:val="center"/>
          </w:tcPr>
          <w:p w14:paraId="5BC050FA" w14:textId="77777777" w:rsidR="00807FFE" w:rsidRDefault="00023E71">
            <w:pPr>
              <w:pStyle w:val="DMETW36742BIPDetailedMFF4Commitmentsoustanding"/>
              <w:jc w:val="right"/>
              <w:rPr>
                <w:rFonts w:ascii="Verdana" w:eastAsia="Verdana" w:hAnsi="Verdana" w:cs="Verdana"/>
                <w:i/>
                <w:noProof/>
                <w:color w:val="000000"/>
                <w:sz w:val="16"/>
                <w:lang w:bidi="en-GB"/>
              </w:rPr>
            </w:pPr>
            <w:bookmarkStart w:id="312" w:name="DOC_TBL00122_1_1"/>
            <w:bookmarkEnd w:id="312"/>
            <w:r>
              <w:rPr>
                <w:rFonts w:ascii="Verdana" w:eastAsia="Verdana" w:hAnsi="Verdana" w:cs="Verdana"/>
                <w:i/>
                <w:noProof/>
                <w:color w:val="000000"/>
                <w:sz w:val="16"/>
              </w:rPr>
              <w:t>EUR million</w:t>
            </w:r>
          </w:p>
        </w:tc>
      </w:tr>
      <w:tr w:rsidR="00807FFE" w14:paraId="134A5A41" w14:textId="77777777">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14:paraId="2B810C5E" w14:textId="77777777" w:rsidR="00807FFE" w:rsidRDefault="00807FFE">
            <w:pPr>
              <w:pStyle w:val="DMETW36742BIPDetailedMFF4Commitmentsoustanding"/>
              <w:jc w:val="center"/>
              <w:rPr>
                <w:rFonts w:ascii="Verdana" w:eastAsia="Verdana" w:hAnsi="Verdana" w:cs="Verdana"/>
                <w:noProof/>
                <w:color w:val="FFFFFF"/>
                <w:sz w:val="16"/>
              </w:rPr>
            </w:pPr>
          </w:p>
        </w:tc>
        <w:tc>
          <w:tcPr>
            <w:tcW w:w="5076" w:type="dxa"/>
            <w:tcBorders>
              <w:top w:val="nil"/>
              <w:left w:val="nil"/>
              <w:bottom w:val="nil"/>
              <w:right w:val="nil"/>
              <w:tl2br w:val="nil"/>
              <w:tr2bl w:val="nil"/>
            </w:tcBorders>
            <w:shd w:val="solid" w:color="016794" w:fill="FFFFFF"/>
            <w:tcMar>
              <w:left w:w="60" w:type="dxa"/>
              <w:right w:w="60" w:type="dxa"/>
            </w:tcMar>
            <w:vAlign w:val="center"/>
          </w:tcPr>
          <w:p w14:paraId="10C437C3"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MFF Heading</w:t>
            </w:r>
          </w:p>
        </w:tc>
        <w:tc>
          <w:tcPr>
            <w:tcW w:w="1804" w:type="dxa"/>
            <w:tcBorders>
              <w:top w:val="nil"/>
              <w:left w:val="nil"/>
              <w:bottom w:val="nil"/>
              <w:right w:val="nil"/>
              <w:tl2br w:val="nil"/>
              <w:tr2bl w:val="nil"/>
            </w:tcBorders>
            <w:shd w:val="solid" w:color="016794" w:fill="FFFFFF"/>
            <w:tcMar>
              <w:left w:w="60" w:type="dxa"/>
              <w:right w:w="60" w:type="dxa"/>
            </w:tcMar>
            <w:vAlign w:val="center"/>
          </w:tcPr>
          <w:p w14:paraId="529BDD80"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Commit. carried forward from prev. year</w:t>
            </w:r>
          </w:p>
        </w:tc>
        <w:tc>
          <w:tcPr>
            <w:tcW w:w="1902" w:type="dxa"/>
            <w:tcBorders>
              <w:top w:val="nil"/>
              <w:left w:val="nil"/>
              <w:bottom w:val="nil"/>
              <w:right w:val="nil"/>
              <w:tl2br w:val="nil"/>
              <w:tr2bl w:val="nil"/>
            </w:tcBorders>
            <w:shd w:val="solid" w:color="016794" w:fill="FFFFFF"/>
            <w:tcMar>
              <w:left w:w="60" w:type="dxa"/>
              <w:right w:w="60" w:type="dxa"/>
            </w:tcMar>
            <w:vAlign w:val="center"/>
          </w:tcPr>
          <w:p w14:paraId="408D510A"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Commit. made during the year</w:t>
            </w:r>
          </w:p>
        </w:tc>
        <w:tc>
          <w:tcPr>
            <w:tcW w:w="1467" w:type="dxa"/>
            <w:tcBorders>
              <w:top w:val="nil"/>
              <w:left w:val="nil"/>
              <w:bottom w:val="nil"/>
              <w:right w:val="nil"/>
              <w:tl2br w:val="nil"/>
              <w:tr2bl w:val="nil"/>
            </w:tcBorders>
            <w:shd w:val="solid" w:color="016794" w:fill="FFFFFF"/>
            <w:tcMar>
              <w:left w:w="60" w:type="dxa"/>
              <w:right w:w="60" w:type="dxa"/>
            </w:tcMar>
            <w:vAlign w:val="center"/>
          </w:tcPr>
          <w:p w14:paraId="086AC8CC"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Variations on Commitments carried forward</w:t>
            </w:r>
          </w:p>
        </w:tc>
        <w:tc>
          <w:tcPr>
            <w:tcW w:w="2141" w:type="dxa"/>
            <w:tcBorders>
              <w:top w:val="nil"/>
              <w:left w:val="nil"/>
              <w:bottom w:val="nil"/>
              <w:right w:val="nil"/>
              <w:tl2br w:val="nil"/>
              <w:tr2bl w:val="nil"/>
            </w:tcBorders>
            <w:shd w:val="solid" w:color="016794" w:fill="FFFFFF"/>
            <w:tcMar>
              <w:left w:w="60" w:type="dxa"/>
              <w:right w:w="60" w:type="dxa"/>
            </w:tcMar>
            <w:vAlign w:val="center"/>
          </w:tcPr>
          <w:p w14:paraId="03A5FDA0"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Payments</w:t>
            </w:r>
          </w:p>
        </w:tc>
        <w:tc>
          <w:tcPr>
            <w:tcW w:w="1958" w:type="dxa"/>
            <w:tcBorders>
              <w:top w:val="nil"/>
              <w:left w:val="nil"/>
              <w:bottom w:val="nil"/>
              <w:right w:val="nil"/>
              <w:tl2br w:val="nil"/>
              <w:tr2bl w:val="nil"/>
            </w:tcBorders>
            <w:shd w:val="solid" w:color="016794" w:fill="FFFFFF"/>
            <w:tcMar>
              <w:left w:w="60" w:type="dxa"/>
              <w:right w:w="60" w:type="dxa"/>
            </w:tcMar>
            <w:vAlign w:val="center"/>
          </w:tcPr>
          <w:p w14:paraId="11FF897E" w14:textId="77777777" w:rsidR="00807FFE" w:rsidRDefault="00023E71">
            <w:pPr>
              <w:pStyle w:val="DMETW36742BIPDetailedMFF4Commitmentsoustanding"/>
              <w:jc w:val="center"/>
              <w:rPr>
                <w:rFonts w:ascii="Verdana" w:eastAsia="Verdana" w:hAnsi="Verdana" w:cs="Verdana"/>
                <w:noProof/>
                <w:color w:val="FFFFFF"/>
                <w:sz w:val="16"/>
                <w:lang w:bidi="en-GB"/>
              </w:rPr>
            </w:pPr>
            <w:r>
              <w:rPr>
                <w:rFonts w:ascii="Verdana" w:eastAsia="Verdana" w:hAnsi="Verdana" w:cs="Verdana"/>
                <w:noProof/>
                <w:color w:val="FFFFFF"/>
                <w:sz w:val="16"/>
              </w:rPr>
              <w:t>Total commitm. outstanding at end of the year</w:t>
            </w:r>
          </w:p>
        </w:tc>
      </w:tr>
      <w:tr w:rsidR="00807FFE" w14:paraId="6C36668B" w14:textId="77777777">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14:paraId="26751AEC" w14:textId="77777777" w:rsidR="00807FFE" w:rsidRDefault="00807FFE">
            <w:pPr>
              <w:pStyle w:val="DMETW36742BIPDetailedMFF4Commitmentsoustanding"/>
              <w:jc w:val="center"/>
              <w:rPr>
                <w:rFonts w:ascii="Verdana" w:eastAsia="Verdana" w:hAnsi="Verdana" w:cs="Verdana"/>
                <w:noProof/>
                <w:color w:val="FFFFFF"/>
                <w:sz w:val="16"/>
              </w:rPr>
            </w:pPr>
          </w:p>
        </w:tc>
        <w:tc>
          <w:tcPr>
            <w:tcW w:w="5076" w:type="dxa"/>
            <w:tcBorders>
              <w:top w:val="nil"/>
              <w:left w:val="nil"/>
              <w:bottom w:val="nil"/>
              <w:right w:val="nil"/>
              <w:tl2br w:val="nil"/>
              <w:tr2bl w:val="nil"/>
            </w:tcBorders>
            <w:shd w:val="solid" w:color="3487A9" w:fill="FFFFFF"/>
            <w:tcMar>
              <w:left w:w="60" w:type="dxa"/>
              <w:right w:w="60" w:type="dxa"/>
            </w:tcMar>
            <w:vAlign w:val="center"/>
          </w:tcPr>
          <w:p w14:paraId="7596A91F" w14:textId="77777777" w:rsidR="00807FFE" w:rsidRDefault="00807FFE">
            <w:pPr>
              <w:pStyle w:val="DMETW36742BIPDetailedMFF4Commitmentsoustanding"/>
              <w:jc w:val="center"/>
              <w:rPr>
                <w:rFonts w:ascii="Verdana" w:eastAsia="Verdana" w:hAnsi="Verdana" w:cs="Verdana"/>
                <w:noProof/>
                <w:color w:val="FFFFFF"/>
                <w:sz w:val="16"/>
              </w:rPr>
            </w:pPr>
          </w:p>
        </w:tc>
        <w:tc>
          <w:tcPr>
            <w:tcW w:w="1804" w:type="dxa"/>
            <w:tcBorders>
              <w:top w:val="nil"/>
              <w:left w:val="nil"/>
              <w:bottom w:val="nil"/>
              <w:right w:val="nil"/>
              <w:tl2br w:val="nil"/>
              <w:tr2bl w:val="nil"/>
            </w:tcBorders>
            <w:shd w:val="solid" w:color="3487A9" w:fill="FFFFFF"/>
            <w:tcMar>
              <w:left w:w="60" w:type="dxa"/>
              <w:right w:w="60" w:type="dxa"/>
            </w:tcMar>
            <w:vAlign w:val="center"/>
          </w:tcPr>
          <w:p w14:paraId="2FE2FEDA"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1902" w:type="dxa"/>
            <w:tcBorders>
              <w:top w:val="nil"/>
              <w:left w:val="nil"/>
              <w:bottom w:val="nil"/>
              <w:right w:val="nil"/>
              <w:tl2br w:val="nil"/>
              <w:tr2bl w:val="nil"/>
            </w:tcBorders>
            <w:shd w:val="solid" w:color="3487A9" w:fill="FFFFFF"/>
            <w:tcMar>
              <w:left w:w="60" w:type="dxa"/>
              <w:right w:w="60" w:type="dxa"/>
            </w:tcMar>
            <w:vAlign w:val="center"/>
          </w:tcPr>
          <w:p w14:paraId="3257BCF3"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1467" w:type="dxa"/>
            <w:tcBorders>
              <w:top w:val="nil"/>
              <w:left w:val="nil"/>
              <w:bottom w:val="nil"/>
              <w:right w:val="nil"/>
              <w:tl2br w:val="nil"/>
              <w:tr2bl w:val="nil"/>
            </w:tcBorders>
            <w:shd w:val="solid" w:color="3487A9" w:fill="FFFFFF"/>
            <w:tcMar>
              <w:left w:w="60" w:type="dxa"/>
              <w:right w:w="60" w:type="dxa"/>
            </w:tcMar>
            <w:vAlign w:val="center"/>
          </w:tcPr>
          <w:p w14:paraId="6AF88241"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3</w:t>
            </w:r>
          </w:p>
        </w:tc>
        <w:tc>
          <w:tcPr>
            <w:tcW w:w="2141" w:type="dxa"/>
            <w:tcBorders>
              <w:top w:val="nil"/>
              <w:left w:val="nil"/>
              <w:bottom w:val="nil"/>
              <w:right w:val="nil"/>
              <w:tl2br w:val="nil"/>
              <w:tr2bl w:val="nil"/>
            </w:tcBorders>
            <w:shd w:val="solid" w:color="3487A9" w:fill="FFFFFF"/>
            <w:tcMar>
              <w:left w:w="60" w:type="dxa"/>
              <w:right w:w="60" w:type="dxa"/>
            </w:tcMar>
            <w:vAlign w:val="center"/>
          </w:tcPr>
          <w:p w14:paraId="5AA9D87F" w14:textId="77777777" w:rsidR="00807FFE" w:rsidRDefault="00023E71">
            <w:pPr>
              <w:pStyle w:val="DMETW36742BIPDetailedMFF4Commitmentsoustanding"/>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1958" w:type="dxa"/>
            <w:tcBorders>
              <w:top w:val="nil"/>
              <w:left w:val="nil"/>
              <w:bottom w:val="nil"/>
              <w:right w:val="nil"/>
              <w:tl2br w:val="nil"/>
              <w:tr2bl w:val="nil"/>
            </w:tcBorders>
            <w:shd w:val="solid" w:color="3487A9" w:fill="FFFFFF"/>
            <w:tcMar>
              <w:left w:w="60" w:type="dxa"/>
              <w:right w:w="60" w:type="dxa"/>
            </w:tcMar>
            <w:vAlign w:val="center"/>
          </w:tcPr>
          <w:p w14:paraId="40E354BB" w14:textId="77777777" w:rsidR="00807FFE" w:rsidRDefault="00023E71">
            <w:pPr>
              <w:pStyle w:val="DMETW36742BIPDetailedMFF4Commitmentsoustanding"/>
              <w:jc w:val="center"/>
              <w:rPr>
                <w:rFonts w:ascii="Verdana" w:eastAsia="Verdana" w:hAnsi="Verdana" w:cs="Verdana"/>
                <w:noProof/>
                <w:color w:val="FFFFFF"/>
                <w:sz w:val="16"/>
                <w:lang w:bidi="en-GB"/>
              </w:rPr>
            </w:pPr>
            <w:r>
              <w:rPr>
                <w:rFonts w:ascii="Verdana" w:eastAsia="Verdana" w:hAnsi="Verdana" w:cs="Verdana"/>
                <w:noProof/>
                <w:color w:val="FFFFFF"/>
                <w:sz w:val="16"/>
              </w:rPr>
              <w:t>5=1+2+3+4</w:t>
            </w:r>
          </w:p>
        </w:tc>
      </w:tr>
      <w:tr w:rsidR="00807FFE" w14:paraId="59CB2DA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E08CFD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1</w:t>
            </w:r>
          </w:p>
        </w:tc>
        <w:tc>
          <w:tcPr>
            <w:tcW w:w="5076" w:type="dxa"/>
            <w:tcBorders>
              <w:top w:val="nil"/>
              <w:left w:val="nil"/>
              <w:bottom w:val="nil"/>
              <w:right w:val="nil"/>
              <w:tl2br w:val="nil"/>
              <w:tr2bl w:val="nil"/>
            </w:tcBorders>
            <w:tcMar>
              <w:left w:w="60" w:type="dxa"/>
              <w:right w:w="60" w:type="dxa"/>
            </w:tcMar>
            <w:vAlign w:val="center"/>
          </w:tcPr>
          <w:p w14:paraId="33195F5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Horizon Europe</w:t>
            </w:r>
          </w:p>
        </w:tc>
        <w:tc>
          <w:tcPr>
            <w:tcW w:w="1804" w:type="dxa"/>
            <w:tcBorders>
              <w:top w:val="nil"/>
              <w:left w:val="nil"/>
              <w:bottom w:val="nil"/>
              <w:right w:val="nil"/>
              <w:tl2br w:val="nil"/>
              <w:tr2bl w:val="nil"/>
            </w:tcBorders>
            <w:tcMar>
              <w:left w:w="60" w:type="dxa"/>
              <w:right w:w="60" w:type="dxa"/>
            </w:tcMar>
            <w:vAlign w:val="center"/>
          </w:tcPr>
          <w:p w14:paraId="6F6C55E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28 646</w:t>
            </w:r>
          </w:p>
        </w:tc>
        <w:tc>
          <w:tcPr>
            <w:tcW w:w="1902" w:type="dxa"/>
            <w:tcBorders>
              <w:top w:val="nil"/>
              <w:left w:val="nil"/>
              <w:bottom w:val="nil"/>
              <w:right w:val="nil"/>
              <w:tl2br w:val="nil"/>
              <w:tr2bl w:val="nil"/>
            </w:tcBorders>
            <w:tcMar>
              <w:left w:w="60" w:type="dxa"/>
              <w:right w:w="60" w:type="dxa"/>
            </w:tcMar>
            <w:vAlign w:val="center"/>
          </w:tcPr>
          <w:p w14:paraId="2A28D7C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16 815</w:t>
            </w:r>
          </w:p>
        </w:tc>
        <w:tc>
          <w:tcPr>
            <w:tcW w:w="1467" w:type="dxa"/>
            <w:tcBorders>
              <w:top w:val="nil"/>
              <w:left w:val="nil"/>
              <w:bottom w:val="nil"/>
              <w:right w:val="nil"/>
              <w:tl2br w:val="nil"/>
              <w:tr2bl w:val="nil"/>
            </w:tcBorders>
            <w:tcMar>
              <w:left w:w="60" w:type="dxa"/>
              <w:right w:w="60" w:type="dxa"/>
            </w:tcMar>
            <w:vAlign w:val="center"/>
          </w:tcPr>
          <w:p w14:paraId="7BEA211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(346)</w:t>
            </w:r>
          </w:p>
        </w:tc>
        <w:tc>
          <w:tcPr>
            <w:tcW w:w="2141" w:type="dxa"/>
            <w:tcBorders>
              <w:top w:val="nil"/>
              <w:left w:val="nil"/>
              <w:bottom w:val="nil"/>
              <w:right w:val="nil"/>
              <w:tl2br w:val="nil"/>
              <w:tr2bl w:val="nil"/>
            </w:tcBorders>
            <w:tcMar>
              <w:left w:w="60" w:type="dxa"/>
              <w:right w:w="60" w:type="dxa"/>
            </w:tcMar>
            <w:vAlign w:val="center"/>
          </w:tcPr>
          <w:p w14:paraId="6004539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(13 110)</w:t>
            </w:r>
          </w:p>
        </w:tc>
        <w:tc>
          <w:tcPr>
            <w:tcW w:w="1958" w:type="dxa"/>
            <w:tcBorders>
              <w:top w:val="nil"/>
              <w:left w:val="nil"/>
              <w:bottom w:val="nil"/>
              <w:right w:val="nil"/>
              <w:tl2br w:val="nil"/>
              <w:tr2bl w:val="nil"/>
            </w:tcBorders>
            <w:tcMar>
              <w:left w:w="60" w:type="dxa"/>
              <w:right w:w="60" w:type="dxa"/>
            </w:tcMar>
            <w:vAlign w:val="center"/>
          </w:tcPr>
          <w:p w14:paraId="2108630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32 005</w:t>
            </w:r>
          </w:p>
        </w:tc>
      </w:tr>
      <w:tr w:rsidR="00807FFE" w14:paraId="1428B32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2A4198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C74BF37"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Euratom Research and Training Programme</w:t>
            </w:r>
          </w:p>
        </w:tc>
        <w:tc>
          <w:tcPr>
            <w:tcW w:w="1804" w:type="dxa"/>
            <w:tcBorders>
              <w:top w:val="nil"/>
              <w:left w:val="nil"/>
              <w:bottom w:val="nil"/>
              <w:right w:val="nil"/>
              <w:tl2br w:val="nil"/>
              <w:tr2bl w:val="nil"/>
            </w:tcBorders>
            <w:tcMar>
              <w:left w:w="60" w:type="dxa"/>
              <w:right w:w="60" w:type="dxa"/>
            </w:tcMar>
            <w:vAlign w:val="center"/>
          </w:tcPr>
          <w:p w14:paraId="35D8730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234</w:t>
            </w:r>
          </w:p>
        </w:tc>
        <w:tc>
          <w:tcPr>
            <w:tcW w:w="1902" w:type="dxa"/>
            <w:tcBorders>
              <w:top w:val="nil"/>
              <w:left w:val="nil"/>
              <w:bottom w:val="nil"/>
              <w:right w:val="nil"/>
              <w:tl2br w:val="nil"/>
              <w:tr2bl w:val="nil"/>
            </w:tcBorders>
            <w:tcMar>
              <w:left w:w="60" w:type="dxa"/>
              <w:right w:w="60" w:type="dxa"/>
            </w:tcMar>
            <w:vAlign w:val="center"/>
          </w:tcPr>
          <w:p w14:paraId="4BC1A96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376</w:t>
            </w:r>
          </w:p>
        </w:tc>
        <w:tc>
          <w:tcPr>
            <w:tcW w:w="1467" w:type="dxa"/>
            <w:tcBorders>
              <w:top w:val="nil"/>
              <w:left w:val="nil"/>
              <w:bottom w:val="nil"/>
              <w:right w:val="nil"/>
              <w:tl2br w:val="nil"/>
              <w:tr2bl w:val="nil"/>
            </w:tcBorders>
            <w:tcMar>
              <w:left w:w="60" w:type="dxa"/>
              <w:right w:w="60" w:type="dxa"/>
            </w:tcMar>
            <w:vAlign w:val="center"/>
          </w:tcPr>
          <w:p w14:paraId="5F8D012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14:paraId="3F711C9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(277)</w:t>
            </w:r>
          </w:p>
        </w:tc>
        <w:tc>
          <w:tcPr>
            <w:tcW w:w="1958" w:type="dxa"/>
            <w:tcBorders>
              <w:top w:val="nil"/>
              <w:left w:val="nil"/>
              <w:bottom w:val="nil"/>
              <w:right w:val="nil"/>
              <w:tl2br w:val="nil"/>
              <w:tr2bl w:val="nil"/>
            </w:tcBorders>
            <w:tcMar>
              <w:left w:w="60" w:type="dxa"/>
              <w:right w:w="60" w:type="dxa"/>
            </w:tcMar>
            <w:vAlign w:val="center"/>
          </w:tcPr>
          <w:p w14:paraId="716393C4"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330</w:t>
            </w:r>
          </w:p>
        </w:tc>
      </w:tr>
      <w:tr w:rsidR="00807FFE" w14:paraId="46E8797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86D96D6"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F408E6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International Thermonuclear Experimental Reactor (ITER)</w:t>
            </w:r>
          </w:p>
        </w:tc>
        <w:tc>
          <w:tcPr>
            <w:tcW w:w="1804" w:type="dxa"/>
            <w:tcBorders>
              <w:top w:val="nil"/>
              <w:left w:val="nil"/>
              <w:bottom w:val="nil"/>
              <w:right w:val="nil"/>
              <w:tl2br w:val="nil"/>
              <w:tr2bl w:val="nil"/>
            </w:tcBorders>
            <w:tcMar>
              <w:left w:w="60" w:type="dxa"/>
              <w:right w:w="60" w:type="dxa"/>
            </w:tcMar>
            <w:vAlign w:val="center"/>
          </w:tcPr>
          <w:p w14:paraId="0AA2AB7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1 449</w:t>
            </w:r>
          </w:p>
        </w:tc>
        <w:tc>
          <w:tcPr>
            <w:tcW w:w="1902" w:type="dxa"/>
            <w:tcBorders>
              <w:top w:val="nil"/>
              <w:left w:val="nil"/>
              <w:bottom w:val="nil"/>
              <w:right w:val="nil"/>
              <w:tl2br w:val="nil"/>
              <w:tr2bl w:val="nil"/>
            </w:tcBorders>
            <w:tcMar>
              <w:left w:w="60" w:type="dxa"/>
              <w:right w:w="60" w:type="dxa"/>
            </w:tcMar>
            <w:vAlign w:val="center"/>
          </w:tcPr>
          <w:p w14:paraId="1D984BE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488</w:t>
            </w:r>
          </w:p>
        </w:tc>
        <w:tc>
          <w:tcPr>
            <w:tcW w:w="1467" w:type="dxa"/>
            <w:tcBorders>
              <w:top w:val="nil"/>
              <w:left w:val="nil"/>
              <w:bottom w:val="nil"/>
              <w:right w:val="nil"/>
              <w:tl2br w:val="nil"/>
              <w:tr2bl w:val="nil"/>
            </w:tcBorders>
            <w:tcMar>
              <w:left w:w="60" w:type="dxa"/>
              <w:right w:w="60" w:type="dxa"/>
            </w:tcMar>
            <w:vAlign w:val="center"/>
          </w:tcPr>
          <w:p w14:paraId="76A55AD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409B26E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(643)</w:t>
            </w:r>
          </w:p>
        </w:tc>
        <w:tc>
          <w:tcPr>
            <w:tcW w:w="1958" w:type="dxa"/>
            <w:tcBorders>
              <w:top w:val="nil"/>
              <w:left w:val="nil"/>
              <w:bottom w:val="nil"/>
              <w:right w:val="nil"/>
              <w:tl2br w:val="nil"/>
              <w:tr2bl w:val="nil"/>
            </w:tcBorders>
            <w:tcMar>
              <w:left w:w="60" w:type="dxa"/>
              <w:right w:w="60" w:type="dxa"/>
            </w:tcMar>
            <w:vAlign w:val="center"/>
          </w:tcPr>
          <w:p w14:paraId="1B3121C0"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1 294</w:t>
            </w:r>
          </w:p>
        </w:tc>
      </w:tr>
      <w:tr w:rsidR="00807FFE" w14:paraId="44F3333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F87FB2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EBBFBB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Other actions</w:t>
            </w:r>
          </w:p>
        </w:tc>
        <w:tc>
          <w:tcPr>
            <w:tcW w:w="1804" w:type="dxa"/>
            <w:tcBorders>
              <w:top w:val="nil"/>
              <w:left w:val="nil"/>
              <w:bottom w:val="nil"/>
              <w:right w:val="nil"/>
              <w:tl2br w:val="nil"/>
              <w:tr2bl w:val="nil"/>
            </w:tcBorders>
            <w:tcMar>
              <w:left w:w="60" w:type="dxa"/>
              <w:right w:w="60" w:type="dxa"/>
            </w:tcMar>
            <w:vAlign w:val="center"/>
          </w:tcPr>
          <w:p w14:paraId="0CB4537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263</w:t>
            </w:r>
          </w:p>
        </w:tc>
        <w:tc>
          <w:tcPr>
            <w:tcW w:w="1902" w:type="dxa"/>
            <w:tcBorders>
              <w:top w:val="nil"/>
              <w:left w:val="nil"/>
              <w:bottom w:val="nil"/>
              <w:right w:val="nil"/>
              <w:tl2br w:val="nil"/>
              <w:tr2bl w:val="nil"/>
            </w:tcBorders>
            <w:tcMar>
              <w:left w:w="60" w:type="dxa"/>
              <w:right w:w="60" w:type="dxa"/>
            </w:tcMar>
            <w:vAlign w:val="center"/>
          </w:tcPr>
          <w:p w14:paraId="7CF256F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167</w:t>
            </w:r>
          </w:p>
        </w:tc>
        <w:tc>
          <w:tcPr>
            <w:tcW w:w="1467" w:type="dxa"/>
            <w:tcBorders>
              <w:top w:val="nil"/>
              <w:left w:val="nil"/>
              <w:bottom w:val="nil"/>
              <w:right w:val="nil"/>
              <w:tl2br w:val="nil"/>
              <w:tr2bl w:val="nil"/>
            </w:tcBorders>
            <w:tcMar>
              <w:left w:w="60" w:type="dxa"/>
              <w:right w:w="60" w:type="dxa"/>
            </w:tcMar>
            <w:vAlign w:val="center"/>
          </w:tcPr>
          <w:p w14:paraId="78001D8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14:paraId="377A649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(108)</w:t>
            </w:r>
          </w:p>
        </w:tc>
        <w:tc>
          <w:tcPr>
            <w:tcW w:w="1958" w:type="dxa"/>
            <w:tcBorders>
              <w:top w:val="nil"/>
              <w:left w:val="nil"/>
              <w:bottom w:val="nil"/>
              <w:right w:val="nil"/>
              <w:tl2br w:val="nil"/>
              <w:tr2bl w:val="nil"/>
            </w:tcBorders>
            <w:tcMar>
              <w:left w:w="60" w:type="dxa"/>
              <w:right w:w="60" w:type="dxa"/>
            </w:tcMar>
            <w:vAlign w:val="center"/>
          </w:tcPr>
          <w:p w14:paraId="6D71E1E0"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318</w:t>
            </w:r>
          </w:p>
        </w:tc>
      </w:tr>
      <w:tr w:rsidR="00807FFE" w14:paraId="2C7BC53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10124C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3ED48B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210BDE4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902" w:type="dxa"/>
            <w:tcBorders>
              <w:top w:val="nil"/>
              <w:left w:val="nil"/>
              <w:bottom w:val="nil"/>
              <w:right w:val="nil"/>
              <w:tl2br w:val="nil"/>
              <w:tr2bl w:val="nil"/>
            </w:tcBorders>
            <w:tcMar>
              <w:left w:w="60" w:type="dxa"/>
              <w:right w:w="60" w:type="dxa"/>
            </w:tcMar>
            <w:vAlign w:val="center"/>
          </w:tcPr>
          <w:p w14:paraId="5F5A903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467" w:type="dxa"/>
            <w:tcBorders>
              <w:top w:val="nil"/>
              <w:left w:val="nil"/>
              <w:bottom w:val="nil"/>
              <w:right w:val="nil"/>
              <w:tl2br w:val="nil"/>
              <w:tr2bl w:val="nil"/>
            </w:tcBorders>
            <w:tcMar>
              <w:left w:w="60" w:type="dxa"/>
              <w:right w:w="60" w:type="dxa"/>
            </w:tcMar>
            <w:vAlign w:val="center"/>
          </w:tcPr>
          <w:p w14:paraId="305CADE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6E88822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958" w:type="dxa"/>
            <w:tcBorders>
              <w:top w:val="nil"/>
              <w:left w:val="nil"/>
              <w:bottom w:val="nil"/>
              <w:right w:val="nil"/>
              <w:tl2br w:val="nil"/>
              <w:tr2bl w:val="nil"/>
            </w:tcBorders>
            <w:tcMar>
              <w:left w:w="60" w:type="dxa"/>
              <w:right w:w="60" w:type="dxa"/>
            </w:tcMar>
            <w:vAlign w:val="center"/>
          </w:tcPr>
          <w:p w14:paraId="05F53EE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42</w:t>
            </w:r>
          </w:p>
        </w:tc>
      </w:tr>
      <w:tr w:rsidR="00807FFE" w14:paraId="39F2752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349B4E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DAD1D2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InvestEU Fund</w:t>
            </w:r>
          </w:p>
        </w:tc>
        <w:tc>
          <w:tcPr>
            <w:tcW w:w="1804" w:type="dxa"/>
            <w:tcBorders>
              <w:top w:val="nil"/>
              <w:left w:val="nil"/>
              <w:bottom w:val="nil"/>
              <w:right w:val="nil"/>
              <w:tl2br w:val="nil"/>
              <w:tr2bl w:val="nil"/>
            </w:tcBorders>
            <w:tcMar>
              <w:left w:w="60" w:type="dxa"/>
              <w:right w:w="60" w:type="dxa"/>
            </w:tcMar>
            <w:vAlign w:val="center"/>
          </w:tcPr>
          <w:p w14:paraId="5543BC2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4 663</w:t>
            </w:r>
          </w:p>
        </w:tc>
        <w:tc>
          <w:tcPr>
            <w:tcW w:w="1902" w:type="dxa"/>
            <w:tcBorders>
              <w:top w:val="nil"/>
              <w:left w:val="nil"/>
              <w:bottom w:val="nil"/>
              <w:right w:val="nil"/>
              <w:tl2br w:val="nil"/>
              <w:tr2bl w:val="nil"/>
            </w:tcBorders>
            <w:tcMar>
              <w:left w:w="60" w:type="dxa"/>
              <w:right w:w="60" w:type="dxa"/>
            </w:tcMar>
            <w:vAlign w:val="center"/>
          </w:tcPr>
          <w:p w14:paraId="2296085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1 221</w:t>
            </w:r>
          </w:p>
        </w:tc>
        <w:tc>
          <w:tcPr>
            <w:tcW w:w="1467" w:type="dxa"/>
            <w:tcBorders>
              <w:top w:val="nil"/>
              <w:left w:val="nil"/>
              <w:bottom w:val="nil"/>
              <w:right w:val="nil"/>
              <w:tl2br w:val="nil"/>
              <w:tr2bl w:val="nil"/>
            </w:tcBorders>
            <w:tcMar>
              <w:left w:w="60" w:type="dxa"/>
              <w:right w:w="60" w:type="dxa"/>
            </w:tcMar>
            <w:vAlign w:val="center"/>
          </w:tcPr>
          <w:p w14:paraId="70CB128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2141" w:type="dxa"/>
            <w:tcBorders>
              <w:top w:val="nil"/>
              <w:left w:val="nil"/>
              <w:bottom w:val="nil"/>
              <w:right w:val="nil"/>
              <w:tl2br w:val="nil"/>
              <w:tr2bl w:val="nil"/>
            </w:tcBorders>
            <w:tcMar>
              <w:left w:w="60" w:type="dxa"/>
              <w:right w:w="60" w:type="dxa"/>
            </w:tcMar>
            <w:vAlign w:val="center"/>
          </w:tcPr>
          <w:p w14:paraId="39938B5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(2 397)</w:t>
            </w:r>
          </w:p>
        </w:tc>
        <w:tc>
          <w:tcPr>
            <w:tcW w:w="1958" w:type="dxa"/>
            <w:tcBorders>
              <w:top w:val="nil"/>
              <w:left w:val="nil"/>
              <w:bottom w:val="nil"/>
              <w:right w:val="nil"/>
              <w:tl2br w:val="nil"/>
              <w:tr2bl w:val="nil"/>
            </w:tcBorders>
            <w:tcMar>
              <w:left w:w="60" w:type="dxa"/>
              <w:right w:w="60" w:type="dxa"/>
            </w:tcMar>
            <w:vAlign w:val="center"/>
          </w:tcPr>
          <w:p w14:paraId="6C55FDB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3 471</w:t>
            </w:r>
          </w:p>
        </w:tc>
      </w:tr>
      <w:tr w:rsidR="00807FFE" w14:paraId="09C7693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5840FF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6661BB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Connecting Europe Facility (CEF) - Transport</w:t>
            </w:r>
          </w:p>
        </w:tc>
        <w:tc>
          <w:tcPr>
            <w:tcW w:w="1804" w:type="dxa"/>
            <w:tcBorders>
              <w:top w:val="nil"/>
              <w:left w:val="nil"/>
              <w:bottom w:val="nil"/>
              <w:right w:val="nil"/>
              <w:tl2br w:val="nil"/>
              <w:tr2bl w:val="nil"/>
            </w:tcBorders>
            <w:tcMar>
              <w:left w:w="60" w:type="dxa"/>
              <w:right w:w="60" w:type="dxa"/>
            </w:tcMar>
            <w:vAlign w:val="center"/>
          </w:tcPr>
          <w:p w14:paraId="2641841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6 089</w:t>
            </w:r>
          </w:p>
        </w:tc>
        <w:tc>
          <w:tcPr>
            <w:tcW w:w="1902" w:type="dxa"/>
            <w:tcBorders>
              <w:top w:val="nil"/>
              <w:left w:val="nil"/>
              <w:bottom w:val="nil"/>
              <w:right w:val="nil"/>
              <w:tl2br w:val="nil"/>
              <w:tr2bl w:val="nil"/>
            </w:tcBorders>
            <w:tcMar>
              <w:left w:w="60" w:type="dxa"/>
              <w:right w:w="60" w:type="dxa"/>
            </w:tcMar>
            <w:vAlign w:val="center"/>
          </w:tcPr>
          <w:p w14:paraId="3A75F71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1 701</w:t>
            </w:r>
          </w:p>
        </w:tc>
        <w:tc>
          <w:tcPr>
            <w:tcW w:w="1467" w:type="dxa"/>
            <w:tcBorders>
              <w:top w:val="nil"/>
              <w:left w:val="nil"/>
              <w:bottom w:val="nil"/>
              <w:right w:val="nil"/>
              <w:tl2br w:val="nil"/>
              <w:tr2bl w:val="nil"/>
            </w:tcBorders>
            <w:tcMar>
              <w:left w:w="60" w:type="dxa"/>
              <w:right w:w="60" w:type="dxa"/>
            </w:tcMar>
            <w:vAlign w:val="center"/>
          </w:tcPr>
          <w:p w14:paraId="5A95342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(157)</w:t>
            </w:r>
          </w:p>
        </w:tc>
        <w:tc>
          <w:tcPr>
            <w:tcW w:w="2141" w:type="dxa"/>
            <w:tcBorders>
              <w:top w:val="nil"/>
              <w:left w:val="nil"/>
              <w:bottom w:val="nil"/>
              <w:right w:val="nil"/>
              <w:tl2br w:val="nil"/>
              <w:tr2bl w:val="nil"/>
            </w:tcBorders>
            <w:tcMar>
              <w:left w:w="60" w:type="dxa"/>
              <w:right w:w="60" w:type="dxa"/>
            </w:tcMar>
            <w:vAlign w:val="center"/>
          </w:tcPr>
          <w:p w14:paraId="28FE8D3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(2 413)</w:t>
            </w:r>
          </w:p>
        </w:tc>
        <w:tc>
          <w:tcPr>
            <w:tcW w:w="1958" w:type="dxa"/>
            <w:tcBorders>
              <w:top w:val="nil"/>
              <w:left w:val="nil"/>
              <w:bottom w:val="nil"/>
              <w:right w:val="nil"/>
              <w:tl2br w:val="nil"/>
              <w:tr2bl w:val="nil"/>
            </w:tcBorders>
            <w:tcMar>
              <w:left w:w="60" w:type="dxa"/>
              <w:right w:w="60" w:type="dxa"/>
            </w:tcMar>
            <w:vAlign w:val="center"/>
          </w:tcPr>
          <w:p w14:paraId="487D4B88"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5 220</w:t>
            </w:r>
          </w:p>
        </w:tc>
      </w:tr>
      <w:tr w:rsidR="00807FFE" w14:paraId="70CBE14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21D11E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0452628"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Connecting Europe Facility (CEF) - Energy</w:t>
            </w:r>
          </w:p>
        </w:tc>
        <w:tc>
          <w:tcPr>
            <w:tcW w:w="1804" w:type="dxa"/>
            <w:tcBorders>
              <w:top w:val="nil"/>
              <w:left w:val="nil"/>
              <w:bottom w:val="nil"/>
              <w:right w:val="nil"/>
              <w:tl2br w:val="nil"/>
              <w:tr2bl w:val="nil"/>
            </w:tcBorders>
            <w:tcMar>
              <w:left w:w="60" w:type="dxa"/>
              <w:right w:w="60" w:type="dxa"/>
            </w:tcMar>
            <w:vAlign w:val="center"/>
          </w:tcPr>
          <w:p w14:paraId="27D5B8C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3 934</w:t>
            </w:r>
          </w:p>
        </w:tc>
        <w:tc>
          <w:tcPr>
            <w:tcW w:w="1902" w:type="dxa"/>
            <w:tcBorders>
              <w:top w:val="nil"/>
              <w:left w:val="nil"/>
              <w:bottom w:val="nil"/>
              <w:right w:val="nil"/>
              <w:tl2br w:val="nil"/>
              <w:tr2bl w:val="nil"/>
            </w:tcBorders>
            <w:tcMar>
              <w:left w:w="60" w:type="dxa"/>
              <w:right w:w="60" w:type="dxa"/>
            </w:tcMar>
            <w:vAlign w:val="center"/>
          </w:tcPr>
          <w:p w14:paraId="4D1F7C7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926</w:t>
            </w:r>
          </w:p>
        </w:tc>
        <w:tc>
          <w:tcPr>
            <w:tcW w:w="1467" w:type="dxa"/>
            <w:tcBorders>
              <w:top w:val="nil"/>
              <w:left w:val="nil"/>
              <w:bottom w:val="nil"/>
              <w:right w:val="nil"/>
              <w:tl2br w:val="nil"/>
              <w:tr2bl w:val="nil"/>
            </w:tcBorders>
            <w:tcMar>
              <w:left w:w="60" w:type="dxa"/>
              <w:right w:w="60" w:type="dxa"/>
            </w:tcMar>
            <w:vAlign w:val="center"/>
          </w:tcPr>
          <w:p w14:paraId="4BF5F17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2141" w:type="dxa"/>
            <w:tcBorders>
              <w:top w:val="nil"/>
              <w:left w:val="nil"/>
              <w:bottom w:val="nil"/>
              <w:right w:val="nil"/>
              <w:tl2br w:val="nil"/>
              <w:tr2bl w:val="nil"/>
            </w:tcBorders>
            <w:tcMar>
              <w:left w:w="60" w:type="dxa"/>
              <w:right w:w="60" w:type="dxa"/>
            </w:tcMar>
            <w:vAlign w:val="center"/>
          </w:tcPr>
          <w:p w14:paraId="353C2F3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(736)</w:t>
            </w:r>
          </w:p>
        </w:tc>
        <w:tc>
          <w:tcPr>
            <w:tcW w:w="1958" w:type="dxa"/>
            <w:tcBorders>
              <w:top w:val="nil"/>
              <w:left w:val="nil"/>
              <w:bottom w:val="nil"/>
              <w:right w:val="nil"/>
              <w:tl2br w:val="nil"/>
              <w:tr2bl w:val="nil"/>
            </w:tcBorders>
            <w:tcMar>
              <w:left w:w="60" w:type="dxa"/>
              <w:right w:w="60" w:type="dxa"/>
            </w:tcMar>
            <w:vAlign w:val="center"/>
          </w:tcPr>
          <w:p w14:paraId="60ECA03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4 089</w:t>
            </w:r>
          </w:p>
        </w:tc>
      </w:tr>
      <w:tr w:rsidR="00807FFE" w14:paraId="6FCA95A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88F606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F730F7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Connecting Europe Facility (CEF) - Digital</w:t>
            </w:r>
          </w:p>
        </w:tc>
        <w:tc>
          <w:tcPr>
            <w:tcW w:w="1804" w:type="dxa"/>
            <w:tcBorders>
              <w:top w:val="nil"/>
              <w:left w:val="nil"/>
              <w:bottom w:val="nil"/>
              <w:right w:val="nil"/>
              <w:tl2br w:val="nil"/>
              <w:tr2bl w:val="nil"/>
            </w:tcBorders>
            <w:tcMar>
              <w:left w:w="60" w:type="dxa"/>
              <w:right w:w="60" w:type="dxa"/>
            </w:tcMar>
            <w:vAlign w:val="center"/>
          </w:tcPr>
          <w:p w14:paraId="4C240D5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556</w:t>
            </w:r>
          </w:p>
        </w:tc>
        <w:tc>
          <w:tcPr>
            <w:tcW w:w="1902" w:type="dxa"/>
            <w:tcBorders>
              <w:top w:val="nil"/>
              <w:left w:val="nil"/>
              <w:bottom w:val="nil"/>
              <w:right w:val="nil"/>
              <w:tl2br w:val="nil"/>
              <w:tr2bl w:val="nil"/>
            </w:tcBorders>
            <w:tcMar>
              <w:left w:w="60" w:type="dxa"/>
              <w:right w:w="60" w:type="dxa"/>
            </w:tcMar>
            <w:vAlign w:val="center"/>
          </w:tcPr>
          <w:p w14:paraId="1E215BD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229</w:t>
            </w:r>
          </w:p>
        </w:tc>
        <w:tc>
          <w:tcPr>
            <w:tcW w:w="1467" w:type="dxa"/>
            <w:tcBorders>
              <w:top w:val="nil"/>
              <w:left w:val="nil"/>
              <w:bottom w:val="nil"/>
              <w:right w:val="nil"/>
              <w:tl2br w:val="nil"/>
              <w:tr2bl w:val="nil"/>
            </w:tcBorders>
            <w:tcMar>
              <w:left w:w="60" w:type="dxa"/>
              <w:right w:w="60" w:type="dxa"/>
            </w:tcMar>
            <w:vAlign w:val="center"/>
          </w:tcPr>
          <w:p w14:paraId="00CC08C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2E79F92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(175)</w:t>
            </w:r>
          </w:p>
        </w:tc>
        <w:tc>
          <w:tcPr>
            <w:tcW w:w="1958" w:type="dxa"/>
            <w:tcBorders>
              <w:top w:val="nil"/>
              <w:left w:val="nil"/>
              <w:bottom w:val="nil"/>
              <w:right w:val="nil"/>
              <w:tl2br w:val="nil"/>
              <w:tr2bl w:val="nil"/>
            </w:tcBorders>
            <w:tcMar>
              <w:left w:w="60" w:type="dxa"/>
              <w:right w:w="60" w:type="dxa"/>
            </w:tcMar>
            <w:vAlign w:val="center"/>
          </w:tcPr>
          <w:p w14:paraId="18577FB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610</w:t>
            </w:r>
          </w:p>
        </w:tc>
      </w:tr>
      <w:tr w:rsidR="00807FFE" w14:paraId="5D38796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9DD3DB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796781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Digital Europe Programme</w:t>
            </w:r>
          </w:p>
        </w:tc>
        <w:tc>
          <w:tcPr>
            <w:tcW w:w="1804" w:type="dxa"/>
            <w:tcBorders>
              <w:top w:val="nil"/>
              <w:left w:val="nil"/>
              <w:bottom w:val="nil"/>
              <w:right w:val="nil"/>
              <w:tl2br w:val="nil"/>
              <w:tr2bl w:val="nil"/>
            </w:tcBorders>
            <w:tcMar>
              <w:left w:w="60" w:type="dxa"/>
              <w:right w:w="60" w:type="dxa"/>
            </w:tcMar>
            <w:vAlign w:val="center"/>
          </w:tcPr>
          <w:p w14:paraId="728AE56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2 351</w:t>
            </w:r>
          </w:p>
        </w:tc>
        <w:tc>
          <w:tcPr>
            <w:tcW w:w="1902" w:type="dxa"/>
            <w:tcBorders>
              <w:top w:val="nil"/>
              <w:left w:val="nil"/>
              <w:bottom w:val="nil"/>
              <w:right w:val="nil"/>
              <w:tl2br w:val="nil"/>
              <w:tr2bl w:val="nil"/>
            </w:tcBorders>
            <w:tcMar>
              <w:left w:w="60" w:type="dxa"/>
              <w:right w:w="60" w:type="dxa"/>
            </w:tcMar>
            <w:vAlign w:val="center"/>
          </w:tcPr>
          <w:p w14:paraId="559047D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1 137</w:t>
            </w:r>
          </w:p>
        </w:tc>
        <w:tc>
          <w:tcPr>
            <w:tcW w:w="1467" w:type="dxa"/>
            <w:tcBorders>
              <w:top w:val="nil"/>
              <w:left w:val="nil"/>
              <w:bottom w:val="nil"/>
              <w:right w:val="nil"/>
              <w:tl2br w:val="nil"/>
              <w:tr2bl w:val="nil"/>
            </w:tcBorders>
            <w:tcMar>
              <w:left w:w="60" w:type="dxa"/>
              <w:right w:w="60" w:type="dxa"/>
            </w:tcMar>
            <w:vAlign w:val="center"/>
          </w:tcPr>
          <w:p w14:paraId="1B21A4D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74BE288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(1 083)</w:t>
            </w:r>
          </w:p>
        </w:tc>
        <w:tc>
          <w:tcPr>
            <w:tcW w:w="1958" w:type="dxa"/>
            <w:tcBorders>
              <w:top w:val="nil"/>
              <w:left w:val="nil"/>
              <w:bottom w:val="nil"/>
              <w:right w:val="nil"/>
              <w:tl2br w:val="nil"/>
              <w:tr2bl w:val="nil"/>
            </w:tcBorders>
            <w:tcMar>
              <w:left w:w="60" w:type="dxa"/>
              <w:right w:w="60" w:type="dxa"/>
            </w:tcMar>
            <w:vAlign w:val="center"/>
          </w:tcPr>
          <w:p w14:paraId="3E26452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2 405</w:t>
            </w:r>
          </w:p>
        </w:tc>
      </w:tr>
      <w:tr w:rsidR="00807FFE" w14:paraId="4798F89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A957A9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38DED52"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66D6282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1902" w:type="dxa"/>
            <w:tcBorders>
              <w:top w:val="nil"/>
              <w:left w:val="nil"/>
              <w:bottom w:val="nil"/>
              <w:right w:val="nil"/>
              <w:tl2br w:val="nil"/>
              <w:tr2bl w:val="nil"/>
            </w:tcBorders>
            <w:tcMar>
              <w:left w:w="60" w:type="dxa"/>
              <w:right w:w="60" w:type="dxa"/>
            </w:tcMar>
            <w:vAlign w:val="center"/>
          </w:tcPr>
          <w:p w14:paraId="40D0017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237</w:t>
            </w:r>
          </w:p>
        </w:tc>
        <w:tc>
          <w:tcPr>
            <w:tcW w:w="1467" w:type="dxa"/>
            <w:tcBorders>
              <w:top w:val="nil"/>
              <w:left w:val="nil"/>
              <w:bottom w:val="nil"/>
              <w:right w:val="nil"/>
              <w:tl2br w:val="nil"/>
              <w:tr2bl w:val="nil"/>
            </w:tcBorders>
            <w:tcMar>
              <w:left w:w="60" w:type="dxa"/>
              <w:right w:w="60" w:type="dxa"/>
            </w:tcMar>
            <w:vAlign w:val="center"/>
          </w:tcPr>
          <w:p w14:paraId="06D5182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380BAB6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(237)</w:t>
            </w:r>
          </w:p>
        </w:tc>
        <w:tc>
          <w:tcPr>
            <w:tcW w:w="1958" w:type="dxa"/>
            <w:tcBorders>
              <w:top w:val="nil"/>
              <w:left w:val="nil"/>
              <w:bottom w:val="nil"/>
              <w:right w:val="nil"/>
              <w:tl2br w:val="nil"/>
              <w:tr2bl w:val="nil"/>
            </w:tcBorders>
            <w:tcMar>
              <w:left w:w="60" w:type="dxa"/>
              <w:right w:w="60" w:type="dxa"/>
            </w:tcMar>
            <w:vAlign w:val="center"/>
          </w:tcPr>
          <w:p w14:paraId="32BAE968"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36</w:t>
            </w:r>
          </w:p>
        </w:tc>
      </w:tr>
      <w:tr w:rsidR="00807FFE" w14:paraId="03D42AF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285D9C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4016D9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Other actions</w:t>
            </w:r>
          </w:p>
        </w:tc>
        <w:tc>
          <w:tcPr>
            <w:tcW w:w="1804" w:type="dxa"/>
            <w:tcBorders>
              <w:top w:val="nil"/>
              <w:left w:val="nil"/>
              <w:bottom w:val="nil"/>
              <w:right w:val="nil"/>
              <w:tl2br w:val="nil"/>
              <w:tr2bl w:val="nil"/>
            </w:tcBorders>
            <w:tcMar>
              <w:left w:w="60" w:type="dxa"/>
              <w:right w:w="60" w:type="dxa"/>
            </w:tcMar>
            <w:vAlign w:val="center"/>
          </w:tcPr>
          <w:p w14:paraId="75D6AED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1902" w:type="dxa"/>
            <w:tcBorders>
              <w:top w:val="nil"/>
              <w:left w:val="nil"/>
              <w:bottom w:val="nil"/>
              <w:right w:val="nil"/>
              <w:tl2br w:val="nil"/>
              <w:tr2bl w:val="nil"/>
            </w:tcBorders>
            <w:tcMar>
              <w:left w:w="60" w:type="dxa"/>
              <w:right w:w="60" w:type="dxa"/>
            </w:tcMar>
            <w:vAlign w:val="center"/>
          </w:tcPr>
          <w:p w14:paraId="47FF79A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1467" w:type="dxa"/>
            <w:tcBorders>
              <w:top w:val="nil"/>
              <w:left w:val="nil"/>
              <w:bottom w:val="nil"/>
              <w:right w:val="nil"/>
              <w:tl2br w:val="nil"/>
              <w:tr2bl w:val="nil"/>
            </w:tcBorders>
            <w:tcMar>
              <w:left w:w="60" w:type="dxa"/>
              <w:right w:w="60" w:type="dxa"/>
            </w:tcMar>
            <w:vAlign w:val="center"/>
          </w:tcPr>
          <w:p w14:paraId="2EEAD10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016135A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1958" w:type="dxa"/>
            <w:tcBorders>
              <w:top w:val="nil"/>
              <w:left w:val="nil"/>
              <w:bottom w:val="nil"/>
              <w:right w:val="nil"/>
              <w:tl2br w:val="nil"/>
              <w:tr2bl w:val="nil"/>
            </w:tcBorders>
            <w:tcMar>
              <w:left w:w="60" w:type="dxa"/>
              <w:right w:w="60" w:type="dxa"/>
            </w:tcMar>
            <w:vAlign w:val="center"/>
          </w:tcPr>
          <w:p w14:paraId="0954588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113</w:t>
            </w:r>
          </w:p>
        </w:tc>
      </w:tr>
      <w:tr w:rsidR="00807FFE" w14:paraId="711C4E9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D817D30"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BACA41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5920F6E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902" w:type="dxa"/>
            <w:tcBorders>
              <w:top w:val="nil"/>
              <w:left w:val="nil"/>
              <w:bottom w:val="nil"/>
              <w:right w:val="nil"/>
              <w:tl2br w:val="nil"/>
              <w:tr2bl w:val="nil"/>
            </w:tcBorders>
            <w:tcMar>
              <w:left w:w="60" w:type="dxa"/>
              <w:right w:w="60" w:type="dxa"/>
            </w:tcMar>
            <w:vAlign w:val="center"/>
          </w:tcPr>
          <w:p w14:paraId="60ADCED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14:paraId="06E4174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775D88C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958" w:type="dxa"/>
            <w:tcBorders>
              <w:top w:val="nil"/>
              <w:left w:val="nil"/>
              <w:bottom w:val="nil"/>
              <w:right w:val="nil"/>
              <w:tl2br w:val="nil"/>
              <w:tr2bl w:val="nil"/>
            </w:tcBorders>
            <w:tcMar>
              <w:left w:w="60" w:type="dxa"/>
              <w:right w:w="60" w:type="dxa"/>
            </w:tcMar>
            <w:vAlign w:val="center"/>
          </w:tcPr>
          <w:p w14:paraId="5A545A6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22</w:t>
            </w:r>
          </w:p>
        </w:tc>
      </w:tr>
      <w:tr w:rsidR="00807FFE" w14:paraId="0F4BCB0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6010E9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19A89C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1804" w:type="dxa"/>
            <w:tcBorders>
              <w:top w:val="nil"/>
              <w:left w:val="nil"/>
              <w:bottom w:val="nil"/>
              <w:right w:val="nil"/>
              <w:tl2br w:val="nil"/>
              <w:tr2bl w:val="nil"/>
            </w:tcBorders>
            <w:tcMar>
              <w:left w:w="60" w:type="dxa"/>
              <w:right w:w="60" w:type="dxa"/>
            </w:tcMar>
            <w:vAlign w:val="center"/>
          </w:tcPr>
          <w:p w14:paraId="30A3A07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1902" w:type="dxa"/>
            <w:tcBorders>
              <w:top w:val="nil"/>
              <w:left w:val="nil"/>
              <w:bottom w:val="nil"/>
              <w:right w:val="nil"/>
              <w:tl2br w:val="nil"/>
              <w:tr2bl w:val="nil"/>
            </w:tcBorders>
            <w:tcMar>
              <w:left w:w="60" w:type="dxa"/>
              <w:right w:w="60" w:type="dxa"/>
            </w:tcMar>
            <w:vAlign w:val="center"/>
          </w:tcPr>
          <w:p w14:paraId="104F7F3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1467" w:type="dxa"/>
            <w:tcBorders>
              <w:top w:val="nil"/>
              <w:left w:val="nil"/>
              <w:bottom w:val="nil"/>
              <w:right w:val="nil"/>
              <w:tl2br w:val="nil"/>
              <w:tr2bl w:val="nil"/>
            </w:tcBorders>
            <w:tcMar>
              <w:left w:w="60" w:type="dxa"/>
              <w:right w:w="60" w:type="dxa"/>
            </w:tcMar>
            <w:vAlign w:val="center"/>
          </w:tcPr>
          <w:p w14:paraId="54CF811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7977C9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1958" w:type="dxa"/>
            <w:tcBorders>
              <w:top w:val="nil"/>
              <w:left w:val="nil"/>
              <w:bottom w:val="nil"/>
              <w:right w:val="nil"/>
              <w:tl2br w:val="nil"/>
              <w:tr2bl w:val="nil"/>
            </w:tcBorders>
            <w:tcMar>
              <w:left w:w="60" w:type="dxa"/>
              <w:right w:w="60" w:type="dxa"/>
            </w:tcMar>
            <w:vAlign w:val="center"/>
          </w:tcPr>
          <w:p w14:paraId="49925EC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35</w:t>
            </w:r>
          </w:p>
        </w:tc>
      </w:tr>
      <w:tr w:rsidR="00807FFE" w14:paraId="7EB8781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9B94667"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3CEBC5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Single Market Programme (incl. SMEs)</w:t>
            </w:r>
          </w:p>
        </w:tc>
        <w:tc>
          <w:tcPr>
            <w:tcW w:w="1804" w:type="dxa"/>
            <w:tcBorders>
              <w:top w:val="nil"/>
              <w:left w:val="nil"/>
              <w:bottom w:val="nil"/>
              <w:right w:val="nil"/>
              <w:tl2br w:val="nil"/>
              <w:tr2bl w:val="nil"/>
            </w:tcBorders>
            <w:tcMar>
              <w:left w:w="60" w:type="dxa"/>
              <w:right w:w="60" w:type="dxa"/>
            </w:tcMar>
            <w:vAlign w:val="center"/>
          </w:tcPr>
          <w:p w14:paraId="2D1CA7D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914</w:t>
            </w:r>
          </w:p>
        </w:tc>
        <w:tc>
          <w:tcPr>
            <w:tcW w:w="1902" w:type="dxa"/>
            <w:tcBorders>
              <w:top w:val="nil"/>
              <w:left w:val="nil"/>
              <w:bottom w:val="nil"/>
              <w:right w:val="nil"/>
              <w:tl2br w:val="nil"/>
              <w:tr2bl w:val="nil"/>
            </w:tcBorders>
            <w:tcMar>
              <w:left w:w="60" w:type="dxa"/>
              <w:right w:w="60" w:type="dxa"/>
            </w:tcMar>
            <w:vAlign w:val="center"/>
          </w:tcPr>
          <w:p w14:paraId="3F604A4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647</w:t>
            </w:r>
          </w:p>
        </w:tc>
        <w:tc>
          <w:tcPr>
            <w:tcW w:w="1467" w:type="dxa"/>
            <w:tcBorders>
              <w:top w:val="nil"/>
              <w:left w:val="nil"/>
              <w:bottom w:val="nil"/>
              <w:right w:val="nil"/>
              <w:tl2br w:val="nil"/>
              <w:tr2bl w:val="nil"/>
            </w:tcBorders>
            <w:tcMar>
              <w:left w:w="60" w:type="dxa"/>
              <w:right w:w="60" w:type="dxa"/>
            </w:tcMar>
            <w:vAlign w:val="center"/>
          </w:tcPr>
          <w:p w14:paraId="6C0DADA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2141" w:type="dxa"/>
            <w:tcBorders>
              <w:top w:val="nil"/>
              <w:left w:val="nil"/>
              <w:bottom w:val="nil"/>
              <w:right w:val="nil"/>
              <w:tl2br w:val="nil"/>
              <w:tr2bl w:val="nil"/>
            </w:tcBorders>
            <w:tcMar>
              <w:left w:w="60" w:type="dxa"/>
              <w:right w:w="60" w:type="dxa"/>
            </w:tcMar>
            <w:vAlign w:val="center"/>
          </w:tcPr>
          <w:p w14:paraId="63CCAEA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(724)</w:t>
            </w:r>
          </w:p>
        </w:tc>
        <w:tc>
          <w:tcPr>
            <w:tcW w:w="1958" w:type="dxa"/>
            <w:tcBorders>
              <w:top w:val="nil"/>
              <w:left w:val="nil"/>
              <w:bottom w:val="nil"/>
              <w:right w:val="nil"/>
              <w:tl2br w:val="nil"/>
              <w:tr2bl w:val="nil"/>
            </w:tcBorders>
            <w:tcMar>
              <w:left w:w="60" w:type="dxa"/>
              <w:right w:w="60" w:type="dxa"/>
            </w:tcMar>
            <w:vAlign w:val="center"/>
          </w:tcPr>
          <w:p w14:paraId="3E55DAD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829</w:t>
            </w:r>
          </w:p>
        </w:tc>
      </w:tr>
      <w:tr w:rsidR="00807FFE" w14:paraId="66B2EFE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5E2EC7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D970F7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 Anti-Fraud Programme</w:t>
            </w:r>
          </w:p>
        </w:tc>
        <w:tc>
          <w:tcPr>
            <w:tcW w:w="1804" w:type="dxa"/>
            <w:tcBorders>
              <w:top w:val="nil"/>
              <w:left w:val="nil"/>
              <w:bottom w:val="nil"/>
              <w:right w:val="nil"/>
              <w:tl2br w:val="nil"/>
              <w:tr2bl w:val="nil"/>
            </w:tcBorders>
            <w:tcMar>
              <w:left w:w="60" w:type="dxa"/>
              <w:right w:w="60" w:type="dxa"/>
            </w:tcMar>
            <w:vAlign w:val="center"/>
          </w:tcPr>
          <w:p w14:paraId="5739077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1902" w:type="dxa"/>
            <w:tcBorders>
              <w:top w:val="nil"/>
              <w:left w:val="nil"/>
              <w:bottom w:val="nil"/>
              <w:right w:val="nil"/>
              <w:tl2br w:val="nil"/>
              <w:tr2bl w:val="nil"/>
            </w:tcBorders>
            <w:tcMar>
              <w:left w:w="60" w:type="dxa"/>
              <w:right w:w="60" w:type="dxa"/>
            </w:tcMar>
            <w:vAlign w:val="center"/>
          </w:tcPr>
          <w:p w14:paraId="41E06C1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1467" w:type="dxa"/>
            <w:tcBorders>
              <w:top w:val="nil"/>
              <w:left w:val="nil"/>
              <w:bottom w:val="nil"/>
              <w:right w:val="nil"/>
              <w:tl2br w:val="nil"/>
              <w:tr2bl w:val="nil"/>
            </w:tcBorders>
            <w:tcMar>
              <w:left w:w="60" w:type="dxa"/>
              <w:right w:w="60" w:type="dxa"/>
            </w:tcMar>
            <w:vAlign w:val="center"/>
          </w:tcPr>
          <w:p w14:paraId="59A0BFD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2141" w:type="dxa"/>
            <w:tcBorders>
              <w:top w:val="nil"/>
              <w:left w:val="nil"/>
              <w:bottom w:val="nil"/>
              <w:right w:val="nil"/>
              <w:tl2br w:val="nil"/>
              <w:tr2bl w:val="nil"/>
            </w:tcBorders>
            <w:tcMar>
              <w:left w:w="60" w:type="dxa"/>
              <w:right w:w="60" w:type="dxa"/>
            </w:tcMar>
            <w:vAlign w:val="center"/>
          </w:tcPr>
          <w:p w14:paraId="06EBBDF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14:paraId="1CE3B567"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36</w:t>
            </w:r>
          </w:p>
        </w:tc>
      </w:tr>
      <w:tr w:rsidR="00807FFE" w14:paraId="7389095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9A9852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766BB2D"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Cooperation in the field of taxation (Fiscalis)</w:t>
            </w:r>
          </w:p>
        </w:tc>
        <w:tc>
          <w:tcPr>
            <w:tcW w:w="1804" w:type="dxa"/>
            <w:tcBorders>
              <w:top w:val="nil"/>
              <w:left w:val="nil"/>
              <w:bottom w:val="nil"/>
              <w:right w:val="nil"/>
              <w:tl2br w:val="nil"/>
              <w:tr2bl w:val="nil"/>
            </w:tcBorders>
            <w:tcMar>
              <w:left w:w="60" w:type="dxa"/>
              <w:right w:w="60" w:type="dxa"/>
            </w:tcMar>
            <w:vAlign w:val="center"/>
          </w:tcPr>
          <w:p w14:paraId="3B27B79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1902" w:type="dxa"/>
            <w:tcBorders>
              <w:top w:val="nil"/>
              <w:left w:val="nil"/>
              <w:bottom w:val="nil"/>
              <w:right w:val="nil"/>
              <w:tl2br w:val="nil"/>
              <w:tr2bl w:val="nil"/>
            </w:tcBorders>
            <w:tcMar>
              <w:left w:w="60" w:type="dxa"/>
              <w:right w:w="60" w:type="dxa"/>
            </w:tcMar>
            <w:vAlign w:val="center"/>
          </w:tcPr>
          <w:p w14:paraId="7DBAFAA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1467" w:type="dxa"/>
            <w:tcBorders>
              <w:top w:val="nil"/>
              <w:left w:val="nil"/>
              <w:bottom w:val="nil"/>
              <w:right w:val="nil"/>
              <w:tl2br w:val="nil"/>
              <w:tr2bl w:val="nil"/>
            </w:tcBorders>
            <w:tcMar>
              <w:left w:w="60" w:type="dxa"/>
              <w:right w:w="60" w:type="dxa"/>
            </w:tcMar>
            <w:vAlign w:val="center"/>
          </w:tcPr>
          <w:p w14:paraId="092E36C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4CF92C6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1958" w:type="dxa"/>
            <w:tcBorders>
              <w:top w:val="nil"/>
              <w:left w:val="nil"/>
              <w:bottom w:val="nil"/>
              <w:right w:val="nil"/>
              <w:tl2br w:val="nil"/>
              <w:tr2bl w:val="nil"/>
            </w:tcBorders>
            <w:tcMar>
              <w:left w:w="60" w:type="dxa"/>
              <w:right w:w="60" w:type="dxa"/>
            </w:tcMar>
            <w:vAlign w:val="center"/>
          </w:tcPr>
          <w:p w14:paraId="0E29C576"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2AE4067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B39629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38930D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Cooperation in the field of customs (Customs)</w:t>
            </w:r>
          </w:p>
        </w:tc>
        <w:tc>
          <w:tcPr>
            <w:tcW w:w="1804" w:type="dxa"/>
            <w:tcBorders>
              <w:top w:val="nil"/>
              <w:left w:val="nil"/>
              <w:bottom w:val="nil"/>
              <w:right w:val="nil"/>
              <w:tl2br w:val="nil"/>
              <w:tr2bl w:val="nil"/>
            </w:tcBorders>
            <w:tcMar>
              <w:left w:w="60" w:type="dxa"/>
              <w:right w:w="60" w:type="dxa"/>
            </w:tcMar>
            <w:vAlign w:val="center"/>
          </w:tcPr>
          <w:p w14:paraId="1122D80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148</w:t>
            </w:r>
          </w:p>
        </w:tc>
        <w:tc>
          <w:tcPr>
            <w:tcW w:w="1902" w:type="dxa"/>
            <w:tcBorders>
              <w:top w:val="nil"/>
              <w:left w:val="nil"/>
              <w:bottom w:val="nil"/>
              <w:right w:val="nil"/>
              <w:tl2br w:val="nil"/>
              <w:tr2bl w:val="nil"/>
            </w:tcBorders>
            <w:tcMar>
              <w:left w:w="60" w:type="dxa"/>
              <w:right w:w="60" w:type="dxa"/>
            </w:tcMar>
            <w:vAlign w:val="center"/>
          </w:tcPr>
          <w:p w14:paraId="00C597E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200</w:t>
            </w:r>
          </w:p>
        </w:tc>
        <w:tc>
          <w:tcPr>
            <w:tcW w:w="1467" w:type="dxa"/>
            <w:tcBorders>
              <w:top w:val="nil"/>
              <w:left w:val="nil"/>
              <w:bottom w:val="nil"/>
              <w:right w:val="nil"/>
              <w:tl2br w:val="nil"/>
              <w:tr2bl w:val="nil"/>
            </w:tcBorders>
            <w:tcMar>
              <w:left w:w="60" w:type="dxa"/>
              <w:right w:w="60" w:type="dxa"/>
            </w:tcMar>
            <w:vAlign w:val="center"/>
          </w:tcPr>
          <w:p w14:paraId="37611DD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23C3497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(145)</w:t>
            </w:r>
          </w:p>
        </w:tc>
        <w:tc>
          <w:tcPr>
            <w:tcW w:w="1958" w:type="dxa"/>
            <w:tcBorders>
              <w:top w:val="nil"/>
              <w:left w:val="nil"/>
              <w:bottom w:val="nil"/>
              <w:right w:val="nil"/>
              <w:tl2br w:val="nil"/>
              <w:tr2bl w:val="nil"/>
            </w:tcBorders>
            <w:tcMar>
              <w:left w:w="60" w:type="dxa"/>
              <w:right w:w="60" w:type="dxa"/>
            </w:tcMar>
            <w:vAlign w:val="center"/>
          </w:tcPr>
          <w:p w14:paraId="15E5C5DA"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202</w:t>
            </w:r>
          </w:p>
        </w:tc>
      </w:tr>
      <w:tr w:rsidR="00807FFE" w14:paraId="4EBA992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8D843D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BAF75A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4542879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14:paraId="2458EE4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1467" w:type="dxa"/>
            <w:tcBorders>
              <w:top w:val="nil"/>
              <w:left w:val="nil"/>
              <w:bottom w:val="nil"/>
              <w:right w:val="nil"/>
              <w:tl2br w:val="nil"/>
              <w:tr2bl w:val="nil"/>
            </w:tcBorders>
            <w:tcMar>
              <w:left w:w="60" w:type="dxa"/>
              <w:right w:w="60" w:type="dxa"/>
            </w:tcMar>
            <w:vAlign w:val="center"/>
          </w:tcPr>
          <w:p w14:paraId="02BA9AC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4BD15EF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(153)</w:t>
            </w:r>
          </w:p>
        </w:tc>
        <w:tc>
          <w:tcPr>
            <w:tcW w:w="1958" w:type="dxa"/>
            <w:tcBorders>
              <w:top w:val="nil"/>
              <w:left w:val="nil"/>
              <w:bottom w:val="nil"/>
              <w:right w:val="nil"/>
              <w:tl2br w:val="nil"/>
              <w:tr2bl w:val="nil"/>
            </w:tcBorders>
            <w:tcMar>
              <w:left w:w="60" w:type="dxa"/>
              <w:right w:w="60" w:type="dxa"/>
            </w:tcMar>
            <w:vAlign w:val="center"/>
          </w:tcPr>
          <w:p w14:paraId="3A364324"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0B2EFC2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791C47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E2B8AA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Other actions</w:t>
            </w:r>
          </w:p>
        </w:tc>
        <w:tc>
          <w:tcPr>
            <w:tcW w:w="1804" w:type="dxa"/>
            <w:tcBorders>
              <w:top w:val="nil"/>
              <w:left w:val="nil"/>
              <w:bottom w:val="nil"/>
              <w:right w:val="nil"/>
              <w:tl2br w:val="nil"/>
              <w:tr2bl w:val="nil"/>
            </w:tcBorders>
            <w:tcMar>
              <w:left w:w="60" w:type="dxa"/>
              <w:right w:w="60" w:type="dxa"/>
            </w:tcMar>
            <w:vAlign w:val="center"/>
          </w:tcPr>
          <w:p w14:paraId="477439E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902" w:type="dxa"/>
            <w:tcBorders>
              <w:top w:val="nil"/>
              <w:left w:val="nil"/>
              <w:bottom w:val="nil"/>
              <w:right w:val="nil"/>
              <w:tl2br w:val="nil"/>
              <w:tr2bl w:val="nil"/>
            </w:tcBorders>
            <w:tcMar>
              <w:left w:w="60" w:type="dxa"/>
              <w:right w:w="60" w:type="dxa"/>
            </w:tcMar>
            <w:vAlign w:val="center"/>
          </w:tcPr>
          <w:p w14:paraId="50DE6D6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467" w:type="dxa"/>
            <w:tcBorders>
              <w:top w:val="nil"/>
              <w:left w:val="nil"/>
              <w:bottom w:val="nil"/>
              <w:right w:val="nil"/>
              <w:tl2br w:val="nil"/>
              <w:tr2bl w:val="nil"/>
            </w:tcBorders>
            <w:tcMar>
              <w:left w:w="60" w:type="dxa"/>
              <w:right w:w="60" w:type="dxa"/>
            </w:tcMar>
            <w:vAlign w:val="center"/>
          </w:tcPr>
          <w:p w14:paraId="0018908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496DE2D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958" w:type="dxa"/>
            <w:tcBorders>
              <w:top w:val="nil"/>
              <w:left w:val="nil"/>
              <w:bottom w:val="nil"/>
              <w:right w:val="nil"/>
              <w:tl2br w:val="nil"/>
              <w:tr2bl w:val="nil"/>
            </w:tcBorders>
            <w:tcMar>
              <w:left w:w="60" w:type="dxa"/>
              <w:right w:w="60" w:type="dxa"/>
            </w:tcMar>
            <w:vAlign w:val="center"/>
          </w:tcPr>
          <w:p w14:paraId="17A40A61"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7FAB040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48C915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FB01497"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6112ACD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902" w:type="dxa"/>
            <w:tcBorders>
              <w:top w:val="nil"/>
              <w:left w:val="nil"/>
              <w:bottom w:val="nil"/>
              <w:right w:val="nil"/>
              <w:tl2br w:val="nil"/>
              <w:tr2bl w:val="nil"/>
            </w:tcBorders>
            <w:tcMar>
              <w:left w:w="60" w:type="dxa"/>
              <w:right w:w="60" w:type="dxa"/>
            </w:tcMar>
            <w:vAlign w:val="center"/>
          </w:tcPr>
          <w:p w14:paraId="247E631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467" w:type="dxa"/>
            <w:tcBorders>
              <w:top w:val="nil"/>
              <w:left w:val="nil"/>
              <w:bottom w:val="nil"/>
              <w:right w:val="nil"/>
              <w:tl2br w:val="nil"/>
              <w:tr2bl w:val="nil"/>
            </w:tcBorders>
            <w:tcMar>
              <w:left w:w="60" w:type="dxa"/>
              <w:right w:w="60" w:type="dxa"/>
            </w:tcMar>
            <w:vAlign w:val="center"/>
          </w:tcPr>
          <w:p w14:paraId="1FAD3EA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544974D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958" w:type="dxa"/>
            <w:tcBorders>
              <w:top w:val="nil"/>
              <w:left w:val="nil"/>
              <w:bottom w:val="nil"/>
              <w:right w:val="nil"/>
              <w:tl2br w:val="nil"/>
              <w:tr2bl w:val="nil"/>
            </w:tcBorders>
            <w:tcMar>
              <w:left w:w="60" w:type="dxa"/>
              <w:right w:w="60" w:type="dxa"/>
            </w:tcMar>
            <w:vAlign w:val="center"/>
          </w:tcPr>
          <w:p w14:paraId="2113623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27</w:t>
            </w:r>
          </w:p>
        </w:tc>
      </w:tr>
      <w:tr w:rsidR="00807FFE" w14:paraId="23EC404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EC7A2D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BBFFC6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Space Programme</w:t>
            </w:r>
          </w:p>
        </w:tc>
        <w:tc>
          <w:tcPr>
            <w:tcW w:w="1804" w:type="dxa"/>
            <w:tcBorders>
              <w:top w:val="nil"/>
              <w:left w:val="nil"/>
              <w:bottom w:val="nil"/>
              <w:right w:val="nil"/>
              <w:tl2br w:val="nil"/>
              <w:tr2bl w:val="nil"/>
            </w:tcBorders>
            <w:tcMar>
              <w:left w:w="60" w:type="dxa"/>
              <w:right w:w="60" w:type="dxa"/>
            </w:tcMar>
            <w:vAlign w:val="center"/>
          </w:tcPr>
          <w:p w14:paraId="7F421E5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1 483</w:t>
            </w:r>
          </w:p>
        </w:tc>
        <w:tc>
          <w:tcPr>
            <w:tcW w:w="1902" w:type="dxa"/>
            <w:tcBorders>
              <w:top w:val="nil"/>
              <w:left w:val="nil"/>
              <w:bottom w:val="nil"/>
              <w:right w:val="nil"/>
              <w:tl2br w:val="nil"/>
              <w:tr2bl w:val="nil"/>
            </w:tcBorders>
            <w:tcMar>
              <w:left w:w="60" w:type="dxa"/>
              <w:right w:w="60" w:type="dxa"/>
            </w:tcMar>
            <w:vAlign w:val="center"/>
          </w:tcPr>
          <w:p w14:paraId="2693725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2 246</w:t>
            </w:r>
          </w:p>
        </w:tc>
        <w:tc>
          <w:tcPr>
            <w:tcW w:w="1467" w:type="dxa"/>
            <w:tcBorders>
              <w:top w:val="nil"/>
              <w:left w:val="nil"/>
              <w:bottom w:val="nil"/>
              <w:right w:val="nil"/>
              <w:tl2br w:val="nil"/>
              <w:tr2bl w:val="nil"/>
            </w:tcBorders>
            <w:tcMar>
              <w:left w:w="60" w:type="dxa"/>
              <w:right w:w="60" w:type="dxa"/>
            </w:tcMar>
            <w:vAlign w:val="center"/>
          </w:tcPr>
          <w:p w14:paraId="019608A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73D716C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(1 934)</w:t>
            </w:r>
          </w:p>
        </w:tc>
        <w:tc>
          <w:tcPr>
            <w:tcW w:w="1958" w:type="dxa"/>
            <w:tcBorders>
              <w:top w:val="nil"/>
              <w:left w:val="nil"/>
              <w:bottom w:val="nil"/>
              <w:right w:val="nil"/>
              <w:tl2br w:val="nil"/>
              <w:tr2bl w:val="nil"/>
            </w:tcBorders>
            <w:tcMar>
              <w:left w:w="60" w:type="dxa"/>
              <w:right w:w="60" w:type="dxa"/>
            </w:tcMar>
            <w:vAlign w:val="center"/>
          </w:tcPr>
          <w:p w14:paraId="1D92CDC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1 795</w:t>
            </w:r>
          </w:p>
        </w:tc>
      </w:tr>
      <w:tr w:rsidR="00807FFE" w14:paraId="0D5CF2D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96BA5F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1CB907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2972BA0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902" w:type="dxa"/>
            <w:tcBorders>
              <w:top w:val="nil"/>
              <w:left w:val="nil"/>
              <w:bottom w:val="nil"/>
              <w:right w:val="nil"/>
              <w:tl2br w:val="nil"/>
              <w:tr2bl w:val="nil"/>
            </w:tcBorders>
            <w:tcMar>
              <w:left w:w="60" w:type="dxa"/>
              <w:right w:w="60" w:type="dxa"/>
            </w:tcMar>
            <w:vAlign w:val="center"/>
          </w:tcPr>
          <w:p w14:paraId="315704B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1467" w:type="dxa"/>
            <w:tcBorders>
              <w:top w:val="nil"/>
              <w:left w:val="nil"/>
              <w:bottom w:val="nil"/>
              <w:right w:val="nil"/>
              <w:tl2br w:val="nil"/>
              <w:tr2bl w:val="nil"/>
            </w:tcBorders>
            <w:tcMar>
              <w:left w:w="60" w:type="dxa"/>
              <w:right w:w="60" w:type="dxa"/>
            </w:tcMar>
            <w:vAlign w:val="center"/>
          </w:tcPr>
          <w:p w14:paraId="725BE0F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49D1C4A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1958" w:type="dxa"/>
            <w:tcBorders>
              <w:top w:val="nil"/>
              <w:left w:val="nil"/>
              <w:bottom w:val="nil"/>
              <w:right w:val="nil"/>
              <w:tl2br w:val="nil"/>
              <w:tr2bl w:val="nil"/>
            </w:tcBorders>
            <w:tcMar>
              <w:left w:w="60" w:type="dxa"/>
              <w:right w:w="60" w:type="dxa"/>
            </w:tcMar>
            <w:vAlign w:val="center"/>
          </w:tcPr>
          <w:p w14:paraId="0F716C8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w:t>
            </w:r>
          </w:p>
        </w:tc>
      </w:tr>
      <w:tr w:rsidR="00807FFE" w14:paraId="1F20C64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1DD421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03CCB8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1759318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902" w:type="dxa"/>
            <w:tcBorders>
              <w:top w:val="nil"/>
              <w:left w:val="nil"/>
              <w:bottom w:val="nil"/>
              <w:right w:val="nil"/>
              <w:tl2br w:val="nil"/>
              <w:tr2bl w:val="nil"/>
            </w:tcBorders>
            <w:tcMar>
              <w:left w:w="60" w:type="dxa"/>
              <w:right w:w="60" w:type="dxa"/>
            </w:tcMar>
            <w:vAlign w:val="center"/>
          </w:tcPr>
          <w:p w14:paraId="53CE751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1467" w:type="dxa"/>
            <w:tcBorders>
              <w:top w:val="nil"/>
              <w:left w:val="nil"/>
              <w:bottom w:val="nil"/>
              <w:right w:val="nil"/>
              <w:tl2br w:val="nil"/>
              <w:tr2bl w:val="nil"/>
            </w:tcBorders>
            <w:tcMar>
              <w:left w:w="60" w:type="dxa"/>
              <w:right w:w="60" w:type="dxa"/>
            </w:tcMar>
            <w:vAlign w:val="center"/>
          </w:tcPr>
          <w:p w14:paraId="326FCEA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06578C7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958" w:type="dxa"/>
            <w:tcBorders>
              <w:top w:val="nil"/>
              <w:left w:val="nil"/>
              <w:bottom w:val="nil"/>
              <w:right w:val="nil"/>
              <w:tl2br w:val="nil"/>
              <w:tr2bl w:val="nil"/>
            </w:tcBorders>
            <w:tcMar>
              <w:left w:w="60" w:type="dxa"/>
              <w:right w:w="60" w:type="dxa"/>
            </w:tcMar>
            <w:vAlign w:val="center"/>
          </w:tcPr>
          <w:p w14:paraId="67B4D37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56</w:t>
            </w:r>
          </w:p>
        </w:tc>
      </w:tr>
      <w:tr w:rsidR="00807FFE" w14:paraId="1C847FB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7639A6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326A6D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1804" w:type="dxa"/>
            <w:tcBorders>
              <w:top w:val="nil"/>
              <w:left w:val="nil"/>
              <w:bottom w:val="nil"/>
              <w:right w:val="nil"/>
              <w:tl2br w:val="nil"/>
              <w:tr2bl w:val="nil"/>
            </w:tcBorders>
            <w:tcMar>
              <w:left w:w="60" w:type="dxa"/>
              <w:right w:w="60" w:type="dxa"/>
            </w:tcMar>
            <w:vAlign w:val="center"/>
          </w:tcPr>
          <w:p w14:paraId="0CDAC4D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1902" w:type="dxa"/>
            <w:tcBorders>
              <w:top w:val="nil"/>
              <w:left w:val="nil"/>
              <w:bottom w:val="nil"/>
              <w:right w:val="nil"/>
              <w:tl2br w:val="nil"/>
              <w:tr2bl w:val="nil"/>
            </w:tcBorders>
            <w:tcMar>
              <w:left w:w="60" w:type="dxa"/>
              <w:right w:w="60" w:type="dxa"/>
            </w:tcMar>
            <w:vAlign w:val="center"/>
          </w:tcPr>
          <w:p w14:paraId="3FBE644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196</w:t>
            </w:r>
          </w:p>
        </w:tc>
        <w:tc>
          <w:tcPr>
            <w:tcW w:w="1467" w:type="dxa"/>
            <w:tcBorders>
              <w:top w:val="nil"/>
              <w:left w:val="nil"/>
              <w:bottom w:val="nil"/>
              <w:right w:val="nil"/>
              <w:tl2br w:val="nil"/>
              <w:tr2bl w:val="nil"/>
            </w:tcBorders>
            <w:tcMar>
              <w:left w:w="60" w:type="dxa"/>
              <w:right w:w="60" w:type="dxa"/>
            </w:tcMar>
            <w:vAlign w:val="center"/>
          </w:tcPr>
          <w:p w14:paraId="061A523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3AD0A79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1958" w:type="dxa"/>
            <w:tcBorders>
              <w:top w:val="nil"/>
              <w:left w:val="nil"/>
              <w:bottom w:val="nil"/>
              <w:right w:val="nil"/>
              <w:tl2br w:val="nil"/>
              <w:tr2bl w:val="nil"/>
            </w:tcBorders>
            <w:tcMar>
              <w:left w:w="60" w:type="dxa"/>
              <w:right w:w="60" w:type="dxa"/>
            </w:tcMar>
            <w:vAlign w:val="center"/>
          </w:tcPr>
          <w:p w14:paraId="71BA8B7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191</w:t>
            </w:r>
          </w:p>
        </w:tc>
      </w:tr>
      <w:tr w:rsidR="00807FFE" w14:paraId="7A811A32"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2224472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64CA7B6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1: Single Market, Innovation and Digital</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46EE2A1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51 164</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39D27DB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27 095</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5B2EA86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(583)</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27FE809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(24 482)</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6997AAD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53 194</w:t>
            </w:r>
          </w:p>
        </w:tc>
      </w:tr>
      <w:tr w:rsidR="00807FFE" w14:paraId="1126BAF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5D6DD2F"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EF03900" w14:textId="77777777" w:rsidR="00807FFE" w:rsidRDefault="00807FFE">
            <w:pPr>
              <w:pStyle w:val="DMETW36742BIPDetailedMFF4Commitmentsoustanding"/>
              <w:jc w:val="right"/>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40C7A88A"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4699936B"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0CB94F2F"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3C1F7359"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1D98FCCB" w14:textId="77777777" w:rsidR="00807FFE" w:rsidRDefault="00807FFE">
            <w:pPr>
              <w:pStyle w:val="DMETW36742BIPDetailedMFF4Commitmentsoustanding"/>
              <w:rPr>
                <w:rFonts w:ascii="Verdana" w:eastAsia="Verdana" w:hAnsi="Verdana" w:cs="Verdana"/>
                <w:noProof/>
                <w:color w:val="000000"/>
                <w:sz w:val="16"/>
                <w:lang w:bidi="en-GB"/>
              </w:rPr>
            </w:pPr>
          </w:p>
        </w:tc>
      </w:tr>
      <w:tr w:rsidR="00807FFE" w14:paraId="41DA0CD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5DF203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2</w:t>
            </w:r>
          </w:p>
        </w:tc>
        <w:tc>
          <w:tcPr>
            <w:tcW w:w="5076" w:type="dxa"/>
            <w:tcBorders>
              <w:top w:val="nil"/>
              <w:left w:val="nil"/>
              <w:bottom w:val="nil"/>
              <w:right w:val="nil"/>
              <w:tl2br w:val="nil"/>
              <w:tr2bl w:val="nil"/>
            </w:tcBorders>
            <w:tcMar>
              <w:left w:w="60" w:type="dxa"/>
              <w:right w:w="60" w:type="dxa"/>
            </w:tcMar>
            <w:vAlign w:val="center"/>
          </w:tcPr>
          <w:p w14:paraId="2BE3EEA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Regional Development Fund (ERDF)</w:t>
            </w:r>
          </w:p>
        </w:tc>
        <w:tc>
          <w:tcPr>
            <w:tcW w:w="1804" w:type="dxa"/>
            <w:tcBorders>
              <w:top w:val="nil"/>
              <w:left w:val="nil"/>
              <w:bottom w:val="nil"/>
              <w:right w:val="nil"/>
              <w:tl2br w:val="nil"/>
              <w:tr2bl w:val="nil"/>
            </w:tcBorders>
            <w:tcMar>
              <w:left w:w="60" w:type="dxa"/>
              <w:right w:w="60" w:type="dxa"/>
            </w:tcMar>
            <w:vAlign w:val="center"/>
          </w:tcPr>
          <w:p w14:paraId="6247E64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105 188</w:t>
            </w:r>
          </w:p>
        </w:tc>
        <w:tc>
          <w:tcPr>
            <w:tcW w:w="1902" w:type="dxa"/>
            <w:tcBorders>
              <w:top w:val="nil"/>
              <w:left w:val="nil"/>
              <w:bottom w:val="nil"/>
              <w:right w:val="nil"/>
              <w:tl2br w:val="nil"/>
              <w:tr2bl w:val="nil"/>
            </w:tcBorders>
            <w:tcMar>
              <w:left w:w="60" w:type="dxa"/>
              <w:right w:w="60" w:type="dxa"/>
            </w:tcMar>
            <w:vAlign w:val="center"/>
          </w:tcPr>
          <w:p w14:paraId="7B5AB2B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39 940</w:t>
            </w:r>
          </w:p>
        </w:tc>
        <w:tc>
          <w:tcPr>
            <w:tcW w:w="1467" w:type="dxa"/>
            <w:tcBorders>
              <w:top w:val="nil"/>
              <w:left w:val="nil"/>
              <w:bottom w:val="nil"/>
              <w:right w:val="nil"/>
              <w:tl2br w:val="nil"/>
              <w:tr2bl w:val="nil"/>
            </w:tcBorders>
            <w:tcMar>
              <w:left w:w="60" w:type="dxa"/>
              <w:right w:w="60" w:type="dxa"/>
            </w:tcMar>
            <w:vAlign w:val="center"/>
          </w:tcPr>
          <w:p w14:paraId="6187372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2141" w:type="dxa"/>
            <w:tcBorders>
              <w:top w:val="nil"/>
              <w:left w:val="nil"/>
              <w:bottom w:val="nil"/>
              <w:right w:val="nil"/>
              <w:tl2br w:val="nil"/>
              <w:tr2bl w:val="nil"/>
            </w:tcBorders>
            <w:tcMar>
              <w:left w:w="60" w:type="dxa"/>
              <w:right w:w="60" w:type="dxa"/>
            </w:tcMar>
            <w:vAlign w:val="center"/>
          </w:tcPr>
          <w:p w14:paraId="1B5AB14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(22 852)</w:t>
            </w:r>
          </w:p>
        </w:tc>
        <w:tc>
          <w:tcPr>
            <w:tcW w:w="1958" w:type="dxa"/>
            <w:tcBorders>
              <w:top w:val="nil"/>
              <w:left w:val="nil"/>
              <w:bottom w:val="nil"/>
              <w:right w:val="nil"/>
              <w:tl2br w:val="nil"/>
              <w:tr2bl w:val="nil"/>
            </w:tcBorders>
            <w:tcMar>
              <w:left w:w="60" w:type="dxa"/>
              <w:right w:w="60" w:type="dxa"/>
            </w:tcMar>
            <w:vAlign w:val="center"/>
          </w:tcPr>
          <w:p w14:paraId="014EA9F0"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122 222</w:t>
            </w:r>
          </w:p>
        </w:tc>
      </w:tr>
      <w:tr w:rsidR="00807FFE" w14:paraId="4F1CD52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52A835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AFDAEF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Cohesion Fund (CF)</w:t>
            </w:r>
          </w:p>
        </w:tc>
        <w:tc>
          <w:tcPr>
            <w:tcW w:w="1804" w:type="dxa"/>
            <w:tcBorders>
              <w:top w:val="nil"/>
              <w:left w:val="nil"/>
              <w:bottom w:val="nil"/>
              <w:right w:val="nil"/>
              <w:tl2br w:val="nil"/>
              <w:tr2bl w:val="nil"/>
            </w:tcBorders>
            <w:tcMar>
              <w:left w:w="60" w:type="dxa"/>
              <w:right w:w="60" w:type="dxa"/>
            </w:tcMar>
            <w:vAlign w:val="center"/>
          </w:tcPr>
          <w:p w14:paraId="612E3E6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16 048</w:t>
            </w:r>
          </w:p>
        </w:tc>
        <w:tc>
          <w:tcPr>
            <w:tcW w:w="1902" w:type="dxa"/>
            <w:tcBorders>
              <w:top w:val="nil"/>
              <w:left w:val="nil"/>
              <w:bottom w:val="nil"/>
              <w:right w:val="nil"/>
              <w:tl2br w:val="nil"/>
              <w:tr2bl w:val="nil"/>
            </w:tcBorders>
            <w:tcMar>
              <w:left w:w="60" w:type="dxa"/>
              <w:right w:w="60" w:type="dxa"/>
            </w:tcMar>
            <w:vAlign w:val="center"/>
          </w:tcPr>
          <w:p w14:paraId="461DCFB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7 034</w:t>
            </w:r>
          </w:p>
        </w:tc>
        <w:tc>
          <w:tcPr>
            <w:tcW w:w="1467" w:type="dxa"/>
            <w:tcBorders>
              <w:top w:val="nil"/>
              <w:left w:val="nil"/>
              <w:bottom w:val="nil"/>
              <w:right w:val="nil"/>
              <w:tl2br w:val="nil"/>
              <w:tr2bl w:val="nil"/>
            </w:tcBorders>
            <w:tcMar>
              <w:left w:w="60" w:type="dxa"/>
              <w:right w:w="60" w:type="dxa"/>
            </w:tcMar>
            <w:vAlign w:val="center"/>
          </w:tcPr>
          <w:p w14:paraId="00B74DF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1336E17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(5 590)</w:t>
            </w:r>
          </w:p>
        </w:tc>
        <w:tc>
          <w:tcPr>
            <w:tcW w:w="1958" w:type="dxa"/>
            <w:tcBorders>
              <w:top w:val="nil"/>
              <w:left w:val="nil"/>
              <w:bottom w:val="nil"/>
              <w:right w:val="nil"/>
              <w:tl2br w:val="nil"/>
              <w:tr2bl w:val="nil"/>
            </w:tcBorders>
            <w:tcMar>
              <w:left w:w="60" w:type="dxa"/>
              <w:right w:w="60" w:type="dxa"/>
            </w:tcMar>
            <w:vAlign w:val="center"/>
          </w:tcPr>
          <w:p w14:paraId="3B733DF6"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17 491</w:t>
            </w:r>
          </w:p>
        </w:tc>
      </w:tr>
      <w:tr w:rsidR="00807FFE" w14:paraId="7AC21FF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02A25F7"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BFF44A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Cohesion Fund (CF), contribution to the Connecting Europe Facility (CEF) - Transport</w:t>
            </w:r>
          </w:p>
        </w:tc>
        <w:tc>
          <w:tcPr>
            <w:tcW w:w="1804" w:type="dxa"/>
            <w:tcBorders>
              <w:top w:val="nil"/>
              <w:left w:val="nil"/>
              <w:bottom w:val="nil"/>
              <w:right w:val="nil"/>
              <w:tl2br w:val="nil"/>
              <w:tr2bl w:val="nil"/>
            </w:tcBorders>
            <w:tcMar>
              <w:left w:w="60" w:type="dxa"/>
              <w:right w:w="60" w:type="dxa"/>
            </w:tcMar>
            <w:vAlign w:val="center"/>
          </w:tcPr>
          <w:p w14:paraId="5AFA99C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5 402</w:t>
            </w:r>
          </w:p>
        </w:tc>
        <w:tc>
          <w:tcPr>
            <w:tcW w:w="1902" w:type="dxa"/>
            <w:tcBorders>
              <w:top w:val="nil"/>
              <w:left w:val="nil"/>
              <w:bottom w:val="nil"/>
              <w:right w:val="nil"/>
              <w:tl2br w:val="nil"/>
              <w:tr2bl w:val="nil"/>
            </w:tcBorders>
            <w:tcMar>
              <w:left w:w="60" w:type="dxa"/>
              <w:right w:w="60" w:type="dxa"/>
            </w:tcMar>
            <w:vAlign w:val="center"/>
          </w:tcPr>
          <w:p w14:paraId="5AEA6DF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1 677</w:t>
            </w:r>
          </w:p>
        </w:tc>
        <w:tc>
          <w:tcPr>
            <w:tcW w:w="1467" w:type="dxa"/>
            <w:tcBorders>
              <w:top w:val="nil"/>
              <w:left w:val="nil"/>
              <w:bottom w:val="nil"/>
              <w:right w:val="nil"/>
              <w:tl2br w:val="nil"/>
              <w:tr2bl w:val="nil"/>
            </w:tcBorders>
            <w:tcMar>
              <w:left w:w="60" w:type="dxa"/>
              <w:right w:w="60" w:type="dxa"/>
            </w:tcMar>
            <w:vAlign w:val="center"/>
          </w:tcPr>
          <w:p w14:paraId="6E8879A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2141" w:type="dxa"/>
            <w:tcBorders>
              <w:top w:val="nil"/>
              <w:left w:val="nil"/>
              <w:bottom w:val="nil"/>
              <w:right w:val="nil"/>
              <w:tl2br w:val="nil"/>
              <w:tr2bl w:val="nil"/>
            </w:tcBorders>
            <w:tcMar>
              <w:left w:w="60" w:type="dxa"/>
              <w:right w:w="60" w:type="dxa"/>
            </w:tcMar>
            <w:vAlign w:val="center"/>
          </w:tcPr>
          <w:p w14:paraId="04B1253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(1 353)</w:t>
            </w:r>
          </w:p>
        </w:tc>
        <w:tc>
          <w:tcPr>
            <w:tcW w:w="1958" w:type="dxa"/>
            <w:tcBorders>
              <w:top w:val="nil"/>
              <w:left w:val="nil"/>
              <w:bottom w:val="nil"/>
              <w:right w:val="nil"/>
              <w:tl2br w:val="nil"/>
              <w:tr2bl w:val="nil"/>
            </w:tcBorders>
            <w:tcMar>
              <w:left w:w="60" w:type="dxa"/>
              <w:right w:w="60" w:type="dxa"/>
            </w:tcMar>
            <w:vAlign w:val="center"/>
          </w:tcPr>
          <w:p w14:paraId="1AEC6A9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5 700</w:t>
            </w:r>
          </w:p>
        </w:tc>
      </w:tr>
      <w:tr w:rsidR="00807FFE" w14:paraId="086EBB8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451ED6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60E313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7982AA7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902" w:type="dxa"/>
            <w:tcBorders>
              <w:top w:val="nil"/>
              <w:left w:val="nil"/>
              <w:bottom w:val="nil"/>
              <w:right w:val="nil"/>
              <w:tl2br w:val="nil"/>
              <w:tr2bl w:val="nil"/>
            </w:tcBorders>
            <w:tcMar>
              <w:left w:w="60" w:type="dxa"/>
              <w:right w:w="60" w:type="dxa"/>
            </w:tcMar>
            <w:vAlign w:val="center"/>
          </w:tcPr>
          <w:p w14:paraId="24D1E2B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467" w:type="dxa"/>
            <w:tcBorders>
              <w:top w:val="nil"/>
              <w:left w:val="nil"/>
              <w:bottom w:val="nil"/>
              <w:right w:val="nil"/>
              <w:tl2br w:val="nil"/>
              <w:tr2bl w:val="nil"/>
            </w:tcBorders>
            <w:tcMar>
              <w:left w:w="60" w:type="dxa"/>
              <w:right w:w="60" w:type="dxa"/>
            </w:tcMar>
            <w:vAlign w:val="center"/>
          </w:tcPr>
          <w:p w14:paraId="22F3070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6060959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14:paraId="7458A99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w:t>
            </w:r>
          </w:p>
        </w:tc>
      </w:tr>
      <w:tr w:rsidR="00807FFE" w14:paraId="2420131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B1C1FC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0FCD072"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Social Fund Plus (ESF+)</w:t>
            </w:r>
          </w:p>
        </w:tc>
        <w:tc>
          <w:tcPr>
            <w:tcW w:w="1804" w:type="dxa"/>
            <w:tcBorders>
              <w:top w:val="nil"/>
              <w:left w:val="nil"/>
              <w:bottom w:val="nil"/>
              <w:right w:val="nil"/>
              <w:tl2br w:val="nil"/>
              <w:tr2bl w:val="nil"/>
            </w:tcBorders>
            <w:tcMar>
              <w:left w:w="60" w:type="dxa"/>
              <w:right w:w="60" w:type="dxa"/>
            </w:tcMar>
            <w:vAlign w:val="center"/>
          </w:tcPr>
          <w:p w14:paraId="1DD5582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47 528</w:t>
            </w:r>
          </w:p>
        </w:tc>
        <w:tc>
          <w:tcPr>
            <w:tcW w:w="1902" w:type="dxa"/>
            <w:tcBorders>
              <w:top w:val="nil"/>
              <w:left w:val="nil"/>
              <w:bottom w:val="nil"/>
              <w:right w:val="nil"/>
              <w:tl2br w:val="nil"/>
              <w:tr2bl w:val="nil"/>
            </w:tcBorders>
            <w:tcMar>
              <w:left w:w="60" w:type="dxa"/>
              <w:right w:w="60" w:type="dxa"/>
            </w:tcMar>
            <w:vAlign w:val="center"/>
          </w:tcPr>
          <w:p w14:paraId="1CA335C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17 216</w:t>
            </w:r>
          </w:p>
        </w:tc>
        <w:tc>
          <w:tcPr>
            <w:tcW w:w="1467" w:type="dxa"/>
            <w:tcBorders>
              <w:top w:val="nil"/>
              <w:left w:val="nil"/>
              <w:bottom w:val="nil"/>
              <w:right w:val="nil"/>
              <w:tl2br w:val="nil"/>
              <w:tr2bl w:val="nil"/>
            </w:tcBorders>
            <w:tcMar>
              <w:left w:w="60" w:type="dxa"/>
              <w:right w:w="60" w:type="dxa"/>
            </w:tcMar>
            <w:vAlign w:val="center"/>
          </w:tcPr>
          <w:p w14:paraId="3C5388F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14:paraId="6BBAF60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(10 623)</w:t>
            </w:r>
          </w:p>
        </w:tc>
        <w:tc>
          <w:tcPr>
            <w:tcW w:w="1958" w:type="dxa"/>
            <w:tcBorders>
              <w:top w:val="nil"/>
              <w:left w:val="nil"/>
              <w:bottom w:val="nil"/>
              <w:right w:val="nil"/>
              <w:tl2br w:val="nil"/>
              <w:tr2bl w:val="nil"/>
            </w:tcBorders>
            <w:tcMar>
              <w:left w:w="60" w:type="dxa"/>
              <w:right w:w="60" w:type="dxa"/>
            </w:tcMar>
            <w:vAlign w:val="center"/>
          </w:tcPr>
          <w:p w14:paraId="7E7D332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54 118</w:t>
            </w:r>
          </w:p>
        </w:tc>
      </w:tr>
      <w:tr w:rsidR="00807FFE" w14:paraId="098BC5E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D8954E9"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88B5CA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356DCBE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503546D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14:paraId="26EACC9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18B6AE3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14:paraId="33456DA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57B9AE1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23417E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3857207"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Support to the Turkish-Cypriot Community</w:t>
            </w:r>
          </w:p>
        </w:tc>
        <w:tc>
          <w:tcPr>
            <w:tcW w:w="1804" w:type="dxa"/>
            <w:tcBorders>
              <w:top w:val="nil"/>
              <w:left w:val="nil"/>
              <w:bottom w:val="nil"/>
              <w:right w:val="nil"/>
              <w:tl2br w:val="nil"/>
              <w:tr2bl w:val="nil"/>
            </w:tcBorders>
            <w:tcMar>
              <w:left w:w="60" w:type="dxa"/>
              <w:right w:w="60" w:type="dxa"/>
            </w:tcMar>
            <w:vAlign w:val="center"/>
          </w:tcPr>
          <w:p w14:paraId="2174351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1902" w:type="dxa"/>
            <w:tcBorders>
              <w:top w:val="nil"/>
              <w:left w:val="nil"/>
              <w:bottom w:val="nil"/>
              <w:right w:val="nil"/>
              <w:tl2br w:val="nil"/>
              <w:tr2bl w:val="nil"/>
            </w:tcBorders>
            <w:tcMar>
              <w:left w:w="60" w:type="dxa"/>
              <w:right w:w="60" w:type="dxa"/>
            </w:tcMar>
            <w:vAlign w:val="center"/>
          </w:tcPr>
          <w:p w14:paraId="0226405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1467" w:type="dxa"/>
            <w:tcBorders>
              <w:top w:val="nil"/>
              <w:left w:val="nil"/>
              <w:bottom w:val="nil"/>
              <w:right w:val="nil"/>
              <w:tl2br w:val="nil"/>
              <w:tr2bl w:val="nil"/>
            </w:tcBorders>
            <w:tcMar>
              <w:left w:w="60" w:type="dxa"/>
              <w:right w:w="60" w:type="dxa"/>
            </w:tcMar>
            <w:vAlign w:val="center"/>
          </w:tcPr>
          <w:p w14:paraId="107F739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048353B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1958" w:type="dxa"/>
            <w:tcBorders>
              <w:top w:val="nil"/>
              <w:left w:val="nil"/>
              <w:bottom w:val="nil"/>
              <w:right w:val="nil"/>
              <w:tl2br w:val="nil"/>
              <w:tr2bl w:val="nil"/>
            </w:tcBorders>
            <w:tcMar>
              <w:left w:w="60" w:type="dxa"/>
              <w:right w:w="60" w:type="dxa"/>
            </w:tcMar>
            <w:vAlign w:val="center"/>
          </w:tcPr>
          <w:p w14:paraId="3D2F396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91</w:t>
            </w:r>
          </w:p>
        </w:tc>
      </w:tr>
      <w:tr w:rsidR="00807FFE" w14:paraId="1734E04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958460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A8351B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Recovery and Resilience Facility (incl. Technical Support Instrument)</w:t>
            </w:r>
          </w:p>
        </w:tc>
        <w:tc>
          <w:tcPr>
            <w:tcW w:w="1804" w:type="dxa"/>
            <w:tcBorders>
              <w:top w:val="nil"/>
              <w:left w:val="nil"/>
              <w:bottom w:val="nil"/>
              <w:right w:val="nil"/>
              <w:tl2br w:val="nil"/>
              <w:tr2bl w:val="nil"/>
            </w:tcBorders>
            <w:tcMar>
              <w:left w:w="60" w:type="dxa"/>
              <w:right w:w="60" w:type="dxa"/>
            </w:tcMar>
            <w:vAlign w:val="center"/>
          </w:tcPr>
          <w:p w14:paraId="3AE189E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161 570</w:t>
            </w:r>
          </w:p>
        </w:tc>
        <w:tc>
          <w:tcPr>
            <w:tcW w:w="1902" w:type="dxa"/>
            <w:tcBorders>
              <w:top w:val="nil"/>
              <w:left w:val="nil"/>
              <w:bottom w:val="nil"/>
              <w:right w:val="nil"/>
              <w:tl2br w:val="nil"/>
              <w:tr2bl w:val="nil"/>
            </w:tcBorders>
            <w:tcMar>
              <w:left w:w="60" w:type="dxa"/>
              <w:right w:w="60" w:type="dxa"/>
            </w:tcMar>
            <w:vAlign w:val="center"/>
          </w:tcPr>
          <w:p w14:paraId="797543C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627</w:t>
            </w:r>
          </w:p>
        </w:tc>
        <w:tc>
          <w:tcPr>
            <w:tcW w:w="1467" w:type="dxa"/>
            <w:tcBorders>
              <w:top w:val="nil"/>
              <w:left w:val="nil"/>
              <w:bottom w:val="nil"/>
              <w:right w:val="nil"/>
              <w:tl2br w:val="nil"/>
              <w:tr2bl w:val="nil"/>
            </w:tcBorders>
            <w:tcMar>
              <w:left w:w="60" w:type="dxa"/>
              <w:right w:w="60" w:type="dxa"/>
            </w:tcMar>
            <w:vAlign w:val="center"/>
          </w:tcPr>
          <w:p w14:paraId="22B52A3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2141" w:type="dxa"/>
            <w:tcBorders>
              <w:top w:val="nil"/>
              <w:left w:val="nil"/>
              <w:bottom w:val="nil"/>
              <w:right w:val="nil"/>
              <w:tl2br w:val="nil"/>
              <w:tr2bl w:val="nil"/>
            </w:tcBorders>
            <w:tcMar>
              <w:left w:w="60" w:type="dxa"/>
              <w:right w:w="60" w:type="dxa"/>
            </w:tcMar>
            <w:vAlign w:val="center"/>
          </w:tcPr>
          <w:p w14:paraId="1B21576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(39 671)</w:t>
            </w:r>
          </w:p>
        </w:tc>
        <w:tc>
          <w:tcPr>
            <w:tcW w:w="1958" w:type="dxa"/>
            <w:tcBorders>
              <w:top w:val="nil"/>
              <w:left w:val="nil"/>
              <w:bottom w:val="nil"/>
              <w:right w:val="nil"/>
              <w:tl2br w:val="nil"/>
              <w:tr2bl w:val="nil"/>
            </w:tcBorders>
            <w:tcMar>
              <w:left w:w="60" w:type="dxa"/>
              <w:right w:w="60" w:type="dxa"/>
            </w:tcMar>
            <w:vAlign w:val="center"/>
          </w:tcPr>
          <w:p w14:paraId="6923A31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122 514</w:t>
            </w:r>
          </w:p>
        </w:tc>
      </w:tr>
      <w:tr w:rsidR="00807FFE" w14:paraId="31D857C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28C0636"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0D7355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Protection of the euro against counterfeiting (the `Pericles IV programme')</w:t>
            </w:r>
          </w:p>
        </w:tc>
        <w:tc>
          <w:tcPr>
            <w:tcW w:w="1804" w:type="dxa"/>
            <w:tcBorders>
              <w:top w:val="nil"/>
              <w:left w:val="nil"/>
              <w:bottom w:val="nil"/>
              <w:right w:val="nil"/>
              <w:tl2br w:val="nil"/>
              <w:tr2bl w:val="nil"/>
            </w:tcBorders>
            <w:tcMar>
              <w:left w:w="60" w:type="dxa"/>
              <w:right w:w="60" w:type="dxa"/>
            </w:tcMar>
            <w:vAlign w:val="center"/>
          </w:tcPr>
          <w:p w14:paraId="4B25F76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14:paraId="0A9168D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14:paraId="076EBC1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E32B7F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14:paraId="3AC85101"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6E9977D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3AC1A8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C8361F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Financing cost of the European Union Recovery Instrument (EURI)</w:t>
            </w:r>
          </w:p>
        </w:tc>
        <w:tc>
          <w:tcPr>
            <w:tcW w:w="1804" w:type="dxa"/>
            <w:tcBorders>
              <w:top w:val="nil"/>
              <w:left w:val="nil"/>
              <w:bottom w:val="nil"/>
              <w:right w:val="nil"/>
              <w:tl2br w:val="nil"/>
              <w:tr2bl w:val="nil"/>
            </w:tcBorders>
            <w:tcMar>
              <w:left w:w="60" w:type="dxa"/>
              <w:right w:w="60" w:type="dxa"/>
            </w:tcMar>
            <w:vAlign w:val="center"/>
          </w:tcPr>
          <w:p w14:paraId="275263A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1 865</w:t>
            </w:r>
          </w:p>
        </w:tc>
        <w:tc>
          <w:tcPr>
            <w:tcW w:w="1902" w:type="dxa"/>
            <w:tcBorders>
              <w:top w:val="nil"/>
              <w:left w:val="nil"/>
              <w:bottom w:val="nil"/>
              <w:right w:val="nil"/>
              <w:tl2br w:val="nil"/>
              <w:tr2bl w:val="nil"/>
            </w:tcBorders>
            <w:tcMar>
              <w:left w:w="60" w:type="dxa"/>
              <w:right w:w="60" w:type="dxa"/>
            </w:tcMar>
            <w:vAlign w:val="center"/>
          </w:tcPr>
          <w:p w14:paraId="1EC4C69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5 017</w:t>
            </w:r>
          </w:p>
        </w:tc>
        <w:tc>
          <w:tcPr>
            <w:tcW w:w="1467" w:type="dxa"/>
            <w:tcBorders>
              <w:top w:val="nil"/>
              <w:left w:val="nil"/>
              <w:bottom w:val="nil"/>
              <w:right w:val="nil"/>
              <w:tl2br w:val="nil"/>
              <w:tr2bl w:val="nil"/>
            </w:tcBorders>
            <w:tcMar>
              <w:left w:w="60" w:type="dxa"/>
              <w:right w:w="60" w:type="dxa"/>
            </w:tcMar>
            <w:vAlign w:val="center"/>
          </w:tcPr>
          <w:p w14:paraId="7E047EE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0D85462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(5 005)</w:t>
            </w:r>
          </w:p>
        </w:tc>
        <w:tc>
          <w:tcPr>
            <w:tcW w:w="1958" w:type="dxa"/>
            <w:tcBorders>
              <w:top w:val="nil"/>
              <w:left w:val="nil"/>
              <w:bottom w:val="nil"/>
              <w:right w:val="nil"/>
              <w:tl2br w:val="nil"/>
              <w:tr2bl w:val="nil"/>
            </w:tcBorders>
            <w:tcMar>
              <w:left w:w="60" w:type="dxa"/>
              <w:right w:w="60" w:type="dxa"/>
            </w:tcMar>
            <w:vAlign w:val="center"/>
          </w:tcPr>
          <w:p w14:paraId="4CE0FEB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1 878</w:t>
            </w:r>
          </w:p>
        </w:tc>
      </w:tr>
      <w:tr w:rsidR="00807FFE" w14:paraId="5D0D168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09680F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8DF51A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Union Civil Protection Mechanism (RescEU)</w:t>
            </w:r>
          </w:p>
        </w:tc>
        <w:tc>
          <w:tcPr>
            <w:tcW w:w="1804" w:type="dxa"/>
            <w:tcBorders>
              <w:top w:val="nil"/>
              <w:left w:val="nil"/>
              <w:bottom w:val="nil"/>
              <w:right w:val="nil"/>
              <w:tl2br w:val="nil"/>
              <w:tr2bl w:val="nil"/>
            </w:tcBorders>
            <w:tcMar>
              <w:left w:w="60" w:type="dxa"/>
              <w:right w:w="60" w:type="dxa"/>
            </w:tcMar>
            <w:vAlign w:val="center"/>
          </w:tcPr>
          <w:p w14:paraId="2A4D965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1 193</w:t>
            </w:r>
          </w:p>
        </w:tc>
        <w:tc>
          <w:tcPr>
            <w:tcW w:w="1902" w:type="dxa"/>
            <w:tcBorders>
              <w:top w:val="nil"/>
              <w:left w:val="nil"/>
              <w:bottom w:val="nil"/>
              <w:right w:val="nil"/>
              <w:tl2br w:val="nil"/>
              <w:tr2bl w:val="nil"/>
            </w:tcBorders>
            <w:tcMar>
              <w:left w:w="60" w:type="dxa"/>
              <w:right w:w="60" w:type="dxa"/>
            </w:tcMar>
            <w:vAlign w:val="center"/>
          </w:tcPr>
          <w:p w14:paraId="7D8E6E4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237</w:t>
            </w:r>
          </w:p>
        </w:tc>
        <w:tc>
          <w:tcPr>
            <w:tcW w:w="1467" w:type="dxa"/>
            <w:tcBorders>
              <w:top w:val="nil"/>
              <w:left w:val="nil"/>
              <w:bottom w:val="nil"/>
              <w:right w:val="nil"/>
              <w:tl2br w:val="nil"/>
              <w:tr2bl w:val="nil"/>
            </w:tcBorders>
            <w:tcMar>
              <w:left w:w="60" w:type="dxa"/>
              <w:right w:w="60" w:type="dxa"/>
            </w:tcMar>
            <w:vAlign w:val="center"/>
          </w:tcPr>
          <w:p w14:paraId="5C29D41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2141" w:type="dxa"/>
            <w:tcBorders>
              <w:top w:val="nil"/>
              <w:left w:val="nil"/>
              <w:bottom w:val="nil"/>
              <w:right w:val="nil"/>
              <w:tl2br w:val="nil"/>
              <w:tr2bl w:val="nil"/>
            </w:tcBorders>
            <w:tcMar>
              <w:left w:w="60" w:type="dxa"/>
              <w:right w:w="60" w:type="dxa"/>
            </w:tcMar>
            <w:vAlign w:val="center"/>
          </w:tcPr>
          <w:p w14:paraId="4BB9593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(355)</w:t>
            </w:r>
          </w:p>
        </w:tc>
        <w:tc>
          <w:tcPr>
            <w:tcW w:w="1958" w:type="dxa"/>
            <w:tcBorders>
              <w:top w:val="nil"/>
              <w:left w:val="nil"/>
              <w:bottom w:val="nil"/>
              <w:right w:val="nil"/>
              <w:tl2br w:val="nil"/>
              <w:tr2bl w:val="nil"/>
            </w:tcBorders>
            <w:tcMar>
              <w:left w:w="60" w:type="dxa"/>
              <w:right w:w="60" w:type="dxa"/>
            </w:tcMar>
            <w:vAlign w:val="center"/>
          </w:tcPr>
          <w:p w14:paraId="20A10A1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1 066</w:t>
            </w:r>
          </w:p>
        </w:tc>
      </w:tr>
      <w:tr w:rsidR="00807FFE" w14:paraId="6CC3B11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A254042"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21F054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EU4Health</w:t>
            </w:r>
          </w:p>
        </w:tc>
        <w:tc>
          <w:tcPr>
            <w:tcW w:w="1804" w:type="dxa"/>
            <w:tcBorders>
              <w:top w:val="nil"/>
              <w:left w:val="nil"/>
              <w:bottom w:val="nil"/>
              <w:right w:val="nil"/>
              <w:tl2br w:val="nil"/>
              <w:tr2bl w:val="nil"/>
            </w:tcBorders>
            <w:tcMar>
              <w:left w:w="60" w:type="dxa"/>
              <w:right w:w="60" w:type="dxa"/>
            </w:tcMar>
            <w:vAlign w:val="center"/>
          </w:tcPr>
          <w:p w14:paraId="5B1B7FA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1 507</w:t>
            </w:r>
          </w:p>
        </w:tc>
        <w:tc>
          <w:tcPr>
            <w:tcW w:w="1902" w:type="dxa"/>
            <w:tcBorders>
              <w:top w:val="nil"/>
              <w:left w:val="nil"/>
              <w:bottom w:val="nil"/>
              <w:right w:val="nil"/>
              <w:tl2br w:val="nil"/>
              <w:tr2bl w:val="nil"/>
            </w:tcBorders>
            <w:tcMar>
              <w:left w:w="60" w:type="dxa"/>
              <w:right w:w="60" w:type="dxa"/>
            </w:tcMar>
            <w:vAlign w:val="center"/>
          </w:tcPr>
          <w:p w14:paraId="48FD800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607</w:t>
            </w:r>
          </w:p>
        </w:tc>
        <w:tc>
          <w:tcPr>
            <w:tcW w:w="1467" w:type="dxa"/>
            <w:tcBorders>
              <w:top w:val="nil"/>
              <w:left w:val="nil"/>
              <w:bottom w:val="nil"/>
              <w:right w:val="nil"/>
              <w:tl2br w:val="nil"/>
              <w:tr2bl w:val="nil"/>
            </w:tcBorders>
            <w:tcMar>
              <w:left w:w="60" w:type="dxa"/>
              <w:right w:w="60" w:type="dxa"/>
            </w:tcMar>
            <w:vAlign w:val="center"/>
          </w:tcPr>
          <w:p w14:paraId="4025CCF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0534BE3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(553)</w:t>
            </w:r>
          </w:p>
        </w:tc>
        <w:tc>
          <w:tcPr>
            <w:tcW w:w="1958" w:type="dxa"/>
            <w:tcBorders>
              <w:top w:val="nil"/>
              <w:left w:val="nil"/>
              <w:bottom w:val="nil"/>
              <w:right w:val="nil"/>
              <w:tl2br w:val="nil"/>
              <w:tr2bl w:val="nil"/>
            </w:tcBorders>
            <w:tcMar>
              <w:left w:w="60" w:type="dxa"/>
              <w:right w:w="60" w:type="dxa"/>
            </w:tcMar>
            <w:vAlign w:val="center"/>
          </w:tcPr>
          <w:p w14:paraId="53728E2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1 559</w:t>
            </w:r>
          </w:p>
        </w:tc>
      </w:tr>
      <w:tr w:rsidR="00807FFE" w14:paraId="0E17E10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A6E0AD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AA380A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Instrument for emergency support within the Union (ESI)</w:t>
            </w:r>
          </w:p>
        </w:tc>
        <w:tc>
          <w:tcPr>
            <w:tcW w:w="1804" w:type="dxa"/>
            <w:tcBorders>
              <w:top w:val="nil"/>
              <w:left w:val="nil"/>
              <w:bottom w:val="nil"/>
              <w:right w:val="nil"/>
              <w:tl2br w:val="nil"/>
              <w:tr2bl w:val="nil"/>
            </w:tcBorders>
            <w:tcMar>
              <w:left w:w="60" w:type="dxa"/>
              <w:right w:w="60" w:type="dxa"/>
            </w:tcMar>
            <w:vAlign w:val="center"/>
          </w:tcPr>
          <w:p w14:paraId="4D8B3B4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1902" w:type="dxa"/>
            <w:tcBorders>
              <w:top w:val="nil"/>
              <w:left w:val="nil"/>
              <w:bottom w:val="nil"/>
              <w:right w:val="nil"/>
              <w:tl2br w:val="nil"/>
              <w:tr2bl w:val="nil"/>
            </w:tcBorders>
            <w:tcMar>
              <w:left w:w="60" w:type="dxa"/>
              <w:right w:w="60" w:type="dxa"/>
            </w:tcMar>
            <w:vAlign w:val="center"/>
          </w:tcPr>
          <w:p w14:paraId="716D8D2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14:paraId="12CDB94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7949F95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958" w:type="dxa"/>
            <w:tcBorders>
              <w:top w:val="nil"/>
              <w:left w:val="nil"/>
              <w:bottom w:val="nil"/>
              <w:right w:val="nil"/>
              <w:tl2br w:val="nil"/>
              <w:tr2bl w:val="nil"/>
            </w:tcBorders>
            <w:tcMar>
              <w:left w:w="60" w:type="dxa"/>
              <w:right w:w="60" w:type="dxa"/>
            </w:tcMar>
            <w:vAlign w:val="center"/>
          </w:tcPr>
          <w:p w14:paraId="25F04871"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24</w:t>
            </w:r>
          </w:p>
        </w:tc>
      </w:tr>
      <w:tr w:rsidR="00807FFE" w14:paraId="2CAF56A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51FC7E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F45531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5190A51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902" w:type="dxa"/>
            <w:tcBorders>
              <w:top w:val="nil"/>
              <w:left w:val="nil"/>
              <w:bottom w:val="nil"/>
              <w:right w:val="nil"/>
              <w:tl2br w:val="nil"/>
              <w:tr2bl w:val="nil"/>
            </w:tcBorders>
            <w:tcMar>
              <w:left w:w="60" w:type="dxa"/>
              <w:right w:w="60" w:type="dxa"/>
            </w:tcMar>
            <w:vAlign w:val="center"/>
          </w:tcPr>
          <w:p w14:paraId="35195A9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305</w:t>
            </w:r>
          </w:p>
        </w:tc>
        <w:tc>
          <w:tcPr>
            <w:tcW w:w="1467" w:type="dxa"/>
            <w:tcBorders>
              <w:top w:val="nil"/>
              <w:left w:val="nil"/>
              <w:bottom w:val="nil"/>
              <w:right w:val="nil"/>
              <w:tl2br w:val="nil"/>
              <w:tr2bl w:val="nil"/>
            </w:tcBorders>
            <w:tcMar>
              <w:left w:w="60" w:type="dxa"/>
              <w:right w:w="60" w:type="dxa"/>
            </w:tcMar>
            <w:vAlign w:val="center"/>
          </w:tcPr>
          <w:p w14:paraId="28B5FFE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6927ADC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(293)</w:t>
            </w:r>
          </w:p>
        </w:tc>
        <w:tc>
          <w:tcPr>
            <w:tcW w:w="1958" w:type="dxa"/>
            <w:tcBorders>
              <w:top w:val="nil"/>
              <w:left w:val="nil"/>
              <w:bottom w:val="nil"/>
              <w:right w:val="nil"/>
              <w:tl2br w:val="nil"/>
              <w:tr2bl w:val="nil"/>
            </w:tcBorders>
            <w:tcMar>
              <w:left w:w="60" w:type="dxa"/>
              <w:right w:w="60" w:type="dxa"/>
            </w:tcMar>
            <w:vAlign w:val="center"/>
          </w:tcPr>
          <w:p w14:paraId="3242186A"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61</w:t>
            </w:r>
          </w:p>
        </w:tc>
      </w:tr>
      <w:tr w:rsidR="00807FFE" w14:paraId="203E08C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D9CFF37"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AF7CF0C"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3FCEF90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14:paraId="0234F43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14:paraId="448A887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11A177C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14:paraId="7A7CC928"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EFD3BF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6E2AC75"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0FEBDE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1804" w:type="dxa"/>
            <w:tcBorders>
              <w:top w:val="nil"/>
              <w:left w:val="nil"/>
              <w:bottom w:val="nil"/>
              <w:right w:val="nil"/>
              <w:tl2br w:val="nil"/>
              <w:tr2bl w:val="nil"/>
            </w:tcBorders>
            <w:tcMar>
              <w:left w:w="60" w:type="dxa"/>
              <w:right w:w="60" w:type="dxa"/>
            </w:tcMar>
            <w:vAlign w:val="center"/>
          </w:tcPr>
          <w:p w14:paraId="07C7FFA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14:paraId="1EA6FD5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467" w:type="dxa"/>
            <w:tcBorders>
              <w:top w:val="nil"/>
              <w:left w:val="nil"/>
              <w:bottom w:val="nil"/>
              <w:right w:val="nil"/>
              <w:tl2br w:val="nil"/>
              <w:tr2bl w:val="nil"/>
            </w:tcBorders>
            <w:tcMar>
              <w:left w:w="60" w:type="dxa"/>
              <w:right w:w="60" w:type="dxa"/>
            </w:tcMar>
            <w:vAlign w:val="center"/>
          </w:tcPr>
          <w:p w14:paraId="0750AB8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CD0F5C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958" w:type="dxa"/>
            <w:tcBorders>
              <w:top w:val="nil"/>
              <w:left w:val="nil"/>
              <w:bottom w:val="nil"/>
              <w:right w:val="nil"/>
              <w:tl2br w:val="nil"/>
              <w:tr2bl w:val="nil"/>
            </w:tcBorders>
            <w:tcMar>
              <w:left w:w="60" w:type="dxa"/>
              <w:right w:w="60" w:type="dxa"/>
            </w:tcMar>
            <w:vAlign w:val="center"/>
          </w:tcPr>
          <w:p w14:paraId="377141F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w:t>
            </w:r>
          </w:p>
        </w:tc>
      </w:tr>
      <w:tr w:rsidR="00807FFE" w14:paraId="4D9F9E2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3F216E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9662B5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Employment and Social Innovation</w:t>
            </w:r>
          </w:p>
        </w:tc>
        <w:tc>
          <w:tcPr>
            <w:tcW w:w="1804" w:type="dxa"/>
            <w:tcBorders>
              <w:top w:val="nil"/>
              <w:left w:val="nil"/>
              <w:bottom w:val="nil"/>
              <w:right w:val="nil"/>
              <w:tl2br w:val="nil"/>
              <w:tr2bl w:val="nil"/>
            </w:tcBorders>
            <w:tcMar>
              <w:left w:w="60" w:type="dxa"/>
              <w:right w:w="60" w:type="dxa"/>
            </w:tcMar>
            <w:vAlign w:val="center"/>
          </w:tcPr>
          <w:p w14:paraId="7F984BC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185</w:t>
            </w:r>
          </w:p>
        </w:tc>
        <w:tc>
          <w:tcPr>
            <w:tcW w:w="1902" w:type="dxa"/>
            <w:tcBorders>
              <w:top w:val="nil"/>
              <w:left w:val="nil"/>
              <w:bottom w:val="nil"/>
              <w:right w:val="nil"/>
              <w:tl2br w:val="nil"/>
              <w:tr2bl w:val="nil"/>
            </w:tcBorders>
            <w:tcMar>
              <w:left w:w="60" w:type="dxa"/>
              <w:right w:w="60" w:type="dxa"/>
            </w:tcMar>
            <w:vAlign w:val="center"/>
          </w:tcPr>
          <w:p w14:paraId="10A0794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112</w:t>
            </w:r>
          </w:p>
        </w:tc>
        <w:tc>
          <w:tcPr>
            <w:tcW w:w="1467" w:type="dxa"/>
            <w:tcBorders>
              <w:top w:val="nil"/>
              <w:left w:val="nil"/>
              <w:bottom w:val="nil"/>
              <w:right w:val="nil"/>
              <w:tl2br w:val="nil"/>
              <w:tr2bl w:val="nil"/>
            </w:tcBorders>
            <w:tcMar>
              <w:left w:w="60" w:type="dxa"/>
              <w:right w:w="60" w:type="dxa"/>
            </w:tcMar>
            <w:vAlign w:val="center"/>
          </w:tcPr>
          <w:p w14:paraId="775933B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420EF2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1958" w:type="dxa"/>
            <w:tcBorders>
              <w:top w:val="nil"/>
              <w:left w:val="nil"/>
              <w:bottom w:val="nil"/>
              <w:right w:val="nil"/>
              <w:tl2br w:val="nil"/>
              <w:tr2bl w:val="nil"/>
            </w:tcBorders>
            <w:tcMar>
              <w:left w:w="60" w:type="dxa"/>
              <w:right w:w="60" w:type="dxa"/>
            </w:tcMar>
            <w:vAlign w:val="center"/>
          </w:tcPr>
          <w:p w14:paraId="6E83B40F"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212</w:t>
            </w:r>
          </w:p>
        </w:tc>
      </w:tr>
      <w:tr w:rsidR="00807FFE" w14:paraId="4402F0D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F8438E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E88E3B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Erasmus+</w:t>
            </w:r>
          </w:p>
        </w:tc>
        <w:tc>
          <w:tcPr>
            <w:tcW w:w="1804" w:type="dxa"/>
            <w:tcBorders>
              <w:top w:val="nil"/>
              <w:left w:val="nil"/>
              <w:bottom w:val="nil"/>
              <w:right w:val="nil"/>
              <w:tl2br w:val="nil"/>
              <w:tr2bl w:val="nil"/>
            </w:tcBorders>
            <w:tcMar>
              <w:left w:w="60" w:type="dxa"/>
              <w:right w:w="60" w:type="dxa"/>
            </w:tcMar>
            <w:vAlign w:val="center"/>
          </w:tcPr>
          <w:p w14:paraId="3494DAF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2 251</w:t>
            </w:r>
          </w:p>
        </w:tc>
        <w:tc>
          <w:tcPr>
            <w:tcW w:w="1902" w:type="dxa"/>
            <w:tcBorders>
              <w:top w:val="nil"/>
              <w:left w:val="nil"/>
              <w:bottom w:val="nil"/>
              <w:right w:val="nil"/>
              <w:tl2br w:val="nil"/>
              <w:tr2bl w:val="nil"/>
            </w:tcBorders>
            <w:tcMar>
              <w:left w:w="60" w:type="dxa"/>
              <w:right w:w="60" w:type="dxa"/>
            </w:tcMar>
            <w:vAlign w:val="center"/>
          </w:tcPr>
          <w:p w14:paraId="4DA2113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4 684</w:t>
            </w:r>
          </w:p>
        </w:tc>
        <w:tc>
          <w:tcPr>
            <w:tcW w:w="1467" w:type="dxa"/>
            <w:tcBorders>
              <w:top w:val="nil"/>
              <w:left w:val="nil"/>
              <w:bottom w:val="nil"/>
              <w:right w:val="nil"/>
              <w:tl2br w:val="nil"/>
              <w:tr2bl w:val="nil"/>
            </w:tcBorders>
            <w:tcMar>
              <w:left w:w="60" w:type="dxa"/>
              <w:right w:w="60" w:type="dxa"/>
            </w:tcMar>
            <w:vAlign w:val="center"/>
          </w:tcPr>
          <w:p w14:paraId="5D7C88F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2141" w:type="dxa"/>
            <w:tcBorders>
              <w:top w:val="nil"/>
              <w:left w:val="nil"/>
              <w:bottom w:val="nil"/>
              <w:right w:val="nil"/>
              <w:tl2br w:val="nil"/>
              <w:tr2bl w:val="nil"/>
            </w:tcBorders>
            <w:tcMar>
              <w:left w:w="60" w:type="dxa"/>
              <w:right w:w="60" w:type="dxa"/>
            </w:tcMar>
            <w:vAlign w:val="center"/>
          </w:tcPr>
          <w:p w14:paraId="0D9F0E8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(4 635)</w:t>
            </w:r>
          </w:p>
        </w:tc>
        <w:tc>
          <w:tcPr>
            <w:tcW w:w="1958" w:type="dxa"/>
            <w:tcBorders>
              <w:top w:val="nil"/>
              <w:left w:val="nil"/>
              <w:bottom w:val="nil"/>
              <w:right w:val="nil"/>
              <w:tl2br w:val="nil"/>
              <w:tr2bl w:val="nil"/>
            </w:tcBorders>
            <w:tcMar>
              <w:left w:w="60" w:type="dxa"/>
              <w:right w:w="60" w:type="dxa"/>
            </w:tcMar>
            <w:vAlign w:val="center"/>
          </w:tcPr>
          <w:p w14:paraId="29FC02C4"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2 191</w:t>
            </w:r>
          </w:p>
        </w:tc>
      </w:tr>
      <w:tr w:rsidR="00807FFE" w14:paraId="4C3105C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FDF626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7CF80A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Solidarity Corps (ESC)</w:t>
            </w:r>
          </w:p>
        </w:tc>
        <w:tc>
          <w:tcPr>
            <w:tcW w:w="1804" w:type="dxa"/>
            <w:tcBorders>
              <w:top w:val="nil"/>
              <w:left w:val="nil"/>
              <w:bottom w:val="nil"/>
              <w:right w:val="nil"/>
              <w:tl2br w:val="nil"/>
              <w:tr2bl w:val="nil"/>
            </w:tcBorders>
            <w:tcMar>
              <w:left w:w="60" w:type="dxa"/>
              <w:right w:w="60" w:type="dxa"/>
            </w:tcMar>
            <w:vAlign w:val="center"/>
          </w:tcPr>
          <w:p w14:paraId="6E887CE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149</w:t>
            </w:r>
          </w:p>
        </w:tc>
        <w:tc>
          <w:tcPr>
            <w:tcW w:w="1902" w:type="dxa"/>
            <w:tcBorders>
              <w:top w:val="nil"/>
              <w:left w:val="nil"/>
              <w:bottom w:val="nil"/>
              <w:right w:val="nil"/>
              <w:tl2br w:val="nil"/>
              <w:tr2bl w:val="nil"/>
            </w:tcBorders>
            <w:tcMar>
              <w:left w:w="60" w:type="dxa"/>
              <w:right w:w="60" w:type="dxa"/>
            </w:tcMar>
            <w:vAlign w:val="center"/>
          </w:tcPr>
          <w:p w14:paraId="052DC20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172</w:t>
            </w:r>
          </w:p>
        </w:tc>
        <w:tc>
          <w:tcPr>
            <w:tcW w:w="1467" w:type="dxa"/>
            <w:tcBorders>
              <w:top w:val="nil"/>
              <w:left w:val="nil"/>
              <w:bottom w:val="nil"/>
              <w:right w:val="nil"/>
              <w:tl2br w:val="nil"/>
              <w:tr2bl w:val="nil"/>
            </w:tcBorders>
            <w:tcMar>
              <w:left w:w="60" w:type="dxa"/>
              <w:right w:w="60" w:type="dxa"/>
            </w:tcMar>
            <w:vAlign w:val="center"/>
          </w:tcPr>
          <w:p w14:paraId="477A55D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2141" w:type="dxa"/>
            <w:tcBorders>
              <w:top w:val="nil"/>
              <w:left w:val="nil"/>
              <w:bottom w:val="nil"/>
              <w:right w:val="nil"/>
              <w:tl2br w:val="nil"/>
              <w:tr2bl w:val="nil"/>
            </w:tcBorders>
            <w:tcMar>
              <w:left w:w="60" w:type="dxa"/>
              <w:right w:w="60" w:type="dxa"/>
            </w:tcMar>
            <w:vAlign w:val="center"/>
          </w:tcPr>
          <w:p w14:paraId="3B3C399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(172)</w:t>
            </w:r>
          </w:p>
        </w:tc>
        <w:tc>
          <w:tcPr>
            <w:tcW w:w="1958" w:type="dxa"/>
            <w:tcBorders>
              <w:top w:val="nil"/>
              <w:left w:val="nil"/>
              <w:bottom w:val="nil"/>
              <w:right w:val="nil"/>
              <w:tl2br w:val="nil"/>
              <w:tr2bl w:val="nil"/>
            </w:tcBorders>
            <w:tcMar>
              <w:left w:w="60" w:type="dxa"/>
              <w:right w:w="60" w:type="dxa"/>
            </w:tcMar>
            <w:vAlign w:val="center"/>
          </w:tcPr>
          <w:p w14:paraId="107AA5A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106</w:t>
            </w:r>
          </w:p>
        </w:tc>
      </w:tr>
      <w:tr w:rsidR="00807FFE" w14:paraId="33B042A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FB7798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CBE593C"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Creative Europe</w:t>
            </w:r>
          </w:p>
        </w:tc>
        <w:tc>
          <w:tcPr>
            <w:tcW w:w="1804" w:type="dxa"/>
            <w:tcBorders>
              <w:top w:val="nil"/>
              <w:left w:val="nil"/>
              <w:bottom w:val="nil"/>
              <w:right w:val="nil"/>
              <w:tl2br w:val="nil"/>
              <w:tr2bl w:val="nil"/>
            </w:tcBorders>
            <w:tcMar>
              <w:left w:w="60" w:type="dxa"/>
              <w:right w:w="60" w:type="dxa"/>
            </w:tcMar>
            <w:vAlign w:val="center"/>
          </w:tcPr>
          <w:p w14:paraId="7D720BD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354</w:t>
            </w:r>
          </w:p>
        </w:tc>
        <w:tc>
          <w:tcPr>
            <w:tcW w:w="1902" w:type="dxa"/>
            <w:tcBorders>
              <w:top w:val="nil"/>
              <w:left w:val="nil"/>
              <w:bottom w:val="nil"/>
              <w:right w:val="nil"/>
              <w:tl2br w:val="nil"/>
              <w:tr2bl w:val="nil"/>
            </w:tcBorders>
            <w:tcMar>
              <w:left w:w="60" w:type="dxa"/>
              <w:right w:w="60" w:type="dxa"/>
            </w:tcMar>
            <w:vAlign w:val="center"/>
          </w:tcPr>
          <w:p w14:paraId="1B3C338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367</w:t>
            </w:r>
          </w:p>
        </w:tc>
        <w:tc>
          <w:tcPr>
            <w:tcW w:w="1467" w:type="dxa"/>
            <w:tcBorders>
              <w:top w:val="nil"/>
              <w:left w:val="nil"/>
              <w:bottom w:val="nil"/>
              <w:right w:val="nil"/>
              <w:tl2br w:val="nil"/>
              <w:tr2bl w:val="nil"/>
            </w:tcBorders>
            <w:tcMar>
              <w:left w:w="60" w:type="dxa"/>
              <w:right w:w="60" w:type="dxa"/>
            </w:tcMar>
            <w:vAlign w:val="center"/>
          </w:tcPr>
          <w:p w14:paraId="6F91C3B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460F39F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(338)</w:t>
            </w:r>
          </w:p>
        </w:tc>
        <w:tc>
          <w:tcPr>
            <w:tcW w:w="1958" w:type="dxa"/>
            <w:tcBorders>
              <w:top w:val="nil"/>
              <w:left w:val="nil"/>
              <w:bottom w:val="nil"/>
              <w:right w:val="nil"/>
              <w:tl2br w:val="nil"/>
              <w:tr2bl w:val="nil"/>
            </w:tcBorders>
            <w:tcMar>
              <w:left w:w="60" w:type="dxa"/>
              <w:right w:w="60" w:type="dxa"/>
            </w:tcMar>
            <w:vAlign w:val="center"/>
          </w:tcPr>
          <w:p w14:paraId="512FD94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381</w:t>
            </w:r>
          </w:p>
        </w:tc>
      </w:tr>
      <w:tr w:rsidR="00807FFE" w14:paraId="07A796C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BF8E44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65AE7DC"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Justice</w:t>
            </w:r>
          </w:p>
        </w:tc>
        <w:tc>
          <w:tcPr>
            <w:tcW w:w="1804" w:type="dxa"/>
            <w:tcBorders>
              <w:top w:val="nil"/>
              <w:left w:val="nil"/>
              <w:bottom w:val="nil"/>
              <w:right w:val="nil"/>
              <w:tl2br w:val="nil"/>
              <w:tr2bl w:val="nil"/>
            </w:tcBorders>
            <w:tcMar>
              <w:left w:w="60" w:type="dxa"/>
              <w:right w:w="60" w:type="dxa"/>
            </w:tcMar>
            <w:vAlign w:val="center"/>
          </w:tcPr>
          <w:p w14:paraId="487DE23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14:paraId="205C95D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1467" w:type="dxa"/>
            <w:tcBorders>
              <w:top w:val="nil"/>
              <w:left w:val="nil"/>
              <w:bottom w:val="nil"/>
              <w:right w:val="nil"/>
              <w:tl2br w:val="nil"/>
              <w:tr2bl w:val="nil"/>
            </w:tcBorders>
            <w:tcMar>
              <w:left w:w="60" w:type="dxa"/>
              <w:right w:w="60" w:type="dxa"/>
            </w:tcMar>
            <w:vAlign w:val="center"/>
          </w:tcPr>
          <w:p w14:paraId="1AED8A5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25DFE8C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1958" w:type="dxa"/>
            <w:tcBorders>
              <w:top w:val="nil"/>
              <w:left w:val="nil"/>
              <w:bottom w:val="nil"/>
              <w:right w:val="nil"/>
              <w:tl2br w:val="nil"/>
              <w:tr2bl w:val="nil"/>
            </w:tcBorders>
            <w:tcMar>
              <w:left w:w="60" w:type="dxa"/>
              <w:right w:w="60" w:type="dxa"/>
            </w:tcMar>
            <w:vAlign w:val="center"/>
          </w:tcPr>
          <w:p w14:paraId="19F28366"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52</w:t>
            </w:r>
          </w:p>
        </w:tc>
      </w:tr>
      <w:tr w:rsidR="00807FFE" w14:paraId="036A466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34F348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09E93F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Rights and Values</w:t>
            </w:r>
          </w:p>
        </w:tc>
        <w:tc>
          <w:tcPr>
            <w:tcW w:w="1804" w:type="dxa"/>
            <w:tcBorders>
              <w:top w:val="nil"/>
              <w:left w:val="nil"/>
              <w:bottom w:val="nil"/>
              <w:right w:val="nil"/>
              <w:tl2br w:val="nil"/>
              <w:tr2bl w:val="nil"/>
            </w:tcBorders>
            <w:tcMar>
              <w:left w:w="60" w:type="dxa"/>
              <w:right w:w="60" w:type="dxa"/>
            </w:tcMar>
            <w:vAlign w:val="center"/>
          </w:tcPr>
          <w:p w14:paraId="6E9ED5F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288</w:t>
            </w:r>
          </w:p>
        </w:tc>
        <w:tc>
          <w:tcPr>
            <w:tcW w:w="1902" w:type="dxa"/>
            <w:tcBorders>
              <w:top w:val="nil"/>
              <w:left w:val="nil"/>
              <w:bottom w:val="nil"/>
              <w:right w:val="nil"/>
              <w:tl2br w:val="nil"/>
              <w:tr2bl w:val="nil"/>
            </w:tcBorders>
            <w:tcMar>
              <w:left w:w="60" w:type="dxa"/>
              <w:right w:w="60" w:type="dxa"/>
            </w:tcMar>
            <w:vAlign w:val="center"/>
          </w:tcPr>
          <w:p w14:paraId="5E83A59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239</w:t>
            </w:r>
          </w:p>
        </w:tc>
        <w:tc>
          <w:tcPr>
            <w:tcW w:w="1467" w:type="dxa"/>
            <w:tcBorders>
              <w:top w:val="nil"/>
              <w:left w:val="nil"/>
              <w:bottom w:val="nil"/>
              <w:right w:val="nil"/>
              <w:tl2br w:val="nil"/>
              <w:tr2bl w:val="nil"/>
            </w:tcBorders>
            <w:tcMar>
              <w:left w:w="60" w:type="dxa"/>
              <w:right w:w="60" w:type="dxa"/>
            </w:tcMar>
            <w:vAlign w:val="center"/>
          </w:tcPr>
          <w:p w14:paraId="7B74A70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4538F6E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1958" w:type="dxa"/>
            <w:tcBorders>
              <w:top w:val="nil"/>
              <w:left w:val="nil"/>
              <w:bottom w:val="nil"/>
              <w:right w:val="nil"/>
              <w:tl2br w:val="nil"/>
              <w:tr2bl w:val="nil"/>
            </w:tcBorders>
            <w:tcMar>
              <w:left w:w="60" w:type="dxa"/>
              <w:right w:w="60" w:type="dxa"/>
            </w:tcMar>
            <w:vAlign w:val="center"/>
          </w:tcPr>
          <w:p w14:paraId="35651F30"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334</w:t>
            </w:r>
          </w:p>
        </w:tc>
      </w:tr>
      <w:tr w:rsidR="00807FFE" w14:paraId="1E1F46B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F1BF90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F2DFF1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72A055B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14:paraId="0C0471E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332</w:t>
            </w:r>
          </w:p>
        </w:tc>
        <w:tc>
          <w:tcPr>
            <w:tcW w:w="1467" w:type="dxa"/>
            <w:tcBorders>
              <w:top w:val="nil"/>
              <w:left w:val="nil"/>
              <w:bottom w:val="nil"/>
              <w:right w:val="nil"/>
              <w:tl2br w:val="nil"/>
              <w:tr2bl w:val="nil"/>
            </w:tcBorders>
            <w:tcMar>
              <w:left w:w="60" w:type="dxa"/>
              <w:right w:w="60" w:type="dxa"/>
            </w:tcMar>
            <w:vAlign w:val="center"/>
          </w:tcPr>
          <w:p w14:paraId="21931FB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24344CB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(328)</w:t>
            </w:r>
          </w:p>
        </w:tc>
        <w:tc>
          <w:tcPr>
            <w:tcW w:w="1958" w:type="dxa"/>
            <w:tcBorders>
              <w:top w:val="nil"/>
              <w:left w:val="nil"/>
              <w:bottom w:val="nil"/>
              <w:right w:val="nil"/>
              <w:tl2br w:val="nil"/>
              <w:tr2bl w:val="nil"/>
            </w:tcBorders>
            <w:tcMar>
              <w:left w:w="60" w:type="dxa"/>
              <w:right w:w="60" w:type="dxa"/>
            </w:tcMar>
            <w:vAlign w:val="center"/>
          </w:tcPr>
          <w:p w14:paraId="056F6917"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56</w:t>
            </w:r>
          </w:p>
        </w:tc>
      </w:tr>
      <w:tr w:rsidR="00807FFE" w14:paraId="59F42D8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0E8862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36FCF2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Other actions</w:t>
            </w:r>
          </w:p>
        </w:tc>
        <w:tc>
          <w:tcPr>
            <w:tcW w:w="1804" w:type="dxa"/>
            <w:tcBorders>
              <w:top w:val="nil"/>
              <w:left w:val="nil"/>
              <w:bottom w:val="nil"/>
              <w:right w:val="nil"/>
              <w:tl2br w:val="nil"/>
              <w:tr2bl w:val="nil"/>
            </w:tcBorders>
            <w:tcMar>
              <w:left w:w="60" w:type="dxa"/>
              <w:right w:w="60" w:type="dxa"/>
            </w:tcMar>
            <w:vAlign w:val="center"/>
          </w:tcPr>
          <w:p w14:paraId="5369DE9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902" w:type="dxa"/>
            <w:tcBorders>
              <w:top w:val="nil"/>
              <w:left w:val="nil"/>
              <w:bottom w:val="nil"/>
              <w:right w:val="nil"/>
              <w:tl2br w:val="nil"/>
              <w:tr2bl w:val="nil"/>
            </w:tcBorders>
            <w:tcMar>
              <w:left w:w="60" w:type="dxa"/>
              <w:right w:w="60" w:type="dxa"/>
            </w:tcMar>
            <w:vAlign w:val="center"/>
          </w:tcPr>
          <w:p w14:paraId="1F8DD44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14:paraId="1F16485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4E21E8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958" w:type="dxa"/>
            <w:tcBorders>
              <w:top w:val="nil"/>
              <w:left w:val="nil"/>
              <w:bottom w:val="nil"/>
              <w:right w:val="nil"/>
              <w:tl2br w:val="nil"/>
              <w:tr2bl w:val="nil"/>
            </w:tcBorders>
            <w:tcMar>
              <w:left w:w="60" w:type="dxa"/>
              <w:right w:w="60" w:type="dxa"/>
            </w:tcMar>
            <w:vAlign w:val="center"/>
          </w:tcPr>
          <w:p w14:paraId="61BAE51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w:t>
            </w:r>
          </w:p>
        </w:tc>
      </w:tr>
      <w:tr w:rsidR="00807FFE" w14:paraId="740CDB3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7826889"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0F10BDD"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2A60EAB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58</w:t>
            </w:r>
          </w:p>
        </w:tc>
        <w:tc>
          <w:tcPr>
            <w:tcW w:w="1902" w:type="dxa"/>
            <w:tcBorders>
              <w:top w:val="nil"/>
              <w:left w:val="nil"/>
              <w:bottom w:val="nil"/>
              <w:right w:val="nil"/>
              <w:tl2br w:val="nil"/>
              <w:tr2bl w:val="nil"/>
            </w:tcBorders>
            <w:tcMar>
              <w:left w:w="60" w:type="dxa"/>
              <w:right w:w="60" w:type="dxa"/>
            </w:tcMar>
            <w:vAlign w:val="center"/>
          </w:tcPr>
          <w:p w14:paraId="63182DC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1467" w:type="dxa"/>
            <w:tcBorders>
              <w:top w:val="nil"/>
              <w:left w:val="nil"/>
              <w:bottom w:val="nil"/>
              <w:right w:val="nil"/>
              <w:tl2br w:val="nil"/>
              <w:tr2bl w:val="nil"/>
            </w:tcBorders>
            <w:tcMar>
              <w:left w:w="60" w:type="dxa"/>
              <w:right w:w="60" w:type="dxa"/>
            </w:tcMar>
            <w:vAlign w:val="center"/>
          </w:tcPr>
          <w:p w14:paraId="31A08B2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2141" w:type="dxa"/>
            <w:tcBorders>
              <w:top w:val="nil"/>
              <w:left w:val="nil"/>
              <w:bottom w:val="nil"/>
              <w:right w:val="nil"/>
              <w:tl2br w:val="nil"/>
              <w:tr2bl w:val="nil"/>
            </w:tcBorders>
            <w:tcMar>
              <w:left w:w="60" w:type="dxa"/>
              <w:right w:w="60" w:type="dxa"/>
            </w:tcMar>
            <w:vAlign w:val="center"/>
          </w:tcPr>
          <w:p w14:paraId="77070D9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958" w:type="dxa"/>
            <w:tcBorders>
              <w:top w:val="nil"/>
              <w:left w:val="nil"/>
              <w:bottom w:val="nil"/>
              <w:right w:val="nil"/>
              <w:tl2br w:val="nil"/>
              <w:tr2bl w:val="nil"/>
            </w:tcBorders>
            <w:tcMar>
              <w:left w:w="60" w:type="dxa"/>
              <w:right w:w="60" w:type="dxa"/>
            </w:tcMar>
            <w:vAlign w:val="center"/>
          </w:tcPr>
          <w:p w14:paraId="64A04891"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43</w:t>
            </w:r>
          </w:p>
        </w:tc>
      </w:tr>
      <w:tr w:rsidR="00807FFE" w14:paraId="33C8BC8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C43709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2439BB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1804" w:type="dxa"/>
            <w:tcBorders>
              <w:top w:val="nil"/>
              <w:left w:val="nil"/>
              <w:bottom w:val="nil"/>
              <w:right w:val="nil"/>
              <w:tl2br w:val="nil"/>
              <w:tr2bl w:val="nil"/>
            </w:tcBorders>
            <w:tcMar>
              <w:left w:w="60" w:type="dxa"/>
              <w:right w:w="60" w:type="dxa"/>
            </w:tcMar>
            <w:vAlign w:val="center"/>
          </w:tcPr>
          <w:p w14:paraId="66B87D4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197</w:t>
            </w:r>
          </w:p>
        </w:tc>
        <w:tc>
          <w:tcPr>
            <w:tcW w:w="1902" w:type="dxa"/>
            <w:tcBorders>
              <w:top w:val="nil"/>
              <w:left w:val="nil"/>
              <w:bottom w:val="nil"/>
              <w:right w:val="nil"/>
              <w:tl2br w:val="nil"/>
              <w:tr2bl w:val="nil"/>
            </w:tcBorders>
            <w:tcMar>
              <w:left w:w="60" w:type="dxa"/>
              <w:right w:w="60" w:type="dxa"/>
            </w:tcMar>
            <w:vAlign w:val="center"/>
          </w:tcPr>
          <w:p w14:paraId="4EAC3FC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190</w:t>
            </w:r>
          </w:p>
        </w:tc>
        <w:tc>
          <w:tcPr>
            <w:tcW w:w="1467" w:type="dxa"/>
            <w:tcBorders>
              <w:top w:val="nil"/>
              <w:left w:val="nil"/>
              <w:bottom w:val="nil"/>
              <w:right w:val="nil"/>
              <w:tl2br w:val="nil"/>
              <w:tr2bl w:val="nil"/>
            </w:tcBorders>
            <w:tcMar>
              <w:left w:w="60" w:type="dxa"/>
              <w:right w:w="60" w:type="dxa"/>
            </w:tcMar>
            <w:vAlign w:val="center"/>
          </w:tcPr>
          <w:p w14:paraId="411692D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1A0C707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(182)</w:t>
            </w:r>
          </w:p>
        </w:tc>
        <w:tc>
          <w:tcPr>
            <w:tcW w:w="1958" w:type="dxa"/>
            <w:tcBorders>
              <w:top w:val="nil"/>
              <w:left w:val="nil"/>
              <w:bottom w:val="nil"/>
              <w:right w:val="nil"/>
              <w:tl2br w:val="nil"/>
              <w:tr2bl w:val="nil"/>
            </w:tcBorders>
            <w:tcMar>
              <w:left w:w="60" w:type="dxa"/>
              <w:right w:w="60" w:type="dxa"/>
            </w:tcMar>
            <w:vAlign w:val="center"/>
          </w:tcPr>
          <w:p w14:paraId="6A4352B4"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203</w:t>
            </w:r>
          </w:p>
        </w:tc>
      </w:tr>
      <w:tr w:rsidR="00807FFE" w14:paraId="5A11A605"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36F63C0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1F6A757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2: Cohesion, Resilience and Values</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522A5A8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344 088</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3DDF111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78 884</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31A0178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(275)</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65B3139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(92 361)</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2202A21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330 336</w:t>
            </w:r>
          </w:p>
        </w:tc>
      </w:tr>
      <w:tr w:rsidR="00807FFE" w14:paraId="03E99FE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21B013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10A1D9B" w14:textId="77777777" w:rsidR="00807FFE" w:rsidRDefault="00807FFE">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4C1E8492"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49D0B6E5"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67055192"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52173AD6"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6038F3B0" w14:textId="77777777" w:rsidR="00807FFE" w:rsidRDefault="00807FFE">
            <w:pPr>
              <w:pStyle w:val="DMETW36742BIPDetailedMFF4Commitmentsoustanding"/>
              <w:jc w:val="right"/>
              <w:rPr>
                <w:rFonts w:ascii="Verdana" w:eastAsia="Verdana" w:hAnsi="Verdana" w:cs="Verdana"/>
                <w:noProof/>
                <w:color w:val="000000"/>
                <w:sz w:val="16"/>
                <w:lang w:bidi="en-GB"/>
              </w:rPr>
            </w:pPr>
          </w:p>
        </w:tc>
      </w:tr>
      <w:tr w:rsidR="00807FFE" w14:paraId="45542FA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4A70E4C"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3</w:t>
            </w:r>
          </w:p>
        </w:tc>
        <w:tc>
          <w:tcPr>
            <w:tcW w:w="5076" w:type="dxa"/>
            <w:tcBorders>
              <w:top w:val="nil"/>
              <w:left w:val="nil"/>
              <w:bottom w:val="nil"/>
              <w:right w:val="nil"/>
              <w:tl2br w:val="nil"/>
              <w:tr2bl w:val="nil"/>
            </w:tcBorders>
            <w:tcMar>
              <w:left w:w="60" w:type="dxa"/>
              <w:right w:w="60" w:type="dxa"/>
            </w:tcMar>
            <w:vAlign w:val="center"/>
          </w:tcPr>
          <w:p w14:paraId="07DC3CC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Agricultural Guarantee Fund (EAGF)</w:t>
            </w:r>
          </w:p>
        </w:tc>
        <w:tc>
          <w:tcPr>
            <w:tcW w:w="1804" w:type="dxa"/>
            <w:tcBorders>
              <w:top w:val="nil"/>
              <w:left w:val="nil"/>
              <w:bottom w:val="nil"/>
              <w:right w:val="nil"/>
              <w:tl2br w:val="nil"/>
              <w:tr2bl w:val="nil"/>
            </w:tcBorders>
            <w:tcMar>
              <w:left w:w="60" w:type="dxa"/>
              <w:right w:w="60" w:type="dxa"/>
            </w:tcMar>
            <w:vAlign w:val="center"/>
          </w:tcPr>
          <w:p w14:paraId="27133BA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371</w:t>
            </w:r>
          </w:p>
        </w:tc>
        <w:tc>
          <w:tcPr>
            <w:tcW w:w="1902" w:type="dxa"/>
            <w:tcBorders>
              <w:top w:val="nil"/>
              <w:left w:val="nil"/>
              <w:bottom w:val="nil"/>
              <w:right w:val="nil"/>
              <w:tl2br w:val="nil"/>
              <w:tr2bl w:val="nil"/>
            </w:tcBorders>
            <w:tcMar>
              <w:left w:w="60" w:type="dxa"/>
              <w:right w:w="60" w:type="dxa"/>
            </w:tcMar>
            <w:vAlign w:val="center"/>
          </w:tcPr>
          <w:p w14:paraId="27E3A44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40 875</w:t>
            </w:r>
          </w:p>
        </w:tc>
        <w:tc>
          <w:tcPr>
            <w:tcW w:w="1467" w:type="dxa"/>
            <w:tcBorders>
              <w:top w:val="nil"/>
              <w:left w:val="nil"/>
              <w:bottom w:val="nil"/>
              <w:right w:val="nil"/>
              <w:tl2br w:val="nil"/>
              <w:tr2bl w:val="nil"/>
            </w:tcBorders>
            <w:tcMar>
              <w:left w:w="60" w:type="dxa"/>
              <w:right w:w="60" w:type="dxa"/>
            </w:tcMar>
            <w:vAlign w:val="center"/>
          </w:tcPr>
          <w:p w14:paraId="6322C76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2141" w:type="dxa"/>
            <w:tcBorders>
              <w:top w:val="nil"/>
              <w:left w:val="nil"/>
              <w:bottom w:val="nil"/>
              <w:right w:val="nil"/>
              <w:tl2br w:val="nil"/>
              <w:tr2bl w:val="nil"/>
            </w:tcBorders>
            <w:tcMar>
              <w:left w:w="60" w:type="dxa"/>
              <w:right w:w="60" w:type="dxa"/>
            </w:tcMar>
            <w:vAlign w:val="center"/>
          </w:tcPr>
          <w:p w14:paraId="4848CBC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(40 904)</w:t>
            </w:r>
          </w:p>
        </w:tc>
        <w:tc>
          <w:tcPr>
            <w:tcW w:w="1958" w:type="dxa"/>
            <w:tcBorders>
              <w:top w:val="nil"/>
              <w:left w:val="nil"/>
              <w:bottom w:val="nil"/>
              <w:right w:val="nil"/>
              <w:tl2br w:val="nil"/>
              <w:tr2bl w:val="nil"/>
            </w:tcBorders>
            <w:tcMar>
              <w:left w:w="60" w:type="dxa"/>
              <w:right w:w="60" w:type="dxa"/>
            </w:tcMar>
            <w:vAlign w:val="center"/>
          </w:tcPr>
          <w:p w14:paraId="2BBE79D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335</w:t>
            </w:r>
          </w:p>
        </w:tc>
      </w:tr>
      <w:tr w:rsidR="00807FFE" w14:paraId="13F3617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9B5D72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00B4B0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Agricultural Fund for Rural Development (EAFRD)</w:t>
            </w:r>
          </w:p>
        </w:tc>
        <w:tc>
          <w:tcPr>
            <w:tcW w:w="1804" w:type="dxa"/>
            <w:tcBorders>
              <w:top w:val="nil"/>
              <w:left w:val="nil"/>
              <w:bottom w:val="nil"/>
              <w:right w:val="nil"/>
              <w:tl2br w:val="nil"/>
              <w:tr2bl w:val="nil"/>
            </w:tcBorders>
            <w:tcMar>
              <w:left w:w="60" w:type="dxa"/>
              <w:right w:w="60" w:type="dxa"/>
            </w:tcMar>
            <w:vAlign w:val="center"/>
          </w:tcPr>
          <w:p w14:paraId="2C4957C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35 517</w:t>
            </w:r>
          </w:p>
        </w:tc>
        <w:tc>
          <w:tcPr>
            <w:tcW w:w="1902" w:type="dxa"/>
            <w:tcBorders>
              <w:top w:val="nil"/>
              <w:left w:val="nil"/>
              <w:bottom w:val="nil"/>
              <w:right w:val="nil"/>
              <w:tl2br w:val="nil"/>
              <w:tr2bl w:val="nil"/>
            </w:tcBorders>
            <w:tcMar>
              <w:left w:w="60" w:type="dxa"/>
              <w:right w:w="60" w:type="dxa"/>
            </w:tcMar>
            <w:vAlign w:val="center"/>
          </w:tcPr>
          <w:p w14:paraId="14B9552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13 227</w:t>
            </w:r>
          </w:p>
        </w:tc>
        <w:tc>
          <w:tcPr>
            <w:tcW w:w="1467" w:type="dxa"/>
            <w:tcBorders>
              <w:top w:val="nil"/>
              <w:left w:val="nil"/>
              <w:bottom w:val="nil"/>
              <w:right w:val="nil"/>
              <w:tl2br w:val="nil"/>
              <w:tr2bl w:val="nil"/>
            </w:tcBorders>
            <w:tcMar>
              <w:left w:w="60" w:type="dxa"/>
              <w:right w:w="60" w:type="dxa"/>
            </w:tcMar>
            <w:vAlign w:val="center"/>
          </w:tcPr>
          <w:p w14:paraId="25043CD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(239)</w:t>
            </w:r>
          </w:p>
        </w:tc>
        <w:tc>
          <w:tcPr>
            <w:tcW w:w="2141" w:type="dxa"/>
            <w:tcBorders>
              <w:top w:val="nil"/>
              <w:left w:val="nil"/>
              <w:bottom w:val="nil"/>
              <w:right w:val="nil"/>
              <w:tl2br w:val="nil"/>
              <w:tr2bl w:val="nil"/>
            </w:tcBorders>
            <w:tcMar>
              <w:left w:w="60" w:type="dxa"/>
              <w:right w:w="60" w:type="dxa"/>
            </w:tcMar>
            <w:vAlign w:val="center"/>
          </w:tcPr>
          <w:p w14:paraId="2E9EDA2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(15 852)</w:t>
            </w:r>
          </w:p>
        </w:tc>
        <w:tc>
          <w:tcPr>
            <w:tcW w:w="1958" w:type="dxa"/>
            <w:tcBorders>
              <w:top w:val="nil"/>
              <w:left w:val="nil"/>
              <w:bottom w:val="nil"/>
              <w:right w:val="nil"/>
              <w:tl2br w:val="nil"/>
              <w:tr2bl w:val="nil"/>
            </w:tcBorders>
            <w:tcMar>
              <w:left w:w="60" w:type="dxa"/>
              <w:right w:w="60" w:type="dxa"/>
            </w:tcMar>
            <w:vAlign w:val="center"/>
          </w:tcPr>
          <w:p w14:paraId="1F22C52F"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32 652</w:t>
            </w:r>
          </w:p>
        </w:tc>
      </w:tr>
      <w:tr w:rsidR="00807FFE" w14:paraId="2D37978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AEEA6F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088F77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Maritime, Fisheries and Aquaculture Fund (EMFAF)</w:t>
            </w:r>
          </w:p>
        </w:tc>
        <w:tc>
          <w:tcPr>
            <w:tcW w:w="1804" w:type="dxa"/>
            <w:tcBorders>
              <w:top w:val="nil"/>
              <w:left w:val="nil"/>
              <w:bottom w:val="nil"/>
              <w:right w:val="nil"/>
              <w:tl2br w:val="nil"/>
              <w:tr2bl w:val="nil"/>
            </w:tcBorders>
            <w:tcMar>
              <w:left w:w="60" w:type="dxa"/>
              <w:right w:w="60" w:type="dxa"/>
            </w:tcMar>
            <w:vAlign w:val="center"/>
          </w:tcPr>
          <w:p w14:paraId="1189D1D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3 341</w:t>
            </w:r>
          </w:p>
        </w:tc>
        <w:tc>
          <w:tcPr>
            <w:tcW w:w="1902" w:type="dxa"/>
            <w:tcBorders>
              <w:top w:val="nil"/>
              <w:left w:val="nil"/>
              <w:bottom w:val="nil"/>
              <w:right w:val="nil"/>
              <w:tl2br w:val="nil"/>
              <w:tr2bl w:val="nil"/>
            </w:tcBorders>
            <w:tcMar>
              <w:left w:w="60" w:type="dxa"/>
              <w:right w:w="60" w:type="dxa"/>
            </w:tcMar>
            <w:vAlign w:val="center"/>
          </w:tcPr>
          <w:p w14:paraId="6F430D0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946</w:t>
            </w:r>
          </w:p>
        </w:tc>
        <w:tc>
          <w:tcPr>
            <w:tcW w:w="1467" w:type="dxa"/>
            <w:tcBorders>
              <w:top w:val="nil"/>
              <w:left w:val="nil"/>
              <w:bottom w:val="nil"/>
              <w:right w:val="nil"/>
              <w:tl2br w:val="nil"/>
              <w:tr2bl w:val="nil"/>
            </w:tcBorders>
            <w:tcMar>
              <w:left w:w="60" w:type="dxa"/>
              <w:right w:w="60" w:type="dxa"/>
            </w:tcMar>
            <w:vAlign w:val="center"/>
          </w:tcPr>
          <w:p w14:paraId="7A569D2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14:paraId="67D8C20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(670)</w:t>
            </w:r>
          </w:p>
        </w:tc>
        <w:tc>
          <w:tcPr>
            <w:tcW w:w="1958" w:type="dxa"/>
            <w:tcBorders>
              <w:top w:val="nil"/>
              <w:left w:val="nil"/>
              <w:bottom w:val="nil"/>
              <w:right w:val="nil"/>
              <w:tl2br w:val="nil"/>
              <w:tr2bl w:val="nil"/>
            </w:tcBorders>
            <w:tcMar>
              <w:left w:w="60" w:type="dxa"/>
              <w:right w:w="60" w:type="dxa"/>
            </w:tcMar>
            <w:vAlign w:val="center"/>
          </w:tcPr>
          <w:p w14:paraId="0197878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3 613</w:t>
            </w:r>
          </w:p>
        </w:tc>
      </w:tr>
      <w:tr w:rsidR="00807FFE" w14:paraId="787502D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8BD843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9870E3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Sustainable Fisheries Partnership Agreements (SFPA) and Regional Fisheries Management Organisations (RFMO)</w:t>
            </w:r>
          </w:p>
        </w:tc>
        <w:tc>
          <w:tcPr>
            <w:tcW w:w="1804" w:type="dxa"/>
            <w:tcBorders>
              <w:top w:val="nil"/>
              <w:left w:val="nil"/>
              <w:bottom w:val="nil"/>
              <w:right w:val="nil"/>
              <w:tl2br w:val="nil"/>
              <w:tr2bl w:val="nil"/>
            </w:tcBorders>
            <w:tcMar>
              <w:left w:w="60" w:type="dxa"/>
              <w:right w:w="60" w:type="dxa"/>
            </w:tcMar>
            <w:vAlign w:val="center"/>
          </w:tcPr>
          <w:p w14:paraId="3D38FAF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1902" w:type="dxa"/>
            <w:tcBorders>
              <w:top w:val="nil"/>
              <w:left w:val="nil"/>
              <w:bottom w:val="nil"/>
              <w:right w:val="nil"/>
              <w:tl2br w:val="nil"/>
              <w:tr2bl w:val="nil"/>
            </w:tcBorders>
            <w:tcMar>
              <w:left w:w="60" w:type="dxa"/>
              <w:right w:w="60" w:type="dxa"/>
            </w:tcMar>
            <w:vAlign w:val="center"/>
          </w:tcPr>
          <w:p w14:paraId="4DFFDAC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117</w:t>
            </w:r>
          </w:p>
        </w:tc>
        <w:tc>
          <w:tcPr>
            <w:tcW w:w="1467" w:type="dxa"/>
            <w:tcBorders>
              <w:top w:val="nil"/>
              <w:left w:val="nil"/>
              <w:bottom w:val="nil"/>
              <w:right w:val="nil"/>
              <w:tl2br w:val="nil"/>
              <w:tr2bl w:val="nil"/>
            </w:tcBorders>
            <w:tcMar>
              <w:left w:w="60" w:type="dxa"/>
              <w:right w:w="60" w:type="dxa"/>
            </w:tcMar>
            <w:vAlign w:val="center"/>
          </w:tcPr>
          <w:p w14:paraId="6B78B4F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10C4770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1958" w:type="dxa"/>
            <w:tcBorders>
              <w:top w:val="nil"/>
              <w:left w:val="nil"/>
              <w:bottom w:val="nil"/>
              <w:right w:val="nil"/>
              <w:tl2br w:val="nil"/>
              <w:tr2bl w:val="nil"/>
            </w:tcBorders>
            <w:tcMar>
              <w:left w:w="60" w:type="dxa"/>
              <w:right w:w="60" w:type="dxa"/>
            </w:tcMar>
            <w:vAlign w:val="center"/>
          </w:tcPr>
          <w:p w14:paraId="5C16F9A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42</w:t>
            </w:r>
          </w:p>
        </w:tc>
      </w:tr>
      <w:tr w:rsidR="00807FFE" w14:paraId="7A873CB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BF9E2C5"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C7D671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71E9FC0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3875BA5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467" w:type="dxa"/>
            <w:tcBorders>
              <w:top w:val="nil"/>
              <w:left w:val="nil"/>
              <w:bottom w:val="nil"/>
              <w:right w:val="nil"/>
              <w:tl2br w:val="nil"/>
              <w:tr2bl w:val="nil"/>
            </w:tcBorders>
            <w:tcMar>
              <w:left w:w="60" w:type="dxa"/>
              <w:right w:w="60" w:type="dxa"/>
            </w:tcMar>
            <w:vAlign w:val="center"/>
          </w:tcPr>
          <w:p w14:paraId="177B28F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6ADFB23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958" w:type="dxa"/>
            <w:tcBorders>
              <w:top w:val="nil"/>
              <w:left w:val="nil"/>
              <w:bottom w:val="nil"/>
              <w:right w:val="nil"/>
              <w:tl2br w:val="nil"/>
              <w:tr2bl w:val="nil"/>
            </w:tcBorders>
            <w:tcMar>
              <w:left w:w="60" w:type="dxa"/>
              <w:right w:w="60" w:type="dxa"/>
            </w:tcMar>
            <w:vAlign w:val="center"/>
          </w:tcPr>
          <w:p w14:paraId="22C4FF6A"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AEDFCB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131A6C1"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8D7054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4BF1E2A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14:paraId="199148E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14:paraId="75A5D79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764DE09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14:paraId="24AD644F"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w:t>
            </w:r>
          </w:p>
        </w:tc>
      </w:tr>
      <w:tr w:rsidR="00807FFE" w14:paraId="2919047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7060142"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C6AFA9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Programme for Environment and Climate Action (LIFE)</w:t>
            </w:r>
          </w:p>
        </w:tc>
        <w:tc>
          <w:tcPr>
            <w:tcW w:w="1804" w:type="dxa"/>
            <w:tcBorders>
              <w:top w:val="nil"/>
              <w:left w:val="nil"/>
              <w:bottom w:val="nil"/>
              <w:right w:val="nil"/>
              <w:tl2br w:val="nil"/>
              <w:tr2bl w:val="nil"/>
            </w:tcBorders>
            <w:tcMar>
              <w:left w:w="60" w:type="dxa"/>
              <w:right w:w="60" w:type="dxa"/>
            </w:tcMar>
            <w:vAlign w:val="center"/>
          </w:tcPr>
          <w:p w14:paraId="7F1C8D3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2 691</w:t>
            </w:r>
          </w:p>
        </w:tc>
        <w:tc>
          <w:tcPr>
            <w:tcW w:w="1902" w:type="dxa"/>
            <w:tcBorders>
              <w:top w:val="nil"/>
              <w:left w:val="nil"/>
              <w:bottom w:val="nil"/>
              <w:right w:val="nil"/>
              <w:tl2br w:val="nil"/>
              <w:tr2bl w:val="nil"/>
            </w:tcBorders>
            <w:tcMar>
              <w:left w:w="60" w:type="dxa"/>
              <w:right w:w="60" w:type="dxa"/>
            </w:tcMar>
            <w:vAlign w:val="center"/>
          </w:tcPr>
          <w:p w14:paraId="05620AF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785</w:t>
            </w:r>
          </w:p>
        </w:tc>
        <w:tc>
          <w:tcPr>
            <w:tcW w:w="1467" w:type="dxa"/>
            <w:tcBorders>
              <w:top w:val="nil"/>
              <w:left w:val="nil"/>
              <w:bottom w:val="nil"/>
              <w:right w:val="nil"/>
              <w:tl2br w:val="nil"/>
              <w:tr2bl w:val="nil"/>
            </w:tcBorders>
            <w:tcMar>
              <w:left w:w="60" w:type="dxa"/>
              <w:right w:w="60" w:type="dxa"/>
            </w:tcMar>
            <w:vAlign w:val="center"/>
          </w:tcPr>
          <w:p w14:paraId="1D4C529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2141" w:type="dxa"/>
            <w:tcBorders>
              <w:top w:val="nil"/>
              <w:left w:val="nil"/>
              <w:bottom w:val="nil"/>
              <w:right w:val="nil"/>
              <w:tl2br w:val="nil"/>
              <w:tr2bl w:val="nil"/>
            </w:tcBorders>
            <w:tcMar>
              <w:left w:w="60" w:type="dxa"/>
              <w:right w:w="60" w:type="dxa"/>
            </w:tcMar>
            <w:vAlign w:val="center"/>
          </w:tcPr>
          <w:p w14:paraId="1408698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(677)</w:t>
            </w:r>
          </w:p>
        </w:tc>
        <w:tc>
          <w:tcPr>
            <w:tcW w:w="1958" w:type="dxa"/>
            <w:tcBorders>
              <w:top w:val="nil"/>
              <w:left w:val="nil"/>
              <w:bottom w:val="nil"/>
              <w:right w:val="nil"/>
              <w:tl2br w:val="nil"/>
              <w:tr2bl w:val="nil"/>
            </w:tcBorders>
            <w:tcMar>
              <w:left w:w="60" w:type="dxa"/>
              <w:right w:w="60" w:type="dxa"/>
            </w:tcMar>
            <w:vAlign w:val="center"/>
          </w:tcPr>
          <w:p w14:paraId="21C54C9E"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2 787</w:t>
            </w:r>
          </w:p>
        </w:tc>
      </w:tr>
      <w:tr w:rsidR="00807FFE" w14:paraId="02A576F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FCC41F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A0C3FB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Just Transition Fund</w:t>
            </w:r>
          </w:p>
        </w:tc>
        <w:tc>
          <w:tcPr>
            <w:tcW w:w="1804" w:type="dxa"/>
            <w:tcBorders>
              <w:top w:val="nil"/>
              <w:left w:val="nil"/>
              <w:bottom w:val="nil"/>
              <w:right w:val="nil"/>
              <w:tl2br w:val="nil"/>
              <w:tr2bl w:val="nil"/>
            </w:tcBorders>
            <w:tcMar>
              <w:left w:w="60" w:type="dxa"/>
              <w:right w:w="60" w:type="dxa"/>
            </w:tcMar>
            <w:vAlign w:val="center"/>
          </w:tcPr>
          <w:p w14:paraId="62F4D07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8 765</w:t>
            </w:r>
          </w:p>
        </w:tc>
        <w:tc>
          <w:tcPr>
            <w:tcW w:w="1902" w:type="dxa"/>
            <w:tcBorders>
              <w:top w:val="nil"/>
              <w:left w:val="nil"/>
              <w:bottom w:val="nil"/>
              <w:right w:val="nil"/>
              <w:tl2br w:val="nil"/>
              <w:tr2bl w:val="nil"/>
            </w:tcBorders>
            <w:tcMar>
              <w:left w:w="60" w:type="dxa"/>
              <w:right w:w="60" w:type="dxa"/>
            </w:tcMar>
            <w:vAlign w:val="center"/>
          </w:tcPr>
          <w:p w14:paraId="64EDD9D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1 504</w:t>
            </w:r>
          </w:p>
        </w:tc>
        <w:tc>
          <w:tcPr>
            <w:tcW w:w="1467" w:type="dxa"/>
            <w:tcBorders>
              <w:top w:val="nil"/>
              <w:left w:val="nil"/>
              <w:bottom w:val="nil"/>
              <w:right w:val="nil"/>
              <w:tl2br w:val="nil"/>
              <w:tr2bl w:val="nil"/>
            </w:tcBorders>
            <w:tcMar>
              <w:left w:w="60" w:type="dxa"/>
              <w:right w:w="60" w:type="dxa"/>
            </w:tcMar>
            <w:vAlign w:val="center"/>
          </w:tcPr>
          <w:p w14:paraId="13CAF5E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6C4989B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(1 124)</w:t>
            </w:r>
          </w:p>
        </w:tc>
        <w:tc>
          <w:tcPr>
            <w:tcW w:w="1958" w:type="dxa"/>
            <w:tcBorders>
              <w:top w:val="nil"/>
              <w:left w:val="nil"/>
              <w:bottom w:val="nil"/>
              <w:right w:val="nil"/>
              <w:tl2br w:val="nil"/>
              <w:tr2bl w:val="nil"/>
            </w:tcBorders>
            <w:tcMar>
              <w:left w:w="60" w:type="dxa"/>
              <w:right w:w="60" w:type="dxa"/>
            </w:tcMar>
            <w:vAlign w:val="center"/>
          </w:tcPr>
          <w:p w14:paraId="5C35450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9 145</w:t>
            </w:r>
          </w:p>
        </w:tc>
      </w:tr>
      <w:tr w:rsidR="00807FFE" w14:paraId="37079B0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0D159F1"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A742A3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Public sector loan facility under the Just Transition Mechanism (JTM)</w:t>
            </w:r>
          </w:p>
        </w:tc>
        <w:tc>
          <w:tcPr>
            <w:tcW w:w="1804" w:type="dxa"/>
            <w:tcBorders>
              <w:top w:val="nil"/>
              <w:left w:val="nil"/>
              <w:bottom w:val="nil"/>
              <w:right w:val="nil"/>
              <w:tl2br w:val="nil"/>
              <w:tr2bl w:val="nil"/>
            </w:tcBorders>
            <w:tcMar>
              <w:left w:w="60" w:type="dxa"/>
              <w:right w:w="60" w:type="dxa"/>
            </w:tcMar>
            <w:vAlign w:val="center"/>
          </w:tcPr>
          <w:p w14:paraId="7584BBF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104</w:t>
            </w:r>
          </w:p>
        </w:tc>
        <w:tc>
          <w:tcPr>
            <w:tcW w:w="1902" w:type="dxa"/>
            <w:tcBorders>
              <w:top w:val="nil"/>
              <w:left w:val="nil"/>
              <w:bottom w:val="nil"/>
              <w:right w:val="nil"/>
              <w:tl2br w:val="nil"/>
              <w:tr2bl w:val="nil"/>
            </w:tcBorders>
            <w:tcMar>
              <w:left w:w="60" w:type="dxa"/>
              <w:right w:w="60" w:type="dxa"/>
            </w:tcMar>
            <w:vAlign w:val="center"/>
          </w:tcPr>
          <w:p w14:paraId="002C358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1467" w:type="dxa"/>
            <w:tcBorders>
              <w:top w:val="nil"/>
              <w:left w:val="nil"/>
              <w:bottom w:val="nil"/>
              <w:right w:val="nil"/>
              <w:tl2br w:val="nil"/>
              <w:tr2bl w:val="nil"/>
            </w:tcBorders>
            <w:tcMar>
              <w:left w:w="60" w:type="dxa"/>
              <w:right w:w="60" w:type="dxa"/>
            </w:tcMar>
            <w:vAlign w:val="center"/>
          </w:tcPr>
          <w:p w14:paraId="3B0EF98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4887765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(67)</w:t>
            </w:r>
          </w:p>
        </w:tc>
        <w:tc>
          <w:tcPr>
            <w:tcW w:w="1958" w:type="dxa"/>
            <w:tcBorders>
              <w:top w:val="nil"/>
              <w:left w:val="nil"/>
              <w:bottom w:val="nil"/>
              <w:right w:val="nil"/>
              <w:tl2br w:val="nil"/>
              <w:tr2bl w:val="nil"/>
            </w:tcBorders>
            <w:tcMar>
              <w:left w:w="60" w:type="dxa"/>
              <w:right w:w="60" w:type="dxa"/>
            </w:tcMar>
            <w:vAlign w:val="center"/>
          </w:tcPr>
          <w:p w14:paraId="0FD344E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94</w:t>
            </w:r>
          </w:p>
        </w:tc>
      </w:tr>
      <w:tr w:rsidR="00807FFE" w14:paraId="246CD29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9D3231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3F661D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4E13E37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6C0B651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1467" w:type="dxa"/>
            <w:tcBorders>
              <w:top w:val="nil"/>
              <w:left w:val="nil"/>
              <w:bottom w:val="nil"/>
              <w:right w:val="nil"/>
              <w:tl2br w:val="nil"/>
              <w:tr2bl w:val="nil"/>
            </w:tcBorders>
            <w:tcMar>
              <w:left w:w="60" w:type="dxa"/>
              <w:right w:w="60" w:type="dxa"/>
            </w:tcMar>
            <w:vAlign w:val="center"/>
          </w:tcPr>
          <w:p w14:paraId="0C32EB8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1882FD7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1958" w:type="dxa"/>
            <w:tcBorders>
              <w:top w:val="nil"/>
              <w:left w:val="nil"/>
              <w:bottom w:val="nil"/>
              <w:right w:val="nil"/>
              <w:tl2br w:val="nil"/>
              <w:tr2bl w:val="nil"/>
            </w:tcBorders>
            <w:tcMar>
              <w:left w:w="60" w:type="dxa"/>
              <w:right w:w="60" w:type="dxa"/>
            </w:tcMar>
            <w:vAlign w:val="center"/>
          </w:tcPr>
          <w:p w14:paraId="74420954"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9A65CB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DD7435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640518D"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2C85775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1902" w:type="dxa"/>
            <w:tcBorders>
              <w:top w:val="nil"/>
              <w:left w:val="nil"/>
              <w:bottom w:val="nil"/>
              <w:right w:val="nil"/>
              <w:tl2br w:val="nil"/>
              <w:tr2bl w:val="nil"/>
            </w:tcBorders>
            <w:tcMar>
              <w:left w:w="60" w:type="dxa"/>
              <w:right w:w="60" w:type="dxa"/>
            </w:tcMar>
            <w:vAlign w:val="center"/>
          </w:tcPr>
          <w:p w14:paraId="1740651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14:paraId="1C73732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1414AD4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14:paraId="78485308"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14</w:t>
            </w:r>
          </w:p>
        </w:tc>
      </w:tr>
      <w:tr w:rsidR="00807FFE" w14:paraId="7E3FD4C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E405177"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48232C7"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1804" w:type="dxa"/>
            <w:tcBorders>
              <w:top w:val="nil"/>
              <w:left w:val="nil"/>
              <w:bottom w:val="nil"/>
              <w:right w:val="nil"/>
              <w:tl2br w:val="nil"/>
              <w:tr2bl w:val="nil"/>
            </w:tcBorders>
            <w:tcMar>
              <w:left w:w="60" w:type="dxa"/>
              <w:right w:w="60" w:type="dxa"/>
            </w:tcMar>
            <w:vAlign w:val="center"/>
          </w:tcPr>
          <w:p w14:paraId="61E2A90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902" w:type="dxa"/>
            <w:tcBorders>
              <w:top w:val="nil"/>
              <w:left w:val="nil"/>
              <w:bottom w:val="nil"/>
              <w:right w:val="nil"/>
              <w:tl2br w:val="nil"/>
              <w:tr2bl w:val="nil"/>
            </w:tcBorders>
            <w:tcMar>
              <w:left w:w="60" w:type="dxa"/>
              <w:right w:w="60" w:type="dxa"/>
            </w:tcMar>
            <w:vAlign w:val="center"/>
          </w:tcPr>
          <w:p w14:paraId="4F7B35E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1467" w:type="dxa"/>
            <w:tcBorders>
              <w:top w:val="nil"/>
              <w:left w:val="nil"/>
              <w:bottom w:val="nil"/>
              <w:right w:val="nil"/>
              <w:tl2br w:val="nil"/>
              <w:tr2bl w:val="nil"/>
            </w:tcBorders>
            <w:tcMar>
              <w:left w:w="60" w:type="dxa"/>
              <w:right w:w="60" w:type="dxa"/>
            </w:tcMar>
            <w:vAlign w:val="center"/>
          </w:tcPr>
          <w:p w14:paraId="44CEC56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4B77603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958" w:type="dxa"/>
            <w:tcBorders>
              <w:top w:val="nil"/>
              <w:left w:val="nil"/>
              <w:bottom w:val="nil"/>
              <w:right w:val="nil"/>
              <w:tl2br w:val="nil"/>
              <w:tr2bl w:val="nil"/>
            </w:tcBorders>
            <w:tcMar>
              <w:left w:w="60" w:type="dxa"/>
              <w:right w:w="60" w:type="dxa"/>
            </w:tcMar>
            <w:vAlign w:val="center"/>
          </w:tcPr>
          <w:p w14:paraId="3DB25A5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29</w:t>
            </w:r>
          </w:p>
        </w:tc>
      </w:tr>
      <w:tr w:rsidR="00807FFE" w14:paraId="2BE619F7"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71D3B49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61C3988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3: Natural Resources and Environment</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27C09D7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50 867</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236586D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57 658</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08F2D12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(263)</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664F9AD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(59 544)</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16F40EB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48 718</w:t>
            </w:r>
          </w:p>
        </w:tc>
      </w:tr>
      <w:tr w:rsidR="00807FFE" w14:paraId="7ABD96C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57EE02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F697C86" w14:textId="77777777" w:rsidR="00807FFE" w:rsidRDefault="00807FFE">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6CDB0A67"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2A2AF693"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4D422145"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7D0332EC"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7EC58649" w14:textId="77777777" w:rsidR="00807FFE" w:rsidRDefault="00807FFE">
            <w:pPr>
              <w:pStyle w:val="DMETW36742BIPDetailedMFF4Commitmentsoustanding"/>
              <w:jc w:val="right"/>
              <w:rPr>
                <w:rFonts w:ascii="Verdana" w:eastAsia="Verdana" w:hAnsi="Verdana" w:cs="Verdana"/>
                <w:noProof/>
                <w:color w:val="000000"/>
                <w:sz w:val="16"/>
                <w:lang w:bidi="en-GB"/>
              </w:rPr>
            </w:pPr>
          </w:p>
        </w:tc>
      </w:tr>
      <w:tr w:rsidR="00807FFE" w14:paraId="6582458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64E3EA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4</w:t>
            </w:r>
          </w:p>
        </w:tc>
        <w:tc>
          <w:tcPr>
            <w:tcW w:w="5076" w:type="dxa"/>
            <w:tcBorders>
              <w:top w:val="nil"/>
              <w:left w:val="nil"/>
              <w:bottom w:val="nil"/>
              <w:right w:val="nil"/>
              <w:tl2br w:val="nil"/>
              <w:tr2bl w:val="nil"/>
            </w:tcBorders>
            <w:tcMar>
              <w:left w:w="60" w:type="dxa"/>
              <w:right w:w="60" w:type="dxa"/>
            </w:tcMar>
            <w:vAlign w:val="center"/>
          </w:tcPr>
          <w:p w14:paraId="12C6C8A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Asylum, Migration and Integration Fund</w:t>
            </w:r>
          </w:p>
        </w:tc>
        <w:tc>
          <w:tcPr>
            <w:tcW w:w="1804" w:type="dxa"/>
            <w:tcBorders>
              <w:top w:val="nil"/>
              <w:left w:val="nil"/>
              <w:bottom w:val="nil"/>
              <w:right w:val="nil"/>
              <w:tl2br w:val="nil"/>
              <w:tr2bl w:val="nil"/>
            </w:tcBorders>
            <w:tcMar>
              <w:left w:w="60" w:type="dxa"/>
              <w:right w:w="60" w:type="dxa"/>
            </w:tcMar>
            <w:vAlign w:val="center"/>
          </w:tcPr>
          <w:p w14:paraId="6F0CF17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2 862</w:t>
            </w:r>
          </w:p>
        </w:tc>
        <w:tc>
          <w:tcPr>
            <w:tcW w:w="1902" w:type="dxa"/>
            <w:tcBorders>
              <w:top w:val="nil"/>
              <w:left w:val="nil"/>
              <w:bottom w:val="nil"/>
              <w:right w:val="nil"/>
              <w:tl2br w:val="nil"/>
              <w:tr2bl w:val="nil"/>
            </w:tcBorders>
            <w:tcMar>
              <w:left w:w="60" w:type="dxa"/>
              <w:right w:w="60" w:type="dxa"/>
            </w:tcMar>
            <w:vAlign w:val="center"/>
          </w:tcPr>
          <w:p w14:paraId="5E98DFB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1 921</w:t>
            </w:r>
          </w:p>
        </w:tc>
        <w:tc>
          <w:tcPr>
            <w:tcW w:w="1467" w:type="dxa"/>
            <w:tcBorders>
              <w:top w:val="nil"/>
              <w:left w:val="nil"/>
              <w:bottom w:val="nil"/>
              <w:right w:val="nil"/>
              <w:tl2br w:val="nil"/>
              <w:tr2bl w:val="nil"/>
            </w:tcBorders>
            <w:tcMar>
              <w:left w:w="60" w:type="dxa"/>
              <w:right w:w="60" w:type="dxa"/>
            </w:tcMar>
            <w:vAlign w:val="center"/>
          </w:tcPr>
          <w:p w14:paraId="29CB35D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73DD421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(1 288)</w:t>
            </w:r>
          </w:p>
        </w:tc>
        <w:tc>
          <w:tcPr>
            <w:tcW w:w="1958" w:type="dxa"/>
            <w:tcBorders>
              <w:top w:val="nil"/>
              <w:left w:val="nil"/>
              <w:bottom w:val="nil"/>
              <w:right w:val="nil"/>
              <w:tl2br w:val="nil"/>
              <w:tr2bl w:val="nil"/>
            </w:tcBorders>
            <w:tcMar>
              <w:left w:w="60" w:type="dxa"/>
              <w:right w:w="60" w:type="dxa"/>
            </w:tcMar>
            <w:vAlign w:val="center"/>
          </w:tcPr>
          <w:p w14:paraId="0A3D1CB0"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3 495</w:t>
            </w:r>
          </w:p>
        </w:tc>
      </w:tr>
      <w:tr w:rsidR="00807FFE" w14:paraId="5A11B18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1B34C9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68D8422"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5E12F94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902" w:type="dxa"/>
            <w:tcBorders>
              <w:top w:val="nil"/>
              <w:left w:val="nil"/>
              <w:bottom w:val="nil"/>
              <w:right w:val="nil"/>
              <w:tl2br w:val="nil"/>
              <w:tr2bl w:val="nil"/>
            </w:tcBorders>
            <w:tcMar>
              <w:left w:w="60" w:type="dxa"/>
              <w:right w:w="60" w:type="dxa"/>
            </w:tcMar>
            <w:vAlign w:val="center"/>
          </w:tcPr>
          <w:p w14:paraId="18F2B67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1467" w:type="dxa"/>
            <w:tcBorders>
              <w:top w:val="nil"/>
              <w:left w:val="nil"/>
              <w:bottom w:val="nil"/>
              <w:right w:val="nil"/>
              <w:tl2br w:val="nil"/>
              <w:tr2bl w:val="nil"/>
            </w:tcBorders>
            <w:tcMar>
              <w:left w:w="60" w:type="dxa"/>
              <w:right w:w="60" w:type="dxa"/>
            </w:tcMar>
            <w:vAlign w:val="center"/>
          </w:tcPr>
          <w:p w14:paraId="324FF07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3FC8E64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(202)</w:t>
            </w:r>
          </w:p>
        </w:tc>
        <w:tc>
          <w:tcPr>
            <w:tcW w:w="1958" w:type="dxa"/>
            <w:tcBorders>
              <w:top w:val="nil"/>
              <w:left w:val="nil"/>
              <w:bottom w:val="nil"/>
              <w:right w:val="nil"/>
              <w:tl2br w:val="nil"/>
              <w:tr2bl w:val="nil"/>
            </w:tcBorders>
            <w:tcMar>
              <w:left w:w="60" w:type="dxa"/>
              <w:right w:w="60" w:type="dxa"/>
            </w:tcMar>
            <w:vAlign w:val="center"/>
          </w:tcPr>
          <w:p w14:paraId="19367AC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6C62EC9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3D3BA6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CA36DD2"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border management and visa (BMVI)</w:t>
            </w:r>
          </w:p>
        </w:tc>
        <w:tc>
          <w:tcPr>
            <w:tcW w:w="1804" w:type="dxa"/>
            <w:tcBorders>
              <w:top w:val="nil"/>
              <w:left w:val="nil"/>
              <w:bottom w:val="nil"/>
              <w:right w:val="nil"/>
              <w:tl2br w:val="nil"/>
              <w:tr2bl w:val="nil"/>
            </w:tcBorders>
            <w:tcMar>
              <w:left w:w="60" w:type="dxa"/>
              <w:right w:w="60" w:type="dxa"/>
            </w:tcMar>
            <w:vAlign w:val="center"/>
          </w:tcPr>
          <w:p w14:paraId="44B8C7C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2 215</w:t>
            </w:r>
          </w:p>
        </w:tc>
        <w:tc>
          <w:tcPr>
            <w:tcW w:w="1902" w:type="dxa"/>
            <w:tcBorders>
              <w:top w:val="nil"/>
              <w:left w:val="nil"/>
              <w:bottom w:val="nil"/>
              <w:right w:val="nil"/>
              <w:tl2br w:val="nil"/>
              <w:tr2bl w:val="nil"/>
            </w:tcBorders>
            <w:tcMar>
              <w:left w:w="60" w:type="dxa"/>
              <w:right w:w="60" w:type="dxa"/>
            </w:tcMar>
            <w:vAlign w:val="center"/>
          </w:tcPr>
          <w:p w14:paraId="7FD45FB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1 266</w:t>
            </w:r>
          </w:p>
        </w:tc>
        <w:tc>
          <w:tcPr>
            <w:tcW w:w="1467" w:type="dxa"/>
            <w:tcBorders>
              <w:top w:val="nil"/>
              <w:left w:val="nil"/>
              <w:bottom w:val="nil"/>
              <w:right w:val="nil"/>
              <w:tl2br w:val="nil"/>
              <w:tr2bl w:val="nil"/>
            </w:tcBorders>
            <w:tcMar>
              <w:left w:w="60" w:type="dxa"/>
              <w:right w:w="60" w:type="dxa"/>
            </w:tcMar>
            <w:vAlign w:val="center"/>
          </w:tcPr>
          <w:p w14:paraId="11684A6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68FABB9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(910)</w:t>
            </w:r>
          </w:p>
        </w:tc>
        <w:tc>
          <w:tcPr>
            <w:tcW w:w="1958" w:type="dxa"/>
            <w:tcBorders>
              <w:top w:val="nil"/>
              <w:left w:val="nil"/>
              <w:bottom w:val="nil"/>
              <w:right w:val="nil"/>
              <w:tl2br w:val="nil"/>
              <w:tr2bl w:val="nil"/>
            </w:tcBorders>
            <w:tcMar>
              <w:left w:w="60" w:type="dxa"/>
              <w:right w:w="60" w:type="dxa"/>
            </w:tcMar>
            <w:vAlign w:val="center"/>
          </w:tcPr>
          <w:p w14:paraId="75FC5557"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2 572</w:t>
            </w:r>
          </w:p>
        </w:tc>
      </w:tr>
      <w:tr w:rsidR="00807FFE" w14:paraId="503010F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A1BD5D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8E789B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financial support for customs control equipment (CCEi)</w:t>
            </w:r>
          </w:p>
        </w:tc>
        <w:tc>
          <w:tcPr>
            <w:tcW w:w="1804" w:type="dxa"/>
            <w:tcBorders>
              <w:top w:val="nil"/>
              <w:left w:val="nil"/>
              <w:bottom w:val="nil"/>
              <w:right w:val="nil"/>
              <w:tl2br w:val="nil"/>
              <w:tr2bl w:val="nil"/>
            </w:tcBorders>
            <w:tcMar>
              <w:left w:w="60" w:type="dxa"/>
              <w:right w:w="60" w:type="dxa"/>
            </w:tcMar>
            <w:vAlign w:val="center"/>
          </w:tcPr>
          <w:p w14:paraId="359B584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305</w:t>
            </w:r>
          </w:p>
        </w:tc>
        <w:tc>
          <w:tcPr>
            <w:tcW w:w="1902" w:type="dxa"/>
            <w:tcBorders>
              <w:top w:val="nil"/>
              <w:left w:val="nil"/>
              <w:bottom w:val="nil"/>
              <w:right w:val="nil"/>
              <w:tl2br w:val="nil"/>
              <w:tr2bl w:val="nil"/>
            </w:tcBorders>
            <w:tcMar>
              <w:left w:w="60" w:type="dxa"/>
              <w:right w:w="60" w:type="dxa"/>
            </w:tcMar>
            <w:vAlign w:val="center"/>
          </w:tcPr>
          <w:p w14:paraId="239635A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14:paraId="5494C7F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6AC8447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958" w:type="dxa"/>
            <w:tcBorders>
              <w:top w:val="nil"/>
              <w:left w:val="nil"/>
              <w:bottom w:val="nil"/>
              <w:right w:val="nil"/>
              <w:tl2br w:val="nil"/>
              <w:tr2bl w:val="nil"/>
            </w:tcBorders>
            <w:tcMar>
              <w:left w:w="60" w:type="dxa"/>
              <w:right w:w="60" w:type="dxa"/>
            </w:tcMar>
            <w:vAlign w:val="center"/>
          </w:tcPr>
          <w:p w14:paraId="1FF68A9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281</w:t>
            </w:r>
          </w:p>
        </w:tc>
      </w:tr>
      <w:tr w:rsidR="00807FFE" w14:paraId="4345A69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F08619F"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F95F4F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16E295C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359</w:t>
            </w:r>
          </w:p>
        </w:tc>
        <w:tc>
          <w:tcPr>
            <w:tcW w:w="1902" w:type="dxa"/>
            <w:tcBorders>
              <w:top w:val="nil"/>
              <w:left w:val="nil"/>
              <w:bottom w:val="nil"/>
              <w:right w:val="nil"/>
              <w:tl2br w:val="nil"/>
              <w:tr2bl w:val="nil"/>
            </w:tcBorders>
            <w:tcMar>
              <w:left w:w="60" w:type="dxa"/>
              <w:right w:w="60" w:type="dxa"/>
            </w:tcMar>
            <w:vAlign w:val="center"/>
          </w:tcPr>
          <w:p w14:paraId="0D9886B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1 359</w:t>
            </w:r>
          </w:p>
        </w:tc>
        <w:tc>
          <w:tcPr>
            <w:tcW w:w="1467" w:type="dxa"/>
            <w:tcBorders>
              <w:top w:val="nil"/>
              <w:left w:val="nil"/>
              <w:bottom w:val="nil"/>
              <w:right w:val="nil"/>
              <w:tl2br w:val="nil"/>
              <w:tr2bl w:val="nil"/>
            </w:tcBorders>
            <w:tcMar>
              <w:left w:w="60" w:type="dxa"/>
              <w:right w:w="60" w:type="dxa"/>
            </w:tcMar>
            <w:vAlign w:val="center"/>
          </w:tcPr>
          <w:p w14:paraId="2F745C9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1E10E55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(1 386)</w:t>
            </w:r>
          </w:p>
        </w:tc>
        <w:tc>
          <w:tcPr>
            <w:tcW w:w="1958" w:type="dxa"/>
            <w:tcBorders>
              <w:top w:val="nil"/>
              <w:left w:val="nil"/>
              <w:bottom w:val="nil"/>
              <w:right w:val="nil"/>
              <w:tl2br w:val="nil"/>
              <w:tr2bl w:val="nil"/>
            </w:tcBorders>
            <w:tcMar>
              <w:left w:w="60" w:type="dxa"/>
              <w:right w:w="60" w:type="dxa"/>
            </w:tcMar>
            <w:vAlign w:val="center"/>
          </w:tcPr>
          <w:p w14:paraId="093B4EA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332</w:t>
            </w:r>
          </w:p>
        </w:tc>
      </w:tr>
      <w:tr w:rsidR="00807FFE" w14:paraId="32A09DBC"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6215296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60E31F6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4: Migration and Border Management</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04378B7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5 754</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61EEACD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4 738</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1C69DF6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24ABE20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(3 809)</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710A4908"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6 683</w:t>
            </w:r>
          </w:p>
        </w:tc>
      </w:tr>
      <w:tr w:rsidR="00807FFE" w14:paraId="118BA1D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6D00971"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6070D38" w14:textId="77777777" w:rsidR="00807FFE" w:rsidRDefault="00807FFE">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5792D6AA"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37420FE0"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7C67CF3A"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3585CF85"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6976E713" w14:textId="77777777" w:rsidR="00807FFE" w:rsidRDefault="00807FFE">
            <w:pPr>
              <w:pStyle w:val="DMETW36742BIPDetailedMFF4Commitmentsoustanding"/>
              <w:jc w:val="right"/>
              <w:rPr>
                <w:rFonts w:ascii="Verdana" w:eastAsia="Verdana" w:hAnsi="Verdana" w:cs="Verdana"/>
                <w:noProof/>
                <w:color w:val="000000"/>
                <w:sz w:val="16"/>
                <w:lang w:bidi="en-GB"/>
              </w:rPr>
            </w:pPr>
          </w:p>
        </w:tc>
      </w:tr>
      <w:tr w:rsidR="00807FFE" w14:paraId="473B11B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4CD6C9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5</w:t>
            </w:r>
          </w:p>
        </w:tc>
        <w:tc>
          <w:tcPr>
            <w:tcW w:w="5076" w:type="dxa"/>
            <w:tcBorders>
              <w:top w:val="nil"/>
              <w:left w:val="nil"/>
              <w:bottom w:val="nil"/>
              <w:right w:val="nil"/>
              <w:tl2br w:val="nil"/>
              <w:tr2bl w:val="nil"/>
            </w:tcBorders>
            <w:tcMar>
              <w:left w:w="60" w:type="dxa"/>
              <w:right w:w="60" w:type="dxa"/>
            </w:tcMar>
            <w:vAlign w:val="center"/>
          </w:tcPr>
          <w:p w14:paraId="47CB6D0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Internal Security Fund (ISF)</w:t>
            </w:r>
          </w:p>
        </w:tc>
        <w:tc>
          <w:tcPr>
            <w:tcW w:w="1804" w:type="dxa"/>
            <w:tcBorders>
              <w:top w:val="nil"/>
              <w:left w:val="nil"/>
              <w:bottom w:val="nil"/>
              <w:right w:val="nil"/>
              <w:tl2br w:val="nil"/>
              <w:tr2bl w:val="nil"/>
            </w:tcBorders>
            <w:tcMar>
              <w:left w:w="60" w:type="dxa"/>
              <w:right w:w="60" w:type="dxa"/>
            </w:tcMar>
            <w:vAlign w:val="center"/>
          </w:tcPr>
          <w:p w14:paraId="6222FB7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636</w:t>
            </w:r>
          </w:p>
        </w:tc>
        <w:tc>
          <w:tcPr>
            <w:tcW w:w="1902" w:type="dxa"/>
            <w:tcBorders>
              <w:top w:val="nil"/>
              <w:left w:val="nil"/>
              <w:bottom w:val="nil"/>
              <w:right w:val="nil"/>
              <w:tl2br w:val="nil"/>
              <w:tr2bl w:val="nil"/>
            </w:tcBorders>
            <w:tcMar>
              <w:left w:w="60" w:type="dxa"/>
              <w:right w:w="60" w:type="dxa"/>
            </w:tcMar>
            <w:vAlign w:val="center"/>
          </w:tcPr>
          <w:p w14:paraId="7315CE1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338</w:t>
            </w:r>
          </w:p>
        </w:tc>
        <w:tc>
          <w:tcPr>
            <w:tcW w:w="1467" w:type="dxa"/>
            <w:tcBorders>
              <w:top w:val="nil"/>
              <w:left w:val="nil"/>
              <w:bottom w:val="nil"/>
              <w:right w:val="nil"/>
              <w:tl2br w:val="nil"/>
              <w:tr2bl w:val="nil"/>
            </w:tcBorders>
            <w:tcMar>
              <w:left w:w="60" w:type="dxa"/>
              <w:right w:w="60" w:type="dxa"/>
            </w:tcMar>
            <w:vAlign w:val="center"/>
          </w:tcPr>
          <w:p w14:paraId="2690E5C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1FCB185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(257)</w:t>
            </w:r>
          </w:p>
        </w:tc>
        <w:tc>
          <w:tcPr>
            <w:tcW w:w="1958" w:type="dxa"/>
            <w:tcBorders>
              <w:top w:val="nil"/>
              <w:left w:val="nil"/>
              <w:bottom w:val="nil"/>
              <w:right w:val="nil"/>
              <w:tl2br w:val="nil"/>
              <w:tr2bl w:val="nil"/>
            </w:tcBorders>
            <w:tcMar>
              <w:left w:w="60" w:type="dxa"/>
              <w:right w:w="60" w:type="dxa"/>
            </w:tcMar>
            <w:vAlign w:val="center"/>
          </w:tcPr>
          <w:p w14:paraId="4D72C6A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717</w:t>
            </w:r>
          </w:p>
        </w:tc>
      </w:tr>
      <w:tr w:rsidR="00807FFE" w14:paraId="5C256FE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02268C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31B4E7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Nuclear decommissioning (Lithuania)</w:t>
            </w:r>
          </w:p>
        </w:tc>
        <w:tc>
          <w:tcPr>
            <w:tcW w:w="1804" w:type="dxa"/>
            <w:tcBorders>
              <w:top w:val="nil"/>
              <w:left w:val="nil"/>
              <w:bottom w:val="nil"/>
              <w:right w:val="nil"/>
              <w:tl2br w:val="nil"/>
              <w:tr2bl w:val="nil"/>
            </w:tcBorders>
            <w:tcMar>
              <w:left w:w="60" w:type="dxa"/>
              <w:right w:w="60" w:type="dxa"/>
            </w:tcMar>
            <w:vAlign w:val="center"/>
          </w:tcPr>
          <w:p w14:paraId="499E552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331</w:t>
            </w:r>
          </w:p>
        </w:tc>
        <w:tc>
          <w:tcPr>
            <w:tcW w:w="1902" w:type="dxa"/>
            <w:tcBorders>
              <w:top w:val="nil"/>
              <w:left w:val="nil"/>
              <w:bottom w:val="nil"/>
              <w:right w:val="nil"/>
              <w:tl2br w:val="nil"/>
              <w:tr2bl w:val="nil"/>
            </w:tcBorders>
            <w:tcMar>
              <w:left w:w="60" w:type="dxa"/>
              <w:right w:w="60" w:type="dxa"/>
            </w:tcMar>
            <w:vAlign w:val="center"/>
          </w:tcPr>
          <w:p w14:paraId="5A362AF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467" w:type="dxa"/>
            <w:tcBorders>
              <w:top w:val="nil"/>
              <w:left w:val="nil"/>
              <w:bottom w:val="nil"/>
              <w:right w:val="nil"/>
              <w:tl2br w:val="nil"/>
              <w:tr2bl w:val="nil"/>
            </w:tcBorders>
            <w:tcMar>
              <w:left w:w="60" w:type="dxa"/>
              <w:right w:w="60" w:type="dxa"/>
            </w:tcMar>
            <w:vAlign w:val="center"/>
          </w:tcPr>
          <w:p w14:paraId="6B1B162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092CC60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(90)</w:t>
            </w:r>
          </w:p>
        </w:tc>
        <w:tc>
          <w:tcPr>
            <w:tcW w:w="1958" w:type="dxa"/>
            <w:tcBorders>
              <w:top w:val="nil"/>
              <w:left w:val="nil"/>
              <w:bottom w:val="nil"/>
              <w:right w:val="nil"/>
              <w:tl2br w:val="nil"/>
              <w:tr2bl w:val="nil"/>
            </w:tcBorders>
            <w:tcMar>
              <w:left w:w="60" w:type="dxa"/>
              <w:right w:w="60" w:type="dxa"/>
            </w:tcMar>
            <w:vAlign w:val="center"/>
          </w:tcPr>
          <w:p w14:paraId="15B5024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315</w:t>
            </w:r>
          </w:p>
        </w:tc>
      </w:tr>
      <w:tr w:rsidR="00807FFE" w14:paraId="363B938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342D267"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58E78F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Nuclear Safety and decommissioning (incl. For Bulgaria and Slovakia)</w:t>
            </w:r>
          </w:p>
        </w:tc>
        <w:tc>
          <w:tcPr>
            <w:tcW w:w="1804" w:type="dxa"/>
            <w:tcBorders>
              <w:top w:val="nil"/>
              <w:left w:val="nil"/>
              <w:bottom w:val="nil"/>
              <w:right w:val="nil"/>
              <w:tl2br w:val="nil"/>
              <w:tr2bl w:val="nil"/>
            </w:tcBorders>
            <w:tcMar>
              <w:left w:w="60" w:type="dxa"/>
              <w:right w:w="60" w:type="dxa"/>
            </w:tcMar>
            <w:vAlign w:val="center"/>
          </w:tcPr>
          <w:p w14:paraId="55C32A0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296</w:t>
            </w:r>
          </w:p>
        </w:tc>
        <w:tc>
          <w:tcPr>
            <w:tcW w:w="1902" w:type="dxa"/>
            <w:tcBorders>
              <w:top w:val="nil"/>
              <w:left w:val="nil"/>
              <w:bottom w:val="nil"/>
              <w:right w:val="nil"/>
              <w:tl2br w:val="nil"/>
              <w:tr2bl w:val="nil"/>
            </w:tcBorders>
            <w:tcMar>
              <w:left w:w="60" w:type="dxa"/>
              <w:right w:w="60" w:type="dxa"/>
            </w:tcMar>
            <w:vAlign w:val="center"/>
          </w:tcPr>
          <w:p w14:paraId="3B30B61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1467" w:type="dxa"/>
            <w:tcBorders>
              <w:top w:val="nil"/>
              <w:left w:val="nil"/>
              <w:bottom w:val="nil"/>
              <w:right w:val="nil"/>
              <w:tl2br w:val="nil"/>
              <w:tr2bl w:val="nil"/>
            </w:tcBorders>
            <w:tcMar>
              <w:left w:w="60" w:type="dxa"/>
              <w:right w:w="60" w:type="dxa"/>
            </w:tcMar>
            <w:vAlign w:val="center"/>
          </w:tcPr>
          <w:p w14:paraId="56C5B4B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79B2CB0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(60)</w:t>
            </w:r>
          </w:p>
        </w:tc>
        <w:tc>
          <w:tcPr>
            <w:tcW w:w="1958" w:type="dxa"/>
            <w:tcBorders>
              <w:top w:val="nil"/>
              <w:left w:val="nil"/>
              <w:bottom w:val="nil"/>
              <w:right w:val="nil"/>
              <w:tl2br w:val="nil"/>
              <w:tr2bl w:val="nil"/>
            </w:tcBorders>
            <w:tcMar>
              <w:left w:w="60" w:type="dxa"/>
              <w:right w:w="60" w:type="dxa"/>
            </w:tcMar>
            <w:vAlign w:val="center"/>
          </w:tcPr>
          <w:p w14:paraId="5B2504F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306</w:t>
            </w:r>
          </w:p>
        </w:tc>
      </w:tr>
      <w:tr w:rsidR="00807FFE" w14:paraId="2397223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69867AF"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FCE67C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6C70613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14:paraId="2E4F251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283</w:t>
            </w:r>
          </w:p>
        </w:tc>
        <w:tc>
          <w:tcPr>
            <w:tcW w:w="1467" w:type="dxa"/>
            <w:tcBorders>
              <w:top w:val="nil"/>
              <w:left w:val="nil"/>
              <w:bottom w:val="nil"/>
              <w:right w:val="nil"/>
              <w:tl2br w:val="nil"/>
              <w:tr2bl w:val="nil"/>
            </w:tcBorders>
            <w:tcMar>
              <w:left w:w="60" w:type="dxa"/>
              <w:right w:w="60" w:type="dxa"/>
            </w:tcMar>
            <w:vAlign w:val="center"/>
          </w:tcPr>
          <w:p w14:paraId="2D4FE68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6D4AF7A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(281)</w:t>
            </w:r>
          </w:p>
        </w:tc>
        <w:tc>
          <w:tcPr>
            <w:tcW w:w="1958" w:type="dxa"/>
            <w:tcBorders>
              <w:top w:val="nil"/>
              <w:left w:val="nil"/>
              <w:bottom w:val="nil"/>
              <w:right w:val="nil"/>
              <w:tl2br w:val="nil"/>
              <w:tr2bl w:val="nil"/>
            </w:tcBorders>
            <w:tcMar>
              <w:left w:w="60" w:type="dxa"/>
              <w:right w:w="60" w:type="dxa"/>
            </w:tcMar>
            <w:vAlign w:val="center"/>
          </w:tcPr>
          <w:p w14:paraId="700C5148"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w:t>
            </w:r>
          </w:p>
        </w:tc>
      </w:tr>
      <w:tr w:rsidR="00807FFE" w14:paraId="2CD7291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808FAA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B842AD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686B411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14:paraId="75AD96F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14:paraId="1F84E8E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48E8C7A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14:paraId="25403FAA"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8577EE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550F48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DC1EBB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1804" w:type="dxa"/>
            <w:tcBorders>
              <w:top w:val="nil"/>
              <w:left w:val="nil"/>
              <w:bottom w:val="nil"/>
              <w:right w:val="nil"/>
              <w:tl2br w:val="nil"/>
              <w:tr2bl w:val="nil"/>
            </w:tcBorders>
            <w:tcMar>
              <w:left w:w="60" w:type="dxa"/>
              <w:right w:w="60" w:type="dxa"/>
            </w:tcMar>
            <w:vAlign w:val="center"/>
          </w:tcPr>
          <w:p w14:paraId="337B701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902" w:type="dxa"/>
            <w:tcBorders>
              <w:top w:val="nil"/>
              <w:left w:val="nil"/>
              <w:bottom w:val="nil"/>
              <w:right w:val="nil"/>
              <w:tl2br w:val="nil"/>
              <w:tr2bl w:val="nil"/>
            </w:tcBorders>
            <w:tcMar>
              <w:left w:w="60" w:type="dxa"/>
              <w:right w:w="60" w:type="dxa"/>
            </w:tcMar>
            <w:vAlign w:val="center"/>
          </w:tcPr>
          <w:p w14:paraId="2188023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467" w:type="dxa"/>
            <w:tcBorders>
              <w:top w:val="nil"/>
              <w:left w:val="nil"/>
              <w:bottom w:val="nil"/>
              <w:right w:val="nil"/>
              <w:tl2br w:val="nil"/>
              <w:tr2bl w:val="nil"/>
            </w:tcBorders>
            <w:tcMar>
              <w:left w:w="60" w:type="dxa"/>
              <w:right w:w="60" w:type="dxa"/>
            </w:tcMar>
            <w:vAlign w:val="center"/>
          </w:tcPr>
          <w:p w14:paraId="79C8D17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2819916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958" w:type="dxa"/>
            <w:tcBorders>
              <w:top w:val="nil"/>
              <w:left w:val="nil"/>
              <w:bottom w:val="nil"/>
              <w:right w:val="nil"/>
              <w:tl2br w:val="nil"/>
              <w:tr2bl w:val="nil"/>
            </w:tcBorders>
            <w:tcMar>
              <w:left w:w="60" w:type="dxa"/>
              <w:right w:w="60" w:type="dxa"/>
            </w:tcMar>
            <w:vAlign w:val="center"/>
          </w:tcPr>
          <w:p w14:paraId="77EB48DF"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23</w:t>
            </w:r>
          </w:p>
        </w:tc>
      </w:tr>
      <w:tr w:rsidR="00807FFE" w14:paraId="3EE9049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FAC79B2"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6C5A5B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Defence Fund (Research)</w:t>
            </w:r>
          </w:p>
        </w:tc>
        <w:tc>
          <w:tcPr>
            <w:tcW w:w="1804" w:type="dxa"/>
            <w:tcBorders>
              <w:top w:val="nil"/>
              <w:left w:val="nil"/>
              <w:bottom w:val="nil"/>
              <w:right w:val="nil"/>
              <w:tl2br w:val="nil"/>
              <w:tr2bl w:val="nil"/>
            </w:tcBorders>
            <w:tcMar>
              <w:left w:w="60" w:type="dxa"/>
              <w:right w:w="60" w:type="dxa"/>
            </w:tcMar>
            <w:vAlign w:val="center"/>
          </w:tcPr>
          <w:p w14:paraId="27722CE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788</w:t>
            </w:r>
          </w:p>
        </w:tc>
        <w:tc>
          <w:tcPr>
            <w:tcW w:w="1902" w:type="dxa"/>
            <w:tcBorders>
              <w:top w:val="nil"/>
              <w:left w:val="nil"/>
              <w:bottom w:val="nil"/>
              <w:right w:val="nil"/>
              <w:tl2br w:val="nil"/>
              <w:tr2bl w:val="nil"/>
            </w:tcBorders>
            <w:tcMar>
              <w:left w:w="60" w:type="dxa"/>
              <w:right w:w="60" w:type="dxa"/>
            </w:tcMar>
            <w:vAlign w:val="center"/>
          </w:tcPr>
          <w:p w14:paraId="6230625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400</w:t>
            </w:r>
          </w:p>
        </w:tc>
        <w:tc>
          <w:tcPr>
            <w:tcW w:w="1467" w:type="dxa"/>
            <w:tcBorders>
              <w:top w:val="nil"/>
              <w:left w:val="nil"/>
              <w:bottom w:val="nil"/>
              <w:right w:val="nil"/>
              <w:tl2br w:val="nil"/>
              <w:tr2bl w:val="nil"/>
            </w:tcBorders>
            <w:tcMar>
              <w:left w:w="60" w:type="dxa"/>
              <w:right w:w="60" w:type="dxa"/>
            </w:tcMar>
            <w:vAlign w:val="center"/>
          </w:tcPr>
          <w:p w14:paraId="7539A30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3F314F2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(295)</w:t>
            </w:r>
          </w:p>
        </w:tc>
        <w:tc>
          <w:tcPr>
            <w:tcW w:w="1958" w:type="dxa"/>
            <w:tcBorders>
              <w:top w:val="nil"/>
              <w:left w:val="nil"/>
              <w:bottom w:val="nil"/>
              <w:right w:val="nil"/>
              <w:tl2br w:val="nil"/>
              <w:tr2bl w:val="nil"/>
            </w:tcBorders>
            <w:tcMar>
              <w:left w:w="60" w:type="dxa"/>
              <w:right w:w="60" w:type="dxa"/>
            </w:tcMar>
            <w:vAlign w:val="center"/>
          </w:tcPr>
          <w:p w14:paraId="61B6DA7E"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892</w:t>
            </w:r>
          </w:p>
        </w:tc>
      </w:tr>
      <w:tr w:rsidR="00807FFE" w14:paraId="5D01401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C62EA02"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9B8029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Defence Fund (Non Research)</w:t>
            </w:r>
          </w:p>
        </w:tc>
        <w:tc>
          <w:tcPr>
            <w:tcW w:w="1804" w:type="dxa"/>
            <w:tcBorders>
              <w:top w:val="nil"/>
              <w:left w:val="nil"/>
              <w:bottom w:val="nil"/>
              <w:right w:val="nil"/>
              <w:tl2br w:val="nil"/>
              <w:tr2bl w:val="nil"/>
            </w:tcBorders>
            <w:tcMar>
              <w:left w:w="60" w:type="dxa"/>
              <w:right w:w="60" w:type="dxa"/>
            </w:tcMar>
            <w:vAlign w:val="center"/>
          </w:tcPr>
          <w:p w14:paraId="3347B5E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1 458</w:t>
            </w:r>
          </w:p>
        </w:tc>
        <w:tc>
          <w:tcPr>
            <w:tcW w:w="1902" w:type="dxa"/>
            <w:tcBorders>
              <w:top w:val="nil"/>
              <w:left w:val="nil"/>
              <w:bottom w:val="nil"/>
              <w:right w:val="nil"/>
              <w:tl2br w:val="nil"/>
              <w:tr2bl w:val="nil"/>
            </w:tcBorders>
            <w:tcMar>
              <w:left w:w="60" w:type="dxa"/>
              <w:right w:w="60" w:type="dxa"/>
            </w:tcMar>
            <w:vAlign w:val="center"/>
          </w:tcPr>
          <w:p w14:paraId="611ABD2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1 026</w:t>
            </w:r>
          </w:p>
        </w:tc>
        <w:tc>
          <w:tcPr>
            <w:tcW w:w="1467" w:type="dxa"/>
            <w:tcBorders>
              <w:top w:val="nil"/>
              <w:left w:val="nil"/>
              <w:bottom w:val="nil"/>
              <w:right w:val="nil"/>
              <w:tl2br w:val="nil"/>
              <w:tr2bl w:val="nil"/>
            </w:tcBorders>
            <w:tcMar>
              <w:left w:w="60" w:type="dxa"/>
              <w:right w:w="60" w:type="dxa"/>
            </w:tcMar>
            <w:vAlign w:val="center"/>
          </w:tcPr>
          <w:p w14:paraId="59D777A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A153BF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(562)</w:t>
            </w:r>
          </w:p>
        </w:tc>
        <w:tc>
          <w:tcPr>
            <w:tcW w:w="1958" w:type="dxa"/>
            <w:tcBorders>
              <w:top w:val="nil"/>
              <w:left w:val="nil"/>
              <w:bottom w:val="nil"/>
              <w:right w:val="nil"/>
              <w:tl2br w:val="nil"/>
              <w:tr2bl w:val="nil"/>
            </w:tcBorders>
            <w:tcMar>
              <w:left w:w="60" w:type="dxa"/>
              <w:right w:w="60" w:type="dxa"/>
            </w:tcMar>
            <w:vAlign w:val="center"/>
          </w:tcPr>
          <w:p w14:paraId="5BAB7DA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1 920</w:t>
            </w:r>
          </w:p>
        </w:tc>
      </w:tr>
      <w:tr w:rsidR="00807FFE" w14:paraId="31B9F08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04C84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684841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Military Mobility</w:t>
            </w:r>
          </w:p>
        </w:tc>
        <w:tc>
          <w:tcPr>
            <w:tcW w:w="1804" w:type="dxa"/>
            <w:tcBorders>
              <w:top w:val="nil"/>
              <w:left w:val="nil"/>
              <w:bottom w:val="nil"/>
              <w:right w:val="nil"/>
              <w:tl2br w:val="nil"/>
              <w:tr2bl w:val="nil"/>
            </w:tcBorders>
            <w:tcMar>
              <w:left w:w="60" w:type="dxa"/>
              <w:right w:w="60" w:type="dxa"/>
            </w:tcMar>
            <w:vAlign w:val="center"/>
          </w:tcPr>
          <w:p w14:paraId="74CD467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291</w:t>
            </w:r>
          </w:p>
        </w:tc>
        <w:tc>
          <w:tcPr>
            <w:tcW w:w="1902" w:type="dxa"/>
            <w:tcBorders>
              <w:top w:val="nil"/>
              <w:left w:val="nil"/>
              <w:bottom w:val="nil"/>
              <w:right w:val="nil"/>
              <w:tl2br w:val="nil"/>
              <w:tr2bl w:val="nil"/>
            </w:tcBorders>
            <w:tcMar>
              <w:left w:w="60" w:type="dxa"/>
              <w:right w:w="60" w:type="dxa"/>
            </w:tcMar>
            <w:vAlign w:val="center"/>
          </w:tcPr>
          <w:p w14:paraId="02144B3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252</w:t>
            </w:r>
          </w:p>
        </w:tc>
        <w:tc>
          <w:tcPr>
            <w:tcW w:w="1467" w:type="dxa"/>
            <w:tcBorders>
              <w:top w:val="nil"/>
              <w:left w:val="nil"/>
              <w:bottom w:val="nil"/>
              <w:right w:val="nil"/>
              <w:tl2br w:val="nil"/>
              <w:tr2bl w:val="nil"/>
            </w:tcBorders>
            <w:tcMar>
              <w:left w:w="60" w:type="dxa"/>
              <w:right w:w="60" w:type="dxa"/>
            </w:tcMar>
            <w:vAlign w:val="center"/>
          </w:tcPr>
          <w:p w14:paraId="5F95979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08E5D20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(136)</w:t>
            </w:r>
          </w:p>
        </w:tc>
        <w:tc>
          <w:tcPr>
            <w:tcW w:w="1958" w:type="dxa"/>
            <w:tcBorders>
              <w:top w:val="nil"/>
              <w:left w:val="nil"/>
              <w:bottom w:val="nil"/>
              <w:right w:val="nil"/>
              <w:tl2br w:val="nil"/>
              <w:tr2bl w:val="nil"/>
            </w:tcBorders>
            <w:tcMar>
              <w:left w:w="60" w:type="dxa"/>
              <w:right w:w="60" w:type="dxa"/>
            </w:tcMar>
            <w:vAlign w:val="center"/>
          </w:tcPr>
          <w:p w14:paraId="73B63FC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407</w:t>
            </w:r>
          </w:p>
        </w:tc>
      </w:tr>
      <w:tr w:rsidR="00807FFE" w14:paraId="282316E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54DB4F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124A24D"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Short-term Defence instrument on common procurement</w:t>
            </w:r>
          </w:p>
        </w:tc>
        <w:tc>
          <w:tcPr>
            <w:tcW w:w="1804" w:type="dxa"/>
            <w:tcBorders>
              <w:top w:val="nil"/>
              <w:left w:val="nil"/>
              <w:bottom w:val="nil"/>
              <w:right w:val="nil"/>
              <w:tl2br w:val="nil"/>
              <w:tr2bl w:val="nil"/>
            </w:tcBorders>
            <w:tcMar>
              <w:left w:w="60" w:type="dxa"/>
              <w:right w:w="60" w:type="dxa"/>
            </w:tcMar>
            <w:vAlign w:val="center"/>
          </w:tcPr>
          <w:p w14:paraId="057348C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259</w:t>
            </w:r>
          </w:p>
        </w:tc>
        <w:tc>
          <w:tcPr>
            <w:tcW w:w="1902" w:type="dxa"/>
            <w:tcBorders>
              <w:top w:val="nil"/>
              <w:left w:val="nil"/>
              <w:bottom w:val="nil"/>
              <w:right w:val="nil"/>
              <w:tl2br w:val="nil"/>
              <w:tr2bl w:val="nil"/>
            </w:tcBorders>
            <w:tcMar>
              <w:left w:w="60" w:type="dxa"/>
              <w:right w:w="60" w:type="dxa"/>
            </w:tcMar>
            <w:vAlign w:val="center"/>
          </w:tcPr>
          <w:p w14:paraId="32BAD35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1467" w:type="dxa"/>
            <w:tcBorders>
              <w:top w:val="nil"/>
              <w:left w:val="nil"/>
              <w:bottom w:val="nil"/>
              <w:right w:val="nil"/>
              <w:tl2br w:val="nil"/>
              <w:tr2bl w:val="nil"/>
            </w:tcBorders>
            <w:tcMar>
              <w:left w:w="60" w:type="dxa"/>
              <w:right w:w="60" w:type="dxa"/>
            </w:tcMar>
            <w:vAlign w:val="center"/>
          </w:tcPr>
          <w:p w14:paraId="444B093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0DADAE4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1958" w:type="dxa"/>
            <w:tcBorders>
              <w:top w:val="nil"/>
              <w:left w:val="nil"/>
              <w:bottom w:val="nil"/>
              <w:right w:val="nil"/>
              <w:tl2br w:val="nil"/>
              <w:tr2bl w:val="nil"/>
            </w:tcBorders>
            <w:tcMar>
              <w:left w:w="60" w:type="dxa"/>
              <w:right w:w="60" w:type="dxa"/>
            </w:tcMar>
            <w:vAlign w:val="center"/>
          </w:tcPr>
          <w:p w14:paraId="5B03496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237</w:t>
            </w:r>
          </w:p>
        </w:tc>
      </w:tr>
      <w:tr w:rsidR="00807FFE" w14:paraId="3590A0B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532A81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3680E3D"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Defence Industrial Reinforcement Instrument</w:t>
            </w:r>
          </w:p>
        </w:tc>
        <w:tc>
          <w:tcPr>
            <w:tcW w:w="1804" w:type="dxa"/>
            <w:tcBorders>
              <w:top w:val="nil"/>
              <w:left w:val="nil"/>
              <w:bottom w:val="nil"/>
              <w:right w:val="nil"/>
              <w:tl2br w:val="nil"/>
              <w:tr2bl w:val="nil"/>
            </w:tcBorders>
            <w:tcMar>
              <w:left w:w="60" w:type="dxa"/>
              <w:right w:w="60" w:type="dxa"/>
            </w:tcMar>
            <w:vAlign w:val="center"/>
          </w:tcPr>
          <w:p w14:paraId="29F732B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343</w:t>
            </w:r>
          </w:p>
        </w:tc>
        <w:tc>
          <w:tcPr>
            <w:tcW w:w="1902" w:type="dxa"/>
            <w:tcBorders>
              <w:top w:val="nil"/>
              <w:left w:val="nil"/>
              <w:bottom w:val="nil"/>
              <w:right w:val="nil"/>
              <w:tl2br w:val="nil"/>
              <w:tr2bl w:val="nil"/>
            </w:tcBorders>
            <w:tcMar>
              <w:left w:w="60" w:type="dxa"/>
              <w:right w:w="60" w:type="dxa"/>
            </w:tcMar>
            <w:vAlign w:val="center"/>
          </w:tcPr>
          <w:p w14:paraId="0B61A0A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14:paraId="3B5CD80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73D912B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958" w:type="dxa"/>
            <w:tcBorders>
              <w:top w:val="nil"/>
              <w:left w:val="nil"/>
              <w:bottom w:val="nil"/>
              <w:right w:val="nil"/>
              <w:tl2br w:val="nil"/>
              <w:tr2bl w:val="nil"/>
            </w:tcBorders>
            <w:tcMar>
              <w:left w:w="60" w:type="dxa"/>
              <w:right w:w="60" w:type="dxa"/>
            </w:tcMar>
            <w:vAlign w:val="center"/>
          </w:tcPr>
          <w:p w14:paraId="69B08FF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290</w:t>
            </w:r>
          </w:p>
        </w:tc>
      </w:tr>
      <w:tr w:rsidR="00807FFE" w14:paraId="064FCA9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8729B7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FC22DC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Defence Industry Programme</w:t>
            </w:r>
          </w:p>
        </w:tc>
        <w:tc>
          <w:tcPr>
            <w:tcW w:w="1804" w:type="dxa"/>
            <w:tcBorders>
              <w:top w:val="nil"/>
              <w:left w:val="nil"/>
              <w:bottom w:val="nil"/>
              <w:right w:val="nil"/>
              <w:tl2br w:val="nil"/>
              <w:tr2bl w:val="nil"/>
            </w:tcBorders>
            <w:tcMar>
              <w:left w:w="60" w:type="dxa"/>
              <w:right w:w="60" w:type="dxa"/>
            </w:tcMar>
            <w:vAlign w:val="center"/>
          </w:tcPr>
          <w:p w14:paraId="4762B1B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30496AF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14:paraId="0B994E4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135C3397"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5333D3C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99BE7E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E1CBCA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F7E47C7"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5A9499D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14:paraId="11DE094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14:paraId="0E1773B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34BE00E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14:paraId="783663B4"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9ECE06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D1C57F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36790C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1804" w:type="dxa"/>
            <w:tcBorders>
              <w:top w:val="nil"/>
              <w:left w:val="nil"/>
              <w:bottom w:val="nil"/>
              <w:right w:val="nil"/>
              <w:tl2br w:val="nil"/>
              <w:tr2bl w:val="nil"/>
            </w:tcBorders>
            <w:tcMar>
              <w:left w:w="60" w:type="dxa"/>
              <w:right w:w="60" w:type="dxa"/>
            </w:tcMar>
            <w:vAlign w:val="center"/>
          </w:tcPr>
          <w:p w14:paraId="4729C0F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902" w:type="dxa"/>
            <w:tcBorders>
              <w:top w:val="nil"/>
              <w:left w:val="nil"/>
              <w:bottom w:val="nil"/>
              <w:right w:val="nil"/>
              <w:tl2br w:val="nil"/>
              <w:tr2bl w:val="nil"/>
            </w:tcBorders>
            <w:tcMar>
              <w:left w:w="60" w:type="dxa"/>
              <w:right w:w="60" w:type="dxa"/>
            </w:tcMar>
            <w:vAlign w:val="center"/>
          </w:tcPr>
          <w:p w14:paraId="27DB9C3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158</w:t>
            </w:r>
          </w:p>
        </w:tc>
        <w:tc>
          <w:tcPr>
            <w:tcW w:w="1467" w:type="dxa"/>
            <w:tcBorders>
              <w:top w:val="nil"/>
              <w:left w:val="nil"/>
              <w:bottom w:val="nil"/>
              <w:right w:val="nil"/>
              <w:tl2br w:val="nil"/>
              <w:tr2bl w:val="nil"/>
            </w:tcBorders>
            <w:tcMar>
              <w:left w:w="60" w:type="dxa"/>
              <w:right w:w="60" w:type="dxa"/>
            </w:tcMar>
            <w:vAlign w:val="center"/>
          </w:tcPr>
          <w:p w14:paraId="2F03D7F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4180381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1958" w:type="dxa"/>
            <w:tcBorders>
              <w:top w:val="nil"/>
              <w:left w:val="nil"/>
              <w:bottom w:val="nil"/>
              <w:right w:val="nil"/>
              <w:tl2br w:val="nil"/>
              <w:tr2bl w:val="nil"/>
            </w:tcBorders>
            <w:tcMar>
              <w:left w:w="60" w:type="dxa"/>
              <w:right w:w="60" w:type="dxa"/>
            </w:tcMar>
            <w:vAlign w:val="center"/>
          </w:tcPr>
          <w:p w14:paraId="6EF436F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123</w:t>
            </w:r>
          </w:p>
        </w:tc>
      </w:tr>
      <w:tr w:rsidR="00807FFE" w14:paraId="49B029C1"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7F694D8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05D0B8F2"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5: Security and Defence</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3353E1A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4 445</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3405617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2 666</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4D7823B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14FEDA0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(1 872)</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0FFF2160"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5 239</w:t>
            </w:r>
          </w:p>
        </w:tc>
      </w:tr>
      <w:tr w:rsidR="00807FFE" w14:paraId="6AE545A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63EAEB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DC0DDD9" w14:textId="77777777" w:rsidR="00807FFE" w:rsidRDefault="00807FFE">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5B0B98FC"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66F8DC81"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74301C59"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74BC7A37"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7DA981CB" w14:textId="77777777" w:rsidR="00807FFE" w:rsidRDefault="00807FFE">
            <w:pPr>
              <w:pStyle w:val="DMETW36742BIPDetailedMFF4Commitmentsoustanding"/>
              <w:jc w:val="right"/>
              <w:rPr>
                <w:rFonts w:ascii="Verdana" w:eastAsia="Verdana" w:hAnsi="Verdana" w:cs="Verdana"/>
                <w:noProof/>
                <w:color w:val="000000"/>
                <w:sz w:val="16"/>
                <w:lang w:bidi="en-GB"/>
              </w:rPr>
            </w:pPr>
          </w:p>
        </w:tc>
      </w:tr>
      <w:tr w:rsidR="00807FFE" w14:paraId="4C717E8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8ADE9B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6</w:t>
            </w:r>
          </w:p>
        </w:tc>
        <w:tc>
          <w:tcPr>
            <w:tcW w:w="5076" w:type="dxa"/>
            <w:tcBorders>
              <w:top w:val="nil"/>
              <w:left w:val="nil"/>
              <w:bottom w:val="nil"/>
              <w:right w:val="nil"/>
              <w:tl2br w:val="nil"/>
              <w:tr2bl w:val="nil"/>
            </w:tcBorders>
            <w:tcMar>
              <w:left w:w="60" w:type="dxa"/>
              <w:right w:w="60" w:type="dxa"/>
            </w:tcMar>
            <w:vAlign w:val="center"/>
          </w:tcPr>
          <w:p w14:paraId="42EBE76C"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Neighbourhood, Development and International Cooperation Instrument - Global Europe ( NDICI - Global Europe )</w:t>
            </w:r>
          </w:p>
        </w:tc>
        <w:tc>
          <w:tcPr>
            <w:tcW w:w="1804" w:type="dxa"/>
            <w:tcBorders>
              <w:top w:val="nil"/>
              <w:left w:val="nil"/>
              <w:bottom w:val="nil"/>
              <w:right w:val="nil"/>
              <w:tl2br w:val="nil"/>
              <w:tr2bl w:val="nil"/>
            </w:tcBorders>
            <w:tcMar>
              <w:left w:w="60" w:type="dxa"/>
              <w:right w:w="60" w:type="dxa"/>
            </w:tcMar>
            <w:vAlign w:val="center"/>
          </w:tcPr>
          <w:p w14:paraId="6F1A014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32 397</w:t>
            </w:r>
          </w:p>
        </w:tc>
        <w:tc>
          <w:tcPr>
            <w:tcW w:w="1902" w:type="dxa"/>
            <w:tcBorders>
              <w:top w:val="nil"/>
              <w:left w:val="nil"/>
              <w:bottom w:val="nil"/>
              <w:right w:val="nil"/>
              <w:tl2br w:val="nil"/>
              <w:tr2bl w:val="nil"/>
            </w:tcBorders>
            <w:tcMar>
              <w:left w:w="60" w:type="dxa"/>
              <w:right w:w="60" w:type="dxa"/>
            </w:tcMar>
            <w:vAlign w:val="center"/>
          </w:tcPr>
          <w:p w14:paraId="53AF37D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11 361</w:t>
            </w:r>
          </w:p>
        </w:tc>
        <w:tc>
          <w:tcPr>
            <w:tcW w:w="1467" w:type="dxa"/>
            <w:tcBorders>
              <w:top w:val="nil"/>
              <w:left w:val="nil"/>
              <w:bottom w:val="nil"/>
              <w:right w:val="nil"/>
              <w:tl2br w:val="nil"/>
              <w:tr2bl w:val="nil"/>
            </w:tcBorders>
            <w:tcMar>
              <w:left w:w="60" w:type="dxa"/>
              <w:right w:w="60" w:type="dxa"/>
            </w:tcMar>
            <w:vAlign w:val="center"/>
          </w:tcPr>
          <w:p w14:paraId="03FD03B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(300)</w:t>
            </w:r>
          </w:p>
        </w:tc>
        <w:tc>
          <w:tcPr>
            <w:tcW w:w="2141" w:type="dxa"/>
            <w:tcBorders>
              <w:top w:val="nil"/>
              <w:left w:val="nil"/>
              <w:bottom w:val="nil"/>
              <w:right w:val="nil"/>
              <w:tl2br w:val="nil"/>
              <w:tr2bl w:val="nil"/>
            </w:tcBorders>
            <w:tcMar>
              <w:left w:w="60" w:type="dxa"/>
              <w:right w:w="60" w:type="dxa"/>
            </w:tcMar>
            <w:vAlign w:val="center"/>
          </w:tcPr>
          <w:p w14:paraId="1C83BB6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(9 934)</w:t>
            </w:r>
          </w:p>
        </w:tc>
        <w:tc>
          <w:tcPr>
            <w:tcW w:w="1958" w:type="dxa"/>
            <w:tcBorders>
              <w:top w:val="nil"/>
              <w:left w:val="nil"/>
              <w:bottom w:val="nil"/>
              <w:right w:val="nil"/>
              <w:tl2br w:val="nil"/>
              <w:tr2bl w:val="nil"/>
            </w:tcBorders>
            <w:tcMar>
              <w:left w:w="60" w:type="dxa"/>
              <w:right w:w="60" w:type="dxa"/>
            </w:tcMar>
            <w:vAlign w:val="center"/>
          </w:tcPr>
          <w:p w14:paraId="04B91BF0"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33 524</w:t>
            </w:r>
          </w:p>
        </w:tc>
      </w:tr>
      <w:tr w:rsidR="00807FFE" w14:paraId="51C0113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9101806"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976783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Instrument for International Nuclear Safety Cooperation (INSC)</w:t>
            </w:r>
          </w:p>
        </w:tc>
        <w:tc>
          <w:tcPr>
            <w:tcW w:w="1804" w:type="dxa"/>
            <w:tcBorders>
              <w:top w:val="nil"/>
              <w:left w:val="nil"/>
              <w:bottom w:val="nil"/>
              <w:right w:val="nil"/>
              <w:tl2br w:val="nil"/>
              <w:tr2bl w:val="nil"/>
            </w:tcBorders>
            <w:tcMar>
              <w:left w:w="60" w:type="dxa"/>
              <w:right w:w="60" w:type="dxa"/>
            </w:tcMar>
            <w:vAlign w:val="center"/>
          </w:tcPr>
          <w:p w14:paraId="10EFC91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137</w:t>
            </w:r>
          </w:p>
        </w:tc>
        <w:tc>
          <w:tcPr>
            <w:tcW w:w="1902" w:type="dxa"/>
            <w:tcBorders>
              <w:top w:val="nil"/>
              <w:left w:val="nil"/>
              <w:bottom w:val="nil"/>
              <w:right w:val="nil"/>
              <w:tl2br w:val="nil"/>
              <w:tr2bl w:val="nil"/>
            </w:tcBorders>
            <w:tcMar>
              <w:left w:w="60" w:type="dxa"/>
              <w:right w:w="60" w:type="dxa"/>
            </w:tcMar>
            <w:vAlign w:val="center"/>
          </w:tcPr>
          <w:p w14:paraId="5A02B77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66</w:t>
            </w:r>
          </w:p>
        </w:tc>
        <w:tc>
          <w:tcPr>
            <w:tcW w:w="1467" w:type="dxa"/>
            <w:tcBorders>
              <w:top w:val="nil"/>
              <w:left w:val="nil"/>
              <w:bottom w:val="nil"/>
              <w:right w:val="nil"/>
              <w:tl2br w:val="nil"/>
              <w:tr2bl w:val="nil"/>
            </w:tcBorders>
            <w:tcMar>
              <w:left w:w="60" w:type="dxa"/>
              <w:right w:w="60" w:type="dxa"/>
            </w:tcMar>
            <w:vAlign w:val="center"/>
          </w:tcPr>
          <w:p w14:paraId="35456C4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4358D3E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1958" w:type="dxa"/>
            <w:tcBorders>
              <w:top w:val="nil"/>
              <w:left w:val="nil"/>
              <w:bottom w:val="nil"/>
              <w:right w:val="nil"/>
              <w:tl2br w:val="nil"/>
              <w:tr2bl w:val="nil"/>
            </w:tcBorders>
            <w:tcMar>
              <w:left w:w="60" w:type="dxa"/>
              <w:right w:w="60" w:type="dxa"/>
            </w:tcMar>
            <w:vAlign w:val="center"/>
          </w:tcPr>
          <w:p w14:paraId="41C5865A"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139</w:t>
            </w:r>
          </w:p>
        </w:tc>
      </w:tr>
      <w:tr w:rsidR="00807FFE" w14:paraId="1B95EA7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0609796"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4A428F7"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Humanitarian Aid (HUMA)</w:t>
            </w:r>
          </w:p>
        </w:tc>
        <w:tc>
          <w:tcPr>
            <w:tcW w:w="1804" w:type="dxa"/>
            <w:tcBorders>
              <w:top w:val="nil"/>
              <w:left w:val="nil"/>
              <w:bottom w:val="nil"/>
              <w:right w:val="nil"/>
              <w:tl2br w:val="nil"/>
              <w:tr2bl w:val="nil"/>
            </w:tcBorders>
            <w:tcMar>
              <w:left w:w="60" w:type="dxa"/>
              <w:right w:w="60" w:type="dxa"/>
            </w:tcMar>
            <w:vAlign w:val="center"/>
          </w:tcPr>
          <w:p w14:paraId="48C44C8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1 127</w:t>
            </w:r>
          </w:p>
        </w:tc>
        <w:tc>
          <w:tcPr>
            <w:tcW w:w="1902" w:type="dxa"/>
            <w:tcBorders>
              <w:top w:val="nil"/>
              <w:left w:val="nil"/>
              <w:bottom w:val="nil"/>
              <w:right w:val="nil"/>
              <w:tl2br w:val="nil"/>
              <w:tr2bl w:val="nil"/>
            </w:tcBorders>
            <w:tcMar>
              <w:left w:w="60" w:type="dxa"/>
              <w:right w:w="60" w:type="dxa"/>
            </w:tcMar>
            <w:vAlign w:val="center"/>
          </w:tcPr>
          <w:p w14:paraId="2DB94EE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2 575</w:t>
            </w:r>
          </w:p>
        </w:tc>
        <w:tc>
          <w:tcPr>
            <w:tcW w:w="1467" w:type="dxa"/>
            <w:tcBorders>
              <w:top w:val="nil"/>
              <w:left w:val="nil"/>
              <w:bottom w:val="nil"/>
              <w:right w:val="nil"/>
              <w:tl2br w:val="nil"/>
              <w:tr2bl w:val="nil"/>
            </w:tcBorders>
            <w:tcMar>
              <w:left w:w="60" w:type="dxa"/>
              <w:right w:w="60" w:type="dxa"/>
            </w:tcMar>
            <w:vAlign w:val="center"/>
          </w:tcPr>
          <w:p w14:paraId="3914EF0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2141" w:type="dxa"/>
            <w:tcBorders>
              <w:top w:val="nil"/>
              <w:left w:val="nil"/>
              <w:bottom w:val="nil"/>
              <w:right w:val="nil"/>
              <w:tl2br w:val="nil"/>
              <w:tr2bl w:val="nil"/>
            </w:tcBorders>
            <w:tcMar>
              <w:left w:w="60" w:type="dxa"/>
              <w:right w:w="60" w:type="dxa"/>
            </w:tcMar>
            <w:vAlign w:val="center"/>
          </w:tcPr>
          <w:p w14:paraId="7322A3B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(2 476)</w:t>
            </w:r>
          </w:p>
        </w:tc>
        <w:tc>
          <w:tcPr>
            <w:tcW w:w="1958" w:type="dxa"/>
            <w:tcBorders>
              <w:top w:val="nil"/>
              <w:left w:val="nil"/>
              <w:bottom w:val="nil"/>
              <w:right w:val="nil"/>
              <w:tl2br w:val="nil"/>
              <w:tr2bl w:val="nil"/>
            </w:tcBorders>
            <w:tcMar>
              <w:left w:w="60" w:type="dxa"/>
              <w:right w:w="60" w:type="dxa"/>
            </w:tcMar>
            <w:vAlign w:val="center"/>
          </w:tcPr>
          <w:p w14:paraId="12EFFBA7"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1 214</w:t>
            </w:r>
          </w:p>
        </w:tc>
      </w:tr>
      <w:tr w:rsidR="00807FFE" w14:paraId="0371A50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151BFC9"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8375DF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Common Foreign and Security Policy (CFSP)</w:t>
            </w:r>
          </w:p>
        </w:tc>
        <w:tc>
          <w:tcPr>
            <w:tcW w:w="1804" w:type="dxa"/>
            <w:tcBorders>
              <w:top w:val="nil"/>
              <w:left w:val="nil"/>
              <w:bottom w:val="nil"/>
              <w:right w:val="nil"/>
              <w:tl2br w:val="nil"/>
              <w:tr2bl w:val="nil"/>
            </w:tcBorders>
            <w:tcMar>
              <w:left w:w="60" w:type="dxa"/>
              <w:right w:w="60" w:type="dxa"/>
            </w:tcMar>
            <w:vAlign w:val="center"/>
          </w:tcPr>
          <w:p w14:paraId="1F1C54F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96</w:t>
            </w:r>
          </w:p>
        </w:tc>
        <w:tc>
          <w:tcPr>
            <w:tcW w:w="1902" w:type="dxa"/>
            <w:tcBorders>
              <w:top w:val="nil"/>
              <w:left w:val="nil"/>
              <w:bottom w:val="nil"/>
              <w:right w:val="nil"/>
              <w:tl2br w:val="nil"/>
              <w:tr2bl w:val="nil"/>
            </w:tcBorders>
            <w:tcMar>
              <w:left w:w="60" w:type="dxa"/>
              <w:right w:w="60" w:type="dxa"/>
            </w:tcMar>
            <w:vAlign w:val="center"/>
          </w:tcPr>
          <w:p w14:paraId="1CF4AD8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419</w:t>
            </w:r>
          </w:p>
        </w:tc>
        <w:tc>
          <w:tcPr>
            <w:tcW w:w="1467" w:type="dxa"/>
            <w:tcBorders>
              <w:top w:val="nil"/>
              <w:left w:val="nil"/>
              <w:bottom w:val="nil"/>
              <w:right w:val="nil"/>
              <w:tl2br w:val="nil"/>
              <w:tr2bl w:val="nil"/>
            </w:tcBorders>
            <w:tcMar>
              <w:left w:w="60" w:type="dxa"/>
              <w:right w:w="60" w:type="dxa"/>
            </w:tcMar>
            <w:vAlign w:val="center"/>
          </w:tcPr>
          <w:p w14:paraId="71B2AC9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2141" w:type="dxa"/>
            <w:tcBorders>
              <w:top w:val="nil"/>
              <w:left w:val="nil"/>
              <w:bottom w:val="nil"/>
              <w:right w:val="nil"/>
              <w:tl2br w:val="nil"/>
              <w:tr2bl w:val="nil"/>
            </w:tcBorders>
            <w:tcMar>
              <w:left w:w="60" w:type="dxa"/>
              <w:right w:w="60" w:type="dxa"/>
            </w:tcMar>
            <w:vAlign w:val="center"/>
          </w:tcPr>
          <w:p w14:paraId="6E935FA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(426)</w:t>
            </w:r>
          </w:p>
        </w:tc>
        <w:tc>
          <w:tcPr>
            <w:tcW w:w="1958" w:type="dxa"/>
            <w:tcBorders>
              <w:top w:val="nil"/>
              <w:left w:val="nil"/>
              <w:bottom w:val="nil"/>
              <w:right w:val="nil"/>
              <w:tl2br w:val="nil"/>
              <w:tr2bl w:val="nil"/>
            </w:tcBorders>
            <w:tcMar>
              <w:left w:w="60" w:type="dxa"/>
              <w:right w:w="60" w:type="dxa"/>
            </w:tcMar>
            <w:vAlign w:val="center"/>
          </w:tcPr>
          <w:p w14:paraId="26C8E12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76</w:t>
            </w:r>
          </w:p>
        </w:tc>
      </w:tr>
      <w:tr w:rsidR="00807FFE" w14:paraId="6A0A35B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9D3CE10"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D950638"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Overseas Countries and Territories (OCT) (including Greenland)</w:t>
            </w:r>
          </w:p>
        </w:tc>
        <w:tc>
          <w:tcPr>
            <w:tcW w:w="1804" w:type="dxa"/>
            <w:tcBorders>
              <w:top w:val="nil"/>
              <w:left w:val="nil"/>
              <w:bottom w:val="nil"/>
              <w:right w:val="nil"/>
              <w:tl2br w:val="nil"/>
              <w:tr2bl w:val="nil"/>
            </w:tcBorders>
            <w:tcMar>
              <w:left w:w="60" w:type="dxa"/>
              <w:right w:w="60" w:type="dxa"/>
            </w:tcMar>
            <w:vAlign w:val="center"/>
          </w:tcPr>
          <w:p w14:paraId="291C53F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147</w:t>
            </w:r>
          </w:p>
        </w:tc>
        <w:tc>
          <w:tcPr>
            <w:tcW w:w="1902" w:type="dxa"/>
            <w:tcBorders>
              <w:top w:val="nil"/>
              <w:left w:val="nil"/>
              <w:bottom w:val="nil"/>
              <w:right w:val="nil"/>
              <w:tl2br w:val="nil"/>
              <w:tr2bl w:val="nil"/>
            </w:tcBorders>
            <w:tcMar>
              <w:left w:w="60" w:type="dxa"/>
              <w:right w:w="60" w:type="dxa"/>
            </w:tcMar>
            <w:vAlign w:val="center"/>
          </w:tcPr>
          <w:p w14:paraId="3ECEA28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68</w:t>
            </w:r>
          </w:p>
        </w:tc>
        <w:tc>
          <w:tcPr>
            <w:tcW w:w="1467" w:type="dxa"/>
            <w:tcBorders>
              <w:top w:val="nil"/>
              <w:left w:val="nil"/>
              <w:bottom w:val="nil"/>
              <w:right w:val="nil"/>
              <w:tl2br w:val="nil"/>
              <w:tr2bl w:val="nil"/>
            </w:tcBorders>
            <w:tcMar>
              <w:left w:w="60" w:type="dxa"/>
              <w:right w:w="60" w:type="dxa"/>
            </w:tcMar>
            <w:vAlign w:val="center"/>
          </w:tcPr>
          <w:p w14:paraId="183D961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0DB3DF0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1958" w:type="dxa"/>
            <w:tcBorders>
              <w:top w:val="nil"/>
              <w:left w:val="nil"/>
              <w:bottom w:val="nil"/>
              <w:right w:val="nil"/>
              <w:tl2br w:val="nil"/>
              <w:tr2bl w:val="nil"/>
            </w:tcBorders>
            <w:tcMar>
              <w:left w:w="60" w:type="dxa"/>
              <w:right w:w="60" w:type="dxa"/>
            </w:tcMar>
            <w:vAlign w:val="center"/>
          </w:tcPr>
          <w:p w14:paraId="487FCDE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152</w:t>
            </w:r>
          </w:p>
        </w:tc>
      </w:tr>
      <w:tr w:rsidR="00807FFE" w14:paraId="01C1570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4BC56F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860601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MFA+</w:t>
            </w:r>
          </w:p>
        </w:tc>
        <w:tc>
          <w:tcPr>
            <w:tcW w:w="1804" w:type="dxa"/>
            <w:tcBorders>
              <w:top w:val="nil"/>
              <w:left w:val="nil"/>
              <w:bottom w:val="nil"/>
              <w:right w:val="nil"/>
              <w:tl2br w:val="nil"/>
              <w:tr2bl w:val="nil"/>
            </w:tcBorders>
            <w:tcMar>
              <w:left w:w="60" w:type="dxa"/>
              <w:right w:w="60" w:type="dxa"/>
            </w:tcMar>
            <w:vAlign w:val="center"/>
          </w:tcPr>
          <w:p w14:paraId="5453854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153</w:t>
            </w:r>
          </w:p>
        </w:tc>
        <w:tc>
          <w:tcPr>
            <w:tcW w:w="1902" w:type="dxa"/>
            <w:tcBorders>
              <w:top w:val="nil"/>
              <w:left w:val="nil"/>
              <w:bottom w:val="nil"/>
              <w:right w:val="nil"/>
              <w:tl2br w:val="nil"/>
              <w:tr2bl w:val="nil"/>
            </w:tcBorders>
            <w:tcMar>
              <w:left w:w="60" w:type="dxa"/>
              <w:right w:w="60" w:type="dxa"/>
            </w:tcMar>
            <w:vAlign w:val="center"/>
          </w:tcPr>
          <w:p w14:paraId="232D121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570</w:t>
            </w:r>
          </w:p>
        </w:tc>
        <w:tc>
          <w:tcPr>
            <w:tcW w:w="1467" w:type="dxa"/>
            <w:tcBorders>
              <w:top w:val="nil"/>
              <w:left w:val="nil"/>
              <w:bottom w:val="nil"/>
              <w:right w:val="nil"/>
              <w:tl2br w:val="nil"/>
              <w:tr2bl w:val="nil"/>
            </w:tcBorders>
            <w:tcMar>
              <w:left w:w="60" w:type="dxa"/>
              <w:right w:w="60" w:type="dxa"/>
            </w:tcMar>
            <w:vAlign w:val="center"/>
          </w:tcPr>
          <w:p w14:paraId="131AFA2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0CFAA9A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(568)</w:t>
            </w:r>
          </w:p>
        </w:tc>
        <w:tc>
          <w:tcPr>
            <w:tcW w:w="1958" w:type="dxa"/>
            <w:tcBorders>
              <w:top w:val="nil"/>
              <w:left w:val="nil"/>
              <w:bottom w:val="nil"/>
              <w:right w:val="nil"/>
              <w:tl2br w:val="nil"/>
              <w:tr2bl w:val="nil"/>
            </w:tcBorders>
            <w:tcMar>
              <w:left w:w="60" w:type="dxa"/>
              <w:right w:w="60" w:type="dxa"/>
            </w:tcMar>
            <w:vAlign w:val="center"/>
          </w:tcPr>
          <w:p w14:paraId="074BCB4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155</w:t>
            </w:r>
          </w:p>
        </w:tc>
      </w:tr>
      <w:tr w:rsidR="00807FFE" w14:paraId="47B7D7E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13570C6"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A34611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Ukraine Loan Cooperation Mechanism</w:t>
            </w:r>
          </w:p>
        </w:tc>
        <w:tc>
          <w:tcPr>
            <w:tcW w:w="1804" w:type="dxa"/>
            <w:tcBorders>
              <w:top w:val="nil"/>
              <w:left w:val="nil"/>
              <w:bottom w:val="nil"/>
              <w:right w:val="nil"/>
              <w:tl2br w:val="nil"/>
              <w:tr2bl w:val="nil"/>
            </w:tcBorders>
            <w:tcMar>
              <w:left w:w="60" w:type="dxa"/>
              <w:right w:w="60" w:type="dxa"/>
            </w:tcMar>
            <w:vAlign w:val="center"/>
          </w:tcPr>
          <w:p w14:paraId="367D247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79EDC2A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1467" w:type="dxa"/>
            <w:tcBorders>
              <w:top w:val="nil"/>
              <w:left w:val="nil"/>
              <w:bottom w:val="nil"/>
              <w:right w:val="nil"/>
              <w:tl2br w:val="nil"/>
              <w:tr2bl w:val="nil"/>
            </w:tcBorders>
            <w:tcMar>
              <w:left w:w="60" w:type="dxa"/>
              <w:right w:w="60" w:type="dxa"/>
            </w:tcMar>
            <w:vAlign w:val="center"/>
          </w:tcPr>
          <w:p w14:paraId="3151421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1560E92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(1 535)</w:t>
            </w:r>
          </w:p>
        </w:tc>
        <w:tc>
          <w:tcPr>
            <w:tcW w:w="1958" w:type="dxa"/>
            <w:tcBorders>
              <w:top w:val="nil"/>
              <w:left w:val="nil"/>
              <w:bottom w:val="nil"/>
              <w:right w:val="nil"/>
              <w:tl2br w:val="nil"/>
              <w:tr2bl w:val="nil"/>
            </w:tcBorders>
            <w:tcMar>
              <w:left w:w="60" w:type="dxa"/>
              <w:right w:w="60" w:type="dxa"/>
            </w:tcMar>
            <w:vAlign w:val="center"/>
          </w:tcPr>
          <w:p w14:paraId="41DC9E7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6A6C466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2E38EB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EE7DB3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Other actions</w:t>
            </w:r>
          </w:p>
        </w:tc>
        <w:tc>
          <w:tcPr>
            <w:tcW w:w="1804" w:type="dxa"/>
            <w:tcBorders>
              <w:top w:val="nil"/>
              <w:left w:val="nil"/>
              <w:bottom w:val="nil"/>
              <w:right w:val="nil"/>
              <w:tl2br w:val="nil"/>
              <w:tr2bl w:val="nil"/>
            </w:tcBorders>
            <w:tcMar>
              <w:left w:w="60" w:type="dxa"/>
              <w:right w:w="60" w:type="dxa"/>
            </w:tcMar>
            <w:vAlign w:val="center"/>
          </w:tcPr>
          <w:p w14:paraId="3FD20F9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1902" w:type="dxa"/>
            <w:tcBorders>
              <w:top w:val="nil"/>
              <w:left w:val="nil"/>
              <w:bottom w:val="nil"/>
              <w:right w:val="nil"/>
              <w:tl2br w:val="nil"/>
              <w:tr2bl w:val="nil"/>
            </w:tcBorders>
            <w:tcMar>
              <w:left w:w="60" w:type="dxa"/>
              <w:right w:w="60" w:type="dxa"/>
            </w:tcMar>
            <w:vAlign w:val="center"/>
          </w:tcPr>
          <w:p w14:paraId="78AC232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1467" w:type="dxa"/>
            <w:tcBorders>
              <w:top w:val="nil"/>
              <w:left w:val="nil"/>
              <w:bottom w:val="nil"/>
              <w:right w:val="nil"/>
              <w:tl2br w:val="nil"/>
              <w:tr2bl w:val="nil"/>
            </w:tcBorders>
            <w:tcMar>
              <w:left w:w="60" w:type="dxa"/>
              <w:right w:w="60" w:type="dxa"/>
            </w:tcMar>
            <w:vAlign w:val="center"/>
          </w:tcPr>
          <w:p w14:paraId="7ECDD4E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96D893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1958" w:type="dxa"/>
            <w:tcBorders>
              <w:top w:val="nil"/>
              <w:left w:val="nil"/>
              <w:bottom w:val="nil"/>
              <w:right w:val="nil"/>
              <w:tl2br w:val="nil"/>
              <w:tr2bl w:val="nil"/>
            </w:tcBorders>
            <w:tcMar>
              <w:left w:w="60" w:type="dxa"/>
              <w:right w:w="60" w:type="dxa"/>
            </w:tcMar>
            <w:vAlign w:val="center"/>
          </w:tcPr>
          <w:p w14:paraId="3A36FBF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98</w:t>
            </w:r>
          </w:p>
        </w:tc>
      </w:tr>
      <w:tr w:rsidR="00807FFE" w14:paraId="2270FEE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6D504C7"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52524B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1804" w:type="dxa"/>
            <w:tcBorders>
              <w:top w:val="nil"/>
              <w:left w:val="nil"/>
              <w:bottom w:val="nil"/>
              <w:right w:val="nil"/>
              <w:tl2br w:val="nil"/>
              <w:tr2bl w:val="nil"/>
            </w:tcBorders>
            <w:tcMar>
              <w:left w:w="60" w:type="dxa"/>
              <w:right w:w="60" w:type="dxa"/>
            </w:tcMar>
            <w:vAlign w:val="center"/>
          </w:tcPr>
          <w:p w14:paraId="3CFDE22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14:paraId="72D91CE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14:paraId="0E3688A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5D248A0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14:paraId="5DD07DA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013A08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3EED2B5"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C1642D8"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1804" w:type="dxa"/>
            <w:tcBorders>
              <w:top w:val="nil"/>
              <w:left w:val="nil"/>
              <w:bottom w:val="nil"/>
              <w:right w:val="nil"/>
              <w:tl2br w:val="nil"/>
              <w:tr2bl w:val="nil"/>
            </w:tcBorders>
            <w:tcMar>
              <w:left w:w="60" w:type="dxa"/>
              <w:right w:w="60" w:type="dxa"/>
            </w:tcMar>
            <w:vAlign w:val="center"/>
          </w:tcPr>
          <w:p w14:paraId="5D0F312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2ADEB45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467" w:type="dxa"/>
            <w:tcBorders>
              <w:top w:val="nil"/>
              <w:left w:val="nil"/>
              <w:bottom w:val="nil"/>
              <w:right w:val="nil"/>
              <w:tl2br w:val="nil"/>
              <w:tr2bl w:val="nil"/>
            </w:tcBorders>
            <w:tcMar>
              <w:left w:w="60" w:type="dxa"/>
              <w:right w:w="60" w:type="dxa"/>
            </w:tcMar>
            <w:vAlign w:val="center"/>
          </w:tcPr>
          <w:p w14:paraId="3CB82B8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006B3C1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14:paraId="2CED8BA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50</w:t>
            </w:r>
          </w:p>
        </w:tc>
      </w:tr>
      <w:tr w:rsidR="00807FFE" w14:paraId="3E7C41C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C02EB2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703C93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1804" w:type="dxa"/>
            <w:tcBorders>
              <w:top w:val="nil"/>
              <w:left w:val="nil"/>
              <w:bottom w:val="nil"/>
              <w:right w:val="nil"/>
              <w:tl2br w:val="nil"/>
              <w:tr2bl w:val="nil"/>
            </w:tcBorders>
            <w:tcMar>
              <w:left w:w="60" w:type="dxa"/>
              <w:right w:w="60" w:type="dxa"/>
            </w:tcMar>
            <w:vAlign w:val="center"/>
          </w:tcPr>
          <w:p w14:paraId="074A177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151</w:t>
            </w:r>
          </w:p>
        </w:tc>
        <w:tc>
          <w:tcPr>
            <w:tcW w:w="1902" w:type="dxa"/>
            <w:tcBorders>
              <w:top w:val="nil"/>
              <w:left w:val="nil"/>
              <w:bottom w:val="nil"/>
              <w:right w:val="nil"/>
              <w:tl2br w:val="nil"/>
              <w:tr2bl w:val="nil"/>
            </w:tcBorders>
            <w:tcMar>
              <w:left w:w="60" w:type="dxa"/>
              <w:right w:w="60" w:type="dxa"/>
            </w:tcMar>
            <w:vAlign w:val="center"/>
          </w:tcPr>
          <w:p w14:paraId="4073390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1467" w:type="dxa"/>
            <w:tcBorders>
              <w:top w:val="nil"/>
              <w:left w:val="nil"/>
              <w:bottom w:val="nil"/>
              <w:right w:val="nil"/>
              <w:tl2br w:val="nil"/>
              <w:tr2bl w:val="nil"/>
            </w:tcBorders>
            <w:tcMar>
              <w:left w:w="60" w:type="dxa"/>
              <w:right w:w="60" w:type="dxa"/>
            </w:tcMar>
            <w:vAlign w:val="center"/>
          </w:tcPr>
          <w:p w14:paraId="1F60752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14:paraId="527A187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1958" w:type="dxa"/>
            <w:tcBorders>
              <w:top w:val="nil"/>
              <w:left w:val="nil"/>
              <w:bottom w:val="nil"/>
              <w:right w:val="nil"/>
              <w:tl2br w:val="nil"/>
              <w:tr2bl w:val="nil"/>
            </w:tcBorders>
            <w:tcMar>
              <w:left w:w="60" w:type="dxa"/>
              <w:right w:w="60" w:type="dxa"/>
            </w:tcMar>
            <w:vAlign w:val="center"/>
          </w:tcPr>
          <w:p w14:paraId="3108ED16"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155</w:t>
            </w:r>
          </w:p>
        </w:tc>
      </w:tr>
      <w:tr w:rsidR="00807FFE" w14:paraId="6F06D9D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FF35E02"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66A44D8" w14:textId="77777777" w:rsidR="00807FFE" w:rsidRPr="00A2059B" w:rsidRDefault="00023E71">
            <w:pPr>
              <w:pStyle w:val="DMETW36742BIPDetailedMFF4Commitmentsoustanding"/>
              <w:rPr>
                <w:rFonts w:ascii="Verdana" w:eastAsia="Verdana" w:hAnsi="Verdana" w:cs="Verdana"/>
                <w:noProof/>
                <w:color w:val="000000"/>
                <w:sz w:val="16"/>
                <w:lang w:val="fr-BE"/>
              </w:rPr>
            </w:pPr>
            <w:r w:rsidRPr="00A2059B">
              <w:rPr>
                <w:rFonts w:ascii="Verdana" w:eastAsia="Verdana" w:hAnsi="Verdana" w:cs="Verdana"/>
                <w:noProof/>
                <w:color w:val="000000"/>
                <w:sz w:val="16"/>
                <w:lang w:val="fr-BE"/>
              </w:rPr>
              <w:t>Pre-Accession Assistance (IPA III)</w:t>
            </w:r>
          </w:p>
        </w:tc>
        <w:tc>
          <w:tcPr>
            <w:tcW w:w="1804" w:type="dxa"/>
            <w:tcBorders>
              <w:top w:val="nil"/>
              <w:left w:val="nil"/>
              <w:bottom w:val="nil"/>
              <w:right w:val="nil"/>
              <w:tl2br w:val="nil"/>
              <w:tr2bl w:val="nil"/>
            </w:tcBorders>
            <w:tcMar>
              <w:left w:w="60" w:type="dxa"/>
              <w:right w:w="60" w:type="dxa"/>
            </w:tcMar>
            <w:vAlign w:val="center"/>
          </w:tcPr>
          <w:p w14:paraId="65E015A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7 434</w:t>
            </w:r>
          </w:p>
        </w:tc>
        <w:tc>
          <w:tcPr>
            <w:tcW w:w="1902" w:type="dxa"/>
            <w:tcBorders>
              <w:top w:val="nil"/>
              <w:left w:val="nil"/>
              <w:bottom w:val="nil"/>
              <w:right w:val="nil"/>
              <w:tl2br w:val="nil"/>
              <w:tr2bl w:val="nil"/>
            </w:tcBorders>
            <w:tcMar>
              <w:left w:w="60" w:type="dxa"/>
              <w:right w:w="60" w:type="dxa"/>
            </w:tcMar>
            <w:vAlign w:val="center"/>
          </w:tcPr>
          <w:p w14:paraId="60AC1D0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2 223</w:t>
            </w:r>
          </w:p>
        </w:tc>
        <w:tc>
          <w:tcPr>
            <w:tcW w:w="1467" w:type="dxa"/>
            <w:tcBorders>
              <w:top w:val="nil"/>
              <w:left w:val="nil"/>
              <w:bottom w:val="nil"/>
              <w:right w:val="nil"/>
              <w:tl2br w:val="nil"/>
              <w:tr2bl w:val="nil"/>
            </w:tcBorders>
            <w:tcMar>
              <w:left w:w="60" w:type="dxa"/>
              <w:right w:w="60" w:type="dxa"/>
            </w:tcMar>
            <w:vAlign w:val="center"/>
          </w:tcPr>
          <w:p w14:paraId="45E39D6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(115)</w:t>
            </w:r>
          </w:p>
        </w:tc>
        <w:tc>
          <w:tcPr>
            <w:tcW w:w="2141" w:type="dxa"/>
            <w:tcBorders>
              <w:top w:val="nil"/>
              <w:left w:val="nil"/>
              <w:bottom w:val="nil"/>
              <w:right w:val="nil"/>
              <w:tl2br w:val="nil"/>
              <w:tr2bl w:val="nil"/>
            </w:tcBorders>
            <w:tcMar>
              <w:left w:w="60" w:type="dxa"/>
              <w:right w:w="60" w:type="dxa"/>
            </w:tcMar>
            <w:vAlign w:val="center"/>
          </w:tcPr>
          <w:p w14:paraId="481AEAF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(1 894)</w:t>
            </w:r>
          </w:p>
        </w:tc>
        <w:tc>
          <w:tcPr>
            <w:tcW w:w="1958" w:type="dxa"/>
            <w:tcBorders>
              <w:top w:val="nil"/>
              <w:left w:val="nil"/>
              <w:bottom w:val="nil"/>
              <w:right w:val="nil"/>
              <w:tl2br w:val="nil"/>
              <w:tr2bl w:val="nil"/>
            </w:tcBorders>
            <w:tcMar>
              <w:left w:w="60" w:type="dxa"/>
              <w:right w:w="60" w:type="dxa"/>
            </w:tcMar>
            <w:vAlign w:val="center"/>
          </w:tcPr>
          <w:p w14:paraId="4BB4B81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7 648</w:t>
            </w:r>
          </w:p>
        </w:tc>
      </w:tr>
      <w:tr w:rsidR="00807FFE" w14:paraId="4BF72B3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4E0E420"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29C8EB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Reform and Growth Facility for Western Balkans</w:t>
            </w:r>
          </w:p>
        </w:tc>
        <w:tc>
          <w:tcPr>
            <w:tcW w:w="1804" w:type="dxa"/>
            <w:tcBorders>
              <w:top w:val="nil"/>
              <w:left w:val="nil"/>
              <w:bottom w:val="nil"/>
              <w:right w:val="nil"/>
              <w:tl2br w:val="nil"/>
              <w:tr2bl w:val="nil"/>
            </w:tcBorders>
            <w:tcMar>
              <w:left w:w="60" w:type="dxa"/>
              <w:right w:w="60" w:type="dxa"/>
            </w:tcMar>
            <w:vAlign w:val="center"/>
          </w:tcPr>
          <w:p w14:paraId="7B1CF73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399</w:t>
            </w:r>
          </w:p>
        </w:tc>
        <w:tc>
          <w:tcPr>
            <w:tcW w:w="1902" w:type="dxa"/>
            <w:tcBorders>
              <w:top w:val="nil"/>
              <w:left w:val="nil"/>
              <w:bottom w:val="nil"/>
              <w:right w:val="nil"/>
              <w:tl2br w:val="nil"/>
              <w:tr2bl w:val="nil"/>
            </w:tcBorders>
            <w:tcMar>
              <w:left w:w="60" w:type="dxa"/>
              <w:right w:w="60" w:type="dxa"/>
            </w:tcMar>
            <w:vAlign w:val="center"/>
          </w:tcPr>
          <w:p w14:paraId="21461F3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596</w:t>
            </w:r>
          </w:p>
        </w:tc>
        <w:tc>
          <w:tcPr>
            <w:tcW w:w="1467" w:type="dxa"/>
            <w:tcBorders>
              <w:top w:val="nil"/>
              <w:left w:val="nil"/>
              <w:bottom w:val="nil"/>
              <w:right w:val="nil"/>
              <w:tl2br w:val="nil"/>
              <w:tr2bl w:val="nil"/>
            </w:tcBorders>
            <w:tcMar>
              <w:left w:w="60" w:type="dxa"/>
              <w:right w:w="60" w:type="dxa"/>
            </w:tcMar>
            <w:vAlign w:val="center"/>
          </w:tcPr>
          <w:p w14:paraId="1A27D65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0556E09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(77)</w:t>
            </w:r>
          </w:p>
        </w:tc>
        <w:tc>
          <w:tcPr>
            <w:tcW w:w="1958" w:type="dxa"/>
            <w:tcBorders>
              <w:top w:val="nil"/>
              <w:left w:val="nil"/>
              <w:bottom w:val="nil"/>
              <w:right w:val="nil"/>
              <w:tl2br w:val="nil"/>
              <w:tr2bl w:val="nil"/>
            </w:tcBorders>
            <w:tcMar>
              <w:left w:w="60" w:type="dxa"/>
              <w:right w:w="60" w:type="dxa"/>
            </w:tcMar>
            <w:vAlign w:val="center"/>
          </w:tcPr>
          <w:p w14:paraId="70F39710"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918</w:t>
            </w:r>
          </w:p>
        </w:tc>
      </w:tr>
      <w:tr w:rsidR="00807FFE" w14:paraId="3830D0C6"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64418DC2"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41E82ED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6: Neighbourhood and the World</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035975A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42 097</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1A042E9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19 645</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2D7C07E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(443)</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0A4934B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(17 170)</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35772E1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44 129</w:t>
            </w:r>
          </w:p>
        </w:tc>
      </w:tr>
      <w:tr w:rsidR="00807FFE" w14:paraId="77EF267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3C60549"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EC594B1" w14:textId="77777777" w:rsidR="00807FFE" w:rsidRDefault="00807FFE">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1CE6159B"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41D7A3D7"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08B5425B"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2CBF48F8"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415F1681" w14:textId="77777777" w:rsidR="00807FFE" w:rsidRDefault="00807FFE">
            <w:pPr>
              <w:pStyle w:val="DMETW36742BIPDetailedMFF4Commitmentsoustanding"/>
              <w:jc w:val="right"/>
              <w:rPr>
                <w:rFonts w:ascii="Verdana" w:eastAsia="Verdana" w:hAnsi="Verdana" w:cs="Verdana"/>
                <w:noProof/>
                <w:color w:val="000000"/>
                <w:sz w:val="16"/>
                <w:lang w:bidi="en-GB"/>
              </w:rPr>
            </w:pPr>
          </w:p>
        </w:tc>
      </w:tr>
      <w:tr w:rsidR="00807FFE" w14:paraId="14B800B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CA431CC"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7</w:t>
            </w:r>
          </w:p>
        </w:tc>
        <w:tc>
          <w:tcPr>
            <w:tcW w:w="5076" w:type="dxa"/>
            <w:tcBorders>
              <w:top w:val="nil"/>
              <w:left w:val="nil"/>
              <w:bottom w:val="nil"/>
              <w:right w:val="nil"/>
              <w:tl2br w:val="nil"/>
              <w:tr2bl w:val="nil"/>
            </w:tcBorders>
            <w:tcMar>
              <w:left w:w="60" w:type="dxa"/>
              <w:right w:w="60" w:type="dxa"/>
            </w:tcMar>
            <w:vAlign w:val="center"/>
          </w:tcPr>
          <w:p w14:paraId="3217355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Staff Pensions</w:t>
            </w:r>
          </w:p>
        </w:tc>
        <w:tc>
          <w:tcPr>
            <w:tcW w:w="1804" w:type="dxa"/>
            <w:tcBorders>
              <w:top w:val="nil"/>
              <w:left w:val="nil"/>
              <w:bottom w:val="nil"/>
              <w:right w:val="nil"/>
              <w:tl2br w:val="nil"/>
              <w:tr2bl w:val="nil"/>
            </w:tcBorders>
            <w:tcMar>
              <w:left w:w="60" w:type="dxa"/>
              <w:right w:w="60" w:type="dxa"/>
            </w:tcMar>
            <w:vAlign w:val="center"/>
          </w:tcPr>
          <w:p w14:paraId="3F669A2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5E34CFE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3 101</w:t>
            </w:r>
          </w:p>
        </w:tc>
        <w:tc>
          <w:tcPr>
            <w:tcW w:w="1467" w:type="dxa"/>
            <w:tcBorders>
              <w:top w:val="nil"/>
              <w:left w:val="nil"/>
              <w:bottom w:val="nil"/>
              <w:right w:val="nil"/>
              <w:tl2br w:val="nil"/>
              <w:tr2bl w:val="nil"/>
            </w:tcBorders>
            <w:tcMar>
              <w:left w:w="60" w:type="dxa"/>
              <w:right w:w="60" w:type="dxa"/>
            </w:tcMar>
            <w:vAlign w:val="center"/>
          </w:tcPr>
          <w:p w14:paraId="2B19269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7EEB305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(3 092)</w:t>
            </w:r>
          </w:p>
        </w:tc>
        <w:tc>
          <w:tcPr>
            <w:tcW w:w="1958" w:type="dxa"/>
            <w:tcBorders>
              <w:top w:val="nil"/>
              <w:left w:val="nil"/>
              <w:bottom w:val="nil"/>
              <w:right w:val="nil"/>
              <w:tl2br w:val="nil"/>
              <w:tr2bl w:val="nil"/>
            </w:tcBorders>
            <w:tcMar>
              <w:left w:w="60" w:type="dxa"/>
              <w:right w:w="60" w:type="dxa"/>
            </w:tcMar>
            <w:vAlign w:val="center"/>
          </w:tcPr>
          <w:p w14:paraId="1FAB9676"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26BB3E5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20029C5"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B4F5ABD"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(Pensions of former Members) European Parliament</w:t>
            </w:r>
          </w:p>
        </w:tc>
        <w:tc>
          <w:tcPr>
            <w:tcW w:w="1804" w:type="dxa"/>
            <w:tcBorders>
              <w:top w:val="nil"/>
              <w:left w:val="nil"/>
              <w:bottom w:val="nil"/>
              <w:right w:val="nil"/>
              <w:tl2br w:val="nil"/>
              <w:tr2bl w:val="nil"/>
            </w:tcBorders>
            <w:tcMar>
              <w:left w:w="60" w:type="dxa"/>
              <w:right w:w="60" w:type="dxa"/>
            </w:tcMar>
            <w:vAlign w:val="center"/>
          </w:tcPr>
          <w:p w14:paraId="7E58B4F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2C242DD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1467" w:type="dxa"/>
            <w:tcBorders>
              <w:top w:val="nil"/>
              <w:left w:val="nil"/>
              <w:bottom w:val="nil"/>
              <w:right w:val="nil"/>
              <w:tl2br w:val="nil"/>
              <w:tr2bl w:val="nil"/>
            </w:tcBorders>
            <w:tcMar>
              <w:left w:w="60" w:type="dxa"/>
              <w:right w:w="60" w:type="dxa"/>
            </w:tcMar>
            <w:vAlign w:val="center"/>
          </w:tcPr>
          <w:p w14:paraId="02FE97F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7C1803C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1958" w:type="dxa"/>
            <w:tcBorders>
              <w:top w:val="nil"/>
              <w:left w:val="nil"/>
              <w:bottom w:val="nil"/>
              <w:right w:val="nil"/>
              <w:tl2br w:val="nil"/>
              <w:tr2bl w:val="nil"/>
            </w:tcBorders>
            <w:tcMar>
              <w:left w:w="60" w:type="dxa"/>
              <w:right w:w="60" w:type="dxa"/>
            </w:tcMar>
            <w:vAlign w:val="center"/>
          </w:tcPr>
          <w:p w14:paraId="405562C7"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DBFE1A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853657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268B2F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(Pensions of former Members) European Council and Council</w:t>
            </w:r>
          </w:p>
        </w:tc>
        <w:tc>
          <w:tcPr>
            <w:tcW w:w="1804" w:type="dxa"/>
            <w:tcBorders>
              <w:top w:val="nil"/>
              <w:left w:val="nil"/>
              <w:bottom w:val="nil"/>
              <w:right w:val="nil"/>
              <w:tl2br w:val="nil"/>
              <w:tr2bl w:val="nil"/>
            </w:tcBorders>
            <w:tcMar>
              <w:left w:w="60" w:type="dxa"/>
              <w:right w:w="60" w:type="dxa"/>
            </w:tcMar>
            <w:vAlign w:val="center"/>
          </w:tcPr>
          <w:p w14:paraId="75A5954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6C5B9FF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14:paraId="1214161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27A0C1C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14:paraId="5D36E36E"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75C5FC5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53FC231"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A09B06F"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(Pensions of former Members) Commission</w:t>
            </w:r>
          </w:p>
        </w:tc>
        <w:tc>
          <w:tcPr>
            <w:tcW w:w="1804" w:type="dxa"/>
            <w:tcBorders>
              <w:top w:val="nil"/>
              <w:left w:val="nil"/>
              <w:bottom w:val="nil"/>
              <w:right w:val="nil"/>
              <w:tl2br w:val="nil"/>
              <w:tr2bl w:val="nil"/>
            </w:tcBorders>
            <w:tcMar>
              <w:left w:w="60" w:type="dxa"/>
              <w:right w:w="60" w:type="dxa"/>
            </w:tcMar>
            <w:vAlign w:val="center"/>
          </w:tcPr>
          <w:p w14:paraId="40C27BF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001ADDA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14:paraId="21B5C2C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54FE433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958" w:type="dxa"/>
            <w:tcBorders>
              <w:top w:val="nil"/>
              <w:left w:val="nil"/>
              <w:bottom w:val="nil"/>
              <w:right w:val="nil"/>
              <w:tl2br w:val="nil"/>
              <w:tr2bl w:val="nil"/>
            </w:tcBorders>
            <w:tcMar>
              <w:left w:w="60" w:type="dxa"/>
              <w:right w:w="60" w:type="dxa"/>
            </w:tcMar>
            <w:vAlign w:val="center"/>
          </w:tcPr>
          <w:p w14:paraId="3965143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3B3BC6A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76D83F2"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F6BB08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(Pensions of former Members) Court of Justice of the European Union</w:t>
            </w:r>
          </w:p>
        </w:tc>
        <w:tc>
          <w:tcPr>
            <w:tcW w:w="1804" w:type="dxa"/>
            <w:tcBorders>
              <w:top w:val="nil"/>
              <w:left w:val="nil"/>
              <w:bottom w:val="nil"/>
              <w:right w:val="nil"/>
              <w:tl2br w:val="nil"/>
              <w:tr2bl w:val="nil"/>
            </w:tcBorders>
            <w:tcMar>
              <w:left w:w="60" w:type="dxa"/>
              <w:right w:w="60" w:type="dxa"/>
            </w:tcMar>
            <w:vAlign w:val="center"/>
          </w:tcPr>
          <w:p w14:paraId="7161290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376FCB8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467" w:type="dxa"/>
            <w:tcBorders>
              <w:top w:val="nil"/>
              <w:left w:val="nil"/>
              <w:bottom w:val="nil"/>
              <w:right w:val="nil"/>
              <w:tl2br w:val="nil"/>
              <w:tr2bl w:val="nil"/>
            </w:tcBorders>
            <w:tcMar>
              <w:left w:w="60" w:type="dxa"/>
              <w:right w:w="60" w:type="dxa"/>
            </w:tcMar>
            <w:vAlign w:val="center"/>
          </w:tcPr>
          <w:p w14:paraId="56E0001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6A704A7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958" w:type="dxa"/>
            <w:tcBorders>
              <w:top w:val="nil"/>
              <w:left w:val="nil"/>
              <w:bottom w:val="nil"/>
              <w:right w:val="nil"/>
              <w:tl2br w:val="nil"/>
              <w:tr2bl w:val="nil"/>
            </w:tcBorders>
            <w:tcMar>
              <w:left w:w="60" w:type="dxa"/>
              <w:right w:w="60" w:type="dxa"/>
            </w:tcMar>
            <w:vAlign w:val="center"/>
          </w:tcPr>
          <w:p w14:paraId="70E5CECF"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0A5D04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F40940F"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B7D07C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(Pensions of former Members) European Court of Auditors</w:t>
            </w:r>
          </w:p>
        </w:tc>
        <w:tc>
          <w:tcPr>
            <w:tcW w:w="1804" w:type="dxa"/>
            <w:tcBorders>
              <w:top w:val="nil"/>
              <w:left w:val="nil"/>
              <w:bottom w:val="nil"/>
              <w:right w:val="nil"/>
              <w:tl2br w:val="nil"/>
              <w:tr2bl w:val="nil"/>
            </w:tcBorders>
            <w:tcMar>
              <w:left w:w="60" w:type="dxa"/>
              <w:right w:w="60" w:type="dxa"/>
            </w:tcMar>
            <w:vAlign w:val="center"/>
          </w:tcPr>
          <w:p w14:paraId="36A0086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346E35C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14:paraId="0312B4A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7FA9CAA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958" w:type="dxa"/>
            <w:tcBorders>
              <w:top w:val="nil"/>
              <w:left w:val="nil"/>
              <w:bottom w:val="nil"/>
              <w:right w:val="nil"/>
              <w:tl2br w:val="nil"/>
              <w:tr2bl w:val="nil"/>
            </w:tcBorders>
            <w:tcMar>
              <w:left w:w="60" w:type="dxa"/>
              <w:right w:w="60" w:type="dxa"/>
            </w:tcMar>
            <w:vAlign w:val="center"/>
          </w:tcPr>
          <w:p w14:paraId="2FCF596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45A170A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435454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AAED7A7"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(Pensions of former Members) European Ombudsman</w:t>
            </w:r>
          </w:p>
        </w:tc>
        <w:tc>
          <w:tcPr>
            <w:tcW w:w="1804" w:type="dxa"/>
            <w:tcBorders>
              <w:top w:val="nil"/>
              <w:left w:val="nil"/>
              <w:bottom w:val="nil"/>
              <w:right w:val="nil"/>
              <w:tl2br w:val="nil"/>
              <w:tr2bl w:val="nil"/>
            </w:tcBorders>
            <w:tcMar>
              <w:left w:w="60" w:type="dxa"/>
              <w:right w:w="60" w:type="dxa"/>
            </w:tcMar>
            <w:vAlign w:val="center"/>
          </w:tcPr>
          <w:p w14:paraId="20942A5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6F290B1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14:paraId="149A859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0704840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58" w:type="dxa"/>
            <w:tcBorders>
              <w:top w:val="nil"/>
              <w:left w:val="nil"/>
              <w:bottom w:val="nil"/>
              <w:right w:val="nil"/>
              <w:tl2br w:val="nil"/>
              <w:tr2bl w:val="nil"/>
            </w:tcBorders>
            <w:tcMar>
              <w:left w:w="60" w:type="dxa"/>
              <w:right w:w="60" w:type="dxa"/>
            </w:tcMar>
            <w:vAlign w:val="center"/>
          </w:tcPr>
          <w:p w14:paraId="53497F3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20BC613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D6BF8E1"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237C8C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(Pensions of former Members) European Data Protection Supervisor</w:t>
            </w:r>
          </w:p>
        </w:tc>
        <w:tc>
          <w:tcPr>
            <w:tcW w:w="1804" w:type="dxa"/>
            <w:tcBorders>
              <w:top w:val="nil"/>
              <w:left w:val="nil"/>
              <w:bottom w:val="nil"/>
              <w:right w:val="nil"/>
              <w:tl2br w:val="nil"/>
              <w:tr2bl w:val="nil"/>
            </w:tcBorders>
            <w:tcMar>
              <w:left w:w="60" w:type="dxa"/>
              <w:right w:w="60" w:type="dxa"/>
            </w:tcMar>
            <w:vAlign w:val="center"/>
          </w:tcPr>
          <w:p w14:paraId="011D2EA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5793089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14:paraId="3EBD7FD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06DE517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58" w:type="dxa"/>
            <w:tcBorders>
              <w:top w:val="nil"/>
              <w:left w:val="nil"/>
              <w:bottom w:val="nil"/>
              <w:right w:val="nil"/>
              <w:tl2br w:val="nil"/>
              <w:tr2bl w:val="nil"/>
            </w:tcBorders>
            <w:tcMar>
              <w:left w:w="60" w:type="dxa"/>
              <w:right w:w="60" w:type="dxa"/>
            </w:tcMar>
            <w:vAlign w:val="center"/>
          </w:tcPr>
          <w:p w14:paraId="19E92851"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5F242F6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5EAB19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7AB6DD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schools) Commission</w:t>
            </w:r>
          </w:p>
        </w:tc>
        <w:tc>
          <w:tcPr>
            <w:tcW w:w="1804" w:type="dxa"/>
            <w:tcBorders>
              <w:top w:val="nil"/>
              <w:left w:val="nil"/>
              <w:bottom w:val="nil"/>
              <w:right w:val="nil"/>
              <w:tl2br w:val="nil"/>
              <w:tr2bl w:val="nil"/>
            </w:tcBorders>
            <w:tcMar>
              <w:left w:w="60" w:type="dxa"/>
              <w:right w:w="60" w:type="dxa"/>
            </w:tcMar>
            <w:vAlign w:val="center"/>
          </w:tcPr>
          <w:p w14:paraId="16A2446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902" w:type="dxa"/>
            <w:tcBorders>
              <w:top w:val="nil"/>
              <w:left w:val="nil"/>
              <w:bottom w:val="nil"/>
              <w:right w:val="nil"/>
              <w:tl2br w:val="nil"/>
              <w:tr2bl w:val="nil"/>
            </w:tcBorders>
            <w:tcMar>
              <w:left w:w="60" w:type="dxa"/>
              <w:right w:w="60" w:type="dxa"/>
            </w:tcMar>
            <w:vAlign w:val="center"/>
          </w:tcPr>
          <w:p w14:paraId="6A26CEB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291</w:t>
            </w:r>
          </w:p>
        </w:tc>
        <w:tc>
          <w:tcPr>
            <w:tcW w:w="1467" w:type="dxa"/>
            <w:tcBorders>
              <w:top w:val="nil"/>
              <w:left w:val="nil"/>
              <w:bottom w:val="nil"/>
              <w:right w:val="nil"/>
              <w:tl2br w:val="nil"/>
              <w:tr2bl w:val="nil"/>
            </w:tcBorders>
            <w:tcMar>
              <w:left w:w="60" w:type="dxa"/>
              <w:right w:w="60" w:type="dxa"/>
            </w:tcMar>
            <w:vAlign w:val="center"/>
          </w:tcPr>
          <w:p w14:paraId="6DD58EF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34DA419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(293)</w:t>
            </w:r>
          </w:p>
        </w:tc>
        <w:tc>
          <w:tcPr>
            <w:tcW w:w="1958" w:type="dxa"/>
            <w:tcBorders>
              <w:top w:val="nil"/>
              <w:left w:val="nil"/>
              <w:bottom w:val="nil"/>
              <w:right w:val="nil"/>
              <w:tl2br w:val="nil"/>
              <w:tr2bl w:val="nil"/>
            </w:tcBorders>
            <w:tcMar>
              <w:left w:w="60" w:type="dxa"/>
              <w:right w:w="60" w:type="dxa"/>
            </w:tcMar>
            <w:vAlign w:val="center"/>
          </w:tcPr>
          <w:p w14:paraId="34132FF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3FD760A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A3C9636"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15B43C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Remuneration statutory staff</w:t>
            </w:r>
          </w:p>
        </w:tc>
        <w:tc>
          <w:tcPr>
            <w:tcW w:w="1804" w:type="dxa"/>
            <w:tcBorders>
              <w:top w:val="nil"/>
              <w:left w:val="nil"/>
              <w:bottom w:val="nil"/>
              <w:right w:val="nil"/>
              <w:tl2br w:val="nil"/>
              <w:tr2bl w:val="nil"/>
            </w:tcBorders>
            <w:tcMar>
              <w:left w:w="60" w:type="dxa"/>
              <w:right w:w="60" w:type="dxa"/>
            </w:tcMar>
            <w:vAlign w:val="center"/>
          </w:tcPr>
          <w:p w14:paraId="3543D89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14:paraId="06D84A7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3 092</w:t>
            </w:r>
          </w:p>
        </w:tc>
        <w:tc>
          <w:tcPr>
            <w:tcW w:w="1467" w:type="dxa"/>
            <w:tcBorders>
              <w:top w:val="nil"/>
              <w:left w:val="nil"/>
              <w:bottom w:val="nil"/>
              <w:right w:val="nil"/>
              <w:tl2br w:val="nil"/>
              <w:tr2bl w:val="nil"/>
            </w:tcBorders>
            <w:tcMar>
              <w:left w:w="60" w:type="dxa"/>
              <w:right w:w="60" w:type="dxa"/>
            </w:tcMar>
            <w:vAlign w:val="center"/>
          </w:tcPr>
          <w:p w14:paraId="32AE2AA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5EA7E81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(3 092)</w:t>
            </w:r>
          </w:p>
        </w:tc>
        <w:tc>
          <w:tcPr>
            <w:tcW w:w="1958" w:type="dxa"/>
            <w:tcBorders>
              <w:top w:val="nil"/>
              <w:left w:val="nil"/>
              <w:bottom w:val="nil"/>
              <w:right w:val="nil"/>
              <w:tl2br w:val="nil"/>
              <w:tr2bl w:val="nil"/>
            </w:tcBorders>
            <w:tcMar>
              <w:left w:w="60" w:type="dxa"/>
              <w:right w:w="60" w:type="dxa"/>
            </w:tcMar>
            <w:vAlign w:val="center"/>
          </w:tcPr>
          <w:p w14:paraId="6A7FB1D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2AC0D8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4A29ED6"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DB440E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Remuneration external staff</w:t>
            </w:r>
          </w:p>
        </w:tc>
        <w:tc>
          <w:tcPr>
            <w:tcW w:w="1804" w:type="dxa"/>
            <w:tcBorders>
              <w:top w:val="nil"/>
              <w:left w:val="nil"/>
              <w:bottom w:val="nil"/>
              <w:right w:val="nil"/>
              <w:tl2br w:val="nil"/>
              <w:tr2bl w:val="nil"/>
            </w:tcBorders>
            <w:tcMar>
              <w:left w:w="60" w:type="dxa"/>
              <w:right w:w="60" w:type="dxa"/>
            </w:tcMar>
            <w:vAlign w:val="center"/>
          </w:tcPr>
          <w:p w14:paraId="77298FA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902" w:type="dxa"/>
            <w:tcBorders>
              <w:top w:val="nil"/>
              <w:left w:val="nil"/>
              <w:bottom w:val="nil"/>
              <w:right w:val="nil"/>
              <w:tl2br w:val="nil"/>
              <w:tr2bl w:val="nil"/>
            </w:tcBorders>
            <w:tcMar>
              <w:left w:w="60" w:type="dxa"/>
              <w:right w:w="60" w:type="dxa"/>
            </w:tcMar>
            <w:vAlign w:val="center"/>
          </w:tcPr>
          <w:p w14:paraId="10785E3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351</w:t>
            </w:r>
          </w:p>
        </w:tc>
        <w:tc>
          <w:tcPr>
            <w:tcW w:w="1467" w:type="dxa"/>
            <w:tcBorders>
              <w:top w:val="nil"/>
              <w:left w:val="nil"/>
              <w:bottom w:val="nil"/>
              <w:right w:val="nil"/>
              <w:tl2br w:val="nil"/>
              <w:tr2bl w:val="nil"/>
            </w:tcBorders>
            <w:tcMar>
              <w:left w:w="60" w:type="dxa"/>
              <w:right w:w="60" w:type="dxa"/>
            </w:tcMar>
            <w:vAlign w:val="center"/>
          </w:tcPr>
          <w:p w14:paraId="74C45E7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2C6800C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(342)</w:t>
            </w:r>
          </w:p>
        </w:tc>
        <w:tc>
          <w:tcPr>
            <w:tcW w:w="1958" w:type="dxa"/>
            <w:tcBorders>
              <w:top w:val="nil"/>
              <w:left w:val="nil"/>
              <w:bottom w:val="nil"/>
              <w:right w:val="nil"/>
              <w:tl2br w:val="nil"/>
              <w:tr2bl w:val="nil"/>
            </w:tcBorders>
            <w:tcMar>
              <w:left w:w="60" w:type="dxa"/>
              <w:right w:w="60" w:type="dxa"/>
            </w:tcMar>
            <w:vAlign w:val="center"/>
          </w:tcPr>
          <w:p w14:paraId="2CF373BE"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32</w:t>
            </w:r>
          </w:p>
        </w:tc>
      </w:tr>
      <w:tr w:rsidR="00807FFE" w14:paraId="6F0E63C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D8EBA4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78DC47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Members - Salaries and allowances</w:t>
            </w:r>
          </w:p>
        </w:tc>
        <w:tc>
          <w:tcPr>
            <w:tcW w:w="1804" w:type="dxa"/>
            <w:tcBorders>
              <w:top w:val="nil"/>
              <w:left w:val="nil"/>
              <w:bottom w:val="nil"/>
              <w:right w:val="nil"/>
              <w:tl2br w:val="nil"/>
              <w:tr2bl w:val="nil"/>
            </w:tcBorders>
            <w:tcMar>
              <w:left w:w="60" w:type="dxa"/>
              <w:right w:w="60" w:type="dxa"/>
            </w:tcMar>
            <w:vAlign w:val="center"/>
          </w:tcPr>
          <w:p w14:paraId="34B5B37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14:paraId="39B2873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1467" w:type="dxa"/>
            <w:tcBorders>
              <w:top w:val="nil"/>
              <w:left w:val="nil"/>
              <w:bottom w:val="nil"/>
              <w:right w:val="nil"/>
              <w:tl2br w:val="nil"/>
              <w:tr2bl w:val="nil"/>
            </w:tcBorders>
            <w:tcMar>
              <w:left w:w="60" w:type="dxa"/>
              <w:right w:w="60" w:type="dxa"/>
            </w:tcMar>
            <w:vAlign w:val="center"/>
          </w:tcPr>
          <w:p w14:paraId="10FB130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0B16455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14:paraId="706F0B38"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3DDACD6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616634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3EC0F48"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Members - Temporary allowances</w:t>
            </w:r>
          </w:p>
        </w:tc>
        <w:tc>
          <w:tcPr>
            <w:tcW w:w="1804" w:type="dxa"/>
            <w:tcBorders>
              <w:top w:val="nil"/>
              <w:left w:val="nil"/>
              <w:bottom w:val="nil"/>
              <w:right w:val="nil"/>
              <w:tl2br w:val="nil"/>
              <w:tr2bl w:val="nil"/>
            </w:tcBorders>
            <w:tcMar>
              <w:left w:w="60" w:type="dxa"/>
              <w:right w:w="60" w:type="dxa"/>
            </w:tcMar>
            <w:vAlign w:val="center"/>
          </w:tcPr>
          <w:p w14:paraId="4213319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7562788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14:paraId="5DB7750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6210F27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958" w:type="dxa"/>
            <w:tcBorders>
              <w:top w:val="nil"/>
              <w:left w:val="nil"/>
              <w:bottom w:val="nil"/>
              <w:right w:val="nil"/>
              <w:tl2br w:val="nil"/>
              <w:tr2bl w:val="nil"/>
            </w:tcBorders>
            <w:tcMar>
              <w:left w:w="60" w:type="dxa"/>
              <w:right w:w="60" w:type="dxa"/>
            </w:tcMar>
            <w:vAlign w:val="center"/>
          </w:tcPr>
          <w:p w14:paraId="3F33B606"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2A32567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E06143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A41BC1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Recruitment costs</w:t>
            </w:r>
          </w:p>
        </w:tc>
        <w:tc>
          <w:tcPr>
            <w:tcW w:w="1804" w:type="dxa"/>
            <w:tcBorders>
              <w:top w:val="nil"/>
              <w:left w:val="nil"/>
              <w:bottom w:val="nil"/>
              <w:right w:val="nil"/>
              <w:tl2br w:val="nil"/>
              <w:tr2bl w:val="nil"/>
            </w:tcBorders>
            <w:tcMar>
              <w:left w:w="60" w:type="dxa"/>
              <w:right w:w="60" w:type="dxa"/>
            </w:tcMar>
            <w:vAlign w:val="center"/>
          </w:tcPr>
          <w:p w14:paraId="66D8ECA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902" w:type="dxa"/>
            <w:tcBorders>
              <w:top w:val="nil"/>
              <w:left w:val="nil"/>
              <w:bottom w:val="nil"/>
              <w:right w:val="nil"/>
              <w:tl2br w:val="nil"/>
              <w:tr2bl w:val="nil"/>
            </w:tcBorders>
            <w:tcMar>
              <w:left w:w="60" w:type="dxa"/>
              <w:right w:w="60" w:type="dxa"/>
            </w:tcMar>
            <w:vAlign w:val="center"/>
          </w:tcPr>
          <w:p w14:paraId="2AFCCFD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1467" w:type="dxa"/>
            <w:tcBorders>
              <w:top w:val="nil"/>
              <w:left w:val="nil"/>
              <w:bottom w:val="nil"/>
              <w:right w:val="nil"/>
              <w:tl2br w:val="nil"/>
              <w:tr2bl w:val="nil"/>
            </w:tcBorders>
            <w:tcMar>
              <w:left w:w="60" w:type="dxa"/>
              <w:right w:w="60" w:type="dxa"/>
            </w:tcMar>
            <w:vAlign w:val="center"/>
          </w:tcPr>
          <w:p w14:paraId="3FBF266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2331247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1958" w:type="dxa"/>
            <w:tcBorders>
              <w:top w:val="nil"/>
              <w:left w:val="nil"/>
              <w:bottom w:val="nil"/>
              <w:right w:val="nil"/>
              <w:tl2br w:val="nil"/>
              <w:tr2bl w:val="nil"/>
            </w:tcBorders>
            <w:tcMar>
              <w:left w:w="60" w:type="dxa"/>
              <w:right w:w="60" w:type="dxa"/>
            </w:tcMar>
            <w:vAlign w:val="center"/>
          </w:tcPr>
          <w:p w14:paraId="2F4FF9E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5556ABF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82B639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397EA8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Termination of service</w:t>
            </w:r>
          </w:p>
        </w:tc>
        <w:tc>
          <w:tcPr>
            <w:tcW w:w="1804" w:type="dxa"/>
            <w:tcBorders>
              <w:top w:val="nil"/>
              <w:left w:val="nil"/>
              <w:bottom w:val="nil"/>
              <w:right w:val="nil"/>
              <w:tl2br w:val="nil"/>
              <w:tr2bl w:val="nil"/>
            </w:tcBorders>
            <w:tcMar>
              <w:left w:w="60" w:type="dxa"/>
              <w:right w:w="60" w:type="dxa"/>
            </w:tcMar>
            <w:vAlign w:val="center"/>
          </w:tcPr>
          <w:p w14:paraId="560CF4A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4A1208E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14:paraId="30EB564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4F5A115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958" w:type="dxa"/>
            <w:tcBorders>
              <w:top w:val="nil"/>
              <w:left w:val="nil"/>
              <w:bottom w:val="nil"/>
              <w:right w:val="nil"/>
              <w:tl2br w:val="nil"/>
              <w:tr2bl w:val="nil"/>
            </w:tcBorders>
            <w:tcMar>
              <w:left w:w="60" w:type="dxa"/>
              <w:right w:w="60" w:type="dxa"/>
            </w:tcMar>
            <w:vAlign w:val="center"/>
          </w:tcPr>
          <w:p w14:paraId="4D58739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3677128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910DDB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7171A17"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Training costs</w:t>
            </w:r>
          </w:p>
        </w:tc>
        <w:tc>
          <w:tcPr>
            <w:tcW w:w="1804" w:type="dxa"/>
            <w:tcBorders>
              <w:top w:val="nil"/>
              <w:left w:val="nil"/>
              <w:bottom w:val="nil"/>
              <w:right w:val="nil"/>
              <w:tl2br w:val="nil"/>
              <w:tr2bl w:val="nil"/>
            </w:tcBorders>
            <w:tcMar>
              <w:left w:w="60" w:type="dxa"/>
              <w:right w:w="60" w:type="dxa"/>
            </w:tcMar>
            <w:vAlign w:val="center"/>
          </w:tcPr>
          <w:p w14:paraId="6C509F0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14:paraId="6BF18BA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467" w:type="dxa"/>
            <w:tcBorders>
              <w:top w:val="nil"/>
              <w:left w:val="nil"/>
              <w:bottom w:val="nil"/>
              <w:right w:val="nil"/>
              <w:tl2br w:val="nil"/>
              <w:tr2bl w:val="nil"/>
            </w:tcBorders>
            <w:tcMar>
              <w:left w:w="60" w:type="dxa"/>
              <w:right w:w="60" w:type="dxa"/>
            </w:tcMar>
            <w:vAlign w:val="center"/>
          </w:tcPr>
          <w:p w14:paraId="2C86B9C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47916E0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14:paraId="31376DA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w:t>
            </w:r>
          </w:p>
        </w:tc>
      </w:tr>
      <w:tr w:rsidR="00807FFE" w14:paraId="34B6DAC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10DF9D1"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03592AD"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Social and Mobility</w:t>
            </w:r>
          </w:p>
        </w:tc>
        <w:tc>
          <w:tcPr>
            <w:tcW w:w="1804" w:type="dxa"/>
            <w:tcBorders>
              <w:top w:val="nil"/>
              <w:left w:val="nil"/>
              <w:bottom w:val="nil"/>
              <w:right w:val="nil"/>
              <w:tl2br w:val="nil"/>
              <w:tr2bl w:val="nil"/>
            </w:tcBorders>
            <w:tcMar>
              <w:left w:w="60" w:type="dxa"/>
              <w:right w:w="60" w:type="dxa"/>
            </w:tcMar>
            <w:vAlign w:val="center"/>
          </w:tcPr>
          <w:p w14:paraId="0248E93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14:paraId="4226B75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1467" w:type="dxa"/>
            <w:tcBorders>
              <w:top w:val="nil"/>
              <w:left w:val="nil"/>
              <w:bottom w:val="nil"/>
              <w:right w:val="nil"/>
              <w:tl2br w:val="nil"/>
              <w:tr2bl w:val="nil"/>
            </w:tcBorders>
            <w:tcMar>
              <w:left w:w="60" w:type="dxa"/>
              <w:right w:w="60" w:type="dxa"/>
            </w:tcMar>
            <w:vAlign w:val="center"/>
          </w:tcPr>
          <w:p w14:paraId="6253994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3C2D585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1958" w:type="dxa"/>
            <w:tcBorders>
              <w:top w:val="nil"/>
              <w:left w:val="nil"/>
              <w:bottom w:val="nil"/>
              <w:right w:val="nil"/>
              <w:tl2br w:val="nil"/>
              <w:tr2bl w:val="nil"/>
            </w:tcBorders>
            <w:tcMar>
              <w:left w:w="60" w:type="dxa"/>
              <w:right w:w="60" w:type="dxa"/>
            </w:tcMar>
            <w:vAlign w:val="center"/>
          </w:tcPr>
          <w:p w14:paraId="32A31058"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w:t>
            </w:r>
          </w:p>
        </w:tc>
      </w:tr>
      <w:tr w:rsidR="00807FFE" w14:paraId="637F12F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5F40A30"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E37C3F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Information and communication technology</w:t>
            </w:r>
          </w:p>
        </w:tc>
        <w:tc>
          <w:tcPr>
            <w:tcW w:w="1804" w:type="dxa"/>
            <w:tcBorders>
              <w:top w:val="nil"/>
              <w:left w:val="nil"/>
              <w:bottom w:val="nil"/>
              <w:right w:val="nil"/>
              <w:tl2br w:val="nil"/>
              <w:tr2bl w:val="nil"/>
            </w:tcBorders>
            <w:tcMar>
              <w:left w:w="60" w:type="dxa"/>
              <w:right w:w="60" w:type="dxa"/>
            </w:tcMar>
            <w:vAlign w:val="center"/>
          </w:tcPr>
          <w:p w14:paraId="1C66474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166</w:t>
            </w:r>
          </w:p>
        </w:tc>
        <w:tc>
          <w:tcPr>
            <w:tcW w:w="1902" w:type="dxa"/>
            <w:tcBorders>
              <w:top w:val="nil"/>
              <w:left w:val="nil"/>
              <w:bottom w:val="nil"/>
              <w:right w:val="nil"/>
              <w:tl2br w:val="nil"/>
              <w:tr2bl w:val="nil"/>
            </w:tcBorders>
            <w:tcMar>
              <w:left w:w="60" w:type="dxa"/>
              <w:right w:w="60" w:type="dxa"/>
            </w:tcMar>
            <w:vAlign w:val="center"/>
          </w:tcPr>
          <w:p w14:paraId="1AC9597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452</w:t>
            </w:r>
          </w:p>
        </w:tc>
        <w:tc>
          <w:tcPr>
            <w:tcW w:w="1467" w:type="dxa"/>
            <w:tcBorders>
              <w:top w:val="nil"/>
              <w:left w:val="nil"/>
              <w:bottom w:val="nil"/>
              <w:right w:val="nil"/>
              <w:tl2br w:val="nil"/>
              <w:tr2bl w:val="nil"/>
            </w:tcBorders>
            <w:tcMar>
              <w:left w:w="60" w:type="dxa"/>
              <w:right w:w="60" w:type="dxa"/>
            </w:tcMar>
            <w:vAlign w:val="center"/>
          </w:tcPr>
          <w:p w14:paraId="397B036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3F3F3F7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(442)</w:t>
            </w:r>
          </w:p>
        </w:tc>
        <w:tc>
          <w:tcPr>
            <w:tcW w:w="1958" w:type="dxa"/>
            <w:tcBorders>
              <w:top w:val="nil"/>
              <w:left w:val="nil"/>
              <w:bottom w:val="nil"/>
              <w:right w:val="nil"/>
              <w:tl2br w:val="nil"/>
              <w:tr2bl w:val="nil"/>
            </w:tcBorders>
            <w:tcMar>
              <w:left w:w="60" w:type="dxa"/>
              <w:right w:w="60" w:type="dxa"/>
            </w:tcMar>
            <w:vAlign w:val="center"/>
          </w:tcPr>
          <w:p w14:paraId="7872B462"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173</w:t>
            </w:r>
          </w:p>
        </w:tc>
      </w:tr>
      <w:tr w:rsidR="00807FFE" w14:paraId="0251E8F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D07F8EF"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5E5A2D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Rents and purchases</w:t>
            </w:r>
          </w:p>
        </w:tc>
        <w:tc>
          <w:tcPr>
            <w:tcW w:w="1804" w:type="dxa"/>
            <w:tcBorders>
              <w:top w:val="nil"/>
              <w:left w:val="nil"/>
              <w:bottom w:val="nil"/>
              <w:right w:val="nil"/>
              <w:tl2br w:val="nil"/>
              <w:tr2bl w:val="nil"/>
            </w:tcBorders>
            <w:tcMar>
              <w:left w:w="60" w:type="dxa"/>
              <w:right w:w="60" w:type="dxa"/>
            </w:tcMar>
            <w:vAlign w:val="center"/>
          </w:tcPr>
          <w:p w14:paraId="65A41C6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902" w:type="dxa"/>
            <w:tcBorders>
              <w:top w:val="nil"/>
              <w:left w:val="nil"/>
              <w:bottom w:val="nil"/>
              <w:right w:val="nil"/>
              <w:tl2br w:val="nil"/>
              <w:tr2bl w:val="nil"/>
            </w:tcBorders>
            <w:tcMar>
              <w:left w:w="60" w:type="dxa"/>
              <w:right w:w="60" w:type="dxa"/>
            </w:tcMar>
            <w:vAlign w:val="center"/>
          </w:tcPr>
          <w:p w14:paraId="63E21AD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458</w:t>
            </w:r>
          </w:p>
        </w:tc>
        <w:tc>
          <w:tcPr>
            <w:tcW w:w="1467" w:type="dxa"/>
            <w:tcBorders>
              <w:top w:val="nil"/>
              <w:left w:val="nil"/>
              <w:bottom w:val="nil"/>
              <w:right w:val="nil"/>
              <w:tl2br w:val="nil"/>
              <w:tr2bl w:val="nil"/>
            </w:tcBorders>
            <w:tcMar>
              <w:left w:w="60" w:type="dxa"/>
              <w:right w:w="60" w:type="dxa"/>
            </w:tcMar>
            <w:vAlign w:val="center"/>
          </w:tcPr>
          <w:p w14:paraId="742BB2B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4B7515A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(448)</w:t>
            </w:r>
          </w:p>
        </w:tc>
        <w:tc>
          <w:tcPr>
            <w:tcW w:w="1958" w:type="dxa"/>
            <w:tcBorders>
              <w:top w:val="nil"/>
              <w:left w:val="nil"/>
              <w:bottom w:val="nil"/>
              <w:right w:val="nil"/>
              <w:tl2br w:val="nil"/>
              <w:tr2bl w:val="nil"/>
            </w:tcBorders>
            <w:tcMar>
              <w:left w:w="60" w:type="dxa"/>
              <w:right w:w="60" w:type="dxa"/>
            </w:tcMar>
            <w:vAlign w:val="center"/>
          </w:tcPr>
          <w:p w14:paraId="65CCF14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439AB2B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B625AD1"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742C1AC"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Linked to buildings</w:t>
            </w:r>
          </w:p>
        </w:tc>
        <w:tc>
          <w:tcPr>
            <w:tcW w:w="1804" w:type="dxa"/>
            <w:tcBorders>
              <w:top w:val="nil"/>
              <w:left w:val="nil"/>
              <w:bottom w:val="nil"/>
              <w:right w:val="nil"/>
              <w:tl2br w:val="nil"/>
              <w:tr2bl w:val="nil"/>
            </w:tcBorders>
            <w:tcMar>
              <w:left w:w="60" w:type="dxa"/>
              <w:right w:w="60" w:type="dxa"/>
            </w:tcMar>
            <w:vAlign w:val="center"/>
          </w:tcPr>
          <w:p w14:paraId="470CA16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49</w:t>
            </w:r>
          </w:p>
        </w:tc>
        <w:tc>
          <w:tcPr>
            <w:tcW w:w="1902" w:type="dxa"/>
            <w:tcBorders>
              <w:top w:val="nil"/>
              <w:left w:val="nil"/>
              <w:bottom w:val="nil"/>
              <w:right w:val="nil"/>
              <w:tl2br w:val="nil"/>
              <w:tr2bl w:val="nil"/>
            </w:tcBorders>
            <w:tcMar>
              <w:left w:w="60" w:type="dxa"/>
              <w:right w:w="60" w:type="dxa"/>
            </w:tcMar>
            <w:vAlign w:val="center"/>
          </w:tcPr>
          <w:p w14:paraId="4A97BB1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134</w:t>
            </w:r>
          </w:p>
        </w:tc>
        <w:tc>
          <w:tcPr>
            <w:tcW w:w="1467" w:type="dxa"/>
            <w:tcBorders>
              <w:top w:val="nil"/>
              <w:left w:val="nil"/>
              <w:bottom w:val="nil"/>
              <w:right w:val="nil"/>
              <w:tl2br w:val="nil"/>
              <w:tr2bl w:val="nil"/>
            </w:tcBorders>
            <w:tcMar>
              <w:left w:w="60" w:type="dxa"/>
              <w:right w:w="60" w:type="dxa"/>
            </w:tcMar>
            <w:vAlign w:val="center"/>
          </w:tcPr>
          <w:p w14:paraId="39F030D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14:paraId="4E8DEA9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(132)</w:t>
            </w:r>
          </w:p>
        </w:tc>
        <w:tc>
          <w:tcPr>
            <w:tcW w:w="1958" w:type="dxa"/>
            <w:tcBorders>
              <w:top w:val="nil"/>
              <w:left w:val="nil"/>
              <w:bottom w:val="nil"/>
              <w:right w:val="nil"/>
              <w:tl2br w:val="nil"/>
              <w:tr2bl w:val="nil"/>
            </w:tcBorders>
            <w:tcMar>
              <w:left w:w="60" w:type="dxa"/>
              <w:right w:w="60" w:type="dxa"/>
            </w:tcMar>
            <w:vAlign w:val="center"/>
          </w:tcPr>
          <w:p w14:paraId="356D77D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49</w:t>
            </w:r>
          </w:p>
        </w:tc>
      </w:tr>
      <w:tr w:rsidR="00807FFE" w14:paraId="2EF4FCB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0C7FBBE"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3115DE6"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Security</w:t>
            </w:r>
          </w:p>
        </w:tc>
        <w:tc>
          <w:tcPr>
            <w:tcW w:w="1804" w:type="dxa"/>
            <w:tcBorders>
              <w:top w:val="nil"/>
              <w:left w:val="nil"/>
              <w:bottom w:val="nil"/>
              <w:right w:val="nil"/>
              <w:tl2br w:val="nil"/>
              <w:tr2bl w:val="nil"/>
            </w:tcBorders>
            <w:tcMar>
              <w:left w:w="60" w:type="dxa"/>
              <w:right w:w="60" w:type="dxa"/>
            </w:tcMar>
            <w:vAlign w:val="center"/>
          </w:tcPr>
          <w:p w14:paraId="3C4C0B0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1902" w:type="dxa"/>
            <w:tcBorders>
              <w:top w:val="nil"/>
              <w:left w:val="nil"/>
              <w:bottom w:val="nil"/>
              <w:right w:val="nil"/>
              <w:tl2br w:val="nil"/>
              <w:tr2bl w:val="nil"/>
            </w:tcBorders>
            <w:tcMar>
              <w:left w:w="60" w:type="dxa"/>
              <w:right w:w="60" w:type="dxa"/>
            </w:tcMar>
            <w:vAlign w:val="center"/>
          </w:tcPr>
          <w:p w14:paraId="4C5020E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87</w:t>
            </w:r>
          </w:p>
        </w:tc>
        <w:tc>
          <w:tcPr>
            <w:tcW w:w="1467" w:type="dxa"/>
            <w:tcBorders>
              <w:top w:val="nil"/>
              <w:left w:val="nil"/>
              <w:bottom w:val="nil"/>
              <w:right w:val="nil"/>
              <w:tl2br w:val="nil"/>
              <w:tr2bl w:val="nil"/>
            </w:tcBorders>
            <w:tcMar>
              <w:left w:w="60" w:type="dxa"/>
              <w:right w:w="60" w:type="dxa"/>
            </w:tcMar>
            <w:vAlign w:val="center"/>
          </w:tcPr>
          <w:p w14:paraId="390A0B9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14:paraId="516B6E0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(86)</w:t>
            </w:r>
          </w:p>
        </w:tc>
        <w:tc>
          <w:tcPr>
            <w:tcW w:w="1958" w:type="dxa"/>
            <w:tcBorders>
              <w:top w:val="nil"/>
              <w:left w:val="nil"/>
              <w:bottom w:val="nil"/>
              <w:right w:val="nil"/>
              <w:tl2br w:val="nil"/>
              <w:tr2bl w:val="nil"/>
            </w:tcBorders>
            <w:tcMar>
              <w:left w:w="60" w:type="dxa"/>
              <w:right w:w="60" w:type="dxa"/>
            </w:tcMar>
            <w:vAlign w:val="center"/>
          </w:tcPr>
          <w:p w14:paraId="21680783"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w:t>
            </w:r>
          </w:p>
        </w:tc>
      </w:tr>
      <w:tr w:rsidR="00807FFE" w14:paraId="6960B66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78ECC7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C46097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Mission and representation</w:t>
            </w:r>
          </w:p>
        </w:tc>
        <w:tc>
          <w:tcPr>
            <w:tcW w:w="1804" w:type="dxa"/>
            <w:tcBorders>
              <w:top w:val="nil"/>
              <w:left w:val="nil"/>
              <w:bottom w:val="nil"/>
              <w:right w:val="nil"/>
              <w:tl2br w:val="nil"/>
              <w:tr2bl w:val="nil"/>
            </w:tcBorders>
            <w:tcMar>
              <w:left w:w="60" w:type="dxa"/>
              <w:right w:w="60" w:type="dxa"/>
            </w:tcMar>
            <w:vAlign w:val="center"/>
          </w:tcPr>
          <w:p w14:paraId="75E5916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14:paraId="0307728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1467" w:type="dxa"/>
            <w:tcBorders>
              <w:top w:val="nil"/>
              <w:left w:val="nil"/>
              <w:bottom w:val="nil"/>
              <w:right w:val="nil"/>
              <w:tl2br w:val="nil"/>
              <w:tr2bl w:val="nil"/>
            </w:tcBorders>
            <w:tcMar>
              <w:left w:w="60" w:type="dxa"/>
              <w:right w:w="60" w:type="dxa"/>
            </w:tcMar>
            <w:vAlign w:val="center"/>
          </w:tcPr>
          <w:p w14:paraId="4FC1B71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559954C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1958" w:type="dxa"/>
            <w:tcBorders>
              <w:top w:val="nil"/>
              <w:left w:val="nil"/>
              <w:bottom w:val="nil"/>
              <w:right w:val="nil"/>
              <w:tl2br w:val="nil"/>
              <w:tr2bl w:val="nil"/>
            </w:tcBorders>
            <w:tcMar>
              <w:left w:w="60" w:type="dxa"/>
              <w:right w:w="60" w:type="dxa"/>
            </w:tcMar>
            <w:vAlign w:val="center"/>
          </w:tcPr>
          <w:p w14:paraId="76565751"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w:t>
            </w:r>
          </w:p>
        </w:tc>
      </w:tr>
      <w:tr w:rsidR="00807FFE" w14:paraId="500619F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E41C676"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7C67762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Meetings, committees, conference</w:t>
            </w:r>
          </w:p>
        </w:tc>
        <w:tc>
          <w:tcPr>
            <w:tcW w:w="1804" w:type="dxa"/>
            <w:tcBorders>
              <w:top w:val="nil"/>
              <w:left w:val="nil"/>
              <w:bottom w:val="nil"/>
              <w:right w:val="nil"/>
              <w:tl2br w:val="nil"/>
              <w:tr2bl w:val="nil"/>
            </w:tcBorders>
            <w:tcMar>
              <w:left w:w="60" w:type="dxa"/>
              <w:right w:w="60" w:type="dxa"/>
            </w:tcMar>
            <w:vAlign w:val="center"/>
          </w:tcPr>
          <w:p w14:paraId="282DB05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14:paraId="7BD27CD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467" w:type="dxa"/>
            <w:tcBorders>
              <w:top w:val="nil"/>
              <w:left w:val="nil"/>
              <w:bottom w:val="nil"/>
              <w:right w:val="nil"/>
              <w:tl2br w:val="nil"/>
              <w:tr2bl w:val="nil"/>
            </w:tcBorders>
            <w:tcMar>
              <w:left w:w="60" w:type="dxa"/>
              <w:right w:w="60" w:type="dxa"/>
            </w:tcMar>
            <w:vAlign w:val="center"/>
          </w:tcPr>
          <w:p w14:paraId="550BA39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A8F91E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958" w:type="dxa"/>
            <w:tcBorders>
              <w:top w:val="nil"/>
              <w:left w:val="nil"/>
              <w:bottom w:val="nil"/>
              <w:right w:val="nil"/>
              <w:tl2br w:val="nil"/>
              <w:tr2bl w:val="nil"/>
            </w:tcBorders>
            <w:tcMar>
              <w:left w:w="60" w:type="dxa"/>
              <w:right w:w="60" w:type="dxa"/>
            </w:tcMar>
            <w:vAlign w:val="center"/>
          </w:tcPr>
          <w:p w14:paraId="30DE022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w:t>
            </w:r>
          </w:p>
        </w:tc>
      </w:tr>
      <w:tr w:rsidR="00807FFE" w14:paraId="19E3B86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51FEE1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4FE4A91"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Official journal</w:t>
            </w:r>
          </w:p>
        </w:tc>
        <w:tc>
          <w:tcPr>
            <w:tcW w:w="1804" w:type="dxa"/>
            <w:tcBorders>
              <w:top w:val="nil"/>
              <w:left w:val="nil"/>
              <w:bottom w:val="nil"/>
              <w:right w:val="nil"/>
              <w:tl2br w:val="nil"/>
              <w:tr2bl w:val="nil"/>
            </w:tcBorders>
            <w:tcMar>
              <w:left w:w="60" w:type="dxa"/>
              <w:right w:w="60" w:type="dxa"/>
            </w:tcMar>
            <w:vAlign w:val="center"/>
          </w:tcPr>
          <w:p w14:paraId="2A7F5E7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14:paraId="7357C12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14:paraId="0899479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7B5D1B1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958" w:type="dxa"/>
            <w:tcBorders>
              <w:top w:val="nil"/>
              <w:left w:val="nil"/>
              <w:bottom w:val="nil"/>
              <w:right w:val="nil"/>
              <w:tl2br w:val="nil"/>
              <w:tr2bl w:val="nil"/>
            </w:tcBorders>
            <w:tcMar>
              <w:left w:w="60" w:type="dxa"/>
              <w:right w:w="60" w:type="dxa"/>
            </w:tcMar>
            <w:vAlign w:val="center"/>
          </w:tcPr>
          <w:p w14:paraId="3DE51F04"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74EB3C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025A94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FDCA1B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Publications</w:t>
            </w:r>
          </w:p>
        </w:tc>
        <w:tc>
          <w:tcPr>
            <w:tcW w:w="1804" w:type="dxa"/>
            <w:tcBorders>
              <w:top w:val="nil"/>
              <w:left w:val="nil"/>
              <w:bottom w:val="nil"/>
              <w:right w:val="nil"/>
              <w:tl2br w:val="nil"/>
              <w:tr2bl w:val="nil"/>
            </w:tcBorders>
            <w:tcMar>
              <w:left w:w="60" w:type="dxa"/>
              <w:right w:w="60" w:type="dxa"/>
            </w:tcMar>
            <w:vAlign w:val="center"/>
          </w:tcPr>
          <w:p w14:paraId="5E3428B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902" w:type="dxa"/>
            <w:tcBorders>
              <w:top w:val="nil"/>
              <w:left w:val="nil"/>
              <w:bottom w:val="nil"/>
              <w:right w:val="nil"/>
              <w:tl2br w:val="nil"/>
              <w:tr2bl w:val="nil"/>
            </w:tcBorders>
            <w:tcMar>
              <w:left w:w="60" w:type="dxa"/>
              <w:right w:w="60" w:type="dxa"/>
            </w:tcMar>
            <w:vAlign w:val="center"/>
          </w:tcPr>
          <w:p w14:paraId="120BDD4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467" w:type="dxa"/>
            <w:tcBorders>
              <w:top w:val="nil"/>
              <w:left w:val="nil"/>
              <w:bottom w:val="nil"/>
              <w:right w:val="nil"/>
              <w:tl2br w:val="nil"/>
              <w:tr2bl w:val="nil"/>
            </w:tcBorders>
            <w:tcMar>
              <w:left w:w="60" w:type="dxa"/>
              <w:right w:w="60" w:type="dxa"/>
            </w:tcMar>
            <w:vAlign w:val="center"/>
          </w:tcPr>
          <w:p w14:paraId="6C341DD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2668C9E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1958" w:type="dxa"/>
            <w:tcBorders>
              <w:top w:val="nil"/>
              <w:left w:val="nil"/>
              <w:bottom w:val="nil"/>
              <w:right w:val="nil"/>
              <w:tl2br w:val="nil"/>
              <w:tr2bl w:val="nil"/>
            </w:tcBorders>
            <w:tcMar>
              <w:left w:w="60" w:type="dxa"/>
              <w:right w:w="60" w:type="dxa"/>
            </w:tcMar>
            <w:vAlign w:val="center"/>
          </w:tcPr>
          <w:p w14:paraId="1D16307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w:t>
            </w:r>
          </w:p>
        </w:tc>
      </w:tr>
      <w:tr w:rsidR="00807FFE" w14:paraId="3F0C139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154A680"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7844D0C"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Acquisition of information</w:t>
            </w:r>
          </w:p>
        </w:tc>
        <w:tc>
          <w:tcPr>
            <w:tcW w:w="1804" w:type="dxa"/>
            <w:tcBorders>
              <w:top w:val="nil"/>
              <w:left w:val="nil"/>
              <w:bottom w:val="nil"/>
              <w:right w:val="nil"/>
              <w:tl2br w:val="nil"/>
              <w:tr2bl w:val="nil"/>
            </w:tcBorders>
            <w:tcMar>
              <w:left w:w="60" w:type="dxa"/>
              <w:right w:w="60" w:type="dxa"/>
            </w:tcMar>
            <w:vAlign w:val="center"/>
          </w:tcPr>
          <w:p w14:paraId="398CA95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902" w:type="dxa"/>
            <w:tcBorders>
              <w:top w:val="nil"/>
              <w:left w:val="nil"/>
              <w:bottom w:val="nil"/>
              <w:right w:val="nil"/>
              <w:tl2br w:val="nil"/>
              <w:tr2bl w:val="nil"/>
            </w:tcBorders>
            <w:tcMar>
              <w:left w:w="60" w:type="dxa"/>
              <w:right w:w="60" w:type="dxa"/>
            </w:tcMar>
            <w:vAlign w:val="center"/>
          </w:tcPr>
          <w:p w14:paraId="644847B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14:paraId="43F50A2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2A937AF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958" w:type="dxa"/>
            <w:tcBorders>
              <w:top w:val="nil"/>
              <w:left w:val="nil"/>
              <w:bottom w:val="nil"/>
              <w:right w:val="nil"/>
              <w:tl2br w:val="nil"/>
              <w:tr2bl w:val="nil"/>
            </w:tcBorders>
            <w:tcMar>
              <w:left w:w="60" w:type="dxa"/>
              <w:right w:w="60" w:type="dxa"/>
            </w:tcMar>
            <w:vAlign w:val="center"/>
          </w:tcPr>
          <w:p w14:paraId="76E15F2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665B1DC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D585927"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1610A1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Studies and investigations</w:t>
            </w:r>
          </w:p>
        </w:tc>
        <w:tc>
          <w:tcPr>
            <w:tcW w:w="1804" w:type="dxa"/>
            <w:tcBorders>
              <w:top w:val="nil"/>
              <w:left w:val="nil"/>
              <w:bottom w:val="nil"/>
              <w:right w:val="nil"/>
              <w:tl2br w:val="nil"/>
              <w:tr2bl w:val="nil"/>
            </w:tcBorders>
            <w:tcMar>
              <w:left w:w="60" w:type="dxa"/>
              <w:right w:w="60" w:type="dxa"/>
            </w:tcMar>
            <w:vAlign w:val="center"/>
          </w:tcPr>
          <w:p w14:paraId="12CC841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902" w:type="dxa"/>
            <w:tcBorders>
              <w:top w:val="nil"/>
              <w:left w:val="nil"/>
              <w:bottom w:val="nil"/>
              <w:right w:val="nil"/>
              <w:tl2br w:val="nil"/>
              <w:tr2bl w:val="nil"/>
            </w:tcBorders>
            <w:tcMar>
              <w:left w:w="60" w:type="dxa"/>
              <w:right w:w="60" w:type="dxa"/>
            </w:tcMar>
            <w:vAlign w:val="center"/>
          </w:tcPr>
          <w:p w14:paraId="4AF47CF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467" w:type="dxa"/>
            <w:tcBorders>
              <w:top w:val="nil"/>
              <w:left w:val="nil"/>
              <w:bottom w:val="nil"/>
              <w:right w:val="nil"/>
              <w:tl2br w:val="nil"/>
              <w:tr2bl w:val="nil"/>
            </w:tcBorders>
            <w:tcMar>
              <w:left w:w="60" w:type="dxa"/>
              <w:right w:w="60" w:type="dxa"/>
            </w:tcMar>
            <w:vAlign w:val="center"/>
          </w:tcPr>
          <w:p w14:paraId="206AC6F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3B5F537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958" w:type="dxa"/>
            <w:tcBorders>
              <w:top w:val="nil"/>
              <w:left w:val="nil"/>
              <w:bottom w:val="nil"/>
              <w:right w:val="nil"/>
              <w:tl2br w:val="nil"/>
              <w:tr2bl w:val="nil"/>
            </w:tcBorders>
            <w:tcMar>
              <w:left w:w="60" w:type="dxa"/>
              <w:right w:w="60" w:type="dxa"/>
            </w:tcMar>
            <w:vAlign w:val="center"/>
          </w:tcPr>
          <w:p w14:paraId="5311A10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6B530AF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092106B"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0E8CAA6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General equipment, vehicle, furniture</w:t>
            </w:r>
          </w:p>
        </w:tc>
        <w:tc>
          <w:tcPr>
            <w:tcW w:w="1804" w:type="dxa"/>
            <w:tcBorders>
              <w:top w:val="nil"/>
              <w:left w:val="nil"/>
              <w:bottom w:val="nil"/>
              <w:right w:val="nil"/>
              <w:tl2br w:val="nil"/>
              <w:tr2bl w:val="nil"/>
            </w:tcBorders>
            <w:tcMar>
              <w:left w:w="60" w:type="dxa"/>
              <w:right w:w="60" w:type="dxa"/>
            </w:tcMar>
            <w:vAlign w:val="center"/>
          </w:tcPr>
          <w:p w14:paraId="4571B02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1902" w:type="dxa"/>
            <w:tcBorders>
              <w:top w:val="nil"/>
              <w:left w:val="nil"/>
              <w:bottom w:val="nil"/>
              <w:right w:val="nil"/>
              <w:tl2br w:val="nil"/>
              <w:tr2bl w:val="nil"/>
            </w:tcBorders>
            <w:tcMar>
              <w:left w:w="60" w:type="dxa"/>
              <w:right w:w="60" w:type="dxa"/>
            </w:tcMar>
            <w:vAlign w:val="center"/>
          </w:tcPr>
          <w:p w14:paraId="357F51E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1467" w:type="dxa"/>
            <w:tcBorders>
              <w:top w:val="nil"/>
              <w:left w:val="nil"/>
              <w:bottom w:val="nil"/>
              <w:right w:val="nil"/>
              <w:tl2br w:val="nil"/>
              <w:tr2bl w:val="nil"/>
            </w:tcBorders>
            <w:tcMar>
              <w:left w:w="60" w:type="dxa"/>
              <w:right w:w="60" w:type="dxa"/>
            </w:tcMar>
            <w:vAlign w:val="center"/>
          </w:tcPr>
          <w:p w14:paraId="707622A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7F1C0D5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958" w:type="dxa"/>
            <w:tcBorders>
              <w:top w:val="nil"/>
              <w:left w:val="nil"/>
              <w:bottom w:val="nil"/>
              <w:right w:val="nil"/>
              <w:tl2br w:val="nil"/>
              <w:tr2bl w:val="nil"/>
            </w:tcBorders>
            <w:tcMar>
              <w:left w:w="60" w:type="dxa"/>
              <w:right w:w="60" w:type="dxa"/>
            </w:tcMar>
            <w:vAlign w:val="center"/>
          </w:tcPr>
          <w:p w14:paraId="72380CE1"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w:t>
            </w:r>
          </w:p>
        </w:tc>
      </w:tr>
      <w:tr w:rsidR="00807FFE" w14:paraId="4D7E56A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BD7E5D0"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4985F2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Linguistic external services</w:t>
            </w:r>
          </w:p>
        </w:tc>
        <w:tc>
          <w:tcPr>
            <w:tcW w:w="1804" w:type="dxa"/>
            <w:tcBorders>
              <w:top w:val="nil"/>
              <w:left w:val="nil"/>
              <w:bottom w:val="nil"/>
              <w:right w:val="nil"/>
              <w:tl2br w:val="nil"/>
              <w:tr2bl w:val="nil"/>
            </w:tcBorders>
            <w:tcMar>
              <w:left w:w="60" w:type="dxa"/>
              <w:right w:w="60" w:type="dxa"/>
            </w:tcMar>
            <w:vAlign w:val="center"/>
          </w:tcPr>
          <w:p w14:paraId="748798C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902" w:type="dxa"/>
            <w:tcBorders>
              <w:top w:val="nil"/>
              <w:left w:val="nil"/>
              <w:bottom w:val="nil"/>
              <w:right w:val="nil"/>
              <w:tl2br w:val="nil"/>
              <w:tr2bl w:val="nil"/>
            </w:tcBorders>
            <w:tcMar>
              <w:left w:w="60" w:type="dxa"/>
              <w:right w:w="60" w:type="dxa"/>
            </w:tcMar>
            <w:vAlign w:val="center"/>
          </w:tcPr>
          <w:p w14:paraId="10FE332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1467" w:type="dxa"/>
            <w:tcBorders>
              <w:top w:val="nil"/>
              <w:left w:val="nil"/>
              <w:bottom w:val="nil"/>
              <w:right w:val="nil"/>
              <w:tl2br w:val="nil"/>
              <w:tr2bl w:val="nil"/>
            </w:tcBorders>
            <w:tcMar>
              <w:left w:w="60" w:type="dxa"/>
              <w:right w:w="60" w:type="dxa"/>
            </w:tcMar>
            <w:vAlign w:val="center"/>
          </w:tcPr>
          <w:p w14:paraId="02FC9BF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14:paraId="2FF7E27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1958" w:type="dxa"/>
            <w:tcBorders>
              <w:top w:val="nil"/>
              <w:left w:val="nil"/>
              <w:bottom w:val="nil"/>
              <w:right w:val="nil"/>
              <w:tl2br w:val="nil"/>
              <w:tr2bl w:val="nil"/>
            </w:tcBorders>
            <w:tcMar>
              <w:left w:w="60" w:type="dxa"/>
              <w:right w:w="60" w:type="dxa"/>
            </w:tcMar>
            <w:vAlign w:val="center"/>
          </w:tcPr>
          <w:p w14:paraId="53B7CE9E"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179D91C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2CECA37"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230646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Other administrative expenditure</w:t>
            </w:r>
          </w:p>
        </w:tc>
        <w:tc>
          <w:tcPr>
            <w:tcW w:w="1804" w:type="dxa"/>
            <w:tcBorders>
              <w:top w:val="nil"/>
              <w:left w:val="nil"/>
              <w:bottom w:val="nil"/>
              <w:right w:val="nil"/>
              <w:tl2br w:val="nil"/>
              <w:tr2bl w:val="nil"/>
            </w:tcBorders>
            <w:tcMar>
              <w:left w:w="60" w:type="dxa"/>
              <w:right w:w="60" w:type="dxa"/>
            </w:tcMar>
            <w:vAlign w:val="center"/>
          </w:tcPr>
          <w:p w14:paraId="258823F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14:paraId="72D8070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1467" w:type="dxa"/>
            <w:tcBorders>
              <w:top w:val="nil"/>
              <w:left w:val="nil"/>
              <w:bottom w:val="nil"/>
              <w:right w:val="nil"/>
              <w:tl2br w:val="nil"/>
              <w:tr2bl w:val="nil"/>
            </w:tcBorders>
            <w:tcMar>
              <w:left w:w="60" w:type="dxa"/>
              <w:right w:w="60" w:type="dxa"/>
            </w:tcMar>
            <w:vAlign w:val="center"/>
          </w:tcPr>
          <w:p w14:paraId="64928B0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64EBA21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1958" w:type="dxa"/>
            <w:tcBorders>
              <w:top w:val="nil"/>
              <w:left w:val="nil"/>
              <w:bottom w:val="nil"/>
              <w:right w:val="nil"/>
              <w:tl2br w:val="nil"/>
              <w:tr2bl w:val="nil"/>
            </w:tcBorders>
            <w:tcMar>
              <w:left w:w="60" w:type="dxa"/>
              <w:right w:w="60" w:type="dxa"/>
            </w:tcMar>
            <w:vAlign w:val="center"/>
          </w:tcPr>
          <w:p w14:paraId="3EB7434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w:t>
            </w:r>
          </w:p>
        </w:tc>
      </w:tr>
      <w:tr w:rsidR="00807FFE" w14:paraId="35DDABF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2ED561C"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60D1E1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1804" w:type="dxa"/>
            <w:tcBorders>
              <w:top w:val="nil"/>
              <w:left w:val="nil"/>
              <w:bottom w:val="nil"/>
              <w:right w:val="nil"/>
              <w:tl2br w:val="nil"/>
              <w:tr2bl w:val="nil"/>
            </w:tcBorders>
            <w:tcMar>
              <w:left w:w="60" w:type="dxa"/>
              <w:right w:w="60" w:type="dxa"/>
            </w:tcMar>
            <w:vAlign w:val="center"/>
          </w:tcPr>
          <w:p w14:paraId="3048B28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6FF67C4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467" w:type="dxa"/>
            <w:tcBorders>
              <w:top w:val="nil"/>
              <w:left w:val="nil"/>
              <w:bottom w:val="nil"/>
              <w:right w:val="nil"/>
              <w:tl2br w:val="nil"/>
              <w:tr2bl w:val="nil"/>
            </w:tcBorders>
            <w:tcMar>
              <w:left w:w="60" w:type="dxa"/>
              <w:right w:w="60" w:type="dxa"/>
            </w:tcMar>
            <w:vAlign w:val="center"/>
          </w:tcPr>
          <w:p w14:paraId="5E0B6ED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77A7F21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14:paraId="00FE465A"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1D9ECA6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1AB7D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600C60C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Administrative expenditure of other institutions</w:t>
            </w:r>
          </w:p>
        </w:tc>
        <w:tc>
          <w:tcPr>
            <w:tcW w:w="1804" w:type="dxa"/>
            <w:tcBorders>
              <w:top w:val="nil"/>
              <w:left w:val="nil"/>
              <w:bottom w:val="nil"/>
              <w:right w:val="nil"/>
              <w:tl2br w:val="nil"/>
              <w:tr2bl w:val="nil"/>
            </w:tcBorders>
            <w:tcMar>
              <w:left w:w="60" w:type="dxa"/>
              <w:right w:w="60" w:type="dxa"/>
            </w:tcMar>
            <w:vAlign w:val="center"/>
          </w:tcPr>
          <w:p w14:paraId="55E923FB"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623</w:t>
            </w:r>
          </w:p>
        </w:tc>
        <w:tc>
          <w:tcPr>
            <w:tcW w:w="1902" w:type="dxa"/>
            <w:tcBorders>
              <w:top w:val="nil"/>
              <w:left w:val="nil"/>
              <w:bottom w:val="nil"/>
              <w:right w:val="nil"/>
              <w:tl2br w:val="nil"/>
              <w:tr2bl w:val="nil"/>
            </w:tcBorders>
            <w:tcMar>
              <w:left w:w="60" w:type="dxa"/>
              <w:right w:w="60" w:type="dxa"/>
            </w:tcMar>
            <w:vAlign w:val="center"/>
          </w:tcPr>
          <w:p w14:paraId="6C1639C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5 574</w:t>
            </w:r>
          </w:p>
        </w:tc>
        <w:tc>
          <w:tcPr>
            <w:tcW w:w="1467" w:type="dxa"/>
            <w:tcBorders>
              <w:top w:val="nil"/>
              <w:left w:val="nil"/>
              <w:bottom w:val="nil"/>
              <w:right w:val="nil"/>
              <w:tl2br w:val="nil"/>
              <w:tr2bl w:val="nil"/>
            </w:tcBorders>
            <w:tcMar>
              <w:left w:w="60" w:type="dxa"/>
              <w:right w:w="60" w:type="dxa"/>
            </w:tcMar>
            <w:vAlign w:val="center"/>
          </w:tcPr>
          <w:p w14:paraId="2BB3B98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2141" w:type="dxa"/>
            <w:tcBorders>
              <w:top w:val="nil"/>
              <w:left w:val="nil"/>
              <w:bottom w:val="nil"/>
              <w:right w:val="nil"/>
              <w:tl2br w:val="nil"/>
              <w:tr2bl w:val="nil"/>
            </w:tcBorders>
            <w:tcMar>
              <w:left w:w="60" w:type="dxa"/>
              <w:right w:w="60" w:type="dxa"/>
            </w:tcMar>
            <w:vAlign w:val="center"/>
          </w:tcPr>
          <w:p w14:paraId="28E20E7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(5 441)</w:t>
            </w:r>
          </w:p>
        </w:tc>
        <w:tc>
          <w:tcPr>
            <w:tcW w:w="1958" w:type="dxa"/>
            <w:tcBorders>
              <w:top w:val="nil"/>
              <w:left w:val="nil"/>
              <w:bottom w:val="nil"/>
              <w:right w:val="nil"/>
              <w:tl2br w:val="nil"/>
              <w:tr2bl w:val="nil"/>
            </w:tcBorders>
            <w:tcMar>
              <w:left w:w="60" w:type="dxa"/>
              <w:right w:w="60" w:type="dxa"/>
            </w:tcMar>
            <w:vAlign w:val="center"/>
          </w:tcPr>
          <w:p w14:paraId="0352E16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704</w:t>
            </w:r>
          </w:p>
        </w:tc>
      </w:tr>
      <w:tr w:rsidR="00807FFE" w14:paraId="65FC3B3F"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6FC8511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72DB2D73"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7: European Public Administration</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5D6B962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1 011</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036D30D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13 955</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0EF8531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(65)</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6797A9A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(13 767)</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4053B2B9"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1 134</w:t>
            </w:r>
          </w:p>
        </w:tc>
      </w:tr>
      <w:tr w:rsidR="00807FFE" w14:paraId="4CF20E0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879CA23"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34C69EC" w14:textId="77777777" w:rsidR="00807FFE" w:rsidRDefault="00807FFE">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758847F7"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083DC8A4"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4547036F"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505B9A95"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65461720" w14:textId="77777777" w:rsidR="00807FFE" w:rsidRDefault="00807FFE">
            <w:pPr>
              <w:pStyle w:val="DMETW36742BIPDetailedMFF4Commitmentsoustanding"/>
              <w:jc w:val="right"/>
              <w:rPr>
                <w:rFonts w:ascii="Verdana" w:eastAsia="Verdana" w:hAnsi="Verdana" w:cs="Verdana"/>
                <w:noProof/>
                <w:color w:val="000000"/>
                <w:sz w:val="16"/>
                <w:lang w:bidi="en-GB"/>
              </w:rPr>
            </w:pPr>
          </w:p>
        </w:tc>
      </w:tr>
      <w:tr w:rsidR="00807FFE" w14:paraId="4DC1E06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D10EF7E"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w:t>
            </w:r>
          </w:p>
        </w:tc>
        <w:tc>
          <w:tcPr>
            <w:tcW w:w="5076" w:type="dxa"/>
            <w:tcBorders>
              <w:top w:val="nil"/>
              <w:left w:val="nil"/>
              <w:bottom w:val="nil"/>
              <w:right w:val="nil"/>
              <w:tl2br w:val="nil"/>
              <w:tr2bl w:val="nil"/>
            </w:tcBorders>
            <w:tcMar>
              <w:left w:w="60" w:type="dxa"/>
              <w:right w:w="60" w:type="dxa"/>
            </w:tcMar>
            <w:vAlign w:val="center"/>
          </w:tcPr>
          <w:p w14:paraId="0DC0A38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Innovation Fund (IF)</w:t>
            </w:r>
          </w:p>
        </w:tc>
        <w:tc>
          <w:tcPr>
            <w:tcW w:w="1804" w:type="dxa"/>
            <w:tcBorders>
              <w:top w:val="nil"/>
              <w:left w:val="nil"/>
              <w:bottom w:val="nil"/>
              <w:right w:val="nil"/>
              <w:tl2br w:val="nil"/>
              <w:tr2bl w:val="nil"/>
            </w:tcBorders>
            <w:tcMar>
              <w:left w:w="60" w:type="dxa"/>
              <w:right w:w="60" w:type="dxa"/>
            </w:tcMar>
            <w:vAlign w:val="center"/>
          </w:tcPr>
          <w:p w14:paraId="324DEAC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6 643</w:t>
            </w:r>
          </w:p>
        </w:tc>
        <w:tc>
          <w:tcPr>
            <w:tcW w:w="1902" w:type="dxa"/>
            <w:tcBorders>
              <w:top w:val="nil"/>
              <w:left w:val="nil"/>
              <w:bottom w:val="nil"/>
              <w:right w:val="nil"/>
              <w:tl2br w:val="nil"/>
              <w:tr2bl w:val="nil"/>
            </w:tcBorders>
            <w:tcMar>
              <w:left w:w="60" w:type="dxa"/>
              <w:right w:w="60" w:type="dxa"/>
            </w:tcMar>
            <w:vAlign w:val="center"/>
          </w:tcPr>
          <w:p w14:paraId="7234966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1 551</w:t>
            </w:r>
          </w:p>
        </w:tc>
        <w:tc>
          <w:tcPr>
            <w:tcW w:w="1467" w:type="dxa"/>
            <w:tcBorders>
              <w:top w:val="nil"/>
              <w:left w:val="nil"/>
              <w:bottom w:val="nil"/>
              <w:right w:val="nil"/>
              <w:tl2br w:val="nil"/>
              <w:tr2bl w:val="nil"/>
            </w:tcBorders>
            <w:tcMar>
              <w:left w:w="60" w:type="dxa"/>
              <w:right w:w="60" w:type="dxa"/>
            </w:tcMar>
            <w:vAlign w:val="center"/>
          </w:tcPr>
          <w:p w14:paraId="6679E90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(405)</w:t>
            </w:r>
          </w:p>
        </w:tc>
        <w:tc>
          <w:tcPr>
            <w:tcW w:w="2141" w:type="dxa"/>
            <w:tcBorders>
              <w:top w:val="nil"/>
              <w:left w:val="nil"/>
              <w:bottom w:val="nil"/>
              <w:right w:val="nil"/>
              <w:tl2br w:val="nil"/>
              <w:tr2bl w:val="nil"/>
            </w:tcBorders>
            <w:tcMar>
              <w:left w:w="60" w:type="dxa"/>
              <w:right w:w="60" w:type="dxa"/>
            </w:tcMar>
            <w:vAlign w:val="center"/>
          </w:tcPr>
          <w:p w14:paraId="6DED404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(224)</w:t>
            </w:r>
          </w:p>
        </w:tc>
        <w:tc>
          <w:tcPr>
            <w:tcW w:w="1958" w:type="dxa"/>
            <w:tcBorders>
              <w:top w:val="nil"/>
              <w:left w:val="nil"/>
              <w:bottom w:val="nil"/>
              <w:right w:val="nil"/>
              <w:tl2br w:val="nil"/>
              <w:tr2bl w:val="nil"/>
            </w:tcBorders>
            <w:tcMar>
              <w:left w:w="60" w:type="dxa"/>
              <w:right w:w="60" w:type="dxa"/>
            </w:tcMar>
            <w:vAlign w:val="center"/>
          </w:tcPr>
          <w:p w14:paraId="41C8C1DC"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7 564</w:t>
            </w:r>
          </w:p>
        </w:tc>
      </w:tr>
      <w:tr w:rsidR="00807FFE" w14:paraId="4F951BE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1C9995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4E0C8FF9"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Ukraine Facility</w:t>
            </w:r>
          </w:p>
        </w:tc>
        <w:tc>
          <w:tcPr>
            <w:tcW w:w="1804" w:type="dxa"/>
            <w:tcBorders>
              <w:top w:val="nil"/>
              <w:left w:val="nil"/>
              <w:bottom w:val="nil"/>
              <w:right w:val="nil"/>
              <w:tl2br w:val="nil"/>
              <w:tr2bl w:val="nil"/>
            </w:tcBorders>
            <w:tcMar>
              <w:left w:w="60" w:type="dxa"/>
              <w:right w:w="60" w:type="dxa"/>
            </w:tcMar>
            <w:vAlign w:val="center"/>
          </w:tcPr>
          <w:p w14:paraId="52FC167A"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1 250</w:t>
            </w:r>
          </w:p>
        </w:tc>
        <w:tc>
          <w:tcPr>
            <w:tcW w:w="1902" w:type="dxa"/>
            <w:tcBorders>
              <w:top w:val="nil"/>
              <w:left w:val="nil"/>
              <w:bottom w:val="nil"/>
              <w:right w:val="nil"/>
              <w:tl2br w:val="nil"/>
              <w:tr2bl w:val="nil"/>
            </w:tcBorders>
            <w:tcMar>
              <w:left w:w="60" w:type="dxa"/>
              <w:right w:w="60" w:type="dxa"/>
            </w:tcMar>
            <w:vAlign w:val="center"/>
          </w:tcPr>
          <w:p w14:paraId="2BF72A0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4 799</w:t>
            </w:r>
          </w:p>
        </w:tc>
        <w:tc>
          <w:tcPr>
            <w:tcW w:w="1467" w:type="dxa"/>
            <w:tcBorders>
              <w:top w:val="nil"/>
              <w:left w:val="nil"/>
              <w:bottom w:val="nil"/>
              <w:right w:val="nil"/>
              <w:tl2br w:val="nil"/>
              <w:tr2bl w:val="nil"/>
            </w:tcBorders>
            <w:tcMar>
              <w:left w:w="60" w:type="dxa"/>
              <w:right w:w="60" w:type="dxa"/>
            </w:tcMar>
            <w:vAlign w:val="center"/>
          </w:tcPr>
          <w:p w14:paraId="4415057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14:paraId="7580ABA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(2 038)</w:t>
            </w:r>
          </w:p>
        </w:tc>
        <w:tc>
          <w:tcPr>
            <w:tcW w:w="1958" w:type="dxa"/>
            <w:tcBorders>
              <w:top w:val="nil"/>
              <w:left w:val="nil"/>
              <w:bottom w:val="nil"/>
              <w:right w:val="nil"/>
              <w:tl2br w:val="nil"/>
              <w:tr2bl w:val="nil"/>
            </w:tcBorders>
            <w:tcMar>
              <w:left w:w="60" w:type="dxa"/>
              <w:right w:w="60" w:type="dxa"/>
            </w:tcMar>
            <w:vAlign w:val="center"/>
          </w:tcPr>
          <w:p w14:paraId="64453F2A"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4 009</w:t>
            </w:r>
          </w:p>
        </w:tc>
      </w:tr>
      <w:tr w:rsidR="00807FFE" w14:paraId="311ACEA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65B569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191690A4"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Other actions</w:t>
            </w:r>
          </w:p>
        </w:tc>
        <w:tc>
          <w:tcPr>
            <w:tcW w:w="1804" w:type="dxa"/>
            <w:tcBorders>
              <w:top w:val="nil"/>
              <w:left w:val="nil"/>
              <w:bottom w:val="nil"/>
              <w:right w:val="nil"/>
              <w:tl2br w:val="nil"/>
              <w:tr2bl w:val="nil"/>
            </w:tcBorders>
            <w:tcMar>
              <w:left w:w="60" w:type="dxa"/>
              <w:right w:w="60" w:type="dxa"/>
            </w:tcMar>
            <w:vAlign w:val="center"/>
          </w:tcPr>
          <w:p w14:paraId="11B7A19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14:paraId="4CC0138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1467" w:type="dxa"/>
            <w:tcBorders>
              <w:top w:val="nil"/>
              <w:left w:val="nil"/>
              <w:bottom w:val="nil"/>
              <w:right w:val="nil"/>
              <w:tl2br w:val="nil"/>
              <w:tr2bl w:val="nil"/>
            </w:tcBorders>
            <w:tcMar>
              <w:left w:w="60" w:type="dxa"/>
              <w:right w:w="60" w:type="dxa"/>
            </w:tcMar>
            <w:vAlign w:val="center"/>
          </w:tcPr>
          <w:p w14:paraId="7FB9CF7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14:paraId="16584B77"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(56)</w:t>
            </w:r>
          </w:p>
        </w:tc>
        <w:tc>
          <w:tcPr>
            <w:tcW w:w="1958" w:type="dxa"/>
            <w:tcBorders>
              <w:top w:val="nil"/>
              <w:left w:val="nil"/>
              <w:bottom w:val="nil"/>
              <w:right w:val="nil"/>
              <w:tl2br w:val="nil"/>
              <w:tr2bl w:val="nil"/>
            </w:tcBorders>
            <w:tcMar>
              <w:left w:w="60" w:type="dxa"/>
              <w:right w:w="60" w:type="dxa"/>
            </w:tcMar>
            <w:vAlign w:val="center"/>
          </w:tcPr>
          <w:p w14:paraId="5453E23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69DE9629"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6C766848"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158B71E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O: Outside MFF</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219DFD3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7 899</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45090831"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6 409</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068C236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(410)</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49362970"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(2 319)</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3DE0886D"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11 578</w:t>
            </w:r>
          </w:p>
        </w:tc>
      </w:tr>
      <w:tr w:rsidR="00807FFE" w14:paraId="6A933F4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B33978F"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54A1BAC" w14:textId="77777777" w:rsidR="00807FFE" w:rsidRDefault="00807FFE">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27145D58"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534DB3DD"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66F9F648"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1E6A0F8F"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65E3ADE6" w14:textId="77777777" w:rsidR="00807FFE" w:rsidRDefault="00807FFE">
            <w:pPr>
              <w:pStyle w:val="DMETW36742BIPDetailedMFF4Commitmentsoustanding"/>
              <w:jc w:val="right"/>
              <w:rPr>
                <w:rFonts w:ascii="Verdana" w:eastAsia="Verdana" w:hAnsi="Verdana" w:cs="Verdana"/>
                <w:noProof/>
                <w:color w:val="000000"/>
                <w:sz w:val="16"/>
                <w:lang w:bidi="en-GB"/>
              </w:rPr>
            </w:pPr>
          </w:p>
        </w:tc>
      </w:tr>
      <w:tr w:rsidR="00807FFE" w14:paraId="2C5CCEC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DF03248"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S</w:t>
            </w:r>
          </w:p>
        </w:tc>
        <w:tc>
          <w:tcPr>
            <w:tcW w:w="5076" w:type="dxa"/>
            <w:tcBorders>
              <w:top w:val="nil"/>
              <w:left w:val="nil"/>
              <w:bottom w:val="nil"/>
              <w:right w:val="nil"/>
              <w:tl2br w:val="nil"/>
              <w:tr2bl w:val="nil"/>
            </w:tcBorders>
            <w:tcMar>
              <w:left w:w="60" w:type="dxa"/>
              <w:right w:w="60" w:type="dxa"/>
            </w:tcMar>
            <w:vAlign w:val="center"/>
          </w:tcPr>
          <w:p w14:paraId="72C5CEA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Solidarity Reserve</w:t>
            </w:r>
          </w:p>
        </w:tc>
        <w:tc>
          <w:tcPr>
            <w:tcW w:w="1804" w:type="dxa"/>
            <w:tcBorders>
              <w:top w:val="nil"/>
              <w:left w:val="nil"/>
              <w:bottom w:val="nil"/>
              <w:right w:val="nil"/>
              <w:tl2br w:val="nil"/>
              <w:tr2bl w:val="nil"/>
            </w:tcBorders>
            <w:tcMar>
              <w:left w:w="60" w:type="dxa"/>
              <w:right w:w="60" w:type="dxa"/>
            </w:tcMar>
            <w:vAlign w:val="center"/>
          </w:tcPr>
          <w:p w14:paraId="2996602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08F3462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480</w:t>
            </w:r>
          </w:p>
        </w:tc>
        <w:tc>
          <w:tcPr>
            <w:tcW w:w="1467" w:type="dxa"/>
            <w:tcBorders>
              <w:top w:val="nil"/>
              <w:left w:val="nil"/>
              <w:bottom w:val="nil"/>
              <w:right w:val="nil"/>
              <w:tl2br w:val="nil"/>
              <w:tr2bl w:val="nil"/>
            </w:tcBorders>
            <w:tcMar>
              <w:left w:w="60" w:type="dxa"/>
              <w:right w:w="60" w:type="dxa"/>
            </w:tcMar>
            <w:vAlign w:val="center"/>
          </w:tcPr>
          <w:p w14:paraId="77D82B46"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3B01111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(480)</w:t>
            </w:r>
          </w:p>
        </w:tc>
        <w:tc>
          <w:tcPr>
            <w:tcW w:w="1958" w:type="dxa"/>
            <w:tcBorders>
              <w:top w:val="nil"/>
              <w:left w:val="nil"/>
              <w:bottom w:val="nil"/>
              <w:right w:val="nil"/>
              <w:tl2br w:val="nil"/>
              <w:tr2bl w:val="nil"/>
            </w:tcBorders>
            <w:tcMar>
              <w:left w:w="60" w:type="dxa"/>
              <w:right w:w="60" w:type="dxa"/>
            </w:tcMar>
            <w:vAlign w:val="center"/>
          </w:tcPr>
          <w:p w14:paraId="32F99884"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C3A96A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F75856D"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5A8C9E55"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Emergency Aid Reserve</w:t>
            </w:r>
          </w:p>
        </w:tc>
        <w:tc>
          <w:tcPr>
            <w:tcW w:w="1804" w:type="dxa"/>
            <w:tcBorders>
              <w:top w:val="nil"/>
              <w:left w:val="nil"/>
              <w:bottom w:val="nil"/>
              <w:right w:val="nil"/>
              <w:tl2br w:val="nil"/>
              <w:tr2bl w:val="nil"/>
            </w:tcBorders>
            <w:tcMar>
              <w:left w:w="60" w:type="dxa"/>
              <w:right w:w="60" w:type="dxa"/>
            </w:tcMar>
            <w:vAlign w:val="center"/>
          </w:tcPr>
          <w:p w14:paraId="5FA306E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14:paraId="0C4CDEE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14:paraId="7C111278"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35FE86C5"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0085131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807FFE" w14:paraId="06826AD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EB14B39"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29F998B"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European Globalisation Adjustment Fund (EGF)</w:t>
            </w:r>
          </w:p>
        </w:tc>
        <w:tc>
          <w:tcPr>
            <w:tcW w:w="1804" w:type="dxa"/>
            <w:tcBorders>
              <w:top w:val="nil"/>
              <w:left w:val="nil"/>
              <w:bottom w:val="nil"/>
              <w:right w:val="nil"/>
              <w:tl2br w:val="nil"/>
              <w:tr2bl w:val="nil"/>
            </w:tcBorders>
            <w:tcMar>
              <w:left w:w="60" w:type="dxa"/>
              <w:right w:w="60" w:type="dxa"/>
            </w:tcMar>
            <w:vAlign w:val="center"/>
          </w:tcPr>
          <w:p w14:paraId="2FD244C3"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14:paraId="30A4A975"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467" w:type="dxa"/>
            <w:tcBorders>
              <w:top w:val="nil"/>
              <w:left w:val="nil"/>
              <w:bottom w:val="nil"/>
              <w:right w:val="nil"/>
              <w:tl2br w:val="nil"/>
              <w:tr2bl w:val="nil"/>
            </w:tcBorders>
            <w:tcMar>
              <w:left w:w="60" w:type="dxa"/>
              <w:right w:w="60" w:type="dxa"/>
            </w:tcMar>
            <w:vAlign w:val="center"/>
          </w:tcPr>
          <w:p w14:paraId="3805C55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506FB022"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958" w:type="dxa"/>
            <w:tcBorders>
              <w:top w:val="nil"/>
              <w:left w:val="nil"/>
              <w:bottom w:val="nil"/>
              <w:right w:val="nil"/>
              <w:tl2br w:val="nil"/>
              <w:tr2bl w:val="nil"/>
            </w:tcBorders>
            <w:tcMar>
              <w:left w:w="60" w:type="dxa"/>
              <w:right w:w="60" w:type="dxa"/>
            </w:tcMar>
            <w:vAlign w:val="center"/>
          </w:tcPr>
          <w:p w14:paraId="67C4DDEB"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097B376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449BE94"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2C211300"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Brexit Adjustment Reserve</w:t>
            </w:r>
          </w:p>
        </w:tc>
        <w:tc>
          <w:tcPr>
            <w:tcW w:w="1804" w:type="dxa"/>
            <w:tcBorders>
              <w:top w:val="nil"/>
              <w:left w:val="nil"/>
              <w:bottom w:val="nil"/>
              <w:right w:val="nil"/>
              <w:tl2br w:val="nil"/>
              <w:tr2bl w:val="nil"/>
            </w:tcBorders>
            <w:tcMar>
              <w:left w:w="60" w:type="dxa"/>
              <w:right w:w="60" w:type="dxa"/>
            </w:tcMar>
            <w:vAlign w:val="center"/>
          </w:tcPr>
          <w:p w14:paraId="0BE2BBAC"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14:paraId="144672B4"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564</w:t>
            </w:r>
          </w:p>
        </w:tc>
        <w:tc>
          <w:tcPr>
            <w:tcW w:w="1467" w:type="dxa"/>
            <w:tcBorders>
              <w:top w:val="nil"/>
              <w:left w:val="nil"/>
              <w:bottom w:val="nil"/>
              <w:right w:val="nil"/>
              <w:tl2br w:val="nil"/>
              <w:tr2bl w:val="nil"/>
            </w:tcBorders>
            <w:tcMar>
              <w:left w:w="60" w:type="dxa"/>
              <w:right w:w="60" w:type="dxa"/>
            </w:tcMar>
            <w:vAlign w:val="center"/>
          </w:tcPr>
          <w:p w14:paraId="6DAB263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14:paraId="59E659CF"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(547)</w:t>
            </w:r>
          </w:p>
        </w:tc>
        <w:tc>
          <w:tcPr>
            <w:tcW w:w="1958" w:type="dxa"/>
            <w:tcBorders>
              <w:top w:val="nil"/>
              <w:left w:val="nil"/>
              <w:bottom w:val="nil"/>
              <w:right w:val="nil"/>
              <w:tl2br w:val="nil"/>
              <w:tr2bl w:val="nil"/>
            </w:tcBorders>
            <w:tcMar>
              <w:left w:w="60" w:type="dxa"/>
              <w:right w:w="60" w:type="dxa"/>
            </w:tcMar>
            <w:vAlign w:val="center"/>
          </w:tcPr>
          <w:p w14:paraId="751032D6"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71</w:t>
            </w:r>
          </w:p>
        </w:tc>
      </w:tr>
      <w:tr w:rsidR="00807FFE" w14:paraId="52DF172B"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57082CA0"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6FA4CC4A" w14:textId="77777777" w:rsidR="00807FFE" w:rsidRDefault="00023E71">
            <w:pPr>
              <w:pStyle w:val="DMETW36742BIPDetailedMFF4Commitmentsoustanding"/>
              <w:rPr>
                <w:rFonts w:ascii="Verdana" w:eastAsia="Verdana" w:hAnsi="Verdana" w:cs="Verdana"/>
                <w:noProof/>
                <w:color w:val="000000"/>
                <w:sz w:val="16"/>
              </w:rPr>
            </w:pPr>
            <w:r>
              <w:rPr>
                <w:rFonts w:ascii="Verdana" w:eastAsia="Verdana" w:hAnsi="Verdana" w:cs="Verdana"/>
                <w:noProof/>
                <w:color w:val="000000"/>
                <w:sz w:val="16"/>
              </w:rPr>
              <w:t>Total Heading S: Solidarity mechanisms within and outside the Union (Special instruments)</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203E2EB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0C93EC3E"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1 065</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21DAC95D"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616BA929" w14:textId="77777777" w:rsidR="00807FFE" w:rsidRDefault="00023E71">
            <w:pPr>
              <w:pStyle w:val="DMETW36742BIPDetailedMFF4Commitmentsoustanding"/>
              <w:jc w:val="right"/>
              <w:rPr>
                <w:rFonts w:ascii="Verdana" w:eastAsia="Verdana" w:hAnsi="Verdana" w:cs="Verdana"/>
                <w:noProof/>
                <w:color w:val="000000"/>
                <w:sz w:val="16"/>
              </w:rPr>
            </w:pPr>
            <w:r>
              <w:rPr>
                <w:rFonts w:ascii="Verdana" w:eastAsia="Verdana" w:hAnsi="Verdana" w:cs="Verdana"/>
                <w:noProof/>
                <w:color w:val="000000"/>
                <w:sz w:val="16"/>
              </w:rPr>
              <w:t>(1 048)</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7A456275" w14:textId="77777777" w:rsidR="00807FFE" w:rsidRDefault="00023E71">
            <w:pPr>
              <w:pStyle w:val="DMETW36742BIPDetailedMFF4Commitmentsoustanding"/>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71</w:t>
            </w:r>
          </w:p>
        </w:tc>
      </w:tr>
      <w:tr w:rsidR="00807FFE" w14:paraId="70C2C05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3889F6A" w14:textId="77777777" w:rsidR="00807FFE" w:rsidRDefault="00807FFE">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14:paraId="3B589AB2" w14:textId="77777777" w:rsidR="00807FFE" w:rsidRDefault="00807FFE">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14:paraId="51337BCD" w14:textId="77777777" w:rsidR="00807FFE" w:rsidRDefault="00807FFE">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14:paraId="3F2138D8" w14:textId="77777777" w:rsidR="00807FFE" w:rsidRDefault="00807FFE">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14:paraId="788E9A58" w14:textId="77777777" w:rsidR="00807FFE" w:rsidRDefault="00807FFE">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14:paraId="11C4270B" w14:textId="77777777" w:rsidR="00807FFE" w:rsidRDefault="00807FFE">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14:paraId="2D1A9B40" w14:textId="77777777" w:rsidR="00807FFE" w:rsidRDefault="00807FFE">
            <w:pPr>
              <w:pStyle w:val="DMETW36742BIPDetailedMFF4Commitmentsoustanding"/>
              <w:jc w:val="right"/>
              <w:rPr>
                <w:rFonts w:ascii="Verdana" w:eastAsia="Verdana" w:hAnsi="Verdana" w:cs="Verdana"/>
                <w:noProof/>
                <w:color w:val="000000"/>
                <w:sz w:val="16"/>
                <w:lang w:bidi="en-GB"/>
              </w:rPr>
            </w:pPr>
          </w:p>
        </w:tc>
      </w:tr>
      <w:tr w:rsidR="00807FFE" w14:paraId="482F6F16"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7A58A3A3" w14:textId="77777777" w:rsidR="00807FFE" w:rsidRDefault="00807FFE">
            <w:pPr>
              <w:pStyle w:val="DMETW36742BIPDetailedMFF4Commitmentsoustanding"/>
              <w:rPr>
                <w:rFonts w:ascii="Verdana" w:eastAsia="Verdana" w:hAnsi="Verdana" w:cs="Verdana"/>
                <w:b/>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14:paraId="358A97AE" w14:textId="77777777" w:rsidR="00807FFE" w:rsidRDefault="00023E71">
            <w:pPr>
              <w:pStyle w:val="DMETW36742BIPDetailedMFF4Commitmentsoustanding"/>
              <w:rPr>
                <w:rFonts w:ascii="Verdana" w:eastAsia="Verdana" w:hAnsi="Verdana" w:cs="Verdana"/>
                <w:b/>
                <w:noProof/>
                <w:color w:val="000000"/>
                <w:sz w:val="16"/>
              </w:rPr>
            </w:pPr>
            <w:r>
              <w:rPr>
                <w:rFonts w:ascii="Verdana" w:eastAsia="Verdana" w:hAnsi="Verdana" w:cs="Verdana"/>
                <w:b/>
                <w:noProof/>
                <w:color w:val="000000"/>
                <w:sz w:val="16"/>
              </w:rPr>
              <w:t>TOTAL</w:t>
            </w:r>
          </w:p>
        </w:tc>
        <w:tc>
          <w:tcPr>
            <w:tcW w:w="1804" w:type="dxa"/>
            <w:tcBorders>
              <w:top w:val="nil"/>
              <w:left w:val="nil"/>
              <w:bottom w:val="nil"/>
              <w:right w:val="nil"/>
              <w:tl2br w:val="nil"/>
              <w:tr2bl w:val="nil"/>
            </w:tcBorders>
            <w:shd w:val="solid" w:color="CCE1EA" w:fill="FFFFFF"/>
            <w:tcMar>
              <w:left w:w="60" w:type="dxa"/>
              <w:right w:w="60" w:type="dxa"/>
            </w:tcMar>
            <w:vAlign w:val="center"/>
          </w:tcPr>
          <w:p w14:paraId="20E9C49B" w14:textId="77777777" w:rsidR="00807FFE" w:rsidRDefault="00023E71">
            <w:pPr>
              <w:pStyle w:val="DMETW36742BIPDetailedMFF4Commitmentsoustanding"/>
              <w:jc w:val="right"/>
              <w:rPr>
                <w:rFonts w:ascii="Verdana" w:eastAsia="Verdana" w:hAnsi="Verdana" w:cs="Verdana"/>
                <w:b/>
                <w:noProof/>
                <w:color w:val="000000"/>
                <w:sz w:val="16"/>
              </w:rPr>
            </w:pPr>
            <w:r>
              <w:rPr>
                <w:rFonts w:ascii="Verdana" w:eastAsia="Verdana" w:hAnsi="Verdana" w:cs="Verdana"/>
                <w:b/>
                <w:noProof/>
                <w:color w:val="000000"/>
                <w:sz w:val="16"/>
              </w:rPr>
              <w:t>507 378</w:t>
            </w:r>
          </w:p>
        </w:tc>
        <w:tc>
          <w:tcPr>
            <w:tcW w:w="1902" w:type="dxa"/>
            <w:tcBorders>
              <w:top w:val="nil"/>
              <w:left w:val="nil"/>
              <w:bottom w:val="nil"/>
              <w:right w:val="nil"/>
              <w:tl2br w:val="nil"/>
              <w:tr2bl w:val="nil"/>
            </w:tcBorders>
            <w:shd w:val="solid" w:color="CCE1EA" w:fill="FFFFFF"/>
            <w:tcMar>
              <w:left w:w="60" w:type="dxa"/>
              <w:right w:w="60" w:type="dxa"/>
            </w:tcMar>
            <w:vAlign w:val="center"/>
          </w:tcPr>
          <w:p w14:paraId="43283258" w14:textId="77777777" w:rsidR="00807FFE" w:rsidRDefault="00023E71">
            <w:pPr>
              <w:pStyle w:val="DMETW36742BIPDetailedMFF4Commitmentsoustanding"/>
              <w:jc w:val="right"/>
              <w:rPr>
                <w:rFonts w:ascii="Verdana" w:eastAsia="Verdana" w:hAnsi="Verdana" w:cs="Verdana"/>
                <w:b/>
                <w:noProof/>
                <w:color w:val="000000"/>
                <w:sz w:val="16"/>
              </w:rPr>
            </w:pPr>
            <w:r>
              <w:rPr>
                <w:rFonts w:ascii="Verdana" w:eastAsia="Verdana" w:hAnsi="Verdana" w:cs="Verdana"/>
                <w:b/>
                <w:noProof/>
                <w:color w:val="000000"/>
                <w:sz w:val="16"/>
              </w:rPr>
              <w:t>212 116</w:t>
            </w:r>
          </w:p>
        </w:tc>
        <w:tc>
          <w:tcPr>
            <w:tcW w:w="1467" w:type="dxa"/>
            <w:tcBorders>
              <w:top w:val="nil"/>
              <w:left w:val="nil"/>
              <w:bottom w:val="nil"/>
              <w:right w:val="nil"/>
              <w:tl2br w:val="nil"/>
              <w:tr2bl w:val="nil"/>
            </w:tcBorders>
            <w:shd w:val="solid" w:color="CCE1EA" w:fill="FFFFFF"/>
            <w:tcMar>
              <w:left w:w="60" w:type="dxa"/>
              <w:right w:w="60" w:type="dxa"/>
            </w:tcMar>
            <w:vAlign w:val="center"/>
          </w:tcPr>
          <w:p w14:paraId="7820311B" w14:textId="77777777" w:rsidR="00807FFE" w:rsidRDefault="00023E71">
            <w:pPr>
              <w:pStyle w:val="DMETW36742BIPDetailedMFF4Commitmentsoustanding"/>
              <w:jc w:val="right"/>
              <w:rPr>
                <w:rFonts w:ascii="Verdana" w:eastAsia="Verdana" w:hAnsi="Verdana" w:cs="Verdana"/>
                <w:b/>
                <w:noProof/>
                <w:color w:val="000000"/>
                <w:sz w:val="16"/>
              </w:rPr>
            </w:pPr>
            <w:r>
              <w:rPr>
                <w:rFonts w:ascii="Verdana" w:eastAsia="Verdana" w:hAnsi="Verdana" w:cs="Verdana"/>
                <w:b/>
                <w:noProof/>
                <w:color w:val="000000"/>
                <w:sz w:val="16"/>
              </w:rPr>
              <w:t>(2 039)</w:t>
            </w:r>
          </w:p>
        </w:tc>
        <w:tc>
          <w:tcPr>
            <w:tcW w:w="2141" w:type="dxa"/>
            <w:tcBorders>
              <w:top w:val="nil"/>
              <w:left w:val="nil"/>
              <w:bottom w:val="nil"/>
              <w:right w:val="nil"/>
              <w:tl2br w:val="nil"/>
              <w:tr2bl w:val="nil"/>
            </w:tcBorders>
            <w:shd w:val="solid" w:color="CCE1EA" w:fill="FFFFFF"/>
            <w:tcMar>
              <w:left w:w="60" w:type="dxa"/>
              <w:right w:w="60" w:type="dxa"/>
            </w:tcMar>
            <w:vAlign w:val="center"/>
          </w:tcPr>
          <w:p w14:paraId="0608E288" w14:textId="77777777" w:rsidR="00807FFE" w:rsidRDefault="00023E71">
            <w:pPr>
              <w:pStyle w:val="DMETW36742BIPDetailedMFF4Commitmentsoustanding"/>
              <w:jc w:val="right"/>
              <w:rPr>
                <w:rFonts w:ascii="Verdana" w:eastAsia="Verdana" w:hAnsi="Verdana" w:cs="Verdana"/>
                <w:b/>
                <w:noProof/>
                <w:color w:val="000000"/>
                <w:sz w:val="16"/>
              </w:rPr>
            </w:pPr>
            <w:r>
              <w:rPr>
                <w:rFonts w:ascii="Verdana" w:eastAsia="Verdana" w:hAnsi="Verdana" w:cs="Verdana"/>
                <w:b/>
                <w:noProof/>
                <w:color w:val="000000"/>
                <w:sz w:val="16"/>
              </w:rPr>
              <w:t>(216 371)</w:t>
            </w: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1DE7297D" w14:textId="77777777" w:rsidR="00807FFE" w:rsidRDefault="00023E71">
            <w:pPr>
              <w:pStyle w:val="DMETW36742BIPDetailedMFF4Commitmentsoustanding"/>
              <w:jc w:val="right"/>
              <w:rPr>
                <w:rFonts w:ascii="Verdana" w:eastAsia="Verdana" w:hAnsi="Verdana" w:cs="Verdana"/>
                <w:b/>
                <w:noProof/>
                <w:color w:val="000000"/>
                <w:sz w:val="16"/>
              </w:rPr>
            </w:pPr>
            <w:r>
              <w:rPr>
                <w:rFonts w:ascii="Verdana" w:eastAsia="Verdana" w:hAnsi="Verdana" w:cs="Verdana"/>
                <w:b/>
                <w:noProof/>
                <w:color w:val="000000"/>
                <w:sz w:val="16"/>
              </w:rPr>
              <w:t>501 084</w:t>
            </w:r>
          </w:p>
        </w:tc>
      </w:tr>
    </w:tbl>
    <w:p w14:paraId="5721276A" w14:textId="77777777" w:rsidR="00561DD3" w:rsidRDefault="00023E71">
      <w:pPr>
        <w:pBdr>
          <w:top w:val="nil"/>
          <w:left w:val="nil"/>
          <w:bottom w:val="nil"/>
          <w:right w:val="nil"/>
          <w:between w:val="nil"/>
          <w:bar w:val="nil"/>
        </w:pBdr>
        <w:rPr>
          <w:rFonts w:ascii="Verdana" w:hAnsi="Verdana"/>
          <w:b/>
          <w:noProof/>
          <w:color w:val="016794"/>
          <w:sz w:val="28"/>
        </w:rPr>
      </w:pPr>
      <w:r>
        <w:rPr>
          <w:noProof/>
        </w:rPr>
        <w:br w:type="page"/>
      </w:r>
    </w:p>
    <w:p w14:paraId="2DF1F0A4" w14:textId="77777777" w:rsidR="008C5342" w:rsidRPr="008903C1" w:rsidRDefault="00023E71" w:rsidP="008C5342">
      <w:pPr>
        <w:pStyle w:val="HEADER2PartBUDG"/>
        <w:rPr>
          <w:noProof/>
          <w:lang w:val="en-GB"/>
        </w:rPr>
      </w:pPr>
      <w:r>
        <w:rPr>
          <w:noProof/>
          <w:lang w:val="en-GB"/>
        </w:rPr>
        <w:t xml:space="preserve"> </w:t>
      </w:r>
      <w:bookmarkStart w:id="313" w:name="_Toc232674399"/>
      <w:r>
        <w:rPr>
          <w:noProof/>
          <w:lang w:val="en-GB"/>
        </w:rPr>
        <w:t>DETAILED MFF</w:t>
      </w:r>
      <w:r w:rsidRPr="008903C1">
        <w:rPr>
          <w:noProof/>
          <w:lang w:val="en-GB"/>
        </w:rPr>
        <w:t>: OUTSTANDING COMMITMENTS BY YEAR OF ORIGIN</w:t>
      </w:r>
      <w:bookmarkEnd w:id="313"/>
    </w:p>
    <w:p w14:paraId="35A982F8" w14:textId="77777777" w:rsidR="008C5342" w:rsidRPr="008C13D4" w:rsidRDefault="00023E71" w:rsidP="008C5342">
      <w:pPr>
        <w:pStyle w:val="DGTextstand-alone"/>
        <w:spacing w:before="0" w:after="0"/>
        <w:rPr>
          <w:lang w:bidi="en-GB"/>
        </w:rPr>
      </w:pPr>
      <w:r>
        <w:rPr>
          <w:lang w:bidi="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478"/>
        <w:gridCol w:w="965"/>
        <w:gridCol w:w="965"/>
        <w:gridCol w:w="965"/>
        <w:gridCol w:w="965"/>
        <w:gridCol w:w="965"/>
        <w:gridCol w:w="965"/>
        <w:gridCol w:w="965"/>
        <w:gridCol w:w="1061"/>
        <w:gridCol w:w="965"/>
        <w:gridCol w:w="1089"/>
      </w:tblGrid>
      <w:tr w:rsidR="00807FFE" w14:paraId="16A5EEAA" w14:textId="77777777">
        <w:trPr>
          <w:trHeight w:val="255"/>
          <w:tblHeader/>
        </w:trPr>
        <w:tc>
          <w:tcPr>
            <w:tcW w:w="344" w:type="dxa"/>
            <w:tcBorders>
              <w:top w:val="nil"/>
              <w:left w:val="nil"/>
              <w:bottom w:val="nil"/>
              <w:right w:val="nil"/>
              <w:tl2br w:val="nil"/>
              <w:tr2bl w:val="nil"/>
            </w:tcBorders>
            <w:tcMar>
              <w:left w:w="60" w:type="dxa"/>
              <w:right w:w="60" w:type="dxa"/>
            </w:tcMar>
            <w:vAlign w:val="center"/>
          </w:tcPr>
          <w:p w14:paraId="43123132" w14:textId="77777777" w:rsidR="00807FFE" w:rsidRDefault="00807FFE">
            <w:pPr>
              <w:pStyle w:val="DMETW36742BIPDetailedMFF5RALYoO"/>
              <w:jc w:val="right"/>
              <w:rPr>
                <w:rFonts w:ascii="Verdana" w:eastAsia="Verdana" w:hAnsi="Verdana" w:cs="Verdana"/>
                <w:i/>
                <w:noProof/>
                <w:color w:val="000000"/>
                <w:sz w:val="16"/>
                <w:lang w:bidi="en-GB"/>
              </w:rPr>
            </w:pPr>
            <w:bookmarkStart w:id="314" w:name="DOC_TBL00123_1_1"/>
            <w:bookmarkEnd w:id="314"/>
          </w:p>
        </w:tc>
        <w:tc>
          <w:tcPr>
            <w:tcW w:w="4478" w:type="dxa"/>
            <w:tcBorders>
              <w:top w:val="nil"/>
              <w:left w:val="nil"/>
              <w:bottom w:val="nil"/>
              <w:right w:val="nil"/>
              <w:tl2br w:val="nil"/>
              <w:tr2bl w:val="nil"/>
            </w:tcBorders>
            <w:tcMar>
              <w:left w:w="60" w:type="dxa"/>
              <w:right w:w="60" w:type="dxa"/>
            </w:tcMar>
            <w:vAlign w:val="center"/>
          </w:tcPr>
          <w:p w14:paraId="2BF6217C" w14:textId="77777777" w:rsidR="00807FFE" w:rsidRDefault="00807FFE">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C6F4F1E" w14:textId="77777777" w:rsidR="00807FFE" w:rsidRDefault="00807FFE">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53AE6CB" w14:textId="77777777" w:rsidR="00807FFE" w:rsidRDefault="00807FFE">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FB50316" w14:textId="77777777" w:rsidR="00807FFE" w:rsidRDefault="00807FFE">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E446140" w14:textId="77777777" w:rsidR="00807FFE" w:rsidRDefault="00807FFE">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0538A45" w14:textId="77777777" w:rsidR="00807FFE" w:rsidRDefault="00807FFE">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FEC77D8" w14:textId="77777777" w:rsidR="00807FFE" w:rsidRDefault="00807FFE">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DBE8032" w14:textId="77777777" w:rsidR="00807FFE" w:rsidRDefault="00807FFE">
            <w:pPr>
              <w:pStyle w:val="DMETW36742BIPDetailedMFF5RALYoO"/>
              <w:jc w:val="right"/>
              <w:rPr>
                <w:rFonts w:ascii="Verdana" w:eastAsia="Verdana" w:hAnsi="Verdana" w:cs="Verdana"/>
                <w:i/>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048D920" w14:textId="77777777" w:rsidR="00807FFE" w:rsidRDefault="00807FFE">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5BE8E19" w14:textId="77777777" w:rsidR="00807FFE" w:rsidRDefault="00807FFE">
            <w:pPr>
              <w:pStyle w:val="DMETW36742BIPDetailedMFF5RALYoO"/>
              <w:jc w:val="right"/>
              <w:rPr>
                <w:rFonts w:ascii="Verdana" w:eastAsia="Verdana" w:hAnsi="Verdana" w:cs="Verdana"/>
                <w:i/>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4A5E1705" w14:textId="77777777" w:rsidR="00807FFE" w:rsidRDefault="00023E71">
            <w:pPr>
              <w:pStyle w:val="DMETW36742BIPDetailedMFF5RALYoO"/>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E746FA0" w14:textId="77777777">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14:paraId="76C1AD0C" w14:textId="77777777" w:rsidR="00807FFE" w:rsidRDefault="00807FFE">
            <w:pPr>
              <w:pStyle w:val="DMETW36742BIPDetailedMFF5RALYoO"/>
              <w:jc w:val="center"/>
              <w:rPr>
                <w:rFonts w:ascii="Verdana" w:eastAsia="Verdana" w:hAnsi="Verdana" w:cs="Verdana"/>
                <w:noProof/>
                <w:color w:val="FFFFFF"/>
                <w:sz w:val="16"/>
              </w:rPr>
            </w:pPr>
          </w:p>
        </w:tc>
        <w:tc>
          <w:tcPr>
            <w:tcW w:w="4478" w:type="dxa"/>
            <w:tcBorders>
              <w:top w:val="nil"/>
              <w:left w:val="nil"/>
              <w:bottom w:val="nil"/>
              <w:right w:val="nil"/>
              <w:tl2br w:val="nil"/>
              <w:tr2bl w:val="nil"/>
            </w:tcBorders>
            <w:shd w:val="solid" w:color="016794" w:fill="FFFFFF"/>
            <w:tcMar>
              <w:left w:w="60" w:type="dxa"/>
              <w:right w:w="60" w:type="dxa"/>
            </w:tcMar>
            <w:vAlign w:val="center"/>
          </w:tcPr>
          <w:p w14:paraId="7F189586"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MFF heading</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6D2D32BC"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&lt;2018</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7A003647"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2018</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752F35DB"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2019</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2F31FA56"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2020</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2B5D7EC0"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2021</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3CD4467F"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2022</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36A13933"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2023</w:t>
            </w:r>
          </w:p>
        </w:tc>
        <w:tc>
          <w:tcPr>
            <w:tcW w:w="1061" w:type="dxa"/>
            <w:tcBorders>
              <w:top w:val="nil"/>
              <w:left w:val="nil"/>
              <w:bottom w:val="nil"/>
              <w:right w:val="nil"/>
              <w:tl2br w:val="nil"/>
              <w:tr2bl w:val="nil"/>
            </w:tcBorders>
            <w:shd w:val="solid" w:color="016794" w:fill="FFFFFF"/>
            <w:tcMar>
              <w:left w:w="60" w:type="dxa"/>
              <w:right w:w="60" w:type="dxa"/>
            </w:tcMar>
            <w:vAlign w:val="center"/>
          </w:tcPr>
          <w:p w14:paraId="621C22CE"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2024</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6C702B66" w14:textId="77777777" w:rsidR="00807FFE" w:rsidRDefault="00023E71">
            <w:pPr>
              <w:pStyle w:val="DMETW36742BIPDetailedMFF5RALYoO"/>
              <w:jc w:val="center"/>
              <w:rPr>
                <w:rFonts w:ascii="Verdana" w:eastAsia="Verdana" w:hAnsi="Verdana" w:cs="Verdana"/>
                <w:noProof/>
                <w:color w:val="FFFFFF"/>
                <w:sz w:val="16"/>
              </w:rPr>
            </w:pPr>
            <w:r>
              <w:rPr>
                <w:rFonts w:ascii="Verdana" w:eastAsia="Verdana" w:hAnsi="Verdana" w:cs="Verdana"/>
                <w:noProof/>
                <w:color w:val="FFFFFF"/>
                <w:sz w:val="16"/>
              </w:rPr>
              <w:t>2025</w:t>
            </w:r>
          </w:p>
        </w:tc>
        <w:tc>
          <w:tcPr>
            <w:tcW w:w="1089" w:type="dxa"/>
            <w:tcBorders>
              <w:top w:val="nil"/>
              <w:left w:val="nil"/>
              <w:bottom w:val="nil"/>
              <w:right w:val="nil"/>
              <w:tl2br w:val="nil"/>
              <w:tr2bl w:val="nil"/>
            </w:tcBorders>
            <w:shd w:val="solid" w:color="016794" w:fill="FFFFFF"/>
            <w:tcMar>
              <w:left w:w="60" w:type="dxa"/>
              <w:right w:w="60" w:type="dxa"/>
            </w:tcMar>
            <w:vAlign w:val="center"/>
          </w:tcPr>
          <w:p w14:paraId="263DDDD8" w14:textId="77777777" w:rsidR="00807FFE" w:rsidRDefault="00023E71">
            <w:pPr>
              <w:pStyle w:val="DMETW36742BIPDetailedMFF5RALYoO"/>
              <w:jc w:val="center"/>
              <w:rPr>
                <w:rFonts w:ascii="Verdana" w:eastAsia="Verdana" w:hAnsi="Verdana" w:cs="Verdana"/>
                <w:noProof/>
                <w:color w:val="FFFFFF"/>
                <w:sz w:val="16"/>
                <w:lang w:bidi="en-GB"/>
              </w:rPr>
            </w:pPr>
            <w:r>
              <w:rPr>
                <w:rFonts w:ascii="Verdana" w:eastAsia="Verdana" w:hAnsi="Verdana" w:cs="Verdana"/>
                <w:noProof/>
                <w:color w:val="FFFFFF"/>
                <w:sz w:val="16"/>
              </w:rPr>
              <w:t>Total</w:t>
            </w:r>
          </w:p>
        </w:tc>
      </w:tr>
      <w:tr w:rsidR="00807FFE" w14:paraId="2BFA54B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3EB23E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1</w:t>
            </w:r>
          </w:p>
        </w:tc>
        <w:tc>
          <w:tcPr>
            <w:tcW w:w="4478" w:type="dxa"/>
            <w:tcBorders>
              <w:top w:val="nil"/>
              <w:left w:val="nil"/>
              <w:bottom w:val="nil"/>
              <w:right w:val="nil"/>
              <w:tl2br w:val="nil"/>
              <w:tr2bl w:val="nil"/>
            </w:tcBorders>
            <w:tcMar>
              <w:left w:w="60" w:type="dxa"/>
              <w:right w:w="60" w:type="dxa"/>
            </w:tcMar>
            <w:vAlign w:val="center"/>
          </w:tcPr>
          <w:p w14:paraId="2ECCC8B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Horizon Europe</w:t>
            </w:r>
          </w:p>
        </w:tc>
        <w:tc>
          <w:tcPr>
            <w:tcW w:w="965" w:type="dxa"/>
            <w:tcBorders>
              <w:top w:val="nil"/>
              <w:left w:val="nil"/>
              <w:bottom w:val="nil"/>
              <w:right w:val="nil"/>
              <w:tl2br w:val="nil"/>
              <w:tr2bl w:val="nil"/>
            </w:tcBorders>
            <w:tcMar>
              <w:left w:w="60" w:type="dxa"/>
              <w:right w:w="60" w:type="dxa"/>
            </w:tcMar>
            <w:vAlign w:val="center"/>
          </w:tcPr>
          <w:p w14:paraId="013C8A4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170</w:t>
            </w:r>
          </w:p>
        </w:tc>
        <w:tc>
          <w:tcPr>
            <w:tcW w:w="965" w:type="dxa"/>
            <w:tcBorders>
              <w:top w:val="nil"/>
              <w:left w:val="nil"/>
              <w:bottom w:val="nil"/>
              <w:right w:val="nil"/>
              <w:tl2br w:val="nil"/>
              <w:tr2bl w:val="nil"/>
            </w:tcBorders>
            <w:tcMar>
              <w:left w:w="60" w:type="dxa"/>
              <w:right w:w="60" w:type="dxa"/>
            </w:tcMar>
            <w:vAlign w:val="center"/>
          </w:tcPr>
          <w:p w14:paraId="0A921E1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233</w:t>
            </w:r>
          </w:p>
        </w:tc>
        <w:tc>
          <w:tcPr>
            <w:tcW w:w="965" w:type="dxa"/>
            <w:tcBorders>
              <w:top w:val="nil"/>
              <w:left w:val="nil"/>
              <w:bottom w:val="nil"/>
              <w:right w:val="nil"/>
              <w:tl2br w:val="nil"/>
              <w:tr2bl w:val="nil"/>
            </w:tcBorders>
            <w:tcMar>
              <w:left w:w="60" w:type="dxa"/>
              <w:right w:w="60" w:type="dxa"/>
            </w:tcMar>
            <w:vAlign w:val="center"/>
          </w:tcPr>
          <w:p w14:paraId="229A013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419</w:t>
            </w:r>
          </w:p>
        </w:tc>
        <w:tc>
          <w:tcPr>
            <w:tcW w:w="965" w:type="dxa"/>
            <w:tcBorders>
              <w:top w:val="nil"/>
              <w:left w:val="nil"/>
              <w:bottom w:val="nil"/>
              <w:right w:val="nil"/>
              <w:tl2br w:val="nil"/>
              <w:tr2bl w:val="nil"/>
            </w:tcBorders>
            <w:tcMar>
              <w:left w:w="60" w:type="dxa"/>
              <w:right w:w="60" w:type="dxa"/>
            </w:tcMar>
            <w:vAlign w:val="center"/>
          </w:tcPr>
          <w:p w14:paraId="092DC00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784</w:t>
            </w:r>
          </w:p>
        </w:tc>
        <w:tc>
          <w:tcPr>
            <w:tcW w:w="965" w:type="dxa"/>
            <w:tcBorders>
              <w:top w:val="nil"/>
              <w:left w:val="nil"/>
              <w:bottom w:val="nil"/>
              <w:right w:val="nil"/>
              <w:tl2br w:val="nil"/>
              <w:tr2bl w:val="nil"/>
            </w:tcBorders>
            <w:tcMar>
              <w:left w:w="60" w:type="dxa"/>
              <w:right w:w="60" w:type="dxa"/>
            </w:tcMar>
            <w:vAlign w:val="center"/>
          </w:tcPr>
          <w:p w14:paraId="3B2BFC2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1 612</w:t>
            </w:r>
          </w:p>
        </w:tc>
        <w:tc>
          <w:tcPr>
            <w:tcW w:w="965" w:type="dxa"/>
            <w:tcBorders>
              <w:top w:val="nil"/>
              <w:left w:val="nil"/>
              <w:bottom w:val="nil"/>
              <w:right w:val="nil"/>
              <w:tl2br w:val="nil"/>
              <w:tr2bl w:val="nil"/>
            </w:tcBorders>
            <w:tcMar>
              <w:left w:w="60" w:type="dxa"/>
              <w:right w:w="60" w:type="dxa"/>
            </w:tcMar>
            <w:vAlign w:val="center"/>
          </w:tcPr>
          <w:p w14:paraId="2176650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2 406</w:t>
            </w:r>
          </w:p>
        </w:tc>
        <w:tc>
          <w:tcPr>
            <w:tcW w:w="965" w:type="dxa"/>
            <w:tcBorders>
              <w:top w:val="nil"/>
              <w:left w:val="nil"/>
              <w:bottom w:val="nil"/>
              <w:right w:val="nil"/>
              <w:tl2br w:val="nil"/>
              <w:tr2bl w:val="nil"/>
            </w:tcBorders>
            <w:tcMar>
              <w:left w:w="60" w:type="dxa"/>
              <w:right w:w="60" w:type="dxa"/>
            </w:tcMar>
            <w:vAlign w:val="center"/>
          </w:tcPr>
          <w:p w14:paraId="560EF73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3 859</w:t>
            </w:r>
          </w:p>
        </w:tc>
        <w:tc>
          <w:tcPr>
            <w:tcW w:w="1061" w:type="dxa"/>
            <w:tcBorders>
              <w:top w:val="nil"/>
              <w:left w:val="nil"/>
              <w:bottom w:val="nil"/>
              <w:right w:val="nil"/>
              <w:tl2br w:val="nil"/>
              <w:tr2bl w:val="nil"/>
            </w:tcBorders>
            <w:tcMar>
              <w:left w:w="60" w:type="dxa"/>
              <w:right w:w="60" w:type="dxa"/>
            </w:tcMar>
            <w:vAlign w:val="center"/>
          </w:tcPr>
          <w:p w14:paraId="172ED6D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9 772</w:t>
            </w:r>
          </w:p>
        </w:tc>
        <w:tc>
          <w:tcPr>
            <w:tcW w:w="965" w:type="dxa"/>
            <w:tcBorders>
              <w:top w:val="nil"/>
              <w:left w:val="nil"/>
              <w:bottom w:val="nil"/>
              <w:right w:val="nil"/>
              <w:tl2br w:val="nil"/>
              <w:tr2bl w:val="nil"/>
            </w:tcBorders>
            <w:tcMar>
              <w:left w:w="60" w:type="dxa"/>
              <w:right w:w="60" w:type="dxa"/>
            </w:tcMar>
            <w:vAlign w:val="center"/>
          </w:tcPr>
          <w:p w14:paraId="7AF5CCF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12 750</w:t>
            </w:r>
          </w:p>
        </w:tc>
        <w:tc>
          <w:tcPr>
            <w:tcW w:w="1089" w:type="dxa"/>
            <w:tcBorders>
              <w:top w:val="nil"/>
              <w:left w:val="nil"/>
              <w:bottom w:val="nil"/>
              <w:right w:val="nil"/>
              <w:tl2br w:val="nil"/>
              <w:tr2bl w:val="nil"/>
            </w:tcBorders>
            <w:tcMar>
              <w:left w:w="60" w:type="dxa"/>
              <w:right w:w="60" w:type="dxa"/>
            </w:tcMar>
            <w:vAlign w:val="center"/>
          </w:tcPr>
          <w:p w14:paraId="42C573DA"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32 005</w:t>
            </w:r>
          </w:p>
        </w:tc>
      </w:tr>
      <w:tr w:rsidR="00807FFE" w14:paraId="7270A90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D9137F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71BE04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Euratom Research and Training Programme</w:t>
            </w:r>
          </w:p>
        </w:tc>
        <w:tc>
          <w:tcPr>
            <w:tcW w:w="965" w:type="dxa"/>
            <w:tcBorders>
              <w:top w:val="nil"/>
              <w:left w:val="nil"/>
              <w:bottom w:val="nil"/>
              <w:right w:val="nil"/>
              <w:tl2br w:val="nil"/>
              <w:tr2bl w:val="nil"/>
            </w:tcBorders>
            <w:tcMar>
              <w:left w:w="60" w:type="dxa"/>
              <w:right w:w="60" w:type="dxa"/>
            </w:tcMar>
            <w:vAlign w:val="center"/>
          </w:tcPr>
          <w:p w14:paraId="5377174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965" w:type="dxa"/>
            <w:tcBorders>
              <w:top w:val="nil"/>
              <w:left w:val="nil"/>
              <w:bottom w:val="nil"/>
              <w:right w:val="nil"/>
              <w:tl2br w:val="nil"/>
              <w:tr2bl w:val="nil"/>
            </w:tcBorders>
            <w:tcMar>
              <w:left w:w="60" w:type="dxa"/>
              <w:right w:w="60" w:type="dxa"/>
            </w:tcMar>
            <w:vAlign w:val="center"/>
          </w:tcPr>
          <w:p w14:paraId="1AC597D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95F467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471FD70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14:paraId="2B898C3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14:paraId="56D54EA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14:paraId="5036743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061" w:type="dxa"/>
            <w:tcBorders>
              <w:top w:val="nil"/>
              <w:left w:val="nil"/>
              <w:bottom w:val="nil"/>
              <w:right w:val="nil"/>
              <w:tl2br w:val="nil"/>
              <w:tr2bl w:val="nil"/>
            </w:tcBorders>
            <w:tcMar>
              <w:left w:w="60" w:type="dxa"/>
              <w:right w:w="60" w:type="dxa"/>
            </w:tcMar>
            <w:vAlign w:val="center"/>
          </w:tcPr>
          <w:p w14:paraId="54155A3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111</w:t>
            </w:r>
          </w:p>
        </w:tc>
        <w:tc>
          <w:tcPr>
            <w:tcW w:w="965" w:type="dxa"/>
            <w:tcBorders>
              <w:top w:val="nil"/>
              <w:left w:val="nil"/>
              <w:bottom w:val="nil"/>
              <w:right w:val="nil"/>
              <w:tl2br w:val="nil"/>
              <w:tr2bl w:val="nil"/>
            </w:tcBorders>
            <w:tcMar>
              <w:left w:w="60" w:type="dxa"/>
              <w:right w:w="60" w:type="dxa"/>
            </w:tcMar>
            <w:vAlign w:val="center"/>
          </w:tcPr>
          <w:p w14:paraId="5233C47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149</w:t>
            </w:r>
          </w:p>
        </w:tc>
        <w:tc>
          <w:tcPr>
            <w:tcW w:w="1089" w:type="dxa"/>
            <w:tcBorders>
              <w:top w:val="nil"/>
              <w:left w:val="nil"/>
              <w:bottom w:val="nil"/>
              <w:right w:val="nil"/>
              <w:tl2br w:val="nil"/>
              <w:tr2bl w:val="nil"/>
            </w:tcBorders>
            <w:tcMar>
              <w:left w:w="60" w:type="dxa"/>
              <w:right w:w="60" w:type="dxa"/>
            </w:tcMar>
            <w:vAlign w:val="center"/>
          </w:tcPr>
          <w:p w14:paraId="27047E5E"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330</w:t>
            </w:r>
          </w:p>
        </w:tc>
      </w:tr>
      <w:tr w:rsidR="00807FFE" w14:paraId="3EAD3DD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71132F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9DCAA8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International Thermonuclear Experimental Reactor (ITER)</w:t>
            </w:r>
          </w:p>
        </w:tc>
        <w:tc>
          <w:tcPr>
            <w:tcW w:w="965" w:type="dxa"/>
            <w:tcBorders>
              <w:top w:val="nil"/>
              <w:left w:val="nil"/>
              <w:bottom w:val="nil"/>
              <w:right w:val="nil"/>
              <w:tl2br w:val="nil"/>
              <w:tr2bl w:val="nil"/>
            </w:tcBorders>
            <w:tcMar>
              <w:left w:w="60" w:type="dxa"/>
              <w:right w:w="60" w:type="dxa"/>
            </w:tcMar>
            <w:vAlign w:val="center"/>
          </w:tcPr>
          <w:p w14:paraId="41861E5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1468C4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A81559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EBE5A9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7A6955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CBD25A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965" w:type="dxa"/>
            <w:tcBorders>
              <w:top w:val="nil"/>
              <w:left w:val="nil"/>
              <w:bottom w:val="nil"/>
              <w:right w:val="nil"/>
              <w:tl2br w:val="nil"/>
              <w:tr2bl w:val="nil"/>
            </w:tcBorders>
            <w:tcMar>
              <w:left w:w="60" w:type="dxa"/>
              <w:right w:w="60" w:type="dxa"/>
            </w:tcMar>
            <w:vAlign w:val="center"/>
          </w:tcPr>
          <w:p w14:paraId="2F5AE7E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477</w:t>
            </w:r>
          </w:p>
        </w:tc>
        <w:tc>
          <w:tcPr>
            <w:tcW w:w="1061" w:type="dxa"/>
            <w:tcBorders>
              <w:top w:val="nil"/>
              <w:left w:val="nil"/>
              <w:bottom w:val="nil"/>
              <w:right w:val="nil"/>
              <w:tl2br w:val="nil"/>
              <w:tr2bl w:val="nil"/>
            </w:tcBorders>
            <w:tcMar>
              <w:left w:w="60" w:type="dxa"/>
              <w:right w:w="60" w:type="dxa"/>
            </w:tcMar>
            <w:vAlign w:val="center"/>
          </w:tcPr>
          <w:p w14:paraId="4D7ED6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356</w:t>
            </w:r>
          </w:p>
        </w:tc>
        <w:tc>
          <w:tcPr>
            <w:tcW w:w="965" w:type="dxa"/>
            <w:tcBorders>
              <w:top w:val="nil"/>
              <w:left w:val="nil"/>
              <w:bottom w:val="nil"/>
              <w:right w:val="nil"/>
              <w:tl2br w:val="nil"/>
              <w:tr2bl w:val="nil"/>
            </w:tcBorders>
            <w:tcMar>
              <w:left w:w="60" w:type="dxa"/>
              <w:right w:w="60" w:type="dxa"/>
            </w:tcMar>
            <w:vAlign w:val="center"/>
          </w:tcPr>
          <w:p w14:paraId="15F7704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408</w:t>
            </w:r>
          </w:p>
        </w:tc>
        <w:tc>
          <w:tcPr>
            <w:tcW w:w="1089" w:type="dxa"/>
            <w:tcBorders>
              <w:top w:val="nil"/>
              <w:left w:val="nil"/>
              <w:bottom w:val="nil"/>
              <w:right w:val="nil"/>
              <w:tl2br w:val="nil"/>
              <w:tr2bl w:val="nil"/>
            </w:tcBorders>
            <w:tcMar>
              <w:left w:w="60" w:type="dxa"/>
              <w:right w:w="60" w:type="dxa"/>
            </w:tcMar>
            <w:vAlign w:val="center"/>
          </w:tcPr>
          <w:p w14:paraId="5099FDD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1 294</w:t>
            </w:r>
          </w:p>
        </w:tc>
      </w:tr>
      <w:tr w:rsidR="00807FFE" w14:paraId="0D12D1F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7291A5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EE399C0"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5" w:type="dxa"/>
            <w:tcBorders>
              <w:top w:val="nil"/>
              <w:left w:val="nil"/>
              <w:bottom w:val="nil"/>
              <w:right w:val="nil"/>
              <w:tl2br w:val="nil"/>
              <w:tr2bl w:val="nil"/>
            </w:tcBorders>
            <w:tcMar>
              <w:left w:w="60" w:type="dxa"/>
              <w:right w:w="60" w:type="dxa"/>
            </w:tcMar>
            <w:vAlign w:val="center"/>
          </w:tcPr>
          <w:p w14:paraId="1C8E2C0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53CA54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29D2AE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283836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A5616E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3B9BD8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7A92941"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0FA07F7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260</w:t>
            </w:r>
          </w:p>
        </w:tc>
        <w:tc>
          <w:tcPr>
            <w:tcW w:w="965" w:type="dxa"/>
            <w:tcBorders>
              <w:top w:val="nil"/>
              <w:left w:val="nil"/>
              <w:bottom w:val="nil"/>
              <w:right w:val="nil"/>
              <w:tl2br w:val="nil"/>
              <w:tr2bl w:val="nil"/>
            </w:tcBorders>
            <w:tcMar>
              <w:left w:w="60" w:type="dxa"/>
              <w:right w:w="60" w:type="dxa"/>
            </w:tcMar>
            <w:vAlign w:val="center"/>
          </w:tcPr>
          <w:p w14:paraId="1B463AA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1089" w:type="dxa"/>
            <w:tcBorders>
              <w:top w:val="nil"/>
              <w:left w:val="nil"/>
              <w:bottom w:val="nil"/>
              <w:right w:val="nil"/>
              <w:tl2br w:val="nil"/>
              <w:tr2bl w:val="nil"/>
            </w:tcBorders>
            <w:tcMar>
              <w:left w:w="60" w:type="dxa"/>
              <w:right w:w="60" w:type="dxa"/>
            </w:tcMar>
            <w:vAlign w:val="center"/>
          </w:tcPr>
          <w:p w14:paraId="7044739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318</w:t>
            </w:r>
          </w:p>
        </w:tc>
      </w:tr>
      <w:tr w:rsidR="00807FFE" w14:paraId="17910C7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60E3C2A"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B26D0A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6B1F75C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30F533D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49D2D14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7B3EC5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0C7E5AA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668E0C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60852FC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1061" w:type="dxa"/>
            <w:tcBorders>
              <w:top w:val="nil"/>
              <w:left w:val="nil"/>
              <w:bottom w:val="nil"/>
              <w:right w:val="nil"/>
              <w:tl2br w:val="nil"/>
              <w:tr2bl w:val="nil"/>
            </w:tcBorders>
            <w:tcMar>
              <w:left w:w="60" w:type="dxa"/>
              <w:right w:w="60" w:type="dxa"/>
            </w:tcMar>
            <w:vAlign w:val="center"/>
          </w:tcPr>
          <w:p w14:paraId="7085CEA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965" w:type="dxa"/>
            <w:tcBorders>
              <w:top w:val="nil"/>
              <w:left w:val="nil"/>
              <w:bottom w:val="nil"/>
              <w:right w:val="nil"/>
              <w:tl2br w:val="nil"/>
              <w:tr2bl w:val="nil"/>
            </w:tcBorders>
            <w:tcMar>
              <w:left w:w="60" w:type="dxa"/>
              <w:right w:w="60" w:type="dxa"/>
            </w:tcMar>
            <w:vAlign w:val="center"/>
          </w:tcPr>
          <w:p w14:paraId="58570C0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14:paraId="1E755D8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42</w:t>
            </w:r>
          </w:p>
        </w:tc>
      </w:tr>
      <w:tr w:rsidR="00807FFE" w14:paraId="4F3BC45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297C23E"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30380EB"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InvestEU Fund</w:t>
            </w:r>
          </w:p>
        </w:tc>
        <w:tc>
          <w:tcPr>
            <w:tcW w:w="965" w:type="dxa"/>
            <w:tcBorders>
              <w:top w:val="nil"/>
              <w:left w:val="nil"/>
              <w:bottom w:val="nil"/>
              <w:right w:val="nil"/>
              <w:tl2br w:val="nil"/>
              <w:tr2bl w:val="nil"/>
            </w:tcBorders>
            <w:tcMar>
              <w:left w:w="60" w:type="dxa"/>
              <w:right w:w="60" w:type="dxa"/>
            </w:tcMar>
            <w:vAlign w:val="center"/>
          </w:tcPr>
          <w:p w14:paraId="38757A4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136</w:t>
            </w:r>
          </w:p>
        </w:tc>
        <w:tc>
          <w:tcPr>
            <w:tcW w:w="965" w:type="dxa"/>
            <w:tcBorders>
              <w:top w:val="nil"/>
              <w:left w:val="nil"/>
              <w:bottom w:val="nil"/>
              <w:right w:val="nil"/>
              <w:tl2br w:val="nil"/>
              <w:tr2bl w:val="nil"/>
            </w:tcBorders>
            <w:tcMar>
              <w:left w:w="60" w:type="dxa"/>
              <w:right w:w="60" w:type="dxa"/>
            </w:tcMar>
            <w:vAlign w:val="center"/>
          </w:tcPr>
          <w:p w14:paraId="0DE0FDD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965" w:type="dxa"/>
            <w:tcBorders>
              <w:top w:val="nil"/>
              <w:left w:val="nil"/>
              <w:bottom w:val="nil"/>
              <w:right w:val="nil"/>
              <w:tl2br w:val="nil"/>
              <w:tr2bl w:val="nil"/>
            </w:tcBorders>
            <w:tcMar>
              <w:left w:w="60" w:type="dxa"/>
              <w:right w:w="60" w:type="dxa"/>
            </w:tcMar>
            <w:vAlign w:val="center"/>
          </w:tcPr>
          <w:p w14:paraId="0B77F2B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88</w:t>
            </w:r>
          </w:p>
        </w:tc>
        <w:tc>
          <w:tcPr>
            <w:tcW w:w="965" w:type="dxa"/>
            <w:tcBorders>
              <w:top w:val="nil"/>
              <w:left w:val="nil"/>
              <w:bottom w:val="nil"/>
              <w:right w:val="nil"/>
              <w:tl2br w:val="nil"/>
              <w:tr2bl w:val="nil"/>
            </w:tcBorders>
            <w:tcMar>
              <w:left w:w="60" w:type="dxa"/>
              <w:right w:w="60" w:type="dxa"/>
            </w:tcMar>
            <w:vAlign w:val="center"/>
          </w:tcPr>
          <w:p w14:paraId="13A7DBE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108</w:t>
            </w:r>
          </w:p>
        </w:tc>
        <w:tc>
          <w:tcPr>
            <w:tcW w:w="965" w:type="dxa"/>
            <w:tcBorders>
              <w:top w:val="nil"/>
              <w:left w:val="nil"/>
              <w:bottom w:val="nil"/>
              <w:right w:val="nil"/>
              <w:tl2br w:val="nil"/>
              <w:tr2bl w:val="nil"/>
            </w:tcBorders>
            <w:tcMar>
              <w:left w:w="60" w:type="dxa"/>
              <w:right w:w="60" w:type="dxa"/>
            </w:tcMar>
            <w:vAlign w:val="center"/>
          </w:tcPr>
          <w:p w14:paraId="29AC234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4BD340E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881</w:t>
            </w:r>
          </w:p>
        </w:tc>
        <w:tc>
          <w:tcPr>
            <w:tcW w:w="965" w:type="dxa"/>
            <w:tcBorders>
              <w:top w:val="nil"/>
              <w:left w:val="nil"/>
              <w:bottom w:val="nil"/>
              <w:right w:val="nil"/>
              <w:tl2br w:val="nil"/>
              <w:tr2bl w:val="nil"/>
            </w:tcBorders>
            <w:tcMar>
              <w:left w:w="60" w:type="dxa"/>
              <w:right w:w="60" w:type="dxa"/>
            </w:tcMar>
            <w:vAlign w:val="center"/>
          </w:tcPr>
          <w:p w14:paraId="026CAD8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340</w:t>
            </w:r>
          </w:p>
        </w:tc>
        <w:tc>
          <w:tcPr>
            <w:tcW w:w="1061" w:type="dxa"/>
            <w:tcBorders>
              <w:top w:val="nil"/>
              <w:left w:val="nil"/>
              <w:bottom w:val="nil"/>
              <w:right w:val="nil"/>
              <w:tl2br w:val="nil"/>
              <w:tr2bl w:val="nil"/>
            </w:tcBorders>
            <w:tcMar>
              <w:left w:w="60" w:type="dxa"/>
              <w:right w:w="60" w:type="dxa"/>
            </w:tcMar>
            <w:vAlign w:val="center"/>
          </w:tcPr>
          <w:p w14:paraId="1E4A4AA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1 500</w:t>
            </w:r>
          </w:p>
        </w:tc>
        <w:tc>
          <w:tcPr>
            <w:tcW w:w="965" w:type="dxa"/>
            <w:tcBorders>
              <w:top w:val="nil"/>
              <w:left w:val="nil"/>
              <w:bottom w:val="nil"/>
              <w:right w:val="nil"/>
              <w:tl2br w:val="nil"/>
              <w:tr2bl w:val="nil"/>
            </w:tcBorders>
            <w:tcMar>
              <w:left w:w="60" w:type="dxa"/>
              <w:right w:w="60" w:type="dxa"/>
            </w:tcMar>
            <w:vAlign w:val="center"/>
          </w:tcPr>
          <w:p w14:paraId="231E68A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378</w:t>
            </w:r>
          </w:p>
        </w:tc>
        <w:tc>
          <w:tcPr>
            <w:tcW w:w="1089" w:type="dxa"/>
            <w:tcBorders>
              <w:top w:val="nil"/>
              <w:left w:val="nil"/>
              <w:bottom w:val="nil"/>
              <w:right w:val="nil"/>
              <w:tl2br w:val="nil"/>
              <w:tr2bl w:val="nil"/>
            </w:tcBorders>
            <w:tcMar>
              <w:left w:w="60" w:type="dxa"/>
              <w:right w:w="60" w:type="dxa"/>
            </w:tcMar>
            <w:vAlign w:val="center"/>
          </w:tcPr>
          <w:p w14:paraId="60A258F6"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3 471</w:t>
            </w:r>
          </w:p>
        </w:tc>
      </w:tr>
      <w:tr w:rsidR="00807FFE" w14:paraId="7114E59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2E7F17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726E3A7"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Connecting Europe Facility (CEF) - Transport</w:t>
            </w:r>
          </w:p>
        </w:tc>
        <w:tc>
          <w:tcPr>
            <w:tcW w:w="965" w:type="dxa"/>
            <w:tcBorders>
              <w:top w:val="nil"/>
              <w:left w:val="nil"/>
              <w:bottom w:val="nil"/>
              <w:right w:val="nil"/>
              <w:tl2br w:val="nil"/>
              <w:tr2bl w:val="nil"/>
            </w:tcBorders>
            <w:tcMar>
              <w:left w:w="60" w:type="dxa"/>
              <w:right w:w="60" w:type="dxa"/>
            </w:tcMar>
            <w:vAlign w:val="center"/>
          </w:tcPr>
          <w:p w14:paraId="09F868D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87</w:t>
            </w:r>
          </w:p>
        </w:tc>
        <w:tc>
          <w:tcPr>
            <w:tcW w:w="965" w:type="dxa"/>
            <w:tcBorders>
              <w:top w:val="nil"/>
              <w:left w:val="nil"/>
              <w:bottom w:val="nil"/>
              <w:right w:val="nil"/>
              <w:tl2br w:val="nil"/>
              <w:tr2bl w:val="nil"/>
            </w:tcBorders>
            <w:tcMar>
              <w:left w:w="60" w:type="dxa"/>
              <w:right w:w="60" w:type="dxa"/>
            </w:tcMar>
            <w:vAlign w:val="center"/>
          </w:tcPr>
          <w:p w14:paraId="19D9EA0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965" w:type="dxa"/>
            <w:tcBorders>
              <w:top w:val="nil"/>
              <w:left w:val="nil"/>
              <w:bottom w:val="nil"/>
              <w:right w:val="nil"/>
              <w:tl2br w:val="nil"/>
              <w:tr2bl w:val="nil"/>
            </w:tcBorders>
            <w:tcMar>
              <w:left w:w="60" w:type="dxa"/>
              <w:right w:w="60" w:type="dxa"/>
            </w:tcMar>
            <w:vAlign w:val="center"/>
          </w:tcPr>
          <w:p w14:paraId="57F3C8B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370</w:t>
            </w:r>
          </w:p>
        </w:tc>
        <w:tc>
          <w:tcPr>
            <w:tcW w:w="965" w:type="dxa"/>
            <w:tcBorders>
              <w:top w:val="nil"/>
              <w:left w:val="nil"/>
              <w:bottom w:val="nil"/>
              <w:right w:val="nil"/>
              <w:tl2br w:val="nil"/>
              <w:tr2bl w:val="nil"/>
            </w:tcBorders>
            <w:tcMar>
              <w:left w:w="60" w:type="dxa"/>
              <w:right w:w="60" w:type="dxa"/>
            </w:tcMar>
            <w:vAlign w:val="center"/>
          </w:tcPr>
          <w:p w14:paraId="3E66DFF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771</w:t>
            </w:r>
          </w:p>
        </w:tc>
        <w:tc>
          <w:tcPr>
            <w:tcW w:w="965" w:type="dxa"/>
            <w:tcBorders>
              <w:top w:val="nil"/>
              <w:left w:val="nil"/>
              <w:bottom w:val="nil"/>
              <w:right w:val="nil"/>
              <w:tl2br w:val="nil"/>
              <w:tr2bl w:val="nil"/>
            </w:tcBorders>
            <w:tcMar>
              <w:left w:w="60" w:type="dxa"/>
              <w:right w:w="60" w:type="dxa"/>
            </w:tcMar>
            <w:vAlign w:val="center"/>
          </w:tcPr>
          <w:p w14:paraId="0BAB641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489</w:t>
            </w:r>
          </w:p>
        </w:tc>
        <w:tc>
          <w:tcPr>
            <w:tcW w:w="965" w:type="dxa"/>
            <w:tcBorders>
              <w:top w:val="nil"/>
              <w:left w:val="nil"/>
              <w:bottom w:val="nil"/>
              <w:right w:val="nil"/>
              <w:tl2br w:val="nil"/>
              <w:tr2bl w:val="nil"/>
            </w:tcBorders>
            <w:tcMar>
              <w:left w:w="60" w:type="dxa"/>
              <w:right w:w="60" w:type="dxa"/>
            </w:tcMar>
            <w:vAlign w:val="center"/>
          </w:tcPr>
          <w:p w14:paraId="492ACFB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216</w:t>
            </w:r>
          </w:p>
        </w:tc>
        <w:tc>
          <w:tcPr>
            <w:tcW w:w="965" w:type="dxa"/>
            <w:tcBorders>
              <w:top w:val="nil"/>
              <w:left w:val="nil"/>
              <w:bottom w:val="nil"/>
              <w:right w:val="nil"/>
              <w:tl2br w:val="nil"/>
              <w:tr2bl w:val="nil"/>
            </w:tcBorders>
            <w:tcMar>
              <w:left w:w="60" w:type="dxa"/>
              <w:right w:w="60" w:type="dxa"/>
            </w:tcMar>
            <w:vAlign w:val="center"/>
          </w:tcPr>
          <w:p w14:paraId="0A7097A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665</w:t>
            </w:r>
          </w:p>
        </w:tc>
        <w:tc>
          <w:tcPr>
            <w:tcW w:w="1061" w:type="dxa"/>
            <w:tcBorders>
              <w:top w:val="nil"/>
              <w:left w:val="nil"/>
              <w:bottom w:val="nil"/>
              <w:right w:val="nil"/>
              <w:tl2br w:val="nil"/>
              <w:tr2bl w:val="nil"/>
            </w:tcBorders>
            <w:tcMar>
              <w:left w:w="60" w:type="dxa"/>
              <w:right w:w="60" w:type="dxa"/>
            </w:tcMar>
            <w:vAlign w:val="center"/>
          </w:tcPr>
          <w:p w14:paraId="1C75824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936</w:t>
            </w:r>
          </w:p>
        </w:tc>
        <w:tc>
          <w:tcPr>
            <w:tcW w:w="965" w:type="dxa"/>
            <w:tcBorders>
              <w:top w:val="nil"/>
              <w:left w:val="nil"/>
              <w:bottom w:val="nil"/>
              <w:right w:val="nil"/>
              <w:tl2br w:val="nil"/>
              <w:tr2bl w:val="nil"/>
            </w:tcBorders>
            <w:tcMar>
              <w:left w:w="60" w:type="dxa"/>
              <w:right w:w="60" w:type="dxa"/>
            </w:tcMar>
            <w:vAlign w:val="center"/>
          </w:tcPr>
          <w:p w14:paraId="6314D87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1 644</w:t>
            </w:r>
          </w:p>
        </w:tc>
        <w:tc>
          <w:tcPr>
            <w:tcW w:w="1089" w:type="dxa"/>
            <w:tcBorders>
              <w:top w:val="nil"/>
              <w:left w:val="nil"/>
              <w:bottom w:val="nil"/>
              <w:right w:val="nil"/>
              <w:tl2br w:val="nil"/>
              <w:tr2bl w:val="nil"/>
            </w:tcBorders>
            <w:tcMar>
              <w:left w:w="60" w:type="dxa"/>
              <w:right w:w="60" w:type="dxa"/>
            </w:tcMar>
            <w:vAlign w:val="center"/>
          </w:tcPr>
          <w:p w14:paraId="31C1C0F9"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5 220</w:t>
            </w:r>
          </w:p>
        </w:tc>
      </w:tr>
      <w:tr w:rsidR="00807FFE" w14:paraId="381E366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9B81F6E"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79A8F82"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Connecting Europe Facility (CEF) - Energy</w:t>
            </w:r>
          </w:p>
        </w:tc>
        <w:tc>
          <w:tcPr>
            <w:tcW w:w="965" w:type="dxa"/>
            <w:tcBorders>
              <w:top w:val="nil"/>
              <w:left w:val="nil"/>
              <w:bottom w:val="nil"/>
              <w:right w:val="nil"/>
              <w:tl2br w:val="nil"/>
              <w:tr2bl w:val="nil"/>
            </w:tcBorders>
            <w:tcMar>
              <w:left w:w="60" w:type="dxa"/>
              <w:right w:w="60" w:type="dxa"/>
            </w:tcMar>
            <w:vAlign w:val="center"/>
          </w:tcPr>
          <w:p w14:paraId="3F80522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153</w:t>
            </w:r>
          </w:p>
        </w:tc>
        <w:tc>
          <w:tcPr>
            <w:tcW w:w="965" w:type="dxa"/>
            <w:tcBorders>
              <w:top w:val="nil"/>
              <w:left w:val="nil"/>
              <w:bottom w:val="nil"/>
              <w:right w:val="nil"/>
              <w:tl2br w:val="nil"/>
              <w:tr2bl w:val="nil"/>
            </w:tcBorders>
            <w:tcMar>
              <w:left w:w="60" w:type="dxa"/>
              <w:right w:w="60" w:type="dxa"/>
            </w:tcMar>
            <w:vAlign w:val="center"/>
          </w:tcPr>
          <w:p w14:paraId="38DD946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86</w:t>
            </w:r>
          </w:p>
        </w:tc>
        <w:tc>
          <w:tcPr>
            <w:tcW w:w="965" w:type="dxa"/>
            <w:tcBorders>
              <w:top w:val="nil"/>
              <w:left w:val="nil"/>
              <w:bottom w:val="nil"/>
              <w:right w:val="nil"/>
              <w:tl2br w:val="nil"/>
              <w:tr2bl w:val="nil"/>
            </w:tcBorders>
            <w:tcMar>
              <w:left w:w="60" w:type="dxa"/>
              <w:right w:w="60" w:type="dxa"/>
            </w:tcMar>
            <w:vAlign w:val="center"/>
          </w:tcPr>
          <w:p w14:paraId="2792867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527</w:t>
            </w:r>
          </w:p>
        </w:tc>
        <w:tc>
          <w:tcPr>
            <w:tcW w:w="965" w:type="dxa"/>
            <w:tcBorders>
              <w:top w:val="nil"/>
              <w:left w:val="nil"/>
              <w:bottom w:val="nil"/>
              <w:right w:val="nil"/>
              <w:tl2br w:val="nil"/>
              <w:tr2bl w:val="nil"/>
            </w:tcBorders>
            <w:tcMar>
              <w:left w:w="60" w:type="dxa"/>
              <w:right w:w="60" w:type="dxa"/>
            </w:tcMar>
            <w:vAlign w:val="center"/>
          </w:tcPr>
          <w:p w14:paraId="3B3D374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786</w:t>
            </w:r>
          </w:p>
        </w:tc>
        <w:tc>
          <w:tcPr>
            <w:tcW w:w="965" w:type="dxa"/>
            <w:tcBorders>
              <w:top w:val="nil"/>
              <w:left w:val="nil"/>
              <w:bottom w:val="nil"/>
              <w:right w:val="nil"/>
              <w:tl2br w:val="nil"/>
              <w:tr2bl w:val="nil"/>
            </w:tcBorders>
            <w:tcMar>
              <w:left w:w="60" w:type="dxa"/>
              <w:right w:w="60" w:type="dxa"/>
            </w:tcMar>
            <w:vAlign w:val="center"/>
          </w:tcPr>
          <w:p w14:paraId="367F8E6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337</w:t>
            </w:r>
          </w:p>
        </w:tc>
        <w:tc>
          <w:tcPr>
            <w:tcW w:w="965" w:type="dxa"/>
            <w:tcBorders>
              <w:top w:val="nil"/>
              <w:left w:val="nil"/>
              <w:bottom w:val="nil"/>
              <w:right w:val="nil"/>
              <w:tl2br w:val="nil"/>
              <w:tr2bl w:val="nil"/>
            </w:tcBorders>
            <w:tcMar>
              <w:left w:w="60" w:type="dxa"/>
              <w:right w:w="60" w:type="dxa"/>
            </w:tcMar>
            <w:vAlign w:val="center"/>
          </w:tcPr>
          <w:p w14:paraId="5686711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536</w:t>
            </w:r>
          </w:p>
        </w:tc>
        <w:tc>
          <w:tcPr>
            <w:tcW w:w="965" w:type="dxa"/>
            <w:tcBorders>
              <w:top w:val="nil"/>
              <w:left w:val="nil"/>
              <w:bottom w:val="nil"/>
              <w:right w:val="nil"/>
              <w:tl2br w:val="nil"/>
              <w:tr2bl w:val="nil"/>
            </w:tcBorders>
            <w:tcMar>
              <w:left w:w="60" w:type="dxa"/>
              <w:right w:w="60" w:type="dxa"/>
            </w:tcMar>
            <w:vAlign w:val="center"/>
          </w:tcPr>
          <w:p w14:paraId="7EAE36C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239</w:t>
            </w:r>
          </w:p>
        </w:tc>
        <w:tc>
          <w:tcPr>
            <w:tcW w:w="1061" w:type="dxa"/>
            <w:tcBorders>
              <w:top w:val="nil"/>
              <w:left w:val="nil"/>
              <w:bottom w:val="nil"/>
              <w:right w:val="nil"/>
              <w:tl2br w:val="nil"/>
              <w:tr2bl w:val="nil"/>
            </w:tcBorders>
            <w:tcMar>
              <w:left w:w="60" w:type="dxa"/>
              <w:right w:w="60" w:type="dxa"/>
            </w:tcMar>
            <w:vAlign w:val="center"/>
          </w:tcPr>
          <w:p w14:paraId="7C77866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503</w:t>
            </w:r>
          </w:p>
        </w:tc>
        <w:tc>
          <w:tcPr>
            <w:tcW w:w="965" w:type="dxa"/>
            <w:tcBorders>
              <w:top w:val="nil"/>
              <w:left w:val="nil"/>
              <w:bottom w:val="nil"/>
              <w:right w:val="nil"/>
              <w:tl2br w:val="nil"/>
              <w:tr2bl w:val="nil"/>
            </w:tcBorders>
            <w:tcMar>
              <w:left w:w="60" w:type="dxa"/>
              <w:right w:w="60" w:type="dxa"/>
            </w:tcMar>
            <w:vAlign w:val="center"/>
          </w:tcPr>
          <w:p w14:paraId="106C9DE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921</w:t>
            </w:r>
          </w:p>
        </w:tc>
        <w:tc>
          <w:tcPr>
            <w:tcW w:w="1089" w:type="dxa"/>
            <w:tcBorders>
              <w:top w:val="nil"/>
              <w:left w:val="nil"/>
              <w:bottom w:val="nil"/>
              <w:right w:val="nil"/>
              <w:tl2br w:val="nil"/>
              <w:tr2bl w:val="nil"/>
            </w:tcBorders>
            <w:tcMar>
              <w:left w:w="60" w:type="dxa"/>
              <w:right w:w="60" w:type="dxa"/>
            </w:tcMar>
            <w:vAlign w:val="center"/>
          </w:tcPr>
          <w:p w14:paraId="31F2511B"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4 089</w:t>
            </w:r>
          </w:p>
        </w:tc>
      </w:tr>
      <w:tr w:rsidR="00807FFE" w14:paraId="06ABE0F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A19CCBB"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AD00E6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Connecting Europe Facility (CEF) - Digital</w:t>
            </w:r>
          </w:p>
        </w:tc>
        <w:tc>
          <w:tcPr>
            <w:tcW w:w="965" w:type="dxa"/>
            <w:tcBorders>
              <w:top w:val="nil"/>
              <w:left w:val="nil"/>
              <w:bottom w:val="nil"/>
              <w:right w:val="nil"/>
              <w:tl2br w:val="nil"/>
              <w:tr2bl w:val="nil"/>
            </w:tcBorders>
            <w:tcMar>
              <w:left w:w="60" w:type="dxa"/>
              <w:right w:w="60" w:type="dxa"/>
            </w:tcMar>
            <w:vAlign w:val="center"/>
          </w:tcPr>
          <w:p w14:paraId="2AC66C6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1939681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4A5BD8F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409F003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2ED8870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965" w:type="dxa"/>
            <w:tcBorders>
              <w:top w:val="nil"/>
              <w:left w:val="nil"/>
              <w:bottom w:val="nil"/>
              <w:right w:val="nil"/>
              <w:tl2br w:val="nil"/>
              <w:tr2bl w:val="nil"/>
            </w:tcBorders>
            <w:tcMar>
              <w:left w:w="60" w:type="dxa"/>
              <w:right w:w="60" w:type="dxa"/>
            </w:tcMar>
            <w:vAlign w:val="center"/>
          </w:tcPr>
          <w:p w14:paraId="43C0650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131</w:t>
            </w:r>
          </w:p>
        </w:tc>
        <w:tc>
          <w:tcPr>
            <w:tcW w:w="965" w:type="dxa"/>
            <w:tcBorders>
              <w:top w:val="nil"/>
              <w:left w:val="nil"/>
              <w:bottom w:val="nil"/>
              <w:right w:val="nil"/>
              <w:tl2br w:val="nil"/>
              <w:tr2bl w:val="nil"/>
            </w:tcBorders>
            <w:tcMar>
              <w:left w:w="60" w:type="dxa"/>
              <w:right w:w="60" w:type="dxa"/>
            </w:tcMar>
            <w:vAlign w:val="center"/>
          </w:tcPr>
          <w:p w14:paraId="46F1208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176</w:t>
            </w:r>
          </w:p>
        </w:tc>
        <w:tc>
          <w:tcPr>
            <w:tcW w:w="1061" w:type="dxa"/>
            <w:tcBorders>
              <w:top w:val="nil"/>
              <w:left w:val="nil"/>
              <w:bottom w:val="nil"/>
              <w:right w:val="nil"/>
              <w:tl2br w:val="nil"/>
              <w:tr2bl w:val="nil"/>
            </w:tcBorders>
            <w:tcMar>
              <w:left w:w="60" w:type="dxa"/>
              <w:right w:w="60" w:type="dxa"/>
            </w:tcMar>
            <w:vAlign w:val="center"/>
          </w:tcPr>
          <w:p w14:paraId="2B78AF9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965" w:type="dxa"/>
            <w:tcBorders>
              <w:top w:val="nil"/>
              <w:left w:val="nil"/>
              <w:bottom w:val="nil"/>
              <w:right w:val="nil"/>
              <w:tl2br w:val="nil"/>
              <w:tr2bl w:val="nil"/>
            </w:tcBorders>
            <w:tcMar>
              <w:left w:w="60" w:type="dxa"/>
              <w:right w:w="60" w:type="dxa"/>
            </w:tcMar>
            <w:vAlign w:val="center"/>
          </w:tcPr>
          <w:p w14:paraId="4FF5B6B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174</w:t>
            </w:r>
          </w:p>
        </w:tc>
        <w:tc>
          <w:tcPr>
            <w:tcW w:w="1089" w:type="dxa"/>
            <w:tcBorders>
              <w:top w:val="nil"/>
              <w:left w:val="nil"/>
              <w:bottom w:val="nil"/>
              <w:right w:val="nil"/>
              <w:tl2br w:val="nil"/>
              <w:tr2bl w:val="nil"/>
            </w:tcBorders>
            <w:tcMar>
              <w:left w:w="60" w:type="dxa"/>
              <w:right w:w="60" w:type="dxa"/>
            </w:tcMar>
            <w:vAlign w:val="center"/>
          </w:tcPr>
          <w:p w14:paraId="2070139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610</w:t>
            </w:r>
          </w:p>
        </w:tc>
      </w:tr>
      <w:tr w:rsidR="00807FFE" w14:paraId="3A26111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AE2598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8910B79"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Digital Europe Programme</w:t>
            </w:r>
          </w:p>
        </w:tc>
        <w:tc>
          <w:tcPr>
            <w:tcW w:w="965" w:type="dxa"/>
            <w:tcBorders>
              <w:top w:val="nil"/>
              <w:left w:val="nil"/>
              <w:bottom w:val="nil"/>
              <w:right w:val="nil"/>
              <w:tl2br w:val="nil"/>
              <w:tr2bl w:val="nil"/>
            </w:tcBorders>
            <w:tcMar>
              <w:left w:w="60" w:type="dxa"/>
              <w:right w:w="60" w:type="dxa"/>
            </w:tcMar>
            <w:vAlign w:val="center"/>
          </w:tcPr>
          <w:p w14:paraId="5F71F7B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2395B1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D681D8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E41A94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3807A51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216</w:t>
            </w:r>
          </w:p>
        </w:tc>
        <w:tc>
          <w:tcPr>
            <w:tcW w:w="965" w:type="dxa"/>
            <w:tcBorders>
              <w:top w:val="nil"/>
              <w:left w:val="nil"/>
              <w:bottom w:val="nil"/>
              <w:right w:val="nil"/>
              <w:tl2br w:val="nil"/>
              <w:tr2bl w:val="nil"/>
            </w:tcBorders>
            <w:tcMar>
              <w:left w:w="60" w:type="dxa"/>
              <w:right w:w="60" w:type="dxa"/>
            </w:tcMar>
            <w:vAlign w:val="center"/>
          </w:tcPr>
          <w:p w14:paraId="18563CD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256</w:t>
            </w:r>
          </w:p>
        </w:tc>
        <w:tc>
          <w:tcPr>
            <w:tcW w:w="965" w:type="dxa"/>
            <w:tcBorders>
              <w:top w:val="nil"/>
              <w:left w:val="nil"/>
              <w:bottom w:val="nil"/>
              <w:right w:val="nil"/>
              <w:tl2br w:val="nil"/>
              <w:tr2bl w:val="nil"/>
            </w:tcBorders>
            <w:tcMar>
              <w:left w:w="60" w:type="dxa"/>
              <w:right w:w="60" w:type="dxa"/>
            </w:tcMar>
            <w:vAlign w:val="center"/>
          </w:tcPr>
          <w:p w14:paraId="3F693F9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307</w:t>
            </w:r>
          </w:p>
        </w:tc>
        <w:tc>
          <w:tcPr>
            <w:tcW w:w="1061" w:type="dxa"/>
            <w:tcBorders>
              <w:top w:val="nil"/>
              <w:left w:val="nil"/>
              <w:bottom w:val="nil"/>
              <w:right w:val="nil"/>
              <w:tl2br w:val="nil"/>
              <w:tr2bl w:val="nil"/>
            </w:tcBorders>
            <w:tcMar>
              <w:left w:w="60" w:type="dxa"/>
              <w:right w:w="60" w:type="dxa"/>
            </w:tcMar>
            <w:vAlign w:val="center"/>
          </w:tcPr>
          <w:p w14:paraId="43B8D61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686</w:t>
            </w:r>
          </w:p>
        </w:tc>
        <w:tc>
          <w:tcPr>
            <w:tcW w:w="965" w:type="dxa"/>
            <w:tcBorders>
              <w:top w:val="nil"/>
              <w:left w:val="nil"/>
              <w:bottom w:val="nil"/>
              <w:right w:val="nil"/>
              <w:tl2br w:val="nil"/>
              <w:tr2bl w:val="nil"/>
            </w:tcBorders>
            <w:tcMar>
              <w:left w:w="60" w:type="dxa"/>
              <w:right w:w="60" w:type="dxa"/>
            </w:tcMar>
            <w:vAlign w:val="center"/>
          </w:tcPr>
          <w:p w14:paraId="24F9716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940</w:t>
            </w:r>
          </w:p>
        </w:tc>
        <w:tc>
          <w:tcPr>
            <w:tcW w:w="1089" w:type="dxa"/>
            <w:tcBorders>
              <w:top w:val="nil"/>
              <w:left w:val="nil"/>
              <w:bottom w:val="nil"/>
              <w:right w:val="nil"/>
              <w:tl2br w:val="nil"/>
              <w:tr2bl w:val="nil"/>
            </w:tcBorders>
            <w:tcMar>
              <w:left w:w="60" w:type="dxa"/>
              <w:right w:w="60" w:type="dxa"/>
            </w:tcMar>
            <w:vAlign w:val="center"/>
          </w:tcPr>
          <w:p w14:paraId="1080D989"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2 405</w:t>
            </w:r>
          </w:p>
        </w:tc>
      </w:tr>
      <w:tr w:rsidR="00807FFE" w14:paraId="436448A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169B12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EBD5E2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31D1371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23A2C3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CBE234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55D101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E3F61B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09503D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FC074AB"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354894D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C8207D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1089" w:type="dxa"/>
            <w:tcBorders>
              <w:top w:val="nil"/>
              <w:left w:val="nil"/>
              <w:bottom w:val="nil"/>
              <w:right w:val="nil"/>
              <w:tl2br w:val="nil"/>
              <w:tr2bl w:val="nil"/>
            </w:tcBorders>
            <w:tcMar>
              <w:left w:w="60" w:type="dxa"/>
              <w:right w:w="60" w:type="dxa"/>
            </w:tcMar>
            <w:vAlign w:val="center"/>
          </w:tcPr>
          <w:p w14:paraId="6372BA5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36</w:t>
            </w:r>
          </w:p>
        </w:tc>
      </w:tr>
      <w:tr w:rsidR="00807FFE" w14:paraId="0B2D41A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9449B8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80EF729"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5" w:type="dxa"/>
            <w:tcBorders>
              <w:top w:val="nil"/>
              <w:left w:val="nil"/>
              <w:bottom w:val="nil"/>
              <w:right w:val="nil"/>
              <w:tl2br w:val="nil"/>
              <w:tr2bl w:val="nil"/>
            </w:tcBorders>
            <w:tcMar>
              <w:left w:w="60" w:type="dxa"/>
              <w:right w:w="60" w:type="dxa"/>
            </w:tcMar>
            <w:vAlign w:val="center"/>
          </w:tcPr>
          <w:p w14:paraId="512CC26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D2BA3F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E3E28C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1B013C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AF42BF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448493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42CFD8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14:paraId="4D06C8E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102</w:t>
            </w:r>
          </w:p>
        </w:tc>
        <w:tc>
          <w:tcPr>
            <w:tcW w:w="965" w:type="dxa"/>
            <w:tcBorders>
              <w:top w:val="nil"/>
              <w:left w:val="nil"/>
              <w:bottom w:val="nil"/>
              <w:right w:val="nil"/>
              <w:tl2br w:val="nil"/>
              <w:tr2bl w:val="nil"/>
            </w:tcBorders>
            <w:tcMar>
              <w:left w:w="60" w:type="dxa"/>
              <w:right w:w="60" w:type="dxa"/>
            </w:tcMar>
            <w:vAlign w:val="center"/>
          </w:tcPr>
          <w:p w14:paraId="1856543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14:paraId="42E94C9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113</w:t>
            </w:r>
          </w:p>
        </w:tc>
      </w:tr>
      <w:tr w:rsidR="00807FFE" w14:paraId="546399C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23CB85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E78306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73E4C61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A912E5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EAA7C9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0D79A7C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0F268D1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54FF27E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5BAAE1D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61" w:type="dxa"/>
            <w:tcBorders>
              <w:top w:val="nil"/>
              <w:left w:val="nil"/>
              <w:bottom w:val="nil"/>
              <w:right w:val="nil"/>
              <w:tl2br w:val="nil"/>
              <w:tr2bl w:val="nil"/>
            </w:tcBorders>
            <w:tcMar>
              <w:left w:w="60" w:type="dxa"/>
              <w:right w:w="60" w:type="dxa"/>
            </w:tcMar>
            <w:vAlign w:val="center"/>
          </w:tcPr>
          <w:p w14:paraId="45A7114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354DD92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89" w:type="dxa"/>
            <w:tcBorders>
              <w:top w:val="nil"/>
              <w:left w:val="nil"/>
              <w:bottom w:val="nil"/>
              <w:right w:val="nil"/>
              <w:tl2br w:val="nil"/>
              <w:tr2bl w:val="nil"/>
            </w:tcBorders>
            <w:tcMar>
              <w:left w:w="60" w:type="dxa"/>
              <w:right w:w="60" w:type="dxa"/>
            </w:tcMar>
            <w:vAlign w:val="center"/>
          </w:tcPr>
          <w:p w14:paraId="068FC41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22</w:t>
            </w:r>
          </w:p>
        </w:tc>
      </w:tr>
      <w:tr w:rsidR="00807FFE" w14:paraId="24567B6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C0F29D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CC48F3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5" w:type="dxa"/>
            <w:tcBorders>
              <w:top w:val="nil"/>
              <w:left w:val="nil"/>
              <w:bottom w:val="nil"/>
              <w:right w:val="nil"/>
              <w:tl2br w:val="nil"/>
              <w:tr2bl w:val="nil"/>
            </w:tcBorders>
            <w:tcMar>
              <w:left w:w="60" w:type="dxa"/>
              <w:right w:w="60" w:type="dxa"/>
            </w:tcMar>
            <w:vAlign w:val="center"/>
          </w:tcPr>
          <w:p w14:paraId="5BB8269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2ACA23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3D785B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E30F19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26B0949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5F41CFF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7AD4A99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14:paraId="4B7A3AA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14:paraId="2B27FE3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1089" w:type="dxa"/>
            <w:tcBorders>
              <w:top w:val="nil"/>
              <w:left w:val="nil"/>
              <w:bottom w:val="nil"/>
              <w:right w:val="nil"/>
              <w:tl2br w:val="nil"/>
              <w:tr2bl w:val="nil"/>
            </w:tcBorders>
            <w:tcMar>
              <w:left w:w="60" w:type="dxa"/>
              <w:right w:w="60" w:type="dxa"/>
            </w:tcMar>
            <w:vAlign w:val="center"/>
          </w:tcPr>
          <w:p w14:paraId="38515C80"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35</w:t>
            </w:r>
          </w:p>
        </w:tc>
      </w:tr>
      <w:tr w:rsidR="00807FFE" w14:paraId="4C8CBF3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4C8331F"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F5E01E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Single Market Programme (incl. SMEs)</w:t>
            </w:r>
          </w:p>
        </w:tc>
        <w:tc>
          <w:tcPr>
            <w:tcW w:w="965" w:type="dxa"/>
            <w:tcBorders>
              <w:top w:val="nil"/>
              <w:left w:val="nil"/>
              <w:bottom w:val="nil"/>
              <w:right w:val="nil"/>
              <w:tl2br w:val="nil"/>
              <w:tr2bl w:val="nil"/>
            </w:tcBorders>
            <w:tcMar>
              <w:left w:w="60" w:type="dxa"/>
              <w:right w:w="60" w:type="dxa"/>
            </w:tcMar>
            <w:vAlign w:val="center"/>
          </w:tcPr>
          <w:p w14:paraId="447BEC5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14:paraId="61275F6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3E841EC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965" w:type="dxa"/>
            <w:tcBorders>
              <w:top w:val="nil"/>
              <w:left w:val="nil"/>
              <w:bottom w:val="nil"/>
              <w:right w:val="nil"/>
              <w:tl2br w:val="nil"/>
              <w:tr2bl w:val="nil"/>
            </w:tcBorders>
            <w:tcMar>
              <w:left w:w="60" w:type="dxa"/>
              <w:right w:w="60" w:type="dxa"/>
            </w:tcMar>
            <w:vAlign w:val="center"/>
          </w:tcPr>
          <w:p w14:paraId="6D9CA34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965" w:type="dxa"/>
            <w:tcBorders>
              <w:top w:val="nil"/>
              <w:left w:val="nil"/>
              <w:bottom w:val="nil"/>
              <w:right w:val="nil"/>
              <w:tl2br w:val="nil"/>
              <w:tr2bl w:val="nil"/>
            </w:tcBorders>
            <w:tcMar>
              <w:left w:w="60" w:type="dxa"/>
              <w:right w:w="60" w:type="dxa"/>
            </w:tcMar>
            <w:vAlign w:val="center"/>
          </w:tcPr>
          <w:p w14:paraId="2D30105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14:paraId="27EEB84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965" w:type="dxa"/>
            <w:tcBorders>
              <w:top w:val="nil"/>
              <w:left w:val="nil"/>
              <w:bottom w:val="nil"/>
              <w:right w:val="nil"/>
              <w:tl2br w:val="nil"/>
              <w:tr2bl w:val="nil"/>
            </w:tcBorders>
            <w:tcMar>
              <w:left w:w="60" w:type="dxa"/>
              <w:right w:w="60" w:type="dxa"/>
            </w:tcMar>
            <w:vAlign w:val="center"/>
          </w:tcPr>
          <w:p w14:paraId="0C209F9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061" w:type="dxa"/>
            <w:tcBorders>
              <w:top w:val="nil"/>
              <w:left w:val="nil"/>
              <w:bottom w:val="nil"/>
              <w:right w:val="nil"/>
              <w:tl2br w:val="nil"/>
              <w:tr2bl w:val="nil"/>
            </w:tcBorders>
            <w:tcMar>
              <w:left w:w="60" w:type="dxa"/>
              <w:right w:w="60" w:type="dxa"/>
            </w:tcMar>
            <w:vAlign w:val="center"/>
          </w:tcPr>
          <w:p w14:paraId="5A9719E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965" w:type="dxa"/>
            <w:tcBorders>
              <w:top w:val="nil"/>
              <w:left w:val="nil"/>
              <w:bottom w:val="nil"/>
              <w:right w:val="nil"/>
              <w:tl2br w:val="nil"/>
              <w:tr2bl w:val="nil"/>
            </w:tcBorders>
            <w:tcMar>
              <w:left w:w="60" w:type="dxa"/>
              <w:right w:w="60" w:type="dxa"/>
            </w:tcMar>
            <w:vAlign w:val="center"/>
          </w:tcPr>
          <w:p w14:paraId="71C8A52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404</w:t>
            </w:r>
          </w:p>
        </w:tc>
        <w:tc>
          <w:tcPr>
            <w:tcW w:w="1089" w:type="dxa"/>
            <w:tcBorders>
              <w:top w:val="nil"/>
              <w:left w:val="nil"/>
              <w:bottom w:val="nil"/>
              <w:right w:val="nil"/>
              <w:tl2br w:val="nil"/>
              <w:tr2bl w:val="nil"/>
            </w:tcBorders>
            <w:tcMar>
              <w:left w:w="60" w:type="dxa"/>
              <w:right w:w="60" w:type="dxa"/>
            </w:tcMar>
            <w:vAlign w:val="center"/>
          </w:tcPr>
          <w:p w14:paraId="3974AFE5"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829</w:t>
            </w:r>
          </w:p>
        </w:tc>
      </w:tr>
      <w:tr w:rsidR="00807FFE" w14:paraId="64DA156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E91088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D00476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 Anti-Fraud Programme</w:t>
            </w:r>
          </w:p>
        </w:tc>
        <w:tc>
          <w:tcPr>
            <w:tcW w:w="965" w:type="dxa"/>
            <w:tcBorders>
              <w:top w:val="nil"/>
              <w:left w:val="nil"/>
              <w:bottom w:val="nil"/>
              <w:right w:val="nil"/>
              <w:tl2br w:val="nil"/>
              <w:tr2bl w:val="nil"/>
            </w:tcBorders>
            <w:tcMar>
              <w:left w:w="60" w:type="dxa"/>
              <w:right w:w="60" w:type="dxa"/>
            </w:tcMar>
            <w:vAlign w:val="center"/>
          </w:tcPr>
          <w:p w14:paraId="7EC034F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2EBE212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F09F0F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4B6EF95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7B6174B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64C7B46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5C617D8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14:paraId="231AA72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14:paraId="508A37B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089" w:type="dxa"/>
            <w:tcBorders>
              <w:top w:val="nil"/>
              <w:left w:val="nil"/>
              <w:bottom w:val="nil"/>
              <w:right w:val="nil"/>
              <w:tl2br w:val="nil"/>
              <w:tr2bl w:val="nil"/>
            </w:tcBorders>
            <w:tcMar>
              <w:left w:w="60" w:type="dxa"/>
              <w:right w:w="60" w:type="dxa"/>
            </w:tcMar>
            <w:vAlign w:val="center"/>
          </w:tcPr>
          <w:p w14:paraId="6189219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36</w:t>
            </w:r>
          </w:p>
        </w:tc>
      </w:tr>
      <w:tr w:rsidR="00807FFE" w14:paraId="4A13941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D73630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EAA411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Cooperation in the field of taxation (Fiscalis)</w:t>
            </w:r>
          </w:p>
        </w:tc>
        <w:tc>
          <w:tcPr>
            <w:tcW w:w="965" w:type="dxa"/>
            <w:tcBorders>
              <w:top w:val="nil"/>
              <w:left w:val="nil"/>
              <w:bottom w:val="nil"/>
              <w:right w:val="nil"/>
              <w:tl2br w:val="nil"/>
              <w:tr2bl w:val="nil"/>
            </w:tcBorders>
            <w:tcMar>
              <w:left w:w="60" w:type="dxa"/>
              <w:right w:w="60" w:type="dxa"/>
            </w:tcMar>
            <w:vAlign w:val="center"/>
          </w:tcPr>
          <w:p w14:paraId="148F980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3C8E0E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C68978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438A8DF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3575B1E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7F36849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698A86D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61" w:type="dxa"/>
            <w:tcBorders>
              <w:top w:val="nil"/>
              <w:left w:val="nil"/>
              <w:bottom w:val="nil"/>
              <w:right w:val="nil"/>
              <w:tl2br w:val="nil"/>
              <w:tr2bl w:val="nil"/>
            </w:tcBorders>
            <w:tcMar>
              <w:left w:w="60" w:type="dxa"/>
              <w:right w:w="60" w:type="dxa"/>
            </w:tcMar>
            <w:vAlign w:val="center"/>
          </w:tcPr>
          <w:p w14:paraId="026430F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58B6359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1089" w:type="dxa"/>
            <w:tcBorders>
              <w:top w:val="nil"/>
              <w:left w:val="nil"/>
              <w:bottom w:val="nil"/>
              <w:right w:val="nil"/>
              <w:tl2br w:val="nil"/>
              <w:tr2bl w:val="nil"/>
            </w:tcBorders>
            <w:tcMar>
              <w:left w:w="60" w:type="dxa"/>
              <w:right w:w="60" w:type="dxa"/>
            </w:tcMar>
            <w:vAlign w:val="center"/>
          </w:tcPr>
          <w:p w14:paraId="6131AF01"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73BDA17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C25820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5F97B6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Cooperation in the field of customs (Customs)</w:t>
            </w:r>
          </w:p>
        </w:tc>
        <w:tc>
          <w:tcPr>
            <w:tcW w:w="965" w:type="dxa"/>
            <w:tcBorders>
              <w:top w:val="nil"/>
              <w:left w:val="nil"/>
              <w:bottom w:val="nil"/>
              <w:right w:val="nil"/>
              <w:tl2br w:val="nil"/>
              <w:tr2bl w:val="nil"/>
            </w:tcBorders>
            <w:tcMar>
              <w:left w:w="60" w:type="dxa"/>
              <w:right w:w="60" w:type="dxa"/>
            </w:tcMar>
            <w:vAlign w:val="center"/>
          </w:tcPr>
          <w:p w14:paraId="7EFF7E1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A96608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601D8D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FE9442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2E7F93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7850684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3FBC651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1061" w:type="dxa"/>
            <w:tcBorders>
              <w:top w:val="nil"/>
              <w:left w:val="nil"/>
              <w:bottom w:val="nil"/>
              <w:right w:val="nil"/>
              <w:tl2br w:val="nil"/>
              <w:tr2bl w:val="nil"/>
            </w:tcBorders>
            <w:tcMar>
              <w:left w:w="60" w:type="dxa"/>
              <w:right w:w="60" w:type="dxa"/>
            </w:tcMar>
            <w:vAlign w:val="center"/>
          </w:tcPr>
          <w:p w14:paraId="397E4D4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965" w:type="dxa"/>
            <w:tcBorders>
              <w:top w:val="nil"/>
              <w:left w:val="nil"/>
              <w:bottom w:val="nil"/>
              <w:right w:val="nil"/>
              <w:tl2br w:val="nil"/>
              <w:tr2bl w:val="nil"/>
            </w:tcBorders>
            <w:tcMar>
              <w:left w:w="60" w:type="dxa"/>
              <w:right w:w="60" w:type="dxa"/>
            </w:tcMar>
            <w:vAlign w:val="center"/>
          </w:tcPr>
          <w:p w14:paraId="3D66E8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157</w:t>
            </w:r>
          </w:p>
        </w:tc>
        <w:tc>
          <w:tcPr>
            <w:tcW w:w="1089" w:type="dxa"/>
            <w:tcBorders>
              <w:top w:val="nil"/>
              <w:left w:val="nil"/>
              <w:bottom w:val="nil"/>
              <w:right w:val="nil"/>
              <w:tl2br w:val="nil"/>
              <w:tr2bl w:val="nil"/>
            </w:tcBorders>
            <w:tcMar>
              <w:left w:w="60" w:type="dxa"/>
              <w:right w:w="60" w:type="dxa"/>
            </w:tcMar>
            <w:vAlign w:val="center"/>
          </w:tcPr>
          <w:p w14:paraId="2FF20BDB"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203</w:t>
            </w:r>
          </w:p>
        </w:tc>
      </w:tr>
      <w:tr w:rsidR="00807FFE" w14:paraId="3CB2F31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CE8CC1E"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9EB6C0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779CD75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6FDC2F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02CD3D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2C7F11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B77ECB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2C13CF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A4D9033"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1CA1C9A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5C1BCF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14:paraId="747B63D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7A193CF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824C97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650D93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5" w:type="dxa"/>
            <w:tcBorders>
              <w:top w:val="nil"/>
              <w:left w:val="nil"/>
              <w:bottom w:val="nil"/>
              <w:right w:val="nil"/>
              <w:tl2br w:val="nil"/>
              <w:tr2bl w:val="nil"/>
            </w:tcBorders>
            <w:tcMar>
              <w:left w:w="60" w:type="dxa"/>
              <w:right w:w="60" w:type="dxa"/>
            </w:tcMar>
            <w:vAlign w:val="center"/>
          </w:tcPr>
          <w:p w14:paraId="16A981F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FEBFE7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B8D8F8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0C8947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9F3C82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2852923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2BFAF6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0EB8EC7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75385B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14:paraId="0A3DA615"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7ABDDAB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54562B8"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1E8F84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218A521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27B944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9F3EE1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E01A5B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03F7AF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E5DC1A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3DDC098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14:paraId="3D66474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14:paraId="17CA24D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089" w:type="dxa"/>
            <w:tcBorders>
              <w:top w:val="nil"/>
              <w:left w:val="nil"/>
              <w:bottom w:val="nil"/>
              <w:right w:val="nil"/>
              <w:tl2br w:val="nil"/>
              <w:tr2bl w:val="nil"/>
            </w:tcBorders>
            <w:tcMar>
              <w:left w:w="60" w:type="dxa"/>
              <w:right w:w="60" w:type="dxa"/>
            </w:tcMar>
            <w:vAlign w:val="center"/>
          </w:tcPr>
          <w:p w14:paraId="40F4646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27</w:t>
            </w:r>
          </w:p>
        </w:tc>
      </w:tr>
      <w:tr w:rsidR="00807FFE" w14:paraId="32EE268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07CFAB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5AA528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Space Programme</w:t>
            </w:r>
          </w:p>
        </w:tc>
        <w:tc>
          <w:tcPr>
            <w:tcW w:w="965" w:type="dxa"/>
            <w:tcBorders>
              <w:top w:val="nil"/>
              <w:left w:val="nil"/>
              <w:bottom w:val="nil"/>
              <w:right w:val="nil"/>
              <w:tl2br w:val="nil"/>
              <w:tr2bl w:val="nil"/>
            </w:tcBorders>
            <w:tcMar>
              <w:left w:w="60" w:type="dxa"/>
              <w:right w:w="60" w:type="dxa"/>
            </w:tcMar>
            <w:vAlign w:val="center"/>
          </w:tcPr>
          <w:p w14:paraId="622C28E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53292FE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E1FADE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505F29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14:paraId="6DC7B7F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14:paraId="21EA505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14:paraId="35199F2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84</w:t>
            </w:r>
          </w:p>
        </w:tc>
        <w:tc>
          <w:tcPr>
            <w:tcW w:w="1061" w:type="dxa"/>
            <w:tcBorders>
              <w:top w:val="nil"/>
              <w:left w:val="nil"/>
              <w:bottom w:val="nil"/>
              <w:right w:val="nil"/>
              <w:tl2br w:val="nil"/>
              <w:tr2bl w:val="nil"/>
            </w:tcBorders>
            <w:tcMar>
              <w:left w:w="60" w:type="dxa"/>
              <w:right w:w="60" w:type="dxa"/>
            </w:tcMar>
            <w:vAlign w:val="center"/>
          </w:tcPr>
          <w:p w14:paraId="32FC85A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708</w:t>
            </w:r>
          </w:p>
        </w:tc>
        <w:tc>
          <w:tcPr>
            <w:tcW w:w="965" w:type="dxa"/>
            <w:tcBorders>
              <w:top w:val="nil"/>
              <w:left w:val="nil"/>
              <w:bottom w:val="nil"/>
              <w:right w:val="nil"/>
              <w:tl2br w:val="nil"/>
              <w:tr2bl w:val="nil"/>
            </w:tcBorders>
            <w:tcMar>
              <w:left w:w="60" w:type="dxa"/>
              <w:right w:w="60" w:type="dxa"/>
            </w:tcMar>
            <w:vAlign w:val="center"/>
          </w:tcPr>
          <w:p w14:paraId="1CA0E8C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927</w:t>
            </w:r>
          </w:p>
        </w:tc>
        <w:tc>
          <w:tcPr>
            <w:tcW w:w="1089" w:type="dxa"/>
            <w:tcBorders>
              <w:top w:val="nil"/>
              <w:left w:val="nil"/>
              <w:bottom w:val="nil"/>
              <w:right w:val="nil"/>
              <w:tl2br w:val="nil"/>
              <w:tr2bl w:val="nil"/>
            </w:tcBorders>
            <w:tcMar>
              <w:left w:w="60" w:type="dxa"/>
              <w:right w:w="60" w:type="dxa"/>
            </w:tcMar>
            <w:vAlign w:val="center"/>
          </w:tcPr>
          <w:p w14:paraId="640F1D91"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1 795</w:t>
            </w:r>
          </w:p>
        </w:tc>
      </w:tr>
      <w:tr w:rsidR="00807FFE" w14:paraId="6968C12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548131A"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911D06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6B74879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082579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367FED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7A98CF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E911B4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FCF18F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6FE078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5A73EF0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CA4EA3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089" w:type="dxa"/>
            <w:tcBorders>
              <w:top w:val="nil"/>
              <w:left w:val="nil"/>
              <w:bottom w:val="nil"/>
              <w:right w:val="nil"/>
              <w:tl2br w:val="nil"/>
              <w:tr2bl w:val="nil"/>
            </w:tcBorders>
            <w:tcMar>
              <w:left w:w="60" w:type="dxa"/>
              <w:right w:w="60" w:type="dxa"/>
            </w:tcMar>
            <w:vAlign w:val="center"/>
          </w:tcPr>
          <w:p w14:paraId="4DB9BBD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w:t>
            </w:r>
          </w:p>
        </w:tc>
      </w:tr>
      <w:tr w:rsidR="00807FFE" w14:paraId="6648AA0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2C629DD"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740EE6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5107E89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772177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EFBBFD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AFBAC7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41439C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6F889D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7CDBABA"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3A814A7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14:paraId="0D116E8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1089" w:type="dxa"/>
            <w:tcBorders>
              <w:top w:val="nil"/>
              <w:left w:val="nil"/>
              <w:bottom w:val="nil"/>
              <w:right w:val="nil"/>
              <w:tl2br w:val="nil"/>
              <w:tr2bl w:val="nil"/>
            </w:tcBorders>
            <w:tcMar>
              <w:left w:w="60" w:type="dxa"/>
              <w:right w:w="60" w:type="dxa"/>
            </w:tcMar>
            <w:vAlign w:val="center"/>
          </w:tcPr>
          <w:p w14:paraId="70C8E6B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56</w:t>
            </w:r>
          </w:p>
        </w:tc>
      </w:tr>
      <w:tr w:rsidR="00807FFE" w14:paraId="532B362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CAF2EB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79F5B4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965" w:type="dxa"/>
            <w:tcBorders>
              <w:top w:val="nil"/>
              <w:left w:val="nil"/>
              <w:bottom w:val="nil"/>
              <w:right w:val="nil"/>
              <w:tl2br w:val="nil"/>
              <w:tr2bl w:val="nil"/>
            </w:tcBorders>
            <w:tcMar>
              <w:left w:w="60" w:type="dxa"/>
              <w:right w:w="60" w:type="dxa"/>
            </w:tcMar>
            <w:vAlign w:val="center"/>
          </w:tcPr>
          <w:p w14:paraId="777E5D6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5D14C3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965F57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7865FA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9111EF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0DE405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9569261"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093A987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7F7BF3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191</w:t>
            </w:r>
          </w:p>
        </w:tc>
        <w:tc>
          <w:tcPr>
            <w:tcW w:w="1089" w:type="dxa"/>
            <w:tcBorders>
              <w:top w:val="nil"/>
              <w:left w:val="nil"/>
              <w:bottom w:val="nil"/>
              <w:right w:val="nil"/>
              <w:tl2br w:val="nil"/>
              <w:tr2bl w:val="nil"/>
            </w:tcBorders>
            <w:tcMar>
              <w:left w:w="60" w:type="dxa"/>
              <w:right w:w="60" w:type="dxa"/>
            </w:tcMar>
            <w:vAlign w:val="center"/>
          </w:tcPr>
          <w:p w14:paraId="666F340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191</w:t>
            </w:r>
          </w:p>
        </w:tc>
      </w:tr>
      <w:tr w:rsidR="00807FFE" w14:paraId="532E3466"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3BCA231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54B0A21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1: Single Market, Innovation and Digital</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7470E7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617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C01E6D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411</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00154C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1 430</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E1EBA4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2 551</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BDDEB8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2 771</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BA22FF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4 555</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0816722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6 282</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60269CE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15 261</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45D6BF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19 315</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4F03786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53 194</w:t>
            </w:r>
          </w:p>
        </w:tc>
      </w:tr>
      <w:tr w:rsidR="00807FFE" w14:paraId="40F6141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E9CFD0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7A2E1EF"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EC26E1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406EB4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87E05F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5B7035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908B03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D5D3F5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D53D521"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24243BB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D1498F4"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3A3C9392"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2FA1D68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B6D9E3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2</w:t>
            </w:r>
          </w:p>
        </w:tc>
        <w:tc>
          <w:tcPr>
            <w:tcW w:w="4478" w:type="dxa"/>
            <w:tcBorders>
              <w:top w:val="nil"/>
              <w:left w:val="nil"/>
              <w:bottom w:val="nil"/>
              <w:right w:val="nil"/>
              <w:tl2br w:val="nil"/>
              <w:tr2bl w:val="nil"/>
            </w:tcBorders>
            <w:tcMar>
              <w:left w:w="60" w:type="dxa"/>
              <w:right w:w="60" w:type="dxa"/>
            </w:tcMar>
            <w:vAlign w:val="center"/>
          </w:tcPr>
          <w:p w14:paraId="775B27A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Regional Development Fund (ERDF)</w:t>
            </w:r>
          </w:p>
        </w:tc>
        <w:tc>
          <w:tcPr>
            <w:tcW w:w="965" w:type="dxa"/>
            <w:tcBorders>
              <w:top w:val="nil"/>
              <w:left w:val="nil"/>
              <w:bottom w:val="nil"/>
              <w:right w:val="nil"/>
              <w:tl2br w:val="nil"/>
              <w:tr2bl w:val="nil"/>
            </w:tcBorders>
            <w:tcMar>
              <w:left w:w="60" w:type="dxa"/>
              <w:right w:w="60" w:type="dxa"/>
            </w:tcMar>
            <w:vAlign w:val="center"/>
          </w:tcPr>
          <w:p w14:paraId="7F0D07A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555</w:t>
            </w:r>
          </w:p>
        </w:tc>
        <w:tc>
          <w:tcPr>
            <w:tcW w:w="965" w:type="dxa"/>
            <w:tcBorders>
              <w:top w:val="nil"/>
              <w:left w:val="nil"/>
              <w:bottom w:val="nil"/>
              <w:right w:val="nil"/>
              <w:tl2br w:val="nil"/>
              <w:tr2bl w:val="nil"/>
            </w:tcBorders>
            <w:tcMar>
              <w:left w:w="60" w:type="dxa"/>
              <w:right w:w="60" w:type="dxa"/>
            </w:tcMar>
            <w:vAlign w:val="center"/>
          </w:tcPr>
          <w:p w14:paraId="31ECB27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14:paraId="6088779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14:paraId="6E60EAA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965" w:type="dxa"/>
            <w:tcBorders>
              <w:top w:val="nil"/>
              <w:left w:val="nil"/>
              <w:bottom w:val="nil"/>
              <w:right w:val="nil"/>
              <w:tl2br w:val="nil"/>
              <w:tr2bl w:val="nil"/>
            </w:tcBorders>
            <w:tcMar>
              <w:left w:w="60" w:type="dxa"/>
              <w:right w:w="60" w:type="dxa"/>
            </w:tcMar>
            <w:vAlign w:val="center"/>
          </w:tcPr>
          <w:p w14:paraId="171783E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14:paraId="7C2C106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7 780</w:t>
            </w:r>
          </w:p>
        </w:tc>
        <w:tc>
          <w:tcPr>
            <w:tcW w:w="965" w:type="dxa"/>
            <w:tcBorders>
              <w:top w:val="nil"/>
              <w:left w:val="nil"/>
              <w:bottom w:val="nil"/>
              <w:right w:val="nil"/>
              <w:tl2br w:val="nil"/>
              <w:tr2bl w:val="nil"/>
            </w:tcBorders>
            <w:tcMar>
              <w:left w:w="60" w:type="dxa"/>
              <w:right w:w="60" w:type="dxa"/>
            </w:tcMar>
            <w:vAlign w:val="center"/>
          </w:tcPr>
          <w:p w14:paraId="417E374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32 908</w:t>
            </w:r>
          </w:p>
        </w:tc>
        <w:tc>
          <w:tcPr>
            <w:tcW w:w="1061" w:type="dxa"/>
            <w:tcBorders>
              <w:top w:val="nil"/>
              <w:left w:val="nil"/>
              <w:bottom w:val="nil"/>
              <w:right w:val="nil"/>
              <w:tl2br w:val="nil"/>
              <w:tr2bl w:val="nil"/>
            </w:tcBorders>
            <w:tcMar>
              <w:left w:w="60" w:type="dxa"/>
              <w:right w:w="60" w:type="dxa"/>
            </w:tcMar>
            <w:vAlign w:val="center"/>
          </w:tcPr>
          <w:p w14:paraId="221C76C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41 050</w:t>
            </w:r>
          </w:p>
        </w:tc>
        <w:tc>
          <w:tcPr>
            <w:tcW w:w="965" w:type="dxa"/>
            <w:tcBorders>
              <w:top w:val="nil"/>
              <w:left w:val="nil"/>
              <w:bottom w:val="nil"/>
              <w:right w:val="nil"/>
              <w:tl2br w:val="nil"/>
              <w:tr2bl w:val="nil"/>
            </w:tcBorders>
            <w:tcMar>
              <w:left w:w="60" w:type="dxa"/>
              <w:right w:w="60" w:type="dxa"/>
            </w:tcMar>
            <w:vAlign w:val="center"/>
          </w:tcPr>
          <w:p w14:paraId="3905F9D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39 805</w:t>
            </w:r>
          </w:p>
        </w:tc>
        <w:tc>
          <w:tcPr>
            <w:tcW w:w="1089" w:type="dxa"/>
            <w:tcBorders>
              <w:top w:val="nil"/>
              <w:left w:val="nil"/>
              <w:bottom w:val="nil"/>
              <w:right w:val="nil"/>
              <w:tl2br w:val="nil"/>
              <w:tr2bl w:val="nil"/>
            </w:tcBorders>
            <w:tcMar>
              <w:left w:w="60" w:type="dxa"/>
              <w:right w:w="60" w:type="dxa"/>
            </w:tcMar>
            <w:vAlign w:val="center"/>
          </w:tcPr>
          <w:p w14:paraId="354EEB3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122 222</w:t>
            </w:r>
          </w:p>
        </w:tc>
      </w:tr>
      <w:tr w:rsidR="00807FFE" w14:paraId="1D3930A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EB09C9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8741DA2"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Cohesion Fund (CF)</w:t>
            </w:r>
          </w:p>
        </w:tc>
        <w:tc>
          <w:tcPr>
            <w:tcW w:w="965" w:type="dxa"/>
            <w:tcBorders>
              <w:top w:val="nil"/>
              <w:left w:val="nil"/>
              <w:bottom w:val="nil"/>
              <w:right w:val="nil"/>
              <w:tl2br w:val="nil"/>
              <w:tr2bl w:val="nil"/>
            </w:tcBorders>
            <w:tcMar>
              <w:left w:w="60" w:type="dxa"/>
              <w:right w:w="60" w:type="dxa"/>
            </w:tcMar>
            <w:vAlign w:val="center"/>
          </w:tcPr>
          <w:p w14:paraId="69A17C2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84</w:t>
            </w:r>
          </w:p>
        </w:tc>
        <w:tc>
          <w:tcPr>
            <w:tcW w:w="965" w:type="dxa"/>
            <w:tcBorders>
              <w:top w:val="nil"/>
              <w:left w:val="nil"/>
              <w:bottom w:val="nil"/>
              <w:right w:val="nil"/>
              <w:tl2br w:val="nil"/>
              <w:tr2bl w:val="nil"/>
            </w:tcBorders>
            <w:tcMar>
              <w:left w:w="60" w:type="dxa"/>
              <w:right w:w="60" w:type="dxa"/>
            </w:tcMar>
            <w:vAlign w:val="center"/>
          </w:tcPr>
          <w:p w14:paraId="73240B9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48DDF85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68C58D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51396EB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3598CA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376</w:t>
            </w:r>
          </w:p>
        </w:tc>
        <w:tc>
          <w:tcPr>
            <w:tcW w:w="965" w:type="dxa"/>
            <w:tcBorders>
              <w:top w:val="nil"/>
              <w:left w:val="nil"/>
              <w:bottom w:val="nil"/>
              <w:right w:val="nil"/>
              <w:tl2br w:val="nil"/>
              <w:tr2bl w:val="nil"/>
            </w:tcBorders>
            <w:tcMar>
              <w:left w:w="60" w:type="dxa"/>
              <w:right w:w="60" w:type="dxa"/>
            </w:tcMar>
            <w:vAlign w:val="center"/>
          </w:tcPr>
          <w:p w14:paraId="3D755CD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3 963</w:t>
            </w:r>
          </w:p>
        </w:tc>
        <w:tc>
          <w:tcPr>
            <w:tcW w:w="1061" w:type="dxa"/>
            <w:tcBorders>
              <w:top w:val="nil"/>
              <w:left w:val="nil"/>
              <w:bottom w:val="nil"/>
              <w:right w:val="nil"/>
              <w:tl2br w:val="nil"/>
              <w:tr2bl w:val="nil"/>
            </w:tcBorders>
            <w:tcMar>
              <w:left w:w="60" w:type="dxa"/>
              <w:right w:w="60" w:type="dxa"/>
            </w:tcMar>
            <w:vAlign w:val="center"/>
          </w:tcPr>
          <w:p w14:paraId="5A76DE0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6 038</w:t>
            </w:r>
          </w:p>
        </w:tc>
        <w:tc>
          <w:tcPr>
            <w:tcW w:w="965" w:type="dxa"/>
            <w:tcBorders>
              <w:top w:val="nil"/>
              <w:left w:val="nil"/>
              <w:bottom w:val="nil"/>
              <w:right w:val="nil"/>
              <w:tl2br w:val="nil"/>
              <w:tr2bl w:val="nil"/>
            </w:tcBorders>
            <w:tcMar>
              <w:left w:w="60" w:type="dxa"/>
              <w:right w:w="60" w:type="dxa"/>
            </w:tcMar>
            <w:vAlign w:val="center"/>
          </w:tcPr>
          <w:p w14:paraId="1D31529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7 031</w:t>
            </w:r>
          </w:p>
        </w:tc>
        <w:tc>
          <w:tcPr>
            <w:tcW w:w="1089" w:type="dxa"/>
            <w:tcBorders>
              <w:top w:val="nil"/>
              <w:left w:val="nil"/>
              <w:bottom w:val="nil"/>
              <w:right w:val="nil"/>
              <w:tl2br w:val="nil"/>
              <w:tr2bl w:val="nil"/>
            </w:tcBorders>
            <w:tcMar>
              <w:left w:w="60" w:type="dxa"/>
              <w:right w:w="60" w:type="dxa"/>
            </w:tcMar>
            <w:vAlign w:val="center"/>
          </w:tcPr>
          <w:p w14:paraId="08396736"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17 491</w:t>
            </w:r>
          </w:p>
        </w:tc>
      </w:tr>
      <w:tr w:rsidR="00807FFE" w14:paraId="46D93AD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60B31D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6838BB2"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Cohesion Fund (CF), contribution to the Connecting Europe Facility (CEF) - Transport</w:t>
            </w:r>
          </w:p>
        </w:tc>
        <w:tc>
          <w:tcPr>
            <w:tcW w:w="965" w:type="dxa"/>
            <w:tcBorders>
              <w:top w:val="nil"/>
              <w:left w:val="nil"/>
              <w:bottom w:val="nil"/>
              <w:right w:val="nil"/>
              <w:tl2br w:val="nil"/>
              <w:tr2bl w:val="nil"/>
            </w:tcBorders>
            <w:tcMar>
              <w:left w:w="60" w:type="dxa"/>
              <w:right w:w="60" w:type="dxa"/>
            </w:tcMar>
            <w:vAlign w:val="center"/>
          </w:tcPr>
          <w:p w14:paraId="5F932B4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440</w:t>
            </w:r>
          </w:p>
        </w:tc>
        <w:tc>
          <w:tcPr>
            <w:tcW w:w="965" w:type="dxa"/>
            <w:tcBorders>
              <w:top w:val="nil"/>
              <w:left w:val="nil"/>
              <w:bottom w:val="nil"/>
              <w:right w:val="nil"/>
              <w:tl2br w:val="nil"/>
              <w:tr2bl w:val="nil"/>
            </w:tcBorders>
            <w:tcMar>
              <w:left w:w="60" w:type="dxa"/>
              <w:right w:w="60" w:type="dxa"/>
            </w:tcMar>
            <w:vAlign w:val="center"/>
          </w:tcPr>
          <w:p w14:paraId="2BEFB65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209</w:t>
            </w:r>
          </w:p>
        </w:tc>
        <w:tc>
          <w:tcPr>
            <w:tcW w:w="965" w:type="dxa"/>
            <w:tcBorders>
              <w:top w:val="nil"/>
              <w:left w:val="nil"/>
              <w:bottom w:val="nil"/>
              <w:right w:val="nil"/>
              <w:tl2br w:val="nil"/>
              <w:tr2bl w:val="nil"/>
            </w:tcBorders>
            <w:tcMar>
              <w:left w:w="60" w:type="dxa"/>
              <w:right w:w="60" w:type="dxa"/>
            </w:tcMar>
            <w:vAlign w:val="center"/>
          </w:tcPr>
          <w:p w14:paraId="2633950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481</w:t>
            </w:r>
          </w:p>
        </w:tc>
        <w:tc>
          <w:tcPr>
            <w:tcW w:w="965" w:type="dxa"/>
            <w:tcBorders>
              <w:top w:val="nil"/>
              <w:left w:val="nil"/>
              <w:bottom w:val="nil"/>
              <w:right w:val="nil"/>
              <w:tl2br w:val="nil"/>
              <w:tr2bl w:val="nil"/>
            </w:tcBorders>
            <w:tcMar>
              <w:left w:w="60" w:type="dxa"/>
              <w:right w:w="60" w:type="dxa"/>
            </w:tcMar>
            <w:vAlign w:val="center"/>
          </w:tcPr>
          <w:p w14:paraId="23EA055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876</w:t>
            </w:r>
          </w:p>
        </w:tc>
        <w:tc>
          <w:tcPr>
            <w:tcW w:w="965" w:type="dxa"/>
            <w:tcBorders>
              <w:top w:val="nil"/>
              <w:left w:val="nil"/>
              <w:bottom w:val="nil"/>
              <w:right w:val="nil"/>
              <w:tl2br w:val="nil"/>
              <w:tr2bl w:val="nil"/>
            </w:tcBorders>
            <w:tcMar>
              <w:left w:w="60" w:type="dxa"/>
              <w:right w:w="60" w:type="dxa"/>
            </w:tcMar>
            <w:vAlign w:val="center"/>
          </w:tcPr>
          <w:p w14:paraId="63DAB5F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449</w:t>
            </w:r>
          </w:p>
        </w:tc>
        <w:tc>
          <w:tcPr>
            <w:tcW w:w="965" w:type="dxa"/>
            <w:tcBorders>
              <w:top w:val="nil"/>
              <w:left w:val="nil"/>
              <w:bottom w:val="nil"/>
              <w:right w:val="nil"/>
              <w:tl2br w:val="nil"/>
              <w:tr2bl w:val="nil"/>
            </w:tcBorders>
            <w:tcMar>
              <w:left w:w="60" w:type="dxa"/>
              <w:right w:w="60" w:type="dxa"/>
            </w:tcMar>
            <w:vAlign w:val="center"/>
          </w:tcPr>
          <w:p w14:paraId="5884824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344</w:t>
            </w:r>
          </w:p>
        </w:tc>
        <w:tc>
          <w:tcPr>
            <w:tcW w:w="965" w:type="dxa"/>
            <w:tcBorders>
              <w:top w:val="nil"/>
              <w:left w:val="nil"/>
              <w:bottom w:val="nil"/>
              <w:right w:val="nil"/>
              <w:tl2br w:val="nil"/>
              <w:tr2bl w:val="nil"/>
            </w:tcBorders>
            <w:tcMar>
              <w:left w:w="60" w:type="dxa"/>
              <w:right w:w="60" w:type="dxa"/>
            </w:tcMar>
            <w:vAlign w:val="center"/>
          </w:tcPr>
          <w:p w14:paraId="6E86AFB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330</w:t>
            </w:r>
          </w:p>
        </w:tc>
        <w:tc>
          <w:tcPr>
            <w:tcW w:w="1061" w:type="dxa"/>
            <w:tcBorders>
              <w:top w:val="nil"/>
              <w:left w:val="nil"/>
              <w:bottom w:val="nil"/>
              <w:right w:val="nil"/>
              <w:tl2br w:val="nil"/>
              <w:tr2bl w:val="nil"/>
            </w:tcBorders>
            <w:tcMar>
              <w:left w:w="60" w:type="dxa"/>
              <w:right w:w="60" w:type="dxa"/>
            </w:tcMar>
            <w:vAlign w:val="center"/>
          </w:tcPr>
          <w:p w14:paraId="400EE13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916</w:t>
            </w:r>
          </w:p>
        </w:tc>
        <w:tc>
          <w:tcPr>
            <w:tcW w:w="965" w:type="dxa"/>
            <w:tcBorders>
              <w:top w:val="nil"/>
              <w:left w:val="nil"/>
              <w:bottom w:val="nil"/>
              <w:right w:val="nil"/>
              <w:tl2br w:val="nil"/>
              <w:tr2bl w:val="nil"/>
            </w:tcBorders>
            <w:tcMar>
              <w:left w:w="60" w:type="dxa"/>
              <w:right w:w="60" w:type="dxa"/>
            </w:tcMar>
            <w:vAlign w:val="center"/>
          </w:tcPr>
          <w:p w14:paraId="15E37CA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1 655</w:t>
            </w:r>
          </w:p>
        </w:tc>
        <w:tc>
          <w:tcPr>
            <w:tcW w:w="1089" w:type="dxa"/>
            <w:tcBorders>
              <w:top w:val="nil"/>
              <w:left w:val="nil"/>
              <w:bottom w:val="nil"/>
              <w:right w:val="nil"/>
              <w:tl2br w:val="nil"/>
              <w:tr2bl w:val="nil"/>
            </w:tcBorders>
            <w:tcMar>
              <w:left w:w="60" w:type="dxa"/>
              <w:right w:w="60" w:type="dxa"/>
            </w:tcMar>
            <w:vAlign w:val="center"/>
          </w:tcPr>
          <w:p w14:paraId="53322C45"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5 700</w:t>
            </w:r>
          </w:p>
        </w:tc>
      </w:tr>
      <w:tr w:rsidR="00807FFE" w14:paraId="1F0FE72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6B339E7"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4C106B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2C2AA1D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A8FCAE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967441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9AD5B9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5A9E785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0C7C1B1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1029227F"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151D186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183D54E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89" w:type="dxa"/>
            <w:tcBorders>
              <w:top w:val="nil"/>
              <w:left w:val="nil"/>
              <w:bottom w:val="nil"/>
              <w:right w:val="nil"/>
              <w:tl2br w:val="nil"/>
              <w:tr2bl w:val="nil"/>
            </w:tcBorders>
            <w:tcMar>
              <w:left w:w="60" w:type="dxa"/>
              <w:right w:w="60" w:type="dxa"/>
            </w:tcMar>
            <w:vAlign w:val="center"/>
          </w:tcPr>
          <w:p w14:paraId="03EFBC1A"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w:t>
            </w:r>
          </w:p>
        </w:tc>
      </w:tr>
      <w:tr w:rsidR="00807FFE" w14:paraId="0E0414B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0243F87"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9A5EEE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Social Fund Plus (ESF+)</w:t>
            </w:r>
          </w:p>
        </w:tc>
        <w:tc>
          <w:tcPr>
            <w:tcW w:w="965" w:type="dxa"/>
            <w:tcBorders>
              <w:top w:val="nil"/>
              <w:left w:val="nil"/>
              <w:bottom w:val="nil"/>
              <w:right w:val="nil"/>
              <w:tl2br w:val="nil"/>
              <w:tr2bl w:val="nil"/>
            </w:tcBorders>
            <w:tcMar>
              <w:left w:w="60" w:type="dxa"/>
              <w:right w:w="60" w:type="dxa"/>
            </w:tcMar>
            <w:vAlign w:val="center"/>
          </w:tcPr>
          <w:p w14:paraId="7DCA7A4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274</w:t>
            </w:r>
          </w:p>
        </w:tc>
        <w:tc>
          <w:tcPr>
            <w:tcW w:w="965" w:type="dxa"/>
            <w:tcBorders>
              <w:top w:val="nil"/>
              <w:left w:val="nil"/>
              <w:bottom w:val="nil"/>
              <w:right w:val="nil"/>
              <w:tl2br w:val="nil"/>
              <w:tr2bl w:val="nil"/>
            </w:tcBorders>
            <w:tcMar>
              <w:left w:w="60" w:type="dxa"/>
              <w:right w:w="60" w:type="dxa"/>
            </w:tcMar>
            <w:vAlign w:val="center"/>
          </w:tcPr>
          <w:p w14:paraId="5BC2647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4B940AC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14:paraId="096D87C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14:paraId="49FF765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686C1AF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4 669</w:t>
            </w:r>
          </w:p>
        </w:tc>
        <w:tc>
          <w:tcPr>
            <w:tcW w:w="965" w:type="dxa"/>
            <w:tcBorders>
              <w:top w:val="nil"/>
              <w:left w:val="nil"/>
              <w:bottom w:val="nil"/>
              <w:right w:val="nil"/>
              <w:tl2br w:val="nil"/>
              <w:tr2bl w:val="nil"/>
            </w:tcBorders>
            <w:tcMar>
              <w:left w:w="60" w:type="dxa"/>
              <w:right w:w="60" w:type="dxa"/>
            </w:tcMar>
            <w:vAlign w:val="center"/>
          </w:tcPr>
          <w:p w14:paraId="1654098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14 090</w:t>
            </w:r>
          </w:p>
        </w:tc>
        <w:tc>
          <w:tcPr>
            <w:tcW w:w="1061" w:type="dxa"/>
            <w:tcBorders>
              <w:top w:val="nil"/>
              <w:left w:val="nil"/>
              <w:bottom w:val="nil"/>
              <w:right w:val="nil"/>
              <w:tl2br w:val="nil"/>
              <w:tr2bl w:val="nil"/>
            </w:tcBorders>
            <w:tcMar>
              <w:left w:w="60" w:type="dxa"/>
              <w:right w:w="60" w:type="dxa"/>
            </w:tcMar>
            <w:vAlign w:val="center"/>
          </w:tcPr>
          <w:p w14:paraId="30FEE4B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17 871</w:t>
            </w:r>
          </w:p>
        </w:tc>
        <w:tc>
          <w:tcPr>
            <w:tcW w:w="965" w:type="dxa"/>
            <w:tcBorders>
              <w:top w:val="nil"/>
              <w:left w:val="nil"/>
              <w:bottom w:val="nil"/>
              <w:right w:val="nil"/>
              <w:tl2br w:val="nil"/>
              <w:tr2bl w:val="nil"/>
            </w:tcBorders>
            <w:tcMar>
              <w:left w:w="60" w:type="dxa"/>
              <w:right w:w="60" w:type="dxa"/>
            </w:tcMar>
            <w:vAlign w:val="center"/>
          </w:tcPr>
          <w:p w14:paraId="3D99752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17 171</w:t>
            </w:r>
          </w:p>
        </w:tc>
        <w:tc>
          <w:tcPr>
            <w:tcW w:w="1089" w:type="dxa"/>
            <w:tcBorders>
              <w:top w:val="nil"/>
              <w:left w:val="nil"/>
              <w:bottom w:val="nil"/>
              <w:right w:val="nil"/>
              <w:tl2br w:val="nil"/>
              <w:tr2bl w:val="nil"/>
            </w:tcBorders>
            <w:tcMar>
              <w:left w:w="60" w:type="dxa"/>
              <w:right w:w="60" w:type="dxa"/>
            </w:tcMar>
            <w:vAlign w:val="center"/>
          </w:tcPr>
          <w:p w14:paraId="432F70B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54 118</w:t>
            </w:r>
          </w:p>
        </w:tc>
      </w:tr>
      <w:tr w:rsidR="00807FFE" w14:paraId="092FE90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D9C84F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8A56CD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4D4E4D8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000F57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FD552E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5DB74F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F22EEE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A344FE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3EA93BB"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693250F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4A58DA0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14:paraId="4DB08D77"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D2D1E1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E0C2A88"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3C86D97"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Support to the Turkish-Cypriot Community</w:t>
            </w:r>
          </w:p>
        </w:tc>
        <w:tc>
          <w:tcPr>
            <w:tcW w:w="965" w:type="dxa"/>
            <w:tcBorders>
              <w:top w:val="nil"/>
              <w:left w:val="nil"/>
              <w:bottom w:val="nil"/>
              <w:right w:val="nil"/>
              <w:tl2br w:val="nil"/>
              <w:tr2bl w:val="nil"/>
            </w:tcBorders>
            <w:tcMar>
              <w:left w:w="60" w:type="dxa"/>
              <w:right w:w="60" w:type="dxa"/>
            </w:tcMar>
            <w:vAlign w:val="center"/>
          </w:tcPr>
          <w:p w14:paraId="3B20E69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83AF33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8906B7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777141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1E4A6CC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283AFD0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14:paraId="7A0907D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1061" w:type="dxa"/>
            <w:tcBorders>
              <w:top w:val="nil"/>
              <w:left w:val="nil"/>
              <w:bottom w:val="nil"/>
              <w:right w:val="nil"/>
              <w:tl2br w:val="nil"/>
              <w:tr2bl w:val="nil"/>
            </w:tcBorders>
            <w:tcMar>
              <w:left w:w="60" w:type="dxa"/>
              <w:right w:w="60" w:type="dxa"/>
            </w:tcMar>
            <w:vAlign w:val="center"/>
          </w:tcPr>
          <w:p w14:paraId="477EECA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965" w:type="dxa"/>
            <w:tcBorders>
              <w:top w:val="nil"/>
              <w:left w:val="nil"/>
              <w:bottom w:val="nil"/>
              <w:right w:val="nil"/>
              <w:tl2br w:val="nil"/>
              <w:tr2bl w:val="nil"/>
            </w:tcBorders>
            <w:tcMar>
              <w:left w:w="60" w:type="dxa"/>
              <w:right w:w="60" w:type="dxa"/>
            </w:tcMar>
            <w:vAlign w:val="center"/>
          </w:tcPr>
          <w:p w14:paraId="6B4A380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1089" w:type="dxa"/>
            <w:tcBorders>
              <w:top w:val="nil"/>
              <w:left w:val="nil"/>
              <w:bottom w:val="nil"/>
              <w:right w:val="nil"/>
              <w:tl2br w:val="nil"/>
              <w:tr2bl w:val="nil"/>
            </w:tcBorders>
            <w:tcMar>
              <w:left w:w="60" w:type="dxa"/>
              <w:right w:w="60" w:type="dxa"/>
            </w:tcMar>
            <w:vAlign w:val="center"/>
          </w:tcPr>
          <w:p w14:paraId="19556C6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91</w:t>
            </w:r>
          </w:p>
        </w:tc>
      </w:tr>
      <w:tr w:rsidR="00807FFE" w14:paraId="0BB8B44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6E8FED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384B8CB"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Recovery and Resilience Facility (incl. Technical Support Instrument)</w:t>
            </w:r>
          </w:p>
        </w:tc>
        <w:tc>
          <w:tcPr>
            <w:tcW w:w="965" w:type="dxa"/>
            <w:tcBorders>
              <w:top w:val="nil"/>
              <w:left w:val="nil"/>
              <w:bottom w:val="nil"/>
              <w:right w:val="nil"/>
              <w:tl2br w:val="nil"/>
              <w:tr2bl w:val="nil"/>
            </w:tcBorders>
            <w:tcMar>
              <w:left w:w="60" w:type="dxa"/>
              <w:right w:w="60" w:type="dxa"/>
            </w:tcMar>
            <w:vAlign w:val="center"/>
          </w:tcPr>
          <w:p w14:paraId="45B2434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2CBB44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BCF546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1BE5694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4B059B2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311EA58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14:paraId="7FC1DF6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1061" w:type="dxa"/>
            <w:tcBorders>
              <w:top w:val="nil"/>
              <w:left w:val="nil"/>
              <w:bottom w:val="nil"/>
              <w:right w:val="nil"/>
              <w:tl2br w:val="nil"/>
              <w:tr2bl w:val="nil"/>
            </w:tcBorders>
            <w:tcMar>
              <w:left w:w="60" w:type="dxa"/>
              <w:right w:w="60" w:type="dxa"/>
            </w:tcMar>
            <w:vAlign w:val="center"/>
          </w:tcPr>
          <w:p w14:paraId="4BA4295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122 407</w:t>
            </w:r>
          </w:p>
        </w:tc>
        <w:tc>
          <w:tcPr>
            <w:tcW w:w="965" w:type="dxa"/>
            <w:tcBorders>
              <w:top w:val="nil"/>
              <w:left w:val="nil"/>
              <w:bottom w:val="nil"/>
              <w:right w:val="nil"/>
              <w:tl2br w:val="nil"/>
              <w:tr2bl w:val="nil"/>
            </w:tcBorders>
            <w:tcMar>
              <w:left w:w="60" w:type="dxa"/>
              <w:right w:w="60" w:type="dxa"/>
            </w:tcMar>
            <w:vAlign w:val="center"/>
          </w:tcPr>
          <w:p w14:paraId="73D2CDF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089" w:type="dxa"/>
            <w:tcBorders>
              <w:top w:val="nil"/>
              <w:left w:val="nil"/>
              <w:bottom w:val="nil"/>
              <w:right w:val="nil"/>
              <w:tl2br w:val="nil"/>
              <w:tr2bl w:val="nil"/>
            </w:tcBorders>
            <w:tcMar>
              <w:left w:w="60" w:type="dxa"/>
              <w:right w:w="60" w:type="dxa"/>
            </w:tcMar>
            <w:vAlign w:val="center"/>
          </w:tcPr>
          <w:p w14:paraId="7935458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122 514</w:t>
            </w:r>
          </w:p>
        </w:tc>
      </w:tr>
      <w:tr w:rsidR="00807FFE" w14:paraId="33441A4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7E964E8"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FD0F2F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Protection of the euro against counterfeiting (the `Pericles IV programme')</w:t>
            </w:r>
          </w:p>
        </w:tc>
        <w:tc>
          <w:tcPr>
            <w:tcW w:w="965" w:type="dxa"/>
            <w:tcBorders>
              <w:top w:val="nil"/>
              <w:left w:val="nil"/>
              <w:bottom w:val="nil"/>
              <w:right w:val="nil"/>
              <w:tl2br w:val="nil"/>
              <w:tr2bl w:val="nil"/>
            </w:tcBorders>
            <w:tcMar>
              <w:left w:w="60" w:type="dxa"/>
              <w:right w:w="60" w:type="dxa"/>
            </w:tcMar>
            <w:vAlign w:val="center"/>
          </w:tcPr>
          <w:p w14:paraId="6E04FF8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0CB170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A3EA07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F9DB41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011BFA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3F31F0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0FAE8F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64C87B9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A3A0F5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14:paraId="206A90D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268FC95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6B0947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F3BA8EA"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Financing cost of the European Union Recovery Instrument (EURI)</w:t>
            </w:r>
          </w:p>
        </w:tc>
        <w:tc>
          <w:tcPr>
            <w:tcW w:w="965" w:type="dxa"/>
            <w:tcBorders>
              <w:top w:val="nil"/>
              <w:left w:val="nil"/>
              <w:bottom w:val="nil"/>
              <w:right w:val="nil"/>
              <w:tl2br w:val="nil"/>
              <w:tr2bl w:val="nil"/>
            </w:tcBorders>
            <w:tcMar>
              <w:left w:w="60" w:type="dxa"/>
              <w:right w:w="60" w:type="dxa"/>
            </w:tcMar>
            <w:vAlign w:val="center"/>
          </w:tcPr>
          <w:p w14:paraId="3ECBE82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F95330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9D247E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31CB4D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F52931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DE1C44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933B95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305A785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19C7F98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1 877</w:t>
            </w:r>
          </w:p>
        </w:tc>
        <w:tc>
          <w:tcPr>
            <w:tcW w:w="1089" w:type="dxa"/>
            <w:tcBorders>
              <w:top w:val="nil"/>
              <w:left w:val="nil"/>
              <w:bottom w:val="nil"/>
              <w:right w:val="nil"/>
              <w:tl2br w:val="nil"/>
              <w:tr2bl w:val="nil"/>
            </w:tcBorders>
            <w:tcMar>
              <w:left w:w="60" w:type="dxa"/>
              <w:right w:w="60" w:type="dxa"/>
            </w:tcMar>
            <w:vAlign w:val="center"/>
          </w:tcPr>
          <w:p w14:paraId="27BD5C6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1 878</w:t>
            </w:r>
          </w:p>
        </w:tc>
      </w:tr>
      <w:tr w:rsidR="00807FFE" w14:paraId="7D21813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52CFA1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982D6C9"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Union Civil Protection Mechanism (RescEU)</w:t>
            </w:r>
          </w:p>
        </w:tc>
        <w:tc>
          <w:tcPr>
            <w:tcW w:w="965" w:type="dxa"/>
            <w:tcBorders>
              <w:top w:val="nil"/>
              <w:left w:val="nil"/>
              <w:bottom w:val="nil"/>
              <w:right w:val="nil"/>
              <w:tl2br w:val="nil"/>
              <w:tr2bl w:val="nil"/>
            </w:tcBorders>
            <w:tcMar>
              <w:left w:w="60" w:type="dxa"/>
              <w:right w:w="60" w:type="dxa"/>
            </w:tcMar>
            <w:vAlign w:val="center"/>
          </w:tcPr>
          <w:p w14:paraId="0B76D13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845BA1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600251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5E9CF54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94</w:t>
            </w:r>
          </w:p>
        </w:tc>
        <w:tc>
          <w:tcPr>
            <w:tcW w:w="965" w:type="dxa"/>
            <w:tcBorders>
              <w:top w:val="nil"/>
              <w:left w:val="nil"/>
              <w:bottom w:val="nil"/>
              <w:right w:val="nil"/>
              <w:tl2br w:val="nil"/>
              <w:tr2bl w:val="nil"/>
            </w:tcBorders>
            <w:tcMar>
              <w:left w:w="60" w:type="dxa"/>
              <w:right w:w="60" w:type="dxa"/>
            </w:tcMar>
            <w:vAlign w:val="center"/>
          </w:tcPr>
          <w:p w14:paraId="467A3E3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14:paraId="5AB0CDB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965" w:type="dxa"/>
            <w:tcBorders>
              <w:top w:val="nil"/>
              <w:left w:val="nil"/>
              <w:bottom w:val="nil"/>
              <w:right w:val="nil"/>
              <w:tl2br w:val="nil"/>
              <w:tr2bl w:val="nil"/>
            </w:tcBorders>
            <w:tcMar>
              <w:left w:w="60" w:type="dxa"/>
              <w:right w:w="60" w:type="dxa"/>
            </w:tcMar>
            <w:vAlign w:val="center"/>
          </w:tcPr>
          <w:p w14:paraId="4BD1DA1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55</w:t>
            </w:r>
          </w:p>
        </w:tc>
        <w:tc>
          <w:tcPr>
            <w:tcW w:w="1061" w:type="dxa"/>
            <w:tcBorders>
              <w:top w:val="nil"/>
              <w:left w:val="nil"/>
              <w:bottom w:val="nil"/>
              <w:right w:val="nil"/>
              <w:tl2br w:val="nil"/>
              <w:tr2bl w:val="nil"/>
            </w:tcBorders>
            <w:tcMar>
              <w:left w:w="60" w:type="dxa"/>
              <w:right w:w="60" w:type="dxa"/>
            </w:tcMar>
            <w:vAlign w:val="center"/>
          </w:tcPr>
          <w:p w14:paraId="4CA8D66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669</w:t>
            </w:r>
          </w:p>
        </w:tc>
        <w:tc>
          <w:tcPr>
            <w:tcW w:w="965" w:type="dxa"/>
            <w:tcBorders>
              <w:top w:val="nil"/>
              <w:left w:val="nil"/>
              <w:bottom w:val="nil"/>
              <w:right w:val="nil"/>
              <w:tl2br w:val="nil"/>
              <w:tr2bl w:val="nil"/>
            </w:tcBorders>
            <w:tcMar>
              <w:left w:w="60" w:type="dxa"/>
              <w:right w:w="60" w:type="dxa"/>
            </w:tcMar>
            <w:vAlign w:val="center"/>
          </w:tcPr>
          <w:p w14:paraId="04355DA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180</w:t>
            </w:r>
          </w:p>
        </w:tc>
        <w:tc>
          <w:tcPr>
            <w:tcW w:w="1089" w:type="dxa"/>
            <w:tcBorders>
              <w:top w:val="nil"/>
              <w:left w:val="nil"/>
              <w:bottom w:val="nil"/>
              <w:right w:val="nil"/>
              <w:tl2br w:val="nil"/>
              <w:tr2bl w:val="nil"/>
            </w:tcBorders>
            <w:tcMar>
              <w:left w:w="60" w:type="dxa"/>
              <w:right w:w="60" w:type="dxa"/>
            </w:tcMar>
            <w:vAlign w:val="center"/>
          </w:tcPr>
          <w:p w14:paraId="0E55657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1 066</w:t>
            </w:r>
          </w:p>
        </w:tc>
      </w:tr>
      <w:tr w:rsidR="00807FFE" w14:paraId="0EB7127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967A4D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82B1E2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EU4Health</w:t>
            </w:r>
          </w:p>
        </w:tc>
        <w:tc>
          <w:tcPr>
            <w:tcW w:w="965" w:type="dxa"/>
            <w:tcBorders>
              <w:top w:val="nil"/>
              <w:left w:val="nil"/>
              <w:bottom w:val="nil"/>
              <w:right w:val="nil"/>
              <w:tl2br w:val="nil"/>
              <w:tr2bl w:val="nil"/>
            </w:tcBorders>
            <w:tcMar>
              <w:left w:w="60" w:type="dxa"/>
              <w:right w:w="60" w:type="dxa"/>
            </w:tcMar>
            <w:vAlign w:val="center"/>
          </w:tcPr>
          <w:p w14:paraId="593170E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58C6000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EFAD9E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3886BEA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14:paraId="244CBB9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14:paraId="2EC4C50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220</w:t>
            </w:r>
          </w:p>
        </w:tc>
        <w:tc>
          <w:tcPr>
            <w:tcW w:w="965" w:type="dxa"/>
            <w:tcBorders>
              <w:top w:val="nil"/>
              <w:left w:val="nil"/>
              <w:bottom w:val="nil"/>
              <w:right w:val="nil"/>
              <w:tl2br w:val="nil"/>
              <w:tr2bl w:val="nil"/>
            </w:tcBorders>
            <w:tcMar>
              <w:left w:w="60" w:type="dxa"/>
              <w:right w:w="60" w:type="dxa"/>
            </w:tcMar>
            <w:vAlign w:val="center"/>
          </w:tcPr>
          <w:p w14:paraId="4DC67F9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328</w:t>
            </w:r>
          </w:p>
        </w:tc>
        <w:tc>
          <w:tcPr>
            <w:tcW w:w="1061" w:type="dxa"/>
            <w:tcBorders>
              <w:top w:val="nil"/>
              <w:left w:val="nil"/>
              <w:bottom w:val="nil"/>
              <w:right w:val="nil"/>
              <w:tl2br w:val="nil"/>
              <w:tr2bl w:val="nil"/>
            </w:tcBorders>
            <w:tcMar>
              <w:left w:w="60" w:type="dxa"/>
              <w:right w:w="60" w:type="dxa"/>
            </w:tcMar>
            <w:vAlign w:val="center"/>
          </w:tcPr>
          <w:p w14:paraId="5319C7F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376</w:t>
            </w:r>
          </w:p>
        </w:tc>
        <w:tc>
          <w:tcPr>
            <w:tcW w:w="965" w:type="dxa"/>
            <w:tcBorders>
              <w:top w:val="nil"/>
              <w:left w:val="nil"/>
              <w:bottom w:val="nil"/>
              <w:right w:val="nil"/>
              <w:tl2br w:val="nil"/>
              <w:tr2bl w:val="nil"/>
            </w:tcBorders>
            <w:tcMar>
              <w:left w:w="60" w:type="dxa"/>
              <w:right w:w="60" w:type="dxa"/>
            </w:tcMar>
            <w:vAlign w:val="center"/>
          </w:tcPr>
          <w:p w14:paraId="1F18BE6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544</w:t>
            </w:r>
          </w:p>
        </w:tc>
        <w:tc>
          <w:tcPr>
            <w:tcW w:w="1089" w:type="dxa"/>
            <w:tcBorders>
              <w:top w:val="nil"/>
              <w:left w:val="nil"/>
              <w:bottom w:val="nil"/>
              <w:right w:val="nil"/>
              <w:tl2br w:val="nil"/>
              <w:tr2bl w:val="nil"/>
            </w:tcBorders>
            <w:tcMar>
              <w:left w:w="60" w:type="dxa"/>
              <w:right w:w="60" w:type="dxa"/>
            </w:tcMar>
            <w:vAlign w:val="center"/>
          </w:tcPr>
          <w:p w14:paraId="134D11F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1 559</w:t>
            </w:r>
          </w:p>
        </w:tc>
      </w:tr>
      <w:tr w:rsidR="00807FFE" w14:paraId="05D2BEF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04B272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E29120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Instrument for emergency support within the Union (ESI)</w:t>
            </w:r>
          </w:p>
        </w:tc>
        <w:tc>
          <w:tcPr>
            <w:tcW w:w="965" w:type="dxa"/>
            <w:tcBorders>
              <w:top w:val="nil"/>
              <w:left w:val="nil"/>
              <w:bottom w:val="nil"/>
              <w:right w:val="nil"/>
              <w:tl2br w:val="nil"/>
              <w:tr2bl w:val="nil"/>
            </w:tcBorders>
            <w:tcMar>
              <w:left w:w="60" w:type="dxa"/>
              <w:right w:w="60" w:type="dxa"/>
            </w:tcMar>
            <w:vAlign w:val="center"/>
          </w:tcPr>
          <w:p w14:paraId="08A565B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C3D03B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BC4473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3ECEA9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2F1568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14:paraId="7F90B26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D184ECA"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8938F9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965" w:type="dxa"/>
            <w:tcBorders>
              <w:top w:val="nil"/>
              <w:left w:val="nil"/>
              <w:bottom w:val="nil"/>
              <w:right w:val="nil"/>
              <w:tl2br w:val="nil"/>
              <w:tr2bl w:val="nil"/>
            </w:tcBorders>
            <w:tcMar>
              <w:left w:w="60" w:type="dxa"/>
              <w:right w:w="60" w:type="dxa"/>
            </w:tcMar>
            <w:vAlign w:val="center"/>
          </w:tcPr>
          <w:p w14:paraId="2FF8AFE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7282250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24</w:t>
            </w:r>
          </w:p>
        </w:tc>
      </w:tr>
      <w:tr w:rsidR="00807FFE" w14:paraId="7ABE8AD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0F56367"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0F30D1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6749ADF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10A442D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8A4DE9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7FD02D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062580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57D7FCA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14:paraId="1404730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061" w:type="dxa"/>
            <w:tcBorders>
              <w:top w:val="nil"/>
              <w:left w:val="nil"/>
              <w:bottom w:val="nil"/>
              <w:right w:val="nil"/>
              <w:tl2br w:val="nil"/>
              <w:tr2bl w:val="nil"/>
            </w:tcBorders>
            <w:tcMar>
              <w:left w:w="60" w:type="dxa"/>
              <w:right w:w="60" w:type="dxa"/>
            </w:tcMar>
            <w:vAlign w:val="center"/>
          </w:tcPr>
          <w:p w14:paraId="09BDAC0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965" w:type="dxa"/>
            <w:tcBorders>
              <w:top w:val="nil"/>
              <w:left w:val="nil"/>
              <w:bottom w:val="nil"/>
              <w:right w:val="nil"/>
              <w:tl2br w:val="nil"/>
              <w:tr2bl w:val="nil"/>
            </w:tcBorders>
            <w:tcMar>
              <w:left w:w="60" w:type="dxa"/>
              <w:right w:w="60" w:type="dxa"/>
            </w:tcMar>
            <w:vAlign w:val="center"/>
          </w:tcPr>
          <w:p w14:paraId="4C7D9C9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089" w:type="dxa"/>
            <w:tcBorders>
              <w:top w:val="nil"/>
              <w:left w:val="nil"/>
              <w:bottom w:val="nil"/>
              <w:right w:val="nil"/>
              <w:tl2br w:val="nil"/>
              <w:tr2bl w:val="nil"/>
            </w:tcBorders>
            <w:tcMar>
              <w:left w:w="60" w:type="dxa"/>
              <w:right w:w="60" w:type="dxa"/>
            </w:tcMar>
            <w:vAlign w:val="center"/>
          </w:tcPr>
          <w:p w14:paraId="09ED96CA"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61</w:t>
            </w:r>
          </w:p>
        </w:tc>
      </w:tr>
      <w:tr w:rsidR="00807FFE" w14:paraId="12B942C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AE2250F"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0B4BC7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40AFF3F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92FC59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8BC10C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1DCF48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49E465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6FD939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914820A"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22CDA6A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67F3999"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19D16FC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3C6B7E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843122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01C1770"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5" w:type="dxa"/>
            <w:tcBorders>
              <w:top w:val="nil"/>
              <w:left w:val="nil"/>
              <w:bottom w:val="nil"/>
              <w:right w:val="nil"/>
              <w:tl2br w:val="nil"/>
              <w:tr2bl w:val="nil"/>
            </w:tcBorders>
            <w:tcMar>
              <w:left w:w="60" w:type="dxa"/>
              <w:right w:w="60" w:type="dxa"/>
            </w:tcMar>
            <w:vAlign w:val="center"/>
          </w:tcPr>
          <w:p w14:paraId="00BC298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D9149F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9CED46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EB86D8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44DDD2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A29312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94F69C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469AC5F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3AAAB06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14:paraId="413D9D4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w:t>
            </w:r>
          </w:p>
        </w:tc>
      </w:tr>
      <w:tr w:rsidR="00807FFE" w14:paraId="55683B5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98A0B5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FE1A3C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Employment and Social Innovation</w:t>
            </w:r>
          </w:p>
        </w:tc>
        <w:tc>
          <w:tcPr>
            <w:tcW w:w="965" w:type="dxa"/>
            <w:tcBorders>
              <w:top w:val="nil"/>
              <w:left w:val="nil"/>
              <w:bottom w:val="nil"/>
              <w:right w:val="nil"/>
              <w:tl2br w:val="nil"/>
              <w:tr2bl w:val="nil"/>
            </w:tcBorders>
            <w:tcMar>
              <w:left w:w="60" w:type="dxa"/>
              <w:right w:w="60" w:type="dxa"/>
            </w:tcMar>
            <w:vAlign w:val="center"/>
          </w:tcPr>
          <w:p w14:paraId="7E55ED3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4179B5C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753FCE6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2BDD9B2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14:paraId="6F963CA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14:paraId="71A1947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14:paraId="5EC9128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1061" w:type="dxa"/>
            <w:tcBorders>
              <w:top w:val="nil"/>
              <w:left w:val="nil"/>
              <w:bottom w:val="nil"/>
              <w:right w:val="nil"/>
              <w:tl2br w:val="nil"/>
              <w:tr2bl w:val="nil"/>
            </w:tcBorders>
            <w:tcMar>
              <w:left w:w="60" w:type="dxa"/>
              <w:right w:w="60" w:type="dxa"/>
            </w:tcMar>
            <w:vAlign w:val="center"/>
          </w:tcPr>
          <w:p w14:paraId="62D9F1D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965" w:type="dxa"/>
            <w:tcBorders>
              <w:top w:val="nil"/>
              <w:left w:val="nil"/>
              <w:bottom w:val="nil"/>
              <w:right w:val="nil"/>
              <w:tl2br w:val="nil"/>
              <w:tr2bl w:val="nil"/>
            </w:tcBorders>
            <w:tcMar>
              <w:left w:w="60" w:type="dxa"/>
              <w:right w:w="60" w:type="dxa"/>
            </w:tcMar>
            <w:vAlign w:val="center"/>
          </w:tcPr>
          <w:p w14:paraId="5E204CB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1089" w:type="dxa"/>
            <w:tcBorders>
              <w:top w:val="nil"/>
              <w:left w:val="nil"/>
              <w:bottom w:val="nil"/>
              <w:right w:val="nil"/>
              <w:tl2br w:val="nil"/>
              <w:tr2bl w:val="nil"/>
            </w:tcBorders>
            <w:tcMar>
              <w:left w:w="60" w:type="dxa"/>
              <w:right w:w="60" w:type="dxa"/>
            </w:tcMar>
            <w:vAlign w:val="center"/>
          </w:tcPr>
          <w:p w14:paraId="182B6FA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212</w:t>
            </w:r>
          </w:p>
        </w:tc>
      </w:tr>
      <w:tr w:rsidR="00807FFE" w14:paraId="76331BC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AB8EC8B"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35760F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Erasmus+</w:t>
            </w:r>
          </w:p>
        </w:tc>
        <w:tc>
          <w:tcPr>
            <w:tcW w:w="965" w:type="dxa"/>
            <w:tcBorders>
              <w:top w:val="nil"/>
              <w:left w:val="nil"/>
              <w:bottom w:val="nil"/>
              <w:right w:val="nil"/>
              <w:tl2br w:val="nil"/>
              <w:tr2bl w:val="nil"/>
            </w:tcBorders>
            <w:tcMar>
              <w:left w:w="60" w:type="dxa"/>
              <w:right w:w="60" w:type="dxa"/>
            </w:tcMar>
            <w:vAlign w:val="center"/>
          </w:tcPr>
          <w:p w14:paraId="0A2FE71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AC0D41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29455F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0FB18FC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29E5E35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185</w:t>
            </w:r>
          </w:p>
        </w:tc>
        <w:tc>
          <w:tcPr>
            <w:tcW w:w="965" w:type="dxa"/>
            <w:tcBorders>
              <w:top w:val="nil"/>
              <w:left w:val="nil"/>
              <w:bottom w:val="nil"/>
              <w:right w:val="nil"/>
              <w:tl2br w:val="nil"/>
              <w:tr2bl w:val="nil"/>
            </w:tcBorders>
            <w:tcMar>
              <w:left w:w="60" w:type="dxa"/>
              <w:right w:w="60" w:type="dxa"/>
            </w:tcMar>
            <w:vAlign w:val="center"/>
          </w:tcPr>
          <w:p w14:paraId="734E8E5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229</w:t>
            </w:r>
          </w:p>
        </w:tc>
        <w:tc>
          <w:tcPr>
            <w:tcW w:w="965" w:type="dxa"/>
            <w:tcBorders>
              <w:top w:val="nil"/>
              <w:left w:val="nil"/>
              <w:bottom w:val="nil"/>
              <w:right w:val="nil"/>
              <w:tl2br w:val="nil"/>
              <w:tr2bl w:val="nil"/>
            </w:tcBorders>
            <w:tcMar>
              <w:left w:w="60" w:type="dxa"/>
              <w:right w:w="60" w:type="dxa"/>
            </w:tcMar>
            <w:vAlign w:val="center"/>
          </w:tcPr>
          <w:p w14:paraId="27B7795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440</w:t>
            </w:r>
          </w:p>
        </w:tc>
        <w:tc>
          <w:tcPr>
            <w:tcW w:w="1061" w:type="dxa"/>
            <w:tcBorders>
              <w:top w:val="nil"/>
              <w:left w:val="nil"/>
              <w:bottom w:val="nil"/>
              <w:right w:val="nil"/>
              <w:tl2br w:val="nil"/>
              <w:tr2bl w:val="nil"/>
            </w:tcBorders>
            <w:tcMar>
              <w:left w:w="60" w:type="dxa"/>
              <w:right w:w="60" w:type="dxa"/>
            </w:tcMar>
            <w:vAlign w:val="center"/>
          </w:tcPr>
          <w:p w14:paraId="44B7FC5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550</w:t>
            </w:r>
          </w:p>
        </w:tc>
        <w:tc>
          <w:tcPr>
            <w:tcW w:w="965" w:type="dxa"/>
            <w:tcBorders>
              <w:top w:val="nil"/>
              <w:left w:val="nil"/>
              <w:bottom w:val="nil"/>
              <w:right w:val="nil"/>
              <w:tl2br w:val="nil"/>
              <w:tr2bl w:val="nil"/>
            </w:tcBorders>
            <w:tcMar>
              <w:left w:w="60" w:type="dxa"/>
              <w:right w:w="60" w:type="dxa"/>
            </w:tcMar>
            <w:vAlign w:val="center"/>
          </w:tcPr>
          <w:p w14:paraId="6159673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783</w:t>
            </w:r>
          </w:p>
        </w:tc>
        <w:tc>
          <w:tcPr>
            <w:tcW w:w="1089" w:type="dxa"/>
            <w:tcBorders>
              <w:top w:val="nil"/>
              <w:left w:val="nil"/>
              <w:bottom w:val="nil"/>
              <w:right w:val="nil"/>
              <w:tl2br w:val="nil"/>
              <w:tr2bl w:val="nil"/>
            </w:tcBorders>
            <w:tcMar>
              <w:left w:w="60" w:type="dxa"/>
              <w:right w:w="60" w:type="dxa"/>
            </w:tcMar>
            <w:vAlign w:val="center"/>
          </w:tcPr>
          <w:p w14:paraId="3DDA2E6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2 191</w:t>
            </w:r>
          </w:p>
        </w:tc>
      </w:tr>
      <w:tr w:rsidR="00807FFE" w14:paraId="643C373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1BE876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55C4A1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Solidarity Corps (ESC)</w:t>
            </w:r>
          </w:p>
        </w:tc>
        <w:tc>
          <w:tcPr>
            <w:tcW w:w="965" w:type="dxa"/>
            <w:tcBorders>
              <w:top w:val="nil"/>
              <w:left w:val="nil"/>
              <w:bottom w:val="nil"/>
              <w:right w:val="nil"/>
              <w:tl2br w:val="nil"/>
              <w:tr2bl w:val="nil"/>
            </w:tcBorders>
            <w:tcMar>
              <w:left w:w="60" w:type="dxa"/>
              <w:right w:w="60" w:type="dxa"/>
            </w:tcMar>
            <w:vAlign w:val="center"/>
          </w:tcPr>
          <w:p w14:paraId="6094050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2991330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260A0A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100067E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7A9F1A6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14:paraId="44C5BE0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14:paraId="7119260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14:paraId="6CD4DFE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965" w:type="dxa"/>
            <w:tcBorders>
              <w:top w:val="nil"/>
              <w:left w:val="nil"/>
              <w:bottom w:val="nil"/>
              <w:right w:val="nil"/>
              <w:tl2br w:val="nil"/>
              <w:tr2bl w:val="nil"/>
            </w:tcBorders>
            <w:tcMar>
              <w:left w:w="60" w:type="dxa"/>
              <w:right w:w="60" w:type="dxa"/>
            </w:tcMar>
            <w:vAlign w:val="center"/>
          </w:tcPr>
          <w:p w14:paraId="3D9EFA2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1089" w:type="dxa"/>
            <w:tcBorders>
              <w:top w:val="nil"/>
              <w:left w:val="nil"/>
              <w:bottom w:val="nil"/>
              <w:right w:val="nil"/>
              <w:tl2br w:val="nil"/>
              <w:tr2bl w:val="nil"/>
            </w:tcBorders>
            <w:tcMar>
              <w:left w:w="60" w:type="dxa"/>
              <w:right w:w="60" w:type="dxa"/>
            </w:tcMar>
            <w:vAlign w:val="center"/>
          </w:tcPr>
          <w:p w14:paraId="16EEDA5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106</w:t>
            </w:r>
          </w:p>
        </w:tc>
      </w:tr>
      <w:tr w:rsidR="00807FFE" w14:paraId="3B8525A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51E33FB"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2BD149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Creative Europe</w:t>
            </w:r>
          </w:p>
        </w:tc>
        <w:tc>
          <w:tcPr>
            <w:tcW w:w="965" w:type="dxa"/>
            <w:tcBorders>
              <w:top w:val="nil"/>
              <w:left w:val="nil"/>
              <w:bottom w:val="nil"/>
              <w:right w:val="nil"/>
              <w:tl2br w:val="nil"/>
              <w:tr2bl w:val="nil"/>
            </w:tcBorders>
            <w:tcMar>
              <w:left w:w="60" w:type="dxa"/>
              <w:right w:w="60" w:type="dxa"/>
            </w:tcMar>
            <w:vAlign w:val="center"/>
          </w:tcPr>
          <w:p w14:paraId="4ACB36E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106EEA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1FF2EC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5B155B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1F33134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14:paraId="05770F3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965" w:type="dxa"/>
            <w:tcBorders>
              <w:top w:val="nil"/>
              <w:left w:val="nil"/>
              <w:bottom w:val="nil"/>
              <w:right w:val="nil"/>
              <w:tl2br w:val="nil"/>
              <w:tr2bl w:val="nil"/>
            </w:tcBorders>
            <w:tcMar>
              <w:left w:w="60" w:type="dxa"/>
              <w:right w:w="60" w:type="dxa"/>
            </w:tcMar>
            <w:vAlign w:val="center"/>
          </w:tcPr>
          <w:p w14:paraId="438F7FF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061" w:type="dxa"/>
            <w:tcBorders>
              <w:top w:val="nil"/>
              <w:left w:val="nil"/>
              <w:bottom w:val="nil"/>
              <w:right w:val="nil"/>
              <w:tl2br w:val="nil"/>
              <w:tr2bl w:val="nil"/>
            </w:tcBorders>
            <w:tcMar>
              <w:left w:w="60" w:type="dxa"/>
              <w:right w:w="60" w:type="dxa"/>
            </w:tcMar>
            <w:vAlign w:val="center"/>
          </w:tcPr>
          <w:p w14:paraId="732C9EB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965" w:type="dxa"/>
            <w:tcBorders>
              <w:top w:val="nil"/>
              <w:left w:val="nil"/>
              <w:bottom w:val="nil"/>
              <w:right w:val="nil"/>
              <w:tl2br w:val="nil"/>
              <w:tr2bl w:val="nil"/>
            </w:tcBorders>
            <w:tcMar>
              <w:left w:w="60" w:type="dxa"/>
              <w:right w:w="60" w:type="dxa"/>
            </w:tcMar>
            <w:vAlign w:val="center"/>
          </w:tcPr>
          <w:p w14:paraId="11D19B9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206</w:t>
            </w:r>
          </w:p>
        </w:tc>
        <w:tc>
          <w:tcPr>
            <w:tcW w:w="1089" w:type="dxa"/>
            <w:tcBorders>
              <w:top w:val="nil"/>
              <w:left w:val="nil"/>
              <w:bottom w:val="nil"/>
              <w:right w:val="nil"/>
              <w:tl2br w:val="nil"/>
              <w:tr2bl w:val="nil"/>
            </w:tcBorders>
            <w:tcMar>
              <w:left w:w="60" w:type="dxa"/>
              <w:right w:w="60" w:type="dxa"/>
            </w:tcMar>
            <w:vAlign w:val="center"/>
          </w:tcPr>
          <w:p w14:paraId="314B944D"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381</w:t>
            </w:r>
          </w:p>
        </w:tc>
      </w:tr>
      <w:tr w:rsidR="00807FFE" w14:paraId="1DBDD98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E01CBFB"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5FB605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Justice</w:t>
            </w:r>
          </w:p>
        </w:tc>
        <w:tc>
          <w:tcPr>
            <w:tcW w:w="965" w:type="dxa"/>
            <w:tcBorders>
              <w:top w:val="nil"/>
              <w:left w:val="nil"/>
              <w:bottom w:val="nil"/>
              <w:right w:val="nil"/>
              <w:tl2br w:val="nil"/>
              <w:tr2bl w:val="nil"/>
            </w:tcBorders>
            <w:tcMar>
              <w:left w:w="60" w:type="dxa"/>
              <w:right w:w="60" w:type="dxa"/>
            </w:tcMar>
            <w:vAlign w:val="center"/>
          </w:tcPr>
          <w:p w14:paraId="37AC6CC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6CD619C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6CA8FC4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29E3272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0A61EAA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69738FD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1162D58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14:paraId="17A7218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14:paraId="01BEA8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089" w:type="dxa"/>
            <w:tcBorders>
              <w:top w:val="nil"/>
              <w:left w:val="nil"/>
              <w:bottom w:val="nil"/>
              <w:right w:val="nil"/>
              <w:tl2br w:val="nil"/>
              <w:tr2bl w:val="nil"/>
            </w:tcBorders>
            <w:tcMar>
              <w:left w:w="60" w:type="dxa"/>
              <w:right w:w="60" w:type="dxa"/>
            </w:tcMar>
            <w:vAlign w:val="center"/>
          </w:tcPr>
          <w:p w14:paraId="0A5298D5"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52</w:t>
            </w:r>
          </w:p>
        </w:tc>
      </w:tr>
      <w:tr w:rsidR="00807FFE" w14:paraId="6AEF206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74FF39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13FEE3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Rights and Values</w:t>
            </w:r>
          </w:p>
        </w:tc>
        <w:tc>
          <w:tcPr>
            <w:tcW w:w="965" w:type="dxa"/>
            <w:tcBorders>
              <w:top w:val="nil"/>
              <w:left w:val="nil"/>
              <w:bottom w:val="nil"/>
              <w:right w:val="nil"/>
              <w:tl2br w:val="nil"/>
              <w:tr2bl w:val="nil"/>
            </w:tcBorders>
            <w:tcMar>
              <w:left w:w="60" w:type="dxa"/>
              <w:right w:w="60" w:type="dxa"/>
            </w:tcMar>
            <w:vAlign w:val="center"/>
          </w:tcPr>
          <w:p w14:paraId="3CA2585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14:paraId="3B248F4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04993FB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062DBCF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23B77B7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14:paraId="51086A5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965" w:type="dxa"/>
            <w:tcBorders>
              <w:top w:val="nil"/>
              <w:left w:val="nil"/>
              <w:bottom w:val="nil"/>
              <w:right w:val="nil"/>
              <w:tl2br w:val="nil"/>
              <w:tr2bl w:val="nil"/>
            </w:tcBorders>
            <w:tcMar>
              <w:left w:w="60" w:type="dxa"/>
              <w:right w:w="60" w:type="dxa"/>
            </w:tcMar>
            <w:vAlign w:val="center"/>
          </w:tcPr>
          <w:p w14:paraId="4AE5150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55</w:t>
            </w:r>
          </w:p>
        </w:tc>
        <w:tc>
          <w:tcPr>
            <w:tcW w:w="1061" w:type="dxa"/>
            <w:tcBorders>
              <w:top w:val="nil"/>
              <w:left w:val="nil"/>
              <w:bottom w:val="nil"/>
              <w:right w:val="nil"/>
              <w:tl2br w:val="nil"/>
              <w:tr2bl w:val="nil"/>
            </w:tcBorders>
            <w:tcMar>
              <w:left w:w="60" w:type="dxa"/>
              <w:right w:w="60" w:type="dxa"/>
            </w:tcMar>
            <w:vAlign w:val="center"/>
          </w:tcPr>
          <w:p w14:paraId="5163891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14:paraId="728E833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165</w:t>
            </w:r>
          </w:p>
        </w:tc>
        <w:tc>
          <w:tcPr>
            <w:tcW w:w="1089" w:type="dxa"/>
            <w:tcBorders>
              <w:top w:val="nil"/>
              <w:left w:val="nil"/>
              <w:bottom w:val="nil"/>
              <w:right w:val="nil"/>
              <w:tl2br w:val="nil"/>
              <w:tr2bl w:val="nil"/>
            </w:tcBorders>
            <w:tcMar>
              <w:left w:w="60" w:type="dxa"/>
              <w:right w:w="60" w:type="dxa"/>
            </w:tcMar>
            <w:vAlign w:val="center"/>
          </w:tcPr>
          <w:p w14:paraId="604C51E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334</w:t>
            </w:r>
          </w:p>
        </w:tc>
      </w:tr>
      <w:tr w:rsidR="00807FFE" w14:paraId="5761AC7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2BAD13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3F8A45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74C4649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D547C7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D37489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CE838D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3D8AF1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965" w:type="dxa"/>
            <w:tcBorders>
              <w:top w:val="nil"/>
              <w:left w:val="nil"/>
              <w:bottom w:val="nil"/>
              <w:right w:val="nil"/>
              <w:tl2br w:val="nil"/>
              <w:tr2bl w:val="nil"/>
            </w:tcBorders>
            <w:tcMar>
              <w:left w:w="60" w:type="dxa"/>
              <w:right w:w="60" w:type="dxa"/>
            </w:tcMar>
            <w:vAlign w:val="center"/>
          </w:tcPr>
          <w:p w14:paraId="4AC13D3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7255AA7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14:paraId="5B786D8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14:paraId="360E514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14:paraId="5E50A89E"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56</w:t>
            </w:r>
          </w:p>
        </w:tc>
      </w:tr>
      <w:tr w:rsidR="00807FFE" w14:paraId="69ADC7E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921F66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6F65E2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5" w:type="dxa"/>
            <w:tcBorders>
              <w:top w:val="nil"/>
              <w:left w:val="nil"/>
              <w:bottom w:val="nil"/>
              <w:right w:val="nil"/>
              <w:tl2br w:val="nil"/>
              <w:tr2bl w:val="nil"/>
            </w:tcBorders>
            <w:tcMar>
              <w:left w:w="60" w:type="dxa"/>
              <w:right w:w="60" w:type="dxa"/>
            </w:tcMar>
            <w:vAlign w:val="center"/>
          </w:tcPr>
          <w:p w14:paraId="3485DED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EC3E46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C1E49F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109517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5D86306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FFC66F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11060A5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2FC7568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0D4FC90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089" w:type="dxa"/>
            <w:tcBorders>
              <w:top w:val="nil"/>
              <w:left w:val="nil"/>
              <w:bottom w:val="nil"/>
              <w:right w:val="nil"/>
              <w:tl2br w:val="nil"/>
              <w:tr2bl w:val="nil"/>
            </w:tcBorders>
            <w:tcMar>
              <w:left w:w="60" w:type="dxa"/>
              <w:right w:w="60" w:type="dxa"/>
            </w:tcMar>
            <w:vAlign w:val="center"/>
          </w:tcPr>
          <w:p w14:paraId="48E08DD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w:t>
            </w:r>
          </w:p>
        </w:tc>
      </w:tr>
      <w:tr w:rsidR="00807FFE" w14:paraId="7FB8BDE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ADA79C7"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A7E9C1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2637CFB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462773E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295F3A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DB22BB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374496C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5D581A4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17F5813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1061" w:type="dxa"/>
            <w:tcBorders>
              <w:top w:val="nil"/>
              <w:left w:val="nil"/>
              <w:bottom w:val="nil"/>
              <w:right w:val="nil"/>
              <w:tl2br w:val="nil"/>
              <w:tr2bl w:val="nil"/>
            </w:tcBorders>
            <w:tcMar>
              <w:left w:w="60" w:type="dxa"/>
              <w:right w:w="60" w:type="dxa"/>
            </w:tcMar>
            <w:vAlign w:val="center"/>
          </w:tcPr>
          <w:p w14:paraId="406B103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965" w:type="dxa"/>
            <w:tcBorders>
              <w:top w:val="nil"/>
              <w:left w:val="nil"/>
              <w:bottom w:val="nil"/>
              <w:right w:val="nil"/>
              <w:tl2br w:val="nil"/>
              <w:tr2bl w:val="nil"/>
            </w:tcBorders>
            <w:tcMar>
              <w:left w:w="60" w:type="dxa"/>
              <w:right w:w="60" w:type="dxa"/>
            </w:tcMar>
            <w:vAlign w:val="center"/>
          </w:tcPr>
          <w:p w14:paraId="665AFEA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089" w:type="dxa"/>
            <w:tcBorders>
              <w:top w:val="nil"/>
              <w:left w:val="nil"/>
              <w:bottom w:val="nil"/>
              <w:right w:val="nil"/>
              <w:tl2br w:val="nil"/>
              <w:tr2bl w:val="nil"/>
            </w:tcBorders>
            <w:tcMar>
              <w:left w:w="60" w:type="dxa"/>
              <w:right w:w="60" w:type="dxa"/>
            </w:tcMar>
            <w:vAlign w:val="center"/>
          </w:tcPr>
          <w:p w14:paraId="4BE733BD"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43</w:t>
            </w:r>
          </w:p>
        </w:tc>
      </w:tr>
      <w:tr w:rsidR="00807FFE" w14:paraId="3B0FADD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D5A953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71A7B40"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5" w:type="dxa"/>
            <w:tcBorders>
              <w:top w:val="nil"/>
              <w:left w:val="nil"/>
              <w:bottom w:val="nil"/>
              <w:right w:val="nil"/>
              <w:tl2br w:val="nil"/>
              <w:tr2bl w:val="nil"/>
            </w:tcBorders>
            <w:tcMar>
              <w:left w:w="60" w:type="dxa"/>
              <w:right w:w="60" w:type="dxa"/>
            </w:tcMar>
            <w:vAlign w:val="center"/>
          </w:tcPr>
          <w:p w14:paraId="5DF7293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6DF5943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0145309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14:paraId="56660CD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14:paraId="2408455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6C59E63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14:paraId="4FE289C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14:paraId="40CB71A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965" w:type="dxa"/>
            <w:tcBorders>
              <w:top w:val="nil"/>
              <w:left w:val="nil"/>
              <w:bottom w:val="nil"/>
              <w:right w:val="nil"/>
              <w:tl2br w:val="nil"/>
              <w:tr2bl w:val="nil"/>
            </w:tcBorders>
            <w:tcMar>
              <w:left w:w="60" w:type="dxa"/>
              <w:right w:w="60" w:type="dxa"/>
            </w:tcMar>
            <w:vAlign w:val="center"/>
          </w:tcPr>
          <w:p w14:paraId="57D2F00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127</w:t>
            </w:r>
          </w:p>
        </w:tc>
        <w:tc>
          <w:tcPr>
            <w:tcW w:w="1089" w:type="dxa"/>
            <w:tcBorders>
              <w:top w:val="nil"/>
              <w:left w:val="nil"/>
              <w:bottom w:val="nil"/>
              <w:right w:val="nil"/>
              <w:tl2br w:val="nil"/>
              <w:tr2bl w:val="nil"/>
            </w:tcBorders>
            <w:tcMar>
              <w:left w:w="60" w:type="dxa"/>
              <w:right w:w="60" w:type="dxa"/>
            </w:tcMar>
            <w:vAlign w:val="center"/>
          </w:tcPr>
          <w:p w14:paraId="524EFB6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203</w:t>
            </w:r>
          </w:p>
        </w:tc>
      </w:tr>
      <w:tr w:rsidR="00807FFE" w14:paraId="1DF99285"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638C912E"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22AA728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2: Cohesion, Resilience and Values</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FF825D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1 368</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DD18F6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225</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B77A05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538</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574FD4F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1 061</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CA914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878</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D83F1A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13 776</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9DB53C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52 352</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6E29387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190 270</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3E689C0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69 869</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4E368E2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330 336</w:t>
            </w:r>
          </w:p>
        </w:tc>
      </w:tr>
      <w:tr w:rsidR="00807FFE" w14:paraId="373BD11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A76ABF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5AF1C2A"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9D8220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39ECEF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E76EB2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32899C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79F3F6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34F43E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2ECE2B1"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74C157B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850241D"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75862B66"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4420B14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CD1C5C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3</w:t>
            </w:r>
          </w:p>
        </w:tc>
        <w:tc>
          <w:tcPr>
            <w:tcW w:w="4478" w:type="dxa"/>
            <w:tcBorders>
              <w:top w:val="nil"/>
              <w:left w:val="nil"/>
              <w:bottom w:val="nil"/>
              <w:right w:val="nil"/>
              <w:tl2br w:val="nil"/>
              <w:tr2bl w:val="nil"/>
            </w:tcBorders>
            <w:tcMar>
              <w:left w:w="60" w:type="dxa"/>
              <w:right w:w="60" w:type="dxa"/>
            </w:tcMar>
            <w:vAlign w:val="center"/>
          </w:tcPr>
          <w:p w14:paraId="669C923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Agricultural Guarantee Fund (EAGF)</w:t>
            </w:r>
          </w:p>
        </w:tc>
        <w:tc>
          <w:tcPr>
            <w:tcW w:w="965" w:type="dxa"/>
            <w:tcBorders>
              <w:top w:val="nil"/>
              <w:left w:val="nil"/>
              <w:bottom w:val="nil"/>
              <w:right w:val="nil"/>
              <w:tl2br w:val="nil"/>
              <w:tr2bl w:val="nil"/>
            </w:tcBorders>
            <w:tcMar>
              <w:left w:w="60" w:type="dxa"/>
              <w:right w:w="60" w:type="dxa"/>
            </w:tcMar>
            <w:vAlign w:val="center"/>
          </w:tcPr>
          <w:p w14:paraId="1FA25A0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26425F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47115EC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14:paraId="006CECC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14:paraId="6DC45FE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20</w:t>
            </w:r>
          </w:p>
        </w:tc>
        <w:tc>
          <w:tcPr>
            <w:tcW w:w="965" w:type="dxa"/>
            <w:tcBorders>
              <w:top w:val="nil"/>
              <w:left w:val="nil"/>
              <w:bottom w:val="nil"/>
              <w:right w:val="nil"/>
              <w:tl2br w:val="nil"/>
              <w:tr2bl w:val="nil"/>
            </w:tcBorders>
            <w:tcMar>
              <w:left w:w="60" w:type="dxa"/>
              <w:right w:w="60" w:type="dxa"/>
            </w:tcMar>
            <w:vAlign w:val="center"/>
          </w:tcPr>
          <w:p w14:paraId="219F804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965" w:type="dxa"/>
            <w:tcBorders>
              <w:top w:val="nil"/>
              <w:left w:val="nil"/>
              <w:bottom w:val="nil"/>
              <w:right w:val="nil"/>
              <w:tl2br w:val="nil"/>
              <w:tr2bl w:val="nil"/>
            </w:tcBorders>
            <w:tcMar>
              <w:left w:w="60" w:type="dxa"/>
              <w:right w:w="60" w:type="dxa"/>
            </w:tcMar>
            <w:vAlign w:val="center"/>
          </w:tcPr>
          <w:p w14:paraId="7F07F52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1061" w:type="dxa"/>
            <w:tcBorders>
              <w:top w:val="nil"/>
              <w:left w:val="nil"/>
              <w:bottom w:val="nil"/>
              <w:right w:val="nil"/>
              <w:tl2br w:val="nil"/>
              <w:tr2bl w:val="nil"/>
            </w:tcBorders>
            <w:tcMar>
              <w:left w:w="60" w:type="dxa"/>
              <w:right w:w="60" w:type="dxa"/>
            </w:tcMar>
            <w:vAlign w:val="center"/>
          </w:tcPr>
          <w:p w14:paraId="6F540A0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99</w:t>
            </w:r>
          </w:p>
        </w:tc>
        <w:tc>
          <w:tcPr>
            <w:tcW w:w="965" w:type="dxa"/>
            <w:tcBorders>
              <w:top w:val="nil"/>
              <w:left w:val="nil"/>
              <w:bottom w:val="nil"/>
              <w:right w:val="nil"/>
              <w:tl2br w:val="nil"/>
              <w:tr2bl w:val="nil"/>
            </w:tcBorders>
            <w:tcMar>
              <w:left w:w="60" w:type="dxa"/>
              <w:right w:w="60" w:type="dxa"/>
            </w:tcMar>
            <w:vAlign w:val="center"/>
          </w:tcPr>
          <w:p w14:paraId="0612290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105</w:t>
            </w:r>
          </w:p>
        </w:tc>
        <w:tc>
          <w:tcPr>
            <w:tcW w:w="1089" w:type="dxa"/>
            <w:tcBorders>
              <w:top w:val="nil"/>
              <w:left w:val="nil"/>
              <w:bottom w:val="nil"/>
              <w:right w:val="nil"/>
              <w:tl2br w:val="nil"/>
              <w:tr2bl w:val="nil"/>
            </w:tcBorders>
            <w:tcMar>
              <w:left w:w="60" w:type="dxa"/>
              <w:right w:w="60" w:type="dxa"/>
            </w:tcMar>
            <w:vAlign w:val="center"/>
          </w:tcPr>
          <w:p w14:paraId="01BCD41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335</w:t>
            </w:r>
          </w:p>
        </w:tc>
      </w:tr>
      <w:tr w:rsidR="00807FFE" w14:paraId="6F185DAC"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53D922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61C330A"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Agricultural Fund for Rural Development (EAFRD)</w:t>
            </w:r>
          </w:p>
        </w:tc>
        <w:tc>
          <w:tcPr>
            <w:tcW w:w="965" w:type="dxa"/>
            <w:tcBorders>
              <w:top w:val="nil"/>
              <w:left w:val="nil"/>
              <w:bottom w:val="nil"/>
              <w:right w:val="nil"/>
              <w:tl2br w:val="nil"/>
              <w:tr2bl w:val="nil"/>
            </w:tcBorders>
            <w:tcMar>
              <w:left w:w="60" w:type="dxa"/>
              <w:right w:w="60" w:type="dxa"/>
            </w:tcMar>
            <w:vAlign w:val="center"/>
          </w:tcPr>
          <w:p w14:paraId="52DED6C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2 378</w:t>
            </w:r>
          </w:p>
        </w:tc>
        <w:tc>
          <w:tcPr>
            <w:tcW w:w="965" w:type="dxa"/>
            <w:tcBorders>
              <w:top w:val="nil"/>
              <w:left w:val="nil"/>
              <w:bottom w:val="nil"/>
              <w:right w:val="nil"/>
              <w:tl2br w:val="nil"/>
              <w:tr2bl w:val="nil"/>
            </w:tcBorders>
            <w:tcMar>
              <w:left w:w="60" w:type="dxa"/>
              <w:right w:w="60" w:type="dxa"/>
            </w:tcMar>
            <w:vAlign w:val="center"/>
          </w:tcPr>
          <w:p w14:paraId="49E3845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747</w:t>
            </w:r>
          </w:p>
        </w:tc>
        <w:tc>
          <w:tcPr>
            <w:tcW w:w="965" w:type="dxa"/>
            <w:tcBorders>
              <w:top w:val="nil"/>
              <w:left w:val="nil"/>
              <w:bottom w:val="nil"/>
              <w:right w:val="nil"/>
              <w:tl2br w:val="nil"/>
              <w:tr2bl w:val="nil"/>
            </w:tcBorders>
            <w:tcMar>
              <w:left w:w="60" w:type="dxa"/>
              <w:right w:w="60" w:type="dxa"/>
            </w:tcMar>
            <w:vAlign w:val="center"/>
          </w:tcPr>
          <w:p w14:paraId="3857C4F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758</w:t>
            </w:r>
          </w:p>
        </w:tc>
        <w:tc>
          <w:tcPr>
            <w:tcW w:w="965" w:type="dxa"/>
            <w:tcBorders>
              <w:top w:val="nil"/>
              <w:left w:val="nil"/>
              <w:bottom w:val="nil"/>
              <w:right w:val="nil"/>
              <w:tl2br w:val="nil"/>
              <w:tr2bl w:val="nil"/>
            </w:tcBorders>
            <w:tcMar>
              <w:left w:w="60" w:type="dxa"/>
              <w:right w:w="60" w:type="dxa"/>
            </w:tcMar>
            <w:vAlign w:val="center"/>
          </w:tcPr>
          <w:p w14:paraId="1A2CBBC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761</w:t>
            </w:r>
          </w:p>
        </w:tc>
        <w:tc>
          <w:tcPr>
            <w:tcW w:w="965" w:type="dxa"/>
            <w:tcBorders>
              <w:top w:val="nil"/>
              <w:left w:val="nil"/>
              <w:bottom w:val="nil"/>
              <w:right w:val="nil"/>
              <w:tl2br w:val="nil"/>
              <w:tr2bl w:val="nil"/>
            </w:tcBorders>
            <w:tcMar>
              <w:left w:w="60" w:type="dxa"/>
              <w:right w:w="60" w:type="dxa"/>
            </w:tcMar>
            <w:vAlign w:val="center"/>
          </w:tcPr>
          <w:p w14:paraId="412DB9E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14:paraId="1240EA1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900</w:t>
            </w:r>
          </w:p>
        </w:tc>
        <w:tc>
          <w:tcPr>
            <w:tcW w:w="965" w:type="dxa"/>
            <w:tcBorders>
              <w:top w:val="nil"/>
              <w:left w:val="nil"/>
              <w:bottom w:val="nil"/>
              <w:right w:val="nil"/>
              <w:tl2br w:val="nil"/>
              <w:tr2bl w:val="nil"/>
            </w:tcBorders>
            <w:tcMar>
              <w:left w:w="60" w:type="dxa"/>
              <w:right w:w="60" w:type="dxa"/>
            </w:tcMar>
            <w:vAlign w:val="center"/>
          </w:tcPr>
          <w:p w14:paraId="5F61702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936</w:t>
            </w:r>
          </w:p>
        </w:tc>
        <w:tc>
          <w:tcPr>
            <w:tcW w:w="1061" w:type="dxa"/>
            <w:tcBorders>
              <w:top w:val="nil"/>
              <w:left w:val="nil"/>
              <w:bottom w:val="nil"/>
              <w:right w:val="nil"/>
              <w:tl2br w:val="nil"/>
              <w:tr2bl w:val="nil"/>
            </w:tcBorders>
            <w:tcMar>
              <w:left w:w="60" w:type="dxa"/>
              <w:right w:w="60" w:type="dxa"/>
            </w:tcMar>
            <w:vAlign w:val="center"/>
          </w:tcPr>
          <w:p w14:paraId="3817CB4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12 947</w:t>
            </w:r>
          </w:p>
        </w:tc>
        <w:tc>
          <w:tcPr>
            <w:tcW w:w="965" w:type="dxa"/>
            <w:tcBorders>
              <w:top w:val="nil"/>
              <w:left w:val="nil"/>
              <w:bottom w:val="nil"/>
              <w:right w:val="nil"/>
              <w:tl2br w:val="nil"/>
              <w:tr2bl w:val="nil"/>
            </w:tcBorders>
            <w:tcMar>
              <w:left w:w="60" w:type="dxa"/>
              <w:right w:w="60" w:type="dxa"/>
            </w:tcMar>
            <w:vAlign w:val="center"/>
          </w:tcPr>
          <w:p w14:paraId="03DD3C9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13 218</w:t>
            </w:r>
          </w:p>
        </w:tc>
        <w:tc>
          <w:tcPr>
            <w:tcW w:w="1089" w:type="dxa"/>
            <w:tcBorders>
              <w:top w:val="nil"/>
              <w:left w:val="nil"/>
              <w:bottom w:val="nil"/>
              <w:right w:val="nil"/>
              <w:tl2br w:val="nil"/>
              <w:tr2bl w:val="nil"/>
            </w:tcBorders>
            <w:tcMar>
              <w:left w:w="60" w:type="dxa"/>
              <w:right w:w="60" w:type="dxa"/>
            </w:tcMar>
            <w:vAlign w:val="center"/>
          </w:tcPr>
          <w:p w14:paraId="596ABE6E"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32 652</w:t>
            </w:r>
          </w:p>
        </w:tc>
      </w:tr>
      <w:tr w:rsidR="00807FFE" w14:paraId="7917DFC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CE75EA"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F8E512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Maritime, Fisheries and Aquaculture Fund (EMFAF)</w:t>
            </w:r>
          </w:p>
        </w:tc>
        <w:tc>
          <w:tcPr>
            <w:tcW w:w="965" w:type="dxa"/>
            <w:tcBorders>
              <w:top w:val="nil"/>
              <w:left w:val="nil"/>
              <w:bottom w:val="nil"/>
              <w:right w:val="nil"/>
              <w:tl2br w:val="nil"/>
              <w:tr2bl w:val="nil"/>
            </w:tcBorders>
            <w:tcMar>
              <w:left w:w="60" w:type="dxa"/>
              <w:right w:w="60" w:type="dxa"/>
            </w:tcMar>
            <w:vAlign w:val="center"/>
          </w:tcPr>
          <w:p w14:paraId="21CCE38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14:paraId="4C422E2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21F256A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8F32A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14:paraId="53B21E3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733DA97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293</w:t>
            </w:r>
          </w:p>
        </w:tc>
        <w:tc>
          <w:tcPr>
            <w:tcW w:w="965" w:type="dxa"/>
            <w:tcBorders>
              <w:top w:val="nil"/>
              <w:left w:val="nil"/>
              <w:bottom w:val="nil"/>
              <w:right w:val="nil"/>
              <w:tl2br w:val="nil"/>
              <w:tr2bl w:val="nil"/>
            </w:tcBorders>
            <w:tcMar>
              <w:left w:w="60" w:type="dxa"/>
              <w:right w:w="60" w:type="dxa"/>
            </w:tcMar>
            <w:vAlign w:val="center"/>
          </w:tcPr>
          <w:p w14:paraId="1F9A849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1 001</w:t>
            </w:r>
          </w:p>
        </w:tc>
        <w:tc>
          <w:tcPr>
            <w:tcW w:w="1061" w:type="dxa"/>
            <w:tcBorders>
              <w:top w:val="nil"/>
              <w:left w:val="nil"/>
              <w:bottom w:val="nil"/>
              <w:right w:val="nil"/>
              <w:tl2br w:val="nil"/>
              <w:tr2bl w:val="nil"/>
            </w:tcBorders>
            <w:tcMar>
              <w:left w:w="60" w:type="dxa"/>
              <w:right w:w="60" w:type="dxa"/>
            </w:tcMar>
            <w:vAlign w:val="center"/>
          </w:tcPr>
          <w:p w14:paraId="05DD1FE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1 320</w:t>
            </w:r>
          </w:p>
        </w:tc>
        <w:tc>
          <w:tcPr>
            <w:tcW w:w="965" w:type="dxa"/>
            <w:tcBorders>
              <w:top w:val="nil"/>
              <w:left w:val="nil"/>
              <w:bottom w:val="nil"/>
              <w:right w:val="nil"/>
              <w:tl2br w:val="nil"/>
              <w:tr2bl w:val="nil"/>
            </w:tcBorders>
            <w:tcMar>
              <w:left w:w="60" w:type="dxa"/>
              <w:right w:w="60" w:type="dxa"/>
            </w:tcMar>
            <w:vAlign w:val="center"/>
          </w:tcPr>
          <w:p w14:paraId="0F1C7C6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930</w:t>
            </w:r>
          </w:p>
        </w:tc>
        <w:tc>
          <w:tcPr>
            <w:tcW w:w="1089" w:type="dxa"/>
            <w:tcBorders>
              <w:top w:val="nil"/>
              <w:left w:val="nil"/>
              <w:bottom w:val="nil"/>
              <w:right w:val="nil"/>
              <w:tl2br w:val="nil"/>
              <w:tr2bl w:val="nil"/>
            </w:tcBorders>
            <w:tcMar>
              <w:left w:w="60" w:type="dxa"/>
              <w:right w:w="60" w:type="dxa"/>
            </w:tcMar>
            <w:vAlign w:val="center"/>
          </w:tcPr>
          <w:p w14:paraId="52DCBBA7"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3 613</w:t>
            </w:r>
          </w:p>
        </w:tc>
      </w:tr>
      <w:tr w:rsidR="00807FFE" w14:paraId="6ED819D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3F043D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367364B"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Sustainable Fisheries Partnership Agreements (SFPA) and Regional Fisheries Management Organisations (RFMO)</w:t>
            </w:r>
          </w:p>
        </w:tc>
        <w:tc>
          <w:tcPr>
            <w:tcW w:w="965" w:type="dxa"/>
            <w:tcBorders>
              <w:top w:val="nil"/>
              <w:left w:val="nil"/>
              <w:bottom w:val="nil"/>
              <w:right w:val="nil"/>
              <w:tl2br w:val="nil"/>
              <w:tr2bl w:val="nil"/>
            </w:tcBorders>
            <w:tcMar>
              <w:left w:w="60" w:type="dxa"/>
              <w:right w:w="60" w:type="dxa"/>
            </w:tcMar>
            <w:vAlign w:val="center"/>
          </w:tcPr>
          <w:p w14:paraId="399AB50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F1EFEC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3218F4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981A4D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D9D284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11F7F7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2069D73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14:paraId="1773254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14:paraId="376A517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1089" w:type="dxa"/>
            <w:tcBorders>
              <w:top w:val="nil"/>
              <w:left w:val="nil"/>
              <w:bottom w:val="nil"/>
              <w:right w:val="nil"/>
              <w:tl2br w:val="nil"/>
              <w:tr2bl w:val="nil"/>
            </w:tcBorders>
            <w:tcMar>
              <w:left w:w="60" w:type="dxa"/>
              <w:right w:w="60" w:type="dxa"/>
            </w:tcMar>
            <w:vAlign w:val="center"/>
          </w:tcPr>
          <w:p w14:paraId="04C403F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42</w:t>
            </w:r>
          </w:p>
        </w:tc>
      </w:tr>
      <w:tr w:rsidR="00807FFE" w14:paraId="75E2523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364B03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8C8F6B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50AE728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F6C4BA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89E4E3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C2C191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2CBFB5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67562D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05CA03A"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3C7BB9A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718EC4D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14:paraId="0D223F4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8B1D16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67A115C"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3F89B37"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4367479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C31ADE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8E8D55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74DA92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95EED4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9C1616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0AC3B25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14:paraId="109DBDB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14:paraId="0E834CC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14:paraId="5E2626F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w:t>
            </w:r>
          </w:p>
        </w:tc>
      </w:tr>
      <w:tr w:rsidR="00807FFE" w14:paraId="40AEB20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8BB706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9D3EF5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Programme for Environment and Climate Action (LIFE)</w:t>
            </w:r>
          </w:p>
        </w:tc>
        <w:tc>
          <w:tcPr>
            <w:tcW w:w="965" w:type="dxa"/>
            <w:tcBorders>
              <w:top w:val="nil"/>
              <w:left w:val="nil"/>
              <w:bottom w:val="nil"/>
              <w:right w:val="nil"/>
              <w:tl2br w:val="nil"/>
              <w:tr2bl w:val="nil"/>
            </w:tcBorders>
            <w:tcMar>
              <w:left w:w="60" w:type="dxa"/>
              <w:right w:w="60" w:type="dxa"/>
            </w:tcMar>
            <w:vAlign w:val="center"/>
          </w:tcPr>
          <w:p w14:paraId="4292BBB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965" w:type="dxa"/>
            <w:tcBorders>
              <w:top w:val="nil"/>
              <w:left w:val="nil"/>
              <w:bottom w:val="nil"/>
              <w:right w:val="nil"/>
              <w:tl2br w:val="nil"/>
              <w:tr2bl w:val="nil"/>
            </w:tcBorders>
            <w:tcMar>
              <w:left w:w="60" w:type="dxa"/>
              <w:right w:w="60" w:type="dxa"/>
            </w:tcMar>
            <w:vAlign w:val="center"/>
          </w:tcPr>
          <w:p w14:paraId="1238622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153</w:t>
            </w:r>
          </w:p>
        </w:tc>
        <w:tc>
          <w:tcPr>
            <w:tcW w:w="965" w:type="dxa"/>
            <w:tcBorders>
              <w:top w:val="nil"/>
              <w:left w:val="nil"/>
              <w:bottom w:val="nil"/>
              <w:right w:val="nil"/>
              <w:tl2br w:val="nil"/>
              <w:tr2bl w:val="nil"/>
            </w:tcBorders>
            <w:tcMar>
              <w:left w:w="60" w:type="dxa"/>
              <w:right w:w="60" w:type="dxa"/>
            </w:tcMar>
            <w:vAlign w:val="center"/>
          </w:tcPr>
          <w:p w14:paraId="18194F2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128</w:t>
            </w:r>
          </w:p>
        </w:tc>
        <w:tc>
          <w:tcPr>
            <w:tcW w:w="965" w:type="dxa"/>
            <w:tcBorders>
              <w:top w:val="nil"/>
              <w:left w:val="nil"/>
              <w:bottom w:val="nil"/>
              <w:right w:val="nil"/>
              <w:tl2br w:val="nil"/>
              <w:tr2bl w:val="nil"/>
            </w:tcBorders>
            <w:tcMar>
              <w:left w:w="60" w:type="dxa"/>
              <w:right w:w="60" w:type="dxa"/>
            </w:tcMar>
            <w:vAlign w:val="center"/>
          </w:tcPr>
          <w:p w14:paraId="1DFD4EE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149</w:t>
            </w:r>
          </w:p>
        </w:tc>
        <w:tc>
          <w:tcPr>
            <w:tcW w:w="965" w:type="dxa"/>
            <w:tcBorders>
              <w:top w:val="nil"/>
              <w:left w:val="nil"/>
              <w:bottom w:val="nil"/>
              <w:right w:val="nil"/>
              <w:tl2br w:val="nil"/>
              <w:tr2bl w:val="nil"/>
            </w:tcBorders>
            <w:tcMar>
              <w:left w:w="60" w:type="dxa"/>
              <w:right w:w="60" w:type="dxa"/>
            </w:tcMar>
            <w:vAlign w:val="center"/>
          </w:tcPr>
          <w:p w14:paraId="19C7AF7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244</w:t>
            </w:r>
          </w:p>
        </w:tc>
        <w:tc>
          <w:tcPr>
            <w:tcW w:w="965" w:type="dxa"/>
            <w:tcBorders>
              <w:top w:val="nil"/>
              <w:left w:val="nil"/>
              <w:bottom w:val="nil"/>
              <w:right w:val="nil"/>
              <w:tl2br w:val="nil"/>
              <w:tr2bl w:val="nil"/>
            </w:tcBorders>
            <w:tcMar>
              <w:left w:w="60" w:type="dxa"/>
              <w:right w:w="60" w:type="dxa"/>
            </w:tcMar>
            <w:vAlign w:val="center"/>
          </w:tcPr>
          <w:p w14:paraId="1CA2EB4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337</w:t>
            </w:r>
          </w:p>
        </w:tc>
        <w:tc>
          <w:tcPr>
            <w:tcW w:w="965" w:type="dxa"/>
            <w:tcBorders>
              <w:top w:val="nil"/>
              <w:left w:val="nil"/>
              <w:bottom w:val="nil"/>
              <w:right w:val="nil"/>
              <w:tl2br w:val="nil"/>
              <w:tr2bl w:val="nil"/>
            </w:tcBorders>
            <w:tcMar>
              <w:left w:w="60" w:type="dxa"/>
              <w:right w:w="60" w:type="dxa"/>
            </w:tcMar>
            <w:vAlign w:val="center"/>
          </w:tcPr>
          <w:p w14:paraId="3129D3F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445</w:t>
            </w:r>
          </w:p>
        </w:tc>
        <w:tc>
          <w:tcPr>
            <w:tcW w:w="1061" w:type="dxa"/>
            <w:tcBorders>
              <w:top w:val="nil"/>
              <w:left w:val="nil"/>
              <w:bottom w:val="nil"/>
              <w:right w:val="nil"/>
              <w:tl2br w:val="nil"/>
              <w:tr2bl w:val="nil"/>
            </w:tcBorders>
            <w:tcMar>
              <w:left w:w="60" w:type="dxa"/>
              <w:right w:w="60" w:type="dxa"/>
            </w:tcMar>
            <w:vAlign w:val="center"/>
          </w:tcPr>
          <w:p w14:paraId="2CB5B99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508</w:t>
            </w:r>
          </w:p>
        </w:tc>
        <w:tc>
          <w:tcPr>
            <w:tcW w:w="965" w:type="dxa"/>
            <w:tcBorders>
              <w:top w:val="nil"/>
              <w:left w:val="nil"/>
              <w:bottom w:val="nil"/>
              <w:right w:val="nil"/>
              <w:tl2br w:val="nil"/>
              <w:tr2bl w:val="nil"/>
            </w:tcBorders>
            <w:tcMar>
              <w:left w:w="60" w:type="dxa"/>
              <w:right w:w="60" w:type="dxa"/>
            </w:tcMar>
            <w:vAlign w:val="center"/>
          </w:tcPr>
          <w:p w14:paraId="529ECB2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744</w:t>
            </w:r>
          </w:p>
        </w:tc>
        <w:tc>
          <w:tcPr>
            <w:tcW w:w="1089" w:type="dxa"/>
            <w:tcBorders>
              <w:top w:val="nil"/>
              <w:left w:val="nil"/>
              <w:bottom w:val="nil"/>
              <w:right w:val="nil"/>
              <w:tl2br w:val="nil"/>
              <w:tr2bl w:val="nil"/>
            </w:tcBorders>
            <w:tcMar>
              <w:left w:w="60" w:type="dxa"/>
              <w:right w:w="60" w:type="dxa"/>
            </w:tcMar>
            <w:vAlign w:val="center"/>
          </w:tcPr>
          <w:p w14:paraId="30E44819"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2 787</w:t>
            </w:r>
          </w:p>
        </w:tc>
      </w:tr>
      <w:tr w:rsidR="00807FFE" w14:paraId="015E7A2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8EFE92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6CFF1E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Just Transition Fund</w:t>
            </w:r>
          </w:p>
        </w:tc>
        <w:tc>
          <w:tcPr>
            <w:tcW w:w="965" w:type="dxa"/>
            <w:tcBorders>
              <w:top w:val="nil"/>
              <w:left w:val="nil"/>
              <w:bottom w:val="nil"/>
              <w:right w:val="nil"/>
              <w:tl2br w:val="nil"/>
              <w:tr2bl w:val="nil"/>
            </w:tcBorders>
            <w:tcMar>
              <w:left w:w="60" w:type="dxa"/>
              <w:right w:w="60" w:type="dxa"/>
            </w:tcMar>
            <w:vAlign w:val="center"/>
          </w:tcPr>
          <w:p w14:paraId="228107D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B17590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9BEBCF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564AA7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1EBB94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B2F6E7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1 299</w:t>
            </w:r>
          </w:p>
        </w:tc>
        <w:tc>
          <w:tcPr>
            <w:tcW w:w="965" w:type="dxa"/>
            <w:tcBorders>
              <w:top w:val="nil"/>
              <w:left w:val="nil"/>
              <w:bottom w:val="nil"/>
              <w:right w:val="nil"/>
              <w:tl2br w:val="nil"/>
              <w:tr2bl w:val="nil"/>
            </w:tcBorders>
            <w:tcMar>
              <w:left w:w="60" w:type="dxa"/>
              <w:right w:w="60" w:type="dxa"/>
            </w:tcMar>
            <w:vAlign w:val="center"/>
          </w:tcPr>
          <w:p w14:paraId="75ACF83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1 442</w:t>
            </w:r>
          </w:p>
        </w:tc>
        <w:tc>
          <w:tcPr>
            <w:tcW w:w="1061" w:type="dxa"/>
            <w:tcBorders>
              <w:top w:val="nil"/>
              <w:left w:val="nil"/>
              <w:bottom w:val="nil"/>
              <w:right w:val="nil"/>
              <w:tl2br w:val="nil"/>
              <w:tr2bl w:val="nil"/>
            </w:tcBorders>
            <w:tcMar>
              <w:left w:w="60" w:type="dxa"/>
              <w:right w:w="60" w:type="dxa"/>
            </w:tcMar>
            <w:vAlign w:val="center"/>
          </w:tcPr>
          <w:p w14:paraId="07BB169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4 900</w:t>
            </w:r>
          </w:p>
        </w:tc>
        <w:tc>
          <w:tcPr>
            <w:tcW w:w="965" w:type="dxa"/>
            <w:tcBorders>
              <w:top w:val="nil"/>
              <w:left w:val="nil"/>
              <w:bottom w:val="nil"/>
              <w:right w:val="nil"/>
              <w:tl2br w:val="nil"/>
              <w:tr2bl w:val="nil"/>
            </w:tcBorders>
            <w:tcMar>
              <w:left w:w="60" w:type="dxa"/>
              <w:right w:w="60" w:type="dxa"/>
            </w:tcMar>
            <w:vAlign w:val="center"/>
          </w:tcPr>
          <w:p w14:paraId="2F5DA8B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1 503</w:t>
            </w:r>
          </w:p>
        </w:tc>
        <w:tc>
          <w:tcPr>
            <w:tcW w:w="1089" w:type="dxa"/>
            <w:tcBorders>
              <w:top w:val="nil"/>
              <w:left w:val="nil"/>
              <w:bottom w:val="nil"/>
              <w:right w:val="nil"/>
              <w:tl2br w:val="nil"/>
              <w:tr2bl w:val="nil"/>
            </w:tcBorders>
            <w:tcMar>
              <w:left w:w="60" w:type="dxa"/>
              <w:right w:w="60" w:type="dxa"/>
            </w:tcMar>
            <w:vAlign w:val="center"/>
          </w:tcPr>
          <w:p w14:paraId="371D7D5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9 145</w:t>
            </w:r>
          </w:p>
        </w:tc>
      </w:tr>
      <w:tr w:rsidR="00807FFE" w14:paraId="1BCDE79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080F43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E250DB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Public sector loan facility under the Just Transition Mechanism (JTM)</w:t>
            </w:r>
          </w:p>
        </w:tc>
        <w:tc>
          <w:tcPr>
            <w:tcW w:w="965" w:type="dxa"/>
            <w:tcBorders>
              <w:top w:val="nil"/>
              <w:left w:val="nil"/>
              <w:bottom w:val="nil"/>
              <w:right w:val="nil"/>
              <w:tl2br w:val="nil"/>
              <w:tr2bl w:val="nil"/>
            </w:tcBorders>
            <w:tcMar>
              <w:left w:w="60" w:type="dxa"/>
              <w:right w:w="60" w:type="dxa"/>
            </w:tcMar>
            <w:vAlign w:val="center"/>
          </w:tcPr>
          <w:p w14:paraId="3E8AF10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34D010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C2C5DB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D1484C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737C3C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15D92C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DD41FE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14:paraId="1DD8AB5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89</w:t>
            </w:r>
          </w:p>
        </w:tc>
        <w:tc>
          <w:tcPr>
            <w:tcW w:w="965" w:type="dxa"/>
            <w:tcBorders>
              <w:top w:val="nil"/>
              <w:left w:val="nil"/>
              <w:bottom w:val="nil"/>
              <w:right w:val="nil"/>
              <w:tl2br w:val="nil"/>
              <w:tr2bl w:val="nil"/>
            </w:tcBorders>
            <w:tcMar>
              <w:left w:w="60" w:type="dxa"/>
              <w:right w:w="60" w:type="dxa"/>
            </w:tcMar>
            <w:vAlign w:val="center"/>
          </w:tcPr>
          <w:p w14:paraId="1C3150C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2AF533B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94</w:t>
            </w:r>
          </w:p>
        </w:tc>
      </w:tr>
      <w:tr w:rsidR="00807FFE" w14:paraId="5FE283E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53B871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7B97BE2"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41D2455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ABC372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619CFE1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ECC2B7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59AC6B2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4697280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2FE7A09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14:paraId="640860A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14:paraId="306FB49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14:paraId="486EDB5E"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14</w:t>
            </w:r>
          </w:p>
        </w:tc>
      </w:tr>
      <w:tr w:rsidR="00807FFE" w14:paraId="71F7056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FEC390D"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455574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5" w:type="dxa"/>
            <w:tcBorders>
              <w:top w:val="nil"/>
              <w:left w:val="nil"/>
              <w:bottom w:val="nil"/>
              <w:right w:val="nil"/>
              <w:tl2br w:val="nil"/>
              <w:tr2bl w:val="nil"/>
            </w:tcBorders>
            <w:tcMar>
              <w:left w:w="60" w:type="dxa"/>
              <w:right w:w="60" w:type="dxa"/>
            </w:tcMar>
            <w:vAlign w:val="center"/>
          </w:tcPr>
          <w:p w14:paraId="09030BE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4ED4CC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EA650C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D765CE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0D7E07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4CC06E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232CB6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01B205D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2597A1C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089" w:type="dxa"/>
            <w:tcBorders>
              <w:top w:val="nil"/>
              <w:left w:val="nil"/>
              <w:bottom w:val="nil"/>
              <w:right w:val="nil"/>
              <w:tl2br w:val="nil"/>
              <w:tr2bl w:val="nil"/>
            </w:tcBorders>
            <w:tcMar>
              <w:left w:w="60" w:type="dxa"/>
              <w:right w:w="60" w:type="dxa"/>
            </w:tcMar>
            <w:vAlign w:val="center"/>
          </w:tcPr>
          <w:p w14:paraId="4526863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29</w:t>
            </w:r>
          </w:p>
        </w:tc>
      </w:tr>
      <w:tr w:rsidR="00807FFE" w14:paraId="545FF326"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2C97271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3DC2B1A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3: Natural Resources and Environment</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1275FB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2 507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0E90B55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907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089C92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896</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0F6FBB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946</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3E2382C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275</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35E052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2 859</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8F9A89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3 882</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1CC4FAC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19 889</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BD5630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16 558</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54441ED7"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48 718</w:t>
            </w:r>
          </w:p>
        </w:tc>
      </w:tr>
      <w:tr w:rsidR="00807FFE" w14:paraId="168404C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FFFD8DC"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52F6AE2"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724166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E7D218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17BE7E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97D253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108CE8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9E8B37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F39B791"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44441FA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47E10D3"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73581E01"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4440D06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1B7F5D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4</w:t>
            </w:r>
          </w:p>
        </w:tc>
        <w:tc>
          <w:tcPr>
            <w:tcW w:w="4478" w:type="dxa"/>
            <w:tcBorders>
              <w:top w:val="nil"/>
              <w:left w:val="nil"/>
              <w:bottom w:val="nil"/>
              <w:right w:val="nil"/>
              <w:tl2br w:val="nil"/>
              <w:tr2bl w:val="nil"/>
            </w:tcBorders>
            <w:tcMar>
              <w:left w:w="60" w:type="dxa"/>
              <w:right w:w="60" w:type="dxa"/>
            </w:tcMar>
            <w:vAlign w:val="center"/>
          </w:tcPr>
          <w:p w14:paraId="696052F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Asylum, Migration and Integration Fund</w:t>
            </w:r>
          </w:p>
        </w:tc>
        <w:tc>
          <w:tcPr>
            <w:tcW w:w="965" w:type="dxa"/>
            <w:tcBorders>
              <w:top w:val="nil"/>
              <w:left w:val="nil"/>
              <w:bottom w:val="nil"/>
              <w:right w:val="nil"/>
              <w:tl2br w:val="nil"/>
              <w:tr2bl w:val="nil"/>
            </w:tcBorders>
            <w:tcMar>
              <w:left w:w="60" w:type="dxa"/>
              <w:right w:w="60" w:type="dxa"/>
            </w:tcMar>
            <w:vAlign w:val="center"/>
          </w:tcPr>
          <w:p w14:paraId="2F5B973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965" w:type="dxa"/>
            <w:tcBorders>
              <w:top w:val="nil"/>
              <w:left w:val="nil"/>
              <w:bottom w:val="nil"/>
              <w:right w:val="nil"/>
              <w:tl2br w:val="nil"/>
              <w:tr2bl w:val="nil"/>
            </w:tcBorders>
            <w:tcMar>
              <w:left w:w="60" w:type="dxa"/>
              <w:right w:w="60" w:type="dxa"/>
            </w:tcMar>
            <w:vAlign w:val="center"/>
          </w:tcPr>
          <w:p w14:paraId="67C5B9E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965" w:type="dxa"/>
            <w:tcBorders>
              <w:top w:val="nil"/>
              <w:left w:val="nil"/>
              <w:bottom w:val="nil"/>
              <w:right w:val="nil"/>
              <w:tl2br w:val="nil"/>
              <w:tr2bl w:val="nil"/>
            </w:tcBorders>
            <w:tcMar>
              <w:left w:w="60" w:type="dxa"/>
              <w:right w:w="60" w:type="dxa"/>
            </w:tcMar>
            <w:vAlign w:val="center"/>
          </w:tcPr>
          <w:p w14:paraId="2779BC5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57</w:t>
            </w:r>
          </w:p>
        </w:tc>
        <w:tc>
          <w:tcPr>
            <w:tcW w:w="965" w:type="dxa"/>
            <w:tcBorders>
              <w:top w:val="nil"/>
              <w:left w:val="nil"/>
              <w:bottom w:val="nil"/>
              <w:right w:val="nil"/>
              <w:tl2br w:val="nil"/>
              <w:tr2bl w:val="nil"/>
            </w:tcBorders>
            <w:tcMar>
              <w:left w:w="60" w:type="dxa"/>
              <w:right w:w="60" w:type="dxa"/>
            </w:tcMar>
            <w:vAlign w:val="center"/>
          </w:tcPr>
          <w:p w14:paraId="043B454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346</w:t>
            </w:r>
          </w:p>
        </w:tc>
        <w:tc>
          <w:tcPr>
            <w:tcW w:w="965" w:type="dxa"/>
            <w:tcBorders>
              <w:top w:val="nil"/>
              <w:left w:val="nil"/>
              <w:bottom w:val="nil"/>
              <w:right w:val="nil"/>
              <w:tl2br w:val="nil"/>
              <w:tr2bl w:val="nil"/>
            </w:tcBorders>
            <w:tcMar>
              <w:left w:w="60" w:type="dxa"/>
              <w:right w:w="60" w:type="dxa"/>
            </w:tcMar>
            <w:vAlign w:val="center"/>
          </w:tcPr>
          <w:p w14:paraId="70DC747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546C559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14:paraId="5B1B63D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261</w:t>
            </w:r>
          </w:p>
        </w:tc>
        <w:tc>
          <w:tcPr>
            <w:tcW w:w="1061" w:type="dxa"/>
            <w:tcBorders>
              <w:top w:val="nil"/>
              <w:left w:val="nil"/>
              <w:bottom w:val="nil"/>
              <w:right w:val="nil"/>
              <w:tl2br w:val="nil"/>
              <w:tr2bl w:val="nil"/>
            </w:tcBorders>
            <w:tcMar>
              <w:left w:w="60" w:type="dxa"/>
              <w:right w:w="60" w:type="dxa"/>
            </w:tcMar>
            <w:vAlign w:val="center"/>
          </w:tcPr>
          <w:p w14:paraId="44D1B92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861</w:t>
            </w:r>
          </w:p>
        </w:tc>
        <w:tc>
          <w:tcPr>
            <w:tcW w:w="965" w:type="dxa"/>
            <w:tcBorders>
              <w:top w:val="nil"/>
              <w:left w:val="nil"/>
              <w:bottom w:val="nil"/>
              <w:right w:val="nil"/>
              <w:tl2br w:val="nil"/>
              <w:tr2bl w:val="nil"/>
            </w:tcBorders>
            <w:tcMar>
              <w:left w:w="60" w:type="dxa"/>
              <w:right w:w="60" w:type="dxa"/>
            </w:tcMar>
            <w:vAlign w:val="center"/>
          </w:tcPr>
          <w:p w14:paraId="3CB8A75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1 852</w:t>
            </w:r>
          </w:p>
        </w:tc>
        <w:tc>
          <w:tcPr>
            <w:tcW w:w="1089" w:type="dxa"/>
            <w:tcBorders>
              <w:top w:val="nil"/>
              <w:left w:val="nil"/>
              <w:bottom w:val="nil"/>
              <w:right w:val="nil"/>
              <w:tl2br w:val="nil"/>
              <w:tr2bl w:val="nil"/>
            </w:tcBorders>
            <w:tcMar>
              <w:left w:w="60" w:type="dxa"/>
              <w:right w:w="60" w:type="dxa"/>
            </w:tcMar>
            <w:vAlign w:val="center"/>
          </w:tcPr>
          <w:p w14:paraId="12F7B75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3 495</w:t>
            </w:r>
          </w:p>
        </w:tc>
      </w:tr>
      <w:tr w:rsidR="00807FFE" w14:paraId="02283CD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587024B"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76F9DB0"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0001236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6B7342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D5895E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A7CCA6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06D2CC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75BAEF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43538641"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76524D9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4E7896B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14:paraId="033ACF1D"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0AE96FB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CB2CB8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236556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border management and visa (BMVI)</w:t>
            </w:r>
          </w:p>
        </w:tc>
        <w:tc>
          <w:tcPr>
            <w:tcW w:w="965" w:type="dxa"/>
            <w:tcBorders>
              <w:top w:val="nil"/>
              <w:left w:val="nil"/>
              <w:bottom w:val="nil"/>
              <w:right w:val="nil"/>
              <w:tl2br w:val="nil"/>
              <w:tr2bl w:val="nil"/>
            </w:tcBorders>
            <w:tcMar>
              <w:left w:w="60" w:type="dxa"/>
              <w:right w:w="60" w:type="dxa"/>
            </w:tcMar>
            <w:vAlign w:val="center"/>
          </w:tcPr>
          <w:p w14:paraId="0977031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14:paraId="35BD9B4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14:paraId="45FB1FE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14:paraId="4E02C4D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207</w:t>
            </w:r>
          </w:p>
        </w:tc>
        <w:tc>
          <w:tcPr>
            <w:tcW w:w="965" w:type="dxa"/>
            <w:tcBorders>
              <w:top w:val="nil"/>
              <w:left w:val="nil"/>
              <w:bottom w:val="nil"/>
              <w:right w:val="nil"/>
              <w:tl2br w:val="nil"/>
              <w:tr2bl w:val="nil"/>
            </w:tcBorders>
            <w:tcMar>
              <w:left w:w="60" w:type="dxa"/>
              <w:right w:w="60" w:type="dxa"/>
            </w:tcMar>
            <w:vAlign w:val="center"/>
          </w:tcPr>
          <w:p w14:paraId="5B465E9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35A7DC0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14:paraId="03B137E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284</w:t>
            </w:r>
          </w:p>
        </w:tc>
        <w:tc>
          <w:tcPr>
            <w:tcW w:w="1061" w:type="dxa"/>
            <w:tcBorders>
              <w:top w:val="nil"/>
              <w:left w:val="nil"/>
              <w:bottom w:val="nil"/>
              <w:right w:val="nil"/>
              <w:tl2br w:val="nil"/>
              <w:tr2bl w:val="nil"/>
            </w:tcBorders>
            <w:tcMar>
              <w:left w:w="60" w:type="dxa"/>
              <w:right w:w="60" w:type="dxa"/>
            </w:tcMar>
            <w:vAlign w:val="center"/>
          </w:tcPr>
          <w:p w14:paraId="40BABC0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823</w:t>
            </w:r>
          </w:p>
        </w:tc>
        <w:tc>
          <w:tcPr>
            <w:tcW w:w="965" w:type="dxa"/>
            <w:tcBorders>
              <w:top w:val="nil"/>
              <w:left w:val="nil"/>
              <w:bottom w:val="nil"/>
              <w:right w:val="nil"/>
              <w:tl2br w:val="nil"/>
              <w:tr2bl w:val="nil"/>
            </w:tcBorders>
            <w:tcMar>
              <w:left w:w="60" w:type="dxa"/>
              <w:right w:w="60" w:type="dxa"/>
            </w:tcMar>
            <w:vAlign w:val="center"/>
          </w:tcPr>
          <w:p w14:paraId="56CC8FA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1 166</w:t>
            </w:r>
          </w:p>
        </w:tc>
        <w:tc>
          <w:tcPr>
            <w:tcW w:w="1089" w:type="dxa"/>
            <w:tcBorders>
              <w:top w:val="nil"/>
              <w:left w:val="nil"/>
              <w:bottom w:val="nil"/>
              <w:right w:val="nil"/>
              <w:tl2br w:val="nil"/>
              <w:tr2bl w:val="nil"/>
            </w:tcBorders>
            <w:tcMar>
              <w:left w:w="60" w:type="dxa"/>
              <w:right w:w="60" w:type="dxa"/>
            </w:tcMar>
            <w:vAlign w:val="center"/>
          </w:tcPr>
          <w:p w14:paraId="00B06A4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2 572</w:t>
            </w:r>
          </w:p>
        </w:tc>
      </w:tr>
      <w:tr w:rsidR="00807FFE" w14:paraId="647F9CB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86ED3F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EC6509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Integrated Border Management Fund (IBMF) - Instrument for financial support for customs control equipment (CCEi)</w:t>
            </w:r>
          </w:p>
        </w:tc>
        <w:tc>
          <w:tcPr>
            <w:tcW w:w="965" w:type="dxa"/>
            <w:tcBorders>
              <w:top w:val="nil"/>
              <w:left w:val="nil"/>
              <w:bottom w:val="nil"/>
              <w:right w:val="nil"/>
              <w:tl2br w:val="nil"/>
              <w:tr2bl w:val="nil"/>
            </w:tcBorders>
            <w:tcMar>
              <w:left w:w="60" w:type="dxa"/>
              <w:right w:w="60" w:type="dxa"/>
            </w:tcMar>
            <w:vAlign w:val="center"/>
          </w:tcPr>
          <w:p w14:paraId="690F305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6BF226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D9768E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49FB16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D653CF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14:paraId="0FDFCDC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14:paraId="17E7330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70</w:t>
            </w:r>
          </w:p>
        </w:tc>
        <w:tc>
          <w:tcPr>
            <w:tcW w:w="1061" w:type="dxa"/>
            <w:tcBorders>
              <w:top w:val="nil"/>
              <w:left w:val="nil"/>
              <w:bottom w:val="nil"/>
              <w:right w:val="nil"/>
              <w:tl2br w:val="nil"/>
              <w:tr2bl w:val="nil"/>
            </w:tcBorders>
            <w:tcMar>
              <w:left w:w="60" w:type="dxa"/>
              <w:right w:w="60" w:type="dxa"/>
            </w:tcMar>
            <w:vAlign w:val="center"/>
          </w:tcPr>
          <w:p w14:paraId="1B9D493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965" w:type="dxa"/>
            <w:tcBorders>
              <w:top w:val="nil"/>
              <w:left w:val="nil"/>
              <w:bottom w:val="nil"/>
              <w:right w:val="nil"/>
              <w:tl2br w:val="nil"/>
              <w:tr2bl w:val="nil"/>
            </w:tcBorders>
            <w:tcMar>
              <w:left w:w="60" w:type="dxa"/>
              <w:right w:w="60" w:type="dxa"/>
            </w:tcMar>
            <w:vAlign w:val="center"/>
          </w:tcPr>
          <w:p w14:paraId="7C0DB8B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14:paraId="3574FFA1"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281</w:t>
            </w:r>
          </w:p>
        </w:tc>
      </w:tr>
      <w:tr w:rsidR="00807FFE" w14:paraId="0FBB735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EAC723A"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8A6C8B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016E6C9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449D15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EF0348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01BAFB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130A80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2ABF58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9F5CF7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64</w:t>
            </w:r>
          </w:p>
        </w:tc>
        <w:tc>
          <w:tcPr>
            <w:tcW w:w="1061" w:type="dxa"/>
            <w:tcBorders>
              <w:top w:val="nil"/>
              <w:left w:val="nil"/>
              <w:bottom w:val="nil"/>
              <w:right w:val="nil"/>
              <w:tl2br w:val="nil"/>
              <w:tr2bl w:val="nil"/>
            </w:tcBorders>
            <w:tcMar>
              <w:left w:w="60" w:type="dxa"/>
              <w:right w:w="60" w:type="dxa"/>
            </w:tcMar>
            <w:vAlign w:val="center"/>
          </w:tcPr>
          <w:p w14:paraId="0626042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151</w:t>
            </w:r>
          </w:p>
        </w:tc>
        <w:tc>
          <w:tcPr>
            <w:tcW w:w="965" w:type="dxa"/>
            <w:tcBorders>
              <w:top w:val="nil"/>
              <w:left w:val="nil"/>
              <w:bottom w:val="nil"/>
              <w:right w:val="nil"/>
              <w:tl2br w:val="nil"/>
              <w:tr2bl w:val="nil"/>
            </w:tcBorders>
            <w:tcMar>
              <w:left w:w="60" w:type="dxa"/>
              <w:right w:w="60" w:type="dxa"/>
            </w:tcMar>
            <w:vAlign w:val="center"/>
          </w:tcPr>
          <w:p w14:paraId="7B78E09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117</w:t>
            </w:r>
          </w:p>
        </w:tc>
        <w:tc>
          <w:tcPr>
            <w:tcW w:w="1089" w:type="dxa"/>
            <w:tcBorders>
              <w:top w:val="nil"/>
              <w:left w:val="nil"/>
              <w:bottom w:val="nil"/>
              <w:right w:val="nil"/>
              <w:tl2br w:val="nil"/>
              <w:tr2bl w:val="nil"/>
            </w:tcBorders>
            <w:tcMar>
              <w:left w:w="60" w:type="dxa"/>
              <w:right w:w="60" w:type="dxa"/>
            </w:tcMar>
            <w:vAlign w:val="center"/>
          </w:tcPr>
          <w:p w14:paraId="674CFE0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332</w:t>
            </w:r>
          </w:p>
        </w:tc>
      </w:tr>
      <w:tr w:rsidR="00807FFE" w14:paraId="41B2710A"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2545C8E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0138DAA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4: Migration and Border Management</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D29DE6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72</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A45570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1279B0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7742BD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553</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EC1F8E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69</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0277433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110</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345A416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679</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058C4E5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1 920</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2A6070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3 138</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6668131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6 683</w:t>
            </w:r>
          </w:p>
        </w:tc>
      </w:tr>
      <w:tr w:rsidR="00807FFE" w14:paraId="46A765B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5A7723C"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3D64D53"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F6147C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20BD3A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AC4254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1D8078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7A609A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7CE3C2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DE713F0"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04F4C19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CB4A5A9"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7944275F"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3F31251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EF50CA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5</w:t>
            </w:r>
          </w:p>
        </w:tc>
        <w:tc>
          <w:tcPr>
            <w:tcW w:w="4478" w:type="dxa"/>
            <w:tcBorders>
              <w:top w:val="nil"/>
              <w:left w:val="nil"/>
              <w:bottom w:val="nil"/>
              <w:right w:val="nil"/>
              <w:tl2br w:val="nil"/>
              <w:tr2bl w:val="nil"/>
            </w:tcBorders>
            <w:tcMar>
              <w:left w:w="60" w:type="dxa"/>
              <w:right w:w="60" w:type="dxa"/>
            </w:tcMar>
            <w:vAlign w:val="center"/>
          </w:tcPr>
          <w:p w14:paraId="39F2EB8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Internal Security Fund (ISF)</w:t>
            </w:r>
          </w:p>
        </w:tc>
        <w:tc>
          <w:tcPr>
            <w:tcW w:w="965" w:type="dxa"/>
            <w:tcBorders>
              <w:top w:val="nil"/>
              <w:left w:val="nil"/>
              <w:bottom w:val="nil"/>
              <w:right w:val="nil"/>
              <w:tl2br w:val="nil"/>
              <w:tr2bl w:val="nil"/>
            </w:tcBorders>
            <w:tcMar>
              <w:left w:w="60" w:type="dxa"/>
              <w:right w:w="60" w:type="dxa"/>
            </w:tcMar>
            <w:vAlign w:val="center"/>
          </w:tcPr>
          <w:p w14:paraId="3741C4B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14:paraId="7123E52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14:paraId="091A4EF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14:paraId="5153950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14:paraId="0E88CB5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14:paraId="30EE93D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14:paraId="4BAB606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65</w:t>
            </w:r>
          </w:p>
        </w:tc>
        <w:tc>
          <w:tcPr>
            <w:tcW w:w="1061" w:type="dxa"/>
            <w:tcBorders>
              <w:top w:val="nil"/>
              <w:left w:val="nil"/>
              <w:bottom w:val="nil"/>
              <w:right w:val="nil"/>
              <w:tl2br w:val="nil"/>
              <w:tr2bl w:val="nil"/>
            </w:tcBorders>
            <w:tcMar>
              <w:left w:w="60" w:type="dxa"/>
              <w:right w:w="60" w:type="dxa"/>
            </w:tcMar>
            <w:vAlign w:val="center"/>
          </w:tcPr>
          <w:p w14:paraId="089DFE1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198</w:t>
            </w:r>
          </w:p>
        </w:tc>
        <w:tc>
          <w:tcPr>
            <w:tcW w:w="965" w:type="dxa"/>
            <w:tcBorders>
              <w:top w:val="nil"/>
              <w:left w:val="nil"/>
              <w:bottom w:val="nil"/>
              <w:right w:val="nil"/>
              <w:tl2br w:val="nil"/>
              <w:tr2bl w:val="nil"/>
            </w:tcBorders>
            <w:tcMar>
              <w:left w:w="60" w:type="dxa"/>
              <w:right w:w="60" w:type="dxa"/>
            </w:tcMar>
            <w:vAlign w:val="center"/>
          </w:tcPr>
          <w:p w14:paraId="3029E52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325</w:t>
            </w:r>
          </w:p>
        </w:tc>
        <w:tc>
          <w:tcPr>
            <w:tcW w:w="1089" w:type="dxa"/>
            <w:tcBorders>
              <w:top w:val="nil"/>
              <w:left w:val="nil"/>
              <w:bottom w:val="nil"/>
              <w:right w:val="nil"/>
              <w:tl2br w:val="nil"/>
              <w:tr2bl w:val="nil"/>
            </w:tcBorders>
            <w:tcMar>
              <w:left w:w="60" w:type="dxa"/>
              <w:right w:w="60" w:type="dxa"/>
            </w:tcMar>
            <w:vAlign w:val="center"/>
          </w:tcPr>
          <w:p w14:paraId="52486AA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717</w:t>
            </w:r>
          </w:p>
        </w:tc>
      </w:tr>
      <w:tr w:rsidR="00807FFE" w14:paraId="16AA53F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B68F70A"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4DA14F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Nuclear decommissioning (Lithuania)</w:t>
            </w:r>
          </w:p>
        </w:tc>
        <w:tc>
          <w:tcPr>
            <w:tcW w:w="965" w:type="dxa"/>
            <w:tcBorders>
              <w:top w:val="nil"/>
              <w:left w:val="nil"/>
              <w:bottom w:val="nil"/>
              <w:right w:val="nil"/>
              <w:tl2br w:val="nil"/>
              <w:tr2bl w:val="nil"/>
            </w:tcBorders>
            <w:tcMar>
              <w:left w:w="60" w:type="dxa"/>
              <w:right w:w="60" w:type="dxa"/>
            </w:tcMar>
            <w:vAlign w:val="center"/>
          </w:tcPr>
          <w:p w14:paraId="1D6456B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2D5FDA1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513F5B6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06A1981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0053996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965" w:type="dxa"/>
            <w:tcBorders>
              <w:top w:val="nil"/>
              <w:left w:val="nil"/>
              <w:bottom w:val="nil"/>
              <w:right w:val="nil"/>
              <w:tl2br w:val="nil"/>
              <w:tr2bl w:val="nil"/>
            </w:tcBorders>
            <w:tcMar>
              <w:left w:w="60" w:type="dxa"/>
              <w:right w:w="60" w:type="dxa"/>
            </w:tcMar>
            <w:vAlign w:val="center"/>
          </w:tcPr>
          <w:p w14:paraId="222F992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99</w:t>
            </w:r>
          </w:p>
        </w:tc>
        <w:tc>
          <w:tcPr>
            <w:tcW w:w="965" w:type="dxa"/>
            <w:tcBorders>
              <w:top w:val="nil"/>
              <w:left w:val="nil"/>
              <w:bottom w:val="nil"/>
              <w:right w:val="nil"/>
              <w:tl2br w:val="nil"/>
              <w:tr2bl w:val="nil"/>
            </w:tcBorders>
            <w:tcMar>
              <w:left w:w="60" w:type="dxa"/>
              <w:right w:w="60" w:type="dxa"/>
            </w:tcMar>
            <w:vAlign w:val="center"/>
          </w:tcPr>
          <w:p w14:paraId="1712ECC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1061" w:type="dxa"/>
            <w:tcBorders>
              <w:top w:val="nil"/>
              <w:left w:val="nil"/>
              <w:bottom w:val="nil"/>
              <w:right w:val="nil"/>
              <w:tl2br w:val="nil"/>
              <w:tr2bl w:val="nil"/>
            </w:tcBorders>
            <w:tcMar>
              <w:left w:w="60" w:type="dxa"/>
              <w:right w:w="60" w:type="dxa"/>
            </w:tcMar>
            <w:vAlign w:val="center"/>
          </w:tcPr>
          <w:p w14:paraId="4C1313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67</w:t>
            </w:r>
          </w:p>
        </w:tc>
        <w:tc>
          <w:tcPr>
            <w:tcW w:w="965" w:type="dxa"/>
            <w:tcBorders>
              <w:top w:val="nil"/>
              <w:left w:val="nil"/>
              <w:bottom w:val="nil"/>
              <w:right w:val="nil"/>
              <w:tl2br w:val="nil"/>
              <w:tr2bl w:val="nil"/>
            </w:tcBorders>
            <w:tcMar>
              <w:left w:w="60" w:type="dxa"/>
              <w:right w:w="60" w:type="dxa"/>
            </w:tcMar>
            <w:vAlign w:val="center"/>
          </w:tcPr>
          <w:p w14:paraId="12DFAA4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089" w:type="dxa"/>
            <w:tcBorders>
              <w:top w:val="nil"/>
              <w:left w:val="nil"/>
              <w:bottom w:val="nil"/>
              <w:right w:val="nil"/>
              <w:tl2br w:val="nil"/>
              <w:tr2bl w:val="nil"/>
            </w:tcBorders>
            <w:tcMar>
              <w:left w:w="60" w:type="dxa"/>
              <w:right w:w="60" w:type="dxa"/>
            </w:tcMar>
            <w:vAlign w:val="center"/>
          </w:tcPr>
          <w:p w14:paraId="2993658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315</w:t>
            </w:r>
          </w:p>
        </w:tc>
      </w:tr>
      <w:tr w:rsidR="00807FFE" w14:paraId="2DB0035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F65055A"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18B0B8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Nuclear Safety and decommissioning (incl. For Bulgaria and Slovakia)</w:t>
            </w:r>
          </w:p>
        </w:tc>
        <w:tc>
          <w:tcPr>
            <w:tcW w:w="965" w:type="dxa"/>
            <w:tcBorders>
              <w:top w:val="nil"/>
              <w:left w:val="nil"/>
              <w:bottom w:val="nil"/>
              <w:right w:val="nil"/>
              <w:tl2br w:val="nil"/>
              <w:tr2bl w:val="nil"/>
            </w:tcBorders>
            <w:tcMar>
              <w:left w:w="60" w:type="dxa"/>
              <w:right w:w="60" w:type="dxa"/>
            </w:tcMar>
            <w:vAlign w:val="center"/>
          </w:tcPr>
          <w:p w14:paraId="4E4574C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599F095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14:paraId="4535E8E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44</w:t>
            </w:r>
          </w:p>
        </w:tc>
        <w:tc>
          <w:tcPr>
            <w:tcW w:w="965" w:type="dxa"/>
            <w:tcBorders>
              <w:top w:val="nil"/>
              <w:left w:val="nil"/>
              <w:bottom w:val="nil"/>
              <w:right w:val="nil"/>
              <w:tl2br w:val="nil"/>
              <w:tr2bl w:val="nil"/>
            </w:tcBorders>
            <w:tcMar>
              <w:left w:w="60" w:type="dxa"/>
              <w:right w:w="60" w:type="dxa"/>
            </w:tcMar>
            <w:vAlign w:val="center"/>
          </w:tcPr>
          <w:p w14:paraId="4034DCC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66</w:t>
            </w:r>
          </w:p>
        </w:tc>
        <w:tc>
          <w:tcPr>
            <w:tcW w:w="965" w:type="dxa"/>
            <w:tcBorders>
              <w:top w:val="nil"/>
              <w:left w:val="nil"/>
              <w:bottom w:val="nil"/>
              <w:right w:val="nil"/>
              <w:tl2br w:val="nil"/>
              <w:tr2bl w:val="nil"/>
            </w:tcBorders>
            <w:tcMar>
              <w:left w:w="60" w:type="dxa"/>
              <w:right w:w="60" w:type="dxa"/>
            </w:tcMar>
            <w:vAlign w:val="center"/>
          </w:tcPr>
          <w:p w14:paraId="4705B51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965" w:type="dxa"/>
            <w:tcBorders>
              <w:top w:val="nil"/>
              <w:left w:val="nil"/>
              <w:bottom w:val="nil"/>
              <w:right w:val="nil"/>
              <w:tl2br w:val="nil"/>
              <w:tr2bl w:val="nil"/>
            </w:tcBorders>
            <w:tcMar>
              <w:left w:w="60" w:type="dxa"/>
              <w:right w:w="60" w:type="dxa"/>
            </w:tcMar>
            <w:vAlign w:val="center"/>
          </w:tcPr>
          <w:p w14:paraId="410169E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14:paraId="6E47C8D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1061" w:type="dxa"/>
            <w:tcBorders>
              <w:top w:val="nil"/>
              <w:left w:val="nil"/>
              <w:bottom w:val="nil"/>
              <w:right w:val="nil"/>
              <w:tl2br w:val="nil"/>
              <w:tr2bl w:val="nil"/>
            </w:tcBorders>
            <w:tcMar>
              <w:left w:w="60" w:type="dxa"/>
              <w:right w:w="60" w:type="dxa"/>
            </w:tcMar>
            <w:vAlign w:val="center"/>
          </w:tcPr>
          <w:p w14:paraId="52F17DE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965" w:type="dxa"/>
            <w:tcBorders>
              <w:top w:val="nil"/>
              <w:left w:val="nil"/>
              <w:bottom w:val="nil"/>
              <w:right w:val="nil"/>
              <w:tl2br w:val="nil"/>
              <w:tr2bl w:val="nil"/>
            </w:tcBorders>
            <w:tcMar>
              <w:left w:w="60" w:type="dxa"/>
              <w:right w:w="60" w:type="dxa"/>
            </w:tcMar>
            <w:vAlign w:val="center"/>
          </w:tcPr>
          <w:p w14:paraId="1577188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1089" w:type="dxa"/>
            <w:tcBorders>
              <w:top w:val="nil"/>
              <w:left w:val="nil"/>
              <w:bottom w:val="nil"/>
              <w:right w:val="nil"/>
              <w:tl2br w:val="nil"/>
              <w:tr2bl w:val="nil"/>
            </w:tcBorders>
            <w:tcMar>
              <w:left w:w="60" w:type="dxa"/>
              <w:right w:w="60" w:type="dxa"/>
            </w:tcMar>
            <w:vAlign w:val="center"/>
          </w:tcPr>
          <w:p w14:paraId="14F59DB6"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306</w:t>
            </w:r>
          </w:p>
        </w:tc>
      </w:tr>
      <w:tr w:rsidR="00807FFE" w14:paraId="5EB01E6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47D1199"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D18F11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Decentralised agencies</w:t>
            </w:r>
          </w:p>
        </w:tc>
        <w:tc>
          <w:tcPr>
            <w:tcW w:w="965" w:type="dxa"/>
            <w:tcBorders>
              <w:top w:val="nil"/>
              <w:left w:val="nil"/>
              <w:bottom w:val="nil"/>
              <w:right w:val="nil"/>
              <w:tl2br w:val="nil"/>
              <w:tr2bl w:val="nil"/>
            </w:tcBorders>
            <w:tcMar>
              <w:left w:w="60" w:type="dxa"/>
              <w:right w:w="60" w:type="dxa"/>
            </w:tcMar>
            <w:vAlign w:val="center"/>
          </w:tcPr>
          <w:p w14:paraId="20E72A9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F59FE7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A8498C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BE64AA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CCA0D1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E65A02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BBD9577"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431BD0F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14:paraId="1D2C92A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14:paraId="52032BB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w:t>
            </w:r>
          </w:p>
        </w:tc>
      </w:tr>
      <w:tr w:rsidR="00807FFE" w14:paraId="3B841A8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58A83D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DEFF08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08EBFBD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029E7F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2B4955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4D1332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8A4E44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8D6EBC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81F5B80"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606182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2D9D4D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39C7A7FB"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876939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5FA9EC8"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AAA548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5" w:type="dxa"/>
            <w:tcBorders>
              <w:top w:val="nil"/>
              <w:left w:val="nil"/>
              <w:bottom w:val="nil"/>
              <w:right w:val="nil"/>
              <w:tl2br w:val="nil"/>
              <w:tr2bl w:val="nil"/>
            </w:tcBorders>
            <w:tcMar>
              <w:left w:w="60" w:type="dxa"/>
              <w:right w:w="60" w:type="dxa"/>
            </w:tcMar>
            <w:vAlign w:val="center"/>
          </w:tcPr>
          <w:p w14:paraId="4379417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1DD05EB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DCDB9E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38622B6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927459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62A5766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00BCA21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14:paraId="5FA22CA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6B990C7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1089" w:type="dxa"/>
            <w:tcBorders>
              <w:top w:val="nil"/>
              <w:left w:val="nil"/>
              <w:bottom w:val="nil"/>
              <w:right w:val="nil"/>
              <w:tl2br w:val="nil"/>
              <w:tr2bl w:val="nil"/>
            </w:tcBorders>
            <w:tcMar>
              <w:left w:w="60" w:type="dxa"/>
              <w:right w:w="60" w:type="dxa"/>
            </w:tcMar>
            <w:vAlign w:val="center"/>
          </w:tcPr>
          <w:p w14:paraId="698117AF"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23</w:t>
            </w:r>
          </w:p>
        </w:tc>
      </w:tr>
      <w:tr w:rsidR="00807FFE" w14:paraId="5D912EC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8086A09"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5D8A9D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Defence Fund (Research)</w:t>
            </w:r>
          </w:p>
        </w:tc>
        <w:tc>
          <w:tcPr>
            <w:tcW w:w="965" w:type="dxa"/>
            <w:tcBorders>
              <w:top w:val="nil"/>
              <w:left w:val="nil"/>
              <w:bottom w:val="nil"/>
              <w:right w:val="nil"/>
              <w:tl2br w:val="nil"/>
              <w:tr2bl w:val="nil"/>
            </w:tcBorders>
            <w:tcMar>
              <w:left w:w="60" w:type="dxa"/>
              <w:right w:w="60" w:type="dxa"/>
            </w:tcMar>
            <w:vAlign w:val="center"/>
          </w:tcPr>
          <w:p w14:paraId="33F9983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952604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843A6B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6603D3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518FBF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74</w:t>
            </w:r>
          </w:p>
        </w:tc>
        <w:tc>
          <w:tcPr>
            <w:tcW w:w="965" w:type="dxa"/>
            <w:tcBorders>
              <w:top w:val="nil"/>
              <w:left w:val="nil"/>
              <w:bottom w:val="nil"/>
              <w:right w:val="nil"/>
              <w:tl2br w:val="nil"/>
              <w:tr2bl w:val="nil"/>
            </w:tcBorders>
            <w:tcMar>
              <w:left w:w="60" w:type="dxa"/>
              <w:right w:w="60" w:type="dxa"/>
            </w:tcMar>
            <w:vAlign w:val="center"/>
          </w:tcPr>
          <w:p w14:paraId="2A86E0D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97</w:t>
            </w:r>
          </w:p>
        </w:tc>
        <w:tc>
          <w:tcPr>
            <w:tcW w:w="965" w:type="dxa"/>
            <w:tcBorders>
              <w:top w:val="nil"/>
              <w:left w:val="nil"/>
              <w:bottom w:val="nil"/>
              <w:right w:val="nil"/>
              <w:tl2br w:val="nil"/>
              <w:tr2bl w:val="nil"/>
            </w:tcBorders>
            <w:tcMar>
              <w:left w:w="60" w:type="dxa"/>
              <w:right w:w="60" w:type="dxa"/>
            </w:tcMar>
            <w:vAlign w:val="center"/>
          </w:tcPr>
          <w:p w14:paraId="136B5A3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172</w:t>
            </w:r>
          </w:p>
        </w:tc>
        <w:tc>
          <w:tcPr>
            <w:tcW w:w="1061" w:type="dxa"/>
            <w:tcBorders>
              <w:top w:val="nil"/>
              <w:left w:val="nil"/>
              <w:bottom w:val="nil"/>
              <w:right w:val="nil"/>
              <w:tl2br w:val="nil"/>
              <w:tr2bl w:val="nil"/>
            </w:tcBorders>
            <w:tcMar>
              <w:left w:w="60" w:type="dxa"/>
              <w:right w:w="60" w:type="dxa"/>
            </w:tcMar>
            <w:vAlign w:val="center"/>
          </w:tcPr>
          <w:p w14:paraId="1871A55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182</w:t>
            </w:r>
          </w:p>
        </w:tc>
        <w:tc>
          <w:tcPr>
            <w:tcW w:w="965" w:type="dxa"/>
            <w:tcBorders>
              <w:top w:val="nil"/>
              <w:left w:val="nil"/>
              <w:bottom w:val="nil"/>
              <w:right w:val="nil"/>
              <w:tl2br w:val="nil"/>
              <w:tr2bl w:val="nil"/>
            </w:tcBorders>
            <w:tcMar>
              <w:left w:w="60" w:type="dxa"/>
              <w:right w:w="60" w:type="dxa"/>
            </w:tcMar>
            <w:vAlign w:val="center"/>
          </w:tcPr>
          <w:p w14:paraId="5AE1940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368</w:t>
            </w:r>
          </w:p>
        </w:tc>
        <w:tc>
          <w:tcPr>
            <w:tcW w:w="1089" w:type="dxa"/>
            <w:tcBorders>
              <w:top w:val="nil"/>
              <w:left w:val="nil"/>
              <w:bottom w:val="nil"/>
              <w:right w:val="nil"/>
              <w:tl2br w:val="nil"/>
              <w:tr2bl w:val="nil"/>
            </w:tcBorders>
            <w:tcMar>
              <w:left w:w="60" w:type="dxa"/>
              <w:right w:w="60" w:type="dxa"/>
            </w:tcMar>
            <w:vAlign w:val="center"/>
          </w:tcPr>
          <w:p w14:paraId="1AF90067"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892</w:t>
            </w:r>
          </w:p>
        </w:tc>
      </w:tr>
      <w:tr w:rsidR="00807FFE" w14:paraId="39B3D6F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5BD884D"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322C84A"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Defence Fund (Non Research)</w:t>
            </w:r>
          </w:p>
        </w:tc>
        <w:tc>
          <w:tcPr>
            <w:tcW w:w="965" w:type="dxa"/>
            <w:tcBorders>
              <w:top w:val="nil"/>
              <w:left w:val="nil"/>
              <w:bottom w:val="nil"/>
              <w:right w:val="nil"/>
              <w:tl2br w:val="nil"/>
              <w:tr2bl w:val="nil"/>
            </w:tcBorders>
            <w:tcMar>
              <w:left w:w="60" w:type="dxa"/>
              <w:right w:w="60" w:type="dxa"/>
            </w:tcMar>
            <w:vAlign w:val="center"/>
          </w:tcPr>
          <w:p w14:paraId="186AA25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DE1B26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685DD0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14:paraId="387C430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14:paraId="12256C2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152</w:t>
            </w:r>
          </w:p>
        </w:tc>
        <w:tc>
          <w:tcPr>
            <w:tcW w:w="965" w:type="dxa"/>
            <w:tcBorders>
              <w:top w:val="nil"/>
              <w:left w:val="nil"/>
              <w:bottom w:val="nil"/>
              <w:right w:val="nil"/>
              <w:tl2br w:val="nil"/>
              <w:tr2bl w:val="nil"/>
            </w:tcBorders>
            <w:tcMar>
              <w:left w:w="60" w:type="dxa"/>
              <w:right w:w="60" w:type="dxa"/>
            </w:tcMar>
            <w:vAlign w:val="center"/>
          </w:tcPr>
          <w:p w14:paraId="40B37FA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172</w:t>
            </w:r>
          </w:p>
        </w:tc>
        <w:tc>
          <w:tcPr>
            <w:tcW w:w="965" w:type="dxa"/>
            <w:tcBorders>
              <w:top w:val="nil"/>
              <w:left w:val="nil"/>
              <w:bottom w:val="nil"/>
              <w:right w:val="nil"/>
              <w:tl2br w:val="nil"/>
              <w:tr2bl w:val="nil"/>
            </w:tcBorders>
            <w:tcMar>
              <w:left w:w="60" w:type="dxa"/>
              <w:right w:w="60" w:type="dxa"/>
            </w:tcMar>
            <w:vAlign w:val="center"/>
          </w:tcPr>
          <w:p w14:paraId="413598F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299</w:t>
            </w:r>
          </w:p>
        </w:tc>
        <w:tc>
          <w:tcPr>
            <w:tcW w:w="1061" w:type="dxa"/>
            <w:tcBorders>
              <w:top w:val="nil"/>
              <w:left w:val="nil"/>
              <w:bottom w:val="nil"/>
              <w:right w:val="nil"/>
              <w:tl2br w:val="nil"/>
              <w:tr2bl w:val="nil"/>
            </w:tcBorders>
            <w:tcMar>
              <w:left w:w="60" w:type="dxa"/>
              <w:right w:w="60" w:type="dxa"/>
            </w:tcMar>
            <w:vAlign w:val="center"/>
          </w:tcPr>
          <w:p w14:paraId="403B01E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410</w:t>
            </w:r>
          </w:p>
        </w:tc>
        <w:tc>
          <w:tcPr>
            <w:tcW w:w="965" w:type="dxa"/>
            <w:tcBorders>
              <w:top w:val="nil"/>
              <w:left w:val="nil"/>
              <w:bottom w:val="nil"/>
              <w:right w:val="nil"/>
              <w:tl2br w:val="nil"/>
              <w:tr2bl w:val="nil"/>
            </w:tcBorders>
            <w:tcMar>
              <w:left w:w="60" w:type="dxa"/>
              <w:right w:w="60" w:type="dxa"/>
            </w:tcMar>
            <w:vAlign w:val="center"/>
          </w:tcPr>
          <w:p w14:paraId="32C47BD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868</w:t>
            </w:r>
          </w:p>
        </w:tc>
        <w:tc>
          <w:tcPr>
            <w:tcW w:w="1089" w:type="dxa"/>
            <w:tcBorders>
              <w:top w:val="nil"/>
              <w:left w:val="nil"/>
              <w:bottom w:val="nil"/>
              <w:right w:val="nil"/>
              <w:tl2br w:val="nil"/>
              <w:tr2bl w:val="nil"/>
            </w:tcBorders>
            <w:tcMar>
              <w:left w:w="60" w:type="dxa"/>
              <w:right w:w="60" w:type="dxa"/>
            </w:tcMar>
            <w:vAlign w:val="center"/>
          </w:tcPr>
          <w:p w14:paraId="36CEE1A9"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1 920</w:t>
            </w:r>
          </w:p>
        </w:tc>
      </w:tr>
      <w:tr w:rsidR="00807FFE" w14:paraId="53F083C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34B12B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219741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Military Mobility</w:t>
            </w:r>
          </w:p>
        </w:tc>
        <w:tc>
          <w:tcPr>
            <w:tcW w:w="965" w:type="dxa"/>
            <w:tcBorders>
              <w:top w:val="nil"/>
              <w:left w:val="nil"/>
              <w:bottom w:val="nil"/>
              <w:right w:val="nil"/>
              <w:tl2br w:val="nil"/>
              <w:tr2bl w:val="nil"/>
            </w:tcBorders>
            <w:tcMar>
              <w:left w:w="60" w:type="dxa"/>
              <w:right w:w="60" w:type="dxa"/>
            </w:tcMar>
            <w:vAlign w:val="center"/>
          </w:tcPr>
          <w:p w14:paraId="15872AA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D7C77D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B0EB39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E0CC07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A412EF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67</w:t>
            </w:r>
          </w:p>
        </w:tc>
        <w:tc>
          <w:tcPr>
            <w:tcW w:w="965" w:type="dxa"/>
            <w:tcBorders>
              <w:top w:val="nil"/>
              <w:left w:val="nil"/>
              <w:bottom w:val="nil"/>
              <w:right w:val="nil"/>
              <w:tl2br w:val="nil"/>
              <w:tr2bl w:val="nil"/>
            </w:tcBorders>
            <w:tcMar>
              <w:left w:w="60" w:type="dxa"/>
              <w:right w:w="60" w:type="dxa"/>
            </w:tcMar>
            <w:vAlign w:val="center"/>
          </w:tcPr>
          <w:p w14:paraId="31B36C0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4B435E1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061" w:type="dxa"/>
            <w:tcBorders>
              <w:top w:val="nil"/>
              <w:left w:val="nil"/>
              <w:bottom w:val="nil"/>
              <w:right w:val="nil"/>
              <w:tl2br w:val="nil"/>
              <w:tr2bl w:val="nil"/>
            </w:tcBorders>
            <w:tcMar>
              <w:left w:w="60" w:type="dxa"/>
              <w:right w:w="60" w:type="dxa"/>
            </w:tcMar>
            <w:vAlign w:val="center"/>
          </w:tcPr>
          <w:p w14:paraId="727CAE1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14:paraId="34302C4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218</w:t>
            </w:r>
          </w:p>
        </w:tc>
        <w:tc>
          <w:tcPr>
            <w:tcW w:w="1089" w:type="dxa"/>
            <w:tcBorders>
              <w:top w:val="nil"/>
              <w:left w:val="nil"/>
              <w:bottom w:val="nil"/>
              <w:right w:val="nil"/>
              <w:tl2br w:val="nil"/>
              <w:tr2bl w:val="nil"/>
            </w:tcBorders>
            <w:tcMar>
              <w:left w:w="60" w:type="dxa"/>
              <w:right w:w="60" w:type="dxa"/>
            </w:tcMar>
            <w:vAlign w:val="center"/>
          </w:tcPr>
          <w:p w14:paraId="371FA45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407</w:t>
            </w:r>
          </w:p>
        </w:tc>
      </w:tr>
      <w:tr w:rsidR="00807FFE" w14:paraId="38D517C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CFD6CBF"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141BF5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Short-term Defence instrument on common procurement</w:t>
            </w:r>
          </w:p>
        </w:tc>
        <w:tc>
          <w:tcPr>
            <w:tcW w:w="965" w:type="dxa"/>
            <w:tcBorders>
              <w:top w:val="nil"/>
              <w:left w:val="nil"/>
              <w:bottom w:val="nil"/>
              <w:right w:val="nil"/>
              <w:tl2br w:val="nil"/>
              <w:tr2bl w:val="nil"/>
            </w:tcBorders>
            <w:tcMar>
              <w:left w:w="60" w:type="dxa"/>
              <w:right w:w="60" w:type="dxa"/>
            </w:tcMar>
            <w:vAlign w:val="center"/>
          </w:tcPr>
          <w:p w14:paraId="4256524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49F80A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617611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9F52BD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DA09C3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595EF9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414D570"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2E4CE6E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198</w:t>
            </w:r>
          </w:p>
        </w:tc>
        <w:tc>
          <w:tcPr>
            <w:tcW w:w="965" w:type="dxa"/>
            <w:tcBorders>
              <w:top w:val="nil"/>
              <w:left w:val="nil"/>
              <w:bottom w:val="nil"/>
              <w:right w:val="nil"/>
              <w:tl2br w:val="nil"/>
              <w:tr2bl w:val="nil"/>
            </w:tcBorders>
            <w:tcMar>
              <w:left w:w="60" w:type="dxa"/>
              <w:right w:w="60" w:type="dxa"/>
            </w:tcMar>
            <w:vAlign w:val="center"/>
          </w:tcPr>
          <w:p w14:paraId="5743151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1089" w:type="dxa"/>
            <w:tcBorders>
              <w:top w:val="nil"/>
              <w:left w:val="nil"/>
              <w:bottom w:val="nil"/>
              <w:right w:val="nil"/>
              <w:tl2br w:val="nil"/>
              <w:tr2bl w:val="nil"/>
            </w:tcBorders>
            <w:tcMar>
              <w:left w:w="60" w:type="dxa"/>
              <w:right w:w="60" w:type="dxa"/>
            </w:tcMar>
            <w:vAlign w:val="center"/>
          </w:tcPr>
          <w:p w14:paraId="438DFAA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237</w:t>
            </w:r>
          </w:p>
        </w:tc>
      </w:tr>
      <w:tr w:rsidR="00807FFE" w14:paraId="6A38BAE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1FE21F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D6986B9"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Defence Industrial Reinforcement Instrument</w:t>
            </w:r>
          </w:p>
        </w:tc>
        <w:tc>
          <w:tcPr>
            <w:tcW w:w="965" w:type="dxa"/>
            <w:tcBorders>
              <w:top w:val="nil"/>
              <w:left w:val="nil"/>
              <w:bottom w:val="nil"/>
              <w:right w:val="nil"/>
              <w:tl2br w:val="nil"/>
              <w:tr2bl w:val="nil"/>
            </w:tcBorders>
            <w:tcMar>
              <w:left w:w="60" w:type="dxa"/>
              <w:right w:w="60" w:type="dxa"/>
            </w:tcMar>
            <w:vAlign w:val="center"/>
          </w:tcPr>
          <w:p w14:paraId="0462556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B7417E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FC6DD6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B2981E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268621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986EB0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7F38F5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99</w:t>
            </w:r>
          </w:p>
        </w:tc>
        <w:tc>
          <w:tcPr>
            <w:tcW w:w="1061" w:type="dxa"/>
            <w:tcBorders>
              <w:top w:val="nil"/>
              <w:left w:val="nil"/>
              <w:bottom w:val="nil"/>
              <w:right w:val="nil"/>
              <w:tl2br w:val="nil"/>
              <w:tr2bl w:val="nil"/>
            </w:tcBorders>
            <w:tcMar>
              <w:left w:w="60" w:type="dxa"/>
              <w:right w:w="60" w:type="dxa"/>
            </w:tcMar>
            <w:vAlign w:val="center"/>
          </w:tcPr>
          <w:p w14:paraId="35CEB2A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191</w:t>
            </w:r>
          </w:p>
        </w:tc>
        <w:tc>
          <w:tcPr>
            <w:tcW w:w="965" w:type="dxa"/>
            <w:tcBorders>
              <w:top w:val="nil"/>
              <w:left w:val="nil"/>
              <w:bottom w:val="nil"/>
              <w:right w:val="nil"/>
              <w:tl2br w:val="nil"/>
              <w:tr2bl w:val="nil"/>
            </w:tcBorders>
            <w:tcMar>
              <w:left w:w="60" w:type="dxa"/>
              <w:right w:w="60" w:type="dxa"/>
            </w:tcMar>
            <w:vAlign w:val="center"/>
          </w:tcPr>
          <w:p w14:paraId="55A7A2E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14:paraId="1B215EA6"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290</w:t>
            </w:r>
          </w:p>
        </w:tc>
      </w:tr>
      <w:tr w:rsidR="00807FFE" w14:paraId="227E399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D671D6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7DF474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6BBDCF8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BD0118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83CBEE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D74AEE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066F85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950DC7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E26C568"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706FEA2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0764C3C"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255755AB"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77604DB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F753A9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F5584A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965" w:type="dxa"/>
            <w:tcBorders>
              <w:top w:val="nil"/>
              <w:left w:val="nil"/>
              <w:bottom w:val="nil"/>
              <w:right w:val="nil"/>
              <w:tl2br w:val="nil"/>
              <w:tr2bl w:val="nil"/>
            </w:tcBorders>
            <w:tcMar>
              <w:left w:w="60" w:type="dxa"/>
              <w:right w:w="60" w:type="dxa"/>
            </w:tcMar>
            <w:vAlign w:val="center"/>
          </w:tcPr>
          <w:p w14:paraId="7ECFC82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43F2C5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694858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AD3854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FACCA9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2E4B58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B140DFA"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3B68E9D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42DEC10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123</w:t>
            </w:r>
          </w:p>
        </w:tc>
        <w:tc>
          <w:tcPr>
            <w:tcW w:w="1089" w:type="dxa"/>
            <w:tcBorders>
              <w:top w:val="nil"/>
              <w:left w:val="nil"/>
              <w:bottom w:val="nil"/>
              <w:right w:val="nil"/>
              <w:tl2br w:val="nil"/>
              <w:tr2bl w:val="nil"/>
            </w:tcBorders>
            <w:tcMar>
              <w:left w:w="60" w:type="dxa"/>
              <w:right w:w="60" w:type="dxa"/>
            </w:tcMar>
            <w:vAlign w:val="center"/>
          </w:tcPr>
          <w:p w14:paraId="76A01C0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123</w:t>
            </w:r>
          </w:p>
        </w:tc>
      </w:tr>
      <w:tr w:rsidR="00807FFE" w14:paraId="7662F790"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4492A4EC"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48CDCF2B"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5: Security and Defence</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A9191D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5D95C50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55</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55B5173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F48086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125</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977EB9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364</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896610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410</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3C14A9C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725</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7FC1EA2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1 367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D415A4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2 089</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5F31039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5 239</w:t>
            </w:r>
          </w:p>
        </w:tc>
      </w:tr>
      <w:tr w:rsidR="00807FFE" w14:paraId="35BFA6F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DC0555C"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697829C"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D7A92D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260C2E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521447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84BBC4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C82DB1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31BDF6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F55D797"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4B3CBB0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3DF1F01"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51B55D0D"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01F64E0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7468FC"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6</w:t>
            </w:r>
          </w:p>
        </w:tc>
        <w:tc>
          <w:tcPr>
            <w:tcW w:w="4478" w:type="dxa"/>
            <w:tcBorders>
              <w:top w:val="nil"/>
              <w:left w:val="nil"/>
              <w:bottom w:val="nil"/>
              <w:right w:val="nil"/>
              <w:tl2br w:val="nil"/>
              <w:tr2bl w:val="nil"/>
            </w:tcBorders>
            <w:tcMar>
              <w:left w:w="60" w:type="dxa"/>
              <w:right w:w="60" w:type="dxa"/>
            </w:tcMar>
            <w:vAlign w:val="center"/>
          </w:tcPr>
          <w:p w14:paraId="50EC4192"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Neighbourhood, Development and International Cooperation Instrument - Global Europe ( NDICI - Global Europe )</w:t>
            </w:r>
          </w:p>
        </w:tc>
        <w:tc>
          <w:tcPr>
            <w:tcW w:w="965" w:type="dxa"/>
            <w:tcBorders>
              <w:top w:val="nil"/>
              <w:left w:val="nil"/>
              <w:bottom w:val="nil"/>
              <w:right w:val="nil"/>
              <w:tl2br w:val="nil"/>
              <w:tr2bl w:val="nil"/>
            </w:tcBorders>
            <w:tcMar>
              <w:left w:w="60" w:type="dxa"/>
              <w:right w:w="60" w:type="dxa"/>
            </w:tcMar>
            <w:vAlign w:val="center"/>
          </w:tcPr>
          <w:p w14:paraId="129C567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796</w:t>
            </w:r>
          </w:p>
        </w:tc>
        <w:tc>
          <w:tcPr>
            <w:tcW w:w="965" w:type="dxa"/>
            <w:tcBorders>
              <w:top w:val="nil"/>
              <w:left w:val="nil"/>
              <w:bottom w:val="nil"/>
              <w:right w:val="nil"/>
              <w:tl2br w:val="nil"/>
              <w:tr2bl w:val="nil"/>
            </w:tcBorders>
            <w:tcMar>
              <w:left w:w="60" w:type="dxa"/>
              <w:right w:w="60" w:type="dxa"/>
            </w:tcMar>
            <w:vAlign w:val="center"/>
          </w:tcPr>
          <w:p w14:paraId="12AD86D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635</w:t>
            </w:r>
          </w:p>
        </w:tc>
        <w:tc>
          <w:tcPr>
            <w:tcW w:w="965" w:type="dxa"/>
            <w:tcBorders>
              <w:top w:val="nil"/>
              <w:left w:val="nil"/>
              <w:bottom w:val="nil"/>
              <w:right w:val="nil"/>
              <w:tl2br w:val="nil"/>
              <w:tr2bl w:val="nil"/>
            </w:tcBorders>
            <w:tcMar>
              <w:left w:w="60" w:type="dxa"/>
              <w:right w:w="60" w:type="dxa"/>
            </w:tcMar>
            <w:vAlign w:val="center"/>
          </w:tcPr>
          <w:p w14:paraId="261BCD9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712</w:t>
            </w:r>
          </w:p>
        </w:tc>
        <w:tc>
          <w:tcPr>
            <w:tcW w:w="965" w:type="dxa"/>
            <w:tcBorders>
              <w:top w:val="nil"/>
              <w:left w:val="nil"/>
              <w:bottom w:val="nil"/>
              <w:right w:val="nil"/>
              <w:tl2br w:val="nil"/>
              <w:tr2bl w:val="nil"/>
            </w:tcBorders>
            <w:tcMar>
              <w:left w:w="60" w:type="dxa"/>
              <w:right w:w="60" w:type="dxa"/>
            </w:tcMar>
            <w:vAlign w:val="center"/>
          </w:tcPr>
          <w:p w14:paraId="13ABC72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936</w:t>
            </w:r>
          </w:p>
        </w:tc>
        <w:tc>
          <w:tcPr>
            <w:tcW w:w="965" w:type="dxa"/>
            <w:tcBorders>
              <w:top w:val="nil"/>
              <w:left w:val="nil"/>
              <w:bottom w:val="nil"/>
              <w:right w:val="nil"/>
              <w:tl2br w:val="nil"/>
              <w:tr2bl w:val="nil"/>
            </w:tcBorders>
            <w:tcMar>
              <w:left w:w="60" w:type="dxa"/>
              <w:right w:w="60" w:type="dxa"/>
            </w:tcMar>
            <w:vAlign w:val="center"/>
          </w:tcPr>
          <w:p w14:paraId="4003986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2 106</w:t>
            </w:r>
          </w:p>
        </w:tc>
        <w:tc>
          <w:tcPr>
            <w:tcW w:w="965" w:type="dxa"/>
            <w:tcBorders>
              <w:top w:val="nil"/>
              <w:left w:val="nil"/>
              <w:bottom w:val="nil"/>
              <w:right w:val="nil"/>
              <w:tl2br w:val="nil"/>
              <w:tr2bl w:val="nil"/>
            </w:tcBorders>
            <w:tcMar>
              <w:left w:w="60" w:type="dxa"/>
              <w:right w:w="60" w:type="dxa"/>
            </w:tcMar>
            <w:vAlign w:val="center"/>
          </w:tcPr>
          <w:p w14:paraId="64F9951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5 084</w:t>
            </w:r>
          </w:p>
        </w:tc>
        <w:tc>
          <w:tcPr>
            <w:tcW w:w="965" w:type="dxa"/>
            <w:tcBorders>
              <w:top w:val="nil"/>
              <w:left w:val="nil"/>
              <w:bottom w:val="nil"/>
              <w:right w:val="nil"/>
              <w:tl2br w:val="nil"/>
              <w:tr2bl w:val="nil"/>
            </w:tcBorders>
            <w:tcMar>
              <w:left w:w="60" w:type="dxa"/>
              <w:right w:w="60" w:type="dxa"/>
            </w:tcMar>
            <w:vAlign w:val="center"/>
          </w:tcPr>
          <w:p w14:paraId="55D92A4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6 054</w:t>
            </w:r>
          </w:p>
        </w:tc>
        <w:tc>
          <w:tcPr>
            <w:tcW w:w="1061" w:type="dxa"/>
            <w:tcBorders>
              <w:top w:val="nil"/>
              <w:left w:val="nil"/>
              <w:bottom w:val="nil"/>
              <w:right w:val="nil"/>
              <w:tl2br w:val="nil"/>
              <w:tr2bl w:val="nil"/>
            </w:tcBorders>
            <w:tcMar>
              <w:left w:w="60" w:type="dxa"/>
              <w:right w:w="60" w:type="dxa"/>
            </w:tcMar>
            <w:vAlign w:val="center"/>
          </w:tcPr>
          <w:p w14:paraId="0737FC5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8 096</w:t>
            </w:r>
          </w:p>
        </w:tc>
        <w:tc>
          <w:tcPr>
            <w:tcW w:w="965" w:type="dxa"/>
            <w:tcBorders>
              <w:top w:val="nil"/>
              <w:left w:val="nil"/>
              <w:bottom w:val="nil"/>
              <w:right w:val="nil"/>
              <w:tl2br w:val="nil"/>
              <w:tr2bl w:val="nil"/>
            </w:tcBorders>
            <w:tcMar>
              <w:left w:w="60" w:type="dxa"/>
              <w:right w:w="60" w:type="dxa"/>
            </w:tcMar>
            <w:vAlign w:val="center"/>
          </w:tcPr>
          <w:p w14:paraId="09D7D2C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9 106</w:t>
            </w:r>
          </w:p>
        </w:tc>
        <w:tc>
          <w:tcPr>
            <w:tcW w:w="1089" w:type="dxa"/>
            <w:tcBorders>
              <w:top w:val="nil"/>
              <w:left w:val="nil"/>
              <w:bottom w:val="nil"/>
              <w:right w:val="nil"/>
              <w:tl2br w:val="nil"/>
              <w:tr2bl w:val="nil"/>
            </w:tcBorders>
            <w:tcMar>
              <w:left w:w="60" w:type="dxa"/>
              <w:right w:w="60" w:type="dxa"/>
            </w:tcMar>
            <w:vAlign w:val="center"/>
          </w:tcPr>
          <w:p w14:paraId="37BDA88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33 524</w:t>
            </w:r>
          </w:p>
        </w:tc>
      </w:tr>
      <w:tr w:rsidR="00807FFE" w14:paraId="67C5E83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11B60D7"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25F083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Instrument for International Nuclear Safety Cooperation (INSC)</w:t>
            </w:r>
          </w:p>
        </w:tc>
        <w:tc>
          <w:tcPr>
            <w:tcW w:w="965" w:type="dxa"/>
            <w:tcBorders>
              <w:top w:val="nil"/>
              <w:left w:val="nil"/>
              <w:bottom w:val="nil"/>
              <w:right w:val="nil"/>
              <w:tl2br w:val="nil"/>
              <w:tr2bl w:val="nil"/>
            </w:tcBorders>
            <w:tcMar>
              <w:left w:w="60" w:type="dxa"/>
              <w:right w:w="60" w:type="dxa"/>
            </w:tcMar>
            <w:vAlign w:val="center"/>
          </w:tcPr>
          <w:p w14:paraId="42CA732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6BB17FD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1382CDB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1C1B120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14:paraId="558FEFA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14:paraId="0DEAF58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965" w:type="dxa"/>
            <w:tcBorders>
              <w:top w:val="nil"/>
              <w:left w:val="nil"/>
              <w:bottom w:val="nil"/>
              <w:right w:val="nil"/>
              <w:tl2br w:val="nil"/>
              <w:tr2bl w:val="nil"/>
            </w:tcBorders>
            <w:tcMar>
              <w:left w:w="60" w:type="dxa"/>
              <w:right w:w="60" w:type="dxa"/>
            </w:tcMar>
            <w:vAlign w:val="center"/>
          </w:tcPr>
          <w:p w14:paraId="09DAE80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061" w:type="dxa"/>
            <w:tcBorders>
              <w:top w:val="nil"/>
              <w:left w:val="nil"/>
              <w:bottom w:val="nil"/>
              <w:right w:val="nil"/>
              <w:tl2br w:val="nil"/>
              <w:tr2bl w:val="nil"/>
            </w:tcBorders>
            <w:tcMar>
              <w:left w:w="60" w:type="dxa"/>
              <w:right w:w="60" w:type="dxa"/>
            </w:tcMar>
            <w:vAlign w:val="center"/>
          </w:tcPr>
          <w:p w14:paraId="2E05460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965" w:type="dxa"/>
            <w:tcBorders>
              <w:top w:val="nil"/>
              <w:left w:val="nil"/>
              <w:bottom w:val="nil"/>
              <w:right w:val="nil"/>
              <w:tl2br w:val="nil"/>
              <w:tr2bl w:val="nil"/>
            </w:tcBorders>
            <w:tcMar>
              <w:left w:w="60" w:type="dxa"/>
              <w:right w:w="60" w:type="dxa"/>
            </w:tcMar>
            <w:vAlign w:val="center"/>
          </w:tcPr>
          <w:p w14:paraId="1B5BD4A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1089" w:type="dxa"/>
            <w:tcBorders>
              <w:top w:val="nil"/>
              <w:left w:val="nil"/>
              <w:bottom w:val="nil"/>
              <w:right w:val="nil"/>
              <w:tl2br w:val="nil"/>
              <w:tr2bl w:val="nil"/>
            </w:tcBorders>
            <w:tcMar>
              <w:left w:w="60" w:type="dxa"/>
              <w:right w:w="60" w:type="dxa"/>
            </w:tcMar>
            <w:vAlign w:val="center"/>
          </w:tcPr>
          <w:p w14:paraId="2CF901C7"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139</w:t>
            </w:r>
          </w:p>
        </w:tc>
      </w:tr>
      <w:tr w:rsidR="00807FFE" w14:paraId="1B93734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E6B47CD"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4AE3C9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Humanitarian Aid (HUMA)</w:t>
            </w:r>
          </w:p>
        </w:tc>
        <w:tc>
          <w:tcPr>
            <w:tcW w:w="965" w:type="dxa"/>
            <w:tcBorders>
              <w:top w:val="nil"/>
              <w:left w:val="nil"/>
              <w:bottom w:val="nil"/>
              <w:right w:val="nil"/>
              <w:tl2br w:val="nil"/>
              <w:tr2bl w:val="nil"/>
            </w:tcBorders>
            <w:tcMar>
              <w:left w:w="60" w:type="dxa"/>
              <w:right w:w="60" w:type="dxa"/>
            </w:tcMar>
            <w:vAlign w:val="center"/>
          </w:tcPr>
          <w:p w14:paraId="0B56704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E1D1E7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E26A58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BAA08C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451EE1F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14:paraId="4CCF21A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965" w:type="dxa"/>
            <w:tcBorders>
              <w:top w:val="nil"/>
              <w:left w:val="nil"/>
              <w:bottom w:val="nil"/>
              <w:right w:val="nil"/>
              <w:tl2br w:val="nil"/>
              <w:tr2bl w:val="nil"/>
            </w:tcBorders>
            <w:tcMar>
              <w:left w:w="60" w:type="dxa"/>
              <w:right w:w="60" w:type="dxa"/>
            </w:tcMar>
            <w:vAlign w:val="center"/>
          </w:tcPr>
          <w:p w14:paraId="414A357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148</w:t>
            </w:r>
          </w:p>
        </w:tc>
        <w:tc>
          <w:tcPr>
            <w:tcW w:w="1061" w:type="dxa"/>
            <w:tcBorders>
              <w:top w:val="nil"/>
              <w:left w:val="nil"/>
              <w:bottom w:val="nil"/>
              <w:right w:val="nil"/>
              <w:tl2br w:val="nil"/>
              <w:tr2bl w:val="nil"/>
            </w:tcBorders>
            <w:tcMar>
              <w:left w:w="60" w:type="dxa"/>
              <w:right w:w="60" w:type="dxa"/>
            </w:tcMar>
            <w:vAlign w:val="center"/>
          </w:tcPr>
          <w:p w14:paraId="56F117F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361</w:t>
            </w:r>
          </w:p>
        </w:tc>
        <w:tc>
          <w:tcPr>
            <w:tcW w:w="965" w:type="dxa"/>
            <w:tcBorders>
              <w:top w:val="nil"/>
              <w:left w:val="nil"/>
              <w:bottom w:val="nil"/>
              <w:right w:val="nil"/>
              <w:tl2br w:val="nil"/>
              <w:tr2bl w:val="nil"/>
            </w:tcBorders>
            <w:tcMar>
              <w:left w:w="60" w:type="dxa"/>
              <w:right w:w="60" w:type="dxa"/>
            </w:tcMar>
            <w:vAlign w:val="center"/>
          </w:tcPr>
          <w:p w14:paraId="7A31A92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642</w:t>
            </w:r>
          </w:p>
        </w:tc>
        <w:tc>
          <w:tcPr>
            <w:tcW w:w="1089" w:type="dxa"/>
            <w:tcBorders>
              <w:top w:val="nil"/>
              <w:left w:val="nil"/>
              <w:bottom w:val="nil"/>
              <w:right w:val="nil"/>
              <w:tl2br w:val="nil"/>
              <w:tr2bl w:val="nil"/>
            </w:tcBorders>
            <w:tcMar>
              <w:left w:w="60" w:type="dxa"/>
              <w:right w:w="60" w:type="dxa"/>
            </w:tcMar>
            <w:vAlign w:val="center"/>
          </w:tcPr>
          <w:p w14:paraId="5E346855"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1 214</w:t>
            </w:r>
          </w:p>
        </w:tc>
      </w:tr>
      <w:tr w:rsidR="00807FFE" w14:paraId="1B383F2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2B9271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41D196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Common Foreign and Security Policy (CFSP)</w:t>
            </w:r>
          </w:p>
        </w:tc>
        <w:tc>
          <w:tcPr>
            <w:tcW w:w="965" w:type="dxa"/>
            <w:tcBorders>
              <w:top w:val="nil"/>
              <w:left w:val="nil"/>
              <w:bottom w:val="nil"/>
              <w:right w:val="nil"/>
              <w:tl2br w:val="nil"/>
              <w:tr2bl w:val="nil"/>
            </w:tcBorders>
            <w:tcMar>
              <w:left w:w="60" w:type="dxa"/>
              <w:right w:w="60" w:type="dxa"/>
            </w:tcMar>
            <w:vAlign w:val="center"/>
          </w:tcPr>
          <w:p w14:paraId="3B63ACC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9E7450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84FDA0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6A6B6F0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368FDD8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14:paraId="48333AE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14:paraId="70683B4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14:paraId="69B656C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14:paraId="132BD74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48</w:t>
            </w:r>
          </w:p>
        </w:tc>
        <w:tc>
          <w:tcPr>
            <w:tcW w:w="1089" w:type="dxa"/>
            <w:tcBorders>
              <w:top w:val="nil"/>
              <w:left w:val="nil"/>
              <w:bottom w:val="nil"/>
              <w:right w:val="nil"/>
              <w:tl2br w:val="nil"/>
              <w:tr2bl w:val="nil"/>
            </w:tcBorders>
            <w:tcMar>
              <w:left w:w="60" w:type="dxa"/>
              <w:right w:w="60" w:type="dxa"/>
            </w:tcMar>
            <w:vAlign w:val="center"/>
          </w:tcPr>
          <w:p w14:paraId="13ED8C9E"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76</w:t>
            </w:r>
          </w:p>
        </w:tc>
      </w:tr>
      <w:tr w:rsidR="00807FFE" w14:paraId="142DD34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7DA6B2A"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14E2177"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Overseas Countries and Territories (OCT) (including Greenland)</w:t>
            </w:r>
          </w:p>
        </w:tc>
        <w:tc>
          <w:tcPr>
            <w:tcW w:w="965" w:type="dxa"/>
            <w:tcBorders>
              <w:top w:val="nil"/>
              <w:left w:val="nil"/>
              <w:bottom w:val="nil"/>
              <w:right w:val="nil"/>
              <w:tl2br w:val="nil"/>
              <w:tr2bl w:val="nil"/>
            </w:tcBorders>
            <w:tcMar>
              <w:left w:w="60" w:type="dxa"/>
              <w:right w:w="60" w:type="dxa"/>
            </w:tcMar>
            <w:vAlign w:val="center"/>
          </w:tcPr>
          <w:p w14:paraId="5D66D20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C955EC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962675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6F22528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2C52FE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31CAA9F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965" w:type="dxa"/>
            <w:tcBorders>
              <w:top w:val="nil"/>
              <w:left w:val="nil"/>
              <w:bottom w:val="nil"/>
              <w:right w:val="nil"/>
              <w:tl2br w:val="nil"/>
              <w:tr2bl w:val="nil"/>
            </w:tcBorders>
            <w:tcMar>
              <w:left w:w="60" w:type="dxa"/>
              <w:right w:w="60" w:type="dxa"/>
            </w:tcMar>
            <w:vAlign w:val="center"/>
          </w:tcPr>
          <w:p w14:paraId="46E78A2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1061" w:type="dxa"/>
            <w:tcBorders>
              <w:top w:val="nil"/>
              <w:left w:val="nil"/>
              <w:bottom w:val="nil"/>
              <w:right w:val="nil"/>
              <w:tl2br w:val="nil"/>
              <w:tr2bl w:val="nil"/>
            </w:tcBorders>
            <w:tcMar>
              <w:left w:w="60" w:type="dxa"/>
              <w:right w:w="60" w:type="dxa"/>
            </w:tcMar>
            <w:vAlign w:val="center"/>
          </w:tcPr>
          <w:p w14:paraId="3BAAD13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14:paraId="2328A11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1089" w:type="dxa"/>
            <w:tcBorders>
              <w:top w:val="nil"/>
              <w:left w:val="nil"/>
              <w:bottom w:val="nil"/>
              <w:right w:val="nil"/>
              <w:tl2br w:val="nil"/>
              <w:tr2bl w:val="nil"/>
            </w:tcBorders>
            <w:tcMar>
              <w:left w:w="60" w:type="dxa"/>
              <w:right w:w="60" w:type="dxa"/>
            </w:tcMar>
            <w:vAlign w:val="center"/>
          </w:tcPr>
          <w:p w14:paraId="68B8CA17"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152</w:t>
            </w:r>
          </w:p>
        </w:tc>
      </w:tr>
      <w:tr w:rsidR="00807FFE" w14:paraId="584A9CD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D0F65D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2C1FC03"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MFA+</w:t>
            </w:r>
          </w:p>
        </w:tc>
        <w:tc>
          <w:tcPr>
            <w:tcW w:w="965" w:type="dxa"/>
            <w:tcBorders>
              <w:top w:val="nil"/>
              <w:left w:val="nil"/>
              <w:bottom w:val="nil"/>
              <w:right w:val="nil"/>
              <w:tl2br w:val="nil"/>
              <w:tr2bl w:val="nil"/>
            </w:tcBorders>
            <w:tcMar>
              <w:left w:w="60" w:type="dxa"/>
              <w:right w:w="60" w:type="dxa"/>
            </w:tcMar>
            <w:vAlign w:val="center"/>
          </w:tcPr>
          <w:p w14:paraId="36EDC6F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AF6132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D4A4FF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6EB379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8C0427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2C1D7C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180726B"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77B24D6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0E4F92A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155</w:t>
            </w:r>
          </w:p>
        </w:tc>
        <w:tc>
          <w:tcPr>
            <w:tcW w:w="1089" w:type="dxa"/>
            <w:tcBorders>
              <w:top w:val="nil"/>
              <w:left w:val="nil"/>
              <w:bottom w:val="nil"/>
              <w:right w:val="nil"/>
              <w:tl2br w:val="nil"/>
              <w:tr2bl w:val="nil"/>
            </w:tcBorders>
            <w:tcMar>
              <w:left w:w="60" w:type="dxa"/>
              <w:right w:w="60" w:type="dxa"/>
            </w:tcMar>
            <w:vAlign w:val="center"/>
          </w:tcPr>
          <w:p w14:paraId="1DB8DEDE"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155</w:t>
            </w:r>
          </w:p>
        </w:tc>
      </w:tr>
      <w:tr w:rsidR="00807FFE" w14:paraId="04FB9DF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170257F"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65B4BD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5" w:type="dxa"/>
            <w:tcBorders>
              <w:top w:val="nil"/>
              <w:left w:val="nil"/>
              <w:bottom w:val="nil"/>
              <w:right w:val="nil"/>
              <w:tl2br w:val="nil"/>
              <w:tr2bl w:val="nil"/>
            </w:tcBorders>
            <w:tcMar>
              <w:left w:w="60" w:type="dxa"/>
              <w:right w:w="60" w:type="dxa"/>
            </w:tcMar>
            <w:vAlign w:val="center"/>
          </w:tcPr>
          <w:p w14:paraId="7779FEC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E2FF98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185675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5DB767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F5D5E1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BF0946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779A4F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20BA22A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965" w:type="dxa"/>
            <w:tcBorders>
              <w:top w:val="nil"/>
              <w:left w:val="nil"/>
              <w:bottom w:val="nil"/>
              <w:right w:val="nil"/>
              <w:tl2br w:val="nil"/>
              <w:tr2bl w:val="nil"/>
            </w:tcBorders>
            <w:tcMar>
              <w:left w:w="60" w:type="dxa"/>
              <w:right w:w="60" w:type="dxa"/>
            </w:tcMar>
            <w:vAlign w:val="center"/>
          </w:tcPr>
          <w:p w14:paraId="1FD0E7E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65</w:t>
            </w:r>
          </w:p>
        </w:tc>
        <w:tc>
          <w:tcPr>
            <w:tcW w:w="1089" w:type="dxa"/>
            <w:tcBorders>
              <w:top w:val="nil"/>
              <w:left w:val="nil"/>
              <w:bottom w:val="nil"/>
              <w:right w:val="nil"/>
              <w:tl2br w:val="nil"/>
              <w:tr2bl w:val="nil"/>
            </w:tcBorders>
            <w:tcMar>
              <w:left w:w="60" w:type="dxa"/>
              <w:right w:w="60" w:type="dxa"/>
            </w:tcMar>
            <w:vAlign w:val="center"/>
          </w:tcPr>
          <w:p w14:paraId="2C5CF3A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98</w:t>
            </w:r>
          </w:p>
        </w:tc>
      </w:tr>
      <w:tr w:rsidR="00807FFE" w14:paraId="12B0112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3E6E557"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BF91CB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Pilot projects and preparatory actions</w:t>
            </w:r>
          </w:p>
        </w:tc>
        <w:tc>
          <w:tcPr>
            <w:tcW w:w="965" w:type="dxa"/>
            <w:tcBorders>
              <w:top w:val="nil"/>
              <w:left w:val="nil"/>
              <w:bottom w:val="nil"/>
              <w:right w:val="nil"/>
              <w:tl2br w:val="nil"/>
              <w:tr2bl w:val="nil"/>
            </w:tcBorders>
            <w:tcMar>
              <w:left w:w="60" w:type="dxa"/>
              <w:right w:w="60" w:type="dxa"/>
            </w:tcMar>
            <w:vAlign w:val="center"/>
          </w:tcPr>
          <w:p w14:paraId="6ECE5CD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DCD445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6C4283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E47484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FADA40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379F29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85D3D9C"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2C117BF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35CC802D"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015E1DF6"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406FCE8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78ED42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D6D5FA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Union Secure Connectivity</w:t>
            </w:r>
          </w:p>
        </w:tc>
        <w:tc>
          <w:tcPr>
            <w:tcW w:w="965" w:type="dxa"/>
            <w:tcBorders>
              <w:top w:val="nil"/>
              <w:left w:val="nil"/>
              <w:bottom w:val="nil"/>
              <w:right w:val="nil"/>
              <w:tl2br w:val="nil"/>
              <w:tr2bl w:val="nil"/>
            </w:tcBorders>
            <w:tcMar>
              <w:left w:w="60" w:type="dxa"/>
              <w:right w:w="60" w:type="dxa"/>
            </w:tcMar>
            <w:vAlign w:val="center"/>
          </w:tcPr>
          <w:p w14:paraId="37FB617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1D6377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21A47F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5488F7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BB5EC2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D30848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9592760"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6C48834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4E179A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089" w:type="dxa"/>
            <w:tcBorders>
              <w:top w:val="nil"/>
              <w:left w:val="nil"/>
              <w:bottom w:val="nil"/>
              <w:right w:val="nil"/>
              <w:tl2br w:val="nil"/>
              <w:tr2bl w:val="nil"/>
            </w:tcBorders>
            <w:tcMar>
              <w:left w:w="60" w:type="dxa"/>
              <w:right w:w="60" w:type="dxa"/>
            </w:tcMar>
            <w:vAlign w:val="center"/>
          </w:tcPr>
          <w:p w14:paraId="49042E44"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50</w:t>
            </w:r>
          </w:p>
        </w:tc>
      </w:tr>
      <w:tr w:rsidR="00807FFE" w14:paraId="4C627FC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C53EDFD"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ADDB290"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Actions financed under the prerogatives of the Commission and specific competences conferred to the Commission</w:t>
            </w:r>
          </w:p>
        </w:tc>
        <w:tc>
          <w:tcPr>
            <w:tcW w:w="965" w:type="dxa"/>
            <w:tcBorders>
              <w:top w:val="nil"/>
              <w:left w:val="nil"/>
              <w:bottom w:val="nil"/>
              <w:right w:val="nil"/>
              <w:tl2br w:val="nil"/>
              <w:tr2bl w:val="nil"/>
            </w:tcBorders>
            <w:tcMar>
              <w:left w:w="60" w:type="dxa"/>
              <w:right w:w="60" w:type="dxa"/>
            </w:tcMar>
            <w:vAlign w:val="center"/>
          </w:tcPr>
          <w:p w14:paraId="06182C3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865BF2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264293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78D22B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7C792E6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14:paraId="4FF7001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14:paraId="51CC1D6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1061" w:type="dxa"/>
            <w:tcBorders>
              <w:top w:val="nil"/>
              <w:left w:val="nil"/>
              <w:bottom w:val="nil"/>
              <w:right w:val="nil"/>
              <w:tl2br w:val="nil"/>
              <w:tr2bl w:val="nil"/>
            </w:tcBorders>
            <w:tcMar>
              <w:left w:w="60" w:type="dxa"/>
              <w:right w:w="60" w:type="dxa"/>
            </w:tcMar>
            <w:vAlign w:val="center"/>
          </w:tcPr>
          <w:p w14:paraId="1E9082C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965" w:type="dxa"/>
            <w:tcBorders>
              <w:top w:val="nil"/>
              <w:left w:val="nil"/>
              <w:bottom w:val="nil"/>
              <w:right w:val="nil"/>
              <w:tl2br w:val="nil"/>
              <w:tr2bl w:val="nil"/>
            </w:tcBorders>
            <w:tcMar>
              <w:left w:w="60" w:type="dxa"/>
              <w:right w:w="60" w:type="dxa"/>
            </w:tcMar>
            <w:vAlign w:val="center"/>
          </w:tcPr>
          <w:p w14:paraId="28F528D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63</w:t>
            </w:r>
          </w:p>
        </w:tc>
        <w:tc>
          <w:tcPr>
            <w:tcW w:w="1089" w:type="dxa"/>
            <w:tcBorders>
              <w:top w:val="nil"/>
              <w:left w:val="nil"/>
              <w:bottom w:val="nil"/>
              <w:right w:val="nil"/>
              <w:tl2br w:val="nil"/>
              <w:tr2bl w:val="nil"/>
            </w:tcBorders>
            <w:tcMar>
              <w:left w:w="60" w:type="dxa"/>
              <w:right w:w="60" w:type="dxa"/>
            </w:tcMar>
            <w:vAlign w:val="center"/>
          </w:tcPr>
          <w:p w14:paraId="602D7EB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155</w:t>
            </w:r>
          </w:p>
        </w:tc>
      </w:tr>
      <w:tr w:rsidR="00807FFE" w14:paraId="3F53CC9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9CBEA1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EDFC860" w14:textId="77777777" w:rsidR="00807FFE" w:rsidRPr="00A2059B" w:rsidRDefault="00023E71">
            <w:pPr>
              <w:pStyle w:val="DMETW36742BIPDetailedMFF5RALYoO"/>
              <w:rPr>
                <w:rFonts w:ascii="Verdana" w:eastAsia="Verdana" w:hAnsi="Verdana" w:cs="Verdana"/>
                <w:noProof/>
                <w:color w:val="000000"/>
                <w:sz w:val="16"/>
                <w:lang w:val="fr-BE"/>
              </w:rPr>
            </w:pPr>
            <w:r w:rsidRPr="00A2059B">
              <w:rPr>
                <w:rFonts w:ascii="Verdana" w:eastAsia="Verdana" w:hAnsi="Verdana" w:cs="Verdana"/>
                <w:noProof/>
                <w:color w:val="000000"/>
                <w:sz w:val="16"/>
                <w:lang w:val="fr-BE"/>
              </w:rPr>
              <w:t>Pre-Accession Assistance (IPA III)</w:t>
            </w:r>
          </w:p>
        </w:tc>
        <w:tc>
          <w:tcPr>
            <w:tcW w:w="965" w:type="dxa"/>
            <w:tcBorders>
              <w:top w:val="nil"/>
              <w:left w:val="nil"/>
              <w:bottom w:val="nil"/>
              <w:right w:val="nil"/>
              <w:tl2br w:val="nil"/>
              <w:tr2bl w:val="nil"/>
            </w:tcBorders>
            <w:tcMar>
              <w:left w:w="60" w:type="dxa"/>
              <w:right w:w="60" w:type="dxa"/>
            </w:tcMar>
            <w:vAlign w:val="center"/>
          </w:tcPr>
          <w:p w14:paraId="0A16CCE4" w14:textId="77777777" w:rsidR="00807FFE" w:rsidRDefault="00023E71">
            <w:pPr>
              <w:pStyle w:val="DMETW36742BIPDetailedMFF5RALYoO"/>
              <w:jc w:val="right"/>
              <w:rPr>
                <w:rFonts w:ascii="Verdana" w:eastAsia="Verdana" w:hAnsi="Verdana" w:cs="Verdana"/>
                <w:noProof/>
                <w:color w:val="000000"/>
                <w:sz w:val="16"/>
              </w:rPr>
            </w:pPr>
            <w:r w:rsidRPr="00A2059B">
              <w:rPr>
                <w:rFonts w:ascii="Verdana" w:eastAsia="Verdana" w:hAnsi="Verdana" w:cs="Verdana"/>
                <w:noProof/>
                <w:color w:val="000000"/>
                <w:sz w:val="16"/>
                <w:lang w:val="fr-BE"/>
              </w:rPr>
              <w:t xml:space="preserve"> </w:t>
            </w:r>
            <w:r>
              <w:rPr>
                <w:rFonts w:ascii="Verdana" w:eastAsia="Verdana" w:hAnsi="Verdana" w:cs="Verdana"/>
                <w:noProof/>
                <w:color w:val="000000"/>
                <w:sz w:val="16"/>
              </w:rPr>
              <w:t>235</w:t>
            </w:r>
          </w:p>
        </w:tc>
        <w:tc>
          <w:tcPr>
            <w:tcW w:w="965" w:type="dxa"/>
            <w:tcBorders>
              <w:top w:val="nil"/>
              <w:left w:val="nil"/>
              <w:bottom w:val="nil"/>
              <w:right w:val="nil"/>
              <w:tl2br w:val="nil"/>
              <w:tr2bl w:val="nil"/>
            </w:tcBorders>
            <w:tcMar>
              <w:left w:w="60" w:type="dxa"/>
              <w:right w:w="60" w:type="dxa"/>
            </w:tcMar>
            <w:vAlign w:val="center"/>
          </w:tcPr>
          <w:p w14:paraId="27BEFB4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305</w:t>
            </w:r>
          </w:p>
        </w:tc>
        <w:tc>
          <w:tcPr>
            <w:tcW w:w="965" w:type="dxa"/>
            <w:tcBorders>
              <w:top w:val="nil"/>
              <w:left w:val="nil"/>
              <w:bottom w:val="nil"/>
              <w:right w:val="nil"/>
              <w:tl2br w:val="nil"/>
              <w:tr2bl w:val="nil"/>
            </w:tcBorders>
            <w:tcMar>
              <w:left w:w="60" w:type="dxa"/>
              <w:right w:w="60" w:type="dxa"/>
            </w:tcMar>
            <w:vAlign w:val="center"/>
          </w:tcPr>
          <w:p w14:paraId="64BAB25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330</w:t>
            </w:r>
          </w:p>
        </w:tc>
        <w:tc>
          <w:tcPr>
            <w:tcW w:w="965" w:type="dxa"/>
            <w:tcBorders>
              <w:top w:val="nil"/>
              <w:left w:val="nil"/>
              <w:bottom w:val="nil"/>
              <w:right w:val="nil"/>
              <w:tl2br w:val="nil"/>
              <w:tr2bl w:val="nil"/>
            </w:tcBorders>
            <w:tcMar>
              <w:left w:w="60" w:type="dxa"/>
              <w:right w:w="60" w:type="dxa"/>
            </w:tcMar>
            <w:vAlign w:val="center"/>
          </w:tcPr>
          <w:p w14:paraId="69580AB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421</w:t>
            </w:r>
          </w:p>
        </w:tc>
        <w:tc>
          <w:tcPr>
            <w:tcW w:w="965" w:type="dxa"/>
            <w:tcBorders>
              <w:top w:val="nil"/>
              <w:left w:val="nil"/>
              <w:bottom w:val="nil"/>
              <w:right w:val="nil"/>
              <w:tl2br w:val="nil"/>
              <w:tr2bl w:val="nil"/>
            </w:tcBorders>
            <w:tcMar>
              <w:left w:w="60" w:type="dxa"/>
              <w:right w:w="60" w:type="dxa"/>
            </w:tcMar>
            <w:vAlign w:val="center"/>
          </w:tcPr>
          <w:p w14:paraId="719F21C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767</w:t>
            </w:r>
          </w:p>
        </w:tc>
        <w:tc>
          <w:tcPr>
            <w:tcW w:w="965" w:type="dxa"/>
            <w:tcBorders>
              <w:top w:val="nil"/>
              <w:left w:val="nil"/>
              <w:bottom w:val="nil"/>
              <w:right w:val="nil"/>
              <w:tl2br w:val="nil"/>
              <w:tr2bl w:val="nil"/>
            </w:tcBorders>
            <w:tcMar>
              <w:left w:w="60" w:type="dxa"/>
              <w:right w:w="60" w:type="dxa"/>
            </w:tcMar>
            <w:vAlign w:val="center"/>
          </w:tcPr>
          <w:p w14:paraId="00DEFA2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1 201</w:t>
            </w:r>
          </w:p>
        </w:tc>
        <w:tc>
          <w:tcPr>
            <w:tcW w:w="965" w:type="dxa"/>
            <w:tcBorders>
              <w:top w:val="nil"/>
              <w:left w:val="nil"/>
              <w:bottom w:val="nil"/>
              <w:right w:val="nil"/>
              <w:tl2br w:val="nil"/>
              <w:tr2bl w:val="nil"/>
            </w:tcBorders>
            <w:tcMar>
              <w:left w:w="60" w:type="dxa"/>
              <w:right w:w="60" w:type="dxa"/>
            </w:tcMar>
            <w:vAlign w:val="center"/>
          </w:tcPr>
          <w:p w14:paraId="05305D0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1 011</w:t>
            </w:r>
          </w:p>
        </w:tc>
        <w:tc>
          <w:tcPr>
            <w:tcW w:w="1061" w:type="dxa"/>
            <w:tcBorders>
              <w:top w:val="nil"/>
              <w:left w:val="nil"/>
              <w:bottom w:val="nil"/>
              <w:right w:val="nil"/>
              <w:tl2br w:val="nil"/>
              <w:tr2bl w:val="nil"/>
            </w:tcBorders>
            <w:tcMar>
              <w:left w:w="60" w:type="dxa"/>
              <w:right w:w="60" w:type="dxa"/>
            </w:tcMar>
            <w:vAlign w:val="center"/>
          </w:tcPr>
          <w:p w14:paraId="2B6C9BE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1 542</w:t>
            </w:r>
          </w:p>
        </w:tc>
        <w:tc>
          <w:tcPr>
            <w:tcW w:w="965" w:type="dxa"/>
            <w:tcBorders>
              <w:top w:val="nil"/>
              <w:left w:val="nil"/>
              <w:bottom w:val="nil"/>
              <w:right w:val="nil"/>
              <w:tl2br w:val="nil"/>
              <w:tr2bl w:val="nil"/>
            </w:tcBorders>
            <w:tcMar>
              <w:left w:w="60" w:type="dxa"/>
              <w:right w:w="60" w:type="dxa"/>
            </w:tcMar>
            <w:vAlign w:val="center"/>
          </w:tcPr>
          <w:p w14:paraId="00A49B4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1 836</w:t>
            </w:r>
          </w:p>
        </w:tc>
        <w:tc>
          <w:tcPr>
            <w:tcW w:w="1089" w:type="dxa"/>
            <w:tcBorders>
              <w:top w:val="nil"/>
              <w:left w:val="nil"/>
              <w:bottom w:val="nil"/>
              <w:right w:val="nil"/>
              <w:tl2br w:val="nil"/>
              <w:tr2bl w:val="nil"/>
            </w:tcBorders>
            <w:tcMar>
              <w:left w:w="60" w:type="dxa"/>
              <w:right w:w="60" w:type="dxa"/>
            </w:tcMar>
            <w:vAlign w:val="center"/>
          </w:tcPr>
          <w:p w14:paraId="45E6B8FE"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7 648</w:t>
            </w:r>
          </w:p>
        </w:tc>
      </w:tr>
      <w:tr w:rsidR="00807FFE" w14:paraId="7731856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CDBADAC"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2A24E8A"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Reform and Growth Facility for Western Balkans</w:t>
            </w:r>
          </w:p>
        </w:tc>
        <w:tc>
          <w:tcPr>
            <w:tcW w:w="965" w:type="dxa"/>
            <w:tcBorders>
              <w:top w:val="nil"/>
              <w:left w:val="nil"/>
              <w:bottom w:val="nil"/>
              <w:right w:val="nil"/>
              <w:tl2br w:val="nil"/>
              <w:tr2bl w:val="nil"/>
            </w:tcBorders>
            <w:tcMar>
              <w:left w:w="60" w:type="dxa"/>
              <w:right w:w="60" w:type="dxa"/>
            </w:tcMar>
            <w:vAlign w:val="center"/>
          </w:tcPr>
          <w:p w14:paraId="07ABE0A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7D6E67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A548E7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8E960C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C31FF4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51AB92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D3E0B20"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703D8B2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426</w:t>
            </w:r>
          </w:p>
        </w:tc>
        <w:tc>
          <w:tcPr>
            <w:tcW w:w="965" w:type="dxa"/>
            <w:tcBorders>
              <w:top w:val="nil"/>
              <w:left w:val="nil"/>
              <w:bottom w:val="nil"/>
              <w:right w:val="nil"/>
              <w:tl2br w:val="nil"/>
              <w:tr2bl w:val="nil"/>
            </w:tcBorders>
            <w:tcMar>
              <w:left w:w="60" w:type="dxa"/>
              <w:right w:w="60" w:type="dxa"/>
            </w:tcMar>
            <w:vAlign w:val="center"/>
          </w:tcPr>
          <w:p w14:paraId="040FA69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492</w:t>
            </w:r>
          </w:p>
        </w:tc>
        <w:tc>
          <w:tcPr>
            <w:tcW w:w="1089" w:type="dxa"/>
            <w:tcBorders>
              <w:top w:val="nil"/>
              <w:left w:val="nil"/>
              <w:bottom w:val="nil"/>
              <w:right w:val="nil"/>
              <w:tl2br w:val="nil"/>
              <w:tr2bl w:val="nil"/>
            </w:tcBorders>
            <w:tcMar>
              <w:left w:w="60" w:type="dxa"/>
              <w:right w:w="60" w:type="dxa"/>
            </w:tcMar>
            <w:vAlign w:val="center"/>
          </w:tcPr>
          <w:p w14:paraId="6777BA4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918</w:t>
            </w:r>
          </w:p>
        </w:tc>
      </w:tr>
      <w:tr w:rsidR="00807FFE" w14:paraId="1A2100ED"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41D71A2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741244D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6: Neighbourhood and the World</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BE8F38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1 032</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32D37E0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943</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69783D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1 047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DAB095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1 370</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591DD8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2 908</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7EBF06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6 392</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5172D5B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7 312</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3D7DCB1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10 589</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DE3E8C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12 534</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4B65C41A"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44 129</w:t>
            </w:r>
          </w:p>
        </w:tc>
      </w:tr>
      <w:tr w:rsidR="00807FFE" w14:paraId="6B00ED3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F2D31A7"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3D6BE4C"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04F090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319495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C1EC67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3B006B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2FD70C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FDBFF7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5E39600"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26FE52D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5BC0D72"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1A5C8903"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2293717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D99288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7</w:t>
            </w:r>
          </w:p>
        </w:tc>
        <w:tc>
          <w:tcPr>
            <w:tcW w:w="4478" w:type="dxa"/>
            <w:tcBorders>
              <w:top w:val="nil"/>
              <w:left w:val="nil"/>
              <w:bottom w:val="nil"/>
              <w:right w:val="nil"/>
              <w:tl2br w:val="nil"/>
              <w:tr2bl w:val="nil"/>
            </w:tcBorders>
            <w:tcMar>
              <w:left w:w="60" w:type="dxa"/>
              <w:right w:w="60" w:type="dxa"/>
            </w:tcMar>
            <w:vAlign w:val="center"/>
          </w:tcPr>
          <w:p w14:paraId="17B3A852"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Staff Pensions</w:t>
            </w:r>
          </w:p>
        </w:tc>
        <w:tc>
          <w:tcPr>
            <w:tcW w:w="965" w:type="dxa"/>
            <w:tcBorders>
              <w:top w:val="nil"/>
              <w:left w:val="nil"/>
              <w:bottom w:val="nil"/>
              <w:right w:val="nil"/>
              <w:tl2br w:val="nil"/>
              <w:tr2bl w:val="nil"/>
            </w:tcBorders>
            <w:tcMar>
              <w:left w:w="60" w:type="dxa"/>
              <w:right w:w="60" w:type="dxa"/>
            </w:tcMar>
            <w:vAlign w:val="center"/>
          </w:tcPr>
          <w:p w14:paraId="624D01E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F4E793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08C462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06D5CC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E8E1B9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CC6022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34E04F0"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0320327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053C0F4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089" w:type="dxa"/>
            <w:tcBorders>
              <w:top w:val="nil"/>
              <w:left w:val="nil"/>
              <w:bottom w:val="nil"/>
              <w:right w:val="nil"/>
              <w:tl2br w:val="nil"/>
              <w:tr2bl w:val="nil"/>
            </w:tcBorders>
            <w:tcMar>
              <w:left w:w="60" w:type="dxa"/>
              <w:right w:w="60" w:type="dxa"/>
            </w:tcMar>
            <w:vAlign w:val="center"/>
          </w:tcPr>
          <w:p w14:paraId="6C23557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663C44B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D73F344"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4482AC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schools) Commission</w:t>
            </w:r>
          </w:p>
        </w:tc>
        <w:tc>
          <w:tcPr>
            <w:tcW w:w="965" w:type="dxa"/>
            <w:tcBorders>
              <w:top w:val="nil"/>
              <w:left w:val="nil"/>
              <w:bottom w:val="nil"/>
              <w:right w:val="nil"/>
              <w:tl2br w:val="nil"/>
              <w:tr2bl w:val="nil"/>
            </w:tcBorders>
            <w:tcMar>
              <w:left w:w="60" w:type="dxa"/>
              <w:right w:w="60" w:type="dxa"/>
            </w:tcMar>
            <w:vAlign w:val="center"/>
          </w:tcPr>
          <w:p w14:paraId="4F9EF60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051588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BBE727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43ADC6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126683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9789EB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36D5D58"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5A2DFC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646F6A7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14:paraId="2155737D"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807FFE" w14:paraId="106E4ED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1253D88"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CB6597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Remuneration statutory staff</w:t>
            </w:r>
          </w:p>
        </w:tc>
        <w:tc>
          <w:tcPr>
            <w:tcW w:w="965" w:type="dxa"/>
            <w:tcBorders>
              <w:top w:val="nil"/>
              <w:left w:val="nil"/>
              <w:bottom w:val="nil"/>
              <w:right w:val="nil"/>
              <w:tl2br w:val="nil"/>
              <w:tr2bl w:val="nil"/>
            </w:tcBorders>
            <w:tcMar>
              <w:left w:w="60" w:type="dxa"/>
              <w:right w:w="60" w:type="dxa"/>
            </w:tcMar>
            <w:vAlign w:val="center"/>
          </w:tcPr>
          <w:p w14:paraId="7A92A92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771353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D140B7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5080DA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1006F4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8B8AAD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F7EC39C"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4D2318C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567A73B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14:paraId="32B62320"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0CA349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72D2EA70"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078B93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Remuneration external staff</w:t>
            </w:r>
          </w:p>
        </w:tc>
        <w:tc>
          <w:tcPr>
            <w:tcW w:w="965" w:type="dxa"/>
            <w:tcBorders>
              <w:top w:val="nil"/>
              <w:left w:val="nil"/>
              <w:bottom w:val="nil"/>
              <w:right w:val="nil"/>
              <w:tl2br w:val="nil"/>
              <w:tr2bl w:val="nil"/>
            </w:tcBorders>
            <w:tcMar>
              <w:left w:w="60" w:type="dxa"/>
              <w:right w:w="60" w:type="dxa"/>
            </w:tcMar>
            <w:vAlign w:val="center"/>
          </w:tcPr>
          <w:p w14:paraId="5265FD1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DAB6F9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4E3CC1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21973F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582638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63136F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916846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3FE2927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72192B9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089" w:type="dxa"/>
            <w:tcBorders>
              <w:top w:val="nil"/>
              <w:left w:val="nil"/>
              <w:bottom w:val="nil"/>
              <w:right w:val="nil"/>
              <w:tl2br w:val="nil"/>
              <w:tr2bl w:val="nil"/>
            </w:tcBorders>
            <w:tcMar>
              <w:left w:w="60" w:type="dxa"/>
              <w:right w:w="60" w:type="dxa"/>
            </w:tcMar>
            <w:vAlign w:val="center"/>
          </w:tcPr>
          <w:p w14:paraId="4AAAAD61"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32</w:t>
            </w:r>
          </w:p>
        </w:tc>
      </w:tr>
      <w:tr w:rsidR="00807FFE" w14:paraId="2B71181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85029DF"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6631F82"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Members - Salaries and allowances</w:t>
            </w:r>
          </w:p>
        </w:tc>
        <w:tc>
          <w:tcPr>
            <w:tcW w:w="965" w:type="dxa"/>
            <w:tcBorders>
              <w:top w:val="nil"/>
              <w:left w:val="nil"/>
              <w:bottom w:val="nil"/>
              <w:right w:val="nil"/>
              <w:tl2br w:val="nil"/>
              <w:tr2bl w:val="nil"/>
            </w:tcBorders>
            <w:tcMar>
              <w:left w:w="60" w:type="dxa"/>
              <w:right w:w="60" w:type="dxa"/>
            </w:tcMar>
            <w:vAlign w:val="center"/>
          </w:tcPr>
          <w:p w14:paraId="53BCB3B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947462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E5A20E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2AC16C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EF1BAB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A95A93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A89AAE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5E6E266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42C4FA8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14:paraId="19CB686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4BAEEB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CB576E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89E77B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Members - Temporary allowances</w:t>
            </w:r>
          </w:p>
        </w:tc>
        <w:tc>
          <w:tcPr>
            <w:tcW w:w="965" w:type="dxa"/>
            <w:tcBorders>
              <w:top w:val="nil"/>
              <w:left w:val="nil"/>
              <w:bottom w:val="nil"/>
              <w:right w:val="nil"/>
              <w:tl2br w:val="nil"/>
              <w:tr2bl w:val="nil"/>
            </w:tcBorders>
            <w:tcMar>
              <w:left w:w="60" w:type="dxa"/>
              <w:right w:w="60" w:type="dxa"/>
            </w:tcMar>
            <w:vAlign w:val="center"/>
          </w:tcPr>
          <w:p w14:paraId="0264A45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A01822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6EB2F9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78DBCC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38EE61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C1EFAF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B8ECF6B"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0B7EEB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B4EFC0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14:paraId="6027DFA0"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D6FB7F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264CA68"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FB5CF39"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Recruitment costs</w:t>
            </w:r>
          </w:p>
        </w:tc>
        <w:tc>
          <w:tcPr>
            <w:tcW w:w="965" w:type="dxa"/>
            <w:tcBorders>
              <w:top w:val="nil"/>
              <w:left w:val="nil"/>
              <w:bottom w:val="nil"/>
              <w:right w:val="nil"/>
              <w:tl2br w:val="nil"/>
              <w:tr2bl w:val="nil"/>
            </w:tcBorders>
            <w:tcMar>
              <w:left w:w="60" w:type="dxa"/>
              <w:right w:w="60" w:type="dxa"/>
            </w:tcMar>
            <w:vAlign w:val="center"/>
          </w:tcPr>
          <w:p w14:paraId="6CDB969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F2C493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101854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2635E9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92FD61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B34FC0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AB5AA4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36524AC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0E0C484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14:paraId="083CBEC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1378D5B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1F1C9EF"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3DCC70B"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Termination of service</w:t>
            </w:r>
          </w:p>
        </w:tc>
        <w:tc>
          <w:tcPr>
            <w:tcW w:w="965" w:type="dxa"/>
            <w:tcBorders>
              <w:top w:val="nil"/>
              <w:left w:val="nil"/>
              <w:bottom w:val="nil"/>
              <w:right w:val="nil"/>
              <w:tl2br w:val="nil"/>
              <w:tr2bl w:val="nil"/>
            </w:tcBorders>
            <w:tcMar>
              <w:left w:w="60" w:type="dxa"/>
              <w:right w:w="60" w:type="dxa"/>
            </w:tcMar>
            <w:vAlign w:val="center"/>
          </w:tcPr>
          <w:p w14:paraId="17CCB61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372093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8D9392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073999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DD8F83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7B6803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F608C1A"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5EB930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974DF6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14:paraId="23ABDE3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80A6CD5"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DABE9B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673193E0"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Training costs</w:t>
            </w:r>
          </w:p>
        </w:tc>
        <w:tc>
          <w:tcPr>
            <w:tcW w:w="965" w:type="dxa"/>
            <w:tcBorders>
              <w:top w:val="nil"/>
              <w:left w:val="nil"/>
              <w:bottom w:val="nil"/>
              <w:right w:val="nil"/>
              <w:tl2br w:val="nil"/>
              <w:tr2bl w:val="nil"/>
            </w:tcBorders>
            <w:tcMar>
              <w:left w:w="60" w:type="dxa"/>
              <w:right w:w="60" w:type="dxa"/>
            </w:tcMar>
            <w:vAlign w:val="center"/>
          </w:tcPr>
          <w:p w14:paraId="7402F16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FF323D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DB347B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1D362C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580DBE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B804F6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473459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3542630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4EDE49A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1089" w:type="dxa"/>
            <w:tcBorders>
              <w:top w:val="nil"/>
              <w:left w:val="nil"/>
              <w:bottom w:val="nil"/>
              <w:right w:val="nil"/>
              <w:tl2br w:val="nil"/>
              <w:tr2bl w:val="nil"/>
            </w:tcBorders>
            <w:tcMar>
              <w:left w:w="60" w:type="dxa"/>
              <w:right w:w="60" w:type="dxa"/>
            </w:tcMar>
            <w:vAlign w:val="center"/>
          </w:tcPr>
          <w:p w14:paraId="40BC6F66"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w:t>
            </w:r>
          </w:p>
        </w:tc>
      </w:tr>
      <w:tr w:rsidR="00807FFE" w14:paraId="4A1CC76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2FDD38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EA821E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Social and Mobility</w:t>
            </w:r>
          </w:p>
        </w:tc>
        <w:tc>
          <w:tcPr>
            <w:tcW w:w="965" w:type="dxa"/>
            <w:tcBorders>
              <w:top w:val="nil"/>
              <w:left w:val="nil"/>
              <w:bottom w:val="nil"/>
              <w:right w:val="nil"/>
              <w:tl2br w:val="nil"/>
              <w:tr2bl w:val="nil"/>
            </w:tcBorders>
            <w:tcMar>
              <w:left w:w="60" w:type="dxa"/>
              <w:right w:w="60" w:type="dxa"/>
            </w:tcMar>
            <w:vAlign w:val="center"/>
          </w:tcPr>
          <w:p w14:paraId="5329888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B67E60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BEFA65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3CCC8F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247A85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212EDC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B39882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5929CA6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14:paraId="334636F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14:paraId="27B79D5D"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w:t>
            </w:r>
          </w:p>
        </w:tc>
      </w:tr>
      <w:tr w:rsidR="00807FFE" w14:paraId="32B15742"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D19E93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61400E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Information and communication technology</w:t>
            </w:r>
          </w:p>
        </w:tc>
        <w:tc>
          <w:tcPr>
            <w:tcW w:w="965" w:type="dxa"/>
            <w:tcBorders>
              <w:top w:val="nil"/>
              <w:left w:val="nil"/>
              <w:bottom w:val="nil"/>
              <w:right w:val="nil"/>
              <w:tl2br w:val="nil"/>
              <w:tr2bl w:val="nil"/>
            </w:tcBorders>
            <w:tcMar>
              <w:left w:w="60" w:type="dxa"/>
              <w:right w:w="60" w:type="dxa"/>
            </w:tcMar>
            <w:vAlign w:val="center"/>
          </w:tcPr>
          <w:p w14:paraId="78735A4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C5C721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192FEF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F4CB66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CFF6C3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DE809B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9CAB6F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30D9B54A"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14:paraId="2B0C9B0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152</w:t>
            </w:r>
          </w:p>
        </w:tc>
        <w:tc>
          <w:tcPr>
            <w:tcW w:w="1089" w:type="dxa"/>
            <w:tcBorders>
              <w:top w:val="nil"/>
              <w:left w:val="nil"/>
              <w:bottom w:val="nil"/>
              <w:right w:val="nil"/>
              <w:tl2br w:val="nil"/>
              <w:tr2bl w:val="nil"/>
            </w:tcBorders>
            <w:tcMar>
              <w:left w:w="60" w:type="dxa"/>
              <w:right w:w="60" w:type="dxa"/>
            </w:tcMar>
            <w:vAlign w:val="center"/>
          </w:tcPr>
          <w:p w14:paraId="1DA3DF11"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173</w:t>
            </w:r>
          </w:p>
        </w:tc>
      </w:tr>
      <w:tr w:rsidR="00807FFE" w14:paraId="6E844479"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86D4EC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473ECE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Rents and purchases</w:t>
            </w:r>
          </w:p>
        </w:tc>
        <w:tc>
          <w:tcPr>
            <w:tcW w:w="965" w:type="dxa"/>
            <w:tcBorders>
              <w:top w:val="nil"/>
              <w:left w:val="nil"/>
              <w:bottom w:val="nil"/>
              <w:right w:val="nil"/>
              <w:tl2br w:val="nil"/>
              <w:tr2bl w:val="nil"/>
            </w:tcBorders>
            <w:tcMar>
              <w:left w:w="60" w:type="dxa"/>
              <w:right w:w="60" w:type="dxa"/>
            </w:tcMar>
            <w:vAlign w:val="center"/>
          </w:tcPr>
          <w:p w14:paraId="1E5528A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404449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2C80CC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F9E0EE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DAF403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740292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3783BB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66971D3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14:paraId="4E48A31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1089" w:type="dxa"/>
            <w:tcBorders>
              <w:top w:val="nil"/>
              <w:left w:val="nil"/>
              <w:bottom w:val="nil"/>
              <w:right w:val="nil"/>
              <w:tl2br w:val="nil"/>
              <w:tr2bl w:val="nil"/>
            </w:tcBorders>
            <w:tcMar>
              <w:left w:w="60" w:type="dxa"/>
              <w:right w:w="60" w:type="dxa"/>
            </w:tcMar>
            <w:vAlign w:val="center"/>
          </w:tcPr>
          <w:p w14:paraId="53A4A615"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0D1029D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343D5C8"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C6D555D"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Linked to buildings</w:t>
            </w:r>
          </w:p>
        </w:tc>
        <w:tc>
          <w:tcPr>
            <w:tcW w:w="965" w:type="dxa"/>
            <w:tcBorders>
              <w:top w:val="nil"/>
              <w:left w:val="nil"/>
              <w:bottom w:val="nil"/>
              <w:right w:val="nil"/>
              <w:tl2br w:val="nil"/>
              <w:tr2bl w:val="nil"/>
            </w:tcBorders>
            <w:tcMar>
              <w:left w:w="60" w:type="dxa"/>
              <w:right w:w="60" w:type="dxa"/>
            </w:tcMar>
            <w:vAlign w:val="center"/>
          </w:tcPr>
          <w:p w14:paraId="4970A65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1AAB52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CF510B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08FB52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4261E4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564A1C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09F743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103B7D61"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14:paraId="55459DF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1089" w:type="dxa"/>
            <w:tcBorders>
              <w:top w:val="nil"/>
              <w:left w:val="nil"/>
              <w:bottom w:val="nil"/>
              <w:right w:val="nil"/>
              <w:tl2br w:val="nil"/>
              <w:tr2bl w:val="nil"/>
            </w:tcBorders>
            <w:tcMar>
              <w:left w:w="60" w:type="dxa"/>
              <w:right w:w="60" w:type="dxa"/>
            </w:tcMar>
            <w:vAlign w:val="center"/>
          </w:tcPr>
          <w:p w14:paraId="6ACB1C7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49</w:t>
            </w:r>
          </w:p>
        </w:tc>
      </w:tr>
      <w:tr w:rsidR="00807FFE" w14:paraId="60A31118"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0212B7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38C52D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Security</w:t>
            </w:r>
          </w:p>
        </w:tc>
        <w:tc>
          <w:tcPr>
            <w:tcW w:w="965" w:type="dxa"/>
            <w:tcBorders>
              <w:top w:val="nil"/>
              <w:left w:val="nil"/>
              <w:bottom w:val="nil"/>
              <w:right w:val="nil"/>
              <w:tl2br w:val="nil"/>
              <w:tr2bl w:val="nil"/>
            </w:tcBorders>
            <w:tcMar>
              <w:left w:w="60" w:type="dxa"/>
              <w:right w:w="60" w:type="dxa"/>
            </w:tcMar>
            <w:vAlign w:val="center"/>
          </w:tcPr>
          <w:p w14:paraId="4952ABD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397379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B3D5A1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BB5752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B5C225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89F821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A4F3FB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6D4C3DB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20E7DD4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1089" w:type="dxa"/>
            <w:tcBorders>
              <w:top w:val="nil"/>
              <w:left w:val="nil"/>
              <w:bottom w:val="nil"/>
              <w:right w:val="nil"/>
              <w:tl2br w:val="nil"/>
              <w:tr2bl w:val="nil"/>
            </w:tcBorders>
            <w:tcMar>
              <w:left w:w="60" w:type="dxa"/>
              <w:right w:w="60" w:type="dxa"/>
            </w:tcMar>
            <w:vAlign w:val="center"/>
          </w:tcPr>
          <w:p w14:paraId="7A210AAA"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30</w:t>
            </w:r>
          </w:p>
        </w:tc>
      </w:tr>
      <w:tr w:rsidR="00807FFE" w14:paraId="5DE242C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6AD3B0F0"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637E49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Mission and representation</w:t>
            </w:r>
          </w:p>
        </w:tc>
        <w:tc>
          <w:tcPr>
            <w:tcW w:w="965" w:type="dxa"/>
            <w:tcBorders>
              <w:top w:val="nil"/>
              <w:left w:val="nil"/>
              <w:bottom w:val="nil"/>
              <w:right w:val="nil"/>
              <w:tl2br w:val="nil"/>
              <w:tr2bl w:val="nil"/>
            </w:tcBorders>
            <w:tcMar>
              <w:left w:w="60" w:type="dxa"/>
              <w:right w:w="60" w:type="dxa"/>
            </w:tcMar>
            <w:vAlign w:val="center"/>
          </w:tcPr>
          <w:p w14:paraId="394A5DF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502802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BFC1CD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1EAF32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D7F7FB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F53EAD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16640D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7AD2F53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0A1608F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089" w:type="dxa"/>
            <w:tcBorders>
              <w:top w:val="nil"/>
              <w:left w:val="nil"/>
              <w:bottom w:val="nil"/>
              <w:right w:val="nil"/>
              <w:tl2br w:val="nil"/>
              <w:tr2bl w:val="nil"/>
            </w:tcBorders>
            <w:tcMar>
              <w:left w:w="60" w:type="dxa"/>
              <w:right w:w="60" w:type="dxa"/>
            </w:tcMar>
            <w:vAlign w:val="center"/>
          </w:tcPr>
          <w:p w14:paraId="0A619D75"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w:t>
            </w:r>
          </w:p>
        </w:tc>
      </w:tr>
      <w:tr w:rsidR="00807FFE" w14:paraId="35D17736"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C29C69B"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9B5061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Meetings, committees, conference</w:t>
            </w:r>
          </w:p>
        </w:tc>
        <w:tc>
          <w:tcPr>
            <w:tcW w:w="965" w:type="dxa"/>
            <w:tcBorders>
              <w:top w:val="nil"/>
              <w:left w:val="nil"/>
              <w:bottom w:val="nil"/>
              <w:right w:val="nil"/>
              <w:tl2br w:val="nil"/>
              <w:tr2bl w:val="nil"/>
            </w:tcBorders>
            <w:tcMar>
              <w:left w:w="60" w:type="dxa"/>
              <w:right w:w="60" w:type="dxa"/>
            </w:tcMar>
            <w:vAlign w:val="center"/>
          </w:tcPr>
          <w:p w14:paraId="30B896A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47736F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C8570F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64B5A2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3CF046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7E9BD8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D18245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123781C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14:paraId="7679F35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14:paraId="3F79918C"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w:t>
            </w:r>
          </w:p>
        </w:tc>
      </w:tr>
      <w:tr w:rsidR="00807FFE" w14:paraId="1D32EB3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FD713CE"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91FA0BA"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Official journal</w:t>
            </w:r>
          </w:p>
        </w:tc>
        <w:tc>
          <w:tcPr>
            <w:tcW w:w="965" w:type="dxa"/>
            <w:tcBorders>
              <w:top w:val="nil"/>
              <w:left w:val="nil"/>
              <w:bottom w:val="nil"/>
              <w:right w:val="nil"/>
              <w:tl2br w:val="nil"/>
              <w:tr2bl w:val="nil"/>
            </w:tcBorders>
            <w:tcMar>
              <w:left w:w="60" w:type="dxa"/>
              <w:right w:w="60" w:type="dxa"/>
            </w:tcMar>
            <w:vAlign w:val="center"/>
          </w:tcPr>
          <w:p w14:paraId="0D65BFB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3786F2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E4DE4D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D500D1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3137CD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DA9B24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22A1E85"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4E1B98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14:paraId="7297F29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14:paraId="4A439188"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776DAE21"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5778563"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544F4F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Publications</w:t>
            </w:r>
          </w:p>
        </w:tc>
        <w:tc>
          <w:tcPr>
            <w:tcW w:w="965" w:type="dxa"/>
            <w:tcBorders>
              <w:top w:val="nil"/>
              <w:left w:val="nil"/>
              <w:bottom w:val="nil"/>
              <w:right w:val="nil"/>
              <w:tl2br w:val="nil"/>
              <w:tr2bl w:val="nil"/>
            </w:tcBorders>
            <w:tcMar>
              <w:left w:w="60" w:type="dxa"/>
              <w:right w:w="60" w:type="dxa"/>
            </w:tcMar>
            <w:vAlign w:val="center"/>
          </w:tcPr>
          <w:p w14:paraId="117684F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AD6E9E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1D7AF9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A77EC9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5BBB09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C71C3E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375603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28F8FC0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2E8FDB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14:paraId="6F5A54A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w:t>
            </w:r>
          </w:p>
        </w:tc>
      </w:tr>
      <w:tr w:rsidR="00807FFE" w14:paraId="28A1625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5BE1BC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93B8704"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Acquisition of information</w:t>
            </w:r>
          </w:p>
        </w:tc>
        <w:tc>
          <w:tcPr>
            <w:tcW w:w="965" w:type="dxa"/>
            <w:tcBorders>
              <w:top w:val="nil"/>
              <w:left w:val="nil"/>
              <w:bottom w:val="nil"/>
              <w:right w:val="nil"/>
              <w:tl2br w:val="nil"/>
              <w:tr2bl w:val="nil"/>
            </w:tcBorders>
            <w:tcMar>
              <w:left w:w="60" w:type="dxa"/>
              <w:right w:w="60" w:type="dxa"/>
            </w:tcMar>
            <w:vAlign w:val="center"/>
          </w:tcPr>
          <w:p w14:paraId="6BB77E5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977B4C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05F7EB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A8D7B3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0BCB80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2EDFFD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F7C1C77"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475CE0C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5127896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14:paraId="74CE47B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384061A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2475670"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5CBD990"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Studies and investigations</w:t>
            </w:r>
          </w:p>
        </w:tc>
        <w:tc>
          <w:tcPr>
            <w:tcW w:w="965" w:type="dxa"/>
            <w:tcBorders>
              <w:top w:val="nil"/>
              <w:left w:val="nil"/>
              <w:bottom w:val="nil"/>
              <w:right w:val="nil"/>
              <w:tl2br w:val="nil"/>
              <w:tr2bl w:val="nil"/>
            </w:tcBorders>
            <w:tcMar>
              <w:left w:w="60" w:type="dxa"/>
              <w:right w:w="60" w:type="dxa"/>
            </w:tcMar>
            <w:vAlign w:val="center"/>
          </w:tcPr>
          <w:p w14:paraId="486618B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FD00A0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B1DF36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70EB09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999A7A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6C2D71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BC16FA2"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36E4663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331B64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14:paraId="55299B87"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65C3E47A"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8EE6AA8"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D7E6A9A"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General equipment, vehicle, furniture</w:t>
            </w:r>
          </w:p>
        </w:tc>
        <w:tc>
          <w:tcPr>
            <w:tcW w:w="965" w:type="dxa"/>
            <w:tcBorders>
              <w:top w:val="nil"/>
              <w:left w:val="nil"/>
              <w:bottom w:val="nil"/>
              <w:right w:val="nil"/>
              <w:tl2br w:val="nil"/>
              <w:tr2bl w:val="nil"/>
            </w:tcBorders>
            <w:tcMar>
              <w:left w:w="60" w:type="dxa"/>
              <w:right w:w="60" w:type="dxa"/>
            </w:tcMar>
            <w:vAlign w:val="center"/>
          </w:tcPr>
          <w:p w14:paraId="45CC58E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B7C8B2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3F28E0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B3FE4B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D34D94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F7F579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35153C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52075A59"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7F21E1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1089" w:type="dxa"/>
            <w:tcBorders>
              <w:top w:val="nil"/>
              <w:left w:val="nil"/>
              <w:bottom w:val="nil"/>
              <w:right w:val="nil"/>
              <w:tl2br w:val="nil"/>
              <w:tr2bl w:val="nil"/>
            </w:tcBorders>
            <w:tcMar>
              <w:left w:w="60" w:type="dxa"/>
              <w:right w:w="60" w:type="dxa"/>
            </w:tcMar>
            <w:vAlign w:val="center"/>
          </w:tcPr>
          <w:p w14:paraId="51D4A4D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w:t>
            </w:r>
          </w:p>
        </w:tc>
      </w:tr>
      <w:tr w:rsidR="00807FFE" w14:paraId="13281A5E"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2721148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3B1C8031"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Linguistic external services</w:t>
            </w:r>
          </w:p>
        </w:tc>
        <w:tc>
          <w:tcPr>
            <w:tcW w:w="965" w:type="dxa"/>
            <w:tcBorders>
              <w:top w:val="nil"/>
              <w:left w:val="nil"/>
              <w:bottom w:val="nil"/>
              <w:right w:val="nil"/>
              <w:tl2br w:val="nil"/>
              <w:tr2bl w:val="nil"/>
            </w:tcBorders>
            <w:tcMar>
              <w:left w:w="60" w:type="dxa"/>
              <w:right w:w="60" w:type="dxa"/>
            </w:tcMar>
            <w:vAlign w:val="center"/>
          </w:tcPr>
          <w:p w14:paraId="4F6E9DC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1A7F48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35C7D9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E4BCE1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D2D60C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0E797A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FB0B854"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699C5B3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2E64FC3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14:paraId="732CA7A3"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339932A0"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4884F42"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C5558E9"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Other administrative expenditure</w:t>
            </w:r>
          </w:p>
        </w:tc>
        <w:tc>
          <w:tcPr>
            <w:tcW w:w="965" w:type="dxa"/>
            <w:tcBorders>
              <w:top w:val="nil"/>
              <w:left w:val="nil"/>
              <w:bottom w:val="nil"/>
              <w:right w:val="nil"/>
              <w:tl2br w:val="nil"/>
              <w:tr2bl w:val="nil"/>
            </w:tcBorders>
            <w:tcMar>
              <w:left w:w="60" w:type="dxa"/>
              <w:right w:w="60" w:type="dxa"/>
            </w:tcMar>
            <w:vAlign w:val="center"/>
          </w:tcPr>
          <w:p w14:paraId="7140DCD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0657AE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029A6F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8F66B6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0823D6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F7B92F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2C18D5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14:paraId="2658B96C"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34CE2426"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089" w:type="dxa"/>
            <w:tcBorders>
              <w:top w:val="nil"/>
              <w:left w:val="nil"/>
              <w:bottom w:val="nil"/>
              <w:right w:val="nil"/>
              <w:tl2br w:val="nil"/>
              <w:tr2bl w:val="nil"/>
            </w:tcBorders>
            <w:tcMar>
              <w:left w:w="60" w:type="dxa"/>
              <w:right w:w="60" w:type="dxa"/>
            </w:tcMar>
            <w:vAlign w:val="center"/>
          </w:tcPr>
          <w:p w14:paraId="634D9D52"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w:t>
            </w:r>
          </w:p>
        </w:tc>
      </w:tr>
      <w:tr w:rsidR="00807FFE" w14:paraId="57DFC753"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737E3D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562B8B89"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Administrative expenditure of other institutions</w:t>
            </w:r>
          </w:p>
        </w:tc>
        <w:tc>
          <w:tcPr>
            <w:tcW w:w="965" w:type="dxa"/>
            <w:tcBorders>
              <w:top w:val="nil"/>
              <w:left w:val="nil"/>
              <w:bottom w:val="nil"/>
              <w:right w:val="nil"/>
              <w:tl2br w:val="nil"/>
              <w:tr2bl w:val="nil"/>
            </w:tcBorders>
            <w:tcMar>
              <w:left w:w="60" w:type="dxa"/>
              <w:right w:w="60" w:type="dxa"/>
            </w:tcMar>
            <w:vAlign w:val="center"/>
          </w:tcPr>
          <w:p w14:paraId="5F94F2F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039D2A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5536A9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C2C407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8B24F4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B98312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8A2A79E"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3053B4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AC0F03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704</w:t>
            </w:r>
          </w:p>
        </w:tc>
        <w:tc>
          <w:tcPr>
            <w:tcW w:w="1089" w:type="dxa"/>
            <w:tcBorders>
              <w:top w:val="nil"/>
              <w:left w:val="nil"/>
              <w:bottom w:val="nil"/>
              <w:right w:val="nil"/>
              <w:tl2br w:val="nil"/>
              <w:tr2bl w:val="nil"/>
            </w:tcBorders>
            <w:tcMar>
              <w:left w:w="60" w:type="dxa"/>
              <w:right w:w="60" w:type="dxa"/>
            </w:tcMar>
            <w:vAlign w:val="center"/>
          </w:tcPr>
          <w:p w14:paraId="26CB148A"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704</w:t>
            </w:r>
          </w:p>
        </w:tc>
      </w:tr>
      <w:tr w:rsidR="00807FFE" w14:paraId="5A4FA6DA"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3EEEA92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64DBE32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7: European Public Administration</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2A652E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1C6DB1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4D0725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BBEB9F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EF1DE9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FF57C8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7B83FC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7273C095"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5DB007B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1 083</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4525E85A"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1 134</w:t>
            </w:r>
          </w:p>
        </w:tc>
      </w:tr>
      <w:tr w:rsidR="00807FFE" w14:paraId="5549C69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3CC0D11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4C22154E"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29822C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17B3D81"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FF3587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59524C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5B0701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CC9B42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110BE57"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0A62F3B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12C5A5F"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6D93AC66"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0382E12F"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0A55046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w:t>
            </w:r>
          </w:p>
        </w:tc>
        <w:tc>
          <w:tcPr>
            <w:tcW w:w="4478" w:type="dxa"/>
            <w:tcBorders>
              <w:top w:val="nil"/>
              <w:left w:val="nil"/>
              <w:bottom w:val="nil"/>
              <w:right w:val="nil"/>
              <w:tl2br w:val="nil"/>
              <w:tr2bl w:val="nil"/>
            </w:tcBorders>
            <w:tcMar>
              <w:left w:w="60" w:type="dxa"/>
              <w:right w:w="60" w:type="dxa"/>
            </w:tcMar>
            <w:vAlign w:val="center"/>
          </w:tcPr>
          <w:p w14:paraId="7A967998"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Innovation Fund (IF)</w:t>
            </w:r>
          </w:p>
        </w:tc>
        <w:tc>
          <w:tcPr>
            <w:tcW w:w="965" w:type="dxa"/>
            <w:tcBorders>
              <w:top w:val="nil"/>
              <w:left w:val="nil"/>
              <w:bottom w:val="nil"/>
              <w:right w:val="nil"/>
              <w:tl2br w:val="nil"/>
              <w:tr2bl w:val="nil"/>
            </w:tcBorders>
            <w:tcMar>
              <w:left w:w="60" w:type="dxa"/>
              <w:right w:w="60" w:type="dxa"/>
            </w:tcMar>
            <w:vAlign w:val="center"/>
          </w:tcPr>
          <w:p w14:paraId="79C3B36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3C75C8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23476B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1BBFB2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39E5CD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D5C3F8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6FE0A51"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ADE8B0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7 563</w:t>
            </w:r>
          </w:p>
        </w:tc>
        <w:tc>
          <w:tcPr>
            <w:tcW w:w="965" w:type="dxa"/>
            <w:tcBorders>
              <w:top w:val="nil"/>
              <w:left w:val="nil"/>
              <w:bottom w:val="nil"/>
              <w:right w:val="nil"/>
              <w:tl2br w:val="nil"/>
              <w:tr2bl w:val="nil"/>
            </w:tcBorders>
            <w:tcMar>
              <w:left w:w="60" w:type="dxa"/>
              <w:right w:w="60" w:type="dxa"/>
            </w:tcMar>
            <w:vAlign w:val="center"/>
          </w:tcPr>
          <w:p w14:paraId="2688A84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14:paraId="63AD1EC9"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7 564</w:t>
            </w:r>
          </w:p>
        </w:tc>
      </w:tr>
      <w:tr w:rsidR="00807FFE" w14:paraId="349F071D"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F058B96"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22C8C639"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Ukraine Facility</w:t>
            </w:r>
          </w:p>
        </w:tc>
        <w:tc>
          <w:tcPr>
            <w:tcW w:w="965" w:type="dxa"/>
            <w:tcBorders>
              <w:top w:val="nil"/>
              <w:left w:val="nil"/>
              <w:bottom w:val="nil"/>
              <w:right w:val="nil"/>
              <w:tl2br w:val="nil"/>
              <w:tr2bl w:val="nil"/>
            </w:tcBorders>
            <w:tcMar>
              <w:left w:w="60" w:type="dxa"/>
              <w:right w:w="60" w:type="dxa"/>
            </w:tcMar>
            <w:vAlign w:val="center"/>
          </w:tcPr>
          <w:p w14:paraId="0B692C3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CD0D8B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317F0C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87CD08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7584A12"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11E608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56988D6"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5CB34E43"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724</w:t>
            </w:r>
          </w:p>
        </w:tc>
        <w:tc>
          <w:tcPr>
            <w:tcW w:w="965" w:type="dxa"/>
            <w:tcBorders>
              <w:top w:val="nil"/>
              <w:left w:val="nil"/>
              <w:bottom w:val="nil"/>
              <w:right w:val="nil"/>
              <w:tl2br w:val="nil"/>
              <w:tr2bl w:val="nil"/>
            </w:tcBorders>
            <w:tcMar>
              <w:left w:w="60" w:type="dxa"/>
              <w:right w:w="60" w:type="dxa"/>
            </w:tcMar>
            <w:vAlign w:val="center"/>
          </w:tcPr>
          <w:p w14:paraId="65CE35FB"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3 286</w:t>
            </w:r>
          </w:p>
        </w:tc>
        <w:tc>
          <w:tcPr>
            <w:tcW w:w="1089" w:type="dxa"/>
            <w:tcBorders>
              <w:top w:val="nil"/>
              <w:left w:val="nil"/>
              <w:bottom w:val="nil"/>
              <w:right w:val="nil"/>
              <w:tl2br w:val="nil"/>
              <w:tr2bl w:val="nil"/>
            </w:tcBorders>
            <w:tcMar>
              <w:left w:w="60" w:type="dxa"/>
              <w:right w:w="60" w:type="dxa"/>
            </w:tcMar>
            <w:vAlign w:val="center"/>
          </w:tcPr>
          <w:p w14:paraId="32F9CFA0"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4 009</w:t>
            </w:r>
          </w:p>
        </w:tc>
      </w:tr>
      <w:tr w:rsidR="00807FFE" w14:paraId="2FAE07B4"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53E0C325"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70AB3396"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Other actions</w:t>
            </w:r>
          </w:p>
        </w:tc>
        <w:tc>
          <w:tcPr>
            <w:tcW w:w="965" w:type="dxa"/>
            <w:tcBorders>
              <w:top w:val="nil"/>
              <w:left w:val="nil"/>
              <w:bottom w:val="nil"/>
              <w:right w:val="nil"/>
              <w:tl2br w:val="nil"/>
              <w:tr2bl w:val="nil"/>
            </w:tcBorders>
            <w:tcMar>
              <w:left w:w="60" w:type="dxa"/>
              <w:right w:w="60" w:type="dxa"/>
            </w:tcMar>
            <w:vAlign w:val="center"/>
          </w:tcPr>
          <w:p w14:paraId="72E6F6D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1980E3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167114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A0F9A5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3A05CC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4A15584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FE9596A"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2618106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14:paraId="0438F6B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1089" w:type="dxa"/>
            <w:tcBorders>
              <w:top w:val="nil"/>
              <w:left w:val="nil"/>
              <w:bottom w:val="nil"/>
              <w:right w:val="nil"/>
              <w:tl2br w:val="nil"/>
              <w:tr2bl w:val="nil"/>
            </w:tcBorders>
            <w:tcMar>
              <w:left w:w="60" w:type="dxa"/>
              <w:right w:w="60" w:type="dxa"/>
            </w:tcMar>
            <w:vAlign w:val="center"/>
          </w:tcPr>
          <w:p w14:paraId="185C802D"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w:t>
            </w:r>
          </w:p>
        </w:tc>
      </w:tr>
      <w:tr w:rsidR="00807FFE" w14:paraId="3DF37B70"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426A5790"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04ADFA9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O: Outside MFF</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17447EE"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04F848B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40A1A0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529542F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3365E43"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7CAFF1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1A8EB85"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2860492D"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8 287</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0E4007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3 291</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15F39DA5"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11 578</w:t>
            </w:r>
          </w:p>
        </w:tc>
      </w:tr>
      <w:tr w:rsidR="00807FFE" w14:paraId="778A68B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40D34FE1"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5AC3C90"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B9C214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FB566C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D34ACC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8D5D31F"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E110AE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EDC141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BFA82FB"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747F908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CD77CFA"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51E27409"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43DD1E3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3E02075"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S</w:t>
            </w:r>
          </w:p>
        </w:tc>
        <w:tc>
          <w:tcPr>
            <w:tcW w:w="4478" w:type="dxa"/>
            <w:tcBorders>
              <w:top w:val="nil"/>
              <w:left w:val="nil"/>
              <w:bottom w:val="nil"/>
              <w:right w:val="nil"/>
              <w:tl2br w:val="nil"/>
              <w:tr2bl w:val="nil"/>
            </w:tcBorders>
            <w:tcMar>
              <w:left w:w="60" w:type="dxa"/>
              <w:right w:w="60" w:type="dxa"/>
            </w:tcMar>
            <w:vAlign w:val="center"/>
          </w:tcPr>
          <w:p w14:paraId="1849D23E"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European Globalisation Adjustment Fund (EGF)</w:t>
            </w:r>
          </w:p>
        </w:tc>
        <w:tc>
          <w:tcPr>
            <w:tcW w:w="965" w:type="dxa"/>
            <w:tcBorders>
              <w:top w:val="nil"/>
              <w:left w:val="nil"/>
              <w:bottom w:val="nil"/>
              <w:right w:val="nil"/>
              <w:tl2br w:val="nil"/>
              <w:tr2bl w:val="nil"/>
            </w:tcBorders>
            <w:tcMar>
              <w:left w:w="60" w:type="dxa"/>
              <w:right w:w="60" w:type="dxa"/>
            </w:tcMar>
            <w:vAlign w:val="center"/>
          </w:tcPr>
          <w:p w14:paraId="63134EA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6BDCE2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A9AE52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35585C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2FAB648"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72FB37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C047E66"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1371E24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14:paraId="1303763F"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14:paraId="06DC134D"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807FFE" w14:paraId="176826EB"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4DD8C30"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1257BD3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Brexit Adjustment Reserve</w:t>
            </w:r>
          </w:p>
        </w:tc>
        <w:tc>
          <w:tcPr>
            <w:tcW w:w="965" w:type="dxa"/>
            <w:tcBorders>
              <w:top w:val="nil"/>
              <w:left w:val="nil"/>
              <w:bottom w:val="nil"/>
              <w:right w:val="nil"/>
              <w:tl2br w:val="nil"/>
              <w:tr2bl w:val="nil"/>
            </w:tcBorders>
            <w:tcMar>
              <w:left w:w="60" w:type="dxa"/>
              <w:right w:w="60" w:type="dxa"/>
            </w:tcMar>
            <w:vAlign w:val="center"/>
          </w:tcPr>
          <w:p w14:paraId="4B03C90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B4381F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7DD763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60DBAB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7C1771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402A16B"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3F76DA7"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14:paraId="463642B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2AAB0070"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1089" w:type="dxa"/>
            <w:tcBorders>
              <w:top w:val="nil"/>
              <w:left w:val="nil"/>
              <w:bottom w:val="nil"/>
              <w:right w:val="nil"/>
              <w:tl2br w:val="nil"/>
              <w:tr2bl w:val="nil"/>
            </w:tcBorders>
            <w:tcMar>
              <w:left w:w="60" w:type="dxa"/>
              <w:right w:w="60" w:type="dxa"/>
            </w:tcMar>
            <w:vAlign w:val="center"/>
          </w:tcPr>
          <w:p w14:paraId="7D3C8FDE"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71</w:t>
            </w:r>
          </w:p>
        </w:tc>
      </w:tr>
      <w:tr w:rsidR="00807FFE" w14:paraId="2F70AEF2"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11A9D52C"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3B63BD9F" w14:textId="77777777" w:rsidR="00807FFE" w:rsidRDefault="00023E71">
            <w:pPr>
              <w:pStyle w:val="DMETW36742BIPDetailedMFF5RALYoO"/>
              <w:rPr>
                <w:rFonts w:ascii="Verdana" w:eastAsia="Verdana" w:hAnsi="Verdana" w:cs="Verdana"/>
                <w:noProof/>
                <w:color w:val="000000"/>
                <w:sz w:val="16"/>
              </w:rPr>
            </w:pPr>
            <w:r>
              <w:rPr>
                <w:rFonts w:ascii="Verdana" w:eastAsia="Verdana" w:hAnsi="Verdana" w:cs="Verdana"/>
                <w:noProof/>
                <w:color w:val="000000"/>
                <w:sz w:val="16"/>
              </w:rPr>
              <w:t>Total Heading S: Solidarity mechanisms within and outside the Union (Special instruments)</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C6E3EE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C70CC7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E61887C"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EBDFC4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5983F3C0"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362B035D"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2B2CCEDE"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7108EA72"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E170268" w14:textId="77777777" w:rsidR="00807FFE" w:rsidRDefault="00023E71">
            <w:pPr>
              <w:pStyle w:val="DMETW36742BIPDetailedMFF5RALYoO"/>
              <w:jc w:val="right"/>
              <w:rPr>
                <w:rFonts w:ascii="Verdana" w:eastAsia="Verdana" w:hAnsi="Verdana" w:cs="Verdana"/>
                <w:noProof/>
                <w:color w:val="000000"/>
                <w:sz w:val="16"/>
              </w:rPr>
            </w:pPr>
            <w:r>
              <w:rPr>
                <w:rFonts w:ascii="Verdana" w:eastAsia="Verdana" w:hAnsi="Verdana" w:cs="Verdana"/>
                <w:noProof/>
                <w:color w:val="000000"/>
                <w:sz w:val="16"/>
              </w:rPr>
              <w:t xml:space="preserve"> 71</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53C45EAB" w14:textId="77777777" w:rsidR="00807FFE" w:rsidRDefault="00023E71">
            <w:pPr>
              <w:pStyle w:val="DMETW36742BIPDetailedMFF5RALYoO"/>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71</w:t>
            </w:r>
          </w:p>
        </w:tc>
      </w:tr>
      <w:tr w:rsidR="00807FFE" w14:paraId="3D2D0BC7" w14:textId="77777777">
        <w:trPr>
          <w:trHeight w:val="255"/>
        </w:trPr>
        <w:tc>
          <w:tcPr>
            <w:tcW w:w="344" w:type="dxa"/>
            <w:tcBorders>
              <w:top w:val="nil"/>
              <w:left w:val="nil"/>
              <w:bottom w:val="nil"/>
              <w:right w:val="nil"/>
              <w:tl2br w:val="nil"/>
              <w:tr2bl w:val="nil"/>
            </w:tcBorders>
            <w:tcMar>
              <w:left w:w="60" w:type="dxa"/>
              <w:right w:w="60" w:type="dxa"/>
            </w:tcMar>
            <w:vAlign w:val="center"/>
          </w:tcPr>
          <w:p w14:paraId="10F4582D" w14:textId="77777777" w:rsidR="00807FFE" w:rsidRDefault="00807FFE">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14:paraId="08E77D29" w14:textId="77777777" w:rsidR="00807FFE" w:rsidRDefault="00807FFE">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3B933F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630B2255"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D30F909"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1ACEA62A"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04C94F36"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39F075B4"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58E03EE0" w14:textId="77777777" w:rsidR="00807FFE" w:rsidRDefault="00807FFE">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14:paraId="2DD8F1F7" w14:textId="77777777" w:rsidR="00807FFE" w:rsidRDefault="00807FFE">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14:paraId="76C75B5B" w14:textId="77777777" w:rsidR="00807FFE" w:rsidRDefault="00807FFE">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14:paraId="5908AEF6" w14:textId="77777777" w:rsidR="00807FFE" w:rsidRDefault="00807FFE">
            <w:pPr>
              <w:pStyle w:val="DMETW36742BIPDetailedMFF5RALYoO"/>
              <w:jc w:val="right"/>
              <w:rPr>
                <w:rFonts w:ascii="Verdana" w:eastAsia="Verdana" w:hAnsi="Verdana" w:cs="Verdana"/>
                <w:noProof/>
                <w:color w:val="000000"/>
                <w:sz w:val="16"/>
                <w:lang w:bidi="en-GB"/>
              </w:rPr>
            </w:pPr>
          </w:p>
        </w:tc>
      </w:tr>
      <w:tr w:rsidR="00807FFE" w14:paraId="64B74CE7" w14:textId="77777777">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14:paraId="0429A72A" w14:textId="77777777" w:rsidR="00807FFE" w:rsidRDefault="00807FFE">
            <w:pPr>
              <w:pStyle w:val="DMETW36742BIPDetailedMFF5RALYoO"/>
              <w:rPr>
                <w:rFonts w:ascii="Verdana" w:eastAsia="Verdana" w:hAnsi="Verdana" w:cs="Verdana"/>
                <w:b/>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14:paraId="4CFEAFE1" w14:textId="77777777" w:rsidR="00807FFE" w:rsidRDefault="00023E71">
            <w:pPr>
              <w:pStyle w:val="DMETW36742BIPDetailedMFF5RALYoO"/>
              <w:rPr>
                <w:rFonts w:ascii="Verdana" w:eastAsia="Verdana" w:hAnsi="Verdana" w:cs="Verdana"/>
                <w:b/>
                <w:noProof/>
                <w:color w:val="000000"/>
                <w:sz w:val="16"/>
              </w:rPr>
            </w:pPr>
            <w:r>
              <w:rPr>
                <w:rFonts w:ascii="Verdana" w:eastAsia="Verdana" w:hAnsi="Verdana" w:cs="Verdana"/>
                <w:b/>
                <w:noProof/>
                <w:color w:val="000000"/>
                <w:sz w:val="16"/>
              </w:rPr>
              <w:t>Total</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1AE185D"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5 623</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EE98884"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2 588</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10271CE7"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4 086</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78C8197"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6 605</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7454561E"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7 265</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278BC0D"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28 101</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4CD32201"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71 232</w:t>
            </w:r>
          </w:p>
        </w:tc>
        <w:tc>
          <w:tcPr>
            <w:tcW w:w="1061" w:type="dxa"/>
            <w:tcBorders>
              <w:top w:val="nil"/>
              <w:left w:val="nil"/>
              <w:bottom w:val="nil"/>
              <w:right w:val="nil"/>
              <w:tl2br w:val="nil"/>
              <w:tr2bl w:val="nil"/>
            </w:tcBorders>
            <w:shd w:val="solid" w:color="CCE1EA" w:fill="FFFFFF"/>
            <w:tcMar>
              <w:left w:w="60" w:type="dxa"/>
              <w:right w:w="60" w:type="dxa"/>
            </w:tcMar>
            <w:vAlign w:val="center"/>
          </w:tcPr>
          <w:p w14:paraId="5ACC4DB0"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247 636</w:t>
            </w:r>
          </w:p>
        </w:tc>
        <w:tc>
          <w:tcPr>
            <w:tcW w:w="965" w:type="dxa"/>
            <w:tcBorders>
              <w:top w:val="nil"/>
              <w:left w:val="nil"/>
              <w:bottom w:val="nil"/>
              <w:right w:val="nil"/>
              <w:tl2br w:val="nil"/>
              <w:tr2bl w:val="nil"/>
            </w:tcBorders>
            <w:shd w:val="solid" w:color="CCE1EA" w:fill="FFFFFF"/>
            <w:tcMar>
              <w:left w:w="60" w:type="dxa"/>
              <w:right w:w="60" w:type="dxa"/>
            </w:tcMar>
            <w:vAlign w:val="center"/>
          </w:tcPr>
          <w:p w14:paraId="6ACD4428"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127 948</w:t>
            </w:r>
          </w:p>
        </w:tc>
        <w:tc>
          <w:tcPr>
            <w:tcW w:w="1089" w:type="dxa"/>
            <w:tcBorders>
              <w:top w:val="nil"/>
              <w:left w:val="nil"/>
              <w:bottom w:val="nil"/>
              <w:right w:val="nil"/>
              <w:tl2br w:val="nil"/>
              <w:tr2bl w:val="nil"/>
            </w:tcBorders>
            <w:shd w:val="solid" w:color="CCE1EA" w:fill="FFFFFF"/>
            <w:tcMar>
              <w:left w:w="60" w:type="dxa"/>
              <w:right w:w="60" w:type="dxa"/>
            </w:tcMar>
            <w:vAlign w:val="center"/>
          </w:tcPr>
          <w:p w14:paraId="5FBCAFF6" w14:textId="77777777" w:rsidR="00807FFE" w:rsidRDefault="00023E71">
            <w:pPr>
              <w:pStyle w:val="DMETW36742BIPDetailedMFF5RALYoO"/>
              <w:jc w:val="right"/>
              <w:rPr>
                <w:rFonts w:ascii="Verdana" w:eastAsia="Verdana" w:hAnsi="Verdana" w:cs="Verdana"/>
                <w:b/>
                <w:noProof/>
                <w:color w:val="000000"/>
                <w:sz w:val="16"/>
              </w:rPr>
            </w:pPr>
            <w:r>
              <w:rPr>
                <w:rFonts w:ascii="Verdana" w:eastAsia="Verdana" w:hAnsi="Verdana" w:cs="Verdana"/>
                <w:b/>
                <w:noProof/>
                <w:color w:val="000000"/>
                <w:sz w:val="16"/>
              </w:rPr>
              <w:t>501 084</w:t>
            </w:r>
          </w:p>
        </w:tc>
      </w:tr>
      <w:bookmarkEnd w:id="293"/>
    </w:tbl>
    <w:p w14:paraId="670E2045" w14:textId="77777777" w:rsidR="008C5342" w:rsidRPr="008C13D4" w:rsidRDefault="008C5342" w:rsidP="008C5342">
      <w:pPr>
        <w:pStyle w:val="DGTextstand-alone"/>
        <w:spacing w:before="0" w:after="0"/>
        <w:rPr>
          <w:lang w:bidi="en-GB"/>
        </w:rPr>
        <w:sectPr w:rsidR="008C5342" w:rsidRPr="008C13D4">
          <w:headerReference w:type="default" r:id="rId178"/>
          <w:footerReference w:type="default" r:id="rId179"/>
          <w:type w:val="nextColumn"/>
          <w:pgSz w:w="16840" w:h="11900" w:orient="landscape"/>
          <w:pgMar w:top="1134" w:right="1134" w:bottom="1134" w:left="1134" w:header="720" w:footer="720" w:gutter="0"/>
          <w:cols w:space="720"/>
          <w:docGrid w:linePitch="272"/>
        </w:sectPr>
      </w:pPr>
    </w:p>
    <w:p w14:paraId="23F8D58E" w14:textId="77777777" w:rsidR="00B23DCC" w:rsidRPr="00036B31" w:rsidRDefault="00023E71" w:rsidP="00B23DCC">
      <w:pPr>
        <w:pStyle w:val="HEADER1PartBUDG"/>
        <w:rPr>
          <w:noProof/>
        </w:rPr>
      </w:pPr>
      <w:bookmarkStart w:id="315" w:name="_DMBM_36793"/>
      <w:r w:rsidRPr="00036B31">
        <w:rPr>
          <w:noProof/>
        </w:rPr>
        <w:t xml:space="preserve"> </w:t>
      </w:r>
      <w:bookmarkStart w:id="316" w:name="_Toc232674400"/>
      <w:r w:rsidRPr="00036B31">
        <w:rPr>
          <w:noProof/>
        </w:rPr>
        <w:t>IMPLEMENTATION OF THE BUDGET BY INSTITUTION</w:t>
      </w:r>
      <w:bookmarkEnd w:id="316"/>
    </w:p>
    <w:p w14:paraId="1C255DF0" w14:textId="77777777" w:rsidR="00B23DCC" w:rsidRPr="00D838EE" w:rsidRDefault="00023E71" w:rsidP="00B23DCC">
      <w:pPr>
        <w:pStyle w:val="HEADER2PartBUDG"/>
        <w:rPr>
          <w:noProof/>
        </w:rPr>
      </w:pPr>
      <w:bookmarkStart w:id="317" w:name="_Toc232674401"/>
      <w:r w:rsidRPr="00D838EE">
        <w:rPr>
          <w:noProof/>
        </w:rPr>
        <w:t>IMPLEMENTATION OF BUDGET REVENUE</w:t>
      </w:r>
      <w:bookmarkEnd w:id="317"/>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7"/>
        <w:gridCol w:w="723"/>
        <w:gridCol w:w="564"/>
        <w:gridCol w:w="564"/>
        <w:gridCol w:w="520"/>
        <w:gridCol w:w="564"/>
        <w:gridCol w:w="646"/>
        <w:gridCol w:w="520"/>
        <w:gridCol w:w="646"/>
        <w:gridCol w:w="4175"/>
        <w:gridCol w:w="3563"/>
      </w:tblGrid>
      <w:tr w:rsidR="00340B6A" w14:paraId="489F2759" w14:textId="77777777" w:rsidTr="00340B6A">
        <w:trPr>
          <w:trHeight w:val="255"/>
        </w:trPr>
        <w:tc>
          <w:tcPr>
            <w:tcW w:w="2207" w:type="dxa"/>
            <w:tcBorders>
              <w:top w:val="nil"/>
              <w:left w:val="nil"/>
              <w:bottom w:val="nil"/>
              <w:right w:val="nil"/>
              <w:tl2br w:val="nil"/>
              <w:tr2bl w:val="nil"/>
            </w:tcBorders>
            <w:shd w:val="clear" w:color="auto" w:fill="auto"/>
            <w:tcMar>
              <w:left w:w="60" w:type="dxa"/>
              <w:right w:w="60" w:type="dxa"/>
            </w:tcMar>
            <w:vAlign w:val="center"/>
          </w:tcPr>
          <w:p w14:paraId="561DA67A" w14:textId="77777777" w:rsidR="00340B6A" w:rsidRDefault="00340B6A" w:rsidP="00340B6A">
            <w:pPr>
              <w:pStyle w:val="DMETW36778BIPInstitutions1Revenue"/>
              <w:rPr>
                <w:rFonts w:ascii="Verdana" w:eastAsia="Verdana" w:hAnsi="Verdana" w:cs="Verdana"/>
                <w:b/>
                <w:noProof/>
                <w:color w:val="FFFFFF"/>
                <w:sz w:val="16"/>
                <w:lang w:bidi="en-GB"/>
              </w:rPr>
            </w:pPr>
          </w:p>
        </w:tc>
        <w:tc>
          <w:tcPr>
            <w:tcW w:w="1287" w:type="dxa"/>
            <w:gridSpan w:val="2"/>
            <w:tcBorders>
              <w:top w:val="nil"/>
              <w:left w:val="nil"/>
              <w:bottom w:val="nil"/>
              <w:right w:val="nil"/>
              <w:tl2br w:val="nil"/>
              <w:tr2bl w:val="nil"/>
            </w:tcBorders>
            <w:shd w:val="clear" w:color="auto" w:fill="auto"/>
            <w:tcMar>
              <w:left w:w="60" w:type="dxa"/>
              <w:right w:w="60" w:type="dxa"/>
            </w:tcMar>
            <w:vAlign w:val="center"/>
          </w:tcPr>
          <w:p w14:paraId="4A888630" w14:textId="77777777" w:rsidR="00340B6A" w:rsidRDefault="00340B6A" w:rsidP="00340B6A">
            <w:pPr>
              <w:pStyle w:val="DMETW36778BIPInstitutions1Revenue"/>
              <w:jc w:val="center"/>
              <w:rPr>
                <w:rFonts w:ascii="Verdana" w:eastAsia="Verdana" w:hAnsi="Verdana" w:cs="Verdana"/>
                <w:b/>
                <w:noProof/>
                <w:color w:val="FFFFFF"/>
                <w:sz w:val="16"/>
              </w:rPr>
            </w:pPr>
          </w:p>
        </w:tc>
        <w:tc>
          <w:tcPr>
            <w:tcW w:w="1648" w:type="dxa"/>
            <w:gridSpan w:val="3"/>
            <w:tcBorders>
              <w:top w:val="nil"/>
              <w:left w:val="nil"/>
              <w:bottom w:val="nil"/>
              <w:right w:val="nil"/>
              <w:tl2br w:val="nil"/>
              <w:tr2bl w:val="nil"/>
            </w:tcBorders>
            <w:shd w:val="clear" w:color="auto" w:fill="auto"/>
            <w:tcMar>
              <w:left w:w="60" w:type="dxa"/>
              <w:right w:w="60" w:type="dxa"/>
            </w:tcMar>
            <w:vAlign w:val="center"/>
          </w:tcPr>
          <w:p w14:paraId="7290C08B" w14:textId="77777777" w:rsidR="00340B6A" w:rsidRDefault="00340B6A" w:rsidP="00340B6A">
            <w:pPr>
              <w:pStyle w:val="DMETW36778BIPInstitutions1Revenue"/>
              <w:jc w:val="center"/>
              <w:rPr>
                <w:rFonts w:ascii="Verdana" w:eastAsia="Verdana" w:hAnsi="Verdana" w:cs="Verdana"/>
                <w:b/>
                <w:noProof/>
                <w:color w:val="FFFFFF"/>
                <w:sz w:val="16"/>
              </w:rPr>
            </w:pPr>
          </w:p>
        </w:tc>
        <w:tc>
          <w:tcPr>
            <w:tcW w:w="1812" w:type="dxa"/>
            <w:gridSpan w:val="3"/>
            <w:tcBorders>
              <w:top w:val="nil"/>
              <w:left w:val="nil"/>
              <w:bottom w:val="nil"/>
              <w:right w:val="nil"/>
              <w:tl2br w:val="nil"/>
              <w:tr2bl w:val="nil"/>
            </w:tcBorders>
            <w:shd w:val="clear" w:color="auto" w:fill="auto"/>
            <w:tcMar>
              <w:left w:w="60" w:type="dxa"/>
              <w:right w:w="60" w:type="dxa"/>
            </w:tcMar>
            <w:vAlign w:val="center"/>
          </w:tcPr>
          <w:p w14:paraId="36377DEC" w14:textId="77777777" w:rsidR="00340B6A" w:rsidRDefault="00340B6A" w:rsidP="00340B6A">
            <w:pPr>
              <w:pStyle w:val="DMETW36778BIPInstitutions1Revenue"/>
              <w:jc w:val="center"/>
              <w:rPr>
                <w:rFonts w:ascii="Verdana" w:eastAsia="Verdana" w:hAnsi="Verdana" w:cs="Verdana"/>
                <w:b/>
                <w:noProof/>
                <w:color w:val="FFFFFF"/>
                <w:sz w:val="16"/>
              </w:rPr>
            </w:pPr>
          </w:p>
        </w:tc>
        <w:tc>
          <w:tcPr>
            <w:tcW w:w="4175" w:type="dxa"/>
            <w:tcBorders>
              <w:top w:val="nil"/>
              <w:left w:val="nil"/>
              <w:bottom w:val="nil"/>
              <w:right w:val="nil"/>
              <w:tl2br w:val="nil"/>
              <w:tr2bl w:val="nil"/>
            </w:tcBorders>
            <w:shd w:val="clear" w:color="auto" w:fill="auto"/>
            <w:tcMar>
              <w:left w:w="60" w:type="dxa"/>
              <w:right w:w="60" w:type="dxa"/>
            </w:tcMar>
            <w:vAlign w:val="center"/>
          </w:tcPr>
          <w:p w14:paraId="09E69018" w14:textId="77777777" w:rsidR="00340B6A" w:rsidRDefault="00340B6A" w:rsidP="00340B6A">
            <w:pPr>
              <w:pStyle w:val="DMETW36778BIPInstitutions1Revenue"/>
              <w:jc w:val="center"/>
              <w:rPr>
                <w:rFonts w:ascii="Verdana" w:eastAsia="Verdana" w:hAnsi="Verdana" w:cs="Verdana"/>
                <w:b/>
                <w:noProof/>
                <w:color w:val="FFFFFF"/>
                <w:sz w:val="16"/>
              </w:rPr>
            </w:pPr>
          </w:p>
        </w:tc>
        <w:tc>
          <w:tcPr>
            <w:tcW w:w="3563" w:type="dxa"/>
            <w:tcBorders>
              <w:top w:val="nil"/>
              <w:left w:val="nil"/>
              <w:bottom w:val="nil"/>
              <w:right w:val="nil"/>
              <w:tl2br w:val="nil"/>
              <w:tr2bl w:val="nil"/>
            </w:tcBorders>
            <w:shd w:val="clear" w:color="auto" w:fill="auto"/>
            <w:tcMar>
              <w:left w:w="60" w:type="dxa"/>
              <w:right w:w="60" w:type="dxa"/>
            </w:tcMar>
            <w:vAlign w:val="center"/>
          </w:tcPr>
          <w:p w14:paraId="6D329586" w14:textId="647EB712" w:rsidR="00340B6A" w:rsidRDefault="00340B6A" w:rsidP="00340B6A">
            <w:pPr>
              <w:pStyle w:val="DMETW36778BIPInstitutions1Revenue"/>
              <w:jc w:val="right"/>
              <w:rPr>
                <w:rFonts w:ascii="Verdana" w:eastAsia="Verdana" w:hAnsi="Verdana" w:cs="Verdana"/>
                <w:b/>
                <w:noProof/>
                <w:color w:val="FFFFFF"/>
                <w:sz w:val="16"/>
              </w:rPr>
            </w:pPr>
            <w:r>
              <w:rPr>
                <w:rFonts w:ascii="Verdana" w:eastAsia="Verdana" w:hAnsi="Verdana" w:cs="Verdana"/>
                <w:bCs/>
                <w:i/>
                <w:iCs/>
                <w:noProof/>
                <w:color w:val="000000" w:themeColor="text1"/>
                <w:sz w:val="16"/>
              </w:rPr>
              <w:t>EUR million</w:t>
            </w:r>
          </w:p>
        </w:tc>
      </w:tr>
      <w:tr w:rsidR="00340B6A" w14:paraId="79D99B6E" w14:textId="77777777" w:rsidTr="00340B6A">
        <w:trPr>
          <w:trHeight w:val="255"/>
        </w:trPr>
        <w:tc>
          <w:tcPr>
            <w:tcW w:w="2207" w:type="dxa"/>
            <w:tcBorders>
              <w:top w:val="nil"/>
              <w:left w:val="nil"/>
              <w:bottom w:val="nil"/>
              <w:right w:val="nil"/>
              <w:tl2br w:val="nil"/>
              <w:tr2bl w:val="nil"/>
            </w:tcBorders>
            <w:shd w:val="solid" w:color="016794" w:fill="FFFFFF"/>
            <w:tcMar>
              <w:left w:w="60" w:type="dxa"/>
              <w:right w:w="60" w:type="dxa"/>
            </w:tcMar>
            <w:vAlign w:val="center"/>
          </w:tcPr>
          <w:p w14:paraId="60918040" w14:textId="77777777" w:rsidR="00340B6A" w:rsidRDefault="00340B6A" w:rsidP="00340B6A">
            <w:pPr>
              <w:pStyle w:val="DMETW36778BIPInstitutions1Revenue"/>
              <w:rPr>
                <w:rFonts w:ascii="Verdana" w:eastAsia="Verdana" w:hAnsi="Verdana" w:cs="Verdana"/>
                <w:b/>
                <w:noProof/>
                <w:color w:val="FFFFFF"/>
                <w:sz w:val="16"/>
                <w:lang w:bidi="en-GB"/>
              </w:rPr>
            </w:pPr>
            <w:bookmarkStart w:id="318" w:name="DOC_TBL00124_1_1"/>
            <w:bookmarkEnd w:id="318"/>
          </w:p>
        </w:tc>
        <w:tc>
          <w:tcPr>
            <w:tcW w:w="1287" w:type="dxa"/>
            <w:gridSpan w:val="2"/>
            <w:tcBorders>
              <w:top w:val="nil"/>
              <w:left w:val="nil"/>
              <w:bottom w:val="nil"/>
              <w:right w:val="nil"/>
              <w:tl2br w:val="nil"/>
              <w:tr2bl w:val="nil"/>
            </w:tcBorders>
            <w:shd w:val="solid" w:color="016794" w:fill="FFFFFF"/>
            <w:tcMar>
              <w:left w:w="60" w:type="dxa"/>
              <w:right w:w="60" w:type="dxa"/>
            </w:tcMar>
            <w:vAlign w:val="center"/>
          </w:tcPr>
          <w:p w14:paraId="48F1FCB4" w14:textId="77777777" w:rsidR="00340B6A" w:rsidRDefault="00340B6A" w:rsidP="00340B6A">
            <w:pPr>
              <w:pStyle w:val="DMETW36778BIPInstitutions1Revenue"/>
              <w:jc w:val="center"/>
              <w:rPr>
                <w:rFonts w:ascii="Verdana" w:eastAsia="Verdana" w:hAnsi="Verdana" w:cs="Verdana"/>
                <w:b/>
                <w:noProof/>
                <w:color w:val="FFFFFF"/>
                <w:sz w:val="16"/>
              </w:rPr>
            </w:pPr>
            <w:r>
              <w:rPr>
                <w:rFonts w:ascii="Verdana" w:eastAsia="Verdana" w:hAnsi="Verdana" w:cs="Verdana"/>
                <w:b/>
                <w:noProof/>
                <w:color w:val="FFFFFF"/>
                <w:sz w:val="16"/>
              </w:rPr>
              <w:t>Income appropriations</w:t>
            </w:r>
          </w:p>
        </w:tc>
        <w:tc>
          <w:tcPr>
            <w:tcW w:w="1648" w:type="dxa"/>
            <w:gridSpan w:val="3"/>
            <w:tcBorders>
              <w:top w:val="nil"/>
              <w:left w:val="nil"/>
              <w:bottom w:val="nil"/>
              <w:right w:val="nil"/>
              <w:tl2br w:val="nil"/>
              <w:tr2bl w:val="nil"/>
            </w:tcBorders>
            <w:shd w:val="solid" w:color="016794" w:fill="FFFFFF"/>
            <w:tcMar>
              <w:left w:w="60" w:type="dxa"/>
              <w:right w:w="60" w:type="dxa"/>
            </w:tcMar>
            <w:vAlign w:val="center"/>
          </w:tcPr>
          <w:p w14:paraId="06785CFC" w14:textId="77777777" w:rsidR="00340B6A" w:rsidRDefault="00340B6A" w:rsidP="00340B6A">
            <w:pPr>
              <w:pStyle w:val="DMETW36778BIPInstitutions1Revenue"/>
              <w:jc w:val="center"/>
              <w:rPr>
                <w:rFonts w:ascii="Verdana" w:eastAsia="Verdana" w:hAnsi="Verdana" w:cs="Verdana"/>
                <w:b/>
                <w:noProof/>
                <w:color w:val="FFFFFF"/>
                <w:sz w:val="16"/>
              </w:rPr>
            </w:pPr>
            <w:r>
              <w:rPr>
                <w:rFonts w:ascii="Verdana" w:eastAsia="Verdana" w:hAnsi="Verdana" w:cs="Verdana"/>
                <w:b/>
                <w:noProof/>
                <w:color w:val="FFFFFF"/>
                <w:sz w:val="16"/>
              </w:rPr>
              <w:t>Entitlements established</w:t>
            </w:r>
          </w:p>
        </w:tc>
        <w:tc>
          <w:tcPr>
            <w:tcW w:w="1812" w:type="dxa"/>
            <w:gridSpan w:val="3"/>
            <w:tcBorders>
              <w:top w:val="nil"/>
              <w:left w:val="nil"/>
              <w:bottom w:val="nil"/>
              <w:right w:val="nil"/>
              <w:tl2br w:val="nil"/>
              <w:tr2bl w:val="nil"/>
            </w:tcBorders>
            <w:shd w:val="solid" w:color="016794" w:fill="FFFFFF"/>
            <w:tcMar>
              <w:left w:w="60" w:type="dxa"/>
              <w:right w:w="60" w:type="dxa"/>
            </w:tcMar>
            <w:vAlign w:val="center"/>
          </w:tcPr>
          <w:p w14:paraId="5293EFFC" w14:textId="77777777" w:rsidR="00340B6A" w:rsidRDefault="00340B6A" w:rsidP="00340B6A">
            <w:pPr>
              <w:pStyle w:val="DMETW36778BIPInstitutions1Revenue"/>
              <w:jc w:val="center"/>
              <w:rPr>
                <w:rFonts w:ascii="Verdana" w:eastAsia="Verdana" w:hAnsi="Verdana" w:cs="Verdana"/>
                <w:b/>
                <w:noProof/>
                <w:color w:val="FFFFFF"/>
                <w:sz w:val="16"/>
              </w:rPr>
            </w:pPr>
            <w:r>
              <w:rPr>
                <w:rFonts w:ascii="Verdana" w:eastAsia="Verdana" w:hAnsi="Verdana" w:cs="Verdana"/>
                <w:b/>
                <w:noProof/>
                <w:color w:val="FFFFFF"/>
                <w:sz w:val="16"/>
              </w:rPr>
              <w:t>Revenue</w:t>
            </w:r>
          </w:p>
        </w:tc>
        <w:tc>
          <w:tcPr>
            <w:tcW w:w="4175" w:type="dxa"/>
            <w:vMerge w:val="restart"/>
            <w:tcBorders>
              <w:top w:val="nil"/>
              <w:left w:val="nil"/>
              <w:bottom w:val="nil"/>
              <w:right w:val="nil"/>
              <w:tl2br w:val="nil"/>
              <w:tr2bl w:val="nil"/>
            </w:tcBorders>
            <w:shd w:val="solid" w:color="016794" w:fill="FFFFFF"/>
            <w:tcMar>
              <w:left w:w="60" w:type="dxa"/>
              <w:right w:w="60" w:type="dxa"/>
            </w:tcMar>
            <w:vAlign w:val="center"/>
          </w:tcPr>
          <w:p w14:paraId="106A787B" w14:textId="77777777" w:rsidR="00340B6A" w:rsidRDefault="00340B6A" w:rsidP="00340B6A">
            <w:pPr>
              <w:pStyle w:val="DMETW36778BIPInstitutions1Revenue"/>
              <w:jc w:val="center"/>
              <w:rPr>
                <w:rFonts w:ascii="Verdana" w:eastAsia="Verdana" w:hAnsi="Verdana" w:cs="Verdana"/>
                <w:b/>
                <w:noProof/>
                <w:color w:val="FFFFFF"/>
                <w:sz w:val="16"/>
              </w:rPr>
            </w:pPr>
            <w:r>
              <w:rPr>
                <w:rFonts w:ascii="Verdana" w:eastAsia="Verdana" w:hAnsi="Verdana" w:cs="Verdana"/>
                <w:b/>
                <w:noProof/>
                <w:color w:val="FFFFFF"/>
                <w:sz w:val="16"/>
              </w:rPr>
              <w:t>Revenue as % of budget</w:t>
            </w:r>
          </w:p>
        </w:tc>
        <w:tc>
          <w:tcPr>
            <w:tcW w:w="3563" w:type="dxa"/>
            <w:vMerge w:val="restart"/>
            <w:tcBorders>
              <w:top w:val="nil"/>
              <w:left w:val="nil"/>
              <w:bottom w:val="nil"/>
              <w:right w:val="nil"/>
              <w:tl2br w:val="nil"/>
              <w:tr2bl w:val="nil"/>
            </w:tcBorders>
            <w:shd w:val="solid" w:color="016794" w:fill="FFFFFF"/>
            <w:tcMar>
              <w:left w:w="60" w:type="dxa"/>
              <w:right w:w="60" w:type="dxa"/>
            </w:tcMar>
            <w:vAlign w:val="center"/>
          </w:tcPr>
          <w:p w14:paraId="5F9CC9AB" w14:textId="77777777" w:rsidR="00340B6A" w:rsidRDefault="00340B6A" w:rsidP="00340B6A">
            <w:pPr>
              <w:pStyle w:val="DMETW36778BIPInstitutions1Revenue"/>
              <w:jc w:val="center"/>
              <w:rPr>
                <w:rFonts w:ascii="Verdana" w:eastAsia="Verdana" w:hAnsi="Verdana" w:cs="Verdana"/>
                <w:b/>
                <w:noProof/>
                <w:color w:val="FFFFFF"/>
                <w:sz w:val="16"/>
              </w:rPr>
            </w:pPr>
            <w:r>
              <w:rPr>
                <w:rFonts w:ascii="Verdana" w:eastAsia="Verdana" w:hAnsi="Verdana" w:cs="Verdana"/>
                <w:b/>
                <w:noProof/>
                <w:color w:val="FFFFFF"/>
                <w:sz w:val="16"/>
              </w:rPr>
              <w:t>Out-</w:t>
            </w:r>
          </w:p>
          <w:p w14:paraId="1CF18DCC" w14:textId="77777777" w:rsidR="00340B6A" w:rsidRDefault="00340B6A" w:rsidP="00340B6A">
            <w:pPr>
              <w:pStyle w:val="DMETW36778BIPInstitutions1Revenue"/>
              <w:jc w:val="center"/>
              <w:rPr>
                <w:rFonts w:ascii="Verdana" w:eastAsia="Verdana" w:hAnsi="Verdana" w:cs="Verdana"/>
                <w:b/>
                <w:noProof/>
                <w:color w:val="FFFFFF"/>
                <w:sz w:val="16"/>
                <w:lang w:bidi="en-GB"/>
              </w:rPr>
            </w:pPr>
            <w:r>
              <w:rPr>
                <w:rFonts w:ascii="Verdana" w:eastAsia="Verdana" w:hAnsi="Verdana" w:cs="Verdana"/>
                <w:b/>
                <w:noProof/>
                <w:color w:val="FFFFFF"/>
                <w:sz w:val="16"/>
              </w:rPr>
              <w:t>standing</w:t>
            </w:r>
          </w:p>
        </w:tc>
      </w:tr>
      <w:tr w:rsidR="00340B6A" w14:paraId="537B4C91" w14:textId="77777777" w:rsidTr="00340B6A">
        <w:trPr>
          <w:trHeight w:val="255"/>
        </w:trPr>
        <w:tc>
          <w:tcPr>
            <w:tcW w:w="2207" w:type="dxa"/>
            <w:tcBorders>
              <w:top w:val="nil"/>
              <w:left w:val="nil"/>
              <w:bottom w:val="nil"/>
              <w:right w:val="nil"/>
              <w:tl2br w:val="nil"/>
              <w:tr2bl w:val="nil"/>
            </w:tcBorders>
            <w:shd w:val="solid" w:color="016794" w:fill="FFFFFF"/>
            <w:tcMar>
              <w:left w:w="60" w:type="dxa"/>
              <w:right w:w="60" w:type="dxa"/>
            </w:tcMar>
            <w:vAlign w:val="center"/>
          </w:tcPr>
          <w:p w14:paraId="2C2CC060" w14:textId="77777777" w:rsidR="00340B6A" w:rsidRDefault="00340B6A" w:rsidP="00340B6A">
            <w:pPr>
              <w:pStyle w:val="DMETW36778BIPInstitutions1Revenue"/>
              <w:jc w:val="center"/>
              <w:rPr>
                <w:rFonts w:ascii="Verdana" w:eastAsia="Verdana" w:hAnsi="Verdana" w:cs="Verdana"/>
                <w:noProof/>
                <w:color w:val="FFFFFF"/>
                <w:sz w:val="16"/>
              </w:rPr>
            </w:pPr>
          </w:p>
        </w:tc>
        <w:tc>
          <w:tcPr>
            <w:tcW w:w="723" w:type="dxa"/>
            <w:tcBorders>
              <w:top w:val="nil"/>
              <w:left w:val="nil"/>
              <w:bottom w:val="nil"/>
              <w:right w:val="nil"/>
              <w:tl2br w:val="nil"/>
              <w:tr2bl w:val="nil"/>
            </w:tcBorders>
            <w:shd w:val="solid" w:color="016794" w:fill="FFFFFF"/>
            <w:tcMar>
              <w:left w:w="60" w:type="dxa"/>
              <w:right w:w="60" w:type="dxa"/>
            </w:tcMar>
            <w:vAlign w:val="center"/>
          </w:tcPr>
          <w:p w14:paraId="4BDCEEA1"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Initial adopted budget</w:t>
            </w:r>
          </w:p>
        </w:tc>
        <w:tc>
          <w:tcPr>
            <w:tcW w:w="564" w:type="dxa"/>
            <w:tcBorders>
              <w:top w:val="nil"/>
              <w:left w:val="nil"/>
              <w:bottom w:val="nil"/>
              <w:right w:val="nil"/>
              <w:tl2br w:val="nil"/>
              <w:tr2bl w:val="nil"/>
            </w:tcBorders>
            <w:shd w:val="solid" w:color="016794" w:fill="FFFFFF"/>
            <w:tcMar>
              <w:left w:w="60" w:type="dxa"/>
              <w:right w:w="60" w:type="dxa"/>
            </w:tcMar>
            <w:vAlign w:val="center"/>
          </w:tcPr>
          <w:p w14:paraId="75BB6276"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564" w:type="dxa"/>
            <w:tcBorders>
              <w:top w:val="nil"/>
              <w:left w:val="nil"/>
              <w:bottom w:val="nil"/>
              <w:right w:val="nil"/>
              <w:tl2br w:val="nil"/>
              <w:tr2bl w:val="nil"/>
            </w:tcBorders>
            <w:shd w:val="solid" w:color="016794" w:fill="FFFFFF"/>
            <w:tcMar>
              <w:left w:w="60" w:type="dxa"/>
              <w:right w:w="60" w:type="dxa"/>
            </w:tcMar>
            <w:vAlign w:val="center"/>
          </w:tcPr>
          <w:p w14:paraId="30BD501D"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Current year</w:t>
            </w:r>
          </w:p>
        </w:tc>
        <w:tc>
          <w:tcPr>
            <w:tcW w:w="520" w:type="dxa"/>
            <w:tcBorders>
              <w:top w:val="nil"/>
              <w:left w:val="nil"/>
              <w:bottom w:val="nil"/>
              <w:right w:val="nil"/>
              <w:tl2br w:val="nil"/>
              <w:tr2bl w:val="nil"/>
            </w:tcBorders>
            <w:shd w:val="solid" w:color="016794" w:fill="FFFFFF"/>
            <w:tcMar>
              <w:left w:w="60" w:type="dxa"/>
              <w:right w:w="60" w:type="dxa"/>
            </w:tcMar>
            <w:vAlign w:val="center"/>
          </w:tcPr>
          <w:p w14:paraId="69B73D21"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Carried over</w:t>
            </w:r>
          </w:p>
        </w:tc>
        <w:tc>
          <w:tcPr>
            <w:tcW w:w="564" w:type="dxa"/>
            <w:tcBorders>
              <w:top w:val="nil"/>
              <w:left w:val="nil"/>
              <w:bottom w:val="nil"/>
              <w:right w:val="nil"/>
              <w:tl2br w:val="nil"/>
              <w:tr2bl w:val="nil"/>
            </w:tcBorders>
            <w:shd w:val="solid" w:color="016794" w:fill="FFFFFF"/>
            <w:tcMar>
              <w:left w:w="60" w:type="dxa"/>
              <w:right w:w="60" w:type="dxa"/>
            </w:tcMar>
            <w:vAlign w:val="center"/>
          </w:tcPr>
          <w:p w14:paraId="35B0F79A"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646" w:type="dxa"/>
            <w:tcBorders>
              <w:top w:val="nil"/>
              <w:left w:val="nil"/>
              <w:bottom w:val="nil"/>
              <w:right w:val="nil"/>
              <w:tl2br w:val="nil"/>
              <w:tr2bl w:val="nil"/>
            </w:tcBorders>
            <w:shd w:val="solid" w:color="016794" w:fill="FFFFFF"/>
            <w:tcMar>
              <w:left w:w="60" w:type="dxa"/>
              <w:right w:w="60" w:type="dxa"/>
            </w:tcMar>
            <w:vAlign w:val="center"/>
          </w:tcPr>
          <w:p w14:paraId="611795E7"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On entitle-</w:t>
            </w:r>
          </w:p>
          <w:p w14:paraId="60DE9948"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ments of current year</w:t>
            </w:r>
          </w:p>
        </w:tc>
        <w:tc>
          <w:tcPr>
            <w:tcW w:w="520" w:type="dxa"/>
            <w:tcBorders>
              <w:top w:val="nil"/>
              <w:left w:val="nil"/>
              <w:bottom w:val="nil"/>
              <w:right w:val="nil"/>
              <w:tl2br w:val="nil"/>
              <w:tr2bl w:val="nil"/>
            </w:tcBorders>
            <w:shd w:val="solid" w:color="016794" w:fill="FFFFFF"/>
            <w:tcMar>
              <w:left w:w="60" w:type="dxa"/>
              <w:right w:w="60" w:type="dxa"/>
            </w:tcMar>
            <w:vAlign w:val="center"/>
          </w:tcPr>
          <w:p w14:paraId="56AB3B3E"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On entitle-</w:t>
            </w:r>
          </w:p>
          <w:p w14:paraId="020C9C6F" w14:textId="77777777" w:rsidR="00340B6A" w:rsidRDefault="00340B6A" w:rsidP="00340B6A">
            <w:pPr>
              <w:pStyle w:val="DMETW36778BIPInstitutions1Revenue"/>
              <w:jc w:val="center"/>
              <w:rPr>
                <w:rFonts w:ascii="Verdana" w:eastAsia="Verdana" w:hAnsi="Verdana" w:cs="Verdana"/>
                <w:noProof/>
                <w:color w:val="FFFFFF"/>
                <w:sz w:val="16"/>
              </w:rPr>
            </w:pPr>
            <w:r>
              <w:rPr>
                <w:rFonts w:ascii="Verdana" w:eastAsia="Verdana" w:hAnsi="Verdana" w:cs="Verdana"/>
                <w:noProof/>
                <w:color w:val="FFFFFF"/>
                <w:sz w:val="16"/>
              </w:rPr>
              <w:t>ments carried over</w:t>
            </w:r>
          </w:p>
        </w:tc>
        <w:tc>
          <w:tcPr>
            <w:tcW w:w="646" w:type="dxa"/>
            <w:tcBorders>
              <w:top w:val="nil"/>
              <w:left w:val="nil"/>
              <w:bottom w:val="nil"/>
              <w:right w:val="nil"/>
              <w:tl2br w:val="nil"/>
              <w:tr2bl w:val="nil"/>
            </w:tcBorders>
            <w:shd w:val="solid" w:color="016794" w:fill="FFFFFF"/>
            <w:tcMar>
              <w:left w:w="60" w:type="dxa"/>
              <w:right w:w="60" w:type="dxa"/>
            </w:tcMar>
            <w:vAlign w:val="center"/>
          </w:tcPr>
          <w:p w14:paraId="38D9F8CF" w14:textId="77777777" w:rsidR="00340B6A" w:rsidRDefault="00340B6A" w:rsidP="00340B6A">
            <w:pPr>
              <w:pStyle w:val="DMETW36778BIPInstitutions1Revenue"/>
              <w:jc w:val="center"/>
              <w:rPr>
                <w:rFonts w:ascii="Verdana" w:eastAsia="Verdana" w:hAnsi="Verdana" w:cs="Verdana"/>
                <w:noProof/>
                <w:color w:val="FFFFFF"/>
                <w:sz w:val="16"/>
                <w:lang w:bidi="en-GB"/>
              </w:rPr>
            </w:pPr>
            <w:r>
              <w:rPr>
                <w:rFonts w:ascii="Verdana" w:eastAsia="Verdana" w:hAnsi="Verdana" w:cs="Verdana"/>
                <w:noProof/>
                <w:color w:val="FFFFFF"/>
                <w:sz w:val="16"/>
              </w:rPr>
              <w:t>Revenue</w:t>
            </w:r>
          </w:p>
        </w:tc>
        <w:tc>
          <w:tcPr>
            <w:tcW w:w="4175" w:type="dxa"/>
            <w:vMerge/>
            <w:tcBorders>
              <w:top w:val="nil"/>
              <w:left w:val="nil"/>
              <w:bottom w:val="nil"/>
              <w:right w:val="nil"/>
              <w:tl2br w:val="nil"/>
              <w:tr2bl w:val="nil"/>
            </w:tcBorders>
            <w:shd w:val="solid" w:color="016794" w:fill="FFFFFF"/>
            <w:tcMar>
              <w:left w:w="60" w:type="dxa"/>
              <w:right w:w="60" w:type="dxa"/>
            </w:tcMar>
            <w:vAlign w:val="center"/>
          </w:tcPr>
          <w:p w14:paraId="1D2AF6AB" w14:textId="77777777" w:rsidR="00340B6A" w:rsidRDefault="00340B6A" w:rsidP="00340B6A">
            <w:pPr>
              <w:pStyle w:val="DMETW36778BIPInstitutions1Revenue"/>
              <w:jc w:val="center"/>
              <w:rPr>
                <w:rFonts w:ascii="Verdana" w:eastAsia="Verdana" w:hAnsi="Verdana" w:cs="Verdana"/>
                <w:b/>
                <w:noProof/>
                <w:color w:val="FFFFFF"/>
                <w:sz w:val="16"/>
              </w:rPr>
            </w:pPr>
          </w:p>
        </w:tc>
        <w:tc>
          <w:tcPr>
            <w:tcW w:w="3563" w:type="dxa"/>
            <w:vMerge/>
            <w:tcBorders>
              <w:top w:val="nil"/>
              <w:left w:val="nil"/>
              <w:bottom w:val="nil"/>
              <w:right w:val="nil"/>
              <w:tl2br w:val="nil"/>
              <w:tr2bl w:val="nil"/>
            </w:tcBorders>
            <w:shd w:val="solid" w:color="016794" w:fill="FFFFFF"/>
            <w:tcMar>
              <w:left w:w="60" w:type="dxa"/>
              <w:right w:w="60" w:type="dxa"/>
            </w:tcMar>
            <w:vAlign w:val="center"/>
          </w:tcPr>
          <w:p w14:paraId="1445C3F5" w14:textId="77777777" w:rsidR="00340B6A" w:rsidRDefault="00340B6A" w:rsidP="00340B6A">
            <w:pPr>
              <w:pStyle w:val="DMETW36778BIPInstitutions1Revenue"/>
              <w:jc w:val="center"/>
              <w:rPr>
                <w:rFonts w:ascii="Verdana" w:eastAsia="Verdana" w:hAnsi="Verdana" w:cs="Verdana"/>
                <w:b/>
                <w:noProof/>
                <w:color w:val="FFFFFF"/>
                <w:sz w:val="16"/>
              </w:rPr>
            </w:pPr>
          </w:p>
        </w:tc>
      </w:tr>
      <w:tr w:rsidR="00340B6A" w14:paraId="13621641"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3C354A3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Parliament</w:t>
            </w:r>
          </w:p>
        </w:tc>
        <w:tc>
          <w:tcPr>
            <w:tcW w:w="723" w:type="dxa"/>
            <w:tcBorders>
              <w:top w:val="nil"/>
              <w:left w:val="nil"/>
              <w:bottom w:val="nil"/>
              <w:right w:val="nil"/>
              <w:tl2br w:val="nil"/>
              <w:tr2bl w:val="nil"/>
            </w:tcBorders>
            <w:tcMar>
              <w:left w:w="60" w:type="dxa"/>
              <w:right w:w="60" w:type="dxa"/>
            </w:tcMar>
            <w:vAlign w:val="center"/>
          </w:tcPr>
          <w:p w14:paraId="636CFD44"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249</w:t>
            </w:r>
          </w:p>
        </w:tc>
        <w:tc>
          <w:tcPr>
            <w:tcW w:w="564" w:type="dxa"/>
            <w:tcBorders>
              <w:top w:val="nil"/>
              <w:left w:val="nil"/>
              <w:bottom w:val="nil"/>
              <w:right w:val="nil"/>
              <w:tl2br w:val="nil"/>
              <w:tr2bl w:val="nil"/>
            </w:tcBorders>
            <w:tcMar>
              <w:left w:w="60" w:type="dxa"/>
              <w:right w:w="60" w:type="dxa"/>
            </w:tcMar>
            <w:vAlign w:val="center"/>
          </w:tcPr>
          <w:p w14:paraId="673CF90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249</w:t>
            </w:r>
          </w:p>
        </w:tc>
        <w:tc>
          <w:tcPr>
            <w:tcW w:w="564" w:type="dxa"/>
            <w:tcBorders>
              <w:top w:val="nil"/>
              <w:left w:val="nil"/>
              <w:bottom w:val="nil"/>
              <w:right w:val="nil"/>
              <w:tl2br w:val="nil"/>
              <w:tr2bl w:val="nil"/>
            </w:tcBorders>
            <w:tcMar>
              <w:left w:w="60" w:type="dxa"/>
              <w:right w:w="60" w:type="dxa"/>
            </w:tcMar>
            <w:vAlign w:val="center"/>
          </w:tcPr>
          <w:p w14:paraId="2929C3BB"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291</w:t>
            </w:r>
          </w:p>
        </w:tc>
        <w:tc>
          <w:tcPr>
            <w:tcW w:w="520" w:type="dxa"/>
            <w:tcBorders>
              <w:top w:val="nil"/>
              <w:left w:val="nil"/>
              <w:bottom w:val="nil"/>
              <w:right w:val="nil"/>
              <w:tl2br w:val="nil"/>
              <w:tr2bl w:val="nil"/>
            </w:tcBorders>
            <w:tcMar>
              <w:left w:w="60" w:type="dxa"/>
              <w:right w:w="60" w:type="dxa"/>
            </w:tcMar>
            <w:vAlign w:val="center"/>
          </w:tcPr>
          <w:p w14:paraId="4246960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564" w:type="dxa"/>
            <w:tcBorders>
              <w:top w:val="nil"/>
              <w:left w:val="nil"/>
              <w:bottom w:val="nil"/>
              <w:right w:val="nil"/>
              <w:tl2br w:val="nil"/>
              <w:tr2bl w:val="nil"/>
            </w:tcBorders>
            <w:tcMar>
              <w:left w:w="60" w:type="dxa"/>
              <w:right w:w="60" w:type="dxa"/>
            </w:tcMar>
            <w:vAlign w:val="center"/>
          </w:tcPr>
          <w:p w14:paraId="28F6741E"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303</w:t>
            </w:r>
          </w:p>
        </w:tc>
        <w:tc>
          <w:tcPr>
            <w:tcW w:w="646" w:type="dxa"/>
            <w:tcBorders>
              <w:top w:val="nil"/>
              <w:left w:val="nil"/>
              <w:bottom w:val="nil"/>
              <w:right w:val="nil"/>
              <w:tl2br w:val="nil"/>
              <w:tr2bl w:val="nil"/>
            </w:tcBorders>
            <w:tcMar>
              <w:left w:w="60" w:type="dxa"/>
              <w:right w:w="60" w:type="dxa"/>
            </w:tcMar>
            <w:vAlign w:val="center"/>
          </w:tcPr>
          <w:p w14:paraId="11D17A1E"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286</w:t>
            </w:r>
          </w:p>
        </w:tc>
        <w:tc>
          <w:tcPr>
            <w:tcW w:w="520" w:type="dxa"/>
            <w:tcBorders>
              <w:top w:val="nil"/>
              <w:left w:val="nil"/>
              <w:bottom w:val="nil"/>
              <w:right w:val="nil"/>
              <w:tl2br w:val="nil"/>
              <w:tr2bl w:val="nil"/>
            </w:tcBorders>
            <w:tcMar>
              <w:left w:w="60" w:type="dxa"/>
              <w:right w:w="60" w:type="dxa"/>
            </w:tcMar>
            <w:vAlign w:val="center"/>
          </w:tcPr>
          <w:p w14:paraId="2C4694D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646" w:type="dxa"/>
            <w:tcBorders>
              <w:top w:val="nil"/>
              <w:left w:val="nil"/>
              <w:bottom w:val="nil"/>
              <w:right w:val="nil"/>
              <w:tl2br w:val="nil"/>
              <w:tr2bl w:val="nil"/>
            </w:tcBorders>
            <w:tcMar>
              <w:left w:w="60" w:type="dxa"/>
              <w:right w:w="60" w:type="dxa"/>
            </w:tcMar>
            <w:vAlign w:val="center"/>
          </w:tcPr>
          <w:p w14:paraId="2AC98C19"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287</w:t>
            </w:r>
          </w:p>
        </w:tc>
        <w:tc>
          <w:tcPr>
            <w:tcW w:w="4175" w:type="dxa"/>
            <w:tcBorders>
              <w:top w:val="nil"/>
              <w:left w:val="nil"/>
              <w:bottom w:val="nil"/>
              <w:right w:val="nil"/>
              <w:tl2br w:val="nil"/>
              <w:tr2bl w:val="nil"/>
            </w:tcBorders>
            <w:tcMar>
              <w:left w:w="60" w:type="dxa"/>
              <w:right w:w="60" w:type="dxa"/>
            </w:tcMar>
            <w:vAlign w:val="center"/>
          </w:tcPr>
          <w:p w14:paraId="11105C3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115 %</w:t>
            </w:r>
          </w:p>
        </w:tc>
        <w:tc>
          <w:tcPr>
            <w:tcW w:w="3563" w:type="dxa"/>
            <w:tcBorders>
              <w:top w:val="nil"/>
              <w:left w:val="nil"/>
              <w:bottom w:val="nil"/>
              <w:right w:val="nil"/>
              <w:tl2br w:val="nil"/>
              <w:tr2bl w:val="nil"/>
            </w:tcBorders>
            <w:tcMar>
              <w:left w:w="60" w:type="dxa"/>
              <w:right w:w="60" w:type="dxa"/>
            </w:tcMar>
            <w:vAlign w:val="center"/>
          </w:tcPr>
          <w:p w14:paraId="3BADBE16"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16</w:t>
            </w:r>
          </w:p>
        </w:tc>
      </w:tr>
      <w:tr w:rsidR="00340B6A" w14:paraId="2B9316C6"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34FC814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Council</w:t>
            </w:r>
          </w:p>
        </w:tc>
        <w:tc>
          <w:tcPr>
            <w:tcW w:w="723" w:type="dxa"/>
            <w:tcBorders>
              <w:top w:val="nil"/>
              <w:left w:val="nil"/>
              <w:bottom w:val="nil"/>
              <w:right w:val="nil"/>
              <w:tl2br w:val="nil"/>
              <w:tr2bl w:val="nil"/>
            </w:tcBorders>
            <w:tcMar>
              <w:left w:w="60" w:type="dxa"/>
              <w:right w:w="60" w:type="dxa"/>
            </w:tcMar>
            <w:vAlign w:val="center"/>
          </w:tcPr>
          <w:p w14:paraId="55F9179A"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564" w:type="dxa"/>
            <w:tcBorders>
              <w:top w:val="nil"/>
              <w:left w:val="nil"/>
              <w:bottom w:val="nil"/>
              <w:right w:val="nil"/>
              <w:tl2br w:val="nil"/>
              <w:tr2bl w:val="nil"/>
            </w:tcBorders>
            <w:tcMar>
              <w:left w:w="60" w:type="dxa"/>
              <w:right w:w="60" w:type="dxa"/>
            </w:tcMar>
            <w:vAlign w:val="center"/>
          </w:tcPr>
          <w:p w14:paraId="500B445D"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564" w:type="dxa"/>
            <w:tcBorders>
              <w:top w:val="nil"/>
              <w:left w:val="nil"/>
              <w:bottom w:val="nil"/>
              <w:right w:val="nil"/>
              <w:tl2br w:val="nil"/>
              <w:tr2bl w:val="nil"/>
            </w:tcBorders>
            <w:tcMar>
              <w:left w:w="60" w:type="dxa"/>
              <w:right w:w="60" w:type="dxa"/>
            </w:tcMar>
            <w:vAlign w:val="center"/>
          </w:tcPr>
          <w:p w14:paraId="5B4A8052"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520" w:type="dxa"/>
            <w:tcBorders>
              <w:top w:val="nil"/>
              <w:left w:val="nil"/>
              <w:bottom w:val="nil"/>
              <w:right w:val="nil"/>
              <w:tl2br w:val="nil"/>
              <w:tr2bl w:val="nil"/>
            </w:tcBorders>
            <w:tcMar>
              <w:left w:w="60" w:type="dxa"/>
              <w:right w:w="60" w:type="dxa"/>
            </w:tcMar>
            <w:vAlign w:val="center"/>
          </w:tcPr>
          <w:p w14:paraId="5429B024"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564" w:type="dxa"/>
            <w:tcBorders>
              <w:top w:val="nil"/>
              <w:left w:val="nil"/>
              <w:bottom w:val="nil"/>
              <w:right w:val="nil"/>
              <w:tl2br w:val="nil"/>
              <w:tr2bl w:val="nil"/>
            </w:tcBorders>
            <w:tcMar>
              <w:left w:w="60" w:type="dxa"/>
              <w:right w:w="60" w:type="dxa"/>
            </w:tcMar>
            <w:vAlign w:val="center"/>
          </w:tcPr>
          <w:p w14:paraId="5E573390"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110</w:t>
            </w:r>
          </w:p>
        </w:tc>
        <w:tc>
          <w:tcPr>
            <w:tcW w:w="646" w:type="dxa"/>
            <w:tcBorders>
              <w:top w:val="nil"/>
              <w:left w:val="nil"/>
              <w:bottom w:val="nil"/>
              <w:right w:val="nil"/>
              <w:tl2br w:val="nil"/>
              <w:tr2bl w:val="nil"/>
            </w:tcBorders>
            <w:tcMar>
              <w:left w:w="60" w:type="dxa"/>
              <w:right w:w="60" w:type="dxa"/>
            </w:tcMar>
            <w:vAlign w:val="center"/>
          </w:tcPr>
          <w:p w14:paraId="5261F70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520" w:type="dxa"/>
            <w:tcBorders>
              <w:top w:val="nil"/>
              <w:left w:val="nil"/>
              <w:bottom w:val="nil"/>
              <w:right w:val="nil"/>
              <w:tl2br w:val="nil"/>
              <w:tr2bl w:val="nil"/>
            </w:tcBorders>
            <w:tcMar>
              <w:left w:w="60" w:type="dxa"/>
              <w:right w:w="60" w:type="dxa"/>
            </w:tcMar>
            <w:vAlign w:val="center"/>
          </w:tcPr>
          <w:p w14:paraId="134E879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46" w:type="dxa"/>
            <w:tcBorders>
              <w:top w:val="nil"/>
              <w:left w:val="nil"/>
              <w:bottom w:val="nil"/>
              <w:right w:val="nil"/>
              <w:tl2br w:val="nil"/>
              <w:tr2bl w:val="nil"/>
            </w:tcBorders>
            <w:tcMar>
              <w:left w:w="60" w:type="dxa"/>
              <w:right w:w="60" w:type="dxa"/>
            </w:tcMar>
            <w:vAlign w:val="center"/>
          </w:tcPr>
          <w:p w14:paraId="46B52AC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4175" w:type="dxa"/>
            <w:tcBorders>
              <w:top w:val="nil"/>
              <w:left w:val="nil"/>
              <w:bottom w:val="nil"/>
              <w:right w:val="nil"/>
              <w:tl2br w:val="nil"/>
              <w:tr2bl w:val="nil"/>
            </w:tcBorders>
            <w:tcMar>
              <w:left w:w="60" w:type="dxa"/>
              <w:right w:w="60" w:type="dxa"/>
            </w:tcMar>
            <w:vAlign w:val="center"/>
          </w:tcPr>
          <w:p w14:paraId="2F36526F"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137 %</w:t>
            </w:r>
          </w:p>
        </w:tc>
        <w:tc>
          <w:tcPr>
            <w:tcW w:w="3563" w:type="dxa"/>
            <w:tcBorders>
              <w:top w:val="nil"/>
              <w:left w:val="nil"/>
              <w:bottom w:val="nil"/>
              <w:right w:val="nil"/>
              <w:tl2br w:val="nil"/>
              <w:tr2bl w:val="nil"/>
            </w:tcBorders>
            <w:tcMar>
              <w:left w:w="60" w:type="dxa"/>
              <w:right w:w="60" w:type="dxa"/>
            </w:tcMar>
            <w:vAlign w:val="center"/>
          </w:tcPr>
          <w:p w14:paraId="52052CC3"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340B6A" w14:paraId="050A0C0F"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44DD6CEA"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Commission</w:t>
            </w:r>
          </w:p>
        </w:tc>
        <w:tc>
          <w:tcPr>
            <w:tcW w:w="723" w:type="dxa"/>
            <w:tcBorders>
              <w:top w:val="nil"/>
              <w:left w:val="nil"/>
              <w:bottom w:val="nil"/>
              <w:right w:val="nil"/>
              <w:tl2br w:val="nil"/>
              <w:tr2bl w:val="nil"/>
            </w:tcBorders>
            <w:tcMar>
              <w:left w:w="60" w:type="dxa"/>
              <w:right w:w="60" w:type="dxa"/>
            </w:tcMar>
            <w:vAlign w:val="center"/>
          </w:tcPr>
          <w:p w14:paraId="7DA835AE"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154 664</w:t>
            </w:r>
          </w:p>
        </w:tc>
        <w:tc>
          <w:tcPr>
            <w:tcW w:w="564" w:type="dxa"/>
            <w:tcBorders>
              <w:top w:val="nil"/>
              <w:left w:val="nil"/>
              <w:bottom w:val="nil"/>
              <w:right w:val="nil"/>
              <w:tl2br w:val="nil"/>
              <w:tr2bl w:val="nil"/>
            </w:tcBorders>
            <w:tcMar>
              <w:left w:w="60" w:type="dxa"/>
              <w:right w:w="60" w:type="dxa"/>
            </w:tcMar>
            <w:vAlign w:val="center"/>
          </w:tcPr>
          <w:p w14:paraId="39204AE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160 617</w:t>
            </w:r>
          </w:p>
        </w:tc>
        <w:tc>
          <w:tcPr>
            <w:tcW w:w="564" w:type="dxa"/>
            <w:tcBorders>
              <w:top w:val="nil"/>
              <w:left w:val="nil"/>
              <w:bottom w:val="nil"/>
              <w:right w:val="nil"/>
              <w:tl2br w:val="nil"/>
              <w:tr2bl w:val="nil"/>
            </w:tcBorders>
            <w:tcMar>
              <w:left w:w="60" w:type="dxa"/>
              <w:right w:w="60" w:type="dxa"/>
            </w:tcMar>
            <w:vAlign w:val="center"/>
          </w:tcPr>
          <w:p w14:paraId="26E6289B"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226 586</w:t>
            </w:r>
          </w:p>
        </w:tc>
        <w:tc>
          <w:tcPr>
            <w:tcW w:w="520" w:type="dxa"/>
            <w:tcBorders>
              <w:top w:val="nil"/>
              <w:left w:val="nil"/>
              <w:bottom w:val="nil"/>
              <w:right w:val="nil"/>
              <w:tl2br w:val="nil"/>
              <w:tr2bl w:val="nil"/>
            </w:tcBorders>
            <w:tcMar>
              <w:left w:w="60" w:type="dxa"/>
              <w:right w:w="60" w:type="dxa"/>
            </w:tcMar>
            <w:vAlign w:val="center"/>
          </w:tcPr>
          <w:p w14:paraId="66B08DF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16 251</w:t>
            </w:r>
          </w:p>
        </w:tc>
        <w:tc>
          <w:tcPr>
            <w:tcW w:w="564" w:type="dxa"/>
            <w:tcBorders>
              <w:top w:val="nil"/>
              <w:left w:val="nil"/>
              <w:bottom w:val="nil"/>
              <w:right w:val="nil"/>
              <w:tl2br w:val="nil"/>
              <w:tr2bl w:val="nil"/>
            </w:tcBorders>
            <w:tcMar>
              <w:left w:w="60" w:type="dxa"/>
              <w:right w:w="60" w:type="dxa"/>
            </w:tcMar>
            <w:vAlign w:val="center"/>
          </w:tcPr>
          <w:p w14:paraId="1E43E7E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242 837</w:t>
            </w:r>
          </w:p>
        </w:tc>
        <w:tc>
          <w:tcPr>
            <w:tcW w:w="646" w:type="dxa"/>
            <w:tcBorders>
              <w:top w:val="nil"/>
              <w:left w:val="nil"/>
              <w:bottom w:val="nil"/>
              <w:right w:val="nil"/>
              <w:tl2br w:val="nil"/>
              <w:tr2bl w:val="nil"/>
            </w:tcBorders>
            <w:tcMar>
              <w:left w:w="60" w:type="dxa"/>
              <w:right w:w="60" w:type="dxa"/>
            </w:tcMar>
            <w:vAlign w:val="center"/>
          </w:tcPr>
          <w:p w14:paraId="2E250760"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220 118</w:t>
            </w:r>
          </w:p>
        </w:tc>
        <w:tc>
          <w:tcPr>
            <w:tcW w:w="520" w:type="dxa"/>
            <w:tcBorders>
              <w:top w:val="nil"/>
              <w:left w:val="nil"/>
              <w:bottom w:val="nil"/>
              <w:right w:val="nil"/>
              <w:tl2br w:val="nil"/>
              <w:tr2bl w:val="nil"/>
            </w:tcBorders>
            <w:tcMar>
              <w:left w:w="60" w:type="dxa"/>
              <w:right w:w="60" w:type="dxa"/>
            </w:tcMar>
            <w:vAlign w:val="center"/>
          </w:tcPr>
          <w:p w14:paraId="5D98C205"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3 350</w:t>
            </w:r>
          </w:p>
        </w:tc>
        <w:tc>
          <w:tcPr>
            <w:tcW w:w="646" w:type="dxa"/>
            <w:tcBorders>
              <w:top w:val="nil"/>
              <w:left w:val="nil"/>
              <w:bottom w:val="nil"/>
              <w:right w:val="nil"/>
              <w:tl2br w:val="nil"/>
              <w:tr2bl w:val="nil"/>
            </w:tcBorders>
            <w:tcMar>
              <w:left w:w="60" w:type="dxa"/>
              <w:right w:w="60" w:type="dxa"/>
            </w:tcMar>
            <w:vAlign w:val="center"/>
          </w:tcPr>
          <w:p w14:paraId="485812FB"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223 468</w:t>
            </w:r>
          </w:p>
        </w:tc>
        <w:tc>
          <w:tcPr>
            <w:tcW w:w="4175" w:type="dxa"/>
            <w:tcBorders>
              <w:top w:val="nil"/>
              <w:left w:val="nil"/>
              <w:bottom w:val="nil"/>
              <w:right w:val="nil"/>
              <w:tl2br w:val="nil"/>
              <w:tr2bl w:val="nil"/>
            </w:tcBorders>
            <w:tcMar>
              <w:left w:w="60" w:type="dxa"/>
              <w:right w:w="60" w:type="dxa"/>
            </w:tcMar>
            <w:vAlign w:val="center"/>
          </w:tcPr>
          <w:p w14:paraId="75DD06DD"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139 %</w:t>
            </w:r>
          </w:p>
        </w:tc>
        <w:tc>
          <w:tcPr>
            <w:tcW w:w="3563" w:type="dxa"/>
            <w:tcBorders>
              <w:top w:val="nil"/>
              <w:left w:val="nil"/>
              <w:bottom w:val="nil"/>
              <w:right w:val="nil"/>
              <w:tl2br w:val="nil"/>
              <w:tr2bl w:val="nil"/>
            </w:tcBorders>
            <w:tcMar>
              <w:left w:w="60" w:type="dxa"/>
              <w:right w:w="60" w:type="dxa"/>
            </w:tcMar>
            <w:vAlign w:val="center"/>
          </w:tcPr>
          <w:p w14:paraId="3B5D4AC4"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19 370</w:t>
            </w:r>
          </w:p>
        </w:tc>
      </w:tr>
      <w:tr w:rsidR="00340B6A" w14:paraId="63F234B6"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6D7D6088"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Court of Justice</w:t>
            </w:r>
          </w:p>
        </w:tc>
        <w:tc>
          <w:tcPr>
            <w:tcW w:w="723" w:type="dxa"/>
            <w:tcBorders>
              <w:top w:val="nil"/>
              <w:left w:val="nil"/>
              <w:bottom w:val="nil"/>
              <w:right w:val="nil"/>
              <w:tl2br w:val="nil"/>
              <w:tr2bl w:val="nil"/>
            </w:tcBorders>
            <w:tcMar>
              <w:left w:w="60" w:type="dxa"/>
              <w:right w:w="60" w:type="dxa"/>
            </w:tcMar>
            <w:vAlign w:val="center"/>
          </w:tcPr>
          <w:p w14:paraId="7DED2D60"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81</w:t>
            </w:r>
          </w:p>
        </w:tc>
        <w:tc>
          <w:tcPr>
            <w:tcW w:w="564" w:type="dxa"/>
            <w:tcBorders>
              <w:top w:val="nil"/>
              <w:left w:val="nil"/>
              <w:bottom w:val="nil"/>
              <w:right w:val="nil"/>
              <w:tl2br w:val="nil"/>
              <w:tr2bl w:val="nil"/>
            </w:tcBorders>
            <w:tcMar>
              <w:left w:w="60" w:type="dxa"/>
              <w:right w:w="60" w:type="dxa"/>
            </w:tcMar>
            <w:vAlign w:val="center"/>
          </w:tcPr>
          <w:p w14:paraId="0EF2B25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81</w:t>
            </w:r>
          </w:p>
        </w:tc>
        <w:tc>
          <w:tcPr>
            <w:tcW w:w="564" w:type="dxa"/>
            <w:tcBorders>
              <w:top w:val="nil"/>
              <w:left w:val="nil"/>
              <w:bottom w:val="nil"/>
              <w:right w:val="nil"/>
              <w:tl2br w:val="nil"/>
              <w:tr2bl w:val="nil"/>
            </w:tcBorders>
            <w:tcMar>
              <w:left w:w="60" w:type="dxa"/>
              <w:right w:w="60" w:type="dxa"/>
            </w:tcMar>
            <w:vAlign w:val="center"/>
          </w:tcPr>
          <w:p w14:paraId="0FB06DD4"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520" w:type="dxa"/>
            <w:tcBorders>
              <w:top w:val="nil"/>
              <w:left w:val="nil"/>
              <w:bottom w:val="nil"/>
              <w:right w:val="nil"/>
              <w:tl2br w:val="nil"/>
              <w:tr2bl w:val="nil"/>
            </w:tcBorders>
            <w:tcMar>
              <w:left w:w="60" w:type="dxa"/>
              <w:right w:w="60" w:type="dxa"/>
            </w:tcMar>
            <w:vAlign w:val="center"/>
          </w:tcPr>
          <w:p w14:paraId="7E7216A8"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14:paraId="79DC3785"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646" w:type="dxa"/>
            <w:tcBorders>
              <w:top w:val="nil"/>
              <w:left w:val="nil"/>
              <w:bottom w:val="nil"/>
              <w:right w:val="nil"/>
              <w:tl2br w:val="nil"/>
              <w:tr2bl w:val="nil"/>
            </w:tcBorders>
            <w:tcMar>
              <w:left w:w="60" w:type="dxa"/>
              <w:right w:w="60" w:type="dxa"/>
            </w:tcMar>
            <w:vAlign w:val="center"/>
          </w:tcPr>
          <w:p w14:paraId="104AD95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520" w:type="dxa"/>
            <w:tcBorders>
              <w:top w:val="nil"/>
              <w:left w:val="nil"/>
              <w:bottom w:val="nil"/>
              <w:right w:val="nil"/>
              <w:tl2br w:val="nil"/>
              <w:tr2bl w:val="nil"/>
            </w:tcBorders>
            <w:tcMar>
              <w:left w:w="60" w:type="dxa"/>
              <w:right w:w="60" w:type="dxa"/>
            </w:tcMar>
            <w:vAlign w:val="center"/>
          </w:tcPr>
          <w:p w14:paraId="22808100"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14:paraId="36E19ECA"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79</w:t>
            </w:r>
          </w:p>
        </w:tc>
        <w:tc>
          <w:tcPr>
            <w:tcW w:w="4175" w:type="dxa"/>
            <w:tcBorders>
              <w:top w:val="nil"/>
              <w:left w:val="nil"/>
              <w:bottom w:val="nil"/>
              <w:right w:val="nil"/>
              <w:tl2br w:val="nil"/>
              <w:tr2bl w:val="nil"/>
            </w:tcBorders>
            <w:tcMar>
              <w:left w:w="60" w:type="dxa"/>
              <w:right w:w="60" w:type="dxa"/>
            </w:tcMar>
            <w:vAlign w:val="center"/>
          </w:tcPr>
          <w:p w14:paraId="0895714B"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3563" w:type="dxa"/>
            <w:tcBorders>
              <w:top w:val="nil"/>
              <w:left w:val="nil"/>
              <w:bottom w:val="nil"/>
              <w:right w:val="nil"/>
              <w:tl2br w:val="nil"/>
              <w:tr2bl w:val="nil"/>
            </w:tcBorders>
            <w:tcMar>
              <w:left w:w="60" w:type="dxa"/>
              <w:right w:w="60" w:type="dxa"/>
            </w:tcMar>
            <w:vAlign w:val="center"/>
          </w:tcPr>
          <w:p w14:paraId="68280FC7"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340B6A" w14:paraId="3CA2E4BD"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5DDD07C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Court of Auditors</w:t>
            </w:r>
          </w:p>
        </w:tc>
        <w:tc>
          <w:tcPr>
            <w:tcW w:w="723" w:type="dxa"/>
            <w:tcBorders>
              <w:top w:val="nil"/>
              <w:left w:val="nil"/>
              <w:bottom w:val="nil"/>
              <w:right w:val="nil"/>
              <w:tl2br w:val="nil"/>
              <w:tr2bl w:val="nil"/>
            </w:tcBorders>
            <w:tcMar>
              <w:left w:w="60" w:type="dxa"/>
              <w:right w:w="60" w:type="dxa"/>
            </w:tcMar>
            <w:vAlign w:val="center"/>
          </w:tcPr>
          <w:p w14:paraId="0380391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564" w:type="dxa"/>
            <w:tcBorders>
              <w:top w:val="nil"/>
              <w:left w:val="nil"/>
              <w:bottom w:val="nil"/>
              <w:right w:val="nil"/>
              <w:tl2br w:val="nil"/>
              <w:tr2bl w:val="nil"/>
            </w:tcBorders>
            <w:tcMar>
              <w:left w:w="60" w:type="dxa"/>
              <w:right w:w="60" w:type="dxa"/>
            </w:tcMar>
            <w:vAlign w:val="center"/>
          </w:tcPr>
          <w:p w14:paraId="691AA1A9"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564" w:type="dxa"/>
            <w:tcBorders>
              <w:top w:val="nil"/>
              <w:left w:val="nil"/>
              <w:bottom w:val="nil"/>
              <w:right w:val="nil"/>
              <w:tl2br w:val="nil"/>
              <w:tr2bl w:val="nil"/>
            </w:tcBorders>
            <w:tcMar>
              <w:left w:w="60" w:type="dxa"/>
              <w:right w:w="60" w:type="dxa"/>
            </w:tcMar>
            <w:vAlign w:val="center"/>
          </w:tcPr>
          <w:p w14:paraId="3DB8B1BA"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520" w:type="dxa"/>
            <w:tcBorders>
              <w:top w:val="nil"/>
              <w:left w:val="nil"/>
              <w:bottom w:val="nil"/>
              <w:right w:val="nil"/>
              <w:tl2br w:val="nil"/>
              <w:tr2bl w:val="nil"/>
            </w:tcBorders>
            <w:tcMar>
              <w:left w:w="60" w:type="dxa"/>
              <w:right w:w="60" w:type="dxa"/>
            </w:tcMar>
            <w:vAlign w:val="center"/>
          </w:tcPr>
          <w:p w14:paraId="71870489"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14:paraId="63C5DF0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646" w:type="dxa"/>
            <w:tcBorders>
              <w:top w:val="nil"/>
              <w:left w:val="nil"/>
              <w:bottom w:val="nil"/>
              <w:right w:val="nil"/>
              <w:tl2br w:val="nil"/>
              <w:tr2bl w:val="nil"/>
            </w:tcBorders>
            <w:tcMar>
              <w:left w:w="60" w:type="dxa"/>
              <w:right w:w="60" w:type="dxa"/>
            </w:tcMar>
            <w:vAlign w:val="center"/>
          </w:tcPr>
          <w:p w14:paraId="390AC320"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520" w:type="dxa"/>
            <w:tcBorders>
              <w:top w:val="nil"/>
              <w:left w:val="nil"/>
              <w:bottom w:val="nil"/>
              <w:right w:val="nil"/>
              <w:tl2br w:val="nil"/>
              <w:tr2bl w:val="nil"/>
            </w:tcBorders>
            <w:tcMar>
              <w:left w:w="60" w:type="dxa"/>
              <w:right w:w="60" w:type="dxa"/>
            </w:tcMar>
            <w:vAlign w:val="center"/>
          </w:tcPr>
          <w:p w14:paraId="6CEC6E7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14:paraId="45562B1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4175" w:type="dxa"/>
            <w:tcBorders>
              <w:top w:val="nil"/>
              <w:left w:val="nil"/>
              <w:bottom w:val="nil"/>
              <w:right w:val="nil"/>
              <w:tl2br w:val="nil"/>
              <w:tr2bl w:val="nil"/>
            </w:tcBorders>
            <w:tcMar>
              <w:left w:w="60" w:type="dxa"/>
              <w:right w:w="60" w:type="dxa"/>
            </w:tcMar>
            <w:vAlign w:val="center"/>
          </w:tcPr>
          <w:p w14:paraId="15BFC7D5"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3563" w:type="dxa"/>
            <w:tcBorders>
              <w:top w:val="nil"/>
              <w:left w:val="nil"/>
              <w:bottom w:val="nil"/>
              <w:right w:val="nil"/>
              <w:tl2br w:val="nil"/>
              <w:tr2bl w:val="nil"/>
            </w:tcBorders>
            <w:tcMar>
              <w:left w:w="60" w:type="dxa"/>
              <w:right w:w="60" w:type="dxa"/>
            </w:tcMar>
            <w:vAlign w:val="center"/>
          </w:tcPr>
          <w:p w14:paraId="7961EBE0"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340B6A" w14:paraId="3F11DC4B"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502E03F2"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Economic and Social Committee</w:t>
            </w:r>
          </w:p>
        </w:tc>
        <w:tc>
          <w:tcPr>
            <w:tcW w:w="723" w:type="dxa"/>
            <w:tcBorders>
              <w:top w:val="nil"/>
              <w:left w:val="nil"/>
              <w:bottom w:val="nil"/>
              <w:right w:val="nil"/>
              <w:tl2br w:val="nil"/>
              <w:tr2bl w:val="nil"/>
            </w:tcBorders>
            <w:tcMar>
              <w:left w:w="60" w:type="dxa"/>
              <w:right w:w="60" w:type="dxa"/>
            </w:tcMar>
            <w:vAlign w:val="center"/>
          </w:tcPr>
          <w:p w14:paraId="105A3A3A"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564" w:type="dxa"/>
            <w:tcBorders>
              <w:top w:val="nil"/>
              <w:left w:val="nil"/>
              <w:bottom w:val="nil"/>
              <w:right w:val="nil"/>
              <w:tl2br w:val="nil"/>
              <w:tr2bl w:val="nil"/>
            </w:tcBorders>
            <w:tcMar>
              <w:left w:w="60" w:type="dxa"/>
              <w:right w:w="60" w:type="dxa"/>
            </w:tcMar>
            <w:vAlign w:val="center"/>
          </w:tcPr>
          <w:p w14:paraId="7078785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564" w:type="dxa"/>
            <w:tcBorders>
              <w:top w:val="nil"/>
              <w:left w:val="nil"/>
              <w:bottom w:val="nil"/>
              <w:right w:val="nil"/>
              <w:tl2br w:val="nil"/>
              <w:tr2bl w:val="nil"/>
            </w:tcBorders>
            <w:tcMar>
              <w:left w:w="60" w:type="dxa"/>
              <w:right w:w="60" w:type="dxa"/>
            </w:tcMar>
            <w:vAlign w:val="center"/>
          </w:tcPr>
          <w:p w14:paraId="58ADA76D"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520" w:type="dxa"/>
            <w:tcBorders>
              <w:top w:val="nil"/>
              <w:left w:val="nil"/>
              <w:bottom w:val="nil"/>
              <w:right w:val="nil"/>
              <w:tl2br w:val="nil"/>
              <w:tr2bl w:val="nil"/>
            </w:tcBorders>
            <w:tcMar>
              <w:left w:w="60" w:type="dxa"/>
              <w:right w:w="60" w:type="dxa"/>
            </w:tcMar>
            <w:vAlign w:val="center"/>
          </w:tcPr>
          <w:p w14:paraId="18FCEA5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14:paraId="39B630F1"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646" w:type="dxa"/>
            <w:tcBorders>
              <w:top w:val="nil"/>
              <w:left w:val="nil"/>
              <w:bottom w:val="nil"/>
              <w:right w:val="nil"/>
              <w:tl2br w:val="nil"/>
              <w:tr2bl w:val="nil"/>
            </w:tcBorders>
            <w:tcMar>
              <w:left w:w="60" w:type="dxa"/>
              <w:right w:w="60" w:type="dxa"/>
            </w:tcMar>
            <w:vAlign w:val="center"/>
          </w:tcPr>
          <w:p w14:paraId="1D806FA2"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520" w:type="dxa"/>
            <w:tcBorders>
              <w:top w:val="nil"/>
              <w:left w:val="nil"/>
              <w:bottom w:val="nil"/>
              <w:right w:val="nil"/>
              <w:tl2br w:val="nil"/>
              <w:tr2bl w:val="nil"/>
            </w:tcBorders>
            <w:tcMar>
              <w:left w:w="60" w:type="dxa"/>
              <w:right w:w="60" w:type="dxa"/>
            </w:tcMar>
            <w:vAlign w:val="center"/>
          </w:tcPr>
          <w:p w14:paraId="63476AC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14:paraId="45D80E5D"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4175" w:type="dxa"/>
            <w:tcBorders>
              <w:top w:val="nil"/>
              <w:left w:val="nil"/>
              <w:bottom w:val="nil"/>
              <w:right w:val="nil"/>
              <w:tl2br w:val="nil"/>
              <w:tr2bl w:val="nil"/>
            </w:tcBorders>
            <w:tcMar>
              <w:left w:w="60" w:type="dxa"/>
              <w:right w:w="60" w:type="dxa"/>
            </w:tcMar>
            <w:vAlign w:val="center"/>
          </w:tcPr>
          <w:p w14:paraId="0CABD6D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124 %</w:t>
            </w:r>
          </w:p>
        </w:tc>
        <w:tc>
          <w:tcPr>
            <w:tcW w:w="3563" w:type="dxa"/>
            <w:tcBorders>
              <w:top w:val="nil"/>
              <w:left w:val="nil"/>
              <w:bottom w:val="nil"/>
              <w:right w:val="nil"/>
              <w:tl2br w:val="nil"/>
              <w:tr2bl w:val="nil"/>
            </w:tcBorders>
            <w:tcMar>
              <w:left w:w="60" w:type="dxa"/>
              <w:right w:w="60" w:type="dxa"/>
            </w:tcMar>
            <w:vAlign w:val="center"/>
          </w:tcPr>
          <w:p w14:paraId="375E7DEE"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340B6A" w14:paraId="28AD2BA1"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2B3CF201"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Committee of the Regions</w:t>
            </w:r>
          </w:p>
        </w:tc>
        <w:tc>
          <w:tcPr>
            <w:tcW w:w="723" w:type="dxa"/>
            <w:tcBorders>
              <w:top w:val="nil"/>
              <w:left w:val="nil"/>
              <w:bottom w:val="nil"/>
              <w:right w:val="nil"/>
              <w:tl2br w:val="nil"/>
              <w:tr2bl w:val="nil"/>
            </w:tcBorders>
            <w:tcMar>
              <w:left w:w="60" w:type="dxa"/>
              <w:right w:w="60" w:type="dxa"/>
            </w:tcMar>
            <w:vAlign w:val="center"/>
          </w:tcPr>
          <w:p w14:paraId="5C1CD22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564" w:type="dxa"/>
            <w:tcBorders>
              <w:top w:val="nil"/>
              <w:left w:val="nil"/>
              <w:bottom w:val="nil"/>
              <w:right w:val="nil"/>
              <w:tl2br w:val="nil"/>
              <w:tr2bl w:val="nil"/>
            </w:tcBorders>
            <w:tcMar>
              <w:left w:w="60" w:type="dxa"/>
              <w:right w:w="60" w:type="dxa"/>
            </w:tcMar>
            <w:vAlign w:val="center"/>
          </w:tcPr>
          <w:p w14:paraId="58B6E81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564" w:type="dxa"/>
            <w:tcBorders>
              <w:top w:val="nil"/>
              <w:left w:val="nil"/>
              <w:bottom w:val="nil"/>
              <w:right w:val="nil"/>
              <w:tl2br w:val="nil"/>
              <w:tr2bl w:val="nil"/>
            </w:tcBorders>
            <w:tcMar>
              <w:left w:w="60" w:type="dxa"/>
              <w:right w:w="60" w:type="dxa"/>
            </w:tcMar>
            <w:vAlign w:val="center"/>
          </w:tcPr>
          <w:p w14:paraId="7BF20CC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520" w:type="dxa"/>
            <w:tcBorders>
              <w:top w:val="nil"/>
              <w:left w:val="nil"/>
              <w:bottom w:val="nil"/>
              <w:right w:val="nil"/>
              <w:tl2br w:val="nil"/>
              <w:tr2bl w:val="nil"/>
            </w:tcBorders>
            <w:tcMar>
              <w:left w:w="60" w:type="dxa"/>
              <w:right w:w="60" w:type="dxa"/>
            </w:tcMar>
            <w:vAlign w:val="center"/>
          </w:tcPr>
          <w:p w14:paraId="0FE1DD88"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14:paraId="66FC61C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646" w:type="dxa"/>
            <w:tcBorders>
              <w:top w:val="nil"/>
              <w:left w:val="nil"/>
              <w:bottom w:val="nil"/>
              <w:right w:val="nil"/>
              <w:tl2br w:val="nil"/>
              <w:tr2bl w:val="nil"/>
            </w:tcBorders>
            <w:tcMar>
              <w:left w:w="60" w:type="dxa"/>
              <w:right w:w="60" w:type="dxa"/>
            </w:tcMar>
            <w:vAlign w:val="center"/>
          </w:tcPr>
          <w:p w14:paraId="7B3FF20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520" w:type="dxa"/>
            <w:tcBorders>
              <w:top w:val="nil"/>
              <w:left w:val="nil"/>
              <w:bottom w:val="nil"/>
              <w:right w:val="nil"/>
              <w:tl2br w:val="nil"/>
              <w:tr2bl w:val="nil"/>
            </w:tcBorders>
            <w:tcMar>
              <w:left w:w="60" w:type="dxa"/>
              <w:right w:w="60" w:type="dxa"/>
            </w:tcMar>
            <w:vAlign w:val="center"/>
          </w:tcPr>
          <w:p w14:paraId="5F359FA2"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14:paraId="2739EBA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4175" w:type="dxa"/>
            <w:tcBorders>
              <w:top w:val="nil"/>
              <w:left w:val="nil"/>
              <w:bottom w:val="nil"/>
              <w:right w:val="nil"/>
              <w:tl2br w:val="nil"/>
              <w:tr2bl w:val="nil"/>
            </w:tcBorders>
            <w:tcMar>
              <w:left w:w="60" w:type="dxa"/>
              <w:right w:w="60" w:type="dxa"/>
            </w:tcMar>
            <w:vAlign w:val="center"/>
          </w:tcPr>
          <w:p w14:paraId="7411814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116 %</w:t>
            </w:r>
          </w:p>
        </w:tc>
        <w:tc>
          <w:tcPr>
            <w:tcW w:w="3563" w:type="dxa"/>
            <w:tcBorders>
              <w:top w:val="nil"/>
              <w:left w:val="nil"/>
              <w:bottom w:val="nil"/>
              <w:right w:val="nil"/>
              <w:tl2br w:val="nil"/>
              <w:tr2bl w:val="nil"/>
            </w:tcBorders>
            <w:tcMar>
              <w:left w:w="60" w:type="dxa"/>
              <w:right w:w="60" w:type="dxa"/>
            </w:tcMar>
            <w:vAlign w:val="center"/>
          </w:tcPr>
          <w:p w14:paraId="5E98D841"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340B6A" w14:paraId="7EE4BEB0"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166F7630"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Ombudsman</w:t>
            </w:r>
          </w:p>
        </w:tc>
        <w:tc>
          <w:tcPr>
            <w:tcW w:w="723" w:type="dxa"/>
            <w:tcBorders>
              <w:top w:val="nil"/>
              <w:left w:val="nil"/>
              <w:bottom w:val="nil"/>
              <w:right w:val="nil"/>
              <w:tl2br w:val="nil"/>
              <w:tr2bl w:val="nil"/>
            </w:tcBorders>
            <w:tcMar>
              <w:left w:w="60" w:type="dxa"/>
              <w:right w:w="60" w:type="dxa"/>
            </w:tcMar>
            <w:vAlign w:val="center"/>
          </w:tcPr>
          <w:p w14:paraId="4D15D9D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564" w:type="dxa"/>
            <w:tcBorders>
              <w:top w:val="nil"/>
              <w:left w:val="nil"/>
              <w:bottom w:val="nil"/>
              <w:right w:val="nil"/>
              <w:tl2br w:val="nil"/>
              <w:tr2bl w:val="nil"/>
            </w:tcBorders>
            <w:tcMar>
              <w:left w:w="60" w:type="dxa"/>
              <w:right w:w="60" w:type="dxa"/>
            </w:tcMar>
            <w:vAlign w:val="center"/>
          </w:tcPr>
          <w:p w14:paraId="5A52F51B"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564" w:type="dxa"/>
            <w:tcBorders>
              <w:top w:val="nil"/>
              <w:left w:val="nil"/>
              <w:bottom w:val="nil"/>
              <w:right w:val="nil"/>
              <w:tl2br w:val="nil"/>
              <w:tr2bl w:val="nil"/>
            </w:tcBorders>
            <w:tcMar>
              <w:left w:w="60" w:type="dxa"/>
              <w:right w:w="60" w:type="dxa"/>
            </w:tcMar>
            <w:vAlign w:val="center"/>
          </w:tcPr>
          <w:p w14:paraId="3B91EB25"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520" w:type="dxa"/>
            <w:tcBorders>
              <w:top w:val="nil"/>
              <w:left w:val="nil"/>
              <w:bottom w:val="nil"/>
              <w:right w:val="nil"/>
              <w:tl2br w:val="nil"/>
              <w:tr2bl w:val="nil"/>
            </w:tcBorders>
            <w:tcMar>
              <w:left w:w="60" w:type="dxa"/>
              <w:right w:w="60" w:type="dxa"/>
            </w:tcMar>
            <w:vAlign w:val="center"/>
          </w:tcPr>
          <w:p w14:paraId="67F6B83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564" w:type="dxa"/>
            <w:tcBorders>
              <w:top w:val="nil"/>
              <w:left w:val="nil"/>
              <w:bottom w:val="nil"/>
              <w:right w:val="nil"/>
              <w:tl2br w:val="nil"/>
              <w:tr2bl w:val="nil"/>
            </w:tcBorders>
            <w:tcMar>
              <w:left w:w="60" w:type="dxa"/>
              <w:right w:w="60" w:type="dxa"/>
            </w:tcMar>
            <w:vAlign w:val="center"/>
          </w:tcPr>
          <w:p w14:paraId="7F0604A5"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646" w:type="dxa"/>
            <w:tcBorders>
              <w:top w:val="nil"/>
              <w:left w:val="nil"/>
              <w:bottom w:val="nil"/>
              <w:right w:val="nil"/>
              <w:tl2br w:val="nil"/>
              <w:tr2bl w:val="nil"/>
            </w:tcBorders>
            <w:tcMar>
              <w:left w:w="60" w:type="dxa"/>
              <w:right w:w="60" w:type="dxa"/>
            </w:tcMar>
            <w:vAlign w:val="center"/>
          </w:tcPr>
          <w:p w14:paraId="24ED390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520" w:type="dxa"/>
            <w:tcBorders>
              <w:top w:val="nil"/>
              <w:left w:val="nil"/>
              <w:bottom w:val="nil"/>
              <w:right w:val="nil"/>
              <w:tl2br w:val="nil"/>
              <w:tr2bl w:val="nil"/>
            </w:tcBorders>
            <w:tcMar>
              <w:left w:w="60" w:type="dxa"/>
              <w:right w:w="60" w:type="dxa"/>
            </w:tcMar>
            <w:vAlign w:val="center"/>
          </w:tcPr>
          <w:p w14:paraId="3BB0E05D"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646" w:type="dxa"/>
            <w:tcBorders>
              <w:top w:val="nil"/>
              <w:left w:val="nil"/>
              <w:bottom w:val="nil"/>
              <w:right w:val="nil"/>
              <w:tl2br w:val="nil"/>
              <w:tr2bl w:val="nil"/>
            </w:tcBorders>
            <w:tcMar>
              <w:left w:w="60" w:type="dxa"/>
              <w:right w:w="60" w:type="dxa"/>
            </w:tcMar>
            <w:vAlign w:val="center"/>
          </w:tcPr>
          <w:p w14:paraId="0B9C131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4175" w:type="dxa"/>
            <w:tcBorders>
              <w:top w:val="nil"/>
              <w:left w:val="nil"/>
              <w:bottom w:val="nil"/>
              <w:right w:val="nil"/>
              <w:tl2br w:val="nil"/>
              <w:tr2bl w:val="nil"/>
            </w:tcBorders>
            <w:tcMar>
              <w:left w:w="60" w:type="dxa"/>
              <w:right w:w="60" w:type="dxa"/>
            </w:tcMar>
            <w:vAlign w:val="center"/>
          </w:tcPr>
          <w:p w14:paraId="7D9477B8"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108 %</w:t>
            </w:r>
          </w:p>
        </w:tc>
        <w:tc>
          <w:tcPr>
            <w:tcW w:w="3563" w:type="dxa"/>
            <w:tcBorders>
              <w:top w:val="nil"/>
              <w:left w:val="nil"/>
              <w:bottom w:val="nil"/>
              <w:right w:val="nil"/>
              <w:tl2br w:val="nil"/>
              <w:tr2bl w:val="nil"/>
            </w:tcBorders>
            <w:tcMar>
              <w:left w:w="60" w:type="dxa"/>
              <w:right w:w="60" w:type="dxa"/>
            </w:tcMar>
            <w:vAlign w:val="center"/>
          </w:tcPr>
          <w:p w14:paraId="43C1DA69"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w:t>
            </w:r>
          </w:p>
        </w:tc>
      </w:tr>
      <w:tr w:rsidR="00340B6A" w14:paraId="4B59107E"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28747042"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European Data-protection Supervisor</w:t>
            </w:r>
          </w:p>
        </w:tc>
        <w:tc>
          <w:tcPr>
            <w:tcW w:w="723" w:type="dxa"/>
            <w:tcBorders>
              <w:top w:val="nil"/>
              <w:left w:val="nil"/>
              <w:bottom w:val="nil"/>
              <w:right w:val="nil"/>
              <w:tl2br w:val="nil"/>
              <w:tr2bl w:val="nil"/>
            </w:tcBorders>
            <w:tcMar>
              <w:left w:w="60" w:type="dxa"/>
              <w:right w:w="60" w:type="dxa"/>
            </w:tcMar>
            <w:vAlign w:val="center"/>
          </w:tcPr>
          <w:p w14:paraId="16035372"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564" w:type="dxa"/>
            <w:tcBorders>
              <w:top w:val="nil"/>
              <w:left w:val="nil"/>
              <w:bottom w:val="nil"/>
              <w:right w:val="nil"/>
              <w:tl2br w:val="nil"/>
              <w:tr2bl w:val="nil"/>
            </w:tcBorders>
            <w:tcMar>
              <w:left w:w="60" w:type="dxa"/>
              <w:right w:w="60" w:type="dxa"/>
            </w:tcMar>
            <w:vAlign w:val="center"/>
          </w:tcPr>
          <w:p w14:paraId="18A4EA20"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564" w:type="dxa"/>
            <w:tcBorders>
              <w:top w:val="nil"/>
              <w:left w:val="nil"/>
              <w:bottom w:val="nil"/>
              <w:right w:val="nil"/>
              <w:tl2br w:val="nil"/>
              <w:tr2bl w:val="nil"/>
            </w:tcBorders>
            <w:tcMar>
              <w:left w:w="60" w:type="dxa"/>
              <w:right w:w="60" w:type="dxa"/>
            </w:tcMar>
            <w:vAlign w:val="center"/>
          </w:tcPr>
          <w:p w14:paraId="09B6797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520" w:type="dxa"/>
            <w:tcBorders>
              <w:top w:val="nil"/>
              <w:left w:val="nil"/>
              <w:bottom w:val="nil"/>
              <w:right w:val="nil"/>
              <w:tl2br w:val="nil"/>
              <w:tr2bl w:val="nil"/>
            </w:tcBorders>
            <w:tcMar>
              <w:left w:w="60" w:type="dxa"/>
              <w:right w:w="60" w:type="dxa"/>
            </w:tcMar>
            <w:vAlign w:val="center"/>
          </w:tcPr>
          <w:p w14:paraId="385E614F"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564" w:type="dxa"/>
            <w:tcBorders>
              <w:top w:val="nil"/>
              <w:left w:val="nil"/>
              <w:bottom w:val="nil"/>
              <w:right w:val="nil"/>
              <w:tl2br w:val="nil"/>
              <w:tr2bl w:val="nil"/>
            </w:tcBorders>
            <w:tcMar>
              <w:left w:w="60" w:type="dxa"/>
              <w:right w:w="60" w:type="dxa"/>
            </w:tcMar>
            <w:vAlign w:val="center"/>
          </w:tcPr>
          <w:p w14:paraId="17C7EB71"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646" w:type="dxa"/>
            <w:tcBorders>
              <w:top w:val="nil"/>
              <w:left w:val="nil"/>
              <w:bottom w:val="nil"/>
              <w:right w:val="nil"/>
              <w:tl2br w:val="nil"/>
              <w:tr2bl w:val="nil"/>
            </w:tcBorders>
            <w:tcMar>
              <w:left w:w="60" w:type="dxa"/>
              <w:right w:w="60" w:type="dxa"/>
            </w:tcMar>
            <w:vAlign w:val="center"/>
          </w:tcPr>
          <w:p w14:paraId="6BA01C6C"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520" w:type="dxa"/>
            <w:tcBorders>
              <w:top w:val="nil"/>
              <w:left w:val="nil"/>
              <w:bottom w:val="nil"/>
              <w:right w:val="nil"/>
              <w:tl2br w:val="nil"/>
              <w:tr2bl w:val="nil"/>
            </w:tcBorders>
            <w:tcMar>
              <w:left w:w="60" w:type="dxa"/>
              <w:right w:w="60" w:type="dxa"/>
            </w:tcMar>
            <w:vAlign w:val="center"/>
          </w:tcPr>
          <w:p w14:paraId="786F5B49"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w:t>
            </w:r>
          </w:p>
        </w:tc>
        <w:tc>
          <w:tcPr>
            <w:tcW w:w="646" w:type="dxa"/>
            <w:tcBorders>
              <w:top w:val="nil"/>
              <w:left w:val="nil"/>
              <w:bottom w:val="nil"/>
              <w:right w:val="nil"/>
              <w:tl2br w:val="nil"/>
              <w:tr2bl w:val="nil"/>
            </w:tcBorders>
            <w:tcMar>
              <w:left w:w="60" w:type="dxa"/>
              <w:right w:w="60" w:type="dxa"/>
            </w:tcMar>
            <w:vAlign w:val="center"/>
          </w:tcPr>
          <w:p w14:paraId="630DE9B1"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4175" w:type="dxa"/>
            <w:tcBorders>
              <w:top w:val="nil"/>
              <w:left w:val="nil"/>
              <w:bottom w:val="nil"/>
              <w:right w:val="nil"/>
              <w:tl2br w:val="nil"/>
              <w:tr2bl w:val="nil"/>
            </w:tcBorders>
            <w:tcMar>
              <w:left w:w="60" w:type="dxa"/>
              <w:right w:w="60" w:type="dxa"/>
            </w:tcMar>
            <w:vAlign w:val="center"/>
          </w:tcPr>
          <w:p w14:paraId="27CB13FA"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102 %</w:t>
            </w:r>
          </w:p>
        </w:tc>
        <w:tc>
          <w:tcPr>
            <w:tcW w:w="3563" w:type="dxa"/>
            <w:tcBorders>
              <w:top w:val="nil"/>
              <w:left w:val="nil"/>
              <w:bottom w:val="nil"/>
              <w:right w:val="nil"/>
              <w:tl2br w:val="nil"/>
              <w:tr2bl w:val="nil"/>
            </w:tcBorders>
            <w:tcMar>
              <w:left w:w="60" w:type="dxa"/>
              <w:right w:w="60" w:type="dxa"/>
            </w:tcMar>
            <w:vAlign w:val="center"/>
          </w:tcPr>
          <w:p w14:paraId="34CA2E25"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340B6A" w14:paraId="6C5C585C" w14:textId="77777777" w:rsidTr="00340B6A">
        <w:trPr>
          <w:trHeight w:val="255"/>
        </w:trPr>
        <w:tc>
          <w:tcPr>
            <w:tcW w:w="2207" w:type="dxa"/>
            <w:tcBorders>
              <w:top w:val="nil"/>
              <w:left w:val="nil"/>
              <w:bottom w:val="nil"/>
              <w:right w:val="nil"/>
              <w:tl2br w:val="nil"/>
              <w:tr2bl w:val="nil"/>
            </w:tcBorders>
            <w:tcMar>
              <w:left w:w="60" w:type="dxa"/>
              <w:right w:w="60" w:type="dxa"/>
            </w:tcMar>
            <w:vAlign w:val="center"/>
          </w:tcPr>
          <w:p w14:paraId="32DA7D74"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European External Action Service</w:t>
            </w:r>
          </w:p>
        </w:tc>
        <w:tc>
          <w:tcPr>
            <w:tcW w:w="723" w:type="dxa"/>
            <w:tcBorders>
              <w:top w:val="nil"/>
              <w:left w:val="nil"/>
              <w:bottom w:val="nil"/>
              <w:right w:val="nil"/>
              <w:tl2br w:val="nil"/>
              <w:tr2bl w:val="nil"/>
            </w:tcBorders>
            <w:tcMar>
              <w:left w:w="60" w:type="dxa"/>
              <w:right w:w="60" w:type="dxa"/>
            </w:tcMar>
            <w:vAlign w:val="center"/>
          </w:tcPr>
          <w:p w14:paraId="030B902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564" w:type="dxa"/>
            <w:tcBorders>
              <w:top w:val="nil"/>
              <w:left w:val="nil"/>
              <w:bottom w:val="nil"/>
              <w:right w:val="nil"/>
              <w:tl2br w:val="nil"/>
              <w:tr2bl w:val="nil"/>
            </w:tcBorders>
            <w:tcMar>
              <w:left w:w="60" w:type="dxa"/>
              <w:right w:w="60" w:type="dxa"/>
            </w:tcMar>
            <w:vAlign w:val="center"/>
          </w:tcPr>
          <w:p w14:paraId="6DA5E6CE"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564" w:type="dxa"/>
            <w:tcBorders>
              <w:top w:val="nil"/>
              <w:left w:val="nil"/>
              <w:bottom w:val="nil"/>
              <w:right w:val="nil"/>
              <w:tl2br w:val="nil"/>
              <w:tr2bl w:val="nil"/>
            </w:tcBorders>
            <w:tcMar>
              <w:left w:w="60" w:type="dxa"/>
              <w:right w:w="60" w:type="dxa"/>
            </w:tcMar>
            <w:vAlign w:val="center"/>
          </w:tcPr>
          <w:p w14:paraId="10946759"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379</w:t>
            </w:r>
          </w:p>
        </w:tc>
        <w:tc>
          <w:tcPr>
            <w:tcW w:w="520" w:type="dxa"/>
            <w:tcBorders>
              <w:top w:val="nil"/>
              <w:left w:val="nil"/>
              <w:bottom w:val="nil"/>
              <w:right w:val="nil"/>
              <w:tl2br w:val="nil"/>
              <w:tr2bl w:val="nil"/>
            </w:tcBorders>
            <w:tcMar>
              <w:left w:w="60" w:type="dxa"/>
              <w:right w:w="60" w:type="dxa"/>
            </w:tcMar>
            <w:vAlign w:val="center"/>
          </w:tcPr>
          <w:p w14:paraId="284D8B23"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14:paraId="41DF9455"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379</w:t>
            </w:r>
          </w:p>
        </w:tc>
        <w:tc>
          <w:tcPr>
            <w:tcW w:w="646" w:type="dxa"/>
            <w:tcBorders>
              <w:top w:val="nil"/>
              <w:left w:val="nil"/>
              <w:bottom w:val="nil"/>
              <w:right w:val="nil"/>
              <w:tl2br w:val="nil"/>
              <w:tr2bl w:val="nil"/>
            </w:tcBorders>
            <w:tcMar>
              <w:left w:w="60" w:type="dxa"/>
              <w:right w:w="60" w:type="dxa"/>
            </w:tcMar>
            <w:vAlign w:val="center"/>
          </w:tcPr>
          <w:p w14:paraId="394A59D2"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377</w:t>
            </w:r>
          </w:p>
        </w:tc>
        <w:tc>
          <w:tcPr>
            <w:tcW w:w="520" w:type="dxa"/>
            <w:tcBorders>
              <w:top w:val="nil"/>
              <w:left w:val="nil"/>
              <w:bottom w:val="nil"/>
              <w:right w:val="nil"/>
              <w:tl2br w:val="nil"/>
              <w:tr2bl w:val="nil"/>
            </w:tcBorders>
            <w:tcMar>
              <w:left w:w="60" w:type="dxa"/>
              <w:right w:w="60" w:type="dxa"/>
            </w:tcMar>
            <w:vAlign w:val="center"/>
          </w:tcPr>
          <w:p w14:paraId="74649811"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14:paraId="522AA8A7"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377</w:t>
            </w:r>
          </w:p>
        </w:tc>
        <w:tc>
          <w:tcPr>
            <w:tcW w:w="4175" w:type="dxa"/>
            <w:tcBorders>
              <w:top w:val="nil"/>
              <w:left w:val="nil"/>
              <w:bottom w:val="nil"/>
              <w:right w:val="nil"/>
              <w:tl2br w:val="nil"/>
              <w:tr2bl w:val="nil"/>
            </w:tcBorders>
            <w:tcMar>
              <w:left w:w="60" w:type="dxa"/>
              <w:right w:w="60" w:type="dxa"/>
            </w:tcMar>
            <w:vAlign w:val="center"/>
          </w:tcPr>
          <w:p w14:paraId="4994FED6" w14:textId="77777777" w:rsidR="00340B6A" w:rsidRDefault="00340B6A" w:rsidP="00340B6A">
            <w:pPr>
              <w:pStyle w:val="DMETW36778BIPInstitutions1Revenue"/>
              <w:jc w:val="right"/>
              <w:rPr>
                <w:rFonts w:ascii="Verdana" w:eastAsia="Verdana" w:hAnsi="Verdana" w:cs="Verdana"/>
                <w:noProof/>
                <w:color w:val="000000"/>
                <w:sz w:val="16"/>
              </w:rPr>
            </w:pPr>
            <w:r>
              <w:rPr>
                <w:rFonts w:ascii="Verdana" w:eastAsia="Verdana" w:hAnsi="Verdana" w:cs="Verdana"/>
                <w:noProof/>
                <w:color w:val="000000"/>
                <w:sz w:val="16"/>
              </w:rPr>
              <w:t xml:space="preserve"> 603 %</w:t>
            </w:r>
          </w:p>
        </w:tc>
        <w:tc>
          <w:tcPr>
            <w:tcW w:w="3563" w:type="dxa"/>
            <w:tcBorders>
              <w:top w:val="nil"/>
              <w:left w:val="nil"/>
              <w:bottom w:val="nil"/>
              <w:right w:val="nil"/>
              <w:tl2br w:val="nil"/>
              <w:tr2bl w:val="nil"/>
            </w:tcBorders>
            <w:tcMar>
              <w:left w:w="60" w:type="dxa"/>
              <w:right w:w="60" w:type="dxa"/>
            </w:tcMar>
            <w:vAlign w:val="center"/>
          </w:tcPr>
          <w:p w14:paraId="74012E5B" w14:textId="77777777" w:rsidR="00340B6A" w:rsidRDefault="00340B6A" w:rsidP="00340B6A">
            <w:pPr>
              <w:pStyle w:val="DMETW36778BIPInstitution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340B6A" w14:paraId="3A838107" w14:textId="77777777" w:rsidTr="00340B6A">
        <w:trPr>
          <w:trHeight w:val="255"/>
        </w:trPr>
        <w:tc>
          <w:tcPr>
            <w:tcW w:w="2207" w:type="dxa"/>
            <w:tcBorders>
              <w:top w:val="nil"/>
              <w:left w:val="nil"/>
              <w:bottom w:val="nil"/>
              <w:right w:val="nil"/>
              <w:tl2br w:val="nil"/>
              <w:tr2bl w:val="nil"/>
            </w:tcBorders>
            <w:shd w:val="solid" w:color="CCE1EA" w:fill="FFFFFF"/>
            <w:tcMar>
              <w:left w:w="60" w:type="dxa"/>
              <w:right w:w="60" w:type="dxa"/>
            </w:tcMar>
            <w:vAlign w:val="center"/>
          </w:tcPr>
          <w:p w14:paraId="2DB6B2A4"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TOTAL</w:t>
            </w:r>
          </w:p>
        </w:tc>
        <w:tc>
          <w:tcPr>
            <w:tcW w:w="723" w:type="dxa"/>
            <w:tcBorders>
              <w:top w:val="nil"/>
              <w:left w:val="nil"/>
              <w:bottom w:val="nil"/>
              <w:right w:val="nil"/>
              <w:tl2br w:val="nil"/>
              <w:tr2bl w:val="nil"/>
            </w:tcBorders>
            <w:shd w:val="solid" w:color="CCE1EA" w:fill="FFFFFF"/>
            <w:tcMar>
              <w:left w:w="60" w:type="dxa"/>
              <w:right w:w="60" w:type="dxa"/>
            </w:tcMar>
            <w:vAlign w:val="center"/>
          </w:tcPr>
          <w:p w14:paraId="54F002BC"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155 209</w:t>
            </w:r>
          </w:p>
        </w:tc>
        <w:tc>
          <w:tcPr>
            <w:tcW w:w="564" w:type="dxa"/>
            <w:tcBorders>
              <w:top w:val="nil"/>
              <w:left w:val="nil"/>
              <w:bottom w:val="nil"/>
              <w:right w:val="nil"/>
              <w:tl2br w:val="nil"/>
              <w:tr2bl w:val="nil"/>
            </w:tcBorders>
            <w:shd w:val="solid" w:color="CCE1EA" w:fill="FFFFFF"/>
            <w:tcMar>
              <w:left w:w="60" w:type="dxa"/>
              <w:right w:w="60" w:type="dxa"/>
            </w:tcMar>
            <w:vAlign w:val="center"/>
          </w:tcPr>
          <w:p w14:paraId="16A5D93D"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161 163</w:t>
            </w:r>
          </w:p>
        </w:tc>
        <w:tc>
          <w:tcPr>
            <w:tcW w:w="564" w:type="dxa"/>
            <w:tcBorders>
              <w:top w:val="nil"/>
              <w:left w:val="nil"/>
              <w:bottom w:val="nil"/>
              <w:right w:val="nil"/>
              <w:tl2br w:val="nil"/>
              <w:tr2bl w:val="nil"/>
            </w:tcBorders>
            <w:shd w:val="solid" w:color="CCE1EA" w:fill="FFFFFF"/>
            <w:tcMar>
              <w:left w:w="60" w:type="dxa"/>
              <w:right w:w="60" w:type="dxa"/>
            </w:tcMar>
            <w:vAlign w:val="center"/>
          </w:tcPr>
          <w:p w14:paraId="738BC50F"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227 523</w:t>
            </w:r>
          </w:p>
        </w:tc>
        <w:tc>
          <w:tcPr>
            <w:tcW w:w="520" w:type="dxa"/>
            <w:tcBorders>
              <w:top w:val="nil"/>
              <w:left w:val="nil"/>
              <w:bottom w:val="nil"/>
              <w:right w:val="nil"/>
              <w:tl2br w:val="nil"/>
              <w:tr2bl w:val="nil"/>
            </w:tcBorders>
            <w:shd w:val="solid" w:color="CCE1EA" w:fill="FFFFFF"/>
            <w:tcMar>
              <w:left w:w="60" w:type="dxa"/>
              <w:right w:w="60" w:type="dxa"/>
            </w:tcMar>
            <w:vAlign w:val="center"/>
          </w:tcPr>
          <w:p w14:paraId="5413D0BA"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16 264</w:t>
            </w:r>
          </w:p>
        </w:tc>
        <w:tc>
          <w:tcPr>
            <w:tcW w:w="564" w:type="dxa"/>
            <w:tcBorders>
              <w:top w:val="nil"/>
              <w:left w:val="nil"/>
              <w:bottom w:val="nil"/>
              <w:right w:val="nil"/>
              <w:tl2br w:val="nil"/>
              <w:tr2bl w:val="nil"/>
            </w:tcBorders>
            <w:shd w:val="solid" w:color="CCE1EA" w:fill="FFFFFF"/>
            <w:tcMar>
              <w:left w:w="60" w:type="dxa"/>
              <w:right w:w="60" w:type="dxa"/>
            </w:tcMar>
            <w:vAlign w:val="center"/>
          </w:tcPr>
          <w:p w14:paraId="173B4837"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243 787</w:t>
            </w:r>
          </w:p>
        </w:tc>
        <w:tc>
          <w:tcPr>
            <w:tcW w:w="646" w:type="dxa"/>
            <w:tcBorders>
              <w:top w:val="nil"/>
              <w:left w:val="nil"/>
              <w:bottom w:val="nil"/>
              <w:right w:val="nil"/>
              <w:tl2br w:val="nil"/>
              <w:tr2bl w:val="nil"/>
            </w:tcBorders>
            <w:shd w:val="solid" w:color="CCE1EA" w:fill="FFFFFF"/>
            <w:tcMar>
              <w:left w:w="60" w:type="dxa"/>
              <w:right w:w="60" w:type="dxa"/>
            </w:tcMar>
            <w:vAlign w:val="center"/>
          </w:tcPr>
          <w:p w14:paraId="584E14E2"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221 046</w:t>
            </w:r>
          </w:p>
        </w:tc>
        <w:tc>
          <w:tcPr>
            <w:tcW w:w="520" w:type="dxa"/>
            <w:tcBorders>
              <w:top w:val="nil"/>
              <w:left w:val="nil"/>
              <w:bottom w:val="nil"/>
              <w:right w:val="nil"/>
              <w:tl2br w:val="nil"/>
              <w:tr2bl w:val="nil"/>
            </w:tcBorders>
            <w:shd w:val="solid" w:color="CCE1EA" w:fill="FFFFFF"/>
            <w:tcMar>
              <w:left w:w="60" w:type="dxa"/>
              <w:right w:w="60" w:type="dxa"/>
            </w:tcMar>
            <w:vAlign w:val="center"/>
          </w:tcPr>
          <w:p w14:paraId="46841711"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3 352</w:t>
            </w:r>
          </w:p>
        </w:tc>
        <w:tc>
          <w:tcPr>
            <w:tcW w:w="646" w:type="dxa"/>
            <w:tcBorders>
              <w:top w:val="nil"/>
              <w:left w:val="nil"/>
              <w:bottom w:val="nil"/>
              <w:right w:val="nil"/>
              <w:tl2br w:val="nil"/>
              <w:tr2bl w:val="nil"/>
            </w:tcBorders>
            <w:shd w:val="solid" w:color="CCE1EA" w:fill="FFFFFF"/>
            <w:tcMar>
              <w:left w:w="60" w:type="dxa"/>
              <w:right w:w="60" w:type="dxa"/>
            </w:tcMar>
            <w:vAlign w:val="center"/>
          </w:tcPr>
          <w:p w14:paraId="5475AF68"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224 398</w:t>
            </w:r>
          </w:p>
        </w:tc>
        <w:tc>
          <w:tcPr>
            <w:tcW w:w="4175" w:type="dxa"/>
            <w:tcBorders>
              <w:top w:val="nil"/>
              <w:left w:val="nil"/>
              <w:bottom w:val="nil"/>
              <w:right w:val="nil"/>
              <w:tl2br w:val="nil"/>
              <w:tr2bl w:val="nil"/>
            </w:tcBorders>
            <w:shd w:val="solid" w:color="CCE1EA" w:fill="FFFFFF"/>
            <w:tcMar>
              <w:left w:w="60" w:type="dxa"/>
              <w:right w:w="60" w:type="dxa"/>
            </w:tcMar>
            <w:vAlign w:val="center"/>
          </w:tcPr>
          <w:p w14:paraId="41D70684"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139 %</w:t>
            </w:r>
          </w:p>
        </w:tc>
        <w:tc>
          <w:tcPr>
            <w:tcW w:w="3563" w:type="dxa"/>
            <w:tcBorders>
              <w:top w:val="nil"/>
              <w:left w:val="nil"/>
              <w:bottom w:val="nil"/>
              <w:right w:val="nil"/>
              <w:tl2br w:val="nil"/>
              <w:tr2bl w:val="nil"/>
            </w:tcBorders>
            <w:shd w:val="solid" w:color="CCE1EA" w:fill="FFFFFF"/>
            <w:tcMar>
              <w:left w:w="60" w:type="dxa"/>
              <w:right w:w="60" w:type="dxa"/>
            </w:tcMar>
            <w:vAlign w:val="center"/>
          </w:tcPr>
          <w:p w14:paraId="7121D8B5" w14:textId="77777777" w:rsidR="00340B6A" w:rsidRDefault="00340B6A" w:rsidP="00340B6A">
            <w:pPr>
              <w:pStyle w:val="DMETW36778BIPInstitutions1Revenue"/>
              <w:jc w:val="right"/>
              <w:rPr>
                <w:rFonts w:ascii="Verdana" w:eastAsia="Verdana" w:hAnsi="Verdana" w:cs="Verdana"/>
                <w:b/>
                <w:noProof/>
                <w:color w:val="000000"/>
                <w:sz w:val="16"/>
              </w:rPr>
            </w:pPr>
            <w:r>
              <w:rPr>
                <w:rFonts w:ascii="Verdana" w:eastAsia="Verdana" w:hAnsi="Verdana" w:cs="Verdana"/>
                <w:b/>
                <w:noProof/>
                <w:color w:val="000000"/>
                <w:sz w:val="16"/>
              </w:rPr>
              <w:t>19 389</w:t>
            </w:r>
          </w:p>
        </w:tc>
      </w:tr>
    </w:tbl>
    <w:p w14:paraId="61F9CB53" w14:textId="77777777" w:rsidR="00C72743" w:rsidRDefault="00023E71" w:rsidP="00C72743">
      <w:pPr>
        <w:pStyle w:val="DGTextstand-alone"/>
      </w:pPr>
      <w:r>
        <w:t xml:space="preserve">The consolidated reports on the implementation of the general budget of the EU include, as in previous years, the budget implementation of all Institutions since within the EU budget a separate budget for each Institution is established. </w:t>
      </w:r>
    </w:p>
    <w:p w14:paraId="46FA0A91" w14:textId="77777777" w:rsidR="00C72743" w:rsidRDefault="00023E71" w:rsidP="00C72743">
      <w:pPr>
        <w:pStyle w:val="DGTextstand-alone"/>
      </w:pPr>
      <w:r>
        <w:t xml:space="preserve">The budget and implementation of Agencies are not consolidated within the EU budget and are not included in the EU budget reports. The Commission subsidy paid to the agencies however is part of the EU budget. </w:t>
      </w:r>
      <w:r w:rsidRPr="00F47815">
        <w:t xml:space="preserve">In this budgetary part of the annual accounts, only the </w:t>
      </w:r>
      <w:r w:rsidRPr="00F47815">
        <w:rPr>
          <w:bCs/>
        </w:rPr>
        <w:t>subsidy</w:t>
      </w:r>
      <w:r w:rsidRPr="00F47815">
        <w:t xml:space="preserve"> paid from the Commission budget to the </w:t>
      </w:r>
      <w:bookmarkStart w:id="319" w:name="_Hlk161844750"/>
      <w:r w:rsidRPr="00F47815">
        <w:t>Agencies is taken into consideration.</w:t>
      </w:r>
    </w:p>
    <w:p w14:paraId="0174273C" w14:textId="77777777" w:rsidR="00B23DCC" w:rsidRDefault="00023E71" w:rsidP="00C72743">
      <w:pPr>
        <w:pStyle w:val="DGTextstand-alone"/>
      </w:pPr>
      <w:bookmarkStart w:id="320" w:name="_Hlk193805389"/>
      <w:r w:rsidRPr="00D070DF">
        <w:t xml:space="preserve">Concerning the EEAS, it should be noted that, in addition to its own budget, it also </w:t>
      </w:r>
      <w:r w:rsidRPr="00542E45">
        <w:t xml:space="preserve">disposed of an amount of </w:t>
      </w:r>
      <w:r>
        <w:t xml:space="preserve">EUR </w:t>
      </w:r>
      <w:r w:rsidRPr="00542E45">
        <w:t xml:space="preserve">378,9 </w:t>
      </w:r>
      <w:r>
        <w:t>million</w:t>
      </w:r>
      <w:r w:rsidRPr="00542E45">
        <w:t xml:space="preserve"> (2024: 358,4) including assigned revenues and carried over amounts, out of which </w:t>
      </w:r>
      <w:r>
        <w:t xml:space="preserve">EUR </w:t>
      </w:r>
      <w:r w:rsidRPr="00542E45">
        <w:t xml:space="preserve">250,2 </w:t>
      </w:r>
      <w:r>
        <w:t>million</w:t>
      </w:r>
      <w:r w:rsidRPr="00542E45">
        <w:t xml:space="preserve"> (2024: 255,2) of European Commission funds to cover the administrative costs of Commission staff working in Union delegations split between the Commission's Heading 7, the administrative lines of operational programmes (ex-BA lines), and the Trust Funds, and the rem</w:t>
      </w:r>
      <w:r>
        <w:t>a</w:t>
      </w:r>
      <w:r w:rsidRPr="00542E45">
        <w:t>inder from additional fixed-amount contributions to cover common costs of EDF staff in Delegations and for co-locations, and other amounts received under co-location and other agreements.</w:t>
      </w:r>
    </w:p>
    <w:bookmarkEnd w:id="319"/>
    <w:bookmarkEnd w:id="320"/>
    <w:p w14:paraId="6011D201" w14:textId="77777777" w:rsidR="00B23DCC" w:rsidRPr="000B5513" w:rsidRDefault="00B23DCC" w:rsidP="00B23DCC">
      <w:pPr>
        <w:pStyle w:val="DGTextstand-alone"/>
        <w:rPr>
          <w:rFonts w:eastAsia="Verdana" w:cs="Verdana"/>
          <w:sz w:val="25"/>
          <w:szCs w:val="25"/>
          <w:highlight w:val="yellow"/>
        </w:rPr>
        <w:sectPr w:rsidR="00B23DCC" w:rsidRPr="000B5513">
          <w:headerReference w:type="default" r:id="rId180"/>
          <w:footerReference w:type="default" r:id="rId181"/>
          <w:pgSz w:w="16840" w:h="11900" w:orient="landscape"/>
          <w:pgMar w:top="1134" w:right="1134" w:bottom="1134" w:left="1134" w:header="708" w:footer="708" w:gutter="0"/>
          <w:cols w:space="720"/>
        </w:sectPr>
      </w:pPr>
    </w:p>
    <w:p w14:paraId="26B26CD2" w14:textId="77777777" w:rsidR="00B23DCC" w:rsidRPr="00D838EE" w:rsidRDefault="00023E71" w:rsidP="00B23DCC">
      <w:pPr>
        <w:pStyle w:val="HEADER2PartBUDG"/>
        <w:rPr>
          <w:noProof/>
        </w:rPr>
      </w:pPr>
      <w:bookmarkStart w:id="321" w:name="_Toc232674402"/>
      <w:r w:rsidRPr="00D838EE">
        <w:rPr>
          <w:noProof/>
        </w:rPr>
        <w:t>IMPLEMENTATION OF COMMITMENT APPROPRIATIONS</w:t>
      </w:r>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4889"/>
        <w:gridCol w:w="713"/>
        <w:gridCol w:w="713"/>
        <w:gridCol w:w="713"/>
        <w:gridCol w:w="713"/>
        <w:gridCol w:w="713"/>
        <w:gridCol w:w="713"/>
        <w:gridCol w:w="713"/>
        <w:gridCol w:w="713"/>
        <w:gridCol w:w="713"/>
        <w:gridCol w:w="713"/>
        <w:gridCol w:w="713"/>
        <w:gridCol w:w="713"/>
      </w:tblGrid>
      <w:tr w:rsidR="00340B6A" w14:paraId="7A19A1E6" w14:textId="77777777" w:rsidTr="00340B6A">
        <w:trPr>
          <w:trHeight w:val="255"/>
        </w:trPr>
        <w:tc>
          <w:tcPr>
            <w:tcW w:w="1247" w:type="dxa"/>
            <w:tcBorders>
              <w:top w:val="nil"/>
              <w:left w:val="nil"/>
              <w:bottom w:val="nil"/>
              <w:right w:val="nil"/>
              <w:tl2br w:val="nil"/>
              <w:tr2bl w:val="nil"/>
            </w:tcBorders>
            <w:shd w:val="clear" w:color="auto" w:fill="auto"/>
            <w:tcMar>
              <w:left w:w="60" w:type="dxa"/>
              <w:right w:w="60" w:type="dxa"/>
            </w:tcMar>
            <w:vAlign w:val="center"/>
          </w:tcPr>
          <w:p w14:paraId="29B67F4A" w14:textId="77777777" w:rsidR="00340B6A" w:rsidRDefault="00340B6A" w:rsidP="00340B6A">
            <w:pPr>
              <w:pStyle w:val="DMETW36778BIPInstitutions2Commitments"/>
              <w:rPr>
                <w:rFonts w:ascii="Verdana" w:eastAsia="Verdana" w:hAnsi="Verdana" w:cs="Verdana"/>
                <w:b/>
                <w:noProof/>
                <w:color w:val="FFFFFF"/>
                <w:sz w:val="16"/>
                <w:lang w:bidi="en-GB"/>
              </w:rPr>
            </w:pPr>
          </w:p>
        </w:tc>
        <w:tc>
          <w:tcPr>
            <w:tcW w:w="4889" w:type="dxa"/>
            <w:tcBorders>
              <w:top w:val="nil"/>
              <w:left w:val="nil"/>
              <w:bottom w:val="nil"/>
              <w:right w:val="nil"/>
              <w:tl2br w:val="nil"/>
              <w:tr2bl w:val="nil"/>
            </w:tcBorders>
            <w:shd w:val="clear" w:color="auto" w:fill="auto"/>
            <w:tcMar>
              <w:left w:w="60" w:type="dxa"/>
              <w:right w:w="60" w:type="dxa"/>
            </w:tcMar>
            <w:vAlign w:val="center"/>
          </w:tcPr>
          <w:p w14:paraId="593E0077" w14:textId="77777777" w:rsidR="00340B6A" w:rsidRDefault="00340B6A" w:rsidP="00340B6A">
            <w:pPr>
              <w:pStyle w:val="DMETW36778BIPInstitutions2Commitments"/>
              <w:jc w:val="center"/>
              <w:rPr>
                <w:rFonts w:ascii="Verdana" w:eastAsia="Verdana" w:hAnsi="Verdana" w:cs="Verdana"/>
                <w:b/>
                <w:noProof/>
                <w:color w:val="FFFFFF"/>
                <w:sz w:val="16"/>
              </w:rPr>
            </w:pPr>
          </w:p>
        </w:tc>
        <w:tc>
          <w:tcPr>
            <w:tcW w:w="3565" w:type="dxa"/>
            <w:gridSpan w:val="5"/>
            <w:tcBorders>
              <w:top w:val="nil"/>
              <w:left w:val="nil"/>
              <w:bottom w:val="nil"/>
              <w:right w:val="nil"/>
              <w:tl2br w:val="nil"/>
              <w:tr2bl w:val="nil"/>
            </w:tcBorders>
            <w:shd w:val="clear" w:color="auto" w:fill="auto"/>
            <w:tcMar>
              <w:left w:w="60" w:type="dxa"/>
              <w:right w:w="60" w:type="dxa"/>
            </w:tcMar>
            <w:vAlign w:val="center"/>
          </w:tcPr>
          <w:p w14:paraId="3AA4B31E" w14:textId="77777777" w:rsidR="00340B6A" w:rsidRDefault="00340B6A" w:rsidP="00340B6A">
            <w:pPr>
              <w:pStyle w:val="DMETW36778BIPInstitutions2Commitments"/>
              <w:jc w:val="center"/>
              <w:rPr>
                <w:rFonts w:ascii="Verdana" w:eastAsia="Verdana" w:hAnsi="Verdana" w:cs="Verdana"/>
                <w:b/>
                <w:noProof/>
                <w:color w:val="FFFFFF"/>
                <w:sz w:val="16"/>
              </w:rPr>
            </w:pPr>
          </w:p>
        </w:tc>
        <w:tc>
          <w:tcPr>
            <w:tcW w:w="2139" w:type="dxa"/>
            <w:gridSpan w:val="3"/>
            <w:tcBorders>
              <w:top w:val="nil"/>
              <w:left w:val="nil"/>
              <w:bottom w:val="nil"/>
              <w:right w:val="nil"/>
              <w:tl2br w:val="nil"/>
              <w:tr2bl w:val="nil"/>
            </w:tcBorders>
            <w:shd w:val="clear" w:color="auto" w:fill="auto"/>
            <w:tcMar>
              <w:left w:w="60" w:type="dxa"/>
              <w:right w:w="60" w:type="dxa"/>
            </w:tcMar>
            <w:vAlign w:val="center"/>
          </w:tcPr>
          <w:p w14:paraId="5B78503A" w14:textId="77777777" w:rsidR="00340B6A" w:rsidRDefault="00340B6A" w:rsidP="00340B6A">
            <w:pPr>
              <w:pStyle w:val="DMETW36778BIPInstitutions2Commitments"/>
              <w:jc w:val="center"/>
              <w:rPr>
                <w:rFonts w:ascii="Verdana" w:eastAsia="Verdana" w:hAnsi="Verdana" w:cs="Verdana"/>
                <w:b/>
                <w:noProof/>
                <w:color w:val="FFFFFF"/>
                <w:sz w:val="16"/>
              </w:rPr>
            </w:pPr>
          </w:p>
        </w:tc>
        <w:tc>
          <w:tcPr>
            <w:tcW w:w="2852" w:type="dxa"/>
            <w:gridSpan w:val="4"/>
            <w:tcBorders>
              <w:top w:val="nil"/>
              <w:left w:val="nil"/>
              <w:bottom w:val="nil"/>
              <w:right w:val="nil"/>
              <w:tl2br w:val="nil"/>
              <w:tr2bl w:val="nil"/>
            </w:tcBorders>
            <w:shd w:val="clear" w:color="auto" w:fill="auto"/>
            <w:tcMar>
              <w:left w:w="60" w:type="dxa"/>
              <w:right w:w="60" w:type="dxa"/>
            </w:tcMar>
            <w:vAlign w:val="center"/>
          </w:tcPr>
          <w:p w14:paraId="31AAA21B" w14:textId="007658C2" w:rsidR="00340B6A" w:rsidRDefault="00340B6A" w:rsidP="00340B6A">
            <w:pPr>
              <w:pStyle w:val="DMETW36778BIPInstitutions2Commitments"/>
              <w:jc w:val="right"/>
              <w:rPr>
                <w:rFonts w:ascii="Verdana" w:eastAsia="Verdana" w:hAnsi="Verdana" w:cs="Verdana"/>
                <w:b/>
                <w:noProof/>
                <w:color w:val="FFFFFF"/>
                <w:sz w:val="16"/>
              </w:rPr>
            </w:pPr>
            <w:r>
              <w:rPr>
                <w:rFonts w:ascii="Verdana" w:eastAsia="Verdana" w:hAnsi="Verdana" w:cs="Verdana"/>
                <w:bCs/>
                <w:i/>
                <w:iCs/>
                <w:noProof/>
                <w:color w:val="000000" w:themeColor="text1"/>
                <w:sz w:val="16"/>
              </w:rPr>
              <w:t>EUR million</w:t>
            </w:r>
          </w:p>
        </w:tc>
      </w:tr>
      <w:tr w:rsidR="00340B6A" w14:paraId="7F2739C6" w14:textId="77777777" w:rsidTr="00340B6A">
        <w:trPr>
          <w:trHeight w:val="255"/>
        </w:trPr>
        <w:tc>
          <w:tcPr>
            <w:tcW w:w="1247" w:type="dxa"/>
            <w:tcBorders>
              <w:top w:val="nil"/>
              <w:left w:val="nil"/>
              <w:bottom w:val="nil"/>
              <w:right w:val="nil"/>
              <w:tl2br w:val="nil"/>
              <w:tr2bl w:val="nil"/>
            </w:tcBorders>
            <w:shd w:val="solid" w:color="016794" w:fill="FFFFFF"/>
            <w:tcMar>
              <w:left w:w="60" w:type="dxa"/>
              <w:right w:w="60" w:type="dxa"/>
            </w:tcMar>
            <w:vAlign w:val="center"/>
          </w:tcPr>
          <w:p w14:paraId="26058E48" w14:textId="77777777" w:rsidR="00340B6A" w:rsidRDefault="00340B6A" w:rsidP="00340B6A">
            <w:pPr>
              <w:pStyle w:val="DMETW36778BIPInstitutions2Commitments"/>
              <w:rPr>
                <w:rFonts w:ascii="Verdana" w:eastAsia="Verdana" w:hAnsi="Verdana" w:cs="Verdana"/>
                <w:b/>
                <w:noProof/>
                <w:color w:val="FFFFFF"/>
                <w:sz w:val="16"/>
                <w:lang w:bidi="en-GB"/>
              </w:rPr>
            </w:pPr>
            <w:bookmarkStart w:id="322" w:name="DOC_TBL00125_1_1"/>
            <w:bookmarkEnd w:id="322"/>
          </w:p>
        </w:tc>
        <w:tc>
          <w:tcPr>
            <w:tcW w:w="4889" w:type="dxa"/>
            <w:vMerge w:val="restart"/>
            <w:tcBorders>
              <w:top w:val="nil"/>
              <w:left w:val="nil"/>
              <w:bottom w:val="nil"/>
              <w:right w:val="nil"/>
              <w:tl2br w:val="nil"/>
              <w:tr2bl w:val="nil"/>
            </w:tcBorders>
            <w:shd w:val="solid" w:color="016794" w:fill="FFFFFF"/>
            <w:tcMar>
              <w:left w:w="60" w:type="dxa"/>
              <w:right w:w="60" w:type="dxa"/>
            </w:tcMar>
            <w:vAlign w:val="center"/>
          </w:tcPr>
          <w:p w14:paraId="3E301967" w14:textId="77777777" w:rsidR="00340B6A" w:rsidRDefault="00340B6A" w:rsidP="00340B6A">
            <w:pPr>
              <w:pStyle w:val="DMETW36778BIPInstitutions2Commitments"/>
              <w:jc w:val="center"/>
              <w:rPr>
                <w:rFonts w:ascii="Verdana" w:eastAsia="Verdana" w:hAnsi="Verdana" w:cs="Verdana"/>
                <w:b/>
                <w:noProof/>
                <w:color w:val="FFFFFF"/>
                <w:sz w:val="16"/>
              </w:rPr>
            </w:pPr>
            <w:r>
              <w:rPr>
                <w:rFonts w:ascii="Verdana" w:eastAsia="Verdana" w:hAnsi="Verdana" w:cs="Verdana"/>
                <w:b/>
                <w:noProof/>
                <w:color w:val="FFFFFF"/>
                <w:sz w:val="16"/>
              </w:rPr>
              <w:t>Total appropr. available</w:t>
            </w:r>
          </w:p>
        </w:tc>
        <w:tc>
          <w:tcPr>
            <w:tcW w:w="3565" w:type="dxa"/>
            <w:gridSpan w:val="5"/>
            <w:tcBorders>
              <w:top w:val="nil"/>
              <w:left w:val="nil"/>
              <w:bottom w:val="nil"/>
              <w:right w:val="nil"/>
              <w:tl2br w:val="nil"/>
              <w:tr2bl w:val="nil"/>
            </w:tcBorders>
            <w:shd w:val="solid" w:color="016794" w:fill="FFFFFF"/>
            <w:tcMar>
              <w:left w:w="60" w:type="dxa"/>
              <w:right w:w="60" w:type="dxa"/>
            </w:tcMar>
            <w:vAlign w:val="center"/>
          </w:tcPr>
          <w:p w14:paraId="564B5590" w14:textId="77777777" w:rsidR="00340B6A" w:rsidRDefault="00340B6A" w:rsidP="00340B6A">
            <w:pPr>
              <w:pStyle w:val="DMETW36778BIPInstitutions2Commitments"/>
              <w:jc w:val="center"/>
              <w:rPr>
                <w:rFonts w:ascii="Verdana" w:eastAsia="Verdana" w:hAnsi="Verdana" w:cs="Verdana"/>
                <w:b/>
                <w:noProof/>
                <w:color w:val="FFFFFF"/>
                <w:sz w:val="16"/>
              </w:rPr>
            </w:pPr>
            <w:r>
              <w:rPr>
                <w:rFonts w:ascii="Verdana" w:eastAsia="Verdana" w:hAnsi="Verdana" w:cs="Verdana"/>
                <w:b/>
                <w:noProof/>
                <w:color w:val="FFFFFF"/>
                <w:sz w:val="16"/>
              </w:rPr>
              <w:t>Commitments made</w:t>
            </w:r>
          </w:p>
        </w:tc>
        <w:tc>
          <w:tcPr>
            <w:tcW w:w="2139" w:type="dxa"/>
            <w:gridSpan w:val="3"/>
            <w:tcBorders>
              <w:top w:val="nil"/>
              <w:left w:val="nil"/>
              <w:bottom w:val="nil"/>
              <w:right w:val="nil"/>
              <w:tl2br w:val="nil"/>
              <w:tr2bl w:val="nil"/>
            </w:tcBorders>
            <w:shd w:val="solid" w:color="016794" w:fill="FFFFFF"/>
            <w:tcMar>
              <w:left w:w="60" w:type="dxa"/>
              <w:right w:w="60" w:type="dxa"/>
            </w:tcMar>
            <w:vAlign w:val="center"/>
          </w:tcPr>
          <w:p w14:paraId="231E6AA7" w14:textId="77777777" w:rsidR="00340B6A" w:rsidRDefault="00340B6A" w:rsidP="00340B6A">
            <w:pPr>
              <w:pStyle w:val="DMETW36778BIPInstitutions2Commitments"/>
              <w:jc w:val="center"/>
              <w:rPr>
                <w:rFonts w:ascii="Verdana" w:eastAsia="Verdana" w:hAnsi="Verdana" w:cs="Verdana"/>
                <w:b/>
                <w:noProof/>
                <w:color w:val="FFFFFF"/>
                <w:sz w:val="16"/>
              </w:rPr>
            </w:pPr>
            <w:r>
              <w:rPr>
                <w:rFonts w:ascii="Verdana" w:eastAsia="Verdana" w:hAnsi="Verdana" w:cs="Verdana"/>
                <w:b/>
                <w:noProof/>
                <w:color w:val="FFFFFF"/>
                <w:sz w:val="16"/>
              </w:rPr>
              <w:t>Appropriations carried over</w:t>
            </w:r>
          </w:p>
          <w:p w14:paraId="60EE4D60" w14:textId="77777777" w:rsidR="00340B6A" w:rsidRDefault="00340B6A" w:rsidP="00340B6A">
            <w:pPr>
              <w:pStyle w:val="DMETW36778BIPInstitutions2Commitments"/>
              <w:jc w:val="center"/>
              <w:rPr>
                <w:rFonts w:ascii="Verdana" w:eastAsia="Verdana" w:hAnsi="Verdana" w:cs="Verdana"/>
                <w:b/>
                <w:noProof/>
                <w:color w:val="FFFFFF"/>
                <w:sz w:val="16"/>
              </w:rPr>
            </w:pPr>
            <w:r>
              <w:rPr>
                <w:rFonts w:ascii="Verdana" w:eastAsia="Verdana" w:hAnsi="Verdana" w:cs="Verdana"/>
                <w:b/>
                <w:noProof/>
                <w:color w:val="FFFFFF"/>
                <w:sz w:val="16"/>
              </w:rPr>
              <w:t>to 2026</w:t>
            </w:r>
          </w:p>
        </w:tc>
        <w:tc>
          <w:tcPr>
            <w:tcW w:w="2852" w:type="dxa"/>
            <w:gridSpan w:val="4"/>
            <w:tcBorders>
              <w:top w:val="nil"/>
              <w:left w:val="nil"/>
              <w:bottom w:val="nil"/>
              <w:right w:val="nil"/>
              <w:tl2br w:val="nil"/>
              <w:tr2bl w:val="nil"/>
            </w:tcBorders>
            <w:shd w:val="solid" w:color="016794" w:fill="FFFFFF"/>
            <w:tcMar>
              <w:left w:w="60" w:type="dxa"/>
              <w:right w:w="60" w:type="dxa"/>
            </w:tcMar>
            <w:vAlign w:val="center"/>
          </w:tcPr>
          <w:p w14:paraId="311B4B5F" w14:textId="77777777" w:rsidR="00340B6A" w:rsidRDefault="00340B6A" w:rsidP="00340B6A">
            <w:pPr>
              <w:pStyle w:val="DMETW36778BIPInstitutions2Commitments"/>
              <w:jc w:val="center"/>
              <w:rPr>
                <w:rFonts w:ascii="Verdana" w:eastAsia="Verdana" w:hAnsi="Verdana" w:cs="Verdana"/>
                <w:b/>
                <w:noProof/>
                <w:color w:val="FFFFFF"/>
                <w:sz w:val="16"/>
                <w:lang w:bidi="en-GB"/>
              </w:rPr>
            </w:pPr>
            <w:r>
              <w:rPr>
                <w:rFonts w:ascii="Verdana" w:eastAsia="Verdana" w:hAnsi="Verdana" w:cs="Verdana"/>
                <w:b/>
                <w:noProof/>
                <w:color w:val="FFFFFF"/>
                <w:sz w:val="16"/>
              </w:rPr>
              <w:t>Appropriations lapsing</w:t>
            </w:r>
          </w:p>
        </w:tc>
      </w:tr>
      <w:tr w:rsidR="00340B6A" w14:paraId="6AEF4214" w14:textId="77777777" w:rsidTr="00340B6A">
        <w:trPr>
          <w:trHeight w:val="255"/>
        </w:trPr>
        <w:tc>
          <w:tcPr>
            <w:tcW w:w="1247" w:type="dxa"/>
            <w:tcBorders>
              <w:top w:val="nil"/>
              <w:left w:val="nil"/>
              <w:bottom w:val="nil"/>
              <w:right w:val="nil"/>
              <w:tl2br w:val="nil"/>
              <w:tr2bl w:val="nil"/>
            </w:tcBorders>
            <w:shd w:val="solid" w:color="016794" w:fill="FFFFFF"/>
            <w:tcMar>
              <w:left w:w="60" w:type="dxa"/>
              <w:right w:w="60" w:type="dxa"/>
            </w:tcMar>
            <w:vAlign w:val="center"/>
          </w:tcPr>
          <w:p w14:paraId="1EE05EF6" w14:textId="77777777" w:rsidR="00340B6A" w:rsidRDefault="00340B6A" w:rsidP="00340B6A">
            <w:pPr>
              <w:pStyle w:val="DMETW36778BIPInstitutions2Commitments"/>
              <w:rPr>
                <w:rFonts w:ascii="Verdana" w:eastAsia="Verdana" w:hAnsi="Verdana" w:cs="Verdana"/>
                <w:b/>
                <w:noProof/>
                <w:color w:val="FFFFFF"/>
                <w:sz w:val="16"/>
              </w:rPr>
            </w:pPr>
          </w:p>
        </w:tc>
        <w:tc>
          <w:tcPr>
            <w:tcW w:w="4889" w:type="dxa"/>
            <w:vMerge/>
            <w:tcBorders>
              <w:top w:val="nil"/>
              <w:left w:val="nil"/>
              <w:bottom w:val="nil"/>
              <w:right w:val="nil"/>
              <w:tl2br w:val="nil"/>
              <w:tr2bl w:val="nil"/>
            </w:tcBorders>
            <w:shd w:val="solid" w:color="016794" w:fill="FFFFFF"/>
            <w:tcMar>
              <w:left w:w="60" w:type="dxa"/>
              <w:right w:w="60" w:type="dxa"/>
            </w:tcMar>
            <w:vAlign w:val="center"/>
          </w:tcPr>
          <w:p w14:paraId="20A7CAED" w14:textId="77777777" w:rsidR="00340B6A" w:rsidRDefault="00340B6A" w:rsidP="00340B6A">
            <w:pPr>
              <w:pStyle w:val="DMETW36778BIPInstitutions2Commitments"/>
              <w:jc w:val="center"/>
              <w:rPr>
                <w:rFonts w:ascii="Verdana" w:eastAsia="Verdana" w:hAnsi="Verdana" w:cs="Verdana"/>
                <w:b/>
                <w:noProof/>
                <w:color w:val="FFFFFF"/>
                <w:sz w:val="16"/>
              </w:rPr>
            </w:pP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6020AB7B"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from final adopted budget</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605F6F2A"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from carry-overs</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48388429"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from assigned revenue</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3B32F3EF"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Total</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2CC4E5E7"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18B48CBD"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from final adopted budget</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6187DC84"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from assigned revenue</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34239416"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Total</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53F4EB8E"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from final adopted budget</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75FD7F13"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from carry- overs</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1900E99A" w14:textId="77777777" w:rsidR="00340B6A" w:rsidRDefault="00340B6A" w:rsidP="00340B6A">
            <w:pPr>
              <w:pStyle w:val="DMETW36778BIPInstitutions2Commitments"/>
              <w:rPr>
                <w:rFonts w:ascii="Verdana" w:eastAsia="Verdana" w:hAnsi="Verdana" w:cs="Verdana"/>
                <w:b/>
                <w:noProof/>
                <w:color w:val="FFFFFF"/>
                <w:sz w:val="16"/>
              </w:rPr>
            </w:pPr>
            <w:r>
              <w:rPr>
                <w:rFonts w:ascii="Verdana" w:eastAsia="Verdana" w:hAnsi="Verdana" w:cs="Verdana"/>
                <w:b/>
                <w:noProof/>
                <w:color w:val="FFFFFF"/>
                <w:sz w:val="16"/>
              </w:rPr>
              <w:t>from assigned revenue</w:t>
            </w:r>
          </w:p>
        </w:tc>
        <w:tc>
          <w:tcPr>
            <w:tcW w:w="713" w:type="dxa"/>
            <w:tcBorders>
              <w:top w:val="nil"/>
              <w:left w:val="nil"/>
              <w:bottom w:val="nil"/>
              <w:right w:val="nil"/>
              <w:tl2br w:val="nil"/>
              <w:tr2bl w:val="nil"/>
            </w:tcBorders>
            <w:shd w:val="solid" w:color="016794" w:fill="FFFFFF"/>
            <w:tcMar>
              <w:left w:w="60" w:type="dxa"/>
              <w:right w:w="60" w:type="dxa"/>
            </w:tcMar>
            <w:vAlign w:val="center"/>
          </w:tcPr>
          <w:p w14:paraId="530E696C" w14:textId="77777777" w:rsidR="00340B6A" w:rsidRDefault="00340B6A" w:rsidP="00340B6A">
            <w:pPr>
              <w:pStyle w:val="DMETW36778BIPInstitutions2Commitments"/>
              <w:rPr>
                <w:rFonts w:ascii="Verdana" w:eastAsia="Verdana" w:hAnsi="Verdana" w:cs="Verdana"/>
                <w:b/>
                <w:noProof/>
                <w:color w:val="FFFFFF"/>
                <w:sz w:val="16"/>
                <w:lang w:bidi="en-GB"/>
              </w:rPr>
            </w:pPr>
            <w:r>
              <w:rPr>
                <w:rFonts w:ascii="Verdana" w:eastAsia="Verdana" w:hAnsi="Verdana" w:cs="Verdana"/>
                <w:b/>
                <w:noProof/>
                <w:color w:val="FFFFFF"/>
                <w:sz w:val="16"/>
              </w:rPr>
              <w:t>Total</w:t>
            </w:r>
          </w:p>
        </w:tc>
      </w:tr>
      <w:tr w:rsidR="00340B6A" w14:paraId="63EDDB81" w14:textId="77777777" w:rsidTr="00340B6A">
        <w:trPr>
          <w:trHeight w:val="255"/>
        </w:trPr>
        <w:tc>
          <w:tcPr>
            <w:tcW w:w="1247" w:type="dxa"/>
            <w:tcBorders>
              <w:top w:val="nil"/>
              <w:left w:val="nil"/>
              <w:bottom w:val="nil"/>
              <w:right w:val="nil"/>
              <w:tl2br w:val="nil"/>
              <w:tr2bl w:val="nil"/>
            </w:tcBorders>
            <w:shd w:val="solid" w:color="3486A9" w:fill="FFFFFF"/>
            <w:tcMar>
              <w:left w:w="60" w:type="dxa"/>
              <w:right w:w="60" w:type="dxa"/>
            </w:tcMar>
            <w:vAlign w:val="center"/>
          </w:tcPr>
          <w:p w14:paraId="77C6DE0B" w14:textId="77777777" w:rsidR="00340B6A" w:rsidRDefault="00340B6A" w:rsidP="00340B6A">
            <w:pPr>
              <w:pStyle w:val="DMETW36778BIPInstitutions2Commitments"/>
              <w:jc w:val="center"/>
              <w:rPr>
                <w:rFonts w:ascii="Verdana" w:eastAsia="Verdana" w:hAnsi="Verdana" w:cs="Verdana"/>
                <w:noProof/>
                <w:color w:val="FFFFFF"/>
                <w:sz w:val="16"/>
              </w:rPr>
            </w:pPr>
          </w:p>
        </w:tc>
        <w:tc>
          <w:tcPr>
            <w:tcW w:w="4889" w:type="dxa"/>
            <w:tcBorders>
              <w:top w:val="nil"/>
              <w:left w:val="nil"/>
              <w:bottom w:val="nil"/>
              <w:right w:val="nil"/>
              <w:tl2br w:val="nil"/>
              <w:tr2bl w:val="nil"/>
            </w:tcBorders>
            <w:shd w:val="solid" w:color="3486A9" w:fill="FFFFFF"/>
            <w:tcMar>
              <w:left w:w="60" w:type="dxa"/>
              <w:right w:w="60" w:type="dxa"/>
            </w:tcMar>
            <w:vAlign w:val="center"/>
          </w:tcPr>
          <w:p w14:paraId="234131AD"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171B800F"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150C7A7F"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3</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1AC412B6"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6F0E88E9"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5=2+3+4</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1BA746B6"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6=5/1</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7B507587"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7</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58B9ABD6"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8</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66020AE1"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9</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77684748"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10</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7683846C"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11</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2E7C1966"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12</w:t>
            </w:r>
          </w:p>
        </w:tc>
        <w:tc>
          <w:tcPr>
            <w:tcW w:w="713" w:type="dxa"/>
            <w:tcBorders>
              <w:top w:val="nil"/>
              <w:left w:val="nil"/>
              <w:bottom w:val="nil"/>
              <w:right w:val="nil"/>
              <w:tl2br w:val="nil"/>
              <w:tr2bl w:val="nil"/>
            </w:tcBorders>
            <w:shd w:val="solid" w:color="3486A9" w:fill="FFFFFF"/>
            <w:tcMar>
              <w:left w:w="60" w:type="dxa"/>
              <w:right w:w="60" w:type="dxa"/>
            </w:tcMar>
            <w:vAlign w:val="center"/>
          </w:tcPr>
          <w:p w14:paraId="69E722C3" w14:textId="77777777" w:rsidR="00340B6A" w:rsidRDefault="00340B6A" w:rsidP="00340B6A">
            <w:pPr>
              <w:pStyle w:val="DMETW36778BIPInstitutions2Commitments"/>
              <w:jc w:val="center"/>
              <w:rPr>
                <w:rFonts w:ascii="Verdana" w:eastAsia="Verdana" w:hAnsi="Verdana" w:cs="Verdana"/>
                <w:noProof/>
                <w:color w:val="FFFFFF"/>
                <w:sz w:val="16"/>
              </w:rPr>
            </w:pPr>
            <w:r>
              <w:rPr>
                <w:rFonts w:ascii="Verdana" w:eastAsia="Verdana" w:hAnsi="Verdana" w:cs="Verdana"/>
                <w:noProof/>
                <w:color w:val="FFFFFF"/>
                <w:sz w:val="16"/>
              </w:rPr>
              <w:t>13=10+</w:t>
            </w:r>
          </w:p>
          <w:p w14:paraId="632D8255" w14:textId="77777777" w:rsidR="00340B6A" w:rsidRDefault="00340B6A" w:rsidP="00340B6A">
            <w:pPr>
              <w:pStyle w:val="DMETW36778BIPInstitutions2Commitments"/>
              <w:jc w:val="center"/>
              <w:rPr>
                <w:rFonts w:ascii="Verdana" w:eastAsia="Verdana" w:hAnsi="Verdana" w:cs="Verdana"/>
                <w:noProof/>
                <w:color w:val="FFFFFF"/>
                <w:sz w:val="16"/>
                <w:lang w:bidi="en-GB"/>
              </w:rPr>
            </w:pPr>
            <w:r>
              <w:rPr>
                <w:rFonts w:ascii="Verdana" w:eastAsia="Verdana" w:hAnsi="Verdana" w:cs="Verdana"/>
                <w:noProof/>
                <w:color w:val="FFFFFF"/>
                <w:sz w:val="16"/>
              </w:rPr>
              <w:t>11+12</w:t>
            </w:r>
          </w:p>
        </w:tc>
      </w:tr>
      <w:tr w:rsidR="00340B6A" w14:paraId="12530EF7"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370AE1E5"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Parliament</w:t>
            </w:r>
          </w:p>
        </w:tc>
        <w:tc>
          <w:tcPr>
            <w:tcW w:w="4889" w:type="dxa"/>
            <w:tcBorders>
              <w:top w:val="nil"/>
              <w:left w:val="nil"/>
              <w:bottom w:val="nil"/>
              <w:right w:val="nil"/>
              <w:tl2br w:val="nil"/>
              <w:tr2bl w:val="nil"/>
            </w:tcBorders>
            <w:tcMar>
              <w:left w:w="60" w:type="dxa"/>
              <w:right w:w="60" w:type="dxa"/>
            </w:tcMar>
            <w:vAlign w:val="center"/>
          </w:tcPr>
          <w:p w14:paraId="3788D599"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2 602</w:t>
            </w:r>
          </w:p>
        </w:tc>
        <w:tc>
          <w:tcPr>
            <w:tcW w:w="713" w:type="dxa"/>
            <w:tcBorders>
              <w:top w:val="nil"/>
              <w:left w:val="nil"/>
              <w:bottom w:val="nil"/>
              <w:right w:val="nil"/>
              <w:tl2br w:val="nil"/>
              <w:tr2bl w:val="nil"/>
            </w:tcBorders>
            <w:tcMar>
              <w:left w:w="60" w:type="dxa"/>
              <w:right w:w="60" w:type="dxa"/>
            </w:tcMar>
            <w:vAlign w:val="center"/>
          </w:tcPr>
          <w:p w14:paraId="17772C65"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2 518</w:t>
            </w:r>
          </w:p>
        </w:tc>
        <w:tc>
          <w:tcPr>
            <w:tcW w:w="713" w:type="dxa"/>
            <w:tcBorders>
              <w:top w:val="nil"/>
              <w:left w:val="nil"/>
              <w:bottom w:val="nil"/>
              <w:right w:val="nil"/>
              <w:tl2br w:val="nil"/>
              <w:tr2bl w:val="nil"/>
            </w:tcBorders>
            <w:tcMar>
              <w:left w:w="60" w:type="dxa"/>
              <w:right w:w="60" w:type="dxa"/>
            </w:tcMar>
            <w:vAlign w:val="center"/>
          </w:tcPr>
          <w:p w14:paraId="51EEE20D"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5462F1E0"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713" w:type="dxa"/>
            <w:tcBorders>
              <w:top w:val="nil"/>
              <w:left w:val="nil"/>
              <w:bottom w:val="nil"/>
              <w:right w:val="nil"/>
              <w:tl2br w:val="nil"/>
              <w:tr2bl w:val="nil"/>
            </w:tcBorders>
            <w:tcMar>
              <w:left w:w="60" w:type="dxa"/>
              <w:right w:w="60" w:type="dxa"/>
            </w:tcMar>
            <w:vAlign w:val="center"/>
          </w:tcPr>
          <w:p w14:paraId="72E6007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2 557</w:t>
            </w:r>
          </w:p>
        </w:tc>
        <w:tc>
          <w:tcPr>
            <w:tcW w:w="713" w:type="dxa"/>
            <w:tcBorders>
              <w:top w:val="nil"/>
              <w:left w:val="nil"/>
              <w:bottom w:val="nil"/>
              <w:right w:val="nil"/>
              <w:tl2br w:val="nil"/>
              <w:tr2bl w:val="nil"/>
            </w:tcBorders>
            <w:tcMar>
              <w:left w:w="60" w:type="dxa"/>
              <w:right w:w="60" w:type="dxa"/>
            </w:tcMar>
            <w:vAlign w:val="center"/>
          </w:tcPr>
          <w:p w14:paraId="7CAC596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14:paraId="7AEF8B0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52B5830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713" w:type="dxa"/>
            <w:tcBorders>
              <w:top w:val="nil"/>
              <w:left w:val="nil"/>
              <w:bottom w:val="nil"/>
              <w:right w:val="nil"/>
              <w:tl2br w:val="nil"/>
              <w:tr2bl w:val="nil"/>
            </w:tcBorders>
            <w:tcMar>
              <w:left w:w="60" w:type="dxa"/>
              <w:right w:w="60" w:type="dxa"/>
            </w:tcMar>
            <w:vAlign w:val="center"/>
          </w:tcPr>
          <w:p w14:paraId="18717F2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713" w:type="dxa"/>
            <w:tcBorders>
              <w:top w:val="nil"/>
              <w:left w:val="nil"/>
              <w:bottom w:val="nil"/>
              <w:right w:val="nil"/>
              <w:tl2br w:val="nil"/>
              <w:tr2bl w:val="nil"/>
            </w:tcBorders>
            <w:tcMar>
              <w:left w:w="60" w:type="dxa"/>
              <w:right w:w="60" w:type="dxa"/>
            </w:tcMar>
            <w:vAlign w:val="center"/>
          </w:tcPr>
          <w:p w14:paraId="55272D6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713" w:type="dxa"/>
            <w:tcBorders>
              <w:top w:val="nil"/>
              <w:left w:val="nil"/>
              <w:bottom w:val="nil"/>
              <w:right w:val="nil"/>
              <w:tl2br w:val="nil"/>
              <w:tr2bl w:val="nil"/>
            </w:tcBorders>
            <w:tcMar>
              <w:left w:w="60" w:type="dxa"/>
              <w:right w:w="60" w:type="dxa"/>
            </w:tcMar>
            <w:vAlign w:val="center"/>
          </w:tcPr>
          <w:p w14:paraId="5B0540B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738FF80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752B1F0C"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w:t>
            </w:r>
          </w:p>
        </w:tc>
      </w:tr>
      <w:tr w:rsidR="00340B6A" w14:paraId="78EB2C76"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1771DA19"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Council</w:t>
            </w:r>
          </w:p>
        </w:tc>
        <w:tc>
          <w:tcPr>
            <w:tcW w:w="4889" w:type="dxa"/>
            <w:tcBorders>
              <w:top w:val="nil"/>
              <w:left w:val="nil"/>
              <w:bottom w:val="nil"/>
              <w:right w:val="nil"/>
              <w:tl2br w:val="nil"/>
              <w:tr2bl w:val="nil"/>
            </w:tcBorders>
            <w:tcMar>
              <w:left w:w="60" w:type="dxa"/>
              <w:right w:w="60" w:type="dxa"/>
            </w:tcMar>
            <w:vAlign w:val="center"/>
          </w:tcPr>
          <w:p w14:paraId="05C8A5B0"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767</w:t>
            </w:r>
          </w:p>
        </w:tc>
        <w:tc>
          <w:tcPr>
            <w:tcW w:w="713" w:type="dxa"/>
            <w:tcBorders>
              <w:top w:val="nil"/>
              <w:left w:val="nil"/>
              <w:bottom w:val="nil"/>
              <w:right w:val="nil"/>
              <w:tl2br w:val="nil"/>
              <w:tr2bl w:val="nil"/>
            </w:tcBorders>
            <w:tcMar>
              <w:left w:w="60" w:type="dxa"/>
              <w:right w:w="60" w:type="dxa"/>
            </w:tcMar>
            <w:vAlign w:val="center"/>
          </w:tcPr>
          <w:p w14:paraId="7D88F1A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691</w:t>
            </w:r>
          </w:p>
        </w:tc>
        <w:tc>
          <w:tcPr>
            <w:tcW w:w="713" w:type="dxa"/>
            <w:tcBorders>
              <w:top w:val="nil"/>
              <w:left w:val="nil"/>
              <w:bottom w:val="nil"/>
              <w:right w:val="nil"/>
              <w:tl2br w:val="nil"/>
              <w:tr2bl w:val="nil"/>
            </w:tcBorders>
            <w:tcMar>
              <w:left w:w="60" w:type="dxa"/>
              <w:right w:w="60" w:type="dxa"/>
            </w:tcMar>
            <w:vAlign w:val="center"/>
          </w:tcPr>
          <w:p w14:paraId="09AC888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3AFDDD6F"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713" w:type="dxa"/>
            <w:tcBorders>
              <w:top w:val="nil"/>
              <w:left w:val="nil"/>
              <w:bottom w:val="nil"/>
              <w:right w:val="nil"/>
              <w:tl2br w:val="nil"/>
              <w:tr2bl w:val="nil"/>
            </w:tcBorders>
            <w:tcMar>
              <w:left w:w="60" w:type="dxa"/>
              <w:right w:w="60" w:type="dxa"/>
            </w:tcMar>
            <w:vAlign w:val="center"/>
          </w:tcPr>
          <w:p w14:paraId="3824CEF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718</w:t>
            </w:r>
          </w:p>
        </w:tc>
        <w:tc>
          <w:tcPr>
            <w:tcW w:w="713" w:type="dxa"/>
            <w:tcBorders>
              <w:top w:val="nil"/>
              <w:left w:val="nil"/>
              <w:bottom w:val="nil"/>
              <w:right w:val="nil"/>
              <w:tl2br w:val="nil"/>
              <w:tr2bl w:val="nil"/>
            </w:tcBorders>
            <w:tcMar>
              <w:left w:w="60" w:type="dxa"/>
              <w:right w:w="60" w:type="dxa"/>
            </w:tcMar>
            <w:vAlign w:val="center"/>
          </w:tcPr>
          <w:p w14:paraId="77253CF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713" w:type="dxa"/>
            <w:tcBorders>
              <w:top w:val="nil"/>
              <w:left w:val="nil"/>
              <w:bottom w:val="nil"/>
              <w:right w:val="nil"/>
              <w:tl2br w:val="nil"/>
              <w:tr2bl w:val="nil"/>
            </w:tcBorders>
            <w:tcMar>
              <w:left w:w="60" w:type="dxa"/>
              <w:right w:w="60" w:type="dxa"/>
            </w:tcMar>
            <w:vAlign w:val="center"/>
          </w:tcPr>
          <w:p w14:paraId="6AA18C86"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5298EFF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14:paraId="503B615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14:paraId="111191A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713" w:type="dxa"/>
            <w:tcBorders>
              <w:top w:val="nil"/>
              <w:left w:val="nil"/>
              <w:bottom w:val="nil"/>
              <w:right w:val="nil"/>
              <w:tl2br w:val="nil"/>
              <w:tr2bl w:val="nil"/>
            </w:tcBorders>
            <w:tcMar>
              <w:left w:w="60" w:type="dxa"/>
              <w:right w:w="60" w:type="dxa"/>
            </w:tcMar>
            <w:vAlign w:val="center"/>
          </w:tcPr>
          <w:p w14:paraId="6A0CBD94" w14:textId="77777777" w:rsidR="00340B6A" w:rsidRDefault="00340B6A" w:rsidP="00340B6A">
            <w:pPr>
              <w:pStyle w:val="DMETW36778BIPInstitutions2Commitments"/>
              <w:jc w:val="right"/>
              <w:rPr>
                <w:rFonts w:ascii="Verdana" w:eastAsia="Verdana" w:hAnsi="Verdana" w:cs="Verdana"/>
                <w:noProof/>
                <w:color w:val="000000"/>
                <w:sz w:val="16"/>
              </w:rPr>
            </w:pPr>
          </w:p>
        </w:tc>
        <w:tc>
          <w:tcPr>
            <w:tcW w:w="713" w:type="dxa"/>
            <w:tcBorders>
              <w:top w:val="nil"/>
              <w:left w:val="nil"/>
              <w:bottom w:val="nil"/>
              <w:right w:val="nil"/>
              <w:tl2br w:val="nil"/>
              <w:tr2bl w:val="nil"/>
            </w:tcBorders>
            <w:tcMar>
              <w:left w:w="60" w:type="dxa"/>
              <w:right w:w="60" w:type="dxa"/>
            </w:tcMar>
            <w:vAlign w:val="center"/>
          </w:tcPr>
          <w:p w14:paraId="05D1CCC8"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5CA9CB5A"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24</w:t>
            </w:r>
          </w:p>
        </w:tc>
      </w:tr>
      <w:tr w:rsidR="00340B6A" w14:paraId="4BC6C00E"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711592DD"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Commission</w:t>
            </w:r>
          </w:p>
        </w:tc>
        <w:tc>
          <w:tcPr>
            <w:tcW w:w="4889" w:type="dxa"/>
            <w:tcBorders>
              <w:top w:val="nil"/>
              <w:left w:val="nil"/>
              <w:bottom w:val="nil"/>
              <w:right w:val="nil"/>
              <w:tl2br w:val="nil"/>
              <w:tr2bl w:val="nil"/>
            </w:tcBorders>
            <w:tcMar>
              <w:left w:w="60" w:type="dxa"/>
              <w:right w:w="60" w:type="dxa"/>
            </w:tcMar>
            <w:vAlign w:val="center"/>
          </w:tcPr>
          <w:p w14:paraId="63B02CF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222 335</w:t>
            </w:r>
          </w:p>
        </w:tc>
        <w:tc>
          <w:tcPr>
            <w:tcW w:w="713" w:type="dxa"/>
            <w:tcBorders>
              <w:top w:val="nil"/>
              <w:left w:val="nil"/>
              <w:bottom w:val="nil"/>
              <w:right w:val="nil"/>
              <w:tl2br w:val="nil"/>
              <w:tr2bl w:val="nil"/>
            </w:tcBorders>
            <w:tcMar>
              <w:left w:w="60" w:type="dxa"/>
              <w:right w:w="60" w:type="dxa"/>
            </w:tcMar>
            <w:vAlign w:val="center"/>
          </w:tcPr>
          <w:p w14:paraId="78BA8D65"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190 891</w:t>
            </w:r>
          </w:p>
        </w:tc>
        <w:tc>
          <w:tcPr>
            <w:tcW w:w="713" w:type="dxa"/>
            <w:tcBorders>
              <w:top w:val="nil"/>
              <w:left w:val="nil"/>
              <w:bottom w:val="nil"/>
              <w:right w:val="nil"/>
              <w:tl2br w:val="nil"/>
              <w:tr2bl w:val="nil"/>
            </w:tcBorders>
            <w:tcMar>
              <w:left w:w="60" w:type="dxa"/>
              <w:right w:w="60" w:type="dxa"/>
            </w:tcMar>
            <w:vAlign w:val="center"/>
          </w:tcPr>
          <w:p w14:paraId="27CF5155"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1 579</w:t>
            </w:r>
          </w:p>
        </w:tc>
        <w:tc>
          <w:tcPr>
            <w:tcW w:w="713" w:type="dxa"/>
            <w:tcBorders>
              <w:top w:val="nil"/>
              <w:left w:val="nil"/>
              <w:bottom w:val="nil"/>
              <w:right w:val="nil"/>
              <w:tl2br w:val="nil"/>
              <w:tr2bl w:val="nil"/>
            </w:tcBorders>
            <w:tcMar>
              <w:left w:w="60" w:type="dxa"/>
              <w:right w:w="60" w:type="dxa"/>
            </w:tcMar>
            <w:vAlign w:val="center"/>
          </w:tcPr>
          <w:p w14:paraId="576FE43F"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14 073</w:t>
            </w:r>
          </w:p>
        </w:tc>
        <w:tc>
          <w:tcPr>
            <w:tcW w:w="713" w:type="dxa"/>
            <w:tcBorders>
              <w:top w:val="nil"/>
              <w:left w:val="nil"/>
              <w:bottom w:val="nil"/>
              <w:right w:val="nil"/>
              <w:tl2br w:val="nil"/>
              <w:tr2bl w:val="nil"/>
            </w:tcBorders>
            <w:tcMar>
              <w:left w:w="60" w:type="dxa"/>
              <w:right w:w="60" w:type="dxa"/>
            </w:tcMar>
            <w:vAlign w:val="center"/>
          </w:tcPr>
          <w:p w14:paraId="7A9431D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206 542</w:t>
            </w:r>
          </w:p>
        </w:tc>
        <w:tc>
          <w:tcPr>
            <w:tcW w:w="713" w:type="dxa"/>
            <w:tcBorders>
              <w:top w:val="nil"/>
              <w:left w:val="nil"/>
              <w:bottom w:val="nil"/>
              <w:right w:val="nil"/>
              <w:tl2br w:val="nil"/>
              <w:tr2bl w:val="nil"/>
            </w:tcBorders>
            <w:tcMar>
              <w:left w:w="60" w:type="dxa"/>
              <w:right w:w="60" w:type="dxa"/>
            </w:tcMar>
            <w:vAlign w:val="center"/>
          </w:tcPr>
          <w:p w14:paraId="2248964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713" w:type="dxa"/>
            <w:tcBorders>
              <w:top w:val="nil"/>
              <w:left w:val="nil"/>
              <w:bottom w:val="nil"/>
              <w:right w:val="nil"/>
              <w:tl2br w:val="nil"/>
              <w:tr2bl w:val="nil"/>
            </w:tcBorders>
            <w:tcMar>
              <w:left w:w="60" w:type="dxa"/>
              <w:right w:w="60" w:type="dxa"/>
            </w:tcMar>
            <w:vAlign w:val="center"/>
          </w:tcPr>
          <w:p w14:paraId="55B9791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2 126</w:t>
            </w:r>
          </w:p>
        </w:tc>
        <w:tc>
          <w:tcPr>
            <w:tcW w:w="713" w:type="dxa"/>
            <w:tcBorders>
              <w:top w:val="nil"/>
              <w:left w:val="nil"/>
              <w:bottom w:val="nil"/>
              <w:right w:val="nil"/>
              <w:tl2br w:val="nil"/>
              <w:tr2bl w:val="nil"/>
            </w:tcBorders>
            <w:tcMar>
              <w:left w:w="60" w:type="dxa"/>
              <w:right w:w="60" w:type="dxa"/>
            </w:tcMar>
            <w:vAlign w:val="center"/>
          </w:tcPr>
          <w:p w14:paraId="4767E8CF"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12 241</w:t>
            </w:r>
          </w:p>
        </w:tc>
        <w:tc>
          <w:tcPr>
            <w:tcW w:w="713" w:type="dxa"/>
            <w:tcBorders>
              <w:top w:val="nil"/>
              <w:left w:val="nil"/>
              <w:bottom w:val="nil"/>
              <w:right w:val="nil"/>
              <w:tl2br w:val="nil"/>
              <w:tr2bl w:val="nil"/>
            </w:tcBorders>
            <w:tcMar>
              <w:left w:w="60" w:type="dxa"/>
              <w:right w:w="60" w:type="dxa"/>
            </w:tcMar>
            <w:vAlign w:val="center"/>
          </w:tcPr>
          <w:p w14:paraId="785B2B88"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14 367</w:t>
            </w:r>
          </w:p>
        </w:tc>
        <w:tc>
          <w:tcPr>
            <w:tcW w:w="713" w:type="dxa"/>
            <w:tcBorders>
              <w:top w:val="nil"/>
              <w:left w:val="nil"/>
              <w:bottom w:val="nil"/>
              <w:right w:val="nil"/>
              <w:tl2br w:val="nil"/>
              <w:tr2bl w:val="nil"/>
            </w:tcBorders>
            <w:tcMar>
              <w:left w:w="60" w:type="dxa"/>
              <w:right w:w="60" w:type="dxa"/>
            </w:tcMar>
            <w:vAlign w:val="center"/>
          </w:tcPr>
          <w:p w14:paraId="5CA1F48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1 149</w:t>
            </w:r>
          </w:p>
        </w:tc>
        <w:tc>
          <w:tcPr>
            <w:tcW w:w="713" w:type="dxa"/>
            <w:tcBorders>
              <w:top w:val="nil"/>
              <w:left w:val="nil"/>
              <w:bottom w:val="nil"/>
              <w:right w:val="nil"/>
              <w:tl2br w:val="nil"/>
              <w:tr2bl w:val="nil"/>
            </w:tcBorders>
            <w:tcMar>
              <w:left w:w="60" w:type="dxa"/>
              <w:right w:w="60" w:type="dxa"/>
            </w:tcMar>
            <w:vAlign w:val="center"/>
          </w:tcPr>
          <w:p w14:paraId="4C2F675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713" w:type="dxa"/>
            <w:tcBorders>
              <w:top w:val="nil"/>
              <w:left w:val="nil"/>
              <w:bottom w:val="nil"/>
              <w:right w:val="nil"/>
              <w:tl2br w:val="nil"/>
              <w:tr2bl w:val="nil"/>
            </w:tcBorders>
            <w:tcMar>
              <w:left w:w="60" w:type="dxa"/>
              <w:right w:w="60" w:type="dxa"/>
            </w:tcMar>
            <w:vAlign w:val="center"/>
          </w:tcPr>
          <w:p w14:paraId="519B5AB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236</w:t>
            </w:r>
          </w:p>
        </w:tc>
        <w:tc>
          <w:tcPr>
            <w:tcW w:w="713" w:type="dxa"/>
            <w:tcBorders>
              <w:top w:val="nil"/>
              <w:left w:val="nil"/>
              <w:bottom w:val="nil"/>
              <w:right w:val="nil"/>
              <w:tl2br w:val="nil"/>
              <w:tr2bl w:val="nil"/>
            </w:tcBorders>
            <w:tcMar>
              <w:left w:w="60" w:type="dxa"/>
              <w:right w:w="60" w:type="dxa"/>
            </w:tcMar>
            <w:vAlign w:val="center"/>
          </w:tcPr>
          <w:p w14:paraId="4FF381C8"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1 418</w:t>
            </w:r>
          </w:p>
        </w:tc>
      </w:tr>
      <w:tr w:rsidR="00340B6A" w14:paraId="2AC492D2"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22C2B03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Court of Justice</w:t>
            </w:r>
          </w:p>
        </w:tc>
        <w:tc>
          <w:tcPr>
            <w:tcW w:w="4889" w:type="dxa"/>
            <w:tcBorders>
              <w:top w:val="nil"/>
              <w:left w:val="nil"/>
              <w:bottom w:val="nil"/>
              <w:right w:val="nil"/>
              <w:tl2br w:val="nil"/>
              <w:tr2bl w:val="nil"/>
            </w:tcBorders>
            <w:tcMar>
              <w:left w:w="60" w:type="dxa"/>
              <w:right w:w="60" w:type="dxa"/>
            </w:tcMar>
            <w:vAlign w:val="center"/>
          </w:tcPr>
          <w:p w14:paraId="21EF846D"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538</w:t>
            </w:r>
          </w:p>
        </w:tc>
        <w:tc>
          <w:tcPr>
            <w:tcW w:w="713" w:type="dxa"/>
            <w:tcBorders>
              <w:top w:val="nil"/>
              <w:left w:val="nil"/>
              <w:bottom w:val="nil"/>
              <w:right w:val="nil"/>
              <w:tl2br w:val="nil"/>
              <w:tr2bl w:val="nil"/>
            </w:tcBorders>
            <w:tcMar>
              <w:left w:w="60" w:type="dxa"/>
              <w:right w:w="60" w:type="dxa"/>
            </w:tcMar>
            <w:vAlign w:val="center"/>
          </w:tcPr>
          <w:p w14:paraId="7CB81DE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521</w:t>
            </w:r>
          </w:p>
        </w:tc>
        <w:tc>
          <w:tcPr>
            <w:tcW w:w="713" w:type="dxa"/>
            <w:tcBorders>
              <w:top w:val="nil"/>
              <w:left w:val="nil"/>
              <w:bottom w:val="nil"/>
              <w:right w:val="nil"/>
              <w:tl2br w:val="nil"/>
              <w:tr2bl w:val="nil"/>
            </w:tcBorders>
            <w:tcMar>
              <w:left w:w="60" w:type="dxa"/>
              <w:right w:w="60" w:type="dxa"/>
            </w:tcMar>
            <w:vAlign w:val="center"/>
          </w:tcPr>
          <w:p w14:paraId="3E5F9AE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74C773E6"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14:paraId="22B63DC9"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522</w:t>
            </w:r>
          </w:p>
        </w:tc>
        <w:tc>
          <w:tcPr>
            <w:tcW w:w="713" w:type="dxa"/>
            <w:tcBorders>
              <w:top w:val="nil"/>
              <w:left w:val="nil"/>
              <w:bottom w:val="nil"/>
              <w:right w:val="nil"/>
              <w:tl2br w:val="nil"/>
              <w:tr2bl w:val="nil"/>
            </w:tcBorders>
            <w:tcMar>
              <w:left w:w="60" w:type="dxa"/>
              <w:right w:w="60" w:type="dxa"/>
            </w:tcMar>
            <w:vAlign w:val="center"/>
          </w:tcPr>
          <w:p w14:paraId="446D0BF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97 %</w:t>
            </w:r>
          </w:p>
        </w:tc>
        <w:tc>
          <w:tcPr>
            <w:tcW w:w="713" w:type="dxa"/>
            <w:tcBorders>
              <w:top w:val="nil"/>
              <w:left w:val="nil"/>
              <w:bottom w:val="nil"/>
              <w:right w:val="nil"/>
              <w:tl2br w:val="nil"/>
              <w:tr2bl w:val="nil"/>
            </w:tcBorders>
            <w:tcMar>
              <w:left w:w="60" w:type="dxa"/>
              <w:right w:w="60" w:type="dxa"/>
            </w:tcMar>
            <w:vAlign w:val="center"/>
          </w:tcPr>
          <w:p w14:paraId="26716C5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6856C688"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640B49B0"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2016CF90"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713" w:type="dxa"/>
            <w:tcBorders>
              <w:top w:val="nil"/>
              <w:left w:val="nil"/>
              <w:bottom w:val="nil"/>
              <w:right w:val="nil"/>
              <w:tl2br w:val="nil"/>
              <w:tr2bl w:val="nil"/>
            </w:tcBorders>
            <w:tcMar>
              <w:left w:w="60" w:type="dxa"/>
              <w:right w:w="60" w:type="dxa"/>
            </w:tcMar>
            <w:vAlign w:val="center"/>
          </w:tcPr>
          <w:p w14:paraId="26258CFF" w14:textId="77777777" w:rsidR="00340B6A" w:rsidRDefault="00340B6A" w:rsidP="00340B6A">
            <w:pPr>
              <w:pStyle w:val="DMETW36778BIPInstitutions2Commitments"/>
              <w:jc w:val="right"/>
              <w:rPr>
                <w:rFonts w:ascii="Verdana" w:eastAsia="Verdana" w:hAnsi="Verdana" w:cs="Verdana"/>
                <w:noProof/>
                <w:color w:val="000000"/>
                <w:sz w:val="16"/>
              </w:rPr>
            </w:pPr>
          </w:p>
        </w:tc>
        <w:tc>
          <w:tcPr>
            <w:tcW w:w="713" w:type="dxa"/>
            <w:tcBorders>
              <w:top w:val="nil"/>
              <w:left w:val="nil"/>
              <w:bottom w:val="nil"/>
              <w:right w:val="nil"/>
              <w:tl2br w:val="nil"/>
              <w:tr2bl w:val="nil"/>
            </w:tcBorders>
            <w:tcMar>
              <w:left w:w="60" w:type="dxa"/>
              <w:right w:w="60" w:type="dxa"/>
            </w:tcMar>
            <w:vAlign w:val="center"/>
          </w:tcPr>
          <w:p w14:paraId="099EE9A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30759AE8"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16</w:t>
            </w:r>
          </w:p>
        </w:tc>
      </w:tr>
      <w:tr w:rsidR="00340B6A" w14:paraId="51F00E00"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5241424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Court of Auditors</w:t>
            </w:r>
          </w:p>
        </w:tc>
        <w:tc>
          <w:tcPr>
            <w:tcW w:w="4889" w:type="dxa"/>
            <w:tcBorders>
              <w:top w:val="nil"/>
              <w:left w:val="nil"/>
              <w:bottom w:val="nil"/>
              <w:right w:val="nil"/>
              <w:tl2br w:val="nil"/>
              <w:tr2bl w:val="nil"/>
            </w:tcBorders>
            <w:tcMar>
              <w:left w:w="60" w:type="dxa"/>
              <w:right w:w="60" w:type="dxa"/>
            </w:tcMar>
            <w:vAlign w:val="center"/>
          </w:tcPr>
          <w:p w14:paraId="2C987C4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195</w:t>
            </w:r>
          </w:p>
        </w:tc>
        <w:tc>
          <w:tcPr>
            <w:tcW w:w="713" w:type="dxa"/>
            <w:tcBorders>
              <w:top w:val="nil"/>
              <w:left w:val="nil"/>
              <w:bottom w:val="nil"/>
              <w:right w:val="nil"/>
              <w:tl2br w:val="nil"/>
              <w:tr2bl w:val="nil"/>
            </w:tcBorders>
            <w:tcMar>
              <w:left w:w="60" w:type="dxa"/>
              <w:right w:w="60" w:type="dxa"/>
            </w:tcMar>
            <w:vAlign w:val="center"/>
          </w:tcPr>
          <w:p w14:paraId="70E48B8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191</w:t>
            </w:r>
          </w:p>
        </w:tc>
        <w:tc>
          <w:tcPr>
            <w:tcW w:w="713" w:type="dxa"/>
            <w:tcBorders>
              <w:top w:val="nil"/>
              <w:left w:val="nil"/>
              <w:bottom w:val="nil"/>
              <w:right w:val="nil"/>
              <w:tl2br w:val="nil"/>
              <w:tr2bl w:val="nil"/>
            </w:tcBorders>
            <w:tcMar>
              <w:left w:w="60" w:type="dxa"/>
              <w:right w:w="60" w:type="dxa"/>
            </w:tcMar>
            <w:vAlign w:val="center"/>
          </w:tcPr>
          <w:p w14:paraId="0AC8BA4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14:paraId="519F8E69"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712730B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713" w:type="dxa"/>
            <w:tcBorders>
              <w:top w:val="nil"/>
              <w:left w:val="nil"/>
              <w:bottom w:val="nil"/>
              <w:right w:val="nil"/>
              <w:tl2br w:val="nil"/>
              <w:tr2bl w:val="nil"/>
            </w:tcBorders>
            <w:tcMar>
              <w:left w:w="60" w:type="dxa"/>
              <w:right w:w="60" w:type="dxa"/>
            </w:tcMar>
            <w:vAlign w:val="center"/>
          </w:tcPr>
          <w:p w14:paraId="07844C1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14:paraId="796730E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06CC942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715D059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18AB849D"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14:paraId="070B351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54011DE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49E42F1B"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340B6A" w14:paraId="3B065FCC"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0156051F"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Economic and Social Committee</w:t>
            </w:r>
          </w:p>
        </w:tc>
        <w:tc>
          <w:tcPr>
            <w:tcW w:w="4889" w:type="dxa"/>
            <w:tcBorders>
              <w:top w:val="nil"/>
              <w:left w:val="nil"/>
              <w:bottom w:val="nil"/>
              <w:right w:val="nil"/>
              <w:tl2br w:val="nil"/>
              <w:tr2bl w:val="nil"/>
            </w:tcBorders>
            <w:tcMar>
              <w:left w:w="60" w:type="dxa"/>
              <w:right w:w="60" w:type="dxa"/>
            </w:tcMar>
            <w:vAlign w:val="center"/>
          </w:tcPr>
          <w:p w14:paraId="5C0F380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180</w:t>
            </w:r>
          </w:p>
        </w:tc>
        <w:tc>
          <w:tcPr>
            <w:tcW w:w="713" w:type="dxa"/>
            <w:tcBorders>
              <w:top w:val="nil"/>
              <w:left w:val="nil"/>
              <w:bottom w:val="nil"/>
              <w:right w:val="nil"/>
              <w:tl2br w:val="nil"/>
              <w:tr2bl w:val="nil"/>
            </w:tcBorders>
            <w:tcMar>
              <w:left w:w="60" w:type="dxa"/>
              <w:right w:w="60" w:type="dxa"/>
            </w:tcMar>
            <w:vAlign w:val="center"/>
          </w:tcPr>
          <w:p w14:paraId="4EE610A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173</w:t>
            </w:r>
          </w:p>
        </w:tc>
        <w:tc>
          <w:tcPr>
            <w:tcW w:w="713" w:type="dxa"/>
            <w:tcBorders>
              <w:top w:val="nil"/>
              <w:left w:val="nil"/>
              <w:bottom w:val="nil"/>
              <w:right w:val="nil"/>
              <w:tl2br w:val="nil"/>
              <w:tr2bl w:val="nil"/>
            </w:tcBorders>
            <w:tcMar>
              <w:left w:w="60" w:type="dxa"/>
              <w:right w:w="60" w:type="dxa"/>
            </w:tcMar>
            <w:vAlign w:val="center"/>
          </w:tcPr>
          <w:p w14:paraId="6B18E7D9"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3583573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713" w:type="dxa"/>
            <w:tcBorders>
              <w:top w:val="nil"/>
              <w:left w:val="nil"/>
              <w:bottom w:val="nil"/>
              <w:right w:val="nil"/>
              <w:tl2br w:val="nil"/>
              <w:tr2bl w:val="nil"/>
            </w:tcBorders>
            <w:tcMar>
              <w:left w:w="60" w:type="dxa"/>
              <w:right w:w="60" w:type="dxa"/>
            </w:tcMar>
            <w:vAlign w:val="center"/>
          </w:tcPr>
          <w:p w14:paraId="0AB665C0"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177</w:t>
            </w:r>
          </w:p>
        </w:tc>
        <w:tc>
          <w:tcPr>
            <w:tcW w:w="713" w:type="dxa"/>
            <w:tcBorders>
              <w:top w:val="nil"/>
              <w:left w:val="nil"/>
              <w:bottom w:val="nil"/>
              <w:right w:val="nil"/>
              <w:tl2br w:val="nil"/>
              <w:tr2bl w:val="nil"/>
            </w:tcBorders>
            <w:tcMar>
              <w:left w:w="60" w:type="dxa"/>
              <w:right w:w="60" w:type="dxa"/>
            </w:tcMar>
            <w:vAlign w:val="center"/>
          </w:tcPr>
          <w:p w14:paraId="126A3F2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14:paraId="1104C0AA"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7E5FEDE8"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14:paraId="4136C74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14:paraId="6D88D61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14:paraId="35896F78"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74861D0A"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58150FA7"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340B6A" w14:paraId="1A9EE1D9"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7E95DEAF"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Committee of the Regions</w:t>
            </w:r>
          </w:p>
        </w:tc>
        <w:tc>
          <w:tcPr>
            <w:tcW w:w="4889" w:type="dxa"/>
            <w:tcBorders>
              <w:top w:val="nil"/>
              <w:left w:val="nil"/>
              <w:bottom w:val="nil"/>
              <w:right w:val="nil"/>
              <w:tl2br w:val="nil"/>
              <w:tr2bl w:val="nil"/>
            </w:tcBorders>
            <w:tcMar>
              <w:left w:w="60" w:type="dxa"/>
              <w:right w:w="60" w:type="dxa"/>
            </w:tcMar>
            <w:vAlign w:val="center"/>
          </w:tcPr>
          <w:p w14:paraId="568CEE0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135</w:t>
            </w:r>
          </w:p>
        </w:tc>
        <w:tc>
          <w:tcPr>
            <w:tcW w:w="713" w:type="dxa"/>
            <w:tcBorders>
              <w:top w:val="nil"/>
              <w:left w:val="nil"/>
              <w:bottom w:val="nil"/>
              <w:right w:val="nil"/>
              <w:tl2br w:val="nil"/>
              <w:tr2bl w:val="nil"/>
            </w:tcBorders>
            <w:tcMar>
              <w:left w:w="60" w:type="dxa"/>
              <w:right w:w="60" w:type="dxa"/>
            </w:tcMar>
            <w:vAlign w:val="center"/>
          </w:tcPr>
          <w:p w14:paraId="7793CE7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130</w:t>
            </w:r>
          </w:p>
        </w:tc>
        <w:tc>
          <w:tcPr>
            <w:tcW w:w="713" w:type="dxa"/>
            <w:tcBorders>
              <w:top w:val="nil"/>
              <w:left w:val="nil"/>
              <w:bottom w:val="nil"/>
              <w:right w:val="nil"/>
              <w:tl2br w:val="nil"/>
              <w:tr2bl w:val="nil"/>
            </w:tcBorders>
            <w:tcMar>
              <w:left w:w="60" w:type="dxa"/>
              <w:right w:w="60" w:type="dxa"/>
            </w:tcMar>
            <w:vAlign w:val="center"/>
          </w:tcPr>
          <w:p w14:paraId="7C64A23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3BB002E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14:paraId="6A6C398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132</w:t>
            </w:r>
          </w:p>
        </w:tc>
        <w:tc>
          <w:tcPr>
            <w:tcW w:w="713" w:type="dxa"/>
            <w:tcBorders>
              <w:top w:val="nil"/>
              <w:left w:val="nil"/>
              <w:bottom w:val="nil"/>
              <w:right w:val="nil"/>
              <w:tl2br w:val="nil"/>
              <w:tr2bl w:val="nil"/>
            </w:tcBorders>
            <w:tcMar>
              <w:left w:w="60" w:type="dxa"/>
              <w:right w:w="60" w:type="dxa"/>
            </w:tcMar>
            <w:vAlign w:val="center"/>
          </w:tcPr>
          <w:p w14:paraId="54E8A3B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14:paraId="7BDCDCD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6310597A"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14:paraId="05457A76"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14:paraId="5577ABE0"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6B09944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6989605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56411A68"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0</w:t>
            </w:r>
          </w:p>
        </w:tc>
      </w:tr>
      <w:tr w:rsidR="00340B6A" w14:paraId="459D36CF"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5C4B020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Ombudsman</w:t>
            </w:r>
          </w:p>
        </w:tc>
        <w:tc>
          <w:tcPr>
            <w:tcW w:w="4889" w:type="dxa"/>
            <w:tcBorders>
              <w:top w:val="nil"/>
              <w:left w:val="nil"/>
              <w:bottom w:val="nil"/>
              <w:right w:val="nil"/>
              <w:tl2br w:val="nil"/>
              <w:tr2bl w:val="nil"/>
            </w:tcBorders>
            <w:tcMar>
              <w:left w:w="60" w:type="dxa"/>
              <w:right w:w="60" w:type="dxa"/>
            </w:tcMar>
            <w:vAlign w:val="center"/>
          </w:tcPr>
          <w:p w14:paraId="449A536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14:paraId="6F7DCC50"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14:paraId="4814009D"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42686213"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398740FA"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14:paraId="14D49B0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95 %</w:t>
            </w:r>
          </w:p>
        </w:tc>
        <w:tc>
          <w:tcPr>
            <w:tcW w:w="713" w:type="dxa"/>
            <w:tcBorders>
              <w:top w:val="nil"/>
              <w:left w:val="nil"/>
              <w:bottom w:val="nil"/>
              <w:right w:val="nil"/>
              <w:tl2br w:val="nil"/>
              <w:tr2bl w:val="nil"/>
            </w:tcBorders>
            <w:tcMar>
              <w:left w:w="60" w:type="dxa"/>
              <w:right w:w="60" w:type="dxa"/>
            </w:tcMar>
            <w:vAlign w:val="center"/>
          </w:tcPr>
          <w:p w14:paraId="3B4B2338"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4C92FB7A"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3DC652E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7C66809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14:paraId="03600E8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171B0E1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03F769A9"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340B6A" w14:paraId="0B84A473"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3B4C88CD"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European Data-protection Supervisor</w:t>
            </w:r>
          </w:p>
        </w:tc>
        <w:tc>
          <w:tcPr>
            <w:tcW w:w="4889" w:type="dxa"/>
            <w:tcBorders>
              <w:top w:val="nil"/>
              <w:left w:val="nil"/>
              <w:bottom w:val="nil"/>
              <w:right w:val="nil"/>
              <w:tl2br w:val="nil"/>
              <w:tr2bl w:val="nil"/>
            </w:tcBorders>
            <w:tcMar>
              <w:left w:w="60" w:type="dxa"/>
              <w:right w:w="60" w:type="dxa"/>
            </w:tcMar>
            <w:vAlign w:val="center"/>
          </w:tcPr>
          <w:p w14:paraId="0229060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713" w:type="dxa"/>
            <w:tcBorders>
              <w:top w:val="nil"/>
              <w:left w:val="nil"/>
              <w:bottom w:val="nil"/>
              <w:right w:val="nil"/>
              <w:tl2br w:val="nil"/>
              <w:tr2bl w:val="nil"/>
            </w:tcBorders>
            <w:tcMar>
              <w:left w:w="60" w:type="dxa"/>
              <w:right w:w="60" w:type="dxa"/>
            </w:tcMar>
            <w:vAlign w:val="center"/>
          </w:tcPr>
          <w:p w14:paraId="7AD80C8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14:paraId="4D66ACA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76F995CB"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5FF48FD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14:paraId="4440330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713" w:type="dxa"/>
            <w:tcBorders>
              <w:top w:val="nil"/>
              <w:left w:val="nil"/>
              <w:bottom w:val="nil"/>
              <w:right w:val="nil"/>
              <w:tl2br w:val="nil"/>
              <w:tr2bl w:val="nil"/>
            </w:tcBorders>
            <w:tcMar>
              <w:left w:w="60" w:type="dxa"/>
              <w:right w:w="60" w:type="dxa"/>
            </w:tcMar>
            <w:vAlign w:val="center"/>
          </w:tcPr>
          <w:p w14:paraId="6DF3802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3187E009"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44AA95F5"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5F47A5EE"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14:paraId="5AB571B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7DD7E2D9"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5E26A494"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w:t>
            </w:r>
          </w:p>
        </w:tc>
      </w:tr>
      <w:tr w:rsidR="00340B6A" w14:paraId="459FD500" w14:textId="77777777" w:rsidTr="00340B6A">
        <w:trPr>
          <w:trHeight w:val="255"/>
        </w:trPr>
        <w:tc>
          <w:tcPr>
            <w:tcW w:w="1247" w:type="dxa"/>
            <w:tcBorders>
              <w:top w:val="nil"/>
              <w:left w:val="nil"/>
              <w:bottom w:val="nil"/>
              <w:right w:val="nil"/>
              <w:tl2br w:val="nil"/>
              <w:tr2bl w:val="nil"/>
            </w:tcBorders>
            <w:tcMar>
              <w:left w:w="60" w:type="dxa"/>
              <w:right w:w="60" w:type="dxa"/>
            </w:tcMar>
            <w:vAlign w:val="center"/>
          </w:tcPr>
          <w:p w14:paraId="7AA58BB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European External Action Service</w:t>
            </w:r>
          </w:p>
        </w:tc>
        <w:tc>
          <w:tcPr>
            <w:tcW w:w="4889" w:type="dxa"/>
            <w:tcBorders>
              <w:top w:val="nil"/>
              <w:left w:val="nil"/>
              <w:bottom w:val="nil"/>
              <w:right w:val="nil"/>
              <w:tl2br w:val="nil"/>
              <w:tr2bl w:val="nil"/>
            </w:tcBorders>
            <w:tcMar>
              <w:left w:w="60" w:type="dxa"/>
              <w:right w:w="60" w:type="dxa"/>
            </w:tcMar>
            <w:vAlign w:val="center"/>
          </w:tcPr>
          <w:p w14:paraId="3BEDF7AC"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1 308</w:t>
            </w:r>
          </w:p>
        </w:tc>
        <w:tc>
          <w:tcPr>
            <w:tcW w:w="713" w:type="dxa"/>
            <w:tcBorders>
              <w:top w:val="nil"/>
              <w:left w:val="nil"/>
              <w:bottom w:val="nil"/>
              <w:right w:val="nil"/>
              <w:tl2br w:val="nil"/>
              <w:tr2bl w:val="nil"/>
            </w:tcBorders>
            <w:tcMar>
              <w:left w:w="60" w:type="dxa"/>
              <w:right w:w="60" w:type="dxa"/>
            </w:tcMar>
            <w:vAlign w:val="center"/>
          </w:tcPr>
          <w:p w14:paraId="334355A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930</w:t>
            </w:r>
          </w:p>
        </w:tc>
        <w:tc>
          <w:tcPr>
            <w:tcW w:w="713" w:type="dxa"/>
            <w:tcBorders>
              <w:top w:val="nil"/>
              <w:left w:val="nil"/>
              <w:bottom w:val="nil"/>
              <w:right w:val="nil"/>
              <w:tl2br w:val="nil"/>
              <w:tr2bl w:val="nil"/>
            </w:tcBorders>
            <w:tcMar>
              <w:left w:w="60" w:type="dxa"/>
              <w:right w:w="60" w:type="dxa"/>
            </w:tcMar>
            <w:vAlign w:val="center"/>
          </w:tcPr>
          <w:p w14:paraId="3938DAA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5529185A"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307</w:t>
            </w:r>
          </w:p>
        </w:tc>
        <w:tc>
          <w:tcPr>
            <w:tcW w:w="713" w:type="dxa"/>
            <w:tcBorders>
              <w:top w:val="nil"/>
              <w:left w:val="nil"/>
              <w:bottom w:val="nil"/>
              <w:right w:val="nil"/>
              <w:tl2br w:val="nil"/>
              <w:tr2bl w:val="nil"/>
            </w:tcBorders>
            <w:tcMar>
              <w:left w:w="60" w:type="dxa"/>
              <w:right w:w="60" w:type="dxa"/>
            </w:tcMar>
            <w:vAlign w:val="center"/>
          </w:tcPr>
          <w:p w14:paraId="24980CD0"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1 236</w:t>
            </w:r>
          </w:p>
        </w:tc>
        <w:tc>
          <w:tcPr>
            <w:tcW w:w="713" w:type="dxa"/>
            <w:tcBorders>
              <w:top w:val="nil"/>
              <w:left w:val="nil"/>
              <w:bottom w:val="nil"/>
              <w:right w:val="nil"/>
              <w:tl2br w:val="nil"/>
              <w:tr2bl w:val="nil"/>
            </w:tcBorders>
            <w:tcMar>
              <w:left w:w="60" w:type="dxa"/>
              <w:right w:w="60" w:type="dxa"/>
            </w:tcMar>
            <w:vAlign w:val="center"/>
          </w:tcPr>
          <w:p w14:paraId="7830526A"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94 %</w:t>
            </w:r>
          </w:p>
        </w:tc>
        <w:tc>
          <w:tcPr>
            <w:tcW w:w="713" w:type="dxa"/>
            <w:tcBorders>
              <w:top w:val="nil"/>
              <w:left w:val="nil"/>
              <w:bottom w:val="nil"/>
              <w:right w:val="nil"/>
              <w:tl2br w:val="nil"/>
              <w:tr2bl w:val="nil"/>
            </w:tcBorders>
            <w:tcMar>
              <w:left w:w="60" w:type="dxa"/>
              <w:right w:w="60" w:type="dxa"/>
            </w:tcMar>
            <w:vAlign w:val="center"/>
          </w:tcPr>
          <w:p w14:paraId="70D697F4"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739057C2"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72</w:t>
            </w:r>
          </w:p>
        </w:tc>
        <w:tc>
          <w:tcPr>
            <w:tcW w:w="713" w:type="dxa"/>
            <w:tcBorders>
              <w:top w:val="nil"/>
              <w:left w:val="nil"/>
              <w:bottom w:val="nil"/>
              <w:right w:val="nil"/>
              <w:tl2br w:val="nil"/>
              <w:tr2bl w:val="nil"/>
            </w:tcBorders>
            <w:tcMar>
              <w:left w:w="60" w:type="dxa"/>
              <w:right w:w="60" w:type="dxa"/>
            </w:tcMar>
            <w:vAlign w:val="center"/>
          </w:tcPr>
          <w:p w14:paraId="0383B1E1"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72</w:t>
            </w:r>
          </w:p>
        </w:tc>
        <w:tc>
          <w:tcPr>
            <w:tcW w:w="713" w:type="dxa"/>
            <w:tcBorders>
              <w:top w:val="nil"/>
              <w:left w:val="nil"/>
              <w:bottom w:val="nil"/>
              <w:right w:val="nil"/>
              <w:tl2br w:val="nil"/>
              <w:tr2bl w:val="nil"/>
            </w:tcBorders>
            <w:tcMar>
              <w:left w:w="60" w:type="dxa"/>
              <w:right w:w="60" w:type="dxa"/>
            </w:tcMar>
            <w:vAlign w:val="center"/>
          </w:tcPr>
          <w:p w14:paraId="6E4BB6B7"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14:paraId="69AD6A3D"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14:paraId="3CD18565" w14:textId="77777777" w:rsidR="00340B6A" w:rsidRDefault="00340B6A" w:rsidP="00340B6A">
            <w:pPr>
              <w:pStyle w:val="DMETW36778BIPInstitutions2Commit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14:paraId="4CF7485C" w14:textId="77777777" w:rsidR="00340B6A" w:rsidRDefault="00340B6A" w:rsidP="00340B6A">
            <w:pPr>
              <w:pStyle w:val="DMETW36778BIPInstitutions2Commit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340B6A" w14:paraId="71DEAAF9" w14:textId="77777777" w:rsidTr="00340B6A">
        <w:trPr>
          <w:trHeight w:val="255"/>
        </w:trPr>
        <w:tc>
          <w:tcPr>
            <w:tcW w:w="1247" w:type="dxa"/>
            <w:tcBorders>
              <w:top w:val="nil"/>
              <w:left w:val="nil"/>
              <w:bottom w:val="nil"/>
              <w:right w:val="nil"/>
              <w:tl2br w:val="nil"/>
              <w:tr2bl w:val="nil"/>
            </w:tcBorders>
            <w:shd w:val="solid" w:color="CCE1EA" w:fill="FFFFFF"/>
            <w:tcMar>
              <w:left w:w="60" w:type="dxa"/>
              <w:right w:w="60" w:type="dxa"/>
            </w:tcMar>
            <w:vAlign w:val="center"/>
          </w:tcPr>
          <w:p w14:paraId="1FBB4A34" w14:textId="77777777" w:rsidR="00340B6A" w:rsidRDefault="00340B6A" w:rsidP="00340B6A">
            <w:pPr>
              <w:pStyle w:val="DMETW36778BIPInstitutions2Commitments"/>
              <w:rPr>
                <w:rFonts w:ascii="Verdana" w:eastAsia="Verdana" w:hAnsi="Verdana" w:cs="Verdana"/>
                <w:b/>
                <w:noProof/>
                <w:color w:val="000000"/>
                <w:sz w:val="16"/>
              </w:rPr>
            </w:pPr>
            <w:r>
              <w:rPr>
                <w:rFonts w:ascii="Verdana" w:eastAsia="Verdana" w:hAnsi="Verdana" w:cs="Verdana"/>
                <w:b/>
                <w:noProof/>
                <w:color w:val="000000"/>
                <w:sz w:val="16"/>
              </w:rPr>
              <w:t>Sum:</w:t>
            </w:r>
          </w:p>
        </w:tc>
        <w:tc>
          <w:tcPr>
            <w:tcW w:w="4889" w:type="dxa"/>
            <w:tcBorders>
              <w:top w:val="nil"/>
              <w:left w:val="nil"/>
              <w:bottom w:val="nil"/>
              <w:right w:val="nil"/>
              <w:tl2br w:val="nil"/>
              <w:tr2bl w:val="nil"/>
            </w:tcBorders>
            <w:shd w:val="solid" w:color="CCE1EA" w:fill="FFFFFF"/>
            <w:tcMar>
              <w:left w:w="60" w:type="dxa"/>
              <w:right w:w="60" w:type="dxa"/>
            </w:tcMar>
            <w:vAlign w:val="center"/>
          </w:tcPr>
          <w:p w14:paraId="6F1A6143"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228 104</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62124644"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196 083</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721E9383"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1 580</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1A0E0F9D"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14 454</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2879B9CD"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212 116</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60D9B70D"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93 %</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1B5055CD"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2 126</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73F85869"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12 379</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1964A42A"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14 505</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44FAA803"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1 206</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5F0C633D"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 xml:space="preserve"> 33</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7948076E"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 xml:space="preserve"> 237</w:t>
            </w:r>
          </w:p>
        </w:tc>
        <w:tc>
          <w:tcPr>
            <w:tcW w:w="713" w:type="dxa"/>
            <w:tcBorders>
              <w:top w:val="nil"/>
              <w:left w:val="nil"/>
              <w:bottom w:val="nil"/>
              <w:right w:val="nil"/>
              <w:tl2br w:val="nil"/>
              <w:tr2bl w:val="nil"/>
            </w:tcBorders>
            <w:shd w:val="solid" w:color="CCE1EA" w:fill="FFFFFF"/>
            <w:tcMar>
              <w:left w:w="60" w:type="dxa"/>
              <w:right w:w="60" w:type="dxa"/>
            </w:tcMar>
            <w:vAlign w:val="center"/>
          </w:tcPr>
          <w:p w14:paraId="5B51F2DB" w14:textId="77777777" w:rsidR="00340B6A" w:rsidRDefault="00340B6A" w:rsidP="00340B6A">
            <w:pPr>
              <w:pStyle w:val="DMETW36778BIPInstitutions2Commitments"/>
              <w:jc w:val="right"/>
              <w:rPr>
                <w:rFonts w:ascii="Verdana" w:eastAsia="Verdana" w:hAnsi="Verdana" w:cs="Verdana"/>
                <w:b/>
                <w:noProof/>
                <w:color w:val="000000"/>
                <w:sz w:val="16"/>
              </w:rPr>
            </w:pPr>
            <w:r>
              <w:rPr>
                <w:rFonts w:ascii="Verdana" w:eastAsia="Verdana" w:hAnsi="Verdana" w:cs="Verdana"/>
                <w:b/>
                <w:noProof/>
                <w:color w:val="000000"/>
                <w:sz w:val="16"/>
              </w:rPr>
              <w:t>1 476</w:t>
            </w:r>
          </w:p>
        </w:tc>
      </w:tr>
    </w:tbl>
    <w:p w14:paraId="0652167C" w14:textId="77777777" w:rsidR="00B23DCC" w:rsidRPr="009E688D" w:rsidRDefault="00B23DCC" w:rsidP="00B23DCC">
      <w:pPr>
        <w:pStyle w:val="Textstand-alone"/>
      </w:pPr>
    </w:p>
    <w:p w14:paraId="163548A0" w14:textId="77777777" w:rsidR="00B23DCC" w:rsidRPr="009E688D" w:rsidRDefault="00023E71" w:rsidP="00B23DCC">
      <w:pPr>
        <w:pStyle w:val="Textstand-alone"/>
        <w:rPr>
          <w:lang w:bidi="en-GB"/>
        </w:rPr>
        <w:sectPr w:rsidR="00B23DCC" w:rsidRPr="009E688D" w:rsidSect="00B23DCC">
          <w:headerReference w:type="default" r:id="rId182"/>
          <w:footerReference w:type="default" r:id="rId183"/>
          <w:type w:val="nextColumn"/>
          <w:pgSz w:w="16840" w:h="11900" w:orient="landscape"/>
          <w:pgMar w:top="1134" w:right="1134" w:bottom="1134" w:left="1134" w:header="720" w:footer="720" w:gutter="0"/>
          <w:cols w:space="720"/>
        </w:sectPr>
      </w:pPr>
      <w:r>
        <w:rPr>
          <w:lang w:bidi="en-GB"/>
        </w:rPr>
        <w:t xml:space="preserve">       </w:t>
      </w:r>
    </w:p>
    <w:p w14:paraId="152FD0BC" w14:textId="77777777" w:rsidR="00B23DCC" w:rsidRPr="00D838EE" w:rsidRDefault="00023E71" w:rsidP="00B23DCC">
      <w:pPr>
        <w:pStyle w:val="HEADER2PartBUDG"/>
        <w:rPr>
          <w:noProof/>
        </w:rPr>
      </w:pPr>
      <w:bookmarkStart w:id="323" w:name="_Toc232674403"/>
      <w:r w:rsidRPr="00D838EE">
        <w:rPr>
          <w:noProof/>
        </w:rPr>
        <w:t>IMPLEMENTATION OF PAYMENT APPROPRIATIONS</w:t>
      </w:r>
      <w:bookmarkEnd w:id="323"/>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1"/>
        <w:gridCol w:w="4468"/>
        <w:gridCol w:w="651"/>
        <w:gridCol w:w="652"/>
        <w:gridCol w:w="652"/>
        <w:gridCol w:w="652"/>
        <w:gridCol w:w="652"/>
        <w:gridCol w:w="652"/>
        <w:gridCol w:w="652"/>
        <w:gridCol w:w="652"/>
        <w:gridCol w:w="652"/>
        <w:gridCol w:w="652"/>
        <w:gridCol w:w="652"/>
        <w:gridCol w:w="652"/>
      </w:tblGrid>
      <w:tr w:rsidR="00340B6A" w14:paraId="25579414" w14:textId="77777777" w:rsidTr="00340B6A">
        <w:trPr>
          <w:trHeight w:val="255"/>
        </w:trPr>
        <w:tc>
          <w:tcPr>
            <w:tcW w:w="2401" w:type="dxa"/>
            <w:tcBorders>
              <w:top w:val="nil"/>
              <w:left w:val="nil"/>
              <w:bottom w:val="nil"/>
              <w:right w:val="nil"/>
              <w:tl2br w:val="nil"/>
              <w:tr2bl w:val="nil"/>
            </w:tcBorders>
            <w:shd w:val="clear" w:color="auto" w:fill="auto"/>
            <w:tcMar>
              <w:left w:w="60" w:type="dxa"/>
              <w:right w:w="60" w:type="dxa"/>
            </w:tcMar>
            <w:vAlign w:val="center"/>
          </w:tcPr>
          <w:p w14:paraId="4B1B5DA6" w14:textId="77777777" w:rsidR="00340B6A" w:rsidRDefault="00340B6A">
            <w:pPr>
              <w:pStyle w:val="DMETW36778BIPInstitutions3Payments"/>
              <w:jc w:val="center"/>
              <w:rPr>
                <w:rFonts w:ascii="Verdana" w:eastAsia="Verdana" w:hAnsi="Verdana" w:cs="Verdana"/>
                <w:noProof/>
                <w:color w:val="FFFFFF"/>
                <w:sz w:val="16"/>
                <w:lang w:bidi="en-GB"/>
              </w:rPr>
            </w:pPr>
          </w:p>
        </w:tc>
        <w:tc>
          <w:tcPr>
            <w:tcW w:w="4468" w:type="dxa"/>
            <w:tcBorders>
              <w:top w:val="nil"/>
              <w:left w:val="nil"/>
              <w:bottom w:val="nil"/>
              <w:right w:val="nil"/>
              <w:tl2br w:val="nil"/>
              <w:tr2bl w:val="nil"/>
            </w:tcBorders>
            <w:shd w:val="clear" w:color="auto" w:fill="auto"/>
            <w:tcMar>
              <w:left w:w="60" w:type="dxa"/>
              <w:right w:w="60" w:type="dxa"/>
            </w:tcMar>
            <w:vAlign w:val="center"/>
          </w:tcPr>
          <w:p w14:paraId="73E4780D" w14:textId="77777777" w:rsidR="00340B6A" w:rsidRDefault="00340B6A">
            <w:pPr>
              <w:pStyle w:val="DMETW36778BIPInstitutions3Payments"/>
              <w:jc w:val="center"/>
              <w:rPr>
                <w:rFonts w:ascii="Verdana" w:eastAsia="Verdana" w:hAnsi="Verdana" w:cs="Verdana"/>
                <w:b/>
                <w:noProof/>
                <w:color w:val="FFFFFF"/>
                <w:sz w:val="16"/>
              </w:rPr>
            </w:pPr>
          </w:p>
        </w:tc>
        <w:tc>
          <w:tcPr>
            <w:tcW w:w="3259" w:type="dxa"/>
            <w:gridSpan w:val="5"/>
            <w:tcBorders>
              <w:top w:val="nil"/>
              <w:left w:val="nil"/>
              <w:bottom w:val="nil"/>
              <w:right w:val="nil"/>
              <w:tl2br w:val="nil"/>
              <w:tr2bl w:val="nil"/>
            </w:tcBorders>
            <w:shd w:val="clear" w:color="auto" w:fill="auto"/>
            <w:tcMar>
              <w:left w:w="60" w:type="dxa"/>
              <w:right w:w="60" w:type="dxa"/>
            </w:tcMar>
            <w:vAlign w:val="center"/>
          </w:tcPr>
          <w:p w14:paraId="1EDE8741" w14:textId="77777777" w:rsidR="00340B6A" w:rsidRDefault="00340B6A">
            <w:pPr>
              <w:pStyle w:val="DMETW36778BIPInstitutions3Payments"/>
              <w:jc w:val="center"/>
              <w:rPr>
                <w:rFonts w:ascii="Verdana" w:eastAsia="Verdana" w:hAnsi="Verdana" w:cs="Verdana"/>
                <w:b/>
                <w:noProof/>
                <w:color w:val="FFFFFF"/>
                <w:sz w:val="16"/>
              </w:rPr>
            </w:pPr>
          </w:p>
        </w:tc>
        <w:tc>
          <w:tcPr>
            <w:tcW w:w="1956" w:type="dxa"/>
            <w:gridSpan w:val="3"/>
            <w:tcBorders>
              <w:top w:val="nil"/>
              <w:left w:val="nil"/>
              <w:bottom w:val="nil"/>
              <w:right w:val="nil"/>
              <w:tl2br w:val="nil"/>
              <w:tr2bl w:val="nil"/>
            </w:tcBorders>
            <w:shd w:val="clear" w:color="auto" w:fill="auto"/>
            <w:tcMar>
              <w:left w:w="60" w:type="dxa"/>
              <w:right w:w="60" w:type="dxa"/>
            </w:tcMar>
            <w:vAlign w:val="center"/>
          </w:tcPr>
          <w:p w14:paraId="59F79E41" w14:textId="77777777" w:rsidR="00340B6A" w:rsidRDefault="00340B6A">
            <w:pPr>
              <w:pStyle w:val="DMETW36778BIPInstitutions3Payments"/>
              <w:jc w:val="center"/>
              <w:rPr>
                <w:rFonts w:ascii="Verdana" w:eastAsia="Verdana" w:hAnsi="Verdana" w:cs="Verdana"/>
                <w:b/>
                <w:noProof/>
                <w:color w:val="FFFFFF"/>
                <w:sz w:val="16"/>
              </w:rPr>
            </w:pPr>
          </w:p>
        </w:tc>
        <w:tc>
          <w:tcPr>
            <w:tcW w:w="2608" w:type="dxa"/>
            <w:gridSpan w:val="4"/>
            <w:tcBorders>
              <w:top w:val="nil"/>
              <w:left w:val="nil"/>
              <w:bottom w:val="nil"/>
              <w:right w:val="nil"/>
              <w:tl2br w:val="nil"/>
              <w:tr2bl w:val="nil"/>
            </w:tcBorders>
            <w:shd w:val="clear" w:color="auto" w:fill="auto"/>
            <w:tcMar>
              <w:left w:w="60" w:type="dxa"/>
              <w:right w:w="60" w:type="dxa"/>
            </w:tcMar>
            <w:vAlign w:val="center"/>
          </w:tcPr>
          <w:p w14:paraId="0B7F150F" w14:textId="1E66721C" w:rsidR="00340B6A" w:rsidRPr="00340B6A" w:rsidRDefault="00340B6A" w:rsidP="00340B6A">
            <w:pPr>
              <w:pStyle w:val="DMETW36778BIPInstitutions3Payments"/>
              <w:jc w:val="right"/>
              <w:rPr>
                <w:rFonts w:ascii="Verdana" w:eastAsia="Verdana" w:hAnsi="Verdana" w:cs="Verdana"/>
                <w:bCs/>
                <w:i/>
                <w:iCs/>
                <w:noProof/>
                <w:color w:val="000000" w:themeColor="text1"/>
                <w:sz w:val="16"/>
              </w:rPr>
            </w:pPr>
            <w:r>
              <w:rPr>
                <w:rFonts w:ascii="Verdana" w:eastAsia="Verdana" w:hAnsi="Verdana" w:cs="Verdana"/>
                <w:bCs/>
                <w:i/>
                <w:iCs/>
                <w:noProof/>
                <w:color w:val="000000" w:themeColor="text1"/>
                <w:sz w:val="16"/>
              </w:rPr>
              <w:t>EUR million</w:t>
            </w:r>
          </w:p>
        </w:tc>
      </w:tr>
      <w:tr w:rsidR="00807FFE" w14:paraId="41CF30E9" w14:textId="77777777" w:rsidTr="00340B6A">
        <w:trPr>
          <w:trHeight w:val="255"/>
        </w:trPr>
        <w:tc>
          <w:tcPr>
            <w:tcW w:w="2401" w:type="dxa"/>
            <w:tcBorders>
              <w:top w:val="nil"/>
              <w:left w:val="nil"/>
              <w:bottom w:val="nil"/>
              <w:right w:val="nil"/>
              <w:tl2br w:val="nil"/>
              <w:tr2bl w:val="nil"/>
            </w:tcBorders>
            <w:shd w:val="solid" w:color="016794" w:fill="FFFFFF"/>
            <w:tcMar>
              <w:left w:w="60" w:type="dxa"/>
              <w:right w:w="60" w:type="dxa"/>
            </w:tcMar>
            <w:vAlign w:val="center"/>
          </w:tcPr>
          <w:p w14:paraId="66676F05" w14:textId="77777777" w:rsidR="00807FFE" w:rsidRDefault="00807FFE">
            <w:pPr>
              <w:pStyle w:val="DMETW36778BIPInstitutions3Payments"/>
              <w:jc w:val="center"/>
              <w:rPr>
                <w:rFonts w:ascii="Verdana" w:eastAsia="Verdana" w:hAnsi="Verdana" w:cs="Verdana"/>
                <w:noProof/>
                <w:color w:val="FFFFFF"/>
                <w:sz w:val="16"/>
                <w:lang w:bidi="en-GB"/>
              </w:rPr>
            </w:pPr>
            <w:bookmarkStart w:id="324" w:name="DOC_TBL00126_1_1"/>
            <w:bookmarkEnd w:id="324"/>
          </w:p>
        </w:tc>
        <w:tc>
          <w:tcPr>
            <w:tcW w:w="4468" w:type="dxa"/>
            <w:vMerge w:val="restart"/>
            <w:tcBorders>
              <w:top w:val="nil"/>
              <w:left w:val="nil"/>
              <w:bottom w:val="nil"/>
              <w:right w:val="nil"/>
              <w:tl2br w:val="nil"/>
              <w:tr2bl w:val="nil"/>
            </w:tcBorders>
            <w:shd w:val="solid" w:color="016794" w:fill="FFFFFF"/>
            <w:tcMar>
              <w:left w:w="60" w:type="dxa"/>
              <w:right w:w="60" w:type="dxa"/>
            </w:tcMar>
            <w:vAlign w:val="center"/>
          </w:tcPr>
          <w:p w14:paraId="291B11E6" w14:textId="77777777" w:rsidR="00807FFE" w:rsidRDefault="00023E71">
            <w:pPr>
              <w:pStyle w:val="DMETW36778BIPInstitutions3Payments"/>
              <w:jc w:val="center"/>
              <w:rPr>
                <w:rFonts w:ascii="Verdana" w:eastAsia="Verdana" w:hAnsi="Verdana" w:cs="Verdana"/>
                <w:b/>
                <w:noProof/>
                <w:color w:val="FFFFFF"/>
                <w:sz w:val="16"/>
              </w:rPr>
            </w:pPr>
            <w:r>
              <w:rPr>
                <w:rFonts w:ascii="Verdana" w:eastAsia="Verdana" w:hAnsi="Verdana" w:cs="Verdana"/>
                <w:b/>
                <w:noProof/>
                <w:color w:val="FFFFFF"/>
                <w:sz w:val="16"/>
              </w:rPr>
              <w:t>Total appropr. available</w:t>
            </w:r>
          </w:p>
        </w:tc>
        <w:tc>
          <w:tcPr>
            <w:tcW w:w="3259" w:type="dxa"/>
            <w:gridSpan w:val="5"/>
            <w:tcBorders>
              <w:top w:val="nil"/>
              <w:left w:val="nil"/>
              <w:bottom w:val="nil"/>
              <w:right w:val="nil"/>
              <w:tl2br w:val="nil"/>
              <w:tr2bl w:val="nil"/>
            </w:tcBorders>
            <w:shd w:val="solid" w:color="016794" w:fill="FFFFFF"/>
            <w:tcMar>
              <w:left w:w="60" w:type="dxa"/>
              <w:right w:w="60" w:type="dxa"/>
            </w:tcMar>
            <w:vAlign w:val="center"/>
          </w:tcPr>
          <w:p w14:paraId="0E8A5A6E" w14:textId="77777777" w:rsidR="00807FFE" w:rsidRDefault="00023E71">
            <w:pPr>
              <w:pStyle w:val="DMETW36778BIPInstitutions3Payments"/>
              <w:jc w:val="center"/>
              <w:rPr>
                <w:rFonts w:ascii="Verdana" w:eastAsia="Verdana" w:hAnsi="Verdana" w:cs="Verdana"/>
                <w:b/>
                <w:noProof/>
                <w:color w:val="FFFFFF"/>
                <w:sz w:val="16"/>
              </w:rPr>
            </w:pPr>
            <w:r>
              <w:rPr>
                <w:rFonts w:ascii="Verdana" w:eastAsia="Verdana" w:hAnsi="Verdana" w:cs="Verdana"/>
                <w:b/>
                <w:noProof/>
                <w:color w:val="FFFFFF"/>
                <w:sz w:val="16"/>
              </w:rPr>
              <w:t>Payments made</w:t>
            </w:r>
          </w:p>
        </w:tc>
        <w:tc>
          <w:tcPr>
            <w:tcW w:w="1956" w:type="dxa"/>
            <w:gridSpan w:val="3"/>
            <w:tcBorders>
              <w:top w:val="nil"/>
              <w:left w:val="nil"/>
              <w:bottom w:val="nil"/>
              <w:right w:val="nil"/>
              <w:tl2br w:val="nil"/>
              <w:tr2bl w:val="nil"/>
            </w:tcBorders>
            <w:shd w:val="solid" w:color="016794" w:fill="FFFFFF"/>
            <w:tcMar>
              <w:left w:w="60" w:type="dxa"/>
              <w:right w:w="60" w:type="dxa"/>
            </w:tcMar>
            <w:vAlign w:val="center"/>
          </w:tcPr>
          <w:p w14:paraId="6CBBF870" w14:textId="77777777" w:rsidR="00807FFE" w:rsidRDefault="00023E71">
            <w:pPr>
              <w:pStyle w:val="DMETW36778BIPInstitutions3Payments"/>
              <w:jc w:val="center"/>
              <w:rPr>
                <w:rFonts w:ascii="Verdana" w:eastAsia="Verdana" w:hAnsi="Verdana" w:cs="Verdana"/>
                <w:b/>
                <w:noProof/>
                <w:color w:val="FFFFFF"/>
                <w:sz w:val="16"/>
              </w:rPr>
            </w:pPr>
            <w:r>
              <w:rPr>
                <w:rFonts w:ascii="Verdana" w:eastAsia="Verdana" w:hAnsi="Verdana" w:cs="Verdana"/>
                <w:b/>
                <w:noProof/>
                <w:color w:val="FFFFFF"/>
                <w:sz w:val="16"/>
              </w:rPr>
              <w:t>Appropriations carried over</w:t>
            </w:r>
          </w:p>
          <w:p w14:paraId="0236CFA9" w14:textId="77777777" w:rsidR="00807FFE" w:rsidRDefault="00023E71">
            <w:pPr>
              <w:pStyle w:val="DMETW36778BIPInstitutions3Payments"/>
              <w:jc w:val="center"/>
              <w:rPr>
                <w:rFonts w:ascii="Verdana" w:eastAsia="Verdana" w:hAnsi="Verdana" w:cs="Verdana"/>
                <w:b/>
                <w:noProof/>
                <w:color w:val="FFFFFF"/>
                <w:sz w:val="16"/>
              </w:rPr>
            </w:pPr>
            <w:r>
              <w:rPr>
                <w:rFonts w:ascii="Verdana" w:eastAsia="Verdana" w:hAnsi="Verdana" w:cs="Verdana"/>
                <w:b/>
                <w:noProof/>
                <w:color w:val="FFFFFF"/>
                <w:sz w:val="16"/>
              </w:rPr>
              <w:t>to 2026</w:t>
            </w:r>
          </w:p>
        </w:tc>
        <w:tc>
          <w:tcPr>
            <w:tcW w:w="2608" w:type="dxa"/>
            <w:gridSpan w:val="4"/>
            <w:tcBorders>
              <w:top w:val="nil"/>
              <w:left w:val="nil"/>
              <w:bottom w:val="nil"/>
              <w:right w:val="nil"/>
              <w:tl2br w:val="nil"/>
              <w:tr2bl w:val="nil"/>
            </w:tcBorders>
            <w:shd w:val="solid" w:color="016794" w:fill="FFFFFF"/>
            <w:tcMar>
              <w:left w:w="60" w:type="dxa"/>
              <w:right w:w="60" w:type="dxa"/>
            </w:tcMar>
            <w:vAlign w:val="center"/>
          </w:tcPr>
          <w:p w14:paraId="0BC93A53" w14:textId="77777777" w:rsidR="00807FFE" w:rsidRDefault="00023E71">
            <w:pPr>
              <w:pStyle w:val="DMETW36778BIPInstitutions3Payments"/>
              <w:jc w:val="center"/>
              <w:rPr>
                <w:rFonts w:ascii="Verdana" w:eastAsia="Verdana" w:hAnsi="Verdana" w:cs="Verdana"/>
                <w:b/>
                <w:noProof/>
                <w:color w:val="FFFFFF"/>
                <w:sz w:val="16"/>
                <w:lang w:bidi="en-GB"/>
              </w:rPr>
            </w:pPr>
            <w:r>
              <w:rPr>
                <w:rFonts w:ascii="Verdana" w:eastAsia="Verdana" w:hAnsi="Verdana" w:cs="Verdana"/>
                <w:b/>
                <w:noProof/>
                <w:color w:val="FFFFFF"/>
                <w:sz w:val="16"/>
              </w:rPr>
              <w:t>Appropriations lapsing</w:t>
            </w:r>
          </w:p>
        </w:tc>
      </w:tr>
      <w:tr w:rsidR="00807FFE" w14:paraId="192D65BF" w14:textId="77777777" w:rsidTr="00340B6A">
        <w:trPr>
          <w:trHeight w:val="255"/>
        </w:trPr>
        <w:tc>
          <w:tcPr>
            <w:tcW w:w="2401" w:type="dxa"/>
            <w:tcBorders>
              <w:top w:val="nil"/>
              <w:left w:val="nil"/>
              <w:bottom w:val="nil"/>
              <w:right w:val="nil"/>
              <w:tl2br w:val="nil"/>
              <w:tr2bl w:val="nil"/>
            </w:tcBorders>
            <w:shd w:val="solid" w:color="016794" w:fill="FFFFFF"/>
            <w:tcMar>
              <w:left w:w="60" w:type="dxa"/>
              <w:right w:w="60" w:type="dxa"/>
            </w:tcMar>
            <w:vAlign w:val="center"/>
          </w:tcPr>
          <w:p w14:paraId="4494324D" w14:textId="77777777" w:rsidR="00807FFE" w:rsidRDefault="00807FFE">
            <w:pPr>
              <w:pStyle w:val="DMETW36778BIPInstitutions3Payments"/>
              <w:jc w:val="center"/>
              <w:rPr>
                <w:rFonts w:ascii="Verdana" w:eastAsia="Verdana" w:hAnsi="Verdana" w:cs="Verdana"/>
                <w:noProof/>
                <w:color w:val="FFFFFF"/>
                <w:sz w:val="16"/>
              </w:rPr>
            </w:pPr>
          </w:p>
        </w:tc>
        <w:tc>
          <w:tcPr>
            <w:tcW w:w="4468" w:type="dxa"/>
            <w:vMerge/>
            <w:tcBorders>
              <w:top w:val="nil"/>
              <w:left w:val="nil"/>
              <w:bottom w:val="nil"/>
              <w:right w:val="nil"/>
              <w:tl2br w:val="nil"/>
              <w:tr2bl w:val="nil"/>
            </w:tcBorders>
            <w:shd w:val="solid" w:color="016794" w:fill="FFFFFF"/>
            <w:tcMar>
              <w:left w:w="60" w:type="dxa"/>
              <w:right w:w="60" w:type="dxa"/>
            </w:tcMar>
            <w:vAlign w:val="center"/>
          </w:tcPr>
          <w:p w14:paraId="045A9276" w14:textId="77777777" w:rsidR="00807FFE" w:rsidRDefault="00807FFE">
            <w:pPr>
              <w:pStyle w:val="DMETW36778BIPInstitutions3Payments"/>
              <w:jc w:val="center"/>
              <w:rPr>
                <w:rFonts w:ascii="Verdana" w:eastAsia="Verdana" w:hAnsi="Verdana" w:cs="Verdana"/>
                <w:b/>
                <w:noProof/>
                <w:color w:val="FFFFFF"/>
                <w:sz w:val="16"/>
              </w:rPr>
            </w:pPr>
          </w:p>
        </w:tc>
        <w:tc>
          <w:tcPr>
            <w:tcW w:w="651" w:type="dxa"/>
            <w:tcBorders>
              <w:top w:val="nil"/>
              <w:left w:val="nil"/>
              <w:bottom w:val="nil"/>
              <w:right w:val="nil"/>
              <w:tl2br w:val="nil"/>
              <w:tr2bl w:val="nil"/>
            </w:tcBorders>
            <w:shd w:val="solid" w:color="016794" w:fill="FFFFFF"/>
            <w:tcMar>
              <w:left w:w="60" w:type="dxa"/>
              <w:right w:w="60" w:type="dxa"/>
            </w:tcMar>
            <w:vAlign w:val="center"/>
          </w:tcPr>
          <w:p w14:paraId="21B16E38"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2EDE1A69"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from carry-overs</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19A7ED3D"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5A44EE63"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217A32C5"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67FA6B22"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0CECE0B4"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76751BB3"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Total</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05B498B8"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from final adopted budget</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7C537387"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from carry- overs</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2883F416"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from assigned revenue</w:t>
            </w:r>
          </w:p>
        </w:tc>
        <w:tc>
          <w:tcPr>
            <w:tcW w:w="652" w:type="dxa"/>
            <w:tcBorders>
              <w:top w:val="nil"/>
              <w:left w:val="nil"/>
              <w:bottom w:val="nil"/>
              <w:right w:val="nil"/>
              <w:tl2br w:val="nil"/>
              <w:tr2bl w:val="nil"/>
            </w:tcBorders>
            <w:shd w:val="solid" w:color="016794" w:fill="FFFFFF"/>
            <w:tcMar>
              <w:left w:w="60" w:type="dxa"/>
              <w:right w:w="60" w:type="dxa"/>
            </w:tcMar>
            <w:vAlign w:val="center"/>
          </w:tcPr>
          <w:p w14:paraId="6937B526" w14:textId="77777777" w:rsidR="00807FFE" w:rsidRDefault="00023E71">
            <w:pPr>
              <w:pStyle w:val="DMETW36778BIPInstitutions3Payments"/>
              <w:jc w:val="center"/>
              <w:rPr>
                <w:rFonts w:ascii="Verdana" w:eastAsia="Verdana" w:hAnsi="Verdana" w:cs="Verdana"/>
                <w:noProof/>
                <w:color w:val="FFFFFF"/>
                <w:sz w:val="16"/>
                <w:lang w:bidi="en-GB"/>
              </w:rPr>
            </w:pPr>
            <w:r>
              <w:rPr>
                <w:rFonts w:ascii="Verdana" w:eastAsia="Verdana" w:hAnsi="Verdana" w:cs="Verdana"/>
                <w:noProof/>
                <w:color w:val="FFFFFF"/>
                <w:sz w:val="16"/>
              </w:rPr>
              <w:t>Total</w:t>
            </w:r>
          </w:p>
        </w:tc>
      </w:tr>
      <w:tr w:rsidR="00807FFE" w14:paraId="4C13AFE2" w14:textId="77777777" w:rsidTr="00340B6A">
        <w:trPr>
          <w:trHeight w:val="255"/>
        </w:trPr>
        <w:tc>
          <w:tcPr>
            <w:tcW w:w="2401" w:type="dxa"/>
            <w:tcBorders>
              <w:top w:val="nil"/>
              <w:left w:val="nil"/>
              <w:bottom w:val="nil"/>
              <w:right w:val="nil"/>
              <w:tl2br w:val="nil"/>
              <w:tr2bl w:val="nil"/>
            </w:tcBorders>
            <w:shd w:val="solid" w:color="3486A9" w:fill="FFFFFF"/>
            <w:tcMar>
              <w:left w:w="60" w:type="dxa"/>
              <w:right w:w="60" w:type="dxa"/>
            </w:tcMar>
            <w:vAlign w:val="center"/>
          </w:tcPr>
          <w:p w14:paraId="7DA51C49" w14:textId="77777777" w:rsidR="00807FFE" w:rsidRDefault="00807FFE">
            <w:pPr>
              <w:pStyle w:val="DMETW36778BIPInstitutions3Payments"/>
              <w:jc w:val="center"/>
              <w:rPr>
                <w:rFonts w:ascii="Verdana" w:eastAsia="Verdana" w:hAnsi="Verdana" w:cs="Verdana"/>
                <w:noProof/>
                <w:color w:val="FFFFFF"/>
                <w:sz w:val="16"/>
              </w:rPr>
            </w:pPr>
          </w:p>
        </w:tc>
        <w:tc>
          <w:tcPr>
            <w:tcW w:w="4468" w:type="dxa"/>
            <w:tcBorders>
              <w:top w:val="nil"/>
              <w:left w:val="nil"/>
              <w:bottom w:val="nil"/>
              <w:right w:val="nil"/>
              <w:tl2br w:val="nil"/>
              <w:tr2bl w:val="nil"/>
            </w:tcBorders>
            <w:shd w:val="solid" w:color="3486A9" w:fill="FFFFFF"/>
            <w:tcMar>
              <w:left w:w="60" w:type="dxa"/>
              <w:right w:w="60" w:type="dxa"/>
            </w:tcMar>
            <w:vAlign w:val="center"/>
          </w:tcPr>
          <w:p w14:paraId="423B1CCC"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1</w:t>
            </w:r>
          </w:p>
        </w:tc>
        <w:tc>
          <w:tcPr>
            <w:tcW w:w="651" w:type="dxa"/>
            <w:tcBorders>
              <w:top w:val="nil"/>
              <w:left w:val="nil"/>
              <w:bottom w:val="nil"/>
              <w:right w:val="nil"/>
              <w:tl2br w:val="nil"/>
              <w:tr2bl w:val="nil"/>
            </w:tcBorders>
            <w:shd w:val="solid" w:color="3486A9" w:fill="FFFFFF"/>
            <w:tcMar>
              <w:left w:w="60" w:type="dxa"/>
              <w:right w:w="60" w:type="dxa"/>
            </w:tcMar>
            <w:vAlign w:val="center"/>
          </w:tcPr>
          <w:p w14:paraId="70CC96BF"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2</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73C01904"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3</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2B8CA391"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4</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4D6BC7EB"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5=2+3+4</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3AE15ED5"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6=5/1</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72FFF0C3"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7</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5FC44B72"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8</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088F2FC1"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9</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7827C2B2"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10</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286520B9"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11</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4AA52F00"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12</w:t>
            </w:r>
          </w:p>
        </w:tc>
        <w:tc>
          <w:tcPr>
            <w:tcW w:w="652" w:type="dxa"/>
            <w:tcBorders>
              <w:top w:val="nil"/>
              <w:left w:val="nil"/>
              <w:bottom w:val="nil"/>
              <w:right w:val="nil"/>
              <w:tl2br w:val="nil"/>
              <w:tr2bl w:val="nil"/>
            </w:tcBorders>
            <w:shd w:val="solid" w:color="3486A9" w:fill="FFFFFF"/>
            <w:tcMar>
              <w:left w:w="60" w:type="dxa"/>
              <w:right w:w="60" w:type="dxa"/>
            </w:tcMar>
            <w:vAlign w:val="center"/>
          </w:tcPr>
          <w:p w14:paraId="3E08EC04" w14:textId="77777777" w:rsidR="00807FFE" w:rsidRDefault="00023E71">
            <w:pPr>
              <w:pStyle w:val="DMETW36778BIPInstitutions3Payments"/>
              <w:jc w:val="center"/>
              <w:rPr>
                <w:rFonts w:ascii="Verdana" w:eastAsia="Verdana" w:hAnsi="Verdana" w:cs="Verdana"/>
                <w:noProof/>
                <w:color w:val="FFFFFF"/>
                <w:sz w:val="16"/>
              </w:rPr>
            </w:pPr>
            <w:r>
              <w:rPr>
                <w:rFonts w:ascii="Verdana" w:eastAsia="Verdana" w:hAnsi="Verdana" w:cs="Verdana"/>
                <w:noProof/>
                <w:color w:val="FFFFFF"/>
                <w:sz w:val="16"/>
              </w:rPr>
              <w:t>13=10+</w:t>
            </w:r>
          </w:p>
          <w:p w14:paraId="77532732" w14:textId="77777777" w:rsidR="00807FFE" w:rsidRDefault="00023E71">
            <w:pPr>
              <w:pStyle w:val="DMETW36778BIPInstitutions3Payments"/>
              <w:jc w:val="center"/>
              <w:rPr>
                <w:rFonts w:ascii="Verdana" w:eastAsia="Verdana" w:hAnsi="Verdana" w:cs="Verdana"/>
                <w:noProof/>
                <w:color w:val="FFFFFF"/>
                <w:sz w:val="16"/>
                <w:lang w:bidi="en-GB"/>
              </w:rPr>
            </w:pPr>
            <w:r>
              <w:rPr>
                <w:rFonts w:ascii="Verdana" w:eastAsia="Verdana" w:hAnsi="Verdana" w:cs="Verdana"/>
                <w:noProof/>
                <w:color w:val="FFFFFF"/>
                <w:sz w:val="16"/>
              </w:rPr>
              <w:t>11+12</w:t>
            </w:r>
          </w:p>
        </w:tc>
      </w:tr>
      <w:tr w:rsidR="00807FFE" w14:paraId="40F73E30"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2A4F61B8"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Parliament</w:t>
            </w:r>
          </w:p>
        </w:tc>
        <w:tc>
          <w:tcPr>
            <w:tcW w:w="4468" w:type="dxa"/>
            <w:tcBorders>
              <w:top w:val="nil"/>
              <w:left w:val="nil"/>
              <w:bottom w:val="nil"/>
              <w:right w:val="nil"/>
              <w:tl2br w:val="nil"/>
              <w:tr2bl w:val="nil"/>
            </w:tcBorders>
            <w:tcMar>
              <w:left w:w="60" w:type="dxa"/>
              <w:right w:w="60" w:type="dxa"/>
            </w:tcMar>
            <w:vAlign w:val="center"/>
          </w:tcPr>
          <w:p w14:paraId="4264A9E8"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2 948</w:t>
            </w:r>
          </w:p>
        </w:tc>
        <w:tc>
          <w:tcPr>
            <w:tcW w:w="651" w:type="dxa"/>
            <w:tcBorders>
              <w:top w:val="nil"/>
              <w:left w:val="nil"/>
              <w:bottom w:val="nil"/>
              <w:right w:val="nil"/>
              <w:tl2br w:val="nil"/>
              <w:tr2bl w:val="nil"/>
            </w:tcBorders>
            <w:tcMar>
              <w:left w:w="60" w:type="dxa"/>
              <w:right w:w="60" w:type="dxa"/>
            </w:tcMar>
            <w:vAlign w:val="center"/>
          </w:tcPr>
          <w:p w14:paraId="2AD70FD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2 157</w:t>
            </w:r>
          </w:p>
        </w:tc>
        <w:tc>
          <w:tcPr>
            <w:tcW w:w="652" w:type="dxa"/>
            <w:tcBorders>
              <w:top w:val="nil"/>
              <w:left w:val="nil"/>
              <w:bottom w:val="nil"/>
              <w:right w:val="nil"/>
              <w:tl2br w:val="nil"/>
              <w:tr2bl w:val="nil"/>
            </w:tcBorders>
            <w:tcMar>
              <w:left w:w="60" w:type="dxa"/>
              <w:right w:w="60" w:type="dxa"/>
            </w:tcMar>
            <w:vAlign w:val="center"/>
          </w:tcPr>
          <w:p w14:paraId="178837F3"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307</w:t>
            </w:r>
          </w:p>
        </w:tc>
        <w:tc>
          <w:tcPr>
            <w:tcW w:w="652" w:type="dxa"/>
            <w:tcBorders>
              <w:top w:val="nil"/>
              <w:left w:val="nil"/>
              <w:bottom w:val="nil"/>
              <w:right w:val="nil"/>
              <w:tl2br w:val="nil"/>
              <w:tr2bl w:val="nil"/>
            </w:tcBorders>
            <w:tcMar>
              <w:left w:w="60" w:type="dxa"/>
              <w:right w:w="60" w:type="dxa"/>
            </w:tcMar>
            <w:vAlign w:val="center"/>
          </w:tcPr>
          <w:p w14:paraId="5FD734A0"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652" w:type="dxa"/>
            <w:tcBorders>
              <w:top w:val="nil"/>
              <w:left w:val="nil"/>
              <w:bottom w:val="nil"/>
              <w:right w:val="nil"/>
              <w:tl2br w:val="nil"/>
              <w:tr2bl w:val="nil"/>
            </w:tcBorders>
            <w:tcMar>
              <w:left w:w="60" w:type="dxa"/>
              <w:right w:w="60" w:type="dxa"/>
            </w:tcMar>
            <w:vAlign w:val="center"/>
          </w:tcPr>
          <w:p w14:paraId="5E0AC5AD"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2 504</w:t>
            </w:r>
          </w:p>
        </w:tc>
        <w:tc>
          <w:tcPr>
            <w:tcW w:w="652" w:type="dxa"/>
            <w:tcBorders>
              <w:top w:val="nil"/>
              <w:left w:val="nil"/>
              <w:bottom w:val="nil"/>
              <w:right w:val="nil"/>
              <w:tl2br w:val="nil"/>
              <w:tr2bl w:val="nil"/>
            </w:tcBorders>
            <w:tcMar>
              <w:left w:w="60" w:type="dxa"/>
              <w:right w:w="60" w:type="dxa"/>
            </w:tcMar>
            <w:vAlign w:val="center"/>
          </w:tcPr>
          <w:p w14:paraId="5E4E58B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85 %</w:t>
            </w:r>
          </w:p>
        </w:tc>
        <w:tc>
          <w:tcPr>
            <w:tcW w:w="652" w:type="dxa"/>
            <w:tcBorders>
              <w:top w:val="nil"/>
              <w:left w:val="nil"/>
              <w:bottom w:val="nil"/>
              <w:right w:val="nil"/>
              <w:tl2br w:val="nil"/>
              <w:tr2bl w:val="nil"/>
            </w:tcBorders>
            <w:tcMar>
              <w:left w:w="60" w:type="dxa"/>
              <w:right w:w="60" w:type="dxa"/>
            </w:tcMar>
            <w:vAlign w:val="center"/>
          </w:tcPr>
          <w:p w14:paraId="7EAF0AC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361</w:t>
            </w:r>
          </w:p>
        </w:tc>
        <w:tc>
          <w:tcPr>
            <w:tcW w:w="652" w:type="dxa"/>
            <w:tcBorders>
              <w:top w:val="nil"/>
              <w:left w:val="nil"/>
              <w:bottom w:val="nil"/>
              <w:right w:val="nil"/>
              <w:tl2br w:val="nil"/>
              <w:tr2bl w:val="nil"/>
            </w:tcBorders>
            <w:tcMar>
              <w:left w:w="60" w:type="dxa"/>
              <w:right w:w="60" w:type="dxa"/>
            </w:tcMar>
            <w:vAlign w:val="center"/>
          </w:tcPr>
          <w:p w14:paraId="1C3E2088"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652" w:type="dxa"/>
            <w:tcBorders>
              <w:top w:val="nil"/>
              <w:left w:val="nil"/>
              <w:bottom w:val="nil"/>
              <w:right w:val="nil"/>
              <w:tl2br w:val="nil"/>
              <w:tr2bl w:val="nil"/>
            </w:tcBorders>
            <w:tcMar>
              <w:left w:w="60" w:type="dxa"/>
              <w:right w:w="60" w:type="dxa"/>
            </w:tcMar>
            <w:vAlign w:val="center"/>
          </w:tcPr>
          <w:p w14:paraId="1672D4F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403</w:t>
            </w:r>
          </w:p>
        </w:tc>
        <w:tc>
          <w:tcPr>
            <w:tcW w:w="652" w:type="dxa"/>
            <w:tcBorders>
              <w:top w:val="nil"/>
              <w:left w:val="nil"/>
              <w:bottom w:val="nil"/>
              <w:right w:val="nil"/>
              <w:tl2br w:val="nil"/>
              <w:tr2bl w:val="nil"/>
            </w:tcBorders>
            <w:tcMar>
              <w:left w:w="60" w:type="dxa"/>
              <w:right w:w="60" w:type="dxa"/>
            </w:tcMar>
            <w:vAlign w:val="center"/>
          </w:tcPr>
          <w:p w14:paraId="4E605C6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14:paraId="61C6758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652" w:type="dxa"/>
            <w:tcBorders>
              <w:top w:val="nil"/>
              <w:left w:val="nil"/>
              <w:bottom w:val="nil"/>
              <w:right w:val="nil"/>
              <w:tl2br w:val="nil"/>
              <w:tr2bl w:val="nil"/>
            </w:tcBorders>
            <w:tcMar>
              <w:left w:w="60" w:type="dxa"/>
              <w:right w:w="60" w:type="dxa"/>
            </w:tcMar>
            <w:vAlign w:val="center"/>
          </w:tcPr>
          <w:p w14:paraId="15976ACD"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14:paraId="6CE8FB22"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3CC9D0B1"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6819949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Council</w:t>
            </w:r>
          </w:p>
        </w:tc>
        <w:tc>
          <w:tcPr>
            <w:tcW w:w="4468" w:type="dxa"/>
            <w:tcBorders>
              <w:top w:val="nil"/>
              <w:left w:val="nil"/>
              <w:bottom w:val="nil"/>
              <w:right w:val="nil"/>
              <w:tl2br w:val="nil"/>
              <w:tr2bl w:val="nil"/>
            </w:tcBorders>
            <w:tcMar>
              <w:left w:w="60" w:type="dxa"/>
              <w:right w:w="60" w:type="dxa"/>
            </w:tcMar>
            <w:vAlign w:val="center"/>
          </w:tcPr>
          <w:p w14:paraId="38659CC6"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846</w:t>
            </w:r>
          </w:p>
        </w:tc>
        <w:tc>
          <w:tcPr>
            <w:tcW w:w="651" w:type="dxa"/>
            <w:tcBorders>
              <w:top w:val="nil"/>
              <w:left w:val="nil"/>
              <w:bottom w:val="nil"/>
              <w:right w:val="nil"/>
              <w:tl2br w:val="nil"/>
              <w:tr2bl w:val="nil"/>
            </w:tcBorders>
            <w:tcMar>
              <w:left w:w="60" w:type="dxa"/>
              <w:right w:w="60" w:type="dxa"/>
            </w:tcMar>
            <w:vAlign w:val="center"/>
          </w:tcPr>
          <w:p w14:paraId="2D3C3BD0"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604</w:t>
            </w:r>
          </w:p>
        </w:tc>
        <w:tc>
          <w:tcPr>
            <w:tcW w:w="652" w:type="dxa"/>
            <w:tcBorders>
              <w:top w:val="nil"/>
              <w:left w:val="nil"/>
              <w:bottom w:val="nil"/>
              <w:right w:val="nil"/>
              <w:tl2br w:val="nil"/>
              <w:tr2bl w:val="nil"/>
            </w:tcBorders>
            <w:tcMar>
              <w:left w:w="60" w:type="dxa"/>
              <w:right w:w="60" w:type="dxa"/>
            </w:tcMar>
            <w:vAlign w:val="center"/>
          </w:tcPr>
          <w:p w14:paraId="7ACF52E8"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74</w:t>
            </w:r>
          </w:p>
        </w:tc>
        <w:tc>
          <w:tcPr>
            <w:tcW w:w="652" w:type="dxa"/>
            <w:tcBorders>
              <w:top w:val="nil"/>
              <w:left w:val="nil"/>
              <w:bottom w:val="nil"/>
              <w:right w:val="nil"/>
              <w:tl2br w:val="nil"/>
              <w:tr2bl w:val="nil"/>
            </w:tcBorders>
            <w:tcMar>
              <w:left w:w="60" w:type="dxa"/>
              <w:right w:w="60" w:type="dxa"/>
            </w:tcMar>
            <w:vAlign w:val="center"/>
          </w:tcPr>
          <w:p w14:paraId="7EAC7EE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652" w:type="dxa"/>
            <w:tcBorders>
              <w:top w:val="nil"/>
              <w:left w:val="nil"/>
              <w:bottom w:val="nil"/>
              <w:right w:val="nil"/>
              <w:tl2br w:val="nil"/>
              <w:tr2bl w:val="nil"/>
            </w:tcBorders>
            <w:tcMar>
              <w:left w:w="60" w:type="dxa"/>
              <w:right w:w="60" w:type="dxa"/>
            </w:tcMar>
            <w:vAlign w:val="center"/>
          </w:tcPr>
          <w:p w14:paraId="3A8D17B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703</w:t>
            </w:r>
          </w:p>
        </w:tc>
        <w:tc>
          <w:tcPr>
            <w:tcW w:w="652" w:type="dxa"/>
            <w:tcBorders>
              <w:top w:val="nil"/>
              <w:left w:val="nil"/>
              <w:bottom w:val="nil"/>
              <w:right w:val="nil"/>
              <w:tl2br w:val="nil"/>
              <w:tr2bl w:val="nil"/>
            </w:tcBorders>
            <w:tcMar>
              <w:left w:w="60" w:type="dxa"/>
              <w:right w:w="60" w:type="dxa"/>
            </w:tcMar>
            <w:vAlign w:val="center"/>
          </w:tcPr>
          <w:p w14:paraId="51D2CEE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83 %</w:t>
            </w:r>
          </w:p>
        </w:tc>
        <w:tc>
          <w:tcPr>
            <w:tcW w:w="652" w:type="dxa"/>
            <w:tcBorders>
              <w:top w:val="nil"/>
              <w:left w:val="nil"/>
              <w:bottom w:val="nil"/>
              <w:right w:val="nil"/>
              <w:tl2br w:val="nil"/>
              <w:tr2bl w:val="nil"/>
            </w:tcBorders>
            <w:tcMar>
              <w:left w:w="60" w:type="dxa"/>
              <w:right w:w="60" w:type="dxa"/>
            </w:tcMar>
            <w:vAlign w:val="center"/>
          </w:tcPr>
          <w:p w14:paraId="1F59039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87</w:t>
            </w:r>
          </w:p>
        </w:tc>
        <w:tc>
          <w:tcPr>
            <w:tcW w:w="652" w:type="dxa"/>
            <w:tcBorders>
              <w:top w:val="nil"/>
              <w:left w:val="nil"/>
              <w:bottom w:val="nil"/>
              <w:right w:val="nil"/>
              <w:tl2br w:val="nil"/>
              <w:tr2bl w:val="nil"/>
            </w:tcBorders>
            <w:tcMar>
              <w:left w:w="60" w:type="dxa"/>
              <w:right w:w="60" w:type="dxa"/>
            </w:tcMar>
            <w:vAlign w:val="center"/>
          </w:tcPr>
          <w:p w14:paraId="34EC4347"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652" w:type="dxa"/>
            <w:tcBorders>
              <w:top w:val="nil"/>
              <w:left w:val="nil"/>
              <w:bottom w:val="nil"/>
              <w:right w:val="nil"/>
              <w:tl2br w:val="nil"/>
              <w:tr2bl w:val="nil"/>
            </w:tcBorders>
            <w:tcMar>
              <w:left w:w="60" w:type="dxa"/>
              <w:right w:w="60" w:type="dxa"/>
            </w:tcMar>
            <w:vAlign w:val="center"/>
          </w:tcPr>
          <w:p w14:paraId="66DDB8D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115</w:t>
            </w:r>
          </w:p>
        </w:tc>
        <w:tc>
          <w:tcPr>
            <w:tcW w:w="652" w:type="dxa"/>
            <w:tcBorders>
              <w:top w:val="nil"/>
              <w:left w:val="nil"/>
              <w:bottom w:val="nil"/>
              <w:right w:val="nil"/>
              <w:tl2br w:val="nil"/>
              <w:tr2bl w:val="nil"/>
            </w:tcBorders>
            <w:tcMar>
              <w:left w:w="60" w:type="dxa"/>
              <w:right w:w="60" w:type="dxa"/>
            </w:tcMar>
            <w:vAlign w:val="center"/>
          </w:tcPr>
          <w:p w14:paraId="6308AC80"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652" w:type="dxa"/>
            <w:tcBorders>
              <w:top w:val="nil"/>
              <w:left w:val="nil"/>
              <w:bottom w:val="nil"/>
              <w:right w:val="nil"/>
              <w:tl2br w:val="nil"/>
              <w:tr2bl w:val="nil"/>
            </w:tcBorders>
            <w:tcMar>
              <w:left w:w="60" w:type="dxa"/>
              <w:right w:w="60" w:type="dxa"/>
            </w:tcMar>
            <w:vAlign w:val="center"/>
          </w:tcPr>
          <w:p w14:paraId="5ECEA4A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652" w:type="dxa"/>
            <w:tcBorders>
              <w:top w:val="nil"/>
              <w:left w:val="nil"/>
              <w:bottom w:val="nil"/>
              <w:right w:val="nil"/>
              <w:tl2br w:val="nil"/>
              <w:tr2bl w:val="nil"/>
            </w:tcBorders>
            <w:tcMar>
              <w:left w:w="60" w:type="dxa"/>
              <w:right w:w="60" w:type="dxa"/>
            </w:tcMar>
            <w:vAlign w:val="center"/>
          </w:tcPr>
          <w:p w14:paraId="388EB78A"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5623F70F"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28</w:t>
            </w:r>
          </w:p>
        </w:tc>
      </w:tr>
      <w:tr w:rsidR="00807FFE" w14:paraId="50FFE8D3"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2557F2C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Commission</w:t>
            </w:r>
          </w:p>
        </w:tc>
        <w:tc>
          <w:tcPr>
            <w:tcW w:w="4468" w:type="dxa"/>
            <w:tcBorders>
              <w:top w:val="nil"/>
              <w:left w:val="nil"/>
              <w:bottom w:val="nil"/>
              <w:right w:val="nil"/>
              <w:tl2br w:val="nil"/>
              <w:tr2bl w:val="nil"/>
            </w:tcBorders>
            <w:tcMar>
              <w:left w:w="60" w:type="dxa"/>
              <w:right w:w="60" w:type="dxa"/>
            </w:tcMar>
            <w:vAlign w:val="center"/>
          </w:tcPr>
          <w:p w14:paraId="3A090239"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244 557</w:t>
            </w:r>
          </w:p>
        </w:tc>
        <w:tc>
          <w:tcPr>
            <w:tcW w:w="651" w:type="dxa"/>
            <w:tcBorders>
              <w:top w:val="nil"/>
              <w:left w:val="nil"/>
              <w:bottom w:val="nil"/>
              <w:right w:val="nil"/>
              <w:tl2br w:val="nil"/>
              <w:tr2bl w:val="nil"/>
            </w:tcBorders>
            <w:tcMar>
              <w:left w:w="60" w:type="dxa"/>
              <w:right w:w="60" w:type="dxa"/>
            </w:tcMar>
            <w:vAlign w:val="center"/>
          </w:tcPr>
          <w:p w14:paraId="06A72751"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150 611</w:t>
            </w:r>
          </w:p>
        </w:tc>
        <w:tc>
          <w:tcPr>
            <w:tcW w:w="652" w:type="dxa"/>
            <w:tcBorders>
              <w:top w:val="nil"/>
              <w:left w:val="nil"/>
              <w:bottom w:val="nil"/>
              <w:right w:val="nil"/>
              <w:tl2br w:val="nil"/>
              <w:tr2bl w:val="nil"/>
            </w:tcBorders>
            <w:tcMar>
              <w:left w:w="60" w:type="dxa"/>
              <w:right w:w="60" w:type="dxa"/>
            </w:tcMar>
            <w:vAlign w:val="center"/>
          </w:tcPr>
          <w:p w14:paraId="559C0366"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3 016</w:t>
            </w:r>
          </w:p>
        </w:tc>
        <w:tc>
          <w:tcPr>
            <w:tcW w:w="652" w:type="dxa"/>
            <w:tcBorders>
              <w:top w:val="nil"/>
              <w:left w:val="nil"/>
              <w:bottom w:val="nil"/>
              <w:right w:val="nil"/>
              <w:tl2br w:val="nil"/>
              <w:tr2bl w:val="nil"/>
            </w:tcBorders>
            <w:tcMar>
              <w:left w:w="60" w:type="dxa"/>
              <w:right w:w="60" w:type="dxa"/>
            </w:tcMar>
            <w:vAlign w:val="center"/>
          </w:tcPr>
          <w:p w14:paraId="5D3B4A00"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57 305</w:t>
            </w:r>
          </w:p>
        </w:tc>
        <w:tc>
          <w:tcPr>
            <w:tcW w:w="652" w:type="dxa"/>
            <w:tcBorders>
              <w:top w:val="nil"/>
              <w:left w:val="nil"/>
              <w:bottom w:val="nil"/>
              <w:right w:val="nil"/>
              <w:tl2br w:val="nil"/>
              <w:tr2bl w:val="nil"/>
            </w:tcBorders>
            <w:tcMar>
              <w:left w:w="60" w:type="dxa"/>
              <w:right w:w="60" w:type="dxa"/>
            </w:tcMar>
            <w:vAlign w:val="center"/>
          </w:tcPr>
          <w:p w14:paraId="4692DC0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210 932</w:t>
            </w:r>
          </w:p>
        </w:tc>
        <w:tc>
          <w:tcPr>
            <w:tcW w:w="652" w:type="dxa"/>
            <w:tcBorders>
              <w:top w:val="nil"/>
              <w:left w:val="nil"/>
              <w:bottom w:val="nil"/>
              <w:right w:val="nil"/>
              <w:tl2br w:val="nil"/>
              <w:tr2bl w:val="nil"/>
            </w:tcBorders>
            <w:tcMar>
              <w:left w:w="60" w:type="dxa"/>
              <w:right w:w="60" w:type="dxa"/>
            </w:tcMar>
            <w:vAlign w:val="center"/>
          </w:tcPr>
          <w:p w14:paraId="0B11012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86 %</w:t>
            </w:r>
          </w:p>
        </w:tc>
        <w:tc>
          <w:tcPr>
            <w:tcW w:w="652" w:type="dxa"/>
            <w:tcBorders>
              <w:top w:val="nil"/>
              <w:left w:val="nil"/>
              <w:bottom w:val="nil"/>
              <w:right w:val="nil"/>
              <w:tl2br w:val="nil"/>
              <w:tr2bl w:val="nil"/>
            </w:tcBorders>
            <w:tcMar>
              <w:left w:w="60" w:type="dxa"/>
              <w:right w:w="60" w:type="dxa"/>
            </w:tcMar>
            <w:vAlign w:val="center"/>
          </w:tcPr>
          <w:p w14:paraId="2666A0AB"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5 424</w:t>
            </w:r>
          </w:p>
        </w:tc>
        <w:tc>
          <w:tcPr>
            <w:tcW w:w="652" w:type="dxa"/>
            <w:tcBorders>
              <w:top w:val="nil"/>
              <w:left w:val="nil"/>
              <w:bottom w:val="nil"/>
              <w:right w:val="nil"/>
              <w:tl2br w:val="nil"/>
              <w:tr2bl w:val="nil"/>
            </w:tcBorders>
            <w:tcMar>
              <w:left w:w="60" w:type="dxa"/>
              <w:right w:w="60" w:type="dxa"/>
            </w:tcMar>
            <w:vAlign w:val="center"/>
          </w:tcPr>
          <w:p w14:paraId="4A2E95FD"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28 062</w:t>
            </w:r>
          </w:p>
        </w:tc>
        <w:tc>
          <w:tcPr>
            <w:tcW w:w="652" w:type="dxa"/>
            <w:tcBorders>
              <w:top w:val="nil"/>
              <w:left w:val="nil"/>
              <w:bottom w:val="nil"/>
              <w:right w:val="nil"/>
              <w:tl2br w:val="nil"/>
              <w:tr2bl w:val="nil"/>
            </w:tcBorders>
            <w:tcMar>
              <w:left w:w="60" w:type="dxa"/>
              <w:right w:w="60" w:type="dxa"/>
            </w:tcMar>
            <w:vAlign w:val="center"/>
          </w:tcPr>
          <w:p w14:paraId="783CEAE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33 486</w:t>
            </w:r>
          </w:p>
        </w:tc>
        <w:tc>
          <w:tcPr>
            <w:tcW w:w="652" w:type="dxa"/>
            <w:tcBorders>
              <w:top w:val="nil"/>
              <w:left w:val="nil"/>
              <w:bottom w:val="nil"/>
              <w:right w:val="nil"/>
              <w:tl2br w:val="nil"/>
              <w:tr2bl w:val="nil"/>
            </w:tcBorders>
            <w:tcMar>
              <w:left w:w="60" w:type="dxa"/>
              <w:right w:w="60" w:type="dxa"/>
            </w:tcMar>
            <w:vAlign w:val="center"/>
          </w:tcPr>
          <w:p w14:paraId="540C20D1"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652" w:type="dxa"/>
            <w:tcBorders>
              <w:top w:val="nil"/>
              <w:left w:val="nil"/>
              <w:bottom w:val="nil"/>
              <w:right w:val="nil"/>
              <w:tl2br w:val="nil"/>
              <w:tr2bl w:val="nil"/>
            </w:tcBorders>
            <w:tcMar>
              <w:left w:w="60" w:type="dxa"/>
              <w:right w:w="60" w:type="dxa"/>
            </w:tcMar>
            <w:vAlign w:val="center"/>
          </w:tcPr>
          <w:p w14:paraId="7053D2A8"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42</w:t>
            </w:r>
          </w:p>
        </w:tc>
        <w:tc>
          <w:tcPr>
            <w:tcW w:w="652" w:type="dxa"/>
            <w:tcBorders>
              <w:top w:val="nil"/>
              <w:left w:val="nil"/>
              <w:bottom w:val="nil"/>
              <w:right w:val="nil"/>
              <w:tl2br w:val="nil"/>
              <w:tr2bl w:val="nil"/>
            </w:tcBorders>
            <w:tcMar>
              <w:left w:w="60" w:type="dxa"/>
              <w:right w:w="60" w:type="dxa"/>
            </w:tcMar>
            <w:vAlign w:val="center"/>
          </w:tcPr>
          <w:p w14:paraId="5AC563FA"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14:paraId="61994BDB"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106</w:t>
            </w:r>
          </w:p>
        </w:tc>
      </w:tr>
      <w:tr w:rsidR="00807FFE" w14:paraId="466015EC"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0493BF7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Court of Justice</w:t>
            </w:r>
          </w:p>
        </w:tc>
        <w:tc>
          <w:tcPr>
            <w:tcW w:w="4468" w:type="dxa"/>
            <w:tcBorders>
              <w:top w:val="nil"/>
              <w:left w:val="nil"/>
              <w:bottom w:val="nil"/>
              <w:right w:val="nil"/>
              <w:tl2br w:val="nil"/>
              <w:tr2bl w:val="nil"/>
            </w:tcBorders>
            <w:tcMar>
              <w:left w:w="60" w:type="dxa"/>
              <w:right w:w="60" w:type="dxa"/>
            </w:tcMar>
            <w:vAlign w:val="center"/>
          </w:tcPr>
          <w:p w14:paraId="3324354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571</w:t>
            </w:r>
          </w:p>
        </w:tc>
        <w:tc>
          <w:tcPr>
            <w:tcW w:w="651" w:type="dxa"/>
            <w:tcBorders>
              <w:top w:val="nil"/>
              <w:left w:val="nil"/>
              <w:bottom w:val="nil"/>
              <w:right w:val="nil"/>
              <w:tl2br w:val="nil"/>
              <w:tr2bl w:val="nil"/>
            </w:tcBorders>
            <w:tcMar>
              <w:left w:w="60" w:type="dxa"/>
              <w:right w:w="60" w:type="dxa"/>
            </w:tcMar>
            <w:vAlign w:val="center"/>
          </w:tcPr>
          <w:p w14:paraId="0F1BEB56"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484</w:t>
            </w:r>
          </w:p>
        </w:tc>
        <w:tc>
          <w:tcPr>
            <w:tcW w:w="652" w:type="dxa"/>
            <w:tcBorders>
              <w:top w:val="nil"/>
              <w:left w:val="nil"/>
              <w:bottom w:val="nil"/>
              <w:right w:val="nil"/>
              <w:tl2br w:val="nil"/>
              <w:tr2bl w:val="nil"/>
            </w:tcBorders>
            <w:tcMar>
              <w:left w:w="60" w:type="dxa"/>
              <w:right w:w="60" w:type="dxa"/>
            </w:tcMar>
            <w:vAlign w:val="center"/>
          </w:tcPr>
          <w:p w14:paraId="3D200B39"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28</w:t>
            </w:r>
          </w:p>
        </w:tc>
        <w:tc>
          <w:tcPr>
            <w:tcW w:w="652" w:type="dxa"/>
            <w:tcBorders>
              <w:top w:val="nil"/>
              <w:left w:val="nil"/>
              <w:bottom w:val="nil"/>
              <w:right w:val="nil"/>
              <w:tl2br w:val="nil"/>
              <w:tr2bl w:val="nil"/>
            </w:tcBorders>
            <w:tcMar>
              <w:left w:w="60" w:type="dxa"/>
              <w:right w:w="60" w:type="dxa"/>
            </w:tcMar>
            <w:vAlign w:val="center"/>
          </w:tcPr>
          <w:p w14:paraId="115B6067"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14:paraId="798E08F6"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513</w:t>
            </w:r>
          </w:p>
        </w:tc>
        <w:tc>
          <w:tcPr>
            <w:tcW w:w="652" w:type="dxa"/>
            <w:tcBorders>
              <w:top w:val="nil"/>
              <w:left w:val="nil"/>
              <w:bottom w:val="nil"/>
              <w:right w:val="nil"/>
              <w:tl2br w:val="nil"/>
              <w:tr2bl w:val="nil"/>
            </w:tcBorders>
            <w:tcMar>
              <w:left w:w="60" w:type="dxa"/>
              <w:right w:w="60" w:type="dxa"/>
            </w:tcMar>
            <w:vAlign w:val="center"/>
          </w:tcPr>
          <w:p w14:paraId="58FAB263"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90 %</w:t>
            </w:r>
          </w:p>
        </w:tc>
        <w:tc>
          <w:tcPr>
            <w:tcW w:w="652" w:type="dxa"/>
            <w:tcBorders>
              <w:top w:val="nil"/>
              <w:left w:val="nil"/>
              <w:bottom w:val="nil"/>
              <w:right w:val="nil"/>
              <w:tl2br w:val="nil"/>
              <w:tr2bl w:val="nil"/>
            </w:tcBorders>
            <w:tcMar>
              <w:left w:w="60" w:type="dxa"/>
              <w:right w:w="60" w:type="dxa"/>
            </w:tcMar>
            <w:vAlign w:val="center"/>
          </w:tcPr>
          <w:p w14:paraId="249A64E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652" w:type="dxa"/>
            <w:tcBorders>
              <w:top w:val="nil"/>
              <w:left w:val="nil"/>
              <w:bottom w:val="nil"/>
              <w:right w:val="nil"/>
              <w:tl2br w:val="nil"/>
              <w:tr2bl w:val="nil"/>
            </w:tcBorders>
            <w:tcMar>
              <w:left w:w="60" w:type="dxa"/>
              <w:right w:w="60" w:type="dxa"/>
            </w:tcMar>
            <w:vAlign w:val="center"/>
          </w:tcPr>
          <w:p w14:paraId="521D725E"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4EB95D6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652" w:type="dxa"/>
            <w:tcBorders>
              <w:top w:val="nil"/>
              <w:left w:val="nil"/>
              <w:bottom w:val="nil"/>
              <w:right w:val="nil"/>
              <w:tl2br w:val="nil"/>
              <w:tr2bl w:val="nil"/>
            </w:tcBorders>
            <w:tcMar>
              <w:left w:w="60" w:type="dxa"/>
              <w:right w:w="60" w:type="dxa"/>
            </w:tcMar>
            <w:vAlign w:val="center"/>
          </w:tcPr>
          <w:p w14:paraId="38424AA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652" w:type="dxa"/>
            <w:tcBorders>
              <w:top w:val="nil"/>
              <w:left w:val="nil"/>
              <w:bottom w:val="nil"/>
              <w:right w:val="nil"/>
              <w:tl2br w:val="nil"/>
              <w:tr2bl w:val="nil"/>
            </w:tcBorders>
            <w:tcMar>
              <w:left w:w="60" w:type="dxa"/>
              <w:right w:w="60" w:type="dxa"/>
            </w:tcMar>
            <w:vAlign w:val="center"/>
          </w:tcPr>
          <w:p w14:paraId="6236047D"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4</w:t>
            </w:r>
          </w:p>
        </w:tc>
        <w:tc>
          <w:tcPr>
            <w:tcW w:w="652" w:type="dxa"/>
            <w:tcBorders>
              <w:top w:val="nil"/>
              <w:left w:val="nil"/>
              <w:bottom w:val="nil"/>
              <w:right w:val="nil"/>
              <w:tl2br w:val="nil"/>
              <w:tr2bl w:val="nil"/>
            </w:tcBorders>
            <w:tcMar>
              <w:left w:w="60" w:type="dxa"/>
              <w:right w:w="60" w:type="dxa"/>
            </w:tcMar>
            <w:vAlign w:val="center"/>
          </w:tcPr>
          <w:p w14:paraId="4D570EDE"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1FE2443A"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w:t>
            </w:r>
          </w:p>
        </w:tc>
      </w:tr>
      <w:tr w:rsidR="00807FFE" w14:paraId="34DA4E38"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6F35E90E"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Court of Auditors</w:t>
            </w:r>
          </w:p>
        </w:tc>
        <w:tc>
          <w:tcPr>
            <w:tcW w:w="4468" w:type="dxa"/>
            <w:tcBorders>
              <w:top w:val="nil"/>
              <w:left w:val="nil"/>
              <w:bottom w:val="nil"/>
              <w:right w:val="nil"/>
              <w:tl2br w:val="nil"/>
              <w:tr2bl w:val="nil"/>
            </w:tcBorders>
            <w:tcMar>
              <w:left w:w="60" w:type="dxa"/>
              <w:right w:w="60" w:type="dxa"/>
            </w:tcMar>
            <w:vAlign w:val="center"/>
          </w:tcPr>
          <w:p w14:paraId="023AB4A0"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204</w:t>
            </w:r>
          </w:p>
        </w:tc>
        <w:tc>
          <w:tcPr>
            <w:tcW w:w="651" w:type="dxa"/>
            <w:tcBorders>
              <w:top w:val="nil"/>
              <w:left w:val="nil"/>
              <w:bottom w:val="nil"/>
              <w:right w:val="nil"/>
              <w:tl2br w:val="nil"/>
              <w:tr2bl w:val="nil"/>
            </w:tcBorders>
            <w:tcMar>
              <w:left w:w="60" w:type="dxa"/>
              <w:right w:w="60" w:type="dxa"/>
            </w:tcMar>
            <w:vAlign w:val="center"/>
          </w:tcPr>
          <w:p w14:paraId="21301F6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181</w:t>
            </w:r>
          </w:p>
        </w:tc>
        <w:tc>
          <w:tcPr>
            <w:tcW w:w="652" w:type="dxa"/>
            <w:tcBorders>
              <w:top w:val="nil"/>
              <w:left w:val="nil"/>
              <w:bottom w:val="nil"/>
              <w:right w:val="nil"/>
              <w:tl2br w:val="nil"/>
              <w:tr2bl w:val="nil"/>
            </w:tcBorders>
            <w:tcMar>
              <w:left w:w="60" w:type="dxa"/>
              <w:right w:w="60" w:type="dxa"/>
            </w:tcMar>
            <w:vAlign w:val="center"/>
          </w:tcPr>
          <w:p w14:paraId="4E30FAD3"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652" w:type="dxa"/>
            <w:tcBorders>
              <w:top w:val="nil"/>
              <w:left w:val="nil"/>
              <w:bottom w:val="nil"/>
              <w:right w:val="nil"/>
              <w:tl2br w:val="nil"/>
              <w:tr2bl w:val="nil"/>
            </w:tcBorders>
            <w:tcMar>
              <w:left w:w="60" w:type="dxa"/>
              <w:right w:w="60" w:type="dxa"/>
            </w:tcMar>
            <w:vAlign w:val="center"/>
          </w:tcPr>
          <w:p w14:paraId="481343A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26180137"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190</w:t>
            </w:r>
          </w:p>
        </w:tc>
        <w:tc>
          <w:tcPr>
            <w:tcW w:w="652" w:type="dxa"/>
            <w:tcBorders>
              <w:top w:val="nil"/>
              <w:left w:val="nil"/>
              <w:bottom w:val="nil"/>
              <w:right w:val="nil"/>
              <w:tl2br w:val="nil"/>
              <w:tr2bl w:val="nil"/>
            </w:tcBorders>
            <w:tcMar>
              <w:left w:w="60" w:type="dxa"/>
              <w:right w:w="60" w:type="dxa"/>
            </w:tcMar>
            <w:vAlign w:val="center"/>
          </w:tcPr>
          <w:p w14:paraId="01F36BC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652" w:type="dxa"/>
            <w:tcBorders>
              <w:top w:val="nil"/>
              <w:left w:val="nil"/>
              <w:bottom w:val="nil"/>
              <w:right w:val="nil"/>
              <w:tl2br w:val="nil"/>
              <w:tr2bl w:val="nil"/>
            </w:tcBorders>
            <w:tcMar>
              <w:left w:w="60" w:type="dxa"/>
              <w:right w:w="60" w:type="dxa"/>
            </w:tcMar>
            <w:vAlign w:val="center"/>
          </w:tcPr>
          <w:p w14:paraId="72799D9B"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14:paraId="3EA042FD"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2536C23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11</w:t>
            </w:r>
          </w:p>
        </w:tc>
        <w:tc>
          <w:tcPr>
            <w:tcW w:w="652" w:type="dxa"/>
            <w:tcBorders>
              <w:top w:val="nil"/>
              <w:left w:val="nil"/>
              <w:bottom w:val="nil"/>
              <w:right w:val="nil"/>
              <w:tl2br w:val="nil"/>
              <w:tr2bl w:val="nil"/>
            </w:tcBorders>
            <w:tcMar>
              <w:left w:w="60" w:type="dxa"/>
              <w:right w:w="60" w:type="dxa"/>
            </w:tcMar>
            <w:vAlign w:val="center"/>
          </w:tcPr>
          <w:p w14:paraId="40C6B8AA"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14:paraId="22A71A11"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14:paraId="7F9FBC83"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2E0FF297"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w:t>
            </w:r>
          </w:p>
        </w:tc>
      </w:tr>
      <w:tr w:rsidR="00807FFE" w14:paraId="100CB370"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35F7792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Economic and Social Committee</w:t>
            </w:r>
          </w:p>
        </w:tc>
        <w:tc>
          <w:tcPr>
            <w:tcW w:w="4468" w:type="dxa"/>
            <w:tcBorders>
              <w:top w:val="nil"/>
              <w:left w:val="nil"/>
              <w:bottom w:val="nil"/>
              <w:right w:val="nil"/>
              <w:tl2br w:val="nil"/>
              <w:tr2bl w:val="nil"/>
            </w:tcBorders>
            <w:tcMar>
              <w:left w:w="60" w:type="dxa"/>
              <w:right w:w="60" w:type="dxa"/>
            </w:tcMar>
            <w:vAlign w:val="center"/>
          </w:tcPr>
          <w:p w14:paraId="71EEEF6E"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192</w:t>
            </w:r>
          </w:p>
        </w:tc>
        <w:tc>
          <w:tcPr>
            <w:tcW w:w="651" w:type="dxa"/>
            <w:tcBorders>
              <w:top w:val="nil"/>
              <w:left w:val="nil"/>
              <w:bottom w:val="nil"/>
              <w:right w:val="nil"/>
              <w:tl2br w:val="nil"/>
              <w:tr2bl w:val="nil"/>
            </w:tcBorders>
            <w:tcMar>
              <w:left w:w="60" w:type="dxa"/>
              <w:right w:w="60" w:type="dxa"/>
            </w:tcMar>
            <w:vAlign w:val="center"/>
          </w:tcPr>
          <w:p w14:paraId="7664463E"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163</w:t>
            </w:r>
          </w:p>
        </w:tc>
        <w:tc>
          <w:tcPr>
            <w:tcW w:w="652" w:type="dxa"/>
            <w:tcBorders>
              <w:top w:val="nil"/>
              <w:left w:val="nil"/>
              <w:bottom w:val="nil"/>
              <w:right w:val="nil"/>
              <w:tl2br w:val="nil"/>
              <w:tr2bl w:val="nil"/>
            </w:tcBorders>
            <w:tcMar>
              <w:left w:w="60" w:type="dxa"/>
              <w:right w:w="60" w:type="dxa"/>
            </w:tcMar>
            <w:vAlign w:val="center"/>
          </w:tcPr>
          <w:p w14:paraId="7FE7BF51"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14:paraId="78A37DE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14:paraId="33232F3D"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177</w:t>
            </w:r>
          </w:p>
        </w:tc>
        <w:tc>
          <w:tcPr>
            <w:tcW w:w="652" w:type="dxa"/>
            <w:tcBorders>
              <w:top w:val="nil"/>
              <w:left w:val="nil"/>
              <w:bottom w:val="nil"/>
              <w:right w:val="nil"/>
              <w:tl2br w:val="nil"/>
              <w:tr2bl w:val="nil"/>
            </w:tcBorders>
            <w:tcMar>
              <w:left w:w="60" w:type="dxa"/>
              <w:right w:w="60" w:type="dxa"/>
            </w:tcMar>
            <w:vAlign w:val="center"/>
          </w:tcPr>
          <w:p w14:paraId="67D802E9"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92 %</w:t>
            </w:r>
          </w:p>
        </w:tc>
        <w:tc>
          <w:tcPr>
            <w:tcW w:w="652" w:type="dxa"/>
            <w:tcBorders>
              <w:top w:val="nil"/>
              <w:left w:val="nil"/>
              <w:bottom w:val="nil"/>
              <w:right w:val="nil"/>
              <w:tl2br w:val="nil"/>
              <w:tr2bl w:val="nil"/>
            </w:tcBorders>
            <w:tcMar>
              <w:left w:w="60" w:type="dxa"/>
              <w:right w:w="60" w:type="dxa"/>
            </w:tcMar>
            <w:vAlign w:val="center"/>
          </w:tcPr>
          <w:p w14:paraId="64F496F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14:paraId="1651226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14:paraId="41A2AA7B"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652" w:type="dxa"/>
            <w:tcBorders>
              <w:top w:val="nil"/>
              <w:left w:val="nil"/>
              <w:bottom w:val="nil"/>
              <w:right w:val="nil"/>
              <w:tl2br w:val="nil"/>
              <w:tr2bl w:val="nil"/>
            </w:tcBorders>
            <w:tcMar>
              <w:left w:w="60" w:type="dxa"/>
              <w:right w:w="60" w:type="dxa"/>
            </w:tcMar>
            <w:vAlign w:val="center"/>
          </w:tcPr>
          <w:p w14:paraId="1873065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14:paraId="0FC68F99"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14:paraId="4F7F943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14:paraId="6C6594DC"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3860DE92"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524C785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Committee of the Regions</w:t>
            </w:r>
          </w:p>
        </w:tc>
        <w:tc>
          <w:tcPr>
            <w:tcW w:w="4468" w:type="dxa"/>
            <w:tcBorders>
              <w:top w:val="nil"/>
              <w:left w:val="nil"/>
              <w:bottom w:val="nil"/>
              <w:right w:val="nil"/>
              <w:tl2br w:val="nil"/>
              <w:tr2bl w:val="nil"/>
            </w:tcBorders>
            <w:tcMar>
              <w:left w:w="60" w:type="dxa"/>
              <w:right w:w="60" w:type="dxa"/>
            </w:tcMar>
            <w:vAlign w:val="center"/>
          </w:tcPr>
          <w:p w14:paraId="5AB2C68D"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145</w:t>
            </w:r>
          </w:p>
        </w:tc>
        <w:tc>
          <w:tcPr>
            <w:tcW w:w="651" w:type="dxa"/>
            <w:tcBorders>
              <w:top w:val="nil"/>
              <w:left w:val="nil"/>
              <w:bottom w:val="nil"/>
              <w:right w:val="nil"/>
              <w:tl2br w:val="nil"/>
              <w:tr2bl w:val="nil"/>
            </w:tcBorders>
            <w:tcMar>
              <w:left w:w="60" w:type="dxa"/>
              <w:right w:w="60" w:type="dxa"/>
            </w:tcMar>
            <w:vAlign w:val="center"/>
          </w:tcPr>
          <w:p w14:paraId="1777FA99"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118</w:t>
            </w:r>
          </w:p>
        </w:tc>
        <w:tc>
          <w:tcPr>
            <w:tcW w:w="652" w:type="dxa"/>
            <w:tcBorders>
              <w:top w:val="nil"/>
              <w:left w:val="nil"/>
              <w:bottom w:val="nil"/>
              <w:right w:val="nil"/>
              <w:tl2br w:val="nil"/>
              <w:tr2bl w:val="nil"/>
            </w:tcBorders>
            <w:tcMar>
              <w:left w:w="60" w:type="dxa"/>
              <w:right w:w="60" w:type="dxa"/>
            </w:tcMar>
            <w:vAlign w:val="center"/>
          </w:tcPr>
          <w:p w14:paraId="70D57E38"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652" w:type="dxa"/>
            <w:tcBorders>
              <w:top w:val="nil"/>
              <w:left w:val="nil"/>
              <w:bottom w:val="nil"/>
              <w:right w:val="nil"/>
              <w:tl2br w:val="nil"/>
              <w:tr2bl w:val="nil"/>
            </w:tcBorders>
            <w:tcMar>
              <w:left w:w="60" w:type="dxa"/>
              <w:right w:w="60" w:type="dxa"/>
            </w:tcMar>
            <w:vAlign w:val="center"/>
          </w:tcPr>
          <w:p w14:paraId="495824DA"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14:paraId="558A986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128</w:t>
            </w:r>
          </w:p>
        </w:tc>
        <w:tc>
          <w:tcPr>
            <w:tcW w:w="652" w:type="dxa"/>
            <w:tcBorders>
              <w:top w:val="nil"/>
              <w:left w:val="nil"/>
              <w:bottom w:val="nil"/>
              <w:right w:val="nil"/>
              <w:tl2br w:val="nil"/>
              <w:tr2bl w:val="nil"/>
            </w:tcBorders>
            <w:tcMar>
              <w:left w:w="60" w:type="dxa"/>
              <w:right w:w="60" w:type="dxa"/>
            </w:tcMar>
            <w:vAlign w:val="center"/>
          </w:tcPr>
          <w:p w14:paraId="4106C0FA"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88 %</w:t>
            </w:r>
          </w:p>
        </w:tc>
        <w:tc>
          <w:tcPr>
            <w:tcW w:w="652" w:type="dxa"/>
            <w:tcBorders>
              <w:top w:val="nil"/>
              <w:left w:val="nil"/>
              <w:bottom w:val="nil"/>
              <w:right w:val="nil"/>
              <w:tl2br w:val="nil"/>
              <w:tr2bl w:val="nil"/>
            </w:tcBorders>
            <w:tcMar>
              <w:left w:w="60" w:type="dxa"/>
              <w:right w:w="60" w:type="dxa"/>
            </w:tcMar>
            <w:vAlign w:val="center"/>
          </w:tcPr>
          <w:p w14:paraId="3B260AD1"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652" w:type="dxa"/>
            <w:tcBorders>
              <w:top w:val="nil"/>
              <w:left w:val="nil"/>
              <w:bottom w:val="nil"/>
              <w:right w:val="nil"/>
              <w:tl2br w:val="nil"/>
              <w:tr2bl w:val="nil"/>
            </w:tcBorders>
            <w:tcMar>
              <w:left w:w="60" w:type="dxa"/>
              <w:right w:w="60" w:type="dxa"/>
            </w:tcMar>
            <w:vAlign w:val="center"/>
          </w:tcPr>
          <w:p w14:paraId="3D79BF27"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14:paraId="02A72319"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652" w:type="dxa"/>
            <w:tcBorders>
              <w:top w:val="nil"/>
              <w:left w:val="nil"/>
              <w:bottom w:val="nil"/>
              <w:right w:val="nil"/>
              <w:tl2br w:val="nil"/>
              <w:tr2bl w:val="nil"/>
            </w:tcBorders>
            <w:tcMar>
              <w:left w:w="60" w:type="dxa"/>
              <w:right w:w="60" w:type="dxa"/>
            </w:tcMar>
            <w:vAlign w:val="center"/>
          </w:tcPr>
          <w:p w14:paraId="60FA271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77BA48E3"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14:paraId="408B31C3"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3700E513"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3D3BCD73"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77476A9E"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Ombudsman</w:t>
            </w:r>
          </w:p>
        </w:tc>
        <w:tc>
          <w:tcPr>
            <w:tcW w:w="4468" w:type="dxa"/>
            <w:tcBorders>
              <w:top w:val="nil"/>
              <w:left w:val="nil"/>
              <w:bottom w:val="nil"/>
              <w:right w:val="nil"/>
              <w:tl2br w:val="nil"/>
              <w:tr2bl w:val="nil"/>
            </w:tcBorders>
            <w:tcMar>
              <w:left w:w="60" w:type="dxa"/>
              <w:right w:w="60" w:type="dxa"/>
            </w:tcMar>
            <w:vAlign w:val="center"/>
          </w:tcPr>
          <w:p w14:paraId="09D2189A"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16</w:t>
            </w:r>
          </w:p>
        </w:tc>
        <w:tc>
          <w:tcPr>
            <w:tcW w:w="651" w:type="dxa"/>
            <w:tcBorders>
              <w:top w:val="nil"/>
              <w:left w:val="nil"/>
              <w:bottom w:val="nil"/>
              <w:right w:val="nil"/>
              <w:tl2br w:val="nil"/>
              <w:tr2bl w:val="nil"/>
            </w:tcBorders>
            <w:tcMar>
              <w:left w:w="60" w:type="dxa"/>
              <w:right w:w="60" w:type="dxa"/>
            </w:tcMar>
            <w:vAlign w:val="center"/>
          </w:tcPr>
          <w:p w14:paraId="5C06805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652" w:type="dxa"/>
            <w:tcBorders>
              <w:top w:val="nil"/>
              <w:left w:val="nil"/>
              <w:bottom w:val="nil"/>
              <w:right w:val="nil"/>
              <w:tl2br w:val="nil"/>
              <w:tr2bl w:val="nil"/>
            </w:tcBorders>
            <w:tcMar>
              <w:left w:w="60" w:type="dxa"/>
              <w:right w:w="60" w:type="dxa"/>
            </w:tcMar>
            <w:vAlign w:val="center"/>
          </w:tcPr>
          <w:p w14:paraId="0075A25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3BE24B5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14:paraId="7371DB2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15</w:t>
            </w:r>
          </w:p>
        </w:tc>
        <w:tc>
          <w:tcPr>
            <w:tcW w:w="652" w:type="dxa"/>
            <w:tcBorders>
              <w:top w:val="nil"/>
              <w:left w:val="nil"/>
              <w:bottom w:val="nil"/>
              <w:right w:val="nil"/>
              <w:tl2br w:val="nil"/>
              <w:tr2bl w:val="nil"/>
            </w:tcBorders>
            <w:tcMar>
              <w:left w:w="60" w:type="dxa"/>
              <w:right w:w="60" w:type="dxa"/>
            </w:tcMar>
            <w:vAlign w:val="center"/>
          </w:tcPr>
          <w:p w14:paraId="71F0EDC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93 %</w:t>
            </w:r>
          </w:p>
        </w:tc>
        <w:tc>
          <w:tcPr>
            <w:tcW w:w="652" w:type="dxa"/>
            <w:tcBorders>
              <w:top w:val="nil"/>
              <w:left w:val="nil"/>
              <w:bottom w:val="nil"/>
              <w:right w:val="nil"/>
              <w:tl2br w:val="nil"/>
              <w:tr2bl w:val="nil"/>
            </w:tcBorders>
            <w:tcMar>
              <w:left w:w="60" w:type="dxa"/>
              <w:right w:w="60" w:type="dxa"/>
            </w:tcMar>
            <w:vAlign w:val="center"/>
          </w:tcPr>
          <w:p w14:paraId="42DE2B1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602784FE"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14:paraId="6725DF3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32F1EE4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14:paraId="064E8F0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0ED0ED36"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14:paraId="0028EDEA"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w:t>
            </w:r>
          </w:p>
        </w:tc>
      </w:tr>
      <w:tr w:rsidR="00807FFE" w14:paraId="3BB40C04"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3A458B66"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European Data-protection Supervisor</w:t>
            </w:r>
          </w:p>
        </w:tc>
        <w:tc>
          <w:tcPr>
            <w:tcW w:w="4468" w:type="dxa"/>
            <w:tcBorders>
              <w:top w:val="nil"/>
              <w:left w:val="nil"/>
              <w:bottom w:val="nil"/>
              <w:right w:val="nil"/>
              <w:tl2br w:val="nil"/>
              <w:tr2bl w:val="nil"/>
            </w:tcBorders>
            <w:tcMar>
              <w:left w:w="60" w:type="dxa"/>
              <w:right w:w="60" w:type="dxa"/>
            </w:tcMar>
            <w:vAlign w:val="center"/>
          </w:tcPr>
          <w:p w14:paraId="1901890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30</w:t>
            </w:r>
          </w:p>
        </w:tc>
        <w:tc>
          <w:tcPr>
            <w:tcW w:w="651" w:type="dxa"/>
            <w:tcBorders>
              <w:top w:val="nil"/>
              <w:left w:val="nil"/>
              <w:bottom w:val="nil"/>
              <w:right w:val="nil"/>
              <w:tl2br w:val="nil"/>
              <w:tr2bl w:val="nil"/>
            </w:tcBorders>
            <w:tcMar>
              <w:left w:w="60" w:type="dxa"/>
              <w:right w:w="60" w:type="dxa"/>
            </w:tcMar>
            <w:vAlign w:val="center"/>
          </w:tcPr>
          <w:p w14:paraId="6AF24AC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652" w:type="dxa"/>
            <w:tcBorders>
              <w:top w:val="nil"/>
              <w:left w:val="nil"/>
              <w:bottom w:val="nil"/>
              <w:right w:val="nil"/>
              <w:tl2br w:val="nil"/>
              <w:tr2bl w:val="nil"/>
            </w:tcBorders>
            <w:tcMar>
              <w:left w:w="60" w:type="dxa"/>
              <w:right w:w="60" w:type="dxa"/>
            </w:tcMar>
            <w:vAlign w:val="center"/>
          </w:tcPr>
          <w:p w14:paraId="6C2C66F9"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14:paraId="7E7749D3"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41582F18"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652" w:type="dxa"/>
            <w:tcBorders>
              <w:top w:val="nil"/>
              <w:left w:val="nil"/>
              <w:bottom w:val="nil"/>
              <w:right w:val="nil"/>
              <w:tl2br w:val="nil"/>
              <w:tr2bl w:val="nil"/>
            </w:tcBorders>
            <w:tcMar>
              <w:left w:w="60" w:type="dxa"/>
              <w:right w:w="60" w:type="dxa"/>
            </w:tcMar>
            <w:vAlign w:val="center"/>
          </w:tcPr>
          <w:p w14:paraId="6F1386E7"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83 %</w:t>
            </w:r>
          </w:p>
        </w:tc>
        <w:tc>
          <w:tcPr>
            <w:tcW w:w="652" w:type="dxa"/>
            <w:tcBorders>
              <w:top w:val="nil"/>
              <w:left w:val="nil"/>
              <w:bottom w:val="nil"/>
              <w:right w:val="nil"/>
              <w:tl2br w:val="nil"/>
              <w:tr2bl w:val="nil"/>
            </w:tcBorders>
            <w:tcMar>
              <w:left w:w="60" w:type="dxa"/>
              <w:right w:w="60" w:type="dxa"/>
            </w:tcMar>
            <w:vAlign w:val="center"/>
          </w:tcPr>
          <w:p w14:paraId="5B2B4E4B"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14:paraId="27676F2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14:paraId="4621330B"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14:paraId="02B00617"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14:paraId="35E652B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14:paraId="5FFFC5FE"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14:paraId="725B82C1"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w:t>
            </w:r>
          </w:p>
        </w:tc>
      </w:tr>
      <w:tr w:rsidR="00807FFE" w14:paraId="17BBB4F5" w14:textId="77777777" w:rsidTr="00340B6A">
        <w:trPr>
          <w:trHeight w:val="255"/>
        </w:trPr>
        <w:tc>
          <w:tcPr>
            <w:tcW w:w="2401" w:type="dxa"/>
            <w:tcBorders>
              <w:top w:val="nil"/>
              <w:left w:val="nil"/>
              <w:bottom w:val="nil"/>
              <w:right w:val="nil"/>
              <w:tl2br w:val="nil"/>
              <w:tr2bl w:val="nil"/>
            </w:tcBorders>
            <w:tcMar>
              <w:left w:w="60" w:type="dxa"/>
              <w:right w:w="60" w:type="dxa"/>
            </w:tcMar>
            <w:vAlign w:val="center"/>
          </w:tcPr>
          <w:p w14:paraId="053DD07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European External Action Service</w:t>
            </w:r>
          </w:p>
        </w:tc>
        <w:tc>
          <w:tcPr>
            <w:tcW w:w="4468" w:type="dxa"/>
            <w:tcBorders>
              <w:top w:val="nil"/>
              <w:left w:val="nil"/>
              <w:bottom w:val="nil"/>
              <w:right w:val="nil"/>
              <w:tl2br w:val="nil"/>
              <w:tr2bl w:val="nil"/>
            </w:tcBorders>
            <w:tcMar>
              <w:left w:w="60" w:type="dxa"/>
              <w:right w:w="60" w:type="dxa"/>
            </w:tcMar>
            <w:vAlign w:val="center"/>
          </w:tcPr>
          <w:p w14:paraId="2F743FDA"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1 448</w:t>
            </w:r>
          </w:p>
        </w:tc>
        <w:tc>
          <w:tcPr>
            <w:tcW w:w="651" w:type="dxa"/>
            <w:tcBorders>
              <w:top w:val="nil"/>
              <w:left w:val="nil"/>
              <w:bottom w:val="nil"/>
              <w:right w:val="nil"/>
              <w:tl2br w:val="nil"/>
              <w:tr2bl w:val="nil"/>
            </w:tcBorders>
            <w:tcMar>
              <w:left w:w="60" w:type="dxa"/>
              <w:right w:w="60" w:type="dxa"/>
            </w:tcMar>
            <w:vAlign w:val="center"/>
          </w:tcPr>
          <w:p w14:paraId="19C24C0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819</w:t>
            </w:r>
          </w:p>
        </w:tc>
        <w:tc>
          <w:tcPr>
            <w:tcW w:w="652" w:type="dxa"/>
            <w:tcBorders>
              <w:top w:val="nil"/>
              <w:left w:val="nil"/>
              <w:bottom w:val="nil"/>
              <w:right w:val="nil"/>
              <w:tl2br w:val="nil"/>
              <w:tr2bl w:val="nil"/>
            </w:tcBorders>
            <w:tcMar>
              <w:left w:w="60" w:type="dxa"/>
              <w:right w:w="60" w:type="dxa"/>
            </w:tcMar>
            <w:vAlign w:val="center"/>
          </w:tcPr>
          <w:p w14:paraId="4DEAE34F"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121</w:t>
            </w:r>
          </w:p>
        </w:tc>
        <w:tc>
          <w:tcPr>
            <w:tcW w:w="652" w:type="dxa"/>
            <w:tcBorders>
              <w:top w:val="nil"/>
              <w:left w:val="nil"/>
              <w:bottom w:val="nil"/>
              <w:right w:val="nil"/>
              <w:tl2br w:val="nil"/>
              <w:tr2bl w:val="nil"/>
            </w:tcBorders>
            <w:tcMar>
              <w:left w:w="60" w:type="dxa"/>
              <w:right w:w="60" w:type="dxa"/>
            </w:tcMar>
            <w:vAlign w:val="center"/>
          </w:tcPr>
          <w:p w14:paraId="471F2DD5"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247</w:t>
            </w:r>
          </w:p>
        </w:tc>
        <w:tc>
          <w:tcPr>
            <w:tcW w:w="652" w:type="dxa"/>
            <w:tcBorders>
              <w:top w:val="nil"/>
              <w:left w:val="nil"/>
              <w:bottom w:val="nil"/>
              <w:right w:val="nil"/>
              <w:tl2br w:val="nil"/>
              <w:tr2bl w:val="nil"/>
            </w:tcBorders>
            <w:tcMar>
              <w:left w:w="60" w:type="dxa"/>
              <w:right w:w="60" w:type="dxa"/>
            </w:tcMar>
            <w:vAlign w:val="center"/>
          </w:tcPr>
          <w:p w14:paraId="122E1FF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1 187</w:t>
            </w:r>
          </w:p>
        </w:tc>
        <w:tc>
          <w:tcPr>
            <w:tcW w:w="652" w:type="dxa"/>
            <w:tcBorders>
              <w:top w:val="nil"/>
              <w:left w:val="nil"/>
              <w:bottom w:val="nil"/>
              <w:right w:val="nil"/>
              <w:tl2br w:val="nil"/>
              <w:tr2bl w:val="nil"/>
            </w:tcBorders>
            <w:tcMar>
              <w:left w:w="60" w:type="dxa"/>
              <w:right w:w="60" w:type="dxa"/>
            </w:tcMar>
            <w:vAlign w:val="center"/>
          </w:tcPr>
          <w:p w14:paraId="0E8C390B"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82 %</w:t>
            </w:r>
          </w:p>
        </w:tc>
        <w:tc>
          <w:tcPr>
            <w:tcW w:w="652" w:type="dxa"/>
            <w:tcBorders>
              <w:top w:val="nil"/>
              <w:left w:val="nil"/>
              <w:bottom w:val="nil"/>
              <w:right w:val="nil"/>
              <w:tl2br w:val="nil"/>
              <w:tr2bl w:val="nil"/>
            </w:tcBorders>
            <w:tcMar>
              <w:left w:w="60" w:type="dxa"/>
              <w:right w:w="60" w:type="dxa"/>
            </w:tcMar>
            <w:vAlign w:val="center"/>
          </w:tcPr>
          <w:p w14:paraId="3475225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110</w:t>
            </w:r>
          </w:p>
        </w:tc>
        <w:tc>
          <w:tcPr>
            <w:tcW w:w="652" w:type="dxa"/>
            <w:tcBorders>
              <w:top w:val="nil"/>
              <w:left w:val="nil"/>
              <w:bottom w:val="nil"/>
              <w:right w:val="nil"/>
              <w:tl2br w:val="nil"/>
              <w:tr2bl w:val="nil"/>
            </w:tcBorders>
            <w:tcMar>
              <w:left w:w="60" w:type="dxa"/>
              <w:right w:w="60" w:type="dxa"/>
            </w:tcMar>
            <w:vAlign w:val="center"/>
          </w:tcPr>
          <w:p w14:paraId="0CB2C75C"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132</w:t>
            </w:r>
          </w:p>
        </w:tc>
        <w:tc>
          <w:tcPr>
            <w:tcW w:w="652" w:type="dxa"/>
            <w:tcBorders>
              <w:top w:val="nil"/>
              <w:left w:val="nil"/>
              <w:bottom w:val="nil"/>
              <w:right w:val="nil"/>
              <w:tl2br w:val="nil"/>
              <w:tr2bl w:val="nil"/>
            </w:tcBorders>
            <w:tcMar>
              <w:left w:w="60" w:type="dxa"/>
              <w:right w:w="60" w:type="dxa"/>
            </w:tcMar>
            <w:vAlign w:val="center"/>
          </w:tcPr>
          <w:p w14:paraId="4196DBE7"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242</w:t>
            </w:r>
          </w:p>
        </w:tc>
        <w:tc>
          <w:tcPr>
            <w:tcW w:w="652" w:type="dxa"/>
            <w:tcBorders>
              <w:top w:val="nil"/>
              <w:left w:val="nil"/>
              <w:bottom w:val="nil"/>
              <w:right w:val="nil"/>
              <w:tl2br w:val="nil"/>
              <w:tr2bl w:val="nil"/>
            </w:tcBorders>
            <w:tcMar>
              <w:left w:w="60" w:type="dxa"/>
              <w:right w:w="60" w:type="dxa"/>
            </w:tcMar>
            <w:vAlign w:val="center"/>
          </w:tcPr>
          <w:p w14:paraId="537F11B2"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14:paraId="4CD6BF44"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652" w:type="dxa"/>
            <w:tcBorders>
              <w:top w:val="nil"/>
              <w:left w:val="nil"/>
              <w:bottom w:val="nil"/>
              <w:right w:val="nil"/>
              <w:tl2br w:val="nil"/>
              <w:tr2bl w:val="nil"/>
            </w:tcBorders>
            <w:tcMar>
              <w:left w:w="60" w:type="dxa"/>
              <w:right w:w="60" w:type="dxa"/>
            </w:tcMar>
            <w:vAlign w:val="center"/>
          </w:tcPr>
          <w:p w14:paraId="6574793B" w14:textId="77777777" w:rsidR="00807FFE" w:rsidRDefault="00023E71">
            <w:pPr>
              <w:pStyle w:val="DMETW36778BIPInstitutions3Payments"/>
              <w:jc w:val="right"/>
              <w:rPr>
                <w:rFonts w:ascii="Verdana" w:eastAsia="Verdana" w:hAnsi="Verdana" w:cs="Verdana"/>
                <w:noProof/>
                <w:color w:val="000000"/>
                <w:sz w:val="16"/>
              </w:rPr>
            </w:pPr>
            <w:r>
              <w:rPr>
                <w:rFonts w:ascii="Verdana" w:eastAsia="Verdana" w:hAnsi="Verdana" w:cs="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14:paraId="405BAAFE" w14:textId="77777777" w:rsidR="00807FFE" w:rsidRDefault="00023E71">
            <w:pPr>
              <w:pStyle w:val="DMETW36778BIPInstitutions3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19</w:t>
            </w:r>
          </w:p>
        </w:tc>
      </w:tr>
      <w:tr w:rsidR="00807FFE" w14:paraId="78C8FCCD" w14:textId="77777777" w:rsidTr="00340B6A">
        <w:trPr>
          <w:trHeight w:val="255"/>
        </w:trPr>
        <w:tc>
          <w:tcPr>
            <w:tcW w:w="2401" w:type="dxa"/>
            <w:tcBorders>
              <w:top w:val="nil"/>
              <w:left w:val="nil"/>
              <w:bottom w:val="nil"/>
              <w:right w:val="nil"/>
              <w:tl2br w:val="nil"/>
              <w:tr2bl w:val="nil"/>
            </w:tcBorders>
            <w:shd w:val="solid" w:color="CCE1EA" w:fill="FFFFFF"/>
            <w:tcMar>
              <w:left w:w="60" w:type="dxa"/>
              <w:right w:w="60" w:type="dxa"/>
            </w:tcMar>
            <w:vAlign w:val="center"/>
          </w:tcPr>
          <w:p w14:paraId="1719D6F3" w14:textId="77777777" w:rsidR="00807FFE" w:rsidRDefault="00807FFE">
            <w:pPr>
              <w:pStyle w:val="DMETW36778BIPInstitutions3Payments"/>
              <w:jc w:val="right"/>
              <w:rPr>
                <w:rFonts w:ascii="Verdana" w:eastAsia="Verdana" w:hAnsi="Verdana" w:cs="Verdana"/>
                <w:b/>
                <w:noProof/>
                <w:color w:val="000000"/>
                <w:sz w:val="16"/>
              </w:rPr>
            </w:pPr>
          </w:p>
        </w:tc>
        <w:tc>
          <w:tcPr>
            <w:tcW w:w="4468" w:type="dxa"/>
            <w:tcBorders>
              <w:top w:val="nil"/>
              <w:left w:val="nil"/>
              <w:bottom w:val="nil"/>
              <w:right w:val="nil"/>
              <w:tl2br w:val="nil"/>
              <w:tr2bl w:val="nil"/>
            </w:tcBorders>
            <w:shd w:val="solid" w:color="CCE1EA" w:fill="FFFFFF"/>
            <w:tcMar>
              <w:left w:w="60" w:type="dxa"/>
              <w:right w:w="60" w:type="dxa"/>
            </w:tcMar>
            <w:vAlign w:val="center"/>
          </w:tcPr>
          <w:p w14:paraId="5557E7BE"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250 956</w:t>
            </w:r>
          </w:p>
        </w:tc>
        <w:tc>
          <w:tcPr>
            <w:tcW w:w="651" w:type="dxa"/>
            <w:tcBorders>
              <w:top w:val="nil"/>
              <w:left w:val="nil"/>
              <w:bottom w:val="nil"/>
              <w:right w:val="nil"/>
              <w:tl2br w:val="nil"/>
              <w:tr2bl w:val="nil"/>
            </w:tcBorders>
            <w:shd w:val="solid" w:color="CCE1EA" w:fill="FFFFFF"/>
            <w:tcMar>
              <w:left w:w="60" w:type="dxa"/>
              <w:right w:w="60" w:type="dxa"/>
            </w:tcMar>
            <w:vAlign w:val="center"/>
          </w:tcPr>
          <w:p w14:paraId="28623818"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155 173</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5B0EC2EA"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3 575</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60586ED0"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57 624</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3B9FF94E"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216 373</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032BF3B7"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86 %</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483166CE"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6 054</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2A41D6F0"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28 271</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3ADF8776"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34 325</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2C5C7E47"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110</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73653D69"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104</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0DF1DA43"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12</w:t>
            </w:r>
          </w:p>
        </w:tc>
        <w:tc>
          <w:tcPr>
            <w:tcW w:w="652" w:type="dxa"/>
            <w:tcBorders>
              <w:top w:val="nil"/>
              <w:left w:val="nil"/>
              <w:bottom w:val="nil"/>
              <w:right w:val="nil"/>
              <w:tl2br w:val="nil"/>
              <w:tr2bl w:val="nil"/>
            </w:tcBorders>
            <w:shd w:val="solid" w:color="CCE1EA" w:fill="FFFFFF"/>
            <w:tcMar>
              <w:left w:w="60" w:type="dxa"/>
              <w:right w:w="60" w:type="dxa"/>
            </w:tcMar>
            <w:vAlign w:val="center"/>
          </w:tcPr>
          <w:p w14:paraId="124EEC39" w14:textId="77777777" w:rsidR="00807FFE" w:rsidRDefault="00023E71">
            <w:pPr>
              <w:pStyle w:val="DMETW36778BIPInstitutions3Payments"/>
              <w:jc w:val="right"/>
              <w:rPr>
                <w:rFonts w:ascii="Verdana" w:eastAsia="Verdana" w:hAnsi="Verdana" w:cs="Verdana"/>
                <w:b/>
                <w:noProof/>
                <w:color w:val="000000"/>
                <w:sz w:val="16"/>
              </w:rPr>
            </w:pPr>
            <w:r>
              <w:rPr>
                <w:rFonts w:ascii="Verdana" w:eastAsia="Verdana" w:hAnsi="Verdana" w:cs="Verdana"/>
                <w:b/>
                <w:noProof/>
                <w:color w:val="000000"/>
                <w:sz w:val="16"/>
              </w:rPr>
              <w:t xml:space="preserve"> 226</w:t>
            </w:r>
          </w:p>
        </w:tc>
      </w:tr>
    </w:tbl>
    <w:p w14:paraId="51974A38" w14:textId="77777777" w:rsidR="00B23DCC" w:rsidRDefault="00B23DCC" w:rsidP="00B23DCC">
      <w:pPr>
        <w:pStyle w:val="DGTextstand-alone"/>
      </w:pPr>
    </w:p>
    <w:bookmarkEnd w:id="315"/>
    <w:p w14:paraId="34072906" w14:textId="77777777" w:rsidR="00B23DCC" w:rsidRPr="00CA06A0" w:rsidRDefault="00B23DCC" w:rsidP="00B23DCC">
      <w:pPr>
        <w:pStyle w:val="DGTextstand-alone"/>
        <w:sectPr w:rsidR="00B23DCC" w:rsidRPr="00CA06A0" w:rsidSect="00B23DCC">
          <w:headerReference w:type="default" r:id="rId184"/>
          <w:footerReference w:type="default" r:id="rId185"/>
          <w:type w:val="nextColumn"/>
          <w:pgSz w:w="16840" w:h="11907" w:orient="landscape" w:code="9"/>
          <w:pgMar w:top="1134" w:right="1134" w:bottom="1134" w:left="1134" w:header="709" w:footer="709" w:gutter="0"/>
          <w:cols w:space="708"/>
          <w:docGrid w:linePitch="360"/>
        </w:sectPr>
      </w:pPr>
    </w:p>
    <w:p w14:paraId="11BDAD7D" w14:textId="77777777" w:rsidR="00670B4C" w:rsidRDefault="00023E71" w:rsidP="008C2E6A">
      <w:pPr>
        <w:pStyle w:val="HEADER1PartBUDG"/>
        <w:rPr>
          <w:noProof/>
        </w:rPr>
      </w:pPr>
      <w:bookmarkStart w:id="325" w:name="_DMBM_36790"/>
      <w:r>
        <w:rPr>
          <w:noProof/>
        </w:rPr>
        <w:t xml:space="preserve"> </w:t>
      </w:r>
      <w:bookmarkStart w:id="326" w:name="_Toc232674404"/>
      <w:r w:rsidRPr="004A22D8">
        <w:rPr>
          <w:noProof/>
        </w:rPr>
        <w:t>IMPLEMENTATION OF THE AGENCIES' BUDGET</w:t>
      </w:r>
      <w:r>
        <w:rPr>
          <w:noProof/>
        </w:rPr>
        <w:t>S</w:t>
      </w:r>
      <w:bookmarkEnd w:id="326"/>
    </w:p>
    <w:p w14:paraId="34B553E0" w14:textId="77777777" w:rsidR="00271743" w:rsidRPr="00271743" w:rsidRDefault="00023E71" w:rsidP="00513DED">
      <w:pPr>
        <w:pStyle w:val="DGTextstand-alone"/>
        <w:spacing w:after="120"/>
      </w:pPr>
      <w:r w:rsidRPr="00271743">
        <w:t>The agencies’ revenue and expenditure, as shown in the reports 8.1 and 8.2 below, are not consolidated as such within the EU budget.</w:t>
      </w:r>
    </w:p>
    <w:p w14:paraId="2B5F8C72" w14:textId="77777777" w:rsidR="00271743" w:rsidRPr="00271743" w:rsidRDefault="00023E71" w:rsidP="00513DED">
      <w:pPr>
        <w:pStyle w:val="DGTextstand-alone"/>
        <w:spacing w:before="120" w:after="120"/>
      </w:pPr>
      <w:r w:rsidRPr="00271743">
        <w:t>Sections 1 to 7 of the Budgetary implementation reports include only the subsidy paid from the EU budget to the agencies as commitment and payment appropriations, when applicable.</w:t>
      </w:r>
    </w:p>
    <w:p w14:paraId="0B9BC39D" w14:textId="77777777" w:rsidR="00271743" w:rsidRPr="00271743" w:rsidRDefault="00023E71" w:rsidP="00513DED">
      <w:pPr>
        <w:pStyle w:val="DGTextstand-alone"/>
        <w:spacing w:before="120" w:after="120"/>
      </w:pPr>
      <w:r w:rsidRPr="00271743">
        <w:t>The agencies’ reports below show an overview of the Agencies, both decentralised (also known as traditional agencies) and executive agencies, and of their revenue (8.1) and expenditure (8.2). They include not only the subsidy paid from the EU budget, but also the other sources of revenue and their related expenditure (that is not added into the EU budget accounts). Each agency presents its own set of annual accounts.</w:t>
      </w:r>
    </w:p>
    <w:p w14:paraId="71AC1B79" w14:textId="77777777" w:rsidR="00645BDC" w:rsidRPr="004A22D8" w:rsidRDefault="00023E71" w:rsidP="00513DED">
      <w:pPr>
        <w:pStyle w:val="HEADER2PartBUDG"/>
        <w:spacing w:before="240" w:after="120"/>
        <w:rPr>
          <w:noProof/>
        </w:rPr>
      </w:pPr>
      <w:bookmarkStart w:id="327" w:name="_Toc232674405"/>
      <w:r w:rsidRPr="004A22D8">
        <w:rPr>
          <w:noProof/>
        </w:rPr>
        <w:t>BUDGET REVENUE</w:t>
      </w:r>
      <w:bookmarkEnd w:id="3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5"/>
        <w:gridCol w:w="257"/>
        <w:gridCol w:w="970"/>
        <w:gridCol w:w="60"/>
        <w:gridCol w:w="960"/>
        <w:gridCol w:w="74"/>
        <w:gridCol w:w="1106"/>
      </w:tblGrid>
      <w:tr w:rsidR="00807FFE" w14:paraId="2F41DBEF" w14:textId="77777777" w:rsidTr="00EC36D2">
        <w:trPr>
          <w:trHeight w:val="198"/>
        </w:trPr>
        <w:tc>
          <w:tcPr>
            <w:tcW w:w="6582" w:type="dxa"/>
            <w:gridSpan w:val="2"/>
            <w:tcBorders>
              <w:top w:val="nil"/>
              <w:left w:val="nil"/>
              <w:bottom w:val="nil"/>
              <w:right w:val="nil"/>
              <w:tl2br w:val="nil"/>
              <w:tr2bl w:val="nil"/>
            </w:tcBorders>
            <w:tcMar>
              <w:left w:w="60" w:type="dxa"/>
              <w:right w:w="60" w:type="dxa"/>
            </w:tcMar>
            <w:vAlign w:val="center"/>
          </w:tcPr>
          <w:p w14:paraId="72A6EF0F" w14:textId="77777777" w:rsidR="00807FFE" w:rsidRDefault="00807FFE">
            <w:pPr>
              <w:pStyle w:val="DMETW36778BIPAgencies1Revenue"/>
              <w:rPr>
                <w:rFonts w:ascii="Verdana" w:eastAsia="Verdana" w:hAnsi="Verdana" w:cs="Verdana"/>
                <w:noProof/>
                <w:color w:val="000000"/>
                <w:sz w:val="16"/>
                <w:lang w:bidi="en-GB"/>
              </w:rPr>
            </w:pPr>
            <w:bookmarkStart w:id="328" w:name="DOC_TBL00127_1_1"/>
            <w:bookmarkEnd w:id="328"/>
          </w:p>
        </w:tc>
        <w:tc>
          <w:tcPr>
            <w:tcW w:w="970" w:type="dxa"/>
            <w:tcBorders>
              <w:top w:val="nil"/>
              <w:left w:val="nil"/>
              <w:bottom w:val="nil"/>
              <w:right w:val="nil"/>
              <w:tl2br w:val="nil"/>
              <w:tr2bl w:val="nil"/>
            </w:tcBorders>
            <w:tcMar>
              <w:left w:w="60" w:type="dxa"/>
              <w:right w:w="60" w:type="dxa"/>
            </w:tcMar>
            <w:vAlign w:val="center"/>
          </w:tcPr>
          <w:p w14:paraId="092E0744" w14:textId="77777777" w:rsidR="00807FFE" w:rsidRDefault="00807FFE">
            <w:pPr>
              <w:pStyle w:val="DMETW36778BIPAgencies1Revenue"/>
              <w:rPr>
                <w:rFonts w:ascii="Verdana" w:eastAsia="Verdana" w:hAnsi="Verdana" w:cs="Verdana"/>
                <w:noProof/>
                <w:color w:val="000000"/>
                <w:sz w:val="16"/>
              </w:rPr>
            </w:pPr>
          </w:p>
        </w:tc>
        <w:tc>
          <w:tcPr>
            <w:tcW w:w="1020" w:type="dxa"/>
            <w:gridSpan w:val="2"/>
            <w:tcBorders>
              <w:top w:val="nil"/>
              <w:left w:val="nil"/>
              <w:bottom w:val="nil"/>
              <w:right w:val="nil"/>
              <w:tl2br w:val="nil"/>
              <w:tr2bl w:val="nil"/>
            </w:tcBorders>
            <w:tcMar>
              <w:left w:w="60" w:type="dxa"/>
              <w:right w:w="60" w:type="dxa"/>
            </w:tcMar>
            <w:vAlign w:val="center"/>
          </w:tcPr>
          <w:p w14:paraId="45D97612" w14:textId="77777777" w:rsidR="00807FFE" w:rsidRDefault="00807FFE">
            <w:pPr>
              <w:pStyle w:val="DMETW36778BIPAgencies1Revenue"/>
              <w:rPr>
                <w:rFonts w:ascii="Verdana" w:eastAsia="Verdana" w:hAnsi="Verdana" w:cs="Verdana"/>
                <w:noProof/>
                <w:color w:val="000000"/>
                <w:sz w:val="16"/>
              </w:rPr>
            </w:pPr>
          </w:p>
        </w:tc>
        <w:tc>
          <w:tcPr>
            <w:tcW w:w="1180" w:type="dxa"/>
            <w:gridSpan w:val="2"/>
            <w:tcBorders>
              <w:top w:val="nil"/>
              <w:left w:val="nil"/>
              <w:bottom w:val="nil"/>
              <w:right w:val="nil"/>
              <w:tl2br w:val="nil"/>
              <w:tr2bl w:val="nil"/>
            </w:tcBorders>
            <w:tcMar>
              <w:left w:w="60" w:type="dxa"/>
              <w:right w:w="60" w:type="dxa"/>
            </w:tcMar>
            <w:vAlign w:val="center"/>
          </w:tcPr>
          <w:p w14:paraId="42937D7C" w14:textId="77777777" w:rsidR="00807FFE" w:rsidRDefault="00023E71">
            <w:pPr>
              <w:pStyle w:val="DMETW36778BIPAgencies1Revenue"/>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1CB7A32F" w14:textId="77777777" w:rsidTr="00EC36D2">
        <w:trPr>
          <w:trHeight w:val="198"/>
        </w:trPr>
        <w:tc>
          <w:tcPr>
            <w:tcW w:w="6582" w:type="dxa"/>
            <w:gridSpan w:val="2"/>
            <w:tcBorders>
              <w:top w:val="nil"/>
              <w:left w:val="nil"/>
              <w:bottom w:val="nil"/>
              <w:right w:val="nil"/>
              <w:tl2br w:val="nil"/>
              <w:tr2bl w:val="nil"/>
            </w:tcBorders>
            <w:shd w:val="solid" w:color="016794" w:fill="FFFFFF"/>
            <w:tcMar>
              <w:left w:w="60" w:type="dxa"/>
              <w:right w:w="60" w:type="dxa"/>
            </w:tcMar>
            <w:vAlign w:val="center"/>
          </w:tcPr>
          <w:p w14:paraId="0C9F2A28" w14:textId="77777777" w:rsidR="00807FFE" w:rsidRDefault="00023E71">
            <w:pPr>
              <w:pStyle w:val="DMETW36778BIPAgencies1Revenue"/>
              <w:jc w:val="center"/>
              <w:rPr>
                <w:rFonts w:ascii="Verdana" w:eastAsia="Verdana" w:hAnsi="Verdana" w:cs="Verdana"/>
                <w:noProof/>
                <w:color w:val="FFFFFF"/>
                <w:sz w:val="16"/>
              </w:rPr>
            </w:pPr>
            <w:r>
              <w:rPr>
                <w:rFonts w:ascii="Verdana" w:eastAsia="Verdana" w:hAnsi="Verdana" w:cs="Verdana"/>
                <w:noProof/>
                <w:color w:val="FFFFFF"/>
                <w:sz w:val="16"/>
              </w:rPr>
              <w:t>Agency</w:t>
            </w:r>
          </w:p>
        </w:tc>
        <w:tc>
          <w:tcPr>
            <w:tcW w:w="970" w:type="dxa"/>
            <w:tcBorders>
              <w:top w:val="nil"/>
              <w:left w:val="nil"/>
              <w:bottom w:val="nil"/>
              <w:right w:val="nil"/>
              <w:tl2br w:val="nil"/>
              <w:tr2bl w:val="nil"/>
            </w:tcBorders>
            <w:shd w:val="solid" w:color="016794" w:fill="FFFFFF"/>
            <w:tcMar>
              <w:left w:w="60" w:type="dxa"/>
              <w:right w:w="60" w:type="dxa"/>
            </w:tcMar>
            <w:vAlign w:val="center"/>
          </w:tcPr>
          <w:p w14:paraId="5120FB33" w14:textId="77777777" w:rsidR="00807FFE" w:rsidRDefault="00023E71">
            <w:pPr>
              <w:pStyle w:val="DMETW36778BIPAgencies1Revenue"/>
              <w:jc w:val="center"/>
              <w:rPr>
                <w:rFonts w:ascii="Verdana" w:eastAsia="Verdana" w:hAnsi="Verdana" w:cs="Verdana"/>
                <w:noProof/>
                <w:color w:val="FFFFFF"/>
                <w:sz w:val="16"/>
              </w:rPr>
            </w:pPr>
            <w:r>
              <w:rPr>
                <w:rFonts w:ascii="Verdana" w:eastAsia="Verdana" w:hAnsi="Verdana" w:cs="Verdana"/>
                <w:noProof/>
                <w:color w:val="FFFFFF"/>
                <w:sz w:val="16"/>
              </w:rPr>
              <w:t>Funding MFF heading</w:t>
            </w:r>
          </w:p>
        </w:tc>
        <w:tc>
          <w:tcPr>
            <w:tcW w:w="1020" w:type="dxa"/>
            <w:gridSpan w:val="2"/>
            <w:tcBorders>
              <w:top w:val="nil"/>
              <w:left w:val="nil"/>
              <w:bottom w:val="nil"/>
              <w:right w:val="nil"/>
              <w:tl2br w:val="nil"/>
              <w:tr2bl w:val="nil"/>
            </w:tcBorders>
            <w:shd w:val="solid" w:color="016794" w:fill="FFFFFF"/>
            <w:tcMar>
              <w:left w:w="60" w:type="dxa"/>
              <w:right w:w="60" w:type="dxa"/>
            </w:tcMar>
            <w:vAlign w:val="center"/>
          </w:tcPr>
          <w:p w14:paraId="7951B5FB" w14:textId="77777777" w:rsidR="00807FFE" w:rsidRDefault="00023E71">
            <w:pPr>
              <w:pStyle w:val="DMETW36778BIPAgencies1Revenue"/>
              <w:jc w:val="center"/>
              <w:rPr>
                <w:rFonts w:ascii="Verdana" w:eastAsia="Verdana" w:hAnsi="Verdana" w:cs="Verdana"/>
                <w:noProof/>
                <w:color w:val="FFFFFF"/>
                <w:sz w:val="16"/>
              </w:rPr>
            </w:pPr>
            <w:r>
              <w:rPr>
                <w:rFonts w:ascii="Verdana" w:eastAsia="Verdana" w:hAnsi="Verdana" w:cs="Verdana"/>
                <w:noProof/>
                <w:color w:val="FFFFFF"/>
                <w:sz w:val="16"/>
              </w:rPr>
              <w:t>Final adopted budget</w:t>
            </w:r>
          </w:p>
        </w:tc>
        <w:tc>
          <w:tcPr>
            <w:tcW w:w="1180" w:type="dxa"/>
            <w:gridSpan w:val="2"/>
            <w:tcBorders>
              <w:top w:val="nil"/>
              <w:left w:val="nil"/>
              <w:bottom w:val="nil"/>
              <w:right w:val="nil"/>
              <w:tl2br w:val="nil"/>
              <w:tr2bl w:val="nil"/>
            </w:tcBorders>
            <w:shd w:val="solid" w:color="016794" w:fill="FFFFFF"/>
            <w:tcMar>
              <w:left w:w="60" w:type="dxa"/>
              <w:right w:w="60" w:type="dxa"/>
            </w:tcMar>
            <w:vAlign w:val="center"/>
          </w:tcPr>
          <w:p w14:paraId="4EBF51F2" w14:textId="77777777" w:rsidR="00807FFE" w:rsidRDefault="00023E71">
            <w:pPr>
              <w:pStyle w:val="DMETW36778BIPAgencies1Revenue"/>
              <w:jc w:val="center"/>
              <w:rPr>
                <w:rFonts w:ascii="Verdana" w:eastAsia="Verdana" w:hAnsi="Verdana" w:cs="Verdana"/>
                <w:noProof/>
                <w:color w:val="FFFFFF"/>
                <w:sz w:val="16"/>
                <w:lang w:bidi="en-GB"/>
              </w:rPr>
            </w:pPr>
            <w:r>
              <w:rPr>
                <w:rFonts w:ascii="Verdana" w:eastAsia="Verdana" w:hAnsi="Verdana" w:cs="Verdana"/>
                <w:noProof/>
                <w:color w:val="FFFFFF"/>
                <w:sz w:val="16"/>
              </w:rPr>
              <w:t>Revenue received</w:t>
            </w:r>
          </w:p>
        </w:tc>
      </w:tr>
      <w:tr w:rsidR="00807FFE" w14:paraId="3F94592E"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4BFBF5A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Agency for the Cooperation of Energy Regulators</w:t>
            </w:r>
          </w:p>
        </w:tc>
        <w:tc>
          <w:tcPr>
            <w:tcW w:w="970" w:type="dxa"/>
            <w:tcBorders>
              <w:top w:val="nil"/>
              <w:left w:val="nil"/>
              <w:bottom w:val="nil"/>
              <w:right w:val="nil"/>
              <w:tl2br w:val="nil"/>
              <w:tr2bl w:val="nil"/>
            </w:tcBorders>
            <w:tcMar>
              <w:left w:w="60" w:type="dxa"/>
              <w:right w:w="60" w:type="dxa"/>
            </w:tcMar>
            <w:vAlign w:val="center"/>
          </w:tcPr>
          <w:p w14:paraId="1C0AD3C5"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666ADB78"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1180" w:type="dxa"/>
            <w:gridSpan w:val="2"/>
            <w:tcBorders>
              <w:top w:val="nil"/>
              <w:left w:val="nil"/>
              <w:bottom w:val="nil"/>
              <w:right w:val="nil"/>
              <w:tl2br w:val="nil"/>
              <w:tr2bl w:val="nil"/>
            </w:tcBorders>
            <w:tcMar>
              <w:left w:w="60" w:type="dxa"/>
              <w:right w:w="60" w:type="dxa"/>
            </w:tcMar>
            <w:vAlign w:val="center"/>
          </w:tcPr>
          <w:p w14:paraId="2C727F8F"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43</w:t>
            </w:r>
          </w:p>
        </w:tc>
      </w:tr>
      <w:tr w:rsidR="00807FFE" w14:paraId="219BBF00"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392E1772"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Agency for the Operational Management of Large-Scale IT Systems</w:t>
            </w:r>
          </w:p>
        </w:tc>
        <w:tc>
          <w:tcPr>
            <w:tcW w:w="970" w:type="dxa"/>
            <w:tcBorders>
              <w:top w:val="nil"/>
              <w:left w:val="nil"/>
              <w:bottom w:val="nil"/>
              <w:right w:val="nil"/>
              <w:tl2br w:val="nil"/>
              <w:tr2bl w:val="nil"/>
            </w:tcBorders>
            <w:tcMar>
              <w:left w:w="60" w:type="dxa"/>
              <w:right w:w="60" w:type="dxa"/>
            </w:tcMar>
            <w:vAlign w:val="center"/>
          </w:tcPr>
          <w:p w14:paraId="3846532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14:paraId="7CF181E4"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338</w:t>
            </w:r>
          </w:p>
        </w:tc>
        <w:tc>
          <w:tcPr>
            <w:tcW w:w="1180" w:type="dxa"/>
            <w:gridSpan w:val="2"/>
            <w:tcBorders>
              <w:top w:val="nil"/>
              <w:left w:val="nil"/>
              <w:bottom w:val="nil"/>
              <w:right w:val="nil"/>
              <w:tl2br w:val="nil"/>
              <w:tr2bl w:val="nil"/>
            </w:tcBorders>
            <w:tcMar>
              <w:left w:w="60" w:type="dxa"/>
              <w:right w:w="60" w:type="dxa"/>
            </w:tcMar>
            <w:vAlign w:val="center"/>
          </w:tcPr>
          <w:p w14:paraId="58110FE6"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362</w:t>
            </w:r>
          </w:p>
        </w:tc>
      </w:tr>
      <w:tr w:rsidR="00807FFE" w14:paraId="11F48B23"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6EFB31A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Body of European Regulators for Electronic Communications</w:t>
            </w:r>
          </w:p>
        </w:tc>
        <w:tc>
          <w:tcPr>
            <w:tcW w:w="970" w:type="dxa"/>
            <w:tcBorders>
              <w:top w:val="nil"/>
              <w:left w:val="nil"/>
              <w:bottom w:val="nil"/>
              <w:right w:val="nil"/>
              <w:tl2br w:val="nil"/>
              <w:tr2bl w:val="nil"/>
            </w:tcBorders>
            <w:tcMar>
              <w:left w:w="60" w:type="dxa"/>
              <w:right w:w="60" w:type="dxa"/>
            </w:tcMar>
            <w:vAlign w:val="center"/>
          </w:tcPr>
          <w:p w14:paraId="35AD890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5D6F6B0C"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180" w:type="dxa"/>
            <w:gridSpan w:val="2"/>
            <w:tcBorders>
              <w:top w:val="nil"/>
              <w:left w:val="nil"/>
              <w:bottom w:val="nil"/>
              <w:right w:val="nil"/>
              <w:tl2br w:val="nil"/>
              <w:tr2bl w:val="nil"/>
            </w:tcBorders>
            <w:tcMar>
              <w:left w:w="60" w:type="dxa"/>
              <w:right w:w="60" w:type="dxa"/>
            </w:tcMar>
            <w:vAlign w:val="center"/>
          </w:tcPr>
          <w:p w14:paraId="166A9576"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w:t>
            </w:r>
          </w:p>
        </w:tc>
      </w:tr>
      <w:tr w:rsidR="00807FFE" w14:paraId="02D2A595"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6D8A8B3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Community Plant Variety Office</w:t>
            </w:r>
          </w:p>
        </w:tc>
        <w:tc>
          <w:tcPr>
            <w:tcW w:w="970" w:type="dxa"/>
            <w:tcBorders>
              <w:top w:val="nil"/>
              <w:left w:val="nil"/>
              <w:bottom w:val="nil"/>
              <w:right w:val="nil"/>
              <w:tl2br w:val="nil"/>
              <w:tr2bl w:val="nil"/>
            </w:tcBorders>
            <w:tcMar>
              <w:left w:w="60" w:type="dxa"/>
              <w:right w:w="60" w:type="dxa"/>
            </w:tcMar>
            <w:vAlign w:val="center"/>
          </w:tcPr>
          <w:p w14:paraId="770AA998"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N/A</w:t>
            </w:r>
          </w:p>
        </w:tc>
        <w:tc>
          <w:tcPr>
            <w:tcW w:w="1020" w:type="dxa"/>
            <w:gridSpan w:val="2"/>
            <w:tcBorders>
              <w:top w:val="nil"/>
              <w:left w:val="nil"/>
              <w:bottom w:val="nil"/>
              <w:right w:val="nil"/>
              <w:tl2br w:val="nil"/>
              <w:tr2bl w:val="nil"/>
            </w:tcBorders>
            <w:tcMar>
              <w:left w:w="60" w:type="dxa"/>
              <w:right w:w="60" w:type="dxa"/>
            </w:tcMar>
            <w:vAlign w:val="center"/>
          </w:tcPr>
          <w:p w14:paraId="6F19217B"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180" w:type="dxa"/>
            <w:gridSpan w:val="2"/>
            <w:tcBorders>
              <w:top w:val="nil"/>
              <w:left w:val="nil"/>
              <w:bottom w:val="nil"/>
              <w:right w:val="nil"/>
              <w:tl2br w:val="nil"/>
              <w:tr2bl w:val="nil"/>
            </w:tcBorders>
            <w:tcMar>
              <w:left w:w="60" w:type="dxa"/>
              <w:right w:w="60" w:type="dxa"/>
            </w:tcMar>
            <w:vAlign w:val="center"/>
          </w:tcPr>
          <w:p w14:paraId="32264FDD"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w:t>
            </w:r>
          </w:p>
        </w:tc>
      </w:tr>
      <w:tr w:rsidR="00807FFE" w14:paraId="70B19DFD"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662705DD"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Agency for Safety and Health at Work</w:t>
            </w:r>
          </w:p>
        </w:tc>
        <w:tc>
          <w:tcPr>
            <w:tcW w:w="970" w:type="dxa"/>
            <w:tcBorders>
              <w:top w:val="nil"/>
              <w:left w:val="nil"/>
              <w:bottom w:val="nil"/>
              <w:right w:val="nil"/>
              <w:tl2br w:val="nil"/>
              <w:tr2bl w:val="nil"/>
            </w:tcBorders>
            <w:tcMar>
              <w:left w:w="60" w:type="dxa"/>
              <w:right w:w="60" w:type="dxa"/>
            </w:tcMar>
            <w:vAlign w:val="center"/>
          </w:tcPr>
          <w:p w14:paraId="0218ED19"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114C7B3A"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1180" w:type="dxa"/>
            <w:gridSpan w:val="2"/>
            <w:tcBorders>
              <w:top w:val="nil"/>
              <w:left w:val="nil"/>
              <w:bottom w:val="nil"/>
              <w:right w:val="nil"/>
              <w:tl2br w:val="nil"/>
              <w:tr2bl w:val="nil"/>
            </w:tcBorders>
            <w:tcMar>
              <w:left w:w="60" w:type="dxa"/>
              <w:right w:w="60" w:type="dxa"/>
            </w:tcMar>
            <w:vAlign w:val="center"/>
          </w:tcPr>
          <w:p w14:paraId="3E201AD1"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18</w:t>
            </w:r>
          </w:p>
        </w:tc>
      </w:tr>
      <w:tr w:rsidR="00807FFE" w14:paraId="7D5E0C60"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6906D97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Asylum Support Office</w:t>
            </w:r>
          </w:p>
        </w:tc>
        <w:tc>
          <w:tcPr>
            <w:tcW w:w="970" w:type="dxa"/>
            <w:tcBorders>
              <w:top w:val="nil"/>
              <w:left w:val="nil"/>
              <w:bottom w:val="nil"/>
              <w:right w:val="nil"/>
              <w:tl2br w:val="nil"/>
              <w:tr2bl w:val="nil"/>
            </w:tcBorders>
            <w:tcMar>
              <w:left w:w="60" w:type="dxa"/>
              <w:right w:w="60" w:type="dxa"/>
            </w:tcMar>
            <w:vAlign w:val="center"/>
          </w:tcPr>
          <w:p w14:paraId="46D25D8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14:paraId="0F5A40E9"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240</w:t>
            </w:r>
          </w:p>
        </w:tc>
        <w:tc>
          <w:tcPr>
            <w:tcW w:w="1180" w:type="dxa"/>
            <w:gridSpan w:val="2"/>
            <w:tcBorders>
              <w:top w:val="nil"/>
              <w:left w:val="nil"/>
              <w:bottom w:val="nil"/>
              <w:right w:val="nil"/>
              <w:tl2br w:val="nil"/>
              <w:tr2bl w:val="nil"/>
            </w:tcBorders>
            <w:tcMar>
              <w:left w:w="60" w:type="dxa"/>
              <w:right w:w="60" w:type="dxa"/>
            </w:tcMar>
            <w:vAlign w:val="center"/>
          </w:tcPr>
          <w:p w14:paraId="1478E7B7"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212</w:t>
            </w:r>
          </w:p>
        </w:tc>
      </w:tr>
      <w:tr w:rsidR="00807FFE" w14:paraId="07E14D40"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1C0DC839"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Aviation Safety Agency</w:t>
            </w:r>
          </w:p>
        </w:tc>
        <w:tc>
          <w:tcPr>
            <w:tcW w:w="970" w:type="dxa"/>
            <w:tcBorders>
              <w:top w:val="nil"/>
              <w:left w:val="nil"/>
              <w:bottom w:val="nil"/>
              <w:right w:val="nil"/>
              <w:tl2br w:val="nil"/>
              <w:tr2bl w:val="nil"/>
            </w:tcBorders>
            <w:tcMar>
              <w:left w:w="60" w:type="dxa"/>
              <w:right w:w="60" w:type="dxa"/>
            </w:tcMar>
            <w:vAlign w:val="center"/>
          </w:tcPr>
          <w:p w14:paraId="57C6E43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042EAE1D"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248</w:t>
            </w:r>
          </w:p>
        </w:tc>
        <w:tc>
          <w:tcPr>
            <w:tcW w:w="1180" w:type="dxa"/>
            <w:gridSpan w:val="2"/>
            <w:tcBorders>
              <w:top w:val="nil"/>
              <w:left w:val="nil"/>
              <w:bottom w:val="nil"/>
              <w:right w:val="nil"/>
              <w:tl2br w:val="nil"/>
              <w:tr2bl w:val="nil"/>
            </w:tcBorders>
            <w:tcMar>
              <w:left w:w="60" w:type="dxa"/>
              <w:right w:w="60" w:type="dxa"/>
            </w:tcMar>
            <w:vAlign w:val="center"/>
          </w:tcPr>
          <w:p w14:paraId="0DDA399F"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197</w:t>
            </w:r>
          </w:p>
        </w:tc>
      </w:tr>
      <w:tr w:rsidR="00807FFE" w14:paraId="3240D93E"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695D4479"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Banking Authority</w:t>
            </w:r>
          </w:p>
        </w:tc>
        <w:tc>
          <w:tcPr>
            <w:tcW w:w="970" w:type="dxa"/>
            <w:tcBorders>
              <w:top w:val="nil"/>
              <w:left w:val="nil"/>
              <w:bottom w:val="nil"/>
              <w:right w:val="nil"/>
              <w:tl2br w:val="nil"/>
              <w:tr2bl w:val="nil"/>
            </w:tcBorders>
            <w:tcMar>
              <w:left w:w="60" w:type="dxa"/>
              <w:right w:w="60" w:type="dxa"/>
            </w:tcMar>
            <w:vAlign w:val="center"/>
          </w:tcPr>
          <w:p w14:paraId="3A18C6F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63952ED1"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1180" w:type="dxa"/>
            <w:gridSpan w:val="2"/>
            <w:tcBorders>
              <w:top w:val="nil"/>
              <w:left w:val="nil"/>
              <w:bottom w:val="nil"/>
              <w:right w:val="nil"/>
              <w:tl2br w:val="nil"/>
              <w:tr2bl w:val="nil"/>
            </w:tcBorders>
            <w:tcMar>
              <w:left w:w="60" w:type="dxa"/>
              <w:right w:w="60" w:type="dxa"/>
            </w:tcMar>
            <w:vAlign w:val="center"/>
          </w:tcPr>
          <w:p w14:paraId="6D320042"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60</w:t>
            </w:r>
          </w:p>
        </w:tc>
      </w:tr>
      <w:tr w:rsidR="00807FFE" w14:paraId="0C968A7E"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7CDADD56"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Border and Coast Guard Agency</w:t>
            </w:r>
          </w:p>
        </w:tc>
        <w:tc>
          <w:tcPr>
            <w:tcW w:w="970" w:type="dxa"/>
            <w:tcBorders>
              <w:top w:val="nil"/>
              <w:left w:val="nil"/>
              <w:bottom w:val="nil"/>
              <w:right w:val="nil"/>
              <w:tl2br w:val="nil"/>
              <w:tr2bl w:val="nil"/>
            </w:tcBorders>
            <w:tcMar>
              <w:left w:w="60" w:type="dxa"/>
              <w:right w:w="60" w:type="dxa"/>
            </w:tcMar>
            <w:vAlign w:val="center"/>
          </w:tcPr>
          <w:p w14:paraId="736A26D2"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14:paraId="4A604CC9"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1 124</w:t>
            </w:r>
          </w:p>
        </w:tc>
        <w:tc>
          <w:tcPr>
            <w:tcW w:w="1180" w:type="dxa"/>
            <w:gridSpan w:val="2"/>
            <w:tcBorders>
              <w:top w:val="nil"/>
              <w:left w:val="nil"/>
              <w:bottom w:val="nil"/>
              <w:right w:val="nil"/>
              <w:tl2br w:val="nil"/>
              <w:tr2bl w:val="nil"/>
            </w:tcBorders>
            <w:tcMar>
              <w:left w:w="60" w:type="dxa"/>
              <w:right w:w="60" w:type="dxa"/>
            </w:tcMar>
            <w:vAlign w:val="center"/>
          </w:tcPr>
          <w:p w14:paraId="6B6E96A8"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1 137</w:t>
            </w:r>
          </w:p>
        </w:tc>
      </w:tr>
      <w:tr w:rsidR="00807FFE" w14:paraId="4012042D"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064BC72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Centre for Disease Prevention and Control</w:t>
            </w:r>
          </w:p>
        </w:tc>
        <w:tc>
          <w:tcPr>
            <w:tcW w:w="970" w:type="dxa"/>
            <w:tcBorders>
              <w:top w:val="nil"/>
              <w:left w:val="nil"/>
              <w:bottom w:val="nil"/>
              <w:right w:val="nil"/>
              <w:tl2br w:val="nil"/>
              <w:tr2bl w:val="nil"/>
            </w:tcBorders>
            <w:tcMar>
              <w:left w:w="60" w:type="dxa"/>
              <w:right w:w="60" w:type="dxa"/>
            </w:tcMar>
            <w:vAlign w:val="center"/>
          </w:tcPr>
          <w:p w14:paraId="24234882"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78A15EF1"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106</w:t>
            </w:r>
          </w:p>
        </w:tc>
        <w:tc>
          <w:tcPr>
            <w:tcW w:w="1180" w:type="dxa"/>
            <w:gridSpan w:val="2"/>
            <w:tcBorders>
              <w:top w:val="nil"/>
              <w:left w:val="nil"/>
              <w:bottom w:val="nil"/>
              <w:right w:val="nil"/>
              <w:tl2br w:val="nil"/>
              <w:tr2bl w:val="nil"/>
            </w:tcBorders>
            <w:tcMar>
              <w:left w:w="60" w:type="dxa"/>
              <w:right w:w="60" w:type="dxa"/>
            </w:tcMar>
            <w:vAlign w:val="center"/>
          </w:tcPr>
          <w:p w14:paraId="61C43AD6"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99</w:t>
            </w:r>
          </w:p>
        </w:tc>
      </w:tr>
      <w:tr w:rsidR="00807FFE" w14:paraId="77AA23B6"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0E37036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Centre for the Development of Vocational Training</w:t>
            </w:r>
          </w:p>
        </w:tc>
        <w:tc>
          <w:tcPr>
            <w:tcW w:w="970" w:type="dxa"/>
            <w:tcBorders>
              <w:top w:val="nil"/>
              <w:left w:val="nil"/>
              <w:bottom w:val="nil"/>
              <w:right w:val="nil"/>
              <w:tl2br w:val="nil"/>
              <w:tr2bl w:val="nil"/>
            </w:tcBorders>
            <w:tcMar>
              <w:left w:w="60" w:type="dxa"/>
              <w:right w:w="60" w:type="dxa"/>
            </w:tcMar>
            <w:vAlign w:val="center"/>
          </w:tcPr>
          <w:p w14:paraId="6F8B0E3D"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44AE295B"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180" w:type="dxa"/>
            <w:gridSpan w:val="2"/>
            <w:tcBorders>
              <w:top w:val="nil"/>
              <w:left w:val="nil"/>
              <w:bottom w:val="nil"/>
              <w:right w:val="nil"/>
              <w:tl2br w:val="nil"/>
              <w:tr2bl w:val="nil"/>
            </w:tcBorders>
            <w:tcMar>
              <w:left w:w="60" w:type="dxa"/>
              <w:right w:w="60" w:type="dxa"/>
            </w:tcMar>
            <w:vAlign w:val="center"/>
          </w:tcPr>
          <w:p w14:paraId="687550D0"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23</w:t>
            </w:r>
          </w:p>
        </w:tc>
      </w:tr>
      <w:tr w:rsidR="00807FFE" w14:paraId="4823A4C5"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5528E96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Chemicals Agency</w:t>
            </w:r>
          </w:p>
        </w:tc>
        <w:tc>
          <w:tcPr>
            <w:tcW w:w="970" w:type="dxa"/>
            <w:tcBorders>
              <w:top w:val="nil"/>
              <w:left w:val="nil"/>
              <w:bottom w:val="nil"/>
              <w:right w:val="nil"/>
              <w:tl2br w:val="nil"/>
              <w:tr2bl w:val="nil"/>
            </w:tcBorders>
            <w:tcMar>
              <w:left w:w="60" w:type="dxa"/>
              <w:right w:w="60" w:type="dxa"/>
            </w:tcMar>
            <w:vAlign w:val="center"/>
          </w:tcPr>
          <w:p w14:paraId="1D8E66F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7B0FD535"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134</w:t>
            </w:r>
          </w:p>
        </w:tc>
        <w:tc>
          <w:tcPr>
            <w:tcW w:w="1180" w:type="dxa"/>
            <w:gridSpan w:val="2"/>
            <w:tcBorders>
              <w:top w:val="nil"/>
              <w:left w:val="nil"/>
              <w:bottom w:val="nil"/>
              <w:right w:val="nil"/>
              <w:tl2br w:val="nil"/>
              <w:tr2bl w:val="nil"/>
            </w:tcBorders>
            <w:tcMar>
              <w:left w:w="60" w:type="dxa"/>
              <w:right w:w="60" w:type="dxa"/>
            </w:tcMar>
            <w:vAlign w:val="center"/>
          </w:tcPr>
          <w:p w14:paraId="29735229"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138</w:t>
            </w:r>
          </w:p>
        </w:tc>
      </w:tr>
      <w:tr w:rsidR="00807FFE" w14:paraId="59F167F5"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1A74E40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Climate, Infrastructure and Environment Executive Agency</w:t>
            </w:r>
          </w:p>
        </w:tc>
        <w:tc>
          <w:tcPr>
            <w:tcW w:w="970" w:type="dxa"/>
            <w:tcBorders>
              <w:top w:val="nil"/>
              <w:left w:val="nil"/>
              <w:bottom w:val="nil"/>
              <w:right w:val="nil"/>
              <w:tl2br w:val="nil"/>
              <w:tr2bl w:val="nil"/>
            </w:tcBorders>
            <w:tcMar>
              <w:left w:w="60" w:type="dxa"/>
              <w:right w:w="60" w:type="dxa"/>
            </w:tcMar>
            <w:vAlign w:val="center"/>
          </w:tcPr>
          <w:p w14:paraId="115D68F8"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 2a, 3, 5</w:t>
            </w:r>
          </w:p>
        </w:tc>
        <w:tc>
          <w:tcPr>
            <w:tcW w:w="1020" w:type="dxa"/>
            <w:gridSpan w:val="2"/>
            <w:tcBorders>
              <w:top w:val="nil"/>
              <w:left w:val="nil"/>
              <w:bottom w:val="nil"/>
              <w:right w:val="nil"/>
              <w:tl2br w:val="nil"/>
              <w:tr2bl w:val="nil"/>
            </w:tcBorders>
            <w:tcMar>
              <w:left w:w="60" w:type="dxa"/>
              <w:right w:w="60" w:type="dxa"/>
            </w:tcMar>
            <w:vAlign w:val="center"/>
          </w:tcPr>
          <w:p w14:paraId="4790A5F2"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180" w:type="dxa"/>
            <w:gridSpan w:val="2"/>
            <w:tcBorders>
              <w:top w:val="nil"/>
              <w:left w:val="nil"/>
              <w:bottom w:val="nil"/>
              <w:right w:val="nil"/>
              <w:tl2br w:val="nil"/>
              <w:tr2bl w:val="nil"/>
            </w:tcBorders>
            <w:tcMar>
              <w:left w:w="60" w:type="dxa"/>
              <w:right w:w="60" w:type="dxa"/>
            </w:tcMar>
            <w:vAlign w:val="center"/>
          </w:tcPr>
          <w:p w14:paraId="133B0311"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75</w:t>
            </w:r>
          </w:p>
        </w:tc>
      </w:tr>
      <w:tr w:rsidR="00807FFE" w14:paraId="7E3430FF"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1D2E1878"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Education and Culture Executive Agency</w:t>
            </w:r>
          </w:p>
        </w:tc>
        <w:tc>
          <w:tcPr>
            <w:tcW w:w="970" w:type="dxa"/>
            <w:tcBorders>
              <w:top w:val="nil"/>
              <w:left w:val="nil"/>
              <w:bottom w:val="nil"/>
              <w:right w:val="nil"/>
              <w:tl2br w:val="nil"/>
              <w:tr2bl w:val="nil"/>
            </w:tcBorders>
            <w:tcMar>
              <w:left w:w="60" w:type="dxa"/>
              <w:right w:w="60" w:type="dxa"/>
            </w:tcMar>
            <w:vAlign w:val="center"/>
          </w:tcPr>
          <w:p w14:paraId="0C6D6DBE"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 6</w:t>
            </w:r>
          </w:p>
        </w:tc>
        <w:tc>
          <w:tcPr>
            <w:tcW w:w="1020" w:type="dxa"/>
            <w:gridSpan w:val="2"/>
            <w:tcBorders>
              <w:top w:val="nil"/>
              <w:left w:val="nil"/>
              <w:bottom w:val="nil"/>
              <w:right w:val="nil"/>
              <w:tl2br w:val="nil"/>
              <w:tr2bl w:val="nil"/>
            </w:tcBorders>
            <w:tcMar>
              <w:left w:w="60" w:type="dxa"/>
              <w:right w:w="60" w:type="dxa"/>
            </w:tcMar>
            <w:vAlign w:val="center"/>
          </w:tcPr>
          <w:p w14:paraId="5D17C3B3"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152</w:t>
            </w:r>
          </w:p>
        </w:tc>
        <w:tc>
          <w:tcPr>
            <w:tcW w:w="1180" w:type="dxa"/>
            <w:gridSpan w:val="2"/>
            <w:tcBorders>
              <w:top w:val="nil"/>
              <w:left w:val="nil"/>
              <w:bottom w:val="nil"/>
              <w:right w:val="nil"/>
              <w:tl2br w:val="nil"/>
              <w:tr2bl w:val="nil"/>
            </w:tcBorders>
            <w:tcMar>
              <w:left w:w="60" w:type="dxa"/>
              <w:right w:w="60" w:type="dxa"/>
            </w:tcMar>
            <w:vAlign w:val="center"/>
          </w:tcPr>
          <w:p w14:paraId="73BB9446"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75</w:t>
            </w:r>
          </w:p>
        </w:tc>
      </w:tr>
      <w:tr w:rsidR="00807FFE" w14:paraId="134AE954"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3348924F"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Environment Agency</w:t>
            </w:r>
          </w:p>
        </w:tc>
        <w:tc>
          <w:tcPr>
            <w:tcW w:w="970" w:type="dxa"/>
            <w:tcBorders>
              <w:top w:val="nil"/>
              <w:left w:val="nil"/>
              <w:bottom w:val="nil"/>
              <w:right w:val="nil"/>
              <w:tl2br w:val="nil"/>
              <w:tr2bl w:val="nil"/>
            </w:tcBorders>
            <w:tcMar>
              <w:left w:w="60" w:type="dxa"/>
              <w:right w:w="60" w:type="dxa"/>
            </w:tcMar>
            <w:vAlign w:val="center"/>
          </w:tcPr>
          <w:p w14:paraId="0221BB4B"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3</w:t>
            </w:r>
          </w:p>
        </w:tc>
        <w:tc>
          <w:tcPr>
            <w:tcW w:w="1020" w:type="dxa"/>
            <w:gridSpan w:val="2"/>
            <w:tcBorders>
              <w:top w:val="nil"/>
              <w:left w:val="nil"/>
              <w:bottom w:val="nil"/>
              <w:right w:val="nil"/>
              <w:tl2br w:val="nil"/>
              <w:tr2bl w:val="nil"/>
            </w:tcBorders>
            <w:tcMar>
              <w:left w:w="60" w:type="dxa"/>
              <w:right w:w="60" w:type="dxa"/>
            </w:tcMar>
            <w:vAlign w:val="center"/>
          </w:tcPr>
          <w:p w14:paraId="631AD082"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1180" w:type="dxa"/>
            <w:gridSpan w:val="2"/>
            <w:tcBorders>
              <w:top w:val="nil"/>
              <w:left w:val="nil"/>
              <w:bottom w:val="nil"/>
              <w:right w:val="nil"/>
              <w:tl2br w:val="nil"/>
              <w:tr2bl w:val="nil"/>
            </w:tcBorders>
            <w:tcMar>
              <w:left w:w="60" w:type="dxa"/>
              <w:right w:w="60" w:type="dxa"/>
            </w:tcMar>
            <w:vAlign w:val="center"/>
          </w:tcPr>
          <w:p w14:paraId="16BE0823"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102</w:t>
            </w:r>
          </w:p>
        </w:tc>
      </w:tr>
      <w:tr w:rsidR="00807FFE" w14:paraId="10E2D27A"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3BE60159"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Fisheries Control Agency</w:t>
            </w:r>
          </w:p>
        </w:tc>
        <w:tc>
          <w:tcPr>
            <w:tcW w:w="970" w:type="dxa"/>
            <w:tcBorders>
              <w:top w:val="nil"/>
              <w:left w:val="nil"/>
              <w:bottom w:val="nil"/>
              <w:right w:val="nil"/>
              <w:tl2br w:val="nil"/>
              <w:tr2bl w:val="nil"/>
            </w:tcBorders>
            <w:tcMar>
              <w:left w:w="60" w:type="dxa"/>
              <w:right w:w="60" w:type="dxa"/>
            </w:tcMar>
            <w:vAlign w:val="center"/>
          </w:tcPr>
          <w:p w14:paraId="01CE9844"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3</w:t>
            </w:r>
          </w:p>
        </w:tc>
        <w:tc>
          <w:tcPr>
            <w:tcW w:w="1020" w:type="dxa"/>
            <w:gridSpan w:val="2"/>
            <w:tcBorders>
              <w:top w:val="nil"/>
              <w:left w:val="nil"/>
              <w:bottom w:val="nil"/>
              <w:right w:val="nil"/>
              <w:tl2br w:val="nil"/>
              <w:tr2bl w:val="nil"/>
            </w:tcBorders>
            <w:tcMar>
              <w:left w:w="60" w:type="dxa"/>
              <w:right w:w="60" w:type="dxa"/>
            </w:tcMar>
            <w:vAlign w:val="center"/>
          </w:tcPr>
          <w:p w14:paraId="6DB40F83"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180" w:type="dxa"/>
            <w:gridSpan w:val="2"/>
            <w:tcBorders>
              <w:top w:val="nil"/>
              <w:left w:val="nil"/>
              <w:bottom w:val="nil"/>
              <w:right w:val="nil"/>
              <w:tl2br w:val="nil"/>
              <w:tr2bl w:val="nil"/>
            </w:tcBorders>
            <w:tcMar>
              <w:left w:w="60" w:type="dxa"/>
              <w:right w:w="60" w:type="dxa"/>
            </w:tcMar>
            <w:vAlign w:val="center"/>
          </w:tcPr>
          <w:p w14:paraId="2FC4183E"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w:t>
            </w:r>
          </w:p>
        </w:tc>
      </w:tr>
      <w:tr w:rsidR="00807FFE" w14:paraId="28B1C374"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68B13E87"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Food Safety Authority</w:t>
            </w:r>
          </w:p>
        </w:tc>
        <w:tc>
          <w:tcPr>
            <w:tcW w:w="970" w:type="dxa"/>
            <w:tcBorders>
              <w:top w:val="nil"/>
              <w:left w:val="nil"/>
              <w:bottom w:val="nil"/>
              <w:right w:val="nil"/>
              <w:tl2br w:val="nil"/>
              <w:tr2bl w:val="nil"/>
            </w:tcBorders>
            <w:tcMar>
              <w:left w:w="60" w:type="dxa"/>
              <w:right w:w="60" w:type="dxa"/>
            </w:tcMar>
            <w:vAlign w:val="center"/>
          </w:tcPr>
          <w:p w14:paraId="72B8A15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3011D6A7"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151</w:t>
            </w:r>
          </w:p>
        </w:tc>
        <w:tc>
          <w:tcPr>
            <w:tcW w:w="1180" w:type="dxa"/>
            <w:gridSpan w:val="2"/>
            <w:tcBorders>
              <w:top w:val="nil"/>
              <w:left w:val="nil"/>
              <w:bottom w:val="nil"/>
              <w:right w:val="nil"/>
              <w:tl2br w:val="nil"/>
              <w:tr2bl w:val="nil"/>
            </w:tcBorders>
            <w:tcMar>
              <w:left w:w="60" w:type="dxa"/>
              <w:right w:w="60" w:type="dxa"/>
            </w:tcMar>
            <w:vAlign w:val="center"/>
          </w:tcPr>
          <w:p w14:paraId="376494EB"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153</w:t>
            </w:r>
          </w:p>
        </w:tc>
      </w:tr>
      <w:tr w:rsidR="00807FFE" w14:paraId="3C9A0F2C"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46A408F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Foundation for the Improvement of Living and Working Conditions</w:t>
            </w:r>
          </w:p>
        </w:tc>
        <w:tc>
          <w:tcPr>
            <w:tcW w:w="970" w:type="dxa"/>
            <w:tcBorders>
              <w:top w:val="nil"/>
              <w:left w:val="nil"/>
              <w:bottom w:val="nil"/>
              <w:right w:val="nil"/>
              <w:tl2br w:val="nil"/>
              <w:tr2bl w:val="nil"/>
            </w:tcBorders>
            <w:tcMar>
              <w:left w:w="60" w:type="dxa"/>
              <w:right w:w="60" w:type="dxa"/>
            </w:tcMar>
            <w:vAlign w:val="center"/>
          </w:tcPr>
          <w:p w14:paraId="1DF7CA3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46145599"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25</w:t>
            </w:r>
          </w:p>
        </w:tc>
        <w:tc>
          <w:tcPr>
            <w:tcW w:w="1180" w:type="dxa"/>
            <w:gridSpan w:val="2"/>
            <w:tcBorders>
              <w:top w:val="nil"/>
              <w:left w:val="nil"/>
              <w:bottom w:val="nil"/>
              <w:right w:val="nil"/>
              <w:tl2br w:val="nil"/>
              <w:tr2bl w:val="nil"/>
            </w:tcBorders>
            <w:tcMar>
              <w:left w:w="60" w:type="dxa"/>
              <w:right w:w="60" w:type="dxa"/>
            </w:tcMar>
            <w:vAlign w:val="center"/>
          </w:tcPr>
          <w:p w14:paraId="1524B756"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28</w:t>
            </w:r>
          </w:p>
        </w:tc>
      </w:tr>
      <w:tr w:rsidR="00807FFE" w14:paraId="30C3036C"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7D44D5E9"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Health and Digital Executive Agency</w:t>
            </w:r>
          </w:p>
        </w:tc>
        <w:tc>
          <w:tcPr>
            <w:tcW w:w="970" w:type="dxa"/>
            <w:tcBorders>
              <w:top w:val="nil"/>
              <w:left w:val="nil"/>
              <w:bottom w:val="nil"/>
              <w:right w:val="nil"/>
              <w:tl2br w:val="nil"/>
              <w:tr2bl w:val="nil"/>
            </w:tcBorders>
            <w:tcMar>
              <w:left w:w="60" w:type="dxa"/>
              <w:right w:w="60" w:type="dxa"/>
            </w:tcMar>
            <w:vAlign w:val="center"/>
          </w:tcPr>
          <w:p w14:paraId="54CF3E0F"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 2b</w:t>
            </w:r>
          </w:p>
        </w:tc>
        <w:tc>
          <w:tcPr>
            <w:tcW w:w="1020" w:type="dxa"/>
            <w:gridSpan w:val="2"/>
            <w:tcBorders>
              <w:top w:val="nil"/>
              <w:left w:val="nil"/>
              <w:bottom w:val="nil"/>
              <w:right w:val="nil"/>
              <w:tl2br w:val="nil"/>
              <w:tr2bl w:val="nil"/>
            </w:tcBorders>
            <w:tcMar>
              <w:left w:w="60" w:type="dxa"/>
              <w:right w:w="60" w:type="dxa"/>
            </w:tcMar>
            <w:vAlign w:val="center"/>
          </w:tcPr>
          <w:p w14:paraId="2D8CAD60"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1180" w:type="dxa"/>
            <w:gridSpan w:val="2"/>
            <w:tcBorders>
              <w:top w:val="nil"/>
              <w:left w:val="nil"/>
              <w:bottom w:val="nil"/>
              <w:right w:val="nil"/>
              <w:tl2br w:val="nil"/>
              <w:tr2bl w:val="nil"/>
            </w:tcBorders>
            <w:tcMar>
              <w:left w:w="60" w:type="dxa"/>
              <w:right w:w="60" w:type="dxa"/>
            </w:tcMar>
            <w:vAlign w:val="center"/>
          </w:tcPr>
          <w:p w14:paraId="08E4133F"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62</w:t>
            </w:r>
          </w:p>
        </w:tc>
      </w:tr>
      <w:tr w:rsidR="00807FFE" w14:paraId="1A241206"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44670E2A"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Innovation Council and SMEs Executive Agency</w:t>
            </w:r>
          </w:p>
        </w:tc>
        <w:tc>
          <w:tcPr>
            <w:tcW w:w="970" w:type="dxa"/>
            <w:tcBorders>
              <w:top w:val="nil"/>
              <w:left w:val="nil"/>
              <w:bottom w:val="nil"/>
              <w:right w:val="nil"/>
              <w:tl2br w:val="nil"/>
              <w:tr2bl w:val="nil"/>
            </w:tcBorders>
            <w:tcMar>
              <w:left w:w="60" w:type="dxa"/>
              <w:right w:w="60" w:type="dxa"/>
            </w:tcMar>
            <w:vAlign w:val="center"/>
          </w:tcPr>
          <w:p w14:paraId="4097497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 2a</w:t>
            </w:r>
          </w:p>
        </w:tc>
        <w:tc>
          <w:tcPr>
            <w:tcW w:w="1020" w:type="dxa"/>
            <w:gridSpan w:val="2"/>
            <w:tcBorders>
              <w:top w:val="nil"/>
              <w:left w:val="nil"/>
              <w:bottom w:val="nil"/>
              <w:right w:val="nil"/>
              <w:tl2br w:val="nil"/>
              <w:tr2bl w:val="nil"/>
            </w:tcBorders>
            <w:tcMar>
              <w:left w:w="60" w:type="dxa"/>
              <w:right w:w="60" w:type="dxa"/>
            </w:tcMar>
            <w:vAlign w:val="center"/>
          </w:tcPr>
          <w:p w14:paraId="06EAE6ED"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180" w:type="dxa"/>
            <w:gridSpan w:val="2"/>
            <w:tcBorders>
              <w:top w:val="nil"/>
              <w:left w:val="nil"/>
              <w:bottom w:val="nil"/>
              <w:right w:val="nil"/>
              <w:tl2br w:val="nil"/>
              <w:tr2bl w:val="nil"/>
            </w:tcBorders>
            <w:tcMar>
              <w:left w:w="60" w:type="dxa"/>
              <w:right w:w="60" w:type="dxa"/>
            </w:tcMar>
            <w:vAlign w:val="center"/>
          </w:tcPr>
          <w:p w14:paraId="7CA9D382"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50</w:t>
            </w:r>
          </w:p>
        </w:tc>
      </w:tr>
      <w:tr w:rsidR="00807FFE" w14:paraId="5BEE341C"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74D423F4"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Institute for Gender Equality</w:t>
            </w:r>
          </w:p>
        </w:tc>
        <w:tc>
          <w:tcPr>
            <w:tcW w:w="970" w:type="dxa"/>
            <w:tcBorders>
              <w:top w:val="nil"/>
              <w:left w:val="nil"/>
              <w:bottom w:val="nil"/>
              <w:right w:val="nil"/>
              <w:tl2br w:val="nil"/>
              <w:tr2bl w:val="nil"/>
            </w:tcBorders>
            <w:tcMar>
              <w:left w:w="60" w:type="dxa"/>
              <w:right w:w="60" w:type="dxa"/>
            </w:tcMar>
            <w:vAlign w:val="center"/>
          </w:tcPr>
          <w:p w14:paraId="09743531"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4A293B7E"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180" w:type="dxa"/>
            <w:gridSpan w:val="2"/>
            <w:tcBorders>
              <w:top w:val="nil"/>
              <w:left w:val="nil"/>
              <w:bottom w:val="nil"/>
              <w:right w:val="nil"/>
              <w:tl2br w:val="nil"/>
              <w:tr2bl w:val="nil"/>
            </w:tcBorders>
            <w:tcMar>
              <w:left w:w="60" w:type="dxa"/>
              <w:right w:w="60" w:type="dxa"/>
            </w:tcMar>
            <w:vAlign w:val="center"/>
          </w:tcPr>
          <w:p w14:paraId="2ADC2E6F"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w:t>
            </w:r>
          </w:p>
        </w:tc>
      </w:tr>
      <w:tr w:rsidR="00807FFE" w14:paraId="02A60975"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5C520391"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Institute of Innovation and Technology</w:t>
            </w:r>
          </w:p>
        </w:tc>
        <w:tc>
          <w:tcPr>
            <w:tcW w:w="970" w:type="dxa"/>
            <w:tcBorders>
              <w:top w:val="nil"/>
              <w:left w:val="nil"/>
              <w:bottom w:val="nil"/>
              <w:right w:val="nil"/>
              <w:tl2br w:val="nil"/>
              <w:tr2bl w:val="nil"/>
            </w:tcBorders>
            <w:tcMar>
              <w:left w:w="60" w:type="dxa"/>
              <w:right w:w="60" w:type="dxa"/>
            </w:tcMar>
            <w:vAlign w:val="center"/>
          </w:tcPr>
          <w:p w14:paraId="515FB302"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5F632BB1"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435</w:t>
            </w:r>
          </w:p>
        </w:tc>
        <w:tc>
          <w:tcPr>
            <w:tcW w:w="1180" w:type="dxa"/>
            <w:gridSpan w:val="2"/>
            <w:tcBorders>
              <w:top w:val="nil"/>
              <w:left w:val="nil"/>
              <w:bottom w:val="nil"/>
              <w:right w:val="nil"/>
              <w:tl2br w:val="nil"/>
              <w:tr2bl w:val="nil"/>
            </w:tcBorders>
            <w:tcMar>
              <w:left w:w="60" w:type="dxa"/>
              <w:right w:w="60" w:type="dxa"/>
            </w:tcMar>
            <w:vAlign w:val="center"/>
          </w:tcPr>
          <w:p w14:paraId="7A900894"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435</w:t>
            </w:r>
          </w:p>
        </w:tc>
      </w:tr>
      <w:tr w:rsidR="00807FFE" w14:paraId="338BC2A8"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36C5925D"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Insurance and Occupational Pensions Authority</w:t>
            </w:r>
          </w:p>
        </w:tc>
        <w:tc>
          <w:tcPr>
            <w:tcW w:w="970" w:type="dxa"/>
            <w:tcBorders>
              <w:top w:val="nil"/>
              <w:left w:val="nil"/>
              <w:bottom w:val="nil"/>
              <w:right w:val="nil"/>
              <w:tl2br w:val="nil"/>
              <w:tr2bl w:val="nil"/>
            </w:tcBorders>
            <w:tcMar>
              <w:left w:w="60" w:type="dxa"/>
              <w:right w:w="60" w:type="dxa"/>
            </w:tcMar>
            <w:vAlign w:val="center"/>
          </w:tcPr>
          <w:p w14:paraId="548CD0DA"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39352E96"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1180" w:type="dxa"/>
            <w:gridSpan w:val="2"/>
            <w:tcBorders>
              <w:top w:val="nil"/>
              <w:left w:val="nil"/>
              <w:bottom w:val="nil"/>
              <w:right w:val="nil"/>
              <w:tl2br w:val="nil"/>
              <w:tr2bl w:val="nil"/>
            </w:tcBorders>
            <w:tcMar>
              <w:left w:w="60" w:type="dxa"/>
              <w:right w:w="60" w:type="dxa"/>
            </w:tcMar>
            <w:vAlign w:val="center"/>
          </w:tcPr>
          <w:p w14:paraId="4848FFD7"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5E2A1BEC"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13B781EC"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Labour Authority</w:t>
            </w:r>
          </w:p>
        </w:tc>
        <w:tc>
          <w:tcPr>
            <w:tcW w:w="970" w:type="dxa"/>
            <w:tcBorders>
              <w:top w:val="nil"/>
              <w:left w:val="nil"/>
              <w:bottom w:val="nil"/>
              <w:right w:val="nil"/>
              <w:tl2br w:val="nil"/>
              <w:tr2bl w:val="nil"/>
            </w:tcBorders>
            <w:tcMar>
              <w:left w:w="60" w:type="dxa"/>
              <w:right w:w="60" w:type="dxa"/>
            </w:tcMar>
            <w:vAlign w:val="center"/>
          </w:tcPr>
          <w:p w14:paraId="01FFFAE1"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5448296F"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180" w:type="dxa"/>
            <w:gridSpan w:val="2"/>
            <w:tcBorders>
              <w:top w:val="nil"/>
              <w:left w:val="nil"/>
              <w:bottom w:val="nil"/>
              <w:right w:val="nil"/>
              <w:tl2br w:val="nil"/>
              <w:tr2bl w:val="nil"/>
            </w:tcBorders>
            <w:tcMar>
              <w:left w:w="60" w:type="dxa"/>
              <w:right w:w="60" w:type="dxa"/>
            </w:tcMar>
            <w:vAlign w:val="center"/>
          </w:tcPr>
          <w:p w14:paraId="6F6A5ACB"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50</w:t>
            </w:r>
          </w:p>
        </w:tc>
      </w:tr>
      <w:tr w:rsidR="00807FFE" w14:paraId="63B9147E"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107E2872"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Maritime Safety Agency</w:t>
            </w:r>
          </w:p>
        </w:tc>
        <w:tc>
          <w:tcPr>
            <w:tcW w:w="970" w:type="dxa"/>
            <w:tcBorders>
              <w:top w:val="nil"/>
              <w:left w:val="nil"/>
              <w:bottom w:val="nil"/>
              <w:right w:val="nil"/>
              <w:tl2br w:val="nil"/>
              <w:tr2bl w:val="nil"/>
            </w:tcBorders>
            <w:tcMar>
              <w:left w:w="60" w:type="dxa"/>
              <w:right w:w="60" w:type="dxa"/>
            </w:tcMar>
            <w:vAlign w:val="center"/>
          </w:tcPr>
          <w:p w14:paraId="52E24C9E"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4EA233DF"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127</w:t>
            </w:r>
          </w:p>
        </w:tc>
        <w:tc>
          <w:tcPr>
            <w:tcW w:w="1180" w:type="dxa"/>
            <w:gridSpan w:val="2"/>
            <w:tcBorders>
              <w:top w:val="nil"/>
              <w:left w:val="nil"/>
              <w:bottom w:val="nil"/>
              <w:right w:val="nil"/>
              <w:tl2br w:val="nil"/>
              <w:tr2bl w:val="nil"/>
            </w:tcBorders>
            <w:tcMar>
              <w:left w:w="60" w:type="dxa"/>
              <w:right w:w="60" w:type="dxa"/>
            </w:tcMar>
            <w:vAlign w:val="center"/>
          </w:tcPr>
          <w:p w14:paraId="3FACD01F"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127</w:t>
            </w:r>
          </w:p>
        </w:tc>
      </w:tr>
      <w:tr w:rsidR="00807FFE" w14:paraId="5134D96A"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4E5420CE"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Medicines Agency</w:t>
            </w:r>
          </w:p>
        </w:tc>
        <w:tc>
          <w:tcPr>
            <w:tcW w:w="970" w:type="dxa"/>
            <w:tcBorders>
              <w:top w:val="nil"/>
              <w:left w:val="nil"/>
              <w:bottom w:val="nil"/>
              <w:right w:val="nil"/>
              <w:tl2br w:val="nil"/>
              <w:tr2bl w:val="nil"/>
            </w:tcBorders>
            <w:tcMar>
              <w:left w:w="60" w:type="dxa"/>
              <w:right w:w="60" w:type="dxa"/>
            </w:tcMar>
            <w:vAlign w:val="center"/>
          </w:tcPr>
          <w:p w14:paraId="0C7B626B"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747B65B4"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600</w:t>
            </w:r>
          </w:p>
        </w:tc>
        <w:tc>
          <w:tcPr>
            <w:tcW w:w="1180" w:type="dxa"/>
            <w:gridSpan w:val="2"/>
            <w:tcBorders>
              <w:top w:val="nil"/>
              <w:left w:val="nil"/>
              <w:bottom w:val="nil"/>
              <w:right w:val="nil"/>
              <w:tl2br w:val="nil"/>
              <w:tr2bl w:val="nil"/>
            </w:tcBorders>
            <w:tcMar>
              <w:left w:w="60" w:type="dxa"/>
              <w:right w:w="60" w:type="dxa"/>
            </w:tcMar>
            <w:vAlign w:val="center"/>
          </w:tcPr>
          <w:p w14:paraId="3CF9AB7E"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608</w:t>
            </w:r>
          </w:p>
        </w:tc>
      </w:tr>
      <w:tr w:rsidR="00807FFE" w14:paraId="376DDFBE"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73858CC6"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Monitoring Centre for Drugs and Drug Addiction</w:t>
            </w:r>
          </w:p>
        </w:tc>
        <w:tc>
          <w:tcPr>
            <w:tcW w:w="970" w:type="dxa"/>
            <w:tcBorders>
              <w:top w:val="nil"/>
              <w:left w:val="nil"/>
              <w:bottom w:val="nil"/>
              <w:right w:val="nil"/>
              <w:tl2br w:val="nil"/>
              <w:tr2bl w:val="nil"/>
            </w:tcBorders>
            <w:tcMar>
              <w:left w:w="60" w:type="dxa"/>
              <w:right w:w="60" w:type="dxa"/>
            </w:tcMar>
            <w:vAlign w:val="center"/>
          </w:tcPr>
          <w:p w14:paraId="65767CE4"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14:paraId="0DA22580"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1180" w:type="dxa"/>
            <w:gridSpan w:val="2"/>
            <w:tcBorders>
              <w:top w:val="nil"/>
              <w:left w:val="nil"/>
              <w:bottom w:val="nil"/>
              <w:right w:val="nil"/>
              <w:tl2br w:val="nil"/>
              <w:tr2bl w:val="nil"/>
            </w:tcBorders>
            <w:tcMar>
              <w:left w:w="60" w:type="dxa"/>
              <w:right w:w="60" w:type="dxa"/>
            </w:tcMar>
            <w:vAlign w:val="center"/>
          </w:tcPr>
          <w:p w14:paraId="20855DD8"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37</w:t>
            </w:r>
          </w:p>
        </w:tc>
      </w:tr>
      <w:tr w:rsidR="00807FFE" w14:paraId="36E6190F"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0D2D3F5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Public Prosecutor's Office</w:t>
            </w:r>
          </w:p>
        </w:tc>
        <w:tc>
          <w:tcPr>
            <w:tcW w:w="970" w:type="dxa"/>
            <w:tcBorders>
              <w:top w:val="nil"/>
              <w:left w:val="nil"/>
              <w:bottom w:val="nil"/>
              <w:right w:val="nil"/>
              <w:tl2br w:val="nil"/>
              <w:tr2bl w:val="nil"/>
            </w:tcBorders>
            <w:tcMar>
              <w:left w:w="60" w:type="dxa"/>
              <w:right w:w="60" w:type="dxa"/>
            </w:tcMar>
            <w:vAlign w:val="center"/>
          </w:tcPr>
          <w:p w14:paraId="1BE297E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5EE99F4D"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86</w:t>
            </w:r>
          </w:p>
        </w:tc>
        <w:tc>
          <w:tcPr>
            <w:tcW w:w="1180" w:type="dxa"/>
            <w:gridSpan w:val="2"/>
            <w:tcBorders>
              <w:top w:val="nil"/>
              <w:left w:val="nil"/>
              <w:bottom w:val="nil"/>
              <w:right w:val="nil"/>
              <w:tl2br w:val="nil"/>
              <w:tr2bl w:val="nil"/>
            </w:tcBorders>
            <w:tcMar>
              <w:left w:w="60" w:type="dxa"/>
              <w:right w:w="60" w:type="dxa"/>
            </w:tcMar>
            <w:vAlign w:val="center"/>
          </w:tcPr>
          <w:p w14:paraId="439143E2"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86</w:t>
            </w:r>
          </w:p>
        </w:tc>
      </w:tr>
      <w:tr w:rsidR="00807FFE" w14:paraId="2A0C0EA4"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345C13C4"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Research Council Executive Agency</w:t>
            </w:r>
          </w:p>
        </w:tc>
        <w:tc>
          <w:tcPr>
            <w:tcW w:w="970" w:type="dxa"/>
            <w:tcBorders>
              <w:top w:val="nil"/>
              <w:left w:val="nil"/>
              <w:bottom w:val="nil"/>
              <w:right w:val="nil"/>
              <w:tl2br w:val="nil"/>
              <w:tr2bl w:val="nil"/>
            </w:tcBorders>
            <w:tcMar>
              <w:left w:w="60" w:type="dxa"/>
              <w:right w:w="60" w:type="dxa"/>
            </w:tcMar>
            <w:vAlign w:val="center"/>
          </w:tcPr>
          <w:p w14:paraId="4B6F0C56"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7E3919AD"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1180" w:type="dxa"/>
            <w:gridSpan w:val="2"/>
            <w:tcBorders>
              <w:top w:val="nil"/>
              <w:left w:val="nil"/>
              <w:bottom w:val="nil"/>
              <w:right w:val="nil"/>
              <w:tl2br w:val="nil"/>
              <w:tr2bl w:val="nil"/>
            </w:tcBorders>
            <w:tcMar>
              <w:left w:w="60" w:type="dxa"/>
              <w:right w:w="60" w:type="dxa"/>
            </w:tcMar>
            <w:vAlign w:val="center"/>
          </w:tcPr>
          <w:p w14:paraId="6F9B0B43"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73</w:t>
            </w:r>
          </w:p>
        </w:tc>
      </w:tr>
      <w:tr w:rsidR="00807FFE" w14:paraId="2AC77BB2"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2B9A627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Research Executive Agency</w:t>
            </w:r>
          </w:p>
        </w:tc>
        <w:tc>
          <w:tcPr>
            <w:tcW w:w="970" w:type="dxa"/>
            <w:tcBorders>
              <w:top w:val="nil"/>
              <w:left w:val="nil"/>
              <w:bottom w:val="nil"/>
              <w:right w:val="nil"/>
              <w:tl2br w:val="nil"/>
              <w:tr2bl w:val="nil"/>
            </w:tcBorders>
            <w:tcMar>
              <w:left w:w="60" w:type="dxa"/>
              <w:right w:w="60" w:type="dxa"/>
            </w:tcMar>
            <w:vAlign w:val="center"/>
          </w:tcPr>
          <w:p w14:paraId="5CBFAA72"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1, 3</w:t>
            </w:r>
          </w:p>
        </w:tc>
        <w:tc>
          <w:tcPr>
            <w:tcW w:w="1020" w:type="dxa"/>
            <w:gridSpan w:val="2"/>
            <w:tcBorders>
              <w:top w:val="nil"/>
              <w:left w:val="nil"/>
              <w:bottom w:val="nil"/>
              <w:right w:val="nil"/>
              <w:tl2br w:val="nil"/>
              <w:tr2bl w:val="nil"/>
            </w:tcBorders>
            <w:tcMar>
              <w:left w:w="60" w:type="dxa"/>
              <w:right w:w="60" w:type="dxa"/>
            </w:tcMar>
            <w:vAlign w:val="center"/>
          </w:tcPr>
          <w:p w14:paraId="3FFABAFE"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102</w:t>
            </w:r>
          </w:p>
        </w:tc>
        <w:tc>
          <w:tcPr>
            <w:tcW w:w="1180" w:type="dxa"/>
            <w:gridSpan w:val="2"/>
            <w:tcBorders>
              <w:top w:val="nil"/>
              <w:left w:val="nil"/>
              <w:bottom w:val="nil"/>
              <w:right w:val="nil"/>
              <w:tl2br w:val="nil"/>
              <w:tr2bl w:val="nil"/>
            </w:tcBorders>
            <w:tcMar>
              <w:left w:w="60" w:type="dxa"/>
              <w:right w:w="60" w:type="dxa"/>
            </w:tcMar>
            <w:vAlign w:val="center"/>
          </w:tcPr>
          <w:p w14:paraId="10E48B7A"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127</w:t>
            </w:r>
          </w:p>
        </w:tc>
      </w:tr>
      <w:tr w:rsidR="00807FFE" w14:paraId="1DA996D2"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41E1343B"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Securities and Markets Authority</w:t>
            </w:r>
          </w:p>
        </w:tc>
        <w:tc>
          <w:tcPr>
            <w:tcW w:w="970" w:type="dxa"/>
            <w:tcBorders>
              <w:top w:val="nil"/>
              <w:left w:val="nil"/>
              <w:bottom w:val="nil"/>
              <w:right w:val="nil"/>
              <w:tl2br w:val="nil"/>
              <w:tr2bl w:val="nil"/>
            </w:tcBorders>
            <w:tcMar>
              <w:left w:w="60" w:type="dxa"/>
              <w:right w:w="60" w:type="dxa"/>
            </w:tcMar>
            <w:vAlign w:val="center"/>
          </w:tcPr>
          <w:p w14:paraId="779D89BB"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71B9C404"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82</w:t>
            </w:r>
          </w:p>
        </w:tc>
        <w:tc>
          <w:tcPr>
            <w:tcW w:w="1180" w:type="dxa"/>
            <w:gridSpan w:val="2"/>
            <w:tcBorders>
              <w:top w:val="nil"/>
              <w:left w:val="nil"/>
              <w:bottom w:val="nil"/>
              <w:right w:val="nil"/>
              <w:tl2br w:val="nil"/>
              <w:tr2bl w:val="nil"/>
            </w:tcBorders>
            <w:tcMar>
              <w:left w:w="60" w:type="dxa"/>
              <w:right w:w="60" w:type="dxa"/>
            </w:tcMar>
            <w:vAlign w:val="center"/>
          </w:tcPr>
          <w:p w14:paraId="7EA1BBAB"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86</w:t>
            </w:r>
          </w:p>
        </w:tc>
      </w:tr>
      <w:tr w:rsidR="00807FFE" w14:paraId="249672BB"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0E0BA7F8"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Training Foundation</w:t>
            </w:r>
          </w:p>
        </w:tc>
        <w:tc>
          <w:tcPr>
            <w:tcW w:w="970" w:type="dxa"/>
            <w:tcBorders>
              <w:top w:val="nil"/>
              <w:left w:val="nil"/>
              <w:bottom w:val="nil"/>
              <w:right w:val="nil"/>
              <w:tl2br w:val="nil"/>
              <w:tr2bl w:val="nil"/>
            </w:tcBorders>
            <w:tcMar>
              <w:left w:w="60" w:type="dxa"/>
              <w:right w:w="60" w:type="dxa"/>
            </w:tcMar>
            <w:vAlign w:val="center"/>
          </w:tcPr>
          <w:p w14:paraId="703798FA"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1FF49E64"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1180" w:type="dxa"/>
            <w:gridSpan w:val="2"/>
            <w:tcBorders>
              <w:top w:val="nil"/>
              <w:left w:val="nil"/>
              <w:bottom w:val="nil"/>
              <w:right w:val="nil"/>
              <w:tl2br w:val="nil"/>
              <w:tr2bl w:val="nil"/>
            </w:tcBorders>
            <w:tcMar>
              <w:left w:w="60" w:type="dxa"/>
              <w:right w:w="60" w:type="dxa"/>
            </w:tcMar>
            <w:vAlign w:val="center"/>
          </w:tcPr>
          <w:p w14:paraId="066D27A4"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29</w:t>
            </w:r>
          </w:p>
        </w:tc>
      </w:tr>
      <w:tr w:rsidR="00807FFE" w14:paraId="57822E1F"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3ABC3398"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Union Agency for Criminal Justice Cooperation</w:t>
            </w:r>
          </w:p>
        </w:tc>
        <w:tc>
          <w:tcPr>
            <w:tcW w:w="970" w:type="dxa"/>
            <w:tcBorders>
              <w:top w:val="nil"/>
              <w:left w:val="nil"/>
              <w:bottom w:val="nil"/>
              <w:right w:val="nil"/>
              <w:tl2br w:val="nil"/>
              <w:tr2bl w:val="nil"/>
            </w:tcBorders>
            <w:tcMar>
              <w:left w:w="60" w:type="dxa"/>
              <w:right w:w="60" w:type="dxa"/>
            </w:tcMar>
            <w:vAlign w:val="center"/>
          </w:tcPr>
          <w:p w14:paraId="611428E1"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5D7137B2"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68</w:t>
            </w:r>
          </w:p>
        </w:tc>
        <w:tc>
          <w:tcPr>
            <w:tcW w:w="1180" w:type="dxa"/>
            <w:gridSpan w:val="2"/>
            <w:tcBorders>
              <w:top w:val="nil"/>
              <w:left w:val="nil"/>
              <w:bottom w:val="nil"/>
              <w:right w:val="nil"/>
              <w:tl2br w:val="nil"/>
              <w:tr2bl w:val="nil"/>
            </w:tcBorders>
            <w:tcMar>
              <w:left w:w="60" w:type="dxa"/>
              <w:right w:w="60" w:type="dxa"/>
            </w:tcMar>
            <w:vAlign w:val="center"/>
          </w:tcPr>
          <w:p w14:paraId="5B72A072"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78</w:t>
            </w:r>
          </w:p>
        </w:tc>
      </w:tr>
      <w:tr w:rsidR="00807FFE" w14:paraId="47B97DA2"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38304D01"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Union Agency for Cybersecurity</w:t>
            </w:r>
          </w:p>
        </w:tc>
        <w:tc>
          <w:tcPr>
            <w:tcW w:w="970" w:type="dxa"/>
            <w:tcBorders>
              <w:top w:val="nil"/>
              <w:left w:val="nil"/>
              <w:bottom w:val="nil"/>
              <w:right w:val="nil"/>
              <w:tl2br w:val="nil"/>
              <w:tr2bl w:val="nil"/>
            </w:tcBorders>
            <w:tcMar>
              <w:left w:w="60" w:type="dxa"/>
              <w:right w:w="60" w:type="dxa"/>
            </w:tcMar>
            <w:vAlign w:val="center"/>
          </w:tcPr>
          <w:p w14:paraId="3006EEDD"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1506636A"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180" w:type="dxa"/>
            <w:gridSpan w:val="2"/>
            <w:tcBorders>
              <w:top w:val="nil"/>
              <w:left w:val="nil"/>
              <w:bottom w:val="nil"/>
              <w:right w:val="nil"/>
              <w:tl2br w:val="nil"/>
              <w:tr2bl w:val="nil"/>
            </w:tcBorders>
            <w:tcMar>
              <w:left w:w="60" w:type="dxa"/>
              <w:right w:w="60" w:type="dxa"/>
            </w:tcMar>
            <w:vAlign w:val="center"/>
          </w:tcPr>
          <w:p w14:paraId="312085CB"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55</w:t>
            </w:r>
          </w:p>
        </w:tc>
      </w:tr>
      <w:tr w:rsidR="00807FFE" w14:paraId="51B18987"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3215953B"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Union Agency for Law Enforcement Cooperation</w:t>
            </w:r>
          </w:p>
        </w:tc>
        <w:tc>
          <w:tcPr>
            <w:tcW w:w="970" w:type="dxa"/>
            <w:tcBorders>
              <w:top w:val="nil"/>
              <w:left w:val="nil"/>
              <w:bottom w:val="nil"/>
              <w:right w:val="nil"/>
              <w:tl2br w:val="nil"/>
              <w:tr2bl w:val="nil"/>
            </w:tcBorders>
            <w:tcMar>
              <w:left w:w="60" w:type="dxa"/>
              <w:right w:w="60" w:type="dxa"/>
            </w:tcMar>
            <w:vAlign w:val="center"/>
          </w:tcPr>
          <w:p w14:paraId="010AC91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14:paraId="15D00903"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246</w:t>
            </w:r>
          </w:p>
        </w:tc>
        <w:tc>
          <w:tcPr>
            <w:tcW w:w="1180" w:type="dxa"/>
            <w:gridSpan w:val="2"/>
            <w:tcBorders>
              <w:top w:val="nil"/>
              <w:left w:val="nil"/>
              <w:bottom w:val="nil"/>
              <w:right w:val="nil"/>
              <w:tl2br w:val="nil"/>
              <w:tr2bl w:val="nil"/>
            </w:tcBorders>
            <w:tcMar>
              <w:left w:w="60" w:type="dxa"/>
              <w:right w:w="60" w:type="dxa"/>
            </w:tcMar>
            <w:vAlign w:val="center"/>
          </w:tcPr>
          <w:p w14:paraId="68F67348"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243</w:t>
            </w:r>
          </w:p>
        </w:tc>
      </w:tr>
      <w:tr w:rsidR="00807FFE" w14:paraId="03993324"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22F5E5A6"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Union Agency for Law Enforcement Training</w:t>
            </w:r>
          </w:p>
        </w:tc>
        <w:tc>
          <w:tcPr>
            <w:tcW w:w="970" w:type="dxa"/>
            <w:tcBorders>
              <w:top w:val="nil"/>
              <w:left w:val="nil"/>
              <w:bottom w:val="nil"/>
              <w:right w:val="nil"/>
              <w:tl2br w:val="nil"/>
              <w:tr2bl w:val="nil"/>
            </w:tcBorders>
            <w:tcMar>
              <w:left w:w="60" w:type="dxa"/>
              <w:right w:w="60" w:type="dxa"/>
            </w:tcMar>
            <w:vAlign w:val="center"/>
          </w:tcPr>
          <w:p w14:paraId="4E77D078"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14:paraId="65856A27"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13</w:t>
            </w:r>
          </w:p>
        </w:tc>
        <w:tc>
          <w:tcPr>
            <w:tcW w:w="1180" w:type="dxa"/>
            <w:gridSpan w:val="2"/>
            <w:tcBorders>
              <w:top w:val="nil"/>
              <w:left w:val="nil"/>
              <w:bottom w:val="nil"/>
              <w:right w:val="nil"/>
              <w:tl2br w:val="nil"/>
              <w:tr2bl w:val="nil"/>
            </w:tcBorders>
            <w:tcMar>
              <w:left w:w="60" w:type="dxa"/>
              <w:right w:w="60" w:type="dxa"/>
            </w:tcMar>
            <w:vAlign w:val="center"/>
          </w:tcPr>
          <w:p w14:paraId="4A463CD9"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w:t>
            </w:r>
          </w:p>
        </w:tc>
      </w:tr>
      <w:tr w:rsidR="00807FFE" w14:paraId="4F8A4EAB"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274BAB8B"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Union Agency for Railways</w:t>
            </w:r>
          </w:p>
        </w:tc>
        <w:tc>
          <w:tcPr>
            <w:tcW w:w="970" w:type="dxa"/>
            <w:tcBorders>
              <w:top w:val="nil"/>
              <w:left w:val="nil"/>
              <w:bottom w:val="nil"/>
              <w:right w:val="nil"/>
              <w:tl2br w:val="nil"/>
              <w:tr2bl w:val="nil"/>
            </w:tcBorders>
            <w:tcMar>
              <w:left w:w="60" w:type="dxa"/>
              <w:right w:w="60" w:type="dxa"/>
            </w:tcMar>
            <w:vAlign w:val="center"/>
          </w:tcPr>
          <w:p w14:paraId="1D00C791"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41F4D7DF"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31</w:t>
            </w:r>
          </w:p>
        </w:tc>
        <w:tc>
          <w:tcPr>
            <w:tcW w:w="1180" w:type="dxa"/>
            <w:gridSpan w:val="2"/>
            <w:tcBorders>
              <w:top w:val="nil"/>
              <w:left w:val="nil"/>
              <w:bottom w:val="nil"/>
              <w:right w:val="nil"/>
              <w:tl2br w:val="nil"/>
              <w:tr2bl w:val="nil"/>
            </w:tcBorders>
            <w:tcMar>
              <w:left w:w="60" w:type="dxa"/>
              <w:right w:w="60" w:type="dxa"/>
            </w:tcMar>
            <w:vAlign w:val="center"/>
          </w:tcPr>
          <w:p w14:paraId="690A69D0"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47</w:t>
            </w:r>
          </w:p>
        </w:tc>
      </w:tr>
      <w:tr w:rsidR="00807FFE" w14:paraId="51C15914"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07F8C48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Union Agency for the Space Programme</w:t>
            </w:r>
          </w:p>
        </w:tc>
        <w:tc>
          <w:tcPr>
            <w:tcW w:w="970" w:type="dxa"/>
            <w:tcBorders>
              <w:top w:val="nil"/>
              <w:left w:val="nil"/>
              <w:bottom w:val="nil"/>
              <w:right w:val="nil"/>
              <w:tl2br w:val="nil"/>
              <w:tr2bl w:val="nil"/>
            </w:tcBorders>
            <w:tcMar>
              <w:left w:w="60" w:type="dxa"/>
              <w:right w:w="60" w:type="dxa"/>
            </w:tcMar>
            <w:vAlign w:val="center"/>
          </w:tcPr>
          <w:p w14:paraId="6D9715D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582D29C0"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83</w:t>
            </w:r>
          </w:p>
        </w:tc>
        <w:tc>
          <w:tcPr>
            <w:tcW w:w="1180" w:type="dxa"/>
            <w:gridSpan w:val="2"/>
            <w:tcBorders>
              <w:top w:val="nil"/>
              <w:left w:val="nil"/>
              <w:bottom w:val="nil"/>
              <w:right w:val="nil"/>
              <w:tl2br w:val="nil"/>
              <w:tr2bl w:val="nil"/>
            </w:tcBorders>
            <w:tcMar>
              <w:left w:w="60" w:type="dxa"/>
              <w:right w:w="60" w:type="dxa"/>
            </w:tcMar>
            <w:vAlign w:val="center"/>
          </w:tcPr>
          <w:p w14:paraId="57A78C61"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1 164</w:t>
            </w:r>
          </w:p>
        </w:tc>
      </w:tr>
      <w:tr w:rsidR="00807FFE" w14:paraId="0F83F72B"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01832711"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Union Fundamental Rights Agency</w:t>
            </w:r>
          </w:p>
        </w:tc>
        <w:tc>
          <w:tcPr>
            <w:tcW w:w="970" w:type="dxa"/>
            <w:tcBorders>
              <w:top w:val="nil"/>
              <w:left w:val="nil"/>
              <w:bottom w:val="nil"/>
              <w:right w:val="nil"/>
              <w:tl2br w:val="nil"/>
              <w:tr2bl w:val="nil"/>
            </w:tcBorders>
            <w:tcMar>
              <w:left w:w="60" w:type="dxa"/>
              <w:right w:w="60" w:type="dxa"/>
            </w:tcMar>
            <w:vAlign w:val="center"/>
          </w:tcPr>
          <w:p w14:paraId="1F7E5FA4"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14:paraId="4E27CD5A"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1180" w:type="dxa"/>
            <w:gridSpan w:val="2"/>
            <w:tcBorders>
              <w:top w:val="nil"/>
              <w:left w:val="nil"/>
              <w:bottom w:val="nil"/>
              <w:right w:val="nil"/>
              <w:tl2br w:val="nil"/>
              <w:tr2bl w:val="nil"/>
            </w:tcBorders>
            <w:tcMar>
              <w:left w:w="60" w:type="dxa"/>
              <w:right w:w="60" w:type="dxa"/>
            </w:tcMar>
            <w:vAlign w:val="center"/>
          </w:tcPr>
          <w:p w14:paraId="67FDD291"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27</w:t>
            </w:r>
          </w:p>
        </w:tc>
      </w:tr>
      <w:tr w:rsidR="00807FFE" w14:paraId="5EFDE16D"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54ADF513"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European Union Intellectual Property Office</w:t>
            </w:r>
          </w:p>
        </w:tc>
        <w:tc>
          <w:tcPr>
            <w:tcW w:w="970" w:type="dxa"/>
            <w:tcBorders>
              <w:top w:val="nil"/>
              <w:left w:val="nil"/>
              <w:bottom w:val="nil"/>
              <w:right w:val="nil"/>
              <w:tl2br w:val="nil"/>
              <w:tr2bl w:val="nil"/>
            </w:tcBorders>
            <w:tcMar>
              <w:left w:w="60" w:type="dxa"/>
              <w:right w:w="60" w:type="dxa"/>
            </w:tcMar>
            <w:vAlign w:val="center"/>
          </w:tcPr>
          <w:p w14:paraId="309FCC8B"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N/A</w:t>
            </w:r>
          </w:p>
        </w:tc>
        <w:tc>
          <w:tcPr>
            <w:tcW w:w="1020" w:type="dxa"/>
            <w:gridSpan w:val="2"/>
            <w:tcBorders>
              <w:top w:val="nil"/>
              <w:left w:val="nil"/>
              <w:bottom w:val="nil"/>
              <w:right w:val="nil"/>
              <w:tl2br w:val="nil"/>
              <w:tr2bl w:val="nil"/>
            </w:tcBorders>
            <w:tcMar>
              <w:left w:w="60" w:type="dxa"/>
              <w:right w:w="60" w:type="dxa"/>
            </w:tcMar>
            <w:vAlign w:val="center"/>
          </w:tcPr>
          <w:p w14:paraId="7D76C6E3"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480</w:t>
            </w:r>
          </w:p>
        </w:tc>
        <w:tc>
          <w:tcPr>
            <w:tcW w:w="1180" w:type="dxa"/>
            <w:gridSpan w:val="2"/>
            <w:tcBorders>
              <w:top w:val="nil"/>
              <w:left w:val="nil"/>
              <w:bottom w:val="nil"/>
              <w:right w:val="nil"/>
              <w:tl2br w:val="nil"/>
              <w:tr2bl w:val="nil"/>
            </w:tcBorders>
            <w:tcMar>
              <w:left w:w="60" w:type="dxa"/>
              <w:right w:w="60" w:type="dxa"/>
            </w:tcMar>
            <w:vAlign w:val="center"/>
          </w:tcPr>
          <w:p w14:paraId="50B8DCDD"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501</w:t>
            </w:r>
          </w:p>
        </w:tc>
      </w:tr>
      <w:tr w:rsidR="00807FFE" w14:paraId="414E3DFF"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4CBDF5F4"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Fusion for Energy Joint Undertaking</w:t>
            </w:r>
          </w:p>
        </w:tc>
        <w:tc>
          <w:tcPr>
            <w:tcW w:w="970" w:type="dxa"/>
            <w:tcBorders>
              <w:top w:val="nil"/>
              <w:left w:val="nil"/>
              <w:bottom w:val="nil"/>
              <w:right w:val="nil"/>
              <w:tl2br w:val="nil"/>
              <w:tr2bl w:val="nil"/>
            </w:tcBorders>
            <w:tcMar>
              <w:left w:w="60" w:type="dxa"/>
              <w:right w:w="60" w:type="dxa"/>
            </w:tcMar>
            <w:vAlign w:val="center"/>
          </w:tcPr>
          <w:p w14:paraId="2E9165F0"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14:paraId="1B0068EE"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646</w:t>
            </w:r>
          </w:p>
        </w:tc>
        <w:tc>
          <w:tcPr>
            <w:tcW w:w="1180" w:type="dxa"/>
            <w:gridSpan w:val="2"/>
            <w:tcBorders>
              <w:top w:val="nil"/>
              <w:left w:val="nil"/>
              <w:bottom w:val="nil"/>
              <w:right w:val="nil"/>
              <w:tl2br w:val="nil"/>
              <w:tr2bl w:val="nil"/>
            </w:tcBorders>
            <w:tcMar>
              <w:left w:w="60" w:type="dxa"/>
              <w:right w:w="60" w:type="dxa"/>
            </w:tcMar>
            <w:vAlign w:val="center"/>
          </w:tcPr>
          <w:p w14:paraId="79C62389"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799</w:t>
            </w:r>
          </w:p>
        </w:tc>
      </w:tr>
      <w:tr w:rsidR="00807FFE" w14:paraId="0BE63A44" w14:textId="77777777" w:rsidTr="00EC36D2">
        <w:trPr>
          <w:trHeight w:val="227"/>
        </w:trPr>
        <w:tc>
          <w:tcPr>
            <w:tcW w:w="6582" w:type="dxa"/>
            <w:gridSpan w:val="2"/>
            <w:tcBorders>
              <w:top w:val="nil"/>
              <w:left w:val="nil"/>
              <w:bottom w:val="nil"/>
              <w:right w:val="nil"/>
              <w:tl2br w:val="nil"/>
              <w:tr2bl w:val="nil"/>
            </w:tcBorders>
            <w:tcMar>
              <w:left w:w="60" w:type="dxa"/>
              <w:right w:w="60" w:type="dxa"/>
            </w:tcMar>
            <w:vAlign w:val="center"/>
          </w:tcPr>
          <w:p w14:paraId="71AD49F5"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Translation Centre for the Bodies of the European Union</w:t>
            </w:r>
          </w:p>
        </w:tc>
        <w:tc>
          <w:tcPr>
            <w:tcW w:w="970" w:type="dxa"/>
            <w:tcBorders>
              <w:top w:val="nil"/>
              <w:left w:val="nil"/>
              <w:bottom w:val="nil"/>
              <w:right w:val="nil"/>
              <w:tl2br w:val="nil"/>
              <w:tr2bl w:val="nil"/>
            </w:tcBorders>
            <w:tcMar>
              <w:left w:w="60" w:type="dxa"/>
              <w:right w:w="60" w:type="dxa"/>
            </w:tcMar>
            <w:vAlign w:val="center"/>
          </w:tcPr>
          <w:p w14:paraId="1FFB328B" w14:textId="77777777" w:rsidR="00807FFE" w:rsidRDefault="00023E71">
            <w:pPr>
              <w:pStyle w:val="DMETW36778BIPAgencies1Revenue"/>
              <w:rPr>
                <w:rFonts w:ascii="Verdana" w:eastAsia="Verdana" w:hAnsi="Verdana" w:cs="Verdana"/>
                <w:noProof/>
                <w:color w:val="000000"/>
                <w:sz w:val="16"/>
              </w:rPr>
            </w:pPr>
            <w:r>
              <w:rPr>
                <w:rFonts w:ascii="Verdana" w:eastAsia="Verdana" w:hAnsi="Verdana" w:cs="Verdana"/>
                <w:noProof/>
                <w:color w:val="000000"/>
                <w:sz w:val="16"/>
              </w:rPr>
              <w:t>7</w:t>
            </w:r>
          </w:p>
        </w:tc>
        <w:tc>
          <w:tcPr>
            <w:tcW w:w="1020" w:type="dxa"/>
            <w:gridSpan w:val="2"/>
            <w:tcBorders>
              <w:top w:val="nil"/>
              <w:left w:val="nil"/>
              <w:bottom w:val="nil"/>
              <w:right w:val="nil"/>
              <w:tl2br w:val="nil"/>
              <w:tr2bl w:val="nil"/>
            </w:tcBorders>
            <w:tcMar>
              <w:left w:w="60" w:type="dxa"/>
              <w:right w:w="60" w:type="dxa"/>
            </w:tcMar>
            <w:vAlign w:val="center"/>
          </w:tcPr>
          <w:p w14:paraId="02CEBFC3" w14:textId="77777777" w:rsidR="00807FFE" w:rsidRDefault="00023E71">
            <w:pPr>
              <w:pStyle w:val="DMETW36778BIPAgencies1Revenue"/>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1180" w:type="dxa"/>
            <w:gridSpan w:val="2"/>
            <w:tcBorders>
              <w:top w:val="nil"/>
              <w:left w:val="nil"/>
              <w:bottom w:val="nil"/>
              <w:right w:val="nil"/>
              <w:tl2br w:val="nil"/>
              <w:tr2bl w:val="nil"/>
            </w:tcBorders>
            <w:tcMar>
              <w:left w:w="60" w:type="dxa"/>
              <w:right w:w="60" w:type="dxa"/>
            </w:tcMar>
            <w:vAlign w:val="center"/>
          </w:tcPr>
          <w:p w14:paraId="509F5755" w14:textId="77777777" w:rsidR="00807FFE" w:rsidRDefault="00023E71">
            <w:pPr>
              <w:pStyle w:val="DMETW36778BIPAgencies1Revenu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45</w:t>
            </w:r>
          </w:p>
        </w:tc>
      </w:tr>
      <w:tr w:rsidR="00807FFE" w14:paraId="217A0DD6" w14:textId="77777777" w:rsidTr="00EC36D2">
        <w:trPr>
          <w:trHeight w:val="275"/>
        </w:trPr>
        <w:tc>
          <w:tcPr>
            <w:tcW w:w="6582" w:type="dxa"/>
            <w:gridSpan w:val="2"/>
            <w:tcBorders>
              <w:top w:val="nil"/>
              <w:left w:val="nil"/>
              <w:bottom w:val="nil"/>
              <w:right w:val="nil"/>
              <w:tl2br w:val="nil"/>
              <w:tr2bl w:val="nil"/>
            </w:tcBorders>
            <w:shd w:val="solid" w:color="CCE1EA" w:fill="FFFFFF"/>
            <w:tcMar>
              <w:left w:w="60" w:type="dxa"/>
              <w:right w:w="60" w:type="dxa"/>
            </w:tcMar>
            <w:vAlign w:val="center"/>
          </w:tcPr>
          <w:p w14:paraId="1A55F9C7" w14:textId="77777777" w:rsidR="00807FFE" w:rsidRDefault="00023E71">
            <w:pPr>
              <w:pStyle w:val="DMETW36778BIPAgencies1Revenue"/>
              <w:rPr>
                <w:rFonts w:ascii="Verdana" w:eastAsia="Verdana" w:hAnsi="Verdana" w:cs="Verdana"/>
                <w:b/>
                <w:noProof/>
                <w:color w:val="000000"/>
                <w:sz w:val="16"/>
              </w:rPr>
            </w:pPr>
            <w:r>
              <w:rPr>
                <w:rFonts w:ascii="Verdana" w:eastAsia="Verdana" w:hAnsi="Verdana" w:cs="Verdana"/>
                <w:b/>
                <w:noProof/>
                <w:color w:val="000000"/>
                <w:sz w:val="16"/>
              </w:rPr>
              <w:t>Total</w:t>
            </w:r>
          </w:p>
        </w:tc>
        <w:tc>
          <w:tcPr>
            <w:tcW w:w="970" w:type="dxa"/>
            <w:tcBorders>
              <w:top w:val="nil"/>
              <w:left w:val="nil"/>
              <w:bottom w:val="nil"/>
              <w:right w:val="nil"/>
              <w:tl2br w:val="nil"/>
              <w:tr2bl w:val="nil"/>
            </w:tcBorders>
            <w:shd w:val="solid" w:color="CCE1EA" w:fill="FFFFFF"/>
            <w:tcMar>
              <w:left w:w="60" w:type="dxa"/>
              <w:right w:w="60" w:type="dxa"/>
            </w:tcMar>
            <w:vAlign w:val="center"/>
          </w:tcPr>
          <w:p w14:paraId="6F5C0E2C" w14:textId="77777777" w:rsidR="00807FFE" w:rsidRDefault="00807FFE">
            <w:pPr>
              <w:pStyle w:val="DMETW36778BIPAgencies1Revenue"/>
              <w:rPr>
                <w:rFonts w:ascii="Verdana" w:eastAsia="Verdana" w:hAnsi="Verdana" w:cs="Verdana"/>
                <w:b/>
                <w:noProof/>
                <w:color w:val="000000"/>
                <w:sz w:val="16"/>
              </w:rPr>
            </w:pPr>
          </w:p>
        </w:tc>
        <w:tc>
          <w:tcPr>
            <w:tcW w:w="1020" w:type="dxa"/>
            <w:gridSpan w:val="2"/>
            <w:tcBorders>
              <w:top w:val="nil"/>
              <w:left w:val="nil"/>
              <w:bottom w:val="nil"/>
              <w:right w:val="nil"/>
              <w:tl2br w:val="nil"/>
              <w:tr2bl w:val="nil"/>
            </w:tcBorders>
            <w:shd w:val="solid" w:color="CCE1EA" w:fill="FFFFFF"/>
            <w:tcMar>
              <w:left w:w="60" w:type="dxa"/>
              <w:right w:w="60" w:type="dxa"/>
            </w:tcMar>
            <w:vAlign w:val="center"/>
          </w:tcPr>
          <w:p w14:paraId="3998A7BE" w14:textId="77777777" w:rsidR="00807FFE" w:rsidRDefault="00023E71">
            <w:pPr>
              <w:pStyle w:val="DMETW36778BIPAgencies1Revenue"/>
              <w:jc w:val="right"/>
              <w:rPr>
                <w:rFonts w:ascii="Verdana" w:eastAsia="Verdana" w:hAnsi="Verdana" w:cs="Verdana"/>
                <w:b/>
                <w:noProof/>
                <w:color w:val="000000"/>
                <w:sz w:val="16"/>
              </w:rPr>
            </w:pPr>
            <w:r>
              <w:rPr>
                <w:rFonts w:ascii="Verdana" w:eastAsia="Verdana" w:hAnsi="Verdana" w:cs="Verdana"/>
                <w:b/>
                <w:noProof/>
                <w:color w:val="000000"/>
                <w:sz w:val="16"/>
              </w:rPr>
              <w:t>6 356</w:t>
            </w:r>
          </w:p>
        </w:tc>
        <w:tc>
          <w:tcPr>
            <w:tcW w:w="1180" w:type="dxa"/>
            <w:gridSpan w:val="2"/>
            <w:tcBorders>
              <w:top w:val="nil"/>
              <w:left w:val="nil"/>
              <w:bottom w:val="nil"/>
              <w:right w:val="nil"/>
              <w:tl2br w:val="nil"/>
              <w:tr2bl w:val="nil"/>
            </w:tcBorders>
            <w:shd w:val="solid" w:color="CCE1EA" w:fill="FFFFFF"/>
            <w:tcMar>
              <w:left w:w="60" w:type="dxa"/>
              <w:right w:w="60" w:type="dxa"/>
            </w:tcMar>
            <w:vAlign w:val="center"/>
          </w:tcPr>
          <w:p w14:paraId="3068044F" w14:textId="77777777" w:rsidR="00807FFE" w:rsidRDefault="00023E71">
            <w:pPr>
              <w:pStyle w:val="DMETW36778BIPAgencies1Revenue"/>
              <w:jc w:val="right"/>
              <w:rPr>
                <w:rFonts w:ascii="Verdana" w:eastAsia="Verdana" w:hAnsi="Verdana" w:cs="Verdana"/>
                <w:b/>
                <w:noProof/>
                <w:color w:val="000000"/>
                <w:sz w:val="16"/>
              </w:rPr>
            </w:pPr>
            <w:r>
              <w:rPr>
                <w:rFonts w:ascii="Verdana" w:eastAsia="Verdana" w:hAnsi="Verdana" w:cs="Verdana"/>
                <w:b/>
                <w:noProof/>
                <w:color w:val="000000"/>
                <w:sz w:val="16"/>
              </w:rPr>
              <w:t>7 581</w:t>
            </w:r>
          </w:p>
        </w:tc>
      </w:tr>
      <w:tr w:rsidR="00807FFE" w14:paraId="51AE1706" w14:textId="77777777" w:rsidTr="00EC36D2">
        <w:trPr>
          <w:cantSplit/>
          <w:trHeight w:val="227"/>
          <w:tblHeader/>
        </w:trPr>
        <w:tc>
          <w:tcPr>
            <w:tcW w:w="6325" w:type="dxa"/>
            <w:tcBorders>
              <w:top w:val="nil"/>
              <w:left w:val="nil"/>
              <w:bottom w:val="nil"/>
              <w:right w:val="nil"/>
              <w:tl2br w:val="nil"/>
              <w:tr2bl w:val="nil"/>
            </w:tcBorders>
            <w:tcMar>
              <w:left w:w="60" w:type="dxa"/>
              <w:right w:w="60" w:type="dxa"/>
            </w:tcMar>
            <w:vAlign w:val="center"/>
          </w:tcPr>
          <w:p w14:paraId="1886D4DC" w14:textId="77777777" w:rsidR="00F9343C" w:rsidRDefault="00F9343C">
            <w:pPr>
              <w:pStyle w:val="DMETW36778BIPAgencies2TypeofRevenue"/>
              <w:rPr>
                <w:rFonts w:ascii="Verdana" w:eastAsia="Verdana" w:hAnsi="Verdana" w:cs="Verdana"/>
                <w:noProof/>
                <w:color w:val="000000"/>
                <w:sz w:val="16"/>
                <w:lang w:bidi="en-GB"/>
              </w:rPr>
            </w:pPr>
            <w:bookmarkStart w:id="329" w:name="DOC_TBL00128_1_1"/>
            <w:bookmarkEnd w:id="329"/>
          </w:p>
        </w:tc>
        <w:tc>
          <w:tcPr>
            <w:tcW w:w="1287" w:type="dxa"/>
            <w:gridSpan w:val="3"/>
            <w:tcBorders>
              <w:top w:val="nil"/>
              <w:left w:val="nil"/>
              <w:bottom w:val="nil"/>
              <w:right w:val="nil"/>
              <w:tl2br w:val="nil"/>
              <w:tr2bl w:val="nil"/>
            </w:tcBorders>
            <w:tcMar>
              <w:left w:w="60" w:type="dxa"/>
              <w:right w:w="60" w:type="dxa"/>
            </w:tcMar>
            <w:vAlign w:val="center"/>
          </w:tcPr>
          <w:p w14:paraId="07A0C08F" w14:textId="77777777" w:rsidR="008F139E" w:rsidRDefault="008F139E">
            <w:pPr>
              <w:pStyle w:val="DMETW36778BIPAgencies2TypeofRevenue"/>
              <w:rPr>
                <w:rFonts w:ascii="Verdana" w:eastAsia="Verdana" w:hAnsi="Verdana" w:cs="Verdana"/>
                <w:noProof/>
                <w:color w:val="000000"/>
                <w:sz w:val="16"/>
              </w:rPr>
            </w:pPr>
            <w:bookmarkStart w:id="330" w:name="DOC_TBL00128_1_2"/>
            <w:bookmarkEnd w:id="330"/>
          </w:p>
        </w:tc>
        <w:tc>
          <w:tcPr>
            <w:tcW w:w="1034" w:type="dxa"/>
            <w:gridSpan w:val="2"/>
            <w:tcBorders>
              <w:top w:val="nil"/>
              <w:left w:val="nil"/>
              <w:bottom w:val="nil"/>
              <w:right w:val="nil"/>
              <w:tl2br w:val="nil"/>
              <w:tr2bl w:val="nil"/>
            </w:tcBorders>
            <w:tcMar>
              <w:left w:w="60" w:type="dxa"/>
              <w:right w:w="60" w:type="dxa"/>
            </w:tcMar>
            <w:vAlign w:val="center"/>
          </w:tcPr>
          <w:p w14:paraId="3D07F01D" w14:textId="77777777" w:rsidR="008F139E" w:rsidRDefault="008F139E">
            <w:pPr>
              <w:pStyle w:val="DMETW36778BIPAgencies2TypeofRevenue"/>
              <w:jc w:val="right"/>
              <w:rPr>
                <w:rFonts w:ascii="Verdana" w:eastAsia="Verdana" w:hAnsi="Verdana" w:cs="Verdana"/>
                <w:noProof/>
                <w:color w:val="000000"/>
                <w:sz w:val="16"/>
              </w:rPr>
            </w:pPr>
            <w:bookmarkStart w:id="331" w:name="DOC_TBL00128_1_3"/>
            <w:bookmarkEnd w:id="331"/>
          </w:p>
        </w:tc>
        <w:tc>
          <w:tcPr>
            <w:tcW w:w="1106" w:type="dxa"/>
            <w:tcBorders>
              <w:top w:val="nil"/>
              <w:left w:val="nil"/>
              <w:bottom w:val="nil"/>
              <w:right w:val="nil"/>
              <w:tl2br w:val="nil"/>
              <w:tr2bl w:val="nil"/>
            </w:tcBorders>
            <w:tcMar>
              <w:left w:w="60" w:type="dxa"/>
              <w:right w:w="60" w:type="dxa"/>
            </w:tcMar>
            <w:vAlign w:val="center"/>
          </w:tcPr>
          <w:p w14:paraId="74934AEB" w14:textId="77777777" w:rsidR="008F139E" w:rsidRDefault="00023E71">
            <w:pPr>
              <w:pStyle w:val="DMETW36778BIPAgencies2TypeofRevenue"/>
              <w:jc w:val="right"/>
              <w:rPr>
                <w:rFonts w:ascii="Verdana" w:eastAsia="Verdana" w:hAnsi="Verdana" w:cs="Verdana"/>
                <w:i/>
                <w:noProof/>
                <w:color w:val="000000"/>
                <w:sz w:val="16"/>
                <w:lang w:bidi="en-GB"/>
              </w:rPr>
            </w:pPr>
            <w:bookmarkStart w:id="332" w:name="DOC_TBL00128_1_4"/>
            <w:r>
              <w:rPr>
                <w:rFonts w:ascii="Verdana" w:eastAsia="Verdana" w:hAnsi="Verdana" w:cs="Verdana"/>
                <w:i/>
                <w:noProof/>
                <w:color w:val="000000"/>
                <w:sz w:val="16"/>
                <w:lang w:bidi="en-GB"/>
              </w:rPr>
              <w:t>EUR million</w:t>
            </w:r>
            <w:bookmarkEnd w:id="332"/>
          </w:p>
        </w:tc>
      </w:tr>
      <w:tr w:rsidR="00807FFE" w14:paraId="74478AA4" w14:textId="77777777" w:rsidTr="00EC36D2">
        <w:trPr>
          <w:cantSplit/>
          <w:trHeight w:val="227"/>
          <w:tblHeader/>
        </w:trPr>
        <w:tc>
          <w:tcPr>
            <w:tcW w:w="6325" w:type="dxa"/>
            <w:tcBorders>
              <w:top w:val="nil"/>
              <w:left w:val="nil"/>
              <w:bottom w:val="nil"/>
              <w:right w:val="nil"/>
              <w:tl2br w:val="nil"/>
              <w:tr2bl w:val="nil"/>
            </w:tcBorders>
            <w:shd w:val="solid" w:color="016794" w:fill="FFFFFF"/>
            <w:tcMar>
              <w:left w:w="60" w:type="dxa"/>
              <w:right w:w="60" w:type="dxa"/>
            </w:tcMar>
            <w:vAlign w:val="center"/>
          </w:tcPr>
          <w:p w14:paraId="1EB6328C" w14:textId="77777777" w:rsidR="008F139E" w:rsidRDefault="00023E71">
            <w:pPr>
              <w:pStyle w:val="DMETW36778BIPAgencies2TypeofRevenue"/>
              <w:jc w:val="center"/>
              <w:rPr>
                <w:rFonts w:ascii="Verdana" w:eastAsia="Verdana" w:hAnsi="Verdana" w:cs="Verdana"/>
                <w:noProof/>
                <w:color w:val="FFFFFF"/>
                <w:sz w:val="16"/>
              </w:rPr>
            </w:pPr>
            <w:bookmarkStart w:id="333" w:name="DOC_TBL00128_2_1"/>
            <w:r>
              <w:rPr>
                <w:rFonts w:ascii="Verdana" w:eastAsia="Verdana" w:hAnsi="Verdana" w:cs="Verdana"/>
                <w:noProof/>
                <w:color w:val="FFFFFF"/>
                <w:sz w:val="16"/>
              </w:rPr>
              <w:t>Type of agencies revenue</w:t>
            </w:r>
            <w:bookmarkEnd w:id="333"/>
          </w:p>
        </w:tc>
        <w:tc>
          <w:tcPr>
            <w:tcW w:w="1287" w:type="dxa"/>
            <w:gridSpan w:val="3"/>
            <w:tcBorders>
              <w:top w:val="nil"/>
              <w:left w:val="nil"/>
              <w:bottom w:val="nil"/>
              <w:right w:val="nil"/>
              <w:tl2br w:val="nil"/>
              <w:tr2bl w:val="nil"/>
            </w:tcBorders>
            <w:shd w:val="solid" w:color="016794" w:fill="FFFFFF"/>
            <w:tcMar>
              <w:left w:w="60" w:type="dxa"/>
              <w:right w:w="60" w:type="dxa"/>
            </w:tcMar>
            <w:vAlign w:val="center"/>
          </w:tcPr>
          <w:p w14:paraId="4EBDF7E1" w14:textId="77777777" w:rsidR="008F139E" w:rsidRDefault="008F139E">
            <w:pPr>
              <w:pStyle w:val="DMETW36778BIPAgencies2TypeofRevenue"/>
              <w:jc w:val="center"/>
              <w:rPr>
                <w:rFonts w:ascii="Verdana" w:eastAsia="Verdana" w:hAnsi="Verdana" w:cs="Verdana"/>
                <w:noProof/>
                <w:color w:val="FFFFFF"/>
                <w:sz w:val="16"/>
              </w:rPr>
            </w:pPr>
            <w:bookmarkStart w:id="334" w:name="DOC_TBL00128_2_2"/>
            <w:bookmarkEnd w:id="334"/>
          </w:p>
        </w:tc>
        <w:tc>
          <w:tcPr>
            <w:tcW w:w="1034" w:type="dxa"/>
            <w:gridSpan w:val="2"/>
            <w:tcBorders>
              <w:top w:val="nil"/>
              <w:left w:val="nil"/>
              <w:bottom w:val="nil"/>
              <w:right w:val="nil"/>
              <w:tl2br w:val="nil"/>
              <w:tr2bl w:val="nil"/>
            </w:tcBorders>
            <w:shd w:val="solid" w:color="016794" w:fill="FFFFFF"/>
            <w:tcMar>
              <w:left w:w="60" w:type="dxa"/>
              <w:right w:w="60" w:type="dxa"/>
            </w:tcMar>
            <w:vAlign w:val="center"/>
          </w:tcPr>
          <w:p w14:paraId="68DB5677" w14:textId="77777777" w:rsidR="008F139E" w:rsidRDefault="008F139E">
            <w:pPr>
              <w:pStyle w:val="DMETW36778BIPAgencies2TypeofRevenue"/>
              <w:jc w:val="center"/>
              <w:rPr>
                <w:rFonts w:ascii="Verdana" w:eastAsia="Verdana" w:hAnsi="Verdana" w:cs="Verdana"/>
                <w:noProof/>
                <w:color w:val="FFFFFF"/>
                <w:sz w:val="16"/>
              </w:rPr>
            </w:pPr>
            <w:bookmarkStart w:id="335" w:name="DOC_TBL00128_2_3"/>
            <w:bookmarkEnd w:id="335"/>
          </w:p>
        </w:tc>
        <w:tc>
          <w:tcPr>
            <w:tcW w:w="1106" w:type="dxa"/>
            <w:tcBorders>
              <w:top w:val="nil"/>
              <w:left w:val="nil"/>
              <w:bottom w:val="nil"/>
              <w:right w:val="nil"/>
              <w:tl2br w:val="nil"/>
              <w:tr2bl w:val="nil"/>
            </w:tcBorders>
            <w:shd w:val="solid" w:color="016794" w:fill="FFFFFF"/>
            <w:tcMar>
              <w:left w:w="60" w:type="dxa"/>
              <w:right w:w="60" w:type="dxa"/>
            </w:tcMar>
            <w:vAlign w:val="center"/>
          </w:tcPr>
          <w:p w14:paraId="41910A5E" w14:textId="77777777" w:rsidR="008F139E" w:rsidRDefault="00023E71">
            <w:pPr>
              <w:pStyle w:val="DMETW36778BIPAgencies2TypeofRevenue"/>
              <w:jc w:val="center"/>
              <w:rPr>
                <w:rFonts w:ascii="Verdana" w:eastAsia="Verdana" w:hAnsi="Verdana" w:cs="Verdana"/>
                <w:noProof/>
                <w:color w:val="FFFFFF"/>
                <w:sz w:val="16"/>
                <w:lang w:bidi="en-GB"/>
              </w:rPr>
            </w:pPr>
            <w:bookmarkStart w:id="336" w:name="DOC_TBL00128_2_4"/>
            <w:r>
              <w:rPr>
                <w:rFonts w:ascii="Verdana" w:eastAsia="Verdana" w:hAnsi="Verdana" w:cs="Verdana"/>
                <w:noProof/>
                <w:color w:val="FFFFFF"/>
                <w:sz w:val="16"/>
                <w:lang w:bidi="en-GB"/>
              </w:rPr>
              <w:t>Revenue received</w:t>
            </w:r>
            <w:bookmarkEnd w:id="336"/>
          </w:p>
        </w:tc>
      </w:tr>
      <w:tr w:rsidR="00807FFE" w14:paraId="40EAB570" w14:textId="77777777" w:rsidTr="00EC36D2">
        <w:trPr>
          <w:cantSplit/>
          <w:trHeight w:val="283"/>
          <w:tblHeader/>
        </w:trPr>
        <w:tc>
          <w:tcPr>
            <w:tcW w:w="6325" w:type="dxa"/>
            <w:tcBorders>
              <w:top w:val="nil"/>
              <w:left w:val="nil"/>
              <w:bottom w:val="nil"/>
              <w:right w:val="nil"/>
              <w:tl2br w:val="nil"/>
              <w:tr2bl w:val="nil"/>
            </w:tcBorders>
            <w:tcMar>
              <w:left w:w="60" w:type="dxa"/>
              <w:right w:w="60" w:type="dxa"/>
            </w:tcMar>
            <w:vAlign w:val="center"/>
          </w:tcPr>
          <w:p w14:paraId="779EB541" w14:textId="77777777" w:rsidR="008F139E" w:rsidRDefault="00023E71">
            <w:pPr>
              <w:pStyle w:val="DMETW36778BIPAgencies2TypeofRevenue"/>
              <w:rPr>
                <w:rFonts w:ascii="Verdana" w:eastAsia="Verdana" w:hAnsi="Verdana" w:cs="Verdana"/>
                <w:noProof/>
                <w:color w:val="000000"/>
                <w:sz w:val="16"/>
              </w:rPr>
            </w:pPr>
            <w:bookmarkStart w:id="337" w:name="DOC_TBL00128_3_1"/>
            <w:r>
              <w:rPr>
                <w:rFonts w:ascii="Verdana" w:eastAsia="Verdana" w:hAnsi="Verdana" w:cs="Verdana"/>
                <w:noProof/>
                <w:color w:val="000000"/>
                <w:sz w:val="16"/>
              </w:rPr>
              <w:t>Commission subsidy</w:t>
            </w:r>
            <w:bookmarkEnd w:id="337"/>
          </w:p>
        </w:tc>
        <w:tc>
          <w:tcPr>
            <w:tcW w:w="1287" w:type="dxa"/>
            <w:gridSpan w:val="3"/>
            <w:tcBorders>
              <w:top w:val="nil"/>
              <w:left w:val="nil"/>
              <w:bottom w:val="nil"/>
              <w:right w:val="nil"/>
              <w:tl2br w:val="nil"/>
              <w:tr2bl w:val="nil"/>
            </w:tcBorders>
            <w:tcMar>
              <w:left w:w="60" w:type="dxa"/>
              <w:right w:w="60" w:type="dxa"/>
            </w:tcMar>
            <w:vAlign w:val="center"/>
          </w:tcPr>
          <w:p w14:paraId="1E9C6C3C" w14:textId="77777777" w:rsidR="008F139E" w:rsidRDefault="008F139E">
            <w:pPr>
              <w:pStyle w:val="DMETW36778BIPAgencies2TypeofRevenue"/>
              <w:rPr>
                <w:rFonts w:ascii="Verdana" w:eastAsia="Verdana" w:hAnsi="Verdana" w:cs="Verdana"/>
                <w:noProof/>
                <w:color w:val="000000"/>
                <w:sz w:val="16"/>
              </w:rPr>
            </w:pPr>
            <w:bookmarkStart w:id="338" w:name="DOC_TBL00128_3_2"/>
            <w:bookmarkEnd w:id="338"/>
          </w:p>
        </w:tc>
        <w:tc>
          <w:tcPr>
            <w:tcW w:w="1034" w:type="dxa"/>
            <w:gridSpan w:val="2"/>
            <w:tcBorders>
              <w:top w:val="nil"/>
              <w:left w:val="nil"/>
              <w:bottom w:val="nil"/>
              <w:right w:val="nil"/>
              <w:tl2br w:val="nil"/>
              <w:tr2bl w:val="nil"/>
            </w:tcBorders>
            <w:tcMar>
              <w:left w:w="60" w:type="dxa"/>
              <w:right w:w="60" w:type="dxa"/>
            </w:tcMar>
            <w:vAlign w:val="center"/>
          </w:tcPr>
          <w:p w14:paraId="71F109BE" w14:textId="77777777" w:rsidR="008F139E" w:rsidRDefault="008F139E">
            <w:pPr>
              <w:pStyle w:val="DMETW36778BIPAgencies2TypeofRevenue"/>
              <w:jc w:val="right"/>
              <w:rPr>
                <w:rFonts w:ascii="Verdana" w:eastAsia="Verdana" w:hAnsi="Verdana" w:cs="Verdana"/>
                <w:noProof/>
                <w:color w:val="000000"/>
                <w:sz w:val="16"/>
              </w:rPr>
            </w:pPr>
            <w:bookmarkStart w:id="339" w:name="DOC_TBL00128_3_3"/>
            <w:bookmarkEnd w:id="339"/>
          </w:p>
        </w:tc>
        <w:tc>
          <w:tcPr>
            <w:tcW w:w="1106" w:type="dxa"/>
            <w:tcBorders>
              <w:top w:val="nil"/>
              <w:left w:val="nil"/>
              <w:bottom w:val="nil"/>
              <w:right w:val="nil"/>
              <w:tl2br w:val="nil"/>
              <w:tr2bl w:val="nil"/>
            </w:tcBorders>
            <w:tcMar>
              <w:left w:w="60" w:type="dxa"/>
              <w:right w:w="60" w:type="dxa"/>
            </w:tcMar>
            <w:vAlign w:val="center"/>
          </w:tcPr>
          <w:p w14:paraId="470FB6F5" w14:textId="77777777" w:rsidR="008F139E" w:rsidRDefault="00023E71">
            <w:pPr>
              <w:pStyle w:val="DMETW36778BIPAgencies2TypeofRevenue"/>
              <w:jc w:val="right"/>
              <w:rPr>
                <w:rFonts w:ascii="Verdana" w:eastAsia="Verdana" w:hAnsi="Verdana" w:cs="Verdana"/>
                <w:noProof/>
                <w:color w:val="000000"/>
                <w:sz w:val="16"/>
                <w:lang w:bidi="en-GB"/>
              </w:rPr>
            </w:pPr>
            <w:bookmarkStart w:id="340" w:name="DOC_TBL00128_3_4"/>
            <w:r>
              <w:rPr>
                <w:rFonts w:ascii="Verdana" w:eastAsia="Verdana" w:hAnsi="Verdana" w:cs="Verdana"/>
                <w:noProof/>
                <w:color w:val="000000"/>
                <w:sz w:val="16"/>
                <w:lang w:bidi="en-GB"/>
              </w:rPr>
              <w:t>4 913</w:t>
            </w:r>
            <w:bookmarkEnd w:id="340"/>
          </w:p>
        </w:tc>
      </w:tr>
      <w:tr w:rsidR="00807FFE" w14:paraId="60FD72BD" w14:textId="77777777" w:rsidTr="00EC36D2">
        <w:trPr>
          <w:cantSplit/>
          <w:trHeight w:val="283"/>
          <w:tblHeader/>
        </w:trPr>
        <w:tc>
          <w:tcPr>
            <w:tcW w:w="6325" w:type="dxa"/>
            <w:tcBorders>
              <w:top w:val="nil"/>
              <w:left w:val="nil"/>
              <w:bottom w:val="nil"/>
              <w:right w:val="nil"/>
              <w:tl2br w:val="nil"/>
              <w:tr2bl w:val="nil"/>
            </w:tcBorders>
            <w:tcMar>
              <w:left w:w="60" w:type="dxa"/>
              <w:right w:w="60" w:type="dxa"/>
            </w:tcMar>
            <w:vAlign w:val="center"/>
          </w:tcPr>
          <w:p w14:paraId="073F5AC4" w14:textId="77777777" w:rsidR="008F139E" w:rsidRDefault="00023E71">
            <w:pPr>
              <w:pStyle w:val="DMETW36778BIPAgencies2TypeofRevenue"/>
              <w:rPr>
                <w:rFonts w:ascii="Verdana" w:eastAsia="Verdana" w:hAnsi="Verdana" w:cs="Verdana"/>
                <w:noProof/>
                <w:color w:val="000000"/>
                <w:sz w:val="16"/>
              </w:rPr>
            </w:pPr>
            <w:bookmarkStart w:id="341" w:name="DOC_TBL00128_4_1"/>
            <w:r>
              <w:rPr>
                <w:rFonts w:ascii="Verdana" w:eastAsia="Verdana" w:hAnsi="Verdana" w:cs="Verdana"/>
                <w:noProof/>
                <w:color w:val="000000"/>
                <w:sz w:val="16"/>
              </w:rPr>
              <w:t>Fee income</w:t>
            </w:r>
            <w:bookmarkEnd w:id="341"/>
          </w:p>
        </w:tc>
        <w:tc>
          <w:tcPr>
            <w:tcW w:w="1287" w:type="dxa"/>
            <w:gridSpan w:val="3"/>
            <w:tcBorders>
              <w:top w:val="nil"/>
              <w:left w:val="nil"/>
              <w:bottom w:val="nil"/>
              <w:right w:val="nil"/>
              <w:tl2br w:val="nil"/>
              <w:tr2bl w:val="nil"/>
            </w:tcBorders>
            <w:tcMar>
              <w:left w:w="60" w:type="dxa"/>
              <w:right w:w="60" w:type="dxa"/>
            </w:tcMar>
            <w:vAlign w:val="center"/>
          </w:tcPr>
          <w:p w14:paraId="2489B2D9" w14:textId="77777777" w:rsidR="008F139E" w:rsidRDefault="008F139E">
            <w:pPr>
              <w:pStyle w:val="DMETW36778BIPAgencies2TypeofRevenue"/>
              <w:rPr>
                <w:rFonts w:ascii="Verdana" w:eastAsia="Verdana" w:hAnsi="Verdana" w:cs="Verdana"/>
                <w:noProof/>
                <w:color w:val="000000"/>
                <w:sz w:val="16"/>
              </w:rPr>
            </w:pPr>
            <w:bookmarkStart w:id="342" w:name="DOC_TBL00128_4_2"/>
            <w:bookmarkEnd w:id="342"/>
          </w:p>
        </w:tc>
        <w:tc>
          <w:tcPr>
            <w:tcW w:w="1034" w:type="dxa"/>
            <w:gridSpan w:val="2"/>
            <w:tcBorders>
              <w:top w:val="nil"/>
              <w:left w:val="nil"/>
              <w:bottom w:val="nil"/>
              <w:right w:val="nil"/>
              <w:tl2br w:val="nil"/>
              <w:tr2bl w:val="nil"/>
            </w:tcBorders>
            <w:tcMar>
              <w:left w:w="60" w:type="dxa"/>
              <w:right w:w="60" w:type="dxa"/>
            </w:tcMar>
            <w:vAlign w:val="center"/>
          </w:tcPr>
          <w:p w14:paraId="519EF7A9" w14:textId="77777777" w:rsidR="008F139E" w:rsidRDefault="008F139E">
            <w:pPr>
              <w:pStyle w:val="DMETW36778BIPAgencies2TypeofRevenue"/>
              <w:jc w:val="right"/>
              <w:rPr>
                <w:rFonts w:ascii="Verdana" w:eastAsia="Verdana" w:hAnsi="Verdana" w:cs="Verdana"/>
                <w:noProof/>
                <w:color w:val="000000"/>
                <w:sz w:val="16"/>
              </w:rPr>
            </w:pPr>
            <w:bookmarkStart w:id="343" w:name="DOC_TBL00128_4_3"/>
            <w:bookmarkEnd w:id="343"/>
          </w:p>
        </w:tc>
        <w:tc>
          <w:tcPr>
            <w:tcW w:w="1106" w:type="dxa"/>
            <w:tcBorders>
              <w:top w:val="nil"/>
              <w:left w:val="nil"/>
              <w:bottom w:val="nil"/>
              <w:right w:val="nil"/>
              <w:tl2br w:val="nil"/>
              <w:tr2bl w:val="nil"/>
            </w:tcBorders>
            <w:tcMar>
              <w:left w:w="60" w:type="dxa"/>
              <w:right w:w="60" w:type="dxa"/>
            </w:tcMar>
            <w:vAlign w:val="center"/>
          </w:tcPr>
          <w:p w14:paraId="5A8FFD83" w14:textId="77777777" w:rsidR="008F139E" w:rsidRDefault="00023E71">
            <w:pPr>
              <w:pStyle w:val="DMETW36778BIPAgencies2TypeofRevenue"/>
              <w:jc w:val="right"/>
              <w:rPr>
                <w:rFonts w:ascii="Verdana" w:eastAsia="Verdana" w:hAnsi="Verdana" w:cs="Verdana"/>
                <w:noProof/>
                <w:color w:val="000000"/>
                <w:sz w:val="16"/>
                <w:lang w:bidi="en-GB"/>
              </w:rPr>
            </w:pPr>
            <w:bookmarkStart w:id="344" w:name="DOC_TBL00128_4_4"/>
            <w:r>
              <w:rPr>
                <w:rFonts w:ascii="Verdana" w:eastAsia="Verdana" w:hAnsi="Verdana" w:cs="Verdana"/>
                <w:noProof/>
                <w:color w:val="000000"/>
                <w:sz w:val="16"/>
                <w:lang w:bidi="en-GB"/>
              </w:rPr>
              <w:t>1 136</w:t>
            </w:r>
            <w:bookmarkEnd w:id="344"/>
          </w:p>
        </w:tc>
      </w:tr>
      <w:tr w:rsidR="00807FFE" w14:paraId="72C2A1F8" w14:textId="77777777" w:rsidTr="00EC36D2">
        <w:trPr>
          <w:cantSplit/>
          <w:trHeight w:val="283"/>
          <w:tblHeader/>
        </w:trPr>
        <w:tc>
          <w:tcPr>
            <w:tcW w:w="6325" w:type="dxa"/>
            <w:tcBorders>
              <w:top w:val="nil"/>
              <w:left w:val="nil"/>
              <w:bottom w:val="nil"/>
              <w:right w:val="nil"/>
              <w:tl2br w:val="nil"/>
              <w:tr2bl w:val="nil"/>
            </w:tcBorders>
            <w:tcMar>
              <w:left w:w="60" w:type="dxa"/>
              <w:right w:w="60" w:type="dxa"/>
            </w:tcMar>
            <w:vAlign w:val="center"/>
          </w:tcPr>
          <w:p w14:paraId="7627A8EE" w14:textId="77777777" w:rsidR="008F139E" w:rsidRDefault="00023E71">
            <w:pPr>
              <w:pStyle w:val="DMETW36778BIPAgencies2TypeofRevenue"/>
              <w:rPr>
                <w:rFonts w:ascii="Verdana" w:eastAsia="Verdana" w:hAnsi="Verdana" w:cs="Verdana"/>
                <w:noProof/>
                <w:color w:val="000000"/>
                <w:sz w:val="16"/>
              </w:rPr>
            </w:pPr>
            <w:bookmarkStart w:id="345" w:name="DOC_TBL00128_5_1"/>
            <w:r>
              <w:rPr>
                <w:rFonts w:ascii="Verdana" w:eastAsia="Verdana" w:hAnsi="Verdana" w:cs="Verdana"/>
                <w:noProof/>
                <w:color w:val="000000"/>
                <w:sz w:val="16"/>
              </w:rPr>
              <w:t>Other income</w:t>
            </w:r>
            <w:bookmarkEnd w:id="345"/>
          </w:p>
        </w:tc>
        <w:tc>
          <w:tcPr>
            <w:tcW w:w="1287" w:type="dxa"/>
            <w:gridSpan w:val="3"/>
            <w:tcBorders>
              <w:top w:val="nil"/>
              <w:left w:val="nil"/>
              <w:bottom w:val="nil"/>
              <w:right w:val="nil"/>
              <w:tl2br w:val="nil"/>
              <w:tr2bl w:val="nil"/>
            </w:tcBorders>
            <w:tcMar>
              <w:left w:w="60" w:type="dxa"/>
              <w:right w:w="60" w:type="dxa"/>
            </w:tcMar>
            <w:vAlign w:val="center"/>
          </w:tcPr>
          <w:p w14:paraId="6A889E5B" w14:textId="77777777" w:rsidR="008F139E" w:rsidRDefault="008F139E">
            <w:pPr>
              <w:pStyle w:val="DMETW36778BIPAgencies2TypeofRevenue"/>
              <w:rPr>
                <w:rFonts w:ascii="Verdana" w:eastAsia="Verdana" w:hAnsi="Verdana" w:cs="Verdana"/>
                <w:noProof/>
                <w:color w:val="000000"/>
                <w:sz w:val="16"/>
              </w:rPr>
            </w:pPr>
            <w:bookmarkStart w:id="346" w:name="DOC_TBL00128_5_2"/>
            <w:bookmarkEnd w:id="346"/>
          </w:p>
        </w:tc>
        <w:tc>
          <w:tcPr>
            <w:tcW w:w="1034" w:type="dxa"/>
            <w:gridSpan w:val="2"/>
            <w:tcBorders>
              <w:top w:val="nil"/>
              <w:left w:val="nil"/>
              <w:bottom w:val="nil"/>
              <w:right w:val="nil"/>
              <w:tl2br w:val="nil"/>
              <w:tr2bl w:val="nil"/>
            </w:tcBorders>
            <w:tcMar>
              <w:left w:w="60" w:type="dxa"/>
              <w:right w:w="60" w:type="dxa"/>
            </w:tcMar>
            <w:vAlign w:val="center"/>
          </w:tcPr>
          <w:p w14:paraId="162FF87B" w14:textId="77777777" w:rsidR="008F139E" w:rsidRDefault="008F139E">
            <w:pPr>
              <w:pStyle w:val="DMETW36778BIPAgencies2TypeofRevenue"/>
              <w:jc w:val="right"/>
              <w:rPr>
                <w:rFonts w:ascii="Verdana" w:eastAsia="Verdana" w:hAnsi="Verdana" w:cs="Verdana"/>
                <w:noProof/>
                <w:color w:val="000000"/>
                <w:sz w:val="16"/>
              </w:rPr>
            </w:pPr>
            <w:bookmarkStart w:id="347" w:name="DOC_TBL00128_5_3"/>
            <w:bookmarkEnd w:id="347"/>
          </w:p>
        </w:tc>
        <w:tc>
          <w:tcPr>
            <w:tcW w:w="1106" w:type="dxa"/>
            <w:tcBorders>
              <w:top w:val="nil"/>
              <w:left w:val="nil"/>
              <w:bottom w:val="nil"/>
              <w:right w:val="nil"/>
              <w:tl2br w:val="nil"/>
              <w:tr2bl w:val="nil"/>
            </w:tcBorders>
            <w:tcMar>
              <w:left w:w="60" w:type="dxa"/>
              <w:right w:w="60" w:type="dxa"/>
            </w:tcMar>
            <w:vAlign w:val="center"/>
          </w:tcPr>
          <w:p w14:paraId="495C3DFB" w14:textId="77777777" w:rsidR="008F139E" w:rsidRDefault="00023E71">
            <w:pPr>
              <w:pStyle w:val="DMETW36778BIPAgencies2TypeofRevenue"/>
              <w:jc w:val="right"/>
              <w:rPr>
                <w:rFonts w:ascii="Verdana" w:eastAsia="Verdana" w:hAnsi="Verdana" w:cs="Verdana"/>
                <w:noProof/>
                <w:color w:val="000000"/>
                <w:sz w:val="16"/>
                <w:lang w:bidi="en-GB"/>
              </w:rPr>
            </w:pPr>
            <w:bookmarkStart w:id="348" w:name="DOC_TBL00128_5_4"/>
            <w:r>
              <w:rPr>
                <w:rFonts w:ascii="Verdana" w:eastAsia="Verdana" w:hAnsi="Verdana" w:cs="Verdana"/>
                <w:noProof/>
                <w:color w:val="000000"/>
                <w:sz w:val="16"/>
                <w:lang w:bidi="en-GB"/>
              </w:rPr>
              <w:t>1 531</w:t>
            </w:r>
            <w:bookmarkEnd w:id="348"/>
          </w:p>
        </w:tc>
      </w:tr>
      <w:tr w:rsidR="00807FFE" w14:paraId="2D854E21" w14:textId="77777777" w:rsidTr="00EC36D2">
        <w:trPr>
          <w:cantSplit/>
          <w:trHeight w:val="283"/>
          <w:tblHeader/>
        </w:trPr>
        <w:tc>
          <w:tcPr>
            <w:tcW w:w="6325" w:type="dxa"/>
            <w:tcBorders>
              <w:top w:val="nil"/>
              <w:left w:val="nil"/>
              <w:bottom w:val="nil"/>
              <w:right w:val="nil"/>
              <w:tl2br w:val="nil"/>
              <w:tr2bl w:val="nil"/>
            </w:tcBorders>
            <w:shd w:val="solid" w:color="CCE1EA" w:fill="FFFFFF"/>
            <w:tcMar>
              <w:left w:w="60" w:type="dxa"/>
              <w:right w:w="60" w:type="dxa"/>
            </w:tcMar>
            <w:vAlign w:val="center"/>
          </w:tcPr>
          <w:p w14:paraId="2FCC947E" w14:textId="77777777" w:rsidR="008F139E" w:rsidRDefault="00023E71">
            <w:pPr>
              <w:pStyle w:val="DMETW36778BIPAgencies2TypeofRevenue"/>
              <w:rPr>
                <w:rFonts w:ascii="Verdana" w:eastAsia="Verdana" w:hAnsi="Verdana" w:cs="Verdana"/>
                <w:b/>
                <w:noProof/>
                <w:color w:val="000000"/>
                <w:sz w:val="16"/>
              </w:rPr>
            </w:pPr>
            <w:bookmarkStart w:id="349" w:name="DOC_TBL00128_6_1"/>
            <w:r>
              <w:rPr>
                <w:rFonts w:ascii="Verdana" w:eastAsia="Verdana" w:hAnsi="Verdana" w:cs="Verdana"/>
                <w:b/>
                <w:noProof/>
                <w:color w:val="000000"/>
                <w:sz w:val="16"/>
              </w:rPr>
              <w:t>Total</w:t>
            </w:r>
            <w:bookmarkEnd w:id="349"/>
          </w:p>
        </w:tc>
        <w:tc>
          <w:tcPr>
            <w:tcW w:w="1287" w:type="dxa"/>
            <w:gridSpan w:val="3"/>
            <w:tcBorders>
              <w:top w:val="nil"/>
              <w:left w:val="nil"/>
              <w:bottom w:val="nil"/>
              <w:right w:val="nil"/>
              <w:tl2br w:val="nil"/>
              <w:tr2bl w:val="nil"/>
            </w:tcBorders>
            <w:shd w:val="solid" w:color="CCE1EA" w:fill="FFFFFF"/>
            <w:tcMar>
              <w:left w:w="60" w:type="dxa"/>
              <w:right w:w="60" w:type="dxa"/>
            </w:tcMar>
            <w:vAlign w:val="center"/>
          </w:tcPr>
          <w:p w14:paraId="566960BE" w14:textId="77777777" w:rsidR="008F139E" w:rsidRDefault="008F139E">
            <w:pPr>
              <w:pStyle w:val="DMETW36778BIPAgencies2TypeofRevenue"/>
              <w:rPr>
                <w:rFonts w:ascii="Verdana" w:eastAsia="Verdana" w:hAnsi="Verdana" w:cs="Verdana"/>
                <w:b/>
                <w:noProof/>
                <w:color w:val="000000"/>
                <w:sz w:val="16"/>
              </w:rPr>
            </w:pPr>
            <w:bookmarkStart w:id="350" w:name="DOC_TBL00128_6_2"/>
            <w:bookmarkEnd w:id="350"/>
          </w:p>
        </w:tc>
        <w:tc>
          <w:tcPr>
            <w:tcW w:w="1034" w:type="dxa"/>
            <w:gridSpan w:val="2"/>
            <w:tcBorders>
              <w:top w:val="nil"/>
              <w:left w:val="nil"/>
              <w:bottom w:val="nil"/>
              <w:right w:val="nil"/>
              <w:tl2br w:val="nil"/>
              <w:tr2bl w:val="nil"/>
            </w:tcBorders>
            <w:shd w:val="solid" w:color="CCE1EA" w:fill="FFFFFF"/>
            <w:tcMar>
              <w:left w:w="60" w:type="dxa"/>
              <w:right w:w="60" w:type="dxa"/>
            </w:tcMar>
            <w:vAlign w:val="center"/>
          </w:tcPr>
          <w:p w14:paraId="23B130FE" w14:textId="77777777" w:rsidR="008F139E" w:rsidRDefault="008F139E">
            <w:pPr>
              <w:pStyle w:val="DMETW36778BIPAgencies2TypeofRevenue"/>
              <w:rPr>
                <w:rFonts w:ascii="Verdana" w:eastAsia="Verdana" w:hAnsi="Verdana" w:cs="Verdana"/>
                <w:b/>
                <w:noProof/>
                <w:color w:val="000000"/>
                <w:sz w:val="16"/>
              </w:rPr>
            </w:pPr>
            <w:bookmarkStart w:id="351" w:name="DOC_TBL00128_6_3"/>
            <w:bookmarkEnd w:id="351"/>
          </w:p>
        </w:tc>
        <w:tc>
          <w:tcPr>
            <w:tcW w:w="1106" w:type="dxa"/>
            <w:tcBorders>
              <w:top w:val="nil"/>
              <w:left w:val="nil"/>
              <w:bottom w:val="nil"/>
              <w:right w:val="nil"/>
              <w:tl2br w:val="nil"/>
              <w:tr2bl w:val="nil"/>
            </w:tcBorders>
            <w:shd w:val="solid" w:color="CCE1EA" w:fill="FFFFFF"/>
            <w:tcMar>
              <w:left w:w="60" w:type="dxa"/>
              <w:right w:w="60" w:type="dxa"/>
            </w:tcMar>
            <w:vAlign w:val="center"/>
          </w:tcPr>
          <w:p w14:paraId="5FB13D30" w14:textId="77777777" w:rsidR="008F139E" w:rsidRDefault="00023E71">
            <w:pPr>
              <w:pStyle w:val="DMETW36778BIPAgencies2TypeofRevenue"/>
              <w:jc w:val="right"/>
              <w:rPr>
                <w:rFonts w:ascii="Verdana" w:eastAsia="Verdana" w:hAnsi="Verdana" w:cs="Verdana"/>
                <w:b/>
                <w:noProof/>
                <w:color w:val="000000"/>
                <w:sz w:val="16"/>
              </w:rPr>
            </w:pPr>
            <w:bookmarkStart w:id="352" w:name="DOC_TBL00128_6_4"/>
            <w:r>
              <w:rPr>
                <w:rFonts w:ascii="Verdana" w:eastAsia="Verdana" w:hAnsi="Verdana" w:cs="Verdana"/>
                <w:b/>
                <w:noProof/>
                <w:color w:val="000000"/>
                <w:sz w:val="16"/>
              </w:rPr>
              <w:t>7 581</w:t>
            </w:r>
            <w:bookmarkEnd w:id="352"/>
          </w:p>
        </w:tc>
      </w:tr>
    </w:tbl>
    <w:p w14:paraId="6E130CD8" w14:textId="77777777" w:rsidR="006A2C3E" w:rsidRPr="004A22D8" w:rsidRDefault="006A2C3E" w:rsidP="004A22D8">
      <w:pPr>
        <w:pStyle w:val="DGTextstand-alone"/>
      </w:pPr>
    </w:p>
    <w:p w14:paraId="6BE0B7E5" w14:textId="77777777" w:rsidR="00670B4C" w:rsidRPr="00D56604" w:rsidRDefault="00023E71" w:rsidP="00A21046">
      <w:pPr>
        <w:pStyle w:val="HEADER2PartBUDG"/>
        <w:spacing w:after="120"/>
        <w:ind w:left="357" w:hanging="357"/>
        <w:rPr>
          <w:noProof/>
          <w:lang w:val="en-GB"/>
        </w:rPr>
      </w:pPr>
      <w:bookmarkStart w:id="353" w:name="_Toc232674406"/>
      <w:r w:rsidRPr="00D56604">
        <w:rPr>
          <w:noProof/>
          <w:lang w:val="en-GB"/>
        </w:rPr>
        <w:t>COMMITMENT AND P</w:t>
      </w:r>
      <w:r w:rsidR="005E3F52">
        <w:rPr>
          <w:noProof/>
          <w:lang w:val="en-GB"/>
        </w:rPr>
        <w:t>AYMENT APPROPRIATIONS BY AGENCY</w:t>
      </w:r>
      <w:bookmarkEnd w:id="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5"/>
        <w:gridCol w:w="1134"/>
        <w:gridCol w:w="1134"/>
        <w:gridCol w:w="1136"/>
        <w:gridCol w:w="1043"/>
      </w:tblGrid>
      <w:tr w:rsidR="00807FFE" w14:paraId="253A9A83" w14:textId="77777777">
        <w:trPr>
          <w:trHeight w:val="284"/>
          <w:tblHeader/>
        </w:trPr>
        <w:tc>
          <w:tcPr>
            <w:tcW w:w="5305" w:type="dxa"/>
            <w:tcBorders>
              <w:top w:val="nil"/>
              <w:left w:val="nil"/>
              <w:bottom w:val="nil"/>
              <w:right w:val="nil"/>
              <w:tl2br w:val="nil"/>
              <w:tr2bl w:val="nil"/>
            </w:tcBorders>
            <w:tcMar>
              <w:left w:w="60" w:type="dxa"/>
              <w:right w:w="60" w:type="dxa"/>
            </w:tcMar>
            <w:vAlign w:val="center"/>
          </w:tcPr>
          <w:p w14:paraId="26FBCF18" w14:textId="77777777" w:rsidR="00807FFE" w:rsidRDefault="00807FFE">
            <w:pPr>
              <w:pStyle w:val="DMETW36778BIPAgencies3CommitmentsPayments"/>
              <w:rPr>
                <w:rFonts w:ascii="Verdana" w:eastAsia="Verdana" w:hAnsi="Verdana" w:cs="Verdana"/>
                <w:noProof/>
                <w:color w:val="000000"/>
                <w:sz w:val="16"/>
                <w:lang w:bidi="en-GB"/>
              </w:rPr>
            </w:pPr>
            <w:bookmarkStart w:id="354" w:name="DOC_TBL00129_1_1"/>
            <w:bookmarkEnd w:id="354"/>
          </w:p>
        </w:tc>
        <w:tc>
          <w:tcPr>
            <w:tcW w:w="1134" w:type="dxa"/>
            <w:tcBorders>
              <w:top w:val="nil"/>
              <w:left w:val="nil"/>
              <w:bottom w:val="nil"/>
              <w:right w:val="nil"/>
              <w:tl2br w:val="nil"/>
              <w:tr2bl w:val="nil"/>
            </w:tcBorders>
            <w:tcMar>
              <w:left w:w="60" w:type="dxa"/>
              <w:right w:w="60" w:type="dxa"/>
            </w:tcMar>
            <w:vAlign w:val="center"/>
          </w:tcPr>
          <w:p w14:paraId="25448BC9" w14:textId="77777777" w:rsidR="00807FFE" w:rsidRDefault="00807FFE">
            <w:pPr>
              <w:pStyle w:val="DMETW36778BIPAgencies3CommitmentsPayments"/>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14:paraId="51B35D1C" w14:textId="77777777" w:rsidR="00807FFE" w:rsidRDefault="00807FFE">
            <w:pPr>
              <w:pStyle w:val="DMETW36778BIPAgencies3CommitmentsPayments"/>
              <w:rPr>
                <w:rFonts w:ascii="Verdana" w:eastAsia="Verdana" w:hAnsi="Verdana" w:cs="Verdana"/>
                <w:noProof/>
                <w:color w:val="000000"/>
                <w:sz w:val="16"/>
              </w:rPr>
            </w:pPr>
          </w:p>
        </w:tc>
        <w:tc>
          <w:tcPr>
            <w:tcW w:w="1136" w:type="dxa"/>
            <w:tcBorders>
              <w:top w:val="nil"/>
              <w:left w:val="nil"/>
              <w:bottom w:val="nil"/>
              <w:right w:val="nil"/>
              <w:tl2br w:val="nil"/>
              <w:tr2bl w:val="nil"/>
            </w:tcBorders>
            <w:tcMar>
              <w:left w:w="60" w:type="dxa"/>
              <w:right w:w="60" w:type="dxa"/>
            </w:tcMar>
            <w:vAlign w:val="center"/>
          </w:tcPr>
          <w:p w14:paraId="6907D2C3" w14:textId="77777777" w:rsidR="00807FFE" w:rsidRDefault="00807FFE">
            <w:pPr>
              <w:pStyle w:val="DMETW36778BIPAgencies3CommitmentsPayments"/>
              <w:rPr>
                <w:rFonts w:ascii="Verdana" w:eastAsia="Verdana" w:hAnsi="Verdana" w:cs="Verdana"/>
                <w:noProof/>
                <w:color w:val="000000"/>
                <w:sz w:val="16"/>
              </w:rPr>
            </w:pPr>
          </w:p>
        </w:tc>
        <w:tc>
          <w:tcPr>
            <w:tcW w:w="1043" w:type="dxa"/>
            <w:tcBorders>
              <w:top w:val="nil"/>
              <w:left w:val="nil"/>
              <w:bottom w:val="nil"/>
              <w:right w:val="nil"/>
              <w:tl2br w:val="nil"/>
              <w:tr2bl w:val="nil"/>
            </w:tcBorders>
            <w:tcMar>
              <w:left w:w="60" w:type="dxa"/>
              <w:right w:w="60" w:type="dxa"/>
            </w:tcMar>
            <w:vAlign w:val="center"/>
          </w:tcPr>
          <w:p w14:paraId="6C2D69A4" w14:textId="77777777" w:rsidR="00807FFE" w:rsidRDefault="00023E71">
            <w:pPr>
              <w:pStyle w:val="DMETW36778BIPAgencies3CommitmentsPayment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7016111B" w14:textId="77777777">
        <w:trPr>
          <w:trHeight w:val="284"/>
          <w:tblHeader/>
        </w:trPr>
        <w:tc>
          <w:tcPr>
            <w:tcW w:w="5305" w:type="dxa"/>
            <w:tcBorders>
              <w:top w:val="nil"/>
              <w:left w:val="nil"/>
              <w:bottom w:val="nil"/>
              <w:right w:val="nil"/>
              <w:tl2br w:val="nil"/>
              <w:tr2bl w:val="nil"/>
            </w:tcBorders>
            <w:shd w:val="solid" w:color="016794" w:fill="FFFFFF"/>
            <w:tcMar>
              <w:left w:w="60" w:type="dxa"/>
              <w:right w:w="60" w:type="dxa"/>
            </w:tcMar>
            <w:vAlign w:val="center"/>
          </w:tcPr>
          <w:p w14:paraId="544656A6" w14:textId="77777777" w:rsidR="00807FFE" w:rsidRDefault="00807FFE">
            <w:pPr>
              <w:pStyle w:val="DMETW36778BIPAgencies3CommitmentsPayments"/>
              <w:jc w:val="center"/>
              <w:rPr>
                <w:rFonts w:ascii="Verdana" w:eastAsia="Verdana" w:hAnsi="Verdana" w:cs="Verdana"/>
                <w:noProof/>
                <w:color w:val="FFFFFF"/>
                <w:sz w:val="16"/>
              </w:rPr>
            </w:pPr>
          </w:p>
        </w:tc>
        <w:tc>
          <w:tcPr>
            <w:tcW w:w="1134" w:type="dxa"/>
            <w:gridSpan w:val="2"/>
            <w:tcBorders>
              <w:top w:val="nil"/>
              <w:left w:val="nil"/>
              <w:bottom w:val="nil"/>
              <w:right w:val="nil"/>
              <w:tl2br w:val="nil"/>
              <w:tr2bl w:val="nil"/>
            </w:tcBorders>
            <w:shd w:val="solid" w:color="016794" w:fill="FFFFFF"/>
            <w:tcMar>
              <w:left w:w="60" w:type="dxa"/>
              <w:right w:w="60" w:type="dxa"/>
            </w:tcMar>
            <w:vAlign w:val="center"/>
          </w:tcPr>
          <w:p w14:paraId="29770DF3" w14:textId="77777777" w:rsidR="00807FFE" w:rsidRDefault="00023E71">
            <w:pPr>
              <w:pStyle w:val="DMETW36778BIPAgencies3CommitmentsPayments"/>
              <w:jc w:val="center"/>
              <w:rPr>
                <w:rFonts w:ascii="Verdana" w:eastAsia="Verdana" w:hAnsi="Verdana" w:cs="Verdana"/>
                <w:b/>
                <w:noProof/>
                <w:color w:val="FFFFFF"/>
                <w:sz w:val="16"/>
              </w:rPr>
            </w:pPr>
            <w:r>
              <w:rPr>
                <w:rFonts w:ascii="Verdana" w:eastAsia="Verdana" w:hAnsi="Verdana" w:cs="Verdana"/>
                <w:b/>
                <w:noProof/>
                <w:color w:val="FFFFFF"/>
                <w:sz w:val="16"/>
              </w:rPr>
              <w:t>Commitment appropriations</w:t>
            </w:r>
          </w:p>
        </w:tc>
        <w:tc>
          <w:tcPr>
            <w:tcW w:w="1136" w:type="dxa"/>
            <w:gridSpan w:val="2"/>
            <w:tcBorders>
              <w:top w:val="nil"/>
              <w:left w:val="nil"/>
              <w:bottom w:val="nil"/>
              <w:right w:val="nil"/>
              <w:tl2br w:val="nil"/>
              <w:tr2bl w:val="nil"/>
            </w:tcBorders>
            <w:shd w:val="solid" w:color="016794" w:fill="FFFFFF"/>
            <w:tcMar>
              <w:left w:w="60" w:type="dxa"/>
              <w:right w:w="60" w:type="dxa"/>
            </w:tcMar>
            <w:vAlign w:val="center"/>
          </w:tcPr>
          <w:p w14:paraId="575EEF7A" w14:textId="77777777" w:rsidR="00807FFE" w:rsidRDefault="00023E71">
            <w:pPr>
              <w:pStyle w:val="DMETW36778BIPAgencies3CommitmentsPayments"/>
              <w:jc w:val="center"/>
              <w:rPr>
                <w:rFonts w:ascii="Verdana" w:eastAsia="Verdana" w:hAnsi="Verdana" w:cs="Verdana"/>
                <w:b/>
                <w:noProof/>
                <w:color w:val="FFFFFF"/>
                <w:sz w:val="16"/>
                <w:lang w:bidi="en-GB"/>
              </w:rPr>
            </w:pPr>
            <w:r>
              <w:rPr>
                <w:rFonts w:ascii="Verdana" w:eastAsia="Verdana" w:hAnsi="Verdana" w:cs="Verdana"/>
                <w:b/>
                <w:noProof/>
                <w:color w:val="FFFFFF"/>
                <w:sz w:val="16"/>
              </w:rPr>
              <w:t>Payment appropriations</w:t>
            </w:r>
          </w:p>
        </w:tc>
      </w:tr>
      <w:tr w:rsidR="00807FFE" w14:paraId="37E2CDE2" w14:textId="77777777">
        <w:trPr>
          <w:trHeight w:val="284"/>
          <w:tblHeader/>
        </w:trPr>
        <w:tc>
          <w:tcPr>
            <w:tcW w:w="5305" w:type="dxa"/>
            <w:tcBorders>
              <w:top w:val="nil"/>
              <w:left w:val="nil"/>
              <w:bottom w:val="nil"/>
              <w:right w:val="nil"/>
              <w:tl2br w:val="nil"/>
              <w:tr2bl w:val="nil"/>
            </w:tcBorders>
            <w:shd w:val="solid" w:color="016794" w:fill="FFFFFF"/>
            <w:tcMar>
              <w:left w:w="60" w:type="dxa"/>
              <w:right w:w="60" w:type="dxa"/>
            </w:tcMar>
            <w:vAlign w:val="center"/>
          </w:tcPr>
          <w:p w14:paraId="199B2755" w14:textId="77777777" w:rsidR="00807FFE" w:rsidRDefault="00023E71">
            <w:pPr>
              <w:pStyle w:val="DMETW36778BIPAgencies3CommitmentsPayments"/>
              <w:jc w:val="center"/>
              <w:rPr>
                <w:rFonts w:ascii="Verdana" w:eastAsia="Verdana" w:hAnsi="Verdana" w:cs="Verdana"/>
                <w:noProof/>
                <w:color w:val="FFFFFF"/>
                <w:sz w:val="16"/>
              </w:rPr>
            </w:pPr>
            <w:r>
              <w:rPr>
                <w:rFonts w:ascii="Verdana" w:eastAsia="Verdana" w:hAnsi="Verdana" w:cs="Verdana"/>
                <w:noProof/>
                <w:color w:val="FFFFFF"/>
                <w:sz w:val="16"/>
              </w:rPr>
              <w:t>Agency</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7040985B" w14:textId="77777777" w:rsidR="00807FFE" w:rsidRDefault="00023E71">
            <w:pPr>
              <w:pStyle w:val="DMETW36778BIPAgencies3CommitmentsPayments"/>
              <w:jc w:val="center"/>
              <w:rPr>
                <w:rFonts w:ascii="Verdana" w:eastAsia="Verdana" w:hAnsi="Verdana" w:cs="Verdana"/>
                <w:noProof/>
                <w:color w:val="FFFFFF"/>
                <w:sz w:val="16"/>
              </w:rPr>
            </w:pPr>
            <w:r>
              <w:rPr>
                <w:rFonts w:ascii="Verdana" w:eastAsia="Verdana" w:hAnsi="Verdana" w:cs="Verdana"/>
                <w:noProof/>
                <w:color w:val="FFFFFF"/>
                <w:sz w:val="16"/>
              </w:rPr>
              <w:t>Total appropr. available</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7921C8E6" w14:textId="77777777" w:rsidR="00807FFE" w:rsidRDefault="00023E71">
            <w:pPr>
              <w:pStyle w:val="DMETW36778BIPAgencies3CommitmentsPayments"/>
              <w:jc w:val="center"/>
              <w:rPr>
                <w:rFonts w:ascii="Verdana" w:eastAsia="Verdana" w:hAnsi="Verdana" w:cs="Verdana"/>
                <w:noProof/>
                <w:color w:val="FFFFFF"/>
                <w:sz w:val="16"/>
              </w:rPr>
            </w:pPr>
            <w:r>
              <w:rPr>
                <w:rFonts w:ascii="Verdana" w:eastAsia="Verdana" w:hAnsi="Verdana" w:cs="Verdana"/>
                <w:noProof/>
                <w:color w:val="FFFFFF"/>
                <w:sz w:val="16"/>
              </w:rPr>
              <w:t>Commit. made</w:t>
            </w:r>
          </w:p>
        </w:tc>
        <w:tc>
          <w:tcPr>
            <w:tcW w:w="1136" w:type="dxa"/>
            <w:tcBorders>
              <w:top w:val="nil"/>
              <w:left w:val="nil"/>
              <w:bottom w:val="nil"/>
              <w:right w:val="nil"/>
              <w:tl2br w:val="nil"/>
              <w:tr2bl w:val="nil"/>
            </w:tcBorders>
            <w:shd w:val="solid" w:color="016794" w:fill="FFFFFF"/>
            <w:tcMar>
              <w:left w:w="60" w:type="dxa"/>
              <w:right w:w="60" w:type="dxa"/>
            </w:tcMar>
            <w:vAlign w:val="center"/>
          </w:tcPr>
          <w:p w14:paraId="20252AD9" w14:textId="77777777" w:rsidR="00807FFE" w:rsidRDefault="00023E71">
            <w:pPr>
              <w:pStyle w:val="DMETW36778BIPAgencies3CommitmentsPayments"/>
              <w:jc w:val="center"/>
              <w:rPr>
                <w:rFonts w:ascii="Verdana" w:eastAsia="Verdana" w:hAnsi="Verdana" w:cs="Verdana"/>
                <w:noProof/>
                <w:color w:val="FFFFFF"/>
                <w:sz w:val="16"/>
              </w:rPr>
            </w:pPr>
            <w:r>
              <w:rPr>
                <w:rFonts w:ascii="Verdana" w:eastAsia="Verdana" w:hAnsi="Verdana" w:cs="Verdana"/>
                <w:noProof/>
                <w:color w:val="FFFFFF"/>
                <w:sz w:val="16"/>
              </w:rPr>
              <w:t>Total appropr. available</w:t>
            </w:r>
          </w:p>
        </w:tc>
        <w:tc>
          <w:tcPr>
            <w:tcW w:w="1043" w:type="dxa"/>
            <w:tcBorders>
              <w:top w:val="nil"/>
              <w:left w:val="nil"/>
              <w:bottom w:val="nil"/>
              <w:right w:val="nil"/>
              <w:tl2br w:val="nil"/>
              <w:tr2bl w:val="nil"/>
            </w:tcBorders>
            <w:shd w:val="solid" w:color="016794" w:fill="FFFFFF"/>
            <w:tcMar>
              <w:left w:w="60" w:type="dxa"/>
              <w:right w:w="60" w:type="dxa"/>
            </w:tcMar>
            <w:vAlign w:val="center"/>
          </w:tcPr>
          <w:p w14:paraId="4CE99415" w14:textId="77777777" w:rsidR="00807FFE" w:rsidRDefault="00023E71">
            <w:pPr>
              <w:pStyle w:val="DMETW36778BIPAgencies3CommitmentsPayments"/>
              <w:jc w:val="center"/>
              <w:rPr>
                <w:rFonts w:ascii="Verdana" w:eastAsia="Verdana" w:hAnsi="Verdana" w:cs="Verdana"/>
                <w:noProof/>
                <w:color w:val="FFFFFF"/>
                <w:sz w:val="16"/>
                <w:lang w:bidi="en-GB"/>
              </w:rPr>
            </w:pPr>
            <w:r>
              <w:rPr>
                <w:rFonts w:ascii="Verdana" w:eastAsia="Verdana" w:hAnsi="Verdana" w:cs="Verdana"/>
                <w:noProof/>
                <w:color w:val="FFFFFF"/>
                <w:sz w:val="16"/>
              </w:rPr>
              <w:t>Payments made</w:t>
            </w:r>
          </w:p>
        </w:tc>
      </w:tr>
      <w:tr w:rsidR="00807FFE" w14:paraId="6165F46F"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1301324B"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Agency for the Cooperation of Energy Regulators</w:t>
            </w:r>
          </w:p>
        </w:tc>
        <w:tc>
          <w:tcPr>
            <w:tcW w:w="1134" w:type="dxa"/>
            <w:tcBorders>
              <w:top w:val="nil"/>
              <w:left w:val="nil"/>
              <w:bottom w:val="nil"/>
              <w:right w:val="nil"/>
              <w:tl2br w:val="nil"/>
              <w:tr2bl w:val="nil"/>
            </w:tcBorders>
            <w:tcMar>
              <w:left w:w="60" w:type="dxa"/>
              <w:right w:w="60" w:type="dxa"/>
            </w:tcMar>
            <w:vAlign w:val="center"/>
          </w:tcPr>
          <w:p w14:paraId="2FF31CE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1134" w:type="dxa"/>
            <w:tcBorders>
              <w:top w:val="nil"/>
              <w:left w:val="nil"/>
              <w:bottom w:val="nil"/>
              <w:right w:val="nil"/>
              <w:tl2br w:val="nil"/>
              <w:tr2bl w:val="nil"/>
            </w:tcBorders>
            <w:tcMar>
              <w:left w:w="60" w:type="dxa"/>
              <w:right w:w="60" w:type="dxa"/>
            </w:tcMar>
            <w:vAlign w:val="center"/>
          </w:tcPr>
          <w:p w14:paraId="1CA85922"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45</w:t>
            </w:r>
          </w:p>
        </w:tc>
        <w:tc>
          <w:tcPr>
            <w:tcW w:w="1136" w:type="dxa"/>
            <w:tcBorders>
              <w:top w:val="nil"/>
              <w:left w:val="nil"/>
              <w:bottom w:val="nil"/>
              <w:right w:val="nil"/>
              <w:tl2br w:val="nil"/>
              <w:tr2bl w:val="nil"/>
            </w:tcBorders>
            <w:tcMar>
              <w:left w:w="60" w:type="dxa"/>
              <w:right w:w="60" w:type="dxa"/>
            </w:tcMar>
            <w:vAlign w:val="center"/>
          </w:tcPr>
          <w:p w14:paraId="01701BF6"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1043" w:type="dxa"/>
            <w:tcBorders>
              <w:top w:val="nil"/>
              <w:left w:val="nil"/>
              <w:bottom w:val="nil"/>
              <w:right w:val="nil"/>
              <w:tl2br w:val="nil"/>
              <w:tr2bl w:val="nil"/>
            </w:tcBorders>
            <w:tcMar>
              <w:left w:w="60" w:type="dxa"/>
              <w:right w:w="60" w:type="dxa"/>
            </w:tcMar>
            <w:vAlign w:val="center"/>
          </w:tcPr>
          <w:p w14:paraId="44ED5F18"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41</w:t>
            </w:r>
          </w:p>
        </w:tc>
      </w:tr>
      <w:tr w:rsidR="00807FFE" w14:paraId="1C7DED95"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1F5F2E07"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Agency for the Operational Management of Large-Scale IT Systems</w:t>
            </w:r>
          </w:p>
        </w:tc>
        <w:tc>
          <w:tcPr>
            <w:tcW w:w="1134" w:type="dxa"/>
            <w:tcBorders>
              <w:top w:val="nil"/>
              <w:left w:val="nil"/>
              <w:bottom w:val="nil"/>
              <w:right w:val="nil"/>
              <w:tl2br w:val="nil"/>
              <w:tr2bl w:val="nil"/>
            </w:tcBorders>
            <w:tcMar>
              <w:left w:w="60" w:type="dxa"/>
              <w:right w:w="60" w:type="dxa"/>
            </w:tcMar>
            <w:vAlign w:val="center"/>
          </w:tcPr>
          <w:p w14:paraId="21758502"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378</w:t>
            </w:r>
          </w:p>
        </w:tc>
        <w:tc>
          <w:tcPr>
            <w:tcW w:w="1134" w:type="dxa"/>
            <w:tcBorders>
              <w:top w:val="nil"/>
              <w:left w:val="nil"/>
              <w:bottom w:val="nil"/>
              <w:right w:val="nil"/>
              <w:tl2br w:val="nil"/>
              <w:tr2bl w:val="nil"/>
            </w:tcBorders>
            <w:tcMar>
              <w:left w:w="60" w:type="dxa"/>
              <w:right w:w="60" w:type="dxa"/>
            </w:tcMar>
            <w:vAlign w:val="center"/>
          </w:tcPr>
          <w:p w14:paraId="347C55A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357</w:t>
            </w:r>
          </w:p>
        </w:tc>
        <w:tc>
          <w:tcPr>
            <w:tcW w:w="1136" w:type="dxa"/>
            <w:tcBorders>
              <w:top w:val="nil"/>
              <w:left w:val="nil"/>
              <w:bottom w:val="nil"/>
              <w:right w:val="nil"/>
              <w:tl2br w:val="nil"/>
              <w:tr2bl w:val="nil"/>
            </w:tcBorders>
            <w:tcMar>
              <w:left w:w="60" w:type="dxa"/>
              <w:right w:w="60" w:type="dxa"/>
            </w:tcMar>
            <w:vAlign w:val="center"/>
          </w:tcPr>
          <w:p w14:paraId="20EDA1E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464</w:t>
            </w:r>
          </w:p>
        </w:tc>
        <w:tc>
          <w:tcPr>
            <w:tcW w:w="1043" w:type="dxa"/>
            <w:tcBorders>
              <w:top w:val="nil"/>
              <w:left w:val="nil"/>
              <w:bottom w:val="nil"/>
              <w:right w:val="nil"/>
              <w:tl2br w:val="nil"/>
              <w:tr2bl w:val="nil"/>
            </w:tcBorders>
            <w:tcMar>
              <w:left w:w="60" w:type="dxa"/>
              <w:right w:w="60" w:type="dxa"/>
            </w:tcMar>
            <w:vAlign w:val="center"/>
          </w:tcPr>
          <w:p w14:paraId="576A1A40"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400</w:t>
            </w:r>
          </w:p>
        </w:tc>
      </w:tr>
      <w:tr w:rsidR="00807FFE" w14:paraId="5AECFB1D"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261028EC"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Body of European Regulators for Electronic Communications</w:t>
            </w:r>
          </w:p>
        </w:tc>
        <w:tc>
          <w:tcPr>
            <w:tcW w:w="1134" w:type="dxa"/>
            <w:tcBorders>
              <w:top w:val="nil"/>
              <w:left w:val="nil"/>
              <w:bottom w:val="nil"/>
              <w:right w:val="nil"/>
              <w:tl2br w:val="nil"/>
              <w:tr2bl w:val="nil"/>
            </w:tcBorders>
            <w:tcMar>
              <w:left w:w="60" w:type="dxa"/>
              <w:right w:w="60" w:type="dxa"/>
            </w:tcMar>
            <w:vAlign w:val="center"/>
          </w:tcPr>
          <w:p w14:paraId="54FEBDA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9</w:t>
            </w:r>
          </w:p>
        </w:tc>
        <w:tc>
          <w:tcPr>
            <w:tcW w:w="1134" w:type="dxa"/>
            <w:tcBorders>
              <w:top w:val="nil"/>
              <w:left w:val="nil"/>
              <w:bottom w:val="nil"/>
              <w:right w:val="nil"/>
              <w:tl2br w:val="nil"/>
              <w:tr2bl w:val="nil"/>
            </w:tcBorders>
            <w:tcMar>
              <w:left w:w="60" w:type="dxa"/>
              <w:right w:w="60" w:type="dxa"/>
            </w:tcMar>
            <w:vAlign w:val="center"/>
          </w:tcPr>
          <w:p w14:paraId="4BBD7F7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8</w:t>
            </w:r>
          </w:p>
        </w:tc>
        <w:tc>
          <w:tcPr>
            <w:tcW w:w="1136" w:type="dxa"/>
            <w:tcBorders>
              <w:top w:val="nil"/>
              <w:left w:val="nil"/>
              <w:bottom w:val="nil"/>
              <w:right w:val="nil"/>
              <w:tl2br w:val="nil"/>
              <w:tr2bl w:val="nil"/>
            </w:tcBorders>
            <w:tcMar>
              <w:left w:w="60" w:type="dxa"/>
              <w:right w:w="60" w:type="dxa"/>
            </w:tcMar>
            <w:vAlign w:val="center"/>
          </w:tcPr>
          <w:p w14:paraId="3FCEBD2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043" w:type="dxa"/>
            <w:tcBorders>
              <w:top w:val="nil"/>
              <w:left w:val="nil"/>
              <w:bottom w:val="nil"/>
              <w:right w:val="nil"/>
              <w:tl2br w:val="nil"/>
              <w:tr2bl w:val="nil"/>
            </w:tcBorders>
            <w:tcMar>
              <w:left w:w="60" w:type="dxa"/>
              <w:right w:w="60" w:type="dxa"/>
            </w:tcMar>
            <w:vAlign w:val="center"/>
          </w:tcPr>
          <w:p w14:paraId="793AAC32"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w:t>
            </w:r>
          </w:p>
        </w:tc>
      </w:tr>
      <w:tr w:rsidR="00807FFE" w14:paraId="2A6F9FE1"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506A789A"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Community Plant Variety Office</w:t>
            </w:r>
          </w:p>
        </w:tc>
        <w:tc>
          <w:tcPr>
            <w:tcW w:w="1134" w:type="dxa"/>
            <w:tcBorders>
              <w:top w:val="nil"/>
              <w:left w:val="nil"/>
              <w:bottom w:val="nil"/>
              <w:right w:val="nil"/>
              <w:tl2br w:val="nil"/>
              <w:tr2bl w:val="nil"/>
            </w:tcBorders>
            <w:tcMar>
              <w:left w:w="60" w:type="dxa"/>
              <w:right w:w="60" w:type="dxa"/>
            </w:tcMar>
            <w:vAlign w:val="center"/>
          </w:tcPr>
          <w:p w14:paraId="1FA1897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21</w:t>
            </w:r>
          </w:p>
        </w:tc>
        <w:tc>
          <w:tcPr>
            <w:tcW w:w="1134" w:type="dxa"/>
            <w:tcBorders>
              <w:top w:val="nil"/>
              <w:left w:val="nil"/>
              <w:bottom w:val="nil"/>
              <w:right w:val="nil"/>
              <w:tl2br w:val="nil"/>
              <w:tr2bl w:val="nil"/>
            </w:tcBorders>
            <w:tcMar>
              <w:left w:w="60" w:type="dxa"/>
              <w:right w:w="60" w:type="dxa"/>
            </w:tcMar>
            <w:vAlign w:val="center"/>
          </w:tcPr>
          <w:p w14:paraId="13231B5C"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1136" w:type="dxa"/>
            <w:tcBorders>
              <w:top w:val="nil"/>
              <w:left w:val="nil"/>
              <w:bottom w:val="nil"/>
              <w:right w:val="nil"/>
              <w:tl2br w:val="nil"/>
              <w:tr2bl w:val="nil"/>
            </w:tcBorders>
            <w:tcMar>
              <w:left w:w="60" w:type="dxa"/>
              <w:right w:w="60" w:type="dxa"/>
            </w:tcMar>
            <w:vAlign w:val="center"/>
          </w:tcPr>
          <w:p w14:paraId="44DD415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043" w:type="dxa"/>
            <w:tcBorders>
              <w:top w:val="nil"/>
              <w:left w:val="nil"/>
              <w:bottom w:val="nil"/>
              <w:right w:val="nil"/>
              <w:tl2br w:val="nil"/>
              <w:tr2bl w:val="nil"/>
            </w:tcBorders>
            <w:tcMar>
              <w:left w:w="60" w:type="dxa"/>
              <w:right w:w="60" w:type="dxa"/>
            </w:tcMar>
            <w:vAlign w:val="center"/>
          </w:tcPr>
          <w:p w14:paraId="77203A75"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20</w:t>
            </w:r>
          </w:p>
        </w:tc>
      </w:tr>
      <w:tr w:rsidR="00807FFE" w14:paraId="470CFE94"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17553A81"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Agency for Safety and Health at Work</w:t>
            </w:r>
          </w:p>
        </w:tc>
        <w:tc>
          <w:tcPr>
            <w:tcW w:w="1134" w:type="dxa"/>
            <w:tcBorders>
              <w:top w:val="nil"/>
              <w:left w:val="nil"/>
              <w:bottom w:val="nil"/>
              <w:right w:val="nil"/>
              <w:tl2br w:val="nil"/>
              <w:tr2bl w:val="nil"/>
            </w:tcBorders>
            <w:tcMar>
              <w:left w:w="60" w:type="dxa"/>
              <w:right w:w="60" w:type="dxa"/>
            </w:tcMar>
            <w:vAlign w:val="center"/>
          </w:tcPr>
          <w:p w14:paraId="3BB23072"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18</w:t>
            </w:r>
          </w:p>
        </w:tc>
        <w:tc>
          <w:tcPr>
            <w:tcW w:w="1134" w:type="dxa"/>
            <w:tcBorders>
              <w:top w:val="nil"/>
              <w:left w:val="nil"/>
              <w:bottom w:val="nil"/>
              <w:right w:val="nil"/>
              <w:tl2br w:val="nil"/>
              <w:tr2bl w:val="nil"/>
            </w:tcBorders>
            <w:tcMar>
              <w:left w:w="60" w:type="dxa"/>
              <w:right w:w="60" w:type="dxa"/>
            </w:tcMar>
            <w:vAlign w:val="center"/>
          </w:tcPr>
          <w:p w14:paraId="3DF9472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17</w:t>
            </w:r>
          </w:p>
        </w:tc>
        <w:tc>
          <w:tcPr>
            <w:tcW w:w="1136" w:type="dxa"/>
            <w:tcBorders>
              <w:top w:val="nil"/>
              <w:left w:val="nil"/>
              <w:bottom w:val="nil"/>
              <w:right w:val="nil"/>
              <w:tl2br w:val="nil"/>
              <w:tr2bl w:val="nil"/>
            </w:tcBorders>
            <w:tcMar>
              <w:left w:w="60" w:type="dxa"/>
              <w:right w:w="60" w:type="dxa"/>
            </w:tcMar>
            <w:vAlign w:val="center"/>
          </w:tcPr>
          <w:p w14:paraId="1F2A7BE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043" w:type="dxa"/>
            <w:tcBorders>
              <w:top w:val="nil"/>
              <w:left w:val="nil"/>
              <w:bottom w:val="nil"/>
              <w:right w:val="nil"/>
              <w:tl2br w:val="nil"/>
              <w:tr2bl w:val="nil"/>
            </w:tcBorders>
            <w:tcMar>
              <w:left w:w="60" w:type="dxa"/>
              <w:right w:w="60" w:type="dxa"/>
            </w:tcMar>
            <w:vAlign w:val="center"/>
          </w:tcPr>
          <w:p w14:paraId="3BE1231E"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17</w:t>
            </w:r>
          </w:p>
        </w:tc>
      </w:tr>
      <w:tr w:rsidR="00807FFE" w14:paraId="68843E54"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588F54F2"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Asylum Support Office</w:t>
            </w:r>
          </w:p>
        </w:tc>
        <w:tc>
          <w:tcPr>
            <w:tcW w:w="1134" w:type="dxa"/>
            <w:tcBorders>
              <w:top w:val="nil"/>
              <w:left w:val="nil"/>
              <w:bottom w:val="nil"/>
              <w:right w:val="nil"/>
              <w:tl2br w:val="nil"/>
              <w:tr2bl w:val="nil"/>
            </w:tcBorders>
            <w:tcMar>
              <w:left w:w="60" w:type="dxa"/>
              <w:right w:w="60" w:type="dxa"/>
            </w:tcMar>
            <w:vAlign w:val="center"/>
          </w:tcPr>
          <w:p w14:paraId="0DBAB84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264</w:t>
            </w:r>
          </w:p>
        </w:tc>
        <w:tc>
          <w:tcPr>
            <w:tcW w:w="1134" w:type="dxa"/>
            <w:tcBorders>
              <w:top w:val="nil"/>
              <w:left w:val="nil"/>
              <w:bottom w:val="nil"/>
              <w:right w:val="nil"/>
              <w:tl2br w:val="nil"/>
              <w:tr2bl w:val="nil"/>
            </w:tcBorders>
            <w:tcMar>
              <w:left w:w="60" w:type="dxa"/>
              <w:right w:w="60" w:type="dxa"/>
            </w:tcMar>
            <w:vAlign w:val="center"/>
          </w:tcPr>
          <w:p w14:paraId="4F3D73DC"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208</w:t>
            </w:r>
          </w:p>
        </w:tc>
        <w:tc>
          <w:tcPr>
            <w:tcW w:w="1136" w:type="dxa"/>
            <w:tcBorders>
              <w:top w:val="nil"/>
              <w:left w:val="nil"/>
              <w:bottom w:val="nil"/>
              <w:right w:val="nil"/>
              <w:tl2br w:val="nil"/>
              <w:tr2bl w:val="nil"/>
            </w:tcBorders>
            <w:tcMar>
              <w:left w:w="60" w:type="dxa"/>
              <w:right w:w="60" w:type="dxa"/>
            </w:tcMar>
            <w:vAlign w:val="center"/>
          </w:tcPr>
          <w:p w14:paraId="03928B81"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277</w:t>
            </w:r>
          </w:p>
        </w:tc>
        <w:tc>
          <w:tcPr>
            <w:tcW w:w="1043" w:type="dxa"/>
            <w:tcBorders>
              <w:top w:val="nil"/>
              <w:left w:val="nil"/>
              <w:bottom w:val="nil"/>
              <w:right w:val="nil"/>
              <w:tl2br w:val="nil"/>
              <w:tr2bl w:val="nil"/>
            </w:tcBorders>
            <w:tcMar>
              <w:left w:w="60" w:type="dxa"/>
              <w:right w:w="60" w:type="dxa"/>
            </w:tcMar>
            <w:vAlign w:val="center"/>
          </w:tcPr>
          <w:p w14:paraId="27FE7967"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191</w:t>
            </w:r>
          </w:p>
        </w:tc>
      </w:tr>
      <w:tr w:rsidR="00807FFE" w14:paraId="3EB17CD9"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4581B85"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Aviation Safety Agency</w:t>
            </w:r>
          </w:p>
        </w:tc>
        <w:tc>
          <w:tcPr>
            <w:tcW w:w="1134" w:type="dxa"/>
            <w:tcBorders>
              <w:top w:val="nil"/>
              <w:left w:val="nil"/>
              <w:bottom w:val="nil"/>
              <w:right w:val="nil"/>
              <w:tl2br w:val="nil"/>
              <w:tr2bl w:val="nil"/>
            </w:tcBorders>
            <w:tcMar>
              <w:left w:w="60" w:type="dxa"/>
              <w:right w:w="60" w:type="dxa"/>
            </w:tcMar>
            <w:vAlign w:val="center"/>
          </w:tcPr>
          <w:p w14:paraId="33249296"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317</w:t>
            </w:r>
          </w:p>
        </w:tc>
        <w:tc>
          <w:tcPr>
            <w:tcW w:w="1134" w:type="dxa"/>
            <w:tcBorders>
              <w:top w:val="nil"/>
              <w:left w:val="nil"/>
              <w:bottom w:val="nil"/>
              <w:right w:val="nil"/>
              <w:tl2br w:val="nil"/>
              <w:tr2bl w:val="nil"/>
            </w:tcBorders>
            <w:tcMar>
              <w:left w:w="60" w:type="dxa"/>
              <w:right w:w="60" w:type="dxa"/>
            </w:tcMar>
            <w:vAlign w:val="center"/>
          </w:tcPr>
          <w:p w14:paraId="1D185318"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250</w:t>
            </w:r>
          </w:p>
        </w:tc>
        <w:tc>
          <w:tcPr>
            <w:tcW w:w="1136" w:type="dxa"/>
            <w:tcBorders>
              <w:top w:val="nil"/>
              <w:left w:val="nil"/>
              <w:bottom w:val="nil"/>
              <w:right w:val="nil"/>
              <w:tl2br w:val="nil"/>
              <w:tr2bl w:val="nil"/>
            </w:tcBorders>
            <w:tcMar>
              <w:left w:w="60" w:type="dxa"/>
              <w:right w:w="60" w:type="dxa"/>
            </w:tcMar>
            <w:vAlign w:val="center"/>
          </w:tcPr>
          <w:p w14:paraId="493887F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331</w:t>
            </w:r>
          </w:p>
        </w:tc>
        <w:tc>
          <w:tcPr>
            <w:tcW w:w="1043" w:type="dxa"/>
            <w:tcBorders>
              <w:top w:val="nil"/>
              <w:left w:val="nil"/>
              <w:bottom w:val="nil"/>
              <w:right w:val="nil"/>
              <w:tl2br w:val="nil"/>
              <w:tr2bl w:val="nil"/>
            </w:tcBorders>
            <w:tcMar>
              <w:left w:w="60" w:type="dxa"/>
              <w:right w:w="60" w:type="dxa"/>
            </w:tcMar>
            <w:vAlign w:val="center"/>
          </w:tcPr>
          <w:p w14:paraId="18C45304"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227</w:t>
            </w:r>
          </w:p>
        </w:tc>
      </w:tr>
      <w:tr w:rsidR="00807FFE" w14:paraId="00ED56A2"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A0F53BE"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Banking Authority</w:t>
            </w:r>
          </w:p>
        </w:tc>
        <w:tc>
          <w:tcPr>
            <w:tcW w:w="1134" w:type="dxa"/>
            <w:tcBorders>
              <w:top w:val="nil"/>
              <w:left w:val="nil"/>
              <w:bottom w:val="nil"/>
              <w:right w:val="nil"/>
              <w:tl2br w:val="nil"/>
              <w:tr2bl w:val="nil"/>
            </w:tcBorders>
            <w:tcMar>
              <w:left w:w="60" w:type="dxa"/>
              <w:right w:w="60" w:type="dxa"/>
            </w:tcMar>
            <w:vAlign w:val="center"/>
          </w:tcPr>
          <w:p w14:paraId="790C81B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1134" w:type="dxa"/>
            <w:tcBorders>
              <w:top w:val="nil"/>
              <w:left w:val="nil"/>
              <w:bottom w:val="nil"/>
              <w:right w:val="nil"/>
              <w:tl2br w:val="nil"/>
              <w:tr2bl w:val="nil"/>
            </w:tcBorders>
            <w:tcMar>
              <w:left w:w="60" w:type="dxa"/>
              <w:right w:w="60" w:type="dxa"/>
            </w:tcMar>
            <w:vAlign w:val="center"/>
          </w:tcPr>
          <w:p w14:paraId="6FD9B76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59</w:t>
            </w:r>
          </w:p>
        </w:tc>
        <w:tc>
          <w:tcPr>
            <w:tcW w:w="1136" w:type="dxa"/>
            <w:tcBorders>
              <w:top w:val="nil"/>
              <w:left w:val="nil"/>
              <w:bottom w:val="nil"/>
              <w:right w:val="nil"/>
              <w:tl2br w:val="nil"/>
              <w:tr2bl w:val="nil"/>
            </w:tcBorders>
            <w:tcMar>
              <w:left w:w="60" w:type="dxa"/>
              <w:right w:w="60" w:type="dxa"/>
            </w:tcMar>
            <w:vAlign w:val="center"/>
          </w:tcPr>
          <w:p w14:paraId="0E5CD2F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65</w:t>
            </w:r>
          </w:p>
        </w:tc>
        <w:tc>
          <w:tcPr>
            <w:tcW w:w="1043" w:type="dxa"/>
            <w:tcBorders>
              <w:top w:val="nil"/>
              <w:left w:val="nil"/>
              <w:bottom w:val="nil"/>
              <w:right w:val="nil"/>
              <w:tl2br w:val="nil"/>
              <w:tr2bl w:val="nil"/>
            </w:tcBorders>
            <w:tcMar>
              <w:left w:w="60" w:type="dxa"/>
              <w:right w:w="60" w:type="dxa"/>
            </w:tcMar>
            <w:vAlign w:val="center"/>
          </w:tcPr>
          <w:p w14:paraId="1A170A28"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58</w:t>
            </w:r>
          </w:p>
        </w:tc>
      </w:tr>
      <w:tr w:rsidR="00807FFE" w14:paraId="62643915"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2C213DE0"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Border and Coast Guard Agency</w:t>
            </w:r>
          </w:p>
        </w:tc>
        <w:tc>
          <w:tcPr>
            <w:tcW w:w="1134" w:type="dxa"/>
            <w:tcBorders>
              <w:top w:val="nil"/>
              <w:left w:val="nil"/>
              <w:bottom w:val="nil"/>
              <w:right w:val="nil"/>
              <w:tl2br w:val="nil"/>
              <w:tr2bl w:val="nil"/>
            </w:tcBorders>
            <w:tcMar>
              <w:left w:w="60" w:type="dxa"/>
              <w:right w:w="60" w:type="dxa"/>
            </w:tcMar>
            <w:vAlign w:val="center"/>
          </w:tcPr>
          <w:p w14:paraId="124F769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1 158</w:t>
            </w:r>
          </w:p>
        </w:tc>
        <w:tc>
          <w:tcPr>
            <w:tcW w:w="1134" w:type="dxa"/>
            <w:tcBorders>
              <w:top w:val="nil"/>
              <w:left w:val="nil"/>
              <w:bottom w:val="nil"/>
              <w:right w:val="nil"/>
              <w:tl2br w:val="nil"/>
              <w:tr2bl w:val="nil"/>
            </w:tcBorders>
            <w:tcMar>
              <w:left w:w="60" w:type="dxa"/>
              <w:right w:w="60" w:type="dxa"/>
            </w:tcMar>
            <w:vAlign w:val="center"/>
          </w:tcPr>
          <w:p w14:paraId="0D86723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1 132</w:t>
            </w:r>
          </w:p>
        </w:tc>
        <w:tc>
          <w:tcPr>
            <w:tcW w:w="1136" w:type="dxa"/>
            <w:tcBorders>
              <w:top w:val="nil"/>
              <w:left w:val="nil"/>
              <w:bottom w:val="nil"/>
              <w:right w:val="nil"/>
              <w:tl2br w:val="nil"/>
              <w:tr2bl w:val="nil"/>
            </w:tcBorders>
            <w:tcMar>
              <w:left w:w="60" w:type="dxa"/>
              <w:right w:w="60" w:type="dxa"/>
            </w:tcMar>
            <w:vAlign w:val="center"/>
          </w:tcPr>
          <w:p w14:paraId="79D96064"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1 561</w:t>
            </w:r>
          </w:p>
        </w:tc>
        <w:tc>
          <w:tcPr>
            <w:tcW w:w="1043" w:type="dxa"/>
            <w:tcBorders>
              <w:top w:val="nil"/>
              <w:left w:val="nil"/>
              <w:bottom w:val="nil"/>
              <w:right w:val="nil"/>
              <w:tl2br w:val="nil"/>
              <w:tr2bl w:val="nil"/>
            </w:tcBorders>
            <w:tcMar>
              <w:left w:w="60" w:type="dxa"/>
              <w:right w:w="60" w:type="dxa"/>
            </w:tcMar>
            <w:vAlign w:val="center"/>
          </w:tcPr>
          <w:p w14:paraId="2353D6CD"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1 023</w:t>
            </w:r>
          </w:p>
        </w:tc>
      </w:tr>
      <w:tr w:rsidR="00807FFE" w14:paraId="374F302D"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9EEC6D3"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Centre for Disease Prevention and Control</w:t>
            </w:r>
          </w:p>
        </w:tc>
        <w:tc>
          <w:tcPr>
            <w:tcW w:w="1134" w:type="dxa"/>
            <w:tcBorders>
              <w:top w:val="nil"/>
              <w:left w:val="nil"/>
              <w:bottom w:val="nil"/>
              <w:right w:val="nil"/>
              <w:tl2br w:val="nil"/>
              <w:tr2bl w:val="nil"/>
            </w:tcBorders>
            <w:tcMar>
              <w:left w:w="60" w:type="dxa"/>
              <w:right w:w="60" w:type="dxa"/>
            </w:tcMar>
            <w:vAlign w:val="center"/>
          </w:tcPr>
          <w:p w14:paraId="184E719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109</w:t>
            </w:r>
          </w:p>
        </w:tc>
        <w:tc>
          <w:tcPr>
            <w:tcW w:w="1134" w:type="dxa"/>
            <w:tcBorders>
              <w:top w:val="nil"/>
              <w:left w:val="nil"/>
              <w:bottom w:val="nil"/>
              <w:right w:val="nil"/>
              <w:tl2br w:val="nil"/>
              <w:tr2bl w:val="nil"/>
            </w:tcBorders>
            <w:tcMar>
              <w:left w:w="60" w:type="dxa"/>
              <w:right w:w="60" w:type="dxa"/>
            </w:tcMar>
            <w:vAlign w:val="center"/>
          </w:tcPr>
          <w:p w14:paraId="14682E4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99</w:t>
            </w:r>
          </w:p>
        </w:tc>
        <w:tc>
          <w:tcPr>
            <w:tcW w:w="1136" w:type="dxa"/>
            <w:tcBorders>
              <w:top w:val="nil"/>
              <w:left w:val="nil"/>
              <w:bottom w:val="nil"/>
              <w:right w:val="nil"/>
              <w:tl2br w:val="nil"/>
              <w:tr2bl w:val="nil"/>
            </w:tcBorders>
            <w:tcMar>
              <w:left w:w="60" w:type="dxa"/>
              <w:right w:w="60" w:type="dxa"/>
            </w:tcMar>
            <w:vAlign w:val="center"/>
          </w:tcPr>
          <w:p w14:paraId="7BC5439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135</w:t>
            </w:r>
          </w:p>
        </w:tc>
        <w:tc>
          <w:tcPr>
            <w:tcW w:w="1043" w:type="dxa"/>
            <w:tcBorders>
              <w:top w:val="nil"/>
              <w:left w:val="nil"/>
              <w:bottom w:val="nil"/>
              <w:right w:val="nil"/>
              <w:tl2br w:val="nil"/>
              <w:tr2bl w:val="nil"/>
            </w:tcBorders>
            <w:tcMar>
              <w:left w:w="60" w:type="dxa"/>
              <w:right w:w="60" w:type="dxa"/>
            </w:tcMar>
            <w:vAlign w:val="center"/>
          </w:tcPr>
          <w:p w14:paraId="59C00A12"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103</w:t>
            </w:r>
          </w:p>
        </w:tc>
      </w:tr>
      <w:tr w:rsidR="00807FFE" w14:paraId="59E0B3A0"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73F80DCE"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Centre for the Development of Vocational Training</w:t>
            </w:r>
          </w:p>
        </w:tc>
        <w:tc>
          <w:tcPr>
            <w:tcW w:w="1134" w:type="dxa"/>
            <w:tcBorders>
              <w:top w:val="nil"/>
              <w:left w:val="nil"/>
              <w:bottom w:val="nil"/>
              <w:right w:val="nil"/>
              <w:tl2br w:val="nil"/>
              <w:tr2bl w:val="nil"/>
            </w:tcBorders>
            <w:tcMar>
              <w:left w:w="60" w:type="dxa"/>
              <w:right w:w="60" w:type="dxa"/>
            </w:tcMar>
            <w:vAlign w:val="center"/>
          </w:tcPr>
          <w:p w14:paraId="0E36816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23</w:t>
            </w:r>
          </w:p>
        </w:tc>
        <w:tc>
          <w:tcPr>
            <w:tcW w:w="1134" w:type="dxa"/>
            <w:tcBorders>
              <w:top w:val="nil"/>
              <w:left w:val="nil"/>
              <w:bottom w:val="nil"/>
              <w:right w:val="nil"/>
              <w:tl2br w:val="nil"/>
              <w:tr2bl w:val="nil"/>
            </w:tcBorders>
            <w:tcMar>
              <w:left w:w="60" w:type="dxa"/>
              <w:right w:w="60" w:type="dxa"/>
            </w:tcMar>
            <w:vAlign w:val="center"/>
          </w:tcPr>
          <w:p w14:paraId="5C0F706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22</w:t>
            </w:r>
          </w:p>
        </w:tc>
        <w:tc>
          <w:tcPr>
            <w:tcW w:w="1136" w:type="dxa"/>
            <w:tcBorders>
              <w:top w:val="nil"/>
              <w:left w:val="nil"/>
              <w:bottom w:val="nil"/>
              <w:right w:val="nil"/>
              <w:tl2br w:val="nil"/>
              <w:tr2bl w:val="nil"/>
            </w:tcBorders>
            <w:tcMar>
              <w:left w:w="60" w:type="dxa"/>
              <w:right w:w="60" w:type="dxa"/>
            </w:tcMar>
            <w:vAlign w:val="center"/>
          </w:tcPr>
          <w:p w14:paraId="5759439D"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24</w:t>
            </w:r>
          </w:p>
        </w:tc>
        <w:tc>
          <w:tcPr>
            <w:tcW w:w="1043" w:type="dxa"/>
            <w:tcBorders>
              <w:top w:val="nil"/>
              <w:left w:val="nil"/>
              <w:bottom w:val="nil"/>
              <w:right w:val="nil"/>
              <w:tl2br w:val="nil"/>
              <w:tr2bl w:val="nil"/>
            </w:tcBorders>
            <w:tcMar>
              <w:left w:w="60" w:type="dxa"/>
              <w:right w:w="60" w:type="dxa"/>
            </w:tcMar>
            <w:vAlign w:val="center"/>
          </w:tcPr>
          <w:p w14:paraId="1683D074"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21</w:t>
            </w:r>
          </w:p>
        </w:tc>
      </w:tr>
      <w:tr w:rsidR="00807FFE" w14:paraId="42DB3B52"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1C57F7E4"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Chemicals Agency</w:t>
            </w:r>
          </w:p>
        </w:tc>
        <w:tc>
          <w:tcPr>
            <w:tcW w:w="1134" w:type="dxa"/>
            <w:tcBorders>
              <w:top w:val="nil"/>
              <w:left w:val="nil"/>
              <w:bottom w:val="nil"/>
              <w:right w:val="nil"/>
              <w:tl2br w:val="nil"/>
              <w:tr2bl w:val="nil"/>
            </w:tcBorders>
            <w:tcMar>
              <w:left w:w="60" w:type="dxa"/>
              <w:right w:w="60" w:type="dxa"/>
            </w:tcMar>
            <w:vAlign w:val="center"/>
          </w:tcPr>
          <w:p w14:paraId="75CD957B"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142</w:t>
            </w:r>
          </w:p>
        </w:tc>
        <w:tc>
          <w:tcPr>
            <w:tcW w:w="1134" w:type="dxa"/>
            <w:tcBorders>
              <w:top w:val="nil"/>
              <w:left w:val="nil"/>
              <w:bottom w:val="nil"/>
              <w:right w:val="nil"/>
              <w:tl2br w:val="nil"/>
              <w:tr2bl w:val="nil"/>
            </w:tcBorders>
            <w:tcMar>
              <w:left w:w="60" w:type="dxa"/>
              <w:right w:w="60" w:type="dxa"/>
            </w:tcMar>
            <w:vAlign w:val="center"/>
          </w:tcPr>
          <w:p w14:paraId="6AEC7D9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137</w:t>
            </w:r>
          </w:p>
        </w:tc>
        <w:tc>
          <w:tcPr>
            <w:tcW w:w="1136" w:type="dxa"/>
            <w:tcBorders>
              <w:top w:val="nil"/>
              <w:left w:val="nil"/>
              <w:bottom w:val="nil"/>
              <w:right w:val="nil"/>
              <w:tl2br w:val="nil"/>
              <w:tr2bl w:val="nil"/>
            </w:tcBorders>
            <w:tcMar>
              <w:left w:w="60" w:type="dxa"/>
              <w:right w:w="60" w:type="dxa"/>
            </w:tcMar>
            <w:vAlign w:val="center"/>
          </w:tcPr>
          <w:p w14:paraId="0D9B68C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159</w:t>
            </w:r>
          </w:p>
        </w:tc>
        <w:tc>
          <w:tcPr>
            <w:tcW w:w="1043" w:type="dxa"/>
            <w:tcBorders>
              <w:top w:val="nil"/>
              <w:left w:val="nil"/>
              <w:bottom w:val="nil"/>
              <w:right w:val="nil"/>
              <w:tl2br w:val="nil"/>
              <w:tr2bl w:val="nil"/>
            </w:tcBorders>
            <w:tcMar>
              <w:left w:w="60" w:type="dxa"/>
              <w:right w:w="60" w:type="dxa"/>
            </w:tcMar>
            <w:vAlign w:val="center"/>
          </w:tcPr>
          <w:p w14:paraId="1E0F0FBB"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139</w:t>
            </w:r>
          </w:p>
        </w:tc>
      </w:tr>
      <w:tr w:rsidR="00807FFE" w14:paraId="3303CCFB"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6F7F9014"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Climate, Infrastructure and Environment Executive Agency</w:t>
            </w:r>
          </w:p>
        </w:tc>
        <w:tc>
          <w:tcPr>
            <w:tcW w:w="1134" w:type="dxa"/>
            <w:tcBorders>
              <w:top w:val="nil"/>
              <w:left w:val="nil"/>
              <w:bottom w:val="nil"/>
              <w:right w:val="nil"/>
              <w:tl2br w:val="nil"/>
              <w:tr2bl w:val="nil"/>
            </w:tcBorders>
            <w:tcMar>
              <w:left w:w="60" w:type="dxa"/>
              <w:right w:w="60" w:type="dxa"/>
            </w:tcMar>
            <w:vAlign w:val="center"/>
          </w:tcPr>
          <w:p w14:paraId="0BC7409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134" w:type="dxa"/>
            <w:tcBorders>
              <w:top w:val="nil"/>
              <w:left w:val="nil"/>
              <w:bottom w:val="nil"/>
              <w:right w:val="nil"/>
              <w:tl2br w:val="nil"/>
              <w:tr2bl w:val="nil"/>
            </w:tcBorders>
            <w:tcMar>
              <w:left w:w="60" w:type="dxa"/>
              <w:right w:w="60" w:type="dxa"/>
            </w:tcMar>
            <w:vAlign w:val="center"/>
          </w:tcPr>
          <w:p w14:paraId="76047A0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1136" w:type="dxa"/>
            <w:tcBorders>
              <w:top w:val="nil"/>
              <w:left w:val="nil"/>
              <w:bottom w:val="nil"/>
              <w:right w:val="nil"/>
              <w:tl2br w:val="nil"/>
              <w:tr2bl w:val="nil"/>
            </w:tcBorders>
            <w:tcMar>
              <w:left w:w="60" w:type="dxa"/>
              <w:right w:w="60" w:type="dxa"/>
            </w:tcMar>
            <w:vAlign w:val="center"/>
          </w:tcPr>
          <w:p w14:paraId="24C939D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78</w:t>
            </w:r>
          </w:p>
        </w:tc>
        <w:tc>
          <w:tcPr>
            <w:tcW w:w="1043" w:type="dxa"/>
            <w:tcBorders>
              <w:top w:val="nil"/>
              <w:left w:val="nil"/>
              <w:bottom w:val="nil"/>
              <w:right w:val="nil"/>
              <w:tl2br w:val="nil"/>
              <w:tr2bl w:val="nil"/>
            </w:tcBorders>
            <w:tcMar>
              <w:left w:w="60" w:type="dxa"/>
              <w:right w:w="60" w:type="dxa"/>
            </w:tcMar>
            <w:vAlign w:val="center"/>
          </w:tcPr>
          <w:p w14:paraId="56BD30BE"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72</w:t>
            </w:r>
          </w:p>
        </w:tc>
      </w:tr>
      <w:tr w:rsidR="00807FFE" w14:paraId="764CB46B"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3DB7880"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Education and Culture Executive Agency</w:t>
            </w:r>
          </w:p>
        </w:tc>
        <w:tc>
          <w:tcPr>
            <w:tcW w:w="1134" w:type="dxa"/>
            <w:tcBorders>
              <w:top w:val="nil"/>
              <w:left w:val="nil"/>
              <w:bottom w:val="nil"/>
              <w:right w:val="nil"/>
              <w:tl2br w:val="nil"/>
              <w:tr2bl w:val="nil"/>
            </w:tcBorders>
            <w:tcMar>
              <w:left w:w="60" w:type="dxa"/>
              <w:right w:w="60" w:type="dxa"/>
            </w:tcMar>
            <w:vAlign w:val="center"/>
          </w:tcPr>
          <w:p w14:paraId="05AA8CA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134" w:type="dxa"/>
            <w:tcBorders>
              <w:top w:val="nil"/>
              <w:left w:val="nil"/>
              <w:bottom w:val="nil"/>
              <w:right w:val="nil"/>
              <w:tl2br w:val="nil"/>
              <w:tr2bl w:val="nil"/>
            </w:tcBorders>
            <w:tcMar>
              <w:left w:w="60" w:type="dxa"/>
              <w:right w:w="60" w:type="dxa"/>
            </w:tcMar>
            <w:vAlign w:val="center"/>
          </w:tcPr>
          <w:p w14:paraId="7AE1FD49"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75</w:t>
            </w:r>
          </w:p>
        </w:tc>
        <w:tc>
          <w:tcPr>
            <w:tcW w:w="1136" w:type="dxa"/>
            <w:tcBorders>
              <w:top w:val="nil"/>
              <w:left w:val="nil"/>
              <w:bottom w:val="nil"/>
              <w:right w:val="nil"/>
              <w:tl2br w:val="nil"/>
              <w:tr2bl w:val="nil"/>
            </w:tcBorders>
            <w:tcMar>
              <w:left w:w="60" w:type="dxa"/>
              <w:right w:w="60" w:type="dxa"/>
            </w:tcMar>
            <w:vAlign w:val="center"/>
          </w:tcPr>
          <w:p w14:paraId="4ABEE2F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1043" w:type="dxa"/>
            <w:tcBorders>
              <w:top w:val="nil"/>
              <w:left w:val="nil"/>
              <w:bottom w:val="nil"/>
              <w:right w:val="nil"/>
              <w:tl2br w:val="nil"/>
              <w:tr2bl w:val="nil"/>
            </w:tcBorders>
            <w:tcMar>
              <w:left w:w="60" w:type="dxa"/>
              <w:right w:w="60" w:type="dxa"/>
            </w:tcMar>
            <w:vAlign w:val="center"/>
          </w:tcPr>
          <w:p w14:paraId="1814F020"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75</w:t>
            </w:r>
          </w:p>
        </w:tc>
      </w:tr>
      <w:tr w:rsidR="00807FFE" w14:paraId="64C5CB53"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77B260EF"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Environment Agency</w:t>
            </w:r>
          </w:p>
        </w:tc>
        <w:tc>
          <w:tcPr>
            <w:tcW w:w="1134" w:type="dxa"/>
            <w:tcBorders>
              <w:top w:val="nil"/>
              <w:left w:val="nil"/>
              <w:bottom w:val="nil"/>
              <w:right w:val="nil"/>
              <w:tl2br w:val="nil"/>
              <w:tr2bl w:val="nil"/>
            </w:tcBorders>
            <w:tcMar>
              <w:left w:w="60" w:type="dxa"/>
              <w:right w:w="60" w:type="dxa"/>
            </w:tcMar>
            <w:vAlign w:val="center"/>
          </w:tcPr>
          <w:p w14:paraId="113D989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116</w:t>
            </w:r>
          </w:p>
        </w:tc>
        <w:tc>
          <w:tcPr>
            <w:tcW w:w="1134" w:type="dxa"/>
            <w:tcBorders>
              <w:top w:val="nil"/>
              <w:left w:val="nil"/>
              <w:bottom w:val="nil"/>
              <w:right w:val="nil"/>
              <w:tl2br w:val="nil"/>
              <w:tr2bl w:val="nil"/>
            </w:tcBorders>
            <w:tcMar>
              <w:left w:w="60" w:type="dxa"/>
              <w:right w:w="60" w:type="dxa"/>
            </w:tcMar>
            <w:vAlign w:val="center"/>
          </w:tcPr>
          <w:p w14:paraId="03141574"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103</w:t>
            </w:r>
          </w:p>
        </w:tc>
        <w:tc>
          <w:tcPr>
            <w:tcW w:w="1136" w:type="dxa"/>
            <w:tcBorders>
              <w:top w:val="nil"/>
              <w:left w:val="nil"/>
              <w:bottom w:val="nil"/>
              <w:right w:val="nil"/>
              <w:tl2br w:val="nil"/>
              <w:tr2bl w:val="nil"/>
            </w:tcBorders>
            <w:tcMar>
              <w:left w:w="60" w:type="dxa"/>
              <w:right w:w="60" w:type="dxa"/>
            </w:tcMar>
            <w:vAlign w:val="center"/>
          </w:tcPr>
          <w:p w14:paraId="3487BDE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155</w:t>
            </w:r>
          </w:p>
        </w:tc>
        <w:tc>
          <w:tcPr>
            <w:tcW w:w="1043" w:type="dxa"/>
            <w:tcBorders>
              <w:top w:val="nil"/>
              <w:left w:val="nil"/>
              <w:bottom w:val="nil"/>
              <w:right w:val="nil"/>
              <w:tl2br w:val="nil"/>
              <w:tr2bl w:val="nil"/>
            </w:tcBorders>
            <w:tcMar>
              <w:left w:w="60" w:type="dxa"/>
              <w:right w:w="60" w:type="dxa"/>
            </w:tcMar>
            <w:vAlign w:val="center"/>
          </w:tcPr>
          <w:p w14:paraId="568C7087"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101</w:t>
            </w:r>
          </w:p>
        </w:tc>
      </w:tr>
      <w:tr w:rsidR="00807FFE" w14:paraId="6D7D6F99"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131618A8"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Fisheries Control Agency</w:t>
            </w:r>
          </w:p>
        </w:tc>
        <w:tc>
          <w:tcPr>
            <w:tcW w:w="1134" w:type="dxa"/>
            <w:tcBorders>
              <w:top w:val="nil"/>
              <w:left w:val="nil"/>
              <w:bottom w:val="nil"/>
              <w:right w:val="nil"/>
              <w:tl2br w:val="nil"/>
              <w:tr2bl w:val="nil"/>
            </w:tcBorders>
            <w:tcMar>
              <w:left w:w="60" w:type="dxa"/>
              <w:right w:w="60" w:type="dxa"/>
            </w:tcMar>
            <w:vAlign w:val="center"/>
          </w:tcPr>
          <w:p w14:paraId="51BC8EE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36</w:t>
            </w:r>
          </w:p>
        </w:tc>
        <w:tc>
          <w:tcPr>
            <w:tcW w:w="1134" w:type="dxa"/>
            <w:tcBorders>
              <w:top w:val="nil"/>
              <w:left w:val="nil"/>
              <w:bottom w:val="nil"/>
              <w:right w:val="nil"/>
              <w:tl2br w:val="nil"/>
              <w:tr2bl w:val="nil"/>
            </w:tcBorders>
            <w:tcMar>
              <w:left w:w="60" w:type="dxa"/>
              <w:right w:w="60" w:type="dxa"/>
            </w:tcMar>
            <w:vAlign w:val="center"/>
          </w:tcPr>
          <w:p w14:paraId="49C39574"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34</w:t>
            </w:r>
          </w:p>
        </w:tc>
        <w:tc>
          <w:tcPr>
            <w:tcW w:w="1136" w:type="dxa"/>
            <w:tcBorders>
              <w:top w:val="nil"/>
              <w:left w:val="nil"/>
              <w:bottom w:val="nil"/>
              <w:right w:val="nil"/>
              <w:tl2br w:val="nil"/>
              <w:tr2bl w:val="nil"/>
            </w:tcBorders>
            <w:tcMar>
              <w:left w:w="60" w:type="dxa"/>
              <w:right w:w="60" w:type="dxa"/>
            </w:tcMar>
            <w:vAlign w:val="center"/>
          </w:tcPr>
          <w:p w14:paraId="6F4952F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1043" w:type="dxa"/>
            <w:tcBorders>
              <w:top w:val="nil"/>
              <w:left w:val="nil"/>
              <w:bottom w:val="nil"/>
              <w:right w:val="nil"/>
              <w:tl2br w:val="nil"/>
              <w:tr2bl w:val="nil"/>
            </w:tcBorders>
            <w:tcMar>
              <w:left w:w="60" w:type="dxa"/>
              <w:right w:w="60" w:type="dxa"/>
            </w:tcMar>
            <w:vAlign w:val="center"/>
          </w:tcPr>
          <w:p w14:paraId="6AFFAC2F"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35</w:t>
            </w:r>
          </w:p>
        </w:tc>
      </w:tr>
      <w:tr w:rsidR="00807FFE" w14:paraId="4D1B42A7"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002F2969"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Food Safety Authority</w:t>
            </w:r>
          </w:p>
        </w:tc>
        <w:tc>
          <w:tcPr>
            <w:tcW w:w="1134" w:type="dxa"/>
            <w:tcBorders>
              <w:top w:val="nil"/>
              <w:left w:val="nil"/>
              <w:bottom w:val="nil"/>
              <w:right w:val="nil"/>
              <w:tl2br w:val="nil"/>
              <w:tr2bl w:val="nil"/>
            </w:tcBorders>
            <w:tcMar>
              <w:left w:w="60" w:type="dxa"/>
              <w:right w:w="60" w:type="dxa"/>
            </w:tcMar>
            <w:vAlign w:val="center"/>
          </w:tcPr>
          <w:p w14:paraId="2C54591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166</w:t>
            </w:r>
          </w:p>
        </w:tc>
        <w:tc>
          <w:tcPr>
            <w:tcW w:w="1134" w:type="dxa"/>
            <w:tcBorders>
              <w:top w:val="nil"/>
              <w:left w:val="nil"/>
              <w:bottom w:val="nil"/>
              <w:right w:val="nil"/>
              <w:tl2br w:val="nil"/>
              <w:tr2bl w:val="nil"/>
            </w:tcBorders>
            <w:tcMar>
              <w:left w:w="60" w:type="dxa"/>
              <w:right w:w="60" w:type="dxa"/>
            </w:tcMar>
            <w:vAlign w:val="center"/>
          </w:tcPr>
          <w:p w14:paraId="3AEBA1AD"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165</w:t>
            </w:r>
          </w:p>
        </w:tc>
        <w:tc>
          <w:tcPr>
            <w:tcW w:w="1136" w:type="dxa"/>
            <w:tcBorders>
              <w:top w:val="nil"/>
              <w:left w:val="nil"/>
              <w:bottom w:val="nil"/>
              <w:right w:val="nil"/>
              <w:tl2br w:val="nil"/>
              <w:tr2bl w:val="nil"/>
            </w:tcBorders>
            <w:tcMar>
              <w:left w:w="60" w:type="dxa"/>
              <w:right w:w="60" w:type="dxa"/>
            </w:tcMar>
            <w:vAlign w:val="center"/>
          </w:tcPr>
          <w:p w14:paraId="7CA64089"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168</w:t>
            </w:r>
          </w:p>
        </w:tc>
        <w:tc>
          <w:tcPr>
            <w:tcW w:w="1043" w:type="dxa"/>
            <w:tcBorders>
              <w:top w:val="nil"/>
              <w:left w:val="nil"/>
              <w:bottom w:val="nil"/>
              <w:right w:val="nil"/>
              <w:tl2br w:val="nil"/>
              <w:tr2bl w:val="nil"/>
            </w:tcBorders>
            <w:tcMar>
              <w:left w:w="60" w:type="dxa"/>
              <w:right w:w="60" w:type="dxa"/>
            </w:tcMar>
            <w:vAlign w:val="center"/>
          </w:tcPr>
          <w:p w14:paraId="1106CE0B"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157</w:t>
            </w:r>
          </w:p>
        </w:tc>
      </w:tr>
      <w:tr w:rsidR="00807FFE" w14:paraId="76635EC0"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29D8E586"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Foundation for the Improvement of Living and Working Conditions</w:t>
            </w:r>
          </w:p>
        </w:tc>
        <w:tc>
          <w:tcPr>
            <w:tcW w:w="1134" w:type="dxa"/>
            <w:tcBorders>
              <w:top w:val="nil"/>
              <w:left w:val="nil"/>
              <w:bottom w:val="nil"/>
              <w:right w:val="nil"/>
              <w:tl2br w:val="nil"/>
              <w:tr2bl w:val="nil"/>
            </w:tcBorders>
            <w:tcMar>
              <w:left w:w="60" w:type="dxa"/>
              <w:right w:w="60" w:type="dxa"/>
            </w:tcMar>
            <w:vAlign w:val="center"/>
          </w:tcPr>
          <w:p w14:paraId="00EA0BE4"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1134" w:type="dxa"/>
            <w:tcBorders>
              <w:top w:val="nil"/>
              <w:left w:val="nil"/>
              <w:bottom w:val="nil"/>
              <w:right w:val="nil"/>
              <w:tl2br w:val="nil"/>
              <w:tr2bl w:val="nil"/>
            </w:tcBorders>
            <w:tcMar>
              <w:left w:w="60" w:type="dxa"/>
              <w:right w:w="60" w:type="dxa"/>
            </w:tcMar>
            <w:vAlign w:val="center"/>
          </w:tcPr>
          <w:p w14:paraId="2DD6E4E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136" w:type="dxa"/>
            <w:tcBorders>
              <w:top w:val="nil"/>
              <w:left w:val="nil"/>
              <w:bottom w:val="nil"/>
              <w:right w:val="nil"/>
              <w:tl2br w:val="nil"/>
              <w:tr2bl w:val="nil"/>
            </w:tcBorders>
            <w:tcMar>
              <w:left w:w="60" w:type="dxa"/>
              <w:right w:w="60" w:type="dxa"/>
            </w:tcMar>
            <w:vAlign w:val="center"/>
          </w:tcPr>
          <w:p w14:paraId="28171DF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1043" w:type="dxa"/>
            <w:tcBorders>
              <w:top w:val="nil"/>
              <w:left w:val="nil"/>
              <w:bottom w:val="nil"/>
              <w:right w:val="nil"/>
              <w:tl2br w:val="nil"/>
              <w:tr2bl w:val="nil"/>
            </w:tcBorders>
            <w:tcMar>
              <w:left w:w="60" w:type="dxa"/>
              <w:right w:w="60" w:type="dxa"/>
            </w:tcMar>
            <w:vAlign w:val="center"/>
          </w:tcPr>
          <w:p w14:paraId="19E4B794"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25</w:t>
            </w:r>
          </w:p>
        </w:tc>
      </w:tr>
      <w:tr w:rsidR="00807FFE" w14:paraId="6936FB28"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5D36D3DD"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Health and Digital Executive Agency</w:t>
            </w:r>
          </w:p>
        </w:tc>
        <w:tc>
          <w:tcPr>
            <w:tcW w:w="1134" w:type="dxa"/>
            <w:tcBorders>
              <w:top w:val="nil"/>
              <w:left w:val="nil"/>
              <w:bottom w:val="nil"/>
              <w:right w:val="nil"/>
              <w:tl2br w:val="nil"/>
              <w:tr2bl w:val="nil"/>
            </w:tcBorders>
            <w:tcMar>
              <w:left w:w="60" w:type="dxa"/>
              <w:right w:w="60" w:type="dxa"/>
            </w:tcMar>
            <w:vAlign w:val="center"/>
          </w:tcPr>
          <w:p w14:paraId="1B6A9AE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62</w:t>
            </w:r>
          </w:p>
        </w:tc>
        <w:tc>
          <w:tcPr>
            <w:tcW w:w="1134" w:type="dxa"/>
            <w:tcBorders>
              <w:top w:val="nil"/>
              <w:left w:val="nil"/>
              <w:bottom w:val="nil"/>
              <w:right w:val="nil"/>
              <w:tl2br w:val="nil"/>
              <w:tr2bl w:val="nil"/>
            </w:tcBorders>
            <w:tcMar>
              <w:left w:w="60" w:type="dxa"/>
              <w:right w:w="60" w:type="dxa"/>
            </w:tcMar>
            <w:vAlign w:val="center"/>
          </w:tcPr>
          <w:p w14:paraId="63C6678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61</w:t>
            </w:r>
          </w:p>
        </w:tc>
        <w:tc>
          <w:tcPr>
            <w:tcW w:w="1136" w:type="dxa"/>
            <w:tcBorders>
              <w:top w:val="nil"/>
              <w:left w:val="nil"/>
              <w:bottom w:val="nil"/>
              <w:right w:val="nil"/>
              <w:tl2br w:val="nil"/>
              <w:tr2bl w:val="nil"/>
            </w:tcBorders>
            <w:tcMar>
              <w:left w:w="60" w:type="dxa"/>
              <w:right w:w="60" w:type="dxa"/>
            </w:tcMar>
            <w:vAlign w:val="center"/>
          </w:tcPr>
          <w:p w14:paraId="4D7EF31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65</w:t>
            </w:r>
          </w:p>
        </w:tc>
        <w:tc>
          <w:tcPr>
            <w:tcW w:w="1043" w:type="dxa"/>
            <w:tcBorders>
              <w:top w:val="nil"/>
              <w:left w:val="nil"/>
              <w:bottom w:val="nil"/>
              <w:right w:val="nil"/>
              <w:tl2br w:val="nil"/>
              <w:tr2bl w:val="nil"/>
            </w:tcBorders>
            <w:tcMar>
              <w:left w:w="60" w:type="dxa"/>
              <w:right w:w="60" w:type="dxa"/>
            </w:tcMar>
            <w:vAlign w:val="center"/>
          </w:tcPr>
          <w:p w14:paraId="1A41CBDF"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60</w:t>
            </w:r>
          </w:p>
        </w:tc>
      </w:tr>
      <w:tr w:rsidR="00807FFE" w14:paraId="1B7AC6D3"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7D4E22DE"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Innovation Council and SMEs Executive Agency</w:t>
            </w:r>
          </w:p>
        </w:tc>
        <w:tc>
          <w:tcPr>
            <w:tcW w:w="1134" w:type="dxa"/>
            <w:tcBorders>
              <w:top w:val="nil"/>
              <w:left w:val="nil"/>
              <w:bottom w:val="nil"/>
              <w:right w:val="nil"/>
              <w:tl2br w:val="nil"/>
              <w:tr2bl w:val="nil"/>
            </w:tcBorders>
            <w:tcMar>
              <w:left w:w="60" w:type="dxa"/>
              <w:right w:w="60" w:type="dxa"/>
            </w:tcMar>
            <w:vAlign w:val="center"/>
          </w:tcPr>
          <w:p w14:paraId="399C89B9"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134" w:type="dxa"/>
            <w:tcBorders>
              <w:top w:val="nil"/>
              <w:left w:val="nil"/>
              <w:bottom w:val="nil"/>
              <w:right w:val="nil"/>
              <w:tl2br w:val="nil"/>
              <w:tr2bl w:val="nil"/>
            </w:tcBorders>
            <w:tcMar>
              <w:left w:w="60" w:type="dxa"/>
              <w:right w:w="60" w:type="dxa"/>
            </w:tcMar>
            <w:vAlign w:val="center"/>
          </w:tcPr>
          <w:p w14:paraId="455C4769"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50</w:t>
            </w:r>
          </w:p>
        </w:tc>
        <w:tc>
          <w:tcPr>
            <w:tcW w:w="1136" w:type="dxa"/>
            <w:tcBorders>
              <w:top w:val="nil"/>
              <w:left w:val="nil"/>
              <w:bottom w:val="nil"/>
              <w:right w:val="nil"/>
              <w:tl2br w:val="nil"/>
              <w:tr2bl w:val="nil"/>
            </w:tcBorders>
            <w:tcMar>
              <w:left w:w="60" w:type="dxa"/>
              <w:right w:w="60" w:type="dxa"/>
            </w:tcMar>
            <w:vAlign w:val="center"/>
          </w:tcPr>
          <w:p w14:paraId="002C72B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1043" w:type="dxa"/>
            <w:tcBorders>
              <w:top w:val="nil"/>
              <w:left w:val="nil"/>
              <w:bottom w:val="nil"/>
              <w:right w:val="nil"/>
              <w:tl2br w:val="nil"/>
              <w:tr2bl w:val="nil"/>
            </w:tcBorders>
            <w:tcMar>
              <w:left w:w="60" w:type="dxa"/>
              <w:right w:w="60" w:type="dxa"/>
            </w:tcMar>
            <w:vAlign w:val="center"/>
          </w:tcPr>
          <w:p w14:paraId="443AB692"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49</w:t>
            </w:r>
          </w:p>
        </w:tc>
      </w:tr>
      <w:tr w:rsidR="00807FFE" w14:paraId="1589C755"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502A4EF7"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Institute for Gender Equality</w:t>
            </w:r>
          </w:p>
        </w:tc>
        <w:tc>
          <w:tcPr>
            <w:tcW w:w="1134" w:type="dxa"/>
            <w:tcBorders>
              <w:top w:val="nil"/>
              <w:left w:val="nil"/>
              <w:bottom w:val="nil"/>
              <w:right w:val="nil"/>
              <w:tl2br w:val="nil"/>
              <w:tr2bl w:val="nil"/>
            </w:tcBorders>
            <w:tcMar>
              <w:left w:w="60" w:type="dxa"/>
              <w:right w:w="60" w:type="dxa"/>
            </w:tcMar>
            <w:vAlign w:val="center"/>
          </w:tcPr>
          <w:p w14:paraId="02242A0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12</w:t>
            </w:r>
          </w:p>
        </w:tc>
        <w:tc>
          <w:tcPr>
            <w:tcW w:w="1134" w:type="dxa"/>
            <w:tcBorders>
              <w:top w:val="nil"/>
              <w:left w:val="nil"/>
              <w:bottom w:val="nil"/>
              <w:right w:val="nil"/>
              <w:tl2br w:val="nil"/>
              <w:tr2bl w:val="nil"/>
            </w:tcBorders>
            <w:tcMar>
              <w:left w:w="60" w:type="dxa"/>
              <w:right w:w="60" w:type="dxa"/>
            </w:tcMar>
            <w:vAlign w:val="center"/>
          </w:tcPr>
          <w:p w14:paraId="406E2A2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10</w:t>
            </w:r>
          </w:p>
        </w:tc>
        <w:tc>
          <w:tcPr>
            <w:tcW w:w="1136" w:type="dxa"/>
            <w:tcBorders>
              <w:top w:val="nil"/>
              <w:left w:val="nil"/>
              <w:bottom w:val="nil"/>
              <w:right w:val="nil"/>
              <w:tl2br w:val="nil"/>
              <w:tr2bl w:val="nil"/>
            </w:tcBorders>
            <w:tcMar>
              <w:left w:w="60" w:type="dxa"/>
              <w:right w:w="60" w:type="dxa"/>
            </w:tcMar>
            <w:vAlign w:val="center"/>
          </w:tcPr>
          <w:p w14:paraId="5D534C6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14</w:t>
            </w:r>
          </w:p>
        </w:tc>
        <w:tc>
          <w:tcPr>
            <w:tcW w:w="1043" w:type="dxa"/>
            <w:tcBorders>
              <w:top w:val="nil"/>
              <w:left w:val="nil"/>
              <w:bottom w:val="nil"/>
              <w:right w:val="nil"/>
              <w:tl2br w:val="nil"/>
              <w:tr2bl w:val="nil"/>
            </w:tcBorders>
            <w:tcMar>
              <w:left w:w="60" w:type="dxa"/>
              <w:right w:w="60" w:type="dxa"/>
            </w:tcMar>
            <w:vAlign w:val="center"/>
          </w:tcPr>
          <w:p w14:paraId="5FA69AB4"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10</w:t>
            </w:r>
          </w:p>
        </w:tc>
      </w:tr>
      <w:tr w:rsidR="00807FFE" w14:paraId="28733F55"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61B0B67C"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Institute of Innovation and Technology</w:t>
            </w:r>
          </w:p>
        </w:tc>
        <w:tc>
          <w:tcPr>
            <w:tcW w:w="1134" w:type="dxa"/>
            <w:tcBorders>
              <w:top w:val="nil"/>
              <w:left w:val="nil"/>
              <w:bottom w:val="nil"/>
              <w:right w:val="nil"/>
              <w:tl2br w:val="nil"/>
              <w:tr2bl w:val="nil"/>
            </w:tcBorders>
            <w:tcMar>
              <w:left w:w="60" w:type="dxa"/>
              <w:right w:w="60" w:type="dxa"/>
            </w:tcMar>
            <w:vAlign w:val="center"/>
          </w:tcPr>
          <w:p w14:paraId="53558C2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529</w:t>
            </w:r>
          </w:p>
        </w:tc>
        <w:tc>
          <w:tcPr>
            <w:tcW w:w="1134" w:type="dxa"/>
            <w:tcBorders>
              <w:top w:val="nil"/>
              <w:left w:val="nil"/>
              <w:bottom w:val="nil"/>
              <w:right w:val="nil"/>
              <w:tl2br w:val="nil"/>
              <w:tr2bl w:val="nil"/>
            </w:tcBorders>
            <w:tcMar>
              <w:left w:w="60" w:type="dxa"/>
              <w:right w:w="60" w:type="dxa"/>
            </w:tcMar>
            <w:vAlign w:val="center"/>
          </w:tcPr>
          <w:p w14:paraId="13EDF36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522</w:t>
            </w:r>
          </w:p>
        </w:tc>
        <w:tc>
          <w:tcPr>
            <w:tcW w:w="1136" w:type="dxa"/>
            <w:tcBorders>
              <w:top w:val="nil"/>
              <w:left w:val="nil"/>
              <w:bottom w:val="nil"/>
              <w:right w:val="nil"/>
              <w:tl2br w:val="nil"/>
              <w:tr2bl w:val="nil"/>
            </w:tcBorders>
            <w:tcMar>
              <w:left w:w="60" w:type="dxa"/>
              <w:right w:w="60" w:type="dxa"/>
            </w:tcMar>
            <w:vAlign w:val="center"/>
          </w:tcPr>
          <w:p w14:paraId="2AA09F3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475</w:t>
            </w:r>
          </w:p>
        </w:tc>
        <w:tc>
          <w:tcPr>
            <w:tcW w:w="1043" w:type="dxa"/>
            <w:tcBorders>
              <w:top w:val="nil"/>
              <w:left w:val="nil"/>
              <w:bottom w:val="nil"/>
              <w:right w:val="nil"/>
              <w:tl2br w:val="nil"/>
              <w:tr2bl w:val="nil"/>
            </w:tcBorders>
            <w:tcMar>
              <w:left w:w="60" w:type="dxa"/>
              <w:right w:w="60" w:type="dxa"/>
            </w:tcMar>
            <w:vAlign w:val="center"/>
          </w:tcPr>
          <w:p w14:paraId="6F083201"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463</w:t>
            </w:r>
          </w:p>
        </w:tc>
      </w:tr>
      <w:tr w:rsidR="00807FFE" w14:paraId="6BA255C9"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68517A2A"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Insurance and Occupational Pensions Authority</w:t>
            </w:r>
          </w:p>
        </w:tc>
        <w:tc>
          <w:tcPr>
            <w:tcW w:w="1134" w:type="dxa"/>
            <w:tcBorders>
              <w:top w:val="nil"/>
              <w:left w:val="nil"/>
              <w:bottom w:val="nil"/>
              <w:right w:val="nil"/>
              <w:tl2br w:val="nil"/>
              <w:tr2bl w:val="nil"/>
            </w:tcBorders>
            <w:tcMar>
              <w:left w:w="60" w:type="dxa"/>
              <w:right w:w="60" w:type="dxa"/>
            </w:tcMar>
            <w:vAlign w:val="center"/>
          </w:tcPr>
          <w:p w14:paraId="18C898B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1134" w:type="dxa"/>
            <w:tcBorders>
              <w:top w:val="nil"/>
              <w:left w:val="nil"/>
              <w:bottom w:val="nil"/>
              <w:right w:val="nil"/>
              <w:tl2br w:val="nil"/>
              <w:tr2bl w:val="nil"/>
            </w:tcBorders>
            <w:tcMar>
              <w:left w:w="60" w:type="dxa"/>
              <w:right w:w="60" w:type="dxa"/>
            </w:tcMar>
            <w:vAlign w:val="center"/>
          </w:tcPr>
          <w:p w14:paraId="629871A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40</w:t>
            </w:r>
          </w:p>
        </w:tc>
        <w:tc>
          <w:tcPr>
            <w:tcW w:w="1136" w:type="dxa"/>
            <w:tcBorders>
              <w:top w:val="nil"/>
              <w:left w:val="nil"/>
              <w:bottom w:val="nil"/>
              <w:right w:val="nil"/>
              <w:tl2br w:val="nil"/>
              <w:tr2bl w:val="nil"/>
            </w:tcBorders>
            <w:tcMar>
              <w:left w:w="60" w:type="dxa"/>
              <w:right w:w="60" w:type="dxa"/>
            </w:tcMar>
            <w:vAlign w:val="center"/>
          </w:tcPr>
          <w:p w14:paraId="0D4E3D6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43</w:t>
            </w:r>
          </w:p>
        </w:tc>
        <w:tc>
          <w:tcPr>
            <w:tcW w:w="1043" w:type="dxa"/>
            <w:tcBorders>
              <w:top w:val="nil"/>
              <w:left w:val="nil"/>
              <w:bottom w:val="nil"/>
              <w:right w:val="nil"/>
              <w:tl2br w:val="nil"/>
              <w:tr2bl w:val="nil"/>
            </w:tcBorders>
            <w:tcMar>
              <w:left w:w="60" w:type="dxa"/>
              <w:right w:w="60" w:type="dxa"/>
            </w:tcMar>
            <w:vAlign w:val="center"/>
          </w:tcPr>
          <w:p w14:paraId="0D96C222"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40</w:t>
            </w:r>
          </w:p>
        </w:tc>
      </w:tr>
      <w:tr w:rsidR="00807FFE" w14:paraId="2D73B217"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4DC1EC24"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Labour Authority</w:t>
            </w:r>
          </w:p>
        </w:tc>
        <w:tc>
          <w:tcPr>
            <w:tcW w:w="1134" w:type="dxa"/>
            <w:tcBorders>
              <w:top w:val="nil"/>
              <w:left w:val="nil"/>
              <w:bottom w:val="nil"/>
              <w:right w:val="nil"/>
              <w:tl2br w:val="nil"/>
              <w:tr2bl w:val="nil"/>
            </w:tcBorders>
            <w:tcMar>
              <w:left w:w="60" w:type="dxa"/>
              <w:right w:w="60" w:type="dxa"/>
            </w:tcMar>
            <w:vAlign w:val="center"/>
          </w:tcPr>
          <w:p w14:paraId="238CFF1D"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1134" w:type="dxa"/>
            <w:tcBorders>
              <w:top w:val="nil"/>
              <w:left w:val="nil"/>
              <w:bottom w:val="nil"/>
              <w:right w:val="nil"/>
              <w:tl2br w:val="nil"/>
              <w:tr2bl w:val="nil"/>
            </w:tcBorders>
            <w:tcMar>
              <w:left w:w="60" w:type="dxa"/>
              <w:right w:w="60" w:type="dxa"/>
            </w:tcMar>
            <w:vAlign w:val="center"/>
          </w:tcPr>
          <w:p w14:paraId="7323D3CC"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51</w:t>
            </w:r>
          </w:p>
        </w:tc>
        <w:tc>
          <w:tcPr>
            <w:tcW w:w="1136" w:type="dxa"/>
            <w:tcBorders>
              <w:top w:val="nil"/>
              <w:left w:val="nil"/>
              <w:bottom w:val="nil"/>
              <w:right w:val="nil"/>
              <w:tl2br w:val="nil"/>
              <w:tr2bl w:val="nil"/>
            </w:tcBorders>
            <w:tcMar>
              <w:left w:w="60" w:type="dxa"/>
              <w:right w:w="60" w:type="dxa"/>
            </w:tcMar>
            <w:vAlign w:val="center"/>
          </w:tcPr>
          <w:p w14:paraId="4081384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043" w:type="dxa"/>
            <w:tcBorders>
              <w:top w:val="nil"/>
              <w:left w:val="nil"/>
              <w:bottom w:val="nil"/>
              <w:right w:val="nil"/>
              <w:tl2br w:val="nil"/>
              <w:tr2bl w:val="nil"/>
            </w:tcBorders>
            <w:tcMar>
              <w:left w:w="60" w:type="dxa"/>
              <w:right w:w="60" w:type="dxa"/>
            </w:tcMar>
            <w:vAlign w:val="center"/>
          </w:tcPr>
          <w:p w14:paraId="3858459F"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50</w:t>
            </w:r>
          </w:p>
        </w:tc>
      </w:tr>
      <w:tr w:rsidR="00807FFE" w14:paraId="1A766B7E"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4A83E137"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Maritime Safety Agency</w:t>
            </w:r>
          </w:p>
        </w:tc>
        <w:tc>
          <w:tcPr>
            <w:tcW w:w="1134" w:type="dxa"/>
            <w:tcBorders>
              <w:top w:val="nil"/>
              <w:left w:val="nil"/>
              <w:bottom w:val="nil"/>
              <w:right w:val="nil"/>
              <w:tl2br w:val="nil"/>
              <w:tr2bl w:val="nil"/>
            </w:tcBorders>
            <w:tcMar>
              <w:left w:w="60" w:type="dxa"/>
              <w:right w:w="60" w:type="dxa"/>
            </w:tcMar>
            <w:vAlign w:val="center"/>
          </w:tcPr>
          <w:p w14:paraId="4063D20C"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139</w:t>
            </w:r>
          </w:p>
        </w:tc>
        <w:tc>
          <w:tcPr>
            <w:tcW w:w="1134" w:type="dxa"/>
            <w:tcBorders>
              <w:top w:val="nil"/>
              <w:left w:val="nil"/>
              <w:bottom w:val="nil"/>
              <w:right w:val="nil"/>
              <w:tl2br w:val="nil"/>
              <w:tr2bl w:val="nil"/>
            </w:tcBorders>
            <w:tcMar>
              <w:left w:w="60" w:type="dxa"/>
              <w:right w:w="60" w:type="dxa"/>
            </w:tcMar>
            <w:vAlign w:val="center"/>
          </w:tcPr>
          <w:p w14:paraId="507DF2B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124</w:t>
            </w:r>
          </w:p>
        </w:tc>
        <w:tc>
          <w:tcPr>
            <w:tcW w:w="1136" w:type="dxa"/>
            <w:tcBorders>
              <w:top w:val="nil"/>
              <w:left w:val="nil"/>
              <w:bottom w:val="nil"/>
              <w:right w:val="nil"/>
              <w:tl2br w:val="nil"/>
              <w:tr2bl w:val="nil"/>
            </w:tcBorders>
            <w:tcMar>
              <w:left w:w="60" w:type="dxa"/>
              <w:right w:w="60" w:type="dxa"/>
            </w:tcMar>
            <w:vAlign w:val="center"/>
          </w:tcPr>
          <w:p w14:paraId="0AD661C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156</w:t>
            </w:r>
          </w:p>
        </w:tc>
        <w:tc>
          <w:tcPr>
            <w:tcW w:w="1043" w:type="dxa"/>
            <w:tcBorders>
              <w:top w:val="nil"/>
              <w:left w:val="nil"/>
              <w:bottom w:val="nil"/>
              <w:right w:val="nil"/>
              <w:tl2br w:val="nil"/>
              <w:tr2bl w:val="nil"/>
            </w:tcBorders>
            <w:tcMar>
              <w:left w:w="60" w:type="dxa"/>
              <w:right w:w="60" w:type="dxa"/>
            </w:tcMar>
            <w:vAlign w:val="center"/>
          </w:tcPr>
          <w:p w14:paraId="5D72DC33"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126</w:t>
            </w:r>
          </w:p>
        </w:tc>
      </w:tr>
      <w:tr w:rsidR="00807FFE" w14:paraId="58DD0DBE"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4C0687E1"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Medicines Agency</w:t>
            </w:r>
          </w:p>
        </w:tc>
        <w:tc>
          <w:tcPr>
            <w:tcW w:w="1134" w:type="dxa"/>
            <w:tcBorders>
              <w:top w:val="nil"/>
              <w:left w:val="nil"/>
              <w:bottom w:val="nil"/>
              <w:right w:val="nil"/>
              <w:tl2br w:val="nil"/>
              <w:tr2bl w:val="nil"/>
            </w:tcBorders>
            <w:tcMar>
              <w:left w:w="60" w:type="dxa"/>
              <w:right w:w="60" w:type="dxa"/>
            </w:tcMar>
            <w:vAlign w:val="center"/>
          </w:tcPr>
          <w:p w14:paraId="3197AB0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625</w:t>
            </w:r>
          </w:p>
        </w:tc>
        <w:tc>
          <w:tcPr>
            <w:tcW w:w="1134" w:type="dxa"/>
            <w:tcBorders>
              <w:top w:val="nil"/>
              <w:left w:val="nil"/>
              <w:bottom w:val="nil"/>
              <w:right w:val="nil"/>
              <w:tl2br w:val="nil"/>
              <w:tr2bl w:val="nil"/>
            </w:tcBorders>
            <w:tcMar>
              <w:left w:w="60" w:type="dxa"/>
              <w:right w:w="60" w:type="dxa"/>
            </w:tcMar>
            <w:vAlign w:val="center"/>
          </w:tcPr>
          <w:p w14:paraId="2289727B"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606</w:t>
            </w:r>
          </w:p>
        </w:tc>
        <w:tc>
          <w:tcPr>
            <w:tcW w:w="1136" w:type="dxa"/>
            <w:tcBorders>
              <w:top w:val="nil"/>
              <w:left w:val="nil"/>
              <w:bottom w:val="nil"/>
              <w:right w:val="nil"/>
              <w:tl2br w:val="nil"/>
              <w:tr2bl w:val="nil"/>
            </w:tcBorders>
            <w:tcMar>
              <w:left w:w="60" w:type="dxa"/>
              <w:right w:w="60" w:type="dxa"/>
            </w:tcMar>
            <w:vAlign w:val="center"/>
          </w:tcPr>
          <w:p w14:paraId="0DF995F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699</w:t>
            </w:r>
          </w:p>
        </w:tc>
        <w:tc>
          <w:tcPr>
            <w:tcW w:w="1043" w:type="dxa"/>
            <w:tcBorders>
              <w:top w:val="nil"/>
              <w:left w:val="nil"/>
              <w:bottom w:val="nil"/>
              <w:right w:val="nil"/>
              <w:tl2br w:val="nil"/>
              <w:tr2bl w:val="nil"/>
            </w:tcBorders>
            <w:tcMar>
              <w:left w:w="60" w:type="dxa"/>
              <w:right w:w="60" w:type="dxa"/>
            </w:tcMar>
            <w:vAlign w:val="center"/>
          </w:tcPr>
          <w:p w14:paraId="3AFB61A0"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607</w:t>
            </w:r>
          </w:p>
        </w:tc>
      </w:tr>
      <w:tr w:rsidR="00807FFE" w14:paraId="6F0919B9"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3650AF7"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Monitoring Centre for Drugs and Drug Addiction</w:t>
            </w:r>
          </w:p>
        </w:tc>
        <w:tc>
          <w:tcPr>
            <w:tcW w:w="1134" w:type="dxa"/>
            <w:tcBorders>
              <w:top w:val="nil"/>
              <w:left w:val="nil"/>
              <w:bottom w:val="nil"/>
              <w:right w:val="nil"/>
              <w:tl2br w:val="nil"/>
              <w:tr2bl w:val="nil"/>
            </w:tcBorders>
            <w:tcMar>
              <w:left w:w="60" w:type="dxa"/>
              <w:right w:w="60" w:type="dxa"/>
            </w:tcMar>
            <w:vAlign w:val="center"/>
          </w:tcPr>
          <w:p w14:paraId="46627082"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38</w:t>
            </w:r>
          </w:p>
        </w:tc>
        <w:tc>
          <w:tcPr>
            <w:tcW w:w="1134" w:type="dxa"/>
            <w:tcBorders>
              <w:top w:val="nil"/>
              <w:left w:val="nil"/>
              <w:bottom w:val="nil"/>
              <w:right w:val="nil"/>
              <w:tl2br w:val="nil"/>
              <w:tr2bl w:val="nil"/>
            </w:tcBorders>
            <w:tcMar>
              <w:left w:w="60" w:type="dxa"/>
              <w:right w:w="60" w:type="dxa"/>
            </w:tcMar>
            <w:vAlign w:val="center"/>
          </w:tcPr>
          <w:p w14:paraId="49830FB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37</w:t>
            </w:r>
          </w:p>
        </w:tc>
        <w:tc>
          <w:tcPr>
            <w:tcW w:w="1136" w:type="dxa"/>
            <w:tcBorders>
              <w:top w:val="nil"/>
              <w:left w:val="nil"/>
              <w:bottom w:val="nil"/>
              <w:right w:val="nil"/>
              <w:tl2br w:val="nil"/>
              <w:tr2bl w:val="nil"/>
            </w:tcBorders>
            <w:tcMar>
              <w:left w:w="60" w:type="dxa"/>
              <w:right w:w="60" w:type="dxa"/>
            </w:tcMar>
            <w:vAlign w:val="center"/>
          </w:tcPr>
          <w:p w14:paraId="43FE5C7C"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1043" w:type="dxa"/>
            <w:tcBorders>
              <w:top w:val="nil"/>
              <w:left w:val="nil"/>
              <w:bottom w:val="nil"/>
              <w:right w:val="nil"/>
              <w:tl2br w:val="nil"/>
              <w:tr2bl w:val="nil"/>
            </w:tcBorders>
            <w:tcMar>
              <w:left w:w="60" w:type="dxa"/>
              <w:right w:w="60" w:type="dxa"/>
            </w:tcMar>
            <w:vAlign w:val="center"/>
          </w:tcPr>
          <w:p w14:paraId="102ED0B3"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35</w:t>
            </w:r>
          </w:p>
        </w:tc>
      </w:tr>
      <w:tr w:rsidR="00807FFE" w14:paraId="162128DB"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4B2CBEF9"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Public Prosecutor's Office</w:t>
            </w:r>
          </w:p>
        </w:tc>
        <w:tc>
          <w:tcPr>
            <w:tcW w:w="1134" w:type="dxa"/>
            <w:tcBorders>
              <w:top w:val="nil"/>
              <w:left w:val="nil"/>
              <w:bottom w:val="nil"/>
              <w:right w:val="nil"/>
              <w:tl2br w:val="nil"/>
              <w:tr2bl w:val="nil"/>
            </w:tcBorders>
            <w:tcMar>
              <w:left w:w="60" w:type="dxa"/>
              <w:right w:w="60" w:type="dxa"/>
            </w:tcMar>
            <w:vAlign w:val="center"/>
          </w:tcPr>
          <w:p w14:paraId="0EA73E89"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86</w:t>
            </w:r>
          </w:p>
        </w:tc>
        <w:tc>
          <w:tcPr>
            <w:tcW w:w="1134" w:type="dxa"/>
            <w:tcBorders>
              <w:top w:val="nil"/>
              <w:left w:val="nil"/>
              <w:bottom w:val="nil"/>
              <w:right w:val="nil"/>
              <w:tl2br w:val="nil"/>
              <w:tr2bl w:val="nil"/>
            </w:tcBorders>
            <w:tcMar>
              <w:left w:w="60" w:type="dxa"/>
              <w:right w:w="60" w:type="dxa"/>
            </w:tcMar>
            <w:vAlign w:val="center"/>
          </w:tcPr>
          <w:p w14:paraId="4116CCB6"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86</w:t>
            </w:r>
          </w:p>
        </w:tc>
        <w:tc>
          <w:tcPr>
            <w:tcW w:w="1136" w:type="dxa"/>
            <w:tcBorders>
              <w:top w:val="nil"/>
              <w:left w:val="nil"/>
              <w:bottom w:val="nil"/>
              <w:right w:val="nil"/>
              <w:tl2br w:val="nil"/>
              <w:tr2bl w:val="nil"/>
            </w:tcBorders>
            <w:tcMar>
              <w:left w:w="60" w:type="dxa"/>
              <w:right w:w="60" w:type="dxa"/>
            </w:tcMar>
            <w:vAlign w:val="center"/>
          </w:tcPr>
          <w:p w14:paraId="22B82BC6"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95</w:t>
            </w:r>
          </w:p>
        </w:tc>
        <w:tc>
          <w:tcPr>
            <w:tcW w:w="1043" w:type="dxa"/>
            <w:tcBorders>
              <w:top w:val="nil"/>
              <w:left w:val="nil"/>
              <w:bottom w:val="nil"/>
              <w:right w:val="nil"/>
              <w:tl2br w:val="nil"/>
              <w:tr2bl w:val="nil"/>
            </w:tcBorders>
            <w:tcMar>
              <w:left w:w="60" w:type="dxa"/>
              <w:right w:w="60" w:type="dxa"/>
            </w:tcMar>
            <w:vAlign w:val="center"/>
          </w:tcPr>
          <w:p w14:paraId="0E74139D"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87</w:t>
            </w:r>
          </w:p>
        </w:tc>
      </w:tr>
      <w:tr w:rsidR="00807FFE" w14:paraId="07D720F6"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11292397"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Research Council Executive Agency</w:t>
            </w:r>
          </w:p>
        </w:tc>
        <w:tc>
          <w:tcPr>
            <w:tcW w:w="1134" w:type="dxa"/>
            <w:tcBorders>
              <w:top w:val="nil"/>
              <w:left w:val="nil"/>
              <w:bottom w:val="nil"/>
              <w:right w:val="nil"/>
              <w:tl2br w:val="nil"/>
              <w:tr2bl w:val="nil"/>
            </w:tcBorders>
            <w:tcMar>
              <w:left w:w="60" w:type="dxa"/>
              <w:right w:w="60" w:type="dxa"/>
            </w:tcMar>
            <w:vAlign w:val="center"/>
          </w:tcPr>
          <w:p w14:paraId="72471D0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1134" w:type="dxa"/>
            <w:tcBorders>
              <w:top w:val="nil"/>
              <w:left w:val="nil"/>
              <w:bottom w:val="nil"/>
              <w:right w:val="nil"/>
              <w:tl2br w:val="nil"/>
              <w:tr2bl w:val="nil"/>
            </w:tcBorders>
            <w:tcMar>
              <w:left w:w="60" w:type="dxa"/>
              <w:right w:w="60" w:type="dxa"/>
            </w:tcMar>
            <w:vAlign w:val="center"/>
          </w:tcPr>
          <w:p w14:paraId="2D30EF08"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73</w:t>
            </w:r>
          </w:p>
        </w:tc>
        <w:tc>
          <w:tcPr>
            <w:tcW w:w="1136" w:type="dxa"/>
            <w:tcBorders>
              <w:top w:val="nil"/>
              <w:left w:val="nil"/>
              <w:bottom w:val="nil"/>
              <w:right w:val="nil"/>
              <w:tl2br w:val="nil"/>
              <w:tr2bl w:val="nil"/>
            </w:tcBorders>
            <w:tcMar>
              <w:left w:w="60" w:type="dxa"/>
              <w:right w:w="60" w:type="dxa"/>
            </w:tcMar>
            <w:vAlign w:val="center"/>
          </w:tcPr>
          <w:p w14:paraId="494ED1F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74</w:t>
            </w:r>
          </w:p>
        </w:tc>
        <w:tc>
          <w:tcPr>
            <w:tcW w:w="1043" w:type="dxa"/>
            <w:tcBorders>
              <w:top w:val="nil"/>
              <w:left w:val="nil"/>
              <w:bottom w:val="nil"/>
              <w:right w:val="nil"/>
              <w:tl2br w:val="nil"/>
              <w:tr2bl w:val="nil"/>
            </w:tcBorders>
            <w:tcMar>
              <w:left w:w="60" w:type="dxa"/>
              <w:right w:w="60" w:type="dxa"/>
            </w:tcMar>
            <w:vAlign w:val="center"/>
          </w:tcPr>
          <w:p w14:paraId="6FD98BDA"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72</w:t>
            </w:r>
          </w:p>
        </w:tc>
      </w:tr>
      <w:tr w:rsidR="00807FFE" w14:paraId="4576BBA7"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63182D18"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Research Executive Agency</w:t>
            </w:r>
          </w:p>
        </w:tc>
        <w:tc>
          <w:tcPr>
            <w:tcW w:w="1134" w:type="dxa"/>
            <w:tcBorders>
              <w:top w:val="nil"/>
              <w:left w:val="nil"/>
              <w:bottom w:val="nil"/>
              <w:right w:val="nil"/>
              <w:tl2br w:val="nil"/>
              <w:tr2bl w:val="nil"/>
            </w:tcBorders>
            <w:tcMar>
              <w:left w:w="60" w:type="dxa"/>
              <w:right w:w="60" w:type="dxa"/>
            </w:tcMar>
            <w:vAlign w:val="center"/>
          </w:tcPr>
          <w:p w14:paraId="3186E69C"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127</w:t>
            </w:r>
          </w:p>
        </w:tc>
        <w:tc>
          <w:tcPr>
            <w:tcW w:w="1134" w:type="dxa"/>
            <w:tcBorders>
              <w:top w:val="nil"/>
              <w:left w:val="nil"/>
              <w:bottom w:val="nil"/>
              <w:right w:val="nil"/>
              <w:tl2br w:val="nil"/>
              <w:tr2bl w:val="nil"/>
            </w:tcBorders>
            <w:tcMar>
              <w:left w:w="60" w:type="dxa"/>
              <w:right w:w="60" w:type="dxa"/>
            </w:tcMar>
            <w:vAlign w:val="center"/>
          </w:tcPr>
          <w:p w14:paraId="1F49AFF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127</w:t>
            </w:r>
          </w:p>
        </w:tc>
        <w:tc>
          <w:tcPr>
            <w:tcW w:w="1136" w:type="dxa"/>
            <w:tcBorders>
              <w:top w:val="nil"/>
              <w:left w:val="nil"/>
              <w:bottom w:val="nil"/>
              <w:right w:val="nil"/>
              <w:tl2br w:val="nil"/>
              <w:tr2bl w:val="nil"/>
            </w:tcBorders>
            <w:tcMar>
              <w:left w:w="60" w:type="dxa"/>
              <w:right w:w="60" w:type="dxa"/>
            </w:tcMar>
            <w:vAlign w:val="center"/>
          </w:tcPr>
          <w:p w14:paraId="68EF45A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132</w:t>
            </w:r>
          </w:p>
        </w:tc>
        <w:tc>
          <w:tcPr>
            <w:tcW w:w="1043" w:type="dxa"/>
            <w:tcBorders>
              <w:top w:val="nil"/>
              <w:left w:val="nil"/>
              <w:bottom w:val="nil"/>
              <w:right w:val="nil"/>
              <w:tl2br w:val="nil"/>
              <w:tr2bl w:val="nil"/>
            </w:tcBorders>
            <w:tcMar>
              <w:left w:w="60" w:type="dxa"/>
              <w:right w:w="60" w:type="dxa"/>
            </w:tcMar>
            <w:vAlign w:val="center"/>
          </w:tcPr>
          <w:p w14:paraId="3E510698"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126</w:t>
            </w:r>
          </w:p>
        </w:tc>
      </w:tr>
      <w:tr w:rsidR="00807FFE" w14:paraId="040EA91E"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7709C59D"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Securities and Markets Authority</w:t>
            </w:r>
          </w:p>
        </w:tc>
        <w:tc>
          <w:tcPr>
            <w:tcW w:w="1134" w:type="dxa"/>
            <w:tcBorders>
              <w:top w:val="nil"/>
              <w:left w:val="nil"/>
              <w:bottom w:val="nil"/>
              <w:right w:val="nil"/>
              <w:tl2br w:val="nil"/>
              <w:tr2bl w:val="nil"/>
            </w:tcBorders>
            <w:tcMar>
              <w:left w:w="60" w:type="dxa"/>
              <w:right w:w="60" w:type="dxa"/>
            </w:tcMar>
            <w:vAlign w:val="center"/>
          </w:tcPr>
          <w:p w14:paraId="4CEF10F8"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87</w:t>
            </w:r>
          </w:p>
        </w:tc>
        <w:tc>
          <w:tcPr>
            <w:tcW w:w="1134" w:type="dxa"/>
            <w:tcBorders>
              <w:top w:val="nil"/>
              <w:left w:val="nil"/>
              <w:bottom w:val="nil"/>
              <w:right w:val="nil"/>
              <w:tl2br w:val="nil"/>
              <w:tr2bl w:val="nil"/>
            </w:tcBorders>
            <w:tcMar>
              <w:left w:w="60" w:type="dxa"/>
              <w:right w:w="60" w:type="dxa"/>
            </w:tcMar>
            <w:vAlign w:val="center"/>
          </w:tcPr>
          <w:p w14:paraId="0A6ADA88"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85</w:t>
            </w:r>
          </w:p>
        </w:tc>
        <w:tc>
          <w:tcPr>
            <w:tcW w:w="1136" w:type="dxa"/>
            <w:tcBorders>
              <w:top w:val="nil"/>
              <w:left w:val="nil"/>
              <w:bottom w:val="nil"/>
              <w:right w:val="nil"/>
              <w:tl2br w:val="nil"/>
              <w:tr2bl w:val="nil"/>
            </w:tcBorders>
            <w:tcMar>
              <w:left w:w="60" w:type="dxa"/>
              <w:right w:w="60" w:type="dxa"/>
            </w:tcMar>
            <w:vAlign w:val="center"/>
          </w:tcPr>
          <w:p w14:paraId="404E3E1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91</w:t>
            </w:r>
          </w:p>
        </w:tc>
        <w:tc>
          <w:tcPr>
            <w:tcW w:w="1043" w:type="dxa"/>
            <w:tcBorders>
              <w:top w:val="nil"/>
              <w:left w:val="nil"/>
              <w:bottom w:val="nil"/>
              <w:right w:val="nil"/>
              <w:tl2br w:val="nil"/>
              <w:tr2bl w:val="nil"/>
            </w:tcBorders>
            <w:tcMar>
              <w:left w:w="60" w:type="dxa"/>
              <w:right w:w="60" w:type="dxa"/>
            </w:tcMar>
            <w:vAlign w:val="center"/>
          </w:tcPr>
          <w:p w14:paraId="14B1CCE8"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80</w:t>
            </w:r>
          </w:p>
        </w:tc>
      </w:tr>
      <w:tr w:rsidR="00807FFE" w14:paraId="4B310236"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417A864A"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Training Foundation</w:t>
            </w:r>
          </w:p>
        </w:tc>
        <w:tc>
          <w:tcPr>
            <w:tcW w:w="1134" w:type="dxa"/>
            <w:tcBorders>
              <w:top w:val="nil"/>
              <w:left w:val="nil"/>
              <w:bottom w:val="nil"/>
              <w:right w:val="nil"/>
              <w:tl2br w:val="nil"/>
              <w:tr2bl w:val="nil"/>
            </w:tcBorders>
            <w:tcMar>
              <w:left w:w="60" w:type="dxa"/>
              <w:right w:w="60" w:type="dxa"/>
            </w:tcMar>
            <w:vAlign w:val="center"/>
          </w:tcPr>
          <w:p w14:paraId="147EAD09"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1134" w:type="dxa"/>
            <w:tcBorders>
              <w:top w:val="nil"/>
              <w:left w:val="nil"/>
              <w:bottom w:val="nil"/>
              <w:right w:val="nil"/>
              <w:tl2br w:val="nil"/>
              <w:tr2bl w:val="nil"/>
            </w:tcBorders>
            <w:tcMar>
              <w:left w:w="60" w:type="dxa"/>
              <w:right w:w="60" w:type="dxa"/>
            </w:tcMar>
            <w:vAlign w:val="center"/>
          </w:tcPr>
          <w:p w14:paraId="5AC0F82D"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29</w:t>
            </w:r>
          </w:p>
        </w:tc>
        <w:tc>
          <w:tcPr>
            <w:tcW w:w="1136" w:type="dxa"/>
            <w:tcBorders>
              <w:top w:val="nil"/>
              <w:left w:val="nil"/>
              <w:bottom w:val="nil"/>
              <w:right w:val="nil"/>
              <w:tl2br w:val="nil"/>
              <w:tr2bl w:val="nil"/>
            </w:tcBorders>
            <w:tcMar>
              <w:left w:w="60" w:type="dxa"/>
              <w:right w:w="60" w:type="dxa"/>
            </w:tcMar>
            <w:vAlign w:val="center"/>
          </w:tcPr>
          <w:p w14:paraId="37FDC23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1043" w:type="dxa"/>
            <w:tcBorders>
              <w:top w:val="nil"/>
              <w:left w:val="nil"/>
              <w:bottom w:val="nil"/>
              <w:right w:val="nil"/>
              <w:tl2br w:val="nil"/>
              <w:tr2bl w:val="nil"/>
            </w:tcBorders>
            <w:tcMar>
              <w:left w:w="60" w:type="dxa"/>
              <w:right w:w="60" w:type="dxa"/>
            </w:tcMar>
            <w:vAlign w:val="center"/>
          </w:tcPr>
          <w:p w14:paraId="1D11B3F2"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28</w:t>
            </w:r>
          </w:p>
        </w:tc>
      </w:tr>
      <w:tr w:rsidR="00807FFE" w14:paraId="316367E4"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22EAD68"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Union Agency for Criminal Justice Cooperation</w:t>
            </w:r>
          </w:p>
        </w:tc>
        <w:tc>
          <w:tcPr>
            <w:tcW w:w="1134" w:type="dxa"/>
            <w:tcBorders>
              <w:top w:val="nil"/>
              <w:left w:val="nil"/>
              <w:bottom w:val="nil"/>
              <w:right w:val="nil"/>
              <w:tl2br w:val="nil"/>
              <w:tr2bl w:val="nil"/>
            </w:tcBorders>
            <w:tcMar>
              <w:left w:w="60" w:type="dxa"/>
              <w:right w:w="60" w:type="dxa"/>
            </w:tcMar>
            <w:vAlign w:val="center"/>
          </w:tcPr>
          <w:p w14:paraId="43BF35D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93</w:t>
            </w:r>
          </w:p>
        </w:tc>
        <w:tc>
          <w:tcPr>
            <w:tcW w:w="1134" w:type="dxa"/>
            <w:tcBorders>
              <w:top w:val="nil"/>
              <w:left w:val="nil"/>
              <w:bottom w:val="nil"/>
              <w:right w:val="nil"/>
              <w:tl2br w:val="nil"/>
              <w:tr2bl w:val="nil"/>
            </w:tcBorders>
            <w:tcMar>
              <w:left w:w="60" w:type="dxa"/>
              <w:right w:w="60" w:type="dxa"/>
            </w:tcMar>
            <w:vAlign w:val="center"/>
          </w:tcPr>
          <w:p w14:paraId="19804DE6"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80</w:t>
            </w:r>
          </w:p>
        </w:tc>
        <w:tc>
          <w:tcPr>
            <w:tcW w:w="1136" w:type="dxa"/>
            <w:tcBorders>
              <w:top w:val="nil"/>
              <w:left w:val="nil"/>
              <w:bottom w:val="nil"/>
              <w:right w:val="nil"/>
              <w:tl2br w:val="nil"/>
              <w:tr2bl w:val="nil"/>
            </w:tcBorders>
            <w:tcMar>
              <w:left w:w="60" w:type="dxa"/>
              <w:right w:w="60" w:type="dxa"/>
            </w:tcMar>
            <w:vAlign w:val="center"/>
          </w:tcPr>
          <w:p w14:paraId="6A392228"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103</w:t>
            </w:r>
          </w:p>
        </w:tc>
        <w:tc>
          <w:tcPr>
            <w:tcW w:w="1043" w:type="dxa"/>
            <w:tcBorders>
              <w:top w:val="nil"/>
              <w:left w:val="nil"/>
              <w:bottom w:val="nil"/>
              <w:right w:val="nil"/>
              <w:tl2br w:val="nil"/>
              <w:tr2bl w:val="nil"/>
            </w:tcBorders>
            <w:tcMar>
              <w:left w:w="60" w:type="dxa"/>
              <w:right w:w="60" w:type="dxa"/>
            </w:tcMar>
            <w:vAlign w:val="center"/>
          </w:tcPr>
          <w:p w14:paraId="2CE03BD0"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80</w:t>
            </w:r>
          </w:p>
        </w:tc>
      </w:tr>
      <w:tr w:rsidR="00807FFE" w14:paraId="7E5D2666"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4D955AB0"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Union Agency for Cybersecurity</w:t>
            </w:r>
          </w:p>
        </w:tc>
        <w:tc>
          <w:tcPr>
            <w:tcW w:w="1134" w:type="dxa"/>
            <w:tcBorders>
              <w:top w:val="nil"/>
              <w:left w:val="nil"/>
              <w:bottom w:val="nil"/>
              <w:right w:val="nil"/>
              <w:tl2br w:val="nil"/>
              <w:tr2bl w:val="nil"/>
            </w:tcBorders>
            <w:tcMar>
              <w:left w:w="60" w:type="dxa"/>
              <w:right w:w="60" w:type="dxa"/>
            </w:tcMar>
            <w:vAlign w:val="center"/>
          </w:tcPr>
          <w:p w14:paraId="75C4E90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66</w:t>
            </w:r>
          </w:p>
        </w:tc>
        <w:tc>
          <w:tcPr>
            <w:tcW w:w="1134" w:type="dxa"/>
            <w:tcBorders>
              <w:top w:val="nil"/>
              <w:left w:val="nil"/>
              <w:bottom w:val="nil"/>
              <w:right w:val="nil"/>
              <w:tl2br w:val="nil"/>
              <w:tr2bl w:val="nil"/>
            </w:tcBorders>
            <w:tcMar>
              <w:left w:w="60" w:type="dxa"/>
              <w:right w:w="60" w:type="dxa"/>
            </w:tcMar>
            <w:vAlign w:val="center"/>
          </w:tcPr>
          <w:p w14:paraId="1E2BA7C1"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41</w:t>
            </w:r>
          </w:p>
        </w:tc>
        <w:tc>
          <w:tcPr>
            <w:tcW w:w="1136" w:type="dxa"/>
            <w:tcBorders>
              <w:top w:val="nil"/>
              <w:left w:val="nil"/>
              <w:bottom w:val="nil"/>
              <w:right w:val="nil"/>
              <w:tl2br w:val="nil"/>
              <w:tr2bl w:val="nil"/>
            </w:tcBorders>
            <w:tcMar>
              <w:left w:w="60" w:type="dxa"/>
              <w:right w:w="60" w:type="dxa"/>
            </w:tcMar>
            <w:vAlign w:val="center"/>
          </w:tcPr>
          <w:p w14:paraId="0BCF493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72</w:t>
            </w:r>
          </w:p>
        </w:tc>
        <w:tc>
          <w:tcPr>
            <w:tcW w:w="1043" w:type="dxa"/>
            <w:tcBorders>
              <w:top w:val="nil"/>
              <w:left w:val="nil"/>
              <w:bottom w:val="nil"/>
              <w:right w:val="nil"/>
              <w:tl2br w:val="nil"/>
              <w:tr2bl w:val="nil"/>
            </w:tcBorders>
            <w:tcMar>
              <w:left w:w="60" w:type="dxa"/>
              <w:right w:w="60" w:type="dxa"/>
            </w:tcMar>
            <w:vAlign w:val="center"/>
          </w:tcPr>
          <w:p w14:paraId="2A3996DB"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33</w:t>
            </w:r>
          </w:p>
        </w:tc>
      </w:tr>
      <w:tr w:rsidR="00807FFE" w14:paraId="2D204F6B"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569704E6"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Union Agency for Law Enforcement Cooperation</w:t>
            </w:r>
          </w:p>
        </w:tc>
        <w:tc>
          <w:tcPr>
            <w:tcW w:w="1134" w:type="dxa"/>
            <w:tcBorders>
              <w:top w:val="nil"/>
              <w:left w:val="nil"/>
              <w:bottom w:val="nil"/>
              <w:right w:val="nil"/>
              <w:tl2br w:val="nil"/>
              <w:tr2bl w:val="nil"/>
            </w:tcBorders>
            <w:tcMar>
              <w:left w:w="60" w:type="dxa"/>
              <w:right w:w="60" w:type="dxa"/>
            </w:tcMar>
            <w:vAlign w:val="center"/>
          </w:tcPr>
          <w:p w14:paraId="7AA3D07B"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253</w:t>
            </w:r>
          </w:p>
        </w:tc>
        <w:tc>
          <w:tcPr>
            <w:tcW w:w="1134" w:type="dxa"/>
            <w:tcBorders>
              <w:top w:val="nil"/>
              <w:left w:val="nil"/>
              <w:bottom w:val="nil"/>
              <w:right w:val="nil"/>
              <w:tl2br w:val="nil"/>
              <w:tr2bl w:val="nil"/>
            </w:tcBorders>
            <w:tcMar>
              <w:left w:w="60" w:type="dxa"/>
              <w:right w:w="60" w:type="dxa"/>
            </w:tcMar>
            <w:vAlign w:val="center"/>
          </w:tcPr>
          <w:p w14:paraId="7981F238"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247</w:t>
            </w:r>
          </w:p>
        </w:tc>
        <w:tc>
          <w:tcPr>
            <w:tcW w:w="1136" w:type="dxa"/>
            <w:tcBorders>
              <w:top w:val="nil"/>
              <w:left w:val="nil"/>
              <w:bottom w:val="nil"/>
              <w:right w:val="nil"/>
              <w:tl2br w:val="nil"/>
              <w:tr2bl w:val="nil"/>
            </w:tcBorders>
            <w:tcMar>
              <w:left w:w="60" w:type="dxa"/>
              <w:right w:w="60" w:type="dxa"/>
            </w:tcMar>
            <w:vAlign w:val="center"/>
          </w:tcPr>
          <w:p w14:paraId="0936522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275</w:t>
            </w:r>
          </w:p>
        </w:tc>
        <w:tc>
          <w:tcPr>
            <w:tcW w:w="1043" w:type="dxa"/>
            <w:tcBorders>
              <w:top w:val="nil"/>
              <w:left w:val="nil"/>
              <w:bottom w:val="nil"/>
              <w:right w:val="nil"/>
              <w:tl2br w:val="nil"/>
              <w:tr2bl w:val="nil"/>
            </w:tcBorders>
            <w:tcMar>
              <w:left w:w="60" w:type="dxa"/>
              <w:right w:w="60" w:type="dxa"/>
            </w:tcMar>
            <w:vAlign w:val="center"/>
          </w:tcPr>
          <w:p w14:paraId="03FA1C67"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239</w:t>
            </w:r>
          </w:p>
        </w:tc>
      </w:tr>
      <w:tr w:rsidR="00807FFE" w14:paraId="18E577BC"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4B9397F5"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Union Agency for Law Enforcement Training</w:t>
            </w:r>
          </w:p>
        </w:tc>
        <w:tc>
          <w:tcPr>
            <w:tcW w:w="1134" w:type="dxa"/>
            <w:tcBorders>
              <w:top w:val="nil"/>
              <w:left w:val="nil"/>
              <w:bottom w:val="nil"/>
              <w:right w:val="nil"/>
              <w:tl2br w:val="nil"/>
              <w:tr2bl w:val="nil"/>
            </w:tcBorders>
            <w:tcMar>
              <w:left w:w="60" w:type="dxa"/>
              <w:right w:w="60" w:type="dxa"/>
            </w:tcMar>
            <w:vAlign w:val="center"/>
          </w:tcPr>
          <w:p w14:paraId="783974E8"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32</w:t>
            </w:r>
          </w:p>
        </w:tc>
        <w:tc>
          <w:tcPr>
            <w:tcW w:w="1134" w:type="dxa"/>
            <w:tcBorders>
              <w:top w:val="nil"/>
              <w:left w:val="nil"/>
              <w:bottom w:val="nil"/>
              <w:right w:val="nil"/>
              <w:tl2br w:val="nil"/>
              <w:tr2bl w:val="nil"/>
            </w:tcBorders>
            <w:tcMar>
              <w:left w:w="60" w:type="dxa"/>
              <w:right w:w="60" w:type="dxa"/>
            </w:tcMar>
            <w:vAlign w:val="center"/>
          </w:tcPr>
          <w:p w14:paraId="4F46DF7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19</w:t>
            </w:r>
          </w:p>
        </w:tc>
        <w:tc>
          <w:tcPr>
            <w:tcW w:w="1136" w:type="dxa"/>
            <w:tcBorders>
              <w:top w:val="nil"/>
              <w:left w:val="nil"/>
              <w:bottom w:val="nil"/>
              <w:right w:val="nil"/>
              <w:tl2br w:val="nil"/>
              <w:tr2bl w:val="nil"/>
            </w:tcBorders>
            <w:tcMar>
              <w:left w:w="60" w:type="dxa"/>
              <w:right w:w="60" w:type="dxa"/>
            </w:tcMar>
            <w:vAlign w:val="center"/>
          </w:tcPr>
          <w:p w14:paraId="6CF8BE4F"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35</w:t>
            </w:r>
          </w:p>
        </w:tc>
        <w:tc>
          <w:tcPr>
            <w:tcW w:w="1043" w:type="dxa"/>
            <w:tcBorders>
              <w:top w:val="nil"/>
              <w:left w:val="nil"/>
              <w:bottom w:val="nil"/>
              <w:right w:val="nil"/>
              <w:tl2br w:val="nil"/>
              <w:tr2bl w:val="nil"/>
            </w:tcBorders>
            <w:tcMar>
              <w:left w:w="60" w:type="dxa"/>
              <w:right w:w="60" w:type="dxa"/>
            </w:tcMar>
            <w:vAlign w:val="center"/>
          </w:tcPr>
          <w:p w14:paraId="1DA9DF3A"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19</w:t>
            </w:r>
          </w:p>
        </w:tc>
      </w:tr>
      <w:tr w:rsidR="00807FFE" w14:paraId="339A0648"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62F1B99"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Union Agency for Railways</w:t>
            </w:r>
          </w:p>
        </w:tc>
        <w:tc>
          <w:tcPr>
            <w:tcW w:w="1134" w:type="dxa"/>
            <w:tcBorders>
              <w:top w:val="nil"/>
              <w:left w:val="nil"/>
              <w:bottom w:val="nil"/>
              <w:right w:val="nil"/>
              <w:tl2br w:val="nil"/>
              <w:tr2bl w:val="nil"/>
            </w:tcBorders>
            <w:tcMar>
              <w:left w:w="60" w:type="dxa"/>
              <w:right w:w="60" w:type="dxa"/>
            </w:tcMar>
            <w:vAlign w:val="center"/>
          </w:tcPr>
          <w:p w14:paraId="48428E2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67</w:t>
            </w:r>
          </w:p>
        </w:tc>
        <w:tc>
          <w:tcPr>
            <w:tcW w:w="1134" w:type="dxa"/>
            <w:tcBorders>
              <w:top w:val="nil"/>
              <w:left w:val="nil"/>
              <w:bottom w:val="nil"/>
              <w:right w:val="nil"/>
              <w:tl2br w:val="nil"/>
              <w:tr2bl w:val="nil"/>
            </w:tcBorders>
            <w:tcMar>
              <w:left w:w="60" w:type="dxa"/>
              <w:right w:w="60" w:type="dxa"/>
            </w:tcMar>
            <w:vAlign w:val="center"/>
          </w:tcPr>
          <w:p w14:paraId="3C554D22"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49</w:t>
            </w:r>
          </w:p>
        </w:tc>
        <w:tc>
          <w:tcPr>
            <w:tcW w:w="1136" w:type="dxa"/>
            <w:tcBorders>
              <w:top w:val="nil"/>
              <w:left w:val="nil"/>
              <w:bottom w:val="nil"/>
              <w:right w:val="nil"/>
              <w:tl2br w:val="nil"/>
              <w:tr2bl w:val="nil"/>
            </w:tcBorders>
            <w:tcMar>
              <w:left w:w="60" w:type="dxa"/>
              <w:right w:w="60" w:type="dxa"/>
            </w:tcMar>
            <w:vAlign w:val="center"/>
          </w:tcPr>
          <w:p w14:paraId="2F7CE3B3"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53</w:t>
            </w:r>
          </w:p>
        </w:tc>
        <w:tc>
          <w:tcPr>
            <w:tcW w:w="1043" w:type="dxa"/>
            <w:tcBorders>
              <w:top w:val="nil"/>
              <w:left w:val="nil"/>
              <w:bottom w:val="nil"/>
              <w:right w:val="nil"/>
              <w:tl2br w:val="nil"/>
              <w:tr2bl w:val="nil"/>
            </w:tcBorders>
            <w:tcMar>
              <w:left w:w="60" w:type="dxa"/>
              <w:right w:w="60" w:type="dxa"/>
            </w:tcMar>
            <w:vAlign w:val="center"/>
          </w:tcPr>
          <w:p w14:paraId="65381567"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45</w:t>
            </w:r>
          </w:p>
        </w:tc>
      </w:tr>
      <w:tr w:rsidR="00807FFE" w14:paraId="60CB4275"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6EFC748"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Union Agency for the Space Programme</w:t>
            </w:r>
          </w:p>
        </w:tc>
        <w:tc>
          <w:tcPr>
            <w:tcW w:w="1134" w:type="dxa"/>
            <w:tcBorders>
              <w:top w:val="nil"/>
              <w:left w:val="nil"/>
              <w:bottom w:val="nil"/>
              <w:right w:val="nil"/>
              <w:tl2br w:val="nil"/>
              <w:tr2bl w:val="nil"/>
            </w:tcBorders>
            <w:tcMar>
              <w:left w:w="60" w:type="dxa"/>
              <w:right w:w="60" w:type="dxa"/>
            </w:tcMar>
            <w:vAlign w:val="center"/>
          </w:tcPr>
          <w:p w14:paraId="27BCE7C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2 306</w:t>
            </w:r>
          </w:p>
        </w:tc>
        <w:tc>
          <w:tcPr>
            <w:tcW w:w="1134" w:type="dxa"/>
            <w:tcBorders>
              <w:top w:val="nil"/>
              <w:left w:val="nil"/>
              <w:bottom w:val="nil"/>
              <w:right w:val="nil"/>
              <w:tl2br w:val="nil"/>
              <w:tr2bl w:val="nil"/>
            </w:tcBorders>
            <w:tcMar>
              <w:left w:w="60" w:type="dxa"/>
              <w:right w:w="60" w:type="dxa"/>
            </w:tcMar>
            <w:vAlign w:val="center"/>
          </w:tcPr>
          <w:p w14:paraId="15158AB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677</w:t>
            </w:r>
          </w:p>
        </w:tc>
        <w:tc>
          <w:tcPr>
            <w:tcW w:w="1136" w:type="dxa"/>
            <w:tcBorders>
              <w:top w:val="nil"/>
              <w:left w:val="nil"/>
              <w:bottom w:val="nil"/>
              <w:right w:val="nil"/>
              <w:tl2br w:val="nil"/>
              <w:tr2bl w:val="nil"/>
            </w:tcBorders>
            <w:tcMar>
              <w:left w:w="60" w:type="dxa"/>
              <w:right w:w="60" w:type="dxa"/>
            </w:tcMar>
            <w:vAlign w:val="center"/>
          </w:tcPr>
          <w:p w14:paraId="7677C095"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2 366</w:t>
            </w:r>
          </w:p>
        </w:tc>
        <w:tc>
          <w:tcPr>
            <w:tcW w:w="1043" w:type="dxa"/>
            <w:tcBorders>
              <w:top w:val="nil"/>
              <w:left w:val="nil"/>
              <w:bottom w:val="nil"/>
              <w:right w:val="nil"/>
              <w:tl2br w:val="nil"/>
              <w:tr2bl w:val="nil"/>
            </w:tcBorders>
            <w:tcMar>
              <w:left w:w="60" w:type="dxa"/>
              <w:right w:w="60" w:type="dxa"/>
            </w:tcMar>
            <w:vAlign w:val="center"/>
          </w:tcPr>
          <w:p w14:paraId="6B240B1D"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1 185</w:t>
            </w:r>
          </w:p>
        </w:tc>
      </w:tr>
      <w:tr w:rsidR="00807FFE" w14:paraId="4C22E126"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70C16422"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Union Fundamental Rights Agency</w:t>
            </w:r>
          </w:p>
        </w:tc>
        <w:tc>
          <w:tcPr>
            <w:tcW w:w="1134" w:type="dxa"/>
            <w:tcBorders>
              <w:top w:val="nil"/>
              <w:left w:val="nil"/>
              <w:bottom w:val="nil"/>
              <w:right w:val="nil"/>
              <w:tl2br w:val="nil"/>
              <w:tr2bl w:val="nil"/>
            </w:tcBorders>
            <w:tcMar>
              <w:left w:w="60" w:type="dxa"/>
              <w:right w:w="60" w:type="dxa"/>
            </w:tcMar>
            <w:vAlign w:val="center"/>
          </w:tcPr>
          <w:p w14:paraId="462B6031"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27</w:t>
            </w:r>
          </w:p>
        </w:tc>
        <w:tc>
          <w:tcPr>
            <w:tcW w:w="1134" w:type="dxa"/>
            <w:tcBorders>
              <w:top w:val="nil"/>
              <w:left w:val="nil"/>
              <w:bottom w:val="nil"/>
              <w:right w:val="nil"/>
              <w:tl2br w:val="nil"/>
              <w:tr2bl w:val="nil"/>
            </w:tcBorders>
            <w:tcMar>
              <w:left w:w="60" w:type="dxa"/>
              <w:right w:w="60" w:type="dxa"/>
            </w:tcMar>
            <w:vAlign w:val="center"/>
          </w:tcPr>
          <w:p w14:paraId="09160AC0"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26</w:t>
            </w:r>
          </w:p>
        </w:tc>
        <w:tc>
          <w:tcPr>
            <w:tcW w:w="1136" w:type="dxa"/>
            <w:tcBorders>
              <w:top w:val="nil"/>
              <w:left w:val="nil"/>
              <w:bottom w:val="nil"/>
              <w:right w:val="nil"/>
              <w:tl2br w:val="nil"/>
              <w:tr2bl w:val="nil"/>
            </w:tcBorders>
            <w:tcMar>
              <w:left w:w="60" w:type="dxa"/>
              <w:right w:w="60" w:type="dxa"/>
            </w:tcMar>
            <w:vAlign w:val="center"/>
          </w:tcPr>
          <w:p w14:paraId="2DA71E26"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33</w:t>
            </w:r>
          </w:p>
        </w:tc>
        <w:tc>
          <w:tcPr>
            <w:tcW w:w="1043" w:type="dxa"/>
            <w:tcBorders>
              <w:top w:val="nil"/>
              <w:left w:val="nil"/>
              <w:bottom w:val="nil"/>
              <w:right w:val="nil"/>
              <w:tl2br w:val="nil"/>
              <w:tr2bl w:val="nil"/>
            </w:tcBorders>
            <w:tcMar>
              <w:left w:w="60" w:type="dxa"/>
              <w:right w:w="60" w:type="dxa"/>
            </w:tcMar>
            <w:vAlign w:val="center"/>
          </w:tcPr>
          <w:p w14:paraId="7F3C6CB2"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28</w:t>
            </w:r>
          </w:p>
        </w:tc>
      </w:tr>
      <w:tr w:rsidR="00807FFE" w14:paraId="5D05766C"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71244BA3"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European Union Intellectual Property Office</w:t>
            </w:r>
          </w:p>
        </w:tc>
        <w:tc>
          <w:tcPr>
            <w:tcW w:w="1134" w:type="dxa"/>
            <w:tcBorders>
              <w:top w:val="nil"/>
              <w:left w:val="nil"/>
              <w:bottom w:val="nil"/>
              <w:right w:val="nil"/>
              <w:tl2br w:val="nil"/>
              <w:tr2bl w:val="nil"/>
            </w:tcBorders>
            <w:tcMar>
              <w:left w:w="60" w:type="dxa"/>
              <w:right w:w="60" w:type="dxa"/>
            </w:tcMar>
            <w:vAlign w:val="center"/>
          </w:tcPr>
          <w:p w14:paraId="1876AE71"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345</w:t>
            </w:r>
          </w:p>
        </w:tc>
        <w:tc>
          <w:tcPr>
            <w:tcW w:w="1134" w:type="dxa"/>
            <w:tcBorders>
              <w:top w:val="nil"/>
              <w:left w:val="nil"/>
              <w:bottom w:val="nil"/>
              <w:right w:val="nil"/>
              <w:tl2br w:val="nil"/>
              <w:tr2bl w:val="nil"/>
            </w:tcBorders>
            <w:tcMar>
              <w:left w:w="60" w:type="dxa"/>
              <w:right w:w="60" w:type="dxa"/>
            </w:tcMar>
            <w:vAlign w:val="center"/>
          </w:tcPr>
          <w:p w14:paraId="1C0EF334"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345</w:t>
            </w:r>
          </w:p>
        </w:tc>
        <w:tc>
          <w:tcPr>
            <w:tcW w:w="1136" w:type="dxa"/>
            <w:tcBorders>
              <w:top w:val="nil"/>
              <w:left w:val="nil"/>
              <w:bottom w:val="nil"/>
              <w:right w:val="nil"/>
              <w:tl2br w:val="nil"/>
              <w:tr2bl w:val="nil"/>
            </w:tcBorders>
            <w:tcMar>
              <w:left w:w="60" w:type="dxa"/>
              <w:right w:w="60" w:type="dxa"/>
            </w:tcMar>
            <w:vAlign w:val="center"/>
          </w:tcPr>
          <w:p w14:paraId="0494D6AE"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532</w:t>
            </w:r>
          </w:p>
        </w:tc>
        <w:tc>
          <w:tcPr>
            <w:tcW w:w="1043" w:type="dxa"/>
            <w:tcBorders>
              <w:top w:val="nil"/>
              <w:left w:val="nil"/>
              <w:bottom w:val="nil"/>
              <w:right w:val="nil"/>
              <w:tl2br w:val="nil"/>
              <w:tr2bl w:val="nil"/>
            </w:tcBorders>
            <w:tcMar>
              <w:left w:w="60" w:type="dxa"/>
              <w:right w:w="60" w:type="dxa"/>
            </w:tcMar>
            <w:vAlign w:val="center"/>
          </w:tcPr>
          <w:p w14:paraId="5CFC7AF2"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341</w:t>
            </w:r>
          </w:p>
        </w:tc>
      </w:tr>
      <w:tr w:rsidR="00807FFE" w14:paraId="51A38FD7"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359CE547"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Fusion for Energy Joint Undertaking</w:t>
            </w:r>
          </w:p>
        </w:tc>
        <w:tc>
          <w:tcPr>
            <w:tcW w:w="1134" w:type="dxa"/>
            <w:tcBorders>
              <w:top w:val="nil"/>
              <w:left w:val="nil"/>
              <w:bottom w:val="nil"/>
              <w:right w:val="nil"/>
              <w:tl2br w:val="nil"/>
              <w:tr2bl w:val="nil"/>
            </w:tcBorders>
            <w:tcMar>
              <w:left w:w="60" w:type="dxa"/>
              <w:right w:w="60" w:type="dxa"/>
            </w:tcMar>
            <w:vAlign w:val="center"/>
          </w:tcPr>
          <w:p w14:paraId="5F1498AD"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1 066</w:t>
            </w:r>
          </w:p>
        </w:tc>
        <w:tc>
          <w:tcPr>
            <w:tcW w:w="1134" w:type="dxa"/>
            <w:tcBorders>
              <w:top w:val="nil"/>
              <w:left w:val="nil"/>
              <w:bottom w:val="nil"/>
              <w:right w:val="nil"/>
              <w:tl2br w:val="nil"/>
              <w:tr2bl w:val="nil"/>
            </w:tcBorders>
            <w:tcMar>
              <w:left w:w="60" w:type="dxa"/>
              <w:right w:w="60" w:type="dxa"/>
            </w:tcMar>
            <w:vAlign w:val="center"/>
          </w:tcPr>
          <w:p w14:paraId="3432146B"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979</w:t>
            </w:r>
          </w:p>
        </w:tc>
        <w:tc>
          <w:tcPr>
            <w:tcW w:w="1136" w:type="dxa"/>
            <w:tcBorders>
              <w:top w:val="nil"/>
              <w:left w:val="nil"/>
              <w:bottom w:val="nil"/>
              <w:right w:val="nil"/>
              <w:tl2br w:val="nil"/>
              <w:tr2bl w:val="nil"/>
            </w:tcBorders>
            <w:tcMar>
              <w:left w:w="60" w:type="dxa"/>
              <w:right w:w="60" w:type="dxa"/>
            </w:tcMar>
            <w:vAlign w:val="center"/>
          </w:tcPr>
          <w:p w14:paraId="0046121C"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849</w:t>
            </w:r>
          </w:p>
        </w:tc>
        <w:tc>
          <w:tcPr>
            <w:tcW w:w="1043" w:type="dxa"/>
            <w:tcBorders>
              <w:top w:val="nil"/>
              <w:left w:val="nil"/>
              <w:bottom w:val="nil"/>
              <w:right w:val="nil"/>
              <w:tl2br w:val="nil"/>
              <w:tr2bl w:val="nil"/>
            </w:tcBorders>
            <w:tcMar>
              <w:left w:w="60" w:type="dxa"/>
              <w:right w:w="60" w:type="dxa"/>
            </w:tcMar>
            <w:vAlign w:val="center"/>
          </w:tcPr>
          <w:p w14:paraId="1B31695B"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789</w:t>
            </w:r>
          </w:p>
        </w:tc>
      </w:tr>
      <w:tr w:rsidR="00807FFE" w14:paraId="6B000084" w14:textId="77777777">
        <w:trPr>
          <w:trHeight w:val="284"/>
        </w:trPr>
        <w:tc>
          <w:tcPr>
            <w:tcW w:w="5305" w:type="dxa"/>
            <w:tcBorders>
              <w:top w:val="nil"/>
              <w:left w:val="nil"/>
              <w:bottom w:val="nil"/>
              <w:right w:val="nil"/>
              <w:tl2br w:val="nil"/>
              <w:tr2bl w:val="nil"/>
            </w:tcBorders>
            <w:tcMar>
              <w:left w:w="60" w:type="dxa"/>
              <w:right w:w="60" w:type="dxa"/>
            </w:tcMar>
            <w:vAlign w:val="center"/>
          </w:tcPr>
          <w:p w14:paraId="0AD213C9" w14:textId="77777777" w:rsidR="00807FFE" w:rsidRDefault="00023E71">
            <w:pPr>
              <w:pStyle w:val="DMETW36778BIPAgencies3CommitmentsPayments"/>
              <w:rPr>
                <w:rFonts w:ascii="Verdana" w:eastAsia="Verdana" w:hAnsi="Verdana" w:cs="Verdana"/>
                <w:noProof/>
                <w:color w:val="000000"/>
                <w:sz w:val="16"/>
              </w:rPr>
            </w:pPr>
            <w:r>
              <w:rPr>
                <w:rFonts w:ascii="Verdana" w:eastAsia="Verdana" w:hAnsi="Verdana" w:cs="Verdana"/>
                <w:noProof/>
                <w:color w:val="000000"/>
                <w:sz w:val="16"/>
              </w:rPr>
              <w:t>Translation Centre for the Bodies of the European Union</w:t>
            </w:r>
          </w:p>
        </w:tc>
        <w:tc>
          <w:tcPr>
            <w:tcW w:w="1134" w:type="dxa"/>
            <w:tcBorders>
              <w:top w:val="nil"/>
              <w:left w:val="nil"/>
              <w:bottom w:val="nil"/>
              <w:right w:val="nil"/>
              <w:tl2br w:val="nil"/>
              <w:tr2bl w:val="nil"/>
            </w:tcBorders>
            <w:tcMar>
              <w:left w:w="60" w:type="dxa"/>
              <w:right w:w="60" w:type="dxa"/>
            </w:tcMar>
            <w:vAlign w:val="center"/>
          </w:tcPr>
          <w:p w14:paraId="384DAFFB"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52</w:t>
            </w:r>
          </w:p>
        </w:tc>
        <w:tc>
          <w:tcPr>
            <w:tcW w:w="1134" w:type="dxa"/>
            <w:tcBorders>
              <w:top w:val="nil"/>
              <w:left w:val="nil"/>
              <w:bottom w:val="nil"/>
              <w:right w:val="nil"/>
              <w:tl2br w:val="nil"/>
              <w:tr2bl w:val="nil"/>
            </w:tcBorders>
            <w:tcMar>
              <w:left w:w="60" w:type="dxa"/>
              <w:right w:w="60" w:type="dxa"/>
            </w:tcMar>
            <w:vAlign w:val="center"/>
          </w:tcPr>
          <w:p w14:paraId="1764FF3C"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46</w:t>
            </w:r>
          </w:p>
        </w:tc>
        <w:tc>
          <w:tcPr>
            <w:tcW w:w="1136" w:type="dxa"/>
            <w:tcBorders>
              <w:top w:val="nil"/>
              <w:left w:val="nil"/>
              <w:bottom w:val="nil"/>
              <w:right w:val="nil"/>
              <w:tl2br w:val="nil"/>
              <w:tr2bl w:val="nil"/>
            </w:tcBorders>
            <w:tcMar>
              <w:left w:w="60" w:type="dxa"/>
              <w:right w:w="60" w:type="dxa"/>
            </w:tcMar>
            <w:vAlign w:val="center"/>
          </w:tcPr>
          <w:p w14:paraId="18A06C7A" w14:textId="77777777" w:rsidR="00807FFE" w:rsidRDefault="00023E71">
            <w:pPr>
              <w:pStyle w:val="DMETW36778BIPAgencies3CommitmentsPayments"/>
              <w:jc w:val="right"/>
              <w:rPr>
                <w:rFonts w:ascii="Verdana" w:eastAsia="Verdana" w:hAnsi="Verdana" w:cs="Verdana"/>
                <w:noProof/>
                <w:color w:val="000000"/>
                <w:sz w:val="16"/>
              </w:rPr>
            </w:pPr>
            <w:r>
              <w:rPr>
                <w:rFonts w:ascii="Verdana" w:eastAsia="Verdana" w:hAnsi="Verdana" w:cs="Verdana"/>
                <w:noProof/>
                <w:color w:val="000000"/>
                <w:sz w:val="16"/>
              </w:rPr>
              <w:t xml:space="preserve"> 54</w:t>
            </w:r>
          </w:p>
        </w:tc>
        <w:tc>
          <w:tcPr>
            <w:tcW w:w="1043" w:type="dxa"/>
            <w:tcBorders>
              <w:top w:val="nil"/>
              <w:left w:val="nil"/>
              <w:bottom w:val="nil"/>
              <w:right w:val="nil"/>
              <w:tl2br w:val="nil"/>
              <w:tr2bl w:val="nil"/>
            </w:tcBorders>
            <w:tcMar>
              <w:left w:w="60" w:type="dxa"/>
              <w:right w:w="60" w:type="dxa"/>
            </w:tcMar>
            <w:vAlign w:val="center"/>
          </w:tcPr>
          <w:p w14:paraId="5D6E4954" w14:textId="77777777" w:rsidR="00807FFE" w:rsidRDefault="00023E71">
            <w:pPr>
              <w:pStyle w:val="DMETW36778BIPAgencies3CommitmentsPayments"/>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46</w:t>
            </w:r>
          </w:p>
        </w:tc>
      </w:tr>
      <w:tr w:rsidR="00807FFE" w14:paraId="3F73ECB8" w14:textId="77777777">
        <w:trPr>
          <w:trHeight w:val="284"/>
        </w:trPr>
        <w:tc>
          <w:tcPr>
            <w:tcW w:w="5305" w:type="dxa"/>
            <w:tcBorders>
              <w:top w:val="nil"/>
              <w:left w:val="nil"/>
              <w:bottom w:val="nil"/>
              <w:right w:val="nil"/>
              <w:tl2br w:val="nil"/>
              <w:tr2bl w:val="nil"/>
            </w:tcBorders>
            <w:shd w:val="solid" w:color="CCE1EA" w:fill="FFFFFF"/>
            <w:tcMar>
              <w:left w:w="60" w:type="dxa"/>
              <w:right w:w="60" w:type="dxa"/>
            </w:tcMar>
            <w:vAlign w:val="center"/>
          </w:tcPr>
          <w:p w14:paraId="7A20C275" w14:textId="77777777" w:rsidR="00807FFE" w:rsidRDefault="00023E71">
            <w:pPr>
              <w:pStyle w:val="DMETW36778BIPAgencies3CommitmentsPayments"/>
              <w:rPr>
                <w:rFonts w:ascii="Verdana" w:eastAsia="Verdana" w:hAnsi="Verdana" w:cs="Verdana"/>
                <w:b/>
                <w:noProof/>
                <w:color w:val="000000"/>
                <w:sz w:val="16"/>
              </w:rPr>
            </w:pPr>
            <w:r>
              <w:rPr>
                <w:rFonts w:ascii="Verdana" w:eastAsia="Verdana" w:hAnsi="Verdana" w:cs="Verdana"/>
                <w:b/>
                <w:noProof/>
                <w:color w:val="000000"/>
                <w:sz w:val="16"/>
              </w:rPr>
              <w:t>Total</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55D1021B" w14:textId="77777777" w:rsidR="00807FFE" w:rsidRDefault="00023E71">
            <w:pPr>
              <w:pStyle w:val="DMETW36778BIPAgencies3CommitmentsPayments"/>
              <w:jc w:val="right"/>
              <w:rPr>
                <w:rFonts w:ascii="Verdana" w:eastAsia="Verdana" w:hAnsi="Verdana" w:cs="Verdana"/>
                <w:b/>
                <w:noProof/>
                <w:color w:val="000000"/>
                <w:sz w:val="16"/>
              </w:rPr>
            </w:pPr>
            <w:r>
              <w:rPr>
                <w:rFonts w:ascii="Verdana" w:eastAsia="Verdana" w:hAnsi="Verdana" w:cs="Verdana"/>
                <w:b/>
                <w:noProof/>
                <w:color w:val="000000"/>
                <w:sz w:val="16"/>
              </w:rPr>
              <w:t>9 300</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4E4AAC89" w14:textId="77777777" w:rsidR="00807FFE" w:rsidRDefault="00023E71">
            <w:pPr>
              <w:pStyle w:val="DMETW36778BIPAgencies3CommitmentsPayments"/>
              <w:jc w:val="right"/>
              <w:rPr>
                <w:rFonts w:ascii="Verdana" w:eastAsia="Verdana" w:hAnsi="Verdana" w:cs="Verdana"/>
                <w:b/>
                <w:noProof/>
                <w:color w:val="000000"/>
                <w:sz w:val="16"/>
              </w:rPr>
            </w:pPr>
            <w:r>
              <w:rPr>
                <w:rFonts w:ascii="Verdana" w:eastAsia="Verdana" w:hAnsi="Verdana" w:cs="Verdana"/>
                <w:b/>
                <w:noProof/>
                <w:color w:val="000000"/>
                <w:sz w:val="16"/>
              </w:rPr>
              <w:t>7 239</w:t>
            </w:r>
          </w:p>
        </w:tc>
        <w:tc>
          <w:tcPr>
            <w:tcW w:w="1136" w:type="dxa"/>
            <w:tcBorders>
              <w:top w:val="nil"/>
              <w:left w:val="nil"/>
              <w:bottom w:val="nil"/>
              <w:right w:val="nil"/>
              <w:tl2br w:val="nil"/>
              <w:tr2bl w:val="nil"/>
            </w:tcBorders>
            <w:shd w:val="solid" w:color="CCE1EA" w:fill="FFFFFF"/>
            <w:tcMar>
              <w:left w:w="60" w:type="dxa"/>
              <w:right w:w="60" w:type="dxa"/>
            </w:tcMar>
            <w:vAlign w:val="center"/>
          </w:tcPr>
          <w:p w14:paraId="21C9DEBC" w14:textId="77777777" w:rsidR="00807FFE" w:rsidRDefault="00023E71">
            <w:pPr>
              <w:pStyle w:val="DMETW36778BIPAgencies3CommitmentsPayments"/>
              <w:jc w:val="right"/>
              <w:rPr>
                <w:rFonts w:ascii="Verdana" w:eastAsia="Verdana" w:hAnsi="Verdana" w:cs="Verdana"/>
                <w:b/>
                <w:noProof/>
                <w:color w:val="000000"/>
                <w:sz w:val="16"/>
              </w:rPr>
            </w:pPr>
            <w:r>
              <w:rPr>
                <w:rFonts w:ascii="Verdana" w:eastAsia="Verdana" w:hAnsi="Verdana" w:cs="Verdana"/>
                <w:b/>
                <w:noProof/>
                <w:color w:val="000000"/>
                <w:sz w:val="16"/>
              </w:rPr>
              <w:t>10 082</w:t>
            </w:r>
          </w:p>
        </w:tc>
        <w:tc>
          <w:tcPr>
            <w:tcW w:w="1043" w:type="dxa"/>
            <w:tcBorders>
              <w:top w:val="nil"/>
              <w:left w:val="nil"/>
              <w:bottom w:val="nil"/>
              <w:right w:val="nil"/>
              <w:tl2br w:val="nil"/>
              <w:tr2bl w:val="nil"/>
            </w:tcBorders>
            <w:shd w:val="solid" w:color="CCE1EA" w:fill="FFFFFF"/>
            <w:tcMar>
              <w:left w:w="60" w:type="dxa"/>
              <w:right w:w="60" w:type="dxa"/>
            </w:tcMar>
            <w:vAlign w:val="center"/>
          </w:tcPr>
          <w:p w14:paraId="58729967" w14:textId="77777777" w:rsidR="00807FFE" w:rsidRDefault="00023E71">
            <w:pPr>
              <w:pStyle w:val="DMETW36778BIPAgencies3CommitmentsPayments"/>
              <w:jc w:val="right"/>
              <w:rPr>
                <w:rFonts w:ascii="Verdana" w:eastAsia="Verdana" w:hAnsi="Verdana" w:cs="Verdana"/>
                <w:b/>
                <w:noProof/>
                <w:color w:val="000000"/>
                <w:sz w:val="16"/>
              </w:rPr>
            </w:pPr>
            <w:r>
              <w:rPr>
                <w:rFonts w:ascii="Verdana" w:eastAsia="Verdana" w:hAnsi="Verdana" w:cs="Verdana"/>
                <w:b/>
                <w:noProof/>
                <w:color w:val="000000"/>
                <w:sz w:val="16"/>
              </w:rPr>
              <w:t>7 355</w:t>
            </w:r>
          </w:p>
        </w:tc>
      </w:tr>
    </w:tbl>
    <w:p w14:paraId="5D4D22B0" w14:textId="77777777" w:rsidR="00670B4C" w:rsidRDefault="00670B4C" w:rsidP="004A22D8">
      <w:pPr>
        <w:pStyle w:val="DGTextstand-alone"/>
        <w:rPr>
          <w:lang w:bidi="en-GB"/>
        </w:rPr>
      </w:pPr>
    </w:p>
    <w:tbl>
      <w:tblPr>
        <w:tblW w:w="963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1276"/>
        <w:gridCol w:w="1134"/>
        <w:gridCol w:w="1275"/>
        <w:gridCol w:w="1134"/>
      </w:tblGrid>
      <w:tr w:rsidR="00807FFE" w14:paraId="1D25752F" w14:textId="77777777">
        <w:trPr>
          <w:cantSplit/>
          <w:trHeight w:val="284"/>
        </w:trPr>
        <w:tc>
          <w:tcPr>
            <w:tcW w:w="4818" w:type="dxa"/>
            <w:tcBorders>
              <w:top w:val="nil"/>
              <w:left w:val="nil"/>
              <w:bottom w:val="nil"/>
              <w:right w:val="nil"/>
              <w:tl2br w:val="nil"/>
              <w:tr2bl w:val="nil"/>
            </w:tcBorders>
            <w:tcMar>
              <w:left w:w="60" w:type="dxa"/>
              <w:right w:w="60" w:type="dxa"/>
            </w:tcMar>
            <w:vAlign w:val="center"/>
          </w:tcPr>
          <w:p w14:paraId="73389D97" w14:textId="77777777" w:rsidR="00807FFE" w:rsidRDefault="00807FFE">
            <w:pPr>
              <w:pStyle w:val="DMETW36778BIPAgencies4TypeofExpenditure"/>
              <w:rPr>
                <w:rFonts w:ascii="Verdana" w:eastAsia="Verdana" w:hAnsi="Verdana" w:cs="Verdana"/>
                <w:noProof/>
                <w:color w:val="000000"/>
                <w:sz w:val="16"/>
                <w:lang w:bidi="en-GB"/>
              </w:rPr>
            </w:pPr>
            <w:bookmarkStart w:id="355" w:name="DOC_TBL00130_1_1"/>
            <w:bookmarkEnd w:id="355"/>
          </w:p>
        </w:tc>
        <w:tc>
          <w:tcPr>
            <w:tcW w:w="1276" w:type="dxa"/>
            <w:tcBorders>
              <w:top w:val="nil"/>
              <w:left w:val="nil"/>
              <w:bottom w:val="nil"/>
              <w:right w:val="nil"/>
              <w:tl2br w:val="nil"/>
              <w:tr2bl w:val="nil"/>
            </w:tcBorders>
            <w:tcMar>
              <w:left w:w="60" w:type="dxa"/>
              <w:right w:w="60" w:type="dxa"/>
            </w:tcMar>
            <w:vAlign w:val="center"/>
          </w:tcPr>
          <w:p w14:paraId="5E029A06" w14:textId="77777777" w:rsidR="00807FFE" w:rsidRDefault="00807FFE">
            <w:pPr>
              <w:pStyle w:val="DMETW36778BIPAgencies4TypeofExpenditure"/>
              <w:jc w:val="right"/>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14:paraId="24DBAEE0" w14:textId="77777777" w:rsidR="00807FFE" w:rsidRDefault="00807FFE">
            <w:pPr>
              <w:pStyle w:val="DMETW36778BIPAgencies4TypeofExpenditure"/>
              <w:jc w:val="right"/>
              <w:rPr>
                <w:rFonts w:ascii="Verdana" w:eastAsia="Verdana" w:hAnsi="Verdana" w:cs="Verdana"/>
                <w:noProof/>
                <w:color w:val="000000"/>
                <w:sz w:val="16"/>
              </w:rPr>
            </w:pPr>
          </w:p>
        </w:tc>
        <w:tc>
          <w:tcPr>
            <w:tcW w:w="1275" w:type="dxa"/>
            <w:tcBorders>
              <w:top w:val="nil"/>
              <w:left w:val="nil"/>
              <w:bottom w:val="nil"/>
              <w:right w:val="nil"/>
              <w:tl2br w:val="nil"/>
              <w:tr2bl w:val="nil"/>
            </w:tcBorders>
            <w:tcMar>
              <w:left w:w="60" w:type="dxa"/>
              <w:right w:w="60" w:type="dxa"/>
            </w:tcMar>
            <w:vAlign w:val="center"/>
          </w:tcPr>
          <w:p w14:paraId="1AD080EC" w14:textId="77777777" w:rsidR="00807FFE" w:rsidRDefault="00807FFE">
            <w:pPr>
              <w:pStyle w:val="DMETW36778BIPAgencies4TypeofExpenditure"/>
              <w:jc w:val="right"/>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14:paraId="4BEEA464" w14:textId="77777777" w:rsidR="00807FFE" w:rsidRDefault="00023E71">
            <w:pPr>
              <w:pStyle w:val="DMETW36778BIPAgencies4TypeofExpenditure"/>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807FFE" w14:paraId="2AD2F40C" w14:textId="77777777">
        <w:trPr>
          <w:cantSplit/>
          <w:trHeight w:val="454"/>
        </w:trPr>
        <w:tc>
          <w:tcPr>
            <w:tcW w:w="4818" w:type="dxa"/>
            <w:tcBorders>
              <w:top w:val="nil"/>
              <w:left w:val="nil"/>
              <w:bottom w:val="nil"/>
              <w:right w:val="nil"/>
              <w:tl2br w:val="nil"/>
              <w:tr2bl w:val="nil"/>
            </w:tcBorders>
            <w:shd w:val="solid" w:color="016794" w:fill="FFFFFF"/>
            <w:tcMar>
              <w:left w:w="60" w:type="dxa"/>
              <w:right w:w="60" w:type="dxa"/>
            </w:tcMar>
            <w:vAlign w:val="center"/>
          </w:tcPr>
          <w:p w14:paraId="410D5248" w14:textId="77777777" w:rsidR="00807FFE" w:rsidRDefault="00807FFE">
            <w:pPr>
              <w:pStyle w:val="DMETW36778BIPAgencies4TypeofExpenditure"/>
              <w:jc w:val="center"/>
              <w:rPr>
                <w:rFonts w:ascii="Verdana" w:eastAsia="Verdana" w:hAnsi="Verdana" w:cs="Verdana"/>
                <w:noProof/>
                <w:color w:val="FFFFFF"/>
                <w:sz w:val="16"/>
              </w:rPr>
            </w:pPr>
          </w:p>
        </w:tc>
        <w:tc>
          <w:tcPr>
            <w:tcW w:w="1276" w:type="dxa"/>
            <w:gridSpan w:val="2"/>
            <w:tcBorders>
              <w:top w:val="nil"/>
              <w:left w:val="nil"/>
              <w:bottom w:val="nil"/>
              <w:right w:val="nil"/>
              <w:tl2br w:val="nil"/>
              <w:tr2bl w:val="nil"/>
            </w:tcBorders>
            <w:shd w:val="solid" w:color="016794" w:fill="FFFFFF"/>
            <w:tcMar>
              <w:left w:w="60" w:type="dxa"/>
              <w:right w:w="60" w:type="dxa"/>
            </w:tcMar>
            <w:vAlign w:val="center"/>
          </w:tcPr>
          <w:p w14:paraId="371A7590" w14:textId="77777777" w:rsidR="00807FFE" w:rsidRDefault="00023E71">
            <w:pPr>
              <w:pStyle w:val="DMETW36778BIPAgencies4TypeofExpenditure"/>
              <w:jc w:val="center"/>
              <w:rPr>
                <w:rFonts w:ascii="Verdana" w:eastAsia="Verdana" w:hAnsi="Verdana" w:cs="Verdana"/>
                <w:b/>
                <w:noProof/>
                <w:color w:val="FFFFFF"/>
                <w:sz w:val="16"/>
              </w:rPr>
            </w:pPr>
            <w:r>
              <w:rPr>
                <w:rFonts w:ascii="Verdana" w:eastAsia="Verdana" w:hAnsi="Verdana" w:cs="Verdana"/>
                <w:b/>
                <w:noProof/>
                <w:color w:val="FFFFFF"/>
                <w:sz w:val="16"/>
              </w:rPr>
              <w:t>Commitment appropriations</w:t>
            </w:r>
          </w:p>
        </w:tc>
        <w:tc>
          <w:tcPr>
            <w:tcW w:w="1275" w:type="dxa"/>
            <w:gridSpan w:val="2"/>
            <w:tcBorders>
              <w:top w:val="nil"/>
              <w:left w:val="nil"/>
              <w:bottom w:val="nil"/>
              <w:right w:val="nil"/>
              <w:tl2br w:val="nil"/>
              <w:tr2bl w:val="nil"/>
            </w:tcBorders>
            <w:shd w:val="solid" w:color="016794" w:fill="FFFFFF"/>
            <w:tcMar>
              <w:left w:w="60" w:type="dxa"/>
              <w:right w:w="60" w:type="dxa"/>
            </w:tcMar>
            <w:vAlign w:val="center"/>
          </w:tcPr>
          <w:p w14:paraId="0D1CF440" w14:textId="77777777" w:rsidR="00807FFE" w:rsidRDefault="00023E71">
            <w:pPr>
              <w:pStyle w:val="DMETW36778BIPAgencies4TypeofExpenditure"/>
              <w:jc w:val="center"/>
              <w:rPr>
                <w:rFonts w:ascii="Verdana" w:eastAsia="Verdana" w:hAnsi="Verdana" w:cs="Verdana"/>
                <w:b/>
                <w:noProof/>
                <w:color w:val="FFFFFF"/>
                <w:sz w:val="16"/>
                <w:lang w:bidi="en-GB"/>
              </w:rPr>
            </w:pPr>
            <w:r>
              <w:rPr>
                <w:rFonts w:ascii="Verdana" w:eastAsia="Verdana" w:hAnsi="Verdana" w:cs="Verdana"/>
                <w:b/>
                <w:noProof/>
                <w:color w:val="FFFFFF"/>
                <w:sz w:val="16"/>
              </w:rPr>
              <w:t>Payment appropriations</w:t>
            </w:r>
          </w:p>
        </w:tc>
      </w:tr>
      <w:tr w:rsidR="00807FFE" w14:paraId="1DC6C374" w14:textId="77777777">
        <w:trPr>
          <w:cantSplit/>
          <w:trHeight w:val="454"/>
        </w:trPr>
        <w:tc>
          <w:tcPr>
            <w:tcW w:w="4818" w:type="dxa"/>
            <w:tcBorders>
              <w:top w:val="nil"/>
              <w:left w:val="nil"/>
              <w:bottom w:val="nil"/>
              <w:right w:val="nil"/>
              <w:tl2br w:val="nil"/>
              <w:tr2bl w:val="nil"/>
            </w:tcBorders>
            <w:shd w:val="solid" w:color="016794" w:fill="FFFFFF"/>
            <w:tcMar>
              <w:left w:w="60" w:type="dxa"/>
              <w:right w:w="60" w:type="dxa"/>
            </w:tcMar>
            <w:vAlign w:val="center"/>
          </w:tcPr>
          <w:p w14:paraId="79E93E0F" w14:textId="77777777" w:rsidR="00807FFE" w:rsidRDefault="00023E71">
            <w:pPr>
              <w:pStyle w:val="DMETW36778BIPAgencies4TypeofExpenditure"/>
              <w:jc w:val="center"/>
              <w:rPr>
                <w:rFonts w:ascii="Verdana" w:eastAsia="Verdana" w:hAnsi="Verdana" w:cs="Verdana"/>
                <w:noProof/>
                <w:color w:val="FFFFFF"/>
                <w:sz w:val="16"/>
              </w:rPr>
            </w:pPr>
            <w:r>
              <w:rPr>
                <w:rFonts w:ascii="Verdana" w:eastAsia="Verdana" w:hAnsi="Verdana" w:cs="Verdana"/>
                <w:noProof/>
                <w:color w:val="FFFFFF"/>
                <w:sz w:val="16"/>
              </w:rPr>
              <w:t>Type of expenditure</w:t>
            </w:r>
          </w:p>
        </w:tc>
        <w:tc>
          <w:tcPr>
            <w:tcW w:w="1276" w:type="dxa"/>
            <w:tcBorders>
              <w:top w:val="nil"/>
              <w:left w:val="nil"/>
              <w:bottom w:val="nil"/>
              <w:right w:val="nil"/>
              <w:tl2br w:val="nil"/>
              <w:tr2bl w:val="nil"/>
            </w:tcBorders>
            <w:shd w:val="solid" w:color="016794" w:fill="FFFFFF"/>
            <w:tcMar>
              <w:left w:w="60" w:type="dxa"/>
              <w:right w:w="60" w:type="dxa"/>
            </w:tcMar>
            <w:vAlign w:val="center"/>
          </w:tcPr>
          <w:p w14:paraId="03FEAD27" w14:textId="77777777" w:rsidR="00807FFE" w:rsidRDefault="00023E71">
            <w:pPr>
              <w:pStyle w:val="DMETW36778BIPAgencies4TypeofExpenditure"/>
              <w:jc w:val="center"/>
              <w:rPr>
                <w:rFonts w:ascii="Verdana" w:eastAsia="Verdana" w:hAnsi="Verdana" w:cs="Verdana"/>
                <w:noProof/>
                <w:color w:val="FFFFFF"/>
                <w:sz w:val="16"/>
              </w:rPr>
            </w:pPr>
            <w:r>
              <w:rPr>
                <w:rFonts w:ascii="Verdana" w:eastAsia="Verdana" w:hAnsi="Verdana" w:cs="Verdana"/>
                <w:noProof/>
                <w:color w:val="FFFFFF"/>
                <w:sz w:val="16"/>
              </w:rPr>
              <w:t>Total appropr. available</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5C4573A1" w14:textId="77777777" w:rsidR="00807FFE" w:rsidRDefault="00023E71">
            <w:pPr>
              <w:pStyle w:val="DMETW36778BIPAgencies4TypeofExpenditure"/>
              <w:jc w:val="center"/>
              <w:rPr>
                <w:rFonts w:ascii="Verdana" w:eastAsia="Verdana" w:hAnsi="Verdana" w:cs="Verdana"/>
                <w:noProof/>
                <w:color w:val="FFFFFF"/>
                <w:sz w:val="16"/>
              </w:rPr>
            </w:pPr>
            <w:r>
              <w:rPr>
                <w:rFonts w:ascii="Verdana" w:eastAsia="Verdana" w:hAnsi="Verdana" w:cs="Verdana"/>
                <w:noProof/>
                <w:color w:val="FFFFFF"/>
                <w:sz w:val="16"/>
              </w:rPr>
              <w:t>Commit. made</w:t>
            </w:r>
          </w:p>
        </w:tc>
        <w:tc>
          <w:tcPr>
            <w:tcW w:w="1275" w:type="dxa"/>
            <w:tcBorders>
              <w:top w:val="nil"/>
              <w:left w:val="nil"/>
              <w:bottom w:val="nil"/>
              <w:right w:val="nil"/>
              <w:tl2br w:val="nil"/>
              <w:tr2bl w:val="nil"/>
            </w:tcBorders>
            <w:shd w:val="solid" w:color="016794" w:fill="FFFFFF"/>
            <w:tcMar>
              <w:left w:w="60" w:type="dxa"/>
              <w:right w:w="60" w:type="dxa"/>
            </w:tcMar>
            <w:vAlign w:val="center"/>
          </w:tcPr>
          <w:p w14:paraId="6F71C5BF" w14:textId="77777777" w:rsidR="00807FFE" w:rsidRDefault="00023E71">
            <w:pPr>
              <w:pStyle w:val="DMETW36778BIPAgencies4TypeofExpenditure"/>
              <w:jc w:val="center"/>
              <w:rPr>
                <w:rFonts w:ascii="Verdana" w:eastAsia="Verdana" w:hAnsi="Verdana" w:cs="Verdana"/>
                <w:noProof/>
                <w:color w:val="FFFFFF"/>
                <w:sz w:val="16"/>
              </w:rPr>
            </w:pPr>
            <w:r>
              <w:rPr>
                <w:rFonts w:ascii="Verdana" w:eastAsia="Verdana" w:hAnsi="Verdana" w:cs="Verdana"/>
                <w:noProof/>
                <w:color w:val="FFFFFF"/>
                <w:sz w:val="16"/>
              </w:rPr>
              <w:t>Total appropr. available</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7ABC1D8E" w14:textId="77777777" w:rsidR="00807FFE" w:rsidRDefault="00023E71">
            <w:pPr>
              <w:pStyle w:val="DMETW36778BIPAgencies4TypeofExpenditure"/>
              <w:jc w:val="center"/>
              <w:rPr>
                <w:rFonts w:ascii="Verdana" w:eastAsia="Verdana" w:hAnsi="Verdana" w:cs="Verdana"/>
                <w:noProof/>
                <w:color w:val="FFFFFF"/>
                <w:sz w:val="16"/>
                <w:lang w:bidi="en-GB"/>
              </w:rPr>
            </w:pPr>
            <w:r>
              <w:rPr>
                <w:rFonts w:ascii="Verdana" w:eastAsia="Verdana" w:hAnsi="Verdana" w:cs="Verdana"/>
                <w:noProof/>
                <w:color w:val="FFFFFF"/>
                <w:sz w:val="16"/>
              </w:rPr>
              <w:t>Payments made</w:t>
            </w:r>
          </w:p>
        </w:tc>
      </w:tr>
      <w:tr w:rsidR="00807FFE" w14:paraId="42D1F320" w14:textId="77777777">
        <w:trPr>
          <w:cantSplit/>
          <w:trHeight w:val="284"/>
        </w:trPr>
        <w:tc>
          <w:tcPr>
            <w:tcW w:w="4818" w:type="dxa"/>
            <w:tcBorders>
              <w:top w:val="nil"/>
              <w:left w:val="nil"/>
              <w:bottom w:val="nil"/>
              <w:right w:val="nil"/>
              <w:tl2br w:val="nil"/>
              <w:tr2bl w:val="nil"/>
            </w:tcBorders>
            <w:tcMar>
              <w:left w:w="60" w:type="dxa"/>
              <w:right w:w="60" w:type="dxa"/>
            </w:tcMar>
            <w:vAlign w:val="center"/>
          </w:tcPr>
          <w:p w14:paraId="6D44FE26" w14:textId="77777777" w:rsidR="00807FFE" w:rsidRDefault="00023E71">
            <w:pPr>
              <w:pStyle w:val="DMETW36778BIPAgencies4TypeofExpenditure"/>
              <w:rPr>
                <w:rFonts w:ascii="Verdana" w:eastAsia="Verdana" w:hAnsi="Verdana" w:cs="Verdana"/>
                <w:noProof/>
                <w:color w:val="000000"/>
                <w:sz w:val="16"/>
              </w:rPr>
            </w:pPr>
            <w:r>
              <w:rPr>
                <w:rFonts w:ascii="Verdana" w:eastAsia="Verdana" w:hAnsi="Verdana" w:cs="Verdana"/>
                <w:noProof/>
                <w:color w:val="000000"/>
                <w:sz w:val="16"/>
              </w:rPr>
              <w:t>Administrative</w:t>
            </w:r>
          </w:p>
        </w:tc>
        <w:tc>
          <w:tcPr>
            <w:tcW w:w="1276" w:type="dxa"/>
            <w:tcBorders>
              <w:top w:val="nil"/>
              <w:left w:val="nil"/>
              <w:bottom w:val="nil"/>
              <w:right w:val="nil"/>
              <w:tl2br w:val="nil"/>
              <w:tr2bl w:val="nil"/>
            </w:tcBorders>
            <w:tcMar>
              <w:left w:w="60" w:type="dxa"/>
              <w:right w:w="60" w:type="dxa"/>
            </w:tcMar>
            <w:vAlign w:val="center"/>
          </w:tcPr>
          <w:p w14:paraId="0AD6DCD0"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 xml:space="preserve"> 612</w:t>
            </w:r>
          </w:p>
        </w:tc>
        <w:tc>
          <w:tcPr>
            <w:tcW w:w="1134" w:type="dxa"/>
            <w:tcBorders>
              <w:top w:val="nil"/>
              <w:left w:val="nil"/>
              <w:bottom w:val="nil"/>
              <w:right w:val="nil"/>
              <w:tl2br w:val="nil"/>
              <w:tr2bl w:val="nil"/>
            </w:tcBorders>
            <w:tcMar>
              <w:left w:w="60" w:type="dxa"/>
              <w:right w:w="60" w:type="dxa"/>
            </w:tcMar>
            <w:vAlign w:val="center"/>
          </w:tcPr>
          <w:p w14:paraId="6FE1C557"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 xml:space="preserve"> 593</w:t>
            </w:r>
          </w:p>
        </w:tc>
        <w:tc>
          <w:tcPr>
            <w:tcW w:w="1275" w:type="dxa"/>
            <w:tcBorders>
              <w:top w:val="nil"/>
              <w:left w:val="nil"/>
              <w:bottom w:val="nil"/>
              <w:right w:val="nil"/>
              <w:tl2br w:val="nil"/>
              <w:tr2bl w:val="nil"/>
            </w:tcBorders>
            <w:tcMar>
              <w:left w:w="60" w:type="dxa"/>
              <w:right w:w="60" w:type="dxa"/>
            </w:tcMar>
            <w:vAlign w:val="center"/>
          </w:tcPr>
          <w:p w14:paraId="435C9A22"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 xml:space="preserve"> 746</w:t>
            </w:r>
          </w:p>
        </w:tc>
        <w:tc>
          <w:tcPr>
            <w:tcW w:w="1134" w:type="dxa"/>
            <w:tcBorders>
              <w:top w:val="nil"/>
              <w:left w:val="nil"/>
              <w:bottom w:val="nil"/>
              <w:right w:val="nil"/>
              <w:tl2br w:val="nil"/>
              <w:tr2bl w:val="nil"/>
            </w:tcBorders>
            <w:tcMar>
              <w:left w:w="60" w:type="dxa"/>
              <w:right w:w="60" w:type="dxa"/>
            </w:tcMar>
            <w:vAlign w:val="center"/>
          </w:tcPr>
          <w:p w14:paraId="5291EA2F" w14:textId="77777777" w:rsidR="00807FFE" w:rsidRDefault="00023E71">
            <w:pPr>
              <w:pStyle w:val="DMETW36778BIPAgencies4TypeofExpenditure"/>
              <w:jc w:val="right"/>
              <w:rPr>
                <w:rFonts w:ascii="Verdana" w:eastAsia="Verdana" w:hAnsi="Verdana" w:cs="Verdana"/>
                <w:noProof/>
                <w:color w:val="000000"/>
                <w:sz w:val="16"/>
                <w:lang w:bidi="en-GB"/>
              </w:rPr>
            </w:pPr>
            <w:r>
              <w:rPr>
                <w:rFonts w:ascii="Verdana" w:eastAsia="Verdana" w:hAnsi="Verdana" w:cs="Verdana"/>
                <w:noProof/>
                <w:color w:val="000000"/>
                <w:sz w:val="16"/>
              </w:rPr>
              <w:t xml:space="preserve"> 584</w:t>
            </w:r>
          </w:p>
        </w:tc>
      </w:tr>
      <w:tr w:rsidR="00807FFE" w14:paraId="0BB90E47" w14:textId="77777777">
        <w:trPr>
          <w:cantSplit/>
          <w:trHeight w:val="284"/>
        </w:trPr>
        <w:tc>
          <w:tcPr>
            <w:tcW w:w="4818" w:type="dxa"/>
            <w:tcBorders>
              <w:top w:val="nil"/>
              <w:left w:val="nil"/>
              <w:bottom w:val="nil"/>
              <w:right w:val="nil"/>
              <w:tl2br w:val="nil"/>
              <w:tr2bl w:val="nil"/>
            </w:tcBorders>
            <w:tcMar>
              <w:left w:w="60" w:type="dxa"/>
              <w:right w:w="60" w:type="dxa"/>
            </w:tcMar>
            <w:vAlign w:val="center"/>
          </w:tcPr>
          <w:p w14:paraId="0B68FB9A" w14:textId="77777777" w:rsidR="00807FFE" w:rsidRDefault="00023E71">
            <w:pPr>
              <w:pStyle w:val="DMETW36778BIPAgencies4TypeofExpenditure"/>
              <w:rPr>
                <w:rFonts w:ascii="Verdana" w:eastAsia="Verdana" w:hAnsi="Verdana" w:cs="Verdana"/>
                <w:noProof/>
                <w:color w:val="000000"/>
                <w:sz w:val="16"/>
              </w:rPr>
            </w:pPr>
            <w:r>
              <w:rPr>
                <w:rFonts w:ascii="Verdana" w:eastAsia="Verdana" w:hAnsi="Verdana" w:cs="Verdana"/>
                <w:noProof/>
                <w:color w:val="000000"/>
                <w:sz w:val="16"/>
              </w:rPr>
              <w:t>Operational</w:t>
            </w:r>
          </w:p>
        </w:tc>
        <w:tc>
          <w:tcPr>
            <w:tcW w:w="1276" w:type="dxa"/>
            <w:tcBorders>
              <w:top w:val="nil"/>
              <w:left w:val="nil"/>
              <w:bottom w:val="nil"/>
              <w:right w:val="nil"/>
              <w:tl2br w:val="nil"/>
              <w:tr2bl w:val="nil"/>
            </w:tcBorders>
            <w:tcMar>
              <w:left w:w="60" w:type="dxa"/>
              <w:right w:w="60" w:type="dxa"/>
            </w:tcMar>
            <w:vAlign w:val="center"/>
          </w:tcPr>
          <w:p w14:paraId="558908C7"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6 396</w:t>
            </w:r>
          </w:p>
        </w:tc>
        <w:tc>
          <w:tcPr>
            <w:tcW w:w="1134" w:type="dxa"/>
            <w:tcBorders>
              <w:top w:val="nil"/>
              <w:left w:val="nil"/>
              <w:bottom w:val="nil"/>
              <w:right w:val="nil"/>
              <w:tl2br w:val="nil"/>
              <w:tr2bl w:val="nil"/>
            </w:tcBorders>
            <w:tcMar>
              <w:left w:w="60" w:type="dxa"/>
              <w:right w:w="60" w:type="dxa"/>
            </w:tcMar>
            <w:vAlign w:val="center"/>
          </w:tcPr>
          <w:p w14:paraId="05229F3A"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4 378</w:t>
            </w:r>
          </w:p>
        </w:tc>
        <w:tc>
          <w:tcPr>
            <w:tcW w:w="1275" w:type="dxa"/>
            <w:tcBorders>
              <w:top w:val="nil"/>
              <w:left w:val="nil"/>
              <w:bottom w:val="nil"/>
              <w:right w:val="nil"/>
              <w:tl2br w:val="nil"/>
              <w:tr2bl w:val="nil"/>
            </w:tcBorders>
            <w:tcMar>
              <w:left w:w="60" w:type="dxa"/>
              <w:right w:w="60" w:type="dxa"/>
            </w:tcMar>
            <w:vAlign w:val="center"/>
          </w:tcPr>
          <w:p w14:paraId="1C431AE3"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7 010</w:t>
            </w:r>
          </w:p>
        </w:tc>
        <w:tc>
          <w:tcPr>
            <w:tcW w:w="1134" w:type="dxa"/>
            <w:tcBorders>
              <w:top w:val="nil"/>
              <w:left w:val="nil"/>
              <w:bottom w:val="nil"/>
              <w:right w:val="nil"/>
              <w:tl2br w:val="nil"/>
              <w:tr2bl w:val="nil"/>
            </w:tcBorders>
            <w:tcMar>
              <w:left w:w="60" w:type="dxa"/>
              <w:right w:w="60" w:type="dxa"/>
            </w:tcMar>
            <w:vAlign w:val="center"/>
          </w:tcPr>
          <w:p w14:paraId="556B2D63" w14:textId="77777777" w:rsidR="00807FFE" w:rsidRDefault="00023E71">
            <w:pPr>
              <w:pStyle w:val="DMETW36778BIPAgencies4TypeofExpenditure"/>
              <w:jc w:val="right"/>
              <w:rPr>
                <w:rFonts w:ascii="Verdana" w:eastAsia="Verdana" w:hAnsi="Verdana" w:cs="Verdana"/>
                <w:noProof/>
                <w:color w:val="000000"/>
                <w:sz w:val="16"/>
                <w:lang w:bidi="en-GB"/>
              </w:rPr>
            </w:pPr>
            <w:r>
              <w:rPr>
                <w:rFonts w:ascii="Verdana" w:eastAsia="Verdana" w:hAnsi="Verdana" w:cs="Verdana"/>
                <w:noProof/>
                <w:color w:val="000000"/>
                <w:sz w:val="16"/>
              </w:rPr>
              <w:t>4 518</w:t>
            </w:r>
          </w:p>
        </w:tc>
      </w:tr>
      <w:tr w:rsidR="00807FFE" w14:paraId="7BFD0FA3" w14:textId="77777777">
        <w:trPr>
          <w:cantSplit/>
          <w:trHeight w:val="284"/>
        </w:trPr>
        <w:tc>
          <w:tcPr>
            <w:tcW w:w="4818" w:type="dxa"/>
            <w:tcBorders>
              <w:top w:val="nil"/>
              <w:left w:val="nil"/>
              <w:bottom w:val="nil"/>
              <w:right w:val="nil"/>
              <w:tl2br w:val="nil"/>
              <w:tr2bl w:val="nil"/>
            </w:tcBorders>
            <w:tcMar>
              <w:left w:w="60" w:type="dxa"/>
              <w:right w:w="60" w:type="dxa"/>
            </w:tcMar>
            <w:vAlign w:val="center"/>
          </w:tcPr>
          <w:p w14:paraId="55656F11" w14:textId="77777777" w:rsidR="00807FFE" w:rsidRDefault="00023E71">
            <w:pPr>
              <w:pStyle w:val="DMETW36778BIPAgencies4TypeofExpenditure"/>
              <w:rPr>
                <w:rFonts w:ascii="Verdana" w:eastAsia="Verdana" w:hAnsi="Verdana" w:cs="Verdana"/>
                <w:noProof/>
                <w:color w:val="000000"/>
                <w:sz w:val="16"/>
              </w:rPr>
            </w:pPr>
            <w:r>
              <w:rPr>
                <w:rFonts w:ascii="Verdana" w:eastAsia="Verdana" w:hAnsi="Verdana" w:cs="Verdana"/>
                <w:noProof/>
                <w:color w:val="000000"/>
                <w:sz w:val="16"/>
              </w:rPr>
              <w:t>Staff</w:t>
            </w:r>
          </w:p>
        </w:tc>
        <w:tc>
          <w:tcPr>
            <w:tcW w:w="1276" w:type="dxa"/>
            <w:tcBorders>
              <w:top w:val="nil"/>
              <w:left w:val="nil"/>
              <w:bottom w:val="nil"/>
              <w:right w:val="nil"/>
              <w:tl2br w:val="nil"/>
              <w:tr2bl w:val="nil"/>
            </w:tcBorders>
            <w:tcMar>
              <w:left w:w="60" w:type="dxa"/>
              <w:right w:w="60" w:type="dxa"/>
            </w:tcMar>
            <w:vAlign w:val="center"/>
          </w:tcPr>
          <w:p w14:paraId="2F62BEA3"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2 292</w:t>
            </w:r>
          </w:p>
        </w:tc>
        <w:tc>
          <w:tcPr>
            <w:tcW w:w="1134" w:type="dxa"/>
            <w:tcBorders>
              <w:top w:val="nil"/>
              <w:left w:val="nil"/>
              <w:bottom w:val="nil"/>
              <w:right w:val="nil"/>
              <w:tl2br w:val="nil"/>
              <w:tr2bl w:val="nil"/>
            </w:tcBorders>
            <w:tcMar>
              <w:left w:w="60" w:type="dxa"/>
              <w:right w:w="60" w:type="dxa"/>
            </w:tcMar>
            <w:vAlign w:val="center"/>
          </w:tcPr>
          <w:p w14:paraId="7A38366C"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2 268</w:t>
            </w:r>
          </w:p>
        </w:tc>
        <w:tc>
          <w:tcPr>
            <w:tcW w:w="1275" w:type="dxa"/>
            <w:tcBorders>
              <w:top w:val="nil"/>
              <w:left w:val="nil"/>
              <w:bottom w:val="nil"/>
              <w:right w:val="nil"/>
              <w:tl2br w:val="nil"/>
              <w:tr2bl w:val="nil"/>
            </w:tcBorders>
            <w:tcMar>
              <w:left w:w="60" w:type="dxa"/>
              <w:right w:w="60" w:type="dxa"/>
            </w:tcMar>
            <w:vAlign w:val="center"/>
          </w:tcPr>
          <w:p w14:paraId="598CCAD0" w14:textId="77777777" w:rsidR="00807FFE" w:rsidRDefault="00023E71">
            <w:pPr>
              <w:pStyle w:val="DMETW36778BIPAgencies4TypeofExpenditure"/>
              <w:jc w:val="right"/>
              <w:rPr>
                <w:rFonts w:ascii="Verdana" w:eastAsia="Verdana" w:hAnsi="Verdana" w:cs="Verdana"/>
                <w:noProof/>
                <w:color w:val="000000"/>
                <w:sz w:val="16"/>
              </w:rPr>
            </w:pPr>
            <w:r>
              <w:rPr>
                <w:rFonts w:ascii="Verdana" w:eastAsia="Verdana" w:hAnsi="Verdana" w:cs="Verdana"/>
                <w:noProof/>
                <w:color w:val="000000"/>
                <w:sz w:val="16"/>
              </w:rPr>
              <w:t>2 327</w:t>
            </w:r>
          </w:p>
        </w:tc>
        <w:tc>
          <w:tcPr>
            <w:tcW w:w="1134" w:type="dxa"/>
            <w:tcBorders>
              <w:top w:val="nil"/>
              <w:left w:val="nil"/>
              <w:bottom w:val="nil"/>
              <w:right w:val="nil"/>
              <w:tl2br w:val="nil"/>
              <w:tr2bl w:val="nil"/>
            </w:tcBorders>
            <w:tcMar>
              <w:left w:w="60" w:type="dxa"/>
              <w:right w:w="60" w:type="dxa"/>
            </w:tcMar>
            <w:vAlign w:val="center"/>
          </w:tcPr>
          <w:p w14:paraId="094D77E4" w14:textId="77777777" w:rsidR="00807FFE" w:rsidRDefault="00023E71">
            <w:pPr>
              <w:pStyle w:val="DMETW36778BIPAgencies4TypeofExpenditure"/>
              <w:jc w:val="right"/>
              <w:rPr>
                <w:rFonts w:ascii="Verdana" w:eastAsia="Verdana" w:hAnsi="Verdana" w:cs="Verdana"/>
                <w:noProof/>
                <w:color w:val="000000"/>
                <w:sz w:val="16"/>
                <w:lang w:bidi="en-GB"/>
              </w:rPr>
            </w:pPr>
            <w:r>
              <w:rPr>
                <w:rFonts w:ascii="Verdana" w:eastAsia="Verdana" w:hAnsi="Verdana" w:cs="Verdana"/>
                <w:noProof/>
                <w:color w:val="000000"/>
                <w:sz w:val="16"/>
              </w:rPr>
              <w:t>2 254</w:t>
            </w:r>
          </w:p>
        </w:tc>
      </w:tr>
      <w:tr w:rsidR="00807FFE" w14:paraId="3ACBE44F" w14:textId="77777777">
        <w:trPr>
          <w:trHeight w:val="284"/>
        </w:trPr>
        <w:tc>
          <w:tcPr>
            <w:tcW w:w="4818" w:type="dxa"/>
            <w:tcBorders>
              <w:top w:val="nil"/>
              <w:left w:val="nil"/>
              <w:bottom w:val="nil"/>
              <w:right w:val="nil"/>
              <w:tl2br w:val="nil"/>
              <w:tr2bl w:val="nil"/>
            </w:tcBorders>
            <w:shd w:val="solid" w:color="CCE1EA" w:fill="FFFFFF"/>
            <w:tcMar>
              <w:left w:w="60" w:type="dxa"/>
              <w:right w:w="60" w:type="dxa"/>
            </w:tcMar>
            <w:vAlign w:val="center"/>
          </w:tcPr>
          <w:p w14:paraId="364DC7B1" w14:textId="77777777" w:rsidR="00807FFE" w:rsidRDefault="00023E71">
            <w:pPr>
              <w:pStyle w:val="DMETW36778BIPAgencies4TypeofExpenditure"/>
              <w:rPr>
                <w:rFonts w:ascii="Verdana" w:eastAsia="Verdana" w:hAnsi="Verdana" w:cs="Verdana"/>
                <w:b/>
                <w:noProof/>
                <w:color w:val="000000"/>
                <w:sz w:val="16"/>
              </w:rPr>
            </w:pPr>
            <w:r>
              <w:rPr>
                <w:rFonts w:ascii="Verdana" w:eastAsia="Verdana" w:hAnsi="Verdana" w:cs="Verdana"/>
                <w:b/>
                <w:noProof/>
                <w:color w:val="000000"/>
                <w:sz w:val="16"/>
              </w:rPr>
              <w:t>Total</w:t>
            </w:r>
          </w:p>
        </w:tc>
        <w:tc>
          <w:tcPr>
            <w:tcW w:w="1276" w:type="dxa"/>
            <w:tcBorders>
              <w:top w:val="nil"/>
              <w:left w:val="nil"/>
              <w:bottom w:val="nil"/>
              <w:right w:val="nil"/>
              <w:tl2br w:val="nil"/>
              <w:tr2bl w:val="nil"/>
            </w:tcBorders>
            <w:shd w:val="solid" w:color="CCE1EA" w:fill="FFFFFF"/>
            <w:tcMar>
              <w:left w:w="60" w:type="dxa"/>
              <w:right w:w="60" w:type="dxa"/>
            </w:tcMar>
            <w:vAlign w:val="center"/>
          </w:tcPr>
          <w:p w14:paraId="60F2A54B" w14:textId="77777777" w:rsidR="00807FFE" w:rsidRDefault="00023E71">
            <w:pPr>
              <w:pStyle w:val="DMETW36778BIPAgencies4TypeofExpenditure"/>
              <w:jc w:val="right"/>
              <w:rPr>
                <w:rFonts w:ascii="Verdana" w:eastAsia="Verdana" w:hAnsi="Verdana" w:cs="Verdana"/>
                <w:b/>
                <w:noProof/>
                <w:color w:val="000000"/>
                <w:sz w:val="16"/>
              </w:rPr>
            </w:pPr>
            <w:r>
              <w:rPr>
                <w:rFonts w:ascii="Verdana" w:eastAsia="Verdana" w:hAnsi="Verdana" w:cs="Verdana"/>
                <w:b/>
                <w:noProof/>
                <w:color w:val="000000"/>
                <w:sz w:val="16"/>
              </w:rPr>
              <w:t>9 300</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57BC1FD6" w14:textId="77777777" w:rsidR="00807FFE" w:rsidRDefault="00023E71">
            <w:pPr>
              <w:pStyle w:val="DMETW36778BIPAgencies4TypeofExpenditure"/>
              <w:jc w:val="right"/>
              <w:rPr>
                <w:rFonts w:ascii="Verdana" w:eastAsia="Verdana" w:hAnsi="Verdana" w:cs="Verdana"/>
                <w:b/>
                <w:noProof/>
                <w:color w:val="000000"/>
                <w:sz w:val="16"/>
              </w:rPr>
            </w:pPr>
            <w:r>
              <w:rPr>
                <w:rFonts w:ascii="Verdana" w:eastAsia="Verdana" w:hAnsi="Verdana" w:cs="Verdana"/>
                <w:b/>
                <w:noProof/>
                <w:color w:val="000000"/>
                <w:sz w:val="16"/>
              </w:rPr>
              <w:t>7 239</w:t>
            </w:r>
          </w:p>
        </w:tc>
        <w:tc>
          <w:tcPr>
            <w:tcW w:w="1275" w:type="dxa"/>
            <w:tcBorders>
              <w:top w:val="nil"/>
              <w:left w:val="nil"/>
              <w:bottom w:val="nil"/>
              <w:right w:val="nil"/>
              <w:tl2br w:val="nil"/>
              <w:tr2bl w:val="nil"/>
            </w:tcBorders>
            <w:shd w:val="solid" w:color="CCE1EA" w:fill="FFFFFF"/>
            <w:tcMar>
              <w:left w:w="60" w:type="dxa"/>
              <w:right w:w="60" w:type="dxa"/>
            </w:tcMar>
            <w:vAlign w:val="center"/>
          </w:tcPr>
          <w:p w14:paraId="671E3CAA" w14:textId="77777777" w:rsidR="00807FFE" w:rsidRDefault="00023E71">
            <w:pPr>
              <w:pStyle w:val="DMETW36778BIPAgencies4TypeofExpenditure"/>
              <w:jc w:val="right"/>
              <w:rPr>
                <w:rFonts w:ascii="Verdana" w:eastAsia="Verdana" w:hAnsi="Verdana" w:cs="Verdana"/>
                <w:b/>
                <w:noProof/>
                <w:color w:val="000000"/>
                <w:sz w:val="16"/>
              </w:rPr>
            </w:pPr>
            <w:r>
              <w:rPr>
                <w:rFonts w:ascii="Verdana" w:eastAsia="Verdana" w:hAnsi="Verdana" w:cs="Verdana"/>
                <w:b/>
                <w:noProof/>
                <w:color w:val="000000"/>
                <w:sz w:val="16"/>
              </w:rPr>
              <w:t>10 082</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0E0A437E" w14:textId="77777777" w:rsidR="00807FFE" w:rsidRDefault="00023E71">
            <w:pPr>
              <w:pStyle w:val="DMETW36778BIPAgencies4TypeofExpenditure"/>
              <w:jc w:val="right"/>
              <w:rPr>
                <w:rFonts w:ascii="Verdana" w:eastAsia="Verdana" w:hAnsi="Verdana" w:cs="Verdana"/>
                <w:b/>
                <w:noProof/>
                <w:color w:val="000000"/>
                <w:sz w:val="16"/>
              </w:rPr>
            </w:pPr>
            <w:r>
              <w:rPr>
                <w:rFonts w:ascii="Verdana" w:eastAsia="Verdana" w:hAnsi="Verdana" w:cs="Verdana"/>
                <w:b/>
                <w:noProof/>
                <w:color w:val="000000"/>
                <w:sz w:val="16"/>
              </w:rPr>
              <w:t>7 355</w:t>
            </w:r>
          </w:p>
        </w:tc>
      </w:tr>
      <w:bookmarkEnd w:id="325"/>
    </w:tbl>
    <w:p w14:paraId="3B0272A2" w14:textId="77777777" w:rsidR="00D17300" w:rsidRPr="004A22D8" w:rsidRDefault="00D17300" w:rsidP="00A21046">
      <w:pPr>
        <w:pStyle w:val="DGTextstand-alone"/>
        <w:rPr>
          <w:lang w:bidi="en-GB"/>
        </w:rPr>
        <w:sectPr w:rsidR="00D17300" w:rsidRPr="004A22D8" w:rsidSect="00670B4C">
          <w:headerReference w:type="even" r:id="rId186"/>
          <w:headerReference w:type="default" r:id="rId187"/>
          <w:footerReference w:type="even" r:id="rId188"/>
          <w:footerReference w:type="default" r:id="rId189"/>
          <w:headerReference w:type="first" r:id="rId190"/>
          <w:footerReference w:type="first" r:id="rId191"/>
          <w:pgSz w:w="11900" w:h="16840"/>
          <w:pgMar w:top="1134" w:right="1134" w:bottom="1134" w:left="1134" w:header="709" w:footer="709" w:gutter="0"/>
          <w:cols w:space="720"/>
        </w:sectPr>
      </w:pPr>
    </w:p>
    <w:p w14:paraId="67F472B6" w14:textId="77777777" w:rsidR="00DB7523" w:rsidRDefault="00023E71" w:rsidP="00376EE2">
      <w:pPr>
        <w:pStyle w:val="FIRSTCHAPTERPAGE"/>
        <w:rPr>
          <w:noProof/>
        </w:rPr>
      </w:pPr>
      <w:bookmarkStart w:id="356" w:name="_Toc232674979"/>
      <w:bookmarkStart w:id="357" w:name="_DMBM_36780"/>
      <w:r>
        <w:rPr>
          <w:noProof/>
        </w:rPr>
        <w:t>GLOSSARY</w:t>
      </w:r>
      <w:bookmarkEnd w:id="356"/>
    </w:p>
    <w:p w14:paraId="27E1A35C" w14:textId="77777777" w:rsidR="00376EE2" w:rsidRDefault="00023E71" w:rsidP="00376EE2">
      <w:pPr>
        <w:pStyle w:val="HEADER5"/>
        <w:rPr>
          <w:noProof/>
        </w:rPr>
      </w:pPr>
      <w:r>
        <w:rPr>
          <w:noProof/>
        </w:rPr>
        <w:t>Actuarial assumptions</w:t>
      </w:r>
    </w:p>
    <w:p w14:paraId="1644C1D6" w14:textId="77777777" w:rsidR="00376EE2" w:rsidRDefault="00023E71" w:rsidP="00376EE2">
      <w:pPr>
        <w:pStyle w:val="DGTextstand-alone"/>
      </w:pPr>
      <w:r>
        <w:t>Assumptions used to calculate the costs of future events that affect the pension liability.</w:t>
      </w:r>
    </w:p>
    <w:p w14:paraId="66CCF82B" w14:textId="77777777" w:rsidR="00376EE2" w:rsidRDefault="00023E71" w:rsidP="00376EE2">
      <w:pPr>
        <w:pStyle w:val="HEADER5"/>
        <w:rPr>
          <w:noProof/>
        </w:rPr>
      </w:pPr>
      <w:r>
        <w:rPr>
          <w:noProof/>
        </w:rPr>
        <w:t>Actuarial gains and losses</w:t>
      </w:r>
    </w:p>
    <w:p w14:paraId="60598A1F" w14:textId="77777777" w:rsidR="00376EE2" w:rsidRDefault="00023E71" w:rsidP="00376EE2">
      <w:pPr>
        <w:pStyle w:val="DGTextstand-alone"/>
      </w:pPr>
      <w:r>
        <w:t>For a defined benefit scheme, the changes in actuarial deficits or surpluses. They arise as a result of differences between the previous actuarial assumptions and what has actually occurred and due to effects of changes in actuarial assumptions.</w:t>
      </w:r>
    </w:p>
    <w:p w14:paraId="6614B4CE" w14:textId="77777777" w:rsidR="00376EE2" w:rsidRDefault="00023E71" w:rsidP="00376EE2">
      <w:pPr>
        <w:pStyle w:val="HEADER5"/>
        <w:rPr>
          <w:noProof/>
        </w:rPr>
      </w:pPr>
      <w:r>
        <w:rPr>
          <w:noProof/>
        </w:rPr>
        <w:t>Administrative appropriations</w:t>
      </w:r>
    </w:p>
    <w:p w14:paraId="4369321B" w14:textId="77777777" w:rsidR="00376EE2" w:rsidRDefault="00023E71" w:rsidP="00376EE2">
      <w:pPr>
        <w:pStyle w:val="DGTextstand-alone"/>
      </w:pPr>
      <w:r>
        <w:t>Administrative appropriations cover the running costs of the Institutions and entities (staff, buildings, office equipment).</w:t>
      </w:r>
    </w:p>
    <w:p w14:paraId="35B40589" w14:textId="77777777" w:rsidR="00376EE2" w:rsidRDefault="00023E71" w:rsidP="00376EE2">
      <w:pPr>
        <w:pStyle w:val="HEADER5"/>
        <w:rPr>
          <w:noProof/>
        </w:rPr>
      </w:pPr>
      <w:r>
        <w:rPr>
          <w:noProof/>
        </w:rPr>
        <w:t>Adopted budget</w:t>
      </w:r>
    </w:p>
    <w:p w14:paraId="5645166F" w14:textId="77777777" w:rsidR="00376EE2" w:rsidRDefault="00023E71" w:rsidP="00376EE2">
      <w:pPr>
        <w:pStyle w:val="DGTextstand-alone"/>
      </w:pPr>
      <w:r>
        <w:t>Draft budget becomes the adopted budget as soon as it is approved by the Budgetary Authority</w:t>
      </w:r>
      <w:r w:rsidRPr="00692D99">
        <w:t xml:space="preserve"> and declared definitely adopted by the President of the Euro</w:t>
      </w:r>
      <w:r>
        <w:t>pean Parliament.</w:t>
      </w:r>
    </w:p>
    <w:p w14:paraId="337A8CF9" w14:textId="77777777" w:rsidR="00376EE2" w:rsidRDefault="00023E71" w:rsidP="00376EE2">
      <w:pPr>
        <w:pStyle w:val="HEADER5"/>
        <w:rPr>
          <w:noProof/>
        </w:rPr>
      </w:pPr>
      <w:r>
        <w:rPr>
          <w:noProof/>
        </w:rPr>
        <w:t>Amending budget</w:t>
      </w:r>
    </w:p>
    <w:p w14:paraId="7F7EEE77" w14:textId="77777777" w:rsidR="00376EE2" w:rsidRDefault="00023E71" w:rsidP="00376EE2">
      <w:pPr>
        <w:pStyle w:val="DGTextstand-alone"/>
      </w:pPr>
      <w:r>
        <w:t>Decision adopted during the budget year to amend (increase, decrease, transfer) aspects of the adopted budget of that year.</w:t>
      </w:r>
    </w:p>
    <w:p w14:paraId="438F4C68" w14:textId="77777777" w:rsidR="00376EE2" w:rsidRDefault="00023E71" w:rsidP="00376EE2">
      <w:pPr>
        <w:pStyle w:val="HEADER5"/>
        <w:rPr>
          <w:noProof/>
        </w:rPr>
      </w:pPr>
      <w:r>
        <w:rPr>
          <w:noProof/>
        </w:rPr>
        <w:t>Amounts to be called from Member States</w:t>
      </w:r>
    </w:p>
    <w:p w14:paraId="6B731150" w14:textId="77777777" w:rsidR="00376EE2" w:rsidRDefault="00023E71" w:rsidP="00376EE2">
      <w:pPr>
        <w:pStyle w:val="DGTextstand-alone"/>
      </w:pPr>
      <w:r>
        <w:t>These represent expenses incurred during the reporting period that will need to be funded by future budgets, i.e. by the EU Member States. This is a consequence of the co-existence of accruals based financial statements and a cash based budget.</w:t>
      </w:r>
    </w:p>
    <w:p w14:paraId="386C1A9B" w14:textId="77777777" w:rsidR="00376EE2" w:rsidRDefault="00023E71" w:rsidP="00376EE2">
      <w:pPr>
        <w:pStyle w:val="HEADER5"/>
        <w:rPr>
          <w:noProof/>
        </w:rPr>
      </w:pPr>
      <w:r>
        <w:rPr>
          <w:noProof/>
        </w:rPr>
        <w:t>Annual Activity Report (AAR)</w:t>
      </w:r>
    </w:p>
    <w:p w14:paraId="26457F8E" w14:textId="77777777" w:rsidR="00376EE2" w:rsidRDefault="00023E71" w:rsidP="00376EE2">
      <w:pPr>
        <w:pStyle w:val="DGTextstand-alone"/>
      </w:pPr>
      <w:r>
        <w:t>Annual Activity Reports indicate the results of operations by reference to objectives set, associated risks and the internal control structure, inter alia. Since the 2001 budget exercise for the Commission and since 2003 for all European Union institutions, the ‘authorising officer by delegation’ must submit an AAR to his/her institution on the performance of his/her duties, together with financial and management information.</w:t>
      </w:r>
    </w:p>
    <w:p w14:paraId="533B3CDB" w14:textId="77777777" w:rsidR="00376EE2" w:rsidRDefault="00023E71" w:rsidP="00376EE2">
      <w:pPr>
        <w:pStyle w:val="HEADER5"/>
        <w:rPr>
          <w:noProof/>
        </w:rPr>
      </w:pPr>
      <w:r>
        <w:rPr>
          <w:noProof/>
        </w:rPr>
        <w:t>Appropriations</w:t>
      </w:r>
    </w:p>
    <w:p w14:paraId="229A8855" w14:textId="77777777" w:rsidR="00376EE2" w:rsidRDefault="00023E71" w:rsidP="00376EE2">
      <w:pPr>
        <w:pStyle w:val="DGTextstand-alone"/>
      </w:pPr>
      <w:r>
        <w:t>Budget funding. The budget forecasts both commitments and payments (cash or bank transfers to the beneficiaries). Appropriations for commitments and payments often differ (differentiated appropriations) because multi annual programmes and projects are usually fully committed in the year they are decided and are paid over the years as the implementation of the programme and project progresses. Non-differentiated appropriations apply to administrative expenditure, for agricultural market support and direct payments and commitment appropriations equal payment appropriations.</w:t>
      </w:r>
    </w:p>
    <w:p w14:paraId="1D6CF880" w14:textId="77777777" w:rsidR="00376EE2" w:rsidRDefault="00023E71" w:rsidP="00376EE2">
      <w:pPr>
        <w:pStyle w:val="HEADER5"/>
        <w:rPr>
          <w:noProof/>
        </w:rPr>
      </w:pPr>
      <w:r>
        <w:rPr>
          <w:noProof/>
        </w:rPr>
        <w:t>Assigned revenue</w:t>
      </w:r>
    </w:p>
    <w:p w14:paraId="7886153F" w14:textId="77777777" w:rsidR="00376EE2" w:rsidRDefault="00023E71" w:rsidP="00376EE2">
      <w:pPr>
        <w:pStyle w:val="DGTextstand-alone"/>
      </w:pPr>
      <w:r>
        <w:t>Dedicated revenue received to finance specific items of expenditure. The main source of external assigned revenue is financial contributions from third countries to programmes financed by the Union. The main source of internal assigned revenue is revenue from third parties in respect of goods, services or work supplied at their request; revenue arising from the repayment of amounts wrongly paid and revenue from the sale of publications and films.</w:t>
      </w:r>
    </w:p>
    <w:p w14:paraId="4AEA0E6B" w14:textId="77777777" w:rsidR="00E31046" w:rsidRDefault="00023E71">
      <w:pPr>
        <w:rPr>
          <w:rFonts w:ascii="Verdana" w:eastAsia="Calibri" w:hAnsi="Verdana"/>
          <w:noProof/>
          <w:sz w:val="18"/>
          <w:szCs w:val="18"/>
          <w:bdr w:val="nil"/>
          <w:lang w:eastAsia="en-US"/>
        </w:rPr>
      </w:pPr>
      <w:r>
        <w:rPr>
          <w:rFonts w:eastAsia="Calibri"/>
          <w:b/>
          <w:noProof/>
          <w:lang w:eastAsia="en-US"/>
        </w:rPr>
        <w:br w:type="page"/>
      </w:r>
    </w:p>
    <w:p w14:paraId="1037F484" w14:textId="77777777" w:rsidR="00376EE2" w:rsidRDefault="00023E71" w:rsidP="00376EE2">
      <w:pPr>
        <w:pStyle w:val="HEADER5"/>
        <w:rPr>
          <w:noProof/>
        </w:rPr>
      </w:pPr>
      <w:r>
        <w:rPr>
          <w:noProof/>
        </w:rPr>
        <w:t>Available for sale financial assets</w:t>
      </w:r>
    </w:p>
    <w:p w14:paraId="4DAC3708" w14:textId="77777777" w:rsidR="00376EE2" w:rsidRDefault="00023E71" w:rsidP="00376EE2">
      <w:pPr>
        <w:pStyle w:val="DGTextstand-alone"/>
      </w:pPr>
      <w:r>
        <w:t>All financial assets (except derivatives) that are according to International Public Sector Accounting Standards measured at fair value and for which the changes in fair value are to be recognised in a reserve in net assets until derecognition (or impairment).</w:t>
      </w:r>
    </w:p>
    <w:p w14:paraId="62C807E5" w14:textId="77777777" w:rsidR="00376EE2" w:rsidRDefault="00023E71" w:rsidP="00376EE2">
      <w:pPr>
        <w:pStyle w:val="HEADER5"/>
        <w:rPr>
          <w:noProof/>
        </w:rPr>
      </w:pPr>
      <w:r>
        <w:rPr>
          <w:noProof/>
        </w:rPr>
        <w:t>Budget line</w:t>
      </w:r>
    </w:p>
    <w:p w14:paraId="2EE3BBCD" w14:textId="77777777" w:rsidR="00376EE2" w:rsidRDefault="00023E71" w:rsidP="00376EE2">
      <w:pPr>
        <w:pStyle w:val="DGTextstand-alone"/>
      </w:pPr>
      <w:r>
        <w:t>As far as the budget structure is concerned, revenue and expenditure are shown in the budget in accordance with a binding nomenclature which reflects the nature and purpose of each item, as imposed by the budgetary authority. The individual headings (title, chapter, article or line) provide a formal description of the nomenclature.</w:t>
      </w:r>
    </w:p>
    <w:p w14:paraId="71A8789E" w14:textId="77777777" w:rsidR="00376EE2" w:rsidRDefault="00023E71" w:rsidP="00376EE2">
      <w:pPr>
        <w:pStyle w:val="HEADER5"/>
        <w:rPr>
          <w:noProof/>
        </w:rPr>
      </w:pPr>
      <w:r>
        <w:rPr>
          <w:noProof/>
        </w:rPr>
        <w:t>Cancellation of appropriations</w:t>
      </w:r>
    </w:p>
    <w:p w14:paraId="67283ABC" w14:textId="77777777" w:rsidR="00376EE2" w:rsidRDefault="00023E71" w:rsidP="00376EE2">
      <w:pPr>
        <w:pStyle w:val="DGTextstand-alone"/>
      </w:pPr>
      <w:r>
        <w:t>Unused appropriations that may no longer be used.</w:t>
      </w:r>
    </w:p>
    <w:p w14:paraId="0D622986" w14:textId="77777777" w:rsidR="00376EE2" w:rsidRDefault="00023E71" w:rsidP="00376EE2">
      <w:pPr>
        <w:pStyle w:val="HEADER5"/>
        <w:rPr>
          <w:noProof/>
        </w:rPr>
      </w:pPr>
      <w:r>
        <w:rPr>
          <w:noProof/>
        </w:rPr>
        <w:t>Carryover of appropriations</w:t>
      </w:r>
    </w:p>
    <w:p w14:paraId="09DFAA63" w14:textId="77777777" w:rsidR="00376EE2" w:rsidRDefault="00023E71" w:rsidP="00376EE2">
      <w:pPr>
        <w:pStyle w:val="DGTextstand-alone"/>
      </w:pPr>
      <w:r>
        <w:t>Exception to the principle of annuality in so far as appropriations that could not be used in a given budget year may, under strict conditions, be exceptionally carried over for use during the following year.</w:t>
      </w:r>
    </w:p>
    <w:p w14:paraId="64984DFC" w14:textId="77777777" w:rsidR="00376EE2" w:rsidRDefault="00023E71" w:rsidP="00376EE2">
      <w:pPr>
        <w:pStyle w:val="HEADER5"/>
        <w:rPr>
          <w:noProof/>
        </w:rPr>
      </w:pPr>
      <w:r>
        <w:rPr>
          <w:noProof/>
        </w:rPr>
        <w:t>Commitment</w:t>
      </w:r>
    </w:p>
    <w:p w14:paraId="41F4BB53" w14:textId="77777777" w:rsidR="00376EE2" w:rsidRDefault="00023E71" w:rsidP="00376EE2">
      <w:pPr>
        <w:pStyle w:val="DGTextstand-alone"/>
      </w:pPr>
      <w:r>
        <w:t>Legal pledge to provide finance subject to certain conditions. The EU commits itself to reimbursing its share of the costs of an EU funded project. Today’s commitments are tomorrow’s payments. Today’s payments are yesterday’s commitments.</w:t>
      </w:r>
    </w:p>
    <w:p w14:paraId="64C345E1" w14:textId="77777777" w:rsidR="00376EE2" w:rsidRDefault="00023E71" w:rsidP="00376EE2">
      <w:pPr>
        <w:pStyle w:val="HEADER5"/>
        <w:rPr>
          <w:noProof/>
        </w:rPr>
      </w:pPr>
      <w:r>
        <w:rPr>
          <w:noProof/>
        </w:rPr>
        <w:t>Commitment appropriation</w:t>
      </w:r>
    </w:p>
    <w:p w14:paraId="325CA3B4" w14:textId="77777777" w:rsidR="00376EE2" w:rsidRDefault="00023E71" w:rsidP="00376EE2">
      <w:pPr>
        <w:pStyle w:val="DGTextstand-alone"/>
      </w:pPr>
      <w:r>
        <w:t>Commitment appropriations cover the total cost of legal obligations (contracts, grant agreements/decisions) that could be signed in the current financial year.</w:t>
      </w:r>
    </w:p>
    <w:p w14:paraId="2700F780" w14:textId="77777777" w:rsidR="00376EE2" w:rsidRDefault="00023E71" w:rsidP="00376EE2">
      <w:pPr>
        <w:pStyle w:val="HEADER5"/>
        <w:rPr>
          <w:noProof/>
        </w:rPr>
      </w:pPr>
      <w:r>
        <w:rPr>
          <w:noProof/>
        </w:rPr>
        <w:t>Current service cost</w:t>
      </w:r>
    </w:p>
    <w:p w14:paraId="6B23AB6F" w14:textId="77777777" w:rsidR="00376EE2" w:rsidRDefault="00023E71" w:rsidP="00376EE2">
      <w:pPr>
        <w:pStyle w:val="DGTextstand-alone"/>
      </w:pPr>
      <w:r>
        <w:t>The increase in scheme liabilities arising from service in the current financial year.</w:t>
      </w:r>
    </w:p>
    <w:p w14:paraId="5274BB88" w14:textId="77777777" w:rsidR="00376EE2" w:rsidRDefault="00023E71" w:rsidP="00376EE2">
      <w:pPr>
        <w:pStyle w:val="HEADER5"/>
        <w:rPr>
          <w:noProof/>
        </w:rPr>
      </w:pPr>
      <w:r>
        <w:rPr>
          <w:noProof/>
        </w:rPr>
        <w:t>Decommitment</w:t>
      </w:r>
    </w:p>
    <w:p w14:paraId="634B3422" w14:textId="77777777" w:rsidR="00376EE2" w:rsidRDefault="00023E71" w:rsidP="00376EE2">
      <w:pPr>
        <w:pStyle w:val="DGTextstand-alone"/>
      </w:pPr>
      <w:r>
        <w:t>An act whereby a previous commitment (or part of it) is cancelled.</w:t>
      </w:r>
    </w:p>
    <w:p w14:paraId="571BF37D" w14:textId="77777777" w:rsidR="00376EE2" w:rsidRDefault="00023E71" w:rsidP="00376EE2">
      <w:pPr>
        <w:pStyle w:val="HEADER5"/>
        <w:rPr>
          <w:noProof/>
        </w:rPr>
      </w:pPr>
      <w:r>
        <w:rPr>
          <w:noProof/>
        </w:rPr>
        <w:t>Defined benefit scheme</w:t>
      </w:r>
    </w:p>
    <w:p w14:paraId="6658D4E7" w14:textId="77777777" w:rsidR="00376EE2" w:rsidRDefault="00023E71" w:rsidP="00376EE2">
      <w:pPr>
        <w:pStyle w:val="DGTextstand-alone"/>
      </w:pPr>
      <w:r>
        <w:t>A pension or other retirement benefit scheme where the scheme rules define the benefits independently of the contributions payable, and the benefits are not directly related to the investments of the scheme. The scheme may be funded or unfunded.</w:t>
      </w:r>
    </w:p>
    <w:p w14:paraId="78ECA198" w14:textId="77777777" w:rsidR="00376EE2" w:rsidRDefault="00023E71" w:rsidP="00376EE2">
      <w:pPr>
        <w:pStyle w:val="HEADER5"/>
        <w:rPr>
          <w:noProof/>
        </w:rPr>
      </w:pPr>
      <w:r>
        <w:rPr>
          <w:noProof/>
        </w:rPr>
        <w:t>Derivatives</w:t>
      </w:r>
    </w:p>
    <w:p w14:paraId="290031D7" w14:textId="77777777" w:rsidR="00376EE2" w:rsidRDefault="00023E71" w:rsidP="00376EE2">
      <w:pPr>
        <w:pStyle w:val="DGTextstand-alone"/>
      </w:pPr>
      <w:r>
        <w:t>Financial instruments whose value is linked to changes in the value of another financial instrument, an indicator or a commodity. In contrast to the holder of a primary financial instrument (e.g. a government bond), who has an unqualified right to receive cash (or some other economic benefit) in the future, the holder of a derivative has only a qualified right to receive such a benefit. An example of a derivative is currency forward contract.</w:t>
      </w:r>
    </w:p>
    <w:p w14:paraId="0784D50F" w14:textId="77777777" w:rsidR="00376EE2" w:rsidRDefault="00023E71" w:rsidP="00376EE2">
      <w:pPr>
        <w:pStyle w:val="HEADER5"/>
        <w:rPr>
          <w:noProof/>
        </w:rPr>
      </w:pPr>
      <w:r>
        <w:rPr>
          <w:noProof/>
        </w:rPr>
        <w:t>Direct management</w:t>
      </w:r>
    </w:p>
    <w:p w14:paraId="0DEE4CA9" w14:textId="77777777" w:rsidR="00376EE2" w:rsidRDefault="00023E71" w:rsidP="00376EE2">
      <w:pPr>
        <w:pStyle w:val="DGTextstand-alone"/>
      </w:pPr>
      <w:r>
        <w:t>Mode of budget implementation. Under direct management the budget is implemented directly by Commission services, Executive Agencies or Trust Funds.</w:t>
      </w:r>
    </w:p>
    <w:p w14:paraId="09FFA951" w14:textId="77777777" w:rsidR="00376EE2" w:rsidRDefault="00023E71" w:rsidP="00376EE2">
      <w:pPr>
        <w:pStyle w:val="HEADER5"/>
        <w:rPr>
          <w:noProof/>
        </w:rPr>
      </w:pPr>
      <w:r>
        <w:rPr>
          <w:noProof/>
        </w:rPr>
        <w:t>Discount rate</w:t>
      </w:r>
    </w:p>
    <w:p w14:paraId="300F4B90" w14:textId="77777777" w:rsidR="00376EE2" w:rsidRDefault="00023E71" w:rsidP="00376EE2">
      <w:pPr>
        <w:pStyle w:val="DGTextstand-alone"/>
      </w:pPr>
      <w:r>
        <w:t>The rate used to adjust for the time value of money. Discounting is a technique used to compare costs and benefits that occur in different time periods.</w:t>
      </w:r>
    </w:p>
    <w:p w14:paraId="55D2A38F" w14:textId="77777777" w:rsidR="00376EE2" w:rsidRDefault="00023E71" w:rsidP="00376EE2">
      <w:pPr>
        <w:pStyle w:val="HEADER5"/>
        <w:rPr>
          <w:noProof/>
        </w:rPr>
      </w:pPr>
      <w:r>
        <w:rPr>
          <w:noProof/>
        </w:rPr>
        <w:t>Effective interest rate</w:t>
      </w:r>
    </w:p>
    <w:p w14:paraId="0CD99366" w14:textId="77777777" w:rsidR="00376EE2" w:rsidRDefault="00023E71" w:rsidP="00376EE2">
      <w:pPr>
        <w:pStyle w:val="DGTextstand-alone"/>
      </w:pPr>
      <w:r>
        <w:t xml:space="preserve">The rate that discounts estimated future cash receipts or payments over the expected life of the financial asset or financial liability to the net carrying amount of the asset or liability. </w:t>
      </w:r>
    </w:p>
    <w:p w14:paraId="11F8597E" w14:textId="77777777" w:rsidR="003D51EA" w:rsidRPr="003D51EA" w:rsidRDefault="00023E71" w:rsidP="00FA0FFD">
      <w:pPr>
        <w:pStyle w:val="HEADER5"/>
        <w:rPr>
          <w:noProof/>
        </w:rPr>
      </w:pPr>
      <w:r w:rsidRPr="003D51EA">
        <w:rPr>
          <w:noProof/>
        </w:rPr>
        <w:t>Financial assets and liabilities at amorti</w:t>
      </w:r>
      <w:r>
        <w:rPr>
          <w:noProof/>
        </w:rPr>
        <w:t>s</w:t>
      </w:r>
      <w:r w:rsidRPr="003D51EA">
        <w:rPr>
          <w:noProof/>
        </w:rPr>
        <w:t>ed cost</w:t>
      </w:r>
    </w:p>
    <w:p w14:paraId="7F8DFB67" w14:textId="77777777" w:rsidR="003D51EA" w:rsidRDefault="00023E71" w:rsidP="003D51EA">
      <w:pPr>
        <w:pStyle w:val="DGTextstand-alone"/>
      </w:pPr>
      <w:r>
        <w:t>All financial assets and liabilities that are according to International Public Sector Accounting Standards measured at armotised cost.</w:t>
      </w:r>
    </w:p>
    <w:p w14:paraId="04F2AD4F" w14:textId="77777777" w:rsidR="00376EE2" w:rsidRDefault="00023E71" w:rsidP="00376EE2">
      <w:pPr>
        <w:pStyle w:val="HEADER5"/>
        <w:rPr>
          <w:noProof/>
        </w:rPr>
      </w:pPr>
      <w:r>
        <w:rPr>
          <w:noProof/>
        </w:rPr>
        <w:t>Financial assets or liabilities at fair value through surplus or deficit</w:t>
      </w:r>
    </w:p>
    <w:p w14:paraId="6CEF7228" w14:textId="77777777" w:rsidR="00376EE2" w:rsidRDefault="00023E71" w:rsidP="00376EE2">
      <w:pPr>
        <w:pStyle w:val="DGTextstand-alone"/>
      </w:pPr>
      <w:r>
        <w:t>All financial assets or liabilities that are according to International Public Sector Accounting Standards measured at fair value and for which the changes in fair value are to be recognised in surplus or deficit of the period (i.e. derivatives).</w:t>
      </w:r>
    </w:p>
    <w:p w14:paraId="38FB6D28" w14:textId="77777777" w:rsidR="00376EE2" w:rsidRDefault="00023E71" w:rsidP="00376EE2">
      <w:pPr>
        <w:pStyle w:val="HEADER5"/>
        <w:rPr>
          <w:noProof/>
        </w:rPr>
      </w:pPr>
      <w:r>
        <w:rPr>
          <w:noProof/>
        </w:rPr>
        <w:t>Financial correction</w:t>
      </w:r>
    </w:p>
    <w:p w14:paraId="20975E7E" w14:textId="77777777" w:rsidR="00692D99" w:rsidRDefault="00023E71" w:rsidP="00692D99">
      <w:pPr>
        <w:pStyle w:val="DGTextstand-alone"/>
      </w:pPr>
      <w:r w:rsidRPr="00692D99">
        <w:t>The purpose of financial corrections is to protect the EU budget from the burden of irregular expenditure. For expenditure under shared management, the task of recovering irregular payments is primarily the responsibility of the Member State.</w:t>
      </w:r>
    </w:p>
    <w:p w14:paraId="6A10BBC5" w14:textId="77777777" w:rsidR="00376EE2" w:rsidRDefault="00023E71" w:rsidP="00376EE2">
      <w:pPr>
        <w:pStyle w:val="DGTextstand-alone"/>
      </w:pPr>
      <w:r>
        <w:t>A 'confirmed' financial correction has been accepted by the Member State concerned. A 'decided' financial correction has been adopted by a Commission decision and is always a net correction, where the Member State is required to reimburse irregular funds to the EU budget, thus leading to a definitive reduction of the allocated envelope to the Member State concerned. Confirmed and decided financial corrections are reported in this publication as one category.</w:t>
      </w:r>
    </w:p>
    <w:p w14:paraId="1F007705" w14:textId="77777777" w:rsidR="00376EE2" w:rsidRDefault="00023E71" w:rsidP="00376EE2">
      <w:pPr>
        <w:pStyle w:val="DGTextstand-alone"/>
      </w:pPr>
      <w:r>
        <w:t>An 'implemented' financial correction has corrected the observed irregularity.</w:t>
      </w:r>
    </w:p>
    <w:p w14:paraId="6FE2B75B" w14:textId="77777777" w:rsidR="00376EE2" w:rsidRDefault="00023E71" w:rsidP="00376EE2">
      <w:pPr>
        <w:pStyle w:val="HEADER5"/>
        <w:rPr>
          <w:noProof/>
        </w:rPr>
      </w:pPr>
      <w:r>
        <w:rPr>
          <w:noProof/>
        </w:rPr>
        <w:t>Indirect management</w:t>
      </w:r>
    </w:p>
    <w:p w14:paraId="67A11544" w14:textId="77777777" w:rsidR="00376EE2" w:rsidRDefault="00023E71" w:rsidP="00376EE2">
      <w:pPr>
        <w:pStyle w:val="DGTextstand-alone"/>
      </w:pPr>
      <w:r>
        <w:t>Mode of budget implementation. Under indirect management the Commission confers tasks of budget implementation to bodies of EU law or national law.</w:t>
      </w:r>
    </w:p>
    <w:p w14:paraId="29B9D19B" w14:textId="77777777" w:rsidR="00376EE2" w:rsidRDefault="00023E71" w:rsidP="00376EE2">
      <w:pPr>
        <w:pStyle w:val="HEADER5"/>
        <w:rPr>
          <w:noProof/>
        </w:rPr>
      </w:pPr>
      <w:r>
        <w:rPr>
          <w:noProof/>
        </w:rPr>
        <w:t>Interruptions and suspensions</w:t>
      </w:r>
    </w:p>
    <w:p w14:paraId="58AB0378" w14:textId="77777777" w:rsidR="00376EE2" w:rsidRDefault="00023E71" w:rsidP="00376EE2">
      <w:pPr>
        <w:pStyle w:val="DGTextstand-alone"/>
      </w:pPr>
      <w:r>
        <w:t>If the Commission finds, based on its own work or the information reported by audit authorities, that a Member State has failed to remedy serious shortcomings in the management and control systems and/or to correct irregular expenditure which had been declared and certified, it may interrupt or suspend payments.</w:t>
      </w:r>
    </w:p>
    <w:p w14:paraId="33B0FC78" w14:textId="77777777" w:rsidR="00376EE2" w:rsidRDefault="00023E71" w:rsidP="00376EE2">
      <w:pPr>
        <w:pStyle w:val="HEADER5"/>
        <w:rPr>
          <w:noProof/>
        </w:rPr>
      </w:pPr>
      <w:r>
        <w:rPr>
          <w:noProof/>
        </w:rPr>
        <w:t>Irregularity</w:t>
      </w:r>
    </w:p>
    <w:p w14:paraId="27D25452" w14:textId="77777777" w:rsidR="00692D99" w:rsidRDefault="00023E71" w:rsidP="00692D99">
      <w:pPr>
        <w:pStyle w:val="HEADER5"/>
        <w:jc w:val="both"/>
        <w:rPr>
          <w:rFonts w:eastAsia="Calibri"/>
          <w:noProof/>
          <w:color w:val="auto"/>
          <w:bdr w:val="nil"/>
          <w:lang w:eastAsia="en-US"/>
        </w:rPr>
      </w:pPr>
      <w:r w:rsidRPr="00692D99">
        <w:rPr>
          <w:rFonts w:eastAsia="Calibri"/>
          <w:noProof/>
          <w:color w:val="auto"/>
          <w:lang w:eastAsia="en-US"/>
        </w:rPr>
        <w:t>An irregularity is an act which does not comply with the applicable EU or national rules and which has a potentially negative impact on the EU financial interests. Irregularities, which may be the result of the conduct of beneficiaries claiming funds or of the authorities responsible for making payments. The notion of irregularity is wider than that of fraud, which refers to conduct that may qualify as a criminal offence.</w:t>
      </w:r>
    </w:p>
    <w:p w14:paraId="4AF9A7A1" w14:textId="77777777" w:rsidR="00376EE2" w:rsidRDefault="00023E71" w:rsidP="00376EE2">
      <w:pPr>
        <w:pStyle w:val="HEADER5"/>
        <w:rPr>
          <w:noProof/>
        </w:rPr>
      </w:pPr>
      <w:r>
        <w:rPr>
          <w:noProof/>
        </w:rPr>
        <w:t>Lapsing appropriations</w:t>
      </w:r>
    </w:p>
    <w:p w14:paraId="66A09D28" w14:textId="77777777" w:rsidR="00376EE2" w:rsidRDefault="00023E71" w:rsidP="00376EE2">
      <w:pPr>
        <w:pStyle w:val="DGTextstand-alone"/>
      </w:pPr>
      <w:r>
        <w:t xml:space="preserve">Unused appropriations to be cancelled at the end of the financial year. Lapsing means the cancellation of all or part of the authorisation to make expenditures and/or incur liabilities which is represented by an appropriation. </w:t>
      </w:r>
      <w:r w:rsidRPr="00F46438">
        <w:t>Only for Joint Unde</w:t>
      </w:r>
      <w:r>
        <w:t>rtakings, as specified in their</w:t>
      </w:r>
      <w:r w:rsidRPr="00F46438">
        <w:t xml:space="preserve"> Financial Rules, any unused appropriations may be entered in the estimate of revenue and expenditure of up to the following three financial years (the so-called </w:t>
      </w:r>
      <w:r>
        <w:t>‘</w:t>
      </w:r>
      <w:r w:rsidRPr="00F46438">
        <w:t>N+3</w:t>
      </w:r>
      <w:r>
        <w:t>’</w:t>
      </w:r>
      <w:r w:rsidRPr="00F46438">
        <w:t xml:space="preserve"> rule). Hence, lapsing appropriations for JUs could be reactivated until financial year </w:t>
      </w:r>
      <w:r>
        <w:t>‘</w:t>
      </w:r>
      <w:r w:rsidRPr="00F46438">
        <w:t>N+3</w:t>
      </w:r>
      <w:r>
        <w:t>’.</w:t>
      </w:r>
    </w:p>
    <w:p w14:paraId="3ABA0749" w14:textId="77777777" w:rsidR="00041E45" w:rsidRDefault="00023E71" w:rsidP="00041E45">
      <w:pPr>
        <w:pStyle w:val="HEADER5"/>
        <w:rPr>
          <w:noProof/>
        </w:rPr>
      </w:pPr>
      <w:r>
        <w:rPr>
          <w:noProof/>
        </w:rPr>
        <w:t>Outstanding commitments</w:t>
      </w:r>
    </w:p>
    <w:p w14:paraId="0DB649C0" w14:textId="77777777" w:rsidR="008C2D9A" w:rsidRDefault="00023E71" w:rsidP="00041E45">
      <w:pPr>
        <w:pStyle w:val="DGTextstand-alone"/>
      </w:pPr>
      <w:r>
        <w:t xml:space="preserve">As the </w:t>
      </w:r>
      <w:r w:rsidRPr="00041E45">
        <w:rPr>
          <w:i/>
        </w:rPr>
        <w:t>Reste à Liquider (RAL)</w:t>
      </w:r>
      <w:r>
        <w:t>, they represent the amount where a budgetary commitment has been made but the subsequent payment is not yet done. They represent payment obligations for the EU for future years and stem directly from the existence of multi annual programmes and the dissociation between commitment and payment appropriations.</w:t>
      </w:r>
    </w:p>
    <w:p w14:paraId="09675A14" w14:textId="77777777" w:rsidR="00A420BB" w:rsidRDefault="00A420BB" w:rsidP="00376EE2">
      <w:pPr>
        <w:pStyle w:val="HEADER5"/>
        <w:rPr>
          <w:noProof/>
        </w:rPr>
      </w:pPr>
    </w:p>
    <w:p w14:paraId="2537F024" w14:textId="4CD45901" w:rsidR="00376EE2" w:rsidRDefault="00023E71" w:rsidP="00376EE2">
      <w:pPr>
        <w:pStyle w:val="HEADER5"/>
        <w:rPr>
          <w:noProof/>
        </w:rPr>
      </w:pPr>
      <w:r>
        <w:rPr>
          <w:noProof/>
        </w:rPr>
        <w:t>Own resources</w:t>
      </w:r>
    </w:p>
    <w:p w14:paraId="178AB999" w14:textId="77777777" w:rsidR="00A420BB" w:rsidRDefault="00A420BB" w:rsidP="00376EE2">
      <w:pPr>
        <w:pStyle w:val="HEADER5"/>
        <w:rPr>
          <w:noProof/>
        </w:rPr>
      </w:pPr>
    </w:p>
    <w:p w14:paraId="6E04610E" w14:textId="77777777" w:rsidR="003D51EA" w:rsidRDefault="00023E71" w:rsidP="003D51EA">
      <w:pPr>
        <w:pStyle w:val="HEADER5"/>
        <w:jc w:val="both"/>
        <w:rPr>
          <w:rFonts w:eastAsia="Calibri"/>
          <w:noProof/>
          <w:color w:val="auto"/>
          <w:lang w:eastAsia="en-US"/>
        </w:rPr>
      </w:pPr>
      <w:r w:rsidRPr="003D51EA">
        <w:rPr>
          <w:rFonts w:eastAsia="Calibri"/>
          <w:noProof/>
          <w:color w:val="auto"/>
          <w:lang w:eastAsia="en-US"/>
        </w:rPr>
        <w:t xml:space="preserve">The main source of revenues for the EU budget. The different own resources are listed in the applicable Own Resource Decision (Council Decision </w:t>
      </w:r>
      <w:r>
        <w:rPr>
          <w:rFonts w:eastAsia="Calibri"/>
          <w:noProof/>
          <w:color w:val="auto"/>
          <w:lang w:eastAsia="en-US"/>
        </w:rPr>
        <w:t>(</w:t>
      </w:r>
      <w:r w:rsidRPr="003D51EA">
        <w:rPr>
          <w:rFonts w:eastAsia="Calibri"/>
          <w:noProof/>
          <w:color w:val="auto"/>
          <w:lang w:eastAsia="en-US"/>
        </w:rPr>
        <w:t>EU, Euratom) 2020/2053) and are traditional own resources, VAT-based own resource, GNI-based resource and non-recycled plastic packaging waste-based own resource</w:t>
      </w:r>
      <w:r>
        <w:rPr>
          <w:rFonts w:eastAsia="Calibri"/>
          <w:noProof/>
          <w:color w:val="auto"/>
          <w:lang w:eastAsia="en-US"/>
        </w:rPr>
        <w:t>.</w:t>
      </w:r>
    </w:p>
    <w:p w14:paraId="3BC1994A" w14:textId="77777777" w:rsidR="00A420BB" w:rsidRDefault="00A420BB" w:rsidP="003D51EA">
      <w:pPr>
        <w:pStyle w:val="HEADER5"/>
        <w:jc w:val="both"/>
        <w:rPr>
          <w:rFonts w:eastAsia="Calibri"/>
          <w:noProof/>
          <w:color w:val="auto"/>
          <w:bdr w:val="nil"/>
          <w:lang w:eastAsia="en-US"/>
        </w:rPr>
      </w:pPr>
    </w:p>
    <w:p w14:paraId="390C36F8" w14:textId="77777777" w:rsidR="00376EE2" w:rsidRDefault="00023E71" w:rsidP="00376EE2">
      <w:pPr>
        <w:pStyle w:val="HEADER5"/>
        <w:rPr>
          <w:noProof/>
        </w:rPr>
      </w:pPr>
      <w:r>
        <w:rPr>
          <w:noProof/>
        </w:rPr>
        <w:t>Payment appropriations</w:t>
      </w:r>
    </w:p>
    <w:p w14:paraId="24A59CB1" w14:textId="77777777" w:rsidR="00376EE2" w:rsidRDefault="00023E71" w:rsidP="00376EE2">
      <w:pPr>
        <w:pStyle w:val="DGTextstand-alone"/>
      </w:pPr>
      <w:r>
        <w:t>Payment appropriations cover expenditure due in the current year, arising from legal commitments entered in the current year and/or earlier years.</w:t>
      </w:r>
    </w:p>
    <w:p w14:paraId="0078E88E" w14:textId="77777777" w:rsidR="00376EE2" w:rsidRDefault="00023E71" w:rsidP="00376EE2">
      <w:pPr>
        <w:pStyle w:val="HEADER5"/>
        <w:rPr>
          <w:noProof/>
        </w:rPr>
      </w:pPr>
      <w:r>
        <w:rPr>
          <w:noProof/>
        </w:rPr>
        <w:t>Pre-financing</w:t>
      </w:r>
    </w:p>
    <w:p w14:paraId="397E302E" w14:textId="77777777" w:rsidR="00376EE2" w:rsidRDefault="00023E71" w:rsidP="00376EE2">
      <w:pPr>
        <w:pStyle w:val="DGTextstand-alone"/>
      </w:pPr>
      <w:r>
        <w:t>A payment intended to provide the beneficiary with a float. It may be split into a number of instalments in accordance with the provisions of the underlying contract, decision, agreement or the basic legal act. The float or advance is either used for the purpose for which it was provided during the period defined in the agreement or it is repaid.</w:t>
      </w:r>
    </w:p>
    <w:p w14:paraId="390B2F14" w14:textId="77777777" w:rsidR="00376EE2" w:rsidRDefault="00023E71" w:rsidP="00376EE2">
      <w:pPr>
        <w:pStyle w:val="HEADER5"/>
        <w:rPr>
          <w:noProof/>
        </w:rPr>
      </w:pPr>
      <w:r>
        <w:rPr>
          <w:noProof/>
        </w:rPr>
        <w:t>Preventive measure</w:t>
      </w:r>
    </w:p>
    <w:p w14:paraId="7D19D373" w14:textId="77777777" w:rsidR="00376EE2" w:rsidRDefault="00023E71" w:rsidP="00376EE2">
      <w:pPr>
        <w:pStyle w:val="DGTextstand-alone"/>
      </w:pPr>
      <w:r>
        <w:t>Preventive measures, which are at the Commission’s disposal to protect the EU budget when it is aware of potential deficiencies, include suspensions and interruptions of payments from the EU budget to the operational programme.</w:t>
      </w:r>
    </w:p>
    <w:p w14:paraId="62D1E407" w14:textId="77777777" w:rsidR="00376EE2" w:rsidRDefault="00023E71" w:rsidP="00376EE2">
      <w:pPr>
        <w:pStyle w:val="HEADER5"/>
        <w:rPr>
          <w:noProof/>
        </w:rPr>
      </w:pPr>
      <w:r>
        <w:rPr>
          <w:noProof/>
        </w:rPr>
        <w:t>Reste à Liquider (RAL)</w:t>
      </w:r>
    </w:p>
    <w:p w14:paraId="2925C71F" w14:textId="77777777" w:rsidR="00376EE2" w:rsidRDefault="00023E71" w:rsidP="00376EE2">
      <w:pPr>
        <w:pStyle w:val="DGTextstand-alone"/>
      </w:pPr>
      <w:r>
        <w:t xml:space="preserve">As the </w:t>
      </w:r>
      <w:r w:rsidRPr="00041E45">
        <w:rPr>
          <w:i/>
        </w:rPr>
        <w:t>Outstanding commitments</w:t>
      </w:r>
      <w:r>
        <w:t>, it represents the amount where a budgetary commitment has been made but the subsequent payment is not yet done. They represent payment obligations for the EU for future years and stem directly from the existence of multi annual programmes and the dissociation between commitment and payment appropriations.</w:t>
      </w:r>
    </w:p>
    <w:p w14:paraId="2954BD4A" w14:textId="77777777" w:rsidR="00376EE2" w:rsidRDefault="00023E71" w:rsidP="00376EE2">
      <w:pPr>
        <w:pStyle w:val="HEADER5"/>
        <w:rPr>
          <w:noProof/>
        </w:rPr>
      </w:pPr>
      <w:r>
        <w:rPr>
          <w:noProof/>
        </w:rPr>
        <w:t>Shared management</w:t>
      </w:r>
    </w:p>
    <w:p w14:paraId="32EE8F3C" w14:textId="77777777" w:rsidR="00376EE2" w:rsidRDefault="00023E71" w:rsidP="00376EE2">
      <w:pPr>
        <w:pStyle w:val="DGTextstand-alone"/>
      </w:pPr>
      <w:r>
        <w:t xml:space="preserve">Mode of budget implementation. Under shared management budget implementation tasks are delegated to Member States. About </w:t>
      </w:r>
      <w:r w:rsidRPr="00692D99">
        <w:t>three quarters</w:t>
      </w:r>
      <w:r>
        <w:t xml:space="preserve"> of the EU expenditure falls under this implementation mode.</w:t>
      </w:r>
    </w:p>
    <w:p w14:paraId="04F9B1FD" w14:textId="77777777" w:rsidR="00376EE2" w:rsidRDefault="00023E71" w:rsidP="00376EE2">
      <w:pPr>
        <w:pStyle w:val="HEADER5"/>
        <w:rPr>
          <w:noProof/>
        </w:rPr>
      </w:pPr>
      <w:r>
        <w:rPr>
          <w:noProof/>
        </w:rPr>
        <w:t>Traditional own resources</w:t>
      </w:r>
    </w:p>
    <w:p w14:paraId="7A2DEB6F" w14:textId="77777777" w:rsidR="00376EE2" w:rsidRDefault="00023E71" w:rsidP="00376EE2">
      <w:pPr>
        <w:pStyle w:val="DGTextstand-alone"/>
      </w:pPr>
      <w:r w:rsidRPr="00692D99">
        <w:t xml:space="preserve">Traditional own resources are defined in the applicable Own Resources Decision (Council Decision </w:t>
      </w:r>
      <w:r w:rsidRPr="003D51EA">
        <w:t>(EU, Euratom) 2020/2053</w:t>
      </w:r>
      <w:r w:rsidRPr="00692D99">
        <w:t>) and comprise namely customs duties and sugar levies.</w:t>
      </w:r>
    </w:p>
    <w:p w14:paraId="4EADE7D3" w14:textId="77777777" w:rsidR="00376EE2" w:rsidRDefault="00023E71" w:rsidP="00376EE2">
      <w:pPr>
        <w:pStyle w:val="HEADER5"/>
        <w:rPr>
          <w:noProof/>
        </w:rPr>
      </w:pPr>
      <w:r>
        <w:rPr>
          <w:noProof/>
        </w:rPr>
        <w:t>Transfers (between budget lines)</w:t>
      </w:r>
    </w:p>
    <w:p w14:paraId="00A37614" w14:textId="77777777" w:rsidR="00376EE2" w:rsidRDefault="00023E71" w:rsidP="00376EE2">
      <w:pPr>
        <w:pStyle w:val="DGTextstand-alone"/>
      </w:pPr>
      <w:r>
        <w:t>Transfers between budget lines imply the relocation of appropriations from one budget line to another, in the course of the financial year, and thereby they constitute an exception to the budgetary principle of specification. They are, however, expressly authorised by the Treaty on the Functioning of the European Union under the conditions laid down in the Financial Regulation (FR). The FR identifies different types of transfers depending on whether they are between or within budget titles, chapters, articles or headings and require different levels of authorisation.</w:t>
      </w:r>
    </w:p>
    <w:p w14:paraId="19F58A60" w14:textId="77777777" w:rsidR="007F3432" w:rsidRDefault="007F3432" w:rsidP="00376EE2">
      <w:pPr>
        <w:pStyle w:val="DGTextstand-alone"/>
      </w:pPr>
    </w:p>
    <w:bookmarkEnd w:id="357"/>
    <w:p w14:paraId="7BCA45B0" w14:textId="77777777" w:rsidR="008C2D9A" w:rsidRPr="00376EE2" w:rsidRDefault="008C2D9A" w:rsidP="00376EE2">
      <w:pPr>
        <w:pStyle w:val="DGTextstand-alone"/>
        <w:sectPr w:rsidR="008C2D9A" w:rsidRPr="00376EE2">
          <w:headerReference w:type="default" r:id="rId192"/>
          <w:footerReference w:type="default" r:id="rId193"/>
          <w:pgSz w:w="11906" w:h="16838"/>
          <w:pgMar w:top="1134" w:right="1134" w:bottom="1134" w:left="1134" w:header="709" w:footer="709" w:gutter="0"/>
          <w:cols w:space="708"/>
          <w:docGrid w:linePitch="360"/>
        </w:sectPr>
      </w:pPr>
    </w:p>
    <w:p w14:paraId="19E05ADA" w14:textId="77777777" w:rsidR="00DB7523" w:rsidRDefault="00023E71" w:rsidP="00376EE2">
      <w:pPr>
        <w:pStyle w:val="FIRSTCHAPTERPAGE"/>
        <w:rPr>
          <w:noProof/>
        </w:rPr>
      </w:pPr>
      <w:bookmarkStart w:id="358" w:name="_Toc232674980"/>
      <w:bookmarkStart w:id="359" w:name="_DMBM_36787"/>
      <w:r>
        <w:rPr>
          <w:noProof/>
        </w:rPr>
        <w:t>LIST OF ABBREVIATIONS</w:t>
      </w:r>
      <w:bookmarkEnd w:id="358"/>
      <w:r w:rsidRPr="00376EE2">
        <w:rPr>
          <w:noProof/>
        </w:rPr>
        <w:t xml:space="preserve"> </w:t>
      </w:r>
    </w:p>
    <w:tbl>
      <w:tblPr>
        <w:tblStyle w:val="TableGrid"/>
        <w:tblW w:w="0" w:type="auto"/>
        <w:tblBorders>
          <w:top w:val="none" w:sz="0" w:space="0" w:color="auto"/>
          <w:left w:val="none" w:sz="0" w:space="0" w:color="auto"/>
          <w:bottom w:val="none" w:sz="0"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26"/>
        <w:gridCol w:w="8328"/>
      </w:tblGrid>
      <w:tr w:rsidR="00807FFE" w14:paraId="429391ED" w14:textId="77777777" w:rsidTr="003747C7">
        <w:tc>
          <w:tcPr>
            <w:tcW w:w="1526" w:type="dxa"/>
          </w:tcPr>
          <w:p w14:paraId="4F0A1A43" w14:textId="77777777" w:rsidR="003747C7" w:rsidRDefault="00023E71" w:rsidP="003747C7">
            <w:pPr>
              <w:pStyle w:val="DGTextstand-alone"/>
              <w:spacing w:before="0"/>
              <w:jc w:val="left"/>
              <w:rPr>
                <w:color w:val="016794"/>
              </w:rPr>
            </w:pPr>
            <w:r w:rsidRPr="00040E18">
              <w:rPr>
                <w:color w:val="016794"/>
              </w:rPr>
              <w:t>AAR</w:t>
            </w:r>
          </w:p>
        </w:tc>
        <w:tc>
          <w:tcPr>
            <w:tcW w:w="8328" w:type="dxa"/>
          </w:tcPr>
          <w:p w14:paraId="519E579A" w14:textId="77777777" w:rsidR="003747C7" w:rsidRDefault="00023E71" w:rsidP="003747C7">
            <w:pPr>
              <w:pStyle w:val="DGTextstand-alone"/>
              <w:spacing w:before="0"/>
              <w:jc w:val="left"/>
              <w:rPr>
                <w:color w:val="016794"/>
              </w:rPr>
            </w:pPr>
            <w:r w:rsidRPr="00040E18">
              <w:t>Annual Activity Report</w:t>
            </w:r>
          </w:p>
        </w:tc>
      </w:tr>
      <w:tr w:rsidR="00807FFE" w14:paraId="21F52844" w14:textId="77777777" w:rsidTr="003747C7">
        <w:tc>
          <w:tcPr>
            <w:tcW w:w="1526" w:type="dxa"/>
          </w:tcPr>
          <w:p w14:paraId="325208EA" w14:textId="77777777" w:rsidR="00D45AB5" w:rsidRPr="00040E18" w:rsidRDefault="00023E71" w:rsidP="003747C7">
            <w:pPr>
              <w:pStyle w:val="DGTextstand-alone"/>
              <w:spacing w:before="0"/>
              <w:jc w:val="left"/>
              <w:rPr>
                <w:color w:val="016794"/>
              </w:rPr>
            </w:pPr>
            <w:r w:rsidRPr="00D45AB5">
              <w:rPr>
                <w:color w:val="016794"/>
              </w:rPr>
              <w:t>AC</w:t>
            </w:r>
          </w:p>
        </w:tc>
        <w:tc>
          <w:tcPr>
            <w:tcW w:w="8328" w:type="dxa"/>
          </w:tcPr>
          <w:p w14:paraId="102CCE5B" w14:textId="77777777" w:rsidR="00D45AB5" w:rsidRPr="00040E18" w:rsidRDefault="00023E71" w:rsidP="003747C7">
            <w:pPr>
              <w:pStyle w:val="DGTextstand-alone"/>
              <w:spacing w:before="0"/>
              <w:jc w:val="left"/>
            </w:pPr>
            <w:r>
              <w:t>Amortised C</w:t>
            </w:r>
            <w:r w:rsidRPr="00D45AB5">
              <w:t>ost</w:t>
            </w:r>
          </w:p>
        </w:tc>
      </w:tr>
      <w:tr w:rsidR="00807FFE" w14:paraId="6FAF46B7" w14:textId="77777777" w:rsidTr="003747C7">
        <w:tc>
          <w:tcPr>
            <w:tcW w:w="1526" w:type="dxa"/>
          </w:tcPr>
          <w:p w14:paraId="55167CD0" w14:textId="77777777" w:rsidR="00367AA8" w:rsidRPr="00040E18" w:rsidRDefault="00023E71" w:rsidP="00367AA8">
            <w:pPr>
              <w:pStyle w:val="DGTextstand-alone"/>
              <w:spacing w:before="0"/>
              <w:jc w:val="left"/>
              <w:rPr>
                <w:color w:val="016794"/>
              </w:rPr>
            </w:pPr>
            <w:r w:rsidRPr="00040E18">
              <w:rPr>
                <w:color w:val="016794"/>
              </w:rPr>
              <w:t>A</w:t>
            </w:r>
            <w:r>
              <w:rPr>
                <w:color w:val="016794"/>
              </w:rPr>
              <w:t>FS</w:t>
            </w:r>
          </w:p>
        </w:tc>
        <w:tc>
          <w:tcPr>
            <w:tcW w:w="8328" w:type="dxa"/>
          </w:tcPr>
          <w:p w14:paraId="5ABF15AC" w14:textId="77777777" w:rsidR="00367AA8" w:rsidRPr="00040E18" w:rsidRDefault="00023E71" w:rsidP="00367AA8">
            <w:pPr>
              <w:pStyle w:val="DGTextstand-alone"/>
              <w:spacing w:before="0"/>
              <w:jc w:val="left"/>
            </w:pPr>
            <w:r w:rsidRPr="00367AA8">
              <w:t xml:space="preserve">Available </w:t>
            </w:r>
            <w:r>
              <w:t>F</w:t>
            </w:r>
            <w:r w:rsidRPr="00367AA8">
              <w:t xml:space="preserve">or </w:t>
            </w:r>
            <w:r>
              <w:t>S</w:t>
            </w:r>
            <w:r w:rsidRPr="00367AA8">
              <w:t>ale</w:t>
            </w:r>
          </w:p>
        </w:tc>
      </w:tr>
      <w:tr w:rsidR="00807FFE" w14:paraId="1887A891" w14:textId="77777777" w:rsidTr="003747C7">
        <w:tc>
          <w:tcPr>
            <w:tcW w:w="1526" w:type="dxa"/>
          </w:tcPr>
          <w:p w14:paraId="3238D584" w14:textId="77777777" w:rsidR="003747C7" w:rsidRPr="002E09A6" w:rsidRDefault="00023E71" w:rsidP="003747C7">
            <w:pPr>
              <w:pStyle w:val="DGTextstand-alone"/>
              <w:spacing w:before="0"/>
            </w:pPr>
            <w:r w:rsidRPr="002E09A6">
              <w:rPr>
                <w:color w:val="016794"/>
              </w:rPr>
              <w:t>AMIF</w:t>
            </w:r>
            <w:r w:rsidRPr="002E09A6">
              <w:t xml:space="preserve"> </w:t>
            </w:r>
          </w:p>
        </w:tc>
        <w:tc>
          <w:tcPr>
            <w:tcW w:w="8328" w:type="dxa"/>
          </w:tcPr>
          <w:p w14:paraId="4963E652" w14:textId="77777777" w:rsidR="003747C7" w:rsidRPr="002E09A6" w:rsidRDefault="00023E71" w:rsidP="003747C7">
            <w:pPr>
              <w:pStyle w:val="DGTextstand-alone"/>
              <w:spacing w:before="0"/>
            </w:pPr>
            <w:r w:rsidRPr="001F09A8">
              <w:t>Asylum, Migration and Integration Fund</w:t>
            </w:r>
          </w:p>
        </w:tc>
      </w:tr>
      <w:tr w:rsidR="00807FFE" w14:paraId="383A9336" w14:textId="77777777" w:rsidTr="003747C7">
        <w:tc>
          <w:tcPr>
            <w:tcW w:w="1526" w:type="dxa"/>
          </w:tcPr>
          <w:p w14:paraId="275A6ECF" w14:textId="77777777" w:rsidR="003747C7" w:rsidRPr="002E09A6" w:rsidRDefault="00023E71" w:rsidP="003747C7">
            <w:pPr>
              <w:pStyle w:val="DGTextstand-alone"/>
              <w:spacing w:before="0"/>
            </w:pPr>
            <w:r w:rsidRPr="002E09A6">
              <w:rPr>
                <w:color w:val="016794"/>
              </w:rPr>
              <w:t>AOD</w:t>
            </w:r>
            <w:r w:rsidRPr="002E09A6">
              <w:t xml:space="preserve"> </w:t>
            </w:r>
          </w:p>
        </w:tc>
        <w:tc>
          <w:tcPr>
            <w:tcW w:w="8328" w:type="dxa"/>
          </w:tcPr>
          <w:p w14:paraId="5359D483" w14:textId="77777777" w:rsidR="003747C7" w:rsidRPr="002E09A6" w:rsidRDefault="00023E71" w:rsidP="003747C7">
            <w:pPr>
              <w:pStyle w:val="DGTextstand-alone"/>
              <w:spacing w:before="0"/>
            </w:pPr>
            <w:r w:rsidRPr="001F09A8">
              <w:t>Authorising Officers by Delegation</w:t>
            </w:r>
          </w:p>
        </w:tc>
      </w:tr>
      <w:tr w:rsidR="00807FFE" w14:paraId="1551B525" w14:textId="77777777" w:rsidTr="003747C7">
        <w:tc>
          <w:tcPr>
            <w:tcW w:w="1526" w:type="dxa"/>
          </w:tcPr>
          <w:p w14:paraId="3A2E4E7E" w14:textId="77777777" w:rsidR="003747C7" w:rsidRDefault="00023E71" w:rsidP="003747C7">
            <w:pPr>
              <w:pStyle w:val="DGTextstand-alone"/>
              <w:spacing w:before="0"/>
              <w:jc w:val="left"/>
              <w:rPr>
                <w:color w:val="016794"/>
              </w:rPr>
            </w:pPr>
            <w:r>
              <w:rPr>
                <w:color w:val="016794"/>
              </w:rPr>
              <w:t>A</w:t>
            </w:r>
            <w:r w:rsidRPr="00040E18">
              <w:rPr>
                <w:color w:val="016794"/>
              </w:rPr>
              <w:t>TM</w:t>
            </w:r>
          </w:p>
          <w:p w14:paraId="1D860361" w14:textId="77777777" w:rsidR="00DD2AA2" w:rsidRDefault="00023E71" w:rsidP="003747C7">
            <w:pPr>
              <w:pStyle w:val="DGTextstand-alone"/>
              <w:spacing w:before="0"/>
              <w:jc w:val="left"/>
              <w:rPr>
                <w:color w:val="016794"/>
              </w:rPr>
            </w:pPr>
            <w:r>
              <w:rPr>
                <w:color w:val="016794"/>
              </w:rPr>
              <w:t>BAR</w:t>
            </w:r>
          </w:p>
        </w:tc>
        <w:tc>
          <w:tcPr>
            <w:tcW w:w="8328" w:type="dxa"/>
          </w:tcPr>
          <w:p w14:paraId="393C5E48" w14:textId="77777777" w:rsidR="003747C7" w:rsidRDefault="00023E71" w:rsidP="003747C7">
            <w:pPr>
              <w:pStyle w:val="DGTextstand-alone"/>
              <w:spacing w:before="0"/>
              <w:jc w:val="left"/>
            </w:pPr>
            <w:r w:rsidRPr="001F09A8">
              <w:t>Air Traffic Management</w:t>
            </w:r>
          </w:p>
          <w:p w14:paraId="5BF9B2EA" w14:textId="77777777" w:rsidR="00DD2AA2" w:rsidRDefault="00023E71" w:rsidP="003747C7">
            <w:pPr>
              <w:pStyle w:val="DGTextstand-alone"/>
              <w:spacing w:before="0"/>
              <w:jc w:val="left"/>
              <w:rPr>
                <w:color w:val="016794"/>
              </w:rPr>
            </w:pPr>
            <w:r>
              <w:t>Brexit adjustment reserve</w:t>
            </w:r>
          </w:p>
        </w:tc>
      </w:tr>
      <w:tr w:rsidR="00807FFE" w14:paraId="6564B33B" w14:textId="77777777" w:rsidTr="003747C7">
        <w:tc>
          <w:tcPr>
            <w:tcW w:w="1526" w:type="dxa"/>
          </w:tcPr>
          <w:p w14:paraId="7A9F02C3" w14:textId="77777777" w:rsidR="003747C7" w:rsidRDefault="00023E71" w:rsidP="003747C7">
            <w:pPr>
              <w:pStyle w:val="DGTextstand-alone"/>
              <w:spacing w:before="0"/>
              <w:jc w:val="left"/>
              <w:rPr>
                <w:color w:val="016794"/>
              </w:rPr>
            </w:pPr>
            <w:r w:rsidRPr="00040E18">
              <w:rPr>
                <w:color w:val="016794"/>
              </w:rPr>
              <w:t>BOP</w:t>
            </w:r>
          </w:p>
        </w:tc>
        <w:tc>
          <w:tcPr>
            <w:tcW w:w="8328" w:type="dxa"/>
          </w:tcPr>
          <w:p w14:paraId="4139E721" w14:textId="77777777" w:rsidR="003747C7" w:rsidRDefault="00023E71" w:rsidP="003747C7">
            <w:pPr>
              <w:pStyle w:val="DGTextstand-alone"/>
              <w:spacing w:before="0"/>
              <w:jc w:val="left"/>
              <w:rPr>
                <w:color w:val="016794"/>
              </w:rPr>
            </w:pPr>
            <w:r w:rsidRPr="001F09A8">
              <w:t>Balance of Payments</w:t>
            </w:r>
          </w:p>
        </w:tc>
      </w:tr>
      <w:tr w:rsidR="00807FFE" w14:paraId="02676403" w14:textId="77777777" w:rsidTr="003747C7">
        <w:tc>
          <w:tcPr>
            <w:tcW w:w="1526" w:type="dxa"/>
          </w:tcPr>
          <w:p w14:paraId="633CBAE5" w14:textId="77777777" w:rsidR="003747C7" w:rsidRDefault="00023E71" w:rsidP="003747C7">
            <w:pPr>
              <w:pStyle w:val="DGTextstand-alone"/>
              <w:spacing w:before="0"/>
              <w:jc w:val="left"/>
              <w:rPr>
                <w:color w:val="016794"/>
              </w:rPr>
            </w:pPr>
            <w:r w:rsidRPr="00040E18">
              <w:rPr>
                <w:color w:val="016794"/>
              </w:rPr>
              <w:t>BUFI</w:t>
            </w:r>
            <w:r w:rsidRPr="00F833B3">
              <w:t xml:space="preserve"> </w:t>
            </w:r>
            <w:r w:rsidRPr="001F09A8">
              <w:rPr>
                <w:color w:val="016794"/>
              </w:rPr>
              <w:t>Fund</w:t>
            </w:r>
          </w:p>
        </w:tc>
        <w:tc>
          <w:tcPr>
            <w:tcW w:w="8328" w:type="dxa"/>
          </w:tcPr>
          <w:p w14:paraId="2BDAC294" w14:textId="77777777" w:rsidR="003747C7" w:rsidRDefault="00023E71" w:rsidP="003747C7">
            <w:pPr>
              <w:pStyle w:val="DGTextstand-alone"/>
              <w:spacing w:before="0"/>
              <w:jc w:val="left"/>
              <w:rPr>
                <w:color w:val="016794"/>
              </w:rPr>
            </w:pPr>
            <w:r w:rsidRPr="001F09A8">
              <w:t>Budget Fines Fund</w:t>
            </w:r>
          </w:p>
        </w:tc>
      </w:tr>
      <w:tr w:rsidR="00807FFE" w14:paraId="3F75328A" w14:textId="77777777" w:rsidTr="003747C7">
        <w:tc>
          <w:tcPr>
            <w:tcW w:w="1526" w:type="dxa"/>
          </w:tcPr>
          <w:p w14:paraId="53747C10" w14:textId="77777777" w:rsidR="003747C7" w:rsidRDefault="00023E71" w:rsidP="003747C7">
            <w:pPr>
              <w:pStyle w:val="DGTextstand-alone"/>
              <w:spacing w:before="0"/>
              <w:jc w:val="left"/>
              <w:rPr>
                <w:color w:val="016794"/>
              </w:rPr>
            </w:pPr>
            <w:r w:rsidRPr="00040E18">
              <w:rPr>
                <w:color w:val="016794"/>
              </w:rPr>
              <w:t>CAP</w:t>
            </w:r>
          </w:p>
        </w:tc>
        <w:tc>
          <w:tcPr>
            <w:tcW w:w="8328" w:type="dxa"/>
          </w:tcPr>
          <w:p w14:paraId="36C85BC4" w14:textId="77777777" w:rsidR="003747C7" w:rsidRDefault="00023E71" w:rsidP="003747C7">
            <w:pPr>
              <w:pStyle w:val="DGTextstand-alone"/>
              <w:spacing w:before="0"/>
              <w:jc w:val="left"/>
              <w:rPr>
                <w:color w:val="016794"/>
              </w:rPr>
            </w:pPr>
            <w:r w:rsidRPr="001F09A8">
              <w:t>Common Agricultural Policy</w:t>
            </w:r>
          </w:p>
        </w:tc>
      </w:tr>
      <w:tr w:rsidR="00807FFE" w14:paraId="6643519E" w14:textId="77777777" w:rsidTr="003747C7">
        <w:tc>
          <w:tcPr>
            <w:tcW w:w="1526" w:type="dxa"/>
          </w:tcPr>
          <w:p w14:paraId="0E20A4CA" w14:textId="77777777" w:rsidR="003747C7" w:rsidRDefault="00023E71" w:rsidP="003747C7">
            <w:pPr>
              <w:pStyle w:val="DGTextstand-alone"/>
              <w:spacing w:before="0"/>
              <w:jc w:val="left"/>
              <w:rPr>
                <w:color w:val="016794"/>
              </w:rPr>
            </w:pPr>
            <w:r w:rsidRPr="00040E18">
              <w:rPr>
                <w:color w:val="016794"/>
              </w:rPr>
              <w:t>CCS LGF</w:t>
            </w:r>
          </w:p>
        </w:tc>
        <w:tc>
          <w:tcPr>
            <w:tcW w:w="8328" w:type="dxa"/>
          </w:tcPr>
          <w:p w14:paraId="155E85E5" w14:textId="77777777" w:rsidR="003747C7" w:rsidRDefault="00023E71" w:rsidP="003747C7">
            <w:pPr>
              <w:pStyle w:val="DGTextstand-alone"/>
              <w:spacing w:before="0"/>
              <w:jc w:val="left"/>
              <w:rPr>
                <w:color w:val="016794"/>
              </w:rPr>
            </w:pPr>
            <w:r w:rsidRPr="001F09A8">
              <w:t>Cultural and Creative Sector Guarantee Facility</w:t>
            </w:r>
          </w:p>
        </w:tc>
      </w:tr>
      <w:tr w:rsidR="00807FFE" w14:paraId="5E4394FD" w14:textId="77777777" w:rsidTr="003747C7">
        <w:tc>
          <w:tcPr>
            <w:tcW w:w="1526" w:type="dxa"/>
          </w:tcPr>
          <w:p w14:paraId="3F9F19C7" w14:textId="77777777" w:rsidR="003747C7" w:rsidRDefault="00023E71" w:rsidP="003747C7">
            <w:pPr>
              <w:pStyle w:val="DGTextstand-alone"/>
              <w:spacing w:before="0"/>
              <w:jc w:val="left"/>
              <w:rPr>
                <w:color w:val="016794"/>
              </w:rPr>
            </w:pPr>
            <w:r w:rsidRPr="00040E18">
              <w:rPr>
                <w:color w:val="016794"/>
              </w:rPr>
              <w:t>CEF</w:t>
            </w:r>
            <w:r>
              <w:rPr>
                <w:color w:val="016794"/>
              </w:rPr>
              <w:t>2</w:t>
            </w:r>
          </w:p>
        </w:tc>
        <w:tc>
          <w:tcPr>
            <w:tcW w:w="8328" w:type="dxa"/>
          </w:tcPr>
          <w:p w14:paraId="55ACB90A" w14:textId="77777777" w:rsidR="003747C7" w:rsidRDefault="00023E71" w:rsidP="003747C7">
            <w:pPr>
              <w:pStyle w:val="DGTextstand-alone"/>
              <w:spacing w:before="0"/>
              <w:jc w:val="left"/>
              <w:rPr>
                <w:color w:val="016794"/>
              </w:rPr>
            </w:pPr>
            <w:r w:rsidRPr="001F09A8">
              <w:t>Connecting Europe Facility</w:t>
            </w:r>
          </w:p>
        </w:tc>
      </w:tr>
      <w:tr w:rsidR="00807FFE" w14:paraId="2D77CD9B" w14:textId="77777777" w:rsidTr="003747C7">
        <w:tc>
          <w:tcPr>
            <w:tcW w:w="1526" w:type="dxa"/>
          </w:tcPr>
          <w:p w14:paraId="61B79E60" w14:textId="77777777" w:rsidR="003747C7" w:rsidRDefault="00023E71" w:rsidP="003747C7">
            <w:pPr>
              <w:pStyle w:val="DGTextstand-alone"/>
              <w:spacing w:before="0"/>
              <w:jc w:val="left"/>
              <w:rPr>
                <w:color w:val="016794"/>
              </w:rPr>
            </w:pPr>
            <w:r w:rsidRPr="00040E18">
              <w:rPr>
                <w:color w:val="016794"/>
              </w:rPr>
              <w:t>CEF DI</w:t>
            </w:r>
          </w:p>
        </w:tc>
        <w:tc>
          <w:tcPr>
            <w:tcW w:w="8328" w:type="dxa"/>
          </w:tcPr>
          <w:p w14:paraId="5C43BB5D" w14:textId="77777777" w:rsidR="003747C7" w:rsidRDefault="00023E71" w:rsidP="003747C7">
            <w:pPr>
              <w:pStyle w:val="DGTextstand-alone"/>
              <w:spacing w:before="0"/>
              <w:jc w:val="left"/>
              <w:rPr>
                <w:color w:val="016794"/>
              </w:rPr>
            </w:pPr>
            <w:r w:rsidRPr="001F09A8">
              <w:t>Connecting Europe Facility Debt Instrument</w:t>
            </w:r>
          </w:p>
        </w:tc>
      </w:tr>
      <w:tr w:rsidR="00807FFE" w14:paraId="09188F81" w14:textId="77777777" w:rsidTr="003747C7">
        <w:tc>
          <w:tcPr>
            <w:tcW w:w="1526" w:type="dxa"/>
          </w:tcPr>
          <w:p w14:paraId="68177F95" w14:textId="77777777" w:rsidR="003747C7" w:rsidRDefault="00023E71" w:rsidP="003747C7">
            <w:pPr>
              <w:pStyle w:val="DGTextstand-alone"/>
              <w:spacing w:before="0"/>
              <w:jc w:val="left"/>
              <w:rPr>
                <w:color w:val="016794"/>
              </w:rPr>
            </w:pPr>
            <w:r w:rsidRPr="00040E18">
              <w:rPr>
                <w:color w:val="016794"/>
              </w:rPr>
              <w:t>CF</w:t>
            </w:r>
          </w:p>
        </w:tc>
        <w:tc>
          <w:tcPr>
            <w:tcW w:w="8328" w:type="dxa"/>
          </w:tcPr>
          <w:p w14:paraId="688673E2" w14:textId="77777777" w:rsidR="003747C7" w:rsidRDefault="00023E71" w:rsidP="003747C7">
            <w:pPr>
              <w:pStyle w:val="DGTextstand-alone"/>
              <w:spacing w:before="0"/>
              <w:jc w:val="left"/>
              <w:rPr>
                <w:color w:val="016794"/>
              </w:rPr>
            </w:pPr>
            <w:r w:rsidRPr="001F09A8">
              <w:t>Cohesion Fund</w:t>
            </w:r>
          </w:p>
        </w:tc>
      </w:tr>
      <w:tr w:rsidR="00807FFE" w14:paraId="6C583B1E" w14:textId="77777777" w:rsidTr="003747C7">
        <w:tc>
          <w:tcPr>
            <w:tcW w:w="1526" w:type="dxa"/>
          </w:tcPr>
          <w:p w14:paraId="0E45F8A5" w14:textId="77777777" w:rsidR="003747C7" w:rsidRDefault="00023E71" w:rsidP="003747C7">
            <w:pPr>
              <w:pStyle w:val="DGTextstand-alone"/>
              <w:spacing w:before="0"/>
              <w:jc w:val="left"/>
              <w:rPr>
                <w:color w:val="016794"/>
              </w:rPr>
            </w:pPr>
            <w:r w:rsidRPr="00040E18">
              <w:rPr>
                <w:color w:val="016794"/>
              </w:rPr>
              <w:t>CIP</w:t>
            </w:r>
          </w:p>
        </w:tc>
        <w:tc>
          <w:tcPr>
            <w:tcW w:w="8328" w:type="dxa"/>
          </w:tcPr>
          <w:p w14:paraId="2D608EEF" w14:textId="77777777" w:rsidR="003747C7" w:rsidRDefault="00023E71" w:rsidP="003747C7">
            <w:pPr>
              <w:pStyle w:val="DGTextstand-alone"/>
              <w:spacing w:before="0"/>
              <w:jc w:val="left"/>
              <w:rPr>
                <w:color w:val="016794"/>
              </w:rPr>
            </w:pPr>
            <w:r w:rsidRPr="001F09A8">
              <w:t>Competitiveness and Innovation Framework Programme</w:t>
            </w:r>
          </w:p>
        </w:tc>
      </w:tr>
      <w:tr w:rsidR="00807FFE" w14:paraId="367A1FEB" w14:textId="77777777" w:rsidTr="003747C7">
        <w:tc>
          <w:tcPr>
            <w:tcW w:w="1526" w:type="dxa"/>
          </w:tcPr>
          <w:p w14:paraId="0FE0D501" w14:textId="77777777" w:rsidR="003747C7" w:rsidRDefault="00023E71" w:rsidP="003747C7">
            <w:pPr>
              <w:pStyle w:val="DGTextstand-alone"/>
              <w:spacing w:before="0"/>
              <w:jc w:val="left"/>
              <w:rPr>
                <w:color w:val="016794"/>
              </w:rPr>
            </w:pPr>
            <w:r w:rsidRPr="00040E18">
              <w:rPr>
                <w:color w:val="016794"/>
              </w:rPr>
              <w:t>COM</w:t>
            </w:r>
          </w:p>
        </w:tc>
        <w:tc>
          <w:tcPr>
            <w:tcW w:w="8328" w:type="dxa"/>
          </w:tcPr>
          <w:p w14:paraId="3F583871" w14:textId="77777777" w:rsidR="003747C7" w:rsidRDefault="00023E71" w:rsidP="003747C7">
            <w:pPr>
              <w:pStyle w:val="DGTextstand-alone"/>
              <w:spacing w:before="0"/>
              <w:jc w:val="left"/>
              <w:rPr>
                <w:color w:val="016794"/>
              </w:rPr>
            </w:pPr>
            <w:r>
              <w:t xml:space="preserve">European </w:t>
            </w:r>
            <w:r w:rsidR="0076445A" w:rsidRPr="001F09A8">
              <w:t>Commission</w:t>
            </w:r>
          </w:p>
        </w:tc>
      </w:tr>
      <w:tr w:rsidR="00807FFE" w14:paraId="714DED6A" w14:textId="77777777" w:rsidTr="003747C7">
        <w:tc>
          <w:tcPr>
            <w:tcW w:w="1526" w:type="dxa"/>
          </w:tcPr>
          <w:p w14:paraId="06273E2F" w14:textId="77777777" w:rsidR="003747C7" w:rsidRDefault="00023E71" w:rsidP="003747C7">
            <w:pPr>
              <w:pStyle w:val="DGTextstand-alone"/>
              <w:spacing w:before="0"/>
              <w:jc w:val="left"/>
              <w:rPr>
                <w:color w:val="016794"/>
              </w:rPr>
            </w:pPr>
            <w:r w:rsidRPr="00040E18">
              <w:rPr>
                <w:color w:val="016794"/>
              </w:rPr>
              <w:t>COSME</w:t>
            </w:r>
          </w:p>
        </w:tc>
        <w:tc>
          <w:tcPr>
            <w:tcW w:w="8328" w:type="dxa"/>
          </w:tcPr>
          <w:p w14:paraId="2A895350" w14:textId="77777777" w:rsidR="003747C7" w:rsidRDefault="00023E71" w:rsidP="003747C7">
            <w:pPr>
              <w:pStyle w:val="DGTextstand-alone"/>
              <w:spacing w:before="0"/>
              <w:jc w:val="left"/>
              <w:rPr>
                <w:color w:val="016794"/>
              </w:rPr>
            </w:pPr>
            <w:r w:rsidRPr="001F09A8">
              <w:t>Competitiveness of Enterprises and Small and Medium-sized Enterprises</w:t>
            </w:r>
          </w:p>
        </w:tc>
      </w:tr>
      <w:tr w:rsidR="00807FFE" w14:paraId="3EE57C3F" w14:textId="77777777" w:rsidTr="003747C7">
        <w:tc>
          <w:tcPr>
            <w:tcW w:w="1526" w:type="dxa"/>
          </w:tcPr>
          <w:p w14:paraId="5599F50A" w14:textId="77777777" w:rsidR="003747C7" w:rsidRDefault="00023E71" w:rsidP="003747C7">
            <w:pPr>
              <w:pStyle w:val="DGTextstand-alone"/>
              <w:spacing w:before="0"/>
              <w:jc w:val="left"/>
              <w:rPr>
                <w:color w:val="016794"/>
              </w:rPr>
            </w:pPr>
            <w:r w:rsidRPr="00040E18">
              <w:rPr>
                <w:color w:val="016794"/>
              </w:rPr>
              <w:t>COSO</w:t>
            </w:r>
            <w:r w:rsidRPr="001E707D">
              <w:tab/>
            </w:r>
          </w:p>
        </w:tc>
        <w:tc>
          <w:tcPr>
            <w:tcW w:w="8328" w:type="dxa"/>
          </w:tcPr>
          <w:p w14:paraId="0E5A7274" w14:textId="77777777" w:rsidR="003747C7" w:rsidRDefault="00023E71" w:rsidP="003747C7">
            <w:pPr>
              <w:pStyle w:val="DGTextstand-alone"/>
              <w:spacing w:before="0"/>
              <w:jc w:val="left"/>
              <w:rPr>
                <w:color w:val="016794"/>
              </w:rPr>
            </w:pPr>
            <w:r w:rsidRPr="001F09A8">
              <w:t>Committee of Sponsoring Organizations of the Treadway Commission</w:t>
            </w:r>
          </w:p>
        </w:tc>
      </w:tr>
      <w:tr w:rsidR="00807FFE" w14:paraId="5F2C108F" w14:textId="77777777" w:rsidTr="003747C7">
        <w:tc>
          <w:tcPr>
            <w:tcW w:w="1526" w:type="dxa"/>
          </w:tcPr>
          <w:p w14:paraId="04DC47E5" w14:textId="77777777" w:rsidR="00282EBB" w:rsidRPr="00040E18" w:rsidRDefault="00023E71" w:rsidP="003747C7">
            <w:pPr>
              <w:pStyle w:val="DGTextstand-alone"/>
              <w:spacing w:before="0"/>
              <w:jc w:val="left"/>
              <w:rPr>
                <w:color w:val="016794"/>
              </w:rPr>
            </w:pPr>
            <w:r w:rsidRPr="00282EBB">
              <w:rPr>
                <w:color w:val="016794"/>
              </w:rPr>
              <w:t>CPF</w:t>
            </w:r>
          </w:p>
        </w:tc>
        <w:tc>
          <w:tcPr>
            <w:tcW w:w="8328" w:type="dxa"/>
          </w:tcPr>
          <w:p w14:paraId="11BEC8DA" w14:textId="77777777" w:rsidR="00282EBB" w:rsidRPr="001F09A8" w:rsidRDefault="00023E71" w:rsidP="003747C7">
            <w:pPr>
              <w:pStyle w:val="DGTextstand-alone"/>
              <w:spacing w:before="0"/>
              <w:jc w:val="left"/>
            </w:pPr>
            <w:r>
              <w:rPr>
                <w:color w:val="000000"/>
                <w:lang w:val="fr-BE"/>
              </w:rPr>
              <w:t>Common Provisioning Fund</w:t>
            </w:r>
          </w:p>
        </w:tc>
      </w:tr>
      <w:tr w:rsidR="00807FFE" w14:paraId="54B0F75D" w14:textId="77777777" w:rsidTr="003747C7">
        <w:tc>
          <w:tcPr>
            <w:tcW w:w="1526" w:type="dxa"/>
          </w:tcPr>
          <w:p w14:paraId="38843516" w14:textId="77777777" w:rsidR="000860F7" w:rsidRDefault="00023E71" w:rsidP="003747C7">
            <w:pPr>
              <w:pStyle w:val="DGTextstand-alone"/>
              <w:spacing w:before="0"/>
              <w:jc w:val="left"/>
              <w:rPr>
                <w:color w:val="016794"/>
              </w:rPr>
            </w:pPr>
            <w:r w:rsidRPr="00040E18">
              <w:rPr>
                <w:color w:val="016794"/>
              </w:rPr>
              <w:t>CPR</w:t>
            </w:r>
          </w:p>
          <w:p w14:paraId="42F55F7D" w14:textId="77777777" w:rsidR="003747C7" w:rsidRDefault="00023E71" w:rsidP="000860F7">
            <w:pPr>
              <w:pStyle w:val="DGTextstand-alone"/>
              <w:spacing w:before="0"/>
              <w:jc w:val="left"/>
              <w:rPr>
                <w:color w:val="016794"/>
              </w:rPr>
            </w:pPr>
            <w:r>
              <w:rPr>
                <w:color w:val="016794"/>
              </w:rPr>
              <w:t>CRII+</w:t>
            </w:r>
          </w:p>
          <w:p w14:paraId="5A5D17B9" w14:textId="77777777" w:rsidR="00791454" w:rsidRPr="00791454" w:rsidRDefault="00023E71" w:rsidP="00791454">
            <w:pPr>
              <w:rPr>
                <w:rFonts w:ascii="Verdana" w:eastAsia="Calibri" w:hAnsi="Verdana"/>
                <w:noProof/>
                <w:color w:val="016794"/>
                <w:sz w:val="18"/>
                <w:szCs w:val="18"/>
                <w:bdr w:val="nil"/>
                <w:lang w:eastAsia="en-US"/>
              </w:rPr>
            </w:pPr>
            <w:r w:rsidRPr="00791454">
              <w:rPr>
                <w:rFonts w:ascii="Verdana" w:eastAsia="Calibri" w:hAnsi="Verdana"/>
                <w:noProof/>
                <w:color w:val="016794"/>
                <w:sz w:val="18"/>
                <w:szCs w:val="18"/>
                <w:lang w:eastAsia="en-US"/>
              </w:rPr>
              <w:t>CRO</w:t>
            </w:r>
          </w:p>
        </w:tc>
        <w:tc>
          <w:tcPr>
            <w:tcW w:w="8328" w:type="dxa"/>
          </w:tcPr>
          <w:p w14:paraId="406401D4" w14:textId="77777777" w:rsidR="000860F7" w:rsidRDefault="00023E71" w:rsidP="003747C7">
            <w:pPr>
              <w:pStyle w:val="DGTextstand-alone"/>
              <w:spacing w:before="0"/>
              <w:jc w:val="left"/>
            </w:pPr>
            <w:r w:rsidRPr="001F09A8">
              <w:t>Common Provisions Regulation</w:t>
            </w:r>
          </w:p>
          <w:p w14:paraId="57A6F1E3" w14:textId="77777777" w:rsidR="000860F7" w:rsidRDefault="00023E71" w:rsidP="003747C7">
            <w:pPr>
              <w:pStyle w:val="DGTextstand-alone"/>
              <w:spacing w:before="0"/>
              <w:jc w:val="left"/>
            </w:pPr>
            <w:r w:rsidRPr="000860F7">
              <w:t>Coronavirus Response Investment Initiative Plus</w:t>
            </w:r>
          </w:p>
          <w:p w14:paraId="3A9A836E" w14:textId="77777777" w:rsidR="00791454" w:rsidRPr="001F09A8" w:rsidRDefault="00023E71" w:rsidP="003747C7">
            <w:pPr>
              <w:pStyle w:val="DGTextstand-alone"/>
              <w:spacing w:before="0"/>
              <w:jc w:val="left"/>
            </w:pPr>
            <w:r>
              <w:t>Chief Risk Officer</w:t>
            </w:r>
          </w:p>
        </w:tc>
      </w:tr>
      <w:tr w:rsidR="00807FFE" w14:paraId="50A13032" w14:textId="77777777" w:rsidTr="003747C7">
        <w:tc>
          <w:tcPr>
            <w:tcW w:w="1526" w:type="dxa"/>
          </w:tcPr>
          <w:p w14:paraId="240E93E9" w14:textId="77777777" w:rsidR="003747C7" w:rsidRPr="00040E18" w:rsidRDefault="00023E71" w:rsidP="003747C7">
            <w:pPr>
              <w:pStyle w:val="DGTextstand-alone"/>
              <w:spacing w:before="0"/>
              <w:jc w:val="left"/>
              <w:rPr>
                <w:color w:val="016794"/>
              </w:rPr>
            </w:pPr>
            <w:r w:rsidRPr="00040E18">
              <w:rPr>
                <w:color w:val="016794"/>
              </w:rPr>
              <w:t>D&amp;WM</w:t>
            </w:r>
          </w:p>
        </w:tc>
        <w:tc>
          <w:tcPr>
            <w:tcW w:w="8328" w:type="dxa"/>
          </w:tcPr>
          <w:p w14:paraId="5E4D256A" w14:textId="77777777" w:rsidR="003747C7" w:rsidRPr="001F09A8" w:rsidRDefault="00023E71" w:rsidP="003747C7">
            <w:pPr>
              <w:pStyle w:val="DGTextstand-alone"/>
              <w:spacing w:before="0"/>
              <w:jc w:val="left"/>
            </w:pPr>
            <w:r w:rsidRPr="001F09A8">
              <w:t>Decommissioning and Waste Management</w:t>
            </w:r>
          </w:p>
        </w:tc>
      </w:tr>
      <w:tr w:rsidR="00807FFE" w14:paraId="5E6F8E0B" w14:textId="77777777" w:rsidTr="003747C7">
        <w:tc>
          <w:tcPr>
            <w:tcW w:w="1526" w:type="dxa"/>
          </w:tcPr>
          <w:p w14:paraId="52C2BC17" w14:textId="77777777" w:rsidR="00282EBB" w:rsidRPr="00040E18" w:rsidRDefault="00023E71" w:rsidP="003747C7">
            <w:pPr>
              <w:pStyle w:val="DGTextstand-alone"/>
              <w:spacing w:before="0"/>
              <w:jc w:val="left"/>
              <w:rPr>
                <w:color w:val="016794"/>
              </w:rPr>
            </w:pPr>
            <w:r w:rsidRPr="00282EBB">
              <w:rPr>
                <w:color w:val="016794"/>
              </w:rPr>
              <w:t>EAD</w:t>
            </w:r>
          </w:p>
        </w:tc>
        <w:tc>
          <w:tcPr>
            <w:tcW w:w="8328" w:type="dxa"/>
          </w:tcPr>
          <w:p w14:paraId="13B6949A" w14:textId="77777777" w:rsidR="00282EBB" w:rsidRPr="001F09A8" w:rsidRDefault="00023E71" w:rsidP="00282EBB">
            <w:pPr>
              <w:pStyle w:val="DGTextstand-alone"/>
              <w:spacing w:before="0"/>
              <w:jc w:val="left"/>
            </w:pPr>
            <w:r>
              <w:t>Exposure A</w:t>
            </w:r>
            <w:r w:rsidRPr="00282EBB">
              <w:t xml:space="preserve">t </w:t>
            </w:r>
            <w:r>
              <w:t>D</w:t>
            </w:r>
            <w:r w:rsidRPr="00282EBB">
              <w:t>efault</w:t>
            </w:r>
          </w:p>
        </w:tc>
      </w:tr>
      <w:tr w:rsidR="00807FFE" w14:paraId="40BA4BCE" w14:textId="77777777" w:rsidTr="003747C7">
        <w:tc>
          <w:tcPr>
            <w:tcW w:w="1526" w:type="dxa"/>
          </w:tcPr>
          <w:p w14:paraId="78A91B60" w14:textId="77777777" w:rsidR="003747C7" w:rsidRPr="00040E18" w:rsidRDefault="00023E71" w:rsidP="003747C7">
            <w:pPr>
              <w:pStyle w:val="DGTextstand-alone"/>
              <w:spacing w:before="0"/>
              <w:jc w:val="left"/>
              <w:rPr>
                <w:color w:val="016794"/>
              </w:rPr>
            </w:pPr>
            <w:r w:rsidRPr="00040E18">
              <w:rPr>
                <w:color w:val="016794"/>
              </w:rPr>
              <w:t>EAFRD</w:t>
            </w:r>
          </w:p>
        </w:tc>
        <w:tc>
          <w:tcPr>
            <w:tcW w:w="8328" w:type="dxa"/>
          </w:tcPr>
          <w:p w14:paraId="0A8C3AD9" w14:textId="77777777" w:rsidR="003747C7" w:rsidRPr="001F09A8" w:rsidRDefault="00023E71" w:rsidP="003747C7">
            <w:pPr>
              <w:pStyle w:val="DGTextstand-alone"/>
              <w:spacing w:before="0"/>
              <w:jc w:val="left"/>
            </w:pPr>
            <w:r w:rsidRPr="001F09A8">
              <w:t>European Agricultural Fund for Rural Development</w:t>
            </w:r>
          </w:p>
        </w:tc>
      </w:tr>
      <w:tr w:rsidR="00807FFE" w14:paraId="58F1AB32" w14:textId="77777777" w:rsidTr="003747C7">
        <w:tc>
          <w:tcPr>
            <w:tcW w:w="1526" w:type="dxa"/>
          </w:tcPr>
          <w:p w14:paraId="45FB07C9" w14:textId="77777777" w:rsidR="003747C7" w:rsidRPr="00040E18" w:rsidRDefault="00023E71" w:rsidP="003747C7">
            <w:pPr>
              <w:pStyle w:val="DGTextstand-alone"/>
              <w:spacing w:before="0"/>
              <w:jc w:val="left"/>
              <w:rPr>
                <w:color w:val="016794"/>
              </w:rPr>
            </w:pPr>
            <w:r w:rsidRPr="00040E18">
              <w:rPr>
                <w:color w:val="016794"/>
              </w:rPr>
              <w:t>EAGF</w:t>
            </w:r>
            <w:r w:rsidRPr="00F833B3">
              <w:rPr>
                <w:iCs/>
              </w:rPr>
              <w:t xml:space="preserve"> </w:t>
            </w:r>
            <w:r w:rsidRPr="00F833B3">
              <w:rPr>
                <w:iCs/>
              </w:rPr>
              <w:tab/>
            </w:r>
          </w:p>
        </w:tc>
        <w:tc>
          <w:tcPr>
            <w:tcW w:w="8328" w:type="dxa"/>
          </w:tcPr>
          <w:p w14:paraId="4A667DB7" w14:textId="77777777" w:rsidR="003747C7" w:rsidRPr="001F09A8" w:rsidRDefault="00023E71" w:rsidP="003747C7">
            <w:pPr>
              <w:pStyle w:val="DGTextstand-alone"/>
              <w:spacing w:before="0"/>
              <w:jc w:val="left"/>
            </w:pPr>
            <w:r w:rsidRPr="001F09A8">
              <w:t>European Agricultural Guarantee Fund</w:t>
            </w:r>
          </w:p>
        </w:tc>
      </w:tr>
      <w:tr w:rsidR="00807FFE" w14:paraId="070E7D0E" w14:textId="77777777" w:rsidTr="003747C7">
        <w:tc>
          <w:tcPr>
            <w:tcW w:w="1526" w:type="dxa"/>
          </w:tcPr>
          <w:p w14:paraId="4A419593" w14:textId="77777777" w:rsidR="00DC7364" w:rsidRPr="00040E18" w:rsidRDefault="00023E71" w:rsidP="003747C7">
            <w:pPr>
              <w:pStyle w:val="DGTextstand-alone"/>
              <w:spacing w:before="0"/>
              <w:jc w:val="left"/>
              <w:rPr>
                <w:color w:val="016794"/>
              </w:rPr>
            </w:pPr>
            <w:r>
              <w:rPr>
                <w:color w:val="016794"/>
              </w:rPr>
              <w:t>EAR</w:t>
            </w:r>
          </w:p>
        </w:tc>
        <w:tc>
          <w:tcPr>
            <w:tcW w:w="8328" w:type="dxa"/>
          </w:tcPr>
          <w:p w14:paraId="5113FE45" w14:textId="77777777" w:rsidR="00DC7364" w:rsidRPr="001F09A8" w:rsidRDefault="00023E71" w:rsidP="00DC7364">
            <w:pPr>
              <w:pStyle w:val="DGTextstand-alone"/>
              <w:spacing w:before="0"/>
              <w:jc w:val="left"/>
            </w:pPr>
            <w:r>
              <w:t>European Union Accounting Rule</w:t>
            </w:r>
          </w:p>
        </w:tc>
      </w:tr>
      <w:tr w:rsidR="00807FFE" w14:paraId="36047EC2" w14:textId="77777777" w:rsidTr="003747C7">
        <w:tc>
          <w:tcPr>
            <w:tcW w:w="1526" w:type="dxa"/>
          </w:tcPr>
          <w:p w14:paraId="51E02959" w14:textId="77777777" w:rsidR="003747C7" w:rsidRPr="00040E18" w:rsidRDefault="00023E71" w:rsidP="003747C7">
            <w:pPr>
              <w:pStyle w:val="DGTextstand-alone"/>
              <w:spacing w:before="0"/>
              <w:jc w:val="left"/>
              <w:rPr>
                <w:color w:val="016794"/>
              </w:rPr>
            </w:pPr>
            <w:r w:rsidRPr="00040E18">
              <w:rPr>
                <w:color w:val="016794"/>
              </w:rPr>
              <w:t>EaSI</w:t>
            </w:r>
          </w:p>
        </w:tc>
        <w:tc>
          <w:tcPr>
            <w:tcW w:w="8328" w:type="dxa"/>
          </w:tcPr>
          <w:p w14:paraId="1F9F1C11" w14:textId="77777777" w:rsidR="003747C7" w:rsidRPr="001F09A8" w:rsidRDefault="00023E71" w:rsidP="003747C7">
            <w:pPr>
              <w:pStyle w:val="DGTextstand-alone"/>
              <w:spacing w:before="0"/>
              <w:jc w:val="left"/>
            </w:pPr>
            <w:r w:rsidRPr="001F09A8">
              <w:t>Employment and Social Innovation</w:t>
            </w:r>
          </w:p>
        </w:tc>
      </w:tr>
      <w:tr w:rsidR="00807FFE" w14:paraId="3006B192" w14:textId="77777777" w:rsidTr="003747C7">
        <w:tc>
          <w:tcPr>
            <w:tcW w:w="1526" w:type="dxa"/>
          </w:tcPr>
          <w:p w14:paraId="657FB65C" w14:textId="77777777" w:rsidR="003747C7" w:rsidRPr="00040E18" w:rsidRDefault="00023E71" w:rsidP="003747C7">
            <w:pPr>
              <w:pStyle w:val="DGTextstand-alone"/>
              <w:spacing w:before="0"/>
              <w:jc w:val="left"/>
              <w:rPr>
                <w:color w:val="016794"/>
              </w:rPr>
            </w:pPr>
            <w:r w:rsidRPr="00DE2176">
              <w:rPr>
                <w:color w:val="016794"/>
              </w:rPr>
              <w:t>EBRD</w:t>
            </w:r>
          </w:p>
        </w:tc>
        <w:tc>
          <w:tcPr>
            <w:tcW w:w="8328" w:type="dxa"/>
          </w:tcPr>
          <w:p w14:paraId="6F83D81D" w14:textId="77777777" w:rsidR="003747C7" w:rsidRPr="001F09A8" w:rsidRDefault="00023E71" w:rsidP="003747C7">
            <w:pPr>
              <w:pStyle w:val="DGTextstand-alone"/>
              <w:spacing w:before="0"/>
              <w:jc w:val="left"/>
            </w:pPr>
            <w:r w:rsidRPr="001F09A8">
              <w:t>European Bank for Reconstruction and Development</w:t>
            </w:r>
          </w:p>
        </w:tc>
      </w:tr>
      <w:tr w:rsidR="00807FFE" w14:paraId="136E0CD6" w14:textId="77777777" w:rsidTr="003747C7">
        <w:tc>
          <w:tcPr>
            <w:tcW w:w="1526" w:type="dxa"/>
          </w:tcPr>
          <w:p w14:paraId="0BD6EA36" w14:textId="77777777" w:rsidR="003747C7" w:rsidRPr="00040E18" w:rsidRDefault="00023E71" w:rsidP="003747C7">
            <w:pPr>
              <w:pStyle w:val="DGTextstand-alone"/>
              <w:spacing w:before="0"/>
              <w:jc w:val="left"/>
              <w:rPr>
                <w:color w:val="016794"/>
              </w:rPr>
            </w:pPr>
            <w:r w:rsidRPr="00DE2176">
              <w:rPr>
                <w:color w:val="016794"/>
              </w:rPr>
              <w:t>ECA</w:t>
            </w:r>
          </w:p>
        </w:tc>
        <w:tc>
          <w:tcPr>
            <w:tcW w:w="8328" w:type="dxa"/>
          </w:tcPr>
          <w:p w14:paraId="4EE3C79F" w14:textId="77777777" w:rsidR="003747C7" w:rsidRPr="001F09A8" w:rsidRDefault="00023E71" w:rsidP="003747C7">
            <w:pPr>
              <w:pStyle w:val="DGTextstand-alone"/>
              <w:spacing w:before="0"/>
              <w:jc w:val="left"/>
            </w:pPr>
            <w:r>
              <w:t>European Court of Auditors</w:t>
            </w:r>
          </w:p>
        </w:tc>
      </w:tr>
      <w:tr w:rsidR="00807FFE" w14:paraId="3AF5FD6E" w14:textId="77777777" w:rsidTr="003747C7">
        <w:tc>
          <w:tcPr>
            <w:tcW w:w="1526" w:type="dxa"/>
          </w:tcPr>
          <w:p w14:paraId="7FEF1AB2" w14:textId="77777777" w:rsidR="003747C7" w:rsidRPr="00040E18" w:rsidRDefault="00023E71" w:rsidP="003747C7">
            <w:pPr>
              <w:pStyle w:val="DGTextstand-alone"/>
              <w:spacing w:before="0"/>
              <w:jc w:val="left"/>
              <w:rPr>
                <w:color w:val="016794"/>
              </w:rPr>
            </w:pPr>
            <w:r w:rsidRPr="00DE2176">
              <w:rPr>
                <w:color w:val="016794"/>
              </w:rPr>
              <w:t xml:space="preserve">ECB </w:t>
            </w:r>
          </w:p>
        </w:tc>
        <w:tc>
          <w:tcPr>
            <w:tcW w:w="8328" w:type="dxa"/>
          </w:tcPr>
          <w:p w14:paraId="12E01E45" w14:textId="77777777" w:rsidR="003747C7" w:rsidRPr="001F09A8" w:rsidRDefault="00023E71" w:rsidP="003747C7">
            <w:pPr>
              <w:pStyle w:val="DGTextstand-alone"/>
              <w:spacing w:before="0"/>
              <w:jc w:val="left"/>
            </w:pPr>
            <w:r w:rsidRPr="001F09A8">
              <w:t>European Central Bank</w:t>
            </w:r>
          </w:p>
        </w:tc>
      </w:tr>
      <w:tr w:rsidR="00807FFE" w14:paraId="1EBE6931" w14:textId="77777777" w:rsidTr="003747C7">
        <w:tc>
          <w:tcPr>
            <w:tcW w:w="1526" w:type="dxa"/>
          </w:tcPr>
          <w:p w14:paraId="0A083FED" w14:textId="77777777" w:rsidR="00282EBB" w:rsidRPr="00DE2176" w:rsidRDefault="00023E71" w:rsidP="003747C7">
            <w:pPr>
              <w:pStyle w:val="DGTextstand-alone"/>
              <w:spacing w:before="0"/>
              <w:jc w:val="left"/>
              <w:rPr>
                <w:color w:val="016794"/>
              </w:rPr>
            </w:pPr>
            <w:r w:rsidRPr="00282EBB">
              <w:rPr>
                <w:color w:val="016794"/>
              </w:rPr>
              <w:t>ECL</w:t>
            </w:r>
          </w:p>
        </w:tc>
        <w:tc>
          <w:tcPr>
            <w:tcW w:w="8328" w:type="dxa"/>
          </w:tcPr>
          <w:p w14:paraId="79892E34" w14:textId="77777777" w:rsidR="00282EBB" w:rsidRPr="001F09A8" w:rsidRDefault="00023E71" w:rsidP="00282EBB">
            <w:pPr>
              <w:pStyle w:val="DGTextstand-alone"/>
              <w:spacing w:before="0"/>
              <w:jc w:val="left"/>
            </w:pPr>
            <w:r>
              <w:t>Expected C</w:t>
            </w:r>
            <w:r w:rsidRPr="00282EBB">
              <w:t xml:space="preserve">redit </w:t>
            </w:r>
            <w:r>
              <w:t>L</w:t>
            </w:r>
            <w:r w:rsidRPr="00282EBB">
              <w:t>osses</w:t>
            </w:r>
          </w:p>
        </w:tc>
      </w:tr>
      <w:tr w:rsidR="00807FFE" w14:paraId="2F709063" w14:textId="77777777" w:rsidTr="003747C7">
        <w:tc>
          <w:tcPr>
            <w:tcW w:w="1526" w:type="dxa"/>
          </w:tcPr>
          <w:p w14:paraId="09D650A6" w14:textId="77777777" w:rsidR="003747C7" w:rsidRPr="00040E18" w:rsidRDefault="00023E71" w:rsidP="003747C7">
            <w:pPr>
              <w:pStyle w:val="DGTextstand-alone"/>
              <w:spacing w:before="0"/>
              <w:jc w:val="left"/>
              <w:rPr>
                <w:color w:val="016794"/>
              </w:rPr>
            </w:pPr>
            <w:r w:rsidRPr="00DE2176">
              <w:rPr>
                <w:color w:val="016794"/>
              </w:rPr>
              <w:t>ECOFIN</w:t>
            </w:r>
          </w:p>
        </w:tc>
        <w:tc>
          <w:tcPr>
            <w:tcW w:w="8328" w:type="dxa"/>
          </w:tcPr>
          <w:p w14:paraId="7DE0AD98" w14:textId="77777777" w:rsidR="003747C7" w:rsidRPr="001F09A8" w:rsidRDefault="00023E71" w:rsidP="003747C7">
            <w:pPr>
              <w:pStyle w:val="DGTextstand-alone"/>
              <w:spacing w:before="0"/>
              <w:jc w:val="left"/>
            </w:pPr>
            <w:r w:rsidRPr="001F09A8">
              <w:t>Economic and Financial Affairs Council</w:t>
            </w:r>
          </w:p>
        </w:tc>
      </w:tr>
      <w:tr w:rsidR="00807FFE" w14:paraId="36341C36" w14:textId="77777777" w:rsidTr="003747C7">
        <w:tc>
          <w:tcPr>
            <w:tcW w:w="1526" w:type="dxa"/>
          </w:tcPr>
          <w:p w14:paraId="0C5FFCA9" w14:textId="77777777" w:rsidR="003747C7" w:rsidRPr="00040E18" w:rsidRDefault="00023E71" w:rsidP="00C834E0">
            <w:pPr>
              <w:pStyle w:val="DGTextstand-alone"/>
              <w:spacing w:before="0"/>
              <w:jc w:val="left"/>
              <w:rPr>
                <w:color w:val="016794"/>
              </w:rPr>
            </w:pPr>
            <w:r w:rsidRPr="00DE2176">
              <w:rPr>
                <w:color w:val="016794"/>
              </w:rPr>
              <w:t>ECSC</w:t>
            </w:r>
            <w:r>
              <w:rPr>
                <w:color w:val="016794"/>
              </w:rPr>
              <w:t xml:space="preserve"> i.L.</w:t>
            </w:r>
            <w:r w:rsidRPr="001F09A8">
              <w:t xml:space="preserve"> </w:t>
            </w:r>
          </w:p>
        </w:tc>
        <w:tc>
          <w:tcPr>
            <w:tcW w:w="8328" w:type="dxa"/>
          </w:tcPr>
          <w:p w14:paraId="596C98F0" w14:textId="77777777" w:rsidR="003747C7" w:rsidRPr="001F09A8" w:rsidRDefault="00023E71" w:rsidP="003747C7">
            <w:pPr>
              <w:pStyle w:val="DGTextstand-alone"/>
              <w:spacing w:before="0"/>
              <w:jc w:val="left"/>
            </w:pPr>
            <w:r w:rsidRPr="001F09A8">
              <w:t>European Coal and Steel Community</w:t>
            </w:r>
            <w:r>
              <w:t xml:space="preserve"> in Liquidation</w:t>
            </w:r>
          </w:p>
        </w:tc>
      </w:tr>
      <w:tr w:rsidR="00807FFE" w14:paraId="1D5414A6" w14:textId="77777777" w:rsidTr="003747C7">
        <w:tc>
          <w:tcPr>
            <w:tcW w:w="1526" w:type="dxa"/>
          </w:tcPr>
          <w:p w14:paraId="082B021C" w14:textId="77777777" w:rsidR="003747C7" w:rsidRPr="00040E18" w:rsidRDefault="00023E71" w:rsidP="003747C7">
            <w:pPr>
              <w:pStyle w:val="DGTextstand-alone"/>
              <w:spacing w:before="0"/>
              <w:jc w:val="left"/>
              <w:rPr>
                <w:color w:val="016794"/>
              </w:rPr>
            </w:pPr>
            <w:r w:rsidRPr="00DE2176">
              <w:rPr>
                <w:color w:val="016794"/>
              </w:rPr>
              <w:t>EDF</w:t>
            </w:r>
          </w:p>
        </w:tc>
        <w:tc>
          <w:tcPr>
            <w:tcW w:w="8328" w:type="dxa"/>
          </w:tcPr>
          <w:p w14:paraId="74FCB260" w14:textId="77777777" w:rsidR="003747C7" w:rsidRPr="001F09A8" w:rsidRDefault="00023E71" w:rsidP="003747C7">
            <w:pPr>
              <w:pStyle w:val="DGTextstand-alone"/>
              <w:spacing w:before="0"/>
              <w:jc w:val="left"/>
            </w:pPr>
            <w:r w:rsidRPr="001F09A8">
              <w:t>European Development Fund</w:t>
            </w:r>
          </w:p>
        </w:tc>
      </w:tr>
      <w:tr w:rsidR="00807FFE" w14:paraId="17A0C179" w14:textId="77777777" w:rsidTr="003747C7">
        <w:tc>
          <w:tcPr>
            <w:tcW w:w="1526" w:type="dxa"/>
          </w:tcPr>
          <w:p w14:paraId="3DA8DCE0" w14:textId="77777777" w:rsidR="003747C7" w:rsidRPr="00DE2176" w:rsidRDefault="00023E71" w:rsidP="003747C7">
            <w:pPr>
              <w:pStyle w:val="DGTextstand-alone"/>
              <w:spacing w:before="0"/>
              <w:jc w:val="left"/>
              <w:rPr>
                <w:color w:val="016794"/>
              </w:rPr>
            </w:pPr>
            <w:r w:rsidRPr="00DE2176">
              <w:rPr>
                <w:color w:val="016794"/>
              </w:rPr>
              <w:t>EDIF</w:t>
            </w:r>
          </w:p>
        </w:tc>
        <w:tc>
          <w:tcPr>
            <w:tcW w:w="8328" w:type="dxa"/>
          </w:tcPr>
          <w:p w14:paraId="122E5C89" w14:textId="77777777" w:rsidR="003747C7" w:rsidRPr="001F09A8" w:rsidRDefault="00023E71" w:rsidP="003747C7">
            <w:pPr>
              <w:pStyle w:val="DGTextstand-alone"/>
              <w:spacing w:before="0"/>
              <w:jc w:val="left"/>
            </w:pPr>
            <w:r w:rsidRPr="001F09A8">
              <w:t>Guarantee Facility under the Western Balkan</w:t>
            </w:r>
          </w:p>
        </w:tc>
      </w:tr>
      <w:tr w:rsidR="00807FFE" w14:paraId="1E3C5ECD" w14:textId="77777777" w:rsidTr="003747C7">
        <w:tc>
          <w:tcPr>
            <w:tcW w:w="1526" w:type="dxa"/>
          </w:tcPr>
          <w:p w14:paraId="0D2B004C" w14:textId="77777777" w:rsidR="003747C7" w:rsidRPr="00DE2176" w:rsidRDefault="00023E71" w:rsidP="003747C7">
            <w:pPr>
              <w:pStyle w:val="DGTextstand-alone"/>
              <w:spacing w:before="0"/>
              <w:jc w:val="left"/>
              <w:rPr>
                <w:color w:val="016794"/>
              </w:rPr>
            </w:pPr>
            <w:r w:rsidRPr="00DE2176">
              <w:rPr>
                <w:color w:val="016794"/>
              </w:rPr>
              <w:t>EEA</w:t>
            </w:r>
          </w:p>
        </w:tc>
        <w:tc>
          <w:tcPr>
            <w:tcW w:w="8328" w:type="dxa"/>
          </w:tcPr>
          <w:p w14:paraId="45B72612" w14:textId="77777777" w:rsidR="003747C7" w:rsidRPr="001F09A8" w:rsidRDefault="00023E71" w:rsidP="003747C7">
            <w:pPr>
              <w:pStyle w:val="DGTextstand-alone"/>
              <w:spacing w:before="0"/>
              <w:jc w:val="left"/>
            </w:pPr>
            <w:r w:rsidRPr="001F09A8">
              <w:t>European Economic Area</w:t>
            </w:r>
          </w:p>
        </w:tc>
      </w:tr>
      <w:tr w:rsidR="00807FFE" w14:paraId="60804375" w14:textId="77777777" w:rsidTr="003747C7">
        <w:tc>
          <w:tcPr>
            <w:tcW w:w="1526" w:type="dxa"/>
          </w:tcPr>
          <w:p w14:paraId="0D0DA549" w14:textId="77777777" w:rsidR="003747C7" w:rsidRPr="00DE2176" w:rsidRDefault="00023E71" w:rsidP="003747C7">
            <w:pPr>
              <w:pStyle w:val="DGTextstand-alone"/>
              <w:spacing w:before="0"/>
              <w:jc w:val="left"/>
              <w:rPr>
                <w:color w:val="016794"/>
              </w:rPr>
            </w:pPr>
            <w:r w:rsidRPr="00DE2176">
              <w:rPr>
                <w:color w:val="016794"/>
              </w:rPr>
              <w:t>EEAS</w:t>
            </w:r>
          </w:p>
        </w:tc>
        <w:tc>
          <w:tcPr>
            <w:tcW w:w="8328" w:type="dxa"/>
          </w:tcPr>
          <w:p w14:paraId="5F8A8795" w14:textId="77777777" w:rsidR="003747C7" w:rsidRPr="001F09A8" w:rsidRDefault="00023E71" w:rsidP="003747C7">
            <w:pPr>
              <w:pStyle w:val="DGTextstand-alone"/>
              <w:spacing w:before="0"/>
              <w:jc w:val="left"/>
            </w:pPr>
            <w:r w:rsidRPr="001F09A8">
              <w:t>European External Action Service</w:t>
            </w:r>
          </w:p>
        </w:tc>
      </w:tr>
      <w:tr w:rsidR="00807FFE" w14:paraId="4753F4D5" w14:textId="77777777" w:rsidTr="003747C7">
        <w:tc>
          <w:tcPr>
            <w:tcW w:w="1526" w:type="dxa"/>
          </w:tcPr>
          <w:p w14:paraId="33A8C1A9" w14:textId="77777777" w:rsidR="003747C7" w:rsidRPr="007E7A43" w:rsidRDefault="00023E71" w:rsidP="003747C7">
            <w:pPr>
              <w:pStyle w:val="DGTextstand-alone"/>
              <w:spacing w:before="0"/>
            </w:pPr>
            <w:r w:rsidRPr="007E7A43">
              <w:rPr>
                <w:color w:val="016794"/>
              </w:rPr>
              <w:t>EFSD</w:t>
            </w:r>
          </w:p>
        </w:tc>
        <w:tc>
          <w:tcPr>
            <w:tcW w:w="8328" w:type="dxa"/>
          </w:tcPr>
          <w:p w14:paraId="6C1A4848" w14:textId="77777777" w:rsidR="003747C7" w:rsidRPr="007E7A43" w:rsidRDefault="00023E71" w:rsidP="003747C7">
            <w:pPr>
              <w:pStyle w:val="DGTextstand-alone"/>
              <w:spacing w:before="0"/>
            </w:pPr>
            <w:r>
              <w:t>European Fund for Sustainable Development</w:t>
            </w:r>
          </w:p>
        </w:tc>
      </w:tr>
      <w:tr w:rsidR="00807FFE" w14:paraId="4ED32E3D" w14:textId="77777777" w:rsidTr="003747C7">
        <w:tc>
          <w:tcPr>
            <w:tcW w:w="1526" w:type="dxa"/>
          </w:tcPr>
          <w:p w14:paraId="7AE460D3" w14:textId="77777777" w:rsidR="003747C7" w:rsidRPr="007E7A43" w:rsidRDefault="00023E71" w:rsidP="003747C7">
            <w:pPr>
              <w:pStyle w:val="DGTextstand-alone"/>
              <w:spacing w:before="0"/>
            </w:pPr>
            <w:r w:rsidRPr="007E7A43">
              <w:rPr>
                <w:color w:val="016794"/>
              </w:rPr>
              <w:t>EFSE</w:t>
            </w:r>
            <w:r w:rsidRPr="007E7A43">
              <w:t xml:space="preserve"> </w:t>
            </w:r>
          </w:p>
        </w:tc>
        <w:tc>
          <w:tcPr>
            <w:tcW w:w="8328" w:type="dxa"/>
          </w:tcPr>
          <w:p w14:paraId="26636981" w14:textId="77777777" w:rsidR="003747C7" w:rsidRPr="007E7A43" w:rsidRDefault="00023E71" w:rsidP="003747C7">
            <w:pPr>
              <w:pStyle w:val="DGTextstand-alone"/>
              <w:spacing w:before="0"/>
            </w:pPr>
            <w:r w:rsidRPr="001F09A8">
              <w:t>European Fund for Southeast Europe</w:t>
            </w:r>
          </w:p>
        </w:tc>
      </w:tr>
      <w:tr w:rsidR="00807FFE" w14:paraId="7601D8BB" w14:textId="77777777" w:rsidTr="003747C7">
        <w:tc>
          <w:tcPr>
            <w:tcW w:w="1526" w:type="dxa"/>
          </w:tcPr>
          <w:p w14:paraId="16A1B2BA" w14:textId="77777777" w:rsidR="003747C7" w:rsidRPr="007E7A43" w:rsidRDefault="00023E71" w:rsidP="003747C7">
            <w:pPr>
              <w:pStyle w:val="DGTextstand-alone"/>
              <w:spacing w:before="0"/>
            </w:pPr>
            <w:r w:rsidRPr="007E7A43">
              <w:rPr>
                <w:color w:val="016794"/>
              </w:rPr>
              <w:t>EFSF</w:t>
            </w:r>
            <w:r w:rsidRPr="007E7A43">
              <w:t xml:space="preserve"> </w:t>
            </w:r>
          </w:p>
        </w:tc>
        <w:tc>
          <w:tcPr>
            <w:tcW w:w="8328" w:type="dxa"/>
          </w:tcPr>
          <w:p w14:paraId="545257DF" w14:textId="77777777" w:rsidR="003747C7" w:rsidRPr="007E7A43" w:rsidRDefault="00023E71" w:rsidP="003747C7">
            <w:pPr>
              <w:pStyle w:val="DGTextstand-alone"/>
              <w:spacing w:before="0"/>
            </w:pPr>
            <w:r w:rsidRPr="001F09A8">
              <w:t>European Financial Stability Facility</w:t>
            </w:r>
          </w:p>
        </w:tc>
      </w:tr>
      <w:tr w:rsidR="00807FFE" w14:paraId="1A780778" w14:textId="77777777" w:rsidTr="003747C7">
        <w:tc>
          <w:tcPr>
            <w:tcW w:w="1526" w:type="dxa"/>
          </w:tcPr>
          <w:p w14:paraId="3FE46C27" w14:textId="77777777" w:rsidR="003747C7" w:rsidRPr="007E7A43" w:rsidRDefault="00023E71" w:rsidP="003747C7">
            <w:pPr>
              <w:pStyle w:val="DGTextstand-alone"/>
              <w:spacing w:before="0"/>
            </w:pPr>
            <w:r w:rsidRPr="007E7A43">
              <w:rPr>
                <w:color w:val="016794"/>
              </w:rPr>
              <w:t>EFSI</w:t>
            </w:r>
          </w:p>
        </w:tc>
        <w:tc>
          <w:tcPr>
            <w:tcW w:w="8328" w:type="dxa"/>
          </w:tcPr>
          <w:p w14:paraId="3915F580" w14:textId="77777777" w:rsidR="003747C7" w:rsidRPr="007E7A43" w:rsidRDefault="00023E71" w:rsidP="003747C7">
            <w:pPr>
              <w:pStyle w:val="DGTextstand-alone"/>
              <w:spacing w:before="0"/>
            </w:pPr>
            <w:r w:rsidRPr="001F09A8">
              <w:t>European Fund for Strategic Investments</w:t>
            </w:r>
          </w:p>
        </w:tc>
      </w:tr>
      <w:tr w:rsidR="00807FFE" w14:paraId="16128D3C" w14:textId="77777777" w:rsidTr="003747C7">
        <w:tc>
          <w:tcPr>
            <w:tcW w:w="1526" w:type="dxa"/>
          </w:tcPr>
          <w:p w14:paraId="09C34384" w14:textId="77777777" w:rsidR="003747C7" w:rsidRPr="007E7A43" w:rsidRDefault="00023E71" w:rsidP="003747C7">
            <w:pPr>
              <w:pStyle w:val="DGTextstand-alone"/>
              <w:spacing w:before="0"/>
            </w:pPr>
            <w:r w:rsidRPr="007E7A43">
              <w:rPr>
                <w:color w:val="016794"/>
              </w:rPr>
              <w:t>EFSM</w:t>
            </w:r>
          </w:p>
        </w:tc>
        <w:tc>
          <w:tcPr>
            <w:tcW w:w="8328" w:type="dxa"/>
          </w:tcPr>
          <w:p w14:paraId="2301C5EB" w14:textId="77777777" w:rsidR="003747C7" w:rsidRPr="007E7A43" w:rsidRDefault="00023E71" w:rsidP="003747C7">
            <w:pPr>
              <w:pStyle w:val="DGTextstand-alone"/>
              <w:spacing w:before="0"/>
            </w:pPr>
            <w:r w:rsidRPr="001F09A8">
              <w:t>European Financial Stabilisation Mechanism</w:t>
            </w:r>
          </w:p>
        </w:tc>
      </w:tr>
      <w:tr w:rsidR="00807FFE" w14:paraId="724EDDE1" w14:textId="77777777" w:rsidTr="003747C7">
        <w:tc>
          <w:tcPr>
            <w:tcW w:w="1526" w:type="dxa"/>
          </w:tcPr>
          <w:p w14:paraId="60C0E780" w14:textId="77777777" w:rsidR="003747C7" w:rsidRPr="008A765C" w:rsidRDefault="00023E71" w:rsidP="003747C7">
            <w:pPr>
              <w:pStyle w:val="DGTextstand-alone"/>
              <w:spacing w:before="0"/>
            </w:pPr>
            <w:r w:rsidRPr="008A765C">
              <w:rPr>
                <w:color w:val="016794"/>
              </w:rPr>
              <w:t>EFTA</w:t>
            </w:r>
            <w:r w:rsidRPr="008A765C">
              <w:t xml:space="preserve"> </w:t>
            </w:r>
          </w:p>
        </w:tc>
        <w:tc>
          <w:tcPr>
            <w:tcW w:w="8328" w:type="dxa"/>
          </w:tcPr>
          <w:p w14:paraId="637DF5E2" w14:textId="77777777" w:rsidR="003747C7" w:rsidRPr="008A765C" w:rsidRDefault="00023E71" w:rsidP="003747C7">
            <w:pPr>
              <w:pStyle w:val="DGTextstand-alone"/>
              <w:spacing w:before="0"/>
            </w:pPr>
            <w:r w:rsidRPr="001F09A8">
              <w:rPr>
                <w:lang w:val="en"/>
              </w:rPr>
              <w:t>European Free Trade Association</w:t>
            </w:r>
          </w:p>
        </w:tc>
      </w:tr>
      <w:tr w:rsidR="00807FFE" w14:paraId="26CF7425" w14:textId="77777777" w:rsidTr="003747C7">
        <w:tc>
          <w:tcPr>
            <w:tcW w:w="1526" w:type="dxa"/>
          </w:tcPr>
          <w:p w14:paraId="56A2E777" w14:textId="77777777" w:rsidR="003747C7" w:rsidRPr="008A765C" w:rsidRDefault="00023E71" w:rsidP="003747C7">
            <w:pPr>
              <w:pStyle w:val="DGTextstand-alone"/>
              <w:spacing w:before="0"/>
            </w:pPr>
            <w:r w:rsidRPr="008A765C">
              <w:rPr>
                <w:color w:val="016794"/>
              </w:rPr>
              <w:t>EGNOS</w:t>
            </w:r>
            <w:r w:rsidRPr="008A765C">
              <w:t xml:space="preserve"> </w:t>
            </w:r>
          </w:p>
        </w:tc>
        <w:tc>
          <w:tcPr>
            <w:tcW w:w="8328" w:type="dxa"/>
          </w:tcPr>
          <w:p w14:paraId="42969B45" w14:textId="77777777" w:rsidR="003747C7" w:rsidRPr="008A765C" w:rsidRDefault="00023E71" w:rsidP="003747C7">
            <w:pPr>
              <w:pStyle w:val="DGTextstand-alone"/>
              <w:spacing w:before="0"/>
            </w:pPr>
            <w:r w:rsidRPr="001F09A8">
              <w:t>European Geostationary Navigation Overlay System</w:t>
            </w:r>
          </w:p>
        </w:tc>
      </w:tr>
      <w:tr w:rsidR="00807FFE" w14:paraId="7A92CB4B" w14:textId="77777777" w:rsidTr="003747C7">
        <w:tc>
          <w:tcPr>
            <w:tcW w:w="1526" w:type="dxa"/>
          </w:tcPr>
          <w:p w14:paraId="7FA76D41" w14:textId="77777777" w:rsidR="003747C7" w:rsidRPr="008A765C" w:rsidRDefault="00023E71" w:rsidP="003747C7">
            <w:pPr>
              <w:pStyle w:val="DGTextstand-alone"/>
              <w:spacing w:before="0"/>
            </w:pPr>
            <w:r w:rsidRPr="008A765C">
              <w:rPr>
                <w:color w:val="016794"/>
              </w:rPr>
              <w:t>EIB</w:t>
            </w:r>
            <w:r w:rsidRPr="008A765C">
              <w:t xml:space="preserve"> </w:t>
            </w:r>
          </w:p>
        </w:tc>
        <w:tc>
          <w:tcPr>
            <w:tcW w:w="8328" w:type="dxa"/>
          </w:tcPr>
          <w:p w14:paraId="55175132" w14:textId="77777777" w:rsidR="003747C7" w:rsidRPr="008A765C" w:rsidRDefault="00023E71" w:rsidP="003747C7">
            <w:pPr>
              <w:pStyle w:val="DGTextstand-alone"/>
              <w:spacing w:before="0"/>
            </w:pPr>
            <w:r w:rsidRPr="001F09A8">
              <w:t>European Investment Bank</w:t>
            </w:r>
          </w:p>
        </w:tc>
      </w:tr>
      <w:tr w:rsidR="00807FFE" w14:paraId="65D6ED77" w14:textId="77777777" w:rsidTr="003747C7">
        <w:tc>
          <w:tcPr>
            <w:tcW w:w="1526" w:type="dxa"/>
          </w:tcPr>
          <w:p w14:paraId="6C8DFE2B" w14:textId="77777777" w:rsidR="003747C7" w:rsidRPr="008A765C" w:rsidRDefault="00023E71" w:rsidP="003747C7">
            <w:pPr>
              <w:pStyle w:val="DGTextstand-alone"/>
              <w:spacing w:before="0"/>
            </w:pPr>
            <w:r w:rsidRPr="008A765C">
              <w:rPr>
                <w:color w:val="016794"/>
              </w:rPr>
              <w:t>EIF</w:t>
            </w:r>
            <w:r w:rsidRPr="008A765C">
              <w:t xml:space="preserve"> </w:t>
            </w:r>
          </w:p>
        </w:tc>
        <w:tc>
          <w:tcPr>
            <w:tcW w:w="8328" w:type="dxa"/>
          </w:tcPr>
          <w:p w14:paraId="1E5CB6A0" w14:textId="77777777" w:rsidR="003747C7" w:rsidRPr="008A765C" w:rsidRDefault="00023E71" w:rsidP="003747C7">
            <w:pPr>
              <w:pStyle w:val="DGTextstand-alone"/>
              <w:spacing w:before="0"/>
            </w:pPr>
            <w:r w:rsidRPr="001F09A8">
              <w:t>European Investment Fund</w:t>
            </w:r>
          </w:p>
        </w:tc>
      </w:tr>
      <w:tr w:rsidR="00807FFE" w14:paraId="7D1B2142" w14:textId="77777777" w:rsidTr="003747C7">
        <w:tc>
          <w:tcPr>
            <w:tcW w:w="1526" w:type="dxa"/>
          </w:tcPr>
          <w:p w14:paraId="0160EA2A" w14:textId="77777777" w:rsidR="003747C7" w:rsidRPr="008A765C" w:rsidRDefault="00023E71" w:rsidP="003747C7">
            <w:pPr>
              <w:pStyle w:val="DGTextstand-alone"/>
              <w:spacing w:before="0"/>
            </w:pPr>
            <w:r w:rsidRPr="008A765C">
              <w:rPr>
                <w:color w:val="016794"/>
              </w:rPr>
              <w:t>ElectriFI</w:t>
            </w:r>
          </w:p>
        </w:tc>
        <w:tc>
          <w:tcPr>
            <w:tcW w:w="8328" w:type="dxa"/>
          </w:tcPr>
          <w:p w14:paraId="7E04115D" w14:textId="77777777" w:rsidR="003747C7" w:rsidRPr="008A765C" w:rsidRDefault="00023E71" w:rsidP="003747C7">
            <w:pPr>
              <w:pStyle w:val="DGTextstand-alone"/>
              <w:spacing w:before="0"/>
              <w:rPr>
                <w:b/>
              </w:rPr>
            </w:pPr>
            <w:r w:rsidRPr="008A765C">
              <w:t>Electrification</w:t>
            </w:r>
            <w:r w:rsidRPr="008A765C">
              <w:rPr>
                <w:rStyle w:val="st1"/>
                <w:rFonts w:cs="Arial"/>
                <w:b/>
              </w:rPr>
              <w:t xml:space="preserve"> </w:t>
            </w:r>
            <w:r w:rsidRPr="008A765C">
              <w:rPr>
                <w:rStyle w:val="st1"/>
                <w:rFonts w:cs="Arial"/>
              </w:rPr>
              <w:t xml:space="preserve">Financing Initiative </w:t>
            </w:r>
          </w:p>
        </w:tc>
      </w:tr>
      <w:tr w:rsidR="00807FFE" w14:paraId="28885BED" w14:textId="77777777" w:rsidTr="003747C7">
        <w:tc>
          <w:tcPr>
            <w:tcW w:w="1526" w:type="dxa"/>
          </w:tcPr>
          <w:p w14:paraId="14D7CBC1" w14:textId="77777777" w:rsidR="00E45D6F" w:rsidRDefault="00023E71" w:rsidP="003747C7">
            <w:pPr>
              <w:pStyle w:val="DGTextstand-alone"/>
              <w:spacing w:before="0"/>
              <w:rPr>
                <w:color w:val="016794"/>
              </w:rPr>
            </w:pPr>
            <w:r>
              <w:rPr>
                <w:color w:val="016794"/>
              </w:rPr>
              <w:t>ELM</w:t>
            </w:r>
          </w:p>
          <w:p w14:paraId="35B05872" w14:textId="77777777" w:rsidR="003747C7" w:rsidRPr="00C82E7E" w:rsidRDefault="00023E71" w:rsidP="003747C7">
            <w:pPr>
              <w:pStyle w:val="DGTextstand-alone"/>
              <w:spacing w:before="0"/>
            </w:pPr>
            <w:r w:rsidRPr="00C82E7E">
              <w:rPr>
                <w:color w:val="016794"/>
              </w:rPr>
              <w:t>EMFF</w:t>
            </w:r>
            <w:r w:rsidRPr="00C82E7E">
              <w:t xml:space="preserve"> </w:t>
            </w:r>
          </w:p>
        </w:tc>
        <w:tc>
          <w:tcPr>
            <w:tcW w:w="8328" w:type="dxa"/>
          </w:tcPr>
          <w:p w14:paraId="493DE322" w14:textId="77777777" w:rsidR="00E45D6F" w:rsidRDefault="00023E71" w:rsidP="003747C7">
            <w:pPr>
              <w:pStyle w:val="DGTextstand-alone"/>
              <w:spacing w:before="0"/>
            </w:pPr>
            <w:r>
              <w:t>External Lending Mandate</w:t>
            </w:r>
          </w:p>
          <w:p w14:paraId="663F6165" w14:textId="77777777" w:rsidR="003747C7" w:rsidRPr="00C82E7E" w:rsidRDefault="00023E71" w:rsidP="003747C7">
            <w:pPr>
              <w:pStyle w:val="DGTextstand-alone"/>
              <w:spacing w:before="0"/>
            </w:pPr>
            <w:r w:rsidRPr="001F09A8">
              <w:t>European Maritime and Fisheries Fund</w:t>
            </w:r>
          </w:p>
        </w:tc>
      </w:tr>
      <w:tr w:rsidR="00807FFE" w14:paraId="42B46854" w14:textId="77777777" w:rsidTr="003747C7">
        <w:tc>
          <w:tcPr>
            <w:tcW w:w="1526" w:type="dxa"/>
          </w:tcPr>
          <w:p w14:paraId="123B4CB8" w14:textId="77777777" w:rsidR="003747C7" w:rsidRPr="00C82E7E" w:rsidRDefault="00023E71" w:rsidP="003747C7">
            <w:pPr>
              <w:pStyle w:val="DGTextstand-alone"/>
              <w:spacing w:before="0"/>
            </w:pPr>
            <w:r w:rsidRPr="00C82E7E">
              <w:rPr>
                <w:color w:val="016794"/>
              </w:rPr>
              <w:t>EMU</w:t>
            </w:r>
            <w:r w:rsidRPr="00C82E7E">
              <w:t xml:space="preserve"> </w:t>
            </w:r>
          </w:p>
        </w:tc>
        <w:tc>
          <w:tcPr>
            <w:tcW w:w="8328" w:type="dxa"/>
          </w:tcPr>
          <w:p w14:paraId="07FAFC79" w14:textId="77777777" w:rsidR="003747C7" w:rsidRPr="00C82E7E" w:rsidRDefault="00023E71" w:rsidP="003747C7">
            <w:pPr>
              <w:pStyle w:val="DGTextstand-alone"/>
              <w:spacing w:before="0"/>
            </w:pPr>
            <w:r w:rsidRPr="001F09A8">
              <w:t>Economic and Monetary Union</w:t>
            </w:r>
          </w:p>
        </w:tc>
      </w:tr>
      <w:tr w:rsidR="00807FFE" w14:paraId="41BBAD6C" w14:textId="77777777" w:rsidTr="003747C7">
        <w:tc>
          <w:tcPr>
            <w:tcW w:w="1526" w:type="dxa"/>
          </w:tcPr>
          <w:p w14:paraId="1E13251A" w14:textId="77777777" w:rsidR="003747C7" w:rsidRPr="00C82E7E" w:rsidRDefault="00023E71" w:rsidP="003747C7">
            <w:pPr>
              <w:pStyle w:val="DGTextstand-alone"/>
              <w:spacing w:before="0"/>
            </w:pPr>
            <w:r w:rsidRPr="00C82E7E">
              <w:rPr>
                <w:color w:val="016794"/>
              </w:rPr>
              <w:t>ENEF</w:t>
            </w:r>
            <w:r w:rsidRPr="00C82E7E">
              <w:t xml:space="preserve"> </w:t>
            </w:r>
          </w:p>
        </w:tc>
        <w:tc>
          <w:tcPr>
            <w:tcW w:w="8328" w:type="dxa"/>
          </w:tcPr>
          <w:p w14:paraId="5F830DF7" w14:textId="77777777" w:rsidR="003747C7" w:rsidRPr="00C82E7E" w:rsidRDefault="00023E71" w:rsidP="003747C7">
            <w:pPr>
              <w:pStyle w:val="DGTextstand-alone"/>
              <w:spacing w:before="0"/>
            </w:pPr>
            <w:r w:rsidRPr="001F09A8">
              <w:t>Enterprise Expansion Fund</w:t>
            </w:r>
          </w:p>
        </w:tc>
      </w:tr>
      <w:tr w:rsidR="00807FFE" w14:paraId="0CBACA4D" w14:textId="77777777" w:rsidTr="003747C7">
        <w:tc>
          <w:tcPr>
            <w:tcW w:w="1526" w:type="dxa"/>
          </w:tcPr>
          <w:p w14:paraId="57F8E944" w14:textId="77777777" w:rsidR="003747C7" w:rsidRPr="00C82E7E" w:rsidRDefault="00023E71" w:rsidP="003747C7">
            <w:pPr>
              <w:pStyle w:val="DGTextstand-alone"/>
              <w:spacing w:before="0"/>
            </w:pPr>
            <w:r w:rsidRPr="00C82E7E">
              <w:rPr>
                <w:color w:val="016794"/>
              </w:rPr>
              <w:t>ENIF</w:t>
            </w:r>
            <w:r w:rsidRPr="00C82E7E">
              <w:t xml:space="preserve"> </w:t>
            </w:r>
          </w:p>
        </w:tc>
        <w:tc>
          <w:tcPr>
            <w:tcW w:w="8328" w:type="dxa"/>
          </w:tcPr>
          <w:p w14:paraId="0319B82A" w14:textId="77777777" w:rsidR="003747C7" w:rsidRPr="00C82E7E" w:rsidRDefault="00023E71" w:rsidP="003747C7">
            <w:pPr>
              <w:pStyle w:val="DGTextstand-alone"/>
              <w:spacing w:before="0"/>
            </w:pPr>
            <w:r w:rsidRPr="001F09A8">
              <w:t>Enterprise Innovation Fund</w:t>
            </w:r>
          </w:p>
        </w:tc>
      </w:tr>
      <w:tr w:rsidR="00807FFE" w14:paraId="3A80680C" w14:textId="77777777" w:rsidTr="003747C7">
        <w:tc>
          <w:tcPr>
            <w:tcW w:w="1526" w:type="dxa"/>
          </w:tcPr>
          <w:p w14:paraId="74EF9170" w14:textId="77777777" w:rsidR="003747C7" w:rsidRPr="00C82E7E" w:rsidRDefault="00023E71" w:rsidP="003747C7">
            <w:pPr>
              <w:pStyle w:val="DGTextstand-alone"/>
              <w:spacing w:before="0"/>
            </w:pPr>
            <w:r w:rsidRPr="00C82E7E">
              <w:rPr>
                <w:color w:val="016794"/>
              </w:rPr>
              <w:t>ENPI</w:t>
            </w:r>
            <w:r w:rsidRPr="00C82E7E">
              <w:t xml:space="preserve"> </w:t>
            </w:r>
          </w:p>
        </w:tc>
        <w:tc>
          <w:tcPr>
            <w:tcW w:w="8328" w:type="dxa"/>
          </w:tcPr>
          <w:p w14:paraId="25AB5FA1" w14:textId="77777777" w:rsidR="003747C7" w:rsidRPr="00C82E7E" w:rsidRDefault="00023E71" w:rsidP="003747C7">
            <w:pPr>
              <w:pStyle w:val="DGTextstand-alone"/>
              <w:spacing w:before="0"/>
            </w:pPr>
            <w:r w:rsidRPr="001F09A8">
              <w:t>European Neighbourhood and Partnership Instrument</w:t>
            </w:r>
          </w:p>
        </w:tc>
      </w:tr>
      <w:tr w:rsidR="00807FFE" w14:paraId="702C54BA" w14:textId="77777777" w:rsidTr="003747C7">
        <w:tc>
          <w:tcPr>
            <w:tcW w:w="1526" w:type="dxa"/>
          </w:tcPr>
          <w:p w14:paraId="6B2475EA" w14:textId="77777777" w:rsidR="003747C7" w:rsidRPr="00C82E7E" w:rsidRDefault="00023E71" w:rsidP="003747C7">
            <w:pPr>
              <w:pStyle w:val="DGTextstand-alone"/>
              <w:spacing w:before="0"/>
            </w:pPr>
            <w:r w:rsidRPr="00C82E7E">
              <w:rPr>
                <w:color w:val="016794"/>
              </w:rPr>
              <w:t>EP</w:t>
            </w:r>
            <w:r w:rsidRPr="00C82E7E">
              <w:t xml:space="preserve"> </w:t>
            </w:r>
          </w:p>
        </w:tc>
        <w:tc>
          <w:tcPr>
            <w:tcW w:w="8328" w:type="dxa"/>
          </w:tcPr>
          <w:p w14:paraId="70CC7EE0" w14:textId="77777777" w:rsidR="003747C7" w:rsidRPr="00C82E7E" w:rsidRDefault="00023E71" w:rsidP="003747C7">
            <w:pPr>
              <w:pStyle w:val="DGTextstand-alone"/>
              <w:spacing w:before="0"/>
            </w:pPr>
            <w:r w:rsidRPr="001F09A8">
              <w:t>European Parliament</w:t>
            </w:r>
          </w:p>
        </w:tc>
      </w:tr>
      <w:tr w:rsidR="00807FFE" w14:paraId="3B67F39F" w14:textId="77777777" w:rsidTr="003747C7">
        <w:tc>
          <w:tcPr>
            <w:tcW w:w="1526" w:type="dxa"/>
          </w:tcPr>
          <w:p w14:paraId="6FBB5F6D" w14:textId="77777777" w:rsidR="003747C7" w:rsidRPr="009E7582" w:rsidRDefault="00023E71" w:rsidP="003747C7">
            <w:pPr>
              <w:pStyle w:val="DGTextstand-alone"/>
              <w:spacing w:before="0"/>
            </w:pPr>
            <w:r w:rsidRPr="009E7582">
              <w:rPr>
                <w:color w:val="016794"/>
              </w:rPr>
              <w:t>ERDF</w:t>
            </w:r>
            <w:r w:rsidRPr="009E7582">
              <w:t xml:space="preserve"> </w:t>
            </w:r>
          </w:p>
        </w:tc>
        <w:tc>
          <w:tcPr>
            <w:tcW w:w="8328" w:type="dxa"/>
          </w:tcPr>
          <w:p w14:paraId="0248BC2E" w14:textId="77777777" w:rsidR="003747C7" w:rsidRPr="009E7582" w:rsidRDefault="00023E71" w:rsidP="003747C7">
            <w:pPr>
              <w:pStyle w:val="DGTextstand-alone"/>
              <w:spacing w:before="0"/>
            </w:pPr>
            <w:r w:rsidRPr="001F09A8">
              <w:t>European Regional Development Fund</w:t>
            </w:r>
          </w:p>
        </w:tc>
      </w:tr>
      <w:tr w:rsidR="00807FFE" w14:paraId="278B7A6C" w14:textId="77777777" w:rsidTr="003747C7">
        <w:tc>
          <w:tcPr>
            <w:tcW w:w="1526" w:type="dxa"/>
          </w:tcPr>
          <w:p w14:paraId="1DF9FC79" w14:textId="77777777" w:rsidR="00E45D6F" w:rsidRDefault="00023E71" w:rsidP="003747C7">
            <w:pPr>
              <w:pStyle w:val="DGTextstand-alone"/>
              <w:spacing w:before="0"/>
              <w:rPr>
                <w:color w:val="016794"/>
              </w:rPr>
            </w:pPr>
            <w:r>
              <w:rPr>
                <w:color w:val="016794"/>
              </w:rPr>
              <w:t>ERI</w:t>
            </w:r>
          </w:p>
          <w:p w14:paraId="1A57730B" w14:textId="77777777" w:rsidR="003747C7" w:rsidRPr="009E7582" w:rsidRDefault="00023E71" w:rsidP="003747C7">
            <w:pPr>
              <w:pStyle w:val="DGTextstand-alone"/>
              <w:spacing w:before="0"/>
            </w:pPr>
            <w:r w:rsidRPr="009E7582">
              <w:rPr>
                <w:color w:val="016794"/>
              </w:rPr>
              <w:t>ESA</w:t>
            </w:r>
            <w:r w:rsidRPr="009E7582">
              <w:t xml:space="preserve"> </w:t>
            </w:r>
          </w:p>
        </w:tc>
        <w:tc>
          <w:tcPr>
            <w:tcW w:w="8328" w:type="dxa"/>
          </w:tcPr>
          <w:p w14:paraId="27E5329B" w14:textId="77777777" w:rsidR="00E45D6F" w:rsidRDefault="00023E71" w:rsidP="003747C7">
            <w:pPr>
              <w:pStyle w:val="DGTextstand-alone"/>
              <w:spacing w:before="0"/>
            </w:pPr>
            <w:r>
              <w:t>EIB Resilience Initiative</w:t>
            </w:r>
          </w:p>
          <w:p w14:paraId="1ED33456" w14:textId="77777777" w:rsidR="003747C7" w:rsidRPr="009E7582" w:rsidRDefault="00023E71" w:rsidP="003747C7">
            <w:pPr>
              <w:pStyle w:val="DGTextstand-alone"/>
              <w:spacing w:before="0"/>
            </w:pPr>
            <w:r w:rsidRPr="001F09A8">
              <w:t>European Space Agency</w:t>
            </w:r>
          </w:p>
        </w:tc>
      </w:tr>
      <w:tr w:rsidR="00807FFE" w14:paraId="4C3D2062" w14:textId="77777777" w:rsidTr="003747C7">
        <w:tc>
          <w:tcPr>
            <w:tcW w:w="1526" w:type="dxa"/>
          </w:tcPr>
          <w:p w14:paraId="2CE43709" w14:textId="77777777" w:rsidR="003747C7" w:rsidRPr="009E7582" w:rsidRDefault="00023E71" w:rsidP="003747C7">
            <w:pPr>
              <w:pStyle w:val="DGTextstand-alone"/>
              <w:spacing w:before="0"/>
            </w:pPr>
            <w:r w:rsidRPr="009E7582">
              <w:rPr>
                <w:color w:val="016794"/>
              </w:rPr>
              <w:t>ESF</w:t>
            </w:r>
            <w:r w:rsidRPr="009E7582">
              <w:t xml:space="preserve"> </w:t>
            </w:r>
          </w:p>
        </w:tc>
        <w:tc>
          <w:tcPr>
            <w:tcW w:w="8328" w:type="dxa"/>
          </w:tcPr>
          <w:p w14:paraId="4A2017C8" w14:textId="77777777" w:rsidR="003747C7" w:rsidRPr="009E7582" w:rsidRDefault="00023E71" w:rsidP="003747C7">
            <w:pPr>
              <w:pStyle w:val="DGTextstand-alone"/>
              <w:spacing w:before="0"/>
            </w:pPr>
            <w:r w:rsidRPr="001F09A8">
              <w:t>European Social Fund</w:t>
            </w:r>
          </w:p>
        </w:tc>
      </w:tr>
      <w:tr w:rsidR="00807FFE" w14:paraId="516C8399" w14:textId="77777777" w:rsidTr="003747C7">
        <w:tc>
          <w:tcPr>
            <w:tcW w:w="1526" w:type="dxa"/>
          </w:tcPr>
          <w:p w14:paraId="60102970" w14:textId="77777777" w:rsidR="003747C7" w:rsidRPr="009E7582" w:rsidRDefault="00023E71" w:rsidP="003747C7">
            <w:pPr>
              <w:pStyle w:val="DGTextstand-alone"/>
              <w:spacing w:before="0"/>
            </w:pPr>
            <w:r w:rsidRPr="009E7582">
              <w:rPr>
                <w:color w:val="016794"/>
              </w:rPr>
              <w:t>ESIF</w:t>
            </w:r>
            <w:r w:rsidRPr="009E7582">
              <w:t xml:space="preserve"> </w:t>
            </w:r>
          </w:p>
        </w:tc>
        <w:tc>
          <w:tcPr>
            <w:tcW w:w="8328" w:type="dxa"/>
          </w:tcPr>
          <w:p w14:paraId="6712A5B8" w14:textId="77777777" w:rsidR="003747C7" w:rsidRPr="009E7582" w:rsidRDefault="00023E71" w:rsidP="003747C7">
            <w:pPr>
              <w:pStyle w:val="DGTextstand-alone"/>
              <w:spacing w:before="0"/>
            </w:pPr>
            <w:r w:rsidRPr="001F09A8">
              <w:t>European Structural and Investment Funds</w:t>
            </w:r>
          </w:p>
        </w:tc>
      </w:tr>
      <w:tr w:rsidR="00807FFE" w14:paraId="068F4E9F" w14:textId="77777777" w:rsidTr="003747C7">
        <w:tc>
          <w:tcPr>
            <w:tcW w:w="1526" w:type="dxa"/>
          </w:tcPr>
          <w:p w14:paraId="4B0152CF" w14:textId="77777777" w:rsidR="003747C7" w:rsidRPr="009E7582" w:rsidRDefault="00023E71" w:rsidP="003747C7">
            <w:pPr>
              <w:pStyle w:val="DGTextstand-alone"/>
              <w:spacing w:before="0"/>
            </w:pPr>
            <w:r w:rsidRPr="009E7582">
              <w:rPr>
                <w:color w:val="016794"/>
              </w:rPr>
              <w:t>ESM</w:t>
            </w:r>
            <w:r w:rsidRPr="009E7582">
              <w:t xml:space="preserve"> </w:t>
            </w:r>
          </w:p>
        </w:tc>
        <w:tc>
          <w:tcPr>
            <w:tcW w:w="8328" w:type="dxa"/>
          </w:tcPr>
          <w:p w14:paraId="0CD29AF5" w14:textId="77777777" w:rsidR="003747C7" w:rsidRPr="009E7582" w:rsidRDefault="00023E71" w:rsidP="003747C7">
            <w:pPr>
              <w:pStyle w:val="DGTextstand-alone"/>
              <w:spacing w:before="0"/>
            </w:pPr>
            <w:r w:rsidRPr="001F09A8">
              <w:t>European Stability Mechanism</w:t>
            </w:r>
          </w:p>
        </w:tc>
      </w:tr>
      <w:tr w:rsidR="00807FFE" w14:paraId="12752C7E" w14:textId="77777777" w:rsidTr="003747C7">
        <w:tc>
          <w:tcPr>
            <w:tcW w:w="1526" w:type="dxa"/>
          </w:tcPr>
          <w:p w14:paraId="42C7E448" w14:textId="77777777" w:rsidR="003747C7" w:rsidRPr="009E7582" w:rsidRDefault="00023E71" w:rsidP="003747C7">
            <w:pPr>
              <w:pStyle w:val="DGTextstand-alone"/>
              <w:spacing w:before="0"/>
            </w:pPr>
            <w:r w:rsidRPr="009E7582">
              <w:rPr>
                <w:color w:val="016794"/>
              </w:rPr>
              <w:t>ETF</w:t>
            </w:r>
            <w:r w:rsidRPr="009E7582">
              <w:t xml:space="preserve"> </w:t>
            </w:r>
          </w:p>
        </w:tc>
        <w:tc>
          <w:tcPr>
            <w:tcW w:w="8328" w:type="dxa"/>
          </w:tcPr>
          <w:p w14:paraId="098D72AE" w14:textId="77777777" w:rsidR="003747C7" w:rsidRPr="009E7582" w:rsidRDefault="00023E71" w:rsidP="003747C7">
            <w:pPr>
              <w:pStyle w:val="DGTextstand-alone"/>
              <w:spacing w:before="0"/>
            </w:pPr>
            <w:r w:rsidRPr="00864117">
              <w:t>Exchange-Traded Fund</w:t>
            </w:r>
          </w:p>
        </w:tc>
      </w:tr>
      <w:tr w:rsidR="00807FFE" w14:paraId="74DCA52E" w14:textId="77777777" w:rsidTr="003747C7">
        <w:tc>
          <w:tcPr>
            <w:tcW w:w="1526" w:type="dxa"/>
          </w:tcPr>
          <w:p w14:paraId="3438A8DA" w14:textId="77777777" w:rsidR="00B74BCB" w:rsidRDefault="00023E71" w:rsidP="003747C7">
            <w:pPr>
              <w:pStyle w:val="DGTextstand-alone"/>
              <w:spacing w:before="0"/>
              <w:rPr>
                <w:color w:val="016794"/>
              </w:rPr>
            </w:pPr>
            <w:r>
              <w:rPr>
                <w:color w:val="016794"/>
              </w:rPr>
              <w:t>ETS</w:t>
            </w:r>
          </w:p>
          <w:p w14:paraId="7CB28D2E" w14:textId="77777777" w:rsidR="003747C7" w:rsidRPr="009E7582" w:rsidRDefault="00023E71" w:rsidP="003747C7">
            <w:pPr>
              <w:pStyle w:val="DGTextstand-alone"/>
              <w:spacing w:before="0"/>
            </w:pPr>
            <w:r w:rsidRPr="009E7582">
              <w:rPr>
                <w:color w:val="016794"/>
              </w:rPr>
              <w:t>EU</w:t>
            </w:r>
            <w:r w:rsidRPr="009E7582">
              <w:t xml:space="preserve"> </w:t>
            </w:r>
          </w:p>
        </w:tc>
        <w:tc>
          <w:tcPr>
            <w:tcW w:w="8328" w:type="dxa"/>
          </w:tcPr>
          <w:p w14:paraId="68DF23AE" w14:textId="77777777" w:rsidR="00B74BCB" w:rsidRDefault="00023E71" w:rsidP="003747C7">
            <w:pPr>
              <w:pStyle w:val="DGTextstand-alone"/>
              <w:spacing w:before="0"/>
            </w:pPr>
            <w:r>
              <w:t>Emissions trading scheme</w:t>
            </w:r>
          </w:p>
          <w:p w14:paraId="5368C1B8" w14:textId="77777777" w:rsidR="003747C7" w:rsidRPr="009E7582" w:rsidRDefault="00023E71" w:rsidP="003747C7">
            <w:pPr>
              <w:pStyle w:val="DGTextstand-alone"/>
              <w:spacing w:before="0"/>
            </w:pPr>
            <w:r w:rsidRPr="001F09A8">
              <w:t>European Union</w:t>
            </w:r>
          </w:p>
        </w:tc>
      </w:tr>
      <w:tr w:rsidR="00807FFE" w14:paraId="53B37E4E" w14:textId="77777777" w:rsidTr="003747C7">
        <w:tc>
          <w:tcPr>
            <w:tcW w:w="1526" w:type="dxa"/>
          </w:tcPr>
          <w:p w14:paraId="4FB9C0C8" w14:textId="77777777" w:rsidR="003747C7" w:rsidRPr="008B5301" w:rsidRDefault="00023E71" w:rsidP="003747C7">
            <w:pPr>
              <w:pStyle w:val="DGTextstand-alone"/>
              <w:spacing w:before="0"/>
            </w:pPr>
            <w:r w:rsidRPr="008B5301">
              <w:rPr>
                <w:color w:val="016794"/>
              </w:rPr>
              <w:t>EUMETSAT</w:t>
            </w:r>
            <w:r w:rsidRPr="008B5301">
              <w:t xml:space="preserve"> </w:t>
            </w:r>
          </w:p>
        </w:tc>
        <w:tc>
          <w:tcPr>
            <w:tcW w:w="8328" w:type="dxa"/>
          </w:tcPr>
          <w:p w14:paraId="2425A83A" w14:textId="77777777" w:rsidR="003747C7" w:rsidRPr="008B5301" w:rsidRDefault="00023E71" w:rsidP="003747C7">
            <w:pPr>
              <w:pStyle w:val="DGTextstand-alone"/>
              <w:spacing w:before="0"/>
              <w:rPr>
                <w:highlight w:val="yellow"/>
              </w:rPr>
            </w:pPr>
            <w:r w:rsidRPr="008B5301">
              <w:rPr>
                <w:bCs/>
                <w:iCs/>
                <w:lang w:val="en"/>
              </w:rPr>
              <w:t>Eu</w:t>
            </w:r>
            <w:r w:rsidRPr="008B5301">
              <w:rPr>
                <w:iCs/>
                <w:lang w:val="en"/>
              </w:rPr>
              <w:t xml:space="preserve">ropean Organisation for the Exploitation of </w:t>
            </w:r>
            <w:r w:rsidRPr="008B5301">
              <w:rPr>
                <w:bCs/>
                <w:iCs/>
                <w:lang w:val="en"/>
              </w:rPr>
              <w:t>Met</w:t>
            </w:r>
            <w:r w:rsidRPr="008B5301">
              <w:rPr>
                <w:iCs/>
                <w:lang w:val="en"/>
              </w:rPr>
              <w:t xml:space="preserve">eorological </w:t>
            </w:r>
            <w:r w:rsidRPr="008B5301">
              <w:rPr>
                <w:bCs/>
                <w:iCs/>
                <w:lang w:val="en"/>
              </w:rPr>
              <w:t>Sat</w:t>
            </w:r>
            <w:r w:rsidRPr="008B5301">
              <w:rPr>
                <w:iCs/>
                <w:lang w:val="en"/>
              </w:rPr>
              <w:t>ellites</w:t>
            </w:r>
          </w:p>
        </w:tc>
      </w:tr>
      <w:tr w:rsidR="00807FFE" w14:paraId="3A85FA64" w14:textId="77777777" w:rsidTr="003747C7">
        <w:tc>
          <w:tcPr>
            <w:tcW w:w="1526" w:type="dxa"/>
          </w:tcPr>
          <w:p w14:paraId="280149E2" w14:textId="77777777" w:rsidR="003747C7" w:rsidRPr="008B5301" w:rsidRDefault="00023E71" w:rsidP="003747C7">
            <w:pPr>
              <w:pStyle w:val="DGTextstand-alone"/>
              <w:spacing w:before="0"/>
            </w:pPr>
            <w:r w:rsidRPr="008B5301">
              <w:rPr>
                <w:color w:val="016794"/>
              </w:rPr>
              <w:t>Euratom</w:t>
            </w:r>
          </w:p>
        </w:tc>
        <w:tc>
          <w:tcPr>
            <w:tcW w:w="8328" w:type="dxa"/>
          </w:tcPr>
          <w:p w14:paraId="547C2AE2" w14:textId="77777777" w:rsidR="003747C7" w:rsidRPr="008B5301" w:rsidRDefault="00023E71" w:rsidP="003747C7">
            <w:pPr>
              <w:pStyle w:val="DGTextstand-alone"/>
              <w:spacing w:before="0"/>
            </w:pPr>
            <w:r w:rsidRPr="008B5301">
              <w:rPr>
                <w:bCs/>
                <w:lang w:val="en"/>
              </w:rPr>
              <w:t>European Atomic Energy Community</w:t>
            </w:r>
          </w:p>
        </w:tc>
      </w:tr>
      <w:tr w:rsidR="00807FFE" w14:paraId="342AA64D" w14:textId="77777777" w:rsidTr="003747C7">
        <w:tc>
          <w:tcPr>
            <w:tcW w:w="1526" w:type="dxa"/>
          </w:tcPr>
          <w:p w14:paraId="40E3A372" w14:textId="77777777" w:rsidR="00D6106A" w:rsidRDefault="00023E71" w:rsidP="003747C7">
            <w:pPr>
              <w:pStyle w:val="DGTextstand-alone"/>
              <w:spacing w:before="0"/>
              <w:rPr>
                <w:color w:val="016794"/>
              </w:rPr>
            </w:pPr>
            <w:r>
              <w:rPr>
                <w:color w:val="016794"/>
              </w:rPr>
              <w:t>EUSF</w:t>
            </w:r>
          </w:p>
          <w:p w14:paraId="78023370" w14:textId="77777777" w:rsidR="00864117" w:rsidRPr="008B5301" w:rsidRDefault="00023E71" w:rsidP="003747C7">
            <w:pPr>
              <w:pStyle w:val="DGTextstand-alone"/>
              <w:spacing w:before="0"/>
              <w:rPr>
                <w:color w:val="016794"/>
              </w:rPr>
            </w:pPr>
            <w:r w:rsidRPr="00864117">
              <w:rPr>
                <w:color w:val="016794"/>
              </w:rPr>
              <w:t>FGC</w:t>
            </w:r>
          </w:p>
        </w:tc>
        <w:tc>
          <w:tcPr>
            <w:tcW w:w="8328" w:type="dxa"/>
          </w:tcPr>
          <w:p w14:paraId="077C4687" w14:textId="77777777" w:rsidR="00D6106A" w:rsidRDefault="00023E71" w:rsidP="00864117">
            <w:pPr>
              <w:pStyle w:val="DGTextstand-alone"/>
              <w:spacing w:before="0"/>
              <w:rPr>
                <w:bCs/>
                <w:lang w:val="en"/>
              </w:rPr>
            </w:pPr>
            <w:r>
              <w:t>European Union solidarity Fund</w:t>
            </w:r>
          </w:p>
          <w:p w14:paraId="45AA5FD1" w14:textId="77777777" w:rsidR="00864117" w:rsidRPr="008B5301" w:rsidRDefault="00023E71" w:rsidP="00864117">
            <w:pPr>
              <w:pStyle w:val="DGTextstand-alone"/>
              <w:spacing w:before="0"/>
              <w:rPr>
                <w:bCs/>
                <w:lang w:val="en"/>
              </w:rPr>
            </w:pPr>
            <w:r>
              <w:rPr>
                <w:bCs/>
                <w:lang w:val="en"/>
              </w:rPr>
              <w:t>F</w:t>
            </w:r>
            <w:r w:rsidRPr="00864117">
              <w:rPr>
                <w:bCs/>
                <w:lang w:val="en"/>
              </w:rPr>
              <w:t xml:space="preserve">inancial </w:t>
            </w:r>
            <w:r>
              <w:rPr>
                <w:bCs/>
                <w:lang w:val="en"/>
              </w:rPr>
              <w:t>G</w:t>
            </w:r>
            <w:r w:rsidRPr="00864117">
              <w:rPr>
                <w:bCs/>
                <w:lang w:val="en"/>
              </w:rPr>
              <w:t xml:space="preserve">uarantee </w:t>
            </w:r>
            <w:r>
              <w:rPr>
                <w:bCs/>
                <w:lang w:val="en"/>
              </w:rPr>
              <w:t>C</w:t>
            </w:r>
            <w:r w:rsidRPr="00864117">
              <w:rPr>
                <w:bCs/>
                <w:lang w:val="en"/>
              </w:rPr>
              <w:t>ontract</w:t>
            </w:r>
          </w:p>
        </w:tc>
      </w:tr>
      <w:tr w:rsidR="00807FFE" w14:paraId="7A685E83" w14:textId="77777777" w:rsidTr="003747C7">
        <w:tc>
          <w:tcPr>
            <w:tcW w:w="1526" w:type="dxa"/>
          </w:tcPr>
          <w:p w14:paraId="633A957D" w14:textId="77777777" w:rsidR="003747C7" w:rsidRPr="008B5301" w:rsidRDefault="00023E71" w:rsidP="003747C7">
            <w:pPr>
              <w:pStyle w:val="DGTextstand-alone"/>
              <w:spacing w:before="0"/>
              <w:rPr>
                <w:rStyle w:val="st1"/>
                <w:rFonts w:cs="Arial"/>
              </w:rPr>
            </w:pPr>
            <w:r w:rsidRPr="008B5301">
              <w:rPr>
                <w:color w:val="016794"/>
              </w:rPr>
              <w:t>FIFO</w:t>
            </w:r>
          </w:p>
        </w:tc>
        <w:tc>
          <w:tcPr>
            <w:tcW w:w="8328" w:type="dxa"/>
          </w:tcPr>
          <w:p w14:paraId="5985BB1E" w14:textId="77777777" w:rsidR="003747C7" w:rsidRPr="008B5301" w:rsidRDefault="00023E71" w:rsidP="003747C7">
            <w:pPr>
              <w:pStyle w:val="DGTextstand-alone"/>
              <w:spacing w:before="0"/>
              <w:rPr>
                <w:rStyle w:val="st1"/>
                <w:rFonts w:cs="Arial"/>
              </w:rPr>
            </w:pPr>
            <w:r w:rsidRPr="00DE2176">
              <w:rPr>
                <w:rStyle w:val="st1"/>
                <w:rFonts w:cs="Arial"/>
              </w:rPr>
              <w:t>First-in, First-out</w:t>
            </w:r>
          </w:p>
        </w:tc>
      </w:tr>
      <w:tr w:rsidR="00807FFE" w14:paraId="19AE47AD" w14:textId="77777777" w:rsidTr="003747C7">
        <w:tc>
          <w:tcPr>
            <w:tcW w:w="1526" w:type="dxa"/>
          </w:tcPr>
          <w:p w14:paraId="10FEC805" w14:textId="77777777" w:rsidR="003747C7" w:rsidRPr="008B5301" w:rsidRDefault="00023E71" w:rsidP="003747C7">
            <w:pPr>
              <w:pStyle w:val="DGTextstand-alone"/>
              <w:spacing w:before="0"/>
            </w:pPr>
            <w:r w:rsidRPr="008B5301">
              <w:rPr>
                <w:color w:val="016794"/>
              </w:rPr>
              <w:t>FP7</w:t>
            </w:r>
            <w:r w:rsidRPr="008B5301">
              <w:t xml:space="preserve"> </w:t>
            </w:r>
          </w:p>
        </w:tc>
        <w:tc>
          <w:tcPr>
            <w:tcW w:w="8328" w:type="dxa"/>
          </w:tcPr>
          <w:p w14:paraId="194C282F" w14:textId="77777777" w:rsidR="003747C7" w:rsidRPr="008B5301" w:rsidRDefault="00023E71" w:rsidP="003747C7">
            <w:pPr>
              <w:pStyle w:val="DGTextstand-alone"/>
              <w:spacing w:before="0"/>
            </w:pPr>
            <w:r w:rsidRPr="001F09A8">
              <w:t>7th Research Framework Programme for Research and Technological Development</w:t>
            </w:r>
          </w:p>
        </w:tc>
      </w:tr>
      <w:tr w:rsidR="00807FFE" w14:paraId="71627765" w14:textId="77777777" w:rsidTr="003747C7">
        <w:tc>
          <w:tcPr>
            <w:tcW w:w="1526" w:type="dxa"/>
          </w:tcPr>
          <w:p w14:paraId="4E007EF4" w14:textId="77777777" w:rsidR="003747C7" w:rsidRPr="008B5301" w:rsidRDefault="00023E71" w:rsidP="003747C7">
            <w:pPr>
              <w:pStyle w:val="DGTextstand-alone"/>
              <w:spacing w:before="0"/>
            </w:pPr>
            <w:r w:rsidRPr="008B5301">
              <w:rPr>
                <w:color w:val="016794"/>
              </w:rPr>
              <w:t>FR</w:t>
            </w:r>
            <w:r w:rsidRPr="008B5301">
              <w:t xml:space="preserve"> </w:t>
            </w:r>
          </w:p>
        </w:tc>
        <w:tc>
          <w:tcPr>
            <w:tcW w:w="8328" w:type="dxa"/>
          </w:tcPr>
          <w:p w14:paraId="04133EF2" w14:textId="77777777" w:rsidR="003747C7" w:rsidRPr="008B5301" w:rsidRDefault="00023E71" w:rsidP="003747C7">
            <w:pPr>
              <w:pStyle w:val="DGTextstand-alone"/>
              <w:spacing w:before="0"/>
            </w:pPr>
            <w:r>
              <w:t xml:space="preserve">EU </w:t>
            </w:r>
            <w:r w:rsidR="0076445A" w:rsidRPr="001F09A8">
              <w:t>Financial Regulation</w:t>
            </w:r>
          </w:p>
        </w:tc>
      </w:tr>
      <w:tr w:rsidR="00807FFE" w14:paraId="00A87E14" w14:textId="77777777" w:rsidTr="003747C7">
        <w:tc>
          <w:tcPr>
            <w:tcW w:w="1526" w:type="dxa"/>
          </w:tcPr>
          <w:p w14:paraId="698B4158" w14:textId="77777777" w:rsidR="003747C7" w:rsidRPr="008B5301" w:rsidRDefault="00023E71" w:rsidP="003747C7">
            <w:pPr>
              <w:pStyle w:val="DGTextstand-alone"/>
              <w:spacing w:before="0"/>
            </w:pPr>
            <w:r w:rsidRPr="00DE2176">
              <w:rPr>
                <w:color w:val="016794"/>
              </w:rPr>
              <w:t>FSDA</w:t>
            </w:r>
            <w:r w:rsidRPr="001F09A8">
              <w:t xml:space="preserve"> </w:t>
            </w:r>
            <w:r>
              <w:tab/>
            </w:r>
          </w:p>
        </w:tc>
        <w:tc>
          <w:tcPr>
            <w:tcW w:w="8328" w:type="dxa"/>
          </w:tcPr>
          <w:p w14:paraId="1E56BD4A" w14:textId="77777777" w:rsidR="003747C7" w:rsidRPr="008B5301" w:rsidRDefault="00023E71" w:rsidP="003747C7">
            <w:pPr>
              <w:pStyle w:val="DGTextstand-alone"/>
              <w:spacing w:before="0"/>
            </w:pPr>
            <w:r w:rsidRPr="001F09A8">
              <w:t>Financial Statement Discussion and Analysis</w:t>
            </w:r>
          </w:p>
        </w:tc>
      </w:tr>
      <w:tr w:rsidR="00807FFE" w14:paraId="300C34DC" w14:textId="77777777" w:rsidTr="003747C7">
        <w:tc>
          <w:tcPr>
            <w:tcW w:w="1526" w:type="dxa"/>
          </w:tcPr>
          <w:p w14:paraId="5AF96F99" w14:textId="77777777" w:rsidR="00D45AB5" w:rsidRPr="00DE2176" w:rsidRDefault="00023E71" w:rsidP="003747C7">
            <w:pPr>
              <w:pStyle w:val="DGTextstand-alone"/>
              <w:spacing w:before="0"/>
              <w:rPr>
                <w:color w:val="016794"/>
              </w:rPr>
            </w:pPr>
            <w:r w:rsidRPr="00D45AB5">
              <w:rPr>
                <w:color w:val="016794"/>
              </w:rPr>
              <w:t>FVNA</w:t>
            </w:r>
          </w:p>
        </w:tc>
        <w:tc>
          <w:tcPr>
            <w:tcW w:w="8328" w:type="dxa"/>
          </w:tcPr>
          <w:p w14:paraId="2E3B327A" w14:textId="77777777" w:rsidR="00D45AB5" w:rsidRPr="001F09A8" w:rsidRDefault="00023E71" w:rsidP="00D45AB5">
            <w:pPr>
              <w:pStyle w:val="DGTextstand-alone"/>
              <w:spacing w:before="0"/>
            </w:pPr>
            <w:r>
              <w:t>Fair Value through N</w:t>
            </w:r>
            <w:r w:rsidRPr="00D45AB5">
              <w:t xml:space="preserve">et </w:t>
            </w:r>
            <w:r>
              <w:t>A</w:t>
            </w:r>
            <w:r w:rsidRPr="00D45AB5">
              <w:t>ssets/</w:t>
            </w:r>
            <w:r>
              <w:t>E</w:t>
            </w:r>
            <w:r w:rsidRPr="00D45AB5">
              <w:t>quity</w:t>
            </w:r>
          </w:p>
        </w:tc>
      </w:tr>
      <w:tr w:rsidR="00807FFE" w14:paraId="12005158" w14:textId="77777777" w:rsidTr="003747C7">
        <w:tc>
          <w:tcPr>
            <w:tcW w:w="1526" w:type="dxa"/>
          </w:tcPr>
          <w:p w14:paraId="5F549AC9" w14:textId="77777777" w:rsidR="00367AA8" w:rsidRPr="00DE2176" w:rsidRDefault="00023E71" w:rsidP="00367AA8">
            <w:pPr>
              <w:pStyle w:val="DGTextstand-alone"/>
              <w:spacing w:before="0"/>
              <w:rPr>
                <w:color w:val="016794"/>
              </w:rPr>
            </w:pPr>
            <w:r w:rsidRPr="00367AA8">
              <w:rPr>
                <w:color w:val="016794"/>
              </w:rPr>
              <w:t>F</w:t>
            </w:r>
            <w:r>
              <w:rPr>
                <w:color w:val="016794"/>
              </w:rPr>
              <w:t>VS</w:t>
            </w:r>
            <w:r w:rsidRPr="00367AA8">
              <w:rPr>
                <w:color w:val="016794"/>
              </w:rPr>
              <w:t>D</w:t>
            </w:r>
          </w:p>
        </w:tc>
        <w:tc>
          <w:tcPr>
            <w:tcW w:w="8328" w:type="dxa"/>
          </w:tcPr>
          <w:p w14:paraId="4BC2FA12" w14:textId="77777777" w:rsidR="00367AA8" w:rsidRPr="001F09A8" w:rsidRDefault="00023E71" w:rsidP="00367AA8">
            <w:pPr>
              <w:pStyle w:val="DGTextstand-alone"/>
              <w:spacing w:before="0"/>
            </w:pPr>
            <w:r>
              <w:t>Fair V</w:t>
            </w:r>
            <w:r w:rsidRPr="00367AA8">
              <w:t xml:space="preserve">alue through </w:t>
            </w:r>
            <w:r>
              <w:t>S</w:t>
            </w:r>
            <w:r w:rsidRPr="00367AA8">
              <w:t xml:space="preserve">urplus or </w:t>
            </w:r>
            <w:r>
              <w:t>D</w:t>
            </w:r>
            <w:r w:rsidRPr="00367AA8">
              <w:t>eficit</w:t>
            </w:r>
          </w:p>
        </w:tc>
      </w:tr>
      <w:tr w:rsidR="00807FFE" w14:paraId="11FF5837" w14:textId="77777777" w:rsidTr="003747C7">
        <w:tc>
          <w:tcPr>
            <w:tcW w:w="1526" w:type="dxa"/>
          </w:tcPr>
          <w:p w14:paraId="313D576A" w14:textId="77777777" w:rsidR="003747C7" w:rsidRPr="003747C7" w:rsidRDefault="00023E71" w:rsidP="003747C7">
            <w:pPr>
              <w:pStyle w:val="DGTextstand-alone"/>
              <w:spacing w:before="0"/>
              <w:rPr>
                <w:b/>
              </w:rPr>
            </w:pPr>
            <w:r w:rsidRPr="00DE2176">
              <w:rPr>
                <w:color w:val="016794"/>
              </w:rPr>
              <w:t>GDP</w:t>
            </w:r>
          </w:p>
        </w:tc>
        <w:tc>
          <w:tcPr>
            <w:tcW w:w="8328" w:type="dxa"/>
          </w:tcPr>
          <w:p w14:paraId="194F4B10" w14:textId="77777777" w:rsidR="003747C7" w:rsidRPr="008B5301" w:rsidRDefault="00023E71" w:rsidP="003747C7">
            <w:pPr>
              <w:pStyle w:val="DGTextstand-alone"/>
              <w:spacing w:before="0"/>
            </w:pPr>
            <w:r w:rsidRPr="0073492C">
              <w:t>Gross Domestic Product</w:t>
            </w:r>
          </w:p>
        </w:tc>
      </w:tr>
      <w:tr w:rsidR="00807FFE" w14:paraId="66D574D7" w14:textId="77777777" w:rsidTr="003747C7">
        <w:tc>
          <w:tcPr>
            <w:tcW w:w="1526" w:type="dxa"/>
          </w:tcPr>
          <w:p w14:paraId="0BE800B0" w14:textId="77777777" w:rsidR="003747C7" w:rsidRPr="005C1E1F" w:rsidRDefault="00023E71" w:rsidP="003747C7">
            <w:pPr>
              <w:pStyle w:val="DGTextstand-alone"/>
              <w:spacing w:before="0"/>
            </w:pPr>
            <w:r w:rsidRPr="005C1E1F">
              <w:rPr>
                <w:color w:val="016794"/>
              </w:rPr>
              <w:t>GNI</w:t>
            </w:r>
            <w:r w:rsidRPr="005C1E1F">
              <w:t xml:space="preserve"> </w:t>
            </w:r>
          </w:p>
        </w:tc>
        <w:tc>
          <w:tcPr>
            <w:tcW w:w="8328" w:type="dxa"/>
          </w:tcPr>
          <w:p w14:paraId="5E6F1715" w14:textId="77777777" w:rsidR="003747C7" w:rsidRPr="005C1E1F" w:rsidRDefault="00023E71" w:rsidP="003747C7">
            <w:pPr>
              <w:pStyle w:val="DGTextstand-alone"/>
              <w:spacing w:before="0"/>
            </w:pPr>
            <w:r w:rsidRPr="001F09A8">
              <w:t>Gross National Income</w:t>
            </w:r>
          </w:p>
        </w:tc>
      </w:tr>
      <w:tr w:rsidR="00807FFE" w14:paraId="40DC0751" w14:textId="77777777" w:rsidTr="003747C7">
        <w:tc>
          <w:tcPr>
            <w:tcW w:w="1526" w:type="dxa"/>
          </w:tcPr>
          <w:p w14:paraId="25F051BF" w14:textId="77777777" w:rsidR="003747C7" w:rsidRPr="005C1E1F" w:rsidRDefault="00023E71" w:rsidP="003747C7">
            <w:pPr>
              <w:pStyle w:val="DGTextstand-alone"/>
              <w:spacing w:before="0"/>
            </w:pPr>
            <w:r w:rsidRPr="005C1E1F">
              <w:rPr>
                <w:color w:val="016794"/>
              </w:rPr>
              <w:t>GNSS</w:t>
            </w:r>
            <w:r w:rsidRPr="005C1E1F">
              <w:t xml:space="preserve"> </w:t>
            </w:r>
          </w:p>
        </w:tc>
        <w:tc>
          <w:tcPr>
            <w:tcW w:w="8328" w:type="dxa"/>
          </w:tcPr>
          <w:p w14:paraId="0F7CC69C" w14:textId="77777777" w:rsidR="003747C7" w:rsidRPr="005C1E1F" w:rsidRDefault="00023E71" w:rsidP="003747C7">
            <w:pPr>
              <w:pStyle w:val="DGTextstand-alone"/>
              <w:spacing w:before="0"/>
            </w:pPr>
            <w:r w:rsidRPr="001F09A8">
              <w:t>Global Navigation Satellite Systems</w:t>
            </w:r>
          </w:p>
        </w:tc>
      </w:tr>
      <w:tr w:rsidR="00807FFE" w14:paraId="6D0A9455" w14:textId="77777777" w:rsidTr="003747C7">
        <w:tc>
          <w:tcPr>
            <w:tcW w:w="1526" w:type="dxa"/>
          </w:tcPr>
          <w:p w14:paraId="5411948D" w14:textId="77777777" w:rsidR="003747C7" w:rsidRPr="005C1E1F" w:rsidRDefault="00023E71" w:rsidP="003747C7">
            <w:pPr>
              <w:pStyle w:val="DGTextstand-alone"/>
              <w:spacing w:before="0"/>
            </w:pPr>
            <w:r w:rsidRPr="005C1E1F">
              <w:rPr>
                <w:color w:val="016794"/>
              </w:rPr>
              <w:t>H2020</w:t>
            </w:r>
            <w:r w:rsidRPr="005C1E1F">
              <w:t xml:space="preserve"> </w:t>
            </w:r>
          </w:p>
        </w:tc>
        <w:tc>
          <w:tcPr>
            <w:tcW w:w="8328" w:type="dxa"/>
          </w:tcPr>
          <w:p w14:paraId="417CD52A" w14:textId="77777777" w:rsidR="003747C7" w:rsidRPr="005C1E1F" w:rsidRDefault="00023E71" w:rsidP="003747C7">
            <w:pPr>
              <w:pStyle w:val="DGTextstand-alone"/>
              <w:spacing w:before="0"/>
            </w:pPr>
            <w:r w:rsidRPr="001F09A8">
              <w:rPr>
                <w:iCs/>
              </w:rPr>
              <w:t>Horizon 2020</w:t>
            </w:r>
          </w:p>
        </w:tc>
      </w:tr>
      <w:tr w:rsidR="00807FFE" w14:paraId="5563E89D" w14:textId="77777777" w:rsidTr="003747C7">
        <w:tc>
          <w:tcPr>
            <w:tcW w:w="1526" w:type="dxa"/>
          </w:tcPr>
          <w:p w14:paraId="49E9662F" w14:textId="77777777" w:rsidR="006732B8" w:rsidRPr="005C1E1F" w:rsidRDefault="00023E71" w:rsidP="003747C7">
            <w:pPr>
              <w:pStyle w:val="DGTextstand-alone"/>
              <w:spacing w:before="0"/>
              <w:rPr>
                <w:color w:val="016794"/>
              </w:rPr>
            </w:pPr>
            <w:r w:rsidRPr="006732B8">
              <w:rPr>
                <w:color w:val="016794"/>
              </w:rPr>
              <w:t>HLRCP</w:t>
            </w:r>
          </w:p>
        </w:tc>
        <w:tc>
          <w:tcPr>
            <w:tcW w:w="8328" w:type="dxa"/>
          </w:tcPr>
          <w:p w14:paraId="1A01E2BB" w14:textId="77777777" w:rsidR="006732B8" w:rsidRPr="001F09A8" w:rsidRDefault="00023E71" w:rsidP="003747C7">
            <w:pPr>
              <w:pStyle w:val="DGTextstand-alone"/>
              <w:spacing w:before="0"/>
              <w:rPr>
                <w:iCs/>
              </w:rPr>
            </w:pPr>
            <w:r w:rsidRPr="006732B8">
              <w:rPr>
                <w:iCs/>
              </w:rPr>
              <w:t>High Level Risk and Compliance Policy</w:t>
            </w:r>
          </w:p>
        </w:tc>
      </w:tr>
      <w:tr w:rsidR="00807FFE" w14:paraId="1D71BFBD" w14:textId="77777777" w:rsidTr="003747C7">
        <w:tc>
          <w:tcPr>
            <w:tcW w:w="1526" w:type="dxa"/>
          </w:tcPr>
          <w:p w14:paraId="74DFB037" w14:textId="77777777" w:rsidR="00E66863" w:rsidRDefault="00023E71" w:rsidP="00E66863">
            <w:pPr>
              <w:pStyle w:val="DGTextstand-alone"/>
              <w:spacing w:before="0"/>
              <w:rPr>
                <w:color w:val="016794"/>
              </w:rPr>
            </w:pPr>
            <w:r w:rsidRPr="00E66863">
              <w:rPr>
                <w:color w:val="016794"/>
              </w:rPr>
              <w:t>IBMF</w:t>
            </w:r>
          </w:p>
          <w:p w14:paraId="44781E5F" w14:textId="77777777" w:rsidR="00E66863" w:rsidRPr="005C1E1F" w:rsidRDefault="00023E71" w:rsidP="00E66863">
            <w:pPr>
              <w:pStyle w:val="DGTextstand-alone"/>
              <w:spacing w:before="0"/>
            </w:pPr>
            <w:r w:rsidRPr="00282EBB">
              <w:rPr>
                <w:color w:val="016794"/>
              </w:rPr>
              <w:t>IF</w:t>
            </w:r>
          </w:p>
        </w:tc>
        <w:tc>
          <w:tcPr>
            <w:tcW w:w="8328" w:type="dxa"/>
          </w:tcPr>
          <w:p w14:paraId="4F320E09" w14:textId="77777777" w:rsidR="00E66863" w:rsidRDefault="00023E71" w:rsidP="00E66863">
            <w:pPr>
              <w:pStyle w:val="DGTextstand-alone"/>
              <w:spacing w:before="0"/>
            </w:pPr>
            <w:r w:rsidRPr="00E66863">
              <w:t>Integrated Border Management Fund</w:t>
            </w:r>
          </w:p>
          <w:p w14:paraId="4E513BD8" w14:textId="77777777" w:rsidR="00E66863" w:rsidRPr="005C1E1F" w:rsidRDefault="00023E71" w:rsidP="00E66863">
            <w:pPr>
              <w:pStyle w:val="DGTextstand-alone"/>
              <w:spacing w:before="0"/>
            </w:pPr>
            <w:r w:rsidRPr="00282EBB">
              <w:t>Innovation Fund</w:t>
            </w:r>
          </w:p>
        </w:tc>
      </w:tr>
      <w:tr w:rsidR="00807FFE" w14:paraId="01665A40" w14:textId="77777777" w:rsidTr="003747C7">
        <w:tc>
          <w:tcPr>
            <w:tcW w:w="1526" w:type="dxa"/>
          </w:tcPr>
          <w:p w14:paraId="2FD56936" w14:textId="77777777" w:rsidR="007C669B" w:rsidRPr="005C1E1F" w:rsidRDefault="00023E71" w:rsidP="00E66863">
            <w:pPr>
              <w:pStyle w:val="DGTextstand-alone"/>
              <w:spacing w:before="0"/>
              <w:rPr>
                <w:color w:val="016794"/>
              </w:rPr>
            </w:pPr>
            <w:r>
              <w:rPr>
                <w:color w:val="016794"/>
              </w:rPr>
              <w:t>IIW</w:t>
            </w:r>
          </w:p>
        </w:tc>
        <w:tc>
          <w:tcPr>
            <w:tcW w:w="8328" w:type="dxa"/>
          </w:tcPr>
          <w:p w14:paraId="29321542" w14:textId="77777777" w:rsidR="007C669B" w:rsidRPr="001F09A8" w:rsidRDefault="00023E71" w:rsidP="00E66863">
            <w:pPr>
              <w:pStyle w:val="DGTextstand-alone"/>
              <w:spacing w:before="0"/>
            </w:pPr>
            <w:r w:rsidRPr="007C669B">
              <w:t>Infrastructure and Innovation Window</w:t>
            </w:r>
          </w:p>
        </w:tc>
      </w:tr>
      <w:tr w:rsidR="00807FFE" w14:paraId="00544CC8" w14:textId="77777777" w:rsidTr="003747C7">
        <w:tc>
          <w:tcPr>
            <w:tcW w:w="1526" w:type="dxa"/>
          </w:tcPr>
          <w:p w14:paraId="4EA0F17C" w14:textId="77777777" w:rsidR="00E66863" w:rsidRPr="005C1E1F" w:rsidRDefault="00023E71" w:rsidP="00E66863">
            <w:pPr>
              <w:pStyle w:val="DGTextstand-alone"/>
              <w:spacing w:before="0"/>
            </w:pPr>
            <w:r w:rsidRPr="005C1E1F">
              <w:rPr>
                <w:color w:val="016794"/>
              </w:rPr>
              <w:t>IMF</w:t>
            </w:r>
            <w:r w:rsidRPr="005C1E1F">
              <w:t xml:space="preserve"> </w:t>
            </w:r>
          </w:p>
        </w:tc>
        <w:tc>
          <w:tcPr>
            <w:tcW w:w="8328" w:type="dxa"/>
          </w:tcPr>
          <w:p w14:paraId="0F5D10A5" w14:textId="77777777" w:rsidR="00E66863" w:rsidRPr="005C1E1F" w:rsidRDefault="00023E71" w:rsidP="00E66863">
            <w:pPr>
              <w:pStyle w:val="DGTextstand-alone"/>
              <w:spacing w:before="0"/>
            </w:pPr>
            <w:r w:rsidRPr="001F09A8">
              <w:t>International Monetary Fund</w:t>
            </w:r>
          </w:p>
        </w:tc>
      </w:tr>
      <w:tr w:rsidR="00807FFE" w14:paraId="6F1B4EA4" w14:textId="77777777" w:rsidTr="003747C7">
        <w:tc>
          <w:tcPr>
            <w:tcW w:w="1526" w:type="dxa"/>
          </w:tcPr>
          <w:p w14:paraId="3D124908" w14:textId="77777777" w:rsidR="002F7777" w:rsidRPr="002F27BA" w:rsidRDefault="00023E71" w:rsidP="00E66863">
            <w:pPr>
              <w:pStyle w:val="DGTextstand-alone"/>
              <w:spacing w:before="0"/>
              <w:rPr>
                <w:color w:val="016794"/>
              </w:rPr>
            </w:pPr>
            <w:r>
              <w:rPr>
                <w:color w:val="016794"/>
              </w:rPr>
              <w:t>IPSAS</w:t>
            </w:r>
          </w:p>
        </w:tc>
        <w:tc>
          <w:tcPr>
            <w:tcW w:w="8328" w:type="dxa"/>
          </w:tcPr>
          <w:p w14:paraId="0188907A" w14:textId="77777777" w:rsidR="002F7777" w:rsidRPr="001F09A8" w:rsidRDefault="00023E71" w:rsidP="00E66863">
            <w:pPr>
              <w:pStyle w:val="DGTextstand-alone"/>
              <w:spacing w:before="0"/>
              <w:rPr>
                <w:rFonts w:cs="Calibri"/>
              </w:rPr>
            </w:pPr>
            <w:r w:rsidRPr="002F7777">
              <w:rPr>
                <w:rFonts w:cs="Calibri"/>
              </w:rPr>
              <w:t>International Public Sector Accounting Standards</w:t>
            </w:r>
          </w:p>
        </w:tc>
      </w:tr>
      <w:tr w:rsidR="00807FFE" w14:paraId="5D1FAA5F" w14:textId="77777777" w:rsidTr="003747C7">
        <w:tc>
          <w:tcPr>
            <w:tcW w:w="1526" w:type="dxa"/>
          </w:tcPr>
          <w:p w14:paraId="05A4DDDF" w14:textId="77777777" w:rsidR="00E66863" w:rsidRPr="002F27BA" w:rsidRDefault="00023E71" w:rsidP="00E66863">
            <w:pPr>
              <w:pStyle w:val="DGTextstand-alone"/>
              <w:spacing w:before="0"/>
              <w:rPr>
                <w:rFonts w:cs="Calibri"/>
              </w:rPr>
            </w:pPr>
            <w:r w:rsidRPr="002F27BA">
              <w:rPr>
                <w:color w:val="016794"/>
              </w:rPr>
              <w:t>IT</w:t>
            </w:r>
            <w:r w:rsidRPr="002F27BA">
              <w:rPr>
                <w:rFonts w:cs="Calibri"/>
              </w:rPr>
              <w:t xml:space="preserve"> </w:t>
            </w:r>
          </w:p>
        </w:tc>
        <w:tc>
          <w:tcPr>
            <w:tcW w:w="8328" w:type="dxa"/>
          </w:tcPr>
          <w:p w14:paraId="20E06F6F" w14:textId="77777777" w:rsidR="00E66863" w:rsidRPr="002F27BA" w:rsidRDefault="00023E71" w:rsidP="00E66863">
            <w:pPr>
              <w:pStyle w:val="DGTextstand-alone"/>
              <w:spacing w:before="0"/>
              <w:rPr>
                <w:rFonts w:cs="Calibri"/>
              </w:rPr>
            </w:pPr>
            <w:r w:rsidRPr="001F09A8">
              <w:rPr>
                <w:rFonts w:cs="Calibri"/>
              </w:rPr>
              <w:t>Information Technology</w:t>
            </w:r>
          </w:p>
        </w:tc>
      </w:tr>
      <w:tr w:rsidR="00807FFE" w14:paraId="65E543DC" w14:textId="77777777" w:rsidTr="003747C7">
        <w:tc>
          <w:tcPr>
            <w:tcW w:w="1526" w:type="dxa"/>
          </w:tcPr>
          <w:p w14:paraId="22D7EF6E" w14:textId="77777777" w:rsidR="00E66863" w:rsidRPr="002F27BA" w:rsidRDefault="00023E71" w:rsidP="00E66863">
            <w:pPr>
              <w:pStyle w:val="DGTextstand-alone"/>
              <w:spacing w:before="0"/>
            </w:pPr>
            <w:r w:rsidRPr="002F27BA">
              <w:rPr>
                <w:color w:val="016794"/>
              </w:rPr>
              <w:t>ITER</w:t>
            </w:r>
            <w:r w:rsidRPr="002F27BA">
              <w:t xml:space="preserve"> </w:t>
            </w:r>
          </w:p>
        </w:tc>
        <w:tc>
          <w:tcPr>
            <w:tcW w:w="8328" w:type="dxa"/>
          </w:tcPr>
          <w:p w14:paraId="51091E89" w14:textId="77777777" w:rsidR="00E66863" w:rsidRPr="002F27BA" w:rsidRDefault="00023E71" w:rsidP="00E66863">
            <w:pPr>
              <w:pStyle w:val="DGTextstand-alone"/>
              <w:spacing w:before="0"/>
            </w:pPr>
            <w:r w:rsidRPr="001F09A8">
              <w:t>International Thermonuclear Experimental Reactor</w:t>
            </w:r>
          </w:p>
        </w:tc>
      </w:tr>
      <w:tr w:rsidR="00807FFE" w14:paraId="2445D783" w14:textId="77777777" w:rsidTr="003747C7">
        <w:tc>
          <w:tcPr>
            <w:tcW w:w="1526" w:type="dxa"/>
          </w:tcPr>
          <w:p w14:paraId="276943D0" w14:textId="77777777" w:rsidR="00E66863" w:rsidRPr="002F27BA" w:rsidRDefault="00023E71" w:rsidP="00E66863">
            <w:pPr>
              <w:pStyle w:val="DGTextstand-alone"/>
              <w:spacing w:before="0"/>
            </w:pPr>
            <w:r w:rsidRPr="002F27BA">
              <w:rPr>
                <w:color w:val="016794"/>
              </w:rPr>
              <w:t>JRC</w:t>
            </w:r>
            <w:r w:rsidRPr="002F27BA">
              <w:t xml:space="preserve"> </w:t>
            </w:r>
          </w:p>
        </w:tc>
        <w:tc>
          <w:tcPr>
            <w:tcW w:w="8328" w:type="dxa"/>
          </w:tcPr>
          <w:p w14:paraId="0C5B43D4" w14:textId="77777777" w:rsidR="00E66863" w:rsidRPr="002F27BA" w:rsidRDefault="00023E71" w:rsidP="00E66863">
            <w:pPr>
              <w:pStyle w:val="DGTextstand-alone"/>
              <w:spacing w:before="0"/>
            </w:pPr>
            <w:r w:rsidRPr="001F09A8">
              <w:t>Joint Research Centre</w:t>
            </w:r>
          </w:p>
        </w:tc>
      </w:tr>
      <w:tr w:rsidR="00807FFE" w14:paraId="7EBF8BA4" w14:textId="77777777" w:rsidTr="003747C7">
        <w:tc>
          <w:tcPr>
            <w:tcW w:w="1526" w:type="dxa"/>
          </w:tcPr>
          <w:p w14:paraId="2669789C" w14:textId="77777777" w:rsidR="00E66863" w:rsidRDefault="00023E71" w:rsidP="00E66863">
            <w:pPr>
              <w:pStyle w:val="DGTextstand-alone"/>
              <w:spacing w:before="0"/>
              <w:rPr>
                <w:color w:val="016794"/>
              </w:rPr>
            </w:pPr>
            <w:r>
              <w:rPr>
                <w:color w:val="016794"/>
              </w:rPr>
              <w:t>JSIS</w:t>
            </w:r>
          </w:p>
          <w:p w14:paraId="3744BF1B" w14:textId="77777777" w:rsidR="00E66863" w:rsidRPr="002F27BA" w:rsidRDefault="00023E71" w:rsidP="00E66863">
            <w:pPr>
              <w:pStyle w:val="DGTextstand-alone"/>
              <w:spacing w:before="0"/>
              <w:rPr>
                <w:rFonts w:cs="Calibri"/>
              </w:rPr>
            </w:pPr>
            <w:r w:rsidRPr="002F27BA">
              <w:rPr>
                <w:color w:val="016794"/>
              </w:rPr>
              <w:t>JU</w:t>
            </w:r>
            <w:r w:rsidRPr="002F27BA">
              <w:rPr>
                <w:rFonts w:cs="Calibri"/>
              </w:rPr>
              <w:t xml:space="preserve"> </w:t>
            </w:r>
          </w:p>
        </w:tc>
        <w:tc>
          <w:tcPr>
            <w:tcW w:w="8328" w:type="dxa"/>
          </w:tcPr>
          <w:p w14:paraId="63643EC1" w14:textId="77777777" w:rsidR="00E66863" w:rsidRDefault="00023E71" w:rsidP="00E66863">
            <w:pPr>
              <w:pStyle w:val="DGTextstand-alone"/>
              <w:spacing w:before="0"/>
              <w:rPr>
                <w:rFonts w:cs="Calibri"/>
              </w:rPr>
            </w:pPr>
            <w:r>
              <w:t>Joint sickness insurance scheme</w:t>
            </w:r>
          </w:p>
          <w:p w14:paraId="17C86B0D" w14:textId="77777777" w:rsidR="00E66863" w:rsidRPr="002F27BA" w:rsidRDefault="00023E71" w:rsidP="00E66863">
            <w:pPr>
              <w:pStyle w:val="DGTextstand-alone"/>
              <w:spacing w:before="0"/>
              <w:rPr>
                <w:rFonts w:cs="Calibri"/>
              </w:rPr>
            </w:pPr>
            <w:r w:rsidRPr="001F09A8">
              <w:rPr>
                <w:rFonts w:cs="Calibri"/>
              </w:rPr>
              <w:t>Joint Undertaking</w:t>
            </w:r>
          </w:p>
        </w:tc>
      </w:tr>
      <w:tr w:rsidR="00807FFE" w14:paraId="38A69F09" w14:textId="77777777" w:rsidTr="003747C7">
        <w:tc>
          <w:tcPr>
            <w:tcW w:w="1526" w:type="dxa"/>
          </w:tcPr>
          <w:p w14:paraId="155CFC15" w14:textId="77777777" w:rsidR="00E66863" w:rsidRPr="002F27BA" w:rsidRDefault="00023E71" w:rsidP="00E66863">
            <w:pPr>
              <w:pStyle w:val="DGTextstand-alone"/>
              <w:spacing w:before="0"/>
              <w:rPr>
                <w:color w:val="016794"/>
              </w:rPr>
            </w:pPr>
            <w:r w:rsidRPr="00282EBB">
              <w:rPr>
                <w:color w:val="016794"/>
              </w:rPr>
              <w:t>LGD</w:t>
            </w:r>
          </w:p>
        </w:tc>
        <w:tc>
          <w:tcPr>
            <w:tcW w:w="8328" w:type="dxa"/>
          </w:tcPr>
          <w:p w14:paraId="2B3F5B84" w14:textId="77777777" w:rsidR="00E66863" w:rsidRPr="001F09A8" w:rsidRDefault="00023E71" w:rsidP="00E66863">
            <w:pPr>
              <w:pStyle w:val="DGTextstand-alone"/>
              <w:spacing w:before="0"/>
              <w:rPr>
                <w:rFonts w:cs="Calibri"/>
              </w:rPr>
            </w:pPr>
            <w:r w:rsidRPr="00282EBB">
              <w:rPr>
                <w:rFonts w:cs="Calibri"/>
              </w:rPr>
              <w:t xml:space="preserve">Loss given </w:t>
            </w:r>
            <w:r>
              <w:rPr>
                <w:rFonts w:cs="Calibri"/>
              </w:rPr>
              <w:t>D</w:t>
            </w:r>
            <w:r w:rsidRPr="00282EBB">
              <w:rPr>
                <w:rFonts w:cs="Calibri"/>
              </w:rPr>
              <w:t xml:space="preserve">efault </w:t>
            </w:r>
            <w:r>
              <w:rPr>
                <w:rFonts w:cs="Calibri"/>
              </w:rPr>
              <w:t>R</w:t>
            </w:r>
            <w:r w:rsidRPr="00282EBB">
              <w:rPr>
                <w:rFonts w:cs="Calibri"/>
              </w:rPr>
              <w:t>ate</w:t>
            </w:r>
          </w:p>
        </w:tc>
      </w:tr>
      <w:tr w:rsidR="00807FFE" w14:paraId="59380782" w14:textId="77777777" w:rsidTr="003747C7">
        <w:tc>
          <w:tcPr>
            <w:tcW w:w="1526" w:type="dxa"/>
          </w:tcPr>
          <w:p w14:paraId="6B2FEC11" w14:textId="77777777" w:rsidR="00E66863" w:rsidRPr="00282EBB" w:rsidRDefault="00023E71" w:rsidP="00E66863">
            <w:pPr>
              <w:pStyle w:val="DGTextstand-alone"/>
              <w:spacing w:before="0"/>
              <w:rPr>
                <w:color w:val="016794"/>
              </w:rPr>
            </w:pPr>
            <w:r>
              <w:rPr>
                <w:color w:val="016794"/>
              </w:rPr>
              <w:t>LGF</w:t>
            </w:r>
          </w:p>
        </w:tc>
        <w:tc>
          <w:tcPr>
            <w:tcW w:w="8328" w:type="dxa"/>
          </w:tcPr>
          <w:p w14:paraId="2880332D" w14:textId="77777777" w:rsidR="00E66863" w:rsidRPr="00282EBB" w:rsidRDefault="00023E71" w:rsidP="00E66863">
            <w:pPr>
              <w:pStyle w:val="DGTextstand-alone"/>
              <w:spacing w:before="0"/>
              <w:rPr>
                <w:rFonts w:cs="Calibri"/>
              </w:rPr>
            </w:pPr>
            <w:r w:rsidRPr="000C7E0A">
              <w:rPr>
                <w:rFonts w:cs="Calibri"/>
              </w:rPr>
              <w:t>Loan Guarantee Facility</w:t>
            </w:r>
          </w:p>
        </w:tc>
      </w:tr>
      <w:tr w:rsidR="00807FFE" w14:paraId="4F005776" w14:textId="77777777" w:rsidTr="003747C7">
        <w:tc>
          <w:tcPr>
            <w:tcW w:w="1526" w:type="dxa"/>
          </w:tcPr>
          <w:p w14:paraId="5584EEFA" w14:textId="77777777" w:rsidR="00E66863" w:rsidRPr="002F27BA" w:rsidRDefault="00023E71" w:rsidP="00E66863">
            <w:pPr>
              <w:pStyle w:val="DGTextstand-alone"/>
              <w:spacing w:before="0"/>
            </w:pPr>
            <w:r w:rsidRPr="002F27BA">
              <w:rPr>
                <w:color w:val="016794"/>
              </w:rPr>
              <w:t>LGTT</w:t>
            </w:r>
            <w:r w:rsidRPr="002F27BA">
              <w:t xml:space="preserve"> </w:t>
            </w:r>
          </w:p>
        </w:tc>
        <w:tc>
          <w:tcPr>
            <w:tcW w:w="8328" w:type="dxa"/>
          </w:tcPr>
          <w:p w14:paraId="67D0C41C" w14:textId="77777777" w:rsidR="00E66863" w:rsidRPr="002F27BA" w:rsidRDefault="00023E71" w:rsidP="00E66863">
            <w:pPr>
              <w:pStyle w:val="DGTextstand-alone"/>
              <w:spacing w:before="0"/>
            </w:pPr>
            <w:r w:rsidRPr="001F09A8">
              <w:t>Loan Guarantee Instrument for TEN-T projects</w:t>
            </w:r>
          </w:p>
        </w:tc>
      </w:tr>
      <w:tr w:rsidR="00807FFE" w14:paraId="01F7E321" w14:textId="77777777" w:rsidTr="003747C7">
        <w:tc>
          <w:tcPr>
            <w:tcW w:w="1526" w:type="dxa"/>
          </w:tcPr>
          <w:p w14:paraId="5B283C48" w14:textId="77777777" w:rsidR="00E66863" w:rsidRPr="002F27BA" w:rsidRDefault="00023E71" w:rsidP="00E66863">
            <w:pPr>
              <w:pStyle w:val="DGTextstand-alone"/>
              <w:spacing w:before="0"/>
            </w:pPr>
            <w:r w:rsidRPr="002F27BA">
              <w:rPr>
                <w:color w:val="016794"/>
              </w:rPr>
              <w:t>MAP</w:t>
            </w:r>
            <w:r w:rsidRPr="002F27BA">
              <w:t xml:space="preserve"> </w:t>
            </w:r>
          </w:p>
        </w:tc>
        <w:tc>
          <w:tcPr>
            <w:tcW w:w="8328" w:type="dxa"/>
          </w:tcPr>
          <w:p w14:paraId="319D7E02" w14:textId="77777777" w:rsidR="00E66863" w:rsidRPr="002F27BA" w:rsidRDefault="00023E71" w:rsidP="00E66863">
            <w:pPr>
              <w:pStyle w:val="DGTextstand-alone"/>
              <w:spacing w:before="0"/>
            </w:pPr>
            <w:r w:rsidRPr="001F09A8">
              <w:t xml:space="preserve">Multi Annual Program </w:t>
            </w:r>
            <w:r>
              <w:t xml:space="preserve">- </w:t>
            </w:r>
            <w:r w:rsidRPr="001F09A8">
              <w:rPr>
                <w:rFonts w:cs="DejaVuSansCondensed-Bold"/>
                <w:bCs/>
              </w:rPr>
              <w:t>Medium Enterprise Financial Inclusion Programme</w:t>
            </w:r>
          </w:p>
        </w:tc>
      </w:tr>
      <w:tr w:rsidR="00807FFE" w14:paraId="38C9BFE3" w14:textId="77777777" w:rsidTr="003747C7">
        <w:tc>
          <w:tcPr>
            <w:tcW w:w="1526" w:type="dxa"/>
          </w:tcPr>
          <w:p w14:paraId="1DD118A5" w14:textId="77777777" w:rsidR="00E66863" w:rsidRPr="002F27BA" w:rsidRDefault="00023E71" w:rsidP="00E66863">
            <w:pPr>
              <w:pStyle w:val="DGTextstand-alone"/>
              <w:spacing w:before="0"/>
            </w:pPr>
            <w:r w:rsidRPr="002F27BA">
              <w:rPr>
                <w:color w:val="016794"/>
              </w:rPr>
              <w:t>MEP</w:t>
            </w:r>
            <w:r w:rsidRPr="002F27BA">
              <w:t xml:space="preserve"> </w:t>
            </w:r>
          </w:p>
        </w:tc>
        <w:tc>
          <w:tcPr>
            <w:tcW w:w="8328" w:type="dxa"/>
          </w:tcPr>
          <w:p w14:paraId="79AB397F" w14:textId="77777777" w:rsidR="00E66863" w:rsidRPr="002F27BA" w:rsidRDefault="00023E71" w:rsidP="00E66863">
            <w:pPr>
              <w:pStyle w:val="DGTextstand-alone"/>
              <w:spacing w:before="0"/>
            </w:pPr>
            <w:r w:rsidRPr="001F09A8">
              <w:rPr>
                <w:bCs/>
                <w:lang w:val="en"/>
              </w:rPr>
              <w:t>Member of the European Parliament</w:t>
            </w:r>
          </w:p>
        </w:tc>
      </w:tr>
      <w:tr w:rsidR="00807FFE" w14:paraId="0F27F716" w14:textId="77777777" w:rsidTr="003747C7">
        <w:tc>
          <w:tcPr>
            <w:tcW w:w="1526" w:type="dxa"/>
          </w:tcPr>
          <w:p w14:paraId="2ED33FF5" w14:textId="77777777" w:rsidR="00E66863" w:rsidRPr="002F27BA" w:rsidRDefault="00023E71" w:rsidP="00E66863">
            <w:pPr>
              <w:pStyle w:val="DGTextstand-alone"/>
              <w:spacing w:before="0"/>
              <w:rPr>
                <w:iCs/>
                <w:lang w:val="bg-BG"/>
              </w:rPr>
            </w:pPr>
            <w:r w:rsidRPr="002F27BA">
              <w:rPr>
                <w:color w:val="016794"/>
              </w:rPr>
              <w:t>MFA</w:t>
            </w:r>
            <w:r w:rsidRPr="002F27BA">
              <w:rPr>
                <w:iCs/>
                <w:lang w:val="bg-BG"/>
              </w:rPr>
              <w:t xml:space="preserve"> </w:t>
            </w:r>
          </w:p>
        </w:tc>
        <w:tc>
          <w:tcPr>
            <w:tcW w:w="8328" w:type="dxa"/>
          </w:tcPr>
          <w:p w14:paraId="79496155" w14:textId="77777777" w:rsidR="00E66863" w:rsidRPr="002F27BA" w:rsidRDefault="00023E71" w:rsidP="00E66863">
            <w:pPr>
              <w:pStyle w:val="DGTextstand-alone"/>
              <w:spacing w:before="0"/>
              <w:rPr>
                <w:iCs/>
              </w:rPr>
            </w:pPr>
            <w:r w:rsidRPr="001F09A8">
              <w:rPr>
                <w:iCs/>
              </w:rPr>
              <w:t>Macro</w:t>
            </w:r>
            <w:r w:rsidRPr="001F09A8">
              <w:rPr>
                <w:iCs/>
                <w:lang w:val="bg-BG"/>
              </w:rPr>
              <w:t xml:space="preserve"> </w:t>
            </w:r>
            <w:r w:rsidRPr="001F09A8">
              <w:rPr>
                <w:iCs/>
              </w:rPr>
              <w:t>Financial</w:t>
            </w:r>
            <w:r w:rsidRPr="001F09A8">
              <w:rPr>
                <w:iCs/>
                <w:lang w:val="bg-BG"/>
              </w:rPr>
              <w:t xml:space="preserve"> </w:t>
            </w:r>
            <w:r w:rsidRPr="001F09A8">
              <w:rPr>
                <w:iCs/>
              </w:rPr>
              <w:t>Assistance</w:t>
            </w:r>
          </w:p>
        </w:tc>
      </w:tr>
      <w:tr w:rsidR="00807FFE" w14:paraId="62FE67CA" w14:textId="77777777" w:rsidTr="003747C7">
        <w:tc>
          <w:tcPr>
            <w:tcW w:w="1526" w:type="dxa"/>
          </w:tcPr>
          <w:p w14:paraId="0B3ECE8D" w14:textId="77777777" w:rsidR="00E66863" w:rsidRPr="002F27BA" w:rsidRDefault="00023E71" w:rsidP="00E66863">
            <w:pPr>
              <w:pStyle w:val="DGTextstand-alone"/>
              <w:spacing w:before="0"/>
              <w:rPr>
                <w:lang w:val="bg-BG"/>
              </w:rPr>
            </w:pPr>
            <w:r w:rsidRPr="002F27BA">
              <w:rPr>
                <w:color w:val="016794"/>
              </w:rPr>
              <w:t>MFF</w:t>
            </w:r>
            <w:r w:rsidRPr="002F27BA">
              <w:rPr>
                <w:lang w:val="bg-BG"/>
              </w:rPr>
              <w:t xml:space="preserve"> </w:t>
            </w:r>
          </w:p>
        </w:tc>
        <w:tc>
          <w:tcPr>
            <w:tcW w:w="8328" w:type="dxa"/>
          </w:tcPr>
          <w:p w14:paraId="0386BC9C" w14:textId="77777777" w:rsidR="00E66863" w:rsidRPr="002F27BA" w:rsidRDefault="00023E71" w:rsidP="00E66863">
            <w:pPr>
              <w:pStyle w:val="DGTextstand-alone"/>
              <w:spacing w:before="0"/>
            </w:pPr>
            <w:r w:rsidRPr="001F09A8">
              <w:t>Multiannual</w:t>
            </w:r>
            <w:r w:rsidRPr="001F09A8">
              <w:rPr>
                <w:lang w:val="bg-BG"/>
              </w:rPr>
              <w:t xml:space="preserve"> </w:t>
            </w:r>
            <w:r w:rsidRPr="001F09A8">
              <w:t>Financial</w:t>
            </w:r>
            <w:r w:rsidRPr="001F09A8">
              <w:rPr>
                <w:lang w:val="bg-BG"/>
              </w:rPr>
              <w:t xml:space="preserve"> </w:t>
            </w:r>
            <w:r w:rsidRPr="001F09A8">
              <w:t>Framework</w:t>
            </w:r>
          </w:p>
        </w:tc>
      </w:tr>
      <w:tr w:rsidR="00807FFE" w14:paraId="2A0988A5" w14:textId="77777777" w:rsidTr="003747C7">
        <w:tc>
          <w:tcPr>
            <w:tcW w:w="1526" w:type="dxa"/>
          </w:tcPr>
          <w:p w14:paraId="54E09649" w14:textId="77777777" w:rsidR="00E66863" w:rsidRDefault="00023E71" w:rsidP="00E66863">
            <w:pPr>
              <w:pStyle w:val="DGTextstand-alone"/>
              <w:spacing w:before="0"/>
              <w:rPr>
                <w:color w:val="016794"/>
              </w:rPr>
            </w:pPr>
            <w:r>
              <w:rPr>
                <w:color w:val="016794"/>
              </w:rPr>
              <w:t>MIM</w:t>
            </w:r>
          </w:p>
          <w:p w14:paraId="46F2498F" w14:textId="77777777" w:rsidR="00E66863" w:rsidRPr="002F27BA" w:rsidRDefault="00023E71" w:rsidP="00E66863">
            <w:pPr>
              <w:pStyle w:val="DGTextstand-alone"/>
              <w:spacing w:before="0"/>
              <w:rPr>
                <w:color w:val="016794"/>
              </w:rPr>
            </w:pPr>
            <w:r w:rsidRPr="00864117">
              <w:rPr>
                <w:color w:val="016794"/>
              </w:rPr>
              <w:t>MMF</w:t>
            </w:r>
          </w:p>
        </w:tc>
        <w:tc>
          <w:tcPr>
            <w:tcW w:w="8328" w:type="dxa"/>
          </w:tcPr>
          <w:p w14:paraId="57FCC106" w14:textId="77777777" w:rsidR="00E66863" w:rsidRDefault="00023E71" w:rsidP="00E66863">
            <w:pPr>
              <w:pStyle w:val="DGTextstand-alone"/>
              <w:spacing w:before="0"/>
            </w:pPr>
            <w:r>
              <w:t>Mutual Insurance mechanism</w:t>
            </w:r>
          </w:p>
          <w:p w14:paraId="1685E75D" w14:textId="77777777" w:rsidR="00E66863" w:rsidRPr="001F09A8" w:rsidRDefault="00023E71" w:rsidP="00E66863">
            <w:pPr>
              <w:pStyle w:val="DGTextstand-alone"/>
              <w:spacing w:before="0"/>
            </w:pPr>
            <w:r w:rsidRPr="00864117">
              <w:t>Money Market Fund</w:t>
            </w:r>
          </w:p>
        </w:tc>
      </w:tr>
      <w:tr w:rsidR="00807FFE" w14:paraId="0D5EDBB4" w14:textId="77777777" w:rsidTr="003747C7">
        <w:tc>
          <w:tcPr>
            <w:tcW w:w="1526" w:type="dxa"/>
          </w:tcPr>
          <w:p w14:paraId="4ACBDBB6" w14:textId="77777777" w:rsidR="00E66863" w:rsidRPr="002F27BA" w:rsidRDefault="00023E71" w:rsidP="00E66863">
            <w:pPr>
              <w:pStyle w:val="DGTextstand-alone"/>
              <w:spacing w:before="0"/>
              <w:rPr>
                <w:rFonts w:cs="DejaVuSansCondensed-Bold"/>
                <w:bCs/>
              </w:rPr>
            </w:pPr>
            <w:r w:rsidRPr="002F27BA">
              <w:rPr>
                <w:color w:val="016794"/>
              </w:rPr>
              <w:t>MSME</w:t>
            </w:r>
          </w:p>
        </w:tc>
        <w:tc>
          <w:tcPr>
            <w:tcW w:w="8328" w:type="dxa"/>
          </w:tcPr>
          <w:p w14:paraId="09B8B0AF" w14:textId="77777777" w:rsidR="00E66863" w:rsidRPr="002F27BA" w:rsidRDefault="00023E71" w:rsidP="00E66863">
            <w:pPr>
              <w:pStyle w:val="DGTextstand-alone"/>
              <w:spacing w:before="0"/>
              <w:rPr>
                <w:rFonts w:cs="DejaVuSansCondensed-Bold"/>
                <w:bCs/>
              </w:rPr>
            </w:pPr>
            <w:r w:rsidRPr="001F09A8">
              <w:rPr>
                <w:rFonts w:cs="DejaVuSansCondensed-Bold"/>
                <w:bCs/>
              </w:rPr>
              <w:t>Micro, Small and Medium Enterprise</w:t>
            </w:r>
          </w:p>
        </w:tc>
      </w:tr>
      <w:tr w:rsidR="00807FFE" w14:paraId="48131134" w14:textId="77777777" w:rsidTr="003747C7">
        <w:tc>
          <w:tcPr>
            <w:tcW w:w="1526" w:type="dxa"/>
          </w:tcPr>
          <w:p w14:paraId="0B1F4FBA" w14:textId="77777777" w:rsidR="00E66863" w:rsidRPr="002F27BA" w:rsidRDefault="00023E71" w:rsidP="00E66863">
            <w:pPr>
              <w:pStyle w:val="DGTextstand-alone"/>
              <w:spacing w:before="0"/>
              <w:rPr>
                <w:color w:val="016794"/>
              </w:rPr>
            </w:pPr>
            <w:r w:rsidRPr="00282EBB">
              <w:rPr>
                <w:color w:val="016794"/>
              </w:rPr>
              <w:t>NDICI</w:t>
            </w:r>
          </w:p>
        </w:tc>
        <w:tc>
          <w:tcPr>
            <w:tcW w:w="8328" w:type="dxa"/>
          </w:tcPr>
          <w:p w14:paraId="4B42430C" w14:textId="77777777" w:rsidR="00E66863" w:rsidRPr="001F09A8" w:rsidRDefault="00023E71" w:rsidP="00E66863">
            <w:pPr>
              <w:pStyle w:val="DGTextstand-alone"/>
              <w:spacing w:before="0"/>
              <w:rPr>
                <w:rFonts w:cs="DejaVuSansCondensed-Bold"/>
                <w:bCs/>
              </w:rPr>
            </w:pPr>
            <w:r w:rsidRPr="00282EBB">
              <w:rPr>
                <w:rFonts w:cs="DejaVuSansCondensed-Bold"/>
                <w:bCs/>
              </w:rPr>
              <w:t>Neighbourhood, Development and International Cooperation Instrument</w:t>
            </w:r>
          </w:p>
        </w:tc>
      </w:tr>
      <w:tr w:rsidR="00807FFE" w14:paraId="19FCABBD" w14:textId="77777777" w:rsidTr="003747C7">
        <w:tc>
          <w:tcPr>
            <w:tcW w:w="1526" w:type="dxa"/>
          </w:tcPr>
          <w:p w14:paraId="1E87DCAC" w14:textId="77777777" w:rsidR="00E66863" w:rsidRPr="00282EBB" w:rsidRDefault="00023E71" w:rsidP="00E66863">
            <w:pPr>
              <w:pStyle w:val="DGTextstand-alone"/>
              <w:spacing w:before="0"/>
              <w:rPr>
                <w:color w:val="016794"/>
              </w:rPr>
            </w:pPr>
            <w:r w:rsidRPr="00282EBB">
              <w:rPr>
                <w:color w:val="016794"/>
              </w:rPr>
              <w:t>NGEU</w:t>
            </w:r>
          </w:p>
        </w:tc>
        <w:tc>
          <w:tcPr>
            <w:tcW w:w="8328" w:type="dxa"/>
          </w:tcPr>
          <w:p w14:paraId="5D2971B9" w14:textId="77777777" w:rsidR="00E66863" w:rsidRPr="00282EBB" w:rsidRDefault="00023E71" w:rsidP="00E66863">
            <w:pPr>
              <w:pStyle w:val="DGTextstand-alone"/>
              <w:spacing w:before="0"/>
              <w:rPr>
                <w:rFonts w:cs="DejaVuSansCondensed-Bold"/>
                <w:bCs/>
              </w:rPr>
            </w:pPr>
            <w:r w:rsidRPr="00282EBB">
              <w:rPr>
                <w:rFonts w:cs="DejaVuSansCondensed-Bold"/>
                <w:bCs/>
              </w:rPr>
              <w:t>NextGenerationEU</w:t>
            </w:r>
          </w:p>
        </w:tc>
      </w:tr>
      <w:tr w:rsidR="00807FFE" w14:paraId="318A9B78" w14:textId="77777777" w:rsidTr="003747C7">
        <w:tc>
          <w:tcPr>
            <w:tcW w:w="1526" w:type="dxa"/>
          </w:tcPr>
          <w:p w14:paraId="0D5529DC" w14:textId="77777777" w:rsidR="00E66863" w:rsidRPr="002F27BA" w:rsidRDefault="00023E71" w:rsidP="00E66863">
            <w:pPr>
              <w:pStyle w:val="DGTextstand-alone"/>
              <w:spacing w:before="0"/>
              <w:rPr>
                <w:lang w:val="bg-BG"/>
              </w:rPr>
            </w:pPr>
            <w:r w:rsidRPr="002F27BA">
              <w:rPr>
                <w:color w:val="016794"/>
              </w:rPr>
              <w:t>ORD</w:t>
            </w:r>
            <w:r w:rsidRPr="002F27BA">
              <w:rPr>
                <w:lang w:val="bg-BG"/>
              </w:rPr>
              <w:t xml:space="preserve"> </w:t>
            </w:r>
          </w:p>
        </w:tc>
        <w:tc>
          <w:tcPr>
            <w:tcW w:w="8328" w:type="dxa"/>
          </w:tcPr>
          <w:p w14:paraId="1733993E" w14:textId="77777777" w:rsidR="00E66863" w:rsidRPr="002F27BA" w:rsidRDefault="00023E71" w:rsidP="00E66863">
            <w:pPr>
              <w:pStyle w:val="DGTextstand-alone"/>
              <w:spacing w:before="0"/>
              <w:rPr>
                <w:lang w:val="bg-BG"/>
              </w:rPr>
            </w:pPr>
            <w:r w:rsidRPr="001F09A8">
              <w:t>Own</w:t>
            </w:r>
            <w:r w:rsidRPr="00B65A7D">
              <w:rPr>
                <w:lang w:val="bg-BG"/>
              </w:rPr>
              <w:t xml:space="preserve"> </w:t>
            </w:r>
            <w:r w:rsidRPr="001F09A8">
              <w:t>Resources</w:t>
            </w:r>
            <w:r w:rsidRPr="00B65A7D">
              <w:rPr>
                <w:lang w:val="bg-BG"/>
              </w:rPr>
              <w:t xml:space="preserve"> </w:t>
            </w:r>
            <w:r w:rsidRPr="001F09A8">
              <w:t>Decision</w:t>
            </w:r>
          </w:p>
        </w:tc>
      </w:tr>
      <w:tr w:rsidR="00807FFE" w14:paraId="2E698184" w14:textId="77777777" w:rsidTr="003747C7">
        <w:tc>
          <w:tcPr>
            <w:tcW w:w="1526" w:type="dxa"/>
          </w:tcPr>
          <w:p w14:paraId="2D7B0A0F" w14:textId="77777777" w:rsidR="00E66863" w:rsidRPr="002F27BA" w:rsidRDefault="00023E71" w:rsidP="00E66863">
            <w:pPr>
              <w:pStyle w:val="DGTextstand-alone"/>
              <w:spacing w:before="0"/>
              <w:rPr>
                <w:lang w:val="bg-BG"/>
              </w:rPr>
            </w:pPr>
            <w:r w:rsidRPr="002F27BA">
              <w:rPr>
                <w:color w:val="016794"/>
              </w:rPr>
              <w:t>PBI</w:t>
            </w:r>
            <w:r w:rsidRPr="002F27BA">
              <w:rPr>
                <w:lang w:val="bg-BG"/>
              </w:rPr>
              <w:t xml:space="preserve"> </w:t>
            </w:r>
          </w:p>
        </w:tc>
        <w:tc>
          <w:tcPr>
            <w:tcW w:w="8328" w:type="dxa"/>
          </w:tcPr>
          <w:p w14:paraId="643DB584" w14:textId="77777777" w:rsidR="00E66863" w:rsidRPr="002F27BA" w:rsidRDefault="00023E71" w:rsidP="00E66863">
            <w:pPr>
              <w:pStyle w:val="DGTextstand-alone"/>
              <w:spacing w:before="0"/>
              <w:rPr>
                <w:lang w:val="bg-BG"/>
              </w:rPr>
            </w:pPr>
            <w:r w:rsidRPr="001F09A8">
              <w:t>Project</w:t>
            </w:r>
            <w:r w:rsidRPr="00B65A7D">
              <w:rPr>
                <w:lang w:val="bg-BG"/>
              </w:rPr>
              <w:t xml:space="preserve"> </w:t>
            </w:r>
            <w:r w:rsidRPr="001F09A8">
              <w:t>Bond</w:t>
            </w:r>
            <w:r w:rsidRPr="00B65A7D">
              <w:rPr>
                <w:lang w:val="bg-BG"/>
              </w:rPr>
              <w:t xml:space="preserve"> </w:t>
            </w:r>
            <w:r w:rsidRPr="001F09A8">
              <w:t>Initiative</w:t>
            </w:r>
          </w:p>
        </w:tc>
      </w:tr>
      <w:tr w:rsidR="00807FFE" w14:paraId="4CF434B3" w14:textId="77777777" w:rsidTr="003747C7">
        <w:tc>
          <w:tcPr>
            <w:tcW w:w="1526" w:type="dxa"/>
          </w:tcPr>
          <w:p w14:paraId="209A6266" w14:textId="77777777" w:rsidR="00E66863" w:rsidRPr="002F27BA" w:rsidRDefault="00023E71" w:rsidP="00E66863">
            <w:pPr>
              <w:pStyle w:val="DGTextstand-alone"/>
              <w:spacing w:before="0"/>
              <w:rPr>
                <w:color w:val="016794"/>
              </w:rPr>
            </w:pPr>
            <w:r w:rsidRPr="00282EBB">
              <w:rPr>
                <w:color w:val="016794"/>
              </w:rPr>
              <w:t>PD</w:t>
            </w:r>
          </w:p>
        </w:tc>
        <w:tc>
          <w:tcPr>
            <w:tcW w:w="8328" w:type="dxa"/>
          </w:tcPr>
          <w:p w14:paraId="5DBD946E" w14:textId="77777777" w:rsidR="00E66863" w:rsidRPr="001F09A8" w:rsidRDefault="00023E71" w:rsidP="00E66863">
            <w:pPr>
              <w:pStyle w:val="DGTextstand-alone"/>
              <w:spacing w:before="0"/>
            </w:pPr>
            <w:r>
              <w:t>Probability of D</w:t>
            </w:r>
            <w:r w:rsidRPr="00282EBB">
              <w:t>efault</w:t>
            </w:r>
          </w:p>
        </w:tc>
      </w:tr>
      <w:tr w:rsidR="00807FFE" w14:paraId="0B155D67" w14:textId="77777777" w:rsidTr="003747C7">
        <w:tc>
          <w:tcPr>
            <w:tcW w:w="1526" w:type="dxa"/>
          </w:tcPr>
          <w:p w14:paraId="4F9690B7" w14:textId="77777777" w:rsidR="00E66863" w:rsidRPr="002F27BA" w:rsidRDefault="00023E71" w:rsidP="00E66863">
            <w:pPr>
              <w:pStyle w:val="DGTextstand-alone"/>
              <w:spacing w:before="0"/>
              <w:rPr>
                <w:lang w:val="bg-BG"/>
              </w:rPr>
            </w:pPr>
            <w:r w:rsidRPr="002F27BA">
              <w:rPr>
                <w:color w:val="016794"/>
              </w:rPr>
              <w:t>PF</w:t>
            </w:r>
            <w:r w:rsidRPr="002F27BA">
              <w:rPr>
                <w:color w:val="016794"/>
                <w:lang w:val="bg-BG"/>
              </w:rPr>
              <w:t>4</w:t>
            </w:r>
            <w:r w:rsidRPr="002F27BA">
              <w:rPr>
                <w:color w:val="016794"/>
              </w:rPr>
              <w:t>EE</w:t>
            </w:r>
            <w:r w:rsidRPr="002F27BA">
              <w:rPr>
                <w:lang w:val="bg-BG"/>
              </w:rPr>
              <w:t xml:space="preserve"> </w:t>
            </w:r>
          </w:p>
        </w:tc>
        <w:tc>
          <w:tcPr>
            <w:tcW w:w="8328" w:type="dxa"/>
          </w:tcPr>
          <w:p w14:paraId="5E3AA694" w14:textId="77777777" w:rsidR="00E66863" w:rsidRPr="002F27BA" w:rsidRDefault="00023E71" w:rsidP="00E66863">
            <w:pPr>
              <w:pStyle w:val="DGTextstand-alone"/>
              <w:spacing w:before="0"/>
            </w:pPr>
            <w:r w:rsidRPr="001F09A8">
              <w:t>Private</w:t>
            </w:r>
            <w:r w:rsidRPr="00B65A7D">
              <w:rPr>
                <w:lang w:val="bg-BG"/>
              </w:rPr>
              <w:t xml:space="preserve"> </w:t>
            </w:r>
            <w:r w:rsidRPr="001F09A8">
              <w:t>Finance</w:t>
            </w:r>
            <w:r w:rsidRPr="00B65A7D">
              <w:rPr>
                <w:lang w:val="bg-BG"/>
              </w:rPr>
              <w:t xml:space="preserve"> </w:t>
            </w:r>
            <w:r w:rsidRPr="001F09A8">
              <w:t>for</w:t>
            </w:r>
            <w:r w:rsidRPr="00B65A7D">
              <w:rPr>
                <w:lang w:val="bg-BG"/>
              </w:rPr>
              <w:t xml:space="preserve"> </w:t>
            </w:r>
            <w:r w:rsidRPr="001F09A8">
              <w:t>Energy</w:t>
            </w:r>
            <w:r w:rsidRPr="00B65A7D">
              <w:rPr>
                <w:lang w:val="bg-BG"/>
              </w:rPr>
              <w:t xml:space="preserve"> </w:t>
            </w:r>
            <w:r w:rsidRPr="001F09A8">
              <w:t>Efficiency</w:t>
            </w:r>
            <w:r w:rsidRPr="00B65A7D">
              <w:rPr>
                <w:lang w:val="bg-BG"/>
              </w:rPr>
              <w:t xml:space="preserve"> </w:t>
            </w:r>
            <w:r w:rsidRPr="001F09A8">
              <w:t>Instrument</w:t>
            </w:r>
          </w:p>
        </w:tc>
      </w:tr>
      <w:tr w:rsidR="00807FFE" w14:paraId="623A94B7" w14:textId="77777777" w:rsidTr="003747C7">
        <w:tc>
          <w:tcPr>
            <w:tcW w:w="1526" w:type="dxa"/>
          </w:tcPr>
          <w:p w14:paraId="4DACDF88" w14:textId="77777777" w:rsidR="00E66863" w:rsidRPr="002F27BA" w:rsidRDefault="00023E71" w:rsidP="00E66863">
            <w:pPr>
              <w:pStyle w:val="DGTextstand-alone"/>
              <w:spacing w:before="0"/>
              <w:rPr>
                <w:lang w:val="bg-BG"/>
              </w:rPr>
            </w:pPr>
            <w:r w:rsidRPr="002F27BA">
              <w:rPr>
                <w:color w:val="016794"/>
              </w:rPr>
              <w:t>PGF</w:t>
            </w:r>
            <w:r w:rsidRPr="002F27BA">
              <w:rPr>
                <w:lang w:val="bg-BG"/>
              </w:rPr>
              <w:t xml:space="preserve"> </w:t>
            </w:r>
          </w:p>
        </w:tc>
        <w:tc>
          <w:tcPr>
            <w:tcW w:w="8328" w:type="dxa"/>
          </w:tcPr>
          <w:p w14:paraId="7C083733" w14:textId="77777777" w:rsidR="00E66863" w:rsidRPr="002F27BA" w:rsidRDefault="00023E71" w:rsidP="00E66863">
            <w:pPr>
              <w:pStyle w:val="DGTextstand-alone"/>
              <w:spacing w:before="0"/>
              <w:rPr>
                <w:lang w:val="bg-BG"/>
              </w:rPr>
            </w:pPr>
            <w:r w:rsidRPr="001F09A8">
              <w:t>Participants</w:t>
            </w:r>
            <w:r w:rsidRPr="00B65A7D">
              <w:rPr>
                <w:lang w:val="bg-BG"/>
              </w:rPr>
              <w:t xml:space="preserve"> </w:t>
            </w:r>
            <w:r w:rsidRPr="001F09A8">
              <w:t>Guarantee</w:t>
            </w:r>
            <w:r w:rsidRPr="00B65A7D">
              <w:rPr>
                <w:lang w:val="bg-BG"/>
              </w:rPr>
              <w:t xml:space="preserve"> </w:t>
            </w:r>
            <w:r w:rsidRPr="001F09A8">
              <w:t>Fund</w:t>
            </w:r>
          </w:p>
        </w:tc>
      </w:tr>
      <w:tr w:rsidR="00807FFE" w14:paraId="30DD91A9" w14:textId="77777777" w:rsidTr="003747C7">
        <w:tc>
          <w:tcPr>
            <w:tcW w:w="1526" w:type="dxa"/>
          </w:tcPr>
          <w:p w14:paraId="7C680D9D" w14:textId="77777777" w:rsidR="00E66863" w:rsidRDefault="00023E71" w:rsidP="00E66863">
            <w:pPr>
              <w:pStyle w:val="DGTextstand-alone"/>
              <w:spacing w:before="0"/>
              <w:rPr>
                <w:color w:val="016794"/>
              </w:rPr>
            </w:pPr>
            <w:r w:rsidRPr="00180D45">
              <w:rPr>
                <w:color w:val="016794"/>
              </w:rPr>
              <w:t>POCI</w:t>
            </w:r>
          </w:p>
          <w:p w14:paraId="3EDF37C5" w14:textId="77777777" w:rsidR="00E66863" w:rsidRPr="002F27BA" w:rsidRDefault="00023E71" w:rsidP="00E66863">
            <w:pPr>
              <w:pStyle w:val="DGTextstand-alone"/>
              <w:spacing w:before="0"/>
              <w:rPr>
                <w:lang w:val="bg-BG"/>
              </w:rPr>
            </w:pPr>
            <w:r w:rsidRPr="002F27BA">
              <w:rPr>
                <w:color w:val="016794"/>
              </w:rPr>
              <w:t>PPP</w:t>
            </w:r>
            <w:r w:rsidRPr="002F27BA">
              <w:rPr>
                <w:lang w:val="bg-BG"/>
              </w:rPr>
              <w:t xml:space="preserve"> </w:t>
            </w:r>
          </w:p>
        </w:tc>
        <w:tc>
          <w:tcPr>
            <w:tcW w:w="8328" w:type="dxa"/>
          </w:tcPr>
          <w:p w14:paraId="146B6499" w14:textId="77777777" w:rsidR="00E66863" w:rsidRDefault="00023E71" w:rsidP="00E66863">
            <w:pPr>
              <w:pStyle w:val="DGTextstand-alone"/>
              <w:spacing w:before="0"/>
            </w:pPr>
            <w:r>
              <w:t>P</w:t>
            </w:r>
            <w:r w:rsidRPr="00180D45">
              <w:t>urchased or originated as credit impaired</w:t>
            </w:r>
          </w:p>
          <w:p w14:paraId="76FF07DD" w14:textId="77777777" w:rsidR="00E66863" w:rsidRPr="002F27BA" w:rsidRDefault="00023E71" w:rsidP="00E66863">
            <w:pPr>
              <w:pStyle w:val="DGTextstand-alone"/>
              <w:spacing w:before="0"/>
            </w:pPr>
            <w:r w:rsidRPr="001F09A8">
              <w:t>Public</w:t>
            </w:r>
            <w:r w:rsidRPr="00B65A7D">
              <w:rPr>
                <w:lang w:val="bg-BG"/>
              </w:rPr>
              <w:t>-</w:t>
            </w:r>
            <w:r w:rsidRPr="001F09A8">
              <w:t>Private</w:t>
            </w:r>
            <w:r w:rsidRPr="00B65A7D">
              <w:rPr>
                <w:lang w:val="bg-BG"/>
              </w:rPr>
              <w:t xml:space="preserve"> </w:t>
            </w:r>
            <w:r w:rsidRPr="001F09A8">
              <w:t>Partnership</w:t>
            </w:r>
          </w:p>
        </w:tc>
      </w:tr>
      <w:tr w:rsidR="00807FFE" w14:paraId="5A6CFC74" w14:textId="77777777" w:rsidTr="003747C7">
        <w:tc>
          <w:tcPr>
            <w:tcW w:w="1526" w:type="dxa"/>
          </w:tcPr>
          <w:p w14:paraId="3F29DB48" w14:textId="77777777" w:rsidR="00E66863" w:rsidRPr="002F27BA" w:rsidRDefault="00023E71" w:rsidP="00E66863">
            <w:pPr>
              <w:pStyle w:val="DGTextstand-alone"/>
              <w:spacing w:before="0"/>
              <w:rPr>
                <w:lang w:val="bg-BG"/>
              </w:rPr>
            </w:pPr>
            <w:r w:rsidRPr="002F27BA">
              <w:rPr>
                <w:color w:val="016794"/>
              </w:rPr>
              <w:t>PSEO</w:t>
            </w:r>
            <w:r w:rsidRPr="002F27BA">
              <w:rPr>
                <w:lang w:val="bg-BG"/>
              </w:rPr>
              <w:t xml:space="preserve"> </w:t>
            </w:r>
          </w:p>
        </w:tc>
        <w:tc>
          <w:tcPr>
            <w:tcW w:w="8328" w:type="dxa"/>
          </w:tcPr>
          <w:p w14:paraId="43CE3FA9" w14:textId="77777777" w:rsidR="00E66863" w:rsidRPr="002F27BA" w:rsidRDefault="00023E71" w:rsidP="00E66863">
            <w:pPr>
              <w:pStyle w:val="DGTextstand-alone"/>
              <w:spacing w:before="0"/>
            </w:pPr>
            <w:r w:rsidRPr="001F09A8">
              <w:t>Pension</w:t>
            </w:r>
            <w:r w:rsidRPr="00B65A7D">
              <w:rPr>
                <w:lang w:val="bg-BG"/>
              </w:rPr>
              <w:t xml:space="preserve"> </w:t>
            </w:r>
            <w:r w:rsidRPr="001F09A8">
              <w:t>Scheme</w:t>
            </w:r>
            <w:r w:rsidRPr="00B65A7D">
              <w:rPr>
                <w:lang w:val="bg-BG"/>
              </w:rPr>
              <w:t xml:space="preserve"> </w:t>
            </w:r>
            <w:r w:rsidRPr="001F09A8">
              <w:t>of</w:t>
            </w:r>
            <w:r w:rsidRPr="00B65A7D">
              <w:rPr>
                <w:lang w:val="bg-BG"/>
              </w:rPr>
              <w:t xml:space="preserve"> </w:t>
            </w:r>
            <w:r w:rsidRPr="001F09A8">
              <w:t>European</w:t>
            </w:r>
            <w:r w:rsidRPr="00B65A7D">
              <w:rPr>
                <w:lang w:val="bg-BG"/>
              </w:rPr>
              <w:t xml:space="preserve"> </w:t>
            </w:r>
            <w:r w:rsidRPr="001F09A8">
              <w:t xml:space="preserve">Officials </w:t>
            </w:r>
          </w:p>
        </w:tc>
      </w:tr>
      <w:tr w:rsidR="00807FFE" w14:paraId="19BEB73F" w14:textId="77777777" w:rsidTr="003747C7">
        <w:tc>
          <w:tcPr>
            <w:tcW w:w="1526" w:type="dxa"/>
          </w:tcPr>
          <w:p w14:paraId="221DC19D" w14:textId="77777777" w:rsidR="00E66863" w:rsidRPr="002F27BA" w:rsidRDefault="00023E71" w:rsidP="00E66863">
            <w:pPr>
              <w:pStyle w:val="DGTextstand-alone"/>
              <w:spacing w:before="0"/>
              <w:rPr>
                <w:lang w:val="bg-BG"/>
              </w:rPr>
            </w:pPr>
            <w:r w:rsidRPr="002F27BA">
              <w:rPr>
                <w:color w:val="016794"/>
              </w:rPr>
              <w:t>RAL</w:t>
            </w:r>
          </w:p>
        </w:tc>
        <w:tc>
          <w:tcPr>
            <w:tcW w:w="8328" w:type="dxa"/>
          </w:tcPr>
          <w:p w14:paraId="6A9964D9" w14:textId="77777777" w:rsidR="00E66863" w:rsidRPr="002F27BA" w:rsidRDefault="00023E71" w:rsidP="00E66863">
            <w:pPr>
              <w:pStyle w:val="DGTextstand-alone"/>
              <w:spacing w:before="0"/>
            </w:pPr>
            <w:r>
              <w:t>‘</w:t>
            </w:r>
            <w:r w:rsidRPr="001F09A8">
              <w:t>Reste</w:t>
            </w:r>
            <w:r w:rsidRPr="00B65A7D">
              <w:rPr>
                <w:lang w:val="bg-BG"/>
              </w:rPr>
              <w:t xml:space="preserve"> à </w:t>
            </w:r>
            <w:r w:rsidRPr="001F09A8">
              <w:t>Liquider</w:t>
            </w:r>
            <w:r>
              <w:t>’</w:t>
            </w:r>
            <w:r w:rsidRPr="001F09A8">
              <w:t xml:space="preserve"> (Outstanding Commitments)</w:t>
            </w:r>
          </w:p>
        </w:tc>
      </w:tr>
      <w:tr w:rsidR="00807FFE" w14:paraId="6F703553" w14:textId="77777777" w:rsidTr="003747C7">
        <w:tc>
          <w:tcPr>
            <w:tcW w:w="1526" w:type="dxa"/>
          </w:tcPr>
          <w:p w14:paraId="44889A44" w14:textId="77777777" w:rsidR="00E66863" w:rsidRPr="002F27BA" w:rsidRDefault="00023E71" w:rsidP="00E66863">
            <w:pPr>
              <w:pStyle w:val="DGTextstand-alone"/>
              <w:spacing w:before="0"/>
            </w:pPr>
            <w:r w:rsidRPr="002F27BA">
              <w:rPr>
                <w:color w:val="016794"/>
              </w:rPr>
              <w:t>RSFF</w:t>
            </w:r>
            <w:r w:rsidRPr="002F27BA">
              <w:t xml:space="preserve"> </w:t>
            </w:r>
          </w:p>
        </w:tc>
        <w:tc>
          <w:tcPr>
            <w:tcW w:w="8328" w:type="dxa"/>
          </w:tcPr>
          <w:p w14:paraId="47930D40" w14:textId="77777777" w:rsidR="00E66863" w:rsidRPr="002F27BA" w:rsidRDefault="00023E71" w:rsidP="00E66863">
            <w:pPr>
              <w:pStyle w:val="DGTextstand-alone"/>
              <w:spacing w:before="0"/>
            </w:pPr>
            <w:r w:rsidRPr="001F09A8">
              <w:t>Risk Sharing Finance Facility</w:t>
            </w:r>
          </w:p>
        </w:tc>
      </w:tr>
      <w:tr w:rsidR="00807FFE" w14:paraId="57EC0477" w14:textId="77777777" w:rsidTr="003747C7">
        <w:tc>
          <w:tcPr>
            <w:tcW w:w="1526" w:type="dxa"/>
          </w:tcPr>
          <w:p w14:paraId="3EBAB2A1" w14:textId="77777777" w:rsidR="00E66863" w:rsidRPr="002F27BA" w:rsidRDefault="00023E71" w:rsidP="00E66863">
            <w:pPr>
              <w:pStyle w:val="DGTextstand-alone"/>
              <w:spacing w:before="0"/>
              <w:rPr>
                <w:color w:val="016794"/>
              </w:rPr>
            </w:pPr>
            <w:r w:rsidRPr="00282EBB">
              <w:rPr>
                <w:color w:val="016794"/>
              </w:rPr>
              <w:t>RRF</w:t>
            </w:r>
          </w:p>
        </w:tc>
        <w:tc>
          <w:tcPr>
            <w:tcW w:w="8328" w:type="dxa"/>
          </w:tcPr>
          <w:p w14:paraId="1B639F89" w14:textId="77777777" w:rsidR="00E66863" w:rsidRPr="001F09A8" w:rsidRDefault="00023E71" w:rsidP="00E66863">
            <w:pPr>
              <w:pStyle w:val="DGTextstand-alone"/>
              <w:spacing w:before="0"/>
            </w:pPr>
            <w:r w:rsidRPr="00282EBB">
              <w:t>Recovery and Resilience Facility</w:t>
            </w:r>
          </w:p>
        </w:tc>
      </w:tr>
      <w:tr w:rsidR="00807FFE" w14:paraId="00156BAA" w14:textId="77777777" w:rsidTr="003747C7">
        <w:tc>
          <w:tcPr>
            <w:tcW w:w="1526" w:type="dxa"/>
          </w:tcPr>
          <w:p w14:paraId="14741DD4" w14:textId="77777777" w:rsidR="00E66863" w:rsidRPr="002F27BA" w:rsidRDefault="00023E71" w:rsidP="00E66863">
            <w:pPr>
              <w:pStyle w:val="DGTextstand-alone"/>
              <w:spacing w:before="0"/>
            </w:pPr>
            <w:r w:rsidRPr="002F27BA">
              <w:rPr>
                <w:color w:val="016794"/>
              </w:rPr>
              <w:t>RTD</w:t>
            </w:r>
            <w:r w:rsidRPr="002F27BA">
              <w:t xml:space="preserve"> </w:t>
            </w:r>
          </w:p>
        </w:tc>
        <w:tc>
          <w:tcPr>
            <w:tcW w:w="8328" w:type="dxa"/>
          </w:tcPr>
          <w:p w14:paraId="45A90444" w14:textId="77777777" w:rsidR="00E66863" w:rsidRPr="002F27BA" w:rsidRDefault="00023E71" w:rsidP="00E66863">
            <w:pPr>
              <w:pStyle w:val="DGTextstand-alone"/>
              <w:spacing w:before="0"/>
            </w:pPr>
            <w:r w:rsidRPr="001F09A8">
              <w:t>Research, Technological Development and Demonstration</w:t>
            </w:r>
          </w:p>
        </w:tc>
      </w:tr>
      <w:tr w:rsidR="00807FFE" w14:paraId="32E766DB" w14:textId="77777777" w:rsidTr="003747C7">
        <w:tc>
          <w:tcPr>
            <w:tcW w:w="1526" w:type="dxa"/>
          </w:tcPr>
          <w:p w14:paraId="50D00CC2" w14:textId="77777777" w:rsidR="00E66863" w:rsidRPr="002F27BA" w:rsidRDefault="00023E71" w:rsidP="00E66863">
            <w:pPr>
              <w:pStyle w:val="DGTextstand-alone"/>
              <w:spacing w:before="0"/>
            </w:pPr>
            <w:r w:rsidRPr="002F27BA">
              <w:rPr>
                <w:color w:val="016794"/>
              </w:rPr>
              <w:t>S&amp;P</w:t>
            </w:r>
            <w:r w:rsidRPr="002F27BA">
              <w:t xml:space="preserve"> </w:t>
            </w:r>
          </w:p>
        </w:tc>
        <w:tc>
          <w:tcPr>
            <w:tcW w:w="8328" w:type="dxa"/>
          </w:tcPr>
          <w:p w14:paraId="58864A90" w14:textId="77777777" w:rsidR="00E66863" w:rsidRPr="002F27BA" w:rsidRDefault="00023E71" w:rsidP="00E66863">
            <w:pPr>
              <w:pStyle w:val="DGTextstand-alone"/>
              <w:spacing w:before="0"/>
            </w:pPr>
            <w:r w:rsidRPr="001F09A8">
              <w:rPr>
                <w:bCs/>
                <w:lang w:val="en"/>
              </w:rPr>
              <w:t>Standard &amp; Poor's Financial Services LLC</w:t>
            </w:r>
          </w:p>
        </w:tc>
      </w:tr>
      <w:tr w:rsidR="00807FFE" w14:paraId="56C831CD" w14:textId="77777777" w:rsidTr="003747C7">
        <w:tc>
          <w:tcPr>
            <w:tcW w:w="1526" w:type="dxa"/>
          </w:tcPr>
          <w:p w14:paraId="7261B2A7" w14:textId="77777777" w:rsidR="000F0BB3" w:rsidRPr="002F27BA" w:rsidRDefault="00023E71" w:rsidP="000F0BB3">
            <w:pPr>
              <w:pStyle w:val="DGTextstand-alone"/>
              <w:spacing w:before="0"/>
              <w:rPr>
                <w:color w:val="016794"/>
              </w:rPr>
            </w:pPr>
            <w:r w:rsidRPr="002F27BA">
              <w:rPr>
                <w:color w:val="016794"/>
              </w:rPr>
              <w:t>S</w:t>
            </w:r>
            <w:r>
              <w:rPr>
                <w:color w:val="016794"/>
              </w:rPr>
              <w:t>AFE</w:t>
            </w:r>
            <w:r w:rsidRPr="002F27BA">
              <w:t xml:space="preserve"> </w:t>
            </w:r>
          </w:p>
        </w:tc>
        <w:tc>
          <w:tcPr>
            <w:tcW w:w="8328" w:type="dxa"/>
          </w:tcPr>
          <w:p w14:paraId="290F9B5E" w14:textId="77777777" w:rsidR="000F0BB3" w:rsidRPr="001F09A8" w:rsidRDefault="00023E71" w:rsidP="000F0BB3">
            <w:pPr>
              <w:pStyle w:val="DGTextstand-alone"/>
              <w:spacing w:before="0"/>
              <w:rPr>
                <w:bCs/>
                <w:lang w:val="en"/>
              </w:rPr>
            </w:pPr>
            <w:r w:rsidRPr="000F0BB3">
              <w:rPr>
                <w:bCs/>
                <w:lang w:val="en"/>
              </w:rPr>
              <w:t>Security Action for Europe</w:t>
            </w:r>
          </w:p>
        </w:tc>
      </w:tr>
      <w:tr w:rsidR="00807FFE" w14:paraId="7B5BFADA" w14:textId="77777777" w:rsidTr="003747C7">
        <w:tc>
          <w:tcPr>
            <w:tcW w:w="1526" w:type="dxa"/>
          </w:tcPr>
          <w:p w14:paraId="592B5858" w14:textId="77777777" w:rsidR="000F0BB3" w:rsidRPr="002F27BA" w:rsidRDefault="00023E71" w:rsidP="000F0BB3">
            <w:pPr>
              <w:pStyle w:val="DGTextstand-alone"/>
              <w:spacing w:before="0"/>
            </w:pPr>
            <w:r w:rsidRPr="002F27BA">
              <w:rPr>
                <w:color w:val="016794"/>
              </w:rPr>
              <w:t>SANAD</w:t>
            </w:r>
            <w:r w:rsidRPr="002F27BA">
              <w:t xml:space="preserve"> </w:t>
            </w:r>
          </w:p>
        </w:tc>
        <w:tc>
          <w:tcPr>
            <w:tcW w:w="8328" w:type="dxa"/>
          </w:tcPr>
          <w:p w14:paraId="6EE8FDC2" w14:textId="77777777" w:rsidR="000F0BB3" w:rsidRPr="002F27BA" w:rsidRDefault="00023E71" w:rsidP="000F0BB3">
            <w:pPr>
              <w:pStyle w:val="DGTextstand-alone"/>
              <w:spacing w:before="0"/>
            </w:pPr>
            <w:r w:rsidRPr="001F09A8">
              <w:t>MENA Fund for Micro-, Small and Medium Enterprises</w:t>
            </w:r>
          </w:p>
        </w:tc>
      </w:tr>
      <w:tr w:rsidR="00807FFE" w14:paraId="0FBE83A4" w14:textId="77777777" w:rsidTr="003747C7">
        <w:tc>
          <w:tcPr>
            <w:tcW w:w="1526" w:type="dxa"/>
          </w:tcPr>
          <w:p w14:paraId="12B3754F" w14:textId="77777777" w:rsidR="000F0BB3" w:rsidRPr="002F27BA" w:rsidRDefault="00023E71" w:rsidP="000F0BB3">
            <w:pPr>
              <w:pStyle w:val="DGTextstand-alone"/>
              <w:spacing w:before="0"/>
              <w:rPr>
                <w:iCs/>
              </w:rPr>
            </w:pPr>
            <w:r w:rsidRPr="002F27BA">
              <w:rPr>
                <w:color w:val="016794"/>
              </w:rPr>
              <w:t>SAPARD</w:t>
            </w:r>
            <w:r w:rsidRPr="002F27BA">
              <w:rPr>
                <w:iCs/>
              </w:rPr>
              <w:t xml:space="preserve"> </w:t>
            </w:r>
          </w:p>
        </w:tc>
        <w:tc>
          <w:tcPr>
            <w:tcW w:w="8328" w:type="dxa"/>
          </w:tcPr>
          <w:p w14:paraId="09A811C6" w14:textId="77777777" w:rsidR="000F0BB3" w:rsidRPr="002F27BA" w:rsidRDefault="00023E71" w:rsidP="000F0BB3">
            <w:pPr>
              <w:pStyle w:val="DGTextstand-alone"/>
              <w:spacing w:before="0"/>
            </w:pPr>
            <w:r w:rsidRPr="002F27BA">
              <w:rPr>
                <w:iCs/>
              </w:rPr>
              <w:t xml:space="preserve">Special Accession Programme for Agriculture and Rural Development </w:t>
            </w:r>
          </w:p>
        </w:tc>
      </w:tr>
      <w:tr w:rsidR="00807FFE" w14:paraId="1A6E91E9" w14:textId="77777777" w:rsidTr="003747C7">
        <w:tc>
          <w:tcPr>
            <w:tcW w:w="1526" w:type="dxa"/>
          </w:tcPr>
          <w:p w14:paraId="1ACCF296" w14:textId="77777777" w:rsidR="000F0BB3" w:rsidRPr="002F27BA" w:rsidRDefault="00023E71" w:rsidP="000F0BB3">
            <w:pPr>
              <w:pStyle w:val="DGTextstand-alone"/>
              <w:spacing w:before="0"/>
            </w:pPr>
            <w:r w:rsidRPr="002F27BA">
              <w:rPr>
                <w:color w:val="016794"/>
              </w:rPr>
              <w:t>SEMED</w:t>
            </w:r>
            <w:r w:rsidRPr="002F27BA">
              <w:t xml:space="preserve"> </w:t>
            </w:r>
          </w:p>
        </w:tc>
        <w:tc>
          <w:tcPr>
            <w:tcW w:w="8328" w:type="dxa"/>
          </w:tcPr>
          <w:p w14:paraId="43832D53" w14:textId="77777777" w:rsidR="000F0BB3" w:rsidRPr="002F27BA" w:rsidRDefault="00023E71" w:rsidP="000F0BB3">
            <w:pPr>
              <w:pStyle w:val="DGTextstand-alone"/>
              <w:spacing w:before="0"/>
            </w:pPr>
            <w:r w:rsidRPr="001F09A8">
              <w:rPr>
                <w:rFonts w:cs="DejaVuSansCondensed-Bold"/>
                <w:bCs/>
              </w:rPr>
              <w:t xml:space="preserve">Southern and Eastern Mediterranean </w:t>
            </w:r>
            <w:r w:rsidRPr="00686A96">
              <w:rPr>
                <w:rFonts w:cs="DejaVuSansCondensed-Bold"/>
                <w:bCs/>
              </w:rPr>
              <w:t>Micro, Small and Middle</w:t>
            </w:r>
            <w:r>
              <w:rPr>
                <w:rFonts w:cs="DejaVuSansCondensed-Bold"/>
                <w:bCs/>
              </w:rPr>
              <w:t xml:space="preserve"> sized Entreprises Financial Inclusion Programme</w:t>
            </w:r>
          </w:p>
        </w:tc>
      </w:tr>
      <w:tr w:rsidR="00807FFE" w14:paraId="190F6C55" w14:textId="77777777" w:rsidTr="003747C7">
        <w:tc>
          <w:tcPr>
            <w:tcW w:w="1526" w:type="dxa"/>
          </w:tcPr>
          <w:p w14:paraId="1EE0596F" w14:textId="77777777" w:rsidR="000F0BB3" w:rsidRPr="002F27BA" w:rsidRDefault="00023E71" w:rsidP="000F0BB3">
            <w:pPr>
              <w:pStyle w:val="DGTextstand-alone"/>
              <w:spacing w:before="0"/>
              <w:rPr>
                <w:color w:val="016794"/>
              </w:rPr>
            </w:pPr>
            <w:r w:rsidRPr="00282EBB">
              <w:rPr>
                <w:color w:val="016794"/>
              </w:rPr>
              <w:t>SICR</w:t>
            </w:r>
          </w:p>
        </w:tc>
        <w:tc>
          <w:tcPr>
            <w:tcW w:w="8328" w:type="dxa"/>
          </w:tcPr>
          <w:p w14:paraId="1FD3BD3C" w14:textId="77777777" w:rsidR="000F0BB3" w:rsidRPr="001F09A8" w:rsidRDefault="00023E71" w:rsidP="000F0BB3">
            <w:pPr>
              <w:pStyle w:val="DGTextstand-alone"/>
              <w:spacing w:before="0"/>
              <w:rPr>
                <w:rFonts w:cs="DejaVuSansCondensed-Bold"/>
                <w:bCs/>
              </w:rPr>
            </w:pPr>
            <w:r>
              <w:rPr>
                <w:rFonts w:cs="DejaVuSansCondensed-Bold"/>
                <w:bCs/>
              </w:rPr>
              <w:t>Significant I</w:t>
            </w:r>
            <w:r w:rsidRPr="00282EBB">
              <w:rPr>
                <w:rFonts w:cs="DejaVuSansCondensed-Bold"/>
                <w:bCs/>
              </w:rPr>
              <w:t xml:space="preserve">ncrease of </w:t>
            </w:r>
            <w:r>
              <w:rPr>
                <w:rFonts w:cs="DejaVuSansCondensed-Bold"/>
                <w:bCs/>
              </w:rPr>
              <w:t>C</w:t>
            </w:r>
            <w:r w:rsidRPr="00282EBB">
              <w:rPr>
                <w:rFonts w:cs="DejaVuSansCondensed-Bold"/>
                <w:bCs/>
              </w:rPr>
              <w:t xml:space="preserve">redit </w:t>
            </w:r>
            <w:r>
              <w:rPr>
                <w:rFonts w:cs="DejaVuSansCondensed-Bold"/>
                <w:bCs/>
              </w:rPr>
              <w:t>R</w:t>
            </w:r>
            <w:r w:rsidRPr="00282EBB">
              <w:rPr>
                <w:rFonts w:cs="DejaVuSansCondensed-Bold"/>
                <w:bCs/>
              </w:rPr>
              <w:t>isk</w:t>
            </w:r>
          </w:p>
        </w:tc>
      </w:tr>
      <w:tr w:rsidR="00807FFE" w14:paraId="1C8A2FFD" w14:textId="77777777" w:rsidTr="003747C7">
        <w:tc>
          <w:tcPr>
            <w:tcW w:w="1526" w:type="dxa"/>
          </w:tcPr>
          <w:p w14:paraId="7FBBC1EE" w14:textId="77777777" w:rsidR="000F0BB3" w:rsidRPr="002F27BA" w:rsidRDefault="00023E71" w:rsidP="000F0BB3">
            <w:pPr>
              <w:pStyle w:val="DGTextstand-alone"/>
              <w:spacing w:before="0"/>
              <w:rPr>
                <w:iCs/>
              </w:rPr>
            </w:pPr>
            <w:r w:rsidRPr="002F27BA">
              <w:rPr>
                <w:color w:val="016794"/>
              </w:rPr>
              <w:t>SIUGI</w:t>
            </w:r>
            <w:r w:rsidRPr="002F27BA">
              <w:rPr>
                <w:iCs/>
              </w:rPr>
              <w:t xml:space="preserve"> </w:t>
            </w:r>
          </w:p>
        </w:tc>
        <w:tc>
          <w:tcPr>
            <w:tcW w:w="8328" w:type="dxa"/>
          </w:tcPr>
          <w:p w14:paraId="610BCB7C" w14:textId="77777777" w:rsidR="000F0BB3" w:rsidRPr="002F27BA" w:rsidRDefault="00023E71" w:rsidP="000F0BB3">
            <w:pPr>
              <w:pStyle w:val="DGTextstand-alone"/>
              <w:spacing w:before="0"/>
              <w:rPr>
                <w:iCs/>
              </w:rPr>
            </w:pPr>
            <w:r w:rsidRPr="001F09A8">
              <w:rPr>
                <w:iCs/>
              </w:rPr>
              <w:t>SME Initiative Uncapped Guarantee Instrument</w:t>
            </w:r>
          </w:p>
        </w:tc>
      </w:tr>
      <w:tr w:rsidR="00807FFE" w14:paraId="2B2B3ECA" w14:textId="77777777" w:rsidTr="003747C7">
        <w:tc>
          <w:tcPr>
            <w:tcW w:w="1526" w:type="dxa"/>
          </w:tcPr>
          <w:p w14:paraId="7C5FAB83" w14:textId="77777777" w:rsidR="000F0BB3" w:rsidRPr="002F27BA" w:rsidRDefault="00023E71" w:rsidP="000F0BB3">
            <w:pPr>
              <w:pStyle w:val="DGTextstand-alone"/>
              <w:spacing w:before="0"/>
            </w:pPr>
            <w:r w:rsidRPr="002F27BA">
              <w:rPr>
                <w:color w:val="016794"/>
              </w:rPr>
              <w:t>SME</w:t>
            </w:r>
          </w:p>
        </w:tc>
        <w:tc>
          <w:tcPr>
            <w:tcW w:w="8328" w:type="dxa"/>
          </w:tcPr>
          <w:p w14:paraId="7D43C00A" w14:textId="77777777" w:rsidR="000F0BB3" w:rsidRPr="002F27BA" w:rsidRDefault="00023E71" w:rsidP="000F0BB3">
            <w:pPr>
              <w:pStyle w:val="DGTextstand-alone"/>
              <w:spacing w:before="0"/>
            </w:pPr>
            <w:r w:rsidRPr="001F09A8">
              <w:rPr>
                <w:rStyle w:val="st1"/>
                <w:rFonts w:cs="Arial"/>
              </w:rPr>
              <w:t>Small and Medium-sized Enterprise</w:t>
            </w:r>
            <w:r>
              <w:rPr>
                <w:rStyle w:val="st1"/>
                <w:rFonts w:cs="Arial"/>
              </w:rPr>
              <w:t>(</w:t>
            </w:r>
            <w:r w:rsidRPr="001F09A8">
              <w:rPr>
                <w:rStyle w:val="st1"/>
                <w:rFonts w:cs="Arial"/>
              </w:rPr>
              <w:t>s</w:t>
            </w:r>
            <w:r>
              <w:rPr>
                <w:rStyle w:val="st1"/>
                <w:rFonts w:cs="Arial"/>
              </w:rPr>
              <w:t>)</w:t>
            </w:r>
          </w:p>
        </w:tc>
      </w:tr>
      <w:tr w:rsidR="00807FFE" w14:paraId="5D60B1D5" w14:textId="77777777" w:rsidTr="003747C7">
        <w:tc>
          <w:tcPr>
            <w:tcW w:w="1526" w:type="dxa"/>
          </w:tcPr>
          <w:p w14:paraId="3514884D" w14:textId="77777777" w:rsidR="000F0BB3" w:rsidRPr="006D2FF3" w:rsidRDefault="00023E71" w:rsidP="000F0BB3">
            <w:pPr>
              <w:pStyle w:val="DGTextstand-alone"/>
              <w:spacing w:before="0"/>
            </w:pPr>
            <w:r w:rsidRPr="006D2FF3">
              <w:rPr>
                <w:color w:val="016794"/>
              </w:rPr>
              <w:t>SMEW</w:t>
            </w:r>
            <w:r w:rsidRPr="006D2FF3">
              <w:t xml:space="preserve"> </w:t>
            </w:r>
          </w:p>
        </w:tc>
        <w:tc>
          <w:tcPr>
            <w:tcW w:w="8328" w:type="dxa"/>
          </w:tcPr>
          <w:p w14:paraId="6FBDBF4C" w14:textId="77777777" w:rsidR="000F0BB3" w:rsidRPr="006D2FF3" w:rsidRDefault="00023E71" w:rsidP="000F0BB3">
            <w:pPr>
              <w:pStyle w:val="DGTextstand-alone"/>
              <w:spacing w:before="0"/>
            </w:pPr>
            <w:r w:rsidRPr="001F09A8">
              <w:t>SME Window (Small and Medium-sized Enterprises Window)</w:t>
            </w:r>
          </w:p>
        </w:tc>
      </w:tr>
      <w:tr w:rsidR="00807FFE" w14:paraId="2A1C6D22" w14:textId="77777777" w:rsidTr="003747C7">
        <w:tc>
          <w:tcPr>
            <w:tcW w:w="1526" w:type="dxa"/>
          </w:tcPr>
          <w:p w14:paraId="61930F85" w14:textId="77777777" w:rsidR="000F0BB3" w:rsidRDefault="00023E71" w:rsidP="000F0BB3">
            <w:pPr>
              <w:pStyle w:val="DGTextstand-alone"/>
              <w:spacing w:before="0"/>
              <w:rPr>
                <w:color w:val="016794"/>
              </w:rPr>
            </w:pPr>
            <w:r>
              <w:rPr>
                <w:color w:val="016794"/>
              </w:rPr>
              <w:t>STEP</w:t>
            </w:r>
          </w:p>
          <w:p w14:paraId="61C744AB" w14:textId="77777777" w:rsidR="000F0BB3" w:rsidRPr="006D2FF3" w:rsidRDefault="00023E71" w:rsidP="000F0BB3">
            <w:pPr>
              <w:pStyle w:val="DGTextstand-alone"/>
              <w:spacing w:before="0"/>
              <w:rPr>
                <w:color w:val="016794"/>
              </w:rPr>
            </w:pPr>
            <w:r>
              <w:rPr>
                <w:color w:val="016794"/>
              </w:rPr>
              <w:t>SURE</w:t>
            </w:r>
          </w:p>
        </w:tc>
        <w:tc>
          <w:tcPr>
            <w:tcW w:w="8328" w:type="dxa"/>
          </w:tcPr>
          <w:p w14:paraId="34A24EC8" w14:textId="77777777" w:rsidR="000F0BB3" w:rsidRDefault="00023E71" w:rsidP="000F0BB3">
            <w:pPr>
              <w:pStyle w:val="DGTextstand-alone"/>
              <w:spacing w:before="0"/>
            </w:pPr>
            <w:r>
              <w:t>Strategic technologies for Europe platform</w:t>
            </w:r>
          </w:p>
          <w:p w14:paraId="51B50F65" w14:textId="77777777" w:rsidR="000F0BB3" w:rsidRPr="001F09A8" w:rsidRDefault="00023E71" w:rsidP="000F0BB3">
            <w:pPr>
              <w:pStyle w:val="DGTextstand-alone"/>
              <w:spacing w:before="0"/>
            </w:pPr>
            <w:r>
              <w:t>Support to mitigate Unemployment Risks in an Emergency</w:t>
            </w:r>
          </w:p>
        </w:tc>
      </w:tr>
      <w:tr w:rsidR="00807FFE" w14:paraId="436BA2C5" w14:textId="77777777" w:rsidTr="003747C7">
        <w:tc>
          <w:tcPr>
            <w:tcW w:w="1526" w:type="dxa"/>
          </w:tcPr>
          <w:p w14:paraId="1F938A38" w14:textId="77777777" w:rsidR="000F0BB3" w:rsidRPr="006D2FF3" w:rsidRDefault="00023E71" w:rsidP="000F0BB3">
            <w:pPr>
              <w:pStyle w:val="DGTextstand-alone"/>
              <w:spacing w:before="0"/>
            </w:pPr>
            <w:r w:rsidRPr="006D2FF3">
              <w:rPr>
                <w:color w:val="016794"/>
              </w:rPr>
              <w:t>TFEU</w:t>
            </w:r>
            <w:r w:rsidRPr="006D2FF3">
              <w:t xml:space="preserve"> </w:t>
            </w:r>
          </w:p>
        </w:tc>
        <w:tc>
          <w:tcPr>
            <w:tcW w:w="8328" w:type="dxa"/>
          </w:tcPr>
          <w:p w14:paraId="7A2A4A27" w14:textId="77777777" w:rsidR="000F0BB3" w:rsidRPr="006D2FF3" w:rsidRDefault="00023E71" w:rsidP="000F0BB3">
            <w:pPr>
              <w:pStyle w:val="DGTextstand-alone"/>
              <w:spacing w:before="0"/>
            </w:pPr>
            <w:r w:rsidRPr="001F09A8">
              <w:rPr>
                <w:bCs/>
                <w:lang w:val="en"/>
              </w:rPr>
              <w:t>Treaty on the Functioning of the European Union</w:t>
            </w:r>
          </w:p>
        </w:tc>
      </w:tr>
      <w:tr w:rsidR="00807FFE" w14:paraId="52486795" w14:textId="77777777" w:rsidTr="003747C7">
        <w:tc>
          <w:tcPr>
            <w:tcW w:w="1526" w:type="dxa"/>
          </w:tcPr>
          <w:p w14:paraId="135028ED" w14:textId="77777777" w:rsidR="000F0BB3" w:rsidRPr="006D2FF3" w:rsidRDefault="00023E71" w:rsidP="000F0BB3">
            <w:pPr>
              <w:pStyle w:val="DGTextstand-alone"/>
              <w:spacing w:before="0"/>
            </w:pPr>
            <w:r w:rsidRPr="006D2FF3">
              <w:rPr>
                <w:color w:val="016794"/>
              </w:rPr>
              <w:t>TOR</w:t>
            </w:r>
            <w:r w:rsidRPr="006D2FF3">
              <w:t xml:space="preserve"> </w:t>
            </w:r>
          </w:p>
        </w:tc>
        <w:tc>
          <w:tcPr>
            <w:tcW w:w="8328" w:type="dxa"/>
          </w:tcPr>
          <w:p w14:paraId="053EB8E9" w14:textId="77777777" w:rsidR="000F0BB3" w:rsidRPr="006D2FF3" w:rsidRDefault="00023E71" w:rsidP="000F0BB3">
            <w:pPr>
              <w:pStyle w:val="DGTextstand-alone"/>
              <w:spacing w:before="0"/>
            </w:pPr>
            <w:r>
              <w:t>Traditional own r</w:t>
            </w:r>
            <w:r w:rsidRPr="001F09A8">
              <w:t>esources</w:t>
            </w:r>
          </w:p>
        </w:tc>
      </w:tr>
      <w:tr w:rsidR="00807FFE" w14:paraId="0BC35FDC" w14:textId="77777777" w:rsidTr="003747C7">
        <w:tc>
          <w:tcPr>
            <w:tcW w:w="1526" w:type="dxa"/>
          </w:tcPr>
          <w:p w14:paraId="3EBAAE06" w14:textId="77777777" w:rsidR="000F0BB3" w:rsidRDefault="00023E71" w:rsidP="000F0BB3">
            <w:pPr>
              <w:pStyle w:val="DGTextstand-alone"/>
              <w:spacing w:before="0"/>
              <w:rPr>
                <w:color w:val="016794"/>
              </w:rPr>
            </w:pPr>
            <w:r w:rsidRPr="006D2FF3">
              <w:rPr>
                <w:color w:val="016794"/>
              </w:rPr>
              <w:t>TRDI</w:t>
            </w:r>
            <w:r w:rsidRPr="006D2FF3">
              <w:rPr>
                <w:iCs/>
              </w:rPr>
              <w:t xml:space="preserve"> </w:t>
            </w:r>
          </w:p>
          <w:p w14:paraId="1AB2EF6D" w14:textId="77777777" w:rsidR="000F0BB3" w:rsidRPr="00791454" w:rsidRDefault="00023E71" w:rsidP="000F0BB3">
            <w:pPr>
              <w:rPr>
                <w:noProof/>
                <w:lang w:eastAsia="en-US"/>
              </w:rPr>
            </w:pPr>
            <w:r w:rsidRPr="00791454">
              <w:rPr>
                <w:rFonts w:ascii="Verdana" w:eastAsia="Calibri" w:hAnsi="Verdana"/>
                <w:noProof/>
                <w:color w:val="016794"/>
                <w:sz w:val="18"/>
                <w:szCs w:val="18"/>
                <w:lang w:eastAsia="en-US"/>
              </w:rPr>
              <w:t>ULCM</w:t>
            </w:r>
          </w:p>
        </w:tc>
        <w:tc>
          <w:tcPr>
            <w:tcW w:w="8328" w:type="dxa"/>
          </w:tcPr>
          <w:p w14:paraId="5D97FADE" w14:textId="77777777" w:rsidR="000F0BB3" w:rsidRDefault="00023E71" w:rsidP="000F0BB3">
            <w:pPr>
              <w:pStyle w:val="DGTextstand-alone"/>
              <w:spacing w:before="0"/>
              <w:rPr>
                <w:iCs/>
              </w:rPr>
            </w:pPr>
            <w:r w:rsidRPr="001F09A8">
              <w:rPr>
                <w:iCs/>
              </w:rPr>
              <w:t>Temporary Rural Development Instrument</w:t>
            </w:r>
          </w:p>
          <w:p w14:paraId="2A80016C" w14:textId="77777777" w:rsidR="000F0BB3" w:rsidRPr="006D2FF3" w:rsidRDefault="00023E71" w:rsidP="000F0BB3">
            <w:pPr>
              <w:pStyle w:val="DGTextstand-alone"/>
              <w:spacing w:before="0"/>
              <w:rPr>
                <w:iCs/>
              </w:rPr>
            </w:pPr>
            <w:r w:rsidRPr="00791454">
              <w:rPr>
                <w:iCs/>
              </w:rPr>
              <w:t>Ukraine Loan Cooperation Mechanism</w:t>
            </w:r>
          </w:p>
        </w:tc>
      </w:tr>
      <w:tr w:rsidR="00807FFE" w14:paraId="2CA81125" w14:textId="77777777" w:rsidTr="003747C7">
        <w:tc>
          <w:tcPr>
            <w:tcW w:w="1526" w:type="dxa"/>
          </w:tcPr>
          <w:p w14:paraId="6141234E" w14:textId="77777777" w:rsidR="000F0BB3" w:rsidRPr="006D2FF3" w:rsidRDefault="00023E71" w:rsidP="000F0BB3">
            <w:pPr>
              <w:pStyle w:val="DGTextstand-alone"/>
              <w:spacing w:before="0"/>
            </w:pPr>
            <w:r w:rsidRPr="006D2FF3">
              <w:rPr>
                <w:color w:val="016794"/>
              </w:rPr>
              <w:t>VAT</w:t>
            </w:r>
            <w:r w:rsidRPr="006D2FF3">
              <w:t xml:space="preserve"> </w:t>
            </w:r>
          </w:p>
        </w:tc>
        <w:tc>
          <w:tcPr>
            <w:tcW w:w="8328" w:type="dxa"/>
          </w:tcPr>
          <w:p w14:paraId="1AF463DF" w14:textId="77777777" w:rsidR="000F0BB3" w:rsidRPr="006D2FF3" w:rsidRDefault="00023E71" w:rsidP="000F0BB3">
            <w:pPr>
              <w:pStyle w:val="DGTextstand-alone"/>
              <w:spacing w:before="0"/>
            </w:pPr>
            <w:r w:rsidRPr="001F09A8">
              <w:t>Value Added Tax</w:t>
            </w:r>
          </w:p>
        </w:tc>
      </w:tr>
    </w:tbl>
    <w:p w14:paraId="46A67595" w14:textId="77777777" w:rsidR="007F3432" w:rsidRPr="00376EE2" w:rsidRDefault="00023E71" w:rsidP="00733844">
      <w:pPr>
        <w:pStyle w:val="DGTextstand-alone"/>
        <w:spacing w:after="0"/>
      </w:pPr>
      <w:r>
        <w:tab/>
        <w:t xml:space="preserve"> </w:t>
      </w:r>
      <w:bookmarkEnd w:id="1"/>
      <w:bookmarkEnd w:id="359"/>
    </w:p>
    <w:sectPr w:rsidR="007F3432" w:rsidRPr="00376EE2">
      <w:headerReference w:type="default" r:id="rId194"/>
      <w:footerReference w:type="default" r:id="rId19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BFB27" w14:textId="77777777" w:rsidR="006378DF" w:rsidRDefault="006378DF">
      <w:r>
        <w:separator/>
      </w:r>
    </w:p>
  </w:endnote>
  <w:endnote w:type="continuationSeparator" w:id="0">
    <w:p w14:paraId="56A18358" w14:textId="77777777" w:rsidR="006378DF" w:rsidRDefault="00637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jaVuSansCondensed-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D8723" w14:textId="5FFA0231" w:rsidR="00253107" w:rsidRPr="00253107" w:rsidRDefault="00253107" w:rsidP="00253107">
    <w:pPr>
      <w:pStyle w:val="FooterCoverPage"/>
      <w:rPr>
        <w:rFonts w:ascii="Arial" w:hAnsi="Arial" w:cs="Arial"/>
        <w:b/>
        <w:sz w:val="48"/>
      </w:rPr>
    </w:pPr>
    <w:r w:rsidRPr="00253107">
      <w:rPr>
        <w:rFonts w:ascii="Arial" w:hAnsi="Arial" w:cs="Arial"/>
        <w:b/>
        <w:sz w:val="48"/>
      </w:rPr>
      <w:t>EN</w:t>
    </w:r>
    <w:r w:rsidRPr="00253107">
      <w:rPr>
        <w:rFonts w:ascii="Arial" w:hAnsi="Arial" w:cs="Arial"/>
        <w:b/>
        <w:sz w:val="48"/>
      </w:rPr>
      <w:tab/>
    </w:r>
    <w:r w:rsidRPr="00253107">
      <w:rPr>
        <w:rFonts w:ascii="Arial" w:hAnsi="Arial" w:cs="Arial"/>
        <w:b/>
        <w:sz w:val="48"/>
      </w:rPr>
      <w:tab/>
    </w:r>
    <w:r w:rsidRPr="00253107">
      <w:tab/>
    </w:r>
    <w:r w:rsidRPr="0025310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06AC2" w14:textId="40927DDC" w:rsidR="00253107" w:rsidRPr="00253107" w:rsidRDefault="00253107" w:rsidP="00253107">
    <w:pPr>
      <w:pStyle w:val="FooterCoverPage"/>
      <w:rPr>
        <w:rFonts w:ascii="Arial" w:hAnsi="Arial" w:cs="Arial"/>
        <w:b/>
        <w:sz w:val="48"/>
      </w:rPr>
    </w:pPr>
    <w:r w:rsidRPr="00253107">
      <w:rPr>
        <w:rFonts w:ascii="Arial" w:hAnsi="Arial" w:cs="Arial"/>
        <w:b/>
        <w:sz w:val="48"/>
      </w:rPr>
      <w:t>EN</w:t>
    </w:r>
    <w:r w:rsidRPr="00253107">
      <w:rPr>
        <w:rFonts w:ascii="Arial" w:hAnsi="Arial" w:cs="Arial"/>
        <w:b/>
        <w:sz w:val="48"/>
      </w:rPr>
      <w:tab/>
    </w:r>
    <w:r w:rsidRPr="00253107">
      <w:rPr>
        <w:rFonts w:ascii="Arial" w:hAnsi="Arial" w:cs="Arial"/>
        <w:b/>
        <w:sz w:val="48"/>
      </w:rPr>
      <w:tab/>
    </w:r>
    <w:r w:rsidRPr="00253107">
      <w:tab/>
    </w:r>
    <w:r w:rsidRPr="0025310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2F256" w14:textId="77777777" w:rsidR="00253107" w:rsidRPr="00253107" w:rsidRDefault="00253107" w:rsidP="0025310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B2D4F" w14:textId="77777777" w:rsidR="00000000" w:rsidRDefault="00253107">
    <w:r>
      <w:cr/>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49F8" w14:textId="77777777" w:rsidR="00BF2400" w:rsidRDefault="00BF24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24DB0" w14:textId="77777777" w:rsidR="00000000" w:rsidRDefault="00253107">
    <w:r>
      <w:cr/>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53B8E" w14:textId="77777777" w:rsidR="006A7022" w:rsidRDefault="006A70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8639C" w14:textId="77777777" w:rsidR="00E31B3D" w:rsidRPr="000D064C" w:rsidRDefault="00023E71"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595776" behindDoc="1" locked="0" layoutInCell="1" allowOverlap="1" wp14:anchorId="71264773" wp14:editId="648FFCF0">
              <wp:simplePos x="0" y="0"/>
              <wp:positionH relativeFrom="page">
                <wp:align>center</wp:align>
              </wp:positionH>
              <wp:positionV relativeFrom="paragraph">
                <wp:posOffset>4445</wp:posOffset>
              </wp:positionV>
              <wp:extent cx="403200" cy="795600"/>
              <wp:effectExtent l="0" t="0" r="16510" b="24130"/>
              <wp:wrapNone/>
              <wp:docPr id="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720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6EF81761">
              <v:textbox inset=",1.3mm"/>
              <w10:wrap anchorx="page"/>
            </v:rect>
          </w:pict>
        </mc:Fallback>
      </mc:AlternateContent>
    </w:r>
  </w:p>
  <w:p w14:paraId="07824AD7" w14:textId="4198D6AD" w:rsidR="00E31B3D" w:rsidRPr="000D064C" w:rsidRDefault="00023E71">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253107">
      <w:rPr>
        <w:rFonts w:ascii="Verdana" w:hAnsi="Verdana"/>
        <w:b/>
        <w:noProof/>
        <w:color w:val="FFFFFF"/>
        <w:sz w:val="18"/>
        <w:szCs w:val="18"/>
      </w:rPr>
      <w:t>4</w:t>
    </w:r>
    <w:r w:rsidRPr="000D064C">
      <w:rPr>
        <w:rFonts w:ascii="Verdana" w:hAnsi="Verdana"/>
        <w:b/>
        <w:noProof/>
        <w:color w:val="FFFFFF"/>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31AA6" w14:textId="77777777" w:rsidR="006A7022" w:rsidRDefault="006A702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30941"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08064" behindDoc="1" locked="0" layoutInCell="1" allowOverlap="1" wp14:anchorId="24CFB601" wp14:editId="4F85F7C3">
              <wp:simplePos x="0" y="0"/>
              <wp:positionH relativeFrom="page">
                <wp:align>center</wp:align>
              </wp:positionH>
              <wp:positionV relativeFrom="paragraph">
                <wp:posOffset>4445</wp:posOffset>
              </wp:positionV>
              <wp:extent cx="403200" cy="795600"/>
              <wp:effectExtent l="0" t="0" r="16510" b="24130"/>
              <wp:wrapNone/>
              <wp:docPr id="82741077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7084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5D006BA2">
              <v:textbox inset=",1.3mm"/>
              <w10:wrap anchorx="page"/>
            </v:rect>
          </w:pict>
        </mc:Fallback>
      </mc:AlternateContent>
    </w:r>
  </w:p>
  <w:p w14:paraId="3046BD0F"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43</w:t>
    </w:r>
    <w:r w:rsidRPr="000D064C">
      <w:rPr>
        <w:rFonts w:ascii="Verdana" w:hAnsi="Verdana"/>
        <w:b/>
        <w:noProof/>
        <w:color w:val="FFFFFF"/>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D8462"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0112" behindDoc="1" locked="0" layoutInCell="1" allowOverlap="1" wp14:anchorId="78C5F304" wp14:editId="5D08C84D">
              <wp:simplePos x="0" y="0"/>
              <wp:positionH relativeFrom="page">
                <wp:align>center</wp:align>
              </wp:positionH>
              <wp:positionV relativeFrom="paragraph">
                <wp:posOffset>4445</wp:posOffset>
              </wp:positionV>
              <wp:extent cx="403200" cy="795600"/>
              <wp:effectExtent l="0" t="0" r="16510" b="24130"/>
              <wp:wrapNone/>
              <wp:docPr id="98719314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7063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3670BF54">
              <v:textbox inset=",1.3mm"/>
              <w10:wrap anchorx="page"/>
            </v:rect>
          </w:pict>
        </mc:Fallback>
      </mc:AlternateContent>
    </w:r>
  </w:p>
  <w:p w14:paraId="5CEC8562"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43</w:t>
    </w:r>
    <w:r w:rsidRPr="000D064C">
      <w:rPr>
        <w:rFonts w:ascii="Verdana" w:hAnsi="Verdana"/>
        <w:b/>
        <w:noProof/>
        <w:color w:val="FFFFFF"/>
        <w:sz w:val="18"/>
        <w:szCs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31836"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2160" behindDoc="1" locked="0" layoutInCell="1" allowOverlap="1" wp14:anchorId="5B578B55" wp14:editId="48891904">
              <wp:simplePos x="0" y="0"/>
              <wp:positionH relativeFrom="page">
                <wp:align>center</wp:align>
              </wp:positionH>
              <wp:positionV relativeFrom="paragraph">
                <wp:posOffset>4445</wp:posOffset>
              </wp:positionV>
              <wp:extent cx="403200" cy="795600"/>
              <wp:effectExtent l="0" t="0" r="16510" b="24130"/>
              <wp:wrapNone/>
              <wp:docPr id="131298709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7043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528B520">
              <v:textbox inset=",1.3mm"/>
              <w10:wrap anchorx="page"/>
            </v:rect>
          </w:pict>
        </mc:Fallback>
      </mc:AlternateContent>
    </w:r>
  </w:p>
  <w:p w14:paraId="6084A269"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43</w:t>
    </w:r>
    <w:r w:rsidRPr="000D064C">
      <w:rPr>
        <w:rFonts w:ascii="Verdana" w:hAnsi="Verdana"/>
        <w:b/>
        <w:noProof/>
        <w:color w:val="FFFFFF"/>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F7C02"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4208" behindDoc="1" locked="0" layoutInCell="1" allowOverlap="1" wp14:anchorId="3A0C1BF7" wp14:editId="7D99AF6A">
              <wp:simplePos x="0" y="0"/>
              <wp:positionH relativeFrom="page">
                <wp:align>center</wp:align>
              </wp:positionH>
              <wp:positionV relativeFrom="paragraph">
                <wp:posOffset>4445</wp:posOffset>
              </wp:positionV>
              <wp:extent cx="403200" cy="795600"/>
              <wp:effectExtent l="0" t="0" r="16510" b="24130"/>
              <wp:wrapNone/>
              <wp:docPr id="7236233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702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753CE49">
              <v:textbox inset=",1.3mm"/>
              <w10:wrap anchorx="page"/>
            </v:rect>
          </w:pict>
        </mc:Fallback>
      </mc:AlternateContent>
    </w:r>
  </w:p>
  <w:p w14:paraId="359541DA"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43</w:t>
    </w:r>
    <w:r w:rsidRPr="000D064C">
      <w:rPr>
        <w:rFonts w:ascii="Verdana" w:hAnsi="Verdana"/>
        <w:b/>
        <w:noProof/>
        <w:color w:val="FFFFFF"/>
        <w:sz w:val="18"/>
        <w:szCs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4A207"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6256" behindDoc="1" locked="0" layoutInCell="1" allowOverlap="1" wp14:anchorId="661E0C95" wp14:editId="29D59715">
              <wp:simplePos x="0" y="0"/>
              <wp:positionH relativeFrom="page">
                <wp:align>center</wp:align>
              </wp:positionH>
              <wp:positionV relativeFrom="paragraph">
                <wp:posOffset>4445</wp:posOffset>
              </wp:positionV>
              <wp:extent cx="403200" cy="795600"/>
              <wp:effectExtent l="0" t="0" r="16510" b="24130"/>
              <wp:wrapNone/>
              <wp:docPr id="138391291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7002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2351941E">
              <v:textbox inset=",1.3mm"/>
              <w10:wrap anchorx="page"/>
            </v:rect>
          </w:pict>
        </mc:Fallback>
      </mc:AlternateContent>
    </w:r>
  </w:p>
  <w:p w14:paraId="65C8DEF3"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43</w:t>
    </w:r>
    <w:r w:rsidRPr="000D064C">
      <w:rPr>
        <w:rFonts w:ascii="Verdana" w:hAnsi="Verdana"/>
        <w:b/>
        <w:noProof/>
        <w:color w:val="FFFFFF"/>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EB5FC"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8304" behindDoc="1" locked="0" layoutInCell="1" allowOverlap="1" wp14:anchorId="50410284" wp14:editId="690A5233">
              <wp:simplePos x="0" y="0"/>
              <wp:positionH relativeFrom="page">
                <wp:align>center</wp:align>
              </wp:positionH>
              <wp:positionV relativeFrom="paragraph">
                <wp:posOffset>4445</wp:posOffset>
              </wp:positionV>
              <wp:extent cx="403200" cy="795600"/>
              <wp:effectExtent l="0" t="0" r="16510" b="24130"/>
              <wp:wrapNone/>
              <wp:docPr id="150895251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981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3EBAEDA">
              <v:textbox inset=",1.3mm"/>
              <w10:wrap anchorx="page"/>
            </v:rect>
          </w:pict>
        </mc:Fallback>
      </mc:AlternateContent>
    </w:r>
  </w:p>
  <w:p w14:paraId="2CF864D5"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43</w:t>
    </w:r>
    <w:r w:rsidRPr="000D064C">
      <w:rPr>
        <w:rFonts w:ascii="Verdana" w:hAnsi="Verdana"/>
        <w:b/>
        <w:noProof/>
        <w:color w:val="FFFFFF"/>
        <w:sz w:val="18"/>
        <w:szCs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BE696" w14:textId="77777777" w:rsidR="00014520" w:rsidRDefault="0001452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BD3E" w14:textId="77777777" w:rsidR="00E31B3D" w:rsidRPr="000D064C" w:rsidRDefault="00023E71"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597824" behindDoc="1" locked="0" layoutInCell="1" allowOverlap="1" wp14:anchorId="02E76E44" wp14:editId="037DC979">
              <wp:simplePos x="0" y="0"/>
              <wp:positionH relativeFrom="page">
                <wp:align>center</wp:align>
              </wp:positionH>
              <wp:positionV relativeFrom="paragraph">
                <wp:posOffset>82740</wp:posOffset>
              </wp:positionV>
              <wp:extent cx="403200" cy="795600"/>
              <wp:effectExtent l="0" t="0" r="16510" b="24130"/>
              <wp:wrapNone/>
              <wp:docPr id="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7186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3FCC344">
              <v:textbox inset=",1.3mm"/>
              <w10:wrap anchorx="page"/>
            </v:rect>
          </w:pict>
        </mc:Fallback>
      </mc:AlternateContent>
    </w:r>
  </w:p>
  <w:p w14:paraId="02A8D41C" w14:textId="77777777" w:rsidR="00E31B3D" w:rsidRPr="000D064C" w:rsidRDefault="00023E71">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65</w:t>
    </w:r>
    <w:r w:rsidRPr="000D064C">
      <w:rPr>
        <w:rFonts w:ascii="Verdana" w:hAnsi="Verdana"/>
        <w:b/>
        <w:noProof/>
        <w:color w:val="FFFFFF"/>
        <w:sz w:val="18"/>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29222" w14:textId="77777777" w:rsidR="00014520" w:rsidRDefault="0001452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C27E9"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0352" behindDoc="1" locked="0" layoutInCell="1" allowOverlap="1" wp14:anchorId="06AD3147" wp14:editId="3D481941">
              <wp:simplePos x="0" y="0"/>
              <wp:positionH relativeFrom="page">
                <wp:align>center</wp:align>
              </wp:positionH>
              <wp:positionV relativeFrom="paragraph">
                <wp:posOffset>82740</wp:posOffset>
              </wp:positionV>
              <wp:extent cx="403200" cy="795600"/>
              <wp:effectExtent l="0" t="0" r="16510" b="24130"/>
              <wp:wrapNone/>
              <wp:docPr id="20585423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961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9C9B6AD">
              <v:textbox inset=",1.3mm"/>
              <w10:wrap anchorx="page"/>
            </v:rect>
          </w:pict>
        </mc:Fallback>
      </mc:AlternateContent>
    </w:r>
  </w:p>
  <w:p w14:paraId="0943BCC3"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65</w:t>
    </w:r>
    <w:r w:rsidRPr="000D064C">
      <w:rPr>
        <w:rFonts w:ascii="Verdana" w:hAnsi="Verdana"/>
        <w:b/>
        <w:noProof/>
        <w:color w:val="FFFFFF"/>
        <w:sz w:val="18"/>
        <w:szCs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47859"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2400" behindDoc="1" locked="0" layoutInCell="1" allowOverlap="1" wp14:anchorId="1960BEF7" wp14:editId="2F8ACD51">
              <wp:simplePos x="0" y="0"/>
              <wp:positionH relativeFrom="page">
                <wp:align>center</wp:align>
              </wp:positionH>
              <wp:positionV relativeFrom="paragraph">
                <wp:posOffset>82740</wp:posOffset>
              </wp:positionV>
              <wp:extent cx="403200" cy="795600"/>
              <wp:effectExtent l="0" t="0" r="16510" b="24130"/>
              <wp:wrapNone/>
              <wp:docPr id="171168172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940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F295CE5">
              <v:textbox inset=",1.3mm"/>
              <w10:wrap anchorx="page"/>
            </v:rect>
          </w:pict>
        </mc:Fallback>
      </mc:AlternateContent>
    </w:r>
  </w:p>
  <w:p w14:paraId="4169F820"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65</w:t>
    </w:r>
    <w:r w:rsidRPr="000D064C">
      <w:rPr>
        <w:rFonts w:ascii="Verdana" w:hAnsi="Verdana"/>
        <w:b/>
        <w:noProof/>
        <w:color w:val="FFFFFF"/>
        <w:sz w:val="18"/>
        <w:szCs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6C9A4"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4448" behindDoc="1" locked="0" layoutInCell="1" allowOverlap="1" wp14:anchorId="2CFB266E" wp14:editId="39FE0288">
              <wp:simplePos x="0" y="0"/>
              <wp:positionH relativeFrom="page">
                <wp:align>center</wp:align>
              </wp:positionH>
              <wp:positionV relativeFrom="paragraph">
                <wp:posOffset>82740</wp:posOffset>
              </wp:positionV>
              <wp:extent cx="403200" cy="795600"/>
              <wp:effectExtent l="0" t="0" r="16510" b="24130"/>
              <wp:wrapNone/>
              <wp:docPr id="100473880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920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7C1AC06">
              <v:textbox inset=",1.3mm"/>
              <w10:wrap anchorx="page"/>
            </v:rect>
          </w:pict>
        </mc:Fallback>
      </mc:AlternateContent>
    </w:r>
  </w:p>
  <w:p w14:paraId="23025ECA"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65</w:t>
    </w:r>
    <w:r w:rsidRPr="000D064C">
      <w:rPr>
        <w:rFonts w:ascii="Verdana" w:hAnsi="Verdana"/>
        <w:b/>
        <w:noProof/>
        <w:color w:val="FFFFFF"/>
        <w:sz w:val="18"/>
        <w:szCs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7B0E8"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6496" behindDoc="1" locked="0" layoutInCell="1" allowOverlap="1" wp14:anchorId="567F4D22" wp14:editId="6CBF0770">
              <wp:simplePos x="0" y="0"/>
              <wp:positionH relativeFrom="page">
                <wp:align>center</wp:align>
              </wp:positionH>
              <wp:positionV relativeFrom="paragraph">
                <wp:posOffset>82740</wp:posOffset>
              </wp:positionV>
              <wp:extent cx="403200" cy="795600"/>
              <wp:effectExtent l="0" t="0" r="16510" b="24130"/>
              <wp:wrapNone/>
              <wp:docPr id="206241753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899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70250C5">
              <v:textbox inset=",1.3mm"/>
              <w10:wrap anchorx="page"/>
            </v:rect>
          </w:pict>
        </mc:Fallback>
      </mc:AlternateContent>
    </w:r>
  </w:p>
  <w:p w14:paraId="199A7B77"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65</w:t>
    </w:r>
    <w:r w:rsidRPr="000D064C">
      <w:rPr>
        <w:rFonts w:ascii="Verdana" w:hAnsi="Verdana"/>
        <w:b/>
        <w:noProof/>
        <w:color w:val="FFFFFF"/>
        <w:sz w:val="18"/>
        <w:szCs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92140"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8544" behindDoc="1" locked="0" layoutInCell="1" allowOverlap="1" wp14:anchorId="5FD1930F" wp14:editId="06038E3B">
              <wp:simplePos x="0" y="0"/>
              <wp:positionH relativeFrom="page">
                <wp:align>center</wp:align>
              </wp:positionH>
              <wp:positionV relativeFrom="paragraph">
                <wp:posOffset>82740</wp:posOffset>
              </wp:positionV>
              <wp:extent cx="403200" cy="795600"/>
              <wp:effectExtent l="0" t="0" r="16510" b="24130"/>
              <wp:wrapNone/>
              <wp:docPr id="37457713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879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9663FBB">
              <v:textbox inset=",1.3mm"/>
              <w10:wrap anchorx="page"/>
            </v:rect>
          </w:pict>
        </mc:Fallback>
      </mc:AlternateContent>
    </w:r>
  </w:p>
  <w:p w14:paraId="788D4D0B"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65</w:t>
    </w:r>
    <w:r w:rsidRPr="000D064C">
      <w:rPr>
        <w:rFonts w:ascii="Verdana" w:hAnsi="Verdana"/>
        <w:b/>
        <w:noProof/>
        <w:color w:val="FFFFFF"/>
        <w:sz w:val="18"/>
        <w:szCs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076ED" w14:textId="77777777" w:rsidR="00014520" w:rsidRDefault="0001452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AAAEE" w14:textId="77777777" w:rsidR="00E31B3D" w:rsidRPr="000D064C" w:rsidRDefault="00023E71"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599872" behindDoc="1" locked="0" layoutInCell="1" allowOverlap="1" wp14:anchorId="0BA6E53A" wp14:editId="1CB4AA5F">
              <wp:simplePos x="0" y="0"/>
              <wp:positionH relativeFrom="page">
                <wp:align>center</wp:align>
              </wp:positionH>
              <wp:positionV relativeFrom="paragraph">
                <wp:posOffset>82740</wp:posOffset>
              </wp:positionV>
              <wp:extent cx="403200" cy="795600"/>
              <wp:effectExtent l="0" t="0" r="16510" b="24130"/>
              <wp:wrapNone/>
              <wp:docPr id="195555143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7166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7A73D1B">
              <v:textbox inset=",1.3mm"/>
              <w10:wrap anchorx="page"/>
            </v:rect>
          </w:pict>
        </mc:Fallback>
      </mc:AlternateContent>
    </w:r>
  </w:p>
  <w:p w14:paraId="544C2960" w14:textId="77777777" w:rsidR="00E31B3D" w:rsidRPr="000D064C" w:rsidRDefault="00023E71">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DF221" w14:textId="77777777" w:rsidR="00014520" w:rsidRDefault="0001452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D160E"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0592" behindDoc="1" locked="0" layoutInCell="1" allowOverlap="1" wp14:anchorId="65800735" wp14:editId="7BA16347">
              <wp:simplePos x="0" y="0"/>
              <wp:positionH relativeFrom="page">
                <wp:align>center</wp:align>
              </wp:positionH>
              <wp:positionV relativeFrom="paragraph">
                <wp:posOffset>82740</wp:posOffset>
              </wp:positionV>
              <wp:extent cx="403200" cy="795600"/>
              <wp:effectExtent l="0" t="0" r="16510" b="24130"/>
              <wp:wrapNone/>
              <wp:docPr id="37290701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858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26D2928">
              <v:textbox inset=",1.3mm"/>
              <w10:wrap anchorx="page"/>
            </v:rect>
          </w:pict>
        </mc:Fallback>
      </mc:AlternateContent>
    </w:r>
  </w:p>
  <w:p w14:paraId="2DB3CB03"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89C46"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2640" behindDoc="1" locked="0" layoutInCell="1" allowOverlap="1" wp14:anchorId="2F4D3651" wp14:editId="40298131">
              <wp:simplePos x="0" y="0"/>
              <wp:positionH relativeFrom="page">
                <wp:align>center</wp:align>
              </wp:positionH>
              <wp:positionV relativeFrom="paragraph">
                <wp:posOffset>82740</wp:posOffset>
              </wp:positionV>
              <wp:extent cx="403200" cy="795600"/>
              <wp:effectExtent l="0" t="0" r="16510" b="24130"/>
              <wp:wrapNone/>
              <wp:docPr id="5135354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838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6C95D4B">
              <v:textbox inset=",1.3mm"/>
              <w10:wrap anchorx="page"/>
            </v:rect>
          </w:pict>
        </mc:Fallback>
      </mc:AlternateContent>
    </w:r>
  </w:p>
  <w:p w14:paraId="727FE3A5"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18F83"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4688" behindDoc="1" locked="0" layoutInCell="1" allowOverlap="1" wp14:anchorId="00AFCF89" wp14:editId="73B9694C">
              <wp:simplePos x="0" y="0"/>
              <wp:positionH relativeFrom="page">
                <wp:align>center</wp:align>
              </wp:positionH>
              <wp:positionV relativeFrom="paragraph">
                <wp:posOffset>82740</wp:posOffset>
              </wp:positionV>
              <wp:extent cx="403200" cy="795600"/>
              <wp:effectExtent l="0" t="0" r="16510" b="24130"/>
              <wp:wrapNone/>
              <wp:docPr id="40815504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817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548046B">
              <v:textbox inset=",1.3mm"/>
              <w10:wrap anchorx="page"/>
            </v:rect>
          </w:pict>
        </mc:Fallback>
      </mc:AlternateContent>
    </w:r>
  </w:p>
  <w:p w14:paraId="2EAB6789"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48B5F"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6736" behindDoc="1" locked="0" layoutInCell="1" allowOverlap="1" wp14:anchorId="50D0789F" wp14:editId="68B04F6A">
              <wp:simplePos x="0" y="0"/>
              <wp:positionH relativeFrom="page">
                <wp:align>center</wp:align>
              </wp:positionH>
              <wp:positionV relativeFrom="paragraph">
                <wp:posOffset>82740</wp:posOffset>
              </wp:positionV>
              <wp:extent cx="403200" cy="795600"/>
              <wp:effectExtent l="0" t="0" r="16510" b="24130"/>
              <wp:wrapNone/>
              <wp:docPr id="86924387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797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21EDBF8">
              <v:textbox inset=",1.3mm"/>
              <w10:wrap anchorx="page"/>
            </v:rect>
          </w:pict>
        </mc:Fallback>
      </mc:AlternateContent>
    </w:r>
  </w:p>
  <w:p w14:paraId="31637D73"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E4305"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8784" behindDoc="1" locked="0" layoutInCell="1" allowOverlap="1" wp14:anchorId="7B875D5F" wp14:editId="1315F622">
              <wp:simplePos x="0" y="0"/>
              <wp:positionH relativeFrom="page">
                <wp:align>center</wp:align>
              </wp:positionH>
              <wp:positionV relativeFrom="paragraph">
                <wp:posOffset>82740</wp:posOffset>
              </wp:positionV>
              <wp:extent cx="403200" cy="795600"/>
              <wp:effectExtent l="0" t="0" r="16510" b="24130"/>
              <wp:wrapNone/>
              <wp:docPr id="6604699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E440420">
              <v:textbox inset=",1.3mm"/>
              <w10:wrap anchorx="page"/>
            </v:rect>
          </w:pict>
        </mc:Fallback>
      </mc:AlternateContent>
    </w:r>
  </w:p>
  <w:p w14:paraId="05FDFAB3"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E59C"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0832" behindDoc="1" locked="0" layoutInCell="1" allowOverlap="1" wp14:anchorId="4AA19EFE" wp14:editId="355D4F70">
              <wp:simplePos x="0" y="0"/>
              <wp:positionH relativeFrom="page">
                <wp:align>center</wp:align>
              </wp:positionH>
              <wp:positionV relativeFrom="paragraph">
                <wp:posOffset>82740</wp:posOffset>
              </wp:positionV>
              <wp:extent cx="403200" cy="795600"/>
              <wp:effectExtent l="0" t="0" r="16510" b="24130"/>
              <wp:wrapNone/>
              <wp:docPr id="124874412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756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CB176BE">
              <v:textbox inset=",1.3mm"/>
              <w10:wrap anchorx="page"/>
            </v:rect>
          </w:pict>
        </mc:Fallback>
      </mc:AlternateContent>
    </w:r>
  </w:p>
  <w:p w14:paraId="203C76AD"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47A8E"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2880" behindDoc="1" locked="0" layoutInCell="1" allowOverlap="1" wp14:anchorId="4C47A2B0" wp14:editId="73390B9B">
              <wp:simplePos x="0" y="0"/>
              <wp:positionH relativeFrom="page">
                <wp:align>center</wp:align>
              </wp:positionH>
              <wp:positionV relativeFrom="paragraph">
                <wp:posOffset>82740</wp:posOffset>
              </wp:positionV>
              <wp:extent cx="403200" cy="795600"/>
              <wp:effectExtent l="0" t="0" r="16510" b="24130"/>
              <wp:wrapNone/>
              <wp:docPr id="137695578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5108CF8">
              <v:textbox inset=",1.3mm"/>
              <w10:wrap anchorx="page"/>
            </v:rect>
          </w:pict>
        </mc:Fallback>
      </mc:AlternateContent>
    </w:r>
  </w:p>
  <w:p w14:paraId="3E5E8CAD"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6821A"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4928" behindDoc="1" locked="0" layoutInCell="1" allowOverlap="1" wp14:anchorId="0E35D6CF" wp14:editId="427E69F0">
              <wp:simplePos x="0" y="0"/>
              <wp:positionH relativeFrom="page">
                <wp:align>center</wp:align>
              </wp:positionH>
              <wp:positionV relativeFrom="paragraph">
                <wp:posOffset>82740</wp:posOffset>
              </wp:positionV>
              <wp:extent cx="403200" cy="795600"/>
              <wp:effectExtent l="0" t="0" r="16510" b="24130"/>
              <wp:wrapNone/>
              <wp:docPr id="116376489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D1F7374">
              <v:textbox inset=",1.3mm"/>
              <w10:wrap anchorx="page"/>
            </v:rect>
          </w:pict>
        </mc:Fallback>
      </mc:AlternateContent>
    </w:r>
  </w:p>
  <w:p w14:paraId="7E89F981"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E3655"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6976" behindDoc="1" locked="0" layoutInCell="1" allowOverlap="1" wp14:anchorId="5E4D816B" wp14:editId="5E6AC973">
              <wp:simplePos x="0" y="0"/>
              <wp:positionH relativeFrom="page">
                <wp:align>center</wp:align>
              </wp:positionH>
              <wp:positionV relativeFrom="paragraph">
                <wp:posOffset>82740</wp:posOffset>
              </wp:positionV>
              <wp:extent cx="403200" cy="795600"/>
              <wp:effectExtent l="0" t="0" r="16510" b="24130"/>
              <wp:wrapNone/>
              <wp:docPr id="35208525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976D404">
              <v:textbox inset=",1.3mm"/>
              <w10:wrap anchorx="page"/>
            </v:rect>
          </w:pict>
        </mc:Fallback>
      </mc:AlternateContent>
    </w:r>
  </w:p>
  <w:p w14:paraId="46C713C0"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8403C"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9024" behindDoc="1" locked="0" layoutInCell="1" allowOverlap="1" wp14:anchorId="64DB2D23" wp14:editId="475F9106">
              <wp:simplePos x="0" y="0"/>
              <wp:positionH relativeFrom="page">
                <wp:align>center</wp:align>
              </wp:positionH>
              <wp:positionV relativeFrom="paragraph">
                <wp:posOffset>82740</wp:posOffset>
              </wp:positionV>
              <wp:extent cx="403200" cy="795600"/>
              <wp:effectExtent l="0" t="0" r="16510" b="24130"/>
              <wp:wrapNone/>
              <wp:docPr id="125647336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990E7FC">
              <v:textbox inset=",1.3mm"/>
              <w10:wrap anchorx="page"/>
            </v:rect>
          </w:pict>
        </mc:Fallback>
      </mc:AlternateContent>
    </w:r>
  </w:p>
  <w:p w14:paraId="43D53190"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7B642"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1072" behindDoc="1" locked="0" layoutInCell="1" allowOverlap="1" wp14:anchorId="16545331" wp14:editId="3C083486">
              <wp:simplePos x="0" y="0"/>
              <wp:positionH relativeFrom="page">
                <wp:align>center</wp:align>
              </wp:positionH>
              <wp:positionV relativeFrom="paragraph">
                <wp:posOffset>82740</wp:posOffset>
              </wp:positionV>
              <wp:extent cx="403200" cy="795600"/>
              <wp:effectExtent l="0" t="0" r="16510" b="24130"/>
              <wp:wrapNone/>
              <wp:docPr id="55023815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654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0F59DE9">
              <v:textbox inset=",1.3mm"/>
              <w10:wrap anchorx="page"/>
            </v:rect>
          </w:pict>
        </mc:Fallback>
      </mc:AlternateContent>
    </w:r>
  </w:p>
  <w:p w14:paraId="4927C8EF"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7FF9B"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3120" behindDoc="1" locked="0" layoutInCell="1" allowOverlap="1" wp14:anchorId="6695F421" wp14:editId="21C37F1D">
              <wp:simplePos x="0" y="0"/>
              <wp:positionH relativeFrom="page">
                <wp:align>center</wp:align>
              </wp:positionH>
              <wp:positionV relativeFrom="paragraph">
                <wp:posOffset>82740</wp:posOffset>
              </wp:positionV>
              <wp:extent cx="403200" cy="795600"/>
              <wp:effectExtent l="0" t="0" r="16510" b="24130"/>
              <wp:wrapNone/>
              <wp:docPr id="124092285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8E5F042">
              <v:textbox inset=",1.3mm"/>
              <w10:wrap anchorx="page"/>
            </v:rect>
          </w:pict>
        </mc:Fallback>
      </mc:AlternateContent>
    </w:r>
  </w:p>
  <w:p w14:paraId="76E5BD24"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5978C"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5168" behindDoc="1" locked="0" layoutInCell="1" allowOverlap="1" wp14:anchorId="601605DE" wp14:editId="47EBFC73">
              <wp:simplePos x="0" y="0"/>
              <wp:positionH relativeFrom="page">
                <wp:align>center</wp:align>
              </wp:positionH>
              <wp:positionV relativeFrom="paragraph">
                <wp:posOffset>82740</wp:posOffset>
              </wp:positionV>
              <wp:extent cx="403200" cy="795600"/>
              <wp:effectExtent l="0" t="0" r="16510" b="24130"/>
              <wp:wrapNone/>
              <wp:docPr id="71538772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CCA62C6">
              <v:textbox inset=",1.3mm"/>
              <w10:wrap anchorx="page"/>
            </v:rect>
          </w:pict>
        </mc:Fallback>
      </mc:AlternateContent>
    </w:r>
  </w:p>
  <w:p w14:paraId="302394F3"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CAAF5"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7216" behindDoc="1" locked="0" layoutInCell="1" allowOverlap="1" wp14:anchorId="3D081B4E" wp14:editId="7B0C5773">
              <wp:simplePos x="0" y="0"/>
              <wp:positionH relativeFrom="page">
                <wp:align>center</wp:align>
              </wp:positionH>
              <wp:positionV relativeFrom="paragraph">
                <wp:posOffset>82740</wp:posOffset>
              </wp:positionV>
              <wp:extent cx="403200" cy="795600"/>
              <wp:effectExtent l="0" t="0" r="16510" b="24130"/>
              <wp:wrapNone/>
              <wp:docPr id="205910853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98DA305">
              <v:textbox inset=",1.3mm"/>
              <w10:wrap anchorx="page"/>
            </v:rect>
          </w:pict>
        </mc:Fallback>
      </mc:AlternateContent>
    </w:r>
  </w:p>
  <w:p w14:paraId="5BA7522B"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7E5A3"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9264" behindDoc="1" locked="0" layoutInCell="1" allowOverlap="1" wp14:anchorId="288CFC09" wp14:editId="43ADA82E">
              <wp:simplePos x="0" y="0"/>
              <wp:positionH relativeFrom="page">
                <wp:align>center</wp:align>
              </wp:positionH>
              <wp:positionV relativeFrom="paragraph">
                <wp:posOffset>82740</wp:posOffset>
              </wp:positionV>
              <wp:extent cx="403200" cy="795600"/>
              <wp:effectExtent l="0" t="0" r="16510" b="24130"/>
              <wp:wrapNone/>
              <wp:docPr id="14400086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4D0D9C9">
              <v:textbox inset=",1.3mm"/>
              <w10:wrap anchorx="page"/>
            </v:rect>
          </w:pict>
        </mc:Fallback>
      </mc:AlternateContent>
    </w:r>
  </w:p>
  <w:p w14:paraId="3DD17BF3"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D4465"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1312" behindDoc="1" locked="0" layoutInCell="1" allowOverlap="1" wp14:anchorId="3208BA79" wp14:editId="13E67154">
              <wp:simplePos x="0" y="0"/>
              <wp:positionH relativeFrom="page">
                <wp:align>center</wp:align>
              </wp:positionH>
              <wp:positionV relativeFrom="paragraph">
                <wp:posOffset>82740</wp:posOffset>
              </wp:positionV>
              <wp:extent cx="403200" cy="795600"/>
              <wp:effectExtent l="0" t="0" r="16510" b="24130"/>
              <wp:wrapNone/>
              <wp:docPr id="75404579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551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922F036">
              <v:textbox inset=",1.3mm"/>
              <w10:wrap anchorx="page"/>
            </v:rect>
          </w:pict>
        </mc:Fallback>
      </mc:AlternateContent>
    </w:r>
  </w:p>
  <w:p w14:paraId="2AF5C80F"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32CA0"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3360" behindDoc="1" locked="0" layoutInCell="1" allowOverlap="1" wp14:anchorId="1A6B015A" wp14:editId="161F908C">
              <wp:simplePos x="0" y="0"/>
              <wp:positionH relativeFrom="page">
                <wp:align>center</wp:align>
              </wp:positionH>
              <wp:positionV relativeFrom="paragraph">
                <wp:posOffset>82740</wp:posOffset>
              </wp:positionV>
              <wp:extent cx="403200" cy="795600"/>
              <wp:effectExtent l="0" t="0" r="16510" b="24130"/>
              <wp:wrapNone/>
              <wp:docPr id="117285899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A62EC42">
              <v:textbox inset=",1.3mm"/>
              <w10:wrap anchorx="page"/>
            </v:rect>
          </w:pict>
        </mc:Fallback>
      </mc:AlternateContent>
    </w:r>
  </w:p>
  <w:p w14:paraId="33B3F92D"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6B8F"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5408" behindDoc="1" locked="0" layoutInCell="1" allowOverlap="1" wp14:anchorId="52AD466B" wp14:editId="5C736BAF">
              <wp:simplePos x="0" y="0"/>
              <wp:positionH relativeFrom="page">
                <wp:align>center</wp:align>
              </wp:positionH>
              <wp:positionV relativeFrom="paragraph">
                <wp:posOffset>82740</wp:posOffset>
              </wp:positionV>
              <wp:extent cx="403200" cy="795600"/>
              <wp:effectExtent l="0" t="0" r="16510" b="24130"/>
              <wp:wrapNone/>
              <wp:docPr id="82045518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510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4189559F">
              <v:textbox inset=",1.3mm"/>
              <w10:wrap anchorx="page"/>
            </v:rect>
          </w:pict>
        </mc:Fallback>
      </mc:AlternateContent>
    </w:r>
  </w:p>
  <w:p w14:paraId="102E1376"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60FEF"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7456" behindDoc="1" locked="0" layoutInCell="1" allowOverlap="1" wp14:anchorId="720B8286" wp14:editId="3E9B4345">
              <wp:simplePos x="0" y="0"/>
              <wp:positionH relativeFrom="page">
                <wp:align>center</wp:align>
              </wp:positionH>
              <wp:positionV relativeFrom="paragraph">
                <wp:posOffset>82740</wp:posOffset>
              </wp:positionV>
              <wp:extent cx="403200" cy="795600"/>
              <wp:effectExtent l="0" t="0" r="16510" b="24130"/>
              <wp:wrapNone/>
              <wp:docPr id="25948081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490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FDEC87E">
              <v:textbox inset=",1.3mm"/>
              <w10:wrap anchorx="page"/>
            </v:rect>
          </w:pict>
        </mc:Fallback>
      </mc:AlternateContent>
    </w:r>
  </w:p>
  <w:p w14:paraId="1A7E1580"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F6997"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9504" behindDoc="1" locked="0" layoutInCell="1" allowOverlap="1" wp14:anchorId="5B79201D" wp14:editId="50D1E7A7">
              <wp:simplePos x="0" y="0"/>
              <wp:positionH relativeFrom="page">
                <wp:align>center</wp:align>
              </wp:positionH>
              <wp:positionV relativeFrom="paragraph">
                <wp:posOffset>82740</wp:posOffset>
              </wp:positionV>
              <wp:extent cx="403200" cy="795600"/>
              <wp:effectExtent l="0" t="0" r="16510" b="24130"/>
              <wp:wrapNone/>
              <wp:docPr id="46637219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469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3B0CE2A">
              <v:textbox inset=",1.3mm"/>
              <w10:wrap anchorx="page"/>
            </v:rect>
          </w:pict>
        </mc:Fallback>
      </mc:AlternateContent>
    </w:r>
  </w:p>
  <w:p w14:paraId="11328DDD"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84E76"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1552" behindDoc="1" locked="0" layoutInCell="1" allowOverlap="1" wp14:anchorId="367368B3" wp14:editId="048471A6">
              <wp:simplePos x="0" y="0"/>
              <wp:positionH relativeFrom="page">
                <wp:align>center</wp:align>
              </wp:positionH>
              <wp:positionV relativeFrom="paragraph">
                <wp:posOffset>82740</wp:posOffset>
              </wp:positionV>
              <wp:extent cx="403200" cy="795600"/>
              <wp:effectExtent l="0" t="0" r="16510" b="24130"/>
              <wp:wrapNone/>
              <wp:docPr id="179513096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449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9111951">
              <v:textbox inset=",1.3mm"/>
              <w10:wrap anchorx="page"/>
            </v:rect>
          </w:pict>
        </mc:Fallback>
      </mc:AlternateContent>
    </w:r>
  </w:p>
  <w:p w14:paraId="36A6C229"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AB08F"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3600" behindDoc="1" locked="0" layoutInCell="1" allowOverlap="1" wp14:anchorId="3AF44B42" wp14:editId="48F80881">
              <wp:simplePos x="0" y="0"/>
              <wp:positionH relativeFrom="page">
                <wp:align>center</wp:align>
              </wp:positionH>
              <wp:positionV relativeFrom="paragraph">
                <wp:posOffset>82740</wp:posOffset>
              </wp:positionV>
              <wp:extent cx="403200" cy="795600"/>
              <wp:effectExtent l="0" t="0" r="16510" b="24130"/>
              <wp:wrapNone/>
              <wp:docPr id="214593928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428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4A21A555">
              <v:textbox inset=",1.3mm"/>
              <w10:wrap anchorx="page"/>
            </v:rect>
          </w:pict>
        </mc:Fallback>
      </mc:AlternateContent>
    </w:r>
  </w:p>
  <w:p w14:paraId="78B460D9"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110</w:t>
    </w:r>
    <w:r w:rsidRPr="000D064C">
      <w:rPr>
        <w:rFonts w:ascii="Verdana" w:hAnsi="Verdana"/>
        <w:b/>
        <w:noProof/>
        <w:color w:val="FFFFFF"/>
        <w:sz w:val="18"/>
        <w:szCs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3030D" w14:textId="77777777" w:rsidR="006A7022" w:rsidRDefault="006A702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A8E20" w14:textId="77777777" w:rsidR="00E31B3D" w:rsidRPr="000D064C" w:rsidRDefault="00023E71"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01920" behindDoc="1" locked="0" layoutInCell="1" allowOverlap="1" wp14:anchorId="59F8AD98" wp14:editId="3428842D">
              <wp:simplePos x="0" y="0"/>
              <wp:positionH relativeFrom="page">
                <wp:align>center</wp:align>
              </wp:positionH>
              <wp:positionV relativeFrom="paragraph">
                <wp:posOffset>4445</wp:posOffset>
              </wp:positionV>
              <wp:extent cx="403200" cy="795600"/>
              <wp:effectExtent l="0" t="0" r="16510" b="24130"/>
              <wp:wrapNone/>
              <wp:docPr id="199093025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7145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B8D7CAE">
              <v:textbox inset=",1.3mm"/>
              <w10:wrap anchorx="page"/>
            </v:rect>
          </w:pict>
        </mc:Fallback>
      </mc:AlternateContent>
    </w:r>
  </w:p>
  <w:p w14:paraId="277B5A7C" w14:textId="77777777" w:rsidR="00E31B3D" w:rsidRPr="000D064C" w:rsidRDefault="00023E71">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9069C" w14:textId="77777777" w:rsidR="006A7022" w:rsidRDefault="006A702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E0CD4"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5648" behindDoc="1" locked="0" layoutInCell="1" allowOverlap="1" wp14:anchorId="42B06AE2" wp14:editId="05014914">
              <wp:simplePos x="0" y="0"/>
              <wp:positionH relativeFrom="page">
                <wp:align>center</wp:align>
              </wp:positionH>
              <wp:positionV relativeFrom="paragraph">
                <wp:posOffset>4445</wp:posOffset>
              </wp:positionV>
              <wp:extent cx="403200" cy="795600"/>
              <wp:effectExtent l="0" t="0" r="16510" b="24130"/>
              <wp:wrapNone/>
              <wp:docPr id="138451259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408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553AE7A7">
              <v:textbox inset=",1.3mm"/>
              <w10:wrap anchorx="page"/>
            </v:rect>
          </w:pict>
        </mc:Fallback>
      </mc:AlternateContent>
    </w:r>
  </w:p>
  <w:p w14:paraId="675F00D9"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ECF33"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7696" behindDoc="1" locked="0" layoutInCell="1" allowOverlap="1" wp14:anchorId="479BBA91" wp14:editId="3C512D7C">
              <wp:simplePos x="0" y="0"/>
              <wp:positionH relativeFrom="page">
                <wp:align>center</wp:align>
              </wp:positionH>
              <wp:positionV relativeFrom="paragraph">
                <wp:posOffset>4445</wp:posOffset>
              </wp:positionV>
              <wp:extent cx="403200" cy="795600"/>
              <wp:effectExtent l="0" t="0" r="16510" b="24130"/>
              <wp:wrapNone/>
              <wp:docPr id="166107340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387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D39D6C9">
              <v:textbox inset=",1.3mm"/>
              <w10:wrap anchorx="page"/>
            </v:rect>
          </w:pict>
        </mc:Fallback>
      </mc:AlternateContent>
    </w:r>
  </w:p>
  <w:p w14:paraId="0D4FC095"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80E40"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9744" behindDoc="1" locked="0" layoutInCell="1" allowOverlap="1" wp14:anchorId="11FE67DC" wp14:editId="67E32DEC">
              <wp:simplePos x="0" y="0"/>
              <wp:positionH relativeFrom="page">
                <wp:align>center</wp:align>
              </wp:positionH>
              <wp:positionV relativeFrom="paragraph">
                <wp:posOffset>4445</wp:posOffset>
              </wp:positionV>
              <wp:extent cx="403200" cy="795600"/>
              <wp:effectExtent l="0" t="0" r="16510" b="24130"/>
              <wp:wrapNone/>
              <wp:docPr id="213713376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367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7567B8D">
              <v:textbox inset=",1.3mm"/>
              <w10:wrap anchorx="page"/>
            </v:rect>
          </w:pict>
        </mc:Fallback>
      </mc:AlternateContent>
    </w:r>
  </w:p>
  <w:p w14:paraId="149778B5"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7A1C3"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1792" behindDoc="1" locked="0" layoutInCell="1" allowOverlap="1" wp14:anchorId="4B407FB7" wp14:editId="04706C2C">
              <wp:simplePos x="0" y="0"/>
              <wp:positionH relativeFrom="page">
                <wp:align>center</wp:align>
              </wp:positionH>
              <wp:positionV relativeFrom="paragraph">
                <wp:posOffset>4445</wp:posOffset>
              </wp:positionV>
              <wp:extent cx="403200" cy="795600"/>
              <wp:effectExtent l="0" t="0" r="16510" b="24130"/>
              <wp:wrapNone/>
              <wp:docPr id="109399999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346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5F29275">
              <v:textbox inset=",1.3mm"/>
              <w10:wrap anchorx="page"/>
            </v:rect>
          </w:pict>
        </mc:Fallback>
      </mc:AlternateContent>
    </w:r>
  </w:p>
  <w:p w14:paraId="5295789A"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0CBC8"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3840" behindDoc="1" locked="0" layoutInCell="1" allowOverlap="1" wp14:anchorId="24DD9443" wp14:editId="638D87F5">
              <wp:simplePos x="0" y="0"/>
              <wp:positionH relativeFrom="page">
                <wp:align>center</wp:align>
              </wp:positionH>
              <wp:positionV relativeFrom="paragraph">
                <wp:posOffset>4445</wp:posOffset>
              </wp:positionV>
              <wp:extent cx="403200" cy="795600"/>
              <wp:effectExtent l="0" t="0" r="16510" b="24130"/>
              <wp:wrapNone/>
              <wp:docPr id="67590768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326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29FAFE29">
              <v:textbox inset=",1.3mm"/>
              <w10:wrap anchorx="page"/>
            </v:rect>
          </w:pict>
        </mc:Fallback>
      </mc:AlternateContent>
    </w:r>
  </w:p>
  <w:p w14:paraId="5B0689B4"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3B89A"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5888" behindDoc="1" locked="0" layoutInCell="1" allowOverlap="1" wp14:anchorId="5A5F6CF1" wp14:editId="19E34035">
              <wp:simplePos x="0" y="0"/>
              <wp:positionH relativeFrom="page">
                <wp:align>center</wp:align>
              </wp:positionH>
              <wp:positionV relativeFrom="paragraph">
                <wp:posOffset>4445</wp:posOffset>
              </wp:positionV>
              <wp:extent cx="403200" cy="795600"/>
              <wp:effectExtent l="0" t="0" r="16510" b="24130"/>
              <wp:wrapNone/>
              <wp:docPr id="1155203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305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0C6D58F">
              <v:textbox inset=",1.3mm"/>
              <w10:wrap anchorx="page"/>
            </v:rect>
          </w:pict>
        </mc:Fallback>
      </mc:AlternateContent>
    </w:r>
  </w:p>
  <w:p w14:paraId="10BDBF45"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F61F3"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7936" behindDoc="1" locked="0" layoutInCell="1" allowOverlap="1" wp14:anchorId="5F0051D6" wp14:editId="2A506D0A">
              <wp:simplePos x="0" y="0"/>
              <wp:positionH relativeFrom="page">
                <wp:align>center</wp:align>
              </wp:positionH>
              <wp:positionV relativeFrom="paragraph">
                <wp:posOffset>4445</wp:posOffset>
              </wp:positionV>
              <wp:extent cx="403200" cy="795600"/>
              <wp:effectExtent l="0" t="0" r="16510" b="24130"/>
              <wp:wrapNone/>
              <wp:docPr id="99852520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285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0180BDD">
              <v:textbox inset=",1.3mm"/>
              <w10:wrap anchorx="page"/>
            </v:rect>
          </w:pict>
        </mc:Fallback>
      </mc:AlternateContent>
    </w:r>
  </w:p>
  <w:p w14:paraId="534D7EA5"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5357F"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9984" behindDoc="1" locked="0" layoutInCell="1" allowOverlap="1" wp14:anchorId="5227C494" wp14:editId="5AAD3708">
              <wp:simplePos x="0" y="0"/>
              <wp:positionH relativeFrom="page">
                <wp:align>center</wp:align>
              </wp:positionH>
              <wp:positionV relativeFrom="paragraph">
                <wp:posOffset>4445</wp:posOffset>
              </wp:positionV>
              <wp:extent cx="403200" cy="795600"/>
              <wp:effectExtent l="0" t="0" r="16510" b="24130"/>
              <wp:wrapNone/>
              <wp:docPr id="53463153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264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336D4414">
              <v:textbox inset=",1.3mm"/>
              <w10:wrap anchorx="page"/>
            </v:rect>
          </w:pict>
        </mc:Fallback>
      </mc:AlternateContent>
    </w:r>
  </w:p>
  <w:p w14:paraId="2861FCB0"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49E4F"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2032" behindDoc="1" locked="0" layoutInCell="1" allowOverlap="1" wp14:anchorId="26C45B7F" wp14:editId="55F6D361">
              <wp:simplePos x="0" y="0"/>
              <wp:positionH relativeFrom="page">
                <wp:align>center</wp:align>
              </wp:positionH>
              <wp:positionV relativeFrom="paragraph">
                <wp:posOffset>4445</wp:posOffset>
              </wp:positionV>
              <wp:extent cx="403200" cy="795600"/>
              <wp:effectExtent l="0" t="0" r="16510" b="24130"/>
              <wp:wrapNone/>
              <wp:docPr id="106420811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244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C9A8848">
              <v:textbox inset=",1.3mm"/>
              <w10:wrap anchorx="page"/>
            </v:rect>
          </w:pict>
        </mc:Fallback>
      </mc:AlternateContent>
    </w:r>
  </w:p>
  <w:p w14:paraId="4559F2CC"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5BF79"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4080" behindDoc="1" locked="0" layoutInCell="1" allowOverlap="1" wp14:anchorId="2A136BAB" wp14:editId="461637B1">
              <wp:simplePos x="0" y="0"/>
              <wp:positionH relativeFrom="page">
                <wp:align>center</wp:align>
              </wp:positionH>
              <wp:positionV relativeFrom="paragraph">
                <wp:posOffset>4445</wp:posOffset>
              </wp:positionV>
              <wp:extent cx="403200" cy="795600"/>
              <wp:effectExtent l="0" t="0" r="16510" b="24130"/>
              <wp:wrapNone/>
              <wp:docPr id="162309581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224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3FAF6EC">
              <v:textbox inset=",1.3mm"/>
              <w10:wrap anchorx="page"/>
            </v:rect>
          </w:pict>
        </mc:Fallback>
      </mc:AlternateContent>
    </w:r>
  </w:p>
  <w:p w14:paraId="709F4B2A"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A2F44"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6128" behindDoc="1" locked="0" layoutInCell="1" allowOverlap="1" wp14:anchorId="049376C9" wp14:editId="2840B67E">
              <wp:simplePos x="0" y="0"/>
              <wp:positionH relativeFrom="page">
                <wp:align>center</wp:align>
              </wp:positionH>
              <wp:positionV relativeFrom="paragraph">
                <wp:posOffset>4445</wp:posOffset>
              </wp:positionV>
              <wp:extent cx="403200" cy="795600"/>
              <wp:effectExtent l="0" t="0" r="16510" b="24130"/>
              <wp:wrapNone/>
              <wp:docPr id="11818805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203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E6918B7">
              <v:textbox inset=",1.3mm"/>
              <w10:wrap anchorx="page"/>
            </v:rect>
          </w:pict>
        </mc:Fallback>
      </mc:AlternateContent>
    </w:r>
  </w:p>
  <w:p w14:paraId="75C43E35"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B3A9D"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8176" behindDoc="1" locked="0" layoutInCell="1" allowOverlap="1" wp14:anchorId="71121374" wp14:editId="5D814538">
              <wp:simplePos x="0" y="0"/>
              <wp:positionH relativeFrom="page">
                <wp:align>center</wp:align>
              </wp:positionH>
              <wp:positionV relativeFrom="paragraph">
                <wp:posOffset>4445</wp:posOffset>
              </wp:positionV>
              <wp:extent cx="403200" cy="795600"/>
              <wp:effectExtent l="0" t="0" r="16510" b="24130"/>
              <wp:wrapNone/>
              <wp:docPr id="108640044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6183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F20BAA1">
              <v:textbox inset=",1.3mm"/>
              <w10:wrap anchorx="page"/>
            </v:rect>
          </w:pict>
        </mc:Fallback>
      </mc:AlternateContent>
    </w:r>
  </w:p>
  <w:p w14:paraId="1E745C9F"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160</w:t>
    </w:r>
    <w:r w:rsidRPr="000D064C">
      <w:rPr>
        <w:rFonts w:ascii="Verdana" w:hAnsi="Verdana"/>
        <w:b/>
        <w:noProof/>
        <w:color w:val="FFFFFF"/>
        <w:sz w:val="18"/>
        <w:szCs w:val="18"/>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F67F9" w14:textId="77777777" w:rsidR="00014520" w:rsidRDefault="0001452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1F2AD" w14:textId="77777777" w:rsidR="00E31B3D" w:rsidRPr="000D064C" w:rsidRDefault="00023E71"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03968" behindDoc="1" locked="0" layoutInCell="1" allowOverlap="1" wp14:anchorId="116371AA" wp14:editId="2F0C4CE4">
              <wp:simplePos x="0" y="0"/>
              <wp:positionH relativeFrom="page">
                <wp:align>center</wp:align>
              </wp:positionH>
              <wp:positionV relativeFrom="paragraph">
                <wp:posOffset>82740</wp:posOffset>
              </wp:positionV>
              <wp:extent cx="403200" cy="795600"/>
              <wp:effectExtent l="0" t="0" r="16510" b="24130"/>
              <wp:wrapNone/>
              <wp:docPr id="1490687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7125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70DC14A">
              <v:textbox inset=",1.3mm"/>
              <w10:wrap anchorx="page"/>
            </v:rect>
          </w:pict>
        </mc:Fallback>
      </mc:AlternateContent>
    </w:r>
  </w:p>
  <w:p w14:paraId="5387B69B" w14:textId="77777777" w:rsidR="00E31B3D" w:rsidRPr="000D064C" w:rsidRDefault="00023E71">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4D489" w14:textId="77777777" w:rsidR="00014520" w:rsidRDefault="0001452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0B967"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0224" behindDoc="1" locked="0" layoutInCell="1" allowOverlap="1" wp14:anchorId="6DABE99E" wp14:editId="772E3154">
              <wp:simplePos x="0" y="0"/>
              <wp:positionH relativeFrom="page">
                <wp:align>center</wp:align>
              </wp:positionH>
              <wp:positionV relativeFrom="paragraph">
                <wp:posOffset>82740</wp:posOffset>
              </wp:positionV>
              <wp:extent cx="403200" cy="795600"/>
              <wp:effectExtent l="0" t="0" r="16510" b="24130"/>
              <wp:wrapNone/>
              <wp:docPr id="146485042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162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F5ED4E8">
              <v:textbox inset=",1.3mm"/>
              <w10:wrap anchorx="page"/>
            </v:rect>
          </w:pict>
        </mc:Fallback>
      </mc:AlternateContent>
    </w:r>
  </w:p>
  <w:p w14:paraId="729588BF"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EF936"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2272" behindDoc="1" locked="0" layoutInCell="1" allowOverlap="1" wp14:anchorId="66BFDF70" wp14:editId="69EBAB4B">
              <wp:simplePos x="0" y="0"/>
              <wp:positionH relativeFrom="page">
                <wp:align>center</wp:align>
              </wp:positionH>
              <wp:positionV relativeFrom="paragraph">
                <wp:posOffset>82740</wp:posOffset>
              </wp:positionV>
              <wp:extent cx="403200" cy="795600"/>
              <wp:effectExtent l="0" t="0" r="16510" b="24130"/>
              <wp:wrapNone/>
              <wp:docPr id="48935715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142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8E07BF7">
              <v:textbox inset=",1.3mm"/>
              <w10:wrap anchorx="page"/>
            </v:rect>
          </w:pict>
        </mc:Fallback>
      </mc:AlternateContent>
    </w:r>
  </w:p>
  <w:p w14:paraId="111B7E10"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FD033"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4320" behindDoc="1" locked="0" layoutInCell="1" allowOverlap="1" wp14:anchorId="61FD0A4A" wp14:editId="4380B02B">
              <wp:simplePos x="0" y="0"/>
              <wp:positionH relativeFrom="page">
                <wp:align>center</wp:align>
              </wp:positionH>
              <wp:positionV relativeFrom="paragraph">
                <wp:posOffset>82740</wp:posOffset>
              </wp:positionV>
              <wp:extent cx="403200" cy="795600"/>
              <wp:effectExtent l="0" t="0" r="16510" b="24130"/>
              <wp:wrapNone/>
              <wp:docPr id="184019193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121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5986A84">
              <v:textbox inset=",1.3mm"/>
              <w10:wrap anchorx="page"/>
            </v:rect>
          </w:pict>
        </mc:Fallback>
      </mc:AlternateContent>
    </w:r>
  </w:p>
  <w:p w14:paraId="100319AF"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3B7D9"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6368" behindDoc="1" locked="0" layoutInCell="1" allowOverlap="1" wp14:anchorId="0D8E48C7" wp14:editId="268AC154">
              <wp:simplePos x="0" y="0"/>
              <wp:positionH relativeFrom="page">
                <wp:align>center</wp:align>
              </wp:positionH>
              <wp:positionV relativeFrom="paragraph">
                <wp:posOffset>82740</wp:posOffset>
              </wp:positionV>
              <wp:extent cx="403200" cy="795600"/>
              <wp:effectExtent l="0" t="0" r="16510" b="24130"/>
              <wp:wrapNone/>
              <wp:docPr id="32834355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101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3FC2F29">
              <v:textbox inset=",1.3mm"/>
              <w10:wrap anchorx="page"/>
            </v:rect>
          </w:pict>
        </mc:Fallback>
      </mc:AlternateContent>
    </w:r>
  </w:p>
  <w:p w14:paraId="2250B722"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09DF4"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8416" behindDoc="1" locked="0" layoutInCell="1" allowOverlap="1" wp14:anchorId="306E67A2" wp14:editId="168A73CB">
              <wp:simplePos x="0" y="0"/>
              <wp:positionH relativeFrom="page">
                <wp:align>center</wp:align>
              </wp:positionH>
              <wp:positionV relativeFrom="paragraph">
                <wp:posOffset>82740</wp:posOffset>
              </wp:positionV>
              <wp:extent cx="403200" cy="795600"/>
              <wp:effectExtent l="0" t="0" r="16510" b="24130"/>
              <wp:wrapNone/>
              <wp:docPr id="19691324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080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8626E0B">
              <v:textbox inset=",1.3mm"/>
              <w10:wrap anchorx="page"/>
            </v:rect>
          </w:pict>
        </mc:Fallback>
      </mc:AlternateContent>
    </w:r>
  </w:p>
  <w:p w14:paraId="45C84E3E"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CD671"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10464" behindDoc="1" locked="0" layoutInCell="1" allowOverlap="1" wp14:anchorId="501E02E0" wp14:editId="2A611AF3">
              <wp:simplePos x="0" y="0"/>
              <wp:positionH relativeFrom="page">
                <wp:align>center</wp:align>
              </wp:positionH>
              <wp:positionV relativeFrom="paragraph">
                <wp:posOffset>82740</wp:posOffset>
              </wp:positionV>
              <wp:extent cx="403200" cy="795600"/>
              <wp:effectExtent l="0" t="0" r="16510" b="24130"/>
              <wp:wrapNone/>
              <wp:docPr id="92385832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060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472F273E">
              <v:textbox inset=",1.3mm"/>
              <w10:wrap anchorx="page"/>
            </v:rect>
          </w:pict>
        </mc:Fallback>
      </mc:AlternateContent>
    </w:r>
  </w:p>
  <w:p w14:paraId="3D2BB07A"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2BB67"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12512" behindDoc="1" locked="0" layoutInCell="1" allowOverlap="1" wp14:anchorId="5AA014D5" wp14:editId="4A4C1DD3">
              <wp:simplePos x="0" y="0"/>
              <wp:positionH relativeFrom="page">
                <wp:align>center</wp:align>
              </wp:positionH>
              <wp:positionV relativeFrom="paragraph">
                <wp:posOffset>82740</wp:posOffset>
              </wp:positionV>
              <wp:extent cx="403200" cy="795600"/>
              <wp:effectExtent l="0" t="0" r="16510" b="24130"/>
              <wp:wrapNone/>
              <wp:docPr id="43993533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039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A097B0E">
              <v:textbox inset=",1.3mm"/>
              <w10:wrap anchorx="page"/>
            </v:rect>
          </w:pict>
        </mc:Fallback>
      </mc:AlternateContent>
    </w:r>
  </w:p>
  <w:p w14:paraId="63FC218D"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F6701"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14560" behindDoc="1" locked="0" layoutInCell="1" allowOverlap="1" wp14:anchorId="72D9322D" wp14:editId="1166D2AD">
              <wp:simplePos x="0" y="0"/>
              <wp:positionH relativeFrom="page">
                <wp:align>center</wp:align>
              </wp:positionH>
              <wp:positionV relativeFrom="paragraph">
                <wp:posOffset>82740</wp:posOffset>
              </wp:positionV>
              <wp:extent cx="403200" cy="795600"/>
              <wp:effectExtent l="0" t="0" r="16510" b="24130"/>
              <wp:wrapNone/>
              <wp:docPr id="120730197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6019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2AB87A0">
              <v:textbox inset=",1.3mm"/>
              <w10:wrap anchorx="page"/>
            </v:rect>
          </w:pict>
        </mc:Fallback>
      </mc:AlternateContent>
    </w:r>
  </w:p>
  <w:p w14:paraId="254F6B6E"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44727"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16608" behindDoc="1" locked="0" layoutInCell="1" allowOverlap="1" wp14:anchorId="243FFC6D" wp14:editId="45C39646">
              <wp:simplePos x="0" y="0"/>
              <wp:positionH relativeFrom="page">
                <wp:align>center</wp:align>
              </wp:positionH>
              <wp:positionV relativeFrom="paragraph">
                <wp:posOffset>82740</wp:posOffset>
              </wp:positionV>
              <wp:extent cx="403200" cy="795600"/>
              <wp:effectExtent l="0" t="0" r="16510" b="24130"/>
              <wp:wrapNone/>
              <wp:docPr id="8988001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5998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660E9AC">
              <v:textbox inset=",1.3mm"/>
              <w10:wrap anchorx="page"/>
            </v:rect>
          </w:pict>
        </mc:Fallback>
      </mc:AlternateContent>
    </w:r>
  </w:p>
  <w:p w14:paraId="523A5E49"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B08FD"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18656" behindDoc="1" locked="0" layoutInCell="1" allowOverlap="1" wp14:anchorId="450F000C" wp14:editId="6B81B5B5">
              <wp:simplePos x="0" y="0"/>
              <wp:positionH relativeFrom="page">
                <wp:align>center</wp:align>
              </wp:positionH>
              <wp:positionV relativeFrom="paragraph">
                <wp:posOffset>82740</wp:posOffset>
              </wp:positionV>
              <wp:extent cx="403200" cy="795600"/>
              <wp:effectExtent l="0" t="0" r="16510" b="24130"/>
              <wp:wrapNone/>
              <wp:docPr id="108226788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6.5pt;width:31.75pt;height:62.65pt;z-index:-2515978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B0E2753">
              <v:textbox inset=",1.3mm"/>
              <w10:wrap anchorx="page"/>
            </v:rect>
          </w:pict>
        </mc:Fallback>
      </mc:AlternateContent>
    </w:r>
  </w:p>
  <w:p w14:paraId="3A64B8B6"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206</w:t>
    </w:r>
    <w:r w:rsidRPr="000D064C">
      <w:rPr>
        <w:rFonts w:ascii="Verdana" w:hAnsi="Verdana"/>
        <w:b/>
        <w:noProof/>
        <w:color w:val="FFFFFF"/>
        <w:sz w:val="18"/>
        <w:szCs w:val="18"/>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A4A82" w14:textId="77777777" w:rsidR="006A7022" w:rsidRDefault="006A7022">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3410D" w14:textId="77777777" w:rsidR="00E31B3D" w:rsidRPr="000D064C" w:rsidRDefault="00023E71"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06016" behindDoc="1" locked="0" layoutInCell="1" allowOverlap="1" wp14:anchorId="05EEA145" wp14:editId="2EAD90C2">
              <wp:simplePos x="0" y="0"/>
              <wp:positionH relativeFrom="page">
                <wp:align>center</wp:align>
              </wp:positionH>
              <wp:positionV relativeFrom="paragraph">
                <wp:posOffset>4445</wp:posOffset>
              </wp:positionV>
              <wp:extent cx="403200" cy="795600"/>
              <wp:effectExtent l="0" t="0" r="16510" b="24130"/>
              <wp:wrapNone/>
              <wp:docPr id="70057840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7104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133F78A">
              <v:textbox inset=",1.3mm"/>
              <w10:wrap anchorx="page"/>
            </v:rect>
          </w:pict>
        </mc:Fallback>
      </mc:AlternateContent>
    </w:r>
  </w:p>
  <w:p w14:paraId="4AE3721A" w14:textId="77777777" w:rsidR="00E31B3D" w:rsidRPr="000D064C" w:rsidRDefault="00023E71">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218</w:t>
    </w:r>
    <w:r w:rsidRPr="000D064C">
      <w:rPr>
        <w:rFonts w:ascii="Verdana" w:hAnsi="Verdana"/>
        <w:b/>
        <w:noProof/>
        <w:color w:val="FFFFFF"/>
        <w:sz w:val="18"/>
        <w:szCs w:val="18"/>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65554" w14:textId="77777777" w:rsidR="006A7022" w:rsidRDefault="006A7022">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74EC5"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72933" behindDoc="1" locked="0" layoutInCell="1" allowOverlap="1" wp14:anchorId="3DDB3D17" wp14:editId="1EC36A1C">
              <wp:simplePos x="0" y="0"/>
              <wp:positionH relativeFrom="page">
                <wp:align>center</wp:align>
              </wp:positionH>
              <wp:positionV relativeFrom="paragraph">
                <wp:posOffset>4445</wp:posOffset>
              </wp:positionV>
              <wp:extent cx="403200" cy="795600"/>
              <wp:effectExtent l="0" t="0" r="16510" b="24130"/>
              <wp:wrapNone/>
              <wp:docPr id="194954142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54354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82D1107">
              <v:textbox inset=",1.3mm"/>
              <w10:wrap anchorx="page"/>
            </v:rect>
          </w:pict>
        </mc:Fallback>
      </mc:AlternateContent>
    </w:r>
  </w:p>
  <w:p w14:paraId="77E596E8"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218</w:t>
    </w:r>
    <w:r w:rsidRPr="000D064C">
      <w:rPr>
        <w:rFonts w:ascii="Verdana" w:hAnsi="Verdana"/>
        <w:b/>
        <w:noProof/>
        <w:color w:val="FFFFFF"/>
        <w:sz w:val="18"/>
        <w:szCs w:val="18"/>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0A823" w14:textId="77777777" w:rsidR="00BF2400" w:rsidRPr="000D064C" w:rsidRDefault="00BF2400" w:rsidP="004A7C67">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74981" behindDoc="1" locked="0" layoutInCell="1" allowOverlap="1" wp14:anchorId="0592DC70" wp14:editId="6E1F701A">
              <wp:simplePos x="0" y="0"/>
              <wp:positionH relativeFrom="page">
                <wp:align>center</wp:align>
              </wp:positionH>
              <wp:positionV relativeFrom="paragraph">
                <wp:posOffset>4445</wp:posOffset>
              </wp:positionV>
              <wp:extent cx="403200" cy="795600"/>
              <wp:effectExtent l="0" t="0" r="16510" b="24130"/>
              <wp:wrapNone/>
              <wp:docPr id="42045148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3" style="position:absolute;margin-left:0;margin-top:.35pt;width:31.75pt;height:62.65pt;z-index:-25154149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2847842D">
              <v:textbox inset=",1.3mm"/>
              <w10:wrap anchorx="page"/>
            </v:rect>
          </w:pict>
        </mc:Fallback>
      </mc:AlternateContent>
    </w:r>
  </w:p>
  <w:p w14:paraId="3A4F0C2D" w14:textId="77777777" w:rsidR="00BF2400" w:rsidRPr="000D064C" w:rsidRDefault="00BF2400">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218</w:t>
    </w:r>
    <w:r w:rsidRPr="000D064C">
      <w:rPr>
        <w:rFonts w:ascii="Verdana" w:hAnsi="Verdana"/>
        <w:b/>
        <w:noProof/>
        <w:color w:val="FFFFF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09D88" w14:textId="77777777" w:rsidR="006378DF" w:rsidRDefault="006378DF">
      <w:r>
        <w:separator/>
      </w:r>
    </w:p>
  </w:footnote>
  <w:footnote w:type="continuationSeparator" w:id="0">
    <w:p w14:paraId="303E020E" w14:textId="77777777" w:rsidR="006378DF" w:rsidRDefault="006378DF">
      <w:r>
        <w:continuationSeparator/>
      </w:r>
    </w:p>
  </w:footnote>
  <w:footnote w:id="1">
    <w:p w14:paraId="7B6C77C1" w14:textId="23E2F302" w:rsidR="006D2D85" w:rsidRPr="006D2D85" w:rsidRDefault="006D2D85" w:rsidP="00803108">
      <w:pPr>
        <w:pStyle w:val="FootnoteText"/>
        <w:jc w:val="both"/>
        <w:rPr>
          <w:lang w:val="en-IE"/>
        </w:rPr>
      </w:pPr>
      <w:r>
        <w:rPr>
          <w:rStyle w:val="FootnoteReference"/>
        </w:rPr>
        <w:footnoteRef/>
      </w:r>
      <w:r w:rsidR="006106CF">
        <w:tab/>
      </w:r>
      <w:r w:rsidRPr="006D2D85">
        <w:t>The key elements include: EUR 50 billion for the Ukraine Facility, EUR 1.5 billion for the European Defence Fund and EUR 9.6 billion for the Western Balkans, Southern Neighbourhood and beyond, as well as a reinforcement of the Flexibility Instrument to EUR 2 billion and of the Emergency Aid Reserve to EUR 1.5 billion to tackle new potential needs.</w:t>
      </w:r>
    </w:p>
  </w:footnote>
  <w:footnote w:id="2">
    <w:p w14:paraId="48B7AB59" w14:textId="673F86B6" w:rsidR="006D2D85" w:rsidRPr="006D2D85" w:rsidRDefault="006D2D85" w:rsidP="00803108">
      <w:pPr>
        <w:pStyle w:val="FootnoteText"/>
        <w:jc w:val="both"/>
        <w:rPr>
          <w:lang w:val="en-IE"/>
        </w:rPr>
      </w:pPr>
      <w:r>
        <w:rPr>
          <w:rStyle w:val="FootnoteReference"/>
        </w:rPr>
        <w:footnoteRef/>
      </w:r>
      <w:r w:rsidR="006106CF">
        <w:tab/>
      </w:r>
      <w:r w:rsidRPr="006D2D85">
        <w:t>Ukraine Support Loan as part of the Commission comprehensive plan to provide EUR 90 billion in financial backing to Ukraine for 2026 and 2027.</w:t>
      </w:r>
    </w:p>
  </w:footnote>
  <w:footnote w:id="3">
    <w:p w14:paraId="03C83F53" w14:textId="2847C92F" w:rsidR="00A83A52" w:rsidRPr="00A83A52" w:rsidRDefault="00A83A52">
      <w:pPr>
        <w:pStyle w:val="FootnoteText"/>
      </w:pPr>
      <w:r>
        <w:rPr>
          <w:rStyle w:val="FootnoteReference"/>
        </w:rPr>
        <w:footnoteRef/>
      </w:r>
      <w:r>
        <w:t xml:space="preserve"> </w:t>
      </w:r>
      <w:r w:rsidRPr="00A83A52">
        <w:t>Regulation (EU, Euratom) 2024/2509 of the European Parliament and of the Council of 23 September 2024 on the financial rules applicable to the general budget of the Union (recast), OJ L, 2024/2509, 26.9.2024.</w:t>
      </w:r>
    </w:p>
  </w:footnote>
  <w:footnote w:id="4">
    <w:p w14:paraId="52C5617A" w14:textId="77777777" w:rsidR="00F369DF" w:rsidRPr="001E497F" w:rsidRDefault="00F369DF" w:rsidP="00F369DF">
      <w:pPr>
        <w:pStyle w:val="FootnoteText"/>
        <w:jc w:val="both"/>
        <w:rPr>
          <w:lang w:val="en-IE"/>
        </w:rPr>
      </w:pPr>
      <w:r>
        <w:rPr>
          <w:rStyle w:val="FootnoteReference"/>
        </w:rPr>
        <w:footnoteRef/>
      </w:r>
      <w:r>
        <w:t xml:space="preserve"> </w:t>
      </w:r>
      <w:r>
        <w:tab/>
      </w:r>
      <w:r w:rsidRPr="001E497F">
        <w:t xml:space="preserve">Except for </w:t>
      </w:r>
      <w:r>
        <w:t xml:space="preserve">some </w:t>
      </w:r>
      <w:r w:rsidRPr="001E497F">
        <w:t xml:space="preserve">guarantees provided under the financial instruments programmes of previous MFFs, which were fully financed or provisioned from </w:t>
      </w:r>
      <w:r>
        <w:t xml:space="preserve">the </w:t>
      </w:r>
      <w:r w:rsidRPr="001E497F">
        <w:t>EU budget.</w:t>
      </w:r>
    </w:p>
  </w:footnote>
  <w:footnote w:id="5">
    <w:p w14:paraId="793969CC" w14:textId="77777777" w:rsidR="00F369DF" w:rsidRPr="00CA5857" w:rsidRDefault="00F369DF" w:rsidP="00F369DF">
      <w:pPr>
        <w:pStyle w:val="FootnoteText"/>
        <w:spacing w:after="120"/>
        <w:jc w:val="both"/>
      </w:pPr>
      <w:r>
        <w:rPr>
          <w:rStyle w:val="FootnoteReference"/>
        </w:rPr>
        <w:footnoteRef/>
      </w:r>
      <w:r>
        <w:tab/>
        <w:t>See ‘Report from the Commission to the European Parliament and the Council on financial instruments, budgetary guarantees, financial assistance and contingent liabilities’ issued annually by the Commission.</w:t>
      </w:r>
    </w:p>
  </w:footnote>
  <w:footnote w:id="6">
    <w:p w14:paraId="2A9CA734" w14:textId="77777777" w:rsidR="00F369DF" w:rsidRPr="004F30B3" w:rsidRDefault="00F369DF" w:rsidP="00F369DF">
      <w:pPr>
        <w:pStyle w:val="FootnoteText"/>
      </w:pPr>
      <w:r w:rsidRPr="00672BFB">
        <w:rPr>
          <w:rStyle w:val="FootnoteReference"/>
        </w:rPr>
        <w:footnoteRef/>
      </w:r>
      <w:r w:rsidRPr="00672BFB">
        <w:rPr>
          <w:rStyle w:val="FootnoteReference"/>
        </w:rPr>
        <w:t xml:space="preserve"> </w:t>
      </w:r>
      <w:r>
        <w:tab/>
      </w:r>
      <w:r w:rsidRPr="00672BFB">
        <w:t>Commission Implementing Decision (EU) 2022/9701.</w:t>
      </w:r>
    </w:p>
  </w:footnote>
  <w:footnote w:id="7">
    <w:p w14:paraId="56C7458A" w14:textId="77777777" w:rsidR="00F369DF" w:rsidRPr="00672BFB" w:rsidRDefault="00F369DF" w:rsidP="00F369DF">
      <w:pPr>
        <w:pStyle w:val="FootnoteText"/>
        <w:jc w:val="both"/>
      </w:pPr>
      <w:r w:rsidRPr="00672BFB">
        <w:rPr>
          <w:rStyle w:val="FootnoteReference"/>
        </w:rPr>
        <w:footnoteRef/>
      </w:r>
      <w:r w:rsidRPr="00672BFB">
        <w:rPr>
          <w:rStyle w:val="FootnoteReference"/>
        </w:rPr>
        <w:t xml:space="preserve"> </w:t>
      </w:r>
      <w:r>
        <w:tab/>
      </w:r>
      <w:r w:rsidRPr="00672BFB">
        <w:t>Regulation (EU, Euratom) 2022/2434 of the European Parliament and of the Council of 6 December 2022 amending Regulation (EU, Euratom) 2018/1046 as regards the establishment of a diversified funding strategy as a general borrowing method (OJ L 319, 13.12.2022, p. 1).</w:t>
      </w:r>
    </w:p>
  </w:footnote>
  <w:footnote w:id="8">
    <w:p w14:paraId="35C39C32" w14:textId="77777777" w:rsidR="00F369DF" w:rsidRPr="002B164C" w:rsidRDefault="00F369DF" w:rsidP="00F369DF">
      <w:pPr>
        <w:pStyle w:val="FootnoteText"/>
        <w:spacing w:after="120"/>
        <w:jc w:val="both"/>
        <w:rPr>
          <w:lang w:val="en-US"/>
        </w:rPr>
      </w:pPr>
      <w:r w:rsidRPr="00672BFB">
        <w:rPr>
          <w:rStyle w:val="FootnoteReference"/>
        </w:rPr>
        <w:footnoteRef/>
      </w:r>
      <w:r>
        <w:tab/>
      </w:r>
      <w:r w:rsidRPr="00672BFB">
        <w:t>European Commission, Directorate-General for Budget, Green bonds – Impact and allocation report – NGEU report 2023, Publications Office of the European Union, 2023, </w:t>
      </w:r>
      <w:hyperlink r:id="rId1" w:tgtFrame="_blank" w:history="1">
        <w:r w:rsidRPr="00672BFB">
          <w:t>https://data.europa.eu/doi/10.2761/302803</w:t>
        </w:r>
      </w:hyperlink>
      <w:r w:rsidRPr="00672BFB">
        <w:t>.</w:t>
      </w:r>
    </w:p>
  </w:footnote>
  <w:footnote w:id="9">
    <w:p w14:paraId="2C4BF492" w14:textId="77777777" w:rsidR="00F369DF" w:rsidRPr="007A58E1" w:rsidRDefault="00F369DF" w:rsidP="00F369DF">
      <w:pPr>
        <w:pStyle w:val="FootnoteText"/>
        <w:jc w:val="both"/>
      </w:pPr>
      <w:r w:rsidRPr="000D6B33">
        <w:rPr>
          <w:rStyle w:val="Emphasis"/>
          <w:rFonts w:cs="Arial"/>
          <w:i w:val="0"/>
          <w:vertAlign w:val="superscript"/>
        </w:rPr>
        <w:footnoteRef/>
      </w:r>
      <w:r w:rsidRPr="000D6B33">
        <w:rPr>
          <w:szCs w:val="16"/>
          <w:vertAlign w:val="superscript"/>
        </w:rPr>
        <w:t xml:space="preserve"> </w:t>
      </w:r>
      <w:r>
        <w:rPr>
          <w:szCs w:val="16"/>
          <w:vertAlign w:val="superscript"/>
        </w:rPr>
        <w:tab/>
      </w:r>
      <w:r w:rsidRPr="007A58E1">
        <w:rPr>
          <w:rStyle w:val="Emphasis"/>
          <w:rFonts w:cs="Arial"/>
          <w:i w:val="0"/>
          <w:iCs w:val="0"/>
          <w:szCs w:val="16"/>
        </w:rPr>
        <w:t>Decision (EU) 2022/313 of the European Parliament and the Council for EUR 1.2 billion providing emergency assistance to Ukraine, Decision (EU) 2022/1201 of the European Parliament and the Council for EUR 1.0 billion providing exceptional assistance to Ukraine, Decision (EU) 2022/1628 of the European Parliament and the Council for EUR 5.0 billion providing exceptional assistance to Ukraine.</w:t>
      </w:r>
    </w:p>
  </w:footnote>
  <w:footnote w:id="10">
    <w:p w14:paraId="78F246AC" w14:textId="77777777" w:rsidR="00F369DF" w:rsidRPr="0043493D" w:rsidRDefault="00F369DF" w:rsidP="00F369DF">
      <w:pPr>
        <w:pStyle w:val="FootnoteText"/>
        <w:jc w:val="both"/>
        <w:rPr>
          <w:lang w:val="en-IE"/>
        </w:rPr>
      </w:pPr>
      <w:r>
        <w:rPr>
          <w:rStyle w:val="FootnoteReference"/>
        </w:rPr>
        <w:footnoteRef/>
      </w:r>
      <w:r>
        <w:t xml:space="preserve"> </w:t>
      </w:r>
      <w:r w:rsidRPr="0043493D">
        <w:t>Regulation (EU) 2022/2463 of the European Parliament and of the Council of 14 December 2022 establishing an instrument for providing support to Ukraine for 2023 (macro-financial assistance +) (OJ L 322, 16.12.2022, p. 1).</w:t>
      </w:r>
    </w:p>
  </w:footnote>
  <w:footnote w:id="11">
    <w:p w14:paraId="018E3930" w14:textId="77777777" w:rsidR="00F369DF" w:rsidRPr="00BB39EA" w:rsidRDefault="00F369DF" w:rsidP="00F369DF">
      <w:pPr>
        <w:pStyle w:val="FootnoteText"/>
        <w:jc w:val="both"/>
        <w:rPr>
          <w:lang w:val="en-IE"/>
        </w:rPr>
      </w:pPr>
      <w:r>
        <w:rPr>
          <w:rStyle w:val="FootnoteReference"/>
        </w:rPr>
        <w:footnoteRef/>
      </w:r>
      <w:r>
        <w:t xml:space="preserve"> </w:t>
      </w:r>
      <w:r w:rsidRPr="00BB39EA">
        <w:t>Regulation (EU) 2024/2773 of the European Parliament and of the Council of 24 October 2024 establishing the Ukraine Loan Cooperation Mechanism and providing exceptional macro-financial assistance to Ukraine (OJ L, 28.10.2024)</w:t>
      </w:r>
      <w:r>
        <w:t>.</w:t>
      </w:r>
    </w:p>
  </w:footnote>
  <w:footnote w:id="12">
    <w:p w14:paraId="48348DED" w14:textId="77777777" w:rsidR="00F369DF" w:rsidRPr="007A58E1" w:rsidRDefault="00F369DF" w:rsidP="00F369DF">
      <w:pPr>
        <w:pStyle w:val="FootnoteText"/>
        <w:spacing w:after="120"/>
        <w:jc w:val="both"/>
      </w:pPr>
      <w:r w:rsidRPr="007A58E1">
        <w:rPr>
          <w:rStyle w:val="FootnoteReference"/>
        </w:rPr>
        <w:footnoteRef/>
      </w:r>
      <w:r w:rsidRPr="007A58E1">
        <w:tab/>
      </w:r>
      <w:r w:rsidRPr="007A58E1">
        <w:rPr>
          <w:rStyle w:val="Emphasis"/>
          <w:rFonts w:cs="Arial"/>
          <w:i w:val="0"/>
          <w:iCs w:val="0"/>
          <w:szCs w:val="16"/>
        </w:rPr>
        <w:t xml:space="preserve">Regulation (EU) 2024/792 of the European Parliament and of the Council of 29 February 2024 establishing the Ukraine Facility </w:t>
      </w:r>
      <w:r>
        <w:rPr>
          <w:rStyle w:val="Emphasis"/>
          <w:rFonts w:cs="Arial"/>
          <w:i w:val="0"/>
          <w:iCs w:val="0"/>
          <w:szCs w:val="16"/>
        </w:rPr>
        <w:t>(</w:t>
      </w:r>
      <w:r w:rsidRPr="007A58E1">
        <w:rPr>
          <w:rStyle w:val="Emphasis"/>
          <w:rFonts w:cs="Arial"/>
          <w:i w:val="0"/>
          <w:iCs w:val="0"/>
          <w:szCs w:val="16"/>
        </w:rPr>
        <w:t>OJ L, 2024/792, 29.2.2024</w:t>
      </w:r>
      <w:r>
        <w:rPr>
          <w:rStyle w:val="Emphasis"/>
          <w:rFonts w:cs="Arial"/>
          <w:i w:val="0"/>
          <w:iCs w:val="0"/>
          <w:szCs w:val="16"/>
        </w:rPr>
        <w:t>).</w:t>
      </w:r>
    </w:p>
  </w:footnote>
  <w:footnote w:id="13">
    <w:p w14:paraId="23358C60" w14:textId="77777777" w:rsidR="00F369DF" w:rsidRPr="007F1DB0" w:rsidRDefault="00F369DF" w:rsidP="00F369DF">
      <w:pPr>
        <w:pStyle w:val="FootnoteText"/>
        <w:jc w:val="both"/>
      </w:pPr>
      <w:r>
        <w:rPr>
          <w:rStyle w:val="FootnoteReference"/>
        </w:rPr>
        <w:footnoteRef/>
      </w:r>
      <w:r>
        <w:tab/>
      </w:r>
      <w:r w:rsidRPr="00A06013">
        <w:t>Regulation (EU) 2024/1449 of the European Parliament and of the Council of 14 May 2024 on establishing the Reform and Growth Facility for the Western Balkans (OJ L, 2024/1449</w:t>
      </w:r>
      <w:r>
        <w:t xml:space="preserve">, </w:t>
      </w:r>
      <w:r w:rsidRPr="00A06013">
        <w:t>24.5.2024)</w:t>
      </w:r>
      <w:r>
        <w:t>.</w:t>
      </w:r>
    </w:p>
  </w:footnote>
  <w:footnote w:id="14">
    <w:p w14:paraId="5857048F" w14:textId="77777777" w:rsidR="00F369DF" w:rsidRPr="00A06013" w:rsidRDefault="00F369DF" w:rsidP="00F369DF">
      <w:pPr>
        <w:pStyle w:val="FootnoteText"/>
        <w:jc w:val="both"/>
        <w:rPr>
          <w:lang w:val="en-IE"/>
        </w:rPr>
      </w:pPr>
      <w:r>
        <w:rPr>
          <w:rStyle w:val="FootnoteReference"/>
        </w:rPr>
        <w:footnoteRef/>
      </w:r>
      <w:r>
        <w:tab/>
      </w:r>
      <w:r w:rsidRPr="007F1DB0">
        <w:t>Regulation (EU) 2025/535 of the European Parliament and of the Council of 18 March 2025 establishing the Reform and Growth Facility for the Republic of Moldova (OJ L, 2025/535</w:t>
      </w:r>
      <w:r>
        <w:t xml:space="preserve">, </w:t>
      </w:r>
      <w:r w:rsidRPr="007F1DB0">
        <w:t>21.3.2025)</w:t>
      </w:r>
      <w:r>
        <w:t>.</w:t>
      </w:r>
    </w:p>
  </w:footnote>
  <w:footnote w:id="15">
    <w:p w14:paraId="1D56B8F2" w14:textId="77777777" w:rsidR="00F369DF" w:rsidRPr="006852C7" w:rsidRDefault="00F369DF" w:rsidP="00F369DF">
      <w:pPr>
        <w:pStyle w:val="FootnoteText"/>
        <w:jc w:val="both"/>
        <w:rPr>
          <w:lang w:val="en-IE"/>
        </w:rPr>
      </w:pPr>
      <w:r>
        <w:rPr>
          <w:rStyle w:val="FootnoteReference"/>
        </w:rPr>
        <w:footnoteRef/>
      </w:r>
      <w:r>
        <w:tab/>
      </w:r>
      <w:r w:rsidRPr="006852C7">
        <w:t>Council Regulation (</w:t>
      </w:r>
      <w:r>
        <w:t>EU</w:t>
      </w:r>
      <w:r w:rsidRPr="006852C7">
        <w:t>) 2025/1106 of the European Parliament and of the Council of 27 May 2025 establishing the Security Action for Europe (SAFE) through the Reinforcement of the European Defence Industry Instrument</w:t>
      </w:r>
      <w:r>
        <w:t xml:space="preserve"> (</w:t>
      </w:r>
      <w:r w:rsidRPr="006852C7">
        <w:t>OJ L, 2025/1106, 28.5.2025</w:t>
      </w:r>
      <w:r>
        <w:t>).</w:t>
      </w:r>
    </w:p>
  </w:footnote>
  <w:footnote w:id="16">
    <w:p w14:paraId="2301CAF9" w14:textId="77777777" w:rsidR="00F369DF" w:rsidRPr="00894043" w:rsidRDefault="00F369DF" w:rsidP="00F369DF">
      <w:pPr>
        <w:pStyle w:val="FootnoteText"/>
        <w:spacing w:after="120"/>
        <w:jc w:val="both"/>
        <w:rPr>
          <w:lang w:val="en-IE"/>
        </w:rPr>
      </w:pPr>
      <w:r>
        <w:rPr>
          <w:rStyle w:val="FootnoteReference"/>
        </w:rPr>
        <w:footnoteRef/>
      </w:r>
      <w:r>
        <w:tab/>
      </w:r>
      <w:r w:rsidRPr="00894043">
        <w:t>Regulation (EU) 2026/467</w:t>
      </w:r>
      <w:r>
        <w:t xml:space="preserve"> </w:t>
      </w:r>
      <w:r w:rsidRPr="006852C7">
        <w:t>of the European Parliament and of the Council of</w:t>
      </w:r>
      <w:r>
        <w:t xml:space="preserve"> 24 February 2026 </w:t>
      </w:r>
      <w:r w:rsidRPr="00894043">
        <w:t>implementing enhanced cooperation on the establishment of the Ukraine Support Loan for 2026 and 2027</w:t>
      </w:r>
      <w:r>
        <w:t xml:space="preserve"> (OJ L, 2026/467, 26.2.2026).</w:t>
      </w:r>
    </w:p>
  </w:footnote>
  <w:footnote w:id="17">
    <w:p w14:paraId="3243EE6A" w14:textId="77777777" w:rsidR="009D4A34" w:rsidRDefault="00023E71" w:rsidP="00F53D3B">
      <w:pPr>
        <w:pStyle w:val="FootnoteText"/>
        <w:jc w:val="both"/>
      </w:pPr>
      <w:r w:rsidRPr="00A24359">
        <w:rPr>
          <w:rStyle w:val="FootnoteReference"/>
          <w:szCs w:val="16"/>
        </w:rPr>
        <w:footnoteRef/>
      </w:r>
      <w:r>
        <w:tab/>
      </w:r>
      <w:r w:rsidRPr="00A24359">
        <w:t>Under the principle of subsidiarity, the Union shall act only if and in so far as the objectives of the proposed action cannot be sufficiently achieved by the Member States but can rather, by reason of the scale or effects, be better achieved at Union level. Under the principle of proportionality, the content and form of Union action shall not exceed what is necessary to achieve the objectives of the Treaties (see Article 5 TEU).</w:t>
      </w:r>
    </w:p>
  </w:footnote>
  <w:footnote w:id="18">
    <w:p w14:paraId="731E2502" w14:textId="77777777" w:rsidR="00A2122A" w:rsidRPr="00A2122A" w:rsidRDefault="00023E71" w:rsidP="00811163">
      <w:pPr>
        <w:pStyle w:val="FootnoteText"/>
        <w:spacing w:after="120"/>
        <w:jc w:val="both"/>
      </w:pPr>
      <w:r>
        <w:rPr>
          <w:rStyle w:val="FootnoteReference"/>
        </w:rPr>
        <w:footnoteRef/>
      </w:r>
      <w:r>
        <w:tab/>
      </w:r>
      <w:r w:rsidRPr="00A2122A">
        <w:t>On 1st of February 2024, the European Council agreed on a mid-term revision of 2021-2027 MFF ceilings, following the Com</w:t>
      </w:r>
      <w:r>
        <w:t>m</w:t>
      </w:r>
      <w:r w:rsidRPr="00A2122A">
        <w:t>ission’s proposals COM(2023) 336.</w:t>
      </w:r>
    </w:p>
  </w:footnote>
  <w:footnote w:id="19">
    <w:p w14:paraId="667EA906" w14:textId="77777777" w:rsidR="009D4A34" w:rsidRDefault="00023E71" w:rsidP="00811163">
      <w:pPr>
        <w:pStyle w:val="Footnote"/>
        <w:spacing w:after="120"/>
      </w:pPr>
      <w:r w:rsidRPr="001329AB">
        <w:rPr>
          <w:rStyle w:val="FootnoteReference"/>
          <w:szCs w:val="18"/>
        </w:rPr>
        <w:footnoteRef/>
      </w:r>
      <w:r>
        <w:tab/>
      </w:r>
      <w:r w:rsidRPr="00755199">
        <w:t>Regulation (EU, Euratom) 2024/2509 of the European Parliament and of the Council of 23 September 2024 on the financial rules applicable to the general budget of the Union (recast), OJ L, 2024/2509, 26.9.2024</w:t>
      </w:r>
      <w:r>
        <w:t>.</w:t>
      </w:r>
    </w:p>
  </w:footnote>
  <w:footnote w:id="20">
    <w:p w14:paraId="24272937" w14:textId="77777777" w:rsidR="009D4A34" w:rsidRPr="00222C28" w:rsidRDefault="00023E71" w:rsidP="00811163">
      <w:pPr>
        <w:pStyle w:val="FootnoteText"/>
        <w:jc w:val="both"/>
      </w:pPr>
      <w:r w:rsidRPr="007F3D88">
        <w:rPr>
          <w:rStyle w:val="FootnoteReference"/>
          <w:szCs w:val="16"/>
        </w:rPr>
        <w:footnoteRef/>
      </w:r>
      <w:r>
        <w:rPr>
          <w:szCs w:val="16"/>
        </w:rPr>
        <w:tab/>
      </w:r>
      <w:r w:rsidRPr="007F3D88">
        <w:rPr>
          <w:szCs w:val="16"/>
        </w:rPr>
        <w:t>See Article 317 TFEU.</w:t>
      </w:r>
    </w:p>
  </w:footnote>
  <w:footnote w:id="21">
    <w:p w14:paraId="0D64FB40" w14:textId="77777777" w:rsidR="009D4A34" w:rsidRPr="00811163" w:rsidRDefault="00023E71" w:rsidP="004330AD">
      <w:pPr>
        <w:pStyle w:val="FootnoteText"/>
      </w:pPr>
      <w:r w:rsidRPr="001329AB">
        <w:rPr>
          <w:rStyle w:val="FootnoteReference"/>
        </w:rPr>
        <w:footnoteRef/>
      </w:r>
      <w:r>
        <w:tab/>
        <w:t>C(2020) 4240 of 24.6.2020.</w:t>
      </w:r>
    </w:p>
  </w:footnote>
  <w:footnote w:id="22">
    <w:p w14:paraId="760778AC" w14:textId="77777777" w:rsidR="009D4A34" w:rsidRPr="007F3D88" w:rsidRDefault="00023E71" w:rsidP="004330AD">
      <w:pPr>
        <w:pStyle w:val="FootnoteText"/>
        <w:jc w:val="both"/>
      </w:pPr>
      <w:r w:rsidRPr="007F3D88">
        <w:rPr>
          <w:rStyle w:val="FootnoteReference"/>
          <w:szCs w:val="16"/>
        </w:rPr>
        <w:footnoteRef/>
      </w:r>
      <w:r>
        <w:rPr>
          <w:szCs w:val="16"/>
        </w:rPr>
        <w:tab/>
      </w:r>
      <w:r w:rsidRPr="007F3D88">
        <w:rPr>
          <w:szCs w:val="16"/>
        </w:rPr>
        <w:t>As a result, the term 'European Commission' is used to denote both the institution – the College – formed by the Members of the Commission, and its administration managed by the Directors-General of its departments (and heads of other administrative structures such as services, offices and executive agencies).</w:t>
      </w:r>
    </w:p>
  </w:footnote>
  <w:footnote w:id="23">
    <w:p w14:paraId="17AD680E" w14:textId="77777777" w:rsidR="009D4A34" w:rsidRPr="007F3D88" w:rsidRDefault="00023E71" w:rsidP="00811163">
      <w:pPr>
        <w:pStyle w:val="FootnoteText"/>
        <w:spacing w:after="120"/>
        <w:jc w:val="both"/>
      </w:pPr>
      <w:r w:rsidRPr="007F3D88">
        <w:rPr>
          <w:rStyle w:val="FootnoteReference"/>
          <w:szCs w:val="16"/>
        </w:rPr>
        <w:footnoteRef/>
      </w:r>
      <w:r>
        <w:rPr>
          <w:szCs w:val="16"/>
        </w:rPr>
        <w:tab/>
      </w:r>
      <w:r w:rsidRPr="007F3D88">
        <w:rPr>
          <w:szCs w:val="16"/>
        </w:rPr>
        <w:t xml:space="preserve">Since mid-2019 (further to the revised Article 12 of the Internal Rules) the management of the European Development Fund (EDF) is co-delegated among five departments (INTPA (DEVCO), ECHO, EAC, EACEA </w:t>
      </w:r>
      <w:r>
        <w:rPr>
          <w:szCs w:val="16"/>
        </w:rPr>
        <w:t xml:space="preserve">and </w:t>
      </w:r>
      <w:r w:rsidRPr="007F3D88">
        <w:rPr>
          <w:szCs w:val="16"/>
        </w:rPr>
        <w:t>JRC).</w:t>
      </w:r>
    </w:p>
  </w:footnote>
  <w:footnote w:id="24">
    <w:p w14:paraId="727DA771" w14:textId="77777777" w:rsidR="009D4A34" w:rsidRPr="00481593" w:rsidRDefault="00023E71" w:rsidP="009C49CA">
      <w:pPr>
        <w:pStyle w:val="FootnoteText"/>
        <w:spacing w:after="120"/>
        <w:jc w:val="both"/>
      </w:pPr>
      <w:r>
        <w:rPr>
          <w:rStyle w:val="FootnoteReference"/>
        </w:rPr>
        <w:footnoteRef/>
      </w:r>
      <w:r>
        <w:tab/>
      </w:r>
      <w:hyperlink r:id="rId2" w:history="1">
        <w:r w:rsidR="009D4A34" w:rsidRPr="0001115D">
          <w:rPr>
            <w:rStyle w:val="Hyperlink"/>
            <w:color w:val="auto"/>
            <w:u w:val="none"/>
          </w:rPr>
          <w:t>https://ec.europa.eu/info/publications/integrated-financial-and-accountability-reporting_en</w:t>
        </w:r>
      </w:hyperlink>
      <w:r w:rsidRPr="0001115D">
        <w:t>.</w:t>
      </w:r>
    </w:p>
  </w:footnote>
  <w:footnote w:id="25">
    <w:p w14:paraId="37EF34A2" w14:textId="4EC7DFCE" w:rsidR="00DD5531" w:rsidRPr="00DD5531" w:rsidRDefault="00DD5531" w:rsidP="0050470E">
      <w:pPr>
        <w:pStyle w:val="FootnoteText"/>
        <w:jc w:val="both"/>
      </w:pPr>
      <w:r>
        <w:rPr>
          <w:rStyle w:val="FootnoteReference"/>
        </w:rPr>
        <w:footnoteRef/>
      </w:r>
      <w:r>
        <w:t xml:space="preserve"> </w:t>
      </w:r>
      <w:r w:rsidR="00FE4D50">
        <w:t>The financial regulation (Art.2</w:t>
      </w:r>
      <w:r w:rsidR="00CD6F2F">
        <w:t>53</w:t>
      </w:r>
      <w:r w:rsidR="00FE4D50">
        <w:t>) requires the Commission to communicate to the European Parliament and the Council a set of financial and accountability reports, which constitute essential input for the annual “discharge procedure”, through which the European Parliament and the Council hold the Commission accountable for the way it manages the EU budget. The Integrated Financial and Accountability Reporting package consists of five reports on the implementation, performance, results, management and protection of the EU budget.</w:t>
      </w:r>
      <w:r w:rsidR="0050470E">
        <w:t xml:space="preserve"> </w:t>
      </w:r>
      <w:hyperlink r:id="rId3" w:history="1">
        <w:r w:rsidR="0050470E" w:rsidRPr="0050470E">
          <w:rPr>
            <w:rStyle w:val="Hyperlink"/>
          </w:rPr>
          <w:t>IFAR on Europa website</w:t>
        </w:r>
      </w:hyperlink>
    </w:p>
  </w:footnote>
  <w:footnote w:id="26">
    <w:p w14:paraId="598D8965" w14:textId="77777777" w:rsidR="00B51BB2" w:rsidRPr="00B51BB2" w:rsidRDefault="00023E71" w:rsidP="00775FF4">
      <w:pPr>
        <w:pStyle w:val="FootnoteText"/>
        <w:ind w:hanging="142"/>
        <w:rPr>
          <w:lang w:val="en-IE"/>
        </w:rPr>
      </w:pPr>
      <w:r>
        <w:rPr>
          <w:rStyle w:val="FootnoteReference"/>
        </w:rPr>
        <w:footnoteRef/>
      </w:r>
      <w:r>
        <w:t xml:space="preserve"> </w:t>
      </w:r>
      <w:r w:rsidRPr="00B51BB2">
        <w:t>It should be noted that due to the rounding of figures into millions of euros, some financial data in the tables below may appear not to add-up.</w:t>
      </w:r>
    </w:p>
  </w:footnote>
  <w:footnote w:id="27">
    <w:p w14:paraId="25DCBE89" w14:textId="77777777" w:rsidR="00B86FFC" w:rsidRPr="00523AE7" w:rsidRDefault="00023E71" w:rsidP="006C241E">
      <w:pPr>
        <w:pStyle w:val="Text6pNormalLeft"/>
        <w:tabs>
          <w:tab w:val="left" w:pos="170"/>
        </w:tabs>
        <w:spacing w:after="120"/>
        <w:ind w:left="170" w:hanging="170"/>
        <w:jc w:val="both"/>
        <w:rPr>
          <w:sz w:val="16"/>
          <w:szCs w:val="16"/>
        </w:rPr>
      </w:pPr>
      <w:r w:rsidRPr="00523AE7">
        <w:rPr>
          <w:rStyle w:val="FootnoteReference"/>
          <w:szCs w:val="16"/>
        </w:rPr>
        <w:footnoteRef/>
      </w:r>
      <w:r>
        <w:rPr>
          <w:sz w:val="16"/>
          <w:szCs w:val="16"/>
        </w:rPr>
        <w:tab/>
      </w:r>
      <w:r w:rsidRPr="00523AE7">
        <w:rPr>
          <w:sz w:val="16"/>
          <w:szCs w:val="16"/>
        </w:rPr>
        <w:t>The PSEO is a notional (virtual) fund with defined benefits in which staff’s contributions serve to finance their future pensions. Although there is no actual investment fund, the amount that would have been collected by such a fund is considered to have been invested in the Member States’ long-term bonds and is reflected in the pension liability that is registered in the annual accounts of the European Union. Member States jointly guarantee the payment of the benefits pursuant to Article 83 of the Staff Regulations and Article 4</w:t>
      </w:r>
      <w:r>
        <w:rPr>
          <w:sz w:val="16"/>
          <w:szCs w:val="16"/>
        </w:rPr>
        <w:t> </w:t>
      </w:r>
      <w:r w:rsidRPr="00523AE7">
        <w:rPr>
          <w:sz w:val="16"/>
          <w:szCs w:val="16"/>
        </w:rPr>
        <w:t>(3) of the Treaty on European Union (see COM(2018)829 for a detailed description of the scheme).</w:t>
      </w:r>
    </w:p>
  </w:footnote>
  <w:footnote w:id="28">
    <w:p w14:paraId="20865541" w14:textId="77777777" w:rsidR="0033400B" w:rsidRPr="0033400B" w:rsidRDefault="00023E71" w:rsidP="00BA44A0">
      <w:pPr>
        <w:pStyle w:val="FootnoteText"/>
        <w:jc w:val="both"/>
      </w:pPr>
      <w:r>
        <w:rPr>
          <w:rStyle w:val="FootnoteReference"/>
        </w:rPr>
        <w:footnoteRef/>
      </w:r>
      <w:r>
        <w:t xml:space="preserve"> </w:t>
      </w:r>
      <w:r w:rsidR="00EC50ED" w:rsidRPr="00EC50ED">
        <w:t>Regulation (EU) 2024/2773 of the European Parliament and of the Council of 24 October 2024 establishing the Ukraine Loan Cooperation Mechanism and providing exceptional macro-financial assistance to Ukraine</w:t>
      </w:r>
      <w:r w:rsidR="00EC50ED">
        <w:t xml:space="preserve"> (</w:t>
      </w:r>
      <w:r w:rsidR="00EC50ED" w:rsidRPr="00EC50ED">
        <w:t>OJ L,</w:t>
      </w:r>
      <w:r w:rsidR="00EC50ED">
        <w:t xml:space="preserve"> </w:t>
      </w:r>
      <w:r w:rsidR="00EC50ED" w:rsidRPr="00EC50ED">
        <w:t>28.10.2024</w:t>
      </w:r>
      <w:r w:rsidR="00EC50ED">
        <w:t>)</w:t>
      </w:r>
      <w:r>
        <w:t>.</w:t>
      </w:r>
    </w:p>
  </w:footnote>
  <w:footnote w:id="29">
    <w:p w14:paraId="5C815D07" w14:textId="77777777" w:rsidR="000F77D8" w:rsidRPr="000F77D8" w:rsidRDefault="00023E71" w:rsidP="00BA44A0">
      <w:pPr>
        <w:pStyle w:val="FootnoteText"/>
        <w:jc w:val="both"/>
      </w:pPr>
      <w:r>
        <w:rPr>
          <w:rStyle w:val="FootnoteReference"/>
        </w:rPr>
        <w:footnoteRef/>
      </w:r>
      <w:r>
        <w:t xml:space="preserve"> </w:t>
      </w:r>
      <w:r w:rsidRPr="000F77D8">
        <w:t>Regulation (EU) 2024/792 of the European Parliament and of the Council of 29 February 2024 establishing the Ukraine Facility</w:t>
      </w:r>
      <w:r>
        <w:t xml:space="preserve"> (</w:t>
      </w:r>
      <w:r w:rsidRPr="000F77D8">
        <w:t>OJ L, 29.2.2024</w:t>
      </w:r>
      <w:r>
        <w:t xml:space="preserve">), </w:t>
      </w:r>
      <w:bookmarkStart w:id="107" w:name="_Hlk225112969"/>
      <w:r>
        <w:t>hereafter referred to ‘Ukraine Facility Regulation’</w:t>
      </w:r>
      <w:bookmarkEnd w:id="107"/>
      <w:r>
        <w:t>.</w:t>
      </w:r>
    </w:p>
  </w:footnote>
  <w:footnote w:id="30">
    <w:p w14:paraId="69DABB25" w14:textId="6F6E6FE7" w:rsidR="00EA055F" w:rsidRPr="00EA055F" w:rsidRDefault="00023E71" w:rsidP="00BA44A0">
      <w:pPr>
        <w:pStyle w:val="FootnoteText"/>
        <w:jc w:val="both"/>
      </w:pPr>
      <w:r>
        <w:rPr>
          <w:rStyle w:val="FootnoteReference"/>
        </w:rPr>
        <w:footnoteRef/>
      </w:r>
      <w:r>
        <w:t xml:space="preserve"> </w:t>
      </w:r>
      <w:r w:rsidRPr="00EA055F">
        <w:t>Regulation (EU) 2024/1449 of the European Parliament and of the Council of 14 May 2024 on establishing the Reform and Growth Facility for the Western Balkans</w:t>
      </w:r>
      <w:r>
        <w:t xml:space="preserve"> (</w:t>
      </w:r>
      <w:r w:rsidRPr="00EA055F">
        <w:t xml:space="preserve">OJ L, </w:t>
      </w:r>
      <w:r w:rsidR="000E1664" w:rsidRPr="00EA055F">
        <w:t>2024/1449</w:t>
      </w:r>
      <w:r w:rsidR="000E1664">
        <w:t xml:space="preserve">, </w:t>
      </w:r>
      <w:r w:rsidRPr="00EA055F">
        <w:t>24.5.2024</w:t>
      </w:r>
      <w:r>
        <w:t>)</w:t>
      </w:r>
      <w:r w:rsidR="00BA44A0">
        <w:t>.</w:t>
      </w:r>
    </w:p>
  </w:footnote>
  <w:footnote w:id="31">
    <w:p w14:paraId="4B508BA7" w14:textId="43504BAF" w:rsidR="00220377" w:rsidRPr="00EA055F" w:rsidRDefault="00023E71" w:rsidP="00BA44A0">
      <w:pPr>
        <w:pStyle w:val="FootnoteText"/>
        <w:jc w:val="both"/>
      </w:pPr>
      <w:r>
        <w:rPr>
          <w:rStyle w:val="FootnoteReference"/>
        </w:rPr>
        <w:footnoteRef/>
      </w:r>
      <w:r>
        <w:t xml:space="preserve"> </w:t>
      </w:r>
      <w:r w:rsidRPr="00EA055F">
        <w:t>Regulation (EU) 2025/535 of the European Parliament and of the Council of 18 March 2025 establishing the Reform and Growth Facility for the Republic of Moldova</w:t>
      </w:r>
      <w:r>
        <w:t xml:space="preserve"> (</w:t>
      </w:r>
      <w:r w:rsidRPr="00EA055F">
        <w:t xml:space="preserve">OJ L, </w:t>
      </w:r>
      <w:r w:rsidR="000E1664" w:rsidRPr="00EA055F">
        <w:t>2025/535</w:t>
      </w:r>
      <w:r w:rsidR="000E1664">
        <w:t xml:space="preserve">, </w:t>
      </w:r>
      <w:r w:rsidRPr="00EA055F">
        <w:t>21.3.2025</w:t>
      </w:r>
      <w:r>
        <w:t>)</w:t>
      </w:r>
      <w:r w:rsidR="00BA44A0">
        <w:t>.</w:t>
      </w:r>
    </w:p>
  </w:footnote>
  <w:footnote w:id="32">
    <w:p w14:paraId="6C0A6859" w14:textId="77777777" w:rsidR="002C7C44" w:rsidRPr="008E3D34" w:rsidRDefault="00023E71" w:rsidP="00F52BB5">
      <w:pPr>
        <w:pStyle w:val="FootnoteText"/>
        <w:jc w:val="both"/>
        <w:rPr>
          <w:lang w:val="en-IE"/>
        </w:rPr>
      </w:pPr>
      <w:r>
        <w:rPr>
          <w:rStyle w:val="FootnoteReference"/>
        </w:rPr>
        <w:footnoteRef/>
      </w:r>
      <w:r>
        <w:t xml:space="preserve"> </w:t>
      </w:r>
      <w:r>
        <w:tab/>
      </w:r>
      <w:r w:rsidRPr="008E3D34">
        <w:t>Regulation (EU) No 1316/2013 of the European Parliament and of the Council of 11 December 2013 establishing the Connecting Europe Facility, amending Regulation (EU) No 913/2010 and repealing Regulations (EC) No 680/2007 and (EC) No 67/2010 Text with EEA relevance (OJ L 348, 20.12.2013, p. 129).</w:t>
      </w:r>
    </w:p>
  </w:footnote>
  <w:footnote w:id="33">
    <w:p w14:paraId="665200A3" w14:textId="77777777" w:rsidR="00024DF1" w:rsidRPr="00024DF1" w:rsidRDefault="00023E71" w:rsidP="0027272E">
      <w:pPr>
        <w:pStyle w:val="FootnoteText"/>
        <w:jc w:val="both"/>
        <w:rPr>
          <w:lang w:val="en-IE"/>
        </w:rPr>
      </w:pPr>
      <w:r>
        <w:rPr>
          <w:rStyle w:val="FootnoteReference"/>
        </w:rPr>
        <w:footnoteRef/>
      </w:r>
      <w:r>
        <w:t xml:space="preserve"> </w:t>
      </w:r>
      <w:r>
        <w:tab/>
      </w:r>
      <w:r w:rsidRPr="00024DF1">
        <w:t>Regulation (EU) No 1303/2013 of the European Parliament and of the Council of 17 December 2013 laying down common provisions on the European Regional Development Fund, the European Social Fund, the Cohesion Fund, the European Agricultural Fund for Rural Development and the European Maritime and Fisheries Fund and laying down general provisions on the European Regional Development Fund, the European Social Fund, the Cohesion Fund and the European Maritime and Fisheries Fund and repealing Council Regulation (EC) No 1083/2006 (OJ L 347, 20.12.2013, p. 320).</w:t>
      </w:r>
    </w:p>
  </w:footnote>
  <w:footnote w:id="34">
    <w:p w14:paraId="72EF530A" w14:textId="77777777" w:rsidR="00024DF1" w:rsidRPr="00024DF1" w:rsidRDefault="00023E71" w:rsidP="0027272E">
      <w:pPr>
        <w:pStyle w:val="FootnoteText"/>
        <w:jc w:val="both"/>
        <w:rPr>
          <w:lang w:val="en-IE"/>
        </w:rPr>
      </w:pPr>
      <w:r>
        <w:rPr>
          <w:rStyle w:val="FootnoteReference"/>
        </w:rPr>
        <w:footnoteRef/>
      </w:r>
      <w:r>
        <w:t xml:space="preserve"> </w:t>
      </w:r>
      <w:r>
        <w:tab/>
      </w:r>
      <w:r w:rsidRPr="00024DF1">
        <w:t>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(OJ L 231, 30.6.2021, p. 159).</w:t>
      </w:r>
    </w:p>
  </w:footnote>
  <w:footnote w:id="35">
    <w:p w14:paraId="6251A110" w14:textId="77777777" w:rsidR="00C1205F" w:rsidRPr="00C1205F" w:rsidRDefault="00023E71" w:rsidP="0027272E">
      <w:pPr>
        <w:pStyle w:val="FootnoteText"/>
        <w:jc w:val="both"/>
        <w:rPr>
          <w:lang w:val="en-IE"/>
        </w:rPr>
      </w:pPr>
      <w:r>
        <w:rPr>
          <w:rStyle w:val="FootnoteReference"/>
        </w:rPr>
        <w:footnoteRef/>
      </w:r>
      <w:r>
        <w:t xml:space="preserve"> </w:t>
      </w:r>
      <w:r>
        <w:tab/>
      </w:r>
      <w:r w:rsidRPr="004E2F0C">
        <w:rPr>
          <w:szCs w:val="16"/>
        </w:rPr>
        <w:t>Council Decision (EU, Euratom) 2020/2053 of 14 December 2020 on the system of own resources of the European Union and repealing Decision 2014/335/EU, Euratom (OJ L 424, 15.12.2020, p. 1).</w:t>
      </w:r>
    </w:p>
  </w:footnote>
  <w:footnote w:id="36">
    <w:p w14:paraId="709CDB85" w14:textId="77777777" w:rsidR="000C6EFC" w:rsidRPr="000C6EFC" w:rsidRDefault="00023E71" w:rsidP="006F6B0D">
      <w:pPr>
        <w:pStyle w:val="FootnoteText"/>
        <w:spacing w:after="120"/>
        <w:jc w:val="both"/>
        <w:rPr>
          <w:lang w:val="en-IE"/>
        </w:rPr>
      </w:pPr>
      <w:r>
        <w:rPr>
          <w:rStyle w:val="FootnoteReference"/>
        </w:rPr>
        <w:footnoteRef/>
      </w:r>
      <w:r>
        <w:t xml:space="preserve"> </w:t>
      </w:r>
      <w:r>
        <w:tab/>
      </w:r>
      <w:r w:rsidRPr="008F0E86">
        <w:rPr>
          <w:szCs w:val="16"/>
        </w:rPr>
        <w:t>Decision (EU) 2018/412 of the European Parliament and of the Council of 14 March 2018 amending Decision No 466/2014/EU granting an EU guarantee to the European Investment Bank against losses under financing operations supporting investment projects outside the Union (OJ L 76, 19.3.2018, p. 30).</w:t>
      </w:r>
    </w:p>
  </w:footnote>
  <w:footnote w:id="37">
    <w:p w14:paraId="4C9E6F0F" w14:textId="77777777" w:rsidR="00DA092A" w:rsidRPr="00DA092A" w:rsidRDefault="00023E71" w:rsidP="006F6B0D">
      <w:pPr>
        <w:pStyle w:val="FootnoteText"/>
        <w:jc w:val="both"/>
      </w:pPr>
      <w:r>
        <w:rPr>
          <w:rStyle w:val="FootnoteReference"/>
        </w:rPr>
        <w:footnoteRef/>
      </w:r>
      <w:r>
        <w:t xml:space="preserve"> </w:t>
      </w:r>
      <w:r>
        <w:tab/>
      </w:r>
      <w:r w:rsidRPr="00DA092A">
        <w:rPr>
          <w:szCs w:val="16"/>
        </w:rPr>
        <w:t>Regulation (EU) 2017/1601 of the European Parliament and of the Council of 26 September 2017 establishing the European Fund for Sustainable Development (EFSD), the EFSD Guarantee and the EFSD Guarantee Fund</w:t>
      </w:r>
      <w:r>
        <w:rPr>
          <w:szCs w:val="16"/>
        </w:rPr>
        <w:t xml:space="preserve"> (OJ L 249, 27.9.2017)</w:t>
      </w:r>
    </w:p>
  </w:footnote>
  <w:footnote w:id="38">
    <w:p w14:paraId="75176218" w14:textId="77777777" w:rsidR="006E7308" w:rsidRPr="006E7308" w:rsidRDefault="00023E71" w:rsidP="006F6B0D">
      <w:pPr>
        <w:pStyle w:val="FootnoteText"/>
        <w:spacing w:after="120"/>
        <w:jc w:val="both"/>
        <w:rPr>
          <w:lang w:val="en-IE"/>
        </w:rPr>
      </w:pPr>
      <w:r>
        <w:rPr>
          <w:rStyle w:val="FootnoteReference"/>
        </w:rPr>
        <w:footnoteRef/>
      </w:r>
      <w:r>
        <w:t xml:space="preserve"> </w:t>
      </w:r>
      <w:r>
        <w:tab/>
      </w:r>
      <w:r w:rsidRPr="008F0E86">
        <w:rPr>
          <w:szCs w:val="16"/>
        </w:rPr>
        <w:t>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(OJ L 209, 14.6.2021, p. 1).</w:t>
      </w:r>
    </w:p>
  </w:footnote>
  <w:footnote w:id="39">
    <w:p w14:paraId="1D1B3625" w14:textId="77777777" w:rsidR="00E46D5D" w:rsidRPr="00F443A8" w:rsidRDefault="00023E71" w:rsidP="006F6B0D">
      <w:pPr>
        <w:pStyle w:val="FootnoteText"/>
        <w:jc w:val="both"/>
        <w:rPr>
          <w:lang w:val="en-IE"/>
        </w:rPr>
      </w:pPr>
      <w:r w:rsidRPr="00F443A8">
        <w:rPr>
          <w:rStyle w:val="FootnoteReference"/>
          <w:szCs w:val="16"/>
        </w:rPr>
        <w:footnoteRef/>
      </w:r>
      <w:r w:rsidRPr="00F443A8">
        <w:tab/>
      </w:r>
      <w:r w:rsidRPr="00F443A8">
        <w:rPr>
          <w:szCs w:val="16"/>
        </w:rPr>
        <w:t>Regulation (EU) 2021/1153 of the European Parliament and of the Council of 7 July 2021 establishing the Connecting Europe Facility and repealing Regulations (EU) No 1316/2013 and (EU) No 283/2014 (OJ L 249, 14.7.2021, p.</w:t>
      </w:r>
      <w:r w:rsidR="003B4F5D" w:rsidRPr="00F443A8">
        <w:rPr>
          <w:szCs w:val="16"/>
        </w:rPr>
        <w:t> </w:t>
      </w:r>
      <w:r w:rsidRPr="00F443A8">
        <w:rPr>
          <w:szCs w:val="16"/>
        </w:rPr>
        <w:t>38).</w:t>
      </w:r>
    </w:p>
  </w:footnote>
  <w:footnote w:id="40">
    <w:p w14:paraId="37F8F3FF" w14:textId="77777777" w:rsidR="00C7550F" w:rsidRPr="00F443A8" w:rsidRDefault="00023E71" w:rsidP="006F6B0D">
      <w:pPr>
        <w:pStyle w:val="FootnoteText"/>
        <w:jc w:val="both"/>
        <w:rPr>
          <w:szCs w:val="16"/>
        </w:rPr>
      </w:pPr>
      <w:r w:rsidRPr="00F443A8">
        <w:rPr>
          <w:rStyle w:val="FootnoteReference"/>
          <w:szCs w:val="16"/>
        </w:rPr>
        <w:footnoteRef/>
      </w:r>
      <w:r w:rsidRPr="00F443A8">
        <w:rPr>
          <w:szCs w:val="16"/>
        </w:rPr>
        <w:tab/>
        <w:t>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 (OJ L 130, 16.5.2023, p.</w:t>
      </w:r>
      <w:r w:rsidR="003B4F5D" w:rsidRPr="00F443A8">
        <w:rPr>
          <w:szCs w:val="16"/>
        </w:rPr>
        <w:t> </w:t>
      </w:r>
      <w:r w:rsidRPr="00F443A8">
        <w:rPr>
          <w:szCs w:val="16"/>
        </w:rPr>
        <w:t>134)</w:t>
      </w:r>
      <w:r w:rsidR="006A509B" w:rsidRPr="00F443A8">
        <w:rPr>
          <w:szCs w:val="16"/>
        </w:rPr>
        <w:t>.</w:t>
      </w:r>
    </w:p>
  </w:footnote>
  <w:footnote w:id="41">
    <w:p w14:paraId="64B54D35" w14:textId="77777777" w:rsidR="006A509B" w:rsidRPr="00F443A8" w:rsidRDefault="00023E71" w:rsidP="006F6B0D">
      <w:pPr>
        <w:pStyle w:val="FootnoteText"/>
        <w:jc w:val="both"/>
        <w:rPr>
          <w:lang w:val="en-IE"/>
        </w:rPr>
      </w:pPr>
      <w:r w:rsidRPr="00F443A8">
        <w:rPr>
          <w:rStyle w:val="FootnoteReference"/>
          <w:szCs w:val="16"/>
        </w:rPr>
        <w:footnoteRef/>
      </w:r>
      <w:r w:rsidRPr="00F443A8">
        <w:rPr>
          <w:szCs w:val="16"/>
          <w:lang w:val="en-IE"/>
        </w:rPr>
        <w:tab/>
      </w:r>
      <w:r w:rsidR="003B4F5D" w:rsidRPr="00F443A8">
        <w:rPr>
          <w:szCs w:val="16"/>
          <w:lang w:val="en-IE"/>
        </w:rPr>
        <w:t>Regulation (EU) 2021/696 of the European Parliament and of the Council of 28 April 2021 establishing the Union Space Programme and the European Union Agency for the Space Programme and repealing Regulations (EU) No 912/2010, (EU) No 1285/2013 and (EU) No 377/2014 and Decision No 541/2014/EU (OJ L 170, 12.5.2021, p. 69).</w:t>
      </w:r>
    </w:p>
  </w:footnote>
  <w:footnote w:id="42">
    <w:p w14:paraId="1A5FE6B6" w14:textId="77777777" w:rsidR="00F443A8" w:rsidRPr="00F443A8" w:rsidRDefault="00023E71" w:rsidP="006F6B0D">
      <w:pPr>
        <w:pStyle w:val="FootnoteText"/>
        <w:spacing w:after="120"/>
        <w:jc w:val="both"/>
        <w:rPr>
          <w:lang w:val="en-IE"/>
        </w:rPr>
      </w:pPr>
      <w:r w:rsidRPr="00F443A8">
        <w:rPr>
          <w:rStyle w:val="FootnoteReference"/>
          <w:szCs w:val="16"/>
        </w:rPr>
        <w:footnoteRef/>
      </w:r>
      <w:r w:rsidRPr="00F443A8">
        <w:rPr>
          <w:szCs w:val="16"/>
        </w:rPr>
        <w:t xml:space="preserve"> </w:t>
      </w:r>
      <w:r w:rsidRPr="00F443A8">
        <w:rPr>
          <w:szCs w:val="16"/>
          <w:lang w:val="en-IE"/>
        </w:rPr>
        <w:tab/>
        <w:t>Regulation (EU) 2024/792 of the European Parliament and of the Council of 29 February 2024 establishing the Ukraine Facility (OJ L, 2024/792, 29.2.2024).</w:t>
      </w:r>
    </w:p>
  </w:footnote>
  <w:footnote w:id="43">
    <w:p w14:paraId="6C22A2A4" w14:textId="77777777" w:rsidR="003B4F5D" w:rsidRPr="00F443A8" w:rsidRDefault="00023E71" w:rsidP="006F6B0D">
      <w:pPr>
        <w:pStyle w:val="FootnoteText"/>
        <w:jc w:val="both"/>
        <w:rPr>
          <w:szCs w:val="16"/>
          <w:lang w:val="en-IE"/>
        </w:rPr>
      </w:pPr>
      <w:r w:rsidRPr="00F443A8">
        <w:rPr>
          <w:rStyle w:val="FootnoteReference"/>
          <w:szCs w:val="16"/>
        </w:rPr>
        <w:footnoteRef/>
      </w:r>
      <w:r w:rsidRPr="00F443A8">
        <w:rPr>
          <w:szCs w:val="16"/>
          <w:lang w:val="en-IE"/>
        </w:rPr>
        <w:tab/>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 1).</w:t>
      </w:r>
    </w:p>
  </w:footnote>
  <w:footnote w:id="44">
    <w:p w14:paraId="07C65535" w14:textId="77777777" w:rsidR="006A509B" w:rsidRPr="00F443A8" w:rsidRDefault="00023E71" w:rsidP="006F6B0D">
      <w:pPr>
        <w:pStyle w:val="FootnoteText"/>
        <w:jc w:val="both"/>
        <w:rPr>
          <w:szCs w:val="16"/>
        </w:rPr>
      </w:pPr>
      <w:r w:rsidRPr="00F443A8">
        <w:rPr>
          <w:rStyle w:val="FootnoteReference"/>
          <w:szCs w:val="16"/>
        </w:rPr>
        <w:footnoteRef/>
      </w:r>
      <w:r w:rsidRPr="00F443A8">
        <w:rPr>
          <w:szCs w:val="16"/>
        </w:rPr>
        <w:tab/>
        <w:t>Regulation (EU) 2023/588 of the European Parliament and of the Council of 15 March 2023 establishing the Union Secure Connectivity Programme for the period 2023-2027 (OJ L 179, 17.3.2023, p.</w:t>
      </w:r>
      <w:r w:rsidR="003B4F5D" w:rsidRPr="00F443A8">
        <w:rPr>
          <w:szCs w:val="16"/>
        </w:rPr>
        <w:t> </w:t>
      </w:r>
      <w:r w:rsidRPr="00F443A8">
        <w:rPr>
          <w:szCs w:val="16"/>
        </w:rPr>
        <w:t>1).</w:t>
      </w:r>
    </w:p>
  </w:footnote>
  <w:footnote w:id="45">
    <w:p w14:paraId="5EBF8DD2" w14:textId="77777777" w:rsidR="005218C3" w:rsidRPr="00F443A8" w:rsidRDefault="00023E71" w:rsidP="006F6B0D">
      <w:pPr>
        <w:pStyle w:val="FootnoteText"/>
        <w:jc w:val="both"/>
        <w:rPr>
          <w:szCs w:val="16"/>
          <w:lang w:val="en-IE"/>
        </w:rPr>
      </w:pPr>
      <w:r w:rsidRPr="00F443A8">
        <w:rPr>
          <w:rStyle w:val="FootnoteReference"/>
          <w:szCs w:val="16"/>
        </w:rPr>
        <w:footnoteRef/>
      </w:r>
      <w:r w:rsidRPr="00F443A8">
        <w:rPr>
          <w:szCs w:val="16"/>
        </w:rPr>
        <w:t xml:space="preserve"> </w:t>
      </w:r>
      <w:r w:rsidRPr="00F443A8">
        <w:rPr>
          <w:szCs w:val="16"/>
        </w:rPr>
        <w:tab/>
        <w:t>Decision No 1313/2013/EU of the European Parliament and of the Council of 17 December 2013 on a Union Civil Protection Mechanism (OJ L 347, 20.12.2013, p.</w:t>
      </w:r>
      <w:r w:rsidR="003B4F5D" w:rsidRPr="00F443A8">
        <w:rPr>
          <w:szCs w:val="16"/>
        </w:rPr>
        <w:t> </w:t>
      </w:r>
      <w:r w:rsidRPr="00F443A8">
        <w:rPr>
          <w:szCs w:val="16"/>
        </w:rPr>
        <w:t>924).</w:t>
      </w:r>
    </w:p>
  </w:footnote>
  <w:footnote w:id="46">
    <w:p w14:paraId="75B09AA3" w14:textId="77777777" w:rsidR="00E46D5D" w:rsidRPr="00F443A8" w:rsidRDefault="00023E71" w:rsidP="006F6B0D">
      <w:pPr>
        <w:pStyle w:val="FootnoteText"/>
        <w:spacing w:after="120"/>
        <w:jc w:val="both"/>
        <w:rPr>
          <w:szCs w:val="16"/>
          <w:lang w:val="en-IE"/>
        </w:rPr>
      </w:pPr>
      <w:r w:rsidRPr="00F443A8">
        <w:rPr>
          <w:rStyle w:val="FootnoteReference"/>
          <w:szCs w:val="16"/>
        </w:rPr>
        <w:footnoteRef/>
      </w:r>
      <w:r w:rsidRPr="00F443A8">
        <w:rPr>
          <w:szCs w:val="16"/>
        </w:rPr>
        <w:t xml:space="preserve"> </w:t>
      </w:r>
      <w:r w:rsidRPr="00F443A8">
        <w:rPr>
          <w:szCs w:val="16"/>
        </w:rPr>
        <w:tab/>
        <w:t>Regulation (EU) 2021/241 of the European Parliament and of the Council of 12 February 2021 establishing the Recovery and Resilience Facility (OJ L 57, 18.2.2021, p.</w:t>
      </w:r>
      <w:r w:rsidR="003B4F5D" w:rsidRPr="00F443A8">
        <w:rPr>
          <w:szCs w:val="16"/>
        </w:rPr>
        <w:t> </w:t>
      </w:r>
      <w:r w:rsidRPr="00F443A8">
        <w:rPr>
          <w:szCs w:val="16"/>
        </w:rPr>
        <w:t>17).</w:t>
      </w:r>
    </w:p>
  </w:footnote>
  <w:footnote w:id="47">
    <w:p w14:paraId="132947E5" w14:textId="77777777" w:rsidR="00E46D5D" w:rsidRPr="000F3E9E" w:rsidRDefault="00023E71" w:rsidP="006F6B0D">
      <w:pPr>
        <w:pStyle w:val="FootnoteText"/>
        <w:spacing w:after="120"/>
        <w:jc w:val="both"/>
        <w:rPr>
          <w:lang w:val="en-IE"/>
        </w:rPr>
      </w:pPr>
      <w:r w:rsidRPr="00F443A8">
        <w:rPr>
          <w:rStyle w:val="FootnoteReference"/>
          <w:szCs w:val="16"/>
        </w:rPr>
        <w:footnoteRef/>
      </w:r>
      <w:r w:rsidRPr="00F443A8">
        <w:rPr>
          <w:szCs w:val="16"/>
        </w:rPr>
        <w:t xml:space="preserve"> </w:t>
      </w:r>
      <w:r w:rsidRPr="00F443A8">
        <w:rPr>
          <w:szCs w:val="16"/>
        </w:rPr>
        <w:tab/>
        <w:t>Council Regulation (Euratom) 2021/765 of 10 May 2021 establishing the Research and Training Programme of the European Atomic Energy Community for the period 2021-2025 complementing Horizon Europe – the Framework Programme for Research and Innovation and repealing Regulation (Euratom) 2018/1563 (OJ L 167I, 12.5.2021, p.</w:t>
      </w:r>
      <w:r w:rsidR="003B4F5D" w:rsidRPr="00F443A8">
        <w:rPr>
          <w:szCs w:val="16"/>
        </w:rPr>
        <w:t> </w:t>
      </w:r>
      <w:r w:rsidRPr="00F443A8">
        <w:rPr>
          <w:szCs w:val="16"/>
        </w:rPr>
        <w:t>81).</w:t>
      </w:r>
    </w:p>
  </w:footnote>
  <w:footnote w:id="48">
    <w:p w14:paraId="31B7C63A" w14:textId="77777777" w:rsidR="00235F9A" w:rsidRPr="00F443A8" w:rsidRDefault="00023E71" w:rsidP="006F6B0D">
      <w:pPr>
        <w:pStyle w:val="FootnoteText"/>
        <w:spacing w:after="120"/>
        <w:jc w:val="both"/>
        <w:rPr>
          <w:lang w:val="en-IE"/>
        </w:rPr>
      </w:pPr>
      <w:r w:rsidRPr="00F443A8">
        <w:rPr>
          <w:rStyle w:val="FootnoteReference"/>
          <w:szCs w:val="16"/>
        </w:rPr>
        <w:footnoteRef/>
      </w:r>
      <w:r w:rsidRPr="00F443A8">
        <w:rPr>
          <w:szCs w:val="16"/>
        </w:rPr>
        <w:tab/>
        <w:t>Regulation (EU) 2018/1718 of the European Parliament and of the Council of 14 November 2018 amending Regulation (EC) No 726/2004 as regards the location of the seat of the European Medicines Agency (OJ L 291, 16.11.2018, p.</w:t>
      </w:r>
      <w:r>
        <w:rPr>
          <w:szCs w:val="16"/>
        </w:rPr>
        <w:t> </w:t>
      </w:r>
      <w:r w:rsidRPr="00F443A8">
        <w:rPr>
          <w:szCs w:val="16"/>
        </w:rPr>
        <w:t>3).</w:t>
      </w:r>
    </w:p>
  </w:footnote>
  <w:footnote w:id="49">
    <w:p w14:paraId="723C7516" w14:textId="77777777" w:rsidR="008E6076" w:rsidRPr="00A94530" w:rsidRDefault="00023E71" w:rsidP="006F6B0D">
      <w:pPr>
        <w:pStyle w:val="FootnoteText"/>
        <w:jc w:val="both"/>
        <w:rPr>
          <w:szCs w:val="16"/>
        </w:rPr>
      </w:pPr>
      <w:r w:rsidRPr="00A94530">
        <w:rPr>
          <w:szCs w:val="16"/>
        </w:rPr>
        <w:footnoteRef/>
      </w:r>
      <w:r w:rsidRPr="6C204149">
        <w:rPr>
          <w:szCs w:val="16"/>
        </w:rPr>
        <w:t xml:space="preserve"> Throughout this note, the term ‘financial instrument programmes’ refer to the ‘financial instruments’ as defined in the FR Article 2(30).</w:t>
      </w:r>
    </w:p>
  </w:footnote>
  <w:footnote w:id="50">
    <w:p w14:paraId="1464BAEA" w14:textId="77777777" w:rsidR="00A87A92" w:rsidRDefault="00023E71" w:rsidP="006F6B0D">
      <w:pPr>
        <w:pStyle w:val="FootnoteText"/>
        <w:jc w:val="both"/>
      </w:pPr>
      <w:r>
        <w:rPr>
          <w:rStyle w:val="FootnoteReference"/>
        </w:rPr>
        <w:footnoteRef/>
      </w:r>
      <w:r>
        <w:t xml:space="preserve"> Commission Decision (EU, Euratom) No 2025/369 of 21 February 2025 establishing the role of the Chief Risk Officer overseeing the financial risk arising from the Union’s financial operations (OJ L, 2025/369, 25.2.2025). </w:t>
      </w:r>
    </w:p>
  </w:footnote>
  <w:footnote w:id="51">
    <w:p w14:paraId="77636877" w14:textId="77777777" w:rsidR="00A87A92" w:rsidRPr="00A62CEF" w:rsidRDefault="00023E71" w:rsidP="006F6B0D">
      <w:pPr>
        <w:pStyle w:val="FootnoteText"/>
        <w:jc w:val="both"/>
        <w:rPr>
          <w:lang w:val="en-IE"/>
        </w:rPr>
      </w:pPr>
      <w:r w:rsidRPr="009C47DC">
        <w:rPr>
          <w:rStyle w:val="FootnoteReference"/>
          <w:szCs w:val="16"/>
        </w:rPr>
        <w:footnoteRef/>
      </w:r>
      <w:r w:rsidRPr="009C47DC">
        <w:rPr>
          <w:sz w:val="12"/>
          <w:szCs w:val="12"/>
        </w:rPr>
        <w:tab/>
      </w:r>
      <w:r w:rsidRPr="009C47DC">
        <w:rPr>
          <w:szCs w:val="16"/>
        </w:rPr>
        <w:t>Council Regulation (EU, Euratom) No 609/2014 of 26 May 2014 on the methods and procedure for making available the traditional, VAT and GNI-based own resources and on the measures to meet cash requirements (Recast) (OJ L 168, 7.6.2014, p. 39</w:t>
      </w:r>
      <w:r>
        <w:rPr>
          <w:szCs w:val="16"/>
        </w:rPr>
        <w:t>–</w:t>
      </w:r>
      <w:r w:rsidRPr="009C47DC">
        <w:rPr>
          <w:szCs w:val="16"/>
        </w:rPr>
        <w:t>52)</w:t>
      </w:r>
      <w:r>
        <w:rPr>
          <w:szCs w:val="16"/>
        </w:rPr>
        <w:t>.</w:t>
      </w:r>
    </w:p>
  </w:footnote>
  <w:footnote w:id="52">
    <w:p w14:paraId="3BAB85AE" w14:textId="1016278E" w:rsidR="00A87A92" w:rsidRPr="009C47DC" w:rsidRDefault="00023E71" w:rsidP="006F6B0D">
      <w:pPr>
        <w:pStyle w:val="FootnoteText"/>
        <w:spacing w:after="120"/>
        <w:jc w:val="both"/>
        <w:rPr>
          <w:szCs w:val="16"/>
          <w:lang w:val="en-IE"/>
        </w:rPr>
      </w:pPr>
      <w:r w:rsidRPr="009C47DC">
        <w:rPr>
          <w:rStyle w:val="FootnoteReference"/>
          <w:szCs w:val="16"/>
        </w:rPr>
        <w:footnoteRef/>
      </w:r>
      <w:r w:rsidRPr="009C47DC">
        <w:rPr>
          <w:szCs w:val="16"/>
        </w:rPr>
        <w:t xml:space="preserve"> </w:t>
      </w:r>
      <w:r w:rsidRPr="009C47DC">
        <w:rPr>
          <w:szCs w:val="16"/>
        </w:rPr>
        <w:tab/>
        <w:t>Council Regulation (EU, Euratom) 2016/804 of 17 May 2016 amending Regulation (EU, Euratom) No 609/2014 on the methods and procedure for making available the traditional, VAT and GNI-based own resources and on the measures to meet cash requirements (OJ L 132, 21.5.2016, p. 85</w:t>
      </w:r>
      <w:r w:rsidR="006F6B0D">
        <w:rPr>
          <w:szCs w:val="16"/>
        </w:rPr>
        <w:t>-</w:t>
      </w:r>
      <w:r>
        <w:rPr>
          <w:szCs w:val="16"/>
        </w:rPr>
        <w:t>94</w:t>
      </w:r>
      <w:r w:rsidRPr="009C47DC">
        <w:rPr>
          <w:szCs w:val="16"/>
        </w:rPr>
        <w:t>).</w:t>
      </w:r>
    </w:p>
  </w:footnote>
  <w:footnote w:id="53">
    <w:p w14:paraId="3E344625" w14:textId="77777777" w:rsidR="00A87A92" w:rsidRPr="00AD3188" w:rsidRDefault="00023E71" w:rsidP="006F6B0D">
      <w:pPr>
        <w:pStyle w:val="FootnoteText"/>
        <w:spacing w:after="120"/>
        <w:jc w:val="both"/>
        <w:rPr>
          <w:szCs w:val="16"/>
        </w:rPr>
      </w:pPr>
      <w:r w:rsidRPr="00AD3188">
        <w:rPr>
          <w:rStyle w:val="FootnoteReference"/>
          <w:szCs w:val="16"/>
        </w:rPr>
        <w:footnoteRef/>
      </w:r>
      <w:r w:rsidRPr="00AD3188">
        <w:rPr>
          <w:szCs w:val="16"/>
        </w:rPr>
        <w:t xml:space="preserve"> </w:t>
      </w:r>
      <w:r w:rsidRPr="00AD3188">
        <w:rPr>
          <w:szCs w:val="16"/>
        </w:rPr>
        <w:tab/>
        <w:t>Council Regulation (EU, Euratom) 2022/615 of 5 April 2022 amending Regulation (EU, Euratom) No 609/2014 in order to enhance predictability for Member States and to clarify procedures for dispute resolution when making available the traditional, VAT and GNI based own resources (OJ L 115, 13.4.2022, p. 51</w:t>
      </w:r>
      <w:r>
        <w:rPr>
          <w:szCs w:val="16"/>
        </w:rPr>
        <w:t>–58</w:t>
      </w:r>
      <w:r w:rsidRPr="00AD3188">
        <w:rPr>
          <w:szCs w:val="16"/>
        </w:rPr>
        <w:t>).</w:t>
      </w:r>
      <w:r>
        <w:rPr>
          <w:szCs w:val="16"/>
        </w:rPr>
        <w:t xml:space="preserve"> </w:t>
      </w:r>
    </w:p>
  </w:footnote>
  <w:footnote w:id="54">
    <w:p w14:paraId="7673BC6D" w14:textId="77777777" w:rsidR="00A87A92" w:rsidRPr="005779E6" w:rsidRDefault="00023E71" w:rsidP="006F6B0D">
      <w:pPr>
        <w:pStyle w:val="FootnoteText"/>
        <w:spacing w:after="120"/>
        <w:jc w:val="both"/>
        <w:rPr>
          <w:sz w:val="14"/>
          <w:szCs w:val="14"/>
          <w:lang w:val="en-IE"/>
        </w:rPr>
      </w:pPr>
      <w:r w:rsidRPr="005779E6">
        <w:rPr>
          <w:rStyle w:val="FootnoteReference"/>
          <w:sz w:val="14"/>
          <w:szCs w:val="14"/>
        </w:rPr>
        <w:footnoteRef/>
      </w:r>
      <w:r w:rsidRPr="005779E6">
        <w:rPr>
          <w:sz w:val="14"/>
          <w:szCs w:val="14"/>
        </w:rPr>
        <w:tab/>
        <w:t>Commission Decision of 25 March 2020 on the asset management guidelines of the common provisioning fund 2020/C 131/03 (OJ C 131, 22.4.2020, p. 3</w:t>
      </w:r>
      <w:r>
        <w:rPr>
          <w:sz w:val="14"/>
          <w:szCs w:val="14"/>
        </w:rPr>
        <w:t>–</w:t>
      </w:r>
      <w:r w:rsidRPr="005779E6">
        <w:rPr>
          <w:sz w:val="14"/>
          <w:szCs w:val="14"/>
        </w:rPr>
        <w:t>11).</w:t>
      </w:r>
      <w:r>
        <w:rPr>
          <w:sz w:val="14"/>
          <w:szCs w:val="14"/>
        </w:rPr>
        <w:t xml:space="preserve"> </w:t>
      </w:r>
    </w:p>
  </w:footnote>
  <w:footnote w:id="55">
    <w:p w14:paraId="51108A46" w14:textId="77777777" w:rsidR="002F2D59" w:rsidRPr="00E60EE8" w:rsidRDefault="00023E71" w:rsidP="002F2D59">
      <w:pPr>
        <w:pStyle w:val="FootnoteText"/>
        <w:rPr>
          <w:szCs w:val="16"/>
        </w:rPr>
      </w:pPr>
      <w:r>
        <w:rPr>
          <w:rStyle w:val="FootnoteReference"/>
        </w:rPr>
        <w:footnoteRef/>
      </w:r>
      <w:r>
        <w:rPr>
          <w:szCs w:val="16"/>
        </w:rPr>
        <w:tab/>
      </w:r>
      <w:r w:rsidRPr="00E60EE8">
        <w:rPr>
          <w:szCs w:val="16"/>
        </w:rPr>
        <w:t>Council Regulation (EU, Euratom) 2020/2093 of 17 December 2020 laying down the multiannual financial framework for the years 2021 to 2027, OJ L 433I, 22.12.2020, p. 11.</w:t>
      </w:r>
    </w:p>
  </w:footnote>
  <w:footnote w:id="56">
    <w:p w14:paraId="02956FD5" w14:textId="77777777" w:rsidR="002F2D59" w:rsidRPr="00F23C14" w:rsidRDefault="00023E71" w:rsidP="002F2D59">
      <w:pPr>
        <w:pStyle w:val="FootnoteText"/>
        <w:jc w:val="both"/>
      </w:pPr>
      <w:r w:rsidRPr="00041F61">
        <w:rPr>
          <w:rStyle w:val="FootnoteReference"/>
        </w:rPr>
        <w:footnoteRef/>
      </w:r>
      <w:r w:rsidRPr="00041F61">
        <w:rPr>
          <w:szCs w:val="16"/>
        </w:rPr>
        <w:tab/>
      </w:r>
      <w:r w:rsidRPr="00A95679">
        <w:rPr>
          <w:szCs w:val="16"/>
        </w:rPr>
        <w:t>Technical adjustment of the financial framework for 202</w:t>
      </w:r>
      <w:r>
        <w:rPr>
          <w:szCs w:val="16"/>
        </w:rPr>
        <w:t>6</w:t>
      </w:r>
      <w:r w:rsidRPr="00A95679">
        <w:rPr>
          <w:szCs w:val="16"/>
        </w:rPr>
        <w:t xml:space="preserve"> in accordance with Article 4 of Council Regulation (EU, Euratom) 2021/365 laying down the multiannual financial framework for the years 2021 to 2027, COM(202</w:t>
      </w:r>
      <w:r>
        <w:rPr>
          <w:szCs w:val="16"/>
        </w:rPr>
        <w:t>5</w:t>
      </w:r>
      <w:r w:rsidRPr="00A95679">
        <w:rPr>
          <w:szCs w:val="16"/>
        </w:rPr>
        <w:t xml:space="preserve">) </w:t>
      </w:r>
      <w:r>
        <w:rPr>
          <w:szCs w:val="16"/>
        </w:rPr>
        <w:t>800</w:t>
      </w:r>
      <w:r w:rsidRPr="00A95679">
        <w:rPr>
          <w:szCs w:val="16"/>
        </w:rPr>
        <w:t xml:space="preserve"> final, </w:t>
      </w:r>
      <w:r>
        <w:rPr>
          <w:szCs w:val="16"/>
        </w:rPr>
        <w:t>4</w:t>
      </w:r>
      <w:r w:rsidRPr="00A95679">
        <w:rPr>
          <w:szCs w:val="16"/>
        </w:rPr>
        <w:t>.6.202</w:t>
      </w:r>
      <w:r>
        <w:rPr>
          <w:szCs w:val="16"/>
        </w:rPr>
        <w:t>5</w:t>
      </w:r>
      <w:r w:rsidRPr="00041F61">
        <w:rPr>
          <w:szCs w:val="16"/>
        </w:rPr>
        <w:t>.</w:t>
      </w:r>
    </w:p>
  </w:footnote>
  <w:footnote w:id="57">
    <w:p w14:paraId="39EFEE09" w14:textId="77777777" w:rsidR="002F2D59" w:rsidRPr="0046341E" w:rsidRDefault="00023E71" w:rsidP="002F2D59">
      <w:pPr>
        <w:pStyle w:val="FootnoteText"/>
        <w:jc w:val="both"/>
        <w:rPr>
          <w:lang w:val="en-IE"/>
        </w:rPr>
      </w:pPr>
      <w:r>
        <w:rPr>
          <w:rStyle w:val="FootnoteReference"/>
        </w:rPr>
        <w:footnoteRef/>
      </w:r>
      <w:r>
        <w:t xml:space="preserve">  </w:t>
      </w:r>
      <w:r>
        <w:rPr>
          <w:noProof/>
        </w:rPr>
        <w:t xml:space="preserve">as last amended by Council Regulation (EU, Euratom) No 2024/765 of 29 February 2024, </w:t>
      </w:r>
      <w:hyperlink r:id="rId4" w:history="1">
        <w:r w:rsidR="002F2D59" w:rsidRPr="00782D8F">
          <w:rPr>
            <w:rStyle w:val="Hyperlink"/>
            <w:lang w:val="pt-PT"/>
          </w:rPr>
          <w:t>OJ L series, 2024/765, 29.2.2024, p.1.</w:t>
        </w:r>
      </w:hyperlink>
    </w:p>
  </w:footnote>
  <w:footnote w:id="58">
    <w:p w14:paraId="448B96D4" w14:textId="77777777" w:rsidR="002F2D59" w:rsidRPr="0046341E" w:rsidRDefault="00023E71" w:rsidP="002F2D59">
      <w:pPr>
        <w:pStyle w:val="FootnoteText"/>
        <w:rPr>
          <w:lang w:val="en-IE"/>
        </w:rPr>
      </w:pPr>
      <w:r>
        <w:rPr>
          <w:rStyle w:val="FootnoteReference"/>
        </w:rPr>
        <w:footnoteRef/>
      </w:r>
      <w:r>
        <w:t xml:space="preserve"> </w:t>
      </w:r>
      <w:r w:rsidRPr="008C7747">
        <w:t>AB 1/2024, OJ L, 2024/1430, 5.6.2024</w:t>
      </w:r>
      <w:r>
        <w:rPr>
          <w:lang w:val="en-IE"/>
        </w:rPr>
        <w:t>.</w:t>
      </w:r>
    </w:p>
  </w:footnote>
  <w:footnote w:id="59">
    <w:p w14:paraId="3A261F67" w14:textId="77777777" w:rsidR="002F2D59" w:rsidRPr="00BF1C31" w:rsidRDefault="00023E71" w:rsidP="002F2D59">
      <w:pPr>
        <w:pStyle w:val="FootnoteText"/>
        <w:spacing w:after="120"/>
        <w:rPr>
          <w:lang w:val="en-US"/>
        </w:rPr>
      </w:pPr>
      <w:r>
        <w:rPr>
          <w:rStyle w:val="FootnoteReference"/>
        </w:rPr>
        <w:footnoteRef/>
      </w:r>
      <w:r>
        <w:tab/>
      </w:r>
      <w:r w:rsidRPr="00BF1C31">
        <w:t>Council Regulation (EU) 2020/2094 of 14 December 2020 establishing a European Union Recovery Instrument to support the recovery in the aftermath of the COVID-19 crisis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F4F99" w14:textId="77777777" w:rsidR="00253107" w:rsidRPr="00253107" w:rsidRDefault="00253107" w:rsidP="0025310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B66BD" w14:textId="77777777" w:rsidR="00253107" w:rsidRPr="00253107" w:rsidRDefault="00253107" w:rsidP="0025310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FB82E" w14:textId="77777777" w:rsidR="00253107" w:rsidRPr="00253107" w:rsidRDefault="00253107" w:rsidP="0025310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91548" w14:textId="77777777" w:rsidR="00000000" w:rsidRDefault="00253107">
    <w:r>
      <w:cr/>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5B075" w14:textId="77777777" w:rsidR="00BF2400" w:rsidRDefault="00BF24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9413F" w14:textId="77777777" w:rsidR="00000000" w:rsidRDefault="00253107">
    <w:r>
      <w:cr/>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CD176" w14:textId="77777777" w:rsidR="006A7022" w:rsidRDefault="006A70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99D08" w14:textId="77777777" w:rsidR="00411138" w:rsidRDefault="00023E71" w:rsidP="001508AF">
    <w:pPr>
      <w:tabs>
        <w:tab w:val="center" w:pos="4819"/>
        <w:tab w:val="right" w:pos="9638"/>
      </w:tabs>
      <w:autoSpaceDE w:val="0"/>
      <w:autoSpaceDN w:val="0"/>
      <w:adjustRightInd w:val="0"/>
      <w:jc w:val="center"/>
    </w:pPr>
    <w:r>
      <w:rPr>
        <w:rFonts w:ascii="Verdana" w:hAnsi="Verdana" w:cs="Verdana"/>
        <w:i/>
        <w:iCs/>
        <w:color w:val="016794"/>
        <w:sz w:val="16"/>
        <w:szCs w:val="16"/>
      </w:rPr>
      <w:t>A</w:t>
    </w:r>
    <w:r w:rsidR="00CE6C1E">
      <w:rPr>
        <w:rFonts w:ascii="Verdana" w:hAnsi="Verdana" w:cs="Verdana"/>
        <w:i/>
        <w:iCs/>
        <w:color w:val="016794"/>
        <w:sz w:val="16"/>
        <w:szCs w:val="16"/>
      </w:rPr>
      <w:t xml:space="preserve">nnual </w:t>
    </w:r>
    <w:r w:rsidR="00AB6F9D">
      <w:rPr>
        <w:rFonts w:ascii="Verdana" w:hAnsi="Verdana" w:cs="Verdana"/>
        <w:i/>
        <w:iCs/>
        <w:color w:val="016794"/>
        <w:sz w:val="16"/>
        <w:szCs w:val="16"/>
      </w:rPr>
      <w:t>a</w:t>
    </w:r>
    <w:r w:rsidR="00CE6C1E">
      <w:rPr>
        <w:rFonts w:ascii="Verdana" w:hAnsi="Verdana" w:cs="Verdana"/>
        <w:i/>
        <w:iCs/>
        <w:color w:val="016794"/>
        <w:sz w:val="16"/>
        <w:szCs w:val="16"/>
      </w:rPr>
      <w:t xml:space="preserve">ccounts of the European </w:t>
    </w:r>
    <w:r w:rsidR="00E555E4">
      <w:rPr>
        <w:rFonts w:ascii="Verdana" w:hAnsi="Verdana" w:cs="Verdana"/>
        <w:i/>
        <w:iCs/>
        <w:color w:val="016794"/>
        <w:sz w:val="16"/>
        <w:szCs w:val="16"/>
      </w:rPr>
      <w:t>U</w:t>
    </w:r>
    <w:r w:rsidR="00CE6C1E">
      <w:rPr>
        <w:rFonts w:ascii="Verdana" w:hAnsi="Verdana" w:cs="Verdana"/>
        <w:i/>
        <w:iCs/>
        <w:color w:val="016794"/>
        <w:sz w:val="16"/>
        <w:szCs w:val="16"/>
      </w:rPr>
      <w:t>n</w:t>
    </w:r>
    <w:r w:rsidR="00E555E4">
      <w:rPr>
        <w:rFonts w:ascii="Verdana" w:hAnsi="Verdana" w:cs="Verdana"/>
        <w:i/>
        <w:iCs/>
        <w:color w:val="016794"/>
        <w:sz w:val="16"/>
        <w:szCs w:val="16"/>
      </w:rPr>
      <w:t>ion</w:t>
    </w:r>
    <w:r>
      <w:rPr>
        <w:rFonts w:ascii="Verdana" w:hAnsi="Verdana" w:cs="Verdana"/>
        <w:i/>
        <w:iCs/>
        <w:color w:val="016794"/>
        <w:sz w:val="16"/>
        <w:szCs w:val="16"/>
      </w:rPr>
      <w:t xml:space="preserve"> 2025</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2D2A4" w14:textId="77777777" w:rsidR="006A7022" w:rsidRDefault="006A70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EEA0E"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3BA98"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FE0C3"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8311D"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9228"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580EF"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88EEB" w14:textId="77777777" w:rsidR="00014520" w:rsidRDefault="0001452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76BB7" w14:textId="77777777" w:rsidR="006A0C78" w:rsidRPr="000B31D6" w:rsidRDefault="00023E71"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sidR="00CB24F6">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FAE0E" w14:textId="77777777" w:rsidR="00014520" w:rsidRDefault="0001452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0849D"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8CB25"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AB13B"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7FC93"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E17F3"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B627B" w14:textId="77777777" w:rsidR="00014520" w:rsidRDefault="0001452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69FF" w14:textId="77777777" w:rsidR="006A0C78" w:rsidRPr="000B31D6" w:rsidRDefault="00023E71"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sidR="00CB24F6">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EE8A" w14:textId="77777777" w:rsidR="00014520" w:rsidRDefault="0001452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8D2C2"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8D93"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95D5E"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89987"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F22B"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C8FE3"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EA258"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7D054"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67283"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BE484"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EF888"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41513"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7F41A"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BC420"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4CCB0"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BF92D"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25388"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37695"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EC826"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7C697"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A510F"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97B38"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BBA25" w14:textId="77777777" w:rsidR="006A7022" w:rsidRDefault="006A702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674E3" w14:textId="77777777" w:rsidR="00411138" w:rsidRDefault="00023E71" w:rsidP="001508AF">
    <w:pPr>
      <w:tabs>
        <w:tab w:val="center" w:pos="4819"/>
        <w:tab w:val="right" w:pos="9638"/>
      </w:tabs>
      <w:autoSpaceDE w:val="0"/>
      <w:autoSpaceDN w:val="0"/>
      <w:adjustRightInd w:val="0"/>
      <w:jc w:val="center"/>
    </w:pPr>
    <w:r>
      <w:rPr>
        <w:rFonts w:ascii="Verdana" w:hAnsi="Verdana" w:cs="Verdana"/>
        <w:i/>
        <w:iCs/>
        <w:color w:val="016794"/>
        <w:sz w:val="16"/>
        <w:szCs w:val="16"/>
      </w:rPr>
      <w:t>A</w:t>
    </w:r>
    <w:r w:rsidR="00CE6C1E">
      <w:rPr>
        <w:rFonts w:ascii="Verdana" w:hAnsi="Verdana" w:cs="Verdana"/>
        <w:i/>
        <w:iCs/>
        <w:color w:val="016794"/>
        <w:sz w:val="16"/>
        <w:szCs w:val="16"/>
      </w:rPr>
      <w:t xml:space="preserve">nnual </w:t>
    </w:r>
    <w:r w:rsidR="00AB6F9D">
      <w:rPr>
        <w:rFonts w:ascii="Verdana" w:hAnsi="Verdana" w:cs="Verdana"/>
        <w:i/>
        <w:iCs/>
        <w:color w:val="016794"/>
        <w:sz w:val="16"/>
        <w:szCs w:val="16"/>
      </w:rPr>
      <w:t>a</w:t>
    </w:r>
    <w:r w:rsidR="00CE6C1E">
      <w:rPr>
        <w:rFonts w:ascii="Verdana" w:hAnsi="Verdana" w:cs="Verdana"/>
        <w:i/>
        <w:iCs/>
        <w:color w:val="016794"/>
        <w:sz w:val="16"/>
        <w:szCs w:val="16"/>
      </w:rPr>
      <w:t xml:space="preserve">ccounts of the European </w:t>
    </w:r>
    <w:r w:rsidR="00E555E4">
      <w:rPr>
        <w:rFonts w:ascii="Verdana" w:hAnsi="Verdana" w:cs="Verdana"/>
        <w:i/>
        <w:iCs/>
        <w:color w:val="016794"/>
        <w:sz w:val="16"/>
        <w:szCs w:val="16"/>
      </w:rPr>
      <w:t>U</w:t>
    </w:r>
    <w:r w:rsidR="00CE6C1E">
      <w:rPr>
        <w:rFonts w:ascii="Verdana" w:hAnsi="Verdana" w:cs="Verdana"/>
        <w:i/>
        <w:iCs/>
        <w:color w:val="016794"/>
        <w:sz w:val="16"/>
        <w:szCs w:val="16"/>
      </w:rPr>
      <w:t>n</w:t>
    </w:r>
    <w:r w:rsidR="00E555E4">
      <w:rPr>
        <w:rFonts w:ascii="Verdana" w:hAnsi="Verdana" w:cs="Verdana"/>
        <w:i/>
        <w:iCs/>
        <w:color w:val="016794"/>
        <w:sz w:val="16"/>
        <w:szCs w:val="16"/>
      </w:rPr>
      <w:t>ion</w:t>
    </w:r>
    <w:r>
      <w:rPr>
        <w:rFonts w:ascii="Verdana" w:hAnsi="Verdana" w:cs="Verdana"/>
        <w:i/>
        <w:iCs/>
        <w:color w:val="016794"/>
        <w:sz w:val="16"/>
        <w:szCs w:val="16"/>
      </w:rPr>
      <w:t xml:space="preserve"> 2025</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5570A" w14:textId="77777777" w:rsidR="006A7022" w:rsidRDefault="006A702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C5364"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1EE45"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F3F0A"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8BB44"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141E8"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0BD4F"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8EF3B"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3E5DD"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26143"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1808B"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40E60"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9F64E"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E46CF" w14:textId="77777777" w:rsidR="00014520" w:rsidRDefault="0001452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232B7" w14:textId="77777777" w:rsidR="006A0C78" w:rsidRPr="000B31D6" w:rsidRDefault="00023E71"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sidR="00CB24F6">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AE46C" w14:textId="77777777" w:rsidR="00014520" w:rsidRDefault="0001452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32F2C"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95857"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20EDA"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2C0E7"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14D5F"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F4D60"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401E6"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F5174"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FDD0A"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4004A" w14:textId="77777777" w:rsidR="00BF2400" w:rsidRPr="000B31D6" w:rsidRDefault="00BF2400" w:rsidP="000B31D6">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szCs w:val="14"/>
      </w:rPr>
      <w:t>A</w:t>
    </w:r>
    <w:r w:rsidRPr="005D257A">
      <w:rPr>
        <w:rFonts w:ascii="Verdana" w:hAnsi="Verdana"/>
        <w:i/>
        <w:color w:val="016794"/>
        <w:sz w:val="16"/>
        <w:szCs w:val="14"/>
      </w:rPr>
      <w:t xml:space="preserve">nnual </w:t>
    </w:r>
    <w:r>
      <w:rPr>
        <w:rFonts w:ascii="Verdana" w:hAnsi="Verdana"/>
        <w:i/>
        <w:color w:val="016794"/>
        <w:sz w:val="16"/>
        <w:szCs w:val="14"/>
      </w:rPr>
      <w:t>a</w:t>
    </w:r>
    <w:r w:rsidRPr="005D257A">
      <w:rPr>
        <w:rFonts w:ascii="Verdana" w:hAnsi="Verdana"/>
        <w:i/>
        <w:color w:val="016794"/>
        <w:sz w:val="16"/>
        <w:szCs w:val="14"/>
      </w:rPr>
      <w:t xml:space="preserve">ccounts of the European </w:t>
    </w:r>
    <w:r>
      <w:rPr>
        <w:rFonts w:ascii="Verdana" w:hAnsi="Verdana"/>
        <w:i/>
        <w:color w:val="016794"/>
        <w:sz w:val="16"/>
        <w:szCs w:val="14"/>
      </w:rPr>
      <w:t xml:space="preserve">Union </w:t>
    </w:r>
    <w:r w:rsidRPr="005D257A">
      <w:rPr>
        <w:rFonts w:ascii="Verdana" w:hAnsi="Verdana"/>
        <w:i/>
        <w:color w:val="016794"/>
        <w:sz w:val="16"/>
        <w:szCs w:val="14"/>
      </w:rPr>
      <w:t>20</w:t>
    </w:r>
    <w:r>
      <w:rPr>
        <w:rFonts w:ascii="Verdana" w:hAnsi="Verdana"/>
        <w:i/>
        <w:color w:val="016794"/>
        <w:sz w:val="16"/>
        <w:szCs w:val="14"/>
      </w:rPr>
      <w:t>25</w: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995A3" w14:textId="77777777" w:rsidR="006A7022" w:rsidRDefault="006A7022">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04D24" w14:textId="77777777" w:rsidR="00411138" w:rsidRDefault="00023E71" w:rsidP="001508AF">
    <w:pPr>
      <w:tabs>
        <w:tab w:val="center" w:pos="4819"/>
        <w:tab w:val="right" w:pos="9638"/>
      </w:tabs>
      <w:autoSpaceDE w:val="0"/>
      <w:autoSpaceDN w:val="0"/>
      <w:adjustRightInd w:val="0"/>
      <w:jc w:val="center"/>
    </w:pPr>
    <w:r>
      <w:rPr>
        <w:rFonts w:ascii="Verdana" w:hAnsi="Verdana" w:cs="Verdana"/>
        <w:i/>
        <w:iCs/>
        <w:color w:val="016794"/>
        <w:sz w:val="16"/>
        <w:szCs w:val="16"/>
      </w:rPr>
      <w:t>A</w:t>
    </w:r>
    <w:r w:rsidR="00CE6C1E">
      <w:rPr>
        <w:rFonts w:ascii="Verdana" w:hAnsi="Verdana" w:cs="Verdana"/>
        <w:i/>
        <w:iCs/>
        <w:color w:val="016794"/>
        <w:sz w:val="16"/>
        <w:szCs w:val="16"/>
      </w:rPr>
      <w:t xml:space="preserve">nnual </w:t>
    </w:r>
    <w:r w:rsidR="00AB6F9D">
      <w:rPr>
        <w:rFonts w:ascii="Verdana" w:hAnsi="Verdana" w:cs="Verdana"/>
        <w:i/>
        <w:iCs/>
        <w:color w:val="016794"/>
        <w:sz w:val="16"/>
        <w:szCs w:val="16"/>
      </w:rPr>
      <w:t>a</w:t>
    </w:r>
    <w:r w:rsidR="00CE6C1E">
      <w:rPr>
        <w:rFonts w:ascii="Verdana" w:hAnsi="Verdana" w:cs="Verdana"/>
        <w:i/>
        <w:iCs/>
        <w:color w:val="016794"/>
        <w:sz w:val="16"/>
        <w:szCs w:val="16"/>
      </w:rPr>
      <w:t xml:space="preserve">ccounts of the European </w:t>
    </w:r>
    <w:r w:rsidR="00E555E4">
      <w:rPr>
        <w:rFonts w:ascii="Verdana" w:hAnsi="Verdana" w:cs="Verdana"/>
        <w:i/>
        <w:iCs/>
        <w:color w:val="016794"/>
        <w:sz w:val="16"/>
        <w:szCs w:val="16"/>
      </w:rPr>
      <w:t>U</w:t>
    </w:r>
    <w:r w:rsidR="00CE6C1E">
      <w:rPr>
        <w:rFonts w:ascii="Verdana" w:hAnsi="Verdana" w:cs="Verdana"/>
        <w:i/>
        <w:iCs/>
        <w:color w:val="016794"/>
        <w:sz w:val="16"/>
        <w:szCs w:val="16"/>
      </w:rPr>
      <w:t>n</w:t>
    </w:r>
    <w:r w:rsidR="00E555E4">
      <w:rPr>
        <w:rFonts w:ascii="Verdana" w:hAnsi="Verdana" w:cs="Verdana"/>
        <w:i/>
        <w:iCs/>
        <w:color w:val="016794"/>
        <w:sz w:val="16"/>
        <w:szCs w:val="16"/>
      </w:rPr>
      <w:t>ion</w:t>
    </w:r>
    <w:r>
      <w:rPr>
        <w:rFonts w:ascii="Verdana" w:hAnsi="Verdana" w:cs="Verdana"/>
        <w:i/>
        <w:iCs/>
        <w:color w:val="016794"/>
        <w:sz w:val="16"/>
        <w:szCs w:val="16"/>
      </w:rPr>
      <w:t xml:space="preserve"> 2025</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CE679" w14:textId="77777777" w:rsidR="006A7022" w:rsidRDefault="006A7022">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B00F"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53792" w14:textId="77777777" w:rsidR="00BF2400" w:rsidRDefault="00BF2400" w:rsidP="001508AF">
    <w:pPr>
      <w:tabs>
        <w:tab w:val="center" w:pos="4819"/>
        <w:tab w:val="right" w:pos="9638"/>
      </w:tabs>
      <w:autoSpaceDE w:val="0"/>
      <w:autoSpaceDN w:val="0"/>
      <w:adjustRightInd w:val="0"/>
      <w:jc w:val="center"/>
    </w:pPr>
    <w:r>
      <w:rPr>
        <w:rFonts w:ascii="Verdana" w:hAnsi="Verdana" w:cs="Verdana"/>
        <w:i/>
        <w:iCs/>
        <w:color w:val="016794"/>
        <w:sz w:val="16"/>
        <w:szCs w:val="16"/>
      </w:rPr>
      <w:t>Annual accounts of the European Union 2025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5B9A8520"/>
    <w:lvl w:ilvl="0">
      <w:start w:val="1"/>
      <w:numFmt w:val="decimal"/>
      <w:pStyle w:val="HEADER1Part3"/>
      <w:lvlText w:val="%1."/>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1">
      <w:start w:val="1"/>
      <w:numFmt w:val="decimal"/>
      <w:pStyle w:val="HEADER2Part3"/>
      <w:lvlText w:val="%1.%2."/>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pStyle w:val="HEADER3Part3"/>
      <w:lvlText w:val="%1.%2.%3."/>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3">
      <w:start w:val="1"/>
      <w:numFmt w:val="decimal"/>
      <w:lvlText w:val="%1.%2.%3.%4."/>
      <w:lvlJc w:val="left"/>
      <w:pPr>
        <w:ind w:left="907" w:hanging="90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1" w15:restartNumberingAfterBreak="0">
    <w:nsid w:val="00000002"/>
    <w:multiLevelType w:val="hybridMultilevel"/>
    <w:tmpl w:val="675ED66A"/>
    <w:lvl w:ilvl="0" w:tplc="B81EF8DE">
      <w:start w:val="1"/>
      <w:numFmt w:val="lowerLetter"/>
      <w:pStyle w:val="Textstand-alonenumberingLetters"/>
      <w:lvlText w:val="%1)"/>
      <w:lvlJc w:val="left"/>
      <w:pPr>
        <w:ind w:left="720" w:hanging="360"/>
      </w:pPr>
      <w:rPr>
        <w:rFonts w:hint="default"/>
      </w:rPr>
    </w:lvl>
    <w:lvl w:ilvl="1" w:tplc="299A743E" w:tentative="1">
      <w:start w:val="1"/>
      <w:numFmt w:val="lowerLetter"/>
      <w:lvlText w:val="%2."/>
      <w:lvlJc w:val="left"/>
      <w:pPr>
        <w:ind w:left="1440" w:hanging="360"/>
      </w:pPr>
    </w:lvl>
    <w:lvl w:ilvl="2" w:tplc="EC98477E" w:tentative="1">
      <w:start w:val="1"/>
      <w:numFmt w:val="lowerRoman"/>
      <w:lvlText w:val="%3."/>
      <w:lvlJc w:val="right"/>
      <w:pPr>
        <w:ind w:left="2160" w:hanging="180"/>
      </w:pPr>
    </w:lvl>
    <w:lvl w:ilvl="3" w:tplc="3CB09634" w:tentative="1">
      <w:start w:val="1"/>
      <w:numFmt w:val="decimal"/>
      <w:lvlText w:val="%4."/>
      <w:lvlJc w:val="left"/>
      <w:pPr>
        <w:ind w:left="2880" w:hanging="360"/>
      </w:pPr>
    </w:lvl>
    <w:lvl w:ilvl="4" w:tplc="B0A4FEBC" w:tentative="1">
      <w:start w:val="1"/>
      <w:numFmt w:val="lowerLetter"/>
      <w:lvlText w:val="%5."/>
      <w:lvlJc w:val="left"/>
      <w:pPr>
        <w:ind w:left="3600" w:hanging="360"/>
      </w:pPr>
    </w:lvl>
    <w:lvl w:ilvl="5" w:tplc="10AABEBE" w:tentative="1">
      <w:start w:val="1"/>
      <w:numFmt w:val="lowerRoman"/>
      <w:lvlText w:val="%6."/>
      <w:lvlJc w:val="right"/>
      <w:pPr>
        <w:ind w:left="4320" w:hanging="180"/>
      </w:pPr>
    </w:lvl>
    <w:lvl w:ilvl="6" w:tplc="F3A4A3FC" w:tentative="1">
      <w:start w:val="1"/>
      <w:numFmt w:val="decimal"/>
      <w:lvlText w:val="%7."/>
      <w:lvlJc w:val="left"/>
      <w:pPr>
        <w:ind w:left="5040" w:hanging="360"/>
      </w:pPr>
    </w:lvl>
    <w:lvl w:ilvl="7" w:tplc="6AEC4882" w:tentative="1">
      <w:start w:val="1"/>
      <w:numFmt w:val="lowerLetter"/>
      <w:lvlText w:val="%8."/>
      <w:lvlJc w:val="left"/>
      <w:pPr>
        <w:ind w:left="5760" w:hanging="360"/>
      </w:pPr>
    </w:lvl>
    <w:lvl w:ilvl="8" w:tplc="14B2548A" w:tentative="1">
      <w:start w:val="1"/>
      <w:numFmt w:val="lowerRoman"/>
      <w:lvlText w:val="%9."/>
      <w:lvlJc w:val="right"/>
      <w:pPr>
        <w:ind w:left="6480" w:hanging="180"/>
      </w:pPr>
    </w:lvl>
  </w:abstractNum>
  <w:abstractNum w:abstractNumId="2" w15:restartNumberingAfterBreak="0">
    <w:nsid w:val="00000004"/>
    <w:multiLevelType w:val="hybridMultilevel"/>
    <w:tmpl w:val="7CB6E1C4"/>
    <w:lvl w:ilvl="0" w:tplc="042EBCFA">
      <w:start w:val="1"/>
      <w:numFmt w:val="decimal"/>
      <w:pStyle w:val="DGTextstand-alonenumbering"/>
      <w:lvlText w:val="(%1)"/>
      <w:lvlJc w:val="left"/>
      <w:pPr>
        <w:ind w:left="720" w:hanging="360"/>
      </w:pPr>
      <w:rPr>
        <w:rFonts w:hint="default"/>
      </w:rPr>
    </w:lvl>
    <w:lvl w:ilvl="1" w:tplc="393286D8" w:tentative="1">
      <w:start w:val="1"/>
      <w:numFmt w:val="lowerLetter"/>
      <w:lvlText w:val="%2."/>
      <w:lvlJc w:val="left"/>
      <w:pPr>
        <w:ind w:left="1440" w:hanging="360"/>
      </w:pPr>
    </w:lvl>
    <w:lvl w:ilvl="2" w:tplc="B778EF0A" w:tentative="1">
      <w:start w:val="1"/>
      <w:numFmt w:val="lowerRoman"/>
      <w:lvlText w:val="%3."/>
      <w:lvlJc w:val="right"/>
      <w:pPr>
        <w:ind w:left="2160" w:hanging="180"/>
      </w:pPr>
    </w:lvl>
    <w:lvl w:ilvl="3" w:tplc="E30E46FA" w:tentative="1">
      <w:start w:val="1"/>
      <w:numFmt w:val="decimal"/>
      <w:lvlText w:val="%4."/>
      <w:lvlJc w:val="left"/>
      <w:pPr>
        <w:ind w:left="2880" w:hanging="360"/>
      </w:pPr>
    </w:lvl>
    <w:lvl w:ilvl="4" w:tplc="36723340" w:tentative="1">
      <w:start w:val="1"/>
      <w:numFmt w:val="lowerLetter"/>
      <w:lvlText w:val="%5."/>
      <w:lvlJc w:val="left"/>
      <w:pPr>
        <w:ind w:left="3600" w:hanging="360"/>
      </w:pPr>
    </w:lvl>
    <w:lvl w:ilvl="5" w:tplc="8F9E4690" w:tentative="1">
      <w:start w:val="1"/>
      <w:numFmt w:val="lowerRoman"/>
      <w:lvlText w:val="%6."/>
      <w:lvlJc w:val="right"/>
      <w:pPr>
        <w:ind w:left="4320" w:hanging="180"/>
      </w:pPr>
    </w:lvl>
    <w:lvl w:ilvl="6" w:tplc="80A257F8" w:tentative="1">
      <w:start w:val="1"/>
      <w:numFmt w:val="decimal"/>
      <w:lvlText w:val="%7."/>
      <w:lvlJc w:val="left"/>
      <w:pPr>
        <w:ind w:left="5040" w:hanging="360"/>
      </w:pPr>
    </w:lvl>
    <w:lvl w:ilvl="7" w:tplc="1ED8A7DC" w:tentative="1">
      <w:start w:val="1"/>
      <w:numFmt w:val="lowerLetter"/>
      <w:lvlText w:val="%8."/>
      <w:lvlJc w:val="left"/>
      <w:pPr>
        <w:ind w:left="5760" w:hanging="360"/>
      </w:pPr>
    </w:lvl>
    <w:lvl w:ilvl="8" w:tplc="55DE8898" w:tentative="1">
      <w:start w:val="1"/>
      <w:numFmt w:val="lowerRoman"/>
      <w:lvlText w:val="%9."/>
      <w:lvlJc w:val="right"/>
      <w:pPr>
        <w:ind w:left="6480" w:hanging="180"/>
      </w:pPr>
    </w:lvl>
  </w:abstractNum>
  <w:abstractNum w:abstractNumId="3" w15:restartNumberingAfterBreak="0">
    <w:nsid w:val="00000006"/>
    <w:multiLevelType w:val="hybridMultilevel"/>
    <w:tmpl w:val="42FC2B20"/>
    <w:lvl w:ilvl="0" w:tplc="062AE226">
      <w:start w:val="1"/>
      <w:numFmt w:val="lowerRoman"/>
      <w:pStyle w:val="TextSubtitlenumberingRCItalic"/>
      <w:lvlText w:val="(%1)"/>
      <w:lvlJc w:val="left"/>
      <w:pPr>
        <w:ind w:left="720" w:hanging="360"/>
      </w:pPr>
      <w:rPr>
        <w:rFonts w:hint="default"/>
      </w:rPr>
    </w:lvl>
    <w:lvl w:ilvl="1" w:tplc="6EF8968C">
      <w:start w:val="1"/>
      <w:numFmt w:val="lowerLetter"/>
      <w:lvlText w:val="%2."/>
      <w:lvlJc w:val="left"/>
      <w:pPr>
        <w:ind w:left="1440" w:hanging="360"/>
      </w:pPr>
    </w:lvl>
    <w:lvl w:ilvl="2" w:tplc="F0F6D1BE" w:tentative="1">
      <w:start w:val="1"/>
      <w:numFmt w:val="lowerRoman"/>
      <w:lvlText w:val="%3."/>
      <w:lvlJc w:val="right"/>
      <w:pPr>
        <w:ind w:left="2160" w:hanging="180"/>
      </w:pPr>
    </w:lvl>
    <w:lvl w:ilvl="3" w:tplc="1540846A" w:tentative="1">
      <w:start w:val="1"/>
      <w:numFmt w:val="decimal"/>
      <w:lvlText w:val="%4."/>
      <w:lvlJc w:val="left"/>
      <w:pPr>
        <w:ind w:left="2880" w:hanging="360"/>
      </w:pPr>
    </w:lvl>
    <w:lvl w:ilvl="4" w:tplc="6F32455A" w:tentative="1">
      <w:start w:val="1"/>
      <w:numFmt w:val="lowerLetter"/>
      <w:lvlText w:val="%5."/>
      <w:lvlJc w:val="left"/>
      <w:pPr>
        <w:ind w:left="3600" w:hanging="360"/>
      </w:pPr>
    </w:lvl>
    <w:lvl w:ilvl="5" w:tplc="F438AAE6" w:tentative="1">
      <w:start w:val="1"/>
      <w:numFmt w:val="lowerRoman"/>
      <w:lvlText w:val="%6."/>
      <w:lvlJc w:val="right"/>
      <w:pPr>
        <w:ind w:left="4320" w:hanging="180"/>
      </w:pPr>
    </w:lvl>
    <w:lvl w:ilvl="6" w:tplc="B8DAF892" w:tentative="1">
      <w:start w:val="1"/>
      <w:numFmt w:val="decimal"/>
      <w:lvlText w:val="%7."/>
      <w:lvlJc w:val="left"/>
      <w:pPr>
        <w:ind w:left="5040" w:hanging="360"/>
      </w:pPr>
    </w:lvl>
    <w:lvl w:ilvl="7" w:tplc="95E288DC" w:tentative="1">
      <w:start w:val="1"/>
      <w:numFmt w:val="lowerLetter"/>
      <w:lvlText w:val="%8."/>
      <w:lvlJc w:val="left"/>
      <w:pPr>
        <w:ind w:left="5760" w:hanging="360"/>
      </w:pPr>
    </w:lvl>
    <w:lvl w:ilvl="8" w:tplc="DC5A0448" w:tentative="1">
      <w:start w:val="1"/>
      <w:numFmt w:val="lowerRoman"/>
      <w:lvlText w:val="%9."/>
      <w:lvlJc w:val="right"/>
      <w:pPr>
        <w:ind w:left="6480" w:hanging="180"/>
      </w:pPr>
    </w:lvl>
  </w:abstractNum>
  <w:abstractNum w:abstractNumId="4" w15:restartNumberingAfterBreak="0">
    <w:nsid w:val="00000007"/>
    <w:multiLevelType w:val="hybridMultilevel"/>
    <w:tmpl w:val="5DD0517A"/>
    <w:lvl w:ilvl="0" w:tplc="142C2A88">
      <w:start w:val="1"/>
      <w:numFmt w:val="lowerRoman"/>
      <w:pStyle w:val="TextstandalonenumberingRCJustified"/>
      <w:lvlText w:val="(%1)"/>
      <w:lvlJc w:val="left"/>
      <w:pPr>
        <w:tabs>
          <w:tab w:val="num" w:pos="0"/>
        </w:tabs>
        <w:ind w:left="107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highlight w:val="none"/>
        <w:u w:val="none"/>
        <w:effect w:val="none"/>
        <w:vertAlign w:val="baseline"/>
        <w:rtl w:val="0"/>
        <w:cs w:val="0"/>
        <w:specVanish w:val="0"/>
      </w:rPr>
    </w:lvl>
    <w:lvl w:ilvl="1" w:tplc="22C2F518" w:tentative="1">
      <w:start w:val="1"/>
      <w:numFmt w:val="lowerLetter"/>
      <w:lvlText w:val="%2."/>
      <w:lvlJc w:val="left"/>
      <w:pPr>
        <w:ind w:left="1797" w:hanging="360"/>
      </w:pPr>
    </w:lvl>
    <w:lvl w:ilvl="2" w:tplc="2BD639B8" w:tentative="1">
      <w:start w:val="1"/>
      <w:numFmt w:val="lowerRoman"/>
      <w:lvlText w:val="%3."/>
      <w:lvlJc w:val="right"/>
      <w:pPr>
        <w:ind w:left="2517" w:hanging="180"/>
      </w:pPr>
    </w:lvl>
    <w:lvl w:ilvl="3" w:tplc="D26C1738" w:tentative="1">
      <w:start w:val="1"/>
      <w:numFmt w:val="decimal"/>
      <w:lvlText w:val="%4."/>
      <w:lvlJc w:val="left"/>
      <w:pPr>
        <w:ind w:left="3237" w:hanging="360"/>
      </w:pPr>
    </w:lvl>
    <w:lvl w:ilvl="4" w:tplc="2C308F64" w:tentative="1">
      <w:start w:val="1"/>
      <w:numFmt w:val="lowerLetter"/>
      <w:lvlText w:val="%5."/>
      <w:lvlJc w:val="left"/>
      <w:pPr>
        <w:ind w:left="3957" w:hanging="360"/>
      </w:pPr>
    </w:lvl>
    <w:lvl w:ilvl="5" w:tplc="6E7A978C" w:tentative="1">
      <w:start w:val="1"/>
      <w:numFmt w:val="lowerRoman"/>
      <w:lvlText w:val="%6."/>
      <w:lvlJc w:val="right"/>
      <w:pPr>
        <w:ind w:left="4677" w:hanging="180"/>
      </w:pPr>
    </w:lvl>
    <w:lvl w:ilvl="6" w:tplc="5058D5EC" w:tentative="1">
      <w:start w:val="1"/>
      <w:numFmt w:val="decimal"/>
      <w:lvlText w:val="%7."/>
      <w:lvlJc w:val="left"/>
      <w:pPr>
        <w:ind w:left="5397" w:hanging="360"/>
      </w:pPr>
    </w:lvl>
    <w:lvl w:ilvl="7" w:tplc="76D44882" w:tentative="1">
      <w:start w:val="1"/>
      <w:numFmt w:val="lowerLetter"/>
      <w:lvlText w:val="%8."/>
      <w:lvlJc w:val="left"/>
      <w:pPr>
        <w:ind w:left="6117" w:hanging="360"/>
      </w:pPr>
    </w:lvl>
    <w:lvl w:ilvl="8" w:tplc="1E1C6728" w:tentative="1">
      <w:start w:val="1"/>
      <w:numFmt w:val="lowerRoman"/>
      <w:lvlText w:val="%9."/>
      <w:lvlJc w:val="right"/>
      <w:pPr>
        <w:ind w:left="6837" w:hanging="180"/>
      </w:pPr>
    </w:lvl>
  </w:abstractNum>
  <w:abstractNum w:abstractNumId="5" w15:restartNumberingAfterBreak="0">
    <w:nsid w:val="00000008"/>
    <w:multiLevelType w:val="multilevel"/>
    <w:tmpl w:val="9EC0C04E"/>
    <w:lvl w:ilvl="0">
      <w:start w:val="1"/>
      <w:numFmt w:val="lowerLetter"/>
      <w:pStyle w:val="TextSubtitleItalicnumberinglettera"/>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2757792"/>
    <w:multiLevelType w:val="multilevel"/>
    <w:tmpl w:val="B89498CE"/>
    <w:lvl w:ilvl="0">
      <w:start w:val="1"/>
      <w:numFmt w:val="decimal"/>
      <w:pStyle w:val="HEADER1Part1"/>
      <w:isLgl/>
      <w:lvlText w:val="%1."/>
      <w:lvlJc w:val="left"/>
      <w:pPr>
        <w:ind w:left="907" w:hanging="907"/>
      </w:pPr>
      <w:rPr>
        <w:rFonts w:hint="default"/>
        <w:b/>
        <w:i w:val="0"/>
        <w:color w:val="016794"/>
        <w:sz w:val="32"/>
        <w:szCs w:val="28"/>
      </w:rPr>
    </w:lvl>
    <w:lvl w:ilvl="1">
      <w:start w:val="1"/>
      <w:numFmt w:val="decimal"/>
      <w:pStyle w:val="HEADER2Part1"/>
      <w:isLgl/>
      <w:lvlText w:val="%1.%2."/>
      <w:lvlJc w:val="left"/>
      <w:pPr>
        <w:ind w:left="907" w:hanging="907"/>
      </w:pPr>
      <w:rPr>
        <w:rFonts w:hint="default"/>
      </w:rPr>
    </w:lvl>
    <w:lvl w:ilvl="2">
      <w:start w:val="1"/>
      <w:numFmt w:val="decimal"/>
      <w:pStyle w:val="HEADER3Part1"/>
      <w:isLgl/>
      <w:lvlText w:val="%1.%2.%3."/>
      <w:lvlJc w:val="left"/>
      <w:pPr>
        <w:ind w:left="907" w:hanging="907"/>
      </w:pPr>
      <w:rPr>
        <w:rFonts w:hint="default"/>
      </w:rPr>
    </w:lvl>
    <w:lvl w:ilvl="3">
      <w:start w:val="1"/>
      <w:numFmt w:val="decimal"/>
      <w:pStyle w:val="HEADER4Part1"/>
      <w:isLgl/>
      <w:lvlText w:val="%1.%2.%3.%4."/>
      <w:lvlJc w:val="left"/>
      <w:pPr>
        <w:ind w:left="907" w:hanging="90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98A3198"/>
    <w:multiLevelType w:val="hybridMultilevel"/>
    <w:tmpl w:val="A99C3C74"/>
    <w:lvl w:ilvl="0" w:tplc="6E621FE0">
      <w:start w:val="1"/>
      <w:numFmt w:val="decimal"/>
      <w:pStyle w:val="HEADER4Part3"/>
      <w:lvlText w:val="%1.1.1.1"/>
      <w:lvlJc w:val="left"/>
      <w:pPr>
        <w:ind w:left="720" w:hanging="360"/>
      </w:pPr>
      <w:rPr>
        <w:rFonts w:ascii="Verdana" w:hAnsi="Verdana" w:hint="default"/>
        <w:sz w:val="18"/>
        <w:szCs w:val="18"/>
      </w:rPr>
    </w:lvl>
    <w:lvl w:ilvl="1" w:tplc="1512CA08" w:tentative="1">
      <w:start w:val="1"/>
      <w:numFmt w:val="lowerLetter"/>
      <w:lvlText w:val="%2."/>
      <w:lvlJc w:val="left"/>
      <w:pPr>
        <w:ind w:left="1440" w:hanging="360"/>
      </w:pPr>
    </w:lvl>
    <w:lvl w:ilvl="2" w:tplc="0B6C9EAA" w:tentative="1">
      <w:start w:val="1"/>
      <w:numFmt w:val="lowerRoman"/>
      <w:lvlText w:val="%3."/>
      <w:lvlJc w:val="right"/>
      <w:pPr>
        <w:ind w:left="2160" w:hanging="180"/>
      </w:pPr>
    </w:lvl>
    <w:lvl w:ilvl="3" w:tplc="7CFC5348">
      <w:start w:val="1"/>
      <w:numFmt w:val="decimal"/>
      <w:lvlText w:val="%4."/>
      <w:lvlJc w:val="left"/>
      <w:pPr>
        <w:ind w:left="2880" w:hanging="360"/>
      </w:pPr>
    </w:lvl>
    <w:lvl w:ilvl="4" w:tplc="425C22C6" w:tentative="1">
      <w:start w:val="1"/>
      <w:numFmt w:val="lowerLetter"/>
      <w:lvlText w:val="%5."/>
      <w:lvlJc w:val="left"/>
      <w:pPr>
        <w:ind w:left="3600" w:hanging="360"/>
      </w:pPr>
    </w:lvl>
    <w:lvl w:ilvl="5" w:tplc="68B09F78" w:tentative="1">
      <w:start w:val="1"/>
      <w:numFmt w:val="lowerRoman"/>
      <w:lvlText w:val="%6."/>
      <w:lvlJc w:val="right"/>
      <w:pPr>
        <w:ind w:left="4320" w:hanging="180"/>
      </w:pPr>
    </w:lvl>
    <w:lvl w:ilvl="6" w:tplc="65FAB296" w:tentative="1">
      <w:start w:val="1"/>
      <w:numFmt w:val="decimal"/>
      <w:lvlText w:val="%7."/>
      <w:lvlJc w:val="left"/>
      <w:pPr>
        <w:ind w:left="5040" w:hanging="360"/>
      </w:pPr>
    </w:lvl>
    <w:lvl w:ilvl="7" w:tplc="D9424778" w:tentative="1">
      <w:start w:val="1"/>
      <w:numFmt w:val="lowerLetter"/>
      <w:lvlText w:val="%8."/>
      <w:lvlJc w:val="left"/>
      <w:pPr>
        <w:ind w:left="5760" w:hanging="360"/>
      </w:pPr>
    </w:lvl>
    <w:lvl w:ilvl="8" w:tplc="316E9374" w:tentative="1">
      <w:start w:val="1"/>
      <w:numFmt w:val="lowerRoman"/>
      <w:lvlText w:val="%9."/>
      <w:lvlJc w:val="right"/>
      <w:pPr>
        <w:ind w:left="6480" w:hanging="180"/>
      </w:pPr>
    </w:lvl>
  </w:abstractNum>
  <w:abstractNum w:abstractNumId="8" w15:restartNumberingAfterBreak="0">
    <w:nsid w:val="0F3F1D52"/>
    <w:multiLevelType w:val="multilevel"/>
    <w:tmpl w:val="455EB66A"/>
    <w:lvl w:ilvl="0">
      <w:start w:val="1"/>
      <w:numFmt w:val="decimal"/>
      <w:pStyle w:val="HEADER1NOTES"/>
      <w:lvlText w:val="%1."/>
      <w:lvlJc w:val="left"/>
      <w:pPr>
        <w:ind w:left="907" w:hanging="907"/>
      </w:pPr>
      <w:rPr>
        <w:rFonts w:hint="default"/>
      </w:rPr>
    </w:lvl>
    <w:lvl w:ilvl="1">
      <w:start w:val="1"/>
      <w:numFmt w:val="decimal"/>
      <w:pStyle w:val="HEADER2NOTES"/>
      <w:lvlText w:val="%1.%2."/>
      <w:lvlJc w:val="left"/>
      <w:pPr>
        <w:ind w:left="907" w:hanging="907"/>
      </w:pPr>
      <w:rPr>
        <w:rFonts w:hint="default"/>
      </w:rPr>
    </w:lvl>
    <w:lvl w:ilvl="2">
      <w:start w:val="1"/>
      <w:numFmt w:val="decimal"/>
      <w:pStyle w:val="HEADER3NOTES"/>
      <w:lvlText w:val="%1.%2.%3."/>
      <w:lvlJc w:val="left"/>
      <w:pPr>
        <w:ind w:left="907" w:hanging="907"/>
      </w:pPr>
      <w:rPr>
        <w:rFonts w:hint="default"/>
      </w:rPr>
    </w:lvl>
    <w:lvl w:ilvl="3">
      <w:start w:val="1"/>
      <w:numFmt w:val="decimal"/>
      <w:pStyle w:val="HEADER4NOTES"/>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9" w15:restartNumberingAfterBreak="0">
    <w:nsid w:val="10FF3492"/>
    <w:multiLevelType w:val="multilevel"/>
    <w:tmpl w:val="42180D94"/>
    <w:lvl w:ilvl="0">
      <w:start w:val="1"/>
      <w:numFmt w:val="decimal"/>
      <w:pStyle w:val="HEADER1PartBUDG"/>
      <w:lvlText w:val="%1."/>
      <w:lvlJc w:val="left"/>
      <w:pPr>
        <w:ind w:left="907" w:hanging="907"/>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HEADER2PartBUDG"/>
      <w:lvlText w:val="%1.%2."/>
      <w:lvlJc w:val="left"/>
      <w:pPr>
        <w:ind w:left="907" w:hanging="907"/>
      </w:pPr>
      <w:rPr>
        <w:rFonts w:hint="default"/>
      </w:rPr>
    </w:lvl>
    <w:lvl w:ilvl="2">
      <w:start w:val="1"/>
      <w:numFmt w:val="decimal"/>
      <w:pStyle w:val="HEADER3PartBUGD"/>
      <w:lvlText w:val="%1.%2.%3."/>
      <w:lvlJc w:val="left"/>
      <w:pPr>
        <w:ind w:left="907" w:hanging="907"/>
      </w:pPr>
      <w:rPr>
        <w:rFonts w:hint="default"/>
      </w:rPr>
    </w:lvl>
    <w:lvl w:ilvl="3">
      <w:start w:val="1"/>
      <w:numFmt w:val="decimal"/>
      <w:pStyle w:val="HEADER4PartBUDG"/>
      <w:lvlText w:val="%1.%2.%3.%4."/>
      <w:lvlJc w:val="left"/>
      <w:pPr>
        <w:ind w:left="907" w:hanging="90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lowerLetter"/>
      <w:lvlText w:val="%5."/>
      <w:lvlJc w:val="left"/>
      <w:pPr>
        <w:ind w:left="907" w:hanging="907"/>
      </w:pPr>
      <w:rPr>
        <w:rFonts w:hint="default"/>
      </w:rPr>
    </w:lvl>
    <w:lvl w:ilvl="5">
      <w:start w:val="1"/>
      <w:numFmt w:val="lowerRoman"/>
      <w:lvlText w:val="%6."/>
      <w:lvlJc w:val="righ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right"/>
      <w:pPr>
        <w:ind w:left="907" w:hanging="907"/>
      </w:pPr>
      <w:rPr>
        <w:rFonts w:hint="default"/>
      </w:rPr>
    </w:lvl>
  </w:abstractNum>
  <w:abstractNum w:abstractNumId="10" w15:restartNumberingAfterBreak="0">
    <w:nsid w:val="128F19D0"/>
    <w:multiLevelType w:val="hybridMultilevel"/>
    <w:tmpl w:val="D02E176A"/>
    <w:lvl w:ilvl="0" w:tplc="1F5A09CA">
      <w:start w:val="1"/>
      <w:numFmt w:val="decimal"/>
      <w:lvlText w:val="(%1)"/>
      <w:lvlJc w:val="left"/>
      <w:pPr>
        <w:ind w:left="720" w:hanging="360"/>
      </w:pPr>
      <w:rPr>
        <w:rFonts w:hint="default"/>
      </w:rPr>
    </w:lvl>
    <w:lvl w:ilvl="1" w:tplc="E0B047D8" w:tentative="1">
      <w:start w:val="1"/>
      <w:numFmt w:val="lowerLetter"/>
      <w:lvlText w:val="%2."/>
      <w:lvlJc w:val="left"/>
      <w:pPr>
        <w:ind w:left="1440" w:hanging="360"/>
      </w:pPr>
    </w:lvl>
    <w:lvl w:ilvl="2" w:tplc="A062530A" w:tentative="1">
      <w:start w:val="1"/>
      <w:numFmt w:val="lowerRoman"/>
      <w:lvlText w:val="%3."/>
      <w:lvlJc w:val="right"/>
      <w:pPr>
        <w:ind w:left="2160" w:hanging="180"/>
      </w:pPr>
    </w:lvl>
    <w:lvl w:ilvl="3" w:tplc="3DDA3E1E" w:tentative="1">
      <w:start w:val="1"/>
      <w:numFmt w:val="decimal"/>
      <w:lvlText w:val="%4."/>
      <w:lvlJc w:val="left"/>
      <w:pPr>
        <w:ind w:left="2880" w:hanging="360"/>
      </w:pPr>
    </w:lvl>
    <w:lvl w:ilvl="4" w:tplc="68FAA8D4" w:tentative="1">
      <w:start w:val="1"/>
      <w:numFmt w:val="lowerLetter"/>
      <w:lvlText w:val="%5."/>
      <w:lvlJc w:val="left"/>
      <w:pPr>
        <w:ind w:left="3600" w:hanging="360"/>
      </w:pPr>
    </w:lvl>
    <w:lvl w:ilvl="5" w:tplc="39CC8FFE" w:tentative="1">
      <w:start w:val="1"/>
      <w:numFmt w:val="lowerRoman"/>
      <w:lvlText w:val="%6."/>
      <w:lvlJc w:val="right"/>
      <w:pPr>
        <w:ind w:left="4320" w:hanging="180"/>
      </w:pPr>
    </w:lvl>
    <w:lvl w:ilvl="6" w:tplc="A88A34AE" w:tentative="1">
      <w:start w:val="1"/>
      <w:numFmt w:val="decimal"/>
      <w:lvlText w:val="%7."/>
      <w:lvlJc w:val="left"/>
      <w:pPr>
        <w:ind w:left="5040" w:hanging="360"/>
      </w:pPr>
    </w:lvl>
    <w:lvl w:ilvl="7" w:tplc="7D8A75C6" w:tentative="1">
      <w:start w:val="1"/>
      <w:numFmt w:val="lowerLetter"/>
      <w:lvlText w:val="%8."/>
      <w:lvlJc w:val="left"/>
      <w:pPr>
        <w:ind w:left="5760" w:hanging="360"/>
      </w:pPr>
    </w:lvl>
    <w:lvl w:ilvl="8" w:tplc="D2A4899E" w:tentative="1">
      <w:start w:val="1"/>
      <w:numFmt w:val="lowerRoman"/>
      <w:lvlText w:val="%9."/>
      <w:lvlJc w:val="right"/>
      <w:pPr>
        <w:ind w:left="6480" w:hanging="180"/>
      </w:pPr>
    </w:lvl>
  </w:abstractNum>
  <w:abstractNum w:abstractNumId="11" w15:restartNumberingAfterBreak="0">
    <w:nsid w:val="139B624F"/>
    <w:multiLevelType w:val="hybridMultilevel"/>
    <w:tmpl w:val="72FED782"/>
    <w:lvl w:ilvl="0" w:tplc="C9147F40">
      <w:numFmt w:val="bullet"/>
      <w:lvlText w:val="–"/>
      <w:lvlJc w:val="left"/>
      <w:pPr>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246A3D2C" w:tentative="1">
      <w:start w:val="1"/>
      <w:numFmt w:val="bullet"/>
      <w:lvlText w:val="o"/>
      <w:lvlJc w:val="left"/>
      <w:pPr>
        <w:ind w:left="1440" w:hanging="360"/>
      </w:pPr>
      <w:rPr>
        <w:rFonts w:ascii="Courier New" w:hAnsi="Courier New" w:cs="Courier New" w:hint="default"/>
      </w:rPr>
    </w:lvl>
    <w:lvl w:ilvl="2" w:tplc="53B6F350" w:tentative="1">
      <w:start w:val="1"/>
      <w:numFmt w:val="bullet"/>
      <w:lvlText w:val=""/>
      <w:lvlJc w:val="left"/>
      <w:pPr>
        <w:ind w:left="2160" w:hanging="360"/>
      </w:pPr>
      <w:rPr>
        <w:rFonts w:ascii="Wingdings" w:hAnsi="Wingdings" w:hint="default"/>
      </w:rPr>
    </w:lvl>
    <w:lvl w:ilvl="3" w:tplc="D332AE32" w:tentative="1">
      <w:start w:val="1"/>
      <w:numFmt w:val="bullet"/>
      <w:lvlText w:val=""/>
      <w:lvlJc w:val="left"/>
      <w:pPr>
        <w:ind w:left="2880" w:hanging="360"/>
      </w:pPr>
      <w:rPr>
        <w:rFonts w:ascii="Symbol" w:hAnsi="Symbol" w:hint="default"/>
      </w:rPr>
    </w:lvl>
    <w:lvl w:ilvl="4" w:tplc="280493A8" w:tentative="1">
      <w:start w:val="1"/>
      <w:numFmt w:val="bullet"/>
      <w:lvlText w:val="o"/>
      <w:lvlJc w:val="left"/>
      <w:pPr>
        <w:ind w:left="3600" w:hanging="360"/>
      </w:pPr>
      <w:rPr>
        <w:rFonts w:ascii="Courier New" w:hAnsi="Courier New" w:cs="Courier New" w:hint="default"/>
      </w:rPr>
    </w:lvl>
    <w:lvl w:ilvl="5" w:tplc="F99A1C1A" w:tentative="1">
      <w:start w:val="1"/>
      <w:numFmt w:val="bullet"/>
      <w:lvlText w:val=""/>
      <w:lvlJc w:val="left"/>
      <w:pPr>
        <w:ind w:left="4320" w:hanging="360"/>
      </w:pPr>
      <w:rPr>
        <w:rFonts w:ascii="Wingdings" w:hAnsi="Wingdings" w:hint="default"/>
      </w:rPr>
    </w:lvl>
    <w:lvl w:ilvl="6" w:tplc="80D8872E" w:tentative="1">
      <w:start w:val="1"/>
      <w:numFmt w:val="bullet"/>
      <w:lvlText w:val=""/>
      <w:lvlJc w:val="left"/>
      <w:pPr>
        <w:ind w:left="5040" w:hanging="360"/>
      </w:pPr>
      <w:rPr>
        <w:rFonts w:ascii="Symbol" w:hAnsi="Symbol" w:hint="default"/>
      </w:rPr>
    </w:lvl>
    <w:lvl w:ilvl="7" w:tplc="52B0A352" w:tentative="1">
      <w:start w:val="1"/>
      <w:numFmt w:val="bullet"/>
      <w:lvlText w:val="o"/>
      <w:lvlJc w:val="left"/>
      <w:pPr>
        <w:ind w:left="5760" w:hanging="360"/>
      </w:pPr>
      <w:rPr>
        <w:rFonts w:ascii="Courier New" w:hAnsi="Courier New" w:cs="Courier New" w:hint="default"/>
      </w:rPr>
    </w:lvl>
    <w:lvl w:ilvl="8" w:tplc="EF0E91A0" w:tentative="1">
      <w:start w:val="1"/>
      <w:numFmt w:val="bullet"/>
      <w:lvlText w:val=""/>
      <w:lvlJc w:val="left"/>
      <w:pPr>
        <w:ind w:left="6480" w:hanging="360"/>
      </w:pPr>
      <w:rPr>
        <w:rFonts w:ascii="Wingdings" w:hAnsi="Wingdings" w:hint="default"/>
      </w:rPr>
    </w:lvl>
  </w:abstractNum>
  <w:abstractNum w:abstractNumId="12" w15:restartNumberingAfterBreak="0">
    <w:nsid w:val="199F1DAA"/>
    <w:multiLevelType w:val="hybridMultilevel"/>
    <w:tmpl w:val="1248AB5A"/>
    <w:lvl w:ilvl="0" w:tplc="4D644832">
      <w:start w:val="1"/>
      <w:numFmt w:val="decimal"/>
      <w:pStyle w:val="Textstand-alonenumberingJustified"/>
      <w:lvlText w:val="(%1)"/>
      <w:lvlJc w:val="left"/>
      <w:pPr>
        <w:ind w:left="720" w:hanging="360"/>
      </w:pPr>
      <w:rPr>
        <w:rFonts w:ascii="Verdana" w:hAnsi="Verdana" w:hint="default"/>
        <w:b w:val="0"/>
        <w:i w:val="0"/>
        <w:sz w:val="18"/>
      </w:rPr>
    </w:lvl>
    <w:lvl w:ilvl="1" w:tplc="1A3A6AC2" w:tentative="1">
      <w:start w:val="1"/>
      <w:numFmt w:val="lowerLetter"/>
      <w:lvlText w:val="%2."/>
      <w:lvlJc w:val="left"/>
      <w:pPr>
        <w:ind w:left="1440" w:hanging="360"/>
      </w:pPr>
    </w:lvl>
    <w:lvl w:ilvl="2" w:tplc="F87AF588" w:tentative="1">
      <w:start w:val="1"/>
      <w:numFmt w:val="lowerRoman"/>
      <w:lvlText w:val="%3."/>
      <w:lvlJc w:val="right"/>
      <w:pPr>
        <w:ind w:left="2160" w:hanging="180"/>
      </w:pPr>
    </w:lvl>
    <w:lvl w:ilvl="3" w:tplc="F8743B54" w:tentative="1">
      <w:start w:val="1"/>
      <w:numFmt w:val="decimal"/>
      <w:lvlText w:val="%4."/>
      <w:lvlJc w:val="left"/>
      <w:pPr>
        <w:ind w:left="2880" w:hanging="360"/>
      </w:pPr>
    </w:lvl>
    <w:lvl w:ilvl="4" w:tplc="8B14FBC8" w:tentative="1">
      <w:start w:val="1"/>
      <w:numFmt w:val="lowerLetter"/>
      <w:lvlText w:val="%5."/>
      <w:lvlJc w:val="left"/>
      <w:pPr>
        <w:ind w:left="3600" w:hanging="360"/>
      </w:pPr>
    </w:lvl>
    <w:lvl w:ilvl="5" w:tplc="C9C4E5DC" w:tentative="1">
      <w:start w:val="1"/>
      <w:numFmt w:val="lowerRoman"/>
      <w:lvlText w:val="%6."/>
      <w:lvlJc w:val="right"/>
      <w:pPr>
        <w:ind w:left="4320" w:hanging="180"/>
      </w:pPr>
    </w:lvl>
    <w:lvl w:ilvl="6" w:tplc="C114A366" w:tentative="1">
      <w:start w:val="1"/>
      <w:numFmt w:val="decimal"/>
      <w:lvlText w:val="%7."/>
      <w:lvlJc w:val="left"/>
      <w:pPr>
        <w:ind w:left="5040" w:hanging="360"/>
      </w:pPr>
    </w:lvl>
    <w:lvl w:ilvl="7" w:tplc="120A8E2A" w:tentative="1">
      <w:start w:val="1"/>
      <w:numFmt w:val="lowerLetter"/>
      <w:lvlText w:val="%8."/>
      <w:lvlJc w:val="left"/>
      <w:pPr>
        <w:ind w:left="5760" w:hanging="360"/>
      </w:pPr>
    </w:lvl>
    <w:lvl w:ilvl="8" w:tplc="8DB26366" w:tentative="1">
      <w:start w:val="1"/>
      <w:numFmt w:val="lowerRoman"/>
      <w:lvlText w:val="%9."/>
      <w:lvlJc w:val="right"/>
      <w:pPr>
        <w:ind w:left="6480" w:hanging="180"/>
      </w:pPr>
    </w:lvl>
  </w:abstractNum>
  <w:abstractNum w:abstractNumId="13" w15:restartNumberingAfterBreak="0">
    <w:nsid w:val="1A9468B3"/>
    <w:multiLevelType w:val="hybridMultilevel"/>
    <w:tmpl w:val="8CF8B0D2"/>
    <w:lvl w:ilvl="0" w:tplc="1809000F">
      <w:start w:val="1"/>
      <w:numFmt w:val="decimal"/>
      <w:lvlText w:val="%1."/>
      <w:lvlJc w:val="left"/>
      <w:pPr>
        <w:ind w:left="1627" w:hanging="360"/>
      </w:pPr>
    </w:lvl>
    <w:lvl w:ilvl="1" w:tplc="18090019" w:tentative="1">
      <w:start w:val="1"/>
      <w:numFmt w:val="lowerLetter"/>
      <w:lvlText w:val="%2."/>
      <w:lvlJc w:val="left"/>
      <w:pPr>
        <w:ind w:left="2347" w:hanging="360"/>
      </w:pPr>
    </w:lvl>
    <w:lvl w:ilvl="2" w:tplc="1809001B" w:tentative="1">
      <w:start w:val="1"/>
      <w:numFmt w:val="lowerRoman"/>
      <w:lvlText w:val="%3."/>
      <w:lvlJc w:val="right"/>
      <w:pPr>
        <w:ind w:left="3067" w:hanging="180"/>
      </w:pPr>
    </w:lvl>
    <w:lvl w:ilvl="3" w:tplc="1809000F" w:tentative="1">
      <w:start w:val="1"/>
      <w:numFmt w:val="decimal"/>
      <w:lvlText w:val="%4."/>
      <w:lvlJc w:val="left"/>
      <w:pPr>
        <w:ind w:left="3787" w:hanging="360"/>
      </w:pPr>
    </w:lvl>
    <w:lvl w:ilvl="4" w:tplc="18090019" w:tentative="1">
      <w:start w:val="1"/>
      <w:numFmt w:val="lowerLetter"/>
      <w:lvlText w:val="%5."/>
      <w:lvlJc w:val="left"/>
      <w:pPr>
        <w:ind w:left="4507" w:hanging="360"/>
      </w:pPr>
    </w:lvl>
    <w:lvl w:ilvl="5" w:tplc="1809001B" w:tentative="1">
      <w:start w:val="1"/>
      <w:numFmt w:val="lowerRoman"/>
      <w:lvlText w:val="%6."/>
      <w:lvlJc w:val="right"/>
      <w:pPr>
        <w:ind w:left="5227" w:hanging="180"/>
      </w:pPr>
    </w:lvl>
    <w:lvl w:ilvl="6" w:tplc="1809000F" w:tentative="1">
      <w:start w:val="1"/>
      <w:numFmt w:val="decimal"/>
      <w:lvlText w:val="%7."/>
      <w:lvlJc w:val="left"/>
      <w:pPr>
        <w:ind w:left="5947" w:hanging="360"/>
      </w:pPr>
    </w:lvl>
    <w:lvl w:ilvl="7" w:tplc="18090019" w:tentative="1">
      <w:start w:val="1"/>
      <w:numFmt w:val="lowerLetter"/>
      <w:lvlText w:val="%8."/>
      <w:lvlJc w:val="left"/>
      <w:pPr>
        <w:ind w:left="6667" w:hanging="360"/>
      </w:pPr>
    </w:lvl>
    <w:lvl w:ilvl="8" w:tplc="1809001B" w:tentative="1">
      <w:start w:val="1"/>
      <w:numFmt w:val="lowerRoman"/>
      <w:lvlText w:val="%9."/>
      <w:lvlJc w:val="right"/>
      <w:pPr>
        <w:ind w:left="7387" w:hanging="180"/>
      </w:pPr>
    </w:lvl>
  </w:abstractNum>
  <w:abstractNum w:abstractNumId="14" w15:restartNumberingAfterBreak="0">
    <w:nsid w:val="1CB74CA2"/>
    <w:multiLevelType w:val="hybridMultilevel"/>
    <w:tmpl w:val="6472D074"/>
    <w:lvl w:ilvl="0" w:tplc="D6BA1F5C">
      <w:numFmt w:val="bullet"/>
      <w:lvlText w:val="–"/>
      <w:lvlJc w:val="left"/>
      <w:pPr>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7F6E25A4" w:tentative="1">
      <w:start w:val="1"/>
      <w:numFmt w:val="bullet"/>
      <w:lvlText w:val="o"/>
      <w:lvlJc w:val="left"/>
      <w:pPr>
        <w:ind w:left="1440" w:hanging="360"/>
      </w:pPr>
      <w:rPr>
        <w:rFonts w:ascii="Courier New" w:hAnsi="Courier New" w:cs="Courier New" w:hint="default"/>
      </w:rPr>
    </w:lvl>
    <w:lvl w:ilvl="2" w:tplc="6FAA4662" w:tentative="1">
      <w:start w:val="1"/>
      <w:numFmt w:val="bullet"/>
      <w:lvlText w:val=""/>
      <w:lvlJc w:val="left"/>
      <w:pPr>
        <w:ind w:left="2160" w:hanging="360"/>
      </w:pPr>
      <w:rPr>
        <w:rFonts w:ascii="Wingdings" w:hAnsi="Wingdings" w:hint="default"/>
      </w:rPr>
    </w:lvl>
    <w:lvl w:ilvl="3" w:tplc="98407228" w:tentative="1">
      <w:start w:val="1"/>
      <w:numFmt w:val="bullet"/>
      <w:lvlText w:val=""/>
      <w:lvlJc w:val="left"/>
      <w:pPr>
        <w:ind w:left="2880" w:hanging="360"/>
      </w:pPr>
      <w:rPr>
        <w:rFonts w:ascii="Symbol" w:hAnsi="Symbol" w:hint="default"/>
      </w:rPr>
    </w:lvl>
    <w:lvl w:ilvl="4" w:tplc="C776AD36" w:tentative="1">
      <w:start w:val="1"/>
      <w:numFmt w:val="bullet"/>
      <w:lvlText w:val="o"/>
      <w:lvlJc w:val="left"/>
      <w:pPr>
        <w:ind w:left="3600" w:hanging="360"/>
      </w:pPr>
      <w:rPr>
        <w:rFonts w:ascii="Courier New" w:hAnsi="Courier New" w:cs="Courier New" w:hint="default"/>
      </w:rPr>
    </w:lvl>
    <w:lvl w:ilvl="5" w:tplc="5FCA269C" w:tentative="1">
      <w:start w:val="1"/>
      <w:numFmt w:val="bullet"/>
      <w:lvlText w:val=""/>
      <w:lvlJc w:val="left"/>
      <w:pPr>
        <w:ind w:left="4320" w:hanging="360"/>
      </w:pPr>
      <w:rPr>
        <w:rFonts w:ascii="Wingdings" w:hAnsi="Wingdings" w:hint="default"/>
      </w:rPr>
    </w:lvl>
    <w:lvl w:ilvl="6" w:tplc="B66CF1BC" w:tentative="1">
      <w:start w:val="1"/>
      <w:numFmt w:val="bullet"/>
      <w:lvlText w:val=""/>
      <w:lvlJc w:val="left"/>
      <w:pPr>
        <w:ind w:left="5040" w:hanging="360"/>
      </w:pPr>
      <w:rPr>
        <w:rFonts w:ascii="Symbol" w:hAnsi="Symbol" w:hint="default"/>
      </w:rPr>
    </w:lvl>
    <w:lvl w:ilvl="7" w:tplc="4F780DE2" w:tentative="1">
      <w:start w:val="1"/>
      <w:numFmt w:val="bullet"/>
      <w:lvlText w:val="o"/>
      <w:lvlJc w:val="left"/>
      <w:pPr>
        <w:ind w:left="5760" w:hanging="360"/>
      </w:pPr>
      <w:rPr>
        <w:rFonts w:ascii="Courier New" w:hAnsi="Courier New" w:cs="Courier New" w:hint="default"/>
      </w:rPr>
    </w:lvl>
    <w:lvl w:ilvl="8" w:tplc="E9C00288" w:tentative="1">
      <w:start w:val="1"/>
      <w:numFmt w:val="bullet"/>
      <w:lvlText w:val=""/>
      <w:lvlJc w:val="left"/>
      <w:pPr>
        <w:ind w:left="6480" w:hanging="360"/>
      </w:pPr>
      <w:rPr>
        <w:rFonts w:ascii="Wingdings" w:hAnsi="Wingdings" w:hint="default"/>
      </w:rPr>
    </w:lvl>
  </w:abstractNum>
  <w:abstractNum w:abstractNumId="15" w15:restartNumberingAfterBreak="0">
    <w:nsid w:val="26025F09"/>
    <w:multiLevelType w:val="hybridMultilevel"/>
    <w:tmpl w:val="4BA45C34"/>
    <w:lvl w:ilvl="0" w:tplc="F65CEF92">
      <w:start w:val="1"/>
      <w:numFmt w:val="lowerLetter"/>
      <w:lvlText w:val="%1)"/>
      <w:lvlJc w:val="left"/>
      <w:pPr>
        <w:ind w:left="720" w:hanging="360"/>
      </w:pPr>
      <w:rPr>
        <w:rFonts w:hint="default"/>
      </w:rPr>
    </w:lvl>
    <w:lvl w:ilvl="1" w:tplc="3BC8EC02" w:tentative="1">
      <w:start w:val="1"/>
      <w:numFmt w:val="lowerLetter"/>
      <w:lvlText w:val="%2."/>
      <w:lvlJc w:val="left"/>
      <w:pPr>
        <w:ind w:left="1440" w:hanging="360"/>
      </w:pPr>
    </w:lvl>
    <w:lvl w:ilvl="2" w:tplc="C1600AE6" w:tentative="1">
      <w:start w:val="1"/>
      <w:numFmt w:val="lowerRoman"/>
      <w:lvlText w:val="%3."/>
      <w:lvlJc w:val="right"/>
      <w:pPr>
        <w:ind w:left="2160" w:hanging="180"/>
      </w:pPr>
    </w:lvl>
    <w:lvl w:ilvl="3" w:tplc="98404B36" w:tentative="1">
      <w:start w:val="1"/>
      <w:numFmt w:val="decimal"/>
      <w:lvlText w:val="%4."/>
      <w:lvlJc w:val="left"/>
      <w:pPr>
        <w:ind w:left="2880" w:hanging="360"/>
      </w:pPr>
    </w:lvl>
    <w:lvl w:ilvl="4" w:tplc="EA22E312" w:tentative="1">
      <w:start w:val="1"/>
      <w:numFmt w:val="lowerLetter"/>
      <w:lvlText w:val="%5."/>
      <w:lvlJc w:val="left"/>
      <w:pPr>
        <w:ind w:left="3600" w:hanging="360"/>
      </w:pPr>
    </w:lvl>
    <w:lvl w:ilvl="5" w:tplc="CFEAE064" w:tentative="1">
      <w:start w:val="1"/>
      <w:numFmt w:val="lowerRoman"/>
      <w:lvlText w:val="%6."/>
      <w:lvlJc w:val="right"/>
      <w:pPr>
        <w:ind w:left="4320" w:hanging="180"/>
      </w:pPr>
    </w:lvl>
    <w:lvl w:ilvl="6" w:tplc="08142F70" w:tentative="1">
      <w:start w:val="1"/>
      <w:numFmt w:val="decimal"/>
      <w:lvlText w:val="%7."/>
      <w:lvlJc w:val="left"/>
      <w:pPr>
        <w:ind w:left="5040" w:hanging="360"/>
      </w:pPr>
    </w:lvl>
    <w:lvl w:ilvl="7" w:tplc="63C042C8" w:tentative="1">
      <w:start w:val="1"/>
      <w:numFmt w:val="lowerLetter"/>
      <w:lvlText w:val="%8."/>
      <w:lvlJc w:val="left"/>
      <w:pPr>
        <w:ind w:left="5760" w:hanging="360"/>
      </w:pPr>
    </w:lvl>
    <w:lvl w:ilvl="8" w:tplc="50DEEEAA" w:tentative="1">
      <w:start w:val="1"/>
      <w:numFmt w:val="lowerRoman"/>
      <w:lvlText w:val="%9."/>
      <w:lvlJc w:val="right"/>
      <w:pPr>
        <w:ind w:left="6480" w:hanging="180"/>
      </w:pPr>
    </w:lvl>
  </w:abstractNum>
  <w:abstractNum w:abstractNumId="16" w15:restartNumberingAfterBreak="0">
    <w:nsid w:val="263169F2"/>
    <w:multiLevelType w:val="multilevel"/>
    <w:tmpl w:val="2BC217C8"/>
    <w:lvl w:ilvl="0">
      <w:start w:val="1"/>
      <w:numFmt w:val="decimal"/>
      <w:pStyle w:val="HEADER1Part2"/>
      <w:lvlText w:val="%1."/>
      <w:lvlJc w:val="left"/>
      <w:pPr>
        <w:ind w:left="907" w:hanging="907"/>
      </w:pPr>
      <w:rPr>
        <w:rFonts w:hint="default"/>
      </w:rPr>
    </w:lvl>
    <w:lvl w:ilvl="1">
      <w:start w:val="1"/>
      <w:numFmt w:val="decimal"/>
      <w:pStyle w:val="HEADER2Part2"/>
      <w:lvlText w:val="%1.%2."/>
      <w:lvlJc w:val="left"/>
      <w:pPr>
        <w:ind w:left="907" w:hanging="907"/>
      </w:pPr>
      <w:rPr>
        <w:rFonts w:hint="default"/>
      </w:rPr>
    </w:lvl>
    <w:lvl w:ilvl="2">
      <w:start w:val="1"/>
      <w:numFmt w:val="decimal"/>
      <w:pStyle w:val="HEADER3Part2"/>
      <w:lvlText w:val="%1.%2.%3."/>
      <w:lvlJc w:val="left"/>
      <w:pPr>
        <w:ind w:left="907" w:hanging="907"/>
      </w:pPr>
      <w:rPr>
        <w:rFonts w:hint="default"/>
      </w:rPr>
    </w:lvl>
    <w:lvl w:ilvl="3">
      <w:start w:val="1"/>
      <w:numFmt w:val="decimal"/>
      <w:pStyle w:val="HEADER4Part2"/>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17" w15:restartNumberingAfterBreak="0">
    <w:nsid w:val="2C66070E"/>
    <w:multiLevelType w:val="hybridMultilevel"/>
    <w:tmpl w:val="DC5E9C52"/>
    <w:lvl w:ilvl="0" w:tplc="5492CE8A">
      <w:start w:val="1"/>
      <w:numFmt w:val="bullet"/>
      <w:lvlText w:val="—"/>
      <w:lvlJc w:val="left"/>
      <w:pPr>
        <w:ind w:left="720" w:hanging="360"/>
      </w:pPr>
      <w:rPr>
        <w:rFonts w:ascii="Times New Roman" w:hAnsi="Times New Roman" w:cs="Times New Roman" w:hint="default"/>
      </w:rPr>
    </w:lvl>
    <w:lvl w:ilvl="1" w:tplc="14EA94AE" w:tentative="1">
      <w:start w:val="1"/>
      <w:numFmt w:val="bullet"/>
      <w:lvlText w:val="o"/>
      <w:lvlJc w:val="left"/>
      <w:pPr>
        <w:ind w:left="1440" w:hanging="360"/>
      </w:pPr>
      <w:rPr>
        <w:rFonts w:ascii="Courier New" w:hAnsi="Courier New" w:cs="Courier New" w:hint="default"/>
      </w:rPr>
    </w:lvl>
    <w:lvl w:ilvl="2" w:tplc="4860EC4E" w:tentative="1">
      <w:start w:val="1"/>
      <w:numFmt w:val="bullet"/>
      <w:lvlText w:val=""/>
      <w:lvlJc w:val="left"/>
      <w:pPr>
        <w:ind w:left="2160" w:hanging="360"/>
      </w:pPr>
      <w:rPr>
        <w:rFonts w:ascii="Wingdings" w:hAnsi="Wingdings" w:hint="default"/>
      </w:rPr>
    </w:lvl>
    <w:lvl w:ilvl="3" w:tplc="31666AFC" w:tentative="1">
      <w:start w:val="1"/>
      <w:numFmt w:val="bullet"/>
      <w:lvlText w:val=""/>
      <w:lvlJc w:val="left"/>
      <w:pPr>
        <w:ind w:left="2880" w:hanging="360"/>
      </w:pPr>
      <w:rPr>
        <w:rFonts w:ascii="Symbol" w:hAnsi="Symbol" w:hint="default"/>
      </w:rPr>
    </w:lvl>
    <w:lvl w:ilvl="4" w:tplc="9CBC6218" w:tentative="1">
      <w:start w:val="1"/>
      <w:numFmt w:val="bullet"/>
      <w:lvlText w:val="o"/>
      <w:lvlJc w:val="left"/>
      <w:pPr>
        <w:ind w:left="3600" w:hanging="360"/>
      </w:pPr>
      <w:rPr>
        <w:rFonts w:ascii="Courier New" w:hAnsi="Courier New" w:cs="Courier New" w:hint="default"/>
      </w:rPr>
    </w:lvl>
    <w:lvl w:ilvl="5" w:tplc="A37EBE80" w:tentative="1">
      <w:start w:val="1"/>
      <w:numFmt w:val="bullet"/>
      <w:lvlText w:val=""/>
      <w:lvlJc w:val="left"/>
      <w:pPr>
        <w:ind w:left="4320" w:hanging="360"/>
      </w:pPr>
      <w:rPr>
        <w:rFonts w:ascii="Wingdings" w:hAnsi="Wingdings" w:hint="default"/>
      </w:rPr>
    </w:lvl>
    <w:lvl w:ilvl="6" w:tplc="CAA47320" w:tentative="1">
      <w:start w:val="1"/>
      <w:numFmt w:val="bullet"/>
      <w:lvlText w:val=""/>
      <w:lvlJc w:val="left"/>
      <w:pPr>
        <w:ind w:left="5040" w:hanging="360"/>
      </w:pPr>
      <w:rPr>
        <w:rFonts w:ascii="Symbol" w:hAnsi="Symbol" w:hint="default"/>
      </w:rPr>
    </w:lvl>
    <w:lvl w:ilvl="7" w:tplc="ECCAC370" w:tentative="1">
      <w:start w:val="1"/>
      <w:numFmt w:val="bullet"/>
      <w:lvlText w:val="o"/>
      <w:lvlJc w:val="left"/>
      <w:pPr>
        <w:ind w:left="5760" w:hanging="360"/>
      </w:pPr>
      <w:rPr>
        <w:rFonts w:ascii="Courier New" w:hAnsi="Courier New" w:cs="Courier New" w:hint="default"/>
      </w:rPr>
    </w:lvl>
    <w:lvl w:ilvl="8" w:tplc="2DA22EB4" w:tentative="1">
      <w:start w:val="1"/>
      <w:numFmt w:val="bullet"/>
      <w:lvlText w:val=""/>
      <w:lvlJc w:val="left"/>
      <w:pPr>
        <w:ind w:left="6480" w:hanging="360"/>
      </w:pPr>
      <w:rPr>
        <w:rFonts w:ascii="Wingdings" w:hAnsi="Wingdings" w:hint="default"/>
      </w:rPr>
    </w:lvl>
  </w:abstractNum>
  <w:abstractNum w:abstractNumId="18" w15:restartNumberingAfterBreak="0">
    <w:nsid w:val="2DF123A2"/>
    <w:multiLevelType w:val="multilevel"/>
    <w:tmpl w:val="B2223A56"/>
    <w:lvl w:ilvl="0">
      <w:start w:val="1"/>
      <w:numFmt w:val="decimal"/>
      <w:pStyle w:val="HEADER1Part4"/>
      <w:lvlText w:val="%1."/>
      <w:lvlJc w:val="left"/>
      <w:pPr>
        <w:tabs>
          <w:tab w:val="num" w:pos="907"/>
        </w:tabs>
        <w:ind w:left="907" w:hanging="907"/>
      </w:pPr>
      <w:rPr>
        <w:rFonts w:hint="default"/>
      </w:rPr>
    </w:lvl>
    <w:lvl w:ilvl="1">
      <w:start w:val="1"/>
      <w:numFmt w:val="decimal"/>
      <w:pStyle w:val="HEADER2Part4"/>
      <w:lvlText w:val="%1.%2."/>
      <w:lvlJc w:val="left"/>
      <w:pPr>
        <w:tabs>
          <w:tab w:val="num" w:pos="907"/>
        </w:tabs>
        <w:ind w:left="907" w:hanging="907"/>
      </w:pPr>
      <w:rPr>
        <w:rFonts w:hint="default"/>
      </w:rPr>
    </w:lvl>
    <w:lvl w:ilvl="2">
      <w:start w:val="1"/>
      <w:numFmt w:val="decimal"/>
      <w:pStyle w:val="HEADER3Part4"/>
      <w:lvlText w:val="%1.%2.%3."/>
      <w:lvlJc w:val="left"/>
      <w:pPr>
        <w:tabs>
          <w:tab w:val="num" w:pos="907"/>
        </w:tabs>
        <w:ind w:left="907" w:hanging="907"/>
      </w:pPr>
      <w:rPr>
        <w:rFonts w:hint="default"/>
      </w:rPr>
    </w:lvl>
    <w:lvl w:ilvl="3">
      <w:start w:val="1"/>
      <w:numFmt w:val="decimal"/>
      <w:lvlText w:val="%4."/>
      <w:lvlJc w:val="left"/>
      <w:pPr>
        <w:tabs>
          <w:tab w:val="num" w:pos="907"/>
        </w:tabs>
        <w:ind w:left="907" w:hanging="907"/>
      </w:pPr>
      <w:rPr>
        <w:rFonts w:hint="default"/>
      </w:rPr>
    </w:lvl>
    <w:lvl w:ilvl="4">
      <w:start w:val="1"/>
      <w:numFmt w:val="lowerLetter"/>
      <w:lvlText w:val="%5."/>
      <w:lvlJc w:val="left"/>
      <w:pPr>
        <w:tabs>
          <w:tab w:val="num" w:pos="907"/>
        </w:tabs>
        <w:ind w:left="907" w:hanging="907"/>
      </w:pPr>
      <w:rPr>
        <w:rFonts w:hint="default"/>
      </w:rPr>
    </w:lvl>
    <w:lvl w:ilvl="5">
      <w:start w:val="1"/>
      <w:numFmt w:val="lowerRoman"/>
      <w:lvlText w:val="%6."/>
      <w:lvlJc w:val="right"/>
      <w:pPr>
        <w:tabs>
          <w:tab w:val="num" w:pos="907"/>
        </w:tabs>
        <w:ind w:left="907" w:hanging="907"/>
      </w:pPr>
      <w:rPr>
        <w:rFonts w:hint="default"/>
      </w:rPr>
    </w:lvl>
    <w:lvl w:ilvl="6">
      <w:start w:val="1"/>
      <w:numFmt w:val="decimal"/>
      <w:lvlText w:val="%7."/>
      <w:lvlJc w:val="left"/>
      <w:pPr>
        <w:tabs>
          <w:tab w:val="num" w:pos="907"/>
        </w:tabs>
        <w:ind w:left="907" w:hanging="907"/>
      </w:pPr>
      <w:rPr>
        <w:rFonts w:hint="default"/>
      </w:rPr>
    </w:lvl>
    <w:lvl w:ilvl="7">
      <w:start w:val="1"/>
      <w:numFmt w:val="lowerLetter"/>
      <w:lvlText w:val="%8."/>
      <w:lvlJc w:val="left"/>
      <w:pPr>
        <w:tabs>
          <w:tab w:val="num" w:pos="907"/>
        </w:tabs>
        <w:ind w:left="907" w:hanging="907"/>
      </w:pPr>
      <w:rPr>
        <w:rFonts w:hint="default"/>
      </w:rPr>
    </w:lvl>
    <w:lvl w:ilvl="8">
      <w:start w:val="1"/>
      <w:numFmt w:val="lowerRoman"/>
      <w:lvlText w:val="%9."/>
      <w:lvlJc w:val="right"/>
      <w:pPr>
        <w:tabs>
          <w:tab w:val="num" w:pos="907"/>
        </w:tabs>
        <w:ind w:left="907" w:hanging="907"/>
      </w:pPr>
      <w:rPr>
        <w:rFonts w:hint="default"/>
      </w:rPr>
    </w:lvl>
  </w:abstractNum>
  <w:abstractNum w:abstractNumId="19" w15:restartNumberingAfterBreak="0">
    <w:nsid w:val="31D31BBD"/>
    <w:multiLevelType w:val="hybridMultilevel"/>
    <w:tmpl w:val="AB545582"/>
    <w:lvl w:ilvl="0" w:tplc="9CAE42B6">
      <w:start w:val="1"/>
      <w:numFmt w:val="bullet"/>
      <w:pStyle w:val="Textstand-alonebulletpointJustified"/>
      <w:lvlText w:val=""/>
      <w:lvlJc w:val="left"/>
      <w:pPr>
        <w:ind w:left="1080" w:hanging="360"/>
      </w:pPr>
      <w:rPr>
        <w:rFonts w:ascii="Verdana" w:hAnsi="Verdana" w:hint="default"/>
      </w:rPr>
    </w:lvl>
    <w:lvl w:ilvl="1" w:tplc="C97627B2" w:tentative="1">
      <w:start w:val="1"/>
      <w:numFmt w:val="bullet"/>
      <w:lvlText w:val="o"/>
      <w:lvlJc w:val="left"/>
      <w:pPr>
        <w:ind w:left="1800" w:hanging="360"/>
      </w:pPr>
      <w:rPr>
        <w:rFonts w:ascii="Courier New" w:hAnsi="Courier New" w:cs="Courier New" w:hint="default"/>
      </w:rPr>
    </w:lvl>
    <w:lvl w:ilvl="2" w:tplc="50707086" w:tentative="1">
      <w:start w:val="1"/>
      <w:numFmt w:val="bullet"/>
      <w:lvlText w:val=""/>
      <w:lvlJc w:val="left"/>
      <w:pPr>
        <w:ind w:left="2520" w:hanging="360"/>
      </w:pPr>
      <w:rPr>
        <w:rFonts w:ascii="Wingdings" w:hAnsi="Wingdings" w:hint="default"/>
      </w:rPr>
    </w:lvl>
    <w:lvl w:ilvl="3" w:tplc="2C48131C" w:tentative="1">
      <w:start w:val="1"/>
      <w:numFmt w:val="bullet"/>
      <w:lvlText w:val=""/>
      <w:lvlJc w:val="left"/>
      <w:pPr>
        <w:ind w:left="3240" w:hanging="360"/>
      </w:pPr>
      <w:rPr>
        <w:rFonts w:ascii="Symbol" w:hAnsi="Symbol" w:hint="default"/>
      </w:rPr>
    </w:lvl>
    <w:lvl w:ilvl="4" w:tplc="8DFA528C" w:tentative="1">
      <w:start w:val="1"/>
      <w:numFmt w:val="bullet"/>
      <w:lvlText w:val="o"/>
      <w:lvlJc w:val="left"/>
      <w:pPr>
        <w:ind w:left="3960" w:hanging="360"/>
      </w:pPr>
      <w:rPr>
        <w:rFonts w:ascii="Courier New" w:hAnsi="Courier New" w:cs="Courier New" w:hint="default"/>
      </w:rPr>
    </w:lvl>
    <w:lvl w:ilvl="5" w:tplc="311C6796" w:tentative="1">
      <w:start w:val="1"/>
      <w:numFmt w:val="bullet"/>
      <w:lvlText w:val=""/>
      <w:lvlJc w:val="left"/>
      <w:pPr>
        <w:ind w:left="4680" w:hanging="360"/>
      </w:pPr>
      <w:rPr>
        <w:rFonts w:ascii="Wingdings" w:hAnsi="Wingdings" w:hint="default"/>
      </w:rPr>
    </w:lvl>
    <w:lvl w:ilvl="6" w:tplc="53C8B0F8" w:tentative="1">
      <w:start w:val="1"/>
      <w:numFmt w:val="bullet"/>
      <w:lvlText w:val=""/>
      <w:lvlJc w:val="left"/>
      <w:pPr>
        <w:ind w:left="5400" w:hanging="360"/>
      </w:pPr>
      <w:rPr>
        <w:rFonts w:ascii="Symbol" w:hAnsi="Symbol" w:hint="default"/>
      </w:rPr>
    </w:lvl>
    <w:lvl w:ilvl="7" w:tplc="A2DE8EE0" w:tentative="1">
      <w:start w:val="1"/>
      <w:numFmt w:val="bullet"/>
      <w:lvlText w:val="o"/>
      <w:lvlJc w:val="left"/>
      <w:pPr>
        <w:ind w:left="6120" w:hanging="360"/>
      </w:pPr>
      <w:rPr>
        <w:rFonts w:ascii="Courier New" w:hAnsi="Courier New" w:cs="Courier New" w:hint="default"/>
      </w:rPr>
    </w:lvl>
    <w:lvl w:ilvl="8" w:tplc="CC8A702E" w:tentative="1">
      <w:start w:val="1"/>
      <w:numFmt w:val="bullet"/>
      <w:lvlText w:val=""/>
      <w:lvlJc w:val="left"/>
      <w:pPr>
        <w:ind w:left="6840" w:hanging="360"/>
      </w:pPr>
      <w:rPr>
        <w:rFonts w:ascii="Wingdings" w:hAnsi="Wingdings" w:hint="default"/>
      </w:rPr>
    </w:lvl>
  </w:abstractNum>
  <w:abstractNum w:abstractNumId="20" w15:restartNumberingAfterBreak="0">
    <w:nsid w:val="32D42B03"/>
    <w:multiLevelType w:val="hybridMultilevel"/>
    <w:tmpl w:val="87765D70"/>
    <w:lvl w:ilvl="0" w:tplc="F0B01DAA">
      <w:start w:val="1"/>
      <w:numFmt w:val="decimal"/>
      <w:lvlText w:val="%1)"/>
      <w:lvlJc w:val="left"/>
      <w:pPr>
        <w:ind w:left="720" w:hanging="360"/>
      </w:pPr>
    </w:lvl>
    <w:lvl w:ilvl="1" w:tplc="5F5E2DDE" w:tentative="1">
      <w:start w:val="1"/>
      <w:numFmt w:val="lowerLetter"/>
      <w:lvlText w:val="%2."/>
      <w:lvlJc w:val="left"/>
      <w:pPr>
        <w:ind w:left="1440" w:hanging="360"/>
      </w:pPr>
    </w:lvl>
    <w:lvl w:ilvl="2" w:tplc="116464F2" w:tentative="1">
      <w:start w:val="1"/>
      <w:numFmt w:val="lowerRoman"/>
      <w:lvlText w:val="%3."/>
      <w:lvlJc w:val="right"/>
      <w:pPr>
        <w:ind w:left="2160" w:hanging="180"/>
      </w:pPr>
    </w:lvl>
    <w:lvl w:ilvl="3" w:tplc="11F672D8" w:tentative="1">
      <w:start w:val="1"/>
      <w:numFmt w:val="decimal"/>
      <w:lvlText w:val="%4."/>
      <w:lvlJc w:val="left"/>
      <w:pPr>
        <w:ind w:left="2880" w:hanging="360"/>
      </w:pPr>
    </w:lvl>
    <w:lvl w:ilvl="4" w:tplc="37FAF2FE" w:tentative="1">
      <w:start w:val="1"/>
      <w:numFmt w:val="lowerLetter"/>
      <w:lvlText w:val="%5."/>
      <w:lvlJc w:val="left"/>
      <w:pPr>
        <w:ind w:left="3600" w:hanging="360"/>
      </w:pPr>
    </w:lvl>
    <w:lvl w:ilvl="5" w:tplc="94E80274" w:tentative="1">
      <w:start w:val="1"/>
      <w:numFmt w:val="lowerRoman"/>
      <w:lvlText w:val="%6."/>
      <w:lvlJc w:val="right"/>
      <w:pPr>
        <w:ind w:left="4320" w:hanging="180"/>
      </w:pPr>
    </w:lvl>
    <w:lvl w:ilvl="6" w:tplc="89CA8E6E" w:tentative="1">
      <w:start w:val="1"/>
      <w:numFmt w:val="decimal"/>
      <w:lvlText w:val="%7."/>
      <w:lvlJc w:val="left"/>
      <w:pPr>
        <w:ind w:left="5040" w:hanging="360"/>
      </w:pPr>
    </w:lvl>
    <w:lvl w:ilvl="7" w:tplc="8DB25BE4" w:tentative="1">
      <w:start w:val="1"/>
      <w:numFmt w:val="lowerLetter"/>
      <w:lvlText w:val="%8."/>
      <w:lvlJc w:val="left"/>
      <w:pPr>
        <w:ind w:left="5760" w:hanging="360"/>
      </w:pPr>
    </w:lvl>
    <w:lvl w:ilvl="8" w:tplc="B2FAB794" w:tentative="1">
      <w:start w:val="1"/>
      <w:numFmt w:val="lowerRoman"/>
      <w:lvlText w:val="%9."/>
      <w:lvlJc w:val="right"/>
      <w:pPr>
        <w:ind w:left="6480" w:hanging="180"/>
      </w:pPr>
    </w:lvl>
  </w:abstractNum>
  <w:abstractNum w:abstractNumId="21" w15:restartNumberingAfterBreak="0">
    <w:nsid w:val="4B74719E"/>
    <w:multiLevelType w:val="hybridMultilevel"/>
    <w:tmpl w:val="F10A96E4"/>
    <w:lvl w:ilvl="0" w:tplc="8FDED830">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5D530BC2"/>
    <w:multiLevelType w:val="hybridMultilevel"/>
    <w:tmpl w:val="16785826"/>
    <w:lvl w:ilvl="0" w:tplc="77A6B6FE">
      <w:start w:val="1"/>
      <w:numFmt w:val="bullet"/>
      <w:lvlText w:val=""/>
      <w:lvlJc w:val="left"/>
      <w:pPr>
        <w:ind w:left="720" w:hanging="360"/>
      </w:pPr>
      <w:rPr>
        <w:rFonts w:ascii="Symbol" w:hAnsi="Symbol" w:hint="default"/>
      </w:rPr>
    </w:lvl>
    <w:lvl w:ilvl="1" w:tplc="BC4A1A78" w:tentative="1">
      <w:start w:val="1"/>
      <w:numFmt w:val="bullet"/>
      <w:lvlText w:val="o"/>
      <w:lvlJc w:val="left"/>
      <w:pPr>
        <w:ind w:left="1440" w:hanging="360"/>
      </w:pPr>
      <w:rPr>
        <w:rFonts w:ascii="Courier New" w:hAnsi="Courier New" w:cs="Courier New" w:hint="default"/>
      </w:rPr>
    </w:lvl>
    <w:lvl w:ilvl="2" w:tplc="B3041970" w:tentative="1">
      <w:start w:val="1"/>
      <w:numFmt w:val="bullet"/>
      <w:lvlText w:val=""/>
      <w:lvlJc w:val="left"/>
      <w:pPr>
        <w:ind w:left="2160" w:hanging="360"/>
      </w:pPr>
      <w:rPr>
        <w:rFonts w:ascii="Wingdings" w:hAnsi="Wingdings" w:hint="default"/>
      </w:rPr>
    </w:lvl>
    <w:lvl w:ilvl="3" w:tplc="2B4C7900" w:tentative="1">
      <w:start w:val="1"/>
      <w:numFmt w:val="bullet"/>
      <w:lvlText w:val=""/>
      <w:lvlJc w:val="left"/>
      <w:pPr>
        <w:ind w:left="2880" w:hanging="360"/>
      </w:pPr>
      <w:rPr>
        <w:rFonts w:ascii="Symbol" w:hAnsi="Symbol" w:hint="default"/>
      </w:rPr>
    </w:lvl>
    <w:lvl w:ilvl="4" w:tplc="8CA8883A" w:tentative="1">
      <w:start w:val="1"/>
      <w:numFmt w:val="bullet"/>
      <w:lvlText w:val="o"/>
      <w:lvlJc w:val="left"/>
      <w:pPr>
        <w:ind w:left="3600" w:hanging="360"/>
      </w:pPr>
      <w:rPr>
        <w:rFonts w:ascii="Courier New" w:hAnsi="Courier New" w:cs="Courier New" w:hint="default"/>
      </w:rPr>
    </w:lvl>
    <w:lvl w:ilvl="5" w:tplc="8F9CE9BE" w:tentative="1">
      <w:start w:val="1"/>
      <w:numFmt w:val="bullet"/>
      <w:lvlText w:val=""/>
      <w:lvlJc w:val="left"/>
      <w:pPr>
        <w:ind w:left="4320" w:hanging="360"/>
      </w:pPr>
      <w:rPr>
        <w:rFonts w:ascii="Wingdings" w:hAnsi="Wingdings" w:hint="default"/>
      </w:rPr>
    </w:lvl>
    <w:lvl w:ilvl="6" w:tplc="CC88025A" w:tentative="1">
      <w:start w:val="1"/>
      <w:numFmt w:val="bullet"/>
      <w:lvlText w:val=""/>
      <w:lvlJc w:val="left"/>
      <w:pPr>
        <w:ind w:left="5040" w:hanging="360"/>
      </w:pPr>
      <w:rPr>
        <w:rFonts w:ascii="Symbol" w:hAnsi="Symbol" w:hint="default"/>
      </w:rPr>
    </w:lvl>
    <w:lvl w:ilvl="7" w:tplc="A088ED88" w:tentative="1">
      <w:start w:val="1"/>
      <w:numFmt w:val="bullet"/>
      <w:lvlText w:val="o"/>
      <w:lvlJc w:val="left"/>
      <w:pPr>
        <w:ind w:left="5760" w:hanging="360"/>
      </w:pPr>
      <w:rPr>
        <w:rFonts w:ascii="Courier New" w:hAnsi="Courier New" w:cs="Courier New" w:hint="default"/>
      </w:rPr>
    </w:lvl>
    <w:lvl w:ilvl="8" w:tplc="222A08E0" w:tentative="1">
      <w:start w:val="1"/>
      <w:numFmt w:val="bullet"/>
      <w:lvlText w:val=""/>
      <w:lvlJc w:val="left"/>
      <w:pPr>
        <w:ind w:left="6480" w:hanging="360"/>
      </w:pPr>
      <w:rPr>
        <w:rFonts w:ascii="Wingdings" w:hAnsi="Wingdings" w:hint="default"/>
      </w:rPr>
    </w:lvl>
  </w:abstractNum>
  <w:abstractNum w:abstractNumId="23" w15:restartNumberingAfterBreak="0">
    <w:nsid w:val="5EA07653"/>
    <w:multiLevelType w:val="hybridMultilevel"/>
    <w:tmpl w:val="549C48F2"/>
    <w:lvl w:ilvl="0" w:tplc="102232EE">
      <w:start w:val="1"/>
      <w:numFmt w:val="bullet"/>
      <w:pStyle w:val="Textstand-aloneBulletpoint"/>
      <w:lvlText w:val="-"/>
      <w:lvlJc w:val="left"/>
      <w:pPr>
        <w:ind w:left="1080" w:hanging="360"/>
      </w:pPr>
      <w:rPr>
        <w:rFonts w:ascii="Verdana" w:hAnsi="Verdana" w:hint="default"/>
      </w:rPr>
    </w:lvl>
    <w:lvl w:ilvl="1" w:tplc="2DFA2AEE" w:tentative="1">
      <w:start w:val="1"/>
      <w:numFmt w:val="bullet"/>
      <w:lvlText w:val="o"/>
      <w:lvlJc w:val="left"/>
      <w:pPr>
        <w:ind w:left="1800" w:hanging="360"/>
      </w:pPr>
      <w:rPr>
        <w:rFonts w:ascii="Courier New" w:hAnsi="Courier New" w:cs="Courier New" w:hint="default"/>
      </w:rPr>
    </w:lvl>
    <w:lvl w:ilvl="2" w:tplc="6CDCC25E" w:tentative="1">
      <w:start w:val="1"/>
      <w:numFmt w:val="bullet"/>
      <w:lvlText w:val=""/>
      <w:lvlJc w:val="left"/>
      <w:pPr>
        <w:ind w:left="2520" w:hanging="360"/>
      </w:pPr>
      <w:rPr>
        <w:rFonts w:ascii="Wingdings" w:hAnsi="Wingdings" w:hint="default"/>
      </w:rPr>
    </w:lvl>
    <w:lvl w:ilvl="3" w:tplc="28D4C392" w:tentative="1">
      <w:start w:val="1"/>
      <w:numFmt w:val="bullet"/>
      <w:lvlText w:val=""/>
      <w:lvlJc w:val="left"/>
      <w:pPr>
        <w:ind w:left="3240" w:hanging="360"/>
      </w:pPr>
      <w:rPr>
        <w:rFonts w:ascii="Symbol" w:hAnsi="Symbol" w:hint="default"/>
      </w:rPr>
    </w:lvl>
    <w:lvl w:ilvl="4" w:tplc="48961B18" w:tentative="1">
      <w:start w:val="1"/>
      <w:numFmt w:val="bullet"/>
      <w:lvlText w:val="o"/>
      <w:lvlJc w:val="left"/>
      <w:pPr>
        <w:ind w:left="3960" w:hanging="360"/>
      </w:pPr>
      <w:rPr>
        <w:rFonts w:ascii="Courier New" w:hAnsi="Courier New" w:cs="Courier New" w:hint="default"/>
      </w:rPr>
    </w:lvl>
    <w:lvl w:ilvl="5" w:tplc="CF3A8024" w:tentative="1">
      <w:start w:val="1"/>
      <w:numFmt w:val="bullet"/>
      <w:lvlText w:val=""/>
      <w:lvlJc w:val="left"/>
      <w:pPr>
        <w:ind w:left="4680" w:hanging="360"/>
      </w:pPr>
      <w:rPr>
        <w:rFonts w:ascii="Wingdings" w:hAnsi="Wingdings" w:hint="default"/>
      </w:rPr>
    </w:lvl>
    <w:lvl w:ilvl="6" w:tplc="7B0AB2A4" w:tentative="1">
      <w:start w:val="1"/>
      <w:numFmt w:val="bullet"/>
      <w:lvlText w:val=""/>
      <w:lvlJc w:val="left"/>
      <w:pPr>
        <w:ind w:left="5400" w:hanging="360"/>
      </w:pPr>
      <w:rPr>
        <w:rFonts w:ascii="Symbol" w:hAnsi="Symbol" w:hint="default"/>
      </w:rPr>
    </w:lvl>
    <w:lvl w:ilvl="7" w:tplc="AEF47BA2" w:tentative="1">
      <w:start w:val="1"/>
      <w:numFmt w:val="bullet"/>
      <w:lvlText w:val="o"/>
      <w:lvlJc w:val="left"/>
      <w:pPr>
        <w:ind w:left="6120" w:hanging="360"/>
      </w:pPr>
      <w:rPr>
        <w:rFonts w:ascii="Courier New" w:hAnsi="Courier New" w:cs="Courier New" w:hint="default"/>
      </w:rPr>
    </w:lvl>
    <w:lvl w:ilvl="8" w:tplc="8C60A14E" w:tentative="1">
      <w:start w:val="1"/>
      <w:numFmt w:val="bullet"/>
      <w:lvlText w:val=""/>
      <w:lvlJc w:val="left"/>
      <w:pPr>
        <w:ind w:left="6840" w:hanging="360"/>
      </w:pPr>
      <w:rPr>
        <w:rFonts w:ascii="Wingdings" w:hAnsi="Wingdings" w:hint="default"/>
      </w:rPr>
    </w:lvl>
  </w:abstractNum>
  <w:abstractNum w:abstractNumId="24" w15:restartNumberingAfterBreak="0">
    <w:nsid w:val="6BD64ED0"/>
    <w:multiLevelType w:val="hybridMultilevel"/>
    <w:tmpl w:val="FA1EE082"/>
    <w:lvl w:ilvl="0" w:tplc="8B42F202">
      <w:numFmt w:val="bullet"/>
      <w:pStyle w:val="DGTextstand-alonedashesjustified"/>
      <w:lvlText w:val="—"/>
      <w:lvlJc w:val="left"/>
      <w:pPr>
        <w:ind w:left="720" w:hanging="360"/>
      </w:pPr>
      <w:rPr>
        <w:rFonts w:ascii="Times New Roman" w:eastAsiaTheme="minorHAnsi" w:hAnsi="Times New Roman" w:cs="Times New Roman" w:hint="default"/>
      </w:rPr>
    </w:lvl>
    <w:lvl w:ilvl="1" w:tplc="BC78F5DE" w:tentative="1">
      <w:start w:val="1"/>
      <w:numFmt w:val="bullet"/>
      <w:lvlText w:val="o"/>
      <w:lvlJc w:val="left"/>
      <w:pPr>
        <w:ind w:left="1440" w:hanging="360"/>
      </w:pPr>
      <w:rPr>
        <w:rFonts w:ascii="Courier New" w:hAnsi="Courier New" w:cs="Courier New" w:hint="default"/>
      </w:rPr>
    </w:lvl>
    <w:lvl w:ilvl="2" w:tplc="EDEAC2A8" w:tentative="1">
      <w:start w:val="1"/>
      <w:numFmt w:val="bullet"/>
      <w:lvlText w:val=""/>
      <w:lvlJc w:val="left"/>
      <w:pPr>
        <w:ind w:left="2160" w:hanging="360"/>
      </w:pPr>
      <w:rPr>
        <w:rFonts w:ascii="Wingdings" w:hAnsi="Wingdings" w:hint="default"/>
      </w:rPr>
    </w:lvl>
    <w:lvl w:ilvl="3" w:tplc="543049E6" w:tentative="1">
      <w:start w:val="1"/>
      <w:numFmt w:val="bullet"/>
      <w:lvlText w:val=""/>
      <w:lvlJc w:val="left"/>
      <w:pPr>
        <w:ind w:left="2880" w:hanging="360"/>
      </w:pPr>
      <w:rPr>
        <w:rFonts w:ascii="Symbol" w:hAnsi="Symbol" w:hint="default"/>
      </w:rPr>
    </w:lvl>
    <w:lvl w:ilvl="4" w:tplc="5CA82CD8" w:tentative="1">
      <w:start w:val="1"/>
      <w:numFmt w:val="bullet"/>
      <w:lvlText w:val="o"/>
      <w:lvlJc w:val="left"/>
      <w:pPr>
        <w:ind w:left="3600" w:hanging="360"/>
      </w:pPr>
      <w:rPr>
        <w:rFonts w:ascii="Courier New" w:hAnsi="Courier New" w:cs="Courier New" w:hint="default"/>
      </w:rPr>
    </w:lvl>
    <w:lvl w:ilvl="5" w:tplc="CE3C92F8" w:tentative="1">
      <w:start w:val="1"/>
      <w:numFmt w:val="bullet"/>
      <w:lvlText w:val=""/>
      <w:lvlJc w:val="left"/>
      <w:pPr>
        <w:ind w:left="4320" w:hanging="360"/>
      </w:pPr>
      <w:rPr>
        <w:rFonts w:ascii="Wingdings" w:hAnsi="Wingdings" w:hint="default"/>
      </w:rPr>
    </w:lvl>
    <w:lvl w:ilvl="6" w:tplc="C9F43E80" w:tentative="1">
      <w:start w:val="1"/>
      <w:numFmt w:val="bullet"/>
      <w:lvlText w:val=""/>
      <w:lvlJc w:val="left"/>
      <w:pPr>
        <w:ind w:left="5040" w:hanging="360"/>
      </w:pPr>
      <w:rPr>
        <w:rFonts w:ascii="Symbol" w:hAnsi="Symbol" w:hint="default"/>
      </w:rPr>
    </w:lvl>
    <w:lvl w:ilvl="7" w:tplc="FE4AFE5C" w:tentative="1">
      <w:start w:val="1"/>
      <w:numFmt w:val="bullet"/>
      <w:lvlText w:val="o"/>
      <w:lvlJc w:val="left"/>
      <w:pPr>
        <w:ind w:left="5760" w:hanging="360"/>
      </w:pPr>
      <w:rPr>
        <w:rFonts w:ascii="Courier New" w:hAnsi="Courier New" w:cs="Courier New" w:hint="default"/>
      </w:rPr>
    </w:lvl>
    <w:lvl w:ilvl="8" w:tplc="A0BE4A62" w:tentative="1">
      <w:start w:val="1"/>
      <w:numFmt w:val="bullet"/>
      <w:lvlText w:val=""/>
      <w:lvlJc w:val="left"/>
      <w:pPr>
        <w:ind w:left="6480" w:hanging="360"/>
      </w:pPr>
      <w:rPr>
        <w:rFonts w:ascii="Wingdings" w:hAnsi="Wingdings" w:hint="default"/>
      </w:rPr>
    </w:lvl>
  </w:abstractNum>
  <w:abstractNum w:abstractNumId="25" w15:restartNumberingAfterBreak="0">
    <w:nsid w:val="6F351A53"/>
    <w:multiLevelType w:val="hybridMultilevel"/>
    <w:tmpl w:val="A22E4046"/>
    <w:lvl w:ilvl="0" w:tplc="D61A6140">
      <w:start w:val="1"/>
      <w:numFmt w:val="lowerRoman"/>
      <w:pStyle w:val="Textstand-alonenumberingRCIndentJustified"/>
      <w:lvlText w:val="(%1)"/>
      <w:lvlJc w:val="left"/>
      <w:pPr>
        <w:ind w:left="720" w:hanging="360"/>
      </w:pPr>
      <w:rPr>
        <w:rFonts w:hint="default"/>
      </w:rPr>
    </w:lvl>
    <w:lvl w:ilvl="1" w:tplc="6E120B3C" w:tentative="1">
      <w:start w:val="1"/>
      <w:numFmt w:val="lowerLetter"/>
      <w:lvlText w:val="%2."/>
      <w:lvlJc w:val="left"/>
      <w:pPr>
        <w:ind w:left="1440" w:hanging="360"/>
      </w:pPr>
    </w:lvl>
    <w:lvl w:ilvl="2" w:tplc="467ED7A2" w:tentative="1">
      <w:start w:val="1"/>
      <w:numFmt w:val="lowerRoman"/>
      <w:lvlText w:val="%3."/>
      <w:lvlJc w:val="right"/>
      <w:pPr>
        <w:ind w:left="2160" w:hanging="180"/>
      </w:pPr>
    </w:lvl>
    <w:lvl w:ilvl="3" w:tplc="E2EE480E" w:tentative="1">
      <w:start w:val="1"/>
      <w:numFmt w:val="decimal"/>
      <w:lvlText w:val="%4."/>
      <w:lvlJc w:val="left"/>
      <w:pPr>
        <w:ind w:left="2880" w:hanging="360"/>
      </w:pPr>
    </w:lvl>
    <w:lvl w:ilvl="4" w:tplc="D686814A" w:tentative="1">
      <w:start w:val="1"/>
      <w:numFmt w:val="lowerLetter"/>
      <w:lvlText w:val="%5."/>
      <w:lvlJc w:val="left"/>
      <w:pPr>
        <w:ind w:left="3600" w:hanging="360"/>
      </w:pPr>
    </w:lvl>
    <w:lvl w:ilvl="5" w:tplc="90187BE0" w:tentative="1">
      <w:start w:val="1"/>
      <w:numFmt w:val="lowerRoman"/>
      <w:lvlText w:val="%6."/>
      <w:lvlJc w:val="right"/>
      <w:pPr>
        <w:ind w:left="4320" w:hanging="180"/>
      </w:pPr>
    </w:lvl>
    <w:lvl w:ilvl="6" w:tplc="D730E10C" w:tentative="1">
      <w:start w:val="1"/>
      <w:numFmt w:val="decimal"/>
      <w:lvlText w:val="%7."/>
      <w:lvlJc w:val="left"/>
      <w:pPr>
        <w:ind w:left="5040" w:hanging="360"/>
      </w:pPr>
    </w:lvl>
    <w:lvl w:ilvl="7" w:tplc="3D5658A8" w:tentative="1">
      <w:start w:val="1"/>
      <w:numFmt w:val="lowerLetter"/>
      <w:lvlText w:val="%8."/>
      <w:lvlJc w:val="left"/>
      <w:pPr>
        <w:ind w:left="5760" w:hanging="360"/>
      </w:pPr>
    </w:lvl>
    <w:lvl w:ilvl="8" w:tplc="9E3AA63A" w:tentative="1">
      <w:start w:val="1"/>
      <w:numFmt w:val="lowerRoman"/>
      <w:lvlText w:val="%9."/>
      <w:lvlJc w:val="right"/>
      <w:pPr>
        <w:ind w:left="6480" w:hanging="180"/>
      </w:pPr>
    </w:lvl>
  </w:abstractNum>
  <w:abstractNum w:abstractNumId="26" w15:restartNumberingAfterBreak="0">
    <w:nsid w:val="6F351A55"/>
    <w:multiLevelType w:val="hybridMultilevel"/>
    <w:tmpl w:val="1B526418"/>
    <w:lvl w:ilvl="0" w:tplc="EA28825E">
      <w:numFmt w:val="bullet"/>
      <w:lvlText w:val="–"/>
      <w:lvlJc w:val="left"/>
      <w:pPr>
        <w:tabs>
          <w:tab w:val="num" w:pos="0"/>
        </w:tabs>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ED4AEBF8">
      <w:start w:val="1"/>
      <w:numFmt w:val="bullet"/>
      <w:lvlText w:val="o"/>
      <w:lvlJc w:val="left"/>
      <w:pPr>
        <w:ind w:left="1440" w:hanging="360"/>
      </w:pPr>
      <w:rPr>
        <w:rFonts w:ascii="Courier New" w:hAnsi="Courier New" w:cs="Courier New" w:hint="default"/>
      </w:rPr>
    </w:lvl>
    <w:lvl w:ilvl="2" w:tplc="1AFCC048" w:tentative="1">
      <w:start w:val="1"/>
      <w:numFmt w:val="bullet"/>
      <w:lvlText w:val=""/>
      <w:lvlJc w:val="left"/>
      <w:pPr>
        <w:ind w:left="2160" w:hanging="360"/>
      </w:pPr>
      <w:rPr>
        <w:rFonts w:ascii="Wingdings" w:hAnsi="Wingdings" w:hint="default"/>
      </w:rPr>
    </w:lvl>
    <w:lvl w:ilvl="3" w:tplc="3296F430" w:tentative="1">
      <w:start w:val="1"/>
      <w:numFmt w:val="bullet"/>
      <w:lvlText w:val=""/>
      <w:lvlJc w:val="left"/>
      <w:pPr>
        <w:ind w:left="2880" w:hanging="360"/>
      </w:pPr>
      <w:rPr>
        <w:rFonts w:ascii="Symbol" w:hAnsi="Symbol" w:hint="default"/>
      </w:rPr>
    </w:lvl>
    <w:lvl w:ilvl="4" w:tplc="7A8476D8" w:tentative="1">
      <w:start w:val="1"/>
      <w:numFmt w:val="bullet"/>
      <w:lvlText w:val="o"/>
      <w:lvlJc w:val="left"/>
      <w:pPr>
        <w:ind w:left="3600" w:hanging="360"/>
      </w:pPr>
      <w:rPr>
        <w:rFonts w:ascii="Courier New" w:hAnsi="Courier New" w:cs="Courier New" w:hint="default"/>
      </w:rPr>
    </w:lvl>
    <w:lvl w:ilvl="5" w:tplc="DA44F5E2" w:tentative="1">
      <w:start w:val="1"/>
      <w:numFmt w:val="bullet"/>
      <w:lvlText w:val=""/>
      <w:lvlJc w:val="left"/>
      <w:pPr>
        <w:ind w:left="4320" w:hanging="360"/>
      </w:pPr>
      <w:rPr>
        <w:rFonts w:ascii="Wingdings" w:hAnsi="Wingdings" w:hint="default"/>
      </w:rPr>
    </w:lvl>
    <w:lvl w:ilvl="6" w:tplc="88E64F5E" w:tentative="1">
      <w:start w:val="1"/>
      <w:numFmt w:val="bullet"/>
      <w:lvlText w:val=""/>
      <w:lvlJc w:val="left"/>
      <w:pPr>
        <w:ind w:left="5040" w:hanging="360"/>
      </w:pPr>
      <w:rPr>
        <w:rFonts w:ascii="Symbol" w:hAnsi="Symbol" w:hint="default"/>
      </w:rPr>
    </w:lvl>
    <w:lvl w:ilvl="7" w:tplc="3CA4C034" w:tentative="1">
      <w:start w:val="1"/>
      <w:numFmt w:val="bullet"/>
      <w:lvlText w:val="o"/>
      <w:lvlJc w:val="left"/>
      <w:pPr>
        <w:ind w:left="5760" w:hanging="360"/>
      </w:pPr>
      <w:rPr>
        <w:rFonts w:ascii="Courier New" w:hAnsi="Courier New" w:cs="Courier New" w:hint="default"/>
      </w:rPr>
    </w:lvl>
    <w:lvl w:ilvl="8" w:tplc="4056B1FE" w:tentative="1">
      <w:start w:val="1"/>
      <w:numFmt w:val="bullet"/>
      <w:lvlText w:val=""/>
      <w:lvlJc w:val="left"/>
      <w:pPr>
        <w:ind w:left="6480" w:hanging="360"/>
      </w:pPr>
      <w:rPr>
        <w:rFonts w:ascii="Wingdings" w:hAnsi="Wingdings" w:hint="default"/>
      </w:rPr>
    </w:lvl>
  </w:abstractNum>
  <w:abstractNum w:abstractNumId="27" w15:restartNumberingAfterBreak="0">
    <w:nsid w:val="7BA70C96"/>
    <w:multiLevelType w:val="hybridMultilevel"/>
    <w:tmpl w:val="2D52107C"/>
    <w:lvl w:ilvl="0" w:tplc="0CF20E8C">
      <w:start w:val="1"/>
      <w:numFmt w:val="lowerLetter"/>
      <w:lvlText w:val="(%1)"/>
      <w:lvlJc w:val="left"/>
      <w:pPr>
        <w:ind w:left="720" w:hanging="360"/>
      </w:pPr>
      <w:rPr>
        <w:rFonts w:hint="default"/>
      </w:rPr>
    </w:lvl>
    <w:lvl w:ilvl="1" w:tplc="7A9A0C2A" w:tentative="1">
      <w:start w:val="1"/>
      <w:numFmt w:val="lowerLetter"/>
      <w:lvlText w:val="%2."/>
      <w:lvlJc w:val="left"/>
      <w:pPr>
        <w:ind w:left="1440" w:hanging="360"/>
      </w:pPr>
    </w:lvl>
    <w:lvl w:ilvl="2" w:tplc="262CD7D2" w:tentative="1">
      <w:start w:val="1"/>
      <w:numFmt w:val="lowerRoman"/>
      <w:lvlText w:val="%3."/>
      <w:lvlJc w:val="right"/>
      <w:pPr>
        <w:ind w:left="2160" w:hanging="180"/>
      </w:pPr>
    </w:lvl>
    <w:lvl w:ilvl="3" w:tplc="325099F2" w:tentative="1">
      <w:start w:val="1"/>
      <w:numFmt w:val="decimal"/>
      <w:lvlText w:val="%4."/>
      <w:lvlJc w:val="left"/>
      <w:pPr>
        <w:ind w:left="2880" w:hanging="360"/>
      </w:pPr>
    </w:lvl>
    <w:lvl w:ilvl="4" w:tplc="6F36FD2C" w:tentative="1">
      <w:start w:val="1"/>
      <w:numFmt w:val="lowerLetter"/>
      <w:lvlText w:val="%5."/>
      <w:lvlJc w:val="left"/>
      <w:pPr>
        <w:ind w:left="3600" w:hanging="360"/>
      </w:pPr>
    </w:lvl>
    <w:lvl w:ilvl="5" w:tplc="4ECE92EC" w:tentative="1">
      <w:start w:val="1"/>
      <w:numFmt w:val="lowerRoman"/>
      <w:lvlText w:val="%6."/>
      <w:lvlJc w:val="right"/>
      <w:pPr>
        <w:ind w:left="4320" w:hanging="180"/>
      </w:pPr>
    </w:lvl>
    <w:lvl w:ilvl="6" w:tplc="FE70A82E" w:tentative="1">
      <w:start w:val="1"/>
      <w:numFmt w:val="decimal"/>
      <w:lvlText w:val="%7."/>
      <w:lvlJc w:val="left"/>
      <w:pPr>
        <w:ind w:left="5040" w:hanging="360"/>
      </w:pPr>
    </w:lvl>
    <w:lvl w:ilvl="7" w:tplc="9B3E1F88" w:tentative="1">
      <w:start w:val="1"/>
      <w:numFmt w:val="lowerLetter"/>
      <w:lvlText w:val="%8."/>
      <w:lvlJc w:val="left"/>
      <w:pPr>
        <w:ind w:left="5760" w:hanging="360"/>
      </w:pPr>
    </w:lvl>
    <w:lvl w:ilvl="8" w:tplc="F528C804" w:tentative="1">
      <w:start w:val="1"/>
      <w:numFmt w:val="lowerRoman"/>
      <w:lvlText w:val="%9."/>
      <w:lvlJc w:val="right"/>
      <w:pPr>
        <w:ind w:left="6480" w:hanging="180"/>
      </w:pPr>
    </w:lvl>
  </w:abstractNum>
  <w:abstractNum w:abstractNumId="28" w15:restartNumberingAfterBreak="0">
    <w:nsid w:val="7C342F4E"/>
    <w:multiLevelType w:val="multilevel"/>
    <w:tmpl w:val="E46A7BD8"/>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CB502AB"/>
    <w:multiLevelType w:val="hybridMultilevel"/>
    <w:tmpl w:val="87C2ABB0"/>
    <w:lvl w:ilvl="0" w:tplc="8FDED830">
      <w:start w:val="1"/>
      <w:numFmt w:val="bullet"/>
      <w:lvlText w:val=""/>
      <w:lvlJc w:val="left"/>
      <w:pPr>
        <w:ind w:left="720" w:hanging="360"/>
      </w:pPr>
      <w:rPr>
        <w:rFonts w:ascii="Symbol" w:hAnsi="Symbol" w:hint="default"/>
      </w:rPr>
    </w:lvl>
    <w:lvl w:ilvl="1" w:tplc="4AE471EE" w:tentative="1">
      <w:start w:val="1"/>
      <w:numFmt w:val="bullet"/>
      <w:lvlText w:val="o"/>
      <w:lvlJc w:val="left"/>
      <w:pPr>
        <w:ind w:left="1440" w:hanging="360"/>
      </w:pPr>
      <w:rPr>
        <w:rFonts w:ascii="Courier New" w:hAnsi="Courier New" w:cs="Courier New" w:hint="default"/>
      </w:rPr>
    </w:lvl>
    <w:lvl w:ilvl="2" w:tplc="461AD8CE" w:tentative="1">
      <w:start w:val="1"/>
      <w:numFmt w:val="bullet"/>
      <w:lvlText w:val=""/>
      <w:lvlJc w:val="left"/>
      <w:pPr>
        <w:ind w:left="2160" w:hanging="360"/>
      </w:pPr>
      <w:rPr>
        <w:rFonts w:ascii="Wingdings" w:hAnsi="Wingdings" w:hint="default"/>
      </w:rPr>
    </w:lvl>
    <w:lvl w:ilvl="3" w:tplc="133057C4" w:tentative="1">
      <w:start w:val="1"/>
      <w:numFmt w:val="bullet"/>
      <w:lvlText w:val=""/>
      <w:lvlJc w:val="left"/>
      <w:pPr>
        <w:ind w:left="2880" w:hanging="360"/>
      </w:pPr>
      <w:rPr>
        <w:rFonts w:ascii="Symbol" w:hAnsi="Symbol" w:hint="default"/>
      </w:rPr>
    </w:lvl>
    <w:lvl w:ilvl="4" w:tplc="923EFE66" w:tentative="1">
      <w:start w:val="1"/>
      <w:numFmt w:val="bullet"/>
      <w:lvlText w:val="o"/>
      <w:lvlJc w:val="left"/>
      <w:pPr>
        <w:ind w:left="3600" w:hanging="360"/>
      </w:pPr>
      <w:rPr>
        <w:rFonts w:ascii="Courier New" w:hAnsi="Courier New" w:cs="Courier New" w:hint="default"/>
      </w:rPr>
    </w:lvl>
    <w:lvl w:ilvl="5" w:tplc="162E405E" w:tentative="1">
      <w:start w:val="1"/>
      <w:numFmt w:val="bullet"/>
      <w:lvlText w:val=""/>
      <w:lvlJc w:val="left"/>
      <w:pPr>
        <w:ind w:left="4320" w:hanging="360"/>
      </w:pPr>
      <w:rPr>
        <w:rFonts w:ascii="Wingdings" w:hAnsi="Wingdings" w:hint="default"/>
      </w:rPr>
    </w:lvl>
    <w:lvl w:ilvl="6" w:tplc="A34E874A" w:tentative="1">
      <w:start w:val="1"/>
      <w:numFmt w:val="bullet"/>
      <w:lvlText w:val=""/>
      <w:lvlJc w:val="left"/>
      <w:pPr>
        <w:ind w:left="5040" w:hanging="360"/>
      </w:pPr>
      <w:rPr>
        <w:rFonts w:ascii="Symbol" w:hAnsi="Symbol" w:hint="default"/>
      </w:rPr>
    </w:lvl>
    <w:lvl w:ilvl="7" w:tplc="C6CAD1CA" w:tentative="1">
      <w:start w:val="1"/>
      <w:numFmt w:val="bullet"/>
      <w:lvlText w:val="o"/>
      <w:lvlJc w:val="left"/>
      <w:pPr>
        <w:ind w:left="5760" w:hanging="360"/>
      </w:pPr>
      <w:rPr>
        <w:rFonts w:ascii="Courier New" w:hAnsi="Courier New" w:cs="Courier New" w:hint="default"/>
      </w:rPr>
    </w:lvl>
    <w:lvl w:ilvl="8" w:tplc="A9AEF206" w:tentative="1">
      <w:start w:val="1"/>
      <w:numFmt w:val="bullet"/>
      <w:lvlText w:val=""/>
      <w:lvlJc w:val="left"/>
      <w:pPr>
        <w:ind w:left="6480" w:hanging="360"/>
      </w:pPr>
      <w:rPr>
        <w:rFonts w:ascii="Wingdings" w:hAnsi="Wingdings" w:hint="default"/>
      </w:rPr>
    </w:lvl>
  </w:abstractNum>
  <w:abstractNum w:abstractNumId="30" w15:restartNumberingAfterBreak="0">
    <w:nsid w:val="7EA83E33"/>
    <w:multiLevelType w:val="multilevel"/>
    <w:tmpl w:val="89FAD50C"/>
    <w:lvl w:ilvl="0">
      <w:start w:val="3"/>
      <w:numFmt w:val="decimal"/>
      <w:lvlText w:val="%1."/>
      <w:lvlJc w:val="left"/>
      <w:pPr>
        <w:tabs>
          <w:tab w:val="num" w:pos="720"/>
        </w:tabs>
        <w:ind w:left="720" w:hanging="360"/>
      </w:pPr>
    </w:lvl>
    <w:lvl w:ilvl="1">
      <w:start w:val="378"/>
      <w:numFmt w:val="bullet"/>
      <w:lvlText w:val="*"/>
      <w:lvlJc w:val="left"/>
      <w:pPr>
        <w:ind w:left="1440" w:hanging="360"/>
      </w:pPr>
      <w:rPr>
        <w:rFonts w:ascii="Verdana" w:eastAsia="Times New Roman" w:hAnsi="Verdana" w:cs="Times New Roman" w:hint="default"/>
        <w:vertAlign w:val="superscrip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6"/>
  </w:num>
  <w:num w:numId="5">
    <w:abstractNumId w:val="0"/>
  </w:num>
  <w:num w:numId="6">
    <w:abstractNumId w:val="12"/>
  </w:num>
  <w:num w:numId="7">
    <w:abstractNumId w:val="19"/>
  </w:num>
  <w:num w:numId="8">
    <w:abstractNumId w:val="4"/>
  </w:num>
  <w:num w:numId="9">
    <w:abstractNumId w:val="23"/>
  </w:num>
  <w:num w:numId="10">
    <w:abstractNumId w:val="16"/>
  </w:num>
  <w:num w:numId="11">
    <w:abstractNumId w:val="25"/>
  </w:num>
  <w:num w:numId="12">
    <w:abstractNumId w:val="2"/>
  </w:num>
  <w:num w:numId="13">
    <w:abstractNumId w:val="7"/>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4"/>
  </w:num>
  <w:num w:numId="18">
    <w:abstractNumId w:val="18"/>
  </w:num>
  <w:num w:numId="19">
    <w:abstractNumId w:val="29"/>
  </w:num>
  <w:num w:numId="20">
    <w:abstractNumId w:val="15"/>
  </w:num>
  <w:num w:numId="21">
    <w:abstractNumId w:val="22"/>
  </w:num>
  <w:num w:numId="22">
    <w:abstractNumId w:val="17"/>
  </w:num>
  <w:num w:numId="23">
    <w:abstractNumId w:val="27"/>
  </w:num>
  <w:num w:numId="24">
    <w:abstractNumId w:val="30"/>
  </w:num>
  <w:num w:numId="25">
    <w:abstractNumId w:val="28"/>
  </w:num>
  <w:num w:numId="26">
    <w:abstractNumId w:val="20"/>
  </w:num>
  <w:num w:numId="27">
    <w:abstractNumId w:val="26"/>
  </w:num>
  <w:num w:numId="28">
    <w:abstractNumId w:val="10"/>
  </w:num>
  <w:num w:numId="29">
    <w:abstractNumId w:val="14"/>
  </w:num>
  <w:num w:numId="30">
    <w:abstractNumId w:val="11"/>
  </w:num>
  <w:num w:numId="31">
    <w:abstractNumId w:val="13"/>
  </w:num>
  <w:num w:numId="32">
    <w:abstractNumId w:val="21"/>
  </w:num>
  <w:num w:numId="33">
    <w:abstractNumId w:val="24"/>
  </w:num>
  <w:num w:numId="34">
    <w:abstractNumId w:val="24"/>
  </w:num>
  <w:num w:numId="35">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907"/>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IP_META_DOC_TBL00001" w:val="&lt;OBJECT&gt;&lt;META&gt;&lt;ID&gt;&lt;/ID&gt;&lt;NAME&gt;DOC_TBL0000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1:51:04&lt;/DYNAMIZEDON&gt;&lt;LASTUPDATEDBY&gt;lamagvi&lt;/LASTUPDATEDBY&gt;&lt;LASTUPDATEDON&gt;6/15/2026 3:27:53 PM&lt;/LASTUPDATEDON&gt;&lt;UTC&gt;1&lt;/UTC&gt;&lt;/UPDATE&gt;&lt;QUERIES bbk=&quot;36743&quot; bbkdesc=&quot;2025 Annual Accounts/EU Annual Accounts/DC - Balance Sheet&quot; datapro=&quot;BIP_BS&quot; tdatapro=&quot;BIP_BS&quot; author=&quot;&quot; modtime=&quot;6/15/2026 3:26:49 PM&quot; moduser=&quot;lamagvi&quot; rolluptime=&quot;&quot; syuser=&quot;lamagvi&quot; syuzeit=&quot;6/15/2026 3:26:49 PM&quot; root=&quot;/BBOOK/DATAPROVIDER[./META/PROPS/ID='BIP_BS']/DATA&quot; colcount=&quot;4&quot; rowcount=&quot;37&quot; url=&quot;&quot; dynamizeds=&quot;DM Production&quot; dynamizedstype=&quot;9&quot; refreshds=&quot;&quot; viewtype=&quot;1&quot;&gt;&lt;QUERY reftype=&quot;ABS&quot; elmntsel=&quot;TABLE&quot; bbk=&quot;36743&quot; bbkdesc=&quot;2025 Annual Accounts/EU Annual Accounts/DC - Balance Sheet&quot; datapro=&quot;BIP_BS&quot; infos=&quot;&quot; iscomment=&quot;0&quot;&gt;&lt;SELECT&gt;/BBOOK/DATAPROVIDER[./META/PROPS/ID='BIP_BS']/DATA/ROW&lt;/SELECT&gt;&lt;FILTERS&gt;&lt;FILTER&gt;&lt;/FILTER&gt;&lt;/FILTERS&gt;&lt;/QUERY&gt;&lt;/QUERIES&gt;&lt;/OBJECT&gt;"/>
    <w:docVar w:name="BIP_META_DOC_TBL00002" w:val="&lt;OBJECT&gt;&lt;META&gt;&lt;ID&gt;&lt;/ID&gt;&lt;NAME&gt;DOC_TBL0000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33:00 AM&lt;/DYNAMIZEDON&gt;&lt;LASTUPDATEDBY&gt;lamagvi&lt;/LASTUPDATEDBY&gt;&lt;LASTUPDATEDON&gt;6/15/2026 3:31:09 PM&lt;/LASTUPDATEDON&gt;&lt;UTC&gt;1&lt;/UTC&gt;&lt;/UPDATE&gt;&lt;QUERIES bbk=&quot;36757&quot; bbkdesc=&quot;2025 Annual Accounts/EU Annual Accounts/DC - Statement of Financial Performance&quot; datapro=&quot;BIP_SOFP&quot; tdatapro=&quot;BIP_SOFP&quot; author=&quot;&quot; modtime=&quot;3/26/2021 7:03:39 PM&quot; moduser=&quot;bournai&quot; rolluptime=&quot;&quot; syuser=&quot;bournai&quot; syuzeit=&quot;3/26/2021 7:03:39 PM&quot; root=&quot;/DATA&quot; colcount=&quot;4&quot; rowcount=&quot;35&quot; url=&quot;&quot; dynamizeds=&quot;DM Production&quot; dynamizedstype=&quot;9&quot; refreshds=&quot;&quot; viewtype=&quot;1&quot;&gt;&lt;QUERY reftype=&quot;ABS&quot; elmntsel=&quot;TABLE&quot; bbk=&quot;36757&quot; bbkdesc=&quot;2025 Annual Accounts/EU Annual Accounts/DC - Statement of Financial Performance&quot; datapro=&quot;BIP_SOFP&quot; infos=&quot;&quot; iscomment=&quot;0&quot;&gt;&lt;SELECT&gt;/BBOOK/DATAPROVIDER[./META/PROPS/ID='BIP_SOFP']/DATA/ROW&lt;/SELECT&gt;&lt;FILTERS&gt;&lt;FILTER&gt;&lt;/FILTER&gt;&lt;/FILTERS&gt;&lt;/QUERY&gt;&lt;/QUERIES&gt;&lt;/OBJECT&gt;"/>
    <w:docVar w:name="BIP_META_DOC_TBL00003" w:val="&lt;OBJECT&gt;&lt;META&gt;&lt;ID&gt;&lt;/ID&gt;&lt;NAME&gt;DOC_TBL0000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47:59 AM&lt;/DYNAMIZEDON&gt;&lt;LASTUPDATEDBY&gt;lamagvi&lt;/LASTUPDATEDBY&gt;&lt;LASTUPDATEDON&gt;6/15/2026 3:27:54 PM&lt;/LASTUPDATEDON&gt;&lt;UTC&gt;1&lt;/UTC&gt;&lt;/UPDATE&gt;&lt;QUERIES bbk=&quot;36758&quot; bbkdesc=&quot;2025 Annual Accounts/EU Annual Accounts/DC - Cashflow statement&quot; datapro=&quot;BIP_CF&quot; tdatapro=&quot;BIP_CF&quot; author=&quot;&quot; modtime=&quot;6/15/2026 3:26:51 PM&quot; moduser=&quot;lamagvi&quot; rolluptime=&quot;&quot; syuser=&quot;lamagvi&quot; syuzeit=&quot;6/15/2026 3:26:51 PM&quot; root=&quot;/BBOOK/DATAPROVIDER[./META/PROPS/ID='BIP_CF']/DATA&quot; colcount=&quot;3&quot; rowcount=&quot;30&quot; url=&quot;&quot; dynamizeds=&quot;DM Production&quot; dynamizedstype=&quot;9&quot; refreshds=&quot;&quot; viewtype=&quot;1&quot;&gt;&lt;QUERY reftype=&quot;ABS&quot; elmntsel=&quot;TABLE&quot; bbk=&quot;36758&quot; bbkdesc=&quot;2025 Annual Accounts/EU Annual Accounts/DC - Cashflow statement&quot; datapro=&quot;BIP_CF&quot; infos=&quot;&quot; iscomment=&quot;0&quot;&gt;&lt;SELECT&gt;/BBOOK/DATAPROVIDER[./META/PROPS/ID='BIP_CF']/DATA/ROW&lt;/SELECT&gt;&lt;FILTERS&gt;&lt;FILTER&gt;&lt;/FILTER&gt;&lt;/FILTERS&gt;&lt;/QUERY&gt;&lt;/QUERIES&gt;&lt;/OBJECT&gt;"/>
    <w:docVar w:name="BIP_META_DOC_TBL00004" w:val="&lt;OBJECT&gt;&lt;META&gt;&lt;ID&gt;&lt;/ID&gt;&lt;NAME&gt;DOC_TBL0000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2/08/2019 12:24:25&lt;/DYNAMIZEDON&gt;&lt;LASTUPDATEDBY&gt;lamagvi&lt;/LASTUPDATEDBY&gt;&lt;LASTUPDATEDON&gt;6/15/2026 3:31:08 PM&lt;/LASTUPDATEDON&gt;&lt;UTC&gt;1&lt;/UTC&gt;&lt;/UPDATE&gt;&lt;QUERIES bbk=&quot;36734&quot; bbkdesc=&quot;2025 Annual Accounts/EU Annual Accounts/DC - Statement of changes in net assets EU&quot; datapro=&quot;BIP_SCNA&quot; tdatapro=&quot;BIP_SCNA&quot; author=&quot;&quot; modtime=&quot;6/15/2026 3:27:02 PM&quot; moduser=&quot;lamagvi&quot; rolluptime=&quot;&quot; syuser=&quot;lamagvi&quot; syuzeit=&quot;6/15/2026 3:27:02 PM&quot; root=&quot;/BBOOK/DATAPROVIDER[./META/PROPS/ID='BIP_SCNA']/DATA&quot; colcount=&quot;4&quot; rowcount=&quot;13&quot; url=&quot;&quot; dynamizeds=&quot;DM Production&quot; dynamizedstype=&quot;9&quot; refreshds=&quot;&quot; viewtype=&quot;1&quot;&gt;&lt;QUERY reftype=&quot;ABS&quot; elmntsel=&quot;TABLE&quot; bbk=&quot;36734&quot; bbkdesc=&quot;2025 Annual Accounts/EU Annual Accounts/DC - Statement of changes in net assets EU&quot; datapro=&quot;BIP_SCNA&quot; infos=&quot;&quot; iscomment=&quot;0&quot;&gt;&lt;SELECT&gt;/BBOOK/DATAPROVIDER[./META/PROPS/ID='BIP_SCNA']/DATA/ROW&lt;/SELECT&gt;&lt;FILTERS&gt;&lt;FILTER&gt;&lt;/FILTER&gt;&lt;/FILTERS&gt;&lt;/QUERY&gt;&lt;/QUERIES&gt;&lt;/OBJECT&gt;"/>
    <w:docVar w:name="BIP_META_DOC_TBL00005" w:val="&lt;OBJECT&gt;&lt;META&gt;&lt;ID&gt;&lt;/ID&gt;&lt;NAME&gt;DOC_TBL0000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7/30/2019 11:27:04 AM&lt;/DYNAMIZEDON&gt;&lt;LASTUPDATEDBY&gt;lamagvi&lt;/LASTUPDATEDBY&gt;&lt;LASTUPDATEDON&gt;6/15/2026 3:31:07 PM&lt;/LASTUPDATEDON&gt;&lt;UTC&gt;1&lt;/UTC&gt;&lt;/UPDATE&gt;&lt;QUERIES bbk=&quot;36718&quot; bbkdesc=&quot;2025 Annual Accounts/EU Annual Accounts/DC - Currency table and Deprec. Rates&quot; datapro=&quot;BIP_CURR&quot; tdatapro=&quot;BIP_CURR&quot; author=&quot;&quot; modtime=&quot;6/15/2026 3:26:54 PM&quot; moduser=&quot;lamagvi&quot; rolluptime=&quot;&quot; syuser=&quot;lamagvi&quot; syuzeit=&quot;6/15/2026 3:26:54 PM&quot; root=&quot;/BBOOK/DATAPROVIDER[./META/PROPS/ID='BIP_CURR']/DATA&quot; colcount=&quot;6&quot; rowcount=&quot;7&quot; url=&quot;&quot; dynamizeds=&quot;DM Production&quot; dynamizedstype=&quot;9&quot; refreshds=&quot;&quot; viewtype=&quot;1&quot;&gt;&lt;QUERY reftype=&quot;ABS&quot; elmntsel=&quot;TABLE&quot; bbk=&quot;36718&quot; bbkdesc=&quot;2025 Annual Accounts/EU Annual Accounts/DC - Currency table and Deprec. Rates&quot; datapro=&quot;BIP_CURR&quot; infos=&quot;&quot; iscomment=&quot;0&quot;&gt;&lt;SELECT&gt;/BBOOK/DATAPROVIDER[./META/PROPS/ID='BIP_CURR']/DATA/ROW&lt;/SELECT&gt;&lt;FILTERS&gt;&lt;FILTER&gt;&lt;/FILTER&gt;&lt;/FILTERS&gt;&lt;/QUERY&gt;&lt;/QUERIES&gt;&lt;/OBJECT&gt;"/>
    <w:docVar w:name="BIP_META_DOC_TBL00006" w:val="&lt;OBJECT&gt;&lt;META&gt;&lt;ID&gt;&lt;/ID&gt;&lt;NAME&gt;DOC_TBL0000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ruberla&lt;/DYNAMIZEDBY&gt;&lt;DYNAMIZEDON&gt;24-01-2020 12:26:20&lt;/DYNAMIZEDON&gt;&lt;LASTUPDATEDBY&gt;lamagvi&lt;/LASTUPDATEDBY&gt;&lt;LASTUPDATEDON&gt;6/15/2026 3:31:07 PM&lt;/LASTUPDATEDON&gt;&lt;UTC&gt;1&lt;/UTC&gt;&lt;/UPDATE&gt;&lt;QUERIES bbk=&quot;36718&quot; bbkdesc=&quot;2025 Annual Accounts/EU Annual Accounts/DC - Currency table and Deprec. Rates&quot; datapro=&quot;BIP_DR&quot; tdatapro=&quot;BIP_DR&quot; author=&quot;&quot; modtime=&quot;6/15/2026 3:26:54 PM&quot; moduser=&quot;lamagvi&quot; rolluptime=&quot;&quot; syuser=&quot;lamagvi&quot; syuzeit=&quot;6/15/2026 3:26:54 PM&quot; root=&quot;/BBOOK/DATAPROVIDER[./META/PROPS/ID='BIP_DR']/DATA&quot; colcount=&quot;2&quot; rowcount=&quot;7&quot; url=&quot;&quot; dynamizeds=&quot;DM Production&quot; dynamizedstype=&quot;9&quot; refreshds=&quot;&quot; viewtype=&quot;1&quot;&gt;&lt;QUERY reftype=&quot;ABS&quot; elmntsel=&quot;TABLE&quot; bbk=&quot;36718&quot; bbkdesc=&quot;2025 Annual Accounts/EU Annual Accounts/DC - Currency table and Deprec. Rates&quot; datapro=&quot;BIP_DR&quot; infos=&quot;&quot; iscomment=&quot;0&quot;&gt;&lt;SELECT&gt;/BBOOK/DATAPROVIDER[./META/PROPS/ID='BIP_DR']/DATA/ROW&lt;/SELECT&gt;&lt;FILTERS&gt;&lt;FILTER&gt;&lt;/FILTER&gt;&lt;/FILTERS&gt;&lt;/QUERY&gt;&lt;/QUERIES&gt;&lt;/OBJECT&gt;"/>
    <w:docVar w:name="BIP_META_DOC_TBL00007" w:val="&lt;OBJECT&gt;&lt;META&gt;&lt;ID&gt;&lt;/ID&gt;&lt;NAME&gt;DOC_TBL0000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43:45&lt;/DYNAMIZEDON&gt;&lt;LASTUPDATEDBY&gt;lamagvi&lt;/LASTUPDATEDBY&gt;&lt;LASTUPDATEDON&gt;6/15/2026 3:30:58 PM&lt;/LASTUPDATEDON&gt;&lt;UTC&gt;1&lt;/UTC&gt;&lt;/UPDATE&gt;&lt;QUERIES bbk=&quot;36735&quot; bbkdesc=&quot;2025 Annual Accounts/EU Annual Accounts/DC - Intangible assets and PPE&quot; datapro=&quot;BIP_INFA&quot; tdatapro=&quot;BIP_INFA&quot; author=&quot;&quot; modtime=&quot;6/15/2026 3:27:00 PM&quot; moduser=&quot;lamagvi&quot; rolluptime=&quot;&quot; syuser=&quot;lamagvi&quot; syuzeit=&quot;6/15/2026 3:27:00 PM&quot; root=&quot;/BBOOK/DATAPROVIDER[./META/PROPS/ID='BIP_INFA']/DATA&quot; colcount=&quot;2&quot; rowcount=&quot;18&quot; url=&quot;&quot; dynamizeds=&quot;DM Production&quot; dynamizedstype=&quot;9&quot; refreshds=&quot;&quot; viewtype=&quot;1&quot;&gt;&lt;QUERY reftype=&quot;ABS&quot; elmntsel=&quot;TABLE&quot; bbk=&quot;36735&quot; bbkdesc=&quot;2025 Annual Accounts/EU Annual Accounts/DC - Intangible assets and PPE&quot; datapro=&quot;BIP_INFA&quot; infos=&quot;&quot; iscomment=&quot;0&quot;&gt;&lt;SELECT&gt;/BBOOK/DATAPROVIDER[./META/PROPS/ID='BIP_INFA']/DATA/ROW&lt;/SELECT&gt;&lt;FILTERS&gt;&lt;FILTER&gt;&lt;/FILTER&gt;&lt;/FILTERS&gt;&lt;/QUERY&gt;&lt;/QUERIES&gt;&lt;/OBJECT&gt;"/>
    <w:docVar w:name="BIP_META_DOC_TBL00008" w:val="&lt;OBJECT&gt;&lt;META&gt;&lt;ID&gt;&lt;/ID&gt;&lt;NAME&gt;DOC_TBL0000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preutan&lt;/DYNAMIZEDBY&gt;&lt;DYNAMIZEDON&gt;27-04-2021 13:40:27&lt;/DYNAMIZEDON&gt;&lt;LASTUPDATEDBY&gt;lamagvi&lt;/LASTUPDATEDBY&gt;&lt;LASTUPDATEDON&gt;6/15/2026 3:31:03 PM&lt;/LASTUPDATEDON&gt;&lt;UTC&gt;1&lt;/UTC&gt;&lt;/UPDATE&gt;&lt;QUERIES bbk=&quot;36735&quot; bbkdesc=&quot;2025 Annual Accounts/EU Annual Accounts/DC - Intangible assets and PPE&quot; datapro=&quot;BIP_EUPPE&quot; tdatapro=&quot;BIP_EUPPE&quot; author=&quot;&quot; modtime=&quot;6/15/2026 3:27:00 PM&quot; moduser=&quot;lamagvi&quot; rolluptime=&quot;&quot; syuser=&quot;lamagvi&quot; syuzeit=&quot;6/15/2026 3:27:00 PM&quot; root=&quot;/BBOOK/DATAPROVIDER[./META/PROPS/ID='BIP_EUPPE']/DATA&quot; colcount=&quot;10&quot; rowcount=&quot;18&quot; url=&quot;&quot; dynamizeds=&quot;DM Production&quot; dynamizedstype=&quot;9&quot; refreshds=&quot;&quot; viewtype=&quot;1&quot;&gt;&lt;QUERY reftype=&quot;ABS&quot; elmntsel=&quot;TABLE&quot; bbk=&quot;36735&quot; bbkdesc=&quot;2025 Annual Accounts/EU Annual Accounts/DC - Intangible assets and PPE&quot; datapro=&quot;BIP_EUPPE&quot; infos=&quot;&quot; iscomment=&quot;0&quot;&gt;&lt;SELECT&gt;/BBOOK/DATAPROVIDER[./META/PROPS/ID='BIP_EUPPE']/DATA/ROW&lt;/SELECT&gt;&lt;FILTERS&gt;&lt;FILTER&gt;&lt;/FILTER&gt;&lt;/FILTERS&gt;&lt;/QUERY&gt;&lt;/QUERIES&gt;&lt;/OBJECT&gt;"/>
    <w:docVar w:name="BIP_META_DOC_TBL00009" w:val="&lt;OBJECT&gt;&lt;META&gt;&lt;ID&gt;&lt;/ID&gt;&lt;NAME&gt;DOC_TBL0000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2/08/2019 12:30:11&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PARTASS1&quot; tdatapro=&quot;BIP_PARTASS1&quot; author=&quot;&quot; modtime=&quot;6/15/2026 3:06:55 PM&quot; moduser=&quot;lamagvi&quot; rolluptime=&quot;&quot; syuser=&quot;lamagvi&quot; syuzeit=&quot;6/15/2026 3:06:55 PM&quot; root=&quot;/BBOOK/DATAPROVIDER[./META/PROPS/ID='BIP_PARTASS1']/DATA&quot; colcount=&quot;2&quot; rowcount=&quot;8&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PARTASS1&quot; infos=&quot;&quot; iscomment=&quot;0&quot;&gt;&lt;SELECT&gt;/BBOOK/DATAPROVIDER[./META/PROPS/ID='BIP_PARTASS1']/DATA/ROW&lt;/SELECT&gt;&lt;FILTERS&gt;&lt;FILTER&gt;&lt;/FILTER&gt;&lt;/FILTERS&gt;&lt;/QUERY&gt;&lt;/QUERIES&gt;&lt;/OBJECT&gt;"/>
    <w:docVar w:name="BIP_META_DOC_TBL00010" w:val="&lt;OBJECT&gt;&lt;META&gt;&lt;ID&gt;&lt;/ID&gt;&lt;NAME&gt;DOC_TBL0001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34:01&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PARTASS2&quot; tdatapro=&quot;BIP_PARTASS2&quot; author=&quot;&quot; modtime=&quot;6/15/2026 3:06:55 PM&quot; moduser=&quot;lamagvi&quot; rolluptime=&quot;&quot; syuser=&quot;lamagvi&quot; syuzeit=&quot;6/15/2026 3:06:55 PM&quot; root=&quot;/BBOOK/DATAPROVIDER[./META/PROPS/ID='BIP_PARTASS2']/DATA&quot; colcount=&quot;3&quot; rowcount=&quot;6&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PARTASS2&quot; infos=&quot;&quot; iscomment=&quot;0&quot;&gt;&lt;SELECT&gt;/BBOOK/DATAPROVIDER[./META/PROPS/ID='BIP_PARTASS2']/DATA/ROW&lt;/SELECT&gt;&lt;FILTERS&gt;&lt;FILTER&gt;&lt;/FILTER&gt;&lt;/FILTERS&gt;&lt;/QUERY&gt;&lt;/QUERIES&gt;&lt;/OBJECT&gt;"/>
    <w:docVar w:name="BIP_META_DOC_TBL00011" w:val="&lt;OBJECT&gt;&lt;META&gt;&lt;ID&gt;&lt;/ID&gt;&lt;NAME&gt;DOC_TBL0001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39:55&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EIF2&quot; tdatapro=&quot;BIP_EIF2&quot; author=&quot;&quot; modtime=&quot;6/15/2026 3:06:55 PM&quot; moduser=&quot;lamagvi&quot; rolluptime=&quot;&quot; syuser=&quot;lamagvi&quot; syuzeit=&quot;6/15/2026 3:06:55 PM&quot; root=&quot;/BBOOK/DATAPROVIDER[./META/PROPS/ID='BIP_EIF2']/DATA&quot; colcount=&quot;3&quot; rowcount=&quot;5&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EIF2&quot; infos=&quot;&quot; iscomment=&quot;0&quot;&gt;&lt;SELECT&gt;/BBOOK/DATAPROVIDER[./META/PROPS/ID='BIP_EIF2']/DATA/ROW&lt;/SELECT&gt;&lt;FILTERS&gt;&lt;FILTER&gt;&lt;/FILTER&gt;&lt;/FILTERS&gt;&lt;/QUERY&gt;&lt;/QUERIES&gt;&lt;/OBJECT&gt;"/>
    <w:docVar w:name="BIP_META_DOC_TBL00012" w:val="&lt;OBJECT&gt;&lt;META&gt;&lt;ID&gt;&lt;/ID&gt;&lt;NAME&gt;DOC_TBL0001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40:56&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EIF1&quot; tdatapro=&quot;BIP_EIF1&quot; author=&quot;&quot; modtime=&quot;6/15/2026 3:06:55 PM&quot; moduser=&quot;lamagvi&quot; rolluptime=&quot;&quot; syuser=&quot;lamagvi&quot; syuzeit=&quot;6/15/2026 3:06:55 PM&quot; root=&quot;/BBOOK/DATAPROVIDER[./META/PROPS/ID='BIP_EIF1']/DATA&quot; colcount=&quot;3&quot; rowcount=&quot;5&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EIF1&quot; infos=&quot;&quot; iscomment=&quot;0&quot;&gt;&lt;SELECT&gt;/BBOOK/DATAPROVIDER[./META/PROPS/ID='BIP_EIF1']/DATA/ROW&lt;/SELECT&gt;&lt;FILTERS&gt;&lt;FILTER&gt;&lt;/FILTER&gt;&lt;/FILTERS&gt;&lt;/QUERY&gt;&lt;/QUERIES&gt;&lt;/OBJECT&gt;"/>
    <w:docVar w:name="BIP_META_DOC_TBL00013" w:val="&lt;OBJECT&gt;&lt;META&gt;&lt;ID&gt;&lt;/ID&gt;&lt;NAME&gt;DOC_TBL0001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41:17&lt;/DYNAMIZEDON&gt;&lt;LASTUPDATEDBY&gt;lamagvi&lt;/LASTUPDATEDBY&gt;&lt;LASTUPDATEDON&gt;6/15/2026 3:30:52 PM&lt;/LASTUPDATEDON&gt;&lt;UTC&gt;1&lt;/UTC&gt;&lt;/UPDATE&gt;&lt;QUERIES bbk=&quot;36764&quot; bbkdesc=&quot;2025 Annual Accounts/EU Annual Accounts/DC - Financial assets&quot; datapro=&quot;BIP_FAFVNONDBT&quot; tdatapro=&quot;BIP_FAFVNONDBT&quot; author=&quot;&quot; modtime=&quot;6/15/2026 3:26:58 PM&quot; moduser=&quot;lamagvi&quot; rolluptime=&quot;&quot; syuser=&quot;lamagvi&quot; syuzeit=&quot;6/15/2026 3:26:58 PM&quot; root=&quot;/BBOOK/DATAPROVIDER[./META/PROPS/ID='BIP_FAFVNONDBT']/DATA&quot; colcount=&quot;4&quot; rowcount=&quot;9&quot; url=&quot;&quot; dynamizeds=&quot;DM Production&quot; dynamizedstype=&quot;9&quot; refreshds=&quot;&quot; viewtype=&quot;1&quot;&gt;&lt;QUERY reftype=&quot;ABS&quot; elmntsel=&quot;TABLE&quot; bbk=&quot;36764&quot; bbkdesc=&quot;2025 Annual Accounts/EU Annual Accounts/DC - Financial assets&quot; datapro=&quot;BIP_FAFVNONDBT&quot; infos=&quot;&quot; iscomment=&quot;0&quot;&gt;&lt;SELECT&gt;/BBOOK/DATAPROVIDER[./META/PROPS/ID='BIP_FAFVNONDBT']/DATA/ROW&lt;/SELECT&gt;&lt;FILTERS&gt;&lt;FILTER&gt;&lt;/FILTER&gt;&lt;/FILTERS&gt;&lt;/QUERY&gt;&lt;/QUERIES&gt;&lt;/OBJECT&gt;"/>
    <w:docVar w:name="BIP_META_DOC_TBL00014" w:val="&lt;OBJECT&gt;&lt;META&gt;&lt;ID&gt;&lt;/ID&gt;&lt;NAME&gt;DOC_TBL0001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43:14&lt;/DYNAMIZEDON&gt;&lt;LASTUPDATEDBY&gt;lamagvi&lt;/LASTUPDATEDBY&gt;&lt;LASTUPDATEDON&gt;6/15/2026 3:30:52 PM&lt;/LASTUPDATEDON&gt;&lt;UTC&gt;1&lt;/UTC&gt;&lt;/UPDATE&gt;&lt;QUERIES bbk=&quot;36764&quot; bbkdesc=&quot;2025 Annual Accounts/EU Annual Accounts/DC - Financial assets&quot; datapro=&quot;BIP_FAFVSDND&quot; tdatapro=&quot;BIP_FAFVSDND&quot; author=&quot;&quot; modtime=&quot;6/15/2026 3:26:58 PM&quot; moduser=&quot;lamagvi&quot; rolluptime=&quot;&quot; syuser=&quot;lamagvi&quot; syuzeit=&quot;6/15/2026 3:26:58 PM&quot; root=&quot;/BBOOK/DATAPROVIDER[./META/PROPS/ID='BIP_FAFVSDND']/DATA&quot; colcount=&quot;3&quot; rowcount=&quot;18&quot; url=&quot;&quot; dynamizeds=&quot;DM Production&quot; dynamizedstype=&quot;9&quot; refreshds=&quot;&quot; viewtype=&quot;1&quot;&gt;&lt;QUERY reftype=&quot;ABS&quot; elmntsel=&quot;TABLE&quot; bbk=&quot;36764&quot; bbkdesc=&quot;2025 Annual Accounts/EU Annual Accounts/DC - Financial assets&quot; datapro=&quot;BIP_FAFVSDND&quot; infos=&quot;&quot; iscomment=&quot;0&quot;&gt;&lt;SELECT&gt;/BBOOK/DATAPROVIDER[./META/PROPS/ID='BIP_FAFVSDND']/DATA/ROW&lt;/SELECT&gt;&lt;FILTERS&gt;&lt;FILTER&gt;&lt;/FILTER&gt;&lt;/FILTERS&gt;&lt;/QUERY&gt;&lt;/QUERIES&gt;&lt;/OBJECT&gt;"/>
    <w:docVar w:name="BIP_META_DOC_TBL00015" w:val="&lt;OBJECT&gt;&lt;META&gt;&lt;ID&gt;&lt;/ID&gt;&lt;NAME&gt;DOC_TBL0001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1:22&lt;/DYNAMIZEDON&gt;&lt;LASTUPDATEDBY&gt;lamagvi&lt;/LASTUPDATEDBY&gt;&lt;LASTUPDATEDON&gt;6/15/2026 3:30:52 PM&lt;/LASTUPDATEDON&gt;&lt;UTC&gt;1&lt;/UTC&gt;&lt;/UPDATE&gt;&lt;QUERIES bbk=&quot;36764&quot; bbkdesc=&quot;2025 Annual Accounts/EU Annual Accounts/DC - Financial assets&quot; datapro=&quot;BIP_FVH&quot; tdatapro=&quot;BIP_FVH&quot; author=&quot;&quot; modtime=&quot;6/15/2026 3:26:58 PM&quot; moduser=&quot;lamagvi&quot; rolluptime=&quot;&quot; syuser=&quot;lamagvi&quot; syuzeit=&quot;6/15/2026 3:26:58 PM&quot; root=&quot;/BBOOK/DATAPROVIDER[./META/PROPS/ID='BIP_FVH']/DATA&quot; colcount=&quot;3&quot; rowcount=&quot;6&quot; url=&quot;&quot; dynamizeds=&quot;DM Production&quot; dynamizedstype=&quot;9&quot; refreshds=&quot;&quot; viewtype=&quot;1&quot;&gt;&lt;QUERY reftype=&quot;ABS&quot; elmntsel=&quot;TABLE&quot; bbk=&quot;36764&quot; bbkdesc=&quot;2025 Annual Accounts/EU Annual Accounts/DC - Financial assets&quot; datapro=&quot;BIP_FVH&quot; infos=&quot;&quot; iscomment=&quot;0&quot;&gt;&lt;SELECT&gt;/BBOOK/DATAPROVIDER[./META/PROPS/ID='BIP_FVH']/DATA/ROW&lt;/SELECT&gt;&lt;FILTERS&gt;&lt;FILTER&gt;&lt;/FILTER&gt;&lt;/FILTERS&gt;&lt;/QUERY&gt;&lt;/QUERIES&gt;&lt;/OBJECT&gt;"/>
    <w:docVar w:name="BIP_META_DOC_TBL00016" w:val="&lt;OBJECT&gt;&lt;META&gt;&lt;ID&gt;&lt;/ID&gt;&lt;NAME&gt;DOC_TBL0001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6:17&lt;/DYNAMIZEDON&gt;&lt;LASTUPDATEDBY&gt;lamagvi&lt;/LASTUPDATEDBY&gt;&lt;LASTUPDATEDON&gt;6/15/2026 3:30:52 PM&lt;/LASTUPDATEDON&gt;&lt;UTC&gt;1&lt;/UTC&gt;&lt;/UPDATE&gt;&lt;QUERIES bbk=&quot;36627&quot; bbkdesc=&quot;2025 Annual Accounts/EC Annual Accounts/DC - Financial assets&quot; datapro=&quot;BIP_RECONONDFA&quot; tdatapro=&quot;BIP_RECONONDFA&quot; author=&quot;&quot; modtime=&quot;6/15/2026 3:06:54 PM&quot; moduser=&quot;lamagvi&quot; rolluptime=&quot;&quot; syuser=&quot;lamagvi&quot; syuzeit=&quot;6/15/2026 3:06:54 PM&quot; root=&quot;/BBOOK/DATAPROVIDER[./META/PROPS/ID='BIP_RECONONDFA']/DATA&quot; colcount=&quot;2&quot; rowcount=&quot;11&quot; url=&quot;&quot; dynamizeds=&quot;DM Production&quot; dynamizedstype=&quot;9&quot; refreshds=&quot;&quot; viewtype=&quot;1&quot;&gt;&lt;QUERY reftype=&quot;ABS&quot; elmntsel=&quot;TABLE&quot; bbk=&quot;36627&quot; bbkdesc=&quot;2025 Annual Accounts/EC Annual Accounts/DC - Financial assets&quot; datapro=&quot;BIP_RECONONDFA&quot; infos=&quot;&quot; iscomment=&quot;0&quot;&gt;&lt;SELECT&gt;/BBOOK/DATAPROVIDER[./META/PROPS/ID='BIP_RECONONDFA']/DATA/ROW&lt;/SELECT&gt;&lt;FILTERS&gt;&lt;FILTER&gt;&lt;/FILTER&gt;&lt;/FILTERS&gt;&lt;/QUERY&gt;&lt;/QUERIES&gt;&lt;/OBJECT&gt;"/>
    <w:docVar w:name="BIP_META_DOC_TBL00017" w:val="&lt;OBJECT&gt;&lt;META&gt;&lt;ID&gt;&lt;/ID&gt;&lt;NAME&gt;DOC_TBL0001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8:07&lt;/DYNAMIZEDON&gt;&lt;LASTUPDATEDBY&gt;lamagvi&lt;/LASTUPDATEDBY&gt;&lt;LASTUPDATEDON&gt;6/15/2026 3:30:52 PM&lt;/LASTUPDATEDON&gt;&lt;UTC&gt;1&lt;/UTC&gt;&lt;/UPDATE&gt;&lt;QUERIES bbk=&quot;36627&quot; bbkdesc=&quot;2025 Annual Accounts/EC Annual Accounts/DC - Financial assets&quot; datapro=&quot;BIP_FAFVDBT&quot; tdatapro=&quot;BIP_FAFVDBT&quot; author=&quot;&quot; modtime=&quot;6/15/2026 3:06:54 PM&quot; moduser=&quot;lamagvi&quot; rolluptime=&quot;&quot; syuser=&quot;lamagvi&quot; syuzeit=&quot;6/15/2026 3:06:54 PM&quot; root=&quot;/BBOOK/DATAPROVIDER[./META/PROPS/ID='BIP_FAFVDBT']/DATA&quot; colcount=&quot;7&quot; rowcount=&quot;8&quot; url=&quot;&quot; dynamizeds=&quot;DM Production&quot; dynamizedstype=&quot;9&quot; refreshds=&quot;&quot; viewtype=&quot;1&quot;&gt;&lt;QUERY reftype=&quot;ABS&quot; elmntsel=&quot;TABLE&quot; bbk=&quot;36627&quot; bbkdesc=&quot;2025 Annual Accounts/EC Annual Accounts/DC - Financial assets&quot; datapro=&quot;BIP_FAFVDBT&quot; infos=&quot;&quot; iscomment=&quot;0&quot;&gt;&lt;SELECT&gt;/BBOOK/DATAPROVIDER[./META/PROPS/ID='BIP_FAFVDBT']/DATA/ROW&lt;/SELECT&gt;&lt;FILTERS&gt;&lt;FILTER&gt;&lt;/FILTER&gt;&lt;/FILTERS&gt;&lt;/QUERY&gt;&lt;/QUERIES&gt;&lt;/OBJECT&gt;"/>
    <w:docVar w:name="BIP_META_DOC_TBL00018" w:val="&lt;OBJECT&gt;&lt;META&gt;&lt;ID&gt;&lt;/ID&gt;&lt;NAME&gt;DOC_TBL0001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9:00:06&lt;/DYNAMIZEDON&gt;&lt;LASTUPDATEDBY&gt;lamagvi&lt;/LASTUPDATEDBY&gt;&lt;LASTUPDATEDON&gt;6/15/2026 3:30:52 PM&lt;/LASTUPDATEDON&gt;&lt;UTC&gt;1&lt;/UTC&gt;&lt;/UPDATE&gt;&lt;QUERIES bbk=&quot;36627&quot; bbkdesc=&quot;2025 Annual Accounts/EC Annual Accounts/DC - Financial assets&quot; datapro=&quot;BIP_FVHDFAL&quot; tdatapro=&quot;BIP_FVHDFAL&quot; author=&quot;&quot; modtime=&quot;6/15/2026 3:06:54 PM&quot; moduser=&quot;lamagvi&quot; rolluptime=&quot;&quot; syuser=&quot;lamagvi&quot; syuzeit=&quot;6/15/2026 3:06:54 PM&quot; root=&quot;/BBOOK/DATAPROVIDER[./META/PROPS/ID='BIP_FVHDFAL']/DATA&quot; colcount=&quot;5&quot; rowcount=&quot;7&quot; url=&quot;&quot; dynamizeds=&quot;DM Production&quot; dynamizedstype=&quot;9&quot; refreshds=&quot;&quot; viewtype=&quot;1&quot;&gt;&lt;QUERY reftype=&quot;ABS&quot; elmntsel=&quot;TABLE&quot; bbk=&quot;36627&quot; bbkdesc=&quot;2025 Annual Accounts/EC Annual Accounts/DC - Financial assets&quot; datapro=&quot;BIP_FVHDFAL&quot; infos=&quot;&quot; iscomment=&quot;0&quot;&gt;&lt;SELECT&gt;/BBOOK/DATAPROVIDER[./META/PROPS/ID='BIP_FVHDFAL']/DATA/ROW&lt;/SELECT&gt;&lt;FILTERS&gt;&lt;FILTER&gt;&lt;/FILTER&gt;&lt;/FILTERS&gt;&lt;/QUERY&gt;&lt;/QUERIES&gt;&lt;/OBJECT&gt;"/>
    <w:docVar w:name="BIP_META_DOC_TBL00019" w:val="&lt;OBJECT&gt;&lt;META&gt;&lt;ID&gt;&lt;/ID&gt;&lt;NAME&gt;DOC_TBL0001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2/08/2019 12:56:44&lt;/DYNAMIZEDON&gt;&lt;LASTUPDATEDBY&gt;lamagvi&lt;/LASTUPDATEDBY&gt;&lt;LASTUPDATEDON&gt;6/15/2026 3:30:52 PM&lt;/LASTUPDATEDON&gt;&lt;UTC&gt;1&lt;/UTC&gt;&lt;/UPDATE&gt;&lt;QUERIES bbk=&quot;36764&quot; bbkdesc=&quot;2025 Annual Accounts/EU Annual Accounts/DC - Financial assets&quot; datapro=&quot;BIP_FINA&quot; tdatapro=&quot;BIP_FINA&quot; author=&quot;&quot; modtime=&quot;6/15/2026 3:26:58 PM&quot; moduser=&quot;lamagvi&quot; rolluptime=&quot;&quot; syuser=&quot;lamagvi&quot; syuzeit=&quot;6/15/2026 3:26:58 PM&quot; root=&quot;/BBOOK/DATAPROVIDER[./META/PROPS/ID='BIP_FINA']/DATA&quot; colcount=&quot;4&quot; rowcount=&quot;11&quot; url=&quot;&quot; dynamizeds=&quot;DM Production&quot; dynamizedstype=&quot;9&quot; refreshds=&quot;&quot; viewtype=&quot;1&quot;&gt;&lt;QUERY reftype=&quot;ABS&quot; elmntsel=&quot;TABLE&quot; bbk=&quot;36764&quot; bbkdesc=&quot;2025 Annual Accounts/EU Annual Accounts/DC - Financial assets&quot; datapro=&quot;BIP_FINA&quot; infos=&quot;&quot; iscomment=&quot;0&quot;&gt;&lt;SELECT&gt;/BBOOK/DATAPROVIDER[./META/PROPS/ID='BIP_FINA']/DATA/ROW&lt;/SELECT&gt;&lt;FILTERS&gt;&lt;FILTER&gt;&lt;/FILTER&gt;&lt;/FILTERS&gt;&lt;/QUERY&gt;&lt;/QUERIES&gt;&lt;/OBJECT&gt;"/>
    <w:docVar w:name="BIP_META_DOC_TBL00020" w:val="&lt;OBJECT&gt;&lt;META&gt;&lt;ID&gt;&lt;/ID&gt;&lt;NAME&gt;DOC_TBL0002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6/12/2021 09:37:46&lt;/DYNAMIZEDON&gt;&lt;LASTUPDATEDBY&gt;lamagvi&lt;/LASTUPDATEDBY&gt;&lt;LASTUPDATEDON&gt;6/15/2026 3:30:52 PM&lt;/LASTUPDATEDON&gt;&lt;UTC&gt;1&lt;/UTC&gt;&lt;/UPDATE&gt;&lt;QUERIES bbk=&quot;36764&quot; bbkdesc=&quot;2025 Annual Accounts/EU Annual Accounts/DC - Financial assets&quot; datapro=&quot;BIP_LO&quot; tdatapro=&quot;BIP_LO&quot; author=&quot;&quot; modtime=&quot;6/15/2026 3:26:58 PM&quot; moduser=&quot;lamagvi&quot; rolluptime=&quot;&quot; syuser=&quot;lamagvi&quot; syuzeit=&quot;6/15/2026 3:26:58 PM&quot; root=&quot;/BBOOK/DATAPROVIDER[./META/PROPS/ID='BIP_LO']/DATA&quot; colcount=&quot;4&quot; rowcount=&quot;7&quot; url=&quot;&quot; dynamizeds=&quot;DM Production&quot; dynamizedstype=&quot;9&quot; refreshds=&quot;&quot; viewtype=&quot;1&quot;&gt;&lt;QUERY reftype=&quot;ABS&quot; elmntsel=&quot;TABLE&quot; bbk=&quot;36764&quot; bbkdesc=&quot;2025 Annual Accounts/EU Annual Accounts/DC - Financial assets&quot; datapro=&quot;BIP_LO&quot; infos=&quot;&quot; iscomment=&quot;0&quot;&gt;&lt;SELECT&gt;/BBOOK/DATAPROVIDER[./META/PROPS/ID='BIP_LO']/DATA/ROW&lt;/SELECT&gt;&lt;FILTERS&gt;&lt;FILTER&gt;&lt;/FILTER&gt;&lt;/FILTERS&gt;&lt;/QUERY&gt;&lt;/QUERIES&gt;&lt;/OBJECT&gt;"/>
    <w:docVar w:name="BIP_META_DOC_TBL00021" w:val="&lt;OBJECT&gt;&lt;META&gt;&lt;ID&gt;&lt;/ID&gt;&lt;NAME&gt;DOC_TBL0002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5/2025 2:39:31 PM&lt;/DYNAMIZEDON&gt;&lt;LASTUPDATEDBY&gt;lamagvi&lt;/LASTUPDATEDBY&gt;&lt;LASTUPDATEDON&gt;6/15/2026 3:30:52 PM&lt;/LASTUPDATEDON&gt;&lt;UTC&gt;1&lt;/UTC&gt;&lt;/UPDATE&gt;&lt;QUERIES bbk=&quot;36627&quot; bbkdesc=&quot;2025 Annual Accounts/EC Annual Accounts/DC - Financial assets&quot; datapro=&quot;BIP_LNGEU&quot; tdatapro=&quot;BIP_LNGEU&quot; author=&quot;&quot; modtime=&quot;6/15/2026 3:06:54 PM&quot; moduser=&quot;lamagvi&quot; rolluptime=&quot;&quot; syuser=&quot;lamagvi&quot; syuzeit=&quot;6/15/2026 3:06:54 PM&quot; root=&quot;/BBOOK/DATAPROVIDER[./META/PROPS/ID='BIP_LNGEU']/DATA&quot; colcount=&quot;3&quot; rowcount=&quot;7&quot; url=&quot;&quot; dynamizeds=&quot;DM Production&quot; dynamizedstype=&quot;9&quot; refreshds=&quot;&quot; viewtype=&quot;1&quot;&gt;&lt;QUERY reftype=&quot;ABS&quot; elmntsel=&quot;TABLE&quot; bbk=&quot;36627&quot; bbkdesc=&quot;2025 Annual Accounts/EC Annual Accounts/DC - Financial assets&quot; datapro=&quot;BIP_LNGEU&quot; infos=&quot;&quot; iscomment=&quot;0&quot;&gt;&lt;SELECT&gt;/BBOOK/DATAPROVIDER[./META/PROPS/ID='BIP_LNGEU']/DATA/ROW&lt;/SELECT&gt;&lt;FILTERS&gt;&lt;FILTER&gt;&lt;/FILTER&gt;&lt;/FILTERS&gt;&lt;/QUERY&gt;&lt;/QUERIES&gt;&lt;/OBJECT&gt;"/>
    <w:docVar w:name="BIP_META_DOC_TBL00022" w:val="&lt;OBJECT&gt;&lt;META&gt;&lt;ID&gt;&lt;/ID&gt;&lt;NAME&gt;DOC_TBL0002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5/02/2025 11:33:47&lt;/DYNAMIZEDON&gt;&lt;LASTUPDATEDBY&gt;lamagvi&lt;/LASTUPDATEDBY&gt;&lt;LASTUPDATEDON&gt;6/15/2026 3:30:52 PM&lt;/LASTUPDATEDON&gt;&lt;UTC&gt;1&lt;/UTC&gt;&lt;/UPDATE&gt;&lt;QUERIES bbk=&quot;36627&quot; bbkdesc=&quot;2025 Annual Accounts/EC Annual Accounts/DC - Financial assets&quot; datapro=&quot;BIP_LMS&quot; tdatapro=&quot;BIP_LMS&quot; author=&quot;&quot; modtime=&quot;6/15/2026 3:06:54 PM&quot; moduser=&quot;lamagvi&quot; rolluptime=&quot;&quot; syuser=&quot;lamagvi&quot; syuzeit=&quot;6/15/2026 3:06:54 PM&quot; root=&quot;/BBOOK/DATAPROVIDER[./META/PROPS/ID='BIP_LMS']/DATA&quot; colcount=&quot;6&quot; rowcount=&quot;9&quot; url=&quot;&quot; dynamizeds=&quot;DM Production&quot; dynamizedstype=&quot;9&quot; refreshds=&quot;&quot; viewtype=&quot;1&quot;&gt;&lt;QUERY reftype=&quot;ABS&quot; elmntsel=&quot;TABLE&quot; bbk=&quot;36627&quot; bbkdesc=&quot;2025 Annual Accounts/EC Annual Accounts/DC - Financial assets&quot; datapro=&quot;BIP_LMS&quot; infos=&quot;&quot; iscomment=&quot;0&quot;&gt;&lt;SELECT&gt;/BBOOK/DATAPROVIDER[./META/PROPS/ID='BIP_LMS']/DATA/ROW&lt;/SELECT&gt;&lt;FILTERS&gt;&lt;FILTER&gt;&lt;/FILTER&gt;&lt;/FILTERS&gt;&lt;/QUERY&gt;&lt;/QUERIES&gt;&lt;/OBJECT&gt;"/>
    <w:docVar w:name="BIP_META_DOC_TBL00023" w:val="&lt;OBJECT&gt;&lt;META&gt;&lt;ID&gt;&lt;/ID&gt;&lt;NAME&gt;DOC_TBL0002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5/02/2025 11:37:40&lt;/DYNAMIZEDON&gt;&lt;LASTUPDATEDBY&gt;lamagvi&lt;/LASTUPDATEDBY&gt;&lt;LASTUPDATEDON&gt;6/15/2026 3:30:52 PM&lt;/LASTUPDATEDON&gt;&lt;UTC&gt;1&lt;/UTC&gt;&lt;/UPDATE&gt;&lt;QUERIES bbk=&quot;36627&quot; bbkdesc=&quot;2025 Annual Accounts/EC Annual Accounts/DC - Financial assets&quot; datapro=&quot;BIP_LTC&quot; tdatapro=&quot;BIP_LTC&quot; author=&quot;&quot; modtime=&quot;6/15/2026 3:06:54 PM&quot; moduser=&quot;lamagvi&quot; rolluptime=&quot;&quot; syuser=&quot;lamagvi&quot; syuzeit=&quot;6/15/2026 3:06:54 PM&quot; root=&quot;/BBOOK/DATAPROVIDER[./META/PROPS/ID='BIP_LTC']/DATA&quot; colcount=&quot;7&quot; rowcount=&quot;10&quot; url=&quot;&quot; dynamizeds=&quot;DM Production&quot; dynamizedstype=&quot;9&quot; refreshds=&quot;&quot; viewtype=&quot;1&quot;&gt;&lt;QUERY reftype=&quot;ABS&quot; elmntsel=&quot;TABLE&quot; bbk=&quot;36627&quot; bbkdesc=&quot;2025 Annual Accounts/EC Annual Accounts/DC - Financial assets&quot; datapro=&quot;BIP_LTC&quot; infos=&quot;&quot; iscomment=&quot;0&quot;&gt;&lt;SELECT&gt;/BBOOK/DATAPROVIDER[./META/PROPS/ID='BIP_LTC']/DATA/ROW&lt;/SELECT&gt;&lt;FILTERS&gt;&lt;FILTER&gt;&lt;/FILTER&gt;&lt;/FILTERS&gt;&lt;/QUERY&gt;&lt;/QUERIES&gt;&lt;/OBJECT&gt;"/>
    <w:docVar w:name="BIP_META_DOC_TBL00024" w:val="&lt;OBJECT&gt;&lt;META&gt;&lt;ID&gt;&lt;/ID&gt;&lt;NAME&gt;DOC_TBL0002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33:14&lt;/DYNAMIZEDON&gt;&lt;LASTUPDATEDBY&gt;lamagvi&lt;/LASTUPDATEDBY&gt;&lt;LASTUPDATEDON&gt;6/15/2026 3:30:52 PM&lt;/LASTUPDATEDON&gt;&lt;UTC&gt;1&lt;/UTC&gt;&lt;/UPDATE&gt;&lt;QUERIES bbk=&quot;36764&quot; bbkdesc=&quot;2025 Annual Accounts/EU Annual Accounts/DC - Financial assets&quot; datapro=&quot;BIP_FAFVTSD&quot; tdatapro=&quot;BIP_FAFVTSD&quot; author=&quot;&quot; modtime=&quot;6/15/2026 3:26:58 PM&quot; moduser=&quot;lamagvi&quot; rolluptime=&quot;&quot; syuser=&quot;lamagvi&quot; syuzeit=&quot;6/15/2026 3:26:58 PM&quot; root=&quot;/BBOOK/DATAPROVIDER[./META/PROPS/ID='BIP_FAFVTSD']/DATA&quot; colcount=&quot;4&quot; rowcount=&quot;7&quot; url=&quot;&quot; dynamizeds=&quot;DM Production&quot; dynamizedstype=&quot;9&quot; refreshds=&quot;&quot; viewtype=&quot;1&quot;&gt;&lt;QUERY reftype=&quot;ABS&quot; elmntsel=&quot;TABLE&quot; bbk=&quot;36764&quot; bbkdesc=&quot;2025 Annual Accounts/EU Annual Accounts/DC - Financial assets&quot; datapro=&quot;BIP_FAFVTSD&quot; infos=&quot;&quot; iscomment=&quot;0&quot;&gt;&lt;SELECT&gt;/BBOOK/DATAPROVIDER[./META/PROPS/ID='BIP_FAFVTSD']/DATA/ROW&lt;/SELECT&gt;&lt;FILTERS&gt;&lt;FILTER&gt;&lt;/FILTER&gt;&lt;/FILTERS&gt;&lt;/QUERY&gt;&lt;/QUERIES&gt;&lt;/OBJECT&gt;"/>
    <w:docVar w:name="BIP_META_DOC_TBL00025" w:val="&lt;OBJECT&gt;&lt;META&gt;&lt;ID&gt;&lt;/ID&gt;&lt;NAME&gt;DOC_TBL0002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3/22/2023 8:21:11 AM&lt;/DYNAMIZEDON&gt;&lt;LASTUPDATEDBY&gt;lamagvi&lt;/LASTUPDATEDBY&gt;&lt;LASTUPDATEDON&gt;6/15/2026 3:30:52 PM&lt;/LASTUPDATEDON&gt;&lt;UTC&gt;1&lt;/UTC&gt;&lt;/UPDATE&gt;&lt;QUERIES bbk=&quot;36627&quot; bbkdesc=&quot;2025 Annual Accounts/EC Annual Accounts/DC - Financial assets&quot; datapro=&quot;BIP_RECODER&quot; tdatapro=&quot;BIP_RECODER&quot; author=&quot;&quot; modtime=&quot;6/15/2026 3:06:54 PM&quot; moduser=&quot;lamagvi&quot; rolluptime=&quot;&quot; syuser=&quot;lamagvi&quot; syuzeit=&quot;6/15/2026 3:06:54 PM&quot; root=&quot;/BBOOK/DATAPROVIDER[./META/PROPS/ID='BIP_RECODER']/DATA&quot; colcount=&quot;2&quot; rowcount=&quot;11&quot; url=&quot;&quot; dynamizeds=&quot;DM Production&quot; dynamizedstype=&quot;9&quot; refreshds=&quot;&quot; viewtype=&quot;1&quot;&gt;&lt;QUERY reftype=&quot;ABS&quot; elmntsel=&quot;TABLE&quot; bbk=&quot;36627&quot; bbkdesc=&quot;2025 Annual Accounts/EC Annual Accounts/DC - Financial assets&quot; datapro=&quot;BIP_RECODER&quot; infos=&quot;&quot; iscomment=&quot;0&quot;&gt;&lt;SELECT&gt;/BBOOK/DATAPROVIDER[./META/PROPS/ID='BIP_RECODER']/DATA/ROW&lt;/SELECT&gt;&lt;FILTERS&gt;&lt;FILTER&gt;&lt;/FILTER&gt;&lt;/FILTERS&gt;&lt;/QUERY&gt;&lt;/QUERIES&gt;&lt;/OBJECT&gt;"/>
    <w:docVar w:name="BIP_META_DOC_TBL00026" w:val="&lt;OBJECT&gt;&lt;META&gt;&lt;ID&gt;&lt;/ID&gt;&lt;NAME&gt;DOC_TBL0002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09:13:00&lt;/DYNAMIZEDON&gt;&lt;LASTUPDATEDBY&gt;lamagvi&lt;/LASTUPDATEDBY&gt;&lt;LASTUPDATEDON&gt;6/15/2026 3:31:03 PM&lt;/LASTUPDATEDON&gt;&lt;UTC&gt;1&lt;/UTC&gt;&lt;/UPDATE&gt;&lt;QUERIES bbk=&quot;36765&quot; bbkdesc=&quot;2025 Annual Accounts/EU Annual Accounts/DC - Pre-financing&quot; datapro=&quot;BIP_PF&quot; tdatapro=&quot;BIP_PF&quot; author=&quot;&quot; modtime=&quot;6/15/2026 3:27:59 PM&quot; moduser=&quot;lamagvi&quot; rolluptime=&quot;&quot; syuser=&quot;lamagvi&quot; syuzeit=&quot;6/15/2026 3:27:59 PM&quot; root=&quot;/BBOOK/DATAPROVIDER[./META/PROPS/ID='BIP_PF']/DATA&quot; colcount=&quot;4&quot; rowcount=&quot;12&quot; url=&quot;&quot; dynamizeds=&quot;DM Production&quot; dynamizedstype=&quot;9&quot; refreshds=&quot;&quot; viewtype=&quot;1&quot;&gt;&lt;QUERY reftype=&quot;ABS&quot; elmntsel=&quot;TABLE&quot; bbk=&quot;36765&quot; bbkdesc=&quot;2025 Annual Accounts/EU Annual Accounts/DC - Pre-financing&quot; datapro=&quot;BIP_PF&quot; infos=&quot;&quot; iscomment=&quot;0&quot;&gt;&lt;SELECT&gt;/BBOOK/DATAPROVIDER[./META/PROPS/ID='BIP_PF']/DATA/ROW&lt;/SELECT&gt;&lt;FILTERS&gt;&lt;FILTER&gt;&lt;/FILTER&gt;&lt;/FILTERS&gt;&lt;/QUERY&gt;&lt;/QUERIES&gt;&lt;/OBJECT&gt;"/>
    <w:docVar w:name="BIP_META_DOC_TBL00027" w:val="&lt;OBJECT&gt;&lt;META&gt;&lt;ID&gt;&lt;/ID&gt;&lt;NAME&gt;DOC_TBL0002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3/03/2026 19:20:56&lt;/DYNAMIZEDON&gt;&lt;LASTUPDATEDBY&gt;lamagvi&lt;/LASTUPDATEDBY&gt;&lt;LASTUPDATEDON&gt;6/15/2026 3:31:03 PM&lt;/LASTUPDATEDON&gt;&lt;UTC&gt;1&lt;/UTC&gt;&lt;/UPDATE&gt;&lt;QUERIES bbk=&quot;36765&quot; bbkdesc=&quot;2025 Annual Accounts/EU Annual Accounts/DC - Pre-financing&quot; datapro=&quot;BIP_PFD&quot; tdatapro=&quot;BIP_PFD&quot; author=&quot;&quot; modtime=&quot;6/15/2026 3:27:59 PM&quot; moduser=&quot;lamagvi&quot; rolluptime=&quot;&quot; syuser=&quot;lamagvi&quot; syuzeit=&quot;6/15/2026 3:27:59 PM&quot; root=&quot;/BBOOK/DATAPROVIDER[./META/PROPS/ID='BIP_PFD']/DATA&quot; colcount=&quot;4&quot; rowcount=&quot;14&quot; url=&quot;&quot; dynamizeds=&quot;DM Production&quot; dynamizedstype=&quot;9&quot; refreshds=&quot;&quot; viewtype=&quot;1&quot;&gt;&lt;QUERY reftype=&quot;ABS&quot; elmntsel=&quot;TABLE&quot; bbk=&quot;36765&quot; bbkdesc=&quot;2025 Annual Accounts/EU Annual Accounts/DC - Pre-financing&quot; datapro=&quot;BIP_PFD&quot; infos=&quot;&quot; iscomment=&quot;0&quot;&gt;&lt;SELECT&gt;/BBOOK/DATAPROVIDER[./META/PROPS/ID='BIP_PFD']/DATA/ROW&lt;/SELECT&gt;&lt;FILTERS&gt;&lt;FILTER&gt;&lt;/FILTER&gt;&lt;/FILTERS&gt;&lt;/QUERY&gt;&lt;/QUERIES&gt;&lt;/OBJECT&gt;"/>
    <w:docVar w:name="BIP_META_DOC_TBL00028" w:val="&lt;OBJECT&gt;&lt;META&gt;&lt;ID&gt;&lt;/ID&gt;&lt;NAME&gt;DOC_TBL0002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3/03/2026 19:25:05&lt;/DYNAMIZEDON&gt;&lt;LASTUPDATEDBY&gt;lamagvi&lt;/LASTUPDATEDBY&gt;&lt;LASTUPDATEDON&gt;6/15/2026 3:31:03 PM&lt;/LASTUPDATEDON&gt;&lt;UTC&gt;1&lt;/UTC&gt;&lt;/UPDATE&gt;&lt;QUERIES bbk=&quot;36765&quot; bbkdesc=&quot;2025 Annual Accounts/EU Annual Accounts/DC - Pre-financing&quot; datapro=&quot;BIP_PFDOLD&quot; tdatapro=&quot;BIP_PFDOLD&quot; author=&quot;&quot; modtime=&quot;6/15/2026 3:27:59 PM&quot; moduser=&quot;lamagvi&quot; rolluptime=&quot;&quot; syuser=&quot;lamagvi&quot; syuzeit=&quot;6/15/2026 3:27:59 PM&quot; root=&quot;/BBOOK/DATAPROVIDER[./META/PROPS/ID='BIP_PFDOLD']/DATA&quot; colcount=&quot;4&quot; rowcount=&quot;25&quot; url=&quot;&quot; dynamizeds=&quot;DM Production&quot; dynamizedstype=&quot;9&quot; refreshds=&quot;&quot; viewtype=&quot;1&quot;&gt;&lt;QUERY reftype=&quot;ABS&quot; elmntsel=&quot;TABLE&quot; bbk=&quot;36765&quot; bbkdesc=&quot;2025 Annual Accounts/EU Annual Accounts/DC - Pre-financing&quot; datapro=&quot;BIP_PFDOLD&quot; infos=&quot;&quot; iscomment=&quot;0&quot;&gt;&lt;SELECT&gt;/BBOOK/DATAPROVIDER[./META/PROPS/ID='BIP_PFDOLD']/DATA/ROW&lt;/SELECT&gt;&lt;FILTERS&gt;&lt;FILTER&gt;&lt;/FILTER&gt;&lt;/FILTERS&gt;&lt;/QUERY&gt;&lt;/QUERIES&gt;&lt;/OBJECT&gt;"/>
    <w:docVar w:name="BIP_META_DOC_TBL00029" w:val="&lt;OBJECT&gt;&lt;META&gt;&lt;ID&gt;&lt;/ID&gt;&lt;NAME&gt;DOC_TBL0002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09:20:58&lt;/DYNAMIZEDON&gt;&lt;LASTUPDATEDBY&gt;lamagvi&lt;/LASTUPDATEDBY&gt;&lt;LASTUPDATEDON&gt;6/15/2026 3:31:03 PM&lt;/LASTUPDATEDON&gt;&lt;UTC&gt;1&lt;/UTC&gt;&lt;/UPDATE&gt;&lt;QUERIES bbk=&quot;36629&quot; bbkdesc=&quot;2025 Annual Accounts/EC Annual Accounts/DC - Pre-financing&quot; datapro=&quot;BIP_FEIAS&quot; tdatapro=&quot;BIP_FEIAS&quot; author=&quot;&quot; modtime=&quot;6/15/2026 3:06:55 PM&quot; moduser=&quot;lamagvi&quot; rolluptime=&quot;&quot; syuser=&quot;lamagvi&quot; syuzeit=&quot;6/15/2026 3:06:55 PM&quot; root=&quot;/BBOOK/DATAPROVIDER[./META/PROPS/ID='BIP_FEIAS']/DATA&quot; colcount=&quot;3&quot; rowcount=&quot;7&quot; url=&quot;&quot; dynamizeds=&quot;DM Production&quot; dynamizedstype=&quot;9&quot; refreshds=&quot;&quot; viewtype=&quot;1&quot;&gt;&lt;QUERY reftype=&quot;ABS&quot; elmntsel=&quot;TABLE&quot; bbk=&quot;36629&quot; bbkdesc=&quot;2025 Annual Accounts/EC Annual Accounts/DC - Pre-financing&quot; datapro=&quot;BIP_FEIAS&quot; infos=&quot;&quot; iscomment=&quot;0&quot;&gt;&lt;SELECT&gt;/BBOOK/DATAPROVIDER[./META/PROPS/ID='BIP_FEIAS']/DATA/ROW&lt;/SELECT&gt;&lt;FILTERS&gt;&lt;FILTER&gt;&lt;/FILTER&gt;&lt;/FILTERS&gt;&lt;/QUERY&gt;&lt;/QUERIES&gt;&lt;/OBJECT&gt;"/>
    <w:docVar w:name="BIP_META_DOC_TBL00030" w:val="&lt;OBJECT&gt;&lt;META&gt;&lt;ID&gt;&lt;/ID&gt;&lt;NAME&gt;DOC_TBL0003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53:57&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ERNER&quot; tdatapro=&quot;BIP_ERNER&quot; author=&quot;&quot; modtime=&quot;6/15/2026 3:26:56 PM&quot; moduser=&quot;lamagvi&quot; rolluptime=&quot;&quot; syuser=&quot;lamagvi&quot; syuzeit=&quot;6/15/2026 3:26:56 PM&quot; root=&quot;/BBOOK/DATAPROVIDER[./META/PROPS/ID='BIP_ERNER']/DATA&quot; colcount=&quot;4&quot; rowcount=&quot;11&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ERNER&quot; infos=&quot;&quot; iscomment=&quot;0&quot;&gt;&lt;SELECT&gt;/BBOOK/DATAPROVIDER[./META/PROPS/ID='BIP_ERNER']/DATA/ROW&lt;/SELECT&gt;&lt;FILTERS&gt;&lt;FILTER&gt;&lt;/FILTER&gt;&lt;/FILTERS&gt;&lt;/QUERY&gt;&lt;/QUERIES&gt;&lt;/OBJECT&gt;"/>
    <w:docVar w:name="BIP_META_DOC_TBL00031" w:val="&lt;OBJECT&gt;&lt;META&gt;&lt;ID&gt;&lt;/ID&gt;&lt;NAME&gt;DOC_TBL0003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59:06&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RNET&quot; tdatapro=&quot;BIP_RNET&quot; author=&quot;&quot; modtime=&quot;6/15/2026 3:26:56 PM&quot; moduser=&quot;lamagvi&quot; rolluptime=&quot;&quot; syuser=&quot;lamagvi&quot; syuzeit=&quot;6/15/2026 3:26:56 PM&quot; root=&quot;/BBOOK/DATAPROVIDER[./META/PROPS/ID='BIP_RNET']/DATA&quot; colcount=&quot;4&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RNET&quot; infos=&quot;&quot; iscomment=&quot;0&quot;&gt;&lt;SELECT&gt;/BBOOK/DATAPROVIDER[./META/PROPS/ID='BIP_RNET']/DATA/ROW&lt;/SELECT&gt;&lt;FILTERS&gt;&lt;FILTER&gt;&lt;/FILTER&gt;&lt;/FILTERS&gt;&lt;/QUERY&gt;&lt;/QUERIES&gt;&lt;/OBJECT&gt;"/>
    <w:docVar w:name="BIP_META_DOC_TBL00032" w:val="&lt;OBJECT&gt;&lt;META&gt;&lt;ID&gt;&lt;/ID&gt;&lt;NAME&gt;DOC_TBL0003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6-Mar-21 3:58:12 PM&lt;/DYNAMIZEDON&gt;&lt;LASTUPDATEDBY&gt;lamagvi&lt;/LASTUPDATEDBY&gt;&lt;LASTUPDATEDON&gt;6/15/2026 3:30:51 PM&lt;/LASTUPDATEDON&gt;&lt;UTC&gt;1&lt;/UTC&gt;&lt;/UPDATE&gt;&lt;QUERIES bbk=&quot;36746&quot; bbkdesc=&quot;2025 Annual Accounts/EU Annual Accounts/DC - Recoverables from Member States&quot; datapro=&quot;BIP_RMS&quot; tdatapro=&quot;BIP_RMS&quot; author=&quot;&quot; modtime=&quot;6/15/2026 3:28:01 PM&quot; moduser=&quot;lamagvi&quot; rolluptime=&quot;&quot; syuser=&quot;lamagvi&quot; syuzeit=&quot;6/15/2026 3:28:01 PM&quot; root=&quot;/BBOOK/DATAPROVIDER[./META/PROPS/ID='BIP_RMS']/DATA&quot; colcount=&quot;3&quot; rowcount=&quot;18&quot; url=&quot;&quot; dynamizeds=&quot;DM Production&quot; dynamizedstype=&quot;9&quot; refreshds=&quot;&quot; viewtype=&quot;1&quot;&gt;&lt;QUERY reftype=&quot;ABS&quot; elmntsel=&quot;TABLE&quot; bbk=&quot;36746&quot; bbkdesc=&quot;2025 Annual Accounts/EU Annual Accounts/DC - Recoverables from Member States&quot; datapro=&quot;BIP_RMS&quot; infos=&quot;&quot; iscomment=&quot;0&quot;&gt;&lt;SELECT&gt;/BBOOK/DATAPROVIDER[./META/PROPS/ID='BIP_RMS']/DATA/ROW&lt;/SELECT&gt;&lt;FILTERS&gt;&lt;FILTER&gt;&lt;/FILTER&gt;&lt;/FILTERS&gt;&lt;/QUERY&gt;&lt;/QUERIES&gt;&lt;/OBJECT&gt;"/>
    <w:docVar w:name="BIP_META_DOC_TBL00033" w:val="&lt;OBJECT&gt;&lt;META&gt;&lt;ID&gt;&lt;/ID&gt;&lt;NAME&gt;DOC_TBL0003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34:35&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UKWA&quot; tdatapro=&quot;BIP_UKWA&quot; author=&quot;&quot; modtime=&quot;6/15/2026 3:26:56 PM&quot; moduser=&quot;lamagvi&quot; rolluptime=&quot;&quot; syuser=&quot;lamagvi&quot; syuzeit=&quot;6/15/2026 3:26:56 PM&quot; root=&quot;/BBOOK/DATAPROVIDER[./META/PROPS/ID='BIP_UKWA']/DATA&quot; colcount=&quot;6&quot; rowcount=&quot;7&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UKWA&quot; infos=&quot;&quot; iscomment=&quot;0&quot;&gt;&lt;SELECT&gt;/BBOOK/DATAPROVIDER[./META/PROPS/ID='BIP_UKWA']/DATA/ROW&lt;/SELECT&gt;&lt;FILTERS&gt;&lt;FILTER&gt;&lt;/FILTER&gt;&lt;/FILTERS&gt;&lt;/QUERY&gt;&lt;/QUERIES&gt;&lt;/OBJECT&gt;"/>
    <w:docVar w:name="BIP_META_DOC_TBL00034" w:val="&lt;OBJECT&gt;&lt;META&gt;&lt;ID&gt;&lt;/ID&gt;&lt;NAME&gt;DOC_TBL0003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0:43&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PAYWA&quot; tdatapro=&quot;BIP_PAYWA&quot; author=&quot;&quot; modtime=&quot;6/15/2026 3:26:56 PM&quot; moduser=&quot;lamagvi&quot; rolluptime=&quot;&quot; syuser=&quot;lamagvi&quot; syuzeit=&quot;6/15/2026 3:26:56 PM&quot; root=&quot;/BBOOK/DATAPROVIDER[./META/PROPS/ID='BIP_PAYWA']/DATA&quot; colcount=&quot;5&quot; rowcount=&quot;17&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PAYWA&quot; infos=&quot;&quot; iscomment=&quot;0&quot;&gt;&lt;SELECT&gt;/BBOOK/DATAPROVIDER[./META/PROPS/ID='BIP_PAYWA']/DATA/ROW&lt;/SELECT&gt;&lt;FILTERS&gt;&lt;FILTER&gt;&lt;/FILTER&gt;&lt;/FILTERS&gt;&lt;/QUERY&gt;&lt;/QUERIES&gt;&lt;/OBJECT&gt;"/>
    <w:docVar w:name="BIP_META_DOC_TBL00035" w:val="&lt;OBJECT&gt;&lt;META&gt;&lt;ID&gt;&lt;/ID&gt;&lt;NAME&gt;DOC_TBL0003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5:55&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OComm&quot; tdatapro=&quot;BIP_OComm&quot; author=&quot;&quot; modtime=&quot;6/15/2026 3:26:56 PM&quot; moduser=&quot;lamagvi&quot; rolluptime=&quot;&quot; syuser=&quot;lamagvi&quot; syuzeit=&quot;6/15/2026 3:26:56 PM&quot; root=&quot;/BBOOK/DATAPROVIDER[./META/PROPS/ID='BIP_OComm']/DATA&quot; colcount=&quot;2&quot; rowcount=&quot;10&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OComm&quot; infos=&quot;&quot; iscomment=&quot;0&quot;&gt;&lt;SELECT&gt;/BBOOK/DATAPROVIDER[./META/PROPS/ID='BIP_OComm']/DATA/ROW&lt;/SELECT&gt;&lt;FILTERS&gt;&lt;FILTER&gt;&lt;/FILTER&gt;&lt;/FILTERS&gt;&lt;/QUERY&gt;&lt;/QUERIES&gt;&lt;/OBJECT&gt;"/>
    <w:docVar w:name="BIP_META_DOC_TBL00036" w:val="&lt;OBJECT&gt;&lt;META&gt;&lt;ID&gt;&lt;/ID&gt;&lt;NAME&gt;DOC_TBL0003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8:07&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Uliab&quot; tdatapro=&quot;BIP_Uliab&quot; author=&quot;&quot; modtime=&quot;6/15/2026 3:26:56 PM&quot; moduser=&quot;lamagvi&quot; rolluptime=&quot;&quot; syuser=&quot;lamagvi&quot; syuzeit=&quot;6/15/2026 3:26:56 PM&quot; root=&quot;/BBOOK/DATAPROVIDER[./META/PROPS/ID='BIP_Uliab']/DATA&quot; colcount=&quot;5&quot; rowcount=&quot;8&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Uliab&quot; infos=&quot;&quot; iscomment=&quot;0&quot;&gt;&lt;SELECT&gt;/BBOOK/DATAPROVIDER[./META/PROPS/ID='BIP_Uliab']/DATA/ROW&lt;/SELECT&gt;&lt;FILTERS&gt;&lt;FILTER&gt;&lt;/FILTER&gt;&lt;/FILTERS&gt;&lt;/QUERY&gt;&lt;/QUERIES&gt;&lt;/OBJECT&gt;"/>
    <w:docVar w:name="BIP_META_DOC_TBL00037" w:val="&lt;OBJECT&gt;&lt;META&gt;&lt;ID&gt;&lt;/ID&gt;&lt;NAME&gt;DOC_TBL0003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53:51&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OthAm&quot; tdatapro=&quot;BIP_OthAm&quot; author=&quot;&quot; modtime=&quot;6/15/2026 3:26:56 PM&quot; moduser=&quot;lamagvi&quot; rolluptime=&quot;&quot; syuser=&quot;lamagvi&quot; syuzeit=&quot;6/15/2026 3:26:56 PM&quot; root=&quot;/BBOOK/DATAPROVIDER[./META/PROPS/ID='BIP_OthAm']/DATA&quot; colcount=&quot;3&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OthAm&quot; infos=&quot;&quot; iscomment=&quot;0&quot;&gt;&lt;SELECT&gt;/BBOOK/DATAPROVIDER[./META/PROPS/ID='BIP_OthAm']/DATA/ROW&lt;/SELECT&gt;&lt;FILTERS&gt;&lt;FILTER&gt;&lt;/FILTER&gt;&lt;/FILTERS&gt;&lt;/QUERY&gt;&lt;/QUERIES&gt;&lt;/OBJECT&gt;"/>
    <w:docVar w:name="BIP_META_DOC_TBL00038" w:val="&lt;OBJECT&gt;&lt;META&gt;&lt;ID&gt;&lt;/ID&gt;&lt;NAME&gt;DOC_TBL0003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57:00&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Art136&quot; tdatapro=&quot;BIP_Art136&quot; author=&quot;&quot; modtime=&quot;6/15/2026 3:26:56 PM&quot; moduser=&quot;lamagvi&quot; rolluptime=&quot;&quot; syuser=&quot;lamagvi&quot; syuzeit=&quot;6/15/2026 3:26:56 PM&quot; root=&quot;/BBOOK/DATAPROVIDER[./META/PROPS/ID='BIP_Art136']/DATA&quot; colcount=&quot;2&quot; rowcount=&quot;13&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Art136&quot; infos=&quot;&quot; iscomment=&quot;0&quot;&gt;&lt;SELECT&gt;/BBOOK/DATAPROVIDER[./META/PROPS/ID='BIP_Art136']/DATA/ROW&lt;/SELECT&gt;&lt;FILTERS&gt;&lt;FILTER&gt;&lt;/FILTER&gt;&lt;/FILTERS&gt;&lt;/QUERY&gt;&lt;/QUERIES&gt;&lt;/OBJECT&gt;"/>
    <w:docVar w:name="BIP_META_DOC_TBL00039" w:val="&lt;OBJECT&gt;&lt;META&gt;&lt;ID&gt;&lt;/ID&gt;&lt;NAME&gt;DOC_TBL0003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0/10/2025 10:29:52&lt;/DYNAMIZEDON&gt;&lt;LASTUPDATEDBY&gt;lamagvi&lt;/LASTUPDATEDBY&gt;&lt;LASTUPDATEDON&gt;6/15/2026 3:30:51 PM&lt;/LASTUPDATEDON&gt;&lt;UTC&gt;1&lt;/UTC&gt;&lt;/UPDATE&gt;&lt;QUERIES bbk=&quot;36612&quot; bbkdesc=&quot;2025 Annual Accounts/EC Annual Accounts/DC - Exchange receivables and Non-exchange recoverables&quot; datapro=&quot;BIP_FINES&quot; tdatapro=&quot;BIP_FINES&quot; author=&quot;&quot; modtime=&quot;6/15/2026 3:06:54 PM&quot; moduser=&quot;lamagvi&quot; rolluptime=&quot;&quot; syuser=&quot;lamagvi&quot; syuzeit=&quot;6/15/2026 3:06:54 PM&quot; root=&quot;/BBOOK/DATAPROVIDER[./META/PROPS/ID='BIP_FINES']/DATA&quot; colcount=&quot;3&quot; rowcount=&quot;8&quot; url=&quot;&quot; dynamizeds=&quot;DM Production&quot; dynamizedstype=&quot;9&quot; refreshds=&quot;&quot; viewtype=&quot;1&quot;&gt;&lt;QUERY reftype=&quot;ABS&quot; elmntsel=&quot;TABLE&quot; bbk=&quot;36612&quot; bbkdesc=&quot;2025 Annual Accounts/EC Annual Accounts/DC - Exchange receivables and Non-exchange recoverables&quot; datapro=&quot;BIP_FINES&quot; infos=&quot;&quot; iscomment=&quot;0&quot;&gt;&lt;SELECT&gt;/BBOOK/DATAPROVIDER[./META/PROPS/ID='BIP_FINES']/DATA/ROW&lt;/SELECT&gt;&lt;FILTERS&gt;&lt;FILTER&gt;&lt;/FILTER&gt;&lt;/FILTERS&gt;&lt;/QUERY&gt;&lt;/QUERIES&gt;&lt;/OBJECT&gt;"/>
    <w:docVar w:name="BIP_META_DOC_TBL00040" w:val="&lt;OBJECT&gt;&lt;META&gt;&lt;ID&gt;&lt;/ID&gt;&lt;NAME&gt;DOC_TBL0004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01:09&lt;/DYNAMIZEDON&gt;&lt;LASTUPDATEDBY&gt;lamagvi&lt;/LASTUPDATEDBY&gt;&lt;LASTUPDATEDON&gt;6/15/2026 3:30:51 PM&lt;/LASTUPDATEDON&gt;&lt;UTC&gt;1&lt;/UTC&gt;&lt;/UPDATE&gt;&lt;QUERIES bbk=&quot;36747&quot; bbkdesc=&quot;2025 Annual Accounts/EU Annual Accounts/DC - Accrued income and Deferred charges&quot; datapro=&quot;BIP_AIDC&quot; tdatapro=&quot;BIP_AIDC&quot; author=&quot;&quot; modtime=&quot;6/15/2026 3:26:52 PM&quot; moduser=&quot;lamagvi&quot; rolluptime=&quot;&quot; syuser=&quot;lamagvi&quot; syuzeit=&quot;6/15/2026 3:26:52 PM&quot; root=&quot;/BBOOK/DATAPROVIDER[./META/PROPS/ID='BIP_AIDC']/DATA&quot; colcount=&quot;3&quot; rowcount=&quot;7&quot; url=&quot;&quot; dynamizeds=&quot;DM Production&quot; dynamizedstype=&quot;9&quot; refreshds=&quot;&quot; viewtype=&quot;1&quot;&gt;&lt;QUERY reftype=&quot;ABS&quot; elmntsel=&quot;TABLE&quot; bbk=&quot;36747&quot; bbkdesc=&quot;2025 Annual Accounts/EU Annual Accounts/DC - Accrued income and Deferred charges&quot; datapro=&quot;BIP_AIDC&quot; infos=&quot;&quot; iscomment=&quot;0&quot;&gt;&lt;SELECT&gt;/BBOOK/DATAPROVIDER[./META/PROPS/ID='BIP_AIDC']/DATA/ROW&lt;/SELECT&gt;&lt;FILTERS&gt;&lt;FILTER&gt;&lt;/FILTER&gt;&lt;/FILTERS&gt;&lt;/QUERY&gt;&lt;/QUERIES&gt;&lt;/OBJECT&gt;"/>
    <w:docVar w:name="BIP_META_DOC_TBL00041" w:val="&lt;OBJECT&gt;&lt;META&gt;&lt;ID&gt;&lt;/ID&gt;&lt;NAME&gt;DOC_TBL0004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09:41:32&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RET&quot; tdatapro=&quot;BIP_RET&quot; author=&quot;&quot; modtime=&quot;6/15/2026 3:26:56 PM&quot; moduser=&quot;lamagvi&quot; rolluptime=&quot;&quot; syuser=&quot;lamagvi&quot; syuzeit=&quot;6/15/2026 3:26:56 PM&quot; root=&quot;/BBOOK/DATAPROVIDER[./META/PROPS/ID='BIP_RET']/DATA&quot; colcount=&quot;3&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RET&quot; infos=&quot;&quot; iscomment=&quot;0&quot;&gt;&lt;SELECT&gt;/BBOOK/DATAPROVIDER[./META/PROPS/ID='BIP_RET']/DATA/ROW&lt;/SELECT&gt;&lt;FILTERS&gt;&lt;FILTER&gt;&lt;/FILTER&gt;&lt;/FILTERS&gt;&lt;/QUERY&gt;&lt;/QUERIES&gt;&lt;/OBJECT&gt;"/>
    <w:docVar w:name="BIP_META_DOC_TBL00042" w:val="&lt;OBJECT&gt;&lt;META&gt;&lt;ID&gt;&lt;/ID&gt;&lt;NAME&gt;DOC_TBL0004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10:25:51&lt;/DYNAMIZEDON&gt;&lt;LASTUPDATEDBY&gt;lamagvi&lt;/LASTUPDATEDBY&gt;&lt;LASTUPDATEDON&gt;6/15/2026 3:30:59 PM&lt;/LASTUPDATEDON&gt;&lt;UTC&gt;1&lt;/UTC&gt;&lt;/UPDATE&gt;&lt;QUERIES bbk=&quot;36766&quot; bbkdesc=&quot;2025 Annual Accounts/EU Annual Accounts/DC - Inventories&quot; datapro=&quot;BIP_INV&quot; tdatapro=&quot;BIP_INV&quot; author=&quot;&quot; modtime=&quot;6/15/2026 3:27:01 PM&quot; moduser=&quot;lamagvi&quot; rolluptime=&quot;&quot; syuser=&quot;lamagvi&quot; syuzeit=&quot;6/15/2026 3:27:01 PM&quot; root=&quot;/BBOOK/DATAPROVIDER[./META/PROPS/ID='BIP_INV']/DATA&quot; colcount=&quot;3&quot; rowcount=&quot;5&quot; url=&quot;&quot; dynamizeds=&quot;DM Production&quot; dynamizedstype=&quot;9&quot; refreshds=&quot;&quot; viewtype=&quot;1&quot;&gt;&lt;QUERY reftype=&quot;ABS&quot; elmntsel=&quot;TABLE&quot; bbk=&quot;36766&quot; bbkdesc=&quot;2025 Annual Accounts/EU Annual Accounts/DC - Inventories&quot; datapro=&quot;BIP_INV&quot; infos=&quot;&quot; iscomment=&quot;0&quot;&gt;&lt;SELECT&gt;/BBOOK/DATAPROVIDER[./META/PROPS/ID='BIP_INV']/DATA/ROW&lt;/SELECT&gt;&lt;FILTERS&gt;&lt;FILTER&gt;&lt;/FILTER&gt;&lt;/FILTERS&gt;&lt;/QUERY&gt;&lt;/QUERIES&gt;&lt;/OBJECT&gt;"/>
    <w:docVar w:name="BIP_META_DOC_TBL00043" w:val="&lt;OBJECT&gt;&lt;META&gt;&lt;ID&gt;&lt;/ID&gt;&lt;NAME&gt;DOC_TBL0004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5/08/2019 10:34:46&lt;/DYNAMIZEDON&gt;&lt;LASTUPDATEDBY&gt;lamagvi&lt;/LASTUPDATEDBY&gt;&lt;LASTUPDATEDON&gt;6/15/2026 3:27:54 PM&lt;/LASTUPDATEDON&gt;&lt;UTC&gt;1&lt;/UTC&gt;&lt;/UPDATE&gt;&lt;QUERIES bbk=&quot;36767&quot; bbkdesc=&quot;2025 Annual Accounts/EU Annual Accounts/DC - Cash and cash equivalents&quot; datapro=&quot;BIP_CCE&quot; tdatapro=&quot;BIP_CCE&quot; author=&quot;&quot; modtime=&quot;6/15/2026 3:26:50 PM&quot; moduser=&quot;lamagvi&quot; rolluptime=&quot;&quot; syuser=&quot;lamagvi&quot; syuzeit=&quot;6/15/2026 3:26:50 PM&quot; root=&quot;/BBOOK/DATAPROVIDER[./META/PROPS/ID='BIP_CCE']/DATA&quot; colcount=&quot;4&quot; rowcount=&quot;17&quot; url=&quot;&quot; dynamizeds=&quot;DM Production&quot; dynamizedstype=&quot;9&quot; refreshds=&quot;&quot; viewtype=&quot;1&quot;&gt;&lt;QUERY reftype=&quot;ABS&quot; elmntsel=&quot;TABLE&quot; bbk=&quot;36767&quot; bbkdesc=&quot;2025 Annual Accounts/EU Annual Accounts/DC - Cash and cash equivalents&quot; datapro=&quot;BIP_CCE&quot; infos=&quot;&quot; iscomment=&quot;0&quot;&gt;&lt;SELECT&gt;/BBOOK/DATAPROVIDER[./META/PROPS/ID='BIP_CCE']/DATA/ROW&lt;/SELECT&gt;&lt;FILTERS&gt;&lt;FILTER&gt;&lt;/FILTER&gt;&lt;/FILTERS&gt;&lt;/QUERY&gt;&lt;/QUERIES&gt;&lt;/OBJECT&gt;"/>
    <w:docVar w:name="BIP_META_DOC_TBL00044" w:val="&lt;OBJECT&gt;&lt;META&gt;&lt;ID&gt;&lt;/ID&gt;&lt;NAME&gt;DOC_TBL0004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49:54&lt;/DYNAMIZEDON&gt;&lt;LASTUPDATEDBY&gt;lamagvi&lt;/LASTUPDATEDBY&gt;&lt;LASTUPDATEDON&gt;6/15/2026 3:31:02 PM&lt;/LASTUPDATEDON&gt;&lt;UTC&gt;1&lt;/UTC&gt;&lt;/UPDATE&gt;&lt;QUERIES bbk=&quot;36768&quot; bbkdesc=&quot;2025 Annual Accounts/EU Annual Accounts/DC - Pension and other employee benefits&quot; datapro=&quot;BIP_PENS1&quot; tdatapro=&quot;BIP_PENS1&quot; author=&quot;&quot; modtime=&quot;6/15/2026 3:27:59 PM&quot; moduser=&quot;lamagvi&quot; rolluptime=&quot;&quot; syuser=&quot;lamagvi&quot; syuzeit=&quot;6/15/2026 3:27:59 PM&quot; root=&quot;/BBOOK/DATAPROVIDER[./META/PROPS/ID='BIP_PENS1']/DATA&quot; colcount=&quot;6&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quot; infos=&quot;&quot; iscomment=&quot;0&quot;&gt;&lt;SELECT&gt;/BBOOK/DATAPROVIDER[./META/PROPS/ID='BIP_PENS1']/DATA/ROW&lt;/SELECT&gt;&lt;FILTERS&gt;&lt;FILTER&gt;&lt;/FILTER&gt;&lt;/FILTERS&gt;&lt;/QUERY&gt;&lt;/QUERIES&gt;&lt;/OBJECT&gt;"/>
    <w:docVar w:name="BIP_META_DOC_TBL00045" w:val="&lt;OBJECT&gt;&lt;META&gt;&lt;ID&gt;&lt;/ID&gt;&lt;NAME&gt;DOC_TBL0004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1:04&lt;/DYNAMIZEDON&gt;&lt;LASTUPDATEDBY&gt;lamagvi&lt;/LASTUPDATEDBY&gt;&lt;LASTUPDATEDON&gt;6/15/2026 3:31:02 PM&lt;/LASTUPDATEDON&gt;&lt;UTC&gt;1&lt;/UTC&gt;&lt;/UPDATE&gt;&lt;QUERIES bbk=&quot;36768&quot; bbkdesc=&quot;2025 Annual Accounts/EU Annual Accounts/DC - Pension and other employee benefits&quot; datapro=&quot;BIP_PENS2&quot; tdatapro=&quot;BIP_PENS2&quot; author=&quot;&quot; modtime=&quot;6/15/2026 3:27:59 PM&quot; moduser=&quot;lamagvi&quot; rolluptime=&quot;&quot; syuser=&quot;lamagvi&quot; syuzeit=&quot;6/15/2026 3:27:59 PM&quot; root=&quot;/BBOOK/DATAPROVIDER[./META/PROPS/ID='BIP_PENS2']/DATA&quot; colcount=&quot;5&quot; rowcount=&quot;1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2&quot; infos=&quot;&quot; iscomment=&quot;0&quot;&gt;&lt;SELECT&gt;/BBOOK/DATAPROVIDER[./META/PROPS/ID='BIP_PENS2']/DATA/ROW&lt;/SELECT&gt;&lt;FILTERS&gt;&lt;FILTER&gt;&lt;/FILTER&gt;&lt;/FILTERS&gt;&lt;/QUERY&gt;&lt;/QUERIES&gt;&lt;/OBJECT&gt;"/>
    <w:docVar w:name="BIP_META_DOC_TBL00046" w:val="&lt;OBJECT&gt;&lt;META&gt;&lt;ID&gt;&lt;/ID&gt;&lt;NAME&gt;DOC_TBL0004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7:01&lt;/DYNAMIZEDON&gt;&lt;LASTUPDATEDBY&gt;lamagvi&lt;/LASTUPDATEDBY&gt;&lt;LASTUPDATEDON&gt;6/15/2026 3:31:02 PM&lt;/LASTUPDATEDON&gt;&lt;UTC&gt;1&lt;/UTC&gt;&lt;/UPDATE&gt;&lt;QUERIES bbk=&quot;36768&quot; bbkdesc=&quot;2025 Annual Accounts/EU Annual Accounts/DC - Pension and other employee benefits&quot; datapro=&quot;BIP_PENS3&quot; tdatapro=&quot;BIP_PENS3&quot; author=&quot;&quot; modtime=&quot;6/15/2026 3:27:59 PM&quot; moduser=&quot;lamagvi&quot; rolluptime=&quot;&quot; syuser=&quot;lamagvi&quot; syuzeit=&quot;6/15/2026 3:27:59 PM&quot; root=&quot;/BBOOK/DATAPROVIDER[./META/PROPS/ID='BIP_PENS3']/DATA&quot; colcount=&quot;4&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3&quot; infos=&quot;&quot; iscomment=&quot;0&quot;&gt;&lt;SELECT&gt;/BBOOK/DATAPROVIDER[./META/PROPS/ID='BIP_PENS3']/DATA/ROW&lt;/SELECT&gt;&lt;FILTERS&gt;&lt;FILTER&gt;&lt;/FILTER&gt;&lt;/FILTERS&gt;&lt;/QUERY&gt;&lt;/QUERIES&gt;&lt;/OBJECT&gt;"/>
    <w:docVar w:name="BIP_META_DOC_TBL00047" w:val="&lt;OBJECT&gt;&lt;META&gt;&lt;ID&gt;&lt;/ID&gt;&lt;NAME&gt;DOC_TBL0004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8:10&lt;/DYNAMIZEDON&gt;&lt;LASTUPDATEDBY&gt;lamagvi&lt;/LASTUPDATEDBY&gt;&lt;LASTUPDATEDON&gt;6/15/2026 3:31:02 PM&lt;/LASTUPDATEDON&gt;&lt;UTC&gt;1&lt;/UTC&gt;&lt;/UPDATE&gt;&lt;QUERIES bbk=&quot;36768&quot; bbkdesc=&quot;2025 Annual Accounts/EU Annual Accounts/DC - Pension and other employee benefits&quot; datapro=&quot;BIP_SPL&quot; tdatapro=&quot;BIP_SPL&quot; author=&quot;&quot; modtime=&quot;6/15/2026 3:27:59 PM&quot; moduser=&quot;lamagvi&quot; rolluptime=&quot;&quot; syuser=&quot;lamagvi&quot; syuzeit=&quot;6/15/2026 3:27:59 PM&quot; root=&quot;/BBOOK/DATAPROVIDER[./META/PROPS/ID='BIP_SPL']/DATA&quot; colcount=&quot;3&quot; rowcount=&quot;1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SPL&quot; infos=&quot;&quot; iscomment=&quot;0&quot;&gt;&lt;SELECT&gt;/BBOOK/DATAPROVIDER[./META/PROPS/ID='BIP_SPL']/DATA/ROW&lt;/SELECT&gt;&lt;FILTERS&gt;&lt;FILTER&gt;&lt;/FILTER&gt;&lt;/FILTERS&gt;&lt;/QUERY&gt;&lt;/QUERIES&gt;&lt;/OBJECT&gt;"/>
    <w:docVar w:name="BIP_META_DOC_TBL00048" w:val="&lt;OBJECT&gt;&lt;META&gt;&lt;ID&gt;&lt;/ID&gt;&lt;NAME&gt;DOC_TBL0004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11:05 AM&lt;/DYNAMIZEDON&gt;&lt;LASTUPDATEDBY&gt;lamagvi&lt;/LASTUPDATEDBY&gt;&lt;LASTUPDATEDON&gt;6/15/2026 3:31:02 PM&lt;/LASTUPDATEDON&gt;&lt;UTC&gt;1&lt;/UTC&gt;&lt;/UPDATE&gt;&lt;QUERIES bbk=&quot;36768&quot; bbkdesc=&quot;2025 Annual Accounts/EU Annual Accounts/DC - Pension and other employee benefits&quot; datapro=&quot;BIP_PENS10&quot; tdatapro=&quot;BIP_PENS10&quot; author=&quot;&quot; modtime=&quot;6/15/2026 3:27:59 PM&quot; moduser=&quot;lamagvi&quot; rolluptime=&quot;&quot; syuser=&quot;lamagvi&quot; syuzeit=&quot;6/15/2026 3:27:59 PM&quot; root=&quot;/BBOOK/DATAPROVIDER[./META/PROPS/ID='BIP_PENS10']/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0&quot; infos=&quot;&quot; iscomment=&quot;0&quot;&gt;&lt;SELECT&gt;/BBOOK/DATAPROVIDER[./META/PROPS/ID='BIP_PENS10']/DATA/ROW&lt;/SELECT&gt;&lt;FILTERS&gt;&lt;FILTER&gt;&lt;/FILTER&gt;&lt;/FILTERS&gt;&lt;/QUERY&gt;&lt;/QUERIES&gt;&lt;/OBJECT&gt;"/>
    <w:docVar w:name="BIP_META_DOC_TBL00049" w:val="&lt;OBJECT&gt;&lt;META&gt;&lt;ID&gt;&lt;/ID&gt;&lt;NAME&gt;DOC_TBL0004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6:54&lt;/DYNAMIZEDON&gt;&lt;LASTUPDATEDBY&gt;lamagvi&lt;/LASTUPDATEDBY&gt;&lt;LASTUPDATEDON&gt;6/15/2026 3:31:02 PM&lt;/LASTUPDATEDON&gt;&lt;UTC&gt;1&lt;/UTC&gt;&lt;/UPDATE&gt;&lt;QUERIES bbk=&quot;36768&quot; bbkdesc=&quot;2025 Annual Accounts/EU Annual Accounts/DC - Pension and other employee benefits&quot; datapro=&quot;BIP_PENS11&quot; tdatapro=&quot;BIP_PENS11&quot; author=&quot;&quot; modtime=&quot;6/15/2026 3:27:59 PM&quot; moduser=&quot;lamagvi&quot; rolluptime=&quot;&quot; syuser=&quot;lamagvi&quot; syuzeit=&quot;6/15/2026 3:27:59 PM&quot; root=&quot;/BBOOK/DATAPROVIDER[./META/PROPS/ID='BIP_PENS11']/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1&quot; infos=&quot;&quot; iscomment=&quot;0&quot;&gt;&lt;SELECT&gt;/BBOOK/DATAPROVIDER[./META/PROPS/ID='BIP_PENS11']/DATA/ROW&lt;/SELECT&gt;&lt;FILTERS&gt;&lt;FILTER&gt;&lt;/FILTER&gt;&lt;/FILTERS&gt;&lt;/QUERY&gt;&lt;/QUERIES&gt;&lt;/OBJECT&gt;"/>
    <w:docVar w:name="BIP_META_DOC_TBL00050" w:val="&lt;OBJECT&gt;&lt;META&gt;&lt;ID&gt;&lt;/ID&gt;&lt;NAME&gt;DOC_TBL0005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7:36&lt;/DYNAMIZEDON&gt;&lt;LASTUPDATEDBY&gt;lamagvi&lt;/LASTUPDATEDBY&gt;&lt;LASTUPDATEDON&gt;6/15/2026 3:31:02 PM&lt;/LASTUPDATEDON&gt;&lt;UTC&gt;1&lt;/UTC&gt;&lt;/UPDATE&gt;&lt;QUERIES bbk=&quot;36768&quot; bbkdesc=&quot;2025 Annual Accounts/EU Annual Accounts/DC - Pension and other employee benefits&quot; datapro=&quot;BIP_PENS12&quot; tdatapro=&quot;BIP_PENS12&quot; author=&quot;&quot; modtime=&quot;6/15/2026 3:27:59 PM&quot; moduser=&quot;lamagvi&quot; rolluptime=&quot;&quot; syuser=&quot;lamagvi&quot; syuzeit=&quot;6/15/2026 3:27:59 PM&quot; root=&quot;/BBOOK/DATAPROVIDER[./META/PROPS/ID='BIP_PENS12']/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2&quot; infos=&quot;&quot; iscomment=&quot;0&quot;&gt;&lt;SELECT&gt;/BBOOK/DATAPROVIDER[./META/PROPS/ID='BIP_PENS12']/DATA/ROW&lt;/SELECT&gt;&lt;FILTERS&gt;&lt;FILTER&gt;&lt;/FILTER&gt;&lt;/FILTERS&gt;&lt;/QUERY&gt;&lt;/QUERIES&gt;&lt;/OBJECT&gt;"/>
    <w:docVar w:name="BIP_META_DOC_TBL00051" w:val="&lt;OBJECT&gt;&lt;META&gt;&lt;ID&gt;&lt;/ID&gt;&lt;NAME&gt;DOC_TBL0005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9:53&lt;/DYNAMIZEDON&gt;&lt;LASTUPDATEDBY&gt;lamagvi&lt;/LASTUPDATEDBY&gt;&lt;LASTUPDATEDON&gt;6/15/2026 3:31:02 PM&lt;/LASTUPDATEDON&gt;&lt;UTC&gt;1&lt;/UTC&gt;&lt;/UPDATE&gt;&lt;QUERIES bbk=&quot;36768&quot; bbkdesc=&quot;2025 Annual Accounts/EU Annual Accounts/DC - Pension and other employee benefits&quot; datapro=&quot;BIP_PENS6&quot; tdatapro=&quot;BIP_PENS6&quot; author=&quot;&quot; modtime=&quot;6/15/2026 3:27:59 PM&quot; moduser=&quot;lamagvi&quot; rolluptime=&quot;&quot; syuser=&quot;lamagvi&quot; syuzeit=&quot;6/15/2026 3:27:59 PM&quot; root=&quot;/BBOOK/DATAPROVIDER[./META/PROPS/ID='BIP_PENS6']/DATA&quot; colcount=&quot;5&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6&quot; infos=&quot;&quot; iscomment=&quot;0&quot;&gt;&lt;SELECT&gt;/BBOOK/DATAPROVIDER[./META/PROPS/ID='BIP_PENS6']/DATA/ROW&lt;/SELECT&gt;&lt;FILTERS&gt;&lt;FILTER&gt;&lt;/FILTER&gt;&lt;/FILTERS&gt;&lt;/QUERY&gt;&lt;/QUERIES&gt;&lt;/OBJECT&gt;"/>
    <w:docVar w:name="BIP_META_DOC_TBL00052" w:val="&lt;OBJECT&gt;&lt;META&gt;&lt;ID&gt;&lt;/ID&gt;&lt;NAME&gt;DOC_TBL0005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0:50&lt;/DYNAMIZEDON&gt;&lt;LASTUPDATEDBY&gt;lamagvi&lt;/LASTUPDATEDBY&gt;&lt;LASTUPDATEDON&gt;6/15/2026 3:31:02 PM&lt;/LASTUPDATEDON&gt;&lt;UTC&gt;1&lt;/UTC&gt;&lt;/UPDATE&gt;&lt;QUERIES bbk=&quot;36768&quot; bbkdesc=&quot;2025 Annual Accounts/EU Annual Accounts/DC - Pension and other employee benefits&quot; datapro=&quot;BIP_PENS7&quot; tdatapro=&quot;BIP_PENS7&quot; author=&quot;&quot; modtime=&quot;6/15/2026 3:27:59 PM&quot; moduser=&quot;lamagvi&quot; rolluptime=&quot;&quot; syuser=&quot;lamagvi&quot; syuzeit=&quot;6/15/2026 3:27:59 PM&quot; root=&quot;/BBOOK/DATAPROVIDER[./META/PROPS/ID='BIP_PENS7']/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7&quot; infos=&quot;&quot; iscomment=&quot;0&quot;&gt;&lt;SELECT&gt;/BBOOK/DATAPROVIDER[./META/PROPS/ID='BIP_PENS7']/DATA/ROW&lt;/SELECT&gt;&lt;FILTERS&gt;&lt;FILTER&gt;&lt;/FILTER&gt;&lt;/FILTERS&gt;&lt;/QUERY&gt;&lt;/QUERIES&gt;&lt;/OBJECT&gt;"/>
    <w:docVar w:name="BIP_META_DOC_TBL00053" w:val="&lt;OBJECT&gt;&lt;META&gt;&lt;ID&gt;&lt;/ID&gt;&lt;NAME&gt;DOC_TBL0005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1:31&lt;/DYNAMIZEDON&gt;&lt;LASTUPDATEDBY&gt;lamagvi&lt;/LASTUPDATEDBY&gt;&lt;LASTUPDATEDON&gt;6/15/2026 3:31:02 PM&lt;/LASTUPDATEDON&gt;&lt;UTC&gt;1&lt;/UTC&gt;&lt;/UPDATE&gt;&lt;QUERIES bbk=&quot;36768&quot; bbkdesc=&quot;2025 Annual Accounts/EU Annual Accounts/DC - Pension and other employee benefits&quot; datapro=&quot;BIP_PENS8&quot; tdatapro=&quot;BIP_PENS8&quot; author=&quot;&quot; modtime=&quot;6/15/2026 3:27:59 PM&quot; moduser=&quot;lamagvi&quot; rolluptime=&quot;&quot; syuser=&quot;lamagvi&quot; syuzeit=&quot;6/15/2026 3:27:59 PM&quot; root=&quot;/BBOOK/DATAPROVIDER[./META/PROPS/ID='BIP_PENS8']/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8&quot; infos=&quot;&quot; iscomment=&quot;0&quot;&gt;&lt;SELECT&gt;/BBOOK/DATAPROVIDER[./META/PROPS/ID='BIP_PENS8']/DATA/ROW&lt;/SELECT&gt;&lt;FILTERS&gt;&lt;FILTER&gt;&lt;/FILTER&gt;&lt;/FILTERS&gt;&lt;/QUERY&gt;&lt;/QUERIES&gt;&lt;/OBJECT&gt;"/>
    <w:docVar w:name="BIP_META_DOC_TBL00054" w:val="&lt;OBJECT&gt;&lt;META&gt;&lt;ID&gt;&lt;/ID&gt;&lt;NAME&gt;DOC_TBL0005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2:15&lt;/DYNAMIZEDON&gt;&lt;LASTUPDATEDBY&gt;lamagvi&lt;/LASTUPDATEDBY&gt;&lt;LASTUPDATEDON&gt;6/15/2026 3:31:02 PM&lt;/LASTUPDATEDON&gt;&lt;UTC&gt;1&lt;/UTC&gt;&lt;/UPDATE&gt;&lt;QUERIES bbk=&quot;36768&quot; bbkdesc=&quot;2025 Annual Accounts/EU Annual Accounts/DC - Pension and other employee benefits&quot; datapro=&quot;BIP_PENS9&quot; tdatapro=&quot;BIP_PENS9&quot; author=&quot;&quot; modtime=&quot;6/15/2026 3:27:59 PM&quot; moduser=&quot;lamagvi&quot; rolluptime=&quot;&quot; syuser=&quot;lamagvi&quot; syuzeit=&quot;6/15/2026 3:27:59 PM&quot; root=&quot;/BBOOK/DATAPROVIDER[./META/PROPS/ID='BIP_PENS9']/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9&quot; infos=&quot;&quot; iscomment=&quot;0&quot;&gt;&lt;SELECT&gt;/BBOOK/DATAPROVIDER[./META/PROPS/ID='BIP_PENS9']/DATA/ROW&lt;/SELECT&gt;&lt;FILTERS&gt;&lt;FILTER&gt;&lt;/FILTER&gt;&lt;/FILTERS&gt;&lt;/QUERY&gt;&lt;/QUERIES&gt;&lt;/OBJECT&gt;"/>
    <w:docVar w:name="BIP_META_DOC_TBL00055" w:val="&lt;OBJECT&gt;&lt;META&gt;&lt;ID&gt;&lt;/ID&gt;&lt;NAME&gt;DOC_TBL0005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14:47&lt;/DYNAMIZEDON&gt;&lt;LASTUPDATEDBY&gt;lamagvi&lt;/LASTUPDATEDBY&gt;&lt;LASTUPDATEDON&gt;6/15/2026 3:31:04 PM&lt;/LASTUPDATEDON&gt;&lt;UTC&gt;1&lt;/UTC&gt;&lt;/UPDATE&gt;&lt;QUERIES bbk=&quot;36769&quot; bbkdesc=&quot;2025 Annual Accounts/EU Annual Accounts/DC - Provisions&quot; datapro=&quot;BIP_PROV&quot; tdatapro=&quot;BIP_PROV&quot; author=&quot;&quot; modtime=&quot;6/15/2026 3:28:00 PM&quot; moduser=&quot;lamagvi&quot; rolluptime=&quot;&quot; syuser=&quot;lamagvi&quot; syuzeit=&quot;6/15/2026 3:28:00 PM&quot; root=&quot;/BBOOK/DATAPROVIDER[./META/PROPS/ID='BIP_PROV']/DATA&quot; colcount=&quot;8&quot; rowcount=&quot;12&quot; url=&quot;&quot; dynamizeds=&quot;DM Production&quot; dynamizedstype=&quot;9&quot; refreshds=&quot;&quot; viewtype=&quot;1&quot;&gt;&lt;QUERY reftype=&quot;ABS&quot; elmntsel=&quot;TABLE&quot; bbk=&quot;36769&quot; bbkdesc=&quot;2025 Annual Accounts/EU Annual Accounts/DC - Provisions&quot; datapro=&quot;BIP_PROV&quot; infos=&quot;&quot; iscomment=&quot;0&quot;&gt;&lt;SELECT&gt;/BBOOK/DATAPROVIDER[./META/PROPS/ID='BIP_PROV']/DATA/ROW&lt;/SELECT&gt;&lt;FILTERS&gt;&lt;FILTER&gt;&lt;/FILTER&gt;&lt;/FILTERS&gt;&lt;/QUERY&gt;&lt;/QUERIES&gt;&lt;/OBJECT&gt;"/>
    <w:docVar w:name="BIP_META_DOC_TBL00056" w:val="&lt;OBJECT&gt;&lt;META&gt;&lt;ID&gt;&lt;/ID&gt;&lt;NAME&gt;DOC_TBL0005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7/12/2021 12:14:26&lt;/DYNAMIZEDON&gt;&lt;LASTUPDATEDBY&gt;lamagvi&lt;/LASTUPDATEDBY&gt;&lt;LASTUPDATEDON&gt;6/15/2026 3:30:53 PM&lt;/LASTUPDATEDON&gt;&lt;UTC&gt;1&lt;/UTC&gt;&lt;/UPDATE&gt;&lt;QUERIES bbk=&quot;36770&quot; bbkdesc=&quot;2025 Annual Accounts/EU Annual Accounts/DC - Financial liabilities&quot; datapro=&quot;BIP_FINL&quot; tdatapro=&quot;BIP_FINL&quot; author=&quot;&quot; modtime=&quot;6/15/2026 3:26:58 PM&quot; moduser=&quot;lamagvi&quot; rolluptime=&quot;&quot; syuser=&quot;lamagvi&quot; syuzeit=&quot;6/15/2026 3:26:58 PM&quot; root=&quot;/BBOOK/DATAPROVIDER[./META/PROPS/ID='BIP_FINL']/DATA&quot; colcount=&quot;4&quot; rowcount=&quot;13&quot; url=&quot;&quot; dynamizeds=&quot;DM Production&quot; dynamizedstype=&quot;9&quot; refreshds=&quot;&quot; viewtype=&quot;1&quot;&gt;&lt;QUERY reftype=&quot;ABS&quot; elmntsel=&quot;TABLE&quot; bbk=&quot;36770&quot; bbkdesc=&quot;2025 Annual Accounts/EU Annual Accounts/DC - Financial liabilities&quot; datapro=&quot;BIP_FINL&quot; infos=&quot;&quot; iscomment=&quot;0&quot;&gt;&lt;SELECT&gt;/BBOOK/DATAPROVIDER[./META/PROPS/ID='BIP_FINL']/DATA/ROW&lt;/SELECT&gt;&lt;FILTERS&gt;&lt;FILTER&gt;&lt;/FILTER&gt;&lt;/FILTERS&gt;&lt;/QUERY&gt;&lt;/QUERIES&gt;&lt;/OBJECT&gt;"/>
    <w:docVar w:name="BIP_META_DOC_TBL00057" w:val="&lt;OBJECT&gt;&lt;META&gt;&lt;ID&gt;&lt;/ID&gt;&lt;NAME&gt;DOC_TBL0005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7/12/2021 11:41:13&lt;/DYNAMIZEDON&gt;&lt;LASTUPDATEDBY&gt;lamagvi&lt;/LASTUPDATEDBY&gt;&lt;LASTUPDATEDON&gt;6/15/2026 3:30:53 PM&lt;/LASTUPDATEDON&gt;&lt;UTC&gt;1&lt;/UTC&gt;&lt;/UPDATE&gt;&lt;QUERIES bbk=&quot;36770&quot; bbkdesc=&quot;2025 Annual Accounts/EU Annual Accounts/DC - Financial liabilities&quot; datapro=&quot;BIP_BORR&quot; tdatapro=&quot;BIP_BORR&quot; author=&quot;&quot; modtime=&quot;6/15/2026 3:26:58 PM&quot; moduser=&quot;lamagvi&quot; rolluptime=&quot;&quot; syuser=&quot;lamagvi&quot; syuzeit=&quot;6/15/2026 3:26:58 PM&quot; root=&quot;/BBOOK/DATAPROVIDER[./META/PROPS/ID='BIP_BORR']/DATA&quot; colcount=&quot;4&quot; rowcount=&quot;7&quot; url=&quot;&quot; dynamizeds=&quot;DM Production&quot; dynamizedstype=&quot;9&quot; refreshds=&quot;&quot; viewtype=&quot;1&quot;&gt;&lt;QUERY reftype=&quot;ABS&quot; elmntsel=&quot;TABLE&quot; bbk=&quot;36770&quot; bbkdesc=&quot;2025 Annual Accounts/EU Annual Accounts/DC - Financial liabilities&quot; datapro=&quot;BIP_BORR&quot; infos=&quot;&quot; iscomment=&quot;0&quot;&gt;&lt;SELECT&gt;/BBOOK/DATAPROVIDER[./META/PROPS/ID='BIP_BORR']/DATA/ROW&lt;/SELECT&gt;&lt;FILTERS&gt;&lt;FILTER&gt;&lt;/FILTER&gt;&lt;/FILTERS&gt;&lt;/QUERY&gt;&lt;/QUERIES&gt;&lt;/OBJECT&gt;"/>
    <w:docVar w:name="BIP_META_DOC_TBL00058" w:val="&lt;OBJECT&gt;&lt;META&gt;&lt;ID&gt;&lt;/ID&gt;&lt;NAME&gt;DOC_TBL0005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piperar&lt;/DYNAMIZEDBY&gt;&lt;DYNAMIZEDON&gt;21-03-2025 14:32:34&lt;/DYNAMIZEDON&gt;&lt;LASTUPDATEDBY&gt;lamagvi&lt;/LASTUPDATEDBY&gt;&lt;LASTUPDATEDON&gt;6/15/2026 3:30:53 PM&lt;/LASTUPDATEDON&gt;&lt;UTC&gt;1&lt;/UTC&gt;&lt;/UPDATE&gt;&lt;QUERIES bbk=&quot;36633&quot; bbkdesc=&quot;2025 Annual Accounts/EC Annual Accounts/DC - Financial liabilities&quot; datapro=&quot;BIP_LGFBF&quot; tdatapro=&quot;BIP_LGFBF&quot; author=&quot;&quot; modtime=&quot;6/15/2026 3:06:54 PM&quot; moduser=&quot;lamagvi&quot; rolluptime=&quot;&quot; syuser=&quot;lamagvi&quot; syuzeit=&quot;6/15/2026 3:06:54 PM&quot; root=&quot;/BBOOK/DATAPROVIDER[./META/PROPS/ID='BIP_LGFBF']/DATA&quot; colcount=&quot;8&quot; rowcount=&quot;10&quot; url=&quot;&quot; dynamizeds=&quot;DM Production&quot; dynamizedstype=&quot;9&quot; refreshds=&quot;&quot; viewtype=&quot;1&quot;&gt;&lt;QUERY reftype=&quot;ABS&quot; elmntsel=&quot;TABLE&quot; bbk=&quot;36633&quot; bbkdesc=&quot;2025 Annual Accounts/EC Annual Accounts/DC - Financial liabilities&quot; datapro=&quot;BIP_LGFBF&quot; infos=&quot;&quot; iscomment=&quot;0&quot;&gt;&lt;SELECT&gt;/BBOOK/DATAPROVIDER[./META/PROPS/ID='BIP_LGFBF']/DATA/ROW&lt;/SELECT&gt;&lt;FILTERS&gt;&lt;FILTER&gt;&lt;/FILTER&gt;&lt;/FILTERS&gt;&lt;/QUERY&gt;&lt;/QUERIES&gt;&lt;/OBJECT&gt;"/>
    <w:docVar w:name="BIP_META_DOC_TBL00059" w:val="&lt;OBJECT&gt;&lt;META&gt;&lt;ID&gt;&lt;/ID&gt;&lt;NAME&gt;DOC_TBL0005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8/01/2026 14:46:31&lt;/DYNAMIZEDON&gt;&lt;LASTUPDATEDBY&gt;lamagvi&lt;/LASTUPDATEDBY&gt;&lt;LASTUPDATEDON&gt;6/15/2026 3:30:53 PM&lt;/LASTUPDATEDON&gt;&lt;UTC&gt;1&lt;/UTC&gt;&lt;/UPDATE&gt;&lt;QUERIES bbk=&quot;36770&quot; bbkdesc=&quot;2025 Annual Accounts/EU Annual Accounts/DC - Financial liabilities&quot; datapro=&quot;BIP_OthFinanL&quot; tdatapro=&quot;BIP_OthFinanL&quot; author=&quot;&quot; modtime=&quot;6/15/2026 3:26:58 PM&quot; moduser=&quot;lamagvi&quot; rolluptime=&quot;&quot; syuser=&quot;lamagvi&quot; syuzeit=&quot;6/15/2026 3:26:58 PM&quot; root=&quot;/BBOOK/DATAPROVIDER[./META/PROPS/ID='BIP_OthFinanL']/DATA&quot; colcount=&quot;3&quot; rowcount=&quot;15&quot; url=&quot;&quot; dynamizeds=&quot;DM Production&quot; dynamizedstype=&quot;9&quot; refreshds=&quot;&quot; viewtype=&quot;1&quot;&gt;&lt;QUERY reftype=&quot;ABS&quot; elmntsel=&quot;TABLE&quot; bbk=&quot;36770&quot; bbkdesc=&quot;2025 Annual Accounts/EU Annual Accounts/DC - Financial liabilities&quot; datapro=&quot;BIP_OthFinanL&quot; infos=&quot;&quot; iscomment=&quot;0&quot;&gt;&lt;SELECT&gt;/BBOOK/DATAPROVIDER[./META/PROPS/ID='BIP_OthFinanL']/DATA/ROW&lt;/SELECT&gt;&lt;FILTERS&gt;&lt;FILTER&gt;&lt;/FILTER&gt;&lt;/FILTERS&gt;&lt;/QUERY&gt;&lt;/QUERIES&gt;&lt;/OBJECT&gt;"/>
    <w:docVar w:name="BIP_META_DOC_TBL00060" w:val="&lt;OBJECT&gt;&lt;META&gt;&lt;ID&gt;&lt;/ID&gt;&lt;NAME&gt;DOC_TBL0006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5/08/2019 11:45:47&lt;/DYNAMIZEDON&gt;&lt;LASTUPDATEDBY&gt;lamagvi&lt;/LASTUPDATEDBY&gt;&lt;LASTUPDATEDON&gt;6/15/2026 3:30:53 PM&lt;/LASTUPDATEDON&gt;&lt;UTC&gt;1&lt;/UTC&gt;&lt;/UPDATE&gt;&lt;QUERIES bbk=&quot;36772&quot; bbkdesc=&quot;2025 Annual Accounts/EU Annual Accounts/DC - Finance Lease liabilities&quot; datapro=&quot;BIP_FL&quot; tdatapro=&quot;BIP_FL&quot; author=&quot;&quot; modtime=&quot;6/15/2026 3:26:57 PM&quot; moduser=&quot;lamagvi&quot; rolluptime=&quot;&quot; syuser=&quot;lamagvi&quot; syuzeit=&quot;6/15/2026 3:26:57 PM&quot; root=&quot;/BBOOK/DATAPROVIDER[./META/PROPS/ID='BIP_FL']/DATA&quot; colcount=&quot;5&quot; rowcount=&quot;9&quot; url=&quot;&quot; dynamizeds=&quot;DM Production&quot; dynamizedstype=&quot;9&quot; refreshds=&quot;&quot; viewtype=&quot;1&quot;&gt;&lt;QUERY reftype=&quot;ABS&quot; elmntsel=&quot;TABLE&quot; bbk=&quot;36772&quot; bbkdesc=&quot;2025 Annual Accounts/EU Annual Accounts/DC - Finance Lease liabilities&quot; datapro=&quot;BIP_FL&quot; infos=&quot;&quot; iscomment=&quot;0&quot;&gt;&lt;SELECT&gt;/BBOOK/DATAPROVIDER[./META/PROPS/ID='BIP_FL']/DATA/ROW&lt;/SELECT&gt;&lt;FILTERS&gt;&lt;FILTER&gt;&lt;/FILTER&gt;&lt;/FILTERS&gt;&lt;/QUERY&gt;&lt;/QUERIES&gt;&lt;/OBJECT&gt;"/>
    <w:docVar w:name="BIP_META_DOC_TBL00061" w:val="&lt;OBJECT&gt;&lt;META&gt;&lt;ID&gt;&lt;/ID&gt;&lt;NAME&gt;DOC_TBL0006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3/24/2022 8:17:58 AM&lt;/DYNAMIZEDON&gt;&lt;LASTUPDATEDBY&gt;lamagvi&lt;/LASTUPDATEDBY&gt;&lt;LASTUPDATEDON&gt;6/15/2026 3:30:53 PM&lt;/LASTUPDATEDON&gt;&lt;UTC&gt;1&lt;/UTC&gt;&lt;/UPDATE&gt;&lt;QUERIES bbk=&quot;36633&quot; bbkdesc=&quot;2025 Annual Accounts/EC Annual Accounts/DC - Financial liabilities&quot; datapro=&quot;BIP_FGL&quot; tdatapro=&quot;BIP_FGL&quot; author=&quot;&quot; modtime=&quot;3/23/2022 6:54:14 PM&quot; moduser=&quot;piperar&quot; rolluptime=&quot;&quot; syuser=&quot;piperar&quot; syuzeit=&quot;3/23/2022 6:54:14 PM&quot; root=&quot;/DATA&quot; colcount=&quot;5&quot; rowcount=&quot;19&quot; url=&quot;&quot; dynamizeds=&quot;DM Production&quot; dynamizedstype=&quot;9&quot; refreshds=&quot;&quot; viewtype=&quot;1&quot;&gt;&lt;QUERY reftype=&quot;ABS&quot; elmntsel=&quot;TABLE&quot; bbk=&quot;36633&quot; bbkdesc=&quot;2025 Annual Accounts/EC Annual Accounts/DC - Financial liabilities&quot; datapro=&quot;BIP_FGL&quot; infos=&quot;&quot; iscomment=&quot;0&quot;&gt;&lt;SELECT&gt;/BBOOK/DATAPROVIDER[./META/PROPS/ID='BIP_FGL']/DATA/ROW&lt;/SELECT&gt;&lt;FILTERS&gt;&lt;FILTER&gt;&lt;/FILTER&gt;&lt;/FILTERS&gt;&lt;/QUERY&gt;&lt;/QUERIES&gt;&lt;/OBJECT&gt;"/>
    <w:docVar w:name="BIP_META_DOC_TBL00062" w:val="&lt;OBJECT&gt;&lt;META&gt;&lt;ID&gt;&lt;/ID&gt;&lt;NAME&gt;DOC_TBL0006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2:17:01&lt;/DYNAMIZEDON&gt;&lt;LASTUPDATEDBY&gt;lamagvi&lt;/LASTUPDATEDBY&gt;&lt;LASTUPDATEDON&gt;6/15/2026 3:31:01 PM&lt;/LASTUPDATEDON&gt;&lt;UTC&gt;1&lt;/UTC&gt;&lt;/UPDATE&gt;&lt;QUERIES bbk=&quot;36748&quot; bbkdesc=&quot;2025 Annual Accounts/EU Annual Accounts/DC - Payables&quot; datapro=&quot;BIP_PAYAB&quot; tdatapro=&quot;BIP_PAYAB&quot; author=&quot;&quot; modtime=&quot;6/15/2026 3:27:58 PM&quot; moduser=&quot;lamagvi&quot; rolluptime=&quot;&quot; syuser=&quot;lamagvi&quot; syuzeit=&quot;6/15/2026 3:27:58 PM&quot; root=&quot;/BBOOK/DATAPROVIDER[./META/PROPS/ID='BIP_PAYAB']/DATA&quot; colcount=&quot;7&quot; rowcount=&quot;16&quot; url=&quot;&quot; dynamizeds=&quot;DM Production&quot; dynamizedstype=&quot;9&quot; refreshds=&quot;&quot; viewtype=&quot;1&quot;&gt;&lt;QUERY reftype=&quot;ABS&quot; elmntsel=&quot;TABLE&quot; bbk=&quot;36748&quot; bbkdesc=&quot;2025 Annual Accounts/EU Annual Accounts/DC - Payables&quot; datapro=&quot;BIP_PAYAB&quot; infos=&quot;&quot; iscomment=&quot;0&quot;&gt;&lt;SELECT&gt;/BBOOK/DATAPROVIDER[./META/PROPS/ID='BIP_PAYAB']/DATA/ROW&lt;/SELECT&gt;&lt;FILTERS&gt;&lt;FILTER&gt;&lt;/FILTER&gt;&lt;/FILTERS&gt;&lt;/QUERY&gt;&lt;/QUERIES&gt;&lt;/OBJECT&gt;"/>
    <w:docVar w:name="BIP_META_DOC_TBL00063" w:val="&lt;OBJECT&gt;&lt;META&gt;&lt;ID&gt;&lt;/ID&gt;&lt;NAME&gt;DOC_TBL0006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preutan&lt;/DYNAMIZEDBY&gt;&lt;DYNAMIZEDON&gt;25-03-2021 19:42:18&lt;/DYNAMIZEDON&gt;&lt;LASTUPDATEDBY&gt;lamagvi&lt;/LASTUPDATEDBY&gt;&lt;LASTUPDATEDON&gt;6/15/2026 3:27:52 PM&lt;/LASTUPDATEDON&gt;&lt;UTC&gt;1&lt;/UTC&gt;&lt;/UPDATE&gt;&lt;QUERIES bbk=&quot;36773&quot; bbkdesc=&quot;2025 Annual Accounts/EU Annual Accounts/DC - Accrued charges and Deferred income&quot; datapro=&quot;BIP_ACCDEF&quot; tdatapro=&quot;BIP_ACCDEF&quot; author=&quot;&quot; modtime=&quot;6/15/2026 3:26:48 PM&quot; moduser=&quot;lamagvi&quot; rolluptime=&quot;&quot; syuser=&quot;lamagvi&quot; syuzeit=&quot;6/15/2026 3:26:48 PM&quot; root=&quot;/BBOOK/DATAPROVIDER[./META/PROPS/ID='BIP_ACCDEF']/DATA&quot; colcount=&quot;3&quot; rowcount=&quot;6&quot; url=&quot;&quot; dynamizeds=&quot;DM Production&quot; dynamizedstype=&quot;9&quot; refreshds=&quot;&quot; viewtype=&quot;1&quot;&gt;&lt;QUERY reftype=&quot;ABS&quot; elmntsel=&quot;TABLE&quot; bbk=&quot;36773&quot; bbkdesc=&quot;2025 Annual Accounts/EU Annual Accounts/DC - Accrued charges and Deferred income&quot; datapro=&quot;BIP_ACCDEF&quot; infos=&quot;&quot; iscomment=&quot;0&quot;&gt;&lt;SELECT&gt;/BBOOK/DATAPROVIDER[./META/PROPS/ID='BIP_ACCDEF']/DATA/ROW&lt;/SELECT&gt;&lt;FILTERS&gt;&lt;FILTER&gt;&lt;/FILTER&gt;&lt;/FILTERS&gt;&lt;/QUERY&gt;&lt;/QUERIES&gt;&lt;/OBJECT&gt;"/>
    <w:docVar w:name="BIP_META_DOC_TBL00064" w:val="&lt;OBJECT&gt;&lt;META&gt;&lt;ID&gt;&lt;/ID&gt;&lt;NAME&gt;DOC_TBL0006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2:32:03&lt;/DYNAMIZEDON&gt;&lt;LASTUPDATEDBY&gt;lamagvi&lt;/LASTUPDATEDBY&gt;&lt;LASTUPDATEDON&gt;6/15/2026 3:27:52 PM&lt;/LASTUPDATEDON&gt;&lt;UTC&gt;1&lt;/UTC&gt;&lt;/UPDATE&gt;&lt;QUERIES bbk=&quot;36773&quot; bbkdesc=&quot;2025 Annual Accounts/EU Annual Accounts/DC - Accrued charges and Deferred income&quot; datapro=&quot;BIP_ACDISPLIT&quot; tdatapro=&quot;BIP_ACDISPLIT&quot; author=&quot;&quot; modtime=&quot;6/15/2026 3:26:48 PM&quot; moduser=&quot;lamagvi&quot; rolluptime=&quot;&quot; syuser=&quot;lamagvi&quot; syuzeit=&quot;6/15/2026 3:26:48 PM&quot; root=&quot;/BBOOK/DATAPROVIDER[./META/PROPS/ID='BIP_ACDISPLIT']/DATA&quot; colcount=&quot;3&quot; rowcount=&quot;9&quot; url=&quot;&quot; dynamizeds=&quot;DM Production&quot; dynamizedstype=&quot;9&quot; refreshds=&quot;&quot; viewtype=&quot;1&quot;&gt;&lt;QUERY reftype=&quot;ABS&quot; elmntsel=&quot;TABLE&quot; bbk=&quot;36773&quot; bbkdesc=&quot;2025 Annual Accounts/EU Annual Accounts/DC - Accrued charges and Deferred income&quot; datapro=&quot;BIP_ACDISPLIT&quot; infos=&quot;&quot; iscomment=&quot;0&quot;&gt;&lt;SELECT&gt;/BBOOK/DATAPROVIDER[./META/PROPS/ID='BIP_ACDISPLIT']/DATA/ROW&lt;/SELECT&gt;&lt;FILTERS&gt;&lt;FILTER&gt;&lt;/FILTER&gt;&lt;/FILTERS&gt;&lt;/QUERY&gt;&lt;/QUERIES&gt;&lt;/OBJECT&gt;"/>
    <w:docVar w:name="BIP_META_DOC_TBL00065" w:val="&lt;OBJECT&gt;&lt;META&gt;&lt;ID&gt;&lt;/ID&gt;&lt;NAME&gt;DOC_TBL0006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31/07/2019 12:33:37&lt;/DYNAMIZEDON&gt;&lt;LASTUPDATEDBY&gt;lamagvi&lt;/LASTUPDATEDBY&gt;&lt;LASTUPDATEDON&gt;6/15/2026 3:31:00 PM&lt;/LASTUPDATEDON&gt;&lt;UTC&gt;1&lt;/UTC&gt;&lt;/UPDATE&gt;&lt;QUERIES bbk=&quot;36774&quot; bbkdesc=&quot;2025 Annual Accounts/EU Annual Accounts/DC - Net assets&quot; datapro=&quot;BIP_MEMST1&quot; tdatapro=&quot;BIP_MEMST1&quot; author=&quot;&quot; modtime=&quot;6/15/2026 3:27:56 PM&quot; moduser=&quot;lamagvi&quot; rolluptime=&quot;&quot; syuser=&quot;lamagvi&quot; syuzeit=&quot;6/15/2026 3:27:56 PM&quot; root=&quot;/BBOOK/DATAPROVIDER[./META/PROPS/ID='BIP_MEMST1']/DATA&quot; colcount=&quot;2&quot; rowcount=&quot;8&quot; url=&quot;&quot; dynamizeds=&quot;DM Production&quot; dynamizedstype=&quot;9&quot; refreshds=&quot;&quot; viewtype=&quot;1&quot;&gt;&lt;QUERY reftype=&quot;ABS&quot; elmntsel=&quot;TABLE&quot; bbk=&quot;36774&quot; bbkdesc=&quot;2025 Annual Accounts/EU Annual Accounts/DC - Net assets&quot; datapro=&quot;BIP_MEMST1&quot; infos=&quot;&quot; iscomment=&quot;0&quot;&gt;&lt;SELECT&gt;/BBOOK/DATAPROVIDER[./META/PROPS/ID='BIP_MEMST1']/DATA/ROW&lt;/SELECT&gt;&lt;FILTERS&gt;&lt;FILTER&gt;&lt;/FILTER&gt;&lt;/FILTERS&gt;&lt;/QUERY&gt;&lt;/QUERIES&gt;&lt;/OBJECT&gt;"/>
    <w:docVar w:name="BIP_META_DOC_TBL00066" w:val="&lt;OBJECT&gt;&lt;META&gt;&lt;ID&gt;&lt;/ID&gt;&lt;NAME&gt;DOC_TBL0006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5/11/2024 09:46:03&lt;/DYNAMIZEDON&gt;&lt;LASTUPDATEDBY&gt;lamagvi&lt;/LASTUPDATEDBY&gt;&lt;LASTUPDATEDON&gt;6/15/2026 3:31:05 PM&lt;/LASTUPDATEDON&gt;&lt;UTC&gt;1&lt;/UTC&gt;&lt;/UPDATE&gt;&lt;QUERIES bbk=&quot;36775&quot; bbkdesc=&quot;2025 Annual Accounts/EU Annual Accounts/DC - Recovery of expenses&quot; datapro=&quot;BIP_RECOVEXP&quot; tdatapro=&quot;BIP_RECOVEXP&quot; author=&quot;&quot; modtime=&quot;6/15/2026 3:28:01 PM&quot; moduser=&quot;lamagvi&quot; rolluptime=&quot;&quot; syuser=&quot;lamagvi&quot; syuzeit=&quot;6/15/2026 3:28:01 PM&quot; root=&quot;/BBOOK/DATAPROVIDER[./META/PROPS/ID='BIP_RECOVEXP']/DATA&quot; colcount=&quot;3&quot; rowcount=&quot;7&quot; url=&quot;&quot; dynamizeds=&quot;DM Production&quot; dynamizedstype=&quot;9&quot; refreshds=&quot;&quot; viewtype=&quot;1&quot;&gt;&lt;QUERY reftype=&quot;ABS&quot; elmntsel=&quot;TABLE&quot; bbk=&quot;36775&quot; bbkdesc=&quot;2025 Annual Accounts/EU Annual Accounts/DC - Recovery of expenses&quot; datapro=&quot;BIP_RECOVEXP&quot; infos=&quot;&quot; iscomment=&quot;0&quot;&gt;&lt;SELECT&gt;/BBOOK/DATAPROVIDER[./META/PROPS/ID='BIP_RECOVEXP']/DATA/ROW&lt;/SELECT&gt;&lt;FILTERS&gt;&lt;FILTER&gt;&lt;/FILTER&gt;&lt;/FILTERS&gt;&lt;/QUERY&gt;&lt;/QUERIES&gt;&lt;/OBJECT&gt;"/>
    <w:docVar w:name="BIP_META_DOC_TBL00067" w:val="&lt;OBJECT&gt;&lt;META&gt;&lt;ID&gt;&lt;/ID&gt;&lt;NAME&gt;DOC_TBL0006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3:33:15&lt;/DYNAMIZEDON&gt;&lt;LASTUPDATEDBY&gt;lamagvi&lt;/LASTUPDATEDBY&gt;&lt;LASTUPDATEDON&gt;6/15/2026 3:31:05 PM&lt;/LASTUPDATEDON&gt;&lt;UTC&gt;1&lt;/UTC&gt;&lt;/UPDATE&gt;&lt;QUERIES bbk=&quot;36749&quot; bbkdesc=&quot;2025 Annual Accounts/EU Annual Accounts/DC - Other non-exchange revenue&quot; datapro=&quot;BIP_ONER&quot; tdatapro=&quot;BIP_ONER&quot; author=&quot;&quot; modtime=&quot;6/15/2026 3:27:58 PM&quot; moduser=&quot;lamagvi&quot; rolluptime=&quot;&quot; syuser=&quot;lamagvi&quot; syuzeit=&quot;6/15/2026 3:27:58 PM&quot; root=&quot;/BBOOK/DATAPROVIDER[./META/PROPS/ID='BIP_ONER']/DATA&quot; colcount=&quot;3&quot; rowcount=&quot;16&quot; url=&quot;&quot; dynamizeds=&quot;DM Production&quot; dynamizedstype=&quot;9&quot; refreshds=&quot;&quot; viewtype=&quot;1&quot;&gt;&lt;QUERY reftype=&quot;ABS&quot; elmntsel=&quot;TABLE&quot; bbk=&quot;36749&quot; bbkdesc=&quot;2025 Annual Accounts/EU Annual Accounts/DC - Other non-exchange revenue&quot; datapro=&quot;BIP_ONER&quot; infos=&quot;&quot; iscomment=&quot;0&quot;&gt;&lt;SELECT&gt;/BBOOK/DATAPROVIDER[./META/PROPS/ID='BIP_ONER']/DATA/ROW&lt;/SELECT&gt;&lt;FILTERS&gt;&lt;FILTER&gt;&lt;/FILTER&gt;&lt;/FILTERS&gt;&lt;/QUERY&gt;&lt;/QUERIES&gt;&lt;/OBJECT&gt;"/>
    <w:docVar w:name="BIP_META_DOC_TBL00068" w:val="&lt;OBJECT&gt;&lt;META&gt;&lt;ID&gt;&lt;/ID&gt;&lt;NAME&gt;DOC_TBL0006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4:05:43&lt;/DYNAMIZEDON&gt;&lt;LASTUPDATEDBY&gt;lamagvi&lt;/LASTUPDATEDBY&gt;&lt;LASTUPDATEDON&gt;6/15/2026 3:31:05 PM&lt;/LASTUPDATEDON&gt;&lt;UTC&gt;1&lt;/UTC&gt;&lt;/UPDATE&gt;&lt;QUERIES bbk=&quot;36759&quot; bbkdesc=&quot;2025 Annual Accounts/EU Annual Accounts/DC - Financial revenue&quot; datapro=&quot;BIP_FINREV&quot; tdatapro=&quot;BIP_FINREV&quot; author=&quot;&quot; modtime=&quot;6/15/2026 3:26:59 PM&quot; moduser=&quot;lamagvi&quot; rolluptime=&quot;&quot; syuser=&quot;lamagvi&quot; syuzeit=&quot;6/15/2026 3:26:59 PM&quot; root=&quot;/BBOOK/DATAPROVIDER[./META/PROPS/ID='BIP_FINREV']/DATA&quot; colcount=&quot;3&quot; rowcount=&quot;16&quot; url=&quot;&quot; dynamizeds=&quot;DM Production&quot; dynamizedstype=&quot;9&quot; refreshds=&quot;&quot; viewtype=&quot;1&quot;&gt;&lt;QUERY reftype=&quot;ABS&quot; elmntsel=&quot;TABLE&quot; bbk=&quot;36759&quot; bbkdesc=&quot;2025 Annual Accounts/EU Annual Accounts/DC - Financial revenue&quot; datapro=&quot;BIP_FINREV&quot; infos=&quot;&quot; iscomment=&quot;0&quot;&gt;&lt;SELECT&gt;/BBOOK/DATAPROVIDER[./META/PROPS/ID='BIP_FINREV']/DATA/ROW&lt;/SELECT&gt;&lt;FILTERS&gt;&lt;FILTER&gt;&lt;/FILTER&gt;&lt;/FILTERS&gt;&lt;/QUERY&gt;&lt;/QUERIES&gt;&lt;/OBJECT&gt;"/>
    <w:docVar w:name="BIP_META_DOC_TBL00069" w:val="&lt;OBJECT&gt;&lt;META&gt;&lt;ID&gt;&lt;/ID&gt;&lt;NAME&gt;DOC_TBL0006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4:07:08&lt;/DYNAMIZEDON&gt;&lt;LASTUPDATEDBY&gt;lamagvi&lt;/LASTUPDATEDBY&gt;&lt;LASTUPDATEDON&gt;6/15/2026 3:31:05 PM&lt;/LASTUPDATEDON&gt;&lt;UTC&gt;1&lt;/UTC&gt;&lt;/UPDATE&gt;&lt;QUERIES bbk=&quot;36776&quot; bbkdesc=&quot;2025 Annual Accounts/EU Annual Accounts/DC - Other exchange revenue&quot; datapro=&quot;BIP_OER&quot; tdatapro=&quot;BIP_OER&quot; author=&quot;&quot; modtime=&quot;6/15/2026 3:27:56 PM&quot; moduser=&quot;lamagvi&quot; rolluptime=&quot;&quot; syuser=&quot;lamagvi&quot; syuzeit=&quot;6/15/2026 3:27:56 PM&quot; root=&quot;/BBOOK/DATAPROVIDER[./META/PROPS/ID='BIP_OER']/DATA&quot; colcount=&quot;3&quot; rowcount=&quot;9&quot; url=&quot;&quot; dynamizeds=&quot;DM Production&quot; dynamizedstype=&quot;9&quot; refreshds=&quot;&quot; viewtype=&quot;1&quot;&gt;&lt;QUERY reftype=&quot;ABS&quot; elmntsel=&quot;TABLE&quot; bbk=&quot;36776&quot; bbkdesc=&quot;2025 Annual Accounts/EU Annual Accounts/DC - Other exchange revenue&quot; datapro=&quot;BIP_OER&quot; infos=&quot;&quot; iscomment=&quot;0&quot;&gt;&lt;SELECT&gt;/BBOOK/DATAPROVIDER[./META/PROPS/ID='BIP_OER']/DATA/ROW&lt;/SELECT&gt;&lt;FILTERS&gt;&lt;FILTER&gt;&lt;/FILTER&gt;&lt;/FILTERS&gt;&lt;/QUERY&gt;&lt;/QUERIES&gt;&lt;/OBJECT&gt;"/>
    <w:docVar w:name="BIP_META_DOC_TBL00070" w:val="&lt;OBJECT&gt;&lt;META&gt;&lt;ID&gt;&lt;/ID&gt;&lt;NAME&gt;DOC_TBL0007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09:48&lt;/DYNAMIZEDON&gt;&lt;LASTUPDATEDBY&gt;lamagvi&lt;/LASTUPDATEDBY&gt;&lt;LASTUPDATEDON&gt;6/15/2026 3:31:07 PM&lt;/LASTUPDATEDON&gt;&lt;UTC&gt;1&lt;/UTC&gt;&lt;/UPDATE&gt;&lt;QUERIES bbk=&quot;36750&quot; bbkdesc=&quot;2025 Annual Accounts/EU Annual Accounts/DC - Shared Direct and Indirect management&quot; datapro=&quot;BIP_MS&quot; tdatapro=&quot;BIP_MS&quot; author=&quot;&quot; modtime=&quot;6/15/2026 3:28:03 PM&quot; moduser=&quot;lamagvi&quot; rolluptime=&quot;&quot; syuser=&quot;lamagvi&quot; syuzeit=&quot;6/15/2026 3:28:03 PM&quot; root=&quot;/BBOOK/DATAPROVIDER[./META/PROPS/ID='BIP_MS']/DATA&quot; colcount=&quot;3&quot; rowcount=&quot;8&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MS&quot; infos=&quot;&quot; iscomment=&quot;0&quot;&gt;&lt;SELECT&gt;/BBOOK/DATAPROVIDER[./META/PROPS/ID='BIP_MS']/DATA/ROW&lt;/SELECT&gt;&lt;FILTERS&gt;&lt;FILTER&gt;&lt;/FILTER&gt;&lt;/FILTERS&gt;&lt;/QUERY&gt;&lt;/QUERIES&gt;&lt;/OBJECT&gt;"/>
    <w:docVar w:name="BIP_META_DOC_TBL00071" w:val="&lt;OBJECT&gt;&lt;META&gt;&lt;ID&gt;&lt;/ID&gt;&lt;NAME&gt;DOC_TBL0007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11:14&lt;/DYNAMIZEDON&gt;&lt;LASTUPDATEDBY&gt;lamagvi&lt;/LASTUPDATEDBY&gt;&lt;LASTUPDATEDON&gt;6/15/2026 3:31:07 PM&lt;/LASTUPDATEDON&gt;&lt;UTC&gt;1&lt;/UTC&gt;&lt;/UPDATE&gt;&lt;QUERIES bbk=&quot;36750&quot; bbkdesc=&quot;2025 Annual Accounts/EU Annual Accounts/DC - Shared Direct and Indirect management&quot; datapro=&quot;BIP_GR&quot; tdatapro=&quot;BIP_GR&quot; author=&quot;&quot; modtime=&quot;6/15/2026 3:28:03 PM&quot; moduser=&quot;lamagvi&quot; rolluptime=&quot;&quot; syuser=&quot;lamagvi&quot; syuzeit=&quot;6/15/2026 3:28:03 PM&quot; root=&quot;/BBOOK/DATAPROVIDER[./META/PROPS/ID='BIP_GR']/DATA&quot; colcount=&quot;3&quot; rowcount=&quot;5&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GR&quot; infos=&quot;&quot; iscomment=&quot;0&quot;&gt;&lt;SELECT&gt;/BBOOK/DATAPROVIDER[./META/PROPS/ID='BIP_GR']/DATA/ROW&lt;/SELECT&gt;&lt;FILTERS&gt;&lt;FILTER&gt;&lt;/FILTER&gt;&lt;/FILTERS&gt;&lt;/QUERY&gt;&lt;/QUERIES&gt;&lt;/OBJECT&gt;"/>
    <w:docVar w:name="BIP_META_DOC_TBL00072" w:val="&lt;OBJECT&gt;&lt;META&gt;&lt;ID&gt;&lt;/ID&gt;&lt;NAME&gt;DOC_TBL0007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12:13&lt;/DYNAMIZEDON&gt;&lt;LASTUPDATEDBY&gt;lamagvi&lt;/LASTUPDATEDBY&gt;&lt;LASTUPDATEDON&gt;6/15/2026 3:31:07 PM&lt;/LASTUPDATEDON&gt;&lt;UTC&gt;1&lt;/UTC&gt;&lt;/UPDATE&gt;&lt;QUERIES bbk=&quot;36750&quot; bbkdesc=&quot;2025 Annual Accounts/EU Annual Accounts/DC - Shared Direct and Indirect management&quot; datapro=&quot;BIP_CT&quot; tdatapro=&quot;BIP_CT&quot; author=&quot;&quot; modtime=&quot;6/15/2026 3:28:03 PM&quot; moduser=&quot;lamagvi&quot; rolluptime=&quot;&quot; syuser=&quot;lamagvi&quot; syuzeit=&quot;6/15/2026 3:28:03 PM&quot; root=&quot;/BBOOK/DATAPROVIDER[./META/PROPS/ID='BIP_CT']/DATA&quot; colcount=&quot;3&quot; rowcount=&quot;4&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CT&quot; infos=&quot;&quot; iscomment=&quot;0&quot;&gt;&lt;SELECT&gt;/BBOOK/DATAPROVIDER[./META/PROPS/ID='BIP_CT']/DATA/ROW&lt;/SELECT&gt;&lt;FILTERS&gt;&lt;FILTER&gt;&lt;/FILTER&gt;&lt;/FILTERS&gt;&lt;/QUERY&gt;&lt;/QUERIES&gt;&lt;/OBJECT&gt;"/>
    <w:docVar w:name="BIP_META_DOC_TBL00073" w:val="&lt;OBJECT&gt;&lt;META&gt;&lt;ID&gt;&lt;/ID&gt;&lt;NAME&gt;DOC_TBL0007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08:06&lt;/DYNAMIZEDON&gt;&lt;LASTUPDATEDBY&gt;lamagvi&lt;/LASTUPDATEDBY&gt;&lt;LASTUPDATEDON&gt;6/15/2026 3:31:08 PM&lt;/LASTUPDATEDON&gt;&lt;UTC&gt;1&lt;/UTC&gt;&lt;/UPDATE&gt;&lt;QUERIES bbk=&quot;36777&quot; bbkdesc=&quot;2025 Annual Accounts/EU Annual Accounts/DC - Staff and Pension costs - Changes in employee benefits actuarial assumptions&quot; datapro=&quot;BIP_SPC&quot; tdatapro=&quot;BIP_SPC&quot; author=&quot;&quot; modtime=&quot;6/15/2026 3:28:03 PM&quot; moduser=&quot;lamagvi&quot; rolluptime=&quot;&quot; syuser=&quot;lamagvi&quot; syuzeit=&quot;6/15/2026 3:28:03 PM&quot; root=&quot;/BBOOK/DATAPROVIDER[./META/PROPS/ID='BIP_SPC']/DATA&quot; colcount=&quot;3&quot; rowcount=&quot;5&quot; url=&quot;&quot; dynamizeds=&quot;DM Production&quot; dynamizedstype=&quot;9&quot; refreshds=&quot;&quot; viewtype=&quot;1&quot;&gt;&lt;QUERY reftype=&quot;ABS&quot; elmntsel=&quot;TABLE&quot; bbk=&quot;36777&quot; bbkdesc=&quot;2025 Annual Accounts/EU Annual Accounts/DC - Staff and Pension costs - Changes in employee benefits actuarial assumptions&quot; datapro=&quot;BIP_SPC&quot; infos=&quot;&quot; iscomment=&quot;0&quot;&gt;&lt;SELECT&gt;/BBOOK/DATAPROVIDER[./META/PROPS/ID='BIP_SPC']/DATA/ROW&lt;/SELECT&gt;&lt;FILTERS&gt;&lt;FILTER&gt;&lt;/FILTER&gt;&lt;/FILTERS&gt;&lt;/QUERY&gt;&lt;/QUERIES&gt;&lt;/OBJECT&gt;"/>
    <w:docVar w:name="BIP_META_DOC_TBL00074" w:val="&lt;OBJECT&gt;&lt;META&gt;&lt;ID&gt;&lt;/ID&gt;&lt;NAME&gt;DOC_TBL0007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12:41:29&lt;/DYNAMIZEDON&gt;&lt;LASTUPDATEDBY&gt;lamagvi&lt;/LASTUPDATEDBY&gt;&lt;LASTUPDATEDON&gt;6/15/2026 3:30:51 PM&lt;/LASTUPDATEDON&gt;&lt;UTC&gt;1&lt;/UTC&gt;&lt;/UPDATE&gt;&lt;QUERIES bbk=&quot;36760&quot; bbkdesc=&quot;2025 Annual Accounts/EU Annual Accounts/DC - Finance costs&quot; datapro=&quot;BIP_FINEXP&quot; tdatapro=&quot;BIP_FINEXP&quot; author=&quot;&quot; modtime=&quot;6/15/2026 3:26:56 PM&quot; moduser=&quot;lamagvi&quot; rolluptime=&quot;&quot; syuser=&quot;lamagvi&quot; syuzeit=&quot;6/15/2026 3:26:56 PM&quot; root=&quot;/BBOOK/DATAPROVIDER[./META/PROPS/ID='BIP_FINEXP']/DATA&quot; colcount=&quot;3&quot; rowcount=&quot;19&quot; url=&quot;&quot; dynamizeds=&quot;DM Production&quot; dynamizedstype=&quot;9&quot; refreshds=&quot;&quot; viewtype=&quot;1&quot;&gt;&lt;QUERY reftype=&quot;ABS&quot; elmntsel=&quot;TABLE&quot; bbk=&quot;36760&quot; bbkdesc=&quot;2025 Annual Accounts/EU Annual Accounts/DC - Finance costs&quot; datapro=&quot;BIP_FINEXP&quot; infos=&quot;&quot; iscomment=&quot;0&quot;&gt;&lt;SELECT&gt;/BBOOK/DATAPROVIDER[./META/PROPS/ID='BIP_FINEXP']/DATA/ROW&lt;/SELECT&gt;&lt;FILTERS&gt;&lt;FILTER&gt;&lt;/FILTER&gt;&lt;/FILTERS&gt;&lt;/QUERY&gt;&lt;/QUERIES&gt;&lt;/OBJECT&gt;"/>
    <w:docVar w:name="BIP_META_DOC_TBL00075" w:val="&lt;OBJECT&gt;&lt;META&gt;&lt;ID&gt;&lt;/ID&gt;&lt;NAME&gt;DOC_TBL0007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5/11/2024 09:53:49&lt;/DYNAMIZEDON&gt;&lt;LASTUPDATEDBY&gt;lamagvi&lt;/LASTUPDATEDBY&gt;&lt;LASTUPDATEDON&gt;6/15/2026 3:31:01 PM&lt;/LASTUPDATEDON&gt;&lt;UTC&gt;1&lt;/UTC&gt;&lt;/UPDATE&gt;&lt;QUERIES bbk=&quot;36751&quot; bbkdesc=&quot;2025 Annual Accounts/EU Annual Accounts/DC - Other expenses and Research and Development costs&quot; datapro=&quot;BIP_OE&quot; tdatapro=&quot;BIP_OE&quot; author=&quot;&quot; modtime=&quot;6/15/2026 3:27:57 PM&quot; moduser=&quot;lamagvi&quot; rolluptime=&quot;&quot; syuser=&quot;lamagvi&quot; syuzeit=&quot;6/15/2026 3:27:57 PM&quot; root=&quot;/BBOOK/DATAPROVIDER[./META/PROPS/ID='BIP_OE']/DATA&quot; colcount=&quot;3&quot; rowcount=&quot;9&quot; url=&quot;&quot; dynamizeds=&quot;DM Production&quot; dynamizedstype=&quot;9&quot; refreshds=&quot;&quot; viewtype=&quot;1&quot;&gt;&lt;QUERY reftype=&quot;ABS&quot; elmntsel=&quot;TABLE&quot; bbk=&quot;36751&quot; bbkdesc=&quot;2025 Annual Accounts/EU Annual Accounts/DC - Other expenses and Research and Development costs&quot; datapro=&quot;BIP_OE&quot; infos=&quot;&quot; iscomment=&quot;0&quot;&gt;&lt;SELECT&gt;/BBOOK/DATAPROVIDER[./META/PROPS/ID='BIP_OE']/DATA/ROW&lt;/SELECT&gt;&lt;FILTERS&gt;&lt;FILTER&gt;&lt;/FILTER&gt;&lt;/FILTERS&gt;&lt;/QUERY&gt;&lt;/QUERIES&gt;&lt;/OBJECT&gt;"/>
    <w:docVar w:name="BIP_META_DOC_TBL00076" w:val="&lt;OBJECT&gt;&lt;META&gt;&lt;ID&gt;&lt;/ID&gt;&lt;NAME&gt;DOC_TBL0007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1/08/2019 08:24:47&lt;/DYNAMIZEDON&gt;&lt;LASTUPDATEDBY&gt;lamagvi&lt;/LASTUPDATEDBY&gt;&lt;LASTUPDATEDON&gt;6/15/2026 3:31:01 PM&lt;/LASTUPDATEDON&gt;&lt;UTC&gt;1&lt;/UTC&gt;&lt;/UPDATE&gt;&lt;QUERIES bbk=&quot;36751&quot; bbkdesc=&quot;2025 Annual Accounts/EU Annual Accounts/DC - Other expenses and Research and Development costs&quot; datapro=&quot;BIP_RD&quot; tdatapro=&quot;BIP_RD&quot; author=&quot;&quot; modtime=&quot;6/15/2026 3:27:57 PM&quot; moduser=&quot;lamagvi&quot; rolluptime=&quot;&quot; syuser=&quot;lamagvi&quot; syuzeit=&quot;6/15/2026 3:27:57 PM&quot; root=&quot;/BBOOK/DATAPROVIDER[./META/PROPS/ID='BIP_RD']/DATA&quot; colcount=&quot;3&quot; rowcount=&quot;5&quot; url=&quot;&quot; dynamizeds=&quot;DM Production&quot; dynamizedstype=&quot;9&quot; refreshds=&quot;&quot; viewtype=&quot;1&quot;&gt;&lt;QUERY reftype=&quot;ABS&quot; elmntsel=&quot;TABLE&quot; bbk=&quot;36751&quot; bbkdesc=&quot;2025 Annual Accounts/EU Annual Accounts/DC - Other expenses and Research and Development costs&quot; datapro=&quot;BIP_RD&quot; infos=&quot;&quot; iscomment=&quot;0&quot;&gt;&lt;SELECT&gt;/BBOOK/DATAPROVIDER[./META/PROPS/ID='BIP_RD']/DATA/ROW&lt;/SELECT&gt;&lt;FILTERS&gt;&lt;FILTER&gt;&lt;/FILTER&gt;&lt;/FILTERS&gt;&lt;/QUERY&gt;&lt;/QUERIES&gt;&lt;/OBJECT&gt;"/>
    <w:docVar w:name="BIP_META_DOC_TBL00077" w:val="&lt;OBJECT&gt;&lt;META&gt;&lt;ID&gt;&lt;/ID&gt;&lt;NAME&gt;DOC_TBL0007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5/08/2019 12:48:04&lt;/DYNAMIZEDON&gt;&lt;LASTUPDATEDBY&gt;lamagvi&lt;/LASTUPDATEDBY&gt;&lt;LASTUPDATEDON&gt;6/15/2026 3:31:06 PM&lt;/LASTUPDATEDON&gt;&lt;UTC&gt;1&lt;/UTC&gt;&lt;/UPDATE&gt;&lt;QUERIES bbk=&quot;36752&quot; bbkdesc=&quot;2025 Annual Accounts/EU Annual Accounts/DC - Segment report&quot; datapro=&quot;BIP_SEGREP&quot; tdatapro=&quot;BIP_SEGREP&quot; author=&quot;&quot; modtime=&quot;6/15/2026 3:28:02 PM&quot; moduser=&quot;lamagvi&quot; rolluptime=&quot;&quot; syuser=&quot;lamagvi&quot; syuzeit=&quot;6/15/2026 3:28:02 PM&quot; root=&quot;/BBOOK/DATAPROVIDER[./META/PROPS/ID='BIP_SEGREP']/DATA&quot; colcount=&quot;11&quot; rowcount=&quot;31&quot; url=&quot;&quot; dynamizeds=&quot;DM Production&quot; dynamizedstype=&quot;9&quot; refreshds=&quot;&quot; viewtype=&quot;1&quot;&gt;&lt;QUERY reftype=&quot;ABS&quot; elmntsel=&quot;TABLE&quot; bbk=&quot;36752&quot; bbkdesc=&quot;2025 Annual Accounts/EU Annual Accounts/DC - Segment report&quot; datapro=&quot;BIP_SEGREP&quot; infos=&quot;&quot; iscomment=&quot;0&quot;&gt;&lt;SELECT&gt;/BBOOK/DATAPROVIDER[./META/PROPS/ID='BIP_SEGREP']/DATA/ROW&lt;/SELECT&gt;&lt;FILTERS&gt;&lt;FILTER&gt;&lt;/FILTER&gt;&lt;/FILTERS&gt;&lt;/QUERY&gt;&lt;/QUERIES&gt;&lt;/OBJECT&gt;"/>
    <w:docVar w:name="BIP_META_DOC_TBL00078" w:val="&lt;OBJECT&gt;&lt;META&gt;&lt;ID&gt;&lt;/ID&gt;&lt;NAME&gt;DOC_TBL0007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0/03/2026 18:20:58&lt;/DYNAMIZEDON&gt;&lt;LASTUPDATEDBY&gt;lamagvi&lt;/LASTUPDATEDBY&gt;&lt;LASTUPDATEDON&gt;6/15/2026 3:31:04 PM&lt;/LASTUPDATEDON&gt;&lt;UTC&gt;1&lt;/UTC&gt;&lt;/UPDATE&gt;&lt;QUERIES bbk=&quot;38212&quot; bbkdesc=&quot;2025 Annual Accounts/EU Annual Accounts/DC - SOFP reclassification&quot; datapro=&quot;BIP_PLreclass&quot; tdatapro=&quot;BIP_PLreclass&quot; author=&quot;&quot; modtime=&quot;6/8/2026 9:46:43 AM&quot; moduser=&quot;nistocr&quot; rolluptime=&quot;&quot; syuser=&quot;nistocr&quot; syuzeit=&quot;6/8/2026 9:46:43 AM&quot; root=&quot;/BBOOK/DATAPROVIDER[./META/PROPS/ID='BIP_PLreclass']/DATA&quot; colcount=&quot;11&quot; rowcount=&quot;14&quot; url=&quot;&quot; dynamizeds=&quot;DM Production&quot; dynamizedstype=&quot;9&quot; refreshds=&quot;&quot; viewtype=&quot;1&quot;&gt;&lt;QUERY reftype=&quot;ABS&quot; elmntsel=&quot;TABLE&quot; bbk=&quot;38212&quot; bbkdesc=&quot;2025 Annual Accounts/EU Annual Accounts/DC - SOFP reclassification&quot; datapro=&quot;BIP_PLreclass&quot; infos=&quot;&quot; iscomment=&quot;0&quot;&gt;&lt;SELECT&gt;/BBOOK/DATAPROVIDER[./META/PROPS/ID='BIP_PLreclass']/DATA/ROW&lt;/SELECT&gt;&lt;FILTERS&gt;&lt;FILTER&gt;&lt;/FILTER&gt;&lt;/FILTERS&gt;&lt;/QUERY&gt;&lt;/QUERIES&gt;&lt;/OBJECT&gt;"/>
    <w:docVar w:name="BIP_META_DOC_TBL00079" w:val="&lt;OBJECT&gt;&lt;META&gt;&lt;ID&gt;&lt;/ID&gt;&lt;NAME&gt;DOC_TBL0007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4/11/2021 18:09:06&lt;/DYNAMIZEDON&gt;&lt;LASTUPDATEDBY&gt;lamagvi&lt;/LASTUPDATEDBY&gt;&lt;LASTUPDATEDON&gt;6/15/2026 3:27:54 PM&lt;/LASTUPDATEDON&gt;&lt;UTC&gt;1&lt;/UTC&gt;&lt;/UPDATE&gt;&lt;QUERIES bbk=&quot;36639&quot; bbkdesc=&quot;2025 Annual Accounts/EC Annual Accounts/DC - Guarantees given&quot; datapro=&quot;BIP_GUARCY&quot; tdatapro=&quot;BIP_GUARCY&quot; author=&quot;&quot; modtime=&quot;6/15/2026 3:06:54 PM&quot; moduser=&quot;lamagvi&quot; rolluptime=&quot;&quot; syuser=&quot;lamagvi&quot; syuzeit=&quot;6/15/2026 3:06:54 PM&quot; root=&quot;/BBOOK/DATAPROVIDER[./META/PROPS/ID='BIP_GUARCY']/DATA&quot; colcount=&quot;5&quot; rowcount=&quot;11&quot; url=&quot;&quot; dynamizeds=&quot;DM Production&quot; dynamizedstype=&quot;9&quot; refreshds=&quot;&quot; viewtype=&quot;1&quot;&gt;&lt;QUERY reftype=&quot;ABS&quot; elmntsel=&quot;TABLE&quot; bbk=&quot;36639&quot; bbkdesc=&quot;2025 Annual Accounts/EC Annual Accounts/DC - Guarantees given&quot; datapro=&quot;BIP_GUARCY&quot; infos=&quot;&quot; iscomment=&quot;0&quot;&gt;&lt;SELECT&gt;/BBOOK/DATAPROVIDER[./META/PROPS/ID='BIP_GUARCY']/DATA/ROW&lt;/SELECT&gt;&lt;FILTERS&gt;&lt;FILTER&gt;&lt;/FILTER&gt;&lt;/FILTERS&gt;&lt;/QUERY&gt;&lt;/QUERIES&gt;&lt;/OBJECT&gt;"/>
    <w:docVar w:name="BIP_META_DOC_TBL00080" w:val="&lt;OBJECT&gt;&lt;META&gt;&lt;ID&gt;&lt;/ID&gt;&lt;NAME&gt;DOC_TBL0008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2/12/2021 08:12:09&lt;/DYNAMIZEDON&gt;&lt;LASTUPDATEDBY&gt;lamagvi&lt;/LASTUPDATEDBY&gt;&lt;LASTUPDATEDON&gt;6/15/2026 3:27:54 PM&lt;/LASTUPDATEDON&gt;&lt;UTC&gt;1&lt;/UTC&gt;&lt;/UPDATE&gt;&lt;QUERIES bbk=&quot;36639&quot; bbkdesc=&quot;2025 Annual Accounts/EC Annual Accounts/DC - Guarantees given&quot; datapro=&quot;BIP_GUARPY&quot; tdatapro=&quot;BIP_GUARPY&quot; author=&quot;&quot; modtime=&quot;6/15/2026 3:06:54 PM&quot; moduser=&quot;lamagvi&quot; rolluptime=&quot;&quot; syuser=&quot;lamagvi&quot; syuzeit=&quot;6/15/2026 3:06:54 PM&quot; root=&quot;/BBOOK/DATAPROVIDER[./META/PROPS/ID='BIP_GUARPY']/DATA&quot; colcount=&quot;5&quot; rowcount=&quot;11&quot; url=&quot;&quot; dynamizeds=&quot;DM Production&quot; dynamizedstype=&quot;9&quot; refreshds=&quot;&quot; viewtype=&quot;1&quot;&gt;&lt;QUERY reftype=&quot;ABS&quot; elmntsel=&quot;TABLE&quot; bbk=&quot;36639&quot; bbkdesc=&quot;2025 Annual Accounts/EC Annual Accounts/DC - Guarantees given&quot; datapro=&quot;BIP_GUARPY&quot; infos=&quot;&quot; iscomment=&quot;0&quot;&gt;&lt;SELECT&gt;/BBOOK/DATAPROVIDER[./META/PROPS/ID='BIP_GUARPY']/DATA/ROW&lt;/SELECT&gt;&lt;FILTERS&gt;&lt;FILTER&gt;&lt;/FILTER&gt;&lt;/FILTERS&gt;&lt;/QUERY&gt;&lt;/QUERIES&gt;&lt;/OBJECT&gt;"/>
    <w:docVar w:name="BIP_META_DOC_TBL00081" w:val="&lt;OBJECT&gt;&lt;META&gt;&lt;ID&gt;&lt;/ID&gt;&lt;NAME&gt;DOC_TBL0008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44:05&lt;/DYNAMIZEDON&gt;&lt;LASTUPDATEDBY&gt;lamagvi&lt;/LASTUPDATEDBY&gt;&lt;LASTUPDATEDON&gt;6/15/2026 3:27:54 PM&lt;/LASTUPDATEDON&gt;&lt;UTC&gt;1&lt;/UTC&gt;&lt;/UPDATE&gt;&lt;QUERIES bbk=&quot;36638&quot; bbkdesc=&quot;2025 Annual Accounts/EC Annual Accounts/DC - Contingent liabilities&quot; datapro=&quot;BIP_INSGUA&quot; tdatapro=&quot;BIP_INSGUA&quot; author=&quot;&quot; modtime=&quot;6/15/2026 3:06:54 PM&quot; moduser=&quot;lamagvi&quot; rolluptime=&quot;&quot; syuser=&quot;lamagvi&quot; syuzeit=&quot;6/15/2026 3:06:54 PM&quot; root=&quot;/BBOOK/DATAPROVIDER[./META/PROPS/ID='BIP_INSGUA']/DATA&quot; colcount=&quot;3&quot; rowcount=&quot;7&quot; url=&quot;&quot; dynamizeds=&quot;DM Production&quot; dynamizedstype=&quot;9&quot; refreshds=&quot;&quot; viewtype=&quot;1&quot;&gt;&lt;QUERY reftype=&quot;ABS&quot; elmntsel=&quot;TABLE&quot; bbk=&quot;36638&quot; bbkdesc=&quot;2025 Annual Accounts/EC Annual Accounts/DC - Contingent liabilities&quot; datapro=&quot;BIP_INSGUA&quot; infos=&quot;&quot; iscomment=&quot;0&quot;&gt;&lt;SELECT&gt;/BBOOK/DATAPROVIDER[./META/PROPS/ID='BIP_INSGUA']/DATA/ROW&lt;/SELECT&gt;&lt;FILTERS&gt;&lt;FILTER&gt;&lt;/FILTER&gt;&lt;/FILTERS&gt;&lt;/QUERY&gt;&lt;/QUERIES&gt;&lt;/OBJECT&gt;"/>
    <w:docVar w:name="BIP_META_DOC_TBL00082" w:val="&lt;OBJECT&gt;&lt;META&gt;&lt;ID&gt;&lt;/ID&gt;&lt;NAME&gt;DOC_TBL0008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2/02/2022 14:04:37&lt;/DYNAMIZEDON&gt;&lt;LASTUPDATEDBY&gt;lamagvi&lt;/LASTUPDATEDBY&gt;&lt;LASTUPDATEDON&gt;6/15/2026 3:27:54 PM&lt;/LASTUPDATEDON&gt;&lt;UTC&gt;1&lt;/UTC&gt;&lt;/UPDATE&gt;&lt;QUERIES bbk=&quot;36762&quot; bbkdesc=&quot;2025 Annual Accounts/EU Annual Accounts/DC - Contingent liabilities and assets&quot; datapro=&quot;BIP_CL&quot; tdatapro=&quot;BIP_CL&quot; author=&quot;&quot; modtime=&quot;6/15/2026 3:26:51 PM&quot; moduser=&quot;lamagvi&quot; rolluptime=&quot;&quot; syuser=&quot;lamagvi&quot; syuzeit=&quot;6/15/2026 3:26:51 PM&quot; root=&quot;/BBOOK/DATAPROVIDER[./META/PROPS/ID='BIP_CL']/DATA&quot; colcount=&quot;3&quot; rowcount=&quot;5&quot; url=&quot;&quot; dynamizeds=&quot;DM Production&quot; dynamizedstype=&quot;9&quot; refreshds=&quot;&quot; viewtype=&quot;1&quot;&gt;&lt;QUERY reftype=&quot;ABS&quot; elmntsel=&quot;TABLE&quot; bbk=&quot;36762&quot; bbkdesc=&quot;2025 Annual Accounts/EU Annual Accounts/DC - Contingent liabilities and assets&quot; datapro=&quot;BIP_CL&quot; infos=&quot;&quot; iscomment=&quot;0&quot;&gt;&lt;SELECT&gt;/BBOOK/DATAPROVIDER[./META/PROPS/ID='BIP_CL']/DATA/ROW&lt;/SELECT&gt;&lt;FILTERS&gt;&lt;FILTER&gt;&lt;/FILTER&gt;&lt;/FILTERS&gt;&lt;/QUERY&gt;&lt;/QUERIES&gt;&lt;/OBJECT&gt;"/>
    <w:docVar w:name="BIP_META_DOC_TBL00083" w:val="&lt;OBJECT&gt;&lt;META&gt;&lt;ID&gt;&lt;/ID&gt;&lt;NAME&gt;DOC_TBL0008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54:39&lt;/DYNAMIZEDON&gt;&lt;LASTUPDATEDBY&gt;lamagvi&lt;/LASTUPDATEDBY&gt;&lt;LASTUPDATEDON&gt;6/15/2026 3:27:54 PM&lt;/LASTUPDATEDON&gt;&lt;UTC&gt;1&lt;/UTC&gt;&lt;/UPDATE&gt;&lt;QUERIES bbk=&quot;36762&quot; bbkdesc=&quot;2025 Annual Accounts/EU Annual Accounts/DC - Contingent liabilities and assets&quot; datapro=&quot;BIP_CA&quot; tdatapro=&quot;BIP_CA&quot; author=&quot;&quot; modtime=&quot;6/15/2026 3:26:51 PM&quot; moduser=&quot;lamagvi&quot; rolluptime=&quot;&quot; syuser=&quot;lamagvi&quot; syuzeit=&quot;6/15/2026 3:26:51 PM&quot; root=&quot;/BBOOK/DATAPROVIDER[./META/PROPS/ID='BIP_CA']/DATA&quot; colcount=&quot;3&quot; rowcount=&quot;7&quot; url=&quot;&quot; dynamizeds=&quot;DM Production&quot; dynamizedstype=&quot;9&quot; refreshds=&quot;&quot; viewtype=&quot;1&quot;&gt;&lt;QUERY reftype=&quot;ABS&quot; elmntsel=&quot;TABLE&quot; bbk=&quot;36762&quot; bbkdesc=&quot;2025 Annual Accounts/EU Annual Accounts/DC - Contingent liabilities and assets&quot; datapro=&quot;BIP_CA&quot; infos=&quot;&quot; iscomment=&quot;0&quot;&gt;&lt;SELECT&gt;/BBOOK/DATAPROVIDER[./META/PROPS/ID='BIP_CA']/DATA/ROW&lt;/SELECT&gt;&lt;FILTERS&gt;&lt;FILTER&gt;&lt;/FILTER&gt;&lt;/FILTERS&gt;&lt;/QUERY&gt;&lt;/QUERIES&gt;&lt;/OBJECT&gt;"/>
    <w:docVar w:name="BIP_META_DOC_TBL00084" w:val="&lt;OBJECT&gt;&lt;META&gt;&lt;ID&gt;&lt;/ID&gt;&lt;NAME&gt;DOC_TBL0008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25:16&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OBULEG&quot; tdatapro=&quot;BIP_OBULEG&quot; author=&quot;&quot; modtime=&quot;6/15/2026 3:26:50 PM&quot; moduser=&quot;lamagvi&quot; rolluptime=&quot;&quot; syuser=&quot;lamagvi&quot; syuzeit=&quot;6/15/2026 3:26:50 PM&quot; root=&quot;/BBOOK/DATAPROVIDER[./META/PROPS/ID='BIP_OBULEG']/DATA&quot; colcount=&quot;4&quot; rowcount=&quot;5&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OBULEG&quot; infos=&quot;&quot; iscomment=&quot;0&quot;&gt;&lt;SELECT&gt;/BBOOK/DATAPROVIDER[./META/PROPS/ID='BIP_OBULEG']/DATA/ROW&lt;/SELECT&gt;&lt;FILTERS&gt;&lt;FILTER&gt;&lt;/FILTER&gt;&lt;/FILTERS&gt;&lt;/QUERY&gt;&lt;/QUERIES&gt;&lt;/OBJECT&gt;"/>
    <w:docVar w:name="BIP_META_DOC_TBL00085" w:val="&lt;OBJECT&gt;&lt;META&gt;&lt;ID&gt;&lt;/ID&gt;&lt;NAME&gt;DOC_TBL0008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26:57&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OCNYE&quot; tdatapro=&quot;BIP_OCNYE&quot; author=&quot;&quot; modtime=&quot;6/15/2026 3:26:50 PM&quot; moduser=&quot;lamagvi&quot; rolluptime=&quot;&quot; syuser=&quot;lamagvi&quot; syuzeit=&quot;6/15/2026 3:26:50 PM&quot; root=&quot;/BBOOK/DATAPROVIDER[./META/PROPS/ID='BIP_OCNYE']/DATA&quot; colcount=&quot;3&quot; rowcount=&quot;3&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OCNYE&quot; infos=&quot;&quot; iscomment=&quot;0&quot;&gt;&lt;SELECT&gt;/BBOOK/DATAPROVIDER[./META/PROPS/ID='BIP_OCNYE']/DATA/ROW&lt;/SELECT&gt;&lt;FILTERS&gt;&lt;FILTER&gt;&lt;/FILTER&gt;&lt;/FILTERS&gt;&lt;/QUERY&gt;&lt;/QUERIES&gt;&lt;/OBJECT&gt;"/>
    <w:docVar w:name="BIP_META_DOC_TBL00086" w:val="&lt;OBJECT&gt;&lt;META&gt;&lt;ID&gt;&lt;/ID&gt;&lt;NAME&gt;DOC_TBL0008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36:45&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LEGCOM&quot; tdatapro=&quot;BIP_LEGCOM&quot; author=&quot;&quot; modtime=&quot;6/15/2026 3:26:50 PM&quot; moduser=&quot;lamagvi&quot; rolluptime=&quot;&quot; syuser=&quot;lamagvi&quot; syuzeit=&quot;6/15/2026 3:26:50 PM&quot; root=&quot;/BBOOK/DATAPROVIDER[./META/PROPS/ID='BIP_LEGCOM']/DATA&quot; colcount=&quot;3&quot; rowcount=&quot;21&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LEGCOM&quot; infos=&quot;&quot; iscomment=&quot;0&quot;&gt;&lt;SELECT&gt;/BBOOK/DATAPROVIDER[./META/PROPS/ID='BIP_LEGCOM']/DATA/ROW&lt;/SELECT&gt;&lt;FILTERS&gt;&lt;FILTER&gt;&lt;/FILTER&gt;&lt;/FILTERS&gt;&lt;/QUERY&gt;&lt;/QUERIES&gt;&lt;/OBJECT&gt;"/>
    <w:docVar w:name="BIP_META_DOC_TBL00087" w:val="&lt;OBJECT&gt;&lt;META&gt;&lt;ID&gt;&lt;/ID&gt;&lt;NAME&gt;DOC_TBL0008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38:55&lt;/DYNAMIZEDON&gt;&lt;LASTUPDATEDBY&gt;lamagvi&lt;/LASTUPDATEDBY&gt;&lt;LASTUPDATEDON&gt;6/15/2026 3:27:53 PM&lt;/LASTUPDATEDON&gt;&lt;UTC&gt;1&lt;/UTC&gt;&lt;/UPDATE&gt;&lt;QUERIES bbk=&quot;36761&quot; bbkdesc=&quot;2025 Annual Accounts/EU Annual Accounts/DC - Operating lease commitments&quot; datapro=&quot;BIP_PPERE&quot; tdatapro=&quot;BIP_PPERE&quot; author=&quot;&quot; modtime=&quot;6/15/2026 3:26:49 PM&quot; moduser=&quot;lamagvi&quot; rolluptime=&quot;&quot; syuser=&quot;lamagvi&quot; syuzeit=&quot;6/15/2026 3:26:49 PM&quot; root=&quot;/BBOOK/DATAPROVIDER[./META/PROPS/ID='BIP_PPERE']/DATA&quot; colcount=&quot;5&quot; rowcount=&quot;6&quot; url=&quot;&quot; dynamizeds=&quot;DM Production&quot; dynamizedstype=&quot;9&quot; refreshds=&quot;&quot; viewtype=&quot;1&quot;&gt;&lt;QUERY reftype=&quot;ABS&quot; elmntsel=&quot;TABLE&quot; bbk=&quot;36761&quot; bbkdesc=&quot;2025 Annual Accounts/EU Annual Accounts/DC - Operating lease commitments&quot; datapro=&quot;BIP_PPERE&quot; infos=&quot;&quot; iscomment=&quot;0&quot;&gt;&lt;SELECT&gt;/BBOOK/DATAPROVIDER[./META/PROPS/ID='BIP_PPERE']/DATA/ROW&lt;/SELECT&gt;&lt;FILTERS&gt;&lt;FILTER&gt;&lt;/FILTER&gt;&lt;/FILTERS&gt;&lt;/QUERY&gt;&lt;/QUERIES&gt;&lt;/OBJECT&gt;"/>
    <w:docVar w:name="BIP_META_DOC_TBL00088" w:val="&lt;OBJECT&gt;&lt;META&gt;&lt;ID&gt;&lt;/ID&gt;&lt;NAME&gt;DOC_TBL0008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12:48 PM&lt;/DYNAMIZEDON&gt;&lt;LASTUPDATEDBY&gt;lamagvi&lt;/LASTUPDATEDBY&gt;&lt;LASTUPDATEDON&gt;6/15/2026 3:30:54 PM&lt;/LASTUPDATEDON&gt;&lt;UTC&gt;1&lt;/UTC&gt;&lt;/UPDATE&gt;&lt;QUERIES bbk=&quot;36753&quot; bbkdesc=&quot;2025 Annual Accounts/EU Annual Accounts/DC - Currency risk&quot; datapro=&quot;BIP_CRCY&quot; tdatapro=&quot;BIP_CRCY&quot; author=&quot;&quot; modtime=&quot;6/15/2026 3:26:54 PM&quot; moduser=&quot;lamagvi&quot; rolluptime=&quot;&quot; syuser=&quot;lamagvi&quot; syuzeit=&quot;6/15/2026 3:26:54 PM&quot; root=&quot;/BBOOK/DATAPROVIDER[./META/PROPS/ID='BIP_CRCY']/DATA&quot; colcount=&quot;8&quot; rowcount=&quot;16&quot; url=&quot;&quot; dynamizeds=&quot;DM Production&quot; dynamizedstype=&quot;9&quot; refreshds=&quot;&quot; viewtype=&quot;1&quot;&gt;&lt;QUERY reftype=&quot;ABS&quot; elmntsel=&quot;TABLE&quot; bbk=&quot;36753&quot; bbkdesc=&quot;2025 Annual Accounts/EU Annual Accounts/DC - Currency risk&quot; datapro=&quot;BIP_CRCY&quot; infos=&quot;&quot; iscomment=&quot;0&quot;&gt;&lt;SELECT&gt;/BBOOK/DATAPROVIDER[./META/PROPS/ID='BIP_CRCY']/DATA/ROW&lt;/SELECT&gt;&lt;FILTERS&gt;&lt;FILTER&gt;&lt;/FILTER&gt;&lt;/FILTERS&gt;&lt;/QUERY&gt;&lt;/QUERIES&gt;&lt;/OBJECT&gt;"/>
    <w:docVar w:name="BIP_META_DOC_TBL00089" w:val="&lt;OBJECT&gt;&lt;META&gt;&lt;ID&gt;&lt;/ID&gt;&lt;NAME&gt;DOC_TBL0008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4/11/2022 10:02:53&lt;/DYNAMIZEDON&gt;&lt;LASTUPDATEDBY&gt;lamagvi&lt;/LASTUPDATEDBY&gt;&lt;LASTUPDATEDON&gt;6/15/2026 3:30:54 PM&lt;/LASTUPDATEDON&gt;&lt;UTC&gt;1&lt;/UTC&gt;&lt;/UPDATE&gt;&lt;QUERIES bbk=&quot;36753&quot; bbkdesc=&quot;2025 Annual Accounts/EU Annual Accounts/DC - Currency risk&quot; datapro=&quot;BIP_CRPY&quot; tdatapro=&quot;BIP_CRPY&quot; author=&quot;&quot; modtime=&quot;6/15/2026 3:26:54 PM&quot; moduser=&quot;lamagvi&quot; rolluptime=&quot;&quot; syuser=&quot;lamagvi&quot; syuzeit=&quot;6/15/2026 3:26:54 PM&quot; root=&quot;/BBOOK/DATAPROVIDER[./META/PROPS/ID='BIP_CRPY']/DATA&quot; colcount=&quot;8&quot; rowcount=&quot;16&quot; url=&quot;&quot; dynamizeds=&quot;DM Production&quot; dynamizedstype=&quot;9&quot; refreshds=&quot;&quot; viewtype=&quot;1&quot;&gt;&lt;QUERY reftype=&quot;ABS&quot; elmntsel=&quot;TABLE&quot; bbk=&quot;36753&quot; bbkdesc=&quot;2025 Annual Accounts/EU Annual Accounts/DC - Currency risk&quot; datapro=&quot;BIP_CRPY&quot; infos=&quot;&quot; iscomment=&quot;0&quot;&gt;&lt;SELECT&gt;/BBOOK/DATAPROVIDER[./META/PROPS/ID='BIP_CRPY']/DATA/ROW&lt;/SELECT&gt;&lt;FILTERS&gt;&lt;FILTER&gt;&lt;/FILTER&gt;&lt;/FILTERS&gt;&lt;/QUERY&gt;&lt;/QUERIES&gt;&lt;/OBJECT&gt;"/>
    <w:docVar w:name="BIP_META_DOC_TBL00090" w:val="&lt;OBJECT&gt;&lt;META&gt;&lt;ID&gt;&lt;/ID&gt;&lt;NAME&gt;DOC_TBL0009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2/03/2023 18:23:22&lt;/DYNAMIZEDON&gt;&lt;LASTUPDATEDBY&gt;lamagvi&lt;/LASTUPDATEDBY&gt;&lt;LASTUPDATEDON&gt;6/15/2026 3:30:54 PM&lt;/LASTUPDATEDON&gt;&lt;UTC&gt;1&lt;/UTC&gt;&lt;/UPDATE&gt;&lt;QUERIES bbk=&quot;36753&quot; bbkdesc=&quot;2025 Annual Accounts/EU Annual Accounts/DC - Currency risk&quot; datapro=&quot;BIP_CYS&quot; tdatapro=&quot;BIP_CYS&quot; author=&quot;&quot; modtime=&quot;6/15/2026 3:26:54 PM&quot; moduser=&quot;lamagvi&quot; rolluptime=&quot;&quot; syuser=&quot;lamagvi&quot; syuzeit=&quot;6/15/2026 3:26:54 PM&quot; root=&quot;/BBOOK/DATAPROVIDER[./META/PROPS/ID='BIP_CYS']/DATA&quot; colcount=&quot;5&quot; rowcount=&quot;5&quot; url=&quot;&quot; dynamizeds=&quot;DM Production&quot; dynamizedstype=&quot;9&quot; refreshds=&quot;&quot; viewtype=&quot;1&quot;&gt;&lt;QUERY reftype=&quot;ABS&quot; elmntsel=&quot;TABLE&quot; bbk=&quot;36753&quot; bbkdesc=&quot;2025 Annual Accounts/EU Annual Accounts/DC - Currency risk&quot; datapro=&quot;BIP_CYS&quot; infos=&quot;&quot; iscomment=&quot;0&quot;&gt;&lt;SELECT&gt;/BBOOK/DATAPROVIDER[./META/PROPS/ID='BIP_CYS']/DATA/ROW&lt;/SELECT&gt;&lt;FILTERS&gt;&lt;FILTER&gt;&lt;/FILTER&gt;&lt;/FILTERS&gt;&lt;/QUERY&gt;&lt;/QUERIES&gt;&lt;/OBJECT&gt;"/>
    <w:docVar w:name="BIP_META_DOC_TBL00091" w:val="&lt;OBJECT&gt;&lt;META&gt;&lt;ID&gt;&lt;/ID&gt;&lt;NAME&gt;DOC_TBL0009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2/03/2023 18:23:56&lt;/DYNAMIZEDON&gt;&lt;LASTUPDATEDBY&gt;lamagvi&lt;/LASTUPDATEDBY&gt;&lt;LASTUPDATEDON&gt;6/15/2026 3:30:54 PM&lt;/LASTUPDATEDON&gt;&lt;UTC&gt;1&lt;/UTC&gt;&lt;/UPDATE&gt;&lt;QUERIES bbk=&quot;36753&quot; bbkdesc=&quot;2025 Annual Accounts/EU Annual Accounts/DC - Currency risk&quot; datapro=&quot;BIP_PYS&quot; tdatapro=&quot;BIP_PYS&quot; author=&quot;&quot; modtime=&quot;6/15/2026 3:26:54 PM&quot; moduser=&quot;lamagvi&quot; rolluptime=&quot;&quot; syuser=&quot;lamagvi&quot; syuzeit=&quot;6/15/2026 3:26:54 PM&quot; root=&quot;/BBOOK/DATAPROVIDER[./META/PROPS/ID='BIP_PYS']/DATA&quot; colcount=&quot;5&quot; rowcount=&quot;5&quot; url=&quot;&quot; dynamizeds=&quot;DM Production&quot; dynamizedstype=&quot;9&quot; refreshds=&quot;&quot; viewtype=&quot;1&quot;&gt;&lt;QUERY reftype=&quot;ABS&quot; elmntsel=&quot;TABLE&quot; bbk=&quot;36753&quot; bbkdesc=&quot;2025 Annual Accounts/EU Annual Accounts/DC - Currency risk&quot; datapro=&quot;BIP_PYS&quot; infos=&quot;&quot; iscomment=&quot;0&quot;&gt;&lt;SELECT&gt;/BBOOK/DATAPROVIDER[./META/PROPS/ID='BIP_PYS']/DATA/ROW&lt;/SELECT&gt;&lt;FILTERS&gt;&lt;FILTER&gt;&lt;/FILTER&gt;&lt;/FILTERS&gt;&lt;/QUERY&gt;&lt;/QUERIES&gt;&lt;/OBJECT&gt;"/>
    <w:docVar w:name="BIP_META_DOC_TBL00092" w:val="&lt;OBJECT&gt;&lt;META&gt;&lt;ID&gt;&lt;/ID&gt;&lt;NAME&gt;DOC_TBL0009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1/08/2019 11:05:45&lt;/DYNAMIZEDON&gt;&lt;LASTUPDATEDBY&gt;lamagvi&lt;/LASTUPDATEDBY&gt;&lt;LASTUPDATEDON&gt;6/15/2026 3:30:54 PM&lt;/LASTUPDATEDON&gt;&lt;UTC&gt;1&lt;/UTC&gt;&lt;/UPDATE&gt;&lt;QUERIES bbk=&quot;36754&quot; bbkdesc=&quot;2025 Annual Accounts/EU Annual Accounts/DC - Interest rate risk&quot; datapro=&quot;BIP_IRR&quot; tdatapro=&quot;BIP_IRR&quot; author=&quot;&quot; modtime=&quot;6/15/2026 3:27:00 PM&quot; moduser=&quot;lamagvi&quot; rolluptime=&quot;&quot; syuser=&quot;lamagvi&quot; syuzeit=&quot;6/15/2026 3:27:00 PM&quot; root=&quot;/BBOOK/DATAPROVIDER[./META/PROPS/ID='BIP_IRR']/DATA&quot; colcount=&quot;3&quot; rowcount=&quot;6&quot; url=&quot;&quot; dynamizeds=&quot;DM Production&quot; dynamizedstype=&quot;9&quot; refreshds=&quot;&quot; viewtype=&quot;1&quot;&gt;&lt;QUERY reftype=&quot;ABS&quot; elmntsel=&quot;TABLE&quot; bbk=&quot;36754&quot; bbkdesc=&quot;2025 Annual Accounts/EU Annual Accounts/DC - Interest rate risk&quot; datapro=&quot;BIP_IRR&quot; infos=&quot;&quot; iscomment=&quot;0&quot;&gt;&lt;SELECT&gt;/BBOOK/DATAPROVIDER[./META/PROPS/ID='BIP_IRR']/DATA/ROW&lt;/SELECT&gt;&lt;FILTERS&gt;&lt;FILTER&gt;&lt;/FILTER&gt;&lt;/FILTERS&gt;&lt;/QUERY&gt;&lt;/QUERIES&gt;&lt;/OBJECT&gt;"/>
    <w:docVar w:name="BIP_META_DOC_TBL00093" w:val="&lt;OBJECT&gt;&lt;META&gt;&lt;ID&gt;&lt;/ID&gt;&lt;NAME&gt;DOC_TBL0009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36:33 PM&lt;/DYNAMIZEDON&gt;&lt;LASTUPDATEDBY&gt;lamagvi&lt;/LASTUPDATEDBY&gt;&lt;LASTUPDATEDON&gt;6/15/2026 3:30:53 PM&lt;/LASTUPDATEDON&gt;&lt;UTC&gt;1&lt;/UTC&gt;&lt;/UPDATE&gt;&lt;QUERIES bbk=&quot;36626&quot; bbkdesc=&quot;2025 Annual Accounts/EC Annual Accounts/DC - Other price risk&quot; datapro=&quot;BIP_EQR&quot; tdatapro=&quot;BIP_EQR&quot; author=&quot;&quot; modtime=&quot;6/15/2026 3:06:55 PM&quot; moduser=&quot;lamagvi&quot; rolluptime=&quot;&quot; syuser=&quot;lamagvi&quot; syuzeit=&quot;6/15/2026 3:06:55 PM&quot; root=&quot;/BBOOK/DATAPROVIDER[./META/PROPS/ID='BIP_EQR']/DATA&quot; colcount=&quot;3&quot; rowcount=&quot;10&quot; url=&quot;&quot; dynamizeds=&quot;DM Production&quot; dynamizedstype=&quot;9&quot; refreshds=&quot;&quot; viewtype=&quot;1&quot;&gt;&lt;QUERY reftype=&quot;ABS&quot; elmntsel=&quot;TABLE&quot; bbk=&quot;36626&quot; bbkdesc=&quot;2025 Annual Accounts/EC Annual Accounts/DC - Other price risk&quot; datapro=&quot;BIP_EQR&quot; infos=&quot;&quot; iscomment=&quot;0&quot;&gt;&lt;SELECT&gt;/BBOOK/DATAPROVIDER[./META/PROPS/ID='BIP_EQR']/DATA/ROW&lt;/SELECT&gt;&lt;FILTERS&gt;&lt;FILTER&gt;&lt;/FILTER&gt;&lt;/FILTERS&gt;&lt;/QUERY&gt;&lt;/QUERIES&gt;&lt;/OBJECT&gt;"/>
    <w:docVar w:name="BIP_META_DOC_TBL00094" w:val="&lt;OBJECT&gt;&lt;META&gt;&lt;ID&gt;&lt;/ID&gt;&lt;NAME&gt;DOC_TBL0009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10:09 PM&lt;/DYNAMIZEDON&gt;&lt;LASTUPDATEDBY&gt;lamagvi&lt;/LASTUPDATEDBY&gt;&lt;LASTUPDATEDON&gt;6/15/2026 3:30:53 PM&lt;/LASTUPDATEDON&gt;&lt;UTC&gt;1&lt;/UTC&gt;&lt;/UPDATE&gt;&lt;QUERIES bbk=&quot;36755&quot; bbkdesc=&quot;2025 Annual Accounts/EU Annual Accounts/DC - Credit risk&quot; datapro=&quot;BIP_CDTRCY&quot; tdatapro=&quot;BIP_CDTRCY&quot; author=&quot;&quot; modtime=&quot;6/15/2026 3:26:53 PM&quot; moduser=&quot;lamagvi&quot; rolluptime=&quot;&quot; syuser=&quot;lamagvi&quot; syuzeit=&quot;6/15/2026 3:26:53 PM&quot; root=&quot;/BBOOK/DATAPROVIDER[./META/PROPS/ID='BIP_CDTRCY']/DATA&quot; colcount=&quot;3&quot; rowcount=&quot;13&quot; url=&quot;&quot; dynamizeds=&quot;DM Production&quot; dynamizedstype=&quot;9&quot; refreshds=&quot;&quot; viewtype=&quot;1&quot;&gt;&lt;QUERY reftype=&quot;ABS&quot; elmntsel=&quot;TABLE&quot; bbk=&quot;36755&quot; bbkdesc=&quot;2025 Annual Accounts/EU Annual Accounts/DC - Credit risk&quot; datapro=&quot;BIP_CDTRCY&quot; infos=&quot;&quot; iscomment=&quot;0&quot;&gt;&lt;SELECT&gt;/BBOOK/DATAPROVIDER[./META/PROPS/ID='BIP_CDTRCY']/DATA/ROW&lt;/SELECT&gt;&lt;FILTERS&gt;&lt;FILTER&gt;&lt;/FILTER&gt;&lt;/FILTERS&gt;&lt;/QUERY&gt;&lt;/QUERIES&gt;&lt;/OBJECT&gt;"/>
    <w:docVar w:name="BIP_META_DOC_TBL00095" w:val="&lt;OBJECT&gt;&lt;META&gt;&lt;ID&gt;&lt;/ID&gt;&lt;NAME&gt;DOC_TBL0009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14:24 PM&lt;/DYNAMIZEDON&gt;&lt;LASTUPDATEDBY&gt;lamagvi&lt;/LASTUPDATEDBY&gt;&lt;LASTUPDATEDON&gt;6/15/2026 3:30:54 PM&lt;/LASTUPDATEDON&gt;&lt;UTC&gt;1&lt;/UTC&gt;&lt;/UPDATE&gt;&lt;QUERIES bbk=&quot;36755&quot; bbkdesc=&quot;2025 Annual Accounts/EU Annual Accounts/DC - Credit risk&quot; datapro=&quot;BIP_LOCDQ&quot; tdatapro=&quot;BIP_LOCDQ&quot; author=&quot;&quot; modtime=&quot;6/15/2026 3:26:53 PM&quot; moduser=&quot;lamagvi&quot; rolluptime=&quot;&quot; syuser=&quot;lamagvi&quot; syuzeit=&quot;6/15/2026 3:26:53 PM&quot; root=&quot;/BBOOK/DATAPROVIDER[./META/PROPS/ID='BIP_LOCDQ']/DATA&quot; colcount=&quot;6&quot; rowcount=&quot;12&quot; url=&quot;&quot; dynamizeds=&quot;DM Production&quot; dynamizedstype=&quot;9&quot; refreshds=&quot;&quot; viewtype=&quot;1&quot;&gt;&lt;QUERY reftype=&quot;ABS&quot; elmntsel=&quot;TABLE&quot; bbk=&quot;36755&quot; bbkdesc=&quot;2025 Annual Accounts/EU Annual Accounts/DC - Credit risk&quot; datapro=&quot;BIP_LOCDQ&quot; infos=&quot;&quot; iscomment=&quot;0&quot;&gt;&lt;SELECT&gt;/BBOOK/DATAPROVIDER[./META/PROPS/ID='BIP_LOCDQ']/DATA/ROW&lt;/SELECT&gt;&lt;FILTERS&gt;&lt;FILTER&gt;&lt;/FILTER&gt;&lt;/FILTERS&gt;&lt;/QUERY&gt;&lt;/QUERIES&gt;&lt;/OBJECT&gt;"/>
    <w:docVar w:name="BIP_META_DOC_TBL00096" w:val="&lt;OBJECT&gt;&lt;META&gt;&lt;ID&gt;&lt;/ID&gt;&lt;NAME&gt;DOC_TBL0009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20:05 PM&lt;/DYNAMIZEDON&gt;&lt;LASTUPDATEDBY&gt;lamagvi&lt;/LASTUPDATEDBY&gt;&lt;LASTUPDATEDON&gt;6/15/2026 3:30:53 PM&lt;/LASTUPDATEDON&gt;&lt;UTC&gt;1&lt;/UTC&gt;&lt;/UPDATE&gt;&lt;QUERIES bbk=&quot;36755&quot; bbkdesc=&quot;2025 Annual Accounts/EU Annual Accounts/DC - Credit risk&quot; datapro=&quot;BIP_LOCDQPY&quot; tdatapro=&quot;BIP_LOCDQPY&quot; author=&quot;&quot; modtime=&quot;6/15/2026 3:26:53 PM&quot; moduser=&quot;lamagvi&quot; rolluptime=&quot;&quot; syuser=&quot;lamagvi&quot; syuzeit=&quot;6/15/2026 3:26:53 PM&quot; root=&quot;/BBOOK/DATAPROVIDER[./META/PROPS/ID='BIP_LOCDQPY']/DATA&quot; colcount=&quot;6&quot; rowcount=&quot;12&quot; url=&quot;&quot; dynamizeds=&quot;DM Production&quot; dynamizedstype=&quot;9&quot; refreshds=&quot;&quot; viewtype=&quot;1&quot;&gt;&lt;QUERY reftype=&quot;ABS&quot; elmntsel=&quot;TABLE&quot; bbk=&quot;36755&quot; bbkdesc=&quot;2025 Annual Accounts/EU Annual Accounts/DC - Credit risk&quot; datapro=&quot;BIP_LOCDQPY&quot; infos=&quot;&quot; iscomment=&quot;0&quot;&gt;&lt;SELECT&gt;/BBOOK/DATAPROVIDER[./META/PROPS/ID='BIP_LOCDQPY']/DATA/ROW&lt;/SELECT&gt;&lt;FILTERS&gt;&lt;FILTER&gt;&lt;/FILTER&gt;&lt;/FILTERS&gt;&lt;/QUERY&gt;&lt;/QUERIES&gt;&lt;/OBJECT&gt;"/>
    <w:docVar w:name="BIP_META_DOC_TBL00097" w:val="&lt;OBJECT&gt;&lt;META&gt;&lt;ID&gt;&lt;/ID&gt;&lt;NAME&gt;DOC_TBL0009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34:27 PM&lt;/DYNAMIZEDON&gt;&lt;LASTUPDATEDBY&gt;lamagvi&lt;/LASTUPDATEDBY&gt;&lt;LASTUPDATEDON&gt;6/15/2026 3:30:54 PM&lt;/LASTUPDATEDON&gt;&lt;UTC&gt;1&lt;/UTC&gt;&lt;/UPDATE&gt;&lt;QUERIES bbk=&quot;36755&quot; bbkdesc=&quot;2025 Annual Accounts/EU Annual Accounts/DC - Credit risk&quot; datapro=&quot;BIP_LOIMPLOS&quot; tdatapro=&quot;BIP_LOIMPLOS&quot; author=&quot;&quot; modtime=&quot;6/15/2026 3:26:53 PM&quot; moduser=&quot;lamagvi&quot; rolluptime=&quot;&quot; syuser=&quot;lamagvi&quot; syuzeit=&quot;6/15/2026 3:26:53 PM&quot; root=&quot;/BBOOK/DATAPROVIDER[./META/PROPS/ID='BIP_LOIMPLOS']/DATA&quot; colcount=&quot;6&quot; rowcount=&quot;13&quot; url=&quot;&quot; dynamizeds=&quot;DM Production&quot; dynamizedstype=&quot;9&quot; refreshds=&quot;&quot; viewtype=&quot;1&quot;&gt;&lt;QUERY reftype=&quot;ABS&quot; elmntsel=&quot;TABLE&quot; bbk=&quot;36755&quot; bbkdesc=&quot;2025 Annual Accounts/EU Annual Accounts/DC - Credit risk&quot; datapro=&quot;BIP_LOIMPLOS&quot; infos=&quot;&quot; iscomment=&quot;0&quot;&gt;&lt;SELECT&gt;/BBOOK/DATAPROVIDER[./META/PROPS/ID='BIP_LOIMPLOS']/DATA/ROW&lt;/SELECT&gt;&lt;FILTERS&gt;&lt;FILTER&gt;&lt;/FILTER&gt;&lt;/FILTERS&gt;&lt;/QUERY&gt;&lt;/QUERIES&gt;&lt;/OBJECT&gt;"/>
    <w:docVar w:name="BIP_META_DOC_TBL00098" w:val="&lt;OBJECT&gt;&lt;META&gt;&lt;ID&gt;&lt;/ID&gt;&lt;NAME&gt;DOC_TBL0009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36:43 PM&lt;/DYNAMIZEDON&gt;&lt;LASTUPDATEDBY&gt;lamagvi&lt;/LASTUPDATEDBY&gt;&lt;LASTUPDATEDON&gt;6/15/2026 3:30:54 PM&lt;/LASTUPDATEDON&gt;&lt;UTC&gt;1&lt;/UTC&gt;&lt;/UPDATE&gt;&lt;QUERIES bbk=&quot;36755&quot; bbkdesc=&quot;2025 Annual Accounts/EU Annual Accounts/DC - Credit risk&quot; datapro=&quot;BIP_CECTQ&quot; tdatapro=&quot;BIP_CECTQ&quot; author=&quot;&quot; modtime=&quot;6/15/2026 3:26:53 PM&quot; moduser=&quot;lamagvi&quot; rolluptime=&quot;&quot; syuser=&quot;lamagvi&quot; syuzeit=&quot;6/15/2026 3:26:53 PM&quot; root=&quot;/BBOOK/DATAPROVIDER[./META/PROPS/ID='BIP_CECTQ']/DATA&quot; colcount=&quot;3&quot; rowcount=&quot;11&quot; url=&quot;&quot; dynamizeds=&quot;DM Production&quot; dynamizedstype=&quot;9&quot; refreshds=&quot;&quot; viewtype=&quot;1&quot;&gt;&lt;QUERY reftype=&quot;ABS&quot; elmntsel=&quot;TABLE&quot; bbk=&quot;36755&quot; bbkdesc=&quot;2025 Annual Accounts/EU Annual Accounts/DC - Credit risk&quot; datapro=&quot;BIP_CECTQ&quot; infos=&quot;&quot; iscomment=&quot;0&quot;&gt;&lt;SELECT&gt;/BBOOK/DATAPROVIDER[./META/PROPS/ID='BIP_CECTQ']/DATA/ROW&lt;/SELECT&gt;&lt;FILTERS&gt;&lt;FILTER&gt;&lt;/FILTER&gt;&lt;/FILTERS&gt;&lt;/QUERY&gt;&lt;/QUERIES&gt;&lt;/OBJECT&gt;"/>
    <w:docVar w:name="BIP_META_DOC_TBL00099" w:val="&lt;OBJECT&gt;&lt;META&gt;&lt;ID&gt;&lt;/ID&gt;&lt;NAME&gt;DOC_TBL0009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3/11/2022 11:18:24&lt;/DYNAMIZEDON&gt;&lt;LASTUPDATEDBY&gt;lamagvi&lt;/LASTUPDATEDBY&gt;&lt;LASTUPDATEDON&gt;6/15/2026 3:30:54 PM&lt;/LASTUPDATEDON&gt;&lt;UTC&gt;1&lt;/UTC&gt;&lt;/UPDATE&gt;&lt;QUERIES bbk=&quot;36755&quot; bbkdesc=&quot;2025 Annual Accounts/EU Annual Accounts/DC - Credit risk&quot; datapro=&quot;BIP_EXRCTQ&quot; tdatapro=&quot;BIP_EXRCTQ&quot; author=&quot;&quot; modtime=&quot;6/15/2026 3:26:53 PM&quot; moduser=&quot;lamagvi&quot; rolluptime=&quot;&quot; syuser=&quot;lamagvi&quot; syuzeit=&quot;6/15/2026 3:26:53 PM&quot; root=&quot;/BBOOK/DATAPROVIDER[./META/PROPS/ID='BIP_EXRCTQ']/DATA&quot; colcount=&quot;7&quot; rowcount=&quot;9&quot; url=&quot;&quot; dynamizeds=&quot;DM Production&quot; dynamizedstype=&quot;9&quot; refreshds=&quot;&quot; viewtype=&quot;1&quot;&gt;&lt;QUERY reftype=&quot;ABS&quot; elmntsel=&quot;TABLE&quot; bbk=&quot;36755&quot; bbkdesc=&quot;2025 Annual Accounts/EU Annual Accounts/DC - Credit risk&quot; datapro=&quot;BIP_EXRCTQ&quot; infos=&quot;&quot; iscomment=&quot;0&quot;&gt;&lt;SELECT&gt;/BBOOK/DATAPROVIDER[./META/PROPS/ID='BIP_EXRCTQ']/DATA/ROW&lt;/SELECT&gt;&lt;FILTERS&gt;&lt;FILTER&gt;&lt;/FILTER&gt;&lt;/FILTERS&gt;&lt;/QUERY&gt;&lt;/QUERIES&gt;&lt;/OBJECT&gt;"/>
    <w:docVar w:name="BIP_META_DOC_TBL00100" w:val="&lt;OBJECT&gt;&lt;META&gt;&lt;ID&gt;&lt;/ID&gt;&lt;NAME&gt;DOC_TBL0010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5:27:29 PM&lt;/DYNAMIZEDON&gt;&lt;LASTUPDATEDBY&gt;lamagvi&lt;/LASTUPDATEDBY&gt;&lt;LASTUPDATEDON&gt;6/15/2026 3:30:54 PM&lt;/LASTUPDATEDON&gt;&lt;UTC&gt;1&lt;/UTC&gt;&lt;/UPDATE&gt;&lt;QUERIES bbk=&quot;36571&quot; bbkdesc=&quot;2025 Annual Accounts/EC Annual Accounts/DC - Credit risk&quot; datapro=&quot;BIP_FGCTQ&quot; tdatapro=&quot;BIP_FGCTQ&quot; author=&quot;&quot; modtime=&quot;6/15/2026 3:06:54 PM&quot; moduser=&quot;lamagvi&quot; rolluptime=&quot;&quot; syuser=&quot;lamagvi&quot; syuzeit=&quot;6/15/2026 3:06:54 PM&quot; root=&quot;/BBOOK/DATAPROVIDER[./META/PROPS/ID='BIP_FGCTQ']/DATA&quot; colcount=&quot;7&quot; rowcount=&quot;10&quot; url=&quot;&quot; dynamizeds=&quot;DM Production&quot; dynamizedstype=&quot;9&quot; refreshds=&quot;&quot; viewtype=&quot;1&quot;&gt;&lt;QUERY reftype=&quot;ABS&quot; elmntsel=&quot;TABLE&quot; bbk=&quot;36571&quot; bbkdesc=&quot;2025 Annual Accounts/EC Annual Accounts/DC - Credit risk&quot; datapro=&quot;BIP_FGCTQ&quot; infos=&quot;&quot; iscomment=&quot;0&quot;&gt;&lt;SELECT&gt;/BBOOK/DATAPROVIDER[./META/PROPS/ID='BIP_FGCTQ']/DATA/ROW&lt;/SELECT&gt;&lt;FILTERS&gt;&lt;FILTER&gt;&lt;/FILTER&gt;&lt;/FILTERS&gt;&lt;/QUERY&gt;&lt;/QUERIES&gt;&lt;/OBJECT&gt;"/>
    <w:docVar w:name="BIP_META_DOC_TBL00101" w:val="&lt;OBJECT&gt;&lt;META&gt;&lt;ID&gt;&lt;/ID&gt;&lt;NAME&gt;DOC_TBL0010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5:30:02 PM&lt;/DYNAMIZEDON&gt;&lt;LASTUPDATEDBY&gt;lamagvi&lt;/LASTUPDATEDBY&gt;&lt;LASTUPDATEDON&gt;6/15/2026 3:30:54 PM&lt;/LASTUPDATEDON&gt;&lt;UTC&gt;1&lt;/UTC&gt;&lt;/UPDATE&gt;&lt;QUERIES bbk=&quot;36571&quot; bbkdesc=&quot;2025 Annual Accounts/EC Annual Accounts/DC - Credit risk&quot; datapro=&quot;BIP_FGCLOS&quot; tdatapro=&quot;BIP_FGCLOS&quot; author=&quot;&quot; modtime=&quot;6/15/2026 3:06:54 PM&quot; moduser=&quot;lamagvi&quot; rolluptime=&quot;&quot; syuser=&quot;lamagvi&quot; syuzeit=&quot;6/15/2026 3:06:54 PM&quot; root=&quot;/BBOOK/DATAPROVIDER[./META/PROPS/ID='BIP_FGCLOS']/DATA&quot; colcount=&quot;4&quot; rowcount=&quot;11&quot; url=&quot;&quot; dynamizeds=&quot;DM Production&quot; dynamizedstype=&quot;9&quot; refreshds=&quot;&quot; viewtype=&quot;1&quot;&gt;&lt;QUERY reftype=&quot;ABS&quot; elmntsel=&quot;TABLE&quot; bbk=&quot;36571&quot; bbkdesc=&quot;2025 Annual Accounts/EC Annual Accounts/DC - Credit risk&quot; datapro=&quot;BIP_FGCLOS&quot; infos=&quot;&quot; iscomment=&quot;0&quot;&gt;&lt;SELECT&gt;/BBOOK/DATAPROVIDER[./META/PROPS/ID='BIP_FGCLOS']/DATA/ROW&lt;/SELECT&gt;&lt;FILTERS&gt;&lt;FILTER&gt;&lt;/FILTER&gt;&lt;/FILTERS&gt;&lt;/QUERY&gt;&lt;/QUERIES&gt;&lt;/OBJECT&gt;"/>
    <w:docVar w:name="BIP_META_DOC_TBL00102" w:val="&lt;OBJECT&gt;&lt;META&gt;&lt;ID&gt;&lt;/ID&gt;&lt;NAME&gt;DOC_TBL0010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0:54&lt;/DYNAMIZEDON&gt;&lt;LASTUPDATEDBY&gt;lamagvi&lt;/LASTUPDATEDBY&gt;&lt;LASTUPDATEDON&gt;6/15/2026 3:30:54 PM&lt;/LASTUPDATEDON&gt;&lt;UTC&gt;1&lt;/UTC&gt;&lt;/UPDATE&gt;&lt;QUERIES bbk=&quot;36756&quot; bbkdesc=&quot;2025 Annual Accounts/EU Annual Accounts/DC - Liquidity risk&quot; datapro=&quot;BIP_NDFLCY&quot; tdatapro=&quot;BIP_NDFLCY&quot; author=&quot;&quot; modtime=&quot;12/10/2021 1:06:12 PM&quot; moduser=&quot;nistocr&quot; rolluptime=&quot;&quot; syuser=&quot;nistocr&quot; syuzeit=&quot;12/10/2021 1:06:12 PM&quot; root=&quot;/DATA&quot; colcount=&quot;6&quot; rowcount=&quot;11&quot; url=&quot;&quot; dynamizeds=&quot;DM Production&quot; dynamizedstype=&quot;9&quot; refreshds=&quot;&quot; viewtype=&quot;1&quot;&gt;&lt;QUERY reftype=&quot;ABS&quot; elmntsel=&quot;TABLE&quot; bbk=&quot;36756&quot; bbkdesc=&quot;2025 Annual Accounts/EU Annual Accounts/DC - Liquidity risk&quot; datapro=&quot;BIP_NDFLCY&quot; infos=&quot;&quot; iscomment=&quot;0&quot;&gt;&lt;SELECT&gt;/BBOOK/DATAPROVIDER[./META/PROPS/ID='BIP_NDFLCY']/DATA/ROW&lt;/SELECT&gt;&lt;FILTERS&gt;&lt;FILTER&gt;&lt;/FILTER&gt;&lt;/FILTERS&gt;&lt;/QUERY&gt;&lt;/QUERIES&gt;&lt;/OBJECT&gt;"/>
    <w:docVar w:name="BIP_META_DOC_TBL00103" w:val="&lt;OBJECT&gt;&lt;META&gt;&lt;ID&gt;&lt;/ID&gt;&lt;NAME&gt;DOC_TBL0010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4:43&lt;/DYNAMIZEDON&gt;&lt;LASTUPDATEDBY&gt;lamagvi&lt;/LASTUPDATEDBY&gt;&lt;LASTUPDATEDON&gt;6/15/2026 3:30:53 PM&lt;/LASTUPDATEDON&gt;&lt;UTC&gt;1&lt;/UTC&gt;&lt;/UPDATE&gt;&lt;QUERIES bbk=&quot;36617&quot; bbkdesc=&quot;2025 Annual Accounts/EC Annual Accounts/DC - Liquidity risk&quot; datapro=&quot;BIP_DFLCY&quot; tdatapro=&quot;BIP_DFLCY&quot; author=&quot;&quot; modtime=&quot;6/15/2026 3:06:55 PM&quot; moduser=&quot;lamagvi&quot; rolluptime=&quot;&quot; syuser=&quot;lamagvi&quot; syuzeit=&quot;6/15/2026 3:06:55 PM&quot; root=&quot;/BBOOK/DATAPROVIDER[./META/PROPS/ID='BIP_DFLCY']/DATA&quot; colcount=&quot;6&quot; rowcount=&quot;9&quot; url=&quot;&quot; dynamizeds=&quot;DM Production&quot; dynamizedstype=&quot;9&quot; refreshds=&quot;&quot; viewtype=&quot;1&quot;&gt;&lt;QUERY reftype=&quot;ABS&quot; elmntsel=&quot;TABLE&quot; bbk=&quot;36617&quot; bbkdesc=&quot;2025 Annual Accounts/EC Annual Accounts/DC - Liquidity risk&quot; datapro=&quot;BIP_DFLCY&quot; infos=&quot;&quot; iscomment=&quot;0&quot;&gt;&lt;SELECT&gt;/BBOOK/DATAPROVIDER[./META/PROPS/ID='BIP_DFLCY']/DATA/ROW&lt;/SELECT&gt;&lt;FILTERS&gt;&lt;FILTER&gt;&lt;/FILTER&gt;&lt;/FILTERS&gt;&lt;/QUERY&gt;&lt;/QUERIES&gt;&lt;/OBJECT&gt;"/>
    <w:docVar w:name="BIP_META_DOC_TBL00104" w:val="&lt;OBJECT&gt;&lt;META&gt;&lt;ID&gt;&lt;/ID&gt;&lt;NAME&gt;DOC_TBL0010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7:19&lt;/DYNAMIZEDON&gt;&lt;LASTUPDATEDBY&gt;lamagvi&lt;/LASTUPDATEDBY&gt;&lt;LASTUPDATEDON&gt;6/15/2026 3:30:54 PM&lt;/LASTUPDATEDON&gt;&lt;UTC&gt;1&lt;/UTC&gt;&lt;/UPDATE&gt;&lt;QUERIES bbk=&quot;36617&quot; bbkdesc=&quot;2025 Annual Accounts/EC Annual Accounts/DC - Liquidity risk&quot; datapro=&quot;BIP_FGCY&quot; tdatapro=&quot;BIP_FGCY&quot; author=&quot;&quot; modtime=&quot;6/15/2026 3:06:55 PM&quot; moduser=&quot;lamagvi&quot; rolluptime=&quot;&quot; syuser=&quot;lamagvi&quot; syuzeit=&quot;6/15/2026 3:06:55 PM&quot; root=&quot;/BBOOK/DATAPROVIDER[./META/PROPS/ID='BIP_FGCY']/DATA&quot; colcount=&quot;6&quot; rowcount=&quot;5&quot; url=&quot;&quot; dynamizeds=&quot;DM Production&quot; dynamizedstype=&quot;9&quot; refreshds=&quot;&quot; viewtype=&quot;1&quot;&gt;&lt;QUERY reftype=&quot;ABS&quot; elmntsel=&quot;TABLE&quot; bbk=&quot;36617&quot; bbkdesc=&quot;2025 Annual Accounts/EC Annual Accounts/DC - Liquidity risk&quot; datapro=&quot;BIP_FGCY&quot; infos=&quot;&quot; iscomment=&quot;0&quot;&gt;&lt;SELECT&gt;/BBOOK/DATAPROVIDER[./META/PROPS/ID='BIP_FGCY']/DATA/ROW&lt;/SELECT&gt;&lt;FILTERS&gt;&lt;FILTER&gt;&lt;/FILTER&gt;&lt;/FILTERS&gt;&lt;/QUERY&gt;&lt;/QUERIES&gt;&lt;/OBJECT&gt;"/>
    <w:docVar w:name="BIP_META_DOC_TBL00105" w:val="&lt;OBJECT&gt;&lt;META&gt;&lt;ID&gt;&lt;/ID&gt;&lt;NAME&gt;DOC_TBL0010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4/03/2025 06:50:57&lt;/DYNAMIZEDON&gt;&lt;LASTUPDATEDBY&gt;lamagvi&lt;/LASTUPDATEDBY&gt;&lt;LASTUPDATEDON&gt;6/15/2026 3:30:53 PM&lt;/LASTUPDATEDON&gt;&lt;UTC&gt;1&lt;/UTC&gt;&lt;/UPDATE&gt;&lt;QUERIES bbk=&quot;36617&quot; bbkdesc=&quot;2025 Annual Accounts/EC Annual Accounts/DC - Liquidity risk&quot; datapro=&quot;BIP_ULC&quot; tdatapro=&quot;BIP_ULC&quot; author=&quot;&quot; modtime=&quot;6/15/2026 3:06:55 PM&quot; moduser=&quot;lamagvi&quot; rolluptime=&quot;&quot; syuser=&quot;lamagvi&quot; syuzeit=&quot;6/15/2026 3:06:55 PM&quot; root=&quot;/BBOOK/DATAPROVIDER[./META/PROPS/ID='BIP_ULC']/DATA&quot; colcount=&quot;6&quot; rowcount=&quot;5&quot; url=&quot;&quot; dynamizeds=&quot;DM Production&quot; dynamizedstype=&quot;9&quot; refreshds=&quot;&quot; viewtype=&quot;1&quot;&gt;&lt;QUERY reftype=&quot;ABS&quot; elmntsel=&quot;TABLE&quot; bbk=&quot;36617&quot; bbkdesc=&quot;2025 Annual Accounts/EC Annual Accounts/DC - Liquidity risk&quot; datapro=&quot;BIP_ULC&quot; infos=&quot;&quot; iscomment=&quot;0&quot;&gt;&lt;SELECT&gt;/BBOOK/DATAPROVIDER[./META/PROPS/ID='BIP_ULC']/DATA/ROW&lt;/SELECT&gt;&lt;FILTERS&gt;&lt;FILTER&gt;&lt;/FILTER&gt;&lt;/FILTERS&gt;&lt;/QUERY&gt;&lt;/QUERIES&gt;&lt;/OBJECT&gt;"/>
    <w:docVar w:name="BIP_META_DOC_TBL00106" w:val="&lt;OBJECT&gt;&lt;META&gt;&lt;ID&gt;&lt;/ID&gt;&lt;NAME&gt;DOC_TBL0010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ppiaas&lt;/DYNAMIZEDBY&gt;&lt;DYNAMIZEDON&gt;02-03-2022 09:50:38&lt;/DYNAMIZEDON&gt;&lt;LASTUPDATEDBY&gt;lamagvi&lt;/LASTUPDATEDBY&gt;&lt;LASTUPDATEDON&gt;6/15/2026 3:31:05 PM&lt;/LASTUPDATEDON&gt;&lt;UTC&gt;1&lt;/UTC&gt;&lt;/UPDATE&gt;&lt;QUERIES bbk=&quot;36692&quot; bbkdesc=&quot;2025 Annual Accounts/EU Annual Accounts/Upload Key management table&quot; datapro=&quot;BIP_KMT&quot; tdatapro=&quot;BIP_KMT&quot; author=&quot;&quot; modtime=&quot;3/11/2026 9:14:20 AM&quot; moduser=&quot;lamagvi&quot; rolluptime=&quot;&quot; syuser=&quot;lamagvi&quot; syuzeit=&quot;3/11/2026 9:14:20 AM&quot; root=&quot;/BBOOK/DATAPROVIDER[./META/PROPS/ID='BIP_KMT']/DATA&quot; colcount=&quot;6&quot; rowcount=&quot;48&quot; url=&quot;&quot; dynamizeds=&quot;DM Production&quot; dynamizedstype=&quot;9&quot; refreshds=&quot;&quot; viewtype=&quot;1&quot;&gt;&lt;QUERY reftype=&quot;ABS&quot; elmntsel=&quot;TABLE&quot; bbk=&quot;36692&quot; bbkdesc=&quot;2025 Annual Accounts/EU Annual Accounts/Upload Key management table&quot; datapro=&quot;BIP_KMT&quot; infos=&quot;&quot; iscomment=&quot;0&quot;&gt;&lt;SELECT&gt;/BBOOK/DATAPROVIDER[./META/PROPS/ID='BIP_KMT']/DATA/ROW&lt;/SELECT&gt;&lt;FILTERS&gt;&lt;FILTER&gt;&lt;/FILTER&gt;&lt;/FILTERS&gt;&lt;/QUERY&gt;&lt;/QUERIES&gt;&lt;/OBJECT&gt;"/>
    <w:docVar w:name="BIP_META_DOC_TBL00107" w:val="&lt;OBJECT&gt;&lt;META&gt;&lt;ID&gt;&lt;/ID&gt;&lt;NAME&gt;DOC_TBL0010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3:18:40&lt;/DYNAMIZEDON&gt;&lt;LASTUPDATEDBY&gt;lamagvi&lt;/LASTUPDATEDBY&gt;&lt;LASTUPDATEDON&gt;6/15/2026 3:31:06 PM&lt;/LASTUPDATEDON&gt;&lt;UTC&gt;1&lt;/UTC&gt;&lt;/UPDATE&gt;&lt;QUERIES bbk=&quot;36740&quot; bbkdesc=&quot;2025 Annual Accounts/EU Annual Accounts/DC - Scope of consolidation EU&quot; datapro=&quot;BIP_CE&quot; tdatapro=&quot;BIP_CE&quot; author=&quot;&quot; modtime=&quot;6/15/2026 3:28:02 PM&quot; moduser=&quot;lamagvi&quot; rolluptime=&quot;&quot; syuser=&quot;lamagvi&quot; syuzeit=&quot;6/15/2026 3:28:02 PM&quot; root=&quot;/BBOOK/DATAPROVIDER[./META/PROPS/ID='BIP_CE']/DATA&quot; colcount=&quot;2&quot; rowcount=&quot;38&quot; url=&quot;&quot; dynamizeds=&quot;DM Production&quot; dynamizedstype=&quot;9&quot; refreshds=&quot;&quot; viewtype=&quot;1&quot;&gt;&lt;QUERY reftype=&quot;ABS&quot; elmntsel=&quot;TABLE&quot; bbk=&quot;36740&quot; bbkdesc=&quot;2025 Annual Accounts/EU Annual Accounts/DC - Scope of consolidation EU&quot; datapro=&quot;BIP_CE&quot; infos=&quot;&quot; iscomment=&quot;0&quot;&gt;&lt;SELECT&gt;/BBOOK/DATAPROVIDER[./META/PROPS/ID='BIP_CE']/DATA/ROW&lt;/SELECT&gt;&lt;FILTERS&gt;&lt;FILTER&gt;&lt;/FILTER&gt;&lt;/FILTERS&gt;&lt;/QUERY&gt;&lt;/QUERIES&gt;&lt;/OBJECT&gt;"/>
    <w:docVar w:name="BIP_META_DOC_TBL00108" w:val="&lt;OBJECT&gt;&lt;META&gt;&lt;ID&gt;&lt;/ID&gt;&lt;NAME&gt;DOC_TBL0010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37:57&lt;/DYNAMIZEDON&gt;&lt;LASTUPDATEDBY&gt;lamagvi&lt;/LASTUPDATEDBY&gt;&lt;LASTUPDATEDON&gt;6/15/2026 3:27:55 PM&lt;/LASTUPDATEDON&gt;&lt;UTC&gt;1&lt;/UTC&gt;&lt;/UPDATE&gt;&lt;QUERIES bbk=&quot;36691&quot; bbkdesc=&quot;2025 Annual Accounts/EU Annual Accounts/DC - Budget result and Statements of Comparison&quot; datapro=&quot;BIP_Budget_result&quot; tdatapro=&quot;BIP_Budget_result&quot; author=&quot;&quot; modtime=&quot;6/15/2026 3:26:52 PM&quot; moduser=&quot;lamagvi&quot; rolluptime=&quot;&quot; syuser=&quot;lamagvi&quot; syuzeit=&quot;6/15/2026 3:26:52 PM&quot; root=&quot;/BBOOK/DATAPROVIDER[./META/PROPS/ID='BIP_Budget_result']/DATA&quot; colcount=&quot;4&quot; rowcount=&quot;11&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Budget_result&quot; infos=&quot;&quot; iscomment=&quot;0&quot;&gt;&lt;SELECT&gt;/BBOOK/DATAPROVIDER[./META/PROPS/ID='BIP_Budget_result']/DATA/ROW&lt;/SELECT&gt;&lt;FILTERS&gt;&lt;FILTER&gt;&lt;/FILTER&gt;&lt;/FILTERS&gt;&lt;/QUERY&gt;&lt;/QUERIES&gt;&lt;/OBJECT&gt;"/>
    <w:docVar w:name="BIP_META_DOC_TBL00109" w:val="&lt;OBJECT&gt;&lt;META&gt;&lt;ID&gt;&lt;/ID&gt;&lt;NAME&gt;DOC_TBL0010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38:42&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Revenue&quot; tdatapro=&quot;BIP_Statement_of_comparison_Revenue&quot; author=&quot;&quot; modtime=&quot;6/15/2026 3:26:52 PM&quot; moduser=&quot;lamagvi&quot; rolluptime=&quot;&quot; syuser=&quot;lamagvi&quot; syuzeit=&quot;6/15/2026 3:26:52 PM&quot; root=&quot;/BBOOK/DATAPROVIDER[./META/PROPS/ID='BIP_Statement_of_comparison_Revenue']/DATA&quot; colcount=&quot;6&quot; rowcount=&quot;10&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Revenue&quot; infos=&quot;&quot; iscomment=&quot;0&quot;&gt;&lt;SELECT&gt;/BBOOK/DATAPROVIDER[./META/PROPS/ID='BIP_Statement_of_comparison_Revenue']/DATA/ROW&lt;/SELECT&gt;&lt;FILTERS&gt;&lt;FILTER&gt;&lt;/FILTER&gt;&lt;/FILTERS&gt;&lt;/QUERY&gt;&lt;/QUERIES&gt;&lt;/OBJECT&gt;"/>
    <w:docVar w:name="BIP_META_DOC_TBL00110" w:val="&lt;OBJECT&gt;&lt;META&gt;&lt;ID&gt;&lt;/ID&gt;&lt;NAME&gt;DOC_TBL0011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40:04&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Commitments&quot; tdatapro=&quot;BIP_Statement_of_comparison_Commitments&quot; author=&quot;&quot; modtime=&quot;6/15/2026 3:26:52 PM&quot; moduser=&quot;lamagvi&quot; rolluptime=&quot;&quot; syuser=&quot;lamagvi&quot; syuzeit=&quot;6/15/2026 3:26:52 PM&quot; root=&quot;/BBOOK/DATAPROVIDER[./META/PROPS/ID='BIP_Statement_of_comparison_Commitments']/DATA&quot; colcount=&quot;6&quot; rowcount=&quot;13&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Commitments&quot; infos=&quot;&quot; iscomment=&quot;0&quot;&gt;&lt;SELECT&gt;/BBOOK/DATAPROVIDER[./META/PROPS/ID='BIP_Statement_of_comparison_Commitments']/DATA/ROW&lt;/SELECT&gt;&lt;FILTERS&gt;&lt;FILTER&gt;&lt;/FILTER&gt;&lt;/FILTERS&gt;&lt;/QUERY&gt;&lt;/QUERIES&gt;&lt;/OBJECT&gt;"/>
    <w:docVar w:name="BIP_META_DOC_TBL00111" w:val="&lt;OBJECT&gt;&lt;META&gt;&lt;ID&gt;&lt;/ID&gt;&lt;NAME&gt;DOC_TBL0011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42:34&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Payments&quot; tdatapro=&quot;BIP_Statement_of_comparison_Payments&quot; author=&quot;&quot; modtime=&quot;6/15/2026 3:26:52 PM&quot; moduser=&quot;lamagvi&quot; rolluptime=&quot;&quot; syuser=&quot;lamagvi&quot; syuzeit=&quot;6/15/2026 3:26:52 PM&quot; root=&quot;/BBOOK/DATAPROVIDER[./META/PROPS/ID='BIP_Statement_of_comparison_Payments']/DATA&quot; colcount=&quot;6&quot; rowcount=&quot;13&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Payments&quot; infos=&quot;&quot; iscomment=&quot;0&quot;&gt;&lt;SELECT&gt;/BBOOK/DATAPROVIDER[./META/PROPS/ID='BIP_Statement_of_comparison_Payments']/DATA/ROW&lt;/SELECT&gt;&lt;FILTERS&gt;&lt;FILTER&gt;&lt;/FILTER&gt;&lt;/FILTERS&gt;&lt;/QUERY&gt;&lt;/QUERIES&gt;&lt;/OBJECT&gt;"/>
    <w:docVar w:name="BIP_META_DOC_TBL00112" w:val="&lt;OBJECT&gt;&lt;META&gt;&lt;ID&gt;&lt;/ID&gt;&lt;NAME&gt;DOC_TBL0011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7/10/2019 12:42:07&lt;/DYNAMIZEDON&gt;&lt;LASTUPDATEDBY&gt;lamagvi&lt;/LASTUPDATEDBY&gt;&lt;LASTUPDATEDON&gt;6/15/2026 3:31:00 PM&lt;/LASTUPDATEDON&gt;&lt;UTC&gt;1&lt;/UTC&gt;&lt;/UPDATE&gt;&lt;QUERIES bbk=&quot;36669&quot; bbkdesc=&quot;2025 Annual Accounts/EU Annual Accounts/DC - EU Reconciliation of economic result&quot; datapro=&quot;BIP_Reconciliation&quot; tdatapro=&quot;BIP_Reconciliation&quot; author=&quot;&quot; modtime=&quot;6/10/2026 10:00:06 AM&quot; moduser=&quot;canarpa&quot; rolluptime=&quot;&quot; syuser=&quot;canarpa&quot; syuzeit=&quot;6/10/2026 10:00:06 AM&quot; root=&quot;/BBOOK/DATAPROVIDER[./META/PROPS/ID='BIP_Reconciliation']/DATA&quot; colcount=&quot;3&quot; rowcount=&quot;22&quot; url=&quot;&quot; dynamizeds=&quot;DM Production&quot; dynamizedstype=&quot;9&quot; refreshds=&quot;&quot; viewtype=&quot;1&quot;&gt;&lt;QUERY reftype=&quot;ABS&quot; elmntsel=&quot;TABLE&quot; bbk=&quot;36669&quot; bbkdesc=&quot;2025 Annual Accounts/EU Annual Accounts/DC - EU Reconciliation of economic result&quot; datapro=&quot;BIP_Reconciliation&quot; infos=&quot;&quot; iscomment=&quot;0&quot;&gt;&lt;SELECT&gt;/BBOOK/DATAPROVIDER[./META/PROPS/ID='BIP_Reconciliation']/DATA/ROW&lt;/SELECT&gt;&lt;FILTERS&gt;&lt;FILTER&gt;&lt;/FILTER&gt;&lt;/FILTERS&gt;&lt;/QUERY&gt;&lt;/QUERIES&gt;&lt;/OBJECT&gt;"/>
    <w:docVar w:name="BIP_META_DOC_TBL00113" w:val="&lt;OBJECT&gt;&lt;META&gt;&lt;ID&gt;&lt;/ID&gt;&lt;NAME&gt;DOC_TBL0011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3/03/2019 08:15:24&lt;/DYNAMIZEDON&gt;&lt;LASTUPDATEDBY&gt;lamagvi&lt;/LASTUPDATEDBY&gt;&lt;LASTUPDATEDON&gt;6/15/2026 3:30:56 PM&lt;/LASTUPDATEDON&gt;&lt;UTC&gt;1&lt;/UTC&gt;&lt;/UPDATE&gt;&lt;QUERIES bbk=&quot;36741&quot; bbkdesc=&quot;2025 Annual Accounts/EU Annual Accounts/DC - EU revenues&quot; datapro=&quot;BIP_Implementation_budget_revenue&quot; tdatapro=&quot;BIP_Implementation_budget_revenue&quot; author=&quot;&quot; modtime=&quot;6/15/2026 3:26:55 PM&quot; moduser=&quot;lamagvi&quot; rolluptime=&quot;&quot; syuser=&quot;lamagvi&quot; syuzeit=&quot;6/15/2026 3:26:55 PM&quot; root=&quot;/BBOOK/DATAPROVIDER[./META/PROPS/ID='BIP_Implementation_budget_revenue']/DATA&quot; colcount=&quot;12&quot; rowcount=&quot;21&quot; url=&quot;&quot; dynamizeds=&quot;DM Production&quot; dynamizedstype=&quot;9&quot; refreshds=&quot;&quot; viewtype=&quot;1&quot;&gt;&lt;QUERY reftype=&quot;ABS&quot; elmntsel=&quot;TABLE&quot; bbk=&quot;36741&quot; bbkdesc=&quot;2025 Annual Accounts/EU Annual Accounts/DC - EU revenues&quot; datapro=&quot;BIP_Implementation_budget_revenue&quot; infos=&quot;&quot; iscomment=&quot;0&quot;&gt;&lt;SELECT&gt;/BBOOK/DATAPROVIDER[./META/PROPS/ID='BIP_Implementation_budget_revenue']/DATA/ROW&lt;/SELECT&gt;&lt;FILTERS&gt;&lt;FILTER&gt;&lt;/FILTER&gt;&lt;/FILTERS&gt;&lt;/QUERY&gt;&lt;/QUERIES&gt;&lt;/OBJECT&gt;"/>
    <w:docVar w:name="BIP_META_DOC_TBL00114" w:val="&lt;OBJECT&gt;&lt;META&gt;&lt;ID&gt;&lt;/ID&gt;&lt;NAME&gt;DOC_TBL0011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3/13/2019 9:31:30 AM&lt;/DYNAMIZEDON&gt;&lt;LASTUPDATEDBY&gt;lamagvi&lt;/LASTUPDATEDBY&gt;&lt;LASTUPDATEDON&gt;6/15/2026 3:30:56 PM&lt;/LASTUPDATEDON&gt;&lt;UTC&gt;1&lt;/UTC&gt;&lt;/UPDATE&gt;&lt;QUERIES bbk=&quot;36742&quot; bbkdesc=&quot;2025 Annual Accounts/EU Annual Accounts/DC - EU expenditures&quot; datapro=&quot;BIP_MFF_1_Breakdown_Comm_Paym&quot; tdatapro=&quot;BIP_MFF_1_Breakdown_Comm_Paym&quot; author=&quot;&quot; modtime=&quot;6/15/2026 3:26:55 PM&quot; moduser=&quot;lamagvi&quot; rolluptime=&quot;&quot; syuser=&quot;lamagvi&quot; syuzeit=&quot;6/15/2026 3:26:55 PM&quot; root=&quot;/BBOOK/DATAPROVIDER[./META/PROPS/ID='BIP_MFF_1_Breakdown_Comm_Paym']/DATA&quot; colcount=&quot;14&quot; rowcount=&quot;15&quot; url=&quot;&quot; dynamizeds=&quot;DM Production&quot; dynamizedstype=&quot;9&quot; refreshds=&quot;&quot; viewtype=&quot;1&quot;&gt;&lt;QUERY reftype=&quot;ABS&quot; elmntsel=&quot;TABLE&quot; bbk=&quot;36742&quot; bbkdesc=&quot;2025 Annual Accounts/EU Annual Accounts/DC - EU expenditures&quot; datapro=&quot;BIP_MFF_1_Breakdown_Comm_Paym&quot; infos=&quot;&quot; iscomment=&quot;0&quot;&gt;&lt;SELECT&gt;/BBOOK/DATAPROVIDER[./META/PROPS/ID='BIP_MFF_1_Breakdown_Comm_Paym']/DATA/ROW&lt;/SELECT&gt;&lt;FILTERS&gt;&lt;FILTER&gt;&lt;/FILTER&gt;&lt;/FILTERS&gt;&lt;/QUERY&gt;&lt;/QUERIES&gt;&lt;/OBJECT&gt;"/>
    <w:docVar w:name="BIP_META_DOC_TBL00115" w:val="&lt;OBJECT&gt;&lt;META&gt;&lt;ID&gt;&lt;/ID&gt;&lt;NAME&gt;DOC_TBL0011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29:51&lt;/DYNAMIZEDON&gt;&lt;LASTUPDATEDBY&gt;lamagvi&lt;/LASTUPDATEDBY&gt;&lt;LASTUPDATEDON&gt;6/15/2026 3:30:55 PM&lt;/LASTUPDATEDON&gt;&lt;UTC&gt;1&lt;/UTC&gt;&lt;/UPDATE&gt;&lt;QUERIES bbk=&quot;36742&quot; bbkdesc=&quot;2025 Annual Accounts/EU Annual Accounts/DC - EU expenditures&quot; datapro=&quot;BIP_MFF_2_Implement_Commitments&quot; tdatapro=&quot;BIP_MFF_2_Implement_Commitments&quot; author=&quot;&quot; modtime=&quot;6/15/2026 3:26:55 PM&quot; moduser=&quot;lamagvi&quot; rolluptime=&quot;&quot; syuser=&quot;lamagvi&quot; syuzeit=&quot;6/15/2026 3:26:55 PM&quot; root=&quot;/BBOOK/DATAPROVIDER[./META/PROPS/ID='BIP_MFF_2_Implement_Commitments']/DATA&quot; colcount=&quot;15&quot; rowcount=&quot;14&quot; url=&quot;&quot; dynamizeds=&quot;DM Production&quot; dynamizedstype=&quot;9&quot; refreshds=&quot;&quot; viewtype=&quot;1&quot;&gt;&lt;QUERY reftype=&quot;ABS&quot; elmntsel=&quot;TABLE&quot; bbk=&quot;36742&quot; bbkdesc=&quot;2025 Annual Accounts/EU Annual Accounts/DC - EU expenditures&quot; datapro=&quot;BIP_MFF_2_Implement_Commitments&quot; infos=&quot;&quot; iscomment=&quot;0&quot;&gt;&lt;SELECT&gt;/BBOOK/DATAPROVIDER[./META/PROPS/ID='BIP_MFF_2_Implement_Commitments']/DATA/ROW&lt;/SELECT&gt;&lt;FILTERS&gt;&lt;FILTER&gt;&lt;/FILTER&gt;&lt;/FILTERS&gt;&lt;/QUERY&gt;&lt;/QUERIES&gt;&lt;/OBJECT&gt;"/>
    <w:docVar w:name="BIP_META_DOC_TBL00116" w:val="&lt;OBJECT&gt;&lt;META&gt;&lt;ID&gt;&lt;/ID&gt;&lt;NAME&gt;DOC_TBL0011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33:13&lt;/DYNAMIZEDON&gt;&lt;LASTUPDATEDBY&gt;lamagvi&lt;/LASTUPDATEDBY&gt;&lt;LASTUPDATEDON&gt;6/15/2026 3:30:55 PM&lt;/LASTUPDATEDON&gt;&lt;UTC&gt;1&lt;/UTC&gt;&lt;/UPDATE&gt;&lt;QUERIES bbk=&quot;36742&quot; bbkdesc=&quot;2025 Annual Accounts/EU Annual Accounts/DC - EU expenditures&quot; datapro=&quot;BIP_MFF_3_Implement_Payments&quot; tdatapro=&quot;BIP_MFF_3_Implement_Payments&quot; author=&quot;&quot; modtime=&quot;6/15/2026 3:26:55 PM&quot; moduser=&quot;lamagvi&quot; rolluptime=&quot;&quot; syuser=&quot;lamagvi&quot; syuzeit=&quot;6/15/2026 3:26:55 PM&quot; root=&quot;/BBOOK/DATAPROVIDER[./META/PROPS/ID='BIP_MFF_3_Implement_Payments']/DATA&quot; colcount=&quot;15&quot; rowcount=&quot;14&quot; url=&quot;&quot; dynamizeds=&quot;DM Production&quot; dynamizedstype=&quot;9&quot; refreshds=&quot;&quot; viewtype=&quot;1&quot;&gt;&lt;QUERY reftype=&quot;ABS&quot; elmntsel=&quot;TABLE&quot; bbk=&quot;36742&quot; bbkdesc=&quot;2025 Annual Accounts/EU Annual Accounts/DC - EU expenditures&quot; datapro=&quot;BIP_MFF_3_Implement_Payments&quot; infos=&quot;&quot; iscomment=&quot;0&quot;&gt;&lt;SELECT&gt;/BBOOK/DATAPROVIDER[./META/PROPS/ID='BIP_MFF_3_Implement_Payments']/DATA/ROW&lt;/SELECT&gt;&lt;FILTERS&gt;&lt;FILTER&gt;&lt;/FILTER&gt;&lt;/FILTERS&gt;&lt;/QUERY&gt;&lt;/QUERIES&gt;&lt;/OBJECT&gt;"/>
    <w:docVar w:name="BIP_META_DOC_TBL00117" w:val="&lt;OBJECT&gt;&lt;META&gt;&lt;ID&gt;&lt;/ID&gt;&lt;NAME&gt;DOC_TBL0011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34:23&lt;/DYNAMIZEDON&gt;&lt;LASTUPDATEDBY&gt;lamagvi&lt;/LASTUPDATEDBY&gt;&lt;LASTUPDATEDON&gt;6/15/2026 3:30:56 PM&lt;/LASTUPDATEDON&gt;&lt;UTC&gt;1&lt;/UTC&gt;&lt;/UPDATE&gt;&lt;QUERIES bbk=&quot;36742&quot; bbkdesc=&quot;2025 Annual Accounts/EU Annual Accounts/DC - EU expenditures&quot; datapro=&quot;BIP_MFF_4_Commitments_outstanding&quot; tdatapro=&quot;BIP_MFF_4_Commitments_outstanding&quot; author=&quot;&quot; modtime=&quot;6/15/2026 3:26:55 PM&quot; moduser=&quot;lamagvi&quot; rolluptime=&quot;&quot; syuser=&quot;lamagvi&quot; syuzeit=&quot;6/15/2026 3:26:55 PM&quot; root=&quot;/BBOOK/DATAPROVIDER[./META/PROPS/ID='BIP_MFF_4_Commitments_outstanding']/DATA&quot; colcount=&quot;7&quot; rowcount=&quot;13&quot; url=&quot;&quot; dynamizeds=&quot;DM Production&quot; dynamizedstype=&quot;9&quot; refreshds=&quot;&quot; viewtype=&quot;1&quot;&gt;&lt;QUERY reftype=&quot;ABS&quot; elmntsel=&quot;TABLE&quot; bbk=&quot;36742&quot; bbkdesc=&quot;2025 Annual Accounts/EU Annual Accounts/DC - EU expenditures&quot; datapro=&quot;BIP_MFF_4_Commitments_outstanding&quot; infos=&quot;&quot; iscomment=&quot;0&quot;&gt;&lt;SELECT&gt;/BBOOK/DATAPROVIDER[./META/PROPS/ID='BIP_MFF_4_Commitments_outstanding']/DATA/ROW&lt;/SELECT&gt;&lt;FILTERS&gt;&lt;FILTER&gt;&lt;/FILTER&gt;&lt;/FILTERS&gt;&lt;/QUERY&gt;&lt;/QUERIES&gt;&lt;/OBJECT&gt;"/>
    <w:docVar w:name="BIP_META_DOC_TBL00118" w:val="&lt;OBJECT&gt;&lt;META&gt;&lt;ID&gt;&lt;/ID&gt;&lt;NAME&gt;DOC_TBL0011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52:48&lt;/DYNAMIZEDON&gt;&lt;LASTUPDATEDBY&gt;lamagvi&lt;/LASTUPDATEDBY&gt;&lt;LASTUPDATEDON&gt;6/15/2026 3:30:55 PM&lt;/LASTUPDATEDON&gt;&lt;UTC&gt;1&lt;/UTC&gt;&lt;/UPDATE&gt;&lt;QUERIES bbk=&quot;36742&quot; bbkdesc=&quot;2025 Annual Accounts/EU Annual Accounts/DC - EU expenditures&quot; datapro=&quot;BIP_MFF_5_RAL_YoO&quot; tdatapro=&quot;BIP_MFF_5_RAL_YoO&quot; author=&quot;&quot; modtime=&quot;6/15/2026 3:26:55 PM&quot; moduser=&quot;lamagvi&quot; rolluptime=&quot;&quot; syuser=&quot;lamagvi&quot; syuzeit=&quot;6/15/2026 3:26:55 PM&quot; root=&quot;/BBOOK/DATAPROVIDER[./META/PROPS/ID='BIP_MFF_5_RAL_YoO']/DATA&quot; colcount=&quot;12&quot; rowcount=&quot;12&quot; url=&quot;&quot; dynamizeds=&quot;DM Production&quot; dynamizedstype=&quot;9&quot; refreshds=&quot;&quot; viewtype=&quot;1&quot;&gt;&lt;QUERY reftype=&quot;ABS&quot; elmntsel=&quot;TABLE&quot; bbk=&quot;36742&quot; bbkdesc=&quot;2025 Annual Accounts/EU Annual Accounts/DC - EU expenditures&quot; datapro=&quot;BIP_MFF_5_RAL_YoO&quot; infos=&quot;&quot; iscomment=&quot;0&quot;&gt;&lt;SELECT&gt;/BBOOK/DATAPROVIDER[./META/PROPS/ID='BIP_MFF_5_RAL_YoO']/DATA/ROW&lt;/SELECT&gt;&lt;FILTERS&gt;&lt;FILTER&gt;&lt;/FILTER&gt;&lt;/FILTERS&gt;&lt;/QUERY&gt;&lt;/QUERIES&gt;&lt;/OBJECT&gt;"/>
    <w:docVar w:name="BIP_META_DOC_TBL00119" w:val="&lt;OBJECT&gt;&lt;META&gt;&lt;ID&gt;&lt;/ID&gt;&lt;NAME&gt;DOC_TBL0011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gcristi&lt;/DYNAMIZEDBY&gt;&lt;DYNAMIZEDON&gt;6/9/2026 2:41:55 PM&lt;/DYNAMIZEDON&gt;&lt;LASTUPDATEDBY&gt;lamagvi&lt;/LASTUPDATEDBY&gt;&lt;LASTUPDATEDON&gt;6/15/2026 3:30:55 PM&lt;/LASTUPDATEDON&gt;&lt;UTC&gt;1&lt;/UTC&gt;&lt;/UPDATE&gt;&lt;QUERIES bbk=&quot;36742&quot; bbkdesc=&quot;2025 Annual Accounts/EU Annual Accounts/DC - EU expenditures&quot; datapro=&quot;BIP_DetailedMFF_1_Breakdown&quot; tdatapro=&quot;BIP_DetailedMFF_1_Breakdown&quot; author=&quot;&quot; modtime=&quot;6/9/2026 12:51:04 PM&quot; moduser=&quot;gcristi&quot; rolluptime=&quot;&quot; syuser=&quot;gcristi&quot; syuzeit=&quot;6/9/2026 12:51:04 PM&quot; root=&quot;/DATA&quot; colcount=&quot;14&quot; rowcount=&quot;159&quot; url=&quot;&quot; dynamizeds=&quot;DM Production&quot; dynamizedstype=&quot;9&quot; refreshds=&quot;&quot; viewtype=&quot;1&quot;&gt;&lt;QUERY reftype=&quot;ABS&quot; elmntsel=&quot;TABLE&quot; bbk=&quot;36742&quot; bbkdesc=&quot;2025 Annual Accounts/EU Annual Accounts/DC - EU expenditures&quot; datapro=&quot;BIP_DetailedMFF_1_Breakdown&quot; infos=&quot;&quot; iscomment=&quot;0&quot;&gt;&lt;SELECT&gt;/BBOOK/DATAPROVIDER[./META/PROPS/ID='BIP_DetailedMFF_1_Breakdown']/DATA/ROW&lt;/SELECT&gt;&lt;FILTERS&gt;&lt;FILTER&gt;&lt;/FILTER&gt;&lt;/FILTERS&gt;&lt;/QUERY&gt;&lt;/QUERIES&gt;&lt;/OBJECT&gt;"/>
    <w:docVar w:name="BIP_META_DOC_TBL00120" w:val="&lt;OBJECT&gt;&lt;META&gt;&lt;ID&gt;&lt;/ID&gt;&lt;NAME&gt;DOC_TBL0012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58:31&lt;/DYNAMIZEDON&gt;&lt;LASTUPDATEDBY&gt;lamagvi&lt;/LASTUPDATEDBY&gt;&lt;LASTUPDATEDON&gt;6/15/2026 3:30:55 PM&lt;/LASTUPDATEDON&gt;&lt;UTC&gt;1&lt;/UTC&gt;&lt;/UPDATE&gt;&lt;QUERIES bbk=&quot;36742&quot; bbkdesc=&quot;2025 Annual Accounts/EU Annual Accounts/DC - EU expenditures&quot; datapro=&quot;BIP_DetailedMFF_2_Implement_Commitments&quot; tdatapro=&quot;BIP_DetailedMFF_2_Implement_Commitments&quot; author=&quot;&quot; modtime=&quot;6/15/2026 3:26:55 PM&quot; moduser=&quot;lamagvi&quot; rolluptime=&quot;&quot; syuser=&quot;lamagvi&quot; syuzeit=&quot;6/15/2026 3:26:55 PM&quot; root=&quot;/BBOOK/DATAPROVIDER[./META/PROPS/ID='BIP_DetailedMFF_2_Implement_Commitments']/DATA&quot; colcount=&quot;15&quot; rowcount=&quot;157&quot; url=&quot;&quot; dynamizeds=&quot;DM Production&quot; dynamizedstype=&quot;9&quot; refreshds=&quot;&quot; viewtype=&quot;1&quot;&gt;&lt;QUERY reftype=&quot;ABS&quot; elmntsel=&quot;TABLE&quot; bbk=&quot;36742&quot; bbkdesc=&quot;2025 Annual Accounts/EU Annual Accounts/DC - EU expenditures&quot; datapro=&quot;BIP_DetailedMFF_2_Implement_Commitments&quot; infos=&quot;&quot; iscomment=&quot;0&quot;&gt;&lt;SELECT&gt;/BBOOK/DATAPROVIDER[./META/PROPS/ID='BIP_DetailedMFF_2_Implement_Commitments']/DATA/ROW&lt;/SELECT&gt;&lt;FILTERS&gt;&lt;FILTER&gt;&lt;/FILTER&gt;&lt;/FILTERS&gt;&lt;/QUERY&gt;&lt;/QUERIES&gt;&lt;/OBJECT&gt;"/>
    <w:docVar w:name="BIP_META_DOC_TBL00121" w:val="&lt;OBJECT&gt;&lt;META&gt;&lt;ID&gt;&lt;/ID&gt;&lt;NAME&gt;DOC_TBL0012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00:18&lt;/DYNAMIZEDON&gt;&lt;LASTUPDATEDBY&gt;lamagvi&lt;/LASTUPDATEDBY&gt;&lt;LASTUPDATEDON&gt;6/15/2026 3:30:56 PM&lt;/LASTUPDATEDON&gt;&lt;UTC&gt;1&lt;/UTC&gt;&lt;/UPDATE&gt;&lt;QUERIES bbk=&quot;36742&quot; bbkdesc=&quot;2025 Annual Accounts/EU Annual Accounts/DC - EU expenditures&quot; datapro=&quot;BIP_DetailedMFF_3_Implement_Payments&quot; tdatapro=&quot;BIP_DetailedMFF_3_Implement_Payments&quot; author=&quot;&quot; modtime=&quot;6/15/2026 3:26:55 PM&quot; moduser=&quot;lamagvi&quot; rolluptime=&quot;&quot; syuser=&quot;lamagvi&quot; syuzeit=&quot;6/15/2026 3:26:55 PM&quot; root=&quot;/BBOOK/DATAPROVIDER[./META/PROPS/ID='BIP_DetailedMFF_3_Implement_Payments']/DATA&quot; colcount=&quot;15&quot; rowcount=&quot;158&quot; url=&quot;&quot; dynamizeds=&quot;DM Production&quot; dynamizedstype=&quot;9&quot; refreshds=&quot;&quot; viewtype=&quot;1&quot;&gt;&lt;QUERY reftype=&quot;ABS&quot; elmntsel=&quot;TABLE&quot; bbk=&quot;36742&quot; bbkdesc=&quot;2025 Annual Accounts/EU Annual Accounts/DC - EU expenditures&quot; datapro=&quot;BIP_DetailedMFF_3_Implement_Payments&quot; infos=&quot;&quot; iscomment=&quot;0&quot;&gt;&lt;SELECT&gt;/BBOOK/DATAPROVIDER[./META/PROPS/ID='BIP_DetailedMFF_3_Implement_Payments']/DATA/ROW&lt;/SELECT&gt;&lt;FILTERS&gt;&lt;FILTER&gt;&lt;/FILTER&gt;&lt;/FILTERS&gt;&lt;/QUERY&gt;&lt;/QUERIES&gt;&lt;/OBJECT&gt;"/>
    <w:docVar w:name="BIP_META_DOC_TBL00122" w:val="&lt;OBJECT&gt;&lt;META&gt;&lt;ID&gt;&lt;/ID&gt;&lt;NAME&gt;DOC_TBL0012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15:25&lt;/DYNAMIZEDON&gt;&lt;LASTUPDATEDBY&gt;lamagvi&lt;/LASTUPDATEDBY&gt;&lt;LASTUPDATEDON&gt;6/15/2026 3:30:55 PM&lt;/LASTUPDATEDON&gt;&lt;UTC&gt;1&lt;/UTC&gt;&lt;/UPDATE&gt;&lt;QUERIES bbk=&quot;36742&quot; bbkdesc=&quot;2025 Annual Accounts/EU Annual Accounts/DC - EU expenditures&quot; datapro=&quot;BIP_DetailedMFF_4_Commitments_oustanding&quot; tdatapro=&quot;BIP_DetailedMFF_4_Commitments_oustanding&quot; author=&quot;&quot; modtime=&quot;6/15/2026 3:26:55 PM&quot; moduser=&quot;lamagvi&quot; rolluptime=&quot;&quot; syuser=&quot;lamagvi&quot; syuzeit=&quot;6/15/2026 3:26:55 PM&quot; root=&quot;/BBOOK/DATAPROVIDER[./META/PROPS/ID='BIP_DetailedMFF_4_Commitments_oustanding']/DATA&quot; colcount=&quot;7&quot; rowcount=&quot;157&quot; url=&quot;&quot; dynamizeds=&quot;DM Production&quot; dynamizedstype=&quot;9&quot; refreshds=&quot;&quot; viewtype=&quot;1&quot;&gt;&lt;QUERY reftype=&quot;ABS&quot; elmntsel=&quot;TABLE&quot; bbk=&quot;36742&quot; bbkdesc=&quot;2025 Annual Accounts/EU Annual Accounts/DC - EU expenditures&quot; datapro=&quot;BIP_DetailedMFF_4_Commitments_oustanding&quot; infos=&quot;&quot; iscomment=&quot;0&quot;&gt;&lt;SELECT&gt;/BBOOK/DATAPROVIDER[./META/PROPS/ID='BIP_DetailedMFF_4_Commitments_oustanding']/DATA/ROW&lt;/SELECT&gt;&lt;FILTERS&gt;&lt;FILTER&gt;&lt;/FILTER&gt;&lt;/FILTERS&gt;&lt;/QUERY&gt;&lt;/QUERIES&gt;&lt;/OBJECT&gt;"/>
    <w:docVar w:name="BIP_META_DOC_TBL00123" w:val="&lt;OBJECT&gt;&lt;META&gt;&lt;ID&gt;&lt;/ID&gt;&lt;NAME&gt;DOC_TBL0012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18:23&lt;/DYNAMIZEDON&gt;&lt;LASTUPDATEDBY&gt;lamagvi&lt;/LASTUPDATEDBY&gt;&lt;LASTUPDATEDON&gt;6/15/2026 3:30:55 PM&lt;/LASTUPDATEDON&gt;&lt;UTC&gt;1&lt;/UTC&gt;&lt;/UPDATE&gt;&lt;QUERIES bbk=&quot;36742&quot; bbkdesc=&quot;2025 Annual Accounts/EU Annual Accounts/DC - EU expenditures&quot; datapro=&quot;BIP_DetailedMFF_5_RAL_YoO&quot; tdatapro=&quot;BIP_DetailedMFF_5_RAL_YoO&quot; author=&quot;&quot; modtime=&quot;6/15/2026 3:26:55 PM&quot; moduser=&quot;lamagvi&quot; rolluptime=&quot;&quot; syuser=&quot;lamagvi&quot; syuzeit=&quot;6/15/2026 3:26:55 PM&quot; root=&quot;/BBOOK/DATAPROVIDER[./META/PROPS/ID='BIP_DetailedMFF_5_RAL_YoO']/DATA&quot; colcount=&quot;12&quot; rowcount=&quot;142&quot; url=&quot;&quot; dynamizeds=&quot;DM Production&quot; dynamizedstype=&quot;9&quot; refreshds=&quot;&quot; viewtype=&quot;1&quot;&gt;&lt;QUERY reftype=&quot;ABS&quot; elmntsel=&quot;TABLE&quot; bbk=&quot;36742&quot; bbkdesc=&quot;2025 Annual Accounts/EU Annual Accounts/DC - EU expenditures&quot; datapro=&quot;BIP_DetailedMFF_5_RAL_YoO&quot; infos=&quot;&quot; iscomment=&quot;0&quot;&gt;&lt;SELECT&gt;/BBOOK/DATAPROVIDER[./META/PROPS/ID='BIP_DetailedMFF_5_RAL_YoO']/DATA/ROW&lt;/SELECT&gt;&lt;FILTERS&gt;&lt;FILTER&gt;&lt;/FILTER&gt;&lt;/FILTERS&gt;&lt;/QUERY&gt;&lt;/QUERIES&gt;&lt;/OBJECT&gt;"/>
    <w:docVar w:name="BIP_META_DOC_TBL00124" w:val="&lt;OBJECT&gt;&lt;META&gt;&lt;ID&gt;&lt;/ID&gt;&lt;NAME&gt;DOC_TBL0012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4:58:37&lt;/DYNAMIZEDON&gt;&lt;LASTUPDATEDBY&gt;lamagvi&lt;/LASTUPDATEDBY&gt;&lt;LASTUPDATEDON&gt;6/15/2026 3:30:57 PM&lt;/LASTUPDATEDON&gt;&lt;UTC&gt;1&lt;/UTC&gt;&lt;/UPDATE&gt;&lt;QUERIES bbk=&quot;36778&quot; bbkdesc=&quot;2025 Annual Accounts/EU Annual Accounts/DC - Institutions and agencies&quot; datapro=&quot;BIP_Institutions_1_Revenue&quot; tdatapro=&quot;BIP_Institutions_1_Revenue&quot; author=&quot;&quot; modtime=&quot;6/15/2026 3:26:59 PM&quot; moduser=&quot;lamagvi&quot; rolluptime=&quot;&quot; syuser=&quot;lamagvi&quot; syuzeit=&quot;6/15/2026 3:26:59 PM&quot; root=&quot;/BBOOK/DATAPROVIDER[./META/PROPS/ID='BIP_Institutions_1_Revenue']/DATA&quot; colcount=&quot;11&quot; rowcount=&quot;13&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1_Revenue&quot; infos=&quot;&quot; iscomment=&quot;0&quot;&gt;&lt;SELECT&gt;/BBOOK/DATAPROVIDER[./META/PROPS/ID='BIP_Institutions_1_Revenue']/DATA/ROW&lt;/SELECT&gt;&lt;FILTERS&gt;&lt;FILTER&gt;&lt;/FILTER&gt;&lt;/FILTERS&gt;&lt;/QUERY&gt;&lt;/QUERIES&gt;&lt;/OBJECT&gt;"/>
    <w:docVar w:name="BIP_META_DOC_TBL00125" w:val="&lt;OBJECT&gt;&lt;META&gt;&lt;ID&gt;&lt;/ID&gt;&lt;NAME&gt;DOC_TBL0012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4:59:24&lt;/DYNAMIZEDON&gt;&lt;LASTUPDATEDBY&gt;lamagvi&lt;/LASTUPDATEDBY&gt;&lt;LASTUPDATEDON&gt;6/15/2026 3:30:57 PM&lt;/LASTUPDATEDON&gt;&lt;UTC&gt;1&lt;/UTC&gt;&lt;/UPDATE&gt;&lt;QUERIES bbk=&quot;36778&quot; bbkdesc=&quot;2025 Annual Accounts/EU Annual Accounts/DC - Institutions and agencies&quot; datapro=&quot;BIP_Institutions_2_Commitments&quot; tdatapro=&quot;BIP_Institutions_2_Commitments&quot; author=&quot;&quot; modtime=&quot;6/15/2026 3:26:59 PM&quot; moduser=&quot;lamagvi&quot; rolluptime=&quot;&quot; syuser=&quot;lamagvi&quot; syuzeit=&quot;6/15/2026 3:26:59 PM&quot; root=&quot;/BBOOK/DATAPROVIDER[./META/PROPS/ID='BIP_Institutions_2_Commitments']/DATA&quot; colcount=&quot;14&quot; rowcount=&quot;14&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2_Commitments&quot; infos=&quot;&quot; iscomment=&quot;0&quot;&gt;&lt;SELECT&gt;/BBOOK/DATAPROVIDER[./META/PROPS/ID='BIP_Institutions_2_Commitments']/DATA/ROW&lt;/SELECT&gt;&lt;FILTERS&gt;&lt;FILTER&gt;&lt;/FILTER&gt;&lt;/FILTERS&gt;&lt;/QUERY&gt;&lt;/QUERIES&gt;&lt;/OBJECT&gt;"/>
    <w:docVar w:name="BIP_META_DOC_TBL00126" w:val="&lt;OBJECT&gt;&lt;META&gt;&lt;ID&gt;&lt;/ID&gt;&lt;NAME&gt;DOC_TBL0012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5:00:09&lt;/DYNAMIZEDON&gt;&lt;LASTUPDATEDBY&gt;lamagvi&lt;/LASTUPDATEDBY&gt;&lt;LASTUPDATEDON&gt;6/15/2026 3:30:57 PM&lt;/LASTUPDATEDON&gt;&lt;UTC&gt;1&lt;/UTC&gt;&lt;/UPDATE&gt;&lt;QUERIES bbk=&quot;36778&quot; bbkdesc=&quot;2025 Annual Accounts/EU Annual Accounts/DC - Institutions and agencies&quot; datapro=&quot;BIP_Institutions_3_Payments&quot; tdatapro=&quot;BIP_Institutions_3_Payments&quot; author=&quot;&quot; modtime=&quot;6/15/2026 3:26:59 PM&quot; moduser=&quot;lamagvi&quot; rolluptime=&quot;&quot; syuser=&quot;lamagvi&quot; syuzeit=&quot;6/15/2026 3:26:59 PM&quot; root=&quot;/BBOOK/DATAPROVIDER[./META/PROPS/ID='BIP_Institutions_3_Payments']/DATA&quot; colcount=&quot;14&quot; rowcount=&quot;14&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3_Payments&quot; infos=&quot;&quot; iscomment=&quot;0&quot;&gt;&lt;SELECT&gt;/BBOOK/DATAPROVIDER[./META/PROPS/ID='BIP_Institutions_3_Payments']/DATA/ROW&lt;/SELECT&gt;&lt;FILTERS&gt;&lt;FILTER&gt;&lt;/FILTER&gt;&lt;/FILTERS&gt;&lt;/QUERY&gt;&lt;/QUERIES&gt;&lt;/OBJECT&gt;"/>
    <w:docVar w:name="BIP_META_DOC_TBL00127" w:val="&lt;OBJECT&gt;&lt;META&gt;&lt;ID&gt;&lt;/ID&gt;&lt;NAME&gt;DOC_TBL0012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estrth&lt;/DYNAMIZEDBY&gt;&lt;DYNAMIZEDON&gt;30-03-2021 12:36:58&lt;/DYNAMIZEDON&gt;&lt;LASTUPDATEDBY&gt;lamagvi&lt;/LASTUPDATEDBY&gt;&lt;LASTUPDATEDON&gt;6/15/2026 3:30:57 PM&lt;/LASTUPDATEDON&gt;&lt;UTC&gt;1&lt;/UTC&gt;&lt;/UPDATE&gt;&lt;QUERIES bbk=&quot;36778&quot; bbkdesc=&quot;2025 Annual Accounts/EU Annual Accounts/DC - Institutions and agencies&quot; datapro=&quot;BIP_Agencies_1_Revenue&quot; tdatapro=&quot;BIP_Agencies_1_Revenue&quot; author=&quot;&quot; modtime=&quot;6/15/2026 3:26:59 PM&quot; moduser=&quot;lamagvi&quot; rolluptime=&quot;&quot; syuser=&quot;lamagvi&quot; syuzeit=&quot;6/15/2026 3:26:59 PM&quot; root=&quot;/BBOOK/DATAPROVIDER[./META/PROPS/ID='BIP_Agencies_1_Revenue']/DATA&quot; colcount=&quot;4&quot; rowcount=&quot;45&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1_Revenue&quot; infos=&quot;&quot; iscomment=&quot;0&quot;&gt;&lt;SELECT&gt;/BBOOK/DATAPROVIDER[./META/PROPS/ID='BIP_Agencies_1_Revenue']/DATA/ROW&lt;/SELECT&gt;&lt;FILTERS&gt;&lt;FILTER&gt;&lt;/FILTER&gt;&lt;/FILTERS&gt;&lt;/QUERY&gt;&lt;/QUERIES&gt;&lt;/OBJECT&gt;"/>
    <w:docVar w:name="BIP_META_DOC_TBL00128" w:val="&lt;OBJECT&gt;&lt;META&gt;&lt;ID&gt;&lt;/ID&gt;&lt;NAME&gt;DOC_TBL00128&lt;/NAME&gt;&lt;TYPE&gt;&lt;ID&gt;19&lt;/ID&gt;&lt;FRIENDLYNAME&gt;Table&lt;/FRIENDLYNAME&gt;&lt;LABEL&gt;&lt;/LABEL&gt;&lt;/TYPE&gt;&lt;STATUS&gt;SEM&lt;/STATUS&gt;&lt;SAFE&gt;&lt;/SAFE&gt;&lt;MARKCHANGES&gt;0&lt;/MARKCHANGES&gt;&lt;USESTYLES&gt;0&lt;/USESTYLES&gt;&lt;USETEMPLATES&gt;0&lt;/USETEMPLATES&gt;&lt;FXC&gt;0&lt;/FXC&gt;&lt;FXR&gt;0&lt;/FXR&gt;&lt;FORMAT&gt;&lt;/FORMAT&gt;&lt;FMODUS&gt;&lt;/FMODUS&gt;&lt;FLCID&gt;3072&lt;/FLCID&gt;&lt;RELATION&gt;&lt;/RELATION&gt;&lt;LINKED&gt;&lt;/LINKED&gt;&lt;SVALUE&gt;&lt;/SVALUE&gt;&lt;INFO&gt;&lt;/INFO&gt;&lt;/META&gt;&lt;UPDATE&gt;&lt;DATE&gt;10.1.10.2&lt;/DATE&gt;&lt;DYNAMIZEDBY&gt;mestrth&lt;/DYNAMIZEDBY&gt;&lt;DYNAMIZEDON&gt;05/06/2024 12:40:05&lt;/DYNAMIZEDON&gt;&lt;LASTUPDATEDBY&gt;lamagvi&lt;/LASTUPDATEDBY&gt;&lt;LASTUPDATEDON&gt;6/15/2026 3:30:57 PM&lt;/LASTUPDATEDON&gt;&lt;UTC&gt;1&lt;/UTC&gt;&lt;/UPDATE&gt;&lt;QUERIES bbk=&quot;36778&quot; bbkdesc=&quot;2025 Annual Accounts/EU Annual Accounts/DC - Institutions and agencies&quot; datapro=&quot;BIP_Agencies_2_Type_of_Revenue&quot; tdatapro=&quot;BIP_Agencies_2_Type_of_Revenue&quot; author=&quot;&quot; modtime=&quot;6/15/2026 3:26:59 PM&quot; moduser=&quot;lamagvi&quot; rolluptime=&quot;&quot; syuser=&quot;lamagvi&quot; syuzeit=&quot;6/15/2026 3:26:59 PM&quot; root=&quot;/BBOOK/DATAPROVIDER[./META/PROPS/ID='BIP_Agencies_2_Type_of_Revenue']/DATA&quot; colcount=&quot;4&quot; rowcount=&quot;6&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2_Type_of_Revenue&quot; infos=&quot;&quot; iscomment=&quot;0&quot;&gt;&lt;SELECT&gt;/BBOOK/DATAPROVIDER[./META/PROPS/ID='BIP_Agencies_2_Type_of_Revenue']/DATA/ROW&lt;/SELECT&gt;&lt;FILTERS&gt;&lt;FILTER&gt;&lt;/FILTER&gt;&lt;/FILTERS&gt;&lt;/QUERY&gt;&lt;/QUERIES&gt;&lt;/OBJECT&gt;"/>
    <w:docVar w:name="BIP_META_DOC_TBL00129" w:val="&lt;OBJECT&gt;&lt;META&gt;&lt;ID&gt;&lt;/ID&gt;&lt;NAME&gt;DOC_TBL0012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6.35&lt;/DATE&gt;&lt;DYNAMIZEDBY&gt;bedread&lt;/DYNAMIZEDBY&gt;&lt;DYNAMIZEDON&gt;14/03/2019 15:06:11&lt;/DYNAMIZEDON&gt;&lt;LASTUPDATEDBY&gt;lamagvi&lt;/LASTUPDATEDBY&gt;&lt;LASTUPDATEDON&gt;6/15/2026 3:30:57 PM&lt;/LASTUPDATEDON&gt;&lt;UTC&gt;1&lt;/UTC&gt;&lt;/UPDATE&gt;&lt;QUERIES bbk=&quot;36778&quot; bbkdesc=&quot;2025 Annual Accounts/EU Annual Accounts/DC - Institutions and agencies&quot; datapro=&quot;BIP_Agencies_3_Commitments_Payments&quot; tdatapro=&quot;BIP_Agencies_3_Commitments_Payments&quot; author=&quot;&quot; modtime=&quot;6/15/2026 3:26:59 PM&quot; moduser=&quot;lamagvi&quot; rolluptime=&quot;&quot; syuser=&quot;lamagvi&quot; syuzeit=&quot;6/15/2026 3:26:59 PM&quot; root=&quot;/BBOOK/DATAPROVIDER[./META/PROPS/ID='BIP_Agencies_3_Commitments_Payments']/DATA&quot; colcount=&quot;5&quot; rowcount=&quot;46&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3_Commitments_Payments&quot; infos=&quot;&quot; iscomment=&quot;0&quot;&gt;&lt;SELECT&gt;/BBOOK/DATAPROVIDER[./META/PROPS/ID='BIP_Agencies_3_Commitments_Payments']/DATA/ROW&lt;/SELECT&gt;&lt;FILTERS&gt;&lt;FILTER&gt;&lt;/FILTER&gt;&lt;/FILTERS&gt;&lt;/QUERY&gt;&lt;/QUERIES&gt;&lt;/OBJECT&gt;"/>
    <w:docVar w:name="BIP_META_DOC_TBL00130" w:val="&lt;OBJECT&gt;&lt;META&gt;&lt;ID&gt;&lt;/ID&gt;&lt;NAME&gt;DOC_TBL0013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6.35&lt;/DATE&gt;&lt;DYNAMIZEDBY&gt;bedread&lt;/DYNAMIZEDBY&gt;&lt;DYNAMIZEDON&gt;14/03/2019 15:07:48&lt;/DYNAMIZEDON&gt;&lt;LASTUPDATEDBY&gt;lamagvi&lt;/LASTUPDATEDBY&gt;&lt;LASTUPDATEDON&gt;6/15/2026 3:30:57 PM&lt;/LASTUPDATEDON&gt;&lt;UTC&gt;1&lt;/UTC&gt;&lt;/UPDATE&gt;&lt;QUERIES bbk=&quot;36778&quot; bbkdesc=&quot;2025 Annual Accounts/EU Annual Accounts/DC - Institutions and agencies&quot; datapro=&quot;BIP_Agencies_4_Type_of_Expenditure&quot; tdatapro=&quot;BIP_Agencies_4_Type_of_Expenditure&quot; author=&quot;&quot; modtime=&quot;6/15/2026 3:26:59 PM&quot; moduser=&quot;lamagvi&quot; rolluptime=&quot;&quot; syuser=&quot;lamagvi&quot; syuzeit=&quot;6/15/2026 3:26:59 PM&quot; root=&quot;/BBOOK/DATAPROVIDER[./META/PROPS/ID='BIP_Agencies_4_Type_of_Expenditure']/DATA&quot; colcount=&quot;5&quot; rowcount=&quot;7&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4_Type_of_Expenditure&quot; infos=&quot;&quot; iscomment=&quot;0&quot;&gt;&lt;SELECT&gt;/BBOOK/DATAPROVIDER[./META/PROPS/ID='BIP_Agencies_4_Type_of_Expenditure']/DATA/ROW&lt;/SELECT&gt;&lt;FILTERS&gt;&lt;FILTER&gt;&lt;/FILTER&gt;&lt;/FILTERS&gt;&lt;/QUERY&gt;&lt;/QUERIES&gt;&lt;/OBJECT&gt;"/>
    <w:docVar w:name="BIP_VARIABLES" w:val="&lt;BBOOKS&gt;&lt;BBOOK bbname=&quot;DefaultVariables&quot;&gt;&lt;VARIABLES /&gt;&lt;/BBOOK&gt;&lt;BBOOK bbname=&quot;11&quot; bbdesc=&quot;2013 Annual Accounts/EU Annual Accounts/Trial Balance ECCS (xlsx)&quot; dsname=&quot;SAP Disclosure Management - Production&quot;&gt;&lt;VARIABLES&gt;&lt;/VARIABLES&gt;&lt;/BBOOK&gt;&lt;BBOOK bbname=&quot;21&quot; bbdesc=&quot;2013 Annual Accounts/EU Annual Accounts/Cashflow statement calculation (xlsx)&quot; dsname=&quot;SAP Disclosure Management - Production&quot;&gt;&lt;VARIABLES /&gt;&lt;/BBOOK&gt;&lt;BBOOK bbname=&quot;25&quot; bbdesc=&quot;2013 Annual Accounts/EU Annual Accounts/Statement of changes (xlsx)&quot; dsname=&quot;SAP Disclosure Management - Production&quot;&gt;&lt;VARIABLES /&gt;&lt;/BBOOK&gt;&lt;BBOOK bbname=&quot;14&quot; bbdesc=&quot;2013 Annual Accounts/EU Annual Accounts/Currency (xlsx)&quot; dsname=&quot;SAP Disclosre Management - Production&quot;&gt;&lt;VARIABLES /&gt;&lt;/BBOOK&gt;&lt;BBOOK bbname=&quot;17&quot; bbdesc=&quot;2013 Annual Accounts/EU Annual Accounts/Upload DeprecRates (xlsx)&quot; dsname=&quot;SAP Disclosre Management - Production&quot;&gt;&lt;VARIABLES /&gt;&lt;/BBOOK&gt;&lt;BBOOK bbname=&quot;20&quot; bbdesc=&quot;2013 Annual Accounts/EU Annual Accounts/Manual Table (xlsx)&quot; dsname=&quot;SAP Disclosre Management - Production&quot;&gt;&lt;VARIABLES /&gt;&lt;/BBOOK&gt;&lt;BBOOK bbname=&quot;18&quot; bbdesc=&quot;2013 Annual Accounts/EU Annual Accounts/DeprecRates upload (xlsx)&quot; dsname=&quot;SAP Disclosre Management - Production&quot;&gt;&lt;VARIABLES /&gt;&lt;/BBOOK&gt;&lt;BBOOK bbname=&quot;27&quot; bbdesc=&quot;2013 Annual Accounts/EU Annual Accounts/Upload Intangible FA 2012 (xlsx)&quot; dsname=&quot;SAP Disclosre Management - Production&quot;&gt;&lt;VARIABLES /&gt;&lt;/BBOOK&gt;&lt;BBOOK bbname=&quot;16&quot; bbdesc=&quot;2013 Annual Accounts/EU Annual Accounts/Assets (xlsx)&quot; dsname=&quot;SAP Disclosure Management - Production&quot;&gt;&lt;VARIABLES /&gt;&lt;/BBOOK&gt;&lt;BBOOK bbname=&quot;30&quot; bbdesc=&quot;2013 Annual Accounts/EU Annual Accounts/PPE 2012 (xlsx)&quot; dsname=&quot;SAP Disclosre Management - Production&quot;&gt;&lt;VARIABLES /&gt;&lt;/BBOOK&gt;&lt;BBOOK bbname=&quot;31&quot; bbdesc=&quot;2013 Annual Accounts/EU Annual Accounts/Finance Lease (xlsx)&quot; dsname=&quot;SAP Disclosre Management - Production&quot;&gt;&lt;VARIABLES /&gt;&lt;/BBOOK&gt;&lt;BBOOK bbname=&quot;64&quot; bbdesc=&quot;2013 Annual Accounts/EU Annual Accounts/MT_Silvie Deckers (xlsx)&quot; dsname=&quot;SAP Disclosre Management - Production&quot;&gt;&lt;VARIABLES /&gt;&lt;/BBOOK&gt;&lt;BBOOK bbname=&quot;69&quot; bbdesc=&quot;2013 Annual Accounts/EU Annual Accounts/Participations in joint ventures (xlsx)&quot; dsname=&quot;SAP Disclosure Management - Production&quot;&gt;&lt;VARIABLES /&gt;&lt;/BBOOK&gt;&lt;BBOOK bbname=&quot;197&quot; bbdesc=&quot;2013 Annual Accounts/EU Annual Accounts/Non current AFS financial assets (xlsx)&quot; dsname=&quot;SAP Disclosure Management - Production&quot;&gt;&lt;VARIABLES /&gt;&lt;/BBOOK&gt;&lt;BBOOK bbname=&quot;68&quot; bbdesc=&quot;2013 Annual Accounts/EU Annual Accounts/Non current financial assets (xlsx)&quot; dsname=&quot;SAP Disclosure Management - Production&quot;&gt;&lt;VARIABLES /&gt;&lt;/BBOOK&gt;&lt;BBOOK bbname=&quot;163&quot; bbdesc=&quot;2013 Annual Accounts/EU Annual Accounts/Receivables from Member States (xlsx)&quot; dsname=&quot;SAP Disclosure Management - Production&quot;&gt;&lt;VARIABLES /&gt;&lt;/BBOOK&gt;&lt;BBOOK bbname=&quot;200&quot; bbdesc=&quot;2013 Annual Accounts/EU Annual Accounts/MT_Valentina (xlsx)&quot; dsname=&quot;SAP Disclosure Management - Production&quot;&gt;&lt;VARIABLES /&gt;&lt;/BBOOK&gt;&lt;BBOOK bbname=&quot;133&quot; bbdesc=&quot;2013 Annual Accounts/EU Annual Accounts/MT_Annika Oerbom (xlsx)&quot; dsname=&quot;SAP Disclosure Management - Production&quot;&gt;&lt;VARIABLES /&gt;&lt;/BBOOK&gt;&lt;BBOOK bbname=&quot;155&quot; bbdesc=&quot;2013 Annual Accounts/EU Annual Accounts/Notes to financial performance (xlsx)&quot; dsname=&quot;SAP Disclosure Management - Production&quot;&gt;&lt;VARIABLES /&gt;&lt;/BBOOK&gt;&lt;BBOOK bbname=&quot;33&quot; bbdesc=&quot;2013 Annual Accounts/EU Annual Accounts/Upload Fin Lease 2nd part PY (xlsx)&quot; dsname=&quot;SAP Disclosure Management - Production&quot;&gt;&lt;VARIABLES /&gt;&lt;/BBOOK&gt;&lt;BBOOK bbname=&quot;156&quot; bbdesc=&quot;2013 Annual Accounts/EU Annual Accounts/Segment reporting calculation (xlsx)&quot; dsname=&quot;SAP Disclosure Management - Production&quot;&gt;&lt;VARIABLES /&gt;&lt;/BBOOK&gt;&lt;BBOOK bbname=&quot;202&quot; bbdesc=&quot;2013 Annual Accounts/EU Annual Accounts/CONTINGENT ASSETS AND LIABILITIES AND OTHER SIGN DISCL (xlsx)&quot; dsname=&quot;SAP Disclosure Management - Production&quot;&gt;&lt;VARIABLES /&gt;&lt;/BBOOK&gt;&lt;BBOOK bbname=&quot;203&quot; bbdesc=&quot;2013 Annual Accounts/EU Annual Accounts/PROTECTION OF THE EU BUDGET_NOTE 6 (xlsx)&quot; dsname=&quot;SAP Disclosure Management - Production&quot;&gt;&lt;VARIABLES /&gt;&lt;/BBOOK&gt;&lt;BBOOK bbname=&quot;204&quot; bbdesc=&quot;2013 Annual Accounts/EU Annual Accounts/FIN SUPPORT MECHANISMS (xlsx)&quot; dsname=&quot;SAP Disclosure Management - Production&quot;&gt;&lt;VARIABLES /&gt;&lt;/BBOOK&gt;&lt;BBOOK bbname=&quot;205&quot; bbdesc=&quot;2013 Annual Accounts/EU Annual Accounts/REL PARTY DISCLOSURES (xlsx)&quot; dsname=&quot;SAP Disclosure Management - Production&quot;&gt;&lt;VARIABLES /&gt;&lt;/BBOOK&gt;&lt;BBOOK bbname=&quot;173&quot; bbdesc=&quot;2013 Annual Accounts/EU Annual Accounts/Upload BO reports 2 (xlsx)&quot; dsname=&quot;SAP Disclosure Management - Production&quot;&gt;&lt;VARIABLES /&gt;&lt;/BBOOK&gt;&lt;BBOOK bbname=&quot;162&quot; bbdesc=&quot;2013 Annual Accounts/EU Annual Accounts/Upload BO reports (xlsx)&quot; dsname=&quot;SAP Disclosure Management - Production&quot;&gt;&lt;VARIABLES /&gt;&lt;/BBOOK&gt;&lt;BBOOK bbname=&quot;381&quot; bbdesc=&quot;2013 Annual Accounts/EC Annual Accounts/Trial Balance ECCS (xlsx)&quot; dsname=&quot;SAP Disclosure Management - Production&quot;&gt;&lt;VARIABLES /&gt;&lt;/BBOOK&gt;&lt;BBOOK bbname=&quot;408&quot; bbdesc=&quot;2013 Annual Accounts/EC Annual Accounts/DC - Balance Sheet (xlsx)&quot; dsname=&quot;SAP Disclosure Management - Production&quot;&gt;&lt;VARIABLES /&gt;&lt;/BBOOK&gt;&lt;BBOOK bbname=&quot;429&quot; bbdesc=&quot;2013 Annual Accounts/EC Annual Accounts/DC - Balance Sheet (xls)&quot; dsname=&quot;SAP Disclosure Management - Production&quot;&gt;&lt;VARIABLES /&gt;&lt;/BBOOK&gt;&lt;BBOOK bbname=&quot;550&quot; bbdesc=&quot;2013 Annual Accounts/EC Annual Accounts/DC - Balance Sheet (xlsx)&quot; dsname=&quot;SAP Disclosure Management - Production&quot;&gt;&lt;VARIABLES /&gt;&lt;/BBOOK&gt;&lt;BBOOK bbname=&quot;411&quot; bbdesc=&quot;2013 Annual Accounts/EC Annual Accounts/DC - Statement of Financial Performance (xlsx)&quot; dsname=&quot;SAP Disclosure Management - Production&quot;&gt;&lt;VARIABLES /&gt;&lt;/BBOOK&gt;&lt;BBOOK bbname=&quot;432&quot; bbdesc=&quot;2013 Annual Accounts/EC Annual Accounts/DC - Statement of Fin. Performance (xls)&quot; dsname=&quot;SAP Disclosure Management - Production&quot;&gt;&lt;VARIABLES /&gt;&lt;/BBOOK&gt;&lt;BBOOK bbname=&quot;552&quot; bbdesc=&quot;2013 Annual Accounts/EC Annual Accounts/DC - Statement of Financial Performance (xlsx)&quot; dsname=&quot;SAP Disclosure Management - Production&quot;&gt;&lt;VARIABLES /&gt;&lt;/BBOOK&gt;&lt;BBOOK bbname=&quot;236&quot; bbdesc=&quot;2013 Annual Accounts/EC Annual Accounts/Cashflow statement calculation (xlsx)&quot; dsname=&quot;SAP Disclosure Management - Production&quot;&gt;&lt;VARIABLES /&gt;&lt;/BBOOK&gt;&lt;BBOOK bbname=&quot;215&quot; bbdesc=&quot;2013 Annual Accounts/EC Annual Accounts/Assets (xlsx)&quot; dsname=&quot;SAP Disclosure Management - Production&quot;&gt;&lt;VARIABLES /&gt;&lt;/BBOOK&gt;&lt;BBOOK bbname=&quot;412&quot; bbdesc=&quot;2013 Annual Accounts/EC Annual Accounts/DC - Cashflow Statement (xlsx)&quot; dsname=&quot;SAP Disclosure Management - Production&quot;&gt;&lt;VARIABLES /&gt;&lt;/BBOOK&gt;&lt;BBOOK bbname=&quot;433&quot; bbdesc=&quot;2013 Annual Accounts/EC Annual Accounts/DC - Cashflow (xls)&quot; dsname=&quot;SAP Disclosure Management - Production&quot;&gt;&lt;VARIABLES /&gt;&lt;/BBOOK&gt;&lt;BBOOK bbname=&quot;551&quot; bbdesc=&quot;2013 Annual Accounts/EC Annual Accounts/DC CF calculation (xlsx)&quot; dsname=&quot;SAP Disclosure Management - Production&quot;&gt;&lt;VARIABLES /&gt;&lt;/BBOOK&gt;&lt;BBOOK bbname=&quot;606&quot; bbdesc=&quot;2013 Annual Accounts/EC Annual Accounts/DC - Cashflow statement automated (xlsx)&quot; dsname=&quot;SAP Disclosure Management - Production&quot;&gt;&lt;VARIABLES /&gt;&lt;/BBOOK&gt;&lt;BBOOK bbname=&quot;371&quot; bbdesc=&quot;2013 Annual Accounts/EU Annual Accounts/Statement of changes (xlsx)&quot; dsname=&quot;SAP Disclosure Management - Production&quot;&gt;&lt;VARIABLES /&gt;&lt;/BBOOK&gt;&lt;BBOOK bbname=&quot;428&quot; bbdesc=&quot;2013 Annual Accounts/EC Annual Accounts/DC - Statement of changes in net assets (xls)&quot; dsname=&quot;SAP Disclosure Management - Production&quot;&gt;&lt;VARIABLES /&gt;&lt;/BBOOK&gt;&lt;BBOOK bbname=&quot;553&quot; bbdesc=&quot;2013 Annual Accounts/EC Annual Accounts/DC - Statement of changes in net assets (xlsx)&quot; dsname=&quot;SAP Disclosure Management - Production&quot;&gt;&lt;VARIABLES /&gt;&lt;/BBOOK&gt;&lt;BBOOK bbname=&quot;251&quot; bbdesc=&quot;2013 Annual Accounts/EU Annual Accounts/Currency (xlsx)&quot; dsname=&quot;SAP Disclosre Management - Production&quot;&gt;&lt;VARIABLES /&gt;&lt;/BBOOK&gt;&lt;BBOOK bbname=&quot;388&quot; bbdesc=&quot;2013 Annual Accounts/EU Annual Accounts/Upload DeprecRates (xlsx)&quot; dsname=&quot;SAP Disclosre Management - Production&quot;&gt;&lt;VARIABLES /&gt;&lt;/BBOOK&gt;&lt;BBOOK bbname=&quot;309&quot; bbdesc=&quot;2013 Annual Accounts/EU Annual Accounts/Manual Table (xlsx)&quot; dsname=&quot;SAP Disclosre Management - Production&quot;&gt;&lt;VARIABLES /&gt;&lt;/BBOOK&gt;&lt;BBOOK bbname=&quot;440&quot; bbdesc=&quot;2013 Annual Accounts/EC Annual Accounts/DC - Significant Accounting Policies (xls)&quot; dsname=&quot;SAP Disclosure Management - Production&quot;&gt;&lt;VARIABLES /&gt;&lt;/BBOOK&gt;&lt;BBOOK bbname=&quot;557&quot; bbdesc=&quot;2013 Annual Accounts/EC Annual Accounts/DC - Significant accounting pol. - currency  table (xlsx)&quot; dsname=&quot;SAP Disclosure Management - Production&quot;&gt;&lt;VARIABLES /&gt;&lt;/BBOOK&gt;&lt;BBOOK bbname=&quot;267&quot; bbdesc=&quot;2013 Annual Accounts/EU Annual Accounts/DeprecRates upload (xlsx)&quot; dsname=&quot;SAP Disclosre Management - Production&quot;&gt;&lt;VARIABLES /&gt;&lt;/BBOOK&gt;&lt;BBOOK bbname=&quot;533&quot; bbdesc=&quot;2013 Annual Accounts/EC Annual Accounts/DC - Intangible fixed assets and PPE 2013 (xlsx)&quot; dsname=&quot;SAP Disclosure Management - Production&quot;&gt;&lt;VARIABLES /&gt;&lt;/BBOOK&gt;&lt;BBOOK bbname=&quot;342&quot; bbdesc=&quot;2013 Annual Accounts/EU Annual Accounts/PPE 2012 (xlsx)&quot; dsname=&quot;SAP Disclosre Management - Production&quot;&gt;&lt;VARIABLES /&gt;&lt;/BBOOK&gt;&lt;BBOOK bbname=&quot;279&quot; bbdesc=&quot;2013 Annual Accounts/EU Annual Accounts/Finance Lease (xlsx)&quot; dsname=&quot;SAP Disclosre Management - Production&quot;&gt;&lt;VARIABLES /&gt;&lt;/BBOOK&gt;&lt;BBOOK bbname=&quot;314&quot; bbdesc=&quot;2013 Annual Accounts/EU Annual Accounts/MT_Silvie Deckers (xlsx)&quot; dsname=&quot;SAP Disclosre Management - Production&quot;&gt;&lt;VARIABLES /&gt;&lt;/BBOOK&gt;&lt;BBOOK bbname=&quot;338&quot; bbdesc=&quot;2013 Annual Accounts/EU Annual Accounts/Participations in joint ventures (xlsx)&quot; dsname=&quot;SAP Disclosure Management - Production&quot;&gt;&lt;VARIABLES /&gt;&lt;/BBOOK&gt;&lt;BBOOK bbname=&quot;535&quot; bbdesc=&quot;2013 Annual Accounts/EC Annual Accounts/DC - Investments accounted for using the equity method new (xlsx)&quot; dsname=&quot;SAP Disclosure Management - Production&quot;&gt;&lt;VARIABLES /&gt;&lt;/BBOOK&gt;&lt;BBOOK bbname=&quot;316&quot; bbdesc=&quot;2013 Annual Accounts/EU Annual Accounts/Non current AFS financial assets (xlsx)&quot; dsname=&quot;SAP Disclosure Management - Production&quot;&gt;&lt;VARIABLES /&gt;&lt;/BBOOK&gt;&lt;BBOOK bbname=&quot;457&quot; bbdesc=&quot;2013 Annual Accounts/EC Annual Accounts/DC - Non current financial assets (xlsx)&quot; dsname=&quot;SAP Disclosure Management - Production&quot;&gt;&lt;VARIABLES /&gt;&lt;/BBOOK&gt;&lt;BBOOK bbname=&quot;458&quot; bbdesc=&quot;2013 Annual Accounts/EC Annual Accounts/DC - Non current receivables and recoverables (xlsx)&quot; dsname=&quot;SAP Disclosure Management - Production&quot;&gt;&lt;VARIABLES /&gt;&lt;/BBOOK&gt;&lt;BBOOK bbname=&quot;459&quot; bbdesc=&quot;2013 Annual Accounts/EC Annual Accounts/DC - Non current prefinancing (xlsx)&quot; dsname=&quot;SAP Disclosure Management - Production&quot;&gt;&lt;VARIABLES /&gt;&lt;/BBOOK&gt;&lt;BBOOK bbname=&quot;491&quot; bbdesc=&quot;2013 Annual Accounts/EC Annual Accounts/DC - Inventories (xlsx)&quot; dsname=&quot;SAP Disclosure Management - Production&quot;&gt;&lt;VARIABLES /&gt;&lt;/BBOOK&gt;&lt;BBOOK bbname=&quot;492&quot; bbdesc=&quot;2013 Annual Accounts/EC Annual Accounts/DC - Current financial assets (xlsx)&quot; dsname=&quot;SAP Disclosure Management - Production&quot;&gt;&lt;VARIABLES /&gt;&lt;/BBOOK&gt;&lt;BBOOK bbname=&quot;352&quot; bbdesc=&quot;2013 Annual Accounts/EC Annual Accounts/Receivables from Member States (xlsx)&quot; dsname=&quot;SAP Disclosure Management - Production&quot;&gt;&lt;VARIABLES /&gt;&lt;/BBOOK&gt;&lt;BBOOK bbname=&quot;315&quot; bbdesc=&quot;2013 Annual Accounts/EU Annual Accounts/MT_Valentina (xlsx)&quot; dsname=&quot;SAP Disclosure Management - Production&quot;&gt;&lt;VARIABLES /&gt;&lt;/BBOOK&gt;&lt;BBOOK bbname=&quot;493&quot; bbdesc=&quot;2013 Annual Accounts/EC Annual Accounts/DC - Current receivables and recoverables (xlsx)&quot; dsname=&quot;SAP Disclosure Management - Production&quot;&gt;&lt;VARIABLES /&gt;&lt;/BBOOK&gt;&lt;BBOOK bbname=&quot;494&quot; bbdesc=&quot;2013 Annual Accounts/EC Annual Accounts/DC - Current pre-financing (xlsx)&quot; dsname=&quot;SAP Disclosure Management - Production&quot;&gt;&lt;VARIABLES /&gt;&lt;/BBOOK&gt;&lt;BBOOK bbname=&quot;495&quot; bbdesc=&quot;2013 Annual Accounts/EC Annual Accounts/DC - Cash and cash equivalents (xlsx)&quot; dsname=&quot;SAP Disclosure Management - Production&quot;&gt;&lt;VARIABLES /&gt;&lt;/BBOOK&gt;&lt;BBOOK bbname=&quot;313&quot; bbdesc=&quot;2013 Annual Accounts/EU Annual Accounts/MT_Annika Oerbom (xlsx)&quot; dsname=&quot;SAP Disclosure Management - Production&quot;&gt;&lt;VARIABLES /&gt;&lt;/BBOOK&gt;&lt;BBOOK bbname=&quot;497&quot; bbdesc=&quot;2013 Annual Accounts/EC Annual Accounts/DC - Pension and other employee benefits (xlsx)&quot; dsname=&quot;SAP Disclosure Management - Production&quot;&gt;&lt;VARIABLES /&gt;&lt;/BBOOK&gt;&lt;BBOOK bbname=&quot;498&quot; bbdesc=&quot;2013 Annual Accounts/EC Annual Accounts/DC - Non-current provisions (xlsx)&quot; dsname=&quot;SAP Disclosure Management - Production&quot;&gt;&lt;VARIABLES /&gt;&lt;/BBOOK&gt;&lt;BBOOK bbname=&quot;503&quot; bbdesc=&quot;2013 Annual Accounts/EC Annual Accounts/DC - Current provisions (xlsx)&quot; dsname=&quot;SAP Disclosure Management - Production&quot;&gt;&lt;VARIABLES /&gt;&lt;/BBOOK&gt;&lt;BBOOK bbname=&quot;499&quot; bbdesc=&quot;2013 Annual Accounts/EC Annual Accounts/DC - Non-current financial liabilities (xlsx)&quot; dsname=&quot;SAP Disclosure Management - Production&quot;&gt;&lt;VARIABLES /&gt;&lt;/BBOOK&gt;&lt;BBOOK bbname=&quot;500&quot; bbdesc=&quot;2013 Annual Accounts/EC Annual Accounts/DC - Other non-current liabilities (xlsx)&quot; dsname=&quot;SAP Disclosure Management - Production&quot;&gt;&lt;VARIABLES /&gt;&lt;/BBOOK&gt;&lt;BBOOK bbname=&quot;505&quot; bbdesc=&quot;2013 Annual Accounts/EC Annual Accounts/DC - Payables (xlsx)&quot; dsname=&quot;SAP Disclosure Management - Production&quot;&gt;&lt;VARIABLES /&gt;&lt;/BBOOK&gt;&lt;BBOOK bbname=&quot;507&quot; bbdesc=&quot;2013 Annual Accounts/EC Annual Accounts/DC - Reserves (xlsx)&quot; dsname=&quot;SAP Disclosure Management - Production&quot;&gt;&lt;VARIABLES /&gt;&lt;/BBOOK&gt;&lt;BBOOK bbname=&quot;508&quot; bbdesc=&quot;2013 Annual Accounts/EC Annual Accounts/DC - Amounts to be called from member states (xlsx)&quot; dsname=&quot;SAP Disclosure Management - Production&quot;&gt;&lt;VARIABLES /&gt;&lt;/BBOOK&gt;&lt;BBOOK bbname=&quot;326&quot; bbdesc=&quot;2013 Annual Accounts/EC Annual Accounts/Notes to financial performance (xlsx)&quot; dsname=&quot;SAP Disclosure Management - Production&quot;&gt;&lt;VARIABLES /&gt;&lt;/BBOOK&gt;&lt;BBOOK bbname=&quot;424&quot; bbdesc=&quot;2013 Annual Accounts/EC Annual Accounts/DC - Financial revenue (xlsx)&quot; dsname=&quot;SAP Disclosure Management - Production&quot;&gt;&lt;VARIABLES /&gt;&lt;/BBOOK&gt;&lt;BBOOK bbname=&quot;445&quot; bbdesc=&quot;2013 Annual Accounts/EC Annual Accounts/DC - Financial revenue (xls)&quot; dsname=&quot;SAP Disclosure Management - Production&quot;&gt;&lt;VARIABLES /&gt;&lt;/BBOOK&gt;&lt;BBOOK bbname=&quot;524&quot; bbdesc=&quot;2013 Annual Accounts/EC Annual Accounts/DC - Financial revenue (xlsx)&quot; dsname=&quot;SAP Disclosure Management - Production&quot;&gt;&lt;VARIABLES /&gt;&lt;/BBOOK&gt;&lt;BBOOK bbname=&quot;419&quot; bbdesc=&quot;2013 Annual Accounts/EC Annual Accounts/DC - Own resource and contributions revenue (xlsx)&quot; dsname=&quot;SAP Disclosure Management - Production&quot;&gt;&lt;VARIABLES /&gt;&lt;/BBOOK&gt;&lt;BBOOK bbname=&quot;436&quot; bbdesc=&quot;2013 Annual Accounts/EC Annual Accounts/DC - Own resource and contributions revenue (xls)&quot; dsname=&quot;SAP Disclosure Management - Production&quot;&gt;&lt;VARIABLES /&gt;&lt;/BBOOK&gt;&lt;BBOOK bbname=&quot;520&quot; bbdesc=&quot;2013 Annual Accounts/EC Annual Accounts/DC - Own resource and contributions revenue (xlsx)&quot; dsname=&quot;SAP Disclosure Management - Production&quot;&gt;&lt;VARIABLES /&gt;&lt;/BBOOK&gt;&lt;BBOOK bbname=&quot;415&quot; bbdesc=&quot;2013 Annual Accounts/EC Annual Accounts/DC - Other operating revenue (xlsx)&quot; dsname=&quot;SAP Disclosure Management - Production&quot;&gt;&lt;VARIABLES /&gt;&lt;/BBOOK&gt;&lt;BBOOK bbname=&quot;439&quot; bbdesc=&quot;2013 Annual Accounts/EC Annual Accounts/DC - Other operating revenue (xls)&quot; dsname=&quot;SAP Disclosure Management - Production&quot;&gt;&lt;VARIABLES /&gt;&lt;/BBOOK&gt;&lt;BBOOK bbname=&quot;521&quot; bbdesc=&quot;2013 Annual Accounts/EC Annual Accounts/DC - Other operating revenue (xlsx)&quot; dsname=&quot;SAP Disclosure Management - Production&quot;&gt;&lt;VARIABLES /&gt;&lt;/BBOOK&gt;&lt;BBOOK bbname=&quot;420&quot; bbdesc=&quot;2013 Annual Accounts/EC Annual Accounts/DC - Administrative expenses (xlsx)&quot; dsname=&quot;SAP Disclosure Management - Production&quot;&gt;&lt;VARIABLES /&gt;&lt;/BBOOK&gt;&lt;BBOOK bbname=&quot;442&quot; bbdesc=&quot;2013 Annual Accounts/EC Annual Accounts/DC - Administrative expenses (xls)&quot; dsname=&quot;SAP Disclosure Management - Production&quot;&gt;&lt;VARIABLES /&gt;&lt;/BBOOK&gt;&lt;BBOOK bbname=&quot;522&quot; bbdesc=&quot;2013 Annual Accounts/EC Annual Accounts/DC - Administrative expenses (xlsx)&quot; dsname=&quot;SAP Disclosure Management - Production&quot;&gt;&lt;VARIABLES /&gt;&lt;/BBOOK&gt;&lt;BBOOK bbname=&quot;423&quot; bbdesc=&quot;2013 Annual Accounts/EC Annual Accounts/DC - Operating expenses (xlsx)&quot; dsname=&quot;SAP Disclosure Management - Production&quot;&gt;&lt;VARIABLES /&gt;&lt;/BBOOK&gt;&lt;BBOOK bbname=&quot;443&quot; bbdesc=&quot;2013 Annual Accounts/EC Annual Accounts/DC - Operating expenses (xls)&quot; dsname=&quot;SAP Disclosure Management - Production&quot;&gt;&lt;VARIABLES /&gt;&lt;/BBOOK&gt;&lt;BBOOK bbname=&quot;523&quot; bbdesc=&quot;2013 Annual Accounts/EC Annual Accounts/DC - Operating expenses (xlsx)&quot; dsname=&quot;SAP Disclosure Management - Production&quot;&gt;&lt;VARIABLES /&gt;&lt;/BBOOK&gt;&lt;BBOOK bbname=&quot;425&quot; bbdesc=&quot;2013 Annual Accounts/EC Annual Accounts/DC - Financial expenses (xlsx)&quot; dsname=&quot;SAP Disclosure Management - Production&quot;&gt;&lt;VARIABLES /&gt;&lt;/BBOOK&gt;&lt;BBOOK bbname=&quot;447&quot; bbdesc=&quot;2013 Annual Accounts/EC Annual Accounts/DC - Financial expenses (xls)&quot; dsname=&quot;SAP Disclosure Management - Production&quot;&gt;&lt;VARIABLES /&gt;&lt;/BBOOK&gt;&lt;BBOOK bbname=&quot;525&quot; bbdesc=&quot;2013 Annual Accounts/EC Annual Accounts/DC - Financial expenses (xlsx)&quot; dsname=&quot;SAP Disclosure Management - Production&quot;&gt;&lt;VARIABLES /&gt;&lt;/BBOOK&gt;&lt;BBOOK bbname=&quot;366&quot; bbdesc=&quot;2013 Annual Accounts/EU Annual Accounts/Segment reporting calculation (xlsx)&quot; dsname=&quot;SAP Disclosure Management - Production&quot;&gt;&lt;VARIABLES /&gt;&lt;/BBOOK&gt;&lt;BBOOK bbname=&quot;594&quot; bbdesc=&quot;2013 Annual Accounts/EC Annual Accounts/DC - Segment reporting (xlsx)&quot; dsname=&quot;SAP Disclosure Management - Production&quot;&gt;&lt;VARIABLES /&gt;&lt;/BBOOK&gt;&lt;BBOOK bbname=&quot;245&quot; bbdesc=&quot;2013 Annual Accounts/EU Annual Accounts/CONTINGENT ASSETS AND LIABILITIES AND OTHER SIGN DISCL (xlsx)&quot; dsname=&quot;SAP Disclosure Management - Production&quot;&gt;&lt;VARIABLES /&gt;&lt;/BBOOK&gt;&lt;BBOOK bbname=&quot;514&quot; bbdesc=&quot;2013 Annual Accounts/EC Annual Accounts/DC - Contingent assets (xlsx)&quot; dsname=&quot;SAP Disclosure Management - Production&quot;&gt;&lt;VARIABLES /&gt;&lt;/BBOOK&gt;&lt;BBOOK bbname=&quot;515&quot; bbdesc=&quot;2013 Annual Accounts/EC Annual Accounts/DC - Contingent liabilities (xlsx)&quot; dsname=&quot;SAP Disclosure Management - Production&quot;&gt;&lt;VARIABLES /&gt;&lt;/BBOOK&gt;&lt;BBOOK bbname=&quot;516&quot; bbdesc=&quot;2013 Annual Accounts/EC Annual Accounts/DC - Guarantees given (xlsx)&quot; dsname=&quot;SAP Disclosure Management - Production&quot;&gt;&lt;VARIABLES /&gt;&lt;/BBOOK&gt;&lt;BBOOK bbname=&quot;517&quot; bbdesc=&quot;2013 Annual Accounts/EC Annual Accounts/DC - Other significant disclosures (xlsx)&quot; dsname=&quot;SAP Disclosure Management - Production&quot;&gt;&lt;VARIABLES /&gt;&lt;/BBOOK&gt;&lt;BBOOK bbname=&quot;518&quot; bbdesc=&quot;2013 Annual Accounts/EC Annual Accounts/DC - Significant legal commitments (xlsx)&quot; dsname=&quot;SAP Disclosure Management - Production&quot;&gt;&lt;VARIABLES /&gt;&lt;/BBOOK&gt;&lt;BBOOK bbname=&quot;657&quot; bbdesc=&quot;2013 Annual Accounts/EU Annual Accounts/DC - Result of implementation of the EU budget (xlsx)&quot; dsname=&quot;SAP Disclosure Management - Production&quot;&gt;&lt;VARIABLES /&gt;&lt;/BBOOK&gt;&lt;BBOOK bbname=&quot;207&quot; bbdesc=&quot;2013 Annual Accounts/EU Annual Accounts/SCOPE OF CONSO_NOTE 11 (xlsx)&quot; dsname=&quot;SAP Disclosure Management - Production&quot;&gt;&lt;VARIABLES /&gt;&lt;/BBOOK&gt;&lt;BBOOK bbname=&quot;664&quot; bbdesc=&quot;2013 Annual Accounts/EU Annual Accounts/DC - Implementation of EU budget revenue (xlsx)&quot; dsname=&quot;SAP Disclosure Management - Production&quot;&gt;&lt;VARIABLES /&gt;&lt;/BBOOK&gt;&lt;BBOOK bbname=&quot;36743&quot; bbdesc=&quot;2025 Annual Accounts/EU Annual Accounts/DC - Balance Sheet&quot; dsname=&quot;DM Production&quot;&gt;&lt;VARIABLES /&gt;&lt;/BBOOK&gt;&lt;BBOOK bbname=&quot;36757&quot; bbdesc=&quot;2025 Annual Accounts/EU Annual Accounts/DC - Statement of Financial Performance&quot; dsname=&quot;DM Production&quot;&gt;&lt;VARIABLES /&gt;&lt;/BBOOK&gt;&lt;BBOOK bbname=&quot;36758&quot; bbdesc=&quot;2025 Annual Accounts/EU Annual Accounts/DC - Cashflow statement&quot; dsname=&quot;DM Production&quot;&gt;&lt;VARIABLES /&gt;&lt;/BBOOK&gt;&lt;BBOOK bbname=&quot;36734&quot; bbdesc=&quot;2025 Annual Accounts/EU Annual Accounts/DC - Statement of changes in net assets EU&quot; dsname=&quot;DM Production&quot;&gt;&lt;VARIABLES /&gt;&lt;/BBOOK&gt;&lt;BBOOK bbname=&quot;36718&quot; bbdesc=&quot;2025 Annual Accounts/EU Annual Accounts/DC - Currency table and Deprec. Rates&quot; dsname=&quot;DM Production&quot;&gt;&lt;VARIABLES /&gt;&lt;/BBOOK&gt;&lt;BBOOK bbname=&quot;36735&quot; bbdesc=&quot;2025 Annual Accounts/EU Annual Accounts/DC - Intangible assets and PPE&quot; dsname=&quot;DM Production&quot;&gt;&lt;VARIABLES /&gt;&lt;/BBOOK&gt;&lt;BBOOK bbname=&quot;36650&quot; bbdesc=&quot;2025 Annual Accounts/EC Annual Accounts/DC - Investments accounted for using the equity method new&quot; dsname=&quot;DM Production&quot;&gt;&lt;VARIABLES /&gt;&lt;/BBOOK&gt;&lt;BBOOK bbname=&quot;36764&quot; bbdesc=&quot;2025 Annual Accounts/EU Annual Accounts/DC - Financial assets&quot; dsname=&quot;DM Production&quot;&gt;&lt;VARIABLES /&gt;&lt;/BBOOK&gt;&lt;BBOOK bbname=&quot;36627&quot; bbdesc=&quot;2025 Annual Accounts/EC Annual Accounts/DC - Financial assets&quot; dsname=&quot;DM Production&quot;&gt;&lt;VARIABLES /&gt;&lt;/BBOOK&gt;&lt;BBOOK bbname=&quot;36765&quot; bbdesc=&quot;2025 Annual Accounts/EU Annual Accounts/DC - Pre-financing&quot; dsname=&quot;DM Production&quot;&gt;&lt;VARIABLES /&gt;&lt;/BBOOK&gt;&lt;BBOOK bbname=&quot;36629&quot; bbdesc=&quot;2025 Annual Accounts/EC Annual Accounts/DC - Pre-financing&quot; dsname=&quot;DM Production&quot;&gt;&lt;VARIABLES /&gt;&lt;/BBOOK&gt;&lt;BBOOK bbname=&quot;36745&quot; bbdesc=&quot;2025 Annual Accounts/EU Annual Accounts/DC - Exchange receivables and Non-exchange recoverables&quot; dsname=&quot;DM Production&quot;&gt;&lt;VARIABLES /&gt;&lt;/BBOOK&gt;&lt;BBOOK bbname=&quot;36746&quot; bbdesc=&quot;2025 Annual Accounts/EU Annual Accounts/DC - Recoverables from Member States&quot; dsname=&quot;DM Production&quot;&gt;&lt;VARIABLES /&gt;&lt;/BBOOK&gt;&lt;BBOOK bbname=&quot;36747&quot; bbdesc=&quot;2025 Annual Accounts/EU Annual Accounts/DC - Accrued income and Deferred charges&quot; dsname=&quot;DM Production&quot;&gt;&lt;VARIABLES /&gt;&lt;/BBOOK&gt;&lt;BBOOK bbname=&quot;36612&quot; bbdesc=&quot;2025 Annual Accounts/EC Annual Accounts/DC - Exchange receivables and Non-exchange recoverables&quot; dsname=&quot;DM Production&quot;&gt;&lt;VARIABLES /&gt;&lt;/BBOOK&gt;&lt;BBOOK bbname=&quot;36766&quot; bbdesc=&quot;2025 Annual Accounts/EU Annual Accounts/DC - Inventories&quot; dsname=&quot;DM Production&quot;&gt;&lt;VARIABLES /&gt;&lt;/BBOOK&gt;&lt;BBOOK bbname=&quot;36767&quot; bbdesc=&quot;2025 Annual Accounts/EU Annual Accounts/DC - Cash and cash equivalents&quot; dsname=&quot;DM Production&quot;&gt;&lt;VARIABLES /&gt;&lt;/BBOOK&gt;&lt;BBOOK bbname=&quot;36768&quot; bbdesc=&quot;2025 Annual Accounts/EU Annual Accounts/DC - Pension and other employee benefits&quot; dsname=&quot;DM Production&quot;&gt;&lt;VARIABLES /&gt;&lt;/BBOOK&gt;&lt;BBOOK bbname=&quot;36769&quot; bbdesc=&quot;2025 Annual Accounts/EU Annual Accounts/DC - Provisions&quot; dsname=&quot;DM Production&quot;&gt;&lt;VARIABLES /&gt;&lt;/BBOOK&gt;&lt;BBOOK bbname=&quot;36770&quot; bbdesc=&quot;2025 Annual Accounts/EU Annual Accounts/DC - Financial liabilities&quot; dsname=&quot;DM Production&quot;&gt;&lt;VARIABLES /&gt;&lt;/BBOOK&gt;&lt;BBOOK bbname=&quot;36772&quot; bbdesc=&quot;2025 Annual Accounts/EU Annual Accounts/DC - Finance Lease liabilities&quot; dsname=&quot;DM Production&quot;&gt;&lt;VARIABLES /&gt;&lt;/BBOOK&gt;&lt;BBOOK bbname=&quot;36633&quot; bbdesc=&quot;2025 Annual Accounts/EC Annual Accounts/DC - Financial liabilities&quot; dsname=&quot;DM Production&quot;&gt;&lt;VARIABLES /&gt;&lt;/BBOOK&gt;&lt;BBOOK bbname=&quot;36748&quot; bbdesc=&quot;2025 Annual Accounts/EU Annual Accounts/DC - Payables&quot; dsname=&quot;DM Production&quot;&gt;&lt;VARIABLES /&gt;&lt;/BBOOK&gt;&lt;BBOOK bbname=&quot;36773&quot; bbdesc=&quot;2025 Annual Accounts/EU Annual Accounts/DC - Accrued charges and Deferred income&quot; dsname=&quot;DM Production&quot;&gt;&lt;VARIABLES /&gt;&lt;/BBOOK&gt;&lt;BBOOK bbname=&quot;36774&quot; bbdesc=&quot;2025 Annual Accounts/EU Annual Accounts/DC - Net assets&quot; dsname=&quot;DM Production&quot;&gt;&lt;VARIABLES /&gt;&lt;/BBOOK&gt;&lt;BBOOK bbname=&quot;36775&quot; bbdesc=&quot;2025 Annual Accounts/EU Annual Accounts/DC - Recovery of expenses&quot; dsname=&quot;DM Production&quot;&gt;&lt;VARIABLES /&gt;&lt;/BBOOK&gt;&lt;BBOOK bbname=&quot;36749&quot; bbdesc=&quot;2025 Annual Accounts/EU Annual Accounts/DC - Other non-exchange revenue&quot; dsname=&quot;DM Production&quot;&gt;&lt;VARIABLES /&gt;&lt;/BBOOK&gt;&lt;BBOOK bbname=&quot;36759&quot; bbdesc=&quot;2025 Annual Accounts/EU Annual Accounts/DC - Financial revenue&quot; dsname=&quot;DM Production&quot;&gt;&lt;VARIABLES /&gt;&lt;/BBOOK&gt;&lt;BBOOK bbname=&quot;36776&quot; bbdesc=&quot;2025 Annual Accounts/EU Annual Accounts/DC - Other exchange revenue&quot; dsname=&quot;DM Production&quot;&gt;&lt;VARIABLES /&gt;&lt;/BBOOK&gt;&lt;BBOOK bbname=&quot;36750&quot; bbdesc=&quot;2025 Annual Accounts/EU Annual Accounts/DC - Shared Direct and Indirect management&quot; dsname=&quot;DM Production&quot;&gt;&lt;VARIABLES /&gt;&lt;/BBOOK&gt;&lt;BBOOK bbname=&quot;36777&quot; bbdesc=&quot;2025 Annual Accounts/EU Annual Accounts/DC - Staff and Pension costs - Changes in employee benefits actuarial assumptions&quot; dsname=&quot;DM Production&quot;&gt;&lt;VARIABLES /&gt;&lt;/BBOOK&gt;&lt;BBOOK bbname=&quot;36760&quot; bbdesc=&quot;2025 Annual Accounts/EU Annual Accounts/DC - Finance costs&quot; dsname=&quot;DM Production&quot;&gt;&lt;VARIABLES /&gt;&lt;/BBOOK&gt;&lt;BBOOK bbname=&quot;36751&quot; bbdesc=&quot;2025 Annual Accounts/EU Annual Accounts/DC - Other expenses and Research and Development costs&quot; dsname=&quot;DM Production&quot;&gt;&lt;VARIABLES /&gt;&lt;/BBOOK&gt;&lt;BBOOK bbname=&quot;36752&quot; bbdesc=&quot;2025 Annual Accounts/EU Annual Accounts/DC - Segment report&quot; dsname=&quot;DM Production&quot;&gt;&lt;VARIABLES /&gt;&lt;/BBOOK&gt;&lt;BBOOK bbname=&quot;38212&quot; bbdesc=&quot;2025 Annual Accounts/EU Annual Accounts/DC - SOFP reclassification&quot; dsname=&quot;DM Production&quot;&gt;&lt;VARIABLES /&gt;&lt;/BBOOK&gt;&lt;BBOOK bbname=&quot;36639&quot; bbdesc=&quot;2025 Annual Accounts/EC Annual Accounts/DC - Guarantees given&quot; dsname=&quot;DM Production&quot;&gt;&lt;VARIABLES /&gt;&lt;/BBOOK&gt;&lt;BBOOK bbname=&quot;36638&quot; bbdesc=&quot;2025 Annual Accounts/EC Annual Accounts/DC - Contingent liabilities&quot; dsname=&quot;DM Production&quot;&gt;&lt;VARIABLES /&gt;&lt;/BBOOK&gt;&lt;BBOOK bbname=&quot;36762&quot; bbdesc=&quot;2025 Annual Accounts/EU Annual Accounts/DC - Contingent liabilities and assets&quot; dsname=&quot;DM Production&quot;&gt;&lt;VARIABLES /&gt;&lt;/BBOOK&gt;&lt;BBOOK bbname=&quot;36763&quot; bbdesc=&quot;2025 Annual Accounts/EU Annual Accounts/DC - Outstanding commitments not yet expensed - Significant legal commitments&quot; dsname=&quot;DM Production&quot;&gt;&lt;VARIABLES /&gt;&lt;/BBOOK&gt;&lt;BBOOK bbname=&quot;36761&quot; bbdesc=&quot;2025 Annual Accounts/EU Annual Accounts/DC - Operating lease commitments&quot; dsname=&quot;DM Production&quot;&gt;&lt;VARIABLES /&gt;&lt;/BBOOK&gt;&lt;BBOOK bbname=&quot;36753&quot; bbdesc=&quot;2025 Annual Accounts/EU Annual Accounts/DC - Currency risk&quot; dsname=&quot;DM Production&quot;&gt;&lt;VARIABLES /&gt;&lt;/BBOOK&gt;&lt;BBOOK bbname=&quot;36754&quot; bbdesc=&quot;2025 Annual Accounts/EU Annual Accounts/DC - Interest rate risk&quot; dsname=&quot;DM Production&quot;&gt;&lt;VARIABLES /&gt;&lt;/BBOOK&gt;&lt;BBOOK bbname=&quot;36755&quot; bbdesc=&quot;2025 Annual Accounts/EU Annual Accounts/DC - Credit risk&quot; dsname=&quot;DM Production&quot;&gt;&lt;VARIABLES /&gt;&lt;/BBOOK&gt;&lt;BBOOK bbname=&quot;36756&quot; bbdesc=&quot;2025 Annual Accounts/EU Annual Accounts/DC - Liquidity risk&quot; dsname=&quot;DM Production&quot;&gt;&lt;VARIABLES /&gt;&lt;/BBOOK&gt;&lt;BBOOK bbname=&quot;36617&quot; bbdesc=&quot;2025 Annual Accounts/EC Annual Accounts/DC - Liquidity risk&quot; dsname=&quot;DM Production&quot;&gt;&lt;VARIABLES /&gt;&lt;/BBOOK&gt;&lt;BBOOK bbname=&quot;36571&quot; bbdesc=&quot;2025 Annual Accounts/EC Annual Accounts/DC - Credit risk&quot; dsname=&quot;DM Production&quot;&gt;&lt;VARIABLES /&gt;&lt;/BBOOK&gt;&lt;BBOOK bbname=&quot;36626&quot; bbdesc=&quot;2025 Annual Accounts/EC Annual Accounts/DC - Other price risk&quot; dsname=&quot;DM Production&quot;&gt;&lt;VARIABLES /&gt;&lt;/BBOOK&gt;&lt;BBOOK bbname=&quot;36692&quot; bbdesc=&quot;2025 Annual Accounts/EU Annual Accounts/Upload Key management table&quot; dsname=&quot;DM Production&quot;&gt;&lt;VARIABLES /&gt;&lt;/BBOOK&gt;&lt;BBOOK bbname=&quot;36740&quot; bbdesc=&quot;2025 Annual Accounts/EU Annual Accounts/DC - Scope of consolidation EU&quot; dsname=&quot;DM Production&quot;&gt;&lt;VARIABLES /&gt;&lt;/BBOOK&gt;&lt;BBOOK bbname=&quot;36691&quot; bbdesc=&quot;2025 Annual Accounts/EU Annual Accounts/DC - Budget result and Statements of Comparison&quot; dsname=&quot;DM Production&quot;&gt;&lt;VARIABLES /&gt;&lt;/BBOOK&gt;&lt;BBOOK bbname=&quot;883&quot; bbdesc=&quot;2013 Annual Accounts/EU Annual Accounts/DC - Balance Sheet (xlsx)&quot; dsname=&quot;SAP Disclosure Management - Production&quot;&gt;&lt;VARIABLES /&gt;&lt;/BBOOK&gt;&lt;BBOOK bbname=&quot;862&quot; bbdesc=&quot;2013 Annual Accounts/EC Annual Accounts/DC - Result of implentation of the EU budget (xlsx)&quot; dsname=&quot;SAP Disclosure Management - Production&quot;&gt;&lt;VARIABLES /&gt;&lt;/BBOOK&gt;&lt;BBOOK bbname=&quot;869&quot; bbdesc=&quot;2013 Annual Accounts/EC Annual Accounts/DC - Implementation of EU budget revenue (xlsx)&quot; dsname=&quot;SAP Disclosure Management - Production&quot;&gt;&lt;VARIABLES /&gt;&lt;/BBOOK&gt;&lt;BBOOK bbname=&quot;871&quot; bbdesc=&quot;2013 Annual Accounts/EC Annual Accounts/DC - Implementation of EU budget expenditure (xlsx)&quot; dsname=&quot;SAP Disclosure Management - Production&quot;&gt;&lt;VARIABLES /&gt;&lt;/BBOOK&gt;&lt;BBOOK bbname=&quot;666&quot; bbdesc=&quot;2013 Annual Accounts/EU Annual Accounts/DC - Implementation of EU budget expenditure (xlsx)&quot; dsname=&quot;SAP Disclosure Management - Production&quot;&gt;&lt;VARIABLES /&gt;&lt;/BBOOK&gt;&lt;BBOOK bbname=&quot;534&quot; bbdesc=&quot;2013 Annual Accounts/EC Annual Accounts/DC - Finance Lease PPE (xlsx)&quot; dsname=&quot;SAP Disclosure Management - Production&quot;&gt;&lt;VARIABLES /&gt;&lt;/BBOOK&gt;&lt;BBOOK bbname=&quot;910&quot; bbdesc=&quot;2013 Annual Accounts/EC Annual Accounts/DC - Operating lease (xlsx)&quot; dsname=&quot;SAP Disclosure Management - Production&quot;&gt;&lt;VARIABLES /&gt;&lt;/BBOOK&gt;&lt;BBOOK bbname=&quot;1218&quot; bbdesc=&quot;2013 Annual Accounts/EU Annual Accounts/DC - Non current financial liabilities (xlsx)&quot; dsname=&quot;SAP Disclosure Management - Production&quot;&gt;&lt;VARIABLES /&gt;&lt;/BBOOK&gt;&lt;BBOOK bbname=&quot;886&quot; bbdesc=&quot;2013 Annual Accounts/EU Annual Accounts/Upload Trial Balance ECCS 2013 (xlsx)&quot; dsname=&quot;SAP Disclosure Management - Production&quot;&gt;&lt;VARIABLES /&gt;&lt;/BBOOK&gt;&lt;BBOOK bbname=&quot;1247&quot; bbdesc=&quot;2013 Annual Accounts/EU Annual Accounts/DC - Member states receivables EU (xlsx)&quot; dsname=&quot;SAP Disclosure Management - Production&quot;&gt;&lt;VARIABLES /&gt;&lt;/BBOOK&gt;&lt;BBOOK bbname=&quot;1011&quot; bbdesc=&quot;2013 Annual Accounts/EEAS Annual Accounts/DC - Payables (xlsx)&quot; dsname=&quot;SAP Disclosure Management - Production&quot;&gt;&lt;VARIABLES /&gt;&lt;/BBOOK&gt;&lt;BBOOK bbname=&quot;884&quot; bbdesc=&quot;2013 Annual Accounts/EU Annual Accounts/DC - Statement of financial performance (xlsx)&quot; dsname=&quot;SAP Disclosure Management - Production&quot;&gt;&lt;VARIABLES /&gt;&lt;/BBOOK&gt;&lt;BBOOK bbname=&quot;1252&quot; bbdesc=&quot;2013 Annual Accounts/EU Annual Accounts/DC - Institutions and agencies (xlsx)&quot; dsname=&quot;SAP Disclosure Management - Production&quot;&gt;&lt;VARIABLES /&gt;&lt;/BBOOK&gt;&lt;BBOOK bbname=&quot;5174&quot; bbdesc=&quot;2014 Annual Accounts/EU Annual Accounts/DC - Implementation of EU budget expenditure (xlsx)&quot; dsname=&quot;SAP Disclosure Management - Production&quot;&gt;&lt;VARIABLES /&gt;&lt;/BBOOK&gt;&lt;BBOOK bbname=&quot;24739&quot; bbdesc=&quot;2021 Annual Accounts/EU Annual Accounts/DC - Financial framework 2021 - 2027&quot; dsname=&quot;SAP Disclosure Management - Production&quot;&gt;&lt;VARIABLES /&gt;&lt;/BBOOK&gt;&lt;BBOOK bbname=&quot;24755&quot; bbdesc=&quot;2021 Annual Accounts/EU Annual Accounts/DC - EU expenditures&quot; dsname=&quot;SAP Disclosure Management - Production&quot;&gt;&lt;VARIABLES /&gt;&lt;/BBOOK&gt;&lt;BBOOK bbname=&quot;36669&quot; bbdesc=&quot;2025 Annual Accounts/EU Annual Accounts/DC - EU Reconciliation of economic result&quot; dsname=&quot;DM Production&quot;&gt;&lt;VARIABLES /&gt;&lt;/BBOOK&gt;&lt;BBOOK bbname=&quot;36741&quot; bbdesc=&quot;2025 Annual Accounts/EU Annual Accounts/DC - EU revenues&quot; dsname=&quot;DM Production&quot;&gt;&lt;VARIABLES /&gt;&lt;/BBOOK&gt;&lt;BBOOK bbname=&quot;36742&quot; bbdesc=&quot;2025 Annual Accounts/EU Annual Accounts/DC - EU expenditures&quot; dsname=&quot;DM Production&quot;&gt;&lt;VARIABLES /&gt;&lt;/BBOOK&gt;&lt;BBOOK bbname=&quot;36778&quot; bbdesc=&quot;2025 Annual Accounts/EU Annual Accounts/DC - Institutions and agencies&quot; dsname=&quot;DM Production&quot;&gt;&lt;VARIABLES /&gt;&lt;/BBOOK&gt;&lt;/BBOOKS&gt;"/>
    <w:docVar w:name="DM_WB_C36667_METADATA" w:val="&lt;ChapterMetadata&gt;&lt;ChapterId&gt;36667&lt;/ChapterId&gt;&lt;ChapterName&gt;Liabilities&lt;/ChapterName&gt;&lt;ChapterNoOfPages&gt;-1&lt;/ChapterNoOfPages&gt;&lt;ChapterVersion&gt;1&lt;/ChapterVersion&gt;&lt;/ChapterMetadata&gt;"/>
    <w:docVar w:name="DM_WB_C36668_METADATA" w:val="&lt;ChapterMetadata&gt;&lt;ChapterId&gt;36668&lt;/ChapterId&gt;&lt;ChapterName&gt;Budgetary and legal commitments&lt;/ChapterName&gt;&lt;ChapterNoOfPages&gt;-1&lt;/ChapterNoOfPages&gt;&lt;ChapterVersion&gt;75&lt;/ChapterVersion&gt;&lt;/ChapterMetadata&gt;"/>
    <w:docVar w:name="DM_WB_C36670_METADATA" w:val="&lt;ChapterMetadata&gt;&lt;ChapterId&gt;36670&lt;/ChapterId&gt;&lt;ChapterName&gt;FSDA&lt;/ChapterName&gt;&lt;ChapterNoOfPages&gt;-1&lt;/ChapterNoOfPages&gt;&lt;ChapterVersion&gt;113&lt;/ChapterVersion&gt;&lt;/ChapterMetadata&gt;"/>
    <w:docVar w:name="DM_WB_C36672_METADATA" w:val="&lt;ChapterMetadata&gt;&lt;ChapterId&gt;36672&lt;/ChapterId&gt;&lt;ChapterName&gt;Pre-financing&lt;/ChapterName&gt;&lt;ChapterNoOfPages&gt;-1&lt;/ChapterNoOfPages&gt;&lt;ChapterVersion&gt;82&lt;/ChapterVersion&gt;&lt;/ChapterMetadata&gt;"/>
    <w:docVar w:name="DM_WB_C36674_METADATA" w:val="&lt;ChapterMetadata&gt;&lt;ChapterId&gt;36674&lt;/ChapterId&gt;&lt;ChapterName&gt;Scope of consolidation&lt;/ChapterName&gt;&lt;ChapterNoOfPages&gt;-1&lt;/ChapterNoOfPages&gt;&lt;ChapterVersion&gt;62&lt;/ChapterVersion&gt;&lt;/ChapterMetadata&gt;"/>
    <w:docVar w:name="DM_WB_C36675_METADATA" w:val="&lt;ChapterMetadata&gt;&lt;ChapterId&gt;36675&lt;/ChapterId&gt;&lt;ChapterName&gt;Consolidated financial statements and explanatory notes&lt;/ChapterName&gt;&lt;ChapterNoOfPages&gt;-1&lt;/ChapterNoOfPages&gt;&lt;ChapterVersion&gt;2&lt;/ChapterVersion&gt;&lt;/ChapterMetadata&gt;"/>
    <w:docVar w:name="DM_WB_C36676_METADATA" w:val="&lt;ChapterMetadata&gt;&lt;ChapterId&gt;36676&lt;/ChapterId&gt;&lt;ChapterName&gt;Inventories&lt;/ChapterName&gt;&lt;ChapterNoOfPages&gt;-1&lt;/ChapterNoOfPages&gt;&lt;ChapterVersion&gt;60&lt;/ChapterVersion&gt;&lt;/ChapterMetadata&gt;"/>
    <w:docVar w:name="DM_WB_C36677_METADATA" w:val="&lt;ChapterMetadata&gt;&lt;ChapterId&gt;36677&lt;/ChapterId&gt;&lt;ChapterName&gt;Finance costs&lt;/ChapterName&gt;&lt;ChapterNoOfPages&gt;-1&lt;/ChapterNoOfPages&gt;&lt;ChapterVersion&gt;66&lt;/ChapterVersion&gt;&lt;/ChapterMetadata&gt;"/>
    <w:docVar w:name="DM_WB_C36679_METADATA" w:val="&lt;ChapterMetadata&gt;&lt;ChapterId&gt;36679&lt;/ChapterId&gt;&lt;ChapterName&gt;Expenses - Transfer payments and subsidies by management mode&lt;/ChapterName&gt;&lt;ChapterNoOfPages&gt;-1&lt;/ChapterNoOfPages&gt;&lt;ChapterVersion&gt;1&lt;/ChapterVersion&gt;&lt;/ChapterMetadata&gt;"/>
    <w:docVar w:name="DM_WB_C36681_METADATA" w:val="&lt;ChapterMetadata&gt;&lt;ChapterId&gt;36681&lt;/ChapterId&gt;&lt;ChapterName&gt;Financial liabilities&lt;/ChapterName&gt;&lt;ChapterNoOfPages&gt;-1&lt;/ChapterNoOfPages&gt;&lt;ChapterVersion&gt;74&lt;/ChapterVersion&gt;&lt;/ChapterMetadata&gt;"/>
    <w:docVar w:name="DM_WB_C36682_METADATA" w:val="&lt;ChapterMetadata&gt;&lt;ChapterId&gt;36682&lt;/ChapterId&gt;&lt;ChapterName&gt;Assets&lt;/ChapterName&gt;&lt;ChapterNoOfPages&gt;-1&lt;/ChapterNoOfPages&gt;&lt;ChapterVersion&gt;1&lt;/ChapterVersion&gt;&lt;/ChapterMetadata&gt;"/>
    <w:docVar w:name="DM_WB_C36683_METADATA" w:val="&lt;ChapterMetadata&gt;&lt;ChapterId&gt;36683&lt;/ChapterId&gt;&lt;ChapterName&gt;Investments accounted for using the equity method&lt;/ChapterName&gt;&lt;ChapterNoOfPages&gt;-1&lt;/ChapterNoOfPages&gt;&lt;ChapterVersion&gt;59&lt;/ChapterVersion&gt;&lt;/ChapterMetadata&gt;"/>
    <w:docVar w:name="DM_WB_C36685_METADATA" w:val="&lt;ChapterMetadata&gt;&lt;ChapterId&gt;36685&lt;/ChapterId&gt;&lt;ChapterName&gt;Provisions&lt;/ChapterName&gt;&lt;ChapterNoOfPages&gt;-1&lt;/ChapterNoOfPages&gt;&lt;ChapterVersion&gt;65&lt;/ChapterVersion&gt;&lt;/ChapterMetadata&gt;"/>
    <w:docVar w:name="DM_WB_C36686_METADATA" w:val="&lt;ChapterMetadata&gt;&lt;ChapterId&gt;36686&lt;/ChapterId&gt;&lt;ChapterName&gt;Notes to the financial statements&lt;/ChapterName&gt;&lt;ChapterNoOfPages&gt;-1&lt;/ChapterNoOfPages&gt;&lt;ChapterVersion&gt;1&lt;/ChapterVersion&gt;&lt;/ChapterMetadata&gt;"/>
    <w:docVar w:name="DM_WB_C36687_METADATA" w:val="&lt;ChapterMetadata&gt;&lt;ChapterId&gt;36687&lt;/ChapterId&gt;&lt;ChapterName&gt;Note accompanying the consolidated accounts&lt;/ChapterName&gt;&lt;ChapterNoOfPages&gt;-1&lt;/ChapterNoOfPages&gt;&lt;ChapterVersion&gt;2&lt;/ChapterVersion&gt;&lt;/ChapterMetadata&gt;"/>
    <w:docVar w:name="DM_WB_C36688_METADATA" w:val="&lt;ChapterMetadata&gt;&lt;ChapterId&gt;36688&lt;/ChapterId&gt;&lt;ChapterName&gt;Statement of changes in net assets&lt;/ChapterName&gt;&lt;ChapterNoOfPages&gt;-1&lt;/ChapterNoOfPages&gt;&lt;ChapterVersion&gt;62&lt;/ChapterVersion&gt;&lt;/ChapterMetadata&gt;"/>
    <w:docVar w:name="DM_WB_C36690_METADATA" w:val="&lt;ChapterMetadata&gt;&lt;ChapterId&gt;36690&lt;/ChapterId&gt;&lt;ChapterName&gt;Payables&lt;/ChapterName&gt;&lt;ChapterNoOfPages&gt;-1&lt;/ChapterNoOfPages&gt;&lt;ChapterVersion&gt;68&lt;/ChapterVersion&gt;&lt;/ChapterMetadata&gt;"/>
    <w:docVar w:name="DM_WB_C36693_METADATA" w:val="&lt;ChapterMetadata&gt;&lt;ChapterId&gt;36693&lt;/ChapterId&gt;&lt;ChapterName&gt;Cash and cash equivalents&lt;/ChapterName&gt;&lt;ChapterNoOfPages&gt;-1&lt;/ChapterNoOfPages&gt;&lt;ChapterVersion&gt;72&lt;/ChapterVersion&gt;&lt;/ChapterMetadata&gt;"/>
    <w:docVar w:name="DM_WB_C36695_METADATA" w:val="&lt;ChapterMetadata&gt;&lt;ChapterId&gt;36695&lt;/ChapterId&gt;&lt;ChapterName&gt;Statement of financial performance&lt;/ChapterName&gt;&lt;ChapterNoOfPages&gt;-1&lt;/ChapterNoOfPages&gt;&lt;ChapterVersion&gt;63&lt;/ChapterVersion&gt;&lt;/ChapterMetadata&gt;"/>
    <w:docVar w:name="DM_WB_C36696_METADATA" w:val="&lt;ChapterMetadata&gt;&lt;ChapterId&gt;36696&lt;/ChapterId&gt;&lt;ChapterName&gt;Net assets&lt;/ChapterName&gt;&lt;ChapterNoOfPages&gt;-1&lt;/ChapterNoOfPages&gt;&lt;ChapterVersion&gt;61&lt;/ChapterVersion&gt;&lt;/ChapterMetadata&gt;"/>
    <w:docVar w:name="DM_WB_C36698_METADATA" w:val="&lt;ChapterMetadata&gt;&lt;ChapterId&gt;36698&lt;/ChapterId&gt;&lt;ChapterName&gt;Contingent liabilities and assets&lt;/ChapterName&gt;&lt;ChapterNoOfPages&gt;-1&lt;/ChapterNoOfPages&gt;&lt;ChapterVersion&gt;93&lt;/ChapterVersion&gt;&lt;/ChapterMetadata&gt;"/>
    <w:docVar w:name="DM_WB_C36699_METADATA" w:val="&lt;ChapterMetadata&gt;&lt;ChapterId&gt;36699&lt;/ChapterId&gt;&lt;ChapterName&gt;Other expenses and Research and Development costs&lt;/ChapterName&gt;&lt;ChapterNoOfPages&gt;-1&lt;/ChapterNoOfPages&gt;&lt;ChapterVersion&gt;63&lt;/ChapterVersion&gt;&lt;/ChapterMetadata&gt;"/>
    <w:docVar w:name="DM_WB_C36700_METADATA" w:val="&lt;ChapterMetadata&gt;&lt;ChapterId&gt;36700&lt;/ChapterId&gt;&lt;ChapterName&gt;Table of contents (2)&lt;/ChapterName&gt;&lt;ChapterNoOfPages&gt;-1&lt;/ChapterNoOfPages&gt;&lt;ChapterVersion&gt;1&lt;/ChapterVersion&gt;&lt;/ChapterMetadata&gt;"/>
    <w:docVar w:name="DM_WB_C36701_METADATA" w:val="&lt;ChapterMetadata&gt;&lt;ChapterId&gt;36701&lt;/ChapterId&gt;&lt;ChapterName&gt;Financial assets&lt;/ChapterName&gt;&lt;ChapterNoOfPages&gt;-1&lt;/ChapterNoOfPages&gt;&lt;ChapterVersion&gt;113&lt;/ChapterVersion&gt;&lt;/ChapterMetadata&gt;"/>
    <w:docVar w:name="DM_WB_C36702_METADATA" w:val="&lt;ChapterMetadata&gt;&lt;ChapterId&gt;36702&lt;/ChapterId&gt;&lt;ChapterName&gt;Balance sheet&lt;/ChapterName&gt;&lt;ChapterNoOfPages&gt;-1&lt;/ChapterNoOfPages&gt;&lt;ChapterVersion&gt;59&lt;/ChapterVersion&gt;&lt;/ChapterMetadata&gt;"/>
    <w:docVar w:name="DM_WB_C36704_METADATA" w:val="&lt;ChapterMetadata&gt;&lt;ChapterId&gt;36704&lt;/ChapterId&gt;&lt;ChapterName&gt;Staff and pension costs - Changes in employee benefits actuarial assumptions&lt;/ChapterName&gt;&lt;ChapterNoOfPages&gt;-1&lt;/ChapterNoOfPages&gt;&lt;ChapterVersion&gt;60&lt;/ChapterVersion&gt;&lt;/ChapterMetadata&gt;"/>
    <w:docVar w:name="DM_WB_C36705_METADATA" w:val="&lt;ChapterMetadata&gt;&lt;ChapterId&gt;36705&lt;/ChapterId&gt;&lt;ChapterName&gt;Intangible assets and PPE text&lt;/ChapterName&gt;&lt;ChapterNoOfPages&gt;-1&lt;/ChapterNoOfPages&gt;&lt;ChapterVersion&gt;63&lt;/ChapterVersion&gt;&lt;/ChapterMetadata&gt;"/>
    <w:docVar w:name="DM_WB_C36706_METADATA" w:val="&lt;ChapterMetadata&gt;&lt;ChapterId&gt;36706&lt;/ChapterId&gt;&lt;ChapterName&gt;Related party disclosures&lt;/ChapterName&gt;&lt;ChapterNoOfPages&gt;-1&lt;/ChapterNoOfPages&gt;&lt;ChapterVersion&gt;61&lt;/ChapterVersion&gt;&lt;/ChapterMetadata&gt;"/>
    <w:docVar w:name="DM_WB_C36707_METADATA" w:val="&lt;ChapterMetadata&gt;&lt;ChapterId&gt;36707&lt;/ChapterId&gt;&lt;ChapterName&gt;Notes to the statement of financial performance&lt;/ChapterName&gt;&lt;ChapterNoOfPages&gt;-1&lt;/ChapterNoOfPages&gt;&lt;ChapterVersion&gt;1&lt;/ChapterVersion&gt;&lt;/ChapterMetadata&gt;"/>
    <w:docVar w:name="DM_WB_C36709_METADATA" w:val="&lt;ChapterMetadata&gt;&lt;ChapterId&gt;36709&lt;/ChapterId&gt;&lt;ChapterName&gt;Cover and first page&lt;/ChapterName&gt;&lt;ChapterNoOfPages&gt;-1&lt;/ChapterNoOfPages&gt;&lt;ChapterVersion&gt;2&lt;/ChapterVersion&gt;&lt;/ChapterMetadata&gt;"/>
    <w:docVar w:name="DM_WB_C36710_METADATA" w:val="&lt;ChapterMetadata&gt;&lt;ChapterId&gt;36710&lt;/ChapterId&gt;&lt;ChapterName&gt;Segment Report&lt;/ChapterName&gt;&lt;ChapterNoOfPages&gt;-1&lt;/ChapterNoOfPages&gt;&lt;ChapterVersion&gt;68&lt;/ChapterVersion&gt;&lt;/ChapterMetadata&gt;"/>
    <w:docVar w:name="DM_WB_C36711_METADATA" w:val="&lt;ChapterMetadata&gt;&lt;ChapterId&gt;36711&lt;/ChapterId&gt;&lt;ChapterName&gt;Financial risk management&lt;/ChapterName&gt;&lt;ChapterNoOfPages&gt;-1&lt;/ChapterNoOfPages&gt;&lt;ChapterVersion&gt;79&lt;/ChapterVersion&gt;&lt;/ChapterMetadata&gt;"/>
    <w:docVar w:name="DM_WB_C36713_METADATA" w:val="&lt;ChapterMetadata&gt;&lt;ChapterId&gt;36713&lt;/ChapterId&gt;&lt;ChapterName&gt;Shared Direct and Indirect management&lt;/ChapterName&gt;&lt;ChapterNoOfPages&gt;-1&lt;/ChapterNoOfPages&gt;&lt;ChapterVersion&gt;68&lt;/ChapterVersion&gt;&lt;/ChapterMetadata&gt;"/>
    <w:docVar w:name="DM_WB_C36714_METADATA" w:val="&lt;ChapterMetadata&gt;&lt;ChapterId&gt;36714&lt;/ChapterId&gt;&lt;ChapterName&gt;Table of contents (1)&lt;/ChapterName&gt;&lt;ChapterNoOfPages&gt;-1&lt;/ChapterNoOfPages&gt;&lt;ChapterVersion&gt;1&lt;/ChapterVersion&gt;&lt;/ChapterMetadata&gt;"/>
    <w:docVar w:name="DM_WB_C36717_METADATA" w:val="&lt;ChapterMetadata&gt;&lt;ChapterId&gt;36717&lt;/ChapterId&gt;&lt;ChapterName&gt;Cashflow statement&lt;/ChapterName&gt;&lt;ChapterNoOfPages&gt;-1&lt;/ChapterNoOfPages&gt;&lt;ChapterVersion&gt;61&lt;/ChapterVersion&gt;&lt;/ChapterMetadata&gt;"/>
    <w:docVar w:name="DM_WB_C36720_METADATA" w:val="&lt;ChapterMetadata&gt;&lt;ChapterId&gt;36720&lt;/ChapterId&gt;&lt;ChapterName&gt;Exchange receivables and non-exchange recoverables&lt;/ChapterName&gt;&lt;ChapterNoOfPages&gt;-1&lt;/ChapterNoOfPages&gt;&lt;ChapterVersion&gt;128&lt;/ChapterVersion&gt;&lt;/ChapterMetadata&gt;"/>
    <w:docVar w:name="DM_WB_C36721_METADATA" w:val="&lt;ChapterMetadata&gt;&lt;ChapterId&gt;36721&lt;/ChapterId&gt;&lt;ChapterName&gt;Pension and other employee benefits&lt;/ChapterName&gt;&lt;ChapterNoOfPages&gt;-1&lt;/ChapterNoOfPages&gt;&lt;ChapterVersion&gt;65&lt;/ChapterVersion&gt;&lt;/ChapterMetadata&gt;"/>
    <w:docVar w:name="DM_WB_C36722_METADATA" w:val="&lt;ChapterMetadata&gt;&lt;ChapterId&gt;36722&lt;/ChapterId&gt;&lt;ChapterName&gt;Revenue - Exchange and Non-exchange&lt;/ChapterName&gt;&lt;ChapterNoOfPages&gt;-1&lt;/ChapterNoOfPages&gt;&lt;ChapterVersion&gt;85&lt;/ChapterVersion&gt;&lt;/ChapterMetadata&gt;"/>
    <w:docVar w:name="DM_WB_C36723_METADATA" w:val="&lt;ChapterMetadata&gt;&lt;ChapterId&gt;36723&lt;/ChapterId&gt;&lt;ChapterName&gt;Accrued charges and deferred income&lt;/ChapterName&gt;&lt;ChapterNoOfPages&gt;-1&lt;/ChapterNoOfPages&gt;&lt;ChapterVersion&gt;60&lt;/ChapterVersion&gt;&lt;/ChapterMetadata&gt;"/>
    <w:docVar w:name="DM_WB_C36724_METADATA" w:val="&lt;ChapterMetadata&gt;&lt;ChapterId&gt;36724&lt;/ChapterId&gt;&lt;ChapterName&gt;Events after balance sheet date&lt;/ChapterName&gt;&lt;ChapterNoOfPages&gt;-1&lt;/ChapterNoOfPages&gt;&lt;ChapterVersion&gt;4&lt;/ChapterVersion&gt;&lt;/ChapterMetadata&gt;"/>
    <w:docVar w:name="DM_WB_C36727_METADATA" w:val="&lt;ChapterMetadata&gt;&lt;ChapterId&gt;36727&lt;/ChapterId&gt;&lt;ChapterName&gt;Notes to the balance sheet&lt;/ChapterName&gt;&lt;ChapterNoOfPages&gt;-1&lt;/ChapterNoOfPages&gt;&lt;ChapterVersion&gt;1&lt;/ChapterVersion&gt;&lt;/ChapterMetadata&gt;"/>
    <w:docVar w:name="DM_WB_C36731_METADATA" w:val="&lt;ChapterMetadata&gt;&lt;ChapterId&gt;36731&lt;/ChapterId&gt;&lt;ChapterName&gt;PPE table&lt;/ChapterName&gt;&lt;ChapterNoOfPages&gt;-1&lt;/ChapterNoOfPages&gt;&lt;ChapterVersion&gt;60&lt;/ChapterVersion&gt;&lt;/ChapterMetadata&gt;"/>
    <w:docVar w:name="DM_WB_C36736_METADATA" w:val="&lt;ChapterMetadata&gt;&lt;ChapterId&gt;36736&lt;/ChapterId&gt;&lt;ChapterName&gt;Table of Content 3&lt;/ChapterName&gt;&lt;ChapterNoOfPages&gt;-1&lt;/ChapterNoOfPages&gt;&lt;ChapterVersion&gt;1&lt;/ChapterVersion&gt;&lt;/ChapterMetadata&gt;"/>
    <w:docVar w:name="DM_WB_C36737_METADATA" w:val="&lt;ChapterMetadata&gt;&lt;ChapterId&gt;36737&lt;/ChapterId&gt;&lt;ChapterName&gt;Notes on the implementation of the budget MFF annual budget policy areas&lt;/ChapterName&gt;&lt;ChapterNoOfPages&gt;-1&lt;/ChapterNoOfPages&gt;&lt;ChapterVersion&gt;5&lt;/ChapterVersion&gt;&lt;/ChapterMetadata&gt;"/>
    <w:docVar w:name="DM_WB_C36744_METADATA" w:val="&lt;ChapterMetadata&gt;&lt;ChapterId&gt;36744&lt;/ChapterId&gt;&lt;ChapterName&gt;Budgetary implementation reports and explanatory notes&lt;/ChapterName&gt;&lt;ChapterNoOfPages&gt;-1&lt;/ChapterNoOfPages&gt;&lt;ChapterVersion&gt;1&lt;/ChapterVersion&gt;&lt;/ChapterMetadata&gt;"/>
    <w:docVar w:name="DM_WB_C36780_METADATA" w:val="&lt;ChapterMetadata&gt;&lt;ChapterId&gt;36780&lt;/ChapterId&gt;&lt;ChapterName&gt;Glossary EU&lt;/ChapterName&gt;&lt;ChapterNoOfPages&gt;-1&lt;/ChapterNoOfPages&gt;&lt;ChapterVersion&gt;1&lt;/ChapterVersion&gt;&lt;/ChapterMetadata&gt;"/>
    <w:docVar w:name="DM_WB_C36782_METADATA" w:val="&lt;ChapterMetadata&gt;&lt;ChapterId&gt;36782&lt;/ChapterId&gt;&lt;ChapterName&gt;Significant accounting policies&lt;/ChapterName&gt;&lt;ChapterNoOfPages&gt;-1&lt;/ChapterNoOfPages&gt;&lt;ChapterVersion&gt;80&lt;/ChapterVersion&gt;&lt;/ChapterMetadata&gt;"/>
    <w:docVar w:name="DM_WB_C36783_METADATA" w:val="&lt;ChapterMetadata&gt;&lt;ChapterId&gt;36783&lt;/ChapterId&gt;&lt;ChapterName&gt;Notes EU Budget Revenue Expenditure&lt;/ChapterName&gt;&lt;ChapterNoOfPages&gt;-1&lt;/ChapterNoOfPages&gt;&lt;ChapterVersion&gt;2&lt;/ChapterVersion&gt;&lt;/ChapterMetadata&gt;"/>
    <w:docVar w:name="DM_WB_C36785_METADATA" w:val="&lt;ChapterMetadata&gt;&lt;ChapterId&gt;36785&lt;/ChapterId&gt;&lt;ChapterName&gt;EU Budget Result and Statements of Comparison&lt;/ChapterName&gt;&lt;ChapterNoOfPages&gt;-1&lt;/ChapterNoOfPages&gt;&lt;ChapterVersion&gt;71&lt;/ChapterVersion&gt;&lt;/ChapterMetadata&gt;"/>
    <w:docVar w:name="DM_WB_C36787_METADATA" w:val="&lt;ChapterMetadata&gt;&lt;ChapterId&gt;36787&lt;/ChapterId&gt;&lt;ChapterName&gt;List of abbreviations EU&lt;/ChapterName&gt;&lt;ChapterNoOfPages&gt;-1&lt;/ChapterNoOfPages&gt;&lt;ChapterVersion&gt;3&lt;/ChapterVersion&gt;&lt;/ChapterMetadata&gt;"/>
    <w:docVar w:name="DM_WB_C36788_METADATA" w:val="&lt;ChapterMetadata&gt;&lt;ChapterId&gt;36788&lt;/ChapterId&gt;&lt;ChapterName&gt;Notes to the reconciliation of economic result with budget result&lt;/ChapterName&gt;&lt;ChapterNoOfPages&gt;-1&lt;/ChapterNoOfPages&gt;&lt;ChapterVersion&gt;50&lt;/ChapterVersion&gt;&lt;/ChapterMetadata&gt;"/>
    <w:docVar w:name="DM_WB_C36789_METADATA" w:val="&lt;ChapterMetadata&gt;&lt;ChapterId&gt;36789&lt;/ChapterId&gt;&lt;ChapterName&gt;Implementation of EU budget expenditure&lt;/ChapterName&gt;&lt;ChapterNoOfPages&gt;-1&lt;/ChapterNoOfPages&gt;&lt;ChapterVersion&gt;88&lt;/ChapterVersion&gt;&lt;/ChapterMetadata&gt;"/>
    <w:docVar w:name="DM_WB_C36790_METADATA" w:val="&lt;ChapterMetadata&gt;&lt;ChapterId&gt;36790&lt;/ChapterId&gt;&lt;ChapterName&gt;Implementation of the agencies budget&lt;/ChapterName&gt;&lt;ChapterNoOfPages&gt;-1&lt;/ChapterNoOfPages&gt;&lt;ChapterVersion&gt;71&lt;/ChapterVersion&gt;&lt;/ChapterMetadata&gt;"/>
    <w:docVar w:name="DM_WB_C36791_METADATA" w:val="&lt;ChapterMetadata&gt;&lt;ChapterId&gt;36791&lt;/ChapterId&gt;&lt;ChapterName&gt;Notes revenue general and calculation budget result&lt;/ChapterName&gt;&lt;ChapterNoOfPages&gt;-1&lt;/ChapterNoOfPages&gt;&lt;ChapterVersion&gt;2&lt;/ChapterVersion&gt;&lt;/ChapterMetadata&gt;"/>
    <w:docVar w:name="DM_WB_C36792_METADATA" w:val="&lt;ChapterMetadata&gt;&lt;ChapterId&gt;36792&lt;/ChapterId&gt;&lt;ChapterName&gt;Implementation of EU budget revenue&lt;/ChapterName&gt;&lt;ChapterNoOfPages&gt;-1&lt;/ChapterNoOfPages&gt;&lt;ChapterVersion&gt;68&lt;/ChapterVersion&gt;&lt;/ChapterMetadata&gt;"/>
    <w:docVar w:name="DM_WB_C36793_METADATA" w:val="&lt;ChapterMetadata&gt;&lt;ChapterId&gt;36793&lt;/ChapterId&gt;&lt;ChapterName&gt;Implementation of the budget by institution&lt;/ChapterName&gt;&lt;ChapterNoOfPages&gt;-1&lt;/ChapterNoOfPages&gt;&lt;ChapterVersion&gt;78&lt;/ChapterVersion&gt;&lt;/ChapterMetadata&gt;"/>
    <w:docVar w:name="DM_WB_C38211_METADATA" w:val="&lt;ChapterMetadata&gt;&lt;ChapterId&gt;38211&lt;/ChapterId&gt;&lt;ChapterName&gt;Reclassification of SOFP&lt;/ChapterName&gt;&lt;ChapterNoOfPages&gt;-1&lt;/ChapterNoOfPages&gt;&lt;ChapterVersion&gt;42&lt;/ChapterVersion&gt;&lt;/ChapterMetadata&gt;"/>
    <w:docVar w:name="doc_tbl00002_1_1" w:val="|@|1|2057"/>
    <w:docVar w:name="DOC_TBL00013_1_1" w:val="|@|1|2057"/>
    <w:docVar w:name="doc_tbl00022_1_1" w:val="|@|1|2057"/>
    <w:docVar w:name="doc_tbl00025_1_1" w:val="|@|1|2057"/>
    <w:docVar w:name="doc_tbl00043_1_1" w:val="|@|1|2057"/>
    <w:docVar w:name="doc_tbl00047_1_1" w:val="|@|1|2057"/>
    <w:docVar w:name="doc_tbl00077_1_1" w:val="|@|1|2057"/>
    <w:docVar w:name="doc_tbl00122_1_1" w:val="EUR million|@|1|2057"/>
    <w:docVar w:name="doc_tbl00127_1_1" w:val="|@|1|2057"/>
    <w:docVar w:name="doc_tbl00128_1_1" w:val="|@|1|2057"/>
    <w:docVar w:name="doc_tbl00128_1_2" w:val="|@|1|2057"/>
    <w:docVar w:name="doc_tbl00128_1_3" w:val="|@|1|2057"/>
    <w:docVar w:name="doc_tbl00128_1_4" w:val="EUR million|@|1|2057"/>
    <w:docVar w:name="doc_tbl00128_2_1" w:val="Type of agencies revenue|@|1|2057"/>
    <w:docVar w:name="doc_tbl00128_2_2" w:val="|@|1|2057"/>
    <w:docVar w:name="doc_tbl00128_2_3" w:val="|@|1|2057"/>
    <w:docVar w:name="doc_tbl00128_2_4" w:val="Revenue received|@|1|2057"/>
    <w:docVar w:name="doc_tbl00128_3_1" w:val="Commission subsidy|@|1|2057"/>
    <w:docVar w:name="doc_tbl00128_3_2" w:val="|@|1|2057"/>
    <w:docVar w:name="doc_tbl00128_3_3" w:val="|@|1|2057"/>
    <w:docVar w:name="doc_tbl00128_3_4" w:val="4913.13709772|#\ ##0;\(#\ ##0\);\-|1|2057"/>
    <w:docVar w:name="doc_tbl00128_4_1" w:val="Fee income|@|1|2057"/>
    <w:docVar w:name="doc_tbl00128_4_2" w:val="|@|1|2057"/>
    <w:docVar w:name="doc_tbl00128_4_3" w:val="|@|1|2057"/>
    <w:docVar w:name="doc_tbl00128_4_4" w:val="1136.28097589|#\ ##0;\(#\ ##0\);\-|1|2057"/>
    <w:docVar w:name="doc_tbl00128_5_1" w:val="Other income|@|1|2057"/>
    <w:docVar w:name="doc_tbl00128_5_2" w:val="|@|1|2057"/>
    <w:docVar w:name="doc_tbl00128_5_3" w:val="|@|1|2057"/>
    <w:docVar w:name="doc_tbl00128_5_4" w:val="1531.24169045|#\ ##0;\(#\ ##0\);\-|1|2057"/>
    <w:docVar w:name="doc_tbl00128_6_1" w:val="Total|@|1|2057"/>
    <w:docVar w:name="doc_tbl00128_6_2" w:val="|@|1|2057"/>
    <w:docVar w:name="doc_tbl00128_6_3" w:val="|@|1|2057"/>
    <w:docVar w:name="doc_tbl00128_6_4" w:val="7580.65976406|#\ ##0;\(#\ ##0\);\-|1|2057"/>
    <w:docVar w:name="DocStatus" w:val="Green"/>
    <w:docVar w:name="LW_CORRIGENDUM" w:val="&lt;UNUSED&gt;"/>
    <w:docVar w:name="LW_COVERPAGE_EXISTS" w:val="True"/>
    <w:docVar w:name="LW_COVERPAGE_GUID" w:val="15CAC64B-C492-4350-B531-CEE29461DAE2"/>
    <w:docVar w:name="LW_COVERPAGE_TYPE" w:val="1"/>
    <w:docVar w:name="LW_CROSSREFERENCE" w:val="&lt;UNUSED&gt;"/>
    <w:docVar w:name="LW_DocType" w:val="TEMPLATE_BEKOU_2014"/>
    <w:docVar w:name="LW_EMISSION" w:val="24.6.2026"/>
    <w:docVar w:name="LW_EMISSION_ISODATE" w:val="2026-06-24"/>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SOLIDATED ANNUAL ACCOUNTS OF THE EUROPEAN UNION FOR THE FINANCIAL YEAR 2025"/>
    <w:docVar w:name="LW_TYPE.DOC.CP" w:val="COMMUNICATION FROM THE COMMISSION"/>
    <w:docVar w:name="LW_TYPE.DOC.CP.USERTEXT" w:val="TO THE EUROPEAN PARLIAMENT, THE COUNCIL AND THE COURT OF AUDITORS"/>
    <w:docVar w:name="LwApiVersions" w:val="LW4CoDe 1.24.5.0; LW 9.2, Build 20251112"/>
  </w:docVars>
  <w:rsids>
    <w:rsidRoot w:val="0061340E"/>
    <w:rsid w:val="00000EA3"/>
    <w:rsid w:val="00002435"/>
    <w:rsid w:val="000040E8"/>
    <w:rsid w:val="0000456B"/>
    <w:rsid w:val="00004DE6"/>
    <w:rsid w:val="0000546C"/>
    <w:rsid w:val="00005BDD"/>
    <w:rsid w:val="00006FC2"/>
    <w:rsid w:val="000107D7"/>
    <w:rsid w:val="0001115D"/>
    <w:rsid w:val="00012379"/>
    <w:rsid w:val="000128E9"/>
    <w:rsid w:val="00012B40"/>
    <w:rsid w:val="00013829"/>
    <w:rsid w:val="00013C17"/>
    <w:rsid w:val="00014520"/>
    <w:rsid w:val="000149E8"/>
    <w:rsid w:val="00015093"/>
    <w:rsid w:val="00016611"/>
    <w:rsid w:val="000169F8"/>
    <w:rsid w:val="000172F4"/>
    <w:rsid w:val="0001782E"/>
    <w:rsid w:val="00022AB1"/>
    <w:rsid w:val="0002334C"/>
    <w:rsid w:val="000233D9"/>
    <w:rsid w:val="00023E71"/>
    <w:rsid w:val="00023F4F"/>
    <w:rsid w:val="00023F84"/>
    <w:rsid w:val="0002413D"/>
    <w:rsid w:val="00024DF1"/>
    <w:rsid w:val="00025766"/>
    <w:rsid w:val="00025C22"/>
    <w:rsid w:val="00027455"/>
    <w:rsid w:val="000276C3"/>
    <w:rsid w:val="000302CC"/>
    <w:rsid w:val="000320ED"/>
    <w:rsid w:val="000326AC"/>
    <w:rsid w:val="00033F17"/>
    <w:rsid w:val="00034B64"/>
    <w:rsid w:val="00034BC6"/>
    <w:rsid w:val="000356E1"/>
    <w:rsid w:val="00035736"/>
    <w:rsid w:val="00036B14"/>
    <w:rsid w:val="00036B31"/>
    <w:rsid w:val="000403A3"/>
    <w:rsid w:val="00040735"/>
    <w:rsid w:val="00040E18"/>
    <w:rsid w:val="00041E2B"/>
    <w:rsid w:val="00041E45"/>
    <w:rsid w:val="00041F61"/>
    <w:rsid w:val="000424C7"/>
    <w:rsid w:val="000426FE"/>
    <w:rsid w:val="00044BBF"/>
    <w:rsid w:val="00046A86"/>
    <w:rsid w:val="00047D35"/>
    <w:rsid w:val="0005087D"/>
    <w:rsid w:val="000530DB"/>
    <w:rsid w:val="00057510"/>
    <w:rsid w:val="00060470"/>
    <w:rsid w:val="00060E05"/>
    <w:rsid w:val="000619B6"/>
    <w:rsid w:val="00062720"/>
    <w:rsid w:val="00064F91"/>
    <w:rsid w:val="000660C6"/>
    <w:rsid w:val="00067AF8"/>
    <w:rsid w:val="00067EEA"/>
    <w:rsid w:val="00073471"/>
    <w:rsid w:val="00074631"/>
    <w:rsid w:val="00075F31"/>
    <w:rsid w:val="000760FB"/>
    <w:rsid w:val="000774AD"/>
    <w:rsid w:val="00080D24"/>
    <w:rsid w:val="00081B83"/>
    <w:rsid w:val="00081CB0"/>
    <w:rsid w:val="00082228"/>
    <w:rsid w:val="00084DFA"/>
    <w:rsid w:val="0008531B"/>
    <w:rsid w:val="000860F7"/>
    <w:rsid w:val="00086592"/>
    <w:rsid w:val="00087349"/>
    <w:rsid w:val="0008753E"/>
    <w:rsid w:val="00091482"/>
    <w:rsid w:val="00091BA3"/>
    <w:rsid w:val="00092260"/>
    <w:rsid w:val="000935A1"/>
    <w:rsid w:val="00093BCE"/>
    <w:rsid w:val="000944C8"/>
    <w:rsid w:val="000945B2"/>
    <w:rsid w:val="000947A9"/>
    <w:rsid w:val="000947E1"/>
    <w:rsid w:val="00094A72"/>
    <w:rsid w:val="00096414"/>
    <w:rsid w:val="000A05FE"/>
    <w:rsid w:val="000A1171"/>
    <w:rsid w:val="000A1D1D"/>
    <w:rsid w:val="000A309C"/>
    <w:rsid w:val="000A3BBA"/>
    <w:rsid w:val="000A3FEB"/>
    <w:rsid w:val="000A4017"/>
    <w:rsid w:val="000A4453"/>
    <w:rsid w:val="000A6B1E"/>
    <w:rsid w:val="000A7905"/>
    <w:rsid w:val="000A7B66"/>
    <w:rsid w:val="000B12C5"/>
    <w:rsid w:val="000B173B"/>
    <w:rsid w:val="000B1B7C"/>
    <w:rsid w:val="000B3075"/>
    <w:rsid w:val="000B3131"/>
    <w:rsid w:val="000B31D6"/>
    <w:rsid w:val="000B32BF"/>
    <w:rsid w:val="000B3817"/>
    <w:rsid w:val="000B5513"/>
    <w:rsid w:val="000B72B7"/>
    <w:rsid w:val="000C010B"/>
    <w:rsid w:val="000C0667"/>
    <w:rsid w:val="000C081A"/>
    <w:rsid w:val="000C18DF"/>
    <w:rsid w:val="000C3655"/>
    <w:rsid w:val="000C380E"/>
    <w:rsid w:val="000C567C"/>
    <w:rsid w:val="000C6DFD"/>
    <w:rsid w:val="000C6EFC"/>
    <w:rsid w:val="000C7E0A"/>
    <w:rsid w:val="000D007F"/>
    <w:rsid w:val="000D0222"/>
    <w:rsid w:val="000D064C"/>
    <w:rsid w:val="000D1AB5"/>
    <w:rsid w:val="000D1B15"/>
    <w:rsid w:val="000D2768"/>
    <w:rsid w:val="000D4132"/>
    <w:rsid w:val="000D6B33"/>
    <w:rsid w:val="000D6D8F"/>
    <w:rsid w:val="000E1441"/>
    <w:rsid w:val="000E1664"/>
    <w:rsid w:val="000E1674"/>
    <w:rsid w:val="000E226A"/>
    <w:rsid w:val="000E296E"/>
    <w:rsid w:val="000E5506"/>
    <w:rsid w:val="000F0076"/>
    <w:rsid w:val="000F0BB3"/>
    <w:rsid w:val="000F0DAE"/>
    <w:rsid w:val="000F1232"/>
    <w:rsid w:val="000F21FA"/>
    <w:rsid w:val="000F2505"/>
    <w:rsid w:val="000F3303"/>
    <w:rsid w:val="000F37E8"/>
    <w:rsid w:val="000F3E9E"/>
    <w:rsid w:val="000F4560"/>
    <w:rsid w:val="000F5C6F"/>
    <w:rsid w:val="000F5D26"/>
    <w:rsid w:val="000F6047"/>
    <w:rsid w:val="000F7467"/>
    <w:rsid w:val="000F77D8"/>
    <w:rsid w:val="00100008"/>
    <w:rsid w:val="001007D5"/>
    <w:rsid w:val="001007FE"/>
    <w:rsid w:val="00100D22"/>
    <w:rsid w:val="00102110"/>
    <w:rsid w:val="00102983"/>
    <w:rsid w:val="00105295"/>
    <w:rsid w:val="00107989"/>
    <w:rsid w:val="00110036"/>
    <w:rsid w:val="00111DB6"/>
    <w:rsid w:val="00111E23"/>
    <w:rsid w:val="0011282B"/>
    <w:rsid w:val="00112F3D"/>
    <w:rsid w:val="00115D90"/>
    <w:rsid w:val="00116A68"/>
    <w:rsid w:val="00120967"/>
    <w:rsid w:val="00122A59"/>
    <w:rsid w:val="00124328"/>
    <w:rsid w:val="001252B3"/>
    <w:rsid w:val="00125A78"/>
    <w:rsid w:val="0012675C"/>
    <w:rsid w:val="00127B7C"/>
    <w:rsid w:val="00130B55"/>
    <w:rsid w:val="001329AB"/>
    <w:rsid w:val="00134220"/>
    <w:rsid w:val="001342FC"/>
    <w:rsid w:val="00134A33"/>
    <w:rsid w:val="00134EBB"/>
    <w:rsid w:val="00134EFB"/>
    <w:rsid w:val="001355DE"/>
    <w:rsid w:val="00135C89"/>
    <w:rsid w:val="0013667B"/>
    <w:rsid w:val="0014004F"/>
    <w:rsid w:val="00141360"/>
    <w:rsid w:val="0014218A"/>
    <w:rsid w:val="00142493"/>
    <w:rsid w:val="00142550"/>
    <w:rsid w:val="00145D80"/>
    <w:rsid w:val="001470EA"/>
    <w:rsid w:val="0014742C"/>
    <w:rsid w:val="001508AF"/>
    <w:rsid w:val="00150B70"/>
    <w:rsid w:val="00152806"/>
    <w:rsid w:val="0015510E"/>
    <w:rsid w:val="00155243"/>
    <w:rsid w:val="00156CA2"/>
    <w:rsid w:val="00156ED6"/>
    <w:rsid w:val="0015704C"/>
    <w:rsid w:val="00157072"/>
    <w:rsid w:val="0015731D"/>
    <w:rsid w:val="001578A7"/>
    <w:rsid w:val="00160956"/>
    <w:rsid w:val="00160C18"/>
    <w:rsid w:val="00163C80"/>
    <w:rsid w:val="00165090"/>
    <w:rsid w:val="00165709"/>
    <w:rsid w:val="001678DF"/>
    <w:rsid w:val="00167AAB"/>
    <w:rsid w:val="00167FF4"/>
    <w:rsid w:val="0017044A"/>
    <w:rsid w:val="00171306"/>
    <w:rsid w:val="00172034"/>
    <w:rsid w:val="00172E42"/>
    <w:rsid w:val="001731AC"/>
    <w:rsid w:val="001767B0"/>
    <w:rsid w:val="00177409"/>
    <w:rsid w:val="00180CF1"/>
    <w:rsid w:val="00180D45"/>
    <w:rsid w:val="0018144B"/>
    <w:rsid w:val="0018243A"/>
    <w:rsid w:val="001855E6"/>
    <w:rsid w:val="00186438"/>
    <w:rsid w:val="00186A0D"/>
    <w:rsid w:val="00186B2E"/>
    <w:rsid w:val="00186D64"/>
    <w:rsid w:val="00187159"/>
    <w:rsid w:val="001920A9"/>
    <w:rsid w:val="0019235C"/>
    <w:rsid w:val="001931A1"/>
    <w:rsid w:val="00193B01"/>
    <w:rsid w:val="001955D8"/>
    <w:rsid w:val="0019750D"/>
    <w:rsid w:val="0019770F"/>
    <w:rsid w:val="001A06EB"/>
    <w:rsid w:val="001A0DF0"/>
    <w:rsid w:val="001A0E53"/>
    <w:rsid w:val="001A1D16"/>
    <w:rsid w:val="001A46F0"/>
    <w:rsid w:val="001A622B"/>
    <w:rsid w:val="001A6A9F"/>
    <w:rsid w:val="001B0314"/>
    <w:rsid w:val="001B08CE"/>
    <w:rsid w:val="001B0C15"/>
    <w:rsid w:val="001B2240"/>
    <w:rsid w:val="001B25EB"/>
    <w:rsid w:val="001B30A7"/>
    <w:rsid w:val="001B3F04"/>
    <w:rsid w:val="001B4770"/>
    <w:rsid w:val="001B597A"/>
    <w:rsid w:val="001C08E9"/>
    <w:rsid w:val="001C1EA3"/>
    <w:rsid w:val="001C1EB6"/>
    <w:rsid w:val="001C3391"/>
    <w:rsid w:val="001C5771"/>
    <w:rsid w:val="001C6D74"/>
    <w:rsid w:val="001D1A52"/>
    <w:rsid w:val="001D25A1"/>
    <w:rsid w:val="001D4F17"/>
    <w:rsid w:val="001D6FDA"/>
    <w:rsid w:val="001D7399"/>
    <w:rsid w:val="001D77CA"/>
    <w:rsid w:val="001E1098"/>
    <w:rsid w:val="001E13F4"/>
    <w:rsid w:val="001E1ED5"/>
    <w:rsid w:val="001E3742"/>
    <w:rsid w:val="001E497F"/>
    <w:rsid w:val="001E4994"/>
    <w:rsid w:val="001E51BC"/>
    <w:rsid w:val="001E5665"/>
    <w:rsid w:val="001E5FAD"/>
    <w:rsid w:val="001E6923"/>
    <w:rsid w:val="001E707D"/>
    <w:rsid w:val="001F09A8"/>
    <w:rsid w:val="001F11DB"/>
    <w:rsid w:val="001F1771"/>
    <w:rsid w:val="001F1EDE"/>
    <w:rsid w:val="001F267F"/>
    <w:rsid w:val="001F3E56"/>
    <w:rsid w:val="001F45A4"/>
    <w:rsid w:val="001F60F8"/>
    <w:rsid w:val="001F663C"/>
    <w:rsid w:val="002016AF"/>
    <w:rsid w:val="00201A52"/>
    <w:rsid w:val="00202431"/>
    <w:rsid w:val="00202D4B"/>
    <w:rsid w:val="002030A0"/>
    <w:rsid w:val="00203A50"/>
    <w:rsid w:val="002062AB"/>
    <w:rsid w:val="002063B2"/>
    <w:rsid w:val="00206481"/>
    <w:rsid w:val="00207986"/>
    <w:rsid w:val="00210C97"/>
    <w:rsid w:val="00211797"/>
    <w:rsid w:val="00212597"/>
    <w:rsid w:val="002134EE"/>
    <w:rsid w:val="00213FAD"/>
    <w:rsid w:val="0021627A"/>
    <w:rsid w:val="002162E9"/>
    <w:rsid w:val="002169AD"/>
    <w:rsid w:val="00216B41"/>
    <w:rsid w:val="0022007E"/>
    <w:rsid w:val="00220377"/>
    <w:rsid w:val="0022103C"/>
    <w:rsid w:val="002217B5"/>
    <w:rsid w:val="00221EA1"/>
    <w:rsid w:val="00222A98"/>
    <w:rsid w:val="00222B92"/>
    <w:rsid w:val="00222C28"/>
    <w:rsid w:val="00222D93"/>
    <w:rsid w:val="00223A7D"/>
    <w:rsid w:val="00224283"/>
    <w:rsid w:val="002252BF"/>
    <w:rsid w:val="00225429"/>
    <w:rsid w:val="002274A0"/>
    <w:rsid w:val="00227FA7"/>
    <w:rsid w:val="00231789"/>
    <w:rsid w:val="00233057"/>
    <w:rsid w:val="002335A1"/>
    <w:rsid w:val="002336CB"/>
    <w:rsid w:val="00234ABF"/>
    <w:rsid w:val="00235929"/>
    <w:rsid w:val="00235F9A"/>
    <w:rsid w:val="002365B2"/>
    <w:rsid w:val="00236DDD"/>
    <w:rsid w:val="002405F9"/>
    <w:rsid w:val="0024160D"/>
    <w:rsid w:val="00241DA9"/>
    <w:rsid w:val="002445B4"/>
    <w:rsid w:val="00250507"/>
    <w:rsid w:val="0025121B"/>
    <w:rsid w:val="00253107"/>
    <w:rsid w:val="00253F17"/>
    <w:rsid w:val="002542EA"/>
    <w:rsid w:val="002543D6"/>
    <w:rsid w:val="00254799"/>
    <w:rsid w:val="00256267"/>
    <w:rsid w:val="00256A14"/>
    <w:rsid w:val="00257280"/>
    <w:rsid w:val="002576F5"/>
    <w:rsid w:val="00257FF7"/>
    <w:rsid w:val="002613EE"/>
    <w:rsid w:val="002638E1"/>
    <w:rsid w:val="002653E5"/>
    <w:rsid w:val="00265975"/>
    <w:rsid w:val="002661E6"/>
    <w:rsid w:val="00266667"/>
    <w:rsid w:val="00267521"/>
    <w:rsid w:val="00271743"/>
    <w:rsid w:val="00271E34"/>
    <w:rsid w:val="0027272E"/>
    <w:rsid w:val="0027349E"/>
    <w:rsid w:val="00273632"/>
    <w:rsid w:val="00274FA1"/>
    <w:rsid w:val="002758E2"/>
    <w:rsid w:val="00276890"/>
    <w:rsid w:val="00276A0A"/>
    <w:rsid w:val="002770F1"/>
    <w:rsid w:val="002771BF"/>
    <w:rsid w:val="00280389"/>
    <w:rsid w:val="002803ED"/>
    <w:rsid w:val="00281A2B"/>
    <w:rsid w:val="00282EBB"/>
    <w:rsid w:val="00283173"/>
    <w:rsid w:val="00283755"/>
    <w:rsid w:val="00283A39"/>
    <w:rsid w:val="002846CC"/>
    <w:rsid w:val="0028738B"/>
    <w:rsid w:val="00290E0B"/>
    <w:rsid w:val="0029139E"/>
    <w:rsid w:val="002916B9"/>
    <w:rsid w:val="00292268"/>
    <w:rsid w:val="002926C4"/>
    <w:rsid w:val="002930D2"/>
    <w:rsid w:val="0029535D"/>
    <w:rsid w:val="00295569"/>
    <w:rsid w:val="00295FCE"/>
    <w:rsid w:val="0029635D"/>
    <w:rsid w:val="0029747A"/>
    <w:rsid w:val="0029779D"/>
    <w:rsid w:val="002A0268"/>
    <w:rsid w:val="002A16DA"/>
    <w:rsid w:val="002A2707"/>
    <w:rsid w:val="002A4989"/>
    <w:rsid w:val="002A547B"/>
    <w:rsid w:val="002A5DBB"/>
    <w:rsid w:val="002A62A9"/>
    <w:rsid w:val="002A76DD"/>
    <w:rsid w:val="002A7884"/>
    <w:rsid w:val="002B1494"/>
    <w:rsid w:val="002B164C"/>
    <w:rsid w:val="002B257B"/>
    <w:rsid w:val="002B2F6E"/>
    <w:rsid w:val="002B2FF8"/>
    <w:rsid w:val="002B314C"/>
    <w:rsid w:val="002B46C5"/>
    <w:rsid w:val="002C026E"/>
    <w:rsid w:val="002C13BA"/>
    <w:rsid w:val="002C1DA0"/>
    <w:rsid w:val="002C26DD"/>
    <w:rsid w:val="002C2AFC"/>
    <w:rsid w:val="002C2FBD"/>
    <w:rsid w:val="002C3225"/>
    <w:rsid w:val="002C4B56"/>
    <w:rsid w:val="002C4B71"/>
    <w:rsid w:val="002C52AE"/>
    <w:rsid w:val="002C6EBF"/>
    <w:rsid w:val="002C7C1D"/>
    <w:rsid w:val="002C7C44"/>
    <w:rsid w:val="002D23E7"/>
    <w:rsid w:val="002D31C8"/>
    <w:rsid w:val="002D32F6"/>
    <w:rsid w:val="002D3930"/>
    <w:rsid w:val="002D67DD"/>
    <w:rsid w:val="002D7B66"/>
    <w:rsid w:val="002E007F"/>
    <w:rsid w:val="002E0703"/>
    <w:rsid w:val="002E09A6"/>
    <w:rsid w:val="002E0BE3"/>
    <w:rsid w:val="002E0C95"/>
    <w:rsid w:val="002E1712"/>
    <w:rsid w:val="002E43EE"/>
    <w:rsid w:val="002E6294"/>
    <w:rsid w:val="002E63B3"/>
    <w:rsid w:val="002E678B"/>
    <w:rsid w:val="002E6AA6"/>
    <w:rsid w:val="002F04B0"/>
    <w:rsid w:val="002F04EA"/>
    <w:rsid w:val="002F0F14"/>
    <w:rsid w:val="002F1254"/>
    <w:rsid w:val="002F27BA"/>
    <w:rsid w:val="002F2D59"/>
    <w:rsid w:val="002F4182"/>
    <w:rsid w:val="002F4905"/>
    <w:rsid w:val="002F5E1E"/>
    <w:rsid w:val="002F7777"/>
    <w:rsid w:val="00301616"/>
    <w:rsid w:val="00305D5C"/>
    <w:rsid w:val="0030606B"/>
    <w:rsid w:val="003063C5"/>
    <w:rsid w:val="00310521"/>
    <w:rsid w:val="00310868"/>
    <w:rsid w:val="00310F0D"/>
    <w:rsid w:val="00312B6D"/>
    <w:rsid w:val="00317579"/>
    <w:rsid w:val="00320649"/>
    <w:rsid w:val="003206D6"/>
    <w:rsid w:val="0032121F"/>
    <w:rsid w:val="00323303"/>
    <w:rsid w:val="00324012"/>
    <w:rsid w:val="00326680"/>
    <w:rsid w:val="0032730E"/>
    <w:rsid w:val="00330CEC"/>
    <w:rsid w:val="00331B07"/>
    <w:rsid w:val="0033233B"/>
    <w:rsid w:val="0033368D"/>
    <w:rsid w:val="0033400B"/>
    <w:rsid w:val="0033421E"/>
    <w:rsid w:val="003355D9"/>
    <w:rsid w:val="00336515"/>
    <w:rsid w:val="0033782A"/>
    <w:rsid w:val="00337940"/>
    <w:rsid w:val="00340B6A"/>
    <w:rsid w:val="003432F1"/>
    <w:rsid w:val="00343589"/>
    <w:rsid w:val="00344AF6"/>
    <w:rsid w:val="00347CD4"/>
    <w:rsid w:val="00350671"/>
    <w:rsid w:val="003514FB"/>
    <w:rsid w:val="00354084"/>
    <w:rsid w:val="003577DA"/>
    <w:rsid w:val="003615C5"/>
    <w:rsid w:val="003622CB"/>
    <w:rsid w:val="003627AD"/>
    <w:rsid w:val="00362AC0"/>
    <w:rsid w:val="00363B78"/>
    <w:rsid w:val="00364362"/>
    <w:rsid w:val="0036507E"/>
    <w:rsid w:val="00367AA8"/>
    <w:rsid w:val="0037058C"/>
    <w:rsid w:val="00371D17"/>
    <w:rsid w:val="003735B6"/>
    <w:rsid w:val="00373886"/>
    <w:rsid w:val="003747C7"/>
    <w:rsid w:val="00374A66"/>
    <w:rsid w:val="00375B7F"/>
    <w:rsid w:val="00376DFC"/>
    <w:rsid w:val="00376EE2"/>
    <w:rsid w:val="0038036C"/>
    <w:rsid w:val="003803C8"/>
    <w:rsid w:val="003816B7"/>
    <w:rsid w:val="003816DF"/>
    <w:rsid w:val="00381CB4"/>
    <w:rsid w:val="00382BFA"/>
    <w:rsid w:val="00383662"/>
    <w:rsid w:val="003858EF"/>
    <w:rsid w:val="0038630F"/>
    <w:rsid w:val="00386846"/>
    <w:rsid w:val="00387FCC"/>
    <w:rsid w:val="00391284"/>
    <w:rsid w:val="00391799"/>
    <w:rsid w:val="00392E7F"/>
    <w:rsid w:val="00393CA0"/>
    <w:rsid w:val="0039409E"/>
    <w:rsid w:val="003940A3"/>
    <w:rsid w:val="00394991"/>
    <w:rsid w:val="003968BF"/>
    <w:rsid w:val="00396AE8"/>
    <w:rsid w:val="00397D0D"/>
    <w:rsid w:val="003A0ED3"/>
    <w:rsid w:val="003A29A3"/>
    <w:rsid w:val="003A434A"/>
    <w:rsid w:val="003A57D7"/>
    <w:rsid w:val="003A6AF8"/>
    <w:rsid w:val="003B31E8"/>
    <w:rsid w:val="003B3540"/>
    <w:rsid w:val="003B45D1"/>
    <w:rsid w:val="003B4F5D"/>
    <w:rsid w:val="003B6C5C"/>
    <w:rsid w:val="003B6C7A"/>
    <w:rsid w:val="003B75C2"/>
    <w:rsid w:val="003B7812"/>
    <w:rsid w:val="003B7E26"/>
    <w:rsid w:val="003C01C7"/>
    <w:rsid w:val="003C03A7"/>
    <w:rsid w:val="003C1665"/>
    <w:rsid w:val="003C27F5"/>
    <w:rsid w:val="003C5595"/>
    <w:rsid w:val="003C5A5A"/>
    <w:rsid w:val="003D08C7"/>
    <w:rsid w:val="003D0F4B"/>
    <w:rsid w:val="003D30FC"/>
    <w:rsid w:val="003D353B"/>
    <w:rsid w:val="003D3E01"/>
    <w:rsid w:val="003D4FE6"/>
    <w:rsid w:val="003D51EA"/>
    <w:rsid w:val="003D5270"/>
    <w:rsid w:val="003D75CC"/>
    <w:rsid w:val="003E061A"/>
    <w:rsid w:val="003E0F15"/>
    <w:rsid w:val="003E13FD"/>
    <w:rsid w:val="003E176D"/>
    <w:rsid w:val="003E285E"/>
    <w:rsid w:val="003E59ED"/>
    <w:rsid w:val="003E6AA9"/>
    <w:rsid w:val="003E738B"/>
    <w:rsid w:val="003F0792"/>
    <w:rsid w:val="003F0996"/>
    <w:rsid w:val="003F1A09"/>
    <w:rsid w:val="003F2AF9"/>
    <w:rsid w:val="003F66DE"/>
    <w:rsid w:val="003F6A3B"/>
    <w:rsid w:val="003F6AAD"/>
    <w:rsid w:val="00400D3B"/>
    <w:rsid w:val="00403B7D"/>
    <w:rsid w:val="00404E0E"/>
    <w:rsid w:val="00404E53"/>
    <w:rsid w:val="00405D26"/>
    <w:rsid w:val="00406DB0"/>
    <w:rsid w:val="00406EB7"/>
    <w:rsid w:val="00407F76"/>
    <w:rsid w:val="004101B2"/>
    <w:rsid w:val="004106D7"/>
    <w:rsid w:val="00411138"/>
    <w:rsid w:val="00411363"/>
    <w:rsid w:val="0041223E"/>
    <w:rsid w:val="004124D8"/>
    <w:rsid w:val="0041260C"/>
    <w:rsid w:val="004133EB"/>
    <w:rsid w:val="004142D6"/>
    <w:rsid w:val="00414C76"/>
    <w:rsid w:val="0041641C"/>
    <w:rsid w:val="004167B2"/>
    <w:rsid w:val="00416B24"/>
    <w:rsid w:val="0041777B"/>
    <w:rsid w:val="004177F1"/>
    <w:rsid w:val="00420B78"/>
    <w:rsid w:val="004214A6"/>
    <w:rsid w:val="004219B2"/>
    <w:rsid w:val="00422ABB"/>
    <w:rsid w:val="00425188"/>
    <w:rsid w:val="00426096"/>
    <w:rsid w:val="00426779"/>
    <w:rsid w:val="004316BD"/>
    <w:rsid w:val="00432A85"/>
    <w:rsid w:val="004330AD"/>
    <w:rsid w:val="00433B8D"/>
    <w:rsid w:val="0043493D"/>
    <w:rsid w:val="00434E23"/>
    <w:rsid w:val="00435FF8"/>
    <w:rsid w:val="0043794F"/>
    <w:rsid w:val="00441606"/>
    <w:rsid w:val="00442DB8"/>
    <w:rsid w:val="00443C80"/>
    <w:rsid w:val="00443D34"/>
    <w:rsid w:val="004444A9"/>
    <w:rsid w:val="00444C2A"/>
    <w:rsid w:val="0044528D"/>
    <w:rsid w:val="00445A4C"/>
    <w:rsid w:val="00447F42"/>
    <w:rsid w:val="00450561"/>
    <w:rsid w:val="00450AB2"/>
    <w:rsid w:val="00453497"/>
    <w:rsid w:val="00453EB7"/>
    <w:rsid w:val="0045588A"/>
    <w:rsid w:val="00460C74"/>
    <w:rsid w:val="00461B68"/>
    <w:rsid w:val="0046341E"/>
    <w:rsid w:val="00463440"/>
    <w:rsid w:val="00463700"/>
    <w:rsid w:val="0046395C"/>
    <w:rsid w:val="00463D80"/>
    <w:rsid w:val="0046442F"/>
    <w:rsid w:val="00465E3A"/>
    <w:rsid w:val="00467C6A"/>
    <w:rsid w:val="00470890"/>
    <w:rsid w:val="00471218"/>
    <w:rsid w:val="00472F25"/>
    <w:rsid w:val="00474E02"/>
    <w:rsid w:val="004753FC"/>
    <w:rsid w:val="004754A3"/>
    <w:rsid w:val="004754BE"/>
    <w:rsid w:val="00476412"/>
    <w:rsid w:val="00476775"/>
    <w:rsid w:val="0047726B"/>
    <w:rsid w:val="00477673"/>
    <w:rsid w:val="004810BB"/>
    <w:rsid w:val="00481593"/>
    <w:rsid w:val="004848C2"/>
    <w:rsid w:val="00486797"/>
    <w:rsid w:val="00487A24"/>
    <w:rsid w:val="00487CA0"/>
    <w:rsid w:val="004904FE"/>
    <w:rsid w:val="0049101A"/>
    <w:rsid w:val="00492A0E"/>
    <w:rsid w:val="00492E37"/>
    <w:rsid w:val="00493E27"/>
    <w:rsid w:val="00494F42"/>
    <w:rsid w:val="00495629"/>
    <w:rsid w:val="004971B1"/>
    <w:rsid w:val="004A0474"/>
    <w:rsid w:val="004A0ABD"/>
    <w:rsid w:val="004A0CD3"/>
    <w:rsid w:val="004A0FDC"/>
    <w:rsid w:val="004A14BF"/>
    <w:rsid w:val="004A1DEB"/>
    <w:rsid w:val="004A22D8"/>
    <w:rsid w:val="004A5B82"/>
    <w:rsid w:val="004A7509"/>
    <w:rsid w:val="004A7C67"/>
    <w:rsid w:val="004A7DCC"/>
    <w:rsid w:val="004B0EEE"/>
    <w:rsid w:val="004B3633"/>
    <w:rsid w:val="004B50E0"/>
    <w:rsid w:val="004B5B3F"/>
    <w:rsid w:val="004B5CF0"/>
    <w:rsid w:val="004B606B"/>
    <w:rsid w:val="004B7BE6"/>
    <w:rsid w:val="004B7F75"/>
    <w:rsid w:val="004C03E9"/>
    <w:rsid w:val="004C055C"/>
    <w:rsid w:val="004C06F3"/>
    <w:rsid w:val="004C09A2"/>
    <w:rsid w:val="004C0F05"/>
    <w:rsid w:val="004C185A"/>
    <w:rsid w:val="004C4495"/>
    <w:rsid w:val="004C4A33"/>
    <w:rsid w:val="004C6182"/>
    <w:rsid w:val="004C6C15"/>
    <w:rsid w:val="004C7140"/>
    <w:rsid w:val="004D12E2"/>
    <w:rsid w:val="004D39BA"/>
    <w:rsid w:val="004D40BD"/>
    <w:rsid w:val="004D7002"/>
    <w:rsid w:val="004E02E3"/>
    <w:rsid w:val="004E15D7"/>
    <w:rsid w:val="004E16EC"/>
    <w:rsid w:val="004E17DD"/>
    <w:rsid w:val="004E1ECB"/>
    <w:rsid w:val="004E2F0C"/>
    <w:rsid w:val="004E41D2"/>
    <w:rsid w:val="004E57CD"/>
    <w:rsid w:val="004F1286"/>
    <w:rsid w:val="004F13D3"/>
    <w:rsid w:val="004F17D1"/>
    <w:rsid w:val="004F1EA8"/>
    <w:rsid w:val="004F30B3"/>
    <w:rsid w:val="004F403C"/>
    <w:rsid w:val="004F5EDC"/>
    <w:rsid w:val="004F7A89"/>
    <w:rsid w:val="00500AB0"/>
    <w:rsid w:val="005039EA"/>
    <w:rsid w:val="005044AD"/>
    <w:rsid w:val="0050470E"/>
    <w:rsid w:val="00510E34"/>
    <w:rsid w:val="0051334A"/>
    <w:rsid w:val="00513DED"/>
    <w:rsid w:val="00513ED5"/>
    <w:rsid w:val="00514603"/>
    <w:rsid w:val="00514B34"/>
    <w:rsid w:val="00520BA8"/>
    <w:rsid w:val="005218C3"/>
    <w:rsid w:val="00522083"/>
    <w:rsid w:val="00523AE7"/>
    <w:rsid w:val="00524A59"/>
    <w:rsid w:val="00524B1E"/>
    <w:rsid w:val="0052542F"/>
    <w:rsid w:val="00527193"/>
    <w:rsid w:val="005308E2"/>
    <w:rsid w:val="00530C0B"/>
    <w:rsid w:val="005336AE"/>
    <w:rsid w:val="00533BB0"/>
    <w:rsid w:val="00536E17"/>
    <w:rsid w:val="005378E7"/>
    <w:rsid w:val="0054101B"/>
    <w:rsid w:val="00541087"/>
    <w:rsid w:val="00542444"/>
    <w:rsid w:val="00542508"/>
    <w:rsid w:val="00542E45"/>
    <w:rsid w:val="00545875"/>
    <w:rsid w:val="0054590C"/>
    <w:rsid w:val="00546FDE"/>
    <w:rsid w:val="00553A51"/>
    <w:rsid w:val="00554B72"/>
    <w:rsid w:val="005571F4"/>
    <w:rsid w:val="00557D0A"/>
    <w:rsid w:val="0056021E"/>
    <w:rsid w:val="00560398"/>
    <w:rsid w:val="00561ABF"/>
    <w:rsid w:val="00561DD3"/>
    <w:rsid w:val="0056253B"/>
    <w:rsid w:val="00563F1C"/>
    <w:rsid w:val="005664C5"/>
    <w:rsid w:val="005678AA"/>
    <w:rsid w:val="0057083A"/>
    <w:rsid w:val="00572253"/>
    <w:rsid w:val="005724A6"/>
    <w:rsid w:val="00573285"/>
    <w:rsid w:val="005741E8"/>
    <w:rsid w:val="00575161"/>
    <w:rsid w:val="00575F2B"/>
    <w:rsid w:val="00576D9D"/>
    <w:rsid w:val="00577436"/>
    <w:rsid w:val="0057750E"/>
    <w:rsid w:val="005779E6"/>
    <w:rsid w:val="00580879"/>
    <w:rsid w:val="005818DE"/>
    <w:rsid w:val="00582EEC"/>
    <w:rsid w:val="00584A29"/>
    <w:rsid w:val="00585433"/>
    <w:rsid w:val="005859EA"/>
    <w:rsid w:val="005872B9"/>
    <w:rsid w:val="0058789F"/>
    <w:rsid w:val="0059041E"/>
    <w:rsid w:val="0059047D"/>
    <w:rsid w:val="00591C0B"/>
    <w:rsid w:val="005927D5"/>
    <w:rsid w:val="00592806"/>
    <w:rsid w:val="005934E5"/>
    <w:rsid w:val="00594ADA"/>
    <w:rsid w:val="00594DDA"/>
    <w:rsid w:val="00594DF5"/>
    <w:rsid w:val="00594EEA"/>
    <w:rsid w:val="00595197"/>
    <w:rsid w:val="00595A76"/>
    <w:rsid w:val="005963B2"/>
    <w:rsid w:val="00596593"/>
    <w:rsid w:val="00596ADD"/>
    <w:rsid w:val="00596D7F"/>
    <w:rsid w:val="00596EE9"/>
    <w:rsid w:val="005A0D12"/>
    <w:rsid w:val="005A0F58"/>
    <w:rsid w:val="005A1DD5"/>
    <w:rsid w:val="005A2DD8"/>
    <w:rsid w:val="005A3454"/>
    <w:rsid w:val="005A39F1"/>
    <w:rsid w:val="005A46C1"/>
    <w:rsid w:val="005A4EFA"/>
    <w:rsid w:val="005A7DC9"/>
    <w:rsid w:val="005B16F5"/>
    <w:rsid w:val="005B2655"/>
    <w:rsid w:val="005B4A3C"/>
    <w:rsid w:val="005B7329"/>
    <w:rsid w:val="005B752C"/>
    <w:rsid w:val="005C1333"/>
    <w:rsid w:val="005C1E1F"/>
    <w:rsid w:val="005C2124"/>
    <w:rsid w:val="005C39EC"/>
    <w:rsid w:val="005C3D01"/>
    <w:rsid w:val="005C4303"/>
    <w:rsid w:val="005C4D63"/>
    <w:rsid w:val="005C7214"/>
    <w:rsid w:val="005C7B54"/>
    <w:rsid w:val="005D05BD"/>
    <w:rsid w:val="005D158B"/>
    <w:rsid w:val="005D15F9"/>
    <w:rsid w:val="005D257A"/>
    <w:rsid w:val="005D2860"/>
    <w:rsid w:val="005D3551"/>
    <w:rsid w:val="005D4240"/>
    <w:rsid w:val="005D4741"/>
    <w:rsid w:val="005D6E60"/>
    <w:rsid w:val="005E13A9"/>
    <w:rsid w:val="005E37B9"/>
    <w:rsid w:val="005E3F52"/>
    <w:rsid w:val="005E4EFC"/>
    <w:rsid w:val="005E7229"/>
    <w:rsid w:val="005E76B7"/>
    <w:rsid w:val="005F054C"/>
    <w:rsid w:val="005F10E8"/>
    <w:rsid w:val="005F4A6F"/>
    <w:rsid w:val="005F6326"/>
    <w:rsid w:val="005F633C"/>
    <w:rsid w:val="005F65EA"/>
    <w:rsid w:val="005F79A9"/>
    <w:rsid w:val="00600E8C"/>
    <w:rsid w:val="0060120B"/>
    <w:rsid w:val="00602570"/>
    <w:rsid w:val="00605F61"/>
    <w:rsid w:val="006078FD"/>
    <w:rsid w:val="006106CF"/>
    <w:rsid w:val="0061187E"/>
    <w:rsid w:val="00613118"/>
    <w:rsid w:val="0061340E"/>
    <w:rsid w:val="00616308"/>
    <w:rsid w:val="006175D5"/>
    <w:rsid w:val="00617BA1"/>
    <w:rsid w:val="00620536"/>
    <w:rsid w:val="006209A6"/>
    <w:rsid w:val="00621446"/>
    <w:rsid w:val="00621BE2"/>
    <w:rsid w:val="00622034"/>
    <w:rsid w:val="0062285C"/>
    <w:rsid w:val="00622D7B"/>
    <w:rsid w:val="006248E9"/>
    <w:rsid w:val="00624F4F"/>
    <w:rsid w:val="00626B04"/>
    <w:rsid w:val="00627F4B"/>
    <w:rsid w:val="00630AEB"/>
    <w:rsid w:val="00630B17"/>
    <w:rsid w:val="00632B75"/>
    <w:rsid w:val="00633041"/>
    <w:rsid w:val="006334EE"/>
    <w:rsid w:val="0063352C"/>
    <w:rsid w:val="00633EE0"/>
    <w:rsid w:val="00634454"/>
    <w:rsid w:val="00634671"/>
    <w:rsid w:val="00634BFF"/>
    <w:rsid w:val="00634DA7"/>
    <w:rsid w:val="006363C1"/>
    <w:rsid w:val="006378DF"/>
    <w:rsid w:val="006431B4"/>
    <w:rsid w:val="0064492A"/>
    <w:rsid w:val="00645017"/>
    <w:rsid w:val="0064516F"/>
    <w:rsid w:val="00645BDC"/>
    <w:rsid w:val="0065210C"/>
    <w:rsid w:val="0065362D"/>
    <w:rsid w:val="00654E97"/>
    <w:rsid w:val="00656DA0"/>
    <w:rsid w:val="00657112"/>
    <w:rsid w:val="00657379"/>
    <w:rsid w:val="0066133E"/>
    <w:rsid w:val="00661EE9"/>
    <w:rsid w:val="0066235A"/>
    <w:rsid w:val="00662B16"/>
    <w:rsid w:val="00663C87"/>
    <w:rsid w:val="00663F54"/>
    <w:rsid w:val="006640EA"/>
    <w:rsid w:val="00664EC9"/>
    <w:rsid w:val="0066690F"/>
    <w:rsid w:val="006677DB"/>
    <w:rsid w:val="0066D722"/>
    <w:rsid w:val="006705DD"/>
    <w:rsid w:val="006709D8"/>
    <w:rsid w:val="00670B4C"/>
    <w:rsid w:val="00670CE5"/>
    <w:rsid w:val="00671A2C"/>
    <w:rsid w:val="00672B82"/>
    <w:rsid w:val="00672BFB"/>
    <w:rsid w:val="006732B8"/>
    <w:rsid w:val="00675421"/>
    <w:rsid w:val="0067603E"/>
    <w:rsid w:val="0067779B"/>
    <w:rsid w:val="00677A47"/>
    <w:rsid w:val="00681064"/>
    <w:rsid w:val="006822A4"/>
    <w:rsid w:val="00682C87"/>
    <w:rsid w:val="00684A3B"/>
    <w:rsid w:val="00684C34"/>
    <w:rsid w:val="00685034"/>
    <w:rsid w:val="006852C7"/>
    <w:rsid w:val="006854AE"/>
    <w:rsid w:val="006862DC"/>
    <w:rsid w:val="006866CB"/>
    <w:rsid w:val="00686A96"/>
    <w:rsid w:val="006879A2"/>
    <w:rsid w:val="006900AE"/>
    <w:rsid w:val="00690765"/>
    <w:rsid w:val="006908A6"/>
    <w:rsid w:val="00690E6C"/>
    <w:rsid w:val="006927E7"/>
    <w:rsid w:val="006927F7"/>
    <w:rsid w:val="00692820"/>
    <w:rsid w:val="006929D7"/>
    <w:rsid w:val="00692D99"/>
    <w:rsid w:val="00692E3D"/>
    <w:rsid w:val="006934B1"/>
    <w:rsid w:val="00694455"/>
    <w:rsid w:val="00695583"/>
    <w:rsid w:val="006974DB"/>
    <w:rsid w:val="006A0848"/>
    <w:rsid w:val="006A0C78"/>
    <w:rsid w:val="006A1F10"/>
    <w:rsid w:val="006A1FAB"/>
    <w:rsid w:val="006A2C3E"/>
    <w:rsid w:val="006A2DA1"/>
    <w:rsid w:val="006A3072"/>
    <w:rsid w:val="006A441F"/>
    <w:rsid w:val="006A444F"/>
    <w:rsid w:val="006A44EC"/>
    <w:rsid w:val="006A509B"/>
    <w:rsid w:val="006A54F9"/>
    <w:rsid w:val="006A5B4E"/>
    <w:rsid w:val="006A7022"/>
    <w:rsid w:val="006A7D9B"/>
    <w:rsid w:val="006B06CF"/>
    <w:rsid w:val="006B0D66"/>
    <w:rsid w:val="006B1EFB"/>
    <w:rsid w:val="006B34F2"/>
    <w:rsid w:val="006B376E"/>
    <w:rsid w:val="006B42B2"/>
    <w:rsid w:val="006B47E1"/>
    <w:rsid w:val="006B4AAE"/>
    <w:rsid w:val="006B4CE7"/>
    <w:rsid w:val="006B5652"/>
    <w:rsid w:val="006B6430"/>
    <w:rsid w:val="006B6748"/>
    <w:rsid w:val="006B6831"/>
    <w:rsid w:val="006B68FB"/>
    <w:rsid w:val="006B6FE1"/>
    <w:rsid w:val="006B7CE1"/>
    <w:rsid w:val="006C0EBF"/>
    <w:rsid w:val="006C241E"/>
    <w:rsid w:val="006C343E"/>
    <w:rsid w:val="006C388D"/>
    <w:rsid w:val="006C4D4D"/>
    <w:rsid w:val="006C568D"/>
    <w:rsid w:val="006C6C67"/>
    <w:rsid w:val="006C6D2A"/>
    <w:rsid w:val="006C7A73"/>
    <w:rsid w:val="006C7B78"/>
    <w:rsid w:val="006D0697"/>
    <w:rsid w:val="006D16F7"/>
    <w:rsid w:val="006D2D3C"/>
    <w:rsid w:val="006D2D85"/>
    <w:rsid w:val="006D2F45"/>
    <w:rsid w:val="006D2FF3"/>
    <w:rsid w:val="006D3870"/>
    <w:rsid w:val="006D3BF0"/>
    <w:rsid w:val="006D49AA"/>
    <w:rsid w:val="006D4C6F"/>
    <w:rsid w:val="006D4CEE"/>
    <w:rsid w:val="006D5E62"/>
    <w:rsid w:val="006D6344"/>
    <w:rsid w:val="006D6571"/>
    <w:rsid w:val="006D6934"/>
    <w:rsid w:val="006E03A4"/>
    <w:rsid w:val="006E0AAA"/>
    <w:rsid w:val="006E18B4"/>
    <w:rsid w:val="006E1DF9"/>
    <w:rsid w:val="006E26B7"/>
    <w:rsid w:val="006E2B23"/>
    <w:rsid w:val="006E2FFF"/>
    <w:rsid w:val="006E41DD"/>
    <w:rsid w:val="006E5F30"/>
    <w:rsid w:val="006E6EDD"/>
    <w:rsid w:val="006E7308"/>
    <w:rsid w:val="006E7EEF"/>
    <w:rsid w:val="006F097B"/>
    <w:rsid w:val="006F21D8"/>
    <w:rsid w:val="006F325E"/>
    <w:rsid w:val="006F39EF"/>
    <w:rsid w:val="006F4A2B"/>
    <w:rsid w:val="006F5B7A"/>
    <w:rsid w:val="006F5FB2"/>
    <w:rsid w:val="006F615E"/>
    <w:rsid w:val="006F6B0D"/>
    <w:rsid w:val="006F6B4A"/>
    <w:rsid w:val="006F6F89"/>
    <w:rsid w:val="006F7093"/>
    <w:rsid w:val="006F77CC"/>
    <w:rsid w:val="007017F0"/>
    <w:rsid w:val="00701B93"/>
    <w:rsid w:val="00703DFF"/>
    <w:rsid w:val="0070669C"/>
    <w:rsid w:val="00711075"/>
    <w:rsid w:val="0071140A"/>
    <w:rsid w:val="00712229"/>
    <w:rsid w:val="00712A2B"/>
    <w:rsid w:val="00714943"/>
    <w:rsid w:val="00715B05"/>
    <w:rsid w:val="00715C62"/>
    <w:rsid w:val="00716238"/>
    <w:rsid w:val="00720893"/>
    <w:rsid w:val="00722DC1"/>
    <w:rsid w:val="00723213"/>
    <w:rsid w:val="00726B93"/>
    <w:rsid w:val="00727BFD"/>
    <w:rsid w:val="00727D0D"/>
    <w:rsid w:val="007304BA"/>
    <w:rsid w:val="00730683"/>
    <w:rsid w:val="00730D9D"/>
    <w:rsid w:val="00731DDD"/>
    <w:rsid w:val="00733844"/>
    <w:rsid w:val="0073492C"/>
    <w:rsid w:val="00740529"/>
    <w:rsid w:val="00740A4E"/>
    <w:rsid w:val="007412C0"/>
    <w:rsid w:val="00741EAF"/>
    <w:rsid w:val="0074393A"/>
    <w:rsid w:val="0074437D"/>
    <w:rsid w:val="007449F9"/>
    <w:rsid w:val="00744BA3"/>
    <w:rsid w:val="007454DB"/>
    <w:rsid w:val="00745ACC"/>
    <w:rsid w:val="00746ED2"/>
    <w:rsid w:val="00746FB7"/>
    <w:rsid w:val="00746FCF"/>
    <w:rsid w:val="007473BA"/>
    <w:rsid w:val="00750410"/>
    <w:rsid w:val="00751C25"/>
    <w:rsid w:val="00752486"/>
    <w:rsid w:val="007526E0"/>
    <w:rsid w:val="007533C7"/>
    <w:rsid w:val="007538E3"/>
    <w:rsid w:val="007540AA"/>
    <w:rsid w:val="00754990"/>
    <w:rsid w:val="00754D28"/>
    <w:rsid w:val="00755199"/>
    <w:rsid w:val="0075529B"/>
    <w:rsid w:val="00755433"/>
    <w:rsid w:val="00755480"/>
    <w:rsid w:val="00757FA7"/>
    <w:rsid w:val="0076089C"/>
    <w:rsid w:val="007609ED"/>
    <w:rsid w:val="0076445A"/>
    <w:rsid w:val="007647AB"/>
    <w:rsid w:val="00766F60"/>
    <w:rsid w:val="007702CE"/>
    <w:rsid w:val="00771CF3"/>
    <w:rsid w:val="0077351F"/>
    <w:rsid w:val="00775FF4"/>
    <w:rsid w:val="00776B48"/>
    <w:rsid w:val="0077770D"/>
    <w:rsid w:val="00777EA3"/>
    <w:rsid w:val="00780553"/>
    <w:rsid w:val="00781DE0"/>
    <w:rsid w:val="00782D8F"/>
    <w:rsid w:val="00783A33"/>
    <w:rsid w:val="00787FEE"/>
    <w:rsid w:val="00791454"/>
    <w:rsid w:val="007915D5"/>
    <w:rsid w:val="0079191C"/>
    <w:rsid w:val="00791D18"/>
    <w:rsid w:val="007922B0"/>
    <w:rsid w:val="00792ECE"/>
    <w:rsid w:val="007937DF"/>
    <w:rsid w:val="00794460"/>
    <w:rsid w:val="00795038"/>
    <w:rsid w:val="0079661B"/>
    <w:rsid w:val="007977BB"/>
    <w:rsid w:val="00797D41"/>
    <w:rsid w:val="00797F06"/>
    <w:rsid w:val="007A05EB"/>
    <w:rsid w:val="007A13F2"/>
    <w:rsid w:val="007A3B17"/>
    <w:rsid w:val="007A5348"/>
    <w:rsid w:val="007A58E1"/>
    <w:rsid w:val="007A61C3"/>
    <w:rsid w:val="007A6DFE"/>
    <w:rsid w:val="007A7532"/>
    <w:rsid w:val="007A7D41"/>
    <w:rsid w:val="007B11D5"/>
    <w:rsid w:val="007B24EA"/>
    <w:rsid w:val="007B38E1"/>
    <w:rsid w:val="007B51B0"/>
    <w:rsid w:val="007B607A"/>
    <w:rsid w:val="007B646C"/>
    <w:rsid w:val="007B662D"/>
    <w:rsid w:val="007B6726"/>
    <w:rsid w:val="007B6D94"/>
    <w:rsid w:val="007B7362"/>
    <w:rsid w:val="007C15E1"/>
    <w:rsid w:val="007C181E"/>
    <w:rsid w:val="007C2D34"/>
    <w:rsid w:val="007C3F94"/>
    <w:rsid w:val="007C6049"/>
    <w:rsid w:val="007C669B"/>
    <w:rsid w:val="007C6CF2"/>
    <w:rsid w:val="007C72A1"/>
    <w:rsid w:val="007C7B47"/>
    <w:rsid w:val="007D1951"/>
    <w:rsid w:val="007D2B6D"/>
    <w:rsid w:val="007D2E05"/>
    <w:rsid w:val="007D7F3F"/>
    <w:rsid w:val="007E02E9"/>
    <w:rsid w:val="007E03B0"/>
    <w:rsid w:val="007E062E"/>
    <w:rsid w:val="007E1A36"/>
    <w:rsid w:val="007E1F77"/>
    <w:rsid w:val="007E2130"/>
    <w:rsid w:val="007E5CF0"/>
    <w:rsid w:val="007E7A43"/>
    <w:rsid w:val="007F10E7"/>
    <w:rsid w:val="007F1DB0"/>
    <w:rsid w:val="007F27D4"/>
    <w:rsid w:val="007F3432"/>
    <w:rsid w:val="007F344B"/>
    <w:rsid w:val="007F3900"/>
    <w:rsid w:val="007F3D88"/>
    <w:rsid w:val="007F6D00"/>
    <w:rsid w:val="007F75EC"/>
    <w:rsid w:val="0080160E"/>
    <w:rsid w:val="008016DD"/>
    <w:rsid w:val="0080291B"/>
    <w:rsid w:val="00803108"/>
    <w:rsid w:val="008044C5"/>
    <w:rsid w:val="00806F5B"/>
    <w:rsid w:val="008073B0"/>
    <w:rsid w:val="00807A83"/>
    <w:rsid w:val="00807FFE"/>
    <w:rsid w:val="008100F5"/>
    <w:rsid w:val="00810248"/>
    <w:rsid w:val="00811163"/>
    <w:rsid w:val="008121BD"/>
    <w:rsid w:val="008131D2"/>
    <w:rsid w:val="00813A5C"/>
    <w:rsid w:val="0081642C"/>
    <w:rsid w:val="00817332"/>
    <w:rsid w:val="0081751A"/>
    <w:rsid w:val="00817EA5"/>
    <w:rsid w:val="00820F51"/>
    <w:rsid w:val="00822E20"/>
    <w:rsid w:val="008263BF"/>
    <w:rsid w:val="00827459"/>
    <w:rsid w:val="0083085C"/>
    <w:rsid w:val="00830C62"/>
    <w:rsid w:val="00831D83"/>
    <w:rsid w:val="00832899"/>
    <w:rsid w:val="0083378E"/>
    <w:rsid w:val="008342CF"/>
    <w:rsid w:val="00834F6C"/>
    <w:rsid w:val="00840702"/>
    <w:rsid w:val="008415D1"/>
    <w:rsid w:val="00842759"/>
    <w:rsid w:val="00842C91"/>
    <w:rsid w:val="00843223"/>
    <w:rsid w:val="00844511"/>
    <w:rsid w:val="00844719"/>
    <w:rsid w:val="008455C5"/>
    <w:rsid w:val="00846766"/>
    <w:rsid w:val="008479E6"/>
    <w:rsid w:val="00850A44"/>
    <w:rsid w:val="00851361"/>
    <w:rsid w:val="00851362"/>
    <w:rsid w:val="00851588"/>
    <w:rsid w:val="008517B7"/>
    <w:rsid w:val="00851F2E"/>
    <w:rsid w:val="00852841"/>
    <w:rsid w:val="008558C7"/>
    <w:rsid w:val="00855C84"/>
    <w:rsid w:val="00856FF7"/>
    <w:rsid w:val="00860084"/>
    <w:rsid w:val="008603FE"/>
    <w:rsid w:val="008604C9"/>
    <w:rsid w:val="0086184C"/>
    <w:rsid w:val="00861ADB"/>
    <w:rsid w:val="00861CE0"/>
    <w:rsid w:val="00862458"/>
    <w:rsid w:val="00863372"/>
    <w:rsid w:val="008636BC"/>
    <w:rsid w:val="00864117"/>
    <w:rsid w:val="00864420"/>
    <w:rsid w:val="008646B4"/>
    <w:rsid w:val="00864CE4"/>
    <w:rsid w:val="00864E7A"/>
    <w:rsid w:val="00865F69"/>
    <w:rsid w:val="00873688"/>
    <w:rsid w:val="008749A2"/>
    <w:rsid w:val="0087670E"/>
    <w:rsid w:val="0087753B"/>
    <w:rsid w:val="00877783"/>
    <w:rsid w:val="00877DDB"/>
    <w:rsid w:val="00881EF0"/>
    <w:rsid w:val="00882263"/>
    <w:rsid w:val="00882EF3"/>
    <w:rsid w:val="008831ED"/>
    <w:rsid w:val="00883938"/>
    <w:rsid w:val="00883D5A"/>
    <w:rsid w:val="008864C4"/>
    <w:rsid w:val="008903C1"/>
    <w:rsid w:val="0089376D"/>
    <w:rsid w:val="00893EF6"/>
    <w:rsid w:val="00894043"/>
    <w:rsid w:val="008957BF"/>
    <w:rsid w:val="00895E58"/>
    <w:rsid w:val="0089764D"/>
    <w:rsid w:val="008A2DE7"/>
    <w:rsid w:val="008A432C"/>
    <w:rsid w:val="008A4BC0"/>
    <w:rsid w:val="008A5791"/>
    <w:rsid w:val="008A6199"/>
    <w:rsid w:val="008A6DBE"/>
    <w:rsid w:val="008A765C"/>
    <w:rsid w:val="008A7CCB"/>
    <w:rsid w:val="008B094C"/>
    <w:rsid w:val="008B0A7D"/>
    <w:rsid w:val="008B0EBB"/>
    <w:rsid w:val="008B26BB"/>
    <w:rsid w:val="008B34AC"/>
    <w:rsid w:val="008B40F1"/>
    <w:rsid w:val="008B5301"/>
    <w:rsid w:val="008B55DC"/>
    <w:rsid w:val="008B5A12"/>
    <w:rsid w:val="008B5C47"/>
    <w:rsid w:val="008B60A7"/>
    <w:rsid w:val="008B6C7B"/>
    <w:rsid w:val="008B7080"/>
    <w:rsid w:val="008C13D4"/>
    <w:rsid w:val="008C19B1"/>
    <w:rsid w:val="008C1A3C"/>
    <w:rsid w:val="008C2421"/>
    <w:rsid w:val="008C2D9A"/>
    <w:rsid w:val="008C2E6A"/>
    <w:rsid w:val="008C41B3"/>
    <w:rsid w:val="008C45EF"/>
    <w:rsid w:val="008C4B21"/>
    <w:rsid w:val="008C5342"/>
    <w:rsid w:val="008C6FBB"/>
    <w:rsid w:val="008C7482"/>
    <w:rsid w:val="008C7717"/>
    <w:rsid w:val="008C7747"/>
    <w:rsid w:val="008D234A"/>
    <w:rsid w:val="008D2A70"/>
    <w:rsid w:val="008D41AD"/>
    <w:rsid w:val="008D4C09"/>
    <w:rsid w:val="008D6725"/>
    <w:rsid w:val="008D6769"/>
    <w:rsid w:val="008D72F5"/>
    <w:rsid w:val="008D7DE0"/>
    <w:rsid w:val="008E0351"/>
    <w:rsid w:val="008E1B17"/>
    <w:rsid w:val="008E24C3"/>
    <w:rsid w:val="008E388A"/>
    <w:rsid w:val="008E3D34"/>
    <w:rsid w:val="008E5413"/>
    <w:rsid w:val="008E6076"/>
    <w:rsid w:val="008E6676"/>
    <w:rsid w:val="008E77B6"/>
    <w:rsid w:val="008F0E86"/>
    <w:rsid w:val="008F139E"/>
    <w:rsid w:val="008F19E4"/>
    <w:rsid w:val="008F1AC4"/>
    <w:rsid w:val="008F1C4A"/>
    <w:rsid w:val="008F45AC"/>
    <w:rsid w:val="008F4B18"/>
    <w:rsid w:val="008F6BEE"/>
    <w:rsid w:val="008F6CD5"/>
    <w:rsid w:val="008F75C2"/>
    <w:rsid w:val="00903B55"/>
    <w:rsid w:val="00904FF9"/>
    <w:rsid w:val="00907542"/>
    <w:rsid w:val="00911344"/>
    <w:rsid w:val="009114AD"/>
    <w:rsid w:val="009165E2"/>
    <w:rsid w:val="00917B1B"/>
    <w:rsid w:val="009226F7"/>
    <w:rsid w:val="009234E2"/>
    <w:rsid w:val="00923F09"/>
    <w:rsid w:val="009243B9"/>
    <w:rsid w:val="009269A7"/>
    <w:rsid w:val="00927547"/>
    <w:rsid w:val="00932A3A"/>
    <w:rsid w:val="00936B41"/>
    <w:rsid w:val="009373BD"/>
    <w:rsid w:val="00943917"/>
    <w:rsid w:val="00943FC8"/>
    <w:rsid w:val="009454BB"/>
    <w:rsid w:val="00945735"/>
    <w:rsid w:val="00946791"/>
    <w:rsid w:val="00947022"/>
    <w:rsid w:val="0095008F"/>
    <w:rsid w:val="00950CDA"/>
    <w:rsid w:val="00950DAE"/>
    <w:rsid w:val="009520B9"/>
    <w:rsid w:val="00952E07"/>
    <w:rsid w:val="009537C9"/>
    <w:rsid w:val="00953B30"/>
    <w:rsid w:val="009575C8"/>
    <w:rsid w:val="00957CE4"/>
    <w:rsid w:val="00957D64"/>
    <w:rsid w:val="009623F8"/>
    <w:rsid w:val="00962BF6"/>
    <w:rsid w:val="0096323D"/>
    <w:rsid w:val="0096334C"/>
    <w:rsid w:val="0096394B"/>
    <w:rsid w:val="009656FC"/>
    <w:rsid w:val="00965D4E"/>
    <w:rsid w:val="00966B2B"/>
    <w:rsid w:val="00966D5F"/>
    <w:rsid w:val="00966DBB"/>
    <w:rsid w:val="0097115A"/>
    <w:rsid w:val="00971586"/>
    <w:rsid w:val="00972D28"/>
    <w:rsid w:val="00972D76"/>
    <w:rsid w:val="00974AA5"/>
    <w:rsid w:val="00975401"/>
    <w:rsid w:val="00976024"/>
    <w:rsid w:val="009761F1"/>
    <w:rsid w:val="00976461"/>
    <w:rsid w:val="009768F3"/>
    <w:rsid w:val="00981B89"/>
    <w:rsid w:val="00981D13"/>
    <w:rsid w:val="00983D3B"/>
    <w:rsid w:val="0098443A"/>
    <w:rsid w:val="00984B20"/>
    <w:rsid w:val="00984F6B"/>
    <w:rsid w:val="009850F8"/>
    <w:rsid w:val="00985A14"/>
    <w:rsid w:val="0098644A"/>
    <w:rsid w:val="0098768F"/>
    <w:rsid w:val="00987A10"/>
    <w:rsid w:val="009900EF"/>
    <w:rsid w:val="009913A0"/>
    <w:rsid w:val="00992185"/>
    <w:rsid w:val="00992522"/>
    <w:rsid w:val="0099280D"/>
    <w:rsid w:val="009944E3"/>
    <w:rsid w:val="00994BA3"/>
    <w:rsid w:val="00996A9A"/>
    <w:rsid w:val="009A04AF"/>
    <w:rsid w:val="009A05B8"/>
    <w:rsid w:val="009A2184"/>
    <w:rsid w:val="009A503F"/>
    <w:rsid w:val="009A6369"/>
    <w:rsid w:val="009A6BB8"/>
    <w:rsid w:val="009A7841"/>
    <w:rsid w:val="009A7DB4"/>
    <w:rsid w:val="009B1021"/>
    <w:rsid w:val="009B16CF"/>
    <w:rsid w:val="009B2483"/>
    <w:rsid w:val="009B2503"/>
    <w:rsid w:val="009B2700"/>
    <w:rsid w:val="009B28D7"/>
    <w:rsid w:val="009B2DE4"/>
    <w:rsid w:val="009B36B9"/>
    <w:rsid w:val="009B451C"/>
    <w:rsid w:val="009B542B"/>
    <w:rsid w:val="009B5B10"/>
    <w:rsid w:val="009B7181"/>
    <w:rsid w:val="009B75C1"/>
    <w:rsid w:val="009C218B"/>
    <w:rsid w:val="009C266B"/>
    <w:rsid w:val="009C3EE5"/>
    <w:rsid w:val="009C453C"/>
    <w:rsid w:val="009C47DC"/>
    <w:rsid w:val="009C49CA"/>
    <w:rsid w:val="009C4DF4"/>
    <w:rsid w:val="009C6161"/>
    <w:rsid w:val="009D3874"/>
    <w:rsid w:val="009D43CF"/>
    <w:rsid w:val="009D4A34"/>
    <w:rsid w:val="009D5F8E"/>
    <w:rsid w:val="009D60F8"/>
    <w:rsid w:val="009D621C"/>
    <w:rsid w:val="009D6FB3"/>
    <w:rsid w:val="009D707B"/>
    <w:rsid w:val="009E1798"/>
    <w:rsid w:val="009E1FB3"/>
    <w:rsid w:val="009E3507"/>
    <w:rsid w:val="009E580E"/>
    <w:rsid w:val="009E688D"/>
    <w:rsid w:val="009E6D36"/>
    <w:rsid w:val="009E7582"/>
    <w:rsid w:val="009E7E88"/>
    <w:rsid w:val="009F111D"/>
    <w:rsid w:val="009F2688"/>
    <w:rsid w:val="009F301A"/>
    <w:rsid w:val="009F6585"/>
    <w:rsid w:val="009F7A45"/>
    <w:rsid w:val="00A00093"/>
    <w:rsid w:val="00A00A45"/>
    <w:rsid w:val="00A01C86"/>
    <w:rsid w:val="00A02EE9"/>
    <w:rsid w:val="00A047A6"/>
    <w:rsid w:val="00A04A21"/>
    <w:rsid w:val="00A06013"/>
    <w:rsid w:val="00A06B3F"/>
    <w:rsid w:val="00A06BBF"/>
    <w:rsid w:val="00A06D2B"/>
    <w:rsid w:val="00A075F2"/>
    <w:rsid w:val="00A10655"/>
    <w:rsid w:val="00A12569"/>
    <w:rsid w:val="00A12EFF"/>
    <w:rsid w:val="00A134C7"/>
    <w:rsid w:val="00A13772"/>
    <w:rsid w:val="00A13E9F"/>
    <w:rsid w:val="00A145C5"/>
    <w:rsid w:val="00A15F0C"/>
    <w:rsid w:val="00A16A63"/>
    <w:rsid w:val="00A175FD"/>
    <w:rsid w:val="00A17744"/>
    <w:rsid w:val="00A2059B"/>
    <w:rsid w:val="00A2089F"/>
    <w:rsid w:val="00A20CC1"/>
    <w:rsid w:val="00A21038"/>
    <w:rsid w:val="00A21046"/>
    <w:rsid w:val="00A2122A"/>
    <w:rsid w:val="00A214EC"/>
    <w:rsid w:val="00A21BBD"/>
    <w:rsid w:val="00A21BD4"/>
    <w:rsid w:val="00A21C45"/>
    <w:rsid w:val="00A23B74"/>
    <w:rsid w:val="00A24359"/>
    <w:rsid w:val="00A25167"/>
    <w:rsid w:val="00A25F7F"/>
    <w:rsid w:val="00A2635D"/>
    <w:rsid w:val="00A2706C"/>
    <w:rsid w:val="00A27E39"/>
    <w:rsid w:val="00A3060F"/>
    <w:rsid w:val="00A3066F"/>
    <w:rsid w:val="00A31ED8"/>
    <w:rsid w:val="00A34B68"/>
    <w:rsid w:val="00A35F26"/>
    <w:rsid w:val="00A420BB"/>
    <w:rsid w:val="00A42C6A"/>
    <w:rsid w:val="00A43845"/>
    <w:rsid w:val="00A43861"/>
    <w:rsid w:val="00A444F4"/>
    <w:rsid w:val="00A446A9"/>
    <w:rsid w:val="00A446BC"/>
    <w:rsid w:val="00A454A0"/>
    <w:rsid w:val="00A47288"/>
    <w:rsid w:val="00A515E2"/>
    <w:rsid w:val="00A51979"/>
    <w:rsid w:val="00A52674"/>
    <w:rsid w:val="00A5463E"/>
    <w:rsid w:val="00A54C60"/>
    <w:rsid w:val="00A54FB3"/>
    <w:rsid w:val="00A55C70"/>
    <w:rsid w:val="00A55D51"/>
    <w:rsid w:val="00A566F1"/>
    <w:rsid w:val="00A57EC8"/>
    <w:rsid w:val="00A61AFE"/>
    <w:rsid w:val="00A62CEF"/>
    <w:rsid w:val="00A642B4"/>
    <w:rsid w:val="00A642F1"/>
    <w:rsid w:val="00A64413"/>
    <w:rsid w:val="00A649FE"/>
    <w:rsid w:val="00A654B3"/>
    <w:rsid w:val="00A71EC2"/>
    <w:rsid w:val="00A73788"/>
    <w:rsid w:val="00A7502B"/>
    <w:rsid w:val="00A7643C"/>
    <w:rsid w:val="00A77B3E"/>
    <w:rsid w:val="00A8071B"/>
    <w:rsid w:val="00A80F56"/>
    <w:rsid w:val="00A8121F"/>
    <w:rsid w:val="00A82DA1"/>
    <w:rsid w:val="00A82FA8"/>
    <w:rsid w:val="00A83A52"/>
    <w:rsid w:val="00A85355"/>
    <w:rsid w:val="00A87589"/>
    <w:rsid w:val="00A87A92"/>
    <w:rsid w:val="00A87C13"/>
    <w:rsid w:val="00A87E33"/>
    <w:rsid w:val="00A9062F"/>
    <w:rsid w:val="00A90710"/>
    <w:rsid w:val="00A9244D"/>
    <w:rsid w:val="00A92F85"/>
    <w:rsid w:val="00A93250"/>
    <w:rsid w:val="00A94530"/>
    <w:rsid w:val="00A95679"/>
    <w:rsid w:val="00A958E7"/>
    <w:rsid w:val="00A95978"/>
    <w:rsid w:val="00A959BE"/>
    <w:rsid w:val="00A964CF"/>
    <w:rsid w:val="00A975E5"/>
    <w:rsid w:val="00AA0359"/>
    <w:rsid w:val="00AA31A8"/>
    <w:rsid w:val="00AA4702"/>
    <w:rsid w:val="00AA4C84"/>
    <w:rsid w:val="00AA6ABD"/>
    <w:rsid w:val="00AA6F97"/>
    <w:rsid w:val="00AB004D"/>
    <w:rsid w:val="00AB2AA0"/>
    <w:rsid w:val="00AB2DED"/>
    <w:rsid w:val="00AB4065"/>
    <w:rsid w:val="00AB4DDF"/>
    <w:rsid w:val="00AB4F02"/>
    <w:rsid w:val="00AB545C"/>
    <w:rsid w:val="00AB5666"/>
    <w:rsid w:val="00AB6C89"/>
    <w:rsid w:val="00AB6F9D"/>
    <w:rsid w:val="00AC023E"/>
    <w:rsid w:val="00AC0B32"/>
    <w:rsid w:val="00AC1D15"/>
    <w:rsid w:val="00AC2724"/>
    <w:rsid w:val="00AC2BDD"/>
    <w:rsid w:val="00AC3459"/>
    <w:rsid w:val="00AC4A2C"/>
    <w:rsid w:val="00AC6FEF"/>
    <w:rsid w:val="00AC717B"/>
    <w:rsid w:val="00AD117C"/>
    <w:rsid w:val="00AD13C9"/>
    <w:rsid w:val="00AD28FB"/>
    <w:rsid w:val="00AD3188"/>
    <w:rsid w:val="00AD3B31"/>
    <w:rsid w:val="00AD7682"/>
    <w:rsid w:val="00AE0801"/>
    <w:rsid w:val="00AE184A"/>
    <w:rsid w:val="00AE3C6B"/>
    <w:rsid w:val="00AE3E25"/>
    <w:rsid w:val="00AE7B7D"/>
    <w:rsid w:val="00AF00B4"/>
    <w:rsid w:val="00AF0CBC"/>
    <w:rsid w:val="00AF4FED"/>
    <w:rsid w:val="00B00DC4"/>
    <w:rsid w:val="00B0132E"/>
    <w:rsid w:val="00B032DB"/>
    <w:rsid w:val="00B03575"/>
    <w:rsid w:val="00B06EFF"/>
    <w:rsid w:val="00B07806"/>
    <w:rsid w:val="00B07D85"/>
    <w:rsid w:val="00B116FC"/>
    <w:rsid w:val="00B12889"/>
    <w:rsid w:val="00B1465B"/>
    <w:rsid w:val="00B16B3A"/>
    <w:rsid w:val="00B17635"/>
    <w:rsid w:val="00B20BBD"/>
    <w:rsid w:val="00B21463"/>
    <w:rsid w:val="00B231CF"/>
    <w:rsid w:val="00B23DCC"/>
    <w:rsid w:val="00B24746"/>
    <w:rsid w:val="00B24A68"/>
    <w:rsid w:val="00B25CFC"/>
    <w:rsid w:val="00B30826"/>
    <w:rsid w:val="00B30E0F"/>
    <w:rsid w:val="00B325EA"/>
    <w:rsid w:val="00B333B5"/>
    <w:rsid w:val="00B336B6"/>
    <w:rsid w:val="00B3468F"/>
    <w:rsid w:val="00B34731"/>
    <w:rsid w:val="00B348A4"/>
    <w:rsid w:val="00B35B8B"/>
    <w:rsid w:val="00B35FEA"/>
    <w:rsid w:val="00B408A9"/>
    <w:rsid w:val="00B425BA"/>
    <w:rsid w:val="00B42C1C"/>
    <w:rsid w:val="00B43FB8"/>
    <w:rsid w:val="00B4570A"/>
    <w:rsid w:val="00B45A78"/>
    <w:rsid w:val="00B45EE4"/>
    <w:rsid w:val="00B46510"/>
    <w:rsid w:val="00B46572"/>
    <w:rsid w:val="00B4697A"/>
    <w:rsid w:val="00B50315"/>
    <w:rsid w:val="00B50869"/>
    <w:rsid w:val="00B50EBF"/>
    <w:rsid w:val="00B51BB2"/>
    <w:rsid w:val="00B545B7"/>
    <w:rsid w:val="00B55CD3"/>
    <w:rsid w:val="00B55E1A"/>
    <w:rsid w:val="00B6009B"/>
    <w:rsid w:val="00B60C65"/>
    <w:rsid w:val="00B61650"/>
    <w:rsid w:val="00B6204E"/>
    <w:rsid w:val="00B63122"/>
    <w:rsid w:val="00B63B4C"/>
    <w:rsid w:val="00B65A7D"/>
    <w:rsid w:val="00B66906"/>
    <w:rsid w:val="00B714E1"/>
    <w:rsid w:val="00B71DF5"/>
    <w:rsid w:val="00B723D7"/>
    <w:rsid w:val="00B72470"/>
    <w:rsid w:val="00B7279D"/>
    <w:rsid w:val="00B73387"/>
    <w:rsid w:val="00B74BCB"/>
    <w:rsid w:val="00B74EEF"/>
    <w:rsid w:val="00B75164"/>
    <w:rsid w:val="00B755F2"/>
    <w:rsid w:val="00B75FDC"/>
    <w:rsid w:val="00B76D9E"/>
    <w:rsid w:val="00B81074"/>
    <w:rsid w:val="00B81CF0"/>
    <w:rsid w:val="00B81F21"/>
    <w:rsid w:val="00B82C36"/>
    <w:rsid w:val="00B82E0C"/>
    <w:rsid w:val="00B834F8"/>
    <w:rsid w:val="00B84880"/>
    <w:rsid w:val="00B84B51"/>
    <w:rsid w:val="00B84BB8"/>
    <w:rsid w:val="00B85B4E"/>
    <w:rsid w:val="00B86597"/>
    <w:rsid w:val="00B86FFC"/>
    <w:rsid w:val="00B8735D"/>
    <w:rsid w:val="00B87ABC"/>
    <w:rsid w:val="00B91340"/>
    <w:rsid w:val="00B91611"/>
    <w:rsid w:val="00B918E4"/>
    <w:rsid w:val="00B92F19"/>
    <w:rsid w:val="00B930E9"/>
    <w:rsid w:val="00B9456B"/>
    <w:rsid w:val="00B94E0C"/>
    <w:rsid w:val="00B95960"/>
    <w:rsid w:val="00B96459"/>
    <w:rsid w:val="00B970B8"/>
    <w:rsid w:val="00BA0F3A"/>
    <w:rsid w:val="00BA23ED"/>
    <w:rsid w:val="00BA33DF"/>
    <w:rsid w:val="00BA3B52"/>
    <w:rsid w:val="00BA44A0"/>
    <w:rsid w:val="00BA5919"/>
    <w:rsid w:val="00BA5EB1"/>
    <w:rsid w:val="00BA6663"/>
    <w:rsid w:val="00BA6726"/>
    <w:rsid w:val="00BA6D2B"/>
    <w:rsid w:val="00BB2A4D"/>
    <w:rsid w:val="00BB337E"/>
    <w:rsid w:val="00BB39EA"/>
    <w:rsid w:val="00BB494E"/>
    <w:rsid w:val="00BB5C7F"/>
    <w:rsid w:val="00BB6607"/>
    <w:rsid w:val="00BB756A"/>
    <w:rsid w:val="00BC0E8C"/>
    <w:rsid w:val="00BC0FF8"/>
    <w:rsid w:val="00BC19C5"/>
    <w:rsid w:val="00BC2AB5"/>
    <w:rsid w:val="00BC2BED"/>
    <w:rsid w:val="00BC2FCD"/>
    <w:rsid w:val="00BC38B0"/>
    <w:rsid w:val="00BC3EB4"/>
    <w:rsid w:val="00BC4BC8"/>
    <w:rsid w:val="00BC5A0F"/>
    <w:rsid w:val="00BC5F35"/>
    <w:rsid w:val="00BC6A60"/>
    <w:rsid w:val="00BC755A"/>
    <w:rsid w:val="00BD0290"/>
    <w:rsid w:val="00BD0B40"/>
    <w:rsid w:val="00BD18E5"/>
    <w:rsid w:val="00BD2262"/>
    <w:rsid w:val="00BD2647"/>
    <w:rsid w:val="00BD2DAE"/>
    <w:rsid w:val="00BD5FD5"/>
    <w:rsid w:val="00BD66E1"/>
    <w:rsid w:val="00BE21EB"/>
    <w:rsid w:val="00BE3E6C"/>
    <w:rsid w:val="00BE439B"/>
    <w:rsid w:val="00BE4720"/>
    <w:rsid w:val="00BE4A62"/>
    <w:rsid w:val="00BE5524"/>
    <w:rsid w:val="00BE5E1B"/>
    <w:rsid w:val="00BE6C28"/>
    <w:rsid w:val="00BE7DEE"/>
    <w:rsid w:val="00BF089A"/>
    <w:rsid w:val="00BF139E"/>
    <w:rsid w:val="00BF1C31"/>
    <w:rsid w:val="00BF2400"/>
    <w:rsid w:val="00BF2B92"/>
    <w:rsid w:val="00BF3296"/>
    <w:rsid w:val="00C00551"/>
    <w:rsid w:val="00C010A8"/>
    <w:rsid w:val="00C0160C"/>
    <w:rsid w:val="00C02EB3"/>
    <w:rsid w:val="00C03086"/>
    <w:rsid w:val="00C03F15"/>
    <w:rsid w:val="00C05F03"/>
    <w:rsid w:val="00C06C19"/>
    <w:rsid w:val="00C10462"/>
    <w:rsid w:val="00C117BB"/>
    <w:rsid w:val="00C1205F"/>
    <w:rsid w:val="00C1267D"/>
    <w:rsid w:val="00C138B3"/>
    <w:rsid w:val="00C14E0B"/>
    <w:rsid w:val="00C15675"/>
    <w:rsid w:val="00C16563"/>
    <w:rsid w:val="00C1731C"/>
    <w:rsid w:val="00C1768D"/>
    <w:rsid w:val="00C17DD4"/>
    <w:rsid w:val="00C201AF"/>
    <w:rsid w:val="00C20239"/>
    <w:rsid w:val="00C22283"/>
    <w:rsid w:val="00C2397E"/>
    <w:rsid w:val="00C2545D"/>
    <w:rsid w:val="00C25E25"/>
    <w:rsid w:val="00C26466"/>
    <w:rsid w:val="00C26492"/>
    <w:rsid w:val="00C26999"/>
    <w:rsid w:val="00C27362"/>
    <w:rsid w:val="00C3254C"/>
    <w:rsid w:val="00C33143"/>
    <w:rsid w:val="00C333E2"/>
    <w:rsid w:val="00C3420B"/>
    <w:rsid w:val="00C35768"/>
    <w:rsid w:val="00C35B8B"/>
    <w:rsid w:val="00C41F25"/>
    <w:rsid w:val="00C43010"/>
    <w:rsid w:val="00C44450"/>
    <w:rsid w:val="00C455D6"/>
    <w:rsid w:val="00C465E9"/>
    <w:rsid w:val="00C46CAA"/>
    <w:rsid w:val="00C500FA"/>
    <w:rsid w:val="00C50AA2"/>
    <w:rsid w:val="00C51020"/>
    <w:rsid w:val="00C519EF"/>
    <w:rsid w:val="00C5372D"/>
    <w:rsid w:val="00C54BAC"/>
    <w:rsid w:val="00C55126"/>
    <w:rsid w:val="00C5551C"/>
    <w:rsid w:val="00C55B11"/>
    <w:rsid w:val="00C56697"/>
    <w:rsid w:val="00C56EC8"/>
    <w:rsid w:val="00C56ECC"/>
    <w:rsid w:val="00C57A80"/>
    <w:rsid w:val="00C60F60"/>
    <w:rsid w:val="00C61120"/>
    <w:rsid w:val="00C61F02"/>
    <w:rsid w:val="00C64883"/>
    <w:rsid w:val="00C64983"/>
    <w:rsid w:val="00C64A0B"/>
    <w:rsid w:val="00C65D25"/>
    <w:rsid w:val="00C66DF2"/>
    <w:rsid w:val="00C679D2"/>
    <w:rsid w:val="00C67B3D"/>
    <w:rsid w:val="00C72743"/>
    <w:rsid w:val="00C72FDE"/>
    <w:rsid w:val="00C73228"/>
    <w:rsid w:val="00C73435"/>
    <w:rsid w:val="00C740F5"/>
    <w:rsid w:val="00C742CF"/>
    <w:rsid w:val="00C74D19"/>
    <w:rsid w:val="00C7529E"/>
    <w:rsid w:val="00C7550F"/>
    <w:rsid w:val="00C757F5"/>
    <w:rsid w:val="00C75B63"/>
    <w:rsid w:val="00C7627F"/>
    <w:rsid w:val="00C76552"/>
    <w:rsid w:val="00C7733D"/>
    <w:rsid w:val="00C802FD"/>
    <w:rsid w:val="00C80356"/>
    <w:rsid w:val="00C8049B"/>
    <w:rsid w:val="00C8050C"/>
    <w:rsid w:val="00C815ED"/>
    <w:rsid w:val="00C82E7E"/>
    <w:rsid w:val="00C834E0"/>
    <w:rsid w:val="00C84BCB"/>
    <w:rsid w:val="00C85843"/>
    <w:rsid w:val="00C85AC1"/>
    <w:rsid w:val="00C85AE6"/>
    <w:rsid w:val="00C86F85"/>
    <w:rsid w:val="00C90229"/>
    <w:rsid w:val="00C9074B"/>
    <w:rsid w:val="00C908B9"/>
    <w:rsid w:val="00C914E1"/>
    <w:rsid w:val="00C91EC2"/>
    <w:rsid w:val="00C9259F"/>
    <w:rsid w:val="00C9276D"/>
    <w:rsid w:val="00C93261"/>
    <w:rsid w:val="00C967C2"/>
    <w:rsid w:val="00C96E76"/>
    <w:rsid w:val="00CA06A0"/>
    <w:rsid w:val="00CA098F"/>
    <w:rsid w:val="00CA0B0C"/>
    <w:rsid w:val="00CA0C07"/>
    <w:rsid w:val="00CA5857"/>
    <w:rsid w:val="00CB0563"/>
    <w:rsid w:val="00CB080E"/>
    <w:rsid w:val="00CB12FD"/>
    <w:rsid w:val="00CB15BC"/>
    <w:rsid w:val="00CB1ABE"/>
    <w:rsid w:val="00CB1CD8"/>
    <w:rsid w:val="00CB24F6"/>
    <w:rsid w:val="00CB555E"/>
    <w:rsid w:val="00CC1E4B"/>
    <w:rsid w:val="00CC2275"/>
    <w:rsid w:val="00CC3267"/>
    <w:rsid w:val="00CC3645"/>
    <w:rsid w:val="00CC655E"/>
    <w:rsid w:val="00CC7625"/>
    <w:rsid w:val="00CD0295"/>
    <w:rsid w:val="00CD042A"/>
    <w:rsid w:val="00CD1B1B"/>
    <w:rsid w:val="00CD1C59"/>
    <w:rsid w:val="00CD31B7"/>
    <w:rsid w:val="00CD585E"/>
    <w:rsid w:val="00CD67F7"/>
    <w:rsid w:val="00CD6D15"/>
    <w:rsid w:val="00CD6F2F"/>
    <w:rsid w:val="00CD748F"/>
    <w:rsid w:val="00CE019D"/>
    <w:rsid w:val="00CE1E95"/>
    <w:rsid w:val="00CE2CFC"/>
    <w:rsid w:val="00CE304D"/>
    <w:rsid w:val="00CE32A8"/>
    <w:rsid w:val="00CE6656"/>
    <w:rsid w:val="00CE6AA9"/>
    <w:rsid w:val="00CE6C1E"/>
    <w:rsid w:val="00CE72FB"/>
    <w:rsid w:val="00CF0C18"/>
    <w:rsid w:val="00CF1328"/>
    <w:rsid w:val="00CF1E3D"/>
    <w:rsid w:val="00CF2D96"/>
    <w:rsid w:val="00CF3A83"/>
    <w:rsid w:val="00CF4E6B"/>
    <w:rsid w:val="00CF6B4B"/>
    <w:rsid w:val="00CF6D1E"/>
    <w:rsid w:val="00CF710E"/>
    <w:rsid w:val="00CF7BD9"/>
    <w:rsid w:val="00D0147F"/>
    <w:rsid w:val="00D020F9"/>
    <w:rsid w:val="00D02FCC"/>
    <w:rsid w:val="00D036EF"/>
    <w:rsid w:val="00D04182"/>
    <w:rsid w:val="00D0482A"/>
    <w:rsid w:val="00D05694"/>
    <w:rsid w:val="00D070DF"/>
    <w:rsid w:val="00D07134"/>
    <w:rsid w:val="00D0756A"/>
    <w:rsid w:val="00D07CAD"/>
    <w:rsid w:val="00D12634"/>
    <w:rsid w:val="00D12662"/>
    <w:rsid w:val="00D17300"/>
    <w:rsid w:val="00D17D51"/>
    <w:rsid w:val="00D21E39"/>
    <w:rsid w:val="00D226AE"/>
    <w:rsid w:val="00D23F28"/>
    <w:rsid w:val="00D266AB"/>
    <w:rsid w:val="00D26B76"/>
    <w:rsid w:val="00D271C3"/>
    <w:rsid w:val="00D30506"/>
    <w:rsid w:val="00D3298B"/>
    <w:rsid w:val="00D32EE9"/>
    <w:rsid w:val="00D33A5E"/>
    <w:rsid w:val="00D355BC"/>
    <w:rsid w:val="00D36EFF"/>
    <w:rsid w:val="00D40161"/>
    <w:rsid w:val="00D411FC"/>
    <w:rsid w:val="00D4207B"/>
    <w:rsid w:val="00D425DD"/>
    <w:rsid w:val="00D42BE3"/>
    <w:rsid w:val="00D431AB"/>
    <w:rsid w:val="00D44BC7"/>
    <w:rsid w:val="00D45513"/>
    <w:rsid w:val="00D45AB5"/>
    <w:rsid w:val="00D45AE0"/>
    <w:rsid w:val="00D45CB8"/>
    <w:rsid w:val="00D47E6E"/>
    <w:rsid w:val="00D5161B"/>
    <w:rsid w:val="00D54229"/>
    <w:rsid w:val="00D549C4"/>
    <w:rsid w:val="00D54E80"/>
    <w:rsid w:val="00D55B4B"/>
    <w:rsid w:val="00D56303"/>
    <w:rsid w:val="00D56604"/>
    <w:rsid w:val="00D5762F"/>
    <w:rsid w:val="00D602AA"/>
    <w:rsid w:val="00D60B4A"/>
    <w:rsid w:val="00D6106A"/>
    <w:rsid w:val="00D62FE3"/>
    <w:rsid w:val="00D64614"/>
    <w:rsid w:val="00D64C32"/>
    <w:rsid w:val="00D6547D"/>
    <w:rsid w:val="00D66002"/>
    <w:rsid w:val="00D706D4"/>
    <w:rsid w:val="00D712A0"/>
    <w:rsid w:val="00D72CB1"/>
    <w:rsid w:val="00D738EB"/>
    <w:rsid w:val="00D75C4C"/>
    <w:rsid w:val="00D80700"/>
    <w:rsid w:val="00D8139B"/>
    <w:rsid w:val="00D820BA"/>
    <w:rsid w:val="00D8330C"/>
    <w:rsid w:val="00D837BA"/>
    <w:rsid w:val="00D838EE"/>
    <w:rsid w:val="00D85094"/>
    <w:rsid w:val="00D854E9"/>
    <w:rsid w:val="00D866C7"/>
    <w:rsid w:val="00D8730D"/>
    <w:rsid w:val="00D87FF1"/>
    <w:rsid w:val="00D90253"/>
    <w:rsid w:val="00D9141D"/>
    <w:rsid w:val="00D9177D"/>
    <w:rsid w:val="00D91AD4"/>
    <w:rsid w:val="00D922E2"/>
    <w:rsid w:val="00D92F6C"/>
    <w:rsid w:val="00D93E91"/>
    <w:rsid w:val="00D945EA"/>
    <w:rsid w:val="00D9476E"/>
    <w:rsid w:val="00D96156"/>
    <w:rsid w:val="00D96949"/>
    <w:rsid w:val="00DA092A"/>
    <w:rsid w:val="00DA1558"/>
    <w:rsid w:val="00DA1A85"/>
    <w:rsid w:val="00DA1F5F"/>
    <w:rsid w:val="00DA34D9"/>
    <w:rsid w:val="00DA3529"/>
    <w:rsid w:val="00DA37C0"/>
    <w:rsid w:val="00DA3D42"/>
    <w:rsid w:val="00DA419E"/>
    <w:rsid w:val="00DA4A45"/>
    <w:rsid w:val="00DA505B"/>
    <w:rsid w:val="00DA5B90"/>
    <w:rsid w:val="00DA5D90"/>
    <w:rsid w:val="00DA76FE"/>
    <w:rsid w:val="00DA7721"/>
    <w:rsid w:val="00DA7749"/>
    <w:rsid w:val="00DA7C04"/>
    <w:rsid w:val="00DB070C"/>
    <w:rsid w:val="00DB30AC"/>
    <w:rsid w:val="00DB482E"/>
    <w:rsid w:val="00DB54AE"/>
    <w:rsid w:val="00DB7523"/>
    <w:rsid w:val="00DB76A2"/>
    <w:rsid w:val="00DB77E2"/>
    <w:rsid w:val="00DB78ED"/>
    <w:rsid w:val="00DB7C34"/>
    <w:rsid w:val="00DC286A"/>
    <w:rsid w:val="00DC59B8"/>
    <w:rsid w:val="00DC6327"/>
    <w:rsid w:val="00DC7364"/>
    <w:rsid w:val="00DD101E"/>
    <w:rsid w:val="00DD17E4"/>
    <w:rsid w:val="00DD22D0"/>
    <w:rsid w:val="00DD2AA2"/>
    <w:rsid w:val="00DD2AB7"/>
    <w:rsid w:val="00DD4089"/>
    <w:rsid w:val="00DD5531"/>
    <w:rsid w:val="00DE01A2"/>
    <w:rsid w:val="00DE11D3"/>
    <w:rsid w:val="00DE1934"/>
    <w:rsid w:val="00DE1A1F"/>
    <w:rsid w:val="00DE2176"/>
    <w:rsid w:val="00DE2729"/>
    <w:rsid w:val="00DE28BC"/>
    <w:rsid w:val="00DE2D86"/>
    <w:rsid w:val="00DE4271"/>
    <w:rsid w:val="00DE44AC"/>
    <w:rsid w:val="00DE5F03"/>
    <w:rsid w:val="00DF0E28"/>
    <w:rsid w:val="00DF0F52"/>
    <w:rsid w:val="00DF386E"/>
    <w:rsid w:val="00DF421F"/>
    <w:rsid w:val="00DF45B0"/>
    <w:rsid w:val="00DF6C60"/>
    <w:rsid w:val="00DF7DC1"/>
    <w:rsid w:val="00E00413"/>
    <w:rsid w:val="00E0361D"/>
    <w:rsid w:val="00E036C9"/>
    <w:rsid w:val="00E03F55"/>
    <w:rsid w:val="00E10F08"/>
    <w:rsid w:val="00E11FDD"/>
    <w:rsid w:val="00E12630"/>
    <w:rsid w:val="00E168CF"/>
    <w:rsid w:val="00E20707"/>
    <w:rsid w:val="00E2155F"/>
    <w:rsid w:val="00E21D7D"/>
    <w:rsid w:val="00E22612"/>
    <w:rsid w:val="00E2263E"/>
    <w:rsid w:val="00E237A8"/>
    <w:rsid w:val="00E23894"/>
    <w:rsid w:val="00E23F66"/>
    <w:rsid w:val="00E23FF2"/>
    <w:rsid w:val="00E24889"/>
    <w:rsid w:val="00E25E65"/>
    <w:rsid w:val="00E261A7"/>
    <w:rsid w:val="00E26220"/>
    <w:rsid w:val="00E266FE"/>
    <w:rsid w:val="00E27937"/>
    <w:rsid w:val="00E31046"/>
    <w:rsid w:val="00E31B3D"/>
    <w:rsid w:val="00E328D3"/>
    <w:rsid w:val="00E33112"/>
    <w:rsid w:val="00E33523"/>
    <w:rsid w:val="00E3387F"/>
    <w:rsid w:val="00E34248"/>
    <w:rsid w:val="00E3597E"/>
    <w:rsid w:val="00E35F63"/>
    <w:rsid w:val="00E364E6"/>
    <w:rsid w:val="00E36B52"/>
    <w:rsid w:val="00E370C1"/>
    <w:rsid w:val="00E37836"/>
    <w:rsid w:val="00E37978"/>
    <w:rsid w:val="00E379A5"/>
    <w:rsid w:val="00E40961"/>
    <w:rsid w:val="00E43F31"/>
    <w:rsid w:val="00E452E9"/>
    <w:rsid w:val="00E45D6F"/>
    <w:rsid w:val="00E46D5D"/>
    <w:rsid w:val="00E479EE"/>
    <w:rsid w:val="00E51842"/>
    <w:rsid w:val="00E555E4"/>
    <w:rsid w:val="00E55C5C"/>
    <w:rsid w:val="00E55D30"/>
    <w:rsid w:val="00E56D6B"/>
    <w:rsid w:val="00E5746E"/>
    <w:rsid w:val="00E57884"/>
    <w:rsid w:val="00E579E7"/>
    <w:rsid w:val="00E605C2"/>
    <w:rsid w:val="00E60EE8"/>
    <w:rsid w:val="00E61EE9"/>
    <w:rsid w:val="00E624D4"/>
    <w:rsid w:val="00E64547"/>
    <w:rsid w:val="00E6566B"/>
    <w:rsid w:val="00E65BCF"/>
    <w:rsid w:val="00E66863"/>
    <w:rsid w:val="00E675D2"/>
    <w:rsid w:val="00E711F6"/>
    <w:rsid w:val="00E74221"/>
    <w:rsid w:val="00E7481F"/>
    <w:rsid w:val="00E750B5"/>
    <w:rsid w:val="00E77F0C"/>
    <w:rsid w:val="00E813C1"/>
    <w:rsid w:val="00E821E5"/>
    <w:rsid w:val="00E83835"/>
    <w:rsid w:val="00E8621F"/>
    <w:rsid w:val="00E86246"/>
    <w:rsid w:val="00E877C4"/>
    <w:rsid w:val="00E90814"/>
    <w:rsid w:val="00E9094D"/>
    <w:rsid w:val="00E91563"/>
    <w:rsid w:val="00E93207"/>
    <w:rsid w:val="00E94FE9"/>
    <w:rsid w:val="00E9540B"/>
    <w:rsid w:val="00E968CE"/>
    <w:rsid w:val="00E970E7"/>
    <w:rsid w:val="00E975D8"/>
    <w:rsid w:val="00E979BF"/>
    <w:rsid w:val="00E97A5A"/>
    <w:rsid w:val="00E97ED7"/>
    <w:rsid w:val="00EA055F"/>
    <w:rsid w:val="00EA06E1"/>
    <w:rsid w:val="00EA0A7B"/>
    <w:rsid w:val="00EA1D26"/>
    <w:rsid w:val="00EA1F44"/>
    <w:rsid w:val="00EA3302"/>
    <w:rsid w:val="00EA3C9D"/>
    <w:rsid w:val="00EA43A6"/>
    <w:rsid w:val="00EA4736"/>
    <w:rsid w:val="00EA4854"/>
    <w:rsid w:val="00EA67AF"/>
    <w:rsid w:val="00EA6A3C"/>
    <w:rsid w:val="00EB06E0"/>
    <w:rsid w:val="00EB2463"/>
    <w:rsid w:val="00EB3448"/>
    <w:rsid w:val="00EB493A"/>
    <w:rsid w:val="00EB67FE"/>
    <w:rsid w:val="00EB6E16"/>
    <w:rsid w:val="00EB7C3C"/>
    <w:rsid w:val="00EC0115"/>
    <w:rsid w:val="00EC0520"/>
    <w:rsid w:val="00EC0628"/>
    <w:rsid w:val="00EC1660"/>
    <w:rsid w:val="00EC219D"/>
    <w:rsid w:val="00EC2DBC"/>
    <w:rsid w:val="00EC36D2"/>
    <w:rsid w:val="00EC4A72"/>
    <w:rsid w:val="00EC4DC2"/>
    <w:rsid w:val="00EC50ED"/>
    <w:rsid w:val="00EC600E"/>
    <w:rsid w:val="00ED0557"/>
    <w:rsid w:val="00ED146E"/>
    <w:rsid w:val="00ED263D"/>
    <w:rsid w:val="00ED48D2"/>
    <w:rsid w:val="00ED585C"/>
    <w:rsid w:val="00ED5971"/>
    <w:rsid w:val="00ED6C8C"/>
    <w:rsid w:val="00EE1E08"/>
    <w:rsid w:val="00EE3F0B"/>
    <w:rsid w:val="00EE3F75"/>
    <w:rsid w:val="00EE5A5A"/>
    <w:rsid w:val="00EE5E17"/>
    <w:rsid w:val="00EE7381"/>
    <w:rsid w:val="00EE769F"/>
    <w:rsid w:val="00EF02DA"/>
    <w:rsid w:val="00EF0A38"/>
    <w:rsid w:val="00EF1A8B"/>
    <w:rsid w:val="00EF1CFA"/>
    <w:rsid w:val="00EF2A5B"/>
    <w:rsid w:val="00EF4512"/>
    <w:rsid w:val="00F00013"/>
    <w:rsid w:val="00F00324"/>
    <w:rsid w:val="00F022C6"/>
    <w:rsid w:val="00F04F99"/>
    <w:rsid w:val="00F05142"/>
    <w:rsid w:val="00F0595A"/>
    <w:rsid w:val="00F05BC9"/>
    <w:rsid w:val="00F05C22"/>
    <w:rsid w:val="00F10A73"/>
    <w:rsid w:val="00F13B9D"/>
    <w:rsid w:val="00F14BEE"/>
    <w:rsid w:val="00F1546F"/>
    <w:rsid w:val="00F17D5F"/>
    <w:rsid w:val="00F207CF"/>
    <w:rsid w:val="00F21CAD"/>
    <w:rsid w:val="00F21F38"/>
    <w:rsid w:val="00F231AD"/>
    <w:rsid w:val="00F2364C"/>
    <w:rsid w:val="00F23C14"/>
    <w:rsid w:val="00F23EA6"/>
    <w:rsid w:val="00F24AF3"/>
    <w:rsid w:val="00F24D8D"/>
    <w:rsid w:val="00F24FE4"/>
    <w:rsid w:val="00F256E6"/>
    <w:rsid w:val="00F2604E"/>
    <w:rsid w:val="00F26059"/>
    <w:rsid w:val="00F27E40"/>
    <w:rsid w:val="00F32161"/>
    <w:rsid w:val="00F3239B"/>
    <w:rsid w:val="00F3460F"/>
    <w:rsid w:val="00F3531D"/>
    <w:rsid w:val="00F3538E"/>
    <w:rsid w:val="00F3541B"/>
    <w:rsid w:val="00F35B70"/>
    <w:rsid w:val="00F35F43"/>
    <w:rsid w:val="00F369DF"/>
    <w:rsid w:val="00F36B36"/>
    <w:rsid w:val="00F36CF4"/>
    <w:rsid w:val="00F374B3"/>
    <w:rsid w:val="00F375E0"/>
    <w:rsid w:val="00F404F5"/>
    <w:rsid w:val="00F40626"/>
    <w:rsid w:val="00F41C08"/>
    <w:rsid w:val="00F4231A"/>
    <w:rsid w:val="00F425BF"/>
    <w:rsid w:val="00F42762"/>
    <w:rsid w:val="00F443A8"/>
    <w:rsid w:val="00F447E2"/>
    <w:rsid w:val="00F463CE"/>
    <w:rsid w:val="00F46438"/>
    <w:rsid w:val="00F47815"/>
    <w:rsid w:val="00F47CA4"/>
    <w:rsid w:val="00F502D0"/>
    <w:rsid w:val="00F50788"/>
    <w:rsid w:val="00F50FD4"/>
    <w:rsid w:val="00F51162"/>
    <w:rsid w:val="00F51319"/>
    <w:rsid w:val="00F52BB5"/>
    <w:rsid w:val="00F5331A"/>
    <w:rsid w:val="00F53D3B"/>
    <w:rsid w:val="00F54BED"/>
    <w:rsid w:val="00F560C2"/>
    <w:rsid w:val="00F566E1"/>
    <w:rsid w:val="00F60ECA"/>
    <w:rsid w:val="00F60F31"/>
    <w:rsid w:val="00F63F31"/>
    <w:rsid w:val="00F64584"/>
    <w:rsid w:val="00F65C8B"/>
    <w:rsid w:val="00F671F2"/>
    <w:rsid w:val="00F7059F"/>
    <w:rsid w:val="00F70D7F"/>
    <w:rsid w:val="00F70EBD"/>
    <w:rsid w:val="00F737D0"/>
    <w:rsid w:val="00F73FC4"/>
    <w:rsid w:val="00F75307"/>
    <w:rsid w:val="00F7696F"/>
    <w:rsid w:val="00F76C65"/>
    <w:rsid w:val="00F77699"/>
    <w:rsid w:val="00F8162C"/>
    <w:rsid w:val="00F819BC"/>
    <w:rsid w:val="00F82533"/>
    <w:rsid w:val="00F833B3"/>
    <w:rsid w:val="00F8457E"/>
    <w:rsid w:val="00F853A6"/>
    <w:rsid w:val="00F8581E"/>
    <w:rsid w:val="00F91BF8"/>
    <w:rsid w:val="00F926E6"/>
    <w:rsid w:val="00F92F62"/>
    <w:rsid w:val="00F9343C"/>
    <w:rsid w:val="00F94362"/>
    <w:rsid w:val="00F948E3"/>
    <w:rsid w:val="00F95E05"/>
    <w:rsid w:val="00F964CD"/>
    <w:rsid w:val="00F9658A"/>
    <w:rsid w:val="00FA09F5"/>
    <w:rsid w:val="00FA0FFD"/>
    <w:rsid w:val="00FA1EC5"/>
    <w:rsid w:val="00FA37FA"/>
    <w:rsid w:val="00FA483B"/>
    <w:rsid w:val="00FA63DF"/>
    <w:rsid w:val="00FA680C"/>
    <w:rsid w:val="00FA6E2D"/>
    <w:rsid w:val="00FA7118"/>
    <w:rsid w:val="00FA7523"/>
    <w:rsid w:val="00FB5DD6"/>
    <w:rsid w:val="00FB6146"/>
    <w:rsid w:val="00FB6B17"/>
    <w:rsid w:val="00FB7DF5"/>
    <w:rsid w:val="00FC0A5E"/>
    <w:rsid w:val="00FC3DF6"/>
    <w:rsid w:val="00FC43F8"/>
    <w:rsid w:val="00FC4404"/>
    <w:rsid w:val="00FC44E2"/>
    <w:rsid w:val="00FC50EA"/>
    <w:rsid w:val="00FC6734"/>
    <w:rsid w:val="00FC77AF"/>
    <w:rsid w:val="00FD0957"/>
    <w:rsid w:val="00FD358D"/>
    <w:rsid w:val="00FD56B3"/>
    <w:rsid w:val="00FD681B"/>
    <w:rsid w:val="00FD683F"/>
    <w:rsid w:val="00FD6C63"/>
    <w:rsid w:val="00FD7D4D"/>
    <w:rsid w:val="00FE21F0"/>
    <w:rsid w:val="00FE3ADE"/>
    <w:rsid w:val="00FE4023"/>
    <w:rsid w:val="00FE47F4"/>
    <w:rsid w:val="00FE4D50"/>
    <w:rsid w:val="00FE545E"/>
    <w:rsid w:val="00FE700F"/>
    <w:rsid w:val="00FE714E"/>
    <w:rsid w:val="00FF0A71"/>
    <w:rsid w:val="00FF0D56"/>
    <w:rsid w:val="00FF62DC"/>
    <w:rsid w:val="00FF7D10"/>
    <w:rsid w:val="0B68F9D7"/>
    <w:rsid w:val="14159C98"/>
    <w:rsid w:val="16111BF3"/>
    <w:rsid w:val="1D0DAAEE"/>
    <w:rsid w:val="1E54D12D"/>
    <w:rsid w:val="2597D00C"/>
    <w:rsid w:val="2C17ACE4"/>
    <w:rsid w:val="2D93B946"/>
    <w:rsid w:val="3E552C6C"/>
    <w:rsid w:val="406302EC"/>
    <w:rsid w:val="43ACDBF7"/>
    <w:rsid w:val="4748F1DE"/>
    <w:rsid w:val="4B0FC595"/>
    <w:rsid w:val="512C48DE"/>
    <w:rsid w:val="5D9144B9"/>
    <w:rsid w:val="686B27D5"/>
    <w:rsid w:val="689B4729"/>
    <w:rsid w:val="69B6CCE8"/>
    <w:rsid w:val="6C204149"/>
    <w:rsid w:val="6E6244D7"/>
    <w:rsid w:val="75A20F58"/>
    <w:rsid w:val="75D41E74"/>
    <w:rsid w:val="777FBFAD"/>
    <w:rsid w:val="7FD30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912497"/>
  <w15:docId w15:val="{798EEB17-AD66-4007-93F6-45B0B452E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43C"/>
    <w:rPr>
      <w:rFonts w:ascii="Times New Roman" w:hAnsi="Times New Roman"/>
      <w:sz w:val="24"/>
      <w:szCs w:val="24"/>
    </w:rPr>
  </w:style>
  <w:style w:type="paragraph" w:styleId="Heading1">
    <w:name w:val="heading 1"/>
    <w:basedOn w:val="Normal"/>
    <w:next w:val="Normal"/>
    <w:link w:val="Heading1Char"/>
    <w:qFormat/>
    <w:rsid w:val="00F14BEE"/>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
    <w:name w:val="CoverPage"/>
    <w:basedOn w:val="Normal"/>
    <w:qFormat/>
    <w:rsid w:val="00A06B3F"/>
    <w:pPr>
      <w:spacing w:before="240" w:after="720" w:line="360" w:lineRule="auto"/>
      <w:ind w:left="2268"/>
    </w:pPr>
    <w:rPr>
      <w:rFonts w:ascii="Verdana" w:hAnsi="Verdana"/>
      <w:color w:val="016794"/>
      <w:sz w:val="52"/>
      <w:szCs w:val="52"/>
    </w:rPr>
  </w:style>
  <w:style w:type="paragraph" w:customStyle="1" w:styleId="FIRSTCHAPTERPAGE">
    <w:name w:val="FIRST_CHAPTER_PAGE"/>
    <w:basedOn w:val="Normal"/>
    <w:qFormat/>
    <w:rsid w:val="007B11D5"/>
    <w:pPr>
      <w:spacing w:before="240" w:after="720"/>
    </w:pPr>
    <w:rPr>
      <w:rFonts w:ascii="Verdana" w:hAnsi="Verdana"/>
      <w:b/>
      <w:color w:val="016794"/>
      <w:sz w:val="40"/>
      <w:szCs w:val="40"/>
    </w:rPr>
  </w:style>
  <w:style w:type="paragraph" w:styleId="BalloonText">
    <w:name w:val="Balloon Text"/>
    <w:basedOn w:val="Normal"/>
    <w:link w:val="BalloonTextChar"/>
    <w:rsid w:val="00F14BEE"/>
    <w:rPr>
      <w:rFonts w:ascii="Tahoma" w:hAnsi="Tahoma" w:cs="Tahoma"/>
      <w:sz w:val="16"/>
      <w:szCs w:val="16"/>
    </w:rPr>
  </w:style>
  <w:style w:type="character" w:customStyle="1" w:styleId="BalloonTextChar">
    <w:name w:val="Balloon Text Char"/>
    <w:link w:val="BalloonText"/>
    <w:rsid w:val="00F14BEE"/>
    <w:rPr>
      <w:rFonts w:ascii="Tahoma" w:eastAsia="Times New Roman" w:hAnsi="Tahoma" w:cs="Tahoma"/>
      <w:sz w:val="16"/>
      <w:szCs w:val="16"/>
      <w:lang w:eastAsia="en-GB"/>
    </w:rPr>
  </w:style>
  <w:style w:type="paragraph" w:customStyle="1" w:styleId="FinancialYear">
    <w:name w:val="Financial_Year"/>
    <w:basedOn w:val="Normal"/>
    <w:qFormat/>
    <w:rsid w:val="007B11D5"/>
    <w:pPr>
      <w:jc w:val="right"/>
    </w:pPr>
    <w:rPr>
      <w:rFonts w:ascii="Verdana" w:hAnsi="Verdana"/>
      <w:color w:val="016794"/>
      <w:sz w:val="22"/>
      <w:szCs w:val="22"/>
    </w:rPr>
  </w:style>
  <w:style w:type="paragraph" w:customStyle="1" w:styleId="TOPHEADERNOTE">
    <w:name w:val="TOPHEADER_NOTE"/>
    <w:basedOn w:val="Normal"/>
    <w:qFormat/>
    <w:rsid w:val="002A76DD"/>
    <w:rPr>
      <w:rFonts w:ascii="Verdana" w:hAnsi="Verdana"/>
      <w:i/>
      <w:color w:val="016794"/>
      <w:sz w:val="18"/>
    </w:rPr>
  </w:style>
  <w:style w:type="paragraph" w:customStyle="1" w:styleId="HEADERTABLE">
    <w:name w:val="HEADER_TABLE"/>
    <w:basedOn w:val="Normal"/>
    <w:qFormat/>
    <w:rsid w:val="004D39BA"/>
    <w:pPr>
      <w:spacing w:after="240"/>
    </w:pPr>
    <w:rPr>
      <w:rFonts w:ascii="Verdana" w:hAnsi="Verdana"/>
      <w:b/>
      <w:color w:val="016794"/>
      <w:sz w:val="28"/>
      <w:szCs w:val="28"/>
    </w:rPr>
  </w:style>
  <w:style w:type="paragraph" w:customStyle="1" w:styleId="Textstand-alonenumberingLetters">
    <w:name w:val="Text_stand-alone_(numbering Letters)"/>
    <w:basedOn w:val="Normal"/>
    <w:qFormat/>
    <w:rsid w:val="004B7F75"/>
    <w:pPr>
      <w:numPr>
        <w:numId w:val="2"/>
      </w:numPr>
      <w:spacing w:after="240"/>
      <w:ind w:hanging="720"/>
    </w:pPr>
    <w:rPr>
      <w:rFonts w:ascii="Verdana" w:hAnsi="Verdana"/>
      <w:sz w:val="18"/>
      <w:szCs w:val="18"/>
    </w:rPr>
  </w:style>
  <w:style w:type="paragraph" w:customStyle="1" w:styleId="SignatureRightItalic">
    <w:name w:val="Signature_Right + Italic"/>
    <w:basedOn w:val="Normal"/>
    <w:qFormat/>
    <w:rsid w:val="005336AE"/>
    <w:pPr>
      <w:spacing w:before="240"/>
      <w:ind w:left="4394" w:right="1128"/>
      <w:jc w:val="center"/>
    </w:pPr>
    <w:rPr>
      <w:rFonts w:ascii="Verdana" w:hAnsi="Verdana"/>
      <w:i/>
      <w:sz w:val="18"/>
      <w:szCs w:val="18"/>
    </w:rPr>
  </w:style>
  <w:style w:type="paragraph" w:customStyle="1" w:styleId="HEADER3Part1">
    <w:name w:val="HEADER 3_Part 1"/>
    <w:basedOn w:val="Normal"/>
    <w:qFormat/>
    <w:rsid w:val="000D064C"/>
    <w:pPr>
      <w:numPr>
        <w:ilvl w:val="2"/>
        <w:numId w:val="4"/>
      </w:numPr>
      <w:tabs>
        <w:tab w:val="left" w:pos="907"/>
      </w:tabs>
      <w:spacing w:before="360" w:after="360"/>
    </w:pPr>
    <w:rPr>
      <w:rFonts w:ascii="Verdana" w:hAnsi="Verdana"/>
      <w:color w:val="016794"/>
      <w:sz w:val="20"/>
      <w:szCs w:val="20"/>
    </w:rPr>
  </w:style>
  <w:style w:type="paragraph" w:customStyle="1" w:styleId="HEADER4Part1">
    <w:name w:val="HEADER 4_Part 1"/>
    <w:basedOn w:val="HEADER3Part1"/>
    <w:qFormat/>
    <w:rsid w:val="000D064C"/>
    <w:pPr>
      <w:numPr>
        <w:ilvl w:val="3"/>
      </w:numPr>
    </w:pPr>
    <w:rPr>
      <w:sz w:val="18"/>
      <w:szCs w:val="18"/>
    </w:rPr>
  </w:style>
  <w:style w:type="paragraph" w:customStyle="1" w:styleId="HEADER2Part1">
    <w:name w:val="HEADER 2 _Part 1"/>
    <w:basedOn w:val="Normal"/>
    <w:qFormat/>
    <w:rsid w:val="000D064C"/>
    <w:pPr>
      <w:numPr>
        <w:ilvl w:val="1"/>
        <w:numId w:val="4"/>
      </w:numPr>
      <w:tabs>
        <w:tab w:val="left" w:pos="907"/>
      </w:tabs>
      <w:spacing w:before="360" w:after="360"/>
    </w:pPr>
    <w:rPr>
      <w:rFonts w:ascii="Verdana" w:hAnsi="Verdana"/>
      <w:b/>
      <w:color w:val="016794"/>
      <w:sz w:val="28"/>
    </w:rPr>
  </w:style>
  <w:style w:type="paragraph" w:customStyle="1" w:styleId="Textstand-alonenumberingRCIndentJustified">
    <w:name w:val="Text_stand-alone_numbering RC Indent + Justified"/>
    <w:basedOn w:val="Normal"/>
    <w:qFormat/>
    <w:rsid w:val="00A7643C"/>
    <w:pPr>
      <w:numPr>
        <w:numId w:val="11"/>
      </w:numPr>
      <w:ind w:left="992" w:hanging="635"/>
    </w:pPr>
    <w:rPr>
      <w:rFonts w:ascii="Verdana" w:hAnsi="Verdana"/>
      <w:sz w:val="18"/>
      <w:szCs w:val="18"/>
    </w:rPr>
  </w:style>
  <w:style w:type="paragraph" w:customStyle="1" w:styleId="HEADER1Part2">
    <w:name w:val="HEADER 1_Part 2"/>
    <w:basedOn w:val="Normal"/>
    <w:qFormat/>
    <w:rsid w:val="000D064C"/>
    <w:pPr>
      <w:numPr>
        <w:numId w:val="10"/>
      </w:numPr>
      <w:tabs>
        <w:tab w:val="left" w:pos="907"/>
      </w:tabs>
      <w:spacing w:after="240"/>
      <w:jc w:val="both"/>
    </w:pPr>
    <w:rPr>
      <w:rFonts w:ascii="Verdana" w:hAnsi="Verdana"/>
      <w:b/>
      <w:color w:val="016794"/>
      <w:sz w:val="32"/>
      <w:szCs w:val="32"/>
    </w:rPr>
  </w:style>
  <w:style w:type="paragraph" w:customStyle="1" w:styleId="HEADER2Part2">
    <w:name w:val="HEADER 2_Part 2"/>
    <w:basedOn w:val="Normal"/>
    <w:qFormat/>
    <w:rsid w:val="000D064C"/>
    <w:pPr>
      <w:numPr>
        <w:ilvl w:val="1"/>
        <w:numId w:val="10"/>
      </w:numPr>
      <w:tabs>
        <w:tab w:val="left" w:pos="907"/>
      </w:tabs>
      <w:spacing w:before="360" w:after="360"/>
    </w:pPr>
    <w:rPr>
      <w:rFonts w:ascii="Verdana" w:hAnsi="Verdana"/>
      <w:b/>
      <w:color w:val="016794"/>
      <w:sz w:val="28"/>
      <w:szCs w:val="28"/>
    </w:rPr>
  </w:style>
  <w:style w:type="paragraph" w:customStyle="1" w:styleId="HEADER3Part2">
    <w:name w:val="HEADER 3_Part 2"/>
    <w:basedOn w:val="HEADER3Part1"/>
    <w:qFormat/>
    <w:rsid w:val="00C44450"/>
    <w:pPr>
      <w:numPr>
        <w:numId w:val="10"/>
      </w:numPr>
    </w:pPr>
  </w:style>
  <w:style w:type="paragraph" w:customStyle="1" w:styleId="HEADER4Part2">
    <w:name w:val="HEADER 4_Part 2"/>
    <w:basedOn w:val="HEADER4Part1"/>
    <w:qFormat/>
    <w:rsid w:val="000D064C"/>
    <w:pPr>
      <w:numPr>
        <w:numId w:val="10"/>
      </w:numPr>
    </w:pPr>
  </w:style>
  <w:style w:type="paragraph" w:customStyle="1" w:styleId="HEADER5">
    <w:name w:val="HEADER 5"/>
    <w:basedOn w:val="Normal"/>
    <w:qFormat/>
    <w:rsid w:val="00F425BF"/>
    <w:rPr>
      <w:rFonts w:ascii="Verdana" w:hAnsi="Verdana"/>
      <w:color w:val="016794"/>
      <w:sz w:val="18"/>
      <w:szCs w:val="18"/>
    </w:rPr>
  </w:style>
  <w:style w:type="paragraph" w:customStyle="1" w:styleId="TOCTitle">
    <w:name w:val="TOC_Title"/>
    <w:basedOn w:val="Normal"/>
    <w:qFormat/>
    <w:rsid w:val="002C4B56"/>
    <w:pPr>
      <w:spacing w:before="360" w:after="120"/>
    </w:pPr>
    <w:rPr>
      <w:rFonts w:ascii="Verdana" w:hAnsi="Verdana"/>
      <w:b/>
      <w:color w:val="016794"/>
      <w:sz w:val="40"/>
      <w:szCs w:val="40"/>
    </w:rPr>
  </w:style>
  <w:style w:type="paragraph" w:customStyle="1" w:styleId="HEADER1Part3">
    <w:name w:val="HEADER 1_Part 3"/>
    <w:basedOn w:val="Normal"/>
    <w:qFormat/>
    <w:rsid w:val="000D064C"/>
    <w:pPr>
      <w:numPr>
        <w:numId w:val="5"/>
      </w:numPr>
      <w:tabs>
        <w:tab w:val="left" w:pos="907"/>
      </w:tabs>
      <w:spacing w:after="240"/>
    </w:pPr>
    <w:rPr>
      <w:rFonts w:ascii="Verdana" w:hAnsi="Verdana"/>
      <w:b/>
      <w:color w:val="016794"/>
      <w:sz w:val="32"/>
      <w:szCs w:val="32"/>
    </w:rPr>
  </w:style>
  <w:style w:type="paragraph" w:customStyle="1" w:styleId="HEADER2Part3">
    <w:name w:val="HEADER 2_Part 3"/>
    <w:basedOn w:val="Normal"/>
    <w:qFormat/>
    <w:rsid w:val="000D064C"/>
    <w:pPr>
      <w:numPr>
        <w:ilvl w:val="1"/>
        <w:numId w:val="5"/>
      </w:numPr>
      <w:tabs>
        <w:tab w:val="left" w:pos="907"/>
      </w:tabs>
      <w:spacing w:before="360" w:after="360"/>
    </w:pPr>
    <w:rPr>
      <w:rFonts w:ascii="Verdana" w:hAnsi="Verdana"/>
      <w:b/>
      <w:noProof/>
      <w:color w:val="016794"/>
      <w:sz w:val="28"/>
      <w:szCs w:val="30"/>
      <w:lang w:eastAsia="en-US"/>
    </w:rPr>
  </w:style>
  <w:style w:type="paragraph" w:customStyle="1" w:styleId="HEADER3Part3">
    <w:name w:val="HEADER 3_Part 3"/>
    <w:basedOn w:val="HEADER3Part1"/>
    <w:qFormat/>
    <w:rsid w:val="000D064C"/>
    <w:pPr>
      <w:numPr>
        <w:numId w:val="5"/>
      </w:numPr>
    </w:pPr>
  </w:style>
  <w:style w:type="paragraph" w:customStyle="1" w:styleId="HEADER4Part3">
    <w:name w:val="HEADER 4_Part 3"/>
    <w:basedOn w:val="HEADER4Part1"/>
    <w:qFormat/>
    <w:rsid w:val="00EB6E16"/>
    <w:pPr>
      <w:numPr>
        <w:ilvl w:val="0"/>
        <w:numId w:val="13"/>
      </w:numPr>
      <w:spacing w:before="0" w:after="0"/>
      <w:ind w:left="907" w:hanging="907"/>
    </w:pPr>
  </w:style>
  <w:style w:type="paragraph" w:customStyle="1" w:styleId="SignatureRight">
    <w:name w:val="Signature_Right"/>
    <w:basedOn w:val="SignatureRightItalic"/>
    <w:qFormat/>
    <w:rsid w:val="005336AE"/>
    <w:rPr>
      <w:i w:val="0"/>
    </w:rPr>
  </w:style>
  <w:style w:type="paragraph" w:customStyle="1" w:styleId="SignatureRightBold">
    <w:name w:val="Signature_Right Bold"/>
    <w:basedOn w:val="SignatureRight"/>
    <w:qFormat/>
    <w:rsid w:val="001F1EDE"/>
    <w:pPr>
      <w:spacing w:before="120" w:after="120"/>
    </w:pPr>
    <w:rPr>
      <w:b/>
    </w:rPr>
  </w:style>
  <w:style w:type="paragraph" w:customStyle="1" w:styleId="Textstand-alone">
    <w:name w:val="Text_stand-alone"/>
    <w:basedOn w:val="Normal"/>
    <w:qFormat/>
    <w:rsid w:val="001F1EDE"/>
    <w:pPr>
      <w:spacing w:before="240" w:after="240"/>
      <w:jc w:val="both"/>
    </w:pPr>
    <w:rPr>
      <w:rFonts w:ascii="Verdana" w:hAnsi="Verdana"/>
      <w:noProof/>
      <w:sz w:val="18"/>
      <w:szCs w:val="18"/>
      <w:lang w:eastAsia="en-US"/>
    </w:rPr>
  </w:style>
  <w:style w:type="paragraph" w:customStyle="1" w:styleId="SignatureRightItalic0">
    <w:name w:val="Signature_Right Italic"/>
    <w:basedOn w:val="SignatureRightBold"/>
    <w:qFormat/>
    <w:rsid w:val="001F1EDE"/>
    <w:rPr>
      <w:b w:val="0"/>
      <w:i/>
    </w:rPr>
  </w:style>
  <w:style w:type="paragraph" w:customStyle="1" w:styleId="SubTextIndentJustified">
    <w:name w:val="SubText_Indent_Justified"/>
    <w:basedOn w:val="Normal"/>
    <w:qFormat/>
    <w:rsid w:val="00DB77E2"/>
    <w:pPr>
      <w:spacing w:after="240"/>
      <w:ind w:left="720"/>
    </w:pPr>
    <w:rPr>
      <w:rFonts w:ascii="Verdana" w:hAnsi="Verdana"/>
      <w:sz w:val="18"/>
      <w:szCs w:val="18"/>
    </w:rPr>
  </w:style>
  <w:style w:type="paragraph" w:styleId="Footer">
    <w:name w:val="footer"/>
    <w:basedOn w:val="Normal"/>
    <w:link w:val="FooterChar"/>
    <w:uiPriority w:val="99"/>
    <w:rsid w:val="00F14BEE"/>
    <w:pPr>
      <w:tabs>
        <w:tab w:val="center" w:pos="4677"/>
        <w:tab w:val="right" w:pos="9355"/>
      </w:tabs>
    </w:pPr>
  </w:style>
  <w:style w:type="character" w:customStyle="1" w:styleId="FooterChar">
    <w:name w:val="Footer Char"/>
    <w:link w:val="Footer"/>
    <w:uiPriority w:val="99"/>
    <w:rsid w:val="00F14BEE"/>
    <w:rPr>
      <w:rFonts w:ascii="Times New Roman" w:eastAsia="Times New Roman" w:hAnsi="Times New Roman" w:cs="Times New Roman"/>
      <w:sz w:val="24"/>
      <w:szCs w:val="24"/>
      <w:lang w:eastAsia="en-GB"/>
    </w:rPr>
  </w:style>
  <w:style w:type="paragraph" w:styleId="Header">
    <w:name w:val="header"/>
    <w:basedOn w:val="Normal"/>
    <w:link w:val="HeaderChar"/>
    <w:rsid w:val="00F14BEE"/>
    <w:pPr>
      <w:tabs>
        <w:tab w:val="center" w:pos="4677"/>
        <w:tab w:val="right" w:pos="9355"/>
      </w:tabs>
    </w:pPr>
  </w:style>
  <w:style w:type="character" w:customStyle="1" w:styleId="HeaderChar">
    <w:name w:val="Header Char"/>
    <w:link w:val="Header"/>
    <w:rsid w:val="00F14BEE"/>
    <w:rPr>
      <w:rFonts w:ascii="Times New Roman" w:eastAsia="Times New Roman" w:hAnsi="Times New Roman" w:cs="Times New Roman"/>
      <w:sz w:val="24"/>
      <w:szCs w:val="24"/>
      <w:lang w:eastAsia="en-GB"/>
    </w:rPr>
  </w:style>
  <w:style w:type="character" w:customStyle="1" w:styleId="Heading1Char">
    <w:name w:val="Heading 1 Char"/>
    <w:link w:val="Heading1"/>
    <w:rsid w:val="00F14BEE"/>
    <w:rPr>
      <w:rFonts w:ascii="Cambria" w:eastAsia="Times New Roman" w:hAnsi="Cambria" w:cs="Times New Roman"/>
      <w:b/>
      <w:bCs/>
      <w:color w:val="365F91"/>
      <w:sz w:val="28"/>
      <w:szCs w:val="28"/>
      <w:lang w:eastAsia="en-GB"/>
    </w:rPr>
  </w:style>
  <w:style w:type="character" w:styleId="Hyperlink">
    <w:name w:val="Hyperlink"/>
    <w:uiPriority w:val="99"/>
    <w:rsid w:val="00F14BEE"/>
    <w:rPr>
      <w:color w:val="0000FF"/>
      <w:u w:val="single"/>
    </w:rPr>
  </w:style>
  <w:style w:type="character" w:customStyle="1" w:styleId="Marker">
    <w:name w:val="Marker"/>
    <w:rsid w:val="00F14BEE"/>
    <w:rPr>
      <w:color w:val="0000FF"/>
      <w:shd w:val="clear" w:color="auto" w:fill="auto"/>
    </w:rPr>
  </w:style>
  <w:style w:type="paragraph" w:customStyle="1" w:styleId="HEADER1Part1">
    <w:name w:val="HEADER 1_Part 1"/>
    <w:basedOn w:val="HEADER1Part3"/>
    <w:qFormat/>
    <w:rsid w:val="000D064C"/>
    <w:pPr>
      <w:numPr>
        <w:numId w:val="4"/>
      </w:numPr>
      <w:jc w:val="both"/>
    </w:pPr>
  </w:style>
  <w:style w:type="paragraph" w:customStyle="1" w:styleId="Textstand-alonebulletpointJustified">
    <w:name w:val="Text_stand-alone_bullet point + Justified"/>
    <w:basedOn w:val="Normal"/>
    <w:qFormat/>
    <w:rsid w:val="00A7643C"/>
    <w:pPr>
      <w:numPr>
        <w:numId w:val="7"/>
      </w:numPr>
      <w:spacing w:after="240"/>
      <w:contextualSpacing/>
      <w:jc w:val="both"/>
    </w:pPr>
    <w:rPr>
      <w:rFonts w:ascii="Verdana" w:hAnsi="Verdana"/>
      <w:sz w:val="18"/>
    </w:rPr>
  </w:style>
  <w:style w:type="paragraph" w:customStyle="1" w:styleId="TextSubtitlenumberingRCItalic">
    <w:name w:val="Text_Subtitle_(numbering RC Italic)"/>
    <w:basedOn w:val="Normal"/>
    <w:qFormat/>
    <w:rsid w:val="00354084"/>
    <w:pPr>
      <w:numPr>
        <w:numId w:val="1"/>
      </w:numPr>
    </w:pPr>
    <w:rPr>
      <w:rFonts w:ascii="Verdana" w:hAnsi="Verdana"/>
      <w:i/>
      <w:sz w:val="18"/>
      <w:szCs w:val="18"/>
    </w:rPr>
  </w:style>
  <w:style w:type="paragraph" w:customStyle="1" w:styleId="TextstandalonenumberingRCJustified">
    <w:name w:val="Text_stand alone_(numbering RC + Justified)"/>
    <w:qFormat/>
    <w:rsid w:val="0046442F"/>
    <w:pPr>
      <w:numPr>
        <w:numId w:val="8"/>
      </w:numPr>
      <w:pBdr>
        <w:top w:val="nil"/>
        <w:left w:val="nil"/>
        <w:bottom w:val="nil"/>
        <w:right w:val="nil"/>
        <w:between w:val="nil"/>
        <w:bar w:val="nil"/>
      </w:pBdr>
      <w:spacing w:before="240"/>
      <w:ind w:left="567" w:hanging="567"/>
      <w:jc w:val="both"/>
    </w:pPr>
    <w:rPr>
      <w:rFonts w:ascii="Verdana" w:eastAsia="Calibri" w:hAnsi="Verdana"/>
      <w:noProof/>
      <w:sz w:val="18"/>
      <w:szCs w:val="18"/>
      <w:bdr w:val="nil"/>
      <w:lang w:eastAsia="en-US"/>
    </w:rPr>
  </w:style>
  <w:style w:type="paragraph" w:customStyle="1" w:styleId="Textstand-alonenumberingJustified">
    <w:name w:val="Text_stand-alone_(numbering) + Justified"/>
    <w:basedOn w:val="Normal"/>
    <w:qFormat/>
    <w:rsid w:val="00354084"/>
    <w:pPr>
      <w:numPr>
        <w:numId w:val="6"/>
      </w:numPr>
      <w:spacing w:after="240"/>
      <w:ind w:hanging="720"/>
      <w:jc w:val="both"/>
    </w:pPr>
    <w:rPr>
      <w:rFonts w:ascii="Verdana" w:hAnsi="Verdana"/>
      <w:sz w:val="18"/>
      <w:szCs w:val="18"/>
    </w:rPr>
  </w:style>
  <w:style w:type="paragraph" w:customStyle="1" w:styleId="Textstand-aloneBulletpoint">
    <w:name w:val="Text_stand-alone Bullet point"/>
    <w:basedOn w:val="Normal"/>
    <w:qFormat/>
    <w:rsid w:val="00A7643C"/>
    <w:pPr>
      <w:numPr>
        <w:numId w:val="9"/>
      </w:numPr>
      <w:spacing w:after="240"/>
      <w:ind w:left="357" w:hanging="357"/>
      <w:contextualSpacing/>
    </w:pPr>
    <w:rPr>
      <w:rFonts w:ascii="Verdana" w:hAnsi="Verdana"/>
      <w:sz w:val="18"/>
      <w:szCs w:val="18"/>
    </w:rPr>
  </w:style>
  <w:style w:type="paragraph" w:customStyle="1" w:styleId="TextSubtitleItalicnumberinglettera">
    <w:name w:val="Text_Subtitle Italic numbering letter (a)"/>
    <w:basedOn w:val="Normal"/>
    <w:qFormat/>
    <w:rsid w:val="008558C7"/>
    <w:pPr>
      <w:numPr>
        <w:numId w:val="3"/>
      </w:numPr>
      <w:ind w:left="357" w:hanging="357"/>
    </w:pPr>
    <w:rPr>
      <w:rFonts w:ascii="Verdana" w:hAnsi="Verdana"/>
      <w:i/>
      <w:sz w:val="18"/>
      <w:szCs w:val="18"/>
    </w:rPr>
  </w:style>
  <w:style w:type="character" w:styleId="CommentReference">
    <w:name w:val="annotation reference"/>
    <w:uiPriority w:val="99"/>
    <w:semiHidden/>
    <w:unhideWhenUsed/>
    <w:rsid w:val="00120967"/>
    <w:rPr>
      <w:sz w:val="16"/>
      <w:szCs w:val="16"/>
    </w:rPr>
  </w:style>
  <w:style w:type="paragraph" w:styleId="CommentText">
    <w:name w:val="annotation text"/>
    <w:basedOn w:val="Normal"/>
    <w:link w:val="CommentTextChar"/>
    <w:uiPriority w:val="99"/>
    <w:semiHidden/>
    <w:unhideWhenUsed/>
    <w:rsid w:val="00120967"/>
    <w:rPr>
      <w:sz w:val="20"/>
      <w:szCs w:val="20"/>
    </w:rPr>
  </w:style>
  <w:style w:type="character" w:customStyle="1" w:styleId="CommentTextChar">
    <w:name w:val="Comment Text Char"/>
    <w:link w:val="CommentText"/>
    <w:uiPriority w:val="99"/>
    <w:semiHidden/>
    <w:rsid w:val="0012096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120967"/>
    <w:rPr>
      <w:b/>
      <w:bCs/>
    </w:rPr>
  </w:style>
  <w:style w:type="character" w:customStyle="1" w:styleId="CommentSubjectChar">
    <w:name w:val="Comment Subject Char"/>
    <w:link w:val="CommentSubject"/>
    <w:uiPriority w:val="99"/>
    <w:semiHidden/>
    <w:rsid w:val="00120967"/>
    <w:rPr>
      <w:rFonts w:ascii="Times New Roman" w:hAnsi="Times New Roman"/>
      <w:b/>
      <w:bCs/>
    </w:rPr>
  </w:style>
  <w:style w:type="paragraph" w:customStyle="1" w:styleId="DGTextstand-alonenumbering">
    <w:name w:val="DG_Text_stand-alone_(numbering)"/>
    <w:qFormat/>
    <w:rsid w:val="004A7C67"/>
    <w:pPr>
      <w:numPr>
        <w:numId w:val="12"/>
      </w:numPr>
      <w:spacing w:after="240"/>
      <w:ind w:hanging="720"/>
    </w:pPr>
    <w:rPr>
      <w:rFonts w:ascii="Verdana" w:hAnsi="Verdana"/>
      <w:noProof/>
      <w:sz w:val="18"/>
      <w:szCs w:val="18"/>
      <w:lang w:eastAsia="en-US"/>
    </w:rPr>
  </w:style>
  <w:style w:type="paragraph" w:customStyle="1" w:styleId="HEADERTITLE">
    <w:name w:val="HEADER_TITLE"/>
    <w:basedOn w:val="Textstand-alone"/>
    <w:qFormat/>
    <w:rsid w:val="009C218B"/>
    <w:pPr>
      <w:tabs>
        <w:tab w:val="left" w:pos="907"/>
      </w:tabs>
      <w:spacing w:before="0"/>
      <w:jc w:val="left"/>
    </w:pPr>
    <w:rPr>
      <w:b/>
      <w:color w:val="016794"/>
      <w:sz w:val="28"/>
    </w:rPr>
  </w:style>
  <w:style w:type="paragraph" w:customStyle="1" w:styleId="FIRSTCHAPTERPAGE1">
    <w:name w:val="FIRST CHAPTER_PAGE_1"/>
    <w:basedOn w:val="Textstand-alone"/>
    <w:qFormat/>
    <w:rsid w:val="00DF421F"/>
    <w:pPr>
      <w:tabs>
        <w:tab w:val="left" w:pos="907"/>
      </w:tabs>
      <w:spacing w:after="720"/>
      <w:jc w:val="left"/>
    </w:pPr>
    <w:rPr>
      <w:b/>
      <w:color w:val="016794"/>
      <w:sz w:val="40"/>
    </w:rPr>
  </w:style>
  <w:style w:type="paragraph" w:customStyle="1" w:styleId="FIRSTCHAPTERPAGE2">
    <w:name w:val="FIRST CHAPTER_PAGE_2"/>
    <w:basedOn w:val="Textstand-alone"/>
    <w:qFormat/>
    <w:rsid w:val="00A27E39"/>
    <w:pPr>
      <w:tabs>
        <w:tab w:val="left" w:pos="907"/>
      </w:tabs>
      <w:spacing w:after="720"/>
    </w:pPr>
    <w:rPr>
      <w:b/>
      <w:color w:val="016794"/>
      <w:sz w:val="40"/>
    </w:rPr>
  </w:style>
  <w:style w:type="paragraph" w:customStyle="1" w:styleId="HEADERTITLE1">
    <w:name w:val="HEADER_TITLE_1"/>
    <w:basedOn w:val="Textstand-alone"/>
    <w:qFormat/>
    <w:rsid w:val="009C218B"/>
    <w:pPr>
      <w:tabs>
        <w:tab w:val="left" w:pos="907"/>
      </w:tabs>
      <w:spacing w:before="0"/>
      <w:jc w:val="left"/>
    </w:pPr>
    <w:rPr>
      <w:b/>
      <w:color w:val="016794"/>
      <w:sz w:val="28"/>
    </w:rPr>
  </w:style>
  <w:style w:type="paragraph" w:styleId="TOCHeading">
    <w:name w:val="TOC Heading"/>
    <w:basedOn w:val="Heading1"/>
    <w:next w:val="Normal"/>
    <w:uiPriority w:val="39"/>
    <w:unhideWhenUsed/>
    <w:qFormat/>
    <w:rsid w:val="00391284"/>
    <w:pPr>
      <w:spacing w:line="276" w:lineRule="auto"/>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qFormat/>
    <w:rsid w:val="00391284"/>
    <w:pPr>
      <w:spacing w:after="100"/>
    </w:pPr>
    <w:rPr>
      <w:rFonts w:ascii="Verdana" w:hAnsi="Verdana"/>
      <w:color w:val="365F91" w:themeColor="accent1" w:themeShade="BF"/>
      <w:sz w:val="22"/>
    </w:rPr>
  </w:style>
  <w:style w:type="paragraph" w:styleId="TOC2">
    <w:name w:val="toc 2"/>
    <w:basedOn w:val="Normal"/>
    <w:next w:val="Normal"/>
    <w:autoRedefine/>
    <w:uiPriority w:val="39"/>
    <w:unhideWhenUsed/>
    <w:qFormat/>
    <w:rsid w:val="00391284"/>
    <w:pPr>
      <w:spacing w:after="100"/>
      <w:ind w:left="240"/>
    </w:pPr>
    <w:rPr>
      <w:rFonts w:ascii="Verdana" w:hAnsi="Verdana"/>
      <w:color w:val="808080" w:themeColor="background1" w:themeShade="80"/>
      <w:sz w:val="22"/>
    </w:rPr>
  </w:style>
  <w:style w:type="paragraph" w:customStyle="1" w:styleId="HEADERTITLE2">
    <w:name w:val="HEADER_TITLE_2"/>
    <w:basedOn w:val="HEADERTITLE1"/>
    <w:qFormat/>
    <w:rsid w:val="00091482"/>
  </w:style>
  <w:style w:type="paragraph" w:customStyle="1" w:styleId="HEADER1Part4">
    <w:name w:val="HEADER 1_Part 4"/>
    <w:basedOn w:val="Normal"/>
    <w:qFormat/>
    <w:rsid w:val="00B755F2"/>
    <w:pPr>
      <w:numPr>
        <w:numId w:val="18"/>
      </w:numPr>
      <w:spacing w:after="240"/>
    </w:pPr>
    <w:rPr>
      <w:rFonts w:ascii="Verdana" w:hAnsi="Verdana"/>
      <w:b/>
      <w:color w:val="016794"/>
      <w:sz w:val="32"/>
      <w:szCs w:val="32"/>
    </w:rPr>
  </w:style>
  <w:style w:type="paragraph" w:customStyle="1" w:styleId="HEADER2Part4">
    <w:name w:val="HEADER 2_Part 4"/>
    <w:basedOn w:val="Normal"/>
    <w:qFormat/>
    <w:rsid w:val="00CD67F7"/>
    <w:pPr>
      <w:numPr>
        <w:ilvl w:val="1"/>
        <w:numId w:val="18"/>
      </w:numPr>
      <w:spacing w:before="360" w:after="360"/>
    </w:pPr>
    <w:rPr>
      <w:rFonts w:ascii="Verdana" w:hAnsi="Verdana"/>
      <w:b/>
      <w:noProof/>
      <w:color w:val="016794"/>
      <w:sz w:val="28"/>
      <w:szCs w:val="30"/>
      <w:lang w:eastAsia="en-US"/>
    </w:rPr>
  </w:style>
  <w:style w:type="paragraph" w:customStyle="1" w:styleId="HEADER1PartBUDG">
    <w:name w:val="HEADER 1_Part BUDG"/>
    <w:basedOn w:val="Normal"/>
    <w:qFormat/>
    <w:rsid w:val="005F054C"/>
    <w:pPr>
      <w:numPr>
        <w:numId w:val="16"/>
      </w:numPr>
      <w:tabs>
        <w:tab w:val="left" w:pos="907"/>
      </w:tabs>
      <w:spacing w:before="360" w:after="360"/>
    </w:pPr>
    <w:rPr>
      <w:rFonts w:ascii="Verdana" w:hAnsi="Verdana"/>
      <w:b/>
      <w:color w:val="016794"/>
      <w:sz w:val="32"/>
      <w:szCs w:val="32"/>
    </w:rPr>
  </w:style>
  <w:style w:type="paragraph" w:customStyle="1" w:styleId="HEADER2PartBUDG">
    <w:name w:val="HEADER 2_Part BUDG"/>
    <w:basedOn w:val="Normal"/>
    <w:qFormat/>
    <w:rsid w:val="005F054C"/>
    <w:pPr>
      <w:numPr>
        <w:ilvl w:val="1"/>
        <w:numId w:val="16"/>
      </w:numPr>
      <w:tabs>
        <w:tab w:val="left" w:pos="907"/>
      </w:tabs>
      <w:spacing w:before="360" w:after="360"/>
    </w:pPr>
    <w:rPr>
      <w:rFonts w:ascii="Verdana" w:eastAsia="Calibri" w:hAnsi="Verdana"/>
      <w:b/>
      <w:color w:val="016794"/>
      <w:sz w:val="28"/>
      <w:lang w:val="fr-BE"/>
    </w:rPr>
  </w:style>
  <w:style w:type="paragraph" w:customStyle="1" w:styleId="HEADER3PartBUGD">
    <w:name w:val="HEADER 3_Part BUGD"/>
    <w:basedOn w:val="Normal"/>
    <w:qFormat/>
    <w:rsid w:val="0061340E"/>
    <w:pPr>
      <w:numPr>
        <w:ilvl w:val="2"/>
        <w:numId w:val="16"/>
      </w:numPr>
      <w:tabs>
        <w:tab w:val="left" w:pos="0"/>
        <w:tab w:val="left" w:pos="907"/>
      </w:tabs>
      <w:spacing w:before="360" w:after="360"/>
    </w:pPr>
    <w:rPr>
      <w:rFonts w:ascii="Verdana" w:hAnsi="Verdana"/>
      <w:color w:val="016794"/>
      <w:sz w:val="20"/>
      <w:szCs w:val="20"/>
      <w:lang w:val="fr-BE"/>
    </w:rPr>
  </w:style>
  <w:style w:type="paragraph" w:customStyle="1" w:styleId="HEADER4PartBUDG">
    <w:name w:val="HEADER 4_Part BUDG"/>
    <w:basedOn w:val="Normal"/>
    <w:qFormat/>
    <w:rsid w:val="00E5746E"/>
    <w:pPr>
      <w:numPr>
        <w:ilvl w:val="3"/>
        <w:numId w:val="16"/>
      </w:numPr>
      <w:tabs>
        <w:tab w:val="left" w:pos="907"/>
      </w:tabs>
      <w:spacing w:before="360" w:after="360"/>
    </w:pPr>
    <w:rPr>
      <w:rFonts w:ascii="Verdana" w:hAnsi="Verdana"/>
      <w:color w:val="016794"/>
      <w:sz w:val="18"/>
      <w:szCs w:val="18"/>
      <w:lang w:val="fr-BE"/>
    </w:rPr>
  </w:style>
  <w:style w:type="paragraph" w:customStyle="1" w:styleId="HEADER1NOTES">
    <w:name w:val="HEADER 1_NOTES"/>
    <w:basedOn w:val="HEADER1Part2"/>
    <w:qFormat/>
    <w:rsid w:val="00744BA3"/>
    <w:pPr>
      <w:numPr>
        <w:numId w:val="14"/>
      </w:numPr>
    </w:pPr>
  </w:style>
  <w:style w:type="paragraph" w:customStyle="1" w:styleId="HEADER2NOTES">
    <w:name w:val="HEADER 2_NOTES"/>
    <w:basedOn w:val="HEADER2Part2"/>
    <w:qFormat/>
    <w:rsid w:val="00744BA3"/>
    <w:pPr>
      <w:numPr>
        <w:numId w:val="14"/>
      </w:numPr>
    </w:pPr>
  </w:style>
  <w:style w:type="paragraph" w:customStyle="1" w:styleId="HEADER3NOTES">
    <w:name w:val="HEADER 3_NOTES"/>
    <w:basedOn w:val="HEADER3Part2"/>
    <w:qFormat/>
    <w:rsid w:val="00744BA3"/>
    <w:pPr>
      <w:numPr>
        <w:numId w:val="14"/>
      </w:numPr>
    </w:pPr>
  </w:style>
  <w:style w:type="paragraph" w:customStyle="1" w:styleId="HEADER4NOTES">
    <w:name w:val="HEADER 4_NOTES"/>
    <w:basedOn w:val="HEADER4Part2"/>
    <w:qFormat/>
    <w:rsid w:val="00744BA3"/>
    <w:pPr>
      <w:numPr>
        <w:numId w:val="14"/>
      </w:numPr>
    </w:pPr>
  </w:style>
  <w:style w:type="paragraph" w:customStyle="1" w:styleId="HEADER3Part4">
    <w:name w:val="HEADER 3_Part 4"/>
    <w:basedOn w:val="Normal"/>
    <w:qFormat/>
    <w:rsid w:val="00726B93"/>
    <w:pPr>
      <w:numPr>
        <w:ilvl w:val="2"/>
        <w:numId w:val="18"/>
      </w:numPr>
      <w:tabs>
        <w:tab w:val="clear" w:pos="907"/>
      </w:tabs>
      <w:spacing w:before="360" w:after="360"/>
    </w:pPr>
    <w:rPr>
      <w:rFonts w:ascii="Verdana" w:hAnsi="Verdana"/>
      <w:color w:val="016794"/>
      <w:sz w:val="20"/>
      <w:szCs w:val="20"/>
    </w:rPr>
  </w:style>
  <w:style w:type="paragraph" w:customStyle="1" w:styleId="DGTextstand-alonedashesjustified">
    <w:name w:val="DG_Text_stand-alone dashes justified"/>
    <w:qFormat/>
    <w:rsid w:val="00F964CD"/>
    <w:pPr>
      <w:numPr>
        <w:numId w:val="17"/>
      </w:numPr>
      <w:spacing w:before="120" w:after="120"/>
      <w:jc w:val="both"/>
    </w:pPr>
    <w:rPr>
      <w:rFonts w:ascii="Verdana" w:eastAsia="Calibri" w:hAnsi="Verdana"/>
      <w:noProof/>
      <w:sz w:val="18"/>
      <w:szCs w:val="18"/>
      <w:bdr w:val="nil"/>
      <w:lang w:eastAsia="en-US"/>
    </w:rPr>
  </w:style>
  <w:style w:type="paragraph" w:customStyle="1" w:styleId="DGTextstand-alone">
    <w:name w:val="DG_Text_stand-alone"/>
    <w:link w:val="DGTextstand-aloneChar"/>
    <w:rsid w:val="00385E47"/>
    <w:pPr>
      <w:spacing w:before="240" w:after="240"/>
      <w:jc w:val="both"/>
    </w:pPr>
    <w:rPr>
      <w:rFonts w:ascii="Verdana" w:hAnsi="Verdana"/>
      <w:noProof/>
      <w:sz w:val="18"/>
      <w:szCs w:val="18"/>
      <w:lang w:eastAsia="en-US"/>
    </w:rPr>
  </w:style>
  <w:style w:type="character" w:customStyle="1" w:styleId="DGTextstand-aloneChar">
    <w:name w:val="DG_Text_stand-alone Char"/>
    <w:link w:val="DGTextstand-alone"/>
    <w:rsid w:val="00385E47"/>
    <w:rPr>
      <w:rFonts w:ascii="Verdana" w:hAnsi="Verdana"/>
      <w:noProof/>
      <w:sz w:val="18"/>
      <w:szCs w:val="18"/>
      <w:lang w:eastAsia="en-US"/>
    </w:rPr>
  </w:style>
  <w:style w:type="table" w:customStyle="1" w:styleId="TableGrid1">
    <w:name w:val="Table Grid1"/>
    <w:basedOn w:val="TableNormal"/>
    <w:next w:val="TableGrid"/>
    <w:uiPriority w:val="59"/>
    <w:rsid w:val="00C90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90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link w:val="FootnotesymbolCharChar"/>
    <w:uiPriority w:val="99"/>
    <w:unhideWhenUsed/>
    <w:qFormat/>
    <w:rsid w:val="00BA7388"/>
    <w:rPr>
      <w:rFonts w:ascii="Verdana" w:eastAsia="Calibri" w:hAnsi="Verdana"/>
      <w:sz w:val="16"/>
      <w:vertAlign w:val="superscript"/>
    </w:rPr>
  </w:style>
  <w:style w:type="paragraph" w:customStyle="1" w:styleId="FootnotesymbolCharChar">
    <w:name w:val="Footnote symbol Char Char"/>
    <w:basedOn w:val="Normal"/>
    <w:link w:val="FootnoteReference"/>
    <w:uiPriority w:val="99"/>
    <w:rsid w:val="00BA7388"/>
    <w:pPr>
      <w:spacing w:before="120" w:after="160" w:line="240" w:lineRule="exact"/>
    </w:pPr>
    <w:rPr>
      <w:rFonts w:ascii="Verdana" w:eastAsia="Calibri" w:hAnsi="Verdana"/>
      <w:sz w:val="16"/>
      <w:szCs w:val="20"/>
      <w:vertAlign w:val="superscript"/>
    </w:rPr>
  </w:style>
  <w:style w:type="paragraph" w:styleId="FootnoteText">
    <w:name w:val="footnote text"/>
    <w:basedOn w:val="Normal"/>
    <w:link w:val="FootnoteTextChar"/>
    <w:uiPriority w:val="99"/>
    <w:unhideWhenUsed/>
    <w:qFormat/>
    <w:rsid w:val="00BA7388"/>
    <w:pPr>
      <w:tabs>
        <w:tab w:val="left" w:pos="170"/>
        <w:tab w:val="left" w:pos="198"/>
      </w:tabs>
      <w:ind w:left="170" w:hanging="170"/>
    </w:pPr>
    <w:rPr>
      <w:rFonts w:ascii="Verdana" w:hAnsi="Verdana"/>
      <w:sz w:val="16"/>
      <w:szCs w:val="20"/>
    </w:rPr>
  </w:style>
  <w:style w:type="character" w:customStyle="1" w:styleId="FootnoteTextChar">
    <w:name w:val="Footnote Text Char"/>
    <w:basedOn w:val="DefaultParagraphFont"/>
    <w:link w:val="FootnoteText"/>
    <w:uiPriority w:val="99"/>
    <w:rsid w:val="00BA7388"/>
    <w:rPr>
      <w:rFonts w:ascii="Verdana" w:hAnsi="Verdana"/>
      <w:sz w:val="16"/>
    </w:rPr>
  </w:style>
  <w:style w:type="character" w:styleId="Emphasis">
    <w:name w:val="Emphasis"/>
    <w:qFormat/>
    <w:rsid w:val="00F54BED"/>
    <w:rPr>
      <w:i/>
      <w:iCs/>
    </w:rPr>
  </w:style>
  <w:style w:type="paragraph" w:customStyle="1" w:styleId="DMETW36745BIPUKWA">
    <w:name w:val="DM_ETW_36745_BIP_UKWA"/>
    <w:rsid w:val="005F5F15"/>
    <w:rPr>
      <w:rFonts w:eastAsia="Calibri"/>
    </w:rPr>
  </w:style>
  <w:style w:type="table" w:customStyle="1" w:styleId="TableGrid4">
    <w:name w:val="Table Grid4"/>
    <w:basedOn w:val="TableNormal"/>
    <w:next w:val="TableGrid"/>
    <w:uiPriority w:val="59"/>
    <w:rsid w:val="00132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Normal"/>
    <w:qFormat/>
    <w:rsid w:val="001329AB"/>
    <w:pPr>
      <w:tabs>
        <w:tab w:val="left" w:pos="284"/>
      </w:tabs>
      <w:ind w:left="170" w:hanging="170"/>
      <w:jc w:val="both"/>
    </w:pPr>
    <w:rPr>
      <w:rFonts w:ascii="Verdana" w:hAnsi="Verdana"/>
      <w:sz w:val="16"/>
      <w:szCs w:val="20"/>
    </w:rPr>
  </w:style>
  <w:style w:type="paragraph" w:customStyle="1" w:styleId="DMETW36743BIPBS">
    <w:name w:val="DM_ETW_36743_BIP_BS"/>
    <w:rPr>
      <w:rFonts w:eastAsia="Calibri"/>
    </w:rPr>
  </w:style>
  <w:style w:type="paragraph" w:customStyle="1" w:styleId="DMETW36757BIPSOFP">
    <w:name w:val="DM_ETW_36757_BIP_SOFP"/>
    <w:rPr>
      <w:rFonts w:eastAsia="Calibri"/>
    </w:rPr>
  </w:style>
  <w:style w:type="paragraph" w:customStyle="1" w:styleId="Text9pItalicLeft">
    <w:name w:val="Text_9p_Italic_Left"/>
    <w:qFormat/>
    <w:rsid w:val="004875F8"/>
    <w:rPr>
      <w:rFonts w:ascii="Verdana" w:eastAsia="Calibri" w:hAnsi="Verdana"/>
      <w:i/>
      <w:noProof/>
      <w:sz w:val="18"/>
      <w:szCs w:val="18"/>
      <w:lang w:eastAsia="en-US"/>
    </w:rPr>
  </w:style>
  <w:style w:type="paragraph" w:customStyle="1" w:styleId="Text9pItalicLeft3p">
    <w:name w:val="Text_9p_Italic_Left_3p"/>
    <w:basedOn w:val="Text9pItalicLeft"/>
    <w:qFormat/>
    <w:rsid w:val="007540AA"/>
    <w:pPr>
      <w:spacing w:after="60"/>
    </w:pPr>
  </w:style>
  <w:style w:type="paragraph" w:customStyle="1" w:styleId="DMETW36758BIPCF">
    <w:name w:val="DM_ETW_36758_BIP_CF"/>
    <w:rPr>
      <w:rFonts w:eastAsia="Calibri"/>
    </w:rPr>
  </w:style>
  <w:style w:type="paragraph" w:customStyle="1" w:styleId="DMETW36734BIPSCNA">
    <w:name w:val="DM_ETW_36734_BIP_SCNA"/>
    <w:rPr>
      <w:rFonts w:eastAsia="Calibri"/>
    </w:rPr>
  </w:style>
  <w:style w:type="paragraph" w:customStyle="1" w:styleId="DMETW36718BIPCURR">
    <w:name w:val="DM_ETW_36718_BIP_CURR"/>
    <w:rPr>
      <w:rFonts w:eastAsia="Calibri"/>
    </w:rPr>
  </w:style>
  <w:style w:type="paragraph" w:customStyle="1" w:styleId="DMETW36718BIPDR">
    <w:name w:val="DM_ETW_36718_BIP_DR"/>
    <w:rPr>
      <w:rFonts w:eastAsia="Calibri"/>
    </w:rPr>
  </w:style>
  <w:style w:type="paragraph" w:customStyle="1" w:styleId="Text6pNormalLeft">
    <w:name w:val="Text_6p_Normal_Left"/>
    <w:qFormat/>
    <w:rsid w:val="004E57CD"/>
    <w:rPr>
      <w:rFonts w:ascii="Verdana" w:eastAsia="Calibri" w:hAnsi="Verdana"/>
      <w:bCs/>
      <w:noProof/>
      <w:sz w:val="12"/>
      <w:lang w:eastAsia="en-US"/>
    </w:rPr>
  </w:style>
  <w:style w:type="paragraph" w:customStyle="1" w:styleId="DMETW36735BIPINFA">
    <w:name w:val="DM_ETW_36735_BIP_INFA"/>
    <w:rPr>
      <w:rFonts w:eastAsia="Calibri"/>
    </w:rPr>
  </w:style>
  <w:style w:type="paragraph" w:customStyle="1" w:styleId="DMETW36735BIPEUPPE">
    <w:name w:val="DM_ETW_36735_BIP_EUPPE"/>
    <w:rPr>
      <w:rFonts w:eastAsia="Calibri"/>
    </w:rPr>
  </w:style>
  <w:style w:type="paragraph" w:customStyle="1" w:styleId="DMETW36650BIPPARTASS1">
    <w:name w:val="DM_ETW_36650_BIP_PARTASS1"/>
    <w:rPr>
      <w:rFonts w:eastAsia="Calibri"/>
    </w:rPr>
  </w:style>
  <w:style w:type="paragraph" w:customStyle="1" w:styleId="DMETW36650BIPPARTASS2">
    <w:name w:val="DM_ETW_36650_BIP_PARTASS2"/>
    <w:rPr>
      <w:rFonts w:eastAsia="Calibri"/>
    </w:rPr>
  </w:style>
  <w:style w:type="paragraph" w:customStyle="1" w:styleId="DMETW36650BIPEIF2">
    <w:name w:val="DM_ETW_36650_BIP_EIF2"/>
    <w:rPr>
      <w:rFonts w:eastAsia="Calibri"/>
    </w:rPr>
  </w:style>
  <w:style w:type="paragraph" w:customStyle="1" w:styleId="DMETW36650BIPEIF1">
    <w:name w:val="DM_ETW_36650_BIP_EIF1"/>
    <w:rPr>
      <w:rFonts w:eastAsia="Calibri"/>
    </w:rPr>
  </w:style>
  <w:style w:type="paragraph" w:customStyle="1" w:styleId="DMETW36764BIPFINA">
    <w:name w:val="DM_ETW_36764_BIP_FINA"/>
    <w:rPr>
      <w:rFonts w:eastAsia="Calibri"/>
    </w:rPr>
  </w:style>
  <w:style w:type="paragraph" w:customStyle="1" w:styleId="DMETW36764BIPLO">
    <w:name w:val="DM_ETW_36764_BIP_LO"/>
    <w:rPr>
      <w:rFonts w:eastAsia="Calibri"/>
    </w:rPr>
  </w:style>
  <w:style w:type="paragraph" w:customStyle="1" w:styleId="DMETW36627BIPLNGEU">
    <w:name w:val="DM_ETW_36627_BIP_LNGEU"/>
    <w:rPr>
      <w:rFonts w:eastAsia="Calibri"/>
    </w:rPr>
  </w:style>
  <w:style w:type="paragraph" w:customStyle="1" w:styleId="DMETW36627BIPLMS">
    <w:name w:val="DM_ETW_36627_BIP_LMS"/>
    <w:rPr>
      <w:rFonts w:eastAsia="Calibri"/>
    </w:rPr>
  </w:style>
  <w:style w:type="paragraph" w:customStyle="1" w:styleId="DMETW36627BIPLTC">
    <w:name w:val="DM_ETW_36627_BIP_LTC"/>
    <w:rPr>
      <w:rFonts w:eastAsia="Calibri"/>
    </w:rPr>
  </w:style>
  <w:style w:type="paragraph" w:customStyle="1" w:styleId="DMETW36764BIPFAFVTSD">
    <w:name w:val="DM_ETW_36764_BIP_FAFVTSD"/>
    <w:rPr>
      <w:rFonts w:eastAsia="Calibri"/>
    </w:rPr>
  </w:style>
  <w:style w:type="paragraph" w:customStyle="1" w:styleId="DMETW36764BIPFAFVNONDBT">
    <w:name w:val="DM_ETW_36764_BIP_FAFVNONDBT"/>
    <w:rPr>
      <w:rFonts w:eastAsia="Calibri"/>
    </w:rPr>
  </w:style>
  <w:style w:type="paragraph" w:customStyle="1" w:styleId="DMETW36764BIPFAFVSDND">
    <w:name w:val="DM_ETW_36764_BIP_FAFVSDND"/>
    <w:rPr>
      <w:rFonts w:eastAsia="Calibri"/>
    </w:rPr>
  </w:style>
  <w:style w:type="paragraph" w:customStyle="1" w:styleId="DMETW36764BIPFVH">
    <w:name w:val="DM_ETW_36764_BIP_FVH"/>
    <w:rPr>
      <w:rFonts w:eastAsia="Calibri"/>
    </w:rPr>
  </w:style>
  <w:style w:type="paragraph" w:customStyle="1" w:styleId="DMETW36627BIPRECONONDFA">
    <w:name w:val="DM_ETW_36627_BIP_RECONONDFA"/>
    <w:rPr>
      <w:rFonts w:eastAsia="Calibri"/>
    </w:rPr>
  </w:style>
  <w:style w:type="paragraph" w:customStyle="1" w:styleId="DMETW36627BIPFAFVDBT">
    <w:name w:val="DM_ETW_36627_BIP_FAFVDBT"/>
    <w:rPr>
      <w:rFonts w:eastAsia="Calibri"/>
    </w:rPr>
  </w:style>
  <w:style w:type="paragraph" w:customStyle="1" w:styleId="DMETW36627BIPFVHDFAL">
    <w:name w:val="DM_ETW_36627_BIP_FVHDFAL"/>
    <w:rPr>
      <w:rFonts w:eastAsia="Calibri"/>
    </w:rPr>
  </w:style>
  <w:style w:type="paragraph" w:customStyle="1" w:styleId="DMETW36627BIPRECODER">
    <w:name w:val="DM_ETW_36627_BIP_RECODER"/>
    <w:rPr>
      <w:rFonts w:eastAsia="Calibri"/>
    </w:rPr>
  </w:style>
  <w:style w:type="paragraph" w:customStyle="1" w:styleId="DMETW36765BIPPF">
    <w:name w:val="DM_ETW_36765_BIP_PF"/>
    <w:rPr>
      <w:rFonts w:eastAsia="Calibri"/>
    </w:rPr>
  </w:style>
  <w:style w:type="paragraph" w:customStyle="1" w:styleId="DMETW36765BIPPFD">
    <w:name w:val="DM_ETW_36765_BIP_PFD"/>
    <w:rPr>
      <w:rFonts w:eastAsia="Calibri"/>
    </w:rPr>
  </w:style>
  <w:style w:type="paragraph" w:customStyle="1" w:styleId="DMETW36765BIPPFDOLD">
    <w:name w:val="DM_ETW_36765_BIP_PFDOLD"/>
    <w:rPr>
      <w:rFonts w:eastAsia="Calibri"/>
    </w:rPr>
  </w:style>
  <w:style w:type="paragraph" w:customStyle="1" w:styleId="DMETW36629BIPFEIAS">
    <w:name w:val="DM_ETW_36629_BIP_FEIAS"/>
    <w:rPr>
      <w:rFonts w:eastAsia="Calibri"/>
    </w:rPr>
  </w:style>
  <w:style w:type="paragraph" w:customStyle="1" w:styleId="Heading8pNormalCentered">
    <w:name w:val="Heading_8p_Normal_Centered"/>
    <w:qFormat/>
    <w:rsid w:val="00870347"/>
    <w:pPr>
      <w:jc w:val="center"/>
    </w:pPr>
    <w:rPr>
      <w:rFonts w:ascii="Verdana" w:eastAsia="Calibri" w:hAnsi="Verdana"/>
      <w:noProof/>
      <w:color w:val="FFFFFF"/>
      <w:sz w:val="16"/>
      <w:szCs w:val="30"/>
      <w:lang w:eastAsia="en-US"/>
    </w:rPr>
  </w:style>
  <w:style w:type="paragraph" w:customStyle="1" w:styleId="DMETW36745BIPERNER">
    <w:name w:val="DM_ETW_36745_BIP_ERNER"/>
    <w:rPr>
      <w:rFonts w:eastAsia="Calibri"/>
    </w:rPr>
  </w:style>
  <w:style w:type="paragraph" w:customStyle="1" w:styleId="DMETW36745BIPRNET">
    <w:name w:val="DM_ETW_36745_BIP_RNET"/>
    <w:rPr>
      <w:rFonts w:eastAsia="Calibri"/>
    </w:rPr>
  </w:style>
  <w:style w:type="paragraph" w:customStyle="1" w:styleId="DMETW36746BIPRMS">
    <w:name w:val="DM_ETW_36746_BIP_RMS"/>
    <w:rPr>
      <w:rFonts w:eastAsia="Calibri"/>
    </w:rPr>
  </w:style>
  <w:style w:type="paragraph" w:customStyle="1" w:styleId="DMETW36745BIPPAYWA">
    <w:name w:val="DM_ETW_36745_BIP_PAYWA"/>
    <w:rPr>
      <w:rFonts w:eastAsia="Calibri"/>
    </w:rPr>
  </w:style>
  <w:style w:type="paragraph" w:customStyle="1" w:styleId="DMETW36745BIPOComm">
    <w:name w:val="DM_ETW_36745_BIP_OComm"/>
    <w:rPr>
      <w:rFonts w:eastAsia="Calibri"/>
    </w:rPr>
  </w:style>
  <w:style w:type="paragraph" w:customStyle="1" w:styleId="DMETW36745BIPUliab">
    <w:name w:val="DM_ETW_36745_BIP_Uliab"/>
    <w:rPr>
      <w:rFonts w:eastAsia="Calibri"/>
    </w:rPr>
  </w:style>
  <w:style w:type="paragraph" w:customStyle="1" w:styleId="DMETW36745BIPOthAm">
    <w:name w:val="DM_ETW_36745_BIP_OthAm"/>
    <w:rPr>
      <w:rFonts w:eastAsia="Calibri"/>
    </w:rPr>
  </w:style>
  <w:style w:type="paragraph" w:customStyle="1" w:styleId="DMETW36745BIPArt136">
    <w:name w:val="DM_ETW_36745_BIP_Art136"/>
    <w:rPr>
      <w:rFonts w:eastAsia="Calibri"/>
    </w:rPr>
  </w:style>
  <w:style w:type="paragraph" w:customStyle="1" w:styleId="DMETW36612BIPFINES">
    <w:name w:val="DM_ETW_36612_BIP_FINES"/>
    <w:rPr>
      <w:rFonts w:eastAsia="Calibri"/>
    </w:rPr>
  </w:style>
  <w:style w:type="paragraph" w:customStyle="1" w:styleId="DMETW36747BIPAIDC">
    <w:name w:val="DM_ETW_36747_BIP_AIDC"/>
    <w:rPr>
      <w:rFonts w:eastAsia="Calibri"/>
    </w:rPr>
  </w:style>
  <w:style w:type="paragraph" w:customStyle="1" w:styleId="DMETW36745BIPRET">
    <w:name w:val="DM_ETW_36745_BIP_RET"/>
    <w:rPr>
      <w:rFonts w:eastAsia="Calibri"/>
    </w:rPr>
  </w:style>
  <w:style w:type="paragraph" w:customStyle="1" w:styleId="DMETW36766BIPINV">
    <w:name w:val="DM_ETW_36766_BIP_INV"/>
    <w:rPr>
      <w:rFonts w:eastAsia="Calibri"/>
    </w:rPr>
  </w:style>
  <w:style w:type="paragraph" w:customStyle="1" w:styleId="DMETW36767BIPCCE">
    <w:name w:val="DM_ETW_36767_BIP_CCE"/>
    <w:rPr>
      <w:rFonts w:eastAsia="Calibri"/>
    </w:rPr>
  </w:style>
  <w:style w:type="paragraph" w:customStyle="1" w:styleId="DMETW36768BIPPENS1">
    <w:name w:val="DM_ETW_36768_BIP_PENS1"/>
    <w:rPr>
      <w:rFonts w:eastAsia="Calibri"/>
    </w:rPr>
  </w:style>
  <w:style w:type="paragraph" w:customStyle="1" w:styleId="DMETW36768BIPPENS2">
    <w:name w:val="DM_ETW_36768_BIP_PENS2"/>
    <w:rPr>
      <w:rFonts w:eastAsia="Calibri"/>
    </w:rPr>
  </w:style>
  <w:style w:type="paragraph" w:customStyle="1" w:styleId="DMETW36768BIPPENS3">
    <w:name w:val="DM_ETW_36768_BIP_PENS3"/>
    <w:rPr>
      <w:rFonts w:eastAsia="Calibri"/>
    </w:rPr>
  </w:style>
  <w:style w:type="paragraph" w:customStyle="1" w:styleId="DMETW36768BIPSPL">
    <w:name w:val="DM_ETW_36768_BIP_SPL"/>
    <w:rPr>
      <w:rFonts w:eastAsia="Calibri"/>
    </w:rPr>
  </w:style>
  <w:style w:type="paragraph" w:customStyle="1" w:styleId="DMETW36768BIPPENS10">
    <w:name w:val="DM_ETW_36768_BIP_PENS10"/>
    <w:rPr>
      <w:rFonts w:eastAsia="Calibri"/>
    </w:rPr>
  </w:style>
  <w:style w:type="paragraph" w:customStyle="1" w:styleId="DMETW36768BIPPENS11">
    <w:name w:val="DM_ETW_36768_BIP_PENS11"/>
    <w:rPr>
      <w:rFonts w:eastAsia="Calibri"/>
    </w:rPr>
  </w:style>
  <w:style w:type="paragraph" w:customStyle="1" w:styleId="DMETW36768BIPPENS12">
    <w:name w:val="DM_ETW_36768_BIP_PENS12"/>
    <w:rPr>
      <w:rFonts w:eastAsia="Calibri"/>
    </w:rPr>
  </w:style>
  <w:style w:type="paragraph" w:customStyle="1" w:styleId="DMETW36768BIPPENS6">
    <w:name w:val="DM_ETW_36768_BIP_PENS6"/>
    <w:rPr>
      <w:rFonts w:eastAsia="Calibri"/>
    </w:rPr>
  </w:style>
  <w:style w:type="paragraph" w:customStyle="1" w:styleId="DMETW36768BIPPENS7">
    <w:name w:val="DM_ETW_36768_BIP_PENS7"/>
    <w:rPr>
      <w:rFonts w:eastAsia="Calibri"/>
    </w:rPr>
  </w:style>
  <w:style w:type="paragraph" w:customStyle="1" w:styleId="DMETW36768BIPPENS8">
    <w:name w:val="DM_ETW_36768_BIP_PENS8"/>
    <w:rPr>
      <w:rFonts w:eastAsia="Calibri"/>
    </w:rPr>
  </w:style>
  <w:style w:type="paragraph" w:customStyle="1" w:styleId="DMETW36768BIPPENS9">
    <w:name w:val="DM_ETW_36768_BIP_PENS9"/>
    <w:rPr>
      <w:rFonts w:eastAsia="Calibri"/>
    </w:rPr>
  </w:style>
  <w:style w:type="paragraph" w:customStyle="1" w:styleId="DMETW36769BIPPROV">
    <w:name w:val="DM_ETW_36769_BIP_PROV"/>
    <w:rPr>
      <w:rFonts w:eastAsia="Calibri"/>
    </w:rPr>
  </w:style>
  <w:style w:type="paragraph" w:customStyle="1" w:styleId="DMETW36770BIPFINL">
    <w:name w:val="DM_ETW_36770_BIP_FINL"/>
    <w:rPr>
      <w:rFonts w:eastAsia="Calibri"/>
    </w:rPr>
  </w:style>
  <w:style w:type="paragraph" w:customStyle="1" w:styleId="DMETW36770BIPBORR">
    <w:name w:val="DM_ETW_36770_BIP_BORR"/>
    <w:rPr>
      <w:rFonts w:eastAsia="Calibri"/>
    </w:rPr>
  </w:style>
  <w:style w:type="paragraph" w:customStyle="1" w:styleId="DMETW36633BIPLGFBF">
    <w:name w:val="DM_ETW_36633_BIP_LGFBF"/>
    <w:rPr>
      <w:rFonts w:eastAsia="Calibri"/>
    </w:rPr>
  </w:style>
  <w:style w:type="paragraph" w:customStyle="1" w:styleId="DMETW36770BIPOthFinanL">
    <w:name w:val="DM_ETW_36770_BIP_OthFinanL"/>
    <w:rPr>
      <w:rFonts w:eastAsia="Calibri"/>
    </w:rPr>
  </w:style>
  <w:style w:type="paragraph" w:customStyle="1" w:styleId="DMETW36772BIPFL">
    <w:name w:val="DM_ETW_36772_BIP_FL"/>
    <w:rPr>
      <w:rFonts w:eastAsia="Calibri"/>
    </w:rPr>
  </w:style>
  <w:style w:type="paragraph" w:customStyle="1" w:styleId="DMETW36633BIPFGL">
    <w:name w:val="DM_ETW_36633_BIP_FGL"/>
    <w:rPr>
      <w:rFonts w:eastAsia="Calibri"/>
    </w:rPr>
  </w:style>
  <w:style w:type="paragraph" w:customStyle="1" w:styleId="DMETW36748BIPPAYAB">
    <w:name w:val="DM_ETW_36748_BIP_PAYAB"/>
    <w:rPr>
      <w:rFonts w:eastAsia="Calibri"/>
    </w:rPr>
  </w:style>
  <w:style w:type="paragraph" w:customStyle="1" w:styleId="DMETW36773BIPACCDEF">
    <w:name w:val="DM_ETW_36773_BIP_ACCDEF"/>
    <w:rPr>
      <w:rFonts w:eastAsia="Calibri"/>
    </w:rPr>
  </w:style>
  <w:style w:type="paragraph" w:customStyle="1" w:styleId="DMETW36773BIPACDISPLIT">
    <w:name w:val="DM_ETW_36773_BIP_ACDISPLIT"/>
    <w:rPr>
      <w:rFonts w:eastAsia="Calibri"/>
    </w:rPr>
  </w:style>
  <w:style w:type="paragraph" w:customStyle="1" w:styleId="DMETW36774BIPMEMST1">
    <w:name w:val="DM_ETW_36774_BIP_MEMST1"/>
    <w:rPr>
      <w:rFonts w:eastAsia="Calibri"/>
    </w:rPr>
  </w:style>
  <w:style w:type="paragraph" w:customStyle="1" w:styleId="DMETW36775BIPRECOVEXP">
    <w:name w:val="DM_ETW_36775_BIP_RECOVEXP"/>
    <w:rPr>
      <w:rFonts w:eastAsia="Calibri"/>
    </w:rPr>
  </w:style>
  <w:style w:type="paragraph" w:customStyle="1" w:styleId="DMETW36749BIPONER">
    <w:name w:val="DM_ETW_36749_BIP_ONER"/>
    <w:rPr>
      <w:rFonts w:eastAsia="Calibri"/>
    </w:rPr>
  </w:style>
  <w:style w:type="paragraph" w:customStyle="1" w:styleId="DMETW36759BIPFINREV">
    <w:name w:val="DM_ETW_36759_BIP_FINREV"/>
    <w:rPr>
      <w:rFonts w:eastAsia="Calibri"/>
    </w:rPr>
  </w:style>
  <w:style w:type="paragraph" w:customStyle="1" w:styleId="DMETW36776BIPOER">
    <w:name w:val="DM_ETW_36776_BIP_OER"/>
    <w:rPr>
      <w:rFonts w:eastAsia="Calibri"/>
    </w:rPr>
  </w:style>
  <w:style w:type="paragraph" w:customStyle="1" w:styleId="DMETW36750BIPMS">
    <w:name w:val="DM_ETW_36750_BIP_MS"/>
    <w:rPr>
      <w:rFonts w:eastAsia="Calibri"/>
    </w:rPr>
  </w:style>
  <w:style w:type="paragraph" w:customStyle="1" w:styleId="DMETW36750BIPGR">
    <w:name w:val="DM_ETW_36750_BIP_GR"/>
    <w:rPr>
      <w:rFonts w:eastAsia="Calibri"/>
    </w:rPr>
  </w:style>
  <w:style w:type="paragraph" w:customStyle="1" w:styleId="DMETW36750BIPCT">
    <w:name w:val="DM_ETW_36750_BIP_CT"/>
    <w:rPr>
      <w:rFonts w:eastAsia="Calibri"/>
    </w:rPr>
  </w:style>
  <w:style w:type="paragraph" w:customStyle="1" w:styleId="DMETW36777BIPSPC">
    <w:name w:val="DM_ETW_36777_BIP_SPC"/>
    <w:rPr>
      <w:rFonts w:eastAsia="Calibri"/>
    </w:rPr>
  </w:style>
  <w:style w:type="paragraph" w:customStyle="1" w:styleId="DMETW36760BIPFINEXP">
    <w:name w:val="DM_ETW_36760_BIP_FINEXP"/>
    <w:rPr>
      <w:rFonts w:eastAsia="Calibri"/>
    </w:rPr>
  </w:style>
  <w:style w:type="paragraph" w:customStyle="1" w:styleId="DMETW36751BIPOE">
    <w:name w:val="DM_ETW_36751_BIP_OE"/>
    <w:rPr>
      <w:rFonts w:eastAsia="Calibri"/>
    </w:rPr>
  </w:style>
  <w:style w:type="paragraph" w:customStyle="1" w:styleId="DMETW36751BIPRD">
    <w:name w:val="DM_ETW_36751_BIP_RD"/>
    <w:rPr>
      <w:rFonts w:eastAsia="Calibri"/>
    </w:rPr>
  </w:style>
  <w:style w:type="paragraph" w:customStyle="1" w:styleId="DMETW36752BIPSEGREP">
    <w:name w:val="DM_ETW_36752_BIP_SEGREP"/>
    <w:rPr>
      <w:rFonts w:eastAsia="Calibri"/>
    </w:rPr>
  </w:style>
  <w:style w:type="paragraph" w:customStyle="1" w:styleId="DMETW38212BIPPLreclass">
    <w:name w:val="DM_ETW_38212_BIP_PLreclass"/>
    <w:rPr>
      <w:rFonts w:eastAsia="Calibri"/>
    </w:rPr>
  </w:style>
  <w:style w:type="paragraph" w:customStyle="1" w:styleId="DMETW36639BIPGUARCY">
    <w:name w:val="DM_ETW_36639_BIP_GUARCY"/>
    <w:rPr>
      <w:rFonts w:eastAsia="Calibri"/>
    </w:rPr>
  </w:style>
  <w:style w:type="paragraph" w:customStyle="1" w:styleId="DMETW36639BIPGUARPY">
    <w:name w:val="DM_ETW_36639_BIP_GUARPY"/>
    <w:rPr>
      <w:rFonts w:eastAsia="Calibri"/>
    </w:rPr>
  </w:style>
  <w:style w:type="paragraph" w:customStyle="1" w:styleId="DMETW36638BIPINSGUA">
    <w:name w:val="DM_ETW_36638_BIP_INSGUA"/>
    <w:rPr>
      <w:rFonts w:eastAsia="Calibri"/>
    </w:rPr>
  </w:style>
  <w:style w:type="paragraph" w:customStyle="1" w:styleId="DMETW36762BIPCL">
    <w:name w:val="DM_ETW_36762_BIP_CL"/>
    <w:rPr>
      <w:rFonts w:eastAsia="Calibri"/>
    </w:rPr>
  </w:style>
  <w:style w:type="paragraph" w:customStyle="1" w:styleId="DMETW36762BIPCA">
    <w:name w:val="DM_ETW_36762_BIP_CA"/>
    <w:rPr>
      <w:rFonts w:eastAsia="Calibri"/>
    </w:rPr>
  </w:style>
  <w:style w:type="paragraph" w:customStyle="1" w:styleId="DMETW36763BIPOBULEG">
    <w:name w:val="DM_ETW_36763_BIP_OBULEG"/>
    <w:rPr>
      <w:rFonts w:eastAsia="Calibri"/>
    </w:rPr>
  </w:style>
  <w:style w:type="paragraph" w:customStyle="1" w:styleId="DMETW36763BIPOCNYE">
    <w:name w:val="DM_ETW_36763_BIP_OCNYE"/>
    <w:rPr>
      <w:rFonts w:eastAsia="Calibri"/>
    </w:rPr>
  </w:style>
  <w:style w:type="paragraph" w:customStyle="1" w:styleId="DMETW36763BIPLEGCOM">
    <w:name w:val="DM_ETW_36763_BIP_LEGCOM"/>
    <w:rPr>
      <w:rFonts w:eastAsia="Calibri"/>
    </w:rPr>
  </w:style>
  <w:style w:type="paragraph" w:customStyle="1" w:styleId="DMETW36761BIPPPERE">
    <w:name w:val="DM_ETW_36761_BIP_PPERE"/>
    <w:rPr>
      <w:rFonts w:eastAsia="Calibri"/>
    </w:rPr>
  </w:style>
  <w:style w:type="paragraph" w:customStyle="1" w:styleId="Heading7pNormalCentered">
    <w:name w:val="Heading_7p_Normal_Centered"/>
    <w:basedOn w:val="Heading8pNormalCentered"/>
    <w:qFormat/>
    <w:rsid w:val="009019CA"/>
    <w:rPr>
      <w:sz w:val="14"/>
    </w:rPr>
  </w:style>
  <w:style w:type="paragraph" w:customStyle="1" w:styleId="DMETW36753BIPCRCY">
    <w:name w:val="DM_ETW_36753_BIP_CRCY"/>
    <w:rPr>
      <w:rFonts w:eastAsia="Calibri"/>
    </w:rPr>
  </w:style>
  <w:style w:type="paragraph" w:customStyle="1" w:styleId="DMETW36753BIPCRPY">
    <w:name w:val="DM_ETW_36753_BIP_CRPY"/>
    <w:rPr>
      <w:rFonts w:eastAsia="Calibri"/>
    </w:rPr>
  </w:style>
  <w:style w:type="paragraph" w:customStyle="1" w:styleId="DMETW36753BIPCYS">
    <w:name w:val="DM_ETW_36753_BIP_CYS"/>
    <w:rPr>
      <w:rFonts w:eastAsia="Calibri"/>
    </w:rPr>
  </w:style>
  <w:style w:type="paragraph" w:customStyle="1" w:styleId="DMETW36753BIPPYS">
    <w:name w:val="DM_ETW_36753_BIP_PYS"/>
    <w:rPr>
      <w:rFonts w:eastAsia="Calibri"/>
    </w:rPr>
  </w:style>
  <w:style w:type="paragraph" w:customStyle="1" w:styleId="DMETW36754BIPIRR">
    <w:name w:val="DM_ETW_36754_BIP_IRR"/>
    <w:rPr>
      <w:rFonts w:eastAsia="Calibri"/>
    </w:rPr>
  </w:style>
  <w:style w:type="paragraph" w:customStyle="1" w:styleId="DMETW36626BIPEQR">
    <w:name w:val="DM_ETW_36626_BIP_EQR"/>
    <w:rPr>
      <w:rFonts w:eastAsia="Calibri"/>
    </w:rPr>
  </w:style>
  <w:style w:type="paragraph" w:customStyle="1" w:styleId="DMETW36755BIPCDTRCY">
    <w:name w:val="DM_ETW_36755_BIP_CDTRCY"/>
    <w:rPr>
      <w:rFonts w:eastAsia="Calibri"/>
    </w:rPr>
  </w:style>
  <w:style w:type="paragraph" w:customStyle="1" w:styleId="DMETW36755BIPLOCDQ">
    <w:name w:val="DM_ETW_36755_BIP_LOCDQ"/>
    <w:rPr>
      <w:rFonts w:eastAsia="Calibri"/>
    </w:rPr>
  </w:style>
  <w:style w:type="paragraph" w:customStyle="1" w:styleId="DMETW36755BIPLOCDQPY">
    <w:name w:val="DM_ETW_36755_BIP_LOCDQPY"/>
    <w:rPr>
      <w:rFonts w:eastAsia="Calibri"/>
    </w:rPr>
  </w:style>
  <w:style w:type="paragraph" w:customStyle="1" w:styleId="DMETW36755BIPLOIMPLOS">
    <w:name w:val="DM_ETW_36755_BIP_LOIMPLOS"/>
    <w:rPr>
      <w:rFonts w:eastAsia="Calibri"/>
    </w:rPr>
  </w:style>
  <w:style w:type="paragraph" w:customStyle="1" w:styleId="DMETW36755BIPCECTQ">
    <w:name w:val="DM_ETW_36755_BIP_CECTQ"/>
    <w:rPr>
      <w:rFonts w:eastAsia="Calibri"/>
    </w:rPr>
  </w:style>
  <w:style w:type="paragraph" w:customStyle="1" w:styleId="DMETW36755BIPEXRCTQ">
    <w:name w:val="DM_ETW_36755_BIP_EXRCTQ"/>
    <w:rPr>
      <w:rFonts w:eastAsia="Calibri"/>
    </w:rPr>
  </w:style>
  <w:style w:type="paragraph" w:customStyle="1" w:styleId="DMETW36571BIPFGCTQ">
    <w:name w:val="DM_ETW_36571_BIP_FGCTQ"/>
    <w:rPr>
      <w:rFonts w:eastAsia="Calibri"/>
    </w:rPr>
  </w:style>
  <w:style w:type="paragraph" w:customStyle="1" w:styleId="DMETW36571BIPFGCLOS">
    <w:name w:val="DM_ETW_36571_BIP_FGCLOS"/>
    <w:rPr>
      <w:rFonts w:eastAsia="Calibri"/>
    </w:rPr>
  </w:style>
  <w:style w:type="paragraph" w:customStyle="1" w:styleId="DMETW36756BIPNDFLCY">
    <w:name w:val="DM_ETW_36756_BIP_NDFLCY"/>
    <w:rPr>
      <w:rFonts w:eastAsia="Calibri"/>
    </w:rPr>
  </w:style>
  <w:style w:type="paragraph" w:customStyle="1" w:styleId="DMETW36617BIPDFLCY">
    <w:name w:val="DM_ETW_36617_BIP_DFLCY"/>
    <w:rPr>
      <w:rFonts w:eastAsia="Calibri"/>
    </w:rPr>
  </w:style>
  <w:style w:type="paragraph" w:customStyle="1" w:styleId="DMETW36617BIPFGCY">
    <w:name w:val="DM_ETW_36617_BIP_FGCY"/>
    <w:rPr>
      <w:rFonts w:eastAsia="Calibri"/>
    </w:rPr>
  </w:style>
  <w:style w:type="paragraph" w:customStyle="1" w:styleId="DMETW36617BIPULC">
    <w:name w:val="DM_ETW_36617_BIP_ULC"/>
    <w:rPr>
      <w:rFonts w:eastAsia="Calibri"/>
    </w:rPr>
  </w:style>
  <w:style w:type="paragraph" w:customStyle="1" w:styleId="DMETW36692BIPKMT">
    <w:name w:val="DM_ETW_36692_BIP_KMT"/>
    <w:rPr>
      <w:rFonts w:eastAsia="Calibri"/>
    </w:rPr>
  </w:style>
  <w:style w:type="paragraph" w:customStyle="1" w:styleId="DMETW36740BIPCE">
    <w:name w:val="DM_ETW_36740_BIP_CE"/>
    <w:rPr>
      <w:rFonts w:eastAsia="Calibri"/>
    </w:rPr>
  </w:style>
  <w:style w:type="paragraph" w:customStyle="1" w:styleId="DMETW36691BIPBudgetresult">
    <w:name w:val="DM_ETW_36691_BIP_Budget_result"/>
    <w:rPr>
      <w:rFonts w:eastAsia="Calibri"/>
    </w:rPr>
  </w:style>
  <w:style w:type="paragraph" w:customStyle="1" w:styleId="DMETW36691BIPStatementofcomparisonRevenue">
    <w:name w:val="DM_ETW_36691_BIP_Statement_of_comparison_Revenue"/>
    <w:rPr>
      <w:rFonts w:eastAsia="Calibri"/>
    </w:rPr>
  </w:style>
  <w:style w:type="paragraph" w:customStyle="1" w:styleId="DMETW36691BIPStatementofcomparisonCommitments">
    <w:name w:val="DM_ETW_36691_BIP_Statement_of_comparison_Commitments"/>
    <w:rPr>
      <w:rFonts w:eastAsia="Calibri"/>
    </w:rPr>
  </w:style>
  <w:style w:type="paragraph" w:customStyle="1" w:styleId="DMETW36691BIPStatementofcomparisonPayments">
    <w:name w:val="DM_ETW_36691_BIP_Statement_of_comparison_Payments"/>
    <w:rPr>
      <w:rFonts w:eastAsia="Calibri"/>
    </w:rPr>
  </w:style>
  <w:style w:type="paragraph" w:customStyle="1" w:styleId="DMETW22324BIPFinancialFWK20142020">
    <w:name w:val="DM_ETW_22324_BIP_FinancialFWK20142020"/>
    <w:rsid w:val="00ED4F2A"/>
    <w:rPr>
      <w:rFonts w:eastAsia="Calibri"/>
    </w:rPr>
  </w:style>
  <w:style w:type="paragraph" w:customStyle="1" w:styleId="DMETW36669BIPReconciliation">
    <w:name w:val="DM_ETW_36669_BIP_Reconciliation"/>
    <w:rPr>
      <w:rFonts w:eastAsia="Calibri"/>
    </w:rPr>
  </w:style>
  <w:style w:type="paragraph" w:customStyle="1" w:styleId="DMETW36741BIPImplementationbudgetrevenue">
    <w:name w:val="DM_ETW_36741_BIP_Implementation_budget_revenue"/>
    <w:rPr>
      <w:rFonts w:eastAsia="Calibri"/>
    </w:rPr>
  </w:style>
  <w:style w:type="paragraph" w:customStyle="1" w:styleId="DMETW36742BIPMFF1BreakdownCommPaym">
    <w:name w:val="DM_ETW_36742_BIP_MFF_1_Breakdown_Comm_Paym"/>
    <w:rPr>
      <w:rFonts w:eastAsia="Calibri"/>
    </w:rPr>
  </w:style>
  <w:style w:type="paragraph" w:customStyle="1" w:styleId="DMETW36742BIPMFF2ImplementCommitments">
    <w:name w:val="DM_ETW_36742_BIP_MFF_2_Implement_Commitments"/>
    <w:rPr>
      <w:rFonts w:eastAsia="Calibri"/>
    </w:rPr>
  </w:style>
  <w:style w:type="paragraph" w:customStyle="1" w:styleId="DMETW36742BIPMFF3ImplementPayments">
    <w:name w:val="DM_ETW_36742_BIP_MFF_3_Implement_Payments"/>
    <w:rPr>
      <w:rFonts w:eastAsia="Calibri"/>
    </w:rPr>
  </w:style>
  <w:style w:type="paragraph" w:customStyle="1" w:styleId="DMETW36742BIPMFF4Commitmentsoutstanding">
    <w:name w:val="DM_ETW_36742_BIP_MFF_4_Commitments_outstanding"/>
    <w:rPr>
      <w:rFonts w:eastAsia="Calibri"/>
    </w:rPr>
  </w:style>
  <w:style w:type="paragraph" w:customStyle="1" w:styleId="DMETW36742BIPMFF5RALYoO">
    <w:name w:val="DM_ETW_36742_BIP_MFF_5_RAL_YoO"/>
    <w:rPr>
      <w:rFonts w:eastAsia="Calibri"/>
    </w:rPr>
  </w:style>
  <w:style w:type="paragraph" w:customStyle="1" w:styleId="DMETW36742BIPDetailedMFF1Breakdown">
    <w:name w:val="DM_ETW_36742_BIP_DetailedMFF_1_Breakdown"/>
    <w:rPr>
      <w:rFonts w:eastAsia="Calibri"/>
    </w:rPr>
  </w:style>
  <w:style w:type="paragraph" w:customStyle="1" w:styleId="DMETW36742BIPDetailedMFF2ImplementCommitments">
    <w:name w:val="DM_ETW_36742_BIP_DetailedMFF_2_Implement_Commitments"/>
    <w:rPr>
      <w:rFonts w:eastAsia="Calibri"/>
    </w:rPr>
  </w:style>
  <w:style w:type="paragraph" w:customStyle="1" w:styleId="DMETW36742BIPDetailedMFF3ImplementPayments">
    <w:name w:val="DM_ETW_36742_BIP_DetailedMFF_3_Implement_Payments"/>
    <w:rPr>
      <w:rFonts w:eastAsia="Calibri"/>
    </w:rPr>
  </w:style>
  <w:style w:type="paragraph" w:customStyle="1" w:styleId="DMETW36742BIPDetailedMFF4Commitmentsoustanding">
    <w:name w:val="DM_ETW_36742_BIP_DetailedMFF_4_Commitments_oustanding"/>
    <w:rPr>
      <w:rFonts w:eastAsia="Calibri"/>
    </w:rPr>
  </w:style>
  <w:style w:type="paragraph" w:customStyle="1" w:styleId="DMETW36742BIPDetailedMFF5RALYoO">
    <w:name w:val="DM_ETW_36742_BIP_DetailedMFF_5_RAL_YoO"/>
    <w:rPr>
      <w:rFonts w:eastAsia="Calibri"/>
    </w:rPr>
  </w:style>
  <w:style w:type="paragraph" w:customStyle="1" w:styleId="DMETW36778BIPInstitutions1Revenue">
    <w:name w:val="DM_ETW_36778_BIP_Institutions_1_Revenue"/>
    <w:rPr>
      <w:rFonts w:eastAsia="Calibri"/>
    </w:rPr>
  </w:style>
  <w:style w:type="paragraph" w:customStyle="1" w:styleId="DMETW36778BIPInstitutions2Commitments">
    <w:name w:val="DM_ETW_36778_BIP_Institutions_2_Commitments"/>
    <w:rPr>
      <w:rFonts w:eastAsia="Calibri"/>
    </w:rPr>
  </w:style>
  <w:style w:type="paragraph" w:customStyle="1" w:styleId="DMETW36778BIPInstitutions3Payments">
    <w:name w:val="DM_ETW_36778_BIP_Institutions_3_Payments"/>
    <w:rPr>
      <w:rFonts w:eastAsia="Calibri"/>
    </w:rPr>
  </w:style>
  <w:style w:type="paragraph" w:customStyle="1" w:styleId="DMETW36778BIPAgencies1Revenue">
    <w:name w:val="DM_ETW_36778_BIP_Agencies_1_Revenue"/>
    <w:rPr>
      <w:rFonts w:eastAsia="Calibri"/>
    </w:rPr>
  </w:style>
  <w:style w:type="paragraph" w:customStyle="1" w:styleId="DMETW36778BIPAgencies2TypeofRevenue">
    <w:name w:val="DM_ETW_36778_BIP_Agencies_2_Type_of_Revenue"/>
    <w:rPr>
      <w:rFonts w:eastAsia="Calibri"/>
    </w:rPr>
  </w:style>
  <w:style w:type="paragraph" w:customStyle="1" w:styleId="DMETW36778BIPAgencies3CommitmentsPayments">
    <w:name w:val="DM_ETW_36778_BIP_Agencies_3_Commitments_Payments"/>
    <w:rPr>
      <w:rFonts w:eastAsia="Calibri"/>
    </w:rPr>
  </w:style>
  <w:style w:type="paragraph" w:customStyle="1" w:styleId="DMETW36778BIPAgencies4TypeofExpenditure">
    <w:name w:val="DM_ETW_36778_BIP_Agencies_4_Type_of_Expenditure"/>
    <w:rPr>
      <w:rFonts w:eastAsia="Calibri"/>
    </w:rPr>
  </w:style>
  <w:style w:type="character" w:customStyle="1" w:styleId="st1">
    <w:name w:val="st1"/>
    <w:basedOn w:val="DefaultParagraphFont"/>
    <w:rsid w:val="0073492C"/>
  </w:style>
  <w:style w:type="paragraph" w:styleId="Revision">
    <w:name w:val="Revision"/>
    <w:hidden/>
    <w:uiPriority w:val="99"/>
    <w:semiHidden/>
    <w:rsid w:val="00453EB7"/>
    <w:rPr>
      <w:rFonts w:ascii="Times New Roman" w:hAnsi="Times New Roman"/>
      <w:sz w:val="24"/>
      <w:szCs w:val="24"/>
    </w:rPr>
  </w:style>
  <w:style w:type="paragraph" w:styleId="ListParagraph">
    <w:name w:val="List Paragraph"/>
    <w:basedOn w:val="Normal"/>
    <w:uiPriority w:val="34"/>
    <w:qFormat/>
    <w:rsid w:val="00044BBF"/>
    <w:pPr>
      <w:ind w:left="720"/>
      <w:contextualSpacing/>
    </w:pPr>
  </w:style>
  <w:style w:type="paragraph" w:customStyle="1" w:styleId="Pagedecouverture">
    <w:name w:val="Page de couverture"/>
    <w:basedOn w:val="Normal"/>
    <w:next w:val="Normal"/>
    <w:link w:val="PagedecouvertureChar"/>
    <w:rsid w:val="00BF2400"/>
    <w:pPr>
      <w:jc w:val="both"/>
    </w:pPr>
    <w:rPr>
      <w:rFonts w:eastAsiaTheme="minorHAnsi"/>
      <w:szCs w:val="22"/>
      <w:lang w:eastAsia="en-US"/>
    </w:rPr>
  </w:style>
  <w:style w:type="paragraph" w:customStyle="1" w:styleId="FooterCoverPage">
    <w:name w:val="Footer Cover Page"/>
    <w:basedOn w:val="Normal"/>
    <w:link w:val="FooterCoverPageChar"/>
    <w:rsid w:val="00BF2400"/>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BF2400"/>
    <w:rPr>
      <w:rFonts w:ascii="Times New Roman" w:eastAsiaTheme="minorHAnsi" w:hAnsi="Times New Roman"/>
      <w:sz w:val="24"/>
      <w:szCs w:val="22"/>
      <w:lang w:eastAsia="en-US"/>
    </w:rPr>
  </w:style>
  <w:style w:type="character" w:customStyle="1" w:styleId="FooterCoverPageChar">
    <w:name w:val="Footer Cover Page Char"/>
    <w:basedOn w:val="PagedecouvertureChar"/>
    <w:link w:val="FooterCoverPage"/>
    <w:rsid w:val="00BF2400"/>
    <w:rPr>
      <w:rFonts w:ascii="Times New Roman" w:eastAsiaTheme="minorHAnsi" w:hAnsi="Times New Roman"/>
      <w:sz w:val="24"/>
      <w:szCs w:val="24"/>
      <w:lang w:eastAsia="en-US"/>
    </w:rPr>
  </w:style>
  <w:style w:type="paragraph" w:customStyle="1" w:styleId="FooterSensitivity">
    <w:name w:val="Footer Sensitivity"/>
    <w:basedOn w:val="Normal"/>
    <w:link w:val="FooterSensitivityChar"/>
    <w:rsid w:val="00BF240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BF2400"/>
    <w:rPr>
      <w:rFonts w:ascii="Times New Roman" w:eastAsiaTheme="minorHAnsi" w:hAnsi="Times New Roman"/>
      <w:b/>
      <w:sz w:val="32"/>
      <w:szCs w:val="24"/>
      <w:lang w:eastAsia="en-US"/>
    </w:rPr>
  </w:style>
  <w:style w:type="paragraph" w:customStyle="1" w:styleId="HeaderCoverPage">
    <w:name w:val="Header Cover Page"/>
    <w:basedOn w:val="Normal"/>
    <w:link w:val="HeaderCoverPageChar"/>
    <w:rsid w:val="00BF2400"/>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BF2400"/>
    <w:rPr>
      <w:rFonts w:ascii="Times New Roman" w:eastAsiaTheme="minorHAnsi" w:hAnsi="Times New Roman"/>
      <w:sz w:val="24"/>
      <w:szCs w:val="24"/>
      <w:lang w:eastAsia="en-US"/>
    </w:rPr>
  </w:style>
  <w:style w:type="paragraph" w:customStyle="1" w:styleId="HeaderSensitivity">
    <w:name w:val="Header Sensitivity"/>
    <w:basedOn w:val="Normal"/>
    <w:link w:val="HeaderSensitivityChar"/>
    <w:rsid w:val="00BF240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BF2400"/>
    <w:rPr>
      <w:rFonts w:ascii="Times New Roman" w:eastAsiaTheme="minorHAnsi" w:hAnsi="Times New Roman"/>
      <w:b/>
      <w:sz w:val="32"/>
      <w:szCs w:val="24"/>
      <w:lang w:eastAsia="en-US"/>
    </w:rPr>
  </w:style>
  <w:style w:type="paragraph" w:customStyle="1" w:styleId="HeaderSensitivityRight">
    <w:name w:val="Header Sensitivity Right"/>
    <w:basedOn w:val="Normal"/>
    <w:link w:val="HeaderSensitivityRightChar"/>
    <w:rsid w:val="00BF2400"/>
    <w:pPr>
      <w:spacing w:after="120"/>
      <w:jc w:val="right"/>
    </w:pPr>
    <w:rPr>
      <w:sz w:val="28"/>
    </w:rPr>
  </w:style>
  <w:style w:type="character" w:customStyle="1" w:styleId="HeaderSensitivityRightChar">
    <w:name w:val="Header Sensitivity Right Char"/>
    <w:basedOn w:val="PagedecouvertureChar"/>
    <w:link w:val="HeaderSensitivityRight"/>
    <w:rsid w:val="00BF2400"/>
    <w:rPr>
      <w:rFonts w:ascii="Times New Roman" w:eastAsiaTheme="minorHAnsi" w:hAnsi="Times New Roman"/>
      <w:sz w:val="28"/>
      <w:szCs w:val="24"/>
      <w:lang w:eastAsia="en-US"/>
    </w:rPr>
  </w:style>
  <w:style w:type="character" w:customStyle="1" w:styleId="UnresolvedMention">
    <w:name w:val="Unresolved Mention"/>
    <w:basedOn w:val="DefaultParagraphFont"/>
    <w:uiPriority w:val="99"/>
    <w:semiHidden/>
    <w:unhideWhenUsed/>
    <w:rsid w:val="00504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43.xml"/><Relationship Id="rId21" Type="http://schemas.openxmlformats.org/officeDocument/2006/relationships/footer" Target="footer5.xml"/><Relationship Id="rId42" Type="http://schemas.openxmlformats.org/officeDocument/2006/relationships/footer" Target="footer8.xml"/><Relationship Id="rId47" Type="http://schemas.openxmlformats.org/officeDocument/2006/relationships/header" Target="header11.xml"/><Relationship Id="rId63" Type="http://schemas.openxmlformats.org/officeDocument/2006/relationships/header" Target="header19.xml"/><Relationship Id="rId68" Type="http://schemas.openxmlformats.org/officeDocument/2006/relationships/footer" Target="footer21.xml"/><Relationship Id="rId84" Type="http://schemas.openxmlformats.org/officeDocument/2006/relationships/hyperlink" Target="https://en.wikipedia.org/wiki/Bond_(finance)" TargetMode="External"/><Relationship Id="rId89" Type="http://schemas.openxmlformats.org/officeDocument/2006/relationships/header" Target="header29.xml"/><Relationship Id="rId112" Type="http://schemas.openxmlformats.org/officeDocument/2006/relationships/footer" Target="footer40.xml"/><Relationship Id="rId133" Type="http://schemas.openxmlformats.org/officeDocument/2006/relationships/header" Target="header51.xml"/><Relationship Id="rId138" Type="http://schemas.openxmlformats.org/officeDocument/2006/relationships/footer" Target="footer53.xml"/><Relationship Id="rId154" Type="http://schemas.openxmlformats.org/officeDocument/2006/relationships/header" Target="header61.xml"/><Relationship Id="rId159" Type="http://schemas.openxmlformats.org/officeDocument/2006/relationships/footer" Target="footer63.xml"/><Relationship Id="rId175" Type="http://schemas.openxmlformats.org/officeDocument/2006/relationships/footer" Target="footer71.xml"/><Relationship Id="rId170" Type="http://schemas.openxmlformats.org/officeDocument/2006/relationships/header" Target="header69.xml"/><Relationship Id="rId191" Type="http://schemas.openxmlformats.org/officeDocument/2006/relationships/footer" Target="footer79.xml"/><Relationship Id="rId196" Type="http://schemas.openxmlformats.org/officeDocument/2006/relationships/fontTable" Target="fontTable.xml"/><Relationship Id="rId16" Type="http://schemas.openxmlformats.org/officeDocument/2006/relationships/header" Target="header3.xml"/><Relationship Id="rId107" Type="http://schemas.openxmlformats.org/officeDocument/2006/relationships/header" Target="header38.xml"/><Relationship Id="rId11" Type="http://schemas.openxmlformats.org/officeDocument/2006/relationships/image" Target="media/image1.emf"/><Relationship Id="rId32" Type="http://schemas.openxmlformats.org/officeDocument/2006/relationships/image" Target="media/image10.emf"/><Relationship Id="rId37" Type="http://schemas.openxmlformats.org/officeDocument/2006/relationships/image" Target="media/image15.png"/><Relationship Id="rId53" Type="http://schemas.openxmlformats.org/officeDocument/2006/relationships/header" Target="header14.xml"/><Relationship Id="rId58" Type="http://schemas.openxmlformats.org/officeDocument/2006/relationships/header" Target="header17.xml"/><Relationship Id="rId74" Type="http://schemas.openxmlformats.org/officeDocument/2006/relationships/header" Target="header25.xml"/><Relationship Id="rId79" Type="http://schemas.openxmlformats.org/officeDocument/2006/relationships/header" Target="header27.xml"/><Relationship Id="rId102" Type="http://schemas.openxmlformats.org/officeDocument/2006/relationships/footer" Target="footer35.xml"/><Relationship Id="rId123" Type="http://schemas.openxmlformats.org/officeDocument/2006/relationships/header" Target="header46.xml"/><Relationship Id="rId128" Type="http://schemas.openxmlformats.org/officeDocument/2006/relationships/footer" Target="footer48.xml"/><Relationship Id="rId144" Type="http://schemas.openxmlformats.org/officeDocument/2006/relationships/footer" Target="footer56.xml"/><Relationship Id="rId149" Type="http://schemas.openxmlformats.org/officeDocument/2006/relationships/header" Target="header59.xml"/><Relationship Id="rId5" Type="http://schemas.openxmlformats.org/officeDocument/2006/relationships/numbering" Target="numbering.xml"/><Relationship Id="rId90" Type="http://schemas.openxmlformats.org/officeDocument/2006/relationships/footer" Target="footer29.xml"/><Relationship Id="rId95" Type="http://schemas.openxmlformats.org/officeDocument/2006/relationships/header" Target="header32.xml"/><Relationship Id="rId160" Type="http://schemas.openxmlformats.org/officeDocument/2006/relationships/header" Target="header64.xml"/><Relationship Id="rId165" Type="http://schemas.openxmlformats.org/officeDocument/2006/relationships/footer" Target="footer66.xml"/><Relationship Id="rId181" Type="http://schemas.openxmlformats.org/officeDocument/2006/relationships/footer" Target="footer74.xml"/><Relationship Id="rId186" Type="http://schemas.openxmlformats.org/officeDocument/2006/relationships/header" Target="header77.xml"/><Relationship Id="rId22" Type="http://schemas.openxmlformats.org/officeDocument/2006/relationships/header" Target="header6.xml"/><Relationship Id="rId27" Type="http://schemas.openxmlformats.org/officeDocument/2006/relationships/image" Target="media/image5.emf"/><Relationship Id="rId43" Type="http://schemas.openxmlformats.org/officeDocument/2006/relationships/header" Target="header9.xml"/><Relationship Id="rId48" Type="http://schemas.openxmlformats.org/officeDocument/2006/relationships/footer" Target="footer11.xml"/><Relationship Id="rId64" Type="http://schemas.openxmlformats.org/officeDocument/2006/relationships/footer" Target="footer19.xml"/><Relationship Id="rId69" Type="http://schemas.openxmlformats.org/officeDocument/2006/relationships/header" Target="header22.xml"/><Relationship Id="rId113" Type="http://schemas.openxmlformats.org/officeDocument/2006/relationships/header" Target="header41.xml"/><Relationship Id="rId118" Type="http://schemas.openxmlformats.org/officeDocument/2006/relationships/footer" Target="footer43.xml"/><Relationship Id="rId134" Type="http://schemas.openxmlformats.org/officeDocument/2006/relationships/footer" Target="footer51.xml"/><Relationship Id="rId139" Type="http://schemas.openxmlformats.org/officeDocument/2006/relationships/header" Target="header54.xml"/><Relationship Id="rId80" Type="http://schemas.openxmlformats.org/officeDocument/2006/relationships/footer" Target="footer27.xml"/><Relationship Id="rId85" Type="http://schemas.openxmlformats.org/officeDocument/2006/relationships/hyperlink" Target="https://en.wikipedia.org/wiki/Currencies" TargetMode="External"/><Relationship Id="rId150" Type="http://schemas.openxmlformats.org/officeDocument/2006/relationships/footer" Target="footer59.xml"/><Relationship Id="rId155" Type="http://schemas.openxmlformats.org/officeDocument/2006/relationships/footer" Target="footer61.xml"/><Relationship Id="rId171" Type="http://schemas.openxmlformats.org/officeDocument/2006/relationships/footer" Target="footer69.xml"/><Relationship Id="rId176" Type="http://schemas.openxmlformats.org/officeDocument/2006/relationships/header" Target="header72.xml"/><Relationship Id="rId192" Type="http://schemas.openxmlformats.org/officeDocument/2006/relationships/header" Target="header80.xml"/><Relationship Id="rId197" Type="http://schemas.openxmlformats.org/officeDocument/2006/relationships/theme" Target="theme/theme1.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1.emf"/><Relationship Id="rId38" Type="http://schemas.openxmlformats.org/officeDocument/2006/relationships/image" Target="media/image16.emf"/><Relationship Id="rId59" Type="http://schemas.openxmlformats.org/officeDocument/2006/relationships/footer" Target="footer16.xml"/><Relationship Id="rId103" Type="http://schemas.openxmlformats.org/officeDocument/2006/relationships/header" Target="header36.xml"/><Relationship Id="rId108" Type="http://schemas.openxmlformats.org/officeDocument/2006/relationships/footer" Target="footer38.xml"/><Relationship Id="rId124" Type="http://schemas.openxmlformats.org/officeDocument/2006/relationships/footer" Target="footer46.xml"/><Relationship Id="rId129" Type="http://schemas.openxmlformats.org/officeDocument/2006/relationships/header" Target="header49.xml"/><Relationship Id="rId54" Type="http://schemas.openxmlformats.org/officeDocument/2006/relationships/footer" Target="footer14.xml"/><Relationship Id="rId70" Type="http://schemas.openxmlformats.org/officeDocument/2006/relationships/footer" Target="footer22.xml"/><Relationship Id="rId75" Type="http://schemas.openxmlformats.org/officeDocument/2006/relationships/footer" Target="footer24.xml"/><Relationship Id="rId91" Type="http://schemas.openxmlformats.org/officeDocument/2006/relationships/header" Target="header30.xml"/><Relationship Id="rId96" Type="http://schemas.openxmlformats.org/officeDocument/2006/relationships/footer" Target="footer32.xml"/><Relationship Id="rId140" Type="http://schemas.openxmlformats.org/officeDocument/2006/relationships/footer" Target="footer54.xml"/><Relationship Id="rId145" Type="http://schemas.openxmlformats.org/officeDocument/2006/relationships/header" Target="header57.xml"/><Relationship Id="rId161" Type="http://schemas.openxmlformats.org/officeDocument/2006/relationships/header" Target="header65.xml"/><Relationship Id="rId166" Type="http://schemas.openxmlformats.org/officeDocument/2006/relationships/header" Target="header67.xml"/><Relationship Id="rId182" Type="http://schemas.openxmlformats.org/officeDocument/2006/relationships/header" Target="header75.xml"/><Relationship Id="rId187" Type="http://schemas.openxmlformats.org/officeDocument/2006/relationships/header" Target="header78.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image" Target="media/image6.emf"/><Relationship Id="rId49" Type="http://schemas.openxmlformats.org/officeDocument/2006/relationships/header" Target="header12.xml"/><Relationship Id="rId114" Type="http://schemas.openxmlformats.org/officeDocument/2006/relationships/footer" Target="footer41.xml"/><Relationship Id="rId119" Type="http://schemas.openxmlformats.org/officeDocument/2006/relationships/header" Target="header44.xml"/><Relationship Id="rId44" Type="http://schemas.openxmlformats.org/officeDocument/2006/relationships/footer" Target="footer9.xml"/><Relationship Id="rId60" Type="http://schemas.openxmlformats.org/officeDocument/2006/relationships/footer" Target="footer17.xml"/><Relationship Id="rId65" Type="http://schemas.openxmlformats.org/officeDocument/2006/relationships/header" Target="header20.xml"/><Relationship Id="rId81" Type="http://schemas.openxmlformats.org/officeDocument/2006/relationships/hyperlink" Target="https://en.wikipedia.org/wiki/Investment_fund" TargetMode="External"/><Relationship Id="rId86" Type="http://schemas.openxmlformats.org/officeDocument/2006/relationships/hyperlink" Target="https://en.wikipedia.org/wiki/Futures_contracts" TargetMode="External"/><Relationship Id="rId130" Type="http://schemas.openxmlformats.org/officeDocument/2006/relationships/header" Target="header50.xml"/><Relationship Id="rId135" Type="http://schemas.openxmlformats.org/officeDocument/2006/relationships/header" Target="header52.xml"/><Relationship Id="rId151" Type="http://schemas.openxmlformats.org/officeDocument/2006/relationships/image" Target="media/image17.png"/><Relationship Id="rId156" Type="http://schemas.openxmlformats.org/officeDocument/2006/relationships/header" Target="header62.xml"/><Relationship Id="rId177" Type="http://schemas.openxmlformats.org/officeDocument/2006/relationships/footer" Target="footer72.xml"/><Relationship Id="rId172" Type="http://schemas.openxmlformats.org/officeDocument/2006/relationships/header" Target="header70.xml"/><Relationship Id="rId193" Type="http://schemas.openxmlformats.org/officeDocument/2006/relationships/footer" Target="footer80.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7.xml"/><Relationship Id="rId109" Type="http://schemas.openxmlformats.org/officeDocument/2006/relationships/header" Target="header39.xml"/><Relationship Id="rId34" Type="http://schemas.openxmlformats.org/officeDocument/2006/relationships/image" Target="media/image12.png"/><Relationship Id="rId50" Type="http://schemas.openxmlformats.org/officeDocument/2006/relationships/footer" Target="footer12.xml"/><Relationship Id="rId55" Type="http://schemas.openxmlformats.org/officeDocument/2006/relationships/header" Target="header15.xml"/><Relationship Id="rId76" Type="http://schemas.openxmlformats.org/officeDocument/2006/relationships/footer" Target="footer25.xml"/><Relationship Id="rId97" Type="http://schemas.openxmlformats.org/officeDocument/2006/relationships/header" Target="header33.xml"/><Relationship Id="rId104" Type="http://schemas.openxmlformats.org/officeDocument/2006/relationships/footer" Target="footer36.xml"/><Relationship Id="rId120" Type="http://schemas.openxmlformats.org/officeDocument/2006/relationships/footer" Target="footer44.xml"/><Relationship Id="rId125" Type="http://schemas.openxmlformats.org/officeDocument/2006/relationships/header" Target="header47.xml"/><Relationship Id="rId141" Type="http://schemas.openxmlformats.org/officeDocument/2006/relationships/header" Target="header55.xml"/><Relationship Id="rId146" Type="http://schemas.openxmlformats.org/officeDocument/2006/relationships/footer" Target="footer57.xml"/><Relationship Id="rId167" Type="http://schemas.openxmlformats.org/officeDocument/2006/relationships/footer" Target="footer67.xml"/><Relationship Id="rId188" Type="http://schemas.openxmlformats.org/officeDocument/2006/relationships/footer" Target="footer77.xml"/><Relationship Id="rId7" Type="http://schemas.openxmlformats.org/officeDocument/2006/relationships/settings" Target="settings.xml"/><Relationship Id="rId71" Type="http://schemas.openxmlformats.org/officeDocument/2006/relationships/header" Target="header23.xml"/><Relationship Id="rId92" Type="http://schemas.openxmlformats.org/officeDocument/2006/relationships/footer" Target="footer30.xml"/><Relationship Id="rId162" Type="http://schemas.openxmlformats.org/officeDocument/2006/relationships/footer" Target="footer64.xml"/><Relationship Id="rId183" Type="http://schemas.openxmlformats.org/officeDocument/2006/relationships/footer" Target="footer75.xml"/><Relationship Id="rId2" Type="http://schemas.openxmlformats.org/officeDocument/2006/relationships/customXml" Target="../customXml/item2.xml"/><Relationship Id="rId29" Type="http://schemas.openxmlformats.org/officeDocument/2006/relationships/image" Target="media/image7.emf"/><Relationship Id="rId24" Type="http://schemas.openxmlformats.org/officeDocument/2006/relationships/image" Target="media/image2.emf"/><Relationship Id="rId40" Type="http://schemas.openxmlformats.org/officeDocument/2006/relationships/header" Target="header8.xml"/><Relationship Id="rId45" Type="http://schemas.openxmlformats.org/officeDocument/2006/relationships/header" Target="header10.xml"/><Relationship Id="rId66" Type="http://schemas.openxmlformats.org/officeDocument/2006/relationships/footer" Target="footer20.xml"/><Relationship Id="rId87" Type="http://schemas.openxmlformats.org/officeDocument/2006/relationships/header" Target="header28.xml"/><Relationship Id="rId110" Type="http://schemas.openxmlformats.org/officeDocument/2006/relationships/footer" Target="footer39.xml"/><Relationship Id="rId115" Type="http://schemas.openxmlformats.org/officeDocument/2006/relationships/header" Target="header42.xml"/><Relationship Id="rId131" Type="http://schemas.openxmlformats.org/officeDocument/2006/relationships/footer" Target="footer49.xml"/><Relationship Id="rId136" Type="http://schemas.openxmlformats.org/officeDocument/2006/relationships/footer" Target="footer52.xml"/><Relationship Id="rId157" Type="http://schemas.openxmlformats.org/officeDocument/2006/relationships/footer" Target="footer62.xml"/><Relationship Id="rId178" Type="http://schemas.openxmlformats.org/officeDocument/2006/relationships/header" Target="header73.xml"/><Relationship Id="rId61" Type="http://schemas.openxmlformats.org/officeDocument/2006/relationships/header" Target="header18.xml"/><Relationship Id="rId82" Type="http://schemas.openxmlformats.org/officeDocument/2006/relationships/hyperlink" Target="https://en.wikipedia.org/wiki/Stock_exchange" TargetMode="External"/><Relationship Id="rId152" Type="http://schemas.openxmlformats.org/officeDocument/2006/relationships/header" Target="header60.xml"/><Relationship Id="rId173" Type="http://schemas.openxmlformats.org/officeDocument/2006/relationships/footer" Target="footer70.xml"/><Relationship Id="rId194" Type="http://schemas.openxmlformats.org/officeDocument/2006/relationships/header" Target="head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footer" Target="footer15.xml"/><Relationship Id="rId77" Type="http://schemas.openxmlformats.org/officeDocument/2006/relationships/header" Target="header26.xml"/><Relationship Id="rId100" Type="http://schemas.openxmlformats.org/officeDocument/2006/relationships/footer" Target="footer34.xml"/><Relationship Id="rId105" Type="http://schemas.openxmlformats.org/officeDocument/2006/relationships/header" Target="header37.xml"/><Relationship Id="rId126" Type="http://schemas.openxmlformats.org/officeDocument/2006/relationships/footer" Target="footer47.xml"/><Relationship Id="rId147" Type="http://schemas.openxmlformats.org/officeDocument/2006/relationships/header" Target="header58.xml"/><Relationship Id="rId168" Type="http://schemas.openxmlformats.org/officeDocument/2006/relationships/header" Target="header68.xml"/><Relationship Id="rId8" Type="http://schemas.openxmlformats.org/officeDocument/2006/relationships/webSettings" Target="webSettings.xml"/><Relationship Id="rId51" Type="http://schemas.openxmlformats.org/officeDocument/2006/relationships/header" Target="header13.xml"/><Relationship Id="rId72" Type="http://schemas.openxmlformats.org/officeDocument/2006/relationships/footer" Target="footer23.xml"/><Relationship Id="rId93" Type="http://schemas.openxmlformats.org/officeDocument/2006/relationships/header" Target="header31.xml"/><Relationship Id="rId98" Type="http://schemas.openxmlformats.org/officeDocument/2006/relationships/footer" Target="footer33.xml"/><Relationship Id="rId121" Type="http://schemas.openxmlformats.org/officeDocument/2006/relationships/header" Target="header45.xml"/><Relationship Id="rId142" Type="http://schemas.openxmlformats.org/officeDocument/2006/relationships/footer" Target="footer55.xml"/><Relationship Id="rId163" Type="http://schemas.openxmlformats.org/officeDocument/2006/relationships/footer" Target="footer65.xml"/><Relationship Id="rId184" Type="http://schemas.openxmlformats.org/officeDocument/2006/relationships/header" Target="header76.xml"/><Relationship Id="rId189" Type="http://schemas.openxmlformats.org/officeDocument/2006/relationships/footer" Target="footer78.xml"/><Relationship Id="rId3" Type="http://schemas.openxmlformats.org/officeDocument/2006/relationships/customXml" Target="../customXml/item3.xml"/><Relationship Id="rId25" Type="http://schemas.openxmlformats.org/officeDocument/2006/relationships/image" Target="media/image3.emf"/><Relationship Id="rId46" Type="http://schemas.openxmlformats.org/officeDocument/2006/relationships/footer" Target="footer10.xml"/><Relationship Id="rId67" Type="http://schemas.openxmlformats.org/officeDocument/2006/relationships/header" Target="header21.xml"/><Relationship Id="rId116" Type="http://schemas.openxmlformats.org/officeDocument/2006/relationships/footer" Target="footer42.xml"/><Relationship Id="rId137" Type="http://schemas.openxmlformats.org/officeDocument/2006/relationships/header" Target="header53.xml"/><Relationship Id="rId158" Type="http://schemas.openxmlformats.org/officeDocument/2006/relationships/header" Target="header63.xml"/><Relationship Id="rId20" Type="http://schemas.openxmlformats.org/officeDocument/2006/relationships/footer" Target="footer4.xml"/><Relationship Id="rId41" Type="http://schemas.openxmlformats.org/officeDocument/2006/relationships/footer" Target="footer7.xml"/><Relationship Id="rId62" Type="http://schemas.openxmlformats.org/officeDocument/2006/relationships/footer" Target="footer18.xml"/><Relationship Id="rId83" Type="http://schemas.openxmlformats.org/officeDocument/2006/relationships/hyperlink" Target="https://en.wikipedia.org/wiki/Stock" TargetMode="External"/><Relationship Id="rId88" Type="http://schemas.openxmlformats.org/officeDocument/2006/relationships/footer" Target="footer28.xml"/><Relationship Id="rId111" Type="http://schemas.openxmlformats.org/officeDocument/2006/relationships/header" Target="header40.xml"/><Relationship Id="rId132" Type="http://schemas.openxmlformats.org/officeDocument/2006/relationships/footer" Target="footer50.xml"/><Relationship Id="rId153" Type="http://schemas.openxmlformats.org/officeDocument/2006/relationships/footer" Target="footer60.xml"/><Relationship Id="rId174" Type="http://schemas.openxmlformats.org/officeDocument/2006/relationships/header" Target="header71.xml"/><Relationship Id="rId179" Type="http://schemas.openxmlformats.org/officeDocument/2006/relationships/footer" Target="footer73.xml"/><Relationship Id="rId195" Type="http://schemas.openxmlformats.org/officeDocument/2006/relationships/footer" Target="footer81.xml"/><Relationship Id="rId190" Type="http://schemas.openxmlformats.org/officeDocument/2006/relationships/header" Target="header79.xml"/><Relationship Id="rId15" Type="http://schemas.openxmlformats.org/officeDocument/2006/relationships/footer" Target="footer2.xml"/><Relationship Id="rId36" Type="http://schemas.openxmlformats.org/officeDocument/2006/relationships/image" Target="media/image14.emf"/><Relationship Id="rId57" Type="http://schemas.openxmlformats.org/officeDocument/2006/relationships/header" Target="header16.xml"/><Relationship Id="rId106" Type="http://schemas.openxmlformats.org/officeDocument/2006/relationships/footer" Target="footer37.xml"/><Relationship Id="rId127" Type="http://schemas.openxmlformats.org/officeDocument/2006/relationships/header" Target="header48.xml"/><Relationship Id="rId10" Type="http://schemas.openxmlformats.org/officeDocument/2006/relationships/endnotes" Target="endnotes.xml"/><Relationship Id="rId31" Type="http://schemas.openxmlformats.org/officeDocument/2006/relationships/image" Target="media/image9.png"/><Relationship Id="rId52" Type="http://schemas.openxmlformats.org/officeDocument/2006/relationships/footer" Target="footer13.xml"/><Relationship Id="rId73" Type="http://schemas.openxmlformats.org/officeDocument/2006/relationships/header" Target="header24.xml"/><Relationship Id="rId78" Type="http://schemas.openxmlformats.org/officeDocument/2006/relationships/footer" Target="footer26.xml"/><Relationship Id="rId94" Type="http://schemas.openxmlformats.org/officeDocument/2006/relationships/footer" Target="footer31.xml"/><Relationship Id="rId99" Type="http://schemas.openxmlformats.org/officeDocument/2006/relationships/header" Target="header34.xml"/><Relationship Id="rId101" Type="http://schemas.openxmlformats.org/officeDocument/2006/relationships/header" Target="header35.xml"/><Relationship Id="rId122" Type="http://schemas.openxmlformats.org/officeDocument/2006/relationships/footer" Target="footer45.xml"/><Relationship Id="rId143" Type="http://schemas.openxmlformats.org/officeDocument/2006/relationships/header" Target="header56.xml"/><Relationship Id="rId148" Type="http://schemas.openxmlformats.org/officeDocument/2006/relationships/footer" Target="footer58.xml"/><Relationship Id="rId164" Type="http://schemas.openxmlformats.org/officeDocument/2006/relationships/header" Target="header66.xml"/><Relationship Id="rId169" Type="http://schemas.openxmlformats.org/officeDocument/2006/relationships/footer" Target="footer68.xml"/><Relationship Id="rId185" Type="http://schemas.openxmlformats.org/officeDocument/2006/relationships/footer" Target="footer76.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74.xml"/><Relationship Id="rId26" Type="http://schemas.openxmlformats.org/officeDocument/2006/relationships/image" Target="media/image4.emf"/></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publications/integrated-financial-and-accountability-reporting_en" TargetMode="External"/><Relationship Id="rId2" Type="http://schemas.openxmlformats.org/officeDocument/2006/relationships/hyperlink" Target="https://ec.europa.eu/info/publications/integrated-financial-and-accountability-reporting_en" TargetMode="External"/><Relationship Id="rId1" Type="http://schemas.openxmlformats.org/officeDocument/2006/relationships/hyperlink" Target="https://data.europa.eu/doi/10.2761/302803" TargetMode="External"/><Relationship Id="rId4" Type="http://schemas.openxmlformats.org/officeDocument/2006/relationships/hyperlink" Target="https://eur-lex.europa.eu/legal-content/EN/TXT/PDF/?uri=OJ:L_202400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6C807E458D104F97AC4CDBE48BF256" ma:contentTypeVersion="11" ma:contentTypeDescription="Create a new document." ma:contentTypeScope="" ma:versionID="1ceef3fb9bf652ba3529b40bda15bd6b">
  <xsd:schema xmlns:xsd="http://www.w3.org/2001/XMLSchema" xmlns:xs="http://www.w3.org/2001/XMLSchema" xmlns:p="http://schemas.microsoft.com/office/2006/metadata/properties" xmlns:ns2="cf07b5dd-b62f-41d8-bdf3-c607d93458ec" targetNamespace="http://schemas.microsoft.com/office/2006/metadata/properties" ma:root="true" ma:fieldsID="a31e47594f269459a5c674a5c278d2d4" ns2:_="">
    <xsd:import namespace="cf07b5dd-b62f-41d8-bdf3-c607d93458ec"/>
    <xsd:element name="properties">
      <xsd:complexType>
        <xsd:sequence>
          <xsd:element name="documentManagement">
            <xsd:complexType>
              <xsd:all>
                <xsd:element ref="ns2:Category" minOccurs="0"/>
                <xsd:element ref="ns2:Entity" minOccurs="0"/>
                <xsd:element ref="ns2:Year" minOccurs="0"/>
                <xsd:element ref="ns2:VersionClosure" minOccurs="0"/>
                <xsd:element ref="ns2:ClosureP_x002f_F" minOccurs="0"/>
                <xsd:element ref="ns2:DocumentType" minOccurs="0"/>
                <xsd:element ref="ns2:MediaServiceMetadata" minOccurs="0"/>
                <xsd:element ref="ns2:MediaServiceFastMetadata" minOccurs="0"/>
                <xsd:element ref="ns2:MediaServiceSearchProperties" minOccurs="0"/>
                <xsd:element ref="ns2:MediaServiceObjectDetectorVersions" minOccurs="0"/>
                <xsd:element ref="ns2:Typeofinstruc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7b5dd-b62f-41d8-bdf3-c607d93458ec"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ccounts"/>
          <xsd:enumeration value="Planning &amp; Coordination"/>
          <xsd:enumeration value="Audit"/>
        </xsd:restriction>
      </xsd:simpleType>
    </xsd:element>
    <xsd:element name="Entity" ma:index="9" nillable="true" ma:displayName="Entity" ma:format="Dropdown" ma:internalName="Entity">
      <xsd:simpleType>
        <xsd:restriction base="dms:Choice">
          <xsd:enumeration value="EC"/>
          <xsd:enumeration value="EU"/>
        </xsd:restriction>
      </xsd:simpleType>
    </xsd:element>
    <xsd:element name="Year" ma:index="10" nillable="true" ma:displayName="Year" ma:default="2024" ma:format="Dropdown" ma:internalName="Year">
      <xsd:simpleType>
        <xsd:restriction base="dms:Choice">
          <xsd:enumeration value="2023"/>
          <xsd:enumeration value="2024"/>
          <xsd:enumeration value="2025"/>
        </xsd:restriction>
      </xsd:simpleType>
    </xsd:element>
    <xsd:element name="VersionClosure" ma:index="11" nillable="true" ma:displayName="Closure version" ma:decimals="0" ma:format="Dropdown" ma:internalName="VersionClosure" ma:percentage="FALSE">
      <xsd:simpleType>
        <xsd:restriction base="dms:Number"/>
      </xsd:simpleType>
    </xsd:element>
    <xsd:element name="ClosureP_x002f_F" ma:index="12" nillable="true" ma:displayName="Closure P/F" ma:format="Dropdown" ma:internalName="ClosureP_x002f_F">
      <xsd:simpleType>
        <xsd:restriction base="dms:Choice">
          <xsd:enumeration value="Provisional"/>
          <xsd:enumeration value="Final"/>
        </xsd:restriction>
      </xsd:simpleType>
    </xsd:element>
    <xsd:element name="DocumentType" ma:index="13" nillable="true" ma:displayName="Document Type" ma:format="Dropdown" ma:internalName="DocumentType">
      <xsd:simpleType>
        <xsd:restriction base="dms:Choice">
          <xsd:enumeration value="Annexes"/>
          <xsd:enumeration value="FSDA"/>
          <xsd:enumeration value="IFAR"/>
          <xsd:enumeration value="Consistency check"/>
          <xsd:enumeration value="DM alignment"/>
          <xsd:enumeration value="Foreword"/>
          <xsd:enumeration value="Instructions"/>
          <xsd:enumeration value="Notes"/>
          <xsd:enumeration value="Coordination"/>
          <xsd:enumeration value="Dashboard"/>
          <xsd:enumeration value="MRL"/>
          <xsd:enumeration value="Debriefing"/>
          <xsd:enumeration value="Clearing letter"/>
          <xsd:enumeration value="Management letter"/>
          <xsd:enumeration value="Meeting minutes"/>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Typeofinstructions" ma:index="18" nillable="true" ma:displayName="Type of instructions" ma:format="Dropdown" ma:internalName="Typeofinstruction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sionClosure xmlns="cf07b5dd-b62f-41d8-bdf3-c607d93458ec" xsi:nil="true"/>
    <ClosureP_x002f_F xmlns="cf07b5dd-b62f-41d8-bdf3-c607d93458ec" xsi:nil="true"/>
    <Entity xmlns="cf07b5dd-b62f-41d8-bdf3-c607d93458ec" xsi:nil="true"/>
    <Typeofinstructions xmlns="cf07b5dd-b62f-41d8-bdf3-c607d93458ec" xsi:nil="true"/>
    <Category xmlns="cf07b5dd-b62f-41d8-bdf3-c607d93458ec" xsi:nil="true"/>
    <Year xmlns="cf07b5dd-b62f-41d8-bdf3-c607d93458ec">2024</Year>
    <DocumentType xmlns="cf07b5dd-b62f-41d8-bdf3-c607d93458e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67C20-CB43-43B4-978C-5EFAD45A4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7b5dd-b62f-41d8-bdf3-c607d9345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7FF27A-03EF-408B-A9F5-B41FF2749244}">
  <ds:schemaRefs>
    <ds:schemaRef ds:uri="http://schemas.microsoft.com/sharepoint/v3/contenttype/forms"/>
  </ds:schemaRefs>
</ds:datastoreItem>
</file>

<file path=customXml/itemProps3.xml><?xml version="1.0" encoding="utf-8"?>
<ds:datastoreItem xmlns:ds="http://schemas.openxmlformats.org/officeDocument/2006/customXml" ds:itemID="{6ECCDE2E-C4E6-498E-83C0-12F3771E64F8}">
  <ds:schemaRefs>
    <ds:schemaRef ds:uri="http://schemas.microsoft.com/office/2006/metadata/properties"/>
    <ds:schemaRef ds:uri="http://schemas.microsoft.com/office/infopath/2007/PartnerControls"/>
    <ds:schemaRef ds:uri="cf07b5dd-b62f-41d8-bdf3-c607d93458ec"/>
  </ds:schemaRefs>
</ds:datastoreItem>
</file>

<file path=customXml/itemProps4.xml><?xml version="1.0" encoding="utf-8"?>
<ds:datastoreItem xmlns:ds="http://schemas.openxmlformats.org/officeDocument/2006/customXml" ds:itemID="{BE824B95-0689-4D93-94CA-084FD437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74192</Words>
  <Characters>422900</Characters>
  <Application>Microsoft Office Word</Application>
  <DocSecurity>0</DocSecurity>
  <Lines>3524</Lines>
  <Paragraphs>992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496100</CharactersWithSpaces>
  <SharedDoc>false</SharedDoc>
  <HLinks>
    <vt:vector size="534" baseType="variant">
      <vt:variant>
        <vt:i4>1441843</vt:i4>
      </vt:variant>
      <vt:variant>
        <vt:i4>503</vt:i4>
      </vt:variant>
      <vt:variant>
        <vt:i4>0</vt:i4>
      </vt:variant>
      <vt:variant>
        <vt:i4>5</vt:i4>
      </vt:variant>
      <vt:variant>
        <vt:lpwstr/>
      </vt:variant>
      <vt:variant>
        <vt:lpwstr>_Toc232674406</vt:lpwstr>
      </vt:variant>
      <vt:variant>
        <vt:i4>1441843</vt:i4>
      </vt:variant>
      <vt:variant>
        <vt:i4>497</vt:i4>
      </vt:variant>
      <vt:variant>
        <vt:i4>0</vt:i4>
      </vt:variant>
      <vt:variant>
        <vt:i4>5</vt:i4>
      </vt:variant>
      <vt:variant>
        <vt:lpwstr/>
      </vt:variant>
      <vt:variant>
        <vt:lpwstr>_Toc232674405</vt:lpwstr>
      </vt:variant>
      <vt:variant>
        <vt:i4>1441843</vt:i4>
      </vt:variant>
      <vt:variant>
        <vt:i4>491</vt:i4>
      </vt:variant>
      <vt:variant>
        <vt:i4>0</vt:i4>
      </vt:variant>
      <vt:variant>
        <vt:i4>5</vt:i4>
      </vt:variant>
      <vt:variant>
        <vt:lpwstr/>
      </vt:variant>
      <vt:variant>
        <vt:lpwstr>_Toc232674404</vt:lpwstr>
      </vt:variant>
      <vt:variant>
        <vt:i4>1441843</vt:i4>
      </vt:variant>
      <vt:variant>
        <vt:i4>485</vt:i4>
      </vt:variant>
      <vt:variant>
        <vt:i4>0</vt:i4>
      </vt:variant>
      <vt:variant>
        <vt:i4>5</vt:i4>
      </vt:variant>
      <vt:variant>
        <vt:lpwstr/>
      </vt:variant>
      <vt:variant>
        <vt:lpwstr>_Toc232674403</vt:lpwstr>
      </vt:variant>
      <vt:variant>
        <vt:i4>1441843</vt:i4>
      </vt:variant>
      <vt:variant>
        <vt:i4>479</vt:i4>
      </vt:variant>
      <vt:variant>
        <vt:i4>0</vt:i4>
      </vt:variant>
      <vt:variant>
        <vt:i4>5</vt:i4>
      </vt:variant>
      <vt:variant>
        <vt:lpwstr/>
      </vt:variant>
      <vt:variant>
        <vt:lpwstr>_Toc232674402</vt:lpwstr>
      </vt:variant>
      <vt:variant>
        <vt:i4>1441843</vt:i4>
      </vt:variant>
      <vt:variant>
        <vt:i4>473</vt:i4>
      </vt:variant>
      <vt:variant>
        <vt:i4>0</vt:i4>
      </vt:variant>
      <vt:variant>
        <vt:i4>5</vt:i4>
      </vt:variant>
      <vt:variant>
        <vt:lpwstr/>
      </vt:variant>
      <vt:variant>
        <vt:lpwstr>_Toc232674401</vt:lpwstr>
      </vt:variant>
      <vt:variant>
        <vt:i4>1441843</vt:i4>
      </vt:variant>
      <vt:variant>
        <vt:i4>467</vt:i4>
      </vt:variant>
      <vt:variant>
        <vt:i4>0</vt:i4>
      </vt:variant>
      <vt:variant>
        <vt:i4>5</vt:i4>
      </vt:variant>
      <vt:variant>
        <vt:lpwstr/>
      </vt:variant>
      <vt:variant>
        <vt:lpwstr>_Toc232674400</vt:lpwstr>
      </vt:variant>
      <vt:variant>
        <vt:i4>2031668</vt:i4>
      </vt:variant>
      <vt:variant>
        <vt:i4>461</vt:i4>
      </vt:variant>
      <vt:variant>
        <vt:i4>0</vt:i4>
      </vt:variant>
      <vt:variant>
        <vt:i4>5</vt:i4>
      </vt:variant>
      <vt:variant>
        <vt:lpwstr/>
      </vt:variant>
      <vt:variant>
        <vt:lpwstr>_Toc232674399</vt:lpwstr>
      </vt:variant>
      <vt:variant>
        <vt:i4>2031668</vt:i4>
      </vt:variant>
      <vt:variant>
        <vt:i4>455</vt:i4>
      </vt:variant>
      <vt:variant>
        <vt:i4>0</vt:i4>
      </vt:variant>
      <vt:variant>
        <vt:i4>5</vt:i4>
      </vt:variant>
      <vt:variant>
        <vt:lpwstr/>
      </vt:variant>
      <vt:variant>
        <vt:lpwstr>_Toc232674398</vt:lpwstr>
      </vt:variant>
      <vt:variant>
        <vt:i4>2031668</vt:i4>
      </vt:variant>
      <vt:variant>
        <vt:i4>449</vt:i4>
      </vt:variant>
      <vt:variant>
        <vt:i4>0</vt:i4>
      </vt:variant>
      <vt:variant>
        <vt:i4>5</vt:i4>
      </vt:variant>
      <vt:variant>
        <vt:lpwstr/>
      </vt:variant>
      <vt:variant>
        <vt:lpwstr>_Toc232674397</vt:lpwstr>
      </vt:variant>
      <vt:variant>
        <vt:i4>2031668</vt:i4>
      </vt:variant>
      <vt:variant>
        <vt:i4>443</vt:i4>
      </vt:variant>
      <vt:variant>
        <vt:i4>0</vt:i4>
      </vt:variant>
      <vt:variant>
        <vt:i4>5</vt:i4>
      </vt:variant>
      <vt:variant>
        <vt:lpwstr/>
      </vt:variant>
      <vt:variant>
        <vt:lpwstr>_Toc232674396</vt:lpwstr>
      </vt:variant>
      <vt:variant>
        <vt:i4>2031668</vt:i4>
      </vt:variant>
      <vt:variant>
        <vt:i4>437</vt:i4>
      </vt:variant>
      <vt:variant>
        <vt:i4>0</vt:i4>
      </vt:variant>
      <vt:variant>
        <vt:i4>5</vt:i4>
      </vt:variant>
      <vt:variant>
        <vt:lpwstr/>
      </vt:variant>
      <vt:variant>
        <vt:lpwstr>_Toc232674395</vt:lpwstr>
      </vt:variant>
      <vt:variant>
        <vt:i4>2031668</vt:i4>
      </vt:variant>
      <vt:variant>
        <vt:i4>431</vt:i4>
      </vt:variant>
      <vt:variant>
        <vt:i4>0</vt:i4>
      </vt:variant>
      <vt:variant>
        <vt:i4>5</vt:i4>
      </vt:variant>
      <vt:variant>
        <vt:lpwstr/>
      </vt:variant>
      <vt:variant>
        <vt:lpwstr>_Toc232674394</vt:lpwstr>
      </vt:variant>
      <vt:variant>
        <vt:i4>2031668</vt:i4>
      </vt:variant>
      <vt:variant>
        <vt:i4>425</vt:i4>
      </vt:variant>
      <vt:variant>
        <vt:i4>0</vt:i4>
      </vt:variant>
      <vt:variant>
        <vt:i4>5</vt:i4>
      </vt:variant>
      <vt:variant>
        <vt:lpwstr/>
      </vt:variant>
      <vt:variant>
        <vt:lpwstr>_Toc232674393</vt:lpwstr>
      </vt:variant>
      <vt:variant>
        <vt:i4>2031668</vt:i4>
      </vt:variant>
      <vt:variant>
        <vt:i4>419</vt:i4>
      </vt:variant>
      <vt:variant>
        <vt:i4>0</vt:i4>
      </vt:variant>
      <vt:variant>
        <vt:i4>5</vt:i4>
      </vt:variant>
      <vt:variant>
        <vt:lpwstr/>
      </vt:variant>
      <vt:variant>
        <vt:lpwstr>_Toc232674392</vt:lpwstr>
      </vt:variant>
      <vt:variant>
        <vt:i4>2031668</vt:i4>
      </vt:variant>
      <vt:variant>
        <vt:i4>413</vt:i4>
      </vt:variant>
      <vt:variant>
        <vt:i4>0</vt:i4>
      </vt:variant>
      <vt:variant>
        <vt:i4>5</vt:i4>
      </vt:variant>
      <vt:variant>
        <vt:lpwstr/>
      </vt:variant>
      <vt:variant>
        <vt:lpwstr>_Toc232674391</vt:lpwstr>
      </vt:variant>
      <vt:variant>
        <vt:i4>2031668</vt:i4>
      </vt:variant>
      <vt:variant>
        <vt:i4>407</vt:i4>
      </vt:variant>
      <vt:variant>
        <vt:i4>0</vt:i4>
      </vt:variant>
      <vt:variant>
        <vt:i4>5</vt:i4>
      </vt:variant>
      <vt:variant>
        <vt:lpwstr/>
      </vt:variant>
      <vt:variant>
        <vt:lpwstr>_Toc232674390</vt:lpwstr>
      </vt:variant>
      <vt:variant>
        <vt:i4>1966132</vt:i4>
      </vt:variant>
      <vt:variant>
        <vt:i4>401</vt:i4>
      </vt:variant>
      <vt:variant>
        <vt:i4>0</vt:i4>
      </vt:variant>
      <vt:variant>
        <vt:i4>5</vt:i4>
      </vt:variant>
      <vt:variant>
        <vt:lpwstr/>
      </vt:variant>
      <vt:variant>
        <vt:lpwstr>_Toc232674389</vt:lpwstr>
      </vt:variant>
      <vt:variant>
        <vt:i4>1966132</vt:i4>
      </vt:variant>
      <vt:variant>
        <vt:i4>395</vt:i4>
      </vt:variant>
      <vt:variant>
        <vt:i4>0</vt:i4>
      </vt:variant>
      <vt:variant>
        <vt:i4>5</vt:i4>
      </vt:variant>
      <vt:variant>
        <vt:lpwstr/>
      </vt:variant>
      <vt:variant>
        <vt:lpwstr>_Toc232674388</vt:lpwstr>
      </vt:variant>
      <vt:variant>
        <vt:i4>1966132</vt:i4>
      </vt:variant>
      <vt:variant>
        <vt:i4>389</vt:i4>
      </vt:variant>
      <vt:variant>
        <vt:i4>0</vt:i4>
      </vt:variant>
      <vt:variant>
        <vt:i4>5</vt:i4>
      </vt:variant>
      <vt:variant>
        <vt:lpwstr/>
      </vt:variant>
      <vt:variant>
        <vt:lpwstr>_Toc232674387</vt:lpwstr>
      </vt:variant>
      <vt:variant>
        <vt:i4>1966132</vt:i4>
      </vt:variant>
      <vt:variant>
        <vt:i4>383</vt:i4>
      </vt:variant>
      <vt:variant>
        <vt:i4>0</vt:i4>
      </vt:variant>
      <vt:variant>
        <vt:i4>5</vt:i4>
      </vt:variant>
      <vt:variant>
        <vt:lpwstr/>
      </vt:variant>
      <vt:variant>
        <vt:lpwstr>_Toc232674386</vt:lpwstr>
      </vt:variant>
      <vt:variant>
        <vt:i4>1966132</vt:i4>
      </vt:variant>
      <vt:variant>
        <vt:i4>377</vt:i4>
      </vt:variant>
      <vt:variant>
        <vt:i4>0</vt:i4>
      </vt:variant>
      <vt:variant>
        <vt:i4>5</vt:i4>
      </vt:variant>
      <vt:variant>
        <vt:lpwstr/>
      </vt:variant>
      <vt:variant>
        <vt:lpwstr>_Toc232674385</vt:lpwstr>
      </vt:variant>
      <vt:variant>
        <vt:i4>1966132</vt:i4>
      </vt:variant>
      <vt:variant>
        <vt:i4>371</vt:i4>
      </vt:variant>
      <vt:variant>
        <vt:i4>0</vt:i4>
      </vt:variant>
      <vt:variant>
        <vt:i4>5</vt:i4>
      </vt:variant>
      <vt:variant>
        <vt:lpwstr/>
      </vt:variant>
      <vt:variant>
        <vt:lpwstr>_Toc232674384</vt:lpwstr>
      </vt:variant>
      <vt:variant>
        <vt:i4>1966132</vt:i4>
      </vt:variant>
      <vt:variant>
        <vt:i4>365</vt:i4>
      </vt:variant>
      <vt:variant>
        <vt:i4>0</vt:i4>
      </vt:variant>
      <vt:variant>
        <vt:i4>5</vt:i4>
      </vt:variant>
      <vt:variant>
        <vt:lpwstr/>
      </vt:variant>
      <vt:variant>
        <vt:lpwstr>_Toc232674383</vt:lpwstr>
      </vt:variant>
      <vt:variant>
        <vt:i4>1966132</vt:i4>
      </vt:variant>
      <vt:variant>
        <vt:i4>359</vt:i4>
      </vt:variant>
      <vt:variant>
        <vt:i4>0</vt:i4>
      </vt:variant>
      <vt:variant>
        <vt:i4>5</vt:i4>
      </vt:variant>
      <vt:variant>
        <vt:lpwstr/>
      </vt:variant>
      <vt:variant>
        <vt:lpwstr>_Toc232674382</vt:lpwstr>
      </vt:variant>
      <vt:variant>
        <vt:i4>1966132</vt:i4>
      </vt:variant>
      <vt:variant>
        <vt:i4>353</vt:i4>
      </vt:variant>
      <vt:variant>
        <vt:i4>0</vt:i4>
      </vt:variant>
      <vt:variant>
        <vt:i4>5</vt:i4>
      </vt:variant>
      <vt:variant>
        <vt:lpwstr/>
      </vt:variant>
      <vt:variant>
        <vt:lpwstr>_Toc232674381</vt:lpwstr>
      </vt:variant>
      <vt:variant>
        <vt:i4>1966132</vt:i4>
      </vt:variant>
      <vt:variant>
        <vt:i4>347</vt:i4>
      </vt:variant>
      <vt:variant>
        <vt:i4>0</vt:i4>
      </vt:variant>
      <vt:variant>
        <vt:i4>5</vt:i4>
      </vt:variant>
      <vt:variant>
        <vt:lpwstr/>
      </vt:variant>
      <vt:variant>
        <vt:lpwstr>_Toc232674380</vt:lpwstr>
      </vt:variant>
      <vt:variant>
        <vt:i4>1114164</vt:i4>
      </vt:variant>
      <vt:variant>
        <vt:i4>341</vt:i4>
      </vt:variant>
      <vt:variant>
        <vt:i4>0</vt:i4>
      </vt:variant>
      <vt:variant>
        <vt:i4>5</vt:i4>
      </vt:variant>
      <vt:variant>
        <vt:lpwstr/>
      </vt:variant>
      <vt:variant>
        <vt:lpwstr>_Toc232674379</vt:lpwstr>
      </vt:variant>
      <vt:variant>
        <vt:i4>1114164</vt:i4>
      </vt:variant>
      <vt:variant>
        <vt:i4>335</vt:i4>
      </vt:variant>
      <vt:variant>
        <vt:i4>0</vt:i4>
      </vt:variant>
      <vt:variant>
        <vt:i4>5</vt:i4>
      </vt:variant>
      <vt:variant>
        <vt:lpwstr/>
      </vt:variant>
      <vt:variant>
        <vt:lpwstr>_Toc232674378</vt:lpwstr>
      </vt:variant>
      <vt:variant>
        <vt:i4>1114164</vt:i4>
      </vt:variant>
      <vt:variant>
        <vt:i4>329</vt:i4>
      </vt:variant>
      <vt:variant>
        <vt:i4>0</vt:i4>
      </vt:variant>
      <vt:variant>
        <vt:i4>5</vt:i4>
      </vt:variant>
      <vt:variant>
        <vt:lpwstr/>
      </vt:variant>
      <vt:variant>
        <vt:lpwstr>_Toc232674377</vt:lpwstr>
      </vt:variant>
      <vt:variant>
        <vt:i4>1114164</vt:i4>
      </vt:variant>
      <vt:variant>
        <vt:i4>323</vt:i4>
      </vt:variant>
      <vt:variant>
        <vt:i4>0</vt:i4>
      </vt:variant>
      <vt:variant>
        <vt:i4>5</vt:i4>
      </vt:variant>
      <vt:variant>
        <vt:lpwstr/>
      </vt:variant>
      <vt:variant>
        <vt:lpwstr>_Toc232674376</vt:lpwstr>
      </vt:variant>
      <vt:variant>
        <vt:i4>1114164</vt:i4>
      </vt:variant>
      <vt:variant>
        <vt:i4>317</vt:i4>
      </vt:variant>
      <vt:variant>
        <vt:i4>0</vt:i4>
      </vt:variant>
      <vt:variant>
        <vt:i4>5</vt:i4>
      </vt:variant>
      <vt:variant>
        <vt:lpwstr/>
      </vt:variant>
      <vt:variant>
        <vt:lpwstr>_Toc232674375</vt:lpwstr>
      </vt:variant>
      <vt:variant>
        <vt:i4>1638523</vt:i4>
      </vt:variant>
      <vt:variant>
        <vt:i4>312</vt:i4>
      </vt:variant>
      <vt:variant>
        <vt:i4>0</vt:i4>
      </vt:variant>
      <vt:variant>
        <vt:i4>5</vt:i4>
      </vt:variant>
      <vt:variant>
        <vt:lpwstr>https://en.wikipedia.org/wiki/Futures_contracts</vt:lpwstr>
      </vt:variant>
      <vt:variant>
        <vt:lpwstr/>
      </vt:variant>
      <vt:variant>
        <vt:i4>6160390</vt:i4>
      </vt:variant>
      <vt:variant>
        <vt:i4>309</vt:i4>
      </vt:variant>
      <vt:variant>
        <vt:i4>0</vt:i4>
      </vt:variant>
      <vt:variant>
        <vt:i4>5</vt:i4>
      </vt:variant>
      <vt:variant>
        <vt:lpwstr>https://en.wikipedia.org/wiki/Currencies</vt:lpwstr>
      </vt:variant>
      <vt:variant>
        <vt:lpwstr/>
      </vt:variant>
      <vt:variant>
        <vt:i4>4980772</vt:i4>
      </vt:variant>
      <vt:variant>
        <vt:i4>306</vt:i4>
      </vt:variant>
      <vt:variant>
        <vt:i4>0</vt:i4>
      </vt:variant>
      <vt:variant>
        <vt:i4>5</vt:i4>
      </vt:variant>
      <vt:variant>
        <vt:lpwstr>https://en.wikipedia.org/wiki/Bond_(finance)</vt:lpwstr>
      </vt:variant>
      <vt:variant>
        <vt:lpwstr/>
      </vt:variant>
      <vt:variant>
        <vt:i4>3801192</vt:i4>
      </vt:variant>
      <vt:variant>
        <vt:i4>303</vt:i4>
      </vt:variant>
      <vt:variant>
        <vt:i4>0</vt:i4>
      </vt:variant>
      <vt:variant>
        <vt:i4>5</vt:i4>
      </vt:variant>
      <vt:variant>
        <vt:lpwstr>https://en.wikipedia.org/wiki/Stock</vt:lpwstr>
      </vt:variant>
      <vt:variant>
        <vt:lpwstr/>
      </vt:variant>
      <vt:variant>
        <vt:i4>8257539</vt:i4>
      </vt:variant>
      <vt:variant>
        <vt:i4>300</vt:i4>
      </vt:variant>
      <vt:variant>
        <vt:i4>0</vt:i4>
      </vt:variant>
      <vt:variant>
        <vt:i4>5</vt:i4>
      </vt:variant>
      <vt:variant>
        <vt:lpwstr>https://en.wikipedia.org/wiki/Stock_exchange</vt:lpwstr>
      </vt:variant>
      <vt:variant>
        <vt:lpwstr/>
      </vt:variant>
      <vt:variant>
        <vt:i4>4915249</vt:i4>
      </vt:variant>
      <vt:variant>
        <vt:i4>297</vt:i4>
      </vt:variant>
      <vt:variant>
        <vt:i4>0</vt:i4>
      </vt:variant>
      <vt:variant>
        <vt:i4>5</vt:i4>
      </vt:variant>
      <vt:variant>
        <vt:lpwstr>https://en.wikipedia.org/wiki/Investment_fund</vt:lpwstr>
      </vt:variant>
      <vt:variant>
        <vt:lpwstr/>
      </vt:variant>
      <vt:variant>
        <vt:i4>1835066</vt:i4>
      </vt:variant>
      <vt:variant>
        <vt:i4>290</vt:i4>
      </vt:variant>
      <vt:variant>
        <vt:i4>0</vt:i4>
      </vt:variant>
      <vt:variant>
        <vt:i4>5</vt:i4>
      </vt:variant>
      <vt:variant>
        <vt:lpwstr/>
      </vt:variant>
      <vt:variant>
        <vt:lpwstr>_Toc232438946</vt:lpwstr>
      </vt:variant>
      <vt:variant>
        <vt:i4>1835066</vt:i4>
      </vt:variant>
      <vt:variant>
        <vt:i4>284</vt:i4>
      </vt:variant>
      <vt:variant>
        <vt:i4>0</vt:i4>
      </vt:variant>
      <vt:variant>
        <vt:i4>5</vt:i4>
      </vt:variant>
      <vt:variant>
        <vt:lpwstr/>
      </vt:variant>
      <vt:variant>
        <vt:lpwstr>_Toc232438945</vt:lpwstr>
      </vt:variant>
      <vt:variant>
        <vt:i4>1835066</vt:i4>
      </vt:variant>
      <vt:variant>
        <vt:i4>278</vt:i4>
      </vt:variant>
      <vt:variant>
        <vt:i4>0</vt:i4>
      </vt:variant>
      <vt:variant>
        <vt:i4>5</vt:i4>
      </vt:variant>
      <vt:variant>
        <vt:lpwstr/>
      </vt:variant>
      <vt:variant>
        <vt:lpwstr>_Toc232438944</vt:lpwstr>
      </vt:variant>
      <vt:variant>
        <vt:i4>1835066</vt:i4>
      </vt:variant>
      <vt:variant>
        <vt:i4>272</vt:i4>
      </vt:variant>
      <vt:variant>
        <vt:i4>0</vt:i4>
      </vt:variant>
      <vt:variant>
        <vt:i4>5</vt:i4>
      </vt:variant>
      <vt:variant>
        <vt:lpwstr/>
      </vt:variant>
      <vt:variant>
        <vt:lpwstr>_Toc232438943</vt:lpwstr>
      </vt:variant>
      <vt:variant>
        <vt:i4>1835066</vt:i4>
      </vt:variant>
      <vt:variant>
        <vt:i4>266</vt:i4>
      </vt:variant>
      <vt:variant>
        <vt:i4>0</vt:i4>
      </vt:variant>
      <vt:variant>
        <vt:i4>5</vt:i4>
      </vt:variant>
      <vt:variant>
        <vt:lpwstr/>
      </vt:variant>
      <vt:variant>
        <vt:lpwstr>_Toc232438942</vt:lpwstr>
      </vt:variant>
      <vt:variant>
        <vt:i4>1835066</vt:i4>
      </vt:variant>
      <vt:variant>
        <vt:i4>260</vt:i4>
      </vt:variant>
      <vt:variant>
        <vt:i4>0</vt:i4>
      </vt:variant>
      <vt:variant>
        <vt:i4>5</vt:i4>
      </vt:variant>
      <vt:variant>
        <vt:lpwstr/>
      </vt:variant>
      <vt:variant>
        <vt:lpwstr>_Toc232438941</vt:lpwstr>
      </vt:variant>
      <vt:variant>
        <vt:i4>1835066</vt:i4>
      </vt:variant>
      <vt:variant>
        <vt:i4>254</vt:i4>
      </vt:variant>
      <vt:variant>
        <vt:i4>0</vt:i4>
      </vt:variant>
      <vt:variant>
        <vt:i4>5</vt:i4>
      </vt:variant>
      <vt:variant>
        <vt:lpwstr/>
      </vt:variant>
      <vt:variant>
        <vt:lpwstr>_Toc232438940</vt:lpwstr>
      </vt:variant>
      <vt:variant>
        <vt:i4>1769530</vt:i4>
      </vt:variant>
      <vt:variant>
        <vt:i4>248</vt:i4>
      </vt:variant>
      <vt:variant>
        <vt:i4>0</vt:i4>
      </vt:variant>
      <vt:variant>
        <vt:i4>5</vt:i4>
      </vt:variant>
      <vt:variant>
        <vt:lpwstr/>
      </vt:variant>
      <vt:variant>
        <vt:lpwstr>_Toc232438939</vt:lpwstr>
      </vt:variant>
      <vt:variant>
        <vt:i4>1769530</vt:i4>
      </vt:variant>
      <vt:variant>
        <vt:i4>242</vt:i4>
      </vt:variant>
      <vt:variant>
        <vt:i4>0</vt:i4>
      </vt:variant>
      <vt:variant>
        <vt:i4>5</vt:i4>
      </vt:variant>
      <vt:variant>
        <vt:lpwstr/>
      </vt:variant>
      <vt:variant>
        <vt:lpwstr>_Toc232438938</vt:lpwstr>
      </vt:variant>
      <vt:variant>
        <vt:i4>1769530</vt:i4>
      </vt:variant>
      <vt:variant>
        <vt:i4>236</vt:i4>
      </vt:variant>
      <vt:variant>
        <vt:i4>0</vt:i4>
      </vt:variant>
      <vt:variant>
        <vt:i4>5</vt:i4>
      </vt:variant>
      <vt:variant>
        <vt:lpwstr/>
      </vt:variant>
      <vt:variant>
        <vt:lpwstr>_Toc232438937</vt:lpwstr>
      </vt:variant>
      <vt:variant>
        <vt:i4>1769530</vt:i4>
      </vt:variant>
      <vt:variant>
        <vt:i4>230</vt:i4>
      </vt:variant>
      <vt:variant>
        <vt:i4>0</vt:i4>
      </vt:variant>
      <vt:variant>
        <vt:i4>5</vt:i4>
      </vt:variant>
      <vt:variant>
        <vt:lpwstr/>
      </vt:variant>
      <vt:variant>
        <vt:lpwstr>_Toc232438936</vt:lpwstr>
      </vt:variant>
      <vt:variant>
        <vt:i4>1769530</vt:i4>
      </vt:variant>
      <vt:variant>
        <vt:i4>224</vt:i4>
      </vt:variant>
      <vt:variant>
        <vt:i4>0</vt:i4>
      </vt:variant>
      <vt:variant>
        <vt:i4>5</vt:i4>
      </vt:variant>
      <vt:variant>
        <vt:lpwstr/>
      </vt:variant>
      <vt:variant>
        <vt:lpwstr>_Toc232438935</vt:lpwstr>
      </vt:variant>
      <vt:variant>
        <vt:i4>1769530</vt:i4>
      </vt:variant>
      <vt:variant>
        <vt:i4>218</vt:i4>
      </vt:variant>
      <vt:variant>
        <vt:i4>0</vt:i4>
      </vt:variant>
      <vt:variant>
        <vt:i4>5</vt:i4>
      </vt:variant>
      <vt:variant>
        <vt:lpwstr/>
      </vt:variant>
      <vt:variant>
        <vt:lpwstr>_Toc232438934</vt:lpwstr>
      </vt:variant>
      <vt:variant>
        <vt:i4>1769530</vt:i4>
      </vt:variant>
      <vt:variant>
        <vt:i4>212</vt:i4>
      </vt:variant>
      <vt:variant>
        <vt:i4>0</vt:i4>
      </vt:variant>
      <vt:variant>
        <vt:i4>5</vt:i4>
      </vt:variant>
      <vt:variant>
        <vt:lpwstr/>
      </vt:variant>
      <vt:variant>
        <vt:lpwstr>_Toc232438933</vt:lpwstr>
      </vt:variant>
      <vt:variant>
        <vt:i4>1048624</vt:i4>
      </vt:variant>
      <vt:variant>
        <vt:i4>203</vt:i4>
      </vt:variant>
      <vt:variant>
        <vt:i4>0</vt:i4>
      </vt:variant>
      <vt:variant>
        <vt:i4>5</vt:i4>
      </vt:variant>
      <vt:variant>
        <vt:lpwstr/>
      </vt:variant>
      <vt:variant>
        <vt:lpwstr>_Toc232671739</vt:lpwstr>
      </vt:variant>
      <vt:variant>
        <vt:i4>1048624</vt:i4>
      </vt:variant>
      <vt:variant>
        <vt:i4>197</vt:i4>
      </vt:variant>
      <vt:variant>
        <vt:i4>0</vt:i4>
      </vt:variant>
      <vt:variant>
        <vt:i4>5</vt:i4>
      </vt:variant>
      <vt:variant>
        <vt:lpwstr/>
      </vt:variant>
      <vt:variant>
        <vt:lpwstr>_Toc232671738</vt:lpwstr>
      </vt:variant>
      <vt:variant>
        <vt:i4>1048624</vt:i4>
      </vt:variant>
      <vt:variant>
        <vt:i4>191</vt:i4>
      </vt:variant>
      <vt:variant>
        <vt:i4>0</vt:i4>
      </vt:variant>
      <vt:variant>
        <vt:i4>5</vt:i4>
      </vt:variant>
      <vt:variant>
        <vt:lpwstr/>
      </vt:variant>
      <vt:variant>
        <vt:lpwstr>_Toc232671737</vt:lpwstr>
      </vt:variant>
      <vt:variant>
        <vt:i4>1048624</vt:i4>
      </vt:variant>
      <vt:variant>
        <vt:i4>185</vt:i4>
      </vt:variant>
      <vt:variant>
        <vt:i4>0</vt:i4>
      </vt:variant>
      <vt:variant>
        <vt:i4>5</vt:i4>
      </vt:variant>
      <vt:variant>
        <vt:lpwstr/>
      </vt:variant>
      <vt:variant>
        <vt:lpwstr>_Toc232671736</vt:lpwstr>
      </vt:variant>
      <vt:variant>
        <vt:i4>1048624</vt:i4>
      </vt:variant>
      <vt:variant>
        <vt:i4>179</vt:i4>
      </vt:variant>
      <vt:variant>
        <vt:i4>0</vt:i4>
      </vt:variant>
      <vt:variant>
        <vt:i4>5</vt:i4>
      </vt:variant>
      <vt:variant>
        <vt:lpwstr/>
      </vt:variant>
      <vt:variant>
        <vt:lpwstr>_Toc232671735</vt:lpwstr>
      </vt:variant>
      <vt:variant>
        <vt:i4>1048624</vt:i4>
      </vt:variant>
      <vt:variant>
        <vt:i4>173</vt:i4>
      </vt:variant>
      <vt:variant>
        <vt:i4>0</vt:i4>
      </vt:variant>
      <vt:variant>
        <vt:i4>5</vt:i4>
      </vt:variant>
      <vt:variant>
        <vt:lpwstr/>
      </vt:variant>
      <vt:variant>
        <vt:lpwstr>_Toc232671734</vt:lpwstr>
      </vt:variant>
      <vt:variant>
        <vt:i4>1048624</vt:i4>
      </vt:variant>
      <vt:variant>
        <vt:i4>167</vt:i4>
      </vt:variant>
      <vt:variant>
        <vt:i4>0</vt:i4>
      </vt:variant>
      <vt:variant>
        <vt:i4>5</vt:i4>
      </vt:variant>
      <vt:variant>
        <vt:lpwstr/>
      </vt:variant>
      <vt:variant>
        <vt:lpwstr>_Toc232671733</vt:lpwstr>
      </vt:variant>
      <vt:variant>
        <vt:i4>1048624</vt:i4>
      </vt:variant>
      <vt:variant>
        <vt:i4>161</vt:i4>
      </vt:variant>
      <vt:variant>
        <vt:i4>0</vt:i4>
      </vt:variant>
      <vt:variant>
        <vt:i4>5</vt:i4>
      </vt:variant>
      <vt:variant>
        <vt:lpwstr/>
      </vt:variant>
      <vt:variant>
        <vt:lpwstr>_Toc232671732</vt:lpwstr>
      </vt:variant>
      <vt:variant>
        <vt:i4>1048624</vt:i4>
      </vt:variant>
      <vt:variant>
        <vt:i4>155</vt:i4>
      </vt:variant>
      <vt:variant>
        <vt:i4>0</vt:i4>
      </vt:variant>
      <vt:variant>
        <vt:i4>5</vt:i4>
      </vt:variant>
      <vt:variant>
        <vt:lpwstr/>
      </vt:variant>
      <vt:variant>
        <vt:lpwstr>_Toc232671731</vt:lpwstr>
      </vt:variant>
      <vt:variant>
        <vt:i4>1048624</vt:i4>
      </vt:variant>
      <vt:variant>
        <vt:i4>149</vt:i4>
      </vt:variant>
      <vt:variant>
        <vt:i4>0</vt:i4>
      </vt:variant>
      <vt:variant>
        <vt:i4>5</vt:i4>
      </vt:variant>
      <vt:variant>
        <vt:lpwstr/>
      </vt:variant>
      <vt:variant>
        <vt:lpwstr>_Toc232671730</vt:lpwstr>
      </vt:variant>
      <vt:variant>
        <vt:i4>1114160</vt:i4>
      </vt:variant>
      <vt:variant>
        <vt:i4>143</vt:i4>
      </vt:variant>
      <vt:variant>
        <vt:i4>0</vt:i4>
      </vt:variant>
      <vt:variant>
        <vt:i4>5</vt:i4>
      </vt:variant>
      <vt:variant>
        <vt:lpwstr/>
      </vt:variant>
      <vt:variant>
        <vt:lpwstr>_Toc232671729</vt:lpwstr>
      </vt:variant>
      <vt:variant>
        <vt:i4>1114160</vt:i4>
      </vt:variant>
      <vt:variant>
        <vt:i4>137</vt:i4>
      </vt:variant>
      <vt:variant>
        <vt:i4>0</vt:i4>
      </vt:variant>
      <vt:variant>
        <vt:i4>5</vt:i4>
      </vt:variant>
      <vt:variant>
        <vt:lpwstr/>
      </vt:variant>
      <vt:variant>
        <vt:lpwstr>_Toc232671728</vt:lpwstr>
      </vt:variant>
      <vt:variant>
        <vt:i4>1114160</vt:i4>
      </vt:variant>
      <vt:variant>
        <vt:i4>131</vt:i4>
      </vt:variant>
      <vt:variant>
        <vt:i4>0</vt:i4>
      </vt:variant>
      <vt:variant>
        <vt:i4>5</vt:i4>
      </vt:variant>
      <vt:variant>
        <vt:lpwstr/>
      </vt:variant>
      <vt:variant>
        <vt:lpwstr>_Toc232671727</vt:lpwstr>
      </vt:variant>
      <vt:variant>
        <vt:i4>1114160</vt:i4>
      </vt:variant>
      <vt:variant>
        <vt:i4>125</vt:i4>
      </vt:variant>
      <vt:variant>
        <vt:i4>0</vt:i4>
      </vt:variant>
      <vt:variant>
        <vt:i4>5</vt:i4>
      </vt:variant>
      <vt:variant>
        <vt:lpwstr/>
      </vt:variant>
      <vt:variant>
        <vt:lpwstr>_Toc232671726</vt:lpwstr>
      </vt:variant>
      <vt:variant>
        <vt:i4>1114160</vt:i4>
      </vt:variant>
      <vt:variant>
        <vt:i4>119</vt:i4>
      </vt:variant>
      <vt:variant>
        <vt:i4>0</vt:i4>
      </vt:variant>
      <vt:variant>
        <vt:i4>5</vt:i4>
      </vt:variant>
      <vt:variant>
        <vt:lpwstr/>
      </vt:variant>
      <vt:variant>
        <vt:lpwstr>_Toc232671725</vt:lpwstr>
      </vt:variant>
      <vt:variant>
        <vt:i4>1114160</vt:i4>
      </vt:variant>
      <vt:variant>
        <vt:i4>113</vt:i4>
      </vt:variant>
      <vt:variant>
        <vt:i4>0</vt:i4>
      </vt:variant>
      <vt:variant>
        <vt:i4>5</vt:i4>
      </vt:variant>
      <vt:variant>
        <vt:lpwstr/>
      </vt:variant>
      <vt:variant>
        <vt:lpwstr>_Toc232671724</vt:lpwstr>
      </vt:variant>
      <vt:variant>
        <vt:i4>1114160</vt:i4>
      </vt:variant>
      <vt:variant>
        <vt:i4>107</vt:i4>
      </vt:variant>
      <vt:variant>
        <vt:i4>0</vt:i4>
      </vt:variant>
      <vt:variant>
        <vt:i4>5</vt:i4>
      </vt:variant>
      <vt:variant>
        <vt:lpwstr/>
      </vt:variant>
      <vt:variant>
        <vt:lpwstr>_Toc232671723</vt:lpwstr>
      </vt:variant>
      <vt:variant>
        <vt:i4>1114160</vt:i4>
      </vt:variant>
      <vt:variant>
        <vt:i4>101</vt:i4>
      </vt:variant>
      <vt:variant>
        <vt:i4>0</vt:i4>
      </vt:variant>
      <vt:variant>
        <vt:i4>5</vt:i4>
      </vt:variant>
      <vt:variant>
        <vt:lpwstr/>
      </vt:variant>
      <vt:variant>
        <vt:lpwstr>_Toc232671722</vt:lpwstr>
      </vt:variant>
      <vt:variant>
        <vt:i4>1114160</vt:i4>
      </vt:variant>
      <vt:variant>
        <vt:i4>95</vt:i4>
      </vt:variant>
      <vt:variant>
        <vt:i4>0</vt:i4>
      </vt:variant>
      <vt:variant>
        <vt:i4>5</vt:i4>
      </vt:variant>
      <vt:variant>
        <vt:lpwstr/>
      </vt:variant>
      <vt:variant>
        <vt:lpwstr>_Toc232671721</vt:lpwstr>
      </vt:variant>
      <vt:variant>
        <vt:i4>1114160</vt:i4>
      </vt:variant>
      <vt:variant>
        <vt:i4>89</vt:i4>
      </vt:variant>
      <vt:variant>
        <vt:i4>0</vt:i4>
      </vt:variant>
      <vt:variant>
        <vt:i4>5</vt:i4>
      </vt:variant>
      <vt:variant>
        <vt:lpwstr/>
      </vt:variant>
      <vt:variant>
        <vt:lpwstr>_Toc232671720</vt:lpwstr>
      </vt:variant>
      <vt:variant>
        <vt:i4>1179696</vt:i4>
      </vt:variant>
      <vt:variant>
        <vt:i4>83</vt:i4>
      </vt:variant>
      <vt:variant>
        <vt:i4>0</vt:i4>
      </vt:variant>
      <vt:variant>
        <vt:i4>5</vt:i4>
      </vt:variant>
      <vt:variant>
        <vt:lpwstr/>
      </vt:variant>
      <vt:variant>
        <vt:lpwstr>_Toc232671719</vt:lpwstr>
      </vt:variant>
      <vt:variant>
        <vt:i4>1179696</vt:i4>
      </vt:variant>
      <vt:variant>
        <vt:i4>77</vt:i4>
      </vt:variant>
      <vt:variant>
        <vt:i4>0</vt:i4>
      </vt:variant>
      <vt:variant>
        <vt:i4>5</vt:i4>
      </vt:variant>
      <vt:variant>
        <vt:lpwstr/>
      </vt:variant>
      <vt:variant>
        <vt:lpwstr>_Toc232671718</vt:lpwstr>
      </vt:variant>
      <vt:variant>
        <vt:i4>1179696</vt:i4>
      </vt:variant>
      <vt:variant>
        <vt:i4>71</vt:i4>
      </vt:variant>
      <vt:variant>
        <vt:i4>0</vt:i4>
      </vt:variant>
      <vt:variant>
        <vt:i4>5</vt:i4>
      </vt:variant>
      <vt:variant>
        <vt:lpwstr/>
      </vt:variant>
      <vt:variant>
        <vt:lpwstr>_Toc232671717</vt:lpwstr>
      </vt:variant>
      <vt:variant>
        <vt:i4>1966142</vt:i4>
      </vt:variant>
      <vt:variant>
        <vt:i4>62</vt:i4>
      </vt:variant>
      <vt:variant>
        <vt:i4>0</vt:i4>
      </vt:variant>
      <vt:variant>
        <vt:i4>5</vt:i4>
      </vt:variant>
      <vt:variant>
        <vt:lpwstr/>
      </vt:variant>
      <vt:variant>
        <vt:lpwstr>_Toc232674980</vt:lpwstr>
      </vt:variant>
      <vt:variant>
        <vt:i4>1114174</vt:i4>
      </vt:variant>
      <vt:variant>
        <vt:i4>56</vt:i4>
      </vt:variant>
      <vt:variant>
        <vt:i4>0</vt:i4>
      </vt:variant>
      <vt:variant>
        <vt:i4>5</vt:i4>
      </vt:variant>
      <vt:variant>
        <vt:lpwstr/>
      </vt:variant>
      <vt:variant>
        <vt:lpwstr>_Toc232674979</vt:lpwstr>
      </vt:variant>
      <vt:variant>
        <vt:i4>1114174</vt:i4>
      </vt:variant>
      <vt:variant>
        <vt:i4>50</vt:i4>
      </vt:variant>
      <vt:variant>
        <vt:i4>0</vt:i4>
      </vt:variant>
      <vt:variant>
        <vt:i4>5</vt:i4>
      </vt:variant>
      <vt:variant>
        <vt:lpwstr/>
      </vt:variant>
      <vt:variant>
        <vt:lpwstr>_Toc232674978</vt:lpwstr>
      </vt:variant>
      <vt:variant>
        <vt:i4>1114174</vt:i4>
      </vt:variant>
      <vt:variant>
        <vt:i4>44</vt:i4>
      </vt:variant>
      <vt:variant>
        <vt:i4>0</vt:i4>
      </vt:variant>
      <vt:variant>
        <vt:i4>5</vt:i4>
      </vt:variant>
      <vt:variant>
        <vt:lpwstr/>
      </vt:variant>
      <vt:variant>
        <vt:lpwstr>_Toc232674977</vt:lpwstr>
      </vt:variant>
      <vt:variant>
        <vt:i4>1114174</vt:i4>
      </vt:variant>
      <vt:variant>
        <vt:i4>38</vt:i4>
      </vt:variant>
      <vt:variant>
        <vt:i4>0</vt:i4>
      </vt:variant>
      <vt:variant>
        <vt:i4>5</vt:i4>
      </vt:variant>
      <vt:variant>
        <vt:lpwstr/>
      </vt:variant>
      <vt:variant>
        <vt:lpwstr>_Toc232674976</vt:lpwstr>
      </vt:variant>
      <vt:variant>
        <vt:i4>1114174</vt:i4>
      </vt:variant>
      <vt:variant>
        <vt:i4>32</vt:i4>
      </vt:variant>
      <vt:variant>
        <vt:i4>0</vt:i4>
      </vt:variant>
      <vt:variant>
        <vt:i4>5</vt:i4>
      </vt:variant>
      <vt:variant>
        <vt:lpwstr/>
      </vt:variant>
      <vt:variant>
        <vt:lpwstr>_Toc232674975</vt:lpwstr>
      </vt:variant>
      <vt:variant>
        <vt:i4>1114174</vt:i4>
      </vt:variant>
      <vt:variant>
        <vt:i4>26</vt:i4>
      </vt:variant>
      <vt:variant>
        <vt:i4>0</vt:i4>
      </vt:variant>
      <vt:variant>
        <vt:i4>5</vt:i4>
      </vt:variant>
      <vt:variant>
        <vt:lpwstr/>
      </vt:variant>
      <vt:variant>
        <vt:lpwstr>_Toc232674974</vt:lpwstr>
      </vt:variant>
      <vt:variant>
        <vt:i4>1114174</vt:i4>
      </vt:variant>
      <vt:variant>
        <vt:i4>20</vt:i4>
      </vt:variant>
      <vt:variant>
        <vt:i4>0</vt:i4>
      </vt:variant>
      <vt:variant>
        <vt:i4>5</vt:i4>
      </vt:variant>
      <vt:variant>
        <vt:lpwstr/>
      </vt:variant>
      <vt:variant>
        <vt:lpwstr>_Toc232674973</vt:lpwstr>
      </vt:variant>
      <vt:variant>
        <vt:i4>1114174</vt:i4>
      </vt:variant>
      <vt:variant>
        <vt:i4>14</vt:i4>
      </vt:variant>
      <vt:variant>
        <vt:i4>0</vt:i4>
      </vt:variant>
      <vt:variant>
        <vt:i4>5</vt:i4>
      </vt:variant>
      <vt:variant>
        <vt:lpwstr/>
      </vt:variant>
      <vt:variant>
        <vt:lpwstr>_Toc232674972</vt:lpwstr>
      </vt:variant>
      <vt:variant>
        <vt:i4>1114174</vt:i4>
      </vt:variant>
      <vt:variant>
        <vt:i4>8</vt:i4>
      </vt:variant>
      <vt:variant>
        <vt:i4>0</vt:i4>
      </vt:variant>
      <vt:variant>
        <vt:i4>5</vt:i4>
      </vt:variant>
      <vt:variant>
        <vt:lpwstr/>
      </vt:variant>
      <vt:variant>
        <vt:lpwstr>_Toc232674971</vt:lpwstr>
      </vt:variant>
      <vt:variant>
        <vt:i4>1114174</vt:i4>
      </vt:variant>
      <vt:variant>
        <vt:i4>2</vt:i4>
      </vt:variant>
      <vt:variant>
        <vt:i4>0</vt:i4>
      </vt:variant>
      <vt:variant>
        <vt:i4>5</vt:i4>
      </vt:variant>
      <vt:variant>
        <vt:lpwstr/>
      </vt:variant>
      <vt:variant>
        <vt:lpwstr>_Toc232674970</vt:lpwstr>
      </vt:variant>
      <vt:variant>
        <vt:i4>8126534</vt:i4>
      </vt:variant>
      <vt:variant>
        <vt:i4>6</vt:i4>
      </vt:variant>
      <vt:variant>
        <vt:i4>0</vt:i4>
      </vt:variant>
      <vt:variant>
        <vt:i4>5</vt:i4>
      </vt:variant>
      <vt:variant>
        <vt:lpwstr>https://eur-lex.europa.eu/legal-content/EN/TXT/PDF/?uri=OJ:L_202400765</vt:lpwstr>
      </vt:variant>
      <vt:variant>
        <vt:lpwstr/>
      </vt:variant>
      <vt:variant>
        <vt:i4>2752541</vt:i4>
      </vt:variant>
      <vt:variant>
        <vt:i4>3</vt:i4>
      </vt:variant>
      <vt:variant>
        <vt:i4>0</vt:i4>
      </vt:variant>
      <vt:variant>
        <vt:i4>5</vt:i4>
      </vt:variant>
      <vt:variant>
        <vt:lpwstr>https://ec.europa.eu/info/publications/integrated-financial-and-accountability-reporting_en</vt:lpwstr>
      </vt:variant>
      <vt:variant>
        <vt:lpwstr/>
      </vt:variant>
      <vt:variant>
        <vt:i4>524316</vt:i4>
      </vt:variant>
      <vt:variant>
        <vt:i4>0</vt:i4>
      </vt:variant>
      <vt:variant>
        <vt:i4>0</vt:i4>
      </vt:variant>
      <vt:variant>
        <vt:i4>5</vt:i4>
      </vt:variant>
      <vt:variant>
        <vt:lpwstr>https://data.europa.eu/doi/10.2761/302803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124</cp:revision>
  <dcterms:created xsi:type="dcterms:W3CDTF">2026-06-16T10:00:00Z</dcterms:created>
  <dcterms:modified xsi:type="dcterms:W3CDTF">2026-06-24T07:55:00Z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ulture00">
    <vt:lpwstr>IAsAAB+LCAAAAAAABAA9lomV4zAMQ1syqbse9d/D4IPKvE02HlvmAYCQ4rQb7X7610JX527/Uf+6vtnW3fOeuOvcjLyz3/xuhL6t3cx5e/KJfWOcG50H68bqd3Gpq3njW4rUbtfq2/Q36TJ0EavW6H/HjjO0cugNQuZVyE5G3VGGjOMnyfW82RXl07frTxUz9ESJRqego2Bb9/WgK/zct6uD79yhTucgGfUOvUAzREzWqRrWU5xejUma5nURpKP</vt:lpwstr>
  </property>
  <property fmtid="{D5CDD505-2E9C-101B-9397-08002B2CF9AE}" pid="3" name="DMCulture01">
    <vt:lpwstr>oU7+j+b1xNyGrBWWjmKw3VIfSCddM4XH7MDAZ3Z2v4Gmn63NpWsiOCqtyA0poyzgViDEoU2vojueOpPWHj+LF1gtfNznR9m3CQncgSHXFer+N9a06b8XY1MvUmsbgJB86PzzuVXeGSwU3kZtODLO/KPp+rbhTLZQSfJdhMtck/N6vdAURq1V70hhkiOoRxbSaFSrtChC1Mrrpy2NegTb0p1vZ3dGcSRjv5U71Au+kFksk8RXL8ytEhaIb0C31QP</vt:lpwstr>
  </property>
  <property fmtid="{D5CDD505-2E9C-101B-9397-08002B2CF9AE}" pid="4" name="DMCulture02">
    <vt:lpwstr>bgPbj+tntxpqJ/TJMDQHRrZugAYqnNvSklIp8vl6KciSD1jCIAEoVvOEBJ31OVfhepRCuzsT/Pyb7jAUM5ummRKMMkw9G9RPl6vlYFQ2aQrZiqiuXufbWiMsBFgDieCqFrRCeagmEajoY6PMPDQVPX3IpwPiVXlztMk5Yo2hg1jl/h3zzCyIDc7rNbzjmGa+kOBPL9uMjTbSOCwSgdxjX1zJO3LRcVPhda5j4g+QUxLW+ZCcylblciqCS+VlH56</vt:lpwstr>
  </property>
  <property fmtid="{D5CDD505-2E9C-101B-9397-08002B2CF9AE}" pid="5" name="DMCulture03">
    <vt:lpwstr>LIMZenhsZoz6HbUGO+Sq/hJ1Jv1O2uYrH3G465lqAkk2hhE2WFCUnYT9ZLHkrmcUrCKG2lxsdiDgXZ2d+aJh9RArGEN5Vs/SoBYyQMTzIzIsWI8CYSclAa8/Tf4nwWJPJG66kMrAmp/zxU0TYU1fimOLcjPXmOvhWoNua6S4USzglHGgEGiIxTUvTVgIgKIjeOU6g1AL6RQM8JR/apOGp813xrfvUq7X9VGS+gDScebwlMVUM88NjNjh8mxHVAm</vt:lpwstr>
  </property>
  <property fmtid="{D5CDD505-2E9C-101B-9397-08002B2CF9AE}" pid="6" name="DMCulture04">
    <vt:lpwstr>9xhaBOBR77ZePIzHP3ejA2G1iklblgOXytWUqBfdYAW8/Zm3cGED+Z4dz/IRkmAL61UudJ9nEHuOGvc3lr12RTtEgwGMBPdS3sHueuEwatPoFvLJ2oBQGBUjpXzT4s1pFvlsqYLL7CzvdjPrKYoVL7vWA4JE5H2OIWPzYud+VirdjtqNkMIpI+x2ZRVOcsQCaUmDEPT2IdNLo5I9Hi5vlIrtPsMtEDfT1Y9mLNA1SbUIENw5MEQ56ihCJEKV/3v</vt:lpwstr>
  </property>
  <property fmtid="{D5CDD505-2E9C-101B-9397-08002B2CF9AE}" pid="7" name="DMCulture05">
    <vt:lpwstr>bkB+IgTe8AWoxTCa0rA4VecM42AGVuDClm4xOYvoMDfL3LNYmn87B8WNbdulVWMn2gaYOEUrHtvm5ZNVAE6fURFvD3c0i9B1P4JtRUp/j1Mwy4ApAn3p5vrvtHahO8fw/DyBcm7s0wy5jt6LH87a5eKIcHjGE872tVSWO+eNh1rEOJNb1iQRxIIltmg3HqIMc9gH44pYntthn3XYB1AQbVtR855Jh+wNAGQPm/dnlPQEiU+VbjrOoY5NRCE51TF</vt:lpwstr>
  </property>
  <property fmtid="{D5CDD505-2E9C-101B-9397-08002B2CF9AE}" pid="8" name="DMCulture06">
    <vt:lpwstr>MvS8x3XlEjc5VGF3ZwyrQ4t0Hpqso76JEGw7Yn6Cyi1lQoO6BeB+s1feqxySg+VitR+diUZZJf8R/O5oG3AOtkVKfiP+Hn1McgCwAA</vt:lpwstr>
  </property>
  <property fmtid="{D5CDD505-2E9C-101B-9397-08002B2CF9AE}" pid="9" name="frecMETA00">
    <vt:lpwstr>4A0AAB+LCAAAAAAABABFl4mRZCEMQ1PCgDniIf8cVk/+PVs1PX0BtiVZpmOMd/rb48XUY4232+vz9bHfPq+H3vV4Ga+3eLNpWXpJvqnP4mpPvMiX+y29afdlvthae31cH+ftri/Oy/nu1HdLj+3v73GgGNrF9rsVRouHEtA3evNC2XWt3eknwut/amPTcf3p+KGv+qWGTnLTT/G91d/RqeGn+ou+neTRSkVQnDinTldl1HPe0edVfiwSeqGHY2x</vt:lpwstr>
  </property>
  <property fmtid="{D5CDD505-2E9C-101B-9397-08002B2CF9AE}" pid="10" name="frecMETA01">
    <vt:lpwstr>/qdqHaiSN7fpURp+VLqGpah29fGCgKHM/QS3M2Kz6Iu87QLR0RFaZOqKvN5pBS8UUYqEYflxA1Gc8pYtNbSHJTv3dRy2dpP0sPoWS1ikJztTRPiAh5T6tjhtvvFVcNNBQPKEZoomkqElJq9AOXh+xHZx0/JwP2JKjB4B2Z17suB4qHYbbBaUrFI76L0HBvjFSxKtkOAvu+hOxB9wiFE37Z+nzfiDAOYTnrmzzOq9QgZwLJsTtFKokIUCiGuGV4k</vt:lpwstr>
  </property>
  <property fmtid="{D5CDD505-2E9C-101B-9397-08002B2CF9AE}" pid="11" name="frecMETA02">
    <vt:lpwstr>iHrZIX8YSik7hQRI1U072f+vQ1cXQ2xAFSuiKdg6iCY5ULtSTyRk0oHHEp+C0I1CdaqPB9KsmwZqv2SqQA5JMDKKwb7hLqRGnOwYHpMvUJ3BW6zvQ6MBRT8YQkafm4BUOSRb4oXDpROwdYdBOGcG9RjoCihev6e7TqOxQo3Gil8bxVZzWQ5exW6WAWKohqc5v+axcxbVEHsGQ9iUaNudLr1T68geLlYEd5iEhtbu6vdNu74a3Rq1a8xfcMh4Zrp</vt:lpwstr>
  </property>
  <property fmtid="{D5CDD505-2E9C-101B-9397-08002B2CF9AE}" pid="12" name="frecMETA03">
    <vt:lpwstr>48ZnVEdZiqsrb1KDVIGdT6SJJ5IElzOH6lBW5pg5CkkWAwhfVuF8EnrYwcEUT12gLQR0jzZ7HTQNAsbEkE5JBplZYZarwCmHED5bVdPJkhg6VlUbXgu1QU2UOA59VUe/dMqD/afsqJgOb0wS06mZxdd+Ll37q9NyHDZRuJEORmGH1GYO6RwObQ/qct9wuTH7hUVz5UnlL1sBootBHmpZvpKBeuVGgDtCFkFvsMxPTWiXG/ZKPQXrdEQuSpG1EPY</vt:lpwstr>
  </property>
  <property fmtid="{D5CDD505-2E9C-101B-9397-08002B2CF9AE}" pid="13" name="frecMETA04">
    <vt:lpwstr>6RMbxNq2QQBXKy1T6hTgxqQMVxWtVxFZTq4C5brD6EbA0fJZ6zN6LY1LGgyqa9MhK+sjtJDPVc90BljfHNawB0n7NFdTAUUBtwC63Ra0SyjTUvPsnF8TihJmVn7zkN14E7oDA0VE4OpTKaVmCD5qpnF/Go/9q3+NHFYCPHg6C57rT5bd/LjzGLTYihshzIMKgWyZx7ATnQISdQkIjBTLM17d2CPQXo3lnsn4pGbDwJjbKpVLIoitupbSPYHVJx4</vt:lpwstr>
  </property>
  <property fmtid="{D5CDD505-2E9C-101B-9397-08002B2CF9AE}" pid="14" name="frecMETA05">
    <vt:lpwstr>K7TqHaWHQQb6NZGWGNf8GYc1PNKd84dTTDpMZZaxsxs/SC6VZgz7xFFtBujd6/6bwvjW29Y33EYjwAkhwpQUDovgmSTL8sD70HLvsbvbiXIQzx+ZnQ7id1Wr/3dWH0zXM8mrQ/7zUdru/tr72h/bfyeSEp3xEufi0sDQ9hGogN+fjPlsWDr6lAAqFB2aJ5ZRNcL9iXHXf8eqqI/sa36ypO0iv9nIXkR4jy91UaXrYMIVrTsDicSfTl7OGSi7bi8</vt:lpwstr>
  </property>
  <property fmtid="{D5CDD505-2E9C-101B-9397-08002B2CF9AE}" pid="15" name="frecMETA06">
    <vt:lpwstr>D0XWj7ILuDjTNqknFpUSp8gogRHThx6nJfU2PznXPVLaqV8eNIQnrW1L1ZXoYIYPu6y1QdxUSJzF7GeA7SqCF3yvwtVBRIR/24al9/cMlbXJkQuO8ao8Y0WrqYvavDXaZnbCtTNeA6TyxPPB4keg2GU97uWdJKkCAgapiC47s70TZR/BwblS1X2VzY43j+CkgPoeaLru/YzU27K1zdz9cHOQMxPIY/J1h2apuNQBnfVRHEPODTr0OWzQl4HheM7</vt:lpwstr>
  </property>
  <property fmtid="{D5CDD505-2E9C-101B-9397-08002B2CF9AE}" pid="16" name="frecMETA07">
    <vt:lpwstr>SCQZuKy7qDIEZjmd8UDzlvzpu68Hum3dO5It3pLqfiHwN9EYhB8useLVfotznDQslVvJr1umpUsYKC7+emvNB29fsEggPP1mD7CXfit4dzDE94/g4pLBug3d2PURftE1cuRza4Mho1WVq2q6l4bgYeIhIC2ud8MCscLZNUSKpeR3y2Y+yiThL41hN+1vtVYgh3bzfx+2JjD/mtgZ9590fHGrFH3/cxp/wAWhYDH4A0AAA==</vt:lpwstr>
  </property>
  <property fmtid="{D5CDD505-2E9C-101B-9397-08002B2CF9AE}" pid="17" name="MSIP_Label_6bd9ddd1-4d20-43f6-abfa-fc3c07406f94_ActionId">
    <vt:lpwstr>87aa256e-1c33-4277-9bca-371232831706</vt:lpwstr>
  </property>
  <property fmtid="{D5CDD505-2E9C-101B-9397-08002B2CF9AE}" pid="18" name="MSIP_Label_6bd9ddd1-4d20-43f6-abfa-fc3c07406f94_ContentBits">
    <vt:lpwstr>0</vt:lpwstr>
  </property>
  <property fmtid="{D5CDD505-2E9C-101B-9397-08002B2CF9AE}" pid="19" name="MSIP_Label_6bd9ddd1-4d20-43f6-abfa-fc3c07406f94_Enabled">
    <vt:lpwstr>true</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etDate">
    <vt:lpwstr>2023-08-28T14:33:22Z</vt:lpwstr>
  </property>
  <property fmtid="{D5CDD505-2E9C-101B-9397-08002B2CF9AE}" pid="23" name="MSIP_Label_6bd9ddd1-4d20-43f6-abfa-fc3c07406f94_SiteId">
    <vt:lpwstr>b24c8b06-522c-46fe-9080-70926f8dddb1</vt:lpwstr>
  </property>
  <property fmtid="{D5CDD505-2E9C-101B-9397-08002B2CF9AE}" pid="24" name="PeriodId">
    <vt:i4>22</vt:i4>
  </property>
  <property fmtid="{D5CDD505-2E9C-101B-9397-08002B2CF9AE}" pid="25" name="PeriodName">
    <vt:lpwstr>2025 Annual Accounts</vt:lpwstr>
  </property>
  <property fmtid="{D5CDD505-2E9C-101B-9397-08002B2CF9AE}" pid="26" name="ReportId">
    <vt:i4>533</vt:i4>
  </property>
  <property fmtid="{D5CDD505-2E9C-101B-9397-08002B2CF9AE}" pid="27" name="ReportName">
    <vt:lpwstr>EU Annual Accounts</vt:lpwstr>
  </property>
  <property fmtid="{D5CDD505-2E9C-101B-9397-08002B2CF9AE}" pid="28" name="synchronize">
    <vt:lpwstr>on</vt:lpwstr>
  </property>
  <property fmtid="{D5CDD505-2E9C-101B-9397-08002B2CF9AE}" pid="29" name="TemplateId">
    <vt:i4>2154</vt:i4>
  </property>
  <property fmtid="{D5CDD505-2E9C-101B-9397-08002B2CF9AE}" pid="30" name="UseLegacyExcelTemplate">
    <vt:bool>true</vt:bool>
  </property>
  <property fmtid="{D5CDD505-2E9C-101B-9397-08002B2CF9AE}" pid="31" name="ContentTypeId">
    <vt:lpwstr>0x0101004F6C807E458D104F97AC4CDBE48BF256</vt:lpwstr>
  </property>
  <property fmtid="{D5CDD505-2E9C-101B-9397-08002B2CF9AE}" pid="32" name="Level of sensitivity">
    <vt:lpwstr>Standard treatment</vt:lpwstr>
  </property>
  <property fmtid="{D5CDD505-2E9C-101B-9397-08002B2CF9AE}" pid="33" name="Part">
    <vt:lpwstr>1</vt:lpwstr>
  </property>
  <property fmtid="{D5CDD505-2E9C-101B-9397-08002B2CF9AE}" pid="34" name="Total parts">
    <vt:lpwstr>1</vt:lpwstr>
  </property>
  <property fmtid="{D5CDD505-2E9C-101B-9397-08002B2CF9AE}" pid="35" name="DocStatus">
    <vt:lpwstr>Green</vt:lpwstr>
  </property>
  <property fmtid="{D5CDD505-2E9C-101B-9397-08002B2CF9AE}" pid="36" name="CPTemplateID">
    <vt:lpwstr>CP-009</vt:lpwstr>
  </property>
  <property fmtid="{D5CDD505-2E9C-101B-9397-08002B2CF9AE}" pid="37" name="Last edited using">
    <vt:lpwstr>LW 9.2, Build 20250828</vt:lpwstr>
  </property>
  <property fmtid="{D5CDD505-2E9C-101B-9397-08002B2CF9AE}" pid="38" name="Created using">
    <vt:lpwstr>LW 9.2, Build 20250828</vt:lpwstr>
  </property>
</Properties>
</file>